
<file path=[Content_Types].xml><?xml version="1.0" encoding="utf-8"?>
<Types xmlns="http://schemas.openxmlformats.org/package/2006/content-types">
  <Default Extension="png" ContentType="image/png"/>
  <Default Extension="emf" ContentType="image/x-emf"/>
  <Default Extension="jpeg" ContentType="image/jpeg"/>
  <Default Extension="wmf" ContentType="image/x-wmf"/>
  <Default Extension="rels" ContentType="application/vnd.openxmlformats-package.relationships+xml"/>
  <Default Extension="xml" ContentType="application/xml"/>
  <Default Extension="ppt" ContentType="application/vnd.ms-powerpoint"/>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theme/themeOverride2.xml" ContentType="application/vnd.openxmlformats-officedocument.themeOverride+xml"/>
  <Override PartName="/word/charts/chart3.xml" ContentType="application/vnd.openxmlformats-officedocument.drawingml.chart+xml"/>
  <Override PartName="/word/theme/themeOverride3.xml" ContentType="application/vnd.openxmlformats-officedocument.themeOverride+xml"/>
  <Override PartName="/word/charts/chart4.xml" ContentType="application/vnd.openxmlformats-officedocument.drawingml.chart+xml"/>
  <Override PartName="/word/theme/themeOverride4.xml" ContentType="application/vnd.openxmlformats-officedocument.themeOverride+xml"/>
  <Override PartName="/word/charts/chart5.xml" ContentType="application/vnd.openxmlformats-officedocument.drawingml.chart+xml"/>
  <Override PartName="/word/theme/themeOverride5.xml" ContentType="application/vnd.openxmlformats-officedocument.themeOverride+xml"/>
  <Override PartName="/word/charts/chart6.xml" ContentType="application/vnd.openxmlformats-officedocument.drawingml.chart+xml"/>
  <Override PartName="/word/theme/themeOverride6.xml" ContentType="application/vnd.openxmlformats-officedocument.themeOverride+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footer6.xml" ContentType="application/vnd.openxmlformats-officedocument.wordprocessingml.footer+xml"/>
  <Override PartName="/word/header8.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header9.xml" ContentType="application/vnd.openxmlformats-officedocument.wordprocessingml.header+xml"/>
  <Override PartName="/word/footer9.xml" ContentType="application/vnd.openxmlformats-officedocument.wordprocessingml.footer+xml"/>
  <Override PartName="/word/header10.xml" ContentType="application/vnd.openxmlformats-officedocument.wordprocessingml.header+xml"/>
  <Override PartName="/word/footer10.xml" ContentType="application/vnd.openxmlformats-officedocument.wordprocessingml.footer+xml"/>
  <Override PartName="/word/footer11.xml" ContentType="application/vnd.openxmlformats-officedocument.wordprocessingml.footer+xml"/>
  <Override PartName="/word/header11.xml" ContentType="application/vnd.openxmlformats-officedocument.wordprocessingml.header+xml"/>
  <Override PartName="/word/footer1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4A147C" w:rsidRPr="00AC3206" w:rsidRDefault="004A147C" w:rsidP="00CE5850">
      <w:pPr>
        <w:jc w:val="center"/>
        <w:rPr>
          <w:b/>
          <w:lang w:eastAsia="ja-JP"/>
        </w:rPr>
      </w:pPr>
      <w:bookmarkStart w:id="0" w:name="_GoBack"/>
      <w:bookmarkEnd w:id="0"/>
      <w:r w:rsidRPr="00AC3206">
        <w:rPr>
          <w:b/>
          <w:lang w:eastAsia="ja-JP"/>
        </w:rPr>
        <w:t>Before the</w:t>
      </w:r>
    </w:p>
    <w:p w:rsidR="004A147C" w:rsidRPr="00B53FFB" w:rsidRDefault="004A147C" w:rsidP="00CE5850">
      <w:pPr>
        <w:jc w:val="center"/>
        <w:outlineLvl w:val="0"/>
        <w:rPr>
          <w:rFonts w:eastAsia="Times New Roman"/>
          <w:b/>
          <w:bCs/>
          <w:kern w:val="0"/>
          <w:szCs w:val="22"/>
          <w:lang w:eastAsia="ja-JP"/>
        </w:rPr>
      </w:pPr>
      <w:bookmarkStart w:id="1" w:name="_Toc508445574"/>
      <w:bookmarkStart w:id="2" w:name="_Toc329262471"/>
      <w:bookmarkStart w:id="3" w:name="_Toc329852374"/>
      <w:bookmarkStart w:id="4" w:name="_Toc331766290"/>
      <w:bookmarkStart w:id="5" w:name="_Toc332119086"/>
      <w:bookmarkStart w:id="6" w:name="_Toc334088764"/>
      <w:bookmarkStart w:id="7" w:name="_Toc334089002"/>
      <w:bookmarkStart w:id="8" w:name="_Toc335839010"/>
      <w:r w:rsidRPr="00B53FFB">
        <w:rPr>
          <w:rFonts w:eastAsia="Times New Roman"/>
          <w:b/>
          <w:bCs/>
          <w:kern w:val="0"/>
          <w:szCs w:val="22"/>
          <w:lang w:eastAsia="ja-JP"/>
        </w:rPr>
        <w:t>Federal Communications Commission</w:t>
      </w:r>
      <w:bookmarkEnd w:id="1"/>
      <w:bookmarkEnd w:id="2"/>
      <w:bookmarkEnd w:id="3"/>
      <w:bookmarkEnd w:id="4"/>
      <w:bookmarkEnd w:id="5"/>
      <w:bookmarkEnd w:id="6"/>
      <w:bookmarkEnd w:id="7"/>
      <w:bookmarkEnd w:id="8"/>
    </w:p>
    <w:p w:rsidR="004A147C" w:rsidRPr="00B53FFB" w:rsidRDefault="004A147C" w:rsidP="00CE5850">
      <w:pPr>
        <w:jc w:val="center"/>
        <w:outlineLvl w:val="0"/>
        <w:rPr>
          <w:rFonts w:eastAsia="Times New Roman"/>
          <w:b/>
          <w:bCs/>
          <w:kern w:val="0"/>
          <w:szCs w:val="22"/>
          <w:lang w:eastAsia="ja-JP"/>
        </w:rPr>
      </w:pPr>
      <w:bookmarkStart w:id="9" w:name="_Toc508445575"/>
      <w:bookmarkStart w:id="10" w:name="_Toc329262472"/>
      <w:bookmarkStart w:id="11" w:name="_Toc329852375"/>
      <w:bookmarkStart w:id="12" w:name="_Toc331766291"/>
      <w:bookmarkStart w:id="13" w:name="_Toc332119087"/>
      <w:bookmarkStart w:id="14" w:name="_Toc334088765"/>
      <w:bookmarkStart w:id="15" w:name="_Toc334089003"/>
      <w:bookmarkStart w:id="16" w:name="_Toc335839011"/>
      <w:r w:rsidRPr="00B53FFB">
        <w:rPr>
          <w:rFonts w:eastAsia="Times New Roman"/>
          <w:b/>
          <w:bCs/>
          <w:kern w:val="0"/>
          <w:szCs w:val="22"/>
          <w:lang w:eastAsia="ja-JP"/>
        </w:rPr>
        <w:t>Washington, D.C. 20554</w:t>
      </w:r>
      <w:bookmarkEnd w:id="9"/>
      <w:bookmarkEnd w:id="10"/>
      <w:bookmarkEnd w:id="11"/>
      <w:bookmarkEnd w:id="12"/>
      <w:bookmarkEnd w:id="13"/>
      <w:bookmarkEnd w:id="14"/>
      <w:bookmarkEnd w:id="15"/>
      <w:bookmarkEnd w:id="16"/>
    </w:p>
    <w:p w:rsidR="004A147C" w:rsidRPr="00B53FFB" w:rsidRDefault="004A147C" w:rsidP="00CE5850">
      <w:pPr>
        <w:rPr>
          <w:rFonts w:eastAsia="Times New Roman"/>
          <w:kern w:val="0"/>
          <w:szCs w:val="22"/>
          <w:lang w:eastAsia="ja-JP"/>
        </w:rPr>
      </w:pPr>
    </w:p>
    <w:p w:rsidR="004A147C" w:rsidRPr="00B53FFB" w:rsidRDefault="004A147C" w:rsidP="00CE5850">
      <w:pPr>
        <w:rPr>
          <w:rFonts w:eastAsia="Times New Roman"/>
          <w:kern w:val="0"/>
          <w:szCs w:val="22"/>
          <w:lang w:eastAsia="ja-JP"/>
        </w:rPr>
      </w:pPr>
    </w:p>
    <w:tbl>
      <w:tblPr>
        <w:tblW w:w="0" w:type="auto"/>
        <w:tblLayout w:type="fixed"/>
        <w:tblLook w:val="0000" w:firstRow="0" w:lastRow="0" w:firstColumn="0" w:lastColumn="0" w:noHBand="0" w:noVBand="0"/>
      </w:tblPr>
      <w:tblGrid>
        <w:gridCol w:w="4698"/>
        <w:gridCol w:w="630"/>
        <w:gridCol w:w="4248"/>
      </w:tblGrid>
      <w:tr w:rsidR="004A147C" w:rsidRPr="00B53FFB" w:rsidTr="008459AE">
        <w:tc>
          <w:tcPr>
            <w:tcW w:w="4698" w:type="dxa"/>
            <w:vAlign w:val="center"/>
          </w:tcPr>
          <w:p w:rsidR="004A147C" w:rsidRPr="00B53FFB" w:rsidRDefault="004A147C" w:rsidP="00CE5850">
            <w:pPr>
              <w:rPr>
                <w:rFonts w:eastAsia="Times New Roman"/>
                <w:kern w:val="0"/>
                <w:szCs w:val="22"/>
                <w:lang w:eastAsia="ja-JP"/>
              </w:rPr>
            </w:pPr>
            <w:r w:rsidRPr="00B53FFB">
              <w:rPr>
                <w:rFonts w:eastAsia="Times New Roman"/>
                <w:kern w:val="0"/>
                <w:szCs w:val="22"/>
                <w:lang w:eastAsia="ja-JP"/>
              </w:rPr>
              <w:t>In the Matter of</w:t>
            </w:r>
          </w:p>
          <w:p w:rsidR="004A147C" w:rsidRPr="00B53FFB" w:rsidRDefault="004A147C" w:rsidP="00CE5850">
            <w:pPr>
              <w:rPr>
                <w:rFonts w:eastAsia="Times New Roman"/>
                <w:kern w:val="0"/>
                <w:szCs w:val="22"/>
                <w:lang w:eastAsia="ja-JP"/>
              </w:rPr>
            </w:pPr>
          </w:p>
          <w:p w:rsidR="004A147C" w:rsidRPr="00B53FFB" w:rsidRDefault="004A147C" w:rsidP="00CE5850">
            <w:pPr>
              <w:rPr>
                <w:rFonts w:eastAsia="Times New Roman"/>
                <w:kern w:val="0"/>
                <w:szCs w:val="22"/>
                <w:lang w:eastAsia="ja-JP"/>
              </w:rPr>
            </w:pPr>
            <w:r w:rsidRPr="00B53FFB">
              <w:rPr>
                <w:rFonts w:eastAsia="Times New Roman"/>
                <w:kern w:val="0"/>
                <w:szCs w:val="22"/>
                <w:lang w:eastAsia="ja-JP"/>
              </w:rPr>
              <w:t>Implementation of Section 6002(b) of the Omnibus Budget Reconciliation Act of 1993</w:t>
            </w:r>
          </w:p>
          <w:p w:rsidR="004A147C" w:rsidRPr="00B53FFB" w:rsidRDefault="004A147C" w:rsidP="00CE5850">
            <w:pPr>
              <w:rPr>
                <w:rFonts w:eastAsia="Times New Roman"/>
                <w:kern w:val="0"/>
                <w:szCs w:val="22"/>
                <w:lang w:eastAsia="ja-JP"/>
              </w:rPr>
            </w:pPr>
          </w:p>
          <w:p w:rsidR="004A147C" w:rsidRPr="00B53FFB" w:rsidRDefault="004A147C" w:rsidP="00CE5850">
            <w:pPr>
              <w:rPr>
                <w:rFonts w:eastAsia="Times New Roman"/>
                <w:kern w:val="0"/>
                <w:szCs w:val="22"/>
                <w:lang w:eastAsia="ja-JP"/>
              </w:rPr>
            </w:pPr>
            <w:r w:rsidRPr="00B53FFB">
              <w:rPr>
                <w:rFonts w:eastAsia="Times New Roman"/>
                <w:kern w:val="0"/>
                <w:szCs w:val="22"/>
                <w:lang w:eastAsia="ja-JP"/>
              </w:rPr>
              <w:t>Annual Report and Analysis of Competitive Market Conditions With Respect to Mobile Wireless, Including Commercial Mobile Services</w:t>
            </w:r>
          </w:p>
        </w:tc>
        <w:tc>
          <w:tcPr>
            <w:tcW w:w="630" w:type="dxa"/>
          </w:tcPr>
          <w:p w:rsidR="004A147C" w:rsidRPr="00B53FFB" w:rsidRDefault="004A147C" w:rsidP="00CE5850">
            <w:pPr>
              <w:rPr>
                <w:rFonts w:eastAsia="Times New Roman"/>
                <w:b/>
                <w:bCs/>
                <w:kern w:val="0"/>
                <w:szCs w:val="22"/>
                <w:lang w:eastAsia="ja-JP"/>
              </w:rPr>
            </w:pPr>
            <w:r w:rsidRPr="00B53FFB">
              <w:rPr>
                <w:rFonts w:eastAsia="Times New Roman"/>
                <w:b/>
                <w:bCs/>
                <w:kern w:val="0"/>
                <w:szCs w:val="22"/>
                <w:lang w:eastAsia="ja-JP"/>
              </w:rPr>
              <w:t>)</w:t>
            </w:r>
          </w:p>
          <w:p w:rsidR="004A147C" w:rsidRPr="00B53FFB" w:rsidRDefault="004A147C" w:rsidP="00CE5850">
            <w:pPr>
              <w:rPr>
                <w:rFonts w:eastAsia="Times New Roman"/>
                <w:b/>
                <w:bCs/>
                <w:kern w:val="0"/>
                <w:szCs w:val="22"/>
                <w:lang w:eastAsia="ja-JP"/>
              </w:rPr>
            </w:pPr>
            <w:r w:rsidRPr="00B53FFB">
              <w:rPr>
                <w:rFonts w:eastAsia="Times New Roman"/>
                <w:b/>
                <w:bCs/>
                <w:kern w:val="0"/>
                <w:szCs w:val="22"/>
                <w:lang w:eastAsia="ja-JP"/>
              </w:rPr>
              <w:t>)</w:t>
            </w:r>
          </w:p>
          <w:p w:rsidR="004A147C" w:rsidRPr="00B53FFB" w:rsidRDefault="004A147C" w:rsidP="00CE5850">
            <w:pPr>
              <w:rPr>
                <w:rFonts w:eastAsia="Times New Roman"/>
                <w:b/>
                <w:bCs/>
                <w:kern w:val="0"/>
                <w:szCs w:val="22"/>
                <w:lang w:eastAsia="ja-JP"/>
              </w:rPr>
            </w:pPr>
            <w:r w:rsidRPr="00B53FFB">
              <w:rPr>
                <w:rFonts w:eastAsia="Times New Roman"/>
                <w:b/>
                <w:bCs/>
                <w:kern w:val="0"/>
                <w:szCs w:val="22"/>
                <w:lang w:eastAsia="ja-JP"/>
              </w:rPr>
              <w:t>)</w:t>
            </w:r>
          </w:p>
          <w:p w:rsidR="004A147C" w:rsidRPr="00B53FFB" w:rsidRDefault="004A147C" w:rsidP="00CE5850">
            <w:pPr>
              <w:rPr>
                <w:rFonts w:eastAsia="Times New Roman"/>
                <w:b/>
                <w:bCs/>
                <w:kern w:val="0"/>
                <w:szCs w:val="22"/>
                <w:lang w:eastAsia="ja-JP"/>
              </w:rPr>
            </w:pPr>
            <w:r w:rsidRPr="00B53FFB">
              <w:rPr>
                <w:rFonts w:eastAsia="Times New Roman"/>
                <w:b/>
                <w:bCs/>
                <w:kern w:val="0"/>
                <w:szCs w:val="22"/>
                <w:lang w:eastAsia="ja-JP"/>
              </w:rPr>
              <w:t>)</w:t>
            </w:r>
          </w:p>
          <w:p w:rsidR="004A147C" w:rsidRPr="00B53FFB" w:rsidRDefault="004A147C" w:rsidP="00CE5850">
            <w:pPr>
              <w:rPr>
                <w:rFonts w:eastAsia="Times New Roman"/>
                <w:b/>
                <w:bCs/>
                <w:kern w:val="0"/>
                <w:szCs w:val="22"/>
                <w:lang w:eastAsia="ja-JP"/>
              </w:rPr>
            </w:pPr>
            <w:r w:rsidRPr="00B53FFB">
              <w:rPr>
                <w:rFonts w:eastAsia="Times New Roman"/>
                <w:b/>
                <w:bCs/>
                <w:kern w:val="0"/>
                <w:szCs w:val="22"/>
                <w:lang w:eastAsia="ja-JP"/>
              </w:rPr>
              <w:t>)</w:t>
            </w:r>
          </w:p>
          <w:p w:rsidR="004A147C" w:rsidRPr="00B53FFB" w:rsidRDefault="004A147C" w:rsidP="00CE5850">
            <w:pPr>
              <w:rPr>
                <w:rFonts w:eastAsia="Times New Roman"/>
                <w:b/>
                <w:bCs/>
                <w:kern w:val="0"/>
                <w:szCs w:val="22"/>
                <w:lang w:eastAsia="ja-JP"/>
              </w:rPr>
            </w:pPr>
            <w:r w:rsidRPr="00B53FFB">
              <w:rPr>
                <w:rFonts w:eastAsia="Times New Roman"/>
                <w:b/>
                <w:bCs/>
                <w:kern w:val="0"/>
                <w:szCs w:val="22"/>
                <w:lang w:eastAsia="ja-JP"/>
              </w:rPr>
              <w:t>)</w:t>
            </w:r>
          </w:p>
          <w:p w:rsidR="004A147C" w:rsidRPr="00B53FFB" w:rsidRDefault="004A147C" w:rsidP="00CE5850">
            <w:pPr>
              <w:rPr>
                <w:rFonts w:eastAsia="Times New Roman"/>
                <w:b/>
                <w:bCs/>
                <w:kern w:val="0"/>
                <w:szCs w:val="22"/>
                <w:lang w:eastAsia="ja-JP"/>
              </w:rPr>
            </w:pPr>
            <w:r w:rsidRPr="00B53FFB">
              <w:rPr>
                <w:rFonts w:eastAsia="Times New Roman"/>
                <w:b/>
                <w:bCs/>
                <w:kern w:val="0"/>
                <w:szCs w:val="22"/>
                <w:lang w:eastAsia="ja-JP"/>
              </w:rPr>
              <w:t>)</w:t>
            </w:r>
          </w:p>
          <w:p w:rsidR="004A147C" w:rsidRPr="00B53FFB" w:rsidRDefault="004A147C" w:rsidP="00CE5850">
            <w:pPr>
              <w:rPr>
                <w:rFonts w:eastAsia="Times New Roman"/>
                <w:b/>
                <w:bCs/>
                <w:kern w:val="0"/>
                <w:szCs w:val="22"/>
                <w:lang w:eastAsia="ja-JP"/>
              </w:rPr>
            </w:pPr>
            <w:r w:rsidRPr="00B53FFB">
              <w:rPr>
                <w:rFonts w:eastAsia="Times New Roman"/>
                <w:b/>
                <w:bCs/>
                <w:kern w:val="0"/>
                <w:szCs w:val="22"/>
                <w:lang w:eastAsia="ja-JP"/>
              </w:rPr>
              <w:t>)</w:t>
            </w:r>
          </w:p>
          <w:p w:rsidR="004A147C" w:rsidRPr="00B53FFB" w:rsidRDefault="004A147C" w:rsidP="00CE5850">
            <w:pPr>
              <w:rPr>
                <w:rFonts w:eastAsia="Times New Roman"/>
                <w:kern w:val="0"/>
                <w:szCs w:val="22"/>
                <w:lang w:eastAsia="ja-JP"/>
              </w:rPr>
            </w:pPr>
            <w:r w:rsidRPr="00B53FFB">
              <w:rPr>
                <w:rFonts w:eastAsia="Times New Roman"/>
                <w:b/>
                <w:bCs/>
                <w:kern w:val="0"/>
                <w:szCs w:val="22"/>
                <w:lang w:eastAsia="ja-JP"/>
              </w:rPr>
              <w:t>)</w:t>
            </w:r>
          </w:p>
        </w:tc>
        <w:tc>
          <w:tcPr>
            <w:tcW w:w="4248" w:type="dxa"/>
            <w:vAlign w:val="center"/>
          </w:tcPr>
          <w:p w:rsidR="004A147C" w:rsidRPr="00B53FFB" w:rsidRDefault="004A147C" w:rsidP="00CE5850">
            <w:pPr>
              <w:rPr>
                <w:rFonts w:eastAsia="Times New Roman"/>
                <w:b/>
                <w:kern w:val="0"/>
                <w:szCs w:val="22"/>
                <w:lang w:eastAsia="ja-JP"/>
              </w:rPr>
            </w:pPr>
            <w:r w:rsidRPr="00B53FFB">
              <w:rPr>
                <w:rFonts w:eastAsia="Times New Roman"/>
                <w:kern w:val="0"/>
                <w:szCs w:val="22"/>
                <w:lang w:eastAsia="ja-JP"/>
              </w:rPr>
              <w:t>WT Docket No. 11-186</w:t>
            </w:r>
          </w:p>
          <w:p w:rsidR="004A147C" w:rsidRPr="00B53FFB" w:rsidRDefault="004A147C" w:rsidP="00CE5850">
            <w:pPr>
              <w:rPr>
                <w:rFonts w:eastAsia="Times New Roman"/>
                <w:kern w:val="0"/>
                <w:szCs w:val="22"/>
                <w:vertAlign w:val="superscript"/>
                <w:lang w:eastAsia="ja-JP"/>
              </w:rPr>
            </w:pPr>
            <w:r w:rsidRPr="00B53FFB">
              <w:rPr>
                <w:rFonts w:eastAsia="Times New Roman"/>
                <w:kern w:val="0"/>
                <w:szCs w:val="22"/>
                <w:lang w:eastAsia="ja-JP"/>
              </w:rPr>
              <w:t>(Terminated)</w:t>
            </w:r>
          </w:p>
        </w:tc>
      </w:tr>
    </w:tbl>
    <w:p w:rsidR="004A147C" w:rsidRPr="00B53FFB" w:rsidRDefault="004A147C" w:rsidP="00CE5850">
      <w:pPr>
        <w:rPr>
          <w:rFonts w:eastAsia="Times New Roman"/>
          <w:kern w:val="0"/>
          <w:szCs w:val="22"/>
          <w:lang w:eastAsia="ja-JP"/>
        </w:rPr>
      </w:pPr>
    </w:p>
    <w:p w:rsidR="004A147C" w:rsidRPr="00B53FFB" w:rsidRDefault="004A147C" w:rsidP="00CE5850">
      <w:pPr>
        <w:rPr>
          <w:rFonts w:eastAsia="Times New Roman"/>
          <w:kern w:val="0"/>
          <w:szCs w:val="22"/>
          <w:lang w:eastAsia="ja-JP"/>
        </w:rPr>
      </w:pPr>
    </w:p>
    <w:p w:rsidR="004A147C" w:rsidRPr="00B53FFB" w:rsidRDefault="004A147C" w:rsidP="00CE5850">
      <w:pPr>
        <w:jc w:val="center"/>
        <w:outlineLvl w:val="0"/>
        <w:rPr>
          <w:rFonts w:eastAsia="Times New Roman"/>
          <w:b/>
          <w:kern w:val="0"/>
          <w:szCs w:val="22"/>
          <w:lang w:eastAsia="ja-JP"/>
        </w:rPr>
      </w:pPr>
      <w:bookmarkStart w:id="17" w:name="_Toc329262473"/>
      <w:bookmarkStart w:id="18" w:name="_Toc329852376"/>
      <w:bookmarkStart w:id="19" w:name="_Toc331766292"/>
      <w:bookmarkStart w:id="20" w:name="_Toc332119088"/>
      <w:bookmarkStart w:id="21" w:name="_Toc334088766"/>
      <w:bookmarkStart w:id="22" w:name="_Toc334089004"/>
      <w:bookmarkStart w:id="23" w:name="_Toc335839012"/>
      <w:r w:rsidRPr="00B53FFB">
        <w:rPr>
          <w:rFonts w:eastAsia="Times New Roman"/>
          <w:b/>
          <w:kern w:val="0"/>
          <w:szCs w:val="22"/>
          <w:lang w:eastAsia="ja-JP"/>
        </w:rPr>
        <w:t>SIXTEENTH REPORT</w:t>
      </w:r>
      <w:bookmarkEnd w:id="17"/>
      <w:bookmarkEnd w:id="18"/>
      <w:bookmarkEnd w:id="19"/>
      <w:bookmarkEnd w:id="20"/>
      <w:bookmarkEnd w:id="21"/>
      <w:bookmarkEnd w:id="22"/>
      <w:bookmarkEnd w:id="23"/>
    </w:p>
    <w:p w:rsidR="004A147C" w:rsidRPr="00B53FFB" w:rsidRDefault="004A147C" w:rsidP="00CE5850">
      <w:pPr>
        <w:rPr>
          <w:rFonts w:eastAsia="Times New Roman"/>
          <w:kern w:val="0"/>
          <w:szCs w:val="22"/>
          <w:lang w:eastAsia="ja-JP"/>
        </w:rPr>
      </w:pPr>
    </w:p>
    <w:tbl>
      <w:tblPr>
        <w:tblW w:w="0" w:type="auto"/>
        <w:tblLook w:val="01E0" w:firstRow="1" w:lastRow="1" w:firstColumn="1" w:lastColumn="1" w:noHBand="0" w:noVBand="0"/>
      </w:tblPr>
      <w:tblGrid>
        <w:gridCol w:w="4788"/>
        <w:gridCol w:w="4788"/>
      </w:tblGrid>
      <w:tr w:rsidR="004A147C" w:rsidRPr="00B53FFB" w:rsidTr="006E5962">
        <w:trPr>
          <w:trHeight w:val="117"/>
        </w:trPr>
        <w:tc>
          <w:tcPr>
            <w:tcW w:w="4788" w:type="dxa"/>
          </w:tcPr>
          <w:p w:rsidR="004A147C" w:rsidRPr="00B53FFB" w:rsidRDefault="004A147C" w:rsidP="00CE5850">
            <w:pPr>
              <w:rPr>
                <w:rFonts w:eastAsia="Times New Roman"/>
                <w:b/>
                <w:bCs/>
                <w:kern w:val="0"/>
                <w:szCs w:val="22"/>
                <w:lang w:eastAsia="ja-JP"/>
              </w:rPr>
            </w:pPr>
            <w:r w:rsidRPr="00B53FFB">
              <w:rPr>
                <w:rFonts w:eastAsia="Times New Roman"/>
                <w:b/>
                <w:bCs/>
                <w:kern w:val="0"/>
                <w:szCs w:val="22"/>
                <w:lang w:eastAsia="ja-JP"/>
              </w:rPr>
              <w:t xml:space="preserve">Adopted:  </w:t>
            </w:r>
            <w:r w:rsidR="00A834AE">
              <w:rPr>
                <w:rFonts w:eastAsia="Times New Roman"/>
                <w:b/>
                <w:bCs/>
                <w:kern w:val="0"/>
                <w:szCs w:val="22"/>
                <w:lang w:eastAsia="ja-JP"/>
              </w:rPr>
              <w:t>March 19, 2013</w:t>
            </w:r>
          </w:p>
        </w:tc>
        <w:tc>
          <w:tcPr>
            <w:tcW w:w="4788" w:type="dxa"/>
          </w:tcPr>
          <w:p w:rsidR="004A147C" w:rsidRPr="00B53FFB" w:rsidRDefault="006E5962" w:rsidP="00CE5850">
            <w:pPr>
              <w:jc w:val="center"/>
              <w:rPr>
                <w:rFonts w:eastAsia="Times New Roman"/>
                <w:b/>
                <w:bCs/>
                <w:kern w:val="0"/>
                <w:szCs w:val="22"/>
                <w:lang w:eastAsia="ja-JP"/>
              </w:rPr>
            </w:pPr>
            <w:r>
              <w:rPr>
                <w:rFonts w:eastAsia="Times New Roman"/>
                <w:b/>
                <w:bCs/>
                <w:kern w:val="0"/>
                <w:szCs w:val="22"/>
                <w:lang w:eastAsia="ja-JP"/>
              </w:rPr>
              <w:t xml:space="preserve">                                </w:t>
            </w:r>
            <w:r w:rsidR="004A147C">
              <w:rPr>
                <w:rFonts w:eastAsia="Times New Roman"/>
                <w:b/>
                <w:bCs/>
                <w:kern w:val="0"/>
                <w:szCs w:val="22"/>
                <w:lang w:eastAsia="ja-JP"/>
              </w:rPr>
              <w:t xml:space="preserve">Released: </w:t>
            </w:r>
            <w:r w:rsidR="00CE5850">
              <w:rPr>
                <w:rFonts w:eastAsia="Times New Roman"/>
                <w:b/>
                <w:bCs/>
                <w:kern w:val="0"/>
                <w:szCs w:val="22"/>
                <w:lang w:eastAsia="ja-JP"/>
              </w:rPr>
              <w:t>March 21</w:t>
            </w:r>
            <w:r w:rsidR="00A834AE">
              <w:rPr>
                <w:rFonts w:eastAsia="Times New Roman"/>
                <w:b/>
                <w:bCs/>
                <w:kern w:val="0"/>
                <w:szCs w:val="22"/>
                <w:lang w:eastAsia="ja-JP"/>
              </w:rPr>
              <w:t>, 2013</w:t>
            </w:r>
          </w:p>
        </w:tc>
      </w:tr>
      <w:tr w:rsidR="00A834AE" w:rsidRPr="00B53FFB" w:rsidTr="006E5962">
        <w:trPr>
          <w:trHeight w:val="117"/>
        </w:trPr>
        <w:tc>
          <w:tcPr>
            <w:tcW w:w="4788" w:type="dxa"/>
          </w:tcPr>
          <w:p w:rsidR="00A834AE" w:rsidRPr="00B53FFB" w:rsidRDefault="00A834AE" w:rsidP="00CE5850">
            <w:pPr>
              <w:rPr>
                <w:rFonts w:eastAsia="Times New Roman"/>
                <w:b/>
                <w:bCs/>
                <w:kern w:val="0"/>
                <w:szCs w:val="22"/>
                <w:lang w:eastAsia="ja-JP"/>
              </w:rPr>
            </w:pPr>
          </w:p>
        </w:tc>
        <w:tc>
          <w:tcPr>
            <w:tcW w:w="4788" w:type="dxa"/>
          </w:tcPr>
          <w:p w:rsidR="00A834AE" w:rsidRDefault="00A834AE" w:rsidP="00CE5850">
            <w:pPr>
              <w:jc w:val="center"/>
              <w:rPr>
                <w:rFonts w:eastAsia="Times New Roman"/>
                <w:b/>
                <w:bCs/>
                <w:kern w:val="0"/>
                <w:szCs w:val="22"/>
                <w:lang w:eastAsia="ja-JP"/>
              </w:rPr>
            </w:pPr>
          </w:p>
        </w:tc>
      </w:tr>
    </w:tbl>
    <w:p w:rsidR="004A147C" w:rsidRPr="00B53FFB" w:rsidRDefault="004A147C" w:rsidP="00CE5850">
      <w:pPr>
        <w:rPr>
          <w:rFonts w:eastAsia="Times New Roman"/>
          <w:kern w:val="0"/>
          <w:szCs w:val="22"/>
          <w:lang w:eastAsia="ja-JP"/>
        </w:rPr>
      </w:pPr>
    </w:p>
    <w:p w:rsidR="004A147C" w:rsidRPr="00B53FFB" w:rsidRDefault="004A147C" w:rsidP="00CE5850">
      <w:pPr>
        <w:ind w:left="1890" w:hanging="1890"/>
        <w:rPr>
          <w:rFonts w:eastAsia="Times New Roman"/>
          <w:kern w:val="0"/>
          <w:szCs w:val="22"/>
          <w:lang w:eastAsia="ja-JP"/>
        </w:rPr>
      </w:pPr>
      <w:r w:rsidRPr="00B53FFB">
        <w:rPr>
          <w:rFonts w:eastAsia="Times New Roman"/>
          <w:kern w:val="0"/>
          <w:szCs w:val="22"/>
          <w:lang w:eastAsia="ja-JP"/>
        </w:rPr>
        <w:t>By the Commission:</w:t>
      </w:r>
      <w:r w:rsidR="00CE5850">
        <w:rPr>
          <w:rFonts w:eastAsia="Times New Roman"/>
          <w:kern w:val="0"/>
          <w:szCs w:val="22"/>
          <w:lang w:eastAsia="ja-JP"/>
        </w:rPr>
        <w:t xml:space="preserve"> </w:t>
      </w:r>
      <w:r w:rsidR="00A834AE" w:rsidRPr="00A834AE">
        <w:t xml:space="preserve">Chairman Genachowski and Commissioner Clyburn issuing separate </w:t>
      </w:r>
      <w:r w:rsidR="00CE5850">
        <w:t>statements;</w:t>
      </w:r>
      <w:r w:rsidR="00A834AE" w:rsidRPr="00A834AE">
        <w:t xml:space="preserve"> Commissioner McDowell conc</w:t>
      </w:r>
      <w:r w:rsidR="00CE5850">
        <w:t xml:space="preserve">urring and issuing a statement; </w:t>
      </w:r>
      <w:r w:rsidR="00A834AE" w:rsidRPr="00A834AE">
        <w:t>Commissioner Pai concurring in part, and issuing a statement.</w:t>
      </w:r>
    </w:p>
    <w:p w:rsidR="004A147C" w:rsidRDefault="004A147C" w:rsidP="00CE5850">
      <w:pPr>
        <w:rPr>
          <w:rFonts w:eastAsia="Times New Roman"/>
          <w:kern w:val="0"/>
          <w:szCs w:val="22"/>
          <w:lang w:eastAsia="ja-JP"/>
        </w:rPr>
      </w:pPr>
    </w:p>
    <w:p w:rsidR="005B4124" w:rsidRDefault="005B4124" w:rsidP="00CE5850">
      <w:pPr>
        <w:pStyle w:val="TOCTitle"/>
        <w:rPr>
          <w:lang w:eastAsia="ja-JP"/>
        </w:rPr>
      </w:pPr>
      <w:r>
        <w:rPr>
          <w:lang w:eastAsia="ja-JP"/>
        </w:rPr>
        <w:t>Table of Contents</w:t>
      </w:r>
    </w:p>
    <w:p w:rsidR="005B4124" w:rsidRDefault="005B4124" w:rsidP="00CE5850">
      <w:pPr>
        <w:pStyle w:val="Paratitle"/>
        <w:rPr>
          <w:lang w:eastAsia="ja-JP"/>
        </w:rPr>
      </w:pPr>
      <w:r>
        <w:rPr>
          <w:lang w:eastAsia="ja-JP"/>
        </w:rPr>
        <w:t>Heading</w:t>
      </w:r>
      <w:r>
        <w:rPr>
          <w:lang w:eastAsia="ja-JP"/>
        </w:rPr>
        <w:tab/>
        <w:t>Paragraph #</w:t>
      </w:r>
    </w:p>
    <w:p w:rsidR="00243E0C" w:rsidRPr="00243E0C" w:rsidRDefault="00243E0C" w:rsidP="00CE5850">
      <w:pPr>
        <w:pStyle w:val="TOC1"/>
        <w:suppressAutoHyphens w:val="0"/>
        <w:rPr>
          <w:rFonts w:ascii="Calibri" w:hAnsi="Calibri"/>
          <w:caps w:val="0"/>
          <w:snapToGrid/>
          <w:kern w:val="0"/>
          <w:szCs w:val="22"/>
        </w:rPr>
      </w:pPr>
      <w:r>
        <w:t>I.</w:t>
      </w:r>
      <w:r w:rsidRPr="00243E0C">
        <w:rPr>
          <w:rFonts w:ascii="Calibri" w:hAnsi="Calibri"/>
          <w:caps w:val="0"/>
          <w:snapToGrid/>
          <w:kern w:val="0"/>
          <w:szCs w:val="22"/>
        </w:rPr>
        <w:tab/>
      </w:r>
      <w:r>
        <w:t>EXECUTIVE SUMMARY</w:t>
      </w:r>
      <w:r>
        <w:tab/>
        <w:t>1</w:t>
      </w:r>
    </w:p>
    <w:p w:rsidR="00243E0C" w:rsidRPr="00243E0C" w:rsidRDefault="00243E0C" w:rsidP="00CE5850">
      <w:pPr>
        <w:pStyle w:val="TOC1"/>
        <w:suppressAutoHyphens w:val="0"/>
        <w:rPr>
          <w:rFonts w:ascii="Calibri" w:hAnsi="Calibri"/>
          <w:caps w:val="0"/>
          <w:snapToGrid/>
          <w:kern w:val="0"/>
          <w:szCs w:val="22"/>
        </w:rPr>
      </w:pPr>
      <w:r>
        <w:t>II.</w:t>
      </w:r>
      <w:r w:rsidRPr="00243E0C">
        <w:rPr>
          <w:rFonts w:ascii="Calibri" w:hAnsi="Calibri"/>
          <w:caps w:val="0"/>
          <w:snapToGrid/>
          <w:kern w:val="0"/>
          <w:szCs w:val="22"/>
        </w:rPr>
        <w:tab/>
      </w:r>
      <w:r>
        <w:t>Introduction</w:t>
      </w:r>
      <w:r>
        <w:tab/>
        <w:t>3</w:t>
      </w:r>
    </w:p>
    <w:p w:rsidR="00243E0C" w:rsidRPr="00243E0C" w:rsidRDefault="00243E0C" w:rsidP="00CE5850">
      <w:pPr>
        <w:pStyle w:val="TOC1"/>
        <w:suppressAutoHyphens w:val="0"/>
        <w:rPr>
          <w:rFonts w:ascii="Calibri" w:hAnsi="Calibri"/>
          <w:caps w:val="0"/>
          <w:snapToGrid/>
          <w:kern w:val="0"/>
          <w:szCs w:val="22"/>
        </w:rPr>
      </w:pPr>
      <w:r w:rsidRPr="000365F5">
        <w:rPr>
          <w:bCs/>
        </w:rPr>
        <w:t>III.</w:t>
      </w:r>
      <w:r w:rsidRPr="00243E0C">
        <w:rPr>
          <w:rFonts w:ascii="Calibri" w:hAnsi="Calibri"/>
          <w:caps w:val="0"/>
          <w:snapToGrid/>
          <w:kern w:val="0"/>
          <w:szCs w:val="22"/>
        </w:rPr>
        <w:tab/>
      </w:r>
      <w:r w:rsidRPr="000365F5">
        <w:rPr>
          <w:bCs/>
        </w:rPr>
        <w:t>OVERVIEW OF THE mobile wireless services indusTRY</w:t>
      </w:r>
      <w:r>
        <w:tab/>
        <w:t>19</w:t>
      </w:r>
    </w:p>
    <w:p w:rsidR="00243E0C" w:rsidRPr="00243E0C" w:rsidRDefault="00243E0C" w:rsidP="00CE5850">
      <w:pPr>
        <w:pStyle w:val="TOC2"/>
        <w:tabs>
          <w:tab w:val="left" w:pos="360"/>
        </w:tabs>
        <w:suppressAutoHyphens w:val="0"/>
        <w:rPr>
          <w:rFonts w:ascii="Calibri" w:eastAsia="Times New Roman" w:hAnsi="Calibri"/>
          <w:kern w:val="0"/>
          <w:szCs w:val="22"/>
        </w:rPr>
      </w:pPr>
      <w:r>
        <w:t>A.</w:t>
      </w:r>
      <w:r w:rsidRPr="00243E0C">
        <w:rPr>
          <w:rFonts w:ascii="Calibri" w:eastAsia="Times New Roman" w:hAnsi="Calibri"/>
          <w:kern w:val="0"/>
          <w:szCs w:val="22"/>
        </w:rPr>
        <w:tab/>
      </w:r>
      <w:r>
        <w:t>Introduction to Mobile Wireless Services</w:t>
      </w:r>
      <w:r>
        <w:tab/>
        <w:t>19</w:t>
      </w:r>
    </w:p>
    <w:p w:rsidR="00243E0C" w:rsidRPr="00243E0C" w:rsidRDefault="00243E0C" w:rsidP="00CE5850">
      <w:pPr>
        <w:pStyle w:val="TOC2"/>
        <w:tabs>
          <w:tab w:val="left" w:pos="360"/>
        </w:tabs>
        <w:suppressAutoHyphens w:val="0"/>
        <w:rPr>
          <w:rFonts w:ascii="Calibri" w:eastAsia="Times New Roman" w:hAnsi="Calibri"/>
          <w:kern w:val="0"/>
          <w:szCs w:val="22"/>
        </w:rPr>
      </w:pPr>
      <w:r>
        <w:t>B.</w:t>
      </w:r>
      <w:r w:rsidRPr="00243E0C">
        <w:rPr>
          <w:rFonts w:ascii="Calibri" w:eastAsia="Times New Roman" w:hAnsi="Calibri"/>
          <w:kern w:val="0"/>
          <w:szCs w:val="22"/>
        </w:rPr>
        <w:tab/>
      </w:r>
      <w:r>
        <w:t>Overview of Service Providers</w:t>
      </w:r>
      <w:r>
        <w:tab/>
        <w:t>25</w:t>
      </w:r>
    </w:p>
    <w:p w:rsidR="00243E0C" w:rsidRPr="00243E0C" w:rsidRDefault="00243E0C" w:rsidP="00CE5850">
      <w:pPr>
        <w:pStyle w:val="TOC3"/>
        <w:tabs>
          <w:tab w:val="left" w:pos="360"/>
        </w:tabs>
        <w:suppressAutoHyphens w:val="0"/>
        <w:rPr>
          <w:rFonts w:ascii="Calibri" w:eastAsia="Times New Roman" w:hAnsi="Calibri"/>
          <w:kern w:val="0"/>
          <w:szCs w:val="22"/>
        </w:rPr>
      </w:pPr>
      <w:r>
        <w:t>1.</w:t>
      </w:r>
      <w:r w:rsidRPr="00243E0C">
        <w:rPr>
          <w:rFonts w:ascii="Calibri" w:eastAsia="Times New Roman" w:hAnsi="Calibri"/>
          <w:kern w:val="0"/>
          <w:szCs w:val="22"/>
        </w:rPr>
        <w:tab/>
      </w:r>
      <w:r>
        <w:t>Facilities-Based Providers</w:t>
      </w:r>
      <w:r>
        <w:tab/>
        <w:t>25</w:t>
      </w:r>
    </w:p>
    <w:p w:rsidR="00243E0C" w:rsidRPr="00243E0C" w:rsidRDefault="00243E0C" w:rsidP="00CE5850">
      <w:pPr>
        <w:pStyle w:val="TOC3"/>
        <w:tabs>
          <w:tab w:val="left" w:pos="360"/>
        </w:tabs>
        <w:suppressAutoHyphens w:val="0"/>
        <w:rPr>
          <w:rFonts w:ascii="Calibri" w:eastAsia="Times New Roman" w:hAnsi="Calibri"/>
          <w:kern w:val="0"/>
          <w:szCs w:val="22"/>
        </w:rPr>
      </w:pPr>
      <w:r>
        <w:t>2.</w:t>
      </w:r>
      <w:r w:rsidRPr="00243E0C">
        <w:rPr>
          <w:rFonts w:ascii="Calibri" w:eastAsia="Times New Roman" w:hAnsi="Calibri"/>
          <w:kern w:val="0"/>
          <w:szCs w:val="22"/>
        </w:rPr>
        <w:tab/>
      </w:r>
      <w:r>
        <w:t>Resale and MVNO Providers</w:t>
      </w:r>
      <w:r>
        <w:tab/>
        <w:t>29</w:t>
      </w:r>
    </w:p>
    <w:p w:rsidR="00243E0C" w:rsidRPr="00243E0C" w:rsidRDefault="00243E0C" w:rsidP="00CE5850">
      <w:pPr>
        <w:pStyle w:val="TOC3"/>
        <w:tabs>
          <w:tab w:val="left" w:pos="360"/>
        </w:tabs>
        <w:suppressAutoHyphens w:val="0"/>
        <w:rPr>
          <w:rFonts w:ascii="Calibri" w:eastAsia="Times New Roman" w:hAnsi="Calibri"/>
          <w:kern w:val="0"/>
          <w:szCs w:val="22"/>
        </w:rPr>
      </w:pPr>
      <w:r>
        <w:t>3.</w:t>
      </w:r>
      <w:r w:rsidRPr="00243E0C">
        <w:rPr>
          <w:rFonts w:ascii="Calibri" w:eastAsia="Times New Roman" w:hAnsi="Calibri"/>
          <w:kern w:val="0"/>
          <w:szCs w:val="22"/>
        </w:rPr>
        <w:tab/>
      </w:r>
      <w:r>
        <w:t>Narrowband Data Providers</w:t>
      </w:r>
      <w:r>
        <w:tab/>
        <w:t>37</w:t>
      </w:r>
    </w:p>
    <w:p w:rsidR="00243E0C" w:rsidRPr="00243E0C" w:rsidRDefault="00243E0C" w:rsidP="00CE5850">
      <w:pPr>
        <w:pStyle w:val="TOC3"/>
        <w:tabs>
          <w:tab w:val="left" w:pos="360"/>
        </w:tabs>
        <w:suppressAutoHyphens w:val="0"/>
        <w:rPr>
          <w:rFonts w:ascii="Calibri" w:eastAsia="Times New Roman" w:hAnsi="Calibri"/>
          <w:kern w:val="0"/>
          <w:szCs w:val="22"/>
        </w:rPr>
      </w:pPr>
      <w:r>
        <w:t>4.</w:t>
      </w:r>
      <w:r w:rsidRPr="00243E0C">
        <w:rPr>
          <w:rFonts w:ascii="Calibri" w:eastAsia="Times New Roman" w:hAnsi="Calibri"/>
          <w:kern w:val="0"/>
          <w:szCs w:val="22"/>
        </w:rPr>
        <w:tab/>
      </w:r>
      <w:r>
        <w:t>Mobile Satellite Service Providers</w:t>
      </w:r>
      <w:r>
        <w:tab/>
        <w:t>38</w:t>
      </w:r>
    </w:p>
    <w:p w:rsidR="00243E0C" w:rsidRPr="00243E0C" w:rsidRDefault="00243E0C" w:rsidP="00CE5850">
      <w:pPr>
        <w:pStyle w:val="TOC2"/>
        <w:tabs>
          <w:tab w:val="left" w:pos="360"/>
        </w:tabs>
        <w:suppressAutoHyphens w:val="0"/>
        <w:rPr>
          <w:rFonts w:ascii="Calibri" w:eastAsia="Times New Roman" w:hAnsi="Calibri"/>
          <w:kern w:val="0"/>
          <w:szCs w:val="22"/>
        </w:rPr>
      </w:pPr>
      <w:r>
        <w:t>C.</w:t>
      </w:r>
      <w:r w:rsidRPr="00243E0C">
        <w:rPr>
          <w:rFonts w:ascii="Calibri" w:eastAsia="Times New Roman" w:hAnsi="Calibri"/>
          <w:kern w:val="0"/>
          <w:szCs w:val="22"/>
        </w:rPr>
        <w:tab/>
      </w:r>
      <w:r>
        <w:t>Mobile Wireless Network Coverage</w:t>
      </w:r>
      <w:r>
        <w:tab/>
        <w:t>42</w:t>
      </w:r>
    </w:p>
    <w:p w:rsidR="00243E0C" w:rsidRPr="00243E0C" w:rsidRDefault="00243E0C" w:rsidP="00CE5850">
      <w:pPr>
        <w:pStyle w:val="TOC2"/>
        <w:tabs>
          <w:tab w:val="left" w:pos="360"/>
        </w:tabs>
        <w:suppressAutoHyphens w:val="0"/>
        <w:rPr>
          <w:rFonts w:ascii="Calibri" w:eastAsia="Times New Roman" w:hAnsi="Calibri"/>
          <w:kern w:val="0"/>
          <w:szCs w:val="22"/>
        </w:rPr>
      </w:pPr>
      <w:r>
        <w:t>D.</w:t>
      </w:r>
      <w:r w:rsidRPr="00243E0C">
        <w:rPr>
          <w:rFonts w:ascii="Calibri" w:eastAsia="Times New Roman" w:hAnsi="Calibri"/>
          <w:kern w:val="0"/>
          <w:szCs w:val="22"/>
        </w:rPr>
        <w:tab/>
      </w:r>
      <w:r>
        <w:t>Horizontal Concentration</w:t>
      </w:r>
      <w:r>
        <w:tab/>
        <w:t>51</w:t>
      </w:r>
    </w:p>
    <w:p w:rsidR="00243E0C" w:rsidRPr="00243E0C" w:rsidRDefault="00243E0C" w:rsidP="00CE5850">
      <w:pPr>
        <w:pStyle w:val="TOC3"/>
        <w:tabs>
          <w:tab w:val="left" w:pos="360"/>
        </w:tabs>
        <w:suppressAutoHyphens w:val="0"/>
        <w:rPr>
          <w:rFonts w:ascii="Calibri" w:eastAsia="Times New Roman" w:hAnsi="Calibri"/>
          <w:kern w:val="0"/>
          <w:szCs w:val="22"/>
        </w:rPr>
      </w:pPr>
      <w:r>
        <w:t>1.</w:t>
      </w:r>
      <w:r w:rsidRPr="00243E0C">
        <w:rPr>
          <w:rFonts w:ascii="Calibri" w:eastAsia="Times New Roman" w:hAnsi="Calibri"/>
          <w:kern w:val="0"/>
          <w:szCs w:val="22"/>
        </w:rPr>
        <w:tab/>
      </w:r>
      <w:r>
        <w:t>Market Shares</w:t>
      </w:r>
      <w:r>
        <w:tab/>
        <w:t>52</w:t>
      </w:r>
    </w:p>
    <w:p w:rsidR="00243E0C" w:rsidRPr="00243E0C" w:rsidRDefault="00243E0C" w:rsidP="00CE5850">
      <w:pPr>
        <w:pStyle w:val="TOC3"/>
        <w:tabs>
          <w:tab w:val="left" w:pos="360"/>
        </w:tabs>
        <w:suppressAutoHyphens w:val="0"/>
        <w:rPr>
          <w:rFonts w:ascii="Calibri" w:eastAsia="Times New Roman" w:hAnsi="Calibri"/>
          <w:kern w:val="0"/>
          <w:szCs w:val="22"/>
        </w:rPr>
      </w:pPr>
      <w:r>
        <w:t>2.</w:t>
      </w:r>
      <w:r w:rsidRPr="00243E0C">
        <w:rPr>
          <w:rFonts w:ascii="Calibri" w:eastAsia="Times New Roman" w:hAnsi="Calibri"/>
          <w:kern w:val="0"/>
          <w:szCs w:val="22"/>
        </w:rPr>
        <w:tab/>
      </w:r>
      <w:r>
        <w:t>Herfindahl-Hirschman Index</w:t>
      </w:r>
      <w:r>
        <w:tab/>
        <w:t>54</w:t>
      </w:r>
    </w:p>
    <w:p w:rsidR="00243E0C" w:rsidRPr="00243E0C" w:rsidRDefault="00243E0C" w:rsidP="00CE5850">
      <w:pPr>
        <w:pStyle w:val="TOC3"/>
        <w:tabs>
          <w:tab w:val="left" w:pos="360"/>
        </w:tabs>
        <w:suppressAutoHyphens w:val="0"/>
        <w:rPr>
          <w:rFonts w:ascii="Calibri" w:eastAsia="Times New Roman" w:hAnsi="Calibri"/>
          <w:kern w:val="0"/>
          <w:szCs w:val="22"/>
        </w:rPr>
      </w:pPr>
      <w:r>
        <w:t>3.</w:t>
      </w:r>
      <w:r w:rsidRPr="00243E0C">
        <w:rPr>
          <w:rFonts w:ascii="Calibri" w:eastAsia="Times New Roman" w:hAnsi="Calibri"/>
          <w:kern w:val="0"/>
          <w:szCs w:val="22"/>
        </w:rPr>
        <w:tab/>
      </w:r>
      <w:r>
        <w:t>Recent Entry and Exit</w:t>
      </w:r>
      <w:r>
        <w:tab/>
        <w:t>62</w:t>
      </w:r>
    </w:p>
    <w:p w:rsidR="00243E0C" w:rsidRPr="00243E0C" w:rsidRDefault="00243E0C" w:rsidP="00CE5850">
      <w:pPr>
        <w:pStyle w:val="TOC4"/>
        <w:tabs>
          <w:tab w:val="left" w:pos="360"/>
        </w:tabs>
        <w:suppressAutoHyphens w:val="0"/>
        <w:rPr>
          <w:rFonts w:ascii="Calibri" w:eastAsia="Times New Roman" w:hAnsi="Calibri"/>
          <w:kern w:val="0"/>
          <w:szCs w:val="22"/>
        </w:rPr>
      </w:pPr>
      <w:r>
        <w:t>a.</w:t>
      </w:r>
      <w:r w:rsidRPr="00243E0C">
        <w:rPr>
          <w:rFonts w:ascii="Calibri" w:eastAsia="Times New Roman" w:hAnsi="Calibri"/>
          <w:kern w:val="0"/>
          <w:szCs w:val="22"/>
        </w:rPr>
        <w:tab/>
      </w:r>
      <w:r>
        <w:t>Entry</w:t>
      </w:r>
      <w:r>
        <w:tab/>
        <w:t>63</w:t>
      </w:r>
    </w:p>
    <w:p w:rsidR="00243E0C" w:rsidRPr="00243E0C" w:rsidRDefault="00243E0C" w:rsidP="00CE5850">
      <w:pPr>
        <w:pStyle w:val="TOC4"/>
        <w:tabs>
          <w:tab w:val="left" w:pos="360"/>
        </w:tabs>
        <w:suppressAutoHyphens w:val="0"/>
        <w:rPr>
          <w:rFonts w:ascii="Calibri" w:eastAsia="Times New Roman" w:hAnsi="Calibri"/>
          <w:kern w:val="0"/>
          <w:szCs w:val="22"/>
        </w:rPr>
      </w:pPr>
      <w:r>
        <w:t>b.</w:t>
      </w:r>
      <w:r w:rsidRPr="00243E0C">
        <w:rPr>
          <w:rFonts w:ascii="Calibri" w:eastAsia="Times New Roman" w:hAnsi="Calibri"/>
          <w:kern w:val="0"/>
          <w:szCs w:val="22"/>
        </w:rPr>
        <w:tab/>
      </w:r>
      <w:r>
        <w:t>Exit</w:t>
      </w:r>
      <w:r>
        <w:tab/>
      </w:r>
      <w:r w:rsidR="00754239">
        <w:t>67</w:t>
      </w:r>
    </w:p>
    <w:p w:rsidR="00243E0C" w:rsidRPr="00243E0C" w:rsidRDefault="00243E0C" w:rsidP="00CE5850">
      <w:pPr>
        <w:pStyle w:val="TOC2"/>
        <w:tabs>
          <w:tab w:val="left" w:pos="360"/>
        </w:tabs>
        <w:suppressAutoHyphens w:val="0"/>
        <w:rPr>
          <w:rFonts w:ascii="Calibri" w:eastAsia="Times New Roman" w:hAnsi="Calibri"/>
          <w:kern w:val="0"/>
          <w:szCs w:val="22"/>
        </w:rPr>
      </w:pPr>
      <w:r>
        <w:t>E.</w:t>
      </w:r>
      <w:r w:rsidRPr="00243E0C">
        <w:rPr>
          <w:rFonts w:ascii="Calibri" w:eastAsia="Times New Roman" w:hAnsi="Calibri"/>
          <w:kern w:val="0"/>
          <w:szCs w:val="22"/>
        </w:rPr>
        <w:tab/>
      </w:r>
      <w:r>
        <w:t>Entry and Exit Conditions</w:t>
      </w:r>
      <w:r>
        <w:tab/>
        <w:t>73</w:t>
      </w:r>
    </w:p>
    <w:p w:rsidR="00243E0C" w:rsidRPr="00243E0C" w:rsidRDefault="00243E0C" w:rsidP="00CE5850">
      <w:pPr>
        <w:pStyle w:val="TOC3"/>
        <w:tabs>
          <w:tab w:val="left" w:pos="360"/>
        </w:tabs>
        <w:suppressAutoHyphens w:val="0"/>
        <w:rPr>
          <w:rFonts w:ascii="Calibri" w:eastAsia="Times New Roman" w:hAnsi="Calibri"/>
          <w:kern w:val="0"/>
          <w:szCs w:val="22"/>
        </w:rPr>
      </w:pPr>
      <w:r>
        <w:t>1.</w:t>
      </w:r>
      <w:r w:rsidRPr="00243E0C">
        <w:rPr>
          <w:rFonts w:ascii="Calibri" w:eastAsia="Times New Roman" w:hAnsi="Calibri"/>
          <w:kern w:val="0"/>
          <w:szCs w:val="22"/>
        </w:rPr>
        <w:tab/>
      </w:r>
      <w:r>
        <w:t>Regulatory Entry and Exit Conditions</w:t>
      </w:r>
      <w:r>
        <w:tab/>
        <w:t>75</w:t>
      </w:r>
    </w:p>
    <w:p w:rsidR="00243E0C" w:rsidRPr="00243E0C" w:rsidRDefault="00243E0C" w:rsidP="00CE5850">
      <w:pPr>
        <w:pStyle w:val="TOC3"/>
        <w:tabs>
          <w:tab w:val="left" w:pos="360"/>
        </w:tabs>
        <w:suppressAutoHyphens w:val="0"/>
        <w:rPr>
          <w:rFonts w:ascii="Calibri" w:eastAsia="Times New Roman" w:hAnsi="Calibri"/>
          <w:kern w:val="0"/>
          <w:szCs w:val="22"/>
        </w:rPr>
      </w:pPr>
      <w:r>
        <w:t>2.</w:t>
      </w:r>
      <w:r w:rsidRPr="00243E0C">
        <w:rPr>
          <w:rFonts w:ascii="Calibri" w:eastAsia="Times New Roman" w:hAnsi="Calibri"/>
          <w:kern w:val="0"/>
          <w:szCs w:val="22"/>
        </w:rPr>
        <w:tab/>
      </w:r>
      <w:r>
        <w:t>Non-Regulatory Entry and Exit Conditions</w:t>
      </w:r>
      <w:r>
        <w:tab/>
        <w:t>78</w:t>
      </w:r>
    </w:p>
    <w:p w:rsidR="00243E0C" w:rsidRPr="00243E0C" w:rsidRDefault="00243E0C" w:rsidP="00CE5850">
      <w:pPr>
        <w:pStyle w:val="TOC2"/>
        <w:tabs>
          <w:tab w:val="left" w:pos="360"/>
        </w:tabs>
        <w:suppressAutoHyphens w:val="0"/>
        <w:rPr>
          <w:rFonts w:ascii="Calibri" w:eastAsia="Times New Roman" w:hAnsi="Calibri"/>
          <w:kern w:val="0"/>
          <w:szCs w:val="22"/>
        </w:rPr>
      </w:pPr>
      <w:r>
        <w:t>F.</w:t>
      </w:r>
      <w:r w:rsidRPr="00243E0C">
        <w:rPr>
          <w:rFonts w:ascii="Calibri" w:eastAsia="Times New Roman" w:hAnsi="Calibri"/>
          <w:kern w:val="0"/>
          <w:szCs w:val="22"/>
        </w:rPr>
        <w:tab/>
      </w:r>
      <w:r>
        <w:t>Spectrum for Mobile Wireless Services</w:t>
      </w:r>
      <w:r>
        <w:tab/>
        <w:t>85</w:t>
      </w:r>
    </w:p>
    <w:p w:rsidR="00243E0C" w:rsidRPr="00243E0C" w:rsidRDefault="00243E0C" w:rsidP="00CE5850">
      <w:pPr>
        <w:pStyle w:val="TOC3"/>
        <w:tabs>
          <w:tab w:val="left" w:pos="360"/>
        </w:tabs>
        <w:suppressAutoHyphens w:val="0"/>
        <w:rPr>
          <w:rFonts w:ascii="Calibri" w:eastAsia="Times New Roman" w:hAnsi="Calibri"/>
          <w:kern w:val="0"/>
          <w:szCs w:val="22"/>
        </w:rPr>
      </w:pPr>
      <w:r>
        <w:t>1.</w:t>
      </w:r>
      <w:r w:rsidRPr="00243E0C">
        <w:rPr>
          <w:rFonts w:ascii="Calibri" w:eastAsia="Times New Roman" w:hAnsi="Calibri"/>
          <w:kern w:val="0"/>
          <w:szCs w:val="22"/>
        </w:rPr>
        <w:tab/>
      </w:r>
      <w:r>
        <w:t>Availability of Mobile Wireless Services Spectrum</w:t>
      </w:r>
      <w:r>
        <w:tab/>
        <w:t>86</w:t>
      </w:r>
    </w:p>
    <w:p w:rsidR="00243E0C" w:rsidRPr="00243E0C" w:rsidRDefault="00243E0C" w:rsidP="00CE5850">
      <w:pPr>
        <w:pStyle w:val="TOC3"/>
        <w:tabs>
          <w:tab w:val="left" w:pos="360"/>
        </w:tabs>
        <w:suppressAutoHyphens w:val="0"/>
        <w:rPr>
          <w:rFonts w:ascii="Calibri" w:eastAsia="Times New Roman" w:hAnsi="Calibri"/>
          <w:kern w:val="0"/>
          <w:szCs w:val="22"/>
        </w:rPr>
      </w:pPr>
      <w:r>
        <w:t>2.</w:t>
      </w:r>
      <w:r w:rsidRPr="00243E0C">
        <w:rPr>
          <w:rFonts w:ascii="Calibri" w:eastAsia="Times New Roman" w:hAnsi="Calibri"/>
          <w:kern w:val="0"/>
          <w:szCs w:val="22"/>
        </w:rPr>
        <w:tab/>
      </w:r>
      <w:r>
        <w:t>Current Spectrum Transactions</w:t>
      </w:r>
      <w:r>
        <w:tab/>
        <w:t>111</w:t>
      </w:r>
    </w:p>
    <w:p w:rsidR="00243E0C" w:rsidRPr="00243E0C" w:rsidRDefault="00243E0C" w:rsidP="00CE5850">
      <w:pPr>
        <w:pStyle w:val="TOC3"/>
        <w:tabs>
          <w:tab w:val="left" w:pos="360"/>
        </w:tabs>
        <w:suppressAutoHyphens w:val="0"/>
        <w:rPr>
          <w:rFonts w:ascii="Calibri" w:eastAsia="Times New Roman" w:hAnsi="Calibri"/>
          <w:kern w:val="0"/>
          <w:szCs w:val="22"/>
        </w:rPr>
      </w:pPr>
      <w:r>
        <w:lastRenderedPageBreak/>
        <w:t>3.</w:t>
      </w:r>
      <w:r w:rsidRPr="00243E0C">
        <w:rPr>
          <w:rFonts w:ascii="Calibri" w:eastAsia="Times New Roman" w:hAnsi="Calibri"/>
          <w:kern w:val="0"/>
          <w:szCs w:val="22"/>
        </w:rPr>
        <w:tab/>
      </w:r>
      <w:r>
        <w:t>Analysis of Spectrum Holdings Overall</w:t>
      </w:r>
      <w:r>
        <w:tab/>
        <w:t>116</w:t>
      </w:r>
    </w:p>
    <w:p w:rsidR="00243E0C" w:rsidRPr="00243E0C" w:rsidRDefault="00243E0C" w:rsidP="00CE5850">
      <w:pPr>
        <w:pStyle w:val="TOC3"/>
        <w:tabs>
          <w:tab w:val="left" w:pos="360"/>
        </w:tabs>
        <w:suppressAutoHyphens w:val="0"/>
        <w:rPr>
          <w:rFonts w:ascii="Calibri" w:eastAsia="Times New Roman" w:hAnsi="Calibri"/>
          <w:kern w:val="0"/>
          <w:szCs w:val="22"/>
        </w:rPr>
      </w:pPr>
      <w:r>
        <w:t>4.</w:t>
      </w:r>
      <w:r w:rsidRPr="00243E0C">
        <w:rPr>
          <w:rFonts w:ascii="Calibri" w:eastAsia="Times New Roman" w:hAnsi="Calibri"/>
          <w:kern w:val="0"/>
          <w:szCs w:val="22"/>
        </w:rPr>
        <w:tab/>
      </w:r>
      <w:r>
        <w:t>Analysis of Spectrum Characteristics</w:t>
      </w:r>
      <w:r>
        <w:tab/>
        <w:t>119</w:t>
      </w:r>
    </w:p>
    <w:p w:rsidR="00243E0C" w:rsidRPr="00243E0C" w:rsidRDefault="00243E0C" w:rsidP="00CE5850">
      <w:pPr>
        <w:pStyle w:val="TOC3"/>
        <w:tabs>
          <w:tab w:val="left" w:pos="360"/>
        </w:tabs>
        <w:suppressAutoHyphens w:val="0"/>
        <w:rPr>
          <w:rFonts w:ascii="Calibri" w:eastAsia="Times New Roman" w:hAnsi="Calibri"/>
          <w:kern w:val="0"/>
          <w:szCs w:val="22"/>
        </w:rPr>
      </w:pPr>
      <w:r>
        <w:t>5.</w:t>
      </w:r>
      <w:r w:rsidRPr="00243E0C">
        <w:rPr>
          <w:rFonts w:ascii="Calibri" w:eastAsia="Times New Roman" w:hAnsi="Calibri"/>
          <w:kern w:val="0"/>
          <w:szCs w:val="22"/>
        </w:rPr>
        <w:tab/>
      </w:r>
      <w:r>
        <w:t>Competitive Effects of Spectrum Holdings</w:t>
      </w:r>
      <w:r>
        <w:tab/>
        <w:t>133</w:t>
      </w:r>
    </w:p>
    <w:p w:rsidR="00243E0C" w:rsidRPr="00243E0C" w:rsidRDefault="00243E0C" w:rsidP="00CE5850">
      <w:pPr>
        <w:pStyle w:val="TOC1"/>
        <w:suppressAutoHyphens w:val="0"/>
        <w:rPr>
          <w:rFonts w:ascii="Calibri" w:hAnsi="Calibri"/>
          <w:caps w:val="0"/>
          <w:snapToGrid/>
          <w:kern w:val="0"/>
          <w:szCs w:val="22"/>
        </w:rPr>
      </w:pPr>
      <w:r>
        <w:t>IV.</w:t>
      </w:r>
      <w:r w:rsidRPr="00243E0C">
        <w:rPr>
          <w:rFonts w:ascii="Calibri" w:hAnsi="Calibri"/>
          <w:caps w:val="0"/>
          <w:snapToGrid/>
          <w:kern w:val="0"/>
          <w:szCs w:val="22"/>
        </w:rPr>
        <w:tab/>
      </w:r>
      <w:r>
        <w:t>mobile wireless services: PROVIDER CONDUCT</w:t>
      </w:r>
      <w:r>
        <w:tab/>
        <w:t>136</w:t>
      </w:r>
    </w:p>
    <w:p w:rsidR="00243E0C" w:rsidRPr="00243E0C" w:rsidRDefault="00243E0C" w:rsidP="00CE5850">
      <w:pPr>
        <w:pStyle w:val="TOC2"/>
        <w:tabs>
          <w:tab w:val="left" w:pos="360"/>
        </w:tabs>
        <w:suppressAutoHyphens w:val="0"/>
        <w:rPr>
          <w:rFonts w:ascii="Calibri" w:eastAsia="Times New Roman" w:hAnsi="Calibri"/>
          <w:kern w:val="0"/>
          <w:szCs w:val="22"/>
        </w:rPr>
      </w:pPr>
      <w:r>
        <w:t>A.</w:t>
      </w:r>
      <w:r w:rsidRPr="00243E0C">
        <w:rPr>
          <w:rFonts w:ascii="Calibri" w:eastAsia="Times New Roman" w:hAnsi="Calibri"/>
          <w:kern w:val="0"/>
          <w:szCs w:val="22"/>
        </w:rPr>
        <w:tab/>
      </w:r>
      <w:r>
        <w:t>Price Rivalry: Developments in Mobile Service Pricing Plans</w:t>
      </w:r>
      <w:r>
        <w:tab/>
        <w:t>137</w:t>
      </w:r>
    </w:p>
    <w:p w:rsidR="00243E0C" w:rsidRPr="00243E0C" w:rsidRDefault="00243E0C" w:rsidP="00CE5850">
      <w:pPr>
        <w:pStyle w:val="TOC3"/>
        <w:tabs>
          <w:tab w:val="left" w:pos="360"/>
        </w:tabs>
        <w:suppressAutoHyphens w:val="0"/>
        <w:rPr>
          <w:rFonts w:ascii="Calibri" w:eastAsia="Times New Roman" w:hAnsi="Calibri"/>
          <w:kern w:val="0"/>
          <w:szCs w:val="22"/>
        </w:rPr>
      </w:pPr>
      <w:r>
        <w:t>1.</w:t>
      </w:r>
      <w:r w:rsidRPr="00243E0C">
        <w:rPr>
          <w:rFonts w:ascii="Calibri" w:eastAsia="Times New Roman" w:hAnsi="Calibri"/>
          <w:kern w:val="0"/>
          <w:szCs w:val="22"/>
        </w:rPr>
        <w:tab/>
      </w:r>
      <w:r>
        <w:t>Postpaid Service</w:t>
      </w:r>
      <w:r>
        <w:tab/>
        <w:t>138</w:t>
      </w:r>
    </w:p>
    <w:p w:rsidR="00243E0C" w:rsidRPr="00243E0C" w:rsidRDefault="00243E0C" w:rsidP="00CE5850">
      <w:pPr>
        <w:pStyle w:val="TOC3"/>
        <w:tabs>
          <w:tab w:val="left" w:pos="360"/>
        </w:tabs>
        <w:suppressAutoHyphens w:val="0"/>
        <w:rPr>
          <w:rFonts w:ascii="Calibri" w:eastAsia="Times New Roman" w:hAnsi="Calibri"/>
          <w:kern w:val="0"/>
          <w:szCs w:val="22"/>
        </w:rPr>
      </w:pPr>
      <w:r>
        <w:t>2.</w:t>
      </w:r>
      <w:r w:rsidRPr="00243E0C">
        <w:rPr>
          <w:rFonts w:ascii="Calibri" w:eastAsia="Times New Roman" w:hAnsi="Calibri"/>
          <w:kern w:val="0"/>
          <w:szCs w:val="22"/>
        </w:rPr>
        <w:tab/>
      </w:r>
      <w:r>
        <w:t>Prepaid Service</w:t>
      </w:r>
      <w:r>
        <w:tab/>
        <w:t>159</w:t>
      </w:r>
    </w:p>
    <w:p w:rsidR="00243E0C" w:rsidRPr="00243E0C" w:rsidRDefault="00243E0C" w:rsidP="00CE5850">
      <w:pPr>
        <w:pStyle w:val="TOC3"/>
        <w:tabs>
          <w:tab w:val="left" w:pos="360"/>
        </w:tabs>
        <w:suppressAutoHyphens w:val="0"/>
        <w:rPr>
          <w:rFonts w:ascii="Calibri" w:eastAsia="Times New Roman" w:hAnsi="Calibri"/>
          <w:kern w:val="0"/>
          <w:szCs w:val="22"/>
        </w:rPr>
      </w:pPr>
      <w:r>
        <w:t>3.</w:t>
      </w:r>
      <w:r w:rsidRPr="00243E0C">
        <w:rPr>
          <w:rFonts w:ascii="Calibri" w:eastAsia="Times New Roman" w:hAnsi="Calibri"/>
          <w:kern w:val="0"/>
          <w:szCs w:val="22"/>
        </w:rPr>
        <w:tab/>
      </w:r>
      <w:r>
        <w:t>Early Termination Fees (ETFs) for Postpaid Service</w:t>
      </w:r>
      <w:r>
        <w:tab/>
        <w:t>175</w:t>
      </w:r>
    </w:p>
    <w:p w:rsidR="00243E0C" w:rsidRPr="00243E0C" w:rsidRDefault="00243E0C" w:rsidP="00CE5850">
      <w:pPr>
        <w:pStyle w:val="TOC2"/>
        <w:tabs>
          <w:tab w:val="left" w:pos="360"/>
        </w:tabs>
        <w:suppressAutoHyphens w:val="0"/>
        <w:rPr>
          <w:rFonts w:ascii="Calibri" w:eastAsia="Times New Roman" w:hAnsi="Calibri"/>
          <w:kern w:val="0"/>
          <w:szCs w:val="22"/>
        </w:rPr>
      </w:pPr>
      <w:r>
        <w:t>B.</w:t>
      </w:r>
      <w:r w:rsidRPr="00243E0C">
        <w:rPr>
          <w:rFonts w:ascii="Calibri" w:eastAsia="Times New Roman" w:hAnsi="Calibri"/>
          <w:kern w:val="0"/>
          <w:szCs w:val="22"/>
        </w:rPr>
        <w:tab/>
      </w:r>
      <w:r>
        <w:t>Non-Price Rivalry</w:t>
      </w:r>
      <w:r>
        <w:tab/>
        <w:t>180</w:t>
      </w:r>
    </w:p>
    <w:p w:rsidR="00243E0C" w:rsidRPr="00243E0C" w:rsidRDefault="00243E0C" w:rsidP="00CE5850">
      <w:pPr>
        <w:pStyle w:val="TOC3"/>
        <w:tabs>
          <w:tab w:val="left" w:pos="360"/>
        </w:tabs>
        <w:suppressAutoHyphens w:val="0"/>
        <w:rPr>
          <w:rFonts w:ascii="Calibri" w:eastAsia="Times New Roman" w:hAnsi="Calibri"/>
          <w:kern w:val="0"/>
          <w:szCs w:val="22"/>
        </w:rPr>
      </w:pPr>
      <w:r>
        <w:t>1.</w:t>
      </w:r>
      <w:r w:rsidRPr="00243E0C">
        <w:rPr>
          <w:rFonts w:ascii="Calibri" w:eastAsia="Times New Roman" w:hAnsi="Calibri"/>
          <w:kern w:val="0"/>
          <w:szCs w:val="22"/>
        </w:rPr>
        <w:tab/>
      </w:r>
      <w:r>
        <w:t>Network Coverage and Technology Upgrades</w:t>
      </w:r>
      <w:r>
        <w:tab/>
        <w:t>181</w:t>
      </w:r>
    </w:p>
    <w:p w:rsidR="00243E0C" w:rsidRPr="00243E0C" w:rsidRDefault="00243E0C" w:rsidP="00CE5850">
      <w:pPr>
        <w:pStyle w:val="TOC4"/>
        <w:tabs>
          <w:tab w:val="left" w:pos="360"/>
        </w:tabs>
        <w:suppressAutoHyphens w:val="0"/>
        <w:rPr>
          <w:rFonts w:ascii="Calibri" w:eastAsia="Times New Roman" w:hAnsi="Calibri"/>
          <w:kern w:val="0"/>
          <w:szCs w:val="22"/>
        </w:rPr>
      </w:pPr>
      <w:r>
        <w:t>a.</w:t>
      </w:r>
      <w:r w:rsidRPr="00243E0C">
        <w:rPr>
          <w:rFonts w:ascii="Calibri" w:eastAsia="Times New Roman" w:hAnsi="Calibri"/>
          <w:kern w:val="0"/>
          <w:szCs w:val="22"/>
        </w:rPr>
        <w:tab/>
      </w:r>
      <w:r>
        <w:t>Service Provider Technology Deployments</w:t>
      </w:r>
      <w:r>
        <w:tab/>
        <w:t>185</w:t>
      </w:r>
    </w:p>
    <w:p w:rsidR="00243E0C" w:rsidRPr="00243E0C" w:rsidRDefault="00243E0C" w:rsidP="00CE5850">
      <w:pPr>
        <w:pStyle w:val="TOC4"/>
        <w:tabs>
          <w:tab w:val="left" w:pos="360"/>
        </w:tabs>
        <w:suppressAutoHyphens w:val="0"/>
        <w:rPr>
          <w:rFonts w:ascii="Calibri" w:eastAsia="Times New Roman" w:hAnsi="Calibri"/>
          <w:kern w:val="0"/>
          <w:szCs w:val="22"/>
        </w:rPr>
      </w:pPr>
      <w:r>
        <w:t>b.</w:t>
      </w:r>
      <w:r w:rsidRPr="00243E0C">
        <w:rPr>
          <w:rFonts w:ascii="Calibri" w:eastAsia="Times New Roman" w:hAnsi="Calibri"/>
          <w:kern w:val="0"/>
          <w:szCs w:val="22"/>
        </w:rPr>
        <w:tab/>
      </w:r>
      <w:r>
        <w:t>Coverage by Technology Type</w:t>
      </w:r>
      <w:r>
        <w:tab/>
        <w:t>202</w:t>
      </w:r>
    </w:p>
    <w:p w:rsidR="00243E0C" w:rsidRPr="00243E0C" w:rsidRDefault="00243E0C" w:rsidP="00CE5850">
      <w:pPr>
        <w:pStyle w:val="TOC4"/>
        <w:tabs>
          <w:tab w:val="left" w:pos="360"/>
        </w:tabs>
        <w:suppressAutoHyphens w:val="0"/>
        <w:rPr>
          <w:rFonts w:ascii="Calibri" w:eastAsia="Times New Roman" w:hAnsi="Calibri"/>
          <w:kern w:val="0"/>
          <w:szCs w:val="22"/>
        </w:rPr>
      </w:pPr>
      <w:r>
        <w:t>c.</w:t>
      </w:r>
      <w:r w:rsidRPr="00243E0C">
        <w:rPr>
          <w:rFonts w:ascii="Calibri" w:eastAsia="Times New Roman" w:hAnsi="Calibri"/>
          <w:kern w:val="0"/>
          <w:szCs w:val="22"/>
        </w:rPr>
        <w:tab/>
      </w:r>
      <w:r>
        <w:t>Roaming</w:t>
      </w:r>
      <w:r>
        <w:tab/>
        <w:t>207</w:t>
      </w:r>
    </w:p>
    <w:p w:rsidR="00243E0C" w:rsidRPr="00243E0C" w:rsidRDefault="00243E0C" w:rsidP="00CE5850">
      <w:pPr>
        <w:pStyle w:val="TOC3"/>
        <w:tabs>
          <w:tab w:val="left" w:pos="360"/>
        </w:tabs>
        <w:suppressAutoHyphens w:val="0"/>
        <w:rPr>
          <w:rFonts w:ascii="Calibri" w:eastAsia="Times New Roman" w:hAnsi="Calibri"/>
          <w:kern w:val="0"/>
          <w:szCs w:val="22"/>
        </w:rPr>
      </w:pPr>
      <w:r>
        <w:t>2.</w:t>
      </w:r>
      <w:r w:rsidRPr="00243E0C">
        <w:rPr>
          <w:rFonts w:ascii="Calibri" w:eastAsia="Times New Roman" w:hAnsi="Calibri"/>
          <w:kern w:val="0"/>
          <w:szCs w:val="22"/>
        </w:rPr>
        <w:tab/>
      </w:r>
      <w:r>
        <w:t>Investment</w:t>
      </w:r>
      <w:r>
        <w:tab/>
        <w:t>211</w:t>
      </w:r>
    </w:p>
    <w:p w:rsidR="00243E0C" w:rsidRPr="00243E0C" w:rsidRDefault="00243E0C" w:rsidP="00CE5850">
      <w:pPr>
        <w:pStyle w:val="TOC3"/>
        <w:tabs>
          <w:tab w:val="left" w:pos="360"/>
        </w:tabs>
        <w:suppressAutoHyphens w:val="0"/>
        <w:rPr>
          <w:rFonts w:ascii="Calibri" w:eastAsia="Times New Roman" w:hAnsi="Calibri"/>
          <w:kern w:val="0"/>
          <w:szCs w:val="22"/>
        </w:rPr>
      </w:pPr>
      <w:r>
        <w:t>3.</w:t>
      </w:r>
      <w:r w:rsidRPr="00243E0C">
        <w:rPr>
          <w:rFonts w:ascii="Calibri" w:eastAsia="Times New Roman" w:hAnsi="Calibri"/>
          <w:kern w:val="0"/>
          <w:szCs w:val="22"/>
        </w:rPr>
        <w:tab/>
      </w:r>
      <w:r>
        <w:t>Differentiation in Mobile Wireless Handsets/Devices and Applications</w:t>
      </w:r>
      <w:r>
        <w:tab/>
        <w:t>220</w:t>
      </w:r>
    </w:p>
    <w:p w:rsidR="00243E0C" w:rsidRPr="00243E0C" w:rsidRDefault="00243E0C" w:rsidP="00CE5850">
      <w:pPr>
        <w:pStyle w:val="TOC3"/>
        <w:tabs>
          <w:tab w:val="left" w:pos="360"/>
        </w:tabs>
        <w:suppressAutoHyphens w:val="0"/>
        <w:rPr>
          <w:rFonts w:ascii="Calibri" w:eastAsia="Times New Roman" w:hAnsi="Calibri"/>
          <w:kern w:val="0"/>
          <w:szCs w:val="22"/>
        </w:rPr>
      </w:pPr>
      <w:r>
        <w:t>4.</w:t>
      </w:r>
      <w:r w:rsidRPr="00243E0C">
        <w:rPr>
          <w:rFonts w:ascii="Calibri" w:eastAsia="Times New Roman" w:hAnsi="Calibri"/>
          <w:kern w:val="0"/>
          <w:szCs w:val="22"/>
        </w:rPr>
        <w:tab/>
      </w:r>
      <w:r>
        <w:t>Advertising, Marketing, Sales Expenditures, and Retailing</w:t>
      </w:r>
      <w:r>
        <w:tab/>
        <w:t>231</w:t>
      </w:r>
    </w:p>
    <w:p w:rsidR="00243E0C" w:rsidRPr="00243E0C" w:rsidRDefault="00243E0C" w:rsidP="00CE5850">
      <w:pPr>
        <w:pStyle w:val="TOC4"/>
        <w:tabs>
          <w:tab w:val="left" w:pos="360"/>
        </w:tabs>
        <w:suppressAutoHyphens w:val="0"/>
        <w:rPr>
          <w:rFonts w:ascii="Calibri" w:eastAsia="Times New Roman" w:hAnsi="Calibri"/>
          <w:kern w:val="0"/>
          <w:szCs w:val="22"/>
        </w:rPr>
      </w:pPr>
      <w:r>
        <w:t>a.</w:t>
      </w:r>
      <w:r w:rsidRPr="00243E0C">
        <w:rPr>
          <w:rFonts w:ascii="Calibri" w:eastAsia="Times New Roman" w:hAnsi="Calibri"/>
          <w:kern w:val="0"/>
          <w:szCs w:val="22"/>
        </w:rPr>
        <w:tab/>
      </w:r>
      <w:r>
        <w:t>Advertising Expenditures</w:t>
      </w:r>
      <w:r>
        <w:tab/>
        <w:t>232</w:t>
      </w:r>
    </w:p>
    <w:p w:rsidR="00243E0C" w:rsidRPr="00243E0C" w:rsidRDefault="00243E0C" w:rsidP="00CE5850">
      <w:pPr>
        <w:pStyle w:val="TOC4"/>
        <w:tabs>
          <w:tab w:val="left" w:pos="360"/>
        </w:tabs>
        <w:suppressAutoHyphens w:val="0"/>
        <w:rPr>
          <w:rFonts w:ascii="Calibri" w:eastAsia="Times New Roman" w:hAnsi="Calibri"/>
          <w:kern w:val="0"/>
          <w:szCs w:val="22"/>
        </w:rPr>
      </w:pPr>
      <w:r>
        <w:t>b.</w:t>
      </w:r>
      <w:r w:rsidRPr="00243E0C">
        <w:rPr>
          <w:rFonts w:ascii="Calibri" w:eastAsia="Times New Roman" w:hAnsi="Calibri"/>
          <w:kern w:val="0"/>
          <w:szCs w:val="22"/>
        </w:rPr>
        <w:tab/>
      </w:r>
      <w:r>
        <w:t>Marketing Campaigns</w:t>
      </w:r>
      <w:r>
        <w:tab/>
        <w:t>234</w:t>
      </w:r>
    </w:p>
    <w:p w:rsidR="00243E0C" w:rsidRPr="00243E0C" w:rsidRDefault="00243E0C" w:rsidP="00CE5850">
      <w:pPr>
        <w:pStyle w:val="TOC4"/>
        <w:tabs>
          <w:tab w:val="left" w:pos="360"/>
        </w:tabs>
        <w:suppressAutoHyphens w:val="0"/>
        <w:rPr>
          <w:rFonts w:ascii="Calibri" w:eastAsia="Times New Roman" w:hAnsi="Calibri"/>
          <w:kern w:val="0"/>
          <w:szCs w:val="22"/>
        </w:rPr>
      </w:pPr>
      <w:r>
        <w:t>c.</w:t>
      </w:r>
      <w:r w:rsidRPr="00243E0C">
        <w:rPr>
          <w:rFonts w:ascii="Calibri" w:eastAsia="Times New Roman" w:hAnsi="Calibri"/>
          <w:kern w:val="0"/>
          <w:szCs w:val="22"/>
        </w:rPr>
        <w:tab/>
      </w:r>
      <w:r>
        <w:t>Retailing</w:t>
      </w:r>
      <w:r>
        <w:tab/>
        <w:t>240</w:t>
      </w:r>
    </w:p>
    <w:p w:rsidR="00243E0C" w:rsidRPr="00243E0C" w:rsidRDefault="00243E0C" w:rsidP="00CE5850">
      <w:pPr>
        <w:pStyle w:val="TOC1"/>
        <w:suppressAutoHyphens w:val="0"/>
        <w:rPr>
          <w:rFonts w:ascii="Calibri" w:hAnsi="Calibri"/>
          <w:caps w:val="0"/>
          <w:snapToGrid/>
          <w:kern w:val="0"/>
          <w:szCs w:val="22"/>
        </w:rPr>
      </w:pPr>
      <w:r>
        <w:t>V.</w:t>
      </w:r>
      <w:r w:rsidRPr="00243E0C">
        <w:rPr>
          <w:rFonts w:ascii="Calibri" w:hAnsi="Calibri"/>
          <w:caps w:val="0"/>
          <w:snapToGrid/>
          <w:kern w:val="0"/>
          <w:szCs w:val="22"/>
        </w:rPr>
        <w:tab/>
      </w:r>
      <w:r>
        <w:t>MOBILE WIRELESS SERVICES: PERFORMANCE and outcomes</w:t>
      </w:r>
      <w:r>
        <w:tab/>
        <w:t>242</w:t>
      </w:r>
    </w:p>
    <w:p w:rsidR="00243E0C" w:rsidRPr="00243E0C" w:rsidRDefault="00243E0C" w:rsidP="00CE5850">
      <w:pPr>
        <w:pStyle w:val="TOC2"/>
        <w:tabs>
          <w:tab w:val="left" w:pos="360"/>
        </w:tabs>
        <w:suppressAutoHyphens w:val="0"/>
        <w:rPr>
          <w:rFonts w:ascii="Calibri" w:eastAsia="Times New Roman" w:hAnsi="Calibri"/>
          <w:kern w:val="0"/>
          <w:szCs w:val="22"/>
        </w:rPr>
      </w:pPr>
      <w:r>
        <w:t>A.</w:t>
      </w:r>
      <w:r w:rsidRPr="00243E0C">
        <w:rPr>
          <w:rFonts w:ascii="Calibri" w:eastAsia="Times New Roman" w:hAnsi="Calibri"/>
          <w:kern w:val="0"/>
          <w:szCs w:val="22"/>
        </w:rPr>
        <w:tab/>
      </w:r>
      <w:r>
        <w:t>Numbers of Mobile Wireless Connections and Customers</w:t>
      </w:r>
      <w:r>
        <w:tab/>
        <w:t>244</w:t>
      </w:r>
    </w:p>
    <w:p w:rsidR="00243E0C" w:rsidRPr="00243E0C" w:rsidRDefault="00243E0C" w:rsidP="00CE5850">
      <w:pPr>
        <w:pStyle w:val="TOC3"/>
        <w:tabs>
          <w:tab w:val="left" w:pos="360"/>
        </w:tabs>
        <w:suppressAutoHyphens w:val="0"/>
        <w:rPr>
          <w:rFonts w:ascii="Calibri" w:eastAsia="Times New Roman" w:hAnsi="Calibri"/>
          <w:kern w:val="0"/>
          <w:szCs w:val="22"/>
        </w:rPr>
      </w:pPr>
      <w:r>
        <w:t>1.</w:t>
      </w:r>
      <w:r w:rsidRPr="00243E0C">
        <w:rPr>
          <w:rFonts w:ascii="Calibri" w:eastAsia="Times New Roman" w:hAnsi="Calibri"/>
          <w:kern w:val="0"/>
          <w:szCs w:val="22"/>
        </w:rPr>
        <w:tab/>
      </w:r>
      <w:r>
        <w:t>Industry-Wide Connections</w:t>
      </w:r>
      <w:r>
        <w:tab/>
        <w:t>244</w:t>
      </w:r>
    </w:p>
    <w:p w:rsidR="00243E0C" w:rsidRPr="00243E0C" w:rsidRDefault="00243E0C" w:rsidP="00CE5850">
      <w:pPr>
        <w:pStyle w:val="TOC3"/>
        <w:tabs>
          <w:tab w:val="left" w:pos="360"/>
        </w:tabs>
        <w:suppressAutoHyphens w:val="0"/>
        <w:rPr>
          <w:rFonts w:ascii="Calibri" w:eastAsia="Times New Roman" w:hAnsi="Calibri"/>
          <w:kern w:val="0"/>
          <w:szCs w:val="22"/>
        </w:rPr>
      </w:pPr>
      <w:r>
        <w:t>2.</w:t>
      </w:r>
      <w:r w:rsidRPr="00243E0C">
        <w:rPr>
          <w:rFonts w:ascii="Calibri" w:eastAsia="Times New Roman" w:hAnsi="Calibri"/>
          <w:kern w:val="0"/>
          <w:szCs w:val="22"/>
        </w:rPr>
        <w:tab/>
      </w:r>
      <w:r>
        <w:t>Connections by Type of Service and Device</w:t>
      </w:r>
      <w:r>
        <w:tab/>
        <w:t>246</w:t>
      </w:r>
    </w:p>
    <w:p w:rsidR="00243E0C" w:rsidRPr="00243E0C" w:rsidRDefault="00243E0C" w:rsidP="00CE5850">
      <w:pPr>
        <w:pStyle w:val="TOC3"/>
        <w:tabs>
          <w:tab w:val="left" w:pos="360"/>
        </w:tabs>
        <w:suppressAutoHyphens w:val="0"/>
        <w:rPr>
          <w:rFonts w:ascii="Calibri" w:eastAsia="Times New Roman" w:hAnsi="Calibri"/>
          <w:kern w:val="0"/>
          <w:szCs w:val="22"/>
        </w:rPr>
      </w:pPr>
      <w:r>
        <w:t>3.</w:t>
      </w:r>
      <w:r w:rsidRPr="00243E0C">
        <w:rPr>
          <w:rFonts w:ascii="Calibri" w:eastAsia="Times New Roman" w:hAnsi="Calibri"/>
          <w:kern w:val="0"/>
          <w:szCs w:val="22"/>
        </w:rPr>
        <w:tab/>
      </w:r>
      <w:r>
        <w:t>Connections by Service Segment</w:t>
      </w:r>
      <w:r>
        <w:tab/>
        <w:t>250</w:t>
      </w:r>
    </w:p>
    <w:p w:rsidR="00243E0C" w:rsidRPr="00243E0C" w:rsidRDefault="00243E0C" w:rsidP="00CE5850">
      <w:pPr>
        <w:pStyle w:val="TOC3"/>
        <w:tabs>
          <w:tab w:val="left" w:pos="360"/>
        </w:tabs>
        <w:suppressAutoHyphens w:val="0"/>
        <w:rPr>
          <w:rFonts w:ascii="Calibri" w:eastAsia="Times New Roman" w:hAnsi="Calibri"/>
          <w:kern w:val="0"/>
          <w:szCs w:val="22"/>
        </w:rPr>
      </w:pPr>
      <w:r>
        <w:t>4.</w:t>
      </w:r>
      <w:r w:rsidRPr="00243E0C">
        <w:rPr>
          <w:rFonts w:ascii="Calibri" w:eastAsia="Times New Roman" w:hAnsi="Calibri"/>
          <w:kern w:val="0"/>
          <w:szCs w:val="22"/>
        </w:rPr>
        <w:tab/>
      </w:r>
      <w:r>
        <w:t>Connections by Age</w:t>
      </w:r>
      <w:r>
        <w:tab/>
        <w:t>251</w:t>
      </w:r>
    </w:p>
    <w:p w:rsidR="00243E0C" w:rsidRPr="00243E0C" w:rsidRDefault="00243E0C" w:rsidP="00CE5850">
      <w:pPr>
        <w:pStyle w:val="TOC3"/>
        <w:tabs>
          <w:tab w:val="left" w:pos="360"/>
        </w:tabs>
        <w:suppressAutoHyphens w:val="0"/>
        <w:rPr>
          <w:rFonts w:ascii="Calibri" w:eastAsia="Times New Roman" w:hAnsi="Calibri"/>
          <w:kern w:val="0"/>
          <w:szCs w:val="22"/>
        </w:rPr>
      </w:pPr>
      <w:r>
        <w:t>5.</w:t>
      </w:r>
      <w:r w:rsidRPr="00243E0C">
        <w:rPr>
          <w:rFonts w:ascii="Calibri" w:eastAsia="Times New Roman" w:hAnsi="Calibri"/>
          <w:kern w:val="0"/>
          <w:szCs w:val="22"/>
        </w:rPr>
        <w:tab/>
      </w:r>
      <w:r>
        <w:t>Connections by Economic Area (EA)</w:t>
      </w:r>
      <w:r>
        <w:tab/>
        <w:t>252</w:t>
      </w:r>
    </w:p>
    <w:p w:rsidR="00243E0C" w:rsidRPr="00243E0C" w:rsidRDefault="00243E0C" w:rsidP="00CE5850">
      <w:pPr>
        <w:pStyle w:val="TOC2"/>
        <w:tabs>
          <w:tab w:val="left" w:pos="360"/>
        </w:tabs>
        <w:suppressAutoHyphens w:val="0"/>
        <w:rPr>
          <w:rFonts w:ascii="Calibri" w:eastAsia="Times New Roman" w:hAnsi="Calibri"/>
          <w:kern w:val="0"/>
          <w:szCs w:val="22"/>
        </w:rPr>
      </w:pPr>
      <w:r>
        <w:t>B.</w:t>
      </w:r>
      <w:r w:rsidRPr="00243E0C">
        <w:rPr>
          <w:rFonts w:ascii="Calibri" w:eastAsia="Times New Roman" w:hAnsi="Calibri"/>
          <w:kern w:val="0"/>
          <w:szCs w:val="22"/>
        </w:rPr>
        <w:tab/>
      </w:r>
      <w:r>
        <w:t>Mobile Wireless Net Additions of Customers</w:t>
      </w:r>
      <w:r>
        <w:tab/>
        <w:t>253</w:t>
      </w:r>
    </w:p>
    <w:p w:rsidR="00243E0C" w:rsidRPr="00243E0C" w:rsidRDefault="00243E0C" w:rsidP="00CE5850">
      <w:pPr>
        <w:pStyle w:val="TOC3"/>
        <w:tabs>
          <w:tab w:val="left" w:pos="360"/>
        </w:tabs>
        <w:suppressAutoHyphens w:val="0"/>
        <w:rPr>
          <w:rFonts w:ascii="Calibri" w:eastAsia="Times New Roman" w:hAnsi="Calibri"/>
          <w:kern w:val="0"/>
          <w:szCs w:val="22"/>
        </w:rPr>
      </w:pPr>
      <w:r>
        <w:t>1.</w:t>
      </w:r>
      <w:r w:rsidRPr="00243E0C">
        <w:rPr>
          <w:rFonts w:ascii="Calibri" w:eastAsia="Times New Roman" w:hAnsi="Calibri"/>
          <w:kern w:val="0"/>
          <w:szCs w:val="22"/>
        </w:rPr>
        <w:tab/>
      </w:r>
      <w:r>
        <w:t>Industry-Wide Net Additions</w:t>
      </w:r>
      <w:r>
        <w:tab/>
        <w:t>253</w:t>
      </w:r>
    </w:p>
    <w:p w:rsidR="00243E0C" w:rsidRPr="00243E0C" w:rsidRDefault="00243E0C" w:rsidP="00CE5850">
      <w:pPr>
        <w:pStyle w:val="TOC3"/>
        <w:tabs>
          <w:tab w:val="left" w:pos="360"/>
        </w:tabs>
        <w:suppressAutoHyphens w:val="0"/>
        <w:rPr>
          <w:rFonts w:ascii="Calibri" w:eastAsia="Times New Roman" w:hAnsi="Calibri"/>
          <w:kern w:val="0"/>
          <w:szCs w:val="22"/>
        </w:rPr>
      </w:pPr>
      <w:r>
        <w:t>2.</w:t>
      </w:r>
      <w:r w:rsidRPr="00243E0C">
        <w:rPr>
          <w:rFonts w:ascii="Calibri" w:eastAsia="Times New Roman" w:hAnsi="Calibri"/>
          <w:kern w:val="0"/>
          <w:szCs w:val="22"/>
        </w:rPr>
        <w:tab/>
      </w:r>
      <w:r>
        <w:t>Net Additions by Service Segment</w:t>
      </w:r>
      <w:r>
        <w:tab/>
        <w:t>254</w:t>
      </w:r>
    </w:p>
    <w:p w:rsidR="00243E0C" w:rsidRPr="00243E0C" w:rsidRDefault="00243E0C" w:rsidP="00CE5850">
      <w:pPr>
        <w:pStyle w:val="TOC3"/>
        <w:tabs>
          <w:tab w:val="left" w:pos="360"/>
        </w:tabs>
        <w:suppressAutoHyphens w:val="0"/>
        <w:rPr>
          <w:rFonts w:ascii="Calibri" w:eastAsia="Times New Roman" w:hAnsi="Calibri"/>
          <w:kern w:val="0"/>
          <w:szCs w:val="22"/>
        </w:rPr>
      </w:pPr>
      <w:r>
        <w:t>3.</w:t>
      </w:r>
      <w:r w:rsidRPr="00243E0C">
        <w:rPr>
          <w:rFonts w:ascii="Calibri" w:eastAsia="Times New Roman" w:hAnsi="Calibri"/>
          <w:kern w:val="0"/>
          <w:szCs w:val="22"/>
        </w:rPr>
        <w:tab/>
      </w:r>
      <w:r>
        <w:t>Net Adds by Service Provider</w:t>
      </w:r>
      <w:r>
        <w:tab/>
        <w:t>256</w:t>
      </w:r>
    </w:p>
    <w:p w:rsidR="00243E0C" w:rsidRPr="00243E0C" w:rsidRDefault="00243E0C" w:rsidP="00CE5850">
      <w:pPr>
        <w:pStyle w:val="TOC2"/>
        <w:tabs>
          <w:tab w:val="left" w:pos="360"/>
        </w:tabs>
        <w:suppressAutoHyphens w:val="0"/>
        <w:rPr>
          <w:rFonts w:ascii="Calibri" w:eastAsia="Times New Roman" w:hAnsi="Calibri"/>
          <w:kern w:val="0"/>
          <w:szCs w:val="22"/>
        </w:rPr>
      </w:pPr>
      <w:r>
        <w:t>C.</w:t>
      </w:r>
      <w:r w:rsidRPr="00243E0C">
        <w:rPr>
          <w:rFonts w:ascii="Calibri" w:eastAsia="Times New Roman" w:hAnsi="Calibri"/>
          <w:kern w:val="0"/>
          <w:szCs w:val="22"/>
        </w:rPr>
        <w:tab/>
      </w:r>
      <w:r>
        <w:t>Connection Churn</w:t>
      </w:r>
      <w:r>
        <w:tab/>
        <w:t>257</w:t>
      </w:r>
    </w:p>
    <w:p w:rsidR="00243E0C" w:rsidRPr="00243E0C" w:rsidRDefault="00243E0C" w:rsidP="00CE5850">
      <w:pPr>
        <w:pStyle w:val="TOC2"/>
        <w:tabs>
          <w:tab w:val="left" w:pos="360"/>
        </w:tabs>
        <w:suppressAutoHyphens w:val="0"/>
        <w:rPr>
          <w:rFonts w:ascii="Calibri" w:eastAsia="Times New Roman" w:hAnsi="Calibri"/>
          <w:kern w:val="0"/>
          <w:szCs w:val="22"/>
        </w:rPr>
      </w:pPr>
      <w:r>
        <w:t>D.</w:t>
      </w:r>
      <w:r w:rsidRPr="00243E0C">
        <w:rPr>
          <w:rFonts w:ascii="Calibri" w:eastAsia="Times New Roman" w:hAnsi="Calibri"/>
          <w:kern w:val="0"/>
          <w:szCs w:val="22"/>
        </w:rPr>
        <w:tab/>
      </w:r>
      <w:r>
        <w:t>Output and Usage Levels</w:t>
      </w:r>
      <w:r>
        <w:tab/>
        <w:t>258</w:t>
      </w:r>
    </w:p>
    <w:p w:rsidR="00243E0C" w:rsidRPr="00243E0C" w:rsidRDefault="00243E0C" w:rsidP="00CE5850">
      <w:pPr>
        <w:pStyle w:val="TOC3"/>
        <w:tabs>
          <w:tab w:val="left" w:pos="360"/>
        </w:tabs>
        <w:suppressAutoHyphens w:val="0"/>
        <w:rPr>
          <w:rFonts w:ascii="Calibri" w:eastAsia="Times New Roman" w:hAnsi="Calibri"/>
          <w:kern w:val="0"/>
          <w:szCs w:val="22"/>
        </w:rPr>
      </w:pPr>
      <w:r>
        <w:t>1.</w:t>
      </w:r>
      <w:r w:rsidRPr="00243E0C">
        <w:rPr>
          <w:rFonts w:ascii="Calibri" w:eastAsia="Times New Roman" w:hAnsi="Calibri"/>
          <w:kern w:val="0"/>
          <w:szCs w:val="22"/>
        </w:rPr>
        <w:tab/>
      </w:r>
      <w:r>
        <w:t>Mobile Voice</w:t>
      </w:r>
      <w:r>
        <w:tab/>
        <w:t>258</w:t>
      </w:r>
    </w:p>
    <w:p w:rsidR="00243E0C" w:rsidRPr="00243E0C" w:rsidRDefault="00243E0C" w:rsidP="00CE5850">
      <w:pPr>
        <w:pStyle w:val="TOC3"/>
        <w:tabs>
          <w:tab w:val="left" w:pos="360"/>
        </w:tabs>
        <w:suppressAutoHyphens w:val="0"/>
        <w:rPr>
          <w:rFonts w:ascii="Calibri" w:eastAsia="Times New Roman" w:hAnsi="Calibri"/>
          <w:kern w:val="0"/>
          <w:szCs w:val="22"/>
        </w:rPr>
      </w:pPr>
      <w:r>
        <w:t>2.</w:t>
      </w:r>
      <w:r w:rsidRPr="00243E0C">
        <w:rPr>
          <w:rFonts w:ascii="Calibri" w:eastAsia="Times New Roman" w:hAnsi="Calibri"/>
          <w:kern w:val="0"/>
          <w:szCs w:val="22"/>
        </w:rPr>
        <w:tab/>
      </w:r>
      <w:r>
        <w:t>Mobile Messaging</w:t>
      </w:r>
      <w:r>
        <w:tab/>
        <w:t>259</w:t>
      </w:r>
    </w:p>
    <w:p w:rsidR="00243E0C" w:rsidRPr="00243E0C" w:rsidRDefault="00243E0C" w:rsidP="00CE5850">
      <w:pPr>
        <w:pStyle w:val="TOC3"/>
        <w:tabs>
          <w:tab w:val="left" w:pos="360"/>
        </w:tabs>
        <w:suppressAutoHyphens w:val="0"/>
        <w:rPr>
          <w:rFonts w:ascii="Calibri" w:eastAsia="Times New Roman" w:hAnsi="Calibri"/>
          <w:kern w:val="0"/>
          <w:szCs w:val="22"/>
        </w:rPr>
      </w:pPr>
      <w:r w:rsidRPr="000365F5">
        <w:rPr>
          <w:lang w:val="it-IT"/>
        </w:rPr>
        <w:t>3.</w:t>
      </w:r>
      <w:r w:rsidRPr="00243E0C">
        <w:rPr>
          <w:rFonts w:ascii="Calibri" w:eastAsia="Times New Roman" w:hAnsi="Calibri"/>
          <w:kern w:val="0"/>
          <w:szCs w:val="22"/>
        </w:rPr>
        <w:tab/>
      </w:r>
      <w:r w:rsidRPr="000365F5">
        <w:rPr>
          <w:lang w:val="it-IT"/>
        </w:rPr>
        <w:t>Mobile Data Traffic (Non-Messaging)</w:t>
      </w:r>
      <w:r>
        <w:tab/>
        <w:t>261</w:t>
      </w:r>
    </w:p>
    <w:p w:rsidR="00243E0C" w:rsidRPr="00243E0C" w:rsidRDefault="00243E0C" w:rsidP="00CE5850">
      <w:pPr>
        <w:pStyle w:val="TOC2"/>
        <w:tabs>
          <w:tab w:val="left" w:pos="360"/>
        </w:tabs>
        <w:suppressAutoHyphens w:val="0"/>
        <w:rPr>
          <w:rFonts w:ascii="Calibri" w:eastAsia="Times New Roman" w:hAnsi="Calibri"/>
          <w:kern w:val="0"/>
          <w:szCs w:val="22"/>
        </w:rPr>
      </w:pPr>
      <w:r>
        <w:t>E.</w:t>
      </w:r>
      <w:r w:rsidRPr="00243E0C">
        <w:rPr>
          <w:rFonts w:ascii="Calibri" w:eastAsia="Times New Roman" w:hAnsi="Calibri"/>
          <w:kern w:val="0"/>
          <w:szCs w:val="22"/>
        </w:rPr>
        <w:tab/>
      </w:r>
      <w:r>
        <w:t>Pricing Levels, Changes, and Trends</w:t>
      </w:r>
      <w:r>
        <w:tab/>
        <w:t>262</w:t>
      </w:r>
    </w:p>
    <w:p w:rsidR="00243E0C" w:rsidRPr="00243E0C" w:rsidRDefault="00243E0C" w:rsidP="00CE5850">
      <w:pPr>
        <w:pStyle w:val="TOC3"/>
        <w:tabs>
          <w:tab w:val="left" w:pos="360"/>
        </w:tabs>
        <w:suppressAutoHyphens w:val="0"/>
        <w:rPr>
          <w:rFonts w:ascii="Calibri" w:eastAsia="Times New Roman" w:hAnsi="Calibri"/>
          <w:kern w:val="0"/>
          <w:szCs w:val="22"/>
        </w:rPr>
      </w:pPr>
      <w:r>
        <w:t>1.</w:t>
      </w:r>
      <w:r w:rsidRPr="00243E0C">
        <w:rPr>
          <w:rFonts w:ascii="Calibri" w:eastAsia="Times New Roman" w:hAnsi="Calibri"/>
          <w:kern w:val="0"/>
          <w:szCs w:val="22"/>
        </w:rPr>
        <w:tab/>
      </w:r>
      <w:r>
        <w:t>Price Metrics</w:t>
      </w:r>
      <w:r>
        <w:tab/>
        <w:t>262</w:t>
      </w:r>
    </w:p>
    <w:p w:rsidR="00243E0C" w:rsidRPr="00243E0C" w:rsidRDefault="00243E0C" w:rsidP="00CE5850">
      <w:pPr>
        <w:pStyle w:val="TOC3"/>
        <w:tabs>
          <w:tab w:val="left" w:pos="360"/>
        </w:tabs>
        <w:suppressAutoHyphens w:val="0"/>
        <w:rPr>
          <w:rFonts w:ascii="Calibri" w:eastAsia="Times New Roman" w:hAnsi="Calibri"/>
          <w:kern w:val="0"/>
          <w:szCs w:val="22"/>
        </w:rPr>
      </w:pPr>
      <w:r>
        <w:t>2.</w:t>
      </w:r>
      <w:r w:rsidRPr="00243E0C">
        <w:rPr>
          <w:rFonts w:ascii="Calibri" w:eastAsia="Times New Roman" w:hAnsi="Calibri"/>
          <w:kern w:val="0"/>
          <w:szCs w:val="22"/>
        </w:rPr>
        <w:tab/>
      </w:r>
      <w:r>
        <w:t>Wholesale Pricing</w:t>
      </w:r>
      <w:r>
        <w:tab/>
        <w:t>269</w:t>
      </w:r>
    </w:p>
    <w:p w:rsidR="00243E0C" w:rsidRPr="00243E0C" w:rsidRDefault="00243E0C" w:rsidP="00CE5850">
      <w:pPr>
        <w:pStyle w:val="TOC3"/>
        <w:tabs>
          <w:tab w:val="left" w:pos="360"/>
        </w:tabs>
        <w:suppressAutoHyphens w:val="0"/>
        <w:rPr>
          <w:rFonts w:ascii="Calibri" w:eastAsia="Times New Roman" w:hAnsi="Calibri"/>
          <w:kern w:val="0"/>
          <w:szCs w:val="22"/>
        </w:rPr>
      </w:pPr>
      <w:r>
        <w:t>3.</w:t>
      </w:r>
      <w:r w:rsidRPr="00243E0C">
        <w:rPr>
          <w:rFonts w:ascii="Calibri" w:eastAsia="Times New Roman" w:hAnsi="Calibri"/>
          <w:kern w:val="0"/>
          <w:szCs w:val="22"/>
        </w:rPr>
        <w:tab/>
      </w:r>
      <w:r>
        <w:t>Intercarrier Roaming Rates and Revenue</w:t>
      </w:r>
      <w:r>
        <w:tab/>
        <w:t>270</w:t>
      </w:r>
    </w:p>
    <w:p w:rsidR="00243E0C" w:rsidRPr="00243E0C" w:rsidRDefault="00243E0C" w:rsidP="00CE5850">
      <w:pPr>
        <w:pStyle w:val="TOC2"/>
        <w:tabs>
          <w:tab w:val="left" w:pos="360"/>
        </w:tabs>
        <w:suppressAutoHyphens w:val="0"/>
        <w:rPr>
          <w:rFonts w:ascii="Calibri" w:eastAsia="Times New Roman" w:hAnsi="Calibri"/>
          <w:kern w:val="0"/>
          <w:szCs w:val="22"/>
        </w:rPr>
      </w:pPr>
      <w:r>
        <w:t>F.</w:t>
      </w:r>
      <w:r w:rsidRPr="00243E0C">
        <w:rPr>
          <w:rFonts w:ascii="Calibri" w:eastAsia="Times New Roman" w:hAnsi="Calibri"/>
          <w:kern w:val="0"/>
          <w:szCs w:val="22"/>
        </w:rPr>
        <w:tab/>
      </w:r>
      <w:r>
        <w:t>Revenue and ARPU</w:t>
      </w:r>
      <w:r>
        <w:tab/>
        <w:t>273</w:t>
      </w:r>
    </w:p>
    <w:p w:rsidR="00243E0C" w:rsidRPr="00243E0C" w:rsidRDefault="00243E0C" w:rsidP="00CE5850">
      <w:pPr>
        <w:pStyle w:val="TOC2"/>
        <w:tabs>
          <w:tab w:val="left" w:pos="360"/>
        </w:tabs>
        <w:suppressAutoHyphens w:val="0"/>
        <w:rPr>
          <w:rFonts w:ascii="Calibri" w:eastAsia="Times New Roman" w:hAnsi="Calibri"/>
          <w:kern w:val="0"/>
          <w:szCs w:val="22"/>
        </w:rPr>
      </w:pPr>
      <w:r>
        <w:t>G.</w:t>
      </w:r>
      <w:r w:rsidRPr="00243E0C">
        <w:rPr>
          <w:rFonts w:ascii="Calibri" w:eastAsia="Times New Roman" w:hAnsi="Calibri"/>
          <w:kern w:val="0"/>
          <w:szCs w:val="22"/>
        </w:rPr>
        <w:tab/>
      </w:r>
      <w:r>
        <w:t>Accounting-Based Measures of Profitability</w:t>
      </w:r>
      <w:r>
        <w:tab/>
        <w:t>281</w:t>
      </w:r>
    </w:p>
    <w:p w:rsidR="00243E0C" w:rsidRPr="00243E0C" w:rsidRDefault="00243E0C" w:rsidP="00CE5850">
      <w:pPr>
        <w:pStyle w:val="TOC2"/>
        <w:tabs>
          <w:tab w:val="left" w:pos="360"/>
        </w:tabs>
        <w:suppressAutoHyphens w:val="0"/>
        <w:rPr>
          <w:rFonts w:ascii="Calibri" w:eastAsia="Times New Roman" w:hAnsi="Calibri"/>
          <w:kern w:val="0"/>
          <w:szCs w:val="22"/>
        </w:rPr>
      </w:pPr>
      <w:r>
        <w:t>H.</w:t>
      </w:r>
      <w:r w:rsidRPr="00243E0C">
        <w:rPr>
          <w:rFonts w:ascii="Calibri" w:eastAsia="Times New Roman" w:hAnsi="Calibri"/>
          <w:kern w:val="0"/>
          <w:szCs w:val="22"/>
        </w:rPr>
        <w:tab/>
      </w:r>
      <w:r>
        <w:t>Network Performance</w:t>
      </w:r>
      <w:r>
        <w:tab/>
        <w:t>287</w:t>
      </w:r>
    </w:p>
    <w:p w:rsidR="00243E0C" w:rsidRPr="00243E0C" w:rsidRDefault="00243E0C" w:rsidP="00CE5850">
      <w:pPr>
        <w:pStyle w:val="TOC2"/>
        <w:tabs>
          <w:tab w:val="left" w:pos="360"/>
        </w:tabs>
        <w:suppressAutoHyphens w:val="0"/>
        <w:rPr>
          <w:rFonts w:ascii="Calibri" w:eastAsia="Times New Roman" w:hAnsi="Calibri"/>
          <w:kern w:val="0"/>
          <w:szCs w:val="22"/>
        </w:rPr>
      </w:pPr>
      <w:r>
        <w:t>I.</w:t>
      </w:r>
      <w:r w:rsidRPr="00243E0C">
        <w:rPr>
          <w:rFonts w:ascii="Calibri" w:eastAsia="Times New Roman" w:hAnsi="Calibri"/>
          <w:kern w:val="0"/>
          <w:szCs w:val="22"/>
        </w:rPr>
        <w:tab/>
      </w:r>
      <w:r>
        <w:t>Network Coverage by Income Level</w:t>
      </w:r>
      <w:r>
        <w:tab/>
        <w:t>297</w:t>
      </w:r>
    </w:p>
    <w:p w:rsidR="00243E0C" w:rsidRPr="00243E0C" w:rsidRDefault="00243E0C" w:rsidP="00CE5850">
      <w:pPr>
        <w:pStyle w:val="TOC1"/>
        <w:suppressAutoHyphens w:val="0"/>
        <w:rPr>
          <w:rFonts w:ascii="Calibri" w:hAnsi="Calibri"/>
          <w:caps w:val="0"/>
          <w:snapToGrid/>
          <w:kern w:val="0"/>
          <w:szCs w:val="22"/>
        </w:rPr>
      </w:pPr>
      <w:r>
        <w:t>VI.</w:t>
      </w:r>
      <w:r w:rsidRPr="00243E0C">
        <w:rPr>
          <w:rFonts w:ascii="Calibri" w:hAnsi="Calibri"/>
          <w:caps w:val="0"/>
          <w:snapToGrid/>
          <w:kern w:val="0"/>
          <w:szCs w:val="22"/>
        </w:rPr>
        <w:tab/>
      </w:r>
      <w:r>
        <w:t>MOBILE WIRELESS SERVICES: CONSUMER BEHAVIOR</w:t>
      </w:r>
      <w:r>
        <w:tab/>
        <w:t>298</w:t>
      </w:r>
    </w:p>
    <w:p w:rsidR="00243E0C" w:rsidRPr="00243E0C" w:rsidRDefault="00243E0C" w:rsidP="00CE5850">
      <w:pPr>
        <w:pStyle w:val="TOC2"/>
        <w:tabs>
          <w:tab w:val="left" w:pos="360"/>
        </w:tabs>
        <w:suppressAutoHyphens w:val="0"/>
        <w:rPr>
          <w:rFonts w:ascii="Calibri" w:eastAsia="Times New Roman" w:hAnsi="Calibri"/>
          <w:kern w:val="0"/>
          <w:szCs w:val="22"/>
        </w:rPr>
      </w:pPr>
      <w:r>
        <w:t>A.</w:t>
      </w:r>
      <w:r w:rsidRPr="00243E0C">
        <w:rPr>
          <w:rFonts w:ascii="Calibri" w:eastAsia="Times New Roman" w:hAnsi="Calibri"/>
          <w:kern w:val="0"/>
          <w:szCs w:val="22"/>
        </w:rPr>
        <w:tab/>
      </w:r>
      <w:r>
        <w:t>Consumer Decision Factors in Choosing a Service Provider</w:t>
      </w:r>
      <w:r>
        <w:tab/>
        <w:t>299</w:t>
      </w:r>
    </w:p>
    <w:p w:rsidR="00243E0C" w:rsidRPr="00243E0C" w:rsidRDefault="00243E0C" w:rsidP="00CE5850">
      <w:pPr>
        <w:pStyle w:val="TOC2"/>
        <w:tabs>
          <w:tab w:val="left" w:pos="360"/>
        </w:tabs>
        <w:suppressAutoHyphens w:val="0"/>
        <w:rPr>
          <w:rFonts w:ascii="Calibri" w:eastAsia="Times New Roman" w:hAnsi="Calibri"/>
          <w:kern w:val="0"/>
          <w:szCs w:val="22"/>
        </w:rPr>
      </w:pPr>
      <w:r>
        <w:t>B.</w:t>
      </w:r>
      <w:r w:rsidRPr="00243E0C">
        <w:rPr>
          <w:rFonts w:ascii="Calibri" w:eastAsia="Times New Roman" w:hAnsi="Calibri"/>
          <w:kern w:val="0"/>
          <w:szCs w:val="22"/>
        </w:rPr>
        <w:tab/>
      </w:r>
      <w:r>
        <w:t>Consumer Access to Information on Mobile Wireless Services</w:t>
      </w:r>
      <w:r>
        <w:tab/>
        <w:t>305</w:t>
      </w:r>
    </w:p>
    <w:p w:rsidR="00243E0C" w:rsidRPr="00243E0C" w:rsidRDefault="00243E0C" w:rsidP="00CE5850">
      <w:pPr>
        <w:pStyle w:val="TOC2"/>
        <w:tabs>
          <w:tab w:val="left" w:pos="360"/>
        </w:tabs>
        <w:suppressAutoHyphens w:val="0"/>
        <w:rPr>
          <w:rFonts w:ascii="Calibri" w:eastAsia="Times New Roman" w:hAnsi="Calibri"/>
          <w:kern w:val="0"/>
          <w:szCs w:val="22"/>
        </w:rPr>
      </w:pPr>
      <w:r>
        <w:t>C.</w:t>
      </w:r>
      <w:r w:rsidRPr="00243E0C">
        <w:rPr>
          <w:rFonts w:ascii="Calibri" w:eastAsia="Times New Roman" w:hAnsi="Calibri"/>
          <w:kern w:val="0"/>
          <w:szCs w:val="22"/>
        </w:rPr>
        <w:tab/>
      </w:r>
      <w:r>
        <w:t>Surveys of Consumer Satisfaction with Service Providers</w:t>
      </w:r>
      <w:r>
        <w:tab/>
        <w:t>313</w:t>
      </w:r>
    </w:p>
    <w:p w:rsidR="00243E0C" w:rsidRPr="00243E0C" w:rsidRDefault="00243E0C" w:rsidP="00CE5850">
      <w:pPr>
        <w:pStyle w:val="TOC1"/>
        <w:suppressAutoHyphens w:val="0"/>
        <w:rPr>
          <w:rFonts w:ascii="Calibri" w:hAnsi="Calibri"/>
          <w:caps w:val="0"/>
          <w:snapToGrid/>
          <w:kern w:val="0"/>
          <w:szCs w:val="22"/>
        </w:rPr>
      </w:pPr>
      <w:r>
        <w:t>VII.</w:t>
      </w:r>
      <w:r>
        <w:rPr>
          <w:rFonts w:ascii="Calibri" w:hAnsi="Calibri"/>
          <w:caps w:val="0"/>
          <w:snapToGrid/>
          <w:kern w:val="0"/>
          <w:szCs w:val="22"/>
        </w:rPr>
        <w:t xml:space="preserve">  </w:t>
      </w:r>
      <w:r>
        <w:t>INPUT AND DOWNSTREAM SEGMENTS OF THE MOBILE WIRELESS ECOSYSTEM</w:t>
      </w:r>
      <w:r>
        <w:tab/>
        <w:t>316</w:t>
      </w:r>
    </w:p>
    <w:p w:rsidR="00243E0C" w:rsidRPr="00243E0C" w:rsidRDefault="00243E0C" w:rsidP="00CE5850">
      <w:pPr>
        <w:pStyle w:val="TOC2"/>
        <w:tabs>
          <w:tab w:val="left" w:pos="360"/>
        </w:tabs>
        <w:suppressAutoHyphens w:val="0"/>
        <w:rPr>
          <w:rFonts w:ascii="Calibri" w:eastAsia="Times New Roman" w:hAnsi="Calibri"/>
          <w:kern w:val="0"/>
          <w:szCs w:val="22"/>
        </w:rPr>
      </w:pPr>
      <w:r>
        <w:t>A.</w:t>
      </w:r>
      <w:r w:rsidRPr="00243E0C">
        <w:rPr>
          <w:rFonts w:ascii="Calibri" w:eastAsia="Times New Roman" w:hAnsi="Calibri"/>
          <w:kern w:val="0"/>
          <w:szCs w:val="22"/>
        </w:rPr>
        <w:tab/>
      </w:r>
      <w:r>
        <w:t>Non-Spectrum Input Segments</w:t>
      </w:r>
      <w:r>
        <w:tab/>
        <w:t>316</w:t>
      </w:r>
    </w:p>
    <w:p w:rsidR="00243E0C" w:rsidRPr="00243E0C" w:rsidRDefault="00243E0C" w:rsidP="00CE5850">
      <w:pPr>
        <w:pStyle w:val="TOC3"/>
        <w:tabs>
          <w:tab w:val="left" w:pos="360"/>
        </w:tabs>
        <w:suppressAutoHyphens w:val="0"/>
        <w:rPr>
          <w:rFonts w:ascii="Calibri" w:eastAsia="Times New Roman" w:hAnsi="Calibri"/>
          <w:kern w:val="0"/>
          <w:szCs w:val="22"/>
        </w:rPr>
      </w:pPr>
      <w:r>
        <w:t>1.</w:t>
      </w:r>
      <w:r w:rsidRPr="00243E0C">
        <w:rPr>
          <w:rFonts w:ascii="Calibri" w:eastAsia="Times New Roman" w:hAnsi="Calibri"/>
          <w:kern w:val="0"/>
          <w:szCs w:val="22"/>
        </w:rPr>
        <w:tab/>
      </w:r>
      <w:r>
        <w:t>Infrastructure Facilities</w:t>
      </w:r>
      <w:r>
        <w:tab/>
        <w:t>317</w:t>
      </w:r>
    </w:p>
    <w:p w:rsidR="00243E0C" w:rsidRPr="00243E0C" w:rsidRDefault="00243E0C" w:rsidP="00CE5850">
      <w:pPr>
        <w:pStyle w:val="TOC4"/>
        <w:tabs>
          <w:tab w:val="left" w:pos="360"/>
        </w:tabs>
        <w:suppressAutoHyphens w:val="0"/>
        <w:rPr>
          <w:rFonts w:ascii="Calibri" w:eastAsia="Times New Roman" w:hAnsi="Calibri"/>
          <w:kern w:val="0"/>
          <w:szCs w:val="22"/>
        </w:rPr>
      </w:pPr>
      <w:r>
        <w:t>a.</w:t>
      </w:r>
      <w:r w:rsidRPr="00243E0C">
        <w:rPr>
          <w:rFonts w:ascii="Calibri" w:eastAsia="Times New Roman" w:hAnsi="Calibri"/>
          <w:kern w:val="0"/>
          <w:szCs w:val="22"/>
        </w:rPr>
        <w:tab/>
      </w:r>
      <w:r>
        <w:t>Background</w:t>
      </w:r>
      <w:r>
        <w:tab/>
        <w:t>317</w:t>
      </w:r>
    </w:p>
    <w:p w:rsidR="00243E0C" w:rsidRPr="00243E0C" w:rsidRDefault="00243E0C" w:rsidP="00CE5850">
      <w:pPr>
        <w:pStyle w:val="TOC4"/>
        <w:tabs>
          <w:tab w:val="left" w:pos="360"/>
        </w:tabs>
        <w:suppressAutoHyphens w:val="0"/>
        <w:rPr>
          <w:rFonts w:ascii="Calibri" w:eastAsia="Times New Roman" w:hAnsi="Calibri"/>
          <w:kern w:val="0"/>
          <w:szCs w:val="22"/>
        </w:rPr>
      </w:pPr>
      <w:r>
        <w:t>b.</w:t>
      </w:r>
      <w:r w:rsidRPr="00243E0C">
        <w:rPr>
          <w:rFonts w:ascii="Calibri" w:eastAsia="Times New Roman" w:hAnsi="Calibri"/>
          <w:kern w:val="0"/>
          <w:szCs w:val="22"/>
        </w:rPr>
        <w:tab/>
      </w:r>
      <w:r>
        <w:t>Demand for Infrastructure Facilities</w:t>
      </w:r>
      <w:r>
        <w:tab/>
        <w:t>322</w:t>
      </w:r>
    </w:p>
    <w:p w:rsidR="00243E0C" w:rsidRPr="00243E0C" w:rsidRDefault="00243E0C" w:rsidP="00CE5850">
      <w:pPr>
        <w:pStyle w:val="TOC4"/>
        <w:tabs>
          <w:tab w:val="left" w:pos="360"/>
        </w:tabs>
        <w:suppressAutoHyphens w:val="0"/>
        <w:rPr>
          <w:rFonts w:ascii="Calibri" w:eastAsia="Times New Roman" w:hAnsi="Calibri"/>
          <w:kern w:val="0"/>
          <w:szCs w:val="22"/>
        </w:rPr>
      </w:pPr>
      <w:r>
        <w:lastRenderedPageBreak/>
        <w:t>c.</w:t>
      </w:r>
      <w:r w:rsidRPr="00243E0C">
        <w:rPr>
          <w:rFonts w:ascii="Calibri" w:eastAsia="Times New Roman" w:hAnsi="Calibri"/>
          <w:kern w:val="0"/>
          <w:szCs w:val="22"/>
        </w:rPr>
        <w:tab/>
      </w:r>
      <w:r>
        <w:t>Infrastructure Costs</w:t>
      </w:r>
      <w:r>
        <w:tab/>
        <w:t>325</w:t>
      </w:r>
    </w:p>
    <w:p w:rsidR="00243E0C" w:rsidRPr="00243E0C" w:rsidRDefault="00243E0C" w:rsidP="00CE5850">
      <w:pPr>
        <w:pStyle w:val="TOC3"/>
        <w:tabs>
          <w:tab w:val="left" w:pos="360"/>
        </w:tabs>
        <w:suppressAutoHyphens w:val="0"/>
        <w:rPr>
          <w:rFonts w:ascii="Calibri" w:eastAsia="Times New Roman" w:hAnsi="Calibri"/>
          <w:kern w:val="0"/>
          <w:szCs w:val="22"/>
        </w:rPr>
      </w:pPr>
      <w:r>
        <w:t>2.</w:t>
      </w:r>
      <w:r w:rsidRPr="00243E0C">
        <w:rPr>
          <w:rFonts w:ascii="Calibri" w:eastAsia="Times New Roman" w:hAnsi="Calibri"/>
          <w:kern w:val="0"/>
          <w:szCs w:val="22"/>
        </w:rPr>
        <w:tab/>
      </w:r>
      <w:r>
        <w:t>Backhaul Facilities</w:t>
      </w:r>
      <w:r>
        <w:tab/>
        <w:t>329</w:t>
      </w:r>
    </w:p>
    <w:p w:rsidR="00243E0C" w:rsidRPr="00243E0C" w:rsidRDefault="00243E0C" w:rsidP="00CE5850">
      <w:pPr>
        <w:pStyle w:val="TOC4"/>
        <w:tabs>
          <w:tab w:val="left" w:pos="360"/>
        </w:tabs>
        <w:suppressAutoHyphens w:val="0"/>
        <w:rPr>
          <w:rFonts w:ascii="Calibri" w:eastAsia="Times New Roman" w:hAnsi="Calibri"/>
          <w:kern w:val="0"/>
          <w:szCs w:val="22"/>
        </w:rPr>
      </w:pPr>
      <w:r>
        <w:t>a.</w:t>
      </w:r>
      <w:r w:rsidRPr="00243E0C">
        <w:rPr>
          <w:rFonts w:ascii="Calibri" w:eastAsia="Times New Roman" w:hAnsi="Calibri"/>
          <w:kern w:val="0"/>
          <w:szCs w:val="22"/>
        </w:rPr>
        <w:tab/>
      </w:r>
      <w:r>
        <w:t>Background</w:t>
      </w:r>
      <w:r>
        <w:tab/>
        <w:t>329</w:t>
      </w:r>
    </w:p>
    <w:p w:rsidR="00243E0C" w:rsidRPr="00243E0C" w:rsidRDefault="00243E0C" w:rsidP="00CE5850">
      <w:pPr>
        <w:pStyle w:val="TOC4"/>
        <w:tabs>
          <w:tab w:val="left" w:pos="360"/>
        </w:tabs>
        <w:suppressAutoHyphens w:val="0"/>
        <w:rPr>
          <w:rFonts w:ascii="Calibri" w:eastAsia="Times New Roman" w:hAnsi="Calibri"/>
          <w:kern w:val="0"/>
          <w:szCs w:val="22"/>
        </w:rPr>
      </w:pPr>
      <w:r>
        <w:t>b.</w:t>
      </w:r>
      <w:r w:rsidRPr="00243E0C">
        <w:rPr>
          <w:rFonts w:ascii="Calibri" w:eastAsia="Times New Roman" w:hAnsi="Calibri"/>
          <w:kern w:val="0"/>
          <w:szCs w:val="22"/>
        </w:rPr>
        <w:tab/>
      </w:r>
      <w:r>
        <w:t>Demand for Backhaul</w:t>
      </w:r>
      <w:r>
        <w:tab/>
        <w:t>331</w:t>
      </w:r>
    </w:p>
    <w:p w:rsidR="00243E0C" w:rsidRPr="00243E0C" w:rsidRDefault="00243E0C" w:rsidP="00CE5850">
      <w:pPr>
        <w:pStyle w:val="TOC4"/>
        <w:tabs>
          <w:tab w:val="left" w:pos="360"/>
        </w:tabs>
        <w:suppressAutoHyphens w:val="0"/>
        <w:rPr>
          <w:rFonts w:ascii="Calibri" w:eastAsia="Times New Roman" w:hAnsi="Calibri"/>
          <w:kern w:val="0"/>
          <w:szCs w:val="22"/>
        </w:rPr>
      </w:pPr>
      <w:r>
        <w:t>c.</w:t>
      </w:r>
      <w:r w:rsidRPr="00243E0C">
        <w:rPr>
          <w:rFonts w:ascii="Calibri" w:eastAsia="Times New Roman" w:hAnsi="Calibri"/>
          <w:kern w:val="0"/>
          <w:szCs w:val="22"/>
        </w:rPr>
        <w:tab/>
      </w:r>
      <w:r>
        <w:t>Supply of Backhaul</w:t>
      </w:r>
      <w:r>
        <w:tab/>
        <w:t>333</w:t>
      </w:r>
    </w:p>
    <w:p w:rsidR="00243E0C" w:rsidRPr="00243E0C" w:rsidRDefault="00243E0C" w:rsidP="00CE5850">
      <w:pPr>
        <w:pStyle w:val="TOC4"/>
        <w:tabs>
          <w:tab w:val="left" w:pos="360"/>
        </w:tabs>
        <w:suppressAutoHyphens w:val="0"/>
        <w:rPr>
          <w:rFonts w:ascii="Calibri" w:eastAsia="Times New Roman" w:hAnsi="Calibri"/>
          <w:kern w:val="0"/>
          <w:szCs w:val="22"/>
        </w:rPr>
      </w:pPr>
      <w:r>
        <w:t>d.</w:t>
      </w:r>
      <w:r w:rsidRPr="00243E0C">
        <w:rPr>
          <w:rFonts w:ascii="Calibri" w:eastAsia="Times New Roman" w:hAnsi="Calibri"/>
          <w:kern w:val="0"/>
          <w:szCs w:val="22"/>
        </w:rPr>
        <w:tab/>
      </w:r>
      <w:r>
        <w:t>Costs</w:t>
      </w:r>
      <w:r>
        <w:tab/>
        <w:t>334</w:t>
      </w:r>
    </w:p>
    <w:p w:rsidR="00243E0C" w:rsidRPr="00243E0C" w:rsidRDefault="00243E0C" w:rsidP="00CE5850">
      <w:pPr>
        <w:pStyle w:val="TOC4"/>
        <w:tabs>
          <w:tab w:val="left" w:pos="360"/>
        </w:tabs>
        <w:suppressAutoHyphens w:val="0"/>
        <w:rPr>
          <w:rFonts w:ascii="Calibri" w:eastAsia="Times New Roman" w:hAnsi="Calibri"/>
          <w:kern w:val="0"/>
          <w:szCs w:val="22"/>
        </w:rPr>
      </w:pPr>
      <w:r>
        <w:t>e.</w:t>
      </w:r>
      <w:r w:rsidRPr="00243E0C">
        <w:rPr>
          <w:rFonts w:ascii="Calibri" w:eastAsia="Times New Roman" w:hAnsi="Calibri"/>
          <w:kern w:val="0"/>
          <w:szCs w:val="22"/>
        </w:rPr>
        <w:tab/>
      </w:r>
      <w:r>
        <w:t>Recent FCC Initiatives on Backhaul</w:t>
      </w:r>
      <w:r>
        <w:tab/>
        <w:t>336</w:t>
      </w:r>
    </w:p>
    <w:p w:rsidR="00243E0C" w:rsidRPr="00243E0C" w:rsidRDefault="00243E0C" w:rsidP="00CE5850">
      <w:pPr>
        <w:pStyle w:val="TOC2"/>
        <w:tabs>
          <w:tab w:val="left" w:pos="360"/>
        </w:tabs>
        <w:suppressAutoHyphens w:val="0"/>
        <w:rPr>
          <w:rFonts w:ascii="Calibri" w:eastAsia="Times New Roman" w:hAnsi="Calibri"/>
          <w:kern w:val="0"/>
          <w:szCs w:val="22"/>
        </w:rPr>
      </w:pPr>
      <w:r>
        <w:t>B.</w:t>
      </w:r>
      <w:r w:rsidRPr="00243E0C">
        <w:rPr>
          <w:rFonts w:ascii="Calibri" w:eastAsia="Times New Roman" w:hAnsi="Calibri"/>
          <w:kern w:val="0"/>
          <w:szCs w:val="22"/>
        </w:rPr>
        <w:tab/>
      </w:r>
      <w:r>
        <w:t>Downstream Segments</w:t>
      </w:r>
      <w:r>
        <w:tab/>
        <w:t>339</w:t>
      </w:r>
    </w:p>
    <w:p w:rsidR="00243E0C" w:rsidRPr="00243E0C" w:rsidRDefault="00243E0C" w:rsidP="00CE5850">
      <w:pPr>
        <w:pStyle w:val="TOC3"/>
        <w:tabs>
          <w:tab w:val="left" w:pos="360"/>
        </w:tabs>
        <w:suppressAutoHyphens w:val="0"/>
        <w:rPr>
          <w:rFonts w:ascii="Calibri" w:eastAsia="Times New Roman" w:hAnsi="Calibri"/>
          <w:kern w:val="0"/>
          <w:szCs w:val="22"/>
        </w:rPr>
      </w:pPr>
      <w:r>
        <w:t>1.</w:t>
      </w:r>
      <w:r w:rsidRPr="00243E0C">
        <w:rPr>
          <w:rFonts w:ascii="Calibri" w:eastAsia="Times New Roman" w:hAnsi="Calibri"/>
          <w:kern w:val="0"/>
          <w:szCs w:val="22"/>
        </w:rPr>
        <w:tab/>
      </w:r>
      <w:r>
        <w:t>Mobile Wireless Handsets/Devices and Operating Systems</w:t>
      </w:r>
      <w:r>
        <w:tab/>
        <w:t>339</w:t>
      </w:r>
    </w:p>
    <w:p w:rsidR="00243E0C" w:rsidRPr="00243E0C" w:rsidRDefault="00243E0C" w:rsidP="00CE5850">
      <w:pPr>
        <w:pStyle w:val="TOC4"/>
        <w:tabs>
          <w:tab w:val="left" w:pos="360"/>
        </w:tabs>
        <w:suppressAutoHyphens w:val="0"/>
        <w:rPr>
          <w:rFonts w:ascii="Calibri" w:eastAsia="Times New Roman" w:hAnsi="Calibri"/>
          <w:kern w:val="0"/>
          <w:szCs w:val="22"/>
        </w:rPr>
      </w:pPr>
      <w:r>
        <w:t>b.</w:t>
      </w:r>
      <w:r w:rsidRPr="00243E0C">
        <w:rPr>
          <w:rFonts w:ascii="Calibri" w:eastAsia="Times New Roman" w:hAnsi="Calibri"/>
          <w:kern w:val="0"/>
          <w:szCs w:val="22"/>
        </w:rPr>
        <w:tab/>
      </w:r>
      <w:r>
        <w:t>Factors Affecting Mobile Wireless Competition</w:t>
      </w:r>
      <w:r>
        <w:tab/>
        <w:t>347</w:t>
      </w:r>
    </w:p>
    <w:p w:rsidR="00243E0C" w:rsidRPr="00243E0C" w:rsidRDefault="00243E0C" w:rsidP="00CE5850">
      <w:pPr>
        <w:pStyle w:val="TOC5"/>
        <w:tabs>
          <w:tab w:val="left" w:pos="360"/>
        </w:tabs>
        <w:suppressAutoHyphens w:val="0"/>
        <w:rPr>
          <w:rFonts w:ascii="Calibri" w:eastAsia="Times New Roman" w:hAnsi="Calibri"/>
          <w:kern w:val="0"/>
          <w:szCs w:val="22"/>
        </w:rPr>
      </w:pPr>
      <w:r>
        <w:t>(i)</w:t>
      </w:r>
      <w:r w:rsidRPr="00243E0C">
        <w:rPr>
          <w:rFonts w:ascii="Calibri" w:eastAsia="Times New Roman" w:hAnsi="Calibri"/>
          <w:kern w:val="0"/>
          <w:szCs w:val="22"/>
        </w:rPr>
        <w:tab/>
      </w:r>
      <w:r>
        <w:t>Bundling of Wireless Service Subscriptions with the Purchase of Handsets</w:t>
      </w:r>
      <w:r>
        <w:tab/>
        <w:t>347</w:t>
      </w:r>
    </w:p>
    <w:p w:rsidR="00243E0C" w:rsidRPr="00243E0C" w:rsidRDefault="00243E0C" w:rsidP="00CE5850">
      <w:pPr>
        <w:pStyle w:val="TOC5"/>
        <w:tabs>
          <w:tab w:val="left" w:pos="360"/>
        </w:tabs>
        <w:suppressAutoHyphens w:val="0"/>
        <w:rPr>
          <w:rFonts w:ascii="Calibri" w:eastAsia="Times New Roman" w:hAnsi="Calibri"/>
          <w:kern w:val="0"/>
          <w:szCs w:val="22"/>
        </w:rPr>
      </w:pPr>
      <w:r>
        <w:t>(ii)</w:t>
      </w:r>
      <w:r w:rsidRPr="00243E0C">
        <w:rPr>
          <w:rFonts w:ascii="Calibri" w:eastAsia="Times New Roman" w:hAnsi="Calibri"/>
          <w:kern w:val="0"/>
          <w:szCs w:val="22"/>
        </w:rPr>
        <w:tab/>
      </w:r>
      <w:r>
        <w:t>Handset Interoperability</w:t>
      </w:r>
      <w:r>
        <w:tab/>
        <w:t>350</w:t>
      </w:r>
    </w:p>
    <w:p w:rsidR="00243E0C" w:rsidRPr="00243E0C" w:rsidRDefault="00243E0C" w:rsidP="00CE5850">
      <w:pPr>
        <w:pStyle w:val="TOC3"/>
        <w:tabs>
          <w:tab w:val="left" w:pos="360"/>
        </w:tabs>
        <w:suppressAutoHyphens w:val="0"/>
        <w:rPr>
          <w:rFonts w:ascii="Calibri" w:eastAsia="Times New Roman" w:hAnsi="Calibri"/>
          <w:kern w:val="0"/>
          <w:szCs w:val="22"/>
        </w:rPr>
      </w:pPr>
      <w:r>
        <w:t>2.</w:t>
      </w:r>
      <w:r w:rsidRPr="00243E0C">
        <w:rPr>
          <w:rFonts w:ascii="Calibri" w:eastAsia="Times New Roman" w:hAnsi="Calibri"/>
          <w:kern w:val="0"/>
          <w:szCs w:val="22"/>
        </w:rPr>
        <w:tab/>
      </w:r>
      <w:r>
        <w:t>Mobile Applications</w:t>
      </w:r>
      <w:r>
        <w:tab/>
        <w:t>351</w:t>
      </w:r>
    </w:p>
    <w:p w:rsidR="00243E0C" w:rsidRPr="00243E0C" w:rsidRDefault="00243E0C" w:rsidP="00CE5850">
      <w:pPr>
        <w:pStyle w:val="TOC3"/>
        <w:tabs>
          <w:tab w:val="left" w:pos="360"/>
        </w:tabs>
        <w:suppressAutoHyphens w:val="0"/>
        <w:rPr>
          <w:rFonts w:ascii="Calibri" w:eastAsia="Times New Roman" w:hAnsi="Calibri"/>
          <w:kern w:val="0"/>
          <w:szCs w:val="22"/>
        </w:rPr>
      </w:pPr>
      <w:r>
        <w:t>3.</w:t>
      </w:r>
      <w:r w:rsidRPr="00243E0C">
        <w:rPr>
          <w:rFonts w:ascii="Calibri" w:eastAsia="Times New Roman" w:hAnsi="Calibri"/>
          <w:kern w:val="0"/>
          <w:szCs w:val="22"/>
        </w:rPr>
        <w:tab/>
      </w:r>
      <w:r>
        <w:t>Mobile Commerce</w:t>
      </w:r>
      <w:r>
        <w:tab/>
        <w:t>35</w:t>
      </w:r>
      <w:r w:rsidR="00754239">
        <w:t>4</w:t>
      </w:r>
    </w:p>
    <w:p w:rsidR="00243E0C" w:rsidRPr="00243E0C" w:rsidRDefault="00243E0C" w:rsidP="00CE5850">
      <w:pPr>
        <w:pStyle w:val="TOC3"/>
        <w:tabs>
          <w:tab w:val="left" w:pos="360"/>
        </w:tabs>
        <w:suppressAutoHyphens w:val="0"/>
        <w:rPr>
          <w:rFonts w:ascii="Calibri" w:eastAsia="Times New Roman" w:hAnsi="Calibri"/>
          <w:kern w:val="0"/>
          <w:szCs w:val="22"/>
        </w:rPr>
      </w:pPr>
      <w:r>
        <w:t>4.</w:t>
      </w:r>
      <w:r w:rsidRPr="00243E0C">
        <w:rPr>
          <w:rFonts w:ascii="Calibri" w:eastAsia="Times New Roman" w:hAnsi="Calibri"/>
          <w:kern w:val="0"/>
          <w:szCs w:val="22"/>
        </w:rPr>
        <w:tab/>
      </w:r>
      <w:r>
        <w:t>The Impact of Mobile Wireless Services on the U.S. Economy</w:t>
      </w:r>
      <w:r>
        <w:tab/>
        <w:t>358</w:t>
      </w:r>
    </w:p>
    <w:p w:rsidR="00243E0C" w:rsidRPr="00243E0C" w:rsidRDefault="00243E0C" w:rsidP="00CE5850">
      <w:pPr>
        <w:pStyle w:val="TOC1"/>
        <w:tabs>
          <w:tab w:val="left" w:pos="720"/>
        </w:tabs>
        <w:suppressAutoHyphens w:val="0"/>
        <w:rPr>
          <w:rFonts w:ascii="Calibri" w:hAnsi="Calibri"/>
          <w:caps w:val="0"/>
          <w:snapToGrid/>
          <w:kern w:val="0"/>
          <w:szCs w:val="22"/>
        </w:rPr>
      </w:pPr>
      <w:r>
        <w:t>VIII.</w:t>
      </w:r>
      <w:r w:rsidRPr="00243E0C">
        <w:rPr>
          <w:rFonts w:ascii="Calibri" w:hAnsi="Calibri"/>
          <w:caps w:val="0"/>
          <w:snapToGrid/>
          <w:kern w:val="0"/>
          <w:szCs w:val="22"/>
        </w:rPr>
        <w:tab/>
      </w:r>
      <w:r>
        <w:t>INTERMODAL DEVELOPMENTS</w:t>
      </w:r>
      <w:r>
        <w:tab/>
        <w:t>364</w:t>
      </w:r>
    </w:p>
    <w:p w:rsidR="00243E0C" w:rsidRPr="00243E0C" w:rsidRDefault="00243E0C" w:rsidP="00CE5850">
      <w:pPr>
        <w:pStyle w:val="TOC2"/>
        <w:tabs>
          <w:tab w:val="left" w:pos="360"/>
        </w:tabs>
        <w:suppressAutoHyphens w:val="0"/>
        <w:rPr>
          <w:rFonts w:ascii="Calibri" w:eastAsia="Times New Roman" w:hAnsi="Calibri"/>
          <w:kern w:val="0"/>
          <w:szCs w:val="22"/>
        </w:rPr>
      </w:pPr>
      <w:r>
        <w:t>A.</w:t>
      </w:r>
      <w:r w:rsidRPr="00243E0C">
        <w:rPr>
          <w:rFonts w:ascii="Calibri" w:eastAsia="Times New Roman" w:hAnsi="Calibri"/>
          <w:kern w:val="0"/>
          <w:szCs w:val="22"/>
        </w:rPr>
        <w:tab/>
      </w:r>
      <w:r>
        <w:t>Voice Services</w:t>
      </w:r>
      <w:r>
        <w:tab/>
        <w:t>364</w:t>
      </w:r>
    </w:p>
    <w:p w:rsidR="00243E0C" w:rsidRPr="00243E0C" w:rsidRDefault="00243E0C" w:rsidP="00CE5850">
      <w:pPr>
        <w:pStyle w:val="TOC2"/>
        <w:tabs>
          <w:tab w:val="left" w:pos="360"/>
        </w:tabs>
        <w:suppressAutoHyphens w:val="0"/>
        <w:rPr>
          <w:rFonts w:ascii="Calibri" w:eastAsia="Times New Roman" w:hAnsi="Calibri"/>
          <w:kern w:val="0"/>
          <w:szCs w:val="22"/>
        </w:rPr>
      </w:pPr>
      <w:r>
        <w:t>B.</w:t>
      </w:r>
      <w:r w:rsidRPr="00243E0C">
        <w:rPr>
          <w:rFonts w:ascii="Calibri" w:eastAsia="Times New Roman" w:hAnsi="Calibri"/>
          <w:kern w:val="0"/>
          <w:szCs w:val="22"/>
        </w:rPr>
        <w:tab/>
      </w:r>
      <w:r>
        <w:t>Broadband Services</w:t>
      </w:r>
      <w:r>
        <w:tab/>
        <w:t>367</w:t>
      </w:r>
    </w:p>
    <w:p w:rsidR="00243E0C" w:rsidRPr="00243E0C" w:rsidRDefault="00243E0C" w:rsidP="00CE5850">
      <w:pPr>
        <w:pStyle w:val="TOC2"/>
        <w:tabs>
          <w:tab w:val="left" w:pos="360"/>
        </w:tabs>
        <w:suppressAutoHyphens w:val="0"/>
        <w:rPr>
          <w:rFonts w:ascii="Calibri" w:eastAsia="Times New Roman" w:hAnsi="Calibri"/>
          <w:kern w:val="0"/>
          <w:szCs w:val="22"/>
        </w:rPr>
      </w:pPr>
      <w:r>
        <w:t>C.</w:t>
      </w:r>
      <w:r w:rsidRPr="00243E0C">
        <w:rPr>
          <w:rFonts w:ascii="Calibri" w:eastAsia="Times New Roman" w:hAnsi="Calibri"/>
          <w:kern w:val="0"/>
          <w:szCs w:val="22"/>
        </w:rPr>
        <w:tab/>
      </w:r>
      <w:r>
        <w:t>Small Area Wireless Coverage Technologies</w:t>
      </w:r>
      <w:r>
        <w:tab/>
        <w:t>369</w:t>
      </w:r>
    </w:p>
    <w:p w:rsidR="00243E0C" w:rsidRPr="00243E0C" w:rsidRDefault="00243E0C" w:rsidP="00CE5850">
      <w:pPr>
        <w:pStyle w:val="TOC1"/>
        <w:suppressAutoHyphens w:val="0"/>
        <w:rPr>
          <w:rFonts w:ascii="Calibri" w:hAnsi="Calibri"/>
          <w:caps w:val="0"/>
          <w:snapToGrid/>
          <w:kern w:val="0"/>
          <w:szCs w:val="22"/>
        </w:rPr>
      </w:pPr>
      <w:r>
        <w:t>IX.</w:t>
      </w:r>
      <w:r w:rsidRPr="00243E0C">
        <w:rPr>
          <w:rFonts w:ascii="Calibri" w:hAnsi="Calibri"/>
          <w:caps w:val="0"/>
          <w:snapToGrid/>
          <w:kern w:val="0"/>
          <w:szCs w:val="22"/>
        </w:rPr>
        <w:tab/>
      </w:r>
      <w:r>
        <w:t>Urban-Rural Comparisons</w:t>
      </w:r>
      <w:r>
        <w:tab/>
        <w:t>383</w:t>
      </w:r>
    </w:p>
    <w:p w:rsidR="00243E0C" w:rsidRPr="00243E0C" w:rsidRDefault="00243E0C" w:rsidP="00CE5850">
      <w:pPr>
        <w:pStyle w:val="TOC2"/>
        <w:tabs>
          <w:tab w:val="left" w:pos="360"/>
        </w:tabs>
        <w:suppressAutoHyphens w:val="0"/>
        <w:rPr>
          <w:rFonts w:ascii="Calibri" w:eastAsia="Times New Roman" w:hAnsi="Calibri"/>
          <w:kern w:val="0"/>
          <w:szCs w:val="22"/>
        </w:rPr>
      </w:pPr>
      <w:r>
        <w:t>A.</w:t>
      </w:r>
      <w:r w:rsidRPr="00243E0C">
        <w:rPr>
          <w:rFonts w:ascii="Calibri" w:eastAsia="Times New Roman" w:hAnsi="Calibri"/>
          <w:kern w:val="0"/>
          <w:szCs w:val="22"/>
        </w:rPr>
        <w:tab/>
      </w:r>
      <w:r>
        <w:t>Mobile Wireless Coverage and Service Provision in Rural Areas</w:t>
      </w:r>
      <w:r>
        <w:tab/>
        <w:t>385</w:t>
      </w:r>
    </w:p>
    <w:p w:rsidR="00243E0C" w:rsidRPr="003F0509" w:rsidRDefault="00243E0C" w:rsidP="00CE5850">
      <w:pPr>
        <w:pStyle w:val="TOC3"/>
        <w:tabs>
          <w:tab w:val="left" w:pos="360"/>
        </w:tabs>
        <w:suppressAutoHyphens w:val="0"/>
        <w:rPr>
          <w:rFonts w:ascii="Calibri" w:eastAsia="Times New Roman" w:hAnsi="Calibri"/>
          <w:kern w:val="0"/>
          <w:szCs w:val="22"/>
        </w:rPr>
      </w:pPr>
      <w:r>
        <w:t>1.</w:t>
      </w:r>
      <w:r w:rsidRPr="00243E0C">
        <w:rPr>
          <w:rFonts w:ascii="Calibri" w:eastAsia="Times New Roman" w:hAnsi="Calibri"/>
          <w:kern w:val="0"/>
          <w:szCs w:val="22"/>
        </w:rPr>
        <w:tab/>
      </w:r>
      <w:r>
        <w:t>Mobile Voice Network Coverage</w:t>
      </w:r>
      <w:r>
        <w:tab/>
        <w:t>385</w:t>
      </w:r>
      <w:r>
        <w:tab/>
      </w:r>
      <w:bookmarkStart w:id="24" w:name="comebackhere"/>
      <w:bookmarkEnd w:id="24"/>
    </w:p>
    <w:p w:rsidR="00243E0C" w:rsidRPr="00243E0C" w:rsidRDefault="00243E0C" w:rsidP="00CE5850">
      <w:pPr>
        <w:pStyle w:val="TOC3"/>
        <w:tabs>
          <w:tab w:val="left" w:pos="360"/>
        </w:tabs>
        <w:suppressAutoHyphens w:val="0"/>
        <w:rPr>
          <w:rFonts w:ascii="Calibri" w:eastAsia="Times New Roman" w:hAnsi="Calibri"/>
          <w:kern w:val="0"/>
          <w:szCs w:val="22"/>
        </w:rPr>
      </w:pPr>
      <w:r>
        <w:t>2.</w:t>
      </w:r>
      <w:r w:rsidRPr="00243E0C">
        <w:rPr>
          <w:rFonts w:ascii="Calibri" w:eastAsia="Times New Roman" w:hAnsi="Calibri"/>
          <w:kern w:val="0"/>
          <w:szCs w:val="22"/>
        </w:rPr>
        <w:tab/>
      </w:r>
      <w:r>
        <w:t>Mobile Broadband Network Coverage</w:t>
      </w:r>
      <w:r>
        <w:tab/>
      </w:r>
      <w:r w:rsidR="003F0509">
        <w:t>388</w:t>
      </w:r>
    </w:p>
    <w:p w:rsidR="00243E0C" w:rsidRPr="00243E0C" w:rsidRDefault="00243E0C" w:rsidP="00CE5850">
      <w:pPr>
        <w:pStyle w:val="TOC2"/>
        <w:tabs>
          <w:tab w:val="left" w:pos="360"/>
        </w:tabs>
        <w:suppressAutoHyphens w:val="0"/>
        <w:rPr>
          <w:rFonts w:ascii="Calibri" w:eastAsia="Times New Roman" w:hAnsi="Calibri"/>
          <w:kern w:val="0"/>
          <w:szCs w:val="22"/>
        </w:rPr>
      </w:pPr>
      <w:r>
        <w:t>B.</w:t>
      </w:r>
      <w:r w:rsidRPr="00243E0C">
        <w:rPr>
          <w:rFonts w:ascii="Calibri" w:eastAsia="Times New Roman" w:hAnsi="Calibri"/>
          <w:kern w:val="0"/>
          <w:szCs w:val="22"/>
        </w:rPr>
        <w:tab/>
      </w:r>
      <w:r>
        <w:t>Spectrum in Rural Areas</w:t>
      </w:r>
      <w:r>
        <w:tab/>
      </w:r>
      <w:r w:rsidR="003F0509">
        <w:t>39</w:t>
      </w:r>
      <w:r w:rsidR="00754239">
        <w:t>7</w:t>
      </w:r>
    </w:p>
    <w:p w:rsidR="00243E0C" w:rsidRPr="00243E0C" w:rsidRDefault="00243E0C" w:rsidP="00CE5850">
      <w:pPr>
        <w:pStyle w:val="TOC1"/>
        <w:suppressAutoHyphens w:val="0"/>
        <w:rPr>
          <w:rFonts w:ascii="Calibri" w:hAnsi="Calibri"/>
          <w:caps w:val="0"/>
          <w:snapToGrid/>
          <w:kern w:val="0"/>
          <w:szCs w:val="22"/>
        </w:rPr>
      </w:pPr>
      <w:r>
        <w:t>X.</w:t>
      </w:r>
      <w:r w:rsidRPr="00243E0C">
        <w:rPr>
          <w:rFonts w:ascii="Calibri" w:hAnsi="Calibri"/>
          <w:caps w:val="0"/>
          <w:snapToGrid/>
          <w:kern w:val="0"/>
          <w:szCs w:val="22"/>
        </w:rPr>
        <w:tab/>
      </w:r>
      <w:r>
        <w:t>International Comparisons</w:t>
      </w:r>
      <w:r>
        <w:tab/>
      </w:r>
      <w:r w:rsidR="003F0509">
        <w:t>401</w:t>
      </w:r>
    </w:p>
    <w:p w:rsidR="00243E0C" w:rsidRPr="00243E0C" w:rsidRDefault="00243E0C" w:rsidP="00CE5850">
      <w:pPr>
        <w:pStyle w:val="TOC2"/>
        <w:tabs>
          <w:tab w:val="left" w:pos="360"/>
        </w:tabs>
        <w:suppressAutoHyphens w:val="0"/>
        <w:rPr>
          <w:rFonts w:ascii="Calibri" w:eastAsia="Times New Roman" w:hAnsi="Calibri"/>
          <w:kern w:val="0"/>
          <w:szCs w:val="22"/>
        </w:rPr>
      </w:pPr>
      <w:r>
        <w:t>A.</w:t>
      </w:r>
      <w:r w:rsidRPr="00243E0C">
        <w:rPr>
          <w:rFonts w:ascii="Calibri" w:eastAsia="Times New Roman" w:hAnsi="Calibri"/>
          <w:kern w:val="0"/>
          <w:szCs w:val="22"/>
        </w:rPr>
        <w:tab/>
      </w:r>
      <w:r>
        <w:t>Average RPM (Voice Only)</w:t>
      </w:r>
      <w:r>
        <w:tab/>
      </w:r>
      <w:r w:rsidR="003F0509">
        <w:t>402</w:t>
      </w:r>
    </w:p>
    <w:p w:rsidR="00243E0C" w:rsidRPr="00243E0C" w:rsidRDefault="00243E0C" w:rsidP="00CE5850">
      <w:pPr>
        <w:pStyle w:val="TOC2"/>
        <w:tabs>
          <w:tab w:val="left" w:pos="360"/>
        </w:tabs>
        <w:suppressAutoHyphens w:val="0"/>
        <w:rPr>
          <w:rFonts w:ascii="Calibri" w:eastAsia="Times New Roman" w:hAnsi="Calibri"/>
          <w:kern w:val="0"/>
          <w:szCs w:val="22"/>
        </w:rPr>
      </w:pPr>
      <w:r>
        <w:t>B.</w:t>
      </w:r>
      <w:r w:rsidRPr="00243E0C">
        <w:rPr>
          <w:rFonts w:ascii="Calibri" w:eastAsia="Times New Roman" w:hAnsi="Calibri"/>
          <w:kern w:val="0"/>
          <w:szCs w:val="22"/>
        </w:rPr>
        <w:tab/>
      </w:r>
      <w:r>
        <w:t>Usage</w:t>
      </w:r>
      <w:r>
        <w:tab/>
      </w:r>
      <w:r w:rsidR="003F0509">
        <w:t>403</w:t>
      </w:r>
    </w:p>
    <w:p w:rsidR="00243E0C" w:rsidRPr="00243E0C" w:rsidRDefault="00243E0C" w:rsidP="00CE5850">
      <w:pPr>
        <w:pStyle w:val="TOC2"/>
        <w:tabs>
          <w:tab w:val="left" w:pos="360"/>
        </w:tabs>
        <w:suppressAutoHyphens w:val="0"/>
        <w:rPr>
          <w:rFonts w:ascii="Calibri" w:eastAsia="Times New Roman" w:hAnsi="Calibri"/>
          <w:kern w:val="0"/>
          <w:szCs w:val="22"/>
        </w:rPr>
      </w:pPr>
      <w:r>
        <w:t>C.</w:t>
      </w:r>
      <w:r w:rsidRPr="00243E0C">
        <w:rPr>
          <w:rFonts w:ascii="Calibri" w:eastAsia="Times New Roman" w:hAnsi="Calibri"/>
          <w:kern w:val="0"/>
          <w:szCs w:val="22"/>
        </w:rPr>
        <w:tab/>
      </w:r>
      <w:r>
        <w:t>Penetration Rates</w:t>
      </w:r>
      <w:r>
        <w:tab/>
      </w:r>
      <w:r w:rsidR="003F0509">
        <w:t>404</w:t>
      </w:r>
    </w:p>
    <w:p w:rsidR="00243E0C" w:rsidRPr="00243E0C" w:rsidRDefault="00243E0C" w:rsidP="00CE5850">
      <w:pPr>
        <w:pStyle w:val="TOC2"/>
        <w:tabs>
          <w:tab w:val="left" w:pos="360"/>
        </w:tabs>
        <w:suppressAutoHyphens w:val="0"/>
        <w:rPr>
          <w:rFonts w:ascii="Calibri" w:eastAsia="Times New Roman" w:hAnsi="Calibri"/>
          <w:kern w:val="0"/>
          <w:szCs w:val="22"/>
        </w:rPr>
      </w:pPr>
      <w:r>
        <w:t>D.</w:t>
      </w:r>
      <w:r w:rsidRPr="00243E0C">
        <w:rPr>
          <w:rFonts w:ascii="Calibri" w:eastAsia="Times New Roman" w:hAnsi="Calibri"/>
          <w:kern w:val="0"/>
          <w:szCs w:val="22"/>
        </w:rPr>
        <w:tab/>
      </w:r>
      <w:r>
        <w:t>Concentration</w:t>
      </w:r>
      <w:r>
        <w:tab/>
      </w:r>
      <w:r w:rsidR="003F0509">
        <w:t>405</w:t>
      </w:r>
    </w:p>
    <w:p w:rsidR="00243E0C" w:rsidRPr="00243E0C" w:rsidRDefault="00243E0C" w:rsidP="00CE5850">
      <w:pPr>
        <w:pStyle w:val="TOC1"/>
        <w:suppressAutoHyphens w:val="0"/>
        <w:rPr>
          <w:rFonts w:ascii="Calibri" w:hAnsi="Calibri"/>
          <w:caps w:val="0"/>
          <w:snapToGrid/>
          <w:kern w:val="0"/>
          <w:szCs w:val="22"/>
        </w:rPr>
      </w:pPr>
      <w:r>
        <w:t>XI.</w:t>
      </w:r>
      <w:r w:rsidRPr="00243E0C">
        <w:rPr>
          <w:rFonts w:ascii="Calibri" w:hAnsi="Calibri"/>
          <w:caps w:val="0"/>
          <w:snapToGrid/>
          <w:kern w:val="0"/>
          <w:szCs w:val="22"/>
        </w:rPr>
        <w:tab/>
      </w:r>
      <w:r>
        <w:t>conclusion</w:t>
      </w:r>
      <w:r>
        <w:tab/>
      </w:r>
      <w:r w:rsidR="003F0509">
        <w:t>407</w:t>
      </w:r>
    </w:p>
    <w:p w:rsidR="004A147C" w:rsidRPr="00457641" w:rsidRDefault="00243E0C" w:rsidP="00CE5850">
      <w:pPr>
        <w:pStyle w:val="TOC1"/>
        <w:suppressAutoHyphens w:val="0"/>
        <w:rPr>
          <w:rFonts w:ascii="Calibri" w:hAnsi="Calibri"/>
          <w:caps w:val="0"/>
          <w:snapToGrid/>
          <w:kern w:val="0"/>
          <w:szCs w:val="22"/>
        </w:rPr>
      </w:pPr>
      <w:r>
        <w:t>XII.</w:t>
      </w:r>
      <w:r w:rsidR="003F0509">
        <w:t xml:space="preserve"> </w:t>
      </w:r>
      <w:r>
        <w:t>Procedural MATTERS</w:t>
      </w:r>
      <w:r>
        <w:tab/>
      </w:r>
      <w:r w:rsidR="003F0509">
        <w:t>408</w:t>
      </w:r>
    </w:p>
    <w:p w:rsidR="004A147C" w:rsidRPr="00B53FFB" w:rsidRDefault="00457641" w:rsidP="00CE5850">
      <w:pPr>
        <w:rPr>
          <w:szCs w:val="22"/>
        </w:rPr>
      </w:pPr>
      <w:r>
        <w:rPr>
          <w:szCs w:val="22"/>
        </w:rPr>
        <w:t xml:space="preserve">APPENDIX A - </w:t>
      </w:r>
      <w:r w:rsidR="004A147C" w:rsidRPr="00B53FFB">
        <w:rPr>
          <w:szCs w:val="22"/>
        </w:rPr>
        <w:t xml:space="preserve">Spectrum Bands Available for Mobile Wireless Services </w:t>
      </w:r>
    </w:p>
    <w:p w:rsidR="004A147C" w:rsidRPr="00B53FFB" w:rsidRDefault="00457641" w:rsidP="00CE5850">
      <w:pPr>
        <w:rPr>
          <w:szCs w:val="22"/>
        </w:rPr>
      </w:pPr>
      <w:r>
        <w:rPr>
          <w:szCs w:val="22"/>
        </w:rPr>
        <w:t xml:space="preserve">APPENDIX B - </w:t>
      </w:r>
      <w:r w:rsidR="004A147C" w:rsidRPr="00B53FFB">
        <w:rPr>
          <w:szCs w:val="22"/>
        </w:rPr>
        <w:t xml:space="preserve">Tables </w:t>
      </w:r>
    </w:p>
    <w:p w:rsidR="004A147C" w:rsidRPr="00B53FFB" w:rsidRDefault="00457641" w:rsidP="00CE5850">
      <w:pPr>
        <w:rPr>
          <w:szCs w:val="22"/>
        </w:rPr>
      </w:pPr>
      <w:r>
        <w:rPr>
          <w:szCs w:val="22"/>
        </w:rPr>
        <w:t xml:space="preserve">APPENDIX C - </w:t>
      </w:r>
      <w:r w:rsidR="004A147C" w:rsidRPr="00B53FFB">
        <w:rPr>
          <w:szCs w:val="22"/>
        </w:rPr>
        <w:t>Maps</w:t>
      </w:r>
    </w:p>
    <w:p w:rsidR="004A147C" w:rsidRPr="00B53FFB" w:rsidRDefault="00457641" w:rsidP="00CE5850">
      <w:pPr>
        <w:rPr>
          <w:szCs w:val="22"/>
        </w:rPr>
      </w:pPr>
      <w:r>
        <w:rPr>
          <w:szCs w:val="22"/>
        </w:rPr>
        <w:t xml:space="preserve">APPENDIX D - </w:t>
      </w:r>
      <w:r w:rsidR="004A147C" w:rsidRPr="00B53FFB">
        <w:rPr>
          <w:szCs w:val="22"/>
        </w:rPr>
        <w:t>Index of Acronyms</w:t>
      </w:r>
    </w:p>
    <w:p w:rsidR="004A147C" w:rsidRPr="00B53FFB" w:rsidRDefault="00457641" w:rsidP="00CE5850">
      <w:pPr>
        <w:rPr>
          <w:szCs w:val="22"/>
        </w:rPr>
      </w:pPr>
      <w:r>
        <w:rPr>
          <w:szCs w:val="22"/>
        </w:rPr>
        <w:t xml:space="preserve">APPENDIX E - </w:t>
      </w:r>
      <w:r w:rsidR="004A147C" w:rsidRPr="00B53FFB">
        <w:rPr>
          <w:szCs w:val="22"/>
        </w:rPr>
        <w:t>List of Commenters</w:t>
      </w:r>
    </w:p>
    <w:p w:rsidR="004A147C" w:rsidRPr="00B53FFB" w:rsidRDefault="004A147C" w:rsidP="00CE5850">
      <w:pPr>
        <w:rPr>
          <w:szCs w:val="22"/>
        </w:rPr>
      </w:pPr>
    </w:p>
    <w:p w:rsidR="004A147C" w:rsidRPr="00B53FFB" w:rsidRDefault="004A147C" w:rsidP="00CE5850">
      <w:pPr>
        <w:jc w:val="center"/>
        <w:rPr>
          <w:szCs w:val="22"/>
        </w:rPr>
      </w:pPr>
      <w:r w:rsidRPr="00B53FFB">
        <w:rPr>
          <w:szCs w:val="22"/>
        </w:rPr>
        <w:br w:type="page"/>
      </w:r>
      <w:r w:rsidRPr="00B53FFB">
        <w:rPr>
          <w:b/>
          <w:szCs w:val="22"/>
        </w:rPr>
        <w:lastRenderedPageBreak/>
        <w:t xml:space="preserve">Map </w:t>
      </w:r>
      <w:r w:rsidR="0007014B" w:rsidRPr="00B53FFB">
        <w:rPr>
          <w:b/>
          <w:szCs w:val="22"/>
        </w:rPr>
        <w:fldChar w:fldCharType="begin"/>
      </w:r>
      <w:r w:rsidRPr="00B53FFB">
        <w:rPr>
          <w:b/>
          <w:szCs w:val="22"/>
        </w:rPr>
        <w:instrText xml:space="preserve"> SEQ Map \* ARABIC </w:instrText>
      </w:r>
      <w:r w:rsidR="0007014B" w:rsidRPr="00B53FFB">
        <w:rPr>
          <w:b/>
          <w:szCs w:val="22"/>
        </w:rPr>
        <w:fldChar w:fldCharType="separate"/>
      </w:r>
      <w:r w:rsidR="00CA3AC6">
        <w:rPr>
          <w:b/>
          <w:noProof/>
          <w:szCs w:val="22"/>
        </w:rPr>
        <w:t>1</w:t>
      </w:r>
      <w:r w:rsidR="0007014B" w:rsidRPr="00B53FFB">
        <w:rPr>
          <w:b/>
          <w:szCs w:val="22"/>
        </w:rPr>
        <w:fldChar w:fldCharType="end"/>
      </w:r>
    </w:p>
    <w:p w:rsidR="004A147C" w:rsidRPr="00B53FFB" w:rsidRDefault="004A147C" w:rsidP="00CE5850">
      <w:pPr>
        <w:jc w:val="center"/>
        <w:rPr>
          <w:b/>
          <w:bCs/>
          <w:szCs w:val="22"/>
        </w:rPr>
      </w:pPr>
      <w:bookmarkStart w:id="25" w:name="_Toc334088768"/>
      <w:r w:rsidRPr="00B53FFB">
        <w:rPr>
          <w:b/>
          <w:bCs/>
          <w:szCs w:val="22"/>
        </w:rPr>
        <w:t>Mobile Wireless Broadband Coverage</w:t>
      </w:r>
      <w:bookmarkEnd w:id="25"/>
    </w:p>
    <w:p w:rsidR="004A147C" w:rsidRPr="00B53FFB" w:rsidRDefault="00C81B24" w:rsidP="00CE5850">
      <w:pPr>
        <w:jc w:val="center"/>
        <w:rPr>
          <w:szCs w:val="22"/>
        </w:rPr>
      </w:pPr>
      <w:r>
        <w:rPr>
          <w:noProof/>
        </w:rPr>
        <w:drawing>
          <wp:inline distT="0" distB="0" distL="0" distR="0" wp14:anchorId="2A8723D7" wp14:editId="1D76ABE0">
            <wp:extent cx="3819525" cy="4972050"/>
            <wp:effectExtent l="0" t="4762" r="4762" b="4763"/>
            <wp:docPr id="1" name="Picture 1" descr="Nationwide Mobile Broadband Cover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ationwide Mobile Broadband Coverage"/>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rot="5400000">
                      <a:off x="0" y="0"/>
                      <a:ext cx="3819525" cy="4972050"/>
                    </a:xfrm>
                    <a:prstGeom prst="rect">
                      <a:avLst/>
                    </a:prstGeom>
                    <a:noFill/>
                    <a:ln>
                      <a:noFill/>
                    </a:ln>
                  </pic:spPr>
                </pic:pic>
              </a:graphicData>
            </a:graphic>
          </wp:inline>
        </w:drawing>
      </w:r>
    </w:p>
    <w:p w:rsidR="004A147C" w:rsidRPr="00B53FFB" w:rsidRDefault="004A147C" w:rsidP="00CE5850">
      <w:pPr>
        <w:pStyle w:val="Caption"/>
        <w:widowControl w:val="0"/>
        <w:spacing w:after="0"/>
        <w:jc w:val="center"/>
        <w:rPr>
          <w:sz w:val="22"/>
          <w:szCs w:val="22"/>
        </w:rPr>
      </w:pPr>
      <w:r w:rsidRPr="00B53FFB">
        <w:rPr>
          <w:sz w:val="22"/>
          <w:szCs w:val="22"/>
        </w:rPr>
        <w:t xml:space="preserve">Map </w:t>
      </w:r>
      <w:r w:rsidR="0007014B" w:rsidRPr="00B53FFB">
        <w:rPr>
          <w:sz w:val="22"/>
          <w:szCs w:val="22"/>
        </w:rPr>
        <w:fldChar w:fldCharType="begin"/>
      </w:r>
      <w:r w:rsidRPr="00B53FFB">
        <w:rPr>
          <w:sz w:val="22"/>
          <w:szCs w:val="22"/>
        </w:rPr>
        <w:instrText xml:space="preserve"> SEQ Map \* ARABIC </w:instrText>
      </w:r>
      <w:r w:rsidR="0007014B" w:rsidRPr="00B53FFB">
        <w:rPr>
          <w:sz w:val="22"/>
          <w:szCs w:val="22"/>
        </w:rPr>
        <w:fldChar w:fldCharType="separate"/>
      </w:r>
      <w:r w:rsidR="00CA3AC6">
        <w:rPr>
          <w:noProof/>
          <w:sz w:val="22"/>
          <w:szCs w:val="22"/>
        </w:rPr>
        <w:t>2</w:t>
      </w:r>
      <w:r w:rsidR="0007014B" w:rsidRPr="00B53FFB">
        <w:rPr>
          <w:sz w:val="22"/>
          <w:szCs w:val="22"/>
        </w:rPr>
        <w:fldChar w:fldCharType="end"/>
      </w:r>
    </w:p>
    <w:p w:rsidR="004A147C" w:rsidRPr="00B53FFB" w:rsidRDefault="004A147C" w:rsidP="00CE5850">
      <w:pPr>
        <w:jc w:val="center"/>
        <w:rPr>
          <w:b/>
          <w:bCs/>
          <w:szCs w:val="22"/>
        </w:rPr>
      </w:pPr>
      <w:r w:rsidRPr="00B53FFB">
        <w:rPr>
          <w:b/>
          <w:bCs/>
          <w:szCs w:val="22"/>
        </w:rPr>
        <w:t>Mobile Wireless Network Coverage</w:t>
      </w:r>
    </w:p>
    <w:p w:rsidR="004A147C" w:rsidRPr="00B53FFB" w:rsidRDefault="00C81B24" w:rsidP="00CE5850">
      <w:pPr>
        <w:jc w:val="center"/>
        <w:rPr>
          <w:szCs w:val="22"/>
        </w:rPr>
      </w:pPr>
      <w:r>
        <w:rPr>
          <w:noProof/>
        </w:rPr>
        <w:drawing>
          <wp:inline distT="0" distB="0" distL="0" distR="0" wp14:anchorId="6CAC6FC3" wp14:editId="2E487F4E">
            <wp:extent cx="3771900" cy="4953000"/>
            <wp:effectExtent l="0" t="0" r="0" b="0"/>
            <wp:docPr id="2" name="Picture 2" descr="Terrestrial Wireless Coverage by Number of Providers Over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Terrestrial Wireless Coverage by Number of Providers Overview"/>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rot="5400000">
                      <a:off x="0" y="0"/>
                      <a:ext cx="3771900" cy="4953000"/>
                    </a:xfrm>
                    <a:prstGeom prst="rect">
                      <a:avLst/>
                    </a:prstGeom>
                    <a:noFill/>
                    <a:ln>
                      <a:noFill/>
                    </a:ln>
                  </pic:spPr>
                </pic:pic>
              </a:graphicData>
            </a:graphic>
          </wp:inline>
        </w:drawing>
      </w:r>
    </w:p>
    <w:p w:rsidR="004A147C" w:rsidRPr="00B53FFB" w:rsidRDefault="004A147C" w:rsidP="00CE5850">
      <w:pPr>
        <w:rPr>
          <w:szCs w:val="22"/>
        </w:rPr>
      </w:pPr>
    </w:p>
    <w:p w:rsidR="004A147C" w:rsidRPr="00B53FFB" w:rsidRDefault="004A147C" w:rsidP="00CE5850">
      <w:pPr>
        <w:pStyle w:val="Heading1"/>
        <w:keepNext w:val="0"/>
        <w:numPr>
          <w:ilvl w:val="0"/>
          <w:numId w:val="26"/>
        </w:numPr>
        <w:tabs>
          <w:tab w:val="left" w:pos="720"/>
        </w:tabs>
        <w:suppressAutoHyphens w:val="0"/>
        <w:rPr>
          <w:sz w:val="22"/>
          <w:szCs w:val="22"/>
        </w:rPr>
      </w:pPr>
      <w:bookmarkStart w:id="26" w:name="_Toc261610751"/>
      <w:bookmarkStart w:id="27" w:name="_Toc261858484"/>
      <w:bookmarkStart w:id="28" w:name="_Toc262034289"/>
      <w:bookmarkStart w:id="29" w:name="_Toc262034392"/>
      <w:bookmarkStart w:id="30" w:name="_Toc271288431"/>
      <w:bookmarkStart w:id="31" w:name="_Toc275517948"/>
      <w:bookmarkStart w:id="32" w:name="_Toc275952387"/>
      <w:bookmarkStart w:id="33" w:name="_Toc276121820"/>
      <w:bookmarkStart w:id="34" w:name="_Toc276480657"/>
      <w:bookmarkStart w:id="35" w:name="_Toc276741734"/>
      <w:bookmarkStart w:id="36" w:name="_Toc277171498"/>
      <w:bookmarkStart w:id="37" w:name="_Toc277864473"/>
      <w:bookmarkStart w:id="38" w:name="_Toc277864689"/>
      <w:bookmarkStart w:id="39" w:name="_Ref281314023"/>
      <w:bookmarkStart w:id="40" w:name="_Ref281381088"/>
      <w:bookmarkStart w:id="41" w:name="_Ref283369891"/>
      <w:bookmarkStart w:id="42" w:name="_Ref285704486"/>
      <w:bookmarkStart w:id="43" w:name="_Toc285810370"/>
      <w:bookmarkStart w:id="44" w:name="_Ref286850914"/>
      <w:bookmarkStart w:id="45" w:name="_Toc287257764"/>
      <w:bookmarkStart w:id="46" w:name="_Ref287339919"/>
      <w:bookmarkStart w:id="47" w:name="_Ref287341971"/>
      <w:bookmarkStart w:id="48" w:name="_Toc291758643"/>
      <w:bookmarkStart w:id="49" w:name="_Toc291758746"/>
      <w:bookmarkStart w:id="50" w:name="_Toc295392926"/>
      <w:bookmarkStart w:id="51" w:name="_Toc329262475"/>
      <w:bookmarkStart w:id="52" w:name="_Toc329852378"/>
      <w:bookmarkStart w:id="53" w:name="_Toc331766294"/>
      <w:bookmarkStart w:id="54" w:name="_Toc332119090"/>
      <w:bookmarkStart w:id="55" w:name="_Toc334088769"/>
      <w:bookmarkStart w:id="56" w:name="_Toc334089005"/>
      <w:bookmarkStart w:id="57" w:name="_Toc334089164"/>
      <w:bookmarkStart w:id="58" w:name="_Toc334089275"/>
      <w:bookmarkStart w:id="59" w:name="_Toc334089439"/>
      <w:bookmarkStart w:id="60" w:name="_Toc335839013"/>
      <w:bookmarkStart w:id="61" w:name="_Toc336268576"/>
      <w:bookmarkStart w:id="62" w:name="_Toc336268684"/>
      <w:bookmarkStart w:id="63" w:name="_Toc336268791"/>
      <w:bookmarkStart w:id="64" w:name="_Toc336269005"/>
      <w:bookmarkStart w:id="65" w:name="_Toc336269112"/>
      <w:bookmarkStart w:id="66" w:name="_Toc336269480"/>
      <w:bookmarkStart w:id="67" w:name="_Toc336269626"/>
      <w:bookmarkStart w:id="68" w:name="_Toc336270039"/>
      <w:bookmarkStart w:id="69" w:name="_Toc336271247"/>
      <w:bookmarkStart w:id="70" w:name="_Ref336859157"/>
      <w:bookmarkStart w:id="71" w:name="_Toc337651940"/>
      <w:bookmarkStart w:id="72" w:name="_Toc349577128"/>
      <w:bookmarkStart w:id="73" w:name="_Toc349579220"/>
      <w:bookmarkStart w:id="74" w:name="_Toc349580535"/>
      <w:bookmarkStart w:id="75" w:name="_Toc349734943"/>
      <w:bookmarkStart w:id="76" w:name="_Toc349742308"/>
      <w:r w:rsidRPr="00B53FFB">
        <w:rPr>
          <w:sz w:val="22"/>
          <w:szCs w:val="22"/>
        </w:rPr>
        <w:lastRenderedPageBreak/>
        <w:t>EXECUTIVE SUMMARY</w:t>
      </w:r>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p>
    <w:p w:rsidR="004A147C" w:rsidRPr="00546BED" w:rsidRDefault="004A147C" w:rsidP="00CE5850">
      <w:pPr>
        <w:pStyle w:val="ParaNum"/>
        <w:numPr>
          <w:ilvl w:val="0"/>
          <w:numId w:val="28"/>
        </w:numPr>
        <w:tabs>
          <w:tab w:val="num" w:pos="1440"/>
        </w:tabs>
      </w:pPr>
      <w:bookmarkStart w:id="77" w:name="_Toc474651935"/>
      <w:bookmarkStart w:id="78" w:name="_Ref483810772"/>
      <w:bookmarkStart w:id="79" w:name="_Toc486250194"/>
      <w:bookmarkStart w:id="80" w:name="_Toc508445577"/>
      <w:r w:rsidRPr="00546BED">
        <w:rPr>
          <w:sz w:val="22"/>
          <w:szCs w:val="22"/>
        </w:rPr>
        <w:t>The Federal Communications Commission (Commission) is required to report annually to Congress on the state of competition in the mobile services marketplace, pursuant to section 332(c)(1)(C) of the Communications Act.   In June 2011, the Commission released the Fifteenth Report, which provided an analysis of mobile wireless market conditions during 2009 and, to the extent data were available, 2010</w:t>
      </w:r>
      <w:r w:rsidRPr="00B53FFB">
        <w:t>.</w:t>
      </w:r>
      <w:r w:rsidRPr="00B53FFB">
        <w:rPr>
          <w:vertAlign w:val="superscript"/>
        </w:rPr>
        <w:footnoteReference w:id="2"/>
      </w:r>
      <w:r w:rsidRPr="00B53FFB">
        <w:t xml:space="preserve">  </w:t>
      </w:r>
      <w:r w:rsidRPr="00546BED">
        <w:rPr>
          <w:sz w:val="22"/>
          <w:szCs w:val="22"/>
        </w:rPr>
        <w:t>This year’s sixteenth Mobile Wireless Competition Report (Sixteenth Report or Report) updates the data and analysis presented in the Fifteenth Report, and analyzes mobile wireless service market conditions during 2010 and 2011, as well as during 2012 to the extent data are available</w:t>
      </w:r>
      <w:r>
        <w:t>.</w:t>
      </w:r>
      <w:r w:rsidRPr="00B53FFB">
        <w:rPr>
          <w:vertAlign w:val="superscript"/>
        </w:rPr>
        <w:footnoteReference w:id="3"/>
      </w:r>
      <w:r w:rsidRPr="00B53FFB">
        <w:t xml:space="preserve"> </w:t>
      </w:r>
      <w:r>
        <w:t xml:space="preserve"> </w:t>
      </w:r>
      <w:r w:rsidRPr="00546BED">
        <w:rPr>
          <w:sz w:val="22"/>
          <w:szCs w:val="22"/>
        </w:rPr>
        <w:t>The analysis includes “competitive market conditions with respect to commercial mobile services” as required by the Act</w:t>
      </w:r>
      <w:r w:rsidRPr="00B53FFB">
        <w:t>.</w:t>
      </w:r>
      <w:r w:rsidRPr="00B53FFB">
        <w:rPr>
          <w:vertAlign w:val="superscript"/>
        </w:rPr>
        <w:footnoteReference w:id="4"/>
      </w:r>
      <w:r w:rsidRPr="00B53FFB">
        <w:t xml:space="preserve">  </w:t>
      </w:r>
      <w:r w:rsidRPr="00546BED">
        <w:rPr>
          <w:sz w:val="22"/>
          <w:szCs w:val="22"/>
        </w:rPr>
        <w:t>Like the Fifteenth Report, the Sixteenth Report presents a multitude of industry data on various aspects of mobile wireless competition</w:t>
      </w:r>
      <w:r w:rsidRPr="00B53FFB">
        <w:t>.</w:t>
      </w:r>
      <w:r w:rsidRPr="00B53FFB">
        <w:rPr>
          <w:vertAlign w:val="superscript"/>
        </w:rPr>
        <w:footnoteReference w:id="5"/>
      </w:r>
      <w:r w:rsidRPr="00B53FFB">
        <w:t xml:space="preserve">  </w:t>
      </w:r>
    </w:p>
    <w:p w:rsidR="004A147C" w:rsidRPr="007500FE" w:rsidRDefault="004A147C" w:rsidP="00CE5850">
      <w:pPr>
        <w:pStyle w:val="ParaNum"/>
        <w:numPr>
          <w:ilvl w:val="0"/>
          <w:numId w:val="28"/>
        </w:numPr>
        <w:tabs>
          <w:tab w:val="num" w:pos="1440"/>
        </w:tabs>
        <w:rPr>
          <w:sz w:val="22"/>
          <w:szCs w:val="22"/>
        </w:rPr>
      </w:pPr>
      <w:r w:rsidRPr="007500FE">
        <w:rPr>
          <w:sz w:val="22"/>
          <w:szCs w:val="22"/>
        </w:rPr>
        <w:t xml:space="preserve">Consistent with the Commission’s first seven Annual Commercial Mobile Radio Service (CMRS) Competition Reports, the </w:t>
      </w:r>
      <w:r w:rsidRPr="007500FE">
        <w:rPr>
          <w:i/>
          <w:sz w:val="22"/>
          <w:szCs w:val="22"/>
        </w:rPr>
        <w:t xml:space="preserve">Fourteenth </w:t>
      </w:r>
      <w:r w:rsidRPr="007500FE">
        <w:rPr>
          <w:sz w:val="22"/>
          <w:szCs w:val="22"/>
        </w:rPr>
        <w:t>and</w:t>
      </w:r>
      <w:r w:rsidRPr="007500FE">
        <w:rPr>
          <w:i/>
          <w:sz w:val="22"/>
          <w:szCs w:val="22"/>
        </w:rPr>
        <w:t xml:space="preserve"> Fifteenth Reports </w:t>
      </w:r>
      <w:r w:rsidRPr="007500FE">
        <w:rPr>
          <w:sz w:val="22"/>
          <w:szCs w:val="22"/>
        </w:rPr>
        <w:t>did not reach an overall conclusion</w:t>
      </w:r>
      <w:r w:rsidR="00C01002">
        <w:rPr>
          <w:sz w:val="22"/>
          <w:szCs w:val="22"/>
        </w:rPr>
        <w:t xml:space="preserve"> regarding whether or not the CM</w:t>
      </w:r>
      <w:r w:rsidRPr="007500FE">
        <w:rPr>
          <w:sz w:val="22"/>
          <w:szCs w:val="22"/>
        </w:rPr>
        <w:t xml:space="preserve">RS marketplace was effectively competitive, but provided an analysis and description of the CMRS industry’s competitive metrics and trends.  The </w:t>
      </w:r>
      <w:r w:rsidRPr="007500FE">
        <w:rPr>
          <w:i/>
          <w:sz w:val="22"/>
          <w:szCs w:val="22"/>
        </w:rPr>
        <w:t xml:space="preserve">Sixteenth Report </w:t>
      </w:r>
      <w:r w:rsidRPr="007500FE">
        <w:rPr>
          <w:sz w:val="22"/>
          <w:szCs w:val="22"/>
        </w:rPr>
        <w:t xml:space="preserve">follows the same analytical framework used in the </w:t>
      </w:r>
      <w:r w:rsidRPr="007500FE">
        <w:rPr>
          <w:i/>
          <w:sz w:val="22"/>
          <w:szCs w:val="22"/>
        </w:rPr>
        <w:t xml:space="preserve">Fifteenth </w:t>
      </w:r>
      <w:r w:rsidRPr="007500FE">
        <w:rPr>
          <w:sz w:val="22"/>
          <w:szCs w:val="22"/>
        </w:rPr>
        <w:t>and</w:t>
      </w:r>
      <w:r w:rsidRPr="007500FE">
        <w:rPr>
          <w:i/>
          <w:sz w:val="22"/>
          <w:szCs w:val="22"/>
        </w:rPr>
        <w:t xml:space="preserve"> Fourteenth Reports</w:t>
      </w:r>
      <w:r w:rsidRPr="007500FE">
        <w:rPr>
          <w:sz w:val="22"/>
          <w:szCs w:val="22"/>
        </w:rPr>
        <w:t xml:space="preserve">, with certain improvements based on responses to those </w:t>
      </w:r>
      <w:r w:rsidRPr="007500FE">
        <w:rPr>
          <w:i/>
          <w:sz w:val="22"/>
          <w:szCs w:val="22"/>
        </w:rPr>
        <w:t>Reports</w:t>
      </w:r>
      <w:r w:rsidRPr="007500FE">
        <w:rPr>
          <w:sz w:val="22"/>
          <w:szCs w:val="22"/>
        </w:rPr>
        <w:t xml:space="preserve">.  The </w:t>
      </w:r>
      <w:r w:rsidRPr="007500FE">
        <w:rPr>
          <w:i/>
          <w:sz w:val="22"/>
          <w:szCs w:val="22"/>
        </w:rPr>
        <w:t>Sixteenth Report</w:t>
      </w:r>
      <w:r w:rsidRPr="007500FE">
        <w:rPr>
          <w:sz w:val="22"/>
          <w:szCs w:val="22"/>
        </w:rPr>
        <w:t xml:space="preserve"> also makes no formal finding as to whether there is, or is not, effective competition in the industry.  Rather, given the complexity of the various inter-related segments and services within the mobile wireless ecosystem, the </w:t>
      </w:r>
      <w:r w:rsidRPr="007500FE">
        <w:rPr>
          <w:i/>
          <w:sz w:val="22"/>
          <w:szCs w:val="22"/>
        </w:rPr>
        <w:t>Report</w:t>
      </w:r>
      <w:r w:rsidRPr="007500FE">
        <w:rPr>
          <w:sz w:val="22"/>
          <w:szCs w:val="22"/>
        </w:rPr>
        <w:t xml:space="preserve"> focuses on presenting the best data available on competition throughout this sector of the economy and highlighting several key trends in the mobile wireless industry.</w:t>
      </w:r>
    </w:p>
    <w:p w:rsidR="004A147C" w:rsidRPr="00B53FFB" w:rsidRDefault="004A147C" w:rsidP="00CE5850">
      <w:pPr>
        <w:spacing w:after="120"/>
        <w:rPr>
          <w:szCs w:val="22"/>
        </w:rPr>
      </w:pPr>
      <w:r w:rsidRPr="00B53FFB">
        <w:rPr>
          <w:szCs w:val="22"/>
        </w:rPr>
        <w:t xml:space="preserve">Selected developments and key metrics with respect to the current state of mobile wireless competition, as set forth in the </w:t>
      </w:r>
      <w:r w:rsidRPr="00B53FFB">
        <w:rPr>
          <w:i/>
          <w:szCs w:val="22"/>
        </w:rPr>
        <w:t>Report</w:t>
      </w:r>
      <w:r w:rsidRPr="00B53FFB">
        <w:rPr>
          <w:szCs w:val="22"/>
        </w:rPr>
        <w:t>, are highlighted below:</w:t>
      </w:r>
    </w:p>
    <w:p w:rsidR="004A147C" w:rsidRPr="00B53FFB" w:rsidRDefault="004A147C" w:rsidP="00CE5850">
      <w:pPr>
        <w:spacing w:after="120"/>
        <w:rPr>
          <w:szCs w:val="22"/>
        </w:rPr>
      </w:pPr>
    </w:p>
    <w:p w:rsidR="004A147C" w:rsidRPr="00B53FFB" w:rsidRDefault="004A147C" w:rsidP="00CE5850">
      <w:pPr>
        <w:rPr>
          <w:b/>
          <w:color w:val="000000"/>
          <w:szCs w:val="22"/>
          <w:u w:val="single"/>
        </w:rPr>
      </w:pPr>
      <w:r w:rsidRPr="00B53FFB">
        <w:rPr>
          <w:b/>
          <w:color w:val="000000"/>
          <w:szCs w:val="22"/>
          <w:u w:val="single"/>
        </w:rPr>
        <w:t>Network Deployment</w:t>
      </w:r>
    </w:p>
    <w:p w:rsidR="004A147C" w:rsidRPr="00B53FFB" w:rsidRDefault="004A147C" w:rsidP="00CE5850">
      <w:pPr>
        <w:rPr>
          <w:b/>
          <w:color w:val="000000"/>
          <w:szCs w:val="22"/>
          <w:u w:val="single"/>
        </w:rPr>
      </w:pPr>
    </w:p>
    <w:p w:rsidR="004A147C" w:rsidRPr="00B53FFB" w:rsidRDefault="004A147C" w:rsidP="00CE5850">
      <w:pPr>
        <w:rPr>
          <w:color w:val="000000"/>
          <w:szCs w:val="22"/>
        </w:rPr>
      </w:pPr>
      <w:r w:rsidRPr="00B53FFB">
        <w:rPr>
          <w:color w:val="000000"/>
          <w:szCs w:val="22"/>
        </w:rPr>
        <w:t xml:space="preserve">Consistent with the previous four </w:t>
      </w:r>
      <w:r w:rsidRPr="00B53FFB">
        <w:rPr>
          <w:i/>
          <w:color w:val="000000"/>
          <w:szCs w:val="22"/>
        </w:rPr>
        <w:t>Reports</w:t>
      </w:r>
      <w:r w:rsidRPr="00B53FFB">
        <w:rPr>
          <w:color w:val="000000"/>
          <w:szCs w:val="22"/>
        </w:rPr>
        <w:t xml:space="preserve">, the Commission has </w:t>
      </w:r>
      <w:r w:rsidRPr="00B53FFB">
        <w:rPr>
          <w:szCs w:val="22"/>
        </w:rPr>
        <w:t xml:space="preserve">conducted an analysis of service provider coverage by census block, based on data from </w:t>
      </w:r>
      <w:bookmarkStart w:id="81" w:name="_Ref260053502"/>
      <w:r w:rsidRPr="00B53FFB">
        <w:rPr>
          <w:szCs w:val="22"/>
        </w:rPr>
        <w:t>Mosaik Solutions, formerly American Roamer,</w:t>
      </w:r>
      <w:r w:rsidRPr="00B53FFB">
        <w:rPr>
          <w:szCs w:val="22"/>
          <w:vertAlign w:val="superscript"/>
        </w:rPr>
        <w:footnoteReference w:id="6"/>
      </w:r>
      <w:bookmarkEnd w:id="81"/>
      <w:r w:rsidRPr="00B53FFB">
        <w:rPr>
          <w:szCs w:val="22"/>
        </w:rPr>
        <w:t xml:space="preserve"> and </w:t>
      </w:r>
      <w:r w:rsidRPr="00B53FFB">
        <w:rPr>
          <w:szCs w:val="22"/>
        </w:rPr>
        <w:lastRenderedPageBreak/>
        <w:t>population data from the 2010 Census.</w:t>
      </w:r>
      <w:r w:rsidRPr="00B53FFB">
        <w:rPr>
          <w:szCs w:val="22"/>
          <w:vertAlign w:val="superscript"/>
        </w:rPr>
        <w:footnoteReference w:id="7"/>
      </w:r>
      <w:r w:rsidRPr="00B53FFB">
        <w:rPr>
          <w:szCs w:val="22"/>
        </w:rPr>
        <w:t xml:space="preserve">  While recognizing that this analysis likely overstates the coverage actually experienced by consumers because of limitations of the Mosaik data, we find that this analysis is useful because it provides a general baseline that can be compared over time across network types, technologies, and providers.  </w:t>
      </w:r>
      <w:r>
        <w:rPr>
          <w:szCs w:val="22"/>
        </w:rPr>
        <w:t>For the first time, w</w:t>
      </w:r>
      <w:r w:rsidRPr="00B53FFB">
        <w:rPr>
          <w:szCs w:val="22"/>
        </w:rPr>
        <w:t xml:space="preserve">e present estimated coverage in terms of road miles in addition to population and square miles.   We also note that these data </w:t>
      </w:r>
      <w:r>
        <w:rPr>
          <w:szCs w:val="22"/>
        </w:rPr>
        <w:t>es</w:t>
      </w:r>
      <w:r w:rsidRPr="00B53FFB">
        <w:rPr>
          <w:szCs w:val="22"/>
        </w:rPr>
        <w:t>t</w:t>
      </w:r>
      <w:r>
        <w:rPr>
          <w:szCs w:val="22"/>
        </w:rPr>
        <w:t>imate</w:t>
      </w:r>
      <w:r w:rsidRPr="00B53FFB">
        <w:rPr>
          <w:szCs w:val="22"/>
        </w:rPr>
        <w:t xml:space="preserve"> the number of providers with network coverage in these census blocks, which </w:t>
      </w:r>
      <w:r>
        <w:rPr>
          <w:szCs w:val="22"/>
        </w:rPr>
        <w:t>can often differ</w:t>
      </w:r>
      <w:r w:rsidRPr="00B53FFB">
        <w:rPr>
          <w:szCs w:val="22"/>
        </w:rPr>
        <w:t xml:space="preserve"> from the number of providers actually offering service to consumers who live in these census blocks.</w:t>
      </w:r>
      <w:r w:rsidRPr="00B53FFB">
        <w:rPr>
          <w:i/>
          <w:color w:val="000000"/>
          <w:szCs w:val="22"/>
        </w:rPr>
        <w:t xml:space="preserve">  </w:t>
      </w:r>
    </w:p>
    <w:p w:rsidR="004A147C" w:rsidRPr="00B53FFB" w:rsidRDefault="004A147C" w:rsidP="00CE5850">
      <w:pPr>
        <w:rPr>
          <w:i/>
          <w:color w:val="000000"/>
          <w:szCs w:val="22"/>
        </w:rPr>
      </w:pPr>
    </w:p>
    <w:p w:rsidR="004A147C" w:rsidRPr="00B53FFB" w:rsidRDefault="004A147C" w:rsidP="00CE5850">
      <w:pPr>
        <w:rPr>
          <w:b/>
          <w:szCs w:val="22"/>
        </w:rPr>
      </w:pPr>
    </w:p>
    <w:p w:rsidR="004A147C" w:rsidRDefault="004A147C" w:rsidP="00CE5850">
      <w:pPr>
        <w:jc w:val="center"/>
        <w:rPr>
          <w:b/>
          <w:szCs w:val="22"/>
        </w:rPr>
      </w:pPr>
      <w:r w:rsidRPr="003C2D6C">
        <w:rPr>
          <w:b/>
          <w:szCs w:val="22"/>
        </w:rPr>
        <w:t xml:space="preserve">Estimated Mobile Wireless Coverage by Census Block, </w:t>
      </w:r>
      <w:r>
        <w:rPr>
          <w:b/>
          <w:szCs w:val="22"/>
        </w:rPr>
        <w:t>Oct</w:t>
      </w:r>
      <w:r w:rsidRPr="003C2D6C">
        <w:rPr>
          <w:b/>
          <w:szCs w:val="22"/>
        </w:rPr>
        <w:t>. 2012</w:t>
      </w:r>
      <w:r w:rsidRPr="00B53FFB">
        <w:rPr>
          <w:b/>
          <w:szCs w:val="22"/>
          <w:vertAlign w:val="superscript"/>
        </w:rPr>
        <w:footnoteReference w:id="8"/>
      </w:r>
    </w:p>
    <w:p w:rsidR="00E050F9" w:rsidRDefault="00E050F9" w:rsidP="00CE5850">
      <w:pPr>
        <w:jc w:val="center"/>
        <w:rPr>
          <w:b/>
          <w:szCs w:val="22"/>
        </w:rPr>
      </w:pPr>
    </w:p>
    <w:p w:rsidR="004A147C" w:rsidRPr="00B53FFB" w:rsidRDefault="00C81B24" w:rsidP="00CE5850">
      <w:pPr>
        <w:jc w:val="center"/>
        <w:rPr>
          <w:b/>
          <w:szCs w:val="22"/>
        </w:rPr>
      </w:pPr>
      <w:r>
        <w:rPr>
          <w:noProof/>
        </w:rPr>
        <w:drawing>
          <wp:inline distT="0" distB="0" distL="0" distR="0" wp14:anchorId="4B60CC7A" wp14:editId="5B913CCF">
            <wp:extent cx="5905500" cy="2543175"/>
            <wp:effectExtent l="0" t="0" r="0" b="952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905500" cy="2543175"/>
                    </a:xfrm>
                    <a:prstGeom prst="rect">
                      <a:avLst/>
                    </a:prstGeom>
                    <a:noFill/>
                    <a:ln>
                      <a:noFill/>
                    </a:ln>
                  </pic:spPr>
                </pic:pic>
              </a:graphicData>
            </a:graphic>
          </wp:inline>
        </w:drawing>
      </w:r>
    </w:p>
    <w:p w:rsidR="004A147C" w:rsidRPr="00B53FFB" w:rsidRDefault="004A147C" w:rsidP="00CE5850">
      <w:pPr>
        <w:rPr>
          <w:b/>
          <w:szCs w:val="22"/>
        </w:rPr>
      </w:pPr>
    </w:p>
    <w:p w:rsidR="004A147C" w:rsidRDefault="004A147C" w:rsidP="00CE5850">
      <w:pPr>
        <w:jc w:val="center"/>
        <w:rPr>
          <w:b/>
          <w:szCs w:val="22"/>
        </w:rPr>
      </w:pPr>
    </w:p>
    <w:p w:rsidR="00E050F9" w:rsidRDefault="00E050F9" w:rsidP="00CE5850">
      <w:pPr>
        <w:jc w:val="center"/>
        <w:rPr>
          <w:b/>
          <w:szCs w:val="22"/>
        </w:rPr>
      </w:pPr>
    </w:p>
    <w:p w:rsidR="00E050F9" w:rsidRDefault="00E050F9" w:rsidP="00CE5850">
      <w:pPr>
        <w:jc w:val="center"/>
        <w:rPr>
          <w:b/>
          <w:szCs w:val="22"/>
        </w:rPr>
      </w:pPr>
    </w:p>
    <w:p w:rsidR="00E050F9" w:rsidRDefault="00E050F9" w:rsidP="00CE5850">
      <w:pPr>
        <w:jc w:val="center"/>
        <w:rPr>
          <w:b/>
          <w:szCs w:val="22"/>
        </w:rPr>
      </w:pPr>
    </w:p>
    <w:p w:rsidR="00E050F9" w:rsidRDefault="00E050F9" w:rsidP="00CE5850">
      <w:pPr>
        <w:jc w:val="center"/>
        <w:rPr>
          <w:b/>
          <w:szCs w:val="22"/>
        </w:rPr>
      </w:pPr>
    </w:p>
    <w:p w:rsidR="00E050F9" w:rsidRDefault="00E050F9" w:rsidP="00CE5850">
      <w:pPr>
        <w:jc w:val="center"/>
        <w:rPr>
          <w:b/>
          <w:szCs w:val="22"/>
        </w:rPr>
      </w:pPr>
    </w:p>
    <w:p w:rsidR="00E050F9" w:rsidRDefault="00E050F9" w:rsidP="00CE5850">
      <w:pPr>
        <w:jc w:val="center"/>
        <w:rPr>
          <w:b/>
          <w:szCs w:val="22"/>
        </w:rPr>
      </w:pPr>
    </w:p>
    <w:p w:rsidR="00E050F9" w:rsidRDefault="00E050F9" w:rsidP="00CE5850">
      <w:pPr>
        <w:jc w:val="center"/>
        <w:rPr>
          <w:b/>
          <w:szCs w:val="22"/>
        </w:rPr>
      </w:pPr>
    </w:p>
    <w:p w:rsidR="00E050F9" w:rsidRDefault="00E050F9" w:rsidP="00CE5850">
      <w:pPr>
        <w:jc w:val="center"/>
        <w:rPr>
          <w:b/>
          <w:szCs w:val="22"/>
        </w:rPr>
      </w:pPr>
    </w:p>
    <w:p w:rsidR="00E050F9" w:rsidRDefault="00E050F9" w:rsidP="00CE5850">
      <w:pPr>
        <w:jc w:val="center"/>
        <w:rPr>
          <w:b/>
          <w:szCs w:val="22"/>
        </w:rPr>
      </w:pPr>
    </w:p>
    <w:p w:rsidR="00E050F9" w:rsidRDefault="00E050F9" w:rsidP="00CE5850">
      <w:pPr>
        <w:jc w:val="center"/>
        <w:rPr>
          <w:b/>
          <w:szCs w:val="22"/>
        </w:rPr>
      </w:pPr>
    </w:p>
    <w:p w:rsidR="00E050F9" w:rsidRPr="00B53FFB" w:rsidRDefault="00E050F9" w:rsidP="00CE5850">
      <w:pPr>
        <w:jc w:val="center"/>
        <w:rPr>
          <w:b/>
          <w:szCs w:val="22"/>
        </w:rPr>
      </w:pPr>
    </w:p>
    <w:p w:rsidR="004A147C" w:rsidRDefault="004A147C" w:rsidP="00CE5850">
      <w:pPr>
        <w:jc w:val="center"/>
        <w:rPr>
          <w:b/>
          <w:szCs w:val="22"/>
        </w:rPr>
      </w:pPr>
      <w:r w:rsidRPr="00B53FFB">
        <w:rPr>
          <w:b/>
          <w:szCs w:val="22"/>
        </w:rPr>
        <w:lastRenderedPageBreak/>
        <w:t xml:space="preserve">Estimated Mobile Wireless Broadband Coverage by Census Block, </w:t>
      </w:r>
      <w:r>
        <w:rPr>
          <w:b/>
          <w:szCs w:val="22"/>
        </w:rPr>
        <w:t>Oct</w:t>
      </w:r>
      <w:r w:rsidRPr="00B53FFB">
        <w:rPr>
          <w:b/>
          <w:szCs w:val="22"/>
        </w:rPr>
        <w:t>. 2012</w:t>
      </w:r>
    </w:p>
    <w:p w:rsidR="00E050F9" w:rsidRDefault="00E050F9" w:rsidP="00CE5850">
      <w:pPr>
        <w:jc w:val="center"/>
        <w:rPr>
          <w:b/>
          <w:noProof/>
          <w:szCs w:val="22"/>
        </w:rPr>
      </w:pPr>
    </w:p>
    <w:p w:rsidR="004A147C" w:rsidRPr="00B53FFB" w:rsidRDefault="00C81B24" w:rsidP="00E050F9">
      <w:pPr>
        <w:jc w:val="center"/>
        <w:rPr>
          <w:b/>
          <w:color w:val="000000"/>
          <w:szCs w:val="22"/>
        </w:rPr>
      </w:pPr>
      <w:r>
        <w:rPr>
          <w:noProof/>
          <w:szCs w:val="22"/>
        </w:rPr>
        <w:drawing>
          <wp:inline distT="0" distB="0" distL="0" distR="0" wp14:anchorId="6DD6BEE4" wp14:editId="62662E08">
            <wp:extent cx="6019800" cy="2800350"/>
            <wp:effectExtent l="0" t="0" r="0" b="0"/>
            <wp:docPr id="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019800" cy="2800350"/>
                    </a:xfrm>
                    <a:prstGeom prst="rect">
                      <a:avLst/>
                    </a:prstGeom>
                    <a:noFill/>
                    <a:ln>
                      <a:noFill/>
                    </a:ln>
                  </pic:spPr>
                </pic:pic>
              </a:graphicData>
            </a:graphic>
          </wp:inline>
        </w:drawing>
      </w:r>
    </w:p>
    <w:p w:rsidR="004A147C" w:rsidRPr="00B53FFB" w:rsidRDefault="004A147C" w:rsidP="00CE5850">
      <w:pPr>
        <w:jc w:val="center"/>
        <w:rPr>
          <w:b/>
          <w:color w:val="000000"/>
          <w:szCs w:val="22"/>
        </w:rPr>
      </w:pPr>
    </w:p>
    <w:p w:rsidR="004A147C" w:rsidRPr="00B53FFB" w:rsidRDefault="004A147C" w:rsidP="00CE5850">
      <w:pPr>
        <w:rPr>
          <w:szCs w:val="22"/>
        </w:rPr>
      </w:pPr>
      <w:r w:rsidRPr="00B53FFB">
        <w:rPr>
          <w:color w:val="000000"/>
          <w:szCs w:val="22"/>
        </w:rPr>
        <w:t xml:space="preserve">During the time period covered by this </w:t>
      </w:r>
      <w:r w:rsidRPr="00B53FFB">
        <w:rPr>
          <w:i/>
          <w:color w:val="000000"/>
          <w:szCs w:val="22"/>
        </w:rPr>
        <w:t>Report</w:t>
      </w:r>
      <w:r w:rsidRPr="00B53FFB">
        <w:rPr>
          <w:color w:val="000000"/>
          <w:szCs w:val="22"/>
        </w:rPr>
        <w:t xml:space="preserve">, </w:t>
      </w:r>
      <w:r w:rsidRPr="00B53FFB">
        <w:rPr>
          <w:szCs w:val="22"/>
        </w:rPr>
        <w:t xml:space="preserve">the four nationwide </w:t>
      </w:r>
      <w:r>
        <w:rPr>
          <w:szCs w:val="22"/>
        </w:rPr>
        <w:t xml:space="preserve">facilities-based </w:t>
      </w:r>
      <w:r w:rsidRPr="00B53FFB">
        <w:rPr>
          <w:szCs w:val="22"/>
        </w:rPr>
        <w:t>mobile wireless servic</w:t>
      </w:r>
      <w:r w:rsidR="005C2A7B">
        <w:rPr>
          <w:szCs w:val="22"/>
        </w:rPr>
        <w:t>e providers (Verizon Wireless, A</w:t>
      </w:r>
      <w:r w:rsidRPr="00B53FFB">
        <w:rPr>
          <w:szCs w:val="22"/>
        </w:rPr>
        <w:t xml:space="preserve">T&amp;T, Sprint Nextel, and T-Mobile), as well as other mobile operators, continued to upgrade and expand their networks with advanced 3G and 4G technologies that </w:t>
      </w:r>
      <w:r w:rsidR="000044B6">
        <w:rPr>
          <w:szCs w:val="22"/>
        </w:rPr>
        <w:t>allow for faster mobile broadban</w:t>
      </w:r>
      <w:r w:rsidRPr="00B53FFB">
        <w:rPr>
          <w:szCs w:val="22"/>
        </w:rPr>
        <w:t>d connection speeds.</w:t>
      </w:r>
      <w:r w:rsidRPr="00B53FFB">
        <w:rPr>
          <w:szCs w:val="22"/>
          <w:vertAlign w:val="superscript"/>
        </w:rPr>
        <w:footnoteReference w:id="9"/>
      </w:r>
    </w:p>
    <w:p w:rsidR="004A147C" w:rsidRPr="00B53FFB" w:rsidRDefault="004A147C" w:rsidP="00CE5850">
      <w:pPr>
        <w:jc w:val="center"/>
        <w:rPr>
          <w:b/>
          <w:szCs w:val="22"/>
        </w:rPr>
      </w:pPr>
    </w:p>
    <w:p w:rsidR="004A147C" w:rsidRPr="00B53FFB" w:rsidRDefault="004A147C" w:rsidP="00CE5850">
      <w:pPr>
        <w:jc w:val="center"/>
        <w:rPr>
          <w:color w:val="000000"/>
          <w:szCs w:val="22"/>
        </w:rPr>
      </w:pPr>
      <w:r>
        <w:rPr>
          <w:b/>
          <w:szCs w:val="22"/>
        </w:rPr>
        <w:t xml:space="preserve">3G/4G Deployment Reported </w:t>
      </w:r>
      <w:r w:rsidRPr="00B53FFB">
        <w:rPr>
          <w:b/>
          <w:szCs w:val="22"/>
        </w:rPr>
        <w:t>by Selected Mobile Wireless Service Providers</w:t>
      </w:r>
      <w:r w:rsidRPr="00B53FFB">
        <w:rPr>
          <w:b/>
          <w:szCs w:val="22"/>
          <w:vertAlign w:val="superscript"/>
        </w:rPr>
        <w:footnoteReference w:id="10"/>
      </w:r>
    </w:p>
    <w:p w:rsidR="004A147C" w:rsidRPr="00B53FFB" w:rsidRDefault="004A147C" w:rsidP="00CE5850">
      <w:pPr>
        <w:rPr>
          <w:b/>
          <w:color w:val="000000"/>
          <w:szCs w:val="22"/>
          <w:u w:val="single"/>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674"/>
        <w:gridCol w:w="3762"/>
        <w:gridCol w:w="3672"/>
      </w:tblGrid>
      <w:tr w:rsidR="004A147C" w:rsidRPr="00B53FFB" w:rsidTr="00815372">
        <w:trPr>
          <w:jc w:val="center"/>
        </w:trPr>
        <w:tc>
          <w:tcPr>
            <w:tcW w:w="1674" w:type="dxa"/>
          </w:tcPr>
          <w:p w:rsidR="004A147C" w:rsidRPr="00B53FFB" w:rsidRDefault="004A147C" w:rsidP="00CE5850">
            <w:pPr>
              <w:rPr>
                <w:b/>
                <w:szCs w:val="22"/>
              </w:rPr>
            </w:pPr>
            <w:r w:rsidRPr="00B53FFB">
              <w:rPr>
                <w:b/>
                <w:szCs w:val="22"/>
              </w:rPr>
              <w:t>Service Provider</w:t>
            </w:r>
          </w:p>
        </w:tc>
        <w:tc>
          <w:tcPr>
            <w:tcW w:w="3762" w:type="dxa"/>
          </w:tcPr>
          <w:p w:rsidR="004A147C" w:rsidRPr="00B53FFB" w:rsidRDefault="004A147C" w:rsidP="00CE5850">
            <w:pPr>
              <w:rPr>
                <w:b/>
                <w:szCs w:val="22"/>
              </w:rPr>
            </w:pPr>
            <w:r w:rsidRPr="00B53FFB">
              <w:rPr>
                <w:b/>
                <w:szCs w:val="22"/>
              </w:rPr>
              <w:t>HSPA, HSPA+, and EV-DO Deployment</w:t>
            </w:r>
          </w:p>
        </w:tc>
        <w:tc>
          <w:tcPr>
            <w:tcW w:w="3672" w:type="dxa"/>
          </w:tcPr>
          <w:p w:rsidR="004A147C" w:rsidRPr="00B53FFB" w:rsidRDefault="004A147C" w:rsidP="00CE5850">
            <w:pPr>
              <w:rPr>
                <w:b/>
                <w:szCs w:val="22"/>
              </w:rPr>
            </w:pPr>
            <w:r w:rsidRPr="00B53FFB">
              <w:rPr>
                <w:b/>
                <w:szCs w:val="22"/>
              </w:rPr>
              <w:t>LTE and WiMAX Deployment</w:t>
            </w:r>
          </w:p>
        </w:tc>
      </w:tr>
      <w:tr w:rsidR="004A147C" w:rsidRPr="00B53FFB" w:rsidTr="00815372">
        <w:trPr>
          <w:jc w:val="center"/>
        </w:trPr>
        <w:tc>
          <w:tcPr>
            <w:tcW w:w="1674" w:type="dxa"/>
          </w:tcPr>
          <w:p w:rsidR="004A147C" w:rsidRPr="00B53FFB" w:rsidRDefault="004A147C" w:rsidP="00CE5850">
            <w:pPr>
              <w:rPr>
                <w:szCs w:val="22"/>
              </w:rPr>
            </w:pPr>
            <w:r w:rsidRPr="00B53FFB">
              <w:rPr>
                <w:szCs w:val="22"/>
              </w:rPr>
              <w:t>Verizon Wireless</w:t>
            </w:r>
          </w:p>
        </w:tc>
        <w:tc>
          <w:tcPr>
            <w:tcW w:w="3762" w:type="dxa"/>
          </w:tcPr>
          <w:p w:rsidR="004A147C" w:rsidRPr="00B53FFB" w:rsidRDefault="004A147C" w:rsidP="00CE5850">
            <w:pPr>
              <w:rPr>
                <w:szCs w:val="22"/>
              </w:rPr>
            </w:pPr>
            <w:r w:rsidRPr="00B53FFB">
              <w:rPr>
                <w:szCs w:val="22"/>
              </w:rPr>
              <w:t>As of May 2012, EV-DO Rev. A network covered 290 million POPs.</w:t>
            </w:r>
          </w:p>
        </w:tc>
        <w:tc>
          <w:tcPr>
            <w:tcW w:w="3672" w:type="dxa"/>
          </w:tcPr>
          <w:p w:rsidR="004A147C" w:rsidRPr="00B53FFB" w:rsidRDefault="004A147C" w:rsidP="00CE5850">
            <w:pPr>
              <w:rPr>
                <w:szCs w:val="22"/>
              </w:rPr>
            </w:pPr>
            <w:r w:rsidRPr="00B53FFB">
              <w:rPr>
                <w:szCs w:val="22"/>
              </w:rPr>
              <w:t>As of Nov. 2012, LTE network covered more than 250 million POPs.  Plans to expand LTE nationwide in 2013 to have LTE coverage similar to its 3G network.</w:t>
            </w:r>
          </w:p>
        </w:tc>
      </w:tr>
      <w:tr w:rsidR="004A147C" w:rsidRPr="00B53FFB" w:rsidTr="00815372">
        <w:trPr>
          <w:jc w:val="center"/>
        </w:trPr>
        <w:tc>
          <w:tcPr>
            <w:tcW w:w="1674" w:type="dxa"/>
          </w:tcPr>
          <w:p w:rsidR="004A147C" w:rsidRPr="00B53FFB" w:rsidRDefault="004A147C" w:rsidP="00CE5850">
            <w:pPr>
              <w:rPr>
                <w:szCs w:val="22"/>
              </w:rPr>
            </w:pPr>
            <w:r w:rsidRPr="00B53FFB">
              <w:rPr>
                <w:szCs w:val="22"/>
              </w:rPr>
              <w:t>Verizon Wireless – LTE in Rural America Partners</w:t>
            </w:r>
          </w:p>
        </w:tc>
        <w:tc>
          <w:tcPr>
            <w:tcW w:w="3762" w:type="dxa"/>
          </w:tcPr>
          <w:p w:rsidR="004A147C" w:rsidRPr="00B53FFB" w:rsidRDefault="004A147C" w:rsidP="00CE5850">
            <w:pPr>
              <w:rPr>
                <w:szCs w:val="22"/>
              </w:rPr>
            </w:pPr>
          </w:p>
        </w:tc>
        <w:tc>
          <w:tcPr>
            <w:tcW w:w="3672" w:type="dxa"/>
          </w:tcPr>
          <w:p w:rsidR="004A147C" w:rsidRPr="00B53FFB" w:rsidRDefault="004A147C" w:rsidP="00CE5850">
            <w:pPr>
              <w:rPr>
                <w:szCs w:val="22"/>
              </w:rPr>
            </w:pPr>
            <w:r w:rsidRPr="00B53FFB">
              <w:rPr>
                <w:szCs w:val="22"/>
              </w:rPr>
              <w:t xml:space="preserve">As of </w:t>
            </w:r>
            <w:r w:rsidR="00DD14D5">
              <w:rPr>
                <w:szCs w:val="22"/>
              </w:rPr>
              <w:t>March 2013</w:t>
            </w:r>
            <w:r w:rsidRPr="00B53FFB">
              <w:rPr>
                <w:szCs w:val="22"/>
              </w:rPr>
              <w:t xml:space="preserve">, the program included </w:t>
            </w:r>
            <w:r w:rsidR="00DD14D5">
              <w:rPr>
                <w:szCs w:val="22"/>
              </w:rPr>
              <w:t>2</w:t>
            </w:r>
            <w:r w:rsidR="008F48BE">
              <w:rPr>
                <w:szCs w:val="22"/>
              </w:rPr>
              <w:t>0</w:t>
            </w:r>
            <w:r w:rsidRPr="00B53FFB">
              <w:rPr>
                <w:szCs w:val="22"/>
              </w:rPr>
              <w:t xml:space="preserve"> small, rural providers that</w:t>
            </w:r>
            <w:r w:rsidR="00DB58CC">
              <w:rPr>
                <w:szCs w:val="22"/>
              </w:rPr>
              <w:t xml:space="preserve"> have launched or</w:t>
            </w:r>
            <w:r w:rsidRPr="00B53FFB">
              <w:rPr>
                <w:szCs w:val="22"/>
              </w:rPr>
              <w:t xml:space="preserve"> plan to launch LTE to areas covering approximately 2.</w:t>
            </w:r>
            <w:r w:rsidR="007239E4">
              <w:rPr>
                <w:szCs w:val="22"/>
              </w:rPr>
              <w:t>8</w:t>
            </w:r>
            <w:r w:rsidRPr="00B53FFB">
              <w:rPr>
                <w:szCs w:val="22"/>
              </w:rPr>
              <w:t xml:space="preserve"> million people across 14 states.  </w:t>
            </w:r>
            <w:r w:rsidR="00DB58CC">
              <w:rPr>
                <w:szCs w:val="22"/>
              </w:rPr>
              <w:t>B</w:t>
            </w:r>
            <w:r w:rsidR="00DB58CC" w:rsidRPr="00DB58CC">
              <w:rPr>
                <w:szCs w:val="22"/>
              </w:rPr>
              <w:t>y March 2013</w:t>
            </w:r>
            <w:r w:rsidR="00DB58CC">
              <w:rPr>
                <w:szCs w:val="22"/>
              </w:rPr>
              <w:t xml:space="preserve">, </w:t>
            </w:r>
            <w:r w:rsidR="005C29BD">
              <w:rPr>
                <w:szCs w:val="22"/>
              </w:rPr>
              <w:t>7</w:t>
            </w:r>
            <w:r w:rsidR="00DB58CC">
              <w:rPr>
                <w:szCs w:val="22"/>
              </w:rPr>
              <w:t xml:space="preserve"> of these providers had la</w:t>
            </w:r>
            <w:r w:rsidR="005C29BD">
              <w:rPr>
                <w:szCs w:val="22"/>
              </w:rPr>
              <w:t>u</w:t>
            </w:r>
            <w:r w:rsidR="00DB58CC">
              <w:rPr>
                <w:szCs w:val="22"/>
              </w:rPr>
              <w:t>nched LTE</w:t>
            </w:r>
            <w:r w:rsidR="00DB58CC" w:rsidRPr="00DB58CC">
              <w:rPr>
                <w:szCs w:val="22"/>
              </w:rPr>
              <w:t>:</w:t>
            </w:r>
            <w:r w:rsidR="00DB58CC">
              <w:rPr>
                <w:szCs w:val="22"/>
              </w:rPr>
              <w:t xml:space="preserve"> Bluegrass Cellular (Kentucky)</w:t>
            </w:r>
            <w:r w:rsidR="00DB58CC" w:rsidRPr="00DB58CC">
              <w:rPr>
                <w:szCs w:val="22"/>
              </w:rPr>
              <w:t>, Pioneer Cellular (Oklahoma), Cellcom (Wisconsin), Thumb Cellular (Michigan), Strata Networks (Utah),</w:t>
            </w:r>
            <w:r w:rsidR="004C6669">
              <w:rPr>
                <w:szCs w:val="22"/>
              </w:rPr>
              <w:t xml:space="preserve"> </w:t>
            </w:r>
            <w:r w:rsidR="00DB58CC">
              <w:rPr>
                <w:szCs w:val="22"/>
              </w:rPr>
              <w:t xml:space="preserve">Chariton Valley </w:t>
            </w:r>
            <w:r w:rsidR="00DB58CC">
              <w:rPr>
                <w:szCs w:val="22"/>
              </w:rPr>
              <w:lastRenderedPageBreak/>
              <w:t>(Missouri)</w:t>
            </w:r>
            <w:r w:rsidR="004C6669">
              <w:rPr>
                <w:szCs w:val="22"/>
              </w:rPr>
              <w:t xml:space="preserve"> and Cross Wireless (Oklahoma)</w:t>
            </w:r>
            <w:r w:rsidRPr="00B53FFB">
              <w:rPr>
                <w:szCs w:val="22"/>
              </w:rPr>
              <w:t>.</w:t>
            </w:r>
          </w:p>
        </w:tc>
      </w:tr>
      <w:tr w:rsidR="004A147C" w:rsidRPr="00B53FFB" w:rsidTr="00815372">
        <w:trPr>
          <w:jc w:val="center"/>
        </w:trPr>
        <w:tc>
          <w:tcPr>
            <w:tcW w:w="1674" w:type="dxa"/>
          </w:tcPr>
          <w:p w:rsidR="004A147C" w:rsidRPr="00B53FFB" w:rsidRDefault="004A147C" w:rsidP="00CE5850">
            <w:pPr>
              <w:rPr>
                <w:szCs w:val="22"/>
              </w:rPr>
            </w:pPr>
            <w:r w:rsidRPr="00B53FFB">
              <w:rPr>
                <w:szCs w:val="22"/>
              </w:rPr>
              <w:lastRenderedPageBreak/>
              <w:t>AT&amp;T Wireless</w:t>
            </w:r>
          </w:p>
        </w:tc>
        <w:tc>
          <w:tcPr>
            <w:tcW w:w="3762" w:type="dxa"/>
          </w:tcPr>
          <w:p w:rsidR="004A147C" w:rsidRPr="00B53FFB" w:rsidRDefault="004A147C" w:rsidP="00CE5850">
            <w:pPr>
              <w:rPr>
                <w:szCs w:val="22"/>
              </w:rPr>
            </w:pPr>
            <w:r w:rsidRPr="00B53FFB">
              <w:rPr>
                <w:szCs w:val="22"/>
              </w:rPr>
              <w:t>As of mid-year 2012, all of AT&amp;T’s network is covered by HSPA+, covering 275 million POPs.</w:t>
            </w:r>
          </w:p>
        </w:tc>
        <w:tc>
          <w:tcPr>
            <w:tcW w:w="3672" w:type="dxa"/>
          </w:tcPr>
          <w:p w:rsidR="004A147C" w:rsidRPr="00B53FFB" w:rsidRDefault="004A147C" w:rsidP="00CE5850">
            <w:pPr>
              <w:rPr>
                <w:szCs w:val="22"/>
              </w:rPr>
            </w:pPr>
            <w:r w:rsidRPr="00B53FFB">
              <w:rPr>
                <w:szCs w:val="22"/>
              </w:rPr>
              <w:t>As of Nov. 2012, LTE network covered 150 million POPs.  AT&amp;T plans to deploy LTE to 80 percent of the U.S. population, or approximately 250 million POPs, by the end of 2013, and to 300 million by the end of 2014.</w:t>
            </w:r>
          </w:p>
        </w:tc>
      </w:tr>
      <w:tr w:rsidR="004A147C" w:rsidRPr="00B53FFB" w:rsidTr="00815372">
        <w:trPr>
          <w:jc w:val="center"/>
        </w:trPr>
        <w:tc>
          <w:tcPr>
            <w:tcW w:w="1674" w:type="dxa"/>
          </w:tcPr>
          <w:p w:rsidR="004A147C" w:rsidRPr="00B53FFB" w:rsidRDefault="004A147C" w:rsidP="00CE5850">
            <w:pPr>
              <w:rPr>
                <w:szCs w:val="22"/>
              </w:rPr>
            </w:pPr>
            <w:r w:rsidRPr="00B53FFB">
              <w:rPr>
                <w:szCs w:val="22"/>
              </w:rPr>
              <w:t xml:space="preserve">Sprint Nextel </w:t>
            </w:r>
          </w:p>
        </w:tc>
        <w:tc>
          <w:tcPr>
            <w:tcW w:w="3762" w:type="dxa"/>
          </w:tcPr>
          <w:p w:rsidR="004A147C" w:rsidRPr="00B53FFB" w:rsidRDefault="004A147C" w:rsidP="00CE5850">
            <w:pPr>
              <w:rPr>
                <w:szCs w:val="22"/>
              </w:rPr>
            </w:pPr>
            <w:r w:rsidRPr="00B53FFB">
              <w:rPr>
                <w:szCs w:val="22"/>
              </w:rPr>
              <w:t>As of January 2012, EV-DO Rev. A network covered approximately 274 million POPs.</w:t>
            </w:r>
          </w:p>
        </w:tc>
        <w:tc>
          <w:tcPr>
            <w:tcW w:w="3672" w:type="dxa"/>
          </w:tcPr>
          <w:p w:rsidR="004A147C" w:rsidRPr="00B53FFB" w:rsidRDefault="004A147C" w:rsidP="00CE5850">
            <w:pPr>
              <w:rPr>
                <w:szCs w:val="22"/>
              </w:rPr>
            </w:pPr>
            <w:r w:rsidRPr="00B53FFB">
              <w:rPr>
                <w:szCs w:val="22"/>
              </w:rPr>
              <w:t xml:space="preserve">As of September 2012, LTE service is offered in 19 cities and plans to deploy LTE to 100 additional cities within the next several months and to complete LTE build-out by the end of 2013. </w:t>
            </w:r>
          </w:p>
        </w:tc>
      </w:tr>
      <w:tr w:rsidR="004A147C" w:rsidRPr="00B53FFB" w:rsidTr="00815372">
        <w:trPr>
          <w:jc w:val="center"/>
        </w:trPr>
        <w:tc>
          <w:tcPr>
            <w:tcW w:w="1674" w:type="dxa"/>
          </w:tcPr>
          <w:p w:rsidR="004A147C" w:rsidRPr="00B53FFB" w:rsidRDefault="004A147C" w:rsidP="00CE5850">
            <w:pPr>
              <w:rPr>
                <w:szCs w:val="22"/>
              </w:rPr>
            </w:pPr>
            <w:r w:rsidRPr="00B53FFB">
              <w:rPr>
                <w:szCs w:val="22"/>
              </w:rPr>
              <w:t>Clearwire</w:t>
            </w:r>
          </w:p>
        </w:tc>
        <w:tc>
          <w:tcPr>
            <w:tcW w:w="3762" w:type="dxa"/>
          </w:tcPr>
          <w:p w:rsidR="004A147C" w:rsidRPr="00B53FFB" w:rsidRDefault="004A147C" w:rsidP="00CE5850">
            <w:pPr>
              <w:rPr>
                <w:szCs w:val="22"/>
              </w:rPr>
            </w:pPr>
          </w:p>
        </w:tc>
        <w:tc>
          <w:tcPr>
            <w:tcW w:w="3672" w:type="dxa"/>
          </w:tcPr>
          <w:p w:rsidR="004A147C" w:rsidRPr="00B53FFB" w:rsidRDefault="004A147C" w:rsidP="00CE5850">
            <w:pPr>
              <w:rPr>
                <w:szCs w:val="22"/>
              </w:rPr>
            </w:pPr>
            <w:r w:rsidRPr="00B53FFB">
              <w:rPr>
                <w:szCs w:val="22"/>
              </w:rPr>
              <w:t>As of June 2012, WiMAX network covered approximately 134 million POPs. Plans to launch LTE in 31 urban markets by June 2013.</w:t>
            </w:r>
          </w:p>
        </w:tc>
      </w:tr>
      <w:tr w:rsidR="004A147C" w:rsidRPr="00B53FFB" w:rsidTr="00815372">
        <w:trPr>
          <w:jc w:val="center"/>
        </w:trPr>
        <w:tc>
          <w:tcPr>
            <w:tcW w:w="1674" w:type="dxa"/>
          </w:tcPr>
          <w:p w:rsidR="004A147C" w:rsidRPr="00B53FFB" w:rsidRDefault="004A147C" w:rsidP="00CE5850">
            <w:pPr>
              <w:rPr>
                <w:szCs w:val="22"/>
              </w:rPr>
            </w:pPr>
            <w:r w:rsidRPr="00B53FFB">
              <w:rPr>
                <w:szCs w:val="22"/>
              </w:rPr>
              <w:t>T-Mobile</w:t>
            </w:r>
          </w:p>
        </w:tc>
        <w:tc>
          <w:tcPr>
            <w:tcW w:w="3762" w:type="dxa"/>
          </w:tcPr>
          <w:p w:rsidR="004A147C" w:rsidRPr="00B53FFB" w:rsidRDefault="004A147C" w:rsidP="00CE5850">
            <w:pPr>
              <w:rPr>
                <w:szCs w:val="22"/>
              </w:rPr>
            </w:pPr>
            <w:r w:rsidRPr="00B53FFB">
              <w:rPr>
                <w:szCs w:val="22"/>
              </w:rPr>
              <w:t>As of September 2012, HSPA+ 21 network covered over 200 million POPs and HSPA+ 42 network covered 184 million POPs.</w:t>
            </w:r>
          </w:p>
        </w:tc>
        <w:tc>
          <w:tcPr>
            <w:tcW w:w="3672" w:type="dxa"/>
          </w:tcPr>
          <w:p w:rsidR="004A147C" w:rsidRPr="00B53FFB" w:rsidRDefault="004A147C" w:rsidP="00CE5850">
            <w:pPr>
              <w:rPr>
                <w:szCs w:val="22"/>
              </w:rPr>
            </w:pPr>
            <w:r w:rsidRPr="00633F60">
              <w:rPr>
                <w:szCs w:val="22"/>
              </w:rPr>
              <w:t>As of December 2012, plans to deploy its LTE network in the United States to 100 million people by July 2013 and 200 million people by year-end July 2013.</w:t>
            </w:r>
          </w:p>
        </w:tc>
      </w:tr>
      <w:tr w:rsidR="004A147C" w:rsidRPr="00B53FFB" w:rsidTr="00815372">
        <w:trPr>
          <w:jc w:val="center"/>
        </w:trPr>
        <w:tc>
          <w:tcPr>
            <w:tcW w:w="1674" w:type="dxa"/>
          </w:tcPr>
          <w:p w:rsidR="004A147C" w:rsidRPr="00B53FFB" w:rsidRDefault="004A147C" w:rsidP="00CE5850">
            <w:pPr>
              <w:rPr>
                <w:szCs w:val="22"/>
              </w:rPr>
            </w:pPr>
            <w:r w:rsidRPr="00B53FFB">
              <w:rPr>
                <w:szCs w:val="22"/>
              </w:rPr>
              <w:t>MetroPCS</w:t>
            </w:r>
          </w:p>
        </w:tc>
        <w:tc>
          <w:tcPr>
            <w:tcW w:w="3762" w:type="dxa"/>
          </w:tcPr>
          <w:p w:rsidR="004A147C" w:rsidRPr="00B53FFB" w:rsidRDefault="004A147C" w:rsidP="00CE5850">
            <w:pPr>
              <w:rPr>
                <w:szCs w:val="22"/>
              </w:rPr>
            </w:pPr>
          </w:p>
        </w:tc>
        <w:tc>
          <w:tcPr>
            <w:tcW w:w="3672" w:type="dxa"/>
          </w:tcPr>
          <w:p w:rsidR="004A147C" w:rsidRPr="00B53FFB" w:rsidRDefault="004A147C" w:rsidP="00CE5850">
            <w:pPr>
              <w:rPr>
                <w:szCs w:val="22"/>
              </w:rPr>
            </w:pPr>
            <w:r w:rsidRPr="00B53FFB">
              <w:rPr>
                <w:szCs w:val="22"/>
              </w:rPr>
              <w:t>As of the end of July 2012, LTE network covered all of the major metropolitan areas MetroPCS serves, including Atlanta, Boston, Dallas, Detroit, Jacksonville, Las Vegas, Los Angeles, Miami, New York, Orlando, Philadelphia, Sacramento, San Francisco, and Tampa.</w:t>
            </w:r>
          </w:p>
        </w:tc>
      </w:tr>
      <w:tr w:rsidR="004A147C" w:rsidRPr="00B53FFB" w:rsidTr="00815372">
        <w:trPr>
          <w:jc w:val="center"/>
        </w:trPr>
        <w:tc>
          <w:tcPr>
            <w:tcW w:w="1674" w:type="dxa"/>
          </w:tcPr>
          <w:p w:rsidR="004A147C" w:rsidRPr="00B53FFB" w:rsidRDefault="004A147C" w:rsidP="00CE5850">
            <w:pPr>
              <w:rPr>
                <w:szCs w:val="22"/>
              </w:rPr>
            </w:pPr>
            <w:r w:rsidRPr="00B53FFB">
              <w:rPr>
                <w:szCs w:val="22"/>
              </w:rPr>
              <w:t>Leap</w:t>
            </w:r>
          </w:p>
        </w:tc>
        <w:tc>
          <w:tcPr>
            <w:tcW w:w="3762" w:type="dxa"/>
          </w:tcPr>
          <w:p w:rsidR="004A147C" w:rsidRPr="00B53FFB" w:rsidRDefault="004A147C" w:rsidP="00CE5850">
            <w:pPr>
              <w:rPr>
                <w:szCs w:val="22"/>
              </w:rPr>
            </w:pPr>
            <w:r w:rsidRPr="00B53FFB">
              <w:rPr>
                <w:szCs w:val="22"/>
              </w:rPr>
              <w:t xml:space="preserve">EV-DO deployed to entire network footprint, which covered approximately 95.3 million POPs at the end of 2011. </w:t>
            </w:r>
          </w:p>
        </w:tc>
        <w:tc>
          <w:tcPr>
            <w:tcW w:w="3672" w:type="dxa"/>
          </w:tcPr>
          <w:p w:rsidR="004A147C" w:rsidRPr="00B53FFB" w:rsidRDefault="004A147C" w:rsidP="00CE5850">
            <w:pPr>
              <w:rPr>
                <w:szCs w:val="22"/>
              </w:rPr>
            </w:pPr>
            <w:r>
              <w:rPr>
                <w:rFonts w:eastAsia="Times New Roman"/>
                <w:snapToGrid w:val="0"/>
              </w:rPr>
              <w:t>As of October 2012</w:t>
            </w:r>
            <w:r w:rsidRPr="008139CD">
              <w:rPr>
                <w:rFonts w:eastAsia="Times New Roman"/>
                <w:snapToGrid w:val="0"/>
              </w:rPr>
              <w:t xml:space="preserve">, Leap </w:t>
            </w:r>
            <w:r>
              <w:rPr>
                <w:rFonts w:eastAsia="Times New Roman"/>
                <w:snapToGrid w:val="0"/>
              </w:rPr>
              <w:t xml:space="preserve">had </w:t>
            </w:r>
            <w:r w:rsidRPr="008139CD">
              <w:rPr>
                <w:rFonts w:eastAsia="Times New Roman"/>
                <w:snapToGrid w:val="0"/>
              </w:rPr>
              <w:t xml:space="preserve">launched LTE service in Tucson, AZ </w:t>
            </w:r>
            <w:r>
              <w:rPr>
                <w:rFonts w:eastAsia="Times New Roman"/>
                <w:snapToGrid w:val="0"/>
              </w:rPr>
              <w:t>and Las Vegas, Nevada.</w:t>
            </w:r>
            <w:r w:rsidRPr="008139CD">
              <w:rPr>
                <w:rFonts w:eastAsia="Times New Roman"/>
                <w:snapToGrid w:val="0"/>
              </w:rPr>
              <w:t xml:space="preserve">  </w:t>
            </w:r>
            <w:r w:rsidRPr="00C56486">
              <w:rPr>
                <w:rFonts w:eastAsia="Times New Roman"/>
                <w:snapToGrid w:val="0"/>
              </w:rPr>
              <w:t>Leap expects its LTE network to cover approximately 21 million POPs by the end of 2012.</w:t>
            </w:r>
            <w:r>
              <w:rPr>
                <w:rFonts w:eastAsia="Times New Roman"/>
                <w:snapToGrid w:val="0"/>
              </w:rPr>
              <w:t xml:space="preserve">  </w:t>
            </w:r>
            <w:r w:rsidRPr="008139CD">
              <w:rPr>
                <w:rFonts w:eastAsia="Times New Roman"/>
                <w:snapToGrid w:val="0"/>
              </w:rPr>
              <w:t xml:space="preserve">The company plans to deploy LTE to approximately two-thirds of its network footprint </w:t>
            </w:r>
            <w:r>
              <w:rPr>
                <w:rFonts w:eastAsia="Times New Roman"/>
                <w:snapToGrid w:val="0"/>
              </w:rPr>
              <w:t>over the next two to three years</w:t>
            </w:r>
            <w:r w:rsidRPr="008139CD">
              <w:rPr>
                <w:rFonts w:eastAsia="Times New Roman"/>
                <w:snapToGrid w:val="0"/>
              </w:rPr>
              <w:t xml:space="preserve">.  </w:t>
            </w:r>
            <w:r w:rsidRPr="00B53FFB">
              <w:rPr>
                <w:szCs w:val="22"/>
              </w:rPr>
              <w:t xml:space="preserve">  </w:t>
            </w:r>
          </w:p>
        </w:tc>
      </w:tr>
      <w:tr w:rsidR="004A147C" w:rsidRPr="00B53FFB" w:rsidTr="00815372">
        <w:trPr>
          <w:jc w:val="center"/>
        </w:trPr>
        <w:tc>
          <w:tcPr>
            <w:tcW w:w="1674" w:type="dxa"/>
          </w:tcPr>
          <w:p w:rsidR="004A147C" w:rsidRPr="00B53FFB" w:rsidRDefault="004A147C" w:rsidP="00CE5850">
            <w:pPr>
              <w:rPr>
                <w:szCs w:val="22"/>
              </w:rPr>
            </w:pPr>
            <w:r w:rsidRPr="00B53FFB">
              <w:rPr>
                <w:szCs w:val="22"/>
              </w:rPr>
              <w:t>US Cellular</w:t>
            </w:r>
          </w:p>
        </w:tc>
        <w:tc>
          <w:tcPr>
            <w:tcW w:w="3762" w:type="dxa"/>
          </w:tcPr>
          <w:p w:rsidR="004A147C" w:rsidRPr="00B53FFB" w:rsidRDefault="004A147C" w:rsidP="00CE5850">
            <w:pPr>
              <w:rPr>
                <w:szCs w:val="22"/>
              </w:rPr>
            </w:pPr>
            <w:r w:rsidRPr="00B53FFB">
              <w:rPr>
                <w:szCs w:val="22"/>
              </w:rPr>
              <w:t>EV-DO network covers 98 percent of its customers.</w:t>
            </w:r>
          </w:p>
        </w:tc>
        <w:tc>
          <w:tcPr>
            <w:tcW w:w="3672" w:type="dxa"/>
          </w:tcPr>
          <w:p w:rsidR="004A147C" w:rsidRPr="00B53FFB" w:rsidRDefault="004A147C" w:rsidP="00CE5850">
            <w:pPr>
              <w:rPr>
                <w:szCs w:val="22"/>
              </w:rPr>
            </w:pPr>
            <w:r w:rsidRPr="00B53FFB">
              <w:rPr>
                <w:szCs w:val="22"/>
              </w:rPr>
              <w:t xml:space="preserve">As of June 2012, LTE network covers 30 percent of customers and expects to cover 58 percent by the end of 2012.     </w:t>
            </w:r>
          </w:p>
        </w:tc>
      </w:tr>
      <w:tr w:rsidR="004A147C" w:rsidRPr="00B53FFB" w:rsidTr="00815372">
        <w:trPr>
          <w:jc w:val="center"/>
        </w:trPr>
        <w:tc>
          <w:tcPr>
            <w:tcW w:w="1674" w:type="dxa"/>
          </w:tcPr>
          <w:p w:rsidR="004A147C" w:rsidRPr="00B53FFB" w:rsidRDefault="004A147C" w:rsidP="00CE5850">
            <w:pPr>
              <w:rPr>
                <w:szCs w:val="22"/>
              </w:rPr>
            </w:pPr>
            <w:r w:rsidRPr="00B53FFB">
              <w:rPr>
                <w:szCs w:val="22"/>
              </w:rPr>
              <w:t>C-Spire</w:t>
            </w:r>
          </w:p>
        </w:tc>
        <w:tc>
          <w:tcPr>
            <w:tcW w:w="3762" w:type="dxa"/>
          </w:tcPr>
          <w:p w:rsidR="004A147C" w:rsidRPr="00B53FFB" w:rsidRDefault="004A147C" w:rsidP="00CE5850">
            <w:pPr>
              <w:rPr>
                <w:szCs w:val="22"/>
              </w:rPr>
            </w:pPr>
            <w:r w:rsidRPr="00B53FFB">
              <w:rPr>
                <w:szCs w:val="22"/>
              </w:rPr>
              <w:t>EV-DO network covered approximately 4.7 million POPs at the end of 2011.</w:t>
            </w:r>
          </w:p>
        </w:tc>
        <w:tc>
          <w:tcPr>
            <w:tcW w:w="3672" w:type="dxa"/>
          </w:tcPr>
          <w:p w:rsidR="004A147C" w:rsidRPr="00B53FFB" w:rsidRDefault="004A147C" w:rsidP="00CE5850">
            <w:pPr>
              <w:rPr>
                <w:szCs w:val="22"/>
              </w:rPr>
            </w:pPr>
            <w:r w:rsidRPr="00B53FFB">
              <w:rPr>
                <w:szCs w:val="22"/>
              </w:rPr>
              <w:t xml:space="preserve">As of October 2012, C-Spire offered LTE service in 31 cities in Mississippi. C-Spire plans to further expand its LTE network to 6 more cities by the end of 2012. </w:t>
            </w:r>
          </w:p>
        </w:tc>
      </w:tr>
    </w:tbl>
    <w:p w:rsidR="004A147C" w:rsidRPr="00B53FFB" w:rsidRDefault="004A147C" w:rsidP="00CE5850">
      <w:pPr>
        <w:rPr>
          <w:szCs w:val="22"/>
        </w:rPr>
      </w:pPr>
    </w:p>
    <w:p w:rsidR="004A147C" w:rsidRDefault="004A147C" w:rsidP="00CE5850">
      <w:pPr>
        <w:rPr>
          <w:color w:val="000000"/>
          <w:szCs w:val="22"/>
        </w:rPr>
      </w:pPr>
    </w:p>
    <w:p w:rsidR="00E050F9" w:rsidRDefault="00E050F9" w:rsidP="00CE5850">
      <w:pPr>
        <w:rPr>
          <w:color w:val="000000"/>
          <w:szCs w:val="22"/>
        </w:rPr>
      </w:pPr>
    </w:p>
    <w:p w:rsidR="00E050F9" w:rsidRPr="00B53FFB" w:rsidRDefault="00E050F9" w:rsidP="00CE5850">
      <w:pPr>
        <w:rPr>
          <w:color w:val="000000"/>
          <w:szCs w:val="22"/>
        </w:rPr>
      </w:pPr>
    </w:p>
    <w:p w:rsidR="004A147C" w:rsidRPr="00B53FFB" w:rsidRDefault="004A147C" w:rsidP="00CE5850">
      <w:pPr>
        <w:rPr>
          <w:b/>
          <w:color w:val="000000"/>
          <w:szCs w:val="22"/>
          <w:u w:val="single"/>
        </w:rPr>
      </w:pPr>
    </w:p>
    <w:p w:rsidR="004A147C" w:rsidRPr="00B53FFB" w:rsidRDefault="004A147C" w:rsidP="00CE5850">
      <w:pPr>
        <w:rPr>
          <w:b/>
          <w:color w:val="000000"/>
          <w:szCs w:val="22"/>
          <w:u w:val="single"/>
        </w:rPr>
      </w:pPr>
      <w:r w:rsidRPr="00B53FFB">
        <w:rPr>
          <w:b/>
          <w:color w:val="000000"/>
          <w:szCs w:val="22"/>
          <w:u w:val="single"/>
        </w:rPr>
        <w:lastRenderedPageBreak/>
        <w:t>Subscribers, Connections, and Net Adds</w:t>
      </w:r>
    </w:p>
    <w:p w:rsidR="004A147C" w:rsidRPr="00B53FFB" w:rsidRDefault="004A147C" w:rsidP="00CE5850">
      <w:pPr>
        <w:rPr>
          <w:b/>
          <w:color w:val="000000"/>
          <w:szCs w:val="22"/>
          <w:u w:val="single"/>
        </w:rPr>
      </w:pPr>
    </w:p>
    <w:p w:rsidR="004A147C" w:rsidRPr="00B53FFB" w:rsidRDefault="004A147C" w:rsidP="00CE5850">
      <w:pPr>
        <w:spacing w:after="120"/>
        <w:rPr>
          <w:szCs w:val="22"/>
        </w:rPr>
      </w:pPr>
      <w:r w:rsidRPr="00B53FFB">
        <w:rPr>
          <w:szCs w:val="22"/>
        </w:rPr>
        <w:t xml:space="preserve">The </w:t>
      </w:r>
      <w:r w:rsidRPr="00B53FFB">
        <w:rPr>
          <w:i/>
          <w:szCs w:val="22"/>
        </w:rPr>
        <w:t>Report</w:t>
      </w:r>
      <w:r w:rsidRPr="00B53FFB">
        <w:rPr>
          <w:szCs w:val="22"/>
        </w:rPr>
        <w:t xml:space="preserve"> uses different data sources to estimate the number of mobile wireless subscribers and connections.  One source, Numbering Resource Utilization Forecast (NRUF), tracks the number of phone numbers that have been assigned to mobile wireless devices.  When all mobile wireless devices were assigned telephone numbers and subscribers generally carried one mobile device for making voice calls, NRUF provided reasonably accurate measures of subscribership.  Now, however, consumers are more likely to use more than one mobile device that </w:t>
      </w:r>
      <w:r>
        <w:rPr>
          <w:szCs w:val="22"/>
        </w:rPr>
        <w:t>have been</w:t>
      </w:r>
      <w:r w:rsidRPr="00B53FFB">
        <w:rPr>
          <w:szCs w:val="22"/>
        </w:rPr>
        <w:t xml:space="preserve"> assigned telephone numbers – particularly non-voice devices, such as Internet access devices (</w:t>
      </w:r>
      <w:r w:rsidRPr="00B53FFB">
        <w:rPr>
          <w:i/>
          <w:szCs w:val="22"/>
        </w:rPr>
        <w:t>e.g</w:t>
      </w:r>
      <w:r w:rsidRPr="00B53FFB">
        <w:rPr>
          <w:szCs w:val="22"/>
        </w:rPr>
        <w:t>., wireless modem cards, netbooks, and mobile Wi-Fi hotspots), e-readers, tablets, and telematics systems.  In addition, certain mobile broadband providers do not assign telephone numbers to at least some of the devices on their networks.  Therefore, NRUF is becoming increasingly less useful in measuring the number of individual subscribers.  Instead, it is providing more of an estimate of the number of mobile wireless connections or connected device</w:t>
      </w:r>
      <w:r>
        <w:rPr>
          <w:szCs w:val="22"/>
        </w:rPr>
        <w:t xml:space="preserve">s.  In addition, it </w:t>
      </w:r>
      <w:r w:rsidRPr="00B53FFB">
        <w:rPr>
          <w:szCs w:val="22"/>
        </w:rPr>
        <w:t>will become a less accurate measure of connected devices to the extent that more devices are sold that do not use telephone numbers.</w:t>
      </w:r>
    </w:p>
    <w:p w:rsidR="004A147C" w:rsidRPr="00B53FFB" w:rsidRDefault="004A147C" w:rsidP="00CE5850">
      <w:pPr>
        <w:spacing w:after="120"/>
        <w:rPr>
          <w:szCs w:val="22"/>
        </w:rPr>
      </w:pPr>
      <w:r w:rsidRPr="00B53FFB">
        <w:rPr>
          <w:szCs w:val="22"/>
        </w:rPr>
        <w:t xml:space="preserve">Based on NRUF data, the number of mobile wireless connections grew four percent from 290.7 million at the end of 2009 to 317.3 million at the end of 2011.  CTIA estimates the total number of mobile </w:t>
      </w:r>
      <w:r>
        <w:rPr>
          <w:szCs w:val="22"/>
        </w:rPr>
        <w:t>wireless connections based on its indu</w:t>
      </w:r>
      <w:r w:rsidRPr="00B53FFB">
        <w:rPr>
          <w:szCs w:val="22"/>
        </w:rPr>
        <w:t xml:space="preserve">stry survey and found that the number of connections grew </w:t>
      </w:r>
      <w:r>
        <w:rPr>
          <w:szCs w:val="22"/>
        </w:rPr>
        <w:t>11</w:t>
      </w:r>
      <w:r w:rsidRPr="00B53FFB">
        <w:rPr>
          <w:szCs w:val="22"/>
        </w:rPr>
        <w:t xml:space="preserve"> percent from 285.6 million at the end of 2009 to 3</w:t>
      </w:r>
      <w:r>
        <w:rPr>
          <w:szCs w:val="22"/>
        </w:rPr>
        <w:t>16</w:t>
      </w:r>
      <w:r w:rsidRPr="00B53FFB">
        <w:rPr>
          <w:szCs w:val="22"/>
        </w:rPr>
        <w:t>.</w:t>
      </w:r>
      <w:r>
        <w:rPr>
          <w:szCs w:val="22"/>
        </w:rPr>
        <w:t>0</w:t>
      </w:r>
      <w:r w:rsidRPr="00B53FFB">
        <w:rPr>
          <w:szCs w:val="22"/>
        </w:rPr>
        <w:t xml:space="preserve"> million at the end of</w:t>
      </w:r>
      <w:r>
        <w:rPr>
          <w:szCs w:val="22"/>
        </w:rPr>
        <w:t xml:space="preserve"> the fourth quarter of</w:t>
      </w:r>
      <w:r w:rsidRPr="00B53FFB">
        <w:rPr>
          <w:szCs w:val="22"/>
        </w:rPr>
        <w:t xml:space="preserve"> 2011.  Industry-wide net new mobile wireless subscriber/connection additions (or “net adds”) for 2011 totaled 15.5 million, based on NRUF data, and </w:t>
      </w:r>
      <w:r>
        <w:rPr>
          <w:szCs w:val="22"/>
        </w:rPr>
        <w:t>19.7</w:t>
      </w:r>
      <w:r w:rsidRPr="00B53FFB">
        <w:rPr>
          <w:szCs w:val="22"/>
        </w:rPr>
        <w:t xml:space="preserve"> million based on CTIA data.</w:t>
      </w:r>
    </w:p>
    <w:p w:rsidR="004A147C" w:rsidRPr="00B53FFB" w:rsidRDefault="004A147C" w:rsidP="00CE5850">
      <w:pPr>
        <w:spacing w:after="120"/>
        <w:rPr>
          <w:szCs w:val="22"/>
        </w:rPr>
      </w:pPr>
      <w:r w:rsidRPr="00B53FFB">
        <w:rPr>
          <w:szCs w:val="22"/>
        </w:rPr>
        <w:t>The Commission is also able to estimate the number of mobile voice subscribers and mobile Internet access subscribers using data reported by service providers on Form 477.  Based on those data, at the end of 2011 there were 298.3 million subscribers to mobile telephone, or voice, service, up nearly 4.6 percent from 285.1 million at the end of 2010.  At the same time, there were 142.1 million subscribers to mobile Internet access services at speeds exceeding 200 kbps in at least one direction, up from the 97.5 million were reported for the end of 2010, and more than double the 56.3 million reported for year-end 2009.</w:t>
      </w:r>
      <w:r w:rsidRPr="00B53FFB">
        <w:rPr>
          <w:szCs w:val="22"/>
          <w:vertAlign w:val="superscript"/>
        </w:rPr>
        <w:footnoteReference w:id="11"/>
      </w:r>
    </w:p>
    <w:p w:rsidR="00E050F9" w:rsidRDefault="00E050F9" w:rsidP="00CE5850">
      <w:pPr>
        <w:spacing w:after="120"/>
        <w:jc w:val="center"/>
        <w:rPr>
          <w:b/>
          <w:szCs w:val="22"/>
        </w:rPr>
      </w:pPr>
    </w:p>
    <w:p w:rsidR="00E050F9" w:rsidRDefault="00E050F9" w:rsidP="00CE5850">
      <w:pPr>
        <w:spacing w:after="120"/>
        <w:jc w:val="center"/>
        <w:rPr>
          <w:b/>
          <w:szCs w:val="22"/>
        </w:rPr>
      </w:pPr>
    </w:p>
    <w:p w:rsidR="00E050F9" w:rsidRDefault="00E050F9" w:rsidP="00CE5850">
      <w:pPr>
        <w:spacing w:after="120"/>
        <w:jc w:val="center"/>
        <w:rPr>
          <w:b/>
          <w:szCs w:val="22"/>
        </w:rPr>
      </w:pPr>
    </w:p>
    <w:p w:rsidR="00E050F9" w:rsidRDefault="00E050F9" w:rsidP="00CE5850">
      <w:pPr>
        <w:spacing w:after="120"/>
        <w:jc w:val="center"/>
        <w:rPr>
          <w:b/>
          <w:szCs w:val="22"/>
        </w:rPr>
      </w:pPr>
    </w:p>
    <w:p w:rsidR="00E050F9" w:rsidRDefault="00E050F9" w:rsidP="00CE5850">
      <w:pPr>
        <w:spacing w:after="120"/>
        <w:jc w:val="center"/>
        <w:rPr>
          <w:b/>
          <w:szCs w:val="22"/>
        </w:rPr>
      </w:pPr>
    </w:p>
    <w:p w:rsidR="00E050F9" w:rsidRDefault="00E050F9" w:rsidP="00CE5850">
      <w:pPr>
        <w:spacing w:after="120"/>
        <w:jc w:val="center"/>
        <w:rPr>
          <w:b/>
          <w:szCs w:val="22"/>
        </w:rPr>
      </w:pPr>
    </w:p>
    <w:p w:rsidR="00E050F9" w:rsidRDefault="00E050F9" w:rsidP="00CE5850">
      <w:pPr>
        <w:spacing w:after="120"/>
        <w:jc w:val="center"/>
        <w:rPr>
          <w:b/>
          <w:szCs w:val="22"/>
        </w:rPr>
      </w:pPr>
    </w:p>
    <w:p w:rsidR="00E050F9" w:rsidRDefault="00E050F9" w:rsidP="00CE5850">
      <w:pPr>
        <w:spacing w:after="120"/>
        <w:jc w:val="center"/>
        <w:rPr>
          <w:b/>
          <w:szCs w:val="22"/>
        </w:rPr>
      </w:pPr>
    </w:p>
    <w:p w:rsidR="00E050F9" w:rsidRDefault="00E050F9" w:rsidP="00CE5850">
      <w:pPr>
        <w:spacing w:after="120"/>
        <w:jc w:val="center"/>
        <w:rPr>
          <w:b/>
          <w:szCs w:val="22"/>
        </w:rPr>
      </w:pPr>
    </w:p>
    <w:p w:rsidR="00E050F9" w:rsidRDefault="00E050F9" w:rsidP="00CE5850">
      <w:pPr>
        <w:spacing w:after="120"/>
        <w:jc w:val="center"/>
        <w:rPr>
          <w:b/>
          <w:szCs w:val="22"/>
        </w:rPr>
      </w:pPr>
    </w:p>
    <w:p w:rsidR="004A147C" w:rsidRPr="00B53FFB" w:rsidRDefault="004A147C" w:rsidP="00CE5850">
      <w:pPr>
        <w:spacing w:after="120"/>
        <w:jc w:val="center"/>
        <w:rPr>
          <w:b/>
          <w:szCs w:val="22"/>
        </w:rPr>
      </w:pPr>
      <w:r w:rsidRPr="00B53FFB">
        <w:rPr>
          <w:b/>
          <w:szCs w:val="22"/>
        </w:rPr>
        <w:lastRenderedPageBreak/>
        <w:t>Estimated Total Mobile Wireless Connections</w:t>
      </w:r>
      <w:r w:rsidRPr="00B53FFB">
        <w:rPr>
          <w:bCs/>
          <w:szCs w:val="22"/>
          <w:vertAlign w:val="superscript"/>
        </w:rPr>
        <w:footnoteReference w:id="12"/>
      </w:r>
    </w:p>
    <w:tbl>
      <w:tblPr>
        <w:tblW w:w="6124" w:type="dxa"/>
        <w:jc w:val="center"/>
        <w:tblInd w:w="5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30" w:type="dxa"/>
          <w:right w:w="30" w:type="dxa"/>
        </w:tblCellMar>
        <w:tblLook w:val="0000" w:firstRow="0" w:lastRow="0" w:firstColumn="0" w:lastColumn="0" w:noHBand="0" w:noVBand="0"/>
      </w:tblPr>
      <w:tblGrid>
        <w:gridCol w:w="876"/>
        <w:gridCol w:w="1170"/>
        <w:gridCol w:w="1439"/>
        <w:gridCol w:w="1285"/>
        <w:gridCol w:w="1343"/>
        <w:gridCol w:w="11"/>
      </w:tblGrid>
      <w:tr w:rsidR="004A147C" w:rsidRPr="00B53FFB" w:rsidTr="00815372">
        <w:trPr>
          <w:trHeight w:val="170"/>
          <w:jc w:val="center"/>
        </w:trPr>
        <w:tc>
          <w:tcPr>
            <w:tcW w:w="876" w:type="dxa"/>
          </w:tcPr>
          <w:p w:rsidR="004A147C" w:rsidRPr="00B53FFB" w:rsidRDefault="004A147C" w:rsidP="00CE5850">
            <w:pPr>
              <w:spacing w:after="120"/>
              <w:jc w:val="center"/>
              <w:rPr>
                <w:szCs w:val="22"/>
              </w:rPr>
            </w:pPr>
          </w:p>
        </w:tc>
        <w:tc>
          <w:tcPr>
            <w:tcW w:w="3894" w:type="dxa"/>
            <w:gridSpan w:val="3"/>
          </w:tcPr>
          <w:p w:rsidR="004A147C" w:rsidRPr="00B53FFB" w:rsidRDefault="004A147C" w:rsidP="00CE5850">
            <w:pPr>
              <w:spacing w:after="120"/>
              <w:jc w:val="center"/>
              <w:rPr>
                <w:b/>
                <w:szCs w:val="22"/>
              </w:rPr>
            </w:pPr>
            <w:r w:rsidRPr="00B53FFB">
              <w:rPr>
                <w:b/>
                <w:szCs w:val="22"/>
              </w:rPr>
              <w:t>NRUF</w:t>
            </w:r>
          </w:p>
        </w:tc>
        <w:tc>
          <w:tcPr>
            <w:tcW w:w="1354" w:type="dxa"/>
            <w:gridSpan w:val="2"/>
          </w:tcPr>
          <w:p w:rsidR="004A147C" w:rsidRPr="00B53FFB" w:rsidRDefault="004A147C" w:rsidP="00CE5850">
            <w:pPr>
              <w:spacing w:after="120"/>
              <w:jc w:val="center"/>
              <w:rPr>
                <w:b/>
                <w:szCs w:val="22"/>
              </w:rPr>
            </w:pPr>
            <w:r w:rsidRPr="00B53FFB">
              <w:rPr>
                <w:b/>
                <w:szCs w:val="22"/>
              </w:rPr>
              <w:t>CTIA</w:t>
            </w:r>
          </w:p>
        </w:tc>
      </w:tr>
      <w:tr w:rsidR="004A147C" w:rsidRPr="00B53FFB" w:rsidTr="00815372">
        <w:trPr>
          <w:gridAfter w:val="1"/>
          <w:wAfter w:w="11" w:type="dxa"/>
          <w:trHeight w:val="512"/>
          <w:jc w:val="center"/>
        </w:trPr>
        <w:tc>
          <w:tcPr>
            <w:tcW w:w="876" w:type="dxa"/>
          </w:tcPr>
          <w:p w:rsidR="004A147C" w:rsidRPr="00B53FFB" w:rsidRDefault="004A147C" w:rsidP="00CE5850">
            <w:pPr>
              <w:jc w:val="center"/>
              <w:rPr>
                <w:szCs w:val="22"/>
              </w:rPr>
            </w:pPr>
          </w:p>
        </w:tc>
        <w:tc>
          <w:tcPr>
            <w:tcW w:w="1170" w:type="dxa"/>
          </w:tcPr>
          <w:p w:rsidR="004A147C" w:rsidRPr="00B53FFB" w:rsidRDefault="004A147C" w:rsidP="00CE5850">
            <w:pPr>
              <w:jc w:val="center"/>
              <w:rPr>
                <w:i/>
                <w:szCs w:val="22"/>
              </w:rPr>
            </w:pPr>
            <w:r w:rsidRPr="00B53FFB">
              <w:rPr>
                <w:i/>
                <w:szCs w:val="22"/>
              </w:rPr>
              <w:t>Connected Devices</w:t>
            </w:r>
          </w:p>
          <w:p w:rsidR="004A147C" w:rsidRPr="00B53FFB" w:rsidRDefault="004A147C" w:rsidP="00CE5850">
            <w:pPr>
              <w:jc w:val="center"/>
              <w:rPr>
                <w:i/>
                <w:szCs w:val="22"/>
              </w:rPr>
            </w:pPr>
            <w:r w:rsidRPr="00B53FFB">
              <w:rPr>
                <w:i/>
                <w:szCs w:val="22"/>
              </w:rPr>
              <w:t>(millions)</w:t>
            </w:r>
          </w:p>
        </w:tc>
        <w:tc>
          <w:tcPr>
            <w:tcW w:w="1439" w:type="dxa"/>
          </w:tcPr>
          <w:p w:rsidR="004A147C" w:rsidRPr="00B53FFB" w:rsidRDefault="004A147C" w:rsidP="00CE5850">
            <w:pPr>
              <w:jc w:val="center"/>
              <w:rPr>
                <w:i/>
                <w:szCs w:val="22"/>
              </w:rPr>
            </w:pPr>
            <w:r w:rsidRPr="00B53FFB">
              <w:rPr>
                <w:i/>
                <w:szCs w:val="22"/>
              </w:rPr>
              <w:t>Increase from previous year</w:t>
            </w:r>
          </w:p>
          <w:p w:rsidR="004A147C" w:rsidRPr="00B53FFB" w:rsidRDefault="004A147C" w:rsidP="00CE5850">
            <w:pPr>
              <w:jc w:val="center"/>
              <w:rPr>
                <w:i/>
                <w:szCs w:val="22"/>
              </w:rPr>
            </w:pPr>
            <w:r w:rsidRPr="00B53FFB">
              <w:rPr>
                <w:i/>
                <w:szCs w:val="22"/>
              </w:rPr>
              <w:t>(millions)</w:t>
            </w:r>
          </w:p>
        </w:tc>
        <w:tc>
          <w:tcPr>
            <w:tcW w:w="1285" w:type="dxa"/>
          </w:tcPr>
          <w:p w:rsidR="004A147C" w:rsidRPr="00B53FFB" w:rsidRDefault="004A147C" w:rsidP="00CE5850">
            <w:pPr>
              <w:jc w:val="center"/>
              <w:rPr>
                <w:i/>
                <w:szCs w:val="22"/>
              </w:rPr>
            </w:pPr>
            <w:r w:rsidRPr="00B53FFB">
              <w:rPr>
                <w:i/>
                <w:szCs w:val="22"/>
              </w:rPr>
              <w:t xml:space="preserve">Connections Per 100 People </w:t>
            </w:r>
          </w:p>
        </w:tc>
        <w:tc>
          <w:tcPr>
            <w:tcW w:w="1343" w:type="dxa"/>
          </w:tcPr>
          <w:p w:rsidR="004A147C" w:rsidRPr="00B53FFB" w:rsidRDefault="004A147C" w:rsidP="00CE5850">
            <w:pPr>
              <w:jc w:val="center"/>
              <w:rPr>
                <w:i/>
                <w:szCs w:val="22"/>
              </w:rPr>
            </w:pPr>
            <w:r>
              <w:rPr>
                <w:i/>
                <w:szCs w:val="22"/>
              </w:rPr>
              <w:t>Estimated</w:t>
            </w:r>
            <w:r w:rsidRPr="00B53FFB">
              <w:rPr>
                <w:i/>
                <w:szCs w:val="22"/>
              </w:rPr>
              <w:t xml:space="preserve"> Connections</w:t>
            </w:r>
          </w:p>
          <w:p w:rsidR="004A147C" w:rsidRPr="00B53FFB" w:rsidRDefault="004A147C" w:rsidP="00CE5850">
            <w:pPr>
              <w:jc w:val="center"/>
              <w:rPr>
                <w:szCs w:val="22"/>
              </w:rPr>
            </w:pPr>
            <w:r w:rsidRPr="00B53FFB">
              <w:rPr>
                <w:i/>
                <w:szCs w:val="22"/>
              </w:rPr>
              <w:t>(millions)</w:t>
            </w:r>
          </w:p>
        </w:tc>
      </w:tr>
      <w:tr w:rsidR="004A147C" w:rsidRPr="00B53FFB" w:rsidTr="00815372">
        <w:trPr>
          <w:gridAfter w:val="1"/>
          <w:wAfter w:w="11" w:type="dxa"/>
          <w:trHeight w:val="188"/>
          <w:jc w:val="center"/>
        </w:trPr>
        <w:tc>
          <w:tcPr>
            <w:tcW w:w="876" w:type="dxa"/>
            <w:vAlign w:val="bottom"/>
          </w:tcPr>
          <w:p w:rsidR="004A147C" w:rsidRPr="00B53FFB" w:rsidRDefault="004A147C" w:rsidP="00CE5850">
            <w:pPr>
              <w:rPr>
                <w:szCs w:val="22"/>
              </w:rPr>
            </w:pPr>
            <w:r w:rsidRPr="00B53FFB">
              <w:rPr>
                <w:szCs w:val="22"/>
              </w:rPr>
              <w:t>2001</w:t>
            </w:r>
          </w:p>
        </w:tc>
        <w:tc>
          <w:tcPr>
            <w:tcW w:w="1170" w:type="dxa"/>
            <w:vAlign w:val="bottom"/>
          </w:tcPr>
          <w:p w:rsidR="004A147C" w:rsidRPr="00B53FFB" w:rsidRDefault="004A147C" w:rsidP="00CE5850">
            <w:pPr>
              <w:jc w:val="right"/>
              <w:rPr>
                <w:szCs w:val="22"/>
              </w:rPr>
            </w:pPr>
            <w:r w:rsidRPr="00B53FFB">
              <w:rPr>
                <w:szCs w:val="22"/>
              </w:rPr>
              <w:t>128.5</w:t>
            </w:r>
          </w:p>
        </w:tc>
        <w:tc>
          <w:tcPr>
            <w:tcW w:w="1439" w:type="dxa"/>
            <w:vAlign w:val="bottom"/>
          </w:tcPr>
          <w:p w:rsidR="004A147C" w:rsidRPr="00B53FFB" w:rsidRDefault="004A147C" w:rsidP="00CE5850">
            <w:pPr>
              <w:jc w:val="right"/>
              <w:rPr>
                <w:szCs w:val="22"/>
              </w:rPr>
            </w:pPr>
            <w:r w:rsidRPr="00B53FFB">
              <w:rPr>
                <w:szCs w:val="22"/>
              </w:rPr>
              <w:t>n/a</w:t>
            </w:r>
          </w:p>
        </w:tc>
        <w:tc>
          <w:tcPr>
            <w:tcW w:w="1285" w:type="dxa"/>
            <w:vAlign w:val="bottom"/>
          </w:tcPr>
          <w:p w:rsidR="004A147C" w:rsidRPr="00B53FFB" w:rsidRDefault="004A147C" w:rsidP="00CE5850">
            <w:pPr>
              <w:jc w:val="right"/>
              <w:rPr>
                <w:szCs w:val="22"/>
              </w:rPr>
            </w:pPr>
            <w:r w:rsidRPr="00B53FFB">
              <w:rPr>
                <w:szCs w:val="22"/>
              </w:rPr>
              <w:t>45</w:t>
            </w:r>
          </w:p>
        </w:tc>
        <w:tc>
          <w:tcPr>
            <w:tcW w:w="1343" w:type="dxa"/>
          </w:tcPr>
          <w:p w:rsidR="004A147C" w:rsidRPr="00B53FFB" w:rsidRDefault="004A147C" w:rsidP="00CE5850">
            <w:pPr>
              <w:jc w:val="right"/>
              <w:rPr>
                <w:szCs w:val="22"/>
              </w:rPr>
            </w:pPr>
            <w:r w:rsidRPr="00B53FFB">
              <w:rPr>
                <w:szCs w:val="22"/>
              </w:rPr>
              <w:t>128.4</w:t>
            </w:r>
          </w:p>
        </w:tc>
      </w:tr>
      <w:tr w:rsidR="004A147C" w:rsidRPr="00B53FFB" w:rsidTr="00815372">
        <w:trPr>
          <w:gridAfter w:val="1"/>
          <w:wAfter w:w="11" w:type="dxa"/>
          <w:trHeight w:val="197"/>
          <w:jc w:val="center"/>
        </w:trPr>
        <w:tc>
          <w:tcPr>
            <w:tcW w:w="876" w:type="dxa"/>
            <w:vAlign w:val="bottom"/>
          </w:tcPr>
          <w:p w:rsidR="004A147C" w:rsidRPr="00B53FFB" w:rsidRDefault="004A147C" w:rsidP="00CE5850">
            <w:pPr>
              <w:rPr>
                <w:szCs w:val="22"/>
              </w:rPr>
            </w:pPr>
            <w:r w:rsidRPr="00B53FFB">
              <w:rPr>
                <w:szCs w:val="22"/>
              </w:rPr>
              <w:t>2002</w:t>
            </w:r>
          </w:p>
        </w:tc>
        <w:tc>
          <w:tcPr>
            <w:tcW w:w="1170" w:type="dxa"/>
            <w:vAlign w:val="bottom"/>
          </w:tcPr>
          <w:p w:rsidR="004A147C" w:rsidRPr="00B53FFB" w:rsidRDefault="004A147C" w:rsidP="00CE5850">
            <w:pPr>
              <w:jc w:val="right"/>
              <w:rPr>
                <w:szCs w:val="22"/>
              </w:rPr>
            </w:pPr>
            <w:r w:rsidRPr="00B53FFB">
              <w:rPr>
                <w:szCs w:val="22"/>
              </w:rPr>
              <w:t>141.8</w:t>
            </w:r>
          </w:p>
        </w:tc>
        <w:tc>
          <w:tcPr>
            <w:tcW w:w="1439" w:type="dxa"/>
            <w:vAlign w:val="bottom"/>
          </w:tcPr>
          <w:p w:rsidR="004A147C" w:rsidRPr="00B53FFB" w:rsidRDefault="004A147C" w:rsidP="00CE5850">
            <w:pPr>
              <w:jc w:val="right"/>
              <w:rPr>
                <w:szCs w:val="22"/>
              </w:rPr>
            </w:pPr>
            <w:r w:rsidRPr="00B53FFB">
              <w:rPr>
                <w:szCs w:val="22"/>
              </w:rPr>
              <w:t>13.3</w:t>
            </w:r>
          </w:p>
        </w:tc>
        <w:tc>
          <w:tcPr>
            <w:tcW w:w="1285" w:type="dxa"/>
            <w:vAlign w:val="bottom"/>
          </w:tcPr>
          <w:p w:rsidR="004A147C" w:rsidRPr="00B53FFB" w:rsidRDefault="004A147C" w:rsidP="00CE5850">
            <w:pPr>
              <w:jc w:val="right"/>
              <w:rPr>
                <w:szCs w:val="22"/>
              </w:rPr>
            </w:pPr>
            <w:r w:rsidRPr="00B53FFB">
              <w:rPr>
                <w:szCs w:val="22"/>
              </w:rPr>
              <w:t>49</w:t>
            </w:r>
          </w:p>
        </w:tc>
        <w:tc>
          <w:tcPr>
            <w:tcW w:w="1343" w:type="dxa"/>
          </w:tcPr>
          <w:p w:rsidR="004A147C" w:rsidRPr="00B53FFB" w:rsidRDefault="004A147C" w:rsidP="00CE5850">
            <w:pPr>
              <w:jc w:val="right"/>
              <w:rPr>
                <w:szCs w:val="22"/>
              </w:rPr>
            </w:pPr>
            <w:r w:rsidRPr="00B53FFB">
              <w:rPr>
                <w:szCs w:val="22"/>
              </w:rPr>
              <w:t>140.8</w:t>
            </w:r>
          </w:p>
        </w:tc>
      </w:tr>
      <w:tr w:rsidR="004A147C" w:rsidRPr="00B53FFB" w:rsidTr="00815372">
        <w:trPr>
          <w:gridAfter w:val="1"/>
          <w:wAfter w:w="11" w:type="dxa"/>
          <w:trHeight w:val="262"/>
          <w:jc w:val="center"/>
        </w:trPr>
        <w:tc>
          <w:tcPr>
            <w:tcW w:w="876" w:type="dxa"/>
            <w:vAlign w:val="bottom"/>
          </w:tcPr>
          <w:p w:rsidR="004A147C" w:rsidRPr="00B53FFB" w:rsidRDefault="004A147C" w:rsidP="00CE5850">
            <w:pPr>
              <w:rPr>
                <w:szCs w:val="22"/>
              </w:rPr>
            </w:pPr>
            <w:r w:rsidRPr="00B53FFB">
              <w:rPr>
                <w:szCs w:val="22"/>
              </w:rPr>
              <w:t>2003</w:t>
            </w:r>
          </w:p>
        </w:tc>
        <w:tc>
          <w:tcPr>
            <w:tcW w:w="1170" w:type="dxa"/>
            <w:vAlign w:val="bottom"/>
          </w:tcPr>
          <w:p w:rsidR="004A147C" w:rsidRPr="00B53FFB" w:rsidRDefault="004A147C" w:rsidP="00CE5850">
            <w:pPr>
              <w:jc w:val="right"/>
              <w:rPr>
                <w:szCs w:val="22"/>
              </w:rPr>
            </w:pPr>
            <w:r w:rsidRPr="00B53FFB">
              <w:rPr>
                <w:szCs w:val="22"/>
              </w:rPr>
              <w:t>160.6</w:t>
            </w:r>
          </w:p>
        </w:tc>
        <w:tc>
          <w:tcPr>
            <w:tcW w:w="1439" w:type="dxa"/>
            <w:vAlign w:val="bottom"/>
          </w:tcPr>
          <w:p w:rsidR="004A147C" w:rsidRPr="00B53FFB" w:rsidRDefault="004A147C" w:rsidP="00CE5850">
            <w:pPr>
              <w:jc w:val="right"/>
              <w:rPr>
                <w:szCs w:val="22"/>
              </w:rPr>
            </w:pPr>
            <w:r w:rsidRPr="00B53FFB">
              <w:rPr>
                <w:szCs w:val="22"/>
              </w:rPr>
              <w:t>18.8</w:t>
            </w:r>
          </w:p>
        </w:tc>
        <w:tc>
          <w:tcPr>
            <w:tcW w:w="1285" w:type="dxa"/>
            <w:vAlign w:val="bottom"/>
          </w:tcPr>
          <w:p w:rsidR="004A147C" w:rsidRPr="00B53FFB" w:rsidRDefault="004A147C" w:rsidP="00CE5850">
            <w:pPr>
              <w:jc w:val="right"/>
              <w:rPr>
                <w:szCs w:val="22"/>
              </w:rPr>
            </w:pPr>
            <w:r w:rsidRPr="00B53FFB">
              <w:rPr>
                <w:szCs w:val="22"/>
              </w:rPr>
              <w:t>54</w:t>
            </w:r>
          </w:p>
        </w:tc>
        <w:tc>
          <w:tcPr>
            <w:tcW w:w="1343" w:type="dxa"/>
          </w:tcPr>
          <w:p w:rsidR="004A147C" w:rsidRPr="00B53FFB" w:rsidRDefault="004A147C" w:rsidP="00CE5850">
            <w:pPr>
              <w:jc w:val="right"/>
              <w:rPr>
                <w:szCs w:val="22"/>
              </w:rPr>
            </w:pPr>
            <w:r w:rsidRPr="00B53FFB">
              <w:rPr>
                <w:szCs w:val="22"/>
              </w:rPr>
              <w:t>158.7</w:t>
            </w:r>
          </w:p>
        </w:tc>
      </w:tr>
      <w:tr w:rsidR="004A147C" w:rsidRPr="00B53FFB" w:rsidTr="00815372">
        <w:trPr>
          <w:gridAfter w:val="1"/>
          <w:wAfter w:w="11" w:type="dxa"/>
          <w:trHeight w:val="197"/>
          <w:jc w:val="center"/>
        </w:trPr>
        <w:tc>
          <w:tcPr>
            <w:tcW w:w="876" w:type="dxa"/>
            <w:vAlign w:val="bottom"/>
          </w:tcPr>
          <w:p w:rsidR="004A147C" w:rsidRPr="00B53FFB" w:rsidRDefault="004A147C" w:rsidP="00CE5850">
            <w:pPr>
              <w:rPr>
                <w:szCs w:val="22"/>
              </w:rPr>
            </w:pPr>
            <w:r w:rsidRPr="00B53FFB">
              <w:rPr>
                <w:szCs w:val="22"/>
              </w:rPr>
              <w:t>2004</w:t>
            </w:r>
          </w:p>
        </w:tc>
        <w:tc>
          <w:tcPr>
            <w:tcW w:w="1170" w:type="dxa"/>
            <w:vAlign w:val="bottom"/>
          </w:tcPr>
          <w:p w:rsidR="004A147C" w:rsidRPr="00B53FFB" w:rsidRDefault="004A147C" w:rsidP="00CE5850">
            <w:pPr>
              <w:jc w:val="right"/>
              <w:rPr>
                <w:szCs w:val="22"/>
              </w:rPr>
            </w:pPr>
            <w:r w:rsidRPr="00B53FFB">
              <w:rPr>
                <w:szCs w:val="22"/>
              </w:rPr>
              <w:t>184.7</w:t>
            </w:r>
          </w:p>
        </w:tc>
        <w:tc>
          <w:tcPr>
            <w:tcW w:w="1439" w:type="dxa"/>
            <w:vAlign w:val="bottom"/>
          </w:tcPr>
          <w:p w:rsidR="004A147C" w:rsidRPr="00B53FFB" w:rsidRDefault="004A147C" w:rsidP="00CE5850">
            <w:pPr>
              <w:jc w:val="right"/>
              <w:rPr>
                <w:szCs w:val="22"/>
              </w:rPr>
            </w:pPr>
            <w:r w:rsidRPr="00B53FFB">
              <w:rPr>
                <w:szCs w:val="22"/>
              </w:rPr>
              <w:t>24.1</w:t>
            </w:r>
          </w:p>
        </w:tc>
        <w:tc>
          <w:tcPr>
            <w:tcW w:w="1285" w:type="dxa"/>
            <w:vAlign w:val="bottom"/>
          </w:tcPr>
          <w:p w:rsidR="004A147C" w:rsidRPr="00B53FFB" w:rsidRDefault="004A147C" w:rsidP="00CE5850">
            <w:pPr>
              <w:jc w:val="right"/>
              <w:rPr>
                <w:szCs w:val="22"/>
              </w:rPr>
            </w:pPr>
            <w:r w:rsidRPr="00B53FFB">
              <w:rPr>
                <w:szCs w:val="22"/>
              </w:rPr>
              <w:t>62</w:t>
            </w:r>
          </w:p>
        </w:tc>
        <w:tc>
          <w:tcPr>
            <w:tcW w:w="1343" w:type="dxa"/>
          </w:tcPr>
          <w:p w:rsidR="004A147C" w:rsidRPr="00B53FFB" w:rsidRDefault="004A147C" w:rsidP="00CE5850">
            <w:pPr>
              <w:jc w:val="right"/>
              <w:rPr>
                <w:szCs w:val="22"/>
              </w:rPr>
            </w:pPr>
            <w:r w:rsidRPr="00B53FFB">
              <w:rPr>
                <w:szCs w:val="22"/>
              </w:rPr>
              <w:t>182.1</w:t>
            </w:r>
          </w:p>
        </w:tc>
      </w:tr>
      <w:tr w:rsidR="004A147C" w:rsidRPr="00B53FFB" w:rsidTr="00815372">
        <w:trPr>
          <w:gridAfter w:val="1"/>
          <w:wAfter w:w="11" w:type="dxa"/>
          <w:trHeight w:val="215"/>
          <w:jc w:val="center"/>
        </w:trPr>
        <w:tc>
          <w:tcPr>
            <w:tcW w:w="876" w:type="dxa"/>
            <w:vAlign w:val="bottom"/>
          </w:tcPr>
          <w:p w:rsidR="004A147C" w:rsidRPr="00B53FFB" w:rsidRDefault="004A147C" w:rsidP="00CE5850">
            <w:pPr>
              <w:rPr>
                <w:szCs w:val="22"/>
              </w:rPr>
            </w:pPr>
            <w:r w:rsidRPr="00B53FFB">
              <w:rPr>
                <w:szCs w:val="22"/>
              </w:rPr>
              <w:t>2005</w:t>
            </w:r>
          </w:p>
        </w:tc>
        <w:tc>
          <w:tcPr>
            <w:tcW w:w="1170" w:type="dxa"/>
            <w:vAlign w:val="bottom"/>
          </w:tcPr>
          <w:p w:rsidR="004A147C" w:rsidRPr="00B53FFB" w:rsidRDefault="004A147C" w:rsidP="00CE5850">
            <w:pPr>
              <w:jc w:val="right"/>
              <w:rPr>
                <w:szCs w:val="22"/>
              </w:rPr>
            </w:pPr>
            <w:r w:rsidRPr="00B53FFB">
              <w:rPr>
                <w:szCs w:val="22"/>
              </w:rPr>
              <w:t>213.0</w:t>
            </w:r>
          </w:p>
        </w:tc>
        <w:tc>
          <w:tcPr>
            <w:tcW w:w="1439" w:type="dxa"/>
            <w:vAlign w:val="bottom"/>
          </w:tcPr>
          <w:p w:rsidR="004A147C" w:rsidRPr="00B53FFB" w:rsidRDefault="004A147C" w:rsidP="00CE5850">
            <w:pPr>
              <w:jc w:val="right"/>
              <w:rPr>
                <w:szCs w:val="22"/>
              </w:rPr>
            </w:pPr>
            <w:r w:rsidRPr="00B53FFB">
              <w:rPr>
                <w:szCs w:val="22"/>
              </w:rPr>
              <w:t>28.3</w:t>
            </w:r>
          </w:p>
        </w:tc>
        <w:tc>
          <w:tcPr>
            <w:tcW w:w="1285" w:type="dxa"/>
            <w:vAlign w:val="bottom"/>
          </w:tcPr>
          <w:p w:rsidR="004A147C" w:rsidRPr="00B53FFB" w:rsidRDefault="004A147C" w:rsidP="00CE5850">
            <w:pPr>
              <w:jc w:val="right"/>
              <w:rPr>
                <w:szCs w:val="22"/>
              </w:rPr>
            </w:pPr>
            <w:r w:rsidRPr="00B53FFB">
              <w:rPr>
                <w:szCs w:val="22"/>
              </w:rPr>
              <w:t>71</w:t>
            </w:r>
          </w:p>
        </w:tc>
        <w:tc>
          <w:tcPr>
            <w:tcW w:w="1343" w:type="dxa"/>
          </w:tcPr>
          <w:p w:rsidR="004A147C" w:rsidRPr="00B53FFB" w:rsidRDefault="004A147C" w:rsidP="00CE5850">
            <w:pPr>
              <w:jc w:val="right"/>
              <w:rPr>
                <w:szCs w:val="22"/>
              </w:rPr>
            </w:pPr>
            <w:r w:rsidRPr="00B53FFB">
              <w:rPr>
                <w:szCs w:val="22"/>
              </w:rPr>
              <w:t>207.9</w:t>
            </w:r>
          </w:p>
        </w:tc>
      </w:tr>
      <w:tr w:rsidR="004A147C" w:rsidRPr="00B53FFB" w:rsidTr="00815372">
        <w:trPr>
          <w:gridAfter w:val="1"/>
          <w:wAfter w:w="11" w:type="dxa"/>
          <w:trHeight w:val="215"/>
          <w:jc w:val="center"/>
        </w:trPr>
        <w:tc>
          <w:tcPr>
            <w:tcW w:w="876" w:type="dxa"/>
            <w:vAlign w:val="bottom"/>
          </w:tcPr>
          <w:p w:rsidR="004A147C" w:rsidRPr="00B53FFB" w:rsidRDefault="004A147C" w:rsidP="00CE5850">
            <w:pPr>
              <w:rPr>
                <w:szCs w:val="22"/>
              </w:rPr>
            </w:pPr>
            <w:r w:rsidRPr="00B53FFB">
              <w:rPr>
                <w:szCs w:val="22"/>
              </w:rPr>
              <w:t>2006</w:t>
            </w:r>
          </w:p>
        </w:tc>
        <w:tc>
          <w:tcPr>
            <w:tcW w:w="1170" w:type="dxa"/>
            <w:vAlign w:val="bottom"/>
          </w:tcPr>
          <w:p w:rsidR="004A147C" w:rsidRPr="00B53FFB" w:rsidRDefault="004A147C" w:rsidP="00CE5850">
            <w:pPr>
              <w:jc w:val="right"/>
              <w:rPr>
                <w:szCs w:val="22"/>
              </w:rPr>
            </w:pPr>
            <w:r w:rsidRPr="00B53FFB">
              <w:rPr>
                <w:szCs w:val="22"/>
              </w:rPr>
              <w:t>241.8</w:t>
            </w:r>
          </w:p>
        </w:tc>
        <w:tc>
          <w:tcPr>
            <w:tcW w:w="1439" w:type="dxa"/>
            <w:vAlign w:val="bottom"/>
          </w:tcPr>
          <w:p w:rsidR="004A147C" w:rsidRPr="00B53FFB" w:rsidRDefault="004A147C" w:rsidP="00CE5850">
            <w:pPr>
              <w:jc w:val="right"/>
              <w:rPr>
                <w:szCs w:val="22"/>
              </w:rPr>
            </w:pPr>
            <w:r w:rsidRPr="00B53FFB">
              <w:rPr>
                <w:szCs w:val="22"/>
              </w:rPr>
              <w:t>28.8</w:t>
            </w:r>
          </w:p>
        </w:tc>
        <w:tc>
          <w:tcPr>
            <w:tcW w:w="1285" w:type="dxa"/>
            <w:vAlign w:val="bottom"/>
          </w:tcPr>
          <w:p w:rsidR="004A147C" w:rsidRPr="00B53FFB" w:rsidRDefault="004A147C" w:rsidP="00CE5850">
            <w:pPr>
              <w:jc w:val="right"/>
              <w:rPr>
                <w:szCs w:val="22"/>
              </w:rPr>
            </w:pPr>
            <w:r w:rsidRPr="00B53FFB">
              <w:rPr>
                <w:szCs w:val="22"/>
              </w:rPr>
              <w:t>80</w:t>
            </w:r>
          </w:p>
        </w:tc>
        <w:tc>
          <w:tcPr>
            <w:tcW w:w="1343" w:type="dxa"/>
          </w:tcPr>
          <w:p w:rsidR="004A147C" w:rsidRPr="00B53FFB" w:rsidRDefault="004A147C" w:rsidP="00CE5850">
            <w:pPr>
              <w:jc w:val="right"/>
              <w:rPr>
                <w:szCs w:val="22"/>
              </w:rPr>
            </w:pPr>
            <w:r w:rsidRPr="00B53FFB">
              <w:rPr>
                <w:szCs w:val="22"/>
              </w:rPr>
              <w:t>233.0</w:t>
            </w:r>
          </w:p>
        </w:tc>
      </w:tr>
      <w:tr w:rsidR="004A147C" w:rsidRPr="00B53FFB" w:rsidTr="00815372">
        <w:trPr>
          <w:gridAfter w:val="1"/>
          <w:wAfter w:w="11" w:type="dxa"/>
          <w:trHeight w:val="70"/>
          <w:jc w:val="center"/>
        </w:trPr>
        <w:tc>
          <w:tcPr>
            <w:tcW w:w="876" w:type="dxa"/>
            <w:vAlign w:val="bottom"/>
          </w:tcPr>
          <w:p w:rsidR="004A147C" w:rsidRPr="00B53FFB" w:rsidRDefault="004A147C" w:rsidP="00CE5850">
            <w:pPr>
              <w:rPr>
                <w:szCs w:val="22"/>
              </w:rPr>
            </w:pPr>
            <w:r w:rsidRPr="00B53FFB">
              <w:rPr>
                <w:szCs w:val="22"/>
              </w:rPr>
              <w:t>2007</w:t>
            </w:r>
          </w:p>
        </w:tc>
        <w:tc>
          <w:tcPr>
            <w:tcW w:w="1170" w:type="dxa"/>
            <w:vAlign w:val="bottom"/>
          </w:tcPr>
          <w:p w:rsidR="004A147C" w:rsidRPr="00B53FFB" w:rsidRDefault="004A147C" w:rsidP="00CE5850">
            <w:pPr>
              <w:jc w:val="right"/>
              <w:rPr>
                <w:szCs w:val="22"/>
              </w:rPr>
            </w:pPr>
            <w:r w:rsidRPr="00B53FFB">
              <w:rPr>
                <w:szCs w:val="22"/>
              </w:rPr>
              <w:t>263.0</w:t>
            </w:r>
          </w:p>
        </w:tc>
        <w:tc>
          <w:tcPr>
            <w:tcW w:w="1439" w:type="dxa"/>
            <w:vAlign w:val="bottom"/>
          </w:tcPr>
          <w:p w:rsidR="004A147C" w:rsidRPr="00B53FFB" w:rsidRDefault="004A147C" w:rsidP="00CE5850">
            <w:pPr>
              <w:jc w:val="right"/>
              <w:rPr>
                <w:szCs w:val="22"/>
              </w:rPr>
            </w:pPr>
            <w:r w:rsidRPr="00B53FFB">
              <w:rPr>
                <w:szCs w:val="22"/>
              </w:rPr>
              <w:t>21.2</w:t>
            </w:r>
          </w:p>
        </w:tc>
        <w:tc>
          <w:tcPr>
            <w:tcW w:w="1285" w:type="dxa"/>
            <w:vAlign w:val="bottom"/>
          </w:tcPr>
          <w:p w:rsidR="004A147C" w:rsidRPr="00B53FFB" w:rsidRDefault="004A147C" w:rsidP="00CE5850">
            <w:pPr>
              <w:jc w:val="right"/>
              <w:rPr>
                <w:szCs w:val="22"/>
              </w:rPr>
            </w:pPr>
            <w:r w:rsidRPr="00B53FFB">
              <w:rPr>
                <w:szCs w:val="22"/>
              </w:rPr>
              <w:t>86</w:t>
            </w:r>
          </w:p>
        </w:tc>
        <w:tc>
          <w:tcPr>
            <w:tcW w:w="1343" w:type="dxa"/>
          </w:tcPr>
          <w:p w:rsidR="004A147C" w:rsidRPr="00B53FFB" w:rsidRDefault="004A147C" w:rsidP="00CE5850">
            <w:pPr>
              <w:jc w:val="right"/>
              <w:rPr>
                <w:szCs w:val="22"/>
              </w:rPr>
            </w:pPr>
            <w:r w:rsidRPr="00B53FFB">
              <w:rPr>
                <w:szCs w:val="22"/>
              </w:rPr>
              <w:t>255.4</w:t>
            </w:r>
          </w:p>
        </w:tc>
      </w:tr>
      <w:tr w:rsidR="004A147C" w:rsidRPr="00B53FFB" w:rsidTr="00815372">
        <w:trPr>
          <w:gridAfter w:val="1"/>
          <w:wAfter w:w="11" w:type="dxa"/>
          <w:trHeight w:val="143"/>
          <w:jc w:val="center"/>
        </w:trPr>
        <w:tc>
          <w:tcPr>
            <w:tcW w:w="876" w:type="dxa"/>
            <w:vAlign w:val="bottom"/>
          </w:tcPr>
          <w:p w:rsidR="004A147C" w:rsidRPr="00B53FFB" w:rsidRDefault="004A147C" w:rsidP="00CE5850">
            <w:pPr>
              <w:rPr>
                <w:szCs w:val="22"/>
              </w:rPr>
            </w:pPr>
            <w:r w:rsidRPr="00B53FFB">
              <w:rPr>
                <w:szCs w:val="22"/>
              </w:rPr>
              <w:t>2008</w:t>
            </w:r>
          </w:p>
        </w:tc>
        <w:tc>
          <w:tcPr>
            <w:tcW w:w="1170" w:type="dxa"/>
            <w:vAlign w:val="bottom"/>
          </w:tcPr>
          <w:p w:rsidR="004A147C" w:rsidRPr="00B53FFB" w:rsidRDefault="004A147C" w:rsidP="00CE5850">
            <w:pPr>
              <w:jc w:val="right"/>
              <w:rPr>
                <w:szCs w:val="22"/>
              </w:rPr>
            </w:pPr>
            <w:r w:rsidRPr="00B53FFB">
              <w:rPr>
                <w:szCs w:val="22"/>
              </w:rPr>
              <w:t>279.6</w:t>
            </w:r>
          </w:p>
        </w:tc>
        <w:tc>
          <w:tcPr>
            <w:tcW w:w="1439" w:type="dxa"/>
            <w:vAlign w:val="bottom"/>
          </w:tcPr>
          <w:p w:rsidR="004A147C" w:rsidRPr="00B53FFB" w:rsidRDefault="004A147C" w:rsidP="00CE5850">
            <w:pPr>
              <w:jc w:val="right"/>
              <w:rPr>
                <w:szCs w:val="22"/>
              </w:rPr>
            </w:pPr>
            <w:r w:rsidRPr="00B53FFB">
              <w:rPr>
                <w:szCs w:val="22"/>
              </w:rPr>
              <w:t>16.6</w:t>
            </w:r>
          </w:p>
        </w:tc>
        <w:tc>
          <w:tcPr>
            <w:tcW w:w="1285" w:type="dxa"/>
            <w:vAlign w:val="bottom"/>
          </w:tcPr>
          <w:p w:rsidR="004A147C" w:rsidRPr="00B53FFB" w:rsidRDefault="004A147C" w:rsidP="00CE5850">
            <w:pPr>
              <w:jc w:val="right"/>
              <w:rPr>
                <w:szCs w:val="22"/>
              </w:rPr>
            </w:pPr>
            <w:r w:rsidRPr="00B53FFB">
              <w:rPr>
                <w:szCs w:val="22"/>
              </w:rPr>
              <w:t>91</w:t>
            </w:r>
          </w:p>
        </w:tc>
        <w:tc>
          <w:tcPr>
            <w:tcW w:w="1343" w:type="dxa"/>
          </w:tcPr>
          <w:p w:rsidR="004A147C" w:rsidRPr="00B53FFB" w:rsidRDefault="004A147C" w:rsidP="00CE5850">
            <w:pPr>
              <w:jc w:val="right"/>
              <w:rPr>
                <w:szCs w:val="22"/>
              </w:rPr>
            </w:pPr>
            <w:r w:rsidRPr="00B53FFB">
              <w:rPr>
                <w:szCs w:val="22"/>
              </w:rPr>
              <w:t>270.3</w:t>
            </w:r>
          </w:p>
        </w:tc>
      </w:tr>
      <w:tr w:rsidR="004A147C" w:rsidRPr="00B53FFB" w:rsidTr="00815372">
        <w:trPr>
          <w:gridAfter w:val="1"/>
          <w:wAfter w:w="11" w:type="dxa"/>
          <w:trHeight w:val="152"/>
          <w:jc w:val="center"/>
        </w:trPr>
        <w:tc>
          <w:tcPr>
            <w:tcW w:w="876" w:type="dxa"/>
            <w:vAlign w:val="bottom"/>
          </w:tcPr>
          <w:p w:rsidR="004A147C" w:rsidRPr="00B53FFB" w:rsidRDefault="004A147C" w:rsidP="00CE5850">
            <w:pPr>
              <w:rPr>
                <w:szCs w:val="22"/>
              </w:rPr>
            </w:pPr>
            <w:r w:rsidRPr="00B53FFB">
              <w:rPr>
                <w:szCs w:val="22"/>
              </w:rPr>
              <w:t>2009</w:t>
            </w:r>
          </w:p>
        </w:tc>
        <w:tc>
          <w:tcPr>
            <w:tcW w:w="1170" w:type="dxa"/>
            <w:vAlign w:val="bottom"/>
          </w:tcPr>
          <w:p w:rsidR="004A147C" w:rsidRPr="00B53FFB" w:rsidRDefault="004A147C" w:rsidP="00CE5850">
            <w:pPr>
              <w:jc w:val="right"/>
              <w:rPr>
                <w:szCs w:val="22"/>
              </w:rPr>
            </w:pPr>
            <w:r w:rsidRPr="00B53FFB">
              <w:rPr>
                <w:szCs w:val="22"/>
              </w:rPr>
              <w:t>290.7</w:t>
            </w:r>
          </w:p>
        </w:tc>
        <w:tc>
          <w:tcPr>
            <w:tcW w:w="1439" w:type="dxa"/>
            <w:vAlign w:val="bottom"/>
          </w:tcPr>
          <w:p w:rsidR="004A147C" w:rsidRPr="00B53FFB" w:rsidRDefault="004A147C" w:rsidP="00CE5850">
            <w:pPr>
              <w:jc w:val="right"/>
              <w:rPr>
                <w:szCs w:val="22"/>
              </w:rPr>
            </w:pPr>
            <w:r w:rsidRPr="00B53FFB">
              <w:rPr>
                <w:szCs w:val="22"/>
              </w:rPr>
              <w:t>11.1</w:t>
            </w:r>
          </w:p>
        </w:tc>
        <w:tc>
          <w:tcPr>
            <w:tcW w:w="1285" w:type="dxa"/>
            <w:vAlign w:val="bottom"/>
          </w:tcPr>
          <w:p w:rsidR="004A147C" w:rsidRPr="00B53FFB" w:rsidRDefault="004A147C" w:rsidP="00CE5850">
            <w:pPr>
              <w:jc w:val="right"/>
              <w:rPr>
                <w:szCs w:val="22"/>
              </w:rPr>
            </w:pPr>
            <w:r w:rsidRPr="00B53FFB">
              <w:rPr>
                <w:szCs w:val="22"/>
              </w:rPr>
              <w:t>94</w:t>
            </w:r>
          </w:p>
        </w:tc>
        <w:tc>
          <w:tcPr>
            <w:tcW w:w="1343" w:type="dxa"/>
          </w:tcPr>
          <w:p w:rsidR="004A147C" w:rsidRPr="00B53FFB" w:rsidRDefault="004A147C" w:rsidP="00CE5850">
            <w:pPr>
              <w:jc w:val="right"/>
              <w:rPr>
                <w:szCs w:val="22"/>
              </w:rPr>
            </w:pPr>
            <w:r w:rsidRPr="00B53FFB">
              <w:rPr>
                <w:szCs w:val="22"/>
              </w:rPr>
              <w:t>2</w:t>
            </w:r>
            <w:r>
              <w:rPr>
                <w:szCs w:val="22"/>
              </w:rPr>
              <w:t>85</w:t>
            </w:r>
            <w:r w:rsidRPr="00B53FFB">
              <w:rPr>
                <w:szCs w:val="22"/>
              </w:rPr>
              <w:t>.</w:t>
            </w:r>
            <w:r>
              <w:rPr>
                <w:szCs w:val="22"/>
              </w:rPr>
              <w:t>6</w:t>
            </w:r>
          </w:p>
        </w:tc>
      </w:tr>
      <w:tr w:rsidR="004A147C" w:rsidRPr="00B53FFB" w:rsidTr="00815372">
        <w:trPr>
          <w:gridAfter w:val="1"/>
          <w:wAfter w:w="11" w:type="dxa"/>
          <w:trHeight w:val="262"/>
          <w:jc w:val="center"/>
        </w:trPr>
        <w:tc>
          <w:tcPr>
            <w:tcW w:w="876" w:type="dxa"/>
            <w:vAlign w:val="bottom"/>
          </w:tcPr>
          <w:p w:rsidR="004A147C" w:rsidRPr="00B53FFB" w:rsidRDefault="004A147C" w:rsidP="00CE5850">
            <w:pPr>
              <w:rPr>
                <w:szCs w:val="22"/>
              </w:rPr>
            </w:pPr>
            <w:r w:rsidRPr="00B53FFB">
              <w:rPr>
                <w:szCs w:val="22"/>
              </w:rPr>
              <w:t>2010</w:t>
            </w:r>
          </w:p>
        </w:tc>
        <w:tc>
          <w:tcPr>
            <w:tcW w:w="1170" w:type="dxa"/>
            <w:vAlign w:val="bottom"/>
          </w:tcPr>
          <w:p w:rsidR="004A147C" w:rsidRPr="00B53FFB" w:rsidRDefault="004A147C" w:rsidP="00CE5850">
            <w:pPr>
              <w:jc w:val="right"/>
              <w:rPr>
                <w:szCs w:val="22"/>
              </w:rPr>
            </w:pPr>
            <w:r w:rsidRPr="00B53FFB">
              <w:rPr>
                <w:szCs w:val="22"/>
              </w:rPr>
              <w:t>301.8</w:t>
            </w:r>
          </w:p>
        </w:tc>
        <w:tc>
          <w:tcPr>
            <w:tcW w:w="1439" w:type="dxa"/>
            <w:vAlign w:val="bottom"/>
          </w:tcPr>
          <w:p w:rsidR="004A147C" w:rsidRPr="00B53FFB" w:rsidRDefault="004A147C" w:rsidP="00CE5850">
            <w:pPr>
              <w:jc w:val="right"/>
              <w:rPr>
                <w:szCs w:val="22"/>
              </w:rPr>
            </w:pPr>
            <w:r w:rsidRPr="00B53FFB">
              <w:rPr>
                <w:szCs w:val="22"/>
              </w:rPr>
              <w:t>11.1</w:t>
            </w:r>
          </w:p>
        </w:tc>
        <w:tc>
          <w:tcPr>
            <w:tcW w:w="1285" w:type="dxa"/>
            <w:vAlign w:val="bottom"/>
          </w:tcPr>
          <w:p w:rsidR="004A147C" w:rsidRPr="00B53FFB" w:rsidRDefault="004A147C" w:rsidP="00CE5850">
            <w:pPr>
              <w:jc w:val="right"/>
              <w:rPr>
                <w:szCs w:val="22"/>
              </w:rPr>
            </w:pPr>
            <w:r w:rsidRPr="00B53FFB">
              <w:rPr>
                <w:szCs w:val="22"/>
              </w:rPr>
              <w:t>97</w:t>
            </w:r>
          </w:p>
        </w:tc>
        <w:tc>
          <w:tcPr>
            <w:tcW w:w="1343" w:type="dxa"/>
          </w:tcPr>
          <w:p w:rsidR="004A147C" w:rsidRPr="00B53FFB" w:rsidRDefault="004A147C" w:rsidP="00CE5850">
            <w:pPr>
              <w:jc w:val="right"/>
              <w:rPr>
                <w:szCs w:val="22"/>
              </w:rPr>
            </w:pPr>
            <w:r>
              <w:rPr>
                <w:szCs w:val="22"/>
              </w:rPr>
              <w:t>296</w:t>
            </w:r>
            <w:r w:rsidRPr="00B53FFB">
              <w:rPr>
                <w:szCs w:val="22"/>
              </w:rPr>
              <w:t>.</w:t>
            </w:r>
            <w:r>
              <w:rPr>
                <w:szCs w:val="22"/>
              </w:rPr>
              <w:t>3</w:t>
            </w:r>
          </w:p>
        </w:tc>
      </w:tr>
      <w:tr w:rsidR="004A147C" w:rsidRPr="00B53FFB" w:rsidTr="00815372">
        <w:trPr>
          <w:gridAfter w:val="1"/>
          <w:wAfter w:w="11" w:type="dxa"/>
          <w:trHeight w:val="262"/>
          <w:jc w:val="center"/>
        </w:trPr>
        <w:tc>
          <w:tcPr>
            <w:tcW w:w="876" w:type="dxa"/>
            <w:vAlign w:val="bottom"/>
          </w:tcPr>
          <w:p w:rsidR="004A147C" w:rsidRPr="00B53FFB" w:rsidRDefault="004A147C" w:rsidP="00CE5850">
            <w:pPr>
              <w:rPr>
                <w:szCs w:val="22"/>
              </w:rPr>
            </w:pPr>
            <w:r w:rsidRPr="00B53FFB">
              <w:rPr>
                <w:szCs w:val="22"/>
              </w:rPr>
              <w:t>2011</w:t>
            </w:r>
          </w:p>
        </w:tc>
        <w:tc>
          <w:tcPr>
            <w:tcW w:w="1170" w:type="dxa"/>
            <w:vAlign w:val="bottom"/>
          </w:tcPr>
          <w:p w:rsidR="004A147C" w:rsidRPr="00B53FFB" w:rsidRDefault="004A147C" w:rsidP="00CE5850">
            <w:pPr>
              <w:jc w:val="right"/>
              <w:rPr>
                <w:szCs w:val="22"/>
              </w:rPr>
            </w:pPr>
            <w:r w:rsidRPr="00B53FFB">
              <w:rPr>
                <w:szCs w:val="22"/>
              </w:rPr>
              <w:t>317.3</w:t>
            </w:r>
          </w:p>
        </w:tc>
        <w:tc>
          <w:tcPr>
            <w:tcW w:w="1439" w:type="dxa"/>
            <w:vAlign w:val="bottom"/>
          </w:tcPr>
          <w:p w:rsidR="004A147C" w:rsidRPr="00B53FFB" w:rsidRDefault="004A147C" w:rsidP="00CE5850">
            <w:pPr>
              <w:jc w:val="right"/>
              <w:rPr>
                <w:szCs w:val="22"/>
              </w:rPr>
            </w:pPr>
            <w:r w:rsidRPr="00B53FFB">
              <w:rPr>
                <w:szCs w:val="22"/>
              </w:rPr>
              <w:t>15.5</w:t>
            </w:r>
          </w:p>
        </w:tc>
        <w:tc>
          <w:tcPr>
            <w:tcW w:w="1285" w:type="dxa"/>
            <w:vAlign w:val="bottom"/>
          </w:tcPr>
          <w:p w:rsidR="004A147C" w:rsidRPr="00B53FFB" w:rsidRDefault="004A147C" w:rsidP="00CE5850">
            <w:pPr>
              <w:jc w:val="right"/>
              <w:rPr>
                <w:szCs w:val="22"/>
              </w:rPr>
            </w:pPr>
            <w:r w:rsidRPr="00B53FFB">
              <w:rPr>
                <w:szCs w:val="22"/>
              </w:rPr>
              <w:t>102</w:t>
            </w:r>
          </w:p>
        </w:tc>
        <w:tc>
          <w:tcPr>
            <w:tcW w:w="1343" w:type="dxa"/>
          </w:tcPr>
          <w:p w:rsidR="004A147C" w:rsidRPr="00B53FFB" w:rsidRDefault="004A147C" w:rsidP="00CE5850">
            <w:pPr>
              <w:jc w:val="right"/>
              <w:rPr>
                <w:szCs w:val="22"/>
              </w:rPr>
            </w:pPr>
            <w:r w:rsidRPr="00B53FFB">
              <w:rPr>
                <w:szCs w:val="22"/>
              </w:rPr>
              <w:t>3</w:t>
            </w:r>
            <w:r>
              <w:rPr>
                <w:szCs w:val="22"/>
              </w:rPr>
              <w:t>16</w:t>
            </w:r>
            <w:r w:rsidRPr="00B53FFB">
              <w:rPr>
                <w:szCs w:val="22"/>
              </w:rPr>
              <w:t>.</w:t>
            </w:r>
            <w:r>
              <w:rPr>
                <w:szCs w:val="22"/>
              </w:rPr>
              <w:t>0</w:t>
            </w:r>
          </w:p>
        </w:tc>
      </w:tr>
    </w:tbl>
    <w:p w:rsidR="00E050F9" w:rsidRPr="00B53FFB" w:rsidRDefault="00E050F9" w:rsidP="00CE5850">
      <w:pPr>
        <w:rPr>
          <w:b/>
          <w:color w:val="000000"/>
          <w:szCs w:val="22"/>
          <w:u w:val="single"/>
        </w:rPr>
      </w:pPr>
    </w:p>
    <w:p w:rsidR="004A147C" w:rsidRDefault="004A147C" w:rsidP="00CE5850">
      <w:pPr>
        <w:spacing w:before="120" w:after="120"/>
        <w:jc w:val="center"/>
        <w:rPr>
          <w:b/>
          <w:bCs/>
          <w:kern w:val="0"/>
          <w:szCs w:val="22"/>
        </w:rPr>
      </w:pPr>
      <w:r w:rsidRPr="00B53FFB">
        <w:rPr>
          <w:b/>
          <w:bCs/>
          <w:kern w:val="0"/>
          <w:szCs w:val="22"/>
        </w:rPr>
        <w:t>Total Mobile Wireless Connection Annual Net Additions, 2005-2011 (In millions</w:t>
      </w:r>
      <w:r>
        <w:rPr>
          <w:b/>
          <w:bCs/>
          <w:kern w:val="0"/>
          <w:szCs w:val="22"/>
        </w:rPr>
        <w:t>)</w:t>
      </w:r>
    </w:p>
    <w:p w:rsidR="00E050F9" w:rsidRPr="00B53FFB" w:rsidRDefault="00E050F9" w:rsidP="00CE5850">
      <w:pPr>
        <w:spacing w:before="120" w:after="120"/>
        <w:jc w:val="center"/>
        <w:rPr>
          <w:b/>
          <w:bCs/>
          <w:kern w:val="0"/>
          <w:szCs w:val="22"/>
        </w:rPr>
      </w:pPr>
    </w:p>
    <w:p w:rsidR="004A147C" w:rsidRPr="00B53FFB" w:rsidRDefault="00C81B24" w:rsidP="00E050F9">
      <w:pPr>
        <w:jc w:val="center"/>
        <w:rPr>
          <w:szCs w:val="22"/>
        </w:rPr>
      </w:pPr>
      <w:r>
        <w:rPr>
          <w:noProof/>
          <w:szCs w:val="22"/>
        </w:rPr>
        <w:drawing>
          <wp:inline distT="0" distB="0" distL="0" distR="0" wp14:anchorId="0500D6D4" wp14:editId="0C3E4867">
            <wp:extent cx="5019675" cy="3286125"/>
            <wp:effectExtent l="0" t="0" r="9525" b="9525"/>
            <wp:docPr id="5" name="Object 5"/>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rsidR="004A147C" w:rsidRPr="00B53FFB" w:rsidRDefault="004A147C" w:rsidP="00CE5850">
      <w:pPr>
        <w:rPr>
          <w:szCs w:val="22"/>
        </w:rPr>
      </w:pPr>
    </w:p>
    <w:p w:rsidR="00E050F9" w:rsidRDefault="00E050F9" w:rsidP="00CE5850">
      <w:pPr>
        <w:rPr>
          <w:szCs w:val="22"/>
        </w:rPr>
      </w:pPr>
    </w:p>
    <w:p w:rsidR="004A147C" w:rsidRPr="00B53FFB" w:rsidRDefault="004A147C" w:rsidP="00CE5850">
      <w:pPr>
        <w:rPr>
          <w:szCs w:val="22"/>
        </w:rPr>
      </w:pPr>
      <w:r w:rsidRPr="00B53FFB">
        <w:rPr>
          <w:szCs w:val="22"/>
        </w:rPr>
        <w:t>Quarterly net adds in 2010 and 2011 varied by service segment, with prepaid continuing to take the largest (but declining) portion, and wholesale and connected device adds seeing significant growth.  Net adds among service providers continue to vary, with AT&amp;T and Verizon Wireless continuing to see the largest number of net adds.  Sprint Nextel also experienced significant growth, reversing a trend of net losses fr</w:t>
      </w:r>
      <w:r>
        <w:rPr>
          <w:szCs w:val="22"/>
        </w:rPr>
        <w:t>om previous years.   T-Mobile ex</w:t>
      </w:r>
      <w:r w:rsidRPr="00B53FFB">
        <w:rPr>
          <w:szCs w:val="22"/>
        </w:rPr>
        <w:t>perienced negative net adds in 2011, a year during much of which the unsuccessful applications for the transfer of control of T-Mobile USA to AT&amp;T were pending before the Commission.</w:t>
      </w:r>
    </w:p>
    <w:p w:rsidR="00E050F9" w:rsidRDefault="00E050F9" w:rsidP="00CE5850">
      <w:pPr>
        <w:rPr>
          <w:szCs w:val="22"/>
        </w:rPr>
      </w:pPr>
    </w:p>
    <w:p w:rsidR="00E050F9" w:rsidRPr="00B53FFB" w:rsidRDefault="00E050F9" w:rsidP="00CE5850">
      <w:pPr>
        <w:rPr>
          <w:szCs w:val="22"/>
        </w:rPr>
      </w:pPr>
    </w:p>
    <w:p w:rsidR="004A147C" w:rsidRPr="0078346C" w:rsidRDefault="004A147C" w:rsidP="00CE5850">
      <w:pPr>
        <w:spacing w:after="120"/>
        <w:ind w:left="1440"/>
        <w:jc w:val="center"/>
        <w:rPr>
          <w:szCs w:val="22"/>
        </w:rPr>
      </w:pPr>
      <w:r w:rsidRPr="00B53FFB">
        <w:rPr>
          <w:b/>
          <w:szCs w:val="22"/>
        </w:rPr>
        <w:t>Quarterly Net Additions by Service Segment: 2009-20</w:t>
      </w:r>
      <w:r>
        <w:rPr>
          <w:b/>
          <w:szCs w:val="22"/>
        </w:rPr>
        <w:t>11</w:t>
      </w:r>
      <w:r w:rsidRPr="00B53FFB">
        <w:rPr>
          <w:szCs w:val="22"/>
          <w:vertAlign w:val="superscript"/>
        </w:rPr>
        <w:footnoteReference w:id="13"/>
      </w:r>
    </w:p>
    <w:p w:rsidR="004A147C" w:rsidRPr="00BF0151" w:rsidRDefault="00C81B24" w:rsidP="00CE5850">
      <w:pPr>
        <w:jc w:val="center"/>
        <w:rPr>
          <w:kern w:val="0"/>
          <w:szCs w:val="22"/>
        </w:rPr>
      </w:pPr>
      <w:r>
        <w:rPr>
          <w:noProof/>
        </w:rPr>
        <w:drawing>
          <wp:inline distT="0" distB="0" distL="0" distR="0" wp14:anchorId="4C6C5289" wp14:editId="72A737AB">
            <wp:extent cx="5895975" cy="4286250"/>
            <wp:effectExtent l="0" t="0" r="9525"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895975" cy="4286250"/>
                    </a:xfrm>
                    <a:prstGeom prst="rect">
                      <a:avLst/>
                    </a:prstGeom>
                    <a:noFill/>
                    <a:ln>
                      <a:noFill/>
                    </a:ln>
                  </pic:spPr>
                </pic:pic>
              </a:graphicData>
            </a:graphic>
          </wp:inline>
        </w:drawing>
      </w:r>
    </w:p>
    <w:p w:rsidR="00E050F9" w:rsidRDefault="00E050F9" w:rsidP="00CE5850">
      <w:pPr>
        <w:jc w:val="center"/>
        <w:rPr>
          <w:b/>
          <w:bCs/>
          <w:kern w:val="0"/>
          <w:szCs w:val="22"/>
        </w:rPr>
      </w:pPr>
    </w:p>
    <w:p w:rsidR="00E050F9" w:rsidRDefault="00E050F9" w:rsidP="00CE5850">
      <w:pPr>
        <w:jc w:val="center"/>
        <w:rPr>
          <w:b/>
          <w:bCs/>
          <w:kern w:val="0"/>
          <w:szCs w:val="22"/>
        </w:rPr>
      </w:pPr>
    </w:p>
    <w:p w:rsidR="00E050F9" w:rsidRDefault="00E050F9" w:rsidP="00CE5850">
      <w:pPr>
        <w:jc w:val="center"/>
        <w:rPr>
          <w:b/>
          <w:bCs/>
          <w:kern w:val="0"/>
          <w:szCs w:val="22"/>
        </w:rPr>
      </w:pPr>
    </w:p>
    <w:p w:rsidR="00E050F9" w:rsidRDefault="00E050F9" w:rsidP="00CE5850">
      <w:pPr>
        <w:jc w:val="center"/>
        <w:rPr>
          <w:b/>
          <w:bCs/>
          <w:kern w:val="0"/>
          <w:szCs w:val="22"/>
        </w:rPr>
      </w:pPr>
    </w:p>
    <w:p w:rsidR="00E050F9" w:rsidRDefault="00E050F9" w:rsidP="00CE5850">
      <w:pPr>
        <w:jc w:val="center"/>
        <w:rPr>
          <w:b/>
          <w:bCs/>
          <w:kern w:val="0"/>
          <w:szCs w:val="22"/>
        </w:rPr>
      </w:pPr>
    </w:p>
    <w:p w:rsidR="00E050F9" w:rsidRDefault="00E050F9" w:rsidP="00CE5850">
      <w:pPr>
        <w:jc w:val="center"/>
        <w:rPr>
          <w:b/>
          <w:bCs/>
          <w:kern w:val="0"/>
          <w:szCs w:val="22"/>
        </w:rPr>
      </w:pPr>
    </w:p>
    <w:p w:rsidR="00E050F9" w:rsidRDefault="00E050F9" w:rsidP="00CE5850">
      <w:pPr>
        <w:jc w:val="center"/>
        <w:rPr>
          <w:b/>
          <w:bCs/>
          <w:kern w:val="0"/>
          <w:szCs w:val="22"/>
        </w:rPr>
      </w:pPr>
    </w:p>
    <w:p w:rsidR="00E050F9" w:rsidRDefault="00E050F9" w:rsidP="00CE5850">
      <w:pPr>
        <w:jc w:val="center"/>
        <w:rPr>
          <w:b/>
          <w:bCs/>
          <w:kern w:val="0"/>
          <w:szCs w:val="22"/>
        </w:rPr>
      </w:pPr>
    </w:p>
    <w:p w:rsidR="00E050F9" w:rsidRDefault="00E050F9" w:rsidP="00CE5850">
      <w:pPr>
        <w:jc w:val="center"/>
        <w:rPr>
          <w:b/>
          <w:bCs/>
          <w:kern w:val="0"/>
          <w:szCs w:val="22"/>
        </w:rPr>
      </w:pPr>
    </w:p>
    <w:p w:rsidR="00E050F9" w:rsidRDefault="00E050F9" w:rsidP="00E050F9">
      <w:pPr>
        <w:rPr>
          <w:b/>
          <w:bCs/>
          <w:kern w:val="0"/>
          <w:szCs w:val="22"/>
        </w:rPr>
      </w:pPr>
    </w:p>
    <w:p w:rsidR="00E050F9" w:rsidRDefault="00E050F9" w:rsidP="00CE5850">
      <w:pPr>
        <w:jc w:val="center"/>
        <w:rPr>
          <w:b/>
          <w:bCs/>
          <w:kern w:val="0"/>
          <w:szCs w:val="22"/>
        </w:rPr>
      </w:pPr>
    </w:p>
    <w:p w:rsidR="004A147C" w:rsidRDefault="004A147C" w:rsidP="00CE5850">
      <w:pPr>
        <w:jc w:val="center"/>
        <w:rPr>
          <w:b/>
          <w:bCs/>
          <w:kern w:val="0"/>
          <w:szCs w:val="22"/>
        </w:rPr>
      </w:pPr>
      <w:r w:rsidRPr="00B53FFB">
        <w:rPr>
          <w:b/>
          <w:bCs/>
          <w:kern w:val="0"/>
          <w:szCs w:val="22"/>
        </w:rPr>
        <w:lastRenderedPageBreak/>
        <w:t>Annual Net Additions by Service Provider, 2008-2011 (In thousands)</w:t>
      </w:r>
      <w:r w:rsidRPr="00B53FFB">
        <w:rPr>
          <w:bCs/>
          <w:kern w:val="0"/>
          <w:szCs w:val="22"/>
          <w:vertAlign w:val="superscript"/>
        </w:rPr>
        <w:footnoteReference w:id="14"/>
      </w:r>
    </w:p>
    <w:p w:rsidR="00E050F9" w:rsidRPr="00FF2566" w:rsidRDefault="00E050F9" w:rsidP="00CE5850">
      <w:pPr>
        <w:jc w:val="center"/>
        <w:rPr>
          <w:b/>
          <w:bCs/>
          <w:kern w:val="0"/>
          <w:szCs w:val="22"/>
        </w:rPr>
      </w:pPr>
    </w:p>
    <w:p w:rsidR="004A147C" w:rsidRDefault="00C81B24" w:rsidP="00CE5850">
      <w:pPr>
        <w:jc w:val="center"/>
        <w:rPr>
          <w:b/>
          <w:color w:val="000000"/>
          <w:kern w:val="0"/>
          <w:szCs w:val="22"/>
          <w:u w:val="single"/>
        </w:rPr>
      </w:pPr>
      <w:r>
        <w:rPr>
          <w:b/>
          <w:noProof/>
          <w:color w:val="000000"/>
          <w:kern w:val="0"/>
          <w:szCs w:val="22"/>
          <w:u w:val="single"/>
        </w:rPr>
        <w:drawing>
          <wp:inline distT="0" distB="0" distL="0" distR="0" wp14:anchorId="140F9C86" wp14:editId="35F48ED5">
            <wp:extent cx="5591175" cy="3748732"/>
            <wp:effectExtent l="0" t="0" r="0" b="4445"/>
            <wp:docPr id="7" name="Picture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4"/>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591175" cy="3748732"/>
                    </a:xfrm>
                    <a:prstGeom prst="rect">
                      <a:avLst/>
                    </a:prstGeom>
                    <a:noFill/>
                    <a:ln>
                      <a:noFill/>
                    </a:ln>
                  </pic:spPr>
                </pic:pic>
              </a:graphicData>
            </a:graphic>
          </wp:inline>
        </w:drawing>
      </w:r>
    </w:p>
    <w:p w:rsidR="004A147C" w:rsidRDefault="004A147C" w:rsidP="00CE5850">
      <w:pPr>
        <w:jc w:val="center"/>
        <w:rPr>
          <w:b/>
          <w:color w:val="000000"/>
          <w:kern w:val="0"/>
          <w:szCs w:val="22"/>
          <w:u w:val="single"/>
        </w:rPr>
      </w:pPr>
    </w:p>
    <w:p w:rsidR="004A147C" w:rsidRPr="00B53FFB" w:rsidRDefault="004A147C" w:rsidP="00CE5850">
      <w:pPr>
        <w:rPr>
          <w:b/>
          <w:color w:val="000000"/>
          <w:kern w:val="0"/>
          <w:szCs w:val="22"/>
          <w:u w:val="single"/>
        </w:rPr>
      </w:pPr>
    </w:p>
    <w:p w:rsidR="004A147C" w:rsidRPr="00B53FFB" w:rsidRDefault="004A147C" w:rsidP="00CE5850">
      <w:pPr>
        <w:rPr>
          <w:b/>
          <w:color w:val="000000"/>
          <w:kern w:val="0"/>
          <w:szCs w:val="22"/>
          <w:u w:val="single"/>
        </w:rPr>
      </w:pPr>
      <w:r w:rsidRPr="00B53FFB">
        <w:rPr>
          <w:b/>
          <w:color w:val="000000"/>
          <w:kern w:val="0"/>
          <w:szCs w:val="22"/>
          <w:u w:val="single"/>
        </w:rPr>
        <w:t>Usage</w:t>
      </w:r>
    </w:p>
    <w:p w:rsidR="004A147C" w:rsidRPr="00B53FFB" w:rsidRDefault="004A147C" w:rsidP="00CE5850">
      <w:pPr>
        <w:rPr>
          <w:b/>
          <w:color w:val="000000"/>
          <w:kern w:val="0"/>
          <w:szCs w:val="22"/>
          <w:u w:val="single"/>
        </w:rPr>
      </w:pPr>
    </w:p>
    <w:p w:rsidR="004A147C" w:rsidRDefault="004A147C" w:rsidP="00CE5850">
      <w:pPr>
        <w:spacing w:after="120"/>
        <w:rPr>
          <w:szCs w:val="22"/>
        </w:rPr>
      </w:pPr>
      <w:r w:rsidRPr="00B53FFB">
        <w:rPr>
          <w:kern w:val="0"/>
          <w:szCs w:val="22"/>
        </w:rPr>
        <w:t xml:space="preserve">Trends </w:t>
      </w:r>
      <w:r w:rsidRPr="00B53FFB">
        <w:rPr>
          <w:szCs w:val="22"/>
        </w:rPr>
        <w:t xml:space="preserve">in mobile wireless services showed continuing evolution from being primarily voice-centric to data-centric during the time frame covered by this </w:t>
      </w:r>
      <w:r w:rsidRPr="00B53FFB">
        <w:rPr>
          <w:i/>
          <w:szCs w:val="22"/>
        </w:rPr>
        <w:t>Report</w:t>
      </w:r>
      <w:r w:rsidRPr="00B53FFB">
        <w:rPr>
          <w:szCs w:val="22"/>
        </w:rPr>
        <w:t>.  During this period mobile data traffic grew significantly while average billable minutes of use (MOUs), a measure of monthly mobile voice usage per subscriber, continued to decline.  Following significant increases in previous years, growth rates for SMS and Multimedia Messaging Service (MMS) usage per customer were steady or declining</w:t>
      </w:r>
      <w:r w:rsidR="00C81C01">
        <w:rPr>
          <w:szCs w:val="22"/>
        </w:rPr>
        <w:t>,</w:t>
      </w:r>
      <w:r w:rsidRPr="00B53FFB">
        <w:rPr>
          <w:szCs w:val="22"/>
        </w:rPr>
        <w:t xml:space="preserve"> although we note the emergence of data services that provide similar functionality to SMS and MMS.  Usage measures for these services are excluded in these numbers but included in the data consumption chart below.  The </w:t>
      </w:r>
      <w:r w:rsidRPr="00B53FFB">
        <w:rPr>
          <w:i/>
          <w:szCs w:val="22"/>
        </w:rPr>
        <w:t>Report</w:t>
      </w:r>
      <w:r w:rsidRPr="00B53FFB">
        <w:rPr>
          <w:szCs w:val="22"/>
        </w:rPr>
        <w:t xml:space="preserve"> identifies four trends highlighting the reasons for increased data traffic: (1) the growth in mobile device connections, including multiple connections held by the same subscriber; (2) the growing use of data-only mobile devices, such as laptop cards, e-readers, and tablets; (3) the increased popularity of higher-bandwidth mobile applications; and (4) the deployment of faster networks.  It is estimated that U.S. mobile data traffic increased 270 percent from 2010 to 2011, and that it has more than doubled each year for the past four years.</w:t>
      </w:r>
      <w:r w:rsidRPr="00B53FFB">
        <w:rPr>
          <w:szCs w:val="22"/>
          <w:vertAlign w:val="superscript"/>
        </w:rPr>
        <w:footnoteReference w:id="15"/>
      </w:r>
    </w:p>
    <w:p w:rsidR="00E050F9" w:rsidRDefault="00E050F9" w:rsidP="00CE5850">
      <w:pPr>
        <w:spacing w:after="120"/>
        <w:rPr>
          <w:szCs w:val="22"/>
        </w:rPr>
      </w:pPr>
    </w:p>
    <w:p w:rsidR="004A147C" w:rsidRPr="0078346C" w:rsidRDefault="004A147C" w:rsidP="00CE5850">
      <w:pPr>
        <w:spacing w:before="120" w:after="120"/>
        <w:jc w:val="center"/>
        <w:rPr>
          <w:b/>
          <w:bCs/>
          <w:kern w:val="0"/>
          <w:szCs w:val="22"/>
        </w:rPr>
      </w:pPr>
      <w:r w:rsidRPr="00B53FFB">
        <w:rPr>
          <w:b/>
          <w:bCs/>
          <w:kern w:val="0"/>
          <w:szCs w:val="22"/>
        </w:rPr>
        <w:lastRenderedPageBreak/>
        <w:t>Average MOUs Per Subscriber Per Month</w:t>
      </w:r>
      <w:r w:rsidRPr="00B53FFB">
        <w:rPr>
          <w:bCs/>
          <w:kern w:val="0"/>
          <w:szCs w:val="22"/>
          <w:vertAlign w:val="superscript"/>
        </w:rPr>
        <w:footnoteReference w:id="16"/>
      </w:r>
    </w:p>
    <w:p w:rsidR="004A147C" w:rsidRPr="00B53FFB" w:rsidRDefault="00C81B24" w:rsidP="00CE5850">
      <w:pPr>
        <w:rPr>
          <w:b/>
          <w:color w:val="000000"/>
          <w:szCs w:val="22"/>
          <w:u w:val="single"/>
        </w:rPr>
      </w:pPr>
      <w:r>
        <w:rPr>
          <w:b/>
          <w:noProof/>
          <w:color w:val="000000"/>
          <w:szCs w:val="22"/>
          <w:u w:val="single"/>
        </w:rPr>
        <w:drawing>
          <wp:inline distT="0" distB="0" distL="0" distR="0" wp14:anchorId="0218462B" wp14:editId="7848895A">
            <wp:extent cx="5924550" cy="403860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924550" cy="4038600"/>
                    </a:xfrm>
                    <a:prstGeom prst="rect">
                      <a:avLst/>
                    </a:prstGeom>
                    <a:noFill/>
                    <a:ln>
                      <a:noFill/>
                    </a:ln>
                  </pic:spPr>
                </pic:pic>
              </a:graphicData>
            </a:graphic>
          </wp:inline>
        </w:drawing>
      </w:r>
    </w:p>
    <w:p w:rsidR="004A147C" w:rsidRDefault="004A147C" w:rsidP="00E050F9">
      <w:pPr>
        <w:spacing w:before="120" w:after="120"/>
        <w:rPr>
          <w:b/>
          <w:bCs/>
          <w:kern w:val="0"/>
          <w:szCs w:val="22"/>
        </w:rPr>
      </w:pPr>
    </w:p>
    <w:p w:rsidR="004A147C" w:rsidRPr="00B53FFB" w:rsidRDefault="004A147C" w:rsidP="00CE5850">
      <w:pPr>
        <w:spacing w:before="120" w:after="120"/>
        <w:jc w:val="center"/>
        <w:rPr>
          <w:b/>
          <w:bCs/>
          <w:kern w:val="0"/>
          <w:szCs w:val="22"/>
        </w:rPr>
      </w:pPr>
      <w:r w:rsidRPr="00B53FFB">
        <w:rPr>
          <w:b/>
          <w:bCs/>
          <w:kern w:val="0"/>
          <w:szCs w:val="22"/>
        </w:rPr>
        <w:t>Average Text and Multimedia Messages Per Subscriber Per Month</w:t>
      </w:r>
      <w:r>
        <w:rPr>
          <w:b/>
          <w:bCs/>
          <w:kern w:val="0"/>
          <w:szCs w:val="22"/>
        </w:rPr>
        <w:t>, CTIA</w:t>
      </w:r>
      <w:r w:rsidRPr="00B53FFB">
        <w:rPr>
          <w:bCs/>
          <w:kern w:val="0"/>
          <w:szCs w:val="22"/>
          <w:vertAlign w:val="superscript"/>
        </w:rPr>
        <w:footnoteReference w:id="17"/>
      </w:r>
      <w:r w:rsidRPr="00B53FFB">
        <w:rPr>
          <w:b/>
          <w:bCs/>
          <w:kern w:val="0"/>
          <w:szCs w:val="22"/>
        </w:rPr>
        <w:t xml:space="preserve"> </w:t>
      </w:r>
    </w:p>
    <w:tbl>
      <w:tblPr>
        <w:tblW w:w="0" w:type="auto"/>
        <w:jc w:val="center"/>
        <w:tblInd w:w="-23" w:type="dxa"/>
        <w:tblCellMar>
          <w:left w:w="0" w:type="dxa"/>
          <w:right w:w="0" w:type="dxa"/>
        </w:tblCellMar>
        <w:tblLook w:val="00A0" w:firstRow="1" w:lastRow="0" w:firstColumn="1" w:lastColumn="0" w:noHBand="0" w:noVBand="0"/>
      </w:tblPr>
      <w:tblGrid>
        <w:gridCol w:w="1580"/>
        <w:gridCol w:w="1481"/>
        <w:gridCol w:w="1591"/>
      </w:tblGrid>
      <w:tr w:rsidR="004A147C" w:rsidRPr="00B53FFB" w:rsidTr="00815372">
        <w:trPr>
          <w:trHeight w:val="510"/>
          <w:jc w:val="center"/>
        </w:trPr>
        <w:tc>
          <w:tcPr>
            <w:tcW w:w="0" w:type="auto"/>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tcPr>
          <w:p w:rsidR="004A147C" w:rsidRPr="00B53FFB" w:rsidRDefault="004A147C" w:rsidP="00CE5850">
            <w:pPr>
              <w:jc w:val="center"/>
              <w:rPr>
                <w:rFonts w:eastAsia="Times New Roman"/>
                <w:b/>
                <w:color w:val="000000"/>
                <w:szCs w:val="22"/>
              </w:rPr>
            </w:pPr>
            <w:r w:rsidRPr="00B53FFB">
              <w:rPr>
                <w:rFonts w:eastAsia="Times New Roman"/>
                <w:b/>
                <w:color w:val="000000"/>
                <w:szCs w:val="22"/>
              </w:rPr>
              <w:t>Six-Month</w:t>
            </w:r>
          </w:p>
          <w:p w:rsidR="004A147C" w:rsidRPr="00B53FFB" w:rsidRDefault="004A147C" w:rsidP="00CE5850">
            <w:pPr>
              <w:jc w:val="center"/>
              <w:rPr>
                <w:rFonts w:eastAsia="Times New Roman"/>
                <w:b/>
                <w:color w:val="000000"/>
                <w:szCs w:val="22"/>
              </w:rPr>
            </w:pPr>
            <w:r w:rsidRPr="00B53FFB">
              <w:rPr>
                <w:rFonts w:eastAsia="Times New Roman"/>
                <w:b/>
                <w:color w:val="000000"/>
                <w:szCs w:val="22"/>
              </w:rPr>
              <w:t>Period Ending</w:t>
            </w:r>
          </w:p>
        </w:tc>
        <w:tc>
          <w:tcPr>
            <w:tcW w:w="0" w:type="auto"/>
            <w:tcBorders>
              <w:top w:val="single" w:sz="8" w:space="0" w:color="auto"/>
              <w:left w:val="nil"/>
              <w:bottom w:val="single" w:sz="8" w:space="0" w:color="auto"/>
              <w:right w:val="single" w:sz="8" w:space="0" w:color="auto"/>
            </w:tcBorders>
            <w:tcMar>
              <w:top w:w="0" w:type="dxa"/>
              <w:left w:w="108" w:type="dxa"/>
              <w:bottom w:w="0" w:type="dxa"/>
              <w:right w:w="108" w:type="dxa"/>
            </w:tcMar>
          </w:tcPr>
          <w:p w:rsidR="004A147C" w:rsidRPr="00B53FFB" w:rsidRDefault="004A147C" w:rsidP="00CE5850">
            <w:pPr>
              <w:jc w:val="center"/>
              <w:rPr>
                <w:rFonts w:eastAsia="Times New Roman"/>
                <w:b/>
                <w:color w:val="000000"/>
                <w:szCs w:val="22"/>
              </w:rPr>
            </w:pPr>
            <w:r w:rsidRPr="00B53FFB">
              <w:rPr>
                <w:rFonts w:eastAsia="Times New Roman"/>
                <w:b/>
                <w:color w:val="000000"/>
                <w:szCs w:val="22"/>
              </w:rPr>
              <w:t>Average Text</w:t>
            </w:r>
          </w:p>
          <w:p w:rsidR="004A147C" w:rsidRPr="00B53FFB" w:rsidRDefault="004A147C" w:rsidP="00CE5850">
            <w:pPr>
              <w:jc w:val="center"/>
              <w:rPr>
                <w:rFonts w:eastAsia="Times New Roman"/>
                <w:b/>
                <w:color w:val="000000"/>
                <w:szCs w:val="22"/>
              </w:rPr>
            </w:pPr>
            <w:r w:rsidRPr="00B53FFB">
              <w:rPr>
                <w:rFonts w:eastAsia="Times New Roman"/>
                <w:b/>
                <w:color w:val="000000"/>
                <w:szCs w:val="22"/>
              </w:rPr>
              <w:t>Messages</w:t>
            </w:r>
          </w:p>
          <w:p w:rsidR="004A147C" w:rsidRPr="00B53FFB" w:rsidRDefault="004A147C" w:rsidP="00CE5850">
            <w:pPr>
              <w:jc w:val="center"/>
              <w:rPr>
                <w:rFonts w:eastAsia="Times New Roman"/>
                <w:b/>
                <w:color w:val="000000"/>
                <w:szCs w:val="22"/>
              </w:rPr>
            </w:pPr>
            <w:r w:rsidRPr="00B53FFB">
              <w:rPr>
                <w:rFonts w:eastAsia="Times New Roman"/>
                <w:b/>
                <w:color w:val="000000"/>
                <w:szCs w:val="22"/>
              </w:rPr>
              <w:t>Per User</w:t>
            </w:r>
          </w:p>
          <w:p w:rsidR="004A147C" w:rsidRPr="00B53FFB" w:rsidRDefault="004A147C" w:rsidP="00CE5850">
            <w:pPr>
              <w:jc w:val="center"/>
              <w:rPr>
                <w:rFonts w:eastAsia="Times New Roman"/>
                <w:b/>
                <w:color w:val="000000"/>
                <w:szCs w:val="22"/>
              </w:rPr>
            </w:pPr>
            <w:r w:rsidRPr="00B53FFB">
              <w:rPr>
                <w:rFonts w:eastAsia="Times New Roman"/>
                <w:b/>
                <w:color w:val="000000"/>
                <w:szCs w:val="22"/>
              </w:rPr>
              <w:t>Per Month</w:t>
            </w:r>
          </w:p>
        </w:tc>
        <w:tc>
          <w:tcPr>
            <w:tcW w:w="0" w:type="auto"/>
            <w:tcBorders>
              <w:top w:val="single" w:sz="8" w:space="0" w:color="auto"/>
              <w:left w:val="nil"/>
              <w:bottom w:val="single" w:sz="8" w:space="0" w:color="auto"/>
              <w:right w:val="single" w:sz="8" w:space="0" w:color="auto"/>
            </w:tcBorders>
            <w:tcMar>
              <w:top w:w="0" w:type="dxa"/>
              <w:left w:w="108" w:type="dxa"/>
              <w:bottom w:w="0" w:type="dxa"/>
              <w:right w:w="108" w:type="dxa"/>
            </w:tcMar>
          </w:tcPr>
          <w:p w:rsidR="004A147C" w:rsidRPr="00B53FFB" w:rsidRDefault="004A147C" w:rsidP="00CE5850">
            <w:pPr>
              <w:jc w:val="center"/>
              <w:rPr>
                <w:rFonts w:eastAsia="Times New Roman"/>
                <w:b/>
                <w:color w:val="000000"/>
                <w:szCs w:val="22"/>
              </w:rPr>
            </w:pPr>
            <w:r w:rsidRPr="00B53FFB">
              <w:rPr>
                <w:rFonts w:eastAsia="Times New Roman"/>
                <w:b/>
                <w:color w:val="000000"/>
                <w:szCs w:val="22"/>
              </w:rPr>
              <w:t>Average MMS</w:t>
            </w:r>
          </w:p>
          <w:p w:rsidR="004A147C" w:rsidRPr="00B53FFB" w:rsidRDefault="004A147C" w:rsidP="00CE5850">
            <w:pPr>
              <w:jc w:val="center"/>
              <w:rPr>
                <w:rFonts w:eastAsia="Times New Roman"/>
                <w:b/>
                <w:color w:val="000000"/>
                <w:szCs w:val="22"/>
              </w:rPr>
            </w:pPr>
            <w:r w:rsidRPr="00B53FFB">
              <w:rPr>
                <w:rFonts w:eastAsia="Times New Roman"/>
                <w:b/>
                <w:color w:val="000000"/>
                <w:szCs w:val="22"/>
              </w:rPr>
              <w:t>Messages</w:t>
            </w:r>
          </w:p>
          <w:p w:rsidR="004A147C" w:rsidRPr="00B53FFB" w:rsidRDefault="004A147C" w:rsidP="00CE5850">
            <w:pPr>
              <w:jc w:val="center"/>
              <w:rPr>
                <w:rFonts w:eastAsia="Times New Roman"/>
                <w:b/>
                <w:color w:val="000000"/>
                <w:szCs w:val="22"/>
              </w:rPr>
            </w:pPr>
            <w:r w:rsidRPr="00B53FFB">
              <w:rPr>
                <w:rFonts w:eastAsia="Times New Roman"/>
                <w:b/>
                <w:color w:val="000000"/>
                <w:szCs w:val="22"/>
              </w:rPr>
              <w:t>Per User</w:t>
            </w:r>
          </w:p>
          <w:p w:rsidR="004A147C" w:rsidRPr="00B53FFB" w:rsidRDefault="004A147C" w:rsidP="00CE5850">
            <w:pPr>
              <w:jc w:val="center"/>
              <w:rPr>
                <w:rFonts w:eastAsia="Times New Roman"/>
                <w:b/>
                <w:color w:val="000000"/>
                <w:szCs w:val="22"/>
              </w:rPr>
            </w:pPr>
            <w:r w:rsidRPr="00B53FFB">
              <w:rPr>
                <w:rFonts w:eastAsia="Times New Roman"/>
                <w:b/>
                <w:color w:val="000000"/>
                <w:szCs w:val="22"/>
              </w:rPr>
              <w:t>Per Month</w:t>
            </w:r>
          </w:p>
        </w:tc>
      </w:tr>
      <w:tr w:rsidR="004A147C" w:rsidRPr="00B53FFB" w:rsidTr="00815372">
        <w:trPr>
          <w:trHeight w:val="255"/>
          <w:jc w:val="center"/>
        </w:trPr>
        <w:tc>
          <w:tcPr>
            <w:tcW w:w="0" w:type="auto"/>
            <w:tcBorders>
              <w:top w:val="nil"/>
              <w:left w:val="single" w:sz="8" w:space="0" w:color="auto"/>
              <w:bottom w:val="single" w:sz="8" w:space="0" w:color="auto"/>
              <w:right w:val="single" w:sz="8" w:space="0" w:color="auto"/>
            </w:tcBorders>
            <w:noWrap/>
            <w:tcMar>
              <w:top w:w="0" w:type="dxa"/>
              <w:left w:w="108" w:type="dxa"/>
              <w:bottom w:w="0" w:type="dxa"/>
              <w:right w:w="108" w:type="dxa"/>
            </w:tcMar>
            <w:vAlign w:val="bottom"/>
          </w:tcPr>
          <w:p w:rsidR="004A147C" w:rsidRPr="00B53FFB" w:rsidRDefault="004A147C" w:rsidP="00CE5850">
            <w:pPr>
              <w:jc w:val="right"/>
              <w:rPr>
                <w:rFonts w:eastAsia="Times New Roman"/>
                <w:color w:val="000000"/>
                <w:szCs w:val="22"/>
              </w:rPr>
            </w:pPr>
            <w:r w:rsidRPr="00B53FFB">
              <w:rPr>
                <w:rFonts w:eastAsia="Times New Roman"/>
                <w:color w:val="000000"/>
                <w:szCs w:val="22"/>
              </w:rPr>
              <w:t>Jun-05</w:t>
            </w:r>
          </w:p>
        </w:tc>
        <w:tc>
          <w:tcPr>
            <w:tcW w:w="0" w:type="auto"/>
            <w:tcBorders>
              <w:top w:val="nil"/>
              <w:left w:val="nil"/>
              <w:bottom w:val="single" w:sz="8" w:space="0" w:color="auto"/>
              <w:right w:val="single" w:sz="8" w:space="0" w:color="auto"/>
            </w:tcBorders>
            <w:noWrap/>
            <w:tcMar>
              <w:top w:w="0" w:type="dxa"/>
              <w:left w:w="108" w:type="dxa"/>
              <w:bottom w:w="0" w:type="dxa"/>
              <w:right w:w="108" w:type="dxa"/>
            </w:tcMar>
            <w:vAlign w:val="bottom"/>
          </w:tcPr>
          <w:p w:rsidR="004A147C" w:rsidRPr="00B53FFB" w:rsidRDefault="004A147C" w:rsidP="00CE5850">
            <w:pPr>
              <w:jc w:val="right"/>
              <w:rPr>
                <w:rFonts w:eastAsia="Times New Roman"/>
                <w:color w:val="000000"/>
                <w:szCs w:val="22"/>
              </w:rPr>
            </w:pPr>
            <w:r w:rsidRPr="00B53FFB">
              <w:rPr>
                <w:rFonts w:eastAsia="Times New Roman"/>
                <w:color w:val="000000"/>
                <w:szCs w:val="22"/>
              </w:rPr>
              <w:t>29</w:t>
            </w:r>
          </w:p>
        </w:tc>
        <w:tc>
          <w:tcPr>
            <w:tcW w:w="0" w:type="auto"/>
            <w:tcBorders>
              <w:top w:val="nil"/>
              <w:left w:val="nil"/>
              <w:bottom w:val="single" w:sz="8" w:space="0" w:color="auto"/>
              <w:right w:val="single" w:sz="8" w:space="0" w:color="auto"/>
            </w:tcBorders>
            <w:noWrap/>
            <w:tcMar>
              <w:top w:w="0" w:type="dxa"/>
              <w:left w:w="108" w:type="dxa"/>
              <w:bottom w:w="0" w:type="dxa"/>
              <w:right w:w="108" w:type="dxa"/>
            </w:tcMar>
            <w:vAlign w:val="bottom"/>
          </w:tcPr>
          <w:p w:rsidR="004A147C" w:rsidRPr="00B53FFB" w:rsidRDefault="004A147C" w:rsidP="00CE5850">
            <w:pPr>
              <w:jc w:val="right"/>
              <w:rPr>
                <w:rFonts w:eastAsia="Times New Roman"/>
                <w:color w:val="000000"/>
                <w:szCs w:val="22"/>
              </w:rPr>
            </w:pPr>
            <w:r w:rsidRPr="00B53FFB">
              <w:rPr>
                <w:rFonts w:eastAsia="Times New Roman"/>
                <w:color w:val="000000"/>
                <w:szCs w:val="22"/>
              </w:rPr>
              <w:t>0.3</w:t>
            </w:r>
          </w:p>
        </w:tc>
      </w:tr>
      <w:tr w:rsidR="004A147C" w:rsidRPr="00B53FFB" w:rsidTr="00815372">
        <w:trPr>
          <w:trHeight w:val="255"/>
          <w:jc w:val="center"/>
        </w:trPr>
        <w:tc>
          <w:tcPr>
            <w:tcW w:w="0" w:type="auto"/>
            <w:tcBorders>
              <w:top w:val="nil"/>
              <w:left w:val="single" w:sz="8" w:space="0" w:color="auto"/>
              <w:bottom w:val="single" w:sz="8" w:space="0" w:color="auto"/>
              <w:right w:val="single" w:sz="8" w:space="0" w:color="auto"/>
            </w:tcBorders>
            <w:noWrap/>
            <w:tcMar>
              <w:top w:w="0" w:type="dxa"/>
              <w:left w:w="108" w:type="dxa"/>
              <w:bottom w:w="0" w:type="dxa"/>
              <w:right w:w="108" w:type="dxa"/>
            </w:tcMar>
            <w:vAlign w:val="bottom"/>
          </w:tcPr>
          <w:p w:rsidR="004A147C" w:rsidRPr="00B53FFB" w:rsidRDefault="004A147C" w:rsidP="00CE5850">
            <w:pPr>
              <w:jc w:val="right"/>
              <w:rPr>
                <w:rFonts w:eastAsia="Times New Roman"/>
                <w:color w:val="000000"/>
                <w:szCs w:val="22"/>
              </w:rPr>
            </w:pPr>
            <w:r w:rsidRPr="00B53FFB">
              <w:rPr>
                <w:rFonts w:eastAsia="Times New Roman"/>
                <w:color w:val="000000"/>
                <w:szCs w:val="22"/>
              </w:rPr>
              <w:t>Dec-05</w:t>
            </w:r>
          </w:p>
        </w:tc>
        <w:tc>
          <w:tcPr>
            <w:tcW w:w="0" w:type="auto"/>
            <w:tcBorders>
              <w:top w:val="nil"/>
              <w:left w:val="nil"/>
              <w:bottom w:val="single" w:sz="8" w:space="0" w:color="auto"/>
              <w:right w:val="single" w:sz="8" w:space="0" w:color="auto"/>
            </w:tcBorders>
            <w:noWrap/>
            <w:tcMar>
              <w:top w:w="0" w:type="dxa"/>
              <w:left w:w="108" w:type="dxa"/>
              <w:bottom w:w="0" w:type="dxa"/>
              <w:right w:w="108" w:type="dxa"/>
            </w:tcMar>
            <w:vAlign w:val="bottom"/>
          </w:tcPr>
          <w:p w:rsidR="004A147C" w:rsidRPr="00B53FFB" w:rsidRDefault="004A147C" w:rsidP="00CE5850">
            <w:pPr>
              <w:jc w:val="right"/>
              <w:rPr>
                <w:rFonts w:eastAsia="Times New Roman"/>
                <w:color w:val="000000"/>
                <w:szCs w:val="22"/>
              </w:rPr>
            </w:pPr>
            <w:r w:rsidRPr="00B53FFB">
              <w:rPr>
                <w:rFonts w:eastAsia="Times New Roman"/>
                <w:color w:val="000000"/>
                <w:szCs w:val="22"/>
              </w:rPr>
              <w:t>40</w:t>
            </w:r>
          </w:p>
        </w:tc>
        <w:tc>
          <w:tcPr>
            <w:tcW w:w="0" w:type="auto"/>
            <w:tcBorders>
              <w:top w:val="nil"/>
              <w:left w:val="nil"/>
              <w:bottom w:val="single" w:sz="8" w:space="0" w:color="auto"/>
              <w:right w:val="single" w:sz="8" w:space="0" w:color="auto"/>
            </w:tcBorders>
            <w:noWrap/>
            <w:tcMar>
              <w:top w:w="0" w:type="dxa"/>
              <w:left w:w="108" w:type="dxa"/>
              <w:bottom w:w="0" w:type="dxa"/>
              <w:right w:w="108" w:type="dxa"/>
            </w:tcMar>
            <w:vAlign w:val="bottom"/>
          </w:tcPr>
          <w:p w:rsidR="004A147C" w:rsidRPr="00B53FFB" w:rsidRDefault="004A147C" w:rsidP="00CE5850">
            <w:pPr>
              <w:jc w:val="right"/>
              <w:rPr>
                <w:rFonts w:eastAsia="Times New Roman"/>
                <w:color w:val="000000"/>
                <w:szCs w:val="22"/>
              </w:rPr>
            </w:pPr>
            <w:r w:rsidRPr="00B53FFB">
              <w:rPr>
                <w:rFonts w:eastAsia="Times New Roman"/>
                <w:color w:val="000000"/>
                <w:szCs w:val="22"/>
              </w:rPr>
              <w:t>0.7</w:t>
            </w:r>
          </w:p>
        </w:tc>
      </w:tr>
      <w:tr w:rsidR="004A147C" w:rsidRPr="00B53FFB" w:rsidTr="00815372">
        <w:trPr>
          <w:trHeight w:val="255"/>
          <w:jc w:val="center"/>
        </w:trPr>
        <w:tc>
          <w:tcPr>
            <w:tcW w:w="0" w:type="auto"/>
            <w:tcBorders>
              <w:top w:val="nil"/>
              <w:left w:val="single" w:sz="8" w:space="0" w:color="auto"/>
              <w:bottom w:val="single" w:sz="8" w:space="0" w:color="auto"/>
              <w:right w:val="single" w:sz="8" w:space="0" w:color="auto"/>
            </w:tcBorders>
            <w:noWrap/>
            <w:tcMar>
              <w:top w:w="0" w:type="dxa"/>
              <w:left w:w="108" w:type="dxa"/>
              <w:bottom w:w="0" w:type="dxa"/>
              <w:right w:w="108" w:type="dxa"/>
            </w:tcMar>
            <w:vAlign w:val="bottom"/>
          </w:tcPr>
          <w:p w:rsidR="004A147C" w:rsidRPr="00B53FFB" w:rsidRDefault="004A147C" w:rsidP="00CE5850">
            <w:pPr>
              <w:jc w:val="right"/>
              <w:rPr>
                <w:rFonts w:eastAsia="Times New Roman"/>
                <w:color w:val="000000"/>
                <w:szCs w:val="22"/>
              </w:rPr>
            </w:pPr>
            <w:r w:rsidRPr="00B53FFB">
              <w:rPr>
                <w:rFonts w:eastAsia="Times New Roman"/>
                <w:color w:val="000000"/>
                <w:szCs w:val="22"/>
              </w:rPr>
              <w:t>Jun-06</w:t>
            </w:r>
          </w:p>
        </w:tc>
        <w:tc>
          <w:tcPr>
            <w:tcW w:w="0" w:type="auto"/>
            <w:tcBorders>
              <w:top w:val="nil"/>
              <w:left w:val="nil"/>
              <w:bottom w:val="single" w:sz="8" w:space="0" w:color="auto"/>
              <w:right w:val="single" w:sz="8" w:space="0" w:color="auto"/>
            </w:tcBorders>
            <w:noWrap/>
            <w:tcMar>
              <w:top w:w="0" w:type="dxa"/>
              <w:left w:w="108" w:type="dxa"/>
              <w:bottom w:w="0" w:type="dxa"/>
              <w:right w:w="108" w:type="dxa"/>
            </w:tcMar>
            <w:vAlign w:val="bottom"/>
          </w:tcPr>
          <w:p w:rsidR="004A147C" w:rsidRPr="00B53FFB" w:rsidRDefault="004A147C" w:rsidP="00CE5850">
            <w:pPr>
              <w:jc w:val="right"/>
              <w:rPr>
                <w:rFonts w:eastAsia="Times New Roman"/>
                <w:color w:val="000000"/>
                <w:szCs w:val="22"/>
              </w:rPr>
            </w:pPr>
            <w:r w:rsidRPr="00B53FFB">
              <w:rPr>
                <w:rFonts w:eastAsia="Times New Roman"/>
                <w:color w:val="000000"/>
                <w:szCs w:val="22"/>
              </w:rPr>
              <w:t>51</w:t>
            </w:r>
          </w:p>
        </w:tc>
        <w:tc>
          <w:tcPr>
            <w:tcW w:w="0" w:type="auto"/>
            <w:tcBorders>
              <w:top w:val="nil"/>
              <w:left w:val="nil"/>
              <w:bottom w:val="single" w:sz="8" w:space="0" w:color="auto"/>
              <w:right w:val="single" w:sz="8" w:space="0" w:color="auto"/>
            </w:tcBorders>
            <w:noWrap/>
            <w:tcMar>
              <w:top w:w="0" w:type="dxa"/>
              <w:left w:w="108" w:type="dxa"/>
              <w:bottom w:w="0" w:type="dxa"/>
              <w:right w:w="108" w:type="dxa"/>
            </w:tcMar>
            <w:vAlign w:val="bottom"/>
          </w:tcPr>
          <w:p w:rsidR="004A147C" w:rsidRPr="00B53FFB" w:rsidRDefault="004A147C" w:rsidP="00CE5850">
            <w:pPr>
              <w:jc w:val="right"/>
              <w:rPr>
                <w:rFonts w:eastAsia="Times New Roman"/>
                <w:color w:val="000000"/>
                <w:szCs w:val="22"/>
              </w:rPr>
            </w:pPr>
            <w:r w:rsidRPr="00B53FFB">
              <w:rPr>
                <w:rFonts w:eastAsia="Times New Roman"/>
                <w:color w:val="000000"/>
                <w:szCs w:val="22"/>
              </w:rPr>
              <w:t>0.9</w:t>
            </w:r>
          </w:p>
        </w:tc>
      </w:tr>
      <w:tr w:rsidR="004A147C" w:rsidRPr="00B53FFB" w:rsidTr="00815372">
        <w:trPr>
          <w:trHeight w:val="255"/>
          <w:jc w:val="center"/>
        </w:trPr>
        <w:tc>
          <w:tcPr>
            <w:tcW w:w="0" w:type="auto"/>
            <w:tcBorders>
              <w:top w:val="nil"/>
              <w:left w:val="single" w:sz="8" w:space="0" w:color="auto"/>
              <w:bottom w:val="single" w:sz="8" w:space="0" w:color="auto"/>
              <w:right w:val="single" w:sz="8" w:space="0" w:color="auto"/>
            </w:tcBorders>
            <w:noWrap/>
            <w:tcMar>
              <w:top w:w="0" w:type="dxa"/>
              <w:left w:w="108" w:type="dxa"/>
              <w:bottom w:w="0" w:type="dxa"/>
              <w:right w:w="108" w:type="dxa"/>
            </w:tcMar>
            <w:vAlign w:val="bottom"/>
          </w:tcPr>
          <w:p w:rsidR="004A147C" w:rsidRPr="00B53FFB" w:rsidRDefault="004A147C" w:rsidP="00CE5850">
            <w:pPr>
              <w:jc w:val="right"/>
              <w:rPr>
                <w:rFonts w:eastAsia="Times New Roman"/>
                <w:color w:val="000000"/>
                <w:szCs w:val="22"/>
              </w:rPr>
            </w:pPr>
            <w:r w:rsidRPr="00B53FFB">
              <w:rPr>
                <w:rFonts w:eastAsia="Times New Roman"/>
                <w:color w:val="000000"/>
                <w:szCs w:val="22"/>
              </w:rPr>
              <w:t>Dec-06</w:t>
            </w:r>
          </w:p>
        </w:tc>
        <w:tc>
          <w:tcPr>
            <w:tcW w:w="0" w:type="auto"/>
            <w:tcBorders>
              <w:top w:val="nil"/>
              <w:left w:val="nil"/>
              <w:bottom w:val="single" w:sz="8" w:space="0" w:color="auto"/>
              <w:right w:val="single" w:sz="8" w:space="0" w:color="auto"/>
            </w:tcBorders>
            <w:noWrap/>
            <w:tcMar>
              <w:top w:w="0" w:type="dxa"/>
              <w:left w:w="108" w:type="dxa"/>
              <w:bottom w:w="0" w:type="dxa"/>
              <w:right w:w="108" w:type="dxa"/>
            </w:tcMar>
            <w:vAlign w:val="bottom"/>
          </w:tcPr>
          <w:p w:rsidR="004A147C" w:rsidRPr="00B53FFB" w:rsidRDefault="004A147C" w:rsidP="00CE5850">
            <w:pPr>
              <w:jc w:val="right"/>
              <w:rPr>
                <w:rFonts w:eastAsia="Times New Roman"/>
                <w:color w:val="000000"/>
                <w:szCs w:val="22"/>
              </w:rPr>
            </w:pPr>
            <w:r w:rsidRPr="00B53FFB">
              <w:rPr>
                <w:rFonts w:eastAsia="Times New Roman"/>
                <w:color w:val="000000"/>
                <w:szCs w:val="22"/>
              </w:rPr>
              <w:t>69</w:t>
            </w:r>
          </w:p>
        </w:tc>
        <w:tc>
          <w:tcPr>
            <w:tcW w:w="0" w:type="auto"/>
            <w:tcBorders>
              <w:top w:val="nil"/>
              <w:left w:val="nil"/>
              <w:bottom w:val="single" w:sz="8" w:space="0" w:color="auto"/>
              <w:right w:val="single" w:sz="8" w:space="0" w:color="auto"/>
            </w:tcBorders>
            <w:noWrap/>
            <w:tcMar>
              <w:top w:w="0" w:type="dxa"/>
              <w:left w:w="108" w:type="dxa"/>
              <w:bottom w:w="0" w:type="dxa"/>
              <w:right w:w="108" w:type="dxa"/>
            </w:tcMar>
            <w:vAlign w:val="bottom"/>
          </w:tcPr>
          <w:p w:rsidR="004A147C" w:rsidRPr="00B53FFB" w:rsidRDefault="004A147C" w:rsidP="00CE5850">
            <w:pPr>
              <w:jc w:val="right"/>
              <w:rPr>
                <w:rFonts w:eastAsia="Times New Roman"/>
                <w:color w:val="000000"/>
                <w:szCs w:val="22"/>
              </w:rPr>
            </w:pPr>
            <w:r w:rsidRPr="00B53FFB">
              <w:rPr>
                <w:rFonts w:eastAsia="Times New Roman"/>
                <w:color w:val="000000"/>
                <w:szCs w:val="22"/>
              </w:rPr>
              <w:t>1.2</w:t>
            </w:r>
          </w:p>
        </w:tc>
      </w:tr>
      <w:tr w:rsidR="004A147C" w:rsidRPr="00B53FFB" w:rsidTr="00815372">
        <w:trPr>
          <w:trHeight w:val="255"/>
          <w:jc w:val="center"/>
        </w:trPr>
        <w:tc>
          <w:tcPr>
            <w:tcW w:w="0" w:type="auto"/>
            <w:tcBorders>
              <w:top w:val="nil"/>
              <w:left w:val="single" w:sz="8" w:space="0" w:color="auto"/>
              <w:bottom w:val="single" w:sz="8" w:space="0" w:color="auto"/>
              <w:right w:val="single" w:sz="8" w:space="0" w:color="auto"/>
            </w:tcBorders>
            <w:noWrap/>
            <w:tcMar>
              <w:top w:w="0" w:type="dxa"/>
              <w:left w:w="108" w:type="dxa"/>
              <w:bottom w:w="0" w:type="dxa"/>
              <w:right w:w="108" w:type="dxa"/>
            </w:tcMar>
            <w:vAlign w:val="bottom"/>
          </w:tcPr>
          <w:p w:rsidR="004A147C" w:rsidRPr="00B53FFB" w:rsidRDefault="004A147C" w:rsidP="00CE5850">
            <w:pPr>
              <w:jc w:val="right"/>
              <w:rPr>
                <w:rFonts w:eastAsia="Times New Roman"/>
                <w:color w:val="000000"/>
                <w:szCs w:val="22"/>
              </w:rPr>
            </w:pPr>
            <w:r w:rsidRPr="00B53FFB">
              <w:rPr>
                <w:rFonts w:eastAsia="Times New Roman"/>
                <w:color w:val="000000"/>
                <w:szCs w:val="22"/>
              </w:rPr>
              <w:t>Jun-07</w:t>
            </w:r>
          </w:p>
        </w:tc>
        <w:tc>
          <w:tcPr>
            <w:tcW w:w="0" w:type="auto"/>
            <w:tcBorders>
              <w:top w:val="nil"/>
              <w:left w:val="nil"/>
              <w:bottom w:val="single" w:sz="8" w:space="0" w:color="auto"/>
              <w:right w:val="single" w:sz="8" w:space="0" w:color="auto"/>
            </w:tcBorders>
            <w:noWrap/>
            <w:tcMar>
              <w:top w:w="0" w:type="dxa"/>
              <w:left w:w="108" w:type="dxa"/>
              <w:bottom w:w="0" w:type="dxa"/>
              <w:right w:w="108" w:type="dxa"/>
            </w:tcMar>
            <w:vAlign w:val="bottom"/>
          </w:tcPr>
          <w:p w:rsidR="004A147C" w:rsidRPr="00B53FFB" w:rsidRDefault="004A147C" w:rsidP="00CE5850">
            <w:pPr>
              <w:jc w:val="right"/>
              <w:rPr>
                <w:rFonts w:eastAsia="Times New Roman"/>
                <w:color w:val="000000"/>
                <w:szCs w:val="22"/>
              </w:rPr>
            </w:pPr>
            <w:r w:rsidRPr="00B53FFB">
              <w:rPr>
                <w:rFonts w:eastAsia="Times New Roman"/>
                <w:color w:val="000000"/>
                <w:szCs w:val="22"/>
              </w:rPr>
              <w:t>103</w:t>
            </w:r>
          </w:p>
        </w:tc>
        <w:tc>
          <w:tcPr>
            <w:tcW w:w="0" w:type="auto"/>
            <w:tcBorders>
              <w:top w:val="nil"/>
              <w:left w:val="nil"/>
              <w:bottom w:val="single" w:sz="8" w:space="0" w:color="auto"/>
              <w:right w:val="single" w:sz="8" w:space="0" w:color="auto"/>
            </w:tcBorders>
            <w:noWrap/>
            <w:tcMar>
              <w:top w:w="0" w:type="dxa"/>
              <w:left w:w="108" w:type="dxa"/>
              <w:bottom w:w="0" w:type="dxa"/>
              <w:right w:w="108" w:type="dxa"/>
            </w:tcMar>
            <w:vAlign w:val="bottom"/>
          </w:tcPr>
          <w:p w:rsidR="004A147C" w:rsidRPr="00B53FFB" w:rsidRDefault="004A147C" w:rsidP="00CE5850">
            <w:pPr>
              <w:jc w:val="right"/>
              <w:rPr>
                <w:rFonts w:eastAsia="Times New Roman"/>
                <w:color w:val="000000"/>
                <w:szCs w:val="22"/>
              </w:rPr>
            </w:pPr>
            <w:r w:rsidRPr="00B53FFB">
              <w:rPr>
                <w:rFonts w:eastAsia="Times New Roman"/>
                <w:color w:val="000000"/>
                <w:szCs w:val="22"/>
              </w:rPr>
              <w:t>1.8</w:t>
            </w:r>
          </w:p>
        </w:tc>
      </w:tr>
      <w:tr w:rsidR="004A147C" w:rsidRPr="00B53FFB" w:rsidTr="00815372">
        <w:trPr>
          <w:trHeight w:val="255"/>
          <w:jc w:val="center"/>
        </w:trPr>
        <w:tc>
          <w:tcPr>
            <w:tcW w:w="0" w:type="auto"/>
            <w:tcBorders>
              <w:top w:val="nil"/>
              <w:left w:val="single" w:sz="8" w:space="0" w:color="auto"/>
              <w:bottom w:val="single" w:sz="8" w:space="0" w:color="auto"/>
              <w:right w:val="single" w:sz="8" w:space="0" w:color="auto"/>
            </w:tcBorders>
            <w:noWrap/>
            <w:tcMar>
              <w:top w:w="0" w:type="dxa"/>
              <w:left w:w="108" w:type="dxa"/>
              <w:bottom w:w="0" w:type="dxa"/>
              <w:right w:w="108" w:type="dxa"/>
            </w:tcMar>
            <w:vAlign w:val="bottom"/>
          </w:tcPr>
          <w:p w:rsidR="004A147C" w:rsidRPr="00B53FFB" w:rsidRDefault="004A147C" w:rsidP="00CE5850">
            <w:pPr>
              <w:jc w:val="right"/>
              <w:rPr>
                <w:rFonts w:eastAsia="Times New Roman"/>
                <w:color w:val="000000"/>
                <w:szCs w:val="22"/>
              </w:rPr>
            </w:pPr>
            <w:r w:rsidRPr="00B53FFB">
              <w:rPr>
                <w:rFonts w:eastAsia="Times New Roman"/>
                <w:color w:val="000000"/>
                <w:szCs w:val="22"/>
              </w:rPr>
              <w:t>Dec-07</w:t>
            </w:r>
          </w:p>
        </w:tc>
        <w:tc>
          <w:tcPr>
            <w:tcW w:w="0" w:type="auto"/>
            <w:tcBorders>
              <w:top w:val="nil"/>
              <w:left w:val="nil"/>
              <w:bottom w:val="single" w:sz="8" w:space="0" w:color="auto"/>
              <w:right w:val="single" w:sz="8" w:space="0" w:color="auto"/>
            </w:tcBorders>
            <w:noWrap/>
            <w:tcMar>
              <w:top w:w="0" w:type="dxa"/>
              <w:left w:w="108" w:type="dxa"/>
              <w:bottom w:w="0" w:type="dxa"/>
              <w:right w:w="108" w:type="dxa"/>
            </w:tcMar>
            <w:vAlign w:val="bottom"/>
          </w:tcPr>
          <w:p w:rsidR="004A147C" w:rsidRPr="00B53FFB" w:rsidRDefault="004A147C" w:rsidP="00CE5850">
            <w:pPr>
              <w:jc w:val="right"/>
              <w:rPr>
                <w:rFonts w:eastAsia="Times New Roman"/>
                <w:color w:val="000000"/>
                <w:szCs w:val="22"/>
              </w:rPr>
            </w:pPr>
            <w:r w:rsidRPr="00B53FFB">
              <w:rPr>
                <w:rFonts w:eastAsia="Times New Roman"/>
                <w:color w:val="000000"/>
                <w:szCs w:val="22"/>
              </w:rPr>
              <w:t>144</w:t>
            </w:r>
          </w:p>
        </w:tc>
        <w:tc>
          <w:tcPr>
            <w:tcW w:w="0" w:type="auto"/>
            <w:tcBorders>
              <w:top w:val="nil"/>
              <w:left w:val="nil"/>
              <w:bottom w:val="single" w:sz="8" w:space="0" w:color="auto"/>
              <w:right w:val="single" w:sz="8" w:space="0" w:color="auto"/>
            </w:tcBorders>
            <w:noWrap/>
            <w:tcMar>
              <w:top w:w="0" w:type="dxa"/>
              <w:left w:w="108" w:type="dxa"/>
              <w:bottom w:w="0" w:type="dxa"/>
              <w:right w:w="108" w:type="dxa"/>
            </w:tcMar>
            <w:vAlign w:val="bottom"/>
          </w:tcPr>
          <w:p w:rsidR="004A147C" w:rsidRPr="00B53FFB" w:rsidRDefault="004A147C" w:rsidP="00CE5850">
            <w:pPr>
              <w:jc w:val="right"/>
              <w:rPr>
                <w:rFonts w:eastAsia="Times New Roman"/>
                <w:color w:val="000000"/>
                <w:szCs w:val="22"/>
              </w:rPr>
            </w:pPr>
            <w:r w:rsidRPr="00B53FFB">
              <w:rPr>
                <w:rFonts w:eastAsia="Times New Roman"/>
                <w:color w:val="000000"/>
                <w:szCs w:val="22"/>
              </w:rPr>
              <w:t>2.3</w:t>
            </w:r>
          </w:p>
        </w:tc>
      </w:tr>
      <w:tr w:rsidR="004A147C" w:rsidRPr="00B53FFB" w:rsidTr="00815372">
        <w:trPr>
          <w:trHeight w:val="255"/>
          <w:jc w:val="center"/>
        </w:trPr>
        <w:tc>
          <w:tcPr>
            <w:tcW w:w="0" w:type="auto"/>
            <w:tcBorders>
              <w:top w:val="nil"/>
              <w:left w:val="single" w:sz="8" w:space="0" w:color="auto"/>
              <w:bottom w:val="single" w:sz="8" w:space="0" w:color="auto"/>
              <w:right w:val="single" w:sz="8" w:space="0" w:color="auto"/>
            </w:tcBorders>
            <w:noWrap/>
            <w:tcMar>
              <w:top w:w="0" w:type="dxa"/>
              <w:left w:w="108" w:type="dxa"/>
              <w:bottom w:w="0" w:type="dxa"/>
              <w:right w:w="108" w:type="dxa"/>
            </w:tcMar>
            <w:vAlign w:val="bottom"/>
          </w:tcPr>
          <w:p w:rsidR="004A147C" w:rsidRPr="00B53FFB" w:rsidRDefault="004A147C" w:rsidP="00CE5850">
            <w:pPr>
              <w:jc w:val="right"/>
              <w:rPr>
                <w:rFonts w:eastAsia="Times New Roman"/>
                <w:color w:val="000000"/>
                <w:szCs w:val="22"/>
              </w:rPr>
            </w:pPr>
            <w:r w:rsidRPr="00B53FFB">
              <w:rPr>
                <w:rFonts w:eastAsia="Times New Roman"/>
                <w:color w:val="000000"/>
                <w:szCs w:val="22"/>
              </w:rPr>
              <w:t>Jun-08</w:t>
            </w:r>
          </w:p>
        </w:tc>
        <w:tc>
          <w:tcPr>
            <w:tcW w:w="0" w:type="auto"/>
            <w:tcBorders>
              <w:top w:val="nil"/>
              <w:left w:val="nil"/>
              <w:bottom w:val="single" w:sz="8" w:space="0" w:color="auto"/>
              <w:right w:val="single" w:sz="8" w:space="0" w:color="auto"/>
            </w:tcBorders>
            <w:noWrap/>
            <w:tcMar>
              <w:top w:w="0" w:type="dxa"/>
              <w:left w:w="108" w:type="dxa"/>
              <w:bottom w:w="0" w:type="dxa"/>
              <w:right w:w="108" w:type="dxa"/>
            </w:tcMar>
            <w:vAlign w:val="bottom"/>
          </w:tcPr>
          <w:p w:rsidR="004A147C" w:rsidRPr="00B53FFB" w:rsidRDefault="004A147C" w:rsidP="00CE5850">
            <w:pPr>
              <w:jc w:val="right"/>
              <w:rPr>
                <w:rFonts w:eastAsia="Times New Roman"/>
                <w:color w:val="000000"/>
                <w:szCs w:val="22"/>
              </w:rPr>
            </w:pPr>
            <w:r w:rsidRPr="00B53FFB">
              <w:rPr>
                <w:rFonts w:eastAsia="Times New Roman"/>
                <w:color w:val="000000"/>
                <w:szCs w:val="22"/>
              </w:rPr>
              <w:t>248</w:t>
            </w:r>
          </w:p>
        </w:tc>
        <w:tc>
          <w:tcPr>
            <w:tcW w:w="0" w:type="auto"/>
            <w:tcBorders>
              <w:top w:val="nil"/>
              <w:left w:val="nil"/>
              <w:bottom w:val="single" w:sz="8" w:space="0" w:color="auto"/>
              <w:right w:val="single" w:sz="8" w:space="0" w:color="auto"/>
            </w:tcBorders>
            <w:noWrap/>
            <w:tcMar>
              <w:top w:w="0" w:type="dxa"/>
              <w:left w:w="108" w:type="dxa"/>
              <w:bottom w:w="0" w:type="dxa"/>
              <w:right w:w="108" w:type="dxa"/>
            </w:tcMar>
            <w:vAlign w:val="bottom"/>
          </w:tcPr>
          <w:p w:rsidR="004A147C" w:rsidRPr="00B53FFB" w:rsidRDefault="004A147C" w:rsidP="00CE5850">
            <w:pPr>
              <w:jc w:val="right"/>
              <w:rPr>
                <w:rFonts w:eastAsia="Times New Roman"/>
                <w:color w:val="000000"/>
                <w:szCs w:val="22"/>
              </w:rPr>
            </w:pPr>
            <w:r w:rsidRPr="00B53FFB">
              <w:rPr>
                <w:rFonts w:eastAsia="Times New Roman"/>
                <w:color w:val="000000"/>
                <w:szCs w:val="22"/>
              </w:rPr>
              <w:t>3.6</w:t>
            </w:r>
          </w:p>
        </w:tc>
      </w:tr>
      <w:tr w:rsidR="004A147C" w:rsidRPr="00B53FFB" w:rsidTr="00815372">
        <w:trPr>
          <w:trHeight w:val="255"/>
          <w:jc w:val="center"/>
        </w:trPr>
        <w:tc>
          <w:tcPr>
            <w:tcW w:w="0" w:type="auto"/>
            <w:tcBorders>
              <w:top w:val="nil"/>
              <w:left w:val="single" w:sz="8" w:space="0" w:color="auto"/>
              <w:bottom w:val="single" w:sz="8" w:space="0" w:color="auto"/>
              <w:right w:val="single" w:sz="8" w:space="0" w:color="auto"/>
            </w:tcBorders>
            <w:noWrap/>
            <w:tcMar>
              <w:top w:w="0" w:type="dxa"/>
              <w:left w:w="108" w:type="dxa"/>
              <w:bottom w:w="0" w:type="dxa"/>
              <w:right w:w="108" w:type="dxa"/>
            </w:tcMar>
            <w:vAlign w:val="bottom"/>
          </w:tcPr>
          <w:p w:rsidR="004A147C" w:rsidRPr="00B53FFB" w:rsidRDefault="004A147C" w:rsidP="00CE5850">
            <w:pPr>
              <w:jc w:val="right"/>
              <w:rPr>
                <w:rFonts w:eastAsia="Times New Roman"/>
                <w:color w:val="000000"/>
                <w:szCs w:val="22"/>
              </w:rPr>
            </w:pPr>
            <w:r w:rsidRPr="00B53FFB">
              <w:rPr>
                <w:rFonts w:eastAsia="Times New Roman"/>
                <w:color w:val="000000"/>
                <w:szCs w:val="22"/>
              </w:rPr>
              <w:t>Dec-08</w:t>
            </w:r>
          </w:p>
        </w:tc>
        <w:tc>
          <w:tcPr>
            <w:tcW w:w="0" w:type="auto"/>
            <w:tcBorders>
              <w:top w:val="nil"/>
              <w:left w:val="nil"/>
              <w:bottom w:val="single" w:sz="8" w:space="0" w:color="auto"/>
              <w:right w:val="single" w:sz="8" w:space="0" w:color="auto"/>
            </w:tcBorders>
            <w:noWrap/>
            <w:tcMar>
              <w:top w:w="0" w:type="dxa"/>
              <w:left w:w="108" w:type="dxa"/>
              <w:bottom w:w="0" w:type="dxa"/>
              <w:right w:w="108" w:type="dxa"/>
            </w:tcMar>
            <w:vAlign w:val="bottom"/>
          </w:tcPr>
          <w:p w:rsidR="004A147C" w:rsidRPr="00B53FFB" w:rsidRDefault="004A147C" w:rsidP="00CE5850">
            <w:pPr>
              <w:jc w:val="right"/>
              <w:rPr>
                <w:rFonts w:eastAsia="Times New Roman"/>
                <w:color w:val="000000"/>
                <w:szCs w:val="22"/>
              </w:rPr>
            </w:pPr>
            <w:r w:rsidRPr="00B53FFB">
              <w:rPr>
                <w:rFonts w:eastAsia="Times New Roman"/>
                <w:color w:val="000000"/>
                <w:szCs w:val="22"/>
              </w:rPr>
              <w:t>388</w:t>
            </w:r>
          </w:p>
        </w:tc>
        <w:tc>
          <w:tcPr>
            <w:tcW w:w="0" w:type="auto"/>
            <w:tcBorders>
              <w:top w:val="nil"/>
              <w:left w:val="nil"/>
              <w:bottom w:val="single" w:sz="8" w:space="0" w:color="auto"/>
              <w:right w:val="single" w:sz="8" w:space="0" w:color="auto"/>
            </w:tcBorders>
            <w:noWrap/>
            <w:tcMar>
              <w:top w:w="0" w:type="dxa"/>
              <w:left w:w="108" w:type="dxa"/>
              <w:bottom w:w="0" w:type="dxa"/>
              <w:right w:w="108" w:type="dxa"/>
            </w:tcMar>
            <w:vAlign w:val="bottom"/>
          </w:tcPr>
          <w:p w:rsidR="004A147C" w:rsidRPr="00B53FFB" w:rsidRDefault="004A147C" w:rsidP="00CE5850">
            <w:pPr>
              <w:jc w:val="right"/>
              <w:rPr>
                <w:rFonts w:eastAsia="Times New Roman"/>
                <w:color w:val="000000"/>
                <w:szCs w:val="22"/>
              </w:rPr>
            </w:pPr>
            <w:r w:rsidRPr="00B53FFB">
              <w:rPr>
                <w:rFonts w:eastAsia="Times New Roman"/>
                <w:color w:val="000000"/>
                <w:szCs w:val="22"/>
              </w:rPr>
              <w:t>5.8</w:t>
            </w:r>
          </w:p>
        </w:tc>
      </w:tr>
      <w:tr w:rsidR="004A147C" w:rsidRPr="00B53FFB" w:rsidTr="00815372">
        <w:trPr>
          <w:trHeight w:val="255"/>
          <w:jc w:val="center"/>
        </w:trPr>
        <w:tc>
          <w:tcPr>
            <w:tcW w:w="0" w:type="auto"/>
            <w:tcBorders>
              <w:top w:val="nil"/>
              <w:left w:val="single" w:sz="8" w:space="0" w:color="auto"/>
              <w:bottom w:val="single" w:sz="8" w:space="0" w:color="auto"/>
              <w:right w:val="single" w:sz="8" w:space="0" w:color="auto"/>
            </w:tcBorders>
            <w:noWrap/>
            <w:tcMar>
              <w:top w:w="0" w:type="dxa"/>
              <w:left w:w="108" w:type="dxa"/>
              <w:bottom w:w="0" w:type="dxa"/>
              <w:right w:w="108" w:type="dxa"/>
            </w:tcMar>
            <w:vAlign w:val="bottom"/>
          </w:tcPr>
          <w:p w:rsidR="004A147C" w:rsidRPr="00B53FFB" w:rsidRDefault="004A147C" w:rsidP="00CE5850">
            <w:pPr>
              <w:jc w:val="right"/>
              <w:rPr>
                <w:rFonts w:eastAsia="Times New Roman"/>
                <w:color w:val="000000"/>
                <w:szCs w:val="22"/>
              </w:rPr>
            </w:pPr>
            <w:r w:rsidRPr="00B53FFB">
              <w:rPr>
                <w:rFonts w:eastAsia="Times New Roman"/>
                <w:color w:val="000000"/>
                <w:szCs w:val="22"/>
              </w:rPr>
              <w:t>Jun-09</w:t>
            </w:r>
          </w:p>
        </w:tc>
        <w:tc>
          <w:tcPr>
            <w:tcW w:w="0" w:type="auto"/>
            <w:tcBorders>
              <w:top w:val="nil"/>
              <w:left w:val="nil"/>
              <w:bottom w:val="single" w:sz="8" w:space="0" w:color="auto"/>
              <w:right w:val="single" w:sz="8" w:space="0" w:color="auto"/>
            </w:tcBorders>
            <w:noWrap/>
            <w:tcMar>
              <w:top w:w="0" w:type="dxa"/>
              <w:left w:w="108" w:type="dxa"/>
              <w:bottom w:w="0" w:type="dxa"/>
              <w:right w:w="108" w:type="dxa"/>
            </w:tcMar>
            <w:vAlign w:val="bottom"/>
          </w:tcPr>
          <w:p w:rsidR="004A147C" w:rsidRPr="00B53FFB" w:rsidRDefault="004A147C" w:rsidP="00CE5850">
            <w:pPr>
              <w:jc w:val="right"/>
              <w:rPr>
                <w:rFonts w:eastAsia="Times New Roman"/>
                <w:color w:val="000000"/>
                <w:szCs w:val="22"/>
              </w:rPr>
            </w:pPr>
            <w:r w:rsidRPr="00B53FFB">
              <w:rPr>
                <w:rFonts w:eastAsia="Times New Roman"/>
                <w:color w:val="000000"/>
                <w:szCs w:val="22"/>
              </w:rPr>
              <w:t>451</w:t>
            </w:r>
          </w:p>
        </w:tc>
        <w:tc>
          <w:tcPr>
            <w:tcW w:w="0" w:type="auto"/>
            <w:tcBorders>
              <w:top w:val="nil"/>
              <w:left w:val="nil"/>
              <w:bottom w:val="single" w:sz="8" w:space="0" w:color="auto"/>
              <w:right w:val="single" w:sz="8" w:space="0" w:color="auto"/>
            </w:tcBorders>
            <w:noWrap/>
            <w:tcMar>
              <w:top w:w="0" w:type="dxa"/>
              <w:left w:w="108" w:type="dxa"/>
              <w:bottom w:w="0" w:type="dxa"/>
              <w:right w:w="108" w:type="dxa"/>
            </w:tcMar>
            <w:vAlign w:val="bottom"/>
          </w:tcPr>
          <w:p w:rsidR="004A147C" w:rsidRPr="00B53FFB" w:rsidRDefault="004A147C" w:rsidP="00CE5850">
            <w:pPr>
              <w:jc w:val="right"/>
              <w:rPr>
                <w:rFonts w:eastAsia="Times New Roman"/>
                <w:color w:val="000000"/>
                <w:szCs w:val="22"/>
              </w:rPr>
            </w:pPr>
            <w:r w:rsidRPr="00B53FFB">
              <w:rPr>
                <w:rFonts w:eastAsia="Times New Roman"/>
                <w:color w:val="000000"/>
                <w:szCs w:val="22"/>
              </w:rPr>
              <w:t>6.3</w:t>
            </w:r>
          </w:p>
        </w:tc>
      </w:tr>
      <w:tr w:rsidR="004A147C" w:rsidRPr="00B53FFB" w:rsidTr="00815372">
        <w:trPr>
          <w:trHeight w:val="255"/>
          <w:jc w:val="center"/>
        </w:trPr>
        <w:tc>
          <w:tcPr>
            <w:tcW w:w="0" w:type="auto"/>
            <w:tcBorders>
              <w:top w:val="nil"/>
              <w:left w:val="single" w:sz="8" w:space="0" w:color="auto"/>
              <w:bottom w:val="single" w:sz="8" w:space="0" w:color="auto"/>
              <w:right w:val="single" w:sz="8" w:space="0" w:color="auto"/>
            </w:tcBorders>
            <w:noWrap/>
            <w:tcMar>
              <w:top w:w="0" w:type="dxa"/>
              <w:left w:w="108" w:type="dxa"/>
              <w:bottom w:w="0" w:type="dxa"/>
              <w:right w:w="108" w:type="dxa"/>
            </w:tcMar>
            <w:vAlign w:val="bottom"/>
          </w:tcPr>
          <w:p w:rsidR="004A147C" w:rsidRPr="00B53FFB" w:rsidRDefault="004A147C" w:rsidP="00CE5850">
            <w:pPr>
              <w:jc w:val="right"/>
              <w:rPr>
                <w:rFonts w:eastAsia="Times New Roman"/>
                <w:color w:val="000000"/>
                <w:szCs w:val="22"/>
              </w:rPr>
            </w:pPr>
            <w:r w:rsidRPr="00B53FFB">
              <w:rPr>
                <w:rFonts w:eastAsia="Times New Roman"/>
                <w:color w:val="000000"/>
                <w:szCs w:val="22"/>
              </w:rPr>
              <w:t>Dec-09</w:t>
            </w:r>
          </w:p>
        </w:tc>
        <w:tc>
          <w:tcPr>
            <w:tcW w:w="0" w:type="auto"/>
            <w:tcBorders>
              <w:top w:val="nil"/>
              <w:left w:val="nil"/>
              <w:bottom w:val="single" w:sz="8" w:space="0" w:color="auto"/>
              <w:right w:val="single" w:sz="8" w:space="0" w:color="auto"/>
            </w:tcBorders>
            <w:noWrap/>
            <w:tcMar>
              <w:top w:w="0" w:type="dxa"/>
              <w:left w:w="108" w:type="dxa"/>
              <w:bottom w:w="0" w:type="dxa"/>
              <w:right w:w="108" w:type="dxa"/>
            </w:tcMar>
            <w:vAlign w:val="bottom"/>
          </w:tcPr>
          <w:p w:rsidR="004A147C" w:rsidRPr="00B53FFB" w:rsidRDefault="004A147C" w:rsidP="00CE5850">
            <w:pPr>
              <w:jc w:val="right"/>
              <w:rPr>
                <w:rFonts w:eastAsia="Times New Roman"/>
                <w:color w:val="000000"/>
                <w:szCs w:val="22"/>
              </w:rPr>
            </w:pPr>
            <w:r w:rsidRPr="00B53FFB">
              <w:rPr>
                <w:rFonts w:eastAsia="Times New Roman"/>
                <w:color w:val="000000"/>
                <w:szCs w:val="22"/>
              </w:rPr>
              <w:t>488</w:t>
            </w:r>
          </w:p>
        </w:tc>
        <w:tc>
          <w:tcPr>
            <w:tcW w:w="0" w:type="auto"/>
            <w:tcBorders>
              <w:top w:val="nil"/>
              <w:left w:val="nil"/>
              <w:bottom w:val="single" w:sz="8" w:space="0" w:color="auto"/>
              <w:right w:val="single" w:sz="8" w:space="0" w:color="auto"/>
            </w:tcBorders>
            <w:noWrap/>
            <w:tcMar>
              <w:top w:w="0" w:type="dxa"/>
              <w:left w:w="108" w:type="dxa"/>
              <w:bottom w:w="0" w:type="dxa"/>
              <w:right w:w="108" w:type="dxa"/>
            </w:tcMar>
            <w:vAlign w:val="bottom"/>
          </w:tcPr>
          <w:p w:rsidR="004A147C" w:rsidRPr="00B53FFB" w:rsidRDefault="004A147C" w:rsidP="00CE5850">
            <w:pPr>
              <w:jc w:val="right"/>
              <w:rPr>
                <w:rFonts w:eastAsia="Times New Roman"/>
                <w:color w:val="000000"/>
                <w:szCs w:val="22"/>
              </w:rPr>
            </w:pPr>
            <w:r w:rsidRPr="00B53FFB">
              <w:rPr>
                <w:rFonts w:eastAsia="Times New Roman"/>
                <w:color w:val="000000"/>
                <w:szCs w:val="22"/>
              </w:rPr>
              <w:t>14.4</w:t>
            </w:r>
          </w:p>
        </w:tc>
      </w:tr>
      <w:tr w:rsidR="004A147C" w:rsidRPr="00B53FFB" w:rsidTr="00815372">
        <w:trPr>
          <w:trHeight w:val="255"/>
          <w:jc w:val="center"/>
        </w:trPr>
        <w:tc>
          <w:tcPr>
            <w:tcW w:w="0" w:type="auto"/>
            <w:tcBorders>
              <w:top w:val="nil"/>
              <w:left w:val="single" w:sz="8" w:space="0" w:color="auto"/>
              <w:bottom w:val="single" w:sz="8" w:space="0" w:color="auto"/>
              <w:right w:val="single" w:sz="8" w:space="0" w:color="auto"/>
            </w:tcBorders>
            <w:noWrap/>
            <w:tcMar>
              <w:top w:w="0" w:type="dxa"/>
              <w:left w:w="108" w:type="dxa"/>
              <w:bottom w:w="0" w:type="dxa"/>
              <w:right w:w="108" w:type="dxa"/>
            </w:tcMar>
            <w:vAlign w:val="bottom"/>
          </w:tcPr>
          <w:p w:rsidR="004A147C" w:rsidRPr="00B53FFB" w:rsidRDefault="004A147C" w:rsidP="00CE5850">
            <w:pPr>
              <w:jc w:val="right"/>
              <w:rPr>
                <w:rFonts w:eastAsia="Times New Roman"/>
                <w:color w:val="000000"/>
                <w:szCs w:val="22"/>
              </w:rPr>
            </w:pPr>
            <w:r w:rsidRPr="00B53FFB">
              <w:rPr>
                <w:rFonts w:eastAsia="Times New Roman"/>
                <w:color w:val="000000"/>
                <w:szCs w:val="22"/>
              </w:rPr>
              <w:lastRenderedPageBreak/>
              <w:t>Jun-10</w:t>
            </w:r>
          </w:p>
        </w:tc>
        <w:tc>
          <w:tcPr>
            <w:tcW w:w="0" w:type="auto"/>
            <w:tcBorders>
              <w:top w:val="nil"/>
              <w:left w:val="nil"/>
              <w:bottom w:val="single" w:sz="8" w:space="0" w:color="auto"/>
              <w:right w:val="single" w:sz="8" w:space="0" w:color="auto"/>
            </w:tcBorders>
            <w:noWrap/>
            <w:tcMar>
              <w:top w:w="0" w:type="dxa"/>
              <w:left w:w="108" w:type="dxa"/>
              <w:bottom w:w="0" w:type="dxa"/>
              <w:right w:w="108" w:type="dxa"/>
            </w:tcMar>
            <w:vAlign w:val="bottom"/>
          </w:tcPr>
          <w:p w:rsidR="004A147C" w:rsidRPr="00B53FFB" w:rsidRDefault="004A147C" w:rsidP="00CE5850">
            <w:pPr>
              <w:jc w:val="right"/>
              <w:rPr>
                <w:rFonts w:eastAsia="Times New Roman"/>
                <w:color w:val="000000"/>
                <w:szCs w:val="22"/>
              </w:rPr>
            </w:pPr>
            <w:r w:rsidRPr="00B53FFB">
              <w:rPr>
                <w:rFonts w:eastAsia="Times New Roman"/>
                <w:color w:val="000000"/>
                <w:szCs w:val="22"/>
              </w:rPr>
              <w:t>566</w:t>
            </w:r>
          </w:p>
        </w:tc>
        <w:tc>
          <w:tcPr>
            <w:tcW w:w="0" w:type="auto"/>
            <w:tcBorders>
              <w:top w:val="nil"/>
              <w:left w:val="nil"/>
              <w:bottom w:val="single" w:sz="8" w:space="0" w:color="auto"/>
              <w:right w:val="single" w:sz="8" w:space="0" w:color="auto"/>
            </w:tcBorders>
            <w:noWrap/>
            <w:tcMar>
              <w:top w:w="0" w:type="dxa"/>
              <w:left w:w="108" w:type="dxa"/>
              <w:bottom w:w="0" w:type="dxa"/>
              <w:right w:w="108" w:type="dxa"/>
            </w:tcMar>
            <w:vAlign w:val="bottom"/>
          </w:tcPr>
          <w:p w:rsidR="004A147C" w:rsidRPr="00B53FFB" w:rsidRDefault="004A147C" w:rsidP="00CE5850">
            <w:pPr>
              <w:jc w:val="right"/>
              <w:rPr>
                <w:rFonts w:eastAsia="Times New Roman"/>
                <w:color w:val="000000"/>
                <w:szCs w:val="22"/>
              </w:rPr>
            </w:pPr>
            <w:r w:rsidRPr="00B53FFB">
              <w:rPr>
                <w:rFonts w:eastAsia="Times New Roman"/>
                <w:color w:val="000000"/>
                <w:szCs w:val="22"/>
              </w:rPr>
              <w:t>18.5</w:t>
            </w:r>
          </w:p>
        </w:tc>
      </w:tr>
      <w:tr w:rsidR="004A147C" w:rsidRPr="00B53FFB" w:rsidTr="00815372">
        <w:trPr>
          <w:trHeight w:val="255"/>
          <w:jc w:val="center"/>
        </w:trPr>
        <w:tc>
          <w:tcPr>
            <w:tcW w:w="0" w:type="auto"/>
            <w:tcBorders>
              <w:top w:val="nil"/>
              <w:left w:val="single" w:sz="8" w:space="0" w:color="auto"/>
              <w:bottom w:val="single" w:sz="8" w:space="0" w:color="auto"/>
              <w:right w:val="single" w:sz="8" w:space="0" w:color="auto"/>
            </w:tcBorders>
            <w:noWrap/>
            <w:tcMar>
              <w:top w:w="0" w:type="dxa"/>
              <w:left w:w="108" w:type="dxa"/>
              <w:bottom w:w="0" w:type="dxa"/>
              <w:right w:w="108" w:type="dxa"/>
            </w:tcMar>
            <w:vAlign w:val="bottom"/>
          </w:tcPr>
          <w:p w:rsidR="004A147C" w:rsidRPr="00B53FFB" w:rsidRDefault="004A147C" w:rsidP="00CE5850">
            <w:pPr>
              <w:jc w:val="right"/>
              <w:rPr>
                <w:rFonts w:eastAsia="Times New Roman"/>
                <w:color w:val="000000"/>
                <w:szCs w:val="22"/>
              </w:rPr>
            </w:pPr>
            <w:r w:rsidRPr="00B53FFB">
              <w:rPr>
                <w:rFonts w:eastAsia="Times New Roman"/>
                <w:color w:val="000000"/>
                <w:szCs w:val="22"/>
              </w:rPr>
              <w:t>Dec-10</w:t>
            </w:r>
          </w:p>
        </w:tc>
        <w:tc>
          <w:tcPr>
            <w:tcW w:w="0" w:type="auto"/>
            <w:tcBorders>
              <w:top w:val="nil"/>
              <w:left w:val="nil"/>
              <w:bottom w:val="single" w:sz="8" w:space="0" w:color="auto"/>
              <w:right w:val="single" w:sz="8" w:space="0" w:color="auto"/>
            </w:tcBorders>
            <w:noWrap/>
            <w:tcMar>
              <w:top w:w="0" w:type="dxa"/>
              <w:left w:w="108" w:type="dxa"/>
              <w:bottom w:w="0" w:type="dxa"/>
              <w:right w:w="108" w:type="dxa"/>
            </w:tcMar>
            <w:vAlign w:val="bottom"/>
          </w:tcPr>
          <w:p w:rsidR="004A147C" w:rsidRPr="00B53FFB" w:rsidRDefault="004A147C" w:rsidP="00CE5850">
            <w:pPr>
              <w:jc w:val="right"/>
              <w:rPr>
                <w:rFonts w:eastAsia="Times New Roman"/>
                <w:color w:val="000000"/>
                <w:szCs w:val="22"/>
              </w:rPr>
            </w:pPr>
            <w:r w:rsidRPr="00B53FFB">
              <w:rPr>
                <w:rFonts w:eastAsia="Times New Roman"/>
                <w:color w:val="000000"/>
                <w:szCs w:val="22"/>
              </w:rPr>
              <w:t>598</w:t>
            </w:r>
          </w:p>
        </w:tc>
        <w:tc>
          <w:tcPr>
            <w:tcW w:w="0" w:type="auto"/>
            <w:tcBorders>
              <w:top w:val="nil"/>
              <w:left w:val="nil"/>
              <w:bottom w:val="single" w:sz="8" w:space="0" w:color="auto"/>
              <w:right w:val="single" w:sz="8" w:space="0" w:color="auto"/>
            </w:tcBorders>
            <w:noWrap/>
            <w:tcMar>
              <w:top w:w="0" w:type="dxa"/>
              <w:left w:w="108" w:type="dxa"/>
              <w:bottom w:w="0" w:type="dxa"/>
              <w:right w:w="108" w:type="dxa"/>
            </w:tcMar>
            <w:vAlign w:val="bottom"/>
          </w:tcPr>
          <w:p w:rsidR="004A147C" w:rsidRPr="00B53FFB" w:rsidRDefault="004A147C" w:rsidP="00CE5850">
            <w:pPr>
              <w:jc w:val="right"/>
              <w:rPr>
                <w:rFonts w:eastAsia="Times New Roman"/>
                <w:color w:val="000000"/>
                <w:szCs w:val="22"/>
              </w:rPr>
            </w:pPr>
            <w:r w:rsidRPr="00B53FFB">
              <w:rPr>
                <w:rFonts w:eastAsia="Times New Roman"/>
                <w:color w:val="000000"/>
                <w:szCs w:val="22"/>
              </w:rPr>
              <w:t>13.7</w:t>
            </w:r>
          </w:p>
        </w:tc>
      </w:tr>
      <w:tr w:rsidR="004A147C" w:rsidRPr="00B53FFB" w:rsidTr="00815372">
        <w:trPr>
          <w:trHeight w:val="255"/>
          <w:jc w:val="center"/>
        </w:trPr>
        <w:tc>
          <w:tcPr>
            <w:tcW w:w="0" w:type="auto"/>
            <w:tcBorders>
              <w:top w:val="nil"/>
              <w:left w:val="single" w:sz="8" w:space="0" w:color="auto"/>
              <w:bottom w:val="single" w:sz="8" w:space="0" w:color="auto"/>
              <w:right w:val="single" w:sz="8" w:space="0" w:color="auto"/>
            </w:tcBorders>
            <w:noWrap/>
            <w:tcMar>
              <w:top w:w="0" w:type="dxa"/>
              <w:left w:w="108" w:type="dxa"/>
              <w:bottom w:w="0" w:type="dxa"/>
              <w:right w:w="108" w:type="dxa"/>
            </w:tcMar>
            <w:vAlign w:val="bottom"/>
          </w:tcPr>
          <w:p w:rsidR="004A147C" w:rsidRPr="00B53FFB" w:rsidRDefault="004A147C" w:rsidP="00CE5850">
            <w:pPr>
              <w:jc w:val="right"/>
              <w:rPr>
                <w:rFonts w:eastAsia="Times New Roman"/>
                <w:color w:val="000000"/>
                <w:szCs w:val="22"/>
              </w:rPr>
            </w:pPr>
            <w:r w:rsidRPr="00B53FFB">
              <w:rPr>
                <w:rFonts w:eastAsia="Times New Roman"/>
                <w:color w:val="000000"/>
                <w:szCs w:val="22"/>
              </w:rPr>
              <w:t>Jun-11</w:t>
            </w:r>
          </w:p>
        </w:tc>
        <w:tc>
          <w:tcPr>
            <w:tcW w:w="0" w:type="auto"/>
            <w:tcBorders>
              <w:top w:val="nil"/>
              <w:left w:val="nil"/>
              <w:bottom w:val="single" w:sz="8" w:space="0" w:color="auto"/>
              <w:right w:val="single" w:sz="8" w:space="0" w:color="auto"/>
            </w:tcBorders>
            <w:noWrap/>
            <w:tcMar>
              <w:top w:w="0" w:type="dxa"/>
              <w:left w:w="108" w:type="dxa"/>
              <w:bottom w:w="0" w:type="dxa"/>
              <w:right w:w="108" w:type="dxa"/>
            </w:tcMar>
            <w:vAlign w:val="bottom"/>
          </w:tcPr>
          <w:p w:rsidR="004A147C" w:rsidRPr="00B53FFB" w:rsidRDefault="004A147C" w:rsidP="00CE5850">
            <w:pPr>
              <w:jc w:val="right"/>
              <w:rPr>
                <w:rFonts w:eastAsia="Times New Roman"/>
                <w:color w:val="000000"/>
                <w:szCs w:val="22"/>
              </w:rPr>
            </w:pPr>
            <w:r w:rsidRPr="00B53FFB">
              <w:rPr>
                <w:rFonts w:eastAsia="Times New Roman"/>
                <w:color w:val="000000"/>
                <w:szCs w:val="22"/>
              </w:rPr>
              <w:t>606</w:t>
            </w:r>
          </w:p>
        </w:tc>
        <w:tc>
          <w:tcPr>
            <w:tcW w:w="0" w:type="auto"/>
            <w:tcBorders>
              <w:top w:val="nil"/>
              <w:left w:val="nil"/>
              <w:bottom w:val="single" w:sz="8" w:space="0" w:color="auto"/>
              <w:right w:val="single" w:sz="8" w:space="0" w:color="auto"/>
            </w:tcBorders>
            <w:noWrap/>
            <w:tcMar>
              <w:top w:w="0" w:type="dxa"/>
              <w:left w:w="108" w:type="dxa"/>
              <w:bottom w:w="0" w:type="dxa"/>
              <w:right w:w="108" w:type="dxa"/>
            </w:tcMar>
            <w:vAlign w:val="bottom"/>
          </w:tcPr>
          <w:p w:rsidR="004A147C" w:rsidRPr="00B53FFB" w:rsidRDefault="004A147C" w:rsidP="00CE5850">
            <w:pPr>
              <w:jc w:val="right"/>
              <w:rPr>
                <w:rFonts w:eastAsia="Times New Roman"/>
                <w:color w:val="000000"/>
                <w:szCs w:val="22"/>
              </w:rPr>
            </w:pPr>
            <w:r w:rsidRPr="00B53FFB">
              <w:rPr>
                <w:rFonts w:eastAsia="Times New Roman"/>
                <w:color w:val="000000"/>
                <w:szCs w:val="22"/>
              </w:rPr>
              <w:t>15.0</w:t>
            </w:r>
          </w:p>
        </w:tc>
      </w:tr>
      <w:tr w:rsidR="004A147C" w:rsidRPr="00B53FFB" w:rsidTr="00815372">
        <w:trPr>
          <w:trHeight w:val="255"/>
          <w:jc w:val="center"/>
        </w:trPr>
        <w:tc>
          <w:tcPr>
            <w:tcW w:w="0" w:type="auto"/>
            <w:tcBorders>
              <w:top w:val="nil"/>
              <w:left w:val="single" w:sz="8" w:space="0" w:color="auto"/>
              <w:bottom w:val="single" w:sz="8" w:space="0" w:color="auto"/>
              <w:right w:val="single" w:sz="8" w:space="0" w:color="auto"/>
            </w:tcBorders>
            <w:noWrap/>
            <w:tcMar>
              <w:top w:w="0" w:type="dxa"/>
              <w:left w:w="108" w:type="dxa"/>
              <w:bottom w:w="0" w:type="dxa"/>
              <w:right w:w="108" w:type="dxa"/>
            </w:tcMar>
            <w:vAlign w:val="bottom"/>
          </w:tcPr>
          <w:p w:rsidR="004A147C" w:rsidRPr="00B53FFB" w:rsidRDefault="004A147C" w:rsidP="00CE5850">
            <w:pPr>
              <w:jc w:val="right"/>
              <w:rPr>
                <w:rFonts w:eastAsia="Times New Roman"/>
                <w:color w:val="000000"/>
                <w:szCs w:val="22"/>
              </w:rPr>
            </w:pPr>
            <w:r w:rsidRPr="00B53FFB">
              <w:rPr>
                <w:rFonts w:eastAsia="Times New Roman"/>
                <w:color w:val="000000"/>
                <w:szCs w:val="22"/>
              </w:rPr>
              <w:t>Dec-11</w:t>
            </w:r>
          </w:p>
        </w:tc>
        <w:tc>
          <w:tcPr>
            <w:tcW w:w="0" w:type="auto"/>
            <w:tcBorders>
              <w:top w:val="nil"/>
              <w:left w:val="nil"/>
              <w:bottom w:val="single" w:sz="8" w:space="0" w:color="auto"/>
              <w:right w:val="single" w:sz="8" w:space="0" w:color="auto"/>
            </w:tcBorders>
            <w:noWrap/>
            <w:tcMar>
              <w:top w:w="0" w:type="dxa"/>
              <w:left w:w="108" w:type="dxa"/>
              <w:bottom w:w="0" w:type="dxa"/>
              <w:right w:w="108" w:type="dxa"/>
            </w:tcMar>
            <w:vAlign w:val="bottom"/>
          </w:tcPr>
          <w:p w:rsidR="004A147C" w:rsidRPr="00B53FFB" w:rsidRDefault="004A147C" w:rsidP="00CE5850">
            <w:pPr>
              <w:jc w:val="right"/>
              <w:rPr>
                <w:rFonts w:eastAsia="Times New Roman"/>
                <w:color w:val="000000"/>
                <w:szCs w:val="22"/>
              </w:rPr>
            </w:pPr>
            <w:r w:rsidRPr="00B53FFB">
              <w:rPr>
                <w:rFonts w:eastAsia="Times New Roman"/>
                <w:color w:val="000000"/>
                <w:szCs w:val="22"/>
              </w:rPr>
              <w:t>594</w:t>
            </w:r>
          </w:p>
        </w:tc>
        <w:tc>
          <w:tcPr>
            <w:tcW w:w="0" w:type="auto"/>
            <w:tcBorders>
              <w:top w:val="nil"/>
              <w:left w:val="nil"/>
              <w:bottom w:val="single" w:sz="8" w:space="0" w:color="auto"/>
              <w:right w:val="single" w:sz="8" w:space="0" w:color="auto"/>
            </w:tcBorders>
            <w:noWrap/>
            <w:tcMar>
              <w:top w:w="0" w:type="dxa"/>
              <w:left w:w="108" w:type="dxa"/>
              <w:bottom w:w="0" w:type="dxa"/>
              <w:right w:w="108" w:type="dxa"/>
            </w:tcMar>
            <w:vAlign w:val="bottom"/>
          </w:tcPr>
          <w:p w:rsidR="004A147C" w:rsidRPr="00B53FFB" w:rsidRDefault="004A147C" w:rsidP="00CE5850">
            <w:pPr>
              <w:jc w:val="right"/>
              <w:rPr>
                <w:rFonts w:eastAsia="Times New Roman"/>
                <w:color w:val="000000"/>
                <w:szCs w:val="22"/>
              </w:rPr>
            </w:pPr>
            <w:r w:rsidRPr="00B53FFB">
              <w:rPr>
                <w:rFonts w:eastAsia="Times New Roman"/>
                <w:color w:val="000000"/>
                <w:szCs w:val="22"/>
              </w:rPr>
              <w:t>12.5</w:t>
            </w:r>
          </w:p>
        </w:tc>
      </w:tr>
    </w:tbl>
    <w:p w:rsidR="004A147C" w:rsidRPr="00B53FFB" w:rsidRDefault="004A147C" w:rsidP="00CE5850">
      <w:pPr>
        <w:rPr>
          <w:szCs w:val="22"/>
        </w:rPr>
      </w:pPr>
    </w:p>
    <w:p w:rsidR="004A147C" w:rsidRPr="00B53FFB" w:rsidRDefault="004A147C" w:rsidP="00CE5850">
      <w:pPr>
        <w:spacing w:after="120"/>
        <w:ind w:left="720"/>
        <w:jc w:val="center"/>
        <w:rPr>
          <w:b/>
          <w:szCs w:val="22"/>
        </w:rPr>
      </w:pPr>
      <w:r w:rsidRPr="00B53FFB">
        <w:rPr>
          <w:b/>
          <w:szCs w:val="22"/>
        </w:rPr>
        <w:t>Average Mon</w:t>
      </w:r>
      <w:r>
        <w:rPr>
          <w:b/>
          <w:szCs w:val="22"/>
        </w:rPr>
        <w:t>thly Data Consumption per User</w:t>
      </w:r>
      <w:r w:rsidRPr="00B53FFB">
        <w:rPr>
          <w:b/>
          <w:szCs w:val="22"/>
        </w:rPr>
        <w:t>:  Nationwide Providers</w:t>
      </w:r>
      <w:r>
        <w:rPr>
          <w:b/>
          <w:szCs w:val="22"/>
        </w:rPr>
        <w:t xml:space="preserve">, </w:t>
      </w:r>
      <w:r w:rsidRPr="00B53FFB">
        <w:rPr>
          <w:b/>
          <w:szCs w:val="22"/>
        </w:rPr>
        <w:t>2009-2011</w:t>
      </w:r>
      <w:r w:rsidRPr="00B53FFB">
        <w:rPr>
          <w:szCs w:val="22"/>
          <w:vertAlign w:val="superscript"/>
        </w:rPr>
        <w:footnoteReference w:id="18"/>
      </w:r>
    </w:p>
    <w:p w:rsidR="004A147C" w:rsidRPr="00B53FFB" w:rsidRDefault="00C81B24" w:rsidP="00CE5850">
      <w:pPr>
        <w:jc w:val="center"/>
        <w:rPr>
          <w:b/>
          <w:color w:val="000000"/>
          <w:szCs w:val="22"/>
          <w:u w:val="single"/>
        </w:rPr>
      </w:pPr>
      <w:r>
        <w:rPr>
          <w:b/>
          <w:noProof/>
          <w:color w:val="000000"/>
          <w:szCs w:val="22"/>
          <w:u w:val="single"/>
        </w:rPr>
        <w:drawing>
          <wp:inline distT="0" distB="0" distL="0" distR="0" wp14:anchorId="11CA4892" wp14:editId="184ED1A6">
            <wp:extent cx="5514975" cy="3305175"/>
            <wp:effectExtent l="0" t="0" r="9525" b="952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514975" cy="3305175"/>
                    </a:xfrm>
                    <a:prstGeom prst="rect">
                      <a:avLst/>
                    </a:prstGeom>
                    <a:noFill/>
                    <a:ln>
                      <a:noFill/>
                    </a:ln>
                  </pic:spPr>
                </pic:pic>
              </a:graphicData>
            </a:graphic>
          </wp:inline>
        </w:drawing>
      </w:r>
    </w:p>
    <w:p w:rsidR="004A147C" w:rsidRPr="00B53FFB" w:rsidRDefault="004A147C" w:rsidP="00CE5850">
      <w:pPr>
        <w:rPr>
          <w:b/>
          <w:color w:val="000000"/>
          <w:szCs w:val="22"/>
          <w:u w:val="single"/>
        </w:rPr>
      </w:pPr>
    </w:p>
    <w:p w:rsidR="004A147C" w:rsidRPr="00B53FFB" w:rsidRDefault="004A147C" w:rsidP="00CE5850">
      <w:pPr>
        <w:rPr>
          <w:b/>
          <w:color w:val="000000"/>
          <w:szCs w:val="22"/>
          <w:u w:val="single"/>
        </w:rPr>
      </w:pPr>
      <w:r w:rsidRPr="00B53FFB">
        <w:rPr>
          <w:b/>
          <w:color w:val="000000"/>
          <w:szCs w:val="22"/>
          <w:u w:val="single"/>
        </w:rPr>
        <w:t>Price Metrics and Average Revenue Per User (ARPU)</w:t>
      </w:r>
    </w:p>
    <w:p w:rsidR="004A147C" w:rsidRPr="00B53FFB" w:rsidRDefault="004A147C" w:rsidP="00CE5850">
      <w:pPr>
        <w:rPr>
          <w:b/>
          <w:color w:val="000000"/>
          <w:szCs w:val="22"/>
          <w:u w:val="single"/>
        </w:rPr>
      </w:pPr>
    </w:p>
    <w:p w:rsidR="004A147C" w:rsidRPr="00B53FFB" w:rsidRDefault="004A147C" w:rsidP="00CE5850">
      <w:pPr>
        <w:rPr>
          <w:szCs w:val="22"/>
        </w:rPr>
      </w:pPr>
      <w:r w:rsidRPr="00B53FFB">
        <w:rPr>
          <w:szCs w:val="22"/>
        </w:rPr>
        <w:t>An examination of two key pricing indicators, the Wireless Telephone Services component of the Consumer Price Index</w:t>
      </w:r>
      <w:r w:rsidRPr="00B53FFB">
        <w:rPr>
          <w:bCs/>
          <w:szCs w:val="22"/>
          <w:vertAlign w:val="superscript"/>
        </w:rPr>
        <w:footnoteReference w:id="19"/>
      </w:r>
      <w:r w:rsidRPr="00B53FFB">
        <w:rPr>
          <w:szCs w:val="22"/>
        </w:rPr>
        <w:t xml:space="preserve"> and the per-minute price of voice service, shows that mobile wireless prices declined overall in 2010 and 2011.  The Wireless Telephone Services CPI declined for two consecutive years, while the per-minute price of voice service remained roughly stable in 2010 and then declined in 2011.</w:t>
      </w:r>
    </w:p>
    <w:p w:rsidR="004A147C" w:rsidRPr="00B53FFB" w:rsidRDefault="004A147C" w:rsidP="00CE5850">
      <w:pPr>
        <w:rPr>
          <w:szCs w:val="22"/>
        </w:rPr>
      </w:pPr>
    </w:p>
    <w:p w:rsidR="004A147C" w:rsidRPr="00B53FFB" w:rsidRDefault="004A147C" w:rsidP="00CE5850">
      <w:pPr>
        <w:rPr>
          <w:b/>
          <w:color w:val="000000"/>
          <w:szCs w:val="22"/>
          <w:u w:val="single"/>
        </w:rPr>
      </w:pPr>
      <w:r w:rsidRPr="00B53FFB">
        <w:rPr>
          <w:szCs w:val="22"/>
        </w:rPr>
        <w:t xml:space="preserve">From 2009 to 2010, the annual Wireless Telephone Services CPI decreased by nearly 3 percent while the overall CPI increased by 1.6 percent and the Telephone Services CPI was unchanged.  From 2010 to 2011, the annual Wireless Telephone Services CPI decreased by another 3.6 percent, while the overall CPI increased by 3.2 percent and the Telephone Services CPI decreased by 1.1 percent.  The Wireless Telephone Services CPI’s back-to-back declines in 2010 and 2011 followed an unchanged Wireless Telephone Services CPI in 2009 and a series of much smaller declines in the period from 2002 to 2008.  </w:t>
      </w:r>
    </w:p>
    <w:p w:rsidR="004A147C" w:rsidRPr="00B53FFB" w:rsidRDefault="004A147C" w:rsidP="00CE5850">
      <w:pPr>
        <w:rPr>
          <w:b/>
          <w:color w:val="000000"/>
          <w:szCs w:val="22"/>
          <w:u w:val="single"/>
        </w:rPr>
      </w:pPr>
    </w:p>
    <w:p w:rsidR="004A147C" w:rsidRPr="00B53FFB" w:rsidRDefault="004A147C" w:rsidP="00CE5850">
      <w:pPr>
        <w:rPr>
          <w:szCs w:val="22"/>
        </w:rPr>
      </w:pPr>
      <w:r w:rsidRPr="00B53FFB">
        <w:rPr>
          <w:szCs w:val="22"/>
        </w:rPr>
        <w:t xml:space="preserve">In addition to the Wireless Telephone Services CPI, Voice Revenue per Minute (RPM) offers a proxy for mobile voice prices.  Voice RPM has declined over the past 18 years, from more than $0.40 to the current </w:t>
      </w:r>
      <w:r w:rsidRPr="00B53FFB">
        <w:rPr>
          <w:szCs w:val="22"/>
        </w:rPr>
        <w:lastRenderedPageBreak/>
        <w:t>$0.05, with the rate of decline decreasing as Voice RPM has reached the low single digits.  Because CTIA currently aggregates revenue reports for text messaging and data services, it is no longer possible to derive separate estimates</w:t>
      </w:r>
      <w:r>
        <w:rPr>
          <w:szCs w:val="22"/>
        </w:rPr>
        <w:t xml:space="preserve"> for those two services</w:t>
      </w:r>
      <w:r w:rsidRPr="00B53FFB">
        <w:rPr>
          <w:szCs w:val="22"/>
        </w:rPr>
        <w:t>.  An estimate based on Nielsen data suggests, however, that the unit price for text messages has continued to fall since 2008.  We also note that Recon Analytics estimates that the effective price per megabyte of data declined from $0.47 per megabyte in the third quarter of 2008 to about $0.05 per megabyte in the fourth quarter of 2010, which is roughly an 89 percent decrease.</w:t>
      </w:r>
    </w:p>
    <w:p w:rsidR="004A147C" w:rsidRPr="00B53FFB" w:rsidRDefault="004A147C" w:rsidP="00CE5850">
      <w:pPr>
        <w:rPr>
          <w:szCs w:val="22"/>
        </w:rPr>
      </w:pPr>
    </w:p>
    <w:p w:rsidR="004A147C" w:rsidRPr="00B53FFB" w:rsidRDefault="004A147C" w:rsidP="00CE5850">
      <w:pPr>
        <w:spacing w:after="120"/>
        <w:jc w:val="center"/>
        <w:rPr>
          <w:b/>
          <w:bCs/>
          <w:kern w:val="0"/>
          <w:szCs w:val="22"/>
        </w:rPr>
      </w:pPr>
      <w:r w:rsidRPr="00B53FFB">
        <w:rPr>
          <w:b/>
          <w:bCs/>
          <w:kern w:val="0"/>
          <w:szCs w:val="22"/>
        </w:rPr>
        <w:t>Mobile Wireless Voice Revenue per Minute: 1993-2011</w:t>
      </w:r>
    </w:p>
    <w:p w:rsidR="004A147C" w:rsidRPr="00B53FFB" w:rsidRDefault="00C81B24" w:rsidP="00CE5850">
      <w:pPr>
        <w:spacing w:after="120"/>
        <w:jc w:val="center"/>
        <w:rPr>
          <w:szCs w:val="22"/>
        </w:rPr>
      </w:pPr>
      <w:r>
        <w:rPr>
          <w:noProof/>
          <w:szCs w:val="22"/>
        </w:rPr>
        <w:drawing>
          <wp:inline distT="0" distB="0" distL="0" distR="0" wp14:anchorId="22CD8128" wp14:editId="40E0A9AF">
            <wp:extent cx="5295900" cy="384810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295900" cy="3848100"/>
                    </a:xfrm>
                    <a:prstGeom prst="rect">
                      <a:avLst/>
                    </a:prstGeom>
                    <a:noFill/>
                    <a:ln>
                      <a:noFill/>
                    </a:ln>
                  </pic:spPr>
                </pic:pic>
              </a:graphicData>
            </a:graphic>
          </wp:inline>
        </w:drawing>
      </w:r>
    </w:p>
    <w:p w:rsidR="004A147C" w:rsidRPr="00B53FFB" w:rsidRDefault="004A147C" w:rsidP="00CE5850">
      <w:pPr>
        <w:rPr>
          <w:szCs w:val="22"/>
        </w:rPr>
      </w:pPr>
    </w:p>
    <w:p w:rsidR="004A147C" w:rsidRPr="00B53FFB" w:rsidRDefault="004A147C" w:rsidP="00CE5850">
      <w:pPr>
        <w:rPr>
          <w:szCs w:val="22"/>
        </w:rPr>
      </w:pPr>
    </w:p>
    <w:p w:rsidR="004A147C" w:rsidRPr="00B53FFB" w:rsidRDefault="004A147C" w:rsidP="00CE5850">
      <w:pPr>
        <w:spacing w:after="120"/>
        <w:rPr>
          <w:szCs w:val="22"/>
        </w:rPr>
      </w:pPr>
      <w:r w:rsidRPr="00B53FFB">
        <w:rPr>
          <w:szCs w:val="22"/>
        </w:rPr>
        <w:t>As shown in the following chart, the</w:t>
      </w:r>
      <w:r w:rsidRPr="00B53FFB" w:rsidDel="004771E0">
        <w:rPr>
          <w:szCs w:val="22"/>
        </w:rPr>
        <w:t xml:space="preserve"> </w:t>
      </w:r>
      <w:r w:rsidRPr="00B53FFB">
        <w:rPr>
          <w:szCs w:val="22"/>
        </w:rPr>
        <w:t>total revenue generated by the mobile wireless industry continues to be substantial, with approximately $171.28 billion in service revenues in 2011, and has been growing consistently.</w:t>
      </w:r>
      <w:r w:rsidRPr="00B53FFB">
        <w:rPr>
          <w:szCs w:val="22"/>
          <w:vertAlign w:val="superscript"/>
        </w:rPr>
        <w:footnoteReference w:id="20"/>
      </w:r>
      <w:r w:rsidRPr="00B53FFB">
        <w:rPr>
          <w:szCs w:val="22"/>
        </w:rPr>
        <w:t xml:space="preserve">  Annual voice revenues continued the decline first noted in 2009 from approximately $113 billion to $108 billion in 2011.  At the same time, data revenue</w:t>
      </w:r>
      <w:r>
        <w:rPr>
          <w:szCs w:val="22"/>
        </w:rPr>
        <w:t>, including text messaging revenue,</w:t>
      </w:r>
      <w:r w:rsidRPr="00B53FFB">
        <w:rPr>
          <w:szCs w:val="22"/>
        </w:rPr>
        <w:t xml:space="preserve"> has continued to see significant growth, going from $42 billion to $63 billion in the same period. </w:t>
      </w:r>
    </w:p>
    <w:p w:rsidR="004A147C" w:rsidRDefault="004A147C" w:rsidP="00CE5850">
      <w:pPr>
        <w:spacing w:after="120"/>
        <w:rPr>
          <w:szCs w:val="22"/>
        </w:rPr>
      </w:pPr>
    </w:p>
    <w:p w:rsidR="00E050F9" w:rsidRDefault="00E050F9" w:rsidP="00CE5850">
      <w:pPr>
        <w:spacing w:after="120"/>
        <w:rPr>
          <w:szCs w:val="22"/>
        </w:rPr>
      </w:pPr>
    </w:p>
    <w:p w:rsidR="00E050F9" w:rsidRPr="00B53FFB" w:rsidRDefault="00E050F9" w:rsidP="00CE5850">
      <w:pPr>
        <w:spacing w:after="120"/>
        <w:rPr>
          <w:szCs w:val="22"/>
        </w:rPr>
      </w:pPr>
    </w:p>
    <w:p w:rsidR="004A147C" w:rsidRPr="00B53FFB" w:rsidRDefault="004A147C" w:rsidP="00CE5850">
      <w:pPr>
        <w:spacing w:after="120"/>
        <w:jc w:val="center"/>
        <w:rPr>
          <w:b/>
          <w:szCs w:val="22"/>
        </w:rPr>
      </w:pPr>
      <w:r w:rsidRPr="00B53FFB">
        <w:rPr>
          <w:b/>
          <w:szCs w:val="22"/>
        </w:rPr>
        <w:lastRenderedPageBreak/>
        <w:t>Total Mobile Wireless Industry Revenues</w:t>
      </w:r>
      <w:r>
        <w:rPr>
          <w:b/>
          <w:szCs w:val="22"/>
        </w:rPr>
        <w:t xml:space="preserve"> </w:t>
      </w:r>
      <w:r w:rsidRPr="00B53FFB">
        <w:rPr>
          <w:szCs w:val="22"/>
          <w:vertAlign w:val="superscript"/>
        </w:rPr>
        <w:footnoteReference w:id="21"/>
      </w:r>
    </w:p>
    <w:p w:rsidR="004A147C" w:rsidRPr="00B53FFB" w:rsidRDefault="00C81B24" w:rsidP="00CE5850">
      <w:pPr>
        <w:spacing w:after="120"/>
        <w:jc w:val="center"/>
        <w:rPr>
          <w:szCs w:val="22"/>
        </w:rPr>
      </w:pPr>
      <w:r>
        <w:rPr>
          <w:noProof/>
          <w:szCs w:val="22"/>
        </w:rPr>
        <w:drawing>
          <wp:inline distT="0" distB="0" distL="0" distR="0" wp14:anchorId="05DA635D" wp14:editId="26229086">
            <wp:extent cx="5981700" cy="434340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981700" cy="4343400"/>
                    </a:xfrm>
                    <a:prstGeom prst="rect">
                      <a:avLst/>
                    </a:prstGeom>
                    <a:noFill/>
                    <a:ln>
                      <a:noFill/>
                    </a:ln>
                  </pic:spPr>
                </pic:pic>
              </a:graphicData>
            </a:graphic>
          </wp:inline>
        </w:drawing>
      </w:r>
    </w:p>
    <w:p w:rsidR="004A147C" w:rsidRDefault="004A147C" w:rsidP="00CE5850">
      <w:pPr>
        <w:spacing w:after="120"/>
        <w:rPr>
          <w:szCs w:val="22"/>
        </w:rPr>
      </w:pPr>
    </w:p>
    <w:p w:rsidR="004A147C" w:rsidRDefault="004A147C" w:rsidP="00CE5850">
      <w:pPr>
        <w:spacing w:after="120"/>
        <w:rPr>
          <w:szCs w:val="22"/>
        </w:rPr>
      </w:pPr>
      <w:r w:rsidRPr="00B53FFB">
        <w:rPr>
          <w:szCs w:val="22"/>
        </w:rPr>
        <w:t xml:space="preserve">These trends are reflected in the following chart in changes in the Average Revenue per User (ARPU).  The chart shows an overall decline, with falling voice ARPU not quite counterbalanced by increases in data revenue.  </w:t>
      </w:r>
    </w:p>
    <w:p w:rsidR="00E050F9" w:rsidRDefault="00E050F9" w:rsidP="00CE5850">
      <w:pPr>
        <w:spacing w:after="120"/>
        <w:rPr>
          <w:szCs w:val="22"/>
        </w:rPr>
      </w:pPr>
    </w:p>
    <w:p w:rsidR="00E050F9" w:rsidRDefault="00E050F9" w:rsidP="00CE5850">
      <w:pPr>
        <w:spacing w:after="120"/>
        <w:rPr>
          <w:szCs w:val="22"/>
        </w:rPr>
      </w:pPr>
    </w:p>
    <w:p w:rsidR="00E050F9" w:rsidRDefault="00E050F9" w:rsidP="00CE5850">
      <w:pPr>
        <w:spacing w:after="120"/>
        <w:rPr>
          <w:szCs w:val="22"/>
        </w:rPr>
      </w:pPr>
    </w:p>
    <w:p w:rsidR="00E050F9" w:rsidRDefault="00E050F9" w:rsidP="00CE5850">
      <w:pPr>
        <w:spacing w:after="120"/>
        <w:rPr>
          <w:szCs w:val="22"/>
        </w:rPr>
      </w:pPr>
    </w:p>
    <w:p w:rsidR="00E050F9" w:rsidRDefault="00E050F9" w:rsidP="00CE5850">
      <w:pPr>
        <w:spacing w:after="120"/>
        <w:rPr>
          <w:szCs w:val="22"/>
        </w:rPr>
      </w:pPr>
    </w:p>
    <w:p w:rsidR="00E050F9" w:rsidRDefault="00E050F9" w:rsidP="00CE5850">
      <w:pPr>
        <w:spacing w:after="120"/>
        <w:rPr>
          <w:szCs w:val="22"/>
        </w:rPr>
      </w:pPr>
    </w:p>
    <w:p w:rsidR="00E050F9" w:rsidRDefault="00E050F9" w:rsidP="00CE5850">
      <w:pPr>
        <w:spacing w:after="120"/>
        <w:rPr>
          <w:szCs w:val="22"/>
        </w:rPr>
      </w:pPr>
    </w:p>
    <w:p w:rsidR="00E050F9" w:rsidRPr="00B53FFB" w:rsidRDefault="00E050F9" w:rsidP="00CE5850">
      <w:pPr>
        <w:spacing w:after="120"/>
        <w:rPr>
          <w:szCs w:val="22"/>
        </w:rPr>
      </w:pPr>
    </w:p>
    <w:p w:rsidR="004A147C" w:rsidRPr="00B53FFB" w:rsidRDefault="004A147C" w:rsidP="00CE5850">
      <w:pPr>
        <w:spacing w:after="120"/>
        <w:rPr>
          <w:szCs w:val="22"/>
        </w:rPr>
      </w:pPr>
    </w:p>
    <w:p w:rsidR="004A147C" w:rsidRPr="00B53FFB" w:rsidRDefault="004A147C" w:rsidP="00CE5850">
      <w:pPr>
        <w:spacing w:before="120" w:after="120"/>
        <w:jc w:val="center"/>
        <w:rPr>
          <w:b/>
          <w:bCs/>
          <w:kern w:val="0"/>
          <w:szCs w:val="22"/>
        </w:rPr>
      </w:pPr>
      <w:r w:rsidRPr="00B53FFB">
        <w:rPr>
          <w:b/>
          <w:bCs/>
          <w:kern w:val="0"/>
          <w:szCs w:val="22"/>
        </w:rPr>
        <w:lastRenderedPageBreak/>
        <w:t>Monthly ARPU by Type of Service</w:t>
      </w:r>
      <w:r>
        <w:rPr>
          <w:b/>
          <w:bCs/>
          <w:kern w:val="0"/>
          <w:szCs w:val="22"/>
        </w:rPr>
        <w:t xml:space="preserve"> </w:t>
      </w:r>
      <w:r w:rsidRPr="00B53FFB">
        <w:rPr>
          <w:bCs/>
          <w:kern w:val="0"/>
          <w:szCs w:val="22"/>
          <w:vertAlign w:val="superscript"/>
        </w:rPr>
        <w:footnoteReference w:id="22"/>
      </w:r>
    </w:p>
    <w:p w:rsidR="004A147C" w:rsidRPr="00B53FFB" w:rsidRDefault="00C81B24" w:rsidP="00CE5850">
      <w:pPr>
        <w:spacing w:after="120"/>
        <w:jc w:val="center"/>
        <w:rPr>
          <w:szCs w:val="22"/>
        </w:rPr>
      </w:pPr>
      <w:r>
        <w:rPr>
          <w:noProof/>
          <w:szCs w:val="22"/>
        </w:rPr>
        <w:drawing>
          <wp:inline distT="0" distB="0" distL="0" distR="0" wp14:anchorId="170F1ED4" wp14:editId="3A1E5CB2">
            <wp:extent cx="6067425" cy="4419600"/>
            <wp:effectExtent l="0" t="0" r="9525" b="0"/>
            <wp:docPr id="12"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067425" cy="4419600"/>
                    </a:xfrm>
                    <a:prstGeom prst="rect">
                      <a:avLst/>
                    </a:prstGeom>
                    <a:noFill/>
                    <a:ln>
                      <a:noFill/>
                    </a:ln>
                  </pic:spPr>
                </pic:pic>
              </a:graphicData>
            </a:graphic>
          </wp:inline>
        </w:drawing>
      </w:r>
    </w:p>
    <w:p w:rsidR="004A147C" w:rsidRPr="00B53FFB" w:rsidRDefault="004A147C" w:rsidP="00CE5850">
      <w:pPr>
        <w:rPr>
          <w:b/>
          <w:color w:val="000000"/>
          <w:szCs w:val="22"/>
          <w:u w:val="single"/>
        </w:rPr>
      </w:pPr>
    </w:p>
    <w:p w:rsidR="004A147C" w:rsidRPr="00B53FFB" w:rsidRDefault="004A147C" w:rsidP="00CE5850">
      <w:pPr>
        <w:rPr>
          <w:b/>
          <w:color w:val="000000"/>
          <w:szCs w:val="22"/>
          <w:u w:val="single"/>
        </w:rPr>
      </w:pPr>
      <w:r w:rsidRPr="00B53FFB">
        <w:rPr>
          <w:b/>
          <w:color w:val="000000"/>
          <w:szCs w:val="22"/>
          <w:u w:val="single"/>
        </w:rPr>
        <w:t>Spectrum</w:t>
      </w:r>
    </w:p>
    <w:p w:rsidR="004A147C" w:rsidRPr="00B53FFB" w:rsidRDefault="004A147C" w:rsidP="00CE5850">
      <w:pPr>
        <w:rPr>
          <w:b/>
          <w:color w:val="000000"/>
          <w:szCs w:val="22"/>
          <w:u w:val="single"/>
        </w:rPr>
      </w:pPr>
    </w:p>
    <w:p w:rsidR="004A147C" w:rsidRPr="00B53FFB" w:rsidRDefault="004A147C" w:rsidP="00CE5850">
      <w:pPr>
        <w:rPr>
          <w:color w:val="000000"/>
          <w:szCs w:val="22"/>
        </w:rPr>
      </w:pPr>
      <w:r w:rsidRPr="00B53FFB">
        <w:rPr>
          <w:color w:val="000000"/>
          <w:szCs w:val="22"/>
        </w:rPr>
        <w:t xml:space="preserve">Access to spectrum is perhaps the most important input for the provision of mobile wireless services.  Demand for these services has grown steadily and sharply in recent years and projections indicate such growth will continue unabated.  In order for service providers to meet the demand, they will need to put new spectrum to use and make more efficient use of existing holdings.  Because spectrum bands vary in their propagation characteristics, service providers may make use of different bands depending on the nature of the service, geography, density, or other factors in their network build-out.  </w:t>
      </w:r>
    </w:p>
    <w:p w:rsidR="004A147C" w:rsidRPr="00B53FFB" w:rsidRDefault="004A147C" w:rsidP="00CE5850">
      <w:pPr>
        <w:rPr>
          <w:color w:val="000000"/>
          <w:szCs w:val="22"/>
        </w:rPr>
      </w:pPr>
    </w:p>
    <w:p w:rsidR="004A147C" w:rsidRPr="00B53FFB" w:rsidRDefault="004A147C" w:rsidP="00CE5850">
      <w:pPr>
        <w:rPr>
          <w:color w:val="000000"/>
          <w:szCs w:val="22"/>
        </w:rPr>
      </w:pPr>
      <w:r w:rsidRPr="00B53FFB">
        <w:rPr>
          <w:color w:val="000000"/>
          <w:szCs w:val="22"/>
        </w:rPr>
        <w:t xml:space="preserve">As a general matter, a provider is best positioned if it holds complementary spectrum bands.  Spectrum below 1 GHz is considered most suitable for establishing base network coverage, especially for wide area and in-building coverage.  Higher frequencies often can best enable providers to increase capacity where needed, especially to provide higher data rates, and to fill in gaps in coverage.  Spectrum from 1 GHz through 2.7 GHz is currently often used as capacity spectrum.  Verizon Wireless and AT&amp;T together hold approximately 90 percent of Cellular spectrum based on megahertz-POPs (MHz-POPs), which was the first band to be licensed for commercial mobile services and has the most extensive network buildout.  In </w:t>
      </w:r>
      <w:r w:rsidRPr="00B53FFB">
        <w:rPr>
          <w:color w:val="000000"/>
          <w:szCs w:val="22"/>
        </w:rPr>
        <w:lastRenderedPageBreak/>
        <w:t>addition, Verizon Wireless holds 45 percent of the MHz-POPs of Cellular and 700 MHz spectrum combined, while AT&amp;T holds approximately 39 percent.  No licensee holds more than 25 percent of the combined MHz-POPs in the Broadband PCS (PCS) and Advanced Wireless Services (AWS) spectrum between 1 GHz and 2.5 GHz.  T-Mobile holds the greatest amount of those bands.  Clearwire, in which Sprint holds a majority interest, has access to the predominant amount of 2.5 GHz spectrum, comprised of the BRS and EBS bands.</w:t>
      </w:r>
    </w:p>
    <w:p w:rsidR="004A147C" w:rsidRDefault="004A147C" w:rsidP="00CE5850">
      <w:pPr>
        <w:rPr>
          <w:color w:val="000000"/>
          <w:szCs w:val="22"/>
        </w:rPr>
      </w:pPr>
    </w:p>
    <w:p w:rsidR="004A147C" w:rsidRDefault="004A147C" w:rsidP="00CE5850">
      <w:pPr>
        <w:spacing w:after="120"/>
        <w:jc w:val="center"/>
        <w:rPr>
          <w:b/>
          <w:bCs/>
          <w:kern w:val="0"/>
          <w:szCs w:val="22"/>
        </w:rPr>
      </w:pPr>
      <w:r w:rsidRPr="00B53FFB">
        <w:rPr>
          <w:b/>
          <w:bCs/>
          <w:kern w:val="0"/>
          <w:szCs w:val="22"/>
        </w:rPr>
        <w:t>Population-Weighted Average Megahertz Under/Over 1 GHz*</w:t>
      </w:r>
    </w:p>
    <w:p w:rsidR="004A147C" w:rsidRDefault="00C81B24" w:rsidP="00CE5850">
      <w:pPr>
        <w:spacing w:after="120"/>
        <w:jc w:val="center"/>
        <w:rPr>
          <w:b/>
          <w:bCs/>
          <w:kern w:val="0"/>
          <w:szCs w:val="22"/>
        </w:rPr>
      </w:pPr>
      <w:r>
        <w:rPr>
          <w:noProof/>
          <w:color w:val="000000"/>
          <w:szCs w:val="22"/>
        </w:rPr>
        <w:drawing>
          <wp:inline distT="0" distB="0" distL="0" distR="0" wp14:anchorId="39D6DC8D" wp14:editId="02D7D66F">
            <wp:extent cx="5667375" cy="3733800"/>
            <wp:effectExtent l="0" t="0" r="9525"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667375" cy="3733800"/>
                    </a:xfrm>
                    <a:prstGeom prst="rect">
                      <a:avLst/>
                    </a:prstGeom>
                    <a:noFill/>
                    <a:ln>
                      <a:noFill/>
                    </a:ln>
                  </pic:spPr>
                </pic:pic>
              </a:graphicData>
            </a:graphic>
          </wp:inline>
        </w:drawing>
      </w:r>
    </w:p>
    <w:p w:rsidR="004A147C" w:rsidRPr="006D773A" w:rsidRDefault="004A147C" w:rsidP="00CE5850">
      <w:pPr>
        <w:rPr>
          <w:sz w:val="20"/>
        </w:rPr>
      </w:pPr>
      <w:r w:rsidRPr="006D773A">
        <w:rPr>
          <w:sz w:val="20"/>
        </w:rPr>
        <w:t>* Estimates i</w:t>
      </w:r>
      <w:r w:rsidRPr="006D773A">
        <w:rPr>
          <w:spacing w:val="-2"/>
          <w:sz w:val="20"/>
        </w:rPr>
        <w:t>nclude all transactions consummated as of August 15,</w:t>
      </w:r>
      <w:r>
        <w:rPr>
          <w:spacing w:val="-2"/>
          <w:sz w:val="20"/>
        </w:rPr>
        <w:t xml:space="preserve"> 2012,</w:t>
      </w:r>
      <w:r w:rsidRPr="006D773A">
        <w:rPr>
          <w:spacing w:val="-2"/>
          <w:sz w:val="20"/>
        </w:rPr>
        <w:t xml:space="preserve"> as well as the transactions approved in the </w:t>
      </w:r>
      <w:r w:rsidRPr="006D773A">
        <w:rPr>
          <w:i/>
          <w:spacing w:val="-2"/>
          <w:sz w:val="20"/>
        </w:rPr>
        <w:t>Verizon Wireless-SpectrumCo Order</w:t>
      </w:r>
      <w:r w:rsidRPr="006D773A">
        <w:rPr>
          <w:sz w:val="20"/>
        </w:rPr>
        <w:t xml:space="preserve">.  </w:t>
      </w:r>
    </w:p>
    <w:p w:rsidR="004A147C" w:rsidRPr="00B53FFB" w:rsidRDefault="004A147C" w:rsidP="00CE5850">
      <w:pPr>
        <w:rPr>
          <w:color w:val="000000"/>
          <w:szCs w:val="22"/>
        </w:rPr>
      </w:pPr>
    </w:p>
    <w:p w:rsidR="004A147C" w:rsidRPr="00B53FFB" w:rsidRDefault="004A147C" w:rsidP="00CE5850">
      <w:pPr>
        <w:rPr>
          <w:b/>
          <w:color w:val="000000"/>
          <w:szCs w:val="22"/>
          <w:u w:val="single"/>
        </w:rPr>
      </w:pPr>
    </w:p>
    <w:p w:rsidR="004A147C" w:rsidRPr="00B53FFB" w:rsidRDefault="004A147C" w:rsidP="00CE5850">
      <w:pPr>
        <w:rPr>
          <w:color w:val="000000"/>
          <w:szCs w:val="22"/>
        </w:rPr>
      </w:pPr>
      <w:r w:rsidRPr="00B53FFB">
        <w:rPr>
          <w:color w:val="000000"/>
          <w:szCs w:val="22"/>
        </w:rPr>
        <w:t>On February 22, 2012, Congress passed the Spectrum Act.</w:t>
      </w:r>
      <w:r w:rsidRPr="00B53FFB">
        <w:rPr>
          <w:color w:val="000000"/>
          <w:szCs w:val="22"/>
          <w:vertAlign w:val="superscript"/>
        </w:rPr>
        <w:footnoteReference w:id="23"/>
      </w:r>
      <w:r w:rsidRPr="00B53FFB">
        <w:rPr>
          <w:color w:val="000000"/>
          <w:szCs w:val="22"/>
        </w:rPr>
        <w:t xml:space="preserve">  Section 6403 of the Spectrum Act</w:t>
      </w:r>
      <w:r w:rsidRPr="00B53FFB">
        <w:rPr>
          <w:i/>
          <w:color w:val="000000"/>
          <w:szCs w:val="22"/>
        </w:rPr>
        <w:t xml:space="preserve"> </w:t>
      </w:r>
      <w:r w:rsidRPr="00B53FFB">
        <w:rPr>
          <w:color w:val="000000"/>
          <w:szCs w:val="22"/>
        </w:rPr>
        <w:t>requires the Commission to conduct an incentive auction of broadcast television spectrum and sets forth specific requirements for the auction.</w:t>
      </w:r>
      <w:r w:rsidRPr="00B53FFB">
        <w:rPr>
          <w:color w:val="000000"/>
          <w:szCs w:val="22"/>
          <w:vertAlign w:val="superscript"/>
        </w:rPr>
        <w:footnoteReference w:id="24"/>
      </w:r>
      <w:r w:rsidRPr="00B53FFB">
        <w:rPr>
          <w:color w:val="000000"/>
          <w:szCs w:val="22"/>
        </w:rPr>
        <w:t xml:space="preserve">  </w:t>
      </w:r>
    </w:p>
    <w:p w:rsidR="004A147C" w:rsidRPr="00B53FFB" w:rsidRDefault="004A147C" w:rsidP="00CE5850">
      <w:pPr>
        <w:rPr>
          <w:color w:val="000000"/>
          <w:szCs w:val="22"/>
        </w:rPr>
      </w:pPr>
    </w:p>
    <w:p w:rsidR="004A147C" w:rsidRPr="00B53FFB" w:rsidRDefault="004A147C" w:rsidP="00CE5850">
      <w:pPr>
        <w:rPr>
          <w:color w:val="000000"/>
          <w:szCs w:val="22"/>
        </w:rPr>
      </w:pPr>
      <w:r w:rsidRPr="00B53FFB">
        <w:rPr>
          <w:color w:val="000000"/>
          <w:szCs w:val="22"/>
        </w:rPr>
        <w:t xml:space="preserve">The Commission </w:t>
      </w:r>
      <w:r>
        <w:rPr>
          <w:color w:val="000000"/>
          <w:szCs w:val="22"/>
        </w:rPr>
        <w:t>has proposed</w:t>
      </w:r>
      <w:r w:rsidRPr="00B53FFB">
        <w:rPr>
          <w:color w:val="000000"/>
          <w:szCs w:val="22"/>
        </w:rPr>
        <w:t xml:space="preserve"> to make the recovered spectrum available for flexible use in fixed and mobile wireless communications services, including mobile broadband.</w:t>
      </w:r>
      <w:r w:rsidRPr="00B53FFB">
        <w:rPr>
          <w:color w:val="000000"/>
          <w:szCs w:val="22"/>
          <w:vertAlign w:val="superscript"/>
        </w:rPr>
        <w:footnoteReference w:id="25"/>
      </w:r>
      <w:r w:rsidRPr="00B53FFB">
        <w:rPr>
          <w:color w:val="000000"/>
          <w:szCs w:val="22"/>
        </w:rPr>
        <w:t xml:space="preserve">  Repurposing this spectrum will serve to further address the nation’s growing demand for wireless broadband services, promote ongoing </w:t>
      </w:r>
      <w:r w:rsidRPr="00B53FFB">
        <w:rPr>
          <w:color w:val="000000"/>
          <w:szCs w:val="22"/>
        </w:rPr>
        <w:lastRenderedPageBreak/>
        <w:t>innovation and investment in mobile communications, and help to ensure that the United States keeps pace with the global wireless revolution.</w:t>
      </w:r>
      <w:r w:rsidRPr="00B53FFB">
        <w:rPr>
          <w:color w:val="000000"/>
          <w:szCs w:val="22"/>
          <w:vertAlign w:val="superscript"/>
        </w:rPr>
        <w:footnoteReference w:id="26"/>
      </w:r>
      <w:r w:rsidRPr="00B53FFB">
        <w:rPr>
          <w:color w:val="000000"/>
          <w:szCs w:val="22"/>
        </w:rPr>
        <w:t xml:space="preserve">  </w:t>
      </w:r>
    </w:p>
    <w:p w:rsidR="004A147C" w:rsidRPr="00B53FFB" w:rsidRDefault="004A147C" w:rsidP="00CE5850">
      <w:pPr>
        <w:rPr>
          <w:color w:val="000000"/>
          <w:szCs w:val="22"/>
        </w:rPr>
      </w:pPr>
    </w:p>
    <w:p w:rsidR="004A147C" w:rsidRPr="00B53FFB" w:rsidRDefault="004A147C" w:rsidP="00CE5850">
      <w:pPr>
        <w:rPr>
          <w:color w:val="000000"/>
          <w:szCs w:val="22"/>
        </w:rPr>
      </w:pPr>
      <w:r w:rsidRPr="00B53FFB">
        <w:rPr>
          <w:color w:val="000000"/>
          <w:szCs w:val="22"/>
        </w:rPr>
        <w:t xml:space="preserve">In addition to the incentive auction of broadcast television spectrum, the Commission has taken other measures to enable more efficient use of spectrum, including </w:t>
      </w:r>
      <w:r>
        <w:rPr>
          <w:color w:val="000000"/>
          <w:szCs w:val="22"/>
        </w:rPr>
        <w:t>converting</w:t>
      </w:r>
      <w:r w:rsidRPr="00B53FFB">
        <w:rPr>
          <w:color w:val="000000"/>
          <w:szCs w:val="22"/>
        </w:rPr>
        <w:t xml:space="preserve"> 40 megahertz of spectrum from satellite to terrestrial use, changing technical rules to permit the rollout of LTE in the 800 MHz band and make the WCS band useable for mobile broadband, and pursuing opportunities for innovative use of small cells in the 3.5 GHz band, as well as </w:t>
      </w:r>
      <w:r>
        <w:rPr>
          <w:color w:val="000000"/>
          <w:szCs w:val="22"/>
        </w:rPr>
        <w:t xml:space="preserve">exploring </w:t>
      </w:r>
      <w:r w:rsidRPr="00B53FFB">
        <w:rPr>
          <w:color w:val="000000"/>
          <w:szCs w:val="22"/>
        </w:rPr>
        <w:t xml:space="preserve">potential opportunities for sharing with government users in a manner that frees up additional spectrum for commercial use. </w:t>
      </w:r>
    </w:p>
    <w:p w:rsidR="004A147C" w:rsidRPr="00B53FFB" w:rsidRDefault="004A147C" w:rsidP="00CE5850">
      <w:pPr>
        <w:rPr>
          <w:b/>
          <w:color w:val="000000"/>
          <w:szCs w:val="22"/>
          <w:u w:val="single"/>
        </w:rPr>
      </w:pPr>
    </w:p>
    <w:p w:rsidR="004A147C" w:rsidRPr="00B53FFB" w:rsidRDefault="004A147C" w:rsidP="00CE5850">
      <w:pPr>
        <w:rPr>
          <w:b/>
          <w:color w:val="000000"/>
          <w:szCs w:val="22"/>
          <w:u w:val="single"/>
        </w:rPr>
      </w:pPr>
      <w:r w:rsidRPr="00B53FFB">
        <w:rPr>
          <w:b/>
          <w:color w:val="000000"/>
          <w:szCs w:val="22"/>
          <w:u w:val="single"/>
        </w:rPr>
        <w:t>Market Concentration</w:t>
      </w:r>
    </w:p>
    <w:p w:rsidR="004A147C" w:rsidRPr="00B53FFB" w:rsidRDefault="004A147C" w:rsidP="00CE5850">
      <w:pPr>
        <w:rPr>
          <w:b/>
          <w:color w:val="000000"/>
          <w:szCs w:val="22"/>
          <w:u w:val="single"/>
        </w:rPr>
      </w:pPr>
    </w:p>
    <w:p w:rsidR="004A147C" w:rsidRPr="00B53FFB" w:rsidRDefault="004A147C" w:rsidP="00CE5850">
      <w:pPr>
        <w:rPr>
          <w:szCs w:val="22"/>
        </w:rPr>
      </w:pPr>
      <w:r w:rsidRPr="00B53FFB">
        <w:rPr>
          <w:szCs w:val="22"/>
        </w:rPr>
        <w:t>The Herfindahl-Hirschman Index (HHI) employed by the Commission to measure market concentration is the most widely-accepted measure of concentration in competition analysis.  The HHI is calculated by summing the squared market shares of all firms in any given market.  Antitrust authorities in the United States generally classify markets into three types:  Unconcentrated (HHI &lt; 1500), Moderately Concentrated (1500 &lt; HHI &lt; 2500), and Highly Concentrated (HHI &gt; 2500).</w:t>
      </w:r>
      <w:r w:rsidR="00A81668">
        <w:rPr>
          <w:rStyle w:val="FootnoteReference"/>
          <w:szCs w:val="22"/>
        </w:rPr>
        <w:footnoteReference w:id="27"/>
      </w:r>
    </w:p>
    <w:p w:rsidR="004A147C" w:rsidRPr="00B53FFB" w:rsidRDefault="004A147C" w:rsidP="00CE5850">
      <w:pPr>
        <w:rPr>
          <w:szCs w:val="22"/>
        </w:rPr>
      </w:pPr>
    </w:p>
    <w:p w:rsidR="00E050F9" w:rsidRDefault="004A147C" w:rsidP="00CE5850">
      <w:pPr>
        <w:rPr>
          <w:szCs w:val="22"/>
        </w:rPr>
      </w:pPr>
      <w:r w:rsidRPr="00B53FFB">
        <w:rPr>
          <w:szCs w:val="22"/>
        </w:rPr>
        <w:t xml:space="preserve">In the mobile wireless services industry, the weighted average of HHIs (weighted by population across the 172 Economic Areas in the United States) was 2873 at the end of 2011, essentially unchanged from 2868 at the end of 2010, and an increase from 2811 at the end of 2009.  </w:t>
      </w:r>
      <w:r>
        <w:rPr>
          <w:szCs w:val="22"/>
        </w:rPr>
        <w:t>At the end of</w:t>
      </w:r>
      <w:r w:rsidRPr="00B53FFB">
        <w:rPr>
          <w:szCs w:val="22"/>
        </w:rPr>
        <w:t xml:space="preserve"> 2011, the value of the HHI for individual Economic Areas (EAs) ranged from a low of 2008 in EA 108 (covering parts of Wisconsin) to a high of 7178 in EA 146 (covering parts of Montana)</w:t>
      </w:r>
      <w:r w:rsidR="00E050F9">
        <w:rPr>
          <w:szCs w:val="22"/>
        </w:rPr>
        <w:t>.</w:t>
      </w:r>
    </w:p>
    <w:p w:rsidR="00E050F9" w:rsidRPr="00B53FFB" w:rsidRDefault="00E050F9" w:rsidP="00CE5850">
      <w:pPr>
        <w:rPr>
          <w:szCs w:val="22"/>
        </w:rPr>
      </w:pPr>
    </w:p>
    <w:p w:rsidR="004A147C" w:rsidRPr="00B53FFB" w:rsidRDefault="004A147C" w:rsidP="00CE5850">
      <w:pPr>
        <w:spacing w:before="120" w:after="120"/>
        <w:jc w:val="center"/>
        <w:outlineLvl w:val="0"/>
        <w:rPr>
          <w:b/>
          <w:bCs/>
          <w:kern w:val="0"/>
          <w:szCs w:val="22"/>
        </w:rPr>
      </w:pPr>
      <w:bookmarkStart w:id="82" w:name="_Toc335839014"/>
      <w:bookmarkStart w:id="83" w:name="_Toc336268577"/>
      <w:bookmarkStart w:id="84" w:name="_Toc336268685"/>
      <w:bookmarkStart w:id="85" w:name="_Toc336268792"/>
      <w:bookmarkStart w:id="86" w:name="_Toc336269006"/>
      <w:bookmarkStart w:id="87" w:name="_Toc336269113"/>
      <w:bookmarkStart w:id="88" w:name="_Toc336269481"/>
      <w:bookmarkStart w:id="89" w:name="_Toc336269627"/>
      <w:bookmarkStart w:id="90" w:name="_Toc336270040"/>
      <w:r w:rsidRPr="00B53FFB">
        <w:rPr>
          <w:b/>
          <w:bCs/>
          <w:kern w:val="0"/>
          <w:szCs w:val="22"/>
        </w:rPr>
        <w:t>Average HHI Across EAs in 2011</w:t>
      </w:r>
      <w:bookmarkEnd w:id="82"/>
      <w:bookmarkEnd w:id="83"/>
      <w:bookmarkEnd w:id="84"/>
      <w:bookmarkEnd w:id="85"/>
      <w:bookmarkEnd w:id="86"/>
      <w:bookmarkEnd w:id="87"/>
      <w:bookmarkEnd w:id="88"/>
      <w:bookmarkEnd w:id="89"/>
      <w:bookmarkEnd w:id="90"/>
    </w:p>
    <w:p w:rsidR="004A147C" w:rsidRPr="00B53FFB" w:rsidRDefault="00C81B24" w:rsidP="00E050F9">
      <w:pPr>
        <w:jc w:val="center"/>
        <w:rPr>
          <w:b/>
          <w:color w:val="000000"/>
          <w:szCs w:val="22"/>
          <w:u w:val="single"/>
        </w:rPr>
      </w:pPr>
      <w:r>
        <w:rPr>
          <w:b/>
          <w:noProof/>
          <w:color w:val="000000"/>
          <w:szCs w:val="22"/>
          <w:u w:val="single"/>
        </w:rPr>
        <w:drawing>
          <wp:inline distT="0" distB="0" distL="0" distR="0" wp14:anchorId="2D49FF32" wp14:editId="0ACFF4B7">
            <wp:extent cx="4629150" cy="3191632"/>
            <wp:effectExtent l="0" t="0" r="0" b="889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629150" cy="3191632"/>
                    </a:xfrm>
                    <a:prstGeom prst="rect">
                      <a:avLst/>
                    </a:prstGeom>
                    <a:noFill/>
                    <a:ln>
                      <a:noFill/>
                    </a:ln>
                  </pic:spPr>
                </pic:pic>
              </a:graphicData>
            </a:graphic>
          </wp:inline>
        </w:drawing>
      </w:r>
    </w:p>
    <w:p w:rsidR="004A147C" w:rsidRPr="00B53FFB" w:rsidRDefault="004A147C" w:rsidP="00CE5850">
      <w:pPr>
        <w:rPr>
          <w:b/>
          <w:color w:val="000000"/>
          <w:szCs w:val="22"/>
          <w:u w:val="single"/>
        </w:rPr>
      </w:pPr>
      <w:r w:rsidRPr="00B53FFB">
        <w:rPr>
          <w:b/>
          <w:color w:val="000000"/>
          <w:szCs w:val="22"/>
          <w:u w:val="single"/>
        </w:rPr>
        <w:lastRenderedPageBreak/>
        <w:t>Investment</w:t>
      </w:r>
    </w:p>
    <w:p w:rsidR="004A147C" w:rsidRPr="00B53FFB" w:rsidRDefault="004A147C" w:rsidP="00CE5850">
      <w:pPr>
        <w:rPr>
          <w:b/>
          <w:color w:val="000000"/>
          <w:szCs w:val="22"/>
          <w:u w:val="single"/>
        </w:rPr>
      </w:pPr>
    </w:p>
    <w:p w:rsidR="004A147C" w:rsidRPr="00B53FFB" w:rsidRDefault="004A147C" w:rsidP="00CE5850">
      <w:pPr>
        <w:spacing w:after="120"/>
        <w:rPr>
          <w:szCs w:val="22"/>
        </w:rPr>
      </w:pPr>
      <w:r w:rsidRPr="00B53FFB">
        <w:rPr>
          <w:szCs w:val="22"/>
        </w:rPr>
        <w:t>CTIA reports that incremental capital investment by wireless operators rose to $24.9 billion in 2010, a 22 percent increase from the $20.4 billion spent in 2009, and then increased another 1.7 percent to $25.3 billion in 2011.</w:t>
      </w:r>
      <w:r w:rsidRPr="00B53FFB">
        <w:rPr>
          <w:szCs w:val="22"/>
          <w:vertAlign w:val="superscript"/>
        </w:rPr>
        <w:footnoteReference w:id="28"/>
      </w:r>
      <w:r w:rsidRPr="00B53FFB">
        <w:rPr>
          <w:szCs w:val="22"/>
        </w:rPr>
        <w:t xml:space="preserve">  The increases in 2010 and 2011 follow a one percent increase in capital investment</w:t>
      </w:r>
      <w:r w:rsidR="008820BD">
        <w:rPr>
          <w:szCs w:val="22"/>
        </w:rPr>
        <w:t xml:space="preserve"> by mobile wireless service prov</w:t>
      </w:r>
      <w:r w:rsidRPr="00B53FFB">
        <w:rPr>
          <w:szCs w:val="22"/>
        </w:rPr>
        <w:t>iders in 2009, which followed a trend of declining investment from 2006 through 2008.  Estimates by the U.S. Census Bureau likewise show an 11 percent increase in total wireless industry capital expenditures to $23 billion in 2010 following an 18 percent decline to $20.7 billion in 2009.</w:t>
      </w:r>
      <w:r w:rsidRPr="00B53FFB">
        <w:rPr>
          <w:szCs w:val="22"/>
          <w:vertAlign w:val="superscript"/>
        </w:rPr>
        <w:footnoteReference w:id="29"/>
      </w:r>
      <w:r>
        <w:rPr>
          <w:szCs w:val="22"/>
        </w:rPr>
        <w:t xml:space="preserve">  This pa</w:t>
      </w:r>
      <w:r w:rsidRPr="00B53FFB">
        <w:rPr>
          <w:szCs w:val="22"/>
        </w:rPr>
        <w:t xml:space="preserve">ttern of a period of declining investment followed by a period of rising investment is consistent with the cyclical nature of technological adoption in the mobile wireless service industry, with the upswing in capital investment since 2009 likely reflecting the transition from third- to fourth-generation wireless network technologies.  The following chart presents capital investment by the four current nationwide providers for the past </w:t>
      </w:r>
      <w:r>
        <w:rPr>
          <w:szCs w:val="22"/>
        </w:rPr>
        <w:t>six</w:t>
      </w:r>
      <w:r w:rsidRPr="00B53FFB">
        <w:rPr>
          <w:szCs w:val="22"/>
        </w:rPr>
        <w:t xml:space="preserve"> years.</w:t>
      </w:r>
    </w:p>
    <w:p w:rsidR="004A147C" w:rsidRPr="00B53FFB" w:rsidRDefault="004A147C" w:rsidP="00CE5850">
      <w:pPr>
        <w:spacing w:after="120"/>
        <w:rPr>
          <w:szCs w:val="22"/>
        </w:rPr>
      </w:pPr>
    </w:p>
    <w:p w:rsidR="004A147C" w:rsidRDefault="004A147C" w:rsidP="00CE5850">
      <w:pPr>
        <w:spacing w:before="120" w:after="120"/>
        <w:jc w:val="center"/>
        <w:rPr>
          <w:b/>
          <w:bCs/>
          <w:kern w:val="0"/>
          <w:szCs w:val="22"/>
        </w:rPr>
      </w:pPr>
      <w:r w:rsidRPr="00B53FFB">
        <w:rPr>
          <w:b/>
          <w:bCs/>
          <w:kern w:val="0"/>
          <w:szCs w:val="22"/>
        </w:rPr>
        <w:t>Capital Expenditures by Service Provider</w:t>
      </w:r>
      <w:r w:rsidRPr="00B53FFB">
        <w:rPr>
          <w:bCs/>
          <w:kern w:val="0"/>
          <w:szCs w:val="22"/>
          <w:vertAlign w:val="superscript"/>
        </w:rPr>
        <w:footnoteReference w:id="30"/>
      </w:r>
    </w:p>
    <w:p w:rsidR="00A37D30" w:rsidRPr="00B53FFB" w:rsidRDefault="00C81B24" w:rsidP="00CE5850">
      <w:pPr>
        <w:spacing w:before="120" w:after="120"/>
        <w:jc w:val="center"/>
        <w:rPr>
          <w:b/>
          <w:bCs/>
          <w:kern w:val="0"/>
          <w:szCs w:val="22"/>
        </w:rPr>
      </w:pPr>
      <w:r>
        <w:rPr>
          <w:b/>
          <w:bCs/>
          <w:noProof/>
          <w:kern w:val="0"/>
          <w:szCs w:val="22"/>
        </w:rPr>
        <w:drawing>
          <wp:inline distT="0" distB="0" distL="0" distR="0" wp14:anchorId="66EBC8E6" wp14:editId="7E871723">
            <wp:extent cx="5076825" cy="3689042"/>
            <wp:effectExtent l="0" t="0" r="0" b="698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077092" cy="3689236"/>
                    </a:xfrm>
                    <a:prstGeom prst="rect">
                      <a:avLst/>
                    </a:prstGeom>
                    <a:noFill/>
                    <a:ln>
                      <a:noFill/>
                    </a:ln>
                  </pic:spPr>
                </pic:pic>
              </a:graphicData>
            </a:graphic>
          </wp:inline>
        </w:drawing>
      </w:r>
    </w:p>
    <w:p w:rsidR="004A147C" w:rsidRPr="00B53FFB" w:rsidRDefault="004A147C" w:rsidP="00CE5850">
      <w:pPr>
        <w:rPr>
          <w:b/>
          <w:szCs w:val="22"/>
          <w:u w:val="single"/>
        </w:rPr>
      </w:pPr>
      <w:r w:rsidRPr="00B53FFB">
        <w:rPr>
          <w:b/>
          <w:szCs w:val="22"/>
          <w:u w:val="single"/>
        </w:rPr>
        <w:lastRenderedPageBreak/>
        <w:t>Profitability Metrics</w:t>
      </w:r>
    </w:p>
    <w:p w:rsidR="004A147C" w:rsidRPr="00B53FFB" w:rsidRDefault="004A147C" w:rsidP="00CE5850">
      <w:pPr>
        <w:rPr>
          <w:szCs w:val="22"/>
        </w:rPr>
      </w:pPr>
    </w:p>
    <w:p w:rsidR="004A147C" w:rsidRPr="00B53FFB" w:rsidRDefault="004A147C" w:rsidP="00CE5850">
      <w:pPr>
        <w:spacing w:after="120"/>
        <w:rPr>
          <w:szCs w:val="22"/>
        </w:rPr>
      </w:pPr>
      <w:r w:rsidRPr="00B53FFB">
        <w:rPr>
          <w:szCs w:val="22"/>
        </w:rPr>
        <w:t>In the absence of the data necessary to estimate economic profits, there are various measures used by industry observers to estimate accounting profits in the wireless industry.  One such metric, based on company data reported to the Securities and Exchange Commission, is EBITDA (Earnings before Interest, Taxes, Debt, and Amortization) – which equals accounting profits before deducting interest expenses, corporate income taxes, depreciation, and amortization.  In 2011, EBITDA per subscriber ranged from a low of $4.11 (Sprint Nextel) to a high of $19.66 (Verizon Wireless).  The EBITDA per subscriber of Sprint Nextel has declined significantly over the past several years.  The EBITDA minus CAPEX per subscriber of AT&amp;T and Verizon Wireless have decreased relative to 2009, but are above the levels of Sprint Nextel and T-Mobile.</w:t>
      </w:r>
    </w:p>
    <w:p w:rsidR="004A147C" w:rsidRDefault="004A147C" w:rsidP="00CE5850">
      <w:pPr>
        <w:rPr>
          <w:szCs w:val="22"/>
        </w:rPr>
      </w:pPr>
      <w:r w:rsidRPr="00B53FFB">
        <w:rPr>
          <w:szCs w:val="22"/>
        </w:rPr>
        <w:t xml:space="preserve">A second indicator of mobile wireless segment profitability is EBITDA margin, which is EBITDA as a percentage of service revenue.  Standardizing EBITDA by service revenues facilitates cross-provider comparisons.  The EBITDA margin of a number of the larger mobile providers for the past several years is shown in the following chart:  </w:t>
      </w:r>
    </w:p>
    <w:p w:rsidR="006E42E5" w:rsidRPr="00B53FFB" w:rsidRDefault="006E42E5" w:rsidP="00CE5850">
      <w:pPr>
        <w:rPr>
          <w:kern w:val="0"/>
          <w:szCs w:val="22"/>
        </w:rPr>
      </w:pPr>
    </w:p>
    <w:p w:rsidR="004A147C" w:rsidRPr="00B53FFB" w:rsidRDefault="004A147C" w:rsidP="00CE5850">
      <w:pPr>
        <w:spacing w:after="120"/>
        <w:jc w:val="center"/>
        <w:rPr>
          <w:b/>
          <w:szCs w:val="22"/>
        </w:rPr>
      </w:pPr>
      <w:r w:rsidRPr="00B53FFB">
        <w:rPr>
          <w:b/>
          <w:szCs w:val="22"/>
        </w:rPr>
        <w:t>Reported EBITDA Margins (Selected Providers), 2002-2011</w:t>
      </w:r>
      <w:r w:rsidRPr="00B53FFB">
        <w:rPr>
          <w:szCs w:val="22"/>
          <w:vertAlign w:val="superscript"/>
        </w:rPr>
        <w:footnoteReference w:id="31"/>
      </w:r>
    </w:p>
    <w:p w:rsidR="004A147C" w:rsidRPr="00B53FFB" w:rsidRDefault="00C81B24" w:rsidP="00CE5850">
      <w:pPr>
        <w:jc w:val="center"/>
        <w:rPr>
          <w:noProof/>
          <w:szCs w:val="22"/>
        </w:rPr>
      </w:pPr>
      <w:r>
        <w:rPr>
          <w:noProof/>
        </w:rPr>
        <mc:AlternateContent>
          <mc:Choice Requires="wps">
            <w:drawing>
              <wp:anchor distT="0" distB="0" distL="114300" distR="114300" simplePos="0" relativeHeight="16" behindDoc="0" locked="0" layoutInCell="1" allowOverlap="1" wp14:anchorId="1F8F9606" wp14:editId="627B24D7">
                <wp:simplePos x="0" y="0"/>
                <wp:positionH relativeFrom="column">
                  <wp:posOffset>161925</wp:posOffset>
                </wp:positionH>
                <wp:positionV relativeFrom="paragraph">
                  <wp:posOffset>-1905</wp:posOffset>
                </wp:positionV>
                <wp:extent cx="5610225" cy="4610100"/>
                <wp:effectExtent l="19050" t="19050" r="19050" b="19050"/>
                <wp:wrapNone/>
                <wp:docPr id="162" name="Rectangl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610225" cy="4610100"/>
                        </a:xfrm>
                        <a:prstGeom prst="rect">
                          <a:avLst/>
                        </a:prstGeom>
                        <a:noFill/>
                        <a:ln w="25400">
                          <a:solidFill>
                            <a:srgbClr val="FFFFFF"/>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 o:spid="_x0000_s1026" style="position:absolute;margin-left:12.75pt;margin-top:-.15pt;width:441.75pt;height:363pt;z-index: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" filled="f" strokecolor="white" strokeweight="2pt"/>
            </w:pict>
          </mc:Fallback>
        </mc:AlternateContent>
      </w:r>
      <w:r>
        <w:rPr>
          <w:noProof/>
        </w:rPr>
        <mc:AlternateContent>
          <mc:Choice Requires="wps">
            <w:drawing>
              <wp:anchor distT="0" distB="0" distL="114300" distR="114300" simplePos="0" relativeHeight="3" behindDoc="0" locked="0" layoutInCell="1" allowOverlap="1" wp14:anchorId="294142F2" wp14:editId="47B1F489">
                <wp:simplePos x="0" y="0"/>
                <wp:positionH relativeFrom="column">
                  <wp:posOffset>307340</wp:posOffset>
                </wp:positionH>
                <wp:positionV relativeFrom="paragraph">
                  <wp:posOffset>4281805</wp:posOffset>
                </wp:positionV>
                <wp:extent cx="2217420" cy="274955"/>
                <wp:effectExtent l="0" t="0" r="0" b="0"/>
                <wp:wrapNone/>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17420" cy="274955"/>
                        </a:xfrm>
                        <a:prstGeom prst="rect">
                          <a:avLst/>
                        </a:prstGeom>
                        <a:noFill/>
                        <a:ln w="9525">
                          <a:noFill/>
                          <a:miter lim="800000"/>
                          <a:headEnd/>
                          <a:tailEnd/>
                        </a:ln>
                      </wps:spPr>
                      <wps:txbx>
                        <w:txbxContent>
                          <w:p w:rsidR="00EC7CF3" w:rsidRPr="00BE11A5" w:rsidRDefault="00EC7CF3">
                            <w:pPr>
                              <w:rPr>
                                <w:rFonts w:ascii="Calibri" w:hAnsi="Calibri" w:cs="Calibri"/>
                                <w:sz w:val="20"/>
                              </w:rPr>
                            </w:pPr>
                            <w:r w:rsidRPr="00BE11A5">
                              <w:rPr>
                                <w:rFonts w:ascii="Calibri" w:hAnsi="Calibri" w:cs="Calibri"/>
                                <w:sz w:val="20"/>
                              </w:rPr>
                              <w:t>Source: UBS</w:t>
                            </w:r>
                          </w:p>
                        </w:txbxContent>
                      </wps:txbx>
                      <wps:bodyPr rot="0" vert="horz" wrap="square" lIns="91440" tIns="45720" rIns="91440" bIns="45720" anchor="t" anchorCtr="0">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 o:spid="_x0000_s1026" type="#_x0000_t202" style="position:absolute;left:0;text-align:left;margin-left:24.2pt;margin-top:337.15pt;width:174.6pt;height:21.65pt;z-index: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" filled="f" stroked="f">
                <v:textbox>
                  <w:txbxContent>
                    <w:p w:rsidR="00EC7CF3" w:rsidRPr="00BE11A5" w:rsidRDefault="00EC7CF3">
                      <w:pPr>
                        <w:rPr>
                          <w:rFonts w:ascii="Calibri" w:hAnsi="Calibri" w:cs="Calibri"/>
                          <w:sz w:val="20"/>
                        </w:rPr>
                      </w:pPr>
                      <w:r w:rsidRPr="00BE11A5">
                        <w:rPr>
                          <w:rFonts w:ascii="Calibri" w:hAnsi="Calibri" w:cs="Calibri"/>
                          <w:sz w:val="20"/>
                        </w:rPr>
                        <w:t>Source: UBS</w:t>
                      </w:r>
                    </w:p>
                  </w:txbxContent>
                </v:textbox>
              </v:shape>
            </w:pict>
          </mc:Fallback>
        </mc:AlternateContent>
      </w:r>
      <w:r>
        <w:rPr>
          <w:noProof/>
          <w:szCs w:val="22"/>
        </w:rPr>
        <w:drawing>
          <wp:inline distT="0" distB="0" distL="0" distR="0" wp14:anchorId="10FF1592" wp14:editId="24EB47CD">
            <wp:extent cx="5600700" cy="4610100"/>
            <wp:effectExtent l="0" t="0" r="0" b="0"/>
            <wp:docPr id="1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600700" cy="4610100"/>
                    </a:xfrm>
                    <a:prstGeom prst="rect">
                      <a:avLst/>
                    </a:prstGeom>
                    <a:noFill/>
                    <a:ln>
                      <a:noFill/>
                    </a:ln>
                  </pic:spPr>
                </pic:pic>
              </a:graphicData>
            </a:graphic>
          </wp:inline>
        </w:drawing>
      </w:r>
    </w:p>
    <w:p w:rsidR="004A147C" w:rsidRPr="00B53FFB" w:rsidRDefault="004A147C" w:rsidP="00CE5850">
      <w:pPr>
        <w:rPr>
          <w:szCs w:val="22"/>
        </w:rPr>
      </w:pPr>
    </w:p>
    <w:p w:rsidR="004A147C" w:rsidRDefault="004A147C" w:rsidP="00CE5850">
      <w:pPr>
        <w:rPr>
          <w:kern w:val="0"/>
          <w:szCs w:val="22"/>
        </w:rPr>
      </w:pPr>
      <w:r w:rsidRPr="00B53FFB">
        <w:rPr>
          <w:szCs w:val="22"/>
        </w:rPr>
        <w:t xml:space="preserve">As shown in the chart, among the selected providers, the difference in 2011 between the provider with the highest EBITDA margin (Verizon Wireless) and the provider with the lowest (Sprint Nextel) was 32.7 </w:t>
      </w:r>
      <w:r w:rsidRPr="00B53FFB">
        <w:rPr>
          <w:szCs w:val="22"/>
        </w:rPr>
        <w:lastRenderedPageBreak/>
        <w:t xml:space="preserve">percent.  Verizon Wireless has remained above 40 percent since 2006.  AT&amp;T’s EBITDA margin has decreased after 2009, dropping to 28.7 percent in 2011, while T-Mobile’s EBITDA margin increased to 30.2 percent in 2011.  </w:t>
      </w:r>
    </w:p>
    <w:p w:rsidR="004A147C" w:rsidRPr="00B53FFB" w:rsidRDefault="004A147C" w:rsidP="00CE5850">
      <w:pPr>
        <w:rPr>
          <w:kern w:val="0"/>
          <w:szCs w:val="22"/>
        </w:rPr>
      </w:pPr>
    </w:p>
    <w:p w:rsidR="004A147C" w:rsidRPr="00B53FFB" w:rsidRDefault="004A147C" w:rsidP="00CE5850">
      <w:pPr>
        <w:rPr>
          <w:kern w:val="0"/>
          <w:szCs w:val="22"/>
        </w:rPr>
      </w:pPr>
      <w:r w:rsidRPr="00B53FFB">
        <w:rPr>
          <w:kern w:val="0"/>
          <w:szCs w:val="22"/>
        </w:rPr>
        <w:t xml:space="preserve">The following graph of EBITDA per subscriber versus net adds of the four nationwide service providers shows that the EBITDA per subscriber and net adds of AT&amp;T and Verizon have been stable over the past four years.  During the same period, the EBITDA per subscriber and net adds of T-Mobile have been decreasing, and the EBITDA per subscriber of Sprint has been decreasing while its net adds have been increasing.  </w:t>
      </w:r>
    </w:p>
    <w:p w:rsidR="004A147C" w:rsidRPr="00B53FFB" w:rsidRDefault="004A147C" w:rsidP="00CE5850">
      <w:pPr>
        <w:rPr>
          <w:kern w:val="0"/>
          <w:szCs w:val="22"/>
          <w:lang w:eastAsia="zh-CN"/>
        </w:rPr>
      </w:pPr>
    </w:p>
    <w:p w:rsidR="004A147C" w:rsidRPr="00B53FFB" w:rsidRDefault="004A147C" w:rsidP="00CE5850">
      <w:pPr>
        <w:spacing w:before="120"/>
        <w:jc w:val="center"/>
        <w:rPr>
          <w:b/>
          <w:bCs/>
          <w:kern w:val="0"/>
          <w:szCs w:val="22"/>
        </w:rPr>
      </w:pPr>
      <w:r w:rsidRPr="00B53FFB">
        <w:rPr>
          <w:b/>
          <w:bCs/>
          <w:kern w:val="0"/>
          <w:szCs w:val="22"/>
        </w:rPr>
        <w:t>Subscriber Additions vs. EBITDA Per Subscriber, 2008-2011</w:t>
      </w:r>
    </w:p>
    <w:p w:rsidR="004A147C" w:rsidRPr="00B53FFB" w:rsidRDefault="004A147C" w:rsidP="00CE5850">
      <w:pPr>
        <w:rPr>
          <w:szCs w:val="22"/>
        </w:rPr>
      </w:pPr>
      <w:r w:rsidRPr="00B53FFB">
        <w:rPr>
          <w:szCs w:val="22"/>
        </w:rPr>
        <w:t xml:space="preserve"> </w:t>
      </w:r>
    </w:p>
    <w:p w:rsidR="004A147C" w:rsidRPr="00B53FFB" w:rsidRDefault="00C81B24" w:rsidP="00CE5850">
      <w:pPr>
        <w:rPr>
          <w:b/>
          <w:szCs w:val="22"/>
          <w:u w:val="single"/>
        </w:rPr>
      </w:pPr>
      <w:r>
        <w:rPr>
          <w:noProof/>
        </w:rPr>
        <w:drawing>
          <wp:inline distT="0" distB="0" distL="0" distR="0" wp14:anchorId="712E3B11" wp14:editId="159CF2D7">
            <wp:extent cx="5153025" cy="3552825"/>
            <wp:effectExtent l="0" t="0" r="9525" b="952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153025" cy="3552825"/>
                    </a:xfrm>
                    <a:prstGeom prst="rect">
                      <a:avLst/>
                    </a:prstGeom>
                    <a:noFill/>
                    <a:ln>
                      <a:noFill/>
                    </a:ln>
                  </pic:spPr>
                </pic:pic>
              </a:graphicData>
            </a:graphic>
          </wp:inline>
        </w:drawing>
      </w:r>
    </w:p>
    <w:p w:rsidR="006E42E5" w:rsidRDefault="006E42E5" w:rsidP="00CE5850">
      <w:pPr>
        <w:spacing w:after="120"/>
        <w:rPr>
          <w:b/>
          <w:szCs w:val="22"/>
          <w:u w:val="single"/>
        </w:rPr>
      </w:pPr>
    </w:p>
    <w:p w:rsidR="004A147C" w:rsidRPr="00B53FFB" w:rsidRDefault="004A147C" w:rsidP="00CE5850">
      <w:pPr>
        <w:spacing w:after="120"/>
        <w:rPr>
          <w:b/>
          <w:szCs w:val="22"/>
          <w:u w:val="single"/>
        </w:rPr>
      </w:pPr>
      <w:r w:rsidRPr="00B53FFB">
        <w:rPr>
          <w:b/>
          <w:szCs w:val="22"/>
          <w:u w:val="single"/>
        </w:rPr>
        <w:t>Handsets and Devices</w:t>
      </w:r>
    </w:p>
    <w:p w:rsidR="004A147C" w:rsidRDefault="004A147C" w:rsidP="00CE5850">
      <w:pPr>
        <w:rPr>
          <w:szCs w:val="22"/>
        </w:rPr>
      </w:pPr>
      <w:r w:rsidRPr="00B53FFB">
        <w:rPr>
          <w:szCs w:val="22"/>
        </w:rPr>
        <w:t xml:space="preserve">Handsets and devices are a central part of consumers’ mobile wireless experience, and a key way by which providers differentiate their offerings.  </w:t>
      </w:r>
      <w:r>
        <w:rPr>
          <w:szCs w:val="22"/>
        </w:rPr>
        <w:t>During</w:t>
      </w:r>
      <w:r w:rsidR="00C30A49">
        <w:rPr>
          <w:szCs w:val="22"/>
        </w:rPr>
        <w:t xml:space="preserve"> June 201</w:t>
      </w:r>
      <w:r w:rsidR="006C5B83">
        <w:rPr>
          <w:szCs w:val="22"/>
        </w:rPr>
        <w:t>1, 20 ha</w:t>
      </w:r>
      <w:r w:rsidRPr="00B53FFB">
        <w:rPr>
          <w:szCs w:val="22"/>
        </w:rPr>
        <w:t>ndset manufacturers offered a total of 297 handset models to mobile wireless service providers in the United States.  In 201</w:t>
      </w:r>
      <w:r>
        <w:t>2</w:t>
      </w:r>
      <w:r w:rsidRPr="00B53FFB">
        <w:rPr>
          <w:szCs w:val="22"/>
        </w:rPr>
        <w:t xml:space="preserve">, smartphone adoption increased, with </w:t>
      </w:r>
      <w:r>
        <w:t>55.5</w:t>
      </w:r>
      <w:r w:rsidRPr="00B53FFB">
        <w:rPr>
          <w:szCs w:val="22"/>
        </w:rPr>
        <w:t xml:space="preserve"> percent of mobile wireless consumers reported to have smartphones</w:t>
      </w:r>
      <w:r>
        <w:t xml:space="preserve"> as of July 2012, up from 41 percent in July 2011.</w:t>
      </w:r>
      <w:r w:rsidRPr="00B53FFB">
        <w:rPr>
          <w:szCs w:val="22"/>
          <w:vertAlign w:val="superscript"/>
        </w:rPr>
        <w:footnoteReference w:id="32"/>
      </w:r>
      <w:r w:rsidRPr="00B53FFB">
        <w:rPr>
          <w:szCs w:val="22"/>
        </w:rPr>
        <w:t xml:space="preserve"> Popular smartphone operating systems such as the Android and th</w:t>
      </w:r>
      <w:r w:rsidR="00D077C2">
        <w:rPr>
          <w:szCs w:val="22"/>
        </w:rPr>
        <w:t>e Apple iOS are available from m</w:t>
      </w:r>
      <w:r w:rsidRPr="00B53FFB">
        <w:rPr>
          <w:szCs w:val="22"/>
        </w:rPr>
        <w:t xml:space="preserve">ultiple service providers, permitting consumers to pair their preferred operating systems with different service providers.  During 2011, the iPhone exclusive handset arrangement between Apple and AT&amp;T ended, and multiple service providers began offering the iPhone </w:t>
      </w:r>
      <w:r w:rsidRPr="00B53FFB">
        <w:rPr>
          <w:szCs w:val="22"/>
        </w:rPr>
        <w:lastRenderedPageBreak/>
        <w:t>on their networks.</w:t>
      </w:r>
      <w:r w:rsidRPr="00B53FFB">
        <w:rPr>
          <w:szCs w:val="22"/>
          <w:vertAlign w:val="superscript"/>
        </w:rPr>
        <w:footnoteReference w:id="33"/>
      </w:r>
      <w:r w:rsidRPr="00B53FFB">
        <w:rPr>
          <w:szCs w:val="22"/>
        </w:rPr>
        <w:t xml:space="preserve"> Innovative smartphones are available at a variety of price points and with both post-paid and pre-paid service plans. </w:t>
      </w:r>
    </w:p>
    <w:p w:rsidR="006E42E5" w:rsidRPr="00B53FFB" w:rsidRDefault="006E42E5" w:rsidP="00CE5850">
      <w:pPr>
        <w:rPr>
          <w:szCs w:val="22"/>
        </w:rPr>
      </w:pPr>
    </w:p>
    <w:p w:rsidR="004A147C" w:rsidRDefault="004A147C" w:rsidP="00CE5850">
      <w:pPr>
        <w:spacing w:after="120"/>
        <w:jc w:val="center"/>
        <w:rPr>
          <w:b/>
          <w:bCs/>
          <w:kern w:val="0"/>
          <w:szCs w:val="22"/>
        </w:rPr>
      </w:pPr>
      <w:r w:rsidRPr="00B53FFB">
        <w:rPr>
          <w:b/>
          <w:bCs/>
          <w:kern w:val="0"/>
          <w:szCs w:val="22"/>
        </w:rPr>
        <w:t>Smartphone Penetration Rates in the United States, Q4 2009 – Q2 2012</w:t>
      </w:r>
      <w:r w:rsidRPr="00B53FFB">
        <w:rPr>
          <w:bCs/>
          <w:kern w:val="0"/>
          <w:szCs w:val="22"/>
          <w:vertAlign w:val="superscript"/>
        </w:rPr>
        <w:footnoteReference w:id="34"/>
      </w:r>
    </w:p>
    <w:p w:rsidR="004A147C" w:rsidRPr="00B53FFB" w:rsidRDefault="00C81B24" w:rsidP="00CE5850">
      <w:pPr>
        <w:spacing w:after="120"/>
        <w:jc w:val="center"/>
        <w:rPr>
          <w:b/>
          <w:bCs/>
          <w:kern w:val="0"/>
          <w:szCs w:val="22"/>
        </w:rPr>
      </w:pPr>
      <w:r>
        <w:rPr>
          <w:b/>
          <w:noProof/>
          <w:kern w:val="0"/>
          <w:szCs w:val="22"/>
        </w:rPr>
        <w:drawing>
          <wp:inline distT="0" distB="0" distL="0" distR="0" wp14:anchorId="411CD8BA" wp14:editId="0AB3415F">
            <wp:extent cx="4991100" cy="3267075"/>
            <wp:effectExtent l="0" t="0" r="0" b="9525"/>
            <wp:docPr id="18"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991100" cy="3267075"/>
                    </a:xfrm>
                    <a:prstGeom prst="rect">
                      <a:avLst/>
                    </a:prstGeom>
                    <a:noFill/>
                    <a:ln>
                      <a:noFill/>
                    </a:ln>
                  </pic:spPr>
                </pic:pic>
              </a:graphicData>
            </a:graphic>
          </wp:inline>
        </w:drawing>
      </w:r>
    </w:p>
    <w:p w:rsidR="004A147C" w:rsidRPr="00B53FFB" w:rsidRDefault="004A147C" w:rsidP="00CE5850">
      <w:pPr>
        <w:jc w:val="center"/>
        <w:rPr>
          <w:szCs w:val="22"/>
        </w:rPr>
      </w:pPr>
    </w:p>
    <w:p w:rsidR="004A147C" w:rsidRPr="00B53FFB" w:rsidRDefault="004A147C" w:rsidP="00CE5850">
      <w:pPr>
        <w:rPr>
          <w:szCs w:val="22"/>
        </w:rPr>
      </w:pPr>
    </w:p>
    <w:p w:rsidR="004A147C" w:rsidRPr="00B53FFB" w:rsidRDefault="004A147C" w:rsidP="00CE5850">
      <w:pPr>
        <w:rPr>
          <w:szCs w:val="22"/>
        </w:rPr>
      </w:pPr>
      <w:r w:rsidRPr="00B53FFB">
        <w:rPr>
          <w:szCs w:val="22"/>
        </w:rPr>
        <w:t>Apple’s iOS and Google’s Android have emerged as the two leading mobile operating systems.  According to comScore, Android’s share of the smartphone operating system grew from 3 percent in May 2009 to 51 percent in March 2012, while iOS’s market share increased from 20 percent to 32 percent over the same period.</w:t>
      </w:r>
      <w:r w:rsidR="009D7B46">
        <w:rPr>
          <w:szCs w:val="22"/>
        </w:rPr>
        <w:t xml:space="preserve"> </w:t>
      </w:r>
      <w:r w:rsidRPr="00B53FFB">
        <w:rPr>
          <w:szCs w:val="22"/>
        </w:rPr>
        <w:t xml:space="preserve"> Over the same period, RIM’s market share has declined from the top position to commanding less than ten percent of the market.</w:t>
      </w:r>
      <w:r>
        <w:rPr>
          <w:szCs w:val="22"/>
        </w:rPr>
        <w:t xml:space="preserve"> </w:t>
      </w:r>
      <w:r w:rsidRPr="00B53FFB">
        <w:rPr>
          <w:szCs w:val="22"/>
        </w:rPr>
        <w:t xml:space="preserve"> In September 2011, 98.5 percent of smartphones in use had an operating system from a top-five mobile operating system provider, while the remaining 1.5 percent of smartphones in use ha</w:t>
      </w:r>
      <w:r>
        <w:rPr>
          <w:szCs w:val="22"/>
        </w:rPr>
        <w:t>d</w:t>
      </w:r>
      <w:r w:rsidRPr="00B53FFB">
        <w:rPr>
          <w:szCs w:val="22"/>
        </w:rPr>
        <w:t xml:space="preserve"> other operating systems.</w:t>
      </w:r>
    </w:p>
    <w:p w:rsidR="004A147C" w:rsidRDefault="004A147C" w:rsidP="00CE5850">
      <w:pPr>
        <w:spacing w:after="120"/>
        <w:ind w:left="720"/>
        <w:rPr>
          <w:b/>
          <w:szCs w:val="22"/>
        </w:rPr>
      </w:pPr>
    </w:p>
    <w:p w:rsidR="006E42E5" w:rsidRDefault="006E42E5" w:rsidP="00CE5850">
      <w:pPr>
        <w:spacing w:after="120"/>
        <w:ind w:left="720"/>
        <w:rPr>
          <w:b/>
          <w:szCs w:val="22"/>
        </w:rPr>
      </w:pPr>
    </w:p>
    <w:p w:rsidR="006E42E5" w:rsidRDefault="006E42E5" w:rsidP="00CE5850">
      <w:pPr>
        <w:spacing w:after="120"/>
        <w:ind w:left="720"/>
        <w:rPr>
          <w:b/>
          <w:szCs w:val="22"/>
        </w:rPr>
      </w:pPr>
    </w:p>
    <w:p w:rsidR="006E42E5" w:rsidRDefault="006E42E5" w:rsidP="00CE5850">
      <w:pPr>
        <w:spacing w:after="120"/>
        <w:ind w:left="720"/>
        <w:rPr>
          <w:b/>
          <w:szCs w:val="22"/>
        </w:rPr>
      </w:pPr>
    </w:p>
    <w:p w:rsidR="006E42E5" w:rsidRDefault="006E42E5" w:rsidP="00CE5850">
      <w:pPr>
        <w:spacing w:after="120"/>
        <w:ind w:left="720"/>
        <w:rPr>
          <w:b/>
          <w:szCs w:val="22"/>
        </w:rPr>
      </w:pPr>
    </w:p>
    <w:p w:rsidR="006E42E5" w:rsidRPr="00B53FFB" w:rsidRDefault="006E42E5" w:rsidP="00CE5850">
      <w:pPr>
        <w:spacing w:after="120"/>
        <w:ind w:left="720"/>
        <w:rPr>
          <w:b/>
          <w:szCs w:val="22"/>
        </w:rPr>
      </w:pPr>
    </w:p>
    <w:p w:rsidR="004A147C" w:rsidRPr="00B53FFB" w:rsidRDefault="004A147C" w:rsidP="00CE5850">
      <w:pPr>
        <w:pStyle w:val="Caption"/>
        <w:widowControl w:val="0"/>
        <w:jc w:val="center"/>
        <w:rPr>
          <w:sz w:val="22"/>
          <w:szCs w:val="22"/>
        </w:rPr>
      </w:pPr>
      <w:r w:rsidRPr="00B53FFB">
        <w:rPr>
          <w:bCs w:val="0"/>
          <w:sz w:val="22"/>
          <w:szCs w:val="22"/>
        </w:rPr>
        <w:lastRenderedPageBreak/>
        <w:t xml:space="preserve">Smartphone Operating System </w:t>
      </w:r>
      <w:r>
        <w:rPr>
          <w:bCs w:val="0"/>
          <w:sz w:val="22"/>
          <w:szCs w:val="22"/>
        </w:rPr>
        <w:t xml:space="preserve">U.S. </w:t>
      </w:r>
      <w:r w:rsidRPr="00B53FFB">
        <w:rPr>
          <w:bCs w:val="0"/>
          <w:sz w:val="22"/>
          <w:szCs w:val="22"/>
        </w:rPr>
        <w:t xml:space="preserve">Market Share, </w:t>
      </w:r>
      <w:r w:rsidRPr="00B53FFB">
        <w:rPr>
          <w:sz w:val="22"/>
          <w:szCs w:val="22"/>
        </w:rPr>
        <w:t>2009-2012</w:t>
      </w:r>
      <w:r w:rsidRPr="00B53FFB">
        <w:rPr>
          <w:rStyle w:val="FootnoteReference"/>
          <w:b w:val="0"/>
          <w:szCs w:val="22"/>
        </w:rPr>
        <w:footnoteReference w:id="35"/>
      </w:r>
    </w:p>
    <w:p w:rsidR="004A147C" w:rsidRPr="00B53FFB" w:rsidRDefault="00C81B24" w:rsidP="00CE5850">
      <w:pPr>
        <w:jc w:val="center"/>
        <w:rPr>
          <w:b/>
          <w:szCs w:val="22"/>
          <w:u w:val="single"/>
        </w:rPr>
      </w:pPr>
      <w:r>
        <w:rPr>
          <w:b/>
          <w:bCs/>
          <w:noProof/>
          <w:kern w:val="0"/>
          <w:sz w:val="24"/>
        </w:rPr>
        <w:drawing>
          <wp:inline distT="0" distB="0" distL="0" distR="0" wp14:anchorId="19DF9F46" wp14:editId="32EDF807">
            <wp:extent cx="5800725" cy="4219575"/>
            <wp:effectExtent l="0" t="0" r="9525" b="952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800725" cy="4219575"/>
                    </a:xfrm>
                    <a:prstGeom prst="rect">
                      <a:avLst/>
                    </a:prstGeom>
                    <a:noFill/>
                    <a:ln>
                      <a:noFill/>
                    </a:ln>
                  </pic:spPr>
                </pic:pic>
              </a:graphicData>
            </a:graphic>
          </wp:inline>
        </w:drawing>
      </w:r>
    </w:p>
    <w:p w:rsidR="004A147C" w:rsidRPr="00B53FFB" w:rsidRDefault="004A147C" w:rsidP="00CE5850">
      <w:pPr>
        <w:spacing w:before="120" w:after="120"/>
        <w:rPr>
          <w:b/>
          <w:szCs w:val="22"/>
          <w:u w:val="single"/>
        </w:rPr>
      </w:pPr>
    </w:p>
    <w:p w:rsidR="004A147C" w:rsidRPr="00B53FFB" w:rsidRDefault="004A147C" w:rsidP="00CE5850">
      <w:pPr>
        <w:spacing w:before="120" w:after="120"/>
        <w:rPr>
          <w:b/>
          <w:szCs w:val="22"/>
          <w:u w:val="single"/>
        </w:rPr>
      </w:pPr>
      <w:r w:rsidRPr="00B53FFB">
        <w:rPr>
          <w:b/>
          <w:szCs w:val="22"/>
          <w:u w:val="single"/>
        </w:rPr>
        <w:t>Mobile Applications</w:t>
      </w:r>
    </w:p>
    <w:p w:rsidR="004A147C" w:rsidRPr="00B53FFB" w:rsidRDefault="004A147C" w:rsidP="00CE5850">
      <w:pPr>
        <w:rPr>
          <w:szCs w:val="22"/>
        </w:rPr>
      </w:pPr>
      <w:r w:rsidRPr="00B53FFB">
        <w:rPr>
          <w:szCs w:val="22"/>
        </w:rPr>
        <w:t>The number of mobile applications launched and the number of applications downloaded by consumers has grown significantly over the past three years.  According to BGR, a leading source for mobile news in the U.S., by the end of 2011 U.S. consumers had access to more than 989,863 applications, a number that has grown to over 1,000,000 by mid-2012.</w:t>
      </w:r>
      <w:r w:rsidRPr="00B53FFB">
        <w:rPr>
          <w:szCs w:val="22"/>
          <w:vertAlign w:val="superscript"/>
        </w:rPr>
        <w:footnoteReference w:id="36"/>
      </w:r>
      <w:r w:rsidRPr="00B53FFB">
        <w:rPr>
          <w:szCs w:val="22"/>
        </w:rPr>
        <w:t xml:space="preserve">  Application stores offer thousands of applications that can be downloaded to mobile devices that have mobile broadband connections.  By </w:t>
      </w:r>
      <w:r>
        <w:rPr>
          <w:szCs w:val="22"/>
        </w:rPr>
        <w:t>September</w:t>
      </w:r>
      <w:r w:rsidRPr="00B53FFB">
        <w:rPr>
          <w:szCs w:val="22"/>
        </w:rPr>
        <w:t xml:space="preserve"> 2012, there were more than </w:t>
      </w:r>
      <w:r>
        <w:rPr>
          <w:szCs w:val="22"/>
        </w:rPr>
        <w:t>7</w:t>
      </w:r>
      <w:r w:rsidRPr="00B53FFB">
        <w:rPr>
          <w:szCs w:val="22"/>
        </w:rPr>
        <w:t>00,000 applications available from the Apple App Store for the Apple iOS, a number that nearly doubled in less than a year.</w:t>
      </w:r>
      <w:r w:rsidRPr="00B53FFB">
        <w:rPr>
          <w:szCs w:val="22"/>
          <w:vertAlign w:val="superscript"/>
        </w:rPr>
        <w:footnoteReference w:id="37"/>
      </w:r>
      <w:r w:rsidRPr="00B53FFB">
        <w:rPr>
          <w:szCs w:val="22"/>
        </w:rPr>
        <w:t xml:space="preserve">   The total number of applications downloaded from Apple’s App Store grew from 100,000 in 2008 to 25 billion in </w:t>
      </w:r>
      <w:r>
        <w:rPr>
          <w:szCs w:val="22"/>
        </w:rPr>
        <w:t xml:space="preserve">March </w:t>
      </w:r>
      <w:r w:rsidRPr="00B53FFB">
        <w:rPr>
          <w:szCs w:val="22"/>
        </w:rPr>
        <w:t xml:space="preserve">2012.  By </w:t>
      </w:r>
      <w:r>
        <w:rPr>
          <w:szCs w:val="22"/>
        </w:rPr>
        <w:t>October</w:t>
      </w:r>
      <w:r w:rsidRPr="00B53FFB">
        <w:rPr>
          <w:szCs w:val="22"/>
        </w:rPr>
        <w:t xml:space="preserve"> 2012, Google Play for the Android operating system offered over </w:t>
      </w:r>
      <w:r>
        <w:rPr>
          <w:szCs w:val="22"/>
        </w:rPr>
        <w:t>675</w:t>
      </w:r>
      <w:r w:rsidRPr="00B53FFB">
        <w:rPr>
          <w:szCs w:val="22"/>
        </w:rPr>
        <w:t xml:space="preserve">,000 applications and had more than </w:t>
      </w:r>
      <w:r>
        <w:rPr>
          <w:szCs w:val="22"/>
        </w:rPr>
        <w:t>25</w:t>
      </w:r>
      <w:r w:rsidRPr="00B53FFB">
        <w:rPr>
          <w:szCs w:val="22"/>
        </w:rPr>
        <w:t xml:space="preserve"> billion total downloads. </w:t>
      </w:r>
      <w:r>
        <w:rPr>
          <w:szCs w:val="22"/>
        </w:rPr>
        <w:t xml:space="preserve"> </w:t>
      </w:r>
      <w:r w:rsidRPr="00B53FFB">
        <w:rPr>
          <w:szCs w:val="22"/>
        </w:rPr>
        <w:t xml:space="preserve">The major categories of applications include: web searching, news and information, e-mail and messaging, games, social networking, location-based services, photo sharing, music and video streaming, and VoIP.  In addition, thousands of niche applications have been designed for specific uses, </w:t>
      </w:r>
      <w:r w:rsidRPr="00B53FFB">
        <w:rPr>
          <w:szCs w:val="22"/>
        </w:rPr>
        <w:lastRenderedPageBreak/>
        <w:t>hobbies, interests, and industries by various third-party application developers.</w:t>
      </w:r>
    </w:p>
    <w:p w:rsidR="004A147C" w:rsidRPr="00B53FFB" w:rsidRDefault="004A147C" w:rsidP="00CE5850">
      <w:pPr>
        <w:rPr>
          <w:szCs w:val="22"/>
        </w:rPr>
      </w:pPr>
    </w:p>
    <w:p w:rsidR="004A147C" w:rsidRPr="00B53FFB" w:rsidRDefault="004A147C" w:rsidP="00CE5850">
      <w:pPr>
        <w:spacing w:before="120" w:after="120"/>
        <w:jc w:val="center"/>
        <w:rPr>
          <w:b/>
          <w:bCs/>
          <w:kern w:val="0"/>
          <w:szCs w:val="22"/>
        </w:rPr>
      </w:pPr>
      <w:r w:rsidRPr="00B53FFB">
        <w:rPr>
          <w:b/>
          <w:bCs/>
          <w:kern w:val="0"/>
          <w:szCs w:val="22"/>
        </w:rPr>
        <w:t xml:space="preserve">Estimated </w:t>
      </w:r>
      <w:r>
        <w:rPr>
          <w:b/>
          <w:bCs/>
          <w:kern w:val="0"/>
          <w:szCs w:val="22"/>
        </w:rPr>
        <w:t xml:space="preserve">Number of </w:t>
      </w:r>
      <w:r w:rsidRPr="00B53FFB">
        <w:rPr>
          <w:b/>
          <w:bCs/>
          <w:kern w:val="0"/>
          <w:szCs w:val="22"/>
        </w:rPr>
        <w:t xml:space="preserve">Applications Available, </w:t>
      </w:r>
      <w:r>
        <w:rPr>
          <w:b/>
          <w:bCs/>
          <w:kern w:val="0"/>
          <w:szCs w:val="22"/>
        </w:rPr>
        <w:t>2010-2012</w:t>
      </w:r>
    </w:p>
    <w:tbl>
      <w:tblPr>
        <w:tblW w:w="9720" w:type="dxa"/>
        <w:tblInd w:w="-1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556"/>
        <w:gridCol w:w="2574"/>
        <w:gridCol w:w="2574"/>
        <w:gridCol w:w="2016"/>
      </w:tblGrid>
      <w:tr w:rsidR="004A147C" w:rsidRPr="00B53FFB" w:rsidTr="00425564">
        <w:tc>
          <w:tcPr>
            <w:tcW w:w="2556" w:type="dxa"/>
          </w:tcPr>
          <w:p w:rsidR="004A147C" w:rsidRPr="00B53FFB" w:rsidRDefault="004A147C" w:rsidP="00CE5850">
            <w:pPr>
              <w:jc w:val="center"/>
              <w:rPr>
                <w:b/>
                <w:szCs w:val="22"/>
              </w:rPr>
            </w:pPr>
            <w:r w:rsidRPr="00B53FFB">
              <w:rPr>
                <w:b/>
                <w:szCs w:val="22"/>
              </w:rPr>
              <w:t>Application Store</w:t>
            </w:r>
          </w:p>
        </w:tc>
        <w:tc>
          <w:tcPr>
            <w:tcW w:w="2574" w:type="dxa"/>
          </w:tcPr>
          <w:p w:rsidR="004A147C" w:rsidRPr="00B53FFB" w:rsidRDefault="004A147C" w:rsidP="00CE5850">
            <w:pPr>
              <w:jc w:val="center"/>
              <w:rPr>
                <w:b/>
                <w:szCs w:val="22"/>
              </w:rPr>
            </w:pPr>
            <w:r w:rsidRPr="00B53FFB">
              <w:rPr>
                <w:b/>
                <w:szCs w:val="22"/>
              </w:rPr>
              <w:t>2010</w:t>
            </w:r>
          </w:p>
        </w:tc>
        <w:tc>
          <w:tcPr>
            <w:tcW w:w="2574" w:type="dxa"/>
          </w:tcPr>
          <w:p w:rsidR="004A147C" w:rsidRPr="00B53FFB" w:rsidRDefault="004A147C" w:rsidP="00CE5850">
            <w:pPr>
              <w:jc w:val="center"/>
              <w:rPr>
                <w:b/>
                <w:szCs w:val="22"/>
              </w:rPr>
            </w:pPr>
            <w:r w:rsidRPr="00B53FFB">
              <w:rPr>
                <w:b/>
                <w:szCs w:val="22"/>
              </w:rPr>
              <w:t>2011</w:t>
            </w:r>
          </w:p>
        </w:tc>
        <w:tc>
          <w:tcPr>
            <w:tcW w:w="2016" w:type="dxa"/>
          </w:tcPr>
          <w:p w:rsidR="004A147C" w:rsidRPr="00B53FFB" w:rsidRDefault="004A147C" w:rsidP="00CE5850">
            <w:pPr>
              <w:jc w:val="center"/>
              <w:rPr>
                <w:b/>
                <w:szCs w:val="22"/>
              </w:rPr>
            </w:pPr>
            <w:r w:rsidRPr="00B53FFB">
              <w:rPr>
                <w:b/>
                <w:szCs w:val="22"/>
              </w:rPr>
              <w:t>2012</w:t>
            </w:r>
          </w:p>
        </w:tc>
      </w:tr>
      <w:tr w:rsidR="004A147C" w:rsidRPr="00B53FFB" w:rsidTr="00915968">
        <w:trPr>
          <w:trHeight w:val="368"/>
        </w:trPr>
        <w:tc>
          <w:tcPr>
            <w:tcW w:w="2556" w:type="dxa"/>
          </w:tcPr>
          <w:p w:rsidR="004A147C" w:rsidRPr="00B53FFB" w:rsidRDefault="004A147C" w:rsidP="00CE5850">
            <w:pPr>
              <w:jc w:val="center"/>
              <w:rPr>
                <w:szCs w:val="22"/>
              </w:rPr>
            </w:pPr>
            <w:r w:rsidRPr="00B53FFB">
              <w:rPr>
                <w:szCs w:val="22"/>
              </w:rPr>
              <w:t>Apple App Store</w:t>
            </w:r>
          </w:p>
        </w:tc>
        <w:tc>
          <w:tcPr>
            <w:tcW w:w="2574" w:type="dxa"/>
          </w:tcPr>
          <w:p w:rsidR="004A147C" w:rsidRPr="00B53FFB" w:rsidRDefault="004A147C" w:rsidP="00CE5850">
            <w:pPr>
              <w:jc w:val="center"/>
              <w:rPr>
                <w:szCs w:val="22"/>
              </w:rPr>
            </w:pPr>
            <w:r w:rsidRPr="00B53FFB">
              <w:rPr>
                <w:szCs w:val="22"/>
              </w:rPr>
              <w:t>250,000</w:t>
            </w:r>
          </w:p>
        </w:tc>
        <w:tc>
          <w:tcPr>
            <w:tcW w:w="2574" w:type="dxa"/>
          </w:tcPr>
          <w:p w:rsidR="004A147C" w:rsidRPr="00B53FFB" w:rsidRDefault="004A147C" w:rsidP="00CE5850">
            <w:pPr>
              <w:jc w:val="center"/>
              <w:rPr>
                <w:szCs w:val="22"/>
              </w:rPr>
            </w:pPr>
            <w:r w:rsidRPr="00B53FFB">
              <w:rPr>
                <w:szCs w:val="22"/>
              </w:rPr>
              <w:t>425,000</w:t>
            </w:r>
          </w:p>
        </w:tc>
        <w:tc>
          <w:tcPr>
            <w:tcW w:w="2016" w:type="dxa"/>
          </w:tcPr>
          <w:p w:rsidR="004A147C" w:rsidRPr="00B53FFB" w:rsidRDefault="004A147C" w:rsidP="00CE5850">
            <w:pPr>
              <w:jc w:val="center"/>
              <w:rPr>
                <w:szCs w:val="22"/>
              </w:rPr>
            </w:pPr>
            <w:r>
              <w:rPr>
                <w:szCs w:val="22"/>
              </w:rPr>
              <w:t>7</w:t>
            </w:r>
            <w:r w:rsidRPr="00B53FFB">
              <w:rPr>
                <w:szCs w:val="22"/>
              </w:rPr>
              <w:t>00,000</w:t>
            </w:r>
          </w:p>
        </w:tc>
      </w:tr>
      <w:tr w:rsidR="004A147C" w:rsidRPr="00B53FFB" w:rsidTr="00425564">
        <w:tc>
          <w:tcPr>
            <w:tcW w:w="2556" w:type="dxa"/>
          </w:tcPr>
          <w:p w:rsidR="004A147C" w:rsidRPr="00B53FFB" w:rsidRDefault="004A147C" w:rsidP="00CE5850">
            <w:pPr>
              <w:jc w:val="center"/>
              <w:rPr>
                <w:szCs w:val="22"/>
              </w:rPr>
            </w:pPr>
            <w:r w:rsidRPr="00B53FFB">
              <w:rPr>
                <w:szCs w:val="22"/>
              </w:rPr>
              <w:t>Google Play</w:t>
            </w:r>
          </w:p>
        </w:tc>
        <w:tc>
          <w:tcPr>
            <w:tcW w:w="2574" w:type="dxa"/>
          </w:tcPr>
          <w:p w:rsidR="004A147C" w:rsidRPr="00B53FFB" w:rsidRDefault="004A147C" w:rsidP="00CE5850">
            <w:pPr>
              <w:jc w:val="center"/>
              <w:rPr>
                <w:szCs w:val="22"/>
              </w:rPr>
            </w:pPr>
            <w:r w:rsidRPr="00B53FFB">
              <w:rPr>
                <w:szCs w:val="22"/>
              </w:rPr>
              <w:t>80,000</w:t>
            </w:r>
          </w:p>
        </w:tc>
        <w:tc>
          <w:tcPr>
            <w:tcW w:w="2574" w:type="dxa"/>
          </w:tcPr>
          <w:p w:rsidR="004A147C" w:rsidRPr="00B53FFB" w:rsidRDefault="004A147C" w:rsidP="00CE5850">
            <w:pPr>
              <w:jc w:val="center"/>
              <w:rPr>
                <w:szCs w:val="22"/>
              </w:rPr>
            </w:pPr>
            <w:r w:rsidRPr="00B53FFB">
              <w:rPr>
                <w:szCs w:val="22"/>
              </w:rPr>
              <w:t>200,000</w:t>
            </w:r>
          </w:p>
        </w:tc>
        <w:tc>
          <w:tcPr>
            <w:tcW w:w="2016" w:type="dxa"/>
          </w:tcPr>
          <w:p w:rsidR="004A147C" w:rsidRPr="00B53FFB" w:rsidRDefault="004A147C" w:rsidP="00CE5850">
            <w:pPr>
              <w:jc w:val="center"/>
              <w:rPr>
                <w:szCs w:val="22"/>
              </w:rPr>
            </w:pPr>
            <w:r w:rsidRPr="00915968">
              <w:rPr>
                <w:szCs w:val="22"/>
              </w:rPr>
              <w:t>675,000</w:t>
            </w:r>
          </w:p>
        </w:tc>
      </w:tr>
      <w:tr w:rsidR="004A147C" w:rsidRPr="00B53FFB" w:rsidTr="00425564">
        <w:tc>
          <w:tcPr>
            <w:tcW w:w="2556" w:type="dxa"/>
          </w:tcPr>
          <w:p w:rsidR="004A147C" w:rsidRPr="00B53FFB" w:rsidRDefault="004A147C" w:rsidP="00CE5850">
            <w:pPr>
              <w:jc w:val="center"/>
              <w:rPr>
                <w:szCs w:val="22"/>
              </w:rPr>
            </w:pPr>
            <w:r w:rsidRPr="00B53FFB">
              <w:rPr>
                <w:szCs w:val="22"/>
              </w:rPr>
              <w:t>Blackberry App World</w:t>
            </w:r>
          </w:p>
        </w:tc>
        <w:tc>
          <w:tcPr>
            <w:tcW w:w="2574" w:type="dxa"/>
          </w:tcPr>
          <w:p w:rsidR="004A147C" w:rsidRPr="00B53FFB" w:rsidRDefault="004A147C" w:rsidP="00CE5850">
            <w:pPr>
              <w:jc w:val="center"/>
              <w:rPr>
                <w:szCs w:val="22"/>
              </w:rPr>
            </w:pPr>
            <w:r w:rsidRPr="00B53FFB">
              <w:rPr>
                <w:szCs w:val="22"/>
              </w:rPr>
              <w:t>12,000</w:t>
            </w:r>
          </w:p>
        </w:tc>
        <w:tc>
          <w:tcPr>
            <w:tcW w:w="2574" w:type="dxa"/>
          </w:tcPr>
          <w:p w:rsidR="004A147C" w:rsidRPr="00B53FFB" w:rsidRDefault="004A147C" w:rsidP="00CE5850">
            <w:pPr>
              <w:jc w:val="center"/>
              <w:rPr>
                <w:szCs w:val="22"/>
              </w:rPr>
            </w:pPr>
            <w:r w:rsidRPr="00B53FFB">
              <w:rPr>
                <w:szCs w:val="22"/>
              </w:rPr>
              <w:t>50,000</w:t>
            </w:r>
          </w:p>
        </w:tc>
        <w:tc>
          <w:tcPr>
            <w:tcW w:w="2016" w:type="dxa"/>
          </w:tcPr>
          <w:p w:rsidR="004A147C" w:rsidRPr="00B53FFB" w:rsidRDefault="004A147C" w:rsidP="00CE5850">
            <w:pPr>
              <w:jc w:val="center"/>
              <w:rPr>
                <w:szCs w:val="22"/>
              </w:rPr>
            </w:pPr>
            <w:r w:rsidRPr="00B53FFB">
              <w:rPr>
                <w:szCs w:val="22"/>
              </w:rPr>
              <w:t>70,000</w:t>
            </w:r>
          </w:p>
        </w:tc>
      </w:tr>
      <w:tr w:rsidR="004A147C" w:rsidRPr="00B53FFB" w:rsidTr="00425564">
        <w:tc>
          <w:tcPr>
            <w:tcW w:w="2556" w:type="dxa"/>
          </w:tcPr>
          <w:p w:rsidR="004A147C" w:rsidRPr="00B53FFB" w:rsidRDefault="004A147C" w:rsidP="00CE5850">
            <w:pPr>
              <w:jc w:val="center"/>
              <w:rPr>
                <w:szCs w:val="22"/>
              </w:rPr>
            </w:pPr>
            <w:r w:rsidRPr="00B53FFB">
              <w:rPr>
                <w:szCs w:val="22"/>
              </w:rPr>
              <w:t>Nokia Ovi Store</w:t>
            </w:r>
          </w:p>
        </w:tc>
        <w:tc>
          <w:tcPr>
            <w:tcW w:w="2574" w:type="dxa"/>
          </w:tcPr>
          <w:p w:rsidR="004A147C" w:rsidRPr="00B53FFB" w:rsidRDefault="004A147C" w:rsidP="00CE5850">
            <w:pPr>
              <w:jc w:val="center"/>
              <w:rPr>
                <w:szCs w:val="22"/>
              </w:rPr>
            </w:pPr>
            <w:r w:rsidRPr="00B53FFB">
              <w:rPr>
                <w:szCs w:val="22"/>
              </w:rPr>
              <w:t>13,000</w:t>
            </w:r>
          </w:p>
        </w:tc>
        <w:tc>
          <w:tcPr>
            <w:tcW w:w="2574" w:type="dxa"/>
          </w:tcPr>
          <w:p w:rsidR="004A147C" w:rsidRPr="00B53FFB" w:rsidRDefault="004A147C" w:rsidP="00CE5850">
            <w:pPr>
              <w:jc w:val="center"/>
              <w:rPr>
                <w:szCs w:val="22"/>
              </w:rPr>
            </w:pPr>
            <w:r w:rsidRPr="00B53FFB">
              <w:rPr>
                <w:szCs w:val="22"/>
              </w:rPr>
              <w:t>30,000</w:t>
            </w:r>
          </w:p>
        </w:tc>
        <w:tc>
          <w:tcPr>
            <w:tcW w:w="2016" w:type="dxa"/>
          </w:tcPr>
          <w:p w:rsidR="004A147C" w:rsidRPr="00B53FFB" w:rsidRDefault="004A147C" w:rsidP="00CE5850">
            <w:pPr>
              <w:jc w:val="center"/>
              <w:rPr>
                <w:szCs w:val="22"/>
              </w:rPr>
            </w:pPr>
            <w:r w:rsidRPr="00B53FFB">
              <w:rPr>
                <w:szCs w:val="22"/>
              </w:rPr>
              <w:t>50,000</w:t>
            </w:r>
          </w:p>
        </w:tc>
      </w:tr>
      <w:tr w:rsidR="004A147C" w:rsidRPr="00B53FFB" w:rsidTr="00425564">
        <w:tc>
          <w:tcPr>
            <w:tcW w:w="2556" w:type="dxa"/>
          </w:tcPr>
          <w:p w:rsidR="004A147C" w:rsidRPr="00B53FFB" w:rsidRDefault="004A147C" w:rsidP="00CE5850">
            <w:pPr>
              <w:jc w:val="center"/>
              <w:rPr>
                <w:szCs w:val="22"/>
              </w:rPr>
            </w:pPr>
            <w:r w:rsidRPr="00B53FFB">
              <w:rPr>
                <w:szCs w:val="22"/>
              </w:rPr>
              <w:t>Windows Mobile Marketplace</w:t>
            </w:r>
          </w:p>
        </w:tc>
        <w:tc>
          <w:tcPr>
            <w:tcW w:w="2574" w:type="dxa"/>
          </w:tcPr>
          <w:p w:rsidR="004A147C" w:rsidRPr="00B53FFB" w:rsidRDefault="004A147C" w:rsidP="00CE5850">
            <w:pPr>
              <w:jc w:val="center"/>
              <w:rPr>
                <w:szCs w:val="22"/>
              </w:rPr>
            </w:pPr>
            <w:r w:rsidRPr="00B53FFB">
              <w:rPr>
                <w:szCs w:val="22"/>
              </w:rPr>
              <w:t>1,350</w:t>
            </w:r>
          </w:p>
        </w:tc>
        <w:tc>
          <w:tcPr>
            <w:tcW w:w="2574" w:type="dxa"/>
          </w:tcPr>
          <w:p w:rsidR="004A147C" w:rsidRPr="00B53FFB" w:rsidRDefault="004A147C" w:rsidP="00CE5850">
            <w:pPr>
              <w:jc w:val="center"/>
              <w:rPr>
                <w:szCs w:val="22"/>
              </w:rPr>
            </w:pPr>
            <w:r w:rsidRPr="00B53FFB">
              <w:rPr>
                <w:szCs w:val="22"/>
              </w:rPr>
              <w:t>20,000</w:t>
            </w:r>
          </w:p>
        </w:tc>
        <w:tc>
          <w:tcPr>
            <w:tcW w:w="2016" w:type="dxa"/>
          </w:tcPr>
          <w:p w:rsidR="004A147C" w:rsidRPr="00B53FFB" w:rsidRDefault="004A147C" w:rsidP="00CE5850">
            <w:pPr>
              <w:jc w:val="center"/>
              <w:rPr>
                <w:szCs w:val="22"/>
              </w:rPr>
            </w:pPr>
            <w:r w:rsidRPr="00B53FFB">
              <w:rPr>
                <w:szCs w:val="22"/>
              </w:rPr>
              <w:t>30,000</w:t>
            </w:r>
          </w:p>
        </w:tc>
      </w:tr>
    </w:tbl>
    <w:p w:rsidR="004A147C" w:rsidRPr="00B53FFB" w:rsidRDefault="004A147C" w:rsidP="00CE5850">
      <w:pPr>
        <w:rPr>
          <w:szCs w:val="22"/>
        </w:rPr>
      </w:pPr>
    </w:p>
    <w:p w:rsidR="004A147C" w:rsidRPr="00B53FFB" w:rsidRDefault="004A147C" w:rsidP="00CE5850">
      <w:pPr>
        <w:rPr>
          <w:szCs w:val="22"/>
        </w:rPr>
      </w:pPr>
    </w:p>
    <w:p w:rsidR="004A147C" w:rsidRPr="00B53FFB" w:rsidRDefault="004A147C" w:rsidP="00CE5850">
      <w:pPr>
        <w:spacing w:after="120"/>
        <w:rPr>
          <w:b/>
          <w:szCs w:val="22"/>
          <w:u w:val="single"/>
        </w:rPr>
      </w:pPr>
      <w:r w:rsidRPr="00B53FFB">
        <w:rPr>
          <w:b/>
          <w:szCs w:val="22"/>
          <w:u w:val="single"/>
        </w:rPr>
        <w:t>Intermodal Competition</w:t>
      </w:r>
    </w:p>
    <w:p w:rsidR="004A147C" w:rsidRPr="00B53FFB" w:rsidRDefault="004A147C" w:rsidP="00CE5850">
      <w:pPr>
        <w:rPr>
          <w:szCs w:val="22"/>
        </w:rPr>
      </w:pPr>
      <w:r w:rsidRPr="00B53FFB">
        <w:rPr>
          <w:szCs w:val="22"/>
        </w:rPr>
        <w:t>The number of adults who rely exclusively on mobile wireless for voice service has increased significantly in recent years.  According to the National Health Interview Survey (NHIS), approximately 32.3 percent of all adults in the U.S. lived in wireless-only households during the second half of 2011.</w:t>
      </w:r>
      <w:r w:rsidRPr="00B53FFB">
        <w:rPr>
          <w:szCs w:val="22"/>
          <w:vertAlign w:val="superscript"/>
        </w:rPr>
        <w:footnoteReference w:id="38"/>
      </w:r>
      <w:r w:rsidRPr="00B53FFB">
        <w:rPr>
          <w:szCs w:val="22"/>
        </w:rPr>
        <w:t xml:space="preserve">  This compares to 27.8 percent of all adults in the second half of 2010 and 22.9 percent in the second half of 2009.</w:t>
      </w:r>
      <w:r w:rsidRPr="00B53FFB">
        <w:rPr>
          <w:szCs w:val="22"/>
          <w:vertAlign w:val="superscript"/>
        </w:rPr>
        <w:footnoteReference w:id="39"/>
      </w:r>
      <w:r w:rsidRPr="00B53FFB">
        <w:rPr>
          <w:szCs w:val="22"/>
        </w:rPr>
        <w:t xml:space="preserve">  The percentage of households that are wireless-only has been steadily increasing as well. </w:t>
      </w:r>
      <w:r>
        <w:rPr>
          <w:szCs w:val="22"/>
        </w:rPr>
        <w:t xml:space="preserve"> </w:t>
      </w:r>
      <w:r w:rsidRPr="00B53FFB">
        <w:rPr>
          <w:szCs w:val="22"/>
        </w:rPr>
        <w:t>As of the second half of 2011, just over one-third, or approximately 34 percent, of all U.S. households were wireless only, up from 29.7 percent in the second of 2010 and 24.5 percent in the second half of 2009.</w:t>
      </w:r>
      <w:r w:rsidRPr="00B53FFB">
        <w:rPr>
          <w:szCs w:val="22"/>
          <w:vertAlign w:val="superscript"/>
        </w:rPr>
        <w:footnoteReference w:id="40"/>
      </w:r>
    </w:p>
    <w:p w:rsidR="004A147C" w:rsidRPr="00B53FFB" w:rsidRDefault="004A147C" w:rsidP="00CE5850">
      <w:pPr>
        <w:rPr>
          <w:szCs w:val="22"/>
        </w:rPr>
      </w:pPr>
    </w:p>
    <w:p w:rsidR="004A147C" w:rsidRPr="00B53FFB" w:rsidRDefault="004A147C" w:rsidP="00CE5850">
      <w:pPr>
        <w:rPr>
          <w:szCs w:val="22"/>
        </w:rPr>
      </w:pPr>
      <w:r w:rsidRPr="00B53FFB">
        <w:rPr>
          <w:szCs w:val="22"/>
        </w:rPr>
        <w:t>Approximately half of all adults aged 18-24 and aged 30-34 lived in wireless-only households, while nearly 60 percent of adults aged 25-29 did so.</w:t>
      </w:r>
      <w:r w:rsidRPr="00B53FFB">
        <w:rPr>
          <w:szCs w:val="22"/>
          <w:vertAlign w:val="superscript"/>
        </w:rPr>
        <w:footnoteReference w:id="41"/>
      </w:r>
      <w:r w:rsidRPr="00B53FFB">
        <w:rPr>
          <w:szCs w:val="22"/>
        </w:rPr>
        <w:t xml:space="preserve">  The percentage of adults living in households with only wireless telephones decreased as age increased beyond 35 years.</w:t>
      </w:r>
      <w:r w:rsidRPr="00B53FFB">
        <w:rPr>
          <w:szCs w:val="22"/>
          <w:vertAlign w:val="superscript"/>
          <w:lang w:bidi="he-IL"/>
        </w:rPr>
        <w:footnoteReference w:id="42"/>
      </w:r>
      <w:r w:rsidRPr="00B53FFB">
        <w:rPr>
          <w:szCs w:val="22"/>
        </w:rPr>
        <w:t xml:space="preserve"> Nevertheless, the percentage of older adults living in wireless-only households has been gradually increasing over time.  The percentage of 35- to 44-year-olds that are wireless only rose from 23.9 percent in the second half of 2009 to 36.8 percent in the second half of 2011, while the percentage of 45- to 64-year-olds that are wireless only rose from 14.9 percent to 23.8 percent during the same period.</w:t>
      </w:r>
      <w:r w:rsidRPr="00B53FFB">
        <w:rPr>
          <w:szCs w:val="22"/>
          <w:vertAlign w:val="superscript"/>
        </w:rPr>
        <w:footnoteReference w:id="43"/>
      </w:r>
      <w:r w:rsidRPr="00B53FFB">
        <w:rPr>
          <w:szCs w:val="22"/>
        </w:rPr>
        <w:t xml:space="preserve">   </w:t>
      </w:r>
    </w:p>
    <w:p w:rsidR="004A147C" w:rsidRPr="00B53FFB" w:rsidRDefault="004A147C" w:rsidP="00CE5850">
      <w:pPr>
        <w:spacing w:before="120" w:after="120"/>
        <w:jc w:val="center"/>
        <w:rPr>
          <w:b/>
          <w:bCs/>
          <w:kern w:val="0"/>
          <w:szCs w:val="22"/>
        </w:rPr>
      </w:pPr>
      <w:r w:rsidRPr="00B53FFB">
        <w:rPr>
          <w:b/>
          <w:bCs/>
          <w:kern w:val="0"/>
          <w:szCs w:val="22"/>
        </w:rPr>
        <w:lastRenderedPageBreak/>
        <w:t>Wireless-Only Households, 2003-201</w:t>
      </w:r>
      <w:r>
        <w:rPr>
          <w:b/>
          <w:bCs/>
          <w:kern w:val="0"/>
          <w:szCs w:val="22"/>
        </w:rPr>
        <w:t>2</w:t>
      </w:r>
      <w:r w:rsidRPr="00B53FFB">
        <w:rPr>
          <w:bCs/>
          <w:kern w:val="0"/>
          <w:szCs w:val="22"/>
          <w:vertAlign w:val="superscript"/>
        </w:rPr>
        <w:footnoteReference w:id="44"/>
      </w:r>
    </w:p>
    <w:p w:rsidR="004A147C" w:rsidRPr="00B53FFB" w:rsidRDefault="00C81B24" w:rsidP="00CE5850">
      <w:pPr>
        <w:jc w:val="center"/>
        <w:rPr>
          <w:szCs w:val="22"/>
        </w:rPr>
      </w:pPr>
      <w:r>
        <w:rPr>
          <w:noProof/>
          <w:szCs w:val="22"/>
        </w:rPr>
        <w:drawing>
          <wp:inline distT="0" distB="0" distL="0" distR="0" wp14:anchorId="6E50F5D6" wp14:editId="32F41605">
            <wp:extent cx="4324350" cy="3228975"/>
            <wp:effectExtent l="0" t="0" r="0" b="952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324350" cy="3228975"/>
                    </a:xfrm>
                    <a:prstGeom prst="rect">
                      <a:avLst/>
                    </a:prstGeom>
                    <a:noFill/>
                    <a:ln>
                      <a:noFill/>
                    </a:ln>
                  </pic:spPr>
                </pic:pic>
              </a:graphicData>
            </a:graphic>
          </wp:inline>
        </w:drawing>
      </w:r>
    </w:p>
    <w:p w:rsidR="004A147C" w:rsidRPr="00B53FFB" w:rsidRDefault="004A147C" w:rsidP="00CE5850">
      <w:pPr>
        <w:rPr>
          <w:szCs w:val="22"/>
        </w:rPr>
      </w:pPr>
    </w:p>
    <w:p w:rsidR="004A147C" w:rsidRPr="00B53FFB" w:rsidRDefault="004A147C" w:rsidP="00CE5850">
      <w:pPr>
        <w:rPr>
          <w:szCs w:val="22"/>
        </w:rPr>
      </w:pPr>
      <w:r w:rsidRPr="00B53FFB">
        <w:rPr>
          <w:szCs w:val="22"/>
        </w:rPr>
        <w:t xml:space="preserve">Mobile wireless connections represented approximately 62 percent of the 230.4 million data connections with speeds exceeding 200 kbps in the United States in December 2011.  In addition, at the end of 2011, there were an estimated 184 million mobile devices in use capable of sending or receiving information at speeds exceeding 200 kbps in at least one direction, up from an estimated 152 million at the end of 2010. </w:t>
      </w:r>
    </w:p>
    <w:p w:rsidR="004A147C" w:rsidRPr="00B53FFB" w:rsidRDefault="004A147C" w:rsidP="00CE5850">
      <w:pPr>
        <w:rPr>
          <w:szCs w:val="22"/>
        </w:rPr>
      </w:pPr>
    </w:p>
    <w:p w:rsidR="004A147C" w:rsidRPr="00B53FFB" w:rsidRDefault="004A147C" w:rsidP="00CE5850">
      <w:pPr>
        <w:rPr>
          <w:szCs w:val="22"/>
        </w:rPr>
      </w:pPr>
      <w:r w:rsidRPr="00B53FFB">
        <w:rPr>
          <w:szCs w:val="22"/>
        </w:rPr>
        <w:t>The extent to which wireless broadband services can impose competitive discipline on wireline providers depends on many factors</w:t>
      </w:r>
      <w:r>
        <w:rPr>
          <w:szCs w:val="22"/>
        </w:rPr>
        <w:t>,</w:t>
      </w:r>
      <w:r w:rsidRPr="00B53FFB">
        <w:rPr>
          <w:szCs w:val="22"/>
        </w:rPr>
        <w:t xml:space="preserve"> including technologies, prices, consumer preferences, and the business strategies of providers that offer both wireless and wireline Internet access services.</w:t>
      </w:r>
      <w:r w:rsidRPr="00B53FFB">
        <w:rPr>
          <w:szCs w:val="22"/>
          <w:vertAlign w:val="superscript"/>
        </w:rPr>
        <w:footnoteReference w:id="45"/>
      </w:r>
      <w:r w:rsidRPr="00B53FFB">
        <w:rPr>
          <w:szCs w:val="22"/>
        </w:rPr>
        <w:t xml:space="preserve">  Mobile wireless Internet access service could provide an alternative to wireline service for consumers who are willing to trade speed for mobility, as well as consumers who are relatively indifferent with regard to the attributes, performance, and pricing of mobile and fixed platforms.</w:t>
      </w:r>
      <w:r w:rsidRPr="00B53FFB">
        <w:rPr>
          <w:szCs w:val="22"/>
          <w:vertAlign w:val="superscript"/>
        </w:rPr>
        <w:footnoteReference w:id="46"/>
      </w:r>
      <w:r w:rsidRPr="00B53FFB">
        <w:rPr>
          <w:szCs w:val="22"/>
        </w:rPr>
        <w:t xml:space="preserve">  </w:t>
      </w:r>
    </w:p>
    <w:p w:rsidR="004A147C" w:rsidRPr="00B53FFB" w:rsidRDefault="004A147C" w:rsidP="00CE5850">
      <w:pPr>
        <w:rPr>
          <w:b/>
          <w:color w:val="000000"/>
          <w:szCs w:val="22"/>
          <w:u w:val="single"/>
        </w:rPr>
      </w:pPr>
    </w:p>
    <w:p w:rsidR="004A147C" w:rsidRPr="00B53FFB" w:rsidRDefault="004A147C" w:rsidP="00CE5850">
      <w:pPr>
        <w:rPr>
          <w:b/>
          <w:color w:val="000000"/>
          <w:szCs w:val="22"/>
          <w:u w:val="single"/>
        </w:rPr>
      </w:pPr>
      <w:r w:rsidRPr="00B53FFB">
        <w:rPr>
          <w:b/>
          <w:color w:val="000000"/>
          <w:szCs w:val="22"/>
          <w:u w:val="single"/>
        </w:rPr>
        <w:t>Urban-Rural Comparisons</w:t>
      </w:r>
    </w:p>
    <w:p w:rsidR="004A147C" w:rsidRPr="00B53FFB" w:rsidRDefault="004A147C" w:rsidP="00CE5850">
      <w:pPr>
        <w:rPr>
          <w:b/>
          <w:color w:val="000000"/>
          <w:szCs w:val="22"/>
          <w:u w:val="single"/>
        </w:rPr>
      </w:pPr>
    </w:p>
    <w:p w:rsidR="004A147C" w:rsidRPr="00B53FFB" w:rsidRDefault="004A147C" w:rsidP="00CE5850">
      <w:pPr>
        <w:spacing w:after="120"/>
        <w:rPr>
          <w:szCs w:val="22"/>
        </w:rPr>
      </w:pPr>
      <w:r w:rsidRPr="00B53FFB">
        <w:rPr>
          <w:szCs w:val="22"/>
        </w:rPr>
        <w:t>Approximately 59 million people, or 19 percent of the U.S. population, live in rural counties</w:t>
      </w:r>
      <w:r w:rsidRPr="00B53FFB">
        <w:rPr>
          <w:szCs w:val="22"/>
          <w:vertAlign w:val="superscript"/>
        </w:rPr>
        <w:footnoteReference w:id="47"/>
      </w:r>
      <w:r w:rsidRPr="00B53FFB">
        <w:rPr>
          <w:szCs w:val="22"/>
        </w:rPr>
        <w:t xml:space="preserve">  </w:t>
      </w:r>
      <w:r w:rsidRPr="00B53FFB">
        <w:rPr>
          <w:szCs w:val="22"/>
        </w:rPr>
        <w:lastRenderedPageBreak/>
        <w:t>comprising 3.1 million square miles, or 86 percent of the geographic area of the United States.</w:t>
      </w:r>
      <w:r w:rsidRPr="00B53FFB">
        <w:rPr>
          <w:bCs/>
          <w:szCs w:val="22"/>
          <w:vertAlign w:val="superscript"/>
        </w:rPr>
        <w:footnoteReference w:id="48"/>
      </w:r>
      <w:r w:rsidRPr="00B53FFB">
        <w:rPr>
          <w:szCs w:val="22"/>
        </w:rPr>
        <w:t xml:space="preserve">  In addition, approximately 81 percent of the U.S. population lives on 15 percent of the land, while 19 percent live on the remaining 85 percent of the land.</w:t>
      </w:r>
    </w:p>
    <w:p w:rsidR="004A147C" w:rsidRPr="00B53FFB" w:rsidRDefault="004A147C" w:rsidP="00CE5850">
      <w:pPr>
        <w:spacing w:before="120"/>
        <w:jc w:val="center"/>
        <w:rPr>
          <w:b/>
          <w:bCs/>
          <w:kern w:val="0"/>
          <w:szCs w:val="22"/>
        </w:rPr>
      </w:pPr>
      <w:r w:rsidRPr="00B53FFB">
        <w:rPr>
          <w:b/>
          <w:bCs/>
          <w:kern w:val="0"/>
          <w:szCs w:val="22"/>
        </w:rPr>
        <w:t>County Density in the United States</w:t>
      </w:r>
      <w:r w:rsidRPr="00B53FFB">
        <w:rPr>
          <w:bCs/>
          <w:kern w:val="0"/>
          <w:szCs w:val="22"/>
          <w:vertAlign w:val="superscript"/>
        </w:rPr>
        <w:footnoteReference w:id="49"/>
      </w:r>
    </w:p>
    <w:p w:rsidR="004A147C" w:rsidRPr="00B53FFB" w:rsidRDefault="00C81B24" w:rsidP="00CE5850">
      <w:pPr>
        <w:spacing w:after="120"/>
        <w:rPr>
          <w:bCs/>
          <w:szCs w:val="22"/>
        </w:rPr>
      </w:pPr>
      <w:r>
        <w:rPr>
          <w:b/>
          <w:noProof/>
          <w:szCs w:val="22"/>
        </w:rPr>
        <w:drawing>
          <wp:inline distT="0" distB="0" distL="0" distR="0" wp14:anchorId="58FD7A48" wp14:editId="0F490C67">
            <wp:extent cx="5534025" cy="4895850"/>
            <wp:effectExtent l="0" t="0" r="9525" b="0"/>
            <wp:docPr id="21" name="Picture 21" descr="Description: County_Density_2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escription: County_Density_2010"/>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534025" cy="4895850"/>
                    </a:xfrm>
                    <a:prstGeom prst="rect">
                      <a:avLst/>
                    </a:prstGeom>
                    <a:noFill/>
                    <a:ln>
                      <a:noFill/>
                    </a:ln>
                  </pic:spPr>
                </pic:pic>
              </a:graphicData>
            </a:graphic>
          </wp:inline>
        </w:drawing>
      </w:r>
    </w:p>
    <w:p w:rsidR="004A147C" w:rsidRPr="00B53FFB" w:rsidRDefault="004A147C" w:rsidP="00CE5850">
      <w:pPr>
        <w:spacing w:after="120"/>
        <w:rPr>
          <w:szCs w:val="22"/>
        </w:rPr>
      </w:pPr>
      <w:r w:rsidRPr="00B53FFB">
        <w:rPr>
          <w:szCs w:val="22"/>
        </w:rPr>
        <w:t xml:space="preserve">Although mobile voice and mobile broadband network coverage in rural areas has improved since the </w:t>
      </w:r>
      <w:r w:rsidRPr="00B53FFB">
        <w:rPr>
          <w:i/>
          <w:szCs w:val="22"/>
        </w:rPr>
        <w:t>Fifteenth Report</w:t>
      </w:r>
      <w:r w:rsidRPr="00B53FFB">
        <w:rPr>
          <w:szCs w:val="22"/>
        </w:rPr>
        <w:t>, according to data from Mosaik Solutions (formerly American Roamer</w:t>
      </w:r>
      <w:r w:rsidRPr="00B53FFB">
        <w:rPr>
          <w:bCs/>
          <w:szCs w:val="22"/>
        </w:rPr>
        <w:t>)</w:t>
      </w:r>
      <w:r w:rsidRPr="00B53FFB">
        <w:rPr>
          <w:szCs w:val="22"/>
        </w:rPr>
        <w:t xml:space="preserve"> more than </w:t>
      </w:r>
      <w:r>
        <w:rPr>
          <w:szCs w:val="22"/>
        </w:rPr>
        <w:t>4</w:t>
      </w:r>
      <w:r w:rsidRPr="00B53FFB">
        <w:rPr>
          <w:szCs w:val="22"/>
        </w:rPr>
        <w:t>00,000 people in rural areas still had no mobile wireless voice coverage</w:t>
      </w:r>
      <w:r>
        <w:rPr>
          <w:szCs w:val="22"/>
        </w:rPr>
        <w:t xml:space="preserve"> </w:t>
      </w:r>
      <w:r w:rsidRPr="00B53FFB">
        <w:rPr>
          <w:szCs w:val="22"/>
        </w:rPr>
        <w:t xml:space="preserve">as of </w:t>
      </w:r>
      <w:r>
        <w:rPr>
          <w:szCs w:val="22"/>
        </w:rPr>
        <w:t>October</w:t>
      </w:r>
      <w:r w:rsidRPr="00B53FFB">
        <w:rPr>
          <w:szCs w:val="22"/>
        </w:rPr>
        <w:t xml:space="preserve"> 2012, and </w:t>
      </w:r>
      <w:r>
        <w:rPr>
          <w:szCs w:val="22"/>
        </w:rPr>
        <w:t>1</w:t>
      </w:r>
      <w:r w:rsidRPr="00B53FFB">
        <w:rPr>
          <w:szCs w:val="22"/>
        </w:rPr>
        <w:t>.</w:t>
      </w:r>
      <w:r>
        <w:rPr>
          <w:szCs w:val="22"/>
        </w:rPr>
        <w:t>3</w:t>
      </w:r>
      <w:r w:rsidRPr="00B53FFB">
        <w:rPr>
          <w:szCs w:val="22"/>
        </w:rPr>
        <w:t xml:space="preserve"> million lacked access to mobile broadband as of </w:t>
      </w:r>
      <w:r>
        <w:rPr>
          <w:szCs w:val="22"/>
        </w:rPr>
        <w:t>October</w:t>
      </w:r>
      <w:r w:rsidRPr="00B53FFB">
        <w:rPr>
          <w:szCs w:val="22"/>
        </w:rPr>
        <w:t xml:space="preserve"> 2012.</w:t>
      </w:r>
      <w:r w:rsidRPr="00B53FFB">
        <w:rPr>
          <w:bCs/>
          <w:szCs w:val="22"/>
          <w:vertAlign w:val="superscript"/>
        </w:rPr>
        <w:footnoteReference w:id="50"/>
      </w:r>
      <w:r w:rsidRPr="00B53FFB">
        <w:rPr>
          <w:bCs/>
          <w:szCs w:val="22"/>
        </w:rPr>
        <w:t xml:space="preserve">  </w:t>
      </w:r>
      <w:r w:rsidRPr="00B53FFB">
        <w:rPr>
          <w:szCs w:val="22"/>
        </w:rPr>
        <w:t>In addition while 99.3 percent of the rural population is covered by at least one mobile voice provider, and 96.</w:t>
      </w:r>
      <w:r>
        <w:rPr>
          <w:szCs w:val="22"/>
        </w:rPr>
        <w:t>6</w:t>
      </w:r>
      <w:r w:rsidRPr="00B53FFB">
        <w:rPr>
          <w:szCs w:val="22"/>
        </w:rPr>
        <w:t xml:space="preserve"> percent has coverage by at least two providers as of </w:t>
      </w:r>
      <w:r>
        <w:rPr>
          <w:szCs w:val="22"/>
        </w:rPr>
        <w:t>October</w:t>
      </w:r>
      <w:r w:rsidRPr="00B53FFB">
        <w:rPr>
          <w:szCs w:val="22"/>
        </w:rPr>
        <w:t xml:space="preserve"> 2012, there is a disparity in the percentage of rural and U.S. population covered by more than two mobile voice provider networks.  This disparity is even more pronounced when considering mobile broadband provider networks:  9</w:t>
      </w:r>
      <w:r>
        <w:rPr>
          <w:szCs w:val="22"/>
        </w:rPr>
        <w:t>7</w:t>
      </w:r>
      <w:r w:rsidRPr="00B53FFB">
        <w:rPr>
          <w:szCs w:val="22"/>
        </w:rPr>
        <w:t>.</w:t>
      </w:r>
      <w:r>
        <w:rPr>
          <w:szCs w:val="22"/>
        </w:rPr>
        <w:t>7</w:t>
      </w:r>
      <w:r w:rsidRPr="00B53FFB">
        <w:rPr>
          <w:szCs w:val="22"/>
        </w:rPr>
        <w:t xml:space="preserve"> percent of the total U.S. population in non-rural area is covered by three or more mobile broadband providers, compared to only </w:t>
      </w:r>
      <w:r>
        <w:rPr>
          <w:szCs w:val="22"/>
        </w:rPr>
        <w:t>65</w:t>
      </w:r>
      <w:r w:rsidRPr="00B53FFB">
        <w:rPr>
          <w:szCs w:val="22"/>
        </w:rPr>
        <w:t>.4 percent of the rural population.</w:t>
      </w:r>
    </w:p>
    <w:p w:rsidR="004A147C" w:rsidRPr="00B53FFB" w:rsidRDefault="004A147C" w:rsidP="00CE5850">
      <w:pPr>
        <w:spacing w:after="120"/>
        <w:rPr>
          <w:szCs w:val="22"/>
        </w:rPr>
      </w:pPr>
      <w:r w:rsidRPr="00B53FFB">
        <w:rPr>
          <w:szCs w:val="22"/>
        </w:rPr>
        <w:lastRenderedPageBreak/>
        <w:t>In addition, 6</w:t>
      </w:r>
      <w:r>
        <w:rPr>
          <w:szCs w:val="22"/>
        </w:rPr>
        <w:t>3</w:t>
      </w:r>
      <w:r w:rsidRPr="00B53FFB">
        <w:rPr>
          <w:szCs w:val="22"/>
        </w:rPr>
        <w:t>.</w:t>
      </w:r>
      <w:r>
        <w:rPr>
          <w:szCs w:val="22"/>
        </w:rPr>
        <w:t>6</w:t>
      </w:r>
      <w:r w:rsidRPr="00B53FFB">
        <w:rPr>
          <w:szCs w:val="22"/>
        </w:rPr>
        <w:t xml:space="preserve"> percent of rural square miles and </w:t>
      </w:r>
      <w:r>
        <w:rPr>
          <w:szCs w:val="22"/>
        </w:rPr>
        <w:t>8</w:t>
      </w:r>
      <w:r w:rsidRPr="00B53FFB">
        <w:rPr>
          <w:szCs w:val="22"/>
        </w:rPr>
        <w:t>7.</w:t>
      </w:r>
      <w:r>
        <w:rPr>
          <w:szCs w:val="22"/>
        </w:rPr>
        <w:t xml:space="preserve">3 </w:t>
      </w:r>
      <w:r w:rsidRPr="00B53FFB">
        <w:rPr>
          <w:szCs w:val="22"/>
        </w:rPr>
        <w:t xml:space="preserve">percent of rural road miles in the U.S. </w:t>
      </w:r>
      <w:r>
        <w:rPr>
          <w:szCs w:val="22"/>
        </w:rPr>
        <w:t>were</w:t>
      </w:r>
      <w:r w:rsidRPr="00B53FFB">
        <w:rPr>
          <w:szCs w:val="22"/>
        </w:rPr>
        <w:t xml:space="preserve"> covered by at least one broadband provider, while 90.</w:t>
      </w:r>
      <w:r>
        <w:rPr>
          <w:szCs w:val="22"/>
        </w:rPr>
        <w:t>9</w:t>
      </w:r>
      <w:r w:rsidRPr="00B53FFB">
        <w:rPr>
          <w:szCs w:val="22"/>
        </w:rPr>
        <w:t xml:space="preserve"> percent of non-rural square miles and 98.</w:t>
      </w:r>
      <w:r>
        <w:rPr>
          <w:szCs w:val="22"/>
        </w:rPr>
        <w:t>7</w:t>
      </w:r>
      <w:r w:rsidRPr="00B53FFB">
        <w:rPr>
          <w:szCs w:val="22"/>
        </w:rPr>
        <w:t xml:space="preserve"> percent of non-rural road miles </w:t>
      </w:r>
      <w:r>
        <w:rPr>
          <w:szCs w:val="22"/>
        </w:rPr>
        <w:t>were</w:t>
      </w:r>
      <w:r w:rsidRPr="00B53FFB">
        <w:rPr>
          <w:szCs w:val="22"/>
        </w:rPr>
        <w:t xml:space="preserve"> covered by at least one broadband providers.  </w:t>
      </w:r>
    </w:p>
    <w:p w:rsidR="004A147C" w:rsidRPr="00B53FFB" w:rsidRDefault="004A147C" w:rsidP="00CE5850">
      <w:pPr>
        <w:spacing w:after="120"/>
        <w:rPr>
          <w:szCs w:val="22"/>
        </w:rPr>
      </w:pPr>
      <w:r w:rsidRPr="00B53FFB">
        <w:rPr>
          <w:szCs w:val="22"/>
        </w:rPr>
        <w:t xml:space="preserve">For purposes of this </w:t>
      </w:r>
      <w:r w:rsidRPr="00B53FFB">
        <w:rPr>
          <w:i/>
          <w:szCs w:val="22"/>
        </w:rPr>
        <w:t>Report</w:t>
      </w:r>
      <w:r w:rsidRPr="00B53FFB">
        <w:rPr>
          <w:szCs w:val="22"/>
        </w:rPr>
        <w:t>, “mobile broadband” includes coverage and services offered using the following 3G and 4G technologies: EVDO, EVDO Rev A, WCDMA/HSPA, HSPA+, LTE, and mobile WiMAX.</w:t>
      </w:r>
      <w:r>
        <w:rPr>
          <w:rStyle w:val="FootnoteReference"/>
          <w:szCs w:val="22"/>
        </w:rPr>
        <w:footnoteReference w:id="51"/>
      </w:r>
      <w:r w:rsidRPr="00B53FFB">
        <w:rPr>
          <w:szCs w:val="22"/>
        </w:rPr>
        <w:t xml:space="preserve">  As stated earlier, these coverage data may not represent the number of choices actually available to consumers living in particular areas, as service providers provide network coverage in</w:t>
      </w:r>
      <w:r>
        <w:rPr>
          <w:szCs w:val="22"/>
        </w:rPr>
        <w:t xml:space="preserve"> certain</w:t>
      </w:r>
      <w:r w:rsidRPr="00B53FFB">
        <w:rPr>
          <w:szCs w:val="22"/>
        </w:rPr>
        <w:t xml:space="preserve"> areas to serve customers resident elsewhere.  </w:t>
      </w:r>
    </w:p>
    <w:p w:rsidR="004A147C" w:rsidRPr="00B55ADF" w:rsidRDefault="004A147C" w:rsidP="00CE5850">
      <w:pPr>
        <w:spacing w:after="120"/>
        <w:jc w:val="center"/>
        <w:rPr>
          <w:b/>
          <w:szCs w:val="22"/>
        </w:rPr>
      </w:pPr>
      <w:r w:rsidRPr="00B55ADF">
        <w:rPr>
          <w:b/>
          <w:szCs w:val="22"/>
        </w:rPr>
        <w:t>Estimated Mobile Broadband Coverage in Rural and Non-Rural Areas by Census Block, Oct. 2012</w:t>
      </w:r>
      <w:r w:rsidRPr="00B55ADF">
        <w:rPr>
          <w:szCs w:val="22"/>
          <w:vertAlign w:val="superscript"/>
        </w:rPr>
        <w:footnoteReference w:id="52"/>
      </w:r>
    </w:p>
    <w:tbl>
      <w:tblPr>
        <w:tblW w:w="9630" w:type="dxa"/>
        <w:tblInd w:w="18" w:type="dxa"/>
        <w:tblLayout w:type="fixed"/>
        <w:tblLook w:val="00A0" w:firstRow="1" w:lastRow="0" w:firstColumn="1" w:lastColumn="0" w:noHBand="0" w:noVBand="0"/>
      </w:tblPr>
      <w:tblGrid>
        <w:gridCol w:w="2160"/>
        <w:gridCol w:w="1350"/>
        <w:gridCol w:w="1328"/>
        <w:gridCol w:w="1192"/>
        <w:gridCol w:w="1260"/>
        <w:gridCol w:w="1080"/>
        <w:gridCol w:w="1260"/>
      </w:tblGrid>
      <w:tr w:rsidR="004A147C" w:rsidRPr="00B55ADF" w:rsidTr="00FB672C">
        <w:trPr>
          <w:trHeight w:val="285"/>
        </w:trPr>
        <w:tc>
          <w:tcPr>
            <w:tcW w:w="2160" w:type="dxa"/>
            <w:tcBorders>
              <w:top w:val="single" w:sz="8" w:space="0" w:color="auto"/>
              <w:left w:val="single" w:sz="8" w:space="0" w:color="auto"/>
              <w:bottom w:val="single" w:sz="8" w:space="0" w:color="auto"/>
              <w:right w:val="single" w:sz="8" w:space="0" w:color="auto"/>
            </w:tcBorders>
            <w:shd w:val="clear" w:color="auto" w:fill="DAEEF3"/>
            <w:noWrap/>
            <w:vAlign w:val="bottom"/>
          </w:tcPr>
          <w:p w:rsidR="004A147C" w:rsidRPr="00B55ADF" w:rsidRDefault="004A147C" w:rsidP="00CE5850">
            <w:pPr>
              <w:rPr>
                <w:rFonts w:eastAsia="Times New Roman"/>
                <w:b/>
                <w:bCs/>
                <w:kern w:val="0"/>
                <w:szCs w:val="22"/>
              </w:rPr>
            </w:pPr>
            <w:r w:rsidRPr="00B55ADF">
              <w:rPr>
                <w:rFonts w:eastAsia="Times New Roman"/>
                <w:b/>
                <w:bCs/>
                <w:kern w:val="0"/>
                <w:szCs w:val="22"/>
              </w:rPr>
              <w:t> </w:t>
            </w:r>
          </w:p>
        </w:tc>
        <w:tc>
          <w:tcPr>
            <w:tcW w:w="2678" w:type="dxa"/>
            <w:gridSpan w:val="2"/>
            <w:tcBorders>
              <w:top w:val="single" w:sz="8" w:space="0" w:color="auto"/>
              <w:left w:val="nil"/>
              <w:bottom w:val="single" w:sz="8" w:space="0" w:color="auto"/>
              <w:right w:val="single" w:sz="8" w:space="0" w:color="000000"/>
            </w:tcBorders>
            <w:shd w:val="clear" w:color="auto" w:fill="DAEEF3"/>
            <w:noWrap/>
          </w:tcPr>
          <w:p w:rsidR="004A147C" w:rsidRPr="00B55ADF" w:rsidRDefault="004A147C" w:rsidP="00CE5850">
            <w:pPr>
              <w:jc w:val="center"/>
              <w:rPr>
                <w:rFonts w:eastAsia="Times New Roman"/>
                <w:b/>
                <w:bCs/>
                <w:kern w:val="0"/>
                <w:sz w:val="20"/>
              </w:rPr>
            </w:pPr>
            <w:r w:rsidRPr="00B55ADF">
              <w:rPr>
                <w:rFonts w:eastAsia="Times New Roman"/>
                <w:b/>
                <w:bCs/>
                <w:kern w:val="0"/>
                <w:sz w:val="20"/>
              </w:rPr>
              <w:t>% of U.S. POPs</w:t>
            </w:r>
          </w:p>
        </w:tc>
        <w:tc>
          <w:tcPr>
            <w:tcW w:w="2452" w:type="dxa"/>
            <w:gridSpan w:val="2"/>
            <w:tcBorders>
              <w:top w:val="single" w:sz="8" w:space="0" w:color="auto"/>
              <w:left w:val="nil"/>
              <w:bottom w:val="single" w:sz="8" w:space="0" w:color="auto"/>
              <w:right w:val="single" w:sz="8" w:space="0" w:color="000000"/>
            </w:tcBorders>
            <w:shd w:val="clear" w:color="auto" w:fill="DAEEF3"/>
          </w:tcPr>
          <w:p w:rsidR="004A147C" w:rsidRPr="00B55ADF" w:rsidRDefault="004A147C" w:rsidP="00CE5850">
            <w:pPr>
              <w:jc w:val="center"/>
              <w:rPr>
                <w:rFonts w:eastAsia="Times New Roman"/>
                <w:b/>
                <w:bCs/>
                <w:kern w:val="0"/>
                <w:sz w:val="20"/>
              </w:rPr>
            </w:pPr>
            <w:r w:rsidRPr="00B55ADF">
              <w:rPr>
                <w:rFonts w:eastAsia="Times New Roman"/>
                <w:b/>
                <w:bCs/>
                <w:kern w:val="0"/>
                <w:sz w:val="20"/>
              </w:rPr>
              <w:t>% of U.S. Square Miles</w:t>
            </w:r>
          </w:p>
        </w:tc>
        <w:tc>
          <w:tcPr>
            <w:tcW w:w="2340" w:type="dxa"/>
            <w:gridSpan w:val="2"/>
            <w:tcBorders>
              <w:top w:val="single" w:sz="8" w:space="0" w:color="auto"/>
              <w:left w:val="nil"/>
              <w:bottom w:val="single" w:sz="8" w:space="0" w:color="auto"/>
              <w:right w:val="single" w:sz="8" w:space="0" w:color="000000"/>
            </w:tcBorders>
            <w:shd w:val="clear" w:color="auto" w:fill="DAEEF3"/>
          </w:tcPr>
          <w:p w:rsidR="004A147C" w:rsidRPr="00B55ADF" w:rsidRDefault="004A147C" w:rsidP="00CE5850">
            <w:pPr>
              <w:jc w:val="center"/>
              <w:rPr>
                <w:rFonts w:eastAsia="Times New Roman"/>
                <w:b/>
                <w:bCs/>
                <w:kern w:val="0"/>
                <w:sz w:val="20"/>
              </w:rPr>
            </w:pPr>
            <w:r w:rsidRPr="00B55ADF">
              <w:rPr>
                <w:rFonts w:eastAsia="Times New Roman"/>
                <w:b/>
                <w:bCs/>
                <w:kern w:val="0"/>
                <w:sz w:val="20"/>
              </w:rPr>
              <w:t>% of U.S. Road Miles</w:t>
            </w:r>
          </w:p>
        </w:tc>
      </w:tr>
      <w:tr w:rsidR="004A147C" w:rsidRPr="00B55ADF" w:rsidTr="00FB672C">
        <w:trPr>
          <w:trHeight w:val="664"/>
        </w:trPr>
        <w:tc>
          <w:tcPr>
            <w:tcW w:w="2160" w:type="dxa"/>
            <w:tcBorders>
              <w:top w:val="nil"/>
              <w:left w:val="single" w:sz="8" w:space="0" w:color="auto"/>
              <w:bottom w:val="single" w:sz="8" w:space="0" w:color="auto"/>
              <w:right w:val="single" w:sz="8" w:space="0" w:color="auto"/>
            </w:tcBorders>
            <w:shd w:val="clear" w:color="auto" w:fill="DAEEF3"/>
            <w:vAlign w:val="bottom"/>
          </w:tcPr>
          <w:p w:rsidR="004A147C" w:rsidRPr="00B55ADF" w:rsidRDefault="004A147C" w:rsidP="00CE5850">
            <w:pPr>
              <w:jc w:val="center"/>
              <w:rPr>
                <w:rFonts w:eastAsia="Times New Roman"/>
                <w:b/>
                <w:bCs/>
                <w:kern w:val="0"/>
                <w:sz w:val="20"/>
              </w:rPr>
            </w:pPr>
            <w:r w:rsidRPr="00B55ADF">
              <w:rPr>
                <w:rFonts w:eastAsia="Times New Roman"/>
                <w:b/>
                <w:bCs/>
                <w:kern w:val="0"/>
                <w:sz w:val="20"/>
              </w:rPr>
              <w:t>Total Number of Providers with Coverage in a Block</w:t>
            </w:r>
          </w:p>
        </w:tc>
        <w:tc>
          <w:tcPr>
            <w:tcW w:w="1350" w:type="dxa"/>
            <w:tcBorders>
              <w:top w:val="nil"/>
              <w:left w:val="nil"/>
              <w:bottom w:val="single" w:sz="8" w:space="0" w:color="auto"/>
              <w:right w:val="single" w:sz="8" w:space="0" w:color="auto"/>
            </w:tcBorders>
            <w:shd w:val="clear" w:color="auto" w:fill="DAEEF3"/>
            <w:noWrap/>
          </w:tcPr>
          <w:p w:rsidR="004A147C" w:rsidRPr="00B55ADF" w:rsidRDefault="004A147C" w:rsidP="00CE5850">
            <w:pPr>
              <w:jc w:val="center"/>
              <w:rPr>
                <w:rFonts w:eastAsia="Times New Roman"/>
                <w:b/>
                <w:bCs/>
                <w:kern w:val="0"/>
                <w:sz w:val="20"/>
              </w:rPr>
            </w:pPr>
            <w:r w:rsidRPr="00B55ADF">
              <w:rPr>
                <w:rFonts w:eastAsia="Times New Roman"/>
                <w:b/>
                <w:bCs/>
                <w:kern w:val="0"/>
                <w:sz w:val="20"/>
              </w:rPr>
              <w:t>Rural Areas</w:t>
            </w:r>
          </w:p>
        </w:tc>
        <w:tc>
          <w:tcPr>
            <w:tcW w:w="1328" w:type="dxa"/>
            <w:tcBorders>
              <w:top w:val="nil"/>
              <w:left w:val="nil"/>
              <w:bottom w:val="single" w:sz="8" w:space="0" w:color="auto"/>
              <w:right w:val="single" w:sz="8" w:space="0" w:color="auto"/>
            </w:tcBorders>
            <w:shd w:val="clear" w:color="auto" w:fill="DAEEF3"/>
            <w:noWrap/>
          </w:tcPr>
          <w:p w:rsidR="004A147C" w:rsidRPr="00B55ADF" w:rsidRDefault="004A147C" w:rsidP="00CE5850">
            <w:pPr>
              <w:jc w:val="center"/>
              <w:rPr>
                <w:rFonts w:eastAsia="Times New Roman"/>
                <w:b/>
                <w:bCs/>
                <w:kern w:val="0"/>
                <w:sz w:val="20"/>
              </w:rPr>
            </w:pPr>
            <w:r w:rsidRPr="00B55ADF">
              <w:rPr>
                <w:rFonts w:eastAsia="Times New Roman"/>
                <w:b/>
                <w:bCs/>
                <w:kern w:val="0"/>
                <w:sz w:val="20"/>
              </w:rPr>
              <w:t>Non-Rural Areas</w:t>
            </w:r>
          </w:p>
        </w:tc>
        <w:tc>
          <w:tcPr>
            <w:tcW w:w="1192" w:type="dxa"/>
            <w:tcBorders>
              <w:top w:val="nil"/>
              <w:left w:val="nil"/>
              <w:bottom w:val="single" w:sz="8" w:space="0" w:color="auto"/>
              <w:right w:val="single" w:sz="8" w:space="0" w:color="auto"/>
            </w:tcBorders>
            <w:shd w:val="clear" w:color="auto" w:fill="DAEEF3"/>
          </w:tcPr>
          <w:p w:rsidR="004A147C" w:rsidRPr="00B55ADF" w:rsidRDefault="004A147C" w:rsidP="00CE5850">
            <w:pPr>
              <w:jc w:val="center"/>
              <w:rPr>
                <w:rFonts w:eastAsia="Times New Roman"/>
                <w:b/>
                <w:bCs/>
                <w:kern w:val="0"/>
                <w:sz w:val="20"/>
              </w:rPr>
            </w:pPr>
            <w:r w:rsidRPr="00B55ADF">
              <w:rPr>
                <w:rFonts w:eastAsia="Times New Roman"/>
                <w:b/>
                <w:bCs/>
                <w:kern w:val="0"/>
                <w:sz w:val="20"/>
              </w:rPr>
              <w:t>Rural Areas</w:t>
            </w:r>
          </w:p>
        </w:tc>
        <w:tc>
          <w:tcPr>
            <w:tcW w:w="1260" w:type="dxa"/>
            <w:tcBorders>
              <w:top w:val="nil"/>
              <w:left w:val="nil"/>
              <w:bottom w:val="single" w:sz="8" w:space="0" w:color="auto"/>
              <w:right w:val="single" w:sz="8" w:space="0" w:color="auto"/>
            </w:tcBorders>
            <w:shd w:val="clear" w:color="auto" w:fill="DAEEF3"/>
          </w:tcPr>
          <w:p w:rsidR="004A147C" w:rsidRPr="00B55ADF" w:rsidRDefault="004A147C" w:rsidP="00CE5850">
            <w:pPr>
              <w:jc w:val="center"/>
              <w:rPr>
                <w:rFonts w:eastAsia="Times New Roman"/>
                <w:b/>
                <w:bCs/>
                <w:kern w:val="0"/>
                <w:sz w:val="20"/>
              </w:rPr>
            </w:pPr>
            <w:r w:rsidRPr="00B55ADF">
              <w:rPr>
                <w:rFonts w:eastAsia="Times New Roman"/>
                <w:b/>
                <w:bCs/>
                <w:kern w:val="0"/>
                <w:sz w:val="20"/>
              </w:rPr>
              <w:t>Non-Rural Areas</w:t>
            </w:r>
          </w:p>
        </w:tc>
        <w:tc>
          <w:tcPr>
            <w:tcW w:w="1080" w:type="dxa"/>
            <w:tcBorders>
              <w:top w:val="nil"/>
              <w:left w:val="nil"/>
              <w:bottom w:val="single" w:sz="8" w:space="0" w:color="auto"/>
              <w:right w:val="single" w:sz="8" w:space="0" w:color="auto"/>
            </w:tcBorders>
            <w:shd w:val="clear" w:color="auto" w:fill="DAEEF3"/>
          </w:tcPr>
          <w:p w:rsidR="004A147C" w:rsidRPr="00B55ADF" w:rsidRDefault="004A147C" w:rsidP="00CE5850">
            <w:pPr>
              <w:jc w:val="center"/>
              <w:rPr>
                <w:rFonts w:eastAsia="Times New Roman"/>
                <w:b/>
                <w:bCs/>
                <w:kern w:val="0"/>
                <w:sz w:val="20"/>
              </w:rPr>
            </w:pPr>
            <w:r w:rsidRPr="00B55ADF">
              <w:rPr>
                <w:rFonts w:eastAsia="Times New Roman"/>
                <w:b/>
                <w:bCs/>
                <w:kern w:val="0"/>
                <w:sz w:val="20"/>
              </w:rPr>
              <w:t>Rural Areas</w:t>
            </w:r>
          </w:p>
        </w:tc>
        <w:tc>
          <w:tcPr>
            <w:tcW w:w="1260" w:type="dxa"/>
            <w:tcBorders>
              <w:top w:val="nil"/>
              <w:left w:val="nil"/>
              <w:bottom w:val="single" w:sz="8" w:space="0" w:color="auto"/>
              <w:right w:val="single" w:sz="8" w:space="0" w:color="auto"/>
            </w:tcBorders>
            <w:shd w:val="clear" w:color="auto" w:fill="DAEEF3"/>
          </w:tcPr>
          <w:p w:rsidR="004A147C" w:rsidRPr="00B55ADF" w:rsidRDefault="004A147C" w:rsidP="00CE5850">
            <w:pPr>
              <w:jc w:val="center"/>
              <w:rPr>
                <w:rFonts w:eastAsia="Times New Roman"/>
                <w:b/>
                <w:bCs/>
                <w:kern w:val="0"/>
                <w:sz w:val="20"/>
              </w:rPr>
            </w:pPr>
            <w:r w:rsidRPr="00B55ADF">
              <w:rPr>
                <w:rFonts w:eastAsia="Times New Roman"/>
                <w:b/>
                <w:bCs/>
                <w:kern w:val="0"/>
                <w:sz w:val="20"/>
              </w:rPr>
              <w:t>Non-Rural Areas</w:t>
            </w:r>
          </w:p>
        </w:tc>
      </w:tr>
      <w:tr w:rsidR="004A147C" w:rsidRPr="00B55ADF" w:rsidTr="00FB672C">
        <w:trPr>
          <w:trHeight w:val="403"/>
        </w:trPr>
        <w:tc>
          <w:tcPr>
            <w:tcW w:w="2160" w:type="dxa"/>
            <w:tcBorders>
              <w:top w:val="nil"/>
              <w:left w:val="single" w:sz="8" w:space="0" w:color="auto"/>
              <w:bottom w:val="single" w:sz="8" w:space="0" w:color="auto"/>
              <w:right w:val="single" w:sz="8" w:space="0" w:color="auto"/>
            </w:tcBorders>
            <w:shd w:val="clear" w:color="auto" w:fill="DAEEF3"/>
            <w:noWrap/>
            <w:vAlign w:val="bottom"/>
          </w:tcPr>
          <w:p w:rsidR="004A147C" w:rsidRPr="00B55ADF" w:rsidRDefault="004A147C" w:rsidP="00CE5850">
            <w:pPr>
              <w:rPr>
                <w:rFonts w:eastAsia="Times New Roman"/>
                <w:kern w:val="0"/>
                <w:sz w:val="20"/>
              </w:rPr>
            </w:pPr>
            <w:bookmarkStart w:id="91" w:name="RANGE!A28"/>
            <w:bookmarkEnd w:id="91"/>
            <w:r w:rsidRPr="00B55ADF">
              <w:rPr>
                <w:rFonts w:eastAsia="Times New Roman"/>
                <w:kern w:val="0"/>
                <w:sz w:val="20"/>
              </w:rPr>
              <w:t>1 or more</w:t>
            </w:r>
          </w:p>
        </w:tc>
        <w:tc>
          <w:tcPr>
            <w:tcW w:w="1350" w:type="dxa"/>
            <w:tcBorders>
              <w:top w:val="nil"/>
              <w:left w:val="nil"/>
              <w:bottom w:val="single" w:sz="8" w:space="0" w:color="auto"/>
              <w:right w:val="single" w:sz="8" w:space="0" w:color="auto"/>
            </w:tcBorders>
            <w:shd w:val="clear" w:color="auto" w:fill="DAEEF3"/>
            <w:noWrap/>
            <w:vAlign w:val="bottom"/>
          </w:tcPr>
          <w:p w:rsidR="004A147C" w:rsidRPr="00B55ADF" w:rsidRDefault="004A147C" w:rsidP="00CE5850">
            <w:pPr>
              <w:jc w:val="right"/>
              <w:rPr>
                <w:rFonts w:eastAsia="Times New Roman"/>
                <w:kern w:val="0"/>
                <w:sz w:val="20"/>
              </w:rPr>
            </w:pPr>
            <w:r w:rsidRPr="00B55ADF">
              <w:rPr>
                <w:rFonts w:eastAsia="Times New Roman"/>
                <w:kern w:val="0"/>
                <w:sz w:val="20"/>
              </w:rPr>
              <w:t>97.8%</w:t>
            </w:r>
          </w:p>
        </w:tc>
        <w:tc>
          <w:tcPr>
            <w:tcW w:w="1328" w:type="dxa"/>
            <w:tcBorders>
              <w:top w:val="nil"/>
              <w:left w:val="nil"/>
              <w:bottom w:val="single" w:sz="8" w:space="0" w:color="auto"/>
              <w:right w:val="single" w:sz="8" w:space="0" w:color="auto"/>
            </w:tcBorders>
            <w:shd w:val="clear" w:color="auto" w:fill="DAEEF3"/>
            <w:noWrap/>
            <w:vAlign w:val="bottom"/>
          </w:tcPr>
          <w:p w:rsidR="004A147C" w:rsidRPr="00B55ADF" w:rsidRDefault="004A147C" w:rsidP="00CE5850">
            <w:pPr>
              <w:jc w:val="right"/>
              <w:rPr>
                <w:rFonts w:eastAsia="Times New Roman"/>
                <w:kern w:val="0"/>
                <w:sz w:val="20"/>
              </w:rPr>
            </w:pPr>
            <w:r w:rsidRPr="00B55ADF">
              <w:rPr>
                <w:rFonts w:eastAsia="Times New Roman"/>
                <w:kern w:val="0"/>
                <w:sz w:val="20"/>
              </w:rPr>
              <w:t>99.9%</w:t>
            </w:r>
          </w:p>
        </w:tc>
        <w:tc>
          <w:tcPr>
            <w:tcW w:w="1192" w:type="dxa"/>
            <w:tcBorders>
              <w:top w:val="nil"/>
              <w:left w:val="nil"/>
              <w:bottom w:val="single" w:sz="8" w:space="0" w:color="auto"/>
              <w:right w:val="single" w:sz="8" w:space="0" w:color="auto"/>
            </w:tcBorders>
            <w:shd w:val="clear" w:color="auto" w:fill="DAEEF3"/>
            <w:vAlign w:val="bottom"/>
          </w:tcPr>
          <w:p w:rsidR="004A147C" w:rsidRPr="00B55ADF" w:rsidRDefault="004A147C" w:rsidP="00CE5850">
            <w:pPr>
              <w:jc w:val="right"/>
              <w:rPr>
                <w:rFonts w:eastAsia="Times New Roman"/>
                <w:kern w:val="0"/>
                <w:sz w:val="20"/>
              </w:rPr>
            </w:pPr>
            <w:r w:rsidRPr="00B55ADF">
              <w:rPr>
                <w:rFonts w:eastAsia="Times New Roman"/>
                <w:kern w:val="0"/>
                <w:sz w:val="20"/>
              </w:rPr>
              <w:t>63.</w:t>
            </w:r>
            <w:r>
              <w:rPr>
                <w:rFonts w:eastAsia="Times New Roman"/>
                <w:kern w:val="0"/>
                <w:sz w:val="20"/>
              </w:rPr>
              <w:t>6</w:t>
            </w:r>
            <w:r w:rsidRPr="00B55ADF">
              <w:rPr>
                <w:rFonts w:eastAsia="Times New Roman"/>
                <w:kern w:val="0"/>
                <w:sz w:val="20"/>
              </w:rPr>
              <w:t>%</w:t>
            </w:r>
          </w:p>
        </w:tc>
        <w:tc>
          <w:tcPr>
            <w:tcW w:w="1260" w:type="dxa"/>
            <w:tcBorders>
              <w:top w:val="nil"/>
              <w:left w:val="nil"/>
              <w:bottom w:val="single" w:sz="8" w:space="0" w:color="auto"/>
              <w:right w:val="single" w:sz="8" w:space="0" w:color="auto"/>
            </w:tcBorders>
            <w:shd w:val="clear" w:color="auto" w:fill="DAEEF3"/>
            <w:vAlign w:val="bottom"/>
          </w:tcPr>
          <w:p w:rsidR="004A147C" w:rsidRPr="00B55ADF" w:rsidRDefault="004A147C" w:rsidP="00CE5850">
            <w:pPr>
              <w:jc w:val="right"/>
              <w:rPr>
                <w:rFonts w:eastAsia="Times New Roman"/>
                <w:kern w:val="0"/>
                <w:sz w:val="20"/>
              </w:rPr>
            </w:pPr>
            <w:r w:rsidRPr="00B55ADF">
              <w:rPr>
                <w:rFonts w:eastAsia="Times New Roman"/>
                <w:kern w:val="0"/>
                <w:sz w:val="20"/>
              </w:rPr>
              <w:t>90.</w:t>
            </w:r>
            <w:r>
              <w:rPr>
                <w:rFonts w:eastAsia="Times New Roman"/>
                <w:kern w:val="0"/>
                <w:sz w:val="20"/>
              </w:rPr>
              <w:t>9</w:t>
            </w:r>
            <w:r w:rsidRPr="00B55ADF">
              <w:rPr>
                <w:rFonts w:eastAsia="Times New Roman"/>
                <w:kern w:val="0"/>
                <w:sz w:val="20"/>
              </w:rPr>
              <w:t>%</w:t>
            </w:r>
          </w:p>
        </w:tc>
        <w:tc>
          <w:tcPr>
            <w:tcW w:w="1080" w:type="dxa"/>
            <w:tcBorders>
              <w:top w:val="nil"/>
              <w:left w:val="nil"/>
              <w:bottom w:val="single" w:sz="8" w:space="0" w:color="auto"/>
              <w:right w:val="single" w:sz="8" w:space="0" w:color="auto"/>
            </w:tcBorders>
            <w:shd w:val="clear" w:color="auto" w:fill="DAEEF3"/>
            <w:vAlign w:val="bottom"/>
          </w:tcPr>
          <w:p w:rsidR="004A147C" w:rsidRPr="00B55ADF" w:rsidRDefault="004A147C" w:rsidP="00CE5850">
            <w:pPr>
              <w:jc w:val="right"/>
              <w:rPr>
                <w:rFonts w:eastAsia="Times New Roman"/>
                <w:kern w:val="0"/>
                <w:sz w:val="20"/>
              </w:rPr>
            </w:pPr>
            <w:r w:rsidRPr="00B55ADF">
              <w:rPr>
                <w:rFonts w:eastAsia="Times New Roman"/>
                <w:kern w:val="0"/>
                <w:sz w:val="20"/>
              </w:rPr>
              <w:t>87.3%</w:t>
            </w:r>
          </w:p>
        </w:tc>
        <w:tc>
          <w:tcPr>
            <w:tcW w:w="1260" w:type="dxa"/>
            <w:tcBorders>
              <w:top w:val="nil"/>
              <w:left w:val="nil"/>
              <w:bottom w:val="single" w:sz="8" w:space="0" w:color="auto"/>
              <w:right w:val="single" w:sz="8" w:space="0" w:color="auto"/>
            </w:tcBorders>
            <w:shd w:val="clear" w:color="auto" w:fill="DAEEF3"/>
            <w:vAlign w:val="bottom"/>
          </w:tcPr>
          <w:p w:rsidR="004A147C" w:rsidRPr="00B55ADF" w:rsidRDefault="004A147C" w:rsidP="00CE5850">
            <w:pPr>
              <w:jc w:val="right"/>
              <w:rPr>
                <w:rFonts w:eastAsia="Times New Roman"/>
                <w:kern w:val="0"/>
                <w:sz w:val="20"/>
              </w:rPr>
            </w:pPr>
            <w:r w:rsidRPr="00B55ADF">
              <w:rPr>
                <w:rFonts w:eastAsia="Times New Roman"/>
                <w:kern w:val="0"/>
                <w:sz w:val="20"/>
              </w:rPr>
              <w:t>98.</w:t>
            </w:r>
            <w:r>
              <w:rPr>
                <w:rFonts w:eastAsia="Times New Roman"/>
                <w:kern w:val="0"/>
                <w:sz w:val="20"/>
              </w:rPr>
              <w:t>7</w:t>
            </w:r>
            <w:r w:rsidRPr="00B55ADF">
              <w:rPr>
                <w:rFonts w:eastAsia="Times New Roman"/>
                <w:kern w:val="0"/>
                <w:sz w:val="20"/>
              </w:rPr>
              <w:t>%</w:t>
            </w:r>
          </w:p>
        </w:tc>
      </w:tr>
      <w:tr w:rsidR="004A147C" w:rsidRPr="00B55ADF" w:rsidTr="00FB672C">
        <w:trPr>
          <w:trHeight w:val="385"/>
        </w:trPr>
        <w:tc>
          <w:tcPr>
            <w:tcW w:w="2160" w:type="dxa"/>
            <w:tcBorders>
              <w:top w:val="nil"/>
              <w:left w:val="single" w:sz="8" w:space="0" w:color="auto"/>
              <w:bottom w:val="single" w:sz="8" w:space="0" w:color="auto"/>
              <w:right w:val="single" w:sz="8" w:space="0" w:color="auto"/>
            </w:tcBorders>
            <w:shd w:val="clear" w:color="auto" w:fill="DAEEF3"/>
            <w:noWrap/>
            <w:vAlign w:val="bottom"/>
          </w:tcPr>
          <w:p w:rsidR="004A147C" w:rsidRPr="00B55ADF" w:rsidRDefault="004A147C" w:rsidP="00CE5850">
            <w:pPr>
              <w:rPr>
                <w:rFonts w:eastAsia="Times New Roman"/>
                <w:kern w:val="0"/>
                <w:sz w:val="20"/>
              </w:rPr>
            </w:pPr>
            <w:r w:rsidRPr="00B55ADF">
              <w:rPr>
                <w:rFonts w:eastAsia="Times New Roman"/>
                <w:kern w:val="0"/>
                <w:sz w:val="20"/>
              </w:rPr>
              <w:t>2 or more</w:t>
            </w:r>
          </w:p>
        </w:tc>
        <w:tc>
          <w:tcPr>
            <w:tcW w:w="1350" w:type="dxa"/>
            <w:tcBorders>
              <w:top w:val="nil"/>
              <w:left w:val="nil"/>
              <w:bottom w:val="single" w:sz="8" w:space="0" w:color="auto"/>
              <w:right w:val="single" w:sz="8" w:space="0" w:color="auto"/>
            </w:tcBorders>
            <w:shd w:val="clear" w:color="auto" w:fill="DAEEF3"/>
            <w:noWrap/>
            <w:vAlign w:val="bottom"/>
          </w:tcPr>
          <w:p w:rsidR="004A147C" w:rsidRPr="00B55ADF" w:rsidRDefault="004A147C" w:rsidP="00CE5850">
            <w:pPr>
              <w:jc w:val="right"/>
              <w:rPr>
                <w:rFonts w:eastAsia="Times New Roman"/>
                <w:kern w:val="0"/>
                <w:sz w:val="20"/>
              </w:rPr>
            </w:pPr>
            <w:r w:rsidRPr="00B55ADF">
              <w:rPr>
                <w:rFonts w:eastAsia="Times New Roman"/>
                <w:kern w:val="0"/>
                <w:sz w:val="20"/>
              </w:rPr>
              <w:t>89.</w:t>
            </w:r>
            <w:r>
              <w:rPr>
                <w:rFonts w:eastAsia="Times New Roman"/>
                <w:kern w:val="0"/>
                <w:sz w:val="20"/>
              </w:rPr>
              <w:t>9</w:t>
            </w:r>
            <w:r w:rsidRPr="00B55ADF">
              <w:rPr>
                <w:rFonts w:eastAsia="Times New Roman"/>
                <w:kern w:val="0"/>
                <w:sz w:val="20"/>
              </w:rPr>
              <w:t>%</w:t>
            </w:r>
          </w:p>
        </w:tc>
        <w:tc>
          <w:tcPr>
            <w:tcW w:w="1328" w:type="dxa"/>
            <w:tcBorders>
              <w:top w:val="nil"/>
              <w:left w:val="nil"/>
              <w:bottom w:val="single" w:sz="8" w:space="0" w:color="auto"/>
              <w:right w:val="single" w:sz="8" w:space="0" w:color="auto"/>
            </w:tcBorders>
            <w:shd w:val="clear" w:color="auto" w:fill="DAEEF3"/>
            <w:noWrap/>
            <w:vAlign w:val="bottom"/>
          </w:tcPr>
          <w:p w:rsidR="004A147C" w:rsidRPr="00B55ADF" w:rsidRDefault="004A147C" w:rsidP="00CE5850">
            <w:pPr>
              <w:jc w:val="right"/>
              <w:rPr>
                <w:rFonts w:eastAsia="Times New Roman"/>
                <w:kern w:val="0"/>
                <w:sz w:val="20"/>
              </w:rPr>
            </w:pPr>
            <w:r w:rsidRPr="00B55ADF">
              <w:rPr>
                <w:rFonts w:eastAsia="Times New Roman"/>
                <w:kern w:val="0"/>
                <w:sz w:val="20"/>
              </w:rPr>
              <w:t>99.</w:t>
            </w:r>
            <w:r>
              <w:rPr>
                <w:rFonts w:eastAsia="Times New Roman"/>
                <w:kern w:val="0"/>
                <w:sz w:val="20"/>
              </w:rPr>
              <w:t>7</w:t>
            </w:r>
            <w:r w:rsidRPr="00B55ADF">
              <w:rPr>
                <w:rFonts w:eastAsia="Times New Roman"/>
                <w:kern w:val="0"/>
                <w:sz w:val="20"/>
              </w:rPr>
              <w:t>%</w:t>
            </w:r>
          </w:p>
        </w:tc>
        <w:tc>
          <w:tcPr>
            <w:tcW w:w="1192" w:type="dxa"/>
            <w:tcBorders>
              <w:top w:val="nil"/>
              <w:left w:val="nil"/>
              <w:bottom w:val="single" w:sz="8" w:space="0" w:color="auto"/>
              <w:right w:val="single" w:sz="8" w:space="0" w:color="auto"/>
            </w:tcBorders>
            <w:shd w:val="clear" w:color="auto" w:fill="DAEEF3"/>
            <w:vAlign w:val="bottom"/>
          </w:tcPr>
          <w:p w:rsidR="004A147C" w:rsidRPr="00B55ADF" w:rsidRDefault="004A147C" w:rsidP="00CE5850">
            <w:pPr>
              <w:jc w:val="right"/>
              <w:rPr>
                <w:rFonts w:eastAsia="Times New Roman"/>
                <w:kern w:val="0"/>
                <w:sz w:val="20"/>
              </w:rPr>
            </w:pPr>
            <w:r w:rsidRPr="00B55ADF">
              <w:rPr>
                <w:rFonts w:eastAsia="Times New Roman"/>
                <w:kern w:val="0"/>
                <w:sz w:val="20"/>
              </w:rPr>
              <w:t>45.2%</w:t>
            </w:r>
          </w:p>
        </w:tc>
        <w:tc>
          <w:tcPr>
            <w:tcW w:w="1260" w:type="dxa"/>
            <w:tcBorders>
              <w:top w:val="nil"/>
              <w:left w:val="nil"/>
              <w:bottom w:val="single" w:sz="8" w:space="0" w:color="auto"/>
              <w:right w:val="single" w:sz="8" w:space="0" w:color="auto"/>
            </w:tcBorders>
            <w:shd w:val="clear" w:color="auto" w:fill="DAEEF3"/>
            <w:vAlign w:val="bottom"/>
          </w:tcPr>
          <w:p w:rsidR="004A147C" w:rsidRPr="00B55ADF" w:rsidRDefault="004A147C" w:rsidP="00CE5850">
            <w:pPr>
              <w:jc w:val="right"/>
              <w:rPr>
                <w:rFonts w:eastAsia="Times New Roman"/>
                <w:kern w:val="0"/>
                <w:sz w:val="20"/>
              </w:rPr>
            </w:pPr>
            <w:r w:rsidRPr="00B55ADF">
              <w:rPr>
                <w:rFonts w:eastAsia="Times New Roman"/>
                <w:kern w:val="0"/>
                <w:sz w:val="20"/>
              </w:rPr>
              <w:t>84.4%</w:t>
            </w:r>
          </w:p>
        </w:tc>
        <w:tc>
          <w:tcPr>
            <w:tcW w:w="1080" w:type="dxa"/>
            <w:tcBorders>
              <w:top w:val="nil"/>
              <w:left w:val="nil"/>
              <w:bottom w:val="single" w:sz="8" w:space="0" w:color="auto"/>
              <w:right w:val="single" w:sz="8" w:space="0" w:color="auto"/>
            </w:tcBorders>
            <w:shd w:val="clear" w:color="auto" w:fill="DAEEF3"/>
            <w:vAlign w:val="bottom"/>
          </w:tcPr>
          <w:p w:rsidR="004A147C" w:rsidRPr="00B55ADF" w:rsidRDefault="004A147C" w:rsidP="00CE5850">
            <w:pPr>
              <w:jc w:val="right"/>
              <w:rPr>
                <w:rFonts w:eastAsia="Times New Roman"/>
                <w:kern w:val="0"/>
                <w:sz w:val="20"/>
              </w:rPr>
            </w:pPr>
            <w:r w:rsidRPr="00B55ADF">
              <w:rPr>
                <w:rFonts w:eastAsia="Times New Roman"/>
                <w:kern w:val="0"/>
                <w:sz w:val="20"/>
              </w:rPr>
              <w:t>67.7%</w:t>
            </w:r>
          </w:p>
        </w:tc>
        <w:tc>
          <w:tcPr>
            <w:tcW w:w="1260" w:type="dxa"/>
            <w:tcBorders>
              <w:top w:val="nil"/>
              <w:left w:val="nil"/>
              <w:bottom w:val="single" w:sz="8" w:space="0" w:color="auto"/>
              <w:right w:val="single" w:sz="8" w:space="0" w:color="auto"/>
            </w:tcBorders>
            <w:shd w:val="clear" w:color="auto" w:fill="DAEEF3"/>
            <w:vAlign w:val="bottom"/>
          </w:tcPr>
          <w:p w:rsidR="004A147C" w:rsidRPr="00B55ADF" w:rsidRDefault="004A147C" w:rsidP="00CE5850">
            <w:pPr>
              <w:jc w:val="right"/>
              <w:rPr>
                <w:rFonts w:eastAsia="Times New Roman"/>
                <w:kern w:val="0"/>
                <w:sz w:val="20"/>
              </w:rPr>
            </w:pPr>
            <w:r w:rsidRPr="00B55ADF">
              <w:rPr>
                <w:rFonts w:eastAsia="Times New Roman"/>
                <w:kern w:val="0"/>
                <w:sz w:val="20"/>
              </w:rPr>
              <w:t>95.8%</w:t>
            </w:r>
          </w:p>
        </w:tc>
      </w:tr>
      <w:tr w:rsidR="004A147C" w:rsidRPr="00B55ADF" w:rsidTr="00FB672C">
        <w:trPr>
          <w:trHeight w:val="358"/>
        </w:trPr>
        <w:tc>
          <w:tcPr>
            <w:tcW w:w="2160" w:type="dxa"/>
            <w:tcBorders>
              <w:top w:val="nil"/>
              <w:left w:val="single" w:sz="8" w:space="0" w:color="auto"/>
              <w:bottom w:val="single" w:sz="8" w:space="0" w:color="auto"/>
              <w:right w:val="single" w:sz="8" w:space="0" w:color="auto"/>
            </w:tcBorders>
            <w:shd w:val="clear" w:color="auto" w:fill="DAEEF3"/>
            <w:noWrap/>
            <w:vAlign w:val="bottom"/>
          </w:tcPr>
          <w:p w:rsidR="004A147C" w:rsidRPr="00B55ADF" w:rsidRDefault="004A147C" w:rsidP="00CE5850">
            <w:pPr>
              <w:rPr>
                <w:rFonts w:eastAsia="Times New Roman"/>
                <w:kern w:val="0"/>
                <w:sz w:val="20"/>
              </w:rPr>
            </w:pPr>
            <w:r w:rsidRPr="00B55ADF">
              <w:rPr>
                <w:rFonts w:eastAsia="Times New Roman"/>
                <w:kern w:val="0"/>
                <w:sz w:val="20"/>
              </w:rPr>
              <w:t>3 or more</w:t>
            </w:r>
          </w:p>
        </w:tc>
        <w:tc>
          <w:tcPr>
            <w:tcW w:w="1350" w:type="dxa"/>
            <w:tcBorders>
              <w:top w:val="nil"/>
              <w:left w:val="nil"/>
              <w:bottom w:val="single" w:sz="8" w:space="0" w:color="auto"/>
              <w:right w:val="single" w:sz="8" w:space="0" w:color="auto"/>
            </w:tcBorders>
            <w:shd w:val="clear" w:color="auto" w:fill="DAEEF3"/>
            <w:noWrap/>
            <w:vAlign w:val="bottom"/>
          </w:tcPr>
          <w:p w:rsidR="004A147C" w:rsidRPr="00B55ADF" w:rsidRDefault="004A147C" w:rsidP="00CE5850">
            <w:pPr>
              <w:jc w:val="right"/>
              <w:rPr>
                <w:rFonts w:eastAsia="Times New Roman"/>
                <w:kern w:val="0"/>
                <w:sz w:val="20"/>
              </w:rPr>
            </w:pPr>
            <w:r w:rsidRPr="00B55ADF">
              <w:rPr>
                <w:rFonts w:eastAsia="Times New Roman"/>
                <w:kern w:val="0"/>
                <w:sz w:val="20"/>
              </w:rPr>
              <w:t>65.</w:t>
            </w:r>
            <w:r>
              <w:rPr>
                <w:rFonts w:eastAsia="Times New Roman"/>
                <w:kern w:val="0"/>
                <w:sz w:val="20"/>
              </w:rPr>
              <w:t>4</w:t>
            </w:r>
            <w:r w:rsidRPr="00B55ADF">
              <w:rPr>
                <w:rFonts w:eastAsia="Times New Roman"/>
                <w:kern w:val="0"/>
                <w:sz w:val="20"/>
              </w:rPr>
              <w:t>%</w:t>
            </w:r>
          </w:p>
        </w:tc>
        <w:tc>
          <w:tcPr>
            <w:tcW w:w="1328" w:type="dxa"/>
            <w:tcBorders>
              <w:top w:val="nil"/>
              <w:left w:val="nil"/>
              <w:bottom w:val="single" w:sz="8" w:space="0" w:color="auto"/>
              <w:right w:val="single" w:sz="8" w:space="0" w:color="auto"/>
            </w:tcBorders>
            <w:shd w:val="clear" w:color="auto" w:fill="DAEEF3"/>
            <w:noWrap/>
            <w:vAlign w:val="bottom"/>
          </w:tcPr>
          <w:p w:rsidR="004A147C" w:rsidRPr="00B55ADF" w:rsidRDefault="004A147C" w:rsidP="00CE5850">
            <w:pPr>
              <w:jc w:val="right"/>
              <w:rPr>
                <w:rFonts w:eastAsia="Times New Roman"/>
                <w:kern w:val="0"/>
                <w:sz w:val="20"/>
              </w:rPr>
            </w:pPr>
            <w:r w:rsidRPr="00B55ADF">
              <w:rPr>
                <w:rFonts w:eastAsia="Times New Roman"/>
                <w:kern w:val="0"/>
                <w:sz w:val="20"/>
              </w:rPr>
              <w:t>97.</w:t>
            </w:r>
            <w:r>
              <w:rPr>
                <w:rFonts w:eastAsia="Times New Roman"/>
                <w:kern w:val="0"/>
                <w:sz w:val="20"/>
              </w:rPr>
              <w:t>7</w:t>
            </w:r>
            <w:r w:rsidRPr="00B55ADF">
              <w:rPr>
                <w:rFonts w:eastAsia="Times New Roman"/>
                <w:kern w:val="0"/>
                <w:sz w:val="20"/>
              </w:rPr>
              <w:t>%</w:t>
            </w:r>
          </w:p>
        </w:tc>
        <w:tc>
          <w:tcPr>
            <w:tcW w:w="1192" w:type="dxa"/>
            <w:tcBorders>
              <w:top w:val="nil"/>
              <w:left w:val="nil"/>
              <w:bottom w:val="single" w:sz="8" w:space="0" w:color="auto"/>
              <w:right w:val="single" w:sz="8" w:space="0" w:color="auto"/>
            </w:tcBorders>
            <w:shd w:val="clear" w:color="auto" w:fill="DAEEF3"/>
            <w:vAlign w:val="bottom"/>
          </w:tcPr>
          <w:p w:rsidR="004A147C" w:rsidRPr="00B55ADF" w:rsidRDefault="004A147C" w:rsidP="00CE5850">
            <w:pPr>
              <w:jc w:val="right"/>
              <w:rPr>
                <w:rFonts w:eastAsia="Times New Roman"/>
                <w:kern w:val="0"/>
                <w:sz w:val="20"/>
              </w:rPr>
            </w:pPr>
            <w:r w:rsidRPr="00B55ADF">
              <w:rPr>
                <w:rFonts w:eastAsia="Times New Roman"/>
                <w:kern w:val="0"/>
                <w:sz w:val="20"/>
              </w:rPr>
              <w:t>20.</w:t>
            </w:r>
            <w:r>
              <w:rPr>
                <w:rFonts w:eastAsia="Times New Roman"/>
                <w:kern w:val="0"/>
                <w:sz w:val="20"/>
              </w:rPr>
              <w:t>6</w:t>
            </w:r>
            <w:r w:rsidRPr="00B55ADF">
              <w:rPr>
                <w:rFonts w:eastAsia="Times New Roman"/>
                <w:kern w:val="0"/>
                <w:sz w:val="20"/>
              </w:rPr>
              <w:t>%</w:t>
            </w:r>
          </w:p>
        </w:tc>
        <w:tc>
          <w:tcPr>
            <w:tcW w:w="1260" w:type="dxa"/>
            <w:tcBorders>
              <w:top w:val="nil"/>
              <w:left w:val="nil"/>
              <w:bottom w:val="single" w:sz="8" w:space="0" w:color="auto"/>
              <w:right w:val="single" w:sz="8" w:space="0" w:color="auto"/>
            </w:tcBorders>
            <w:shd w:val="clear" w:color="auto" w:fill="DAEEF3"/>
            <w:vAlign w:val="bottom"/>
          </w:tcPr>
          <w:p w:rsidR="004A147C" w:rsidRPr="00B55ADF" w:rsidRDefault="004A147C" w:rsidP="00CE5850">
            <w:pPr>
              <w:jc w:val="right"/>
              <w:rPr>
                <w:rFonts w:eastAsia="Times New Roman"/>
                <w:kern w:val="0"/>
                <w:sz w:val="20"/>
              </w:rPr>
            </w:pPr>
            <w:r w:rsidRPr="00B55ADF">
              <w:rPr>
                <w:rFonts w:eastAsia="Times New Roman"/>
                <w:kern w:val="0"/>
                <w:sz w:val="20"/>
              </w:rPr>
              <w:t>69.</w:t>
            </w:r>
            <w:r>
              <w:rPr>
                <w:rFonts w:eastAsia="Times New Roman"/>
                <w:kern w:val="0"/>
                <w:sz w:val="20"/>
              </w:rPr>
              <w:t>4</w:t>
            </w:r>
            <w:r w:rsidRPr="00B55ADF">
              <w:rPr>
                <w:rFonts w:eastAsia="Times New Roman"/>
                <w:kern w:val="0"/>
                <w:sz w:val="20"/>
              </w:rPr>
              <w:t>%</w:t>
            </w:r>
          </w:p>
        </w:tc>
        <w:tc>
          <w:tcPr>
            <w:tcW w:w="1080" w:type="dxa"/>
            <w:tcBorders>
              <w:top w:val="nil"/>
              <w:left w:val="nil"/>
              <w:bottom w:val="single" w:sz="8" w:space="0" w:color="auto"/>
              <w:right w:val="single" w:sz="8" w:space="0" w:color="auto"/>
            </w:tcBorders>
            <w:shd w:val="clear" w:color="auto" w:fill="DAEEF3"/>
            <w:vAlign w:val="bottom"/>
          </w:tcPr>
          <w:p w:rsidR="004A147C" w:rsidRPr="00B55ADF" w:rsidRDefault="004A147C" w:rsidP="00CE5850">
            <w:pPr>
              <w:jc w:val="right"/>
              <w:rPr>
                <w:rFonts w:eastAsia="Times New Roman"/>
                <w:kern w:val="0"/>
                <w:sz w:val="20"/>
              </w:rPr>
            </w:pPr>
            <w:r w:rsidRPr="00B55ADF">
              <w:rPr>
                <w:rFonts w:eastAsia="Times New Roman"/>
                <w:kern w:val="0"/>
                <w:sz w:val="20"/>
              </w:rPr>
              <w:t>35.</w:t>
            </w:r>
            <w:r>
              <w:rPr>
                <w:rFonts w:eastAsia="Times New Roman"/>
                <w:kern w:val="0"/>
                <w:sz w:val="20"/>
              </w:rPr>
              <w:t>7</w:t>
            </w:r>
            <w:r w:rsidRPr="00B55ADF">
              <w:rPr>
                <w:rFonts w:eastAsia="Times New Roman"/>
                <w:kern w:val="0"/>
                <w:sz w:val="20"/>
              </w:rPr>
              <w:t>%</w:t>
            </w:r>
          </w:p>
        </w:tc>
        <w:tc>
          <w:tcPr>
            <w:tcW w:w="1260" w:type="dxa"/>
            <w:tcBorders>
              <w:top w:val="nil"/>
              <w:left w:val="nil"/>
              <w:bottom w:val="single" w:sz="8" w:space="0" w:color="auto"/>
              <w:right w:val="single" w:sz="8" w:space="0" w:color="auto"/>
            </w:tcBorders>
            <w:shd w:val="clear" w:color="auto" w:fill="DAEEF3"/>
            <w:vAlign w:val="bottom"/>
          </w:tcPr>
          <w:p w:rsidR="004A147C" w:rsidRPr="00B55ADF" w:rsidRDefault="004A147C" w:rsidP="00CE5850">
            <w:pPr>
              <w:jc w:val="right"/>
              <w:rPr>
                <w:rFonts w:eastAsia="Times New Roman"/>
                <w:kern w:val="0"/>
                <w:sz w:val="20"/>
              </w:rPr>
            </w:pPr>
            <w:r w:rsidRPr="00B55ADF">
              <w:rPr>
                <w:rFonts w:eastAsia="Times New Roman"/>
                <w:kern w:val="0"/>
                <w:sz w:val="20"/>
              </w:rPr>
              <w:t>86.6%</w:t>
            </w:r>
          </w:p>
        </w:tc>
      </w:tr>
      <w:tr w:rsidR="004A147C" w:rsidRPr="00B55ADF" w:rsidTr="00FB672C">
        <w:trPr>
          <w:trHeight w:val="340"/>
        </w:trPr>
        <w:tc>
          <w:tcPr>
            <w:tcW w:w="2160" w:type="dxa"/>
            <w:tcBorders>
              <w:top w:val="nil"/>
              <w:left w:val="single" w:sz="8" w:space="0" w:color="auto"/>
              <w:bottom w:val="single" w:sz="8" w:space="0" w:color="auto"/>
              <w:right w:val="single" w:sz="8" w:space="0" w:color="auto"/>
            </w:tcBorders>
            <w:shd w:val="clear" w:color="auto" w:fill="DAEEF3"/>
            <w:noWrap/>
            <w:vAlign w:val="bottom"/>
          </w:tcPr>
          <w:p w:rsidR="004A147C" w:rsidRPr="00B55ADF" w:rsidRDefault="004A147C" w:rsidP="00CE5850">
            <w:pPr>
              <w:rPr>
                <w:rFonts w:eastAsia="Times New Roman"/>
                <w:kern w:val="0"/>
                <w:sz w:val="20"/>
              </w:rPr>
            </w:pPr>
            <w:r w:rsidRPr="00B55ADF">
              <w:rPr>
                <w:rFonts w:eastAsia="Times New Roman"/>
                <w:kern w:val="0"/>
                <w:sz w:val="20"/>
              </w:rPr>
              <w:t>4 or more</w:t>
            </w:r>
          </w:p>
        </w:tc>
        <w:tc>
          <w:tcPr>
            <w:tcW w:w="1350" w:type="dxa"/>
            <w:tcBorders>
              <w:top w:val="nil"/>
              <w:left w:val="nil"/>
              <w:bottom w:val="single" w:sz="8" w:space="0" w:color="auto"/>
              <w:right w:val="single" w:sz="8" w:space="0" w:color="auto"/>
            </w:tcBorders>
            <w:shd w:val="clear" w:color="auto" w:fill="DAEEF3"/>
            <w:noWrap/>
            <w:vAlign w:val="bottom"/>
          </w:tcPr>
          <w:p w:rsidR="004A147C" w:rsidRPr="00B55ADF" w:rsidRDefault="004A147C" w:rsidP="00CE5850">
            <w:pPr>
              <w:jc w:val="right"/>
              <w:rPr>
                <w:rFonts w:eastAsia="Times New Roman"/>
                <w:kern w:val="0"/>
                <w:sz w:val="20"/>
              </w:rPr>
            </w:pPr>
            <w:r w:rsidRPr="00B55ADF">
              <w:rPr>
                <w:rFonts w:eastAsia="Times New Roman"/>
                <w:kern w:val="0"/>
                <w:sz w:val="20"/>
              </w:rPr>
              <w:t>37.4%</w:t>
            </w:r>
          </w:p>
        </w:tc>
        <w:tc>
          <w:tcPr>
            <w:tcW w:w="1328" w:type="dxa"/>
            <w:tcBorders>
              <w:top w:val="nil"/>
              <w:left w:val="nil"/>
              <w:bottom w:val="single" w:sz="8" w:space="0" w:color="auto"/>
              <w:right w:val="single" w:sz="8" w:space="0" w:color="auto"/>
            </w:tcBorders>
            <w:shd w:val="clear" w:color="auto" w:fill="DAEEF3"/>
            <w:noWrap/>
            <w:vAlign w:val="bottom"/>
          </w:tcPr>
          <w:p w:rsidR="004A147C" w:rsidRPr="00B55ADF" w:rsidRDefault="004A147C" w:rsidP="00CE5850">
            <w:pPr>
              <w:jc w:val="right"/>
              <w:rPr>
                <w:rFonts w:eastAsia="Times New Roman"/>
                <w:kern w:val="0"/>
                <w:sz w:val="20"/>
              </w:rPr>
            </w:pPr>
            <w:r w:rsidRPr="00B55ADF">
              <w:rPr>
                <w:rFonts w:eastAsia="Times New Roman"/>
                <w:kern w:val="0"/>
                <w:sz w:val="20"/>
              </w:rPr>
              <w:t>92.4%</w:t>
            </w:r>
          </w:p>
        </w:tc>
        <w:tc>
          <w:tcPr>
            <w:tcW w:w="1192" w:type="dxa"/>
            <w:tcBorders>
              <w:top w:val="nil"/>
              <w:left w:val="nil"/>
              <w:bottom w:val="single" w:sz="8" w:space="0" w:color="auto"/>
              <w:right w:val="single" w:sz="8" w:space="0" w:color="auto"/>
            </w:tcBorders>
            <w:shd w:val="clear" w:color="auto" w:fill="DAEEF3"/>
            <w:vAlign w:val="bottom"/>
          </w:tcPr>
          <w:p w:rsidR="004A147C" w:rsidRPr="00B55ADF" w:rsidRDefault="004A147C" w:rsidP="00CE5850">
            <w:pPr>
              <w:jc w:val="right"/>
              <w:rPr>
                <w:rFonts w:eastAsia="Times New Roman"/>
                <w:kern w:val="0"/>
                <w:sz w:val="20"/>
              </w:rPr>
            </w:pPr>
            <w:r w:rsidRPr="00B55ADF">
              <w:rPr>
                <w:rFonts w:eastAsia="Times New Roman"/>
                <w:kern w:val="0"/>
                <w:sz w:val="20"/>
              </w:rPr>
              <w:t>7.1%</w:t>
            </w:r>
          </w:p>
        </w:tc>
        <w:tc>
          <w:tcPr>
            <w:tcW w:w="1260" w:type="dxa"/>
            <w:tcBorders>
              <w:top w:val="nil"/>
              <w:left w:val="nil"/>
              <w:bottom w:val="single" w:sz="8" w:space="0" w:color="auto"/>
              <w:right w:val="single" w:sz="8" w:space="0" w:color="auto"/>
            </w:tcBorders>
            <w:shd w:val="clear" w:color="auto" w:fill="DAEEF3"/>
            <w:vAlign w:val="bottom"/>
          </w:tcPr>
          <w:p w:rsidR="004A147C" w:rsidRPr="00B55ADF" w:rsidRDefault="004A147C" w:rsidP="00CE5850">
            <w:pPr>
              <w:jc w:val="right"/>
              <w:rPr>
                <w:rFonts w:eastAsia="Times New Roman"/>
                <w:kern w:val="0"/>
                <w:sz w:val="20"/>
              </w:rPr>
            </w:pPr>
            <w:r w:rsidRPr="00B55ADF">
              <w:rPr>
                <w:rFonts w:eastAsia="Times New Roman"/>
                <w:kern w:val="0"/>
                <w:sz w:val="20"/>
              </w:rPr>
              <w:t>49.7%</w:t>
            </w:r>
          </w:p>
        </w:tc>
        <w:tc>
          <w:tcPr>
            <w:tcW w:w="1080" w:type="dxa"/>
            <w:tcBorders>
              <w:top w:val="nil"/>
              <w:left w:val="nil"/>
              <w:bottom w:val="single" w:sz="8" w:space="0" w:color="auto"/>
              <w:right w:val="single" w:sz="8" w:space="0" w:color="auto"/>
            </w:tcBorders>
            <w:shd w:val="clear" w:color="auto" w:fill="DAEEF3"/>
            <w:vAlign w:val="bottom"/>
          </w:tcPr>
          <w:p w:rsidR="004A147C" w:rsidRPr="00B55ADF" w:rsidRDefault="004A147C" w:rsidP="00CE5850">
            <w:pPr>
              <w:jc w:val="right"/>
              <w:rPr>
                <w:rFonts w:eastAsia="Times New Roman"/>
                <w:kern w:val="0"/>
                <w:sz w:val="20"/>
              </w:rPr>
            </w:pPr>
            <w:r w:rsidRPr="00B55ADF">
              <w:rPr>
                <w:rFonts w:eastAsia="Times New Roman"/>
                <w:kern w:val="0"/>
                <w:sz w:val="20"/>
              </w:rPr>
              <w:t>14.</w:t>
            </w:r>
            <w:r>
              <w:rPr>
                <w:rFonts w:eastAsia="Times New Roman"/>
                <w:kern w:val="0"/>
                <w:sz w:val="20"/>
              </w:rPr>
              <w:t>2</w:t>
            </w:r>
            <w:r w:rsidRPr="00B55ADF">
              <w:rPr>
                <w:rFonts w:eastAsia="Times New Roman"/>
                <w:kern w:val="0"/>
                <w:sz w:val="20"/>
              </w:rPr>
              <w:t>%</w:t>
            </w:r>
          </w:p>
        </w:tc>
        <w:tc>
          <w:tcPr>
            <w:tcW w:w="1260" w:type="dxa"/>
            <w:tcBorders>
              <w:top w:val="nil"/>
              <w:left w:val="nil"/>
              <w:bottom w:val="single" w:sz="8" w:space="0" w:color="auto"/>
              <w:right w:val="single" w:sz="8" w:space="0" w:color="auto"/>
            </w:tcBorders>
            <w:shd w:val="clear" w:color="auto" w:fill="DAEEF3"/>
            <w:vAlign w:val="bottom"/>
          </w:tcPr>
          <w:p w:rsidR="004A147C" w:rsidRPr="00B55ADF" w:rsidRDefault="004A147C" w:rsidP="00CE5850">
            <w:pPr>
              <w:jc w:val="right"/>
              <w:rPr>
                <w:rFonts w:eastAsia="Times New Roman"/>
                <w:kern w:val="0"/>
                <w:sz w:val="20"/>
              </w:rPr>
            </w:pPr>
            <w:r w:rsidRPr="00B55ADF">
              <w:rPr>
                <w:rFonts w:eastAsia="Times New Roman"/>
                <w:kern w:val="0"/>
                <w:sz w:val="20"/>
              </w:rPr>
              <w:t>71.8%</w:t>
            </w:r>
          </w:p>
        </w:tc>
      </w:tr>
      <w:tr w:rsidR="004A147C" w:rsidRPr="00B55ADF" w:rsidTr="00FB672C">
        <w:trPr>
          <w:trHeight w:val="322"/>
        </w:trPr>
        <w:tc>
          <w:tcPr>
            <w:tcW w:w="2160" w:type="dxa"/>
            <w:tcBorders>
              <w:top w:val="nil"/>
              <w:left w:val="single" w:sz="8" w:space="0" w:color="auto"/>
              <w:bottom w:val="single" w:sz="4" w:space="0" w:color="auto"/>
              <w:right w:val="single" w:sz="8" w:space="0" w:color="auto"/>
            </w:tcBorders>
            <w:shd w:val="clear" w:color="auto" w:fill="DAEEF3"/>
            <w:noWrap/>
            <w:vAlign w:val="bottom"/>
          </w:tcPr>
          <w:p w:rsidR="004A147C" w:rsidRPr="00B55ADF" w:rsidRDefault="004A147C" w:rsidP="00CE5850">
            <w:pPr>
              <w:rPr>
                <w:rFonts w:eastAsia="Times New Roman"/>
                <w:kern w:val="0"/>
                <w:sz w:val="20"/>
              </w:rPr>
            </w:pPr>
            <w:r w:rsidRPr="00B55ADF">
              <w:rPr>
                <w:rFonts w:eastAsia="Times New Roman"/>
                <w:kern w:val="0"/>
                <w:sz w:val="20"/>
              </w:rPr>
              <w:t>5 or more</w:t>
            </w:r>
          </w:p>
        </w:tc>
        <w:tc>
          <w:tcPr>
            <w:tcW w:w="1350" w:type="dxa"/>
            <w:tcBorders>
              <w:top w:val="nil"/>
              <w:left w:val="nil"/>
              <w:bottom w:val="single" w:sz="4" w:space="0" w:color="auto"/>
              <w:right w:val="single" w:sz="8" w:space="0" w:color="auto"/>
            </w:tcBorders>
            <w:shd w:val="clear" w:color="auto" w:fill="DAEEF3"/>
            <w:noWrap/>
            <w:vAlign w:val="bottom"/>
          </w:tcPr>
          <w:p w:rsidR="004A147C" w:rsidRPr="00B55ADF" w:rsidRDefault="004A147C" w:rsidP="00CE5850">
            <w:pPr>
              <w:jc w:val="right"/>
              <w:rPr>
                <w:rFonts w:eastAsia="Times New Roman"/>
                <w:kern w:val="0"/>
                <w:sz w:val="20"/>
              </w:rPr>
            </w:pPr>
            <w:r w:rsidRPr="00B55ADF">
              <w:rPr>
                <w:rFonts w:eastAsia="Times New Roman"/>
                <w:kern w:val="0"/>
                <w:sz w:val="20"/>
              </w:rPr>
              <w:t>15.8%</w:t>
            </w:r>
          </w:p>
        </w:tc>
        <w:tc>
          <w:tcPr>
            <w:tcW w:w="1328" w:type="dxa"/>
            <w:tcBorders>
              <w:top w:val="nil"/>
              <w:left w:val="nil"/>
              <w:bottom w:val="single" w:sz="4" w:space="0" w:color="auto"/>
              <w:right w:val="single" w:sz="8" w:space="0" w:color="auto"/>
            </w:tcBorders>
            <w:shd w:val="clear" w:color="auto" w:fill="DAEEF3"/>
            <w:noWrap/>
            <w:vAlign w:val="bottom"/>
          </w:tcPr>
          <w:p w:rsidR="004A147C" w:rsidRPr="00B55ADF" w:rsidRDefault="004A147C" w:rsidP="00CE5850">
            <w:pPr>
              <w:jc w:val="right"/>
              <w:rPr>
                <w:rFonts w:eastAsia="Times New Roman"/>
                <w:kern w:val="0"/>
                <w:sz w:val="20"/>
              </w:rPr>
            </w:pPr>
            <w:r w:rsidRPr="00B55ADF">
              <w:rPr>
                <w:rFonts w:eastAsia="Times New Roman"/>
                <w:kern w:val="0"/>
                <w:sz w:val="20"/>
              </w:rPr>
              <w:t>81.3%</w:t>
            </w:r>
          </w:p>
        </w:tc>
        <w:tc>
          <w:tcPr>
            <w:tcW w:w="1192" w:type="dxa"/>
            <w:tcBorders>
              <w:top w:val="nil"/>
              <w:left w:val="nil"/>
              <w:bottom w:val="single" w:sz="4" w:space="0" w:color="auto"/>
              <w:right w:val="single" w:sz="8" w:space="0" w:color="auto"/>
            </w:tcBorders>
            <w:shd w:val="clear" w:color="auto" w:fill="DAEEF3"/>
            <w:vAlign w:val="bottom"/>
          </w:tcPr>
          <w:p w:rsidR="004A147C" w:rsidRPr="00B55ADF" w:rsidRDefault="004A147C" w:rsidP="00CE5850">
            <w:pPr>
              <w:jc w:val="right"/>
              <w:rPr>
                <w:rFonts w:eastAsia="Times New Roman"/>
                <w:kern w:val="0"/>
                <w:sz w:val="20"/>
              </w:rPr>
            </w:pPr>
            <w:r w:rsidRPr="00B55ADF">
              <w:rPr>
                <w:rFonts w:eastAsia="Times New Roman"/>
                <w:kern w:val="0"/>
                <w:sz w:val="20"/>
              </w:rPr>
              <w:t>1.7%</w:t>
            </w:r>
          </w:p>
        </w:tc>
        <w:tc>
          <w:tcPr>
            <w:tcW w:w="1260" w:type="dxa"/>
            <w:tcBorders>
              <w:top w:val="nil"/>
              <w:left w:val="nil"/>
              <w:bottom w:val="single" w:sz="4" w:space="0" w:color="auto"/>
              <w:right w:val="single" w:sz="8" w:space="0" w:color="auto"/>
            </w:tcBorders>
            <w:shd w:val="clear" w:color="auto" w:fill="DAEEF3"/>
            <w:vAlign w:val="bottom"/>
          </w:tcPr>
          <w:p w:rsidR="004A147C" w:rsidRPr="00B55ADF" w:rsidRDefault="004A147C" w:rsidP="00CE5850">
            <w:pPr>
              <w:jc w:val="right"/>
              <w:rPr>
                <w:rFonts w:eastAsia="Times New Roman"/>
                <w:kern w:val="0"/>
                <w:sz w:val="20"/>
              </w:rPr>
            </w:pPr>
            <w:r w:rsidRPr="00B55ADF">
              <w:rPr>
                <w:rFonts w:eastAsia="Times New Roman"/>
                <w:kern w:val="0"/>
                <w:sz w:val="20"/>
              </w:rPr>
              <w:t>29.</w:t>
            </w:r>
            <w:r>
              <w:rPr>
                <w:rFonts w:eastAsia="Times New Roman"/>
                <w:kern w:val="0"/>
                <w:sz w:val="20"/>
              </w:rPr>
              <w:t>8</w:t>
            </w:r>
            <w:r w:rsidRPr="00B55ADF">
              <w:rPr>
                <w:rFonts w:eastAsia="Times New Roman"/>
                <w:kern w:val="0"/>
                <w:sz w:val="20"/>
              </w:rPr>
              <w:t>%</w:t>
            </w:r>
          </w:p>
        </w:tc>
        <w:tc>
          <w:tcPr>
            <w:tcW w:w="1080" w:type="dxa"/>
            <w:tcBorders>
              <w:top w:val="nil"/>
              <w:left w:val="nil"/>
              <w:bottom w:val="single" w:sz="4" w:space="0" w:color="auto"/>
              <w:right w:val="single" w:sz="8" w:space="0" w:color="auto"/>
            </w:tcBorders>
            <w:shd w:val="clear" w:color="auto" w:fill="DAEEF3"/>
            <w:vAlign w:val="bottom"/>
          </w:tcPr>
          <w:p w:rsidR="004A147C" w:rsidRPr="00B55ADF" w:rsidRDefault="004A147C" w:rsidP="00CE5850">
            <w:pPr>
              <w:jc w:val="right"/>
              <w:rPr>
                <w:rFonts w:eastAsia="Times New Roman"/>
                <w:kern w:val="0"/>
                <w:sz w:val="20"/>
              </w:rPr>
            </w:pPr>
            <w:r w:rsidRPr="00B55ADF">
              <w:rPr>
                <w:rFonts w:eastAsia="Times New Roman"/>
                <w:kern w:val="0"/>
                <w:sz w:val="20"/>
              </w:rPr>
              <w:t>4.0%</w:t>
            </w:r>
          </w:p>
        </w:tc>
        <w:tc>
          <w:tcPr>
            <w:tcW w:w="1260" w:type="dxa"/>
            <w:tcBorders>
              <w:top w:val="nil"/>
              <w:left w:val="nil"/>
              <w:bottom w:val="single" w:sz="4" w:space="0" w:color="auto"/>
              <w:right w:val="single" w:sz="8" w:space="0" w:color="auto"/>
            </w:tcBorders>
            <w:shd w:val="clear" w:color="auto" w:fill="DAEEF3"/>
            <w:vAlign w:val="bottom"/>
          </w:tcPr>
          <w:p w:rsidR="004A147C" w:rsidRPr="00B55ADF" w:rsidRDefault="004A147C" w:rsidP="00CE5850">
            <w:pPr>
              <w:jc w:val="right"/>
              <w:rPr>
                <w:rFonts w:eastAsia="Times New Roman"/>
                <w:kern w:val="0"/>
                <w:sz w:val="20"/>
              </w:rPr>
            </w:pPr>
            <w:r w:rsidRPr="00B55ADF">
              <w:rPr>
                <w:rFonts w:eastAsia="Times New Roman"/>
                <w:kern w:val="0"/>
                <w:sz w:val="20"/>
              </w:rPr>
              <w:t>52.</w:t>
            </w:r>
            <w:r>
              <w:rPr>
                <w:rFonts w:eastAsia="Times New Roman"/>
                <w:kern w:val="0"/>
                <w:sz w:val="20"/>
              </w:rPr>
              <w:t>4</w:t>
            </w:r>
            <w:r w:rsidRPr="00B55ADF">
              <w:rPr>
                <w:rFonts w:eastAsia="Times New Roman"/>
                <w:kern w:val="0"/>
                <w:sz w:val="20"/>
              </w:rPr>
              <w:t>%</w:t>
            </w:r>
          </w:p>
        </w:tc>
      </w:tr>
    </w:tbl>
    <w:p w:rsidR="004A147C" w:rsidRPr="00B53FFB" w:rsidRDefault="004A147C" w:rsidP="00CE5850">
      <w:pPr>
        <w:rPr>
          <w:szCs w:val="22"/>
        </w:rPr>
      </w:pPr>
    </w:p>
    <w:p w:rsidR="004A147C" w:rsidRPr="00B53FFB" w:rsidRDefault="004A147C" w:rsidP="00CE5850">
      <w:pPr>
        <w:rPr>
          <w:szCs w:val="22"/>
        </w:rPr>
      </w:pPr>
      <w:r w:rsidRPr="00B53FFB">
        <w:rPr>
          <w:szCs w:val="22"/>
        </w:rPr>
        <w:t xml:space="preserve">As part of the </w:t>
      </w:r>
      <w:r w:rsidRPr="00B53FFB">
        <w:rPr>
          <w:i/>
          <w:szCs w:val="22"/>
        </w:rPr>
        <w:t>USF/ICC Transformation Order</w:t>
      </w:r>
      <w:r w:rsidRPr="00B53FFB">
        <w:rPr>
          <w:szCs w:val="22"/>
        </w:rPr>
        <w:t xml:space="preserve"> adopted in October 2011, the Commission created Mobility Fund Phase I, a universal service support mechanism dedicated to the deployment of mobile broadband networks.</w:t>
      </w:r>
      <w:r w:rsidRPr="00B53FFB">
        <w:rPr>
          <w:szCs w:val="22"/>
          <w:vertAlign w:val="superscript"/>
        </w:rPr>
        <w:footnoteReference w:id="53"/>
      </w:r>
      <w:r w:rsidRPr="00B53FFB">
        <w:rPr>
          <w:szCs w:val="22"/>
        </w:rPr>
        <w:t xml:space="preserve">  Mobility Fund Phase I will accelerate new mobile infrastructure deployment by awarding up to $300 million in one-time support to recipients that commit to provide 3G or better mobile voice and broadband services in census blocks that currently lack such services.</w:t>
      </w:r>
      <w:r w:rsidRPr="00B53FFB">
        <w:rPr>
          <w:szCs w:val="22"/>
          <w:vertAlign w:val="superscript"/>
        </w:rPr>
        <w:footnoteReference w:id="54"/>
      </w:r>
      <w:r w:rsidRPr="00B53FFB">
        <w:rPr>
          <w:szCs w:val="22"/>
        </w:rPr>
        <w:t xml:space="preserve">  Phase I of the Mobility Fund used a reverse</w:t>
      </w:r>
      <w:r w:rsidRPr="00B53FFB">
        <w:rPr>
          <w:rFonts w:ascii="TimesNewRoman" w:hAnsi="TimesNewRoman" w:cs="TimesNewRoman"/>
          <w:color w:val="010101"/>
          <w:szCs w:val="22"/>
          <w:lang w:eastAsia="zh-CN"/>
        </w:rPr>
        <w:t xml:space="preserve"> </w:t>
      </w:r>
      <w:r w:rsidRPr="00B53FFB">
        <w:rPr>
          <w:szCs w:val="22"/>
        </w:rPr>
        <w:t>auction, which took place on September 27, 2012 to assign $300 million in support to 33 winning bidders, which will be obligated to provide services covering up to</w:t>
      </w:r>
      <w:r>
        <w:rPr>
          <w:szCs w:val="22"/>
        </w:rPr>
        <w:t xml:space="preserve"> approximately</w:t>
      </w:r>
      <w:r w:rsidRPr="00B53FFB">
        <w:rPr>
          <w:szCs w:val="22"/>
        </w:rPr>
        <w:t xml:space="preserve"> 83,</w:t>
      </w:r>
      <w:r>
        <w:rPr>
          <w:szCs w:val="22"/>
        </w:rPr>
        <w:t>500</w:t>
      </w:r>
      <w:r w:rsidRPr="00B53FFB">
        <w:rPr>
          <w:szCs w:val="22"/>
        </w:rPr>
        <w:t xml:space="preserve"> road miles.</w:t>
      </w:r>
      <w:r w:rsidRPr="00B53FFB">
        <w:rPr>
          <w:szCs w:val="22"/>
          <w:vertAlign w:val="superscript"/>
        </w:rPr>
        <w:footnoteReference w:id="55"/>
      </w:r>
      <w:r w:rsidRPr="00B53FFB">
        <w:rPr>
          <w:szCs w:val="22"/>
        </w:rPr>
        <w:t xml:space="preserve">  In Phase II of the Mobility Fund, the Commission will provide up to $500 million per year in </w:t>
      </w:r>
      <w:r w:rsidRPr="00B53FFB">
        <w:rPr>
          <w:szCs w:val="22"/>
        </w:rPr>
        <w:lastRenderedPageBreak/>
        <w:t>ongoing support to expand deployment and sustain mobile voice and broadband services in areas in which such service would be unavailable absent USF support.</w:t>
      </w:r>
      <w:r w:rsidRPr="00B53FFB">
        <w:rPr>
          <w:szCs w:val="22"/>
          <w:vertAlign w:val="superscript"/>
        </w:rPr>
        <w:footnoteReference w:id="56"/>
      </w:r>
      <w:r w:rsidRPr="00B53FFB">
        <w:rPr>
          <w:szCs w:val="22"/>
        </w:rPr>
        <w:t xml:space="preserve">  </w:t>
      </w:r>
    </w:p>
    <w:p w:rsidR="004A147C" w:rsidRPr="00B53FFB" w:rsidRDefault="004A147C" w:rsidP="00CE5850">
      <w:pPr>
        <w:rPr>
          <w:b/>
          <w:color w:val="000000"/>
          <w:szCs w:val="22"/>
          <w:u w:val="single"/>
        </w:rPr>
      </w:pPr>
    </w:p>
    <w:p w:rsidR="004A147C" w:rsidRPr="00B53FFB" w:rsidRDefault="004A147C" w:rsidP="00CE5850">
      <w:pPr>
        <w:rPr>
          <w:b/>
          <w:color w:val="000000"/>
          <w:szCs w:val="22"/>
          <w:u w:val="single"/>
        </w:rPr>
      </w:pPr>
      <w:r w:rsidRPr="00B53FFB">
        <w:rPr>
          <w:b/>
          <w:color w:val="000000"/>
          <w:szCs w:val="22"/>
          <w:u w:val="single"/>
        </w:rPr>
        <w:t>International Comparisons</w:t>
      </w:r>
    </w:p>
    <w:p w:rsidR="004A147C" w:rsidRPr="00B53FFB" w:rsidRDefault="004A147C" w:rsidP="00CE5850">
      <w:pPr>
        <w:rPr>
          <w:szCs w:val="22"/>
        </w:rPr>
      </w:pPr>
    </w:p>
    <w:p w:rsidR="004A147C" w:rsidRPr="00B53FFB" w:rsidRDefault="004A147C" w:rsidP="00CE5850">
      <w:pPr>
        <w:spacing w:after="120"/>
        <w:rPr>
          <w:szCs w:val="22"/>
        </w:rPr>
      </w:pPr>
      <w:r w:rsidRPr="00B53FFB">
        <w:rPr>
          <w:szCs w:val="22"/>
        </w:rPr>
        <w:t>As in past years the Commission reviewed data from a variety of international markets to identify trends, and compare market structure and performance in the US with selected European and Asian countries with similar income levels.  This comparison shows the following:  First, market structure is converging to three or four national competitors per market in most countries.  Second, the calling party pays system used in most other countries tends to result in lower average voice usage (MOUs) and higher revenue per minute of voice service than the receiving party pays system used in the United States.</w:t>
      </w:r>
      <w:r w:rsidRPr="00B53FFB">
        <w:rPr>
          <w:szCs w:val="22"/>
          <w:vertAlign w:val="superscript"/>
        </w:rPr>
        <w:footnoteReference w:id="57"/>
      </w:r>
      <w:r w:rsidRPr="00B53FFB">
        <w:rPr>
          <w:szCs w:val="22"/>
        </w:rPr>
        <w:t xml:space="preserve">  Third, international differences in regulatory policy and business environment have produced a wide variety of successful models for the mobile sector, with no one model dominating on all dimensions of market performance.</w:t>
      </w:r>
    </w:p>
    <w:p w:rsidR="004A147C" w:rsidRPr="00B53FFB" w:rsidRDefault="004A147C" w:rsidP="00CE5850">
      <w:pPr>
        <w:spacing w:after="120"/>
        <w:rPr>
          <w:szCs w:val="22"/>
        </w:rPr>
      </w:pPr>
    </w:p>
    <w:p w:rsidR="004A147C" w:rsidRPr="00B53FFB" w:rsidRDefault="004A147C" w:rsidP="00CE5850">
      <w:pPr>
        <w:spacing w:after="120"/>
        <w:ind w:left="720"/>
        <w:rPr>
          <w:b/>
          <w:bCs/>
          <w:kern w:val="0"/>
          <w:szCs w:val="22"/>
        </w:rPr>
      </w:pPr>
      <w:r w:rsidRPr="00B53FFB">
        <w:rPr>
          <w:b/>
          <w:bCs/>
          <w:kern w:val="0"/>
          <w:szCs w:val="22"/>
        </w:rPr>
        <w:t>Mobile Market Performance in Selected Countries</w:t>
      </w:r>
      <w:r>
        <w:rPr>
          <w:b/>
          <w:bCs/>
          <w:kern w:val="0"/>
          <w:szCs w:val="22"/>
        </w:rPr>
        <w:t>, Global Wireless Matrix, 2011</w:t>
      </w:r>
      <w:r w:rsidRPr="00B53FFB">
        <w:rPr>
          <w:bCs/>
          <w:kern w:val="0"/>
          <w:szCs w:val="22"/>
          <w:vertAlign w:val="superscript"/>
        </w:rPr>
        <w:footnoteReference w:id="58"/>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322"/>
        <w:gridCol w:w="1268"/>
        <w:gridCol w:w="1268"/>
        <w:gridCol w:w="815"/>
        <w:gridCol w:w="1237"/>
        <w:gridCol w:w="803"/>
        <w:gridCol w:w="1426"/>
      </w:tblGrid>
      <w:tr w:rsidR="004A147C" w:rsidRPr="00B53FFB" w:rsidTr="00815372">
        <w:trPr>
          <w:jc w:val="center"/>
        </w:trPr>
        <w:tc>
          <w:tcPr>
            <w:tcW w:w="0" w:type="auto"/>
          </w:tcPr>
          <w:p w:rsidR="004A147C" w:rsidRPr="00B53FFB" w:rsidRDefault="004A147C" w:rsidP="00CE5850">
            <w:pPr>
              <w:jc w:val="center"/>
              <w:rPr>
                <w:kern w:val="0"/>
                <w:szCs w:val="22"/>
              </w:rPr>
            </w:pPr>
            <w:r w:rsidRPr="00B53FFB">
              <w:rPr>
                <w:kern w:val="0"/>
                <w:szCs w:val="22"/>
              </w:rPr>
              <w:t>Country</w:t>
            </w:r>
          </w:p>
        </w:tc>
        <w:tc>
          <w:tcPr>
            <w:tcW w:w="0" w:type="auto"/>
          </w:tcPr>
          <w:p w:rsidR="004A147C" w:rsidRPr="00B53FFB" w:rsidRDefault="004A147C" w:rsidP="00CE5850">
            <w:pPr>
              <w:jc w:val="center"/>
              <w:rPr>
                <w:kern w:val="0"/>
                <w:szCs w:val="22"/>
              </w:rPr>
            </w:pPr>
            <w:r w:rsidRPr="00B53FFB">
              <w:rPr>
                <w:kern w:val="0"/>
                <w:szCs w:val="22"/>
              </w:rPr>
              <w:t>Penetration</w:t>
            </w:r>
          </w:p>
          <w:p w:rsidR="004A147C" w:rsidRPr="00B53FFB" w:rsidRDefault="004A147C" w:rsidP="00CE5850">
            <w:pPr>
              <w:jc w:val="center"/>
              <w:rPr>
                <w:kern w:val="0"/>
                <w:szCs w:val="22"/>
              </w:rPr>
            </w:pPr>
            <w:r w:rsidRPr="00B53FFB">
              <w:rPr>
                <w:kern w:val="0"/>
                <w:szCs w:val="22"/>
              </w:rPr>
              <w:t xml:space="preserve">(% of Pops) </w:t>
            </w:r>
          </w:p>
        </w:tc>
        <w:tc>
          <w:tcPr>
            <w:tcW w:w="0" w:type="auto"/>
          </w:tcPr>
          <w:p w:rsidR="004A147C" w:rsidRPr="00B53FFB" w:rsidRDefault="004A147C" w:rsidP="00CE5850">
            <w:pPr>
              <w:jc w:val="center"/>
              <w:rPr>
                <w:kern w:val="0"/>
                <w:szCs w:val="22"/>
              </w:rPr>
            </w:pPr>
            <w:r w:rsidRPr="00B53FFB">
              <w:rPr>
                <w:kern w:val="0"/>
                <w:szCs w:val="22"/>
              </w:rPr>
              <w:t>Prepaid</w:t>
            </w:r>
          </w:p>
          <w:p w:rsidR="004A147C" w:rsidRPr="00B53FFB" w:rsidRDefault="004A147C" w:rsidP="00CE5850">
            <w:pPr>
              <w:jc w:val="center"/>
              <w:rPr>
                <w:kern w:val="0"/>
                <w:szCs w:val="22"/>
              </w:rPr>
            </w:pPr>
            <w:r w:rsidRPr="00B53FFB">
              <w:rPr>
                <w:kern w:val="0"/>
                <w:szCs w:val="22"/>
              </w:rPr>
              <w:t>(% of Subs)</w:t>
            </w:r>
          </w:p>
        </w:tc>
        <w:tc>
          <w:tcPr>
            <w:tcW w:w="0" w:type="auto"/>
          </w:tcPr>
          <w:p w:rsidR="004A147C" w:rsidRPr="00B53FFB" w:rsidRDefault="004A147C" w:rsidP="00CE5850">
            <w:pPr>
              <w:jc w:val="center"/>
              <w:rPr>
                <w:kern w:val="0"/>
                <w:szCs w:val="22"/>
              </w:rPr>
            </w:pPr>
            <w:r w:rsidRPr="00B53FFB">
              <w:rPr>
                <w:kern w:val="0"/>
                <w:szCs w:val="22"/>
              </w:rPr>
              <w:t>MOUs</w:t>
            </w:r>
          </w:p>
        </w:tc>
        <w:tc>
          <w:tcPr>
            <w:tcW w:w="0" w:type="auto"/>
          </w:tcPr>
          <w:p w:rsidR="004A147C" w:rsidRPr="00B53FFB" w:rsidRDefault="004A147C" w:rsidP="00CE5850">
            <w:pPr>
              <w:jc w:val="center"/>
              <w:rPr>
                <w:kern w:val="0"/>
                <w:szCs w:val="22"/>
              </w:rPr>
            </w:pPr>
            <w:r w:rsidRPr="00B53FFB">
              <w:rPr>
                <w:kern w:val="0"/>
                <w:szCs w:val="22"/>
              </w:rPr>
              <w:t>RPM ($)</w:t>
            </w:r>
          </w:p>
          <w:p w:rsidR="004A147C" w:rsidRPr="00B53FFB" w:rsidRDefault="004A147C" w:rsidP="00CE5850">
            <w:pPr>
              <w:jc w:val="center"/>
              <w:rPr>
                <w:kern w:val="0"/>
                <w:szCs w:val="22"/>
              </w:rPr>
            </w:pPr>
            <w:r w:rsidRPr="00B53FFB">
              <w:rPr>
                <w:kern w:val="0"/>
                <w:szCs w:val="22"/>
              </w:rPr>
              <w:t>Voice Only</w:t>
            </w:r>
          </w:p>
        </w:tc>
        <w:tc>
          <w:tcPr>
            <w:tcW w:w="0" w:type="auto"/>
          </w:tcPr>
          <w:p w:rsidR="004A147C" w:rsidRPr="00B53FFB" w:rsidRDefault="004A147C" w:rsidP="00CE5850">
            <w:pPr>
              <w:jc w:val="center"/>
              <w:rPr>
                <w:kern w:val="0"/>
                <w:szCs w:val="22"/>
              </w:rPr>
            </w:pPr>
            <w:r w:rsidRPr="00B53FFB">
              <w:rPr>
                <w:kern w:val="0"/>
                <w:szCs w:val="22"/>
              </w:rPr>
              <w:t>ARPU</w:t>
            </w:r>
          </w:p>
          <w:p w:rsidR="004A147C" w:rsidRPr="00B53FFB" w:rsidRDefault="004A147C" w:rsidP="00CE5850">
            <w:pPr>
              <w:jc w:val="center"/>
              <w:rPr>
                <w:kern w:val="0"/>
                <w:szCs w:val="22"/>
              </w:rPr>
            </w:pPr>
            <w:r w:rsidRPr="00B53FFB">
              <w:rPr>
                <w:kern w:val="0"/>
                <w:szCs w:val="22"/>
              </w:rPr>
              <w:t>($)</w:t>
            </w:r>
          </w:p>
        </w:tc>
        <w:tc>
          <w:tcPr>
            <w:tcW w:w="0" w:type="auto"/>
          </w:tcPr>
          <w:p w:rsidR="004A147C" w:rsidRPr="00B53FFB" w:rsidRDefault="004A147C" w:rsidP="00CE5850">
            <w:pPr>
              <w:jc w:val="center"/>
              <w:rPr>
                <w:kern w:val="0"/>
                <w:szCs w:val="22"/>
              </w:rPr>
            </w:pPr>
            <w:r w:rsidRPr="00B53FFB">
              <w:rPr>
                <w:kern w:val="0"/>
                <w:szCs w:val="22"/>
              </w:rPr>
              <w:t xml:space="preserve">Data </w:t>
            </w:r>
          </w:p>
          <w:p w:rsidR="004A147C" w:rsidRPr="00B53FFB" w:rsidRDefault="004A147C" w:rsidP="00CE5850">
            <w:pPr>
              <w:jc w:val="center"/>
              <w:rPr>
                <w:kern w:val="0"/>
                <w:szCs w:val="22"/>
              </w:rPr>
            </w:pPr>
            <w:r w:rsidRPr="00B53FFB">
              <w:rPr>
                <w:kern w:val="0"/>
                <w:szCs w:val="22"/>
              </w:rPr>
              <w:t>(% of ARPU)</w:t>
            </w:r>
          </w:p>
        </w:tc>
      </w:tr>
      <w:tr w:rsidR="004A147C" w:rsidRPr="00B53FFB" w:rsidTr="00815372">
        <w:trPr>
          <w:jc w:val="center"/>
        </w:trPr>
        <w:tc>
          <w:tcPr>
            <w:tcW w:w="0" w:type="auto"/>
            <w:gridSpan w:val="7"/>
          </w:tcPr>
          <w:p w:rsidR="004A147C" w:rsidRPr="00B53FFB" w:rsidRDefault="004A147C" w:rsidP="00CE5850">
            <w:pPr>
              <w:rPr>
                <w:b/>
                <w:kern w:val="0"/>
                <w:szCs w:val="22"/>
              </w:rPr>
            </w:pPr>
            <w:r w:rsidRPr="00B53FFB">
              <w:rPr>
                <w:b/>
                <w:kern w:val="0"/>
                <w:szCs w:val="22"/>
              </w:rPr>
              <w:t>Receiving Party Pays</w:t>
            </w:r>
          </w:p>
        </w:tc>
      </w:tr>
      <w:tr w:rsidR="004A147C" w:rsidRPr="00B53FFB" w:rsidTr="00815372">
        <w:trPr>
          <w:jc w:val="center"/>
        </w:trPr>
        <w:tc>
          <w:tcPr>
            <w:tcW w:w="0" w:type="auto"/>
            <w:shd w:val="clear" w:color="auto" w:fill="FFFF99"/>
          </w:tcPr>
          <w:p w:rsidR="004A147C" w:rsidRPr="00B53FFB" w:rsidRDefault="004A147C" w:rsidP="00CE5850">
            <w:pPr>
              <w:rPr>
                <w:kern w:val="0"/>
                <w:szCs w:val="22"/>
              </w:rPr>
            </w:pPr>
            <w:r w:rsidRPr="00B53FFB">
              <w:rPr>
                <w:kern w:val="0"/>
                <w:szCs w:val="22"/>
              </w:rPr>
              <w:t>USA</w:t>
            </w:r>
          </w:p>
        </w:tc>
        <w:tc>
          <w:tcPr>
            <w:tcW w:w="0" w:type="auto"/>
            <w:shd w:val="clear" w:color="auto" w:fill="FFFF99"/>
          </w:tcPr>
          <w:p w:rsidR="004A147C" w:rsidRPr="00B53FFB" w:rsidRDefault="004A147C" w:rsidP="00CE5850">
            <w:pPr>
              <w:tabs>
                <w:tab w:val="left" w:pos="1160"/>
              </w:tabs>
              <w:rPr>
                <w:kern w:val="0"/>
                <w:szCs w:val="22"/>
              </w:rPr>
            </w:pPr>
            <w:r w:rsidRPr="00B53FFB">
              <w:rPr>
                <w:kern w:val="0"/>
                <w:szCs w:val="22"/>
              </w:rPr>
              <w:t xml:space="preserve">      106</w:t>
            </w:r>
          </w:p>
        </w:tc>
        <w:tc>
          <w:tcPr>
            <w:tcW w:w="0" w:type="auto"/>
            <w:shd w:val="clear" w:color="auto" w:fill="FFFF99"/>
          </w:tcPr>
          <w:p w:rsidR="004A147C" w:rsidRPr="00B53FFB" w:rsidRDefault="004A147C" w:rsidP="00CE5850">
            <w:pPr>
              <w:jc w:val="center"/>
              <w:rPr>
                <w:kern w:val="0"/>
                <w:szCs w:val="22"/>
              </w:rPr>
            </w:pPr>
            <w:r w:rsidRPr="00B53FFB">
              <w:rPr>
                <w:kern w:val="0"/>
                <w:szCs w:val="22"/>
              </w:rPr>
              <w:t>29</w:t>
            </w:r>
          </w:p>
        </w:tc>
        <w:tc>
          <w:tcPr>
            <w:tcW w:w="0" w:type="auto"/>
            <w:shd w:val="clear" w:color="auto" w:fill="FFFF99"/>
          </w:tcPr>
          <w:p w:rsidR="004A147C" w:rsidRPr="00B53FFB" w:rsidRDefault="004A147C" w:rsidP="00CE5850">
            <w:pPr>
              <w:jc w:val="center"/>
              <w:rPr>
                <w:kern w:val="0"/>
                <w:szCs w:val="22"/>
              </w:rPr>
            </w:pPr>
            <w:r w:rsidRPr="00B53FFB">
              <w:rPr>
                <w:kern w:val="0"/>
                <w:szCs w:val="22"/>
              </w:rPr>
              <w:t>945</w:t>
            </w:r>
          </w:p>
        </w:tc>
        <w:tc>
          <w:tcPr>
            <w:tcW w:w="0" w:type="auto"/>
            <w:shd w:val="clear" w:color="auto" w:fill="FFFF99"/>
          </w:tcPr>
          <w:p w:rsidR="004A147C" w:rsidRPr="00B53FFB" w:rsidRDefault="004A147C" w:rsidP="00CE5850">
            <w:pPr>
              <w:jc w:val="center"/>
              <w:rPr>
                <w:kern w:val="0"/>
                <w:szCs w:val="22"/>
              </w:rPr>
            </w:pPr>
            <w:r w:rsidRPr="00B53FFB">
              <w:rPr>
                <w:kern w:val="0"/>
                <w:szCs w:val="22"/>
              </w:rPr>
              <w:t>0.033</w:t>
            </w:r>
          </w:p>
        </w:tc>
        <w:tc>
          <w:tcPr>
            <w:tcW w:w="0" w:type="auto"/>
            <w:shd w:val="clear" w:color="auto" w:fill="FFFF99"/>
          </w:tcPr>
          <w:p w:rsidR="004A147C" w:rsidRPr="00B53FFB" w:rsidRDefault="004A147C" w:rsidP="00CE5850">
            <w:pPr>
              <w:jc w:val="center"/>
              <w:rPr>
                <w:kern w:val="0"/>
                <w:szCs w:val="22"/>
              </w:rPr>
            </w:pPr>
            <w:r w:rsidRPr="00B53FFB">
              <w:rPr>
                <w:kern w:val="0"/>
                <w:szCs w:val="22"/>
              </w:rPr>
              <w:t>50.88</w:t>
            </w:r>
          </w:p>
        </w:tc>
        <w:tc>
          <w:tcPr>
            <w:tcW w:w="0" w:type="auto"/>
            <w:shd w:val="clear" w:color="auto" w:fill="FFFF99"/>
          </w:tcPr>
          <w:p w:rsidR="004A147C" w:rsidRPr="00B53FFB" w:rsidRDefault="004A147C" w:rsidP="00CE5850">
            <w:pPr>
              <w:jc w:val="center"/>
              <w:rPr>
                <w:kern w:val="0"/>
                <w:szCs w:val="22"/>
              </w:rPr>
            </w:pPr>
            <w:r w:rsidRPr="00B53FFB">
              <w:rPr>
                <w:kern w:val="0"/>
                <w:szCs w:val="22"/>
              </w:rPr>
              <w:t>39.9</w:t>
            </w:r>
          </w:p>
        </w:tc>
      </w:tr>
      <w:tr w:rsidR="004A147C" w:rsidRPr="00B53FFB" w:rsidTr="00815372">
        <w:trPr>
          <w:jc w:val="center"/>
        </w:trPr>
        <w:tc>
          <w:tcPr>
            <w:tcW w:w="0" w:type="auto"/>
            <w:shd w:val="clear" w:color="auto" w:fill="FFFF99"/>
          </w:tcPr>
          <w:p w:rsidR="004A147C" w:rsidRPr="00B53FFB" w:rsidRDefault="004A147C" w:rsidP="00CE5850">
            <w:pPr>
              <w:rPr>
                <w:kern w:val="0"/>
                <w:szCs w:val="22"/>
              </w:rPr>
            </w:pPr>
            <w:r w:rsidRPr="00B53FFB">
              <w:rPr>
                <w:kern w:val="0"/>
                <w:szCs w:val="22"/>
              </w:rPr>
              <w:t>Canada</w:t>
            </w:r>
          </w:p>
        </w:tc>
        <w:tc>
          <w:tcPr>
            <w:tcW w:w="0" w:type="auto"/>
            <w:shd w:val="clear" w:color="auto" w:fill="FFFF99"/>
          </w:tcPr>
          <w:p w:rsidR="004A147C" w:rsidRPr="00B53FFB" w:rsidRDefault="004A147C" w:rsidP="00CE5850">
            <w:pPr>
              <w:rPr>
                <w:kern w:val="0"/>
                <w:szCs w:val="22"/>
              </w:rPr>
            </w:pPr>
            <w:r w:rsidRPr="00B53FFB">
              <w:rPr>
                <w:kern w:val="0"/>
                <w:szCs w:val="22"/>
              </w:rPr>
              <w:t xml:space="preserve">       77</w:t>
            </w:r>
          </w:p>
        </w:tc>
        <w:tc>
          <w:tcPr>
            <w:tcW w:w="0" w:type="auto"/>
            <w:shd w:val="clear" w:color="auto" w:fill="FFFF99"/>
          </w:tcPr>
          <w:p w:rsidR="004A147C" w:rsidRPr="00B53FFB" w:rsidRDefault="004A147C" w:rsidP="00CE5850">
            <w:pPr>
              <w:jc w:val="center"/>
              <w:rPr>
                <w:kern w:val="0"/>
                <w:szCs w:val="22"/>
              </w:rPr>
            </w:pPr>
            <w:r w:rsidRPr="00B53FFB">
              <w:rPr>
                <w:kern w:val="0"/>
                <w:szCs w:val="22"/>
              </w:rPr>
              <w:t>19</w:t>
            </w:r>
          </w:p>
        </w:tc>
        <w:tc>
          <w:tcPr>
            <w:tcW w:w="0" w:type="auto"/>
            <w:shd w:val="clear" w:color="auto" w:fill="FFFF99"/>
          </w:tcPr>
          <w:p w:rsidR="004A147C" w:rsidRPr="00B53FFB" w:rsidRDefault="004A147C" w:rsidP="00CE5850">
            <w:pPr>
              <w:jc w:val="center"/>
              <w:rPr>
                <w:kern w:val="0"/>
                <w:szCs w:val="22"/>
              </w:rPr>
            </w:pPr>
            <w:r w:rsidRPr="00B53FFB">
              <w:rPr>
                <w:kern w:val="0"/>
                <w:szCs w:val="22"/>
              </w:rPr>
              <w:t>372</w:t>
            </w:r>
          </w:p>
        </w:tc>
        <w:tc>
          <w:tcPr>
            <w:tcW w:w="0" w:type="auto"/>
            <w:shd w:val="clear" w:color="auto" w:fill="FFFF99"/>
          </w:tcPr>
          <w:p w:rsidR="004A147C" w:rsidRPr="00B53FFB" w:rsidRDefault="004A147C" w:rsidP="00CE5850">
            <w:pPr>
              <w:jc w:val="center"/>
              <w:rPr>
                <w:kern w:val="0"/>
                <w:szCs w:val="22"/>
              </w:rPr>
            </w:pPr>
            <w:r w:rsidRPr="00B53FFB">
              <w:rPr>
                <w:kern w:val="0"/>
                <w:szCs w:val="22"/>
              </w:rPr>
              <w:t>0.091</w:t>
            </w:r>
          </w:p>
        </w:tc>
        <w:tc>
          <w:tcPr>
            <w:tcW w:w="0" w:type="auto"/>
            <w:shd w:val="clear" w:color="auto" w:fill="FFFF99"/>
          </w:tcPr>
          <w:p w:rsidR="004A147C" w:rsidRPr="00B53FFB" w:rsidRDefault="004A147C" w:rsidP="00CE5850">
            <w:pPr>
              <w:jc w:val="center"/>
              <w:rPr>
                <w:kern w:val="0"/>
                <w:szCs w:val="22"/>
              </w:rPr>
            </w:pPr>
            <w:r w:rsidRPr="00B53FFB">
              <w:rPr>
                <w:kern w:val="0"/>
                <w:szCs w:val="22"/>
              </w:rPr>
              <w:t>56.32</w:t>
            </w:r>
          </w:p>
        </w:tc>
        <w:tc>
          <w:tcPr>
            <w:tcW w:w="0" w:type="auto"/>
            <w:shd w:val="clear" w:color="auto" w:fill="FFFF99"/>
          </w:tcPr>
          <w:p w:rsidR="004A147C" w:rsidRPr="00B53FFB" w:rsidRDefault="004A147C" w:rsidP="00CE5850">
            <w:pPr>
              <w:jc w:val="center"/>
              <w:rPr>
                <w:kern w:val="0"/>
                <w:szCs w:val="22"/>
              </w:rPr>
            </w:pPr>
            <w:r w:rsidRPr="00B53FFB">
              <w:rPr>
                <w:kern w:val="0"/>
                <w:szCs w:val="22"/>
              </w:rPr>
              <w:t>34.7</w:t>
            </w:r>
          </w:p>
        </w:tc>
      </w:tr>
      <w:tr w:rsidR="004A147C" w:rsidRPr="00B53FFB" w:rsidTr="00815372">
        <w:trPr>
          <w:jc w:val="center"/>
        </w:trPr>
        <w:tc>
          <w:tcPr>
            <w:tcW w:w="0" w:type="auto"/>
            <w:shd w:val="clear" w:color="auto" w:fill="FFFF99"/>
          </w:tcPr>
          <w:p w:rsidR="004A147C" w:rsidRPr="00B53FFB" w:rsidRDefault="004A147C" w:rsidP="00CE5850">
            <w:pPr>
              <w:rPr>
                <w:kern w:val="0"/>
                <w:szCs w:val="22"/>
              </w:rPr>
            </w:pPr>
            <w:r w:rsidRPr="00B53FFB">
              <w:rPr>
                <w:kern w:val="0"/>
                <w:szCs w:val="22"/>
              </w:rPr>
              <w:t>Singapore</w:t>
            </w:r>
          </w:p>
        </w:tc>
        <w:tc>
          <w:tcPr>
            <w:tcW w:w="0" w:type="auto"/>
            <w:shd w:val="clear" w:color="auto" w:fill="FFFF99"/>
          </w:tcPr>
          <w:p w:rsidR="004A147C" w:rsidRPr="00B53FFB" w:rsidRDefault="004A147C" w:rsidP="00CE5850">
            <w:pPr>
              <w:rPr>
                <w:kern w:val="0"/>
                <w:szCs w:val="22"/>
              </w:rPr>
            </w:pPr>
            <w:r w:rsidRPr="00B53FFB">
              <w:rPr>
                <w:kern w:val="0"/>
                <w:szCs w:val="22"/>
              </w:rPr>
              <w:t xml:space="preserve">     148</w:t>
            </w:r>
          </w:p>
        </w:tc>
        <w:tc>
          <w:tcPr>
            <w:tcW w:w="0" w:type="auto"/>
            <w:shd w:val="clear" w:color="auto" w:fill="FFFF99"/>
          </w:tcPr>
          <w:p w:rsidR="004A147C" w:rsidRPr="00B53FFB" w:rsidRDefault="004A147C" w:rsidP="00CE5850">
            <w:pPr>
              <w:jc w:val="center"/>
              <w:rPr>
                <w:kern w:val="0"/>
                <w:szCs w:val="22"/>
              </w:rPr>
            </w:pPr>
            <w:r w:rsidRPr="00B53FFB">
              <w:rPr>
                <w:kern w:val="0"/>
                <w:szCs w:val="22"/>
              </w:rPr>
              <w:t>48</w:t>
            </w:r>
          </w:p>
        </w:tc>
        <w:tc>
          <w:tcPr>
            <w:tcW w:w="0" w:type="auto"/>
            <w:shd w:val="clear" w:color="auto" w:fill="FFFF99"/>
          </w:tcPr>
          <w:p w:rsidR="004A147C" w:rsidRPr="00B53FFB" w:rsidRDefault="004A147C" w:rsidP="00CE5850">
            <w:pPr>
              <w:jc w:val="center"/>
              <w:rPr>
                <w:kern w:val="0"/>
                <w:szCs w:val="22"/>
              </w:rPr>
            </w:pPr>
            <w:r w:rsidRPr="00B53FFB">
              <w:rPr>
                <w:kern w:val="0"/>
                <w:szCs w:val="22"/>
              </w:rPr>
              <w:t>352</w:t>
            </w:r>
          </w:p>
        </w:tc>
        <w:tc>
          <w:tcPr>
            <w:tcW w:w="0" w:type="auto"/>
            <w:shd w:val="clear" w:color="auto" w:fill="FFFF99"/>
          </w:tcPr>
          <w:p w:rsidR="004A147C" w:rsidRPr="00B53FFB" w:rsidRDefault="004A147C" w:rsidP="00CE5850">
            <w:pPr>
              <w:jc w:val="center"/>
              <w:rPr>
                <w:kern w:val="0"/>
                <w:szCs w:val="22"/>
              </w:rPr>
            </w:pPr>
            <w:r w:rsidRPr="00B53FFB">
              <w:rPr>
                <w:kern w:val="0"/>
                <w:szCs w:val="22"/>
              </w:rPr>
              <w:t>0.064</w:t>
            </w:r>
          </w:p>
        </w:tc>
        <w:tc>
          <w:tcPr>
            <w:tcW w:w="0" w:type="auto"/>
            <w:shd w:val="clear" w:color="auto" w:fill="FFFF99"/>
          </w:tcPr>
          <w:p w:rsidR="004A147C" w:rsidRPr="00B53FFB" w:rsidRDefault="004A147C" w:rsidP="00CE5850">
            <w:pPr>
              <w:jc w:val="center"/>
              <w:rPr>
                <w:kern w:val="0"/>
                <w:szCs w:val="22"/>
              </w:rPr>
            </w:pPr>
            <w:r w:rsidRPr="00B53FFB">
              <w:rPr>
                <w:kern w:val="0"/>
                <w:szCs w:val="22"/>
              </w:rPr>
              <w:t>36.85</w:t>
            </w:r>
          </w:p>
        </w:tc>
        <w:tc>
          <w:tcPr>
            <w:tcW w:w="0" w:type="auto"/>
            <w:shd w:val="clear" w:color="auto" w:fill="FFFF99"/>
          </w:tcPr>
          <w:p w:rsidR="004A147C" w:rsidRPr="00B53FFB" w:rsidRDefault="004A147C" w:rsidP="00CE5850">
            <w:pPr>
              <w:jc w:val="center"/>
              <w:rPr>
                <w:kern w:val="0"/>
                <w:szCs w:val="22"/>
              </w:rPr>
            </w:pPr>
            <w:r w:rsidRPr="00B53FFB">
              <w:rPr>
                <w:kern w:val="0"/>
                <w:szCs w:val="22"/>
              </w:rPr>
              <w:t>39.1</w:t>
            </w:r>
          </w:p>
        </w:tc>
      </w:tr>
      <w:tr w:rsidR="004A147C" w:rsidRPr="00B53FFB" w:rsidTr="00815372">
        <w:trPr>
          <w:jc w:val="center"/>
        </w:trPr>
        <w:tc>
          <w:tcPr>
            <w:tcW w:w="0" w:type="auto"/>
            <w:gridSpan w:val="7"/>
          </w:tcPr>
          <w:p w:rsidR="004A147C" w:rsidRPr="00B53FFB" w:rsidRDefault="004A147C" w:rsidP="00CE5850">
            <w:pPr>
              <w:rPr>
                <w:b/>
                <w:kern w:val="0"/>
                <w:szCs w:val="22"/>
              </w:rPr>
            </w:pPr>
            <w:r w:rsidRPr="00B53FFB">
              <w:rPr>
                <w:b/>
                <w:kern w:val="0"/>
                <w:szCs w:val="22"/>
              </w:rPr>
              <w:t>Calling Party Pays</w:t>
            </w:r>
          </w:p>
        </w:tc>
      </w:tr>
      <w:tr w:rsidR="004A147C" w:rsidRPr="00B53FFB" w:rsidTr="00815372">
        <w:trPr>
          <w:jc w:val="center"/>
        </w:trPr>
        <w:tc>
          <w:tcPr>
            <w:tcW w:w="0" w:type="auto"/>
            <w:shd w:val="clear" w:color="auto" w:fill="CCFFFF"/>
          </w:tcPr>
          <w:p w:rsidR="004A147C" w:rsidRPr="00B53FFB" w:rsidRDefault="004A147C" w:rsidP="00CE5850">
            <w:pPr>
              <w:rPr>
                <w:kern w:val="0"/>
                <w:szCs w:val="22"/>
              </w:rPr>
            </w:pPr>
            <w:r w:rsidRPr="00B53FFB">
              <w:rPr>
                <w:kern w:val="0"/>
                <w:szCs w:val="22"/>
              </w:rPr>
              <w:t>UK</w:t>
            </w:r>
          </w:p>
        </w:tc>
        <w:tc>
          <w:tcPr>
            <w:tcW w:w="0" w:type="auto"/>
            <w:shd w:val="clear" w:color="auto" w:fill="CCFFFF"/>
          </w:tcPr>
          <w:p w:rsidR="004A147C" w:rsidRPr="00B53FFB" w:rsidRDefault="004A147C" w:rsidP="00CE5850">
            <w:pPr>
              <w:rPr>
                <w:kern w:val="0"/>
                <w:szCs w:val="22"/>
              </w:rPr>
            </w:pPr>
            <w:r w:rsidRPr="00B53FFB">
              <w:rPr>
                <w:kern w:val="0"/>
                <w:szCs w:val="22"/>
              </w:rPr>
              <w:t xml:space="preserve">     123</w:t>
            </w:r>
          </w:p>
        </w:tc>
        <w:tc>
          <w:tcPr>
            <w:tcW w:w="0" w:type="auto"/>
            <w:shd w:val="clear" w:color="auto" w:fill="CCFFFF"/>
          </w:tcPr>
          <w:p w:rsidR="004A147C" w:rsidRPr="00B53FFB" w:rsidRDefault="004A147C" w:rsidP="00CE5850">
            <w:pPr>
              <w:jc w:val="center"/>
              <w:rPr>
                <w:kern w:val="0"/>
                <w:szCs w:val="22"/>
              </w:rPr>
            </w:pPr>
            <w:r w:rsidRPr="00B53FFB">
              <w:rPr>
                <w:kern w:val="0"/>
                <w:szCs w:val="22"/>
              </w:rPr>
              <w:t>50</w:t>
            </w:r>
          </w:p>
        </w:tc>
        <w:tc>
          <w:tcPr>
            <w:tcW w:w="0" w:type="auto"/>
            <w:shd w:val="clear" w:color="auto" w:fill="CCFFFF"/>
          </w:tcPr>
          <w:p w:rsidR="004A147C" w:rsidRPr="00B53FFB" w:rsidRDefault="004A147C" w:rsidP="00CE5850">
            <w:pPr>
              <w:jc w:val="center"/>
              <w:rPr>
                <w:kern w:val="0"/>
                <w:szCs w:val="22"/>
              </w:rPr>
            </w:pPr>
            <w:r w:rsidRPr="00B53FFB">
              <w:rPr>
                <w:kern w:val="0"/>
                <w:szCs w:val="22"/>
              </w:rPr>
              <w:t>192</w:t>
            </w:r>
          </w:p>
        </w:tc>
        <w:tc>
          <w:tcPr>
            <w:tcW w:w="0" w:type="auto"/>
            <w:shd w:val="clear" w:color="auto" w:fill="CCFFFF"/>
          </w:tcPr>
          <w:p w:rsidR="004A147C" w:rsidRPr="00B53FFB" w:rsidRDefault="004A147C" w:rsidP="00CE5850">
            <w:pPr>
              <w:jc w:val="center"/>
              <w:rPr>
                <w:kern w:val="0"/>
                <w:szCs w:val="22"/>
              </w:rPr>
            </w:pPr>
            <w:r w:rsidRPr="00B53FFB">
              <w:rPr>
                <w:kern w:val="0"/>
                <w:szCs w:val="22"/>
              </w:rPr>
              <w:t>0.083</w:t>
            </w:r>
          </w:p>
        </w:tc>
        <w:tc>
          <w:tcPr>
            <w:tcW w:w="0" w:type="auto"/>
            <w:shd w:val="clear" w:color="auto" w:fill="CCFFFF"/>
          </w:tcPr>
          <w:p w:rsidR="004A147C" w:rsidRPr="00B53FFB" w:rsidRDefault="004A147C" w:rsidP="00CE5850">
            <w:pPr>
              <w:jc w:val="center"/>
              <w:rPr>
                <w:kern w:val="0"/>
                <w:szCs w:val="22"/>
              </w:rPr>
            </w:pPr>
            <w:r w:rsidRPr="00B53FFB">
              <w:rPr>
                <w:kern w:val="0"/>
                <w:szCs w:val="22"/>
              </w:rPr>
              <w:t>27.07</w:t>
            </w:r>
          </w:p>
        </w:tc>
        <w:tc>
          <w:tcPr>
            <w:tcW w:w="0" w:type="auto"/>
            <w:shd w:val="clear" w:color="auto" w:fill="CCFFFF"/>
          </w:tcPr>
          <w:p w:rsidR="004A147C" w:rsidRPr="00B53FFB" w:rsidRDefault="004A147C" w:rsidP="00CE5850">
            <w:pPr>
              <w:jc w:val="center"/>
              <w:rPr>
                <w:kern w:val="0"/>
                <w:szCs w:val="22"/>
              </w:rPr>
            </w:pPr>
            <w:r w:rsidRPr="00B53FFB">
              <w:rPr>
                <w:kern w:val="0"/>
                <w:szCs w:val="22"/>
              </w:rPr>
              <w:t>37.0</w:t>
            </w:r>
          </w:p>
        </w:tc>
      </w:tr>
      <w:tr w:rsidR="004A147C" w:rsidRPr="00B53FFB" w:rsidTr="00815372">
        <w:trPr>
          <w:jc w:val="center"/>
        </w:trPr>
        <w:tc>
          <w:tcPr>
            <w:tcW w:w="0" w:type="auto"/>
            <w:shd w:val="clear" w:color="auto" w:fill="CCFFFF"/>
          </w:tcPr>
          <w:p w:rsidR="004A147C" w:rsidRPr="00B53FFB" w:rsidRDefault="004A147C" w:rsidP="00CE5850">
            <w:pPr>
              <w:rPr>
                <w:kern w:val="0"/>
                <w:szCs w:val="22"/>
              </w:rPr>
            </w:pPr>
            <w:r w:rsidRPr="00B53FFB">
              <w:rPr>
                <w:kern w:val="0"/>
                <w:szCs w:val="22"/>
              </w:rPr>
              <w:t>Germany</w:t>
            </w:r>
          </w:p>
        </w:tc>
        <w:tc>
          <w:tcPr>
            <w:tcW w:w="0" w:type="auto"/>
            <w:shd w:val="clear" w:color="auto" w:fill="CCFFFF"/>
          </w:tcPr>
          <w:p w:rsidR="004A147C" w:rsidRPr="00B53FFB" w:rsidRDefault="004A147C" w:rsidP="00CE5850">
            <w:pPr>
              <w:rPr>
                <w:kern w:val="0"/>
                <w:szCs w:val="22"/>
              </w:rPr>
            </w:pPr>
            <w:r w:rsidRPr="00B53FFB">
              <w:rPr>
                <w:kern w:val="0"/>
                <w:szCs w:val="22"/>
              </w:rPr>
              <w:t xml:space="preserve">     139</w:t>
            </w:r>
          </w:p>
        </w:tc>
        <w:tc>
          <w:tcPr>
            <w:tcW w:w="0" w:type="auto"/>
            <w:shd w:val="clear" w:color="auto" w:fill="CCFFFF"/>
          </w:tcPr>
          <w:p w:rsidR="004A147C" w:rsidRPr="00B53FFB" w:rsidRDefault="004A147C" w:rsidP="00CE5850">
            <w:pPr>
              <w:jc w:val="center"/>
              <w:rPr>
                <w:kern w:val="0"/>
                <w:szCs w:val="22"/>
              </w:rPr>
            </w:pPr>
            <w:r w:rsidRPr="00B53FFB">
              <w:rPr>
                <w:kern w:val="0"/>
                <w:szCs w:val="22"/>
              </w:rPr>
              <w:t>56</w:t>
            </w:r>
          </w:p>
        </w:tc>
        <w:tc>
          <w:tcPr>
            <w:tcW w:w="0" w:type="auto"/>
            <w:shd w:val="clear" w:color="auto" w:fill="CCFFFF"/>
          </w:tcPr>
          <w:p w:rsidR="004A147C" w:rsidRPr="00B53FFB" w:rsidRDefault="004A147C" w:rsidP="00CE5850">
            <w:pPr>
              <w:jc w:val="center"/>
              <w:rPr>
                <w:kern w:val="0"/>
                <w:szCs w:val="22"/>
              </w:rPr>
            </w:pPr>
            <w:r w:rsidRPr="00B53FFB">
              <w:rPr>
                <w:kern w:val="0"/>
                <w:szCs w:val="22"/>
              </w:rPr>
              <w:t>130</w:t>
            </w:r>
          </w:p>
        </w:tc>
        <w:tc>
          <w:tcPr>
            <w:tcW w:w="0" w:type="auto"/>
            <w:shd w:val="clear" w:color="auto" w:fill="CCFFFF"/>
          </w:tcPr>
          <w:p w:rsidR="004A147C" w:rsidRPr="00B53FFB" w:rsidRDefault="004A147C" w:rsidP="00CE5850">
            <w:pPr>
              <w:jc w:val="center"/>
              <w:rPr>
                <w:kern w:val="0"/>
                <w:szCs w:val="22"/>
              </w:rPr>
            </w:pPr>
            <w:r w:rsidRPr="00B53FFB">
              <w:rPr>
                <w:kern w:val="0"/>
                <w:szCs w:val="22"/>
              </w:rPr>
              <w:t>0.092</w:t>
            </w:r>
          </w:p>
        </w:tc>
        <w:tc>
          <w:tcPr>
            <w:tcW w:w="0" w:type="auto"/>
            <w:shd w:val="clear" w:color="auto" w:fill="CCFFFF"/>
          </w:tcPr>
          <w:p w:rsidR="004A147C" w:rsidRPr="00B53FFB" w:rsidRDefault="004A147C" w:rsidP="00CE5850">
            <w:pPr>
              <w:jc w:val="center"/>
              <w:rPr>
                <w:kern w:val="0"/>
                <w:szCs w:val="22"/>
              </w:rPr>
            </w:pPr>
            <w:r w:rsidRPr="00B53FFB">
              <w:rPr>
                <w:kern w:val="0"/>
                <w:szCs w:val="22"/>
              </w:rPr>
              <w:t>19.81</w:t>
            </w:r>
          </w:p>
        </w:tc>
        <w:tc>
          <w:tcPr>
            <w:tcW w:w="0" w:type="auto"/>
            <w:shd w:val="clear" w:color="auto" w:fill="CCFFFF"/>
          </w:tcPr>
          <w:p w:rsidR="004A147C" w:rsidRPr="00B53FFB" w:rsidRDefault="004A147C" w:rsidP="00CE5850">
            <w:pPr>
              <w:jc w:val="center"/>
              <w:rPr>
                <w:kern w:val="0"/>
                <w:szCs w:val="22"/>
              </w:rPr>
            </w:pPr>
            <w:r w:rsidRPr="00B53FFB">
              <w:rPr>
                <w:kern w:val="0"/>
                <w:szCs w:val="22"/>
              </w:rPr>
              <w:t>40.4</w:t>
            </w:r>
          </w:p>
        </w:tc>
      </w:tr>
      <w:tr w:rsidR="004A147C" w:rsidRPr="00B53FFB" w:rsidTr="00815372">
        <w:trPr>
          <w:jc w:val="center"/>
        </w:trPr>
        <w:tc>
          <w:tcPr>
            <w:tcW w:w="0" w:type="auto"/>
            <w:shd w:val="clear" w:color="auto" w:fill="CCFFFF"/>
          </w:tcPr>
          <w:p w:rsidR="004A147C" w:rsidRPr="00B53FFB" w:rsidRDefault="004A147C" w:rsidP="00CE5850">
            <w:pPr>
              <w:rPr>
                <w:kern w:val="0"/>
                <w:szCs w:val="22"/>
              </w:rPr>
            </w:pPr>
            <w:r w:rsidRPr="00B53FFB">
              <w:rPr>
                <w:kern w:val="0"/>
                <w:szCs w:val="22"/>
              </w:rPr>
              <w:t>Italy</w:t>
            </w:r>
          </w:p>
        </w:tc>
        <w:tc>
          <w:tcPr>
            <w:tcW w:w="0" w:type="auto"/>
            <w:shd w:val="clear" w:color="auto" w:fill="CCFFFF"/>
          </w:tcPr>
          <w:p w:rsidR="004A147C" w:rsidRPr="00B53FFB" w:rsidRDefault="004A147C" w:rsidP="00CE5850">
            <w:pPr>
              <w:rPr>
                <w:kern w:val="0"/>
                <w:szCs w:val="22"/>
              </w:rPr>
            </w:pPr>
            <w:r w:rsidRPr="00B53FFB">
              <w:rPr>
                <w:kern w:val="0"/>
                <w:szCs w:val="22"/>
              </w:rPr>
              <w:t xml:space="preserve">     152</w:t>
            </w:r>
          </w:p>
        </w:tc>
        <w:tc>
          <w:tcPr>
            <w:tcW w:w="0" w:type="auto"/>
            <w:shd w:val="clear" w:color="auto" w:fill="CCFFFF"/>
          </w:tcPr>
          <w:p w:rsidR="004A147C" w:rsidRPr="00B53FFB" w:rsidRDefault="004A147C" w:rsidP="00CE5850">
            <w:pPr>
              <w:jc w:val="center"/>
              <w:rPr>
                <w:kern w:val="0"/>
                <w:szCs w:val="22"/>
              </w:rPr>
            </w:pPr>
            <w:r w:rsidRPr="00B53FFB">
              <w:rPr>
                <w:kern w:val="0"/>
                <w:szCs w:val="22"/>
              </w:rPr>
              <w:t>86</w:t>
            </w:r>
          </w:p>
        </w:tc>
        <w:tc>
          <w:tcPr>
            <w:tcW w:w="0" w:type="auto"/>
            <w:shd w:val="clear" w:color="auto" w:fill="CCFFFF"/>
          </w:tcPr>
          <w:p w:rsidR="004A147C" w:rsidRPr="00B53FFB" w:rsidRDefault="004A147C" w:rsidP="00CE5850">
            <w:pPr>
              <w:jc w:val="center"/>
              <w:rPr>
                <w:kern w:val="0"/>
                <w:szCs w:val="22"/>
              </w:rPr>
            </w:pPr>
            <w:r w:rsidRPr="00B53FFB">
              <w:rPr>
                <w:kern w:val="0"/>
                <w:szCs w:val="22"/>
              </w:rPr>
              <w:t>162</w:t>
            </w:r>
          </w:p>
        </w:tc>
        <w:tc>
          <w:tcPr>
            <w:tcW w:w="0" w:type="auto"/>
            <w:shd w:val="clear" w:color="auto" w:fill="CCFFFF"/>
          </w:tcPr>
          <w:p w:rsidR="004A147C" w:rsidRPr="00B53FFB" w:rsidRDefault="004A147C" w:rsidP="00CE5850">
            <w:pPr>
              <w:jc w:val="center"/>
              <w:rPr>
                <w:kern w:val="0"/>
                <w:szCs w:val="22"/>
              </w:rPr>
            </w:pPr>
            <w:r w:rsidRPr="00B53FFB">
              <w:rPr>
                <w:kern w:val="0"/>
                <w:szCs w:val="22"/>
              </w:rPr>
              <w:t>0.093</w:t>
            </w:r>
          </w:p>
        </w:tc>
        <w:tc>
          <w:tcPr>
            <w:tcW w:w="0" w:type="auto"/>
            <w:shd w:val="clear" w:color="auto" w:fill="CCFFFF"/>
          </w:tcPr>
          <w:p w:rsidR="004A147C" w:rsidRPr="00B53FFB" w:rsidRDefault="004A147C" w:rsidP="00CE5850">
            <w:pPr>
              <w:jc w:val="center"/>
              <w:rPr>
                <w:kern w:val="0"/>
                <w:szCs w:val="22"/>
              </w:rPr>
            </w:pPr>
            <w:r w:rsidRPr="00B53FFB">
              <w:rPr>
                <w:kern w:val="0"/>
                <w:szCs w:val="22"/>
              </w:rPr>
              <w:t>23.30</w:t>
            </w:r>
          </w:p>
        </w:tc>
        <w:tc>
          <w:tcPr>
            <w:tcW w:w="0" w:type="auto"/>
            <w:shd w:val="clear" w:color="auto" w:fill="CCFFFF"/>
          </w:tcPr>
          <w:p w:rsidR="004A147C" w:rsidRPr="00B53FFB" w:rsidRDefault="004A147C" w:rsidP="00CE5850">
            <w:pPr>
              <w:jc w:val="center"/>
              <w:rPr>
                <w:kern w:val="0"/>
                <w:szCs w:val="22"/>
              </w:rPr>
            </w:pPr>
            <w:r w:rsidRPr="00B53FFB">
              <w:rPr>
                <w:kern w:val="0"/>
                <w:szCs w:val="22"/>
              </w:rPr>
              <w:t>31.9</w:t>
            </w:r>
          </w:p>
        </w:tc>
      </w:tr>
      <w:tr w:rsidR="004A147C" w:rsidRPr="00B53FFB" w:rsidTr="00815372">
        <w:trPr>
          <w:jc w:val="center"/>
        </w:trPr>
        <w:tc>
          <w:tcPr>
            <w:tcW w:w="0" w:type="auto"/>
            <w:shd w:val="clear" w:color="auto" w:fill="CCFFFF"/>
          </w:tcPr>
          <w:p w:rsidR="004A147C" w:rsidRPr="00B53FFB" w:rsidRDefault="004A147C" w:rsidP="00CE5850">
            <w:pPr>
              <w:rPr>
                <w:kern w:val="0"/>
                <w:szCs w:val="22"/>
              </w:rPr>
            </w:pPr>
            <w:r w:rsidRPr="00B53FFB">
              <w:rPr>
                <w:kern w:val="0"/>
                <w:szCs w:val="22"/>
              </w:rPr>
              <w:t>Sweden</w:t>
            </w:r>
          </w:p>
        </w:tc>
        <w:tc>
          <w:tcPr>
            <w:tcW w:w="0" w:type="auto"/>
            <w:shd w:val="clear" w:color="auto" w:fill="CCFFFF"/>
          </w:tcPr>
          <w:p w:rsidR="004A147C" w:rsidRPr="00B53FFB" w:rsidRDefault="004A147C" w:rsidP="00CE5850">
            <w:pPr>
              <w:rPr>
                <w:kern w:val="0"/>
                <w:szCs w:val="22"/>
              </w:rPr>
            </w:pPr>
            <w:r w:rsidRPr="00B53FFB">
              <w:rPr>
                <w:kern w:val="0"/>
                <w:szCs w:val="22"/>
              </w:rPr>
              <w:t xml:space="preserve">     146</w:t>
            </w:r>
          </w:p>
        </w:tc>
        <w:tc>
          <w:tcPr>
            <w:tcW w:w="0" w:type="auto"/>
            <w:shd w:val="clear" w:color="auto" w:fill="CCFFFF"/>
          </w:tcPr>
          <w:p w:rsidR="004A147C" w:rsidRPr="00B53FFB" w:rsidRDefault="004A147C" w:rsidP="00CE5850">
            <w:pPr>
              <w:jc w:val="center"/>
              <w:rPr>
                <w:kern w:val="0"/>
                <w:szCs w:val="22"/>
              </w:rPr>
            </w:pPr>
            <w:r w:rsidRPr="00B53FFB">
              <w:rPr>
                <w:kern w:val="0"/>
                <w:szCs w:val="22"/>
              </w:rPr>
              <w:t>31</w:t>
            </w:r>
          </w:p>
        </w:tc>
        <w:tc>
          <w:tcPr>
            <w:tcW w:w="0" w:type="auto"/>
            <w:shd w:val="clear" w:color="auto" w:fill="CCFFFF"/>
          </w:tcPr>
          <w:p w:rsidR="004A147C" w:rsidRPr="00B53FFB" w:rsidRDefault="004A147C" w:rsidP="00CE5850">
            <w:pPr>
              <w:jc w:val="center"/>
              <w:rPr>
                <w:kern w:val="0"/>
                <w:szCs w:val="22"/>
              </w:rPr>
            </w:pPr>
            <w:r w:rsidRPr="00B53FFB">
              <w:rPr>
                <w:kern w:val="0"/>
                <w:szCs w:val="22"/>
              </w:rPr>
              <w:t>242</w:t>
            </w:r>
          </w:p>
        </w:tc>
        <w:tc>
          <w:tcPr>
            <w:tcW w:w="0" w:type="auto"/>
            <w:shd w:val="clear" w:color="auto" w:fill="CCFFFF"/>
          </w:tcPr>
          <w:p w:rsidR="004A147C" w:rsidRPr="00B53FFB" w:rsidRDefault="004A147C" w:rsidP="00CE5850">
            <w:pPr>
              <w:jc w:val="center"/>
              <w:rPr>
                <w:kern w:val="0"/>
                <w:szCs w:val="22"/>
              </w:rPr>
            </w:pPr>
            <w:r w:rsidRPr="00B53FFB">
              <w:rPr>
                <w:kern w:val="0"/>
                <w:szCs w:val="22"/>
              </w:rPr>
              <w:t>0.085</w:t>
            </w:r>
          </w:p>
        </w:tc>
        <w:tc>
          <w:tcPr>
            <w:tcW w:w="0" w:type="auto"/>
            <w:shd w:val="clear" w:color="auto" w:fill="CCFFFF"/>
          </w:tcPr>
          <w:p w:rsidR="004A147C" w:rsidRPr="00B53FFB" w:rsidRDefault="004A147C" w:rsidP="00CE5850">
            <w:pPr>
              <w:jc w:val="center"/>
              <w:rPr>
                <w:kern w:val="0"/>
                <w:szCs w:val="22"/>
              </w:rPr>
            </w:pPr>
            <w:r w:rsidRPr="00B53FFB">
              <w:rPr>
                <w:kern w:val="0"/>
                <w:szCs w:val="22"/>
              </w:rPr>
              <w:t>32.05</w:t>
            </w:r>
          </w:p>
        </w:tc>
        <w:tc>
          <w:tcPr>
            <w:tcW w:w="0" w:type="auto"/>
            <w:shd w:val="clear" w:color="auto" w:fill="CCFFFF"/>
          </w:tcPr>
          <w:p w:rsidR="004A147C" w:rsidRPr="00B53FFB" w:rsidRDefault="004A147C" w:rsidP="00CE5850">
            <w:pPr>
              <w:jc w:val="center"/>
              <w:rPr>
                <w:kern w:val="0"/>
                <w:szCs w:val="22"/>
              </w:rPr>
            </w:pPr>
            <w:r w:rsidRPr="00B53FFB">
              <w:rPr>
                <w:kern w:val="0"/>
                <w:szCs w:val="22"/>
              </w:rPr>
              <w:t>31.8</w:t>
            </w:r>
          </w:p>
        </w:tc>
      </w:tr>
      <w:tr w:rsidR="004A147C" w:rsidRPr="00B53FFB" w:rsidTr="00815372">
        <w:trPr>
          <w:jc w:val="center"/>
        </w:trPr>
        <w:tc>
          <w:tcPr>
            <w:tcW w:w="0" w:type="auto"/>
            <w:shd w:val="clear" w:color="auto" w:fill="CCFFFF"/>
          </w:tcPr>
          <w:p w:rsidR="004A147C" w:rsidRPr="00B53FFB" w:rsidRDefault="004A147C" w:rsidP="00CE5850">
            <w:pPr>
              <w:rPr>
                <w:kern w:val="0"/>
                <w:szCs w:val="22"/>
              </w:rPr>
            </w:pPr>
            <w:r w:rsidRPr="00B53FFB">
              <w:rPr>
                <w:kern w:val="0"/>
                <w:szCs w:val="22"/>
              </w:rPr>
              <w:t>France</w:t>
            </w:r>
          </w:p>
        </w:tc>
        <w:tc>
          <w:tcPr>
            <w:tcW w:w="0" w:type="auto"/>
            <w:shd w:val="clear" w:color="auto" w:fill="CCFFFF"/>
          </w:tcPr>
          <w:p w:rsidR="004A147C" w:rsidRPr="00B53FFB" w:rsidRDefault="004A147C" w:rsidP="00CE5850">
            <w:pPr>
              <w:rPr>
                <w:kern w:val="0"/>
                <w:szCs w:val="22"/>
              </w:rPr>
            </w:pPr>
            <w:r w:rsidRPr="00B53FFB">
              <w:rPr>
                <w:kern w:val="0"/>
                <w:szCs w:val="22"/>
              </w:rPr>
              <w:t xml:space="preserve">       99</w:t>
            </w:r>
          </w:p>
        </w:tc>
        <w:tc>
          <w:tcPr>
            <w:tcW w:w="0" w:type="auto"/>
            <w:shd w:val="clear" w:color="auto" w:fill="CCFFFF"/>
          </w:tcPr>
          <w:p w:rsidR="004A147C" w:rsidRPr="00B53FFB" w:rsidRDefault="004A147C" w:rsidP="00CE5850">
            <w:pPr>
              <w:jc w:val="center"/>
              <w:rPr>
                <w:kern w:val="0"/>
                <w:szCs w:val="22"/>
              </w:rPr>
            </w:pPr>
            <w:r w:rsidRPr="00B53FFB">
              <w:rPr>
                <w:kern w:val="0"/>
                <w:szCs w:val="22"/>
              </w:rPr>
              <w:t>30</w:t>
            </w:r>
          </w:p>
        </w:tc>
        <w:tc>
          <w:tcPr>
            <w:tcW w:w="0" w:type="auto"/>
            <w:shd w:val="clear" w:color="auto" w:fill="CCFFFF"/>
          </w:tcPr>
          <w:p w:rsidR="004A147C" w:rsidRPr="00B53FFB" w:rsidRDefault="004A147C" w:rsidP="00CE5850">
            <w:pPr>
              <w:jc w:val="center"/>
              <w:rPr>
                <w:kern w:val="0"/>
                <w:szCs w:val="22"/>
              </w:rPr>
            </w:pPr>
            <w:r w:rsidRPr="00B53FFB">
              <w:rPr>
                <w:kern w:val="0"/>
                <w:szCs w:val="22"/>
              </w:rPr>
              <w:t>235</w:t>
            </w:r>
          </w:p>
        </w:tc>
        <w:tc>
          <w:tcPr>
            <w:tcW w:w="0" w:type="auto"/>
            <w:shd w:val="clear" w:color="auto" w:fill="CCFFFF"/>
          </w:tcPr>
          <w:p w:rsidR="004A147C" w:rsidRPr="00B53FFB" w:rsidRDefault="004A147C" w:rsidP="00CE5850">
            <w:pPr>
              <w:jc w:val="center"/>
              <w:rPr>
                <w:kern w:val="0"/>
                <w:szCs w:val="22"/>
              </w:rPr>
            </w:pPr>
            <w:r w:rsidRPr="00B53FFB">
              <w:rPr>
                <w:kern w:val="0"/>
                <w:szCs w:val="22"/>
              </w:rPr>
              <w:t>0.101</w:t>
            </w:r>
          </w:p>
        </w:tc>
        <w:tc>
          <w:tcPr>
            <w:tcW w:w="0" w:type="auto"/>
            <w:shd w:val="clear" w:color="auto" w:fill="CCFFFF"/>
          </w:tcPr>
          <w:p w:rsidR="004A147C" w:rsidRPr="00B53FFB" w:rsidRDefault="004A147C" w:rsidP="00CE5850">
            <w:pPr>
              <w:jc w:val="center"/>
              <w:rPr>
                <w:kern w:val="0"/>
                <w:szCs w:val="22"/>
              </w:rPr>
            </w:pPr>
            <w:r w:rsidRPr="00B53FFB">
              <w:rPr>
                <w:kern w:val="0"/>
                <w:szCs w:val="22"/>
              </w:rPr>
              <w:t>35.23</w:t>
            </w:r>
          </w:p>
        </w:tc>
        <w:tc>
          <w:tcPr>
            <w:tcW w:w="0" w:type="auto"/>
            <w:shd w:val="clear" w:color="auto" w:fill="CCFFFF"/>
          </w:tcPr>
          <w:p w:rsidR="004A147C" w:rsidRPr="00B53FFB" w:rsidRDefault="004A147C" w:rsidP="00CE5850">
            <w:pPr>
              <w:jc w:val="center"/>
              <w:rPr>
                <w:kern w:val="0"/>
                <w:szCs w:val="22"/>
              </w:rPr>
            </w:pPr>
            <w:r w:rsidRPr="00B53FFB">
              <w:rPr>
                <w:kern w:val="0"/>
                <w:szCs w:val="22"/>
              </w:rPr>
              <w:t>28.0</w:t>
            </w:r>
          </w:p>
        </w:tc>
      </w:tr>
      <w:tr w:rsidR="004A147C" w:rsidRPr="00B53FFB" w:rsidTr="00815372">
        <w:trPr>
          <w:jc w:val="center"/>
        </w:trPr>
        <w:tc>
          <w:tcPr>
            <w:tcW w:w="0" w:type="auto"/>
            <w:shd w:val="clear" w:color="auto" w:fill="CCFFFF"/>
          </w:tcPr>
          <w:p w:rsidR="004A147C" w:rsidRPr="00B53FFB" w:rsidRDefault="004A147C" w:rsidP="00CE5850">
            <w:pPr>
              <w:rPr>
                <w:kern w:val="0"/>
                <w:szCs w:val="22"/>
              </w:rPr>
            </w:pPr>
            <w:r w:rsidRPr="00B53FFB">
              <w:rPr>
                <w:kern w:val="0"/>
                <w:szCs w:val="22"/>
              </w:rPr>
              <w:t>Finland</w:t>
            </w:r>
          </w:p>
        </w:tc>
        <w:tc>
          <w:tcPr>
            <w:tcW w:w="0" w:type="auto"/>
            <w:shd w:val="clear" w:color="auto" w:fill="CCFFFF"/>
          </w:tcPr>
          <w:p w:rsidR="004A147C" w:rsidRPr="00B53FFB" w:rsidRDefault="004A147C" w:rsidP="00CE5850">
            <w:pPr>
              <w:rPr>
                <w:kern w:val="0"/>
                <w:szCs w:val="22"/>
              </w:rPr>
            </w:pPr>
            <w:r w:rsidRPr="00B53FFB">
              <w:rPr>
                <w:kern w:val="0"/>
                <w:szCs w:val="22"/>
              </w:rPr>
              <w:t xml:space="preserve">     171</w:t>
            </w:r>
          </w:p>
        </w:tc>
        <w:tc>
          <w:tcPr>
            <w:tcW w:w="0" w:type="auto"/>
            <w:shd w:val="clear" w:color="auto" w:fill="CCFFFF"/>
          </w:tcPr>
          <w:p w:rsidR="004A147C" w:rsidRPr="00B53FFB" w:rsidRDefault="004A147C" w:rsidP="00CE5850">
            <w:pPr>
              <w:jc w:val="center"/>
              <w:rPr>
                <w:kern w:val="0"/>
                <w:szCs w:val="22"/>
              </w:rPr>
            </w:pPr>
            <w:r w:rsidRPr="00B53FFB">
              <w:rPr>
                <w:kern w:val="0"/>
                <w:szCs w:val="22"/>
              </w:rPr>
              <w:t>13</w:t>
            </w:r>
          </w:p>
        </w:tc>
        <w:tc>
          <w:tcPr>
            <w:tcW w:w="0" w:type="auto"/>
            <w:shd w:val="clear" w:color="auto" w:fill="CCFFFF"/>
          </w:tcPr>
          <w:p w:rsidR="004A147C" w:rsidRPr="00B53FFB" w:rsidRDefault="004A147C" w:rsidP="00CE5850">
            <w:pPr>
              <w:jc w:val="center"/>
              <w:rPr>
                <w:kern w:val="0"/>
                <w:szCs w:val="22"/>
              </w:rPr>
            </w:pPr>
            <w:r w:rsidRPr="00B53FFB">
              <w:rPr>
                <w:kern w:val="0"/>
                <w:szCs w:val="22"/>
              </w:rPr>
              <w:t>205</w:t>
            </w:r>
          </w:p>
        </w:tc>
        <w:tc>
          <w:tcPr>
            <w:tcW w:w="0" w:type="auto"/>
            <w:shd w:val="clear" w:color="auto" w:fill="CCFFFF"/>
          </w:tcPr>
          <w:p w:rsidR="004A147C" w:rsidRPr="00B53FFB" w:rsidRDefault="004A147C" w:rsidP="00CE5850">
            <w:pPr>
              <w:jc w:val="center"/>
              <w:rPr>
                <w:kern w:val="0"/>
                <w:szCs w:val="22"/>
              </w:rPr>
            </w:pPr>
            <w:r w:rsidRPr="00B53FFB">
              <w:rPr>
                <w:kern w:val="0"/>
                <w:szCs w:val="22"/>
              </w:rPr>
              <w:t>0.093</w:t>
            </w:r>
          </w:p>
        </w:tc>
        <w:tc>
          <w:tcPr>
            <w:tcW w:w="0" w:type="auto"/>
            <w:shd w:val="clear" w:color="auto" w:fill="CCFFFF"/>
          </w:tcPr>
          <w:p w:rsidR="004A147C" w:rsidRPr="00B53FFB" w:rsidRDefault="004A147C" w:rsidP="00CE5850">
            <w:pPr>
              <w:jc w:val="center"/>
              <w:rPr>
                <w:kern w:val="0"/>
                <w:szCs w:val="22"/>
              </w:rPr>
            </w:pPr>
            <w:r w:rsidRPr="00B53FFB">
              <w:rPr>
                <w:kern w:val="0"/>
                <w:szCs w:val="22"/>
              </w:rPr>
              <w:t>26.65</w:t>
            </w:r>
          </w:p>
        </w:tc>
        <w:tc>
          <w:tcPr>
            <w:tcW w:w="0" w:type="auto"/>
            <w:shd w:val="clear" w:color="auto" w:fill="CCFFFF"/>
          </w:tcPr>
          <w:p w:rsidR="004A147C" w:rsidRPr="00B53FFB" w:rsidRDefault="004A147C" w:rsidP="00CE5850">
            <w:pPr>
              <w:jc w:val="center"/>
              <w:rPr>
                <w:kern w:val="0"/>
                <w:szCs w:val="22"/>
              </w:rPr>
            </w:pPr>
            <w:r w:rsidRPr="00B53FFB">
              <w:rPr>
                <w:kern w:val="0"/>
                <w:szCs w:val="22"/>
              </w:rPr>
              <w:t>30.1</w:t>
            </w:r>
          </w:p>
        </w:tc>
      </w:tr>
      <w:tr w:rsidR="004A147C" w:rsidRPr="00B53FFB" w:rsidTr="00815372">
        <w:trPr>
          <w:jc w:val="center"/>
        </w:trPr>
        <w:tc>
          <w:tcPr>
            <w:tcW w:w="0" w:type="auto"/>
            <w:shd w:val="clear" w:color="auto" w:fill="CCFFFF"/>
          </w:tcPr>
          <w:p w:rsidR="004A147C" w:rsidRPr="00B53FFB" w:rsidRDefault="004A147C" w:rsidP="00CE5850">
            <w:pPr>
              <w:rPr>
                <w:kern w:val="0"/>
                <w:szCs w:val="22"/>
              </w:rPr>
            </w:pPr>
            <w:r w:rsidRPr="00B53FFB">
              <w:rPr>
                <w:kern w:val="0"/>
                <w:szCs w:val="22"/>
              </w:rPr>
              <w:t>Japan</w:t>
            </w:r>
          </w:p>
        </w:tc>
        <w:tc>
          <w:tcPr>
            <w:tcW w:w="0" w:type="auto"/>
            <w:shd w:val="clear" w:color="auto" w:fill="CCFFFF"/>
          </w:tcPr>
          <w:p w:rsidR="004A147C" w:rsidRPr="00B53FFB" w:rsidRDefault="004A147C" w:rsidP="00CE5850">
            <w:pPr>
              <w:rPr>
                <w:kern w:val="0"/>
                <w:szCs w:val="22"/>
              </w:rPr>
            </w:pPr>
            <w:r w:rsidRPr="00B53FFB">
              <w:rPr>
                <w:kern w:val="0"/>
                <w:szCs w:val="22"/>
              </w:rPr>
              <w:t xml:space="preserve">       99</w:t>
            </w:r>
          </w:p>
        </w:tc>
        <w:tc>
          <w:tcPr>
            <w:tcW w:w="0" w:type="auto"/>
            <w:shd w:val="clear" w:color="auto" w:fill="CCFFFF"/>
          </w:tcPr>
          <w:p w:rsidR="004A147C" w:rsidRPr="00B53FFB" w:rsidRDefault="004A147C" w:rsidP="00CE5850">
            <w:pPr>
              <w:jc w:val="center"/>
              <w:rPr>
                <w:kern w:val="0"/>
                <w:szCs w:val="22"/>
              </w:rPr>
            </w:pPr>
            <w:r w:rsidRPr="00B53FFB">
              <w:rPr>
                <w:kern w:val="0"/>
                <w:szCs w:val="22"/>
              </w:rPr>
              <w:t>1</w:t>
            </w:r>
          </w:p>
        </w:tc>
        <w:tc>
          <w:tcPr>
            <w:tcW w:w="0" w:type="auto"/>
            <w:shd w:val="clear" w:color="auto" w:fill="CCFFFF"/>
          </w:tcPr>
          <w:p w:rsidR="004A147C" w:rsidRPr="00B53FFB" w:rsidRDefault="004A147C" w:rsidP="00CE5850">
            <w:pPr>
              <w:jc w:val="center"/>
              <w:rPr>
                <w:kern w:val="0"/>
                <w:szCs w:val="22"/>
              </w:rPr>
            </w:pPr>
            <w:r w:rsidRPr="00B53FFB">
              <w:rPr>
                <w:kern w:val="0"/>
                <w:szCs w:val="22"/>
              </w:rPr>
              <w:t>134</w:t>
            </w:r>
          </w:p>
        </w:tc>
        <w:tc>
          <w:tcPr>
            <w:tcW w:w="0" w:type="auto"/>
            <w:shd w:val="clear" w:color="auto" w:fill="CCFFFF"/>
          </w:tcPr>
          <w:p w:rsidR="004A147C" w:rsidRPr="00B53FFB" w:rsidRDefault="004A147C" w:rsidP="00CE5850">
            <w:pPr>
              <w:jc w:val="center"/>
              <w:rPr>
                <w:kern w:val="0"/>
                <w:szCs w:val="22"/>
              </w:rPr>
            </w:pPr>
            <w:r w:rsidRPr="00B53FFB">
              <w:rPr>
                <w:kern w:val="0"/>
                <w:szCs w:val="22"/>
              </w:rPr>
              <w:t>0.205</w:t>
            </w:r>
          </w:p>
        </w:tc>
        <w:tc>
          <w:tcPr>
            <w:tcW w:w="0" w:type="auto"/>
            <w:shd w:val="clear" w:color="auto" w:fill="CCFFFF"/>
          </w:tcPr>
          <w:p w:rsidR="004A147C" w:rsidRPr="00B53FFB" w:rsidRDefault="004A147C" w:rsidP="00CE5850">
            <w:pPr>
              <w:jc w:val="center"/>
              <w:rPr>
                <w:kern w:val="0"/>
                <w:szCs w:val="22"/>
              </w:rPr>
            </w:pPr>
            <w:r w:rsidRPr="00B53FFB">
              <w:rPr>
                <w:kern w:val="0"/>
                <w:szCs w:val="22"/>
              </w:rPr>
              <w:t>59.70</w:t>
            </w:r>
          </w:p>
        </w:tc>
        <w:tc>
          <w:tcPr>
            <w:tcW w:w="0" w:type="auto"/>
            <w:shd w:val="clear" w:color="auto" w:fill="CCFFFF"/>
          </w:tcPr>
          <w:p w:rsidR="004A147C" w:rsidRPr="00B53FFB" w:rsidRDefault="004A147C" w:rsidP="00CE5850">
            <w:pPr>
              <w:jc w:val="center"/>
              <w:rPr>
                <w:kern w:val="0"/>
                <w:szCs w:val="22"/>
              </w:rPr>
            </w:pPr>
            <w:r w:rsidRPr="00B53FFB">
              <w:rPr>
                <w:kern w:val="0"/>
                <w:szCs w:val="22"/>
              </w:rPr>
              <w:t>56.5</w:t>
            </w:r>
          </w:p>
        </w:tc>
      </w:tr>
      <w:tr w:rsidR="004A147C" w:rsidRPr="00B53FFB" w:rsidTr="00815372">
        <w:trPr>
          <w:jc w:val="center"/>
        </w:trPr>
        <w:tc>
          <w:tcPr>
            <w:tcW w:w="0" w:type="auto"/>
            <w:shd w:val="clear" w:color="auto" w:fill="CCFFFF"/>
          </w:tcPr>
          <w:p w:rsidR="004A147C" w:rsidRPr="00B53FFB" w:rsidRDefault="004A147C" w:rsidP="00CE5850">
            <w:pPr>
              <w:rPr>
                <w:kern w:val="0"/>
                <w:szCs w:val="22"/>
              </w:rPr>
            </w:pPr>
            <w:r w:rsidRPr="00B53FFB">
              <w:rPr>
                <w:kern w:val="0"/>
                <w:szCs w:val="22"/>
              </w:rPr>
              <w:t>South Korea</w:t>
            </w:r>
          </w:p>
        </w:tc>
        <w:tc>
          <w:tcPr>
            <w:tcW w:w="0" w:type="auto"/>
            <w:shd w:val="clear" w:color="auto" w:fill="CCFFFF"/>
          </w:tcPr>
          <w:p w:rsidR="004A147C" w:rsidRPr="00B53FFB" w:rsidRDefault="004A147C" w:rsidP="00CE5850">
            <w:pPr>
              <w:rPr>
                <w:kern w:val="0"/>
                <w:szCs w:val="22"/>
              </w:rPr>
            </w:pPr>
            <w:r w:rsidRPr="00B53FFB">
              <w:rPr>
                <w:kern w:val="0"/>
                <w:szCs w:val="22"/>
              </w:rPr>
              <w:t xml:space="preserve">     107</w:t>
            </w:r>
          </w:p>
        </w:tc>
        <w:tc>
          <w:tcPr>
            <w:tcW w:w="0" w:type="auto"/>
            <w:shd w:val="clear" w:color="auto" w:fill="CCFFFF"/>
          </w:tcPr>
          <w:p w:rsidR="004A147C" w:rsidRPr="00B53FFB" w:rsidRDefault="004A147C" w:rsidP="00CE5850">
            <w:pPr>
              <w:jc w:val="center"/>
              <w:rPr>
                <w:kern w:val="0"/>
                <w:szCs w:val="22"/>
              </w:rPr>
            </w:pPr>
            <w:r w:rsidRPr="00B53FFB">
              <w:rPr>
                <w:kern w:val="0"/>
                <w:szCs w:val="22"/>
              </w:rPr>
              <w:t>0</w:t>
            </w:r>
          </w:p>
        </w:tc>
        <w:tc>
          <w:tcPr>
            <w:tcW w:w="0" w:type="auto"/>
            <w:shd w:val="clear" w:color="auto" w:fill="CCFFFF"/>
          </w:tcPr>
          <w:p w:rsidR="004A147C" w:rsidRPr="00B53FFB" w:rsidRDefault="004A147C" w:rsidP="00CE5850">
            <w:pPr>
              <w:jc w:val="center"/>
              <w:rPr>
                <w:kern w:val="0"/>
                <w:szCs w:val="22"/>
              </w:rPr>
            </w:pPr>
            <w:r w:rsidRPr="00B53FFB">
              <w:rPr>
                <w:kern w:val="0"/>
                <w:szCs w:val="22"/>
              </w:rPr>
              <w:t>303</w:t>
            </w:r>
          </w:p>
        </w:tc>
        <w:tc>
          <w:tcPr>
            <w:tcW w:w="0" w:type="auto"/>
            <w:shd w:val="clear" w:color="auto" w:fill="CCFFFF"/>
          </w:tcPr>
          <w:p w:rsidR="004A147C" w:rsidRPr="00B53FFB" w:rsidRDefault="004A147C" w:rsidP="00CE5850">
            <w:pPr>
              <w:jc w:val="center"/>
              <w:rPr>
                <w:kern w:val="0"/>
                <w:szCs w:val="22"/>
              </w:rPr>
            </w:pPr>
            <w:r w:rsidRPr="00B53FFB">
              <w:rPr>
                <w:kern w:val="0"/>
                <w:szCs w:val="22"/>
              </w:rPr>
              <w:t>0.069</w:t>
            </w:r>
          </w:p>
        </w:tc>
        <w:tc>
          <w:tcPr>
            <w:tcW w:w="0" w:type="auto"/>
            <w:shd w:val="clear" w:color="auto" w:fill="CCFFFF"/>
          </w:tcPr>
          <w:p w:rsidR="004A147C" w:rsidRPr="00B53FFB" w:rsidRDefault="004A147C" w:rsidP="00CE5850">
            <w:pPr>
              <w:jc w:val="center"/>
              <w:rPr>
                <w:kern w:val="0"/>
                <w:szCs w:val="22"/>
              </w:rPr>
            </w:pPr>
            <w:r w:rsidRPr="00B53FFB">
              <w:rPr>
                <w:kern w:val="0"/>
                <w:szCs w:val="22"/>
              </w:rPr>
              <w:t>30.81</w:t>
            </w:r>
          </w:p>
        </w:tc>
        <w:tc>
          <w:tcPr>
            <w:tcW w:w="0" w:type="auto"/>
            <w:shd w:val="clear" w:color="auto" w:fill="CCFFFF"/>
          </w:tcPr>
          <w:p w:rsidR="004A147C" w:rsidRPr="00B53FFB" w:rsidRDefault="004A147C" w:rsidP="00CE5850">
            <w:pPr>
              <w:rPr>
                <w:kern w:val="0"/>
                <w:szCs w:val="22"/>
              </w:rPr>
            </w:pPr>
            <w:r w:rsidRPr="00B53FFB">
              <w:rPr>
                <w:kern w:val="0"/>
                <w:szCs w:val="22"/>
              </w:rPr>
              <w:t xml:space="preserve">        32.3</w:t>
            </w:r>
          </w:p>
        </w:tc>
      </w:tr>
      <w:tr w:rsidR="004A147C" w:rsidRPr="00B53FFB" w:rsidTr="00815372">
        <w:trPr>
          <w:jc w:val="center"/>
        </w:trPr>
        <w:tc>
          <w:tcPr>
            <w:tcW w:w="0" w:type="auto"/>
            <w:shd w:val="clear" w:color="auto" w:fill="CCFFFF"/>
          </w:tcPr>
          <w:p w:rsidR="004A147C" w:rsidRPr="00B53FFB" w:rsidRDefault="004A147C" w:rsidP="00CE5850">
            <w:pPr>
              <w:rPr>
                <w:kern w:val="0"/>
                <w:szCs w:val="22"/>
              </w:rPr>
            </w:pPr>
            <w:r w:rsidRPr="00B53FFB">
              <w:rPr>
                <w:kern w:val="0"/>
                <w:szCs w:val="22"/>
              </w:rPr>
              <w:t>Australia</w:t>
            </w:r>
          </w:p>
        </w:tc>
        <w:tc>
          <w:tcPr>
            <w:tcW w:w="0" w:type="auto"/>
            <w:shd w:val="clear" w:color="auto" w:fill="CCFFFF"/>
          </w:tcPr>
          <w:p w:rsidR="004A147C" w:rsidRPr="00B53FFB" w:rsidRDefault="004A147C" w:rsidP="00CE5850">
            <w:pPr>
              <w:rPr>
                <w:kern w:val="0"/>
                <w:szCs w:val="22"/>
              </w:rPr>
            </w:pPr>
            <w:r w:rsidRPr="00B53FFB">
              <w:rPr>
                <w:kern w:val="0"/>
                <w:szCs w:val="22"/>
              </w:rPr>
              <w:t xml:space="preserve">     132</w:t>
            </w:r>
          </w:p>
        </w:tc>
        <w:tc>
          <w:tcPr>
            <w:tcW w:w="0" w:type="auto"/>
            <w:shd w:val="clear" w:color="auto" w:fill="CCFFFF"/>
          </w:tcPr>
          <w:p w:rsidR="004A147C" w:rsidRPr="00B53FFB" w:rsidRDefault="004A147C" w:rsidP="00CE5850">
            <w:pPr>
              <w:jc w:val="center"/>
              <w:rPr>
                <w:kern w:val="0"/>
                <w:szCs w:val="22"/>
              </w:rPr>
            </w:pPr>
            <w:r w:rsidRPr="00B53FFB">
              <w:rPr>
                <w:kern w:val="0"/>
                <w:szCs w:val="22"/>
              </w:rPr>
              <w:t>39</w:t>
            </w:r>
          </w:p>
        </w:tc>
        <w:tc>
          <w:tcPr>
            <w:tcW w:w="0" w:type="auto"/>
            <w:shd w:val="clear" w:color="auto" w:fill="CCFFFF"/>
          </w:tcPr>
          <w:p w:rsidR="004A147C" w:rsidRPr="00B53FFB" w:rsidRDefault="004A147C" w:rsidP="00CE5850">
            <w:pPr>
              <w:jc w:val="center"/>
              <w:rPr>
                <w:kern w:val="0"/>
                <w:szCs w:val="22"/>
              </w:rPr>
            </w:pPr>
            <w:r w:rsidRPr="00B53FFB">
              <w:rPr>
                <w:kern w:val="0"/>
                <w:szCs w:val="22"/>
              </w:rPr>
              <w:t>268</w:t>
            </w:r>
          </w:p>
        </w:tc>
        <w:tc>
          <w:tcPr>
            <w:tcW w:w="0" w:type="auto"/>
            <w:shd w:val="clear" w:color="auto" w:fill="CCFFFF"/>
          </w:tcPr>
          <w:p w:rsidR="004A147C" w:rsidRPr="00B53FFB" w:rsidRDefault="004A147C" w:rsidP="00CE5850">
            <w:pPr>
              <w:jc w:val="center"/>
              <w:rPr>
                <w:kern w:val="0"/>
                <w:szCs w:val="22"/>
              </w:rPr>
            </w:pPr>
            <w:r w:rsidRPr="00B53FFB">
              <w:rPr>
                <w:kern w:val="0"/>
                <w:szCs w:val="22"/>
              </w:rPr>
              <w:t>0.106</w:t>
            </w:r>
          </w:p>
        </w:tc>
        <w:tc>
          <w:tcPr>
            <w:tcW w:w="0" w:type="auto"/>
            <w:shd w:val="clear" w:color="auto" w:fill="CCFFFF"/>
          </w:tcPr>
          <w:p w:rsidR="004A147C" w:rsidRPr="00B53FFB" w:rsidRDefault="004A147C" w:rsidP="00CE5850">
            <w:pPr>
              <w:jc w:val="center"/>
              <w:rPr>
                <w:kern w:val="0"/>
                <w:szCs w:val="22"/>
              </w:rPr>
            </w:pPr>
            <w:r w:rsidRPr="00B53FFB">
              <w:rPr>
                <w:kern w:val="0"/>
                <w:szCs w:val="22"/>
              </w:rPr>
              <w:t>47.97</w:t>
            </w:r>
          </w:p>
        </w:tc>
        <w:tc>
          <w:tcPr>
            <w:tcW w:w="0" w:type="auto"/>
            <w:shd w:val="clear" w:color="auto" w:fill="CCFFFF"/>
          </w:tcPr>
          <w:p w:rsidR="004A147C" w:rsidRPr="00B53FFB" w:rsidRDefault="004A147C" w:rsidP="00CE5850">
            <w:pPr>
              <w:rPr>
                <w:kern w:val="0"/>
                <w:szCs w:val="22"/>
              </w:rPr>
            </w:pPr>
            <w:r w:rsidRPr="00B53FFB">
              <w:rPr>
                <w:kern w:val="0"/>
                <w:szCs w:val="22"/>
              </w:rPr>
              <w:t xml:space="preserve">        44.4</w:t>
            </w:r>
          </w:p>
        </w:tc>
      </w:tr>
    </w:tbl>
    <w:p w:rsidR="004A147C" w:rsidRPr="00B53FFB" w:rsidRDefault="004A147C" w:rsidP="00CE5850">
      <w:pPr>
        <w:rPr>
          <w:szCs w:val="22"/>
        </w:rPr>
      </w:pPr>
    </w:p>
    <w:p w:rsidR="004A147C" w:rsidRPr="00B53FFB" w:rsidRDefault="004A147C" w:rsidP="00CE5850">
      <w:pPr>
        <w:pStyle w:val="ParaNum"/>
        <w:tabs>
          <w:tab w:val="clear" w:pos="1440"/>
        </w:tabs>
        <w:ind w:firstLine="0"/>
        <w:rPr>
          <w:sz w:val="22"/>
          <w:szCs w:val="22"/>
        </w:rPr>
      </w:pPr>
    </w:p>
    <w:p w:rsidR="004A147C" w:rsidRDefault="004A147C" w:rsidP="00CE5850">
      <w:pPr>
        <w:pStyle w:val="ParaNum"/>
        <w:tabs>
          <w:tab w:val="clear" w:pos="1440"/>
        </w:tabs>
        <w:ind w:firstLine="0"/>
        <w:rPr>
          <w:sz w:val="22"/>
          <w:szCs w:val="22"/>
        </w:rPr>
      </w:pPr>
    </w:p>
    <w:p w:rsidR="006E42E5" w:rsidRPr="00B53FFB" w:rsidRDefault="006E42E5" w:rsidP="00CE5850">
      <w:pPr>
        <w:pStyle w:val="ParaNum"/>
        <w:tabs>
          <w:tab w:val="clear" w:pos="1440"/>
        </w:tabs>
        <w:ind w:firstLine="0"/>
        <w:rPr>
          <w:sz w:val="22"/>
          <w:szCs w:val="22"/>
        </w:rPr>
      </w:pPr>
    </w:p>
    <w:p w:rsidR="004A147C" w:rsidRPr="00B53FFB" w:rsidRDefault="004A147C" w:rsidP="00CE5850">
      <w:pPr>
        <w:pStyle w:val="Heading1"/>
        <w:keepNext w:val="0"/>
        <w:numPr>
          <w:ilvl w:val="0"/>
          <w:numId w:val="26"/>
        </w:numPr>
        <w:tabs>
          <w:tab w:val="left" w:pos="720"/>
        </w:tabs>
        <w:suppressAutoHyphens w:val="0"/>
        <w:rPr>
          <w:sz w:val="22"/>
          <w:szCs w:val="22"/>
        </w:rPr>
      </w:pPr>
      <w:bookmarkStart w:id="92" w:name="_Toc275952389"/>
      <w:bookmarkStart w:id="93" w:name="_Toc276121821"/>
      <w:bookmarkStart w:id="94" w:name="_Toc276480658"/>
      <w:bookmarkStart w:id="95" w:name="_Toc276741735"/>
      <w:bookmarkStart w:id="96" w:name="_Toc277171499"/>
      <w:bookmarkStart w:id="97" w:name="_Toc277864474"/>
      <w:bookmarkStart w:id="98" w:name="_Toc277864690"/>
      <w:bookmarkStart w:id="99" w:name="_Toc285810371"/>
      <w:bookmarkStart w:id="100" w:name="_Toc287257765"/>
      <w:bookmarkStart w:id="101" w:name="_Toc291758644"/>
      <w:bookmarkStart w:id="102" w:name="_Toc291758747"/>
      <w:bookmarkStart w:id="103" w:name="_Toc295392927"/>
      <w:bookmarkStart w:id="104" w:name="_Toc329262476"/>
      <w:bookmarkStart w:id="105" w:name="_Toc329852379"/>
      <w:bookmarkStart w:id="106" w:name="_Toc331766295"/>
      <w:bookmarkStart w:id="107" w:name="_Toc332119091"/>
      <w:bookmarkStart w:id="108" w:name="_Toc334088773"/>
      <w:bookmarkStart w:id="109" w:name="_Toc334089009"/>
      <w:bookmarkStart w:id="110" w:name="_Toc334089168"/>
      <w:bookmarkStart w:id="111" w:name="_Toc334089279"/>
      <w:bookmarkStart w:id="112" w:name="_Toc334089443"/>
      <w:bookmarkStart w:id="113" w:name="_Toc335839016"/>
      <w:bookmarkStart w:id="114" w:name="_Toc336268579"/>
      <w:bookmarkStart w:id="115" w:name="_Toc336268687"/>
      <w:bookmarkStart w:id="116" w:name="_Toc336268794"/>
      <w:bookmarkStart w:id="117" w:name="_Toc336269008"/>
      <w:bookmarkStart w:id="118" w:name="_Toc336269115"/>
      <w:bookmarkStart w:id="119" w:name="_Toc336269483"/>
      <w:bookmarkStart w:id="120" w:name="_Toc336269629"/>
      <w:bookmarkStart w:id="121" w:name="_Toc336270042"/>
      <w:bookmarkStart w:id="122" w:name="_Toc336271248"/>
      <w:bookmarkStart w:id="123" w:name="_Toc337651941"/>
      <w:bookmarkStart w:id="124" w:name="_Toc349577129"/>
      <w:bookmarkStart w:id="125" w:name="_Toc349579221"/>
      <w:bookmarkStart w:id="126" w:name="_Toc349580536"/>
      <w:bookmarkStart w:id="127" w:name="_Toc349734944"/>
      <w:bookmarkStart w:id="128" w:name="_Toc349742309"/>
      <w:bookmarkEnd w:id="77"/>
      <w:bookmarkEnd w:id="78"/>
      <w:bookmarkEnd w:id="79"/>
      <w:bookmarkEnd w:id="80"/>
      <w:r w:rsidRPr="00B53FFB">
        <w:rPr>
          <w:sz w:val="22"/>
          <w:szCs w:val="22"/>
        </w:rPr>
        <w:lastRenderedPageBreak/>
        <w:t>Introduction</w:t>
      </w:r>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p>
    <w:p w:rsidR="004A147C" w:rsidRPr="00B53FFB" w:rsidRDefault="004A147C" w:rsidP="00CE5850">
      <w:pPr>
        <w:pStyle w:val="ParaNum"/>
        <w:numPr>
          <w:ilvl w:val="0"/>
          <w:numId w:val="28"/>
        </w:numPr>
        <w:tabs>
          <w:tab w:val="num" w:pos="1440"/>
        </w:tabs>
        <w:rPr>
          <w:sz w:val="22"/>
          <w:szCs w:val="22"/>
        </w:rPr>
      </w:pPr>
      <w:bookmarkStart w:id="129" w:name="_Toc55787789"/>
      <w:bookmarkStart w:id="130" w:name="_Toc57021201"/>
      <w:bookmarkStart w:id="131" w:name="_Toc67722107"/>
      <w:bookmarkStart w:id="132" w:name="_Toc83547778"/>
      <w:bookmarkStart w:id="133" w:name="_Toc112139205"/>
      <w:bookmarkStart w:id="134" w:name="_Toc113257812"/>
      <w:bookmarkStart w:id="135" w:name="_Toc113258009"/>
      <w:bookmarkStart w:id="136" w:name="_Toc113258277"/>
      <w:bookmarkStart w:id="137" w:name="_Toc113258603"/>
      <w:bookmarkStart w:id="138" w:name="_Toc113272192"/>
      <w:bookmarkStart w:id="139" w:name="_Toc115580877"/>
      <w:bookmarkStart w:id="140" w:name="_Toc136318280"/>
      <w:bookmarkStart w:id="141" w:name="_Toc136318629"/>
      <w:bookmarkStart w:id="142" w:name="_Toc136318796"/>
      <w:bookmarkStart w:id="143" w:name="_Toc138475772"/>
      <w:bookmarkStart w:id="144" w:name="_Toc146684501"/>
      <w:bookmarkStart w:id="145" w:name="_Toc147046259"/>
      <w:bookmarkStart w:id="146" w:name="_Toc171415215"/>
      <w:bookmarkStart w:id="147" w:name="_Toc173642103"/>
      <w:bookmarkStart w:id="148" w:name="_Toc173813641"/>
      <w:bookmarkStart w:id="149" w:name="_Toc175387810"/>
      <w:bookmarkStart w:id="150" w:name="_Toc176254412"/>
      <w:bookmarkStart w:id="151" w:name="_Toc176254701"/>
      <w:bookmarkStart w:id="152" w:name="_Toc176254812"/>
      <w:bookmarkStart w:id="153" w:name="_Toc176762447"/>
      <w:bookmarkStart w:id="154" w:name="_Toc176843467"/>
      <w:bookmarkStart w:id="155" w:name="_Toc176853271"/>
      <w:bookmarkStart w:id="156" w:name="_Toc176853380"/>
      <w:bookmarkStart w:id="157" w:name="_Toc176857429"/>
      <w:bookmarkStart w:id="158" w:name="_Toc179108354"/>
      <w:bookmarkStart w:id="159" w:name="_Toc179357613"/>
      <w:bookmarkStart w:id="160" w:name="_Toc181781097"/>
      <w:bookmarkStart w:id="161" w:name="_Toc182218683"/>
      <w:bookmarkStart w:id="162" w:name="_Toc182909118"/>
      <w:bookmarkStart w:id="163" w:name="_Toc182909548"/>
      <w:bookmarkStart w:id="164" w:name="_Toc182987198"/>
      <w:bookmarkStart w:id="165" w:name="_Toc183244033"/>
      <w:bookmarkStart w:id="166" w:name="_Toc183244411"/>
      <w:bookmarkStart w:id="167" w:name="_Toc183244812"/>
      <w:bookmarkStart w:id="168" w:name="_Toc183244930"/>
      <w:bookmarkStart w:id="169" w:name="_Toc183245588"/>
      <w:bookmarkStart w:id="170" w:name="_Toc183246163"/>
      <w:bookmarkStart w:id="171" w:name="_Toc183246281"/>
      <w:bookmarkStart w:id="172" w:name="_Toc185667882"/>
      <w:bookmarkStart w:id="173" w:name="_Ref185758240"/>
      <w:bookmarkStart w:id="174" w:name="_Ref185758303"/>
      <w:bookmarkStart w:id="175" w:name="_Toc185838939"/>
      <w:bookmarkStart w:id="176" w:name="_Toc185846911"/>
      <w:bookmarkStart w:id="177" w:name="_Toc185848517"/>
      <w:bookmarkStart w:id="178" w:name="_Toc188946875"/>
      <w:bookmarkStart w:id="179" w:name="_Toc189302779"/>
      <w:bookmarkStart w:id="180" w:name="_Toc209948448"/>
      <w:bookmarkStart w:id="181" w:name="_Toc209948558"/>
      <w:bookmarkStart w:id="182" w:name="_Toc209950000"/>
      <w:bookmarkStart w:id="183" w:name="_Toc210211456"/>
      <w:bookmarkStart w:id="184" w:name="_Toc210213023"/>
      <w:bookmarkStart w:id="185" w:name="_Toc210213162"/>
      <w:bookmarkStart w:id="186" w:name="_Toc210213723"/>
      <w:bookmarkStart w:id="187" w:name="_Toc212967948"/>
      <w:bookmarkStart w:id="188" w:name="_Toc215316346"/>
      <w:bookmarkStart w:id="189" w:name="_Toc215384600"/>
      <w:bookmarkStart w:id="190" w:name="_Toc217810466"/>
      <w:bookmarkStart w:id="191" w:name="_Toc252806164"/>
      <w:bookmarkStart w:id="192" w:name="_Ref256507068"/>
      <w:bookmarkStart w:id="193" w:name="_Ref256507070"/>
      <w:bookmarkStart w:id="194" w:name="_Ref259543212"/>
      <w:bookmarkStart w:id="195" w:name="_Toc261610760"/>
      <w:bookmarkStart w:id="196" w:name="_Toc261858493"/>
      <w:bookmarkStart w:id="197" w:name="_Toc262034298"/>
      <w:bookmarkStart w:id="198" w:name="_Toc262034401"/>
      <w:bookmarkStart w:id="199" w:name="_Toc271288440"/>
      <w:bookmarkStart w:id="200" w:name="_Toc275517957"/>
      <w:bookmarkStart w:id="201" w:name="_Toc275952397"/>
      <w:bookmarkStart w:id="202" w:name="_Toc276121829"/>
      <w:bookmarkStart w:id="203" w:name="_Toc276480666"/>
      <w:bookmarkStart w:id="204" w:name="_Toc276741743"/>
      <w:bookmarkStart w:id="205" w:name="_Toc277171507"/>
      <w:bookmarkStart w:id="206" w:name="_Toc277864482"/>
      <w:bookmarkStart w:id="207" w:name="_Toc277864698"/>
      <w:bookmarkStart w:id="208" w:name="_Toc285810379"/>
      <w:bookmarkStart w:id="209" w:name="_Toc287257773"/>
      <w:bookmarkStart w:id="210" w:name="_Toc291758652"/>
      <w:bookmarkStart w:id="211" w:name="_Toc291758755"/>
      <w:bookmarkStart w:id="212" w:name="_Toc295392935"/>
      <w:bookmarkStart w:id="213" w:name="_Toc329262484"/>
      <w:bookmarkStart w:id="214" w:name="_Ref27210659"/>
      <w:bookmarkStart w:id="215" w:name="_Toc83547776"/>
      <w:bookmarkStart w:id="216" w:name="_Toc112139204"/>
      <w:bookmarkStart w:id="217" w:name="_Toc113257811"/>
      <w:bookmarkStart w:id="218" w:name="_Toc113258008"/>
      <w:bookmarkStart w:id="219" w:name="_Toc113258276"/>
      <w:bookmarkStart w:id="220" w:name="_Toc113258602"/>
      <w:bookmarkStart w:id="221" w:name="_Toc113272191"/>
      <w:bookmarkStart w:id="222" w:name="_Toc115580876"/>
      <w:bookmarkStart w:id="223" w:name="_Toc136318279"/>
      <w:bookmarkStart w:id="224" w:name="_Toc136318628"/>
      <w:bookmarkStart w:id="225" w:name="_Toc136318795"/>
      <w:bookmarkStart w:id="226" w:name="_Toc138475771"/>
      <w:bookmarkStart w:id="227" w:name="_Toc146684500"/>
      <w:bookmarkStart w:id="228" w:name="_Toc147046258"/>
      <w:bookmarkStart w:id="229" w:name="_Toc171415214"/>
      <w:bookmarkStart w:id="230" w:name="_Toc173642102"/>
      <w:bookmarkStart w:id="231" w:name="_Toc173813640"/>
      <w:bookmarkStart w:id="232" w:name="_Toc175387809"/>
      <w:bookmarkStart w:id="233" w:name="_Toc176254411"/>
      <w:bookmarkStart w:id="234" w:name="_Toc176254700"/>
      <w:bookmarkStart w:id="235" w:name="_Toc176254811"/>
      <w:bookmarkStart w:id="236" w:name="_Toc176762446"/>
      <w:bookmarkStart w:id="237" w:name="_Toc176843466"/>
      <w:bookmarkStart w:id="238" w:name="_Toc176853270"/>
      <w:bookmarkStart w:id="239" w:name="_Toc176853379"/>
      <w:bookmarkStart w:id="240" w:name="_Toc176857428"/>
      <w:bookmarkStart w:id="241" w:name="_Toc179108353"/>
      <w:bookmarkStart w:id="242" w:name="_Toc179357612"/>
      <w:bookmarkStart w:id="243" w:name="_Toc181781096"/>
      <w:bookmarkStart w:id="244" w:name="_Toc182218682"/>
      <w:bookmarkStart w:id="245" w:name="_Toc182909117"/>
      <w:bookmarkStart w:id="246" w:name="_Toc182909547"/>
      <w:bookmarkStart w:id="247" w:name="_Toc182987197"/>
      <w:bookmarkStart w:id="248" w:name="_Toc183244032"/>
      <w:bookmarkStart w:id="249" w:name="_Toc183244410"/>
      <w:bookmarkStart w:id="250" w:name="_Toc183244811"/>
      <w:bookmarkStart w:id="251" w:name="_Toc183244929"/>
      <w:bookmarkStart w:id="252" w:name="_Toc183245587"/>
      <w:bookmarkStart w:id="253" w:name="_Toc183246162"/>
      <w:bookmarkStart w:id="254" w:name="_Toc183246280"/>
      <w:bookmarkStart w:id="255" w:name="_Toc185667881"/>
      <w:bookmarkStart w:id="256" w:name="_Toc185838938"/>
      <w:bookmarkStart w:id="257" w:name="_Toc185846910"/>
      <w:bookmarkStart w:id="258" w:name="_Toc185848516"/>
      <w:bookmarkStart w:id="259" w:name="_Toc188946874"/>
      <w:bookmarkStart w:id="260" w:name="_Toc189302778"/>
      <w:bookmarkStart w:id="261" w:name="_Toc83547801"/>
      <w:bookmarkStart w:id="262" w:name="_Toc112139225"/>
      <w:bookmarkStart w:id="263" w:name="_Toc113257832"/>
      <w:bookmarkStart w:id="264" w:name="_Toc113258029"/>
      <w:bookmarkStart w:id="265" w:name="_Toc113258297"/>
      <w:bookmarkStart w:id="266" w:name="_Toc113258623"/>
      <w:bookmarkStart w:id="267" w:name="_Toc113272212"/>
      <w:bookmarkStart w:id="268" w:name="_Toc115580897"/>
      <w:bookmarkStart w:id="269" w:name="_Toc136318300"/>
      <w:bookmarkStart w:id="270" w:name="_Toc136318649"/>
      <w:bookmarkStart w:id="271" w:name="_Toc136318816"/>
      <w:bookmarkStart w:id="272" w:name="_Toc138475792"/>
      <w:bookmarkStart w:id="273" w:name="_Toc146684521"/>
      <w:bookmarkStart w:id="274" w:name="_Toc147046279"/>
      <w:bookmarkStart w:id="275" w:name="_Toc171415236"/>
      <w:bookmarkStart w:id="276" w:name="_Toc173642124"/>
      <w:bookmarkStart w:id="277" w:name="_Toc173813662"/>
      <w:bookmarkStart w:id="278" w:name="_Toc175387832"/>
      <w:bookmarkStart w:id="279" w:name="_Toc176254437"/>
      <w:bookmarkStart w:id="280" w:name="_Toc176254726"/>
      <w:bookmarkStart w:id="281" w:name="_Toc176254837"/>
      <w:bookmarkStart w:id="282" w:name="_Toc176762472"/>
      <w:bookmarkStart w:id="283" w:name="_Toc176843493"/>
      <w:bookmarkStart w:id="284" w:name="_Toc176853297"/>
      <w:bookmarkStart w:id="285" w:name="_Toc176853406"/>
      <w:bookmarkStart w:id="286" w:name="_Toc176857455"/>
      <w:bookmarkStart w:id="287" w:name="_Toc179108382"/>
      <w:bookmarkStart w:id="288" w:name="_Toc179357641"/>
      <w:bookmarkStart w:id="289" w:name="_Toc181781125"/>
      <w:bookmarkStart w:id="290" w:name="_Toc182218711"/>
      <w:bookmarkStart w:id="291" w:name="_Toc182909146"/>
      <w:bookmarkStart w:id="292" w:name="_Toc182909576"/>
      <w:bookmarkStart w:id="293" w:name="_Toc182987226"/>
      <w:bookmarkStart w:id="294" w:name="_Toc183244061"/>
      <w:bookmarkStart w:id="295" w:name="_Toc183244439"/>
      <w:bookmarkStart w:id="296" w:name="_Toc183244850"/>
      <w:bookmarkStart w:id="297" w:name="_Toc183244968"/>
      <w:bookmarkStart w:id="298" w:name="_Toc183245626"/>
      <w:bookmarkStart w:id="299" w:name="_Toc183246201"/>
      <w:bookmarkStart w:id="300" w:name="_Toc183246300"/>
      <w:bookmarkStart w:id="301" w:name="_Toc185667910"/>
      <w:bookmarkStart w:id="302" w:name="_Ref185758694"/>
      <w:bookmarkStart w:id="303" w:name="_Toc185838967"/>
      <w:bookmarkStart w:id="304" w:name="_Toc185846939"/>
      <w:bookmarkStart w:id="305" w:name="_Toc185848545"/>
      <w:bookmarkStart w:id="306" w:name="_Toc188946903"/>
      <w:bookmarkStart w:id="307" w:name="_Toc189302807"/>
      <w:bookmarkStart w:id="308" w:name="_Toc209948474"/>
      <w:bookmarkStart w:id="309" w:name="_Toc209948583"/>
      <w:bookmarkStart w:id="310" w:name="_Toc209950025"/>
      <w:bookmarkStart w:id="311" w:name="_Toc210211481"/>
      <w:bookmarkStart w:id="312" w:name="_Toc210213048"/>
      <w:bookmarkStart w:id="313" w:name="_Toc210213187"/>
      <w:bookmarkStart w:id="314" w:name="_Toc210213748"/>
      <w:bookmarkStart w:id="315" w:name="_Toc212967973"/>
      <w:bookmarkStart w:id="316" w:name="_Toc215316375"/>
      <w:bookmarkStart w:id="317" w:name="_Toc215384629"/>
      <w:bookmarkStart w:id="318" w:name="_Toc217810495"/>
      <w:bookmarkStart w:id="319" w:name="_Toc21762269"/>
      <w:bookmarkStart w:id="320" w:name="_Toc55787792"/>
      <w:bookmarkStart w:id="321" w:name="_Toc57021204"/>
      <w:bookmarkStart w:id="322" w:name="_Toc67722110"/>
      <w:bookmarkStart w:id="323" w:name="_Toc474651941"/>
      <w:bookmarkStart w:id="324" w:name="_Ref483811727"/>
      <w:bookmarkStart w:id="325" w:name="_Toc486250214"/>
      <w:r w:rsidRPr="00B53FFB">
        <w:rPr>
          <w:sz w:val="22"/>
          <w:szCs w:val="22"/>
        </w:rPr>
        <w:t>In 1993, Congress created the statutory classification of “commercial mobile services” to promote the consistent regulation of mobile radio services that are similar in nature.</w:t>
      </w:r>
      <w:r w:rsidRPr="00B53FFB">
        <w:rPr>
          <w:rStyle w:val="FootnoteReference"/>
          <w:szCs w:val="22"/>
        </w:rPr>
        <w:footnoteReference w:id="59"/>
      </w:r>
      <w:r w:rsidRPr="00B53FFB">
        <w:rPr>
          <w:sz w:val="22"/>
          <w:szCs w:val="22"/>
        </w:rPr>
        <w:t xml:space="preserve">  Commission regulations refer to these services as the Commercial Mobile Radio Services, or “CMRS.”</w:t>
      </w:r>
      <w:r w:rsidRPr="00B53FFB">
        <w:rPr>
          <w:rStyle w:val="FootnoteReference"/>
          <w:szCs w:val="22"/>
        </w:rPr>
        <w:footnoteReference w:id="60"/>
      </w:r>
      <w:r w:rsidRPr="00B53FFB">
        <w:rPr>
          <w:sz w:val="22"/>
          <w:szCs w:val="22"/>
        </w:rPr>
        <w:t xml:space="preserve">  At the same time, Congress established the promotion of competition as a fundamental goal for CMRS policy formation and regulation.  To measure progress toward this goal, Congress required the Commission to submit annual reports that analyze competitive conditions in the industry.</w:t>
      </w:r>
      <w:r w:rsidRPr="00B53FFB">
        <w:rPr>
          <w:rStyle w:val="FootnoteReference"/>
          <w:szCs w:val="22"/>
        </w:rPr>
        <w:footnoteReference w:id="61"/>
      </w:r>
      <w:r w:rsidRPr="00B53FFB">
        <w:rPr>
          <w:sz w:val="22"/>
          <w:szCs w:val="22"/>
        </w:rPr>
        <w:t xml:space="preserve">  </w:t>
      </w:r>
    </w:p>
    <w:p w:rsidR="004A147C" w:rsidRPr="00B53FFB" w:rsidRDefault="004A147C" w:rsidP="00CE5850">
      <w:pPr>
        <w:pStyle w:val="ParaNum"/>
        <w:numPr>
          <w:ilvl w:val="0"/>
          <w:numId w:val="28"/>
        </w:numPr>
        <w:tabs>
          <w:tab w:val="num" w:pos="1440"/>
        </w:tabs>
        <w:rPr>
          <w:sz w:val="22"/>
          <w:szCs w:val="22"/>
        </w:rPr>
      </w:pPr>
      <w:r w:rsidRPr="00B53FFB">
        <w:rPr>
          <w:sz w:val="22"/>
          <w:szCs w:val="22"/>
        </w:rPr>
        <w:t>Congress called on the Commission to report on “competitive market conditions with respect to commercial mobile services.”</w:t>
      </w:r>
      <w:r w:rsidRPr="00B53FFB">
        <w:rPr>
          <w:rStyle w:val="FootnoteReference"/>
          <w:szCs w:val="22"/>
        </w:rPr>
        <w:footnoteReference w:id="62"/>
      </w:r>
      <w:r w:rsidRPr="00B53FFB">
        <w:rPr>
          <w:sz w:val="22"/>
          <w:szCs w:val="22"/>
        </w:rPr>
        <w:t xml:space="preserve">  In particular, the statute requiring the annual report on CMRS competition states:</w:t>
      </w:r>
    </w:p>
    <w:p w:rsidR="004A147C" w:rsidRPr="00B53FFB" w:rsidRDefault="004A147C" w:rsidP="00CE5850">
      <w:pPr>
        <w:ind w:left="720" w:right="720"/>
        <w:rPr>
          <w:szCs w:val="22"/>
        </w:rPr>
      </w:pPr>
      <w:r w:rsidRPr="00B53FFB">
        <w:rPr>
          <w:szCs w:val="22"/>
        </w:rPr>
        <w:t>The Commission shall review competitive market conditions with respect to commercial mobile services and shall include in its annual report an analysis of those conditions.  Such analysis shall include an identification of the number of competitors in various commercial mobile services, an analysis of whether or not there is effective competition, an analysis of whether any of such competitors have a dominant share of the market for such services, and a statement of whether additional providers or classes of providers in those services would be likely to enhance competition.</w:t>
      </w:r>
      <w:r w:rsidRPr="00B53FFB">
        <w:rPr>
          <w:rStyle w:val="FootnoteReference"/>
          <w:szCs w:val="22"/>
        </w:rPr>
        <w:footnoteReference w:id="63"/>
      </w:r>
    </w:p>
    <w:p w:rsidR="004A147C" w:rsidRPr="00B53FFB" w:rsidRDefault="004A147C" w:rsidP="00CE5850">
      <w:pPr>
        <w:ind w:right="720"/>
        <w:rPr>
          <w:szCs w:val="22"/>
        </w:rPr>
      </w:pPr>
    </w:p>
    <w:p w:rsidR="004A147C" w:rsidRPr="00B53FFB" w:rsidRDefault="004A147C" w:rsidP="00CE5850">
      <w:pPr>
        <w:pStyle w:val="ParaNum"/>
        <w:tabs>
          <w:tab w:val="clear" w:pos="1440"/>
        </w:tabs>
        <w:ind w:firstLine="0"/>
        <w:rPr>
          <w:sz w:val="22"/>
          <w:szCs w:val="22"/>
        </w:rPr>
      </w:pPr>
      <w:r w:rsidRPr="00B53FFB">
        <w:rPr>
          <w:kern w:val="0"/>
          <w:sz w:val="22"/>
          <w:szCs w:val="22"/>
        </w:rPr>
        <w:t xml:space="preserve">Beginning with the </w:t>
      </w:r>
      <w:r w:rsidRPr="00B53FFB">
        <w:rPr>
          <w:i/>
          <w:kern w:val="0"/>
          <w:sz w:val="22"/>
          <w:szCs w:val="22"/>
        </w:rPr>
        <w:t>Fourteenth Report,</w:t>
      </w:r>
      <w:r w:rsidRPr="00B53FFB">
        <w:rPr>
          <w:kern w:val="0"/>
          <w:sz w:val="22"/>
          <w:szCs w:val="22"/>
        </w:rPr>
        <w:t xml:space="preserve"> the Commission, while complying with Congress’s mandate to assess competitive market conditions, has undertaken a more expansive and detailed analysis of the entire mobile wireless industry to better represent fundamental shifts in the mobile marketplace.</w:t>
      </w:r>
      <w:r w:rsidRPr="00B53FFB">
        <w:rPr>
          <w:rStyle w:val="FootnoteReference"/>
          <w:kern w:val="0"/>
          <w:szCs w:val="22"/>
        </w:rPr>
        <w:footnoteReference w:id="64"/>
      </w:r>
      <w:r w:rsidRPr="00B53FFB">
        <w:rPr>
          <w:kern w:val="0"/>
          <w:sz w:val="22"/>
          <w:szCs w:val="22"/>
        </w:rPr>
        <w:t xml:space="preserve">  To reflect this broader focus, the Commission changed the name of the </w:t>
      </w:r>
      <w:r w:rsidRPr="00B53FFB">
        <w:rPr>
          <w:i/>
          <w:kern w:val="0"/>
          <w:sz w:val="22"/>
          <w:szCs w:val="22"/>
        </w:rPr>
        <w:t xml:space="preserve">Report </w:t>
      </w:r>
      <w:r w:rsidRPr="00B53FFB">
        <w:rPr>
          <w:kern w:val="0"/>
          <w:sz w:val="22"/>
          <w:szCs w:val="22"/>
        </w:rPr>
        <w:t>from the “Annual CMRS Competition Report” to the current “Annual Mobile Wireless Competition Report.”</w:t>
      </w:r>
      <w:r w:rsidRPr="00B53FFB">
        <w:rPr>
          <w:sz w:val="22"/>
          <w:szCs w:val="22"/>
        </w:rPr>
        <w:t xml:space="preserve"> As in the past, this </w:t>
      </w:r>
      <w:r w:rsidRPr="00B53FFB">
        <w:rPr>
          <w:i/>
          <w:sz w:val="22"/>
          <w:szCs w:val="22"/>
        </w:rPr>
        <w:t>Report</w:t>
      </w:r>
      <w:r w:rsidRPr="00B53FFB">
        <w:rPr>
          <w:sz w:val="22"/>
          <w:szCs w:val="22"/>
        </w:rPr>
        <w:t xml:space="preserve"> bases its analysis on a consumer-oriented view of mobile services by focusing on specific product categories, regardless of their regulatory classification, and integrates an analysis of CMRS into an analysis of all mobile wireless services, such as voice, messaging, and broadband.  In some cases, this includes an analysis of offerings outside the umbrella of services that have been specifically classified as </w:t>
      </w:r>
      <w:r w:rsidRPr="00B53FFB">
        <w:rPr>
          <w:sz w:val="22"/>
          <w:szCs w:val="22"/>
        </w:rPr>
        <w:lastRenderedPageBreak/>
        <w:t>CMRS.</w:t>
      </w:r>
      <w:r w:rsidRPr="00B53FFB">
        <w:rPr>
          <w:rStyle w:val="FootnoteReference"/>
          <w:szCs w:val="22"/>
        </w:rPr>
        <w:footnoteReference w:id="65"/>
      </w:r>
      <w:r w:rsidRPr="00B53FFB">
        <w:rPr>
          <w:sz w:val="22"/>
          <w:szCs w:val="22"/>
        </w:rPr>
        <w:t xml:space="preserve">  For example, many providers of CMRS offer mobile broadband Internet access service, which has not been classified as “CMRS.”</w:t>
      </w:r>
      <w:r w:rsidRPr="00B53FFB">
        <w:rPr>
          <w:rStyle w:val="FootnoteReference"/>
          <w:szCs w:val="22"/>
        </w:rPr>
        <w:footnoteReference w:id="66"/>
      </w:r>
      <w:r w:rsidRPr="00B53FFB">
        <w:rPr>
          <w:sz w:val="22"/>
          <w:szCs w:val="22"/>
        </w:rPr>
        <w:t xml:space="preserve"> Such services often jointly use the same spectrum and network facilities, and many mobile service providers have integrated the marketing of some of these services, offering some of them in bundles.  Consumers are increasingly substituting among voice, messaging, and some data services, and, in particular, are willing to move from voice to messaging or data services for an increasing portion of their communication needs.  Because consumers view these other services as interchangeable with or substitutes for certain CMRS services, service providers compete for these customers using CMRS services as well as non-CMRS services.  As a result, the Commission has indicated that it is important to consider such substitute services in analyzing the competitive landscape for these services and thus considers the mobile wireless industry, rather than just the provision of CMRS services.</w:t>
      </w:r>
      <w:r w:rsidRPr="00B53FFB">
        <w:rPr>
          <w:rStyle w:val="FootnoteReference"/>
          <w:szCs w:val="22"/>
        </w:rPr>
        <w:footnoteReference w:id="67"/>
      </w:r>
    </w:p>
    <w:p w:rsidR="00CA3AC6" w:rsidRPr="00B53FFB" w:rsidRDefault="004A147C" w:rsidP="00CE5850">
      <w:pPr>
        <w:pStyle w:val="ParaNum"/>
        <w:numPr>
          <w:ilvl w:val="0"/>
          <w:numId w:val="28"/>
        </w:numPr>
        <w:tabs>
          <w:tab w:val="num" w:pos="1440"/>
        </w:tabs>
        <w:rPr>
          <w:sz w:val="22"/>
          <w:szCs w:val="22"/>
        </w:rPr>
      </w:pPr>
      <w:r w:rsidRPr="00B53FFB">
        <w:rPr>
          <w:sz w:val="22"/>
          <w:szCs w:val="22"/>
        </w:rPr>
        <w:t xml:space="preserve">In addition, as the mobile wireless services industry has transitioned from one centered on interconnected mobile voice communications to one that produces an array of voice, messaging, and data services, the number of related mobile wireless industry segments involved in </w:t>
      </w:r>
      <w:r>
        <w:rPr>
          <w:sz w:val="22"/>
          <w:szCs w:val="22"/>
        </w:rPr>
        <w:t>bringing t</w:t>
      </w:r>
      <w:r w:rsidRPr="00B53FFB">
        <w:rPr>
          <w:sz w:val="22"/>
          <w:szCs w:val="22"/>
        </w:rPr>
        <w:t xml:space="preserve">hese information products to mobile consumers has grown and evolved.  These interrelated market segments form the mobile wireless ecosystem, which includes the various parts of the supply and production network that bring thousands of mobile wireless products to Americans every day.  Each of the segments in the mobile wireless ecosystem has the potential to affect </w:t>
      </w:r>
      <w:r>
        <w:rPr>
          <w:sz w:val="22"/>
          <w:szCs w:val="22"/>
        </w:rPr>
        <w:t xml:space="preserve">competition by </w:t>
      </w:r>
      <w:r w:rsidRPr="00B53FFB">
        <w:rPr>
          <w:sz w:val="22"/>
          <w:szCs w:val="22"/>
        </w:rPr>
        <w:t xml:space="preserve">providers and consumer </w:t>
      </w:r>
      <w:r>
        <w:rPr>
          <w:sz w:val="22"/>
          <w:szCs w:val="22"/>
        </w:rPr>
        <w:t xml:space="preserve">demand </w:t>
      </w:r>
      <w:r w:rsidRPr="00B53FFB">
        <w:rPr>
          <w:sz w:val="22"/>
          <w:szCs w:val="22"/>
        </w:rPr>
        <w:t xml:space="preserve">for mobile wireless services.  As the ecosystem has evolved, so have the Commission’s </w:t>
      </w:r>
      <w:r w:rsidRPr="00B53FFB">
        <w:rPr>
          <w:i/>
          <w:sz w:val="22"/>
          <w:szCs w:val="22"/>
        </w:rPr>
        <w:t>Competition Reports</w:t>
      </w:r>
      <w:r w:rsidRPr="00B53FFB">
        <w:rPr>
          <w:sz w:val="22"/>
          <w:szCs w:val="22"/>
        </w:rPr>
        <w:t>.</w:t>
      </w:r>
      <w:r w:rsidRPr="00B53FFB">
        <w:rPr>
          <w:rStyle w:val="FootnoteReference"/>
          <w:szCs w:val="22"/>
        </w:rPr>
        <w:footnoteReference w:id="68"/>
      </w:r>
      <w:r w:rsidRPr="00B53FFB">
        <w:rPr>
          <w:sz w:val="22"/>
          <w:szCs w:val="22"/>
        </w:rPr>
        <w:t xml:space="preserve">  This </w:t>
      </w:r>
      <w:r w:rsidRPr="00B53FFB">
        <w:rPr>
          <w:i/>
          <w:sz w:val="22"/>
          <w:szCs w:val="22"/>
        </w:rPr>
        <w:t>Report</w:t>
      </w:r>
      <w:r w:rsidRPr="00B53FFB">
        <w:rPr>
          <w:sz w:val="22"/>
          <w:szCs w:val="22"/>
        </w:rPr>
        <w:t xml:space="preserve"> analyzes competition across the entire mobile wireless ecosystem, including the “upstream” and “downstream” market segments, such as spectrum, infrastructure, devices, and applications.  As discussed in detail below, this </w:t>
      </w:r>
      <w:r w:rsidRPr="00B53FFB">
        <w:rPr>
          <w:i/>
          <w:sz w:val="22"/>
          <w:szCs w:val="22"/>
        </w:rPr>
        <w:t>Report’s</w:t>
      </w:r>
      <w:r w:rsidRPr="00B53FFB">
        <w:rPr>
          <w:sz w:val="22"/>
          <w:szCs w:val="22"/>
        </w:rPr>
        <w:t xml:space="preserve"> detailed assessment of competitive market conditions required by statute </w:t>
      </w:r>
      <w:r>
        <w:rPr>
          <w:sz w:val="22"/>
          <w:szCs w:val="22"/>
        </w:rPr>
        <w:t>considers</w:t>
      </w:r>
      <w:r w:rsidRPr="00B53FFB">
        <w:rPr>
          <w:sz w:val="22"/>
          <w:szCs w:val="22"/>
        </w:rPr>
        <w:t xml:space="preserve">  </w:t>
      </w:r>
      <w:r>
        <w:rPr>
          <w:sz w:val="22"/>
          <w:szCs w:val="22"/>
        </w:rPr>
        <w:t xml:space="preserve">developments </w:t>
      </w:r>
      <w:r w:rsidRPr="00B53FFB">
        <w:rPr>
          <w:sz w:val="22"/>
          <w:szCs w:val="22"/>
        </w:rPr>
        <w:t xml:space="preserve"> across the entire  mobile wireless ecosystem. </w:t>
      </w:r>
      <w:r w:rsidR="0007014B" w:rsidRPr="00C76E8D">
        <w:rPr>
          <w:sz w:val="22"/>
          <w:szCs w:val="22"/>
        </w:rPr>
        <w:fldChar w:fldCharType="begin"/>
      </w:r>
      <w:r w:rsidRPr="00C76E8D">
        <w:rPr>
          <w:sz w:val="22"/>
          <w:szCs w:val="22"/>
        </w:rPr>
        <w:instrText xml:space="preserve"> REF _Ref255308760 \h  \* MERGEFORMAT </w:instrText>
      </w:r>
      <w:r w:rsidR="0007014B" w:rsidRPr="00C76E8D">
        <w:rPr>
          <w:sz w:val="22"/>
          <w:szCs w:val="22"/>
        </w:rPr>
      </w:r>
      <w:r w:rsidR="0007014B" w:rsidRPr="00C76E8D">
        <w:rPr>
          <w:sz w:val="22"/>
          <w:szCs w:val="22"/>
        </w:rPr>
        <w:fldChar w:fldCharType="separate"/>
      </w:r>
    </w:p>
    <w:p w:rsidR="004A147C" w:rsidRPr="00B53FFB" w:rsidRDefault="00CA3AC6" w:rsidP="00CE5850">
      <w:pPr>
        <w:pStyle w:val="ParaNum"/>
        <w:numPr>
          <w:ilvl w:val="0"/>
          <w:numId w:val="28"/>
        </w:numPr>
        <w:tabs>
          <w:tab w:val="num" w:pos="1440"/>
        </w:tabs>
        <w:rPr>
          <w:sz w:val="22"/>
          <w:szCs w:val="22"/>
        </w:rPr>
      </w:pPr>
      <w:r w:rsidRPr="00CA3AC6">
        <w:rPr>
          <w:sz w:val="22"/>
          <w:szCs w:val="22"/>
        </w:rPr>
        <w:lastRenderedPageBreak/>
        <w:t xml:space="preserve">Figure </w:t>
      </w:r>
      <w:r w:rsidRPr="00CA3AC6">
        <w:rPr>
          <w:noProof/>
          <w:sz w:val="22"/>
          <w:szCs w:val="22"/>
        </w:rPr>
        <w:t>1</w:t>
      </w:r>
      <w:r w:rsidR="0007014B" w:rsidRPr="00C76E8D">
        <w:rPr>
          <w:sz w:val="22"/>
          <w:szCs w:val="22"/>
        </w:rPr>
        <w:fldChar w:fldCharType="end"/>
      </w:r>
      <w:r w:rsidR="004A147C" w:rsidRPr="00C76E8D">
        <w:rPr>
          <w:sz w:val="22"/>
          <w:szCs w:val="22"/>
        </w:rPr>
        <w:t xml:space="preserve"> </w:t>
      </w:r>
      <w:r w:rsidR="004A147C" w:rsidRPr="00B53FFB">
        <w:rPr>
          <w:sz w:val="22"/>
          <w:szCs w:val="22"/>
        </w:rPr>
        <w:t xml:space="preserve">below provides an overview of the mobile wireless ecosystem and the corresponding sections of the </w:t>
      </w:r>
      <w:r w:rsidR="004A147C" w:rsidRPr="00B53FFB">
        <w:rPr>
          <w:i/>
          <w:sz w:val="22"/>
          <w:szCs w:val="22"/>
        </w:rPr>
        <w:t>Sixteenth</w:t>
      </w:r>
      <w:r w:rsidR="004A147C" w:rsidRPr="00B53FFB">
        <w:rPr>
          <w:sz w:val="22"/>
          <w:szCs w:val="22"/>
        </w:rPr>
        <w:t xml:space="preserve"> </w:t>
      </w:r>
      <w:r w:rsidR="004A147C" w:rsidRPr="00B53FFB">
        <w:rPr>
          <w:i/>
          <w:sz w:val="22"/>
          <w:szCs w:val="22"/>
        </w:rPr>
        <w:t xml:space="preserve">Report </w:t>
      </w:r>
      <w:r w:rsidR="004A147C" w:rsidRPr="00B53FFB">
        <w:rPr>
          <w:sz w:val="22"/>
          <w:szCs w:val="22"/>
        </w:rPr>
        <w:t>in which each of the ecosystem segments is discussed.  The input segments are divided into spectrum, towers, network equipment, and backhaul facilities.</w:t>
      </w:r>
      <w:r w:rsidR="004A147C" w:rsidRPr="00B53FFB">
        <w:rPr>
          <w:rStyle w:val="FootnoteReference"/>
          <w:szCs w:val="22"/>
        </w:rPr>
        <w:footnoteReference w:id="69"/>
      </w:r>
      <w:r w:rsidR="004A147C" w:rsidRPr="00B53FFB">
        <w:rPr>
          <w:sz w:val="22"/>
          <w:szCs w:val="22"/>
        </w:rPr>
        <w:t xml:space="preserve">  These segments can affect entry, competition, output, or prices in the provision of mobile wireless services.  Following these inputs, the transmission of mobile wireless services includes voice services, messaging services,</w:t>
      </w:r>
      <w:r w:rsidR="004A147C" w:rsidRPr="00B53FFB">
        <w:rPr>
          <w:rStyle w:val="FootnoteReference"/>
          <w:szCs w:val="22"/>
        </w:rPr>
        <w:footnoteReference w:id="70"/>
      </w:r>
      <w:r w:rsidR="004A147C" w:rsidRPr="00B53FFB">
        <w:rPr>
          <w:sz w:val="22"/>
          <w:szCs w:val="22"/>
        </w:rPr>
        <w:t xml:space="preserve"> and data services (including broadband).  The downstream segments include mobile devices, device operating systems, and mobile applications, content, and mobile commerce.</w:t>
      </w:r>
      <w:r w:rsidR="004A147C" w:rsidRPr="00B53FFB">
        <w:rPr>
          <w:rStyle w:val="FootnoteReference"/>
          <w:szCs w:val="22"/>
        </w:rPr>
        <w:footnoteReference w:id="71"/>
      </w:r>
      <w:r w:rsidR="004A147C" w:rsidRPr="00B53FFB">
        <w:rPr>
          <w:sz w:val="22"/>
          <w:szCs w:val="22"/>
        </w:rPr>
        <w:t xml:space="preserve">  Mobile devices, the endpoints of mobile networks, connect consumers to the network.  They can include traditional voice-centric handsets, devices that offer both voice and data services, as well as devices that provide data but not circuit-switched voice service, such as modem cards for portable computers and e-readers.  Riding on the networks of the mobile wireless ecosystem are the information products that are consumed directly by subscribers – mobile applications, content (</w:t>
      </w:r>
      <w:r w:rsidR="004A147C" w:rsidRPr="00B53FFB">
        <w:rPr>
          <w:i/>
          <w:sz w:val="22"/>
          <w:szCs w:val="22"/>
        </w:rPr>
        <w:t>e.g</w:t>
      </w:r>
      <w:r w:rsidR="004A147C" w:rsidRPr="00B53FFB">
        <w:rPr>
          <w:sz w:val="22"/>
          <w:szCs w:val="22"/>
        </w:rPr>
        <w:t>., video and music files, web sites, photos, and documents), and mobile commerce (</w:t>
      </w:r>
      <w:r w:rsidR="004A147C" w:rsidRPr="00B53FFB">
        <w:rPr>
          <w:i/>
          <w:sz w:val="22"/>
          <w:szCs w:val="22"/>
        </w:rPr>
        <w:t>e.g</w:t>
      </w:r>
      <w:r w:rsidR="004A147C" w:rsidRPr="00B53FFB">
        <w:rPr>
          <w:sz w:val="22"/>
          <w:szCs w:val="22"/>
        </w:rPr>
        <w:t>., electronic shopping and financial transactions using a mobile device).  The importance of the downstream segments to consumers’ mobile wireless experience is increasing with the deployment of mobile broadband networks that support Internet-based applications.</w:t>
      </w:r>
      <w:bookmarkStart w:id="326" w:name="_Ref255308760"/>
    </w:p>
    <w:p w:rsidR="004A147C" w:rsidRPr="00B53FFB" w:rsidRDefault="004A147C" w:rsidP="00CE5850">
      <w:pPr>
        <w:pStyle w:val="ParaNum"/>
        <w:tabs>
          <w:tab w:val="clear" w:pos="1440"/>
        </w:tabs>
        <w:ind w:left="720" w:firstLine="0"/>
        <w:jc w:val="center"/>
        <w:rPr>
          <w:b/>
          <w:sz w:val="22"/>
          <w:szCs w:val="22"/>
        </w:rPr>
      </w:pPr>
      <w:r w:rsidRPr="00B53FFB">
        <w:rPr>
          <w:b/>
          <w:sz w:val="22"/>
          <w:szCs w:val="22"/>
        </w:rPr>
        <w:t xml:space="preserve">Figure </w:t>
      </w:r>
      <w:r w:rsidR="0007014B" w:rsidRPr="00B53FFB">
        <w:rPr>
          <w:b/>
          <w:sz w:val="22"/>
          <w:szCs w:val="22"/>
        </w:rPr>
        <w:fldChar w:fldCharType="begin"/>
      </w:r>
      <w:r w:rsidRPr="00B53FFB">
        <w:rPr>
          <w:b/>
          <w:sz w:val="22"/>
          <w:szCs w:val="22"/>
        </w:rPr>
        <w:instrText xml:space="preserve"> SEQ Figure \* ARABIC </w:instrText>
      </w:r>
      <w:r w:rsidR="0007014B" w:rsidRPr="00B53FFB">
        <w:rPr>
          <w:b/>
          <w:sz w:val="22"/>
          <w:szCs w:val="22"/>
        </w:rPr>
        <w:fldChar w:fldCharType="separate"/>
      </w:r>
      <w:r w:rsidR="00CA3AC6">
        <w:rPr>
          <w:b/>
          <w:noProof/>
          <w:sz w:val="22"/>
          <w:szCs w:val="22"/>
        </w:rPr>
        <w:t>1</w:t>
      </w:r>
      <w:r w:rsidR="0007014B" w:rsidRPr="00B53FFB">
        <w:rPr>
          <w:b/>
          <w:sz w:val="22"/>
          <w:szCs w:val="22"/>
        </w:rPr>
        <w:fldChar w:fldCharType="end"/>
      </w:r>
      <w:bookmarkEnd w:id="326"/>
      <w:r w:rsidRPr="00B53FFB">
        <w:rPr>
          <w:b/>
          <w:sz w:val="22"/>
          <w:szCs w:val="22"/>
        </w:rPr>
        <w:br/>
        <w:t>Mobile Wireless Ecosystem</w:t>
      </w:r>
    </w:p>
    <w:p w:rsidR="004A147C" w:rsidRPr="00B53FFB" w:rsidRDefault="00C81B24" w:rsidP="00CE5850">
      <w:pPr>
        <w:pStyle w:val="ParaNum"/>
        <w:tabs>
          <w:tab w:val="clear" w:pos="1440"/>
        </w:tabs>
        <w:ind w:firstLine="0"/>
        <w:rPr>
          <w:sz w:val="22"/>
          <w:szCs w:val="22"/>
        </w:rPr>
      </w:pPr>
      <w:r>
        <w:rPr>
          <w:noProof/>
          <w:sz w:val="22"/>
          <w:szCs w:val="22"/>
        </w:rPr>
        <w:drawing>
          <wp:inline distT="0" distB="0" distL="0" distR="0" wp14:anchorId="4E453647" wp14:editId="5040150A">
            <wp:extent cx="6057900" cy="363855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057900" cy="3638550"/>
                    </a:xfrm>
                    <a:prstGeom prst="rect">
                      <a:avLst/>
                    </a:prstGeom>
                    <a:noFill/>
                    <a:ln>
                      <a:noFill/>
                    </a:ln>
                  </pic:spPr>
                </pic:pic>
              </a:graphicData>
            </a:graphic>
          </wp:inline>
        </w:drawing>
      </w:r>
    </w:p>
    <w:p w:rsidR="004A147C" w:rsidRPr="00B53FFB" w:rsidRDefault="004A147C" w:rsidP="00CE5850">
      <w:pPr>
        <w:pStyle w:val="ParaNum"/>
        <w:tabs>
          <w:tab w:val="clear" w:pos="1440"/>
        </w:tabs>
        <w:ind w:firstLine="0"/>
        <w:rPr>
          <w:sz w:val="22"/>
          <w:szCs w:val="22"/>
        </w:rPr>
      </w:pPr>
    </w:p>
    <w:p w:rsidR="004A147C" w:rsidRPr="00B53FFB" w:rsidRDefault="004A147C" w:rsidP="00CE5850">
      <w:pPr>
        <w:pStyle w:val="ParaNum"/>
        <w:numPr>
          <w:ilvl w:val="0"/>
          <w:numId w:val="28"/>
        </w:numPr>
        <w:tabs>
          <w:tab w:val="num" w:pos="1440"/>
        </w:tabs>
        <w:rPr>
          <w:sz w:val="22"/>
          <w:szCs w:val="22"/>
        </w:rPr>
      </w:pPr>
      <w:r w:rsidRPr="00B53FFB">
        <w:rPr>
          <w:sz w:val="22"/>
          <w:szCs w:val="22"/>
        </w:rPr>
        <w:t xml:space="preserve">In this </w:t>
      </w:r>
      <w:r w:rsidRPr="00B53FFB">
        <w:rPr>
          <w:i/>
          <w:sz w:val="22"/>
          <w:szCs w:val="22"/>
        </w:rPr>
        <w:t>Report</w:t>
      </w:r>
      <w:r w:rsidRPr="00B53FFB">
        <w:rPr>
          <w:sz w:val="22"/>
          <w:szCs w:val="22"/>
        </w:rPr>
        <w:t xml:space="preserve">, </w:t>
      </w:r>
      <w:r>
        <w:rPr>
          <w:sz w:val="22"/>
          <w:szCs w:val="22"/>
        </w:rPr>
        <w:t xml:space="preserve">the </w:t>
      </w:r>
      <w:r w:rsidRPr="00B53FFB">
        <w:rPr>
          <w:sz w:val="22"/>
          <w:szCs w:val="22"/>
        </w:rPr>
        <w:t xml:space="preserve">discussion of the middle part of the mobile wireless ecosystem – </w:t>
      </w:r>
      <w:r w:rsidRPr="00B53FFB">
        <w:rPr>
          <w:sz w:val="22"/>
          <w:szCs w:val="22"/>
        </w:rPr>
        <w:lastRenderedPageBreak/>
        <w:t>mobile wireless services – includes a detailed analysis of mobile wireless service market conditions in the CMRS marketplace, as required by Section 332(c) of the Act.  As discussed above, the statute requires</w:t>
      </w:r>
      <w:r w:rsidRPr="00B53FFB">
        <w:rPr>
          <w:rFonts w:ascii="TimesNewRoman" w:hAnsi="TimesNewRoman" w:cs="TimesNewRoman"/>
          <w:color w:val="010101"/>
          <w:kern w:val="0"/>
          <w:sz w:val="22"/>
          <w:szCs w:val="22"/>
        </w:rPr>
        <w:t xml:space="preserve"> </w:t>
      </w:r>
      <w:r w:rsidRPr="00B53FFB">
        <w:rPr>
          <w:sz w:val="22"/>
          <w:szCs w:val="22"/>
        </w:rPr>
        <w:t xml:space="preserve">an identification of the number of competing providers of the various commercial mobile services, an analysis of whether there is effective competition, an analysis of whether any of the competitors has a dominant share of the market for the services, and a statement of whether additional providers or classes of providers in the services would be likely to enhance competition.  Therefore, this </w:t>
      </w:r>
      <w:r w:rsidRPr="00B53FFB">
        <w:rPr>
          <w:i/>
          <w:sz w:val="22"/>
          <w:szCs w:val="22"/>
        </w:rPr>
        <w:t xml:space="preserve">Report’s </w:t>
      </w:r>
      <w:r w:rsidRPr="00B53FFB">
        <w:rPr>
          <w:sz w:val="22"/>
          <w:szCs w:val="22"/>
        </w:rPr>
        <w:t>competitive analysis of mobile wireless services considers data that provide information on whether any wireless service provider is exercising undue market power – the ability to profitably charge prices above cost for a sustained period of time due to a lack of competitive constraints.</w:t>
      </w:r>
      <w:r w:rsidRPr="00B53FFB">
        <w:rPr>
          <w:rStyle w:val="FootnoteReference"/>
          <w:szCs w:val="22"/>
        </w:rPr>
        <w:footnoteReference w:id="72"/>
      </w:r>
      <w:r w:rsidRPr="00B53FFB">
        <w:rPr>
          <w:sz w:val="22"/>
          <w:szCs w:val="22"/>
        </w:rPr>
        <w:t xml:space="preserve">  This analysis has been organized into four distinct categories: an overview of the mobile wireless services industry, provider conduct, market performance and outcomes, and consumer</w:t>
      </w:r>
      <w:r>
        <w:rPr>
          <w:sz w:val="22"/>
          <w:szCs w:val="22"/>
        </w:rPr>
        <w:t xml:space="preserve"> </w:t>
      </w:r>
      <w:r w:rsidRPr="00B53FFB">
        <w:rPr>
          <w:sz w:val="22"/>
          <w:szCs w:val="22"/>
        </w:rPr>
        <w:t xml:space="preserve">behavior.  </w:t>
      </w:r>
    </w:p>
    <w:p w:rsidR="004A147C" w:rsidRPr="00B53FFB" w:rsidRDefault="004A147C" w:rsidP="00CE5850">
      <w:pPr>
        <w:pStyle w:val="ParaNum"/>
        <w:numPr>
          <w:ilvl w:val="0"/>
          <w:numId w:val="28"/>
        </w:numPr>
        <w:tabs>
          <w:tab w:val="num" w:pos="1440"/>
        </w:tabs>
        <w:rPr>
          <w:sz w:val="22"/>
          <w:szCs w:val="22"/>
        </w:rPr>
      </w:pPr>
      <w:r w:rsidRPr="00B53FFB">
        <w:rPr>
          <w:sz w:val="22"/>
          <w:szCs w:val="22"/>
        </w:rPr>
        <w:t xml:space="preserve">First, within the overview of the mobile wireless services industry, we analyze the number of competitors and calculate measures of concentration.  Markets with few providers or high concentration measures raise concerns that firms may be able to exercise market power, </w:t>
      </w:r>
      <w:r w:rsidRPr="00B53FFB">
        <w:rPr>
          <w:i/>
          <w:sz w:val="22"/>
          <w:szCs w:val="22"/>
        </w:rPr>
        <w:t>i.e.,</w:t>
      </w:r>
      <w:r w:rsidRPr="00B53FFB">
        <w:rPr>
          <w:sz w:val="22"/>
          <w:szCs w:val="22"/>
        </w:rPr>
        <w:t xml:space="preserve"> without competitors or potential entry, there may not be sufficient constraints to prevent the exercise of market power.  At year-end 2011, the four nationwide service providers accounted for just over 90 percent of the nation’s mobile wireless subscribers (including wholesale connections and machine-to-machine connections), with AT&amp;T and Verizon Wireless together accounting for 64 percent.  The </w:t>
      </w:r>
      <w:r w:rsidRPr="00B53FFB">
        <w:rPr>
          <w:i/>
          <w:sz w:val="22"/>
          <w:szCs w:val="22"/>
        </w:rPr>
        <w:t xml:space="preserve">Report </w:t>
      </w:r>
      <w:r w:rsidRPr="00B53FFB">
        <w:rPr>
          <w:sz w:val="22"/>
          <w:szCs w:val="22"/>
        </w:rPr>
        <w:t>also examines the entry and exit of wireless service providers in the mobile wireless services market.  Entry and exit conditions may affect the number of competitors that can enter and compete in the market, and, as discussed above, this in turn may influence whether any firm can exercise undue market power.  The Commission closely reviews mergers, a type of exit.  A merger can potentially form a stronger provider that restrains competitors from engaging in anticompetitive behavior, or may increase the likelihood that the merged firm may itself, or in coordination with other firms, obtain or maintain market power.</w:t>
      </w:r>
      <w:r w:rsidRPr="00B53FFB">
        <w:rPr>
          <w:rStyle w:val="FootnoteReference"/>
          <w:szCs w:val="22"/>
        </w:rPr>
        <w:footnoteReference w:id="73"/>
      </w:r>
      <w:r w:rsidRPr="00B53FFB">
        <w:rPr>
          <w:sz w:val="22"/>
          <w:szCs w:val="22"/>
        </w:rPr>
        <w:t xml:space="preserve">  Last, spectrum conditions and spectrum policy are discussed as an extension of entry conditions.  Spectrum is a critical input to mobile wireless services that affects entry conditions and overall industry capacity, and its availability is influenced by regulatory policy and market conditions.</w:t>
      </w:r>
    </w:p>
    <w:p w:rsidR="004A147C" w:rsidRPr="00B53FFB" w:rsidRDefault="004A147C" w:rsidP="00CE5850">
      <w:pPr>
        <w:pStyle w:val="ParaNum"/>
        <w:numPr>
          <w:ilvl w:val="0"/>
          <w:numId w:val="28"/>
        </w:numPr>
        <w:tabs>
          <w:tab w:val="num" w:pos="1440"/>
        </w:tabs>
        <w:rPr>
          <w:sz w:val="22"/>
          <w:szCs w:val="22"/>
        </w:rPr>
      </w:pPr>
      <w:r w:rsidRPr="00B53FFB">
        <w:rPr>
          <w:sz w:val="22"/>
          <w:szCs w:val="22"/>
        </w:rPr>
        <w:t xml:space="preserve">Second, in our analysis of provider conduct, we describe significant changes in providers’ prices and service offerings that may affect a consumer’s choice of a provider or may lead other providers to competitively respond by changing their own prices and service offerings.  We discuss product differentiation, network investment and technology upgrades, advertising and marketing, and innovation because many non-price choices by providers determine the qualities and characteristics of their wireless services.  Such non-price rivalry can significantly influence a customer’s choice of a provider and impose significant competitive constraints, especially in high technology industries that experience rapid innovation.  </w:t>
      </w:r>
    </w:p>
    <w:p w:rsidR="004A147C" w:rsidRPr="00B53FFB" w:rsidRDefault="004A147C" w:rsidP="00CE5850">
      <w:pPr>
        <w:pStyle w:val="ParaNum"/>
        <w:numPr>
          <w:ilvl w:val="0"/>
          <w:numId w:val="28"/>
        </w:numPr>
        <w:tabs>
          <w:tab w:val="num" w:pos="1440"/>
        </w:tabs>
        <w:rPr>
          <w:sz w:val="22"/>
          <w:szCs w:val="22"/>
        </w:rPr>
      </w:pPr>
      <w:r w:rsidRPr="00B53FFB">
        <w:rPr>
          <w:sz w:val="22"/>
          <w:szCs w:val="22"/>
        </w:rPr>
        <w:t>Third, the section on market performance and outcomes evaluates evidence from essential metrics for evaluating market competition and consumer welfare in the mobile wireless industry:  quantities consumed, total and new connections, prices, and qualities of different services.  This section focuses on the benefits to consumers of competition among rivals – lower prices, more connections and usage, and better quality services – while the other sections examine the various input, strategic, technological, and informational factors that determine such market outcomes.  As a result, market performance metrics provide more direct evidence of competitive outcomes and the strength of competitive rivalry than intermediate factors, such as concentration measures.</w:t>
      </w:r>
      <w:r w:rsidRPr="00B53FFB">
        <w:rPr>
          <w:rStyle w:val="FootnoteReference"/>
          <w:szCs w:val="22"/>
        </w:rPr>
        <w:t xml:space="preserve"> </w:t>
      </w:r>
      <w:r w:rsidRPr="00B53FFB">
        <w:rPr>
          <w:rStyle w:val="FootnoteReference"/>
          <w:szCs w:val="22"/>
        </w:rPr>
        <w:footnoteReference w:id="74"/>
      </w:r>
      <w:r w:rsidRPr="00B53FFB">
        <w:rPr>
          <w:sz w:val="22"/>
          <w:szCs w:val="22"/>
        </w:rPr>
        <w:t xml:space="preserve">  Analysis of data relating </w:t>
      </w:r>
      <w:r w:rsidRPr="00B53FFB">
        <w:rPr>
          <w:sz w:val="22"/>
          <w:szCs w:val="22"/>
        </w:rPr>
        <w:lastRenderedPageBreak/>
        <w:t>to prices and quantities of services consumed can reveal whether there are any upward trends or movements in prices, or observable restrictions on the quantities of services produced, that may indicate that the market is lacking competition or that there is collusive behavior among providers.</w:t>
      </w:r>
      <w:r w:rsidRPr="00B53FFB">
        <w:rPr>
          <w:rStyle w:val="FootnoteReference"/>
          <w:szCs w:val="22"/>
        </w:rPr>
        <w:footnoteReference w:id="75"/>
      </w:r>
      <w:r w:rsidRPr="00B53FFB">
        <w:rPr>
          <w:sz w:val="22"/>
          <w:szCs w:val="22"/>
        </w:rPr>
        <w:t xml:space="preserve">  Analyses of data on the qualities of different services are particularly useful in high technology industries that experience rapid innovation to gauge whether the quality of service received for a given price is increasing or stagnating over time.   </w:t>
      </w:r>
    </w:p>
    <w:p w:rsidR="004A147C" w:rsidRPr="00B53FFB" w:rsidRDefault="004A147C" w:rsidP="00CE5850">
      <w:pPr>
        <w:pStyle w:val="ParaNum"/>
        <w:numPr>
          <w:ilvl w:val="0"/>
          <w:numId w:val="28"/>
        </w:numPr>
        <w:tabs>
          <w:tab w:val="num" w:pos="1440"/>
        </w:tabs>
        <w:rPr>
          <w:sz w:val="22"/>
          <w:szCs w:val="22"/>
        </w:rPr>
      </w:pPr>
      <w:r w:rsidRPr="00B53FFB">
        <w:rPr>
          <w:sz w:val="22"/>
          <w:szCs w:val="22"/>
        </w:rPr>
        <w:t xml:space="preserve">Fourth, the </w:t>
      </w:r>
      <w:r w:rsidRPr="00B53FFB">
        <w:rPr>
          <w:i/>
          <w:sz w:val="22"/>
          <w:szCs w:val="22"/>
        </w:rPr>
        <w:t xml:space="preserve">Report </w:t>
      </w:r>
      <w:r w:rsidRPr="00B53FFB">
        <w:rPr>
          <w:sz w:val="22"/>
          <w:szCs w:val="22"/>
        </w:rPr>
        <w:t xml:space="preserve">examines consumer behavior.  The willingness and ability of consumers to switch mobile wireless service providers in response to changes in the prices, service offerings, and qualities of service offerings is one indicator of the level of competition in the industry.  The more informed consumers are about mobile wireless services, and the more easily a consumer can switch service providers in response to a change in price or non-price factors, the more providers must take efforts to improve their services or lower their prices in order to retain their customers and attract new customers.  This section analyzes consumer decisional factors in choosing a service provider, consumer access to information concerning mobile wireless services, and consumer satisfaction with mobile wireless service providers.  </w:t>
      </w:r>
    </w:p>
    <w:p w:rsidR="004A147C" w:rsidRPr="00B53FFB" w:rsidRDefault="004A147C" w:rsidP="00CE5850">
      <w:pPr>
        <w:pStyle w:val="ParaNum"/>
        <w:numPr>
          <w:ilvl w:val="0"/>
          <w:numId w:val="28"/>
        </w:numPr>
        <w:tabs>
          <w:tab w:val="num" w:pos="1440"/>
        </w:tabs>
        <w:rPr>
          <w:sz w:val="22"/>
          <w:szCs w:val="22"/>
        </w:rPr>
      </w:pPr>
      <w:r w:rsidRPr="00B53FFB">
        <w:rPr>
          <w:sz w:val="22"/>
          <w:szCs w:val="22"/>
        </w:rPr>
        <w:t xml:space="preserve">In addition to analyzing competition within the mobile wireless services sector, the </w:t>
      </w:r>
      <w:r w:rsidRPr="00B53FFB">
        <w:rPr>
          <w:i/>
          <w:sz w:val="22"/>
          <w:szCs w:val="22"/>
        </w:rPr>
        <w:t>Report</w:t>
      </w:r>
      <w:r w:rsidRPr="00B53FFB">
        <w:rPr>
          <w:sz w:val="22"/>
          <w:szCs w:val="22"/>
        </w:rPr>
        <w:t xml:space="preserve"> analyzes competition in other market segments that constitute the mobile wireless ecosystem and their relationships with the mobile wireless industry.  The main non-spectrum input segments of the mobile wireless services market – infrastructure and backhaul – are analyzed in Section VII.A, and the mobile wireless handset/device sector, mobile applications, and mobile commerce are analyzed in Section VII.B.  Intermodal Services are discussed in Section VIII.  Differences across geographic markets, including urban-rural comparisons and international comparisons, are addressed in Sections IX and X.  The Appendices discuss spectrum available for mobile wireless services (Appendix A) and present tables and maps (Appendices B and C). </w:t>
      </w:r>
    </w:p>
    <w:p w:rsidR="004A147C" w:rsidRPr="00B53FFB" w:rsidRDefault="004A147C" w:rsidP="00CE5850">
      <w:pPr>
        <w:pStyle w:val="ParaNum"/>
        <w:numPr>
          <w:ilvl w:val="0"/>
          <w:numId w:val="28"/>
        </w:numPr>
        <w:tabs>
          <w:tab w:val="num" w:pos="1440"/>
        </w:tabs>
        <w:rPr>
          <w:sz w:val="22"/>
          <w:szCs w:val="22"/>
        </w:rPr>
      </w:pPr>
      <w:r w:rsidRPr="00B53FFB">
        <w:rPr>
          <w:kern w:val="0"/>
          <w:sz w:val="22"/>
          <w:szCs w:val="22"/>
        </w:rPr>
        <w:t xml:space="preserve">This </w:t>
      </w:r>
      <w:r w:rsidRPr="00B53FFB">
        <w:rPr>
          <w:i/>
          <w:iCs/>
          <w:kern w:val="0"/>
          <w:sz w:val="22"/>
          <w:szCs w:val="22"/>
        </w:rPr>
        <w:t>Report</w:t>
      </w:r>
      <w:r w:rsidRPr="00B53FFB">
        <w:rPr>
          <w:kern w:val="0"/>
          <w:sz w:val="22"/>
          <w:szCs w:val="22"/>
        </w:rPr>
        <w:t xml:space="preserve"> complies with the statutory requirements for</w:t>
      </w:r>
      <w:r w:rsidRPr="00B53FFB">
        <w:rPr>
          <w:sz w:val="22"/>
          <w:szCs w:val="22"/>
        </w:rPr>
        <w:t xml:space="preserve"> </w:t>
      </w:r>
      <w:r w:rsidRPr="00B53FFB">
        <w:rPr>
          <w:kern w:val="0"/>
          <w:sz w:val="22"/>
          <w:szCs w:val="22"/>
        </w:rPr>
        <w:t>analyzing competitive market conditions with respect to commercial mobile services by employing an analysis founded upon</w:t>
      </w:r>
      <w:r w:rsidRPr="00B53FFB">
        <w:rPr>
          <w:sz w:val="22"/>
          <w:szCs w:val="22"/>
        </w:rPr>
        <w:t xml:space="preserve"> an expanded view of the mobile wireless services marketplace and an examination of competition across the entire mobile wireless ecosystem.  We analyze the extent of, and trends over time in, competitive rivalry present in the mobile wireless industry and the benefits received by consumers.  This competitive analysis also tries to identify areas where competition is strong, as well as areas that could benefit from increased competition.    </w:t>
      </w:r>
    </w:p>
    <w:p w:rsidR="004A147C" w:rsidRPr="00B53FFB" w:rsidRDefault="004A147C" w:rsidP="00CE5850">
      <w:pPr>
        <w:pStyle w:val="ParaNum"/>
        <w:numPr>
          <w:ilvl w:val="0"/>
          <w:numId w:val="28"/>
        </w:numPr>
        <w:tabs>
          <w:tab w:val="num" w:pos="1440"/>
        </w:tabs>
        <w:rPr>
          <w:sz w:val="22"/>
          <w:szCs w:val="22"/>
        </w:rPr>
      </w:pPr>
      <w:r w:rsidRPr="00B53FFB">
        <w:rPr>
          <w:sz w:val="22"/>
          <w:szCs w:val="22"/>
        </w:rPr>
        <w:t xml:space="preserve">Given the </w:t>
      </w:r>
      <w:r w:rsidRPr="00B53FFB">
        <w:rPr>
          <w:i/>
          <w:sz w:val="22"/>
          <w:szCs w:val="22"/>
        </w:rPr>
        <w:t>Report’s</w:t>
      </w:r>
      <w:r w:rsidRPr="00B53FFB">
        <w:rPr>
          <w:sz w:val="22"/>
          <w:szCs w:val="22"/>
        </w:rPr>
        <w:t xml:space="preserve"> expansive view of mobile wireless services and its examination of competition across the entire mobile wireless ecosystem, we find that the mobile wireless ecosystem is sufficiently complex and multi-faceted that it would not be meaningful to try to make a single, all-inclusive finding regarding effective competition that adequately encompasses the level of competition in the various interrelated segments, types of services, and vast geographic areas of the mobile wireless industry.  </w:t>
      </w:r>
    </w:p>
    <w:p w:rsidR="004A147C" w:rsidRPr="00B53FFB" w:rsidRDefault="004A147C" w:rsidP="00CE5850">
      <w:pPr>
        <w:pStyle w:val="ParaNum"/>
        <w:numPr>
          <w:ilvl w:val="0"/>
          <w:numId w:val="28"/>
        </w:numPr>
        <w:tabs>
          <w:tab w:val="num" w:pos="1440"/>
        </w:tabs>
        <w:rPr>
          <w:sz w:val="22"/>
          <w:szCs w:val="22"/>
        </w:rPr>
      </w:pPr>
      <w:r w:rsidRPr="00B53FFB">
        <w:rPr>
          <w:sz w:val="22"/>
          <w:szCs w:val="22"/>
        </w:rPr>
        <w:t>We note as well that there is no definition of “effective competition” widely accepted by economists or competition policy authorities such as the U.S. Department of Justice (DOJ).</w:t>
      </w:r>
      <w:r w:rsidRPr="00B53FFB">
        <w:rPr>
          <w:sz w:val="22"/>
          <w:szCs w:val="22"/>
          <w:vertAlign w:val="superscript"/>
        </w:rPr>
        <w:footnoteReference w:id="76"/>
      </w:r>
      <w:r w:rsidRPr="00B53FFB">
        <w:rPr>
          <w:sz w:val="22"/>
          <w:szCs w:val="22"/>
        </w:rPr>
        <w:t xml:space="preserve">  Rather, the DOJ’s position on competition policy is in agreement with the approach taken in this </w:t>
      </w:r>
      <w:r w:rsidRPr="00B53FFB">
        <w:rPr>
          <w:i/>
          <w:sz w:val="22"/>
          <w:szCs w:val="22"/>
        </w:rPr>
        <w:t>Repor</w:t>
      </w:r>
      <w:r w:rsidRPr="00B53FFB">
        <w:rPr>
          <w:sz w:val="22"/>
          <w:szCs w:val="22"/>
        </w:rPr>
        <w:t>t.</w:t>
      </w:r>
      <w:r w:rsidRPr="00B53FFB">
        <w:rPr>
          <w:kern w:val="0"/>
          <w:sz w:val="22"/>
          <w:szCs w:val="22"/>
          <w:vertAlign w:val="superscript"/>
        </w:rPr>
        <w:footnoteReference w:id="77"/>
      </w:r>
      <w:r w:rsidRPr="00B53FFB">
        <w:rPr>
          <w:sz w:val="22"/>
          <w:szCs w:val="22"/>
        </w:rPr>
        <w:t xml:space="preserve">  The DOJ </w:t>
      </w:r>
      <w:r w:rsidRPr="00B53FFB">
        <w:rPr>
          <w:sz w:val="22"/>
          <w:szCs w:val="22"/>
        </w:rPr>
        <w:lastRenderedPageBreak/>
        <w:t>states, “[t]he operative question in competition policy is whether there are policy levers that can be used to produce superior outcomes, not whether the market resembles the textbook model of perfect competition.”</w:t>
      </w:r>
      <w:r w:rsidRPr="00B53FFB">
        <w:rPr>
          <w:sz w:val="22"/>
          <w:szCs w:val="22"/>
          <w:vertAlign w:val="superscript"/>
        </w:rPr>
        <w:footnoteReference w:id="78"/>
      </w:r>
      <w:r w:rsidRPr="00B53FFB">
        <w:rPr>
          <w:sz w:val="22"/>
          <w:szCs w:val="22"/>
        </w:rPr>
        <w:t xml:space="preserve">  We take an approach consistent with the Commission’s first seven Annual CMRS Competition Reports, which did not reach an overall conclusion regarding whether or not the CMRS marketplace was effectively competitive, but provided an analysis and description of the CMRS industry’s competitive metrics and trends.</w:t>
      </w:r>
      <w:r w:rsidRPr="00B53FFB">
        <w:rPr>
          <w:rStyle w:val="FootnoteReference"/>
          <w:szCs w:val="22"/>
        </w:rPr>
        <w:footnoteReference w:id="79"/>
      </w:r>
      <w:r w:rsidRPr="00B53FFB">
        <w:rPr>
          <w:sz w:val="22"/>
          <w:szCs w:val="22"/>
        </w:rPr>
        <w:t xml:space="preserve">   This </w:t>
      </w:r>
      <w:r w:rsidRPr="00B53FFB">
        <w:rPr>
          <w:i/>
          <w:sz w:val="22"/>
          <w:szCs w:val="22"/>
        </w:rPr>
        <w:t>Report</w:t>
      </w:r>
      <w:r w:rsidRPr="00B53FFB">
        <w:rPr>
          <w:sz w:val="22"/>
          <w:szCs w:val="22"/>
        </w:rPr>
        <w:t xml:space="preserve">, like the previous two </w:t>
      </w:r>
      <w:r w:rsidRPr="00B53FFB">
        <w:rPr>
          <w:i/>
          <w:sz w:val="22"/>
          <w:szCs w:val="22"/>
        </w:rPr>
        <w:t>Reports</w:t>
      </w:r>
      <w:r w:rsidRPr="00B53FFB">
        <w:rPr>
          <w:sz w:val="22"/>
          <w:szCs w:val="22"/>
        </w:rPr>
        <w:t>, adopts an approach similar to the earlier reports, but undertakes an expanded and more detailed competitive analysis of the entire mobile wireless ecosystem.  We provide an analysis of whether or not there is effective mobile wireless competition, but refrain from providing any single conclusion because such an assessment would be incomplete and possibly misleading in light of the variations and complexities we observe.</w:t>
      </w:r>
    </w:p>
    <w:p w:rsidR="004A147C" w:rsidRPr="00B53FFB" w:rsidRDefault="004A147C" w:rsidP="00CE5850">
      <w:pPr>
        <w:pStyle w:val="ParaNum"/>
        <w:numPr>
          <w:ilvl w:val="0"/>
          <w:numId w:val="28"/>
        </w:numPr>
        <w:tabs>
          <w:tab w:val="num" w:pos="1440"/>
        </w:tabs>
        <w:rPr>
          <w:sz w:val="22"/>
          <w:szCs w:val="22"/>
        </w:rPr>
      </w:pPr>
      <w:r w:rsidRPr="00B53FFB">
        <w:rPr>
          <w:sz w:val="22"/>
          <w:szCs w:val="22"/>
        </w:rPr>
        <w:t xml:space="preserve">The Commission is continuously seeking to improve its analysis of mobile wireless competition.  In November 2011, the Commission’s Wireless Telecommunications Bureau (Bureau) sought comment on the data and analytical framework used for its analysis in this </w:t>
      </w:r>
      <w:r w:rsidRPr="00B53FFB">
        <w:rPr>
          <w:i/>
          <w:sz w:val="22"/>
          <w:szCs w:val="22"/>
        </w:rPr>
        <w:t>Sixteenth Report</w:t>
      </w:r>
      <w:r w:rsidRPr="00B53FFB">
        <w:rPr>
          <w:sz w:val="22"/>
          <w:szCs w:val="22"/>
        </w:rPr>
        <w:t>.</w:t>
      </w:r>
      <w:r w:rsidRPr="00B53FFB">
        <w:rPr>
          <w:rStyle w:val="FootnoteReference"/>
          <w:szCs w:val="22"/>
        </w:rPr>
        <w:footnoteReference w:id="80"/>
      </w:r>
      <w:r w:rsidRPr="00B53FFB">
        <w:rPr>
          <w:sz w:val="22"/>
          <w:szCs w:val="22"/>
        </w:rPr>
        <w:t xml:space="preserve">  In March 2012, the Bureau sought updated, year-end 2011 data for its analysis.</w:t>
      </w:r>
      <w:r w:rsidRPr="00B53FFB">
        <w:rPr>
          <w:rStyle w:val="FootnoteReference"/>
          <w:szCs w:val="22"/>
        </w:rPr>
        <w:footnoteReference w:id="81"/>
      </w:r>
      <w:r w:rsidRPr="00B53FFB">
        <w:rPr>
          <w:sz w:val="22"/>
          <w:szCs w:val="22"/>
        </w:rPr>
        <w:t xml:space="preserve">  </w:t>
      </w:r>
    </w:p>
    <w:p w:rsidR="004A147C" w:rsidRPr="00B53FFB" w:rsidRDefault="004A147C" w:rsidP="00CE5850">
      <w:pPr>
        <w:pStyle w:val="ParaNum"/>
        <w:numPr>
          <w:ilvl w:val="0"/>
          <w:numId w:val="28"/>
        </w:numPr>
        <w:tabs>
          <w:tab w:val="num" w:pos="1440"/>
        </w:tabs>
        <w:rPr>
          <w:sz w:val="22"/>
          <w:szCs w:val="22"/>
        </w:rPr>
      </w:pPr>
      <w:r w:rsidRPr="00B53FFB">
        <w:rPr>
          <w:i/>
          <w:sz w:val="22"/>
          <w:szCs w:val="22"/>
        </w:rPr>
        <w:t>Data Timeframes</w:t>
      </w:r>
      <w:r w:rsidRPr="00B53FFB">
        <w:rPr>
          <w:sz w:val="22"/>
          <w:szCs w:val="22"/>
        </w:rPr>
        <w:t xml:space="preserve">.  The </w:t>
      </w:r>
      <w:r w:rsidRPr="00B53FFB">
        <w:rPr>
          <w:i/>
          <w:sz w:val="22"/>
          <w:szCs w:val="22"/>
        </w:rPr>
        <w:t>Sixteenth Report</w:t>
      </w:r>
      <w:r w:rsidRPr="00B53FFB">
        <w:rPr>
          <w:sz w:val="22"/>
          <w:szCs w:val="22"/>
        </w:rPr>
        <w:t xml:space="preserve"> focuses on conditions prevailing in the mobile wireless industry during 2010, 2011, and 2012.  In cases where our analysis relies on annual year-end metrics – such as with subscriber/connection levels or pricing levels– we use, and have included in the </w:t>
      </w:r>
      <w:r w:rsidRPr="00B53FFB">
        <w:rPr>
          <w:i/>
          <w:sz w:val="22"/>
          <w:szCs w:val="22"/>
        </w:rPr>
        <w:t>Report</w:t>
      </w:r>
      <w:r w:rsidRPr="00B53FFB">
        <w:rPr>
          <w:sz w:val="22"/>
          <w:szCs w:val="22"/>
        </w:rPr>
        <w:t xml:space="preserve">, year-end 2011 data.  The </w:t>
      </w:r>
      <w:r w:rsidRPr="00B53FFB">
        <w:rPr>
          <w:i/>
          <w:sz w:val="22"/>
          <w:szCs w:val="22"/>
        </w:rPr>
        <w:t>Report’</w:t>
      </w:r>
      <w:r w:rsidRPr="00B53FFB">
        <w:rPr>
          <w:sz w:val="22"/>
          <w:szCs w:val="22"/>
        </w:rPr>
        <w:t xml:space="preserve">s analysis of network coverage and the number of providers is based on data provided by Mosaik Solutions, formerly American Roamer, in </w:t>
      </w:r>
      <w:r>
        <w:rPr>
          <w:sz w:val="22"/>
          <w:szCs w:val="22"/>
        </w:rPr>
        <w:t>October</w:t>
      </w:r>
      <w:r w:rsidRPr="00B53FFB">
        <w:rPr>
          <w:sz w:val="22"/>
          <w:szCs w:val="22"/>
        </w:rPr>
        <w:t xml:space="preserve"> 2012.  Many sections of the </w:t>
      </w:r>
      <w:r w:rsidRPr="00B53FFB">
        <w:rPr>
          <w:i/>
          <w:sz w:val="22"/>
          <w:szCs w:val="22"/>
        </w:rPr>
        <w:t>Report</w:t>
      </w:r>
      <w:r w:rsidRPr="00B53FFB">
        <w:rPr>
          <w:sz w:val="22"/>
          <w:szCs w:val="22"/>
        </w:rPr>
        <w:t xml:space="preserve"> also discuss major industry developments, where relevant, that have occurred during 2012. </w:t>
      </w:r>
    </w:p>
    <w:p w:rsidR="004A147C" w:rsidRPr="00B53FFB" w:rsidRDefault="004A147C" w:rsidP="00CE5850">
      <w:pPr>
        <w:pStyle w:val="ParaNum"/>
        <w:numPr>
          <w:ilvl w:val="0"/>
          <w:numId w:val="28"/>
        </w:numPr>
        <w:tabs>
          <w:tab w:val="num" w:pos="1440"/>
        </w:tabs>
        <w:rPr>
          <w:sz w:val="22"/>
          <w:szCs w:val="22"/>
        </w:rPr>
      </w:pPr>
      <w:bookmarkStart w:id="327" w:name="_Ref276393671"/>
      <w:r w:rsidRPr="00B53FFB">
        <w:rPr>
          <w:i/>
          <w:sz w:val="22"/>
          <w:szCs w:val="22"/>
        </w:rPr>
        <w:t>Dollar Amounts</w:t>
      </w:r>
      <w:r w:rsidRPr="00B53FFB">
        <w:rPr>
          <w:sz w:val="22"/>
          <w:szCs w:val="22"/>
        </w:rPr>
        <w:t xml:space="preserve">.  Dollar figures stated in this </w:t>
      </w:r>
      <w:r w:rsidRPr="00B53FFB">
        <w:rPr>
          <w:i/>
          <w:iCs/>
          <w:sz w:val="22"/>
          <w:szCs w:val="22"/>
        </w:rPr>
        <w:t>Report</w:t>
      </w:r>
      <w:r w:rsidRPr="00B53FFB">
        <w:rPr>
          <w:sz w:val="22"/>
          <w:szCs w:val="22"/>
        </w:rPr>
        <w:t xml:space="preserve"> have not been adjusted for inflation (</w:t>
      </w:r>
      <w:r w:rsidRPr="00B53FFB">
        <w:rPr>
          <w:i/>
          <w:sz w:val="22"/>
          <w:szCs w:val="22"/>
        </w:rPr>
        <w:t>i.e.,</w:t>
      </w:r>
      <w:r w:rsidRPr="00B53FFB">
        <w:rPr>
          <w:sz w:val="22"/>
          <w:szCs w:val="22"/>
        </w:rPr>
        <w:t xml:space="preserve"> they are nominal dollars) unless stated otherwise.</w:t>
      </w:r>
      <w:bookmarkEnd w:id="327"/>
    </w:p>
    <w:p w:rsidR="004A147C" w:rsidRPr="00B53FFB" w:rsidRDefault="004A147C" w:rsidP="00CE5850">
      <w:pPr>
        <w:pStyle w:val="Heading1"/>
        <w:keepNext w:val="0"/>
        <w:numPr>
          <w:ilvl w:val="0"/>
          <w:numId w:val="26"/>
        </w:numPr>
        <w:tabs>
          <w:tab w:val="left" w:pos="720"/>
        </w:tabs>
        <w:suppressAutoHyphens w:val="0"/>
        <w:ind w:left="0" w:firstLine="0"/>
        <w:rPr>
          <w:bCs/>
          <w:sz w:val="22"/>
          <w:szCs w:val="22"/>
        </w:rPr>
      </w:pPr>
      <w:bookmarkStart w:id="328" w:name="_Toc55787787"/>
      <w:bookmarkStart w:id="329" w:name="_Toc57021199"/>
      <w:bookmarkStart w:id="330" w:name="_Toc67722105"/>
      <w:bookmarkStart w:id="331" w:name="_Toc83547770"/>
      <w:bookmarkStart w:id="332" w:name="_Toc112139198"/>
      <w:bookmarkStart w:id="333" w:name="_Toc113257805"/>
      <w:bookmarkStart w:id="334" w:name="_Toc113258002"/>
      <w:bookmarkStart w:id="335" w:name="_Toc113258270"/>
      <w:bookmarkStart w:id="336" w:name="_Toc113258596"/>
      <w:bookmarkStart w:id="337" w:name="_Toc113272185"/>
      <w:bookmarkStart w:id="338" w:name="_Toc115580870"/>
      <w:bookmarkStart w:id="339" w:name="_Toc136318273"/>
      <w:bookmarkStart w:id="340" w:name="_Toc136318622"/>
      <w:bookmarkStart w:id="341" w:name="_Toc136318789"/>
      <w:bookmarkStart w:id="342" w:name="_Toc138475765"/>
      <w:bookmarkStart w:id="343" w:name="_Toc146684494"/>
      <w:bookmarkStart w:id="344" w:name="_Toc147046252"/>
      <w:bookmarkStart w:id="345" w:name="_Toc171415208"/>
      <w:bookmarkStart w:id="346" w:name="_Toc173642094"/>
      <w:bookmarkStart w:id="347" w:name="_Toc173813632"/>
      <w:bookmarkStart w:id="348" w:name="_Toc175387801"/>
      <w:bookmarkStart w:id="349" w:name="_Toc176254403"/>
      <w:bookmarkStart w:id="350" w:name="_Toc176254692"/>
      <w:bookmarkStart w:id="351" w:name="_Toc176254803"/>
      <w:bookmarkStart w:id="352" w:name="_Toc176762438"/>
      <w:bookmarkStart w:id="353" w:name="_Toc176843458"/>
      <w:bookmarkStart w:id="354" w:name="_Toc176853262"/>
      <w:bookmarkStart w:id="355" w:name="_Toc176853371"/>
      <w:bookmarkStart w:id="356" w:name="_Toc176857420"/>
      <w:bookmarkStart w:id="357" w:name="_Toc179108345"/>
      <w:bookmarkStart w:id="358" w:name="_Toc179357604"/>
      <w:bookmarkStart w:id="359" w:name="_Toc181781088"/>
      <w:bookmarkStart w:id="360" w:name="_Toc182218674"/>
      <w:bookmarkStart w:id="361" w:name="_Toc182909109"/>
      <w:bookmarkStart w:id="362" w:name="_Toc182909539"/>
      <w:bookmarkStart w:id="363" w:name="_Toc182987189"/>
      <w:bookmarkStart w:id="364" w:name="_Toc183244024"/>
      <w:bookmarkStart w:id="365" w:name="_Toc183244402"/>
      <w:bookmarkStart w:id="366" w:name="_Toc183244803"/>
      <w:bookmarkStart w:id="367" w:name="_Toc183244921"/>
      <w:bookmarkStart w:id="368" w:name="_Toc183245579"/>
      <w:bookmarkStart w:id="369" w:name="_Toc183246154"/>
      <w:bookmarkStart w:id="370" w:name="_Toc183246272"/>
      <w:bookmarkStart w:id="371" w:name="_Toc185667873"/>
      <w:bookmarkStart w:id="372" w:name="_Ref185758096"/>
      <w:bookmarkStart w:id="373" w:name="_Ref185758109"/>
      <w:bookmarkStart w:id="374" w:name="_Toc185838930"/>
      <w:bookmarkStart w:id="375" w:name="_Toc185846902"/>
      <w:bookmarkStart w:id="376" w:name="_Toc185848508"/>
      <w:bookmarkStart w:id="377" w:name="_Toc188946866"/>
      <w:bookmarkStart w:id="378" w:name="_Toc189302770"/>
      <w:bookmarkStart w:id="379" w:name="_Toc209948439"/>
      <w:bookmarkStart w:id="380" w:name="_Toc209948549"/>
      <w:bookmarkStart w:id="381" w:name="_Toc209949991"/>
      <w:bookmarkStart w:id="382" w:name="_Toc210211447"/>
      <w:bookmarkStart w:id="383" w:name="_Toc210213014"/>
      <w:bookmarkStart w:id="384" w:name="_Toc210213153"/>
      <w:bookmarkStart w:id="385" w:name="_Toc210213714"/>
      <w:bookmarkStart w:id="386" w:name="_Toc212967939"/>
      <w:bookmarkStart w:id="387" w:name="_Toc215316338"/>
      <w:bookmarkStart w:id="388" w:name="_Toc215384592"/>
      <w:bookmarkStart w:id="389" w:name="_Toc217810458"/>
      <w:bookmarkStart w:id="390" w:name="_Ref257988612"/>
      <w:bookmarkStart w:id="391" w:name="_Toc261610753"/>
      <w:bookmarkStart w:id="392" w:name="_Toc261858486"/>
      <w:bookmarkStart w:id="393" w:name="_Toc262034291"/>
      <w:bookmarkStart w:id="394" w:name="_Toc262034394"/>
      <w:bookmarkStart w:id="395" w:name="_Toc271288433"/>
      <w:bookmarkStart w:id="396" w:name="_Toc275517950"/>
      <w:bookmarkStart w:id="397" w:name="_Toc275952390"/>
      <w:bookmarkStart w:id="398" w:name="_Toc276121822"/>
      <w:bookmarkStart w:id="399" w:name="_Toc276480659"/>
      <w:bookmarkStart w:id="400" w:name="_Toc276741736"/>
      <w:bookmarkStart w:id="401" w:name="_Toc277171500"/>
      <w:bookmarkStart w:id="402" w:name="_Toc277864475"/>
      <w:bookmarkStart w:id="403" w:name="_Toc277864691"/>
      <w:bookmarkStart w:id="404" w:name="_Toc285810372"/>
      <w:bookmarkStart w:id="405" w:name="_Toc287257766"/>
      <w:bookmarkStart w:id="406" w:name="_Toc291758645"/>
      <w:bookmarkStart w:id="407" w:name="_Toc291758748"/>
      <w:bookmarkStart w:id="408" w:name="_Toc295392928"/>
      <w:bookmarkStart w:id="409" w:name="_Toc329262477"/>
      <w:bookmarkStart w:id="410" w:name="_Toc329852380"/>
      <w:bookmarkStart w:id="411" w:name="_Toc331766296"/>
      <w:bookmarkStart w:id="412" w:name="_Toc332119092"/>
      <w:bookmarkStart w:id="413" w:name="_Toc334088774"/>
      <w:bookmarkStart w:id="414" w:name="_Toc334089010"/>
      <w:bookmarkStart w:id="415" w:name="_Toc334089169"/>
      <w:bookmarkStart w:id="416" w:name="_Toc334089280"/>
      <w:bookmarkStart w:id="417" w:name="_Toc334089444"/>
      <w:bookmarkStart w:id="418" w:name="_Toc335839017"/>
      <w:bookmarkStart w:id="419" w:name="_Toc336268580"/>
      <w:bookmarkStart w:id="420" w:name="_Toc336268688"/>
      <w:bookmarkStart w:id="421" w:name="_Toc336268795"/>
      <w:bookmarkStart w:id="422" w:name="_Toc336269009"/>
      <w:bookmarkStart w:id="423" w:name="_Toc336269116"/>
      <w:bookmarkStart w:id="424" w:name="_Toc336269484"/>
      <w:bookmarkStart w:id="425" w:name="_Toc336269630"/>
      <w:bookmarkStart w:id="426" w:name="_Toc336270043"/>
      <w:bookmarkStart w:id="427" w:name="_Toc336271249"/>
      <w:bookmarkStart w:id="428" w:name="_Toc337651942"/>
      <w:bookmarkStart w:id="429" w:name="_Toc349577130"/>
      <w:bookmarkStart w:id="430" w:name="_Toc349579222"/>
      <w:bookmarkStart w:id="431" w:name="_Toc349580537"/>
      <w:bookmarkStart w:id="432" w:name="_Toc349734945"/>
      <w:bookmarkStart w:id="433" w:name="_Toc349742310"/>
      <w:r w:rsidRPr="00B53FFB">
        <w:rPr>
          <w:bCs/>
          <w:sz w:val="22"/>
          <w:szCs w:val="22"/>
        </w:rPr>
        <w:t>OVERVIEW OF THE mobile wireless services indus</w:t>
      </w:r>
      <w:bookmarkEnd w:id="328"/>
      <w:bookmarkEnd w:id="329"/>
      <w:bookmarkEnd w:id="330"/>
      <w:bookmarkEnd w:id="331"/>
      <w:bookmarkEnd w:id="332"/>
      <w:bookmarkEnd w:id="333"/>
      <w:bookmarkEnd w:id="334"/>
      <w:bookmarkEnd w:id="335"/>
      <w:bookmarkEnd w:id="336"/>
      <w:bookmarkEnd w:id="337"/>
      <w:bookmarkEnd w:id="338"/>
      <w:bookmarkEnd w:id="339"/>
      <w:bookmarkEnd w:id="340"/>
      <w:bookmarkEnd w:id="341"/>
      <w:bookmarkEnd w:id="342"/>
      <w:bookmarkEnd w:id="343"/>
      <w:bookmarkEnd w:id="344"/>
      <w:bookmarkEnd w:id="345"/>
      <w:bookmarkEnd w:id="346"/>
      <w:bookmarkEnd w:id="347"/>
      <w:bookmarkEnd w:id="348"/>
      <w:bookmarkEnd w:id="349"/>
      <w:bookmarkEnd w:id="350"/>
      <w:bookmarkEnd w:id="351"/>
      <w:bookmarkEnd w:id="352"/>
      <w:bookmarkEnd w:id="353"/>
      <w:bookmarkEnd w:id="354"/>
      <w:bookmarkEnd w:id="355"/>
      <w:bookmarkEnd w:id="356"/>
      <w:bookmarkEnd w:id="357"/>
      <w:bookmarkEnd w:id="358"/>
      <w:bookmarkEnd w:id="359"/>
      <w:bookmarkEnd w:id="360"/>
      <w:bookmarkEnd w:id="361"/>
      <w:bookmarkEnd w:id="362"/>
      <w:bookmarkEnd w:id="363"/>
      <w:bookmarkEnd w:id="364"/>
      <w:bookmarkEnd w:id="365"/>
      <w:bookmarkEnd w:id="366"/>
      <w:bookmarkEnd w:id="367"/>
      <w:bookmarkEnd w:id="368"/>
      <w:bookmarkEnd w:id="369"/>
      <w:bookmarkEnd w:id="370"/>
      <w:bookmarkEnd w:id="371"/>
      <w:bookmarkEnd w:id="372"/>
      <w:bookmarkEnd w:id="373"/>
      <w:bookmarkEnd w:id="374"/>
      <w:bookmarkEnd w:id="375"/>
      <w:bookmarkEnd w:id="376"/>
      <w:bookmarkEnd w:id="377"/>
      <w:bookmarkEnd w:id="378"/>
      <w:bookmarkEnd w:id="379"/>
      <w:bookmarkEnd w:id="380"/>
      <w:bookmarkEnd w:id="381"/>
      <w:bookmarkEnd w:id="382"/>
      <w:bookmarkEnd w:id="383"/>
      <w:bookmarkEnd w:id="384"/>
      <w:bookmarkEnd w:id="385"/>
      <w:bookmarkEnd w:id="386"/>
      <w:bookmarkEnd w:id="387"/>
      <w:bookmarkEnd w:id="388"/>
      <w:bookmarkEnd w:id="389"/>
      <w:bookmarkEnd w:id="390"/>
      <w:bookmarkEnd w:id="391"/>
      <w:bookmarkEnd w:id="392"/>
      <w:bookmarkEnd w:id="393"/>
      <w:bookmarkEnd w:id="394"/>
      <w:bookmarkEnd w:id="395"/>
      <w:bookmarkEnd w:id="396"/>
      <w:bookmarkEnd w:id="397"/>
      <w:bookmarkEnd w:id="398"/>
      <w:bookmarkEnd w:id="399"/>
      <w:bookmarkEnd w:id="400"/>
      <w:bookmarkEnd w:id="401"/>
      <w:bookmarkEnd w:id="402"/>
      <w:bookmarkEnd w:id="403"/>
      <w:bookmarkEnd w:id="404"/>
      <w:bookmarkEnd w:id="405"/>
      <w:bookmarkEnd w:id="406"/>
      <w:bookmarkEnd w:id="407"/>
      <w:bookmarkEnd w:id="408"/>
      <w:bookmarkEnd w:id="409"/>
      <w:r w:rsidRPr="00B53FFB">
        <w:rPr>
          <w:bCs/>
          <w:sz w:val="22"/>
          <w:szCs w:val="22"/>
        </w:rPr>
        <w:t>TRY</w:t>
      </w:r>
      <w:bookmarkEnd w:id="410"/>
      <w:bookmarkEnd w:id="411"/>
      <w:bookmarkEnd w:id="412"/>
      <w:bookmarkEnd w:id="413"/>
      <w:bookmarkEnd w:id="414"/>
      <w:bookmarkEnd w:id="415"/>
      <w:bookmarkEnd w:id="416"/>
      <w:bookmarkEnd w:id="417"/>
      <w:bookmarkEnd w:id="418"/>
      <w:bookmarkEnd w:id="419"/>
      <w:bookmarkEnd w:id="420"/>
      <w:bookmarkEnd w:id="421"/>
      <w:bookmarkEnd w:id="422"/>
      <w:bookmarkEnd w:id="423"/>
      <w:bookmarkEnd w:id="424"/>
      <w:bookmarkEnd w:id="425"/>
      <w:bookmarkEnd w:id="426"/>
      <w:bookmarkEnd w:id="427"/>
      <w:bookmarkEnd w:id="428"/>
      <w:bookmarkEnd w:id="429"/>
      <w:bookmarkEnd w:id="430"/>
      <w:bookmarkEnd w:id="431"/>
      <w:bookmarkEnd w:id="432"/>
      <w:bookmarkEnd w:id="433"/>
    </w:p>
    <w:p w:rsidR="004A147C" w:rsidRPr="00812144" w:rsidRDefault="004A147C" w:rsidP="00CE5850">
      <w:pPr>
        <w:pStyle w:val="Heading2"/>
        <w:keepNext w:val="0"/>
      </w:pPr>
      <w:bookmarkStart w:id="434" w:name="_Ref256582447"/>
      <w:bookmarkStart w:id="435" w:name="_Ref256582450"/>
      <w:bookmarkStart w:id="436" w:name="_Toc261610754"/>
      <w:bookmarkStart w:id="437" w:name="_Toc261858487"/>
      <w:bookmarkStart w:id="438" w:name="_Toc262034292"/>
      <w:bookmarkStart w:id="439" w:name="_Toc262034395"/>
      <w:bookmarkStart w:id="440" w:name="_Toc271288434"/>
      <w:bookmarkStart w:id="441" w:name="_Toc275517951"/>
      <w:bookmarkStart w:id="442" w:name="_Toc275952391"/>
      <w:bookmarkStart w:id="443" w:name="_Toc276121823"/>
      <w:bookmarkStart w:id="444" w:name="_Toc276480660"/>
      <w:bookmarkStart w:id="445" w:name="_Toc276741737"/>
      <w:bookmarkStart w:id="446" w:name="_Toc277171501"/>
      <w:bookmarkStart w:id="447" w:name="_Toc277864476"/>
      <w:bookmarkStart w:id="448" w:name="_Toc277864692"/>
      <w:bookmarkStart w:id="449" w:name="_Toc285810373"/>
      <w:bookmarkStart w:id="450" w:name="_Toc287257767"/>
      <w:bookmarkStart w:id="451" w:name="_Toc291758646"/>
      <w:bookmarkStart w:id="452" w:name="_Toc291758749"/>
      <w:bookmarkStart w:id="453" w:name="_Toc295392929"/>
      <w:bookmarkStart w:id="454" w:name="_Toc329262478"/>
      <w:bookmarkStart w:id="455" w:name="_Toc329852381"/>
      <w:bookmarkStart w:id="456" w:name="_Toc331766297"/>
      <w:bookmarkStart w:id="457" w:name="_Toc332119093"/>
      <w:bookmarkStart w:id="458" w:name="_Toc334088775"/>
      <w:bookmarkStart w:id="459" w:name="_Toc334089011"/>
      <w:bookmarkStart w:id="460" w:name="_Toc334089170"/>
      <w:bookmarkStart w:id="461" w:name="_Toc334089281"/>
      <w:bookmarkStart w:id="462" w:name="_Toc334089445"/>
      <w:bookmarkStart w:id="463" w:name="_Toc335839018"/>
      <w:bookmarkStart w:id="464" w:name="_Toc336268581"/>
      <w:bookmarkStart w:id="465" w:name="_Toc336268689"/>
      <w:bookmarkStart w:id="466" w:name="_Toc336268796"/>
      <w:bookmarkStart w:id="467" w:name="_Toc336269010"/>
      <w:bookmarkStart w:id="468" w:name="_Toc336269117"/>
      <w:bookmarkStart w:id="469" w:name="_Toc336269485"/>
      <w:bookmarkStart w:id="470" w:name="_Toc336269631"/>
      <w:bookmarkStart w:id="471" w:name="_Toc336270044"/>
      <w:bookmarkStart w:id="472" w:name="_Toc336271250"/>
      <w:bookmarkStart w:id="473" w:name="_Toc337651943"/>
      <w:bookmarkStart w:id="474" w:name="_Toc349577131"/>
      <w:bookmarkStart w:id="475" w:name="_Toc349579223"/>
      <w:bookmarkStart w:id="476" w:name="_Toc349580538"/>
      <w:bookmarkStart w:id="477" w:name="_Toc349734946"/>
      <w:bookmarkStart w:id="478" w:name="_Toc349742311"/>
      <w:bookmarkStart w:id="479" w:name="_Toc55787788"/>
      <w:bookmarkStart w:id="480" w:name="_Toc57021200"/>
      <w:bookmarkStart w:id="481" w:name="_Toc67722106"/>
      <w:bookmarkStart w:id="482" w:name="_Toc83547772"/>
      <w:bookmarkStart w:id="483" w:name="_Toc112139200"/>
      <w:bookmarkStart w:id="484" w:name="_Toc113257807"/>
      <w:bookmarkStart w:id="485" w:name="_Toc113258004"/>
      <w:bookmarkStart w:id="486" w:name="_Toc113258272"/>
      <w:bookmarkStart w:id="487" w:name="_Toc113258598"/>
      <w:bookmarkStart w:id="488" w:name="_Toc113272187"/>
      <w:bookmarkStart w:id="489" w:name="_Toc115580872"/>
      <w:bookmarkStart w:id="490" w:name="_Toc136318275"/>
      <w:bookmarkStart w:id="491" w:name="_Toc136318624"/>
      <w:bookmarkStart w:id="492" w:name="_Toc136318791"/>
      <w:bookmarkStart w:id="493" w:name="_Toc138475767"/>
      <w:bookmarkStart w:id="494" w:name="_Toc146684496"/>
      <w:bookmarkStart w:id="495" w:name="_Toc147046254"/>
      <w:bookmarkStart w:id="496" w:name="_Toc171415210"/>
      <w:bookmarkStart w:id="497" w:name="_Toc173642096"/>
      <w:bookmarkStart w:id="498" w:name="_Toc173813634"/>
      <w:bookmarkStart w:id="499" w:name="_Toc175387803"/>
      <w:bookmarkStart w:id="500" w:name="_Toc176254405"/>
      <w:bookmarkStart w:id="501" w:name="_Toc176254694"/>
      <w:bookmarkStart w:id="502" w:name="_Toc176254805"/>
      <w:bookmarkStart w:id="503" w:name="_Toc176762440"/>
      <w:bookmarkStart w:id="504" w:name="_Toc176843460"/>
      <w:bookmarkStart w:id="505" w:name="_Toc176853264"/>
      <w:bookmarkStart w:id="506" w:name="_Toc176853373"/>
      <w:bookmarkStart w:id="507" w:name="_Toc176857422"/>
      <w:bookmarkStart w:id="508" w:name="_Toc179108347"/>
      <w:bookmarkStart w:id="509" w:name="_Toc179357606"/>
      <w:bookmarkStart w:id="510" w:name="_Toc181781090"/>
      <w:bookmarkStart w:id="511" w:name="_Toc182218676"/>
      <w:bookmarkStart w:id="512" w:name="_Toc182909111"/>
      <w:bookmarkStart w:id="513" w:name="_Toc182909541"/>
      <w:bookmarkStart w:id="514" w:name="_Toc182987191"/>
      <w:bookmarkStart w:id="515" w:name="_Toc183244026"/>
      <w:bookmarkStart w:id="516" w:name="_Toc183244404"/>
      <w:bookmarkStart w:id="517" w:name="_Toc183244805"/>
      <w:bookmarkStart w:id="518" w:name="_Toc183244923"/>
      <w:bookmarkStart w:id="519" w:name="_Toc183245581"/>
      <w:bookmarkStart w:id="520" w:name="_Toc183246156"/>
      <w:bookmarkStart w:id="521" w:name="_Toc183246274"/>
      <w:bookmarkStart w:id="522" w:name="_Toc185667875"/>
      <w:bookmarkStart w:id="523" w:name="_Ref185758230"/>
      <w:bookmarkStart w:id="524" w:name="_Toc185838932"/>
      <w:bookmarkStart w:id="525" w:name="_Toc185846904"/>
      <w:bookmarkStart w:id="526" w:name="_Toc185848510"/>
      <w:bookmarkStart w:id="527" w:name="_Toc188946868"/>
      <w:bookmarkStart w:id="528" w:name="_Toc189302772"/>
      <w:bookmarkStart w:id="529" w:name="_Toc209948441"/>
      <w:bookmarkStart w:id="530" w:name="_Toc209948551"/>
      <w:bookmarkStart w:id="531" w:name="_Toc209949993"/>
      <w:bookmarkStart w:id="532" w:name="_Toc210211449"/>
      <w:bookmarkStart w:id="533" w:name="_Toc210213016"/>
      <w:bookmarkStart w:id="534" w:name="_Toc210213155"/>
      <w:bookmarkStart w:id="535" w:name="_Toc210213716"/>
      <w:bookmarkStart w:id="536" w:name="_Toc212967941"/>
      <w:bookmarkStart w:id="537" w:name="_Toc215316339"/>
      <w:bookmarkStart w:id="538" w:name="_Toc215384593"/>
      <w:bookmarkStart w:id="539" w:name="_Toc217810459"/>
      <w:r w:rsidRPr="00812144">
        <w:t>Introduction</w:t>
      </w:r>
      <w:bookmarkEnd w:id="434"/>
      <w:bookmarkEnd w:id="435"/>
      <w:bookmarkEnd w:id="436"/>
      <w:bookmarkEnd w:id="437"/>
      <w:bookmarkEnd w:id="438"/>
      <w:bookmarkEnd w:id="439"/>
      <w:bookmarkEnd w:id="440"/>
      <w:bookmarkEnd w:id="441"/>
      <w:bookmarkEnd w:id="442"/>
      <w:bookmarkEnd w:id="443"/>
      <w:bookmarkEnd w:id="444"/>
      <w:bookmarkEnd w:id="445"/>
      <w:bookmarkEnd w:id="446"/>
      <w:bookmarkEnd w:id="447"/>
      <w:bookmarkEnd w:id="448"/>
      <w:bookmarkEnd w:id="449"/>
      <w:bookmarkEnd w:id="450"/>
      <w:bookmarkEnd w:id="451"/>
      <w:bookmarkEnd w:id="452"/>
      <w:bookmarkEnd w:id="453"/>
      <w:r w:rsidRPr="00812144">
        <w:t xml:space="preserve"> to Mobile Wireless Services</w:t>
      </w:r>
      <w:bookmarkEnd w:id="454"/>
      <w:bookmarkEnd w:id="455"/>
      <w:bookmarkEnd w:id="456"/>
      <w:bookmarkEnd w:id="457"/>
      <w:bookmarkEnd w:id="458"/>
      <w:bookmarkEnd w:id="459"/>
      <w:bookmarkEnd w:id="460"/>
      <w:bookmarkEnd w:id="461"/>
      <w:bookmarkEnd w:id="462"/>
      <w:bookmarkEnd w:id="463"/>
      <w:bookmarkEnd w:id="464"/>
      <w:bookmarkEnd w:id="465"/>
      <w:bookmarkEnd w:id="466"/>
      <w:bookmarkEnd w:id="467"/>
      <w:bookmarkEnd w:id="468"/>
      <w:bookmarkEnd w:id="469"/>
      <w:bookmarkEnd w:id="470"/>
      <w:bookmarkEnd w:id="471"/>
      <w:bookmarkEnd w:id="472"/>
      <w:bookmarkEnd w:id="473"/>
      <w:bookmarkEnd w:id="474"/>
      <w:bookmarkEnd w:id="475"/>
      <w:bookmarkEnd w:id="476"/>
      <w:bookmarkEnd w:id="477"/>
      <w:bookmarkEnd w:id="478"/>
    </w:p>
    <w:p w:rsidR="004A147C" w:rsidRPr="00B53FFB" w:rsidRDefault="004A147C" w:rsidP="00CE5850">
      <w:pPr>
        <w:pStyle w:val="ParaNum"/>
        <w:numPr>
          <w:ilvl w:val="0"/>
          <w:numId w:val="28"/>
        </w:numPr>
        <w:tabs>
          <w:tab w:val="num" w:pos="1440"/>
        </w:tabs>
        <w:rPr>
          <w:sz w:val="22"/>
          <w:szCs w:val="22"/>
        </w:rPr>
      </w:pPr>
      <w:bookmarkStart w:id="540" w:name="_Toc252806157"/>
      <w:bookmarkEnd w:id="479"/>
      <w:bookmarkEnd w:id="480"/>
      <w:bookmarkEnd w:id="481"/>
      <w:bookmarkEnd w:id="482"/>
      <w:bookmarkEnd w:id="483"/>
      <w:bookmarkEnd w:id="484"/>
      <w:bookmarkEnd w:id="485"/>
      <w:bookmarkEnd w:id="486"/>
      <w:bookmarkEnd w:id="487"/>
      <w:bookmarkEnd w:id="488"/>
      <w:bookmarkEnd w:id="489"/>
      <w:bookmarkEnd w:id="490"/>
      <w:bookmarkEnd w:id="491"/>
      <w:bookmarkEnd w:id="492"/>
      <w:bookmarkEnd w:id="493"/>
      <w:bookmarkEnd w:id="494"/>
      <w:bookmarkEnd w:id="495"/>
      <w:bookmarkEnd w:id="496"/>
      <w:bookmarkEnd w:id="497"/>
      <w:bookmarkEnd w:id="498"/>
      <w:bookmarkEnd w:id="499"/>
      <w:bookmarkEnd w:id="500"/>
      <w:bookmarkEnd w:id="501"/>
      <w:bookmarkEnd w:id="502"/>
      <w:bookmarkEnd w:id="503"/>
      <w:bookmarkEnd w:id="504"/>
      <w:bookmarkEnd w:id="505"/>
      <w:bookmarkEnd w:id="506"/>
      <w:bookmarkEnd w:id="507"/>
      <w:bookmarkEnd w:id="508"/>
      <w:bookmarkEnd w:id="509"/>
      <w:bookmarkEnd w:id="510"/>
      <w:bookmarkEnd w:id="511"/>
      <w:bookmarkEnd w:id="512"/>
      <w:bookmarkEnd w:id="513"/>
      <w:bookmarkEnd w:id="514"/>
      <w:bookmarkEnd w:id="515"/>
      <w:bookmarkEnd w:id="516"/>
      <w:bookmarkEnd w:id="517"/>
      <w:bookmarkEnd w:id="518"/>
      <w:bookmarkEnd w:id="519"/>
      <w:bookmarkEnd w:id="520"/>
      <w:bookmarkEnd w:id="521"/>
      <w:bookmarkEnd w:id="522"/>
      <w:bookmarkEnd w:id="523"/>
      <w:bookmarkEnd w:id="524"/>
      <w:bookmarkEnd w:id="525"/>
      <w:bookmarkEnd w:id="526"/>
      <w:bookmarkEnd w:id="527"/>
      <w:bookmarkEnd w:id="528"/>
      <w:bookmarkEnd w:id="529"/>
      <w:bookmarkEnd w:id="530"/>
      <w:bookmarkEnd w:id="531"/>
      <w:bookmarkEnd w:id="532"/>
      <w:bookmarkEnd w:id="533"/>
      <w:bookmarkEnd w:id="534"/>
      <w:bookmarkEnd w:id="535"/>
      <w:bookmarkEnd w:id="536"/>
      <w:bookmarkEnd w:id="537"/>
      <w:bookmarkEnd w:id="538"/>
      <w:bookmarkEnd w:id="539"/>
      <w:r w:rsidRPr="00B53FFB">
        <w:rPr>
          <w:sz w:val="22"/>
          <w:szCs w:val="22"/>
        </w:rPr>
        <w:t>The</w:t>
      </w:r>
      <w:r w:rsidRPr="00B53FFB">
        <w:rPr>
          <w:i/>
          <w:sz w:val="22"/>
          <w:szCs w:val="22"/>
        </w:rPr>
        <w:t xml:space="preserve"> Sixteenth Report</w:t>
      </w:r>
      <w:r w:rsidRPr="00B53FFB">
        <w:rPr>
          <w:sz w:val="22"/>
          <w:szCs w:val="22"/>
        </w:rPr>
        <w:t xml:space="preserve"> provides an analysis of competition in the mobile wireless services industry.  Providers of mobile wireless services offer an array of mobile voice and data services, including interconnected mobile voice services, text and multimedia messaging, and mobile broadband Internet access services.  Mobile wireless services also include machine-to-machine connections for fleet management systems, smart grid devices, vehicle tracking, home security systems, and other telematics services.  The </w:t>
      </w:r>
      <w:r w:rsidRPr="00B53FFB">
        <w:rPr>
          <w:i/>
          <w:sz w:val="22"/>
          <w:szCs w:val="22"/>
        </w:rPr>
        <w:t xml:space="preserve">Report </w:t>
      </w:r>
      <w:r w:rsidRPr="00B53FFB">
        <w:rPr>
          <w:sz w:val="22"/>
          <w:szCs w:val="22"/>
        </w:rPr>
        <w:t xml:space="preserve">considers information and data on all mobile wireless services as well as on individual services and segments where appropriate and when the data are available.  </w:t>
      </w:r>
    </w:p>
    <w:p w:rsidR="004A147C" w:rsidRPr="00B53FFB" w:rsidRDefault="004A147C" w:rsidP="00CE5850">
      <w:pPr>
        <w:pStyle w:val="ParaNum"/>
        <w:numPr>
          <w:ilvl w:val="0"/>
          <w:numId w:val="28"/>
        </w:numPr>
        <w:tabs>
          <w:tab w:val="num" w:pos="1440"/>
        </w:tabs>
        <w:rPr>
          <w:sz w:val="22"/>
          <w:szCs w:val="22"/>
        </w:rPr>
      </w:pPr>
      <w:r w:rsidRPr="00B53FFB">
        <w:rPr>
          <w:sz w:val="22"/>
          <w:szCs w:val="22"/>
        </w:rPr>
        <w:t xml:space="preserve">In its competitive analysis, the </w:t>
      </w:r>
      <w:r w:rsidRPr="00B53FFB">
        <w:rPr>
          <w:i/>
          <w:sz w:val="22"/>
          <w:szCs w:val="22"/>
        </w:rPr>
        <w:t>Report</w:t>
      </w:r>
      <w:r w:rsidRPr="00B53FFB">
        <w:rPr>
          <w:sz w:val="22"/>
          <w:szCs w:val="22"/>
        </w:rPr>
        <w:t xml:space="preserve"> considers, for the reasons described below, all mobile wireless services.  First, the bundling of some mobile wireless services in the same service plan and the prevalence of devices that support multiple services shift the focus of competition and consumer choice from individual services to bundles of services.  Many handsets, especially smartphones, can send </w:t>
      </w:r>
      <w:r w:rsidRPr="00B53FFB">
        <w:rPr>
          <w:sz w:val="22"/>
          <w:szCs w:val="22"/>
        </w:rPr>
        <w:lastRenderedPageBreak/>
        <w:t>and receive both mobile voice and data communications.  Service providers offer bundles of services in the same service plan to meet the voice and data communication needs of customers.</w:t>
      </w:r>
      <w:r w:rsidRPr="00B53FFB">
        <w:rPr>
          <w:rStyle w:val="FootnoteReference"/>
          <w:szCs w:val="22"/>
        </w:rPr>
        <w:footnoteReference w:id="82"/>
      </w:r>
      <w:r w:rsidRPr="00B53FFB">
        <w:rPr>
          <w:sz w:val="22"/>
          <w:szCs w:val="22"/>
        </w:rPr>
        <w:t xml:space="preserve">  Although mobile data services are not offered in conjunction with mobile voice service for some devices, mobile wireless customers who use smartphones typically purchase data services as either an add-on to voice services or as part of a bundled voice and data plan.  Many mobile wireless service providers offer data-only services that are not bundled in a service plan with a mobile voice service, </w:t>
      </w:r>
      <w:r w:rsidRPr="00B53FFB">
        <w:rPr>
          <w:i/>
          <w:sz w:val="22"/>
          <w:szCs w:val="22"/>
        </w:rPr>
        <w:t>i.e.</w:t>
      </w:r>
      <w:r w:rsidRPr="00B53FFB">
        <w:rPr>
          <w:sz w:val="22"/>
          <w:szCs w:val="22"/>
        </w:rPr>
        <w:t xml:space="preserve"> are not packaged with a voice plan through a handset – for example, mobil</w:t>
      </w:r>
      <w:r>
        <w:rPr>
          <w:sz w:val="22"/>
          <w:szCs w:val="22"/>
        </w:rPr>
        <w:t xml:space="preserve">e wireless Internet access for </w:t>
      </w:r>
      <w:r w:rsidRPr="00B53FFB">
        <w:rPr>
          <w:sz w:val="22"/>
          <w:szCs w:val="22"/>
        </w:rPr>
        <w:t>tablets, portable computers, and e-readers.</w:t>
      </w:r>
    </w:p>
    <w:p w:rsidR="004A147C" w:rsidRPr="00B53FFB" w:rsidRDefault="004A147C" w:rsidP="00CE5850">
      <w:pPr>
        <w:pStyle w:val="ParaNum"/>
        <w:numPr>
          <w:ilvl w:val="0"/>
          <w:numId w:val="28"/>
        </w:numPr>
        <w:tabs>
          <w:tab w:val="num" w:pos="1440"/>
        </w:tabs>
        <w:rPr>
          <w:sz w:val="22"/>
          <w:szCs w:val="22"/>
        </w:rPr>
      </w:pPr>
      <w:bookmarkStart w:id="541" w:name="_Ref259095951"/>
      <w:r w:rsidRPr="00B53FFB">
        <w:rPr>
          <w:sz w:val="22"/>
          <w:szCs w:val="22"/>
        </w:rPr>
        <w:t xml:space="preserve">Second, the availability of certain data employed in this </w:t>
      </w:r>
      <w:r w:rsidRPr="00B53FFB">
        <w:rPr>
          <w:i/>
          <w:sz w:val="22"/>
          <w:szCs w:val="22"/>
        </w:rPr>
        <w:t>Report</w:t>
      </w:r>
      <w:r w:rsidRPr="00B53FFB">
        <w:rPr>
          <w:sz w:val="22"/>
          <w:szCs w:val="22"/>
        </w:rPr>
        <w:t xml:space="preserve"> reflects the entire mobile wireless services industry and not the individual segments.  For example, the NRUF data provide an estimate of all mobile wireless devices in use that have a telephone number assigned to them, but do not distinguish by the type of device used.</w:t>
      </w:r>
      <w:r w:rsidRPr="00B53FFB">
        <w:rPr>
          <w:rStyle w:val="FootnoteReference"/>
          <w:szCs w:val="22"/>
        </w:rPr>
        <w:footnoteReference w:id="83"/>
      </w:r>
      <w:r w:rsidRPr="00B53FFB">
        <w:rPr>
          <w:sz w:val="22"/>
          <w:szCs w:val="22"/>
        </w:rPr>
        <w:t xml:space="preserve">  This includes traditional mobile handsets used primarily or exclusively for voice calls, smartphones that are used for both voice and data services, some devices used exclusively for data services,</w:t>
      </w:r>
      <w:r w:rsidRPr="00B53FFB">
        <w:rPr>
          <w:rStyle w:val="FootnoteReference"/>
          <w:szCs w:val="22"/>
        </w:rPr>
        <w:footnoteReference w:id="84"/>
      </w:r>
      <w:r w:rsidRPr="00B53FFB">
        <w:rPr>
          <w:sz w:val="22"/>
          <w:szCs w:val="22"/>
        </w:rPr>
        <w:t xml:space="preserve"> and some machine-to-machine services.  In addition, data on service provider network coverage is organized by the type of network technology, and some services may be available on different network technologies.</w:t>
      </w:r>
      <w:bookmarkEnd w:id="541"/>
    </w:p>
    <w:p w:rsidR="004A147C" w:rsidRPr="00B53FFB" w:rsidRDefault="004A147C" w:rsidP="00CE5850">
      <w:pPr>
        <w:pStyle w:val="ParaNum"/>
        <w:numPr>
          <w:ilvl w:val="0"/>
          <w:numId w:val="28"/>
        </w:numPr>
        <w:tabs>
          <w:tab w:val="num" w:pos="1440"/>
        </w:tabs>
        <w:rPr>
          <w:sz w:val="22"/>
          <w:szCs w:val="22"/>
        </w:rPr>
      </w:pPr>
      <w:bookmarkStart w:id="542" w:name="_Ref329093348"/>
      <w:bookmarkStart w:id="543" w:name="_Ref276393875"/>
      <w:r w:rsidRPr="00B53FFB">
        <w:rPr>
          <w:i/>
          <w:sz w:val="22"/>
          <w:szCs w:val="22"/>
        </w:rPr>
        <w:t>Geographic Areas</w:t>
      </w:r>
      <w:r w:rsidRPr="00B53FFB">
        <w:rPr>
          <w:sz w:val="22"/>
          <w:szCs w:val="22"/>
        </w:rPr>
        <w:t>.  Defining the appropriate geographic area for mobile wireless services has a useful role to play in assessing the level of competition.</w:t>
      </w:r>
      <w:r w:rsidRPr="00B53FFB">
        <w:rPr>
          <w:rStyle w:val="FootnoteReference"/>
          <w:szCs w:val="22"/>
        </w:rPr>
        <w:footnoteReference w:id="85"/>
      </w:r>
      <w:r w:rsidRPr="00B53FFB">
        <w:rPr>
          <w:sz w:val="22"/>
          <w:szCs w:val="22"/>
        </w:rPr>
        <w:t xml:space="preserve">  When undertaking a competitive analysis, one of the basic economic principles for defining the scope of the relevant geographic area is to include all of the competing service providers in the geographic area from which various consumers may choose similar substitutes.  Many consumers shop for competitive mobile wireless alternatives in the areas where they live, work, and travel.</w:t>
      </w:r>
      <w:bookmarkEnd w:id="542"/>
      <w:r w:rsidRPr="00B53FFB">
        <w:rPr>
          <w:sz w:val="22"/>
          <w:szCs w:val="22"/>
        </w:rPr>
        <w:t xml:space="preserve">  </w:t>
      </w:r>
    </w:p>
    <w:p w:rsidR="004A147C" w:rsidRPr="00B53FFB" w:rsidRDefault="004A147C" w:rsidP="00CE5850">
      <w:pPr>
        <w:pStyle w:val="ParaNum"/>
        <w:numPr>
          <w:ilvl w:val="0"/>
          <w:numId w:val="28"/>
        </w:numPr>
        <w:tabs>
          <w:tab w:val="num" w:pos="1440"/>
        </w:tabs>
        <w:rPr>
          <w:sz w:val="22"/>
          <w:szCs w:val="22"/>
        </w:rPr>
      </w:pPr>
      <w:r w:rsidRPr="00B53FFB">
        <w:rPr>
          <w:sz w:val="22"/>
          <w:szCs w:val="22"/>
        </w:rPr>
        <w:t xml:space="preserve">Defining the appropriate geographic area for mobile wireless services is complex.  Relevant factors to be considered include: (1) the variety of geographic schemes used to license different spectrum bands; (2) the wide variation in service providers’ geographic license areas and coverage footprints; (3) the difficulty of collecting accurate information on the geographic area(s) covered by each mobile operator’s network; (4) a consumer’s willingness and ability to purchase services in one or more geographic areas; and (5) the extent to which providers offer different terms or service quality in different locations. </w:t>
      </w:r>
    </w:p>
    <w:p w:rsidR="004A147C" w:rsidRPr="00B53FFB" w:rsidRDefault="004A147C" w:rsidP="00CE5850">
      <w:pPr>
        <w:pStyle w:val="ParaNum"/>
        <w:numPr>
          <w:ilvl w:val="0"/>
          <w:numId w:val="28"/>
        </w:numPr>
        <w:tabs>
          <w:tab w:val="num" w:pos="1440"/>
        </w:tabs>
        <w:rPr>
          <w:sz w:val="22"/>
          <w:szCs w:val="22"/>
        </w:rPr>
      </w:pPr>
      <w:r w:rsidRPr="00B53FFB">
        <w:rPr>
          <w:sz w:val="22"/>
          <w:szCs w:val="22"/>
        </w:rPr>
        <w:t>We estimate overall network coverage and the number of providers with coverage in an area using census blocks, and we provide concentration measures and regional penetration rates at the level of Economic Areas (EAs).</w:t>
      </w:r>
      <w:r w:rsidRPr="00B53FFB">
        <w:rPr>
          <w:rStyle w:val="FootnoteReference"/>
          <w:szCs w:val="22"/>
        </w:rPr>
        <w:footnoteReference w:id="86"/>
      </w:r>
      <w:r w:rsidRPr="00B53FFB">
        <w:rPr>
          <w:sz w:val="22"/>
          <w:szCs w:val="22"/>
        </w:rPr>
        <w:t xml:space="preserve">  We recognize that such geographic areas may be broader or narrower than the relevant geographic markets employed in other analyses conducted by the Commission.  For instance, </w:t>
      </w:r>
      <w:r w:rsidRPr="00B53FFB">
        <w:rPr>
          <w:bCs/>
          <w:sz w:val="22"/>
          <w:szCs w:val="22"/>
        </w:rPr>
        <w:t xml:space="preserve">the Commission has historically used narrower geographic areas to calculate HHIs when it has evaluated the competitive consequences of certain transactions.  We use EAs in this </w:t>
      </w:r>
      <w:r w:rsidRPr="00B53FFB">
        <w:rPr>
          <w:bCs/>
          <w:i/>
          <w:sz w:val="22"/>
          <w:szCs w:val="22"/>
        </w:rPr>
        <w:t>Report</w:t>
      </w:r>
      <w:r w:rsidRPr="00B53FFB">
        <w:rPr>
          <w:bCs/>
          <w:sz w:val="22"/>
          <w:szCs w:val="22"/>
        </w:rPr>
        <w:t xml:space="preserve"> to maintain continuity with past </w:t>
      </w:r>
      <w:r w:rsidRPr="00B53FFB">
        <w:rPr>
          <w:bCs/>
          <w:i/>
          <w:sz w:val="22"/>
          <w:szCs w:val="22"/>
        </w:rPr>
        <w:t xml:space="preserve">Reports </w:t>
      </w:r>
      <w:r w:rsidRPr="00B53FFB">
        <w:rPr>
          <w:bCs/>
          <w:sz w:val="22"/>
          <w:szCs w:val="22"/>
        </w:rPr>
        <w:t xml:space="preserve">and to ensure that we do not compromise the confidential information found </w:t>
      </w:r>
      <w:r w:rsidRPr="00B53FFB">
        <w:rPr>
          <w:bCs/>
          <w:sz w:val="22"/>
          <w:szCs w:val="22"/>
        </w:rPr>
        <w:lastRenderedPageBreak/>
        <w:t>in the NRUF data</w:t>
      </w:r>
      <w:r w:rsidRPr="00B53FFB">
        <w:rPr>
          <w:sz w:val="22"/>
          <w:szCs w:val="22"/>
        </w:rPr>
        <w:t>.</w:t>
      </w:r>
      <w:r w:rsidRPr="00B53FFB">
        <w:rPr>
          <w:sz w:val="22"/>
          <w:szCs w:val="22"/>
          <w:vertAlign w:val="superscript"/>
        </w:rPr>
        <w:footnoteReference w:id="87"/>
      </w:r>
      <w:r w:rsidRPr="00B53FFB">
        <w:rPr>
          <w:sz w:val="22"/>
          <w:szCs w:val="22"/>
        </w:rPr>
        <w:t xml:space="preserve">  We analyze both the local markets in which consumers purchase mobile wireless services and aspects of competition that occur at the national level.  For instance, defining local geographic markets for retail wireless services does not preclude us from analyzing variables, such as prices and service plan offerings, that may not vary for some providers across the various geographic markets they serve.</w:t>
      </w:r>
      <w:r w:rsidRPr="00B53FFB">
        <w:rPr>
          <w:rStyle w:val="FootnoteReference"/>
          <w:szCs w:val="22"/>
        </w:rPr>
        <w:footnoteReference w:id="88"/>
      </w:r>
    </w:p>
    <w:p w:rsidR="004A147C" w:rsidRPr="00B53FFB" w:rsidRDefault="004A147C" w:rsidP="00CE5850">
      <w:pPr>
        <w:pStyle w:val="Heading2"/>
        <w:keepNext w:val="0"/>
      </w:pPr>
      <w:bookmarkStart w:id="544" w:name="_Toc252806160"/>
      <w:bookmarkStart w:id="545" w:name="_Ref256581982"/>
      <w:bookmarkStart w:id="546" w:name="_Ref256581986"/>
      <w:bookmarkStart w:id="547" w:name="_Toc261610755"/>
      <w:bookmarkStart w:id="548" w:name="_Toc261858488"/>
      <w:bookmarkStart w:id="549" w:name="_Toc262034293"/>
      <w:bookmarkStart w:id="550" w:name="_Toc262034396"/>
      <w:bookmarkStart w:id="551" w:name="_Toc271288435"/>
      <w:bookmarkStart w:id="552" w:name="_Toc275517952"/>
      <w:bookmarkStart w:id="553" w:name="_Toc275952392"/>
      <w:bookmarkStart w:id="554" w:name="_Toc276121824"/>
      <w:bookmarkStart w:id="555" w:name="_Toc276480661"/>
      <w:bookmarkStart w:id="556" w:name="_Toc276741738"/>
      <w:bookmarkStart w:id="557" w:name="_Toc277171502"/>
      <w:bookmarkStart w:id="558" w:name="_Toc277864477"/>
      <w:bookmarkStart w:id="559" w:name="_Toc277864693"/>
      <w:bookmarkStart w:id="560" w:name="_Toc285810374"/>
      <w:bookmarkStart w:id="561" w:name="_Toc287257768"/>
      <w:bookmarkStart w:id="562" w:name="_Toc291758647"/>
      <w:bookmarkStart w:id="563" w:name="_Toc291758750"/>
      <w:bookmarkStart w:id="564" w:name="_Toc295392930"/>
      <w:bookmarkStart w:id="565" w:name="_Toc329262479"/>
      <w:bookmarkStart w:id="566" w:name="_Toc329852382"/>
      <w:bookmarkStart w:id="567" w:name="_Toc331766298"/>
      <w:bookmarkStart w:id="568" w:name="_Toc332119094"/>
      <w:bookmarkStart w:id="569" w:name="_Toc334088776"/>
      <w:bookmarkStart w:id="570" w:name="_Toc334089012"/>
      <w:bookmarkStart w:id="571" w:name="_Toc334089171"/>
      <w:bookmarkStart w:id="572" w:name="_Toc334089282"/>
      <w:bookmarkStart w:id="573" w:name="_Toc334089446"/>
      <w:bookmarkStart w:id="574" w:name="_Toc335839019"/>
      <w:bookmarkStart w:id="575" w:name="_Toc336268582"/>
      <w:bookmarkStart w:id="576" w:name="_Toc336268690"/>
      <w:bookmarkStart w:id="577" w:name="_Toc336268797"/>
      <w:bookmarkStart w:id="578" w:name="_Toc336269011"/>
      <w:bookmarkStart w:id="579" w:name="_Toc336269118"/>
      <w:bookmarkStart w:id="580" w:name="_Toc336269486"/>
      <w:bookmarkStart w:id="581" w:name="_Toc336269632"/>
      <w:bookmarkStart w:id="582" w:name="_Toc336270045"/>
      <w:bookmarkStart w:id="583" w:name="_Toc336271251"/>
      <w:bookmarkStart w:id="584" w:name="_Toc337651944"/>
      <w:bookmarkStart w:id="585" w:name="_Toc349577132"/>
      <w:bookmarkStart w:id="586" w:name="_Toc349579224"/>
      <w:bookmarkStart w:id="587" w:name="_Toc349580539"/>
      <w:bookmarkStart w:id="588" w:name="_Toc349734947"/>
      <w:bookmarkStart w:id="589" w:name="_Toc349742312"/>
      <w:bookmarkEnd w:id="540"/>
      <w:bookmarkEnd w:id="543"/>
      <w:r w:rsidRPr="00B53FFB">
        <w:t>Overview of Service Providers</w:t>
      </w:r>
      <w:bookmarkStart w:id="590" w:name="_Toc83547773"/>
      <w:bookmarkStart w:id="591" w:name="_Toc112139201"/>
      <w:bookmarkStart w:id="592" w:name="_Toc113257808"/>
      <w:bookmarkStart w:id="593" w:name="_Toc113258005"/>
      <w:bookmarkStart w:id="594" w:name="_Toc113258273"/>
      <w:bookmarkStart w:id="595" w:name="_Toc113258599"/>
      <w:bookmarkStart w:id="596" w:name="_Toc113272188"/>
      <w:bookmarkStart w:id="597" w:name="_Toc115580873"/>
      <w:bookmarkStart w:id="598" w:name="_Toc136318276"/>
      <w:bookmarkStart w:id="599" w:name="_Toc136318625"/>
      <w:bookmarkStart w:id="600" w:name="_Toc136318792"/>
      <w:bookmarkStart w:id="601" w:name="_Toc138475768"/>
      <w:bookmarkStart w:id="602" w:name="_Toc146684497"/>
      <w:bookmarkStart w:id="603" w:name="_Toc147046255"/>
      <w:bookmarkStart w:id="604" w:name="_Toc171415211"/>
      <w:bookmarkStart w:id="605" w:name="_Toc173642097"/>
      <w:bookmarkStart w:id="606" w:name="_Toc173813635"/>
      <w:bookmarkStart w:id="607" w:name="_Toc175387804"/>
      <w:bookmarkStart w:id="608" w:name="_Toc176254406"/>
      <w:bookmarkEnd w:id="544"/>
      <w:bookmarkEnd w:id="545"/>
      <w:bookmarkEnd w:id="546"/>
      <w:bookmarkEnd w:id="547"/>
      <w:bookmarkEnd w:id="548"/>
      <w:bookmarkEnd w:id="549"/>
      <w:bookmarkEnd w:id="550"/>
      <w:bookmarkEnd w:id="551"/>
      <w:bookmarkEnd w:id="552"/>
      <w:bookmarkEnd w:id="553"/>
      <w:bookmarkEnd w:id="554"/>
      <w:bookmarkEnd w:id="555"/>
      <w:bookmarkEnd w:id="556"/>
      <w:bookmarkEnd w:id="557"/>
      <w:bookmarkEnd w:id="558"/>
      <w:bookmarkEnd w:id="559"/>
      <w:bookmarkEnd w:id="560"/>
      <w:bookmarkEnd w:id="561"/>
      <w:bookmarkEnd w:id="562"/>
      <w:bookmarkEnd w:id="563"/>
      <w:bookmarkEnd w:id="564"/>
      <w:bookmarkEnd w:id="565"/>
      <w:bookmarkEnd w:id="566"/>
      <w:bookmarkEnd w:id="567"/>
      <w:bookmarkEnd w:id="568"/>
      <w:bookmarkEnd w:id="569"/>
      <w:bookmarkEnd w:id="570"/>
      <w:bookmarkEnd w:id="571"/>
      <w:bookmarkEnd w:id="572"/>
      <w:bookmarkEnd w:id="573"/>
      <w:bookmarkEnd w:id="574"/>
      <w:bookmarkEnd w:id="575"/>
      <w:bookmarkEnd w:id="576"/>
      <w:bookmarkEnd w:id="577"/>
      <w:bookmarkEnd w:id="578"/>
      <w:bookmarkEnd w:id="579"/>
      <w:bookmarkEnd w:id="580"/>
      <w:bookmarkEnd w:id="581"/>
      <w:bookmarkEnd w:id="582"/>
      <w:bookmarkEnd w:id="583"/>
      <w:bookmarkEnd w:id="584"/>
      <w:bookmarkEnd w:id="585"/>
      <w:bookmarkEnd w:id="586"/>
      <w:bookmarkEnd w:id="587"/>
      <w:bookmarkEnd w:id="588"/>
      <w:bookmarkEnd w:id="589"/>
    </w:p>
    <w:p w:rsidR="004A147C" w:rsidRPr="00B53FFB" w:rsidRDefault="004A147C" w:rsidP="00CE5850">
      <w:pPr>
        <w:pStyle w:val="Heading3"/>
        <w:keepNext w:val="0"/>
        <w:numPr>
          <w:ilvl w:val="2"/>
          <w:numId w:val="26"/>
        </w:numPr>
        <w:tabs>
          <w:tab w:val="left" w:pos="2160"/>
        </w:tabs>
        <w:rPr>
          <w:sz w:val="22"/>
          <w:szCs w:val="22"/>
        </w:rPr>
      </w:pPr>
      <w:bookmarkStart w:id="609" w:name="_Toc176254695"/>
      <w:bookmarkStart w:id="610" w:name="_Toc176254806"/>
      <w:bookmarkStart w:id="611" w:name="_Toc176762441"/>
      <w:bookmarkStart w:id="612" w:name="_Toc176843461"/>
      <w:bookmarkStart w:id="613" w:name="_Toc176853265"/>
      <w:bookmarkStart w:id="614" w:name="_Toc176853374"/>
      <w:bookmarkStart w:id="615" w:name="_Toc176857423"/>
      <w:bookmarkStart w:id="616" w:name="_Toc179108348"/>
      <w:bookmarkStart w:id="617" w:name="_Toc179357607"/>
      <w:bookmarkStart w:id="618" w:name="_Toc181781091"/>
      <w:bookmarkStart w:id="619" w:name="_Toc182218677"/>
      <w:bookmarkStart w:id="620" w:name="_Toc182909112"/>
      <w:bookmarkStart w:id="621" w:name="_Toc182909542"/>
      <w:bookmarkStart w:id="622" w:name="_Toc182987192"/>
      <w:bookmarkStart w:id="623" w:name="_Toc183244027"/>
      <w:bookmarkStart w:id="624" w:name="_Toc183244405"/>
      <w:bookmarkStart w:id="625" w:name="_Toc183244806"/>
      <w:bookmarkStart w:id="626" w:name="_Toc183244924"/>
      <w:bookmarkStart w:id="627" w:name="_Toc183245582"/>
      <w:bookmarkStart w:id="628" w:name="_Toc183246157"/>
      <w:bookmarkStart w:id="629" w:name="_Toc183246275"/>
      <w:bookmarkStart w:id="630" w:name="_Ref185241363"/>
      <w:bookmarkStart w:id="631" w:name="_Ref185241485"/>
      <w:bookmarkStart w:id="632" w:name="_Ref185318689"/>
      <w:bookmarkStart w:id="633" w:name="_Toc185667876"/>
      <w:bookmarkStart w:id="634" w:name="_Toc185838933"/>
      <w:bookmarkStart w:id="635" w:name="_Toc185846905"/>
      <w:bookmarkStart w:id="636" w:name="_Toc185848511"/>
      <w:bookmarkStart w:id="637" w:name="_Toc188946869"/>
      <w:bookmarkStart w:id="638" w:name="_Toc189302773"/>
      <w:bookmarkStart w:id="639" w:name="_Toc209948442"/>
      <w:bookmarkStart w:id="640" w:name="_Toc209948552"/>
      <w:bookmarkStart w:id="641" w:name="_Toc209949994"/>
      <w:bookmarkStart w:id="642" w:name="_Toc210211450"/>
      <w:bookmarkStart w:id="643" w:name="_Toc210213017"/>
      <w:bookmarkStart w:id="644" w:name="_Toc210213156"/>
      <w:bookmarkStart w:id="645" w:name="_Toc210213717"/>
      <w:bookmarkStart w:id="646" w:name="_Toc212967942"/>
      <w:bookmarkStart w:id="647" w:name="_Toc215316340"/>
      <w:bookmarkStart w:id="648" w:name="_Toc215384594"/>
      <w:bookmarkStart w:id="649" w:name="_Toc217810460"/>
      <w:bookmarkStart w:id="650" w:name="_Toc252806161"/>
      <w:bookmarkStart w:id="651" w:name="_Ref259805280"/>
      <w:bookmarkStart w:id="652" w:name="_Ref259805283"/>
      <w:bookmarkStart w:id="653" w:name="_Ref261425103"/>
      <w:bookmarkStart w:id="654" w:name="_Ref261425104"/>
      <w:bookmarkStart w:id="655" w:name="_Toc261610756"/>
      <w:bookmarkStart w:id="656" w:name="_Toc261858489"/>
      <w:bookmarkStart w:id="657" w:name="_Toc262034294"/>
      <w:bookmarkStart w:id="658" w:name="_Toc262034397"/>
      <w:bookmarkStart w:id="659" w:name="_Toc271288436"/>
      <w:bookmarkStart w:id="660" w:name="_Toc275517953"/>
      <w:bookmarkStart w:id="661" w:name="_Toc275952393"/>
      <w:bookmarkStart w:id="662" w:name="_Toc276121825"/>
      <w:bookmarkStart w:id="663" w:name="_Toc276480662"/>
      <w:bookmarkStart w:id="664" w:name="_Toc276741739"/>
      <w:bookmarkStart w:id="665" w:name="_Toc277171503"/>
      <w:bookmarkStart w:id="666" w:name="_Toc277864478"/>
      <w:bookmarkStart w:id="667" w:name="_Toc277864694"/>
      <w:bookmarkStart w:id="668" w:name="_Toc285810375"/>
      <w:bookmarkStart w:id="669" w:name="_Toc287257769"/>
      <w:bookmarkStart w:id="670" w:name="_Ref287263109"/>
      <w:bookmarkStart w:id="671" w:name="_Toc291758648"/>
      <w:bookmarkStart w:id="672" w:name="_Toc291758751"/>
      <w:bookmarkStart w:id="673" w:name="_Toc295392931"/>
      <w:bookmarkStart w:id="674" w:name="_Ref326762469"/>
      <w:bookmarkStart w:id="675" w:name="_Ref326762487"/>
      <w:bookmarkStart w:id="676" w:name="_Toc329262480"/>
      <w:bookmarkStart w:id="677" w:name="_Toc329852383"/>
      <w:bookmarkStart w:id="678" w:name="_Toc331766299"/>
      <w:bookmarkStart w:id="679" w:name="_Toc332119095"/>
      <w:bookmarkStart w:id="680" w:name="_Toc334088777"/>
      <w:bookmarkStart w:id="681" w:name="_Toc334089013"/>
      <w:bookmarkStart w:id="682" w:name="_Toc334089172"/>
      <w:bookmarkStart w:id="683" w:name="_Toc334089283"/>
      <w:bookmarkStart w:id="684" w:name="_Toc334089447"/>
      <w:bookmarkStart w:id="685" w:name="_Toc335839020"/>
      <w:bookmarkStart w:id="686" w:name="_Toc336268583"/>
      <w:bookmarkStart w:id="687" w:name="_Toc336268691"/>
      <w:bookmarkStart w:id="688" w:name="_Toc336268798"/>
      <w:bookmarkStart w:id="689" w:name="_Toc336269012"/>
      <w:bookmarkStart w:id="690" w:name="_Toc336269119"/>
      <w:bookmarkStart w:id="691" w:name="_Toc336269487"/>
      <w:bookmarkStart w:id="692" w:name="_Toc336269633"/>
      <w:bookmarkStart w:id="693" w:name="_Toc336270046"/>
      <w:bookmarkStart w:id="694" w:name="_Toc336271252"/>
      <w:bookmarkStart w:id="695" w:name="_Toc337651945"/>
      <w:bookmarkStart w:id="696" w:name="_Toc349577133"/>
      <w:bookmarkStart w:id="697" w:name="_Toc349579225"/>
      <w:bookmarkStart w:id="698" w:name="_Toc349580540"/>
      <w:bookmarkStart w:id="699" w:name="_Toc349734948"/>
      <w:bookmarkStart w:id="700" w:name="_Toc349742313"/>
      <w:r w:rsidRPr="00B53FFB">
        <w:rPr>
          <w:sz w:val="22"/>
          <w:szCs w:val="22"/>
        </w:rPr>
        <w:t>Facilities-Based Providers</w:t>
      </w:r>
      <w:bookmarkEnd w:id="590"/>
      <w:bookmarkEnd w:id="591"/>
      <w:bookmarkEnd w:id="592"/>
      <w:bookmarkEnd w:id="593"/>
      <w:bookmarkEnd w:id="594"/>
      <w:bookmarkEnd w:id="595"/>
      <w:bookmarkEnd w:id="596"/>
      <w:bookmarkEnd w:id="597"/>
      <w:bookmarkEnd w:id="598"/>
      <w:bookmarkEnd w:id="599"/>
      <w:bookmarkEnd w:id="600"/>
      <w:bookmarkEnd w:id="601"/>
      <w:bookmarkEnd w:id="602"/>
      <w:bookmarkEnd w:id="603"/>
      <w:bookmarkEnd w:id="604"/>
      <w:bookmarkEnd w:id="605"/>
      <w:bookmarkEnd w:id="606"/>
      <w:bookmarkEnd w:id="607"/>
      <w:bookmarkEnd w:id="608"/>
      <w:bookmarkEnd w:id="609"/>
      <w:bookmarkEnd w:id="610"/>
      <w:bookmarkEnd w:id="611"/>
      <w:bookmarkEnd w:id="612"/>
      <w:bookmarkEnd w:id="613"/>
      <w:bookmarkEnd w:id="614"/>
      <w:bookmarkEnd w:id="615"/>
      <w:bookmarkEnd w:id="616"/>
      <w:bookmarkEnd w:id="617"/>
      <w:bookmarkEnd w:id="618"/>
      <w:bookmarkEnd w:id="619"/>
      <w:bookmarkEnd w:id="620"/>
      <w:bookmarkEnd w:id="621"/>
      <w:bookmarkEnd w:id="622"/>
      <w:bookmarkEnd w:id="623"/>
      <w:bookmarkEnd w:id="624"/>
      <w:bookmarkEnd w:id="625"/>
      <w:bookmarkEnd w:id="626"/>
      <w:bookmarkEnd w:id="627"/>
      <w:bookmarkEnd w:id="628"/>
      <w:bookmarkEnd w:id="629"/>
      <w:bookmarkEnd w:id="630"/>
      <w:bookmarkEnd w:id="631"/>
      <w:bookmarkEnd w:id="632"/>
      <w:bookmarkEnd w:id="633"/>
      <w:bookmarkEnd w:id="634"/>
      <w:bookmarkEnd w:id="635"/>
      <w:bookmarkEnd w:id="636"/>
      <w:bookmarkEnd w:id="637"/>
      <w:bookmarkEnd w:id="638"/>
      <w:bookmarkEnd w:id="639"/>
      <w:bookmarkEnd w:id="640"/>
      <w:bookmarkEnd w:id="641"/>
      <w:bookmarkEnd w:id="642"/>
      <w:bookmarkEnd w:id="643"/>
      <w:bookmarkEnd w:id="644"/>
      <w:bookmarkEnd w:id="645"/>
      <w:bookmarkEnd w:id="646"/>
      <w:bookmarkEnd w:id="647"/>
      <w:bookmarkEnd w:id="648"/>
      <w:bookmarkEnd w:id="649"/>
      <w:bookmarkEnd w:id="650"/>
      <w:bookmarkEnd w:id="651"/>
      <w:bookmarkEnd w:id="652"/>
      <w:bookmarkEnd w:id="653"/>
      <w:bookmarkEnd w:id="654"/>
      <w:bookmarkEnd w:id="655"/>
      <w:bookmarkEnd w:id="656"/>
      <w:bookmarkEnd w:id="657"/>
      <w:bookmarkEnd w:id="658"/>
      <w:bookmarkEnd w:id="659"/>
      <w:bookmarkEnd w:id="660"/>
      <w:bookmarkEnd w:id="661"/>
      <w:bookmarkEnd w:id="662"/>
      <w:bookmarkEnd w:id="663"/>
      <w:bookmarkEnd w:id="664"/>
      <w:bookmarkEnd w:id="665"/>
      <w:bookmarkEnd w:id="666"/>
      <w:bookmarkEnd w:id="667"/>
      <w:bookmarkEnd w:id="668"/>
      <w:bookmarkEnd w:id="669"/>
      <w:bookmarkEnd w:id="670"/>
      <w:bookmarkEnd w:id="671"/>
      <w:bookmarkEnd w:id="672"/>
      <w:bookmarkEnd w:id="673"/>
      <w:bookmarkEnd w:id="674"/>
      <w:bookmarkEnd w:id="675"/>
      <w:bookmarkEnd w:id="676"/>
      <w:bookmarkEnd w:id="677"/>
      <w:bookmarkEnd w:id="678"/>
      <w:bookmarkEnd w:id="679"/>
      <w:bookmarkEnd w:id="680"/>
      <w:bookmarkEnd w:id="681"/>
      <w:bookmarkEnd w:id="682"/>
      <w:bookmarkEnd w:id="683"/>
      <w:bookmarkEnd w:id="684"/>
      <w:bookmarkEnd w:id="685"/>
      <w:bookmarkEnd w:id="686"/>
      <w:bookmarkEnd w:id="687"/>
      <w:bookmarkEnd w:id="688"/>
      <w:bookmarkEnd w:id="689"/>
      <w:bookmarkEnd w:id="690"/>
      <w:bookmarkEnd w:id="691"/>
      <w:bookmarkEnd w:id="692"/>
      <w:bookmarkEnd w:id="693"/>
      <w:bookmarkEnd w:id="694"/>
      <w:bookmarkEnd w:id="695"/>
      <w:bookmarkEnd w:id="696"/>
      <w:bookmarkEnd w:id="697"/>
      <w:bookmarkEnd w:id="698"/>
      <w:bookmarkEnd w:id="699"/>
      <w:bookmarkEnd w:id="700"/>
    </w:p>
    <w:p w:rsidR="004A147C" w:rsidRPr="00B53FFB" w:rsidRDefault="004A147C" w:rsidP="00CE5850">
      <w:pPr>
        <w:pStyle w:val="ParaNum"/>
        <w:numPr>
          <w:ilvl w:val="0"/>
          <w:numId w:val="28"/>
        </w:numPr>
        <w:tabs>
          <w:tab w:val="num" w:pos="1440"/>
        </w:tabs>
        <w:rPr>
          <w:sz w:val="22"/>
          <w:szCs w:val="22"/>
        </w:rPr>
      </w:pPr>
      <w:r w:rsidRPr="00B53FFB">
        <w:rPr>
          <w:sz w:val="22"/>
          <w:szCs w:val="22"/>
        </w:rPr>
        <w:t>Facilities-based mobile wireless service providers offer mobile voice, messaging, and/or data services using their own network facilities.</w:t>
      </w:r>
      <w:r w:rsidRPr="00B53FFB">
        <w:rPr>
          <w:rStyle w:val="FootnoteReference"/>
          <w:szCs w:val="22"/>
        </w:rPr>
        <w:t xml:space="preserve"> </w:t>
      </w:r>
      <w:r w:rsidRPr="00B53FFB">
        <w:rPr>
          <w:rStyle w:val="FootnoteReference"/>
          <w:szCs w:val="22"/>
        </w:rPr>
        <w:footnoteReference w:id="89"/>
      </w:r>
      <w:r w:rsidRPr="00B53FFB">
        <w:rPr>
          <w:sz w:val="22"/>
          <w:szCs w:val="22"/>
        </w:rPr>
        <w:t xml:space="preserve">  Most facilities-based providers currently offer circuit-switched mobile voice services that are interconnected with the public switched telephone network (PSTN).</w:t>
      </w:r>
      <w:r w:rsidRPr="00B53FFB">
        <w:rPr>
          <w:rStyle w:val="FootnoteReference"/>
          <w:szCs w:val="22"/>
        </w:rPr>
        <w:footnoteReference w:id="90"/>
      </w:r>
      <w:r w:rsidRPr="00B53FFB">
        <w:rPr>
          <w:sz w:val="22"/>
          <w:szCs w:val="22"/>
        </w:rPr>
        <w:t xml:space="preserve">  Some data and messaging services offered by facilities-based providers rely only on IP-based, packet-switched networks, while other services may continue to connect to the PSTN.   Many facilities-based providers have deployed, or are currently deploying, Internet Protocol (IP)-based networks. </w:t>
      </w:r>
    </w:p>
    <w:p w:rsidR="004A147C" w:rsidRPr="00B53FFB" w:rsidRDefault="004A147C" w:rsidP="00CE5850">
      <w:pPr>
        <w:pStyle w:val="ParaNum"/>
        <w:numPr>
          <w:ilvl w:val="0"/>
          <w:numId w:val="28"/>
        </w:numPr>
        <w:tabs>
          <w:tab w:val="num" w:pos="1440"/>
        </w:tabs>
        <w:rPr>
          <w:sz w:val="22"/>
          <w:szCs w:val="22"/>
        </w:rPr>
      </w:pPr>
      <w:r w:rsidRPr="00B53FFB">
        <w:rPr>
          <w:i/>
          <w:sz w:val="22"/>
          <w:szCs w:val="22"/>
        </w:rPr>
        <w:t>Nationwide Service Providers</w:t>
      </w:r>
      <w:r w:rsidRPr="00B53FFB">
        <w:rPr>
          <w:sz w:val="22"/>
          <w:szCs w:val="22"/>
        </w:rPr>
        <w:t>.  As of year-end 2011, there were four facilities-based mobile wireless service providers in the United States that industry observers typically describe as “nationwide”: AT&amp;T, Sprint Nextel,</w:t>
      </w:r>
      <w:r w:rsidRPr="00B53FFB">
        <w:rPr>
          <w:rStyle w:val="FootnoteReference"/>
          <w:szCs w:val="22"/>
        </w:rPr>
        <w:footnoteReference w:id="91"/>
      </w:r>
      <w:r w:rsidRPr="00B53FFB">
        <w:rPr>
          <w:sz w:val="22"/>
          <w:szCs w:val="22"/>
        </w:rPr>
        <w:t xml:space="preserve"> T-Mobile,</w:t>
      </w:r>
      <w:r w:rsidRPr="00B53FFB">
        <w:rPr>
          <w:rStyle w:val="FootnoteReference"/>
          <w:szCs w:val="22"/>
        </w:rPr>
        <w:footnoteReference w:id="92"/>
      </w:r>
      <w:r w:rsidRPr="00B53FFB">
        <w:rPr>
          <w:sz w:val="22"/>
          <w:szCs w:val="22"/>
        </w:rPr>
        <w:t xml:space="preserve"> and Verizon Wireless.</w:t>
      </w:r>
      <w:r w:rsidRPr="00B53FFB">
        <w:rPr>
          <w:rStyle w:val="FootnoteReference"/>
          <w:szCs w:val="22"/>
        </w:rPr>
        <w:footnoteReference w:id="93"/>
      </w:r>
      <w:r w:rsidRPr="00B53FFB">
        <w:rPr>
          <w:sz w:val="22"/>
          <w:szCs w:val="22"/>
        </w:rPr>
        <w:t xml:space="preserve">  In 2011, AT&amp;T applied to acquire T-Mobile, a transaction which would have reduced the number of nationwide service providers to three.  After careful evaluation, both the DOJ and Commission staff found that the proposed acquisition was likely to lead to a substantial lessening of competition in the market</w:t>
      </w:r>
      <w:r w:rsidRPr="00B53FFB">
        <w:rPr>
          <w:rStyle w:val="FootnoteReference"/>
          <w:szCs w:val="22"/>
        </w:rPr>
        <w:footnoteReference w:id="94"/>
      </w:r>
      <w:r>
        <w:rPr>
          <w:sz w:val="22"/>
          <w:szCs w:val="22"/>
        </w:rPr>
        <w:t xml:space="preserve"> and the parties abandoned the </w:t>
      </w:r>
      <w:r>
        <w:rPr>
          <w:sz w:val="22"/>
          <w:szCs w:val="22"/>
        </w:rPr>
        <w:lastRenderedPageBreak/>
        <w:t>transaction.</w:t>
      </w:r>
      <w:r>
        <w:rPr>
          <w:rStyle w:val="FootnoteReference"/>
          <w:szCs w:val="22"/>
        </w:rPr>
        <w:footnoteReference w:id="95"/>
      </w:r>
      <w:r w:rsidRPr="00B53FFB">
        <w:rPr>
          <w:sz w:val="22"/>
          <w:szCs w:val="22"/>
        </w:rPr>
        <w:t xml:space="preserve">  Although these four providers do not have networks that cover the entire land area or population of the United States, they do cover a significant portion of both, and will be referred to as the nationwide providers throughout this </w:t>
      </w:r>
      <w:r w:rsidRPr="00B53FFB">
        <w:rPr>
          <w:i/>
          <w:sz w:val="22"/>
          <w:szCs w:val="22"/>
        </w:rPr>
        <w:t>Report</w:t>
      </w:r>
      <w:r w:rsidRPr="00B53FFB">
        <w:rPr>
          <w:sz w:val="22"/>
          <w:szCs w:val="22"/>
        </w:rPr>
        <w:t>.</w:t>
      </w:r>
      <w:r w:rsidRPr="00B53FFB">
        <w:rPr>
          <w:rStyle w:val="FootnoteReference"/>
          <w:szCs w:val="22"/>
        </w:rPr>
        <w:footnoteReference w:id="96"/>
      </w:r>
      <w:r w:rsidRPr="00B53FFB">
        <w:rPr>
          <w:sz w:val="22"/>
          <w:szCs w:val="22"/>
        </w:rPr>
        <w:t xml:space="preserve">  These four nationwide service providers each have mobile wireless networks that cover in excess of 91</w:t>
      </w:r>
      <w:r w:rsidRPr="00B53FFB">
        <w:rPr>
          <w:b/>
          <w:sz w:val="22"/>
          <w:szCs w:val="22"/>
        </w:rPr>
        <w:t xml:space="preserve"> </w:t>
      </w:r>
      <w:r w:rsidRPr="00B53FFB">
        <w:rPr>
          <w:sz w:val="22"/>
          <w:szCs w:val="22"/>
        </w:rPr>
        <w:t>percent of the U.S. population in large proportions of the western, mid-western, and eastern United States.</w:t>
      </w:r>
      <w:r w:rsidRPr="00B53FFB">
        <w:rPr>
          <w:rStyle w:val="FootnoteReference"/>
          <w:szCs w:val="22"/>
        </w:rPr>
        <w:footnoteReference w:id="97"/>
      </w:r>
      <w:r w:rsidRPr="00B53FFB">
        <w:rPr>
          <w:sz w:val="22"/>
          <w:szCs w:val="22"/>
        </w:rPr>
        <w:t xml:space="preserve">  A map of the combined coverage areas of these four facilities-based nationwide providers can be found in Appendix D. </w:t>
      </w:r>
    </w:p>
    <w:p w:rsidR="004A147C" w:rsidRPr="00B53FFB" w:rsidRDefault="004A147C" w:rsidP="00CE5850">
      <w:pPr>
        <w:pStyle w:val="ParaNum"/>
        <w:numPr>
          <w:ilvl w:val="0"/>
          <w:numId w:val="28"/>
        </w:numPr>
        <w:tabs>
          <w:tab w:val="num" w:pos="1440"/>
        </w:tabs>
        <w:rPr>
          <w:sz w:val="22"/>
          <w:szCs w:val="22"/>
        </w:rPr>
      </w:pPr>
      <w:r w:rsidRPr="00B53FFB">
        <w:rPr>
          <w:i/>
          <w:sz w:val="22"/>
          <w:szCs w:val="22"/>
          <w:lang w:val="it-IT"/>
        </w:rPr>
        <w:t>Multi-Regional and Multi-Metro Service Providers</w:t>
      </w:r>
      <w:r w:rsidRPr="00B53FFB">
        <w:rPr>
          <w:sz w:val="22"/>
          <w:szCs w:val="22"/>
          <w:lang w:val="it-IT"/>
        </w:rPr>
        <w:t xml:space="preserve">.  </w:t>
      </w:r>
      <w:r w:rsidRPr="00B53FFB">
        <w:rPr>
          <w:sz w:val="22"/>
          <w:szCs w:val="22"/>
        </w:rPr>
        <w:t xml:space="preserve">Other facilities-based providers offer mobile wireless services on a multi-regional or multi-metro basis.  Three such providers – Clearwire, Leap Wireless International, Inc. (Leap) </w:t>
      </w:r>
      <w:r w:rsidRPr="00B53FFB">
        <w:rPr>
          <w:sz w:val="22"/>
          <w:szCs w:val="22"/>
          <w:lang w:eastAsia="zh-CN"/>
        </w:rPr>
        <w:t xml:space="preserve">and MetroPCS Communications Inc. (MetroPCS) – </w:t>
      </w:r>
      <w:r w:rsidRPr="00B53FFB">
        <w:rPr>
          <w:sz w:val="22"/>
          <w:szCs w:val="22"/>
        </w:rPr>
        <w:t>provide service in multiple large and medium-sized metropolitan areas across the nation</w:t>
      </w:r>
      <w:r w:rsidRPr="00B53FFB">
        <w:rPr>
          <w:sz w:val="22"/>
          <w:szCs w:val="22"/>
          <w:lang w:eastAsia="zh-CN"/>
        </w:rPr>
        <w:t>.</w:t>
      </w:r>
      <w:r w:rsidRPr="00B53FFB">
        <w:rPr>
          <w:rStyle w:val="FootnoteReference"/>
          <w:szCs w:val="22"/>
          <w:lang w:eastAsia="zh-CN"/>
        </w:rPr>
        <w:footnoteReference w:id="98"/>
      </w:r>
      <w:r w:rsidRPr="00B53FFB">
        <w:rPr>
          <w:sz w:val="22"/>
          <w:szCs w:val="22"/>
          <w:lang w:eastAsia="zh-CN"/>
        </w:rPr>
        <w:t xml:space="preserve">  </w:t>
      </w:r>
      <w:r w:rsidRPr="00B53FFB">
        <w:rPr>
          <w:sz w:val="22"/>
          <w:szCs w:val="22"/>
        </w:rPr>
        <w:t>Leap states “Our Cricket service offerings provide customers with unlimited nationwide wireless services for a flat rate without requiring a fixed term contract or a credit check</w:t>
      </w:r>
      <w:r w:rsidRPr="00B53FFB">
        <w:rPr>
          <w:kern w:val="0"/>
          <w:sz w:val="22"/>
          <w:szCs w:val="22"/>
        </w:rPr>
        <w:t>.”</w:t>
      </w:r>
      <w:r w:rsidRPr="00B53FFB">
        <w:rPr>
          <w:rStyle w:val="StyleFootnoteReferenceAppelnotedebasdepStyle12NECGFoo"/>
          <w:kern w:val="0"/>
          <w:szCs w:val="22"/>
        </w:rPr>
        <w:footnoteReference w:id="99"/>
      </w:r>
      <w:r w:rsidRPr="00B53FFB">
        <w:rPr>
          <w:kern w:val="0"/>
          <w:sz w:val="22"/>
          <w:szCs w:val="22"/>
        </w:rPr>
        <w:t xml:space="preserve">  </w:t>
      </w:r>
      <w:r w:rsidRPr="00B53FFB">
        <w:rPr>
          <w:sz w:val="22"/>
          <w:szCs w:val="22"/>
        </w:rPr>
        <w:t>MetroPCS states that it provides mobile wireless services in “selected major metropolitan areas in the United States.”</w:t>
      </w:r>
      <w:r w:rsidRPr="00B53FFB">
        <w:rPr>
          <w:rStyle w:val="FootnoteReference"/>
          <w:szCs w:val="22"/>
        </w:rPr>
        <w:footnoteReference w:id="100"/>
      </w:r>
      <w:r w:rsidRPr="00B53FFB">
        <w:rPr>
          <w:sz w:val="22"/>
          <w:szCs w:val="22"/>
        </w:rPr>
        <w:t xml:space="preserve">  </w:t>
      </w:r>
      <w:r w:rsidRPr="00B53FFB">
        <w:rPr>
          <w:sz w:val="22"/>
          <w:szCs w:val="22"/>
          <w:lang w:eastAsia="zh-CN"/>
        </w:rPr>
        <w:t>United States Cellular Corporation (U.S. Cellular) is a large regional provider that serves regions in the western, mid-western, and eastern United States.</w:t>
      </w:r>
      <w:r w:rsidRPr="00B53FFB">
        <w:rPr>
          <w:rStyle w:val="StyleFootnoteReferenceAppelnotedebasdepStyle12NECGFoo"/>
          <w:szCs w:val="22"/>
        </w:rPr>
        <w:footnoteReference w:id="101"/>
      </w:r>
      <w:r w:rsidRPr="00B53FFB">
        <w:rPr>
          <w:sz w:val="22"/>
          <w:szCs w:val="22"/>
        </w:rPr>
        <w:t xml:space="preserve"> U.S. Cellular states, “Since 1985, when it began providing wireless telecommunications service in Knoxville, Tennessee and Tulsa, Oklahoma, U.S. Cellular has expanded its wireless networks and customer service operations to cover five geographic market areas in portions of 26 states, which collectively represent a total population of 46.9 million as of December 31, 2011.”</w:t>
      </w:r>
      <w:r w:rsidRPr="00B53FFB">
        <w:rPr>
          <w:rStyle w:val="FootnoteReference"/>
          <w:szCs w:val="22"/>
        </w:rPr>
        <w:footnoteReference w:id="102"/>
      </w:r>
      <w:r w:rsidRPr="00B53FFB">
        <w:rPr>
          <w:sz w:val="22"/>
          <w:szCs w:val="22"/>
        </w:rPr>
        <w:t xml:space="preserve">  Multi-metro and multi-regional service providers typically rely on roaming agreements with nationwide facilities-based providers to provide service to their customers in areas not covered by their networks.</w:t>
      </w:r>
    </w:p>
    <w:p w:rsidR="004A147C" w:rsidRPr="00B53FFB" w:rsidRDefault="004A147C" w:rsidP="00CE5850">
      <w:pPr>
        <w:pStyle w:val="ParaNum"/>
        <w:numPr>
          <w:ilvl w:val="0"/>
          <w:numId w:val="28"/>
        </w:numPr>
        <w:tabs>
          <w:tab w:val="num" w:pos="1440"/>
        </w:tabs>
        <w:rPr>
          <w:sz w:val="22"/>
          <w:szCs w:val="22"/>
        </w:rPr>
      </w:pPr>
      <w:r w:rsidRPr="00B53FFB">
        <w:rPr>
          <w:i/>
          <w:sz w:val="22"/>
          <w:szCs w:val="22"/>
        </w:rPr>
        <w:t>Regional and Local Service Providers</w:t>
      </w:r>
      <w:r w:rsidRPr="00B53FFB">
        <w:rPr>
          <w:sz w:val="22"/>
          <w:szCs w:val="22"/>
        </w:rPr>
        <w:t xml:space="preserve">.  There are dozens of small facilities-based providers throughout the continental United States, Alaska, and Hawaii that typically provide service in a single geographical area, many of them rural areas.  Based on Mosaik data, we estimate that there were approximately 95 smaller, facilities-based providers in the continental United States, Alaska, and Hawaii </w:t>
      </w:r>
      <w:r w:rsidRPr="00B53FFB">
        <w:rPr>
          <w:sz w:val="22"/>
          <w:szCs w:val="22"/>
        </w:rPr>
        <w:lastRenderedPageBreak/>
        <w:t xml:space="preserve">as of October 2012.  For example, Cincinnati Bell Wireless, one of the larger of these providers, provides service in the areas surrounding Cincinnati, Ohio.  C Spire Wireless (formerly Cellular South) provides service in Mississippi, as well as Memphis and parts of Alabama and Louisiana.    Regional and local service providers include publicly-traded companies, privately-owned companies, and cooperatives.  </w:t>
      </w:r>
    </w:p>
    <w:p w:rsidR="004A147C" w:rsidRPr="00B53FFB" w:rsidRDefault="004A147C" w:rsidP="00CE5850">
      <w:pPr>
        <w:pStyle w:val="Heading3"/>
        <w:keepNext w:val="0"/>
        <w:numPr>
          <w:ilvl w:val="2"/>
          <w:numId w:val="26"/>
        </w:numPr>
        <w:tabs>
          <w:tab w:val="left" w:pos="2160"/>
        </w:tabs>
        <w:rPr>
          <w:sz w:val="22"/>
          <w:szCs w:val="22"/>
        </w:rPr>
      </w:pPr>
      <w:bookmarkStart w:id="701" w:name="_Toc83547774"/>
      <w:bookmarkStart w:id="702" w:name="_Ref109723301"/>
      <w:bookmarkStart w:id="703" w:name="_Ref109723309"/>
      <w:bookmarkStart w:id="704" w:name="_Toc112139202"/>
      <w:bookmarkStart w:id="705" w:name="_Toc113257809"/>
      <w:bookmarkStart w:id="706" w:name="_Toc113258006"/>
      <w:bookmarkStart w:id="707" w:name="_Toc113258274"/>
      <w:bookmarkStart w:id="708" w:name="_Toc113258600"/>
      <w:bookmarkStart w:id="709" w:name="_Toc113272189"/>
      <w:bookmarkStart w:id="710" w:name="_Toc115580874"/>
      <w:bookmarkStart w:id="711" w:name="_Toc136318277"/>
      <w:bookmarkStart w:id="712" w:name="_Toc136318626"/>
      <w:bookmarkStart w:id="713" w:name="_Toc136318793"/>
      <w:bookmarkStart w:id="714" w:name="_Toc138475769"/>
      <w:bookmarkStart w:id="715" w:name="_Toc146684498"/>
      <w:bookmarkStart w:id="716" w:name="_Toc147046256"/>
      <w:bookmarkStart w:id="717" w:name="_Toc171415212"/>
      <w:bookmarkStart w:id="718" w:name="_Toc173642098"/>
      <w:bookmarkStart w:id="719" w:name="_Toc173813636"/>
      <w:bookmarkStart w:id="720" w:name="_Toc175387805"/>
      <w:bookmarkStart w:id="721" w:name="_Toc176254407"/>
      <w:bookmarkStart w:id="722" w:name="_Toc176254696"/>
      <w:bookmarkStart w:id="723" w:name="_Toc176254807"/>
      <w:bookmarkStart w:id="724" w:name="_Toc176762442"/>
      <w:bookmarkStart w:id="725" w:name="_Toc176843462"/>
      <w:bookmarkStart w:id="726" w:name="_Toc176853266"/>
      <w:bookmarkStart w:id="727" w:name="_Toc176853375"/>
      <w:bookmarkStart w:id="728" w:name="_Toc176857424"/>
      <w:bookmarkStart w:id="729" w:name="_Toc179108349"/>
      <w:bookmarkStart w:id="730" w:name="_Toc179357608"/>
      <w:bookmarkStart w:id="731" w:name="_Toc181781092"/>
      <w:bookmarkStart w:id="732" w:name="_Toc182218678"/>
      <w:bookmarkStart w:id="733" w:name="_Toc182909113"/>
      <w:bookmarkStart w:id="734" w:name="_Toc182909543"/>
      <w:bookmarkStart w:id="735" w:name="_Toc182987193"/>
      <w:bookmarkStart w:id="736" w:name="_Toc183244028"/>
      <w:bookmarkStart w:id="737" w:name="_Toc183244406"/>
      <w:bookmarkStart w:id="738" w:name="_Toc183244807"/>
      <w:bookmarkStart w:id="739" w:name="_Toc183244925"/>
      <w:bookmarkStart w:id="740" w:name="_Toc183245583"/>
      <w:bookmarkStart w:id="741" w:name="_Toc183246158"/>
      <w:bookmarkStart w:id="742" w:name="_Toc183246276"/>
      <w:bookmarkStart w:id="743" w:name="_Toc185667877"/>
      <w:bookmarkStart w:id="744" w:name="_Toc185838934"/>
      <w:bookmarkStart w:id="745" w:name="_Toc185846906"/>
      <w:bookmarkStart w:id="746" w:name="_Toc185848512"/>
      <w:bookmarkStart w:id="747" w:name="_Toc188946870"/>
      <w:bookmarkStart w:id="748" w:name="_Toc189302774"/>
      <w:bookmarkStart w:id="749" w:name="_Toc209948443"/>
      <w:bookmarkStart w:id="750" w:name="_Toc209948553"/>
      <w:bookmarkStart w:id="751" w:name="_Toc209949995"/>
      <w:bookmarkStart w:id="752" w:name="_Toc210211451"/>
      <w:bookmarkStart w:id="753" w:name="_Toc210213018"/>
      <w:bookmarkStart w:id="754" w:name="_Toc210213157"/>
      <w:bookmarkStart w:id="755" w:name="_Toc210213718"/>
      <w:bookmarkStart w:id="756" w:name="_Toc212967943"/>
      <w:bookmarkStart w:id="757" w:name="_Toc215316341"/>
      <w:bookmarkStart w:id="758" w:name="_Toc215384595"/>
      <w:bookmarkStart w:id="759" w:name="_Toc217810461"/>
      <w:bookmarkStart w:id="760" w:name="_Toc252806162"/>
      <w:bookmarkStart w:id="761" w:name="_Toc261610757"/>
      <w:bookmarkStart w:id="762" w:name="_Toc261858490"/>
      <w:bookmarkStart w:id="763" w:name="_Toc262034295"/>
      <w:bookmarkStart w:id="764" w:name="_Toc262034398"/>
      <w:bookmarkStart w:id="765" w:name="_Toc271288437"/>
      <w:bookmarkStart w:id="766" w:name="_Toc275517954"/>
      <w:bookmarkStart w:id="767" w:name="_Toc275952394"/>
      <w:bookmarkStart w:id="768" w:name="_Toc276121826"/>
      <w:bookmarkStart w:id="769" w:name="_Toc276480663"/>
      <w:bookmarkStart w:id="770" w:name="_Toc276741740"/>
      <w:bookmarkStart w:id="771" w:name="_Toc277171504"/>
      <w:bookmarkStart w:id="772" w:name="_Toc277864479"/>
      <w:bookmarkStart w:id="773" w:name="_Toc277864695"/>
      <w:bookmarkStart w:id="774" w:name="_Toc285810376"/>
      <w:bookmarkStart w:id="775" w:name="_Toc287257770"/>
      <w:bookmarkStart w:id="776" w:name="_Toc291758649"/>
      <w:bookmarkStart w:id="777" w:name="_Toc291758752"/>
      <w:bookmarkStart w:id="778" w:name="_Toc295392932"/>
      <w:bookmarkStart w:id="779" w:name="_Ref329247496"/>
      <w:bookmarkStart w:id="780" w:name="_Ref329247509"/>
      <w:bookmarkStart w:id="781" w:name="_Toc329262481"/>
      <w:bookmarkStart w:id="782" w:name="_Toc329852384"/>
      <w:bookmarkStart w:id="783" w:name="_Toc331766300"/>
      <w:bookmarkStart w:id="784" w:name="_Ref331767311"/>
      <w:bookmarkStart w:id="785" w:name="_Ref331767333"/>
      <w:bookmarkStart w:id="786" w:name="_Toc332119096"/>
      <w:bookmarkStart w:id="787" w:name="_Toc334088778"/>
      <w:bookmarkStart w:id="788" w:name="_Toc334089014"/>
      <w:bookmarkStart w:id="789" w:name="_Toc334089173"/>
      <w:bookmarkStart w:id="790" w:name="_Toc334089284"/>
      <w:bookmarkStart w:id="791" w:name="_Toc334089448"/>
      <w:bookmarkStart w:id="792" w:name="_Ref335310194"/>
      <w:bookmarkStart w:id="793" w:name="_Toc335839021"/>
      <w:bookmarkStart w:id="794" w:name="_Toc336268584"/>
      <w:bookmarkStart w:id="795" w:name="_Toc336268692"/>
      <w:bookmarkStart w:id="796" w:name="_Toc336268799"/>
      <w:bookmarkStart w:id="797" w:name="_Toc336269013"/>
      <w:bookmarkStart w:id="798" w:name="_Toc336269120"/>
      <w:bookmarkStart w:id="799" w:name="_Toc336269488"/>
      <w:bookmarkStart w:id="800" w:name="_Toc336269634"/>
      <w:bookmarkStart w:id="801" w:name="_Toc336270047"/>
      <w:bookmarkStart w:id="802" w:name="_Toc336271253"/>
      <w:bookmarkStart w:id="803" w:name="_Toc337651946"/>
      <w:bookmarkStart w:id="804" w:name="_Toc349577134"/>
      <w:bookmarkStart w:id="805" w:name="_Toc349579226"/>
      <w:bookmarkStart w:id="806" w:name="_Toc349580541"/>
      <w:bookmarkStart w:id="807" w:name="_Toc349734949"/>
      <w:bookmarkStart w:id="808" w:name="_Toc349742314"/>
      <w:r w:rsidRPr="00B53FFB">
        <w:rPr>
          <w:sz w:val="22"/>
          <w:szCs w:val="22"/>
        </w:rPr>
        <w:t>Resale and MVNO Providers</w:t>
      </w:r>
      <w:bookmarkEnd w:id="701"/>
      <w:bookmarkEnd w:id="702"/>
      <w:bookmarkEnd w:id="703"/>
      <w:bookmarkEnd w:id="704"/>
      <w:bookmarkEnd w:id="705"/>
      <w:bookmarkEnd w:id="706"/>
      <w:bookmarkEnd w:id="707"/>
      <w:bookmarkEnd w:id="708"/>
      <w:bookmarkEnd w:id="709"/>
      <w:bookmarkEnd w:id="710"/>
      <w:bookmarkEnd w:id="711"/>
      <w:bookmarkEnd w:id="712"/>
      <w:bookmarkEnd w:id="713"/>
      <w:bookmarkEnd w:id="714"/>
      <w:bookmarkEnd w:id="715"/>
      <w:bookmarkEnd w:id="716"/>
      <w:bookmarkEnd w:id="717"/>
      <w:bookmarkEnd w:id="718"/>
      <w:bookmarkEnd w:id="719"/>
      <w:bookmarkEnd w:id="720"/>
      <w:bookmarkEnd w:id="721"/>
      <w:bookmarkEnd w:id="722"/>
      <w:bookmarkEnd w:id="723"/>
      <w:bookmarkEnd w:id="724"/>
      <w:bookmarkEnd w:id="725"/>
      <w:bookmarkEnd w:id="726"/>
      <w:bookmarkEnd w:id="727"/>
      <w:bookmarkEnd w:id="728"/>
      <w:bookmarkEnd w:id="729"/>
      <w:bookmarkEnd w:id="730"/>
      <w:bookmarkEnd w:id="731"/>
      <w:bookmarkEnd w:id="732"/>
      <w:bookmarkEnd w:id="733"/>
      <w:bookmarkEnd w:id="734"/>
      <w:bookmarkEnd w:id="735"/>
      <w:bookmarkEnd w:id="736"/>
      <w:bookmarkEnd w:id="737"/>
      <w:bookmarkEnd w:id="738"/>
      <w:bookmarkEnd w:id="739"/>
      <w:bookmarkEnd w:id="740"/>
      <w:bookmarkEnd w:id="741"/>
      <w:bookmarkEnd w:id="742"/>
      <w:bookmarkEnd w:id="743"/>
      <w:bookmarkEnd w:id="744"/>
      <w:bookmarkEnd w:id="745"/>
      <w:bookmarkEnd w:id="746"/>
      <w:bookmarkEnd w:id="747"/>
      <w:bookmarkEnd w:id="748"/>
      <w:bookmarkEnd w:id="749"/>
      <w:bookmarkEnd w:id="750"/>
      <w:bookmarkEnd w:id="751"/>
      <w:bookmarkEnd w:id="752"/>
      <w:bookmarkEnd w:id="753"/>
      <w:bookmarkEnd w:id="754"/>
      <w:bookmarkEnd w:id="755"/>
      <w:bookmarkEnd w:id="756"/>
      <w:bookmarkEnd w:id="757"/>
      <w:bookmarkEnd w:id="758"/>
      <w:bookmarkEnd w:id="759"/>
      <w:bookmarkEnd w:id="760"/>
      <w:bookmarkEnd w:id="761"/>
      <w:bookmarkEnd w:id="762"/>
      <w:bookmarkEnd w:id="763"/>
      <w:bookmarkEnd w:id="764"/>
      <w:bookmarkEnd w:id="765"/>
      <w:bookmarkEnd w:id="766"/>
      <w:bookmarkEnd w:id="767"/>
      <w:bookmarkEnd w:id="768"/>
      <w:bookmarkEnd w:id="769"/>
      <w:bookmarkEnd w:id="770"/>
      <w:bookmarkEnd w:id="771"/>
      <w:bookmarkEnd w:id="772"/>
      <w:bookmarkEnd w:id="773"/>
      <w:bookmarkEnd w:id="774"/>
      <w:bookmarkEnd w:id="775"/>
      <w:bookmarkEnd w:id="776"/>
      <w:bookmarkEnd w:id="777"/>
      <w:bookmarkEnd w:id="778"/>
      <w:bookmarkEnd w:id="779"/>
      <w:bookmarkEnd w:id="780"/>
      <w:bookmarkEnd w:id="781"/>
      <w:bookmarkEnd w:id="782"/>
      <w:bookmarkEnd w:id="783"/>
      <w:bookmarkEnd w:id="784"/>
      <w:bookmarkEnd w:id="785"/>
      <w:bookmarkEnd w:id="786"/>
      <w:bookmarkEnd w:id="787"/>
      <w:bookmarkEnd w:id="788"/>
      <w:bookmarkEnd w:id="789"/>
      <w:bookmarkEnd w:id="790"/>
      <w:bookmarkEnd w:id="791"/>
      <w:bookmarkEnd w:id="792"/>
      <w:bookmarkEnd w:id="793"/>
      <w:bookmarkEnd w:id="794"/>
      <w:bookmarkEnd w:id="795"/>
      <w:bookmarkEnd w:id="796"/>
      <w:bookmarkEnd w:id="797"/>
      <w:bookmarkEnd w:id="798"/>
      <w:bookmarkEnd w:id="799"/>
      <w:bookmarkEnd w:id="800"/>
      <w:bookmarkEnd w:id="801"/>
      <w:bookmarkEnd w:id="802"/>
      <w:bookmarkEnd w:id="803"/>
      <w:bookmarkEnd w:id="804"/>
      <w:bookmarkEnd w:id="805"/>
      <w:bookmarkEnd w:id="806"/>
      <w:bookmarkEnd w:id="807"/>
      <w:bookmarkEnd w:id="808"/>
    </w:p>
    <w:p w:rsidR="004A147C" w:rsidRPr="00B53FFB" w:rsidRDefault="004A147C" w:rsidP="00CE5850">
      <w:pPr>
        <w:pStyle w:val="ParaNum"/>
        <w:numPr>
          <w:ilvl w:val="0"/>
          <w:numId w:val="28"/>
        </w:numPr>
        <w:tabs>
          <w:tab w:val="num" w:pos="1440"/>
        </w:tabs>
        <w:rPr>
          <w:sz w:val="22"/>
          <w:szCs w:val="22"/>
        </w:rPr>
      </w:pPr>
      <w:r w:rsidRPr="00B53FFB">
        <w:rPr>
          <w:sz w:val="22"/>
          <w:szCs w:val="22"/>
        </w:rPr>
        <w:t>Resellers and mobile virtual network operators (MVNOs) generally do not own any network facilities but instead purchase mobile wireless services wholesale from facilities-based providers and resell the services to consumers.</w:t>
      </w:r>
      <w:r w:rsidRPr="00B53FFB">
        <w:rPr>
          <w:sz w:val="22"/>
          <w:szCs w:val="22"/>
          <w:vertAlign w:val="superscript"/>
        </w:rPr>
        <w:footnoteReference w:id="103"/>
      </w:r>
      <w:r w:rsidRPr="00B53FFB">
        <w:rPr>
          <w:sz w:val="22"/>
          <w:szCs w:val="22"/>
        </w:rPr>
        <w:t xml:space="preserve">  MVNOs may target their service and product offerings at specific demographic, lifestyle, and market niches, including consumers who are low income, are relatively price sensitive, do not want to commit to multi-year subscription contracts, have low usage needs, or do not want to buy a bundle that contains unwanted data services.  For instance, TracFone, the largest MVNO, states “Our formula for success is simple — exclusive focus on “No-Contract” cell phones and service.”</w:t>
      </w:r>
      <w:r w:rsidRPr="00B53FFB">
        <w:rPr>
          <w:rStyle w:val="FootnoteReference"/>
          <w:szCs w:val="22"/>
        </w:rPr>
        <w:footnoteReference w:id="104"/>
      </w:r>
      <w:r w:rsidRPr="00B53FFB">
        <w:rPr>
          <w:sz w:val="22"/>
          <w:szCs w:val="22"/>
        </w:rPr>
        <w:t xml:space="preserve">  </w:t>
      </w:r>
    </w:p>
    <w:p w:rsidR="004A147C" w:rsidRPr="00B53FFB" w:rsidRDefault="004A147C" w:rsidP="00CE5850">
      <w:pPr>
        <w:pStyle w:val="ParaNum"/>
        <w:numPr>
          <w:ilvl w:val="0"/>
          <w:numId w:val="28"/>
        </w:numPr>
        <w:tabs>
          <w:tab w:val="num" w:pos="1440"/>
        </w:tabs>
        <w:rPr>
          <w:sz w:val="22"/>
          <w:szCs w:val="22"/>
        </w:rPr>
      </w:pPr>
      <w:r w:rsidRPr="00B53FFB">
        <w:rPr>
          <w:sz w:val="22"/>
          <w:szCs w:val="22"/>
        </w:rPr>
        <w:t>Some facilities-based providers buy capacity wholesale and engage in resale to complement their own service offerings.  A facilities-based provider that also resells services may be motivated by the desire to expand its geographic coverage outside of its network coverage area or to add service offerings that are not available on its own network by reselling the services of another provider.  As of August 2010, Leap (Cricket) entered into a wholesale agreement with Sprint Nextel that allows Cricket to offer some products and services on Sprint Nextel’s EV-DO network throughout the United States.</w:t>
      </w:r>
      <w:r w:rsidRPr="00B53FFB">
        <w:rPr>
          <w:rStyle w:val="FootnoteReference"/>
          <w:szCs w:val="22"/>
        </w:rPr>
        <w:footnoteReference w:id="105"/>
      </w:r>
      <w:r w:rsidRPr="00B53FFB">
        <w:rPr>
          <w:sz w:val="22"/>
          <w:szCs w:val="22"/>
        </w:rPr>
        <w:t xml:space="preserve">  Cricket states that “this agreement will allow us to offer enhanced products and services and to strengthen and expand our distribution.”</w:t>
      </w:r>
      <w:r w:rsidRPr="00B53FFB">
        <w:rPr>
          <w:rStyle w:val="FootnoteReference"/>
          <w:szCs w:val="22"/>
        </w:rPr>
        <w:footnoteReference w:id="106"/>
      </w:r>
      <w:r w:rsidRPr="00B53FFB">
        <w:rPr>
          <w:sz w:val="22"/>
          <w:szCs w:val="22"/>
        </w:rPr>
        <w:t xml:space="preserve">  Another hybrid reseller and facilities-based model is the one employed by Sprint Nextel that supplies EV-DO mobile wireless voice and data services using its own networks and resells WiMAX services purchased wholesale from its business partner Clearwire.</w:t>
      </w:r>
      <w:r w:rsidRPr="00B53FFB">
        <w:rPr>
          <w:rStyle w:val="FootnoteReference"/>
          <w:szCs w:val="22"/>
        </w:rPr>
        <w:footnoteReference w:id="107"/>
      </w:r>
      <w:r w:rsidRPr="00B53FFB">
        <w:rPr>
          <w:sz w:val="22"/>
          <w:szCs w:val="22"/>
        </w:rPr>
        <w:t xml:space="preserve">  Selling capacity on a wholesale basis factors significantly into Clearwire’s business model.</w:t>
      </w:r>
      <w:r w:rsidRPr="00B53FFB">
        <w:rPr>
          <w:rStyle w:val="FootnoteReference"/>
          <w:szCs w:val="22"/>
        </w:rPr>
        <w:footnoteReference w:id="108"/>
      </w:r>
    </w:p>
    <w:p w:rsidR="004A147C" w:rsidRPr="00B53FFB" w:rsidRDefault="004A147C" w:rsidP="00CE5850">
      <w:pPr>
        <w:pStyle w:val="ParaNum"/>
        <w:numPr>
          <w:ilvl w:val="0"/>
          <w:numId w:val="28"/>
        </w:numPr>
        <w:tabs>
          <w:tab w:val="num" w:pos="1440"/>
        </w:tabs>
        <w:rPr>
          <w:sz w:val="22"/>
          <w:szCs w:val="22"/>
        </w:rPr>
      </w:pPr>
      <w:r w:rsidRPr="00B53FFB">
        <w:rPr>
          <w:sz w:val="22"/>
          <w:szCs w:val="22"/>
          <w:lang w:bidi="he-IL"/>
        </w:rPr>
        <w:t xml:space="preserve">The development of a partnership between an MVNO and a facilities-based provider may be more likely to occur when the MVNO has better access to some market segments than the host facilities-based provider, possibly due to its brand reputation, distribution network, marketing strategies, </w:t>
      </w:r>
      <w:r w:rsidRPr="00B53FFB">
        <w:rPr>
          <w:sz w:val="22"/>
          <w:szCs w:val="22"/>
          <w:lang w:bidi="he-IL"/>
        </w:rPr>
        <w:lastRenderedPageBreak/>
        <w:t>or business model.</w:t>
      </w:r>
      <w:r w:rsidRPr="00B53FFB">
        <w:rPr>
          <w:rStyle w:val="FootnoteReference"/>
          <w:szCs w:val="22"/>
          <w:lang w:bidi="he-IL"/>
        </w:rPr>
        <w:footnoteReference w:id="109"/>
      </w:r>
      <w:r w:rsidRPr="00B53FFB">
        <w:rPr>
          <w:sz w:val="22"/>
          <w:szCs w:val="22"/>
          <w:lang w:bidi="he-IL"/>
        </w:rPr>
        <w:t xml:space="preserve">  </w:t>
      </w:r>
      <w:r w:rsidRPr="00B53FFB">
        <w:rPr>
          <w:sz w:val="22"/>
          <w:szCs w:val="22"/>
        </w:rPr>
        <w:t>MVNOs often increase the range of services offered by the host facilities-based provider by targeting certain market segments, including segments previously not served by the hosting facilities-based provider.</w:t>
      </w:r>
      <w:r w:rsidRPr="00B53FFB">
        <w:rPr>
          <w:rStyle w:val="FootnoteReference"/>
          <w:szCs w:val="22"/>
        </w:rPr>
        <w:footnoteReference w:id="110"/>
      </w:r>
      <w:r w:rsidRPr="00B53FFB">
        <w:rPr>
          <w:sz w:val="22"/>
          <w:szCs w:val="22"/>
          <w:lang w:bidi="he-IL"/>
        </w:rPr>
        <w:t xml:space="preserve">  Hence, the relationship between an MVNO and its hosting facilities-based provider is a mutually beneficial strategic partnership.</w:t>
      </w:r>
      <w:r w:rsidRPr="00B53FFB">
        <w:rPr>
          <w:rStyle w:val="FootnoteReference"/>
          <w:szCs w:val="22"/>
          <w:lang w:bidi="he-IL"/>
        </w:rPr>
        <w:footnoteReference w:id="111"/>
      </w:r>
    </w:p>
    <w:p w:rsidR="004A147C" w:rsidRPr="00B53FFB" w:rsidRDefault="004A147C" w:rsidP="00CE5850">
      <w:pPr>
        <w:pStyle w:val="ParaNum"/>
        <w:numPr>
          <w:ilvl w:val="0"/>
          <w:numId w:val="28"/>
        </w:numPr>
        <w:tabs>
          <w:tab w:val="num" w:pos="1440"/>
        </w:tabs>
        <w:rPr>
          <w:sz w:val="22"/>
          <w:szCs w:val="22"/>
        </w:rPr>
      </w:pPr>
      <w:r w:rsidRPr="00B53FFB">
        <w:rPr>
          <w:sz w:val="22"/>
          <w:szCs w:val="22"/>
          <w:lang w:bidi="he-IL"/>
        </w:rPr>
        <w:t xml:space="preserve">Comprehensive data on MVNO subscribers are generally not reported by either MVNOs or facilities-based providers that host MVNOs.  </w:t>
      </w:r>
      <w:r w:rsidRPr="00B53FFB">
        <w:rPr>
          <w:sz w:val="22"/>
          <w:szCs w:val="22"/>
        </w:rPr>
        <w:t xml:space="preserve">Estimates of the number of MVNOs operating in the United States vary considerably.  </w:t>
      </w:r>
      <w:r w:rsidRPr="00B53FFB">
        <w:rPr>
          <w:sz w:val="22"/>
          <w:szCs w:val="22"/>
          <w:lang w:bidi="he-IL"/>
        </w:rPr>
        <w:t>Many MVNOs are privately-held companies that do not publicly report financial or subscriber data.  It is a standard practice of many facilities-based providers to include the subscribers of providers reselling their services in their own subscriber counts.</w:t>
      </w:r>
      <w:r w:rsidRPr="00B53FFB">
        <w:rPr>
          <w:rStyle w:val="FootnoteReference"/>
          <w:szCs w:val="22"/>
          <w:lang w:bidi="he-IL"/>
        </w:rPr>
        <w:footnoteReference w:id="112"/>
      </w:r>
      <w:r w:rsidRPr="00B53FFB">
        <w:rPr>
          <w:sz w:val="22"/>
          <w:szCs w:val="22"/>
          <w:lang w:bidi="he-IL"/>
        </w:rPr>
        <w:t xml:space="preserve">  Similarly, CTIA and many industry analyst reports include MVNO subscribers with the subscribers of the host facilities-based providers.</w:t>
      </w:r>
      <w:r w:rsidRPr="00B53FFB">
        <w:rPr>
          <w:rStyle w:val="FootnoteReference"/>
          <w:szCs w:val="22"/>
          <w:lang w:bidi="he-IL"/>
        </w:rPr>
        <w:t xml:space="preserve"> </w:t>
      </w:r>
      <w:r w:rsidRPr="00B53FFB">
        <w:rPr>
          <w:rStyle w:val="FootnoteReference"/>
          <w:szCs w:val="22"/>
          <w:lang w:bidi="he-IL"/>
        </w:rPr>
        <w:footnoteReference w:id="113"/>
      </w:r>
      <w:r w:rsidRPr="00B53FFB">
        <w:rPr>
          <w:sz w:val="22"/>
          <w:szCs w:val="22"/>
          <w:lang w:bidi="he-IL"/>
        </w:rPr>
        <w:t xml:space="preserve">  Some facilities-based providers report wholesale connections in combination with other connections, such as (data centric) connected device connections (e.g. Sprint), and others </w:t>
      </w:r>
      <w:r>
        <w:rPr>
          <w:sz w:val="22"/>
          <w:szCs w:val="22"/>
          <w:lang w:bidi="he-IL"/>
        </w:rPr>
        <w:t>report them separately</w:t>
      </w:r>
      <w:r w:rsidRPr="00B53FFB">
        <w:rPr>
          <w:sz w:val="22"/>
          <w:szCs w:val="22"/>
          <w:lang w:bidi="he-IL"/>
        </w:rPr>
        <w:t xml:space="preserve"> (e.g. AT&amp;T and T-Mobile).</w:t>
      </w:r>
      <w:r w:rsidRPr="00B53FFB">
        <w:rPr>
          <w:rStyle w:val="FootnoteReference"/>
          <w:szCs w:val="22"/>
          <w:lang w:bidi="he-IL"/>
        </w:rPr>
        <w:footnoteReference w:id="114"/>
      </w:r>
      <w:r w:rsidRPr="00B53FFB">
        <w:rPr>
          <w:sz w:val="22"/>
          <w:szCs w:val="22"/>
          <w:lang w:bidi="he-IL"/>
        </w:rPr>
        <w:t xml:space="preserve">  </w:t>
      </w:r>
      <w:r>
        <w:rPr>
          <w:sz w:val="22"/>
          <w:szCs w:val="22"/>
          <w:lang w:bidi="he-IL"/>
        </w:rPr>
        <w:t xml:space="preserve">No </w:t>
      </w:r>
      <w:r w:rsidRPr="00B53FFB">
        <w:rPr>
          <w:sz w:val="22"/>
          <w:szCs w:val="22"/>
          <w:lang w:bidi="he-IL"/>
        </w:rPr>
        <w:t xml:space="preserve">provider </w:t>
      </w:r>
      <w:r>
        <w:rPr>
          <w:sz w:val="22"/>
          <w:szCs w:val="22"/>
          <w:lang w:bidi="he-IL"/>
        </w:rPr>
        <w:t xml:space="preserve">disaggregates wholesale connections to the level of the individual </w:t>
      </w:r>
      <w:r w:rsidRPr="00B53FFB">
        <w:rPr>
          <w:sz w:val="22"/>
          <w:szCs w:val="22"/>
          <w:lang w:bidi="he-IL"/>
        </w:rPr>
        <w:t xml:space="preserve">MVNOs hosted on their networks.  For instance, in </w:t>
      </w:r>
      <w:r>
        <w:rPr>
          <w:sz w:val="22"/>
          <w:szCs w:val="22"/>
          <w:lang w:bidi="he-IL"/>
        </w:rPr>
        <w:t>its</w:t>
      </w:r>
      <w:r w:rsidRPr="00B53FFB">
        <w:rPr>
          <w:sz w:val="22"/>
          <w:szCs w:val="22"/>
          <w:lang w:bidi="he-IL"/>
        </w:rPr>
        <w:t xml:space="preserve"> 2011 annual report, AT&amp;T </w:t>
      </w:r>
      <w:r w:rsidRPr="00B53FFB">
        <w:rPr>
          <w:sz w:val="22"/>
          <w:szCs w:val="22"/>
        </w:rPr>
        <w:t xml:space="preserve">reported MVNO subscribers as </w:t>
      </w:r>
      <w:r>
        <w:rPr>
          <w:sz w:val="22"/>
          <w:szCs w:val="22"/>
        </w:rPr>
        <w:t>its</w:t>
      </w:r>
      <w:r w:rsidRPr="00B53FFB">
        <w:rPr>
          <w:sz w:val="22"/>
          <w:szCs w:val="22"/>
        </w:rPr>
        <w:t xml:space="preserve"> own subscribers and d</w:t>
      </w:r>
      <w:r>
        <w:rPr>
          <w:sz w:val="22"/>
          <w:szCs w:val="22"/>
        </w:rPr>
        <w:t>id</w:t>
      </w:r>
      <w:r w:rsidRPr="00B53FFB">
        <w:rPr>
          <w:sz w:val="22"/>
          <w:szCs w:val="22"/>
        </w:rPr>
        <w:t xml:space="preserve"> not attribute them to </w:t>
      </w:r>
      <w:r>
        <w:rPr>
          <w:sz w:val="22"/>
          <w:szCs w:val="22"/>
        </w:rPr>
        <w:t>its</w:t>
      </w:r>
      <w:r w:rsidRPr="00B53FFB">
        <w:rPr>
          <w:sz w:val="22"/>
          <w:szCs w:val="22"/>
        </w:rPr>
        <w:t xml:space="preserve"> MVNO relationships.</w:t>
      </w:r>
      <w:r w:rsidRPr="00B53FFB">
        <w:rPr>
          <w:rStyle w:val="FootnoteReference"/>
          <w:szCs w:val="22"/>
        </w:rPr>
        <w:footnoteReference w:id="115"/>
      </w:r>
      <w:r w:rsidRPr="00B53FFB">
        <w:rPr>
          <w:sz w:val="22"/>
          <w:szCs w:val="22"/>
        </w:rPr>
        <w:t xml:space="preserve">  </w:t>
      </w:r>
      <w:r w:rsidRPr="00B53FFB">
        <w:rPr>
          <w:sz w:val="22"/>
          <w:szCs w:val="22"/>
          <w:lang w:bidi="he-IL"/>
        </w:rPr>
        <w:t xml:space="preserve">For the above reasons, the reported data on MVNOs are generally inadequate for identifying the host </w:t>
      </w:r>
      <w:r w:rsidRPr="00B53FFB">
        <w:rPr>
          <w:sz w:val="22"/>
          <w:szCs w:val="22"/>
          <w:lang w:bidi="he-IL"/>
        </w:rPr>
        <w:lastRenderedPageBreak/>
        <w:t>facilities-based providers of all the MVNOs and the customer figures of the MVNOs.</w:t>
      </w:r>
    </w:p>
    <w:p w:rsidR="004A147C" w:rsidRPr="00B53FFB" w:rsidRDefault="004A147C" w:rsidP="00CE5850">
      <w:pPr>
        <w:pStyle w:val="ParaNum"/>
        <w:numPr>
          <w:ilvl w:val="0"/>
          <w:numId w:val="28"/>
        </w:numPr>
        <w:tabs>
          <w:tab w:val="num" w:pos="1440"/>
        </w:tabs>
        <w:rPr>
          <w:sz w:val="22"/>
          <w:szCs w:val="22"/>
        </w:rPr>
      </w:pPr>
      <w:r w:rsidRPr="00B53FFB">
        <w:rPr>
          <w:sz w:val="22"/>
          <w:szCs w:val="22"/>
        </w:rPr>
        <w:t>Some nationwide providers and Clearwire reported their wholesale connections for year-end 2011 (</w:t>
      </w:r>
      <w:r w:rsidR="005B380F">
        <w:fldChar w:fldCharType="begin"/>
      </w:r>
      <w:r w:rsidR="005B380F">
        <w:instrText xml:space="preserve"> REF _Ref323813042 \h  \* MERGEFORMAT </w:instrText>
      </w:r>
      <w:r w:rsidR="005B380F">
        <w:fldChar w:fldCharType="separate"/>
      </w:r>
      <w:r w:rsidR="00CA3AC6" w:rsidRPr="00B53FFB">
        <w:rPr>
          <w:sz w:val="22"/>
          <w:szCs w:val="22"/>
        </w:rPr>
        <w:t xml:space="preserve">Table </w:t>
      </w:r>
      <w:r w:rsidR="00CA3AC6">
        <w:rPr>
          <w:sz w:val="22"/>
          <w:szCs w:val="22"/>
        </w:rPr>
        <w:t>1</w:t>
      </w:r>
      <w:r w:rsidR="005B380F">
        <w:fldChar w:fldCharType="end"/>
      </w:r>
      <w:r w:rsidRPr="00B53FFB">
        <w:rPr>
          <w:sz w:val="22"/>
          <w:szCs w:val="22"/>
        </w:rPr>
        <w:t xml:space="preserve">).  In addition, according to Commission Form 477 data, an estimated </w:t>
      </w:r>
      <w:r>
        <w:rPr>
          <w:sz w:val="22"/>
          <w:szCs w:val="22"/>
        </w:rPr>
        <w:t>ten</w:t>
      </w:r>
      <w:r w:rsidRPr="00B53FFB">
        <w:rPr>
          <w:sz w:val="22"/>
          <w:szCs w:val="22"/>
        </w:rPr>
        <w:t xml:space="preserve"> percent of all mobile wireless connections were reseller connections in December 2011 and the figure was nine percent in December 2010</w:t>
      </w:r>
      <w:r w:rsidRPr="00B53FFB">
        <w:rPr>
          <w:rStyle w:val="FootnoteReference"/>
          <w:szCs w:val="22"/>
        </w:rPr>
        <w:footnoteReference w:id="116"/>
      </w:r>
    </w:p>
    <w:p w:rsidR="004A147C" w:rsidRPr="00B53FFB" w:rsidRDefault="004A147C" w:rsidP="00CE5850">
      <w:pPr>
        <w:pStyle w:val="Caption"/>
        <w:widowControl w:val="0"/>
        <w:spacing w:after="0"/>
        <w:jc w:val="center"/>
        <w:rPr>
          <w:b w:val="0"/>
          <w:sz w:val="22"/>
          <w:szCs w:val="22"/>
        </w:rPr>
      </w:pPr>
      <w:bookmarkStart w:id="809" w:name="_Ref323813042"/>
      <w:r w:rsidRPr="00B53FFB">
        <w:rPr>
          <w:sz w:val="22"/>
          <w:szCs w:val="22"/>
        </w:rPr>
        <w:t xml:space="preserve">Table </w:t>
      </w:r>
      <w:r w:rsidR="0007014B" w:rsidRPr="00B53FFB">
        <w:rPr>
          <w:sz w:val="22"/>
          <w:szCs w:val="22"/>
        </w:rPr>
        <w:fldChar w:fldCharType="begin"/>
      </w:r>
      <w:r w:rsidRPr="00B53FFB">
        <w:rPr>
          <w:sz w:val="22"/>
          <w:szCs w:val="22"/>
        </w:rPr>
        <w:instrText xml:space="preserve"> SEQ Table \* ARABIC </w:instrText>
      </w:r>
      <w:r w:rsidR="0007014B" w:rsidRPr="00B53FFB">
        <w:rPr>
          <w:sz w:val="22"/>
          <w:szCs w:val="22"/>
        </w:rPr>
        <w:fldChar w:fldCharType="separate"/>
      </w:r>
      <w:r w:rsidR="00CA3AC6">
        <w:rPr>
          <w:noProof/>
          <w:sz w:val="22"/>
          <w:szCs w:val="22"/>
        </w:rPr>
        <w:t>1</w:t>
      </w:r>
      <w:r w:rsidR="0007014B" w:rsidRPr="00B53FFB">
        <w:rPr>
          <w:sz w:val="22"/>
          <w:szCs w:val="22"/>
        </w:rPr>
        <w:fldChar w:fldCharType="end"/>
      </w:r>
      <w:bookmarkEnd w:id="809"/>
    </w:p>
    <w:p w:rsidR="004A147C" w:rsidRPr="00B53FFB" w:rsidRDefault="004A147C" w:rsidP="00CE5850">
      <w:pPr>
        <w:pStyle w:val="ParaNum"/>
        <w:tabs>
          <w:tab w:val="clear" w:pos="1440"/>
        </w:tabs>
        <w:jc w:val="center"/>
        <w:rPr>
          <w:b/>
          <w:sz w:val="22"/>
          <w:szCs w:val="22"/>
        </w:rPr>
      </w:pPr>
      <w:r w:rsidRPr="00B53FFB">
        <w:rPr>
          <w:b/>
          <w:sz w:val="22"/>
          <w:szCs w:val="22"/>
        </w:rPr>
        <w:t>Estimated Wholesale Connections, Year-end 2011 (In thousands)</w:t>
      </w:r>
      <w:bookmarkStart w:id="810" w:name="_Ref334000019"/>
      <w:r w:rsidRPr="00B53FFB">
        <w:rPr>
          <w:rStyle w:val="FootnoteReference"/>
          <w:szCs w:val="22"/>
        </w:rPr>
        <w:footnoteReference w:id="117"/>
      </w:r>
      <w:bookmarkEnd w:id="810"/>
    </w:p>
    <w:tbl>
      <w:tblPr>
        <w:tblW w:w="0" w:type="auto"/>
        <w:tblInd w:w="232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786"/>
        <w:gridCol w:w="3474"/>
      </w:tblGrid>
      <w:tr w:rsidR="004A147C" w:rsidRPr="00B53FFB" w:rsidTr="00B238BD">
        <w:tc>
          <w:tcPr>
            <w:tcW w:w="0" w:type="auto"/>
          </w:tcPr>
          <w:p w:rsidR="004A147C" w:rsidRPr="004F14A8" w:rsidRDefault="004A147C" w:rsidP="00CE5850">
            <w:pPr>
              <w:pStyle w:val="ParaNum"/>
              <w:tabs>
                <w:tab w:val="clear" w:pos="1440"/>
              </w:tabs>
              <w:ind w:firstLine="0"/>
              <w:jc w:val="center"/>
              <w:rPr>
                <w:b/>
                <w:sz w:val="22"/>
                <w:szCs w:val="22"/>
              </w:rPr>
            </w:pPr>
            <w:r w:rsidRPr="004F14A8">
              <w:rPr>
                <w:b/>
                <w:sz w:val="22"/>
                <w:szCs w:val="22"/>
              </w:rPr>
              <w:t>Service Provider</w:t>
            </w:r>
          </w:p>
        </w:tc>
        <w:tc>
          <w:tcPr>
            <w:tcW w:w="0" w:type="auto"/>
          </w:tcPr>
          <w:p w:rsidR="004A147C" w:rsidRPr="00B53FFB" w:rsidRDefault="004A147C" w:rsidP="00CE5850">
            <w:pPr>
              <w:jc w:val="center"/>
              <w:rPr>
                <w:b/>
                <w:color w:val="000000"/>
                <w:szCs w:val="22"/>
              </w:rPr>
            </w:pPr>
            <w:r w:rsidRPr="00B53FFB">
              <w:rPr>
                <w:b/>
                <w:color w:val="000000"/>
                <w:szCs w:val="22"/>
              </w:rPr>
              <w:t>Number of Wholesale Connections</w:t>
            </w:r>
          </w:p>
        </w:tc>
      </w:tr>
      <w:tr w:rsidR="004A147C" w:rsidRPr="00B53FFB" w:rsidTr="00B238BD">
        <w:tc>
          <w:tcPr>
            <w:tcW w:w="0" w:type="auto"/>
          </w:tcPr>
          <w:p w:rsidR="004A147C" w:rsidRPr="004F14A8" w:rsidRDefault="004A147C" w:rsidP="00CE5850">
            <w:pPr>
              <w:pStyle w:val="ParaNum"/>
              <w:tabs>
                <w:tab w:val="clear" w:pos="1440"/>
              </w:tabs>
              <w:ind w:firstLine="0"/>
              <w:rPr>
                <w:sz w:val="22"/>
                <w:szCs w:val="22"/>
              </w:rPr>
            </w:pPr>
            <w:r w:rsidRPr="004F14A8">
              <w:rPr>
                <w:sz w:val="22"/>
                <w:szCs w:val="22"/>
              </w:rPr>
              <w:t>AT&amp;T</w:t>
            </w:r>
          </w:p>
        </w:tc>
        <w:tc>
          <w:tcPr>
            <w:tcW w:w="0" w:type="auto"/>
          </w:tcPr>
          <w:p w:rsidR="004A147C" w:rsidRPr="00B53FFB" w:rsidRDefault="004A147C" w:rsidP="00CE5850">
            <w:pPr>
              <w:jc w:val="center"/>
              <w:rPr>
                <w:szCs w:val="22"/>
              </w:rPr>
            </w:pPr>
            <w:r w:rsidRPr="00B53FFB">
              <w:rPr>
                <w:color w:val="000000"/>
                <w:szCs w:val="22"/>
              </w:rPr>
              <w:t>13,644</w:t>
            </w:r>
          </w:p>
        </w:tc>
      </w:tr>
      <w:tr w:rsidR="004A147C" w:rsidRPr="00B53FFB" w:rsidTr="00B238BD">
        <w:tc>
          <w:tcPr>
            <w:tcW w:w="0" w:type="auto"/>
          </w:tcPr>
          <w:p w:rsidR="004A147C" w:rsidRPr="004F14A8" w:rsidRDefault="004A147C" w:rsidP="00CE5850">
            <w:pPr>
              <w:pStyle w:val="ParaNum"/>
              <w:tabs>
                <w:tab w:val="clear" w:pos="1440"/>
              </w:tabs>
              <w:ind w:firstLine="0"/>
              <w:rPr>
                <w:sz w:val="22"/>
                <w:szCs w:val="22"/>
              </w:rPr>
            </w:pPr>
            <w:r w:rsidRPr="004F14A8">
              <w:rPr>
                <w:sz w:val="22"/>
                <w:szCs w:val="22"/>
              </w:rPr>
              <w:t>Clearwire</w:t>
            </w:r>
            <w:r w:rsidRPr="004F14A8">
              <w:rPr>
                <w:rStyle w:val="FootnoteReference"/>
                <w:szCs w:val="22"/>
              </w:rPr>
              <w:footnoteReference w:id="118"/>
            </w:r>
          </w:p>
        </w:tc>
        <w:tc>
          <w:tcPr>
            <w:tcW w:w="0" w:type="auto"/>
          </w:tcPr>
          <w:p w:rsidR="004A147C" w:rsidRPr="00B53FFB" w:rsidRDefault="004A147C" w:rsidP="00CE5850">
            <w:pPr>
              <w:jc w:val="center"/>
              <w:rPr>
                <w:szCs w:val="22"/>
              </w:rPr>
            </w:pPr>
            <w:r w:rsidRPr="00B53FFB">
              <w:rPr>
                <w:color w:val="000000"/>
                <w:szCs w:val="22"/>
              </w:rPr>
              <w:t>9,123</w:t>
            </w:r>
          </w:p>
        </w:tc>
      </w:tr>
      <w:tr w:rsidR="004A147C" w:rsidRPr="00B53FFB" w:rsidTr="00B238BD">
        <w:tc>
          <w:tcPr>
            <w:tcW w:w="0" w:type="auto"/>
          </w:tcPr>
          <w:p w:rsidR="004A147C" w:rsidRPr="004F14A8" w:rsidRDefault="004A147C" w:rsidP="00CE5850">
            <w:pPr>
              <w:pStyle w:val="ParaNum"/>
              <w:tabs>
                <w:tab w:val="clear" w:pos="1440"/>
              </w:tabs>
              <w:ind w:firstLine="0"/>
              <w:rPr>
                <w:sz w:val="22"/>
                <w:szCs w:val="22"/>
              </w:rPr>
            </w:pPr>
            <w:r w:rsidRPr="004F14A8">
              <w:rPr>
                <w:sz w:val="22"/>
                <w:szCs w:val="22"/>
              </w:rPr>
              <w:t>Sprint</w:t>
            </w:r>
            <w:r w:rsidRPr="004F14A8">
              <w:rPr>
                <w:rStyle w:val="FootnoteReference"/>
                <w:szCs w:val="22"/>
              </w:rPr>
              <w:footnoteReference w:id="119"/>
            </w:r>
          </w:p>
        </w:tc>
        <w:tc>
          <w:tcPr>
            <w:tcW w:w="0" w:type="auto"/>
          </w:tcPr>
          <w:p w:rsidR="004A147C" w:rsidRPr="00B53FFB" w:rsidRDefault="004A147C" w:rsidP="00CE5850">
            <w:pPr>
              <w:jc w:val="center"/>
              <w:rPr>
                <w:szCs w:val="22"/>
              </w:rPr>
            </w:pPr>
            <w:r>
              <w:rPr>
                <w:color w:val="000000"/>
                <w:szCs w:val="22"/>
              </w:rPr>
              <w:t>7</w:t>
            </w:r>
            <w:r w:rsidRPr="00B53FFB">
              <w:rPr>
                <w:color w:val="000000"/>
                <w:szCs w:val="22"/>
              </w:rPr>
              <w:t>,2</w:t>
            </w:r>
            <w:r>
              <w:rPr>
                <w:color w:val="000000"/>
                <w:szCs w:val="22"/>
              </w:rPr>
              <w:t>18</w:t>
            </w:r>
          </w:p>
        </w:tc>
      </w:tr>
      <w:tr w:rsidR="004A147C" w:rsidRPr="00B53FFB" w:rsidTr="00B238BD">
        <w:tc>
          <w:tcPr>
            <w:tcW w:w="0" w:type="auto"/>
          </w:tcPr>
          <w:p w:rsidR="004A147C" w:rsidRPr="004F14A8" w:rsidRDefault="004A147C" w:rsidP="00CE5850">
            <w:pPr>
              <w:pStyle w:val="ParaNum"/>
              <w:tabs>
                <w:tab w:val="clear" w:pos="1440"/>
              </w:tabs>
              <w:ind w:firstLine="0"/>
              <w:rPr>
                <w:sz w:val="22"/>
                <w:szCs w:val="22"/>
              </w:rPr>
            </w:pPr>
            <w:r w:rsidRPr="004F14A8">
              <w:rPr>
                <w:sz w:val="22"/>
                <w:szCs w:val="22"/>
              </w:rPr>
              <w:t>T-Mobile</w:t>
            </w:r>
          </w:p>
        </w:tc>
        <w:tc>
          <w:tcPr>
            <w:tcW w:w="0" w:type="auto"/>
          </w:tcPr>
          <w:p w:rsidR="004A147C" w:rsidRPr="00B53FFB" w:rsidRDefault="004A147C" w:rsidP="00CE5850">
            <w:pPr>
              <w:jc w:val="center"/>
              <w:rPr>
                <w:szCs w:val="22"/>
              </w:rPr>
            </w:pPr>
            <w:r w:rsidRPr="00B53FFB">
              <w:rPr>
                <w:color w:val="000000"/>
                <w:szCs w:val="22"/>
              </w:rPr>
              <w:t>3,569</w:t>
            </w:r>
          </w:p>
        </w:tc>
      </w:tr>
    </w:tbl>
    <w:p w:rsidR="004A147C" w:rsidRPr="00B53FFB" w:rsidRDefault="004A147C" w:rsidP="00CE5850">
      <w:pPr>
        <w:pStyle w:val="ParaNum"/>
        <w:tabs>
          <w:tab w:val="clear" w:pos="1440"/>
        </w:tabs>
        <w:ind w:left="720" w:firstLine="0"/>
        <w:rPr>
          <w:sz w:val="22"/>
          <w:szCs w:val="22"/>
        </w:rPr>
      </w:pPr>
    </w:p>
    <w:p w:rsidR="004A147C" w:rsidRPr="00B53FFB" w:rsidRDefault="004A147C" w:rsidP="00CE5850">
      <w:pPr>
        <w:pStyle w:val="ParaNum"/>
        <w:numPr>
          <w:ilvl w:val="0"/>
          <w:numId w:val="28"/>
        </w:numPr>
        <w:tabs>
          <w:tab w:val="num" w:pos="1440"/>
        </w:tabs>
        <w:rPr>
          <w:sz w:val="22"/>
          <w:szCs w:val="22"/>
        </w:rPr>
      </w:pPr>
      <w:r w:rsidRPr="00B53FFB">
        <w:rPr>
          <w:sz w:val="22"/>
          <w:szCs w:val="22"/>
        </w:rPr>
        <w:t>In 2011, the largest MVNO was TracFone Wireless (TracFone), which had more than 19 million subscribers in the United States at year’s end, giving it a subscriber base in the United States that is larger than every facilities-based provider other than the four nationwide providers.</w:t>
      </w:r>
      <w:r w:rsidRPr="00B53FFB">
        <w:rPr>
          <w:rStyle w:val="FootnoteReference"/>
          <w:szCs w:val="22"/>
        </w:rPr>
        <w:footnoteReference w:id="120"/>
      </w:r>
      <w:r w:rsidRPr="00B53FFB">
        <w:rPr>
          <w:sz w:val="22"/>
          <w:szCs w:val="22"/>
        </w:rPr>
        <w:t xml:space="preserve">  TracFone is owned by América Móvil, S.A.B. de C.V.</w:t>
      </w:r>
      <w:r w:rsidRPr="00B53FFB">
        <w:rPr>
          <w:sz w:val="22"/>
          <w:szCs w:val="22"/>
          <w:vertAlign w:val="superscript"/>
        </w:rPr>
        <w:t xml:space="preserve"> </w:t>
      </w:r>
      <w:r w:rsidRPr="00B53FFB">
        <w:rPr>
          <w:sz w:val="22"/>
          <w:szCs w:val="22"/>
          <w:vertAlign w:val="superscript"/>
        </w:rPr>
        <w:footnoteReference w:id="121"/>
      </w:r>
      <w:r w:rsidRPr="00B53FFB">
        <w:rPr>
          <w:sz w:val="22"/>
          <w:szCs w:val="22"/>
        </w:rPr>
        <w:t xml:space="preserve"> a telecommunications service provider in Latin America and </w:t>
      </w:r>
      <w:r w:rsidRPr="00B53FFB">
        <w:rPr>
          <w:sz w:val="22"/>
          <w:szCs w:val="22"/>
        </w:rPr>
        <w:lastRenderedPageBreak/>
        <w:t>Puerto Rico, and offers mobile wireless services through agreements with various service providers in the United States, including AT&amp;T, T-Mobile, Sprint-Nextel, and Verizon Wireless.</w:t>
      </w:r>
      <w:r w:rsidRPr="00B53FFB">
        <w:rPr>
          <w:rStyle w:val="FootnoteReference"/>
          <w:szCs w:val="22"/>
        </w:rPr>
        <w:footnoteReference w:id="122"/>
      </w:r>
      <w:r w:rsidRPr="00B53FFB">
        <w:rPr>
          <w:sz w:val="22"/>
          <w:szCs w:val="22"/>
        </w:rPr>
        <w:t xml:space="preserve">  Tracfone targets the prepaid customer segment as well as low-usage customers whom other prepaid service providers are reluctant to target because the ARPU they generate is so low.</w:t>
      </w:r>
      <w:r w:rsidRPr="00B53FFB">
        <w:rPr>
          <w:rStyle w:val="FootnoteReference"/>
          <w:szCs w:val="22"/>
        </w:rPr>
        <w:footnoteReference w:id="123"/>
      </w:r>
      <w:r w:rsidRPr="00B53FFB">
        <w:rPr>
          <w:sz w:val="22"/>
          <w:szCs w:val="22"/>
        </w:rPr>
        <w:t xml:space="preserve">  </w:t>
      </w:r>
    </w:p>
    <w:p w:rsidR="004A147C" w:rsidRPr="00B53FFB" w:rsidRDefault="004A147C" w:rsidP="00CE5850">
      <w:pPr>
        <w:pStyle w:val="ParaNum"/>
        <w:numPr>
          <w:ilvl w:val="0"/>
          <w:numId w:val="28"/>
        </w:numPr>
        <w:tabs>
          <w:tab w:val="num" w:pos="1440"/>
        </w:tabs>
        <w:rPr>
          <w:sz w:val="22"/>
          <w:szCs w:val="22"/>
        </w:rPr>
      </w:pPr>
      <w:r w:rsidRPr="00B53FFB">
        <w:rPr>
          <w:sz w:val="22"/>
          <w:szCs w:val="22"/>
        </w:rPr>
        <w:t xml:space="preserve">MVNOs engage in some price rivalry and some forms of non-price rivalry.  </w:t>
      </w:r>
      <w:r w:rsidRPr="00B53FFB">
        <w:rPr>
          <w:sz w:val="22"/>
          <w:szCs w:val="22"/>
          <w:lang w:bidi="he-IL"/>
        </w:rPr>
        <w:t>The strategic partnerships between MVNOs and facilities-based providers increase competition and consumer welfare by providing service to various market segments using the capacity of the hosting facilities-based provider and the marketing strategy and distribution network of the MVNO.</w:t>
      </w:r>
      <w:r w:rsidRPr="00B53FFB">
        <w:rPr>
          <w:rStyle w:val="FootnoteReference"/>
          <w:szCs w:val="22"/>
          <w:lang w:bidi="he-IL"/>
        </w:rPr>
        <w:footnoteReference w:id="124"/>
      </w:r>
      <w:r w:rsidRPr="00B53FFB">
        <w:rPr>
          <w:sz w:val="22"/>
          <w:szCs w:val="22"/>
          <w:lang w:bidi="he-IL"/>
        </w:rPr>
        <w:t xml:space="preserve">  Some facilities-based providers, especially those that specialize in pre-paid plans, state that they compete with MVNOs, including TracFone.</w:t>
      </w:r>
      <w:r w:rsidRPr="00B53FFB">
        <w:rPr>
          <w:rStyle w:val="FootnoteReference"/>
          <w:szCs w:val="22"/>
          <w:lang w:bidi="he-IL"/>
        </w:rPr>
        <w:footnoteReference w:id="125"/>
      </w:r>
      <w:r w:rsidRPr="00B53FFB">
        <w:rPr>
          <w:sz w:val="22"/>
          <w:szCs w:val="22"/>
          <w:lang w:bidi="he-IL"/>
        </w:rPr>
        <w:t xml:space="preserve">  Furthermore, TracFone makes wholesale agreements with multiple nationwide providers, which may increase the competition between nationwide providers for TracFone’s wholesale customers.</w:t>
      </w:r>
      <w:r w:rsidRPr="00B53FFB">
        <w:rPr>
          <w:rStyle w:val="FootnoteReference"/>
          <w:szCs w:val="22"/>
          <w:lang w:bidi="he-IL"/>
        </w:rPr>
        <w:footnoteReference w:id="126"/>
      </w:r>
      <w:r w:rsidRPr="00B53FFB">
        <w:rPr>
          <w:sz w:val="22"/>
          <w:szCs w:val="22"/>
          <w:lang w:bidi="he-IL"/>
        </w:rPr>
        <w:t xml:space="preserve">  </w:t>
      </w:r>
    </w:p>
    <w:p w:rsidR="004A147C" w:rsidRPr="00B53FFB" w:rsidRDefault="004A147C" w:rsidP="00CE5850">
      <w:pPr>
        <w:pStyle w:val="ParaNum"/>
        <w:numPr>
          <w:ilvl w:val="0"/>
          <w:numId w:val="28"/>
        </w:numPr>
        <w:tabs>
          <w:tab w:val="num" w:pos="1440"/>
        </w:tabs>
        <w:rPr>
          <w:sz w:val="22"/>
          <w:szCs w:val="22"/>
        </w:rPr>
      </w:pPr>
      <w:r w:rsidRPr="00B53FFB">
        <w:rPr>
          <w:sz w:val="22"/>
          <w:szCs w:val="22"/>
          <w:lang w:bidi="he-IL"/>
        </w:rPr>
        <w:t xml:space="preserve">Unlike facilities-based providers, MVNOs do not engage in the full range of non-price rivalry such as creating capacity through network investments, network upgrades, or network coverage.  As discussed above, </w:t>
      </w:r>
      <w:r>
        <w:rPr>
          <w:sz w:val="22"/>
          <w:szCs w:val="22"/>
          <w:lang w:bidi="he-IL"/>
        </w:rPr>
        <w:t xml:space="preserve">many </w:t>
      </w:r>
      <w:r w:rsidRPr="00B53FFB">
        <w:rPr>
          <w:sz w:val="22"/>
          <w:szCs w:val="22"/>
          <w:lang w:bidi="he-IL"/>
        </w:rPr>
        <w:t>nationwide providers, in their public financial reports, attribute MVNO subscribers to themselves.  Industry analyst reports state that service providers use strategic partnerships with TracFone, for example, to compete with each other for customers.</w:t>
      </w:r>
      <w:r w:rsidRPr="00B53FFB">
        <w:rPr>
          <w:rStyle w:val="FootnoteReference"/>
          <w:szCs w:val="22"/>
          <w:lang w:bidi="he-IL"/>
        </w:rPr>
        <w:footnoteReference w:id="127"/>
      </w:r>
      <w:r w:rsidRPr="00B53FFB">
        <w:rPr>
          <w:sz w:val="22"/>
          <w:szCs w:val="22"/>
          <w:lang w:bidi="he-IL"/>
        </w:rPr>
        <w:t xml:space="preserve">  Hence, while MVNOs compete for retail customers with some facilities-based providers, facilities-based providers compete with each other for wholesale customers.  Following widespread industry practices, the Commission generally attributes the subscribers of MVNOs to their host facilities-based providers, including when it calculates market concentration metrics</w:t>
      </w:r>
      <w:r w:rsidRPr="00B53FFB">
        <w:rPr>
          <w:sz w:val="22"/>
          <w:szCs w:val="22"/>
        </w:rPr>
        <w:t>.</w:t>
      </w:r>
      <w:r w:rsidRPr="00B53FFB">
        <w:rPr>
          <w:rStyle w:val="FootnoteReference"/>
          <w:szCs w:val="22"/>
        </w:rPr>
        <w:footnoteReference w:id="128"/>
      </w:r>
      <w:r w:rsidRPr="00B53FFB">
        <w:rPr>
          <w:sz w:val="22"/>
          <w:szCs w:val="22"/>
        </w:rPr>
        <w:t xml:space="preserve">  </w:t>
      </w:r>
    </w:p>
    <w:p w:rsidR="004A147C" w:rsidRPr="00B53FFB" w:rsidRDefault="004A147C" w:rsidP="00CE5850">
      <w:pPr>
        <w:pStyle w:val="Heading3"/>
        <w:keepNext w:val="0"/>
        <w:numPr>
          <w:ilvl w:val="2"/>
          <w:numId w:val="26"/>
        </w:numPr>
        <w:tabs>
          <w:tab w:val="left" w:pos="2160"/>
        </w:tabs>
        <w:rPr>
          <w:sz w:val="22"/>
          <w:szCs w:val="22"/>
        </w:rPr>
      </w:pPr>
      <w:bookmarkStart w:id="811" w:name="_Toc261610758"/>
      <w:bookmarkStart w:id="812" w:name="_Toc261858491"/>
      <w:bookmarkStart w:id="813" w:name="_Toc262034296"/>
      <w:bookmarkStart w:id="814" w:name="_Toc262034399"/>
      <w:bookmarkStart w:id="815" w:name="_Toc271288438"/>
      <w:bookmarkStart w:id="816" w:name="_Toc275517955"/>
      <w:bookmarkStart w:id="817" w:name="_Toc275952395"/>
      <w:bookmarkStart w:id="818" w:name="_Toc276121827"/>
      <w:bookmarkStart w:id="819" w:name="_Toc276480664"/>
      <w:bookmarkStart w:id="820" w:name="_Toc276741741"/>
      <w:bookmarkStart w:id="821" w:name="_Toc277171505"/>
      <w:bookmarkStart w:id="822" w:name="_Toc277864480"/>
      <w:bookmarkStart w:id="823" w:name="_Toc277864696"/>
      <w:bookmarkStart w:id="824" w:name="_Toc285810377"/>
      <w:bookmarkStart w:id="825" w:name="_Toc287257771"/>
      <w:bookmarkStart w:id="826" w:name="_Toc291758650"/>
      <w:bookmarkStart w:id="827" w:name="_Toc291758753"/>
      <w:bookmarkStart w:id="828" w:name="_Toc295392933"/>
      <w:bookmarkStart w:id="829" w:name="_Toc329262482"/>
      <w:bookmarkStart w:id="830" w:name="_Toc329852385"/>
      <w:bookmarkStart w:id="831" w:name="_Toc331766301"/>
      <w:bookmarkStart w:id="832" w:name="_Toc332119097"/>
      <w:bookmarkStart w:id="833" w:name="_Toc334088779"/>
      <w:bookmarkStart w:id="834" w:name="_Toc334089015"/>
      <w:bookmarkStart w:id="835" w:name="_Toc334089174"/>
      <w:bookmarkStart w:id="836" w:name="_Toc334089285"/>
      <w:bookmarkStart w:id="837" w:name="_Toc334089449"/>
      <w:bookmarkStart w:id="838" w:name="_Toc335839022"/>
      <w:bookmarkStart w:id="839" w:name="_Toc336268585"/>
      <w:bookmarkStart w:id="840" w:name="_Toc336268693"/>
      <w:bookmarkStart w:id="841" w:name="_Toc336268800"/>
      <w:bookmarkStart w:id="842" w:name="_Toc336269014"/>
      <w:bookmarkStart w:id="843" w:name="_Toc336269121"/>
      <w:bookmarkStart w:id="844" w:name="_Toc336269489"/>
      <w:bookmarkStart w:id="845" w:name="_Toc336269635"/>
      <w:bookmarkStart w:id="846" w:name="_Toc336270048"/>
      <w:bookmarkStart w:id="847" w:name="_Toc336271254"/>
      <w:bookmarkStart w:id="848" w:name="_Toc337651947"/>
      <w:bookmarkStart w:id="849" w:name="_Toc349577135"/>
      <w:bookmarkStart w:id="850" w:name="_Toc349579227"/>
      <w:bookmarkStart w:id="851" w:name="_Toc349580542"/>
      <w:bookmarkStart w:id="852" w:name="_Toc349734950"/>
      <w:bookmarkStart w:id="853" w:name="_Toc349742315"/>
      <w:bookmarkStart w:id="854" w:name="_Toc252806163"/>
      <w:r w:rsidRPr="00B53FFB">
        <w:rPr>
          <w:sz w:val="22"/>
          <w:szCs w:val="22"/>
        </w:rPr>
        <w:t>Narrowband Data Providers</w:t>
      </w:r>
      <w:bookmarkEnd w:id="811"/>
      <w:bookmarkEnd w:id="812"/>
      <w:bookmarkEnd w:id="813"/>
      <w:bookmarkEnd w:id="814"/>
      <w:bookmarkEnd w:id="815"/>
      <w:bookmarkEnd w:id="816"/>
      <w:bookmarkEnd w:id="817"/>
      <w:bookmarkEnd w:id="818"/>
      <w:bookmarkEnd w:id="819"/>
      <w:bookmarkEnd w:id="820"/>
      <w:bookmarkEnd w:id="821"/>
      <w:bookmarkEnd w:id="822"/>
      <w:bookmarkEnd w:id="823"/>
      <w:bookmarkEnd w:id="824"/>
      <w:bookmarkEnd w:id="825"/>
      <w:bookmarkEnd w:id="826"/>
      <w:bookmarkEnd w:id="827"/>
      <w:bookmarkEnd w:id="828"/>
      <w:bookmarkEnd w:id="829"/>
      <w:bookmarkEnd w:id="830"/>
      <w:bookmarkEnd w:id="831"/>
      <w:bookmarkEnd w:id="832"/>
      <w:bookmarkEnd w:id="833"/>
      <w:bookmarkEnd w:id="834"/>
      <w:bookmarkEnd w:id="835"/>
      <w:bookmarkEnd w:id="836"/>
      <w:bookmarkEnd w:id="837"/>
      <w:bookmarkEnd w:id="838"/>
      <w:bookmarkEnd w:id="839"/>
      <w:bookmarkEnd w:id="840"/>
      <w:bookmarkEnd w:id="841"/>
      <w:bookmarkEnd w:id="842"/>
      <w:bookmarkEnd w:id="843"/>
      <w:bookmarkEnd w:id="844"/>
      <w:bookmarkEnd w:id="845"/>
      <w:bookmarkEnd w:id="846"/>
      <w:bookmarkEnd w:id="847"/>
      <w:bookmarkEnd w:id="848"/>
      <w:bookmarkEnd w:id="849"/>
      <w:bookmarkEnd w:id="850"/>
      <w:bookmarkEnd w:id="851"/>
      <w:bookmarkEnd w:id="852"/>
      <w:bookmarkEnd w:id="853"/>
      <w:r w:rsidRPr="00B53FFB">
        <w:rPr>
          <w:sz w:val="22"/>
          <w:szCs w:val="22"/>
        </w:rPr>
        <w:t xml:space="preserve"> </w:t>
      </w:r>
    </w:p>
    <w:p w:rsidR="004A147C" w:rsidRPr="00B53FFB" w:rsidRDefault="004A147C" w:rsidP="00CE5850">
      <w:pPr>
        <w:pStyle w:val="ParaNum"/>
        <w:numPr>
          <w:ilvl w:val="0"/>
          <w:numId w:val="28"/>
        </w:numPr>
        <w:tabs>
          <w:tab w:val="num" w:pos="1440"/>
        </w:tabs>
        <w:rPr>
          <w:sz w:val="22"/>
          <w:szCs w:val="22"/>
        </w:rPr>
      </w:pPr>
      <w:r w:rsidRPr="00B53FFB">
        <w:rPr>
          <w:sz w:val="22"/>
          <w:szCs w:val="22"/>
        </w:rPr>
        <w:t xml:space="preserve">Narrowband data and paging services comprise a specialized market segment of the mobile wireless industry.  These services include two-way messaging, as well as machine-to-machine and other telemetry communications, and are consumed primarily by businesses, government users, and other institutions.  According to Commission licensing databases, there is approximately seven megahertz of </w:t>
      </w:r>
      <w:r w:rsidRPr="00B53FFB">
        <w:rPr>
          <w:sz w:val="22"/>
          <w:szCs w:val="22"/>
        </w:rPr>
        <w:lastRenderedPageBreak/>
        <w:t>spectrum allocated to narrowband and paging services, and there are hundreds of licensees for these services.  Licensees include citizens, firms, and local and state governments.  For instance, USA Mobility provides paging and two-way messaging products to the business, government, and health care sectors.</w:t>
      </w:r>
      <w:r w:rsidRPr="00B53FFB">
        <w:rPr>
          <w:rStyle w:val="FootnoteReference"/>
          <w:szCs w:val="22"/>
        </w:rPr>
        <w:footnoteReference w:id="129"/>
      </w:r>
      <w:r w:rsidRPr="00B53FFB">
        <w:rPr>
          <w:sz w:val="22"/>
          <w:szCs w:val="22"/>
        </w:rPr>
        <w:t xml:space="preserve">  USA Mobility states that, due to competition from mobile wireless service providers (using Cellular and Broadband PCS spectrum), they expect demand for their messaging services to continue to decline.</w:t>
      </w:r>
      <w:r w:rsidRPr="00B53FFB">
        <w:rPr>
          <w:rStyle w:val="FootnoteReference"/>
          <w:szCs w:val="22"/>
        </w:rPr>
        <w:footnoteReference w:id="130"/>
      </w:r>
      <w:r w:rsidRPr="00B53FFB">
        <w:rPr>
          <w:sz w:val="22"/>
          <w:szCs w:val="22"/>
        </w:rPr>
        <w:t xml:space="preserve">  Another narrowband provider, Space Data Corp., provides commercial telemetry services across the south-central United States to energy, utility, and transportation companies.</w:t>
      </w:r>
      <w:r w:rsidRPr="00B53FFB">
        <w:rPr>
          <w:rStyle w:val="FootnoteReference"/>
          <w:szCs w:val="22"/>
        </w:rPr>
        <w:footnoteReference w:id="131"/>
      </w:r>
      <w:r w:rsidRPr="00B53FFB">
        <w:rPr>
          <w:sz w:val="22"/>
          <w:szCs w:val="22"/>
        </w:rPr>
        <w:t xml:space="preserve">  SkyTel offers machine-to-machine services including tracking services, automated reading of utility meters, power grid communication services, wireless security services, and point of sale communication services.</w:t>
      </w:r>
      <w:r w:rsidRPr="00B53FFB">
        <w:rPr>
          <w:rStyle w:val="FootnoteReference"/>
          <w:szCs w:val="22"/>
        </w:rPr>
        <w:footnoteReference w:id="132"/>
      </w:r>
    </w:p>
    <w:p w:rsidR="004A147C" w:rsidRPr="00B53FFB" w:rsidRDefault="004A147C" w:rsidP="00CE5850">
      <w:pPr>
        <w:pStyle w:val="Heading3"/>
        <w:keepNext w:val="0"/>
        <w:numPr>
          <w:ilvl w:val="2"/>
          <w:numId w:val="26"/>
        </w:numPr>
        <w:tabs>
          <w:tab w:val="left" w:pos="2160"/>
        </w:tabs>
        <w:rPr>
          <w:sz w:val="22"/>
          <w:szCs w:val="22"/>
        </w:rPr>
      </w:pPr>
      <w:bookmarkStart w:id="855" w:name="_Ref261525392"/>
      <w:bookmarkStart w:id="856" w:name="_Ref261525395"/>
      <w:bookmarkStart w:id="857" w:name="_Toc261610759"/>
      <w:bookmarkStart w:id="858" w:name="_Toc261858492"/>
      <w:bookmarkStart w:id="859" w:name="_Toc262034297"/>
      <w:bookmarkStart w:id="860" w:name="_Toc262034400"/>
      <w:bookmarkStart w:id="861" w:name="_Toc271288439"/>
      <w:bookmarkStart w:id="862" w:name="_Toc275517956"/>
      <w:bookmarkStart w:id="863" w:name="_Toc275952396"/>
      <w:bookmarkStart w:id="864" w:name="_Toc276121828"/>
      <w:bookmarkStart w:id="865" w:name="_Toc276480665"/>
      <w:bookmarkStart w:id="866" w:name="_Toc276741742"/>
      <w:bookmarkStart w:id="867" w:name="_Toc277171506"/>
      <w:bookmarkStart w:id="868" w:name="_Toc277864481"/>
      <w:bookmarkStart w:id="869" w:name="_Toc277864697"/>
      <w:bookmarkStart w:id="870" w:name="_Toc285810378"/>
      <w:bookmarkStart w:id="871" w:name="_Toc287257772"/>
      <w:bookmarkStart w:id="872" w:name="_Toc291758651"/>
      <w:bookmarkStart w:id="873" w:name="_Toc291758754"/>
      <w:bookmarkStart w:id="874" w:name="_Toc295392934"/>
      <w:bookmarkStart w:id="875" w:name="_Toc329262483"/>
      <w:bookmarkStart w:id="876" w:name="_Toc329852386"/>
      <w:bookmarkStart w:id="877" w:name="_Toc331766302"/>
      <w:bookmarkStart w:id="878" w:name="_Toc332119098"/>
      <w:bookmarkStart w:id="879" w:name="_Toc334088780"/>
      <w:bookmarkStart w:id="880" w:name="_Toc334089016"/>
      <w:bookmarkStart w:id="881" w:name="_Toc334089175"/>
      <w:bookmarkStart w:id="882" w:name="_Toc334089286"/>
      <w:bookmarkStart w:id="883" w:name="_Toc334089450"/>
      <w:bookmarkStart w:id="884" w:name="_Toc335839023"/>
      <w:bookmarkStart w:id="885" w:name="_Toc336268586"/>
      <w:bookmarkStart w:id="886" w:name="_Toc336268694"/>
      <w:bookmarkStart w:id="887" w:name="_Toc336268801"/>
      <w:bookmarkStart w:id="888" w:name="_Toc336269015"/>
      <w:bookmarkStart w:id="889" w:name="_Toc336269122"/>
      <w:bookmarkStart w:id="890" w:name="_Toc336269490"/>
      <w:bookmarkStart w:id="891" w:name="_Toc336269636"/>
      <w:bookmarkStart w:id="892" w:name="_Toc336270049"/>
      <w:bookmarkStart w:id="893" w:name="_Toc336271255"/>
      <w:bookmarkStart w:id="894" w:name="_Toc337651948"/>
      <w:bookmarkStart w:id="895" w:name="_Toc349577136"/>
      <w:bookmarkStart w:id="896" w:name="_Toc349579228"/>
      <w:bookmarkStart w:id="897" w:name="_Toc349580543"/>
      <w:bookmarkStart w:id="898" w:name="_Toc349734951"/>
      <w:bookmarkStart w:id="899" w:name="_Toc349742316"/>
      <w:r w:rsidRPr="00B53FFB">
        <w:rPr>
          <w:sz w:val="22"/>
          <w:szCs w:val="22"/>
        </w:rPr>
        <w:t>Mobile Satellite Service</w:t>
      </w:r>
      <w:bookmarkEnd w:id="854"/>
      <w:r w:rsidRPr="00B53FFB">
        <w:rPr>
          <w:sz w:val="22"/>
          <w:szCs w:val="22"/>
        </w:rPr>
        <w:t xml:space="preserve"> Providers</w:t>
      </w:r>
      <w:bookmarkEnd w:id="855"/>
      <w:bookmarkEnd w:id="856"/>
      <w:bookmarkEnd w:id="857"/>
      <w:bookmarkEnd w:id="858"/>
      <w:bookmarkEnd w:id="859"/>
      <w:bookmarkEnd w:id="860"/>
      <w:bookmarkEnd w:id="861"/>
      <w:bookmarkEnd w:id="862"/>
      <w:bookmarkEnd w:id="863"/>
      <w:bookmarkEnd w:id="864"/>
      <w:bookmarkEnd w:id="865"/>
      <w:bookmarkEnd w:id="866"/>
      <w:bookmarkEnd w:id="867"/>
      <w:bookmarkEnd w:id="868"/>
      <w:bookmarkEnd w:id="869"/>
      <w:bookmarkEnd w:id="870"/>
      <w:bookmarkEnd w:id="871"/>
      <w:bookmarkEnd w:id="872"/>
      <w:bookmarkEnd w:id="873"/>
      <w:bookmarkEnd w:id="874"/>
      <w:bookmarkEnd w:id="875"/>
      <w:bookmarkEnd w:id="876"/>
      <w:bookmarkEnd w:id="877"/>
      <w:bookmarkEnd w:id="878"/>
      <w:bookmarkEnd w:id="879"/>
      <w:bookmarkEnd w:id="880"/>
      <w:bookmarkEnd w:id="881"/>
      <w:bookmarkEnd w:id="882"/>
      <w:bookmarkEnd w:id="883"/>
      <w:bookmarkEnd w:id="884"/>
      <w:bookmarkEnd w:id="885"/>
      <w:bookmarkEnd w:id="886"/>
      <w:bookmarkEnd w:id="887"/>
      <w:bookmarkEnd w:id="888"/>
      <w:bookmarkEnd w:id="889"/>
      <w:bookmarkEnd w:id="890"/>
      <w:bookmarkEnd w:id="891"/>
      <w:bookmarkEnd w:id="892"/>
      <w:bookmarkEnd w:id="893"/>
      <w:bookmarkEnd w:id="894"/>
      <w:bookmarkEnd w:id="895"/>
      <w:bookmarkEnd w:id="896"/>
      <w:bookmarkEnd w:id="897"/>
      <w:bookmarkEnd w:id="898"/>
      <w:bookmarkEnd w:id="899"/>
    </w:p>
    <w:p w:rsidR="004A147C" w:rsidRDefault="004A147C" w:rsidP="00CE5850">
      <w:pPr>
        <w:pStyle w:val="ParaNum"/>
        <w:numPr>
          <w:ilvl w:val="0"/>
          <w:numId w:val="28"/>
        </w:numPr>
        <w:tabs>
          <w:tab w:val="num" w:pos="1440"/>
        </w:tabs>
        <w:rPr>
          <w:sz w:val="22"/>
          <w:szCs w:val="22"/>
        </w:rPr>
      </w:pPr>
      <w:r w:rsidRPr="00B53FFB">
        <w:rPr>
          <w:sz w:val="22"/>
          <w:szCs w:val="22"/>
        </w:rPr>
        <w:t xml:space="preserve">Mobile Satellite Services (MSS) providers </w:t>
      </w:r>
      <w:r w:rsidRPr="001402D3">
        <w:rPr>
          <w:sz w:val="22"/>
          <w:szCs w:val="22"/>
        </w:rPr>
        <w:t>offer satellite-based communications to mobile devices.  Traditionally, MSS has involved voice and narrowband data services.  MSS services are generally targeted at users requiring service in remote areas, in disaster response situations, or other places where terrestrial mobile wireless network access may be limited.</w:t>
      </w:r>
      <w:r>
        <w:rPr>
          <w:rStyle w:val="FootnoteReference"/>
          <w:szCs w:val="22"/>
        </w:rPr>
        <w:footnoteReference w:id="133"/>
      </w:r>
      <w:r w:rsidRPr="001402D3">
        <w:rPr>
          <w:sz w:val="22"/>
          <w:szCs w:val="22"/>
        </w:rPr>
        <w:t xml:space="preserve">  Examples of MSS customers include the oil industry, maritime users, public safety agencies, and other government/military operations.</w:t>
      </w:r>
      <w:r>
        <w:rPr>
          <w:rStyle w:val="FootnoteReference"/>
          <w:szCs w:val="22"/>
        </w:rPr>
        <w:footnoteReference w:id="134"/>
      </w:r>
    </w:p>
    <w:p w:rsidR="004A147C" w:rsidRDefault="004A147C" w:rsidP="00CE5850">
      <w:pPr>
        <w:pStyle w:val="ParaNum"/>
        <w:numPr>
          <w:ilvl w:val="0"/>
          <w:numId w:val="28"/>
        </w:numPr>
        <w:tabs>
          <w:tab w:val="num" w:pos="1440"/>
        </w:tabs>
        <w:rPr>
          <w:sz w:val="22"/>
          <w:szCs w:val="22"/>
        </w:rPr>
      </w:pPr>
      <w:r w:rsidRPr="001402D3">
        <w:rPr>
          <w:sz w:val="22"/>
          <w:szCs w:val="22"/>
        </w:rPr>
        <w:t xml:space="preserve">In the </w:t>
      </w:r>
      <w:r w:rsidRPr="00E2161D">
        <w:rPr>
          <w:i/>
          <w:sz w:val="22"/>
          <w:szCs w:val="22"/>
        </w:rPr>
        <w:t>Fifteenth Report</w:t>
      </w:r>
      <w:r w:rsidRPr="001402D3">
        <w:rPr>
          <w:sz w:val="22"/>
          <w:szCs w:val="22"/>
        </w:rPr>
        <w:t>, we noted that the mobile satellite service industry has been undergoing major technological and structural changes, shifting consumer demand and industry growth to broadband services.</w:t>
      </w:r>
      <w:r>
        <w:rPr>
          <w:rStyle w:val="FootnoteReference"/>
          <w:szCs w:val="22"/>
        </w:rPr>
        <w:footnoteReference w:id="135"/>
      </w:r>
      <w:r w:rsidRPr="001402D3">
        <w:rPr>
          <w:sz w:val="22"/>
          <w:szCs w:val="22"/>
        </w:rPr>
        <w:t xml:space="preserve">  In this regard, certain of the MSS licensees also have sought to augment their satellite services with terrestrial mobile services pursuant to Ancilla</w:t>
      </w:r>
      <w:r>
        <w:rPr>
          <w:sz w:val="22"/>
          <w:szCs w:val="22"/>
        </w:rPr>
        <w:t>ry Terrestrial Component (ATC) a</w:t>
      </w:r>
      <w:r w:rsidRPr="001402D3">
        <w:rPr>
          <w:sz w:val="22"/>
          <w:szCs w:val="22"/>
        </w:rPr>
        <w:t>uthority.    However, the path toward deployment of ATC services has been a slow process,</w:t>
      </w:r>
      <w:r>
        <w:rPr>
          <w:sz w:val="22"/>
          <w:szCs w:val="22"/>
        </w:rPr>
        <w:t xml:space="preserve"> </w:t>
      </w:r>
      <w:r w:rsidRPr="001402D3">
        <w:rPr>
          <w:sz w:val="22"/>
          <w:szCs w:val="22"/>
        </w:rPr>
        <w:t>and no such services are offered at this time.</w:t>
      </w:r>
      <w:r>
        <w:rPr>
          <w:rStyle w:val="FootnoteReference"/>
          <w:szCs w:val="22"/>
        </w:rPr>
        <w:footnoteReference w:id="136"/>
      </w:r>
      <w:r w:rsidRPr="001402D3">
        <w:rPr>
          <w:sz w:val="22"/>
          <w:szCs w:val="22"/>
        </w:rPr>
        <w:t xml:space="preserve">  In addition, as of November 2012, there remains little commercial use </w:t>
      </w:r>
      <w:r w:rsidRPr="001402D3">
        <w:rPr>
          <w:sz w:val="22"/>
          <w:szCs w:val="22"/>
        </w:rPr>
        <w:lastRenderedPageBreak/>
        <w:t>of the 2 GHz band spectrum for MSS service.</w:t>
      </w:r>
      <w:r>
        <w:rPr>
          <w:rStyle w:val="FootnoteReference"/>
          <w:szCs w:val="22"/>
        </w:rPr>
        <w:footnoteReference w:id="137"/>
      </w:r>
      <w:r>
        <w:rPr>
          <w:sz w:val="22"/>
          <w:szCs w:val="22"/>
        </w:rPr>
        <w:t xml:space="preserve">  </w:t>
      </w:r>
      <w:r w:rsidRPr="00760055">
        <w:rPr>
          <w:sz w:val="22"/>
          <w:szCs w:val="22"/>
        </w:rPr>
        <w:t xml:space="preserve">In the </w:t>
      </w:r>
      <w:r w:rsidRPr="00760055">
        <w:rPr>
          <w:i/>
          <w:sz w:val="22"/>
          <w:szCs w:val="22"/>
        </w:rPr>
        <w:t>AWS-4 NPRM</w:t>
      </w:r>
      <w:r w:rsidRPr="00760055">
        <w:rPr>
          <w:sz w:val="22"/>
          <w:szCs w:val="22"/>
        </w:rPr>
        <w:t>, the Commission proposed eliminating the ATC rules for the 2 GHz band.</w:t>
      </w:r>
      <w:r w:rsidRPr="00760055">
        <w:rPr>
          <w:sz w:val="22"/>
          <w:szCs w:val="22"/>
          <w:vertAlign w:val="superscript"/>
        </w:rPr>
        <w:footnoteReference w:id="138"/>
      </w:r>
      <w:r w:rsidRPr="00760055">
        <w:rPr>
          <w:sz w:val="22"/>
          <w:szCs w:val="22"/>
        </w:rPr>
        <w:t xml:space="preserve">  </w:t>
      </w:r>
      <w:r w:rsidRPr="00C4063B">
        <w:rPr>
          <w:sz w:val="22"/>
          <w:szCs w:val="22"/>
        </w:rPr>
        <w:t>In December of 2012, the Commission eliminated the ATC rules for the 2 GHz band, granted terrestrial authority to the existing MSS licensee, and established terrestrial service, technical, and licensing rules that generally follow the Commission’s Part 27 flexible use rules, modified as necessary to account for issues unique to the AWS-4 band.</w:t>
      </w:r>
      <w:r w:rsidRPr="00760055">
        <w:rPr>
          <w:sz w:val="22"/>
          <w:szCs w:val="22"/>
          <w:vertAlign w:val="superscript"/>
        </w:rPr>
        <w:footnoteReference w:id="139"/>
      </w:r>
    </w:p>
    <w:p w:rsidR="004A147C" w:rsidRPr="001402D3" w:rsidRDefault="004A147C" w:rsidP="00CE5850">
      <w:pPr>
        <w:pStyle w:val="ParaNum"/>
        <w:numPr>
          <w:ilvl w:val="0"/>
          <w:numId w:val="28"/>
        </w:numPr>
        <w:tabs>
          <w:tab w:val="num" w:pos="1440"/>
        </w:tabs>
        <w:rPr>
          <w:sz w:val="22"/>
          <w:szCs w:val="22"/>
        </w:rPr>
      </w:pPr>
      <w:r w:rsidRPr="001402D3">
        <w:rPr>
          <w:sz w:val="22"/>
          <w:szCs w:val="22"/>
        </w:rPr>
        <w:t>In response to the increasing demand for additional spectrum for wireless broadband services, the National Broadband Plan recommended that the Commission “accelerate terrestrial deployment in 90 megahertz” of spectrum allocated to MSS spectrum and proposed different approaches to expanding terrestrial services in different MSS bands.</w:t>
      </w:r>
      <w:r>
        <w:rPr>
          <w:rStyle w:val="FootnoteReference"/>
          <w:szCs w:val="22"/>
        </w:rPr>
        <w:footnoteReference w:id="140"/>
      </w:r>
      <w:r w:rsidRPr="001402D3">
        <w:rPr>
          <w:sz w:val="22"/>
          <w:szCs w:val="22"/>
        </w:rPr>
        <w:t xml:space="preserve"> For the 2 GHz MSS band, for example, the Plan recommended that the “FCC should add a primary ‘mobile’ (terrestrial) allocation to the S-Band, consistent with the international table of allocation, which will provide the option of flexibility to licensees to provide stand-alone terrestrial services using the spectrum.”</w:t>
      </w:r>
      <w:r>
        <w:rPr>
          <w:rStyle w:val="FootnoteReference"/>
          <w:szCs w:val="22"/>
        </w:rPr>
        <w:footnoteReference w:id="141"/>
      </w:r>
    </w:p>
    <w:p w:rsidR="004A147C" w:rsidRPr="00296FBE" w:rsidRDefault="004A147C" w:rsidP="00CE5850">
      <w:pPr>
        <w:pStyle w:val="ParaNum"/>
        <w:numPr>
          <w:ilvl w:val="0"/>
          <w:numId w:val="28"/>
        </w:numPr>
        <w:tabs>
          <w:tab w:val="num" w:pos="1440"/>
        </w:tabs>
        <w:rPr>
          <w:sz w:val="22"/>
          <w:szCs w:val="22"/>
        </w:rPr>
      </w:pPr>
      <w:r w:rsidRPr="001402D3">
        <w:rPr>
          <w:sz w:val="22"/>
          <w:szCs w:val="22"/>
        </w:rPr>
        <w:t xml:space="preserve">In the </w:t>
      </w:r>
      <w:r w:rsidRPr="00C91A4B">
        <w:rPr>
          <w:i/>
          <w:sz w:val="22"/>
          <w:szCs w:val="22"/>
        </w:rPr>
        <w:t>AWS-4 NPRM</w:t>
      </w:r>
      <w:r w:rsidRPr="001402D3">
        <w:rPr>
          <w:sz w:val="22"/>
          <w:szCs w:val="22"/>
        </w:rPr>
        <w:t>, the Commission proposed to free up 40 megahertz of 2 GHz MSS spectrum for mobile broadband service by removing regulatory barriers and providing for flexible use of MSS spectrum, thus carrying out the National Broadband Plan’s recommendation that the Commission enable the provision of stand-alone terrestrial services in this spectrum</w:t>
      </w:r>
      <w:r w:rsidRPr="00C91A4B">
        <w:rPr>
          <w:sz w:val="22"/>
          <w:szCs w:val="22"/>
        </w:rPr>
        <w:t xml:space="preserve">.  In December 2012, the Commission adopted the </w:t>
      </w:r>
      <w:r w:rsidRPr="00AB5250">
        <w:rPr>
          <w:i/>
          <w:sz w:val="22"/>
          <w:szCs w:val="22"/>
        </w:rPr>
        <w:t>AWS-4 Report and Order</w:t>
      </w:r>
      <w:r w:rsidR="005D2F04">
        <w:rPr>
          <w:i/>
          <w:sz w:val="22"/>
          <w:szCs w:val="22"/>
        </w:rPr>
        <w:t>,</w:t>
      </w:r>
      <w:r>
        <w:rPr>
          <w:sz w:val="22"/>
          <w:szCs w:val="22"/>
        </w:rPr>
        <w:t xml:space="preserve"> which </w:t>
      </w:r>
      <w:r w:rsidRPr="00B53FFB">
        <w:rPr>
          <w:sz w:val="22"/>
          <w:szCs w:val="22"/>
        </w:rPr>
        <w:t>provide</w:t>
      </w:r>
      <w:r>
        <w:rPr>
          <w:sz w:val="22"/>
          <w:szCs w:val="22"/>
        </w:rPr>
        <w:t>s</w:t>
      </w:r>
      <w:r w:rsidRPr="00B53FFB">
        <w:rPr>
          <w:sz w:val="22"/>
          <w:szCs w:val="22"/>
        </w:rPr>
        <w:t xml:space="preserve"> for flexible use of this spectru</w:t>
      </w:r>
      <w:r>
        <w:rPr>
          <w:sz w:val="22"/>
          <w:szCs w:val="22"/>
        </w:rPr>
        <w:t>m</w:t>
      </w:r>
      <w:r w:rsidRPr="00B53FFB">
        <w:rPr>
          <w:sz w:val="22"/>
          <w:szCs w:val="22"/>
        </w:rPr>
        <w:t xml:space="preserve"> to encourage innovation and investment in mobile broadband, and to provide a stable regulatory environment in which broadband deployment could develop.</w:t>
      </w:r>
      <w:r>
        <w:rPr>
          <w:rStyle w:val="FootnoteReference"/>
          <w:szCs w:val="22"/>
        </w:rPr>
        <w:footnoteReference w:id="142"/>
      </w:r>
      <w:r w:rsidRPr="00B53FFB">
        <w:rPr>
          <w:sz w:val="22"/>
          <w:szCs w:val="22"/>
        </w:rPr>
        <w:t xml:space="preserve">  Due to the unique characteristics of each band, the Commission intends to address its ATC rules for Big LEO and L-band MSS separately.</w:t>
      </w:r>
      <w:r>
        <w:rPr>
          <w:rStyle w:val="FootnoteReference"/>
          <w:szCs w:val="22"/>
        </w:rPr>
        <w:footnoteReference w:id="143"/>
      </w:r>
      <w:r w:rsidRPr="00B53FFB">
        <w:rPr>
          <w:sz w:val="22"/>
          <w:szCs w:val="22"/>
        </w:rPr>
        <w:t xml:space="preserve"> </w:t>
      </w:r>
    </w:p>
    <w:p w:rsidR="004A147C" w:rsidRPr="00D13D8E" w:rsidRDefault="004A147C" w:rsidP="00CE5850">
      <w:pPr>
        <w:pStyle w:val="Heading2"/>
        <w:keepNext w:val="0"/>
      </w:pPr>
      <w:bookmarkStart w:id="900" w:name="_Toc335839024"/>
      <w:bookmarkStart w:id="901" w:name="_Toc336268587"/>
      <w:bookmarkStart w:id="902" w:name="_Toc336268695"/>
      <w:bookmarkStart w:id="903" w:name="_Toc336268802"/>
      <w:bookmarkStart w:id="904" w:name="_Toc336269016"/>
      <w:bookmarkStart w:id="905" w:name="_Toc336269123"/>
      <w:bookmarkStart w:id="906" w:name="_Toc336269491"/>
      <w:bookmarkStart w:id="907" w:name="_Toc336269637"/>
      <w:bookmarkStart w:id="908" w:name="_Toc336270050"/>
      <w:bookmarkStart w:id="909" w:name="_Toc336271256"/>
      <w:bookmarkStart w:id="910" w:name="_Ref336274737"/>
      <w:bookmarkStart w:id="911" w:name="_Ref336274774"/>
      <w:bookmarkStart w:id="912" w:name="_Toc337651949"/>
      <w:bookmarkStart w:id="913" w:name="_Toc349577137"/>
      <w:bookmarkStart w:id="914" w:name="_Toc349579229"/>
      <w:bookmarkStart w:id="915" w:name="_Toc349580544"/>
      <w:bookmarkStart w:id="916" w:name="_Toc349734952"/>
      <w:bookmarkStart w:id="917" w:name="_Toc349742317"/>
      <w:r w:rsidRPr="00D13D8E">
        <w:t>Mobile Wireless Network Coverage</w:t>
      </w:r>
      <w:bookmarkEnd w:id="900"/>
      <w:bookmarkEnd w:id="901"/>
      <w:bookmarkEnd w:id="902"/>
      <w:bookmarkEnd w:id="903"/>
      <w:bookmarkEnd w:id="904"/>
      <w:bookmarkEnd w:id="905"/>
      <w:bookmarkEnd w:id="906"/>
      <w:bookmarkEnd w:id="907"/>
      <w:bookmarkEnd w:id="908"/>
      <w:bookmarkEnd w:id="909"/>
      <w:bookmarkEnd w:id="910"/>
      <w:bookmarkEnd w:id="911"/>
      <w:bookmarkEnd w:id="912"/>
      <w:bookmarkEnd w:id="913"/>
      <w:bookmarkEnd w:id="914"/>
      <w:bookmarkEnd w:id="915"/>
      <w:bookmarkEnd w:id="916"/>
      <w:bookmarkEnd w:id="917"/>
    </w:p>
    <w:p w:rsidR="004A147C" w:rsidRPr="00B53FFB" w:rsidRDefault="004A147C" w:rsidP="00CE5850">
      <w:pPr>
        <w:pStyle w:val="ParaNum"/>
        <w:numPr>
          <w:ilvl w:val="0"/>
          <w:numId w:val="28"/>
        </w:numPr>
        <w:tabs>
          <w:tab w:val="num" w:pos="1440"/>
        </w:tabs>
        <w:rPr>
          <w:sz w:val="22"/>
          <w:szCs w:val="22"/>
        </w:rPr>
      </w:pPr>
      <w:r w:rsidRPr="00296FBE">
        <w:rPr>
          <w:i/>
          <w:sz w:val="22"/>
          <w:szCs w:val="22"/>
        </w:rPr>
        <w:t>Network Coverage</w:t>
      </w:r>
      <w:r w:rsidRPr="00B53FFB">
        <w:rPr>
          <w:sz w:val="22"/>
          <w:szCs w:val="22"/>
        </w:rPr>
        <w:t>.  Our analysis of mobile wireless network coverage in this section is based on U.S. census blocks</w:t>
      </w:r>
      <w:r>
        <w:rPr>
          <w:rStyle w:val="FootnoteReference"/>
          <w:szCs w:val="22"/>
        </w:rPr>
        <w:footnoteReference w:id="144"/>
      </w:r>
      <w:r w:rsidRPr="00B53FFB">
        <w:rPr>
          <w:sz w:val="22"/>
          <w:szCs w:val="22"/>
        </w:rPr>
        <w:t xml:space="preserve"> overlaid on provider coverage maps provided to the Commission through </w:t>
      </w:r>
      <w:r w:rsidRPr="00B53FFB">
        <w:rPr>
          <w:sz w:val="22"/>
          <w:szCs w:val="22"/>
        </w:rPr>
        <w:lastRenderedPageBreak/>
        <w:t>a contract with Mosaik Solutions (formerly American Roamer), an independent consulting firm</w:t>
      </w:r>
      <w:r>
        <w:rPr>
          <w:rStyle w:val="FootnoteReference"/>
          <w:szCs w:val="22"/>
        </w:rPr>
        <w:footnoteReference w:id="145"/>
      </w:r>
      <w:r w:rsidRPr="00B53FFB">
        <w:rPr>
          <w:sz w:val="22"/>
          <w:szCs w:val="22"/>
        </w:rPr>
        <w:t xml:space="preserve"> that tracks coverage footprints of mobile voice and mobile data networks.</w:t>
      </w:r>
      <w:r>
        <w:rPr>
          <w:rStyle w:val="FootnoteReference"/>
          <w:szCs w:val="22"/>
        </w:rPr>
        <w:footnoteReference w:id="146"/>
      </w:r>
      <w:r w:rsidRPr="00B53FFB">
        <w:rPr>
          <w:sz w:val="22"/>
          <w:szCs w:val="22"/>
        </w:rPr>
        <w:t xml:space="preserve">  If the center point, or centroid, of a census block is within the coverage boundary of a map provided by Mosaik, then we consider the census block to be “covered” by that provider and/or technology.  We then aggregate the population and land area of the covered census blocks.  While recognizing that this analysis likely overstates the coverage experienced by consumers because of limitations in Mosaik data, we find that this analysis is useful because it provides a general baseline that can be compared over time across network technologies, and providers.  We present our analysis in terms of coverage by population, square miles, and road miles.</w:t>
      </w:r>
    </w:p>
    <w:p w:rsidR="004A147C" w:rsidRPr="00B53FFB" w:rsidRDefault="004A147C" w:rsidP="00CE5850">
      <w:pPr>
        <w:pStyle w:val="ParaNum"/>
        <w:numPr>
          <w:ilvl w:val="0"/>
          <w:numId w:val="28"/>
        </w:numPr>
        <w:tabs>
          <w:tab w:val="num" w:pos="1440"/>
        </w:tabs>
        <w:rPr>
          <w:sz w:val="22"/>
          <w:szCs w:val="22"/>
        </w:rPr>
      </w:pPr>
      <w:r w:rsidRPr="00B53FFB">
        <w:rPr>
          <w:sz w:val="22"/>
          <w:szCs w:val="22"/>
        </w:rPr>
        <w:t>We first present network coverage in terms of population covered by the mobile wireless networks of the top facilities-based providers.  Table 2 provides information on mobile wireless voice network coverage, and Table 3 provides information on mobile wireless broadband network coverage for the top facilities-based providers.  The term population coverage by a mobile wireless provider means only that a mobile wireless network has been deployed in areas where the Census Bureau records indicate that people reside.  A provider’s having network coverage in an area does not mean that a provider actually offers its service to residents in all of that area.</w:t>
      </w:r>
    </w:p>
    <w:p w:rsidR="004A147C" w:rsidRPr="00B53FFB" w:rsidRDefault="004A147C" w:rsidP="00CE5850">
      <w:pPr>
        <w:pStyle w:val="Caption"/>
        <w:widowControl w:val="0"/>
        <w:spacing w:before="0" w:after="0"/>
        <w:jc w:val="center"/>
        <w:rPr>
          <w:sz w:val="22"/>
          <w:szCs w:val="22"/>
        </w:rPr>
      </w:pPr>
      <w:bookmarkStart w:id="918" w:name="_Ref256592873"/>
      <w:bookmarkStart w:id="919" w:name="_Ref256086732"/>
      <w:r w:rsidRPr="00B53FFB">
        <w:rPr>
          <w:sz w:val="22"/>
          <w:szCs w:val="22"/>
        </w:rPr>
        <w:t xml:space="preserve">Table </w:t>
      </w:r>
      <w:r w:rsidR="0007014B" w:rsidRPr="00B53FFB">
        <w:rPr>
          <w:sz w:val="22"/>
          <w:szCs w:val="22"/>
        </w:rPr>
        <w:fldChar w:fldCharType="begin"/>
      </w:r>
      <w:r w:rsidRPr="00B53FFB">
        <w:rPr>
          <w:sz w:val="22"/>
          <w:szCs w:val="22"/>
        </w:rPr>
        <w:instrText xml:space="preserve"> SEQ Table \* ARABIC </w:instrText>
      </w:r>
      <w:r w:rsidR="0007014B" w:rsidRPr="00B53FFB">
        <w:rPr>
          <w:sz w:val="22"/>
          <w:szCs w:val="22"/>
        </w:rPr>
        <w:fldChar w:fldCharType="separate"/>
      </w:r>
      <w:r w:rsidR="00CA3AC6">
        <w:rPr>
          <w:noProof/>
          <w:sz w:val="22"/>
          <w:szCs w:val="22"/>
        </w:rPr>
        <w:t>2</w:t>
      </w:r>
      <w:r w:rsidR="0007014B" w:rsidRPr="00B53FFB">
        <w:rPr>
          <w:sz w:val="22"/>
          <w:szCs w:val="22"/>
        </w:rPr>
        <w:fldChar w:fldCharType="end"/>
      </w:r>
      <w:bookmarkEnd w:id="918"/>
      <w:r w:rsidRPr="00B53FFB">
        <w:rPr>
          <w:sz w:val="22"/>
          <w:szCs w:val="22"/>
        </w:rPr>
        <w:br/>
        <w:t xml:space="preserve">Estimated Mobile Wireless Network Coverage, Selected Facilities-Based Providers: </w:t>
      </w:r>
      <w:r w:rsidRPr="00B53FFB">
        <w:rPr>
          <w:i/>
          <w:sz w:val="22"/>
          <w:szCs w:val="22"/>
        </w:rPr>
        <w:t>Voice Networks</w:t>
      </w:r>
      <w:r w:rsidRPr="00B53FFB">
        <w:rPr>
          <w:sz w:val="22"/>
          <w:szCs w:val="22"/>
        </w:rPr>
        <w:t>,</w:t>
      </w:r>
    </w:p>
    <w:p w:rsidR="004A147C" w:rsidRPr="00B53FFB" w:rsidRDefault="004A147C" w:rsidP="00CE5850">
      <w:pPr>
        <w:pStyle w:val="Caption"/>
        <w:widowControl w:val="0"/>
        <w:spacing w:before="0"/>
        <w:jc w:val="center"/>
        <w:rPr>
          <w:sz w:val="22"/>
          <w:szCs w:val="22"/>
        </w:rPr>
      </w:pPr>
      <w:r w:rsidRPr="00B53FFB">
        <w:rPr>
          <w:sz w:val="22"/>
          <w:szCs w:val="22"/>
        </w:rPr>
        <w:t xml:space="preserve"> 2009-2012 (Covered POPs, in millions)</w:t>
      </w:r>
      <w:r w:rsidRPr="00B53FFB">
        <w:rPr>
          <w:rStyle w:val="FootnoteReference"/>
          <w:szCs w:val="22"/>
        </w:rPr>
        <w:t xml:space="preserve"> </w:t>
      </w:r>
      <w:r w:rsidRPr="00B53FFB">
        <w:rPr>
          <w:rStyle w:val="FootnoteReference"/>
          <w:b w:val="0"/>
          <w:szCs w:val="22"/>
        </w:rPr>
        <w:footnoteReference w:id="147"/>
      </w:r>
      <w:bookmarkEnd w:id="919"/>
      <w:r w:rsidRPr="00B53FFB">
        <w:rPr>
          <w:sz w:val="22"/>
          <w:szCs w:val="22"/>
        </w:rPr>
        <w:t xml:space="preserve"> </w:t>
      </w:r>
    </w:p>
    <w:tbl>
      <w:tblPr>
        <w:tblW w:w="0" w:type="auto"/>
        <w:jc w:val="center"/>
        <w:tblInd w:w="-22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786"/>
        <w:gridCol w:w="1109"/>
        <w:gridCol w:w="1109"/>
        <w:gridCol w:w="1145"/>
        <w:gridCol w:w="1109"/>
        <w:gridCol w:w="1109"/>
      </w:tblGrid>
      <w:tr w:rsidR="004A147C" w:rsidRPr="00B53FFB" w:rsidTr="00EB019C">
        <w:trPr>
          <w:jc w:val="center"/>
        </w:trPr>
        <w:tc>
          <w:tcPr>
            <w:tcW w:w="0" w:type="auto"/>
            <w:shd w:val="clear" w:color="auto" w:fill="F2DBDB"/>
          </w:tcPr>
          <w:p w:rsidR="004A147C" w:rsidRPr="00B53FFB" w:rsidRDefault="004A147C" w:rsidP="00CE5850">
            <w:pPr>
              <w:autoSpaceDE w:val="0"/>
              <w:autoSpaceDN w:val="0"/>
              <w:adjustRightInd w:val="0"/>
              <w:jc w:val="center"/>
              <w:rPr>
                <w:b/>
                <w:bCs/>
                <w:kern w:val="0"/>
                <w:szCs w:val="22"/>
              </w:rPr>
            </w:pPr>
            <w:r w:rsidRPr="00B53FFB">
              <w:rPr>
                <w:b/>
                <w:bCs/>
                <w:kern w:val="0"/>
                <w:szCs w:val="22"/>
              </w:rPr>
              <w:t>Service Provider</w:t>
            </w:r>
          </w:p>
        </w:tc>
        <w:tc>
          <w:tcPr>
            <w:tcW w:w="0" w:type="auto"/>
            <w:shd w:val="clear" w:color="auto" w:fill="F2DBDB"/>
          </w:tcPr>
          <w:p w:rsidR="004A147C" w:rsidRPr="00B53FFB" w:rsidRDefault="004A147C" w:rsidP="00CE5850">
            <w:pPr>
              <w:autoSpaceDE w:val="0"/>
              <w:autoSpaceDN w:val="0"/>
              <w:adjustRightInd w:val="0"/>
              <w:rPr>
                <w:b/>
                <w:bCs/>
                <w:kern w:val="0"/>
                <w:szCs w:val="22"/>
              </w:rPr>
            </w:pPr>
            <w:r w:rsidRPr="00B53FFB">
              <w:rPr>
                <w:b/>
                <w:bCs/>
                <w:kern w:val="0"/>
                <w:szCs w:val="22"/>
              </w:rPr>
              <w:t>Oct. 2009</w:t>
            </w:r>
          </w:p>
          <w:p w:rsidR="004A147C" w:rsidRPr="00B53FFB" w:rsidRDefault="004A147C" w:rsidP="00CE5850">
            <w:pPr>
              <w:autoSpaceDE w:val="0"/>
              <w:autoSpaceDN w:val="0"/>
              <w:adjustRightInd w:val="0"/>
              <w:jc w:val="center"/>
              <w:rPr>
                <w:b/>
                <w:bCs/>
                <w:kern w:val="0"/>
                <w:szCs w:val="22"/>
              </w:rPr>
            </w:pPr>
          </w:p>
        </w:tc>
        <w:tc>
          <w:tcPr>
            <w:tcW w:w="0" w:type="auto"/>
            <w:shd w:val="clear" w:color="auto" w:fill="F2DBDB"/>
          </w:tcPr>
          <w:p w:rsidR="004A147C" w:rsidRPr="00B53FFB" w:rsidRDefault="004A147C" w:rsidP="00CE5850">
            <w:pPr>
              <w:autoSpaceDE w:val="0"/>
              <w:autoSpaceDN w:val="0"/>
              <w:adjustRightInd w:val="0"/>
              <w:jc w:val="center"/>
              <w:rPr>
                <w:b/>
                <w:bCs/>
                <w:kern w:val="0"/>
                <w:szCs w:val="22"/>
              </w:rPr>
            </w:pPr>
            <w:r w:rsidRPr="00B53FFB">
              <w:rPr>
                <w:b/>
                <w:bCs/>
                <w:kern w:val="0"/>
                <w:szCs w:val="22"/>
              </w:rPr>
              <w:t>Oct. 2010</w:t>
            </w:r>
          </w:p>
          <w:p w:rsidR="004A147C" w:rsidRPr="00B53FFB" w:rsidRDefault="004A147C" w:rsidP="00CE5850">
            <w:pPr>
              <w:autoSpaceDE w:val="0"/>
              <w:autoSpaceDN w:val="0"/>
              <w:adjustRightInd w:val="0"/>
              <w:jc w:val="center"/>
              <w:rPr>
                <w:b/>
                <w:bCs/>
                <w:kern w:val="0"/>
                <w:szCs w:val="22"/>
              </w:rPr>
            </w:pPr>
          </w:p>
        </w:tc>
        <w:tc>
          <w:tcPr>
            <w:tcW w:w="0" w:type="auto"/>
            <w:shd w:val="clear" w:color="auto" w:fill="F2DBDB"/>
          </w:tcPr>
          <w:p w:rsidR="004A147C" w:rsidRPr="00B53FFB" w:rsidRDefault="004A147C" w:rsidP="00CE5850">
            <w:pPr>
              <w:autoSpaceDE w:val="0"/>
              <w:autoSpaceDN w:val="0"/>
              <w:adjustRightInd w:val="0"/>
              <w:jc w:val="center"/>
              <w:rPr>
                <w:b/>
                <w:bCs/>
                <w:kern w:val="0"/>
                <w:szCs w:val="22"/>
              </w:rPr>
            </w:pPr>
            <w:r w:rsidRPr="00B53FFB">
              <w:rPr>
                <w:b/>
                <w:bCs/>
                <w:kern w:val="0"/>
                <w:szCs w:val="22"/>
              </w:rPr>
              <w:t>Apr. 2011</w:t>
            </w:r>
          </w:p>
        </w:tc>
        <w:tc>
          <w:tcPr>
            <w:tcW w:w="0" w:type="auto"/>
            <w:shd w:val="clear" w:color="auto" w:fill="F2DBDB"/>
          </w:tcPr>
          <w:p w:rsidR="004A147C" w:rsidRPr="00B53FFB" w:rsidRDefault="004A147C" w:rsidP="00CE5850">
            <w:pPr>
              <w:autoSpaceDE w:val="0"/>
              <w:autoSpaceDN w:val="0"/>
              <w:adjustRightInd w:val="0"/>
              <w:jc w:val="center"/>
              <w:rPr>
                <w:b/>
                <w:bCs/>
                <w:kern w:val="0"/>
                <w:szCs w:val="22"/>
              </w:rPr>
            </w:pPr>
            <w:r w:rsidRPr="00B53FFB">
              <w:rPr>
                <w:b/>
                <w:bCs/>
                <w:kern w:val="0"/>
                <w:szCs w:val="22"/>
              </w:rPr>
              <w:t>Jan. 2012</w:t>
            </w:r>
          </w:p>
        </w:tc>
        <w:tc>
          <w:tcPr>
            <w:tcW w:w="0" w:type="auto"/>
            <w:shd w:val="clear" w:color="auto" w:fill="F2DBDB"/>
          </w:tcPr>
          <w:p w:rsidR="004A147C" w:rsidRPr="00B53FFB" w:rsidRDefault="004A147C" w:rsidP="00CE5850">
            <w:pPr>
              <w:autoSpaceDE w:val="0"/>
              <w:autoSpaceDN w:val="0"/>
              <w:adjustRightInd w:val="0"/>
              <w:jc w:val="center"/>
              <w:rPr>
                <w:b/>
                <w:bCs/>
                <w:kern w:val="0"/>
                <w:szCs w:val="22"/>
              </w:rPr>
            </w:pPr>
            <w:r>
              <w:rPr>
                <w:b/>
                <w:bCs/>
                <w:kern w:val="0"/>
                <w:szCs w:val="22"/>
              </w:rPr>
              <w:t>Oct. 2012</w:t>
            </w:r>
          </w:p>
        </w:tc>
      </w:tr>
      <w:tr w:rsidR="004A147C" w:rsidRPr="00B53FFB" w:rsidTr="00EB019C">
        <w:trPr>
          <w:jc w:val="center"/>
        </w:trPr>
        <w:tc>
          <w:tcPr>
            <w:tcW w:w="0" w:type="auto"/>
            <w:shd w:val="clear" w:color="auto" w:fill="F2DBDB"/>
          </w:tcPr>
          <w:p w:rsidR="004A147C" w:rsidRPr="00B53FFB" w:rsidRDefault="004A147C" w:rsidP="00CE5850">
            <w:pPr>
              <w:autoSpaceDE w:val="0"/>
              <w:autoSpaceDN w:val="0"/>
              <w:adjustRightInd w:val="0"/>
              <w:rPr>
                <w:kern w:val="0"/>
                <w:szCs w:val="22"/>
              </w:rPr>
            </w:pPr>
            <w:r w:rsidRPr="00B53FFB">
              <w:rPr>
                <w:kern w:val="0"/>
                <w:szCs w:val="22"/>
              </w:rPr>
              <w:t>AT&amp;T</w:t>
            </w:r>
          </w:p>
        </w:tc>
        <w:tc>
          <w:tcPr>
            <w:tcW w:w="0" w:type="auto"/>
            <w:shd w:val="clear" w:color="auto" w:fill="F2DBDB"/>
          </w:tcPr>
          <w:p w:rsidR="004A147C" w:rsidRPr="00B53FFB" w:rsidRDefault="004A147C" w:rsidP="00CE5850">
            <w:pPr>
              <w:autoSpaceDE w:val="0"/>
              <w:autoSpaceDN w:val="0"/>
              <w:adjustRightInd w:val="0"/>
              <w:jc w:val="right"/>
              <w:rPr>
                <w:kern w:val="0"/>
                <w:szCs w:val="22"/>
              </w:rPr>
            </w:pPr>
            <w:r w:rsidRPr="00B53FFB">
              <w:rPr>
                <w:kern w:val="0"/>
                <w:szCs w:val="22"/>
              </w:rPr>
              <w:t>262.8</w:t>
            </w:r>
          </w:p>
        </w:tc>
        <w:tc>
          <w:tcPr>
            <w:tcW w:w="0" w:type="auto"/>
            <w:shd w:val="clear" w:color="auto" w:fill="F2DBDB"/>
          </w:tcPr>
          <w:p w:rsidR="004A147C" w:rsidRPr="00B53FFB" w:rsidRDefault="004A147C" w:rsidP="00CE5850">
            <w:pPr>
              <w:autoSpaceDE w:val="0"/>
              <w:autoSpaceDN w:val="0"/>
              <w:adjustRightInd w:val="0"/>
              <w:jc w:val="right"/>
              <w:rPr>
                <w:kern w:val="0"/>
                <w:szCs w:val="22"/>
              </w:rPr>
            </w:pPr>
            <w:r w:rsidRPr="00B53FFB">
              <w:rPr>
                <w:kern w:val="0"/>
                <w:szCs w:val="22"/>
              </w:rPr>
              <w:t>281.9</w:t>
            </w:r>
          </w:p>
        </w:tc>
        <w:tc>
          <w:tcPr>
            <w:tcW w:w="0" w:type="auto"/>
            <w:shd w:val="clear" w:color="auto" w:fill="F2DBDB"/>
          </w:tcPr>
          <w:p w:rsidR="004A147C" w:rsidRPr="00B53FFB" w:rsidRDefault="004A147C" w:rsidP="00CE5850">
            <w:pPr>
              <w:autoSpaceDE w:val="0"/>
              <w:autoSpaceDN w:val="0"/>
              <w:adjustRightInd w:val="0"/>
              <w:jc w:val="right"/>
              <w:rPr>
                <w:kern w:val="0"/>
                <w:szCs w:val="22"/>
              </w:rPr>
            </w:pPr>
            <w:r w:rsidRPr="00B53FFB">
              <w:rPr>
                <w:kern w:val="0"/>
                <w:szCs w:val="22"/>
              </w:rPr>
              <w:t>306.3</w:t>
            </w:r>
          </w:p>
        </w:tc>
        <w:tc>
          <w:tcPr>
            <w:tcW w:w="0" w:type="auto"/>
            <w:shd w:val="clear" w:color="auto" w:fill="F2DBDB"/>
          </w:tcPr>
          <w:p w:rsidR="004A147C" w:rsidRPr="00B53FFB" w:rsidRDefault="004A147C" w:rsidP="00CE5850">
            <w:pPr>
              <w:autoSpaceDE w:val="0"/>
              <w:autoSpaceDN w:val="0"/>
              <w:adjustRightInd w:val="0"/>
              <w:jc w:val="right"/>
              <w:rPr>
                <w:kern w:val="0"/>
                <w:szCs w:val="22"/>
              </w:rPr>
            </w:pPr>
            <w:r w:rsidRPr="00B53FFB">
              <w:rPr>
                <w:kern w:val="0"/>
                <w:szCs w:val="22"/>
              </w:rPr>
              <w:t>306.6</w:t>
            </w:r>
          </w:p>
        </w:tc>
        <w:tc>
          <w:tcPr>
            <w:tcW w:w="0" w:type="auto"/>
            <w:shd w:val="clear" w:color="auto" w:fill="F2DBDB"/>
          </w:tcPr>
          <w:p w:rsidR="004A147C" w:rsidRPr="0057271C" w:rsidRDefault="004A147C" w:rsidP="00CE5850">
            <w:pPr>
              <w:jc w:val="right"/>
            </w:pPr>
            <w:r w:rsidRPr="0057271C">
              <w:t>307.2</w:t>
            </w:r>
          </w:p>
        </w:tc>
      </w:tr>
      <w:tr w:rsidR="004A147C" w:rsidRPr="00B53FFB" w:rsidTr="00EB019C">
        <w:trPr>
          <w:jc w:val="center"/>
        </w:trPr>
        <w:tc>
          <w:tcPr>
            <w:tcW w:w="0" w:type="auto"/>
            <w:shd w:val="clear" w:color="auto" w:fill="F2DBDB"/>
          </w:tcPr>
          <w:p w:rsidR="004A147C" w:rsidRPr="00B53FFB" w:rsidRDefault="004A147C" w:rsidP="00CE5850">
            <w:pPr>
              <w:autoSpaceDE w:val="0"/>
              <w:autoSpaceDN w:val="0"/>
              <w:adjustRightInd w:val="0"/>
              <w:rPr>
                <w:kern w:val="0"/>
                <w:szCs w:val="22"/>
              </w:rPr>
            </w:pPr>
            <w:r w:rsidRPr="00B53FFB">
              <w:rPr>
                <w:kern w:val="0"/>
                <w:szCs w:val="22"/>
              </w:rPr>
              <w:t>Verizon Wireless</w:t>
            </w:r>
          </w:p>
        </w:tc>
        <w:tc>
          <w:tcPr>
            <w:tcW w:w="0" w:type="auto"/>
            <w:shd w:val="clear" w:color="auto" w:fill="F2DBDB"/>
          </w:tcPr>
          <w:p w:rsidR="004A147C" w:rsidRPr="00B53FFB" w:rsidRDefault="004A147C" w:rsidP="00CE5850">
            <w:pPr>
              <w:autoSpaceDE w:val="0"/>
              <w:autoSpaceDN w:val="0"/>
              <w:adjustRightInd w:val="0"/>
              <w:jc w:val="right"/>
              <w:rPr>
                <w:kern w:val="0"/>
                <w:szCs w:val="22"/>
              </w:rPr>
            </w:pPr>
            <w:r w:rsidRPr="00B53FFB">
              <w:rPr>
                <w:kern w:val="0"/>
                <w:szCs w:val="22"/>
              </w:rPr>
              <w:t>270.5</w:t>
            </w:r>
          </w:p>
        </w:tc>
        <w:tc>
          <w:tcPr>
            <w:tcW w:w="0" w:type="auto"/>
            <w:shd w:val="clear" w:color="auto" w:fill="F2DBDB"/>
          </w:tcPr>
          <w:p w:rsidR="004A147C" w:rsidRPr="00B53FFB" w:rsidRDefault="004A147C" w:rsidP="00CE5850">
            <w:pPr>
              <w:autoSpaceDE w:val="0"/>
              <w:autoSpaceDN w:val="0"/>
              <w:adjustRightInd w:val="0"/>
              <w:jc w:val="right"/>
              <w:rPr>
                <w:kern w:val="0"/>
                <w:szCs w:val="22"/>
              </w:rPr>
            </w:pPr>
            <w:r w:rsidRPr="00B53FFB">
              <w:rPr>
                <w:kern w:val="0"/>
                <w:szCs w:val="22"/>
              </w:rPr>
              <w:t>284.9</w:t>
            </w:r>
          </w:p>
        </w:tc>
        <w:tc>
          <w:tcPr>
            <w:tcW w:w="0" w:type="auto"/>
            <w:shd w:val="clear" w:color="auto" w:fill="F2DBDB"/>
          </w:tcPr>
          <w:p w:rsidR="004A147C" w:rsidRPr="00B53FFB" w:rsidRDefault="004A147C" w:rsidP="00CE5850">
            <w:pPr>
              <w:autoSpaceDE w:val="0"/>
              <w:autoSpaceDN w:val="0"/>
              <w:adjustRightInd w:val="0"/>
              <w:jc w:val="right"/>
              <w:rPr>
                <w:kern w:val="0"/>
                <w:szCs w:val="22"/>
              </w:rPr>
            </w:pPr>
            <w:r w:rsidRPr="00B53FFB">
              <w:rPr>
                <w:kern w:val="0"/>
                <w:szCs w:val="22"/>
              </w:rPr>
              <w:t>299.5</w:t>
            </w:r>
          </w:p>
        </w:tc>
        <w:tc>
          <w:tcPr>
            <w:tcW w:w="0" w:type="auto"/>
            <w:shd w:val="clear" w:color="auto" w:fill="F2DBDB"/>
          </w:tcPr>
          <w:p w:rsidR="004A147C" w:rsidRPr="00B53FFB" w:rsidRDefault="004A147C" w:rsidP="00CE5850">
            <w:pPr>
              <w:autoSpaceDE w:val="0"/>
              <w:autoSpaceDN w:val="0"/>
              <w:adjustRightInd w:val="0"/>
              <w:jc w:val="right"/>
              <w:rPr>
                <w:kern w:val="0"/>
                <w:szCs w:val="22"/>
              </w:rPr>
            </w:pPr>
            <w:r w:rsidRPr="00B53FFB">
              <w:rPr>
                <w:kern w:val="0"/>
                <w:szCs w:val="22"/>
              </w:rPr>
              <w:t>299.5</w:t>
            </w:r>
          </w:p>
        </w:tc>
        <w:tc>
          <w:tcPr>
            <w:tcW w:w="0" w:type="auto"/>
            <w:shd w:val="clear" w:color="auto" w:fill="F2DBDB"/>
          </w:tcPr>
          <w:p w:rsidR="004A147C" w:rsidRPr="0057271C" w:rsidRDefault="004A147C" w:rsidP="00CE5850">
            <w:pPr>
              <w:jc w:val="right"/>
            </w:pPr>
            <w:r w:rsidRPr="0057271C">
              <w:t>300</w:t>
            </w:r>
            <w:r>
              <w:t>.0</w:t>
            </w:r>
          </w:p>
        </w:tc>
      </w:tr>
      <w:tr w:rsidR="004A147C" w:rsidRPr="00B53FFB" w:rsidTr="00EB019C">
        <w:trPr>
          <w:jc w:val="center"/>
        </w:trPr>
        <w:tc>
          <w:tcPr>
            <w:tcW w:w="0" w:type="auto"/>
            <w:shd w:val="clear" w:color="auto" w:fill="F2DBDB"/>
          </w:tcPr>
          <w:p w:rsidR="004A147C" w:rsidRPr="00B53FFB" w:rsidRDefault="004A147C" w:rsidP="00CE5850">
            <w:pPr>
              <w:autoSpaceDE w:val="0"/>
              <w:autoSpaceDN w:val="0"/>
              <w:adjustRightInd w:val="0"/>
              <w:rPr>
                <w:kern w:val="0"/>
                <w:szCs w:val="22"/>
              </w:rPr>
            </w:pPr>
            <w:r w:rsidRPr="00B53FFB">
              <w:rPr>
                <w:kern w:val="0"/>
                <w:szCs w:val="22"/>
              </w:rPr>
              <w:t>Sprint Nextel</w:t>
            </w:r>
          </w:p>
        </w:tc>
        <w:tc>
          <w:tcPr>
            <w:tcW w:w="0" w:type="auto"/>
            <w:shd w:val="clear" w:color="auto" w:fill="F2DBDB"/>
          </w:tcPr>
          <w:p w:rsidR="004A147C" w:rsidRPr="00B53FFB" w:rsidRDefault="004A147C" w:rsidP="00CE5850">
            <w:pPr>
              <w:autoSpaceDE w:val="0"/>
              <w:autoSpaceDN w:val="0"/>
              <w:adjustRightInd w:val="0"/>
              <w:jc w:val="right"/>
              <w:rPr>
                <w:kern w:val="0"/>
                <w:szCs w:val="22"/>
              </w:rPr>
            </w:pPr>
            <w:r w:rsidRPr="00B53FFB">
              <w:rPr>
                <w:kern w:val="0"/>
                <w:szCs w:val="22"/>
              </w:rPr>
              <w:t>258.0</w:t>
            </w:r>
          </w:p>
        </w:tc>
        <w:tc>
          <w:tcPr>
            <w:tcW w:w="0" w:type="auto"/>
            <w:shd w:val="clear" w:color="auto" w:fill="F2DBDB"/>
          </w:tcPr>
          <w:p w:rsidR="004A147C" w:rsidRPr="00B53FFB" w:rsidRDefault="004A147C" w:rsidP="00CE5850">
            <w:pPr>
              <w:autoSpaceDE w:val="0"/>
              <w:autoSpaceDN w:val="0"/>
              <w:adjustRightInd w:val="0"/>
              <w:jc w:val="right"/>
              <w:rPr>
                <w:kern w:val="0"/>
                <w:szCs w:val="22"/>
              </w:rPr>
            </w:pPr>
            <w:r w:rsidRPr="00B53FFB">
              <w:rPr>
                <w:kern w:val="0"/>
                <w:szCs w:val="22"/>
              </w:rPr>
              <w:t>263.2</w:t>
            </w:r>
          </w:p>
        </w:tc>
        <w:tc>
          <w:tcPr>
            <w:tcW w:w="0" w:type="auto"/>
            <w:shd w:val="clear" w:color="auto" w:fill="F2DBDB"/>
          </w:tcPr>
          <w:p w:rsidR="004A147C" w:rsidRPr="00B53FFB" w:rsidRDefault="004A147C" w:rsidP="00CE5850">
            <w:pPr>
              <w:autoSpaceDE w:val="0"/>
              <w:autoSpaceDN w:val="0"/>
              <w:adjustRightInd w:val="0"/>
              <w:jc w:val="right"/>
              <w:rPr>
                <w:kern w:val="0"/>
                <w:szCs w:val="22"/>
              </w:rPr>
            </w:pPr>
            <w:r w:rsidRPr="00B53FFB">
              <w:rPr>
                <w:kern w:val="0"/>
                <w:szCs w:val="22"/>
              </w:rPr>
              <w:t>292.1</w:t>
            </w:r>
          </w:p>
        </w:tc>
        <w:tc>
          <w:tcPr>
            <w:tcW w:w="0" w:type="auto"/>
            <w:shd w:val="clear" w:color="auto" w:fill="F2DBDB"/>
          </w:tcPr>
          <w:p w:rsidR="004A147C" w:rsidRPr="00B53FFB" w:rsidRDefault="004A147C" w:rsidP="00CE5850">
            <w:pPr>
              <w:autoSpaceDE w:val="0"/>
              <w:autoSpaceDN w:val="0"/>
              <w:adjustRightInd w:val="0"/>
              <w:jc w:val="right"/>
              <w:rPr>
                <w:kern w:val="0"/>
                <w:szCs w:val="22"/>
              </w:rPr>
            </w:pPr>
            <w:r w:rsidRPr="00B53FFB">
              <w:rPr>
                <w:kern w:val="0"/>
                <w:szCs w:val="22"/>
              </w:rPr>
              <w:t>291.2</w:t>
            </w:r>
          </w:p>
        </w:tc>
        <w:tc>
          <w:tcPr>
            <w:tcW w:w="0" w:type="auto"/>
            <w:shd w:val="clear" w:color="auto" w:fill="F2DBDB"/>
          </w:tcPr>
          <w:p w:rsidR="004A147C" w:rsidRPr="0057271C" w:rsidRDefault="004A147C" w:rsidP="00CE5850">
            <w:pPr>
              <w:jc w:val="right"/>
            </w:pPr>
            <w:r w:rsidRPr="0057271C">
              <w:t>290.3</w:t>
            </w:r>
          </w:p>
        </w:tc>
      </w:tr>
      <w:tr w:rsidR="004A147C" w:rsidRPr="00B53FFB" w:rsidTr="00EB019C">
        <w:trPr>
          <w:jc w:val="center"/>
        </w:trPr>
        <w:tc>
          <w:tcPr>
            <w:tcW w:w="0" w:type="auto"/>
            <w:shd w:val="clear" w:color="auto" w:fill="F2DBDB"/>
          </w:tcPr>
          <w:p w:rsidR="004A147C" w:rsidRPr="00B53FFB" w:rsidRDefault="004A147C" w:rsidP="00CE5850">
            <w:pPr>
              <w:autoSpaceDE w:val="0"/>
              <w:autoSpaceDN w:val="0"/>
              <w:adjustRightInd w:val="0"/>
              <w:rPr>
                <w:kern w:val="0"/>
                <w:szCs w:val="22"/>
              </w:rPr>
            </w:pPr>
            <w:r w:rsidRPr="00B53FFB">
              <w:rPr>
                <w:kern w:val="0"/>
                <w:szCs w:val="22"/>
              </w:rPr>
              <w:lastRenderedPageBreak/>
              <w:t>T-Mobile</w:t>
            </w:r>
          </w:p>
        </w:tc>
        <w:tc>
          <w:tcPr>
            <w:tcW w:w="0" w:type="auto"/>
            <w:shd w:val="clear" w:color="auto" w:fill="F2DBDB"/>
          </w:tcPr>
          <w:p w:rsidR="004A147C" w:rsidRPr="00B53FFB" w:rsidRDefault="004A147C" w:rsidP="00CE5850">
            <w:pPr>
              <w:autoSpaceDE w:val="0"/>
              <w:autoSpaceDN w:val="0"/>
              <w:adjustRightInd w:val="0"/>
              <w:jc w:val="right"/>
              <w:rPr>
                <w:kern w:val="0"/>
                <w:szCs w:val="22"/>
              </w:rPr>
            </w:pPr>
            <w:r w:rsidRPr="00B53FFB">
              <w:rPr>
                <w:kern w:val="0"/>
                <w:szCs w:val="22"/>
              </w:rPr>
              <w:t>246.2</w:t>
            </w:r>
          </w:p>
        </w:tc>
        <w:tc>
          <w:tcPr>
            <w:tcW w:w="0" w:type="auto"/>
            <w:shd w:val="clear" w:color="auto" w:fill="F2DBDB"/>
          </w:tcPr>
          <w:p w:rsidR="004A147C" w:rsidRPr="00B53FFB" w:rsidRDefault="004A147C" w:rsidP="00CE5850">
            <w:pPr>
              <w:autoSpaceDE w:val="0"/>
              <w:autoSpaceDN w:val="0"/>
              <w:adjustRightInd w:val="0"/>
              <w:jc w:val="right"/>
              <w:rPr>
                <w:kern w:val="0"/>
                <w:szCs w:val="22"/>
              </w:rPr>
            </w:pPr>
            <w:r w:rsidRPr="00B53FFB">
              <w:rPr>
                <w:kern w:val="0"/>
                <w:szCs w:val="22"/>
              </w:rPr>
              <w:t>249.5</w:t>
            </w:r>
          </w:p>
        </w:tc>
        <w:tc>
          <w:tcPr>
            <w:tcW w:w="0" w:type="auto"/>
            <w:shd w:val="clear" w:color="auto" w:fill="F2DBDB"/>
          </w:tcPr>
          <w:p w:rsidR="004A147C" w:rsidRPr="00B53FFB" w:rsidRDefault="004A147C" w:rsidP="00CE5850">
            <w:pPr>
              <w:autoSpaceDE w:val="0"/>
              <w:autoSpaceDN w:val="0"/>
              <w:adjustRightInd w:val="0"/>
              <w:jc w:val="right"/>
              <w:rPr>
                <w:kern w:val="0"/>
                <w:szCs w:val="22"/>
              </w:rPr>
            </w:pPr>
            <w:r w:rsidRPr="00B53FFB">
              <w:rPr>
                <w:kern w:val="0"/>
                <w:szCs w:val="22"/>
              </w:rPr>
              <w:t>282.5</w:t>
            </w:r>
          </w:p>
        </w:tc>
        <w:tc>
          <w:tcPr>
            <w:tcW w:w="0" w:type="auto"/>
            <w:shd w:val="clear" w:color="auto" w:fill="F2DBDB"/>
          </w:tcPr>
          <w:p w:rsidR="004A147C" w:rsidRPr="00B53FFB" w:rsidRDefault="004A147C" w:rsidP="00CE5850">
            <w:pPr>
              <w:autoSpaceDE w:val="0"/>
              <w:autoSpaceDN w:val="0"/>
              <w:adjustRightInd w:val="0"/>
              <w:jc w:val="right"/>
              <w:rPr>
                <w:kern w:val="0"/>
                <w:szCs w:val="22"/>
              </w:rPr>
            </w:pPr>
            <w:r w:rsidRPr="00B53FFB">
              <w:rPr>
                <w:kern w:val="0"/>
                <w:szCs w:val="22"/>
              </w:rPr>
              <w:t>284.8</w:t>
            </w:r>
          </w:p>
        </w:tc>
        <w:tc>
          <w:tcPr>
            <w:tcW w:w="0" w:type="auto"/>
            <w:shd w:val="clear" w:color="auto" w:fill="F2DBDB"/>
          </w:tcPr>
          <w:p w:rsidR="004A147C" w:rsidRPr="0057271C" w:rsidRDefault="004A147C" w:rsidP="00CE5850">
            <w:pPr>
              <w:jc w:val="right"/>
            </w:pPr>
            <w:r w:rsidRPr="0057271C">
              <w:t>281.4</w:t>
            </w:r>
          </w:p>
        </w:tc>
      </w:tr>
      <w:tr w:rsidR="004A147C" w:rsidRPr="00B53FFB" w:rsidTr="00EB019C">
        <w:trPr>
          <w:jc w:val="center"/>
        </w:trPr>
        <w:tc>
          <w:tcPr>
            <w:tcW w:w="0" w:type="auto"/>
            <w:shd w:val="clear" w:color="auto" w:fill="F2DBDB"/>
          </w:tcPr>
          <w:p w:rsidR="004A147C" w:rsidRPr="00B53FFB" w:rsidRDefault="004A147C" w:rsidP="00CE5850">
            <w:pPr>
              <w:autoSpaceDE w:val="0"/>
              <w:autoSpaceDN w:val="0"/>
              <w:adjustRightInd w:val="0"/>
              <w:rPr>
                <w:kern w:val="0"/>
                <w:szCs w:val="22"/>
              </w:rPr>
            </w:pPr>
            <w:r w:rsidRPr="00B53FFB">
              <w:rPr>
                <w:kern w:val="0"/>
                <w:szCs w:val="22"/>
              </w:rPr>
              <w:t>MetroPCS</w:t>
            </w:r>
          </w:p>
        </w:tc>
        <w:tc>
          <w:tcPr>
            <w:tcW w:w="0" w:type="auto"/>
            <w:shd w:val="clear" w:color="auto" w:fill="F2DBDB"/>
          </w:tcPr>
          <w:p w:rsidR="004A147C" w:rsidRPr="00B53FFB" w:rsidRDefault="004A147C" w:rsidP="00CE5850">
            <w:pPr>
              <w:autoSpaceDE w:val="0"/>
              <w:autoSpaceDN w:val="0"/>
              <w:adjustRightInd w:val="0"/>
              <w:jc w:val="right"/>
              <w:rPr>
                <w:kern w:val="0"/>
                <w:szCs w:val="22"/>
              </w:rPr>
            </w:pPr>
            <w:r w:rsidRPr="00B53FFB">
              <w:rPr>
                <w:kern w:val="0"/>
                <w:szCs w:val="22"/>
              </w:rPr>
              <w:t>84.6</w:t>
            </w:r>
          </w:p>
        </w:tc>
        <w:tc>
          <w:tcPr>
            <w:tcW w:w="0" w:type="auto"/>
            <w:shd w:val="clear" w:color="auto" w:fill="F2DBDB"/>
          </w:tcPr>
          <w:p w:rsidR="004A147C" w:rsidRPr="00B53FFB" w:rsidRDefault="004A147C" w:rsidP="00CE5850">
            <w:pPr>
              <w:autoSpaceDE w:val="0"/>
              <w:autoSpaceDN w:val="0"/>
              <w:adjustRightInd w:val="0"/>
              <w:jc w:val="right"/>
              <w:rPr>
                <w:kern w:val="0"/>
                <w:szCs w:val="22"/>
              </w:rPr>
            </w:pPr>
            <w:r w:rsidRPr="00B53FFB">
              <w:rPr>
                <w:kern w:val="0"/>
                <w:szCs w:val="22"/>
              </w:rPr>
              <w:t>92.1</w:t>
            </w:r>
          </w:p>
        </w:tc>
        <w:tc>
          <w:tcPr>
            <w:tcW w:w="0" w:type="auto"/>
            <w:shd w:val="clear" w:color="auto" w:fill="F2DBDB"/>
          </w:tcPr>
          <w:p w:rsidR="004A147C" w:rsidRPr="00B53FFB" w:rsidRDefault="004A147C" w:rsidP="00CE5850">
            <w:pPr>
              <w:autoSpaceDE w:val="0"/>
              <w:autoSpaceDN w:val="0"/>
              <w:adjustRightInd w:val="0"/>
              <w:jc w:val="right"/>
              <w:rPr>
                <w:kern w:val="0"/>
                <w:szCs w:val="22"/>
              </w:rPr>
            </w:pPr>
            <w:r w:rsidRPr="00B53FFB">
              <w:rPr>
                <w:kern w:val="0"/>
                <w:szCs w:val="22"/>
              </w:rPr>
              <w:t>105.0</w:t>
            </w:r>
          </w:p>
        </w:tc>
        <w:tc>
          <w:tcPr>
            <w:tcW w:w="0" w:type="auto"/>
            <w:shd w:val="clear" w:color="auto" w:fill="F2DBDB"/>
          </w:tcPr>
          <w:p w:rsidR="004A147C" w:rsidRPr="00B53FFB" w:rsidRDefault="004A147C" w:rsidP="00CE5850">
            <w:pPr>
              <w:autoSpaceDE w:val="0"/>
              <w:autoSpaceDN w:val="0"/>
              <w:adjustRightInd w:val="0"/>
              <w:jc w:val="right"/>
              <w:rPr>
                <w:kern w:val="0"/>
                <w:szCs w:val="22"/>
              </w:rPr>
            </w:pPr>
            <w:r w:rsidRPr="00B53FFB">
              <w:rPr>
                <w:kern w:val="0"/>
                <w:szCs w:val="22"/>
              </w:rPr>
              <w:t>105.4</w:t>
            </w:r>
          </w:p>
        </w:tc>
        <w:tc>
          <w:tcPr>
            <w:tcW w:w="0" w:type="auto"/>
            <w:shd w:val="clear" w:color="auto" w:fill="F2DBDB"/>
          </w:tcPr>
          <w:p w:rsidR="004A147C" w:rsidRPr="0057271C" w:rsidRDefault="004A147C" w:rsidP="00CE5850">
            <w:pPr>
              <w:jc w:val="right"/>
            </w:pPr>
            <w:r w:rsidRPr="0057271C">
              <w:t>108.1</w:t>
            </w:r>
          </w:p>
        </w:tc>
      </w:tr>
      <w:tr w:rsidR="004A147C" w:rsidRPr="00B53FFB" w:rsidTr="00EB019C">
        <w:trPr>
          <w:jc w:val="center"/>
        </w:trPr>
        <w:tc>
          <w:tcPr>
            <w:tcW w:w="0" w:type="auto"/>
            <w:shd w:val="clear" w:color="auto" w:fill="F2DBDB"/>
          </w:tcPr>
          <w:p w:rsidR="004A147C" w:rsidRPr="00B53FFB" w:rsidRDefault="004A147C" w:rsidP="00CE5850">
            <w:pPr>
              <w:autoSpaceDE w:val="0"/>
              <w:autoSpaceDN w:val="0"/>
              <w:adjustRightInd w:val="0"/>
              <w:rPr>
                <w:kern w:val="0"/>
                <w:szCs w:val="22"/>
              </w:rPr>
            </w:pPr>
            <w:r w:rsidRPr="00B53FFB">
              <w:rPr>
                <w:kern w:val="0"/>
                <w:szCs w:val="22"/>
              </w:rPr>
              <w:t>Leap</w:t>
            </w:r>
          </w:p>
        </w:tc>
        <w:tc>
          <w:tcPr>
            <w:tcW w:w="0" w:type="auto"/>
            <w:shd w:val="clear" w:color="auto" w:fill="F2DBDB"/>
          </w:tcPr>
          <w:p w:rsidR="004A147C" w:rsidRPr="00B53FFB" w:rsidRDefault="004A147C" w:rsidP="00CE5850">
            <w:pPr>
              <w:autoSpaceDE w:val="0"/>
              <w:autoSpaceDN w:val="0"/>
              <w:adjustRightInd w:val="0"/>
              <w:jc w:val="right"/>
              <w:rPr>
                <w:kern w:val="0"/>
                <w:szCs w:val="22"/>
              </w:rPr>
            </w:pPr>
            <w:r w:rsidRPr="00B53FFB">
              <w:rPr>
                <w:kern w:val="0"/>
                <w:szCs w:val="22"/>
              </w:rPr>
              <w:t>80.5</w:t>
            </w:r>
          </w:p>
        </w:tc>
        <w:tc>
          <w:tcPr>
            <w:tcW w:w="0" w:type="auto"/>
            <w:shd w:val="clear" w:color="auto" w:fill="F2DBDB"/>
          </w:tcPr>
          <w:p w:rsidR="004A147C" w:rsidRPr="00B53FFB" w:rsidRDefault="004A147C" w:rsidP="00CE5850">
            <w:pPr>
              <w:autoSpaceDE w:val="0"/>
              <w:autoSpaceDN w:val="0"/>
              <w:adjustRightInd w:val="0"/>
              <w:jc w:val="right"/>
              <w:rPr>
                <w:kern w:val="0"/>
                <w:szCs w:val="22"/>
              </w:rPr>
            </w:pPr>
            <w:r w:rsidRPr="00B53FFB">
              <w:rPr>
                <w:kern w:val="0"/>
                <w:szCs w:val="22"/>
              </w:rPr>
              <w:t>82.7</w:t>
            </w:r>
          </w:p>
        </w:tc>
        <w:tc>
          <w:tcPr>
            <w:tcW w:w="0" w:type="auto"/>
            <w:shd w:val="clear" w:color="auto" w:fill="F2DBDB"/>
          </w:tcPr>
          <w:p w:rsidR="004A147C" w:rsidRPr="00B53FFB" w:rsidRDefault="004A147C" w:rsidP="00CE5850">
            <w:pPr>
              <w:autoSpaceDE w:val="0"/>
              <w:autoSpaceDN w:val="0"/>
              <w:adjustRightInd w:val="0"/>
              <w:jc w:val="right"/>
              <w:rPr>
                <w:kern w:val="0"/>
                <w:szCs w:val="22"/>
              </w:rPr>
            </w:pPr>
            <w:r w:rsidRPr="00B53FFB">
              <w:rPr>
                <w:kern w:val="0"/>
                <w:szCs w:val="22"/>
              </w:rPr>
              <w:t>94.0</w:t>
            </w:r>
          </w:p>
        </w:tc>
        <w:tc>
          <w:tcPr>
            <w:tcW w:w="0" w:type="auto"/>
            <w:shd w:val="clear" w:color="auto" w:fill="F2DBDB"/>
          </w:tcPr>
          <w:p w:rsidR="004A147C" w:rsidRPr="00B53FFB" w:rsidRDefault="004A147C" w:rsidP="00CE5850">
            <w:pPr>
              <w:autoSpaceDE w:val="0"/>
              <w:autoSpaceDN w:val="0"/>
              <w:adjustRightInd w:val="0"/>
              <w:jc w:val="right"/>
              <w:rPr>
                <w:kern w:val="0"/>
                <w:szCs w:val="22"/>
              </w:rPr>
            </w:pPr>
            <w:r w:rsidRPr="00B53FFB">
              <w:rPr>
                <w:kern w:val="0"/>
                <w:szCs w:val="22"/>
              </w:rPr>
              <w:t>93.4</w:t>
            </w:r>
          </w:p>
        </w:tc>
        <w:tc>
          <w:tcPr>
            <w:tcW w:w="0" w:type="auto"/>
            <w:shd w:val="clear" w:color="auto" w:fill="F2DBDB"/>
          </w:tcPr>
          <w:p w:rsidR="004A147C" w:rsidRPr="0057271C" w:rsidRDefault="004A147C" w:rsidP="00CE5850">
            <w:pPr>
              <w:jc w:val="right"/>
            </w:pPr>
            <w:r w:rsidRPr="0057271C">
              <w:t>94.2</w:t>
            </w:r>
          </w:p>
        </w:tc>
      </w:tr>
      <w:tr w:rsidR="004A147C" w:rsidRPr="00B53FFB" w:rsidTr="00EB019C">
        <w:trPr>
          <w:jc w:val="center"/>
        </w:trPr>
        <w:tc>
          <w:tcPr>
            <w:tcW w:w="0" w:type="auto"/>
            <w:shd w:val="clear" w:color="auto" w:fill="F2DBDB"/>
          </w:tcPr>
          <w:p w:rsidR="004A147C" w:rsidRPr="00B53FFB" w:rsidRDefault="004A147C" w:rsidP="00CE5850">
            <w:pPr>
              <w:autoSpaceDE w:val="0"/>
              <w:autoSpaceDN w:val="0"/>
              <w:adjustRightInd w:val="0"/>
              <w:rPr>
                <w:kern w:val="0"/>
                <w:szCs w:val="22"/>
              </w:rPr>
            </w:pPr>
            <w:r w:rsidRPr="00B53FFB">
              <w:rPr>
                <w:kern w:val="0"/>
                <w:szCs w:val="22"/>
              </w:rPr>
              <w:t>US Cellular</w:t>
            </w:r>
          </w:p>
        </w:tc>
        <w:tc>
          <w:tcPr>
            <w:tcW w:w="0" w:type="auto"/>
            <w:shd w:val="clear" w:color="auto" w:fill="F2DBDB"/>
          </w:tcPr>
          <w:p w:rsidR="004A147C" w:rsidRPr="00B53FFB" w:rsidRDefault="004A147C" w:rsidP="00CE5850">
            <w:pPr>
              <w:autoSpaceDE w:val="0"/>
              <w:autoSpaceDN w:val="0"/>
              <w:adjustRightInd w:val="0"/>
              <w:jc w:val="right"/>
              <w:rPr>
                <w:kern w:val="0"/>
                <w:szCs w:val="22"/>
              </w:rPr>
            </w:pPr>
            <w:r w:rsidRPr="00B53FFB">
              <w:rPr>
                <w:kern w:val="0"/>
                <w:szCs w:val="22"/>
              </w:rPr>
              <w:t>41.7</w:t>
            </w:r>
          </w:p>
        </w:tc>
        <w:tc>
          <w:tcPr>
            <w:tcW w:w="0" w:type="auto"/>
            <w:shd w:val="clear" w:color="auto" w:fill="F2DBDB"/>
          </w:tcPr>
          <w:p w:rsidR="004A147C" w:rsidRPr="00B53FFB" w:rsidRDefault="004A147C" w:rsidP="00CE5850">
            <w:pPr>
              <w:autoSpaceDE w:val="0"/>
              <w:autoSpaceDN w:val="0"/>
              <w:adjustRightInd w:val="0"/>
              <w:jc w:val="right"/>
              <w:rPr>
                <w:kern w:val="0"/>
                <w:szCs w:val="22"/>
              </w:rPr>
            </w:pPr>
            <w:r w:rsidRPr="00B53FFB">
              <w:rPr>
                <w:kern w:val="0"/>
                <w:szCs w:val="22"/>
              </w:rPr>
              <w:t>41.5</w:t>
            </w:r>
          </w:p>
        </w:tc>
        <w:tc>
          <w:tcPr>
            <w:tcW w:w="0" w:type="auto"/>
            <w:shd w:val="clear" w:color="auto" w:fill="F2DBDB"/>
          </w:tcPr>
          <w:p w:rsidR="004A147C" w:rsidRPr="00B53FFB" w:rsidRDefault="004A147C" w:rsidP="00CE5850">
            <w:pPr>
              <w:autoSpaceDE w:val="0"/>
              <w:autoSpaceDN w:val="0"/>
              <w:adjustRightInd w:val="0"/>
              <w:jc w:val="right"/>
              <w:rPr>
                <w:kern w:val="0"/>
                <w:szCs w:val="22"/>
              </w:rPr>
            </w:pPr>
            <w:r w:rsidRPr="00B53FFB">
              <w:rPr>
                <w:kern w:val="0"/>
                <w:szCs w:val="22"/>
              </w:rPr>
              <w:t>44.2</w:t>
            </w:r>
          </w:p>
        </w:tc>
        <w:tc>
          <w:tcPr>
            <w:tcW w:w="0" w:type="auto"/>
            <w:shd w:val="clear" w:color="auto" w:fill="F2DBDB"/>
          </w:tcPr>
          <w:p w:rsidR="004A147C" w:rsidRPr="00B53FFB" w:rsidRDefault="004A147C" w:rsidP="00CE5850">
            <w:pPr>
              <w:autoSpaceDE w:val="0"/>
              <w:autoSpaceDN w:val="0"/>
              <w:adjustRightInd w:val="0"/>
              <w:jc w:val="right"/>
              <w:rPr>
                <w:kern w:val="0"/>
                <w:szCs w:val="22"/>
              </w:rPr>
            </w:pPr>
            <w:r w:rsidRPr="00B53FFB">
              <w:rPr>
                <w:kern w:val="0"/>
                <w:szCs w:val="22"/>
              </w:rPr>
              <w:t>44.0</w:t>
            </w:r>
          </w:p>
        </w:tc>
        <w:tc>
          <w:tcPr>
            <w:tcW w:w="0" w:type="auto"/>
            <w:shd w:val="clear" w:color="auto" w:fill="F2DBDB"/>
          </w:tcPr>
          <w:p w:rsidR="004A147C" w:rsidRDefault="004A147C" w:rsidP="00CE5850">
            <w:pPr>
              <w:jc w:val="right"/>
            </w:pPr>
            <w:r w:rsidRPr="0057271C">
              <w:t>44</w:t>
            </w:r>
            <w:r>
              <w:t>.0</w:t>
            </w:r>
          </w:p>
        </w:tc>
      </w:tr>
    </w:tbl>
    <w:p w:rsidR="004A147C" w:rsidRPr="00B53FFB" w:rsidRDefault="004A147C" w:rsidP="00CE5850">
      <w:pPr>
        <w:pStyle w:val="Caption"/>
        <w:widowControl w:val="0"/>
        <w:spacing w:after="0"/>
        <w:jc w:val="center"/>
        <w:rPr>
          <w:sz w:val="22"/>
          <w:szCs w:val="22"/>
        </w:rPr>
      </w:pPr>
      <w:bookmarkStart w:id="920" w:name="_Ref256592865"/>
      <w:bookmarkStart w:id="921" w:name="_Ref282597236"/>
      <w:bookmarkStart w:id="922" w:name="_Ref256086669"/>
    </w:p>
    <w:p w:rsidR="004A147C" w:rsidRPr="00B53FFB" w:rsidRDefault="004A147C" w:rsidP="00CE5850">
      <w:pPr>
        <w:pStyle w:val="Caption"/>
        <w:widowControl w:val="0"/>
        <w:jc w:val="center"/>
        <w:rPr>
          <w:sz w:val="22"/>
          <w:szCs w:val="22"/>
        </w:rPr>
      </w:pPr>
      <w:bookmarkStart w:id="923" w:name="_Ref342476515"/>
      <w:r w:rsidRPr="00B53FFB">
        <w:rPr>
          <w:sz w:val="22"/>
          <w:szCs w:val="22"/>
        </w:rPr>
        <w:t xml:space="preserve">Table </w:t>
      </w:r>
      <w:r w:rsidR="0007014B" w:rsidRPr="00B53FFB">
        <w:rPr>
          <w:sz w:val="22"/>
          <w:szCs w:val="22"/>
        </w:rPr>
        <w:fldChar w:fldCharType="begin"/>
      </w:r>
      <w:r w:rsidRPr="00B53FFB">
        <w:rPr>
          <w:sz w:val="22"/>
          <w:szCs w:val="22"/>
        </w:rPr>
        <w:instrText xml:space="preserve"> SEQ Table \* ARABIC </w:instrText>
      </w:r>
      <w:r w:rsidR="0007014B" w:rsidRPr="00B53FFB">
        <w:rPr>
          <w:sz w:val="22"/>
          <w:szCs w:val="22"/>
        </w:rPr>
        <w:fldChar w:fldCharType="separate"/>
      </w:r>
      <w:r w:rsidR="00CA3AC6">
        <w:rPr>
          <w:noProof/>
          <w:sz w:val="22"/>
          <w:szCs w:val="22"/>
        </w:rPr>
        <w:t>3</w:t>
      </w:r>
      <w:r w:rsidR="0007014B" w:rsidRPr="00B53FFB">
        <w:rPr>
          <w:sz w:val="22"/>
          <w:szCs w:val="22"/>
        </w:rPr>
        <w:fldChar w:fldCharType="end"/>
      </w:r>
      <w:bookmarkEnd w:id="920"/>
      <w:bookmarkEnd w:id="921"/>
      <w:bookmarkEnd w:id="923"/>
      <w:r w:rsidRPr="00B53FFB">
        <w:rPr>
          <w:sz w:val="22"/>
          <w:szCs w:val="22"/>
        </w:rPr>
        <w:br/>
        <w:t>Estimated Mobile Wireless Network Coverage, Selected Facilities-Based Providers</w:t>
      </w:r>
      <w:r w:rsidRPr="00B53FFB">
        <w:rPr>
          <w:i/>
          <w:sz w:val="22"/>
          <w:szCs w:val="22"/>
        </w:rPr>
        <w:t>: Broadband Networks</w:t>
      </w:r>
      <w:r w:rsidRPr="00B53FFB">
        <w:rPr>
          <w:sz w:val="22"/>
          <w:szCs w:val="22"/>
        </w:rPr>
        <w:t xml:space="preserve">, 2009-2012 </w:t>
      </w:r>
      <w:r w:rsidRPr="00B53FFB">
        <w:rPr>
          <w:rStyle w:val="FootnoteReference"/>
          <w:b w:val="0"/>
          <w:szCs w:val="22"/>
        </w:rPr>
        <w:t xml:space="preserve"> </w:t>
      </w:r>
      <w:r w:rsidRPr="00B53FFB">
        <w:rPr>
          <w:sz w:val="22"/>
          <w:szCs w:val="22"/>
        </w:rPr>
        <w:t>(Covered POPs, in millions)</w:t>
      </w:r>
      <w:r w:rsidRPr="00B53FFB">
        <w:rPr>
          <w:rStyle w:val="FootnoteReference"/>
          <w:b w:val="0"/>
          <w:szCs w:val="22"/>
        </w:rPr>
        <w:footnoteReference w:id="148"/>
      </w:r>
      <w:bookmarkEnd w:id="922"/>
      <w:r w:rsidRPr="00B53FFB">
        <w:rPr>
          <w:sz w:val="22"/>
          <w:szCs w:val="22"/>
        </w:rPr>
        <w:t xml:space="preserve">  </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841"/>
        <w:gridCol w:w="1145"/>
        <w:gridCol w:w="1158"/>
        <w:gridCol w:w="1145"/>
        <w:gridCol w:w="1109"/>
        <w:gridCol w:w="1109"/>
      </w:tblGrid>
      <w:tr w:rsidR="004A147C" w:rsidRPr="00B53FFB" w:rsidTr="00EB019C">
        <w:trPr>
          <w:jc w:val="center"/>
        </w:trPr>
        <w:tc>
          <w:tcPr>
            <w:tcW w:w="0" w:type="auto"/>
            <w:shd w:val="clear" w:color="auto" w:fill="DAEEF3"/>
          </w:tcPr>
          <w:p w:rsidR="004A147C" w:rsidRPr="00B53FFB" w:rsidRDefault="004A147C" w:rsidP="00CE5850">
            <w:pPr>
              <w:autoSpaceDE w:val="0"/>
              <w:autoSpaceDN w:val="0"/>
              <w:adjustRightInd w:val="0"/>
              <w:spacing w:after="120"/>
              <w:jc w:val="center"/>
              <w:rPr>
                <w:b/>
                <w:bCs/>
                <w:kern w:val="0"/>
                <w:szCs w:val="22"/>
              </w:rPr>
            </w:pPr>
            <w:r w:rsidRPr="00B53FFB">
              <w:rPr>
                <w:b/>
                <w:bCs/>
                <w:kern w:val="0"/>
                <w:szCs w:val="22"/>
              </w:rPr>
              <w:t>Service  Provider</w:t>
            </w:r>
          </w:p>
        </w:tc>
        <w:tc>
          <w:tcPr>
            <w:tcW w:w="0" w:type="auto"/>
            <w:shd w:val="clear" w:color="auto" w:fill="DAEEF3"/>
          </w:tcPr>
          <w:p w:rsidR="004A147C" w:rsidRPr="00B53FFB" w:rsidRDefault="004A147C" w:rsidP="00CE5850">
            <w:pPr>
              <w:autoSpaceDE w:val="0"/>
              <w:autoSpaceDN w:val="0"/>
              <w:adjustRightInd w:val="0"/>
              <w:spacing w:after="120"/>
              <w:jc w:val="center"/>
              <w:rPr>
                <w:b/>
                <w:bCs/>
                <w:kern w:val="0"/>
                <w:szCs w:val="22"/>
              </w:rPr>
            </w:pPr>
            <w:r w:rsidRPr="00B53FFB">
              <w:rPr>
                <w:b/>
                <w:bCs/>
                <w:kern w:val="0"/>
                <w:szCs w:val="22"/>
              </w:rPr>
              <w:t>Nov. 2009</w:t>
            </w:r>
          </w:p>
        </w:tc>
        <w:tc>
          <w:tcPr>
            <w:tcW w:w="0" w:type="auto"/>
            <w:shd w:val="clear" w:color="auto" w:fill="DAEEF3"/>
          </w:tcPr>
          <w:p w:rsidR="004A147C" w:rsidRPr="00B53FFB" w:rsidRDefault="004A147C" w:rsidP="00CE5850">
            <w:pPr>
              <w:autoSpaceDE w:val="0"/>
              <w:autoSpaceDN w:val="0"/>
              <w:adjustRightInd w:val="0"/>
              <w:spacing w:after="120"/>
              <w:jc w:val="center"/>
              <w:rPr>
                <w:b/>
                <w:bCs/>
                <w:kern w:val="0"/>
                <w:szCs w:val="22"/>
              </w:rPr>
            </w:pPr>
            <w:r w:rsidRPr="00B53FFB">
              <w:rPr>
                <w:b/>
                <w:bCs/>
                <w:kern w:val="0"/>
                <w:szCs w:val="22"/>
              </w:rPr>
              <w:t>Aug. 2010</w:t>
            </w:r>
          </w:p>
        </w:tc>
        <w:tc>
          <w:tcPr>
            <w:tcW w:w="0" w:type="auto"/>
            <w:shd w:val="clear" w:color="auto" w:fill="DAEEF3"/>
          </w:tcPr>
          <w:p w:rsidR="004A147C" w:rsidRPr="00B53FFB" w:rsidRDefault="004A147C" w:rsidP="00CE5850">
            <w:pPr>
              <w:autoSpaceDE w:val="0"/>
              <w:autoSpaceDN w:val="0"/>
              <w:adjustRightInd w:val="0"/>
              <w:spacing w:after="120"/>
              <w:jc w:val="center"/>
              <w:rPr>
                <w:b/>
                <w:bCs/>
                <w:kern w:val="0"/>
                <w:szCs w:val="22"/>
              </w:rPr>
            </w:pPr>
            <w:r w:rsidRPr="00B53FFB">
              <w:rPr>
                <w:b/>
                <w:bCs/>
                <w:kern w:val="0"/>
                <w:szCs w:val="22"/>
              </w:rPr>
              <w:t>Apr. 2011</w:t>
            </w:r>
          </w:p>
        </w:tc>
        <w:tc>
          <w:tcPr>
            <w:tcW w:w="0" w:type="auto"/>
            <w:shd w:val="clear" w:color="auto" w:fill="DAEEF3"/>
          </w:tcPr>
          <w:p w:rsidR="004A147C" w:rsidRPr="00B53FFB" w:rsidRDefault="004A147C" w:rsidP="00CE5850">
            <w:pPr>
              <w:autoSpaceDE w:val="0"/>
              <w:autoSpaceDN w:val="0"/>
              <w:adjustRightInd w:val="0"/>
              <w:spacing w:after="120"/>
              <w:jc w:val="center"/>
              <w:rPr>
                <w:b/>
                <w:bCs/>
                <w:kern w:val="0"/>
                <w:szCs w:val="22"/>
              </w:rPr>
            </w:pPr>
            <w:r w:rsidRPr="00B53FFB">
              <w:rPr>
                <w:b/>
                <w:bCs/>
                <w:kern w:val="0"/>
                <w:szCs w:val="22"/>
              </w:rPr>
              <w:t>Jan. 2012</w:t>
            </w:r>
          </w:p>
        </w:tc>
        <w:tc>
          <w:tcPr>
            <w:tcW w:w="0" w:type="auto"/>
            <w:shd w:val="clear" w:color="auto" w:fill="DAEEF3"/>
          </w:tcPr>
          <w:p w:rsidR="004A147C" w:rsidRPr="00B53FFB" w:rsidRDefault="004A147C" w:rsidP="00CE5850">
            <w:pPr>
              <w:autoSpaceDE w:val="0"/>
              <w:autoSpaceDN w:val="0"/>
              <w:adjustRightInd w:val="0"/>
              <w:spacing w:after="120"/>
              <w:jc w:val="center"/>
              <w:rPr>
                <w:b/>
                <w:bCs/>
                <w:kern w:val="0"/>
                <w:szCs w:val="22"/>
              </w:rPr>
            </w:pPr>
            <w:r>
              <w:rPr>
                <w:b/>
                <w:bCs/>
                <w:kern w:val="0"/>
                <w:szCs w:val="22"/>
              </w:rPr>
              <w:t>Oct. 2012</w:t>
            </w:r>
          </w:p>
        </w:tc>
      </w:tr>
      <w:tr w:rsidR="004A147C" w:rsidRPr="00B53FFB" w:rsidTr="00EB019C">
        <w:trPr>
          <w:jc w:val="center"/>
        </w:trPr>
        <w:tc>
          <w:tcPr>
            <w:tcW w:w="0" w:type="auto"/>
            <w:shd w:val="clear" w:color="auto" w:fill="DAEEF3"/>
          </w:tcPr>
          <w:p w:rsidR="004A147C" w:rsidRPr="00B53FFB" w:rsidRDefault="004A147C" w:rsidP="00CE5850">
            <w:pPr>
              <w:autoSpaceDE w:val="0"/>
              <w:autoSpaceDN w:val="0"/>
              <w:adjustRightInd w:val="0"/>
              <w:spacing w:after="120"/>
              <w:rPr>
                <w:kern w:val="0"/>
                <w:szCs w:val="22"/>
              </w:rPr>
            </w:pPr>
            <w:r w:rsidRPr="00B53FFB">
              <w:rPr>
                <w:kern w:val="0"/>
                <w:szCs w:val="22"/>
              </w:rPr>
              <w:t>Verizon Wireless</w:t>
            </w:r>
          </w:p>
        </w:tc>
        <w:tc>
          <w:tcPr>
            <w:tcW w:w="0" w:type="auto"/>
            <w:shd w:val="clear" w:color="auto" w:fill="DAEEF3"/>
          </w:tcPr>
          <w:p w:rsidR="004A147C" w:rsidRPr="00B53FFB" w:rsidRDefault="004A147C" w:rsidP="00CE5850">
            <w:pPr>
              <w:autoSpaceDE w:val="0"/>
              <w:autoSpaceDN w:val="0"/>
              <w:adjustRightInd w:val="0"/>
              <w:spacing w:after="120"/>
              <w:jc w:val="right"/>
              <w:rPr>
                <w:kern w:val="0"/>
                <w:szCs w:val="22"/>
              </w:rPr>
            </w:pPr>
            <w:r w:rsidRPr="00B53FFB">
              <w:rPr>
                <w:kern w:val="0"/>
                <w:szCs w:val="22"/>
              </w:rPr>
              <w:t>266.7</w:t>
            </w:r>
          </w:p>
        </w:tc>
        <w:tc>
          <w:tcPr>
            <w:tcW w:w="0" w:type="auto"/>
            <w:shd w:val="clear" w:color="auto" w:fill="DAEEF3"/>
          </w:tcPr>
          <w:p w:rsidR="004A147C" w:rsidRPr="00B53FFB" w:rsidRDefault="004A147C" w:rsidP="00CE5850">
            <w:pPr>
              <w:autoSpaceDE w:val="0"/>
              <w:autoSpaceDN w:val="0"/>
              <w:adjustRightInd w:val="0"/>
              <w:spacing w:after="120"/>
              <w:jc w:val="right"/>
              <w:rPr>
                <w:kern w:val="0"/>
                <w:szCs w:val="22"/>
              </w:rPr>
            </w:pPr>
            <w:r w:rsidRPr="00B53FFB">
              <w:rPr>
                <w:kern w:val="0"/>
                <w:szCs w:val="22"/>
              </w:rPr>
              <w:t>270.0</w:t>
            </w:r>
          </w:p>
        </w:tc>
        <w:tc>
          <w:tcPr>
            <w:tcW w:w="0" w:type="auto"/>
            <w:shd w:val="clear" w:color="auto" w:fill="DAEEF3"/>
          </w:tcPr>
          <w:p w:rsidR="004A147C" w:rsidRPr="00B53FFB" w:rsidRDefault="004A147C" w:rsidP="00CE5850">
            <w:pPr>
              <w:autoSpaceDE w:val="0"/>
              <w:autoSpaceDN w:val="0"/>
              <w:adjustRightInd w:val="0"/>
              <w:spacing w:after="120"/>
              <w:jc w:val="right"/>
              <w:rPr>
                <w:kern w:val="0"/>
                <w:szCs w:val="22"/>
              </w:rPr>
            </w:pPr>
            <w:r w:rsidRPr="00B53FFB">
              <w:rPr>
                <w:kern w:val="0"/>
                <w:szCs w:val="22"/>
              </w:rPr>
              <w:t>298.0</w:t>
            </w:r>
          </w:p>
        </w:tc>
        <w:tc>
          <w:tcPr>
            <w:tcW w:w="0" w:type="auto"/>
            <w:shd w:val="clear" w:color="auto" w:fill="DAEEF3"/>
          </w:tcPr>
          <w:p w:rsidR="004A147C" w:rsidRPr="00B53FFB" w:rsidRDefault="004A147C" w:rsidP="00CE5850">
            <w:pPr>
              <w:autoSpaceDE w:val="0"/>
              <w:autoSpaceDN w:val="0"/>
              <w:adjustRightInd w:val="0"/>
              <w:spacing w:after="120"/>
              <w:jc w:val="right"/>
              <w:rPr>
                <w:kern w:val="0"/>
                <w:szCs w:val="22"/>
              </w:rPr>
            </w:pPr>
            <w:r w:rsidRPr="00B53FFB">
              <w:rPr>
                <w:kern w:val="0"/>
                <w:szCs w:val="22"/>
              </w:rPr>
              <w:t>299.2</w:t>
            </w:r>
          </w:p>
        </w:tc>
        <w:tc>
          <w:tcPr>
            <w:tcW w:w="0" w:type="auto"/>
            <w:shd w:val="clear" w:color="auto" w:fill="DAEEF3"/>
          </w:tcPr>
          <w:p w:rsidR="004A147C" w:rsidRPr="00E17287" w:rsidRDefault="004A147C" w:rsidP="00CE5850">
            <w:pPr>
              <w:jc w:val="right"/>
            </w:pPr>
            <w:r w:rsidRPr="00E17287">
              <w:t>300.4</w:t>
            </w:r>
          </w:p>
        </w:tc>
      </w:tr>
      <w:tr w:rsidR="004A147C" w:rsidRPr="00B53FFB" w:rsidTr="00EB019C">
        <w:trPr>
          <w:jc w:val="center"/>
        </w:trPr>
        <w:tc>
          <w:tcPr>
            <w:tcW w:w="0" w:type="auto"/>
            <w:shd w:val="clear" w:color="auto" w:fill="DAEEF3"/>
          </w:tcPr>
          <w:p w:rsidR="004A147C" w:rsidRPr="00B53FFB" w:rsidRDefault="004A147C" w:rsidP="00CE5850">
            <w:pPr>
              <w:autoSpaceDE w:val="0"/>
              <w:autoSpaceDN w:val="0"/>
              <w:adjustRightInd w:val="0"/>
              <w:spacing w:after="120"/>
              <w:rPr>
                <w:kern w:val="0"/>
                <w:szCs w:val="22"/>
              </w:rPr>
            </w:pPr>
            <w:r w:rsidRPr="00B53FFB">
              <w:rPr>
                <w:kern w:val="0"/>
                <w:szCs w:val="22"/>
              </w:rPr>
              <w:t>AT&amp;T</w:t>
            </w:r>
          </w:p>
        </w:tc>
        <w:tc>
          <w:tcPr>
            <w:tcW w:w="0" w:type="auto"/>
            <w:shd w:val="clear" w:color="auto" w:fill="DAEEF3"/>
          </w:tcPr>
          <w:p w:rsidR="004A147C" w:rsidRPr="00B53FFB" w:rsidRDefault="004A147C" w:rsidP="00CE5850">
            <w:pPr>
              <w:autoSpaceDE w:val="0"/>
              <w:autoSpaceDN w:val="0"/>
              <w:adjustRightInd w:val="0"/>
              <w:spacing w:after="120"/>
              <w:jc w:val="right"/>
              <w:rPr>
                <w:kern w:val="0"/>
                <w:szCs w:val="22"/>
              </w:rPr>
            </w:pPr>
            <w:r w:rsidRPr="00B53FFB">
              <w:rPr>
                <w:kern w:val="0"/>
                <w:szCs w:val="22"/>
              </w:rPr>
              <w:t>212.3</w:t>
            </w:r>
          </w:p>
        </w:tc>
        <w:tc>
          <w:tcPr>
            <w:tcW w:w="0" w:type="auto"/>
            <w:shd w:val="clear" w:color="auto" w:fill="DAEEF3"/>
          </w:tcPr>
          <w:p w:rsidR="004A147C" w:rsidRPr="00B53FFB" w:rsidRDefault="004A147C" w:rsidP="00CE5850">
            <w:pPr>
              <w:autoSpaceDE w:val="0"/>
              <w:autoSpaceDN w:val="0"/>
              <w:adjustRightInd w:val="0"/>
              <w:spacing w:after="120"/>
              <w:jc w:val="right"/>
              <w:rPr>
                <w:kern w:val="0"/>
                <w:szCs w:val="22"/>
              </w:rPr>
            </w:pPr>
            <w:r w:rsidRPr="00B53FFB">
              <w:rPr>
                <w:kern w:val="0"/>
                <w:szCs w:val="22"/>
              </w:rPr>
              <w:t>228.6</w:t>
            </w:r>
          </w:p>
        </w:tc>
        <w:tc>
          <w:tcPr>
            <w:tcW w:w="0" w:type="auto"/>
            <w:shd w:val="clear" w:color="auto" w:fill="DAEEF3"/>
          </w:tcPr>
          <w:p w:rsidR="004A147C" w:rsidRPr="00B53FFB" w:rsidRDefault="004A147C" w:rsidP="00CE5850">
            <w:pPr>
              <w:autoSpaceDE w:val="0"/>
              <w:autoSpaceDN w:val="0"/>
              <w:adjustRightInd w:val="0"/>
              <w:spacing w:after="120"/>
              <w:jc w:val="right"/>
              <w:rPr>
                <w:kern w:val="0"/>
                <w:szCs w:val="22"/>
              </w:rPr>
            </w:pPr>
            <w:r w:rsidRPr="00B53FFB">
              <w:rPr>
                <w:kern w:val="0"/>
                <w:szCs w:val="22"/>
              </w:rPr>
              <w:t>276.1</w:t>
            </w:r>
          </w:p>
        </w:tc>
        <w:tc>
          <w:tcPr>
            <w:tcW w:w="0" w:type="auto"/>
            <w:shd w:val="clear" w:color="auto" w:fill="DAEEF3"/>
          </w:tcPr>
          <w:p w:rsidR="004A147C" w:rsidRPr="00B53FFB" w:rsidRDefault="004A147C" w:rsidP="00CE5850">
            <w:pPr>
              <w:autoSpaceDE w:val="0"/>
              <w:autoSpaceDN w:val="0"/>
              <w:adjustRightInd w:val="0"/>
              <w:spacing w:after="120"/>
              <w:jc w:val="right"/>
              <w:rPr>
                <w:kern w:val="0"/>
                <w:szCs w:val="22"/>
              </w:rPr>
            </w:pPr>
            <w:r w:rsidRPr="00B53FFB">
              <w:rPr>
                <w:kern w:val="0"/>
                <w:szCs w:val="22"/>
              </w:rPr>
              <w:t>289.9</w:t>
            </w:r>
          </w:p>
        </w:tc>
        <w:tc>
          <w:tcPr>
            <w:tcW w:w="0" w:type="auto"/>
            <w:shd w:val="clear" w:color="auto" w:fill="DAEEF3"/>
          </w:tcPr>
          <w:p w:rsidR="004A147C" w:rsidRPr="00E17287" w:rsidRDefault="004A147C" w:rsidP="00CE5850">
            <w:pPr>
              <w:jc w:val="right"/>
            </w:pPr>
            <w:r w:rsidRPr="00E17287">
              <w:t>296.7</w:t>
            </w:r>
          </w:p>
        </w:tc>
      </w:tr>
      <w:tr w:rsidR="004A147C" w:rsidRPr="00B53FFB" w:rsidTr="00EB019C">
        <w:trPr>
          <w:jc w:val="center"/>
        </w:trPr>
        <w:tc>
          <w:tcPr>
            <w:tcW w:w="0" w:type="auto"/>
            <w:shd w:val="clear" w:color="auto" w:fill="DAEEF3"/>
          </w:tcPr>
          <w:p w:rsidR="004A147C" w:rsidRPr="00B53FFB" w:rsidRDefault="004A147C" w:rsidP="00CE5850">
            <w:pPr>
              <w:autoSpaceDE w:val="0"/>
              <w:autoSpaceDN w:val="0"/>
              <w:adjustRightInd w:val="0"/>
              <w:spacing w:after="120"/>
              <w:rPr>
                <w:kern w:val="0"/>
                <w:szCs w:val="22"/>
              </w:rPr>
            </w:pPr>
            <w:r w:rsidRPr="00B53FFB">
              <w:rPr>
                <w:kern w:val="0"/>
                <w:szCs w:val="22"/>
              </w:rPr>
              <w:t>Sprint Nextel</w:t>
            </w:r>
          </w:p>
        </w:tc>
        <w:tc>
          <w:tcPr>
            <w:tcW w:w="0" w:type="auto"/>
            <w:shd w:val="clear" w:color="auto" w:fill="DAEEF3"/>
          </w:tcPr>
          <w:p w:rsidR="004A147C" w:rsidRPr="00B53FFB" w:rsidRDefault="004A147C" w:rsidP="00CE5850">
            <w:pPr>
              <w:autoSpaceDE w:val="0"/>
              <w:autoSpaceDN w:val="0"/>
              <w:adjustRightInd w:val="0"/>
              <w:spacing w:after="120"/>
              <w:jc w:val="right"/>
              <w:rPr>
                <w:kern w:val="0"/>
                <w:szCs w:val="22"/>
              </w:rPr>
            </w:pPr>
            <w:r w:rsidRPr="00B53FFB">
              <w:rPr>
                <w:kern w:val="0"/>
                <w:szCs w:val="22"/>
              </w:rPr>
              <w:t>226.9</w:t>
            </w:r>
          </w:p>
        </w:tc>
        <w:tc>
          <w:tcPr>
            <w:tcW w:w="0" w:type="auto"/>
            <w:shd w:val="clear" w:color="auto" w:fill="DAEEF3"/>
          </w:tcPr>
          <w:p w:rsidR="004A147C" w:rsidRPr="00B53FFB" w:rsidRDefault="004A147C" w:rsidP="00CE5850">
            <w:pPr>
              <w:autoSpaceDE w:val="0"/>
              <w:autoSpaceDN w:val="0"/>
              <w:adjustRightInd w:val="0"/>
              <w:spacing w:after="120"/>
              <w:jc w:val="right"/>
              <w:rPr>
                <w:kern w:val="0"/>
                <w:szCs w:val="22"/>
              </w:rPr>
            </w:pPr>
            <w:r w:rsidRPr="00B53FFB">
              <w:rPr>
                <w:kern w:val="0"/>
                <w:szCs w:val="22"/>
              </w:rPr>
              <w:t>239.4</w:t>
            </w:r>
          </w:p>
        </w:tc>
        <w:tc>
          <w:tcPr>
            <w:tcW w:w="0" w:type="auto"/>
            <w:shd w:val="clear" w:color="auto" w:fill="DAEEF3"/>
          </w:tcPr>
          <w:p w:rsidR="004A147C" w:rsidRPr="00B53FFB" w:rsidRDefault="004A147C" w:rsidP="00CE5850">
            <w:pPr>
              <w:autoSpaceDE w:val="0"/>
              <w:autoSpaceDN w:val="0"/>
              <w:adjustRightInd w:val="0"/>
              <w:spacing w:after="120"/>
              <w:jc w:val="right"/>
              <w:rPr>
                <w:kern w:val="0"/>
                <w:szCs w:val="22"/>
              </w:rPr>
            </w:pPr>
            <w:r w:rsidRPr="00B53FFB">
              <w:rPr>
                <w:kern w:val="0"/>
                <w:szCs w:val="22"/>
              </w:rPr>
              <w:t>276.4</w:t>
            </w:r>
          </w:p>
        </w:tc>
        <w:tc>
          <w:tcPr>
            <w:tcW w:w="0" w:type="auto"/>
            <w:shd w:val="clear" w:color="auto" w:fill="DAEEF3"/>
          </w:tcPr>
          <w:p w:rsidR="004A147C" w:rsidRPr="00B53FFB" w:rsidRDefault="004A147C" w:rsidP="00CE5850">
            <w:pPr>
              <w:autoSpaceDE w:val="0"/>
              <w:autoSpaceDN w:val="0"/>
              <w:adjustRightInd w:val="0"/>
              <w:spacing w:after="120"/>
              <w:jc w:val="right"/>
              <w:rPr>
                <w:kern w:val="0"/>
                <w:szCs w:val="22"/>
              </w:rPr>
            </w:pPr>
            <w:r w:rsidRPr="00B53FFB">
              <w:rPr>
                <w:kern w:val="0"/>
                <w:szCs w:val="22"/>
              </w:rPr>
              <w:t>273.7</w:t>
            </w:r>
          </w:p>
        </w:tc>
        <w:tc>
          <w:tcPr>
            <w:tcW w:w="0" w:type="auto"/>
            <w:shd w:val="clear" w:color="auto" w:fill="DAEEF3"/>
          </w:tcPr>
          <w:p w:rsidR="004A147C" w:rsidRPr="00E17287" w:rsidRDefault="004A147C" w:rsidP="00CE5850">
            <w:pPr>
              <w:jc w:val="right"/>
            </w:pPr>
            <w:r w:rsidRPr="00E17287">
              <w:t>275.1</w:t>
            </w:r>
          </w:p>
        </w:tc>
      </w:tr>
      <w:tr w:rsidR="004A147C" w:rsidRPr="00B53FFB" w:rsidTr="00EB019C">
        <w:trPr>
          <w:jc w:val="center"/>
        </w:trPr>
        <w:tc>
          <w:tcPr>
            <w:tcW w:w="0" w:type="auto"/>
            <w:shd w:val="clear" w:color="auto" w:fill="DAEEF3"/>
          </w:tcPr>
          <w:p w:rsidR="004A147C" w:rsidRPr="00B53FFB" w:rsidRDefault="004A147C" w:rsidP="00CE5850">
            <w:pPr>
              <w:autoSpaceDE w:val="0"/>
              <w:autoSpaceDN w:val="0"/>
              <w:adjustRightInd w:val="0"/>
              <w:spacing w:after="120"/>
              <w:rPr>
                <w:kern w:val="0"/>
                <w:szCs w:val="22"/>
              </w:rPr>
            </w:pPr>
            <w:r w:rsidRPr="00B53FFB">
              <w:rPr>
                <w:kern w:val="0"/>
                <w:szCs w:val="22"/>
              </w:rPr>
              <w:t>T-Mobile</w:t>
            </w:r>
          </w:p>
        </w:tc>
        <w:tc>
          <w:tcPr>
            <w:tcW w:w="0" w:type="auto"/>
            <w:shd w:val="clear" w:color="auto" w:fill="DAEEF3"/>
          </w:tcPr>
          <w:p w:rsidR="004A147C" w:rsidRPr="00B53FFB" w:rsidRDefault="004A147C" w:rsidP="00CE5850">
            <w:pPr>
              <w:autoSpaceDE w:val="0"/>
              <w:autoSpaceDN w:val="0"/>
              <w:adjustRightInd w:val="0"/>
              <w:spacing w:after="120"/>
              <w:jc w:val="right"/>
              <w:rPr>
                <w:kern w:val="0"/>
                <w:szCs w:val="22"/>
              </w:rPr>
            </w:pPr>
            <w:r w:rsidRPr="00B53FFB">
              <w:rPr>
                <w:kern w:val="0"/>
                <w:szCs w:val="22"/>
              </w:rPr>
              <w:t>133.9</w:t>
            </w:r>
          </w:p>
        </w:tc>
        <w:tc>
          <w:tcPr>
            <w:tcW w:w="0" w:type="auto"/>
            <w:shd w:val="clear" w:color="auto" w:fill="DAEEF3"/>
          </w:tcPr>
          <w:p w:rsidR="004A147C" w:rsidRPr="00B53FFB" w:rsidRDefault="004A147C" w:rsidP="00CE5850">
            <w:pPr>
              <w:autoSpaceDE w:val="0"/>
              <w:autoSpaceDN w:val="0"/>
              <w:adjustRightInd w:val="0"/>
              <w:spacing w:after="120"/>
              <w:jc w:val="right"/>
              <w:rPr>
                <w:kern w:val="0"/>
                <w:szCs w:val="22"/>
              </w:rPr>
            </w:pPr>
            <w:r w:rsidRPr="00B53FFB">
              <w:rPr>
                <w:kern w:val="0"/>
                <w:szCs w:val="22"/>
              </w:rPr>
              <w:t>183.8</w:t>
            </w:r>
          </w:p>
        </w:tc>
        <w:tc>
          <w:tcPr>
            <w:tcW w:w="0" w:type="auto"/>
            <w:shd w:val="clear" w:color="auto" w:fill="DAEEF3"/>
          </w:tcPr>
          <w:p w:rsidR="004A147C" w:rsidRPr="00B53FFB" w:rsidRDefault="004A147C" w:rsidP="00CE5850">
            <w:pPr>
              <w:autoSpaceDE w:val="0"/>
              <w:autoSpaceDN w:val="0"/>
              <w:adjustRightInd w:val="0"/>
              <w:spacing w:after="120"/>
              <w:jc w:val="right"/>
              <w:rPr>
                <w:kern w:val="0"/>
                <w:szCs w:val="22"/>
              </w:rPr>
            </w:pPr>
            <w:r w:rsidRPr="00B53FFB">
              <w:rPr>
                <w:kern w:val="0"/>
                <w:szCs w:val="22"/>
              </w:rPr>
              <w:t>214.7</w:t>
            </w:r>
          </w:p>
        </w:tc>
        <w:tc>
          <w:tcPr>
            <w:tcW w:w="0" w:type="auto"/>
            <w:shd w:val="clear" w:color="auto" w:fill="DAEEF3"/>
          </w:tcPr>
          <w:p w:rsidR="004A147C" w:rsidRPr="00B53FFB" w:rsidRDefault="004A147C" w:rsidP="00CE5850">
            <w:pPr>
              <w:autoSpaceDE w:val="0"/>
              <w:autoSpaceDN w:val="0"/>
              <w:adjustRightInd w:val="0"/>
              <w:spacing w:after="120"/>
              <w:jc w:val="right"/>
              <w:rPr>
                <w:kern w:val="0"/>
                <w:szCs w:val="22"/>
              </w:rPr>
            </w:pPr>
            <w:r w:rsidRPr="00B53FFB">
              <w:rPr>
                <w:kern w:val="0"/>
                <w:szCs w:val="22"/>
              </w:rPr>
              <w:t>227.6</w:t>
            </w:r>
          </w:p>
        </w:tc>
        <w:tc>
          <w:tcPr>
            <w:tcW w:w="0" w:type="auto"/>
            <w:shd w:val="clear" w:color="auto" w:fill="DAEEF3"/>
          </w:tcPr>
          <w:p w:rsidR="004A147C" w:rsidRPr="00E17287" w:rsidRDefault="004A147C" w:rsidP="00CE5850">
            <w:pPr>
              <w:jc w:val="right"/>
            </w:pPr>
            <w:r w:rsidRPr="00E17287">
              <w:t>235.4</w:t>
            </w:r>
          </w:p>
        </w:tc>
      </w:tr>
      <w:tr w:rsidR="004A147C" w:rsidRPr="00B53FFB" w:rsidTr="00EB019C">
        <w:trPr>
          <w:jc w:val="center"/>
        </w:trPr>
        <w:tc>
          <w:tcPr>
            <w:tcW w:w="0" w:type="auto"/>
            <w:shd w:val="clear" w:color="auto" w:fill="DAEEF3"/>
          </w:tcPr>
          <w:p w:rsidR="004A147C" w:rsidRPr="00B53FFB" w:rsidRDefault="004A147C" w:rsidP="00CE5850">
            <w:pPr>
              <w:autoSpaceDE w:val="0"/>
              <w:autoSpaceDN w:val="0"/>
              <w:adjustRightInd w:val="0"/>
              <w:spacing w:after="120"/>
              <w:rPr>
                <w:kern w:val="0"/>
                <w:szCs w:val="22"/>
              </w:rPr>
            </w:pPr>
            <w:r w:rsidRPr="00B53FFB">
              <w:rPr>
                <w:kern w:val="0"/>
                <w:szCs w:val="22"/>
              </w:rPr>
              <w:t>MetroPCS</w:t>
            </w:r>
          </w:p>
        </w:tc>
        <w:tc>
          <w:tcPr>
            <w:tcW w:w="0" w:type="auto"/>
            <w:shd w:val="clear" w:color="auto" w:fill="DAEEF3"/>
          </w:tcPr>
          <w:p w:rsidR="004A147C" w:rsidRPr="00B53FFB" w:rsidRDefault="004A147C" w:rsidP="00CE5850">
            <w:pPr>
              <w:autoSpaceDE w:val="0"/>
              <w:autoSpaceDN w:val="0"/>
              <w:adjustRightInd w:val="0"/>
              <w:spacing w:after="120"/>
              <w:jc w:val="right"/>
              <w:rPr>
                <w:kern w:val="0"/>
                <w:szCs w:val="22"/>
              </w:rPr>
            </w:pPr>
            <w:r w:rsidRPr="00B53FFB">
              <w:rPr>
                <w:kern w:val="0"/>
                <w:szCs w:val="22"/>
              </w:rPr>
              <w:t>-</w:t>
            </w:r>
          </w:p>
        </w:tc>
        <w:tc>
          <w:tcPr>
            <w:tcW w:w="0" w:type="auto"/>
            <w:shd w:val="clear" w:color="auto" w:fill="DAEEF3"/>
          </w:tcPr>
          <w:p w:rsidR="004A147C" w:rsidRPr="00B53FFB" w:rsidRDefault="004A147C" w:rsidP="00CE5850">
            <w:pPr>
              <w:autoSpaceDE w:val="0"/>
              <w:autoSpaceDN w:val="0"/>
              <w:adjustRightInd w:val="0"/>
              <w:spacing w:after="120"/>
              <w:jc w:val="right"/>
              <w:rPr>
                <w:kern w:val="0"/>
                <w:szCs w:val="22"/>
              </w:rPr>
            </w:pPr>
            <w:r w:rsidRPr="00B53FFB">
              <w:rPr>
                <w:kern w:val="0"/>
                <w:szCs w:val="22"/>
              </w:rPr>
              <w:t>-</w:t>
            </w:r>
          </w:p>
        </w:tc>
        <w:tc>
          <w:tcPr>
            <w:tcW w:w="0" w:type="auto"/>
            <w:shd w:val="clear" w:color="auto" w:fill="DAEEF3"/>
          </w:tcPr>
          <w:p w:rsidR="004A147C" w:rsidRPr="00B53FFB" w:rsidRDefault="004A147C" w:rsidP="00CE5850">
            <w:pPr>
              <w:tabs>
                <w:tab w:val="left" w:pos="1365"/>
              </w:tabs>
              <w:autoSpaceDE w:val="0"/>
              <w:autoSpaceDN w:val="0"/>
              <w:adjustRightInd w:val="0"/>
              <w:spacing w:after="120"/>
              <w:jc w:val="right"/>
              <w:rPr>
                <w:kern w:val="0"/>
                <w:szCs w:val="22"/>
              </w:rPr>
            </w:pPr>
            <w:r w:rsidRPr="00B53FFB">
              <w:rPr>
                <w:kern w:val="0"/>
                <w:szCs w:val="22"/>
              </w:rPr>
              <w:t>62.2</w:t>
            </w:r>
          </w:p>
        </w:tc>
        <w:tc>
          <w:tcPr>
            <w:tcW w:w="0" w:type="auto"/>
            <w:shd w:val="clear" w:color="auto" w:fill="DAEEF3"/>
          </w:tcPr>
          <w:p w:rsidR="004A147C" w:rsidRPr="00B53FFB" w:rsidRDefault="004A147C" w:rsidP="00CE5850">
            <w:pPr>
              <w:autoSpaceDE w:val="0"/>
              <w:autoSpaceDN w:val="0"/>
              <w:adjustRightInd w:val="0"/>
              <w:spacing w:after="120"/>
              <w:jc w:val="right"/>
              <w:rPr>
                <w:kern w:val="0"/>
                <w:szCs w:val="22"/>
              </w:rPr>
            </w:pPr>
            <w:r w:rsidRPr="00B53FFB">
              <w:rPr>
                <w:kern w:val="0"/>
                <w:szCs w:val="22"/>
              </w:rPr>
              <w:t>72.4</w:t>
            </w:r>
          </w:p>
        </w:tc>
        <w:tc>
          <w:tcPr>
            <w:tcW w:w="0" w:type="auto"/>
            <w:shd w:val="clear" w:color="auto" w:fill="DAEEF3"/>
          </w:tcPr>
          <w:p w:rsidR="004A147C" w:rsidRPr="00E17287" w:rsidRDefault="004A147C" w:rsidP="00CE5850">
            <w:pPr>
              <w:jc w:val="right"/>
            </w:pPr>
            <w:r w:rsidRPr="00E17287">
              <w:t>108.3</w:t>
            </w:r>
          </w:p>
        </w:tc>
      </w:tr>
      <w:tr w:rsidR="004A147C" w:rsidRPr="00B53FFB" w:rsidTr="00EB019C">
        <w:trPr>
          <w:jc w:val="center"/>
        </w:trPr>
        <w:tc>
          <w:tcPr>
            <w:tcW w:w="0" w:type="auto"/>
            <w:shd w:val="clear" w:color="auto" w:fill="DAEEF3"/>
          </w:tcPr>
          <w:p w:rsidR="004A147C" w:rsidRPr="00B53FFB" w:rsidRDefault="004A147C" w:rsidP="00CE5850">
            <w:pPr>
              <w:autoSpaceDE w:val="0"/>
              <w:autoSpaceDN w:val="0"/>
              <w:adjustRightInd w:val="0"/>
              <w:spacing w:after="120"/>
              <w:rPr>
                <w:kern w:val="0"/>
                <w:szCs w:val="22"/>
              </w:rPr>
            </w:pPr>
            <w:r w:rsidRPr="00B53FFB">
              <w:rPr>
                <w:kern w:val="0"/>
                <w:szCs w:val="22"/>
              </w:rPr>
              <w:t>Clearwire</w:t>
            </w:r>
          </w:p>
        </w:tc>
        <w:tc>
          <w:tcPr>
            <w:tcW w:w="0" w:type="auto"/>
            <w:shd w:val="clear" w:color="auto" w:fill="DAEEF3"/>
          </w:tcPr>
          <w:p w:rsidR="004A147C" w:rsidRPr="00B53FFB" w:rsidRDefault="004A147C" w:rsidP="00CE5850">
            <w:pPr>
              <w:autoSpaceDE w:val="0"/>
              <w:autoSpaceDN w:val="0"/>
              <w:adjustRightInd w:val="0"/>
              <w:spacing w:after="120"/>
              <w:jc w:val="right"/>
              <w:rPr>
                <w:kern w:val="0"/>
                <w:szCs w:val="22"/>
              </w:rPr>
            </w:pPr>
            <w:r w:rsidRPr="00B53FFB">
              <w:rPr>
                <w:kern w:val="0"/>
                <w:szCs w:val="22"/>
              </w:rPr>
              <w:t>-</w:t>
            </w:r>
          </w:p>
        </w:tc>
        <w:tc>
          <w:tcPr>
            <w:tcW w:w="0" w:type="auto"/>
            <w:shd w:val="clear" w:color="auto" w:fill="DAEEF3"/>
          </w:tcPr>
          <w:p w:rsidR="004A147C" w:rsidRPr="00B53FFB" w:rsidRDefault="004A147C" w:rsidP="00CE5850">
            <w:pPr>
              <w:autoSpaceDE w:val="0"/>
              <w:autoSpaceDN w:val="0"/>
              <w:adjustRightInd w:val="0"/>
              <w:spacing w:after="120"/>
              <w:jc w:val="right"/>
              <w:rPr>
                <w:kern w:val="0"/>
                <w:szCs w:val="22"/>
              </w:rPr>
            </w:pPr>
            <w:r w:rsidRPr="00B53FFB">
              <w:rPr>
                <w:kern w:val="0"/>
                <w:szCs w:val="22"/>
              </w:rPr>
              <w:t>-</w:t>
            </w:r>
          </w:p>
        </w:tc>
        <w:tc>
          <w:tcPr>
            <w:tcW w:w="0" w:type="auto"/>
            <w:shd w:val="clear" w:color="auto" w:fill="DAEEF3"/>
          </w:tcPr>
          <w:p w:rsidR="004A147C" w:rsidRPr="00B53FFB" w:rsidRDefault="004A147C" w:rsidP="00CE5850">
            <w:pPr>
              <w:autoSpaceDE w:val="0"/>
              <w:autoSpaceDN w:val="0"/>
              <w:adjustRightInd w:val="0"/>
              <w:spacing w:after="120"/>
              <w:jc w:val="right"/>
              <w:rPr>
                <w:kern w:val="0"/>
                <w:szCs w:val="22"/>
              </w:rPr>
            </w:pPr>
            <w:r w:rsidRPr="00B53FFB">
              <w:rPr>
                <w:kern w:val="0"/>
                <w:szCs w:val="22"/>
              </w:rPr>
              <w:t>108.9</w:t>
            </w:r>
          </w:p>
        </w:tc>
        <w:tc>
          <w:tcPr>
            <w:tcW w:w="0" w:type="auto"/>
            <w:shd w:val="clear" w:color="auto" w:fill="DAEEF3"/>
          </w:tcPr>
          <w:p w:rsidR="004A147C" w:rsidRPr="00B53FFB" w:rsidRDefault="004A147C" w:rsidP="00CE5850">
            <w:pPr>
              <w:autoSpaceDE w:val="0"/>
              <w:autoSpaceDN w:val="0"/>
              <w:adjustRightInd w:val="0"/>
              <w:spacing w:after="120"/>
              <w:jc w:val="right"/>
              <w:rPr>
                <w:kern w:val="0"/>
                <w:szCs w:val="22"/>
              </w:rPr>
            </w:pPr>
            <w:r w:rsidRPr="00B53FFB">
              <w:rPr>
                <w:kern w:val="0"/>
                <w:szCs w:val="22"/>
              </w:rPr>
              <w:t>105.1</w:t>
            </w:r>
          </w:p>
        </w:tc>
        <w:tc>
          <w:tcPr>
            <w:tcW w:w="0" w:type="auto"/>
            <w:shd w:val="clear" w:color="auto" w:fill="DAEEF3"/>
          </w:tcPr>
          <w:p w:rsidR="004A147C" w:rsidRPr="00E17287" w:rsidRDefault="004A147C" w:rsidP="00CE5850">
            <w:pPr>
              <w:jc w:val="right"/>
            </w:pPr>
            <w:r w:rsidRPr="00E17287">
              <w:t>105.3</w:t>
            </w:r>
          </w:p>
        </w:tc>
      </w:tr>
      <w:tr w:rsidR="004A147C" w:rsidRPr="00B53FFB" w:rsidTr="00EB019C">
        <w:trPr>
          <w:jc w:val="center"/>
        </w:trPr>
        <w:tc>
          <w:tcPr>
            <w:tcW w:w="0" w:type="auto"/>
            <w:shd w:val="clear" w:color="auto" w:fill="DAEEF3"/>
          </w:tcPr>
          <w:p w:rsidR="004A147C" w:rsidRPr="00B53FFB" w:rsidRDefault="004A147C" w:rsidP="00CE5850">
            <w:pPr>
              <w:autoSpaceDE w:val="0"/>
              <w:autoSpaceDN w:val="0"/>
              <w:adjustRightInd w:val="0"/>
              <w:spacing w:after="120"/>
              <w:rPr>
                <w:kern w:val="0"/>
                <w:szCs w:val="22"/>
              </w:rPr>
            </w:pPr>
            <w:r w:rsidRPr="00B53FFB">
              <w:rPr>
                <w:kern w:val="0"/>
                <w:szCs w:val="22"/>
              </w:rPr>
              <w:t>Leap</w:t>
            </w:r>
          </w:p>
        </w:tc>
        <w:tc>
          <w:tcPr>
            <w:tcW w:w="0" w:type="auto"/>
            <w:shd w:val="clear" w:color="auto" w:fill="DAEEF3"/>
          </w:tcPr>
          <w:p w:rsidR="004A147C" w:rsidRPr="00B53FFB" w:rsidRDefault="004A147C" w:rsidP="00CE5850">
            <w:pPr>
              <w:autoSpaceDE w:val="0"/>
              <w:autoSpaceDN w:val="0"/>
              <w:adjustRightInd w:val="0"/>
              <w:spacing w:after="120"/>
              <w:jc w:val="right"/>
              <w:rPr>
                <w:kern w:val="0"/>
                <w:szCs w:val="22"/>
              </w:rPr>
            </w:pPr>
            <w:r w:rsidRPr="00B53FFB">
              <w:rPr>
                <w:kern w:val="0"/>
                <w:szCs w:val="22"/>
              </w:rPr>
              <w:t>79.2</w:t>
            </w:r>
          </w:p>
        </w:tc>
        <w:tc>
          <w:tcPr>
            <w:tcW w:w="0" w:type="auto"/>
            <w:shd w:val="clear" w:color="auto" w:fill="DAEEF3"/>
          </w:tcPr>
          <w:p w:rsidR="004A147C" w:rsidRPr="00B53FFB" w:rsidRDefault="004A147C" w:rsidP="00CE5850">
            <w:pPr>
              <w:autoSpaceDE w:val="0"/>
              <w:autoSpaceDN w:val="0"/>
              <w:adjustRightInd w:val="0"/>
              <w:spacing w:after="120"/>
              <w:jc w:val="right"/>
              <w:rPr>
                <w:kern w:val="0"/>
                <w:szCs w:val="22"/>
              </w:rPr>
            </w:pPr>
            <w:r w:rsidRPr="00B53FFB">
              <w:rPr>
                <w:kern w:val="0"/>
                <w:szCs w:val="22"/>
              </w:rPr>
              <w:t>81.5</w:t>
            </w:r>
          </w:p>
        </w:tc>
        <w:tc>
          <w:tcPr>
            <w:tcW w:w="0" w:type="auto"/>
            <w:shd w:val="clear" w:color="auto" w:fill="DAEEF3"/>
          </w:tcPr>
          <w:p w:rsidR="004A147C" w:rsidRPr="00B53FFB" w:rsidRDefault="004A147C" w:rsidP="00CE5850">
            <w:pPr>
              <w:autoSpaceDE w:val="0"/>
              <w:autoSpaceDN w:val="0"/>
              <w:adjustRightInd w:val="0"/>
              <w:spacing w:after="120"/>
              <w:jc w:val="right"/>
              <w:rPr>
                <w:kern w:val="0"/>
                <w:szCs w:val="22"/>
              </w:rPr>
            </w:pPr>
            <w:r w:rsidRPr="00B53FFB">
              <w:rPr>
                <w:kern w:val="0"/>
                <w:szCs w:val="22"/>
              </w:rPr>
              <w:t>92.6</w:t>
            </w:r>
          </w:p>
        </w:tc>
        <w:tc>
          <w:tcPr>
            <w:tcW w:w="0" w:type="auto"/>
            <w:shd w:val="clear" w:color="auto" w:fill="DAEEF3"/>
          </w:tcPr>
          <w:p w:rsidR="004A147C" w:rsidRPr="00B53FFB" w:rsidRDefault="004A147C" w:rsidP="00CE5850">
            <w:pPr>
              <w:autoSpaceDE w:val="0"/>
              <w:autoSpaceDN w:val="0"/>
              <w:adjustRightInd w:val="0"/>
              <w:spacing w:after="120"/>
              <w:jc w:val="right"/>
              <w:rPr>
                <w:kern w:val="0"/>
                <w:szCs w:val="22"/>
              </w:rPr>
            </w:pPr>
            <w:r w:rsidRPr="00B53FFB">
              <w:rPr>
                <w:kern w:val="0"/>
                <w:szCs w:val="22"/>
              </w:rPr>
              <w:t>92.3</w:t>
            </w:r>
          </w:p>
        </w:tc>
        <w:tc>
          <w:tcPr>
            <w:tcW w:w="0" w:type="auto"/>
            <w:shd w:val="clear" w:color="auto" w:fill="DAEEF3"/>
          </w:tcPr>
          <w:p w:rsidR="004A147C" w:rsidRPr="00E17287" w:rsidRDefault="004A147C" w:rsidP="00CE5850">
            <w:pPr>
              <w:jc w:val="right"/>
            </w:pPr>
            <w:r w:rsidRPr="00E17287">
              <w:t>93.4</w:t>
            </w:r>
          </w:p>
        </w:tc>
      </w:tr>
      <w:tr w:rsidR="004A147C" w:rsidRPr="00B53FFB" w:rsidTr="00EB019C">
        <w:trPr>
          <w:jc w:val="center"/>
        </w:trPr>
        <w:tc>
          <w:tcPr>
            <w:tcW w:w="0" w:type="auto"/>
            <w:shd w:val="clear" w:color="auto" w:fill="DAEEF3"/>
          </w:tcPr>
          <w:p w:rsidR="004A147C" w:rsidRPr="00B53FFB" w:rsidRDefault="004A147C" w:rsidP="00CE5850">
            <w:pPr>
              <w:autoSpaceDE w:val="0"/>
              <w:autoSpaceDN w:val="0"/>
              <w:adjustRightInd w:val="0"/>
              <w:spacing w:after="120"/>
              <w:rPr>
                <w:kern w:val="0"/>
                <w:szCs w:val="22"/>
              </w:rPr>
            </w:pPr>
            <w:r w:rsidRPr="00B53FFB">
              <w:rPr>
                <w:kern w:val="0"/>
                <w:szCs w:val="22"/>
              </w:rPr>
              <w:t>US Cellular</w:t>
            </w:r>
          </w:p>
        </w:tc>
        <w:tc>
          <w:tcPr>
            <w:tcW w:w="0" w:type="auto"/>
            <w:shd w:val="clear" w:color="auto" w:fill="DAEEF3"/>
          </w:tcPr>
          <w:p w:rsidR="004A147C" w:rsidRPr="00B53FFB" w:rsidRDefault="004A147C" w:rsidP="00CE5850">
            <w:pPr>
              <w:autoSpaceDE w:val="0"/>
              <w:autoSpaceDN w:val="0"/>
              <w:adjustRightInd w:val="0"/>
              <w:spacing w:after="120"/>
              <w:jc w:val="right"/>
              <w:rPr>
                <w:kern w:val="0"/>
                <w:szCs w:val="22"/>
              </w:rPr>
            </w:pPr>
            <w:r w:rsidRPr="00B53FFB">
              <w:rPr>
                <w:kern w:val="0"/>
                <w:szCs w:val="22"/>
              </w:rPr>
              <w:t>26.6</w:t>
            </w:r>
          </w:p>
        </w:tc>
        <w:tc>
          <w:tcPr>
            <w:tcW w:w="0" w:type="auto"/>
            <w:shd w:val="clear" w:color="auto" w:fill="DAEEF3"/>
          </w:tcPr>
          <w:p w:rsidR="004A147C" w:rsidRPr="00B53FFB" w:rsidRDefault="004A147C" w:rsidP="00CE5850">
            <w:pPr>
              <w:autoSpaceDE w:val="0"/>
              <w:autoSpaceDN w:val="0"/>
              <w:adjustRightInd w:val="0"/>
              <w:spacing w:after="120"/>
              <w:jc w:val="right"/>
              <w:rPr>
                <w:kern w:val="0"/>
                <w:szCs w:val="22"/>
              </w:rPr>
            </w:pPr>
            <w:r w:rsidRPr="00B53FFB">
              <w:rPr>
                <w:kern w:val="0"/>
                <w:szCs w:val="22"/>
              </w:rPr>
              <w:t>30.0</w:t>
            </w:r>
          </w:p>
        </w:tc>
        <w:tc>
          <w:tcPr>
            <w:tcW w:w="0" w:type="auto"/>
            <w:shd w:val="clear" w:color="auto" w:fill="DAEEF3"/>
          </w:tcPr>
          <w:p w:rsidR="004A147C" w:rsidRPr="00B53FFB" w:rsidRDefault="004A147C" w:rsidP="00CE5850">
            <w:pPr>
              <w:autoSpaceDE w:val="0"/>
              <w:autoSpaceDN w:val="0"/>
              <w:adjustRightInd w:val="0"/>
              <w:spacing w:after="120"/>
              <w:jc w:val="right"/>
              <w:rPr>
                <w:kern w:val="0"/>
                <w:szCs w:val="22"/>
              </w:rPr>
            </w:pPr>
            <w:r w:rsidRPr="00B53FFB">
              <w:rPr>
                <w:kern w:val="0"/>
                <w:szCs w:val="22"/>
              </w:rPr>
              <w:t>40.7</w:t>
            </w:r>
          </w:p>
        </w:tc>
        <w:tc>
          <w:tcPr>
            <w:tcW w:w="0" w:type="auto"/>
            <w:shd w:val="clear" w:color="auto" w:fill="DAEEF3"/>
          </w:tcPr>
          <w:p w:rsidR="004A147C" w:rsidRPr="00B53FFB" w:rsidRDefault="004A147C" w:rsidP="00CE5850">
            <w:pPr>
              <w:autoSpaceDE w:val="0"/>
              <w:autoSpaceDN w:val="0"/>
              <w:adjustRightInd w:val="0"/>
              <w:spacing w:after="120"/>
              <w:jc w:val="right"/>
              <w:rPr>
                <w:kern w:val="0"/>
                <w:szCs w:val="22"/>
              </w:rPr>
            </w:pPr>
            <w:r w:rsidRPr="00B53FFB">
              <w:rPr>
                <w:kern w:val="0"/>
                <w:szCs w:val="22"/>
              </w:rPr>
              <w:t>41.1</w:t>
            </w:r>
          </w:p>
        </w:tc>
        <w:tc>
          <w:tcPr>
            <w:tcW w:w="0" w:type="auto"/>
            <w:shd w:val="clear" w:color="auto" w:fill="DAEEF3"/>
          </w:tcPr>
          <w:p w:rsidR="004A147C" w:rsidRDefault="004A147C" w:rsidP="00CE5850">
            <w:pPr>
              <w:jc w:val="right"/>
            </w:pPr>
            <w:r w:rsidRPr="00E17287">
              <w:t>43.2</w:t>
            </w:r>
          </w:p>
        </w:tc>
      </w:tr>
    </w:tbl>
    <w:p w:rsidR="004A147C" w:rsidRDefault="004A147C" w:rsidP="00CE5850">
      <w:pPr>
        <w:pStyle w:val="ParaNum"/>
        <w:numPr>
          <w:ilvl w:val="0"/>
          <w:numId w:val="28"/>
        </w:numPr>
        <w:tabs>
          <w:tab w:val="num" w:pos="1440"/>
        </w:tabs>
        <w:spacing w:before="120"/>
        <w:rPr>
          <w:sz w:val="22"/>
          <w:szCs w:val="22"/>
        </w:rPr>
      </w:pPr>
      <w:bookmarkStart w:id="924" w:name="_Ref256514139"/>
      <w:bookmarkStart w:id="925" w:name="_Ref256078687"/>
      <w:r w:rsidRPr="00B53FFB">
        <w:rPr>
          <w:sz w:val="22"/>
          <w:szCs w:val="22"/>
        </w:rPr>
        <w:t>We next estimate the percentage of the U.S. population, land area, and road miles covered by a certain number of facilities-based mobile wireless service providers based on the Mosaik data</w:t>
      </w:r>
      <w:r>
        <w:rPr>
          <w:sz w:val="22"/>
          <w:szCs w:val="22"/>
        </w:rPr>
        <w:t xml:space="preserve"> (Tables 4-5)</w:t>
      </w:r>
      <w:r w:rsidRPr="00B53FFB">
        <w:rPr>
          <w:sz w:val="22"/>
          <w:szCs w:val="22"/>
        </w:rPr>
        <w:t>.</w:t>
      </w:r>
      <w:r>
        <w:rPr>
          <w:rStyle w:val="FootnoteReference"/>
          <w:szCs w:val="22"/>
        </w:rPr>
        <w:footnoteReference w:id="149"/>
      </w:r>
      <w:r w:rsidRPr="00B53FFB">
        <w:rPr>
          <w:sz w:val="22"/>
          <w:szCs w:val="22"/>
        </w:rPr>
        <w:t xml:space="preserve">  </w:t>
      </w:r>
      <w:r w:rsidR="00951E9B">
        <w:fldChar w:fldCharType="begin"/>
      </w:r>
      <w:r w:rsidR="00951E9B">
        <w:instrText xml:space="preserve"> REF _Ref257909090  \* MERGEFORMAT </w:instrText>
      </w:r>
      <w:r w:rsidR="00951E9B">
        <w:fldChar w:fldCharType="separate"/>
      </w:r>
      <w:r w:rsidR="00CA3AC6" w:rsidRPr="00CA3AC6">
        <w:rPr>
          <w:sz w:val="22"/>
          <w:szCs w:val="22"/>
        </w:rPr>
        <w:t>Map 3</w:t>
      </w:r>
      <w:r w:rsidR="00951E9B">
        <w:rPr>
          <w:sz w:val="22"/>
          <w:szCs w:val="22"/>
        </w:rPr>
        <w:fldChar w:fldCharType="end"/>
      </w:r>
      <w:r w:rsidRPr="00B53FFB">
        <w:rPr>
          <w:sz w:val="22"/>
          <w:szCs w:val="22"/>
        </w:rPr>
        <w:t xml:space="preserve"> below depicts an estimate of the areas of the United States covered by a certain number of facilities-based providers.  More detailed regional maps, as well as an enlarged version of Map 3 below, are available in Appendix C. </w:t>
      </w:r>
      <w:r>
        <w:rPr>
          <w:sz w:val="22"/>
          <w:szCs w:val="22"/>
        </w:rPr>
        <w:t xml:space="preserve"> As stated above, these estimates of coverage represent deployment of mobile wireless networks and do not indicate the extent to which providers actually offer service to residents in the covered areas.</w:t>
      </w:r>
    </w:p>
    <w:p w:rsidR="006E42E5" w:rsidRDefault="006E42E5" w:rsidP="006E42E5">
      <w:pPr>
        <w:pStyle w:val="ParaNum"/>
        <w:tabs>
          <w:tab w:val="clear" w:pos="1440"/>
        </w:tabs>
        <w:spacing w:before="120"/>
        <w:rPr>
          <w:sz w:val="22"/>
          <w:szCs w:val="22"/>
        </w:rPr>
      </w:pPr>
    </w:p>
    <w:p w:rsidR="006E42E5" w:rsidRDefault="006E42E5" w:rsidP="006E42E5">
      <w:pPr>
        <w:pStyle w:val="ParaNum"/>
        <w:tabs>
          <w:tab w:val="clear" w:pos="1440"/>
        </w:tabs>
        <w:spacing w:before="120"/>
        <w:rPr>
          <w:sz w:val="22"/>
          <w:szCs w:val="22"/>
        </w:rPr>
      </w:pPr>
    </w:p>
    <w:p w:rsidR="006E42E5" w:rsidRPr="00B53FFB" w:rsidRDefault="006E42E5" w:rsidP="006E42E5">
      <w:pPr>
        <w:pStyle w:val="ParaNum"/>
        <w:tabs>
          <w:tab w:val="clear" w:pos="1440"/>
        </w:tabs>
        <w:spacing w:before="120"/>
        <w:rPr>
          <w:sz w:val="22"/>
          <w:szCs w:val="22"/>
        </w:rPr>
      </w:pPr>
    </w:p>
    <w:p w:rsidR="004A147C" w:rsidRPr="00B53FFB" w:rsidRDefault="004A147C" w:rsidP="00CE5850">
      <w:pPr>
        <w:pStyle w:val="ParaNum"/>
        <w:tabs>
          <w:tab w:val="clear" w:pos="1440"/>
        </w:tabs>
        <w:spacing w:after="0"/>
        <w:ind w:firstLine="0"/>
        <w:jc w:val="center"/>
        <w:rPr>
          <w:b/>
          <w:sz w:val="22"/>
          <w:szCs w:val="22"/>
        </w:rPr>
      </w:pPr>
      <w:bookmarkStart w:id="926" w:name="_Ref257909090"/>
      <w:bookmarkStart w:id="927" w:name="_Toc257295910"/>
      <w:r w:rsidRPr="00B53FFB">
        <w:rPr>
          <w:b/>
          <w:sz w:val="22"/>
          <w:szCs w:val="22"/>
        </w:rPr>
        <w:lastRenderedPageBreak/>
        <w:t xml:space="preserve">Map </w:t>
      </w:r>
      <w:r w:rsidR="0007014B" w:rsidRPr="00B53FFB">
        <w:rPr>
          <w:b/>
          <w:sz w:val="22"/>
          <w:szCs w:val="22"/>
        </w:rPr>
        <w:fldChar w:fldCharType="begin"/>
      </w:r>
      <w:r w:rsidRPr="00B53FFB">
        <w:rPr>
          <w:b/>
          <w:sz w:val="22"/>
          <w:szCs w:val="22"/>
        </w:rPr>
        <w:instrText xml:space="preserve"> SEQ Map \* ARABIC </w:instrText>
      </w:r>
      <w:r w:rsidR="0007014B" w:rsidRPr="00B53FFB">
        <w:rPr>
          <w:b/>
          <w:sz w:val="22"/>
          <w:szCs w:val="22"/>
        </w:rPr>
        <w:fldChar w:fldCharType="separate"/>
      </w:r>
      <w:r w:rsidR="00CA3AC6">
        <w:rPr>
          <w:b/>
          <w:noProof/>
          <w:sz w:val="22"/>
          <w:szCs w:val="22"/>
        </w:rPr>
        <w:t>3</w:t>
      </w:r>
      <w:r w:rsidR="0007014B" w:rsidRPr="00B53FFB">
        <w:rPr>
          <w:b/>
          <w:sz w:val="22"/>
          <w:szCs w:val="22"/>
        </w:rPr>
        <w:fldChar w:fldCharType="end"/>
      </w:r>
      <w:bookmarkEnd w:id="924"/>
      <w:bookmarkEnd w:id="926"/>
      <w:r w:rsidR="006E42E5">
        <w:rPr>
          <w:b/>
          <w:sz w:val="22"/>
          <w:szCs w:val="22"/>
        </w:rPr>
        <w:t xml:space="preserve">: </w:t>
      </w:r>
      <w:r w:rsidRPr="00B53FFB">
        <w:rPr>
          <w:b/>
          <w:sz w:val="22"/>
          <w:szCs w:val="22"/>
        </w:rPr>
        <w:t>Coverage by Mobile Wireless Competitors</w:t>
      </w:r>
      <w:bookmarkEnd w:id="925"/>
      <w:bookmarkEnd w:id="927"/>
    </w:p>
    <w:p w:rsidR="004A147C" w:rsidRPr="00B53FFB" w:rsidRDefault="00C81B24" w:rsidP="00CE5850">
      <w:pPr>
        <w:pStyle w:val="ParaNum"/>
        <w:tabs>
          <w:tab w:val="clear" w:pos="1440"/>
        </w:tabs>
        <w:ind w:firstLine="0"/>
        <w:jc w:val="center"/>
        <w:rPr>
          <w:b/>
          <w:sz w:val="22"/>
          <w:szCs w:val="22"/>
        </w:rPr>
      </w:pPr>
      <w:r>
        <w:rPr>
          <w:noProof/>
        </w:rPr>
        <w:drawing>
          <wp:inline distT="0" distB="0" distL="0" distR="0" wp14:anchorId="4573F2E7" wp14:editId="0C3A72B2">
            <wp:extent cx="3091638" cy="4581525"/>
            <wp:effectExtent l="0" t="2223" r="0" b="0"/>
            <wp:docPr id="23" name="Picture 23" descr="Terrestrial Wireless Coverage by Number of Providers Over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Terrestrial Wireless Coverage by Number of Providers Overview"/>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rot="5400000">
                      <a:off x="0" y="0"/>
                      <a:ext cx="3113985" cy="4614641"/>
                    </a:xfrm>
                    <a:prstGeom prst="rect">
                      <a:avLst/>
                    </a:prstGeom>
                    <a:noFill/>
                    <a:ln>
                      <a:noFill/>
                    </a:ln>
                  </pic:spPr>
                </pic:pic>
              </a:graphicData>
            </a:graphic>
          </wp:inline>
        </w:drawing>
      </w:r>
    </w:p>
    <w:p w:rsidR="004A147C" w:rsidRPr="00B53FFB" w:rsidRDefault="004A147C" w:rsidP="00CE5850">
      <w:pPr>
        <w:pStyle w:val="Caption"/>
        <w:widowControl w:val="0"/>
        <w:jc w:val="center"/>
        <w:rPr>
          <w:sz w:val="22"/>
          <w:szCs w:val="22"/>
        </w:rPr>
      </w:pPr>
      <w:bookmarkStart w:id="928" w:name="_Ref325468508"/>
      <w:bookmarkStart w:id="929" w:name="_Ref256580031"/>
      <w:bookmarkStart w:id="930" w:name="_Ref255988980"/>
      <w:bookmarkStart w:id="931" w:name="_Ref278190667"/>
      <w:r w:rsidRPr="00B53FFB">
        <w:rPr>
          <w:sz w:val="22"/>
          <w:szCs w:val="22"/>
        </w:rPr>
        <w:t xml:space="preserve">Table </w:t>
      </w:r>
      <w:r w:rsidR="0007014B" w:rsidRPr="00B53FFB">
        <w:rPr>
          <w:sz w:val="22"/>
          <w:szCs w:val="22"/>
        </w:rPr>
        <w:fldChar w:fldCharType="begin"/>
      </w:r>
      <w:r w:rsidRPr="00B53FFB">
        <w:rPr>
          <w:sz w:val="22"/>
          <w:szCs w:val="22"/>
        </w:rPr>
        <w:instrText xml:space="preserve"> SEQ Table \* ARABIC </w:instrText>
      </w:r>
      <w:r w:rsidR="0007014B" w:rsidRPr="00B53FFB">
        <w:rPr>
          <w:sz w:val="22"/>
          <w:szCs w:val="22"/>
        </w:rPr>
        <w:fldChar w:fldCharType="separate"/>
      </w:r>
      <w:r w:rsidR="00CA3AC6">
        <w:rPr>
          <w:noProof/>
          <w:sz w:val="22"/>
          <w:szCs w:val="22"/>
        </w:rPr>
        <w:t>4</w:t>
      </w:r>
      <w:r w:rsidR="0007014B" w:rsidRPr="00B53FFB">
        <w:rPr>
          <w:sz w:val="22"/>
          <w:szCs w:val="22"/>
        </w:rPr>
        <w:fldChar w:fldCharType="end"/>
      </w:r>
      <w:bookmarkEnd w:id="928"/>
      <w:r w:rsidRPr="00B53FFB">
        <w:rPr>
          <w:sz w:val="22"/>
          <w:szCs w:val="22"/>
        </w:rPr>
        <w:br/>
        <w:t>Estimated Mobile Wireless Coverage by Census Block, Jan. 2012</w:t>
      </w:r>
      <w:r w:rsidRPr="00B53FFB">
        <w:rPr>
          <w:rStyle w:val="FootnoteReference"/>
          <w:b w:val="0"/>
          <w:szCs w:val="22"/>
        </w:rPr>
        <w:footnoteReference w:id="150"/>
      </w:r>
      <w:bookmarkEnd w:id="929"/>
      <w:bookmarkEnd w:id="930"/>
      <w:bookmarkEnd w:id="931"/>
    </w:p>
    <w:tbl>
      <w:tblPr>
        <w:tblW w:w="8973" w:type="dxa"/>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0" w:type="dxa"/>
          <w:right w:w="0" w:type="dxa"/>
        </w:tblCellMar>
        <w:tblLook w:val="00A0" w:firstRow="1" w:lastRow="0" w:firstColumn="1" w:lastColumn="0" w:noHBand="0" w:noVBand="0"/>
      </w:tblPr>
      <w:tblGrid>
        <w:gridCol w:w="1170"/>
        <w:gridCol w:w="1284"/>
        <w:gridCol w:w="1284"/>
        <w:gridCol w:w="895"/>
        <w:gridCol w:w="1284"/>
        <w:gridCol w:w="990"/>
        <w:gridCol w:w="1284"/>
        <w:gridCol w:w="833"/>
      </w:tblGrid>
      <w:tr w:rsidR="004A147C" w:rsidRPr="00B53FFB" w:rsidTr="00375F76">
        <w:trPr>
          <w:cantSplit/>
          <w:trHeight w:val="765"/>
          <w:jc w:val="center"/>
        </w:trPr>
        <w:tc>
          <w:tcPr>
            <w:tcW w:w="1170" w:type="dxa"/>
            <w:shd w:val="clear" w:color="auto" w:fill="F2DBDB"/>
            <w:tcMar>
              <w:top w:w="0" w:type="dxa"/>
              <w:left w:w="108" w:type="dxa"/>
              <w:bottom w:w="0" w:type="dxa"/>
              <w:right w:w="108" w:type="dxa"/>
            </w:tcMar>
          </w:tcPr>
          <w:p w:rsidR="004A147C" w:rsidRPr="007D38C2" w:rsidRDefault="004A147C" w:rsidP="00CE5850">
            <w:pPr>
              <w:snapToGrid w:val="0"/>
              <w:jc w:val="center"/>
              <w:rPr>
                <w:rFonts w:eastAsia="Times New Roman"/>
                <w:b/>
                <w:bCs/>
                <w:sz w:val="20"/>
              </w:rPr>
            </w:pPr>
            <w:r w:rsidRPr="007D38C2">
              <w:rPr>
                <w:b/>
                <w:bCs/>
                <w:sz w:val="20"/>
              </w:rPr>
              <w:t>Number of Providers with Coverage in a Block</w:t>
            </w:r>
          </w:p>
        </w:tc>
        <w:tc>
          <w:tcPr>
            <w:tcW w:w="1284" w:type="dxa"/>
            <w:shd w:val="clear" w:color="auto" w:fill="F2DBDB"/>
            <w:tcMar>
              <w:top w:w="0" w:type="dxa"/>
              <w:left w:w="108" w:type="dxa"/>
              <w:bottom w:w="0" w:type="dxa"/>
              <w:right w:w="108" w:type="dxa"/>
            </w:tcMar>
          </w:tcPr>
          <w:p w:rsidR="004A147C" w:rsidRPr="007D38C2" w:rsidRDefault="004A147C" w:rsidP="00CE5850">
            <w:pPr>
              <w:snapToGrid w:val="0"/>
              <w:jc w:val="center"/>
              <w:rPr>
                <w:rFonts w:eastAsia="Times New Roman"/>
                <w:b/>
                <w:bCs/>
                <w:sz w:val="20"/>
              </w:rPr>
            </w:pPr>
            <w:r w:rsidRPr="007D38C2">
              <w:rPr>
                <w:b/>
                <w:bCs/>
                <w:sz w:val="20"/>
              </w:rPr>
              <w:t xml:space="preserve">Number </w:t>
            </w:r>
          </w:p>
          <w:p w:rsidR="004A147C" w:rsidRPr="007D38C2" w:rsidRDefault="004A147C" w:rsidP="00CE5850">
            <w:pPr>
              <w:snapToGrid w:val="0"/>
              <w:jc w:val="center"/>
              <w:rPr>
                <w:b/>
                <w:bCs/>
                <w:sz w:val="20"/>
              </w:rPr>
            </w:pPr>
            <w:r w:rsidRPr="007D38C2">
              <w:rPr>
                <w:b/>
                <w:bCs/>
                <w:sz w:val="20"/>
              </w:rPr>
              <w:t>of Blocks</w:t>
            </w:r>
          </w:p>
          <w:p w:rsidR="004A147C" w:rsidRPr="007D38C2" w:rsidRDefault="004A147C" w:rsidP="00CE5850">
            <w:pPr>
              <w:snapToGrid w:val="0"/>
              <w:jc w:val="center"/>
              <w:rPr>
                <w:rFonts w:eastAsia="Times New Roman"/>
                <w:b/>
                <w:bCs/>
                <w:sz w:val="20"/>
              </w:rPr>
            </w:pPr>
            <w:r w:rsidRPr="007D38C2">
              <w:rPr>
                <w:b/>
                <w:bCs/>
                <w:sz w:val="20"/>
              </w:rPr>
              <w:t>(Thousands)</w:t>
            </w:r>
          </w:p>
        </w:tc>
        <w:tc>
          <w:tcPr>
            <w:tcW w:w="1284" w:type="dxa"/>
            <w:shd w:val="clear" w:color="auto" w:fill="F2DBDB"/>
            <w:tcMar>
              <w:top w:w="0" w:type="dxa"/>
              <w:left w:w="108" w:type="dxa"/>
              <w:bottom w:w="0" w:type="dxa"/>
              <w:right w:w="108" w:type="dxa"/>
            </w:tcMar>
          </w:tcPr>
          <w:p w:rsidR="004A147C" w:rsidRPr="007D38C2" w:rsidRDefault="004A147C" w:rsidP="00CE5850">
            <w:pPr>
              <w:snapToGrid w:val="0"/>
              <w:jc w:val="center"/>
              <w:rPr>
                <w:rFonts w:eastAsia="Times New Roman"/>
                <w:b/>
                <w:bCs/>
                <w:sz w:val="20"/>
              </w:rPr>
            </w:pPr>
            <w:r w:rsidRPr="007D38C2">
              <w:rPr>
                <w:b/>
                <w:bCs/>
                <w:sz w:val="20"/>
              </w:rPr>
              <w:t>POPs Contained in Those Blocks</w:t>
            </w:r>
          </w:p>
          <w:p w:rsidR="004A147C" w:rsidRPr="007D38C2" w:rsidRDefault="004A147C" w:rsidP="00CE5850">
            <w:pPr>
              <w:snapToGrid w:val="0"/>
              <w:jc w:val="center"/>
              <w:rPr>
                <w:rFonts w:eastAsia="Times New Roman"/>
                <w:b/>
                <w:bCs/>
                <w:sz w:val="20"/>
              </w:rPr>
            </w:pPr>
            <w:r w:rsidRPr="007D38C2">
              <w:rPr>
                <w:b/>
                <w:bCs/>
                <w:sz w:val="20"/>
              </w:rPr>
              <w:t>(Thousands)</w:t>
            </w:r>
          </w:p>
        </w:tc>
        <w:tc>
          <w:tcPr>
            <w:tcW w:w="895" w:type="dxa"/>
            <w:shd w:val="clear" w:color="auto" w:fill="F2DBDB"/>
            <w:tcMar>
              <w:top w:w="0" w:type="dxa"/>
              <w:left w:w="108" w:type="dxa"/>
              <w:bottom w:w="0" w:type="dxa"/>
              <w:right w:w="108" w:type="dxa"/>
            </w:tcMar>
          </w:tcPr>
          <w:p w:rsidR="004A147C" w:rsidRPr="007D38C2" w:rsidRDefault="004A147C" w:rsidP="00CE5850">
            <w:pPr>
              <w:snapToGrid w:val="0"/>
              <w:jc w:val="center"/>
              <w:rPr>
                <w:rFonts w:eastAsia="Times New Roman"/>
                <w:b/>
                <w:bCs/>
                <w:sz w:val="20"/>
              </w:rPr>
            </w:pPr>
            <w:r w:rsidRPr="007D38C2">
              <w:rPr>
                <w:b/>
                <w:bCs/>
                <w:sz w:val="20"/>
              </w:rPr>
              <w:t>% of Total US POPs</w:t>
            </w:r>
          </w:p>
        </w:tc>
        <w:tc>
          <w:tcPr>
            <w:tcW w:w="1284" w:type="dxa"/>
            <w:shd w:val="clear" w:color="auto" w:fill="F2DBDB"/>
            <w:tcMar>
              <w:top w:w="0" w:type="dxa"/>
              <w:left w:w="108" w:type="dxa"/>
              <w:bottom w:w="0" w:type="dxa"/>
              <w:right w:w="108" w:type="dxa"/>
            </w:tcMar>
          </w:tcPr>
          <w:p w:rsidR="004A147C" w:rsidRPr="007D38C2" w:rsidRDefault="004A147C" w:rsidP="00CE5850">
            <w:pPr>
              <w:snapToGrid w:val="0"/>
              <w:jc w:val="center"/>
              <w:rPr>
                <w:rFonts w:eastAsia="Times New Roman"/>
                <w:b/>
                <w:bCs/>
                <w:sz w:val="20"/>
              </w:rPr>
            </w:pPr>
            <w:r w:rsidRPr="007D38C2">
              <w:rPr>
                <w:b/>
                <w:bCs/>
                <w:sz w:val="20"/>
              </w:rPr>
              <w:t>Square Miles Contained in Those Blocks</w:t>
            </w:r>
          </w:p>
          <w:p w:rsidR="004A147C" w:rsidRPr="007D38C2" w:rsidRDefault="004A147C" w:rsidP="00CE5850">
            <w:pPr>
              <w:snapToGrid w:val="0"/>
              <w:jc w:val="center"/>
              <w:rPr>
                <w:rFonts w:eastAsia="Times New Roman"/>
                <w:b/>
                <w:bCs/>
                <w:sz w:val="20"/>
              </w:rPr>
            </w:pPr>
            <w:r w:rsidRPr="007D38C2">
              <w:rPr>
                <w:b/>
                <w:bCs/>
                <w:sz w:val="20"/>
              </w:rPr>
              <w:t>(Thousands)</w:t>
            </w:r>
          </w:p>
        </w:tc>
        <w:tc>
          <w:tcPr>
            <w:tcW w:w="990" w:type="dxa"/>
            <w:shd w:val="clear" w:color="auto" w:fill="F2DBDB"/>
            <w:tcMar>
              <w:top w:w="0" w:type="dxa"/>
              <w:left w:w="108" w:type="dxa"/>
              <w:bottom w:w="0" w:type="dxa"/>
              <w:right w:w="108" w:type="dxa"/>
            </w:tcMar>
          </w:tcPr>
          <w:p w:rsidR="004A147C" w:rsidRPr="007D38C2" w:rsidRDefault="004A147C" w:rsidP="00CE5850">
            <w:pPr>
              <w:snapToGrid w:val="0"/>
              <w:jc w:val="center"/>
              <w:rPr>
                <w:rFonts w:eastAsia="Times New Roman"/>
                <w:b/>
                <w:bCs/>
                <w:sz w:val="20"/>
              </w:rPr>
            </w:pPr>
            <w:r w:rsidRPr="007D38C2">
              <w:rPr>
                <w:b/>
                <w:bCs/>
                <w:sz w:val="20"/>
              </w:rPr>
              <w:t>% of Total US Square Miles</w:t>
            </w:r>
          </w:p>
        </w:tc>
        <w:tc>
          <w:tcPr>
            <w:tcW w:w="1284" w:type="dxa"/>
            <w:shd w:val="clear" w:color="auto" w:fill="F2DBDB"/>
            <w:tcMar>
              <w:top w:w="0" w:type="dxa"/>
              <w:left w:w="108" w:type="dxa"/>
              <w:bottom w:w="0" w:type="dxa"/>
              <w:right w:w="108" w:type="dxa"/>
            </w:tcMar>
          </w:tcPr>
          <w:p w:rsidR="004A147C" w:rsidRPr="007D38C2" w:rsidRDefault="004A147C" w:rsidP="00CE5850">
            <w:pPr>
              <w:snapToGrid w:val="0"/>
              <w:jc w:val="center"/>
              <w:rPr>
                <w:rFonts w:eastAsia="Times New Roman"/>
                <w:b/>
                <w:bCs/>
                <w:sz w:val="20"/>
              </w:rPr>
            </w:pPr>
            <w:r w:rsidRPr="007D38C2">
              <w:rPr>
                <w:b/>
                <w:bCs/>
                <w:sz w:val="20"/>
              </w:rPr>
              <w:t>Road</w:t>
            </w:r>
          </w:p>
          <w:p w:rsidR="004A147C" w:rsidRPr="007D38C2" w:rsidRDefault="004A147C" w:rsidP="00CE5850">
            <w:pPr>
              <w:snapToGrid w:val="0"/>
              <w:jc w:val="center"/>
              <w:rPr>
                <w:rFonts w:eastAsia="Times New Roman"/>
                <w:b/>
                <w:bCs/>
                <w:sz w:val="20"/>
              </w:rPr>
            </w:pPr>
            <w:r w:rsidRPr="007D38C2">
              <w:rPr>
                <w:b/>
                <w:bCs/>
                <w:sz w:val="20"/>
              </w:rPr>
              <w:t>Miles Contained in Those Blocks (Thousands)</w:t>
            </w:r>
          </w:p>
        </w:tc>
        <w:tc>
          <w:tcPr>
            <w:tcW w:w="782" w:type="dxa"/>
            <w:shd w:val="clear" w:color="auto" w:fill="F2DBDB"/>
            <w:tcMar>
              <w:top w:w="0" w:type="dxa"/>
              <w:left w:w="108" w:type="dxa"/>
              <w:bottom w:w="0" w:type="dxa"/>
              <w:right w:w="108" w:type="dxa"/>
            </w:tcMar>
          </w:tcPr>
          <w:p w:rsidR="004A147C" w:rsidRPr="007D38C2" w:rsidRDefault="004A147C" w:rsidP="00CE5850">
            <w:pPr>
              <w:snapToGrid w:val="0"/>
              <w:jc w:val="center"/>
              <w:rPr>
                <w:rFonts w:eastAsia="Times New Roman"/>
                <w:b/>
                <w:bCs/>
                <w:sz w:val="20"/>
              </w:rPr>
            </w:pPr>
            <w:r w:rsidRPr="007D38C2">
              <w:rPr>
                <w:b/>
                <w:bCs/>
                <w:sz w:val="20"/>
              </w:rPr>
              <w:t>% of Total US Road Miles</w:t>
            </w:r>
          </w:p>
        </w:tc>
      </w:tr>
      <w:tr w:rsidR="004A147C" w:rsidRPr="00B53FFB" w:rsidTr="00375F76">
        <w:trPr>
          <w:cantSplit/>
          <w:trHeight w:val="255"/>
          <w:jc w:val="center"/>
        </w:trPr>
        <w:tc>
          <w:tcPr>
            <w:tcW w:w="1170" w:type="dxa"/>
            <w:shd w:val="clear" w:color="auto" w:fill="F2DBDB"/>
            <w:noWrap/>
            <w:tcMar>
              <w:top w:w="0" w:type="dxa"/>
              <w:left w:w="108" w:type="dxa"/>
              <w:bottom w:w="0" w:type="dxa"/>
              <w:right w:w="108" w:type="dxa"/>
            </w:tcMar>
          </w:tcPr>
          <w:p w:rsidR="004A147C" w:rsidRPr="007D38C2" w:rsidRDefault="004A147C" w:rsidP="00CE5850">
            <w:pPr>
              <w:snapToGrid w:val="0"/>
              <w:jc w:val="center"/>
              <w:rPr>
                <w:rFonts w:eastAsia="Times New Roman"/>
                <w:bCs/>
                <w:i/>
                <w:sz w:val="20"/>
              </w:rPr>
            </w:pPr>
            <w:r w:rsidRPr="007D38C2">
              <w:rPr>
                <w:bCs/>
                <w:i/>
                <w:sz w:val="20"/>
              </w:rPr>
              <w:t>US Total</w:t>
            </w:r>
          </w:p>
        </w:tc>
        <w:tc>
          <w:tcPr>
            <w:tcW w:w="1284" w:type="dxa"/>
            <w:shd w:val="clear" w:color="auto" w:fill="F2DBDB"/>
            <w:noWrap/>
            <w:tcMar>
              <w:top w:w="0" w:type="dxa"/>
              <w:left w:w="108" w:type="dxa"/>
              <w:bottom w:w="0" w:type="dxa"/>
              <w:right w:w="108" w:type="dxa"/>
            </w:tcMar>
          </w:tcPr>
          <w:p w:rsidR="004A147C" w:rsidRPr="003109E1" w:rsidRDefault="004A147C" w:rsidP="00CE5850">
            <w:pPr>
              <w:jc w:val="center"/>
              <w:rPr>
                <w:sz w:val="20"/>
              </w:rPr>
            </w:pPr>
            <w:r w:rsidRPr="003109E1">
              <w:rPr>
                <w:sz w:val="20"/>
              </w:rPr>
              <w:t>11,155</w:t>
            </w:r>
          </w:p>
        </w:tc>
        <w:tc>
          <w:tcPr>
            <w:tcW w:w="1284" w:type="dxa"/>
            <w:shd w:val="clear" w:color="auto" w:fill="F2DBDB"/>
            <w:noWrap/>
            <w:tcMar>
              <w:top w:w="0" w:type="dxa"/>
              <w:left w:w="108" w:type="dxa"/>
              <w:bottom w:w="0" w:type="dxa"/>
              <w:right w:w="108" w:type="dxa"/>
            </w:tcMar>
          </w:tcPr>
          <w:p w:rsidR="004A147C" w:rsidRPr="003109E1" w:rsidRDefault="004A147C" w:rsidP="00CE5850">
            <w:pPr>
              <w:jc w:val="center"/>
              <w:rPr>
                <w:sz w:val="20"/>
              </w:rPr>
            </w:pPr>
            <w:r w:rsidRPr="003109E1">
              <w:rPr>
                <w:sz w:val="20"/>
              </w:rPr>
              <w:t>312,471</w:t>
            </w:r>
          </w:p>
        </w:tc>
        <w:tc>
          <w:tcPr>
            <w:tcW w:w="895" w:type="dxa"/>
            <w:shd w:val="clear" w:color="auto" w:fill="F2DBDB"/>
            <w:noWrap/>
            <w:tcMar>
              <w:top w:w="0" w:type="dxa"/>
              <w:left w:w="108" w:type="dxa"/>
              <w:bottom w:w="0" w:type="dxa"/>
              <w:right w:w="108" w:type="dxa"/>
            </w:tcMar>
          </w:tcPr>
          <w:p w:rsidR="004A147C" w:rsidRPr="003109E1" w:rsidRDefault="004A147C" w:rsidP="00CE5850">
            <w:pPr>
              <w:jc w:val="center"/>
              <w:rPr>
                <w:sz w:val="20"/>
              </w:rPr>
            </w:pPr>
            <w:r w:rsidRPr="003109E1">
              <w:rPr>
                <w:sz w:val="20"/>
              </w:rPr>
              <w:t>100.0%</w:t>
            </w:r>
          </w:p>
        </w:tc>
        <w:tc>
          <w:tcPr>
            <w:tcW w:w="1284" w:type="dxa"/>
            <w:shd w:val="clear" w:color="auto" w:fill="F2DBDB"/>
            <w:noWrap/>
            <w:tcMar>
              <w:top w:w="0" w:type="dxa"/>
              <w:left w:w="108" w:type="dxa"/>
              <w:bottom w:w="0" w:type="dxa"/>
              <w:right w:w="108" w:type="dxa"/>
            </w:tcMar>
          </w:tcPr>
          <w:p w:rsidR="004A147C" w:rsidRPr="003109E1" w:rsidRDefault="004A147C" w:rsidP="00CE5850">
            <w:pPr>
              <w:jc w:val="center"/>
              <w:rPr>
                <w:sz w:val="20"/>
              </w:rPr>
            </w:pPr>
            <w:r w:rsidRPr="003109E1">
              <w:rPr>
                <w:sz w:val="20"/>
              </w:rPr>
              <w:t>3,802</w:t>
            </w:r>
          </w:p>
        </w:tc>
        <w:tc>
          <w:tcPr>
            <w:tcW w:w="990" w:type="dxa"/>
            <w:shd w:val="clear" w:color="auto" w:fill="F2DBDB"/>
            <w:noWrap/>
            <w:tcMar>
              <w:top w:w="0" w:type="dxa"/>
              <w:left w:w="108" w:type="dxa"/>
              <w:bottom w:w="0" w:type="dxa"/>
              <w:right w:w="108" w:type="dxa"/>
            </w:tcMar>
          </w:tcPr>
          <w:p w:rsidR="004A147C" w:rsidRPr="003109E1" w:rsidRDefault="004A147C" w:rsidP="00CE5850">
            <w:pPr>
              <w:jc w:val="center"/>
              <w:rPr>
                <w:sz w:val="20"/>
              </w:rPr>
            </w:pPr>
            <w:r w:rsidRPr="003109E1">
              <w:rPr>
                <w:sz w:val="20"/>
              </w:rPr>
              <w:t>100.0%</w:t>
            </w:r>
          </w:p>
        </w:tc>
        <w:tc>
          <w:tcPr>
            <w:tcW w:w="1284" w:type="dxa"/>
            <w:shd w:val="clear" w:color="auto" w:fill="F2DBDB"/>
            <w:tcMar>
              <w:top w:w="0" w:type="dxa"/>
              <w:left w:w="108" w:type="dxa"/>
              <w:bottom w:w="0" w:type="dxa"/>
              <w:right w:w="108" w:type="dxa"/>
            </w:tcMar>
          </w:tcPr>
          <w:p w:rsidR="004A147C" w:rsidRPr="003109E1" w:rsidRDefault="004A147C" w:rsidP="00CE5850">
            <w:pPr>
              <w:jc w:val="center"/>
              <w:rPr>
                <w:sz w:val="20"/>
              </w:rPr>
            </w:pPr>
            <w:r w:rsidRPr="003109E1">
              <w:rPr>
                <w:sz w:val="20"/>
              </w:rPr>
              <w:t>6,821</w:t>
            </w:r>
          </w:p>
        </w:tc>
        <w:tc>
          <w:tcPr>
            <w:tcW w:w="782" w:type="dxa"/>
            <w:shd w:val="clear" w:color="auto" w:fill="F2DBDB"/>
            <w:tcMar>
              <w:top w:w="0" w:type="dxa"/>
              <w:left w:w="108" w:type="dxa"/>
              <w:bottom w:w="0" w:type="dxa"/>
              <w:right w:w="108" w:type="dxa"/>
            </w:tcMar>
          </w:tcPr>
          <w:p w:rsidR="004A147C" w:rsidRPr="003109E1" w:rsidRDefault="004A147C" w:rsidP="00CE5850">
            <w:pPr>
              <w:jc w:val="center"/>
              <w:rPr>
                <w:sz w:val="20"/>
              </w:rPr>
            </w:pPr>
            <w:r w:rsidRPr="003109E1">
              <w:rPr>
                <w:sz w:val="20"/>
              </w:rPr>
              <w:t>100.0%</w:t>
            </w:r>
          </w:p>
        </w:tc>
      </w:tr>
      <w:tr w:rsidR="004A147C" w:rsidRPr="00B53FFB" w:rsidTr="00375F76">
        <w:trPr>
          <w:cantSplit/>
          <w:trHeight w:val="215"/>
          <w:jc w:val="center"/>
        </w:trPr>
        <w:tc>
          <w:tcPr>
            <w:tcW w:w="1170" w:type="dxa"/>
            <w:shd w:val="clear" w:color="auto" w:fill="F2DBDB"/>
            <w:noWrap/>
            <w:tcMar>
              <w:top w:w="0" w:type="dxa"/>
              <w:left w:w="108" w:type="dxa"/>
              <w:bottom w:w="0" w:type="dxa"/>
              <w:right w:w="108" w:type="dxa"/>
            </w:tcMar>
            <w:vAlign w:val="bottom"/>
          </w:tcPr>
          <w:p w:rsidR="004A147C" w:rsidRPr="007D38C2" w:rsidRDefault="004A147C" w:rsidP="00CE5850">
            <w:pPr>
              <w:snapToGrid w:val="0"/>
              <w:jc w:val="center"/>
              <w:rPr>
                <w:rFonts w:eastAsia="Times New Roman"/>
                <w:sz w:val="20"/>
              </w:rPr>
            </w:pPr>
            <w:r w:rsidRPr="007D38C2">
              <w:rPr>
                <w:sz w:val="20"/>
              </w:rPr>
              <w:t>1 or more</w:t>
            </w:r>
          </w:p>
        </w:tc>
        <w:tc>
          <w:tcPr>
            <w:tcW w:w="1284" w:type="dxa"/>
            <w:shd w:val="clear" w:color="auto" w:fill="F2DBDB"/>
            <w:noWrap/>
            <w:tcMar>
              <w:top w:w="0" w:type="dxa"/>
              <w:left w:w="108" w:type="dxa"/>
              <w:bottom w:w="0" w:type="dxa"/>
              <w:right w:w="108" w:type="dxa"/>
            </w:tcMar>
          </w:tcPr>
          <w:p w:rsidR="004A147C" w:rsidRPr="003109E1" w:rsidRDefault="004A147C" w:rsidP="00CE5850">
            <w:pPr>
              <w:jc w:val="center"/>
              <w:rPr>
                <w:sz w:val="20"/>
              </w:rPr>
            </w:pPr>
            <w:r w:rsidRPr="003109E1">
              <w:rPr>
                <w:sz w:val="20"/>
              </w:rPr>
              <w:t>10,927</w:t>
            </w:r>
          </w:p>
        </w:tc>
        <w:tc>
          <w:tcPr>
            <w:tcW w:w="1284" w:type="dxa"/>
            <w:shd w:val="clear" w:color="auto" w:fill="F2DBDB"/>
            <w:noWrap/>
            <w:tcMar>
              <w:top w:w="0" w:type="dxa"/>
              <w:left w:w="108" w:type="dxa"/>
              <w:bottom w:w="0" w:type="dxa"/>
              <w:right w:w="108" w:type="dxa"/>
            </w:tcMar>
          </w:tcPr>
          <w:p w:rsidR="004A147C" w:rsidRPr="003109E1" w:rsidRDefault="004A147C" w:rsidP="00CE5850">
            <w:pPr>
              <w:jc w:val="center"/>
              <w:rPr>
                <w:sz w:val="20"/>
              </w:rPr>
            </w:pPr>
            <w:r w:rsidRPr="003109E1">
              <w:rPr>
                <w:sz w:val="20"/>
              </w:rPr>
              <w:t>312,010</w:t>
            </w:r>
          </w:p>
        </w:tc>
        <w:tc>
          <w:tcPr>
            <w:tcW w:w="895" w:type="dxa"/>
            <w:shd w:val="clear" w:color="auto" w:fill="F2DBDB"/>
            <w:noWrap/>
            <w:tcMar>
              <w:top w:w="0" w:type="dxa"/>
              <w:left w:w="108" w:type="dxa"/>
              <w:bottom w:w="0" w:type="dxa"/>
              <w:right w:w="108" w:type="dxa"/>
            </w:tcMar>
          </w:tcPr>
          <w:p w:rsidR="004A147C" w:rsidRPr="003109E1" w:rsidRDefault="004A147C" w:rsidP="00CE5850">
            <w:pPr>
              <w:jc w:val="center"/>
              <w:rPr>
                <w:sz w:val="20"/>
              </w:rPr>
            </w:pPr>
            <w:r w:rsidRPr="003109E1">
              <w:rPr>
                <w:sz w:val="20"/>
              </w:rPr>
              <w:t>99.9%</w:t>
            </w:r>
          </w:p>
        </w:tc>
        <w:tc>
          <w:tcPr>
            <w:tcW w:w="1284" w:type="dxa"/>
            <w:shd w:val="clear" w:color="auto" w:fill="F2DBDB"/>
            <w:noWrap/>
            <w:tcMar>
              <w:top w:w="0" w:type="dxa"/>
              <w:left w:w="108" w:type="dxa"/>
              <w:bottom w:w="0" w:type="dxa"/>
              <w:right w:w="108" w:type="dxa"/>
            </w:tcMar>
          </w:tcPr>
          <w:p w:rsidR="004A147C" w:rsidRPr="003109E1" w:rsidRDefault="004A147C" w:rsidP="00CE5850">
            <w:pPr>
              <w:jc w:val="center"/>
              <w:rPr>
                <w:sz w:val="20"/>
              </w:rPr>
            </w:pPr>
            <w:r w:rsidRPr="003109E1">
              <w:rPr>
                <w:sz w:val="20"/>
              </w:rPr>
              <w:t>2,821</w:t>
            </w:r>
          </w:p>
        </w:tc>
        <w:tc>
          <w:tcPr>
            <w:tcW w:w="990" w:type="dxa"/>
            <w:shd w:val="clear" w:color="auto" w:fill="F2DBDB"/>
            <w:noWrap/>
            <w:tcMar>
              <w:top w:w="0" w:type="dxa"/>
              <w:left w:w="108" w:type="dxa"/>
              <w:bottom w:w="0" w:type="dxa"/>
              <w:right w:w="108" w:type="dxa"/>
            </w:tcMar>
          </w:tcPr>
          <w:p w:rsidR="004A147C" w:rsidRPr="003109E1" w:rsidRDefault="004A147C" w:rsidP="00CE5850">
            <w:pPr>
              <w:jc w:val="center"/>
              <w:rPr>
                <w:sz w:val="20"/>
              </w:rPr>
            </w:pPr>
            <w:r w:rsidRPr="003109E1">
              <w:rPr>
                <w:sz w:val="20"/>
              </w:rPr>
              <w:t>74.2%</w:t>
            </w:r>
          </w:p>
        </w:tc>
        <w:tc>
          <w:tcPr>
            <w:tcW w:w="1284" w:type="dxa"/>
            <w:shd w:val="clear" w:color="auto" w:fill="F2DBDB"/>
            <w:tcMar>
              <w:top w:w="0" w:type="dxa"/>
              <w:left w:w="108" w:type="dxa"/>
              <w:bottom w:w="0" w:type="dxa"/>
              <w:right w:w="108" w:type="dxa"/>
            </w:tcMar>
          </w:tcPr>
          <w:p w:rsidR="004A147C" w:rsidRPr="003109E1" w:rsidRDefault="004A147C" w:rsidP="00CE5850">
            <w:pPr>
              <w:jc w:val="center"/>
              <w:rPr>
                <w:sz w:val="20"/>
              </w:rPr>
            </w:pPr>
            <w:r w:rsidRPr="003109E1">
              <w:rPr>
                <w:sz w:val="20"/>
              </w:rPr>
              <w:t>6,498</w:t>
            </w:r>
          </w:p>
        </w:tc>
        <w:tc>
          <w:tcPr>
            <w:tcW w:w="782" w:type="dxa"/>
            <w:shd w:val="clear" w:color="auto" w:fill="F2DBDB"/>
            <w:tcMar>
              <w:top w:w="0" w:type="dxa"/>
              <w:left w:w="108" w:type="dxa"/>
              <w:bottom w:w="0" w:type="dxa"/>
              <w:right w:w="108" w:type="dxa"/>
            </w:tcMar>
          </w:tcPr>
          <w:p w:rsidR="004A147C" w:rsidRPr="003109E1" w:rsidRDefault="004A147C" w:rsidP="00CE5850">
            <w:pPr>
              <w:jc w:val="center"/>
              <w:rPr>
                <w:sz w:val="20"/>
              </w:rPr>
            </w:pPr>
            <w:r w:rsidRPr="003109E1">
              <w:rPr>
                <w:sz w:val="20"/>
              </w:rPr>
              <w:t>95.3%</w:t>
            </w:r>
          </w:p>
        </w:tc>
      </w:tr>
      <w:tr w:rsidR="004A147C" w:rsidRPr="00B53FFB" w:rsidTr="00375F76">
        <w:trPr>
          <w:cantSplit/>
          <w:trHeight w:val="255"/>
          <w:jc w:val="center"/>
        </w:trPr>
        <w:tc>
          <w:tcPr>
            <w:tcW w:w="1170" w:type="dxa"/>
            <w:shd w:val="clear" w:color="auto" w:fill="F2DBDB"/>
            <w:noWrap/>
            <w:tcMar>
              <w:top w:w="0" w:type="dxa"/>
              <w:left w:w="108" w:type="dxa"/>
              <w:bottom w:w="0" w:type="dxa"/>
              <w:right w:w="108" w:type="dxa"/>
            </w:tcMar>
            <w:vAlign w:val="bottom"/>
          </w:tcPr>
          <w:p w:rsidR="004A147C" w:rsidRPr="007D38C2" w:rsidRDefault="004A147C" w:rsidP="00CE5850">
            <w:pPr>
              <w:snapToGrid w:val="0"/>
              <w:jc w:val="center"/>
              <w:rPr>
                <w:rFonts w:eastAsia="Times New Roman"/>
                <w:sz w:val="20"/>
              </w:rPr>
            </w:pPr>
            <w:r w:rsidRPr="007D38C2">
              <w:rPr>
                <w:sz w:val="20"/>
              </w:rPr>
              <w:t>2 or more</w:t>
            </w:r>
          </w:p>
        </w:tc>
        <w:tc>
          <w:tcPr>
            <w:tcW w:w="1284" w:type="dxa"/>
            <w:shd w:val="clear" w:color="auto" w:fill="F2DBDB"/>
            <w:noWrap/>
            <w:tcMar>
              <w:top w:w="0" w:type="dxa"/>
              <w:left w:w="108" w:type="dxa"/>
              <w:bottom w:w="0" w:type="dxa"/>
              <w:right w:w="108" w:type="dxa"/>
            </w:tcMar>
          </w:tcPr>
          <w:p w:rsidR="004A147C" w:rsidRPr="003109E1" w:rsidRDefault="004A147C" w:rsidP="00CE5850">
            <w:pPr>
              <w:jc w:val="center"/>
              <w:rPr>
                <w:sz w:val="20"/>
              </w:rPr>
            </w:pPr>
            <w:r w:rsidRPr="003109E1">
              <w:rPr>
                <w:sz w:val="20"/>
              </w:rPr>
              <w:t>10,554</w:t>
            </w:r>
          </w:p>
        </w:tc>
        <w:tc>
          <w:tcPr>
            <w:tcW w:w="1284" w:type="dxa"/>
            <w:shd w:val="clear" w:color="auto" w:fill="F2DBDB"/>
            <w:noWrap/>
            <w:tcMar>
              <w:top w:w="0" w:type="dxa"/>
              <w:left w:w="108" w:type="dxa"/>
              <w:bottom w:w="0" w:type="dxa"/>
              <w:right w:w="108" w:type="dxa"/>
            </w:tcMar>
          </w:tcPr>
          <w:p w:rsidR="004A147C" w:rsidRPr="003109E1" w:rsidRDefault="004A147C" w:rsidP="00CE5850">
            <w:pPr>
              <w:jc w:val="center"/>
              <w:rPr>
                <w:sz w:val="20"/>
              </w:rPr>
            </w:pPr>
            <w:r w:rsidRPr="003109E1">
              <w:rPr>
                <w:sz w:val="20"/>
              </w:rPr>
              <w:t>310,306</w:t>
            </w:r>
          </w:p>
        </w:tc>
        <w:tc>
          <w:tcPr>
            <w:tcW w:w="895" w:type="dxa"/>
            <w:shd w:val="clear" w:color="auto" w:fill="F2DBDB"/>
            <w:noWrap/>
            <w:tcMar>
              <w:top w:w="0" w:type="dxa"/>
              <w:left w:w="108" w:type="dxa"/>
              <w:bottom w:w="0" w:type="dxa"/>
              <w:right w:w="108" w:type="dxa"/>
            </w:tcMar>
          </w:tcPr>
          <w:p w:rsidR="004A147C" w:rsidRPr="003109E1" w:rsidRDefault="004A147C" w:rsidP="00CE5850">
            <w:pPr>
              <w:jc w:val="center"/>
              <w:rPr>
                <w:sz w:val="20"/>
              </w:rPr>
            </w:pPr>
            <w:r w:rsidRPr="003109E1">
              <w:rPr>
                <w:sz w:val="20"/>
              </w:rPr>
              <w:t>99.3%</w:t>
            </w:r>
          </w:p>
        </w:tc>
        <w:tc>
          <w:tcPr>
            <w:tcW w:w="1284" w:type="dxa"/>
            <w:shd w:val="clear" w:color="auto" w:fill="F2DBDB"/>
            <w:noWrap/>
            <w:tcMar>
              <w:top w:w="0" w:type="dxa"/>
              <w:left w:w="108" w:type="dxa"/>
              <w:bottom w:w="0" w:type="dxa"/>
              <w:right w:w="108" w:type="dxa"/>
            </w:tcMar>
          </w:tcPr>
          <w:p w:rsidR="004A147C" w:rsidRPr="003109E1" w:rsidRDefault="004A147C" w:rsidP="00CE5850">
            <w:pPr>
              <w:jc w:val="center"/>
              <w:rPr>
                <w:sz w:val="20"/>
              </w:rPr>
            </w:pPr>
            <w:r w:rsidRPr="003109E1">
              <w:rPr>
                <w:sz w:val="20"/>
              </w:rPr>
              <w:t>2,393</w:t>
            </w:r>
          </w:p>
        </w:tc>
        <w:tc>
          <w:tcPr>
            <w:tcW w:w="990" w:type="dxa"/>
            <w:shd w:val="clear" w:color="auto" w:fill="F2DBDB"/>
            <w:noWrap/>
            <w:tcMar>
              <w:top w:w="0" w:type="dxa"/>
              <w:left w:w="108" w:type="dxa"/>
              <w:bottom w:w="0" w:type="dxa"/>
              <w:right w:w="108" w:type="dxa"/>
            </w:tcMar>
          </w:tcPr>
          <w:p w:rsidR="004A147C" w:rsidRPr="003109E1" w:rsidRDefault="004A147C" w:rsidP="00CE5850">
            <w:pPr>
              <w:jc w:val="center"/>
              <w:rPr>
                <w:sz w:val="20"/>
              </w:rPr>
            </w:pPr>
            <w:r w:rsidRPr="003109E1">
              <w:rPr>
                <w:sz w:val="20"/>
              </w:rPr>
              <w:t>62.9%</w:t>
            </w:r>
          </w:p>
        </w:tc>
        <w:tc>
          <w:tcPr>
            <w:tcW w:w="1284" w:type="dxa"/>
            <w:shd w:val="clear" w:color="auto" w:fill="F2DBDB"/>
            <w:tcMar>
              <w:top w:w="0" w:type="dxa"/>
              <w:left w:w="108" w:type="dxa"/>
              <w:bottom w:w="0" w:type="dxa"/>
              <w:right w:w="108" w:type="dxa"/>
            </w:tcMar>
          </w:tcPr>
          <w:p w:rsidR="004A147C" w:rsidRPr="003109E1" w:rsidRDefault="004A147C" w:rsidP="00CE5850">
            <w:pPr>
              <w:jc w:val="center"/>
              <w:rPr>
                <w:sz w:val="20"/>
              </w:rPr>
            </w:pPr>
            <w:r w:rsidRPr="003109E1">
              <w:rPr>
                <w:sz w:val="20"/>
              </w:rPr>
              <w:t>5,977</w:t>
            </w:r>
          </w:p>
        </w:tc>
        <w:tc>
          <w:tcPr>
            <w:tcW w:w="782" w:type="dxa"/>
            <w:shd w:val="clear" w:color="auto" w:fill="F2DBDB"/>
            <w:tcMar>
              <w:top w:w="0" w:type="dxa"/>
              <w:left w:w="108" w:type="dxa"/>
              <w:bottom w:w="0" w:type="dxa"/>
              <w:right w:w="108" w:type="dxa"/>
            </w:tcMar>
          </w:tcPr>
          <w:p w:rsidR="004A147C" w:rsidRPr="003109E1" w:rsidRDefault="004A147C" w:rsidP="00CE5850">
            <w:pPr>
              <w:jc w:val="center"/>
              <w:rPr>
                <w:sz w:val="20"/>
              </w:rPr>
            </w:pPr>
            <w:r w:rsidRPr="003109E1">
              <w:rPr>
                <w:sz w:val="20"/>
              </w:rPr>
              <w:t>87.6%</w:t>
            </w:r>
          </w:p>
        </w:tc>
      </w:tr>
      <w:tr w:rsidR="004A147C" w:rsidRPr="00B53FFB" w:rsidTr="00375F76">
        <w:trPr>
          <w:cantSplit/>
          <w:trHeight w:val="255"/>
          <w:jc w:val="center"/>
        </w:trPr>
        <w:tc>
          <w:tcPr>
            <w:tcW w:w="1170" w:type="dxa"/>
            <w:shd w:val="clear" w:color="auto" w:fill="F2DBDB"/>
            <w:noWrap/>
            <w:tcMar>
              <w:top w:w="0" w:type="dxa"/>
              <w:left w:w="108" w:type="dxa"/>
              <w:bottom w:w="0" w:type="dxa"/>
              <w:right w:w="108" w:type="dxa"/>
            </w:tcMar>
            <w:vAlign w:val="bottom"/>
          </w:tcPr>
          <w:p w:rsidR="004A147C" w:rsidRPr="007D38C2" w:rsidRDefault="004A147C" w:rsidP="00CE5850">
            <w:pPr>
              <w:snapToGrid w:val="0"/>
              <w:jc w:val="center"/>
              <w:rPr>
                <w:rFonts w:eastAsia="Times New Roman"/>
                <w:sz w:val="20"/>
              </w:rPr>
            </w:pPr>
            <w:r w:rsidRPr="007D38C2">
              <w:rPr>
                <w:sz w:val="20"/>
              </w:rPr>
              <w:t>3 or more</w:t>
            </w:r>
          </w:p>
        </w:tc>
        <w:tc>
          <w:tcPr>
            <w:tcW w:w="1284" w:type="dxa"/>
            <w:shd w:val="clear" w:color="auto" w:fill="F2DBDB"/>
            <w:noWrap/>
            <w:tcMar>
              <w:top w:w="0" w:type="dxa"/>
              <w:left w:w="108" w:type="dxa"/>
              <w:bottom w:w="0" w:type="dxa"/>
              <w:right w:w="108" w:type="dxa"/>
            </w:tcMar>
          </w:tcPr>
          <w:p w:rsidR="004A147C" w:rsidRPr="003109E1" w:rsidRDefault="004A147C" w:rsidP="00CE5850">
            <w:pPr>
              <w:jc w:val="center"/>
              <w:rPr>
                <w:sz w:val="20"/>
              </w:rPr>
            </w:pPr>
            <w:r w:rsidRPr="003109E1">
              <w:rPr>
                <w:sz w:val="20"/>
              </w:rPr>
              <w:t>9,629</w:t>
            </w:r>
          </w:p>
        </w:tc>
        <w:tc>
          <w:tcPr>
            <w:tcW w:w="1284" w:type="dxa"/>
            <w:shd w:val="clear" w:color="auto" w:fill="F2DBDB"/>
            <w:noWrap/>
            <w:tcMar>
              <w:top w:w="0" w:type="dxa"/>
              <w:left w:w="108" w:type="dxa"/>
              <w:bottom w:w="0" w:type="dxa"/>
              <w:right w:w="108" w:type="dxa"/>
            </w:tcMar>
          </w:tcPr>
          <w:p w:rsidR="004A147C" w:rsidRPr="003109E1" w:rsidRDefault="004A147C" w:rsidP="00CE5850">
            <w:pPr>
              <w:jc w:val="center"/>
              <w:rPr>
                <w:sz w:val="20"/>
              </w:rPr>
            </w:pPr>
            <w:r w:rsidRPr="003109E1">
              <w:rPr>
                <w:sz w:val="20"/>
              </w:rPr>
              <w:t>303,843</w:t>
            </w:r>
          </w:p>
        </w:tc>
        <w:tc>
          <w:tcPr>
            <w:tcW w:w="895" w:type="dxa"/>
            <w:shd w:val="clear" w:color="auto" w:fill="F2DBDB"/>
            <w:noWrap/>
            <w:tcMar>
              <w:top w:w="0" w:type="dxa"/>
              <w:left w:w="108" w:type="dxa"/>
              <w:bottom w:w="0" w:type="dxa"/>
              <w:right w:w="108" w:type="dxa"/>
            </w:tcMar>
          </w:tcPr>
          <w:p w:rsidR="004A147C" w:rsidRPr="003109E1" w:rsidRDefault="004A147C" w:rsidP="00CE5850">
            <w:pPr>
              <w:jc w:val="center"/>
              <w:rPr>
                <w:sz w:val="20"/>
              </w:rPr>
            </w:pPr>
            <w:r w:rsidRPr="003109E1">
              <w:rPr>
                <w:sz w:val="20"/>
              </w:rPr>
              <w:t>97.2%</w:t>
            </w:r>
          </w:p>
        </w:tc>
        <w:tc>
          <w:tcPr>
            <w:tcW w:w="1284" w:type="dxa"/>
            <w:shd w:val="clear" w:color="auto" w:fill="F2DBDB"/>
            <w:noWrap/>
            <w:tcMar>
              <w:top w:w="0" w:type="dxa"/>
              <w:left w:w="108" w:type="dxa"/>
              <w:bottom w:w="0" w:type="dxa"/>
              <w:right w:w="108" w:type="dxa"/>
            </w:tcMar>
          </w:tcPr>
          <w:p w:rsidR="004A147C" w:rsidRPr="003109E1" w:rsidRDefault="004A147C" w:rsidP="00CE5850">
            <w:pPr>
              <w:jc w:val="center"/>
              <w:rPr>
                <w:sz w:val="20"/>
              </w:rPr>
            </w:pPr>
            <w:r w:rsidRPr="003109E1">
              <w:rPr>
                <w:sz w:val="20"/>
              </w:rPr>
              <w:t>1,756</w:t>
            </w:r>
          </w:p>
        </w:tc>
        <w:tc>
          <w:tcPr>
            <w:tcW w:w="990" w:type="dxa"/>
            <w:shd w:val="clear" w:color="auto" w:fill="F2DBDB"/>
            <w:noWrap/>
            <w:tcMar>
              <w:top w:w="0" w:type="dxa"/>
              <w:left w:w="108" w:type="dxa"/>
              <w:bottom w:w="0" w:type="dxa"/>
              <w:right w:w="108" w:type="dxa"/>
            </w:tcMar>
          </w:tcPr>
          <w:p w:rsidR="004A147C" w:rsidRPr="003109E1" w:rsidRDefault="004A147C" w:rsidP="00CE5850">
            <w:pPr>
              <w:jc w:val="center"/>
              <w:rPr>
                <w:sz w:val="20"/>
              </w:rPr>
            </w:pPr>
            <w:r w:rsidRPr="003109E1">
              <w:rPr>
                <w:sz w:val="20"/>
              </w:rPr>
              <w:t>46.2%</w:t>
            </w:r>
          </w:p>
        </w:tc>
        <w:tc>
          <w:tcPr>
            <w:tcW w:w="1284" w:type="dxa"/>
            <w:shd w:val="clear" w:color="auto" w:fill="F2DBDB"/>
            <w:tcMar>
              <w:top w:w="0" w:type="dxa"/>
              <w:left w:w="108" w:type="dxa"/>
              <w:bottom w:w="0" w:type="dxa"/>
              <w:right w:w="108" w:type="dxa"/>
            </w:tcMar>
          </w:tcPr>
          <w:p w:rsidR="004A147C" w:rsidRPr="003109E1" w:rsidRDefault="004A147C" w:rsidP="00CE5850">
            <w:pPr>
              <w:jc w:val="center"/>
              <w:rPr>
                <w:sz w:val="20"/>
              </w:rPr>
            </w:pPr>
            <w:r w:rsidRPr="003109E1">
              <w:rPr>
                <w:sz w:val="20"/>
              </w:rPr>
              <w:t>4,949</w:t>
            </w:r>
          </w:p>
        </w:tc>
        <w:tc>
          <w:tcPr>
            <w:tcW w:w="782" w:type="dxa"/>
            <w:shd w:val="clear" w:color="auto" w:fill="F2DBDB"/>
            <w:tcMar>
              <w:top w:w="0" w:type="dxa"/>
              <w:left w:w="108" w:type="dxa"/>
              <w:bottom w:w="0" w:type="dxa"/>
              <w:right w:w="108" w:type="dxa"/>
            </w:tcMar>
          </w:tcPr>
          <w:p w:rsidR="004A147C" w:rsidRPr="003109E1" w:rsidRDefault="004A147C" w:rsidP="00CE5850">
            <w:pPr>
              <w:jc w:val="center"/>
              <w:rPr>
                <w:sz w:val="20"/>
              </w:rPr>
            </w:pPr>
            <w:r w:rsidRPr="003109E1">
              <w:rPr>
                <w:sz w:val="20"/>
              </w:rPr>
              <w:t>72.6%</w:t>
            </w:r>
          </w:p>
        </w:tc>
      </w:tr>
      <w:tr w:rsidR="004A147C" w:rsidRPr="00B53FFB" w:rsidTr="00375F76">
        <w:trPr>
          <w:cantSplit/>
          <w:trHeight w:val="255"/>
          <w:jc w:val="center"/>
        </w:trPr>
        <w:tc>
          <w:tcPr>
            <w:tcW w:w="1170" w:type="dxa"/>
            <w:shd w:val="clear" w:color="auto" w:fill="F2DBDB"/>
            <w:noWrap/>
            <w:tcMar>
              <w:top w:w="0" w:type="dxa"/>
              <w:left w:w="108" w:type="dxa"/>
              <w:bottom w:w="0" w:type="dxa"/>
              <w:right w:w="108" w:type="dxa"/>
            </w:tcMar>
            <w:vAlign w:val="bottom"/>
          </w:tcPr>
          <w:p w:rsidR="004A147C" w:rsidRPr="007D38C2" w:rsidRDefault="004A147C" w:rsidP="00CE5850">
            <w:pPr>
              <w:snapToGrid w:val="0"/>
              <w:jc w:val="center"/>
              <w:rPr>
                <w:rFonts w:eastAsia="Times New Roman"/>
                <w:sz w:val="20"/>
              </w:rPr>
            </w:pPr>
            <w:r w:rsidRPr="007D38C2">
              <w:rPr>
                <w:sz w:val="20"/>
              </w:rPr>
              <w:t>4 or more</w:t>
            </w:r>
          </w:p>
        </w:tc>
        <w:tc>
          <w:tcPr>
            <w:tcW w:w="1284" w:type="dxa"/>
            <w:shd w:val="clear" w:color="auto" w:fill="F2DBDB"/>
            <w:noWrap/>
            <w:tcMar>
              <w:top w:w="0" w:type="dxa"/>
              <w:left w:w="108" w:type="dxa"/>
              <w:bottom w:w="0" w:type="dxa"/>
              <w:right w:w="108" w:type="dxa"/>
            </w:tcMar>
          </w:tcPr>
          <w:p w:rsidR="004A147C" w:rsidRPr="003109E1" w:rsidRDefault="004A147C" w:rsidP="00CE5850">
            <w:pPr>
              <w:jc w:val="center"/>
              <w:rPr>
                <w:sz w:val="20"/>
              </w:rPr>
            </w:pPr>
            <w:r w:rsidRPr="003109E1">
              <w:rPr>
                <w:sz w:val="20"/>
              </w:rPr>
              <w:t>8,315</w:t>
            </w:r>
          </w:p>
        </w:tc>
        <w:tc>
          <w:tcPr>
            <w:tcW w:w="1284" w:type="dxa"/>
            <w:shd w:val="clear" w:color="auto" w:fill="F2DBDB"/>
            <w:noWrap/>
            <w:tcMar>
              <w:top w:w="0" w:type="dxa"/>
              <w:left w:w="108" w:type="dxa"/>
              <w:bottom w:w="0" w:type="dxa"/>
              <w:right w:w="108" w:type="dxa"/>
            </w:tcMar>
          </w:tcPr>
          <w:p w:rsidR="004A147C" w:rsidRPr="003109E1" w:rsidRDefault="004A147C" w:rsidP="00CE5850">
            <w:pPr>
              <w:jc w:val="center"/>
              <w:rPr>
                <w:sz w:val="20"/>
              </w:rPr>
            </w:pPr>
            <w:r w:rsidRPr="003109E1">
              <w:rPr>
                <w:sz w:val="20"/>
              </w:rPr>
              <w:t>290,478</w:t>
            </w:r>
          </w:p>
        </w:tc>
        <w:tc>
          <w:tcPr>
            <w:tcW w:w="895" w:type="dxa"/>
            <w:shd w:val="clear" w:color="auto" w:fill="F2DBDB"/>
            <w:noWrap/>
            <w:tcMar>
              <w:top w:w="0" w:type="dxa"/>
              <w:left w:w="108" w:type="dxa"/>
              <w:bottom w:w="0" w:type="dxa"/>
              <w:right w:w="108" w:type="dxa"/>
            </w:tcMar>
          </w:tcPr>
          <w:p w:rsidR="004A147C" w:rsidRPr="003109E1" w:rsidRDefault="004A147C" w:rsidP="00CE5850">
            <w:pPr>
              <w:jc w:val="center"/>
              <w:rPr>
                <w:sz w:val="20"/>
              </w:rPr>
            </w:pPr>
            <w:r w:rsidRPr="003109E1">
              <w:rPr>
                <w:sz w:val="20"/>
              </w:rPr>
              <w:t>93.0%</w:t>
            </w:r>
          </w:p>
        </w:tc>
        <w:tc>
          <w:tcPr>
            <w:tcW w:w="1284" w:type="dxa"/>
            <w:shd w:val="clear" w:color="auto" w:fill="F2DBDB"/>
            <w:noWrap/>
            <w:tcMar>
              <w:top w:w="0" w:type="dxa"/>
              <w:left w:w="108" w:type="dxa"/>
              <w:bottom w:w="0" w:type="dxa"/>
              <w:right w:w="108" w:type="dxa"/>
            </w:tcMar>
          </w:tcPr>
          <w:p w:rsidR="004A147C" w:rsidRPr="003109E1" w:rsidRDefault="004A147C" w:rsidP="00CE5850">
            <w:pPr>
              <w:jc w:val="center"/>
              <w:rPr>
                <w:sz w:val="20"/>
              </w:rPr>
            </w:pPr>
            <w:r w:rsidRPr="003109E1">
              <w:rPr>
                <w:sz w:val="20"/>
              </w:rPr>
              <w:t>1,165</w:t>
            </w:r>
          </w:p>
        </w:tc>
        <w:tc>
          <w:tcPr>
            <w:tcW w:w="990" w:type="dxa"/>
            <w:shd w:val="clear" w:color="auto" w:fill="F2DBDB"/>
            <w:noWrap/>
            <w:tcMar>
              <w:top w:w="0" w:type="dxa"/>
              <w:left w:w="108" w:type="dxa"/>
              <w:bottom w:w="0" w:type="dxa"/>
              <w:right w:w="108" w:type="dxa"/>
            </w:tcMar>
          </w:tcPr>
          <w:p w:rsidR="004A147C" w:rsidRPr="003109E1" w:rsidRDefault="004A147C" w:rsidP="00CE5850">
            <w:pPr>
              <w:jc w:val="center"/>
              <w:rPr>
                <w:sz w:val="20"/>
              </w:rPr>
            </w:pPr>
            <w:r w:rsidRPr="003109E1">
              <w:rPr>
                <w:sz w:val="20"/>
              </w:rPr>
              <w:t>30.7%</w:t>
            </w:r>
          </w:p>
        </w:tc>
        <w:tc>
          <w:tcPr>
            <w:tcW w:w="1284" w:type="dxa"/>
            <w:shd w:val="clear" w:color="auto" w:fill="F2DBDB"/>
            <w:tcMar>
              <w:top w:w="0" w:type="dxa"/>
              <w:left w:w="108" w:type="dxa"/>
              <w:bottom w:w="0" w:type="dxa"/>
              <w:right w:w="108" w:type="dxa"/>
            </w:tcMar>
          </w:tcPr>
          <w:p w:rsidR="004A147C" w:rsidRPr="003109E1" w:rsidRDefault="004A147C" w:rsidP="00CE5850">
            <w:pPr>
              <w:jc w:val="center"/>
              <w:rPr>
                <w:sz w:val="20"/>
              </w:rPr>
            </w:pPr>
            <w:r w:rsidRPr="003109E1">
              <w:rPr>
                <w:sz w:val="20"/>
              </w:rPr>
              <w:t>3,814</w:t>
            </w:r>
          </w:p>
        </w:tc>
        <w:tc>
          <w:tcPr>
            <w:tcW w:w="782" w:type="dxa"/>
            <w:shd w:val="clear" w:color="auto" w:fill="F2DBDB"/>
            <w:tcMar>
              <w:top w:w="0" w:type="dxa"/>
              <w:left w:w="108" w:type="dxa"/>
              <w:bottom w:w="0" w:type="dxa"/>
              <w:right w:w="108" w:type="dxa"/>
            </w:tcMar>
          </w:tcPr>
          <w:p w:rsidR="004A147C" w:rsidRPr="003109E1" w:rsidRDefault="004A147C" w:rsidP="00CE5850">
            <w:pPr>
              <w:jc w:val="center"/>
              <w:rPr>
                <w:sz w:val="20"/>
              </w:rPr>
            </w:pPr>
            <w:r w:rsidRPr="003109E1">
              <w:rPr>
                <w:sz w:val="20"/>
              </w:rPr>
              <w:t>55.9%</w:t>
            </w:r>
          </w:p>
        </w:tc>
      </w:tr>
      <w:tr w:rsidR="004A147C" w:rsidRPr="00B53FFB" w:rsidTr="00375F76">
        <w:trPr>
          <w:cantSplit/>
          <w:trHeight w:val="255"/>
          <w:jc w:val="center"/>
        </w:trPr>
        <w:tc>
          <w:tcPr>
            <w:tcW w:w="1170" w:type="dxa"/>
            <w:shd w:val="clear" w:color="auto" w:fill="F2DBDB"/>
            <w:noWrap/>
            <w:tcMar>
              <w:top w:w="0" w:type="dxa"/>
              <w:left w:w="108" w:type="dxa"/>
              <w:bottom w:w="0" w:type="dxa"/>
              <w:right w:w="108" w:type="dxa"/>
            </w:tcMar>
            <w:vAlign w:val="bottom"/>
          </w:tcPr>
          <w:p w:rsidR="004A147C" w:rsidRPr="007D38C2" w:rsidRDefault="004A147C" w:rsidP="00CE5850">
            <w:pPr>
              <w:snapToGrid w:val="0"/>
              <w:jc w:val="center"/>
              <w:rPr>
                <w:rFonts w:eastAsia="Times New Roman"/>
                <w:sz w:val="20"/>
              </w:rPr>
            </w:pPr>
            <w:r w:rsidRPr="007D38C2">
              <w:rPr>
                <w:sz w:val="20"/>
              </w:rPr>
              <w:t>5 or more</w:t>
            </w:r>
          </w:p>
        </w:tc>
        <w:tc>
          <w:tcPr>
            <w:tcW w:w="1284" w:type="dxa"/>
            <w:shd w:val="clear" w:color="auto" w:fill="F2DBDB"/>
            <w:noWrap/>
            <w:tcMar>
              <w:top w:w="0" w:type="dxa"/>
              <w:left w:w="108" w:type="dxa"/>
              <w:bottom w:w="0" w:type="dxa"/>
              <w:right w:w="108" w:type="dxa"/>
            </w:tcMar>
          </w:tcPr>
          <w:p w:rsidR="004A147C" w:rsidRPr="003109E1" w:rsidRDefault="004A147C" w:rsidP="00CE5850">
            <w:pPr>
              <w:jc w:val="center"/>
              <w:rPr>
                <w:sz w:val="20"/>
              </w:rPr>
            </w:pPr>
            <w:r w:rsidRPr="003109E1">
              <w:rPr>
                <w:sz w:val="20"/>
              </w:rPr>
              <w:t>6,054</w:t>
            </w:r>
          </w:p>
        </w:tc>
        <w:tc>
          <w:tcPr>
            <w:tcW w:w="1284" w:type="dxa"/>
            <w:shd w:val="clear" w:color="auto" w:fill="F2DBDB"/>
            <w:noWrap/>
            <w:tcMar>
              <w:top w:w="0" w:type="dxa"/>
              <w:left w:w="108" w:type="dxa"/>
              <w:bottom w:w="0" w:type="dxa"/>
              <w:right w:w="108" w:type="dxa"/>
            </w:tcMar>
          </w:tcPr>
          <w:p w:rsidR="004A147C" w:rsidRPr="003109E1" w:rsidRDefault="004A147C" w:rsidP="00CE5850">
            <w:pPr>
              <w:jc w:val="center"/>
              <w:rPr>
                <w:sz w:val="20"/>
              </w:rPr>
            </w:pPr>
            <w:r w:rsidRPr="003109E1">
              <w:rPr>
                <w:sz w:val="20"/>
              </w:rPr>
              <w:t>248,820</w:t>
            </w:r>
          </w:p>
        </w:tc>
        <w:tc>
          <w:tcPr>
            <w:tcW w:w="895" w:type="dxa"/>
            <w:shd w:val="clear" w:color="auto" w:fill="F2DBDB"/>
            <w:noWrap/>
            <w:tcMar>
              <w:top w:w="0" w:type="dxa"/>
              <w:left w:w="108" w:type="dxa"/>
              <w:bottom w:w="0" w:type="dxa"/>
              <w:right w:w="108" w:type="dxa"/>
            </w:tcMar>
          </w:tcPr>
          <w:p w:rsidR="004A147C" w:rsidRPr="003109E1" w:rsidRDefault="004A147C" w:rsidP="00CE5850">
            <w:pPr>
              <w:jc w:val="center"/>
              <w:rPr>
                <w:sz w:val="20"/>
              </w:rPr>
            </w:pPr>
            <w:r w:rsidRPr="003109E1">
              <w:rPr>
                <w:sz w:val="20"/>
              </w:rPr>
              <w:t>79.6%</w:t>
            </w:r>
          </w:p>
        </w:tc>
        <w:tc>
          <w:tcPr>
            <w:tcW w:w="1284" w:type="dxa"/>
            <w:shd w:val="clear" w:color="auto" w:fill="F2DBDB"/>
            <w:noWrap/>
            <w:tcMar>
              <w:top w:w="0" w:type="dxa"/>
              <w:left w:w="108" w:type="dxa"/>
              <w:bottom w:w="0" w:type="dxa"/>
              <w:right w:w="108" w:type="dxa"/>
            </w:tcMar>
          </w:tcPr>
          <w:p w:rsidR="004A147C" w:rsidRPr="003109E1" w:rsidRDefault="004A147C" w:rsidP="00CE5850">
            <w:pPr>
              <w:jc w:val="center"/>
              <w:rPr>
                <w:sz w:val="20"/>
              </w:rPr>
            </w:pPr>
            <w:r w:rsidRPr="003109E1">
              <w:rPr>
                <w:sz w:val="20"/>
              </w:rPr>
              <w:t>596</w:t>
            </w:r>
          </w:p>
        </w:tc>
        <w:tc>
          <w:tcPr>
            <w:tcW w:w="990" w:type="dxa"/>
            <w:shd w:val="clear" w:color="auto" w:fill="F2DBDB"/>
            <w:noWrap/>
            <w:tcMar>
              <w:top w:w="0" w:type="dxa"/>
              <w:left w:w="108" w:type="dxa"/>
              <w:bottom w:w="0" w:type="dxa"/>
              <w:right w:w="108" w:type="dxa"/>
            </w:tcMar>
          </w:tcPr>
          <w:p w:rsidR="004A147C" w:rsidRPr="003109E1" w:rsidRDefault="004A147C" w:rsidP="00CE5850">
            <w:pPr>
              <w:jc w:val="center"/>
              <w:rPr>
                <w:sz w:val="20"/>
              </w:rPr>
            </w:pPr>
            <w:r w:rsidRPr="003109E1">
              <w:rPr>
                <w:sz w:val="20"/>
              </w:rPr>
              <w:t>15.7%</w:t>
            </w:r>
          </w:p>
        </w:tc>
        <w:tc>
          <w:tcPr>
            <w:tcW w:w="1284" w:type="dxa"/>
            <w:shd w:val="clear" w:color="auto" w:fill="F2DBDB"/>
            <w:tcMar>
              <w:top w:w="0" w:type="dxa"/>
              <w:left w:w="108" w:type="dxa"/>
              <w:bottom w:w="0" w:type="dxa"/>
              <w:right w:w="108" w:type="dxa"/>
            </w:tcMar>
          </w:tcPr>
          <w:p w:rsidR="004A147C" w:rsidRPr="003109E1" w:rsidRDefault="004A147C" w:rsidP="00CE5850">
            <w:pPr>
              <w:jc w:val="center"/>
              <w:rPr>
                <w:sz w:val="20"/>
              </w:rPr>
            </w:pPr>
            <w:r w:rsidRPr="003109E1">
              <w:rPr>
                <w:sz w:val="20"/>
              </w:rPr>
              <w:t>2,380</w:t>
            </w:r>
          </w:p>
        </w:tc>
        <w:tc>
          <w:tcPr>
            <w:tcW w:w="782" w:type="dxa"/>
            <w:shd w:val="clear" w:color="auto" w:fill="F2DBDB"/>
            <w:tcMar>
              <w:top w:w="0" w:type="dxa"/>
              <w:left w:w="108" w:type="dxa"/>
              <w:bottom w:w="0" w:type="dxa"/>
              <w:right w:w="108" w:type="dxa"/>
            </w:tcMar>
          </w:tcPr>
          <w:p w:rsidR="004A147C" w:rsidRPr="003109E1" w:rsidRDefault="004A147C" w:rsidP="00CE5850">
            <w:pPr>
              <w:jc w:val="center"/>
              <w:rPr>
                <w:sz w:val="20"/>
              </w:rPr>
            </w:pPr>
            <w:r w:rsidRPr="003109E1">
              <w:rPr>
                <w:sz w:val="20"/>
              </w:rPr>
              <w:t>34.9%</w:t>
            </w:r>
          </w:p>
        </w:tc>
      </w:tr>
    </w:tbl>
    <w:p w:rsidR="004A147C" w:rsidRDefault="004A147C" w:rsidP="00CE5850">
      <w:pPr>
        <w:rPr>
          <w:szCs w:val="22"/>
        </w:rPr>
      </w:pPr>
    </w:p>
    <w:p w:rsidR="006E42E5" w:rsidRDefault="006E42E5" w:rsidP="00CE5850">
      <w:pPr>
        <w:rPr>
          <w:szCs w:val="22"/>
        </w:rPr>
      </w:pPr>
    </w:p>
    <w:p w:rsidR="004A147C" w:rsidRDefault="004A147C" w:rsidP="00CE5850">
      <w:pPr>
        <w:pStyle w:val="Caption"/>
        <w:widowControl w:val="0"/>
        <w:jc w:val="center"/>
        <w:rPr>
          <w:sz w:val="22"/>
          <w:szCs w:val="22"/>
        </w:rPr>
      </w:pPr>
      <w:bookmarkStart w:id="932" w:name="_Ref343001258"/>
      <w:r w:rsidRPr="00EF1C8D">
        <w:rPr>
          <w:sz w:val="22"/>
          <w:szCs w:val="22"/>
        </w:rPr>
        <w:lastRenderedPageBreak/>
        <w:t xml:space="preserve">Table </w:t>
      </w:r>
      <w:r w:rsidR="0007014B" w:rsidRPr="00EF1C8D">
        <w:rPr>
          <w:sz w:val="22"/>
          <w:szCs w:val="22"/>
        </w:rPr>
        <w:fldChar w:fldCharType="begin"/>
      </w:r>
      <w:r w:rsidRPr="00EF1C8D">
        <w:rPr>
          <w:sz w:val="22"/>
          <w:szCs w:val="22"/>
        </w:rPr>
        <w:instrText xml:space="preserve"> SEQ Table \* ARABIC </w:instrText>
      </w:r>
      <w:r w:rsidR="0007014B" w:rsidRPr="00EF1C8D">
        <w:rPr>
          <w:sz w:val="22"/>
          <w:szCs w:val="22"/>
        </w:rPr>
        <w:fldChar w:fldCharType="separate"/>
      </w:r>
      <w:r w:rsidR="00CA3AC6">
        <w:rPr>
          <w:noProof/>
          <w:sz w:val="22"/>
          <w:szCs w:val="22"/>
        </w:rPr>
        <w:t>5</w:t>
      </w:r>
      <w:r w:rsidR="0007014B" w:rsidRPr="00EF1C8D">
        <w:rPr>
          <w:sz w:val="22"/>
          <w:szCs w:val="22"/>
        </w:rPr>
        <w:fldChar w:fldCharType="end"/>
      </w:r>
      <w:bookmarkEnd w:id="932"/>
      <w:r>
        <w:rPr>
          <w:sz w:val="22"/>
          <w:szCs w:val="22"/>
        </w:rPr>
        <w:br/>
      </w:r>
      <w:r w:rsidRPr="00B53FFB">
        <w:rPr>
          <w:sz w:val="22"/>
          <w:szCs w:val="22"/>
        </w:rPr>
        <w:t xml:space="preserve">Estimated Mobile Wireless Coverage by Census Block, </w:t>
      </w:r>
      <w:r>
        <w:rPr>
          <w:sz w:val="22"/>
          <w:szCs w:val="22"/>
        </w:rPr>
        <w:t>Oct</w:t>
      </w:r>
      <w:r w:rsidRPr="00B53FFB">
        <w:rPr>
          <w:sz w:val="22"/>
          <w:szCs w:val="22"/>
        </w:rPr>
        <w:t>. 2012</w:t>
      </w:r>
      <w:r w:rsidRPr="00B53FFB">
        <w:rPr>
          <w:rStyle w:val="FootnoteReference"/>
          <w:b w:val="0"/>
          <w:szCs w:val="22"/>
        </w:rPr>
        <w:footnoteReference w:id="151"/>
      </w:r>
    </w:p>
    <w:tbl>
      <w:tblPr>
        <w:tblW w:w="8973" w:type="dxa"/>
        <w:jc w:val="center"/>
        <w:tblInd w:w="426"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0" w:type="dxa"/>
          <w:right w:w="0" w:type="dxa"/>
        </w:tblCellMar>
        <w:tblLook w:val="00A0" w:firstRow="1" w:lastRow="0" w:firstColumn="1" w:lastColumn="0" w:noHBand="0" w:noVBand="0"/>
      </w:tblPr>
      <w:tblGrid>
        <w:gridCol w:w="1170"/>
        <w:gridCol w:w="1284"/>
        <w:gridCol w:w="1284"/>
        <w:gridCol w:w="895"/>
        <w:gridCol w:w="1284"/>
        <w:gridCol w:w="990"/>
        <w:gridCol w:w="1284"/>
        <w:gridCol w:w="833"/>
      </w:tblGrid>
      <w:tr w:rsidR="004A147C" w:rsidRPr="00B53FFB" w:rsidTr="002F6546">
        <w:trPr>
          <w:trHeight w:val="765"/>
          <w:jc w:val="center"/>
        </w:trPr>
        <w:tc>
          <w:tcPr>
            <w:tcW w:w="1170" w:type="dxa"/>
            <w:shd w:val="clear" w:color="auto" w:fill="F2DBDB"/>
            <w:tcMar>
              <w:top w:w="0" w:type="dxa"/>
              <w:left w:w="108" w:type="dxa"/>
              <w:bottom w:w="0" w:type="dxa"/>
              <w:right w:w="108" w:type="dxa"/>
            </w:tcMar>
          </w:tcPr>
          <w:p w:rsidR="004A147C" w:rsidRPr="007D38C2" w:rsidRDefault="004A147C" w:rsidP="00CE5850">
            <w:pPr>
              <w:snapToGrid w:val="0"/>
              <w:jc w:val="center"/>
              <w:rPr>
                <w:rFonts w:eastAsia="Times New Roman"/>
                <w:b/>
                <w:bCs/>
                <w:sz w:val="20"/>
              </w:rPr>
            </w:pPr>
            <w:r w:rsidRPr="007D38C2">
              <w:rPr>
                <w:b/>
                <w:bCs/>
                <w:sz w:val="20"/>
              </w:rPr>
              <w:t>Number of Providers with Coverage in a Block</w:t>
            </w:r>
          </w:p>
        </w:tc>
        <w:tc>
          <w:tcPr>
            <w:tcW w:w="1284" w:type="dxa"/>
            <w:shd w:val="clear" w:color="auto" w:fill="F2DBDB"/>
            <w:tcMar>
              <w:top w:w="0" w:type="dxa"/>
              <w:left w:w="108" w:type="dxa"/>
              <w:bottom w:w="0" w:type="dxa"/>
              <w:right w:w="108" w:type="dxa"/>
            </w:tcMar>
          </w:tcPr>
          <w:p w:rsidR="004A147C" w:rsidRPr="007D38C2" w:rsidRDefault="004A147C" w:rsidP="00CE5850">
            <w:pPr>
              <w:snapToGrid w:val="0"/>
              <w:jc w:val="center"/>
              <w:rPr>
                <w:rFonts w:eastAsia="Times New Roman"/>
                <w:b/>
                <w:bCs/>
                <w:sz w:val="20"/>
              </w:rPr>
            </w:pPr>
            <w:r w:rsidRPr="007D38C2">
              <w:rPr>
                <w:b/>
                <w:bCs/>
                <w:sz w:val="20"/>
              </w:rPr>
              <w:t xml:space="preserve">Number </w:t>
            </w:r>
          </w:p>
          <w:p w:rsidR="004A147C" w:rsidRPr="007D38C2" w:rsidRDefault="004A147C" w:rsidP="00CE5850">
            <w:pPr>
              <w:snapToGrid w:val="0"/>
              <w:jc w:val="center"/>
              <w:rPr>
                <w:b/>
                <w:bCs/>
                <w:sz w:val="20"/>
              </w:rPr>
            </w:pPr>
            <w:r w:rsidRPr="007D38C2">
              <w:rPr>
                <w:b/>
                <w:bCs/>
                <w:sz w:val="20"/>
              </w:rPr>
              <w:t>of Blocks</w:t>
            </w:r>
          </w:p>
          <w:p w:rsidR="004A147C" w:rsidRPr="007D38C2" w:rsidRDefault="004A147C" w:rsidP="00CE5850">
            <w:pPr>
              <w:snapToGrid w:val="0"/>
              <w:jc w:val="center"/>
              <w:rPr>
                <w:rFonts w:eastAsia="Times New Roman"/>
                <w:b/>
                <w:bCs/>
                <w:sz w:val="20"/>
              </w:rPr>
            </w:pPr>
            <w:r w:rsidRPr="007D38C2">
              <w:rPr>
                <w:b/>
                <w:bCs/>
                <w:sz w:val="20"/>
              </w:rPr>
              <w:t>(Thousands)</w:t>
            </w:r>
          </w:p>
        </w:tc>
        <w:tc>
          <w:tcPr>
            <w:tcW w:w="1284" w:type="dxa"/>
            <w:shd w:val="clear" w:color="auto" w:fill="F2DBDB"/>
            <w:tcMar>
              <w:top w:w="0" w:type="dxa"/>
              <w:left w:w="108" w:type="dxa"/>
              <w:bottom w:w="0" w:type="dxa"/>
              <w:right w:w="108" w:type="dxa"/>
            </w:tcMar>
          </w:tcPr>
          <w:p w:rsidR="004A147C" w:rsidRPr="007D38C2" w:rsidRDefault="004A147C" w:rsidP="00CE5850">
            <w:pPr>
              <w:snapToGrid w:val="0"/>
              <w:jc w:val="center"/>
              <w:rPr>
                <w:rFonts w:eastAsia="Times New Roman"/>
                <w:b/>
                <w:bCs/>
                <w:sz w:val="20"/>
              </w:rPr>
            </w:pPr>
            <w:r w:rsidRPr="007D38C2">
              <w:rPr>
                <w:b/>
                <w:bCs/>
                <w:sz w:val="20"/>
              </w:rPr>
              <w:t>POPs Contained in Those Blocks</w:t>
            </w:r>
          </w:p>
          <w:p w:rsidR="004A147C" w:rsidRPr="007D38C2" w:rsidRDefault="004A147C" w:rsidP="00CE5850">
            <w:pPr>
              <w:snapToGrid w:val="0"/>
              <w:jc w:val="center"/>
              <w:rPr>
                <w:rFonts w:eastAsia="Times New Roman"/>
                <w:b/>
                <w:bCs/>
                <w:sz w:val="20"/>
              </w:rPr>
            </w:pPr>
            <w:r w:rsidRPr="007D38C2">
              <w:rPr>
                <w:b/>
                <w:bCs/>
                <w:sz w:val="20"/>
              </w:rPr>
              <w:t>(Thousands)</w:t>
            </w:r>
          </w:p>
        </w:tc>
        <w:tc>
          <w:tcPr>
            <w:tcW w:w="895" w:type="dxa"/>
            <w:shd w:val="clear" w:color="auto" w:fill="F2DBDB"/>
            <w:tcMar>
              <w:top w:w="0" w:type="dxa"/>
              <w:left w:w="108" w:type="dxa"/>
              <w:bottom w:w="0" w:type="dxa"/>
              <w:right w:w="108" w:type="dxa"/>
            </w:tcMar>
          </w:tcPr>
          <w:p w:rsidR="004A147C" w:rsidRPr="007D38C2" w:rsidRDefault="004A147C" w:rsidP="00CE5850">
            <w:pPr>
              <w:snapToGrid w:val="0"/>
              <w:jc w:val="center"/>
              <w:rPr>
                <w:rFonts w:eastAsia="Times New Roman"/>
                <w:b/>
                <w:bCs/>
                <w:sz w:val="20"/>
              </w:rPr>
            </w:pPr>
            <w:r w:rsidRPr="007D38C2">
              <w:rPr>
                <w:b/>
                <w:bCs/>
                <w:sz w:val="20"/>
              </w:rPr>
              <w:t>% of Total US POPs</w:t>
            </w:r>
          </w:p>
        </w:tc>
        <w:tc>
          <w:tcPr>
            <w:tcW w:w="1284" w:type="dxa"/>
            <w:shd w:val="clear" w:color="auto" w:fill="F2DBDB"/>
            <w:tcMar>
              <w:top w:w="0" w:type="dxa"/>
              <w:left w:w="108" w:type="dxa"/>
              <w:bottom w:w="0" w:type="dxa"/>
              <w:right w:w="108" w:type="dxa"/>
            </w:tcMar>
          </w:tcPr>
          <w:p w:rsidR="004A147C" w:rsidRPr="007D38C2" w:rsidRDefault="004A147C" w:rsidP="00CE5850">
            <w:pPr>
              <w:snapToGrid w:val="0"/>
              <w:jc w:val="center"/>
              <w:rPr>
                <w:rFonts w:eastAsia="Times New Roman"/>
                <w:b/>
                <w:bCs/>
                <w:sz w:val="20"/>
              </w:rPr>
            </w:pPr>
            <w:r w:rsidRPr="007D38C2">
              <w:rPr>
                <w:b/>
                <w:bCs/>
                <w:sz w:val="20"/>
              </w:rPr>
              <w:t>Square Miles Contained in Those Blocks</w:t>
            </w:r>
          </w:p>
          <w:p w:rsidR="004A147C" w:rsidRPr="007D38C2" w:rsidRDefault="004A147C" w:rsidP="00CE5850">
            <w:pPr>
              <w:snapToGrid w:val="0"/>
              <w:jc w:val="center"/>
              <w:rPr>
                <w:rFonts w:eastAsia="Times New Roman"/>
                <w:b/>
                <w:bCs/>
                <w:sz w:val="20"/>
              </w:rPr>
            </w:pPr>
            <w:r w:rsidRPr="007D38C2">
              <w:rPr>
                <w:b/>
                <w:bCs/>
                <w:sz w:val="20"/>
              </w:rPr>
              <w:t>(Thousands)</w:t>
            </w:r>
          </w:p>
        </w:tc>
        <w:tc>
          <w:tcPr>
            <w:tcW w:w="990" w:type="dxa"/>
            <w:shd w:val="clear" w:color="auto" w:fill="F2DBDB"/>
            <w:tcMar>
              <w:top w:w="0" w:type="dxa"/>
              <w:left w:w="108" w:type="dxa"/>
              <w:bottom w:w="0" w:type="dxa"/>
              <w:right w:w="108" w:type="dxa"/>
            </w:tcMar>
          </w:tcPr>
          <w:p w:rsidR="004A147C" w:rsidRPr="007D38C2" w:rsidRDefault="004A147C" w:rsidP="00CE5850">
            <w:pPr>
              <w:snapToGrid w:val="0"/>
              <w:jc w:val="center"/>
              <w:rPr>
                <w:rFonts w:eastAsia="Times New Roman"/>
                <w:b/>
                <w:bCs/>
                <w:sz w:val="20"/>
              </w:rPr>
            </w:pPr>
            <w:r w:rsidRPr="007D38C2">
              <w:rPr>
                <w:b/>
                <w:bCs/>
                <w:sz w:val="20"/>
              </w:rPr>
              <w:t>% of Total US Square Miles</w:t>
            </w:r>
          </w:p>
        </w:tc>
        <w:tc>
          <w:tcPr>
            <w:tcW w:w="1284" w:type="dxa"/>
            <w:shd w:val="clear" w:color="auto" w:fill="F2DBDB"/>
            <w:tcMar>
              <w:top w:w="0" w:type="dxa"/>
              <w:left w:w="108" w:type="dxa"/>
              <w:bottom w:w="0" w:type="dxa"/>
              <w:right w:w="108" w:type="dxa"/>
            </w:tcMar>
          </w:tcPr>
          <w:p w:rsidR="004A147C" w:rsidRPr="007D38C2" w:rsidRDefault="004A147C" w:rsidP="00CE5850">
            <w:pPr>
              <w:snapToGrid w:val="0"/>
              <w:jc w:val="center"/>
              <w:rPr>
                <w:rFonts w:eastAsia="Times New Roman"/>
                <w:b/>
                <w:bCs/>
                <w:sz w:val="20"/>
              </w:rPr>
            </w:pPr>
            <w:r w:rsidRPr="007D38C2">
              <w:rPr>
                <w:b/>
                <w:bCs/>
                <w:sz w:val="20"/>
              </w:rPr>
              <w:t>Road</w:t>
            </w:r>
          </w:p>
          <w:p w:rsidR="004A147C" w:rsidRPr="007D38C2" w:rsidRDefault="004A147C" w:rsidP="00CE5850">
            <w:pPr>
              <w:snapToGrid w:val="0"/>
              <w:jc w:val="center"/>
              <w:rPr>
                <w:rFonts w:eastAsia="Times New Roman"/>
                <w:b/>
                <w:bCs/>
                <w:sz w:val="20"/>
              </w:rPr>
            </w:pPr>
            <w:r w:rsidRPr="007D38C2">
              <w:rPr>
                <w:b/>
                <w:bCs/>
                <w:sz w:val="20"/>
              </w:rPr>
              <w:t>Miles Contained in Those Blocks (Thousands)</w:t>
            </w:r>
          </w:p>
        </w:tc>
        <w:tc>
          <w:tcPr>
            <w:tcW w:w="782" w:type="dxa"/>
            <w:shd w:val="clear" w:color="auto" w:fill="F2DBDB"/>
            <w:tcMar>
              <w:top w:w="0" w:type="dxa"/>
              <w:left w:w="108" w:type="dxa"/>
              <w:bottom w:w="0" w:type="dxa"/>
              <w:right w:w="108" w:type="dxa"/>
            </w:tcMar>
          </w:tcPr>
          <w:p w:rsidR="004A147C" w:rsidRPr="007D38C2" w:rsidRDefault="004A147C" w:rsidP="00CE5850">
            <w:pPr>
              <w:snapToGrid w:val="0"/>
              <w:jc w:val="center"/>
              <w:rPr>
                <w:rFonts w:eastAsia="Times New Roman"/>
                <w:b/>
                <w:bCs/>
                <w:sz w:val="20"/>
              </w:rPr>
            </w:pPr>
            <w:r w:rsidRPr="007D38C2">
              <w:rPr>
                <w:b/>
                <w:bCs/>
                <w:sz w:val="20"/>
              </w:rPr>
              <w:t>% of Total US Road Miles</w:t>
            </w:r>
          </w:p>
        </w:tc>
      </w:tr>
      <w:tr w:rsidR="004A147C" w:rsidRPr="00B53FFB" w:rsidTr="002F6546">
        <w:trPr>
          <w:trHeight w:val="255"/>
          <w:jc w:val="center"/>
        </w:trPr>
        <w:tc>
          <w:tcPr>
            <w:tcW w:w="1170" w:type="dxa"/>
            <w:shd w:val="clear" w:color="auto" w:fill="F2DBDB"/>
            <w:noWrap/>
            <w:tcMar>
              <w:top w:w="0" w:type="dxa"/>
              <w:left w:w="108" w:type="dxa"/>
              <w:bottom w:w="0" w:type="dxa"/>
              <w:right w:w="108" w:type="dxa"/>
            </w:tcMar>
          </w:tcPr>
          <w:p w:rsidR="004A147C" w:rsidRPr="007D38C2" w:rsidRDefault="004A147C" w:rsidP="00CE5850">
            <w:pPr>
              <w:snapToGrid w:val="0"/>
              <w:jc w:val="center"/>
              <w:rPr>
                <w:rFonts w:eastAsia="Times New Roman"/>
                <w:bCs/>
                <w:i/>
                <w:sz w:val="20"/>
              </w:rPr>
            </w:pPr>
            <w:r w:rsidRPr="007D38C2">
              <w:rPr>
                <w:bCs/>
                <w:i/>
                <w:sz w:val="20"/>
              </w:rPr>
              <w:t>US Total</w:t>
            </w:r>
          </w:p>
        </w:tc>
        <w:tc>
          <w:tcPr>
            <w:tcW w:w="1284" w:type="dxa"/>
            <w:shd w:val="clear" w:color="auto" w:fill="F2DBDB"/>
            <w:noWrap/>
            <w:tcMar>
              <w:top w:w="0" w:type="dxa"/>
              <w:left w:w="108" w:type="dxa"/>
              <w:bottom w:w="0" w:type="dxa"/>
              <w:right w:w="108" w:type="dxa"/>
            </w:tcMar>
          </w:tcPr>
          <w:p w:rsidR="004A147C" w:rsidRPr="002F6546" w:rsidRDefault="004A147C" w:rsidP="00CE5850">
            <w:pPr>
              <w:jc w:val="center"/>
              <w:rPr>
                <w:sz w:val="20"/>
              </w:rPr>
            </w:pPr>
            <w:r w:rsidRPr="002F6546">
              <w:rPr>
                <w:sz w:val="20"/>
              </w:rPr>
              <w:t>11,155</w:t>
            </w:r>
          </w:p>
        </w:tc>
        <w:tc>
          <w:tcPr>
            <w:tcW w:w="1284" w:type="dxa"/>
            <w:shd w:val="clear" w:color="auto" w:fill="F2DBDB"/>
            <w:noWrap/>
            <w:tcMar>
              <w:top w:w="0" w:type="dxa"/>
              <w:left w:w="108" w:type="dxa"/>
              <w:bottom w:w="0" w:type="dxa"/>
              <w:right w:w="108" w:type="dxa"/>
            </w:tcMar>
          </w:tcPr>
          <w:p w:rsidR="004A147C" w:rsidRPr="002F6546" w:rsidRDefault="004A147C" w:rsidP="00CE5850">
            <w:pPr>
              <w:jc w:val="center"/>
              <w:rPr>
                <w:sz w:val="20"/>
              </w:rPr>
            </w:pPr>
            <w:r w:rsidRPr="002F6546">
              <w:rPr>
                <w:sz w:val="20"/>
              </w:rPr>
              <w:t>312,471</w:t>
            </w:r>
          </w:p>
        </w:tc>
        <w:tc>
          <w:tcPr>
            <w:tcW w:w="895" w:type="dxa"/>
            <w:shd w:val="clear" w:color="auto" w:fill="F2DBDB"/>
            <w:noWrap/>
            <w:tcMar>
              <w:top w:w="0" w:type="dxa"/>
              <w:left w:w="108" w:type="dxa"/>
              <w:bottom w:w="0" w:type="dxa"/>
              <w:right w:w="108" w:type="dxa"/>
            </w:tcMar>
          </w:tcPr>
          <w:p w:rsidR="004A147C" w:rsidRPr="002F6546" w:rsidRDefault="004A147C" w:rsidP="00CE5850">
            <w:pPr>
              <w:jc w:val="center"/>
              <w:rPr>
                <w:sz w:val="20"/>
              </w:rPr>
            </w:pPr>
            <w:r w:rsidRPr="002F6546">
              <w:rPr>
                <w:sz w:val="20"/>
              </w:rPr>
              <w:t>100.0%</w:t>
            </w:r>
          </w:p>
        </w:tc>
        <w:tc>
          <w:tcPr>
            <w:tcW w:w="1284" w:type="dxa"/>
            <w:shd w:val="clear" w:color="auto" w:fill="F2DBDB"/>
            <w:noWrap/>
            <w:tcMar>
              <w:top w:w="0" w:type="dxa"/>
              <w:left w:w="108" w:type="dxa"/>
              <w:bottom w:w="0" w:type="dxa"/>
              <w:right w:w="108" w:type="dxa"/>
            </w:tcMar>
          </w:tcPr>
          <w:p w:rsidR="004A147C" w:rsidRPr="002F6546" w:rsidRDefault="004A147C" w:rsidP="00CE5850">
            <w:pPr>
              <w:jc w:val="center"/>
              <w:rPr>
                <w:sz w:val="20"/>
              </w:rPr>
            </w:pPr>
            <w:r w:rsidRPr="002F6546">
              <w:rPr>
                <w:sz w:val="20"/>
              </w:rPr>
              <w:t>3,802</w:t>
            </w:r>
          </w:p>
        </w:tc>
        <w:tc>
          <w:tcPr>
            <w:tcW w:w="990" w:type="dxa"/>
            <w:shd w:val="clear" w:color="auto" w:fill="F2DBDB"/>
            <w:noWrap/>
            <w:tcMar>
              <w:top w:w="0" w:type="dxa"/>
              <w:left w:w="108" w:type="dxa"/>
              <w:bottom w:w="0" w:type="dxa"/>
              <w:right w:w="108" w:type="dxa"/>
            </w:tcMar>
          </w:tcPr>
          <w:p w:rsidR="004A147C" w:rsidRPr="002F6546" w:rsidRDefault="004A147C" w:rsidP="00CE5850">
            <w:pPr>
              <w:jc w:val="center"/>
              <w:rPr>
                <w:sz w:val="20"/>
              </w:rPr>
            </w:pPr>
            <w:r w:rsidRPr="002F6546">
              <w:rPr>
                <w:sz w:val="20"/>
              </w:rPr>
              <w:t>100.0%</w:t>
            </w:r>
          </w:p>
        </w:tc>
        <w:tc>
          <w:tcPr>
            <w:tcW w:w="1284" w:type="dxa"/>
            <w:shd w:val="clear" w:color="auto" w:fill="F2DBDB"/>
            <w:tcMar>
              <w:top w:w="0" w:type="dxa"/>
              <w:left w:w="108" w:type="dxa"/>
              <w:bottom w:w="0" w:type="dxa"/>
              <w:right w:w="108" w:type="dxa"/>
            </w:tcMar>
          </w:tcPr>
          <w:p w:rsidR="004A147C" w:rsidRPr="002F6546" w:rsidRDefault="004A147C" w:rsidP="00CE5850">
            <w:pPr>
              <w:jc w:val="center"/>
              <w:rPr>
                <w:sz w:val="20"/>
              </w:rPr>
            </w:pPr>
            <w:r w:rsidRPr="002F6546">
              <w:rPr>
                <w:sz w:val="20"/>
              </w:rPr>
              <w:t>6,821</w:t>
            </w:r>
          </w:p>
        </w:tc>
        <w:tc>
          <w:tcPr>
            <w:tcW w:w="782" w:type="dxa"/>
            <w:shd w:val="clear" w:color="auto" w:fill="F2DBDB"/>
            <w:tcMar>
              <w:top w:w="0" w:type="dxa"/>
              <w:left w:w="108" w:type="dxa"/>
              <w:bottom w:w="0" w:type="dxa"/>
              <w:right w:w="108" w:type="dxa"/>
            </w:tcMar>
          </w:tcPr>
          <w:p w:rsidR="004A147C" w:rsidRPr="002F6546" w:rsidRDefault="004A147C" w:rsidP="00CE5850">
            <w:pPr>
              <w:jc w:val="center"/>
              <w:rPr>
                <w:sz w:val="20"/>
              </w:rPr>
            </w:pPr>
            <w:r w:rsidRPr="002F6546">
              <w:rPr>
                <w:sz w:val="20"/>
              </w:rPr>
              <w:t>100.0%</w:t>
            </w:r>
          </w:p>
        </w:tc>
      </w:tr>
      <w:tr w:rsidR="004A147C" w:rsidRPr="00B53FFB" w:rsidTr="002F6546">
        <w:trPr>
          <w:trHeight w:val="215"/>
          <w:jc w:val="center"/>
        </w:trPr>
        <w:tc>
          <w:tcPr>
            <w:tcW w:w="1170" w:type="dxa"/>
            <w:shd w:val="clear" w:color="auto" w:fill="F2DBDB"/>
            <w:noWrap/>
            <w:tcMar>
              <w:top w:w="0" w:type="dxa"/>
              <w:left w:w="108" w:type="dxa"/>
              <w:bottom w:w="0" w:type="dxa"/>
              <w:right w:w="108" w:type="dxa"/>
            </w:tcMar>
            <w:vAlign w:val="bottom"/>
          </w:tcPr>
          <w:p w:rsidR="004A147C" w:rsidRPr="007D38C2" w:rsidRDefault="004A147C" w:rsidP="00CE5850">
            <w:pPr>
              <w:snapToGrid w:val="0"/>
              <w:jc w:val="center"/>
              <w:rPr>
                <w:rFonts w:eastAsia="Times New Roman"/>
                <w:sz w:val="20"/>
              </w:rPr>
            </w:pPr>
            <w:r w:rsidRPr="007D38C2">
              <w:rPr>
                <w:sz w:val="20"/>
              </w:rPr>
              <w:t>1 or more</w:t>
            </w:r>
          </w:p>
        </w:tc>
        <w:tc>
          <w:tcPr>
            <w:tcW w:w="1284" w:type="dxa"/>
            <w:shd w:val="clear" w:color="auto" w:fill="F2DBDB"/>
            <w:noWrap/>
            <w:tcMar>
              <w:top w:w="0" w:type="dxa"/>
              <w:left w:w="108" w:type="dxa"/>
              <w:bottom w:w="0" w:type="dxa"/>
              <w:right w:w="108" w:type="dxa"/>
            </w:tcMar>
          </w:tcPr>
          <w:p w:rsidR="004A147C" w:rsidRPr="002F6546" w:rsidRDefault="004A147C" w:rsidP="00CE5850">
            <w:pPr>
              <w:jc w:val="center"/>
              <w:rPr>
                <w:sz w:val="20"/>
              </w:rPr>
            </w:pPr>
            <w:r w:rsidRPr="002F6546">
              <w:rPr>
                <w:sz w:val="20"/>
              </w:rPr>
              <w:t>10,932</w:t>
            </w:r>
          </w:p>
        </w:tc>
        <w:tc>
          <w:tcPr>
            <w:tcW w:w="1284" w:type="dxa"/>
            <w:shd w:val="clear" w:color="auto" w:fill="F2DBDB"/>
            <w:noWrap/>
            <w:tcMar>
              <w:top w:w="0" w:type="dxa"/>
              <w:left w:w="108" w:type="dxa"/>
              <w:bottom w:w="0" w:type="dxa"/>
              <w:right w:w="108" w:type="dxa"/>
            </w:tcMar>
          </w:tcPr>
          <w:p w:rsidR="004A147C" w:rsidRPr="002F6546" w:rsidRDefault="004A147C" w:rsidP="00CE5850">
            <w:pPr>
              <w:jc w:val="center"/>
              <w:rPr>
                <w:sz w:val="20"/>
              </w:rPr>
            </w:pPr>
            <w:r w:rsidRPr="002F6546">
              <w:rPr>
                <w:sz w:val="20"/>
              </w:rPr>
              <w:t>312,044</w:t>
            </w:r>
          </w:p>
        </w:tc>
        <w:tc>
          <w:tcPr>
            <w:tcW w:w="895" w:type="dxa"/>
            <w:shd w:val="clear" w:color="auto" w:fill="F2DBDB"/>
            <w:noWrap/>
            <w:tcMar>
              <w:top w:w="0" w:type="dxa"/>
              <w:left w:w="108" w:type="dxa"/>
              <w:bottom w:w="0" w:type="dxa"/>
              <w:right w:w="108" w:type="dxa"/>
            </w:tcMar>
          </w:tcPr>
          <w:p w:rsidR="004A147C" w:rsidRPr="002F6546" w:rsidRDefault="004A147C" w:rsidP="00CE5850">
            <w:pPr>
              <w:jc w:val="center"/>
              <w:rPr>
                <w:sz w:val="20"/>
              </w:rPr>
            </w:pPr>
            <w:r w:rsidRPr="002F6546">
              <w:rPr>
                <w:sz w:val="20"/>
              </w:rPr>
              <w:t>99.9%</w:t>
            </w:r>
          </w:p>
        </w:tc>
        <w:tc>
          <w:tcPr>
            <w:tcW w:w="1284" w:type="dxa"/>
            <w:shd w:val="clear" w:color="auto" w:fill="F2DBDB"/>
            <w:noWrap/>
            <w:tcMar>
              <w:top w:w="0" w:type="dxa"/>
              <w:left w:w="108" w:type="dxa"/>
              <w:bottom w:w="0" w:type="dxa"/>
              <w:right w:w="108" w:type="dxa"/>
            </w:tcMar>
          </w:tcPr>
          <w:p w:rsidR="004A147C" w:rsidRPr="002F6546" w:rsidRDefault="004A147C" w:rsidP="00CE5850">
            <w:pPr>
              <w:jc w:val="center"/>
              <w:rPr>
                <w:sz w:val="20"/>
              </w:rPr>
            </w:pPr>
            <w:r w:rsidRPr="002F6546">
              <w:rPr>
                <w:sz w:val="20"/>
              </w:rPr>
              <w:t>2,824</w:t>
            </w:r>
          </w:p>
        </w:tc>
        <w:tc>
          <w:tcPr>
            <w:tcW w:w="990" w:type="dxa"/>
            <w:shd w:val="clear" w:color="auto" w:fill="F2DBDB"/>
            <w:noWrap/>
            <w:tcMar>
              <w:top w:w="0" w:type="dxa"/>
              <w:left w:w="108" w:type="dxa"/>
              <w:bottom w:w="0" w:type="dxa"/>
              <w:right w:w="108" w:type="dxa"/>
            </w:tcMar>
          </w:tcPr>
          <w:p w:rsidR="004A147C" w:rsidRPr="002F6546" w:rsidRDefault="004A147C" w:rsidP="00CE5850">
            <w:pPr>
              <w:jc w:val="center"/>
              <w:rPr>
                <w:sz w:val="20"/>
              </w:rPr>
            </w:pPr>
            <w:r w:rsidRPr="002F6546">
              <w:rPr>
                <w:sz w:val="20"/>
              </w:rPr>
              <w:t>74.3%</w:t>
            </w:r>
          </w:p>
        </w:tc>
        <w:tc>
          <w:tcPr>
            <w:tcW w:w="1284" w:type="dxa"/>
            <w:shd w:val="clear" w:color="auto" w:fill="F2DBDB"/>
            <w:tcMar>
              <w:top w:w="0" w:type="dxa"/>
              <w:left w:w="108" w:type="dxa"/>
              <w:bottom w:w="0" w:type="dxa"/>
              <w:right w:w="108" w:type="dxa"/>
            </w:tcMar>
          </w:tcPr>
          <w:p w:rsidR="004A147C" w:rsidRPr="002F6546" w:rsidRDefault="004A147C" w:rsidP="00CE5850">
            <w:pPr>
              <w:jc w:val="center"/>
              <w:rPr>
                <w:sz w:val="20"/>
              </w:rPr>
            </w:pPr>
            <w:r w:rsidRPr="002F6546">
              <w:rPr>
                <w:sz w:val="20"/>
              </w:rPr>
              <w:t>6,499</w:t>
            </w:r>
          </w:p>
        </w:tc>
        <w:tc>
          <w:tcPr>
            <w:tcW w:w="782" w:type="dxa"/>
            <w:shd w:val="clear" w:color="auto" w:fill="F2DBDB"/>
            <w:tcMar>
              <w:top w:w="0" w:type="dxa"/>
              <w:left w:w="108" w:type="dxa"/>
              <w:bottom w:w="0" w:type="dxa"/>
              <w:right w:w="108" w:type="dxa"/>
            </w:tcMar>
          </w:tcPr>
          <w:p w:rsidR="004A147C" w:rsidRPr="002F6546" w:rsidRDefault="004A147C" w:rsidP="00CE5850">
            <w:pPr>
              <w:jc w:val="center"/>
              <w:rPr>
                <w:sz w:val="20"/>
              </w:rPr>
            </w:pPr>
            <w:r w:rsidRPr="002F6546">
              <w:rPr>
                <w:sz w:val="20"/>
              </w:rPr>
              <w:t>95.3%</w:t>
            </w:r>
          </w:p>
        </w:tc>
      </w:tr>
      <w:tr w:rsidR="004A147C" w:rsidRPr="00B53FFB" w:rsidTr="002F6546">
        <w:trPr>
          <w:trHeight w:val="255"/>
          <w:jc w:val="center"/>
        </w:trPr>
        <w:tc>
          <w:tcPr>
            <w:tcW w:w="1170" w:type="dxa"/>
            <w:shd w:val="clear" w:color="auto" w:fill="F2DBDB"/>
            <w:noWrap/>
            <w:tcMar>
              <w:top w:w="0" w:type="dxa"/>
              <w:left w:w="108" w:type="dxa"/>
              <w:bottom w:w="0" w:type="dxa"/>
              <w:right w:w="108" w:type="dxa"/>
            </w:tcMar>
            <w:vAlign w:val="bottom"/>
          </w:tcPr>
          <w:p w:rsidR="004A147C" w:rsidRPr="007D38C2" w:rsidRDefault="004A147C" w:rsidP="00CE5850">
            <w:pPr>
              <w:snapToGrid w:val="0"/>
              <w:jc w:val="center"/>
              <w:rPr>
                <w:rFonts w:eastAsia="Times New Roman"/>
                <w:sz w:val="20"/>
              </w:rPr>
            </w:pPr>
            <w:r w:rsidRPr="007D38C2">
              <w:rPr>
                <w:sz w:val="20"/>
              </w:rPr>
              <w:t>2 or more</w:t>
            </w:r>
          </w:p>
        </w:tc>
        <w:tc>
          <w:tcPr>
            <w:tcW w:w="1284" w:type="dxa"/>
            <w:shd w:val="clear" w:color="auto" w:fill="F2DBDB"/>
            <w:noWrap/>
            <w:tcMar>
              <w:top w:w="0" w:type="dxa"/>
              <w:left w:w="108" w:type="dxa"/>
              <w:bottom w:w="0" w:type="dxa"/>
              <w:right w:w="108" w:type="dxa"/>
            </w:tcMar>
          </w:tcPr>
          <w:p w:rsidR="004A147C" w:rsidRPr="002F6546" w:rsidRDefault="004A147C" w:rsidP="00CE5850">
            <w:pPr>
              <w:jc w:val="center"/>
              <w:rPr>
                <w:sz w:val="20"/>
              </w:rPr>
            </w:pPr>
            <w:r w:rsidRPr="002F6546">
              <w:rPr>
                <w:sz w:val="20"/>
              </w:rPr>
              <w:t>10,560</w:t>
            </w:r>
          </w:p>
        </w:tc>
        <w:tc>
          <w:tcPr>
            <w:tcW w:w="1284" w:type="dxa"/>
            <w:shd w:val="clear" w:color="auto" w:fill="F2DBDB"/>
            <w:noWrap/>
            <w:tcMar>
              <w:top w:w="0" w:type="dxa"/>
              <w:left w:w="108" w:type="dxa"/>
              <w:bottom w:w="0" w:type="dxa"/>
              <w:right w:w="108" w:type="dxa"/>
            </w:tcMar>
          </w:tcPr>
          <w:p w:rsidR="004A147C" w:rsidRPr="002F6546" w:rsidRDefault="004A147C" w:rsidP="00CE5850">
            <w:pPr>
              <w:jc w:val="center"/>
              <w:rPr>
                <w:sz w:val="20"/>
              </w:rPr>
            </w:pPr>
            <w:r w:rsidRPr="002F6546">
              <w:rPr>
                <w:sz w:val="20"/>
              </w:rPr>
              <w:t>310,291</w:t>
            </w:r>
          </w:p>
        </w:tc>
        <w:tc>
          <w:tcPr>
            <w:tcW w:w="895" w:type="dxa"/>
            <w:shd w:val="clear" w:color="auto" w:fill="F2DBDB"/>
            <w:noWrap/>
            <w:tcMar>
              <w:top w:w="0" w:type="dxa"/>
              <w:left w:w="108" w:type="dxa"/>
              <w:bottom w:w="0" w:type="dxa"/>
              <w:right w:w="108" w:type="dxa"/>
            </w:tcMar>
          </w:tcPr>
          <w:p w:rsidR="004A147C" w:rsidRPr="002F6546" w:rsidRDefault="004A147C" w:rsidP="00CE5850">
            <w:pPr>
              <w:jc w:val="center"/>
              <w:rPr>
                <w:sz w:val="20"/>
              </w:rPr>
            </w:pPr>
            <w:r w:rsidRPr="002F6546">
              <w:rPr>
                <w:sz w:val="20"/>
              </w:rPr>
              <w:t>99.3%</w:t>
            </w:r>
          </w:p>
        </w:tc>
        <w:tc>
          <w:tcPr>
            <w:tcW w:w="1284" w:type="dxa"/>
            <w:shd w:val="clear" w:color="auto" w:fill="F2DBDB"/>
            <w:noWrap/>
            <w:tcMar>
              <w:top w:w="0" w:type="dxa"/>
              <w:left w:w="108" w:type="dxa"/>
              <w:bottom w:w="0" w:type="dxa"/>
              <w:right w:w="108" w:type="dxa"/>
            </w:tcMar>
          </w:tcPr>
          <w:p w:rsidR="004A147C" w:rsidRPr="002F6546" w:rsidRDefault="004A147C" w:rsidP="00CE5850">
            <w:pPr>
              <w:jc w:val="center"/>
              <w:rPr>
                <w:sz w:val="20"/>
              </w:rPr>
            </w:pPr>
            <w:r w:rsidRPr="002F6546">
              <w:rPr>
                <w:sz w:val="20"/>
              </w:rPr>
              <w:t>2,402</w:t>
            </w:r>
          </w:p>
        </w:tc>
        <w:tc>
          <w:tcPr>
            <w:tcW w:w="990" w:type="dxa"/>
            <w:shd w:val="clear" w:color="auto" w:fill="F2DBDB"/>
            <w:noWrap/>
            <w:tcMar>
              <w:top w:w="0" w:type="dxa"/>
              <w:left w:w="108" w:type="dxa"/>
              <w:bottom w:w="0" w:type="dxa"/>
              <w:right w:w="108" w:type="dxa"/>
            </w:tcMar>
          </w:tcPr>
          <w:p w:rsidR="004A147C" w:rsidRPr="002F6546" w:rsidRDefault="004A147C" w:rsidP="00CE5850">
            <w:pPr>
              <w:jc w:val="center"/>
              <w:rPr>
                <w:sz w:val="20"/>
              </w:rPr>
            </w:pPr>
            <w:r w:rsidRPr="002F6546">
              <w:rPr>
                <w:sz w:val="20"/>
              </w:rPr>
              <w:t>63.2%</w:t>
            </w:r>
          </w:p>
        </w:tc>
        <w:tc>
          <w:tcPr>
            <w:tcW w:w="1284" w:type="dxa"/>
            <w:shd w:val="clear" w:color="auto" w:fill="F2DBDB"/>
            <w:tcMar>
              <w:top w:w="0" w:type="dxa"/>
              <w:left w:w="108" w:type="dxa"/>
              <w:bottom w:w="0" w:type="dxa"/>
              <w:right w:w="108" w:type="dxa"/>
            </w:tcMar>
          </w:tcPr>
          <w:p w:rsidR="004A147C" w:rsidRPr="002F6546" w:rsidRDefault="004A147C" w:rsidP="00CE5850">
            <w:pPr>
              <w:jc w:val="center"/>
              <w:rPr>
                <w:sz w:val="20"/>
              </w:rPr>
            </w:pPr>
            <w:r w:rsidRPr="002F6546">
              <w:rPr>
                <w:sz w:val="20"/>
              </w:rPr>
              <w:t>5,985</w:t>
            </w:r>
          </w:p>
        </w:tc>
        <w:tc>
          <w:tcPr>
            <w:tcW w:w="782" w:type="dxa"/>
            <w:shd w:val="clear" w:color="auto" w:fill="F2DBDB"/>
            <w:tcMar>
              <w:top w:w="0" w:type="dxa"/>
              <w:left w:w="108" w:type="dxa"/>
              <w:bottom w:w="0" w:type="dxa"/>
              <w:right w:w="108" w:type="dxa"/>
            </w:tcMar>
          </w:tcPr>
          <w:p w:rsidR="004A147C" w:rsidRPr="002F6546" w:rsidRDefault="004A147C" w:rsidP="00CE5850">
            <w:pPr>
              <w:jc w:val="center"/>
              <w:rPr>
                <w:sz w:val="20"/>
              </w:rPr>
            </w:pPr>
            <w:r w:rsidRPr="002F6546">
              <w:rPr>
                <w:sz w:val="20"/>
              </w:rPr>
              <w:t>87.7%</w:t>
            </w:r>
          </w:p>
        </w:tc>
      </w:tr>
      <w:tr w:rsidR="004A147C" w:rsidRPr="00B53FFB" w:rsidTr="002F6546">
        <w:trPr>
          <w:trHeight w:val="255"/>
          <w:jc w:val="center"/>
        </w:trPr>
        <w:tc>
          <w:tcPr>
            <w:tcW w:w="1170" w:type="dxa"/>
            <w:shd w:val="clear" w:color="auto" w:fill="F2DBDB"/>
            <w:noWrap/>
            <w:tcMar>
              <w:top w:w="0" w:type="dxa"/>
              <w:left w:w="108" w:type="dxa"/>
              <w:bottom w:w="0" w:type="dxa"/>
              <w:right w:w="108" w:type="dxa"/>
            </w:tcMar>
            <w:vAlign w:val="bottom"/>
          </w:tcPr>
          <w:p w:rsidR="004A147C" w:rsidRPr="007D38C2" w:rsidRDefault="004A147C" w:rsidP="00CE5850">
            <w:pPr>
              <w:snapToGrid w:val="0"/>
              <w:jc w:val="center"/>
              <w:rPr>
                <w:rFonts w:eastAsia="Times New Roman"/>
                <w:sz w:val="20"/>
              </w:rPr>
            </w:pPr>
            <w:r w:rsidRPr="007D38C2">
              <w:rPr>
                <w:sz w:val="20"/>
              </w:rPr>
              <w:t>3 or more</w:t>
            </w:r>
          </w:p>
        </w:tc>
        <w:tc>
          <w:tcPr>
            <w:tcW w:w="1284" w:type="dxa"/>
            <w:shd w:val="clear" w:color="auto" w:fill="F2DBDB"/>
            <w:noWrap/>
            <w:tcMar>
              <w:top w:w="0" w:type="dxa"/>
              <w:left w:w="108" w:type="dxa"/>
              <w:bottom w:w="0" w:type="dxa"/>
              <w:right w:w="108" w:type="dxa"/>
            </w:tcMar>
          </w:tcPr>
          <w:p w:rsidR="004A147C" w:rsidRPr="002F6546" w:rsidRDefault="004A147C" w:rsidP="00CE5850">
            <w:pPr>
              <w:jc w:val="center"/>
              <w:rPr>
                <w:sz w:val="20"/>
              </w:rPr>
            </w:pPr>
            <w:r w:rsidRPr="002F6546">
              <w:rPr>
                <w:sz w:val="20"/>
              </w:rPr>
              <w:t>9,626</w:t>
            </w:r>
          </w:p>
        </w:tc>
        <w:tc>
          <w:tcPr>
            <w:tcW w:w="1284" w:type="dxa"/>
            <w:shd w:val="clear" w:color="auto" w:fill="F2DBDB"/>
            <w:noWrap/>
            <w:tcMar>
              <w:top w:w="0" w:type="dxa"/>
              <w:left w:w="108" w:type="dxa"/>
              <w:bottom w:w="0" w:type="dxa"/>
              <w:right w:w="108" w:type="dxa"/>
            </w:tcMar>
          </w:tcPr>
          <w:p w:rsidR="004A147C" w:rsidRPr="002F6546" w:rsidRDefault="004A147C" w:rsidP="00CE5850">
            <w:pPr>
              <w:jc w:val="center"/>
              <w:rPr>
                <w:sz w:val="20"/>
              </w:rPr>
            </w:pPr>
            <w:r w:rsidRPr="002F6546">
              <w:rPr>
                <w:sz w:val="20"/>
              </w:rPr>
              <w:t>303,678</w:t>
            </w:r>
          </w:p>
        </w:tc>
        <w:tc>
          <w:tcPr>
            <w:tcW w:w="895" w:type="dxa"/>
            <w:shd w:val="clear" w:color="auto" w:fill="F2DBDB"/>
            <w:noWrap/>
            <w:tcMar>
              <w:top w:w="0" w:type="dxa"/>
              <w:left w:w="108" w:type="dxa"/>
              <w:bottom w:w="0" w:type="dxa"/>
              <w:right w:w="108" w:type="dxa"/>
            </w:tcMar>
          </w:tcPr>
          <w:p w:rsidR="004A147C" w:rsidRPr="002F6546" w:rsidRDefault="004A147C" w:rsidP="00CE5850">
            <w:pPr>
              <w:jc w:val="center"/>
              <w:rPr>
                <w:sz w:val="20"/>
              </w:rPr>
            </w:pPr>
            <w:r w:rsidRPr="002F6546">
              <w:rPr>
                <w:sz w:val="20"/>
              </w:rPr>
              <w:t>97.2%</w:t>
            </w:r>
          </w:p>
        </w:tc>
        <w:tc>
          <w:tcPr>
            <w:tcW w:w="1284" w:type="dxa"/>
            <w:shd w:val="clear" w:color="auto" w:fill="F2DBDB"/>
            <w:noWrap/>
            <w:tcMar>
              <w:top w:w="0" w:type="dxa"/>
              <w:left w:w="108" w:type="dxa"/>
              <w:bottom w:w="0" w:type="dxa"/>
              <w:right w:w="108" w:type="dxa"/>
            </w:tcMar>
          </w:tcPr>
          <w:p w:rsidR="004A147C" w:rsidRPr="002F6546" w:rsidRDefault="004A147C" w:rsidP="00CE5850">
            <w:pPr>
              <w:jc w:val="center"/>
              <w:rPr>
                <w:sz w:val="20"/>
              </w:rPr>
            </w:pPr>
            <w:r w:rsidRPr="002F6546">
              <w:rPr>
                <w:sz w:val="20"/>
              </w:rPr>
              <w:t>1,764</w:t>
            </w:r>
          </w:p>
        </w:tc>
        <w:tc>
          <w:tcPr>
            <w:tcW w:w="990" w:type="dxa"/>
            <w:shd w:val="clear" w:color="auto" w:fill="F2DBDB"/>
            <w:noWrap/>
            <w:tcMar>
              <w:top w:w="0" w:type="dxa"/>
              <w:left w:w="108" w:type="dxa"/>
              <w:bottom w:w="0" w:type="dxa"/>
              <w:right w:w="108" w:type="dxa"/>
            </w:tcMar>
          </w:tcPr>
          <w:p w:rsidR="004A147C" w:rsidRPr="002F6546" w:rsidRDefault="004A147C" w:rsidP="00CE5850">
            <w:pPr>
              <w:jc w:val="center"/>
              <w:rPr>
                <w:sz w:val="20"/>
              </w:rPr>
            </w:pPr>
            <w:r w:rsidRPr="002F6546">
              <w:rPr>
                <w:sz w:val="20"/>
              </w:rPr>
              <w:t>46.4%</w:t>
            </w:r>
          </w:p>
        </w:tc>
        <w:tc>
          <w:tcPr>
            <w:tcW w:w="1284" w:type="dxa"/>
            <w:shd w:val="clear" w:color="auto" w:fill="F2DBDB"/>
            <w:tcMar>
              <w:top w:w="0" w:type="dxa"/>
              <w:left w:w="108" w:type="dxa"/>
              <w:bottom w:w="0" w:type="dxa"/>
              <w:right w:w="108" w:type="dxa"/>
            </w:tcMar>
          </w:tcPr>
          <w:p w:rsidR="004A147C" w:rsidRPr="002F6546" w:rsidRDefault="004A147C" w:rsidP="00CE5850">
            <w:pPr>
              <w:jc w:val="center"/>
              <w:rPr>
                <w:sz w:val="20"/>
              </w:rPr>
            </w:pPr>
            <w:r w:rsidRPr="002F6546">
              <w:rPr>
                <w:sz w:val="20"/>
              </w:rPr>
              <w:t>4,963</w:t>
            </w:r>
          </w:p>
        </w:tc>
        <w:tc>
          <w:tcPr>
            <w:tcW w:w="782" w:type="dxa"/>
            <w:shd w:val="clear" w:color="auto" w:fill="F2DBDB"/>
            <w:tcMar>
              <w:top w:w="0" w:type="dxa"/>
              <w:left w:w="108" w:type="dxa"/>
              <w:bottom w:w="0" w:type="dxa"/>
              <w:right w:w="108" w:type="dxa"/>
            </w:tcMar>
          </w:tcPr>
          <w:p w:rsidR="004A147C" w:rsidRPr="002F6546" w:rsidRDefault="004A147C" w:rsidP="00CE5850">
            <w:pPr>
              <w:jc w:val="center"/>
              <w:rPr>
                <w:sz w:val="20"/>
              </w:rPr>
            </w:pPr>
            <w:r w:rsidRPr="002F6546">
              <w:rPr>
                <w:sz w:val="20"/>
              </w:rPr>
              <w:t>72.8%</w:t>
            </w:r>
          </w:p>
        </w:tc>
      </w:tr>
      <w:tr w:rsidR="004A147C" w:rsidRPr="00B53FFB" w:rsidTr="002F6546">
        <w:trPr>
          <w:trHeight w:val="255"/>
          <w:jc w:val="center"/>
        </w:trPr>
        <w:tc>
          <w:tcPr>
            <w:tcW w:w="1170" w:type="dxa"/>
            <w:shd w:val="clear" w:color="auto" w:fill="F2DBDB"/>
            <w:noWrap/>
            <w:tcMar>
              <w:top w:w="0" w:type="dxa"/>
              <w:left w:w="108" w:type="dxa"/>
              <w:bottom w:w="0" w:type="dxa"/>
              <w:right w:w="108" w:type="dxa"/>
            </w:tcMar>
            <w:vAlign w:val="bottom"/>
          </w:tcPr>
          <w:p w:rsidR="004A147C" w:rsidRPr="007D38C2" w:rsidRDefault="004A147C" w:rsidP="00CE5850">
            <w:pPr>
              <w:snapToGrid w:val="0"/>
              <w:jc w:val="center"/>
              <w:rPr>
                <w:rFonts w:eastAsia="Times New Roman"/>
                <w:sz w:val="20"/>
              </w:rPr>
            </w:pPr>
            <w:r w:rsidRPr="007D38C2">
              <w:rPr>
                <w:sz w:val="20"/>
              </w:rPr>
              <w:t>4 or more</w:t>
            </w:r>
          </w:p>
        </w:tc>
        <w:tc>
          <w:tcPr>
            <w:tcW w:w="1284" w:type="dxa"/>
            <w:shd w:val="clear" w:color="auto" w:fill="F2DBDB"/>
            <w:noWrap/>
            <w:tcMar>
              <w:top w:w="0" w:type="dxa"/>
              <w:left w:w="108" w:type="dxa"/>
              <w:bottom w:w="0" w:type="dxa"/>
              <w:right w:w="108" w:type="dxa"/>
            </w:tcMar>
          </w:tcPr>
          <w:p w:rsidR="004A147C" w:rsidRPr="002F6546" w:rsidRDefault="004A147C" w:rsidP="00CE5850">
            <w:pPr>
              <w:jc w:val="center"/>
              <w:rPr>
                <w:sz w:val="20"/>
              </w:rPr>
            </w:pPr>
            <w:r w:rsidRPr="002F6546">
              <w:rPr>
                <w:sz w:val="20"/>
              </w:rPr>
              <w:t>8,281</w:t>
            </w:r>
          </w:p>
        </w:tc>
        <w:tc>
          <w:tcPr>
            <w:tcW w:w="1284" w:type="dxa"/>
            <w:shd w:val="clear" w:color="auto" w:fill="F2DBDB"/>
            <w:noWrap/>
            <w:tcMar>
              <w:top w:w="0" w:type="dxa"/>
              <w:left w:w="108" w:type="dxa"/>
              <w:bottom w:w="0" w:type="dxa"/>
              <w:right w:w="108" w:type="dxa"/>
            </w:tcMar>
          </w:tcPr>
          <w:p w:rsidR="004A147C" w:rsidRPr="002F6546" w:rsidRDefault="004A147C" w:rsidP="00CE5850">
            <w:pPr>
              <w:jc w:val="center"/>
              <w:rPr>
                <w:sz w:val="20"/>
              </w:rPr>
            </w:pPr>
            <w:r w:rsidRPr="002F6546">
              <w:rPr>
                <w:sz w:val="20"/>
              </w:rPr>
              <w:t>290,114</w:t>
            </w:r>
          </w:p>
        </w:tc>
        <w:tc>
          <w:tcPr>
            <w:tcW w:w="895" w:type="dxa"/>
            <w:shd w:val="clear" w:color="auto" w:fill="F2DBDB"/>
            <w:noWrap/>
            <w:tcMar>
              <w:top w:w="0" w:type="dxa"/>
              <w:left w:w="108" w:type="dxa"/>
              <w:bottom w:w="0" w:type="dxa"/>
              <w:right w:w="108" w:type="dxa"/>
            </w:tcMar>
          </w:tcPr>
          <w:p w:rsidR="004A147C" w:rsidRPr="002F6546" w:rsidRDefault="004A147C" w:rsidP="00CE5850">
            <w:pPr>
              <w:jc w:val="center"/>
              <w:rPr>
                <w:sz w:val="20"/>
              </w:rPr>
            </w:pPr>
            <w:r w:rsidRPr="002F6546">
              <w:rPr>
                <w:sz w:val="20"/>
              </w:rPr>
              <w:t>92.8%</w:t>
            </w:r>
          </w:p>
        </w:tc>
        <w:tc>
          <w:tcPr>
            <w:tcW w:w="1284" w:type="dxa"/>
            <w:shd w:val="clear" w:color="auto" w:fill="F2DBDB"/>
            <w:noWrap/>
            <w:tcMar>
              <w:top w:w="0" w:type="dxa"/>
              <w:left w:w="108" w:type="dxa"/>
              <w:bottom w:w="0" w:type="dxa"/>
              <w:right w:w="108" w:type="dxa"/>
            </w:tcMar>
          </w:tcPr>
          <w:p w:rsidR="004A147C" w:rsidRPr="002F6546" w:rsidRDefault="004A147C" w:rsidP="00CE5850">
            <w:pPr>
              <w:jc w:val="center"/>
              <w:rPr>
                <w:sz w:val="20"/>
              </w:rPr>
            </w:pPr>
            <w:r w:rsidRPr="002F6546">
              <w:rPr>
                <w:sz w:val="20"/>
              </w:rPr>
              <w:t>1,167</w:t>
            </w:r>
          </w:p>
        </w:tc>
        <w:tc>
          <w:tcPr>
            <w:tcW w:w="990" w:type="dxa"/>
            <w:shd w:val="clear" w:color="auto" w:fill="F2DBDB"/>
            <w:noWrap/>
            <w:tcMar>
              <w:top w:w="0" w:type="dxa"/>
              <w:left w:w="108" w:type="dxa"/>
              <w:bottom w:w="0" w:type="dxa"/>
              <w:right w:w="108" w:type="dxa"/>
            </w:tcMar>
          </w:tcPr>
          <w:p w:rsidR="004A147C" w:rsidRPr="002F6546" w:rsidRDefault="004A147C" w:rsidP="00CE5850">
            <w:pPr>
              <w:jc w:val="center"/>
              <w:rPr>
                <w:sz w:val="20"/>
              </w:rPr>
            </w:pPr>
            <w:r w:rsidRPr="002F6546">
              <w:rPr>
                <w:sz w:val="20"/>
              </w:rPr>
              <w:t>30.7%</w:t>
            </w:r>
          </w:p>
        </w:tc>
        <w:tc>
          <w:tcPr>
            <w:tcW w:w="1284" w:type="dxa"/>
            <w:shd w:val="clear" w:color="auto" w:fill="F2DBDB"/>
            <w:tcMar>
              <w:top w:w="0" w:type="dxa"/>
              <w:left w:w="108" w:type="dxa"/>
              <w:bottom w:w="0" w:type="dxa"/>
              <w:right w:w="108" w:type="dxa"/>
            </w:tcMar>
          </w:tcPr>
          <w:p w:rsidR="004A147C" w:rsidRPr="002F6546" w:rsidRDefault="004A147C" w:rsidP="00CE5850">
            <w:pPr>
              <w:jc w:val="center"/>
              <w:rPr>
                <w:sz w:val="20"/>
              </w:rPr>
            </w:pPr>
            <w:r w:rsidRPr="002F6546">
              <w:rPr>
                <w:sz w:val="20"/>
              </w:rPr>
              <w:t>3,817</w:t>
            </w:r>
          </w:p>
        </w:tc>
        <w:tc>
          <w:tcPr>
            <w:tcW w:w="782" w:type="dxa"/>
            <w:shd w:val="clear" w:color="auto" w:fill="F2DBDB"/>
            <w:tcMar>
              <w:top w:w="0" w:type="dxa"/>
              <w:left w:w="108" w:type="dxa"/>
              <w:bottom w:w="0" w:type="dxa"/>
              <w:right w:w="108" w:type="dxa"/>
            </w:tcMar>
          </w:tcPr>
          <w:p w:rsidR="004A147C" w:rsidRPr="002F6546" w:rsidRDefault="004A147C" w:rsidP="00CE5850">
            <w:pPr>
              <w:jc w:val="center"/>
              <w:rPr>
                <w:sz w:val="20"/>
              </w:rPr>
            </w:pPr>
            <w:r w:rsidRPr="002F6546">
              <w:rPr>
                <w:sz w:val="20"/>
              </w:rPr>
              <w:t>56.0%</w:t>
            </w:r>
          </w:p>
        </w:tc>
      </w:tr>
      <w:tr w:rsidR="004A147C" w:rsidRPr="00B53FFB" w:rsidTr="002F6546">
        <w:trPr>
          <w:trHeight w:val="255"/>
          <w:jc w:val="center"/>
        </w:trPr>
        <w:tc>
          <w:tcPr>
            <w:tcW w:w="1170" w:type="dxa"/>
            <w:shd w:val="clear" w:color="auto" w:fill="F2DBDB"/>
            <w:noWrap/>
            <w:tcMar>
              <w:top w:w="0" w:type="dxa"/>
              <w:left w:w="108" w:type="dxa"/>
              <w:bottom w:w="0" w:type="dxa"/>
              <w:right w:w="108" w:type="dxa"/>
            </w:tcMar>
            <w:vAlign w:val="bottom"/>
          </w:tcPr>
          <w:p w:rsidR="004A147C" w:rsidRPr="007D38C2" w:rsidRDefault="004A147C" w:rsidP="00CE5850">
            <w:pPr>
              <w:snapToGrid w:val="0"/>
              <w:jc w:val="center"/>
              <w:rPr>
                <w:rFonts w:eastAsia="Times New Roman"/>
                <w:sz w:val="20"/>
              </w:rPr>
            </w:pPr>
            <w:r w:rsidRPr="007D38C2">
              <w:rPr>
                <w:sz w:val="20"/>
              </w:rPr>
              <w:t>5 or more</w:t>
            </w:r>
          </w:p>
        </w:tc>
        <w:tc>
          <w:tcPr>
            <w:tcW w:w="1284" w:type="dxa"/>
            <w:shd w:val="clear" w:color="auto" w:fill="F2DBDB"/>
            <w:noWrap/>
            <w:tcMar>
              <w:top w:w="0" w:type="dxa"/>
              <w:left w:w="108" w:type="dxa"/>
              <w:bottom w:w="0" w:type="dxa"/>
              <w:right w:w="108" w:type="dxa"/>
            </w:tcMar>
          </w:tcPr>
          <w:p w:rsidR="004A147C" w:rsidRPr="002F6546" w:rsidRDefault="004A147C" w:rsidP="00CE5850">
            <w:pPr>
              <w:jc w:val="center"/>
              <w:rPr>
                <w:sz w:val="20"/>
              </w:rPr>
            </w:pPr>
            <w:r w:rsidRPr="002F6546">
              <w:rPr>
                <w:sz w:val="20"/>
              </w:rPr>
              <w:t>6,097</w:t>
            </w:r>
          </w:p>
        </w:tc>
        <w:tc>
          <w:tcPr>
            <w:tcW w:w="1284" w:type="dxa"/>
            <w:shd w:val="clear" w:color="auto" w:fill="F2DBDB"/>
            <w:noWrap/>
            <w:tcMar>
              <w:top w:w="0" w:type="dxa"/>
              <w:left w:w="108" w:type="dxa"/>
              <w:bottom w:w="0" w:type="dxa"/>
              <w:right w:w="108" w:type="dxa"/>
            </w:tcMar>
          </w:tcPr>
          <w:p w:rsidR="004A147C" w:rsidRPr="002F6546" w:rsidRDefault="004A147C" w:rsidP="00CE5850">
            <w:pPr>
              <w:jc w:val="center"/>
              <w:rPr>
                <w:sz w:val="20"/>
              </w:rPr>
            </w:pPr>
            <w:r w:rsidRPr="002F6546">
              <w:rPr>
                <w:sz w:val="20"/>
              </w:rPr>
              <w:t>251,071</w:t>
            </w:r>
          </w:p>
        </w:tc>
        <w:tc>
          <w:tcPr>
            <w:tcW w:w="895" w:type="dxa"/>
            <w:shd w:val="clear" w:color="auto" w:fill="F2DBDB"/>
            <w:noWrap/>
            <w:tcMar>
              <w:top w:w="0" w:type="dxa"/>
              <w:left w:w="108" w:type="dxa"/>
              <w:bottom w:w="0" w:type="dxa"/>
              <w:right w:w="108" w:type="dxa"/>
            </w:tcMar>
          </w:tcPr>
          <w:p w:rsidR="004A147C" w:rsidRPr="002F6546" w:rsidRDefault="004A147C" w:rsidP="00CE5850">
            <w:pPr>
              <w:jc w:val="center"/>
              <w:rPr>
                <w:sz w:val="20"/>
              </w:rPr>
            </w:pPr>
            <w:r w:rsidRPr="002F6546">
              <w:rPr>
                <w:sz w:val="20"/>
              </w:rPr>
              <w:t>80.4%</w:t>
            </w:r>
          </w:p>
        </w:tc>
        <w:tc>
          <w:tcPr>
            <w:tcW w:w="1284" w:type="dxa"/>
            <w:shd w:val="clear" w:color="auto" w:fill="F2DBDB"/>
            <w:noWrap/>
            <w:tcMar>
              <w:top w:w="0" w:type="dxa"/>
              <w:left w:w="108" w:type="dxa"/>
              <w:bottom w:w="0" w:type="dxa"/>
              <w:right w:w="108" w:type="dxa"/>
            </w:tcMar>
          </w:tcPr>
          <w:p w:rsidR="004A147C" w:rsidRPr="002F6546" w:rsidRDefault="004A147C" w:rsidP="00CE5850">
            <w:pPr>
              <w:jc w:val="center"/>
              <w:rPr>
                <w:sz w:val="20"/>
              </w:rPr>
            </w:pPr>
            <w:r w:rsidRPr="002F6546">
              <w:rPr>
                <w:sz w:val="20"/>
              </w:rPr>
              <w:t>607</w:t>
            </w:r>
          </w:p>
        </w:tc>
        <w:tc>
          <w:tcPr>
            <w:tcW w:w="990" w:type="dxa"/>
            <w:shd w:val="clear" w:color="auto" w:fill="F2DBDB"/>
            <w:noWrap/>
            <w:tcMar>
              <w:top w:w="0" w:type="dxa"/>
              <w:left w:w="108" w:type="dxa"/>
              <w:bottom w:w="0" w:type="dxa"/>
              <w:right w:w="108" w:type="dxa"/>
            </w:tcMar>
          </w:tcPr>
          <w:p w:rsidR="004A147C" w:rsidRPr="002F6546" w:rsidRDefault="004A147C" w:rsidP="00CE5850">
            <w:pPr>
              <w:jc w:val="center"/>
              <w:rPr>
                <w:sz w:val="20"/>
              </w:rPr>
            </w:pPr>
            <w:r w:rsidRPr="002F6546">
              <w:rPr>
                <w:sz w:val="20"/>
              </w:rPr>
              <w:t>16.0%</w:t>
            </w:r>
          </w:p>
        </w:tc>
        <w:tc>
          <w:tcPr>
            <w:tcW w:w="1284" w:type="dxa"/>
            <w:shd w:val="clear" w:color="auto" w:fill="F2DBDB"/>
            <w:tcMar>
              <w:top w:w="0" w:type="dxa"/>
              <w:left w:w="108" w:type="dxa"/>
              <w:bottom w:w="0" w:type="dxa"/>
              <w:right w:w="108" w:type="dxa"/>
            </w:tcMar>
          </w:tcPr>
          <w:p w:rsidR="004A147C" w:rsidRPr="002F6546" w:rsidRDefault="004A147C" w:rsidP="00CE5850">
            <w:pPr>
              <w:jc w:val="center"/>
              <w:rPr>
                <w:sz w:val="20"/>
              </w:rPr>
            </w:pPr>
            <w:r w:rsidRPr="002F6546">
              <w:rPr>
                <w:sz w:val="20"/>
              </w:rPr>
              <w:t>2,421</w:t>
            </w:r>
          </w:p>
        </w:tc>
        <w:tc>
          <w:tcPr>
            <w:tcW w:w="782" w:type="dxa"/>
            <w:shd w:val="clear" w:color="auto" w:fill="F2DBDB"/>
            <w:tcMar>
              <w:top w:w="0" w:type="dxa"/>
              <w:left w:w="108" w:type="dxa"/>
              <w:bottom w:w="0" w:type="dxa"/>
              <w:right w:w="108" w:type="dxa"/>
            </w:tcMar>
          </w:tcPr>
          <w:p w:rsidR="004A147C" w:rsidRPr="002F6546" w:rsidRDefault="004A147C" w:rsidP="00CE5850">
            <w:pPr>
              <w:jc w:val="center"/>
              <w:rPr>
                <w:sz w:val="20"/>
              </w:rPr>
            </w:pPr>
            <w:r w:rsidRPr="002F6546">
              <w:rPr>
                <w:sz w:val="20"/>
              </w:rPr>
              <w:t>35.5%</w:t>
            </w:r>
          </w:p>
        </w:tc>
      </w:tr>
    </w:tbl>
    <w:p w:rsidR="004A147C" w:rsidRPr="00EF1C8D" w:rsidRDefault="004A147C" w:rsidP="00CE5850"/>
    <w:p w:rsidR="004A147C" w:rsidRPr="00B53FFB" w:rsidRDefault="0007014B" w:rsidP="00CE5850">
      <w:pPr>
        <w:pStyle w:val="ParaNum"/>
        <w:numPr>
          <w:ilvl w:val="0"/>
          <w:numId w:val="28"/>
        </w:numPr>
        <w:rPr>
          <w:sz w:val="22"/>
          <w:szCs w:val="22"/>
        </w:rPr>
      </w:pPr>
      <w:r>
        <w:rPr>
          <w:sz w:val="22"/>
          <w:szCs w:val="22"/>
        </w:rPr>
        <w:fldChar w:fldCharType="begin"/>
      </w:r>
      <w:r w:rsidR="004A147C">
        <w:rPr>
          <w:sz w:val="22"/>
          <w:szCs w:val="22"/>
        </w:rPr>
        <w:instrText xml:space="preserve"> REF _Ref343001258 </w:instrText>
      </w:r>
      <w:r>
        <w:rPr>
          <w:sz w:val="22"/>
          <w:szCs w:val="22"/>
        </w:rPr>
        <w:fldChar w:fldCharType="separate"/>
      </w:r>
      <w:r w:rsidR="00CA3AC6" w:rsidRPr="00EF1C8D">
        <w:rPr>
          <w:sz w:val="22"/>
          <w:szCs w:val="22"/>
        </w:rPr>
        <w:t xml:space="preserve">Table </w:t>
      </w:r>
      <w:r w:rsidR="00CA3AC6">
        <w:rPr>
          <w:noProof/>
          <w:sz w:val="22"/>
          <w:szCs w:val="22"/>
        </w:rPr>
        <w:t>5</w:t>
      </w:r>
      <w:r>
        <w:rPr>
          <w:sz w:val="22"/>
          <w:szCs w:val="22"/>
        </w:rPr>
        <w:fldChar w:fldCharType="end"/>
      </w:r>
      <w:r w:rsidR="004A147C">
        <w:rPr>
          <w:sz w:val="22"/>
          <w:szCs w:val="22"/>
        </w:rPr>
        <w:t xml:space="preserve"> </w:t>
      </w:r>
      <w:r w:rsidR="004A147C" w:rsidRPr="00B53FFB">
        <w:rPr>
          <w:sz w:val="22"/>
          <w:szCs w:val="22"/>
        </w:rPr>
        <w:t xml:space="preserve">shows that as of </w:t>
      </w:r>
      <w:r w:rsidR="004A147C">
        <w:rPr>
          <w:sz w:val="22"/>
          <w:szCs w:val="22"/>
        </w:rPr>
        <w:t xml:space="preserve">October </w:t>
      </w:r>
      <w:r w:rsidR="004A147C" w:rsidRPr="00B53FFB">
        <w:rPr>
          <w:sz w:val="22"/>
          <w:szCs w:val="22"/>
        </w:rPr>
        <w:t>2012, approximately 312 million people, or 99.</w:t>
      </w:r>
      <w:r w:rsidR="004A147C">
        <w:rPr>
          <w:sz w:val="22"/>
          <w:szCs w:val="22"/>
        </w:rPr>
        <w:t>9</w:t>
      </w:r>
      <w:r w:rsidR="004A147C" w:rsidRPr="00B53FFB">
        <w:rPr>
          <w:sz w:val="22"/>
          <w:szCs w:val="22"/>
        </w:rPr>
        <w:t xml:space="preserve"> percent of the total U.S. population, were covered by at least one facilities-based provider offering mobile voice and/or data service.  Equivalently, approximately 4</w:t>
      </w:r>
      <w:r w:rsidR="004A147C">
        <w:rPr>
          <w:sz w:val="22"/>
          <w:szCs w:val="22"/>
        </w:rPr>
        <w:t>27</w:t>
      </w:r>
      <w:r w:rsidR="004A147C" w:rsidRPr="00B53FFB">
        <w:rPr>
          <w:sz w:val="22"/>
          <w:szCs w:val="22"/>
        </w:rPr>
        <w:t xml:space="preserve"> thousand people, or 0.</w:t>
      </w:r>
      <w:r w:rsidR="004A147C">
        <w:rPr>
          <w:sz w:val="22"/>
          <w:szCs w:val="22"/>
        </w:rPr>
        <w:t>1</w:t>
      </w:r>
      <w:r w:rsidR="004A147C" w:rsidRPr="00B53FFB">
        <w:rPr>
          <w:sz w:val="22"/>
          <w:szCs w:val="22"/>
        </w:rPr>
        <w:t xml:space="preserve"> percent of the U.S. population, lived in areas with no mobile wireless coverage.  Looking at areas with multiple providers, the </w:t>
      </w:r>
      <w:r w:rsidR="004A147C">
        <w:rPr>
          <w:sz w:val="22"/>
          <w:szCs w:val="22"/>
        </w:rPr>
        <w:t xml:space="preserve">October </w:t>
      </w:r>
      <w:r w:rsidR="004A147C" w:rsidRPr="00B53FFB">
        <w:rPr>
          <w:sz w:val="22"/>
          <w:szCs w:val="22"/>
        </w:rPr>
        <w:t xml:space="preserve">2012 data show that approximately 97 percent of the U.S. population is covered by the networks of at least three mobile voice providers, close to 93 percent is covered by the networks of at least four mobile voice providers, and about </w:t>
      </w:r>
      <w:r w:rsidR="004A147C">
        <w:rPr>
          <w:sz w:val="22"/>
          <w:szCs w:val="22"/>
        </w:rPr>
        <w:t>80</w:t>
      </w:r>
      <w:r w:rsidR="004A147C" w:rsidRPr="00B53FFB">
        <w:rPr>
          <w:sz w:val="22"/>
          <w:szCs w:val="22"/>
        </w:rPr>
        <w:t xml:space="preserve"> percent is covered by five.  We believe there is an anomaly with the July/August 2010 data presented in the </w:t>
      </w:r>
      <w:r w:rsidR="004A147C" w:rsidRPr="00B53FFB">
        <w:rPr>
          <w:i/>
          <w:sz w:val="22"/>
          <w:szCs w:val="22"/>
        </w:rPr>
        <w:t xml:space="preserve">Fifteenth Report </w:t>
      </w:r>
      <w:r w:rsidR="004A147C" w:rsidRPr="00B53FFB">
        <w:rPr>
          <w:sz w:val="22"/>
          <w:szCs w:val="22"/>
        </w:rPr>
        <w:t>that resulted in unusually high estimates of the percentage of the population covered by the networks of at least four, five, and six providers (94 percent, 90 percent, and 76 percent, respectively).</w:t>
      </w:r>
      <w:r w:rsidR="004A147C" w:rsidRPr="00B53FFB">
        <w:rPr>
          <w:rStyle w:val="FootnoteReference"/>
          <w:szCs w:val="22"/>
        </w:rPr>
        <w:footnoteReference w:id="152"/>
      </w:r>
      <w:r w:rsidR="004A147C" w:rsidRPr="00B53FFB">
        <w:rPr>
          <w:sz w:val="22"/>
          <w:szCs w:val="22"/>
        </w:rPr>
        <w:t xml:space="preserve">  </w:t>
      </w:r>
    </w:p>
    <w:p w:rsidR="004A147C" w:rsidRPr="00B53FFB" w:rsidRDefault="004A147C" w:rsidP="00CE5850">
      <w:pPr>
        <w:pStyle w:val="ParaNum"/>
        <w:numPr>
          <w:ilvl w:val="0"/>
          <w:numId w:val="28"/>
        </w:numPr>
        <w:rPr>
          <w:sz w:val="22"/>
          <w:szCs w:val="22"/>
        </w:rPr>
      </w:pPr>
      <w:r>
        <w:rPr>
          <w:sz w:val="22"/>
          <w:szCs w:val="22"/>
        </w:rPr>
        <w:t>Tables 4 and 5</w:t>
      </w:r>
      <w:r w:rsidRPr="00B53FFB">
        <w:rPr>
          <w:sz w:val="22"/>
          <w:szCs w:val="22"/>
        </w:rPr>
        <w:t xml:space="preserve"> also show the approximate percentage of the U.S. land area and road miles covered by a certain number mobile wireless providers.  These tables may overstate coverage to the extent that a provider’s reported coverage is greater than its actual coverage.  Additionally, coverage does not quantify network quality variables such as si</w:t>
      </w:r>
      <w:r>
        <w:rPr>
          <w:sz w:val="22"/>
          <w:szCs w:val="22"/>
        </w:rPr>
        <w:t>gnal strength, bit rate, and in-</w:t>
      </w:r>
      <w:r w:rsidRPr="00B53FFB">
        <w:rPr>
          <w:sz w:val="22"/>
          <w:szCs w:val="22"/>
        </w:rPr>
        <w:t>building coverage.  While we estimate that over 90 percent of the U.S. population lives in census blocks with coverage by at least 4 mobile voice providers, these census blocks account for only 30 percent of the total land area of the United States and 55 percent of road miles.  Furthermore, while we estimate that only 0.</w:t>
      </w:r>
      <w:r>
        <w:rPr>
          <w:sz w:val="22"/>
          <w:szCs w:val="22"/>
        </w:rPr>
        <w:t>1</w:t>
      </w:r>
      <w:r w:rsidRPr="00B53FFB">
        <w:rPr>
          <w:sz w:val="22"/>
          <w:szCs w:val="22"/>
        </w:rPr>
        <w:t xml:space="preserve"> percent of the U.S. population lives in areas with no mobile </w:t>
      </w:r>
      <w:r>
        <w:rPr>
          <w:sz w:val="22"/>
          <w:szCs w:val="22"/>
        </w:rPr>
        <w:t>wireless</w:t>
      </w:r>
      <w:r w:rsidRPr="00B53FFB">
        <w:rPr>
          <w:sz w:val="22"/>
          <w:szCs w:val="22"/>
        </w:rPr>
        <w:t xml:space="preserve"> coverage, these areas cover more than a quarter of the U.S. land area and approximately 5 percent of U.S. road miles.  </w:t>
      </w:r>
    </w:p>
    <w:p w:rsidR="004A147C" w:rsidRPr="00BD4B26" w:rsidRDefault="004A147C" w:rsidP="00BD4B26">
      <w:pPr>
        <w:pStyle w:val="ParaNum"/>
        <w:numPr>
          <w:ilvl w:val="0"/>
          <w:numId w:val="28"/>
        </w:numPr>
        <w:rPr>
          <w:sz w:val="22"/>
          <w:szCs w:val="22"/>
        </w:rPr>
      </w:pPr>
      <w:r w:rsidRPr="00B53FFB">
        <w:rPr>
          <w:sz w:val="22"/>
          <w:szCs w:val="22"/>
        </w:rPr>
        <w:t xml:space="preserve">The percentage of land area covered increases however, when federally-owned or administered lands area </w:t>
      </w:r>
      <w:r>
        <w:rPr>
          <w:sz w:val="22"/>
          <w:szCs w:val="22"/>
        </w:rPr>
        <w:t xml:space="preserve">is </w:t>
      </w:r>
      <w:r w:rsidRPr="00B53FFB">
        <w:rPr>
          <w:sz w:val="22"/>
          <w:szCs w:val="22"/>
        </w:rPr>
        <w:t>excluded from the analysis due to the vast quantities of sparsely-populated Federal lands in the United States</w:t>
      </w:r>
      <w:r>
        <w:rPr>
          <w:sz w:val="22"/>
          <w:szCs w:val="22"/>
        </w:rPr>
        <w:t xml:space="preserve"> (</w:t>
      </w:r>
      <w:r w:rsidR="0007014B">
        <w:rPr>
          <w:sz w:val="22"/>
          <w:szCs w:val="22"/>
        </w:rPr>
        <w:fldChar w:fldCharType="begin"/>
      </w:r>
      <w:r>
        <w:rPr>
          <w:sz w:val="22"/>
          <w:szCs w:val="22"/>
        </w:rPr>
        <w:instrText xml:space="preserve"> REF _Ref342659091 </w:instrText>
      </w:r>
      <w:r w:rsidR="0007014B">
        <w:rPr>
          <w:sz w:val="22"/>
          <w:szCs w:val="22"/>
        </w:rPr>
        <w:fldChar w:fldCharType="separate"/>
      </w:r>
      <w:r w:rsidR="00CA3AC6" w:rsidRPr="00C40B85">
        <w:rPr>
          <w:sz w:val="22"/>
          <w:szCs w:val="22"/>
        </w:rPr>
        <w:t xml:space="preserve">Table </w:t>
      </w:r>
      <w:r w:rsidR="00CA3AC6">
        <w:rPr>
          <w:noProof/>
          <w:sz w:val="22"/>
          <w:szCs w:val="22"/>
        </w:rPr>
        <w:t>6</w:t>
      </w:r>
      <w:r w:rsidR="0007014B">
        <w:rPr>
          <w:sz w:val="22"/>
          <w:szCs w:val="22"/>
        </w:rPr>
        <w:fldChar w:fldCharType="end"/>
      </w:r>
      <w:r>
        <w:rPr>
          <w:sz w:val="22"/>
          <w:szCs w:val="22"/>
        </w:rPr>
        <w:t xml:space="preserve">, </w:t>
      </w:r>
      <w:r w:rsidR="00951E9B">
        <w:fldChar w:fldCharType="begin"/>
      </w:r>
      <w:r w:rsidR="00951E9B">
        <w:instrText xml:space="preserve"> REF _Ref342659112  \* MERGEFORMAT </w:instrText>
      </w:r>
      <w:r w:rsidR="00951E9B">
        <w:fldChar w:fldCharType="separate"/>
      </w:r>
      <w:r w:rsidR="00CA3AC6" w:rsidRPr="00CA3AC6">
        <w:rPr>
          <w:sz w:val="22"/>
          <w:szCs w:val="22"/>
        </w:rPr>
        <w:t xml:space="preserve">Table </w:t>
      </w:r>
      <w:r w:rsidR="00CA3AC6" w:rsidRPr="00CA3AC6">
        <w:rPr>
          <w:noProof/>
          <w:sz w:val="22"/>
          <w:szCs w:val="22"/>
        </w:rPr>
        <w:t>7</w:t>
      </w:r>
      <w:r w:rsidR="00951E9B">
        <w:rPr>
          <w:noProof/>
          <w:sz w:val="22"/>
          <w:szCs w:val="22"/>
        </w:rPr>
        <w:fldChar w:fldCharType="end"/>
      </w:r>
      <w:r>
        <w:rPr>
          <w:sz w:val="22"/>
          <w:szCs w:val="22"/>
        </w:rPr>
        <w:t>)</w:t>
      </w:r>
      <w:r w:rsidRPr="00B53FFB">
        <w:rPr>
          <w:sz w:val="22"/>
          <w:szCs w:val="22"/>
        </w:rPr>
        <w:t>.</w:t>
      </w:r>
      <w:r w:rsidRPr="00B53FFB">
        <w:rPr>
          <w:rStyle w:val="FootnoteReference"/>
          <w:szCs w:val="22"/>
        </w:rPr>
        <w:footnoteReference w:id="153"/>
      </w:r>
      <w:r w:rsidRPr="00B53FFB">
        <w:rPr>
          <w:sz w:val="22"/>
          <w:szCs w:val="22"/>
        </w:rPr>
        <w:t xml:space="preserve">  </w:t>
      </w:r>
    </w:p>
    <w:p w:rsidR="004A147C" w:rsidRPr="00C40B85" w:rsidRDefault="004A147C" w:rsidP="00CE5850">
      <w:pPr>
        <w:pStyle w:val="Caption"/>
        <w:widowControl w:val="0"/>
        <w:spacing w:after="0"/>
        <w:jc w:val="center"/>
        <w:rPr>
          <w:sz w:val="22"/>
          <w:szCs w:val="22"/>
        </w:rPr>
      </w:pPr>
      <w:bookmarkStart w:id="933" w:name="_Ref342659091"/>
      <w:r w:rsidRPr="00C40B85">
        <w:rPr>
          <w:sz w:val="22"/>
          <w:szCs w:val="22"/>
        </w:rPr>
        <w:lastRenderedPageBreak/>
        <w:t xml:space="preserve">Table </w:t>
      </w:r>
      <w:r w:rsidR="0007014B" w:rsidRPr="00C40B85">
        <w:rPr>
          <w:sz w:val="22"/>
          <w:szCs w:val="22"/>
        </w:rPr>
        <w:fldChar w:fldCharType="begin"/>
      </w:r>
      <w:r w:rsidRPr="00C40B85">
        <w:rPr>
          <w:sz w:val="22"/>
          <w:szCs w:val="22"/>
        </w:rPr>
        <w:instrText xml:space="preserve"> SEQ Table \* ARABIC </w:instrText>
      </w:r>
      <w:r w:rsidR="0007014B" w:rsidRPr="00C40B85">
        <w:rPr>
          <w:sz w:val="22"/>
          <w:szCs w:val="22"/>
        </w:rPr>
        <w:fldChar w:fldCharType="separate"/>
      </w:r>
      <w:r w:rsidR="00CA3AC6">
        <w:rPr>
          <w:noProof/>
          <w:sz w:val="22"/>
          <w:szCs w:val="22"/>
        </w:rPr>
        <w:t>6</w:t>
      </w:r>
      <w:r w:rsidR="0007014B" w:rsidRPr="00C40B85">
        <w:rPr>
          <w:sz w:val="22"/>
          <w:szCs w:val="22"/>
        </w:rPr>
        <w:fldChar w:fldCharType="end"/>
      </w:r>
      <w:bookmarkEnd w:id="933"/>
    </w:p>
    <w:p w:rsidR="004A147C" w:rsidRPr="00C40B85" w:rsidRDefault="004A147C" w:rsidP="00CE5850">
      <w:pPr>
        <w:pStyle w:val="ParaNum"/>
        <w:tabs>
          <w:tab w:val="clear" w:pos="1440"/>
        </w:tabs>
        <w:spacing w:after="0"/>
        <w:ind w:firstLine="0"/>
        <w:jc w:val="center"/>
        <w:rPr>
          <w:b/>
          <w:sz w:val="22"/>
          <w:szCs w:val="22"/>
        </w:rPr>
      </w:pPr>
      <w:r w:rsidRPr="00C40B85">
        <w:rPr>
          <w:b/>
          <w:sz w:val="22"/>
          <w:szCs w:val="22"/>
        </w:rPr>
        <w:t xml:space="preserve">Estimated Mobile Wireless Coverage by Census Block, </w:t>
      </w:r>
      <w:r w:rsidRPr="00A60678">
        <w:rPr>
          <w:b/>
          <w:i/>
          <w:sz w:val="22"/>
          <w:szCs w:val="22"/>
        </w:rPr>
        <w:t>Excluding Federal Land</w:t>
      </w:r>
      <w:r w:rsidRPr="00C40B85">
        <w:rPr>
          <w:b/>
          <w:sz w:val="22"/>
          <w:szCs w:val="22"/>
        </w:rPr>
        <w:t>, Jan. 2012</w:t>
      </w:r>
      <w:r w:rsidRPr="001170B2">
        <w:rPr>
          <w:rStyle w:val="FootnoteReference"/>
          <w:b/>
          <w:szCs w:val="22"/>
        </w:rPr>
        <w:footnoteReference w:id="154"/>
      </w:r>
    </w:p>
    <w:tbl>
      <w:tblPr>
        <w:tblW w:w="9000" w:type="dxa"/>
        <w:jc w:val="center"/>
        <w:tblInd w:w="426"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0" w:type="dxa"/>
          <w:right w:w="0" w:type="dxa"/>
        </w:tblCellMar>
        <w:tblLook w:val="00A0" w:firstRow="1" w:lastRow="0" w:firstColumn="1" w:lastColumn="0" w:noHBand="0" w:noVBand="0"/>
      </w:tblPr>
      <w:tblGrid>
        <w:gridCol w:w="1170"/>
        <w:gridCol w:w="1284"/>
        <w:gridCol w:w="1284"/>
        <w:gridCol w:w="833"/>
        <w:gridCol w:w="1284"/>
        <w:gridCol w:w="990"/>
        <w:gridCol w:w="1284"/>
        <w:gridCol w:w="871"/>
      </w:tblGrid>
      <w:tr w:rsidR="004A147C" w:rsidRPr="00B53FFB" w:rsidTr="00C918B8">
        <w:trPr>
          <w:trHeight w:val="765"/>
          <w:jc w:val="center"/>
        </w:trPr>
        <w:tc>
          <w:tcPr>
            <w:tcW w:w="1170" w:type="dxa"/>
            <w:shd w:val="clear" w:color="auto" w:fill="F2DBDB"/>
            <w:tcMar>
              <w:top w:w="0" w:type="dxa"/>
              <w:left w:w="108" w:type="dxa"/>
              <w:bottom w:w="0" w:type="dxa"/>
              <w:right w:w="108" w:type="dxa"/>
            </w:tcMar>
          </w:tcPr>
          <w:p w:rsidR="004A147C" w:rsidRPr="007D38C2" w:rsidRDefault="004A147C" w:rsidP="00CE5850">
            <w:pPr>
              <w:snapToGrid w:val="0"/>
              <w:jc w:val="center"/>
              <w:rPr>
                <w:rFonts w:eastAsia="Times New Roman"/>
                <w:b/>
                <w:bCs/>
                <w:kern w:val="0"/>
                <w:sz w:val="20"/>
              </w:rPr>
            </w:pPr>
            <w:r w:rsidRPr="007D38C2">
              <w:rPr>
                <w:rFonts w:eastAsia="Times New Roman"/>
                <w:b/>
                <w:bCs/>
                <w:kern w:val="0"/>
                <w:sz w:val="20"/>
              </w:rPr>
              <w:t>Number of Providers with Coverage in a Block</w:t>
            </w:r>
          </w:p>
        </w:tc>
        <w:tc>
          <w:tcPr>
            <w:tcW w:w="1260" w:type="dxa"/>
            <w:shd w:val="clear" w:color="auto" w:fill="F2DBDB"/>
            <w:tcMar>
              <w:top w:w="0" w:type="dxa"/>
              <w:left w:w="108" w:type="dxa"/>
              <w:bottom w:w="0" w:type="dxa"/>
              <w:right w:w="108" w:type="dxa"/>
            </w:tcMar>
          </w:tcPr>
          <w:p w:rsidR="004A147C" w:rsidRPr="007D38C2" w:rsidRDefault="004A147C" w:rsidP="00CE5850">
            <w:pPr>
              <w:snapToGrid w:val="0"/>
              <w:jc w:val="center"/>
              <w:rPr>
                <w:rFonts w:eastAsia="Times New Roman"/>
                <w:b/>
                <w:bCs/>
                <w:kern w:val="0"/>
                <w:sz w:val="20"/>
              </w:rPr>
            </w:pPr>
            <w:r w:rsidRPr="007D38C2">
              <w:rPr>
                <w:rFonts w:eastAsia="Times New Roman"/>
                <w:b/>
                <w:bCs/>
                <w:kern w:val="0"/>
                <w:sz w:val="20"/>
              </w:rPr>
              <w:t xml:space="preserve">Number </w:t>
            </w:r>
          </w:p>
          <w:p w:rsidR="004A147C" w:rsidRPr="007D38C2" w:rsidRDefault="004A147C" w:rsidP="00CE5850">
            <w:pPr>
              <w:snapToGrid w:val="0"/>
              <w:jc w:val="center"/>
              <w:rPr>
                <w:rFonts w:eastAsia="Times New Roman"/>
                <w:b/>
                <w:bCs/>
                <w:kern w:val="0"/>
                <w:sz w:val="20"/>
              </w:rPr>
            </w:pPr>
            <w:r w:rsidRPr="007D38C2">
              <w:rPr>
                <w:rFonts w:eastAsia="Times New Roman"/>
                <w:b/>
                <w:bCs/>
                <w:kern w:val="0"/>
                <w:sz w:val="20"/>
              </w:rPr>
              <w:t>of Blocks</w:t>
            </w:r>
          </w:p>
          <w:p w:rsidR="004A147C" w:rsidRPr="007D38C2" w:rsidRDefault="004A147C" w:rsidP="00CE5850">
            <w:pPr>
              <w:snapToGrid w:val="0"/>
              <w:jc w:val="center"/>
              <w:rPr>
                <w:rFonts w:eastAsia="Times New Roman"/>
                <w:b/>
                <w:bCs/>
                <w:kern w:val="0"/>
                <w:sz w:val="20"/>
              </w:rPr>
            </w:pPr>
            <w:r w:rsidRPr="007D38C2">
              <w:rPr>
                <w:rFonts w:eastAsia="Times New Roman"/>
                <w:b/>
                <w:bCs/>
                <w:kern w:val="0"/>
                <w:sz w:val="20"/>
              </w:rPr>
              <w:t>(</w:t>
            </w:r>
            <w:r>
              <w:rPr>
                <w:rFonts w:eastAsia="Times New Roman"/>
                <w:b/>
                <w:bCs/>
                <w:kern w:val="0"/>
                <w:sz w:val="20"/>
              </w:rPr>
              <w:t>Th</w:t>
            </w:r>
            <w:r w:rsidRPr="007D38C2">
              <w:rPr>
                <w:rFonts w:eastAsia="Times New Roman"/>
                <w:b/>
                <w:bCs/>
                <w:kern w:val="0"/>
                <w:sz w:val="20"/>
              </w:rPr>
              <w:t>ousands)</w:t>
            </w:r>
          </w:p>
        </w:tc>
        <w:tc>
          <w:tcPr>
            <w:tcW w:w="1260" w:type="dxa"/>
            <w:shd w:val="clear" w:color="auto" w:fill="F2DBDB"/>
            <w:tcMar>
              <w:top w:w="0" w:type="dxa"/>
              <w:left w:w="108" w:type="dxa"/>
              <w:bottom w:w="0" w:type="dxa"/>
              <w:right w:w="108" w:type="dxa"/>
            </w:tcMar>
          </w:tcPr>
          <w:p w:rsidR="004A147C" w:rsidRPr="007D38C2" w:rsidRDefault="004A147C" w:rsidP="00CE5850">
            <w:pPr>
              <w:snapToGrid w:val="0"/>
              <w:jc w:val="center"/>
              <w:rPr>
                <w:rFonts w:eastAsia="Times New Roman"/>
                <w:b/>
                <w:bCs/>
                <w:kern w:val="0"/>
                <w:sz w:val="20"/>
              </w:rPr>
            </w:pPr>
            <w:r w:rsidRPr="007D38C2">
              <w:rPr>
                <w:rFonts w:eastAsia="Times New Roman"/>
                <w:b/>
                <w:bCs/>
                <w:kern w:val="0"/>
                <w:sz w:val="20"/>
              </w:rPr>
              <w:t>POPs Contained in Those Blocks</w:t>
            </w:r>
          </w:p>
          <w:p w:rsidR="004A147C" w:rsidRPr="007D38C2" w:rsidRDefault="004A147C" w:rsidP="00CE5850">
            <w:pPr>
              <w:snapToGrid w:val="0"/>
              <w:jc w:val="center"/>
              <w:rPr>
                <w:rFonts w:eastAsia="Times New Roman"/>
                <w:b/>
                <w:bCs/>
                <w:kern w:val="0"/>
                <w:sz w:val="20"/>
              </w:rPr>
            </w:pPr>
            <w:r w:rsidRPr="007D38C2">
              <w:rPr>
                <w:rFonts w:eastAsia="Times New Roman"/>
                <w:b/>
                <w:bCs/>
                <w:kern w:val="0"/>
                <w:sz w:val="20"/>
              </w:rPr>
              <w:t>(</w:t>
            </w:r>
            <w:r>
              <w:rPr>
                <w:rFonts w:eastAsia="Times New Roman"/>
                <w:b/>
                <w:bCs/>
                <w:kern w:val="0"/>
                <w:sz w:val="20"/>
              </w:rPr>
              <w:t>T</w:t>
            </w:r>
            <w:r w:rsidRPr="007D38C2">
              <w:rPr>
                <w:rFonts w:eastAsia="Times New Roman"/>
                <w:b/>
                <w:bCs/>
                <w:kern w:val="0"/>
                <w:sz w:val="20"/>
              </w:rPr>
              <w:t>housands)</w:t>
            </w:r>
          </w:p>
        </w:tc>
        <w:tc>
          <w:tcPr>
            <w:tcW w:w="833" w:type="dxa"/>
            <w:shd w:val="clear" w:color="auto" w:fill="F2DBDB"/>
            <w:tcMar>
              <w:top w:w="0" w:type="dxa"/>
              <w:left w:w="108" w:type="dxa"/>
              <w:bottom w:w="0" w:type="dxa"/>
              <w:right w:w="108" w:type="dxa"/>
            </w:tcMar>
          </w:tcPr>
          <w:p w:rsidR="004A147C" w:rsidRPr="007D38C2" w:rsidRDefault="004A147C" w:rsidP="00CE5850">
            <w:pPr>
              <w:snapToGrid w:val="0"/>
              <w:jc w:val="center"/>
              <w:rPr>
                <w:rFonts w:eastAsia="Times New Roman"/>
                <w:b/>
                <w:bCs/>
                <w:kern w:val="0"/>
                <w:sz w:val="20"/>
              </w:rPr>
            </w:pPr>
            <w:r w:rsidRPr="007D38C2">
              <w:rPr>
                <w:rFonts w:eastAsia="Times New Roman"/>
                <w:b/>
                <w:bCs/>
                <w:kern w:val="0"/>
                <w:sz w:val="20"/>
              </w:rPr>
              <w:t>% of Total US POPs</w:t>
            </w:r>
          </w:p>
        </w:tc>
        <w:tc>
          <w:tcPr>
            <w:tcW w:w="1260" w:type="dxa"/>
            <w:shd w:val="clear" w:color="auto" w:fill="F2DBDB"/>
            <w:tcMar>
              <w:top w:w="0" w:type="dxa"/>
              <w:left w:w="108" w:type="dxa"/>
              <w:bottom w:w="0" w:type="dxa"/>
              <w:right w:w="108" w:type="dxa"/>
            </w:tcMar>
          </w:tcPr>
          <w:p w:rsidR="004A147C" w:rsidRPr="007D38C2" w:rsidRDefault="004A147C" w:rsidP="00CE5850">
            <w:pPr>
              <w:snapToGrid w:val="0"/>
              <w:jc w:val="center"/>
              <w:rPr>
                <w:rFonts w:eastAsia="Times New Roman"/>
                <w:b/>
                <w:bCs/>
                <w:kern w:val="0"/>
                <w:sz w:val="20"/>
              </w:rPr>
            </w:pPr>
            <w:r w:rsidRPr="007D38C2">
              <w:rPr>
                <w:rFonts w:eastAsia="Times New Roman"/>
                <w:b/>
                <w:bCs/>
                <w:kern w:val="0"/>
                <w:sz w:val="20"/>
              </w:rPr>
              <w:t>Square Miles Contained in Those Blocks</w:t>
            </w:r>
          </w:p>
          <w:p w:rsidR="004A147C" w:rsidRPr="007D38C2" w:rsidRDefault="004A147C" w:rsidP="00CE5850">
            <w:pPr>
              <w:snapToGrid w:val="0"/>
              <w:jc w:val="center"/>
              <w:rPr>
                <w:rFonts w:eastAsia="Times New Roman"/>
                <w:b/>
                <w:bCs/>
                <w:kern w:val="0"/>
                <w:sz w:val="20"/>
              </w:rPr>
            </w:pPr>
            <w:r w:rsidRPr="007D38C2">
              <w:rPr>
                <w:rFonts w:eastAsia="Times New Roman"/>
                <w:b/>
                <w:bCs/>
                <w:kern w:val="0"/>
                <w:sz w:val="20"/>
              </w:rPr>
              <w:t>(</w:t>
            </w:r>
            <w:r>
              <w:rPr>
                <w:rFonts w:eastAsia="Times New Roman"/>
                <w:b/>
                <w:bCs/>
                <w:kern w:val="0"/>
                <w:sz w:val="20"/>
              </w:rPr>
              <w:t>T</w:t>
            </w:r>
            <w:r w:rsidRPr="007D38C2">
              <w:rPr>
                <w:rFonts w:eastAsia="Times New Roman"/>
                <w:b/>
                <w:bCs/>
                <w:kern w:val="0"/>
                <w:sz w:val="20"/>
              </w:rPr>
              <w:t>housands)</w:t>
            </w:r>
          </w:p>
        </w:tc>
        <w:tc>
          <w:tcPr>
            <w:tcW w:w="990" w:type="dxa"/>
            <w:shd w:val="clear" w:color="auto" w:fill="F2DBDB"/>
            <w:tcMar>
              <w:top w:w="0" w:type="dxa"/>
              <w:left w:w="108" w:type="dxa"/>
              <w:bottom w:w="0" w:type="dxa"/>
              <w:right w:w="108" w:type="dxa"/>
            </w:tcMar>
          </w:tcPr>
          <w:p w:rsidR="004A147C" w:rsidRPr="007D38C2" w:rsidRDefault="004A147C" w:rsidP="00CE5850">
            <w:pPr>
              <w:snapToGrid w:val="0"/>
              <w:jc w:val="center"/>
              <w:rPr>
                <w:rFonts w:eastAsia="Times New Roman"/>
                <w:b/>
                <w:bCs/>
                <w:kern w:val="0"/>
                <w:sz w:val="20"/>
              </w:rPr>
            </w:pPr>
            <w:r w:rsidRPr="007D38C2">
              <w:rPr>
                <w:rFonts w:eastAsia="Times New Roman"/>
                <w:b/>
                <w:bCs/>
                <w:kern w:val="0"/>
                <w:sz w:val="20"/>
              </w:rPr>
              <w:t>% of Total US Square Miles</w:t>
            </w:r>
          </w:p>
        </w:tc>
        <w:tc>
          <w:tcPr>
            <w:tcW w:w="1257" w:type="dxa"/>
            <w:shd w:val="clear" w:color="auto" w:fill="F2DBDB"/>
            <w:tcMar>
              <w:top w:w="0" w:type="dxa"/>
              <w:left w:w="108" w:type="dxa"/>
              <w:bottom w:w="0" w:type="dxa"/>
              <w:right w:w="108" w:type="dxa"/>
            </w:tcMar>
          </w:tcPr>
          <w:p w:rsidR="004A147C" w:rsidRPr="007D38C2" w:rsidRDefault="004A147C" w:rsidP="00CE5850">
            <w:pPr>
              <w:snapToGrid w:val="0"/>
              <w:jc w:val="center"/>
              <w:rPr>
                <w:rFonts w:eastAsia="Times New Roman"/>
                <w:b/>
                <w:bCs/>
                <w:kern w:val="0"/>
                <w:sz w:val="20"/>
              </w:rPr>
            </w:pPr>
            <w:r w:rsidRPr="007D38C2">
              <w:rPr>
                <w:rFonts w:eastAsia="Times New Roman"/>
                <w:b/>
                <w:bCs/>
                <w:kern w:val="0"/>
                <w:sz w:val="20"/>
              </w:rPr>
              <w:t>Road</w:t>
            </w:r>
          </w:p>
          <w:p w:rsidR="004A147C" w:rsidRPr="007D38C2" w:rsidRDefault="004A147C" w:rsidP="00CE5850">
            <w:pPr>
              <w:snapToGrid w:val="0"/>
              <w:jc w:val="center"/>
              <w:rPr>
                <w:rFonts w:eastAsia="Times New Roman"/>
                <w:b/>
                <w:bCs/>
                <w:kern w:val="0"/>
                <w:sz w:val="20"/>
              </w:rPr>
            </w:pPr>
            <w:r w:rsidRPr="007D38C2">
              <w:rPr>
                <w:rFonts w:eastAsia="Times New Roman"/>
                <w:b/>
                <w:bCs/>
                <w:kern w:val="0"/>
                <w:sz w:val="20"/>
              </w:rPr>
              <w:t>Miles Contained in Those Blocks (</w:t>
            </w:r>
            <w:r>
              <w:rPr>
                <w:rFonts w:eastAsia="Times New Roman"/>
                <w:b/>
                <w:bCs/>
                <w:kern w:val="0"/>
                <w:sz w:val="20"/>
              </w:rPr>
              <w:t>T</w:t>
            </w:r>
            <w:r w:rsidRPr="007D38C2">
              <w:rPr>
                <w:rFonts w:eastAsia="Times New Roman"/>
                <w:b/>
                <w:bCs/>
                <w:kern w:val="0"/>
                <w:sz w:val="20"/>
              </w:rPr>
              <w:t>housands)</w:t>
            </w:r>
          </w:p>
        </w:tc>
        <w:tc>
          <w:tcPr>
            <w:tcW w:w="970" w:type="dxa"/>
            <w:shd w:val="clear" w:color="auto" w:fill="F2DBDB"/>
            <w:tcMar>
              <w:top w:w="0" w:type="dxa"/>
              <w:left w:w="108" w:type="dxa"/>
              <w:bottom w:w="0" w:type="dxa"/>
              <w:right w:w="108" w:type="dxa"/>
            </w:tcMar>
          </w:tcPr>
          <w:p w:rsidR="004A147C" w:rsidRPr="007D38C2" w:rsidRDefault="004A147C" w:rsidP="00CE5850">
            <w:pPr>
              <w:snapToGrid w:val="0"/>
              <w:jc w:val="center"/>
              <w:rPr>
                <w:rFonts w:eastAsia="Times New Roman"/>
                <w:b/>
                <w:bCs/>
                <w:kern w:val="0"/>
                <w:sz w:val="20"/>
              </w:rPr>
            </w:pPr>
            <w:r w:rsidRPr="007D38C2">
              <w:rPr>
                <w:rFonts w:eastAsia="Times New Roman"/>
                <w:b/>
                <w:bCs/>
                <w:kern w:val="0"/>
                <w:sz w:val="20"/>
              </w:rPr>
              <w:t>% of Total US Road Miles</w:t>
            </w:r>
          </w:p>
        </w:tc>
      </w:tr>
      <w:tr w:rsidR="004A147C" w:rsidRPr="00B53FFB" w:rsidTr="00C918B8">
        <w:trPr>
          <w:trHeight w:val="215"/>
          <w:jc w:val="center"/>
        </w:trPr>
        <w:tc>
          <w:tcPr>
            <w:tcW w:w="1170" w:type="dxa"/>
            <w:shd w:val="clear" w:color="auto" w:fill="F2DBDB"/>
            <w:noWrap/>
            <w:tcMar>
              <w:top w:w="0" w:type="dxa"/>
              <w:left w:w="108" w:type="dxa"/>
              <w:bottom w:w="0" w:type="dxa"/>
              <w:right w:w="108" w:type="dxa"/>
            </w:tcMar>
          </w:tcPr>
          <w:p w:rsidR="004A147C" w:rsidRPr="007D38C2" w:rsidRDefault="004A147C" w:rsidP="00CE5850">
            <w:pPr>
              <w:snapToGrid w:val="0"/>
              <w:rPr>
                <w:rFonts w:eastAsia="Times New Roman"/>
                <w:i/>
                <w:iCs/>
                <w:kern w:val="0"/>
                <w:sz w:val="20"/>
              </w:rPr>
            </w:pPr>
            <w:r w:rsidRPr="007D38C2">
              <w:rPr>
                <w:rFonts w:eastAsia="Times New Roman"/>
                <w:i/>
                <w:iCs/>
                <w:kern w:val="0"/>
                <w:sz w:val="20"/>
              </w:rPr>
              <w:t>US Total</w:t>
            </w:r>
          </w:p>
        </w:tc>
        <w:tc>
          <w:tcPr>
            <w:tcW w:w="1260" w:type="dxa"/>
            <w:shd w:val="clear" w:color="auto" w:fill="F2DBDB"/>
            <w:noWrap/>
            <w:tcMar>
              <w:top w:w="0" w:type="dxa"/>
              <w:left w:w="108" w:type="dxa"/>
              <w:bottom w:w="0" w:type="dxa"/>
              <w:right w:w="108" w:type="dxa"/>
            </w:tcMar>
          </w:tcPr>
          <w:p w:rsidR="004A147C" w:rsidRPr="007D38C2" w:rsidRDefault="004A147C" w:rsidP="00CE5850">
            <w:pPr>
              <w:snapToGrid w:val="0"/>
              <w:jc w:val="center"/>
              <w:rPr>
                <w:rFonts w:eastAsia="Times New Roman"/>
                <w:kern w:val="0"/>
                <w:sz w:val="20"/>
              </w:rPr>
            </w:pPr>
            <w:r w:rsidRPr="007D38C2">
              <w:rPr>
                <w:rFonts w:eastAsia="Times New Roman"/>
                <w:kern w:val="0"/>
                <w:sz w:val="20"/>
              </w:rPr>
              <w:t>10,449</w:t>
            </w:r>
          </w:p>
        </w:tc>
        <w:tc>
          <w:tcPr>
            <w:tcW w:w="1260" w:type="dxa"/>
            <w:shd w:val="clear" w:color="auto" w:fill="F2DBDB"/>
            <w:noWrap/>
            <w:tcMar>
              <w:top w:w="0" w:type="dxa"/>
              <w:left w:w="108" w:type="dxa"/>
              <w:bottom w:w="0" w:type="dxa"/>
              <w:right w:w="108" w:type="dxa"/>
            </w:tcMar>
          </w:tcPr>
          <w:p w:rsidR="004A147C" w:rsidRPr="007D38C2" w:rsidRDefault="004A147C" w:rsidP="00CE5850">
            <w:pPr>
              <w:snapToGrid w:val="0"/>
              <w:jc w:val="center"/>
              <w:rPr>
                <w:rFonts w:eastAsia="Times New Roman"/>
                <w:kern w:val="0"/>
                <w:sz w:val="20"/>
              </w:rPr>
            </w:pPr>
            <w:r w:rsidRPr="007D38C2">
              <w:rPr>
                <w:rFonts w:eastAsia="Times New Roman"/>
                <w:kern w:val="0"/>
                <w:sz w:val="20"/>
              </w:rPr>
              <w:t>307,209</w:t>
            </w:r>
          </w:p>
        </w:tc>
        <w:tc>
          <w:tcPr>
            <w:tcW w:w="833" w:type="dxa"/>
            <w:shd w:val="clear" w:color="auto" w:fill="F2DBDB"/>
            <w:noWrap/>
            <w:tcMar>
              <w:top w:w="0" w:type="dxa"/>
              <w:left w:w="108" w:type="dxa"/>
              <w:bottom w:w="0" w:type="dxa"/>
              <w:right w:w="108" w:type="dxa"/>
            </w:tcMar>
          </w:tcPr>
          <w:p w:rsidR="004A147C" w:rsidRPr="007D38C2" w:rsidRDefault="004A147C" w:rsidP="00CE5850">
            <w:pPr>
              <w:snapToGrid w:val="0"/>
              <w:jc w:val="center"/>
              <w:rPr>
                <w:rFonts w:eastAsia="Times New Roman"/>
                <w:kern w:val="0"/>
                <w:sz w:val="20"/>
              </w:rPr>
            </w:pPr>
            <w:r w:rsidRPr="007D38C2">
              <w:rPr>
                <w:rFonts w:eastAsia="Times New Roman"/>
                <w:kern w:val="0"/>
                <w:sz w:val="20"/>
              </w:rPr>
              <w:t>100.0%</w:t>
            </w:r>
          </w:p>
        </w:tc>
        <w:tc>
          <w:tcPr>
            <w:tcW w:w="1260" w:type="dxa"/>
            <w:shd w:val="clear" w:color="auto" w:fill="F2DBDB"/>
            <w:noWrap/>
            <w:tcMar>
              <w:top w:w="0" w:type="dxa"/>
              <w:left w:w="108" w:type="dxa"/>
              <w:bottom w:w="0" w:type="dxa"/>
              <w:right w:w="108" w:type="dxa"/>
            </w:tcMar>
          </w:tcPr>
          <w:p w:rsidR="004A147C" w:rsidRPr="007D38C2" w:rsidRDefault="004A147C" w:rsidP="00CE5850">
            <w:pPr>
              <w:snapToGrid w:val="0"/>
              <w:jc w:val="center"/>
              <w:rPr>
                <w:rFonts w:eastAsia="Times New Roman"/>
                <w:kern w:val="0"/>
                <w:sz w:val="20"/>
              </w:rPr>
            </w:pPr>
            <w:r w:rsidRPr="007D38C2">
              <w:rPr>
                <w:rFonts w:eastAsia="Times New Roman"/>
                <w:kern w:val="0"/>
                <w:sz w:val="20"/>
              </w:rPr>
              <w:t>2,431</w:t>
            </w:r>
          </w:p>
        </w:tc>
        <w:tc>
          <w:tcPr>
            <w:tcW w:w="990" w:type="dxa"/>
            <w:shd w:val="clear" w:color="auto" w:fill="F2DBDB"/>
            <w:noWrap/>
            <w:tcMar>
              <w:top w:w="0" w:type="dxa"/>
              <w:left w:w="108" w:type="dxa"/>
              <w:bottom w:w="0" w:type="dxa"/>
              <w:right w:w="108" w:type="dxa"/>
            </w:tcMar>
          </w:tcPr>
          <w:p w:rsidR="004A147C" w:rsidRPr="007D38C2" w:rsidRDefault="004A147C" w:rsidP="00CE5850">
            <w:pPr>
              <w:snapToGrid w:val="0"/>
              <w:jc w:val="center"/>
              <w:rPr>
                <w:rFonts w:eastAsia="Times New Roman"/>
                <w:kern w:val="0"/>
                <w:sz w:val="20"/>
              </w:rPr>
            </w:pPr>
            <w:r w:rsidRPr="007D38C2">
              <w:rPr>
                <w:rFonts w:eastAsia="Times New Roman"/>
                <w:kern w:val="0"/>
                <w:sz w:val="20"/>
              </w:rPr>
              <w:t>100.0%</w:t>
            </w:r>
          </w:p>
        </w:tc>
        <w:tc>
          <w:tcPr>
            <w:tcW w:w="1257" w:type="dxa"/>
            <w:shd w:val="clear" w:color="auto" w:fill="F2DBDB"/>
            <w:tcMar>
              <w:top w:w="0" w:type="dxa"/>
              <w:left w:w="108" w:type="dxa"/>
              <w:bottom w:w="0" w:type="dxa"/>
              <w:right w:w="108" w:type="dxa"/>
            </w:tcMar>
          </w:tcPr>
          <w:p w:rsidR="004A147C" w:rsidRPr="007D38C2" w:rsidRDefault="004A147C" w:rsidP="00CE5850">
            <w:pPr>
              <w:jc w:val="center"/>
              <w:rPr>
                <w:rFonts w:eastAsia="Times New Roman"/>
                <w:kern w:val="0"/>
                <w:sz w:val="20"/>
              </w:rPr>
            </w:pPr>
            <w:r w:rsidRPr="007D38C2">
              <w:rPr>
                <w:rFonts w:eastAsia="Times New Roman"/>
                <w:kern w:val="0"/>
                <w:sz w:val="20"/>
              </w:rPr>
              <w:t>5,893</w:t>
            </w:r>
          </w:p>
        </w:tc>
        <w:tc>
          <w:tcPr>
            <w:tcW w:w="970" w:type="dxa"/>
            <w:shd w:val="clear" w:color="auto" w:fill="F2DBDB"/>
            <w:tcMar>
              <w:top w:w="0" w:type="dxa"/>
              <w:left w:w="108" w:type="dxa"/>
              <w:bottom w:w="0" w:type="dxa"/>
              <w:right w:w="108" w:type="dxa"/>
            </w:tcMar>
          </w:tcPr>
          <w:p w:rsidR="004A147C" w:rsidRPr="007D38C2" w:rsidRDefault="004A147C" w:rsidP="00CE5850">
            <w:pPr>
              <w:jc w:val="center"/>
              <w:rPr>
                <w:rFonts w:eastAsia="Times New Roman"/>
                <w:kern w:val="0"/>
                <w:sz w:val="20"/>
              </w:rPr>
            </w:pPr>
            <w:r w:rsidRPr="007D38C2">
              <w:rPr>
                <w:rFonts w:eastAsia="Times New Roman"/>
                <w:kern w:val="0"/>
                <w:sz w:val="20"/>
              </w:rPr>
              <w:t>100.0%</w:t>
            </w:r>
          </w:p>
        </w:tc>
      </w:tr>
      <w:tr w:rsidR="004A147C" w:rsidRPr="00B53FFB" w:rsidTr="00C918B8">
        <w:trPr>
          <w:trHeight w:val="255"/>
          <w:jc w:val="center"/>
        </w:trPr>
        <w:tc>
          <w:tcPr>
            <w:tcW w:w="1170" w:type="dxa"/>
            <w:shd w:val="clear" w:color="auto" w:fill="F2DBDB"/>
            <w:noWrap/>
            <w:tcMar>
              <w:top w:w="0" w:type="dxa"/>
              <w:left w:w="108" w:type="dxa"/>
              <w:bottom w:w="0" w:type="dxa"/>
              <w:right w:w="108" w:type="dxa"/>
            </w:tcMar>
          </w:tcPr>
          <w:p w:rsidR="004A147C" w:rsidRPr="007D38C2" w:rsidRDefault="004A147C" w:rsidP="00CE5850">
            <w:pPr>
              <w:snapToGrid w:val="0"/>
              <w:rPr>
                <w:rFonts w:eastAsia="Times New Roman"/>
                <w:kern w:val="0"/>
                <w:sz w:val="20"/>
              </w:rPr>
            </w:pPr>
            <w:r w:rsidRPr="007D38C2">
              <w:rPr>
                <w:rFonts w:eastAsia="Times New Roman"/>
                <w:kern w:val="0"/>
                <w:sz w:val="20"/>
              </w:rPr>
              <w:t>1 or more</w:t>
            </w:r>
          </w:p>
        </w:tc>
        <w:tc>
          <w:tcPr>
            <w:tcW w:w="1260" w:type="dxa"/>
            <w:shd w:val="clear" w:color="auto" w:fill="F2DBDB"/>
            <w:noWrap/>
            <w:tcMar>
              <w:top w:w="0" w:type="dxa"/>
              <w:left w:w="108" w:type="dxa"/>
              <w:bottom w:w="0" w:type="dxa"/>
              <w:right w:w="108" w:type="dxa"/>
            </w:tcMar>
          </w:tcPr>
          <w:p w:rsidR="004A147C" w:rsidRPr="007D38C2" w:rsidRDefault="004A147C" w:rsidP="00CE5850">
            <w:pPr>
              <w:snapToGrid w:val="0"/>
              <w:jc w:val="center"/>
              <w:rPr>
                <w:rFonts w:eastAsia="Times New Roman"/>
                <w:kern w:val="0"/>
                <w:sz w:val="20"/>
              </w:rPr>
            </w:pPr>
            <w:r w:rsidRPr="007D38C2">
              <w:rPr>
                <w:rFonts w:eastAsia="Times New Roman"/>
                <w:kern w:val="0"/>
                <w:sz w:val="20"/>
              </w:rPr>
              <w:t>9,865</w:t>
            </w:r>
          </w:p>
        </w:tc>
        <w:tc>
          <w:tcPr>
            <w:tcW w:w="1260" w:type="dxa"/>
            <w:shd w:val="clear" w:color="auto" w:fill="F2DBDB"/>
            <w:noWrap/>
            <w:tcMar>
              <w:top w:w="0" w:type="dxa"/>
              <w:left w:w="108" w:type="dxa"/>
              <w:bottom w:w="0" w:type="dxa"/>
              <w:right w:w="108" w:type="dxa"/>
            </w:tcMar>
          </w:tcPr>
          <w:p w:rsidR="004A147C" w:rsidRPr="007D38C2" w:rsidRDefault="004A147C" w:rsidP="00CE5850">
            <w:pPr>
              <w:snapToGrid w:val="0"/>
              <w:jc w:val="center"/>
              <w:rPr>
                <w:rFonts w:eastAsia="Times New Roman"/>
                <w:kern w:val="0"/>
                <w:sz w:val="20"/>
              </w:rPr>
            </w:pPr>
            <w:r w:rsidRPr="007D38C2">
              <w:rPr>
                <w:rFonts w:eastAsia="Times New Roman"/>
                <w:kern w:val="0"/>
                <w:sz w:val="20"/>
              </w:rPr>
              <w:t>306,863</w:t>
            </w:r>
          </w:p>
        </w:tc>
        <w:tc>
          <w:tcPr>
            <w:tcW w:w="833" w:type="dxa"/>
            <w:shd w:val="clear" w:color="auto" w:fill="F2DBDB"/>
            <w:noWrap/>
            <w:tcMar>
              <w:top w:w="0" w:type="dxa"/>
              <w:left w:w="108" w:type="dxa"/>
              <w:bottom w:w="0" w:type="dxa"/>
              <w:right w:w="108" w:type="dxa"/>
            </w:tcMar>
          </w:tcPr>
          <w:p w:rsidR="004A147C" w:rsidRPr="007D38C2" w:rsidRDefault="004A147C" w:rsidP="00CE5850">
            <w:pPr>
              <w:snapToGrid w:val="0"/>
              <w:jc w:val="center"/>
              <w:rPr>
                <w:rFonts w:eastAsia="Times New Roman"/>
                <w:kern w:val="0"/>
                <w:sz w:val="20"/>
              </w:rPr>
            </w:pPr>
            <w:r w:rsidRPr="007D38C2">
              <w:rPr>
                <w:rFonts w:eastAsia="Times New Roman"/>
                <w:kern w:val="0"/>
                <w:sz w:val="20"/>
              </w:rPr>
              <w:t>99.9%</w:t>
            </w:r>
          </w:p>
        </w:tc>
        <w:tc>
          <w:tcPr>
            <w:tcW w:w="1260" w:type="dxa"/>
            <w:shd w:val="clear" w:color="auto" w:fill="F2DBDB"/>
            <w:noWrap/>
            <w:tcMar>
              <w:top w:w="0" w:type="dxa"/>
              <w:left w:w="108" w:type="dxa"/>
              <w:bottom w:w="0" w:type="dxa"/>
              <w:right w:w="108" w:type="dxa"/>
            </w:tcMar>
          </w:tcPr>
          <w:p w:rsidR="004A147C" w:rsidRPr="007D38C2" w:rsidRDefault="004A147C" w:rsidP="00CE5850">
            <w:pPr>
              <w:snapToGrid w:val="0"/>
              <w:jc w:val="center"/>
              <w:rPr>
                <w:rFonts w:eastAsia="Times New Roman"/>
                <w:kern w:val="0"/>
                <w:sz w:val="20"/>
              </w:rPr>
            </w:pPr>
            <w:r w:rsidRPr="007D38C2">
              <w:rPr>
                <w:rFonts w:eastAsia="Times New Roman"/>
                <w:kern w:val="0"/>
                <w:sz w:val="20"/>
              </w:rPr>
              <w:t>2,183</w:t>
            </w:r>
          </w:p>
        </w:tc>
        <w:tc>
          <w:tcPr>
            <w:tcW w:w="990" w:type="dxa"/>
            <w:shd w:val="clear" w:color="auto" w:fill="F2DBDB"/>
            <w:noWrap/>
            <w:tcMar>
              <w:top w:w="0" w:type="dxa"/>
              <w:left w:w="108" w:type="dxa"/>
              <w:bottom w:w="0" w:type="dxa"/>
              <w:right w:w="108" w:type="dxa"/>
            </w:tcMar>
          </w:tcPr>
          <w:p w:rsidR="004A147C" w:rsidRPr="007D38C2" w:rsidRDefault="004A147C" w:rsidP="00CE5850">
            <w:pPr>
              <w:snapToGrid w:val="0"/>
              <w:jc w:val="center"/>
              <w:rPr>
                <w:rFonts w:eastAsia="Times New Roman"/>
                <w:kern w:val="0"/>
                <w:sz w:val="20"/>
              </w:rPr>
            </w:pPr>
            <w:r w:rsidRPr="007D38C2">
              <w:rPr>
                <w:rFonts w:eastAsia="Times New Roman"/>
                <w:kern w:val="0"/>
                <w:sz w:val="20"/>
              </w:rPr>
              <w:t>89.8%</w:t>
            </w:r>
          </w:p>
        </w:tc>
        <w:tc>
          <w:tcPr>
            <w:tcW w:w="1257" w:type="dxa"/>
            <w:shd w:val="clear" w:color="auto" w:fill="F2DBDB"/>
            <w:tcMar>
              <w:top w:w="0" w:type="dxa"/>
              <w:left w:w="108" w:type="dxa"/>
              <w:bottom w:w="0" w:type="dxa"/>
              <w:right w:w="108" w:type="dxa"/>
            </w:tcMar>
          </w:tcPr>
          <w:p w:rsidR="004A147C" w:rsidRPr="007D38C2" w:rsidRDefault="004A147C" w:rsidP="00CE5850">
            <w:pPr>
              <w:jc w:val="center"/>
              <w:rPr>
                <w:rFonts w:eastAsia="Times New Roman"/>
                <w:kern w:val="0"/>
                <w:sz w:val="20"/>
              </w:rPr>
            </w:pPr>
            <w:r w:rsidRPr="007D38C2">
              <w:rPr>
                <w:rFonts w:eastAsia="Times New Roman"/>
                <w:kern w:val="0"/>
                <w:sz w:val="20"/>
              </w:rPr>
              <w:t>5,751</w:t>
            </w:r>
          </w:p>
        </w:tc>
        <w:tc>
          <w:tcPr>
            <w:tcW w:w="970" w:type="dxa"/>
            <w:shd w:val="clear" w:color="auto" w:fill="F2DBDB"/>
            <w:tcMar>
              <w:top w:w="0" w:type="dxa"/>
              <w:left w:w="108" w:type="dxa"/>
              <w:bottom w:w="0" w:type="dxa"/>
              <w:right w:w="108" w:type="dxa"/>
            </w:tcMar>
          </w:tcPr>
          <w:p w:rsidR="004A147C" w:rsidRPr="007D38C2" w:rsidRDefault="004A147C" w:rsidP="00CE5850">
            <w:pPr>
              <w:jc w:val="center"/>
              <w:rPr>
                <w:rFonts w:eastAsia="Times New Roman"/>
                <w:kern w:val="0"/>
                <w:sz w:val="20"/>
              </w:rPr>
            </w:pPr>
            <w:r w:rsidRPr="007D38C2">
              <w:rPr>
                <w:rFonts w:eastAsia="Times New Roman"/>
                <w:kern w:val="0"/>
                <w:sz w:val="20"/>
              </w:rPr>
              <w:t>97.6%</w:t>
            </w:r>
          </w:p>
        </w:tc>
      </w:tr>
      <w:tr w:rsidR="004A147C" w:rsidRPr="00B53FFB" w:rsidTr="00C918B8">
        <w:trPr>
          <w:trHeight w:val="255"/>
          <w:jc w:val="center"/>
        </w:trPr>
        <w:tc>
          <w:tcPr>
            <w:tcW w:w="1170" w:type="dxa"/>
            <w:shd w:val="clear" w:color="auto" w:fill="F2DBDB"/>
            <w:noWrap/>
            <w:tcMar>
              <w:top w:w="0" w:type="dxa"/>
              <w:left w:w="108" w:type="dxa"/>
              <w:bottom w:w="0" w:type="dxa"/>
              <w:right w:w="108" w:type="dxa"/>
            </w:tcMar>
          </w:tcPr>
          <w:p w:rsidR="004A147C" w:rsidRPr="007D38C2" w:rsidRDefault="004A147C" w:rsidP="00CE5850">
            <w:pPr>
              <w:snapToGrid w:val="0"/>
              <w:rPr>
                <w:rFonts w:eastAsia="Times New Roman"/>
                <w:kern w:val="0"/>
                <w:sz w:val="20"/>
              </w:rPr>
            </w:pPr>
            <w:r w:rsidRPr="007D38C2">
              <w:rPr>
                <w:rFonts w:eastAsia="Times New Roman"/>
                <w:kern w:val="0"/>
                <w:sz w:val="20"/>
              </w:rPr>
              <w:t>2 or more</w:t>
            </w:r>
          </w:p>
        </w:tc>
        <w:tc>
          <w:tcPr>
            <w:tcW w:w="1260" w:type="dxa"/>
            <w:shd w:val="clear" w:color="auto" w:fill="F2DBDB"/>
            <w:noWrap/>
            <w:tcMar>
              <w:top w:w="0" w:type="dxa"/>
              <w:left w:w="108" w:type="dxa"/>
              <w:bottom w:w="0" w:type="dxa"/>
              <w:right w:w="108" w:type="dxa"/>
            </w:tcMar>
          </w:tcPr>
          <w:p w:rsidR="004A147C" w:rsidRPr="007D38C2" w:rsidRDefault="004A147C" w:rsidP="00CE5850">
            <w:pPr>
              <w:snapToGrid w:val="0"/>
              <w:jc w:val="center"/>
              <w:rPr>
                <w:rFonts w:eastAsia="Times New Roman"/>
                <w:kern w:val="0"/>
                <w:sz w:val="20"/>
              </w:rPr>
            </w:pPr>
            <w:r w:rsidRPr="007D38C2">
              <w:rPr>
                <w:rFonts w:eastAsia="Times New Roman"/>
                <w:kern w:val="0"/>
                <w:sz w:val="20"/>
              </w:rPr>
              <w:t>9,615</w:t>
            </w:r>
          </w:p>
        </w:tc>
        <w:tc>
          <w:tcPr>
            <w:tcW w:w="1260" w:type="dxa"/>
            <w:shd w:val="clear" w:color="auto" w:fill="F2DBDB"/>
            <w:noWrap/>
            <w:tcMar>
              <w:top w:w="0" w:type="dxa"/>
              <w:left w:w="108" w:type="dxa"/>
              <w:bottom w:w="0" w:type="dxa"/>
              <w:right w:w="108" w:type="dxa"/>
            </w:tcMar>
          </w:tcPr>
          <w:p w:rsidR="004A147C" w:rsidRPr="007D38C2" w:rsidRDefault="004A147C" w:rsidP="00CE5850">
            <w:pPr>
              <w:snapToGrid w:val="0"/>
              <w:jc w:val="center"/>
              <w:rPr>
                <w:rFonts w:eastAsia="Times New Roman"/>
                <w:kern w:val="0"/>
                <w:sz w:val="20"/>
              </w:rPr>
            </w:pPr>
            <w:r w:rsidRPr="007D38C2">
              <w:rPr>
                <w:rFonts w:eastAsia="Times New Roman"/>
                <w:kern w:val="0"/>
                <w:sz w:val="20"/>
              </w:rPr>
              <w:t>305,402</w:t>
            </w:r>
          </w:p>
        </w:tc>
        <w:tc>
          <w:tcPr>
            <w:tcW w:w="833" w:type="dxa"/>
            <w:shd w:val="clear" w:color="auto" w:fill="F2DBDB"/>
            <w:noWrap/>
            <w:tcMar>
              <w:top w:w="0" w:type="dxa"/>
              <w:left w:w="108" w:type="dxa"/>
              <w:bottom w:w="0" w:type="dxa"/>
              <w:right w:w="108" w:type="dxa"/>
            </w:tcMar>
          </w:tcPr>
          <w:p w:rsidR="004A147C" w:rsidRPr="007D38C2" w:rsidRDefault="004A147C" w:rsidP="00CE5850">
            <w:pPr>
              <w:snapToGrid w:val="0"/>
              <w:jc w:val="center"/>
              <w:rPr>
                <w:rFonts w:eastAsia="Times New Roman"/>
                <w:kern w:val="0"/>
                <w:sz w:val="20"/>
              </w:rPr>
            </w:pPr>
            <w:r w:rsidRPr="007D38C2">
              <w:rPr>
                <w:rFonts w:eastAsia="Times New Roman"/>
                <w:kern w:val="0"/>
                <w:sz w:val="20"/>
              </w:rPr>
              <w:t>99.4%</w:t>
            </w:r>
          </w:p>
        </w:tc>
        <w:tc>
          <w:tcPr>
            <w:tcW w:w="1260" w:type="dxa"/>
            <w:shd w:val="clear" w:color="auto" w:fill="F2DBDB"/>
            <w:noWrap/>
            <w:tcMar>
              <w:top w:w="0" w:type="dxa"/>
              <w:left w:w="108" w:type="dxa"/>
              <w:bottom w:w="0" w:type="dxa"/>
              <w:right w:w="108" w:type="dxa"/>
            </w:tcMar>
          </w:tcPr>
          <w:p w:rsidR="004A147C" w:rsidRPr="007D38C2" w:rsidRDefault="004A147C" w:rsidP="00CE5850">
            <w:pPr>
              <w:snapToGrid w:val="0"/>
              <w:jc w:val="center"/>
              <w:rPr>
                <w:rFonts w:eastAsia="Times New Roman"/>
                <w:kern w:val="0"/>
                <w:sz w:val="20"/>
              </w:rPr>
            </w:pPr>
            <w:r w:rsidRPr="007D38C2">
              <w:rPr>
                <w:rFonts w:eastAsia="Times New Roman"/>
                <w:kern w:val="0"/>
                <w:sz w:val="20"/>
              </w:rPr>
              <w:t>1,956</w:t>
            </w:r>
          </w:p>
        </w:tc>
        <w:tc>
          <w:tcPr>
            <w:tcW w:w="990" w:type="dxa"/>
            <w:shd w:val="clear" w:color="auto" w:fill="F2DBDB"/>
            <w:noWrap/>
            <w:tcMar>
              <w:top w:w="0" w:type="dxa"/>
              <w:left w:w="108" w:type="dxa"/>
              <w:bottom w:w="0" w:type="dxa"/>
              <w:right w:w="108" w:type="dxa"/>
            </w:tcMar>
          </w:tcPr>
          <w:p w:rsidR="004A147C" w:rsidRPr="007D38C2" w:rsidRDefault="004A147C" w:rsidP="00CE5850">
            <w:pPr>
              <w:snapToGrid w:val="0"/>
              <w:jc w:val="center"/>
              <w:rPr>
                <w:rFonts w:eastAsia="Times New Roman"/>
                <w:kern w:val="0"/>
                <w:sz w:val="20"/>
              </w:rPr>
            </w:pPr>
            <w:r w:rsidRPr="007D38C2">
              <w:rPr>
                <w:rFonts w:eastAsia="Times New Roman"/>
                <w:kern w:val="0"/>
                <w:sz w:val="20"/>
              </w:rPr>
              <w:t>80.5%</w:t>
            </w:r>
          </w:p>
        </w:tc>
        <w:tc>
          <w:tcPr>
            <w:tcW w:w="1257" w:type="dxa"/>
            <w:shd w:val="clear" w:color="auto" w:fill="F2DBDB"/>
            <w:tcMar>
              <w:top w:w="0" w:type="dxa"/>
              <w:left w:w="108" w:type="dxa"/>
              <w:bottom w:w="0" w:type="dxa"/>
              <w:right w:w="108" w:type="dxa"/>
            </w:tcMar>
          </w:tcPr>
          <w:p w:rsidR="004A147C" w:rsidRPr="007D38C2" w:rsidRDefault="004A147C" w:rsidP="00CE5850">
            <w:pPr>
              <w:jc w:val="center"/>
              <w:rPr>
                <w:rFonts w:eastAsia="Times New Roman"/>
                <w:kern w:val="0"/>
                <w:sz w:val="20"/>
              </w:rPr>
            </w:pPr>
            <w:r w:rsidRPr="007D38C2">
              <w:rPr>
                <w:rFonts w:eastAsia="Times New Roman"/>
                <w:kern w:val="0"/>
                <w:sz w:val="20"/>
              </w:rPr>
              <w:t>5,426</w:t>
            </w:r>
          </w:p>
        </w:tc>
        <w:tc>
          <w:tcPr>
            <w:tcW w:w="970" w:type="dxa"/>
            <w:shd w:val="clear" w:color="auto" w:fill="F2DBDB"/>
            <w:tcMar>
              <w:top w:w="0" w:type="dxa"/>
              <w:left w:w="108" w:type="dxa"/>
              <w:bottom w:w="0" w:type="dxa"/>
              <w:right w:w="108" w:type="dxa"/>
            </w:tcMar>
          </w:tcPr>
          <w:p w:rsidR="004A147C" w:rsidRPr="007D38C2" w:rsidRDefault="004A147C" w:rsidP="00CE5850">
            <w:pPr>
              <w:jc w:val="center"/>
              <w:rPr>
                <w:rFonts w:eastAsia="Times New Roman"/>
                <w:kern w:val="0"/>
                <w:sz w:val="20"/>
              </w:rPr>
            </w:pPr>
            <w:r w:rsidRPr="007D38C2">
              <w:rPr>
                <w:rFonts w:eastAsia="Times New Roman"/>
                <w:kern w:val="0"/>
                <w:sz w:val="20"/>
              </w:rPr>
              <w:t>92.1%</w:t>
            </w:r>
          </w:p>
        </w:tc>
      </w:tr>
      <w:tr w:rsidR="004A147C" w:rsidRPr="00B53FFB" w:rsidTr="00C918B8">
        <w:trPr>
          <w:trHeight w:val="255"/>
          <w:jc w:val="center"/>
        </w:trPr>
        <w:tc>
          <w:tcPr>
            <w:tcW w:w="1170" w:type="dxa"/>
            <w:shd w:val="clear" w:color="auto" w:fill="F2DBDB"/>
            <w:noWrap/>
            <w:tcMar>
              <w:top w:w="0" w:type="dxa"/>
              <w:left w:w="108" w:type="dxa"/>
              <w:bottom w:w="0" w:type="dxa"/>
              <w:right w:w="108" w:type="dxa"/>
            </w:tcMar>
          </w:tcPr>
          <w:p w:rsidR="004A147C" w:rsidRPr="007D38C2" w:rsidRDefault="004A147C" w:rsidP="00CE5850">
            <w:pPr>
              <w:snapToGrid w:val="0"/>
              <w:rPr>
                <w:rFonts w:eastAsia="Times New Roman"/>
                <w:kern w:val="0"/>
                <w:sz w:val="20"/>
              </w:rPr>
            </w:pPr>
            <w:r w:rsidRPr="007D38C2">
              <w:rPr>
                <w:rFonts w:eastAsia="Times New Roman"/>
                <w:kern w:val="0"/>
                <w:sz w:val="20"/>
              </w:rPr>
              <w:t>3 or more</w:t>
            </w:r>
          </w:p>
        </w:tc>
        <w:tc>
          <w:tcPr>
            <w:tcW w:w="1260" w:type="dxa"/>
            <w:shd w:val="clear" w:color="auto" w:fill="F2DBDB"/>
            <w:noWrap/>
            <w:tcMar>
              <w:top w:w="0" w:type="dxa"/>
              <w:left w:w="108" w:type="dxa"/>
              <w:bottom w:w="0" w:type="dxa"/>
              <w:right w:w="108" w:type="dxa"/>
            </w:tcMar>
          </w:tcPr>
          <w:p w:rsidR="004A147C" w:rsidRPr="007D38C2" w:rsidRDefault="004A147C" w:rsidP="00CE5850">
            <w:pPr>
              <w:snapToGrid w:val="0"/>
              <w:jc w:val="center"/>
              <w:rPr>
                <w:rFonts w:eastAsia="Times New Roman"/>
                <w:kern w:val="0"/>
                <w:sz w:val="20"/>
              </w:rPr>
            </w:pPr>
            <w:r w:rsidRPr="007D38C2">
              <w:rPr>
                <w:rFonts w:eastAsia="Times New Roman"/>
                <w:kern w:val="0"/>
                <w:sz w:val="20"/>
              </w:rPr>
              <w:t>8,862</w:t>
            </w:r>
          </w:p>
        </w:tc>
        <w:tc>
          <w:tcPr>
            <w:tcW w:w="1260" w:type="dxa"/>
            <w:shd w:val="clear" w:color="auto" w:fill="F2DBDB"/>
            <w:noWrap/>
            <w:tcMar>
              <w:top w:w="0" w:type="dxa"/>
              <w:left w:w="108" w:type="dxa"/>
              <w:bottom w:w="0" w:type="dxa"/>
              <w:right w:w="108" w:type="dxa"/>
            </w:tcMar>
          </w:tcPr>
          <w:p w:rsidR="004A147C" w:rsidRPr="007D38C2" w:rsidRDefault="004A147C" w:rsidP="00CE5850">
            <w:pPr>
              <w:snapToGrid w:val="0"/>
              <w:jc w:val="center"/>
              <w:rPr>
                <w:rFonts w:eastAsia="Times New Roman"/>
                <w:kern w:val="0"/>
                <w:sz w:val="20"/>
              </w:rPr>
            </w:pPr>
            <w:r w:rsidRPr="007D38C2">
              <w:rPr>
                <w:rFonts w:eastAsia="Times New Roman"/>
                <w:kern w:val="0"/>
                <w:sz w:val="20"/>
              </w:rPr>
              <w:t>299,415</w:t>
            </w:r>
          </w:p>
        </w:tc>
        <w:tc>
          <w:tcPr>
            <w:tcW w:w="833" w:type="dxa"/>
            <w:shd w:val="clear" w:color="auto" w:fill="F2DBDB"/>
            <w:noWrap/>
            <w:tcMar>
              <w:top w:w="0" w:type="dxa"/>
              <w:left w:w="108" w:type="dxa"/>
              <w:bottom w:w="0" w:type="dxa"/>
              <w:right w:w="108" w:type="dxa"/>
            </w:tcMar>
          </w:tcPr>
          <w:p w:rsidR="004A147C" w:rsidRPr="007D38C2" w:rsidRDefault="004A147C" w:rsidP="00CE5850">
            <w:pPr>
              <w:snapToGrid w:val="0"/>
              <w:jc w:val="center"/>
              <w:rPr>
                <w:rFonts w:eastAsia="Times New Roman"/>
                <w:kern w:val="0"/>
                <w:sz w:val="20"/>
              </w:rPr>
            </w:pPr>
            <w:r w:rsidRPr="007D38C2">
              <w:rPr>
                <w:rFonts w:eastAsia="Times New Roman"/>
                <w:kern w:val="0"/>
                <w:sz w:val="20"/>
              </w:rPr>
              <w:t>97.5%</w:t>
            </w:r>
          </w:p>
        </w:tc>
        <w:tc>
          <w:tcPr>
            <w:tcW w:w="1260" w:type="dxa"/>
            <w:shd w:val="clear" w:color="auto" w:fill="F2DBDB"/>
            <w:noWrap/>
            <w:tcMar>
              <w:top w:w="0" w:type="dxa"/>
              <w:left w:w="108" w:type="dxa"/>
              <w:bottom w:w="0" w:type="dxa"/>
              <w:right w:w="108" w:type="dxa"/>
            </w:tcMar>
          </w:tcPr>
          <w:p w:rsidR="004A147C" w:rsidRPr="007D38C2" w:rsidRDefault="004A147C" w:rsidP="00CE5850">
            <w:pPr>
              <w:snapToGrid w:val="0"/>
              <w:jc w:val="center"/>
              <w:rPr>
                <w:rFonts w:eastAsia="Times New Roman"/>
                <w:kern w:val="0"/>
                <w:sz w:val="20"/>
              </w:rPr>
            </w:pPr>
            <w:r w:rsidRPr="007D38C2">
              <w:rPr>
                <w:rFonts w:eastAsia="Times New Roman"/>
                <w:kern w:val="0"/>
                <w:sz w:val="20"/>
              </w:rPr>
              <w:t>1,501</w:t>
            </w:r>
          </w:p>
        </w:tc>
        <w:tc>
          <w:tcPr>
            <w:tcW w:w="990" w:type="dxa"/>
            <w:shd w:val="clear" w:color="auto" w:fill="F2DBDB"/>
            <w:noWrap/>
            <w:tcMar>
              <w:top w:w="0" w:type="dxa"/>
              <w:left w:w="108" w:type="dxa"/>
              <w:bottom w:w="0" w:type="dxa"/>
              <w:right w:w="108" w:type="dxa"/>
            </w:tcMar>
          </w:tcPr>
          <w:p w:rsidR="004A147C" w:rsidRPr="007D38C2" w:rsidRDefault="004A147C" w:rsidP="00CE5850">
            <w:pPr>
              <w:snapToGrid w:val="0"/>
              <w:jc w:val="center"/>
              <w:rPr>
                <w:rFonts w:eastAsia="Times New Roman"/>
                <w:kern w:val="0"/>
                <w:sz w:val="20"/>
              </w:rPr>
            </w:pPr>
            <w:r w:rsidRPr="007D38C2">
              <w:rPr>
                <w:rFonts w:eastAsia="Times New Roman"/>
                <w:kern w:val="0"/>
                <w:sz w:val="20"/>
              </w:rPr>
              <w:t>61.7%</w:t>
            </w:r>
          </w:p>
        </w:tc>
        <w:tc>
          <w:tcPr>
            <w:tcW w:w="1257" w:type="dxa"/>
            <w:shd w:val="clear" w:color="auto" w:fill="F2DBDB"/>
            <w:tcMar>
              <w:top w:w="0" w:type="dxa"/>
              <w:left w:w="108" w:type="dxa"/>
              <w:bottom w:w="0" w:type="dxa"/>
              <w:right w:w="108" w:type="dxa"/>
            </w:tcMar>
          </w:tcPr>
          <w:p w:rsidR="004A147C" w:rsidRPr="007D38C2" w:rsidRDefault="004A147C" w:rsidP="00CE5850">
            <w:pPr>
              <w:jc w:val="center"/>
              <w:rPr>
                <w:rFonts w:eastAsia="Times New Roman"/>
                <w:kern w:val="0"/>
                <w:sz w:val="20"/>
              </w:rPr>
            </w:pPr>
            <w:r w:rsidRPr="007D38C2">
              <w:rPr>
                <w:rFonts w:eastAsia="Times New Roman"/>
                <w:kern w:val="0"/>
                <w:sz w:val="20"/>
              </w:rPr>
              <w:t>4,607</w:t>
            </w:r>
          </w:p>
        </w:tc>
        <w:tc>
          <w:tcPr>
            <w:tcW w:w="970" w:type="dxa"/>
            <w:shd w:val="clear" w:color="auto" w:fill="F2DBDB"/>
            <w:tcMar>
              <w:top w:w="0" w:type="dxa"/>
              <w:left w:w="108" w:type="dxa"/>
              <w:bottom w:w="0" w:type="dxa"/>
              <w:right w:w="108" w:type="dxa"/>
            </w:tcMar>
          </w:tcPr>
          <w:p w:rsidR="004A147C" w:rsidRPr="007D38C2" w:rsidRDefault="004A147C" w:rsidP="00CE5850">
            <w:pPr>
              <w:jc w:val="center"/>
              <w:rPr>
                <w:rFonts w:eastAsia="Times New Roman"/>
                <w:kern w:val="0"/>
                <w:sz w:val="20"/>
              </w:rPr>
            </w:pPr>
            <w:r w:rsidRPr="007D38C2">
              <w:rPr>
                <w:rFonts w:eastAsia="Times New Roman"/>
                <w:kern w:val="0"/>
                <w:sz w:val="20"/>
              </w:rPr>
              <w:t>78.2%</w:t>
            </w:r>
          </w:p>
        </w:tc>
      </w:tr>
      <w:tr w:rsidR="004A147C" w:rsidRPr="00B53FFB" w:rsidTr="00C918B8">
        <w:trPr>
          <w:trHeight w:val="255"/>
          <w:jc w:val="center"/>
        </w:trPr>
        <w:tc>
          <w:tcPr>
            <w:tcW w:w="1170" w:type="dxa"/>
            <w:shd w:val="clear" w:color="auto" w:fill="F2DBDB"/>
            <w:noWrap/>
            <w:tcMar>
              <w:top w:w="0" w:type="dxa"/>
              <w:left w:w="108" w:type="dxa"/>
              <w:bottom w:w="0" w:type="dxa"/>
              <w:right w:w="108" w:type="dxa"/>
            </w:tcMar>
          </w:tcPr>
          <w:p w:rsidR="004A147C" w:rsidRPr="007D38C2" w:rsidRDefault="004A147C" w:rsidP="00CE5850">
            <w:pPr>
              <w:snapToGrid w:val="0"/>
              <w:rPr>
                <w:rFonts w:eastAsia="Times New Roman"/>
                <w:kern w:val="0"/>
                <w:sz w:val="20"/>
              </w:rPr>
            </w:pPr>
            <w:r w:rsidRPr="007D38C2">
              <w:rPr>
                <w:rFonts w:eastAsia="Times New Roman"/>
                <w:kern w:val="0"/>
                <w:sz w:val="20"/>
              </w:rPr>
              <w:t>4 or more</w:t>
            </w:r>
          </w:p>
        </w:tc>
        <w:tc>
          <w:tcPr>
            <w:tcW w:w="1260" w:type="dxa"/>
            <w:shd w:val="clear" w:color="auto" w:fill="F2DBDB"/>
            <w:noWrap/>
            <w:tcMar>
              <w:top w:w="0" w:type="dxa"/>
              <w:left w:w="108" w:type="dxa"/>
              <w:bottom w:w="0" w:type="dxa"/>
              <w:right w:w="108" w:type="dxa"/>
            </w:tcMar>
          </w:tcPr>
          <w:p w:rsidR="004A147C" w:rsidRPr="007D38C2" w:rsidRDefault="004A147C" w:rsidP="00CE5850">
            <w:pPr>
              <w:snapToGrid w:val="0"/>
              <w:jc w:val="center"/>
              <w:rPr>
                <w:rFonts w:eastAsia="Times New Roman"/>
                <w:kern w:val="0"/>
                <w:sz w:val="20"/>
              </w:rPr>
            </w:pPr>
            <w:r w:rsidRPr="007D38C2">
              <w:rPr>
                <w:rFonts w:eastAsia="Times New Roman"/>
                <w:kern w:val="0"/>
                <w:sz w:val="20"/>
              </w:rPr>
              <w:t>7,727</w:t>
            </w:r>
          </w:p>
        </w:tc>
        <w:tc>
          <w:tcPr>
            <w:tcW w:w="1260" w:type="dxa"/>
            <w:shd w:val="clear" w:color="auto" w:fill="F2DBDB"/>
            <w:noWrap/>
            <w:tcMar>
              <w:top w:w="0" w:type="dxa"/>
              <w:left w:w="108" w:type="dxa"/>
              <w:bottom w:w="0" w:type="dxa"/>
              <w:right w:w="108" w:type="dxa"/>
            </w:tcMar>
          </w:tcPr>
          <w:p w:rsidR="004A147C" w:rsidRPr="007D38C2" w:rsidRDefault="004A147C" w:rsidP="00CE5850">
            <w:pPr>
              <w:snapToGrid w:val="0"/>
              <w:jc w:val="center"/>
              <w:rPr>
                <w:rFonts w:eastAsia="Times New Roman"/>
                <w:kern w:val="0"/>
                <w:sz w:val="20"/>
              </w:rPr>
            </w:pPr>
            <w:r w:rsidRPr="007D38C2">
              <w:rPr>
                <w:rFonts w:eastAsia="Times New Roman"/>
                <w:kern w:val="0"/>
                <w:sz w:val="20"/>
              </w:rPr>
              <w:t>286,659</w:t>
            </w:r>
          </w:p>
        </w:tc>
        <w:tc>
          <w:tcPr>
            <w:tcW w:w="833" w:type="dxa"/>
            <w:shd w:val="clear" w:color="auto" w:fill="F2DBDB"/>
            <w:noWrap/>
            <w:tcMar>
              <w:top w:w="0" w:type="dxa"/>
              <w:left w:w="108" w:type="dxa"/>
              <w:bottom w:w="0" w:type="dxa"/>
              <w:right w:w="108" w:type="dxa"/>
            </w:tcMar>
          </w:tcPr>
          <w:p w:rsidR="004A147C" w:rsidRPr="007D38C2" w:rsidRDefault="004A147C" w:rsidP="00CE5850">
            <w:pPr>
              <w:snapToGrid w:val="0"/>
              <w:jc w:val="center"/>
              <w:rPr>
                <w:rFonts w:eastAsia="Times New Roman"/>
                <w:kern w:val="0"/>
                <w:sz w:val="20"/>
              </w:rPr>
            </w:pPr>
            <w:r w:rsidRPr="007D38C2">
              <w:rPr>
                <w:rFonts w:eastAsia="Times New Roman"/>
                <w:kern w:val="0"/>
                <w:sz w:val="20"/>
              </w:rPr>
              <w:t>93.3%</w:t>
            </w:r>
          </w:p>
        </w:tc>
        <w:tc>
          <w:tcPr>
            <w:tcW w:w="1260" w:type="dxa"/>
            <w:shd w:val="clear" w:color="auto" w:fill="F2DBDB"/>
            <w:noWrap/>
            <w:tcMar>
              <w:top w:w="0" w:type="dxa"/>
              <w:left w:w="108" w:type="dxa"/>
              <w:bottom w:w="0" w:type="dxa"/>
              <w:right w:w="108" w:type="dxa"/>
            </w:tcMar>
          </w:tcPr>
          <w:p w:rsidR="004A147C" w:rsidRPr="007D38C2" w:rsidRDefault="004A147C" w:rsidP="00CE5850">
            <w:pPr>
              <w:snapToGrid w:val="0"/>
              <w:jc w:val="center"/>
              <w:rPr>
                <w:rFonts w:eastAsia="Times New Roman"/>
                <w:kern w:val="0"/>
                <w:sz w:val="20"/>
              </w:rPr>
            </w:pPr>
            <w:r w:rsidRPr="007D38C2">
              <w:rPr>
                <w:rFonts w:eastAsia="Times New Roman"/>
                <w:kern w:val="0"/>
                <w:sz w:val="20"/>
              </w:rPr>
              <w:t>1,029</w:t>
            </w:r>
          </w:p>
        </w:tc>
        <w:tc>
          <w:tcPr>
            <w:tcW w:w="990" w:type="dxa"/>
            <w:shd w:val="clear" w:color="auto" w:fill="F2DBDB"/>
            <w:noWrap/>
            <w:tcMar>
              <w:top w:w="0" w:type="dxa"/>
              <w:left w:w="108" w:type="dxa"/>
              <w:bottom w:w="0" w:type="dxa"/>
              <w:right w:w="108" w:type="dxa"/>
            </w:tcMar>
          </w:tcPr>
          <w:p w:rsidR="004A147C" w:rsidRPr="007D38C2" w:rsidRDefault="004A147C" w:rsidP="00CE5850">
            <w:pPr>
              <w:snapToGrid w:val="0"/>
              <w:jc w:val="center"/>
              <w:rPr>
                <w:rFonts w:eastAsia="Times New Roman"/>
                <w:kern w:val="0"/>
                <w:sz w:val="20"/>
              </w:rPr>
            </w:pPr>
            <w:r w:rsidRPr="007D38C2">
              <w:rPr>
                <w:rFonts w:eastAsia="Times New Roman"/>
                <w:kern w:val="0"/>
                <w:sz w:val="20"/>
              </w:rPr>
              <w:t>42.3%</w:t>
            </w:r>
          </w:p>
        </w:tc>
        <w:tc>
          <w:tcPr>
            <w:tcW w:w="1257" w:type="dxa"/>
            <w:shd w:val="clear" w:color="auto" w:fill="F2DBDB"/>
            <w:tcMar>
              <w:top w:w="0" w:type="dxa"/>
              <w:left w:w="108" w:type="dxa"/>
              <w:bottom w:w="0" w:type="dxa"/>
              <w:right w:w="108" w:type="dxa"/>
            </w:tcMar>
          </w:tcPr>
          <w:p w:rsidR="004A147C" w:rsidRPr="007D38C2" w:rsidRDefault="004A147C" w:rsidP="00CE5850">
            <w:pPr>
              <w:jc w:val="center"/>
              <w:rPr>
                <w:rFonts w:eastAsia="Times New Roman"/>
                <w:kern w:val="0"/>
                <w:sz w:val="20"/>
              </w:rPr>
            </w:pPr>
            <w:r w:rsidRPr="007D38C2">
              <w:rPr>
                <w:rFonts w:eastAsia="Times New Roman"/>
                <w:kern w:val="0"/>
                <w:sz w:val="20"/>
              </w:rPr>
              <w:t>3,616</w:t>
            </w:r>
          </w:p>
        </w:tc>
        <w:tc>
          <w:tcPr>
            <w:tcW w:w="970" w:type="dxa"/>
            <w:shd w:val="clear" w:color="auto" w:fill="F2DBDB"/>
            <w:tcMar>
              <w:top w:w="0" w:type="dxa"/>
              <w:left w:w="108" w:type="dxa"/>
              <w:bottom w:w="0" w:type="dxa"/>
              <w:right w:w="108" w:type="dxa"/>
            </w:tcMar>
          </w:tcPr>
          <w:p w:rsidR="004A147C" w:rsidRPr="007D38C2" w:rsidRDefault="004A147C" w:rsidP="00CE5850">
            <w:pPr>
              <w:jc w:val="center"/>
              <w:rPr>
                <w:rFonts w:eastAsia="Times New Roman"/>
                <w:kern w:val="0"/>
                <w:sz w:val="20"/>
              </w:rPr>
            </w:pPr>
            <w:r w:rsidRPr="007D38C2">
              <w:rPr>
                <w:rFonts w:eastAsia="Times New Roman"/>
                <w:kern w:val="0"/>
                <w:sz w:val="20"/>
              </w:rPr>
              <w:t>61.4%</w:t>
            </w:r>
          </w:p>
        </w:tc>
      </w:tr>
      <w:tr w:rsidR="004A147C" w:rsidRPr="00B53FFB" w:rsidTr="00C918B8">
        <w:trPr>
          <w:trHeight w:val="255"/>
          <w:jc w:val="center"/>
        </w:trPr>
        <w:tc>
          <w:tcPr>
            <w:tcW w:w="1170" w:type="dxa"/>
            <w:shd w:val="clear" w:color="auto" w:fill="F2DBDB"/>
            <w:noWrap/>
            <w:tcMar>
              <w:top w:w="0" w:type="dxa"/>
              <w:left w:w="108" w:type="dxa"/>
              <w:bottom w:w="0" w:type="dxa"/>
              <w:right w:w="108" w:type="dxa"/>
            </w:tcMar>
          </w:tcPr>
          <w:p w:rsidR="004A147C" w:rsidRPr="007D38C2" w:rsidRDefault="004A147C" w:rsidP="00CE5850">
            <w:pPr>
              <w:snapToGrid w:val="0"/>
              <w:rPr>
                <w:rFonts w:eastAsia="Times New Roman"/>
                <w:kern w:val="0"/>
                <w:sz w:val="20"/>
              </w:rPr>
            </w:pPr>
            <w:r w:rsidRPr="007D38C2">
              <w:rPr>
                <w:rFonts w:eastAsia="Times New Roman"/>
                <w:kern w:val="0"/>
                <w:sz w:val="20"/>
              </w:rPr>
              <w:t>5 or more</w:t>
            </w:r>
          </w:p>
        </w:tc>
        <w:tc>
          <w:tcPr>
            <w:tcW w:w="1260" w:type="dxa"/>
            <w:shd w:val="clear" w:color="auto" w:fill="F2DBDB"/>
            <w:noWrap/>
            <w:tcMar>
              <w:top w:w="0" w:type="dxa"/>
              <w:left w:w="108" w:type="dxa"/>
              <w:bottom w:w="0" w:type="dxa"/>
              <w:right w:w="108" w:type="dxa"/>
            </w:tcMar>
          </w:tcPr>
          <w:p w:rsidR="004A147C" w:rsidRPr="007D38C2" w:rsidRDefault="004A147C" w:rsidP="00CE5850">
            <w:pPr>
              <w:snapToGrid w:val="0"/>
              <w:jc w:val="center"/>
              <w:rPr>
                <w:rFonts w:eastAsia="Times New Roman"/>
                <w:kern w:val="0"/>
                <w:sz w:val="20"/>
              </w:rPr>
            </w:pPr>
            <w:r w:rsidRPr="007D38C2">
              <w:rPr>
                <w:rFonts w:eastAsia="Times New Roman"/>
                <w:kern w:val="0"/>
                <w:sz w:val="20"/>
              </w:rPr>
              <w:t>5,696</w:t>
            </w:r>
          </w:p>
        </w:tc>
        <w:tc>
          <w:tcPr>
            <w:tcW w:w="1260" w:type="dxa"/>
            <w:shd w:val="clear" w:color="auto" w:fill="F2DBDB"/>
            <w:noWrap/>
            <w:tcMar>
              <w:top w:w="0" w:type="dxa"/>
              <w:left w:w="108" w:type="dxa"/>
              <w:bottom w:w="0" w:type="dxa"/>
              <w:right w:w="108" w:type="dxa"/>
            </w:tcMar>
          </w:tcPr>
          <w:p w:rsidR="004A147C" w:rsidRPr="007D38C2" w:rsidRDefault="004A147C" w:rsidP="00CE5850">
            <w:pPr>
              <w:snapToGrid w:val="0"/>
              <w:jc w:val="center"/>
              <w:rPr>
                <w:rFonts w:eastAsia="Times New Roman"/>
                <w:kern w:val="0"/>
                <w:sz w:val="20"/>
              </w:rPr>
            </w:pPr>
            <w:r w:rsidRPr="007D38C2">
              <w:rPr>
                <w:rFonts w:eastAsia="Times New Roman"/>
                <w:kern w:val="0"/>
                <w:sz w:val="20"/>
              </w:rPr>
              <w:t>246,015</w:t>
            </w:r>
          </w:p>
        </w:tc>
        <w:tc>
          <w:tcPr>
            <w:tcW w:w="833" w:type="dxa"/>
            <w:shd w:val="clear" w:color="auto" w:fill="F2DBDB"/>
            <w:noWrap/>
            <w:tcMar>
              <w:top w:w="0" w:type="dxa"/>
              <w:left w:w="108" w:type="dxa"/>
              <w:bottom w:w="0" w:type="dxa"/>
              <w:right w:w="108" w:type="dxa"/>
            </w:tcMar>
          </w:tcPr>
          <w:p w:rsidR="004A147C" w:rsidRPr="007D38C2" w:rsidRDefault="004A147C" w:rsidP="00CE5850">
            <w:pPr>
              <w:snapToGrid w:val="0"/>
              <w:jc w:val="center"/>
              <w:rPr>
                <w:rFonts w:eastAsia="Times New Roman"/>
                <w:kern w:val="0"/>
                <w:sz w:val="20"/>
              </w:rPr>
            </w:pPr>
            <w:r w:rsidRPr="007D38C2">
              <w:rPr>
                <w:rFonts w:eastAsia="Times New Roman"/>
                <w:kern w:val="0"/>
                <w:sz w:val="20"/>
              </w:rPr>
              <w:t>80.1%</w:t>
            </w:r>
          </w:p>
        </w:tc>
        <w:tc>
          <w:tcPr>
            <w:tcW w:w="1260" w:type="dxa"/>
            <w:shd w:val="clear" w:color="auto" w:fill="F2DBDB"/>
            <w:noWrap/>
            <w:tcMar>
              <w:top w:w="0" w:type="dxa"/>
              <w:left w:w="108" w:type="dxa"/>
              <w:bottom w:w="0" w:type="dxa"/>
              <w:right w:w="108" w:type="dxa"/>
            </w:tcMar>
          </w:tcPr>
          <w:p w:rsidR="004A147C" w:rsidRPr="007D38C2" w:rsidRDefault="004A147C" w:rsidP="00CE5850">
            <w:pPr>
              <w:snapToGrid w:val="0"/>
              <w:jc w:val="center"/>
              <w:rPr>
                <w:rFonts w:eastAsia="Times New Roman"/>
                <w:kern w:val="0"/>
                <w:sz w:val="20"/>
              </w:rPr>
            </w:pPr>
            <w:r w:rsidRPr="007D38C2">
              <w:rPr>
                <w:rFonts w:eastAsia="Times New Roman"/>
                <w:kern w:val="0"/>
                <w:sz w:val="20"/>
              </w:rPr>
              <w:t>542</w:t>
            </w:r>
          </w:p>
        </w:tc>
        <w:tc>
          <w:tcPr>
            <w:tcW w:w="990" w:type="dxa"/>
            <w:shd w:val="clear" w:color="auto" w:fill="F2DBDB"/>
            <w:noWrap/>
            <w:tcMar>
              <w:top w:w="0" w:type="dxa"/>
              <w:left w:w="108" w:type="dxa"/>
              <w:bottom w:w="0" w:type="dxa"/>
              <w:right w:w="108" w:type="dxa"/>
            </w:tcMar>
          </w:tcPr>
          <w:p w:rsidR="004A147C" w:rsidRPr="007D38C2" w:rsidRDefault="004A147C" w:rsidP="00CE5850">
            <w:pPr>
              <w:snapToGrid w:val="0"/>
              <w:jc w:val="center"/>
              <w:rPr>
                <w:rFonts w:eastAsia="Times New Roman"/>
                <w:kern w:val="0"/>
                <w:sz w:val="20"/>
              </w:rPr>
            </w:pPr>
            <w:r w:rsidRPr="007D38C2">
              <w:rPr>
                <w:rFonts w:eastAsia="Times New Roman"/>
                <w:kern w:val="0"/>
                <w:sz w:val="20"/>
              </w:rPr>
              <w:t>22.3%</w:t>
            </w:r>
          </w:p>
        </w:tc>
        <w:tc>
          <w:tcPr>
            <w:tcW w:w="1257" w:type="dxa"/>
            <w:shd w:val="clear" w:color="auto" w:fill="F2DBDB"/>
            <w:tcMar>
              <w:top w:w="0" w:type="dxa"/>
              <w:left w:w="108" w:type="dxa"/>
              <w:bottom w:w="0" w:type="dxa"/>
              <w:right w:w="108" w:type="dxa"/>
            </w:tcMar>
          </w:tcPr>
          <w:p w:rsidR="004A147C" w:rsidRPr="007D38C2" w:rsidRDefault="004A147C" w:rsidP="00CE5850">
            <w:pPr>
              <w:jc w:val="center"/>
              <w:rPr>
                <w:rFonts w:eastAsia="Times New Roman"/>
                <w:kern w:val="0"/>
                <w:sz w:val="20"/>
              </w:rPr>
            </w:pPr>
            <w:r w:rsidRPr="007D38C2">
              <w:rPr>
                <w:rFonts w:eastAsia="Times New Roman"/>
                <w:kern w:val="0"/>
                <w:sz w:val="20"/>
              </w:rPr>
              <w:t>2,293</w:t>
            </w:r>
          </w:p>
        </w:tc>
        <w:tc>
          <w:tcPr>
            <w:tcW w:w="970" w:type="dxa"/>
            <w:shd w:val="clear" w:color="auto" w:fill="F2DBDB"/>
            <w:tcMar>
              <w:top w:w="0" w:type="dxa"/>
              <w:left w:w="108" w:type="dxa"/>
              <w:bottom w:w="0" w:type="dxa"/>
              <w:right w:w="108" w:type="dxa"/>
            </w:tcMar>
          </w:tcPr>
          <w:p w:rsidR="004A147C" w:rsidRPr="007D38C2" w:rsidRDefault="004A147C" w:rsidP="00CE5850">
            <w:pPr>
              <w:jc w:val="center"/>
              <w:rPr>
                <w:rFonts w:eastAsia="Times New Roman"/>
                <w:kern w:val="0"/>
                <w:sz w:val="20"/>
              </w:rPr>
            </w:pPr>
            <w:r w:rsidRPr="007D38C2">
              <w:rPr>
                <w:rFonts w:eastAsia="Times New Roman"/>
                <w:kern w:val="0"/>
                <w:sz w:val="20"/>
              </w:rPr>
              <w:t>38.9%</w:t>
            </w:r>
          </w:p>
        </w:tc>
      </w:tr>
    </w:tbl>
    <w:p w:rsidR="004A147C" w:rsidRDefault="004A147C" w:rsidP="00CE5850">
      <w:pPr>
        <w:rPr>
          <w:b/>
        </w:rPr>
      </w:pPr>
    </w:p>
    <w:p w:rsidR="004A147C" w:rsidRDefault="004A147C" w:rsidP="00CE5850">
      <w:pPr>
        <w:jc w:val="center"/>
        <w:rPr>
          <w:b/>
        </w:rPr>
      </w:pPr>
    </w:p>
    <w:p w:rsidR="00BD4B26" w:rsidRDefault="00BD4B26" w:rsidP="00CE5850">
      <w:pPr>
        <w:jc w:val="center"/>
        <w:rPr>
          <w:b/>
        </w:rPr>
      </w:pPr>
    </w:p>
    <w:p w:rsidR="00BD4B26" w:rsidRDefault="00BD4B26" w:rsidP="00CE5850">
      <w:pPr>
        <w:jc w:val="center"/>
        <w:rPr>
          <w:b/>
        </w:rPr>
      </w:pPr>
    </w:p>
    <w:p w:rsidR="00BD4B26" w:rsidRDefault="00BD4B26" w:rsidP="00CE5850">
      <w:pPr>
        <w:jc w:val="center"/>
        <w:rPr>
          <w:b/>
        </w:rPr>
      </w:pPr>
    </w:p>
    <w:p w:rsidR="00BD4B26" w:rsidRDefault="00BD4B26" w:rsidP="00CE5850">
      <w:pPr>
        <w:jc w:val="center"/>
        <w:rPr>
          <w:b/>
        </w:rPr>
      </w:pPr>
    </w:p>
    <w:p w:rsidR="00BD4B26" w:rsidRDefault="00BD4B26" w:rsidP="00CE5850">
      <w:pPr>
        <w:jc w:val="center"/>
        <w:rPr>
          <w:b/>
        </w:rPr>
      </w:pPr>
    </w:p>
    <w:p w:rsidR="00BD4B26" w:rsidRDefault="00BD4B26" w:rsidP="00CE5850">
      <w:pPr>
        <w:jc w:val="center"/>
        <w:rPr>
          <w:b/>
        </w:rPr>
      </w:pPr>
    </w:p>
    <w:p w:rsidR="00BD4B26" w:rsidRDefault="00BD4B26" w:rsidP="00CE5850">
      <w:pPr>
        <w:jc w:val="center"/>
        <w:rPr>
          <w:b/>
        </w:rPr>
      </w:pPr>
    </w:p>
    <w:p w:rsidR="004A147C" w:rsidRPr="001170B2" w:rsidRDefault="004A147C" w:rsidP="00CE5850">
      <w:pPr>
        <w:jc w:val="center"/>
        <w:rPr>
          <w:b/>
          <w:szCs w:val="22"/>
        </w:rPr>
      </w:pPr>
      <w:bookmarkStart w:id="934" w:name="_Ref342659112"/>
      <w:r w:rsidRPr="001170B2">
        <w:rPr>
          <w:b/>
        </w:rPr>
        <w:lastRenderedPageBreak/>
        <w:t xml:space="preserve">Table </w:t>
      </w:r>
      <w:r w:rsidR="0007014B" w:rsidRPr="001170B2">
        <w:rPr>
          <w:b/>
        </w:rPr>
        <w:fldChar w:fldCharType="begin"/>
      </w:r>
      <w:r w:rsidRPr="001170B2">
        <w:rPr>
          <w:b/>
        </w:rPr>
        <w:instrText xml:space="preserve"> SEQ Table \* ARABIC </w:instrText>
      </w:r>
      <w:r w:rsidR="0007014B" w:rsidRPr="001170B2">
        <w:rPr>
          <w:b/>
        </w:rPr>
        <w:fldChar w:fldCharType="separate"/>
      </w:r>
      <w:r w:rsidR="00CA3AC6">
        <w:rPr>
          <w:b/>
          <w:noProof/>
        </w:rPr>
        <w:t>7</w:t>
      </w:r>
      <w:r w:rsidR="0007014B" w:rsidRPr="001170B2">
        <w:rPr>
          <w:b/>
        </w:rPr>
        <w:fldChar w:fldCharType="end"/>
      </w:r>
      <w:bookmarkEnd w:id="934"/>
      <w:r w:rsidRPr="001170B2">
        <w:rPr>
          <w:b/>
        </w:rPr>
        <w:br/>
      </w:r>
      <w:r w:rsidRPr="001170B2">
        <w:rPr>
          <w:b/>
          <w:szCs w:val="22"/>
        </w:rPr>
        <w:t xml:space="preserve">Estimated Mobile Wireless Coverage by Census Block, </w:t>
      </w:r>
      <w:r w:rsidRPr="00A60678">
        <w:rPr>
          <w:b/>
          <w:i/>
          <w:szCs w:val="22"/>
        </w:rPr>
        <w:t>Excluding Federal Land</w:t>
      </w:r>
      <w:r w:rsidRPr="001170B2">
        <w:rPr>
          <w:b/>
          <w:szCs w:val="22"/>
        </w:rPr>
        <w:t xml:space="preserve">, </w:t>
      </w:r>
      <w:r>
        <w:rPr>
          <w:b/>
          <w:szCs w:val="22"/>
        </w:rPr>
        <w:t>Oct</w:t>
      </w:r>
      <w:r w:rsidRPr="001170B2">
        <w:rPr>
          <w:b/>
          <w:szCs w:val="22"/>
        </w:rPr>
        <w:t xml:space="preserve"> 2012</w:t>
      </w:r>
      <w:r w:rsidRPr="001170B2">
        <w:rPr>
          <w:rStyle w:val="FootnoteReference"/>
          <w:b/>
          <w:szCs w:val="22"/>
        </w:rPr>
        <w:footnoteReference w:id="155"/>
      </w:r>
    </w:p>
    <w:tbl>
      <w:tblPr>
        <w:tblW w:w="9000" w:type="dxa"/>
        <w:jc w:val="center"/>
        <w:tblInd w:w="426"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0" w:type="dxa"/>
          <w:right w:w="0" w:type="dxa"/>
        </w:tblCellMar>
        <w:tblLook w:val="00A0" w:firstRow="1" w:lastRow="0" w:firstColumn="1" w:lastColumn="0" w:noHBand="0" w:noVBand="0"/>
      </w:tblPr>
      <w:tblGrid>
        <w:gridCol w:w="1170"/>
        <w:gridCol w:w="1260"/>
        <w:gridCol w:w="1284"/>
        <w:gridCol w:w="895"/>
        <w:gridCol w:w="1284"/>
        <w:gridCol w:w="990"/>
        <w:gridCol w:w="1284"/>
        <w:gridCol w:w="833"/>
      </w:tblGrid>
      <w:tr w:rsidR="004A147C" w:rsidRPr="00B53FFB" w:rsidTr="001170B2">
        <w:trPr>
          <w:trHeight w:val="765"/>
          <w:jc w:val="center"/>
        </w:trPr>
        <w:tc>
          <w:tcPr>
            <w:tcW w:w="1170" w:type="dxa"/>
            <w:shd w:val="clear" w:color="auto" w:fill="F2DBDB"/>
            <w:tcMar>
              <w:top w:w="0" w:type="dxa"/>
              <w:left w:w="108" w:type="dxa"/>
              <w:bottom w:w="0" w:type="dxa"/>
              <w:right w:w="108" w:type="dxa"/>
            </w:tcMar>
          </w:tcPr>
          <w:p w:rsidR="004A147C" w:rsidRPr="007D38C2" w:rsidRDefault="004A147C" w:rsidP="00CE5850">
            <w:pPr>
              <w:snapToGrid w:val="0"/>
              <w:jc w:val="center"/>
              <w:rPr>
                <w:rFonts w:eastAsia="Times New Roman"/>
                <w:b/>
                <w:bCs/>
                <w:kern w:val="0"/>
                <w:sz w:val="20"/>
              </w:rPr>
            </w:pPr>
            <w:r w:rsidRPr="007D38C2">
              <w:rPr>
                <w:rFonts w:eastAsia="Times New Roman"/>
                <w:b/>
                <w:bCs/>
                <w:kern w:val="0"/>
                <w:sz w:val="20"/>
              </w:rPr>
              <w:t>Number of Providers with Coverage in a Block</w:t>
            </w:r>
          </w:p>
        </w:tc>
        <w:tc>
          <w:tcPr>
            <w:tcW w:w="1260" w:type="dxa"/>
            <w:shd w:val="clear" w:color="auto" w:fill="F2DBDB"/>
            <w:tcMar>
              <w:top w:w="0" w:type="dxa"/>
              <w:left w:w="108" w:type="dxa"/>
              <w:bottom w:w="0" w:type="dxa"/>
              <w:right w:w="108" w:type="dxa"/>
            </w:tcMar>
          </w:tcPr>
          <w:p w:rsidR="004A147C" w:rsidRPr="007D38C2" w:rsidRDefault="004A147C" w:rsidP="00CE5850">
            <w:pPr>
              <w:snapToGrid w:val="0"/>
              <w:jc w:val="center"/>
              <w:rPr>
                <w:rFonts w:eastAsia="Times New Roman"/>
                <w:b/>
                <w:bCs/>
                <w:kern w:val="0"/>
                <w:sz w:val="20"/>
              </w:rPr>
            </w:pPr>
            <w:r w:rsidRPr="007D38C2">
              <w:rPr>
                <w:rFonts w:eastAsia="Times New Roman"/>
                <w:b/>
                <w:bCs/>
                <w:kern w:val="0"/>
                <w:sz w:val="20"/>
              </w:rPr>
              <w:t xml:space="preserve">Number </w:t>
            </w:r>
          </w:p>
          <w:p w:rsidR="004A147C" w:rsidRPr="007D38C2" w:rsidRDefault="004A147C" w:rsidP="00CE5850">
            <w:pPr>
              <w:snapToGrid w:val="0"/>
              <w:jc w:val="center"/>
              <w:rPr>
                <w:rFonts w:eastAsia="Times New Roman"/>
                <w:b/>
                <w:bCs/>
                <w:kern w:val="0"/>
                <w:sz w:val="20"/>
              </w:rPr>
            </w:pPr>
            <w:r w:rsidRPr="007D38C2">
              <w:rPr>
                <w:rFonts w:eastAsia="Times New Roman"/>
                <w:b/>
                <w:bCs/>
                <w:kern w:val="0"/>
                <w:sz w:val="20"/>
              </w:rPr>
              <w:t>of Blocks</w:t>
            </w:r>
          </w:p>
          <w:p w:rsidR="004A147C" w:rsidRPr="007D38C2" w:rsidRDefault="004A147C" w:rsidP="00CE5850">
            <w:pPr>
              <w:snapToGrid w:val="0"/>
              <w:jc w:val="center"/>
              <w:rPr>
                <w:rFonts w:eastAsia="Times New Roman"/>
                <w:b/>
                <w:bCs/>
                <w:kern w:val="0"/>
                <w:sz w:val="20"/>
              </w:rPr>
            </w:pPr>
            <w:r w:rsidRPr="007D38C2">
              <w:rPr>
                <w:rFonts w:eastAsia="Times New Roman"/>
                <w:b/>
                <w:bCs/>
                <w:kern w:val="0"/>
                <w:sz w:val="20"/>
              </w:rPr>
              <w:t>(thousands)</w:t>
            </w:r>
          </w:p>
        </w:tc>
        <w:tc>
          <w:tcPr>
            <w:tcW w:w="1260" w:type="dxa"/>
            <w:shd w:val="clear" w:color="auto" w:fill="F2DBDB"/>
            <w:tcMar>
              <w:top w:w="0" w:type="dxa"/>
              <w:left w:w="108" w:type="dxa"/>
              <w:bottom w:w="0" w:type="dxa"/>
              <w:right w:w="108" w:type="dxa"/>
            </w:tcMar>
          </w:tcPr>
          <w:p w:rsidR="004A147C" w:rsidRPr="007D38C2" w:rsidRDefault="004A147C" w:rsidP="00CE5850">
            <w:pPr>
              <w:snapToGrid w:val="0"/>
              <w:jc w:val="center"/>
              <w:rPr>
                <w:rFonts w:eastAsia="Times New Roman"/>
                <w:b/>
                <w:bCs/>
                <w:kern w:val="0"/>
                <w:sz w:val="20"/>
              </w:rPr>
            </w:pPr>
            <w:r w:rsidRPr="007D38C2">
              <w:rPr>
                <w:rFonts w:eastAsia="Times New Roman"/>
                <w:b/>
                <w:bCs/>
                <w:kern w:val="0"/>
                <w:sz w:val="20"/>
              </w:rPr>
              <w:t>POPs Contained in Those Blocks</w:t>
            </w:r>
          </w:p>
          <w:p w:rsidR="004A147C" w:rsidRPr="007D38C2" w:rsidRDefault="004A147C" w:rsidP="00CE5850">
            <w:pPr>
              <w:snapToGrid w:val="0"/>
              <w:jc w:val="center"/>
              <w:rPr>
                <w:rFonts w:eastAsia="Times New Roman"/>
                <w:b/>
                <w:bCs/>
                <w:kern w:val="0"/>
                <w:sz w:val="20"/>
              </w:rPr>
            </w:pPr>
            <w:r w:rsidRPr="007D38C2">
              <w:rPr>
                <w:rFonts w:eastAsia="Times New Roman"/>
                <w:b/>
                <w:bCs/>
                <w:kern w:val="0"/>
                <w:sz w:val="20"/>
              </w:rPr>
              <w:t>(</w:t>
            </w:r>
            <w:r>
              <w:rPr>
                <w:rFonts w:eastAsia="Times New Roman"/>
                <w:b/>
                <w:bCs/>
                <w:kern w:val="0"/>
                <w:sz w:val="20"/>
              </w:rPr>
              <w:t>T</w:t>
            </w:r>
            <w:r w:rsidRPr="007D38C2">
              <w:rPr>
                <w:rFonts w:eastAsia="Times New Roman"/>
                <w:b/>
                <w:bCs/>
                <w:kern w:val="0"/>
                <w:sz w:val="20"/>
              </w:rPr>
              <w:t>housands)</w:t>
            </w:r>
          </w:p>
        </w:tc>
        <w:tc>
          <w:tcPr>
            <w:tcW w:w="895" w:type="dxa"/>
            <w:shd w:val="clear" w:color="auto" w:fill="F2DBDB"/>
            <w:tcMar>
              <w:top w:w="0" w:type="dxa"/>
              <w:left w:w="108" w:type="dxa"/>
              <w:bottom w:w="0" w:type="dxa"/>
              <w:right w:w="108" w:type="dxa"/>
            </w:tcMar>
          </w:tcPr>
          <w:p w:rsidR="004A147C" w:rsidRPr="007D38C2" w:rsidRDefault="004A147C" w:rsidP="00CE5850">
            <w:pPr>
              <w:snapToGrid w:val="0"/>
              <w:jc w:val="center"/>
              <w:rPr>
                <w:rFonts w:eastAsia="Times New Roman"/>
                <w:b/>
                <w:bCs/>
                <w:kern w:val="0"/>
                <w:sz w:val="20"/>
              </w:rPr>
            </w:pPr>
            <w:r w:rsidRPr="007D38C2">
              <w:rPr>
                <w:rFonts w:eastAsia="Times New Roman"/>
                <w:b/>
                <w:bCs/>
                <w:kern w:val="0"/>
                <w:sz w:val="20"/>
              </w:rPr>
              <w:t>% of Total US POPs</w:t>
            </w:r>
          </w:p>
        </w:tc>
        <w:tc>
          <w:tcPr>
            <w:tcW w:w="1260" w:type="dxa"/>
            <w:shd w:val="clear" w:color="auto" w:fill="F2DBDB"/>
            <w:tcMar>
              <w:top w:w="0" w:type="dxa"/>
              <w:left w:w="108" w:type="dxa"/>
              <w:bottom w:w="0" w:type="dxa"/>
              <w:right w:w="108" w:type="dxa"/>
            </w:tcMar>
          </w:tcPr>
          <w:p w:rsidR="004A147C" w:rsidRPr="007D38C2" w:rsidRDefault="004A147C" w:rsidP="00CE5850">
            <w:pPr>
              <w:snapToGrid w:val="0"/>
              <w:jc w:val="center"/>
              <w:rPr>
                <w:rFonts w:eastAsia="Times New Roman"/>
                <w:b/>
                <w:bCs/>
                <w:kern w:val="0"/>
                <w:sz w:val="20"/>
              </w:rPr>
            </w:pPr>
            <w:r w:rsidRPr="007D38C2">
              <w:rPr>
                <w:rFonts w:eastAsia="Times New Roman"/>
                <w:b/>
                <w:bCs/>
                <w:kern w:val="0"/>
                <w:sz w:val="20"/>
              </w:rPr>
              <w:t>Square Miles Contained in Those Blocks</w:t>
            </w:r>
          </w:p>
          <w:p w:rsidR="004A147C" w:rsidRPr="007D38C2" w:rsidRDefault="004A147C" w:rsidP="00CE5850">
            <w:pPr>
              <w:snapToGrid w:val="0"/>
              <w:jc w:val="center"/>
              <w:rPr>
                <w:rFonts w:eastAsia="Times New Roman"/>
                <w:b/>
                <w:bCs/>
                <w:kern w:val="0"/>
                <w:sz w:val="20"/>
              </w:rPr>
            </w:pPr>
            <w:r w:rsidRPr="007D38C2">
              <w:rPr>
                <w:rFonts w:eastAsia="Times New Roman"/>
                <w:b/>
                <w:bCs/>
                <w:kern w:val="0"/>
                <w:sz w:val="20"/>
              </w:rPr>
              <w:t>(</w:t>
            </w:r>
            <w:r>
              <w:rPr>
                <w:rFonts w:eastAsia="Times New Roman"/>
                <w:b/>
                <w:bCs/>
                <w:kern w:val="0"/>
                <w:sz w:val="20"/>
              </w:rPr>
              <w:t>T</w:t>
            </w:r>
            <w:r w:rsidRPr="007D38C2">
              <w:rPr>
                <w:rFonts w:eastAsia="Times New Roman"/>
                <w:b/>
                <w:bCs/>
                <w:kern w:val="0"/>
                <w:sz w:val="20"/>
              </w:rPr>
              <w:t>housands)</w:t>
            </w:r>
          </w:p>
        </w:tc>
        <w:tc>
          <w:tcPr>
            <w:tcW w:w="990" w:type="dxa"/>
            <w:shd w:val="clear" w:color="auto" w:fill="F2DBDB"/>
            <w:tcMar>
              <w:top w:w="0" w:type="dxa"/>
              <w:left w:w="108" w:type="dxa"/>
              <w:bottom w:w="0" w:type="dxa"/>
              <w:right w:w="108" w:type="dxa"/>
            </w:tcMar>
          </w:tcPr>
          <w:p w:rsidR="004A147C" w:rsidRPr="007D38C2" w:rsidRDefault="004A147C" w:rsidP="00CE5850">
            <w:pPr>
              <w:snapToGrid w:val="0"/>
              <w:jc w:val="center"/>
              <w:rPr>
                <w:rFonts w:eastAsia="Times New Roman"/>
                <w:b/>
                <w:bCs/>
                <w:kern w:val="0"/>
                <w:sz w:val="20"/>
              </w:rPr>
            </w:pPr>
            <w:r w:rsidRPr="007D38C2">
              <w:rPr>
                <w:rFonts w:eastAsia="Times New Roman"/>
                <w:b/>
                <w:bCs/>
                <w:kern w:val="0"/>
                <w:sz w:val="20"/>
              </w:rPr>
              <w:t>% of Total US Square Miles</w:t>
            </w:r>
          </w:p>
        </w:tc>
        <w:tc>
          <w:tcPr>
            <w:tcW w:w="1243" w:type="dxa"/>
            <w:shd w:val="clear" w:color="auto" w:fill="F2DBDB"/>
            <w:tcMar>
              <w:top w:w="0" w:type="dxa"/>
              <w:left w:w="108" w:type="dxa"/>
              <w:bottom w:w="0" w:type="dxa"/>
              <w:right w:w="108" w:type="dxa"/>
            </w:tcMar>
          </w:tcPr>
          <w:p w:rsidR="004A147C" w:rsidRPr="007D38C2" w:rsidRDefault="004A147C" w:rsidP="00CE5850">
            <w:pPr>
              <w:snapToGrid w:val="0"/>
              <w:jc w:val="center"/>
              <w:rPr>
                <w:rFonts w:eastAsia="Times New Roman"/>
                <w:b/>
                <w:bCs/>
                <w:kern w:val="0"/>
                <w:sz w:val="20"/>
              </w:rPr>
            </w:pPr>
            <w:r w:rsidRPr="007D38C2">
              <w:rPr>
                <w:rFonts w:eastAsia="Times New Roman"/>
                <w:b/>
                <w:bCs/>
                <w:kern w:val="0"/>
                <w:sz w:val="20"/>
              </w:rPr>
              <w:t>Road</w:t>
            </w:r>
          </w:p>
          <w:p w:rsidR="004A147C" w:rsidRPr="007D38C2" w:rsidRDefault="004A147C" w:rsidP="00CE5850">
            <w:pPr>
              <w:snapToGrid w:val="0"/>
              <w:jc w:val="center"/>
              <w:rPr>
                <w:rFonts w:eastAsia="Times New Roman"/>
                <w:b/>
                <w:bCs/>
                <w:kern w:val="0"/>
                <w:sz w:val="20"/>
              </w:rPr>
            </w:pPr>
            <w:r w:rsidRPr="007D38C2">
              <w:rPr>
                <w:rFonts w:eastAsia="Times New Roman"/>
                <w:b/>
                <w:bCs/>
                <w:kern w:val="0"/>
                <w:sz w:val="20"/>
              </w:rPr>
              <w:t>Miles Contained in Those Blocks (</w:t>
            </w:r>
            <w:r>
              <w:rPr>
                <w:rFonts w:eastAsia="Times New Roman"/>
                <w:b/>
                <w:bCs/>
                <w:kern w:val="0"/>
                <w:sz w:val="20"/>
              </w:rPr>
              <w:t>T</w:t>
            </w:r>
            <w:r w:rsidRPr="007D38C2">
              <w:rPr>
                <w:rFonts w:eastAsia="Times New Roman"/>
                <w:b/>
                <w:bCs/>
                <w:kern w:val="0"/>
                <w:sz w:val="20"/>
              </w:rPr>
              <w:t>housands)</w:t>
            </w:r>
          </w:p>
        </w:tc>
        <w:tc>
          <w:tcPr>
            <w:tcW w:w="922" w:type="dxa"/>
            <w:shd w:val="clear" w:color="auto" w:fill="F2DBDB"/>
            <w:tcMar>
              <w:top w:w="0" w:type="dxa"/>
              <w:left w:w="108" w:type="dxa"/>
              <w:bottom w:w="0" w:type="dxa"/>
              <w:right w:w="108" w:type="dxa"/>
            </w:tcMar>
          </w:tcPr>
          <w:p w:rsidR="004A147C" w:rsidRPr="007D38C2" w:rsidRDefault="004A147C" w:rsidP="00CE5850">
            <w:pPr>
              <w:snapToGrid w:val="0"/>
              <w:jc w:val="center"/>
              <w:rPr>
                <w:rFonts w:eastAsia="Times New Roman"/>
                <w:b/>
                <w:bCs/>
                <w:kern w:val="0"/>
                <w:sz w:val="20"/>
              </w:rPr>
            </w:pPr>
            <w:r w:rsidRPr="007D38C2">
              <w:rPr>
                <w:rFonts w:eastAsia="Times New Roman"/>
                <w:b/>
                <w:bCs/>
                <w:kern w:val="0"/>
                <w:sz w:val="20"/>
              </w:rPr>
              <w:t>% of Total US Road Miles</w:t>
            </w:r>
          </w:p>
        </w:tc>
      </w:tr>
      <w:tr w:rsidR="004A147C" w:rsidRPr="00B53FFB" w:rsidTr="001170B2">
        <w:trPr>
          <w:trHeight w:val="215"/>
          <w:jc w:val="center"/>
        </w:trPr>
        <w:tc>
          <w:tcPr>
            <w:tcW w:w="1170" w:type="dxa"/>
            <w:shd w:val="clear" w:color="auto" w:fill="F2DBDB"/>
            <w:noWrap/>
            <w:tcMar>
              <w:top w:w="0" w:type="dxa"/>
              <w:left w:w="108" w:type="dxa"/>
              <w:bottom w:w="0" w:type="dxa"/>
              <w:right w:w="108" w:type="dxa"/>
            </w:tcMar>
          </w:tcPr>
          <w:p w:rsidR="004A147C" w:rsidRPr="007D38C2" w:rsidRDefault="004A147C" w:rsidP="00CE5850">
            <w:pPr>
              <w:snapToGrid w:val="0"/>
              <w:rPr>
                <w:rFonts w:eastAsia="Times New Roman"/>
                <w:i/>
                <w:iCs/>
                <w:kern w:val="0"/>
                <w:sz w:val="20"/>
              </w:rPr>
            </w:pPr>
            <w:r w:rsidRPr="007D38C2">
              <w:rPr>
                <w:rFonts w:eastAsia="Times New Roman"/>
                <w:i/>
                <w:iCs/>
                <w:kern w:val="0"/>
                <w:sz w:val="20"/>
              </w:rPr>
              <w:t>US Total</w:t>
            </w:r>
          </w:p>
        </w:tc>
        <w:tc>
          <w:tcPr>
            <w:tcW w:w="1260" w:type="dxa"/>
            <w:shd w:val="clear" w:color="auto" w:fill="F2DBDB"/>
            <w:noWrap/>
            <w:tcMar>
              <w:top w:w="0" w:type="dxa"/>
              <w:left w:w="108" w:type="dxa"/>
              <w:bottom w:w="0" w:type="dxa"/>
              <w:right w:w="108" w:type="dxa"/>
            </w:tcMar>
          </w:tcPr>
          <w:p w:rsidR="004A147C" w:rsidRPr="001170B2" w:rsidRDefault="004A147C" w:rsidP="00CE5850">
            <w:pPr>
              <w:jc w:val="center"/>
              <w:rPr>
                <w:sz w:val="20"/>
              </w:rPr>
            </w:pPr>
            <w:r w:rsidRPr="001170B2">
              <w:rPr>
                <w:sz w:val="20"/>
              </w:rPr>
              <w:t>10,449</w:t>
            </w:r>
          </w:p>
        </w:tc>
        <w:tc>
          <w:tcPr>
            <w:tcW w:w="1260" w:type="dxa"/>
            <w:shd w:val="clear" w:color="auto" w:fill="F2DBDB"/>
            <w:noWrap/>
            <w:tcMar>
              <w:top w:w="0" w:type="dxa"/>
              <w:left w:w="108" w:type="dxa"/>
              <w:bottom w:w="0" w:type="dxa"/>
              <w:right w:w="108" w:type="dxa"/>
            </w:tcMar>
          </w:tcPr>
          <w:p w:rsidR="004A147C" w:rsidRPr="001170B2" w:rsidRDefault="004A147C" w:rsidP="00CE5850">
            <w:pPr>
              <w:jc w:val="center"/>
              <w:rPr>
                <w:sz w:val="20"/>
              </w:rPr>
            </w:pPr>
            <w:r w:rsidRPr="001170B2">
              <w:rPr>
                <w:sz w:val="20"/>
              </w:rPr>
              <w:t>307,209</w:t>
            </w:r>
          </w:p>
        </w:tc>
        <w:tc>
          <w:tcPr>
            <w:tcW w:w="895" w:type="dxa"/>
            <w:shd w:val="clear" w:color="auto" w:fill="F2DBDB"/>
            <w:noWrap/>
            <w:tcMar>
              <w:top w:w="0" w:type="dxa"/>
              <w:left w:w="108" w:type="dxa"/>
              <w:bottom w:w="0" w:type="dxa"/>
              <w:right w:w="108" w:type="dxa"/>
            </w:tcMar>
          </w:tcPr>
          <w:p w:rsidR="004A147C" w:rsidRPr="001170B2" w:rsidRDefault="004A147C" w:rsidP="00CE5850">
            <w:pPr>
              <w:jc w:val="center"/>
              <w:rPr>
                <w:sz w:val="20"/>
              </w:rPr>
            </w:pPr>
            <w:r w:rsidRPr="001170B2">
              <w:rPr>
                <w:sz w:val="20"/>
              </w:rPr>
              <w:t>100.0%</w:t>
            </w:r>
          </w:p>
        </w:tc>
        <w:tc>
          <w:tcPr>
            <w:tcW w:w="1260" w:type="dxa"/>
            <w:shd w:val="clear" w:color="auto" w:fill="F2DBDB"/>
            <w:noWrap/>
            <w:tcMar>
              <w:top w:w="0" w:type="dxa"/>
              <w:left w:w="108" w:type="dxa"/>
              <w:bottom w:w="0" w:type="dxa"/>
              <w:right w:w="108" w:type="dxa"/>
            </w:tcMar>
          </w:tcPr>
          <w:p w:rsidR="004A147C" w:rsidRPr="001170B2" w:rsidRDefault="004A147C" w:rsidP="00CE5850">
            <w:pPr>
              <w:jc w:val="center"/>
              <w:rPr>
                <w:sz w:val="20"/>
              </w:rPr>
            </w:pPr>
            <w:r w:rsidRPr="001170B2">
              <w:rPr>
                <w:sz w:val="20"/>
              </w:rPr>
              <w:t>2,431</w:t>
            </w:r>
          </w:p>
        </w:tc>
        <w:tc>
          <w:tcPr>
            <w:tcW w:w="990" w:type="dxa"/>
            <w:shd w:val="clear" w:color="auto" w:fill="F2DBDB"/>
            <w:noWrap/>
            <w:tcMar>
              <w:top w:w="0" w:type="dxa"/>
              <w:left w:w="108" w:type="dxa"/>
              <w:bottom w:w="0" w:type="dxa"/>
              <w:right w:w="108" w:type="dxa"/>
            </w:tcMar>
          </w:tcPr>
          <w:p w:rsidR="004A147C" w:rsidRPr="001170B2" w:rsidRDefault="004A147C" w:rsidP="00CE5850">
            <w:pPr>
              <w:jc w:val="center"/>
              <w:rPr>
                <w:sz w:val="20"/>
              </w:rPr>
            </w:pPr>
            <w:r w:rsidRPr="001170B2">
              <w:rPr>
                <w:sz w:val="20"/>
              </w:rPr>
              <w:t>100.0%</w:t>
            </w:r>
          </w:p>
        </w:tc>
        <w:tc>
          <w:tcPr>
            <w:tcW w:w="1243" w:type="dxa"/>
            <w:shd w:val="clear" w:color="auto" w:fill="F2DBDB"/>
            <w:tcMar>
              <w:top w:w="0" w:type="dxa"/>
              <w:left w:w="108" w:type="dxa"/>
              <w:bottom w:w="0" w:type="dxa"/>
              <w:right w:w="108" w:type="dxa"/>
            </w:tcMar>
          </w:tcPr>
          <w:p w:rsidR="004A147C" w:rsidRPr="001170B2" w:rsidRDefault="004A147C" w:rsidP="00CE5850">
            <w:pPr>
              <w:jc w:val="center"/>
              <w:rPr>
                <w:sz w:val="20"/>
              </w:rPr>
            </w:pPr>
            <w:r w:rsidRPr="001170B2">
              <w:rPr>
                <w:sz w:val="20"/>
              </w:rPr>
              <w:t>5,893</w:t>
            </w:r>
          </w:p>
        </w:tc>
        <w:tc>
          <w:tcPr>
            <w:tcW w:w="922" w:type="dxa"/>
            <w:shd w:val="clear" w:color="auto" w:fill="F2DBDB"/>
            <w:tcMar>
              <w:top w:w="0" w:type="dxa"/>
              <w:left w:w="108" w:type="dxa"/>
              <w:bottom w:w="0" w:type="dxa"/>
              <w:right w:w="108" w:type="dxa"/>
            </w:tcMar>
          </w:tcPr>
          <w:p w:rsidR="004A147C" w:rsidRPr="001170B2" w:rsidRDefault="004A147C" w:rsidP="00CE5850">
            <w:pPr>
              <w:jc w:val="center"/>
              <w:rPr>
                <w:sz w:val="20"/>
              </w:rPr>
            </w:pPr>
            <w:r w:rsidRPr="001170B2">
              <w:rPr>
                <w:sz w:val="20"/>
              </w:rPr>
              <w:t>100.0%</w:t>
            </w:r>
          </w:p>
        </w:tc>
      </w:tr>
      <w:tr w:rsidR="004A147C" w:rsidRPr="00B53FFB" w:rsidTr="001170B2">
        <w:trPr>
          <w:trHeight w:val="255"/>
          <w:jc w:val="center"/>
        </w:trPr>
        <w:tc>
          <w:tcPr>
            <w:tcW w:w="1170" w:type="dxa"/>
            <w:shd w:val="clear" w:color="auto" w:fill="F2DBDB"/>
            <w:noWrap/>
            <w:tcMar>
              <w:top w:w="0" w:type="dxa"/>
              <w:left w:w="108" w:type="dxa"/>
              <w:bottom w:w="0" w:type="dxa"/>
              <w:right w:w="108" w:type="dxa"/>
            </w:tcMar>
          </w:tcPr>
          <w:p w:rsidR="004A147C" w:rsidRPr="007D38C2" w:rsidRDefault="004A147C" w:rsidP="00CE5850">
            <w:pPr>
              <w:snapToGrid w:val="0"/>
              <w:rPr>
                <w:rFonts w:eastAsia="Times New Roman"/>
                <w:kern w:val="0"/>
                <w:sz w:val="20"/>
              </w:rPr>
            </w:pPr>
            <w:r w:rsidRPr="007D38C2">
              <w:rPr>
                <w:rFonts w:eastAsia="Times New Roman"/>
                <w:kern w:val="0"/>
                <w:sz w:val="20"/>
              </w:rPr>
              <w:t>1 or more</w:t>
            </w:r>
          </w:p>
        </w:tc>
        <w:tc>
          <w:tcPr>
            <w:tcW w:w="1260" w:type="dxa"/>
            <w:shd w:val="clear" w:color="auto" w:fill="F2DBDB"/>
            <w:noWrap/>
            <w:tcMar>
              <w:top w:w="0" w:type="dxa"/>
              <w:left w:w="108" w:type="dxa"/>
              <w:bottom w:w="0" w:type="dxa"/>
              <w:right w:w="108" w:type="dxa"/>
            </w:tcMar>
          </w:tcPr>
          <w:p w:rsidR="004A147C" w:rsidRPr="001170B2" w:rsidRDefault="004A147C" w:rsidP="00CE5850">
            <w:pPr>
              <w:jc w:val="center"/>
              <w:rPr>
                <w:sz w:val="20"/>
              </w:rPr>
            </w:pPr>
            <w:r w:rsidRPr="001170B2">
              <w:rPr>
                <w:sz w:val="20"/>
              </w:rPr>
              <w:t>9,871</w:t>
            </w:r>
          </w:p>
        </w:tc>
        <w:tc>
          <w:tcPr>
            <w:tcW w:w="1260" w:type="dxa"/>
            <w:shd w:val="clear" w:color="auto" w:fill="F2DBDB"/>
            <w:noWrap/>
            <w:tcMar>
              <w:top w:w="0" w:type="dxa"/>
              <w:left w:w="108" w:type="dxa"/>
              <w:bottom w:w="0" w:type="dxa"/>
              <w:right w:w="108" w:type="dxa"/>
            </w:tcMar>
          </w:tcPr>
          <w:p w:rsidR="004A147C" w:rsidRPr="001170B2" w:rsidRDefault="004A147C" w:rsidP="00CE5850">
            <w:pPr>
              <w:jc w:val="center"/>
              <w:rPr>
                <w:sz w:val="20"/>
              </w:rPr>
            </w:pPr>
            <w:r w:rsidRPr="001170B2">
              <w:rPr>
                <w:sz w:val="20"/>
              </w:rPr>
              <w:t>306,901</w:t>
            </w:r>
          </w:p>
        </w:tc>
        <w:tc>
          <w:tcPr>
            <w:tcW w:w="895" w:type="dxa"/>
            <w:shd w:val="clear" w:color="auto" w:fill="F2DBDB"/>
            <w:noWrap/>
            <w:tcMar>
              <w:top w:w="0" w:type="dxa"/>
              <w:left w:w="108" w:type="dxa"/>
              <w:bottom w:w="0" w:type="dxa"/>
              <w:right w:w="108" w:type="dxa"/>
            </w:tcMar>
          </w:tcPr>
          <w:p w:rsidR="004A147C" w:rsidRPr="001170B2" w:rsidRDefault="004A147C" w:rsidP="00CE5850">
            <w:pPr>
              <w:jc w:val="center"/>
              <w:rPr>
                <w:sz w:val="20"/>
              </w:rPr>
            </w:pPr>
            <w:r w:rsidRPr="001170B2">
              <w:rPr>
                <w:sz w:val="20"/>
              </w:rPr>
              <w:t>99.9%</w:t>
            </w:r>
          </w:p>
        </w:tc>
        <w:tc>
          <w:tcPr>
            <w:tcW w:w="1260" w:type="dxa"/>
            <w:shd w:val="clear" w:color="auto" w:fill="F2DBDB"/>
            <w:noWrap/>
            <w:tcMar>
              <w:top w:w="0" w:type="dxa"/>
              <w:left w:w="108" w:type="dxa"/>
              <w:bottom w:w="0" w:type="dxa"/>
              <w:right w:w="108" w:type="dxa"/>
            </w:tcMar>
          </w:tcPr>
          <w:p w:rsidR="004A147C" w:rsidRPr="001170B2" w:rsidRDefault="004A147C" w:rsidP="00CE5850">
            <w:pPr>
              <w:jc w:val="center"/>
              <w:rPr>
                <w:sz w:val="20"/>
              </w:rPr>
            </w:pPr>
            <w:r w:rsidRPr="001170B2">
              <w:rPr>
                <w:sz w:val="20"/>
              </w:rPr>
              <w:t>2,185</w:t>
            </w:r>
          </w:p>
        </w:tc>
        <w:tc>
          <w:tcPr>
            <w:tcW w:w="990" w:type="dxa"/>
            <w:shd w:val="clear" w:color="auto" w:fill="F2DBDB"/>
            <w:noWrap/>
            <w:tcMar>
              <w:top w:w="0" w:type="dxa"/>
              <w:left w:w="108" w:type="dxa"/>
              <w:bottom w:w="0" w:type="dxa"/>
              <w:right w:w="108" w:type="dxa"/>
            </w:tcMar>
          </w:tcPr>
          <w:p w:rsidR="004A147C" w:rsidRPr="001170B2" w:rsidRDefault="004A147C" w:rsidP="00CE5850">
            <w:pPr>
              <w:jc w:val="center"/>
              <w:rPr>
                <w:sz w:val="20"/>
              </w:rPr>
            </w:pPr>
            <w:r w:rsidRPr="001170B2">
              <w:rPr>
                <w:sz w:val="20"/>
              </w:rPr>
              <w:t>89.9%</w:t>
            </w:r>
          </w:p>
        </w:tc>
        <w:tc>
          <w:tcPr>
            <w:tcW w:w="1243" w:type="dxa"/>
            <w:shd w:val="clear" w:color="auto" w:fill="F2DBDB"/>
            <w:tcMar>
              <w:top w:w="0" w:type="dxa"/>
              <w:left w:w="108" w:type="dxa"/>
              <w:bottom w:w="0" w:type="dxa"/>
              <w:right w:w="108" w:type="dxa"/>
            </w:tcMar>
          </w:tcPr>
          <w:p w:rsidR="004A147C" w:rsidRPr="001170B2" w:rsidRDefault="004A147C" w:rsidP="00CE5850">
            <w:pPr>
              <w:jc w:val="center"/>
              <w:rPr>
                <w:sz w:val="20"/>
              </w:rPr>
            </w:pPr>
            <w:r w:rsidRPr="001170B2">
              <w:rPr>
                <w:sz w:val="20"/>
              </w:rPr>
              <w:t>5,756</w:t>
            </w:r>
          </w:p>
        </w:tc>
        <w:tc>
          <w:tcPr>
            <w:tcW w:w="922" w:type="dxa"/>
            <w:shd w:val="clear" w:color="auto" w:fill="F2DBDB"/>
            <w:tcMar>
              <w:top w:w="0" w:type="dxa"/>
              <w:left w:w="108" w:type="dxa"/>
              <w:bottom w:w="0" w:type="dxa"/>
              <w:right w:w="108" w:type="dxa"/>
            </w:tcMar>
          </w:tcPr>
          <w:p w:rsidR="004A147C" w:rsidRPr="001170B2" w:rsidRDefault="004A147C" w:rsidP="00CE5850">
            <w:pPr>
              <w:jc w:val="center"/>
              <w:rPr>
                <w:sz w:val="20"/>
              </w:rPr>
            </w:pPr>
            <w:r w:rsidRPr="001170B2">
              <w:rPr>
                <w:sz w:val="20"/>
              </w:rPr>
              <w:t>97.7%</w:t>
            </w:r>
          </w:p>
        </w:tc>
      </w:tr>
      <w:tr w:rsidR="004A147C" w:rsidRPr="00B53FFB" w:rsidTr="001170B2">
        <w:trPr>
          <w:trHeight w:val="255"/>
          <w:jc w:val="center"/>
        </w:trPr>
        <w:tc>
          <w:tcPr>
            <w:tcW w:w="1170" w:type="dxa"/>
            <w:shd w:val="clear" w:color="auto" w:fill="F2DBDB"/>
            <w:noWrap/>
            <w:tcMar>
              <w:top w:w="0" w:type="dxa"/>
              <w:left w:w="108" w:type="dxa"/>
              <w:bottom w:w="0" w:type="dxa"/>
              <w:right w:w="108" w:type="dxa"/>
            </w:tcMar>
          </w:tcPr>
          <w:p w:rsidR="004A147C" w:rsidRPr="007D38C2" w:rsidRDefault="004A147C" w:rsidP="00CE5850">
            <w:pPr>
              <w:snapToGrid w:val="0"/>
              <w:rPr>
                <w:rFonts w:eastAsia="Times New Roman"/>
                <w:kern w:val="0"/>
                <w:sz w:val="20"/>
              </w:rPr>
            </w:pPr>
            <w:r w:rsidRPr="007D38C2">
              <w:rPr>
                <w:rFonts w:eastAsia="Times New Roman"/>
                <w:kern w:val="0"/>
                <w:sz w:val="20"/>
              </w:rPr>
              <w:t>2 or more</w:t>
            </w:r>
          </w:p>
        </w:tc>
        <w:tc>
          <w:tcPr>
            <w:tcW w:w="1260" w:type="dxa"/>
            <w:shd w:val="clear" w:color="auto" w:fill="F2DBDB"/>
            <w:noWrap/>
            <w:tcMar>
              <w:top w:w="0" w:type="dxa"/>
              <w:left w:w="108" w:type="dxa"/>
              <w:bottom w:w="0" w:type="dxa"/>
              <w:right w:w="108" w:type="dxa"/>
            </w:tcMar>
          </w:tcPr>
          <w:p w:rsidR="004A147C" w:rsidRPr="001170B2" w:rsidRDefault="004A147C" w:rsidP="00CE5850">
            <w:pPr>
              <w:jc w:val="center"/>
              <w:rPr>
                <w:sz w:val="20"/>
              </w:rPr>
            </w:pPr>
            <w:r w:rsidRPr="001170B2">
              <w:rPr>
                <w:sz w:val="20"/>
              </w:rPr>
              <w:t>9,622</w:t>
            </w:r>
          </w:p>
        </w:tc>
        <w:tc>
          <w:tcPr>
            <w:tcW w:w="1260" w:type="dxa"/>
            <w:shd w:val="clear" w:color="auto" w:fill="F2DBDB"/>
            <w:noWrap/>
            <w:tcMar>
              <w:top w:w="0" w:type="dxa"/>
              <w:left w:w="108" w:type="dxa"/>
              <w:bottom w:w="0" w:type="dxa"/>
              <w:right w:w="108" w:type="dxa"/>
            </w:tcMar>
          </w:tcPr>
          <w:p w:rsidR="004A147C" w:rsidRPr="001170B2" w:rsidRDefault="004A147C" w:rsidP="00CE5850">
            <w:pPr>
              <w:jc w:val="center"/>
              <w:rPr>
                <w:sz w:val="20"/>
              </w:rPr>
            </w:pPr>
            <w:r w:rsidRPr="001170B2">
              <w:rPr>
                <w:sz w:val="20"/>
              </w:rPr>
              <w:t>305,393</w:t>
            </w:r>
          </w:p>
        </w:tc>
        <w:tc>
          <w:tcPr>
            <w:tcW w:w="895" w:type="dxa"/>
            <w:shd w:val="clear" w:color="auto" w:fill="F2DBDB"/>
            <w:noWrap/>
            <w:tcMar>
              <w:top w:w="0" w:type="dxa"/>
              <w:left w:w="108" w:type="dxa"/>
              <w:bottom w:w="0" w:type="dxa"/>
              <w:right w:w="108" w:type="dxa"/>
            </w:tcMar>
          </w:tcPr>
          <w:p w:rsidR="004A147C" w:rsidRPr="001170B2" w:rsidRDefault="004A147C" w:rsidP="00CE5850">
            <w:pPr>
              <w:jc w:val="center"/>
              <w:rPr>
                <w:sz w:val="20"/>
              </w:rPr>
            </w:pPr>
            <w:r w:rsidRPr="001170B2">
              <w:rPr>
                <w:sz w:val="20"/>
              </w:rPr>
              <w:t>99.4%</w:t>
            </w:r>
          </w:p>
        </w:tc>
        <w:tc>
          <w:tcPr>
            <w:tcW w:w="1260" w:type="dxa"/>
            <w:shd w:val="clear" w:color="auto" w:fill="F2DBDB"/>
            <w:noWrap/>
            <w:tcMar>
              <w:top w:w="0" w:type="dxa"/>
              <w:left w:w="108" w:type="dxa"/>
              <w:bottom w:w="0" w:type="dxa"/>
              <w:right w:w="108" w:type="dxa"/>
            </w:tcMar>
          </w:tcPr>
          <w:p w:rsidR="004A147C" w:rsidRPr="001170B2" w:rsidRDefault="004A147C" w:rsidP="00CE5850">
            <w:pPr>
              <w:jc w:val="center"/>
              <w:rPr>
                <w:sz w:val="20"/>
              </w:rPr>
            </w:pPr>
            <w:r w:rsidRPr="001170B2">
              <w:rPr>
                <w:sz w:val="20"/>
              </w:rPr>
              <w:t>1,964</w:t>
            </w:r>
          </w:p>
        </w:tc>
        <w:tc>
          <w:tcPr>
            <w:tcW w:w="990" w:type="dxa"/>
            <w:shd w:val="clear" w:color="auto" w:fill="F2DBDB"/>
            <w:noWrap/>
            <w:tcMar>
              <w:top w:w="0" w:type="dxa"/>
              <w:left w:w="108" w:type="dxa"/>
              <w:bottom w:w="0" w:type="dxa"/>
              <w:right w:w="108" w:type="dxa"/>
            </w:tcMar>
          </w:tcPr>
          <w:p w:rsidR="004A147C" w:rsidRPr="001170B2" w:rsidRDefault="004A147C" w:rsidP="00CE5850">
            <w:pPr>
              <w:jc w:val="center"/>
              <w:rPr>
                <w:sz w:val="20"/>
              </w:rPr>
            </w:pPr>
            <w:r w:rsidRPr="001170B2">
              <w:rPr>
                <w:sz w:val="20"/>
              </w:rPr>
              <w:t>80.8%</w:t>
            </w:r>
          </w:p>
        </w:tc>
        <w:tc>
          <w:tcPr>
            <w:tcW w:w="1243" w:type="dxa"/>
            <w:shd w:val="clear" w:color="auto" w:fill="F2DBDB"/>
            <w:tcMar>
              <w:top w:w="0" w:type="dxa"/>
              <w:left w:w="108" w:type="dxa"/>
              <w:bottom w:w="0" w:type="dxa"/>
              <w:right w:w="108" w:type="dxa"/>
            </w:tcMar>
          </w:tcPr>
          <w:p w:rsidR="004A147C" w:rsidRPr="001170B2" w:rsidRDefault="004A147C" w:rsidP="00CE5850">
            <w:pPr>
              <w:jc w:val="center"/>
              <w:rPr>
                <w:sz w:val="20"/>
              </w:rPr>
            </w:pPr>
            <w:r w:rsidRPr="001170B2">
              <w:rPr>
                <w:sz w:val="20"/>
              </w:rPr>
              <w:t>5,434</w:t>
            </w:r>
          </w:p>
        </w:tc>
        <w:tc>
          <w:tcPr>
            <w:tcW w:w="922" w:type="dxa"/>
            <w:shd w:val="clear" w:color="auto" w:fill="F2DBDB"/>
            <w:tcMar>
              <w:top w:w="0" w:type="dxa"/>
              <w:left w:w="108" w:type="dxa"/>
              <w:bottom w:w="0" w:type="dxa"/>
              <w:right w:w="108" w:type="dxa"/>
            </w:tcMar>
          </w:tcPr>
          <w:p w:rsidR="004A147C" w:rsidRPr="001170B2" w:rsidRDefault="004A147C" w:rsidP="00CE5850">
            <w:pPr>
              <w:jc w:val="center"/>
              <w:rPr>
                <w:sz w:val="20"/>
              </w:rPr>
            </w:pPr>
            <w:r w:rsidRPr="001170B2">
              <w:rPr>
                <w:sz w:val="20"/>
              </w:rPr>
              <w:t>92.2%</w:t>
            </w:r>
          </w:p>
        </w:tc>
      </w:tr>
      <w:tr w:rsidR="004A147C" w:rsidRPr="00B53FFB" w:rsidTr="001170B2">
        <w:trPr>
          <w:trHeight w:val="255"/>
          <w:jc w:val="center"/>
        </w:trPr>
        <w:tc>
          <w:tcPr>
            <w:tcW w:w="1170" w:type="dxa"/>
            <w:shd w:val="clear" w:color="auto" w:fill="F2DBDB"/>
            <w:noWrap/>
            <w:tcMar>
              <w:top w:w="0" w:type="dxa"/>
              <w:left w:w="108" w:type="dxa"/>
              <w:bottom w:w="0" w:type="dxa"/>
              <w:right w:w="108" w:type="dxa"/>
            </w:tcMar>
          </w:tcPr>
          <w:p w:rsidR="004A147C" w:rsidRPr="007D38C2" w:rsidRDefault="004A147C" w:rsidP="00CE5850">
            <w:pPr>
              <w:snapToGrid w:val="0"/>
              <w:rPr>
                <w:rFonts w:eastAsia="Times New Roman"/>
                <w:kern w:val="0"/>
                <w:sz w:val="20"/>
              </w:rPr>
            </w:pPr>
            <w:r w:rsidRPr="007D38C2">
              <w:rPr>
                <w:rFonts w:eastAsia="Times New Roman"/>
                <w:kern w:val="0"/>
                <w:sz w:val="20"/>
              </w:rPr>
              <w:t>3 or more</w:t>
            </w:r>
          </w:p>
        </w:tc>
        <w:tc>
          <w:tcPr>
            <w:tcW w:w="1260" w:type="dxa"/>
            <w:shd w:val="clear" w:color="auto" w:fill="F2DBDB"/>
            <w:noWrap/>
            <w:tcMar>
              <w:top w:w="0" w:type="dxa"/>
              <w:left w:w="108" w:type="dxa"/>
              <w:bottom w:w="0" w:type="dxa"/>
              <w:right w:w="108" w:type="dxa"/>
            </w:tcMar>
          </w:tcPr>
          <w:p w:rsidR="004A147C" w:rsidRPr="001170B2" w:rsidRDefault="004A147C" w:rsidP="00CE5850">
            <w:pPr>
              <w:jc w:val="center"/>
              <w:rPr>
                <w:sz w:val="20"/>
              </w:rPr>
            </w:pPr>
            <w:r w:rsidRPr="001170B2">
              <w:rPr>
                <w:sz w:val="20"/>
              </w:rPr>
              <w:t>8,868</w:t>
            </w:r>
          </w:p>
        </w:tc>
        <w:tc>
          <w:tcPr>
            <w:tcW w:w="1260" w:type="dxa"/>
            <w:shd w:val="clear" w:color="auto" w:fill="F2DBDB"/>
            <w:noWrap/>
            <w:tcMar>
              <w:top w:w="0" w:type="dxa"/>
              <w:left w:w="108" w:type="dxa"/>
              <w:bottom w:w="0" w:type="dxa"/>
              <w:right w:w="108" w:type="dxa"/>
            </w:tcMar>
          </w:tcPr>
          <w:p w:rsidR="004A147C" w:rsidRPr="001170B2" w:rsidRDefault="004A147C" w:rsidP="00CE5850">
            <w:pPr>
              <w:jc w:val="center"/>
              <w:rPr>
                <w:sz w:val="20"/>
              </w:rPr>
            </w:pPr>
            <w:r w:rsidRPr="001170B2">
              <w:rPr>
                <w:sz w:val="20"/>
              </w:rPr>
              <w:t>299,261</w:t>
            </w:r>
          </w:p>
        </w:tc>
        <w:tc>
          <w:tcPr>
            <w:tcW w:w="895" w:type="dxa"/>
            <w:shd w:val="clear" w:color="auto" w:fill="F2DBDB"/>
            <w:noWrap/>
            <w:tcMar>
              <w:top w:w="0" w:type="dxa"/>
              <w:left w:w="108" w:type="dxa"/>
              <w:bottom w:w="0" w:type="dxa"/>
              <w:right w:w="108" w:type="dxa"/>
            </w:tcMar>
          </w:tcPr>
          <w:p w:rsidR="004A147C" w:rsidRPr="001170B2" w:rsidRDefault="004A147C" w:rsidP="00CE5850">
            <w:pPr>
              <w:jc w:val="center"/>
              <w:rPr>
                <w:sz w:val="20"/>
              </w:rPr>
            </w:pPr>
            <w:r w:rsidRPr="001170B2">
              <w:rPr>
                <w:sz w:val="20"/>
              </w:rPr>
              <w:t>97.4%</w:t>
            </w:r>
          </w:p>
        </w:tc>
        <w:tc>
          <w:tcPr>
            <w:tcW w:w="1260" w:type="dxa"/>
            <w:shd w:val="clear" w:color="auto" w:fill="F2DBDB"/>
            <w:noWrap/>
            <w:tcMar>
              <w:top w:w="0" w:type="dxa"/>
              <w:left w:w="108" w:type="dxa"/>
              <w:bottom w:w="0" w:type="dxa"/>
              <w:right w:w="108" w:type="dxa"/>
            </w:tcMar>
          </w:tcPr>
          <w:p w:rsidR="004A147C" w:rsidRPr="001170B2" w:rsidRDefault="004A147C" w:rsidP="00CE5850">
            <w:pPr>
              <w:jc w:val="center"/>
              <w:rPr>
                <w:sz w:val="20"/>
              </w:rPr>
            </w:pPr>
            <w:r w:rsidRPr="001170B2">
              <w:rPr>
                <w:sz w:val="20"/>
              </w:rPr>
              <w:t>1,511</w:t>
            </w:r>
          </w:p>
        </w:tc>
        <w:tc>
          <w:tcPr>
            <w:tcW w:w="990" w:type="dxa"/>
            <w:shd w:val="clear" w:color="auto" w:fill="F2DBDB"/>
            <w:noWrap/>
            <w:tcMar>
              <w:top w:w="0" w:type="dxa"/>
              <w:left w:w="108" w:type="dxa"/>
              <w:bottom w:w="0" w:type="dxa"/>
              <w:right w:w="108" w:type="dxa"/>
            </w:tcMar>
          </w:tcPr>
          <w:p w:rsidR="004A147C" w:rsidRPr="001170B2" w:rsidRDefault="004A147C" w:rsidP="00CE5850">
            <w:pPr>
              <w:jc w:val="center"/>
              <w:rPr>
                <w:sz w:val="20"/>
              </w:rPr>
            </w:pPr>
            <w:r w:rsidRPr="001170B2">
              <w:rPr>
                <w:sz w:val="20"/>
              </w:rPr>
              <w:t>62.2%</w:t>
            </w:r>
          </w:p>
        </w:tc>
        <w:tc>
          <w:tcPr>
            <w:tcW w:w="1243" w:type="dxa"/>
            <w:shd w:val="clear" w:color="auto" w:fill="F2DBDB"/>
            <w:tcMar>
              <w:top w:w="0" w:type="dxa"/>
              <w:left w:w="108" w:type="dxa"/>
              <w:bottom w:w="0" w:type="dxa"/>
              <w:right w:w="108" w:type="dxa"/>
            </w:tcMar>
          </w:tcPr>
          <w:p w:rsidR="004A147C" w:rsidRPr="001170B2" w:rsidRDefault="004A147C" w:rsidP="00CE5850">
            <w:pPr>
              <w:jc w:val="center"/>
              <w:rPr>
                <w:sz w:val="20"/>
              </w:rPr>
            </w:pPr>
            <w:r w:rsidRPr="001170B2">
              <w:rPr>
                <w:sz w:val="20"/>
              </w:rPr>
              <w:t>4,622</w:t>
            </w:r>
          </w:p>
        </w:tc>
        <w:tc>
          <w:tcPr>
            <w:tcW w:w="922" w:type="dxa"/>
            <w:shd w:val="clear" w:color="auto" w:fill="F2DBDB"/>
            <w:tcMar>
              <w:top w:w="0" w:type="dxa"/>
              <w:left w:w="108" w:type="dxa"/>
              <w:bottom w:w="0" w:type="dxa"/>
              <w:right w:w="108" w:type="dxa"/>
            </w:tcMar>
          </w:tcPr>
          <w:p w:rsidR="004A147C" w:rsidRPr="001170B2" w:rsidRDefault="004A147C" w:rsidP="00CE5850">
            <w:pPr>
              <w:jc w:val="center"/>
              <w:rPr>
                <w:sz w:val="20"/>
              </w:rPr>
            </w:pPr>
            <w:r w:rsidRPr="001170B2">
              <w:rPr>
                <w:sz w:val="20"/>
              </w:rPr>
              <w:t>78.4%</w:t>
            </w:r>
          </w:p>
        </w:tc>
      </w:tr>
      <w:tr w:rsidR="004A147C" w:rsidRPr="00B53FFB" w:rsidTr="001170B2">
        <w:trPr>
          <w:trHeight w:val="255"/>
          <w:jc w:val="center"/>
        </w:trPr>
        <w:tc>
          <w:tcPr>
            <w:tcW w:w="1170" w:type="dxa"/>
            <w:shd w:val="clear" w:color="auto" w:fill="F2DBDB"/>
            <w:noWrap/>
            <w:tcMar>
              <w:top w:w="0" w:type="dxa"/>
              <w:left w:w="108" w:type="dxa"/>
              <w:bottom w:w="0" w:type="dxa"/>
              <w:right w:w="108" w:type="dxa"/>
            </w:tcMar>
          </w:tcPr>
          <w:p w:rsidR="004A147C" w:rsidRPr="007D38C2" w:rsidRDefault="004A147C" w:rsidP="00CE5850">
            <w:pPr>
              <w:snapToGrid w:val="0"/>
              <w:rPr>
                <w:rFonts w:eastAsia="Times New Roman"/>
                <w:kern w:val="0"/>
                <w:sz w:val="20"/>
              </w:rPr>
            </w:pPr>
            <w:r w:rsidRPr="007D38C2">
              <w:rPr>
                <w:rFonts w:eastAsia="Times New Roman"/>
                <w:kern w:val="0"/>
                <w:sz w:val="20"/>
              </w:rPr>
              <w:t>4 or more</w:t>
            </w:r>
          </w:p>
        </w:tc>
        <w:tc>
          <w:tcPr>
            <w:tcW w:w="1260" w:type="dxa"/>
            <w:shd w:val="clear" w:color="auto" w:fill="F2DBDB"/>
            <w:noWrap/>
            <w:tcMar>
              <w:top w:w="0" w:type="dxa"/>
              <w:left w:w="108" w:type="dxa"/>
              <w:bottom w:w="0" w:type="dxa"/>
              <w:right w:w="108" w:type="dxa"/>
            </w:tcMar>
          </w:tcPr>
          <w:p w:rsidR="004A147C" w:rsidRPr="001170B2" w:rsidRDefault="004A147C" w:rsidP="00CE5850">
            <w:pPr>
              <w:jc w:val="center"/>
              <w:rPr>
                <w:sz w:val="20"/>
              </w:rPr>
            </w:pPr>
            <w:r w:rsidRPr="001170B2">
              <w:rPr>
                <w:sz w:val="20"/>
              </w:rPr>
              <w:t>7,708</w:t>
            </w:r>
          </w:p>
        </w:tc>
        <w:tc>
          <w:tcPr>
            <w:tcW w:w="1260" w:type="dxa"/>
            <w:shd w:val="clear" w:color="auto" w:fill="F2DBDB"/>
            <w:noWrap/>
            <w:tcMar>
              <w:top w:w="0" w:type="dxa"/>
              <w:left w:w="108" w:type="dxa"/>
              <w:bottom w:w="0" w:type="dxa"/>
              <w:right w:w="108" w:type="dxa"/>
            </w:tcMar>
          </w:tcPr>
          <w:p w:rsidR="004A147C" w:rsidRPr="001170B2" w:rsidRDefault="004A147C" w:rsidP="00CE5850">
            <w:pPr>
              <w:jc w:val="center"/>
              <w:rPr>
                <w:sz w:val="20"/>
              </w:rPr>
            </w:pPr>
            <w:r w:rsidRPr="001170B2">
              <w:rPr>
                <w:sz w:val="20"/>
              </w:rPr>
              <w:t>286,289</w:t>
            </w:r>
          </w:p>
        </w:tc>
        <w:tc>
          <w:tcPr>
            <w:tcW w:w="895" w:type="dxa"/>
            <w:shd w:val="clear" w:color="auto" w:fill="F2DBDB"/>
            <w:noWrap/>
            <w:tcMar>
              <w:top w:w="0" w:type="dxa"/>
              <w:left w:w="108" w:type="dxa"/>
              <w:bottom w:w="0" w:type="dxa"/>
              <w:right w:w="108" w:type="dxa"/>
            </w:tcMar>
          </w:tcPr>
          <w:p w:rsidR="004A147C" w:rsidRPr="001170B2" w:rsidRDefault="004A147C" w:rsidP="00CE5850">
            <w:pPr>
              <w:jc w:val="center"/>
              <w:rPr>
                <w:sz w:val="20"/>
              </w:rPr>
            </w:pPr>
            <w:r w:rsidRPr="001170B2">
              <w:rPr>
                <w:sz w:val="20"/>
              </w:rPr>
              <w:t>93.2%</w:t>
            </w:r>
          </w:p>
        </w:tc>
        <w:tc>
          <w:tcPr>
            <w:tcW w:w="1260" w:type="dxa"/>
            <w:shd w:val="clear" w:color="auto" w:fill="F2DBDB"/>
            <w:noWrap/>
            <w:tcMar>
              <w:top w:w="0" w:type="dxa"/>
              <w:left w:w="108" w:type="dxa"/>
              <w:bottom w:w="0" w:type="dxa"/>
              <w:right w:w="108" w:type="dxa"/>
            </w:tcMar>
          </w:tcPr>
          <w:p w:rsidR="004A147C" w:rsidRPr="001170B2" w:rsidRDefault="004A147C" w:rsidP="00CE5850">
            <w:pPr>
              <w:jc w:val="center"/>
              <w:rPr>
                <w:sz w:val="20"/>
              </w:rPr>
            </w:pPr>
            <w:r w:rsidRPr="001170B2">
              <w:rPr>
                <w:sz w:val="20"/>
              </w:rPr>
              <w:t>1,035</w:t>
            </w:r>
          </w:p>
        </w:tc>
        <w:tc>
          <w:tcPr>
            <w:tcW w:w="990" w:type="dxa"/>
            <w:shd w:val="clear" w:color="auto" w:fill="F2DBDB"/>
            <w:noWrap/>
            <w:tcMar>
              <w:top w:w="0" w:type="dxa"/>
              <w:left w:w="108" w:type="dxa"/>
              <w:bottom w:w="0" w:type="dxa"/>
              <w:right w:w="108" w:type="dxa"/>
            </w:tcMar>
          </w:tcPr>
          <w:p w:rsidR="004A147C" w:rsidRPr="001170B2" w:rsidRDefault="004A147C" w:rsidP="00CE5850">
            <w:pPr>
              <w:jc w:val="center"/>
              <w:rPr>
                <w:sz w:val="20"/>
              </w:rPr>
            </w:pPr>
            <w:r w:rsidRPr="001170B2">
              <w:rPr>
                <w:sz w:val="20"/>
              </w:rPr>
              <w:t>42.6%</w:t>
            </w:r>
          </w:p>
        </w:tc>
        <w:tc>
          <w:tcPr>
            <w:tcW w:w="1243" w:type="dxa"/>
            <w:shd w:val="clear" w:color="auto" w:fill="F2DBDB"/>
            <w:tcMar>
              <w:top w:w="0" w:type="dxa"/>
              <w:left w:w="108" w:type="dxa"/>
              <w:bottom w:w="0" w:type="dxa"/>
              <w:right w:w="108" w:type="dxa"/>
            </w:tcMar>
          </w:tcPr>
          <w:p w:rsidR="004A147C" w:rsidRPr="001170B2" w:rsidRDefault="004A147C" w:rsidP="00CE5850">
            <w:pPr>
              <w:jc w:val="center"/>
              <w:rPr>
                <w:sz w:val="20"/>
              </w:rPr>
            </w:pPr>
            <w:r w:rsidRPr="001170B2">
              <w:rPr>
                <w:sz w:val="20"/>
              </w:rPr>
              <w:t>3,619</w:t>
            </w:r>
          </w:p>
        </w:tc>
        <w:tc>
          <w:tcPr>
            <w:tcW w:w="922" w:type="dxa"/>
            <w:shd w:val="clear" w:color="auto" w:fill="F2DBDB"/>
            <w:tcMar>
              <w:top w:w="0" w:type="dxa"/>
              <w:left w:w="108" w:type="dxa"/>
              <w:bottom w:w="0" w:type="dxa"/>
              <w:right w:w="108" w:type="dxa"/>
            </w:tcMar>
          </w:tcPr>
          <w:p w:rsidR="004A147C" w:rsidRPr="001170B2" w:rsidRDefault="004A147C" w:rsidP="00CE5850">
            <w:pPr>
              <w:jc w:val="center"/>
              <w:rPr>
                <w:sz w:val="20"/>
              </w:rPr>
            </w:pPr>
            <w:r w:rsidRPr="001170B2">
              <w:rPr>
                <w:sz w:val="20"/>
              </w:rPr>
              <w:t>61.4%</w:t>
            </w:r>
          </w:p>
        </w:tc>
      </w:tr>
      <w:tr w:rsidR="004A147C" w:rsidRPr="00B53FFB" w:rsidTr="001170B2">
        <w:trPr>
          <w:trHeight w:val="255"/>
          <w:jc w:val="center"/>
        </w:trPr>
        <w:tc>
          <w:tcPr>
            <w:tcW w:w="1170" w:type="dxa"/>
            <w:shd w:val="clear" w:color="auto" w:fill="F2DBDB"/>
            <w:noWrap/>
            <w:tcMar>
              <w:top w:w="0" w:type="dxa"/>
              <w:left w:w="108" w:type="dxa"/>
              <w:bottom w:w="0" w:type="dxa"/>
              <w:right w:w="108" w:type="dxa"/>
            </w:tcMar>
          </w:tcPr>
          <w:p w:rsidR="004A147C" w:rsidRPr="007D38C2" w:rsidRDefault="004A147C" w:rsidP="00CE5850">
            <w:pPr>
              <w:snapToGrid w:val="0"/>
              <w:rPr>
                <w:rFonts w:eastAsia="Times New Roman"/>
                <w:kern w:val="0"/>
                <w:sz w:val="20"/>
              </w:rPr>
            </w:pPr>
            <w:r w:rsidRPr="007D38C2">
              <w:rPr>
                <w:rFonts w:eastAsia="Times New Roman"/>
                <w:kern w:val="0"/>
                <w:sz w:val="20"/>
              </w:rPr>
              <w:t>5 or more</w:t>
            </w:r>
          </w:p>
        </w:tc>
        <w:tc>
          <w:tcPr>
            <w:tcW w:w="1260" w:type="dxa"/>
            <w:shd w:val="clear" w:color="auto" w:fill="F2DBDB"/>
            <w:noWrap/>
            <w:tcMar>
              <w:top w:w="0" w:type="dxa"/>
              <w:left w:w="108" w:type="dxa"/>
              <w:bottom w:w="0" w:type="dxa"/>
              <w:right w:w="108" w:type="dxa"/>
            </w:tcMar>
          </w:tcPr>
          <w:p w:rsidR="004A147C" w:rsidRPr="001170B2" w:rsidRDefault="004A147C" w:rsidP="00CE5850">
            <w:pPr>
              <w:jc w:val="center"/>
              <w:rPr>
                <w:sz w:val="20"/>
              </w:rPr>
            </w:pPr>
            <w:r w:rsidRPr="001170B2">
              <w:rPr>
                <w:sz w:val="20"/>
              </w:rPr>
              <w:t>5,747</w:t>
            </w:r>
          </w:p>
        </w:tc>
        <w:tc>
          <w:tcPr>
            <w:tcW w:w="1260" w:type="dxa"/>
            <w:shd w:val="clear" w:color="auto" w:fill="F2DBDB"/>
            <w:noWrap/>
            <w:tcMar>
              <w:top w:w="0" w:type="dxa"/>
              <w:left w:w="108" w:type="dxa"/>
              <w:bottom w:w="0" w:type="dxa"/>
              <w:right w:w="108" w:type="dxa"/>
            </w:tcMar>
          </w:tcPr>
          <w:p w:rsidR="004A147C" w:rsidRPr="001170B2" w:rsidRDefault="004A147C" w:rsidP="00CE5850">
            <w:pPr>
              <w:jc w:val="center"/>
              <w:rPr>
                <w:sz w:val="20"/>
              </w:rPr>
            </w:pPr>
            <w:r w:rsidRPr="001170B2">
              <w:rPr>
                <w:sz w:val="20"/>
              </w:rPr>
              <w:t>248,242</w:t>
            </w:r>
          </w:p>
        </w:tc>
        <w:tc>
          <w:tcPr>
            <w:tcW w:w="895" w:type="dxa"/>
            <w:shd w:val="clear" w:color="auto" w:fill="F2DBDB"/>
            <w:noWrap/>
            <w:tcMar>
              <w:top w:w="0" w:type="dxa"/>
              <w:left w:w="108" w:type="dxa"/>
              <w:bottom w:w="0" w:type="dxa"/>
              <w:right w:w="108" w:type="dxa"/>
            </w:tcMar>
          </w:tcPr>
          <w:p w:rsidR="004A147C" w:rsidRPr="001170B2" w:rsidRDefault="004A147C" w:rsidP="00CE5850">
            <w:pPr>
              <w:jc w:val="center"/>
              <w:rPr>
                <w:sz w:val="20"/>
              </w:rPr>
            </w:pPr>
            <w:r w:rsidRPr="001170B2">
              <w:rPr>
                <w:sz w:val="20"/>
              </w:rPr>
              <w:t>80.8%</w:t>
            </w:r>
          </w:p>
        </w:tc>
        <w:tc>
          <w:tcPr>
            <w:tcW w:w="1260" w:type="dxa"/>
            <w:shd w:val="clear" w:color="auto" w:fill="F2DBDB"/>
            <w:noWrap/>
            <w:tcMar>
              <w:top w:w="0" w:type="dxa"/>
              <w:left w:w="108" w:type="dxa"/>
              <w:bottom w:w="0" w:type="dxa"/>
              <w:right w:w="108" w:type="dxa"/>
            </w:tcMar>
          </w:tcPr>
          <w:p w:rsidR="004A147C" w:rsidRPr="001170B2" w:rsidRDefault="004A147C" w:rsidP="00CE5850">
            <w:pPr>
              <w:jc w:val="center"/>
              <w:rPr>
                <w:sz w:val="20"/>
              </w:rPr>
            </w:pPr>
            <w:r w:rsidRPr="001170B2">
              <w:rPr>
                <w:sz w:val="20"/>
              </w:rPr>
              <w:t>555</w:t>
            </w:r>
          </w:p>
        </w:tc>
        <w:tc>
          <w:tcPr>
            <w:tcW w:w="990" w:type="dxa"/>
            <w:shd w:val="clear" w:color="auto" w:fill="F2DBDB"/>
            <w:noWrap/>
            <w:tcMar>
              <w:top w:w="0" w:type="dxa"/>
              <w:left w:w="108" w:type="dxa"/>
              <w:bottom w:w="0" w:type="dxa"/>
              <w:right w:w="108" w:type="dxa"/>
            </w:tcMar>
          </w:tcPr>
          <w:p w:rsidR="004A147C" w:rsidRPr="001170B2" w:rsidRDefault="004A147C" w:rsidP="00CE5850">
            <w:pPr>
              <w:jc w:val="center"/>
              <w:rPr>
                <w:sz w:val="20"/>
              </w:rPr>
            </w:pPr>
            <w:r w:rsidRPr="001170B2">
              <w:rPr>
                <w:sz w:val="20"/>
              </w:rPr>
              <w:t>22.8%</w:t>
            </w:r>
          </w:p>
        </w:tc>
        <w:tc>
          <w:tcPr>
            <w:tcW w:w="1243" w:type="dxa"/>
            <w:shd w:val="clear" w:color="auto" w:fill="F2DBDB"/>
            <w:tcMar>
              <w:top w:w="0" w:type="dxa"/>
              <w:left w:w="108" w:type="dxa"/>
              <w:bottom w:w="0" w:type="dxa"/>
              <w:right w:w="108" w:type="dxa"/>
            </w:tcMar>
          </w:tcPr>
          <w:p w:rsidR="004A147C" w:rsidRPr="001170B2" w:rsidRDefault="004A147C" w:rsidP="00CE5850">
            <w:pPr>
              <w:jc w:val="center"/>
              <w:rPr>
                <w:sz w:val="20"/>
              </w:rPr>
            </w:pPr>
            <w:r w:rsidRPr="001170B2">
              <w:rPr>
                <w:sz w:val="20"/>
              </w:rPr>
              <w:t>2,331</w:t>
            </w:r>
          </w:p>
        </w:tc>
        <w:tc>
          <w:tcPr>
            <w:tcW w:w="922" w:type="dxa"/>
            <w:shd w:val="clear" w:color="auto" w:fill="F2DBDB"/>
            <w:tcMar>
              <w:top w:w="0" w:type="dxa"/>
              <w:left w:w="108" w:type="dxa"/>
              <w:bottom w:w="0" w:type="dxa"/>
              <w:right w:w="108" w:type="dxa"/>
            </w:tcMar>
          </w:tcPr>
          <w:p w:rsidR="004A147C" w:rsidRPr="001170B2" w:rsidRDefault="004A147C" w:rsidP="00CE5850">
            <w:pPr>
              <w:jc w:val="center"/>
              <w:rPr>
                <w:sz w:val="20"/>
              </w:rPr>
            </w:pPr>
            <w:r w:rsidRPr="001170B2">
              <w:rPr>
                <w:sz w:val="20"/>
              </w:rPr>
              <w:t>39.6%</w:t>
            </w:r>
          </w:p>
        </w:tc>
      </w:tr>
    </w:tbl>
    <w:p w:rsidR="004A147C" w:rsidRPr="00B53FFB" w:rsidRDefault="004A147C" w:rsidP="00CE5850">
      <w:pPr>
        <w:pStyle w:val="ParaNum"/>
        <w:numPr>
          <w:ilvl w:val="0"/>
          <w:numId w:val="28"/>
        </w:numPr>
        <w:spacing w:before="120"/>
        <w:rPr>
          <w:sz w:val="22"/>
          <w:szCs w:val="22"/>
        </w:rPr>
      </w:pPr>
      <w:r w:rsidRPr="00B53FFB">
        <w:rPr>
          <w:i/>
          <w:sz w:val="22"/>
          <w:szCs w:val="22"/>
        </w:rPr>
        <w:t>Mobile Broadband Coverage</w:t>
      </w:r>
      <w:r w:rsidRPr="00B53FFB">
        <w:rPr>
          <w:sz w:val="22"/>
          <w:szCs w:val="22"/>
        </w:rPr>
        <w:t xml:space="preserve">.  </w:t>
      </w:r>
      <w:r w:rsidRPr="002B1060">
        <w:rPr>
          <w:sz w:val="22"/>
          <w:szCs w:val="22"/>
        </w:rPr>
        <w:t>Tables 8 and 9 below show the estimated mobile broadband coverage as of January 2012 and October 2012.  For purposes of this Report, “mobile broadband” includes coverage and services offered using the following 3G and 4G technologies: EVDO, EVDO Rev A, WCDMA/HSPA, H</w:t>
      </w:r>
      <w:r>
        <w:rPr>
          <w:sz w:val="22"/>
          <w:szCs w:val="22"/>
        </w:rPr>
        <w:t xml:space="preserve">SPA+, LTE, and mobile WiMAX.  </w:t>
      </w:r>
      <w:r w:rsidRPr="002B1060">
        <w:rPr>
          <w:sz w:val="22"/>
          <w:szCs w:val="22"/>
        </w:rPr>
        <w:t>Mobile broadband network deployment by multiple provid</w:t>
      </w:r>
      <w:r>
        <w:rPr>
          <w:sz w:val="22"/>
          <w:szCs w:val="22"/>
        </w:rPr>
        <w:t>ers has continued and, as of Oct</w:t>
      </w:r>
      <w:r w:rsidRPr="002B1060">
        <w:rPr>
          <w:sz w:val="22"/>
          <w:szCs w:val="22"/>
        </w:rPr>
        <w:t>ober 2012, approximately 311 million people, or 99.5 percent of the U.S. population, lived in areas with coverage by at least one mobile broadband provider, up from approximately 98.5 percent in August 2010.  We estimate that the percentage of the population covered by at least three mobile broadband providers increased from 82 percent in August 2010 to 87 percent in April 2011 to nearly 92 percent in October 2012.  Finally, in October 2012, 82 percent of the U.S. population lived in areas with coverage by at least four mobile broadband providers, up</w:t>
      </w:r>
      <w:r>
        <w:rPr>
          <w:sz w:val="22"/>
          <w:szCs w:val="22"/>
        </w:rPr>
        <w:t xml:space="preserve"> from 68 percent in August 2010</w:t>
      </w:r>
      <w:r w:rsidRPr="00B53FFB">
        <w:rPr>
          <w:sz w:val="22"/>
          <w:szCs w:val="22"/>
        </w:rPr>
        <w:t>.</w:t>
      </w:r>
    </w:p>
    <w:p w:rsidR="004A147C" w:rsidRPr="00E74FE8" w:rsidRDefault="004A147C" w:rsidP="00CE5850">
      <w:pPr>
        <w:pStyle w:val="Caption"/>
        <w:widowControl w:val="0"/>
        <w:spacing w:before="0" w:after="0"/>
        <w:jc w:val="center"/>
        <w:rPr>
          <w:sz w:val="22"/>
          <w:szCs w:val="22"/>
        </w:rPr>
      </w:pPr>
      <w:bookmarkStart w:id="935" w:name="_Hlt185756527"/>
      <w:bookmarkEnd w:id="935"/>
      <w:r w:rsidRPr="00E74FE8">
        <w:rPr>
          <w:sz w:val="22"/>
          <w:szCs w:val="22"/>
        </w:rPr>
        <w:t xml:space="preserve">Table </w:t>
      </w:r>
      <w:r w:rsidR="0007014B" w:rsidRPr="00E74FE8">
        <w:rPr>
          <w:sz w:val="22"/>
          <w:szCs w:val="22"/>
        </w:rPr>
        <w:fldChar w:fldCharType="begin"/>
      </w:r>
      <w:r w:rsidRPr="00E74FE8">
        <w:rPr>
          <w:sz w:val="22"/>
          <w:szCs w:val="22"/>
        </w:rPr>
        <w:instrText xml:space="preserve"> SEQ Table \* ARABIC </w:instrText>
      </w:r>
      <w:r w:rsidR="0007014B" w:rsidRPr="00E74FE8">
        <w:rPr>
          <w:sz w:val="22"/>
          <w:szCs w:val="22"/>
        </w:rPr>
        <w:fldChar w:fldCharType="separate"/>
      </w:r>
      <w:r w:rsidR="00CA3AC6">
        <w:rPr>
          <w:noProof/>
          <w:sz w:val="22"/>
          <w:szCs w:val="22"/>
        </w:rPr>
        <w:t>8</w:t>
      </w:r>
      <w:r w:rsidR="0007014B" w:rsidRPr="00E74FE8">
        <w:rPr>
          <w:sz w:val="22"/>
          <w:szCs w:val="22"/>
        </w:rPr>
        <w:fldChar w:fldCharType="end"/>
      </w:r>
    </w:p>
    <w:p w:rsidR="004A147C" w:rsidRPr="00E74FE8" w:rsidRDefault="004A147C" w:rsidP="00CE5850">
      <w:pPr>
        <w:pStyle w:val="Caption"/>
        <w:widowControl w:val="0"/>
        <w:spacing w:before="0" w:after="0"/>
        <w:jc w:val="center"/>
        <w:rPr>
          <w:sz w:val="22"/>
          <w:szCs w:val="22"/>
        </w:rPr>
      </w:pPr>
      <w:r w:rsidRPr="00E74FE8">
        <w:rPr>
          <w:sz w:val="22"/>
          <w:szCs w:val="22"/>
        </w:rPr>
        <w:t>Estimated Mobile Wireless Broadband Coverage by Census Block, Jan. 2012</w:t>
      </w:r>
      <w:r w:rsidRPr="00E74FE8">
        <w:rPr>
          <w:rStyle w:val="FootnoteReference"/>
          <w:b w:val="0"/>
          <w:szCs w:val="22"/>
        </w:rPr>
        <w:footnoteReference w:id="156"/>
      </w:r>
    </w:p>
    <w:tbl>
      <w:tblPr>
        <w:tblW w:w="9000" w:type="dxa"/>
        <w:jc w:val="center"/>
        <w:tblInd w:w="426"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0" w:type="dxa"/>
          <w:right w:w="0" w:type="dxa"/>
        </w:tblCellMar>
        <w:tblLook w:val="00A0" w:firstRow="1" w:lastRow="0" w:firstColumn="1" w:lastColumn="0" w:noHBand="0" w:noVBand="0"/>
      </w:tblPr>
      <w:tblGrid>
        <w:gridCol w:w="1170"/>
        <w:gridCol w:w="1284"/>
        <w:gridCol w:w="1284"/>
        <w:gridCol w:w="810"/>
        <w:gridCol w:w="1284"/>
        <w:gridCol w:w="990"/>
        <w:gridCol w:w="1284"/>
        <w:gridCol w:w="894"/>
      </w:tblGrid>
      <w:tr w:rsidR="004A147C" w:rsidRPr="00B53FFB" w:rsidTr="00E74FE8">
        <w:trPr>
          <w:trHeight w:val="765"/>
          <w:jc w:val="center"/>
        </w:trPr>
        <w:tc>
          <w:tcPr>
            <w:tcW w:w="1170" w:type="dxa"/>
            <w:shd w:val="clear" w:color="auto" w:fill="DAEEF3"/>
            <w:tcMar>
              <w:top w:w="0" w:type="dxa"/>
              <w:left w:w="108" w:type="dxa"/>
              <w:bottom w:w="0" w:type="dxa"/>
              <w:right w:w="108" w:type="dxa"/>
            </w:tcMar>
          </w:tcPr>
          <w:p w:rsidR="004A147C" w:rsidRPr="007D38C2" w:rsidRDefault="004A147C" w:rsidP="00CE5850">
            <w:pPr>
              <w:snapToGrid w:val="0"/>
              <w:jc w:val="center"/>
              <w:rPr>
                <w:rFonts w:eastAsia="Times New Roman"/>
                <w:b/>
                <w:bCs/>
                <w:sz w:val="20"/>
              </w:rPr>
            </w:pPr>
            <w:r w:rsidRPr="007D38C2">
              <w:rPr>
                <w:b/>
                <w:bCs/>
                <w:sz w:val="20"/>
              </w:rPr>
              <w:t>Number of Providers with Coverage in a Block</w:t>
            </w:r>
          </w:p>
        </w:tc>
        <w:tc>
          <w:tcPr>
            <w:tcW w:w="1284" w:type="dxa"/>
            <w:shd w:val="clear" w:color="auto" w:fill="DAEEF3"/>
            <w:tcMar>
              <w:top w:w="0" w:type="dxa"/>
              <w:left w:w="108" w:type="dxa"/>
              <w:bottom w:w="0" w:type="dxa"/>
              <w:right w:w="108" w:type="dxa"/>
            </w:tcMar>
          </w:tcPr>
          <w:p w:rsidR="004A147C" w:rsidRPr="007D38C2" w:rsidRDefault="004A147C" w:rsidP="00CE5850">
            <w:pPr>
              <w:snapToGrid w:val="0"/>
              <w:jc w:val="center"/>
              <w:rPr>
                <w:rFonts w:eastAsia="Times New Roman"/>
                <w:b/>
                <w:bCs/>
                <w:sz w:val="20"/>
              </w:rPr>
            </w:pPr>
            <w:r w:rsidRPr="007D38C2">
              <w:rPr>
                <w:b/>
                <w:bCs/>
                <w:sz w:val="20"/>
              </w:rPr>
              <w:t xml:space="preserve">Number </w:t>
            </w:r>
          </w:p>
          <w:p w:rsidR="004A147C" w:rsidRPr="007D38C2" w:rsidRDefault="004A147C" w:rsidP="00CE5850">
            <w:pPr>
              <w:snapToGrid w:val="0"/>
              <w:jc w:val="center"/>
              <w:rPr>
                <w:b/>
                <w:bCs/>
                <w:sz w:val="20"/>
              </w:rPr>
            </w:pPr>
            <w:r w:rsidRPr="007D38C2">
              <w:rPr>
                <w:b/>
                <w:bCs/>
                <w:sz w:val="20"/>
              </w:rPr>
              <w:t>of Blocks</w:t>
            </w:r>
          </w:p>
          <w:p w:rsidR="004A147C" w:rsidRPr="007D38C2" w:rsidRDefault="004A147C" w:rsidP="00CE5850">
            <w:pPr>
              <w:snapToGrid w:val="0"/>
              <w:jc w:val="center"/>
              <w:rPr>
                <w:rFonts w:eastAsia="Times New Roman"/>
                <w:b/>
                <w:bCs/>
                <w:sz w:val="20"/>
              </w:rPr>
            </w:pPr>
            <w:r w:rsidRPr="007D38C2">
              <w:rPr>
                <w:b/>
                <w:bCs/>
                <w:sz w:val="20"/>
              </w:rPr>
              <w:t>(Thousands)</w:t>
            </w:r>
          </w:p>
        </w:tc>
        <w:tc>
          <w:tcPr>
            <w:tcW w:w="1284" w:type="dxa"/>
            <w:shd w:val="clear" w:color="auto" w:fill="DAEEF3"/>
            <w:tcMar>
              <w:top w:w="0" w:type="dxa"/>
              <w:left w:w="108" w:type="dxa"/>
              <w:bottom w:w="0" w:type="dxa"/>
              <w:right w:w="108" w:type="dxa"/>
            </w:tcMar>
          </w:tcPr>
          <w:p w:rsidR="004A147C" w:rsidRPr="007D38C2" w:rsidRDefault="004A147C" w:rsidP="00CE5850">
            <w:pPr>
              <w:snapToGrid w:val="0"/>
              <w:jc w:val="center"/>
              <w:rPr>
                <w:rFonts w:eastAsia="Times New Roman"/>
                <w:b/>
                <w:bCs/>
                <w:sz w:val="20"/>
              </w:rPr>
            </w:pPr>
            <w:r w:rsidRPr="007D38C2">
              <w:rPr>
                <w:b/>
                <w:bCs/>
                <w:sz w:val="20"/>
              </w:rPr>
              <w:t>POPs Contained in Those Blocks</w:t>
            </w:r>
          </w:p>
          <w:p w:rsidR="004A147C" w:rsidRPr="007D38C2" w:rsidRDefault="004A147C" w:rsidP="00CE5850">
            <w:pPr>
              <w:snapToGrid w:val="0"/>
              <w:jc w:val="center"/>
              <w:rPr>
                <w:rFonts w:eastAsia="Times New Roman"/>
                <w:b/>
                <w:bCs/>
                <w:sz w:val="20"/>
              </w:rPr>
            </w:pPr>
            <w:r w:rsidRPr="007D38C2">
              <w:rPr>
                <w:b/>
                <w:bCs/>
                <w:sz w:val="20"/>
              </w:rPr>
              <w:t>(Thousands)</w:t>
            </w:r>
          </w:p>
        </w:tc>
        <w:tc>
          <w:tcPr>
            <w:tcW w:w="810" w:type="dxa"/>
            <w:shd w:val="clear" w:color="auto" w:fill="DAEEF3"/>
            <w:tcMar>
              <w:top w:w="0" w:type="dxa"/>
              <w:left w:w="108" w:type="dxa"/>
              <w:bottom w:w="0" w:type="dxa"/>
              <w:right w:w="108" w:type="dxa"/>
            </w:tcMar>
          </w:tcPr>
          <w:p w:rsidR="004A147C" w:rsidRPr="007D38C2" w:rsidRDefault="004A147C" w:rsidP="00CE5850">
            <w:pPr>
              <w:snapToGrid w:val="0"/>
              <w:jc w:val="center"/>
              <w:rPr>
                <w:rFonts w:eastAsia="Times New Roman"/>
                <w:b/>
                <w:bCs/>
                <w:sz w:val="20"/>
              </w:rPr>
            </w:pPr>
            <w:r w:rsidRPr="007D38C2">
              <w:rPr>
                <w:b/>
                <w:bCs/>
                <w:sz w:val="20"/>
              </w:rPr>
              <w:t>% of Total US POPs</w:t>
            </w:r>
          </w:p>
        </w:tc>
        <w:tc>
          <w:tcPr>
            <w:tcW w:w="1284" w:type="dxa"/>
            <w:shd w:val="clear" w:color="auto" w:fill="DAEEF3"/>
            <w:tcMar>
              <w:top w:w="0" w:type="dxa"/>
              <w:left w:w="108" w:type="dxa"/>
              <w:bottom w:w="0" w:type="dxa"/>
              <w:right w:w="108" w:type="dxa"/>
            </w:tcMar>
          </w:tcPr>
          <w:p w:rsidR="004A147C" w:rsidRPr="007D38C2" w:rsidRDefault="004A147C" w:rsidP="00CE5850">
            <w:pPr>
              <w:snapToGrid w:val="0"/>
              <w:jc w:val="center"/>
              <w:rPr>
                <w:rFonts w:eastAsia="Times New Roman"/>
                <w:b/>
                <w:bCs/>
                <w:sz w:val="20"/>
              </w:rPr>
            </w:pPr>
            <w:r w:rsidRPr="007D38C2">
              <w:rPr>
                <w:b/>
                <w:bCs/>
                <w:sz w:val="20"/>
              </w:rPr>
              <w:t>Square Miles Contained in Those Blocks</w:t>
            </w:r>
          </w:p>
          <w:p w:rsidR="004A147C" w:rsidRPr="007D38C2" w:rsidRDefault="004A147C" w:rsidP="00CE5850">
            <w:pPr>
              <w:snapToGrid w:val="0"/>
              <w:jc w:val="center"/>
              <w:rPr>
                <w:rFonts w:eastAsia="Times New Roman"/>
                <w:b/>
                <w:bCs/>
                <w:sz w:val="20"/>
              </w:rPr>
            </w:pPr>
            <w:r w:rsidRPr="007D38C2">
              <w:rPr>
                <w:b/>
                <w:bCs/>
                <w:sz w:val="20"/>
              </w:rPr>
              <w:t>(Thousands)</w:t>
            </w:r>
          </w:p>
        </w:tc>
        <w:tc>
          <w:tcPr>
            <w:tcW w:w="990" w:type="dxa"/>
            <w:shd w:val="clear" w:color="auto" w:fill="DAEEF3"/>
            <w:tcMar>
              <w:top w:w="0" w:type="dxa"/>
              <w:left w:w="108" w:type="dxa"/>
              <w:bottom w:w="0" w:type="dxa"/>
              <w:right w:w="108" w:type="dxa"/>
            </w:tcMar>
          </w:tcPr>
          <w:p w:rsidR="004A147C" w:rsidRPr="007D38C2" w:rsidRDefault="004A147C" w:rsidP="00CE5850">
            <w:pPr>
              <w:snapToGrid w:val="0"/>
              <w:jc w:val="center"/>
              <w:rPr>
                <w:rFonts w:eastAsia="Times New Roman"/>
                <w:b/>
                <w:bCs/>
                <w:sz w:val="20"/>
              </w:rPr>
            </w:pPr>
            <w:r w:rsidRPr="007D38C2">
              <w:rPr>
                <w:b/>
                <w:bCs/>
                <w:sz w:val="20"/>
              </w:rPr>
              <w:t>% of Total US Square Miles</w:t>
            </w:r>
          </w:p>
        </w:tc>
        <w:tc>
          <w:tcPr>
            <w:tcW w:w="1284" w:type="dxa"/>
            <w:shd w:val="clear" w:color="auto" w:fill="DAEEF3"/>
            <w:tcMar>
              <w:top w:w="0" w:type="dxa"/>
              <w:left w:w="108" w:type="dxa"/>
              <w:bottom w:w="0" w:type="dxa"/>
              <w:right w:w="108" w:type="dxa"/>
            </w:tcMar>
          </w:tcPr>
          <w:p w:rsidR="004A147C" w:rsidRPr="007D38C2" w:rsidRDefault="004A147C" w:rsidP="00CE5850">
            <w:pPr>
              <w:snapToGrid w:val="0"/>
              <w:jc w:val="center"/>
              <w:rPr>
                <w:rFonts w:eastAsia="Times New Roman"/>
                <w:b/>
                <w:bCs/>
                <w:sz w:val="20"/>
              </w:rPr>
            </w:pPr>
            <w:r w:rsidRPr="007D38C2">
              <w:rPr>
                <w:b/>
                <w:bCs/>
                <w:sz w:val="20"/>
              </w:rPr>
              <w:t>Road</w:t>
            </w:r>
          </w:p>
          <w:p w:rsidR="004A147C" w:rsidRPr="007D38C2" w:rsidRDefault="004A147C" w:rsidP="00CE5850">
            <w:pPr>
              <w:snapToGrid w:val="0"/>
              <w:jc w:val="center"/>
              <w:rPr>
                <w:rFonts w:eastAsia="Times New Roman"/>
                <w:b/>
                <w:bCs/>
                <w:sz w:val="20"/>
              </w:rPr>
            </w:pPr>
            <w:r w:rsidRPr="007D38C2">
              <w:rPr>
                <w:b/>
                <w:bCs/>
                <w:sz w:val="20"/>
              </w:rPr>
              <w:t>Miles Contained in Those Blocks (Thousands)</w:t>
            </w:r>
          </w:p>
        </w:tc>
        <w:tc>
          <w:tcPr>
            <w:tcW w:w="894" w:type="dxa"/>
            <w:shd w:val="clear" w:color="auto" w:fill="DAEEF3"/>
            <w:tcMar>
              <w:top w:w="0" w:type="dxa"/>
              <w:left w:w="108" w:type="dxa"/>
              <w:bottom w:w="0" w:type="dxa"/>
              <w:right w:w="108" w:type="dxa"/>
            </w:tcMar>
          </w:tcPr>
          <w:p w:rsidR="004A147C" w:rsidRPr="007D38C2" w:rsidRDefault="004A147C" w:rsidP="00CE5850">
            <w:pPr>
              <w:snapToGrid w:val="0"/>
              <w:jc w:val="center"/>
              <w:rPr>
                <w:rFonts w:eastAsia="Times New Roman"/>
                <w:b/>
                <w:bCs/>
                <w:sz w:val="20"/>
              </w:rPr>
            </w:pPr>
            <w:r w:rsidRPr="007D38C2">
              <w:rPr>
                <w:b/>
                <w:bCs/>
                <w:sz w:val="20"/>
              </w:rPr>
              <w:t>% of Total US Road Miles</w:t>
            </w:r>
          </w:p>
        </w:tc>
      </w:tr>
      <w:tr w:rsidR="004A147C" w:rsidRPr="00B53FFB" w:rsidTr="00E74FE8">
        <w:trPr>
          <w:trHeight w:val="215"/>
          <w:jc w:val="center"/>
        </w:trPr>
        <w:tc>
          <w:tcPr>
            <w:tcW w:w="1170" w:type="dxa"/>
            <w:shd w:val="clear" w:color="auto" w:fill="DAEEF3"/>
            <w:noWrap/>
            <w:tcMar>
              <w:top w:w="0" w:type="dxa"/>
              <w:left w:w="108" w:type="dxa"/>
              <w:bottom w:w="0" w:type="dxa"/>
              <w:right w:w="108" w:type="dxa"/>
            </w:tcMar>
            <w:vAlign w:val="bottom"/>
          </w:tcPr>
          <w:p w:rsidR="004A147C" w:rsidRPr="007D38C2" w:rsidRDefault="004A147C" w:rsidP="00CE5850">
            <w:pPr>
              <w:snapToGrid w:val="0"/>
              <w:jc w:val="center"/>
              <w:rPr>
                <w:rFonts w:eastAsia="Times New Roman"/>
                <w:sz w:val="20"/>
              </w:rPr>
            </w:pPr>
            <w:r w:rsidRPr="007D38C2">
              <w:rPr>
                <w:sz w:val="20"/>
              </w:rPr>
              <w:t>1 or more</w:t>
            </w:r>
          </w:p>
        </w:tc>
        <w:tc>
          <w:tcPr>
            <w:tcW w:w="1284" w:type="dxa"/>
            <w:shd w:val="clear" w:color="auto" w:fill="DAEEF3"/>
            <w:noWrap/>
            <w:tcMar>
              <w:top w:w="0" w:type="dxa"/>
              <w:left w:w="108" w:type="dxa"/>
              <w:bottom w:w="0" w:type="dxa"/>
              <w:right w:w="108" w:type="dxa"/>
            </w:tcMar>
          </w:tcPr>
          <w:p w:rsidR="004A147C" w:rsidRPr="007D38C2" w:rsidRDefault="004A147C" w:rsidP="00CE5850">
            <w:pPr>
              <w:snapToGrid w:val="0"/>
              <w:jc w:val="center"/>
              <w:rPr>
                <w:rFonts w:eastAsia="Times New Roman"/>
                <w:sz w:val="20"/>
              </w:rPr>
            </w:pPr>
            <w:r w:rsidRPr="007D38C2">
              <w:rPr>
                <w:sz w:val="20"/>
              </w:rPr>
              <w:t>10,620</w:t>
            </w:r>
          </w:p>
        </w:tc>
        <w:tc>
          <w:tcPr>
            <w:tcW w:w="1284" w:type="dxa"/>
            <w:shd w:val="clear" w:color="auto" w:fill="DAEEF3"/>
            <w:noWrap/>
            <w:tcMar>
              <w:top w:w="0" w:type="dxa"/>
              <w:left w:w="108" w:type="dxa"/>
              <w:bottom w:w="0" w:type="dxa"/>
              <w:right w:w="108" w:type="dxa"/>
            </w:tcMar>
          </w:tcPr>
          <w:p w:rsidR="004A147C" w:rsidRPr="007D38C2" w:rsidRDefault="004A147C" w:rsidP="00CE5850">
            <w:pPr>
              <w:snapToGrid w:val="0"/>
              <w:jc w:val="center"/>
              <w:rPr>
                <w:rFonts w:eastAsia="Times New Roman"/>
                <w:sz w:val="20"/>
              </w:rPr>
            </w:pPr>
            <w:r w:rsidRPr="007D38C2">
              <w:rPr>
                <w:sz w:val="20"/>
              </w:rPr>
              <w:t>310,519</w:t>
            </w:r>
          </w:p>
        </w:tc>
        <w:tc>
          <w:tcPr>
            <w:tcW w:w="810" w:type="dxa"/>
            <w:shd w:val="clear" w:color="auto" w:fill="DAEEF3"/>
            <w:noWrap/>
            <w:tcMar>
              <w:top w:w="0" w:type="dxa"/>
              <w:left w:w="108" w:type="dxa"/>
              <w:bottom w:w="0" w:type="dxa"/>
              <w:right w:w="108" w:type="dxa"/>
            </w:tcMar>
          </w:tcPr>
          <w:p w:rsidR="004A147C" w:rsidRPr="007D38C2" w:rsidRDefault="004A147C" w:rsidP="00CE5850">
            <w:pPr>
              <w:rPr>
                <w:sz w:val="20"/>
              </w:rPr>
            </w:pPr>
            <w:r w:rsidRPr="007D38C2">
              <w:rPr>
                <w:sz w:val="20"/>
              </w:rPr>
              <w:t>99.4%</w:t>
            </w:r>
          </w:p>
        </w:tc>
        <w:tc>
          <w:tcPr>
            <w:tcW w:w="1284" w:type="dxa"/>
            <w:shd w:val="clear" w:color="auto" w:fill="DAEEF3"/>
            <w:noWrap/>
            <w:tcMar>
              <w:top w:w="0" w:type="dxa"/>
              <w:left w:w="108" w:type="dxa"/>
              <w:bottom w:w="0" w:type="dxa"/>
              <w:right w:w="108" w:type="dxa"/>
            </w:tcMar>
            <w:vAlign w:val="bottom"/>
          </w:tcPr>
          <w:p w:rsidR="004A147C" w:rsidRPr="007D38C2" w:rsidRDefault="004A147C" w:rsidP="00CE5850">
            <w:pPr>
              <w:snapToGrid w:val="0"/>
              <w:jc w:val="center"/>
              <w:rPr>
                <w:rFonts w:eastAsia="Times New Roman"/>
                <w:sz w:val="20"/>
              </w:rPr>
            </w:pPr>
            <w:r w:rsidRPr="007D38C2">
              <w:rPr>
                <w:sz w:val="20"/>
              </w:rPr>
              <w:t>2,517</w:t>
            </w:r>
          </w:p>
        </w:tc>
        <w:tc>
          <w:tcPr>
            <w:tcW w:w="990" w:type="dxa"/>
            <w:shd w:val="clear" w:color="auto" w:fill="DAEEF3"/>
            <w:noWrap/>
            <w:tcMar>
              <w:top w:w="0" w:type="dxa"/>
              <w:left w:w="108" w:type="dxa"/>
              <w:bottom w:w="0" w:type="dxa"/>
              <w:right w:w="108" w:type="dxa"/>
            </w:tcMar>
          </w:tcPr>
          <w:p w:rsidR="004A147C" w:rsidRPr="007D38C2" w:rsidRDefault="004A147C" w:rsidP="00CE5850">
            <w:pPr>
              <w:jc w:val="center"/>
              <w:rPr>
                <w:sz w:val="20"/>
              </w:rPr>
            </w:pPr>
            <w:r w:rsidRPr="007D38C2">
              <w:rPr>
                <w:sz w:val="20"/>
              </w:rPr>
              <w:t>66.2%</w:t>
            </w:r>
          </w:p>
        </w:tc>
        <w:tc>
          <w:tcPr>
            <w:tcW w:w="1284" w:type="dxa"/>
            <w:shd w:val="clear" w:color="auto" w:fill="DAEEF3"/>
            <w:tcMar>
              <w:top w:w="0" w:type="dxa"/>
              <w:left w:w="108" w:type="dxa"/>
              <w:bottom w:w="0" w:type="dxa"/>
              <w:right w:w="108" w:type="dxa"/>
            </w:tcMar>
          </w:tcPr>
          <w:p w:rsidR="004A147C" w:rsidRPr="007D38C2" w:rsidRDefault="004A147C" w:rsidP="00CE5850">
            <w:pPr>
              <w:jc w:val="center"/>
              <w:rPr>
                <w:sz w:val="20"/>
              </w:rPr>
            </w:pPr>
            <w:r w:rsidRPr="007D38C2">
              <w:rPr>
                <w:sz w:val="20"/>
              </w:rPr>
              <w:t>6,115</w:t>
            </w:r>
          </w:p>
        </w:tc>
        <w:tc>
          <w:tcPr>
            <w:tcW w:w="894" w:type="dxa"/>
            <w:shd w:val="clear" w:color="auto" w:fill="DAEEF3"/>
            <w:tcMar>
              <w:top w:w="0" w:type="dxa"/>
              <w:left w:w="108" w:type="dxa"/>
              <w:bottom w:w="0" w:type="dxa"/>
              <w:right w:w="108" w:type="dxa"/>
            </w:tcMar>
          </w:tcPr>
          <w:p w:rsidR="004A147C" w:rsidRPr="007D38C2" w:rsidRDefault="004A147C" w:rsidP="00CE5850">
            <w:pPr>
              <w:jc w:val="center"/>
              <w:rPr>
                <w:sz w:val="20"/>
              </w:rPr>
            </w:pPr>
            <w:r w:rsidRPr="007D38C2">
              <w:rPr>
                <w:sz w:val="20"/>
              </w:rPr>
              <w:t>89.6%</w:t>
            </w:r>
          </w:p>
        </w:tc>
      </w:tr>
      <w:tr w:rsidR="004A147C" w:rsidRPr="00B53FFB" w:rsidTr="00E74FE8">
        <w:trPr>
          <w:trHeight w:val="255"/>
          <w:jc w:val="center"/>
        </w:trPr>
        <w:tc>
          <w:tcPr>
            <w:tcW w:w="1170" w:type="dxa"/>
            <w:shd w:val="clear" w:color="auto" w:fill="DAEEF3"/>
            <w:noWrap/>
            <w:tcMar>
              <w:top w:w="0" w:type="dxa"/>
              <w:left w:w="108" w:type="dxa"/>
              <w:bottom w:w="0" w:type="dxa"/>
              <w:right w:w="108" w:type="dxa"/>
            </w:tcMar>
            <w:vAlign w:val="bottom"/>
          </w:tcPr>
          <w:p w:rsidR="004A147C" w:rsidRPr="007D38C2" w:rsidRDefault="004A147C" w:rsidP="00CE5850">
            <w:pPr>
              <w:snapToGrid w:val="0"/>
              <w:jc w:val="center"/>
              <w:rPr>
                <w:rFonts w:eastAsia="Times New Roman"/>
                <w:sz w:val="20"/>
              </w:rPr>
            </w:pPr>
            <w:r w:rsidRPr="007D38C2">
              <w:rPr>
                <w:sz w:val="20"/>
              </w:rPr>
              <w:t>2 or more</w:t>
            </w:r>
          </w:p>
        </w:tc>
        <w:tc>
          <w:tcPr>
            <w:tcW w:w="1284" w:type="dxa"/>
            <w:shd w:val="clear" w:color="auto" w:fill="DAEEF3"/>
            <w:noWrap/>
            <w:tcMar>
              <w:top w:w="0" w:type="dxa"/>
              <w:left w:w="108" w:type="dxa"/>
              <w:bottom w:w="0" w:type="dxa"/>
              <w:right w:w="108" w:type="dxa"/>
            </w:tcMar>
          </w:tcPr>
          <w:p w:rsidR="004A147C" w:rsidRPr="007D38C2" w:rsidRDefault="004A147C" w:rsidP="00CE5850">
            <w:pPr>
              <w:snapToGrid w:val="0"/>
              <w:jc w:val="center"/>
              <w:rPr>
                <w:rFonts w:eastAsia="Times New Roman"/>
                <w:sz w:val="20"/>
              </w:rPr>
            </w:pPr>
            <w:r w:rsidRPr="007D38C2">
              <w:rPr>
                <w:sz w:val="20"/>
              </w:rPr>
              <w:t>9,570</w:t>
            </w:r>
          </w:p>
        </w:tc>
        <w:tc>
          <w:tcPr>
            <w:tcW w:w="1284" w:type="dxa"/>
            <w:shd w:val="clear" w:color="auto" w:fill="DAEEF3"/>
            <w:noWrap/>
            <w:tcMar>
              <w:top w:w="0" w:type="dxa"/>
              <w:left w:w="108" w:type="dxa"/>
              <w:bottom w:w="0" w:type="dxa"/>
              <w:right w:w="108" w:type="dxa"/>
            </w:tcMar>
          </w:tcPr>
          <w:p w:rsidR="004A147C" w:rsidRPr="007D38C2" w:rsidRDefault="004A147C" w:rsidP="00CE5850">
            <w:pPr>
              <w:snapToGrid w:val="0"/>
              <w:jc w:val="center"/>
              <w:rPr>
                <w:rFonts w:eastAsia="Times New Roman"/>
                <w:sz w:val="20"/>
              </w:rPr>
            </w:pPr>
            <w:r w:rsidRPr="007D38C2">
              <w:rPr>
                <w:sz w:val="20"/>
              </w:rPr>
              <w:t>302,620</w:t>
            </w:r>
          </w:p>
        </w:tc>
        <w:tc>
          <w:tcPr>
            <w:tcW w:w="810" w:type="dxa"/>
            <w:shd w:val="clear" w:color="auto" w:fill="DAEEF3"/>
            <w:noWrap/>
            <w:tcMar>
              <w:top w:w="0" w:type="dxa"/>
              <w:left w:w="108" w:type="dxa"/>
              <w:bottom w:w="0" w:type="dxa"/>
              <w:right w:w="108" w:type="dxa"/>
            </w:tcMar>
          </w:tcPr>
          <w:p w:rsidR="004A147C" w:rsidRPr="007D38C2" w:rsidRDefault="004A147C" w:rsidP="00CE5850">
            <w:pPr>
              <w:rPr>
                <w:sz w:val="20"/>
              </w:rPr>
            </w:pPr>
            <w:r w:rsidRPr="007D38C2">
              <w:rPr>
                <w:sz w:val="20"/>
              </w:rPr>
              <w:t>96.8%</w:t>
            </w:r>
          </w:p>
        </w:tc>
        <w:tc>
          <w:tcPr>
            <w:tcW w:w="1284" w:type="dxa"/>
            <w:shd w:val="clear" w:color="auto" w:fill="DAEEF3"/>
            <w:noWrap/>
            <w:tcMar>
              <w:top w:w="0" w:type="dxa"/>
              <w:left w:w="108" w:type="dxa"/>
              <w:bottom w:w="0" w:type="dxa"/>
              <w:right w:w="108" w:type="dxa"/>
            </w:tcMar>
            <w:vAlign w:val="bottom"/>
          </w:tcPr>
          <w:p w:rsidR="004A147C" w:rsidRPr="007D38C2" w:rsidRDefault="004A147C" w:rsidP="00CE5850">
            <w:pPr>
              <w:snapToGrid w:val="0"/>
              <w:jc w:val="center"/>
              <w:rPr>
                <w:rFonts w:eastAsia="Times New Roman"/>
                <w:sz w:val="20"/>
              </w:rPr>
            </w:pPr>
            <w:r w:rsidRPr="007D38C2">
              <w:rPr>
                <w:sz w:val="20"/>
              </w:rPr>
              <w:t>1,786</w:t>
            </w:r>
          </w:p>
        </w:tc>
        <w:tc>
          <w:tcPr>
            <w:tcW w:w="990" w:type="dxa"/>
            <w:shd w:val="clear" w:color="auto" w:fill="DAEEF3"/>
            <w:noWrap/>
            <w:tcMar>
              <w:top w:w="0" w:type="dxa"/>
              <w:left w:w="108" w:type="dxa"/>
              <w:bottom w:w="0" w:type="dxa"/>
              <w:right w:w="108" w:type="dxa"/>
            </w:tcMar>
          </w:tcPr>
          <w:p w:rsidR="004A147C" w:rsidRPr="007D38C2" w:rsidRDefault="004A147C" w:rsidP="00CE5850">
            <w:pPr>
              <w:jc w:val="center"/>
              <w:rPr>
                <w:sz w:val="20"/>
              </w:rPr>
            </w:pPr>
            <w:r w:rsidRPr="007D38C2">
              <w:rPr>
                <w:sz w:val="20"/>
              </w:rPr>
              <w:t>47.0%</w:t>
            </w:r>
          </w:p>
        </w:tc>
        <w:tc>
          <w:tcPr>
            <w:tcW w:w="1284" w:type="dxa"/>
            <w:shd w:val="clear" w:color="auto" w:fill="DAEEF3"/>
            <w:tcMar>
              <w:top w:w="0" w:type="dxa"/>
              <w:left w:w="108" w:type="dxa"/>
              <w:bottom w:w="0" w:type="dxa"/>
              <w:right w:w="108" w:type="dxa"/>
            </w:tcMar>
          </w:tcPr>
          <w:p w:rsidR="004A147C" w:rsidRPr="007D38C2" w:rsidRDefault="004A147C" w:rsidP="00CE5850">
            <w:pPr>
              <w:jc w:val="center"/>
              <w:rPr>
                <w:sz w:val="20"/>
              </w:rPr>
            </w:pPr>
            <w:r w:rsidRPr="007D38C2">
              <w:rPr>
                <w:sz w:val="20"/>
              </w:rPr>
              <w:t>4,954</w:t>
            </w:r>
          </w:p>
        </w:tc>
        <w:tc>
          <w:tcPr>
            <w:tcW w:w="894" w:type="dxa"/>
            <w:shd w:val="clear" w:color="auto" w:fill="DAEEF3"/>
            <w:tcMar>
              <w:top w:w="0" w:type="dxa"/>
              <w:left w:w="108" w:type="dxa"/>
              <w:bottom w:w="0" w:type="dxa"/>
              <w:right w:w="108" w:type="dxa"/>
            </w:tcMar>
          </w:tcPr>
          <w:p w:rsidR="004A147C" w:rsidRPr="007D38C2" w:rsidRDefault="004A147C" w:rsidP="00CE5850">
            <w:pPr>
              <w:jc w:val="center"/>
              <w:rPr>
                <w:sz w:val="20"/>
              </w:rPr>
            </w:pPr>
            <w:r w:rsidRPr="007D38C2">
              <w:rPr>
                <w:sz w:val="20"/>
              </w:rPr>
              <w:t>72.6%</w:t>
            </w:r>
          </w:p>
        </w:tc>
      </w:tr>
      <w:tr w:rsidR="004A147C" w:rsidRPr="00B53FFB" w:rsidTr="00E74FE8">
        <w:trPr>
          <w:trHeight w:val="255"/>
          <w:jc w:val="center"/>
        </w:trPr>
        <w:tc>
          <w:tcPr>
            <w:tcW w:w="1170" w:type="dxa"/>
            <w:shd w:val="clear" w:color="auto" w:fill="DAEEF3"/>
            <w:noWrap/>
            <w:tcMar>
              <w:top w:w="0" w:type="dxa"/>
              <w:left w:w="108" w:type="dxa"/>
              <w:bottom w:w="0" w:type="dxa"/>
              <w:right w:w="108" w:type="dxa"/>
            </w:tcMar>
            <w:vAlign w:val="bottom"/>
          </w:tcPr>
          <w:p w:rsidR="004A147C" w:rsidRPr="007D38C2" w:rsidRDefault="004A147C" w:rsidP="00CE5850">
            <w:pPr>
              <w:snapToGrid w:val="0"/>
              <w:jc w:val="center"/>
              <w:rPr>
                <w:rFonts w:eastAsia="Times New Roman"/>
                <w:sz w:val="20"/>
              </w:rPr>
            </w:pPr>
            <w:r w:rsidRPr="007D38C2">
              <w:rPr>
                <w:sz w:val="20"/>
              </w:rPr>
              <w:t>3 or more</w:t>
            </w:r>
          </w:p>
        </w:tc>
        <w:tc>
          <w:tcPr>
            <w:tcW w:w="1284" w:type="dxa"/>
            <w:shd w:val="clear" w:color="auto" w:fill="DAEEF3"/>
            <w:noWrap/>
            <w:tcMar>
              <w:top w:w="0" w:type="dxa"/>
              <w:left w:w="108" w:type="dxa"/>
              <w:bottom w:w="0" w:type="dxa"/>
              <w:right w:w="108" w:type="dxa"/>
            </w:tcMar>
          </w:tcPr>
          <w:p w:rsidR="004A147C" w:rsidRPr="007D38C2" w:rsidRDefault="004A147C" w:rsidP="00CE5850">
            <w:pPr>
              <w:snapToGrid w:val="0"/>
              <w:jc w:val="center"/>
              <w:rPr>
                <w:rFonts w:eastAsia="Times New Roman"/>
                <w:sz w:val="20"/>
              </w:rPr>
            </w:pPr>
            <w:r w:rsidRPr="007D38C2">
              <w:rPr>
                <w:sz w:val="20"/>
              </w:rPr>
              <w:t>7,459</w:t>
            </w:r>
          </w:p>
        </w:tc>
        <w:tc>
          <w:tcPr>
            <w:tcW w:w="1284" w:type="dxa"/>
            <w:shd w:val="clear" w:color="auto" w:fill="DAEEF3"/>
            <w:noWrap/>
            <w:tcMar>
              <w:top w:w="0" w:type="dxa"/>
              <w:left w:w="108" w:type="dxa"/>
              <w:bottom w:w="0" w:type="dxa"/>
              <w:right w:w="108" w:type="dxa"/>
            </w:tcMar>
          </w:tcPr>
          <w:p w:rsidR="004A147C" w:rsidRPr="007D38C2" w:rsidRDefault="004A147C" w:rsidP="00CE5850">
            <w:pPr>
              <w:snapToGrid w:val="0"/>
              <w:jc w:val="center"/>
              <w:rPr>
                <w:rFonts w:eastAsia="Times New Roman"/>
                <w:sz w:val="20"/>
              </w:rPr>
            </w:pPr>
            <w:r w:rsidRPr="007D38C2">
              <w:rPr>
                <w:sz w:val="20"/>
              </w:rPr>
              <w:t>280,104</w:t>
            </w:r>
          </w:p>
        </w:tc>
        <w:tc>
          <w:tcPr>
            <w:tcW w:w="810" w:type="dxa"/>
            <w:shd w:val="clear" w:color="auto" w:fill="DAEEF3"/>
            <w:noWrap/>
            <w:tcMar>
              <w:top w:w="0" w:type="dxa"/>
              <w:left w:w="108" w:type="dxa"/>
              <w:bottom w:w="0" w:type="dxa"/>
              <w:right w:w="108" w:type="dxa"/>
            </w:tcMar>
          </w:tcPr>
          <w:p w:rsidR="004A147C" w:rsidRPr="007D38C2" w:rsidRDefault="004A147C" w:rsidP="00CE5850">
            <w:pPr>
              <w:rPr>
                <w:sz w:val="20"/>
              </w:rPr>
            </w:pPr>
            <w:r w:rsidRPr="007D38C2">
              <w:rPr>
                <w:sz w:val="20"/>
              </w:rPr>
              <w:t>89.6%</w:t>
            </w:r>
          </w:p>
        </w:tc>
        <w:tc>
          <w:tcPr>
            <w:tcW w:w="1284" w:type="dxa"/>
            <w:shd w:val="clear" w:color="auto" w:fill="DAEEF3"/>
            <w:noWrap/>
            <w:tcMar>
              <w:top w:w="0" w:type="dxa"/>
              <w:left w:w="108" w:type="dxa"/>
              <w:bottom w:w="0" w:type="dxa"/>
              <w:right w:w="108" w:type="dxa"/>
            </w:tcMar>
            <w:vAlign w:val="bottom"/>
          </w:tcPr>
          <w:p w:rsidR="004A147C" w:rsidRPr="007D38C2" w:rsidRDefault="004A147C" w:rsidP="00CE5850">
            <w:pPr>
              <w:snapToGrid w:val="0"/>
              <w:jc w:val="center"/>
              <w:rPr>
                <w:rFonts w:eastAsia="Times New Roman"/>
                <w:sz w:val="20"/>
              </w:rPr>
            </w:pPr>
            <w:r w:rsidRPr="007D38C2">
              <w:rPr>
                <w:sz w:val="20"/>
              </w:rPr>
              <w:t>895</w:t>
            </w:r>
          </w:p>
        </w:tc>
        <w:tc>
          <w:tcPr>
            <w:tcW w:w="990" w:type="dxa"/>
            <w:shd w:val="clear" w:color="auto" w:fill="DAEEF3"/>
            <w:noWrap/>
            <w:tcMar>
              <w:top w:w="0" w:type="dxa"/>
              <w:left w:w="108" w:type="dxa"/>
              <w:bottom w:w="0" w:type="dxa"/>
              <w:right w:w="108" w:type="dxa"/>
            </w:tcMar>
          </w:tcPr>
          <w:p w:rsidR="004A147C" w:rsidRPr="007D38C2" w:rsidRDefault="004A147C" w:rsidP="00CE5850">
            <w:pPr>
              <w:jc w:val="center"/>
              <w:rPr>
                <w:sz w:val="20"/>
              </w:rPr>
            </w:pPr>
            <w:r w:rsidRPr="007D38C2">
              <w:rPr>
                <w:sz w:val="20"/>
              </w:rPr>
              <w:t>23.6%</w:t>
            </w:r>
          </w:p>
        </w:tc>
        <w:tc>
          <w:tcPr>
            <w:tcW w:w="1284" w:type="dxa"/>
            <w:shd w:val="clear" w:color="auto" w:fill="DAEEF3"/>
            <w:tcMar>
              <w:top w:w="0" w:type="dxa"/>
              <w:left w:w="108" w:type="dxa"/>
              <w:bottom w:w="0" w:type="dxa"/>
              <w:right w:w="108" w:type="dxa"/>
            </w:tcMar>
          </w:tcPr>
          <w:p w:rsidR="004A147C" w:rsidRPr="007D38C2" w:rsidRDefault="004A147C" w:rsidP="00CE5850">
            <w:pPr>
              <w:jc w:val="center"/>
              <w:rPr>
                <w:sz w:val="20"/>
              </w:rPr>
            </w:pPr>
            <w:r w:rsidRPr="007D38C2">
              <w:rPr>
                <w:sz w:val="20"/>
              </w:rPr>
              <w:t>3,186</w:t>
            </w:r>
          </w:p>
        </w:tc>
        <w:tc>
          <w:tcPr>
            <w:tcW w:w="894" w:type="dxa"/>
            <w:shd w:val="clear" w:color="auto" w:fill="DAEEF3"/>
            <w:tcMar>
              <w:top w:w="0" w:type="dxa"/>
              <w:left w:w="108" w:type="dxa"/>
              <w:bottom w:w="0" w:type="dxa"/>
              <w:right w:w="108" w:type="dxa"/>
            </w:tcMar>
          </w:tcPr>
          <w:p w:rsidR="004A147C" w:rsidRPr="007D38C2" w:rsidRDefault="004A147C" w:rsidP="00CE5850">
            <w:pPr>
              <w:jc w:val="center"/>
              <w:rPr>
                <w:sz w:val="20"/>
              </w:rPr>
            </w:pPr>
            <w:r w:rsidRPr="007D38C2">
              <w:rPr>
                <w:sz w:val="20"/>
              </w:rPr>
              <w:t>46.7%</w:t>
            </w:r>
          </w:p>
        </w:tc>
      </w:tr>
      <w:tr w:rsidR="004A147C" w:rsidRPr="00B53FFB" w:rsidTr="00E74FE8">
        <w:trPr>
          <w:trHeight w:val="255"/>
          <w:jc w:val="center"/>
        </w:trPr>
        <w:tc>
          <w:tcPr>
            <w:tcW w:w="1170" w:type="dxa"/>
            <w:shd w:val="clear" w:color="auto" w:fill="DAEEF3"/>
            <w:noWrap/>
            <w:tcMar>
              <w:top w:w="0" w:type="dxa"/>
              <w:left w:w="108" w:type="dxa"/>
              <w:bottom w:w="0" w:type="dxa"/>
              <w:right w:w="108" w:type="dxa"/>
            </w:tcMar>
            <w:vAlign w:val="bottom"/>
          </w:tcPr>
          <w:p w:rsidR="004A147C" w:rsidRPr="007D38C2" w:rsidRDefault="004A147C" w:rsidP="00CE5850">
            <w:pPr>
              <w:snapToGrid w:val="0"/>
              <w:jc w:val="center"/>
              <w:rPr>
                <w:rFonts w:eastAsia="Times New Roman"/>
                <w:sz w:val="20"/>
              </w:rPr>
            </w:pPr>
            <w:r w:rsidRPr="007D38C2">
              <w:rPr>
                <w:sz w:val="20"/>
              </w:rPr>
              <w:t>4 or more</w:t>
            </w:r>
          </w:p>
        </w:tc>
        <w:tc>
          <w:tcPr>
            <w:tcW w:w="1284" w:type="dxa"/>
            <w:shd w:val="clear" w:color="auto" w:fill="DAEEF3"/>
            <w:noWrap/>
            <w:tcMar>
              <w:top w:w="0" w:type="dxa"/>
              <w:left w:w="108" w:type="dxa"/>
              <w:bottom w:w="0" w:type="dxa"/>
              <w:right w:w="108" w:type="dxa"/>
            </w:tcMar>
          </w:tcPr>
          <w:p w:rsidR="004A147C" w:rsidRPr="007D38C2" w:rsidRDefault="004A147C" w:rsidP="00CE5850">
            <w:pPr>
              <w:snapToGrid w:val="0"/>
              <w:jc w:val="center"/>
              <w:rPr>
                <w:rFonts w:eastAsia="Times New Roman"/>
                <w:sz w:val="20"/>
              </w:rPr>
            </w:pPr>
            <w:r w:rsidRPr="007D38C2">
              <w:rPr>
                <w:sz w:val="20"/>
              </w:rPr>
              <w:t>5,444</w:t>
            </w:r>
          </w:p>
        </w:tc>
        <w:tc>
          <w:tcPr>
            <w:tcW w:w="1284" w:type="dxa"/>
            <w:shd w:val="clear" w:color="auto" w:fill="DAEEF3"/>
            <w:noWrap/>
            <w:tcMar>
              <w:top w:w="0" w:type="dxa"/>
              <w:left w:w="108" w:type="dxa"/>
              <w:bottom w:w="0" w:type="dxa"/>
              <w:right w:w="108" w:type="dxa"/>
            </w:tcMar>
          </w:tcPr>
          <w:p w:rsidR="004A147C" w:rsidRPr="007D38C2" w:rsidRDefault="004A147C" w:rsidP="00CE5850">
            <w:pPr>
              <w:snapToGrid w:val="0"/>
              <w:jc w:val="center"/>
              <w:rPr>
                <w:rFonts w:eastAsia="Times New Roman"/>
                <w:sz w:val="20"/>
              </w:rPr>
            </w:pPr>
            <w:r w:rsidRPr="007D38C2">
              <w:rPr>
                <w:sz w:val="20"/>
              </w:rPr>
              <w:t>246,180</w:t>
            </w:r>
          </w:p>
        </w:tc>
        <w:tc>
          <w:tcPr>
            <w:tcW w:w="810" w:type="dxa"/>
            <w:shd w:val="clear" w:color="auto" w:fill="DAEEF3"/>
            <w:noWrap/>
            <w:tcMar>
              <w:top w:w="0" w:type="dxa"/>
              <w:left w:w="108" w:type="dxa"/>
              <w:bottom w:w="0" w:type="dxa"/>
              <w:right w:w="108" w:type="dxa"/>
            </w:tcMar>
          </w:tcPr>
          <w:p w:rsidR="004A147C" w:rsidRPr="007D38C2" w:rsidRDefault="004A147C" w:rsidP="00CE5850">
            <w:pPr>
              <w:rPr>
                <w:sz w:val="20"/>
              </w:rPr>
            </w:pPr>
            <w:r w:rsidRPr="007D38C2">
              <w:rPr>
                <w:sz w:val="20"/>
              </w:rPr>
              <w:t>78.8%</w:t>
            </w:r>
          </w:p>
        </w:tc>
        <w:tc>
          <w:tcPr>
            <w:tcW w:w="1284" w:type="dxa"/>
            <w:shd w:val="clear" w:color="auto" w:fill="DAEEF3"/>
            <w:noWrap/>
            <w:tcMar>
              <w:top w:w="0" w:type="dxa"/>
              <w:left w:w="108" w:type="dxa"/>
              <w:bottom w:w="0" w:type="dxa"/>
              <w:right w:w="108" w:type="dxa"/>
            </w:tcMar>
            <w:vAlign w:val="bottom"/>
          </w:tcPr>
          <w:p w:rsidR="004A147C" w:rsidRPr="007D38C2" w:rsidRDefault="004A147C" w:rsidP="00CE5850">
            <w:pPr>
              <w:snapToGrid w:val="0"/>
              <w:jc w:val="center"/>
              <w:rPr>
                <w:rFonts w:eastAsia="Times New Roman"/>
                <w:sz w:val="20"/>
              </w:rPr>
            </w:pPr>
            <w:r w:rsidRPr="007D38C2">
              <w:rPr>
                <w:sz w:val="20"/>
              </w:rPr>
              <w:t>395</w:t>
            </w:r>
          </w:p>
        </w:tc>
        <w:tc>
          <w:tcPr>
            <w:tcW w:w="990" w:type="dxa"/>
            <w:shd w:val="clear" w:color="auto" w:fill="DAEEF3"/>
            <w:noWrap/>
            <w:tcMar>
              <w:top w:w="0" w:type="dxa"/>
              <w:left w:w="108" w:type="dxa"/>
              <w:bottom w:w="0" w:type="dxa"/>
              <w:right w:w="108" w:type="dxa"/>
            </w:tcMar>
          </w:tcPr>
          <w:p w:rsidR="004A147C" w:rsidRPr="007D38C2" w:rsidRDefault="004A147C" w:rsidP="00CE5850">
            <w:pPr>
              <w:jc w:val="center"/>
              <w:rPr>
                <w:sz w:val="20"/>
              </w:rPr>
            </w:pPr>
            <w:r w:rsidRPr="007D38C2">
              <w:rPr>
                <w:sz w:val="20"/>
              </w:rPr>
              <w:t>10.4%</w:t>
            </w:r>
          </w:p>
        </w:tc>
        <w:tc>
          <w:tcPr>
            <w:tcW w:w="1284" w:type="dxa"/>
            <w:shd w:val="clear" w:color="auto" w:fill="DAEEF3"/>
            <w:tcMar>
              <w:top w:w="0" w:type="dxa"/>
              <w:left w:w="108" w:type="dxa"/>
              <w:bottom w:w="0" w:type="dxa"/>
              <w:right w:w="108" w:type="dxa"/>
            </w:tcMar>
          </w:tcPr>
          <w:p w:rsidR="004A147C" w:rsidRPr="007D38C2" w:rsidRDefault="004A147C" w:rsidP="00CE5850">
            <w:pPr>
              <w:jc w:val="center"/>
              <w:rPr>
                <w:sz w:val="20"/>
              </w:rPr>
            </w:pPr>
            <w:r w:rsidRPr="007D38C2">
              <w:rPr>
                <w:sz w:val="20"/>
              </w:rPr>
              <w:t>1,920</w:t>
            </w:r>
          </w:p>
        </w:tc>
        <w:tc>
          <w:tcPr>
            <w:tcW w:w="894" w:type="dxa"/>
            <w:shd w:val="clear" w:color="auto" w:fill="DAEEF3"/>
            <w:tcMar>
              <w:top w:w="0" w:type="dxa"/>
              <w:left w:w="108" w:type="dxa"/>
              <w:bottom w:w="0" w:type="dxa"/>
              <w:right w:w="108" w:type="dxa"/>
            </w:tcMar>
          </w:tcPr>
          <w:p w:rsidR="004A147C" w:rsidRPr="007D38C2" w:rsidRDefault="004A147C" w:rsidP="00CE5850">
            <w:pPr>
              <w:jc w:val="center"/>
              <w:rPr>
                <w:sz w:val="20"/>
              </w:rPr>
            </w:pPr>
            <w:r w:rsidRPr="007D38C2">
              <w:rPr>
                <w:sz w:val="20"/>
              </w:rPr>
              <w:t>28.1%</w:t>
            </w:r>
          </w:p>
        </w:tc>
      </w:tr>
      <w:tr w:rsidR="004A147C" w:rsidRPr="00B53FFB" w:rsidTr="00E74FE8">
        <w:trPr>
          <w:trHeight w:val="255"/>
          <w:jc w:val="center"/>
        </w:trPr>
        <w:tc>
          <w:tcPr>
            <w:tcW w:w="1170" w:type="dxa"/>
            <w:shd w:val="clear" w:color="auto" w:fill="DAEEF3"/>
            <w:noWrap/>
            <w:tcMar>
              <w:top w:w="0" w:type="dxa"/>
              <w:left w:w="108" w:type="dxa"/>
              <w:bottom w:w="0" w:type="dxa"/>
              <w:right w:w="108" w:type="dxa"/>
            </w:tcMar>
            <w:vAlign w:val="bottom"/>
          </w:tcPr>
          <w:p w:rsidR="004A147C" w:rsidRPr="007D38C2" w:rsidRDefault="004A147C" w:rsidP="00CE5850">
            <w:pPr>
              <w:snapToGrid w:val="0"/>
              <w:jc w:val="center"/>
              <w:rPr>
                <w:rFonts w:eastAsia="Times New Roman"/>
                <w:sz w:val="20"/>
              </w:rPr>
            </w:pPr>
            <w:r w:rsidRPr="007D38C2">
              <w:rPr>
                <w:sz w:val="20"/>
              </w:rPr>
              <w:t>5 or more</w:t>
            </w:r>
          </w:p>
        </w:tc>
        <w:tc>
          <w:tcPr>
            <w:tcW w:w="1284" w:type="dxa"/>
            <w:shd w:val="clear" w:color="auto" w:fill="DAEEF3"/>
            <w:noWrap/>
            <w:tcMar>
              <w:top w:w="0" w:type="dxa"/>
              <w:left w:w="108" w:type="dxa"/>
              <w:bottom w:w="0" w:type="dxa"/>
              <w:right w:w="108" w:type="dxa"/>
            </w:tcMar>
          </w:tcPr>
          <w:p w:rsidR="004A147C" w:rsidRPr="007D38C2" w:rsidRDefault="004A147C" w:rsidP="00CE5850">
            <w:pPr>
              <w:snapToGrid w:val="0"/>
              <w:jc w:val="center"/>
              <w:rPr>
                <w:rFonts w:eastAsia="Times New Roman"/>
                <w:sz w:val="20"/>
              </w:rPr>
            </w:pPr>
            <w:r w:rsidRPr="007D38C2">
              <w:rPr>
                <w:sz w:val="20"/>
              </w:rPr>
              <w:t>3,095</w:t>
            </w:r>
          </w:p>
        </w:tc>
        <w:tc>
          <w:tcPr>
            <w:tcW w:w="1284" w:type="dxa"/>
            <w:shd w:val="clear" w:color="auto" w:fill="DAEEF3"/>
            <w:noWrap/>
            <w:tcMar>
              <w:top w:w="0" w:type="dxa"/>
              <w:left w:w="108" w:type="dxa"/>
              <w:bottom w:w="0" w:type="dxa"/>
              <w:right w:w="108" w:type="dxa"/>
            </w:tcMar>
          </w:tcPr>
          <w:p w:rsidR="004A147C" w:rsidRPr="007D38C2" w:rsidRDefault="004A147C" w:rsidP="00CE5850">
            <w:pPr>
              <w:snapToGrid w:val="0"/>
              <w:jc w:val="center"/>
              <w:rPr>
                <w:rFonts w:eastAsia="Times New Roman"/>
                <w:sz w:val="20"/>
              </w:rPr>
            </w:pPr>
            <w:r w:rsidRPr="007D38C2">
              <w:rPr>
                <w:sz w:val="20"/>
              </w:rPr>
              <w:t>165,191</w:t>
            </w:r>
          </w:p>
        </w:tc>
        <w:tc>
          <w:tcPr>
            <w:tcW w:w="810" w:type="dxa"/>
            <w:shd w:val="clear" w:color="auto" w:fill="DAEEF3"/>
            <w:noWrap/>
            <w:tcMar>
              <w:top w:w="0" w:type="dxa"/>
              <w:left w:w="108" w:type="dxa"/>
              <w:bottom w:w="0" w:type="dxa"/>
              <w:right w:w="108" w:type="dxa"/>
            </w:tcMar>
          </w:tcPr>
          <w:p w:rsidR="004A147C" w:rsidRPr="007D38C2" w:rsidRDefault="004A147C" w:rsidP="00CE5850">
            <w:pPr>
              <w:rPr>
                <w:sz w:val="20"/>
              </w:rPr>
            </w:pPr>
            <w:r w:rsidRPr="007D38C2">
              <w:rPr>
                <w:sz w:val="20"/>
              </w:rPr>
              <w:t>52.9%</w:t>
            </w:r>
          </w:p>
        </w:tc>
        <w:tc>
          <w:tcPr>
            <w:tcW w:w="1284" w:type="dxa"/>
            <w:shd w:val="clear" w:color="auto" w:fill="DAEEF3"/>
            <w:noWrap/>
            <w:tcMar>
              <w:top w:w="0" w:type="dxa"/>
              <w:left w:w="108" w:type="dxa"/>
              <w:bottom w:w="0" w:type="dxa"/>
              <w:right w:w="108" w:type="dxa"/>
            </w:tcMar>
            <w:vAlign w:val="bottom"/>
          </w:tcPr>
          <w:p w:rsidR="004A147C" w:rsidRPr="007D38C2" w:rsidRDefault="004A147C" w:rsidP="00CE5850">
            <w:pPr>
              <w:snapToGrid w:val="0"/>
              <w:jc w:val="center"/>
              <w:rPr>
                <w:rFonts w:eastAsia="Times New Roman"/>
                <w:sz w:val="20"/>
              </w:rPr>
            </w:pPr>
            <w:r w:rsidRPr="007D38C2">
              <w:rPr>
                <w:sz w:val="20"/>
              </w:rPr>
              <w:t>139</w:t>
            </w:r>
          </w:p>
        </w:tc>
        <w:tc>
          <w:tcPr>
            <w:tcW w:w="990" w:type="dxa"/>
            <w:shd w:val="clear" w:color="auto" w:fill="DAEEF3"/>
            <w:noWrap/>
            <w:tcMar>
              <w:top w:w="0" w:type="dxa"/>
              <w:left w:w="108" w:type="dxa"/>
              <w:bottom w:w="0" w:type="dxa"/>
              <w:right w:w="108" w:type="dxa"/>
            </w:tcMar>
          </w:tcPr>
          <w:p w:rsidR="004A147C" w:rsidRPr="007D38C2" w:rsidRDefault="004A147C" w:rsidP="00CE5850">
            <w:pPr>
              <w:jc w:val="center"/>
              <w:rPr>
                <w:sz w:val="20"/>
              </w:rPr>
            </w:pPr>
            <w:r w:rsidRPr="007D38C2">
              <w:rPr>
                <w:sz w:val="20"/>
              </w:rPr>
              <w:t>3.7%</w:t>
            </w:r>
          </w:p>
        </w:tc>
        <w:tc>
          <w:tcPr>
            <w:tcW w:w="1284" w:type="dxa"/>
            <w:shd w:val="clear" w:color="auto" w:fill="DAEEF3"/>
            <w:tcMar>
              <w:top w:w="0" w:type="dxa"/>
              <w:left w:w="108" w:type="dxa"/>
              <w:bottom w:w="0" w:type="dxa"/>
              <w:right w:w="108" w:type="dxa"/>
            </w:tcMar>
          </w:tcPr>
          <w:p w:rsidR="004A147C" w:rsidRPr="007D38C2" w:rsidRDefault="004A147C" w:rsidP="00CE5850">
            <w:pPr>
              <w:jc w:val="center"/>
              <w:rPr>
                <w:sz w:val="20"/>
              </w:rPr>
            </w:pPr>
            <w:r w:rsidRPr="007D38C2">
              <w:rPr>
                <w:sz w:val="20"/>
              </w:rPr>
              <w:t>1,009</w:t>
            </w:r>
          </w:p>
        </w:tc>
        <w:tc>
          <w:tcPr>
            <w:tcW w:w="894" w:type="dxa"/>
            <w:shd w:val="clear" w:color="auto" w:fill="DAEEF3"/>
            <w:tcMar>
              <w:top w:w="0" w:type="dxa"/>
              <w:left w:w="108" w:type="dxa"/>
              <w:bottom w:w="0" w:type="dxa"/>
              <w:right w:w="108" w:type="dxa"/>
            </w:tcMar>
          </w:tcPr>
          <w:p w:rsidR="004A147C" w:rsidRPr="007D38C2" w:rsidRDefault="004A147C" w:rsidP="00CE5850">
            <w:pPr>
              <w:jc w:val="center"/>
              <w:rPr>
                <w:sz w:val="20"/>
              </w:rPr>
            </w:pPr>
            <w:r w:rsidRPr="007D38C2">
              <w:rPr>
                <w:sz w:val="20"/>
              </w:rPr>
              <w:t>14.8%</w:t>
            </w:r>
          </w:p>
        </w:tc>
      </w:tr>
    </w:tbl>
    <w:p w:rsidR="004A147C" w:rsidRDefault="004A147C" w:rsidP="00CE5850">
      <w:pPr>
        <w:pStyle w:val="Caption"/>
        <w:widowControl w:val="0"/>
        <w:spacing w:before="0"/>
        <w:jc w:val="center"/>
        <w:rPr>
          <w:sz w:val="22"/>
          <w:szCs w:val="22"/>
        </w:rPr>
      </w:pPr>
    </w:p>
    <w:p w:rsidR="004A147C" w:rsidRPr="00E74FE8" w:rsidRDefault="004A147C" w:rsidP="00CE5850">
      <w:pPr>
        <w:pStyle w:val="Caption"/>
        <w:widowControl w:val="0"/>
        <w:spacing w:before="0"/>
        <w:jc w:val="center"/>
        <w:rPr>
          <w:sz w:val="22"/>
          <w:szCs w:val="22"/>
        </w:rPr>
      </w:pPr>
      <w:r w:rsidRPr="00E74FE8">
        <w:rPr>
          <w:sz w:val="22"/>
          <w:szCs w:val="22"/>
        </w:rPr>
        <w:t xml:space="preserve">Table </w:t>
      </w:r>
      <w:r w:rsidR="0007014B" w:rsidRPr="00E74FE8">
        <w:rPr>
          <w:sz w:val="22"/>
          <w:szCs w:val="22"/>
        </w:rPr>
        <w:fldChar w:fldCharType="begin"/>
      </w:r>
      <w:r w:rsidRPr="00E74FE8">
        <w:rPr>
          <w:sz w:val="22"/>
          <w:szCs w:val="22"/>
        </w:rPr>
        <w:instrText xml:space="preserve"> SEQ Table \* ARABIC </w:instrText>
      </w:r>
      <w:r w:rsidR="0007014B" w:rsidRPr="00E74FE8">
        <w:rPr>
          <w:sz w:val="22"/>
          <w:szCs w:val="22"/>
        </w:rPr>
        <w:fldChar w:fldCharType="separate"/>
      </w:r>
      <w:r w:rsidR="00CA3AC6">
        <w:rPr>
          <w:noProof/>
          <w:sz w:val="22"/>
          <w:szCs w:val="22"/>
        </w:rPr>
        <w:t>9</w:t>
      </w:r>
      <w:r w:rsidR="0007014B" w:rsidRPr="00E74FE8">
        <w:rPr>
          <w:sz w:val="22"/>
          <w:szCs w:val="22"/>
        </w:rPr>
        <w:fldChar w:fldCharType="end"/>
      </w:r>
      <w:r w:rsidRPr="00E74FE8">
        <w:rPr>
          <w:sz w:val="22"/>
          <w:szCs w:val="22"/>
        </w:rPr>
        <w:br/>
        <w:t>Estimated Mobile Wireless Broadband Coverage by Census Block, Oct. 2012</w:t>
      </w:r>
      <w:r w:rsidRPr="00E74FE8">
        <w:rPr>
          <w:rStyle w:val="FootnoteReference"/>
          <w:b w:val="0"/>
          <w:szCs w:val="22"/>
        </w:rPr>
        <w:footnoteReference w:id="157"/>
      </w:r>
    </w:p>
    <w:tbl>
      <w:tblPr>
        <w:tblW w:w="9000" w:type="dxa"/>
        <w:jc w:val="center"/>
        <w:tblInd w:w="426"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0" w:type="dxa"/>
          <w:right w:w="0" w:type="dxa"/>
        </w:tblCellMar>
        <w:tblLook w:val="00A0" w:firstRow="1" w:lastRow="0" w:firstColumn="1" w:lastColumn="0" w:noHBand="0" w:noVBand="0"/>
      </w:tblPr>
      <w:tblGrid>
        <w:gridCol w:w="1170"/>
        <w:gridCol w:w="1284"/>
        <w:gridCol w:w="1284"/>
        <w:gridCol w:w="810"/>
        <w:gridCol w:w="1284"/>
        <w:gridCol w:w="990"/>
        <w:gridCol w:w="1284"/>
        <w:gridCol w:w="894"/>
      </w:tblGrid>
      <w:tr w:rsidR="004A147C" w:rsidRPr="007D38C2" w:rsidTr="00A0412A">
        <w:trPr>
          <w:trHeight w:val="765"/>
          <w:jc w:val="center"/>
        </w:trPr>
        <w:tc>
          <w:tcPr>
            <w:tcW w:w="1170" w:type="dxa"/>
            <w:shd w:val="clear" w:color="auto" w:fill="DAEEF3"/>
            <w:tcMar>
              <w:top w:w="0" w:type="dxa"/>
              <w:left w:w="108" w:type="dxa"/>
              <w:bottom w:w="0" w:type="dxa"/>
              <w:right w:w="108" w:type="dxa"/>
            </w:tcMar>
          </w:tcPr>
          <w:p w:rsidR="004A147C" w:rsidRPr="007D38C2" w:rsidRDefault="004A147C" w:rsidP="00CE5850">
            <w:pPr>
              <w:snapToGrid w:val="0"/>
              <w:jc w:val="center"/>
              <w:rPr>
                <w:rFonts w:eastAsia="Times New Roman"/>
                <w:b/>
                <w:bCs/>
                <w:sz w:val="20"/>
              </w:rPr>
            </w:pPr>
            <w:r w:rsidRPr="007D38C2">
              <w:rPr>
                <w:b/>
                <w:bCs/>
                <w:sz w:val="20"/>
              </w:rPr>
              <w:t>Number of Providers with Coverage in a Block</w:t>
            </w:r>
          </w:p>
        </w:tc>
        <w:tc>
          <w:tcPr>
            <w:tcW w:w="1284" w:type="dxa"/>
            <w:shd w:val="clear" w:color="auto" w:fill="DAEEF3"/>
            <w:tcMar>
              <w:top w:w="0" w:type="dxa"/>
              <w:left w:w="108" w:type="dxa"/>
              <w:bottom w:w="0" w:type="dxa"/>
              <w:right w:w="108" w:type="dxa"/>
            </w:tcMar>
          </w:tcPr>
          <w:p w:rsidR="004A147C" w:rsidRPr="007D38C2" w:rsidRDefault="004A147C" w:rsidP="00CE5850">
            <w:pPr>
              <w:snapToGrid w:val="0"/>
              <w:jc w:val="center"/>
              <w:rPr>
                <w:rFonts w:eastAsia="Times New Roman"/>
                <w:b/>
                <w:bCs/>
                <w:sz w:val="20"/>
              </w:rPr>
            </w:pPr>
            <w:r w:rsidRPr="007D38C2">
              <w:rPr>
                <w:b/>
                <w:bCs/>
                <w:sz w:val="20"/>
              </w:rPr>
              <w:t xml:space="preserve">Number </w:t>
            </w:r>
          </w:p>
          <w:p w:rsidR="004A147C" w:rsidRPr="007D38C2" w:rsidRDefault="004A147C" w:rsidP="00CE5850">
            <w:pPr>
              <w:snapToGrid w:val="0"/>
              <w:jc w:val="center"/>
              <w:rPr>
                <w:b/>
                <w:bCs/>
                <w:sz w:val="20"/>
              </w:rPr>
            </w:pPr>
            <w:r w:rsidRPr="007D38C2">
              <w:rPr>
                <w:b/>
                <w:bCs/>
                <w:sz w:val="20"/>
              </w:rPr>
              <w:t>of Blocks</w:t>
            </w:r>
          </w:p>
          <w:p w:rsidR="004A147C" w:rsidRPr="007D38C2" w:rsidRDefault="004A147C" w:rsidP="00CE5850">
            <w:pPr>
              <w:snapToGrid w:val="0"/>
              <w:jc w:val="center"/>
              <w:rPr>
                <w:rFonts w:eastAsia="Times New Roman"/>
                <w:b/>
                <w:bCs/>
                <w:sz w:val="20"/>
              </w:rPr>
            </w:pPr>
            <w:r w:rsidRPr="007D38C2">
              <w:rPr>
                <w:b/>
                <w:bCs/>
                <w:sz w:val="20"/>
              </w:rPr>
              <w:t>(Thousands)</w:t>
            </w:r>
          </w:p>
        </w:tc>
        <w:tc>
          <w:tcPr>
            <w:tcW w:w="1284" w:type="dxa"/>
            <w:shd w:val="clear" w:color="auto" w:fill="DAEEF3"/>
            <w:tcMar>
              <w:top w:w="0" w:type="dxa"/>
              <w:left w:w="108" w:type="dxa"/>
              <w:bottom w:w="0" w:type="dxa"/>
              <w:right w:w="108" w:type="dxa"/>
            </w:tcMar>
          </w:tcPr>
          <w:p w:rsidR="004A147C" w:rsidRPr="007D38C2" w:rsidRDefault="004A147C" w:rsidP="00CE5850">
            <w:pPr>
              <w:snapToGrid w:val="0"/>
              <w:jc w:val="center"/>
              <w:rPr>
                <w:rFonts w:eastAsia="Times New Roman"/>
                <w:b/>
                <w:bCs/>
                <w:sz w:val="20"/>
              </w:rPr>
            </w:pPr>
            <w:r w:rsidRPr="007D38C2">
              <w:rPr>
                <w:b/>
                <w:bCs/>
                <w:sz w:val="20"/>
              </w:rPr>
              <w:t>POPs Contained in Those Blocks</w:t>
            </w:r>
          </w:p>
          <w:p w:rsidR="004A147C" w:rsidRPr="007D38C2" w:rsidRDefault="004A147C" w:rsidP="00CE5850">
            <w:pPr>
              <w:snapToGrid w:val="0"/>
              <w:jc w:val="center"/>
              <w:rPr>
                <w:rFonts w:eastAsia="Times New Roman"/>
                <w:b/>
                <w:bCs/>
                <w:sz w:val="20"/>
              </w:rPr>
            </w:pPr>
            <w:r w:rsidRPr="007D38C2">
              <w:rPr>
                <w:b/>
                <w:bCs/>
                <w:sz w:val="20"/>
              </w:rPr>
              <w:t>(Thousands)</w:t>
            </w:r>
          </w:p>
        </w:tc>
        <w:tc>
          <w:tcPr>
            <w:tcW w:w="810" w:type="dxa"/>
            <w:shd w:val="clear" w:color="auto" w:fill="DAEEF3"/>
            <w:tcMar>
              <w:top w:w="0" w:type="dxa"/>
              <w:left w:w="108" w:type="dxa"/>
              <w:bottom w:w="0" w:type="dxa"/>
              <w:right w:w="108" w:type="dxa"/>
            </w:tcMar>
          </w:tcPr>
          <w:p w:rsidR="004A147C" w:rsidRPr="007D38C2" w:rsidRDefault="004A147C" w:rsidP="00CE5850">
            <w:pPr>
              <w:snapToGrid w:val="0"/>
              <w:jc w:val="center"/>
              <w:rPr>
                <w:rFonts w:eastAsia="Times New Roman"/>
                <w:b/>
                <w:bCs/>
                <w:sz w:val="20"/>
              </w:rPr>
            </w:pPr>
            <w:r w:rsidRPr="007D38C2">
              <w:rPr>
                <w:b/>
                <w:bCs/>
                <w:sz w:val="20"/>
              </w:rPr>
              <w:t>% of Total US POPs</w:t>
            </w:r>
          </w:p>
        </w:tc>
        <w:tc>
          <w:tcPr>
            <w:tcW w:w="1284" w:type="dxa"/>
            <w:shd w:val="clear" w:color="auto" w:fill="DAEEF3"/>
            <w:tcMar>
              <w:top w:w="0" w:type="dxa"/>
              <w:left w:w="108" w:type="dxa"/>
              <w:bottom w:w="0" w:type="dxa"/>
              <w:right w:w="108" w:type="dxa"/>
            </w:tcMar>
          </w:tcPr>
          <w:p w:rsidR="004A147C" w:rsidRPr="007D38C2" w:rsidRDefault="004A147C" w:rsidP="00CE5850">
            <w:pPr>
              <w:snapToGrid w:val="0"/>
              <w:jc w:val="center"/>
              <w:rPr>
                <w:rFonts w:eastAsia="Times New Roman"/>
                <w:b/>
                <w:bCs/>
                <w:sz w:val="20"/>
              </w:rPr>
            </w:pPr>
            <w:r w:rsidRPr="007D38C2">
              <w:rPr>
                <w:b/>
                <w:bCs/>
                <w:sz w:val="20"/>
              </w:rPr>
              <w:t>Square Miles Contained in Those Blocks</w:t>
            </w:r>
          </w:p>
          <w:p w:rsidR="004A147C" w:rsidRPr="007D38C2" w:rsidRDefault="004A147C" w:rsidP="00CE5850">
            <w:pPr>
              <w:snapToGrid w:val="0"/>
              <w:jc w:val="center"/>
              <w:rPr>
                <w:rFonts w:eastAsia="Times New Roman"/>
                <w:b/>
                <w:bCs/>
                <w:sz w:val="20"/>
              </w:rPr>
            </w:pPr>
            <w:r w:rsidRPr="007D38C2">
              <w:rPr>
                <w:b/>
                <w:bCs/>
                <w:sz w:val="20"/>
              </w:rPr>
              <w:t>(Thousands)</w:t>
            </w:r>
          </w:p>
        </w:tc>
        <w:tc>
          <w:tcPr>
            <w:tcW w:w="990" w:type="dxa"/>
            <w:shd w:val="clear" w:color="auto" w:fill="DAEEF3"/>
            <w:tcMar>
              <w:top w:w="0" w:type="dxa"/>
              <w:left w:w="108" w:type="dxa"/>
              <w:bottom w:w="0" w:type="dxa"/>
              <w:right w:w="108" w:type="dxa"/>
            </w:tcMar>
          </w:tcPr>
          <w:p w:rsidR="004A147C" w:rsidRPr="007D38C2" w:rsidRDefault="004A147C" w:rsidP="00CE5850">
            <w:pPr>
              <w:snapToGrid w:val="0"/>
              <w:jc w:val="center"/>
              <w:rPr>
                <w:rFonts w:eastAsia="Times New Roman"/>
                <w:b/>
                <w:bCs/>
                <w:sz w:val="20"/>
              </w:rPr>
            </w:pPr>
            <w:r w:rsidRPr="007D38C2">
              <w:rPr>
                <w:b/>
                <w:bCs/>
                <w:sz w:val="20"/>
              </w:rPr>
              <w:t>% of Total US Square Miles</w:t>
            </w:r>
          </w:p>
        </w:tc>
        <w:tc>
          <w:tcPr>
            <w:tcW w:w="1284" w:type="dxa"/>
            <w:shd w:val="clear" w:color="auto" w:fill="DAEEF3"/>
            <w:tcMar>
              <w:top w:w="0" w:type="dxa"/>
              <w:left w:w="108" w:type="dxa"/>
              <w:bottom w:w="0" w:type="dxa"/>
              <w:right w:w="108" w:type="dxa"/>
            </w:tcMar>
          </w:tcPr>
          <w:p w:rsidR="004A147C" w:rsidRPr="007D38C2" w:rsidRDefault="004A147C" w:rsidP="00CE5850">
            <w:pPr>
              <w:snapToGrid w:val="0"/>
              <w:jc w:val="center"/>
              <w:rPr>
                <w:rFonts w:eastAsia="Times New Roman"/>
                <w:b/>
                <w:bCs/>
                <w:sz w:val="20"/>
              </w:rPr>
            </w:pPr>
            <w:r w:rsidRPr="007D38C2">
              <w:rPr>
                <w:b/>
                <w:bCs/>
                <w:sz w:val="20"/>
              </w:rPr>
              <w:t>Road</w:t>
            </w:r>
          </w:p>
          <w:p w:rsidR="004A147C" w:rsidRPr="007D38C2" w:rsidRDefault="004A147C" w:rsidP="00CE5850">
            <w:pPr>
              <w:snapToGrid w:val="0"/>
              <w:jc w:val="center"/>
              <w:rPr>
                <w:rFonts w:eastAsia="Times New Roman"/>
                <w:b/>
                <w:bCs/>
                <w:sz w:val="20"/>
              </w:rPr>
            </w:pPr>
            <w:r w:rsidRPr="007D38C2">
              <w:rPr>
                <w:b/>
                <w:bCs/>
                <w:sz w:val="20"/>
              </w:rPr>
              <w:t>Miles Contained in Those Blocks (Thousands)</w:t>
            </w:r>
          </w:p>
        </w:tc>
        <w:tc>
          <w:tcPr>
            <w:tcW w:w="894" w:type="dxa"/>
            <w:shd w:val="clear" w:color="auto" w:fill="DAEEF3"/>
            <w:tcMar>
              <w:top w:w="0" w:type="dxa"/>
              <w:left w:w="108" w:type="dxa"/>
              <w:bottom w:w="0" w:type="dxa"/>
              <w:right w:w="108" w:type="dxa"/>
            </w:tcMar>
          </w:tcPr>
          <w:p w:rsidR="004A147C" w:rsidRPr="007D38C2" w:rsidRDefault="004A147C" w:rsidP="00CE5850">
            <w:pPr>
              <w:snapToGrid w:val="0"/>
              <w:jc w:val="center"/>
              <w:rPr>
                <w:rFonts w:eastAsia="Times New Roman"/>
                <w:b/>
                <w:bCs/>
                <w:sz w:val="20"/>
              </w:rPr>
            </w:pPr>
            <w:r w:rsidRPr="007D38C2">
              <w:rPr>
                <w:b/>
                <w:bCs/>
                <w:sz w:val="20"/>
              </w:rPr>
              <w:t>% of Total US Road Miles</w:t>
            </w:r>
          </w:p>
        </w:tc>
      </w:tr>
      <w:tr w:rsidR="004A147C" w:rsidRPr="007D38C2" w:rsidTr="00A0412A">
        <w:trPr>
          <w:trHeight w:val="215"/>
          <w:jc w:val="center"/>
        </w:trPr>
        <w:tc>
          <w:tcPr>
            <w:tcW w:w="1170" w:type="dxa"/>
            <w:shd w:val="clear" w:color="auto" w:fill="DAEEF3"/>
            <w:noWrap/>
            <w:tcMar>
              <w:top w:w="0" w:type="dxa"/>
              <w:left w:w="108" w:type="dxa"/>
              <w:bottom w:w="0" w:type="dxa"/>
              <w:right w:w="108" w:type="dxa"/>
            </w:tcMar>
            <w:vAlign w:val="bottom"/>
          </w:tcPr>
          <w:p w:rsidR="004A147C" w:rsidRPr="007D38C2" w:rsidRDefault="004A147C" w:rsidP="00CE5850">
            <w:pPr>
              <w:snapToGrid w:val="0"/>
              <w:jc w:val="center"/>
              <w:rPr>
                <w:rFonts w:eastAsia="Times New Roman"/>
                <w:sz w:val="20"/>
              </w:rPr>
            </w:pPr>
            <w:r w:rsidRPr="007D38C2">
              <w:rPr>
                <w:sz w:val="20"/>
              </w:rPr>
              <w:t>1 or more</w:t>
            </w:r>
          </w:p>
        </w:tc>
        <w:tc>
          <w:tcPr>
            <w:tcW w:w="1284" w:type="dxa"/>
            <w:shd w:val="clear" w:color="auto" w:fill="DAEEF3"/>
            <w:noWrap/>
            <w:tcMar>
              <w:top w:w="0" w:type="dxa"/>
              <w:left w:w="108" w:type="dxa"/>
              <w:bottom w:w="0" w:type="dxa"/>
              <w:right w:w="108" w:type="dxa"/>
            </w:tcMar>
          </w:tcPr>
          <w:p w:rsidR="004A147C" w:rsidRPr="00613773" w:rsidRDefault="004A147C" w:rsidP="00CE5850">
            <w:pPr>
              <w:jc w:val="center"/>
              <w:rPr>
                <w:sz w:val="20"/>
              </w:rPr>
            </w:pPr>
            <w:r w:rsidRPr="00613773">
              <w:rPr>
                <w:sz w:val="20"/>
              </w:rPr>
              <w:t>10,708</w:t>
            </w:r>
          </w:p>
        </w:tc>
        <w:tc>
          <w:tcPr>
            <w:tcW w:w="1284" w:type="dxa"/>
            <w:shd w:val="clear" w:color="auto" w:fill="DAEEF3"/>
            <w:noWrap/>
            <w:tcMar>
              <w:top w:w="0" w:type="dxa"/>
              <w:left w:w="108" w:type="dxa"/>
              <w:bottom w:w="0" w:type="dxa"/>
              <w:right w:w="108" w:type="dxa"/>
            </w:tcMar>
          </w:tcPr>
          <w:p w:rsidR="004A147C" w:rsidRPr="00613773" w:rsidRDefault="004A147C" w:rsidP="00CE5850">
            <w:pPr>
              <w:jc w:val="center"/>
              <w:rPr>
                <w:sz w:val="20"/>
              </w:rPr>
            </w:pPr>
            <w:r w:rsidRPr="00613773">
              <w:rPr>
                <w:sz w:val="20"/>
              </w:rPr>
              <w:t>311,025</w:t>
            </w:r>
          </w:p>
        </w:tc>
        <w:tc>
          <w:tcPr>
            <w:tcW w:w="810" w:type="dxa"/>
            <w:shd w:val="clear" w:color="auto" w:fill="DAEEF3"/>
            <w:noWrap/>
            <w:tcMar>
              <w:top w:w="0" w:type="dxa"/>
              <w:left w:w="108" w:type="dxa"/>
              <w:bottom w:w="0" w:type="dxa"/>
              <w:right w:w="108" w:type="dxa"/>
            </w:tcMar>
          </w:tcPr>
          <w:p w:rsidR="004A147C" w:rsidRPr="00613773" w:rsidRDefault="004A147C" w:rsidP="00CE5850">
            <w:pPr>
              <w:jc w:val="center"/>
              <w:rPr>
                <w:sz w:val="20"/>
              </w:rPr>
            </w:pPr>
            <w:r w:rsidRPr="00613773">
              <w:rPr>
                <w:sz w:val="20"/>
              </w:rPr>
              <w:t>99.5%</w:t>
            </w:r>
          </w:p>
        </w:tc>
        <w:tc>
          <w:tcPr>
            <w:tcW w:w="1284" w:type="dxa"/>
            <w:shd w:val="clear" w:color="auto" w:fill="DAEEF3"/>
            <w:noWrap/>
            <w:tcMar>
              <w:top w:w="0" w:type="dxa"/>
              <w:left w:w="108" w:type="dxa"/>
              <w:bottom w:w="0" w:type="dxa"/>
              <w:right w:w="108" w:type="dxa"/>
            </w:tcMar>
          </w:tcPr>
          <w:p w:rsidR="004A147C" w:rsidRPr="00613773" w:rsidRDefault="004A147C" w:rsidP="00CE5850">
            <w:pPr>
              <w:jc w:val="center"/>
              <w:rPr>
                <w:sz w:val="20"/>
              </w:rPr>
            </w:pPr>
            <w:r w:rsidRPr="00613773">
              <w:rPr>
                <w:sz w:val="20"/>
              </w:rPr>
              <w:t>2,577</w:t>
            </w:r>
          </w:p>
        </w:tc>
        <w:tc>
          <w:tcPr>
            <w:tcW w:w="990" w:type="dxa"/>
            <w:shd w:val="clear" w:color="auto" w:fill="DAEEF3"/>
            <w:noWrap/>
            <w:tcMar>
              <w:top w:w="0" w:type="dxa"/>
              <w:left w:w="108" w:type="dxa"/>
              <w:bottom w:w="0" w:type="dxa"/>
              <w:right w:w="108" w:type="dxa"/>
            </w:tcMar>
          </w:tcPr>
          <w:p w:rsidR="004A147C" w:rsidRPr="00613773" w:rsidRDefault="004A147C" w:rsidP="00CE5850">
            <w:pPr>
              <w:jc w:val="center"/>
              <w:rPr>
                <w:sz w:val="20"/>
              </w:rPr>
            </w:pPr>
            <w:r w:rsidRPr="00613773">
              <w:rPr>
                <w:sz w:val="20"/>
              </w:rPr>
              <w:t>67.8%</w:t>
            </w:r>
          </w:p>
        </w:tc>
        <w:tc>
          <w:tcPr>
            <w:tcW w:w="1284" w:type="dxa"/>
            <w:shd w:val="clear" w:color="auto" w:fill="DAEEF3"/>
            <w:tcMar>
              <w:top w:w="0" w:type="dxa"/>
              <w:left w:w="108" w:type="dxa"/>
              <w:bottom w:w="0" w:type="dxa"/>
              <w:right w:w="108" w:type="dxa"/>
            </w:tcMar>
          </w:tcPr>
          <w:p w:rsidR="004A147C" w:rsidRPr="00613773" w:rsidRDefault="004A147C" w:rsidP="00CE5850">
            <w:pPr>
              <w:jc w:val="center"/>
              <w:rPr>
                <w:sz w:val="20"/>
              </w:rPr>
            </w:pPr>
            <w:r w:rsidRPr="00613773">
              <w:rPr>
                <w:sz w:val="20"/>
              </w:rPr>
              <w:t>6,209</w:t>
            </w:r>
          </w:p>
        </w:tc>
        <w:tc>
          <w:tcPr>
            <w:tcW w:w="894" w:type="dxa"/>
            <w:shd w:val="clear" w:color="auto" w:fill="DAEEF3"/>
            <w:tcMar>
              <w:top w:w="0" w:type="dxa"/>
              <w:left w:w="108" w:type="dxa"/>
              <w:bottom w:w="0" w:type="dxa"/>
              <w:right w:w="108" w:type="dxa"/>
            </w:tcMar>
          </w:tcPr>
          <w:p w:rsidR="004A147C" w:rsidRPr="00613773" w:rsidRDefault="004A147C" w:rsidP="00CE5850">
            <w:pPr>
              <w:jc w:val="center"/>
              <w:rPr>
                <w:sz w:val="20"/>
              </w:rPr>
            </w:pPr>
            <w:r w:rsidRPr="00613773">
              <w:rPr>
                <w:sz w:val="20"/>
              </w:rPr>
              <w:t>91.0%</w:t>
            </w:r>
          </w:p>
        </w:tc>
      </w:tr>
      <w:tr w:rsidR="004A147C" w:rsidRPr="007D38C2" w:rsidTr="00A0412A">
        <w:trPr>
          <w:trHeight w:val="255"/>
          <w:jc w:val="center"/>
        </w:trPr>
        <w:tc>
          <w:tcPr>
            <w:tcW w:w="1170" w:type="dxa"/>
            <w:shd w:val="clear" w:color="auto" w:fill="DAEEF3"/>
            <w:noWrap/>
            <w:tcMar>
              <w:top w:w="0" w:type="dxa"/>
              <w:left w:w="108" w:type="dxa"/>
              <w:bottom w:w="0" w:type="dxa"/>
              <w:right w:w="108" w:type="dxa"/>
            </w:tcMar>
            <w:vAlign w:val="bottom"/>
          </w:tcPr>
          <w:p w:rsidR="004A147C" w:rsidRPr="007D38C2" w:rsidRDefault="004A147C" w:rsidP="00CE5850">
            <w:pPr>
              <w:snapToGrid w:val="0"/>
              <w:jc w:val="center"/>
              <w:rPr>
                <w:rFonts w:eastAsia="Times New Roman"/>
                <w:sz w:val="20"/>
              </w:rPr>
            </w:pPr>
            <w:r w:rsidRPr="007D38C2">
              <w:rPr>
                <w:sz w:val="20"/>
              </w:rPr>
              <w:t>2 or more</w:t>
            </w:r>
          </w:p>
        </w:tc>
        <w:tc>
          <w:tcPr>
            <w:tcW w:w="1284" w:type="dxa"/>
            <w:shd w:val="clear" w:color="auto" w:fill="DAEEF3"/>
            <w:noWrap/>
            <w:tcMar>
              <w:top w:w="0" w:type="dxa"/>
              <w:left w:w="108" w:type="dxa"/>
              <w:bottom w:w="0" w:type="dxa"/>
              <w:right w:w="108" w:type="dxa"/>
            </w:tcMar>
          </w:tcPr>
          <w:p w:rsidR="004A147C" w:rsidRPr="00613773" w:rsidRDefault="004A147C" w:rsidP="00CE5850">
            <w:pPr>
              <w:jc w:val="center"/>
              <w:rPr>
                <w:sz w:val="20"/>
              </w:rPr>
            </w:pPr>
            <w:r w:rsidRPr="00613773">
              <w:rPr>
                <w:sz w:val="20"/>
              </w:rPr>
              <w:t>9,889</w:t>
            </w:r>
          </w:p>
        </w:tc>
        <w:tc>
          <w:tcPr>
            <w:tcW w:w="1284" w:type="dxa"/>
            <w:shd w:val="clear" w:color="auto" w:fill="DAEEF3"/>
            <w:noWrap/>
            <w:tcMar>
              <w:top w:w="0" w:type="dxa"/>
              <w:left w:w="108" w:type="dxa"/>
              <w:bottom w:w="0" w:type="dxa"/>
              <w:right w:w="108" w:type="dxa"/>
            </w:tcMar>
          </w:tcPr>
          <w:p w:rsidR="004A147C" w:rsidRPr="00613773" w:rsidRDefault="004A147C" w:rsidP="00CE5850">
            <w:pPr>
              <w:jc w:val="center"/>
              <w:rPr>
                <w:sz w:val="20"/>
              </w:rPr>
            </w:pPr>
            <w:r w:rsidRPr="00613773">
              <w:rPr>
                <w:sz w:val="20"/>
              </w:rPr>
              <w:t>305,590</w:t>
            </w:r>
          </w:p>
        </w:tc>
        <w:tc>
          <w:tcPr>
            <w:tcW w:w="810" w:type="dxa"/>
            <w:shd w:val="clear" w:color="auto" w:fill="DAEEF3"/>
            <w:noWrap/>
            <w:tcMar>
              <w:top w:w="0" w:type="dxa"/>
              <w:left w:w="108" w:type="dxa"/>
              <w:bottom w:w="0" w:type="dxa"/>
              <w:right w:w="108" w:type="dxa"/>
            </w:tcMar>
          </w:tcPr>
          <w:p w:rsidR="004A147C" w:rsidRPr="00613773" w:rsidRDefault="004A147C" w:rsidP="00CE5850">
            <w:pPr>
              <w:jc w:val="center"/>
              <w:rPr>
                <w:sz w:val="20"/>
              </w:rPr>
            </w:pPr>
            <w:r w:rsidRPr="00613773">
              <w:rPr>
                <w:sz w:val="20"/>
              </w:rPr>
              <w:t>97.8%</w:t>
            </w:r>
          </w:p>
        </w:tc>
        <w:tc>
          <w:tcPr>
            <w:tcW w:w="1284" w:type="dxa"/>
            <w:shd w:val="clear" w:color="auto" w:fill="DAEEF3"/>
            <w:noWrap/>
            <w:tcMar>
              <w:top w:w="0" w:type="dxa"/>
              <w:left w:w="108" w:type="dxa"/>
              <w:bottom w:w="0" w:type="dxa"/>
              <w:right w:w="108" w:type="dxa"/>
            </w:tcMar>
          </w:tcPr>
          <w:p w:rsidR="004A147C" w:rsidRPr="00613773" w:rsidRDefault="004A147C" w:rsidP="00CE5850">
            <w:pPr>
              <w:jc w:val="center"/>
              <w:rPr>
                <w:sz w:val="20"/>
              </w:rPr>
            </w:pPr>
            <w:r w:rsidRPr="00613773">
              <w:rPr>
                <w:sz w:val="20"/>
              </w:rPr>
              <w:t>1,950</w:t>
            </w:r>
          </w:p>
        </w:tc>
        <w:tc>
          <w:tcPr>
            <w:tcW w:w="990" w:type="dxa"/>
            <w:shd w:val="clear" w:color="auto" w:fill="DAEEF3"/>
            <w:noWrap/>
            <w:tcMar>
              <w:top w:w="0" w:type="dxa"/>
              <w:left w:w="108" w:type="dxa"/>
              <w:bottom w:w="0" w:type="dxa"/>
              <w:right w:w="108" w:type="dxa"/>
            </w:tcMar>
          </w:tcPr>
          <w:p w:rsidR="004A147C" w:rsidRPr="00613773" w:rsidRDefault="004A147C" w:rsidP="00CE5850">
            <w:pPr>
              <w:jc w:val="center"/>
              <w:rPr>
                <w:sz w:val="20"/>
              </w:rPr>
            </w:pPr>
            <w:r w:rsidRPr="00613773">
              <w:rPr>
                <w:sz w:val="20"/>
              </w:rPr>
              <w:t>51.3%</w:t>
            </w:r>
          </w:p>
        </w:tc>
        <w:tc>
          <w:tcPr>
            <w:tcW w:w="1284" w:type="dxa"/>
            <w:shd w:val="clear" w:color="auto" w:fill="DAEEF3"/>
            <w:tcMar>
              <w:top w:w="0" w:type="dxa"/>
              <w:left w:w="108" w:type="dxa"/>
              <w:bottom w:w="0" w:type="dxa"/>
              <w:right w:w="108" w:type="dxa"/>
            </w:tcMar>
          </w:tcPr>
          <w:p w:rsidR="004A147C" w:rsidRPr="00613773" w:rsidRDefault="004A147C" w:rsidP="00CE5850">
            <w:pPr>
              <w:jc w:val="center"/>
              <w:rPr>
                <w:sz w:val="20"/>
              </w:rPr>
            </w:pPr>
            <w:r w:rsidRPr="00613773">
              <w:rPr>
                <w:sz w:val="20"/>
              </w:rPr>
              <w:t>5,245</w:t>
            </w:r>
          </w:p>
        </w:tc>
        <w:tc>
          <w:tcPr>
            <w:tcW w:w="894" w:type="dxa"/>
            <w:shd w:val="clear" w:color="auto" w:fill="DAEEF3"/>
            <w:tcMar>
              <w:top w:w="0" w:type="dxa"/>
              <w:left w:w="108" w:type="dxa"/>
              <w:bottom w:w="0" w:type="dxa"/>
              <w:right w:w="108" w:type="dxa"/>
            </w:tcMar>
          </w:tcPr>
          <w:p w:rsidR="004A147C" w:rsidRPr="00613773" w:rsidRDefault="004A147C" w:rsidP="00CE5850">
            <w:pPr>
              <w:jc w:val="center"/>
              <w:rPr>
                <w:sz w:val="20"/>
              </w:rPr>
            </w:pPr>
            <w:r w:rsidRPr="00613773">
              <w:rPr>
                <w:sz w:val="20"/>
              </w:rPr>
              <w:t>76.9%</w:t>
            </w:r>
          </w:p>
        </w:tc>
      </w:tr>
      <w:tr w:rsidR="004A147C" w:rsidRPr="007D38C2" w:rsidTr="00A0412A">
        <w:trPr>
          <w:trHeight w:val="255"/>
          <w:jc w:val="center"/>
        </w:trPr>
        <w:tc>
          <w:tcPr>
            <w:tcW w:w="1170" w:type="dxa"/>
            <w:shd w:val="clear" w:color="auto" w:fill="DAEEF3"/>
            <w:noWrap/>
            <w:tcMar>
              <w:top w:w="0" w:type="dxa"/>
              <w:left w:w="108" w:type="dxa"/>
              <w:bottom w:w="0" w:type="dxa"/>
              <w:right w:w="108" w:type="dxa"/>
            </w:tcMar>
            <w:vAlign w:val="bottom"/>
          </w:tcPr>
          <w:p w:rsidR="004A147C" w:rsidRPr="007D38C2" w:rsidRDefault="004A147C" w:rsidP="00CE5850">
            <w:pPr>
              <w:snapToGrid w:val="0"/>
              <w:jc w:val="center"/>
              <w:rPr>
                <w:rFonts w:eastAsia="Times New Roman"/>
                <w:sz w:val="20"/>
              </w:rPr>
            </w:pPr>
            <w:r w:rsidRPr="007D38C2">
              <w:rPr>
                <w:sz w:val="20"/>
              </w:rPr>
              <w:t>3 or more</w:t>
            </w:r>
          </w:p>
        </w:tc>
        <w:tc>
          <w:tcPr>
            <w:tcW w:w="1284" w:type="dxa"/>
            <w:shd w:val="clear" w:color="auto" w:fill="DAEEF3"/>
            <w:noWrap/>
            <w:tcMar>
              <w:top w:w="0" w:type="dxa"/>
              <w:left w:w="108" w:type="dxa"/>
              <w:bottom w:w="0" w:type="dxa"/>
              <w:right w:w="108" w:type="dxa"/>
            </w:tcMar>
          </w:tcPr>
          <w:p w:rsidR="004A147C" w:rsidRPr="00613773" w:rsidRDefault="004A147C" w:rsidP="00CE5850">
            <w:pPr>
              <w:jc w:val="center"/>
              <w:rPr>
                <w:sz w:val="20"/>
              </w:rPr>
            </w:pPr>
            <w:r w:rsidRPr="00613773">
              <w:rPr>
                <w:sz w:val="20"/>
              </w:rPr>
              <w:t>7,954</w:t>
            </w:r>
          </w:p>
        </w:tc>
        <w:tc>
          <w:tcPr>
            <w:tcW w:w="1284" w:type="dxa"/>
            <w:shd w:val="clear" w:color="auto" w:fill="DAEEF3"/>
            <w:noWrap/>
            <w:tcMar>
              <w:top w:w="0" w:type="dxa"/>
              <w:left w:w="108" w:type="dxa"/>
              <w:bottom w:w="0" w:type="dxa"/>
              <w:right w:w="108" w:type="dxa"/>
            </w:tcMar>
          </w:tcPr>
          <w:p w:rsidR="004A147C" w:rsidRPr="00613773" w:rsidRDefault="004A147C" w:rsidP="00CE5850">
            <w:pPr>
              <w:jc w:val="center"/>
              <w:rPr>
                <w:sz w:val="20"/>
              </w:rPr>
            </w:pPr>
            <w:r w:rsidRPr="00613773">
              <w:rPr>
                <w:sz w:val="20"/>
              </w:rPr>
              <w:t>286,121</w:t>
            </w:r>
          </w:p>
        </w:tc>
        <w:tc>
          <w:tcPr>
            <w:tcW w:w="810" w:type="dxa"/>
            <w:shd w:val="clear" w:color="auto" w:fill="DAEEF3"/>
            <w:noWrap/>
            <w:tcMar>
              <w:top w:w="0" w:type="dxa"/>
              <w:left w:w="108" w:type="dxa"/>
              <w:bottom w:w="0" w:type="dxa"/>
              <w:right w:w="108" w:type="dxa"/>
            </w:tcMar>
          </w:tcPr>
          <w:p w:rsidR="004A147C" w:rsidRPr="00613773" w:rsidRDefault="004A147C" w:rsidP="00CE5850">
            <w:pPr>
              <w:jc w:val="center"/>
              <w:rPr>
                <w:sz w:val="20"/>
              </w:rPr>
            </w:pPr>
            <w:r w:rsidRPr="00613773">
              <w:rPr>
                <w:sz w:val="20"/>
              </w:rPr>
              <w:t>91.6%</w:t>
            </w:r>
          </w:p>
        </w:tc>
        <w:tc>
          <w:tcPr>
            <w:tcW w:w="1284" w:type="dxa"/>
            <w:shd w:val="clear" w:color="auto" w:fill="DAEEF3"/>
            <w:noWrap/>
            <w:tcMar>
              <w:top w:w="0" w:type="dxa"/>
              <w:left w:w="108" w:type="dxa"/>
              <w:bottom w:w="0" w:type="dxa"/>
              <w:right w:w="108" w:type="dxa"/>
            </w:tcMar>
          </w:tcPr>
          <w:p w:rsidR="004A147C" w:rsidRPr="00613773" w:rsidRDefault="004A147C" w:rsidP="00CE5850">
            <w:pPr>
              <w:jc w:val="center"/>
              <w:rPr>
                <w:sz w:val="20"/>
              </w:rPr>
            </w:pPr>
            <w:r w:rsidRPr="00613773">
              <w:rPr>
                <w:sz w:val="20"/>
              </w:rPr>
              <w:t>1,070</w:t>
            </w:r>
          </w:p>
        </w:tc>
        <w:tc>
          <w:tcPr>
            <w:tcW w:w="990" w:type="dxa"/>
            <w:shd w:val="clear" w:color="auto" w:fill="DAEEF3"/>
            <w:noWrap/>
            <w:tcMar>
              <w:top w:w="0" w:type="dxa"/>
              <w:left w:w="108" w:type="dxa"/>
              <w:bottom w:w="0" w:type="dxa"/>
              <w:right w:w="108" w:type="dxa"/>
            </w:tcMar>
          </w:tcPr>
          <w:p w:rsidR="004A147C" w:rsidRPr="00613773" w:rsidRDefault="004A147C" w:rsidP="00CE5850">
            <w:pPr>
              <w:jc w:val="center"/>
              <w:rPr>
                <w:sz w:val="20"/>
              </w:rPr>
            </w:pPr>
            <w:r w:rsidRPr="00613773">
              <w:rPr>
                <w:sz w:val="20"/>
              </w:rPr>
              <w:t>28.1%</w:t>
            </w:r>
          </w:p>
        </w:tc>
        <w:tc>
          <w:tcPr>
            <w:tcW w:w="1284" w:type="dxa"/>
            <w:shd w:val="clear" w:color="auto" w:fill="DAEEF3"/>
            <w:tcMar>
              <w:top w:w="0" w:type="dxa"/>
              <w:left w:w="108" w:type="dxa"/>
              <w:bottom w:w="0" w:type="dxa"/>
              <w:right w:w="108" w:type="dxa"/>
            </w:tcMar>
          </w:tcPr>
          <w:p w:rsidR="004A147C" w:rsidRPr="00613773" w:rsidRDefault="004A147C" w:rsidP="00CE5850">
            <w:pPr>
              <w:jc w:val="center"/>
              <w:rPr>
                <w:sz w:val="20"/>
              </w:rPr>
            </w:pPr>
            <w:r w:rsidRPr="00613773">
              <w:rPr>
                <w:sz w:val="20"/>
              </w:rPr>
              <w:t>3,570</w:t>
            </w:r>
          </w:p>
        </w:tc>
        <w:tc>
          <w:tcPr>
            <w:tcW w:w="894" w:type="dxa"/>
            <w:shd w:val="clear" w:color="auto" w:fill="DAEEF3"/>
            <w:tcMar>
              <w:top w:w="0" w:type="dxa"/>
              <w:left w:w="108" w:type="dxa"/>
              <w:bottom w:w="0" w:type="dxa"/>
              <w:right w:w="108" w:type="dxa"/>
            </w:tcMar>
          </w:tcPr>
          <w:p w:rsidR="004A147C" w:rsidRPr="00613773" w:rsidRDefault="004A147C" w:rsidP="00CE5850">
            <w:pPr>
              <w:jc w:val="center"/>
              <w:rPr>
                <w:sz w:val="20"/>
              </w:rPr>
            </w:pPr>
            <w:r w:rsidRPr="00613773">
              <w:rPr>
                <w:sz w:val="20"/>
              </w:rPr>
              <w:t>52.3%</w:t>
            </w:r>
          </w:p>
        </w:tc>
      </w:tr>
      <w:tr w:rsidR="004A147C" w:rsidRPr="007D38C2" w:rsidTr="00A0412A">
        <w:trPr>
          <w:trHeight w:val="255"/>
          <w:jc w:val="center"/>
        </w:trPr>
        <w:tc>
          <w:tcPr>
            <w:tcW w:w="1170" w:type="dxa"/>
            <w:shd w:val="clear" w:color="auto" w:fill="DAEEF3"/>
            <w:noWrap/>
            <w:tcMar>
              <w:top w:w="0" w:type="dxa"/>
              <w:left w:w="108" w:type="dxa"/>
              <w:bottom w:w="0" w:type="dxa"/>
              <w:right w:w="108" w:type="dxa"/>
            </w:tcMar>
            <w:vAlign w:val="bottom"/>
          </w:tcPr>
          <w:p w:rsidR="004A147C" w:rsidRPr="007D38C2" w:rsidRDefault="004A147C" w:rsidP="00CE5850">
            <w:pPr>
              <w:snapToGrid w:val="0"/>
              <w:jc w:val="center"/>
              <w:rPr>
                <w:rFonts w:eastAsia="Times New Roman"/>
                <w:sz w:val="20"/>
              </w:rPr>
            </w:pPr>
            <w:r w:rsidRPr="007D38C2">
              <w:rPr>
                <w:sz w:val="20"/>
              </w:rPr>
              <w:t>4 or more</w:t>
            </w:r>
          </w:p>
        </w:tc>
        <w:tc>
          <w:tcPr>
            <w:tcW w:w="1284" w:type="dxa"/>
            <w:shd w:val="clear" w:color="auto" w:fill="DAEEF3"/>
            <w:noWrap/>
            <w:tcMar>
              <w:top w:w="0" w:type="dxa"/>
              <w:left w:w="108" w:type="dxa"/>
              <w:bottom w:w="0" w:type="dxa"/>
              <w:right w:w="108" w:type="dxa"/>
            </w:tcMar>
          </w:tcPr>
          <w:p w:rsidR="004A147C" w:rsidRPr="00613773" w:rsidRDefault="004A147C" w:rsidP="00CE5850">
            <w:pPr>
              <w:jc w:val="center"/>
              <w:rPr>
                <w:sz w:val="20"/>
              </w:rPr>
            </w:pPr>
            <w:r w:rsidRPr="00613773">
              <w:rPr>
                <w:sz w:val="20"/>
              </w:rPr>
              <w:t>5,977</w:t>
            </w:r>
          </w:p>
        </w:tc>
        <w:tc>
          <w:tcPr>
            <w:tcW w:w="1284" w:type="dxa"/>
            <w:shd w:val="clear" w:color="auto" w:fill="DAEEF3"/>
            <w:noWrap/>
            <w:tcMar>
              <w:top w:w="0" w:type="dxa"/>
              <w:left w:w="108" w:type="dxa"/>
              <w:bottom w:w="0" w:type="dxa"/>
              <w:right w:w="108" w:type="dxa"/>
            </w:tcMar>
          </w:tcPr>
          <w:p w:rsidR="004A147C" w:rsidRPr="00613773" w:rsidRDefault="004A147C" w:rsidP="00CE5850">
            <w:pPr>
              <w:jc w:val="center"/>
              <w:rPr>
                <w:sz w:val="20"/>
              </w:rPr>
            </w:pPr>
            <w:r w:rsidRPr="00613773">
              <w:rPr>
                <w:sz w:val="20"/>
              </w:rPr>
              <w:t>256,191</w:t>
            </w:r>
          </w:p>
        </w:tc>
        <w:tc>
          <w:tcPr>
            <w:tcW w:w="810" w:type="dxa"/>
            <w:shd w:val="clear" w:color="auto" w:fill="DAEEF3"/>
            <w:noWrap/>
            <w:tcMar>
              <w:top w:w="0" w:type="dxa"/>
              <w:left w:w="108" w:type="dxa"/>
              <w:bottom w:w="0" w:type="dxa"/>
              <w:right w:w="108" w:type="dxa"/>
            </w:tcMar>
          </w:tcPr>
          <w:p w:rsidR="004A147C" w:rsidRPr="00613773" w:rsidRDefault="004A147C" w:rsidP="00CE5850">
            <w:pPr>
              <w:jc w:val="center"/>
              <w:rPr>
                <w:sz w:val="20"/>
              </w:rPr>
            </w:pPr>
            <w:r w:rsidRPr="00613773">
              <w:rPr>
                <w:sz w:val="20"/>
              </w:rPr>
              <w:t>82.0%</w:t>
            </w:r>
          </w:p>
        </w:tc>
        <w:tc>
          <w:tcPr>
            <w:tcW w:w="1284" w:type="dxa"/>
            <w:shd w:val="clear" w:color="auto" w:fill="DAEEF3"/>
            <w:noWrap/>
            <w:tcMar>
              <w:top w:w="0" w:type="dxa"/>
              <w:left w:w="108" w:type="dxa"/>
              <w:bottom w:w="0" w:type="dxa"/>
              <w:right w:w="108" w:type="dxa"/>
            </w:tcMar>
          </w:tcPr>
          <w:p w:rsidR="004A147C" w:rsidRPr="00613773" w:rsidRDefault="004A147C" w:rsidP="00CE5850">
            <w:pPr>
              <w:jc w:val="center"/>
              <w:rPr>
                <w:sz w:val="20"/>
              </w:rPr>
            </w:pPr>
            <w:r w:rsidRPr="00613773">
              <w:rPr>
                <w:sz w:val="20"/>
              </w:rPr>
              <w:t>521</w:t>
            </w:r>
          </w:p>
        </w:tc>
        <w:tc>
          <w:tcPr>
            <w:tcW w:w="990" w:type="dxa"/>
            <w:shd w:val="clear" w:color="auto" w:fill="DAEEF3"/>
            <w:noWrap/>
            <w:tcMar>
              <w:top w:w="0" w:type="dxa"/>
              <w:left w:w="108" w:type="dxa"/>
              <w:bottom w:w="0" w:type="dxa"/>
              <w:right w:w="108" w:type="dxa"/>
            </w:tcMar>
          </w:tcPr>
          <w:p w:rsidR="004A147C" w:rsidRPr="00613773" w:rsidRDefault="004A147C" w:rsidP="00CE5850">
            <w:pPr>
              <w:jc w:val="center"/>
              <w:rPr>
                <w:sz w:val="20"/>
              </w:rPr>
            </w:pPr>
            <w:r w:rsidRPr="00613773">
              <w:rPr>
                <w:sz w:val="20"/>
              </w:rPr>
              <w:t>13.7%</w:t>
            </w:r>
          </w:p>
        </w:tc>
        <w:tc>
          <w:tcPr>
            <w:tcW w:w="1284" w:type="dxa"/>
            <w:shd w:val="clear" w:color="auto" w:fill="DAEEF3"/>
            <w:tcMar>
              <w:top w:w="0" w:type="dxa"/>
              <w:left w:w="108" w:type="dxa"/>
              <w:bottom w:w="0" w:type="dxa"/>
              <w:right w:w="108" w:type="dxa"/>
            </w:tcMar>
          </w:tcPr>
          <w:p w:rsidR="004A147C" w:rsidRPr="00613773" w:rsidRDefault="004A147C" w:rsidP="00CE5850">
            <w:pPr>
              <w:jc w:val="center"/>
              <w:rPr>
                <w:sz w:val="20"/>
              </w:rPr>
            </w:pPr>
            <w:r w:rsidRPr="00613773">
              <w:rPr>
                <w:sz w:val="20"/>
              </w:rPr>
              <w:t>2,252</w:t>
            </w:r>
          </w:p>
        </w:tc>
        <w:tc>
          <w:tcPr>
            <w:tcW w:w="894" w:type="dxa"/>
            <w:shd w:val="clear" w:color="auto" w:fill="DAEEF3"/>
            <w:tcMar>
              <w:top w:w="0" w:type="dxa"/>
              <w:left w:w="108" w:type="dxa"/>
              <w:bottom w:w="0" w:type="dxa"/>
              <w:right w:w="108" w:type="dxa"/>
            </w:tcMar>
          </w:tcPr>
          <w:p w:rsidR="004A147C" w:rsidRPr="00613773" w:rsidRDefault="004A147C" w:rsidP="00CE5850">
            <w:pPr>
              <w:jc w:val="center"/>
              <w:rPr>
                <w:sz w:val="20"/>
              </w:rPr>
            </w:pPr>
            <w:r w:rsidRPr="00613773">
              <w:rPr>
                <w:sz w:val="20"/>
              </w:rPr>
              <w:t>33.0%</w:t>
            </w:r>
          </w:p>
        </w:tc>
      </w:tr>
      <w:tr w:rsidR="004A147C" w:rsidRPr="007D38C2" w:rsidTr="00A0412A">
        <w:trPr>
          <w:trHeight w:val="255"/>
          <w:jc w:val="center"/>
        </w:trPr>
        <w:tc>
          <w:tcPr>
            <w:tcW w:w="1170" w:type="dxa"/>
            <w:shd w:val="clear" w:color="auto" w:fill="DAEEF3"/>
            <w:noWrap/>
            <w:tcMar>
              <w:top w:w="0" w:type="dxa"/>
              <w:left w:w="108" w:type="dxa"/>
              <w:bottom w:w="0" w:type="dxa"/>
              <w:right w:w="108" w:type="dxa"/>
            </w:tcMar>
            <w:vAlign w:val="bottom"/>
          </w:tcPr>
          <w:p w:rsidR="004A147C" w:rsidRPr="007D38C2" w:rsidRDefault="004A147C" w:rsidP="00CE5850">
            <w:pPr>
              <w:snapToGrid w:val="0"/>
              <w:jc w:val="center"/>
              <w:rPr>
                <w:rFonts w:eastAsia="Times New Roman"/>
                <w:sz w:val="20"/>
              </w:rPr>
            </w:pPr>
            <w:r w:rsidRPr="007D38C2">
              <w:rPr>
                <w:sz w:val="20"/>
              </w:rPr>
              <w:t>5 or more</w:t>
            </w:r>
          </w:p>
        </w:tc>
        <w:tc>
          <w:tcPr>
            <w:tcW w:w="1284" w:type="dxa"/>
            <w:shd w:val="clear" w:color="auto" w:fill="DAEEF3"/>
            <w:noWrap/>
            <w:tcMar>
              <w:top w:w="0" w:type="dxa"/>
              <w:left w:w="108" w:type="dxa"/>
              <w:bottom w:w="0" w:type="dxa"/>
              <w:right w:w="108" w:type="dxa"/>
            </w:tcMar>
          </w:tcPr>
          <w:p w:rsidR="004A147C" w:rsidRPr="00613773" w:rsidRDefault="004A147C" w:rsidP="00CE5850">
            <w:pPr>
              <w:jc w:val="center"/>
              <w:rPr>
                <w:sz w:val="20"/>
              </w:rPr>
            </w:pPr>
            <w:r w:rsidRPr="00613773">
              <w:rPr>
                <w:sz w:val="20"/>
              </w:rPr>
              <w:t>4,222</w:t>
            </w:r>
          </w:p>
        </w:tc>
        <w:tc>
          <w:tcPr>
            <w:tcW w:w="1284" w:type="dxa"/>
            <w:shd w:val="clear" w:color="auto" w:fill="DAEEF3"/>
            <w:noWrap/>
            <w:tcMar>
              <w:top w:w="0" w:type="dxa"/>
              <w:left w:w="108" w:type="dxa"/>
              <w:bottom w:w="0" w:type="dxa"/>
              <w:right w:w="108" w:type="dxa"/>
            </w:tcMar>
          </w:tcPr>
          <w:p w:rsidR="004A147C" w:rsidRPr="00613773" w:rsidRDefault="004A147C" w:rsidP="00CE5850">
            <w:pPr>
              <w:jc w:val="center"/>
              <w:rPr>
                <w:sz w:val="20"/>
              </w:rPr>
            </w:pPr>
            <w:r w:rsidRPr="00613773">
              <w:rPr>
                <w:sz w:val="20"/>
              </w:rPr>
              <w:t>215,375</w:t>
            </w:r>
          </w:p>
        </w:tc>
        <w:tc>
          <w:tcPr>
            <w:tcW w:w="810" w:type="dxa"/>
            <w:shd w:val="clear" w:color="auto" w:fill="DAEEF3"/>
            <w:noWrap/>
            <w:tcMar>
              <w:top w:w="0" w:type="dxa"/>
              <w:left w:w="108" w:type="dxa"/>
              <w:bottom w:w="0" w:type="dxa"/>
              <w:right w:w="108" w:type="dxa"/>
            </w:tcMar>
          </w:tcPr>
          <w:p w:rsidR="004A147C" w:rsidRPr="00613773" w:rsidRDefault="004A147C" w:rsidP="00CE5850">
            <w:pPr>
              <w:jc w:val="center"/>
              <w:rPr>
                <w:sz w:val="20"/>
              </w:rPr>
            </w:pPr>
            <w:r w:rsidRPr="00613773">
              <w:rPr>
                <w:sz w:val="20"/>
              </w:rPr>
              <w:t>68.9%</w:t>
            </w:r>
          </w:p>
        </w:tc>
        <w:tc>
          <w:tcPr>
            <w:tcW w:w="1284" w:type="dxa"/>
            <w:shd w:val="clear" w:color="auto" w:fill="DAEEF3"/>
            <w:noWrap/>
            <w:tcMar>
              <w:top w:w="0" w:type="dxa"/>
              <w:left w:w="108" w:type="dxa"/>
              <w:bottom w:w="0" w:type="dxa"/>
              <w:right w:w="108" w:type="dxa"/>
            </w:tcMar>
          </w:tcPr>
          <w:p w:rsidR="004A147C" w:rsidRPr="00613773" w:rsidRDefault="004A147C" w:rsidP="00CE5850">
            <w:pPr>
              <w:jc w:val="center"/>
              <w:rPr>
                <w:sz w:val="20"/>
              </w:rPr>
            </w:pPr>
            <w:r w:rsidRPr="00613773">
              <w:rPr>
                <w:sz w:val="20"/>
              </w:rPr>
              <w:t>228</w:t>
            </w:r>
          </w:p>
        </w:tc>
        <w:tc>
          <w:tcPr>
            <w:tcW w:w="990" w:type="dxa"/>
            <w:shd w:val="clear" w:color="auto" w:fill="DAEEF3"/>
            <w:noWrap/>
            <w:tcMar>
              <w:top w:w="0" w:type="dxa"/>
              <w:left w:w="108" w:type="dxa"/>
              <w:bottom w:w="0" w:type="dxa"/>
              <w:right w:w="108" w:type="dxa"/>
            </w:tcMar>
          </w:tcPr>
          <w:p w:rsidR="004A147C" w:rsidRPr="00613773" w:rsidRDefault="004A147C" w:rsidP="00CE5850">
            <w:pPr>
              <w:jc w:val="center"/>
              <w:rPr>
                <w:sz w:val="20"/>
              </w:rPr>
            </w:pPr>
            <w:r w:rsidRPr="00613773">
              <w:rPr>
                <w:sz w:val="20"/>
              </w:rPr>
              <w:t>6.0%</w:t>
            </w:r>
          </w:p>
        </w:tc>
        <w:tc>
          <w:tcPr>
            <w:tcW w:w="1284" w:type="dxa"/>
            <w:shd w:val="clear" w:color="auto" w:fill="DAEEF3"/>
            <w:tcMar>
              <w:top w:w="0" w:type="dxa"/>
              <w:left w:w="108" w:type="dxa"/>
              <w:bottom w:w="0" w:type="dxa"/>
              <w:right w:w="108" w:type="dxa"/>
            </w:tcMar>
          </w:tcPr>
          <w:p w:rsidR="004A147C" w:rsidRPr="00613773" w:rsidRDefault="004A147C" w:rsidP="00CE5850">
            <w:pPr>
              <w:jc w:val="center"/>
              <w:rPr>
                <w:sz w:val="20"/>
              </w:rPr>
            </w:pPr>
            <w:r w:rsidRPr="00613773">
              <w:rPr>
                <w:sz w:val="20"/>
              </w:rPr>
              <w:t>1,353</w:t>
            </w:r>
          </w:p>
        </w:tc>
        <w:tc>
          <w:tcPr>
            <w:tcW w:w="894" w:type="dxa"/>
            <w:shd w:val="clear" w:color="auto" w:fill="DAEEF3"/>
            <w:tcMar>
              <w:top w:w="0" w:type="dxa"/>
              <w:left w:w="108" w:type="dxa"/>
              <w:bottom w:w="0" w:type="dxa"/>
              <w:right w:w="108" w:type="dxa"/>
            </w:tcMar>
          </w:tcPr>
          <w:p w:rsidR="004A147C" w:rsidRPr="00613773" w:rsidRDefault="004A147C" w:rsidP="00CE5850">
            <w:pPr>
              <w:jc w:val="center"/>
              <w:rPr>
                <w:sz w:val="20"/>
              </w:rPr>
            </w:pPr>
            <w:r w:rsidRPr="00613773">
              <w:rPr>
                <w:sz w:val="20"/>
              </w:rPr>
              <w:t>19.8%</w:t>
            </w:r>
          </w:p>
        </w:tc>
      </w:tr>
    </w:tbl>
    <w:p w:rsidR="004A147C" w:rsidRDefault="004A147C" w:rsidP="00CE5850">
      <w:pPr>
        <w:rPr>
          <w:szCs w:val="22"/>
        </w:rPr>
      </w:pPr>
    </w:p>
    <w:p w:rsidR="004A147C" w:rsidRPr="00B53FFB" w:rsidRDefault="004A147C" w:rsidP="00CE5850">
      <w:pPr>
        <w:rPr>
          <w:szCs w:val="22"/>
        </w:rPr>
      </w:pPr>
    </w:p>
    <w:p w:rsidR="004A147C" w:rsidRPr="00B53FFB" w:rsidRDefault="004A147C" w:rsidP="00CE5850">
      <w:pPr>
        <w:pStyle w:val="ParaNum"/>
        <w:numPr>
          <w:ilvl w:val="0"/>
          <w:numId w:val="28"/>
        </w:numPr>
        <w:rPr>
          <w:sz w:val="22"/>
          <w:szCs w:val="22"/>
        </w:rPr>
      </w:pPr>
      <w:bookmarkStart w:id="936" w:name="_Ref336274838"/>
      <w:r w:rsidRPr="00B53FFB">
        <w:rPr>
          <w:i/>
          <w:sz w:val="22"/>
          <w:szCs w:val="22"/>
        </w:rPr>
        <w:t xml:space="preserve">Areas with Service Offered.  </w:t>
      </w:r>
      <w:r w:rsidRPr="00B53FFB">
        <w:rPr>
          <w:sz w:val="22"/>
          <w:szCs w:val="22"/>
        </w:rPr>
        <w:t>We have also estimated – using a different set of data that indicates where providers have customers instead of where they have network coverage – the number of people living in Cellular Market Areas with a certain number of mobile wireless providers offering service in that CMA.</w:t>
      </w:r>
      <w:r w:rsidRPr="00B53FFB">
        <w:rPr>
          <w:rStyle w:val="FootnoteReference"/>
          <w:szCs w:val="22"/>
        </w:rPr>
        <w:footnoteReference w:id="158"/>
      </w:r>
      <w:r w:rsidRPr="00B53FFB">
        <w:rPr>
          <w:sz w:val="22"/>
          <w:szCs w:val="22"/>
        </w:rPr>
        <w:t xml:space="preserve">  These estimates are likely to overestimate the number of facilities-based providers available for selection by any individual customer living in that CMA.  Because many CMAs are made up of several counties and because a facilities-based service provider may offer service in only part of a CMA,</w:t>
      </w:r>
      <w:r w:rsidRPr="00B53FFB">
        <w:rPr>
          <w:rStyle w:val="FootnoteReference"/>
          <w:szCs w:val="22"/>
        </w:rPr>
        <w:footnoteReference w:id="159"/>
      </w:r>
      <w:r w:rsidRPr="00B53FFB">
        <w:rPr>
          <w:sz w:val="22"/>
          <w:szCs w:val="22"/>
        </w:rPr>
        <w:t xml:space="preserve">   many consumers, especially in rural areas, likely have fewer service provider choices where they live or work than the total number of providers offering service somewhere in their CMA.  As one example, Map 4 below shows coverage in a rural CMA in eastern Oregon.  Because mobile providers generally screen the eligibility of potential customers by zip code, a more accurate estimation of the competitive choices available to individual consumers would be based on zip codes.</w:t>
      </w:r>
      <w:bookmarkEnd w:id="936"/>
      <w:r w:rsidRPr="00B53FFB">
        <w:rPr>
          <w:sz w:val="22"/>
          <w:szCs w:val="22"/>
        </w:rPr>
        <w:t xml:space="preserve">  Another depiction of the choices effectively available to a consumer would be based on an assessment of a service provider’s retail presence in an area.</w:t>
      </w:r>
    </w:p>
    <w:p w:rsidR="004A147C" w:rsidRPr="00B53FFB" w:rsidRDefault="004A147C" w:rsidP="00CE5850">
      <w:pPr>
        <w:pStyle w:val="ParaNum"/>
        <w:numPr>
          <w:ilvl w:val="0"/>
          <w:numId w:val="28"/>
        </w:numPr>
        <w:rPr>
          <w:sz w:val="22"/>
          <w:szCs w:val="22"/>
        </w:rPr>
      </w:pPr>
      <w:r>
        <w:rPr>
          <w:sz w:val="22"/>
          <w:szCs w:val="22"/>
        </w:rPr>
        <w:t>W</w:t>
      </w:r>
      <w:r w:rsidRPr="00B53FFB">
        <w:rPr>
          <w:sz w:val="22"/>
          <w:szCs w:val="22"/>
        </w:rPr>
        <w:t xml:space="preserve">e estimate the number of providers serving at least portions of each of the 716 CMA in the U.S. (excluding territories).   In this </w:t>
      </w:r>
      <w:r w:rsidRPr="00B53FFB">
        <w:rPr>
          <w:i/>
          <w:sz w:val="22"/>
          <w:szCs w:val="22"/>
        </w:rPr>
        <w:t>Report</w:t>
      </w:r>
      <w:r w:rsidRPr="00B53FFB">
        <w:rPr>
          <w:sz w:val="22"/>
          <w:szCs w:val="22"/>
        </w:rPr>
        <w:t xml:space="preserve">, </w:t>
      </w:r>
      <w:r>
        <w:rPr>
          <w:sz w:val="22"/>
          <w:szCs w:val="22"/>
        </w:rPr>
        <w:t>w</w:t>
      </w:r>
      <w:r w:rsidRPr="00B53FFB">
        <w:rPr>
          <w:sz w:val="22"/>
          <w:szCs w:val="22"/>
        </w:rPr>
        <w:t>e consider a provider to be a competitor if it has market share above a particular threshold, and have made estimates based on two alternative thresholds.  Specifically, to estimate the number of providers serving a CMA, we include a provider if it has a greater than two percent market share (alternatively, a five percent market share, which provides greater assurance of a meaningful choice for consumers) of mobile wireless connections based on NRUF data within the CMA.</w:t>
      </w:r>
      <w:r w:rsidRPr="00B53FFB">
        <w:rPr>
          <w:rStyle w:val="FootnoteReference"/>
          <w:szCs w:val="22"/>
        </w:rPr>
        <w:footnoteReference w:id="160"/>
      </w:r>
      <w:r w:rsidRPr="00B53FFB">
        <w:rPr>
          <w:sz w:val="22"/>
          <w:szCs w:val="22"/>
        </w:rPr>
        <w:t xml:space="preserve">  As shown in </w:t>
      </w:r>
      <w:r w:rsidR="005B380F">
        <w:fldChar w:fldCharType="begin"/>
      </w:r>
      <w:r w:rsidR="005B380F">
        <w:instrText xml:space="preserve"> REF _Ref278799322 \h  \* MERGEFORMAT </w:instrText>
      </w:r>
      <w:r w:rsidR="005B380F">
        <w:fldChar w:fldCharType="separate"/>
      </w:r>
      <w:r w:rsidR="00CA3AC6" w:rsidRPr="00B53FFB">
        <w:rPr>
          <w:sz w:val="22"/>
          <w:szCs w:val="22"/>
        </w:rPr>
        <w:t xml:space="preserve">Table </w:t>
      </w:r>
      <w:r w:rsidR="00CA3AC6">
        <w:rPr>
          <w:sz w:val="22"/>
          <w:szCs w:val="22"/>
        </w:rPr>
        <w:t>10</w:t>
      </w:r>
      <w:r w:rsidR="005B380F">
        <w:fldChar w:fldCharType="end"/>
      </w:r>
      <w:r w:rsidRPr="00B53FFB">
        <w:rPr>
          <w:sz w:val="22"/>
          <w:szCs w:val="22"/>
        </w:rPr>
        <w:t xml:space="preserve">, using a two percent market share threshold shows that in all but one of the 716 CMAs that make up the United States (excluding territories), there are at least two mobile wireless service providers offering service in at least a portion of that CMA.  With this threshold, approximately 93 percent of such CMAs have three or more providers offering service, and approximately 72 percent have four or more providers.  Also as shown in </w:t>
      </w:r>
      <w:r w:rsidR="0007014B">
        <w:rPr>
          <w:sz w:val="22"/>
          <w:szCs w:val="22"/>
        </w:rPr>
        <w:fldChar w:fldCharType="begin"/>
      </w:r>
      <w:r>
        <w:rPr>
          <w:sz w:val="22"/>
          <w:szCs w:val="22"/>
        </w:rPr>
        <w:instrText xml:space="preserve"> REF _Ref278799322 </w:instrText>
      </w:r>
      <w:r w:rsidR="0007014B">
        <w:rPr>
          <w:sz w:val="22"/>
          <w:szCs w:val="22"/>
        </w:rPr>
        <w:fldChar w:fldCharType="separate"/>
      </w:r>
      <w:r w:rsidR="00CA3AC6" w:rsidRPr="00B53FFB">
        <w:rPr>
          <w:sz w:val="22"/>
          <w:szCs w:val="22"/>
        </w:rPr>
        <w:t xml:space="preserve">Table </w:t>
      </w:r>
      <w:r w:rsidR="00CA3AC6">
        <w:rPr>
          <w:noProof/>
          <w:sz w:val="22"/>
          <w:szCs w:val="22"/>
        </w:rPr>
        <w:t>10</w:t>
      </w:r>
      <w:r w:rsidR="0007014B">
        <w:rPr>
          <w:sz w:val="22"/>
          <w:szCs w:val="22"/>
        </w:rPr>
        <w:fldChar w:fldCharType="end"/>
      </w:r>
      <w:r w:rsidRPr="00B53FFB">
        <w:rPr>
          <w:sz w:val="22"/>
          <w:szCs w:val="22"/>
        </w:rPr>
        <w:t xml:space="preserve">, using a five percent market share threshold shows that in all but two of the 716 CMAs that make up the United States (excluding territories), there are at least two mobile wireless service providers offering service in at least a portion of that CMA.  Approximately 83 percent of such CMAs have three or more providers offering service, and approximately 53 percent have four or more providers.  </w:t>
      </w:r>
    </w:p>
    <w:p w:rsidR="004A147C" w:rsidRPr="00B53FFB" w:rsidRDefault="004A147C" w:rsidP="00CE5850">
      <w:pPr>
        <w:pStyle w:val="Caption"/>
        <w:widowControl w:val="0"/>
        <w:spacing w:before="0" w:after="0"/>
        <w:jc w:val="center"/>
        <w:rPr>
          <w:sz w:val="22"/>
          <w:szCs w:val="22"/>
        </w:rPr>
      </w:pPr>
      <w:bookmarkStart w:id="937" w:name="_Ref278799322"/>
      <w:bookmarkStart w:id="938" w:name="_Ref279053016"/>
      <w:r w:rsidRPr="00B53FFB">
        <w:rPr>
          <w:sz w:val="22"/>
          <w:szCs w:val="22"/>
        </w:rPr>
        <w:t xml:space="preserve">Table </w:t>
      </w:r>
      <w:r w:rsidR="0007014B" w:rsidRPr="00B53FFB">
        <w:rPr>
          <w:sz w:val="22"/>
          <w:szCs w:val="22"/>
        </w:rPr>
        <w:fldChar w:fldCharType="begin"/>
      </w:r>
      <w:r w:rsidRPr="00B53FFB">
        <w:rPr>
          <w:sz w:val="22"/>
          <w:szCs w:val="22"/>
        </w:rPr>
        <w:instrText xml:space="preserve"> SEQ Table \* ARABIC </w:instrText>
      </w:r>
      <w:r w:rsidR="0007014B" w:rsidRPr="00B53FFB">
        <w:rPr>
          <w:sz w:val="22"/>
          <w:szCs w:val="22"/>
        </w:rPr>
        <w:fldChar w:fldCharType="separate"/>
      </w:r>
      <w:r w:rsidR="00CA3AC6">
        <w:rPr>
          <w:noProof/>
          <w:sz w:val="22"/>
          <w:szCs w:val="22"/>
        </w:rPr>
        <w:t>10</w:t>
      </w:r>
      <w:r w:rsidR="0007014B" w:rsidRPr="00B53FFB">
        <w:rPr>
          <w:sz w:val="22"/>
          <w:szCs w:val="22"/>
        </w:rPr>
        <w:fldChar w:fldCharType="end"/>
      </w:r>
      <w:bookmarkEnd w:id="937"/>
      <w:r w:rsidRPr="00B53FFB">
        <w:rPr>
          <w:sz w:val="22"/>
          <w:szCs w:val="22"/>
        </w:rPr>
        <w:br/>
        <w:t>Estimated Mobile Wireless Providers Offering Service by CMA, Excluding Territories</w:t>
      </w:r>
      <w:bookmarkEnd w:id="938"/>
      <w:r w:rsidRPr="00B53FFB">
        <w:rPr>
          <w:sz w:val="22"/>
          <w:szCs w:val="22"/>
        </w:rPr>
        <w:t>, December 2011</w:t>
      </w:r>
      <w:r w:rsidRPr="00B53FFB">
        <w:rPr>
          <w:rStyle w:val="FootnoteReference"/>
          <w:b w:val="0"/>
          <w:szCs w:val="22"/>
        </w:rPr>
        <w:footnoteReference w:id="161"/>
      </w:r>
    </w:p>
    <w:tbl>
      <w:tblPr>
        <w:tblW w:w="0" w:type="auto"/>
        <w:jc w:val="center"/>
        <w:tblInd w:w="248"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0A0" w:firstRow="1" w:lastRow="0" w:firstColumn="1" w:lastColumn="0" w:noHBand="0" w:noVBand="0"/>
      </w:tblPr>
      <w:tblGrid>
        <w:gridCol w:w="2224"/>
        <w:gridCol w:w="1260"/>
        <w:gridCol w:w="1813"/>
        <w:gridCol w:w="1697"/>
        <w:gridCol w:w="1440"/>
      </w:tblGrid>
      <w:tr w:rsidR="004A147C" w:rsidRPr="00B53FFB" w:rsidTr="003F13FC">
        <w:trPr>
          <w:trHeight w:val="315"/>
          <w:jc w:val="center"/>
        </w:trPr>
        <w:tc>
          <w:tcPr>
            <w:tcW w:w="2224" w:type="dxa"/>
            <w:shd w:val="clear" w:color="auto" w:fill="DAEEF3"/>
            <w:noWrap/>
            <w:vAlign w:val="bottom"/>
          </w:tcPr>
          <w:p w:rsidR="004A147C" w:rsidRPr="007D38C2" w:rsidRDefault="004A147C" w:rsidP="00CE5850">
            <w:pPr>
              <w:rPr>
                <w:b/>
                <w:bCs/>
                <w:sz w:val="20"/>
              </w:rPr>
            </w:pPr>
          </w:p>
        </w:tc>
        <w:tc>
          <w:tcPr>
            <w:tcW w:w="3073" w:type="dxa"/>
            <w:gridSpan w:val="2"/>
            <w:shd w:val="clear" w:color="auto" w:fill="DAEEF3"/>
            <w:noWrap/>
          </w:tcPr>
          <w:p w:rsidR="004A147C" w:rsidRPr="007D38C2" w:rsidRDefault="004A147C" w:rsidP="00CE5850">
            <w:pPr>
              <w:jc w:val="center"/>
              <w:rPr>
                <w:b/>
                <w:bCs/>
                <w:sz w:val="20"/>
              </w:rPr>
            </w:pPr>
            <w:r w:rsidRPr="007D38C2">
              <w:rPr>
                <w:b/>
                <w:bCs/>
                <w:sz w:val="20"/>
              </w:rPr>
              <w:t>Two Percent Market Share Threshold</w:t>
            </w:r>
          </w:p>
        </w:tc>
        <w:tc>
          <w:tcPr>
            <w:tcW w:w="3137" w:type="dxa"/>
            <w:gridSpan w:val="2"/>
            <w:shd w:val="clear" w:color="auto" w:fill="DAEEF3"/>
          </w:tcPr>
          <w:p w:rsidR="004A147C" w:rsidRPr="007D38C2" w:rsidRDefault="004A147C" w:rsidP="00CE5850">
            <w:pPr>
              <w:jc w:val="center"/>
              <w:rPr>
                <w:b/>
                <w:bCs/>
                <w:sz w:val="20"/>
              </w:rPr>
            </w:pPr>
            <w:r w:rsidRPr="007D38C2">
              <w:rPr>
                <w:b/>
                <w:bCs/>
                <w:sz w:val="20"/>
              </w:rPr>
              <w:t>Five Percent Market Share Threshold</w:t>
            </w:r>
          </w:p>
        </w:tc>
      </w:tr>
      <w:tr w:rsidR="004A147C" w:rsidRPr="00B53FFB" w:rsidTr="003F13FC">
        <w:trPr>
          <w:trHeight w:val="315"/>
          <w:jc w:val="center"/>
        </w:trPr>
        <w:tc>
          <w:tcPr>
            <w:tcW w:w="2224" w:type="dxa"/>
            <w:shd w:val="clear" w:color="auto" w:fill="DAEEF3"/>
            <w:noWrap/>
            <w:vAlign w:val="bottom"/>
          </w:tcPr>
          <w:p w:rsidR="004A147C" w:rsidRPr="007D38C2" w:rsidRDefault="004A147C" w:rsidP="00CE5850">
            <w:pPr>
              <w:rPr>
                <w:i/>
                <w:iCs/>
                <w:sz w:val="20"/>
              </w:rPr>
            </w:pPr>
            <w:r w:rsidRPr="007D38C2">
              <w:rPr>
                <w:b/>
                <w:bCs/>
                <w:sz w:val="20"/>
              </w:rPr>
              <w:t>Number of  Providers Offering Service Anywhere in a CMA</w:t>
            </w:r>
          </w:p>
        </w:tc>
        <w:tc>
          <w:tcPr>
            <w:tcW w:w="1260" w:type="dxa"/>
            <w:shd w:val="clear" w:color="auto" w:fill="DAEEF3"/>
            <w:noWrap/>
          </w:tcPr>
          <w:p w:rsidR="004A147C" w:rsidRPr="007D38C2" w:rsidRDefault="004A147C" w:rsidP="00CE5850">
            <w:pPr>
              <w:rPr>
                <w:i/>
                <w:iCs/>
                <w:sz w:val="20"/>
              </w:rPr>
            </w:pPr>
            <w:r w:rsidRPr="007D38C2">
              <w:rPr>
                <w:b/>
                <w:bCs/>
                <w:sz w:val="20"/>
              </w:rPr>
              <w:t>Number of CMAs</w:t>
            </w:r>
          </w:p>
        </w:tc>
        <w:tc>
          <w:tcPr>
            <w:tcW w:w="1813" w:type="dxa"/>
            <w:shd w:val="clear" w:color="auto" w:fill="DAEEF3"/>
            <w:noWrap/>
          </w:tcPr>
          <w:p w:rsidR="004A147C" w:rsidRPr="007D38C2" w:rsidRDefault="004A147C" w:rsidP="00CE5850">
            <w:pPr>
              <w:rPr>
                <w:b/>
                <w:bCs/>
                <w:sz w:val="20"/>
              </w:rPr>
            </w:pPr>
            <w:r w:rsidRPr="007D38C2">
              <w:rPr>
                <w:b/>
                <w:bCs/>
                <w:sz w:val="20"/>
              </w:rPr>
              <w:t xml:space="preserve">Total CMAs </w:t>
            </w:r>
          </w:p>
          <w:p w:rsidR="004A147C" w:rsidRPr="007D38C2" w:rsidRDefault="004A147C" w:rsidP="00CE5850">
            <w:pPr>
              <w:rPr>
                <w:i/>
                <w:iCs/>
                <w:sz w:val="20"/>
              </w:rPr>
            </w:pPr>
            <w:r w:rsidRPr="007D38C2">
              <w:rPr>
                <w:b/>
                <w:bCs/>
                <w:sz w:val="20"/>
              </w:rPr>
              <w:t>(Percent)</w:t>
            </w:r>
          </w:p>
        </w:tc>
        <w:tc>
          <w:tcPr>
            <w:tcW w:w="1697" w:type="dxa"/>
            <w:shd w:val="clear" w:color="auto" w:fill="DAEEF3"/>
          </w:tcPr>
          <w:p w:rsidR="004A147C" w:rsidRPr="007D38C2" w:rsidRDefault="004A147C" w:rsidP="00CE5850">
            <w:pPr>
              <w:rPr>
                <w:b/>
                <w:bCs/>
                <w:sz w:val="20"/>
              </w:rPr>
            </w:pPr>
            <w:r w:rsidRPr="007D38C2">
              <w:rPr>
                <w:b/>
                <w:bCs/>
                <w:sz w:val="20"/>
              </w:rPr>
              <w:t>Number of CMAs</w:t>
            </w:r>
          </w:p>
        </w:tc>
        <w:tc>
          <w:tcPr>
            <w:tcW w:w="1440" w:type="dxa"/>
            <w:shd w:val="clear" w:color="auto" w:fill="DAEEF3"/>
          </w:tcPr>
          <w:p w:rsidR="004A147C" w:rsidRPr="007D38C2" w:rsidRDefault="004A147C" w:rsidP="00CE5850">
            <w:pPr>
              <w:rPr>
                <w:b/>
                <w:bCs/>
                <w:sz w:val="20"/>
              </w:rPr>
            </w:pPr>
            <w:r w:rsidRPr="007D38C2">
              <w:rPr>
                <w:b/>
                <w:bCs/>
                <w:sz w:val="20"/>
              </w:rPr>
              <w:t xml:space="preserve">Total CMAs </w:t>
            </w:r>
          </w:p>
          <w:p w:rsidR="004A147C" w:rsidRPr="007D38C2" w:rsidRDefault="004A147C" w:rsidP="00CE5850">
            <w:pPr>
              <w:rPr>
                <w:b/>
                <w:bCs/>
                <w:sz w:val="20"/>
              </w:rPr>
            </w:pPr>
            <w:r w:rsidRPr="007D38C2">
              <w:rPr>
                <w:b/>
                <w:bCs/>
                <w:sz w:val="20"/>
              </w:rPr>
              <w:t>(Percent)</w:t>
            </w:r>
          </w:p>
        </w:tc>
      </w:tr>
      <w:tr w:rsidR="004A147C" w:rsidRPr="00B53FFB" w:rsidTr="003F13FC">
        <w:trPr>
          <w:trHeight w:val="315"/>
          <w:jc w:val="center"/>
        </w:trPr>
        <w:tc>
          <w:tcPr>
            <w:tcW w:w="2224" w:type="dxa"/>
            <w:shd w:val="clear" w:color="auto" w:fill="DAEEF3"/>
            <w:noWrap/>
            <w:vAlign w:val="bottom"/>
          </w:tcPr>
          <w:p w:rsidR="004A147C" w:rsidRPr="007D38C2" w:rsidRDefault="004A147C" w:rsidP="00CE5850">
            <w:pPr>
              <w:rPr>
                <w:i/>
                <w:iCs/>
                <w:sz w:val="20"/>
              </w:rPr>
            </w:pPr>
            <w:r w:rsidRPr="007D38C2">
              <w:rPr>
                <w:i/>
                <w:iCs/>
                <w:sz w:val="20"/>
              </w:rPr>
              <w:t xml:space="preserve">Total for U.S., </w:t>
            </w:r>
          </w:p>
          <w:p w:rsidR="004A147C" w:rsidRPr="007D38C2" w:rsidRDefault="004A147C" w:rsidP="00CE5850">
            <w:pPr>
              <w:rPr>
                <w:sz w:val="20"/>
              </w:rPr>
            </w:pPr>
            <w:r w:rsidRPr="007D38C2">
              <w:rPr>
                <w:i/>
                <w:iCs/>
                <w:sz w:val="20"/>
              </w:rPr>
              <w:t>excluding territories</w:t>
            </w:r>
          </w:p>
        </w:tc>
        <w:tc>
          <w:tcPr>
            <w:tcW w:w="1260" w:type="dxa"/>
            <w:shd w:val="clear" w:color="auto" w:fill="DAEEF3"/>
            <w:noWrap/>
          </w:tcPr>
          <w:p w:rsidR="004A147C" w:rsidRPr="007D38C2" w:rsidRDefault="004A147C" w:rsidP="00CE5850">
            <w:pPr>
              <w:rPr>
                <w:sz w:val="20"/>
              </w:rPr>
            </w:pPr>
            <w:r w:rsidRPr="007D38C2">
              <w:rPr>
                <w:i/>
                <w:iCs/>
                <w:sz w:val="20"/>
              </w:rPr>
              <w:t>716</w:t>
            </w:r>
          </w:p>
        </w:tc>
        <w:tc>
          <w:tcPr>
            <w:tcW w:w="1813" w:type="dxa"/>
            <w:shd w:val="clear" w:color="auto" w:fill="DAEEF3"/>
            <w:noWrap/>
          </w:tcPr>
          <w:p w:rsidR="004A147C" w:rsidRPr="007D38C2" w:rsidRDefault="004A147C" w:rsidP="00CE5850">
            <w:pPr>
              <w:rPr>
                <w:i/>
                <w:iCs/>
                <w:sz w:val="20"/>
              </w:rPr>
            </w:pPr>
            <w:r w:rsidRPr="007D38C2">
              <w:rPr>
                <w:i/>
                <w:iCs/>
                <w:sz w:val="20"/>
              </w:rPr>
              <w:t>100%</w:t>
            </w:r>
          </w:p>
        </w:tc>
        <w:tc>
          <w:tcPr>
            <w:tcW w:w="1697" w:type="dxa"/>
            <w:shd w:val="clear" w:color="auto" w:fill="DAEEF3"/>
          </w:tcPr>
          <w:p w:rsidR="004A147C" w:rsidRPr="007D38C2" w:rsidRDefault="004A147C" w:rsidP="00CE5850">
            <w:pPr>
              <w:rPr>
                <w:i/>
                <w:iCs/>
                <w:sz w:val="20"/>
              </w:rPr>
            </w:pPr>
            <w:r w:rsidRPr="007D38C2">
              <w:rPr>
                <w:i/>
                <w:iCs/>
                <w:sz w:val="20"/>
              </w:rPr>
              <w:t>716</w:t>
            </w:r>
          </w:p>
        </w:tc>
        <w:tc>
          <w:tcPr>
            <w:tcW w:w="1440" w:type="dxa"/>
            <w:shd w:val="clear" w:color="auto" w:fill="DAEEF3"/>
          </w:tcPr>
          <w:p w:rsidR="004A147C" w:rsidRPr="007D38C2" w:rsidRDefault="004A147C" w:rsidP="00CE5850">
            <w:pPr>
              <w:rPr>
                <w:i/>
                <w:iCs/>
                <w:sz w:val="20"/>
              </w:rPr>
            </w:pPr>
            <w:r w:rsidRPr="007D38C2">
              <w:rPr>
                <w:i/>
                <w:iCs/>
                <w:sz w:val="20"/>
              </w:rPr>
              <w:t>100%</w:t>
            </w:r>
          </w:p>
        </w:tc>
      </w:tr>
      <w:tr w:rsidR="004A147C" w:rsidRPr="00B53FFB" w:rsidTr="00A60678">
        <w:trPr>
          <w:trHeight w:val="315"/>
          <w:jc w:val="center"/>
        </w:trPr>
        <w:tc>
          <w:tcPr>
            <w:tcW w:w="2224" w:type="dxa"/>
            <w:shd w:val="clear" w:color="auto" w:fill="DAEEF3"/>
            <w:noWrap/>
            <w:vAlign w:val="bottom"/>
          </w:tcPr>
          <w:p w:rsidR="004A147C" w:rsidRPr="007D38C2" w:rsidRDefault="004A147C" w:rsidP="00CE5850">
            <w:pPr>
              <w:rPr>
                <w:sz w:val="20"/>
              </w:rPr>
            </w:pPr>
            <w:r w:rsidRPr="007D38C2">
              <w:rPr>
                <w:sz w:val="20"/>
              </w:rPr>
              <w:t>1 provider</w:t>
            </w:r>
          </w:p>
        </w:tc>
        <w:tc>
          <w:tcPr>
            <w:tcW w:w="1260" w:type="dxa"/>
            <w:shd w:val="clear" w:color="auto" w:fill="DAEEF3"/>
            <w:noWrap/>
          </w:tcPr>
          <w:p w:rsidR="004A147C" w:rsidRPr="007D38C2" w:rsidRDefault="004A147C" w:rsidP="00CE5850">
            <w:pPr>
              <w:rPr>
                <w:sz w:val="20"/>
              </w:rPr>
            </w:pPr>
            <w:r w:rsidRPr="007D38C2">
              <w:rPr>
                <w:sz w:val="20"/>
              </w:rPr>
              <w:t>1</w:t>
            </w:r>
          </w:p>
        </w:tc>
        <w:tc>
          <w:tcPr>
            <w:tcW w:w="1813" w:type="dxa"/>
            <w:shd w:val="clear" w:color="auto" w:fill="DAEEF3"/>
            <w:noWrap/>
          </w:tcPr>
          <w:p w:rsidR="004A147C" w:rsidRPr="007D38C2" w:rsidRDefault="004A147C" w:rsidP="00CE5850">
            <w:pPr>
              <w:rPr>
                <w:sz w:val="20"/>
              </w:rPr>
            </w:pPr>
            <w:r w:rsidRPr="007D38C2">
              <w:rPr>
                <w:sz w:val="20"/>
              </w:rPr>
              <w:t>0.1%</w:t>
            </w:r>
          </w:p>
        </w:tc>
        <w:tc>
          <w:tcPr>
            <w:tcW w:w="1697" w:type="dxa"/>
            <w:shd w:val="clear" w:color="auto" w:fill="DAEEF3"/>
          </w:tcPr>
          <w:p w:rsidR="004A147C" w:rsidRPr="007D38C2" w:rsidRDefault="004A147C" w:rsidP="00CE5850">
            <w:pPr>
              <w:rPr>
                <w:sz w:val="20"/>
              </w:rPr>
            </w:pPr>
            <w:r w:rsidRPr="007D38C2">
              <w:rPr>
                <w:sz w:val="20"/>
              </w:rPr>
              <w:t>2</w:t>
            </w:r>
          </w:p>
        </w:tc>
        <w:tc>
          <w:tcPr>
            <w:tcW w:w="1440" w:type="dxa"/>
            <w:shd w:val="clear" w:color="auto" w:fill="DAEEF3"/>
          </w:tcPr>
          <w:p w:rsidR="004A147C" w:rsidRPr="007D38C2" w:rsidRDefault="004A147C" w:rsidP="00CE5850">
            <w:pPr>
              <w:rPr>
                <w:sz w:val="20"/>
              </w:rPr>
            </w:pPr>
            <w:r w:rsidRPr="007D38C2">
              <w:rPr>
                <w:sz w:val="20"/>
              </w:rPr>
              <w:t>0.3%</w:t>
            </w:r>
          </w:p>
        </w:tc>
      </w:tr>
      <w:tr w:rsidR="004A147C" w:rsidRPr="00B53FFB" w:rsidTr="00A60678">
        <w:trPr>
          <w:trHeight w:val="315"/>
          <w:jc w:val="center"/>
        </w:trPr>
        <w:tc>
          <w:tcPr>
            <w:tcW w:w="2224" w:type="dxa"/>
            <w:shd w:val="clear" w:color="auto" w:fill="DAEEF3"/>
            <w:noWrap/>
            <w:vAlign w:val="bottom"/>
          </w:tcPr>
          <w:p w:rsidR="004A147C" w:rsidRPr="007D38C2" w:rsidRDefault="004A147C" w:rsidP="00CE5850">
            <w:pPr>
              <w:rPr>
                <w:sz w:val="20"/>
              </w:rPr>
            </w:pPr>
            <w:r w:rsidRPr="007D38C2">
              <w:rPr>
                <w:sz w:val="20"/>
              </w:rPr>
              <w:t>2 providers</w:t>
            </w:r>
          </w:p>
        </w:tc>
        <w:tc>
          <w:tcPr>
            <w:tcW w:w="1260" w:type="dxa"/>
            <w:shd w:val="clear" w:color="auto" w:fill="DAEEF3"/>
            <w:noWrap/>
          </w:tcPr>
          <w:p w:rsidR="004A147C" w:rsidRPr="007D38C2" w:rsidRDefault="004A147C" w:rsidP="00CE5850">
            <w:pPr>
              <w:rPr>
                <w:sz w:val="20"/>
              </w:rPr>
            </w:pPr>
            <w:r w:rsidRPr="007D38C2">
              <w:rPr>
                <w:sz w:val="20"/>
              </w:rPr>
              <w:t>51</w:t>
            </w:r>
          </w:p>
        </w:tc>
        <w:tc>
          <w:tcPr>
            <w:tcW w:w="1813" w:type="dxa"/>
            <w:shd w:val="clear" w:color="auto" w:fill="DAEEF3"/>
            <w:noWrap/>
          </w:tcPr>
          <w:p w:rsidR="004A147C" w:rsidRPr="007D38C2" w:rsidRDefault="004A147C" w:rsidP="00CE5850">
            <w:pPr>
              <w:rPr>
                <w:sz w:val="20"/>
              </w:rPr>
            </w:pPr>
            <w:r w:rsidRPr="007D38C2">
              <w:rPr>
                <w:sz w:val="20"/>
              </w:rPr>
              <w:t>7.1%</w:t>
            </w:r>
          </w:p>
        </w:tc>
        <w:tc>
          <w:tcPr>
            <w:tcW w:w="1697" w:type="dxa"/>
            <w:shd w:val="clear" w:color="auto" w:fill="DAEEF3"/>
          </w:tcPr>
          <w:p w:rsidR="004A147C" w:rsidRPr="007D38C2" w:rsidRDefault="004A147C" w:rsidP="00CE5850">
            <w:pPr>
              <w:rPr>
                <w:sz w:val="20"/>
              </w:rPr>
            </w:pPr>
            <w:r w:rsidRPr="007D38C2">
              <w:rPr>
                <w:sz w:val="20"/>
              </w:rPr>
              <w:t>120</w:t>
            </w:r>
          </w:p>
        </w:tc>
        <w:tc>
          <w:tcPr>
            <w:tcW w:w="1440" w:type="dxa"/>
            <w:shd w:val="clear" w:color="auto" w:fill="DAEEF3"/>
          </w:tcPr>
          <w:p w:rsidR="004A147C" w:rsidRPr="007D38C2" w:rsidRDefault="004A147C" w:rsidP="00CE5850">
            <w:pPr>
              <w:rPr>
                <w:sz w:val="20"/>
              </w:rPr>
            </w:pPr>
            <w:r w:rsidRPr="007D38C2">
              <w:rPr>
                <w:sz w:val="20"/>
              </w:rPr>
              <w:t>16.8%</w:t>
            </w:r>
          </w:p>
        </w:tc>
      </w:tr>
      <w:tr w:rsidR="004A147C" w:rsidRPr="00B53FFB" w:rsidTr="00A60678">
        <w:trPr>
          <w:trHeight w:val="315"/>
          <w:jc w:val="center"/>
        </w:trPr>
        <w:tc>
          <w:tcPr>
            <w:tcW w:w="2224" w:type="dxa"/>
            <w:shd w:val="clear" w:color="auto" w:fill="DAEEF3"/>
            <w:noWrap/>
            <w:vAlign w:val="bottom"/>
          </w:tcPr>
          <w:p w:rsidR="004A147C" w:rsidRPr="007D38C2" w:rsidRDefault="004A147C" w:rsidP="00CE5850">
            <w:pPr>
              <w:rPr>
                <w:sz w:val="20"/>
              </w:rPr>
            </w:pPr>
            <w:r w:rsidRPr="007D38C2">
              <w:rPr>
                <w:sz w:val="20"/>
              </w:rPr>
              <w:t>3 providers</w:t>
            </w:r>
          </w:p>
        </w:tc>
        <w:tc>
          <w:tcPr>
            <w:tcW w:w="1260" w:type="dxa"/>
            <w:shd w:val="clear" w:color="auto" w:fill="DAEEF3"/>
            <w:noWrap/>
          </w:tcPr>
          <w:p w:rsidR="004A147C" w:rsidRPr="007D38C2" w:rsidRDefault="004A147C" w:rsidP="00CE5850">
            <w:pPr>
              <w:rPr>
                <w:sz w:val="20"/>
              </w:rPr>
            </w:pPr>
            <w:r w:rsidRPr="007D38C2">
              <w:rPr>
                <w:sz w:val="20"/>
              </w:rPr>
              <w:t>152</w:t>
            </w:r>
          </w:p>
        </w:tc>
        <w:tc>
          <w:tcPr>
            <w:tcW w:w="1813" w:type="dxa"/>
            <w:shd w:val="clear" w:color="auto" w:fill="DAEEF3"/>
            <w:noWrap/>
          </w:tcPr>
          <w:p w:rsidR="004A147C" w:rsidRPr="007D38C2" w:rsidRDefault="004A147C" w:rsidP="00CE5850">
            <w:pPr>
              <w:rPr>
                <w:sz w:val="20"/>
              </w:rPr>
            </w:pPr>
            <w:r w:rsidRPr="007D38C2">
              <w:rPr>
                <w:sz w:val="20"/>
              </w:rPr>
              <w:t>21.2%</w:t>
            </w:r>
          </w:p>
        </w:tc>
        <w:tc>
          <w:tcPr>
            <w:tcW w:w="1697" w:type="dxa"/>
            <w:shd w:val="clear" w:color="auto" w:fill="DAEEF3"/>
          </w:tcPr>
          <w:p w:rsidR="004A147C" w:rsidRPr="007D38C2" w:rsidRDefault="004A147C" w:rsidP="00CE5850">
            <w:pPr>
              <w:rPr>
                <w:sz w:val="20"/>
              </w:rPr>
            </w:pPr>
            <w:r w:rsidRPr="007D38C2">
              <w:rPr>
                <w:sz w:val="20"/>
              </w:rPr>
              <w:t>213</w:t>
            </w:r>
          </w:p>
        </w:tc>
        <w:tc>
          <w:tcPr>
            <w:tcW w:w="1440" w:type="dxa"/>
            <w:shd w:val="clear" w:color="auto" w:fill="DAEEF3"/>
          </w:tcPr>
          <w:p w:rsidR="004A147C" w:rsidRPr="007D38C2" w:rsidRDefault="004A147C" w:rsidP="00CE5850">
            <w:pPr>
              <w:rPr>
                <w:sz w:val="20"/>
              </w:rPr>
            </w:pPr>
            <w:r w:rsidRPr="007D38C2">
              <w:rPr>
                <w:sz w:val="20"/>
              </w:rPr>
              <w:t>29.7%</w:t>
            </w:r>
          </w:p>
        </w:tc>
      </w:tr>
      <w:tr w:rsidR="004A147C" w:rsidRPr="00B53FFB" w:rsidTr="00A60678">
        <w:trPr>
          <w:trHeight w:val="315"/>
          <w:jc w:val="center"/>
        </w:trPr>
        <w:tc>
          <w:tcPr>
            <w:tcW w:w="2224" w:type="dxa"/>
            <w:shd w:val="clear" w:color="auto" w:fill="DAEEF3"/>
            <w:noWrap/>
            <w:vAlign w:val="bottom"/>
          </w:tcPr>
          <w:p w:rsidR="004A147C" w:rsidRPr="007D38C2" w:rsidRDefault="004A147C" w:rsidP="00CE5850">
            <w:pPr>
              <w:rPr>
                <w:sz w:val="20"/>
              </w:rPr>
            </w:pPr>
            <w:r w:rsidRPr="007D38C2">
              <w:rPr>
                <w:sz w:val="20"/>
              </w:rPr>
              <w:t>4 providers</w:t>
            </w:r>
          </w:p>
        </w:tc>
        <w:tc>
          <w:tcPr>
            <w:tcW w:w="1260" w:type="dxa"/>
            <w:shd w:val="clear" w:color="auto" w:fill="DAEEF3"/>
            <w:noWrap/>
          </w:tcPr>
          <w:p w:rsidR="004A147C" w:rsidRPr="007D38C2" w:rsidRDefault="004A147C" w:rsidP="00CE5850">
            <w:pPr>
              <w:rPr>
                <w:sz w:val="20"/>
              </w:rPr>
            </w:pPr>
            <w:r w:rsidRPr="007D38C2">
              <w:rPr>
                <w:sz w:val="20"/>
              </w:rPr>
              <w:t>210</w:t>
            </w:r>
          </w:p>
        </w:tc>
        <w:tc>
          <w:tcPr>
            <w:tcW w:w="1813" w:type="dxa"/>
            <w:shd w:val="clear" w:color="auto" w:fill="DAEEF3"/>
            <w:noWrap/>
          </w:tcPr>
          <w:p w:rsidR="004A147C" w:rsidRPr="007D38C2" w:rsidRDefault="004A147C" w:rsidP="00CE5850">
            <w:pPr>
              <w:rPr>
                <w:sz w:val="20"/>
              </w:rPr>
            </w:pPr>
            <w:r w:rsidRPr="007D38C2">
              <w:rPr>
                <w:sz w:val="20"/>
              </w:rPr>
              <w:t>29.3%</w:t>
            </w:r>
          </w:p>
        </w:tc>
        <w:tc>
          <w:tcPr>
            <w:tcW w:w="1697" w:type="dxa"/>
            <w:shd w:val="clear" w:color="auto" w:fill="DAEEF3"/>
          </w:tcPr>
          <w:p w:rsidR="004A147C" w:rsidRPr="007D38C2" w:rsidRDefault="004A147C" w:rsidP="00CE5850">
            <w:pPr>
              <w:rPr>
                <w:sz w:val="20"/>
              </w:rPr>
            </w:pPr>
            <w:r w:rsidRPr="007D38C2">
              <w:rPr>
                <w:sz w:val="20"/>
              </w:rPr>
              <w:t>246</w:t>
            </w:r>
          </w:p>
        </w:tc>
        <w:tc>
          <w:tcPr>
            <w:tcW w:w="1440" w:type="dxa"/>
            <w:shd w:val="clear" w:color="auto" w:fill="DAEEF3"/>
          </w:tcPr>
          <w:p w:rsidR="004A147C" w:rsidRPr="007D38C2" w:rsidRDefault="004A147C" w:rsidP="00CE5850">
            <w:pPr>
              <w:rPr>
                <w:sz w:val="20"/>
              </w:rPr>
            </w:pPr>
            <w:r w:rsidRPr="007D38C2">
              <w:rPr>
                <w:sz w:val="20"/>
              </w:rPr>
              <w:t>34.4%</w:t>
            </w:r>
          </w:p>
        </w:tc>
      </w:tr>
      <w:tr w:rsidR="004A147C" w:rsidRPr="00B53FFB" w:rsidTr="00A60678">
        <w:trPr>
          <w:trHeight w:val="315"/>
          <w:jc w:val="center"/>
        </w:trPr>
        <w:tc>
          <w:tcPr>
            <w:tcW w:w="2224" w:type="dxa"/>
            <w:shd w:val="clear" w:color="auto" w:fill="DAEEF3"/>
            <w:noWrap/>
            <w:vAlign w:val="bottom"/>
          </w:tcPr>
          <w:p w:rsidR="004A147C" w:rsidRPr="007D38C2" w:rsidRDefault="004A147C" w:rsidP="00CE5850">
            <w:pPr>
              <w:rPr>
                <w:sz w:val="20"/>
              </w:rPr>
            </w:pPr>
            <w:r w:rsidRPr="007D38C2">
              <w:rPr>
                <w:sz w:val="20"/>
              </w:rPr>
              <w:t xml:space="preserve">5 </w:t>
            </w:r>
            <w:r>
              <w:rPr>
                <w:sz w:val="20"/>
              </w:rPr>
              <w:t xml:space="preserve">or more </w:t>
            </w:r>
            <w:r w:rsidRPr="007D38C2">
              <w:rPr>
                <w:sz w:val="20"/>
              </w:rPr>
              <w:t>providers</w:t>
            </w:r>
          </w:p>
        </w:tc>
        <w:tc>
          <w:tcPr>
            <w:tcW w:w="1260" w:type="dxa"/>
            <w:shd w:val="clear" w:color="auto" w:fill="DAEEF3"/>
            <w:noWrap/>
          </w:tcPr>
          <w:p w:rsidR="004A147C" w:rsidRPr="007D38C2" w:rsidRDefault="004A147C" w:rsidP="00CE5850">
            <w:pPr>
              <w:rPr>
                <w:sz w:val="20"/>
              </w:rPr>
            </w:pPr>
            <w:r>
              <w:rPr>
                <w:sz w:val="20"/>
              </w:rPr>
              <w:t>302</w:t>
            </w:r>
          </w:p>
        </w:tc>
        <w:tc>
          <w:tcPr>
            <w:tcW w:w="1813" w:type="dxa"/>
            <w:shd w:val="clear" w:color="auto" w:fill="DAEEF3"/>
            <w:noWrap/>
          </w:tcPr>
          <w:p w:rsidR="004A147C" w:rsidRPr="007D38C2" w:rsidRDefault="004A147C" w:rsidP="00CE5850">
            <w:pPr>
              <w:rPr>
                <w:sz w:val="20"/>
              </w:rPr>
            </w:pPr>
            <w:r>
              <w:rPr>
                <w:sz w:val="20"/>
              </w:rPr>
              <w:t>42</w:t>
            </w:r>
            <w:r w:rsidRPr="007D38C2">
              <w:rPr>
                <w:sz w:val="20"/>
              </w:rPr>
              <w:t>.2%</w:t>
            </w:r>
          </w:p>
        </w:tc>
        <w:tc>
          <w:tcPr>
            <w:tcW w:w="1697" w:type="dxa"/>
            <w:shd w:val="clear" w:color="auto" w:fill="DAEEF3"/>
          </w:tcPr>
          <w:p w:rsidR="004A147C" w:rsidRPr="007D38C2" w:rsidRDefault="004A147C" w:rsidP="00CE5850">
            <w:pPr>
              <w:rPr>
                <w:sz w:val="20"/>
              </w:rPr>
            </w:pPr>
            <w:r w:rsidRPr="007D38C2">
              <w:rPr>
                <w:sz w:val="20"/>
              </w:rPr>
              <w:t>1</w:t>
            </w:r>
            <w:r>
              <w:rPr>
                <w:sz w:val="20"/>
              </w:rPr>
              <w:t>35</w:t>
            </w:r>
          </w:p>
        </w:tc>
        <w:tc>
          <w:tcPr>
            <w:tcW w:w="1440" w:type="dxa"/>
            <w:shd w:val="clear" w:color="auto" w:fill="DAEEF3"/>
          </w:tcPr>
          <w:p w:rsidR="004A147C" w:rsidRPr="007D38C2" w:rsidRDefault="004A147C" w:rsidP="00CE5850">
            <w:pPr>
              <w:rPr>
                <w:sz w:val="20"/>
              </w:rPr>
            </w:pPr>
            <w:r w:rsidRPr="007D38C2">
              <w:rPr>
                <w:sz w:val="20"/>
              </w:rPr>
              <w:t>1</w:t>
            </w:r>
            <w:r>
              <w:rPr>
                <w:sz w:val="20"/>
              </w:rPr>
              <w:t>8</w:t>
            </w:r>
            <w:r w:rsidRPr="007D38C2">
              <w:rPr>
                <w:sz w:val="20"/>
              </w:rPr>
              <w:t>.9%</w:t>
            </w:r>
          </w:p>
        </w:tc>
      </w:tr>
    </w:tbl>
    <w:p w:rsidR="004A147C" w:rsidRPr="00B53FFB" w:rsidRDefault="004A147C" w:rsidP="00CE5850">
      <w:pPr>
        <w:pStyle w:val="ParaNum"/>
        <w:tabs>
          <w:tab w:val="clear" w:pos="1440"/>
        </w:tabs>
        <w:ind w:firstLine="0"/>
        <w:rPr>
          <w:sz w:val="22"/>
          <w:szCs w:val="22"/>
        </w:rPr>
      </w:pPr>
    </w:p>
    <w:p w:rsidR="004A147C" w:rsidRDefault="004A147C" w:rsidP="00CE5850">
      <w:pPr>
        <w:rPr>
          <w:szCs w:val="22"/>
        </w:rPr>
      </w:pPr>
    </w:p>
    <w:p w:rsidR="00BD4B26" w:rsidRDefault="00BD4B26" w:rsidP="00CE5850">
      <w:pPr>
        <w:rPr>
          <w:szCs w:val="22"/>
        </w:rPr>
      </w:pPr>
    </w:p>
    <w:p w:rsidR="00BD4B26" w:rsidRDefault="00BD4B26" w:rsidP="00CE5850">
      <w:pPr>
        <w:rPr>
          <w:szCs w:val="22"/>
        </w:rPr>
      </w:pPr>
    </w:p>
    <w:p w:rsidR="00BD4B26" w:rsidRDefault="00BD4B26" w:rsidP="00CE5850">
      <w:pPr>
        <w:rPr>
          <w:szCs w:val="22"/>
        </w:rPr>
      </w:pPr>
    </w:p>
    <w:p w:rsidR="00BD4B26" w:rsidRDefault="00BD4B26" w:rsidP="00CE5850">
      <w:pPr>
        <w:rPr>
          <w:szCs w:val="22"/>
        </w:rPr>
      </w:pPr>
    </w:p>
    <w:p w:rsidR="00BD4B26" w:rsidRDefault="00BD4B26" w:rsidP="00CE5850">
      <w:pPr>
        <w:rPr>
          <w:szCs w:val="22"/>
        </w:rPr>
      </w:pPr>
    </w:p>
    <w:p w:rsidR="00BD4B26" w:rsidRDefault="00BD4B26" w:rsidP="00CE5850">
      <w:pPr>
        <w:rPr>
          <w:szCs w:val="22"/>
        </w:rPr>
      </w:pPr>
    </w:p>
    <w:p w:rsidR="00BD4B26" w:rsidRDefault="00BD4B26" w:rsidP="00CE5850">
      <w:pPr>
        <w:rPr>
          <w:szCs w:val="22"/>
        </w:rPr>
      </w:pPr>
    </w:p>
    <w:p w:rsidR="00BD4B26" w:rsidRDefault="00BD4B26" w:rsidP="00CE5850">
      <w:pPr>
        <w:rPr>
          <w:szCs w:val="22"/>
        </w:rPr>
      </w:pPr>
    </w:p>
    <w:p w:rsidR="00BD4B26" w:rsidRDefault="00BD4B26" w:rsidP="00CE5850">
      <w:pPr>
        <w:rPr>
          <w:szCs w:val="22"/>
        </w:rPr>
      </w:pPr>
    </w:p>
    <w:p w:rsidR="00BD4B26" w:rsidRDefault="00BD4B26" w:rsidP="00CE5850">
      <w:pPr>
        <w:rPr>
          <w:szCs w:val="22"/>
        </w:rPr>
      </w:pPr>
    </w:p>
    <w:p w:rsidR="00BD4B26" w:rsidRDefault="00BD4B26" w:rsidP="00CE5850">
      <w:pPr>
        <w:rPr>
          <w:szCs w:val="22"/>
        </w:rPr>
      </w:pPr>
    </w:p>
    <w:p w:rsidR="00BD4B26" w:rsidRPr="00B53FFB" w:rsidRDefault="00BD4B26" w:rsidP="00CE5850">
      <w:pPr>
        <w:rPr>
          <w:szCs w:val="22"/>
        </w:rPr>
      </w:pPr>
    </w:p>
    <w:p w:rsidR="004A147C" w:rsidRPr="00B53FFB" w:rsidRDefault="004A147C" w:rsidP="00CE5850">
      <w:pPr>
        <w:pStyle w:val="Caption"/>
        <w:widowControl w:val="0"/>
        <w:jc w:val="center"/>
        <w:rPr>
          <w:sz w:val="22"/>
          <w:szCs w:val="22"/>
        </w:rPr>
      </w:pPr>
      <w:r w:rsidRPr="009A3050">
        <w:rPr>
          <w:sz w:val="22"/>
          <w:szCs w:val="22"/>
        </w:rPr>
        <w:t xml:space="preserve">Map </w:t>
      </w:r>
      <w:r w:rsidR="0007014B" w:rsidRPr="009A3050">
        <w:rPr>
          <w:sz w:val="22"/>
          <w:szCs w:val="22"/>
        </w:rPr>
        <w:fldChar w:fldCharType="begin"/>
      </w:r>
      <w:r w:rsidRPr="009A3050">
        <w:rPr>
          <w:sz w:val="22"/>
          <w:szCs w:val="22"/>
        </w:rPr>
        <w:instrText xml:space="preserve"> SEQ Map \* ARABIC </w:instrText>
      </w:r>
      <w:r w:rsidR="0007014B" w:rsidRPr="009A3050">
        <w:rPr>
          <w:sz w:val="22"/>
          <w:szCs w:val="22"/>
        </w:rPr>
        <w:fldChar w:fldCharType="separate"/>
      </w:r>
      <w:r w:rsidR="00CA3AC6">
        <w:rPr>
          <w:noProof/>
          <w:sz w:val="22"/>
          <w:szCs w:val="22"/>
        </w:rPr>
        <w:t>4</w:t>
      </w:r>
      <w:r w:rsidR="0007014B" w:rsidRPr="009A3050">
        <w:rPr>
          <w:sz w:val="22"/>
          <w:szCs w:val="22"/>
        </w:rPr>
        <w:fldChar w:fldCharType="end"/>
      </w:r>
      <w:r w:rsidRPr="00B53FFB">
        <w:rPr>
          <w:bCs w:val="0"/>
          <w:color w:val="000000"/>
          <w:sz w:val="22"/>
          <w:szCs w:val="22"/>
        </w:rPr>
        <w:br/>
        <w:t>Service Provider Coverage in an Illustrative Rural CMA, Jan. 2012</w:t>
      </w:r>
    </w:p>
    <w:p w:rsidR="004A147C" w:rsidRPr="00B53FFB" w:rsidRDefault="00C81B24" w:rsidP="00CE5850">
      <w:pPr>
        <w:pStyle w:val="ParaNum"/>
        <w:tabs>
          <w:tab w:val="clear" w:pos="1440"/>
        </w:tabs>
        <w:ind w:left="720" w:firstLine="0"/>
        <w:jc w:val="center"/>
        <w:rPr>
          <w:sz w:val="22"/>
          <w:szCs w:val="22"/>
        </w:rPr>
      </w:pPr>
      <w:r>
        <w:rPr>
          <w:noProof/>
          <w:sz w:val="22"/>
          <w:szCs w:val="22"/>
        </w:rPr>
        <w:drawing>
          <wp:inline distT="0" distB="0" distL="0" distR="0" wp14:anchorId="394EC3EC" wp14:editId="1DBF037D">
            <wp:extent cx="5534025" cy="4667250"/>
            <wp:effectExtent l="0" t="0" r="9525" b="0"/>
            <wp:docPr id="24" name="Picture 24" descr="CMA_608_cover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MA_608_coverage"/>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534025" cy="4667250"/>
                    </a:xfrm>
                    <a:prstGeom prst="rect">
                      <a:avLst/>
                    </a:prstGeom>
                    <a:noFill/>
                    <a:ln>
                      <a:noFill/>
                    </a:ln>
                  </pic:spPr>
                </pic:pic>
              </a:graphicData>
            </a:graphic>
          </wp:inline>
        </w:drawing>
      </w:r>
    </w:p>
    <w:p w:rsidR="004A147C" w:rsidRPr="00B53FFB" w:rsidRDefault="004A147C" w:rsidP="00CE5850">
      <w:pPr>
        <w:rPr>
          <w:szCs w:val="22"/>
        </w:rPr>
      </w:pPr>
    </w:p>
    <w:p w:rsidR="004A147C" w:rsidRPr="00B53FFB" w:rsidRDefault="004A147C" w:rsidP="00CE5850">
      <w:pPr>
        <w:pStyle w:val="Heading2"/>
        <w:keepNext w:val="0"/>
      </w:pPr>
      <w:bookmarkStart w:id="939" w:name="_Toc329852388"/>
      <w:bookmarkStart w:id="940" w:name="_Toc331766304"/>
      <w:bookmarkStart w:id="941" w:name="_Toc332119099"/>
      <w:bookmarkStart w:id="942" w:name="_Toc334088782"/>
      <w:bookmarkStart w:id="943" w:name="_Toc334089018"/>
      <w:bookmarkStart w:id="944" w:name="_Toc334089177"/>
      <w:bookmarkStart w:id="945" w:name="_Toc334089288"/>
      <w:bookmarkStart w:id="946" w:name="_Toc334089452"/>
      <w:bookmarkStart w:id="947" w:name="_Toc335839025"/>
      <w:bookmarkStart w:id="948" w:name="_Toc336268588"/>
      <w:bookmarkStart w:id="949" w:name="_Toc336268696"/>
      <w:bookmarkStart w:id="950" w:name="_Toc336268803"/>
      <w:bookmarkStart w:id="951" w:name="_Toc336269017"/>
      <w:bookmarkStart w:id="952" w:name="_Toc336269124"/>
      <w:bookmarkStart w:id="953" w:name="_Toc336269492"/>
      <w:bookmarkStart w:id="954" w:name="_Toc336269638"/>
      <w:bookmarkStart w:id="955" w:name="_Toc336270051"/>
      <w:bookmarkStart w:id="956" w:name="_Toc336271257"/>
      <w:bookmarkStart w:id="957" w:name="_Ref336859146"/>
      <w:bookmarkStart w:id="958" w:name="_Ref336859164"/>
      <w:bookmarkStart w:id="959" w:name="_Toc337651950"/>
      <w:bookmarkStart w:id="960" w:name="_Toc349577138"/>
      <w:bookmarkStart w:id="961" w:name="_Toc349579230"/>
      <w:bookmarkStart w:id="962" w:name="_Toc349580545"/>
      <w:bookmarkStart w:id="963" w:name="_Toc349734953"/>
      <w:bookmarkStart w:id="964" w:name="_Toc349742318"/>
      <w:r w:rsidRPr="00B53FFB">
        <w:t>Horizontal Concentration</w:t>
      </w:r>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bookmarkEnd w:id="208"/>
      <w:bookmarkEnd w:id="209"/>
      <w:bookmarkEnd w:id="210"/>
      <w:bookmarkEnd w:id="211"/>
      <w:bookmarkEnd w:id="212"/>
      <w:bookmarkEnd w:id="213"/>
      <w:bookmarkEnd w:id="939"/>
      <w:bookmarkEnd w:id="940"/>
      <w:bookmarkEnd w:id="941"/>
      <w:bookmarkEnd w:id="942"/>
      <w:bookmarkEnd w:id="943"/>
      <w:bookmarkEnd w:id="944"/>
      <w:bookmarkEnd w:id="945"/>
      <w:bookmarkEnd w:id="946"/>
      <w:bookmarkEnd w:id="947"/>
      <w:bookmarkEnd w:id="948"/>
      <w:bookmarkEnd w:id="949"/>
      <w:bookmarkEnd w:id="950"/>
      <w:bookmarkEnd w:id="951"/>
      <w:bookmarkEnd w:id="952"/>
      <w:bookmarkEnd w:id="953"/>
      <w:bookmarkEnd w:id="954"/>
      <w:bookmarkEnd w:id="955"/>
      <w:bookmarkEnd w:id="956"/>
      <w:bookmarkEnd w:id="957"/>
      <w:bookmarkEnd w:id="958"/>
      <w:bookmarkEnd w:id="959"/>
      <w:bookmarkEnd w:id="960"/>
      <w:bookmarkEnd w:id="961"/>
      <w:bookmarkEnd w:id="962"/>
      <w:bookmarkEnd w:id="963"/>
      <w:bookmarkEnd w:id="964"/>
    </w:p>
    <w:p w:rsidR="004A147C" w:rsidRPr="00B53FFB" w:rsidRDefault="004A147C" w:rsidP="00CE5850">
      <w:pPr>
        <w:pStyle w:val="ParaNum"/>
        <w:numPr>
          <w:ilvl w:val="0"/>
          <w:numId w:val="28"/>
        </w:numPr>
        <w:rPr>
          <w:sz w:val="22"/>
          <w:szCs w:val="22"/>
        </w:rPr>
      </w:pPr>
      <w:r w:rsidRPr="00B53FFB">
        <w:rPr>
          <w:sz w:val="22"/>
          <w:szCs w:val="22"/>
        </w:rPr>
        <w:t xml:space="preserve">The </w:t>
      </w:r>
      <w:bookmarkStart w:id="965" w:name="_Toc329852396"/>
      <w:bookmarkStart w:id="966" w:name="_Toc331766312"/>
      <w:bookmarkStart w:id="967" w:name="_Toc332119107"/>
      <w:bookmarkStart w:id="968" w:name="_Ref332975761"/>
      <w:bookmarkStart w:id="969" w:name="_Toc334088789"/>
      <w:bookmarkStart w:id="970" w:name="_Toc334089025"/>
      <w:bookmarkStart w:id="971" w:name="_Toc334089184"/>
      <w:bookmarkStart w:id="972" w:name="_Toc334089295"/>
      <w:bookmarkStart w:id="973" w:name="_Toc334089459"/>
      <w:bookmarkStart w:id="974" w:name="_Ref335391640"/>
      <w:bookmarkEnd w:id="214"/>
      <w:bookmarkEnd w:id="215"/>
      <w:bookmarkEnd w:id="216"/>
      <w:bookmarkEnd w:id="217"/>
      <w:bookmarkEnd w:id="218"/>
      <w:bookmarkEnd w:id="219"/>
      <w:bookmarkEnd w:id="220"/>
      <w:bookmarkEnd w:id="221"/>
      <w:bookmarkEnd w:id="222"/>
      <w:bookmarkEnd w:id="223"/>
      <w:bookmarkEnd w:id="224"/>
      <w:bookmarkEnd w:id="225"/>
      <w:bookmarkEnd w:id="226"/>
      <w:bookmarkEnd w:id="227"/>
      <w:bookmarkEnd w:id="228"/>
      <w:bookmarkEnd w:id="229"/>
      <w:bookmarkEnd w:id="230"/>
      <w:bookmarkEnd w:id="231"/>
      <w:bookmarkEnd w:id="232"/>
      <w:bookmarkEnd w:id="233"/>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bookmarkEnd w:id="251"/>
      <w:bookmarkEnd w:id="252"/>
      <w:bookmarkEnd w:id="253"/>
      <w:bookmarkEnd w:id="254"/>
      <w:bookmarkEnd w:id="255"/>
      <w:bookmarkEnd w:id="256"/>
      <w:bookmarkEnd w:id="257"/>
      <w:bookmarkEnd w:id="258"/>
      <w:bookmarkEnd w:id="259"/>
      <w:bookmarkEnd w:id="260"/>
      <w:r w:rsidRPr="00B53FFB">
        <w:rPr>
          <w:sz w:val="22"/>
          <w:szCs w:val="22"/>
        </w:rPr>
        <w:t>level of market concentration can be measured by the number of competitors, shares of subscribers or sales, or the distribution of competitors’ respective shares of subscribers or sales.  Market concentration measures that are derived from market shares can indicate when a small number of competitors each possess a relatively large share of subscribers or sales.  High market concentration levels in a given market may raise some concern that the market is not competitive.  However, an analysis of other factors, such as prices, entry conditions, and non-price rivalry, may nonetheless find that a market with high concentration levels is competitive.  Data on the number of competitors were reported in the previous section (Mobile Wireless Network Coverage), market share data and the Herfindahl-Hirschman Index (HHI) are discussed below.</w:t>
      </w:r>
    </w:p>
    <w:p w:rsidR="004A147C" w:rsidRPr="00B53FFB" w:rsidRDefault="004A147C" w:rsidP="00CE5850">
      <w:pPr>
        <w:pStyle w:val="Heading3"/>
        <w:keepNext w:val="0"/>
        <w:numPr>
          <w:ilvl w:val="2"/>
          <w:numId w:val="26"/>
        </w:numPr>
        <w:tabs>
          <w:tab w:val="left" w:pos="2160"/>
        </w:tabs>
        <w:rPr>
          <w:sz w:val="22"/>
          <w:szCs w:val="22"/>
        </w:rPr>
      </w:pPr>
      <w:bookmarkStart w:id="975" w:name="_Toc83547779"/>
      <w:bookmarkStart w:id="976" w:name="_Toc112139206"/>
      <w:bookmarkStart w:id="977" w:name="_Toc113257813"/>
      <w:bookmarkStart w:id="978" w:name="_Toc113258010"/>
      <w:bookmarkStart w:id="979" w:name="_Toc113258278"/>
      <w:bookmarkStart w:id="980" w:name="_Toc113258604"/>
      <w:bookmarkStart w:id="981" w:name="_Toc113272193"/>
      <w:bookmarkStart w:id="982" w:name="_Toc115580878"/>
      <w:bookmarkStart w:id="983" w:name="_Toc136318281"/>
      <w:bookmarkStart w:id="984" w:name="_Toc136318630"/>
      <w:bookmarkStart w:id="985" w:name="_Toc136318797"/>
      <w:bookmarkStart w:id="986" w:name="_Toc138475773"/>
      <w:bookmarkStart w:id="987" w:name="_Toc146684502"/>
      <w:bookmarkStart w:id="988" w:name="_Toc147046260"/>
      <w:bookmarkStart w:id="989" w:name="_Toc171415216"/>
      <w:bookmarkStart w:id="990" w:name="_Toc173642104"/>
      <w:bookmarkStart w:id="991" w:name="_Toc173813642"/>
      <w:bookmarkStart w:id="992" w:name="_Toc175387811"/>
      <w:bookmarkStart w:id="993" w:name="_Toc176254413"/>
      <w:bookmarkStart w:id="994" w:name="_Toc176254702"/>
      <w:bookmarkStart w:id="995" w:name="_Toc176254813"/>
      <w:bookmarkStart w:id="996" w:name="_Toc176762448"/>
      <w:bookmarkStart w:id="997" w:name="_Toc176843468"/>
      <w:bookmarkStart w:id="998" w:name="_Toc176853272"/>
      <w:bookmarkStart w:id="999" w:name="_Toc176853381"/>
      <w:bookmarkStart w:id="1000" w:name="_Toc176857430"/>
      <w:bookmarkStart w:id="1001" w:name="_Toc179108355"/>
      <w:bookmarkStart w:id="1002" w:name="_Toc179357614"/>
      <w:bookmarkStart w:id="1003" w:name="_Toc181781098"/>
      <w:bookmarkStart w:id="1004" w:name="_Toc182218684"/>
      <w:bookmarkStart w:id="1005" w:name="_Toc182909119"/>
      <w:bookmarkStart w:id="1006" w:name="_Toc182909549"/>
      <w:bookmarkStart w:id="1007" w:name="_Toc182987199"/>
      <w:bookmarkStart w:id="1008" w:name="_Toc183244034"/>
      <w:bookmarkStart w:id="1009" w:name="_Toc183244412"/>
      <w:bookmarkStart w:id="1010" w:name="_Toc183244813"/>
      <w:bookmarkStart w:id="1011" w:name="_Toc183244931"/>
      <w:bookmarkStart w:id="1012" w:name="_Toc183245589"/>
      <w:bookmarkStart w:id="1013" w:name="_Toc183246164"/>
      <w:bookmarkStart w:id="1014" w:name="_Toc183246282"/>
      <w:bookmarkStart w:id="1015" w:name="_Toc185667883"/>
      <w:bookmarkStart w:id="1016" w:name="_Ref185758436"/>
      <w:bookmarkStart w:id="1017" w:name="_Toc185838940"/>
      <w:bookmarkStart w:id="1018" w:name="_Toc185846912"/>
      <w:bookmarkStart w:id="1019" w:name="_Toc185848518"/>
      <w:bookmarkStart w:id="1020" w:name="_Toc188946876"/>
      <w:bookmarkStart w:id="1021" w:name="_Toc189302780"/>
      <w:bookmarkStart w:id="1022" w:name="_Toc209948449"/>
      <w:bookmarkStart w:id="1023" w:name="_Toc209948559"/>
      <w:bookmarkStart w:id="1024" w:name="_Toc209950001"/>
      <w:bookmarkStart w:id="1025" w:name="_Toc210211457"/>
      <w:bookmarkStart w:id="1026" w:name="_Toc210213024"/>
      <w:bookmarkStart w:id="1027" w:name="_Toc210213163"/>
      <w:bookmarkStart w:id="1028" w:name="_Toc210213724"/>
      <w:bookmarkStart w:id="1029" w:name="_Toc212967949"/>
      <w:bookmarkStart w:id="1030" w:name="_Toc215316350"/>
      <w:bookmarkStart w:id="1031" w:name="_Toc215384604"/>
      <w:bookmarkStart w:id="1032" w:name="_Toc217810470"/>
      <w:bookmarkStart w:id="1033" w:name="_Toc252806165"/>
      <w:bookmarkStart w:id="1034" w:name="_Ref257295186"/>
      <w:bookmarkStart w:id="1035" w:name="_Ref257295189"/>
      <w:bookmarkStart w:id="1036" w:name="_Ref258229178"/>
      <w:bookmarkStart w:id="1037" w:name="_Ref260053174"/>
      <w:bookmarkStart w:id="1038" w:name="_Ref260053178"/>
      <w:bookmarkStart w:id="1039" w:name="_Ref260064280"/>
      <w:bookmarkStart w:id="1040" w:name="_Ref260064282"/>
      <w:bookmarkStart w:id="1041" w:name="_Ref260256048"/>
      <w:bookmarkStart w:id="1042" w:name="_Ref260256050"/>
      <w:bookmarkStart w:id="1043" w:name="_Ref261595923"/>
      <w:bookmarkStart w:id="1044" w:name="_Toc261610761"/>
      <w:bookmarkStart w:id="1045" w:name="_Toc261858494"/>
      <w:bookmarkStart w:id="1046" w:name="_Toc262034299"/>
      <w:bookmarkStart w:id="1047" w:name="_Toc262034402"/>
      <w:bookmarkStart w:id="1048" w:name="_Toc271288441"/>
      <w:bookmarkStart w:id="1049" w:name="_Toc275517958"/>
      <w:bookmarkStart w:id="1050" w:name="_Toc275952398"/>
      <w:bookmarkStart w:id="1051" w:name="_Toc276121830"/>
      <w:bookmarkStart w:id="1052" w:name="_Toc276480667"/>
      <w:bookmarkStart w:id="1053" w:name="_Toc276741744"/>
      <w:bookmarkStart w:id="1054" w:name="_Toc277171508"/>
      <w:bookmarkStart w:id="1055" w:name="_Toc277864483"/>
      <w:bookmarkStart w:id="1056" w:name="_Toc277864699"/>
      <w:bookmarkStart w:id="1057" w:name="_Ref279074770"/>
      <w:bookmarkStart w:id="1058" w:name="_Ref279074774"/>
      <w:bookmarkStart w:id="1059" w:name="_Ref285791205"/>
      <w:bookmarkStart w:id="1060" w:name="_Toc285810380"/>
      <w:bookmarkStart w:id="1061" w:name="_Toc287257774"/>
      <w:bookmarkStart w:id="1062" w:name="_Toc291758653"/>
      <w:bookmarkStart w:id="1063" w:name="_Toc291758756"/>
      <w:bookmarkStart w:id="1064" w:name="_Toc295392936"/>
      <w:bookmarkStart w:id="1065" w:name="_Toc329262485"/>
      <w:bookmarkStart w:id="1066" w:name="_Toc329852389"/>
      <w:bookmarkStart w:id="1067" w:name="_Toc331766305"/>
      <w:bookmarkStart w:id="1068" w:name="_Toc332119100"/>
      <w:bookmarkStart w:id="1069" w:name="_Toc334088783"/>
      <w:bookmarkStart w:id="1070" w:name="_Toc334089019"/>
      <w:bookmarkStart w:id="1071" w:name="_Toc334089178"/>
      <w:bookmarkStart w:id="1072" w:name="_Toc334089289"/>
      <w:bookmarkStart w:id="1073" w:name="_Toc334089453"/>
      <w:bookmarkStart w:id="1074" w:name="_Toc335839026"/>
      <w:bookmarkStart w:id="1075" w:name="_Toc336268589"/>
      <w:bookmarkStart w:id="1076" w:name="_Toc336268697"/>
      <w:bookmarkStart w:id="1077" w:name="_Toc336268804"/>
      <w:bookmarkStart w:id="1078" w:name="_Toc336269018"/>
      <w:bookmarkStart w:id="1079" w:name="_Toc336269125"/>
      <w:bookmarkStart w:id="1080" w:name="_Toc336269493"/>
      <w:bookmarkStart w:id="1081" w:name="_Toc336269639"/>
      <w:bookmarkStart w:id="1082" w:name="_Toc336270052"/>
      <w:bookmarkStart w:id="1083" w:name="_Toc336271258"/>
      <w:bookmarkStart w:id="1084" w:name="_Toc337651951"/>
      <w:bookmarkStart w:id="1085" w:name="_Ref342485743"/>
      <w:bookmarkStart w:id="1086" w:name="_Toc349577139"/>
      <w:bookmarkStart w:id="1087" w:name="_Toc349579231"/>
      <w:bookmarkStart w:id="1088" w:name="_Toc349580546"/>
      <w:bookmarkStart w:id="1089" w:name="_Toc349734954"/>
      <w:bookmarkStart w:id="1090" w:name="_Toc349742319"/>
      <w:r w:rsidRPr="00B53FFB">
        <w:rPr>
          <w:sz w:val="22"/>
          <w:szCs w:val="22"/>
        </w:rPr>
        <w:t>Market Shares</w:t>
      </w:r>
      <w:bookmarkStart w:id="1091" w:name="_Toc83547780"/>
      <w:bookmarkStart w:id="1092" w:name="_Toc112139207"/>
      <w:bookmarkStart w:id="1093" w:name="_Toc113257814"/>
      <w:bookmarkStart w:id="1094" w:name="_Toc113258011"/>
      <w:bookmarkStart w:id="1095" w:name="_Toc113258279"/>
      <w:bookmarkStart w:id="1096" w:name="_Toc113258605"/>
      <w:bookmarkStart w:id="1097" w:name="_Toc113272194"/>
      <w:bookmarkStart w:id="1098" w:name="_Toc115580879"/>
      <w:bookmarkStart w:id="1099" w:name="_Toc136318282"/>
      <w:bookmarkStart w:id="1100" w:name="_Toc136318631"/>
      <w:bookmarkStart w:id="1101" w:name="_Toc136318798"/>
      <w:bookmarkStart w:id="1102" w:name="_Toc138475774"/>
      <w:bookmarkStart w:id="1103" w:name="_Toc146684503"/>
      <w:bookmarkStart w:id="1104" w:name="_Toc147046261"/>
      <w:bookmarkEnd w:id="975"/>
      <w:bookmarkEnd w:id="976"/>
      <w:bookmarkEnd w:id="977"/>
      <w:bookmarkEnd w:id="978"/>
      <w:bookmarkEnd w:id="979"/>
      <w:bookmarkEnd w:id="980"/>
      <w:bookmarkEnd w:id="981"/>
      <w:bookmarkEnd w:id="982"/>
      <w:bookmarkEnd w:id="983"/>
      <w:bookmarkEnd w:id="984"/>
      <w:bookmarkEnd w:id="985"/>
      <w:bookmarkEnd w:id="986"/>
      <w:bookmarkEnd w:id="987"/>
      <w:bookmarkEnd w:id="988"/>
      <w:bookmarkEnd w:id="989"/>
      <w:bookmarkEnd w:id="990"/>
      <w:bookmarkEnd w:id="991"/>
      <w:bookmarkEnd w:id="992"/>
      <w:bookmarkEnd w:id="993"/>
      <w:bookmarkEnd w:id="994"/>
      <w:bookmarkEnd w:id="995"/>
      <w:bookmarkEnd w:id="996"/>
      <w:bookmarkEnd w:id="997"/>
      <w:bookmarkEnd w:id="998"/>
      <w:bookmarkEnd w:id="999"/>
      <w:bookmarkEnd w:id="1000"/>
      <w:bookmarkEnd w:id="1001"/>
      <w:bookmarkEnd w:id="1002"/>
      <w:bookmarkEnd w:id="1003"/>
      <w:bookmarkEnd w:id="1004"/>
      <w:bookmarkEnd w:id="1005"/>
      <w:bookmarkEnd w:id="1006"/>
      <w:bookmarkEnd w:id="1007"/>
      <w:bookmarkEnd w:id="1008"/>
      <w:bookmarkEnd w:id="1009"/>
      <w:bookmarkEnd w:id="1010"/>
      <w:bookmarkEnd w:id="1011"/>
      <w:bookmarkEnd w:id="1012"/>
      <w:bookmarkEnd w:id="1013"/>
      <w:bookmarkEnd w:id="1014"/>
      <w:bookmarkEnd w:id="1015"/>
      <w:bookmarkEnd w:id="1016"/>
      <w:bookmarkEnd w:id="1017"/>
      <w:bookmarkEnd w:id="1018"/>
      <w:bookmarkEnd w:id="1019"/>
      <w:bookmarkEnd w:id="1020"/>
      <w:bookmarkEnd w:id="1021"/>
      <w:bookmarkEnd w:id="1022"/>
      <w:bookmarkEnd w:id="1023"/>
      <w:bookmarkEnd w:id="1024"/>
      <w:bookmarkEnd w:id="1025"/>
      <w:bookmarkEnd w:id="1026"/>
      <w:bookmarkEnd w:id="1027"/>
      <w:bookmarkEnd w:id="1028"/>
      <w:bookmarkEnd w:id="1029"/>
      <w:bookmarkEnd w:id="1030"/>
      <w:bookmarkEnd w:id="1031"/>
      <w:bookmarkEnd w:id="1032"/>
      <w:bookmarkEnd w:id="1033"/>
      <w:bookmarkEnd w:id="1034"/>
      <w:bookmarkEnd w:id="1035"/>
      <w:bookmarkEnd w:id="1036"/>
      <w:bookmarkEnd w:id="1037"/>
      <w:bookmarkEnd w:id="1038"/>
      <w:bookmarkEnd w:id="1039"/>
      <w:bookmarkEnd w:id="1040"/>
      <w:bookmarkEnd w:id="1041"/>
      <w:bookmarkEnd w:id="1042"/>
      <w:bookmarkEnd w:id="1043"/>
      <w:bookmarkEnd w:id="1044"/>
      <w:bookmarkEnd w:id="1045"/>
      <w:bookmarkEnd w:id="1046"/>
      <w:bookmarkEnd w:id="1047"/>
      <w:bookmarkEnd w:id="1048"/>
      <w:bookmarkEnd w:id="1049"/>
      <w:bookmarkEnd w:id="1050"/>
      <w:bookmarkEnd w:id="1051"/>
      <w:bookmarkEnd w:id="1052"/>
      <w:bookmarkEnd w:id="1053"/>
      <w:bookmarkEnd w:id="1054"/>
      <w:bookmarkEnd w:id="1055"/>
      <w:bookmarkEnd w:id="1056"/>
      <w:bookmarkEnd w:id="1057"/>
      <w:bookmarkEnd w:id="1058"/>
      <w:bookmarkEnd w:id="1059"/>
      <w:bookmarkEnd w:id="1060"/>
      <w:bookmarkEnd w:id="1061"/>
      <w:bookmarkEnd w:id="1062"/>
      <w:bookmarkEnd w:id="1063"/>
      <w:bookmarkEnd w:id="1064"/>
      <w:bookmarkEnd w:id="1065"/>
      <w:bookmarkEnd w:id="1066"/>
      <w:bookmarkEnd w:id="1067"/>
      <w:bookmarkEnd w:id="1068"/>
      <w:bookmarkEnd w:id="1069"/>
      <w:bookmarkEnd w:id="1070"/>
      <w:bookmarkEnd w:id="1071"/>
      <w:bookmarkEnd w:id="1072"/>
      <w:bookmarkEnd w:id="1073"/>
      <w:bookmarkEnd w:id="1074"/>
      <w:bookmarkEnd w:id="1075"/>
      <w:bookmarkEnd w:id="1076"/>
      <w:bookmarkEnd w:id="1077"/>
      <w:bookmarkEnd w:id="1078"/>
      <w:bookmarkEnd w:id="1079"/>
      <w:bookmarkEnd w:id="1080"/>
      <w:bookmarkEnd w:id="1081"/>
      <w:bookmarkEnd w:id="1082"/>
      <w:bookmarkEnd w:id="1083"/>
      <w:bookmarkEnd w:id="1084"/>
      <w:bookmarkEnd w:id="1085"/>
      <w:bookmarkEnd w:id="1086"/>
      <w:bookmarkEnd w:id="1087"/>
      <w:bookmarkEnd w:id="1088"/>
      <w:bookmarkEnd w:id="1089"/>
      <w:bookmarkEnd w:id="1090"/>
    </w:p>
    <w:p w:rsidR="004A147C" w:rsidRPr="003F13FC" w:rsidRDefault="004A147C" w:rsidP="00CE5850">
      <w:pPr>
        <w:pStyle w:val="ParaNum"/>
        <w:numPr>
          <w:ilvl w:val="0"/>
          <w:numId w:val="28"/>
        </w:numPr>
        <w:rPr>
          <w:sz w:val="22"/>
          <w:szCs w:val="22"/>
        </w:rPr>
      </w:pPr>
      <w:r>
        <w:rPr>
          <w:sz w:val="22"/>
          <w:szCs w:val="22"/>
        </w:rPr>
        <w:t xml:space="preserve">Service provider service revenues and market shares by service revenues are shown in </w:t>
      </w:r>
      <w:r w:rsidR="0007014B">
        <w:rPr>
          <w:sz w:val="22"/>
          <w:szCs w:val="22"/>
        </w:rPr>
        <w:fldChar w:fldCharType="begin"/>
      </w:r>
      <w:r>
        <w:rPr>
          <w:sz w:val="22"/>
          <w:szCs w:val="22"/>
        </w:rPr>
        <w:instrText xml:space="preserve"> REF _Ref341193870 </w:instrText>
      </w:r>
      <w:r w:rsidR="0007014B">
        <w:rPr>
          <w:sz w:val="22"/>
          <w:szCs w:val="22"/>
        </w:rPr>
        <w:fldChar w:fldCharType="separate"/>
      </w:r>
      <w:r w:rsidR="00CA3AC6" w:rsidRPr="00B53FFB">
        <w:rPr>
          <w:sz w:val="22"/>
          <w:szCs w:val="22"/>
        </w:rPr>
        <w:t xml:space="preserve">Table </w:t>
      </w:r>
      <w:r w:rsidR="00CA3AC6">
        <w:rPr>
          <w:noProof/>
          <w:sz w:val="22"/>
          <w:szCs w:val="22"/>
        </w:rPr>
        <w:t>11</w:t>
      </w:r>
      <w:r w:rsidR="0007014B">
        <w:rPr>
          <w:sz w:val="22"/>
          <w:szCs w:val="22"/>
        </w:rPr>
        <w:fldChar w:fldCharType="end"/>
      </w:r>
      <w:r>
        <w:rPr>
          <w:sz w:val="22"/>
          <w:szCs w:val="22"/>
        </w:rPr>
        <w:t xml:space="preserve"> and </w:t>
      </w:r>
      <w:r w:rsidR="0007014B">
        <w:rPr>
          <w:sz w:val="22"/>
          <w:szCs w:val="22"/>
        </w:rPr>
        <w:fldChar w:fldCharType="begin"/>
      </w:r>
      <w:r>
        <w:rPr>
          <w:sz w:val="22"/>
          <w:szCs w:val="22"/>
        </w:rPr>
        <w:instrText xml:space="preserve"> REF _Ref341193874 </w:instrText>
      </w:r>
      <w:r w:rsidR="0007014B">
        <w:rPr>
          <w:sz w:val="22"/>
          <w:szCs w:val="22"/>
        </w:rPr>
        <w:fldChar w:fldCharType="separate"/>
      </w:r>
      <w:r w:rsidR="00CA3AC6" w:rsidRPr="00B53FFB">
        <w:rPr>
          <w:sz w:val="22"/>
          <w:szCs w:val="22"/>
        </w:rPr>
        <w:t xml:space="preserve">Table </w:t>
      </w:r>
      <w:r w:rsidR="00CA3AC6">
        <w:rPr>
          <w:noProof/>
          <w:sz w:val="22"/>
          <w:szCs w:val="22"/>
        </w:rPr>
        <w:t>12</w:t>
      </w:r>
      <w:r w:rsidR="0007014B">
        <w:rPr>
          <w:sz w:val="22"/>
          <w:szCs w:val="22"/>
        </w:rPr>
        <w:fldChar w:fldCharType="end"/>
      </w:r>
      <w:r>
        <w:rPr>
          <w:sz w:val="22"/>
          <w:szCs w:val="22"/>
        </w:rPr>
        <w:t xml:space="preserve">.  </w:t>
      </w:r>
      <w:r w:rsidR="0007014B">
        <w:rPr>
          <w:sz w:val="22"/>
          <w:szCs w:val="22"/>
        </w:rPr>
        <w:fldChar w:fldCharType="begin"/>
      </w:r>
      <w:r>
        <w:rPr>
          <w:sz w:val="22"/>
          <w:szCs w:val="22"/>
        </w:rPr>
        <w:instrText xml:space="preserve"> REF _Ref341193874 </w:instrText>
      </w:r>
      <w:r w:rsidR="0007014B">
        <w:rPr>
          <w:sz w:val="22"/>
          <w:szCs w:val="22"/>
        </w:rPr>
        <w:fldChar w:fldCharType="separate"/>
      </w:r>
      <w:r w:rsidR="00CA3AC6" w:rsidRPr="00B53FFB">
        <w:rPr>
          <w:sz w:val="22"/>
          <w:szCs w:val="22"/>
        </w:rPr>
        <w:t xml:space="preserve">Table </w:t>
      </w:r>
      <w:r w:rsidR="00CA3AC6">
        <w:rPr>
          <w:noProof/>
          <w:sz w:val="22"/>
          <w:szCs w:val="22"/>
        </w:rPr>
        <w:t>12</w:t>
      </w:r>
      <w:r w:rsidR="0007014B">
        <w:rPr>
          <w:sz w:val="22"/>
          <w:szCs w:val="22"/>
        </w:rPr>
        <w:fldChar w:fldCharType="end"/>
      </w:r>
      <w:r>
        <w:rPr>
          <w:sz w:val="22"/>
          <w:szCs w:val="22"/>
        </w:rPr>
        <w:t xml:space="preserve"> </w:t>
      </w:r>
      <w:r w:rsidRPr="00B53FFB">
        <w:rPr>
          <w:sz w:val="22"/>
          <w:szCs w:val="22"/>
        </w:rPr>
        <w:t xml:space="preserve">provides market share estimates of the seven largest facilities-based service providers, showing that the four nationwide service providers accounted for </w:t>
      </w:r>
      <w:r>
        <w:rPr>
          <w:sz w:val="22"/>
          <w:szCs w:val="22"/>
        </w:rPr>
        <w:t xml:space="preserve">about 92 </w:t>
      </w:r>
      <w:r w:rsidRPr="00AE70A4">
        <w:rPr>
          <w:sz w:val="22"/>
          <w:szCs w:val="22"/>
        </w:rPr>
        <w:t>percent of the nation’s mobile wireless service revenue in the first half of 2012.  The service revenues of Verizon Wireless and AT&amp;T accounted for about 67</w:t>
      </w:r>
      <w:r>
        <w:rPr>
          <w:sz w:val="22"/>
          <w:szCs w:val="22"/>
        </w:rPr>
        <w:t xml:space="preserve"> </w:t>
      </w:r>
      <w:r w:rsidRPr="00B53FFB">
        <w:rPr>
          <w:sz w:val="22"/>
          <w:szCs w:val="22"/>
        </w:rPr>
        <w:t xml:space="preserve">percent of total </w:t>
      </w:r>
      <w:r>
        <w:rPr>
          <w:sz w:val="22"/>
          <w:szCs w:val="22"/>
        </w:rPr>
        <w:t>service revenue</w:t>
      </w:r>
      <w:r w:rsidRPr="00B53FFB">
        <w:rPr>
          <w:sz w:val="22"/>
          <w:szCs w:val="22"/>
        </w:rPr>
        <w:t>.</w:t>
      </w:r>
    </w:p>
    <w:p w:rsidR="004A147C" w:rsidRDefault="004A147C" w:rsidP="00CE5850">
      <w:pPr>
        <w:pStyle w:val="ParaNum"/>
        <w:tabs>
          <w:tab w:val="clear" w:pos="1440"/>
        </w:tabs>
        <w:ind w:firstLine="0"/>
        <w:rPr>
          <w:sz w:val="22"/>
          <w:szCs w:val="22"/>
        </w:rPr>
      </w:pPr>
    </w:p>
    <w:p w:rsidR="004A147C" w:rsidRPr="00B53FFB" w:rsidRDefault="004A147C" w:rsidP="00CE5850">
      <w:pPr>
        <w:pStyle w:val="Caption"/>
        <w:widowControl w:val="0"/>
        <w:spacing w:after="0"/>
        <w:jc w:val="center"/>
        <w:rPr>
          <w:bCs w:val="0"/>
          <w:sz w:val="22"/>
          <w:szCs w:val="22"/>
        </w:rPr>
      </w:pPr>
      <w:bookmarkStart w:id="1105" w:name="_Ref341193870"/>
      <w:r w:rsidRPr="00B53FFB">
        <w:rPr>
          <w:sz w:val="22"/>
          <w:szCs w:val="22"/>
        </w:rPr>
        <w:t xml:space="preserve">Table </w:t>
      </w:r>
      <w:r w:rsidR="0007014B" w:rsidRPr="00B53FFB">
        <w:rPr>
          <w:sz w:val="22"/>
          <w:szCs w:val="22"/>
        </w:rPr>
        <w:fldChar w:fldCharType="begin"/>
      </w:r>
      <w:r w:rsidRPr="00B53FFB">
        <w:rPr>
          <w:sz w:val="22"/>
          <w:szCs w:val="22"/>
        </w:rPr>
        <w:instrText xml:space="preserve"> SEQ Table \* ARABIC </w:instrText>
      </w:r>
      <w:r w:rsidR="0007014B" w:rsidRPr="00B53FFB">
        <w:rPr>
          <w:sz w:val="22"/>
          <w:szCs w:val="22"/>
        </w:rPr>
        <w:fldChar w:fldCharType="separate"/>
      </w:r>
      <w:r w:rsidR="00CA3AC6">
        <w:rPr>
          <w:noProof/>
          <w:sz w:val="22"/>
          <w:szCs w:val="22"/>
        </w:rPr>
        <w:t>11</w:t>
      </w:r>
      <w:r w:rsidR="0007014B" w:rsidRPr="00B53FFB">
        <w:rPr>
          <w:sz w:val="22"/>
          <w:szCs w:val="22"/>
        </w:rPr>
        <w:fldChar w:fldCharType="end"/>
      </w:r>
      <w:bookmarkEnd w:id="1105"/>
    </w:p>
    <w:p w:rsidR="004A147C" w:rsidRPr="00B53FFB" w:rsidRDefault="004A147C" w:rsidP="00CE5850">
      <w:pPr>
        <w:pStyle w:val="Caption"/>
        <w:widowControl w:val="0"/>
        <w:spacing w:before="0"/>
        <w:ind w:left="720"/>
        <w:jc w:val="center"/>
        <w:rPr>
          <w:b w:val="0"/>
          <w:sz w:val="22"/>
          <w:szCs w:val="22"/>
        </w:rPr>
      </w:pPr>
      <w:r w:rsidRPr="00B53FFB">
        <w:rPr>
          <w:bCs w:val="0"/>
          <w:sz w:val="22"/>
          <w:szCs w:val="22"/>
          <w:lang w:eastAsia="zh-CN"/>
        </w:rPr>
        <w:t xml:space="preserve">Facilities–Based </w:t>
      </w:r>
      <w:r w:rsidRPr="00B53FFB">
        <w:rPr>
          <w:bCs w:val="0"/>
          <w:sz w:val="22"/>
          <w:szCs w:val="22"/>
        </w:rPr>
        <w:t xml:space="preserve">Mobile Wireless Service Providers by Service Revenues, Publicly-Traded Companies, </w:t>
      </w:r>
      <w:r>
        <w:rPr>
          <w:bCs w:val="0"/>
          <w:sz w:val="22"/>
          <w:szCs w:val="22"/>
        </w:rPr>
        <w:t xml:space="preserve">Reported by Provider, </w:t>
      </w:r>
      <w:r w:rsidRPr="00B53FFB">
        <w:rPr>
          <w:bCs w:val="0"/>
          <w:sz w:val="22"/>
          <w:szCs w:val="22"/>
        </w:rPr>
        <w:t>2008-201</w:t>
      </w:r>
      <w:r>
        <w:rPr>
          <w:bCs w:val="0"/>
          <w:sz w:val="22"/>
          <w:szCs w:val="22"/>
        </w:rPr>
        <w:t>2</w:t>
      </w:r>
      <w:r w:rsidRPr="00B53FFB">
        <w:rPr>
          <w:rStyle w:val="FootnoteReference"/>
          <w:bCs w:val="0"/>
          <w:szCs w:val="22"/>
        </w:rPr>
        <w:footnoteReference w:id="162"/>
      </w:r>
      <w:r w:rsidRPr="00B53FFB">
        <w:rPr>
          <w:bCs w:val="0"/>
          <w:sz w:val="22"/>
          <w:szCs w:val="22"/>
        </w:rPr>
        <w:br/>
        <w:t>(In millions of dollars)</w:t>
      </w:r>
    </w:p>
    <w:tbl>
      <w:tblPr>
        <w:tblW w:w="0" w:type="auto"/>
        <w:jc w:val="center"/>
        <w:tblInd w:w="93" w:type="dxa"/>
        <w:tblLook w:val="00A0" w:firstRow="1" w:lastRow="0" w:firstColumn="1" w:lastColumn="0" w:noHBand="0" w:noVBand="0"/>
      </w:tblPr>
      <w:tblGrid>
        <w:gridCol w:w="2379"/>
        <w:gridCol w:w="821"/>
        <w:gridCol w:w="821"/>
        <w:gridCol w:w="821"/>
        <w:gridCol w:w="821"/>
        <w:gridCol w:w="852"/>
      </w:tblGrid>
      <w:tr w:rsidR="004A147C" w:rsidRPr="00B53FFB" w:rsidTr="00F22C1D">
        <w:trPr>
          <w:trHeight w:val="300"/>
          <w:jc w:val="center"/>
        </w:trPr>
        <w:tc>
          <w:tcPr>
            <w:tcW w:w="0" w:type="auto"/>
            <w:tcBorders>
              <w:top w:val="single" w:sz="4" w:space="0" w:color="auto"/>
              <w:left w:val="single" w:sz="4" w:space="0" w:color="auto"/>
              <w:bottom w:val="single" w:sz="4" w:space="0" w:color="auto"/>
              <w:right w:val="single" w:sz="4" w:space="0" w:color="auto"/>
            </w:tcBorders>
            <w:noWrap/>
            <w:vAlign w:val="bottom"/>
          </w:tcPr>
          <w:p w:rsidR="004A147C" w:rsidRPr="00B53FFB" w:rsidRDefault="004A147C" w:rsidP="00CE5850">
            <w:pPr>
              <w:rPr>
                <w:szCs w:val="22"/>
              </w:rPr>
            </w:pPr>
            <w:r w:rsidRPr="00B53FFB">
              <w:rPr>
                <w:szCs w:val="22"/>
              </w:rPr>
              <w:t> </w:t>
            </w:r>
          </w:p>
        </w:tc>
        <w:tc>
          <w:tcPr>
            <w:tcW w:w="0" w:type="auto"/>
            <w:tcBorders>
              <w:top w:val="single" w:sz="4" w:space="0" w:color="auto"/>
              <w:left w:val="nil"/>
              <w:bottom w:val="single" w:sz="4" w:space="0" w:color="auto"/>
              <w:right w:val="single" w:sz="4" w:space="0" w:color="auto"/>
            </w:tcBorders>
            <w:noWrap/>
            <w:vAlign w:val="bottom"/>
          </w:tcPr>
          <w:p w:rsidR="004A147C" w:rsidRPr="00B53FFB" w:rsidRDefault="004A147C" w:rsidP="00CE5850">
            <w:pPr>
              <w:jc w:val="right"/>
              <w:rPr>
                <w:b/>
                <w:bCs/>
                <w:color w:val="000000"/>
                <w:szCs w:val="22"/>
              </w:rPr>
            </w:pPr>
            <w:r w:rsidRPr="00B53FFB">
              <w:rPr>
                <w:b/>
                <w:bCs/>
                <w:color w:val="000000"/>
                <w:szCs w:val="22"/>
              </w:rPr>
              <w:t>2008</w:t>
            </w:r>
          </w:p>
        </w:tc>
        <w:tc>
          <w:tcPr>
            <w:tcW w:w="0" w:type="auto"/>
            <w:tcBorders>
              <w:top w:val="single" w:sz="4" w:space="0" w:color="auto"/>
              <w:left w:val="nil"/>
              <w:bottom w:val="single" w:sz="4" w:space="0" w:color="auto"/>
              <w:right w:val="single" w:sz="4" w:space="0" w:color="auto"/>
            </w:tcBorders>
            <w:noWrap/>
            <w:vAlign w:val="bottom"/>
          </w:tcPr>
          <w:p w:rsidR="004A147C" w:rsidRPr="00B53FFB" w:rsidRDefault="004A147C" w:rsidP="00CE5850">
            <w:pPr>
              <w:jc w:val="right"/>
              <w:rPr>
                <w:b/>
                <w:bCs/>
                <w:color w:val="000000"/>
                <w:szCs w:val="22"/>
              </w:rPr>
            </w:pPr>
            <w:r w:rsidRPr="00B53FFB">
              <w:rPr>
                <w:b/>
                <w:bCs/>
                <w:color w:val="000000"/>
                <w:szCs w:val="22"/>
              </w:rPr>
              <w:t>2009</w:t>
            </w:r>
          </w:p>
        </w:tc>
        <w:tc>
          <w:tcPr>
            <w:tcW w:w="0" w:type="auto"/>
            <w:tcBorders>
              <w:top w:val="single" w:sz="4" w:space="0" w:color="auto"/>
              <w:left w:val="nil"/>
              <w:bottom w:val="single" w:sz="4" w:space="0" w:color="auto"/>
              <w:right w:val="single" w:sz="4" w:space="0" w:color="auto"/>
            </w:tcBorders>
            <w:noWrap/>
            <w:vAlign w:val="bottom"/>
          </w:tcPr>
          <w:p w:rsidR="004A147C" w:rsidRPr="00B53FFB" w:rsidRDefault="004A147C" w:rsidP="00CE5850">
            <w:pPr>
              <w:jc w:val="right"/>
              <w:rPr>
                <w:b/>
                <w:bCs/>
                <w:color w:val="000000"/>
                <w:szCs w:val="22"/>
              </w:rPr>
            </w:pPr>
            <w:r w:rsidRPr="00B53FFB">
              <w:rPr>
                <w:b/>
                <w:bCs/>
                <w:color w:val="000000"/>
                <w:szCs w:val="22"/>
              </w:rPr>
              <w:t>2010</w:t>
            </w:r>
          </w:p>
        </w:tc>
        <w:tc>
          <w:tcPr>
            <w:tcW w:w="0" w:type="auto"/>
            <w:tcBorders>
              <w:top w:val="single" w:sz="4" w:space="0" w:color="auto"/>
              <w:left w:val="nil"/>
              <w:bottom w:val="single" w:sz="4" w:space="0" w:color="auto"/>
              <w:right w:val="single" w:sz="4" w:space="0" w:color="auto"/>
            </w:tcBorders>
            <w:noWrap/>
            <w:vAlign w:val="bottom"/>
          </w:tcPr>
          <w:p w:rsidR="004A147C" w:rsidRPr="00B53FFB" w:rsidRDefault="004A147C" w:rsidP="00CE5850">
            <w:pPr>
              <w:jc w:val="right"/>
              <w:rPr>
                <w:b/>
                <w:bCs/>
                <w:color w:val="000000"/>
                <w:szCs w:val="22"/>
              </w:rPr>
            </w:pPr>
            <w:r w:rsidRPr="00B53FFB">
              <w:rPr>
                <w:b/>
                <w:bCs/>
                <w:color w:val="000000"/>
                <w:szCs w:val="22"/>
              </w:rPr>
              <w:t>2011</w:t>
            </w:r>
          </w:p>
        </w:tc>
        <w:tc>
          <w:tcPr>
            <w:tcW w:w="0" w:type="auto"/>
            <w:tcBorders>
              <w:top w:val="single" w:sz="4" w:space="0" w:color="auto"/>
              <w:left w:val="nil"/>
              <w:bottom w:val="single" w:sz="4" w:space="0" w:color="auto"/>
              <w:right w:val="single" w:sz="4" w:space="0" w:color="auto"/>
            </w:tcBorders>
          </w:tcPr>
          <w:p w:rsidR="004A147C" w:rsidRDefault="004A147C" w:rsidP="00CE5850">
            <w:pPr>
              <w:jc w:val="center"/>
              <w:rPr>
                <w:b/>
                <w:bCs/>
                <w:color w:val="000000"/>
                <w:szCs w:val="22"/>
              </w:rPr>
            </w:pPr>
            <w:r>
              <w:rPr>
                <w:b/>
                <w:bCs/>
                <w:color w:val="000000"/>
                <w:szCs w:val="22"/>
              </w:rPr>
              <w:t>2012</w:t>
            </w:r>
          </w:p>
          <w:p w:rsidR="004A147C" w:rsidRPr="00B53FFB" w:rsidRDefault="004A147C" w:rsidP="00CE5850">
            <w:pPr>
              <w:jc w:val="center"/>
              <w:rPr>
                <w:b/>
                <w:bCs/>
                <w:color w:val="000000"/>
                <w:szCs w:val="22"/>
              </w:rPr>
            </w:pPr>
            <w:r>
              <w:rPr>
                <w:b/>
                <w:bCs/>
                <w:color w:val="000000"/>
                <w:szCs w:val="22"/>
              </w:rPr>
              <w:t>Q1-Q2</w:t>
            </w:r>
          </w:p>
        </w:tc>
      </w:tr>
      <w:tr w:rsidR="004A147C" w:rsidRPr="00B53FFB" w:rsidTr="002D127D">
        <w:trPr>
          <w:trHeight w:val="300"/>
          <w:jc w:val="center"/>
        </w:trPr>
        <w:tc>
          <w:tcPr>
            <w:tcW w:w="0" w:type="auto"/>
            <w:tcBorders>
              <w:top w:val="nil"/>
              <w:left w:val="single" w:sz="4" w:space="0" w:color="auto"/>
              <w:bottom w:val="single" w:sz="4" w:space="0" w:color="auto"/>
              <w:right w:val="single" w:sz="4" w:space="0" w:color="auto"/>
            </w:tcBorders>
            <w:noWrap/>
            <w:vAlign w:val="bottom"/>
          </w:tcPr>
          <w:p w:rsidR="004A147C" w:rsidRPr="00B53FFB" w:rsidRDefault="004A147C" w:rsidP="00CE5850">
            <w:pPr>
              <w:rPr>
                <w:bCs/>
                <w:color w:val="000000"/>
                <w:szCs w:val="22"/>
              </w:rPr>
            </w:pPr>
            <w:r w:rsidRPr="00B53FFB">
              <w:rPr>
                <w:bCs/>
                <w:color w:val="000000"/>
                <w:szCs w:val="22"/>
              </w:rPr>
              <w:t>Verizon Wireless</w:t>
            </w:r>
          </w:p>
        </w:tc>
        <w:tc>
          <w:tcPr>
            <w:tcW w:w="0" w:type="auto"/>
            <w:tcBorders>
              <w:top w:val="nil"/>
              <w:left w:val="nil"/>
              <w:bottom w:val="single" w:sz="4" w:space="0" w:color="auto"/>
              <w:right w:val="single" w:sz="4" w:space="0" w:color="auto"/>
            </w:tcBorders>
            <w:noWrap/>
            <w:vAlign w:val="bottom"/>
          </w:tcPr>
          <w:p w:rsidR="004A147C" w:rsidRPr="00B53FFB" w:rsidRDefault="004A147C" w:rsidP="00CE5850">
            <w:pPr>
              <w:jc w:val="right"/>
              <w:rPr>
                <w:szCs w:val="22"/>
              </w:rPr>
            </w:pPr>
            <w:r w:rsidRPr="00B53FFB">
              <w:rPr>
                <w:szCs w:val="22"/>
              </w:rPr>
              <w:t>42,602</w:t>
            </w:r>
          </w:p>
        </w:tc>
        <w:tc>
          <w:tcPr>
            <w:tcW w:w="0" w:type="auto"/>
            <w:tcBorders>
              <w:top w:val="nil"/>
              <w:left w:val="nil"/>
              <w:bottom w:val="single" w:sz="4" w:space="0" w:color="auto"/>
              <w:right w:val="single" w:sz="4" w:space="0" w:color="auto"/>
            </w:tcBorders>
            <w:noWrap/>
            <w:vAlign w:val="bottom"/>
          </w:tcPr>
          <w:p w:rsidR="004A147C" w:rsidRPr="00B53FFB" w:rsidRDefault="004A147C" w:rsidP="00CE5850">
            <w:pPr>
              <w:jc w:val="right"/>
              <w:rPr>
                <w:szCs w:val="22"/>
              </w:rPr>
            </w:pPr>
            <w:r w:rsidRPr="00B53FFB">
              <w:rPr>
                <w:szCs w:val="22"/>
              </w:rPr>
              <w:t>52,046</w:t>
            </w:r>
          </w:p>
        </w:tc>
        <w:tc>
          <w:tcPr>
            <w:tcW w:w="0" w:type="auto"/>
            <w:tcBorders>
              <w:top w:val="nil"/>
              <w:left w:val="nil"/>
              <w:bottom w:val="single" w:sz="4" w:space="0" w:color="auto"/>
              <w:right w:val="single" w:sz="4" w:space="0" w:color="auto"/>
            </w:tcBorders>
            <w:noWrap/>
            <w:vAlign w:val="bottom"/>
          </w:tcPr>
          <w:p w:rsidR="004A147C" w:rsidRPr="00B53FFB" w:rsidRDefault="004A147C" w:rsidP="00CE5850">
            <w:pPr>
              <w:jc w:val="right"/>
              <w:rPr>
                <w:szCs w:val="22"/>
              </w:rPr>
            </w:pPr>
            <w:r w:rsidRPr="00B53FFB">
              <w:rPr>
                <w:szCs w:val="22"/>
              </w:rPr>
              <w:t>55,629</w:t>
            </w:r>
          </w:p>
        </w:tc>
        <w:tc>
          <w:tcPr>
            <w:tcW w:w="0" w:type="auto"/>
            <w:tcBorders>
              <w:top w:val="nil"/>
              <w:left w:val="nil"/>
              <w:bottom w:val="single" w:sz="4" w:space="0" w:color="auto"/>
              <w:right w:val="single" w:sz="4" w:space="0" w:color="auto"/>
            </w:tcBorders>
            <w:noWrap/>
            <w:vAlign w:val="bottom"/>
          </w:tcPr>
          <w:p w:rsidR="004A147C" w:rsidRPr="00B53FFB" w:rsidRDefault="004A147C" w:rsidP="00CE5850">
            <w:pPr>
              <w:jc w:val="right"/>
              <w:rPr>
                <w:szCs w:val="22"/>
              </w:rPr>
            </w:pPr>
            <w:r w:rsidRPr="00B53FFB">
              <w:rPr>
                <w:szCs w:val="22"/>
              </w:rPr>
              <w:t>59,157</w:t>
            </w:r>
          </w:p>
        </w:tc>
        <w:tc>
          <w:tcPr>
            <w:tcW w:w="0" w:type="auto"/>
            <w:tcBorders>
              <w:top w:val="nil"/>
              <w:left w:val="nil"/>
              <w:bottom w:val="single" w:sz="4" w:space="0" w:color="auto"/>
              <w:right w:val="single" w:sz="4" w:space="0" w:color="auto"/>
            </w:tcBorders>
            <w:vAlign w:val="bottom"/>
          </w:tcPr>
          <w:p w:rsidR="004A147C" w:rsidRPr="00AA1E4C" w:rsidRDefault="004A147C" w:rsidP="00CE5850">
            <w:pPr>
              <w:jc w:val="right"/>
              <w:rPr>
                <w:szCs w:val="22"/>
              </w:rPr>
            </w:pPr>
            <w:r w:rsidRPr="00AA1E4C">
              <w:rPr>
                <w:szCs w:val="22"/>
              </w:rPr>
              <w:t>31,186</w:t>
            </w:r>
          </w:p>
        </w:tc>
      </w:tr>
      <w:tr w:rsidR="004A147C" w:rsidRPr="00B53FFB" w:rsidTr="002D127D">
        <w:trPr>
          <w:trHeight w:val="300"/>
          <w:jc w:val="center"/>
        </w:trPr>
        <w:tc>
          <w:tcPr>
            <w:tcW w:w="0" w:type="auto"/>
            <w:tcBorders>
              <w:top w:val="nil"/>
              <w:left w:val="single" w:sz="4" w:space="0" w:color="auto"/>
              <w:bottom w:val="single" w:sz="4" w:space="0" w:color="auto"/>
              <w:right w:val="single" w:sz="4" w:space="0" w:color="auto"/>
            </w:tcBorders>
            <w:noWrap/>
            <w:vAlign w:val="bottom"/>
          </w:tcPr>
          <w:p w:rsidR="004A147C" w:rsidRPr="00B53FFB" w:rsidRDefault="004A147C" w:rsidP="00CE5850">
            <w:pPr>
              <w:rPr>
                <w:bCs/>
                <w:color w:val="000000"/>
                <w:szCs w:val="22"/>
              </w:rPr>
            </w:pPr>
            <w:r w:rsidRPr="00B53FFB">
              <w:rPr>
                <w:bCs/>
                <w:color w:val="000000"/>
                <w:szCs w:val="22"/>
              </w:rPr>
              <w:t>AT&amp;T</w:t>
            </w:r>
          </w:p>
        </w:tc>
        <w:tc>
          <w:tcPr>
            <w:tcW w:w="0" w:type="auto"/>
            <w:tcBorders>
              <w:top w:val="nil"/>
              <w:left w:val="nil"/>
              <w:bottom w:val="single" w:sz="4" w:space="0" w:color="auto"/>
              <w:right w:val="single" w:sz="4" w:space="0" w:color="auto"/>
            </w:tcBorders>
            <w:noWrap/>
            <w:vAlign w:val="bottom"/>
          </w:tcPr>
          <w:p w:rsidR="004A147C" w:rsidRPr="00B53FFB" w:rsidRDefault="004A147C" w:rsidP="00CE5850">
            <w:pPr>
              <w:jc w:val="right"/>
              <w:rPr>
                <w:szCs w:val="22"/>
              </w:rPr>
            </w:pPr>
            <w:r w:rsidRPr="00B53FFB">
              <w:rPr>
                <w:szCs w:val="22"/>
              </w:rPr>
              <w:t>44,249</w:t>
            </w:r>
          </w:p>
        </w:tc>
        <w:tc>
          <w:tcPr>
            <w:tcW w:w="0" w:type="auto"/>
            <w:tcBorders>
              <w:top w:val="nil"/>
              <w:left w:val="nil"/>
              <w:bottom w:val="single" w:sz="4" w:space="0" w:color="auto"/>
              <w:right w:val="single" w:sz="4" w:space="0" w:color="auto"/>
            </w:tcBorders>
            <w:noWrap/>
            <w:vAlign w:val="bottom"/>
          </w:tcPr>
          <w:p w:rsidR="004A147C" w:rsidRPr="00B53FFB" w:rsidRDefault="004A147C" w:rsidP="00CE5850">
            <w:pPr>
              <w:jc w:val="right"/>
              <w:rPr>
                <w:szCs w:val="22"/>
              </w:rPr>
            </w:pPr>
            <w:r w:rsidRPr="00B53FFB">
              <w:rPr>
                <w:szCs w:val="22"/>
              </w:rPr>
              <w:t>48,563</w:t>
            </w:r>
          </w:p>
        </w:tc>
        <w:tc>
          <w:tcPr>
            <w:tcW w:w="0" w:type="auto"/>
            <w:tcBorders>
              <w:top w:val="nil"/>
              <w:left w:val="nil"/>
              <w:bottom w:val="single" w:sz="4" w:space="0" w:color="auto"/>
              <w:right w:val="single" w:sz="4" w:space="0" w:color="auto"/>
            </w:tcBorders>
            <w:noWrap/>
            <w:vAlign w:val="bottom"/>
          </w:tcPr>
          <w:p w:rsidR="004A147C" w:rsidRPr="00B53FFB" w:rsidRDefault="004A147C" w:rsidP="00CE5850">
            <w:pPr>
              <w:jc w:val="right"/>
              <w:rPr>
                <w:szCs w:val="22"/>
              </w:rPr>
            </w:pPr>
            <w:r w:rsidRPr="00B53FFB">
              <w:rPr>
                <w:szCs w:val="22"/>
              </w:rPr>
              <w:t>53,510</w:t>
            </w:r>
          </w:p>
        </w:tc>
        <w:tc>
          <w:tcPr>
            <w:tcW w:w="0" w:type="auto"/>
            <w:tcBorders>
              <w:top w:val="nil"/>
              <w:left w:val="nil"/>
              <w:bottom w:val="single" w:sz="4" w:space="0" w:color="auto"/>
              <w:right w:val="single" w:sz="4" w:space="0" w:color="auto"/>
            </w:tcBorders>
            <w:noWrap/>
            <w:vAlign w:val="bottom"/>
          </w:tcPr>
          <w:p w:rsidR="004A147C" w:rsidRPr="00B53FFB" w:rsidRDefault="004A147C" w:rsidP="00CE5850">
            <w:pPr>
              <w:jc w:val="right"/>
              <w:rPr>
                <w:szCs w:val="22"/>
              </w:rPr>
            </w:pPr>
            <w:r w:rsidRPr="00B53FFB">
              <w:rPr>
                <w:szCs w:val="22"/>
              </w:rPr>
              <w:t>56,726</w:t>
            </w:r>
          </w:p>
        </w:tc>
        <w:tc>
          <w:tcPr>
            <w:tcW w:w="0" w:type="auto"/>
            <w:tcBorders>
              <w:top w:val="nil"/>
              <w:left w:val="nil"/>
              <w:bottom w:val="single" w:sz="4" w:space="0" w:color="auto"/>
              <w:right w:val="single" w:sz="4" w:space="0" w:color="auto"/>
            </w:tcBorders>
            <w:vAlign w:val="bottom"/>
          </w:tcPr>
          <w:p w:rsidR="004A147C" w:rsidRPr="00AA1E4C" w:rsidRDefault="004A147C" w:rsidP="00CE5850">
            <w:pPr>
              <w:jc w:val="right"/>
              <w:rPr>
                <w:szCs w:val="22"/>
              </w:rPr>
            </w:pPr>
            <w:r w:rsidRPr="00AA1E4C">
              <w:rPr>
                <w:szCs w:val="22"/>
              </w:rPr>
              <w:t>29,331</w:t>
            </w:r>
          </w:p>
        </w:tc>
      </w:tr>
      <w:tr w:rsidR="004A147C" w:rsidRPr="00B53FFB" w:rsidTr="002D127D">
        <w:trPr>
          <w:trHeight w:val="300"/>
          <w:jc w:val="center"/>
        </w:trPr>
        <w:tc>
          <w:tcPr>
            <w:tcW w:w="0" w:type="auto"/>
            <w:tcBorders>
              <w:top w:val="nil"/>
              <w:left w:val="single" w:sz="4" w:space="0" w:color="auto"/>
              <w:bottom w:val="single" w:sz="4" w:space="0" w:color="auto"/>
              <w:right w:val="single" w:sz="4" w:space="0" w:color="auto"/>
            </w:tcBorders>
            <w:noWrap/>
            <w:vAlign w:val="bottom"/>
          </w:tcPr>
          <w:p w:rsidR="004A147C" w:rsidRPr="00B53FFB" w:rsidRDefault="004A147C" w:rsidP="00CE5850">
            <w:pPr>
              <w:rPr>
                <w:bCs/>
                <w:color w:val="000000"/>
                <w:szCs w:val="22"/>
              </w:rPr>
            </w:pPr>
            <w:r w:rsidRPr="00B53FFB">
              <w:rPr>
                <w:bCs/>
                <w:color w:val="000000"/>
                <w:szCs w:val="22"/>
              </w:rPr>
              <w:t>Sprint Nextel</w:t>
            </w:r>
          </w:p>
        </w:tc>
        <w:tc>
          <w:tcPr>
            <w:tcW w:w="0" w:type="auto"/>
            <w:tcBorders>
              <w:top w:val="nil"/>
              <w:left w:val="nil"/>
              <w:bottom w:val="single" w:sz="4" w:space="0" w:color="auto"/>
              <w:right w:val="single" w:sz="4" w:space="0" w:color="auto"/>
            </w:tcBorders>
            <w:noWrap/>
            <w:vAlign w:val="bottom"/>
          </w:tcPr>
          <w:p w:rsidR="004A147C" w:rsidRPr="00B53FFB" w:rsidRDefault="004A147C" w:rsidP="00CE5850">
            <w:pPr>
              <w:jc w:val="right"/>
              <w:rPr>
                <w:szCs w:val="22"/>
              </w:rPr>
            </w:pPr>
            <w:r w:rsidRPr="00B53FFB">
              <w:rPr>
                <w:szCs w:val="22"/>
              </w:rPr>
              <w:t>28,435</w:t>
            </w:r>
          </w:p>
        </w:tc>
        <w:tc>
          <w:tcPr>
            <w:tcW w:w="0" w:type="auto"/>
            <w:tcBorders>
              <w:top w:val="nil"/>
              <w:left w:val="nil"/>
              <w:bottom w:val="single" w:sz="4" w:space="0" w:color="auto"/>
              <w:right w:val="single" w:sz="4" w:space="0" w:color="auto"/>
            </w:tcBorders>
            <w:noWrap/>
            <w:vAlign w:val="bottom"/>
          </w:tcPr>
          <w:p w:rsidR="004A147C" w:rsidRPr="00B53FFB" w:rsidRDefault="004A147C" w:rsidP="00CE5850">
            <w:pPr>
              <w:jc w:val="right"/>
              <w:rPr>
                <w:szCs w:val="22"/>
              </w:rPr>
            </w:pPr>
            <w:r w:rsidRPr="00B53FFB">
              <w:rPr>
                <w:szCs w:val="22"/>
              </w:rPr>
              <w:t>25,832</w:t>
            </w:r>
          </w:p>
        </w:tc>
        <w:tc>
          <w:tcPr>
            <w:tcW w:w="0" w:type="auto"/>
            <w:tcBorders>
              <w:top w:val="nil"/>
              <w:left w:val="nil"/>
              <w:bottom w:val="single" w:sz="4" w:space="0" w:color="auto"/>
              <w:right w:val="single" w:sz="4" w:space="0" w:color="auto"/>
            </w:tcBorders>
            <w:noWrap/>
            <w:vAlign w:val="bottom"/>
          </w:tcPr>
          <w:p w:rsidR="004A147C" w:rsidRPr="00B53FFB" w:rsidRDefault="004A147C" w:rsidP="00CE5850">
            <w:pPr>
              <w:jc w:val="right"/>
              <w:rPr>
                <w:szCs w:val="22"/>
              </w:rPr>
            </w:pPr>
            <w:r w:rsidRPr="00B53FFB">
              <w:rPr>
                <w:szCs w:val="22"/>
              </w:rPr>
              <w:t>25,894</w:t>
            </w:r>
          </w:p>
        </w:tc>
        <w:tc>
          <w:tcPr>
            <w:tcW w:w="0" w:type="auto"/>
            <w:tcBorders>
              <w:top w:val="nil"/>
              <w:left w:val="nil"/>
              <w:bottom w:val="single" w:sz="4" w:space="0" w:color="auto"/>
              <w:right w:val="single" w:sz="4" w:space="0" w:color="auto"/>
            </w:tcBorders>
            <w:noWrap/>
            <w:vAlign w:val="bottom"/>
          </w:tcPr>
          <w:p w:rsidR="004A147C" w:rsidRPr="00B53FFB" w:rsidRDefault="004A147C" w:rsidP="00CE5850">
            <w:pPr>
              <w:jc w:val="right"/>
              <w:rPr>
                <w:szCs w:val="22"/>
              </w:rPr>
            </w:pPr>
            <w:r w:rsidRPr="00B53FFB">
              <w:rPr>
                <w:szCs w:val="22"/>
              </w:rPr>
              <w:t>27,390</w:t>
            </w:r>
          </w:p>
        </w:tc>
        <w:tc>
          <w:tcPr>
            <w:tcW w:w="0" w:type="auto"/>
            <w:tcBorders>
              <w:top w:val="nil"/>
              <w:left w:val="nil"/>
              <w:bottom w:val="single" w:sz="4" w:space="0" w:color="auto"/>
              <w:right w:val="single" w:sz="4" w:space="0" w:color="auto"/>
            </w:tcBorders>
            <w:vAlign w:val="bottom"/>
          </w:tcPr>
          <w:p w:rsidR="004A147C" w:rsidRPr="00AA1E4C" w:rsidRDefault="004A147C" w:rsidP="00CE5850">
            <w:pPr>
              <w:jc w:val="right"/>
              <w:rPr>
                <w:szCs w:val="22"/>
              </w:rPr>
            </w:pPr>
            <w:r w:rsidRPr="00AA1E4C">
              <w:rPr>
                <w:szCs w:val="22"/>
              </w:rPr>
              <w:t>14,302</w:t>
            </w:r>
          </w:p>
        </w:tc>
      </w:tr>
      <w:tr w:rsidR="004A147C" w:rsidRPr="00B53FFB" w:rsidTr="002D127D">
        <w:trPr>
          <w:trHeight w:val="300"/>
          <w:jc w:val="center"/>
        </w:trPr>
        <w:tc>
          <w:tcPr>
            <w:tcW w:w="0" w:type="auto"/>
            <w:tcBorders>
              <w:top w:val="nil"/>
              <w:left w:val="single" w:sz="4" w:space="0" w:color="auto"/>
              <w:bottom w:val="single" w:sz="4" w:space="0" w:color="auto"/>
              <w:right w:val="single" w:sz="4" w:space="0" w:color="auto"/>
            </w:tcBorders>
            <w:noWrap/>
            <w:vAlign w:val="bottom"/>
          </w:tcPr>
          <w:p w:rsidR="004A147C" w:rsidRPr="00B53FFB" w:rsidRDefault="004A147C" w:rsidP="00CE5850">
            <w:pPr>
              <w:rPr>
                <w:bCs/>
                <w:color w:val="000000"/>
                <w:szCs w:val="22"/>
              </w:rPr>
            </w:pPr>
            <w:r w:rsidRPr="00B53FFB">
              <w:rPr>
                <w:bCs/>
                <w:color w:val="000000"/>
                <w:szCs w:val="22"/>
              </w:rPr>
              <w:t>T-Mobile</w:t>
            </w:r>
          </w:p>
        </w:tc>
        <w:tc>
          <w:tcPr>
            <w:tcW w:w="0" w:type="auto"/>
            <w:tcBorders>
              <w:top w:val="nil"/>
              <w:left w:val="nil"/>
              <w:bottom w:val="single" w:sz="4" w:space="0" w:color="auto"/>
              <w:right w:val="single" w:sz="4" w:space="0" w:color="auto"/>
            </w:tcBorders>
            <w:noWrap/>
            <w:vAlign w:val="bottom"/>
          </w:tcPr>
          <w:p w:rsidR="004A147C" w:rsidRPr="00B53FFB" w:rsidRDefault="004A147C" w:rsidP="00CE5850">
            <w:pPr>
              <w:jc w:val="right"/>
              <w:rPr>
                <w:szCs w:val="22"/>
              </w:rPr>
            </w:pPr>
            <w:r w:rsidRPr="00B53FFB">
              <w:rPr>
                <w:szCs w:val="22"/>
              </w:rPr>
              <w:t>19,242</w:t>
            </w:r>
          </w:p>
        </w:tc>
        <w:tc>
          <w:tcPr>
            <w:tcW w:w="0" w:type="auto"/>
            <w:tcBorders>
              <w:top w:val="nil"/>
              <w:left w:val="nil"/>
              <w:bottom w:val="single" w:sz="4" w:space="0" w:color="auto"/>
              <w:right w:val="single" w:sz="4" w:space="0" w:color="auto"/>
            </w:tcBorders>
            <w:noWrap/>
            <w:vAlign w:val="bottom"/>
          </w:tcPr>
          <w:p w:rsidR="004A147C" w:rsidRPr="00B53FFB" w:rsidRDefault="004A147C" w:rsidP="00CE5850">
            <w:pPr>
              <w:jc w:val="right"/>
              <w:rPr>
                <w:szCs w:val="22"/>
              </w:rPr>
            </w:pPr>
            <w:r w:rsidRPr="00B53FFB">
              <w:rPr>
                <w:szCs w:val="22"/>
              </w:rPr>
              <w:t>18,926</w:t>
            </w:r>
          </w:p>
        </w:tc>
        <w:tc>
          <w:tcPr>
            <w:tcW w:w="0" w:type="auto"/>
            <w:tcBorders>
              <w:top w:val="nil"/>
              <w:left w:val="nil"/>
              <w:bottom w:val="single" w:sz="4" w:space="0" w:color="auto"/>
              <w:right w:val="single" w:sz="4" w:space="0" w:color="auto"/>
            </w:tcBorders>
            <w:noWrap/>
            <w:vAlign w:val="bottom"/>
          </w:tcPr>
          <w:p w:rsidR="004A147C" w:rsidRPr="00B53FFB" w:rsidRDefault="004A147C" w:rsidP="00CE5850">
            <w:pPr>
              <w:jc w:val="right"/>
              <w:rPr>
                <w:szCs w:val="22"/>
              </w:rPr>
            </w:pPr>
            <w:r w:rsidRPr="00B53FFB">
              <w:rPr>
                <w:szCs w:val="22"/>
              </w:rPr>
              <w:t>18,733</w:t>
            </w:r>
          </w:p>
        </w:tc>
        <w:tc>
          <w:tcPr>
            <w:tcW w:w="0" w:type="auto"/>
            <w:tcBorders>
              <w:top w:val="nil"/>
              <w:left w:val="nil"/>
              <w:bottom w:val="single" w:sz="4" w:space="0" w:color="auto"/>
              <w:right w:val="single" w:sz="4" w:space="0" w:color="auto"/>
            </w:tcBorders>
            <w:noWrap/>
            <w:vAlign w:val="bottom"/>
          </w:tcPr>
          <w:p w:rsidR="004A147C" w:rsidRPr="00B53FFB" w:rsidRDefault="004A147C" w:rsidP="00CE5850">
            <w:pPr>
              <w:jc w:val="right"/>
              <w:rPr>
                <w:szCs w:val="22"/>
              </w:rPr>
            </w:pPr>
            <w:r w:rsidRPr="00B53FFB">
              <w:rPr>
                <w:szCs w:val="22"/>
              </w:rPr>
              <w:t>18,481</w:t>
            </w:r>
          </w:p>
        </w:tc>
        <w:tc>
          <w:tcPr>
            <w:tcW w:w="0" w:type="auto"/>
            <w:tcBorders>
              <w:top w:val="nil"/>
              <w:left w:val="nil"/>
              <w:bottom w:val="single" w:sz="4" w:space="0" w:color="auto"/>
              <w:right w:val="single" w:sz="4" w:space="0" w:color="auto"/>
            </w:tcBorders>
            <w:vAlign w:val="bottom"/>
          </w:tcPr>
          <w:p w:rsidR="004A147C" w:rsidRPr="00AA1E4C" w:rsidRDefault="004A147C" w:rsidP="00CE5850">
            <w:pPr>
              <w:jc w:val="right"/>
              <w:rPr>
                <w:szCs w:val="22"/>
              </w:rPr>
            </w:pPr>
            <w:r w:rsidRPr="00AA1E4C">
              <w:rPr>
                <w:szCs w:val="22"/>
              </w:rPr>
              <w:t>8,825</w:t>
            </w:r>
          </w:p>
        </w:tc>
      </w:tr>
      <w:tr w:rsidR="004A147C" w:rsidRPr="00B53FFB" w:rsidTr="002D127D">
        <w:trPr>
          <w:trHeight w:val="300"/>
          <w:jc w:val="center"/>
        </w:trPr>
        <w:tc>
          <w:tcPr>
            <w:tcW w:w="0" w:type="auto"/>
            <w:tcBorders>
              <w:top w:val="nil"/>
              <w:left w:val="single" w:sz="4" w:space="0" w:color="auto"/>
              <w:bottom w:val="single" w:sz="4" w:space="0" w:color="auto"/>
              <w:right w:val="single" w:sz="4" w:space="0" w:color="auto"/>
            </w:tcBorders>
            <w:noWrap/>
            <w:vAlign w:val="bottom"/>
          </w:tcPr>
          <w:p w:rsidR="004A147C" w:rsidRPr="00B53FFB" w:rsidRDefault="004A147C" w:rsidP="00CE5850">
            <w:pPr>
              <w:rPr>
                <w:bCs/>
                <w:color w:val="000000"/>
                <w:szCs w:val="22"/>
              </w:rPr>
            </w:pPr>
            <w:r w:rsidRPr="00B53FFB">
              <w:rPr>
                <w:bCs/>
                <w:color w:val="000000"/>
                <w:szCs w:val="22"/>
              </w:rPr>
              <w:t>MetroPCS</w:t>
            </w:r>
          </w:p>
        </w:tc>
        <w:tc>
          <w:tcPr>
            <w:tcW w:w="0" w:type="auto"/>
            <w:tcBorders>
              <w:top w:val="nil"/>
              <w:left w:val="nil"/>
              <w:bottom w:val="single" w:sz="4" w:space="0" w:color="auto"/>
              <w:right w:val="single" w:sz="4" w:space="0" w:color="auto"/>
            </w:tcBorders>
            <w:noWrap/>
            <w:vAlign w:val="bottom"/>
          </w:tcPr>
          <w:p w:rsidR="004A147C" w:rsidRPr="00B53FFB" w:rsidRDefault="004A147C" w:rsidP="00CE5850">
            <w:pPr>
              <w:jc w:val="right"/>
              <w:rPr>
                <w:szCs w:val="22"/>
              </w:rPr>
            </w:pPr>
            <w:r w:rsidRPr="00B53FFB">
              <w:rPr>
                <w:szCs w:val="22"/>
              </w:rPr>
              <w:t>2,437</w:t>
            </w:r>
          </w:p>
        </w:tc>
        <w:tc>
          <w:tcPr>
            <w:tcW w:w="0" w:type="auto"/>
            <w:tcBorders>
              <w:top w:val="nil"/>
              <w:left w:val="nil"/>
              <w:bottom w:val="single" w:sz="4" w:space="0" w:color="auto"/>
              <w:right w:val="single" w:sz="4" w:space="0" w:color="auto"/>
            </w:tcBorders>
            <w:noWrap/>
            <w:vAlign w:val="bottom"/>
          </w:tcPr>
          <w:p w:rsidR="004A147C" w:rsidRPr="00B53FFB" w:rsidRDefault="004A147C" w:rsidP="00CE5850">
            <w:pPr>
              <w:jc w:val="right"/>
              <w:rPr>
                <w:szCs w:val="22"/>
              </w:rPr>
            </w:pPr>
            <w:r w:rsidRPr="00B53FFB">
              <w:rPr>
                <w:szCs w:val="22"/>
              </w:rPr>
              <w:t>3,130</w:t>
            </w:r>
          </w:p>
        </w:tc>
        <w:tc>
          <w:tcPr>
            <w:tcW w:w="0" w:type="auto"/>
            <w:tcBorders>
              <w:top w:val="nil"/>
              <w:left w:val="nil"/>
              <w:bottom w:val="single" w:sz="4" w:space="0" w:color="auto"/>
              <w:right w:val="single" w:sz="4" w:space="0" w:color="auto"/>
            </w:tcBorders>
            <w:noWrap/>
            <w:vAlign w:val="bottom"/>
          </w:tcPr>
          <w:p w:rsidR="004A147C" w:rsidRPr="00B53FFB" w:rsidRDefault="004A147C" w:rsidP="00CE5850">
            <w:pPr>
              <w:jc w:val="right"/>
              <w:rPr>
                <w:szCs w:val="22"/>
              </w:rPr>
            </w:pPr>
            <w:r w:rsidRPr="00B53FFB">
              <w:rPr>
                <w:szCs w:val="22"/>
              </w:rPr>
              <w:t>3,690</w:t>
            </w:r>
          </w:p>
        </w:tc>
        <w:tc>
          <w:tcPr>
            <w:tcW w:w="0" w:type="auto"/>
            <w:tcBorders>
              <w:top w:val="nil"/>
              <w:left w:val="nil"/>
              <w:bottom w:val="single" w:sz="4" w:space="0" w:color="auto"/>
              <w:right w:val="single" w:sz="4" w:space="0" w:color="auto"/>
            </w:tcBorders>
            <w:noWrap/>
            <w:vAlign w:val="bottom"/>
          </w:tcPr>
          <w:p w:rsidR="004A147C" w:rsidRPr="00B53FFB" w:rsidRDefault="004A147C" w:rsidP="00CE5850">
            <w:pPr>
              <w:jc w:val="right"/>
              <w:rPr>
                <w:szCs w:val="22"/>
              </w:rPr>
            </w:pPr>
            <w:r w:rsidRPr="00B53FFB">
              <w:rPr>
                <w:szCs w:val="22"/>
              </w:rPr>
              <w:t>4,428</w:t>
            </w:r>
          </w:p>
        </w:tc>
        <w:tc>
          <w:tcPr>
            <w:tcW w:w="0" w:type="auto"/>
            <w:tcBorders>
              <w:top w:val="nil"/>
              <w:left w:val="nil"/>
              <w:bottom w:val="single" w:sz="4" w:space="0" w:color="auto"/>
              <w:right w:val="single" w:sz="4" w:space="0" w:color="auto"/>
            </w:tcBorders>
            <w:vAlign w:val="bottom"/>
          </w:tcPr>
          <w:p w:rsidR="004A147C" w:rsidRPr="00AA1E4C" w:rsidRDefault="004A147C" w:rsidP="00CE5850">
            <w:pPr>
              <w:jc w:val="right"/>
              <w:rPr>
                <w:szCs w:val="22"/>
              </w:rPr>
            </w:pPr>
            <w:r w:rsidRPr="00AA1E4C">
              <w:rPr>
                <w:szCs w:val="22"/>
              </w:rPr>
              <w:t>2,318</w:t>
            </w:r>
          </w:p>
        </w:tc>
      </w:tr>
      <w:tr w:rsidR="004A147C" w:rsidRPr="00B53FFB" w:rsidTr="002D127D">
        <w:trPr>
          <w:trHeight w:val="300"/>
          <w:jc w:val="center"/>
        </w:trPr>
        <w:tc>
          <w:tcPr>
            <w:tcW w:w="0" w:type="auto"/>
            <w:tcBorders>
              <w:top w:val="nil"/>
              <w:left w:val="single" w:sz="4" w:space="0" w:color="auto"/>
              <w:bottom w:val="single" w:sz="4" w:space="0" w:color="auto"/>
              <w:right w:val="single" w:sz="4" w:space="0" w:color="auto"/>
            </w:tcBorders>
            <w:noWrap/>
            <w:vAlign w:val="bottom"/>
          </w:tcPr>
          <w:p w:rsidR="004A147C" w:rsidRPr="00B53FFB" w:rsidRDefault="004A147C" w:rsidP="00CE5850">
            <w:pPr>
              <w:rPr>
                <w:bCs/>
                <w:color w:val="000000"/>
                <w:szCs w:val="22"/>
              </w:rPr>
            </w:pPr>
            <w:r w:rsidRPr="00B53FFB">
              <w:rPr>
                <w:bCs/>
                <w:color w:val="000000"/>
                <w:szCs w:val="22"/>
              </w:rPr>
              <w:t>US Cellular</w:t>
            </w:r>
          </w:p>
        </w:tc>
        <w:tc>
          <w:tcPr>
            <w:tcW w:w="0" w:type="auto"/>
            <w:tcBorders>
              <w:top w:val="nil"/>
              <w:left w:val="nil"/>
              <w:bottom w:val="single" w:sz="4" w:space="0" w:color="auto"/>
              <w:right w:val="single" w:sz="4" w:space="0" w:color="auto"/>
            </w:tcBorders>
            <w:noWrap/>
            <w:vAlign w:val="bottom"/>
          </w:tcPr>
          <w:p w:rsidR="004A147C" w:rsidRPr="00B53FFB" w:rsidRDefault="004A147C" w:rsidP="00CE5850">
            <w:pPr>
              <w:jc w:val="right"/>
              <w:rPr>
                <w:szCs w:val="22"/>
              </w:rPr>
            </w:pPr>
            <w:r w:rsidRPr="00B53FFB">
              <w:rPr>
                <w:szCs w:val="22"/>
              </w:rPr>
              <w:t>3,428</w:t>
            </w:r>
          </w:p>
        </w:tc>
        <w:tc>
          <w:tcPr>
            <w:tcW w:w="0" w:type="auto"/>
            <w:tcBorders>
              <w:top w:val="nil"/>
              <w:left w:val="nil"/>
              <w:bottom w:val="single" w:sz="4" w:space="0" w:color="auto"/>
              <w:right w:val="single" w:sz="4" w:space="0" w:color="auto"/>
            </w:tcBorders>
            <w:noWrap/>
            <w:vAlign w:val="bottom"/>
          </w:tcPr>
          <w:p w:rsidR="004A147C" w:rsidRPr="00B53FFB" w:rsidRDefault="004A147C" w:rsidP="00CE5850">
            <w:pPr>
              <w:jc w:val="right"/>
              <w:rPr>
                <w:szCs w:val="22"/>
              </w:rPr>
            </w:pPr>
            <w:r w:rsidRPr="00B53FFB">
              <w:rPr>
                <w:szCs w:val="22"/>
              </w:rPr>
              <w:t>3,430</w:t>
            </w:r>
          </w:p>
        </w:tc>
        <w:tc>
          <w:tcPr>
            <w:tcW w:w="0" w:type="auto"/>
            <w:tcBorders>
              <w:top w:val="nil"/>
              <w:left w:val="nil"/>
              <w:bottom w:val="single" w:sz="4" w:space="0" w:color="auto"/>
              <w:right w:val="single" w:sz="4" w:space="0" w:color="auto"/>
            </w:tcBorders>
            <w:noWrap/>
            <w:vAlign w:val="bottom"/>
          </w:tcPr>
          <w:p w:rsidR="004A147C" w:rsidRPr="00B53FFB" w:rsidRDefault="004A147C" w:rsidP="00CE5850">
            <w:pPr>
              <w:jc w:val="right"/>
              <w:rPr>
                <w:szCs w:val="22"/>
              </w:rPr>
            </w:pPr>
            <w:r w:rsidRPr="00B53FFB">
              <w:rPr>
                <w:szCs w:val="22"/>
              </w:rPr>
              <w:t>3,534</w:t>
            </w:r>
          </w:p>
        </w:tc>
        <w:tc>
          <w:tcPr>
            <w:tcW w:w="0" w:type="auto"/>
            <w:tcBorders>
              <w:top w:val="nil"/>
              <w:left w:val="nil"/>
              <w:bottom w:val="single" w:sz="4" w:space="0" w:color="auto"/>
              <w:right w:val="single" w:sz="4" w:space="0" w:color="auto"/>
            </w:tcBorders>
            <w:noWrap/>
            <w:vAlign w:val="bottom"/>
          </w:tcPr>
          <w:p w:rsidR="004A147C" w:rsidRPr="00B53FFB" w:rsidRDefault="004A147C" w:rsidP="00CE5850">
            <w:pPr>
              <w:jc w:val="right"/>
              <w:rPr>
                <w:szCs w:val="22"/>
              </w:rPr>
            </w:pPr>
            <w:r w:rsidRPr="00B53FFB">
              <w:rPr>
                <w:szCs w:val="22"/>
              </w:rPr>
              <w:t>3,782</w:t>
            </w:r>
          </w:p>
        </w:tc>
        <w:tc>
          <w:tcPr>
            <w:tcW w:w="0" w:type="auto"/>
            <w:tcBorders>
              <w:top w:val="nil"/>
              <w:left w:val="nil"/>
              <w:bottom w:val="single" w:sz="4" w:space="0" w:color="auto"/>
              <w:right w:val="single" w:sz="4" w:space="0" w:color="auto"/>
            </w:tcBorders>
            <w:vAlign w:val="bottom"/>
          </w:tcPr>
          <w:p w:rsidR="004A147C" w:rsidRPr="00AA1E4C" w:rsidRDefault="004A147C" w:rsidP="00CE5850">
            <w:pPr>
              <w:jc w:val="right"/>
              <w:rPr>
                <w:szCs w:val="22"/>
              </w:rPr>
            </w:pPr>
            <w:r w:rsidRPr="00AA1E4C">
              <w:rPr>
                <w:szCs w:val="22"/>
              </w:rPr>
              <w:t>2,054</w:t>
            </w:r>
          </w:p>
        </w:tc>
      </w:tr>
      <w:tr w:rsidR="004A147C" w:rsidRPr="00B53FFB" w:rsidTr="002D127D">
        <w:trPr>
          <w:trHeight w:val="300"/>
          <w:jc w:val="center"/>
        </w:trPr>
        <w:tc>
          <w:tcPr>
            <w:tcW w:w="0" w:type="auto"/>
            <w:tcBorders>
              <w:top w:val="nil"/>
              <w:left w:val="single" w:sz="4" w:space="0" w:color="auto"/>
              <w:bottom w:val="single" w:sz="4" w:space="0" w:color="auto"/>
              <w:right w:val="single" w:sz="4" w:space="0" w:color="auto"/>
            </w:tcBorders>
            <w:noWrap/>
            <w:vAlign w:val="bottom"/>
          </w:tcPr>
          <w:p w:rsidR="004A147C" w:rsidRPr="00B53FFB" w:rsidRDefault="004A147C" w:rsidP="00CE5850">
            <w:pPr>
              <w:rPr>
                <w:bCs/>
                <w:color w:val="000000"/>
                <w:szCs w:val="22"/>
              </w:rPr>
            </w:pPr>
            <w:r w:rsidRPr="00B53FFB">
              <w:rPr>
                <w:bCs/>
                <w:color w:val="000000"/>
                <w:szCs w:val="22"/>
              </w:rPr>
              <w:t>Leap Wireless</w:t>
            </w:r>
          </w:p>
        </w:tc>
        <w:tc>
          <w:tcPr>
            <w:tcW w:w="0" w:type="auto"/>
            <w:tcBorders>
              <w:top w:val="nil"/>
              <w:left w:val="nil"/>
              <w:bottom w:val="single" w:sz="4" w:space="0" w:color="auto"/>
              <w:right w:val="single" w:sz="4" w:space="0" w:color="auto"/>
            </w:tcBorders>
            <w:noWrap/>
            <w:vAlign w:val="bottom"/>
          </w:tcPr>
          <w:p w:rsidR="004A147C" w:rsidRPr="00B53FFB" w:rsidRDefault="004A147C" w:rsidP="00CE5850">
            <w:pPr>
              <w:jc w:val="right"/>
              <w:rPr>
                <w:szCs w:val="22"/>
              </w:rPr>
            </w:pPr>
            <w:r w:rsidRPr="00B53FFB">
              <w:rPr>
                <w:szCs w:val="22"/>
              </w:rPr>
              <w:t>1,782</w:t>
            </w:r>
          </w:p>
        </w:tc>
        <w:tc>
          <w:tcPr>
            <w:tcW w:w="0" w:type="auto"/>
            <w:tcBorders>
              <w:top w:val="nil"/>
              <w:left w:val="nil"/>
              <w:bottom w:val="single" w:sz="4" w:space="0" w:color="auto"/>
              <w:right w:val="single" w:sz="4" w:space="0" w:color="auto"/>
            </w:tcBorders>
            <w:noWrap/>
            <w:vAlign w:val="bottom"/>
          </w:tcPr>
          <w:p w:rsidR="004A147C" w:rsidRPr="00B53FFB" w:rsidRDefault="004A147C" w:rsidP="00CE5850">
            <w:pPr>
              <w:jc w:val="right"/>
              <w:rPr>
                <w:szCs w:val="22"/>
              </w:rPr>
            </w:pPr>
            <w:r w:rsidRPr="00B53FFB">
              <w:rPr>
                <w:szCs w:val="22"/>
              </w:rPr>
              <w:t>2,242</w:t>
            </w:r>
          </w:p>
        </w:tc>
        <w:tc>
          <w:tcPr>
            <w:tcW w:w="0" w:type="auto"/>
            <w:tcBorders>
              <w:top w:val="nil"/>
              <w:left w:val="nil"/>
              <w:bottom w:val="single" w:sz="4" w:space="0" w:color="auto"/>
              <w:right w:val="single" w:sz="4" w:space="0" w:color="auto"/>
            </w:tcBorders>
            <w:noWrap/>
            <w:vAlign w:val="bottom"/>
          </w:tcPr>
          <w:p w:rsidR="004A147C" w:rsidRPr="00B53FFB" w:rsidRDefault="004A147C" w:rsidP="00CE5850">
            <w:pPr>
              <w:jc w:val="right"/>
              <w:rPr>
                <w:szCs w:val="22"/>
              </w:rPr>
            </w:pPr>
            <w:r w:rsidRPr="00B53FFB">
              <w:rPr>
                <w:szCs w:val="22"/>
              </w:rPr>
              <w:t>2,483</w:t>
            </w:r>
          </w:p>
        </w:tc>
        <w:tc>
          <w:tcPr>
            <w:tcW w:w="0" w:type="auto"/>
            <w:tcBorders>
              <w:top w:val="nil"/>
              <w:left w:val="nil"/>
              <w:bottom w:val="single" w:sz="4" w:space="0" w:color="auto"/>
              <w:right w:val="single" w:sz="4" w:space="0" w:color="auto"/>
            </w:tcBorders>
            <w:noWrap/>
            <w:vAlign w:val="bottom"/>
          </w:tcPr>
          <w:p w:rsidR="004A147C" w:rsidRPr="00B53FFB" w:rsidRDefault="004A147C" w:rsidP="00CE5850">
            <w:pPr>
              <w:jc w:val="right"/>
              <w:rPr>
                <w:szCs w:val="22"/>
              </w:rPr>
            </w:pPr>
            <w:r w:rsidRPr="00B53FFB">
              <w:rPr>
                <w:szCs w:val="22"/>
              </w:rPr>
              <w:t>2,829</w:t>
            </w:r>
          </w:p>
        </w:tc>
        <w:tc>
          <w:tcPr>
            <w:tcW w:w="0" w:type="auto"/>
            <w:tcBorders>
              <w:top w:val="nil"/>
              <w:left w:val="nil"/>
              <w:bottom w:val="single" w:sz="4" w:space="0" w:color="auto"/>
              <w:right w:val="single" w:sz="4" w:space="0" w:color="auto"/>
            </w:tcBorders>
            <w:vAlign w:val="bottom"/>
          </w:tcPr>
          <w:p w:rsidR="004A147C" w:rsidRPr="00AA1E4C" w:rsidRDefault="004A147C" w:rsidP="00CE5850">
            <w:pPr>
              <w:jc w:val="right"/>
              <w:rPr>
                <w:szCs w:val="22"/>
              </w:rPr>
            </w:pPr>
            <w:r w:rsidRPr="00AA1E4C">
              <w:rPr>
                <w:szCs w:val="22"/>
              </w:rPr>
              <w:t>1,525</w:t>
            </w:r>
          </w:p>
        </w:tc>
      </w:tr>
      <w:tr w:rsidR="004A147C" w:rsidRPr="00B53FFB" w:rsidTr="002D127D">
        <w:trPr>
          <w:trHeight w:val="300"/>
          <w:jc w:val="center"/>
        </w:trPr>
        <w:tc>
          <w:tcPr>
            <w:tcW w:w="0" w:type="auto"/>
            <w:tcBorders>
              <w:top w:val="nil"/>
              <w:left w:val="single" w:sz="4" w:space="0" w:color="auto"/>
              <w:bottom w:val="single" w:sz="4" w:space="0" w:color="auto"/>
              <w:right w:val="single" w:sz="4" w:space="0" w:color="auto"/>
            </w:tcBorders>
            <w:noWrap/>
            <w:vAlign w:val="bottom"/>
          </w:tcPr>
          <w:p w:rsidR="004A147C" w:rsidRPr="00B53FFB" w:rsidRDefault="004A147C" w:rsidP="00CE5850">
            <w:pPr>
              <w:rPr>
                <w:bCs/>
                <w:color w:val="000000"/>
                <w:szCs w:val="22"/>
              </w:rPr>
            </w:pPr>
            <w:r w:rsidRPr="00B53FFB">
              <w:rPr>
                <w:bCs/>
                <w:color w:val="000000"/>
                <w:szCs w:val="22"/>
              </w:rPr>
              <w:t>Clearwire</w:t>
            </w:r>
          </w:p>
        </w:tc>
        <w:tc>
          <w:tcPr>
            <w:tcW w:w="0" w:type="auto"/>
            <w:tcBorders>
              <w:top w:val="nil"/>
              <w:left w:val="nil"/>
              <w:bottom w:val="single" w:sz="4" w:space="0" w:color="auto"/>
              <w:right w:val="single" w:sz="4" w:space="0" w:color="auto"/>
            </w:tcBorders>
            <w:noWrap/>
            <w:vAlign w:val="bottom"/>
          </w:tcPr>
          <w:p w:rsidR="004A147C" w:rsidRPr="00B53FFB" w:rsidRDefault="004A147C" w:rsidP="00CE5850">
            <w:pPr>
              <w:jc w:val="right"/>
              <w:rPr>
                <w:szCs w:val="22"/>
              </w:rPr>
            </w:pPr>
            <w:r w:rsidRPr="00B53FFB">
              <w:rPr>
                <w:szCs w:val="22"/>
              </w:rPr>
              <w:t>213</w:t>
            </w:r>
          </w:p>
        </w:tc>
        <w:tc>
          <w:tcPr>
            <w:tcW w:w="0" w:type="auto"/>
            <w:tcBorders>
              <w:top w:val="nil"/>
              <w:left w:val="nil"/>
              <w:bottom w:val="single" w:sz="4" w:space="0" w:color="auto"/>
              <w:right w:val="single" w:sz="4" w:space="0" w:color="auto"/>
            </w:tcBorders>
            <w:noWrap/>
            <w:vAlign w:val="bottom"/>
          </w:tcPr>
          <w:p w:rsidR="004A147C" w:rsidRPr="00B53FFB" w:rsidRDefault="004A147C" w:rsidP="00CE5850">
            <w:pPr>
              <w:jc w:val="right"/>
              <w:rPr>
                <w:szCs w:val="22"/>
              </w:rPr>
            </w:pPr>
            <w:r w:rsidRPr="00B53FFB">
              <w:rPr>
                <w:szCs w:val="22"/>
              </w:rPr>
              <w:t>252</w:t>
            </w:r>
          </w:p>
        </w:tc>
        <w:tc>
          <w:tcPr>
            <w:tcW w:w="0" w:type="auto"/>
            <w:tcBorders>
              <w:top w:val="nil"/>
              <w:left w:val="nil"/>
              <w:bottom w:val="single" w:sz="4" w:space="0" w:color="auto"/>
              <w:right w:val="single" w:sz="4" w:space="0" w:color="auto"/>
            </w:tcBorders>
            <w:noWrap/>
            <w:vAlign w:val="bottom"/>
          </w:tcPr>
          <w:p w:rsidR="004A147C" w:rsidRPr="00B53FFB" w:rsidRDefault="004A147C" w:rsidP="00CE5850">
            <w:pPr>
              <w:jc w:val="right"/>
              <w:rPr>
                <w:szCs w:val="22"/>
              </w:rPr>
            </w:pPr>
            <w:r w:rsidRPr="00B53FFB">
              <w:rPr>
                <w:szCs w:val="22"/>
              </w:rPr>
              <w:t>505</w:t>
            </w:r>
          </w:p>
        </w:tc>
        <w:tc>
          <w:tcPr>
            <w:tcW w:w="0" w:type="auto"/>
            <w:tcBorders>
              <w:top w:val="nil"/>
              <w:left w:val="nil"/>
              <w:bottom w:val="single" w:sz="4" w:space="0" w:color="auto"/>
              <w:right w:val="single" w:sz="4" w:space="0" w:color="auto"/>
            </w:tcBorders>
            <w:noWrap/>
            <w:vAlign w:val="bottom"/>
          </w:tcPr>
          <w:p w:rsidR="004A147C" w:rsidRPr="00B53FFB" w:rsidRDefault="004A147C" w:rsidP="00CE5850">
            <w:pPr>
              <w:jc w:val="right"/>
              <w:rPr>
                <w:szCs w:val="22"/>
              </w:rPr>
            </w:pPr>
            <w:r w:rsidRPr="00B53FFB">
              <w:rPr>
                <w:szCs w:val="22"/>
              </w:rPr>
              <w:t>1,208</w:t>
            </w:r>
          </w:p>
        </w:tc>
        <w:tc>
          <w:tcPr>
            <w:tcW w:w="0" w:type="auto"/>
            <w:tcBorders>
              <w:top w:val="nil"/>
              <w:left w:val="nil"/>
              <w:bottom w:val="single" w:sz="4" w:space="0" w:color="auto"/>
              <w:right w:val="single" w:sz="4" w:space="0" w:color="auto"/>
            </w:tcBorders>
            <w:vAlign w:val="bottom"/>
          </w:tcPr>
          <w:p w:rsidR="004A147C" w:rsidRPr="00AA1E4C" w:rsidRDefault="004A147C" w:rsidP="00CE5850">
            <w:pPr>
              <w:jc w:val="right"/>
              <w:rPr>
                <w:szCs w:val="22"/>
              </w:rPr>
            </w:pPr>
            <w:r w:rsidRPr="00AA1E4C">
              <w:rPr>
                <w:szCs w:val="22"/>
              </w:rPr>
              <w:t>640</w:t>
            </w:r>
          </w:p>
        </w:tc>
      </w:tr>
      <w:tr w:rsidR="004A147C" w:rsidRPr="00B53FFB" w:rsidTr="002D127D">
        <w:trPr>
          <w:trHeight w:val="300"/>
          <w:jc w:val="center"/>
        </w:trPr>
        <w:tc>
          <w:tcPr>
            <w:tcW w:w="0" w:type="auto"/>
            <w:tcBorders>
              <w:top w:val="nil"/>
              <w:left w:val="single" w:sz="4" w:space="0" w:color="auto"/>
              <w:bottom w:val="nil"/>
              <w:right w:val="single" w:sz="4" w:space="0" w:color="auto"/>
            </w:tcBorders>
            <w:noWrap/>
            <w:vAlign w:val="bottom"/>
          </w:tcPr>
          <w:p w:rsidR="004A147C" w:rsidRPr="00B53FFB" w:rsidRDefault="004A147C" w:rsidP="00CE5850">
            <w:pPr>
              <w:rPr>
                <w:bCs/>
                <w:color w:val="000000"/>
                <w:szCs w:val="22"/>
              </w:rPr>
            </w:pPr>
            <w:r w:rsidRPr="00B53FFB">
              <w:rPr>
                <w:szCs w:val="22"/>
              </w:rPr>
              <w:t>Atlantic Tele-Network</w:t>
            </w:r>
          </w:p>
        </w:tc>
        <w:tc>
          <w:tcPr>
            <w:tcW w:w="0" w:type="auto"/>
            <w:tcBorders>
              <w:top w:val="nil"/>
              <w:left w:val="nil"/>
              <w:bottom w:val="nil"/>
              <w:right w:val="single" w:sz="4" w:space="0" w:color="auto"/>
            </w:tcBorders>
            <w:noWrap/>
            <w:vAlign w:val="bottom"/>
          </w:tcPr>
          <w:p w:rsidR="004A147C" w:rsidRPr="00B53FFB" w:rsidRDefault="004A147C" w:rsidP="00CE5850">
            <w:pPr>
              <w:jc w:val="right"/>
              <w:rPr>
                <w:szCs w:val="22"/>
              </w:rPr>
            </w:pPr>
            <w:r w:rsidRPr="00B53FFB">
              <w:rPr>
                <w:szCs w:val="22"/>
              </w:rPr>
              <w:t>105</w:t>
            </w:r>
          </w:p>
        </w:tc>
        <w:tc>
          <w:tcPr>
            <w:tcW w:w="0" w:type="auto"/>
            <w:tcBorders>
              <w:top w:val="nil"/>
              <w:left w:val="nil"/>
              <w:bottom w:val="nil"/>
              <w:right w:val="single" w:sz="4" w:space="0" w:color="auto"/>
            </w:tcBorders>
            <w:noWrap/>
            <w:vAlign w:val="bottom"/>
          </w:tcPr>
          <w:p w:rsidR="004A147C" w:rsidRPr="00B53FFB" w:rsidRDefault="004A147C" w:rsidP="00CE5850">
            <w:pPr>
              <w:jc w:val="right"/>
              <w:rPr>
                <w:szCs w:val="22"/>
              </w:rPr>
            </w:pPr>
            <w:r w:rsidRPr="00B53FFB">
              <w:rPr>
                <w:szCs w:val="22"/>
              </w:rPr>
              <w:t>147</w:t>
            </w:r>
          </w:p>
        </w:tc>
        <w:tc>
          <w:tcPr>
            <w:tcW w:w="0" w:type="auto"/>
            <w:tcBorders>
              <w:top w:val="nil"/>
              <w:left w:val="nil"/>
              <w:bottom w:val="nil"/>
              <w:right w:val="single" w:sz="4" w:space="0" w:color="auto"/>
            </w:tcBorders>
            <w:noWrap/>
            <w:vAlign w:val="bottom"/>
          </w:tcPr>
          <w:p w:rsidR="004A147C" w:rsidRPr="00B53FFB" w:rsidRDefault="004A147C" w:rsidP="00CE5850">
            <w:pPr>
              <w:jc w:val="right"/>
              <w:rPr>
                <w:szCs w:val="22"/>
              </w:rPr>
            </w:pPr>
            <w:r w:rsidRPr="00B53FFB">
              <w:rPr>
                <w:szCs w:val="22"/>
              </w:rPr>
              <w:t>453</w:t>
            </w:r>
          </w:p>
        </w:tc>
        <w:tc>
          <w:tcPr>
            <w:tcW w:w="0" w:type="auto"/>
            <w:tcBorders>
              <w:top w:val="nil"/>
              <w:left w:val="nil"/>
              <w:bottom w:val="nil"/>
              <w:right w:val="single" w:sz="4" w:space="0" w:color="auto"/>
            </w:tcBorders>
            <w:noWrap/>
            <w:vAlign w:val="bottom"/>
          </w:tcPr>
          <w:p w:rsidR="004A147C" w:rsidRPr="00B53FFB" w:rsidRDefault="004A147C" w:rsidP="00CE5850">
            <w:pPr>
              <w:jc w:val="right"/>
              <w:rPr>
                <w:szCs w:val="22"/>
              </w:rPr>
            </w:pPr>
            <w:r w:rsidRPr="00B53FFB">
              <w:rPr>
                <w:szCs w:val="22"/>
              </w:rPr>
              <w:t>572</w:t>
            </w:r>
          </w:p>
        </w:tc>
        <w:tc>
          <w:tcPr>
            <w:tcW w:w="0" w:type="auto"/>
            <w:tcBorders>
              <w:top w:val="nil"/>
              <w:left w:val="nil"/>
              <w:bottom w:val="nil"/>
              <w:right w:val="single" w:sz="4" w:space="0" w:color="auto"/>
            </w:tcBorders>
            <w:vAlign w:val="bottom"/>
          </w:tcPr>
          <w:p w:rsidR="004A147C" w:rsidRPr="00AA1E4C" w:rsidRDefault="004A147C" w:rsidP="00CE5850">
            <w:pPr>
              <w:jc w:val="right"/>
              <w:rPr>
                <w:szCs w:val="22"/>
              </w:rPr>
            </w:pPr>
            <w:r w:rsidRPr="00AA1E4C">
              <w:rPr>
                <w:szCs w:val="22"/>
              </w:rPr>
              <w:t>283</w:t>
            </w:r>
          </w:p>
        </w:tc>
      </w:tr>
      <w:tr w:rsidR="004A147C" w:rsidRPr="00B53FFB" w:rsidTr="002D127D">
        <w:trPr>
          <w:trHeight w:val="300"/>
          <w:jc w:val="center"/>
        </w:trPr>
        <w:tc>
          <w:tcPr>
            <w:tcW w:w="0" w:type="auto"/>
            <w:tcBorders>
              <w:top w:val="single" w:sz="4" w:space="0" w:color="auto"/>
              <w:left w:val="single" w:sz="4" w:space="0" w:color="auto"/>
              <w:bottom w:val="single" w:sz="4" w:space="0" w:color="auto"/>
              <w:right w:val="single" w:sz="4" w:space="0" w:color="auto"/>
            </w:tcBorders>
            <w:noWrap/>
            <w:vAlign w:val="bottom"/>
          </w:tcPr>
          <w:p w:rsidR="004A147C" w:rsidRPr="00B53FFB" w:rsidRDefault="004A147C" w:rsidP="00CE5850">
            <w:pPr>
              <w:rPr>
                <w:bCs/>
                <w:color w:val="000000"/>
                <w:szCs w:val="22"/>
              </w:rPr>
            </w:pPr>
            <w:r w:rsidRPr="00B53FFB">
              <w:rPr>
                <w:bCs/>
                <w:color w:val="000000"/>
                <w:szCs w:val="22"/>
              </w:rPr>
              <w:t>Ntelos</w:t>
            </w:r>
          </w:p>
        </w:tc>
        <w:tc>
          <w:tcPr>
            <w:tcW w:w="0" w:type="auto"/>
            <w:tcBorders>
              <w:top w:val="single" w:sz="4" w:space="0" w:color="auto"/>
              <w:left w:val="nil"/>
              <w:bottom w:val="single" w:sz="4" w:space="0" w:color="auto"/>
              <w:right w:val="single" w:sz="4" w:space="0" w:color="auto"/>
            </w:tcBorders>
            <w:noWrap/>
            <w:vAlign w:val="bottom"/>
          </w:tcPr>
          <w:p w:rsidR="004A147C" w:rsidRPr="00B53FFB" w:rsidRDefault="004A147C" w:rsidP="00CE5850">
            <w:pPr>
              <w:jc w:val="right"/>
              <w:rPr>
                <w:szCs w:val="22"/>
              </w:rPr>
            </w:pPr>
            <w:r w:rsidRPr="00B53FFB">
              <w:rPr>
                <w:szCs w:val="22"/>
              </w:rPr>
              <w:t>392</w:t>
            </w:r>
          </w:p>
        </w:tc>
        <w:tc>
          <w:tcPr>
            <w:tcW w:w="0" w:type="auto"/>
            <w:tcBorders>
              <w:top w:val="single" w:sz="4" w:space="0" w:color="auto"/>
              <w:left w:val="nil"/>
              <w:bottom w:val="single" w:sz="4" w:space="0" w:color="auto"/>
              <w:right w:val="single" w:sz="4" w:space="0" w:color="auto"/>
            </w:tcBorders>
            <w:noWrap/>
            <w:vAlign w:val="bottom"/>
          </w:tcPr>
          <w:p w:rsidR="004A147C" w:rsidRPr="00B53FFB" w:rsidRDefault="004A147C" w:rsidP="00CE5850">
            <w:pPr>
              <w:jc w:val="right"/>
              <w:rPr>
                <w:szCs w:val="22"/>
              </w:rPr>
            </w:pPr>
            <w:r w:rsidRPr="00B53FFB">
              <w:rPr>
                <w:szCs w:val="22"/>
              </w:rPr>
              <w:t>400</w:t>
            </w:r>
          </w:p>
        </w:tc>
        <w:tc>
          <w:tcPr>
            <w:tcW w:w="0" w:type="auto"/>
            <w:tcBorders>
              <w:top w:val="single" w:sz="4" w:space="0" w:color="auto"/>
              <w:left w:val="nil"/>
              <w:bottom w:val="single" w:sz="4" w:space="0" w:color="auto"/>
              <w:right w:val="single" w:sz="4" w:space="0" w:color="auto"/>
            </w:tcBorders>
            <w:noWrap/>
            <w:vAlign w:val="bottom"/>
          </w:tcPr>
          <w:p w:rsidR="004A147C" w:rsidRPr="00B53FFB" w:rsidRDefault="004A147C" w:rsidP="00CE5850">
            <w:pPr>
              <w:jc w:val="right"/>
              <w:rPr>
                <w:szCs w:val="22"/>
              </w:rPr>
            </w:pPr>
            <w:r w:rsidRPr="00B53FFB">
              <w:rPr>
                <w:szCs w:val="22"/>
              </w:rPr>
              <w:t>383</w:t>
            </w:r>
          </w:p>
        </w:tc>
        <w:tc>
          <w:tcPr>
            <w:tcW w:w="0" w:type="auto"/>
            <w:tcBorders>
              <w:top w:val="single" w:sz="4" w:space="0" w:color="auto"/>
              <w:left w:val="nil"/>
              <w:bottom w:val="single" w:sz="4" w:space="0" w:color="auto"/>
              <w:right w:val="single" w:sz="4" w:space="0" w:color="auto"/>
            </w:tcBorders>
            <w:noWrap/>
            <w:vAlign w:val="bottom"/>
          </w:tcPr>
          <w:p w:rsidR="004A147C" w:rsidRPr="00B53FFB" w:rsidRDefault="004A147C" w:rsidP="00CE5850">
            <w:pPr>
              <w:jc w:val="right"/>
              <w:rPr>
                <w:szCs w:val="22"/>
              </w:rPr>
            </w:pPr>
            <w:r w:rsidRPr="00B53FFB">
              <w:rPr>
                <w:szCs w:val="22"/>
              </w:rPr>
              <w:t>396</w:t>
            </w:r>
          </w:p>
        </w:tc>
        <w:tc>
          <w:tcPr>
            <w:tcW w:w="0" w:type="auto"/>
            <w:tcBorders>
              <w:top w:val="single" w:sz="4" w:space="0" w:color="auto"/>
              <w:left w:val="nil"/>
              <w:bottom w:val="single" w:sz="4" w:space="0" w:color="auto"/>
              <w:right w:val="single" w:sz="4" w:space="0" w:color="auto"/>
            </w:tcBorders>
            <w:vAlign w:val="bottom"/>
          </w:tcPr>
          <w:p w:rsidR="004A147C" w:rsidRPr="00AA1E4C" w:rsidRDefault="004A147C" w:rsidP="00CE5850">
            <w:pPr>
              <w:jc w:val="right"/>
              <w:rPr>
                <w:szCs w:val="22"/>
              </w:rPr>
            </w:pPr>
            <w:r w:rsidRPr="00AA1E4C">
              <w:rPr>
                <w:szCs w:val="22"/>
              </w:rPr>
              <w:t>222</w:t>
            </w:r>
          </w:p>
        </w:tc>
      </w:tr>
      <w:tr w:rsidR="004A147C" w:rsidRPr="00B53FFB" w:rsidTr="002D127D">
        <w:trPr>
          <w:trHeight w:val="300"/>
          <w:jc w:val="center"/>
        </w:trPr>
        <w:tc>
          <w:tcPr>
            <w:tcW w:w="0" w:type="auto"/>
            <w:tcBorders>
              <w:top w:val="nil"/>
              <w:left w:val="single" w:sz="4" w:space="0" w:color="auto"/>
              <w:bottom w:val="single" w:sz="4" w:space="0" w:color="auto"/>
              <w:right w:val="single" w:sz="4" w:space="0" w:color="auto"/>
            </w:tcBorders>
            <w:noWrap/>
            <w:vAlign w:val="bottom"/>
          </w:tcPr>
          <w:p w:rsidR="004A147C" w:rsidRPr="00B53FFB" w:rsidRDefault="004A147C" w:rsidP="00CE5850">
            <w:pPr>
              <w:rPr>
                <w:bCs/>
                <w:color w:val="000000"/>
                <w:szCs w:val="22"/>
              </w:rPr>
            </w:pPr>
            <w:r w:rsidRPr="00B53FFB">
              <w:rPr>
                <w:bCs/>
                <w:color w:val="000000"/>
                <w:szCs w:val="22"/>
              </w:rPr>
              <w:t>Cincinnati Bell Wireless</w:t>
            </w:r>
          </w:p>
        </w:tc>
        <w:tc>
          <w:tcPr>
            <w:tcW w:w="0" w:type="auto"/>
            <w:tcBorders>
              <w:top w:val="nil"/>
              <w:left w:val="nil"/>
              <w:bottom w:val="single" w:sz="4" w:space="0" w:color="auto"/>
              <w:right w:val="single" w:sz="4" w:space="0" w:color="auto"/>
            </w:tcBorders>
            <w:noWrap/>
            <w:vAlign w:val="bottom"/>
          </w:tcPr>
          <w:p w:rsidR="004A147C" w:rsidRPr="00B53FFB" w:rsidRDefault="004A147C" w:rsidP="00CE5850">
            <w:pPr>
              <w:jc w:val="right"/>
              <w:rPr>
                <w:szCs w:val="22"/>
              </w:rPr>
            </w:pPr>
            <w:r w:rsidRPr="00B53FFB">
              <w:rPr>
                <w:szCs w:val="22"/>
              </w:rPr>
              <w:t>291</w:t>
            </w:r>
          </w:p>
        </w:tc>
        <w:tc>
          <w:tcPr>
            <w:tcW w:w="0" w:type="auto"/>
            <w:tcBorders>
              <w:top w:val="nil"/>
              <w:left w:val="nil"/>
              <w:bottom w:val="single" w:sz="4" w:space="0" w:color="auto"/>
              <w:right w:val="single" w:sz="4" w:space="0" w:color="auto"/>
            </w:tcBorders>
            <w:noWrap/>
            <w:vAlign w:val="bottom"/>
          </w:tcPr>
          <w:p w:rsidR="004A147C" w:rsidRPr="00B53FFB" w:rsidRDefault="004A147C" w:rsidP="00CE5850">
            <w:pPr>
              <w:jc w:val="right"/>
              <w:rPr>
                <w:szCs w:val="22"/>
              </w:rPr>
            </w:pPr>
            <w:r w:rsidRPr="00B53FFB">
              <w:rPr>
                <w:szCs w:val="22"/>
              </w:rPr>
              <w:t>284</w:t>
            </w:r>
          </w:p>
        </w:tc>
        <w:tc>
          <w:tcPr>
            <w:tcW w:w="0" w:type="auto"/>
            <w:tcBorders>
              <w:top w:val="nil"/>
              <w:left w:val="nil"/>
              <w:bottom w:val="single" w:sz="4" w:space="0" w:color="auto"/>
              <w:right w:val="single" w:sz="4" w:space="0" w:color="auto"/>
            </w:tcBorders>
            <w:noWrap/>
            <w:vAlign w:val="bottom"/>
          </w:tcPr>
          <w:p w:rsidR="004A147C" w:rsidRPr="00B53FFB" w:rsidRDefault="004A147C" w:rsidP="00CE5850">
            <w:pPr>
              <w:jc w:val="right"/>
              <w:rPr>
                <w:szCs w:val="22"/>
              </w:rPr>
            </w:pPr>
            <w:r w:rsidRPr="00B53FFB">
              <w:rPr>
                <w:szCs w:val="22"/>
              </w:rPr>
              <w:t>269</w:t>
            </w:r>
          </w:p>
        </w:tc>
        <w:tc>
          <w:tcPr>
            <w:tcW w:w="0" w:type="auto"/>
            <w:tcBorders>
              <w:top w:val="nil"/>
              <w:left w:val="nil"/>
              <w:bottom w:val="single" w:sz="4" w:space="0" w:color="auto"/>
              <w:right w:val="single" w:sz="4" w:space="0" w:color="auto"/>
            </w:tcBorders>
            <w:noWrap/>
            <w:vAlign w:val="bottom"/>
          </w:tcPr>
          <w:p w:rsidR="004A147C" w:rsidRPr="00B53FFB" w:rsidRDefault="004A147C" w:rsidP="00CE5850">
            <w:pPr>
              <w:jc w:val="right"/>
              <w:rPr>
                <w:szCs w:val="22"/>
              </w:rPr>
            </w:pPr>
            <w:r w:rsidRPr="00B53FFB">
              <w:rPr>
                <w:szCs w:val="22"/>
              </w:rPr>
              <w:t>252</w:t>
            </w:r>
          </w:p>
        </w:tc>
        <w:tc>
          <w:tcPr>
            <w:tcW w:w="0" w:type="auto"/>
            <w:tcBorders>
              <w:top w:val="nil"/>
              <w:left w:val="nil"/>
              <w:bottom w:val="single" w:sz="4" w:space="0" w:color="auto"/>
              <w:right w:val="single" w:sz="4" w:space="0" w:color="auto"/>
            </w:tcBorders>
            <w:vAlign w:val="bottom"/>
          </w:tcPr>
          <w:p w:rsidR="004A147C" w:rsidRPr="00AA1E4C" w:rsidRDefault="004A147C" w:rsidP="00CE5850">
            <w:pPr>
              <w:jc w:val="right"/>
              <w:rPr>
                <w:szCs w:val="22"/>
              </w:rPr>
            </w:pPr>
            <w:r w:rsidRPr="00AA1E4C">
              <w:rPr>
                <w:szCs w:val="22"/>
              </w:rPr>
              <w:t>117</w:t>
            </w:r>
          </w:p>
        </w:tc>
      </w:tr>
    </w:tbl>
    <w:p w:rsidR="004A147C" w:rsidRPr="008C050B" w:rsidRDefault="004A147C" w:rsidP="00CE5850">
      <w:pPr>
        <w:rPr>
          <w:szCs w:val="22"/>
        </w:rPr>
      </w:pPr>
    </w:p>
    <w:p w:rsidR="004A147C" w:rsidRPr="00B53FFB" w:rsidRDefault="004A147C" w:rsidP="00CE5850">
      <w:pPr>
        <w:pStyle w:val="Caption"/>
        <w:widowControl w:val="0"/>
        <w:spacing w:after="0"/>
        <w:ind w:left="720"/>
        <w:jc w:val="center"/>
        <w:rPr>
          <w:sz w:val="22"/>
          <w:szCs w:val="22"/>
        </w:rPr>
      </w:pPr>
      <w:bookmarkStart w:id="1106" w:name="_Ref341193874"/>
      <w:r w:rsidRPr="00B53FFB">
        <w:rPr>
          <w:sz w:val="22"/>
          <w:szCs w:val="22"/>
        </w:rPr>
        <w:t xml:space="preserve">Table </w:t>
      </w:r>
      <w:r w:rsidR="0007014B" w:rsidRPr="00B53FFB">
        <w:rPr>
          <w:sz w:val="22"/>
          <w:szCs w:val="22"/>
        </w:rPr>
        <w:fldChar w:fldCharType="begin"/>
      </w:r>
      <w:r w:rsidRPr="00B53FFB">
        <w:rPr>
          <w:sz w:val="22"/>
          <w:szCs w:val="22"/>
        </w:rPr>
        <w:instrText xml:space="preserve"> SEQ Table \* ARABIC </w:instrText>
      </w:r>
      <w:r w:rsidR="0007014B" w:rsidRPr="00B53FFB">
        <w:rPr>
          <w:sz w:val="22"/>
          <w:szCs w:val="22"/>
        </w:rPr>
        <w:fldChar w:fldCharType="separate"/>
      </w:r>
      <w:r w:rsidR="00CA3AC6">
        <w:rPr>
          <w:noProof/>
          <w:sz w:val="22"/>
          <w:szCs w:val="22"/>
        </w:rPr>
        <w:t>12</w:t>
      </w:r>
      <w:r w:rsidR="0007014B" w:rsidRPr="00B53FFB">
        <w:rPr>
          <w:sz w:val="22"/>
          <w:szCs w:val="22"/>
        </w:rPr>
        <w:fldChar w:fldCharType="end"/>
      </w:r>
      <w:bookmarkEnd w:id="1106"/>
    </w:p>
    <w:p w:rsidR="004A147C" w:rsidRDefault="004A147C" w:rsidP="00CE5850">
      <w:pPr>
        <w:pStyle w:val="ListParagraph"/>
        <w:ind w:left="0"/>
        <w:jc w:val="center"/>
        <w:rPr>
          <w:b/>
          <w:szCs w:val="22"/>
        </w:rPr>
      </w:pPr>
      <w:r w:rsidRPr="008C050B">
        <w:rPr>
          <w:b/>
          <w:szCs w:val="22"/>
        </w:rPr>
        <w:t>Estimated Facilities-Based Service Provider Share of Service Revenues, 2008-201</w:t>
      </w:r>
      <w:r>
        <w:rPr>
          <w:b/>
          <w:szCs w:val="22"/>
        </w:rPr>
        <w:t>2</w:t>
      </w:r>
      <w:r w:rsidRPr="008C050B">
        <w:rPr>
          <w:b/>
          <w:szCs w:val="22"/>
        </w:rPr>
        <w:t xml:space="preserve"> (Percent)</w:t>
      </w:r>
      <w:r w:rsidRPr="00B53FFB">
        <w:rPr>
          <w:rStyle w:val="FootnoteReference"/>
          <w:szCs w:val="22"/>
        </w:rPr>
        <w:footnoteReference w:id="163"/>
      </w:r>
    </w:p>
    <w:p w:rsidR="00BD4B26" w:rsidRPr="008C050B" w:rsidRDefault="00BD4B26" w:rsidP="00CE5850">
      <w:pPr>
        <w:pStyle w:val="ListParagraph"/>
        <w:ind w:left="0"/>
        <w:jc w:val="center"/>
        <w:rPr>
          <w:szCs w:val="22"/>
        </w:rPr>
      </w:pPr>
    </w:p>
    <w:tbl>
      <w:tblPr>
        <w:tblW w:w="0" w:type="auto"/>
        <w:jc w:val="center"/>
        <w:tblInd w:w="93" w:type="dxa"/>
        <w:tblLook w:val="00A0" w:firstRow="1" w:lastRow="0" w:firstColumn="1" w:lastColumn="0" w:noHBand="0" w:noVBand="0"/>
      </w:tblPr>
      <w:tblGrid>
        <w:gridCol w:w="1750"/>
        <w:gridCol w:w="656"/>
        <w:gridCol w:w="656"/>
        <w:gridCol w:w="656"/>
        <w:gridCol w:w="656"/>
        <w:gridCol w:w="852"/>
      </w:tblGrid>
      <w:tr w:rsidR="004A147C" w:rsidRPr="00B53FFB" w:rsidTr="00B62F6E">
        <w:trPr>
          <w:trHeight w:val="300"/>
          <w:jc w:val="center"/>
        </w:trPr>
        <w:tc>
          <w:tcPr>
            <w:tcW w:w="0" w:type="auto"/>
            <w:tcBorders>
              <w:top w:val="single" w:sz="4" w:space="0" w:color="auto"/>
              <w:left w:val="single" w:sz="4" w:space="0" w:color="auto"/>
              <w:bottom w:val="single" w:sz="4" w:space="0" w:color="auto"/>
              <w:right w:val="single" w:sz="4" w:space="0" w:color="auto"/>
            </w:tcBorders>
            <w:noWrap/>
            <w:vAlign w:val="bottom"/>
          </w:tcPr>
          <w:p w:rsidR="004A147C" w:rsidRPr="00B53FFB" w:rsidRDefault="004A147C" w:rsidP="00CE5850">
            <w:pPr>
              <w:jc w:val="center"/>
              <w:rPr>
                <w:b/>
                <w:bCs/>
                <w:color w:val="000000"/>
                <w:szCs w:val="22"/>
              </w:rPr>
            </w:pPr>
          </w:p>
        </w:tc>
        <w:tc>
          <w:tcPr>
            <w:tcW w:w="0" w:type="auto"/>
            <w:tcBorders>
              <w:top w:val="single" w:sz="4" w:space="0" w:color="auto"/>
              <w:left w:val="nil"/>
              <w:bottom w:val="single" w:sz="4" w:space="0" w:color="auto"/>
              <w:right w:val="single" w:sz="4" w:space="0" w:color="auto"/>
            </w:tcBorders>
            <w:noWrap/>
            <w:vAlign w:val="bottom"/>
          </w:tcPr>
          <w:p w:rsidR="004A147C" w:rsidRPr="00B53FFB" w:rsidRDefault="004A147C" w:rsidP="00CE5850">
            <w:pPr>
              <w:jc w:val="right"/>
              <w:rPr>
                <w:b/>
                <w:bCs/>
                <w:szCs w:val="22"/>
              </w:rPr>
            </w:pPr>
            <w:r w:rsidRPr="00B53FFB">
              <w:rPr>
                <w:b/>
                <w:bCs/>
                <w:szCs w:val="22"/>
              </w:rPr>
              <w:t>2008</w:t>
            </w:r>
          </w:p>
        </w:tc>
        <w:tc>
          <w:tcPr>
            <w:tcW w:w="0" w:type="auto"/>
            <w:tcBorders>
              <w:top w:val="single" w:sz="4" w:space="0" w:color="auto"/>
              <w:left w:val="nil"/>
              <w:bottom w:val="single" w:sz="4" w:space="0" w:color="auto"/>
              <w:right w:val="single" w:sz="4" w:space="0" w:color="auto"/>
            </w:tcBorders>
            <w:noWrap/>
            <w:vAlign w:val="bottom"/>
          </w:tcPr>
          <w:p w:rsidR="004A147C" w:rsidRPr="00B53FFB" w:rsidRDefault="004A147C" w:rsidP="00CE5850">
            <w:pPr>
              <w:jc w:val="right"/>
              <w:rPr>
                <w:b/>
                <w:bCs/>
                <w:szCs w:val="22"/>
              </w:rPr>
            </w:pPr>
            <w:r w:rsidRPr="00B53FFB">
              <w:rPr>
                <w:b/>
                <w:bCs/>
                <w:szCs w:val="22"/>
              </w:rPr>
              <w:t>2009</w:t>
            </w:r>
          </w:p>
        </w:tc>
        <w:tc>
          <w:tcPr>
            <w:tcW w:w="0" w:type="auto"/>
            <w:tcBorders>
              <w:top w:val="single" w:sz="4" w:space="0" w:color="auto"/>
              <w:left w:val="nil"/>
              <w:bottom w:val="single" w:sz="4" w:space="0" w:color="auto"/>
              <w:right w:val="single" w:sz="4" w:space="0" w:color="auto"/>
            </w:tcBorders>
            <w:noWrap/>
            <w:vAlign w:val="bottom"/>
          </w:tcPr>
          <w:p w:rsidR="004A147C" w:rsidRPr="00B53FFB" w:rsidRDefault="004A147C" w:rsidP="00CE5850">
            <w:pPr>
              <w:jc w:val="right"/>
              <w:rPr>
                <w:b/>
                <w:bCs/>
                <w:color w:val="000000"/>
                <w:szCs w:val="22"/>
              </w:rPr>
            </w:pPr>
            <w:r w:rsidRPr="00B53FFB">
              <w:rPr>
                <w:b/>
                <w:bCs/>
                <w:color w:val="000000"/>
                <w:szCs w:val="22"/>
              </w:rPr>
              <w:t>2010</w:t>
            </w:r>
          </w:p>
        </w:tc>
        <w:tc>
          <w:tcPr>
            <w:tcW w:w="0" w:type="auto"/>
            <w:tcBorders>
              <w:top w:val="single" w:sz="4" w:space="0" w:color="auto"/>
              <w:left w:val="nil"/>
              <w:bottom w:val="single" w:sz="4" w:space="0" w:color="auto"/>
              <w:right w:val="single" w:sz="4" w:space="0" w:color="auto"/>
            </w:tcBorders>
            <w:noWrap/>
            <w:vAlign w:val="bottom"/>
          </w:tcPr>
          <w:p w:rsidR="004A147C" w:rsidRPr="00B53FFB" w:rsidRDefault="004A147C" w:rsidP="00CE5850">
            <w:pPr>
              <w:jc w:val="right"/>
              <w:rPr>
                <w:b/>
                <w:bCs/>
                <w:szCs w:val="22"/>
              </w:rPr>
            </w:pPr>
            <w:r w:rsidRPr="00B53FFB">
              <w:rPr>
                <w:b/>
                <w:bCs/>
                <w:szCs w:val="22"/>
              </w:rPr>
              <w:t>2011</w:t>
            </w:r>
          </w:p>
        </w:tc>
        <w:tc>
          <w:tcPr>
            <w:tcW w:w="0" w:type="auto"/>
            <w:tcBorders>
              <w:top w:val="single" w:sz="4" w:space="0" w:color="auto"/>
              <w:left w:val="nil"/>
              <w:bottom w:val="single" w:sz="4" w:space="0" w:color="auto"/>
              <w:right w:val="single" w:sz="4" w:space="0" w:color="auto"/>
            </w:tcBorders>
            <w:vAlign w:val="center"/>
          </w:tcPr>
          <w:p w:rsidR="004A147C" w:rsidRDefault="004A147C" w:rsidP="00CE5850">
            <w:pPr>
              <w:jc w:val="center"/>
              <w:rPr>
                <w:b/>
                <w:bCs/>
                <w:szCs w:val="22"/>
              </w:rPr>
            </w:pPr>
            <w:r>
              <w:rPr>
                <w:b/>
                <w:bCs/>
                <w:szCs w:val="22"/>
              </w:rPr>
              <w:t>2012</w:t>
            </w:r>
          </w:p>
          <w:p w:rsidR="004A147C" w:rsidRPr="00B53FFB" w:rsidRDefault="004A147C" w:rsidP="00CE5850">
            <w:pPr>
              <w:jc w:val="center"/>
              <w:rPr>
                <w:b/>
                <w:bCs/>
                <w:szCs w:val="22"/>
              </w:rPr>
            </w:pPr>
            <w:r>
              <w:rPr>
                <w:b/>
                <w:bCs/>
                <w:szCs w:val="22"/>
              </w:rPr>
              <w:t>Q1-Q2</w:t>
            </w:r>
          </w:p>
        </w:tc>
      </w:tr>
      <w:tr w:rsidR="004A147C" w:rsidRPr="00B53FFB" w:rsidTr="00520A6A">
        <w:trPr>
          <w:trHeight w:val="300"/>
          <w:jc w:val="center"/>
        </w:trPr>
        <w:tc>
          <w:tcPr>
            <w:tcW w:w="0" w:type="auto"/>
            <w:tcBorders>
              <w:top w:val="nil"/>
              <w:left w:val="single" w:sz="4" w:space="0" w:color="auto"/>
              <w:bottom w:val="single" w:sz="4" w:space="0" w:color="auto"/>
              <w:right w:val="single" w:sz="4" w:space="0" w:color="auto"/>
            </w:tcBorders>
            <w:noWrap/>
            <w:vAlign w:val="bottom"/>
          </w:tcPr>
          <w:p w:rsidR="004A147C" w:rsidRPr="00B53FFB" w:rsidRDefault="004A147C" w:rsidP="00CE5850">
            <w:pPr>
              <w:rPr>
                <w:bCs/>
                <w:color w:val="000000"/>
                <w:szCs w:val="22"/>
              </w:rPr>
            </w:pPr>
            <w:r w:rsidRPr="00B53FFB">
              <w:rPr>
                <w:bCs/>
                <w:color w:val="000000"/>
                <w:szCs w:val="22"/>
              </w:rPr>
              <w:t>Verizon Wireless</w:t>
            </w:r>
          </w:p>
        </w:tc>
        <w:tc>
          <w:tcPr>
            <w:tcW w:w="0" w:type="auto"/>
            <w:tcBorders>
              <w:top w:val="nil"/>
              <w:left w:val="nil"/>
              <w:bottom w:val="single" w:sz="4" w:space="0" w:color="auto"/>
              <w:right w:val="single" w:sz="4" w:space="0" w:color="auto"/>
            </w:tcBorders>
            <w:noWrap/>
            <w:vAlign w:val="bottom"/>
          </w:tcPr>
          <w:p w:rsidR="004A147C" w:rsidRPr="00B53FFB" w:rsidRDefault="004A147C" w:rsidP="00CE5850">
            <w:pPr>
              <w:jc w:val="right"/>
              <w:rPr>
                <w:szCs w:val="22"/>
              </w:rPr>
            </w:pPr>
            <w:r w:rsidRPr="00B53FFB">
              <w:rPr>
                <w:szCs w:val="22"/>
              </w:rPr>
              <w:t>27.8</w:t>
            </w:r>
          </w:p>
        </w:tc>
        <w:tc>
          <w:tcPr>
            <w:tcW w:w="0" w:type="auto"/>
            <w:tcBorders>
              <w:top w:val="nil"/>
              <w:left w:val="nil"/>
              <w:bottom w:val="single" w:sz="4" w:space="0" w:color="auto"/>
              <w:right w:val="single" w:sz="4" w:space="0" w:color="auto"/>
            </w:tcBorders>
            <w:noWrap/>
            <w:vAlign w:val="bottom"/>
          </w:tcPr>
          <w:p w:rsidR="004A147C" w:rsidRPr="00B53FFB" w:rsidRDefault="004A147C" w:rsidP="00CE5850">
            <w:pPr>
              <w:jc w:val="right"/>
              <w:rPr>
                <w:szCs w:val="22"/>
              </w:rPr>
            </w:pPr>
            <w:r w:rsidRPr="00B53FFB">
              <w:rPr>
                <w:szCs w:val="22"/>
              </w:rPr>
              <w:t>33.4</w:t>
            </w:r>
          </w:p>
        </w:tc>
        <w:tc>
          <w:tcPr>
            <w:tcW w:w="0" w:type="auto"/>
            <w:tcBorders>
              <w:top w:val="nil"/>
              <w:left w:val="nil"/>
              <w:bottom w:val="single" w:sz="4" w:space="0" w:color="auto"/>
              <w:right w:val="single" w:sz="4" w:space="0" w:color="auto"/>
            </w:tcBorders>
            <w:noWrap/>
            <w:vAlign w:val="bottom"/>
          </w:tcPr>
          <w:p w:rsidR="004A147C" w:rsidRPr="00B53FFB" w:rsidRDefault="004A147C" w:rsidP="00CE5850">
            <w:pPr>
              <w:jc w:val="right"/>
              <w:rPr>
                <w:szCs w:val="22"/>
              </w:rPr>
            </w:pPr>
            <w:r w:rsidRPr="00B53FFB">
              <w:rPr>
                <w:szCs w:val="22"/>
              </w:rPr>
              <w:t>33.7</w:t>
            </w:r>
          </w:p>
        </w:tc>
        <w:tc>
          <w:tcPr>
            <w:tcW w:w="0" w:type="auto"/>
            <w:tcBorders>
              <w:top w:val="nil"/>
              <w:left w:val="nil"/>
              <w:bottom w:val="single" w:sz="4" w:space="0" w:color="auto"/>
              <w:right w:val="single" w:sz="4" w:space="0" w:color="auto"/>
            </w:tcBorders>
            <w:noWrap/>
            <w:vAlign w:val="bottom"/>
          </w:tcPr>
          <w:p w:rsidR="004A147C" w:rsidRPr="00B53FFB" w:rsidRDefault="004A147C" w:rsidP="00CE5850">
            <w:pPr>
              <w:jc w:val="right"/>
              <w:rPr>
                <w:szCs w:val="22"/>
              </w:rPr>
            </w:pPr>
            <w:r w:rsidRPr="00B53FFB">
              <w:rPr>
                <w:szCs w:val="22"/>
              </w:rPr>
              <w:t>33.8</w:t>
            </w:r>
          </w:p>
        </w:tc>
        <w:tc>
          <w:tcPr>
            <w:tcW w:w="0" w:type="auto"/>
            <w:tcBorders>
              <w:top w:val="nil"/>
              <w:left w:val="nil"/>
              <w:bottom w:val="single" w:sz="4" w:space="0" w:color="auto"/>
              <w:right w:val="single" w:sz="4" w:space="0" w:color="auto"/>
            </w:tcBorders>
            <w:vAlign w:val="bottom"/>
          </w:tcPr>
          <w:p w:rsidR="004A147C" w:rsidRPr="00B53FFB" w:rsidRDefault="004A147C" w:rsidP="00CE5850">
            <w:pPr>
              <w:jc w:val="right"/>
              <w:rPr>
                <w:szCs w:val="22"/>
              </w:rPr>
            </w:pPr>
            <w:r>
              <w:rPr>
                <w:szCs w:val="22"/>
              </w:rPr>
              <w:t>34.3</w:t>
            </w:r>
          </w:p>
        </w:tc>
      </w:tr>
      <w:tr w:rsidR="004A147C" w:rsidRPr="00B53FFB" w:rsidTr="00520A6A">
        <w:trPr>
          <w:trHeight w:val="300"/>
          <w:jc w:val="center"/>
        </w:trPr>
        <w:tc>
          <w:tcPr>
            <w:tcW w:w="0" w:type="auto"/>
            <w:tcBorders>
              <w:top w:val="nil"/>
              <w:left w:val="single" w:sz="4" w:space="0" w:color="auto"/>
              <w:bottom w:val="single" w:sz="4" w:space="0" w:color="auto"/>
              <w:right w:val="single" w:sz="4" w:space="0" w:color="auto"/>
            </w:tcBorders>
            <w:noWrap/>
            <w:vAlign w:val="bottom"/>
          </w:tcPr>
          <w:p w:rsidR="004A147C" w:rsidRPr="00B53FFB" w:rsidRDefault="004A147C" w:rsidP="00CE5850">
            <w:pPr>
              <w:rPr>
                <w:bCs/>
                <w:color w:val="000000"/>
                <w:szCs w:val="22"/>
              </w:rPr>
            </w:pPr>
            <w:r w:rsidRPr="00B53FFB">
              <w:rPr>
                <w:bCs/>
                <w:color w:val="000000"/>
                <w:szCs w:val="22"/>
              </w:rPr>
              <w:t>AT&amp;T</w:t>
            </w:r>
          </w:p>
        </w:tc>
        <w:tc>
          <w:tcPr>
            <w:tcW w:w="0" w:type="auto"/>
            <w:tcBorders>
              <w:top w:val="nil"/>
              <w:left w:val="nil"/>
              <w:bottom w:val="single" w:sz="4" w:space="0" w:color="auto"/>
              <w:right w:val="single" w:sz="4" w:space="0" w:color="auto"/>
            </w:tcBorders>
            <w:noWrap/>
            <w:vAlign w:val="bottom"/>
          </w:tcPr>
          <w:p w:rsidR="004A147C" w:rsidRPr="00B53FFB" w:rsidRDefault="004A147C" w:rsidP="00CE5850">
            <w:pPr>
              <w:jc w:val="right"/>
              <w:rPr>
                <w:szCs w:val="22"/>
              </w:rPr>
            </w:pPr>
            <w:r w:rsidRPr="00B53FFB">
              <w:rPr>
                <w:szCs w:val="22"/>
              </w:rPr>
              <w:t>28.9</w:t>
            </w:r>
          </w:p>
        </w:tc>
        <w:tc>
          <w:tcPr>
            <w:tcW w:w="0" w:type="auto"/>
            <w:tcBorders>
              <w:top w:val="nil"/>
              <w:left w:val="nil"/>
              <w:bottom w:val="single" w:sz="4" w:space="0" w:color="auto"/>
              <w:right w:val="single" w:sz="4" w:space="0" w:color="auto"/>
            </w:tcBorders>
            <w:noWrap/>
            <w:vAlign w:val="bottom"/>
          </w:tcPr>
          <w:p w:rsidR="004A147C" w:rsidRPr="00B53FFB" w:rsidRDefault="004A147C" w:rsidP="00CE5850">
            <w:pPr>
              <w:jc w:val="right"/>
              <w:rPr>
                <w:szCs w:val="22"/>
              </w:rPr>
            </w:pPr>
            <w:r w:rsidRPr="00B53FFB">
              <w:rPr>
                <w:szCs w:val="22"/>
              </w:rPr>
              <w:t>31.2</w:t>
            </w:r>
          </w:p>
        </w:tc>
        <w:tc>
          <w:tcPr>
            <w:tcW w:w="0" w:type="auto"/>
            <w:tcBorders>
              <w:top w:val="nil"/>
              <w:left w:val="nil"/>
              <w:bottom w:val="single" w:sz="4" w:space="0" w:color="auto"/>
              <w:right w:val="single" w:sz="4" w:space="0" w:color="auto"/>
            </w:tcBorders>
            <w:noWrap/>
            <w:vAlign w:val="bottom"/>
          </w:tcPr>
          <w:p w:rsidR="004A147C" w:rsidRPr="00B53FFB" w:rsidRDefault="004A147C" w:rsidP="00CE5850">
            <w:pPr>
              <w:jc w:val="right"/>
              <w:rPr>
                <w:szCs w:val="22"/>
              </w:rPr>
            </w:pPr>
            <w:r w:rsidRPr="00B53FFB">
              <w:rPr>
                <w:szCs w:val="22"/>
              </w:rPr>
              <w:t>32.4</w:t>
            </w:r>
          </w:p>
        </w:tc>
        <w:tc>
          <w:tcPr>
            <w:tcW w:w="0" w:type="auto"/>
            <w:tcBorders>
              <w:top w:val="nil"/>
              <w:left w:val="nil"/>
              <w:bottom w:val="single" w:sz="4" w:space="0" w:color="auto"/>
              <w:right w:val="single" w:sz="4" w:space="0" w:color="auto"/>
            </w:tcBorders>
            <w:noWrap/>
            <w:vAlign w:val="bottom"/>
          </w:tcPr>
          <w:p w:rsidR="004A147C" w:rsidRPr="00B53FFB" w:rsidRDefault="004A147C" w:rsidP="00CE5850">
            <w:pPr>
              <w:jc w:val="right"/>
              <w:rPr>
                <w:szCs w:val="22"/>
              </w:rPr>
            </w:pPr>
            <w:r w:rsidRPr="00B53FFB">
              <w:rPr>
                <w:szCs w:val="22"/>
              </w:rPr>
              <w:t>32.4</w:t>
            </w:r>
          </w:p>
        </w:tc>
        <w:tc>
          <w:tcPr>
            <w:tcW w:w="0" w:type="auto"/>
            <w:tcBorders>
              <w:top w:val="nil"/>
              <w:left w:val="nil"/>
              <w:bottom w:val="single" w:sz="4" w:space="0" w:color="auto"/>
              <w:right w:val="single" w:sz="4" w:space="0" w:color="auto"/>
            </w:tcBorders>
            <w:vAlign w:val="bottom"/>
          </w:tcPr>
          <w:p w:rsidR="004A147C" w:rsidRPr="00B53FFB" w:rsidRDefault="004A147C" w:rsidP="00CE5850">
            <w:pPr>
              <w:jc w:val="right"/>
              <w:rPr>
                <w:szCs w:val="22"/>
              </w:rPr>
            </w:pPr>
            <w:r>
              <w:rPr>
                <w:szCs w:val="22"/>
              </w:rPr>
              <w:t>32.3</w:t>
            </w:r>
          </w:p>
        </w:tc>
      </w:tr>
      <w:tr w:rsidR="004A147C" w:rsidRPr="00B53FFB" w:rsidTr="00520A6A">
        <w:trPr>
          <w:trHeight w:val="300"/>
          <w:jc w:val="center"/>
        </w:trPr>
        <w:tc>
          <w:tcPr>
            <w:tcW w:w="0" w:type="auto"/>
            <w:tcBorders>
              <w:top w:val="nil"/>
              <w:left w:val="single" w:sz="4" w:space="0" w:color="auto"/>
              <w:bottom w:val="single" w:sz="4" w:space="0" w:color="auto"/>
              <w:right w:val="single" w:sz="4" w:space="0" w:color="auto"/>
            </w:tcBorders>
            <w:noWrap/>
            <w:vAlign w:val="bottom"/>
          </w:tcPr>
          <w:p w:rsidR="004A147C" w:rsidRPr="00B53FFB" w:rsidRDefault="004A147C" w:rsidP="00CE5850">
            <w:pPr>
              <w:rPr>
                <w:bCs/>
                <w:color w:val="000000"/>
                <w:szCs w:val="22"/>
              </w:rPr>
            </w:pPr>
            <w:r w:rsidRPr="00B53FFB">
              <w:rPr>
                <w:bCs/>
                <w:color w:val="000000"/>
                <w:szCs w:val="22"/>
              </w:rPr>
              <w:t>Sprint Nextel</w:t>
            </w:r>
          </w:p>
        </w:tc>
        <w:tc>
          <w:tcPr>
            <w:tcW w:w="0" w:type="auto"/>
            <w:tcBorders>
              <w:top w:val="nil"/>
              <w:left w:val="nil"/>
              <w:bottom w:val="single" w:sz="4" w:space="0" w:color="auto"/>
              <w:right w:val="single" w:sz="4" w:space="0" w:color="auto"/>
            </w:tcBorders>
            <w:noWrap/>
            <w:vAlign w:val="bottom"/>
          </w:tcPr>
          <w:p w:rsidR="004A147C" w:rsidRPr="00B53FFB" w:rsidRDefault="004A147C" w:rsidP="00CE5850">
            <w:pPr>
              <w:jc w:val="right"/>
              <w:rPr>
                <w:szCs w:val="22"/>
              </w:rPr>
            </w:pPr>
            <w:r w:rsidRPr="00B53FFB">
              <w:rPr>
                <w:szCs w:val="22"/>
              </w:rPr>
              <w:t>18.6</w:t>
            </w:r>
          </w:p>
        </w:tc>
        <w:tc>
          <w:tcPr>
            <w:tcW w:w="0" w:type="auto"/>
            <w:tcBorders>
              <w:top w:val="nil"/>
              <w:left w:val="nil"/>
              <w:bottom w:val="single" w:sz="4" w:space="0" w:color="auto"/>
              <w:right w:val="single" w:sz="4" w:space="0" w:color="auto"/>
            </w:tcBorders>
            <w:noWrap/>
            <w:vAlign w:val="bottom"/>
          </w:tcPr>
          <w:p w:rsidR="004A147C" w:rsidRPr="00B53FFB" w:rsidRDefault="004A147C" w:rsidP="00CE5850">
            <w:pPr>
              <w:jc w:val="right"/>
              <w:rPr>
                <w:szCs w:val="22"/>
              </w:rPr>
            </w:pPr>
            <w:r w:rsidRPr="00B53FFB">
              <w:rPr>
                <w:szCs w:val="22"/>
              </w:rPr>
              <w:t>16.6</w:t>
            </w:r>
          </w:p>
        </w:tc>
        <w:tc>
          <w:tcPr>
            <w:tcW w:w="0" w:type="auto"/>
            <w:tcBorders>
              <w:top w:val="nil"/>
              <w:left w:val="nil"/>
              <w:bottom w:val="single" w:sz="4" w:space="0" w:color="auto"/>
              <w:right w:val="single" w:sz="4" w:space="0" w:color="auto"/>
            </w:tcBorders>
            <w:noWrap/>
            <w:vAlign w:val="bottom"/>
          </w:tcPr>
          <w:p w:rsidR="004A147C" w:rsidRPr="00B53FFB" w:rsidRDefault="004A147C" w:rsidP="00CE5850">
            <w:pPr>
              <w:jc w:val="right"/>
              <w:rPr>
                <w:szCs w:val="22"/>
              </w:rPr>
            </w:pPr>
            <w:r w:rsidRPr="00B53FFB">
              <w:rPr>
                <w:szCs w:val="22"/>
              </w:rPr>
              <w:t>15.7</w:t>
            </w:r>
          </w:p>
        </w:tc>
        <w:tc>
          <w:tcPr>
            <w:tcW w:w="0" w:type="auto"/>
            <w:tcBorders>
              <w:top w:val="nil"/>
              <w:left w:val="nil"/>
              <w:bottom w:val="single" w:sz="4" w:space="0" w:color="auto"/>
              <w:right w:val="single" w:sz="4" w:space="0" w:color="auto"/>
            </w:tcBorders>
            <w:noWrap/>
            <w:vAlign w:val="bottom"/>
          </w:tcPr>
          <w:p w:rsidR="004A147C" w:rsidRPr="00B53FFB" w:rsidRDefault="004A147C" w:rsidP="00CE5850">
            <w:pPr>
              <w:jc w:val="right"/>
              <w:rPr>
                <w:szCs w:val="22"/>
              </w:rPr>
            </w:pPr>
            <w:r w:rsidRPr="00B53FFB">
              <w:rPr>
                <w:szCs w:val="22"/>
              </w:rPr>
              <w:t>15.6</w:t>
            </w:r>
          </w:p>
        </w:tc>
        <w:tc>
          <w:tcPr>
            <w:tcW w:w="0" w:type="auto"/>
            <w:tcBorders>
              <w:top w:val="nil"/>
              <w:left w:val="nil"/>
              <w:bottom w:val="single" w:sz="4" w:space="0" w:color="auto"/>
              <w:right w:val="single" w:sz="4" w:space="0" w:color="auto"/>
            </w:tcBorders>
            <w:vAlign w:val="bottom"/>
          </w:tcPr>
          <w:p w:rsidR="004A147C" w:rsidRPr="00B53FFB" w:rsidRDefault="004A147C" w:rsidP="00CE5850">
            <w:pPr>
              <w:jc w:val="right"/>
              <w:rPr>
                <w:szCs w:val="22"/>
              </w:rPr>
            </w:pPr>
            <w:r>
              <w:rPr>
                <w:szCs w:val="22"/>
              </w:rPr>
              <w:t>15.8</w:t>
            </w:r>
          </w:p>
        </w:tc>
      </w:tr>
      <w:tr w:rsidR="004A147C" w:rsidRPr="00B53FFB" w:rsidTr="00520A6A">
        <w:trPr>
          <w:trHeight w:val="300"/>
          <w:jc w:val="center"/>
        </w:trPr>
        <w:tc>
          <w:tcPr>
            <w:tcW w:w="0" w:type="auto"/>
            <w:tcBorders>
              <w:top w:val="nil"/>
              <w:left w:val="single" w:sz="4" w:space="0" w:color="auto"/>
              <w:bottom w:val="single" w:sz="4" w:space="0" w:color="auto"/>
              <w:right w:val="single" w:sz="4" w:space="0" w:color="auto"/>
            </w:tcBorders>
            <w:noWrap/>
            <w:vAlign w:val="bottom"/>
          </w:tcPr>
          <w:p w:rsidR="004A147C" w:rsidRPr="00B53FFB" w:rsidRDefault="004A147C" w:rsidP="00CE5850">
            <w:pPr>
              <w:rPr>
                <w:bCs/>
                <w:color w:val="000000"/>
                <w:szCs w:val="22"/>
              </w:rPr>
            </w:pPr>
            <w:r w:rsidRPr="00B53FFB">
              <w:rPr>
                <w:bCs/>
                <w:color w:val="000000"/>
                <w:szCs w:val="22"/>
              </w:rPr>
              <w:t>T-Mobile</w:t>
            </w:r>
          </w:p>
        </w:tc>
        <w:tc>
          <w:tcPr>
            <w:tcW w:w="0" w:type="auto"/>
            <w:tcBorders>
              <w:top w:val="nil"/>
              <w:left w:val="nil"/>
              <w:bottom w:val="single" w:sz="4" w:space="0" w:color="auto"/>
              <w:right w:val="single" w:sz="4" w:space="0" w:color="auto"/>
            </w:tcBorders>
            <w:noWrap/>
            <w:vAlign w:val="bottom"/>
          </w:tcPr>
          <w:p w:rsidR="004A147C" w:rsidRPr="00B53FFB" w:rsidRDefault="004A147C" w:rsidP="00CE5850">
            <w:pPr>
              <w:jc w:val="right"/>
              <w:rPr>
                <w:szCs w:val="22"/>
              </w:rPr>
            </w:pPr>
            <w:r w:rsidRPr="00B53FFB">
              <w:rPr>
                <w:szCs w:val="22"/>
              </w:rPr>
              <w:t>12.6</w:t>
            </w:r>
          </w:p>
        </w:tc>
        <w:tc>
          <w:tcPr>
            <w:tcW w:w="0" w:type="auto"/>
            <w:tcBorders>
              <w:top w:val="nil"/>
              <w:left w:val="nil"/>
              <w:bottom w:val="single" w:sz="4" w:space="0" w:color="auto"/>
              <w:right w:val="single" w:sz="4" w:space="0" w:color="auto"/>
            </w:tcBorders>
            <w:noWrap/>
            <w:vAlign w:val="bottom"/>
          </w:tcPr>
          <w:p w:rsidR="004A147C" w:rsidRPr="00B53FFB" w:rsidRDefault="004A147C" w:rsidP="00CE5850">
            <w:pPr>
              <w:jc w:val="right"/>
              <w:rPr>
                <w:szCs w:val="22"/>
              </w:rPr>
            </w:pPr>
            <w:r w:rsidRPr="00B53FFB">
              <w:rPr>
                <w:szCs w:val="22"/>
              </w:rPr>
              <w:t>12.1</w:t>
            </w:r>
          </w:p>
        </w:tc>
        <w:tc>
          <w:tcPr>
            <w:tcW w:w="0" w:type="auto"/>
            <w:tcBorders>
              <w:top w:val="nil"/>
              <w:left w:val="nil"/>
              <w:bottom w:val="single" w:sz="4" w:space="0" w:color="auto"/>
              <w:right w:val="single" w:sz="4" w:space="0" w:color="auto"/>
            </w:tcBorders>
            <w:noWrap/>
            <w:vAlign w:val="bottom"/>
          </w:tcPr>
          <w:p w:rsidR="004A147C" w:rsidRPr="00B53FFB" w:rsidRDefault="004A147C" w:rsidP="00CE5850">
            <w:pPr>
              <w:jc w:val="right"/>
              <w:rPr>
                <w:szCs w:val="22"/>
              </w:rPr>
            </w:pPr>
            <w:r w:rsidRPr="00B53FFB">
              <w:rPr>
                <w:szCs w:val="22"/>
              </w:rPr>
              <w:t>11.3</w:t>
            </w:r>
          </w:p>
        </w:tc>
        <w:tc>
          <w:tcPr>
            <w:tcW w:w="0" w:type="auto"/>
            <w:tcBorders>
              <w:top w:val="nil"/>
              <w:left w:val="nil"/>
              <w:bottom w:val="single" w:sz="4" w:space="0" w:color="auto"/>
              <w:right w:val="single" w:sz="4" w:space="0" w:color="auto"/>
            </w:tcBorders>
            <w:noWrap/>
            <w:vAlign w:val="bottom"/>
          </w:tcPr>
          <w:p w:rsidR="004A147C" w:rsidRPr="00B53FFB" w:rsidRDefault="004A147C" w:rsidP="00CE5850">
            <w:pPr>
              <w:jc w:val="right"/>
              <w:rPr>
                <w:szCs w:val="22"/>
              </w:rPr>
            </w:pPr>
            <w:r w:rsidRPr="00B53FFB">
              <w:rPr>
                <w:szCs w:val="22"/>
              </w:rPr>
              <w:t>10.5</w:t>
            </w:r>
          </w:p>
        </w:tc>
        <w:tc>
          <w:tcPr>
            <w:tcW w:w="0" w:type="auto"/>
            <w:tcBorders>
              <w:top w:val="nil"/>
              <w:left w:val="nil"/>
              <w:bottom w:val="single" w:sz="4" w:space="0" w:color="auto"/>
              <w:right w:val="single" w:sz="4" w:space="0" w:color="auto"/>
            </w:tcBorders>
            <w:vAlign w:val="bottom"/>
          </w:tcPr>
          <w:p w:rsidR="004A147C" w:rsidRPr="00B53FFB" w:rsidRDefault="004A147C" w:rsidP="00CE5850">
            <w:pPr>
              <w:jc w:val="right"/>
              <w:rPr>
                <w:szCs w:val="22"/>
              </w:rPr>
            </w:pPr>
            <w:r>
              <w:rPr>
                <w:szCs w:val="22"/>
              </w:rPr>
              <w:t>9.7</w:t>
            </w:r>
          </w:p>
        </w:tc>
      </w:tr>
      <w:tr w:rsidR="004A147C" w:rsidRPr="00B53FFB" w:rsidTr="00520A6A">
        <w:trPr>
          <w:trHeight w:val="300"/>
          <w:jc w:val="center"/>
        </w:trPr>
        <w:tc>
          <w:tcPr>
            <w:tcW w:w="0" w:type="auto"/>
            <w:tcBorders>
              <w:top w:val="nil"/>
              <w:left w:val="single" w:sz="4" w:space="0" w:color="auto"/>
              <w:bottom w:val="single" w:sz="4" w:space="0" w:color="auto"/>
              <w:right w:val="single" w:sz="4" w:space="0" w:color="auto"/>
            </w:tcBorders>
            <w:noWrap/>
            <w:vAlign w:val="bottom"/>
          </w:tcPr>
          <w:p w:rsidR="004A147C" w:rsidRPr="00B53FFB" w:rsidRDefault="004A147C" w:rsidP="00CE5850">
            <w:pPr>
              <w:rPr>
                <w:bCs/>
                <w:color w:val="000000"/>
                <w:szCs w:val="22"/>
              </w:rPr>
            </w:pPr>
            <w:r w:rsidRPr="00B53FFB">
              <w:rPr>
                <w:bCs/>
                <w:color w:val="000000"/>
                <w:szCs w:val="22"/>
              </w:rPr>
              <w:t>MetroPCS</w:t>
            </w:r>
          </w:p>
        </w:tc>
        <w:tc>
          <w:tcPr>
            <w:tcW w:w="0" w:type="auto"/>
            <w:tcBorders>
              <w:top w:val="nil"/>
              <w:left w:val="nil"/>
              <w:bottom w:val="single" w:sz="4" w:space="0" w:color="auto"/>
              <w:right w:val="single" w:sz="4" w:space="0" w:color="auto"/>
            </w:tcBorders>
            <w:noWrap/>
            <w:vAlign w:val="bottom"/>
          </w:tcPr>
          <w:p w:rsidR="004A147C" w:rsidRPr="00B53FFB" w:rsidRDefault="004A147C" w:rsidP="00CE5850">
            <w:pPr>
              <w:jc w:val="right"/>
              <w:rPr>
                <w:szCs w:val="22"/>
              </w:rPr>
            </w:pPr>
            <w:r w:rsidRPr="00B53FFB">
              <w:rPr>
                <w:szCs w:val="22"/>
              </w:rPr>
              <w:t>1.6</w:t>
            </w:r>
          </w:p>
        </w:tc>
        <w:tc>
          <w:tcPr>
            <w:tcW w:w="0" w:type="auto"/>
            <w:tcBorders>
              <w:top w:val="nil"/>
              <w:left w:val="nil"/>
              <w:bottom w:val="single" w:sz="4" w:space="0" w:color="auto"/>
              <w:right w:val="single" w:sz="4" w:space="0" w:color="auto"/>
            </w:tcBorders>
            <w:noWrap/>
            <w:vAlign w:val="bottom"/>
          </w:tcPr>
          <w:p w:rsidR="004A147C" w:rsidRPr="00B53FFB" w:rsidRDefault="004A147C" w:rsidP="00CE5850">
            <w:pPr>
              <w:jc w:val="right"/>
              <w:rPr>
                <w:szCs w:val="22"/>
              </w:rPr>
            </w:pPr>
            <w:r w:rsidRPr="00B53FFB">
              <w:rPr>
                <w:szCs w:val="22"/>
              </w:rPr>
              <w:t>2.0</w:t>
            </w:r>
          </w:p>
        </w:tc>
        <w:tc>
          <w:tcPr>
            <w:tcW w:w="0" w:type="auto"/>
            <w:tcBorders>
              <w:top w:val="nil"/>
              <w:left w:val="nil"/>
              <w:bottom w:val="single" w:sz="4" w:space="0" w:color="auto"/>
              <w:right w:val="single" w:sz="4" w:space="0" w:color="auto"/>
            </w:tcBorders>
            <w:noWrap/>
            <w:vAlign w:val="bottom"/>
          </w:tcPr>
          <w:p w:rsidR="004A147C" w:rsidRPr="00B53FFB" w:rsidRDefault="004A147C" w:rsidP="00CE5850">
            <w:pPr>
              <w:jc w:val="right"/>
              <w:rPr>
                <w:szCs w:val="22"/>
              </w:rPr>
            </w:pPr>
            <w:r w:rsidRPr="00B53FFB">
              <w:rPr>
                <w:szCs w:val="22"/>
              </w:rPr>
              <w:t>2.2</w:t>
            </w:r>
          </w:p>
        </w:tc>
        <w:tc>
          <w:tcPr>
            <w:tcW w:w="0" w:type="auto"/>
            <w:tcBorders>
              <w:top w:val="nil"/>
              <w:left w:val="nil"/>
              <w:bottom w:val="single" w:sz="4" w:space="0" w:color="auto"/>
              <w:right w:val="single" w:sz="4" w:space="0" w:color="auto"/>
            </w:tcBorders>
            <w:noWrap/>
            <w:vAlign w:val="bottom"/>
          </w:tcPr>
          <w:p w:rsidR="004A147C" w:rsidRPr="00B53FFB" w:rsidRDefault="004A147C" w:rsidP="00CE5850">
            <w:pPr>
              <w:jc w:val="right"/>
              <w:rPr>
                <w:szCs w:val="22"/>
              </w:rPr>
            </w:pPr>
            <w:r w:rsidRPr="00B53FFB">
              <w:rPr>
                <w:szCs w:val="22"/>
              </w:rPr>
              <w:t>2.5</w:t>
            </w:r>
          </w:p>
        </w:tc>
        <w:tc>
          <w:tcPr>
            <w:tcW w:w="0" w:type="auto"/>
            <w:tcBorders>
              <w:top w:val="nil"/>
              <w:left w:val="nil"/>
              <w:bottom w:val="single" w:sz="4" w:space="0" w:color="auto"/>
              <w:right w:val="single" w:sz="4" w:space="0" w:color="auto"/>
            </w:tcBorders>
            <w:vAlign w:val="bottom"/>
          </w:tcPr>
          <w:p w:rsidR="004A147C" w:rsidRPr="00B53FFB" w:rsidRDefault="004A147C" w:rsidP="00CE5850">
            <w:pPr>
              <w:jc w:val="right"/>
              <w:rPr>
                <w:szCs w:val="22"/>
              </w:rPr>
            </w:pPr>
            <w:r>
              <w:rPr>
                <w:szCs w:val="22"/>
              </w:rPr>
              <w:t>2.6</w:t>
            </w:r>
          </w:p>
        </w:tc>
      </w:tr>
      <w:tr w:rsidR="004A147C" w:rsidRPr="00B53FFB" w:rsidTr="00520A6A">
        <w:trPr>
          <w:trHeight w:val="300"/>
          <w:jc w:val="center"/>
        </w:trPr>
        <w:tc>
          <w:tcPr>
            <w:tcW w:w="0" w:type="auto"/>
            <w:tcBorders>
              <w:top w:val="nil"/>
              <w:left w:val="single" w:sz="4" w:space="0" w:color="auto"/>
              <w:bottom w:val="single" w:sz="4" w:space="0" w:color="auto"/>
              <w:right w:val="single" w:sz="4" w:space="0" w:color="auto"/>
            </w:tcBorders>
            <w:noWrap/>
            <w:vAlign w:val="bottom"/>
          </w:tcPr>
          <w:p w:rsidR="004A147C" w:rsidRPr="00B53FFB" w:rsidRDefault="004A147C" w:rsidP="00CE5850">
            <w:pPr>
              <w:rPr>
                <w:bCs/>
                <w:color w:val="000000"/>
                <w:szCs w:val="22"/>
              </w:rPr>
            </w:pPr>
            <w:r w:rsidRPr="00B53FFB">
              <w:rPr>
                <w:bCs/>
                <w:color w:val="000000"/>
                <w:szCs w:val="22"/>
              </w:rPr>
              <w:t>US Cellular</w:t>
            </w:r>
          </w:p>
        </w:tc>
        <w:tc>
          <w:tcPr>
            <w:tcW w:w="0" w:type="auto"/>
            <w:tcBorders>
              <w:top w:val="nil"/>
              <w:left w:val="nil"/>
              <w:bottom w:val="single" w:sz="4" w:space="0" w:color="auto"/>
              <w:right w:val="single" w:sz="4" w:space="0" w:color="auto"/>
            </w:tcBorders>
            <w:noWrap/>
            <w:vAlign w:val="bottom"/>
          </w:tcPr>
          <w:p w:rsidR="004A147C" w:rsidRPr="00B53FFB" w:rsidRDefault="004A147C" w:rsidP="00CE5850">
            <w:pPr>
              <w:jc w:val="right"/>
              <w:rPr>
                <w:szCs w:val="22"/>
              </w:rPr>
            </w:pPr>
            <w:r w:rsidRPr="00B53FFB">
              <w:rPr>
                <w:szCs w:val="22"/>
              </w:rPr>
              <w:t>2.2</w:t>
            </w:r>
          </w:p>
        </w:tc>
        <w:tc>
          <w:tcPr>
            <w:tcW w:w="0" w:type="auto"/>
            <w:tcBorders>
              <w:top w:val="nil"/>
              <w:left w:val="nil"/>
              <w:bottom w:val="single" w:sz="4" w:space="0" w:color="auto"/>
              <w:right w:val="single" w:sz="4" w:space="0" w:color="auto"/>
            </w:tcBorders>
            <w:noWrap/>
            <w:vAlign w:val="bottom"/>
          </w:tcPr>
          <w:p w:rsidR="004A147C" w:rsidRPr="00B53FFB" w:rsidRDefault="004A147C" w:rsidP="00CE5850">
            <w:pPr>
              <w:jc w:val="right"/>
              <w:rPr>
                <w:szCs w:val="22"/>
              </w:rPr>
            </w:pPr>
            <w:r w:rsidRPr="00B53FFB">
              <w:rPr>
                <w:szCs w:val="22"/>
              </w:rPr>
              <w:t>2.2</w:t>
            </w:r>
          </w:p>
        </w:tc>
        <w:tc>
          <w:tcPr>
            <w:tcW w:w="0" w:type="auto"/>
            <w:tcBorders>
              <w:top w:val="nil"/>
              <w:left w:val="nil"/>
              <w:bottom w:val="single" w:sz="4" w:space="0" w:color="auto"/>
              <w:right w:val="single" w:sz="4" w:space="0" w:color="auto"/>
            </w:tcBorders>
            <w:noWrap/>
            <w:vAlign w:val="bottom"/>
          </w:tcPr>
          <w:p w:rsidR="004A147C" w:rsidRPr="00B53FFB" w:rsidRDefault="004A147C" w:rsidP="00CE5850">
            <w:pPr>
              <w:jc w:val="right"/>
              <w:rPr>
                <w:szCs w:val="22"/>
              </w:rPr>
            </w:pPr>
            <w:r w:rsidRPr="00B53FFB">
              <w:rPr>
                <w:szCs w:val="22"/>
              </w:rPr>
              <w:t>2.1</w:t>
            </w:r>
          </w:p>
        </w:tc>
        <w:tc>
          <w:tcPr>
            <w:tcW w:w="0" w:type="auto"/>
            <w:tcBorders>
              <w:top w:val="nil"/>
              <w:left w:val="nil"/>
              <w:bottom w:val="single" w:sz="4" w:space="0" w:color="auto"/>
              <w:right w:val="single" w:sz="4" w:space="0" w:color="auto"/>
            </w:tcBorders>
            <w:noWrap/>
            <w:vAlign w:val="bottom"/>
          </w:tcPr>
          <w:p w:rsidR="004A147C" w:rsidRPr="00B53FFB" w:rsidRDefault="004A147C" w:rsidP="00CE5850">
            <w:pPr>
              <w:jc w:val="right"/>
              <w:rPr>
                <w:szCs w:val="22"/>
              </w:rPr>
            </w:pPr>
            <w:r w:rsidRPr="00B53FFB">
              <w:rPr>
                <w:szCs w:val="22"/>
              </w:rPr>
              <w:t>2.2</w:t>
            </w:r>
          </w:p>
        </w:tc>
        <w:tc>
          <w:tcPr>
            <w:tcW w:w="0" w:type="auto"/>
            <w:tcBorders>
              <w:top w:val="nil"/>
              <w:left w:val="nil"/>
              <w:bottom w:val="single" w:sz="4" w:space="0" w:color="auto"/>
              <w:right w:val="single" w:sz="4" w:space="0" w:color="auto"/>
            </w:tcBorders>
            <w:vAlign w:val="bottom"/>
          </w:tcPr>
          <w:p w:rsidR="004A147C" w:rsidRPr="00B53FFB" w:rsidRDefault="004A147C" w:rsidP="00CE5850">
            <w:pPr>
              <w:jc w:val="right"/>
              <w:rPr>
                <w:szCs w:val="22"/>
              </w:rPr>
            </w:pPr>
            <w:r>
              <w:rPr>
                <w:szCs w:val="22"/>
              </w:rPr>
              <w:t>2.3</w:t>
            </w:r>
          </w:p>
        </w:tc>
      </w:tr>
      <w:tr w:rsidR="004A147C" w:rsidRPr="00B53FFB" w:rsidTr="00520A6A">
        <w:trPr>
          <w:trHeight w:val="300"/>
          <w:jc w:val="center"/>
        </w:trPr>
        <w:tc>
          <w:tcPr>
            <w:tcW w:w="0" w:type="auto"/>
            <w:tcBorders>
              <w:top w:val="nil"/>
              <w:left w:val="single" w:sz="4" w:space="0" w:color="auto"/>
              <w:bottom w:val="single" w:sz="4" w:space="0" w:color="auto"/>
              <w:right w:val="single" w:sz="4" w:space="0" w:color="auto"/>
            </w:tcBorders>
            <w:noWrap/>
            <w:vAlign w:val="bottom"/>
          </w:tcPr>
          <w:p w:rsidR="004A147C" w:rsidRPr="00B53FFB" w:rsidRDefault="004A147C" w:rsidP="00CE5850">
            <w:pPr>
              <w:rPr>
                <w:bCs/>
                <w:color w:val="000000"/>
                <w:szCs w:val="22"/>
              </w:rPr>
            </w:pPr>
            <w:r w:rsidRPr="00B53FFB">
              <w:rPr>
                <w:bCs/>
                <w:color w:val="000000"/>
                <w:szCs w:val="22"/>
              </w:rPr>
              <w:t>Leap Wireless</w:t>
            </w:r>
          </w:p>
        </w:tc>
        <w:tc>
          <w:tcPr>
            <w:tcW w:w="0" w:type="auto"/>
            <w:tcBorders>
              <w:top w:val="nil"/>
              <w:left w:val="nil"/>
              <w:bottom w:val="single" w:sz="4" w:space="0" w:color="auto"/>
              <w:right w:val="single" w:sz="4" w:space="0" w:color="auto"/>
            </w:tcBorders>
            <w:noWrap/>
            <w:vAlign w:val="bottom"/>
          </w:tcPr>
          <w:p w:rsidR="004A147C" w:rsidRPr="00B53FFB" w:rsidRDefault="004A147C" w:rsidP="00CE5850">
            <w:pPr>
              <w:jc w:val="right"/>
              <w:rPr>
                <w:szCs w:val="22"/>
              </w:rPr>
            </w:pPr>
            <w:r w:rsidRPr="00B53FFB">
              <w:rPr>
                <w:szCs w:val="22"/>
              </w:rPr>
              <w:t>1.2</w:t>
            </w:r>
          </w:p>
        </w:tc>
        <w:tc>
          <w:tcPr>
            <w:tcW w:w="0" w:type="auto"/>
            <w:tcBorders>
              <w:top w:val="nil"/>
              <w:left w:val="nil"/>
              <w:bottom w:val="single" w:sz="4" w:space="0" w:color="auto"/>
              <w:right w:val="single" w:sz="4" w:space="0" w:color="auto"/>
            </w:tcBorders>
            <w:noWrap/>
            <w:vAlign w:val="bottom"/>
          </w:tcPr>
          <w:p w:rsidR="004A147C" w:rsidRPr="00B53FFB" w:rsidRDefault="004A147C" w:rsidP="00CE5850">
            <w:pPr>
              <w:jc w:val="right"/>
              <w:rPr>
                <w:szCs w:val="22"/>
              </w:rPr>
            </w:pPr>
            <w:r w:rsidRPr="00B53FFB">
              <w:rPr>
                <w:szCs w:val="22"/>
              </w:rPr>
              <w:t>1.4</w:t>
            </w:r>
          </w:p>
        </w:tc>
        <w:tc>
          <w:tcPr>
            <w:tcW w:w="0" w:type="auto"/>
            <w:tcBorders>
              <w:top w:val="nil"/>
              <w:left w:val="nil"/>
              <w:bottom w:val="single" w:sz="4" w:space="0" w:color="auto"/>
              <w:right w:val="single" w:sz="4" w:space="0" w:color="auto"/>
            </w:tcBorders>
            <w:noWrap/>
            <w:vAlign w:val="bottom"/>
          </w:tcPr>
          <w:p w:rsidR="004A147C" w:rsidRPr="00B53FFB" w:rsidRDefault="004A147C" w:rsidP="00CE5850">
            <w:pPr>
              <w:jc w:val="right"/>
              <w:rPr>
                <w:szCs w:val="22"/>
              </w:rPr>
            </w:pPr>
            <w:r w:rsidRPr="00B53FFB">
              <w:rPr>
                <w:szCs w:val="22"/>
              </w:rPr>
              <w:t>1.5</w:t>
            </w:r>
          </w:p>
        </w:tc>
        <w:tc>
          <w:tcPr>
            <w:tcW w:w="0" w:type="auto"/>
            <w:tcBorders>
              <w:top w:val="nil"/>
              <w:left w:val="nil"/>
              <w:bottom w:val="single" w:sz="4" w:space="0" w:color="auto"/>
              <w:right w:val="single" w:sz="4" w:space="0" w:color="auto"/>
            </w:tcBorders>
            <w:noWrap/>
            <w:vAlign w:val="bottom"/>
          </w:tcPr>
          <w:p w:rsidR="004A147C" w:rsidRPr="00B53FFB" w:rsidRDefault="004A147C" w:rsidP="00CE5850">
            <w:pPr>
              <w:jc w:val="right"/>
              <w:rPr>
                <w:szCs w:val="22"/>
              </w:rPr>
            </w:pPr>
            <w:r w:rsidRPr="00B53FFB">
              <w:rPr>
                <w:szCs w:val="22"/>
              </w:rPr>
              <w:t>1.6</w:t>
            </w:r>
          </w:p>
        </w:tc>
        <w:tc>
          <w:tcPr>
            <w:tcW w:w="0" w:type="auto"/>
            <w:tcBorders>
              <w:top w:val="nil"/>
              <w:left w:val="nil"/>
              <w:bottom w:val="single" w:sz="4" w:space="0" w:color="auto"/>
              <w:right w:val="single" w:sz="4" w:space="0" w:color="auto"/>
            </w:tcBorders>
            <w:vAlign w:val="bottom"/>
          </w:tcPr>
          <w:p w:rsidR="004A147C" w:rsidRPr="00B53FFB" w:rsidRDefault="004A147C" w:rsidP="00CE5850">
            <w:pPr>
              <w:jc w:val="right"/>
              <w:rPr>
                <w:szCs w:val="22"/>
              </w:rPr>
            </w:pPr>
            <w:r>
              <w:rPr>
                <w:szCs w:val="22"/>
              </w:rPr>
              <w:t>1.7</w:t>
            </w:r>
          </w:p>
        </w:tc>
      </w:tr>
      <w:tr w:rsidR="004A147C" w:rsidRPr="00B53FFB" w:rsidTr="00520A6A">
        <w:trPr>
          <w:trHeight w:val="300"/>
          <w:jc w:val="center"/>
        </w:trPr>
        <w:tc>
          <w:tcPr>
            <w:tcW w:w="0" w:type="auto"/>
            <w:tcBorders>
              <w:top w:val="nil"/>
              <w:left w:val="single" w:sz="4" w:space="0" w:color="auto"/>
              <w:bottom w:val="single" w:sz="4" w:space="0" w:color="auto"/>
              <w:right w:val="single" w:sz="4" w:space="0" w:color="auto"/>
            </w:tcBorders>
            <w:noWrap/>
            <w:vAlign w:val="bottom"/>
          </w:tcPr>
          <w:p w:rsidR="004A147C" w:rsidRPr="00B53FFB" w:rsidRDefault="004A147C" w:rsidP="00CE5850">
            <w:pPr>
              <w:rPr>
                <w:bCs/>
                <w:color w:val="000000"/>
                <w:szCs w:val="22"/>
              </w:rPr>
            </w:pPr>
            <w:r w:rsidRPr="00B53FFB">
              <w:rPr>
                <w:bCs/>
                <w:color w:val="000000"/>
                <w:szCs w:val="22"/>
              </w:rPr>
              <w:t>Other</w:t>
            </w:r>
          </w:p>
        </w:tc>
        <w:tc>
          <w:tcPr>
            <w:tcW w:w="0" w:type="auto"/>
            <w:tcBorders>
              <w:top w:val="nil"/>
              <w:left w:val="nil"/>
              <w:bottom w:val="single" w:sz="4" w:space="0" w:color="auto"/>
              <w:right w:val="single" w:sz="4" w:space="0" w:color="auto"/>
            </w:tcBorders>
            <w:noWrap/>
            <w:vAlign w:val="bottom"/>
          </w:tcPr>
          <w:p w:rsidR="004A147C" w:rsidRPr="00B53FFB" w:rsidRDefault="004A147C" w:rsidP="00CE5850">
            <w:pPr>
              <w:jc w:val="right"/>
              <w:rPr>
                <w:szCs w:val="22"/>
              </w:rPr>
            </w:pPr>
            <w:r w:rsidRPr="00B53FFB">
              <w:rPr>
                <w:szCs w:val="22"/>
              </w:rPr>
              <w:t>7.2</w:t>
            </w:r>
          </w:p>
        </w:tc>
        <w:tc>
          <w:tcPr>
            <w:tcW w:w="0" w:type="auto"/>
            <w:tcBorders>
              <w:top w:val="nil"/>
              <w:left w:val="nil"/>
              <w:bottom w:val="single" w:sz="4" w:space="0" w:color="auto"/>
              <w:right w:val="single" w:sz="4" w:space="0" w:color="auto"/>
            </w:tcBorders>
            <w:noWrap/>
            <w:vAlign w:val="bottom"/>
          </w:tcPr>
          <w:p w:rsidR="004A147C" w:rsidRPr="00B53FFB" w:rsidRDefault="004A147C" w:rsidP="00CE5850">
            <w:pPr>
              <w:jc w:val="right"/>
              <w:rPr>
                <w:szCs w:val="22"/>
              </w:rPr>
            </w:pPr>
            <w:r w:rsidRPr="00B53FFB">
              <w:rPr>
                <w:szCs w:val="22"/>
              </w:rPr>
              <w:t>1.1</w:t>
            </w:r>
          </w:p>
        </w:tc>
        <w:tc>
          <w:tcPr>
            <w:tcW w:w="0" w:type="auto"/>
            <w:tcBorders>
              <w:top w:val="nil"/>
              <w:left w:val="nil"/>
              <w:bottom w:val="single" w:sz="4" w:space="0" w:color="auto"/>
              <w:right w:val="single" w:sz="4" w:space="0" w:color="auto"/>
            </w:tcBorders>
            <w:noWrap/>
            <w:vAlign w:val="bottom"/>
          </w:tcPr>
          <w:p w:rsidR="004A147C" w:rsidRPr="00B53FFB" w:rsidRDefault="004A147C" w:rsidP="00CE5850">
            <w:pPr>
              <w:jc w:val="right"/>
              <w:rPr>
                <w:szCs w:val="22"/>
              </w:rPr>
            </w:pPr>
            <w:r w:rsidRPr="00B53FFB">
              <w:rPr>
                <w:szCs w:val="22"/>
              </w:rPr>
              <w:t>1.0</w:t>
            </w:r>
          </w:p>
        </w:tc>
        <w:tc>
          <w:tcPr>
            <w:tcW w:w="0" w:type="auto"/>
            <w:tcBorders>
              <w:top w:val="nil"/>
              <w:left w:val="nil"/>
              <w:bottom w:val="single" w:sz="4" w:space="0" w:color="auto"/>
              <w:right w:val="single" w:sz="4" w:space="0" w:color="auto"/>
            </w:tcBorders>
            <w:noWrap/>
            <w:vAlign w:val="bottom"/>
          </w:tcPr>
          <w:p w:rsidR="004A147C" w:rsidRPr="00B53FFB" w:rsidRDefault="004A147C" w:rsidP="00CE5850">
            <w:pPr>
              <w:jc w:val="right"/>
              <w:rPr>
                <w:szCs w:val="22"/>
              </w:rPr>
            </w:pPr>
            <w:r w:rsidRPr="00B53FFB">
              <w:rPr>
                <w:szCs w:val="22"/>
              </w:rPr>
              <w:t>1.4</w:t>
            </w:r>
          </w:p>
        </w:tc>
        <w:tc>
          <w:tcPr>
            <w:tcW w:w="0" w:type="auto"/>
            <w:tcBorders>
              <w:top w:val="nil"/>
              <w:left w:val="nil"/>
              <w:bottom w:val="single" w:sz="4" w:space="0" w:color="auto"/>
              <w:right w:val="single" w:sz="4" w:space="0" w:color="auto"/>
            </w:tcBorders>
            <w:vAlign w:val="bottom"/>
          </w:tcPr>
          <w:p w:rsidR="004A147C" w:rsidRPr="00B53FFB" w:rsidRDefault="004A147C" w:rsidP="00CE5850">
            <w:pPr>
              <w:jc w:val="right"/>
              <w:rPr>
                <w:szCs w:val="22"/>
              </w:rPr>
            </w:pPr>
            <w:r>
              <w:rPr>
                <w:szCs w:val="22"/>
              </w:rPr>
              <w:t>1.4</w:t>
            </w:r>
          </w:p>
        </w:tc>
      </w:tr>
    </w:tbl>
    <w:p w:rsidR="004A147C" w:rsidRDefault="004A147C" w:rsidP="00CE5850">
      <w:pPr>
        <w:pStyle w:val="ParaNum"/>
        <w:tabs>
          <w:tab w:val="clear" w:pos="1440"/>
        </w:tabs>
        <w:ind w:firstLine="0"/>
        <w:rPr>
          <w:sz w:val="22"/>
          <w:szCs w:val="22"/>
        </w:rPr>
      </w:pPr>
    </w:p>
    <w:p w:rsidR="00BD4B26" w:rsidRDefault="00BD4B26" w:rsidP="00CE5850">
      <w:pPr>
        <w:pStyle w:val="ParaNum"/>
        <w:tabs>
          <w:tab w:val="clear" w:pos="1440"/>
        </w:tabs>
        <w:ind w:firstLine="0"/>
        <w:rPr>
          <w:sz w:val="22"/>
          <w:szCs w:val="22"/>
        </w:rPr>
      </w:pPr>
    </w:p>
    <w:p w:rsidR="00BD4B26" w:rsidRDefault="00BD4B26" w:rsidP="00CE5850">
      <w:pPr>
        <w:pStyle w:val="ParaNum"/>
        <w:tabs>
          <w:tab w:val="clear" w:pos="1440"/>
        </w:tabs>
        <w:ind w:firstLine="0"/>
        <w:rPr>
          <w:sz w:val="22"/>
          <w:szCs w:val="22"/>
        </w:rPr>
      </w:pPr>
    </w:p>
    <w:p w:rsidR="004A147C" w:rsidRPr="00B53FFB" w:rsidRDefault="004A147C" w:rsidP="00CE5850">
      <w:pPr>
        <w:pStyle w:val="ParaNum"/>
        <w:numPr>
          <w:ilvl w:val="0"/>
          <w:numId w:val="28"/>
        </w:numPr>
        <w:rPr>
          <w:sz w:val="22"/>
          <w:szCs w:val="22"/>
        </w:rPr>
      </w:pPr>
      <w:r>
        <w:rPr>
          <w:sz w:val="22"/>
          <w:szCs w:val="22"/>
        </w:rPr>
        <w:t xml:space="preserve">Reported </w:t>
      </w:r>
      <w:r w:rsidRPr="00FE1B51">
        <w:rPr>
          <w:sz w:val="22"/>
          <w:szCs w:val="22"/>
        </w:rPr>
        <w:t>total co</w:t>
      </w:r>
      <w:r>
        <w:rPr>
          <w:sz w:val="22"/>
          <w:szCs w:val="22"/>
        </w:rPr>
        <w:t>nnections for the top service pr</w:t>
      </w:r>
      <w:r w:rsidRPr="00FE1B51">
        <w:rPr>
          <w:sz w:val="22"/>
          <w:szCs w:val="22"/>
        </w:rPr>
        <w:t xml:space="preserve">oviders are shown in </w:t>
      </w:r>
      <w:r w:rsidR="00951E9B">
        <w:fldChar w:fldCharType="begin"/>
      </w:r>
      <w:r w:rsidR="00951E9B">
        <w:instrText xml:space="preserve"> REF _Ref277066000  \* MERGEFORMAT </w:instrText>
      </w:r>
      <w:r w:rsidR="00951E9B">
        <w:fldChar w:fldCharType="separate"/>
      </w:r>
      <w:r w:rsidR="00CA3AC6" w:rsidRPr="00B53FFB">
        <w:rPr>
          <w:sz w:val="22"/>
          <w:szCs w:val="22"/>
        </w:rPr>
        <w:t xml:space="preserve">Table </w:t>
      </w:r>
      <w:r w:rsidR="00CA3AC6">
        <w:rPr>
          <w:sz w:val="22"/>
          <w:szCs w:val="22"/>
        </w:rPr>
        <w:t>13</w:t>
      </w:r>
      <w:r w:rsidR="00951E9B">
        <w:rPr>
          <w:sz w:val="22"/>
          <w:szCs w:val="22"/>
        </w:rPr>
        <w:fldChar w:fldCharType="end"/>
      </w:r>
      <w:r w:rsidRPr="00FE1B51">
        <w:rPr>
          <w:sz w:val="22"/>
          <w:szCs w:val="22"/>
        </w:rPr>
        <w:t>.</w:t>
      </w:r>
      <w:r w:rsidRPr="00FE1B51">
        <w:rPr>
          <w:sz w:val="22"/>
          <w:szCs w:val="22"/>
          <w:vertAlign w:val="superscript"/>
        </w:rPr>
        <w:footnoteReference w:id="164"/>
      </w:r>
      <w:r w:rsidRPr="00FE1B51">
        <w:rPr>
          <w:sz w:val="22"/>
          <w:szCs w:val="22"/>
        </w:rPr>
        <w:t xml:space="preserve">  Service providers do not follow the same reporting conventions for their connections.  Some providers, such as AT&amp;T, Sprint, and T-Mobile, reported all the connections served by their networks, including retail and wholesale connections, and connected devices.  Verizon Wireless, which recently revised its reported connections for 2009, 2010, and 2011, now includes only its retail connections.</w:t>
      </w:r>
      <w:r w:rsidRPr="00FE1B51">
        <w:rPr>
          <w:sz w:val="22"/>
          <w:szCs w:val="22"/>
          <w:vertAlign w:val="superscript"/>
        </w:rPr>
        <w:footnoteReference w:id="165"/>
      </w:r>
      <w:r w:rsidRPr="00FE1B51">
        <w:rPr>
          <w:sz w:val="22"/>
          <w:szCs w:val="22"/>
        </w:rPr>
        <w:t xml:space="preserve">  Industry analysts often calculate market shares by reported total connections,</w:t>
      </w:r>
      <w:r w:rsidRPr="00FE1B51">
        <w:rPr>
          <w:sz w:val="22"/>
          <w:szCs w:val="22"/>
          <w:vertAlign w:val="superscript"/>
        </w:rPr>
        <w:footnoteReference w:id="166"/>
      </w:r>
      <w:r w:rsidRPr="00FE1B51">
        <w:rPr>
          <w:sz w:val="22"/>
          <w:szCs w:val="22"/>
        </w:rPr>
        <w:t xml:space="preserve"> a method which attributes all industry connections to facilities-based providers.  However, if Verizon does not report all of its connections then its market share would be underestimated with this method.   </w:t>
      </w:r>
    </w:p>
    <w:p w:rsidR="004A147C" w:rsidRPr="00B53FFB" w:rsidRDefault="004A147C" w:rsidP="00CE5850">
      <w:pPr>
        <w:pStyle w:val="Caption"/>
        <w:widowControl w:val="0"/>
        <w:spacing w:after="0"/>
        <w:jc w:val="center"/>
        <w:rPr>
          <w:b w:val="0"/>
          <w:sz w:val="22"/>
          <w:szCs w:val="22"/>
        </w:rPr>
      </w:pPr>
      <w:bookmarkStart w:id="1107" w:name="_Ref277066000"/>
      <w:r w:rsidRPr="00B53FFB">
        <w:rPr>
          <w:sz w:val="22"/>
          <w:szCs w:val="22"/>
        </w:rPr>
        <w:t xml:space="preserve">Table </w:t>
      </w:r>
      <w:r w:rsidR="0007014B" w:rsidRPr="00B53FFB">
        <w:rPr>
          <w:sz w:val="22"/>
          <w:szCs w:val="22"/>
        </w:rPr>
        <w:fldChar w:fldCharType="begin"/>
      </w:r>
      <w:r w:rsidRPr="00B53FFB">
        <w:rPr>
          <w:sz w:val="22"/>
          <w:szCs w:val="22"/>
        </w:rPr>
        <w:instrText xml:space="preserve"> SEQ Table \* ARABIC </w:instrText>
      </w:r>
      <w:r w:rsidR="0007014B" w:rsidRPr="00B53FFB">
        <w:rPr>
          <w:sz w:val="22"/>
          <w:szCs w:val="22"/>
        </w:rPr>
        <w:fldChar w:fldCharType="separate"/>
      </w:r>
      <w:r w:rsidR="00CA3AC6">
        <w:rPr>
          <w:noProof/>
          <w:sz w:val="22"/>
          <w:szCs w:val="22"/>
        </w:rPr>
        <w:t>13</w:t>
      </w:r>
      <w:r w:rsidR="0007014B" w:rsidRPr="00B53FFB">
        <w:rPr>
          <w:sz w:val="22"/>
          <w:szCs w:val="22"/>
        </w:rPr>
        <w:fldChar w:fldCharType="end"/>
      </w:r>
      <w:bookmarkStart w:id="1108" w:name="_Ref277065974"/>
      <w:bookmarkEnd w:id="1107"/>
    </w:p>
    <w:p w:rsidR="004A147C" w:rsidRDefault="004A147C" w:rsidP="00CE5850">
      <w:pPr>
        <w:pStyle w:val="Caption"/>
        <w:widowControl w:val="0"/>
        <w:spacing w:before="0"/>
        <w:jc w:val="center"/>
        <w:rPr>
          <w:b w:val="0"/>
          <w:bCs w:val="0"/>
          <w:sz w:val="22"/>
          <w:szCs w:val="22"/>
        </w:rPr>
      </w:pPr>
      <w:r>
        <w:rPr>
          <w:sz w:val="22"/>
          <w:szCs w:val="22"/>
        </w:rPr>
        <w:t>Top-12 Facilities–Based Mobile Wireless Service Providers Reported Connections, Year-end 2008-2012 Q2 (In thousands)</w:t>
      </w:r>
      <w:r w:rsidRPr="005C70A5">
        <w:rPr>
          <w:rStyle w:val="FootnoteReference"/>
          <w:bCs w:val="0"/>
          <w:szCs w:val="22"/>
        </w:rPr>
        <w:t xml:space="preserve"> </w:t>
      </w:r>
      <w:r w:rsidRPr="00B53FFB">
        <w:rPr>
          <w:rStyle w:val="FootnoteReference"/>
          <w:bCs w:val="0"/>
          <w:szCs w:val="22"/>
        </w:rPr>
        <w:footnoteReference w:id="167"/>
      </w:r>
    </w:p>
    <w:tbl>
      <w:tblPr>
        <w:tblW w:w="0" w:type="auto"/>
        <w:jc w:val="center"/>
        <w:tblCellMar>
          <w:left w:w="0" w:type="dxa"/>
          <w:right w:w="0" w:type="dxa"/>
        </w:tblCellMar>
        <w:tblLook w:val="00A0" w:firstRow="1" w:lastRow="0" w:firstColumn="1" w:lastColumn="0" w:noHBand="0" w:noVBand="0"/>
      </w:tblPr>
      <w:tblGrid>
        <w:gridCol w:w="2507"/>
        <w:gridCol w:w="1066"/>
        <w:gridCol w:w="1161"/>
        <w:gridCol w:w="1130"/>
        <w:gridCol w:w="1130"/>
        <w:gridCol w:w="1130"/>
      </w:tblGrid>
      <w:tr w:rsidR="004A147C" w:rsidTr="005C70A5">
        <w:trPr>
          <w:trHeight w:val="260"/>
          <w:jc w:val="center"/>
        </w:trPr>
        <w:tc>
          <w:tcPr>
            <w:tcW w:w="2507"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tcPr>
          <w:p w:rsidR="004A147C" w:rsidRDefault="004A147C" w:rsidP="00CE5850">
            <w:pPr>
              <w:rPr>
                <w:b/>
                <w:bCs/>
              </w:rPr>
            </w:pPr>
            <w:r>
              <w:rPr>
                <w:b/>
                <w:bCs/>
              </w:rPr>
              <w:t>Service Provider</w:t>
            </w:r>
          </w:p>
        </w:tc>
        <w:tc>
          <w:tcPr>
            <w:tcW w:w="1066" w:type="dxa"/>
            <w:tcBorders>
              <w:top w:val="single" w:sz="8" w:space="0" w:color="auto"/>
              <w:left w:val="nil"/>
              <w:bottom w:val="single" w:sz="8" w:space="0" w:color="auto"/>
              <w:right w:val="single" w:sz="8" w:space="0" w:color="auto"/>
            </w:tcBorders>
            <w:tcMar>
              <w:top w:w="0" w:type="dxa"/>
              <w:left w:w="108" w:type="dxa"/>
              <w:bottom w:w="0" w:type="dxa"/>
              <w:right w:w="108" w:type="dxa"/>
            </w:tcMar>
          </w:tcPr>
          <w:p w:rsidR="004A147C" w:rsidRDefault="004A147C" w:rsidP="00CE5850">
            <w:pPr>
              <w:rPr>
                <w:b/>
                <w:bCs/>
              </w:rPr>
            </w:pPr>
            <w:r>
              <w:rPr>
                <w:b/>
                <w:bCs/>
              </w:rPr>
              <w:t>2008</w:t>
            </w:r>
          </w:p>
        </w:tc>
        <w:tc>
          <w:tcPr>
            <w:tcW w:w="1161" w:type="dxa"/>
            <w:tcBorders>
              <w:top w:val="single" w:sz="8" w:space="0" w:color="auto"/>
              <w:left w:val="nil"/>
              <w:bottom w:val="single" w:sz="8" w:space="0" w:color="auto"/>
              <w:right w:val="single" w:sz="8" w:space="0" w:color="auto"/>
            </w:tcBorders>
            <w:tcMar>
              <w:top w:w="0" w:type="dxa"/>
              <w:left w:w="108" w:type="dxa"/>
              <w:bottom w:w="0" w:type="dxa"/>
              <w:right w:w="108" w:type="dxa"/>
            </w:tcMar>
          </w:tcPr>
          <w:p w:rsidR="004A147C" w:rsidRDefault="004A147C" w:rsidP="00CE5850">
            <w:pPr>
              <w:rPr>
                <w:b/>
                <w:bCs/>
              </w:rPr>
            </w:pPr>
            <w:r>
              <w:rPr>
                <w:b/>
                <w:bCs/>
              </w:rPr>
              <w:t>2009</w:t>
            </w:r>
          </w:p>
        </w:tc>
        <w:tc>
          <w:tcPr>
            <w:tcW w:w="1130" w:type="dxa"/>
            <w:tcBorders>
              <w:top w:val="single" w:sz="8" w:space="0" w:color="auto"/>
              <w:left w:val="nil"/>
              <w:bottom w:val="single" w:sz="8" w:space="0" w:color="auto"/>
              <w:right w:val="single" w:sz="8" w:space="0" w:color="auto"/>
            </w:tcBorders>
            <w:tcMar>
              <w:top w:w="0" w:type="dxa"/>
              <w:left w:w="108" w:type="dxa"/>
              <w:bottom w:w="0" w:type="dxa"/>
              <w:right w:w="108" w:type="dxa"/>
            </w:tcMar>
          </w:tcPr>
          <w:p w:rsidR="004A147C" w:rsidRDefault="004A147C" w:rsidP="00CE5850">
            <w:pPr>
              <w:rPr>
                <w:b/>
                <w:bCs/>
              </w:rPr>
            </w:pPr>
            <w:r>
              <w:rPr>
                <w:b/>
                <w:bCs/>
              </w:rPr>
              <w:t>2010</w:t>
            </w:r>
          </w:p>
        </w:tc>
        <w:tc>
          <w:tcPr>
            <w:tcW w:w="1130" w:type="dxa"/>
            <w:tcBorders>
              <w:top w:val="single" w:sz="8" w:space="0" w:color="auto"/>
              <w:left w:val="nil"/>
              <w:bottom w:val="single" w:sz="8" w:space="0" w:color="auto"/>
              <w:right w:val="single" w:sz="8" w:space="0" w:color="auto"/>
            </w:tcBorders>
            <w:tcMar>
              <w:top w:w="0" w:type="dxa"/>
              <w:left w:w="108" w:type="dxa"/>
              <w:bottom w:w="0" w:type="dxa"/>
              <w:right w:w="108" w:type="dxa"/>
            </w:tcMar>
          </w:tcPr>
          <w:p w:rsidR="004A147C" w:rsidRDefault="004A147C" w:rsidP="00CE5850">
            <w:pPr>
              <w:rPr>
                <w:b/>
                <w:bCs/>
              </w:rPr>
            </w:pPr>
            <w:r>
              <w:rPr>
                <w:b/>
                <w:bCs/>
              </w:rPr>
              <w:t>2011</w:t>
            </w:r>
          </w:p>
        </w:tc>
        <w:tc>
          <w:tcPr>
            <w:tcW w:w="1130" w:type="dxa"/>
            <w:tcBorders>
              <w:top w:val="single" w:sz="8" w:space="0" w:color="auto"/>
              <w:left w:val="nil"/>
              <w:bottom w:val="single" w:sz="8" w:space="0" w:color="auto"/>
              <w:right w:val="single" w:sz="8" w:space="0" w:color="auto"/>
            </w:tcBorders>
            <w:tcMar>
              <w:top w:w="0" w:type="dxa"/>
              <w:left w:w="108" w:type="dxa"/>
              <w:bottom w:w="0" w:type="dxa"/>
              <w:right w:w="108" w:type="dxa"/>
            </w:tcMar>
          </w:tcPr>
          <w:p w:rsidR="004A147C" w:rsidRDefault="004A147C" w:rsidP="00CE5850">
            <w:pPr>
              <w:rPr>
                <w:b/>
                <w:bCs/>
              </w:rPr>
            </w:pPr>
            <w:r>
              <w:rPr>
                <w:b/>
                <w:bCs/>
              </w:rPr>
              <w:t>2012 Q2</w:t>
            </w:r>
          </w:p>
        </w:tc>
      </w:tr>
      <w:tr w:rsidR="004A147C" w:rsidTr="005C70A5">
        <w:trPr>
          <w:trHeight w:val="260"/>
          <w:jc w:val="center"/>
        </w:trPr>
        <w:tc>
          <w:tcPr>
            <w:tcW w:w="2507" w:type="dxa"/>
            <w:tcBorders>
              <w:top w:val="nil"/>
              <w:left w:val="single" w:sz="8" w:space="0" w:color="auto"/>
              <w:bottom w:val="single" w:sz="8" w:space="0" w:color="auto"/>
              <w:right w:val="single" w:sz="8" w:space="0" w:color="auto"/>
            </w:tcBorders>
            <w:tcMar>
              <w:top w:w="0" w:type="dxa"/>
              <w:left w:w="108" w:type="dxa"/>
              <w:bottom w:w="0" w:type="dxa"/>
              <w:right w:w="108" w:type="dxa"/>
            </w:tcMar>
            <w:vAlign w:val="bottom"/>
          </w:tcPr>
          <w:p w:rsidR="004A147C" w:rsidRDefault="004A147C" w:rsidP="00CE5850">
            <w:r>
              <w:t>AT&amp;T</w:t>
            </w:r>
          </w:p>
        </w:tc>
        <w:tc>
          <w:tcPr>
            <w:tcW w:w="1066" w:type="dxa"/>
            <w:tcBorders>
              <w:top w:val="nil"/>
              <w:left w:val="nil"/>
              <w:bottom w:val="single" w:sz="8" w:space="0" w:color="auto"/>
              <w:right w:val="single" w:sz="8" w:space="0" w:color="auto"/>
            </w:tcBorders>
            <w:tcMar>
              <w:top w:w="0" w:type="dxa"/>
              <w:left w:w="108" w:type="dxa"/>
              <w:bottom w:w="0" w:type="dxa"/>
              <w:right w:w="108" w:type="dxa"/>
            </w:tcMar>
            <w:vAlign w:val="bottom"/>
          </w:tcPr>
          <w:p w:rsidR="004A147C" w:rsidRDefault="004A147C" w:rsidP="00CE5850">
            <w:pPr>
              <w:jc w:val="right"/>
            </w:pPr>
            <w:r>
              <w:t>77,009</w:t>
            </w:r>
          </w:p>
        </w:tc>
        <w:tc>
          <w:tcPr>
            <w:tcW w:w="1161" w:type="dxa"/>
            <w:tcBorders>
              <w:top w:val="nil"/>
              <w:left w:val="nil"/>
              <w:bottom w:val="single" w:sz="8" w:space="0" w:color="auto"/>
              <w:right w:val="single" w:sz="8" w:space="0" w:color="auto"/>
            </w:tcBorders>
            <w:tcMar>
              <w:top w:w="0" w:type="dxa"/>
              <w:left w:w="108" w:type="dxa"/>
              <w:bottom w:w="0" w:type="dxa"/>
              <w:right w:w="108" w:type="dxa"/>
            </w:tcMar>
            <w:vAlign w:val="bottom"/>
          </w:tcPr>
          <w:p w:rsidR="004A147C" w:rsidRDefault="004A147C" w:rsidP="00CE5850">
            <w:pPr>
              <w:jc w:val="right"/>
            </w:pPr>
            <w:r>
              <w:t>85,120</w:t>
            </w:r>
          </w:p>
        </w:tc>
        <w:tc>
          <w:tcPr>
            <w:tcW w:w="1130" w:type="dxa"/>
            <w:tcBorders>
              <w:top w:val="nil"/>
              <w:left w:val="nil"/>
              <w:bottom w:val="single" w:sz="8" w:space="0" w:color="auto"/>
              <w:right w:val="single" w:sz="8" w:space="0" w:color="auto"/>
            </w:tcBorders>
            <w:tcMar>
              <w:top w:w="0" w:type="dxa"/>
              <w:left w:w="108" w:type="dxa"/>
              <w:bottom w:w="0" w:type="dxa"/>
              <w:right w:w="108" w:type="dxa"/>
            </w:tcMar>
            <w:vAlign w:val="bottom"/>
          </w:tcPr>
          <w:p w:rsidR="004A147C" w:rsidRDefault="004A147C" w:rsidP="00CE5850">
            <w:pPr>
              <w:jc w:val="right"/>
            </w:pPr>
            <w:r>
              <w:t>95,536</w:t>
            </w:r>
          </w:p>
        </w:tc>
        <w:tc>
          <w:tcPr>
            <w:tcW w:w="1130" w:type="dxa"/>
            <w:tcBorders>
              <w:top w:val="nil"/>
              <w:left w:val="nil"/>
              <w:bottom w:val="single" w:sz="8" w:space="0" w:color="auto"/>
              <w:right w:val="single" w:sz="8" w:space="0" w:color="auto"/>
            </w:tcBorders>
            <w:tcMar>
              <w:top w:w="0" w:type="dxa"/>
              <w:left w:w="108" w:type="dxa"/>
              <w:bottom w:w="0" w:type="dxa"/>
              <w:right w:w="108" w:type="dxa"/>
            </w:tcMar>
            <w:vAlign w:val="bottom"/>
          </w:tcPr>
          <w:p w:rsidR="004A147C" w:rsidRDefault="004A147C" w:rsidP="00CE5850">
            <w:pPr>
              <w:jc w:val="right"/>
            </w:pPr>
            <w:r>
              <w:t>103,247</w:t>
            </w:r>
          </w:p>
        </w:tc>
        <w:tc>
          <w:tcPr>
            <w:tcW w:w="1130" w:type="dxa"/>
            <w:tcBorders>
              <w:top w:val="nil"/>
              <w:left w:val="nil"/>
              <w:bottom w:val="single" w:sz="8" w:space="0" w:color="auto"/>
              <w:right w:val="single" w:sz="8" w:space="0" w:color="auto"/>
            </w:tcBorders>
            <w:tcMar>
              <w:top w:w="0" w:type="dxa"/>
              <w:left w:w="108" w:type="dxa"/>
              <w:bottom w:w="0" w:type="dxa"/>
              <w:right w:w="108" w:type="dxa"/>
            </w:tcMar>
            <w:vAlign w:val="bottom"/>
          </w:tcPr>
          <w:p w:rsidR="004A147C" w:rsidRDefault="004A147C" w:rsidP="00CE5850">
            <w:pPr>
              <w:jc w:val="right"/>
            </w:pPr>
            <w:r>
              <w:t>105,206</w:t>
            </w:r>
          </w:p>
        </w:tc>
      </w:tr>
      <w:tr w:rsidR="004A147C" w:rsidTr="005C70A5">
        <w:trPr>
          <w:trHeight w:val="260"/>
          <w:jc w:val="center"/>
        </w:trPr>
        <w:tc>
          <w:tcPr>
            <w:tcW w:w="2507" w:type="dxa"/>
            <w:tcBorders>
              <w:top w:val="nil"/>
              <w:left w:val="single" w:sz="8" w:space="0" w:color="auto"/>
              <w:bottom w:val="single" w:sz="8" w:space="0" w:color="auto"/>
              <w:right w:val="single" w:sz="8" w:space="0" w:color="auto"/>
            </w:tcBorders>
            <w:tcMar>
              <w:top w:w="0" w:type="dxa"/>
              <w:left w:w="108" w:type="dxa"/>
              <w:bottom w:w="0" w:type="dxa"/>
              <w:right w:w="108" w:type="dxa"/>
            </w:tcMar>
            <w:vAlign w:val="bottom"/>
          </w:tcPr>
          <w:p w:rsidR="004A147C" w:rsidRDefault="004A147C" w:rsidP="00CE5850">
            <w:r>
              <w:t>Verizon Wireless</w:t>
            </w:r>
          </w:p>
        </w:tc>
        <w:tc>
          <w:tcPr>
            <w:tcW w:w="1066" w:type="dxa"/>
            <w:tcBorders>
              <w:top w:val="nil"/>
              <w:left w:val="nil"/>
              <w:bottom w:val="single" w:sz="8" w:space="0" w:color="auto"/>
              <w:right w:val="single" w:sz="8" w:space="0" w:color="auto"/>
            </w:tcBorders>
            <w:tcMar>
              <w:top w:w="0" w:type="dxa"/>
              <w:left w:w="108" w:type="dxa"/>
              <w:bottom w:w="0" w:type="dxa"/>
              <w:right w:w="108" w:type="dxa"/>
            </w:tcMar>
            <w:vAlign w:val="bottom"/>
          </w:tcPr>
          <w:p w:rsidR="004A147C" w:rsidRDefault="004A147C" w:rsidP="00CE5850">
            <w:pPr>
              <w:jc w:val="right"/>
            </w:pPr>
            <w:r>
              <w:t>72,056</w:t>
            </w:r>
          </w:p>
        </w:tc>
        <w:tc>
          <w:tcPr>
            <w:tcW w:w="1161" w:type="dxa"/>
            <w:tcBorders>
              <w:top w:val="nil"/>
              <w:left w:val="nil"/>
              <w:bottom w:val="single" w:sz="8" w:space="0" w:color="auto"/>
              <w:right w:val="single" w:sz="8" w:space="0" w:color="auto"/>
            </w:tcBorders>
            <w:tcMar>
              <w:top w:w="0" w:type="dxa"/>
              <w:left w:w="108" w:type="dxa"/>
              <w:bottom w:w="0" w:type="dxa"/>
              <w:right w:w="108" w:type="dxa"/>
            </w:tcMar>
            <w:vAlign w:val="bottom"/>
          </w:tcPr>
          <w:p w:rsidR="004A147C" w:rsidRDefault="004A147C" w:rsidP="00CE5850">
            <w:pPr>
              <w:jc w:val="right"/>
            </w:pPr>
            <w:r>
              <w:t>85,445</w:t>
            </w:r>
          </w:p>
        </w:tc>
        <w:tc>
          <w:tcPr>
            <w:tcW w:w="1130" w:type="dxa"/>
            <w:tcBorders>
              <w:top w:val="nil"/>
              <w:left w:val="nil"/>
              <w:bottom w:val="single" w:sz="8" w:space="0" w:color="auto"/>
              <w:right w:val="single" w:sz="8" w:space="0" w:color="auto"/>
            </w:tcBorders>
            <w:tcMar>
              <w:top w:w="0" w:type="dxa"/>
              <w:left w:w="108" w:type="dxa"/>
              <w:bottom w:w="0" w:type="dxa"/>
              <w:right w:w="108" w:type="dxa"/>
            </w:tcMar>
            <w:vAlign w:val="bottom"/>
          </w:tcPr>
          <w:p w:rsidR="004A147C" w:rsidRDefault="004A147C" w:rsidP="00CE5850">
            <w:pPr>
              <w:jc w:val="right"/>
            </w:pPr>
            <w:r>
              <w:t>87,535</w:t>
            </w:r>
          </w:p>
        </w:tc>
        <w:tc>
          <w:tcPr>
            <w:tcW w:w="1130" w:type="dxa"/>
            <w:tcBorders>
              <w:top w:val="nil"/>
              <w:left w:val="nil"/>
              <w:bottom w:val="single" w:sz="8" w:space="0" w:color="auto"/>
              <w:right w:val="single" w:sz="8" w:space="0" w:color="auto"/>
            </w:tcBorders>
            <w:tcMar>
              <w:top w:w="0" w:type="dxa"/>
              <w:left w:w="108" w:type="dxa"/>
              <w:bottom w:w="0" w:type="dxa"/>
              <w:right w:w="108" w:type="dxa"/>
            </w:tcMar>
            <w:vAlign w:val="bottom"/>
          </w:tcPr>
          <w:p w:rsidR="004A147C" w:rsidRDefault="004A147C" w:rsidP="00CE5850">
            <w:pPr>
              <w:jc w:val="right"/>
            </w:pPr>
            <w:r>
              <w:t>92,167</w:t>
            </w:r>
          </w:p>
        </w:tc>
        <w:tc>
          <w:tcPr>
            <w:tcW w:w="1130" w:type="dxa"/>
            <w:tcBorders>
              <w:top w:val="nil"/>
              <w:left w:val="nil"/>
              <w:bottom w:val="single" w:sz="8" w:space="0" w:color="auto"/>
              <w:right w:val="single" w:sz="8" w:space="0" w:color="auto"/>
            </w:tcBorders>
            <w:tcMar>
              <w:top w:w="0" w:type="dxa"/>
              <w:left w:w="108" w:type="dxa"/>
              <w:bottom w:w="0" w:type="dxa"/>
              <w:right w:w="108" w:type="dxa"/>
            </w:tcMar>
            <w:vAlign w:val="bottom"/>
          </w:tcPr>
          <w:p w:rsidR="004A147C" w:rsidRDefault="004A147C" w:rsidP="00CE5850">
            <w:pPr>
              <w:jc w:val="right"/>
            </w:pPr>
            <w:r>
              <w:t>94,154</w:t>
            </w:r>
          </w:p>
        </w:tc>
      </w:tr>
      <w:tr w:rsidR="004A147C" w:rsidTr="005C70A5">
        <w:trPr>
          <w:trHeight w:val="260"/>
          <w:jc w:val="center"/>
        </w:trPr>
        <w:tc>
          <w:tcPr>
            <w:tcW w:w="2507" w:type="dxa"/>
            <w:tcBorders>
              <w:top w:val="nil"/>
              <w:left w:val="single" w:sz="8" w:space="0" w:color="auto"/>
              <w:bottom w:val="single" w:sz="8" w:space="0" w:color="auto"/>
              <w:right w:val="single" w:sz="8" w:space="0" w:color="auto"/>
            </w:tcBorders>
            <w:tcMar>
              <w:top w:w="0" w:type="dxa"/>
              <w:left w:w="108" w:type="dxa"/>
              <w:bottom w:w="0" w:type="dxa"/>
              <w:right w:w="108" w:type="dxa"/>
            </w:tcMar>
            <w:vAlign w:val="bottom"/>
          </w:tcPr>
          <w:p w:rsidR="004A147C" w:rsidRDefault="004A147C" w:rsidP="00CE5850">
            <w:r>
              <w:t>Sprint Nextel</w:t>
            </w:r>
            <w:r w:rsidRPr="00B53FFB">
              <w:rPr>
                <w:szCs w:val="22"/>
                <w:vertAlign w:val="superscript"/>
              </w:rPr>
              <w:footnoteReference w:id="168"/>
            </w:r>
          </w:p>
        </w:tc>
        <w:tc>
          <w:tcPr>
            <w:tcW w:w="1066" w:type="dxa"/>
            <w:tcBorders>
              <w:top w:val="nil"/>
              <w:left w:val="nil"/>
              <w:bottom w:val="single" w:sz="8" w:space="0" w:color="auto"/>
              <w:right w:val="single" w:sz="8" w:space="0" w:color="auto"/>
            </w:tcBorders>
            <w:tcMar>
              <w:top w:w="0" w:type="dxa"/>
              <w:left w:w="108" w:type="dxa"/>
              <w:bottom w:w="0" w:type="dxa"/>
              <w:right w:w="108" w:type="dxa"/>
            </w:tcMar>
            <w:vAlign w:val="bottom"/>
          </w:tcPr>
          <w:p w:rsidR="004A147C" w:rsidRDefault="004A147C" w:rsidP="00CE5850">
            <w:pPr>
              <w:jc w:val="right"/>
            </w:pPr>
            <w:r>
              <w:t>48,338</w:t>
            </w:r>
          </w:p>
        </w:tc>
        <w:tc>
          <w:tcPr>
            <w:tcW w:w="1161" w:type="dxa"/>
            <w:tcBorders>
              <w:top w:val="nil"/>
              <w:left w:val="nil"/>
              <w:bottom w:val="single" w:sz="8" w:space="0" w:color="auto"/>
              <w:right w:val="single" w:sz="8" w:space="0" w:color="auto"/>
            </w:tcBorders>
            <w:tcMar>
              <w:top w:w="0" w:type="dxa"/>
              <w:left w:w="108" w:type="dxa"/>
              <w:bottom w:w="0" w:type="dxa"/>
              <w:right w:w="108" w:type="dxa"/>
            </w:tcMar>
            <w:vAlign w:val="bottom"/>
          </w:tcPr>
          <w:p w:rsidR="004A147C" w:rsidRDefault="004A147C" w:rsidP="00CE5850">
            <w:pPr>
              <w:jc w:val="right"/>
            </w:pPr>
            <w:r>
              <w:t>48,133</w:t>
            </w:r>
          </w:p>
        </w:tc>
        <w:tc>
          <w:tcPr>
            <w:tcW w:w="1130" w:type="dxa"/>
            <w:tcBorders>
              <w:top w:val="nil"/>
              <w:left w:val="nil"/>
              <w:bottom w:val="single" w:sz="8" w:space="0" w:color="auto"/>
              <w:right w:val="single" w:sz="8" w:space="0" w:color="auto"/>
            </w:tcBorders>
            <w:tcMar>
              <w:top w:w="0" w:type="dxa"/>
              <w:left w:w="108" w:type="dxa"/>
              <w:bottom w:w="0" w:type="dxa"/>
              <w:right w:w="108" w:type="dxa"/>
            </w:tcMar>
            <w:vAlign w:val="bottom"/>
          </w:tcPr>
          <w:p w:rsidR="004A147C" w:rsidRDefault="004A147C" w:rsidP="00CE5850">
            <w:pPr>
              <w:jc w:val="right"/>
            </w:pPr>
            <w:r>
              <w:t>49,910</w:t>
            </w:r>
          </w:p>
        </w:tc>
        <w:tc>
          <w:tcPr>
            <w:tcW w:w="1130" w:type="dxa"/>
            <w:tcBorders>
              <w:top w:val="nil"/>
              <w:left w:val="nil"/>
              <w:bottom w:val="single" w:sz="8" w:space="0" w:color="auto"/>
              <w:right w:val="single" w:sz="8" w:space="0" w:color="auto"/>
            </w:tcBorders>
            <w:tcMar>
              <w:top w:w="0" w:type="dxa"/>
              <w:left w:w="108" w:type="dxa"/>
              <w:bottom w:w="0" w:type="dxa"/>
              <w:right w:w="108" w:type="dxa"/>
            </w:tcMar>
            <w:vAlign w:val="bottom"/>
          </w:tcPr>
          <w:p w:rsidR="004A147C" w:rsidRDefault="004A147C" w:rsidP="00CE5850">
            <w:pPr>
              <w:jc w:val="right"/>
            </w:pPr>
            <w:r>
              <w:t>55,021</w:t>
            </w:r>
          </w:p>
        </w:tc>
        <w:tc>
          <w:tcPr>
            <w:tcW w:w="1130" w:type="dxa"/>
            <w:tcBorders>
              <w:top w:val="nil"/>
              <w:left w:val="nil"/>
              <w:bottom w:val="single" w:sz="8" w:space="0" w:color="auto"/>
              <w:right w:val="single" w:sz="8" w:space="0" w:color="auto"/>
            </w:tcBorders>
            <w:tcMar>
              <w:top w:w="0" w:type="dxa"/>
              <w:left w:w="108" w:type="dxa"/>
              <w:bottom w:w="0" w:type="dxa"/>
              <w:right w:w="108" w:type="dxa"/>
            </w:tcMar>
            <w:vAlign w:val="bottom"/>
          </w:tcPr>
          <w:p w:rsidR="004A147C" w:rsidRDefault="004A147C" w:rsidP="00CE5850">
            <w:pPr>
              <w:jc w:val="right"/>
            </w:pPr>
            <w:r>
              <w:t>56,386</w:t>
            </w:r>
          </w:p>
        </w:tc>
      </w:tr>
      <w:tr w:rsidR="004A147C" w:rsidTr="005C70A5">
        <w:trPr>
          <w:trHeight w:val="260"/>
          <w:jc w:val="center"/>
        </w:trPr>
        <w:tc>
          <w:tcPr>
            <w:tcW w:w="2507" w:type="dxa"/>
            <w:tcBorders>
              <w:top w:val="nil"/>
              <w:left w:val="single" w:sz="8" w:space="0" w:color="auto"/>
              <w:bottom w:val="single" w:sz="8" w:space="0" w:color="auto"/>
              <w:right w:val="single" w:sz="8" w:space="0" w:color="auto"/>
            </w:tcBorders>
            <w:tcMar>
              <w:top w:w="0" w:type="dxa"/>
              <w:left w:w="108" w:type="dxa"/>
              <w:bottom w:w="0" w:type="dxa"/>
              <w:right w:w="108" w:type="dxa"/>
            </w:tcMar>
            <w:vAlign w:val="bottom"/>
          </w:tcPr>
          <w:p w:rsidR="004A147C" w:rsidRDefault="004A147C" w:rsidP="00CE5850">
            <w:r>
              <w:t>T-Mobile</w:t>
            </w:r>
          </w:p>
        </w:tc>
        <w:tc>
          <w:tcPr>
            <w:tcW w:w="1066" w:type="dxa"/>
            <w:tcBorders>
              <w:top w:val="nil"/>
              <w:left w:val="nil"/>
              <w:bottom w:val="single" w:sz="8" w:space="0" w:color="auto"/>
              <w:right w:val="single" w:sz="8" w:space="0" w:color="auto"/>
            </w:tcBorders>
            <w:tcMar>
              <w:top w:w="0" w:type="dxa"/>
              <w:left w:w="108" w:type="dxa"/>
              <w:bottom w:w="0" w:type="dxa"/>
              <w:right w:w="108" w:type="dxa"/>
            </w:tcMar>
            <w:vAlign w:val="bottom"/>
          </w:tcPr>
          <w:p w:rsidR="004A147C" w:rsidRDefault="004A147C" w:rsidP="00CE5850">
            <w:pPr>
              <w:jc w:val="right"/>
            </w:pPr>
            <w:r>
              <w:t>32,758</w:t>
            </w:r>
          </w:p>
        </w:tc>
        <w:tc>
          <w:tcPr>
            <w:tcW w:w="1161" w:type="dxa"/>
            <w:tcBorders>
              <w:top w:val="nil"/>
              <w:left w:val="nil"/>
              <w:bottom w:val="single" w:sz="8" w:space="0" w:color="auto"/>
              <w:right w:val="single" w:sz="8" w:space="0" w:color="auto"/>
            </w:tcBorders>
            <w:tcMar>
              <w:top w:w="0" w:type="dxa"/>
              <w:left w:w="108" w:type="dxa"/>
              <w:bottom w:w="0" w:type="dxa"/>
              <w:right w:w="108" w:type="dxa"/>
            </w:tcMar>
            <w:vAlign w:val="bottom"/>
          </w:tcPr>
          <w:p w:rsidR="004A147C" w:rsidRDefault="004A147C" w:rsidP="00CE5850">
            <w:pPr>
              <w:jc w:val="right"/>
            </w:pPr>
            <w:r>
              <w:t>33,790</w:t>
            </w:r>
          </w:p>
        </w:tc>
        <w:tc>
          <w:tcPr>
            <w:tcW w:w="1130" w:type="dxa"/>
            <w:tcBorders>
              <w:top w:val="nil"/>
              <w:left w:val="nil"/>
              <w:bottom w:val="single" w:sz="8" w:space="0" w:color="auto"/>
              <w:right w:val="single" w:sz="8" w:space="0" w:color="auto"/>
            </w:tcBorders>
            <w:tcMar>
              <w:top w:w="0" w:type="dxa"/>
              <w:left w:w="108" w:type="dxa"/>
              <w:bottom w:w="0" w:type="dxa"/>
              <w:right w:w="108" w:type="dxa"/>
            </w:tcMar>
            <w:vAlign w:val="bottom"/>
          </w:tcPr>
          <w:p w:rsidR="004A147C" w:rsidRDefault="004A147C" w:rsidP="00CE5850">
            <w:pPr>
              <w:jc w:val="right"/>
            </w:pPr>
            <w:r>
              <w:t>33,734</w:t>
            </w:r>
          </w:p>
        </w:tc>
        <w:tc>
          <w:tcPr>
            <w:tcW w:w="1130" w:type="dxa"/>
            <w:tcBorders>
              <w:top w:val="nil"/>
              <w:left w:val="nil"/>
              <w:bottom w:val="single" w:sz="8" w:space="0" w:color="auto"/>
              <w:right w:val="single" w:sz="8" w:space="0" w:color="auto"/>
            </w:tcBorders>
            <w:tcMar>
              <w:top w:w="0" w:type="dxa"/>
              <w:left w:w="108" w:type="dxa"/>
              <w:bottom w:w="0" w:type="dxa"/>
              <w:right w:w="108" w:type="dxa"/>
            </w:tcMar>
            <w:vAlign w:val="bottom"/>
          </w:tcPr>
          <w:p w:rsidR="004A147C" w:rsidRDefault="004A147C" w:rsidP="00CE5850">
            <w:pPr>
              <w:jc w:val="right"/>
            </w:pPr>
            <w:r>
              <w:t>33,185</w:t>
            </w:r>
          </w:p>
        </w:tc>
        <w:tc>
          <w:tcPr>
            <w:tcW w:w="1130" w:type="dxa"/>
            <w:tcBorders>
              <w:top w:val="nil"/>
              <w:left w:val="nil"/>
              <w:bottom w:val="single" w:sz="8" w:space="0" w:color="auto"/>
              <w:right w:val="single" w:sz="8" w:space="0" w:color="auto"/>
            </w:tcBorders>
            <w:tcMar>
              <w:top w:w="0" w:type="dxa"/>
              <w:left w:w="108" w:type="dxa"/>
              <w:bottom w:w="0" w:type="dxa"/>
              <w:right w:w="108" w:type="dxa"/>
            </w:tcMar>
            <w:vAlign w:val="bottom"/>
          </w:tcPr>
          <w:p w:rsidR="004A147C" w:rsidRDefault="004A147C" w:rsidP="00CE5850">
            <w:pPr>
              <w:jc w:val="right"/>
            </w:pPr>
            <w:r>
              <w:t>33,168</w:t>
            </w:r>
          </w:p>
        </w:tc>
      </w:tr>
      <w:tr w:rsidR="004A147C" w:rsidTr="005C70A5">
        <w:trPr>
          <w:trHeight w:val="260"/>
          <w:jc w:val="center"/>
        </w:trPr>
        <w:tc>
          <w:tcPr>
            <w:tcW w:w="2507" w:type="dxa"/>
            <w:tcBorders>
              <w:top w:val="nil"/>
              <w:left w:val="single" w:sz="8" w:space="0" w:color="auto"/>
              <w:bottom w:val="single" w:sz="8" w:space="0" w:color="auto"/>
              <w:right w:val="single" w:sz="8" w:space="0" w:color="auto"/>
            </w:tcBorders>
            <w:tcMar>
              <w:top w:w="0" w:type="dxa"/>
              <w:left w:w="108" w:type="dxa"/>
              <w:bottom w:w="0" w:type="dxa"/>
              <w:right w:w="108" w:type="dxa"/>
            </w:tcMar>
            <w:vAlign w:val="bottom"/>
          </w:tcPr>
          <w:p w:rsidR="004A147C" w:rsidRDefault="004A147C" w:rsidP="00CE5850">
            <w:r>
              <w:t>Clearwire</w:t>
            </w:r>
            <w:r w:rsidRPr="00B53FFB">
              <w:rPr>
                <w:szCs w:val="22"/>
                <w:vertAlign w:val="superscript"/>
              </w:rPr>
              <w:footnoteReference w:id="169"/>
            </w:r>
          </w:p>
        </w:tc>
        <w:tc>
          <w:tcPr>
            <w:tcW w:w="1066" w:type="dxa"/>
            <w:tcBorders>
              <w:top w:val="nil"/>
              <w:left w:val="nil"/>
              <w:bottom w:val="single" w:sz="8" w:space="0" w:color="auto"/>
              <w:right w:val="single" w:sz="8" w:space="0" w:color="auto"/>
            </w:tcBorders>
            <w:tcMar>
              <w:top w:w="0" w:type="dxa"/>
              <w:left w:w="108" w:type="dxa"/>
              <w:bottom w:w="0" w:type="dxa"/>
              <w:right w:w="108" w:type="dxa"/>
            </w:tcMar>
            <w:vAlign w:val="bottom"/>
          </w:tcPr>
          <w:p w:rsidR="004A147C" w:rsidRDefault="004A147C" w:rsidP="00CE5850">
            <w:pPr>
              <w:jc w:val="right"/>
            </w:pPr>
            <w:r>
              <w:t>475</w:t>
            </w:r>
          </w:p>
        </w:tc>
        <w:tc>
          <w:tcPr>
            <w:tcW w:w="1161" w:type="dxa"/>
            <w:tcBorders>
              <w:top w:val="nil"/>
              <w:left w:val="nil"/>
              <w:bottom w:val="single" w:sz="8" w:space="0" w:color="auto"/>
              <w:right w:val="single" w:sz="8" w:space="0" w:color="auto"/>
            </w:tcBorders>
            <w:tcMar>
              <w:top w:w="0" w:type="dxa"/>
              <w:left w:w="108" w:type="dxa"/>
              <w:bottom w:w="0" w:type="dxa"/>
              <w:right w:w="108" w:type="dxa"/>
            </w:tcMar>
            <w:vAlign w:val="bottom"/>
          </w:tcPr>
          <w:p w:rsidR="004A147C" w:rsidRDefault="004A147C" w:rsidP="00CE5850">
            <w:pPr>
              <w:jc w:val="right"/>
            </w:pPr>
            <w:r>
              <w:t>688</w:t>
            </w:r>
          </w:p>
        </w:tc>
        <w:tc>
          <w:tcPr>
            <w:tcW w:w="1130" w:type="dxa"/>
            <w:tcBorders>
              <w:top w:val="nil"/>
              <w:left w:val="nil"/>
              <w:bottom w:val="single" w:sz="8" w:space="0" w:color="auto"/>
              <w:right w:val="single" w:sz="8" w:space="0" w:color="auto"/>
            </w:tcBorders>
            <w:tcMar>
              <w:top w:w="0" w:type="dxa"/>
              <w:left w:w="108" w:type="dxa"/>
              <w:bottom w:w="0" w:type="dxa"/>
              <w:right w:w="108" w:type="dxa"/>
            </w:tcMar>
            <w:vAlign w:val="bottom"/>
          </w:tcPr>
          <w:p w:rsidR="004A147C" w:rsidRDefault="004A147C" w:rsidP="00CE5850">
            <w:pPr>
              <w:jc w:val="right"/>
            </w:pPr>
            <w:r>
              <w:t>4,345</w:t>
            </w:r>
          </w:p>
        </w:tc>
        <w:tc>
          <w:tcPr>
            <w:tcW w:w="1130" w:type="dxa"/>
            <w:tcBorders>
              <w:top w:val="nil"/>
              <w:left w:val="nil"/>
              <w:bottom w:val="single" w:sz="8" w:space="0" w:color="auto"/>
              <w:right w:val="single" w:sz="8" w:space="0" w:color="auto"/>
            </w:tcBorders>
            <w:tcMar>
              <w:top w:w="0" w:type="dxa"/>
              <w:left w:w="108" w:type="dxa"/>
              <w:bottom w:w="0" w:type="dxa"/>
              <w:right w:w="108" w:type="dxa"/>
            </w:tcMar>
            <w:vAlign w:val="bottom"/>
          </w:tcPr>
          <w:p w:rsidR="004A147C" w:rsidRDefault="004A147C" w:rsidP="00CE5850">
            <w:pPr>
              <w:jc w:val="right"/>
            </w:pPr>
            <w:r>
              <w:t>10,415</w:t>
            </w:r>
          </w:p>
        </w:tc>
        <w:tc>
          <w:tcPr>
            <w:tcW w:w="1130" w:type="dxa"/>
            <w:tcBorders>
              <w:top w:val="nil"/>
              <w:left w:val="nil"/>
              <w:bottom w:val="single" w:sz="8" w:space="0" w:color="auto"/>
              <w:right w:val="single" w:sz="8" w:space="0" w:color="auto"/>
            </w:tcBorders>
            <w:tcMar>
              <w:top w:w="0" w:type="dxa"/>
              <w:left w:w="108" w:type="dxa"/>
              <w:bottom w:w="0" w:type="dxa"/>
              <w:right w:w="108" w:type="dxa"/>
            </w:tcMar>
            <w:vAlign w:val="bottom"/>
          </w:tcPr>
          <w:p w:rsidR="004A147C" w:rsidRDefault="004A147C" w:rsidP="00CE5850">
            <w:pPr>
              <w:jc w:val="right"/>
            </w:pPr>
            <w:r>
              <w:t>10,957</w:t>
            </w:r>
          </w:p>
        </w:tc>
      </w:tr>
      <w:tr w:rsidR="004A147C" w:rsidTr="005C70A5">
        <w:trPr>
          <w:trHeight w:val="260"/>
          <w:jc w:val="center"/>
        </w:trPr>
        <w:tc>
          <w:tcPr>
            <w:tcW w:w="2507" w:type="dxa"/>
            <w:tcBorders>
              <w:top w:val="nil"/>
              <w:left w:val="single" w:sz="8" w:space="0" w:color="auto"/>
              <w:bottom w:val="single" w:sz="8" w:space="0" w:color="auto"/>
              <w:right w:val="single" w:sz="8" w:space="0" w:color="auto"/>
            </w:tcBorders>
            <w:tcMar>
              <w:top w:w="0" w:type="dxa"/>
              <w:left w:w="108" w:type="dxa"/>
              <w:bottom w:w="0" w:type="dxa"/>
              <w:right w:w="108" w:type="dxa"/>
            </w:tcMar>
            <w:vAlign w:val="bottom"/>
          </w:tcPr>
          <w:p w:rsidR="004A147C" w:rsidRDefault="004A147C" w:rsidP="00CE5850">
            <w:r>
              <w:t>MetroPCS</w:t>
            </w:r>
          </w:p>
        </w:tc>
        <w:tc>
          <w:tcPr>
            <w:tcW w:w="1066" w:type="dxa"/>
            <w:tcBorders>
              <w:top w:val="nil"/>
              <w:left w:val="nil"/>
              <w:bottom w:val="single" w:sz="8" w:space="0" w:color="auto"/>
              <w:right w:val="single" w:sz="8" w:space="0" w:color="auto"/>
            </w:tcBorders>
            <w:tcMar>
              <w:top w:w="0" w:type="dxa"/>
              <w:left w:w="108" w:type="dxa"/>
              <w:bottom w:w="0" w:type="dxa"/>
              <w:right w:w="108" w:type="dxa"/>
            </w:tcMar>
            <w:vAlign w:val="bottom"/>
          </w:tcPr>
          <w:p w:rsidR="004A147C" w:rsidRDefault="004A147C" w:rsidP="00CE5850">
            <w:pPr>
              <w:jc w:val="right"/>
            </w:pPr>
            <w:r>
              <w:t>5,367</w:t>
            </w:r>
          </w:p>
        </w:tc>
        <w:tc>
          <w:tcPr>
            <w:tcW w:w="1161" w:type="dxa"/>
            <w:tcBorders>
              <w:top w:val="nil"/>
              <w:left w:val="nil"/>
              <w:bottom w:val="single" w:sz="8" w:space="0" w:color="auto"/>
              <w:right w:val="single" w:sz="8" w:space="0" w:color="auto"/>
            </w:tcBorders>
            <w:tcMar>
              <w:top w:w="0" w:type="dxa"/>
              <w:left w:w="108" w:type="dxa"/>
              <w:bottom w:w="0" w:type="dxa"/>
              <w:right w:w="108" w:type="dxa"/>
            </w:tcMar>
            <w:vAlign w:val="bottom"/>
          </w:tcPr>
          <w:p w:rsidR="004A147C" w:rsidRDefault="004A147C" w:rsidP="00CE5850">
            <w:pPr>
              <w:jc w:val="right"/>
            </w:pPr>
            <w:r>
              <w:t>6,640</w:t>
            </w:r>
          </w:p>
        </w:tc>
        <w:tc>
          <w:tcPr>
            <w:tcW w:w="1130" w:type="dxa"/>
            <w:tcBorders>
              <w:top w:val="nil"/>
              <w:left w:val="nil"/>
              <w:bottom w:val="single" w:sz="8" w:space="0" w:color="auto"/>
              <w:right w:val="single" w:sz="8" w:space="0" w:color="auto"/>
            </w:tcBorders>
            <w:tcMar>
              <w:top w:w="0" w:type="dxa"/>
              <w:left w:w="108" w:type="dxa"/>
              <w:bottom w:w="0" w:type="dxa"/>
              <w:right w:w="108" w:type="dxa"/>
            </w:tcMar>
            <w:vAlign w:val="bottom"/>
          </w:tcPr>
          <w:p w:rsidR="004A147C" w:rsidRDefault="004A147C" w:rsidP="00CE5850">
            <w:pPr>
              <w:jc w:val="right"/>
            </w:pPr>
            <w:r>
              <w:t>8,155</w:t>
            </w:r>
          </w:p>
        </w:tc>
        <w:tc>
          <w:tcPr>
            <w:tcW w:w="1130" w:type="dxa"/>
            <w:tcBorders>
              <w:top w:val="nil"/>
              <w:left w:val="nil"/>
              <w:bottom w:val="single" w:sz="8" w:space="0" w:color="auto"/>
              <w:right w:val="single" w:sz="8" w:space="0" w:color="auto"/>
            </w:tcBorders>
            <w:tcMar>
              <w:top w:w="0" w:type="dxa"/>
              <w:left w:w="108" w:type="dxa"/>
              <w:bottom w:w="0" w:type="dxa"/>
              <w:right w:w="108" w:type="dxa"/>
            </w:tcMar>
            <w:vAlign w:val="bottom"/>
          </w:tcPr>
          <w:p w:rsidR="004A147C" w:rsidRDefault="004A147C" w:rsidP="00CE5850">
            <w:pPr>
              <w:jc w:val="right"/>
            </w:pPr>
            <w:r>
              <w:t>9,347</w:t>
            </w:r>
          </w:p>
        </w:tc>
        <w:tc>
          <w:tcPr>
            <w:tcW w:w="1130" w:type="dxa"/>
            <w:tcBorders>
              <w:top w:val="nil"/>
              <w:left w:val="nil"/>
              <w:bottom w:val="single" w:sz="8" w:space="0" w:color="auto"/>
              <w:right w:val="single" w:sz="8" w:space="0" w:color="auto"/>
            </w:tcBorders>
            <w:tcMar>
              <w:top w:w="0" w:type="dxa"/>
              <w:left w:w="108" w:type="dxa"/>
              <w:bottom w:w="0" w:type="dxa"/>
              <w:right w:w="108" w:type="dxa"/>
            </w:tcMar>
            <w:vAlign w:val="bottom"/>
          </w:tcPr>
          <w:p w:rsidR="004A147C" w:rsidRDefault="004A147C" w:rsidP="00CE5850">
            <w:pPr>
              <w:jc w:val="right"/>
            </w:pPr>
            <w:r>
              <w:t>9,292</w:t>
            </w:r>
          </w:p>
        </w:tc>
      </w:tr>
      <w:tr w:rsidR="004A147C" w:rsidTr="005C70A5">
        <w:trPr>
          <w:trHeight w:val="260"/>
          <w:jc w:val="center"/>
        </w:trPr>
        <w:tc>
          <w:tcPr>
            <w:tcW w:w="2507" w:type="dxa"/>
            <w:tcBorders>
              <w:top w:val="nil"/>
              <w:left w:val="single" w:sz="8" w:space="0" w:color="auto"/>
              <w:bottom w:val="single" w:sz="8" w:space="0" w:color="auto"/>
              <w:right w:val="single" w:sz="8" w:space="0" w:color="auto"/>
            </w:tcBorders>
            <w:tcMar>
              <w:top w:w="0" w:type="dxa"/>
              <w:left w:w="108" w:type="dxa"/>
              <w:bottom w:w="0" w:type="dxa"/>
              <w:right w:w="108" w:type="dxa"/>
            </w:tcMar>
            <w:vAlign w:val="bottom"/>
          </w:tcPr>
          <w:p w:rsidR="004A147C" w:rsidRDefault="004A147C" w:rsidP="00CE5850">
            <w:r>
              <w:t>Leap</w:t>
            </w:r>
          </w:p>
        </w:tc>
        <w:tc>
          <w:tcPr>
            <w:tcW w:w="1066" w:type="dxa"/>
            <w:tcBorders>
              <w:top w:val="nil"/>
              <w:left w:val="nil"/>
              <w:bottom w:val="single" w:sz="8" w:space="0" w:color="auto"/>
              <w:right w:val="single" w:sz="8" w:space="0" w:color="auto"/>
            </w:tcBorders>
            <w:tcMar>
              <w:top w:w="0" w:type="dxa"/>
              <w:left w:w="108" w:type="dxa"/>
              <w:bottom w:w="0" w:type="dxa"/>
              <w:right w:w="108" w:type="dxa"/>
            </w:tcMar>
            <w:vAlign w:val="bottom"/>
          </w:tcPr>
          <w:p w:rsidR="004A147C" w:rsidRDefault="004A147C" w:rsidP="00CE5850">
            <w:pPr>
              <w:jc w:val="right"/>
            </w:pPr>
            <w:r>
              <w:t>3,845</w:t>
            </w:r>
          </w:p>
        </w:tc>
        <w:tc>
          <w:tcPr>
            <w:tcW w:w="1161" w:type="dxa"/>
            <w:tcBorders>
              <w:top w:val="nil"/>
              <w:left w:val="nil"/>
              <w:bottom w:val="single" w:sz="8" w:space="0" w:color="auto"/>
              <w:right w:val="single" w:sz="8" w:space="0" w:color="auto"/>
            </w:tcBorders>
            <w:tcMar>
              <w:top w:w="0" w:type="dxa"/>
              <w:left w:w="108" w:type="dxa"/>
              <w:bottom w:w="0" w:type="dxa"/>
              <w:right w:w="108" w:type="dxa"/>
            </w:tcMar>
            <w:vAlign w:val="bottom"/>
          </w:tcPr>
          <w:p w:rsidR="004A147C" w:rsidRDefault="004A147C" w:rsidP="00CE5850">
            <w:pPr>
              <w:jc w:val="right"/>
            </w:pPr>
            <w:r>
              <w:t>4,954</w:t>
            </w:r>
          </w:p>
        </w:tc>
        <w:tc>
          <w:tcPr>
            <w:tcW w:w="1130" w:type="dxa"/>
            <w:tcBorders>
              <w:top w:val="nil"/>
              <w:left w:val="nil"/>
              <w:bottom w:val="single" w:sz="8" w:space="0" w:color="auto"/>
              <w:right w:val="single" w:sz="8" w:space="0" w:color="auto"/>
            </w:tcBorders>
            <w:tcMar>
              <w:top w:w="0" w:type="dxa"/>
              <w:left w:w="108" w:type="dxa"/>
              <w:bottom w:w="0" w:type="dxa"/>
              <w:right w:w="108" w:type="dxa"/>
            </w:tcMar>
            <w:vAlign w:val="bottom"/>
          </w:tcPr>
          <w:p w:rsidR="004A147C" w:rsidRDefault="004A147C" w:rsidP="00CE5850">
            <w:pPr>
              <w:jc w:val="right"/>
            </w:pPr>
            <w:r>
              <w:t>5,518</w:t>
            </w:r>
          </w:p>
        </w:tc>
        <w:tc>
          <w:tcPr>
            <w:tcW w:w="1130" w:type="dxa"/>
            <w:tcBorders>
              <w:top w:val="nil"/>
              <w:left w:val="nil"/>
              <w:bottom w:val="single" w:sz="8" w:space="0" w:color="auto"/>
              <w:right w:val="single" w:sz="8" w:space="0" w:color="auto"/>
            </w:tcBorders>
            <w:tcMar>
              <w:top w:w="0" w:type="dxa"/>
              <w:left w:w="108" w:type="dxa"/>
              <w:bottom w:w="0" w:type="dxa"/>
              <w:right w:w="108" w:type="dxa"/>
            </w:tcMar>
            <w:vAlign w:val="bottom"/>
          </w:tcPr>
          <w:p w:rsidR="004A147C" w:rsidRDefault="004A147C" w:rsidP="00CE5850">
            <w:pPr>
              <w:jc w:val="right"/>
            </w:pPr>
            <w:r>
              <w:t>5,934</w:t>
            </w:r>
          </w:p>
        </w:tc>
        <w:tc>
          <w:tcPr>
            <w:tcW w:w="1130" w:type="dxa"/>
            <w:tcBorders>
              <w:top w:val="nil"/>
              <w:left w:val="nil"/>
              <w:bottom w:val="single" w:sz="8" w:space="0" w:color="auto"/>
              <w:right w:val="single" w:sz="8" w:space="0" w:color="auto"/>
            </w:tcBorders>
            <w:tcMar>
              <w:top w:w="0" w:type="dxa"/>
              <w:left w:w="108" w:type="dxa"/>
              <w:bottom w:w="0" w:type="dxa"/>
              <w:right w:w="108" w:type="dxa"/>
            </w:tcMar>
            <w:vAlign w:val="bottom"/>
          </w:tcPr>
          <w:p w:rsidR="004A147C" w:rsidRDefault="004A147C" w:rsidP="00CE5850">
            <w:pPr>
              <w:jc w:val="right"/>
            </w:pPr>
            <w:r>
              <w:t>5,903</w:t>
            </w:r>
          </w:p>
        </w:tc>
      </w:tr>
      <w:tr w:rsidR="004A147C" w:rsidTr="005C70A5">
        <w:trPr>
          <w:trHeight w:val="260"/>
          <w:jc w:val="center"/>
        </w:trPr>
        <w:tc>
          <w:tcPr>
            <w:tcW w:w="2507" w:type="dxa"/>
            <w:tcBorders>
              <w:top w:val="nil"/>
              <w:left w:val="single" w:sz="8" w:space="0" w:color="auto"/>
              <w:bottom w:val="single" w:sz="8" w:space="0" w:color="auto"/>
              <w:right w:val="single" w:sz="8" w:space="0" w:color="auto"/>
            </w:tcBorders>
            <w:tcMar>
              <w:top w:w="0" w:type="dxa"/>
              <w:left w:w="108" w:type="dxa"/>
              <w:bottom w:w="0" w:type="dxa"/>
              <w:right w:w="108" w:type="dxa"/>
            </w:tcMar>
            <w:vAlign w:val="bottom"/>
          </w:tcPr>
          <w:p w:rsidR="004A147C" w:rsidRDefault="004A147C" w:rsidP="00CE5850">
            <w:r>
              <w:t>US Cellular</w:t>
            </w:r>
          </w:p>
        </w:tc>
        <w:tc>
          <w:tcPr>
            <w:tcW w:w="1066" w:type="dxa"/>
            <w:tcBorders>
              <w:top w:val="nil"/>
              <w:left w:val="nil"/>
              <w:bottom w:val="single" w:sz="8" w:space="0" w:color="auto"/>
              <w:right w:val="single" w:sz="8" w:space="0" w:color="auto"/>
            </w:tcBorders>
            <w:tcMar>
              <w:top w:w="0" w:type="dxa"/>
              <w:left w:w="108" w:type="dxa"/>
              <w:bottom w:w="0" w:type="dxa"/>
              <w:right w:w="108" w:type="dxa"/>
            </w:tcMar>
            <w:vAlign w:val="bottom"/>
          </w:tcPr>
          <w:p w:rsidR="004A147C" w:rsidRDefault="004A147C" w:rsidP="00CE5850">
            <w:pPr>
              <w:jc w:val="right"/>
            </w:pPr>
            <w:r>
              <w:t>6,196</w:t>
            </w:r>
          </w:p>
        </w:tc>
        <w:tc>
          <w:tcPr>
            <w:tcW w:w="1161" w:type="dxa"/>
            <w:tcBorders>
              <w:top w:val="nil"/>
              <w:left w:val="nil"/>
              <w:bottom w:val="single" w:sz="8" w:space="0" w:color="auto"/>
              <w:right w:val="single" w:sz="8" w:space="0" w:color="auto"/>
            </w:tcBorders>
            <w:tcMar>
              <w:top w:w="0" w:type="dxa"/>
              <w:left w:w="108" w:type="dxa"/>
              <w:bottom w:w="0" w:type="dxa"/>
              <w:right w:w="108" w:type="dxa"/>
            </w:tcMar>
            <w:vAlign w:val="bottom"/>
          </w:tcPr>
          <w:p w:rsidR="004A147C" w:rsidRDefault="004A147C" w:rsidP="00CE5850">
            <w:pPr>
              <w:jc w:val="right"/>
            </w:pPr>
            <w:r>
              <w:t>6,141</w:t>
            </w:r>
          </w:p>
        </w:tc>
        <w:tc>
          <w:tcPr>
            <w:tcW w:w="1130" w:type="dxa"/>
            <w:tcBorders>
              <w:top w:val="nil"/>
              <w:left w:val="nil"/>
              <w:bottom w:val="single" w:sz="8" w:space="0" w:color="auto"/>
              <w:right w:val="single" w:sz="8" w:space="0" w:color="auto"/>
            </w:tcBorders>
            <w:tcMar>
              <w:top w:w="0" w:type="dxa"/>
              <w:left w:w="108" w:type="dxa"/>
              <w:bottom w:w="0" w:type="dxa"/>
              <w:right w:w="108" w:type="dxa"/>
            </w:tcMar>
            <w:vAlign w:val="bottom"/>
          </w:tcPr>
          <w:p w:rsidR="004A147C" w:rsidRDefault="004A147C" w:rsidP="00CE5850">
            <w:pPr>
              <w:jc w:val="right"/>
            </w:pPr>
            <w:r>
              <w:t>6,072</w:t>
            </w:r>
          </w:p>
        </w:tc>
        <w:tc>
          <w:tcPr>
            <w:tcW w:w="1130" w:type="dxa"/>
            <w:tcBorders>
              <w:top w:val="nil"/>
              <w:left w:val="nil"/>
              <w:bottom w:val="single" w:sz="8" w:space="0" w:color="auto"/>
              <w:right w:val="single" w:sz="8" w:space="0" w:color="auto"/>
            </w:tcBorders>
            <w:tcMar>
              <w:top w:w="0" w:type="dxa"/>
              <w:left w:w="108" w:type="dxa"/>
              <w:bottom w:w="0" w:type="dxa"/>
              <w:right w:w="108" w:type="dxa"/>
            </w:tcMar>
            <w:vAlign w:val="bottom"/>
          </w:tcPr>
          <w:p w:rsidR="004A147C" w:rsidRDefault="004A147C" w:rsidP="00CE5850">
            <w:pPr>
              <w:jc w:val="right"/>
            </w:pPr>
            <w:r>
              <w:t>5,891</w:t>
            </w:r>
          </w:p>
        </w:tc>
        <w:tc>
          <w:tcPr>
            <w:tcW w:w="1130" w:type="dxa"/>
            <w:tcBorders>
              <w:top w:val="nil"/>
              <w:left w:val="nil"/>
              <w:bottom w:val="single" w:sz="8" w:space="0" w:color="auto"/>
              <w:right w:val="single" w:sz="8" w:space="0" w:color="auto"/>
            </w:tcBorders>
            <w:tcMar>
              <w:top w:w="0" w:type="dxa"/>
              <w:left w:w="108" w:type="dxa"/>
              <w:bottom w:w="0" w:type="dxa"/>
              <w:right w:w="108" w:type="dxa"/>
            </w:tcMar>
            <w:vAlign w:val="bottom"/>
          </w:tcPr>
          <w:p w:rsidR="004A147C" w:rsidRDefault="004A147C" w:rsidP="00CE5850">
            <w:pPr>
              <w:jc w:val="right"/>
            </w:pPr>
            <w:r>
              <w:t>5,799</w:t>
            </w:r>
          </w:p>
        </w:tc>
      </w:tr>
      <w:tr w:rsidR="004A147C" w:rsidTr="005C70A5">
        <w:trPr>
          <w:trHeight w:val="260"/>
          <w:jc w:val="center"/>
        </w:trPr>
        <w:tc>
          <w:tcPr>
            <w:tcW w:w="2507" w:type="dxa"/>
            <w:tcBorders>
              <w:top w:val="nil"/>
              <w:left w:val="single" w:sz="8" w:space="0" w:color="auto"/>
              <w:bottom w:val="single" w:sz="8" w:space="0" w:color="auto"/>
              <w:right w:val="single" w:sz="8" w:space="0" w:color="auto"/>
            </w:tcBorders>
            <w:tcMar>
              <w:top w:w="0" w:type="dxa"/>
              <w:left w:w="108" w:type="dxa"/>
              <w:bottom w:w="0" w:type="dxa"/>
              <w:right w:w="108" w:type="dxa"/>
            </w:tcMar>
            <w:vAlign w:val="bottom"/>
          </w:tcPr>
          <w:p w:rsidR="004A147C" w:rsidRDefault="004A147C" w:rsidP="00CE5850">
            <w:r>
              <w:t>C Spire Wireless</w:t>
            </w:r>
            <w:r w:rsidRPr="00B53FFB">
              <w:rPr>
                <w:szCs w:val="22"/>
                <w:vertAlign w:val="superscript"/>
              </w:rPr>
              <w:footnoteReference w:id="170"/>
            </w:r>
          </w:p>
        </w:tc>
        <w:tc>
          <w:tcPr>
            <w:tcW w:w="1066" w:type="dxa"/>
            <w:tcBorders>
              <w:top w:val="nil"/>
              <w:left w:val="nil"/>
              <w:bottom w:val="single" w:sz="8" w:space="0" w:color="auto"/>
              <w:right w:val="single" w:sz="8" w:space="0" w:color="auto"/>
            </w:tcBorders>
            <w:tcMar>
              <w:top w:w="0" w:type="dxa"/>
              <w:left w:w="108" w:type="dxa"/>
              <w:bottom w:w="0" w:type="dxa"/>
              <w:right w:w="108" w:type="dxa"/>
            </w:tcMar>
            <w:vAlign w:val="bottom"/>
          </w:tcPr>
          <w:p w:rsidR="004A147C" w:rsidRDefault="004A147C" w:rsidP="00CE5850">
            <w:pPr>
              <w:jc w:val="right"/>
            </w:pPr>
            <w:r>
              <w:t>≈800</w:t>
            </w:r>
          </w:p>
        </w:tc>
        <w:tc>
          <w:tcPr>
            <w:tcW w:w="1161" w:type="dxa"/>
            <w:tcBorders>
              <w:top w:val="nil"/>
              <w:left w:val="nil"/>
              <w:bottom w:val="single" w:sz="8" w:space="0" w:color="auto"/>
              <w:right w:val="single" w:sz="8" w:space="0" w:color="auto"/>
            </w:tcBorders>
            <w:tcMar>
              <w:top w:w="0" w:type="dxa"/>
              <w:left w:w="108" w:type="dxa"/>
              <w:bottom w:w="0" w:type="dxa"/>
              <w:right w:w="108" w:type="dxa"/>
            </w:tcMar>
            <w:vAlign w:val="bottom"/>
          </w:tcPr>
          <w:p w:rsidR="004A147C" w:rsidRDefault="004A147C" w:rsidP="00CE5850">
            <w:pPr>
              <w:jc w:val="right"/>
            </w:pPr>
            <w:r>
              <w:t>≈800</w:t>
            </w:r>
          </w:p>
        </w:tc>
        <w:tc>
          <w:tcPr>
            <w:tcW w:w="1130" w:type="dxa"/>
            <w:tcBorders>
              <w:top w:val="nil"/>
              <w:left w:val="nil"/>
              <w:bottom w:val="single" w:sz="8" w:space="0" w:color="auto"/>
              <w:right w:val="single" w:sz="8" w:space="0" w:color="auto"/>
            </w:tcBorders>
            <w:tcMar>
              <w:top w:w="0" w:type="dxa"/>
              <w:left w:w="108" w:type="dxa"/>
              <w:bottom w:w="0" w:type="dxa"/>
              <w:right w:w="108" w:type="dxa"/>
            </w:tcMar>
            <w:vAlign w:val="bottom"/>
          </w:tcPr>
          <w:p w:rsidR="004A147C" w:rsidRDefault="004A147C" w:rsidP="00CE5850">
            <w:pPr>
              <w:jc w:val="right"/>
            </w:pPr>
            <w:r>
              <w:t>NA</w:t>
            </w:r>
          </w:p>
        </w:tc>
        <w:tc>
          <w:tcPr>
            <w:tcW w:w="1130" w:type="dxa"/>
            <w:tcBorders>
              <w:top w:val="nil"/>
              <w:left w:val="nil"/>
              <w:bottom w:val="single" w:sz="8" w:space="0" w:color="auto"/>
              <w:right w:val="single" w:sz="8" w:space="0" w:color="auto"/>
            </w:tcBorders>
            <w:tcMar>
              <w:top w:w="0" w:type="dxa"/>
              <w:left w:w="108" w:type="dxa"/>
              <w:bottom w:w="0" w:type="dxa"/>
              <w:right w:w="108" w:type="dxa"/>
            </w:tcMar>
            <w:vAlign w:val="bottom"/>
          </w:tcPr>
          <w:p w:rsidR="004A147C" w:rsidRDefault="004A147C" w:rsidP="00CE5850">
            <w:pPr>
              <w:jc w:val="right"/>
            </w:pPr>
            <w:r>
              <w:t>≈1,000</w:t>
            </w:r>
          </w:p>
        </w:tc>
        <w:tc>
          <w:tcPr>
            <w:tcW w:w="1130" w:type="dxa"/>
            <w:tcBorders>
              <w:top w:val="nil"/>
              <w:left w:val="nil"/>
              <w:bottom w:val="single" w:sz="8" w:space="0" w:color="auto"/>
              <w:right w:val="single" w:sz="8" w:space="0" w:color="auto"/>
            </w:tcBorders>
            <w:tcMar>
              <w:top w:w="0" w:type="dxa"/>
              <w:left w:w="108" w:type="dxa"/>
              <w:bottom w:w="0" w:type="dxa"/>
              <w:right w:w="108" w:type="dxa"/>
            </w:tcMar>
            <w:vAlign w:val="bottom"/>
          </w:tcPr>
          <w:p w:rsidR="004A147C" w:rsidRDefault="004A147C" w:rsidP="00CE5850">
            <w:pPr>
              <w:jc w:val="right"/>
            </w:pPr>
            <w:r>
              <w:t>≈1,000</w:t>
            </w:r>
          </w:p>
        </w:tc>
      </w:tr>
      <w:tr w:rsidR="004A147C" w:rsidTr="005C70A5">
        <w:trPr>
          <w:trHeight w:val="260"/>
          <w:jc w:val="center"/>
        </w:trPr>
        <w:tc>
          <w:tcPr>
            <w:tcW w:w="2507" w:type="dxa"/>
            <w:tcBorders>
              <w:top w:val="nil"/>
              <w:left w:val="single" w:sz="8" w:space="0" w:color="auto"/>
              <w:bottom w:val="single" w:sz="8" w:space="0" w:color="auto"/>
              <w:right w:val="single" w:sz="8" w:space="0" w:color="auto"/>
            </w:tcBorders>
            <w:tcMar>
              <w:top w:w="0" w:type="dxa"/>
              <w:left w:w="108" w:type="dxa"/>
              <w:bottom w:w="0" w:type="dxa"/>
              <w:right w:w="108" w:type="dxa"/>
            </w:tcMar>
            <w:vAlign w:val="bottom"/>
          </w:tcPr>
          <w:p w:rsidR="004A147C" w:rsidRDefault="004A147C" w:rsidP="00CE5850">
            <w:r>
              <w:t xml:space="preserve">Atlantic Tele-Network </w:t>
            </w:r>
          </w:p>
        </w:tc>
        <w:tc>
          <w:tcPr>
            <w:tcW w:w="1066" w:type="dxa"/>
            <w:tcBorders>
              <w:top w:val="nil"/>
              <w:left w:val="nil"/>
              <w:bottom w:val="single" w:sz="8" w:space="0" w:color="auto"/>
              <w:right w:val="single" w:sz="8" w:space="0" w:color="auto"/>
            </w:tcBorders>
            <w:tcMar>
              <w:top w:w="0" w:type="dxa"/>
              <w:left w:w="108" w:type="dxa"/>
              <w:bottom w:w="0" w:type="dxa"/>
              <w:right w:w="108" w:type="dxa"/>
            </w:tcMar>
            <w:vAlign w:val="bottom"/>
          </w:tcPr>
          <w:p w:rsidR="004A147C" w:rsidRDefault="004A147C" w:rsidP="00CE5850">
            <w:pPr>
              <w:jc w:val="right"/>
            </w:pPr>
            <w:r>
              <w:t>NA</w:t>
            </w:r>
          </w:p>
        </w:tc>
        <w:tc>
          <w:tcPr>
            <w:tcW w:w="1161" w:type="dxa"/>
            <w:tcBorders>
              <w:top w:val="nil"/>
              <w:left w:val="nil"/>
              <w:bottom w:val="single" w:sz="8" w:space="0" w:color="auto"/>
              <w:right w:val="single" w:sz="8" w:space="0" w:color="auto"/>
            </w:tcBorders>
            <w:tcMar>
              <w:top w:w="0" w:type="dxa"/>
              <w:left w:w="108" w:type="dxa"/>
              <w:bottom w:w="0" w:type="dxa"/>
              <w:right w:w="108" w:type="dxa"/>
            </w:tcMar>
            <w:vAlign w:val="bottom"/>
          </w:tcPr>
          <w:p w:rsidR="004A147C" w:rsidRDefault="004A147C" w:rsidP="00CE5850">
            <w:pPr>
              <w:jc w:val="right"/>
            </w:pPr>
            <w:r>
              <w:t>NA</w:t>
            </w:r>
          </w:p>
        </w:tc>
        <w:tc>
          <w:tcPr>
            <w:tcW w:w="1130" w:type="dxa"/>
            <w:tcBorders>
              <w:top w:val="nil"/>
              <w:left w:val="nil"/>
              <w:bottom w:val="single" w:sz="8" w:space="0" w:color="auto"/>
              <w:right w:val="single" w:sz="8" w:space="0" w:color="auto"/>
            </w:tcBorders>
            <w:tcMar>
              <w:top w:w="0" w:type="dxa"/>
              <w:left w:w="108" w:type="dxa"/>
              <w:bottom w:w="0" w:type="dxa"/>
              <w:right w:w="108" w:type="dxa"/>
            </w:tcMar>
            <w:vAlign w:val="bottom"/>
          </w:tcPr>
          <w:p w:rsidR="004A147C" w:rsidRDefault="004A147C" w:rsidP="00CE5850">
            <w:pPr>
              <w:jc w:val="right"/>
            </w:pPr>
            <w:r>
              <w:t>718</w:t>
            </w:r>
          </w:p>
        </w:tc>
        <w:tc>
          <w:tcPr>
            <w:tcW w:w="1130" w:type="dxa"/>
            <w:tcBorders>
              <w:top w:val="nil"/>
              <w:left w:val="nil"/>
              <w:bottom w:val="single" w:sz="8" w:space="0" w:color="auto"/>
              <w:right w:val="single" w:sz="8" w:space="0" w:color="auto"/>
            </w:tcBorders>
            <w:tcMar>
              <w:top w:w="0" w:type="dxa"/>
              <w:left w:w="108" w:type="dxa"/>
              <w:bottom w:w="0" w:type="dxa"/>
              <w:right w:w="108" w:type="dxa"/>
            </w:tcMar>
            <w:vAlign w:val="bottom"/>
          </w:tcPr>
          <w:p w:rsidR="004A147C" w:rsidRDefault="004A147C" w:rsidP="00CE5850">
            <w:pPr>
              <w:jc w:val="right"/>
            </w:pPr>
            <w:r>
              <w:t>582</w:t>
            </w:r>
          </w:p>
        </w:tc>
        <w:tc>
          <w:tcPr>
            <w:tcW w:w="1130" w:type="dxa"/>
            <w:tcBorders>
              <w:top w:val="nil"/>
              <w:left w:val="nil"/>
              <w:bottom w:val="single" w:sz="8" w:space="0" w:color="auto"/>
              <w:right w:val="single" w:sz="8" w:space="0" w:color="auto"/>
            </w:tcBorders>
            <w:tcMar>
              <w:top w:w="0" w:type="dxa"/>
              <w:left w:w="108" w:type="dxa"/>
              <w:bottom w:w="0" w:type="dxa"/>
              <w:right w:w="108" w:type="dxa"/>
            </w:tcMar>
            <w:vAlign w:val="bottom"/>
          </w:tcPr>
          <w:p w:rsidR="004A147C" w:rsidRDefault="004A147C" w:rsidP="00CE5850">
            <w:pPr>
              <w:jc w:val="right"/>
            </w:pPr>
            <w:r>
              <w:t>584</w:t>
            </w:r>
          </w:p>
        </w:tc>
      </w:tr>
      <w:tr w:rsidR="004A147C" w:rsidTr="005C70A5">
        <w:trPr>
          <w:trHeight w:val="260"/>
          <w:jc w:val="center"/>
        </w:trPr>
        <w:tc>
          <w:tcPr>
            <w:tcW w:w="2507" w:type="dxa"/>
            <w:tcBorders>
              <w:top w:val="nil"/>
              <w:left w:val="single" w:sz="8" w:space="0" w:color="auto"/>
              <w:bottom w:val="single" w:sz="8" w:space="0" w:color="auto"/>
              <w:right w:val="single" w:sz="8" w:space="0" w:color="auto"/>
            </w:tcBorders>
            <w:tcMar>
              <w:top w:w="0" w:type="dxa"/>
              <w:left w:w="108" w:type="dxa"/>
              <w:bottom w:w="0" w:type="dxa"/>
              <w:right w:w="108" w:type="dxa"/>
            </w:tcMar>
            <w:vAlign w:val="bottom"/>
          </w:tcPr>
          <w:p w:rsidR="004A147C" w:rsidRDefault="004A147C" w:rsidP="00CE5850">
            <w:r>
              <w:t>Cincinnati Bell Wireless</w:t>
            </w:r>
          </w:p>
        </w:tc>
        <w:tc>
          <w:tcPr>
            <w:tcW w:w="1066" w:type="dxa"/>
            <w:tcBorders>
              <w:top w:val="nil"/>
              <w:left w:val="nil"/>
              <w:bottom w:val="single" w:sz="8" w:space="0" w:color="auto"/>
              <w:right w:val="single" w:sz="8" w:space="0" w:color="auto"/>
            </w:tcBorders>
            <w:tcMar>
              <w:top w:w="0" w:type="dxa"/>
              <w:left w:w="108" w:type="dxa"/>
              <w:bottom w:w="0" w:type="dxa"/>
              <w:right w:w="108" w:type="dxa"/>
            </w:tcMar>
            <w:vAlign w:val="bottom"/>
          </w:tcPr>
          <w:p w:rsidR="004A147C" w:rsidRDefault="004A147C" w:rsidP="00CE5850">
            <w:pPr>
              <w:jc w:val="right"/>
            </w:pPr>
            <w:r>
              <w:t>551</w:t>
            </w:r>
          </w:p>
        </w:tc>
        <w:tc>
          <w:tcPr>
            <w:tcW w:w="1161" w:type="dxa"/>
            <w:tcBorders>
              <w:top w:val="nil"/>
              <w:left w:val="nil"/>
              <w:bottom w:val="single" w:sz="8" w:space="0" w:color="auto"/>
              <w:right w:val="single" w:sz="8" w:space="0" w:color="auto"/>
            </w:tcBorders>
            <w:tcMar>
              <w:top w:w="0" w:type="dxa"/>
              <w:left w:w="108" w:type="dxa"/>
              <w:bottom w:w="0" w:type="dxa"/>
              <w:right w:w="108" w:type="dxa"/>
            </w:tcMar>
            <w:vAlign w:val="bottom"/>
          </w:tcPr>
          <w:p w:rsidR="004A147C" w:rsidRDefault="004A147C" w:rsidP="00CE5850">
            <w:pPr>
              <w:jc w:val="right"/>
            </w:pPr>
            <w:r>
              <w:t>533</w:t>
            </w:r>
          </w:p>
        </w:tc>
        <w:tc>
          <w:tcPr>
            <w:tcW w:w="1130" w:type="dxa"/>
            <w:tcBorders>
              <w:top w:val="nil"/>
              <w:left w:val="nil"/>
              <w:bottom w:val="single" w:sz="8" w:space="0" w:color="auto"/>
              <w:right w:val="single" w:sz="8" w:space="0" w:color="auto"/>
            </w:tcBorders>
            <w:tcMar>
              <w:top w:w="0" w:type="dxa"/>
              <w:left w:w="108" w:type="dxa"/>
              <w:bottom w:w="0" w:type="dxa"/>
              <w:right w:w="108" w:type="dxa"/>
            </w:tcMar>
            <w:vAlign w:val="bottom"/>
          </w:tcPr>
          <w:p w:rsidR="004A147C" w:rsidRDefault="004A147C" w:rsidP="00CE5850">
            <w:pPr>
              <w:jc w:val="right"/>
            </w:pPr>
            <w:r>
              <w:t>509</w:t>
            </w:r>
          </w:p>
        </w:tc>
        <w:tc>
          <w:tcPr>
            <w:tcW w:w="1130" w:type="dxa"/>
            <w:tcBorders>
              <w:top w:val="nil"/>
              <w:left w:val="nil"/>
              <w:bottom w:val="single" w:sz="8" w:space="0" w:color="auto"/>
              <w:right w:val="single" w:sz="8" w:space="0" w:color="auto"/>
            </w:tcBorders>
            <w:tcMar>
              <w:top w:w="0" w:type="dxa"/>
              <w:left w:w="108" w:type="dxa"/>
              <w:bottom w:w="0" w:type="dxa"/>
              <w:right w:w="108" w:type="dxa"/>
            </w:tcMar>
            <w:vAlign w:val="bottom"/>
          </w:tcPr>
          <w:p w:rsidR="004A147C" w:rsidRDefault="004A147C" w:rsidP="00CE5850">
            <w:pPr>
              <w:jc w:val="right"/>
            </w:pPr>
            <w:r>
              <w:t>459</w:t>
            </w:r>
          </w:p>
        </w:tc>
        <w:tc>
          <w:tcPr>
            <w:tcW w:w="1130" w:type="dxa"/>
            <w:tcBorders>
              <w:top w:val="nil"/>
              <w:left w:val="nil"/>
              <w:bottom w:val="single" w:sz="8" w:space="0" w:color="auto"/>
              <w:right w:val="single" w:sz="8" w:space="0" w:color="auto"/>
            </w:tcBorders>
            <w:tcMar>
              <w:top w:w="0" w:type="dxa"/>
              <w:left w:w="108" w:type="dxa"/>
              <w:bottom w:w="0" w:type="dxa"/>
              <w:right w:w="108" w:type="dxa"/>
            </w:tcMar>
            <w:vAlign w:val="bottom"/>
          </w:tcPr>
          <w:p w:rsidR="004A147C" w:rsidRDefault="004A147C" w:rsidP="00CE5850">
            <w:pPr>
              <w:jc w:val="right"/>
            </w:pPr>
            <w:r>
              <w:t>430</w:t>
            </w:r>
          </w:p>
        </w:tc>
      </w:tr>
      <w:tr w:rsidR="004A147C" w:rsidTr="005C70A5">
        <w:trPr>
          <w:trHeight w:val="260"/>
          <w:jc w:val="center"/>
        </w:trPr>
        <w:tc>
          <w:tcPr>
            <w:tcW w:w="2507" w:type="dxa"/>
            <w:tcBorders>
              <w:top w:val="nil"/>
              <w:left w:val="single" w:sz="8" w:space="0" w:color="auto"/>
              <w:bottom w:val="single" w:sz="8" w:space="0" w:color="auto"/>
              <w:right w:val="single" w:sz="8" w:space="0" w:color="auto"/>
            </w:tcBorders>
            <w:tcMar>
              <w:top w:w="0" w:type="dxa"/>
              <w:left w:w="108" w:type="dxa"/>
              <w:bottom w:w="0" w:type="dxa"/>
              <w:right w:w="108" w:type="dxa"/>
            </w:tcMar>
            <w:vAlign w:val="bottom"/>
          </w:tcPr>
          <w:p w:rsidR="004A147C" w:rsidRDefault="004A147C" w:rsidP="00CE5850">
            <w:r>
              <w:t>NTELOS</w:t>
            </w:r>
          </w:p>
        </w:tc>
        <w:tc>
          <w:tcPr>
            <w:tcW w:w="1066" w:type="dxa"/>
            <w:tcBorders>
              <w:top w:val="nil"/>
              <w:left w:val="nil"/>
              <w:bottom w:val="single" w:sz="8" w:space="0" w:color="auto"/>
              <w:right w:val="single" w:sz="8" w:space="0" w:color="auto"/>
            </w:tcBorders>
            <w:tcMar>
              <w:top w:w="0" w:type="dxa"/>
              <w:left w:w="108" w:type="dxa"/>
              <w:bottom w:w="0" w:type="dxa"/>
              <w:right w:w="108" w:type="dxa"/>
            </w:tcMar>
            <w:vAlign w:val="bottom"/>
          </w:tcPr>
          <w:p w:rsidR="004A147C" w:rsidRDefault="004A147C" w:rsidP="00CE5850">
            <w:pPr>
              <w:jc w:val="right"/>
            </w:pPr>
            <w:r>
              <w:t>435</w:t>
            </w:r>
          </w:p>
        </w:tc>
        <w:tc>
          <w:tcPr>
            <w:tcW w:w="1161" w:type="dxa"/>
            <w:tcBorders>
              <w:top w:val="nil"/>
              <w:left w:val="nil"/>
              <w:bottom w:val="single" w:sz="8" w:space="0" w:color="auto"/>
              <w:right w:val="single" w:sz="8" w:space="0" w:color="auto"/>
            </w:tcBorders>
            <w:tcMar>
              <w:top w:w="0" w:type="dxa"/>
              <w:left w:w="108" w:type="dxa"/>
              <w:bottom w:w="0" w:type="dxa"/>
              <w:right w:w="108" w:type="dxa"/>
            </w:tcMar>
            <w:vAlign w:val="bottom"/>
          </w:tcPr>
          <w:p w:rsidR="004A147C" w:rsidRDefault="004A147C" w:rsidP="00CE5850">
            <w:pPr>
              <w:jc w:val="right"/>
            </w:pPr>
            <w:r>
              <w:t>439</w:t>
            </w:r>
          </w:p>
        </w:tc>
        <w:tc>
          <w:tcPr>
            <w:tcW w:w="1130" w:type="dxa"/>
            <w:tcBorders>
              <w:top w:val="nil"/>
              <w:left w:val="nil"/>
              <w:bottom w:val="single" w:sz="8" w:space="0" w:color="auto"/>
              <w:right w:val="single" w:sz="8" w:space="0" w:color="auto"/>
            </w:tcBorders>
            <w:tcMar>
              <w:top w:w="0" w:type="dxa"/>
              <w:left w:w="108" w:type="dxa"/>
              <w:bottom w:w="0" w:type="dxa"/>
              <w:right w:w="108" w:type="dxa"/>
            </w:tcMar>
            <w:vAlign w:val="bottom"/>
          </w:tcPr>
          <w:p w:rsidR="004A147C" w:rsidRDefault="004A147C" w:rsidP="00CE5850">
            <w:pPr>
              <w:jc w:val="right"/>
            </w:pPr>
            <w:r>
              <w:t>438</w:t>
            </w:r>
          </w:p>
        </w:tc>
        <w:tc>
          <w:tcPr>
            <w:tcW w:w="1130" w:type="dxa"/>
            <w:tcBorders>
              <w:top w:val="nil"/>
              <w:left w:val="nil"/>
              <w:bottom w:val="single" w:sz="8" w:space="0" w:color="auto"/>
              <w:right w:val="single" w:sz="8" w:space="0" w:color="auto"/>
            </w:tcBorders>
            <w:tcMar>
              <w:top w:w="0" w:type="dxa"/>
              <w:left w:w="108" w:type="dxa"/>
              <w:bottom w:w="0" w:type="dxa"/>
              <w:right w:w="108" w:type="dxa"/>
            </w:tcMar>
            <w:vAlign w:val="bottom"/>
          </w:tcPr>
          <w:p w:rsidR="004A147C" w:rsidRDefault="004A147C" w:rsidP="00CE5850">
            <w:pPr>
              <w:jc w:val="right"/>
            </w:pPr>
            <w:r>
              <w:t>415</w:t>
            </w:r>
          </w:p>
        </w:tc>
        <w:tc>
          <w:tcPr>
            <w:tcW w:w="1130" w:type="dxa"/>
            <w:tcBorders>
              <w:top w:val="nil"/>
              <w:left w:val="nil"/>
              <w:bottom w:val="single" w:sz="8" w:space="0" w:color="auto"/>
              <w:right w:val="single" w:sz="8" w:space="0" w:color="auto"/>
            </w:tcBorders>
            <w:tcMar>
              <w:top w:w="0" w:type="dxa"/>
              <w:left w:w="108" w:type="dxa"/>
              <w:bottom w:w="0" w:type="dxa"/>
              <w:right w:w="108" w:type="dxa"/>
            </w:tcMar>
            <w:vAlign w:val="bottom"/>
          </w:tcPr>
          <w:p w:rsidR="004A147C" w:rsidRDefault="004A147C" w:rsidP="00CE5850">
            <w:pPr>
              <w:jc w:val="right"/>
            </w:pPr>
            <w:r>
              <w:t>425</w:t>
            </w:r>
          </w:p>
        </w:tc>
      </w:tr>
    </w:tbl>
    <w:p w:rsidR="004A147C" w:rsidRPr="00B53FFB" w:rsidRDefault="004A147C" w:rsidP="00CE5850">
      <w:pPr>
        <w:rPr>
          <w:szCs w:val="22"/>
        </w:rPr>
      </w:pPr>
      <w:bookmarkStart w:id="1109" w:name="_Toc275517959"/>
      <w:bookmarkStart w:id="1110" w:name="_Toc275952399"/>
      <w:bookmarkStart w:id="1111" w:name="_Toc276121831"/>
      <w:bookmarkStart w:id="1112" w:name="_Toc276480668"/>
      <w:bookmarkStart w:id="1113" w:name="_Ref276644058"/>
      <w:bookmarkStart w:id="1114" w:name="_Ref276644063"/>
      <w:bookmarkStart w:id="1115" w:name="_Toc276741745"/>
      <w:bookmarkStart w:id="1116" w:name="_Toc277171509"/>
      <w:bookmarkStart w:id="1117" w:name="_Ref277757531"/>
      <w:bookmarkStart w:id="1118" w:name="_Toc277864484"/>
      <w:bookmarkStart w:id="1119" w:name="_Toc277864700"/>
      <w:bookmarkStart w:id="1120" w:name="_Ref279074921"/>
      <w:bookmarkStart w:id="1121" w:name="_Ref279589371"/>
      <w:bookmarkStart w:id="1122" w:name="_Ref279589375"/>
      <w:bookmarkStart w:id="1123" w:name="_Toc285810381"/>
      <w:bookmarkStart w:id="1124" w:name="_Toc287257775"/>
      <w:bookmarkStart w:id="1125" w:name="_Toc291758654"/>
      <w:bookmarkStart w:id="1126" w:name="_Toc291758757"/>
      <w:bookmarkStart w:id="1127" w:name="_Toc295392937"/>
      <w:bookmarkStart w:id="1128" w:name="_Ref328397781"/>
      <w:bookmarkStart w:id="1129" w:name="_Toc329262486"/>
      <w:bookmarkStart w:id="1130" w:name="_Toc171415219"/>
      <w:bookmarkStart w:id="1131" w:name="_Toc173642107"/>
      <w:bookmarkStart w:id="1132" w:name="_Toc173813645"/>
      <w:bookmarkStart w:id="1133" w:name="_Toc175387814"/>
      <w:bookmarkStart w:id="1134" w:name="_Toc176254416"/>
      <w:bookmarkStart w:id="1135" w:name="_Toc176254705"/>
      <w:bookmarkStart w:id="1136" w:name="_Toc176254816"/>
      <w:bookmarkStart w:id="1137" w:name="_Toc176762451"/>
      <w:bookmarkStart w:id="1138" w:name="_Toc176843472"/>
      <w:bookmarkStart w:id="1139" w:name="_Toc176853276"/>
      <w:bookmarkStart w:id="1140" w:name="_Toc176853385"/>
      <w:bookmarkStart w:id="1141" w:name="_Toc176857434"/>
      <w:bookmarkStart w:id="1142" w:name="_Toc179108359"/>
      <w:bookmarkStart w:id="1143" w:name="_Toc179357618"/>
      <w:bookmarkStart w:id="1144" w:name="_Toc181781102"/>
      <w:bookmarkStart w:id="1145" w:name="_Toc182218688"/>
      <w:bookmarkStart w:id="1146" w:name="_Toc182909123"/>
      <w:bookmarkStart w:id="1147" w:name="_Toc182909553"/>
      <w:bookmarkStart w:id="1148" w:name="_Toc182987203"/>
      <w:bookmarkStart w:id="1149" w:name="_Toc183244038"/>
      <w:bookmarkStart w:id="1150" w:name="_Toc183244416"/>
      <w:bookmarkStart w:id="1151" w:name="_Toc183244817"/>
      <w:bookmarkStart w:id="1152" w:name="_Toc183244935"/>
      <w:bookmarkStart w:id="1153" w:name="_Toc183245593"/>
      <w:bookmarkStart w:id="1154" w:name="_Toc183246168"/>
      <w:bookmarkStart w:id="1155" w:name="_Toc183246286"/>
      <w:bookmarkStart w:id="1156" w:name="_Ref185241392"/>
      <w:bookmarkStart w:id="1157" w:name="_Ref185241454"/>
      <w:bookmarkStart w:id="1158" w:name="_Toc185667887"/>
      <w:bookmarkStart w:id="1159" w:name="_Toc185838944"/>
      <w:bookmarkStart w:id="1160" w:name="_Toc185846916"/>
      <w:bookmarkStart w:id="1161" w:name="_Toc185848522"/>
      <w:bookmarkStart w:id="1162" w:name="_Toc188946880"/>
      <w:bookmarkStart w:id="1163" w:name="_Toc189302784"/>
      <w:bookmarkStart w:id="1164" w:name="_Toc209948451"/>
      <w:bookmarkStart w:id="1165" w:name="_Toc209948561"/>
      <w:bookmarkStart w:id="1166" w:name="_Toc209950003"/>
      <w:bookmarkStart w:id="1167" w:name="_Toc210211459"/>
      <w:bookmarkStart w:id="1168" w:name="_Toc210213026"/>
      <w:bookmarkStart w:id="1169" w:name="_Toc210213165"/>
      <w:bookmarkStart w:id="1170" w:name="_Toc210213726"/>
      <w:bookmarkStart w:id="1171" w:name="_Toc212967951"/>
      <w:bookmarkStart w:id="1172" w:name="_Toc215316352"/>
      <w:bookmarkStart w:id="1173" w:name="_Toc215384606"/>
      <w:bookmarkStart w:id="1174" w:name="_Ref217790163"/>
      <w:bookmarkStart w:id="1175" w:name="_Ref217790188"/>
      <w:bookmarkStart w:id="1176" w:name="_Toc217810472"/>
      <w:bookmarkStart w:id="1177" w:name="_Toc252806167"/>
      <w:bookmarkStart w:id="1178" w:name="_Ref258240262"/>
      <w:bookmarkStart w:id="1179" w:name="_Ref258240264"/>
      <w:bookmarkStart w:id="1180" w:name="_Ref258836159"/>
      <w:bookmarkStart w:id="1181" w:name="_Ref260135666"/>
      <w:bookmarkStart w:id="1182" w:name="_Ref260135669"/>
      <w:bookmarkStart w:id="1183" w:name="_Ref261522970"/>
      <w:bookmarkStart w:id="1184" w:name="_Ref261522973"/>
      <w:bookmarkStart w:id="1185" w:name="_Toc261610762"/>
      <w:bookmarkStart w:id="1186" w:name="_Toc261858495"/>
      <w:bookmarkStart w:id="1187" w:name="_Toc262034300"/>
      <w:bookmarkStart w:id="1188" w:name="_Toc262034403"/>
      <w:bookmarkStart w:id="1189" w:name="_Toc271288442"/>
      <w:bookmarkEnd w:id="1108"/>
    </w:p>
    <w:p w:rsidR="004A147C" w:rsidRPr="00B53FFB" w:rsidRDefault="004A147C" w:rsidP="00CE5850">
      <w:pPr>
        <w:pStyle w:val="Heading3"/>
        <w:keepNext w:val="0"/>
        <w:numPr>
          <w:ilvl w:val="2"/>
          <w:numId w:val="26"/>
        </w:numPr>
        <w:tabs>
          <w:tab w:val="left" w:pos="2160"/>
        </w:tabs>
        <w:rPr>
          <w:sz w:val="22"/>
          <w:szCs w:val="22"/>
        </w:rPr>
      </w:pPr>
      <w:bookmarkStart w:id="1190" w:name="_Toc329852390"/>
      <w:bookmarkStart w:id="1191" w:name="_Toc331766306"/>
      <w:bookmarkStart w:id="1192" w:name="_Toc332119101"/>
      <w:bookmarkStart w:id="1193" w:name="_Ref332370389"/>
      <w:bookmarkStart w:id="1194" w:name="_Ref332813027"/>
      <w:bookmarkStart w:id="1195" w:name="_Toc334088784"/>
      <w:bookmarkStart w:id="1196" w:name="_Toc334089020"/>
      <w:bookmarkStart w:id="1197" w:name="_Toc334089179"/>
      <w:bookmarkStart w:id="1198" w:name="_Toc334089290"/>
      <w:bookmarkStart w:id="1199" w:name="_Toc334089454"/>
      <w:bookmarkStart w:id="1200" w:name="_Toc335839027"/>
      <w:bookmarkStart w:id="1201" w:name="_Toc336268590"/>
      <w:bookmarkStart w:id="1202" w:name="_Toc336268698"/>
      <w:bookmarkStart w:id="1203" w:name="_Toc336268805"/>
      <w:bookmarkStart w:id="1204" w:name="_Toc336269019"/>
      <w:bookmarkStart w:id="1205" w:name="_Toc336269126"/>
      <w:bookmarkStart w:id="1206" w:name="_Toc336269494"/>
      <w:bookmarkStart w:id="1207" w:name="_Toc336269640"/>
      <w:bookmarkStart w:id="1208" w:name="_Toc336270053"/>
      <w:bookmarkStart w:id="1209" w:name="_Toc336271259"/>
      <w:bookmarkStart w:id="1210" w:name="_Ref336857967"/>
      <w:bookmarkStart w:id="1211" w:name="_Toc337651952"/>
      <w:bookmarkStart w:id="1212" w:name="_Toc349577140"/>
      <w:bookmarkStart w:id="1213" w:name="_Toc349579232"/>
      <w:bookmarkStart w:id="1214" w:name="_Toc349580547"/>
      <w:bookmarkStart w:id="1215" w:name="_Toc349734955"/>
      <w:bookmarkStart w:id="1216" w:name="_Toc349742320"/>
      <w:r w:rsidRPr="00B53FFB">
        <w:rPr>
          <w:sz w:val="22"/>
          <w:szCs w:val="22"/>
        </w:rPr>
        <w:t>Herfindahl-Hirschman Index</w:t>
      </w:r>
      <w:bookmarkEnd w:id="1109"/>
      <w:bookmarkEnd w:id="1110"/>
      <w:bookmarkEnd w:id="1111"/>
      <w:bookmarkEnd w:id="1112"/>
      <w:bookmarkEnd w:id="1113"/>
      <w:bookmarkEnd w:id="1114"/>
      <w:bookmarkEnd w:id="1115"/>
      <w:bookmarkEnd w:id="1116"/>
      <w:bookmarkEnd w:id="1117"/>
      <w:bookmarkEnd w:id="1118"/>
      <w:bookmarkEnd w:id="1119"/>
      <w:bookmarkEnd w:id="1120"/>
      <w:bookmarkEnd w:id="1121"/>
      <w:bookmarkEnd w:id="1122"/>
      <w:bookmarkEnd w:id="1123"/>
      <w:bookmarkEnd w:id="1124"/>
      <w:bookmarkEnd w:id="1125"/>
      <w:bookmarkEnd w:id="1126"/>
      <w:bookmarkEnd w:id="1127"/>
      <w:bookmarkEnd w:id="1128"/>
      <w:bookmarkEnd w:id="1129"/>
      <w:bookmarkEnd w:id="1190"/>
      <w:bookmarkEnd w:id="1191"/>
      <w:bookmarkEnd w:id="1192"/>
      <w:bookmarkEnd w:id="1193"/>
      <w:bookmarkEnd w:id="1194"/>
      <w:bookmarkEnd w:id="1195"/>
      <w:bookmarkEnd w:id="1196"/>
      <w:bookmarkEnd w:id="1197"/>
      <w:bookmarkEnd w:id="1198"/>
      <w:bookmarkEnd w:id="1199"/>
      <w:bookmarkEnd w:id="1200"/>
      <w:bookmarkEnd w:id="1201"/>
      <w:bookmarkEnd w:id="1202"/>
      <w:bookmarkEnd w:id="1203"/>
      <w:bookmarkEnd w:id="1204"/>
      <w:bookmarkEnd w:id="1205"/>
      <w:bookmarkEnd w:id="1206"/>
      <w:bookmarkEnd w:id="1207"/>
      <w:bookmarkEnd w:id="1208"/>
      <w:bookmarkEnd w:id="1209"/>
      <w:bookmarkEnd w:id="1210"/>
      <w:bookmarkEnd w:id="1211"/>
      <w:bookmarkEnd w:id="1212"/>
      <w:bookmarkEnd w:id="1213"/>
      <w:bookmarkEnd w:id="1214"/>
      <w:bookmarkEnd w:id="1215"/>
      <w:bookmarkEnd w:id="1216"/>
      <w:r w:rsidRPr="00B53FFB">
        <w:rPr>
          <w:sz w:val="22"/>
          <w:szCs w:val="22"/>
        </w:rPr>
        <w:t xml:space="preserve"> </w:t>
      </w:r>
      <w:bookmarkEnd w:id="1091"/>
      <w:bookmarkEnd w:id="1092"/>
      <w:bookmarkEnd w:id="1093"/>
      <w:bookmarkEnd w:id="1094"/>
      <w:bookmarkEnd w:id="1095"/>
      <w:bookmarkEnd w:id="1096"/>
      <w:bookmarkEnd w:id="1097"/>
      <w:bookmarkEnd w:id="1098"/>
      <w:bookmarkEnd w:id="1099"/>
      <w:bookmarkEnd w:id="1100"/>
      <w:bookmarkEnd w:id="1101"/>
      <w:bookmarkEnd w:id="1102"/>
      <w:bookmarkEnd w:id="1103"/>
      <w:bookmarkEnd w:id="1104"/>
      <w:bookmarkEnd w:id="1130"/>
      <w:bookmarkEnd w:id="1131"/>
      <w:bookmarkEnd w:id="1132"/>
      <w:bookmarkEnd w:id="1133"/>
      <w:bookmarkEnd w:id="1134"/>
      <w:bookmarkEnd w:id="1135"/>
      <w:bookmarkEnd w:id="1136"/>
      <w:bookmarkEnd w:id="1137"/>
      <w:bookmarkEnd w:id="1138"/>
      <w:bookmarkEnd w:id="1139"/>
      <w:bookmarkEnd w:id="1140"/>
      <w:bookmarkEnd w:id="1141"/>
      <w:bookmarkEnd w:id="1142"/>
      <w:bookmarkEnd w:id="1143"/>
      <w:bookmarkEnd w:id="1144"/>
      <w:bookmarkEnd w:id="1145"/>
      <w:bookmarkEnd w:id="1146"/>
      <w:bookmarkEnd w:id="1147"/>
      <w:bookmarkEnd w:id="1148"/>
      <w:bookmarkEnd w:id="1149"/>
      <w:bookmarkEnd w:id="1150"/>
      <w:bookmarkEnd w:id="1151"/>
      <w:bookmarkEnd w:id="1152"/>
      <w:bookmarkEnd w:id="1153"/>
      <w:bookmarkEnd w:id="1154"/>
      <w:bookmarkEnd w:id="1155"/>
      <w:bookmarkEnd w:id="1156"/>
      <w:bookmarkEnd w:id="1157"/>
      <w:bookmarkEnd w:id="1158"/>
      <w:bookmarkEnd w:id="1159"/>
      <w:bookmarkEnd w:id="1160"/>
      <w:bookmarkEnd w:id="1161"/>
      <w:bookmarkEnd w:id="1162"/>
      <w:bookmarkEnd w:id="1163"/>
      <w:bookmarkEnd w:id="1164"/>
      <w:bookmarkEnd w:id="1165"/>
      <w:bookmarkEnd w:id="1166"/>
      <w:bookmarkEnd w:id="1167"/>
      <w:bookmarkEnd w:id="1168"/>
      <w:bookmarkEnd w:id="1169"/>
      <w:bookmarkEnd w:id="1170"/>
      <w:bookmarkEnd w:id="1171"/>
      <w:bookmarkEnd w:id="1172"/>
      <w:bookmarkEnd w:id="1173"/>
      <w:bookmarkEnd w:id="1174"/>
      <w:bookmarkEnd w:id="1175"/>
      <w:bookmarkEnd w:id="1176"/>
      <w:bookmarkEnd w:id="1177"/>
      <w:bookmarkEnd w:id="1178"/>
      <w:bookmarkEnd w:id="1179"/>
      <w:bookmarkEnd w:id="1180"/>
      <w:bookmarkEnd w:id="1181"/>
      <w:bookmarkEnd w:id="1182"/>
      <w:bookmarkEnd w:id="1183"/>
      <w:bookmarkEnd w:id="1184"/>
      <w:bookmarkEnd w:id="1185"/>
      <w:bookmarkEnd w:id="1186"/>
      <w:bookmarkEnd w:id="1187"/>
      <w:bookmarkEnd w:id="1188"/>
      <w:bookmarkEnd w:id="1189"/>
    </w:p>
    <w:p w:rsidR="004A147C" w:rsidRPr="00B53FFB" w:rsidRDefault="004A147C" w:rsidP="00CE5850">
      <w:pPr>
        <w:pStyle w:val="ParaNum"/>
        <w:numPr>
          <w:ilvl w:val="0"/>
          <w:numId w:val="28"/>
        </w:numPr>
        <w:rPr>
          <w:sz w:val="22"/>
          <w:szCs w:val="22"/>
        </w:rPr>
      </w:pPr>
      <w:r w:rsidRPr="00B53FFB">
        <w:rPr>
          <w:sz w:val="22"/>
          <w:szCs w:val="22"/>
        </w:rPr>
        <w:t>The Commission employs the Herfindahl-Hirschman Index (HHI), the most widely-accepted measure of concentration in competition analysis.  In particular, it allows a comparison of different distributions of providers’ shares of subscribers.  The range of the HHI is from zero to 10,000, with 10,000 representing a monopoly, the highest possible level of industry concentration.  Fewer providers or a higher inequality in providers’ shares of subscribers result in higher HHI values.</w:t>
      </w:r>
      <w:r w:rsidRPr="00B53FFB">
        <w:rPr>
          <w:rStyle w:val="FootnoteReference"/>
          <w:szCs w:val="22"/>
        </w:rPr>
        <w:footnoteReference w:id="171"/>
      </w:r>
      <w:r w:rsidRPr="00B53FFB">
        <w:rPr>
          <w:sz w:val="22"/>
          <w:szCs w:val="22"/>
        </w:rPr>
        <w:t xml:space="preserve">  As a benchmark for comparison, the value of the HHI for a hypothetical market in which there are four facilities-based providers with equal shares of subscribers is 2500.  If there are three facilities-based providers with equal shares of subscribers, the value would increase to 3333.</w:t>
      </w:r>
      <w:r w:rsidRPr="00B53FFB">
        <w:rPr>
          <w:rStyle w:val="FootnoteReference"/>
          <w:szCs w:val="22"/>
        </w:rPr>
        <w:footnoteReference w:id="172"/>
      </w:r>
      <w:r w:rsidRPr="00B53FFB">
        <w:rPr>
          <w:sz w:val="22"/>
          <w:szCs w:val="22"/>
        </w:rPr>
        <w:t xml:space="preserve">  Antitrust authorities in the United States generally classify markets into three types:  Unconcentrated (HHI &lt; 1500), Moderately Concentrated (1500 &lt; HHI &lt; 2500), and Highly Concentrated (HHI &gt; 2500).</w:t>
      </w:r>
      <w:r w:rsidRPr="00B53FFB">
        <w:rPr>
          <w:rStyle w:val="FootnoteReference"/>
          <w:szCs w:val="22"/>
        </w:rPr>
        <w:footnoteReference w:id="173"/>
      </w:r>
    </w:p>
    <w:p w:rsidR="004A147C" w:rsidRPr="00B53FFB" w:rsidRDefault="004A147C" w:rsidP="00CE5850">
      <w:pPr>
        <w:pStyle w:val="ParaNum"/>
        <w:numPr>
          <w:ilvl w:val="0"/>
          <w:numId w:val="28"/>
        </w:numPr>
        <w:rPr>
          <w:sz w:val="22"/>
          <w:szCs w:val="22"/>
        </w:rPr>
      </w:pPr>
      <w:r w:rsidRPr="00B53FFB">
        <w:rPr>
          <w:i/>
          <w:sz w:val="22"/>
          <w:szCs w:val="22"/>
        </w:rPr>
        <w:t>HHI Methodology</w:t>
      </w:r>
      <w:r w:rsidRPr="00B53FFB">
        <w:rPr>
          <w:sz w:val="22"/>
          <w:szCs w:val="22"/>
        </w:rPr>
        <w:t xml:space="preserve">.  As in previous </w:t>
      </w:r>
      <w:r w:rsidRPr="00B53FFB">
        <w:rPr>
          <w:i/>
          <w:sz w:val="22"/>
          <w:szCs w:val="22"/>
        </w:rPr>
        <w:t>Reports</w:t>
      </w:r>
      <w:r w:rsidRPr="00B53FFB">
        <w:rPr>
          <w:sz w:val="22"/>
          <w:szCs w:val="22"/>
        </w:rPr>
        <w:t>, we calculate the HHI in each EA using the shares of mobile wireless connections held by facilities-based mobile wireless providers, deriving providers’ shares of connections from their respective number of connections.</w:t>
      </w:r>
      <w:bookmarkStart w:id="1217" w:name="_Ref258240182"/>
      <w:r w:rsidRPr="00B53FFB">
        <w:rPr>
          <w:rStyle w:val="FootnoteReference"/>
          <w:szCs w:val="22"/>
        </w:rPr>
        <w:footnoteReference w:id="174"/>
      </w:r>
      <w:bookmarkEnd w:id="1217"/>
      <w:r w:rsidRPr="00B53FFB">
        <w:rPr>
          <w:sz w:val="22"/>
          <w:szCs w:val="22"/>
        </w:rPr>
        <w:t xml:space="preserve">  Hence, we use a facilities-based provider’s number of connected devices as a proxy for the provider’s actual output (</w:t>
      </w:r>
      <w:r w:rsidRPr="00B53FFB">
        <w:rPr>
          <w:i/>
          <w:sz w:val="22"/>
          <w:szCs w:val="22"/>
        </w:rPr>
        <w:t>i.e.,</w:t>
      </w:r>
      <w:r w:rsidRPr="00B53FFB">
        <w:rPr>
          <w:sz w:val="22"/>
          <w:szCs w:val="22"/>
        </w:rPr>
        <w:t xml:space="preserve"> minutes of use, MBs, etc.).  The number of mobile wireless connections for each provider is determined based on the Commission’s year-end 2011 NRUF data, which track phone number usage information for the United States.</w:t>
      </w:r>
      <w:r w:rsidRPr="00B53FFB">
        <w:rPr>
          <w:rStyle w:val="FootnoteReference"/>
          <w:szCs w:val="22"/>
        </w:rPr>
        <w:footnoteReference w:id="175"/>
      </w:r>
    </w:p>
    <w:p w:rsidR="004A147C" w:rsidRPr="00B53FFB" w:rsidRDefault="004A147C" w:rsidP="00CE5850">
      <w:pPr>
        <w:pStyle w:val="ParaNum"/>
        <w:numPr>
          <w:ilvl w:val="0"/>
          <w:numId w:val="28"/>
        </w:numPr>
        <w:rPr>
          <w:sz w:val="22"/>
          <w:szCs w:val="22"/>
        </w:rPr>
      </w:pPr>
      <w:r w:rsidRPr="00B53FFB">
        <w:rPr>
          <w:sz w:val="22"/>
          <w:szCs w:val="22"/>
        </w:rPr>
        <w:t>Certain limitations of the NRUF data may affect the accuracy of the HHI estimates.</w:t>
      </w:r>
      <w:r w:rsidRPr="00B53FFB">
        <w:rPr>
          <w:rStyle w:val="FootnoteReference"/>
          <w:szCs w:val="22"/>
        </w:rPr>
        <w:footnoteReference w:id="176"/>
      </w:r>
      <w:r w:rsidRPr="00B53FFB">
        <w:rPr>
          <w:sz w:val="22"/>
          <w:szCs w:val="22"/>
        </w:rPr>
        <w:t xml:space="preserve">  First, not all providers assign telephone numbers to the mobile devices on their networks.  Thus, t</w:t>
      </w:r>
      <w:r w:rsidRPr="00B53FFB">
        <w:rPr>
          <w:sz w:val="22"/>
          <w:szCs w:val="22"/>
          <w:lang w:bidi="he-IL"/>
        </w:rPr>
        <w:t xml:space="preserve">he NRUF data do not include connections of Clearwire (which does not assign telephone numbers to its devices) that are not also Sprint connections, and Clearwire is not counted as a separate provider in the </w:t>
      </w:r>
      <w:r w:rsidRPr="00B53FFB">
        <w:rPr>
          <w:i/>
          <w:sz w:val="22"/>
          <w:szCs w:val="22"/>
          <w:lang w:bidi="he-IL"/>
        </w:rPr>
        <w:t>Report’s</w:t>
      </w:r>
      <w:r w:rsidRPr="00B53FFB">
        <w:rPr>
          <w:sz w:val="22"/>
          <w:szCs w:val="22"/>
          <w:lang w:bidi="he-IL"/>
        </w:rPr>
        <w:t xml:space="preserve"> HHI calculations.</w:t>
      </w:r>
      <w:r w:rsidRPr="00B53FFB">
        <w:rPr>
          <w:rStyle w:val="FootnoteReference"/>
          <w:szCs w:val="22"/>
          <w:lang w:bidi="he-IL"/>
        </w:rPr>
        <w:footnoteReference w:id="177"/>
      </w:r>
      <w:r w:rsidRPr="00B53FFB">
        <w:rPr>
          <w:sz w:val="22"/>
          <w:szCs w:val="22"/>
          <w:lang w:bidi="he-IL"/>
        </w:rPr>
        <w:t xml:space="preserve">  Second, </w:t>
      </w:r>
      <w:r w:rsidRPr="00B53FFB">
        <w:rPr>
          <w:sz w:val="22"/>
          <w:szCs w:val="22"/>
        </w:rPr>
        <w:t xml:space="preserve">some data-only mobile devices are assigned telephone numbers by some providers, but some providers do not assign telephone numbers to many of these data-only devices.  The inconsistent application of telephone numbers by different providers to the same or similar data-only devices may decrease a provider’s number of connections (in the NRUF data) relative to the provider’s publicly-reported number of connections.  This may cause variation across providers’ market shares that would not be present if a consistent accounting of devices were available at the sub-national level. </w:t>
      </w:r>
      <w:r w:rsidRPr="00B53FFB">
        <w:rPr>
          <w:sz w:val="22"/>
          <w:szCs w:val="22"/>
          <w:lang w:bidi="he-IL"/>
        </w:rPr>
        <w:t xml:space="preserve">  </w:t>
      </w:r>
    </w:p>
    <w:p w:rsidR="004A147C" w:rsidRPr="00B53FFB" w:rsidRDefault="004A147C" w:rsidP="00CE5850">
      <w:pPr>
        <w:pStyle w:val="ParaNum"/>
        <w:numPr>
          <w:ilvl w:val="0"/>
          <w:numId w:val="28"/>
        </w:numPr>
        <w:rPr>
          <w:sz w:val="22"/>
          <w:szCs w:val="22"/>
        </w:rPr>
      </w:pPr>
      <w:r w:rsidRPr="00B53FFB">
        <w:rPr>
          <w:sz w:val="22"/>
          <w:szCs w:val="22"/>
        </w:rPr>
        <w:t>Wholesale customers are included with the customers of their hosting facilities-based providers, except for the wholesale customers of Clearwire, virtually all of whom are already included in Sprint’s connections.</w:t>
      </w:r>
      <w:r w:rsidRPr="00B53FFB">
        <w:rPr>
          <w:rStyle w:val="FootnoteReference"/>
          <w:szCs w:val="22"/>
        </w:rPr>
        <w:footnoteReference w:id="178"/>
      </w:r>
      <w:r w:rsidRPr="00B53FFB">
        <w:rPr>
          <w:sz w:val="22"/>
          <w:szCs w:val="22"/>
        </w:rPr>
        <w:t xml:space="preserve">  Therefore, market shares of MVNOs are not quantified separately in the </w:t>
      </w:r>
      <w:r w:rsidRPr="00B53FFB">
        <w:rPr>
          <w:i/>
          <w:sz w:val="22"/>
          <w:szCs w:val="22"/>
        </w:rPr>
        <w:t>Report’s</w:t>
      </w:r>
      <w:r w:rsidRPr="00B53FFB">
        <w:rPr>
          <w:sz w:val="22"/>
          <w:szCs w:val="22"/>
        </w:rPr>
        <w:t xml:space="preserve"> concentration metrics.</w:t>
      </w:r>
      <w:r w:rsidRPr="00B53FFB">
        <w:rPr>
          <w:rStyle w:val="FootnoteReference"/>
          <w:szCs w:val="22"/>
        </w:rPr>
        <w:footnoteReference w:id="179"/>
      </w:r>
      <w:r w:rsidRPr="00B53FFB">
        <w:rPr>
          <w:sz w:val="22"/>
          <w:szCs w:val="22"/>
        </w:rPr>
        <w:t xml:space="preserve">  Leading</w:t>
      </w:r>
      <w:r w:rsidRPr="00B53FFB">
        <w:rPr>
          <w:sz w:val="22"/>
          <w:szCs w:val="22"/>
          <w:lang w:bidi="he-IL"/>
        </w:rPr>
        <w:t xml:space="preserve"> industry analyst reports on the mobile wireless industry also include wholesale subscribers with retail subscribers when they calculate market concentration metrics.</w:t>
      </w:r>
      <w:r w:rsidRPr="00B53FFB">
        <w:rPr>
          <w:rStyle w:val="FootnoteReference"/>
          <w:szCs w:val="22"/>
          <w:lang w:bidi="he-IL"/>
        </w:rPr>
        <w:footnoteReference w:id="180"/>
      </w:r>
      <w:r w:rsidRPr="00B53FFB">
        <w:rPr>
          <w:sz w:val="22"/>
          <w:szCs w:val="22"/>
          <w:lang w:bidi="he-IL"/>
        </w:rPr>
        <w:t xml:space="preserve">  </w:t>
      </w:r>
    </w:p>
    <w:p w:rsidR="004A147C" w:rsidRPr="00B53FFB" w:rsidRDefault="004A147C" w:rsidP="00CE5850">
      <w:pPr>
        <w:pStyle w:val="ParaNum"/>
        <w:numPr>
          <w:ilvl w:val="0"/>
          <w:numId w:val="28"/>
        </w:numPr>
        <w:rPr>
          <w:sz w:val="22"/>
          <w:szCs w:val="22"/>
        </w:rPr>
      </w:pPr>
      <w:r w:rsidRPr="00B53FFB">
        <w:rPr>
          <w:sz w:val="22"/>
          <w:szCs w:val="22"/>
        </w:rPr>
        <w:t>A national weighted average HHI across EAs is obtained by averaging the HHIs of all 172 EAs, with more (less) importance attached to EAs that have a higher (lower) population.</w:t>
      </w:r>
      <w:r w:rsidRPr="00B53FFB">
        <w:rPr>
          <w:rStyle w:val="FootnoteReference"/>
          <w:szCs w:val="22"/>
        </w:rPr>
        <w:footnoteReference w:id="181"/>
      </w:r>
      <w:r w:rsidRPr="00B53FFB">
        <w:rPr>
          <w:sz w:val="22"/>
          <w:szCs w:val="22"/>
        </w:rPr>
        <w:t xml:space="preserve">  Although we calculate the HHI on an EA geographical market for this </w:t>
      </w:r>
      <w:r w:rsidRPr="00B53FFB">
        <w:rPr>
          <w:i/>
          <w:sz w:val="22"/>
          <w:szCs w:val="22"/>
        </w:rPr>
        <w:t>Report</w:t>
      </w:r>
      <w:r w:rsidRPr="00B53FFB">
        <w:rPr>
          <w:sz w:val="22"/>
          <w:szCs w:val="22"/>
        </w:rPr>
        <w:t xml:space="preserve">, as shown in </w:t>
      </w:r>
      <w:r w:rsidR="00951E9B">
        <w:fldChar w:fldCharType="begin"/>
      </w:r>
      <w:r w:rsidR="00951E9B">
        <w:instrText xml:space="preserve"> REF _Ref348074218  \* MERGEFORMAT </w:instrText>
      </w:r>
      <w:r w:rsidR="00951E9B">
        <w:fldChar w:fldCharType="separate"/>
      </w:r>
      <w:r w:rsidR="00CA3AC6" w:rsidRPr="00CA3AC6">
        <w:rPr>
          <w:bCs/>
          <w:sz w:val="22"/>
          <w:szCs w:val="22"/>
        </w:rPr>
        <w:t>Table</w:t>
      </w:r>
      <w:r w:rsidR="00CA3AC6" w:rsidRPr="00CA3AC6">
        <w:rPr>
          <w:bCs/>
          <w:i/>
          <w:sz w:val="22"/>
          <w:szCs w:val="22"/>
        </w:rPr>
        <w:t xml:space="preserve"> </w:t>
      </w:r>
      <w:r w:rsidR="00CA3AC6" w:rsidRPr="00CA3AC6">
        <w:rPr>
          <w:bCs/>
          <w:noProof/>
          <w:sz w:val="22"/>
          <w:szCs w:val="22"/>
        </w:rPr>
        <w:t>14</w:t>
      </w:r>
      <w:r w:rsidR="00951E9B">
        <w:rPr>
          <w:bCs/>
          <w:noProof/>
          <w:sz w:val="22"/>
          <w:szCs w:val="22"/>
        </w:rPr>
        <w:fldChar w:fldCharType="end"/>
      </w:r>
      <w:r w:rsidR="004C2500">
        <w:rPr>
          <w:sz w:val="22"/>
          <w:szCs w:val="22"/>
        </w:rPr>
        <w:t xml:space="preserve"> </w:t>
      </w:r>
      <w:r w:rsidRPr="00B53FFB">
        <w:rPr>
          <w:sz w:val="22"/>
          <w:szCs w:val="22"/>
        </w:rPr>
        <w:t>and Chart 1, we do not conclude that EAs are the appropriate geographic market for other purposes.</w:t>
      </w:r>
      <w:r w:rsidRPr="00B53FFB">
        <w:rPr>
          <w:rStyle w:val="FootnoteReference"/>
          <w:szCs w:val="22"/>
        </w:rPr>
        <w:footnoteReference w:id="182"/>
      </w:r>
      <w:r w:rsidRPr="00B53FFB">
        <w:rPr>
          <w:sz w:val="22"/>
          <w:szCs w:val="22"/>
        </w:rPr>
        <w:t xml:space="preserve">  The value of the HHI depends on the assumed geographical market.  Basing the HHI on broader (narrower) geographic markets will generally result in lower (higher) HHI values.  Calculating the HHI at the level of a CMA, for example, which is the geographic market typically used in the Commission’s review of transfers and assignments of mobile wireless licenses, would generally result in an average market HHI that is higher than one based on EAs.  Calculating the HHI based on a single nationwide geographical market would result in a national HHI that is lower than for a national weighted average HHI across EAs, because the total number of providers in the entire United States far exceeds the number of providers that compete in any single local area.  Applying the HHI to a single nationwide geographical market would assume that every American is able to choose from more than one hundred facilities-based providers.</w:t>
      </w:r>
      <w:r w:rsidRPr="00B53FFB">
        <w:rPr>
          <w:rStyle w:val="FootnoteReference"/>
          <w:szCs w:val="22"/>
        </w:rPr>
        <w:footnoteReference w:id="183"/>
      </w:r>
    </w:p>
    <w:p w:rsidR="004A147C" w:rsidRPr="00B53FFB" w:rsidRDefault="004A147C" w:rsidP="00CE5850">
      <w:pPr>
        <w:pStyle w:val="ParaNum"/>
        <w:numPr>
          <w:ilvl w:val="0"/>
          <w:numId w:val="28"/>
        </w:numPr>
        <w:rPr>
          <w:noProof/>
          <w:sz w:val="22"/>
          <w:szCs w:val="22"/>
        </w:rPr>
      </w:pPr>
      <w:r w:rsidRPr="00B53FFB">
        <w:rPr>
          <w:i/>
          <w:sz w:val="22"/>
          <w:szCs w:val="22"/>
        </w:rPr>
        <w:t>Current HHI Values</w:t>
      </w:r>
      <w:r w:rsidRPr="00B53FFB">
        <w:rPr>
          <w:sz w:val="22"/>
          <w:szCs w:val="22"/>
        </w:rPr>
        <w:t xml:space="preserve">.  </w:t>
      </w:r>
      <w:bookmarkStart w:id="1218" w:name="_Ref256582925"/>
      <w:bookmarkStart w:id="1219" w:name="_Ref282601059"/>
      <w:bookmarkStart w:id="1220" w:name="_Ref256582921"/>
      <w:r w:rsidRPr="00B53FFB">
        <w:rPr>
          <w:sz w:val="22"/>
          <w:szCs w:val="22"/>
        </w:rPr>
        <w:t xml:space="preserve">As shown in </w:t>
      </w:r>
      <w:r w:rsidR="00951E9B">
        <w:fldChar w:fldCharType="begin"/>
      </w:r>
      <w:r w:rsidR="00951E9B">
        <w:instrText xml:space="preserve"> REF _Ref348074218  \* MERGEFORMAT </w:instrText>
      </w:r>
      <w:r w:rsidR="00951E9B">
        <w:fldChar w:fldCharType="separate"/>
      </w:r>
      <w:r w:rsidR="00CA3AC6" w:rsidRPr="00CA3AC6">
        <w:rPr>
          <w:bCs/>
          <w:sz w:val="22"/>
          <w:szCs w:val="22"/>
        </w:rPr>
        <w:t>Table</w:t>
      </w:r>
      <w:r w:rsidR="00CA3AC6" w:rsidRPr="00CA3AC6">
        <w:rPr>
          <w:bCs/>
          <w:i/>
          <w:sz w:val="22"/>
          <w:szCs w:val="22"/>
        </w:rPr>
        <w:t xml:space="preserve"> </w:t>
      </w:r>
      <w:r w:rsidR="00CA3AC6" w:rsidRPr="00CA3AC6">
        <w:rPr>
          <w:bCs/>
          <w:noProof/>
          <w:sz w:val="22"/>
          <w:szCs w:val="22"/>
        </w:rPr>
        <w:t>14</w:t>
      </w:r>
      <w:r w:rsidR="00951E9B">
        <w:rPr>
          <w:bCs/>
          <w:noProof/>
          <w:sz w:val="22"/>
          <w:szCs w:val="22"/>
        </w:rPr>
        <w:fldChar w:fldCharType="end"/>
      </w:r>
      <w:r w:rsidR="004C2500">
        <w:rPr>
          <w:sz w:val="22"/>
          <w:szCs w:val="22"/>
        </w:rPr>
        <w:t xml:space="preserve"> </w:t>
      </w:r>
      <w:r w:rsidRPr="00B53FFB">
        <w:rPr>
          <w:sz w:val="22"/>
          <w:szCs w:val="22"/>
        </w:rPr>
        <w:t>and Chart 1, the weighted average of the HHIs (weighted by EA population) was 2873 at the end of 2011, up from 2868 at the end of 2010, an increase of approximately 0.2 percent.</w:t>
      </w:r>
      <w:r w:rsidRPr="00B53FFB">
        <w:rPr>
          <w:sz w:val="22"/>
          <w:szCs w:val="22"/>
          <w:vertAlign w:val="superscript"/>
        </w:rPr>
        <w:footnoteReference w:id="184"/>
      </w:r>
      <w:r w:rsidRPr="00B53FFB">
        <w:rPr>
          <w:sz w:val="22"/>
          <w:szCs w:val="22"/>
        </w:rPr>
        <w:t xml:space="preserve">  From 2003 (the first year the Commission calculated HHIs using this methodology) to year-end 2011, the average HHI has increased from 2151 to 2873, an increase of 722 points.  For 2011, the value of the HHI for individual EAs ranges from a low of 2008 in EA 108 (covering parts of Wisconsin) to a high of 7178 in EA 146 (covering parts of Montana). </w:t>
      </w:r>
      <w:bookmarkStart w:id="1221" w:name="_Ref256582880"/>
      <w:bookmarkStart w:id="1222" w:name="_Ref256069593"/>
    </w:p>
    <w:p w:rsidR="004A147C" w:rsidRPr="00B53FFB" w:rsidRDefault="004A147C" w:rsidP="00CE5850">
      <w:pPr>
        <w:pStyle w:val="ParaNum"/>
        <w:tabs>
          <w:tab w:val="clear" w:pos="1440"/>
        </w:tabs>
        <w:ind w:firstLine="0"/>
        <w:jc w:val="center"/>
        <w:rPr>
          <w:sz w:val="22"/>
          <w:szCs w:val="22"/>
        </w:rPr>
      </w:pPr>
      <w:bookmarkStart w:id="1223" w:name="_Ref348074218"/>
      <w:r w:rsidRPr="00B53FFB">
        <w:rPr>
          <w:b/>
          <w:bCs/>
          <w:sz w:val="22"/>
          <w:szCs w:val="22"/>
        </w:rPr>
        <w:t>Table</w:t>
      </w:r>
      <w:r w:rsidRPr="00B53FFB">
        <w:rPr>
          <w:b/>
          <w:bCs/>
          <w:i/>
          <w:sz w:val="22"/>
          <w:szCs w:val="22"/>
        </w:rPr>
        <w:t xml:space="preserve"> </w:t>
      </w:r>
      <w:r w:rsidR="0007014B" w:rsidRPr="00B53FFB">
        <w:rPr>
          <w:b/>
          <w:bCs/>
          <w:sz w:val="22"/>
          <w:szCs w:val="22"/>
        </w:rPr>
        <w:fldChar w:fldCharType="begin"/>
      </w:r>
      <w:r w:rsidRPr="00B53FFB">
        <w:rPr>
          <w:b/>
          <w:bCs/>
          <w:sz w:val="22"/>
          <w:szCs w:val="22"/>
        </w:rPr>
        <w:instrText xml:space="preserve"> SEQ Table \* ARABIC </w:instrText>
      </w:r>
      <w:r w:rsidR="0007014B" w:rsidRPr="00B53FFB">
        <w:rPr>
          <w:b/>
          <w:bCs/>
          <w:sz w:val="22"/>
          <w:szCs w:val="22"/>
        </w:rPr>
        <w:fldChar w:fldCharType="separate"/>
      </w:r>
      <w:r w:rsidR="00CA3AC6">
        <w:rPr>
          <w:b/>
          <w:bCs/>
          <w:noProof/>
          <w:sz w:val="22"/>
          <w:szCs w:val="22"/>
        </w:rPr>
        <w:t>14</w:t>
      </w:r>
      <w:r w:rsidR="0007014B" w:rsidRPr="00B53FFB">
        <w:rPr>
          <w:b/>
          <w:bCs/>
          <w:sz w:val="22"/>
          <w:szCs w:val="22"/>
        </w:rPr>
        <w:fldChar w:fldCharType="end"/>
      </w:r>
      <w:bookmarkEnd w:id="1221"/>
      <w:bookmarkEnd w:id="1223"/>
      <w:r w:rsidRPr="00B53FFB">
        <w:rPr>
          <w:b/>
          <w:sz w:val="22"/>
          <w:szCs w:val="22"/>
        </w:rPr>
        <w:br/>
        <w:t>Mobile Wireless Market Concentration</w:t>
      </w:r>
      <w:bookmarkEnd w:id="1222"/>
      <w:r w:rsidRPr="00B53FFB">
        <w:rPr>
          <w:b/>
          <w:sz w:val="22"/>
          <w:szCs w:val="22"/>
        </w:rPr>
        <w:t>: Herfindahl-Hirschman Index, 2006-2011</w:t>
      </w:r>
      <w:r w:rsidRPr="00B53FFB">
        <w:rPr>
          <w:rStyle w:val="FootnoteReference"/>
          <w:szCs w:val="22"/>
        </w:rPr>
        <w:footnoteReference w:id="185"/>
      </w:r>
    </w:p>
    <w:tbl>
      <w:tblPr>
        <w:tblW w:w="0" w:type="auto"/>
        <w:jc w:val="center"/>
        <w:tblInd w:w="-87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62"/>
        <w:gridCol w:w="711"/>
        <w:gridCol w:w="711"/>
        <w:gridCol w:w="866"/>
        <w:gridCol w:w="711"/>
        <w:gridCol w:w="711"/>
        <w:gridCol w:w="711"/>
      </w:tblGrid>
      <w:tr w:rsidR="004A147C" w:rsidRPr="00B53FFB" w:rsidTr="00B238BD">
        <w:trPr>
          <w:jc w:val="center"/>
        </w:trPr>
        <w:tc>
          <w:tcPr>
            <w:tcW w:w="0" w:type="auto"/>
          </w:tcPr>
          <w:p w:rsidR="004A147C" w:rsidRPr="004F14A8" w:rsidRDefault="004A147C" w:rsidP="00CE5850">
            <w:pPr>
              <w:pStyle w:val="ParaNum"/>
              <w:tabs>
                <w:tab w:val="clear" w:pos="1440"/>
              </w:tabs>
              <w:ind w:firstLine="0"/>
              <w:jc w:val="center"/>
              <w:rPr>
                <w:b/>
                <w:sz w:val="22"/>
                <w:szCs w:val="22"/>
              </w:rPr>
            </w:pPr>
            <w:r w:rsidRPr="004F14A8">
              <w:rPr>
                <w:b/>
                <w:sz w:val="22"/>
                <w:szCs w:val="22"/>
              </w:rPr>
              <w:t>Year</w:t>
            </w:r>
          </w:p>
        </w:tc>
        <w:tc>
          <w:tcPr>
            <w:tcW w:w="0" w:type="auto"/>
          </w:tcPr>
          <w:p w:rsidR="004A147C" w:rsidRPr="004F14A8" w:rsidRDefault="004A147C" w:rsidP="00CE5850">
            <w:pPr>
              <w:pStyle w:val="ParaNum"/>
              <w:tabs>
                <w:tab w:val="clear" w:pos="1440"/>
              </w:tabs>
              <w:ind w:firstLine="0"/>
              <w:jc w:val="center"/>
              <w:rPr>
                <w:b/>
                <w:sz w:val="22"/>
                <w:szCs w:val="22"/>
              </w:rPr>
            </w:pPr>
            <w:r w:rsidRPr="004F14A8">
              <w:rPr>
                <w:b/>
                <w:sz w:val="22"/>
                <w:szCs w:val="22"/>
              </w:rPr>
              <w:t>2006</w:t>
            </w:r>
          </w:p>
        </w:tc>
        <w:tc>
          <w:tcPr>
            <w:tcW w:w="0" w:type="auto"/>
          </w:tcPr>
          <w:p w:rsidR="004A147C" w:rsidRPr="004F14A8" w:rsidRDefault="004A147C" w:rsidP="00CE5850">
            <w:pPr>
              <w:pStyle w:val="ParaNum"/>
              <w:tabs>
                <w:tab w:val="clear" w:pos="1440"/>
              </w:tabs>
              <w:ind w:firstLine="0"/>
              <w:jc w:val="center"/>
              <w:rPr>
                <w:b/>
                <w:sz w:val="22"/>
                <w:szCs w:val="22"/>
              </w:rPr>
            </w:pPr>
            <w:r w:rsidRPr="004F14A8">
              <w:rPr>
                <w:b/>
                <w:sz w:val="22"/>
                <w:szCs w:val="22"/>
              </w:rPr>
              <w:t>2007</w:t>
            </w:r>
          </w:p>
        </w:tc>
        <w:tc>
          <w:tcPr>
            <w:tcW w:w="0" w:type="auto"/>
          </w:tcPr>
          <w:p w:rsidR="004A147C" w:rsidRPr="004F14A8" w:rsidRDefault="004A147C" w:rsidP="00CE5850">
            <w:pPr>
              <w:pStyle w:val="ParaNum"/>
              <w:tabs>
                <w:tab w:val="clear" w:pos="1440"/>
              </w:tabs>
              <w:ind w:firstLine="0"/>
              <w:jc w:val="center"/>
              <w:rPr>
                <w:b/>
                <w:sz w:val="22"/>
                <w:szCs w:val="22"/>
              </w:rPr>
            </w:pPr>
            <w:r w:rsidRPr="004F14A8">
              <w:rPr>
                <w:b/>
                <w:sz w:val="22"/>
                <w:szCs w:val="22"/>
              </w:rPr>
              <w:t>2008</w:t>
            </w:r>
            <w:r w:rsidRPr="004F14A8">
              <w:rPr>
                <w:rStyle w:val="FootnoteReference"/>
                <w:szCs w:val="22"/>
              </w:rPr>
              <w:footnoteReference w:id="186"/>
            </w:r>
          </w:p>
        </w:tc>
        <w:tc>
          <w:tcPr>
            <w:tcW w:w="0" w:type="auto"/>
          </w:tcPr>
          <w:p w:rsidR="004A147C" w:rsidRPr="004F14A8" w:rsidRDefault="004A147C" w:rsidP="00CE5850">
            <w:pPr>
              <w:pStyle w:val="ParaNum"/>
              <w:tabs>
                <w:tab w:val="clear" w:pos="1440"/>
              </w:tabs>
              <w:ind w:firstLine="0"/>
              <w:jc w:val="center"/>
              <w:rPr>
                <w:b/>
                <w:sz w:val="22"/>
                <w:szCs w:val="22"/>
              </w:rPr>
            </w:pPr>
            <w:r w:rsidRPr="004F14A8">
              <w:rPr>
                <w:b/>
                <w:sz w:val="22"/>
                <w:szCs w:val="22"/>
              </w:rPr>
              <w:t>2009</w:t>
            </w:r>
          </w:p>
        </w:tc>
        <w:tc>
          <w:tcPr>
            <w:tcW w:w="0" w:type="auto"/>
          </w:tcPr>
          <w:p w:rsidR="004A147C" w:rsidRPr="004F14A8" w:rsidRDefault="004A147C" w:rsidP="00CE5850">
            <w:pPr>
              <w:pStyle w:val="ParaNum"/>
              <w:tabs>
                <w:tab w:val="clear" w:pos="1440"/>
              </w:tabs>
              <w:ind w:firstLine="0"/>
              <w:jc w:val="center"/>
              <w:rPr>
                <w:b/>
                <w:sz w:val="22"/>
                <w:szCs w:val="22"/>
              </w:rPr>
            </w:pPr>
            <w:r w:rsidRPr="004F14A8">
              <w:rPr>
                <w:b/>
                <w:sz w:val="22"/>
                <w:szCs w:val="22"/>
              </w:rPr>
              <w:t>2010</w:t>
            </w:r>
          </w:p>
        </w:tc>
        <w:tc>
          <w:tcPr>
            <w:tcW w:w="0" w:type="auto"/>
          </w:tcPr>
          <w:p w:rsidR="004A147C" w:rsidRPr="004F14A8" w:rsidRDefault="004A147C" w:rsidP="00CE5850">
            <w:pPr>
              <w:pStyle w:val="ParaNum"/>
              <w:tabs>
                <w:tab w:val="clear" w:pos="1440"/>
              </w:tabs>
              <w:ind w:firstLine="0"/>
              <w:jc w:val="center"/>
              <w:rPr>
                <w:b/>
                <w:sz w:val="22"/>
                <w:szCs w:val="22"/>
              </w:rPr>
            </w:pPr>
            <w:r w:rsidRPr="004F14A8">
              <w:rPr>
                <w:b/>
                <w:sz w:val="22"/>
                <w:szCs w:val="22"/>
              </w:rPr>
              <w:t>2011</w:t>
            </w:r>
          </w:p>
        </w:tc>
      </w:tr>
      <w:tr w:rsidR="004A147C" w:rsidRPr="00B53FFB" w:rsidTr="00B238BD">
        <w:trPr>
          <w:jc w:val="center"/>
        </w:trPr>
        <w:tc>
          <w:tcPr>
            <w:tcW w:w="0" w:type="auto"/>
          </w:tcPr>
          <w:p w:rsidR="004A147C" w:rsidRPr="004F14A8" w:rsidRDefault="004A147C" w:rsidP="00CE5850">
            <w:pPr>
              <w:pStyle w:val="ParaNum"/>
              <w:tabs>
                <w:tab w:val="clear" w:pos="1440"/>
              </w:tabs>
              <w:ind w:firstLine="0"/>
              <w:jc w:val="center"/>
              <w:rPr>
                <w:sz w:val="22"/>
                <w:szCs w:val="22"/>
              </w:rPr>
            </w:pPr>
            <w:r w:rsidRPr="004F14A8">
              <w:rPr>
                <w:sz w:val="22"/>
                <w:szCs w:val="22"/>
              </w:rPr>
              <w:t>Average</w:t>
            </w:r>
          </w:p>
        </w:tc>
        <w:tc>
          <w:tcPr>
            <w:tcW w:w="0" w:type="auto"/>
          </w:tcPr>
          <w:p w:rsidR="004A147C" w:rsidRPr="004F14A8" w:rsidRDefault="004A147C" w:rsidP="00CE5850">
            <w:pPr>
              <w:pStyle w:val="ParaNum"/>
              <w:tabs>
                <w:tab w:val="clear" w:pos="1440"/>
              </w:tabs>
              <w:ind w:firstLine="0"/>
              <w:jc w:val="center"/>
              <w:rPr>
                <w:sz w:val="22"/>
                <w:szCs w:val="22"/>
              </w:rPr>
            </w:pPr>
            <w:r w:rsidRPr="004F14A8">
              <w:rPr>
                <w:sz w:val="22"/>
                <w:szCs w:val="22"/>
              </w:rPr>
              <w:t>2,674</w:t>
            </w:r>
          </w:p>
        </w:tc>
        <w:tc>
          <w:tcPr>
            <w:tcW w:w="0" w:type="auto"/>
          </w:tcPr>
          <w:p w:rsidR="004A147C" w:rsidRPr="004F14A8" w:rsidRDefault="004A147C" w:rsidP="00CE5850">
            <w:pPr>
              <w:pStyle w:val="ParaNum"/>
              <w:tabs>
                <w:tab w:val="clear" w:pos="1440"/>
              </w:tabs>
              <w:ind w:firstLine="0"/>
              <w:jc w:val="center"/>
              <w:rPr>
                <w:sz w:val="22"/>
                <w:szCs w:val="22"/>
              </w:rPr>
            </w:pPr>
            <w:r w:rsidRPr="004F14A8">
              <w:rPr>
                <w:sz w:val="22"/>
                <w:szCs w:val="22"/>
              </w:rPr>
              <w:t>2,674</w:t>
            </w:r>
          </w:p>
        </w:tc>
        <w:tc>
          <w:tcPr>
            <w:tcW w:w="0" w:type="auto"/>
          </w:tcPr>
          <w:p w:rsidR="004A147C" w:rsidRPr="004F14A8" w:rsidRDefault="004A147C" w:rsidP="00CE5850">
            <w:pPr>
              <w:pStyle w:val="ParaNum"/>
              <w:tabs>
                <w:tab w:val="clear" w:pos="1440"/>
              </w:tabs>
              <w:ind w:firstLine="0"/>
              <w:jc w:val="center"/>
              <w:rPr>
                <w:sz w:val="22"/>
                <w:szCs w:val="22"/>
              </w:rPr>
            </w:pPr>
            <w:r w:rsidRPr="004F14A8">
              <w:rPr>
                <w:sz w:val="22"/>
                <w:szCs w:val="22"/>
              </w:rPr>
              <w:t>2,842</w:t>
            </w:r>
          </w:p>
        </w:tc>
        <w:tc>
          <w:tcPr>
            <w:tcW w:w="0" w:type="auto"/>
          </w:tcPr>
          <w:p w:rsidR="004A147C" w:rsidRPr="004F14A8" w:rsidRDefault="004A147C" w:rsidP="00CE5850">
            <w:pPr>
              <w:pStyle w:val="ParaNum"/>
              <w:tabs>
                <w:tab w:val="clear" w:pos="1440"/>
              </w:tabs>
              <w:ind w:firstLine="0"/>
              <w:jc w:val="center"/>
              <w:rPr>
                <w:sz w:val="22"/>
                <w:szCs w:val="22"/>
              </w:rPr>
            </w:pPr>
            <w:r w:rsidRPr="004F14A8">
              <w:rPr>
                <w:sz w:val="22"/>
                <w:szCs w:val="22"/>
              </w:rPr>
              <w:t>2,811</w:t>
            </w:r>
          </w:p>
        </w:tc>
        <w:tc>
          <w:tcPr>
            <w:tcW w:w="0" w:type="auto"/>
          </w:tcPr>
          <w:p w:rsidR="004A147C" w:rsidRPr="004F14A8" w:rsidRDefault="004A147C" w:rsidP="00CE5850">
            <w:pPr>
              <w:pStyle w:val="ParaNum"/>
              <w:tabs>
                <w:tab w:val="clear" w:pos="1440"/>
              </w:tabs>
              <w:ind w:firstLine="0"/>
              <w:jc w:val="center"/>
              <w:rPr>
                <w:sz w:val="22"/>
                <w:szCs w:val="22"/>
              </w:rPr>
            </w:pPr>
            <w:r w:rsidRPr="004F14A8">
              <w:rPr>
                <w:sz w:val="22"/>
                <w:szCs w:val="22"/>
              </w:rPr>
              <w:t>2,868</w:t>
            </w:r>
          </w:p>
        </w:tc>
        <w:tc>
          <w:tcPr>
            <w:tcW w:w="0" w:type="auto"/>
          </w:tcPr>
          <w:p w:rsidR="004A147C" w:rsidRPr="004F14A8" w:rsidRDefault="004A147C" w:rsidP="00CE5850">
            <w:pPr>
              <w:pStyle w:val="ParaNum"/>
              <w:tabs>
                <w:tab w:val="clear" w:pos="1440"/>
              </w:tabs>
              <w:ind w:firstLine="0"/>
              <w:jc w:val="center"/>
              <w:rPr>
                <w:sz w:val="22"/>
                <w:szCs w:val="22"/>
              </w:rPr>
            </w:pPr>
            <w:r w:rsidRPr="004F14A8">
              <w:rPr>
                <w:sz w:val="22"/>
                <w:szCs w:val="22"/>
              </w:rPr>
              <w:t>2,873</w:t>
            </w:r>
          </w:p>
        </w:tc>
      </w:tr>
      <w:tr w:rsidR="004A147C" w:rsidRPr="00B53FFB" w:rsidTr="00B238BD">
        <w:trPr>
          <w:jc w:val="center"/>
        </w:trPr>
        <w:tc>
          <w:tcPr>
            <w:tcW w:w="0" w:type="auto"/>
          </w:tcPr>
          <w:p w:rsidR="004A147C" w:rsidRPr="004F14A8" w:rsidRDefault="004A147C" w:rsidP="00CE5850">
            <w:pPr>
              <w:pStyle w:val="ParaNum"/>
              <w:tabs>
                <w:tab w:val="clear" w:pos="1440"/>
              </w:tabs>
              <w:ind w:firstLine="0"/>
              <w:jc w:val="center"/>
              <w:rPr>
                <w:sz w:val="22"/>
                <w:szCs w:val="22"/>
              </w:rPr>
            </w:pPr>
            <w:r w:rsidRPr="004F14A8">
              <w:rPr>
                <w:sz w:val="22"/>
                <w:szCs w:val="22"/>
              </w:rPr>
              <w:t>High</w:t>
            </w:r>
          </w:p>
        </w:tc>
        <w:tc>
          <w:tcPr>
            <w:tcW w:w="0" w:type="auto"/>
          </w:tcPr>
          <w:p w:rsidR="004A147C" w:rsidRPr="004F14A8" w:rsidRDefault="004A147C" w:rsidP="00CE5850">
            <w:pPr>
              <w:pStyle w:val="ParaNum"/>
              <w:tabs>
                <w:tab w:val="clear" w:pos="1440"/>
              </w:tabs>
              <w:ind w:firstLine="0"/>
              <w:jc w:val="center"/>
              <w:rPr>
                <w:sz w:val="22"/>
                <w:szCs w:val="22"/>
              </w:rPr>
            </w:pPr>
            <w:r w:rsidRPr="004F14A8">
              <w:rPr>
                <w:sz w:val="22"/>
                <w:szCs w:val="22"/>
              </w:rPr>
              <w:t>6,551</w:t>
            </w:r>
          </w:p>
        </w:tc>
        <w:tc>
          <w:tcPr>
            <w:tcW w:w="0" w:type="auto"/>
          </w:tcPr>
          <w:p w:rsidR="004A147C" w:rsidRPr="004F14A8" w:rsidRDefault="004A147C" w:rsidP="00CE5850">
            <w:pPr>
              <w:pStyle w:val="ParaNum"/>
              <w:tabs>
                <w:tab w:val="clear" w:pos="1440"/>
              </w:tabs>
              <w:ind w:firstLine="0"/>
              <w:jc w:val="center"/>
              <w:rPr>
                <w:sz w:val="22"/>
                <w:szCs w:val="22"/>
              </w:rPr>
            </w:pPr>
            <w:r w:rsidRPr="004F14A8">
              <w:rPr>
                <w:sz w:val="22"/>
                <w:szCs w:val="22"/>
              </w:rPr>
              <w:t>6,272</w:t>
            </w:r>
          </w:p>
        </w:tc>
        <w:tc>
          <w:tcPr>
            <w:tcW w:w="0" w:type="auto"/>
          </w:tcPr>
          <w:p w:rsidR="004A147C" w:rsidRPr="004F14A8" w:rsidRDefault="004A147C" w:rsidP="00CE5850">
            <w:pPr>
              <w:pStyle w:val="ParaNum"/>
              <w:tabs>
                <w:tab w:val="clear" w:pos="1440"/>
              </w:tabs>
              <w:ind w:firstLine="0"/>
              <w:jc w:val="center"/>
              <w:rPr>
                <w:sz w:val="22"/>
                <w:szCs w:val="22"/>
              </w:rPr>
            </w:pPr>
            <w:r w:rsidRPr="004F14A8">
              <w:rPr>
                <w:sz w:val="22"/>
                <w:szCs w:val="22"/>
              </w:rPr>
              <w:t>6,801</w:t>
            </w:r>
          </w:p>
        </w:tc>
        <w:tc>
          <w:tcPr>
            <w:tcW w:w="0" w:type="auto"/>
          </w:tcPr>
          <w:p w:rsidR="004A147C" w:rsidRPr="004F14A8" w:rsidRDefault="004A147C" w:rsidP="00CE5850">
            <w:pPr>
              <w:pStyle w:val="ParaNum"/>
              <w:tabs>
                <w:tab w:val="clear" w:pos="1440"/>
              </w:tabs>
              <w:ind w:firstLine="0"/>
              <w:jc w:val="center"/>
              <w:rPr>
                <w:sz w:val="22"/>
                <w:szCs w:val="22"/>
              </w:rPr>
            </w:pPr>
            <w:r w:rsidRPr="004F14A8">
              <w:rPr>
                <w:sz w:val="22"/>
                <w:szCs w:val="22"/>
              </w:rPr>
              <w:t>6,572</w:t>
            </w:r>
          </w:p>
        </w:tc>
        <w:tc>
          <w:tcPr>
            <w:tcW w:w="0" w:type="auto"/>
          </w:tcPr>
          <w:p w:rsidR="004A147C" w:rsidRPr="004F14A8" w:rsidRDefault="004A147C" w:rsidP="00CE5850">
            <w:pPr>
              <w:pStyle w:val="ParaNum"/>
              <w:tabs>
                <w:tab w:val="clear" w:pos="1440"/>
              </w:tabs>
              <w:ind w:firstLine="0"/>
              <w:jc w:val="center"/>
              <w:rPr>
                <w:sz w:val="22"/>
                <w:szCs w:val="22"/>
              </w:rPr>
            </w:pPr>
            <w:r w:rsidRPr="004F14A8">
              <w:rPr>
                <w:sz w:val="22"/>
                <w:szCs w:val="22"/>
              </w:rPr>
              <w:t>6,512</w:t>
            </w:r>
          </w:p>
        </w:tc>
        <w:tc>
          <w:tcPr>
            <w:tcW w:w="0" w:type="auto"/>
          </w:tcPr>
          <w:p w:rsidR="004A147C" w:rsidRPr="004F14A8" w:rsidRDefault="004A147C" w:rsidP="00CE5850">
            <w:pPr>
              <w:pStyle w:val="ParaNum"/>
              <w:tabs>
                <w:tab w:val="clear" w:pos="1440"/>
              </w:tabs>
              <w:ind w:firstLine="0"/>
              <w:jc w:val="center"/>
              <w:rPr>
                <w:sz w:val="22"/>
                <w:szCs w:val="22"/>
              </w:rPr>
            </w:pPr>
            <w:r w:rsidRPr="004F14A8">
              <w:rPr>
                <w:sz w:val="22"/>
                <w:szCs w:val="22"/>
              </w:rPr>
              <w:t>7,178</w:t>
            </w:r>
          </w:p>
        </w:tc>
      </w:tr>
      <w:tr w:rsidR="004A147C" w:rsidRPr="00B53FFB" w:rsidTr="00B238BD">
        <w:trPr>
          <w:jc w:val="center"/>
        </w:trPr>
        <w:tc>
          <w:tcPr>
            <w:tcW w:w="0" w:type="auto"/>
          </w:tcPr>
          <w:p w:rsidR="004A147C" w:rsidRPr="004F14A8" w:rsidRDefault="004A147C" w:rsidP="00CE5850">
            <w:pPr>
              <w:pStyle w:val="ParaNum"/>
              <w:tabs>
                <w:tab w:val="clear" w:pos="1440"/>
              </w:tabs>
              <w:ind w:firstLine="0"/>
              <w:jc w:val="center"/>
              <w:rPr>
                <w:sz w:val="22"/>
                <w:szCs w:val="22"/>
              </w:rPr>
            </w:pPr>
            <w:r w:rsidRPr="004F14A8">
              <w:rPr>
                <w:sz w:val="22"/>
                <w:szCs w:val="22"/>
              </w:rPr>
              <w:t>Low</w:t>
            </w:r>
          </w:p>
        </w:tc>
        <w:tc>
          <w:tcPr>
            <w:tcW w:w="0" w:type="auto"/>
          </w:tcPr>
          <w:p w:rsidR="004A147C" w:rsidRPr="004F14A8" w:rsidRDefault="004A147C" w:rsidP="00CE5850">
            <w:pPr>
              <w:pStyle w:val="ParaNum"/>
              <w:tabs>
                <w:tab w:val="clear" w:pos="1440"/>
              </w:tabs>
              <w:ind w:firstLine="0"/>
              <w:jc w:val="center"/>
              <w:rPr>
                <w:sz w:val="22"/>
                <w:szCs w:val="22"/>
              </w:rPr>
            </w:pPr>
            <w:r w:rsidRPr="004F14A8">
              <w:rPr>
                <w:sz w:val="22"/>
                <w:szCs w:val="22"/>
              </w:rPr>
              <w:t>1,609</w:t>
            </w:r>
          </w:p>
        </w:tc>
        <w:tc>
          <w:tcPr>
            <w:tcW w:w="0" w:type="auto"/>
          </w:tcPr>
          <w:p w:rsidR="004A147C" w:rsidRPr="004F14A8" w:rsidRDefault="004A147C" w:rsidP="00CE5850">
            <w:pPr>
              <w:pStyle w:val="ParaNum"/>
              <w:tabs>
                <w:tab w:val="clear" w:pos="1440"/>
              </w:tabs>
              <w:ind w:firstLine="0"/>
              <w:jc w:val="center"/>
              <w:rPr>
                <w:sz w:val="22"/>
                <w:szCs w:val="22"/>
              </w:rPr>
            </w:pPr>
            <w:r w:rsidRPr="004F14A8">
              <w:rPr>
                <w:sz w:val="22"/>
                <w:szCs w:val="22"/>
              </w:rPr>
              <w:t>1,795</w:t>
            </w:r>
          </w:p>
        </w:tc>
        <w:tc>
          <w:tcPr>
            <w:tcW w:w="0" w:type="auto"/>
          </w:tcPr>
          <w:p w:rsidR="004A147C" w:rsidRPr="004F14A8" w:rsidRDefault="004A147C" w:rsidP="00CE5850">
            <w:pPr>
              <w:pStyle w:val="ParaNum"/>
              <w:tabs>
                <w:tab w:val="clear" w:pos="1440"/>
              </w:tabs>
              <w:ind w:firstLine="0"/>
              <w:jc w:val="center"/>
              <w:rPr>
                <w:sz w:val="22"/>
                <w:szCs w:val="22"/>
              </w:rPr>
            </w:pPr>
            <w:r w:rsidRPr="004F14A8">
              <w:rPr>
                <w:sz w:val="22"/>
                <w:szCs w:val="22"/>
              </w:rPr>
              <w:t>2,123</w:t>
            </w:r>
          </w:p>
        </w:tc>
        <w:tc>
          <w:tcPr>
            <w:tcW w:w="0" w:type="auto"/>
          </w:tcPr>
          <w:p w:rsidR="004A147C" w:rsidRPr="004F14A8" w:rsidRDefault="004A147C" w:rsidP="00CE5850">
            <w:pPr>
              <w:pStyle w:val="ParaNum"/>
              <w:tabs>
                <w:tab w:val="clear" w:pos="1440"/>
              </w:tabs>
              <w:ind w:firstLine="0"/>
              <w:jc w:val="center"/>
              <w:rPr>
                <w:sz w:val="22"/>
                <w:szCs w:val="22"/>
              </w:rPr>
            </w:pPr>
            <w:r w:rsidRPr="004F14A8">
              <w:rPr>
                <w:sz w:val="22"/>
                <w:szCs w:val="22"/>
              </w:rPr>
              <w:t>1,903</w:t>
            </w:r>
          </w:p>
        </w:tc>
        <w:tc>
          <w:tcPr>
            <w:tcW w:w="0" w:type="auto"/>
          </w:tcPr>
          <w:p w:rsidR="004A147C" w:rsidRPr="004F14A8" w:rsidRDefault="004A147C" w:rsidP="00CE5850">
            <w:pPr>
              <w:pStyle w:val="ParaNum"/>
              <w:tabs>
                <w:tab w:val="clear" w:pos="1440"/>
              </w:tabs>
              <w:ind w:firstLine="0"/>
              <w:jc w:val="center"/>
              <w:rPr>
                <w:sz w:val="22"/>
                <w:szCs w:val="22"/>
              </w:rPr>
            </w:pPr>
            <w:r w:rsidRPr="004F14A8">
              <w:rPr>
                <w:sz w:val="22"/>
                <w:szCs w:val="22"/>
              </w:rPr>
              <w:t>1,878</w:t>
            </w:r>
          </w:p>
        </w:tc>
        <w:tc>
          <w:tcPr>
            <w:tcW w:w="0" w:type="auto"/>
          </w:tcPr>
          <w:p w:rsidR="004A147C" w:rsidRPr="004F14A8" w:rsidRDefault="004A147C" w:rsidP="00CE5850">
            <w:pPr>
              <w:pStyle w:val="ParaNum"/>
              <w:tabs>
                <w:tab w:val="clear" w:pos="1440"/>
              </w:tabs>
              <w:ind w:firstLine="0"/>
              <w:jc w:val="center"/>
              <w:rPr>
                <w:sz w:val="22"/>
                <w:szCs w:val="22"/>
              </w:rPr>
            </w:pPr>
            <w:r w:rsidRPr="004F14A8">
              <w:rPr>
                <w:sz w:val="22"/>
                <w:szCs w:val="22"/>
              </w:rPr>
              <w:t>2,008</w:t>
            </w:r>
          </w:p>
        </w:tc>
      </w:tr>
    </w:tbl>
    <w:p w:rsidR="004A147C" w:rsidRDefault="004A147C" w:rsidP="00CE5850">
      <w:pPr>
        <w:pStyle w:val="ParaNum"/>
        <w:tabs>
          <w:tab w:val="clear" w:pos="1440"/>
        </w:tabs>
        <w:ind w:left="720" w:firstLine="0"/>
        <w:jc w:val="center"/>
        <w:rPr>
          <w:sz w:val="22"/>
          <w:szCs w:val="22"/>
        </w:rPr>
      </w:pPr>
    </w:p>
    <w:p w:rsidR="00BD4B26" w:rsidRDefault="00BD4B26" w:rsidP="00CE5850">
      <w:pPr>
        <w:pStyle w:val="ParaNum"/>
        <w:tabs>
          <w:tab w:val="clear" w:pos="1440"/>
        </w:tabs>
        <w:ind w:left="720" w:firstLine="0"/>
        <w:jc w:val="center"/>
        <w:rPr>
          <w:sz w:val="22"/>
          <w:szCs w:val="22"/>
        </w:rPr>
      </w:pPr>
    </w:p>
    <w:p w:rsidR="00BD4B26" w:rsidRDefault="00BD4B26" w:rsidP="00CE5850">
      <w:pPr>
        <w:pStyle w:val="ParaNum"/>
        <w:tabs>
          <w:tab w:val="clear" w:pos="1440"/>
        </w:tabs>
        <w:ind w:left="720" w:firstLine="0"/>
        <w:jc w:val="center"/>
        <w:rPr>
          <w:sz w:val="22"/>
          <w:szCs w:val="22"/>
        </w:rPr>
      </w:pPr>
    </w:p>
    <w:p w:rsidR="00BD4B26" w:rsidRDefault="00BD4B26" w:rsidP="00CE5850">
      <w:pPr>
        <w:pStyle w:val="ParaNum"/>
        <w:tabs>
          <w:tab w:val="clear" w:pos="1440"/>
        </w:tabs>
        <w:ind w:left="720" w:firstLine="0"/>
        <w:jc w:val="center"/>
        <w:rPr>
          <w:sz w:val="22"/>
          <w:szCs w:val="22"/>
        </w:rPr>
      </w:pPr>
    </w:p>
    <w:p w:rsidR="00BD4B26" w:rsidRDefault="00BD4B26" w:rsidP="00CE5850">
      <w:pPr>
        <w:pStyle w:val="ParaNum"/>
        <w:tabs>
          <w:tab w:val="clear" w:pos="1440"/>
        </w:tabs>
        <w:ind w:left="720" w:firstLine="0"/>
        <w:jc w:val="center"/>
        <w:rPr>
          <w:sz w:val="22"/>
          <w:szCs w:val="22"/>
        </w:rPr>
      </w:pPr>
    </w:p>
    <w:p w:rsidR="00BD4B26" w:rsidRDefault="00BD4B26" w:rsidP="00CE5850">
      <w:pPr>
        <w:pStyle w:val="ParaNum"/>
        <w:tabs>
          <w:tab w:val="clear" w:pos="1440"/>
        </w:tabs>
        <w:ind w:left="720" w:firstLine="0"/>
        <w:jc w:val="center"/>
        <w:rPr>
          <w:sz w:val="22"/>
          <w:szCs w:val="22"/>
        </w:rPr>
      </w:pPr>
    </w:p>
    <w:p w:rsidR="00BD4B26" w:rsidRDefault="00BD4B26" w:rsidP="00CE5850">
      <w:pPr>
        <w:pStyle w:val="ParaNum"/>
        <w:tabs>
          <w:tab w:val="clear" w:pos="1440"/>
        </w:tabs>
        <w:ind w:left="720" w:firstLine="0"/>
        <w:jc w:val="center"/>
        <w:rPr>
          <w:sz w:val="22"/>
          <w:szCs w:val="22"/>
        </w:rPr>
      </w:pPr>
    </w:p>
    <w:p w:rsidR="00BD4B26" w:rsidRDefault="00BD4B26" w:rsidP="00CE5850">
      <w:pPr>
        <w:pStyle w:val="ParaNum"/>
        <w:tabs>
          <w:tab w:val="clear" w:pos="1440"/>
        </w:tabs>
        <w:ind w:left="720" w:firstLine="0"/>
        <w:jc w:val="center"/>
        <w:rPr>
          <w:sz w:val="22"/>
          <w:szCs w:val="22"/>
        </w:rPr>
      </w:pPr>
    </w:p>
    <w:p w:rsidR="00BD4B26" w:rsidRDefault="00BD4B26" w:rsidP="00CE5850">
      <w:pPr>
        <w:pStyle w:val="ParaNum"/>
        <w:tabs>
          <w:tab w:val="clear" w:pos="1440"/>
        </w:tabs>
        <w:ind w:left="720" w:firstLine="0"/>
        <w:jc w:val="center"/>
        <w:rPr>
          <w:sz w:val="22"/>
          <w:szCs w:val="22"/>
        </w:rPr>
      </w:pPr>
    </w:p>
    <w:p w:rsidR="00BD4B26" w:rsidRDefault="00BD4B26" w:rsidP="00CE5850">
      <w:pPr>
        <w:pStyle w:val="ParaNum"/>
        <w:tabs>
          <w:tab w:val="clear" w:pos="1440"/>
        </w:tabs>
        <w:ind w:left="720" w:firstLine="0"/>
        <w:jc w:val="center"/>
        <w:rPr>
          <w:sz w:val="22"/>
          <w:szCs w:val="22"/>
        </w:rPr>
      </w:pPr>
    </w:p>
    <w:p w:rsidR="00BD4B26" w:rsidRDefault="00BD4B26" w:rsidP="00CE5850">
      <w:pPr>
        <w:pStyle w:val="ParaNum"/>
        <w:tabs>
          <w:tab w:val="clear" w:pos="1440"/>
        </w:tabs>
        <w:ind w:left="720" w:firstLine="0"/>
        <w:jc w:val="center"/>
        <w:rPr>
          <w:sz w:val="22"/>
          <w:szCs w:val="22"/>
        </w:rPr>
      </w:pPr>
    </w:p>
    <w:p w:rsidR="00BD4B26" w:rsidRDefault="00BD4B26" w:rsidP="00CE5850">
      <w:pPr>
        <w:pStyle w:val="ParaNum"/>
        <w:tabs>
          <w:tab w:val="clear" w:pos="1440"/>
        </w:tabs>
        <w:ind w:left="720" w:firstLine="0"/>
        <w:jc w:val="center"/>
        <w:rPr>
          <w:sz w:val="22"/>
          <w:szCs w:val="22"/>
        </w:rPr>
      </w:pPr>
    </w:p>
    <w:p w:rsidR="00BD4B26" w:rsidRDefault="00BD4B26" w:rsidP="00CE5850">
      <w:pPr>
        <w:pStyle w:val="ParaNum"/>
        <w:tabs>
          <w:tab w:val="clear" w:pos="1440"/>
        </w:tabs>
        <w:ind w:left="720" w:firstLine="0"/>
        <w:jc w:val="center"/>
        <w:rPr>
          <w:sz w:val="22"/>
          <w:szCs w:val="22"/>
        </w:rPr>
      </w:pPr>
    </w:p>
    <w:p w:rsidR="00BD4B26" w:rsidRDefault="00BD4B26" w:rsidP="00CE5850">
      <w:pPr>
        <w:pStyle w:val="ParaNum"/>
        <w:tabs>
          <w:tab w:val="clear" w:pos="1440"/>
        </w:tabs>
        <w:ind w:left="720" w:firstLine="0"/>
        <w:jc w:val="center"/>
        <w:rPr>
          <w:sz w:val="22"/>
          <w:szCs w:val="22"/>
        </w:rPr>
      </w:pPr>
    </w:p>
    <w:p w:rsidR="00BD4B26" w:rsidRDefault="00BD4B26" w:rsidP="00CE5850">
      <w:pPr>
        <w:pStyle w:val="ParaNum"/>
        <w:tabs>
          <w:tab w:val="clear" w:pos="1440"/>
        </w:tabs>
        <w:ind w:left="720" w:firstLine="0"/>
        <w:jc w:val="center"/>
        <w:rPr>
          <w:sz w:val="22"/>
          <w:szCs w:val="22"/>
        </w:rPr>
      </w:pPr>
    </w:p>
    <w:p w:rsidR="00BD4B26" w:rsidRPr="00B53FFB" w:rsidRDefault="00BD4B26" w:rsidP="00CE5850">
      <w:pPr>
        <w:pStyle w:val="ParaNum"/>
        <w:tabs>
          <w:tab w:val="clear" w:pos="1440"/>
        </w:tabs>
        <w:ind w:left="720" w:firstLine="0"/>
        <w:jc w:val="center"/>
        <w:rPr>
          <w:sz w:val="22"/>
          <w:szCs w:val="22"/>
        </w:rPr>
      </w:pPr>
    </w:p>
    <w:p w:rsidR="004A147C" w:rsidRPr="00B53FFB" w:rsidRDefault="004A147C" w:rsidP="00CE5850">
      <w:pPr>
        <w:pStyle w:val="Caption"/>
        <w:widowControl w:val="0"/>
        <w:jc w:val="center"/>
        <w:rPr>
          <w:sz w:val="22"/>
          <w:szCs w:val="22"/>
        </w:rPr>
      </w:pPr>
      <w:bookmarkStart w:id="1224" w:name="_Toc329262487"/>
      <w:bookmarkStart w:id="1225" w:name="_Toc329852391"/>
      <w:bookmarkStart w:id="1226" w:name="_Toc331766307"/>
      <w:bookmarkStart w:id="1227" w:name="_Toc332119102"/>
      <w:bookmarkEnd w:id="1218"/>
      <w:bookmarkEnd w:id="1219"/>
      <w:r w:rsidRPr="00B53FFB">
        <w:rPr>
          <w:sz w:val="22"/>
          <w:szCs w:val="22"/>
        </w:rPr>
        <w:t xml:space="preserve">Chart </w:t>
      </w:r>
      <w:r w:rsidR="0007014B" w:rsidRPr="00B53FFB">
        <w:rPr>
          <w:sz w:val="22"/>
          <w:szCs w:val="22"/>
        </w:rPr>
        <w:fldChar w:fldCharType="begin"/>
      </w:r>
      <w:r w:rsidRPr="00B53FFB">
        <w:rPr>
          <w:sz w:val="22"/>
          <w:szCs w:val="22"/>
        </w:rPr>
        <w:instrText xml:space="preserve"> SEQ Chart \* ARABIC </w:instrText>
      </w:r>
      <w:r w:rsidR="0007014B" w:rsidRPr="00B53FFB">
        <w:rPr>
          <w:sz w:val="22"/>
          <w:szCs w:val="22"/>
        </w:rPr>
        <w:fldChar w:fldCharType="separate"/>
      </w:r>
      <w:r w:rsidR="00CA3AC6">
        <w:rPr>
          <w:noProof/>
          <w:sz w:val="22"/>
          <w:szCs w:val="22"/>
        </w:rPr>
        <w:t>1</w:t>
      </w:r>
      <w:r w:rsidR="0007014B" w:rsidRPr="00B53FFB">
        <w:rPr>
          <w:sz w:val="22"/>
          <w:szCs w:val="22"/>
        </w:rPr>
        <w:fldChar w:fldCharType="end"/>
      </w:r>
      <w:r w:rsidRPr="00B53FFB">
        <w:rPr>
          <w:sz w:val="22"/>
          <w:szCs w:val="22"/>
        </w:rPr>
        <w:br/>
      </w:r>
      <w:bookmarkEnd w:id="1220"/>
      <w:r w:rsidRPr="00B53FFB">
        <w:rPr>
          <w:sz w:val="22"/>
          <w:szCs w:val="22"/>
        </w:rPr>
        <w:t>Average HHI Across EAs, 2004-2011 (In thousands)</w:t>
      </w:r>
      <w:r w:rsidRPr="00B53FFB">
        <w:rPr>
          <w:rStyle w:val="FootnoteReference"/>
          <w:b w:val="0"/>
          <w:szCs w:val="22"/>
        </w:rPr>
        <w:footnoteReference w:id="187"/>
      </w:r>
      <w:bookmarkEnd w:id="1224"/>
      <w:bookmarkEnd w:id="1225"/>
      <w:bookmarkEnd w:id="1226"/>
      <w:bookmarkEnd w:id="1227"/>
    </w:p>
    <w:p w:rsidR="004A147C" w:rsidRPr="00B53FFB" w:rsidRDefault="00C81B24" w:rsidP="00CE5850">
      <w:pPr>
        <w:pStyle w:val="ParaNum"/>
        <w:tabs>
          <w:tab w:val="clear" w:pos="1440"/>
        </w:tabs>
        <w:ind w:firstLine="0"/>
        <w:jc w:val="center"/>
        <w:rPr>
          <w:sz w:val="22"/>
          <w:szCs w:val="22"/>
        </w:rPr>
      </w:pPr>
      <w:r>
        <w:rPr>
          <w:noProof/>
          <w:sz w:val="22"/>
          <w:szCs w:val="22"/>
        </w:rPr>
        <w:drawing>
          <wp:inline distT="0" distB="0" distL="0" distR="0" wp14:anchorId="43F58237" wp14:editId="3C914D79">
            <wp:extent cx="5581650" cy="3800475"/>
            <wp:effectExtent l="0" t="0" r="0" b="952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581650" cy="3800475"/>
                    </a:xfrm>
                    <a:prstGeom prst="rect">
                      <a:avLst/>
                    </a:prstGeom>
                    <a:noFill/>
                    <a:ln>
                      <a:noFill/>
                    </a:ln>
                  </pic:spPr>
                </pic:pic>
              </a:graphicData>
            </a:graphic>
          </wp:inline>
        </w:drawing>
      </w:r>
    </w:p>
    <w:p w:rsidR="004A147C" w:rsidRPr="00BD4B26" w:rsidRDefault="004A147C" w:rsidP="00CE5850">
      <w:pPr>
        <w:pStyle w:val="ParaNum"/>
        <w:numPr>
          <w:ilvl w:val="0"/>
          <w:numId w:val="28"/>
        </w:numPr>
        <w:rPr>
          <w:sz w:val="22"/>
          <w:szCs w:val="22"/>
        </w:rPr>
      </w:pPr>
      <w:r w:rsidRPr="00B53FFB">
        <w:rPr>
          <w:sz w:val="22"/>
          <w:szCs w:val="22"/>
        </w:rPr>
        <w:t xml:space="preserve">HHI values tend to vary with the population density of different markets.  Specifically, market concentration in EAs tends to increase as the EA population declines.  </w:t>
      </w:r>
      <w:r w:rsidR="00951E9B">
        <w:fldChar w:fldCharType="begin"/>
      </w:r>
      <w:r w:rsidR="00951E9B">
        <w:instrText xml:space="preserve"> REF _Ref256601978  \* MERGEFORMAT </w:instrText>
      </w:r>
      <w:r w:rsidR="00951E9B">
        <w:fldChar w:fldCharType="separate"/>
      </w:r>
      <w:r w:rsidR="00CA3AC6" w:rsidRPr="00B53FFB">
        <w:rPr>
          <w:sz w:val="22"/>
          <w:szCs w:val="22"/>
        </w:rPr>
        <w:t xml:space="preserve">Chart </w:t>
      </w:r>
      <w:r w:rsidR="00CA3AC6">
        <w:rPr>
          <w:noProof/>
          <w:sz w:val="22"/>
          <w:szCs w:val="22"/>
        </w:rPr>
        <w:t>2</w:t>
      </w:r>
      <w:r w:rsidR="00951E9B">
        <w:rPr>
          <w:noProof/>
          <w:sz w:val="22"/>
          <w:szCs w:val="22"/>
        </w:rPr>
        <w:fldChar w:fldCharType="end"/>
      </w:r>
      <w:r w:rsidRPr="00B53FFB">
        <w:rPr>
          <w:sz w:val="22"/>
          <w:szCs w:val="22"/>
        </w:rPr>
        <w:t xml:space="preserve"> below shows the relationship between EA population densities and HHI values, and indicates that the most concentrated EAs tend to be in rural areas, while major metropolitan areas lie within the least concentrated EAs.  </w:t>
      </w:r>
      <w:r w:rsidR="005B380F">
        <w:fldChar w:fldCharType="begin"/>
      </w:r>
      <w:r w:rsidR="005B380F">
        <w:instrText xml:space="preserve"> REF _Ref256584931 \h  \* MERGEFORMAT </w:instrText>
      </w:r>
      <w:r w:rsidR="005B380F">
        <w:fldChar w:fldCharType="separate"/>
      </w:r>
      <w:r w:rsidR="00CA3AC6" w:rsidRPr="00B53FFB">
        <w:rPr>
          <w:noProof/>
          <w:sz w:val="22"/>
          <w:szCs w:val="22"/>
        </w:rPr>
        <w:t>Chart</w:t>
      </w:r>
      <w:r w:rsidR="00CA3AC6" w:rsidRPr="00B53FFB">
        <w:rPr>
          <w:sz w:val="22"/>
          <w:szCs w:val="22"/>
        </w:rPr>
        <w:t xml:space="preserve"> </w:t>
      </w:r>
      <w:r w:rsidR="00CA3AC6">
        <w:rPr>
          <w:sz w:val="22"/>
          <w:szCs w:val="22"/>
        </w:rPr>
        <w:t>3</w:t>
      </w:r>
      <w:r w:rsidR="005B380F">
        <w:fldChar w:fldCharType="end"/>
      </w:r>
      <w:r w:rsidRPr="00B53FFB">
        <w:rPr>
          <w:sz w:val="22"/>
          <w:szCs w:val="22"/>
        </w:rPr>
        <w:t xml:space="preserve"> below shows that the median HHI value of EAs that lie within population density bands decreases as the population density increases, where the nationwide median value of the HHI by EA is 3230.  This observed decrease in the median value in more highly-populated areas likely reflects greater demand and greater cost efficiencies (per-user mobile wireless network deployment costs tend to decrease with increases in the population density) in more densely-populated areas.</w:t>
      </w:r>
      <w:r w:rsidRPr="00B53FFB">
        <w:rPr>
          <w:rStyle w:val="FootnoteReference"/>
          <w:szCs w:val="22"/>
        </w:rPr>
        <w:footnoteReference w:id="188"/>
      </w:r>
      <w:r w:rsidRPr="00B53FFB">
        <w:rPr>
          <w:sz w:val="22"/>
          <w:szCs w:val="22"/>
        </w:rPr>
        <w:t xml:space="preserve">  Apart from differences in population, EAs also vary significantly with regard to other determinants of market demand and facilities-based provider costs, such as per-capita income, the age distribution of the population, and the size and composition of the business sector.</w:t>
      </w:r>
      <w:r w:rsidRPr="00B53FFB">
        <w:rPr>
          <w:rStyle w:val="FootnoteReference"/>
          <w:szCs w:val="22"/>
        </w:rPr>
        <w:footnoteReference w:id="189"/>
      </w:r>
      <w:r w:rsidRPr="00B53FFB">
        <w:rPr>
          <w:sz w:val="22"/>
          <w:szCs w:val="22"/>
        </w:rPr>
        <w:t xml:space="preserve">  Some of the economic determinants of industry concentration are discussed further in Section </w:t>
      </w:r>
      <w:r w:rsidR="00951E9B">
        <w:fldChar w:fldCharType="begin"/>
      </w:r>
      <w:r w:rsidR="00951E9B">
        <w:instrText xml:space="preserve"> REF _Ref256585103 \w  \* MERGEFORMAT </w:instrText>
      </w:r>
      <w:r w:rsidR="00951E9B">
        <w:fldChar w:fldCharType="separate"/>
      </w:r>
      <w:r w:rsidR="00CA3AC6" w:rsidRPr="00CA3AC6">
        <w:rPr>
          <w:sz w:val="22"/>
          <w:szCs w:val="22"/>
        </w:rPr>
        <w:t>III.E</w:t>
      </w:r>
      <w:r w:rsidR="00951E9B">
        <w:rPr>
          <w:sz w:val="22"/>
          <w:szCs w:val="22"/>
        </w:rPr>
        <w:fldChar w:fldCharType="end"/>
      </w:r>
      <w:r w:rsidRPr="00B53FFB">
        <w:rPr>
          <w:sz w:val="22"/>
          <w:szCs w:val="22"/>
        </w:rPr>
        <w:t xml:space="preserve">, </w:t>
      </w:r>
      <w:r w:rsidR="00951E9B">
        <w:fldChar w:fldCharType="begin"/>
      </w:r>
      <w:r w:rsidR="00951E9B">
        <w:instrText xml:space="preserve"> REF _Ref256585106  \* MERGEFORMAT </w:instrText>
      </w:r>
      <w:r w:rsidR="00951E9B">
        <w:fldChar w:fldCharType="separate"/>
      </w:r>
      <w:r w:rsidR="00CA3AC6" w:rsidRPr="00CA3AC6">
        <w:rPr>
          <w:sz w:val="22"/>
          <w:szCs w:val="22"/>
        </w:rPr>
        <w:t>Entry and Exit Conditions</w:t>
      </w:r>
      <w:r w:rsidR="00951E9B">
        <w:rPr>
          <w:sz w:val="22"/>
          <w:szCs w:val="22"/>
        </w:rPr>
        <w:fldChar w:fldCharType="end"/>
      </w:r>
      <w:r w:rsidRPr="00B53FFB">
        <w:rPr>
          <w:i/>
          <w:sz w:val="22"/>
          <w:szCs w:val="22"/>
        </w:rPr>
        <w:t>.</w:t>
      </w:r>
    </w:p>
    <w:p w:rsidR="00BD4B26" w:rsidRPr="00B53FFB" w:rsidRDefault="00BD4B26" w:rsidP="00BD4B26">
      <w:pPr>
        <w:pStyle w:val="ParaNum"/>
        <w:tabs>
          <w:tab w:val="clear" w:pos="1440"/>
        </w:tabs>
        <w:rPr>
          <w:sz w:val="22"/>
          <w:szCs w:val="22"/>
        </w:rPr>
      </w:pPr>
    </w:p>
    <w:p w:rsidR="004A147C" w:rsidRPr="00B53FFB" w:rsidRDefault="004A147C" w:rsidP="00CE5850">
      <w:pPr>
        <w:pStyle w:val="Caption"/>
        <w:widowControl w:val="0"/>
        <w:jc w:val="center"/>
        <w:rPr>
          <w:sz w:val="22"/>
          <w:szCs w:val="22"/>
        </w:rPr>
      </w:pPr>
      <w:bookmarkStart w:id="1228" w:name="_Ref256601978"/>
      <w:bookmarkStart w:id="1229" w:name="_Ref256001058"/>
      <w:r w:rsidRPr="00B53FFB">
        <w:rPr>
          <w:sz w:val="22"/>
          <w:szCs w:val="22"/>
        </w:rPr>
        <w:t xml:space="preserve">Chart </w:t>
      </w:r>
      <w:r w:rsidR="0007014B" w:rsidRPr="00B53FFB">
        <w:rPr>
          <w:sz w:val="22"/>
          <w:szCs w:val="22"/>
        </w:rPr>
        <w:fldChar w:fldCharType="begin"/>
      </w:r>
      <w:r w:rsidRPr="00B53FFB">
        <w:rPr>
          <w:sz w:val="22"/>
          <w:szCs w:val="22"/>
        </w:rPr>
        <w:instrText xml:space="preserve"> SEQ Chart \* ARABIC </w:instrText>
      </w:r>
      <w:r w:rsidR="0007014B" w:rsidRPr="00B53FFB">
        <w:rPr>
          <w:sz w:val="22"/>
          <w:szCs w:val="22"/>
        </w:rPr>
        <w:fldChar w:fldCharType="separate"/>
      </w:r>
      <w:r w:rsidR="00CA3AC6">
        <w:rPr>
          <w:noProof/>
          <w:sz w:val="22"/>
          <w:szCs w:val="22"/>
        </w:rPr>
        <w:t>2</w:t>
      </w:r>
      <w:r w:rsidR="0007014B" w:rsidRPr="00B53FFB">
        <w:rPr>
          <w:sz w:val="22"/>
          <w:szCs w:val="22"/>
        </w:rPr>
        <w:fldChar w:fldCharType="end"/>
      </w:r>
      <w:bookmarkEnd w:id="1228"/>
      <w:r w:rsidRPr="00B53FFB">
        <w:rPr>
          <w:sz w:val="22"/>
          <w:szCs w:val="22"/>
        </w:rPr>
        <w:br/>
        <w:t>Plot of 2011 EA HHI Values on EA Population Densit</w:t>
      </w:r>
      <w:bookmarkEnd w:id="1229"/>
      <w:r w:rsidRPr="00B53FFB">
        <w:rPr>
          <w:sz w:val="22"/>
          <w:szCs w:val="22"/>
        </w:rPr>
        <w:t>ies, 2011</w:t>
      </w:r>
      <w:r w:rsidRPr="00B53FFB">
        <w:rPr>
          <w:rStyle w:val="FootnoteReference"/>
          <w:b w:val="0"/>
          <w:szCs w:val="22"/>
        </w:rPr>
        <w:footnoteReference w:id="190"/>
      </w:r>
    </w:p>
    <w:p w:rsidR="004A147C" w:rsidRPr="00B53FFB" w:rsidRDefault="00C81B24" w:rsidP="00CE5850">
      <w:pPr>
        <w:pStyle w:val="ParaNum"/>
        <w:tabs>
          <w:tab w:val="clear" w:pos="1440"/>
        </w:tabs>
        <w:ind w:firstLine="0"/>
        <w:jc w:val="center"/>
        <w:rPr>
          <w:sz w:val="22"/>
          <w:szCs w:val="22"/>
        </w:rPr>
      </w:pPr>
      <w:r>
        <w:rPr>
          <w:noProof/>
        </w:rPr>
        <mc:AlternateContent>
          <mc:Choice Requires="wps">
            <w:drawing>
              <wp:anchor distT="0" distB="0" distL="114300" distR="114300" simplePos="0" relativeHeight="13" behindDoc="0" locked="0" layoutInCell="1" allowOverlap="1" wp14:anchorId="2D55FE77" wp14:editId="570FD719">
                <wp:simplePos x="0" y="0"/>
                <wp:positionH relativeFrom="column">
                  <wp:posOffset>542290</wp:posOffset>
                </wp:positionH>
                <wp:positionV relativeFrom="paragraph">
                  <wp:posOffset>2340610</wp:posOffset>
                </wp:positionV>
                <wp:extent cx="1675130" cy="231775"/>
                <wp:effectExtent l="0" t="0" r="0" b="0"/>
                <wp:wrapNone/>
                <wp:docPr id="16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75130" cy="231775"/>
                        </a:xfrm>
                        <a:prstGeom prst="rect">
                          <a:avLst/>
                        </a:prstGeom>
                        <a:noFill/>
                        <a:ln w="9525">
                          <a:noFill/>
                          <a:miter lim="800000"/>
                          <a:headEnd/>
                          <a:tailEnd/>
                        </a:ln>
                      </wps:spPr>
                      <wps:txbx>
                        <w:txbxContent>
                          <w:p w:rsidR="00EC7CF3" w:rsidRPr="00E13BA8" w:rsidRDefault="00EC7CF3">
                            <w:pPr>
                              <w:rPr>
                                <w:rFonts w:ascii="Arial" w:hAnsi="Arial" w:cs="Arial"/>
                                <w:sz w:val="18"/>
                                <w:szCs w:val="18"/>
                              </w:rPr>
                            </w:pPr>
                            <w:r w:rsidRPr="00E13BA8">
                              <w:rPr>
                                <w:rFonts w:ascii="Arial" w:hAnsi="Arial" w:cs="Arial"/>
                                <w:sz w:val="18"/>
                                <w:szCs w:val="18"/>
                              </w:rPr>
                              <w:t>Source: NRUF</w:t>
                            </w:r>
                            <w:r>
                              <w:rPr>
                                <w:rFonts w:ascii="Arial" w:hAnsi="Arial" w:cs="Arial"/>
                                <w:sz w:val="18"/>
                                <w:szCs w:val="18"/>
                              </w:rPr>
                              <w:t>, Census</w:t>
                            </w:r>
                          </w:p>
                        </w:txbxContent>
                      </wps:txbx>
                      <wps:bodyPr rot="0" vert="horz" wrap="square" lIns="91440" tIns="45720" rIns="91440" bIns="45720" anchor="t" anchorCtr="0">
                        <a:noAutofit/>
                      </wps:bodyPr>
                    </wps:wsp>
                  </a:graphicData>
                </a:graphic>
                <wp14:sizeRelH relativeFrom="page">
                  <wp14:pctWidth>0</wp14:pctWidth>
                </wp14:sizeRelH>
                <wp14:sizeRelV relativeFrom="page">
                  <wp14:pctHeight>0</wp14:pctHeight>
                </wp14:sizeRelV>
              </wp:anchor>
            </w:drawing>
          </mc:Choice>
          <mc:Fallback>
            <w:pict>
              <v:shape id="_x0000_s1027" type="#_x0000_t202" style="position:absolute;left:0;text-align:left;margin-left:42.7pt;margin-top:184.3pt;width:131.9pt;height:18.25pt;z-index:1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" filled="f" stroked="f">
                <v:textbox>
                  <w:txbxContent>
                    <w:p w:rsidR="00EC7CF3" w:rsidRPr="00E13BA8" w:rsidRDefault="00EC7CF3">
                      <w:pPr>
                        <w:rPr>
                          <w:rFonts w:ascii="Arial" w:hAnsi="Arial" w:cs="Arial"/>
                          <w:sz w:val="18"/>
                          <w:szCs w:val="18"/>
                        </w:rPr>
                      </w:pPr>
                      <w:r w:rsidRPr="00E13BA8">
                        <w:rPr>
                          <w:rFonts w:ascii="Arial" w:hAnsi="Arial" w:cs="Arial"/>
                          <w:sz w:val="18"/>
                          <w:szCs w:val="18"/>
                        </w:rPr>
                        <w:t>Source: NRUF</w:t>
                      </w:r>
                      <w:r>
                        <w:rPr>
                          <w:rFonts w:ascii="Arial" w:hAnsi="Arial" w:cs="Arial"/>
                          <w:sz w:val="18"/>
                          <w:szCs w:val="18"/>
                        </w:rPr>
                        <w:t>, Census</w:t>
                      </w:r>
                    </w:p>
                  </w:txbxContent>
                </v:textbox>
              </v:shape>
            </w:pict>
          </mc:Fallback>
        </mc:AlternateContent>
      </w:r>
      <w:r>
        <w:rPr>
          <w:noProof/>
          <w:sz w:val="22"/>
          <w:szCs w:val="22"/>
        </w:rPr>
        <w:drawing>
          <wp:inline distT="0" distB="0" distL="0" distR="0" wp14:anchorId="15BBB8F2" wp14:editId="5DB2CDBD">
            <wp:extent cx="4867275" cy="2609850"/>
            <wp:effectExtent l="0" t="0" r="9525"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867275" cy="2609850"/>
                    </a:xfrm>
                    <a:prstGeom prst="rect">
                      <a:avLst/>
                    </a:prstGeom>
                    <a:noFill/>
                    <a:ln>
                      <a:noFill/>
                    </a:ln>
                  </pic:spPr>
                </pic:pic>
              </a:graphicData>
            </a:graphic>
          </wp:inline>
        </w:drawing>
      </w:r>
    </w:p>
    <w:p w:rsidR="004A147C" w:rsidRPr="00B53FFB" w:rsidRDefault="004A147C" w:rsidP="00CE5850">
      <w:pPr>
        <w:pStyle w:val="Caption"/>
        <w:widowControl w:val="0"/>
        <w:jc w:val="center"/>
        <w:rPr>
          <w:sz w:val="22"/>
          <w:szCs w:val="22"/>
        </w:rPr>
      </w:pPr>
      <w:bookmarkStart w:id="1230" w:name="_Ref256584931"/>
      <w:bookmarkStart w:id="1231" w:name="_Ref256091165"/>
      <w:r w:rsidRPr="00B53FFB">
        <w:rPr>
          <w:sz w:val="22"/>
          <w:szCs w:val="22"/>
        </w:rPr>
        <w:t xml:space="preserve">Chart </w:t>
      </w:r>
      <w:r w:rsidR="0007014B" w:rsidRPr="00B53FFB">
        <w:rPr>
          <w:sz w:val="22"/>
          <w:szCs w:val="22"/>
        </w:rPr>
        <w:fldChar w:fldCharType="begin"/>
      </w:r>
      <w:r w:rsidRPr="00B53FFB">
        <w:rPr>
          <w:sz w:val="22"/>
          <w:szCs w:val="22"/>
        </w:rPr>
        <w:instrText xml:space="preserve"> SEQ Chart \* ARABIC </w:instrText>
      </w:r>
      <w:r w:rsidR="0007014B" w:rsidRPr="00B53FFB">
        <w:rPr>
          <w:sz w:val="22"/>
          <w:szCs w:val="22"/>
        </w:rPr>
        <w:fldChar w:fldCharType="separate"/>
      </w:r>
      <w:r w:rsidR="00CA3AC6">
        <w:rPr>
          <w:noProof/>
          <w:sz w:val="22"/>
          <w:szCs w:val="22"/>
        </w:rPr>
        <w:t>3</w:t>
      </w:r>
      <w:r w:rsidR="0007014B" w:rsidRPr="00B53FFB">
        <w:rPr>
          <w:sz w:val="22"/>
          <w:szCs w:val="22"/>
        </w:rPr>
        <w:fldChar w:fldCharType="end"/>
      </w:r>
      <w:bookmarkEnd w:id="1230"/>
      <w:r w:rsidRPr="00B53FFB">
        <w:rPr>
          <w:sz w:val="22"/>
          <w:szCs w:val="22"/>
        </w:rPr>
        <w:br/>
        <w:t>Median HHI of EAs in Population Density Bands</w:t>
      </w:r>
      <w:bookmarkEnd w:id="1231"/>
      <w:r w:rsidRPr="00B53FFB">
        <w:rPr>
          <w:sz w:val="22"/>
          <w:szCs w:val="22"/>
        </w:rPr>
        <w:t>, 2011</w:t>
      </w:r>
    </w:p>
    <w:p w:rsidR="004A147C" w:rsidRPr="00B53FFB" w:rsidRDefault="00C81B24" w:rsidP="00CE5850">
      <w:pPr>
        <w:jc w:val="center"/>
        <w:rPr>
          <w:szCs w:val="22"/>
        </w:rPr>
      </w:pPr>
      <w:r>
        <w:rPr>
          <w:noProof/>
        </w:rPr>
        <mc:AlternateContent>
          <mc:Choice Requires="wps">
            <w:drawing>
              <wp:anchor distT="0" distB="0" distL="114300" distR="114300" simplePos="0" relativeHeight="14" behindDoc="0" locked="0" layoutInCell="1" allowOverlap="1" wp14:anchorId="2F8BC3D9" wp14:editId="1FE51CCC">
                <wp:simplePos x="0" y="0"/>
                <wp:positionH relativeFrom="column">
                  <wp:posOffset>544830</wp:posOffset>
                </wp:positionH>
                <wp:positionV relativeFrom="paragraph">
                  <wp:posOffset>2379345</wp:posOffset>
                </wp:positionV>
                <wp:extent cx="2377440" cy="222885"/>
                <wp:effectExtent l="0" t="0" r="0" b="5715"/>
                <wp:wrapNone/>
                <wp:docPr id="160"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7440" cy="2228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C7CF3" w:rsidRPr="00E13BA8" w:rsidRDefault="00EC7CF3">
                            <w:pPr>
                              <w:rPr>
                                <w:rFonts w:ascii="Arial" w:hAnsi="Arial" w:cs="Arial"/>
                                <w:sz w:val="18"/>
                                <w:szCs w:val="18"/>
                              </w:rPr>
                            </w:pPr>
                            <w:r w:rsidRPr="00E13BA8">
                              <w:rPr>
                                <w:rFonts w:ascii="Arial" w:hAnsi="Arial" w:cs="Arial"/>
                                <w:sz w:val="18"/>
                                <w:szCs w:val="18"/>
                              </w:rPr>
                              <w:t>Source: NRUF</w:t>
                            </w:r>
                            <w:r>
                              <w:rPr>
                                <w:rFonts w:ascii="Arial" w:hAnsi="Arial" w:cs="Arial"/>
                                <w:sz w:val="18"/>
                                <w:szCs w:val="18"/>
                              </w:rPr>
                              <w:t>, Census</w:t>
                            </w:r>
                          </w:p>
                        </w:txbxContent>
                      </wps:txbx>
                      <wps:bodyPr rot="0" vert="horz" wrap="squar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4" o:spid="_x0000_s1028" type="#_x0000_t202" style="position:absolute;left:0;text-align:left;margin-left:42.9pt;margin-top:187.35pt;width:187.2pt;height:17.55pt;z-index:1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" filled="f" stroked="f">
                <v:textbox style="mso-fit-shape-to-text:t">
                  <w:txbxContent>
                    <w:p w:rsidR="00EC7CF3" w:rsidRPr="00E13BA8" w:rsidRDefault="00EC7CF3">
                      <w:pPr>
                        <w:rPr>
                          <w:rFonts w:ascii="Arial" w:hAnsi="Arial" w:cs="Arial"/>
                          <w:sz w:val="18"/>
                          <w:szCs w:val="18"/>
                        </w:rPr>
                      </w:pPr>
                      <w:r w:rsidRPr="00E13BA8">
                        <w:rPr>
                          <w:rFonts w:ascii="Arial" w:hAnsi="Arial" w:cs="Arial"/>
                          <w:sz w:val="18"/>
                          <w:szCs w:val="18"/>
                        </w:rPr>
                        <w:t>Source: NRUF</w:t>
                      </w:r>
                      <w:r>
                        <w:rPr>
                          <w:rFonts w:ascii="Arial" w:hAnsi="Arial" w:cs="Arial"/>
                          <w:sz w:val="18"/>
                          <w:szCs w:val="18"/>
                        </w:rPr>
                        <w:t>, Census</w:t>
                      </w:r>
                    </w:p>
                  </w:txbxContent>
                </v:textbox>
              </v:shape>
            </w:pict>
          </mc:Fallback>
        </mc:AlternateContent>
      </w:r>
      <w:r>
        <w:rPr>
          <w:noProof/>
          <w:szCs w:val="22"/>
        </w:rPr>
        <w:drawing>
          <wp:inline distT="0" distB="0" distL="0" distR="0" wp14:anchorId="338E8418" wp14:editId="7D6E5938">
            <wp:extent cx="4867275" cy="2609850"/>
            <wp:effectExtent l="0" t="0" r="9525"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867275" cy="2609850"/>
                    </a:xfrm>
                    <a:prstGeom prst="rect">
                      <a:avLst/>
                    </a:prstGeom>
                    <a:noFill/>
                    <a:ln>
                      <a:noFill/>
                    </a:ln>
                  </pic:spPr>
                </pic:pic>
              </a:graphicData>
            </a:graphic>
          </wp:inline>
        </w:drawing>
      </w:r>
    </w:p>
    <w:p w:rsidR="004A147C" w:rsidRPr="00B53FFB" w:rsidRDefault="004A147C" w:rsidP="00CE5850">
      <w:pPr>
        <w:rPr>
          <w:szCs w:val="22"/>
        </w:rPr>
      </w:pPr>
    </w:p>
    <w:p w:rsidR="004A147C" w:rsidRPr="00B53FFB" w:rsidRDefault="004A147C" w:rsidP="00CE5850">
      <w:pPr>
        <w:pStyle w:val="ParaNum"/>
        <w:numPr>
          <w:ilvl w:val="0"/>
          <w:numId w:val="28"/>
        </w:numPr>
        <w:rPr>
          <w:sz w:val="22"/>
          <w:szCs w:val="22"/>
        </w:rPr>
      </w:pPr>
      <w:r w:rsidRPr="00B53FFB">
        <w:rPr>
          <w:i/>
          <w:sz w:val="22"/>
          <w:szCs w:val="22"/>
        </w:rPr>
        <w:t>Relation Between HHI and Competition</w:t>
      </w:r>
      <w:r w:rsidRPr="00B53FFB">
        <w:rPr>
          <w:sz w:val="22"/>
          <w:szCs w:val="22"/>
        </w:rPr>
        <w:t>.  High market concentration is not synonymous with a non-competitive market or with market power – the ability to charge prices above the competitive level for a sustained period of time.</w:t>
      </w:r>
      <w:r w:rsidRPr="00B53FFB">
        <w:rPr>
          <w:rStyle w:val="FootnoteReference"/>
          <w:szCs w:val="22"/>
        </w:rPr>
        <w:footnoteReference w:id="191"/>
      </w:r>
      <w:r w:rsidRPr="00B53FFB">
        <w:rPr>
          <w:sz w:val="22"/>
          <w:szCs w:val="22"/>
        </w:rPr>
        <w:t xml:space="preserve">  High market concentration may indicate that a firm or firms potentially may be able to exercise market power, but market concentration measures alone are insufficient to draw such a conclusion.</w:t>
      </w:r>
      <w:r w:rsidRPr="00B53FFB">
        <w:rPr>
          <w:rStyle w:val="FootnoteReference"/>
          <w:szCs w:val="22"/>
        </w:rPr>
        <w:footnoteReference w:id="192"/>
      </w:r>
      <w:r w:rsidRPr="00B53FFB">
        <w:rPr>
          <w:sz w:val="22"/>
          <w:szCs w:val="22"/>
        </w:rPr>
        <w:t xml:space="preserve">  Therefore, this </w:t>
      </w:r>
      <w:r w:rsidRPr="00B53FFB">
        <w:rPr>
          <w:i/>
          <w:sz w:val="22"/>
          <w:szCs w:val="22"/>
        </w:rPr>
        <w:t>Report</w:t>
      </w:r>
      <w:r w:rsidRPr="00B53FFB">
        <w:rPr>
          <w:sz w:val="22"/>
          <w:szCs w:val="22"/>
        </w:rPr>
        <w:t xml:space="preserve"> analyzes other indicators and measures of competition in the mobile wireless services market.  These include mainly price and non-price rivalry by competitors and price and output data.</w:t>
      </w:r>
      <w:r w:rsidRPr="00B53FFB">
        <w:rPr>
          <w:rStyle w:val="FootnoteReference"/>
          <w:szCs w:val="22"/>
        </w:rPr>
        <w:footnoteReference w:id="193"/>
      </w:r>
    </w:p>
    <w:p w:rsidR="004A147C" w:rsidRPr="00B53FFB" w:rsidRDefault="004A147C" w:rsidP="00CE5850">
      <w:pPr>
        <w:pStyle w:val="Heading3"/>
        <w:keepNext w:val="0"/>
        <w:numPr>
          <w:ilvl w:val="2"/>
          <w:numId w:val="26"/>
        </w:numPr>
        <w:tabs>
          <w:tab w:val="left" w:pos="2160"/>
        </w:tabs>
        <w:rPr>
          <w:sz w:val="22"/>
          <w:szCs w:val="22"/>
        </w:rPr>
      </w:pPr>
      <w:bookmarkStart w:id="1232" w:name="_Toc252283851"/>
      <w:bookmarkStart w:id="1233" w:name="_Ref257026994"/>
      <w:bookmarkStart w:id="1234" w:name="_Ref257026997"/>
      <w:bookmarkStart w:id="1235" w:name="_Ref257727582"/>
      <w:bookmarkStart w:id="1236" w:name="_Ref257727585"/>
      <w:bookmarkStart w:id="1237" w:name="_Ref259534056"/>
      <w:bookmarkStart w:id="1238" w:name="_Ref259534058"/>
      <w:bookmarkStart w:id="1239" w:name="_Ref259790975"/>
      <w:bookmarkStart w:id="1240" w:name="_Ref259790978"/>
      <w:bookmarkStart w:id="1241" w:name="_Ref260135336"/>
      <w:bookmarkStart w:id="1242" w:name="_Ref260135340"/>
      <w:bookmarkStart w:id="1243" w:name="_Toc261610766"/>
      <w:bookmarkStart w:id="1244" w:name="_Toc261858499"/>
      <w:bookmarkStart w:id="1245" w:name="_Toc262034304"/>
      <w:bookmarkStart w:id="1246" w:name="_Toc262034407"/>
      <w:bookmarkStart w:id="1247" w:name="_Toc275517963"/>
      <w:bookmarkStart w:id="1248" w:name="_Toc275952403"/>
      <w:bookmarkStart w:id="1249" w:name="_Toc276121835"/>
      <w:bookmarkStart w:id="1250" w:name="_Toc276480672"/>
      <w:bookmarkStart w:id="1251" w:name="_Toc276741749"/>
      <w:bookmarkStart w:id="1252" w:name="_Ref277166637"/>
      <w:bookmarkStart w:id="1253" w:name="_Toc277171513"/>
      <w:bookmarkStart w:id="1254" w:name="_Ref277585677"/>
      <w:bookmarkStart w:id="1255" w:name="_Toc277864488"/>
      <w:bookmarkStart w:id="1256" w:name="_Toc277864704"/>
      <w:bookmarkStart w:id="1257" w:name="_Ref283292738"/>
      <w:bookmarkStart w:id="1258" w:name="_Toc285810385"/>
      <w:bookmarkStart w:id="1259" w:name="_Toc287257779"/>
      <w:bookmarkStart w:id="1260" w:name="_Toc291758658"/>
      <w:bookmarkStart w:id="1261" w:name="_Toc291758761"/>
      <w:bookmarkStart w:id="1262" w:name="_Toc295392941"/>
      <w:bookmarkStart w:id="1263" w:name="_Toc329098092"/>
      <w:bookmarkStart w:id="1264" w:name="_Toc329262491"/>
      <w:bookmarkStart w:id="1265" w:name="_Toc329852392"/>
      <w:bookmarkStart w:id="1266" w:name="_Toc331766308"/>
      <w:bookmarkStart w:id="1267" w:name="_Toc332119103"/>
      <w:bookmarkStart w:id="1268" w:name="_Toc334088785"/>
      <w:bookmarkStart w:id="1269" w:name="_Toc334089021"/>
      <w:bookmarkStart w:id="1270" w:name="_Toc334089180"/>
      <w:bookmarkStart w:id="1271" w:name="_Toc334089291"/>
      <w:bookmarkStart w:id="1272" w:name="_Toc334089455"/>
      <w:bookmarkStart w:id="1273" w:name="_Toc335839028"/>
      <w:bookmarkStart w:id="1274" w:name="_Toc336268591"/>
      <w:bookmarkStart w:id="1275" w:name="_Toc336268699"/>
      <w:bookmarkStart w:id="1276" w:name="_Toc336268806"/>
      <w:bookmarkStart w:id="1277" w:name="_Toc336269020"/>
      <w:bookmarkStart w:id="1278" w:name="_Toc336269127"/>
      <w:bookmarkStart w:id="1279" w:name="_Toc336269495"/>
      <w:bookmarkStart w:id="1280" w:name="_Toc336269641"/>
      <w:bookmarkStart w:id="1281" w:name="_Toc336270054"/>
      <w:bookmarkStart w:id="1282" w:name="_Toc336271260"/>
      <w:bookmarkStart w:id="1283" w:name="_Toc337651953"/>
      <w:bookmarkStart w:id="1284" w:name="_Toc349577141"/>
      <w:bookmarkStart w:id="1285" w:name="_Toc349579233"/>
      <w:bookmarkStart w:id="1286" w:name="_Toc349580548"/>
      <w:bookmarkStart w:id="1287" w:name="_Toc349734956"/>
      <w:bookmarkStart w:id="1288" w:name="_Toc349742321"/>
      <w:bookmarkStart w:id="1289" w:name="_Toc271288446"/>
      <w:bookmarkStart w:id="1290" w:name="_Ref21756851"/>
      <w:bookmarkStart w:id="1291" w:name="_Toc55787790"/>
      <w:bookmarkStart w:id="1292" w:name="_Toc57021202"/>
      <w:bookmarkStart w:id="1293" w:name="_Toc67722108"/>
      <w:bookmarkStart w:id="1294" w:name="_Toc83547782"/>
      <w:bookmarkStart w:id="1295" w:name="_Ref109723204"/>
      <w:bookmarkStart w:id="1296" w:name="_Ref109723214"/>
      <w:bookmarkStart w:id="1297" w:name="_Toc112139209"/>
      <w:bookmarkStart w:id="1298" w:name="_Toc113257816"/>
      <w:bookmarkStart w:id="1299" w:name="_Toc113258013"/>
      <w:bookmarkStart w:id="1300" w:name="_Toc113258281"/>
      <w:bookmarkStart w:id="1301" w:name="_Toc113258607"/>
      <w:bookmarkStart w:id="1302" w:name="_Toc113272196"/>
      <w:bookmarkStart w:id="1303" w:name="_Toc115580881"/>
      <w:bookmarkStart w:id="1304" w:name="_Toc136318284"/>
      <w:bookmarkStart w:id="1305" w:name="_Toc136318633"/>
      <w:bookmarkStart w:id="1306" w:name="_Toc136318800"/>
      <w:bookmarkStart w:id="1307" w:name="_Toc138475776"/>
      <w:bookmarkStart w:id="1308" w:name="_Toc146684505"/>
      <w:bookmarkStart w:id="1309" w:name="_Toc147046263"/>
      <w:bookmarkStart w:id="1310" w:name="_Toc171415221"/>
      <w:bookmarkStart w:id="1311" w:name="_Toc173642109"/>
      <w:bookmarkStart w:id="1312" w:name="_Toc173813647"/>
      <w:bookmarkStart w:id="1313" w:name="_Toc175387816"/>
      <w:bookmarkStart w:id="1314" w:name="_Toc176254418"/>
      <w:bookmarkStart w:id="1315" w:name="_Toc176254707"/>
      <w:bookmarkStart w:id="1316" w:name="_Toc176254818"/>
      <w:bookmarkStart w:id="1317" w:name="_Toc176762453"/>
      <w:bookmarkStart w:id="1318" w:name="_Toc176843474"/>
      <w:bookmarkStart w:id="1319" w:name="_Toc176853278"/>
      <w:bookmarkStart w:id="1320" w:name="_Toc176853387"/>
      <w:bookmarkStart w:id="1321" w:name="_Toc176857436"/>
      <w:bookmarkStart w:id="1322" w:name="_Toc179108361"/>
      <w:bookmarkStart w:id="1323" w:name="_Toc179357620"/>
      <w:bookmarkStart w:id="1324" w:name="_Toc181781104"/>
      <w:bookmarkStart w:id="1325" w:name="_Toc182218690"/>
      <w:bookmarkStart w:id="1326" w:name="_Toc182909125"/>
      <w:bookmarkStart w:id="1327" w:name="_Toc182909555"/>
      <w:bookmarkStart w:id="1328" w:name="_Toc182987205"/>
      <w:bookmarkStart w:id="1329" w:name="_Toc183244040"/>
      <w:bookmarkStart w:id="1330" w:name="_Toc183244418"/>
      <w:bookmarkStart w:id="1331" w:name="_Toc183244819"/>
      <w:bookmarkStart w:id="1332" w:name="_Toc183244937"/>
      <w:bookmarkStart w:id="1333" w:name="_Toc183245595"/>
      <w:bookmarkStart w:id="1334" w:name="_Toc183246170"/>
      <w:bookmarkStart w:id="1335" w:name="_Toc183246288"/>
      <w:bookmarkStart w:id="1336" w:name="_Ref185318326"/>
      <w:bookmarkStart w:id="1337" w:name="_Toc185667889"/>
      <w:bookmarkStart w:id="1338" w:name="_Ref185758323"/>
      <w:bookmarkStart w:id="1339" w:name="_Toc185838946"/>
      <w:bookmarkStart w:id="1340" w:name="_Toc185846918"/>
      <w:bookmarkStart w:id="1341" w:name="_Toc185848524"/>
      <w:bookmarkStart w:id="1342" w:name="_Toc188946882"/>
      <w:bookmarkStart w:id="1343" w:name="_Toc189302786"/>
      <w:bookmarkStart w:id="1344" w:name="_Toc209948453"/>
      <w:bookmarkStart w:id="1345" w:name="_Toc209948563"/>
      <w:bookmarkStart w:id="1346" w:name="_Toc209950005"/>
      <w:bookmarkStart w:id="1347" w:name="_Toc210211461"/>
      <w:bookmarkStart w:id="1348" w:name="_Toc210213028"/>
      <w:bookmarkStart w:id="1349" w:name="_Toc210213167"/>
      <w:bookmarkStart w:id="1350" w:name="_Toc210213728"/>
      <w:bookmarkStart w:id="1351" w:name="_Toc212967953"/>
      <w:bookmarkStart w:id="1352" w:name="_Toc215316354"/>
      <w:bookmarkStart w:id="1353" w:name="_Toc215384608"/>
      <w:bookmarkStart w:id="1354" w:name="_Toc217810474"/>
      <w:r w:rsidRPr="00B53FFB">
        <w:rPr>
          <w:sz w:val="22"/>
          <w:szCs w:val="22"/>
        </w:rPr>
        <w:t>Recent Entry and Exit</w:t>
      </w:r>
      <w:bookmarkEnd w:id="1232"/>
      <w:bookmarkEnd w:id="1233"/>
      <w:bookmarkEnd w:id="1234"/>
      <w:bookmarkEnd w:id="1235"/>
      <w:bookmarkEnd w:id="1236"/>
      <w:bookmarkEnd w:id="1237"/>
      <w:bookmarkEnd w:id="1238"/>
      <w:bookmarkEnd w:id="1239"/>
      <w:bookmarkEnd w:id="1240"/>
      <w:bookmarkEnd w:id="1241"/>
      <w:bookmarkEnd w:id="1242"/>
      <w:bookmarkEnd w:id="1243"/>
      <w:bookmarkEnd w:id="1244"/>
      <w:bookmarkEnd w:id="1245"/>
      <w:bookmarkEnd w:id="1246"/>
      <w:bookmarkEnd w:id="1247"/>
      <w:bookmarkEnd w:id="1248"/>
      <w:bookmarkEnd w:id="1249"/>
      <w:bookmarkEnd w:id="1250"/>
      <w:bookmarkEnd w:id="1251"/>
      <w:bookmarkEnd w:id="1252"/>
      <w:bookmarkEnd w:id="1253"/>
      <w:bookmarkEnd w:id="1254"/>
      <w:bookmarkEnd w:id="1255"/>
      <w:bookmarkEnd w:id="1256"/>
      <w:bookmarkEnd w:id="1257"/>
      <w:bookmarkEnd w:id="1258"/>
      <w:bookmarkEnd w:id="1259"/>
      <w:bookmarkEnd w:id="1260"/>
      <w:bookmarkEnd w:id="1261"/>
      <w:bookmarkEnd w:id="1262"/>
      <w:bookmarkEnd w:id="1263"/>
      <w:bookmarkEnd w:id="1264"/>
      <w:bookmarkEnd w:id="1265"/>
      <w:bookmarkEnd w:id="1266"/>
      <w:bookmarkEnd w:id="1267"/>
      <w:bookmarkEnd w:id="1268"/>
      <w:bookmarkEnd w:id="1269"/>
      <w:bookmarkEnd w:id="1270"/>
      <w:bookmarkEnd w:id="1271"/>
      <w:bookmarkEnd w:id="1272"/>
      <w:bookmarkEnd w:id="1273"/>
      <w:bookmarkEnd w:id="1274"/>
      <w:bookmarkEnd w:id="1275"/>
      <w:bookmarkEnd w:id="1276"/>
      <w:bookmarkEnd w:id="1277"/>
      <w:bookmarkEnd w:id="1278"/>
      <w:bookmarkEnd w:id="1279"/>
      <w:bookmarkEnd w:id="1280"/>
      <w:bookmarkEnd w:id="1281"/>
      <w:bookmarkEnd w:id="1282"/>
      <w:bookmarkEnd w:id="1283"/>
      <w:bookmarkEnd w:id="1284"/>
      <w:bookmarkEnd w:id="1285"/>
      <w:bookmarkEnd w:id="1286"/>
      <w:bookmarkEnd w:id="1287"/>
      <w:bookmarkEnd w:id="1288"/>
      <w:r w:rsidRPr="00B53FFB">
        <w:rPr>
          <w:sz w:val="22"/>
          <w:szCs w:val="22"/>
        </w:rPr>
        <w:t xml:space="preserve"> </w:t>
      </w:r>
      <w:bookmarkEnd w:id="1289"/>
    </w:p>
    <w:p w:rsidR="004A147C" w:rsidRPr="00B53FFB" w:rsidRDefault="004A147C" w:rsidP="00CE5850">
      <w:pPr>
        <w:pStyle w:val="ParaNum"/>
        <w:numPr>
          <w:ilvl w:val="0"/>
          <w:numId w:val="28"/>
        </w:numPr>
        <w:rPr>
          <w:sz w:val="22"/>
          <w:szCs w:val="22"/>
        </w:rPr>
      </w:pPr>
      <w:r w:rsidRPr="00B53FFB">
        <w:rPr>
          <w:sz w:val="22"/>
          <w:szCs w:val="22"/>
        </w:rPr>
        <w:t>Entry and exit of service providers can lead to significant changes in market concentration.  When a service provider exits the market through a merger or acquisition, subscribers of the exiting service provider may be acquired by the purchasing provider unless divestitures occurred.  Entry normally proceeds through several stages that require a significant period of time to complete, including raising financial capital, acquisition of spectrum rights,</w:t>
      </w:r>
      <w:r w:rsidRPr="00B53FFB">
        <w:rPr>
          <w:sz w:val="22"/>
          <w:szCs w:val="22"/>
          <w:vertAlign w:val="superscript"/>
        </w:rPr>
        <w:footnoteReference w:id="194"/>
      </w:r>
      <w:r w:rsidRPr="00B53FFB">
        <w:rPr>
          <w:sz w:val="22"/>
          <w:szCs w:val="22"/>
        </w:rPr>
        <w:t xml:space="preserve"> deployment of the mobile wireless network, and a product launch stage during which a customer base is gained.  Estimating the date of potential entry is one factor in a comprehensive entry analysis that predicts how soon there will be new rivals who are in a position to place competitive constraints on existing competitors.</w:t>
      </w:r>
      <w:r w:rsidRPr="00B53FFB">
        <w:rPr>
          <w:sz w:val="22"/>
          <w:szCs w:val="22"/>
          <w:vertAlign w:val="superscript"/>
        </w:rPr>
        <w:footnoteReference w:id="195"/>
      </w:r>
      <w:r w:rsidRPr="00B53FFB">
        <w:rPr>
          <w:sz w:val="22"/>
          <w:szCs w:val="22"/>
        </w:rPr>
        <w:t xml:space="preserve">  Below we summarize recent entry commitments that are large enough to be consistent with entry that could introduce new competitive constraints at a regional or national level.  We also summarize recent exit of service providers and selected applications to the Commission for the acquisition of other service providers.  Recent acquisitions that are mainly spectrum-only transactions are discussed in section </w:t>
      </w:r>
      <w:r w:rsidR="00951E9B">
        <w:fldChar w:fldCharType="begin"/>
      </w:r>
      <w:r w:rsidR="00951E9B">
        <w:instrText xml:space="preserve"> REF _Ref336859214 \w  \* MERGEFORMAT </w:instrText>
      </w:r>
      <w:r w:rsidR="00951E9B">
        <w:fldChar w:fldCharType="separate"/>
      </w:r>
      <w:r w:rsidR="00CA3AC6" w:rsidRPr="00CA3AC6">
        <w:rPr>
          <w:sz w:val="22"/>
          <w:szCs w:val="22"/>
        </w:rPr>
        <w:t>108</w:t>
      </w:r>
      <w:r w:rsidR="00951E9B">
        <w:rPr>
          <w:sz w:val="22"/>
          <w:szCs w:val="22"/>
        </w:rPr>
        <w:fldChar w:fldCharType="end"/>
      </w:r>
      <w:r w:rsidRPr="00B53FFB">
        <w:rPr>
          <w:sz w:val="22"/>
          <w:szCs w:val="22"/>
        </w:rPr>
        <w:t xml:space="preserve">. </w:t>
      </w:r>
    </w:p>
    <w:p w:rsidR="004A147C" w:rsidRPr="00B53FFB" w:rsidRDefault="004A147C" w:rsidP="00CE5850">
      <w:pPr>
        <w:pStyle w:val="Heading4"/>
        <w:keepNext w:val="0"/>
        <w:numPr>
          <w:ilvl w:val="3"/>
          <w:numId w:val="26"/>
        </w:numPr>
        <w:tabs>
          <w:tab w:val="left" w:pos="2880"/>
        </w:tabs>
        <w:rPr>
          <w:sz w:val="22"/>
          <w:szCs w:val="22"/>
        </w:rPr>
      </w:pPr>
      <w:bookmarkStart w:id="1355" w:name="_Toc252283852"/>
      <w:bookmarkStart w:id="1356" w:name="_Ref258240996"/>
      <w:bookmarkStart w:id="1357" w:name="_Ref258240997"/>
      <w:bookmarkStart w:id="1358" w:name="_Ref260319788"/>
      <w:bookmarkStart w:id="1359" w:name="_Ref260319790"/>
      <w:bookmarkStart w:id="1360" w:name="_Toc261610767"/>
      <w:bookmarkStart w:id="1361" w:name="_Toc261858500"/>
      <w:bookmarkStart w:id="1362" w:name="_Toc262034305"/>
      <w:bookmarkStart w:id="1363" w:name="_Toc262034408"/>
      <w:bookmarkStart w:id="1364" w:name="_Toc271288447"/>
      <w:bookmarkStart w:id="1365" w:name="_Toc275517964"/>
      <w:bookmarkStart w:id="1366" w:name="_Toc275952404"/>
      <w:bookmarkStart w:id="1367" w:name="_Toc276121836"/>
      <w:bookmarkStart w:id="1368" w:name="_Toc276480673"/>
      <w:bookmarkStart w:id="1369" w:name="_Toc276741750"/>
      <w:bookmarkStart w:id="1370" w:name="_Toc277171514"/>
      <w:bookmarkStart w:id="1371" w:name="_Toc277864489"/>
      <w:bookmarkStart w:id="1372" w:name="_Toc277864705"/>
      <w:bookmarkStart w:id="1373" w:name="_Ref279075066"/>
      <w:bookmarkStart w:id="1374" w:name="_Ref279075069"/>
      <w:bookmarkStart w:id="1375" w:name="_Ref283292984"/>
      <w:bookmarkStart w:id="1376" w:name="_Ref283292986"/>
      <w:bookmarkStart w:id="1377" w:name="_Ref285717656"/>
      <w:bookmarkStart w:id="1378" w:name="_Ref285717658"/>
      <w:bookmarkStart w:id="1379" w:name="_Toc285810386"/>
      <w:bookmarkStart w:id="1380" w:name="_Ref286233548"/>
      <w:bookmarkStart w:id="1381" w:name="_Ref286233551"/>
      <w:bookmarkStart w:id="1382" w:name="_Toc287257780"/>
      <w:bookmarkStart w:id="1383" w:name="_Toc291758659"/>
      <w:bookmarkStart w:id="1384" w:name="_Toc291758762"/>
      <w:bookmarkStart w:id="1385" w:name="_Toc295392942"/>
      <w:bookmarkStart w:id="1386" w:name="_Toc329098093"/>
      <w:bookmarkStart w:id="1387" w:name="_Toc329262492"/>
      <w:bookmarkStart w:id="1388" w:name="_Toc337651954"/>
      <w:bookmarkStart w:id="1389" w:name="_Toc349577142"/>
      <w:bookmarkStart w:id="1390" w:name="_Toc349579234"/>
      <w:bookmarkStart w:id="1391" w:name="_Toc349580549"/>
      <w:bookmarkStart w:id="1392" w:name="_Toc349734957"/>
      <w:bookmarkStart w:id="1393" w:name="_Toc349742322"/>
      <w:r w:rsidRPr="00B53FFB">
        <w:rPr>
          <w:sz w:val="22"/>
          <w:szCs w:val="22"/>
        </w:rPr>
        <w:t>Entry</w:t>
      </w:r>
      <w:bookmarkStart w:id="1394" w:name="_Ref273347880"/>
      <w:bookmarkEnd w:id="1355"/>
      <w:bookmarkEnd w:id="1356"/>
      <w:bookmarkEnd w:id="1357"/>
      <w:bookmarkEnd w:id="1358"/>
      <w:bookmarkEnd w:id="1359"/>
      <w:bookmarkEnd w:id="1360"/>
      <w:bookmarkEnd w:id="1361"/>
      <w:bookmarkEnd w:id="1362"/>
      <w:bookmarkEnd w:id="1363"/>
      <w:bookmarkEnd w:id="1364"/>
      <w:bookmarkEnd w:id="1365"/>
      <w:bookmarkEnd w:id="1366"/>
      <w:bookmarkEnd w:id="1367"/>
      <w:bookmarkEnd w:id="1368"/>
      <w:bookmarkEnd w:id="1369"/>
      <w:bookmarkEnd w:id="1370"/>
      <w:bookmarkEnd w:id="1371"/>
      <w:bookmarkEnd w:id="1372"/>
      <w:bookmarkEnd w:id="1373"/>
      <w:bookmarkEnd w:id="1374"/>
      <w:bookmarkEnd w:id="1375"/>
      <w:bookmarkEnd w:id="1376"/>
      <w:bookmarkEnd w:id="1377"/>
      <w:bookmarkEnd w:id="1378"/>
      <w:bookmarkEnd w:id="1379"/>
      <w:bookmarkEnd w:id="1380"/>
      <w:bookmarkEnd w:id="1381"/>
      <w:bookmarkEnd w:id="1382"/>
      <w:bookmarkEnd w:id="1383"/>
      <w:bookmarkEnd w:id="1384"/>
      <w:bookmarkEnd w:id="1385"/>
      <w:bookmarkEnd w:id="1386"/>
      <w:bookmarkEnd w:id="1387"/>
      <w:bookmarkEnd w:id="1388"/>
      <w:bookmarkEnd w:id="1389"/>
      <w:bookmarkEnd w:id="1390"/>
      <w:bookmarkEnd w:id="1391"/>
      <w:bookmarkEnd w:id="1392"/>
      <w:bookmarkEnd w:id="1393"/>
    </w:p>
    <w:p w:rsidR="004A147C" w:rsidRPr="00754239" w:rsidRDefault="004A147C" w:rsidP="00CE5850">
      <w:pPr>
        <w:pStyle w:val="ParaNum"/>
        <w:numPr>
          <w:ilvl w:val="0"/>
          <w:numId w:val="28"/>
        </w:numPr>
        <w:rPr>
          <w:sz w:val="22"/>
          <w:szCs w:val="22"/>
        </w:rPr>
      </w:pPr>
      <w:r w:rsidRPr="00754239">
        <w:rPr>
          <w:i/>
          <w:sz w:val="22"/>
          <w:szCs w:val="22"/>
        </w:rPr>
        <w:t>SoftBank</w:t>
      </w:r>
      <w:r w:rsidRPr="00754239">
        <w:rPr>
          <w:sz w:val="22"/>
          <w:szCs w:val="22"/>
        </w:rPr>
        <w:t>.  On November 15, 2012, SoftBank Corp. and Sprint Nextel filed an application with the Commission seeking consent for SoftBank to acquire approximately 70 percent of Sprint Nextel and invest over $20 billion in Sprint.</w:t>
      </w:r>
      <w:r w:rsidRPr="00754239">
        <w:rPr>
          <w:rStyle w:val="FootnoteReference"/>
          <w:szCs w:val="22"/>
        </w:rPr>
        <w:footnoteReference w:id="196"/>
      </w:r>
      <w:r w:rsidRPr="00754239">
        <w:rPr>
          <w:sz w:val="22"/>
          <w:szCs w:val="22"/>
        </w:rPr>
        <w:t xml:space="preserve">  The </w:t>
      </w:r>
      <w:r w:rsidR="00112408">
        <w:rPr>
          <w:sz w:val="22"/>
          <w:szCs w:val="22"/>
        </w:rPr>
        <w:t>A</w:t>
      </w:r>
      <w:r w:rsidRPr="00754239">
        <w:rPr>
          <w:sz w:val="22"/>
          <w:szCs w:val="22"/>
        </w:rPr>
        <w:t>pplicants state that the proposed transaction will benefit consumers by promoting greater wireless competition and broadband innovation and deployment.  The Applicants seek Commission consent to the transfer of control of various wireless</w:t>
      </w:r>
      <w:r w:rsidRPr="00754239">
        <w:rPr>
          <w:b/>
          <w:sz w:val="22"/>
          <w:szCs w:val="22"/>
        </w:rPr>
        <w:t xml:space="preserve"> </w:t>
      </w:r>
      <w:r w:rsidRPr="00754239">
        <w:rPr>
          <w:sz w:val="22"/>
          <w:szCs w:val="22"/>
        </w:rPr>
        <w:t>licenses and leases, domestic section 214 authority, international section 214 authorizations, earth station authorizations, interests in submarine cable licenses, and cable television relay service station licenses held by Sprint and its subsidiaries, and by Clearwire, to SoftBank.  The Commission is currently reviewing this proposed transaction.</w:t>
      </w:r>
      <w:r w:rsidRPr="00754239">
        <w:rPr>
          <w:rStyle w:val="FootnoteReference"/>
          <w:szCs w:val="22"/>
        </w:rPr>
        <w:footnoteReference w:id="197"/>
      </w:r>
      <w:r w:rsidRPr="00754239">
        <w:rPr>
          <w:sz w:val="22"/>
          <w:szCs w:val="22"/>
        </w:rPr>
        <w:t xml:space="preserve">  </w:t>
      </w:r>
    </w:p>
    <w:p w:rsidR="004A147C" w:rsidRPr="00754239" w:rsidRDefault="004A147C" w:rsidP="00CE5850">
      <w:pPr>
        <w:pStyle w:val="ParaNum"/>
        <w:numPr>
          <w:ilvl w:val="0"/>
          <w:numId w:val="28"/>
        </w:numPr>
        <w:rPr>
          <w:sz w:val="22"/>
          <w:szCs w:val="22"/>
        </w:rPr>
      </w:pPr>
      <w:r w:rsidRPr="00754239">
        <w:rPr>
          <w:sz w:val="22"/>
          <w:szCs w:val="22"/>
        </w:rPr>
        <w:t>SoftBank is a publicly traded holding company organized and existing under the laws of Japan.  SoftBank and its subsidiaries are engaged in various information technology and Internet-related businesses in Japan, including mobile communications, broadband infrastructure, fixed-line telecommunications, e-commerce, and web portals.  SoftBank also invests in Internet-based companies throughout the world.</w:t>
      </w:r>
      <w:r w:rsidRPr="00754239">
        <w:rPr>
          <w:rStyle w:val="FootnoteReference"/>
          <w:szCs w:val="22"/>
        </w:rPr>
        <w:footnoteReference w:id="198"/>
      </w:r>
      <w:r w:rsidRPr="00754239">
        <w:rPr>
          <w:sz w:val="22"/>
          <w:szCs w:val="22"/>
        </w:rPr>
        <w:t xml:space="preserve">  At present, SoftBank does not offer wireless services in the U.S.</w:t>
      </w:r>
    </w:p>
    <w:p w:rsidR="004A147C" w:rsidRPr="00754239" w:rsidRDefault="004A147C" w:rsidP="00CE5850">
      <w:pPr>
        <w:pStyle w:val="ParaNum"/>
        <w:numPr>
          <w:ilvl w:val="0"/>
          <w:numId w:val="28"/>
        </w:numPr>
        <w:rPr>
          <w:sz w:val="22"/>
          <w:szCs w:val="22"/>
        </w:rPr>
      </w:pPr>
      <w:r w:rsidRPr="00754239">
        <w:rPr>
          <w:i/>
          <w:sz w:val="22"/>
          <w:szCs w:val="22"/>
        </w:rPr>
        <w:t>Atlantic Tele-Network (ATN)</w:t>
      </w:r>
      <w:r w:rsidRPr="00754239">
        <w:rPr>
          <w:sz w:val="22"/>
          <w:szCs w:val="22"/>
        </w:rPr>
        <w:t>.  ATN acquired 26 of the divestiture markets from the Verizon- Alltel transaction, which was consummated in April 2010.  Through this acquisition, ATN became a new retail entrant that replaced certain existing Alltel operators that the Commission required be divested by Verizon.  ATN offers wireless voice and data services to retail customers under the ‘Alltel’ name in rural markets located principally in the Southeast and Midwest.  Through another affiliate, Commnet, ATN continues to offer wholesale wireless voice and data roaming services to national, regional and local wireless carriers in rural markets located principally in the Southwest and Midwest U.S.  As of December 31, 2011, ATN had approximately 582,000 wireless subscribers with a network footprint covering approximately 4.5 million POPs, making it the tenth largest facilities-based provider in terms of connections.</w:t>
      </w:r>
      <w:r w:rsidRPr="00754239">
        <w:rPr>
          <w:sz w:val="22"/>
          <w:szCs w:val="22"/>
          <w:vertAlign w:val="superscript"/>
        </w:rPr>
        <w:footnoteReference w:id="199"/>
      </w:r>
    </w:p>
    <w:p w:rsidR="004A147C" w:rsidRPr="00B53FFB" w:rsidRDefault="004A147C" w:rsidP="00CE5850">
      <w:pPr>
        <w:pStyle w:val="ParaNum"/>
        <w:numPr>
          <w:ilvl w:val="0"/>
          <w:numId w:val="28"/>
        </w:numPr>
        <w:rPr>
          <w:szCs w:val="22"/>
        </w:rPr>
      </w:pPr>
      <w:r w:rsidRPr="00754239">
        <w:rPr>
          <w:i/>
          <w:sz w:val="22"/>
          <w:szCs w:val="22"/>
        </w:rPr>
        <w:t>Entry of Existing Service Providers Into New Geographic Markets</w:t>
      </w:r>
      <w:r w:rsidRPr="00754239">
        <w:rPr>
          <w:sz w:val="22"/>
          <w:szCs w:val="22"/>
        </w:rPr>
        <w:t>.  The entry of existing facilities-based providers into new geographic markets is an important form of entry when competition is evaluated at a sub-national or regional market level.</w:t>
      </w:r>
      <w:r w:rsidRPr="00754239">
        <w:rPr>
          <w:sz w:val="22"/>
          <w:szCs w:val="22"/>
          <w:vertAlign w:val="superscript"/>
        </w:rPr>
        <w:footnoteReference w:id="200"/>
      </w:r>
      <w:r w:rsidRPr="00754239">
        <w:rPr>
          <w:sz w:val="22"/>
          <w:szCs w:val="22"/>
        </w:rPr>
        <w:t xml:space="preserve">   The metrics presented above on the estimated population covered by the networks of the major providers and the estimated percentage of the population covered by a certain number of providers can indicate network expansion by providers into new geographic markets.</w:t>
      </w:r>
      <w:r w:rsidRPr="00754239">
        <w:rPr>
          <w:sz w:val="22"/>
          <w:szCs w:val="22"/>
          <w:vertAlign w:val="superscript"/>
        </w:rPr>
        <w:footnoteReference w:id="201"/>
      </w:r>
      <w:r w:rsidRPr="00754239">
        <w:rPr>
          <w:sz w:val="22"/>
          <w:szCs w:val="22"/>
        </w:rPr>
        <w:t xml:space="preserve">  The year-to-year change in the population covered by a provider’s network can estimate the degree to which a provider increased its population coverage by entering new geographic markets.  We note, however, that an increase in population coverage can also be partly attributed to an increase in population in already-served markets.  In addition, Section </w:t>
      </w:r>
      <w:r w:rsidR="005B380F" w:rsidRPr="00754239">
        <w:rPr>
          <w:sz w:val="22"/>
          <w:szCs w:val="22"/>
        </w:rPr>
        <w:fldChar w:fldCharType="begin"/>
      </w:r>
      <w:r w:rsidR="005B380F" w:rsidRPr="00754239">
        <w:rPr>
          <w:sz w:val="22"/>
          <w:szCs w:val="22"/>
        </w:rPr>
        <w:instrText xml:space="preserve"> REF _Ref256168774 \r \h  \* MERGEFORMAT </w:instrText>
      </w:r>
      <w:r w:rsidR="005B380F" w:rsidRPr="00754239">
        <w:rPr>
          <w:sz w:val="22"/>
          <w:szCs w:val="22"/>
        </w:rPr>
      </w:r>
      <w:r w:rsidR="005B380F" w:rsidRPr="00754239">
        <w:rPr>
          <w:sz w:val="22"/>
          <w:szCs w:val="22"/>
        </w:rPr>
        <w:fldChar w:fldCharType="separate"/>
      </w:r>
      <w:r w:rsidR="00CA3AC6">
        <w:rPr>
          <w:sz w:val="22"/>
          <w:szCs w:val="22"/>
        </w:rPr>
        <w:t>IV.B.1.a</w:t>
      </w:r>
      <w:r w:rsidR="005B380F" w:rsidRPr="00754239">
        <w:rPr>
          <w:sz w:val="22"/>
          <w:szCs w:val="22"/>
        </w:rPr>
        <w:fldChar w:fldCharType="end"/>
      </w:r>
      <w:r w:rsidRPr="00754239">
        <w:rPr>
          <w:sz w:val="22"/>
          <w:szCs w:val="22"/>
        </w:rPr>
        <w:t xml:space="preserve">, </w:t>
      </w:r>
      <w:r w:rsidR="005B380F" w:rsidRPr="00754239">
        <w:rPr>
          <w:sz w:val="22"/>
          <w:szCs w:val="22"/>
        </w:rPr>
        <w:fldChar w:fldCharType="begin"/>
      </w:r>
      <w:r w:rsidR="005B380F" w:rsidRPr="00754239">
        <w:rPr>
          <w:sz w:val="22"/>
          <w:szCs w:val="22"/>
        </w:rPr>
        <w:instrText xml:space="preserve"> REF _Ref256168774 \h  \* MERGEFORMAT </w:instrText>
      </w:r>
      <w:r w:rsidR="005B380F" w:rsidRPr="00754239">
        <w:rPr>
          <w:sz w:val="22"/>
          <w:szCs w:val="22"/>
        </w:rPr>
      </w:r>
      <w:r w:rsidR="005B380F" w:rsidRPr="00754239">
        <w:rPr>
          <w:sz w:val="22"/>
          <w:szCs w:val="22"/>
        </w:rPr>
        <w:fldChar w:fldCharType="separate"/>
      </w:r>
      <w:r w:rsidR="00CA3AC6" w:rsidRPr="00B53FFB">
        <w:rPr>
          <w:sz w:val="22"/>
          <w:szCs w:val="22"/>
        </w:rPr>
        <w:t>Service Provider Technology Deployments</w:t>
      </w:r>
      <w:r w:rsidR="005B380F" w:rsidRPr="00754239">
        <w:rPr>
          <w:sz w:val="22"/>
          <w:szCs w:val="22"/>
        </w:rPr>
        <w:fldChar w:fldCharType="end"/>
      </w:r>
      <w:r w:rsidRPr="00754239">
        <w:rPr>
          <w:sz w:val="22"/>
          <w:szCs w:val="22"/>
        </w:rPr>
        <w:t>, discusses provider upgrades of network technologies to newer, faster, and more spectrally-efficient technologies.</w:t>
      </w:r>
      <w:r w:rsidRPr="00754239">
        <w:rPr>
          <w:sz w:val="22"/>
          <w:szCs w:val="22"/>
          <w:vertAlign w:val="superscript"/>
        </w:rPr>
        <w:footnoteReference w:id="202"/>
      </w:r>
      <w:r w:rsidRPr="00754239">
        <w:rPr>
          <w:sz w:val="22"/>
          <w:szCs w:val="22"/>
        </w:rPr>
        <w:t xml:space="preserve">  Investment in new network technologies and network coverage are forms of non-price rivalry in which providers design product offerings and choose quality characteristics to compete with each other for customers.</w:t>
      </w:r>
    </w:p>
    <w:p w:rsidR="004A147C" w:rsidRPr="00B53FFB" w:rsidRDefault="004A147C" w:rsidP="00CE5850">
      <w:pPr>
        <w:pStyle w:val="Heading4"/>
        <w:keepNext w:val="0"/>
        <w:numPr>
          <w:ilvl w:val="3"/>
          <w:numId w:val="26"/>
        </w:numPr>
        <w:tabs>
          <w:tab w:val="left" w:pos="2880"/>
        </w:tabs>
        <w:rPr>
          <w:sz w:val="22"/>
          <w:szCs w:val="22"/>
        </w:rPr>
      </w:pPr>
      <w:bookmarkStart w:id="1395" w:name="_Toc252283853"/>
      <w:bookmarkStart w:id="1396" w:name="_Ref258240974"/>
      <w:bookmarkStart w:id="1397" w:name="_Ref258240976"/>
      <w:bookmarkStart w:id="1398" w:name="_Toc261610768"/>
      <w:bookmarkStart w:id="1399" w:name="_Toc261858501"/>
      <w:bookmarkStart w:id="1400" w:name="_Toc262034306"/>
      <w:bookmarkStart w:id="1401" w:name="_Toc262034409"/>
      <w:bookmarkStart w:id="1402" w:name="_Toc271288448"/>
      <w:bookmarkStart w:id="1403" w:name="_Toc275517965"/>
      <w:bookmarkStart w:id="1404" w:name="_Toc275952405"/>
      <w:bookmarkStart w:id="1405" w:name="_Toc276121837"/>
      <w:bookmarkStart w:id="1406" w:name="_Ref276479219"/>
      <w:bookmarkStart w:id="1407" w:name="_Toc276480674"/>
      <w:bookmarkStart w:id="1408" w:name="_Toc276741751"/>
      <w:bookmarkStart w:id="1409" w:name="_Toc277171515"/>
      <w:bookmarkStart w:id="1410" w:name="_Ref277582619"/>
      <w:bookmarkStart w:id="1411" w:name="_Toc277864490"/>
      <w:bookmarkStart w:id="1412" w:name="_Toc277864706"/>
      <w:bookmarkStart w:id="1413" w:name="_Toc285810387"/>
      <w:bookmarkStart w:id="1414" w:name="_Toc287257781"/>
      <w:bookmarkStart w:id="1415" w:name="_Toc291758660"/>
      <w:bookmarkStart w:id="1416" w:name="_Toc291758763"/>
      <w:bookmarkStart w:id="1417" w:name="_Toc295392943"/>
      <w:bookmarkStart w:id="1418" w:name="_Toc329098094"/>
      <w:bookmarkStart w:id="1419" w:name="_Toc329262493"/>
      <w:bookmarkStart w:id="1420" w:name="_Toc337651955"/>
      <w:bookmarkStart w:id="1421" w:name="_Toc349577143"/>
      <w:bookmarkStart w:id="1422" w:name="_Toc349579235"/>
      <w:bookmarkStart w:id="1423" w:name="_Toc349580550"/>
      <w:bookmarkStart w:id="1424" w:name="_Toc349734958"/>
      <w:bookmarkStart w:id="1425" w:name="_Toc349742323"/>
      <w:bookmarkEnd w:id="1394"/>
      <w:r w:rsidRPr="00B53FFB">
        <w:rPr>
          <w:sz w:val="22"/>
          <w:szCs w:val="22"/>
        </w:rPr>
        <w:t>Exit</w:t>
      </w:r>
      <w:bookmarkEnd w:id="1395"/>
      <w:bookmarkEnd w:id="1396"/>
      <w:bookmarkEnd w:id="1397"/>
      <w:bookmarkEnd w:id="1398"/>
      <w:bookmarkEnd w:id="1399"/>
      <w:bookmarkEnd w:id="1400"/>
      <w:bookmarkEnd w:id="1401"/>
      <w:bookmarkEnd w:id="1402"/>
      <w:bookmarkEnd w:id="1403"/>
      <w:bookmarkEnd w:id="1404"/>
      <w:bookmarkEnd w:id="1405"/>
      <w:bookmarkEnd w:id="1406"/>
      <w:bookmarkEnd w:id="1407"/>
      <w:bookmarkEnd w:id="1408"/>
      <w:bookmarkEnd w:id="1409"/>
      <w:bookmarkEnd w:id="1410"/>
      <w:bookmarkEnd w:id="1411"/>
      <w:bookmarkEnd w:id="1412"/>
      <w:bookmarkEnd w:id="1413"/>
      <w:bookmarkEnd w:id="1414"/>
      <w:bookmarkEnd w:id="1415"/>
      <w:bookmarkEnd w:id="1416"/>
      <w:bookmarkEnd w:id="1417"/>
      <w:bookmarkEnd w:id="1418"/>
      <w:bookmarkEnd w:id="1419"/>
      <w:bookmarkEnd w:id="1420"/>
      <w:bookmarkEnd w:id="1421"/>
      <w:bookmarkEnd w:id="1422"/>
      <w:bookmarkEnd w:id="1423"/>
      <w:bookmarkEnd w:id="1424"/>
      <w:bookmarkEnd w:id="1425"/>
    </w:p>
    <w:p w:rsidR="004A147C" w:rsidRPr="00B53FFB" w:rsidRDefault="004A147C" w:rsidP="00CE5850">
      <w:pPr>
        <w:numPr>
          <w:ilvl w:val="0"/>
          <w:numId w:val="28"/>
        </w:numPr>
        <w:rPr>
          <w:szCs w:val="22"/>
        </w:rPr>
      </w:pPr>
      <w:r w:rsidRPr="00B53FFB">
        <w:rPr>
          <w:szCs w:val="22"/>
        </w:rPr>
        <w:t>Exit of service providers – whether through mergers, acquisitions, or discontinuance – affects the number of competitors in the mobile wireless market and potentially exerts both negative and positive effects on competitive performance and consumer welfare, depending on details of the pre- and post-exit competitors in the market.</w:t>
      </w:r>
      <w:r w:rsidRPr="00B53FFB">
        <w:rPr>
          <w:szCs w:val="22"/>
          <w:vertAlign w:val="superscript"/>
        </w:rPr>
        <w:footnoteReference w:id="203"/>
      </w:r>
      <w:r w:rsidRPr="00B53FFB">
        <w:rPr>
          <w:szCs w:val="22"/>
        </w:rPr>
        <w:t xml:space="preserve">  The main potential negative effects of the exit of a competitor is that with fewer competitors remaining in the market, there is an increased possibility of higher prices and sometimes reduced quality of service or a slower rate of innovation.  The main potential positive effects of the exit of a competitor occur in the context of a merger or acquisition that creates a stronger post-merger entity due to cost efficiencies or greater network coverage.</w:t>
      </w:r>
      <w:r w:rsidRPr="00B53FFB">
        <w:rPr>
          <w:szCs w:val="22"/>
          <w:vertAlign w:val="superscript"/>
        </w:rPr>
        <w:footnoteReference w:id="204"/>
      </w:r>
      <w:r w:rsidRPr="00B53FFB">
        <w:rPr>
          <w:szCs w:val="22"/>
        </w:rPr>
        <w:t xml:space="preserve">  </w:t>
      </w:r>
    </w:p>
    <w:p w:rsidR="004A147C" w:rsidRPr="00B53FFB" w:rsidRDefault="004A147C" w:rsidP="00CE5850">
      <w:pPr>
        <w:numPr>
          <w:ilvl w:val="0"/>
          <w:numId w:val="28"/>
        </w:numPr>
        <w:rPr>
          <w:szCs w:val="22"/>
        </w:rPr>
      </w:pPr>
      <w:r w:rsidRPr="00B53FFB">
        <w:rPr>
          <w:i/>
          <w:szCs w:val="22"/>
        </w:rPr>
        <w:t>Mergers and Acquisitions</w:t>
      </w:r>
      <w:r w:rsidRPr="00B53FFB">
        <w:rPr>
          <w:szCs w:val="22"/>
        </w:rPr>
        <w:t>.  Since mergers and acquisitions can simultaneously exhibit both these positive and negative effects, merger analysis typically involves a detailed analysis to evaluate the magnitude of the opposing effects and determine whether, on balance, the effects of the merger are positive or negative.  If the cost savings generated by consolidation endow the merged provider with the ability to compete more effectively, consolidation could result in lower prices and new and innovative services for consumers.</w:t>
      </w:r>
      <w:r w:rsidRPr="00B53FFB">
        <w:rPr>
          <w:szCs w:val="22"/>
          <w:vertAlign w:val="superscript"/>
        </w:rPr>
        <w:footnoteReference w:id="205"/>
      </w:r>
      <w:r w:rsidRPr="00B53FFB">
        <w:rPr>
          <w:szCs w:val="22"/>
        </w:rPr>
        <w:t xml:space="preserve">  However, if the consolidation substantially decreases competition, there may be reduced competitive pressure on the firm, potentially leading to higher consumer prices and/or lower incentive to improve its consumer services.</w:t>
      </w:r>
      <w:r w:rsidRPr="00B53FFB">
        <w:rPr>
          <w:szCs w:val="22"/>
          <w:vertAlign w:val="superscript"/>
        </w:rPr>
        <w:footnoteReference w:id="206"/>
      </w:r>
      <w:r w:rsidRPr="00B53FFB">
        <w:rPr>
          <w:szCs w:val="22"/>
        </w:rPr>
        <w:t xml:space="preserve">  Service providers in non-overlapping geographic markets are not considered competitors for present purposes.</w:t>
      </w:r>
    </w:p>
    <w:p w:rsidR="004A147C" w:rsidRPr="00B53FFB" w:rsidRDefault="004A147C" w:rsidP="00CE5850">
      <w:pPr>
        <w:numPr>
          <w:ilvl w:val="0"/>
          <w:numId w:val="28"/>
        </w:numPr>
        <w:rPr>
          <w:szCs w:val="22"/>
        </w:rPr>
      </w:pPr>
      <w:r w:rsidRPr="00B53FFB">
        <w:rPr>
          <w:szCs w:val="22"/>
        </w:rPr>
        <w:t>Facilities-based providers have expanded their network coverage and capacity through mergers and acquisitions, as well as through increased investment and expansion of their existing assets.  Over the years, the four current nationwide facilities-based providers have all employed mergers or acquisitions as a growth strategy to realize nationwide networks.</w:t>
      </w:r>
      <w:r w:rsidRPr="00B53FFB">
        <w:rPr>
          <w:szCs w:val="22"/>
          <w:vertAlign w:val="superscript"/>
        </w:rPr>
        <w:footnoteReference w:id="207"/>
      </w:r>
      <w:r w:rsidRPr="00B53FFB">
        <w:rPr>
          <w:szCs w:val="22"/>
        </w:rPr>
        <w:t xml:space="preserve"> </w:t>
      </w:r>
      <w:r w:rsidRPr="00B53FFB">
        <w:rPr>
          <w:szCs w:val="22"/>
          <w:vertAlign w:val="superscript"/>
        </w:rPr>
        <w:t xml:space="preserve"> </w:t>
      </w:r>
      <w:r w:rsidRPr="00B53FFB">
        <w:rPr>
          <w:szCs w:val="22"/>
        </w:rPr>
        <w:t xml:space="preserve">A summary of significant mergers or acquisitions since 2005 involving a nationwide facilities-based provider and the exit of another facilities-based provider appears in </w:t>
      </w:r>
      <w:r w:rsidR="005B380F">
        <w:fldChar w:fldCharType="begin"/>
      </w:r>
      <w:r w:rsidR="005B380F">
        <w:instrText xml:space="preserve"> REF  _Ref255568829 \h  \* MERGEFORMAT </w:instrText>
      </w:r>
      <w:r w:rsidR="005B380F">
        <w:fldChar w:fldCharType="separate"/>
      </w:r>
      <w:r w:rsidR="00CA3AC6" w:rsidRPr="00CA3AC6">
        <w:rPr>
          <w:szCs w:val="22"/>
        </w:rPr>
        <w:t>Table 15</w:t>
      </w:r>
      <w:r w:rsidR="005B380F">
        <w:fldChar w:fldCharType="end"/>
      </w:r>
      <w:r w:rsidRPr="00B53FFB">
        <w:rPr>
          <w:szCs w:val="22"/>
        </w:rPr>
        <w:t xml:space="preserve"> below.</w:t>
      </w:r>
      <w:r w:rsidRPr="00B53FFB">
        <w:rPr>
          <w:szCs w:val="22"/>
          <w:vertAlign w:val="superscript"/>
        </w:rPr>
        <w:footnoteReference w:id="208"/>
      </w:r>
      <w:r w:rsidRPr="00B53FFB">
        <w:rPr>
          <w:szCs w:val="22"/>
        </w:rPr>
        <w:t xml:space="preserve">  This table indicates the extent to which each of the four nationwide facilities-based providers has used mergers or acquisitions to</w:t>
      </w:r>
      <w:r w:rsidRPr="00B53FFB">
        <w:rPr>
          <w:i/>
          <w:szCs w:val="22"/>
        </w:rPr>
        <w:t xml:space="preserve"> </w:t>
      </w:r>
      <w:r w:rsidRPr="00B53FFB">
        <w:rPr>
          <w:szCs w:val="22"/>
        </w:rPr>
        <w:t>expand coverage since 2005.  In many instances, the entities that were combined had not previously competed in the same geographic market.  As a result, these transactions resulted in the expansion of the coverage of the newly combined entity.  In markets where the entities were significant competitors, the Commission may have required divestitures in specified markets as conditions of the transaction in order to prevent competitive harm.</w:t>
      </w:r>
      <w:r w:rsidRPr="00B53FFB">
        <w:rPr>
          <w:szCs w:val="22"/>
          <w:vertAlign w:val="superscript"/>
        </w:rPr>
        <w:footnoteReference w:id="209"/>
      </w:r>
      <w:r w:rsidRPr="00B53FFB">
        <w:rPr>
          <w:szCs w:val="22"/>
        </w:rPr>
        <w:t xml:space="preserve">  Below we summarize these transactions and report on the status of divestitures that were required in some recent transactions.</w:t>
      </w:r>
      <w:r w:rsidRPr="00B53FFB">
        <w:rPr>
          <w:szCs w:val="22"/>
          <w:vertAlign w:val="superscript"/>
        </w:rPr>
        <w:footnoteReference w:id="210"/>
      </w:r>
      <w:r w:rsidRPr="00B53FFB">
        <w:rPr>
          <w:i/>
          <w:szCs w:val="22"/>
        </w:rPr>
        <w:t xml:space="preserve"> </w:t>
      </w:r>
    </w:p>
    <w:p w:rsidR="004A147C" w:rsidRPr="00B53FFB" w:rsidRDefault="004A147C" w:rsidP="00CE5850">
      <w:pPr>
        <w:spacing w:after="120"/>
        <w:jc w:val="center"/>
        <w:rPr>
          <w:b/>
          <w:bCs/>
          <w:szCs w:val="22"/>
        </w:rPr>
      </w:pPr>
      <w:bookmarkStart w:id="1427" w:name="_Ref255568829"/>
      <w:bookmarkStart w:id="1428" w:name="_Ref255568821"/>
      <w:bookmarkStart w:id="1429" w:name="_Toc329098095"/>
      <w:bookmarkStart w:id="1430" w:name="_Toc329262494"/>
      <w:r w:rsidRPr="00B53FFB">
        <w:rPr>
          <w:b/>
          <w:bCs/>
          <w:szCs w:val="22"/>
        </w:rPr>
        <w:t xml:space="preserve">Table </w:t>
      </w:r>
      <w:r w:rsidR="0007014B" w:rsidRPr="00B53FFB">
        <w:rPr>
          <w:b/>
          <w:bCs/>
          <w:szCs w:val="22"/>
        </w:rPr>
        <w:fldChar w:fldCharType="begin"/>
      </w:r>
      <w:r w:rsidRPr="00B53FFB">
        <w:rPr>
          <w:b/>
          <w:bCs/>
          <w:szCs w:val="22"/>
        </w:rPr>
        <w:instrText xml:space="preserve"> SEQ Table \* ARABIC </w:instrText>
      </w:r>
      <w:r w:rsidR="0007014B" w:rsidRPr="00B53FFB">
        <w:rPr>
          <w:b/>
          <w:bCs/>
          <w:szCs w:val="22"/>
        </w:rPr>
        <w:fldChar w:fldCharType="separate"/>
      </w:r>
      <w:r w:rsidR="00CA3AC6">
        <w:rPr>
          <w:b/>
          <w:bCs/>
          <w:noProof/>
          <w:szCs w:val="22"/>
        </w:rPr>
        <w:t>15</w:t>
      </w:r>
      <w:r w:rsidR="0007014B" w:rsidRPr="00B53FFB">
        <w:rPr>
          <w:b/>
          <w:bCs/>
          <w:szCs w:val="22"/>
        </w:rPr>
        <w:fldChar w:fldCharType="end"/>
      </w:r>
      <w:bookmarkEnd w:id="1427"/>
      <w:r w:rsidRPr="00B53FFB">
        <w:rPr>
          <w:b/>
          <w:bCs/>
          <w:szCs w:val="22"/>
        </w:rPr>
        <w:br/>
        <w:t>Selected Mergers and Acquisitions</w:t>
      </w:r>
      <w:bookmarkEnd w:id="1428"/>
      <w:r w:rsidRPr="00B53FFB">
        <w:rPr>
          <w:b/>
          <w:bCs/>
          <w:szCs w:val="22"/>
        </w:rPr>
        <w:t>, 2005-2010</w:t>
      </w:r>
      <w:bookmarkEnd w:id="1429"/>
      <w:bookmarkEnd w:id="1430"/>
    </w:p>
    <w:tbl>
      <w:tblPr>
        <w:tblW w:w="0" w:type="auto"/>
        <w:jc w:val="center"/>
        <w:tblInd w:w="23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250"/>
        <w:gridCol w:w="3181"/>
      </w:tblGrid>
      <w:tr w:rsidR="004A147C" w:rsidRPr="00B53FFB" w:rsidTr="00B238BD">
        <w:trPr>
          <w:trHeight w:val="503"/>
          <w:jc w:val="center"/>
        </w:trPr>
        <w:tc>
          <w:tcPr>
            <w:tcW w:w="2250" w:type="dxa"/>
          </w:tcPr>
          <w:p w:rsidR="004A147C" w:rsidRPr="00B53FFB" w:rsidRDefault="004A147C" w:rsidP="00CE5850">
            <w:pPr>
              <w:jc w:val="center"/>
              <w:rPr>
                <w:b/>
                <w:szCs w:val="22"/>
              </w:rPr>
            </w:pPr>
            <w:r w:rsidRPr="00B53FFB">
              <w:rPr>
                <w:b/>
                <w:szCs w:val="22"/>
              </w:rPr>
              <w:t>Year of Commission Approval</w:t>
            </w:r>
          </w:p>
        </w:tc>
        <w:tc>
          <w:tcPr>
            <w:tcW w:w="3181" w:type="dxa"/>
          </w:tcPr>
          <w:p w:rsidR="004A147C" w:rsidRPr="00B53FFB" w:rsidRDefault="004A147C" w:rsidP="00CE5850">
            <w:pPr>
              <w:jc w:val="center"/>
              <w:rPr>
                <w:b/>
                <w:szCs w:val="22"/>
              </w:rPr>
            </w:pPr>
            <w:r w:rsidRPr="00B53FFB">
              <w:rPr>
                <w:b/>
                <w:szCs w:val="22"/>
              </w:rPr>
              <w:t>Merger or Acquisition</w:t>
            </w:r>
          </w:p>
        </w:tc>
      </w:tr>
      <w:tr w:rsidR="004A147C" w:rsidRPr="00B53FFB" w:rsidTr="00B238BD">
        <w:trPr>
          <w:trHeight w:val="305"/>
          <w:jc w:val="center"/>
        </w:trPr>
        <w:tc>
          <w:tcPr>
            <w:tcW w:w="2250" w:type="dxa"/>
          </w:tcPr>
          <w:p w:rsidR="004A147C" w:rsidRPr="00B53FFB" w:rsidRDefault="004A147C" w:rsidP="00CE5850">
            <w:pPr>
              <w:rPr>
                <w:szCs w:val="22"/>
              </w:rPr>
            </w:pPr>
            <w:r w:rsidRPr="00B53FFB">
              <w:rPr>
                <w:szCs w:val="22"/>
              </w:rPr>
              <w:t>2005</w:t>
            </w:r>
          </w:p>
        </w:tc>
        <w:tc>
          <w:tcPr>
            <w:tcW w:w="3181" w:type="dxa"/>
          </w:tcPr>
          <w:p w:rsidR="004A147C" w:rsidRPr="00B53FFB" w:rsidRDefault="004A147C" w:rsidP="00CE5850">
            <w:pPr>
              <w:rPr>
                <w:szCs w:val="22"/>
              </w:rPr>
            </w:pPr>
            <w:r w:rsidRPr="00B53FFB">
              <w:rPr>
                <w:szCs w:val="22"/>
              </w:rPr>
              <w:t>Sprint/Nextel</w:t>
            </w:r>
          </w:p>
          <w:p w:rsidR="004A147C" w:rsidRPr="00B53FFB" w:rsidRDefault="004A147C" w:rsidP="00CE5850">
            <w:pPr>
              <w:rPr>
                <w:szCs w:val="22"/>
              </w:rPr>
            </w:pPr>
            <w:r w:rsidRPr="00B53FFB">
              <w:rPr>
                <w:szCs w:val="22"/>
              </w:rPr>
              <w:t>Alltel/Western Wireless</w:t>
            </w:r>
          </w:p>
        </w:tc>
      </w:tr>
      <w:tr w:rsidR="004A147C" w:rsidRPr="00B53FFB" w:rsidTr="00B238BD">
        <w:trPr>
          <w:trHeight w:val="305"/>
          <w:jc w:val="center"/>
        </w:trPr>
        <w:tc>
          <w:tcPr>
            <w:tcW w:w="2250" w:type="dxa"/>
          </w:tcPr>
          <w:p w:rsidR="004A147C" w:rsidRPr="00B53FFB" w:rsidRDefault="004A147C" w:rsidP="00CE5850">
            <w:pPr>
              <w:rPr>
                <w:szCs w:val="22"/>
              </w:rPr>
            </w:pPr>
            <w:r w:rsidRPr="00B53FFB">
              <w:rPr>
                <w:szCs w:val="22"/>
              </w:rPr>
              <w:t>2006</w:t>
            </w:r>
          </w:p>
        </w:tc>
        <w:tc>
          <w:tcPr>
            <w:tcW w:w="3181" w:type="dxa"/>
          </w:tcPr>
          <w:p w:rsidR="004A147C" w:rsidRPr="00B53FFB" w:rsidRDefault="004A147C" w:rsidP="00CE5850">
            <w:pPr>
              <w:rPr>
                <w:szCs w:val="22"/>
              </w:rPr>
            </w:pPr>
            <w:r w:rsidRPr="00B53FFB">
              <w:rPr>
                <w:szCs w:val="22"/>
              </w:rPr>
              <w:t>Altell/Midwest</w:t>
            </w:r>
          </w:p>
        </w:tc>
      </w:tr>
      <w:tr w:rsidR="004A147C" w:rsidRPr="00B53FFB" w:rsidTr="00B238BD">
        <w:trPr>
          <w:trHeight w:val="287"/>
          <w:jc w:val="center"/>
        </w:trPr>
        <w:tc>
          <w:tcPr>
            <w:tcW w:w="2250" w:type="dxa"/>
          </w:tcPr>
          <w:p w:rsidR="004A147C" w:rsidRPr="00B53FFB" w:rsidRDefault="004A147C" w:rsidP="00CE5850">
            <w:pPr>
              <w:rPr>
                <w:szCs w:val="22"/>
              </w:rPr>
            </w:pPr>
            <w:r w:rsidRPr="00B53FFB">
              <w:rPr>
                <w:szCs w:val="22"/>
              </w:rPr>
              <w:t>2007</w:t>
            </w:r>
          </w:p>
        </w:tc>
        <w:tc>
          <w:tcPr>
            <w:tcW w:w="3181" w:type="dxa"/>
          </w:tcPr>
          <w:p w:rsidR="004A147C" w:rsidRPr="00B53FFB" w:rsidRDefault="004A147C" w:rsidP="00CE5850">
            <w:pPr>
              <w:rPr>
                <w:szCs w:val="22"/>
              </w:rPr>
            </w:pPr>
            <w:r w:rsidRPr="00B53FFB">
              <w:rPr>
                <w:szCs w:val="22"/>
              </w:rPr>
              <w:t>AT&amp;T/Dobson</w:t>
            </w:r>
          </w:p>
        </w:tc>
      </w:tr>
      <w:tr w:rsidR="004A147C" w:rsidRPr="00B53FFB" w:rsidTr="00B238BD">
        <w:trPr>
          <w:jc w:val="center"/>
        </w:trPr>
        <w:tc>
          <w:tcPr>
            <w:tcW w:w="2250" w:type="dxa"/>
          </w:tcPr>
          <w:p w:rsidR="004A147C" w:rsidRPr="00B53FFB" w:rsidRDefault="004A147C" w:rsidP="00CE5850">
            <w:pPr>
              <w:rPr>
                <w:szCs w:val="22"/>
              </w:rPr>
            </w:pPr>
            <w:r w:rsidRPr="00B53FFB">
              <w:rPr>
                <w:szCs w:val="22"/>
              </w:rPr>
              <w:t>2008</w:t>
            </w:r>
          </w:p>
        </w:tc>
        <w:tc>
          <w:tcPr>
            <w:tcW w:w="3181" w:type="dxa"/>
          </w:tcPr>
          <w:p w:rsidR="004A147C" w:rsidRPr="00B53FFB" w:rsidRDefault="004A147C" w:rsidP="00CE5850">
            <w:pPr>
              <w:rPr>
                <w:szCs w:val="22"/>
              </w:rPr>
            </w:pPr>
            <w:r w:rsidRPr="00B53FFB">
              <w:rPr>
                <w:szCs w:val="22"/>
              </w:rPr>
              <w:t>AT&amp;T/Aloha</w:t>
            </w:r>
          </w:p>
          <w:p w:rsidR="004A147C" w:rsidRPr="00B53FFB" w:rsidRDefault="004A147C" w:rsidP="00CE5850">
            <w:pPr>
              <w:rPr>
                <w:szCs w:val="22"/>
              </w:rPr>
            </w:pPr>
            <w:r w:rsidRPr="00B53FFB">
              <w:rPr>
                <w:szCs w:val="22"/>
              </w:rPr>
              <w:t>T-Mobile/Suncom</w:t>
            </w:r>
          </w:p>
          <w:p w:rsidR="004A147C" w:rsidRPr="00B53FFB" w:rsidRDefault="004A147C" w:rsidP="00CE5850">
            <w:pPr>
              <w:rPr>
                <w:szCs w:val="22"/>
              </w:rPr>
            </w:pPr>
            <w:r w:rsidRPr="00B53FFB">
              <w:rPr>
                <w:szCs w:val="22"/>
              </w:rPr>
              <w:t>Verizon Wireless/Rural Cellular</w:t>
            </w:r>
          </w:p>
          <w:p w:rsidR="004A147C" w:rsidRPr="00B53FFB" w:rsidRDefault="004A147C" w:rsidP="00CE5850">
            <w:pPr>
              <w:rPr>
                <w:szCs w:val="22"/>
              </w:rPr>
            </w:pPr>
            <w:r w:rsidRPr="00B53FFB">
              <w:rPr>
                <w:szCs w:val="22"/>
              </w:rPr>
              <w:t>Verizon Wireless/Alltel</w:t>
            </w:r>
          </w:p>
          <w:p w:rsidR="004A147C" w:rsidRPr="00B53FFB" w:rsidRDefault="004A147C" w:rsidP="00CE5850">
            <w:pPr>
              <w:rPr>
                <w:szCs w:val="22"/>
              </w:rPr>
            </w:pPr>
            <w:r w:rsidRPr="00B53FFB">
              <w:rPr>
                <w:szCs w:val="22"/>
              </w:rPr>
              <w:t>Sprint Nextel/Clearwire</w:t>
            </w:r>
          </w:p>
        </w:tc>
      </w:tr>
      <w:tr w:rsidR="004A147C" w:rsidRPr="00B53FFB" w:rsidTr="00B238BD">
        <w:trPr>
          <w:jc w:val="center"/>
        </w:trPr>
        <w:tc>
          <w:tcPr>
            <w:tcW w:w="2250" w:type="dxa"/>
          </w:tcPr>
          <w:p w:rsidR="004A147C" w:rsidRPr="00B53FFB" w:rsidRDefault="004A147C" w:rsidP="00CE5850">
            <w:pPr>
              <w:rPr>
                <w:szCs w:val="22"/>
              </w:rPr>
            </w:pPr>
            <w:r w:rsidRPr="00B53FFB">
              <w:rPr>
                <w:szCs w:val="22"/>
              </w:rPr>
              <w:t>2009</w:t>
            </w:r>
          </w:p>
        </w:tc>
        <w:tc>
          <w:tcPr>
            <w:tcW w:w="3181" w:type="dxa"/>
          </w:tcPr>
          <w:p w:rsidR="004A147C" w:rsidRPr="00B53FFB" w:rsidRDefault="004A147C" w:rsidP="00CE5850">
            <w:pPr>
              <w:rPr>
                <w:szCs w:val="22"/>
              </w:rPr>
            </w:pPr>
            <w:r w:rsidRPr="00B53FFB">
              <w:rPr>
                <w:szCs w:val="22"/>
              </w:rPr>
              <w:t>AT&amp;T/Centennial</w:t>
            </w:r>
          </w:p>
        </w:tc>
      </w:tr>
      <w:tr w:rsidR="004A147C" w:rsidRPr="00B53FFB" w:rsidTr="00B238BD">
        <w:trPr>
          <w:jc w:val="center"/>
        </w:trPr>
        <w:tc>
          <w:tcPr>
            <w:tcW w:w="2250" w:type="dxa"/>
          </w:tcPr>
          <w:p w:rsidR="004A147C" w:rsidRPr="00B53FFB" w:rsidRDefault="004A147C" w:rsidP="00CE5850">
            <w:pPr>
              <w:rPr>
                <w:szCs w:val="22"/>
              </w:rPr>
            </w:pPr>
            <w:r w:rsidRPr="00B53FFB">
              <w:rPr>
                <w:szCs w:val="22"/>
              </w:rPr>
              <w:t>2010</w:t>
            </w:r>
          </w:p>
        </w:tc>
        <w:tc>
          <w:tcPr>
            <w:tcW w:w="3181" w:type="dxa"/>
          </w:tcPr>
          <w:p w:rsidR="004A147C" w:rsidRPr="00B53FFB" w:rsidRDefault="004A147C" w:rsidP="00CE5850">
            <w:pPr>
              <w:rPr>
                <w:szCs w:val="22"/>
              </w:rPr>
            </w:pPr>
            <w:r w:rsidRPr="00B53FFB">
              <w:rPr>
                <w:szCs w:val="22"/>
              </w:rPr>
              <w:t>AT&amp;T/Verizon Wireless-Alltel</w:t>
            </w:r>
          </w:p>
          <w:p w:rsidR="004A147C" w:rsidRPr="00B53FFB" w:rsidRDefault="004A147C" w:rsidP="00CE5850">
            <w:pPr>
              <w:rPr>
                <w:szCs w:val="22"/>
              </w:rPr>
            </w:pPr>
            <w:r w:rsidRPr="00B53FFB">
              <w:rPr>
                <w:szCs w:val="22"/>
              </w:rPr>
              <w:t>ATN/Verizon Wireless-Alltel</w:t>
            </w:r>
          </w:p>
        </w:tc>
      </w:tr>
    </w:tbl>
    <w:p w:rsidR="004A147C" w:rsidRPr="00B53FFB" w:rsidRDefault="004A147C" w:rsidP="00CE5850">
      <w:pPr>
        <w:rPr>
          <w:szCs w:val="22"/>
        </w:rPr>
      </w:pPr>
    </w:p>
    <w:bookmarkEnd w:id="1290"/>
    <w:bookmarkEnd w:id="1291"/>
    <w:bookmarkEnd w:id="1292"/>
    <w:bookmarkEnd w:id="1293"/>
    <w:bookmarkEnd w:id="1294"/>
    <w:bookmarkEnd w:id="1295"/>
    <w:bookmarkEnd w:id="1296"/>
    <w:bookmarkEnd w:id="1297"/>
    <w:bookmarkEnd w:id="1298"/>
    <w:bookmarkEnd w:id="1299"/>
    <w:bookmarkEnd w:id="1300"/>
    <w:bookmarkEnd w:id="1301"/>
    <w:bookmarkEnd w:id="1302"/>
    <w:bookmarkEnd w:id="1303"/>
    <w:bookmarkEnd w:id="1304"/>
    <w:bookmarkEnd w:id="1305"/>
    <w:bookmarkEnd w:id="1306"/>
    <w:bookmarkEnd w:id="1307"/>
    <w:bookmarkEnd w:id="1308"/>
    <w:bookmarkEnd w:id="1309"/>
    <w:bookmarkEnd w:id="1310"/>
    <w:bookmarkEnd w:id="1311"/>
    <w:bookmarkEnd w:id="1312"/>
    <w:bookmarkEnd w:id="1313"/>
    <w:bookmarkEnd w:id="1314"/>
    <w:bookmarkEnd w:id="1315"/>
    <w:bookmarkEnd w:id="1316"/>
    <w:bookmarkEnd w:id="1317"/>
    <w:bookmarkEnd w:id="1318"/>
    <w:bookmarkEnd w:id="1319"/>
    <w:bookmarkEnd w:id="1320"/>
    <w:bookmarkEnd w:id="1321"/>
    <w:bookmarkEnd w:id="1322"/>
    <w:bookmarkEnd w:id="1323"/>
    <w:bookmarkEnd w:id="1324"/>
    <w:bookmarkEnd w:id="1325"/>
    <w:bookmarkEnd w:id="1326"/>
    <w:bookmarkEnd w:id="1327"/>
    <w:bookmarkEnd w:id="1328"/>
    <w:bookmarkEnd w:id="1329"/>
    <w:bookmarkEnd w:id="1330"/>
    <w:bookmarkEnd w:id="1331"/>
    <w:bookmarkEnd w:id="1332"/>
    <w:bookmarkEnd w:id="1333"/>
    <w:bookmarkEnd w:id="1334"/>
    <w:bookmarkEnd w:id="1335"/>
    <w:bookmarkEnd w:id="1336"/>
    <w:bookmarkEnd w:id="1337"/>
    <w:bookmarkEnd w:id="1338"/>
    <w:bookmarkEnd w:id="1339"/>
    <w:bookmarkEnd w:id="1340"/>
    <w:bookmarkEnd w:id="1341"/>
    <w:bookmarkEnd w:id="1342"/>
    <w:bookmarkEnd w:id="1343"/>
    <w:bookmarkEnd w:id="1344"/>
    <w:bookmarkEnd w:id="1345"/>
    <w:bookmarkEnd w:id="1346"/>
    <w:bookmarkEnd w:id="1347"/>
    <w:bookmarkEnd w:id="1348"/>
    <w:bookmarkEnd w:id="1349"/>
    <w:bookmarkEnd w:id="1350"/>
    <w:bookmarkEnd w:id="1351"/>
    <w:bookmarkEnd w:id="1352"/>
    <w:bookmarkEnd w:id="1353"/>
    <w:bookmarkEnd w:id="1354"/>
    <w:p w:rsidR="004A147C" w:rsidRPr="00B53FFB" w:rsidRDefault="004A147C" w:rsidP="00CE5850">
      <w:pPr>
        <w:numPr>
          <w:ilvl w:val="0"/>
          <w:numId w:val="28"/>
        </w:numPr>
        <w:rPr>
          <w:szCs w:val="22"/>
        </w:rPr>
      </w:pPr>
      <w:r w:rsidRPr="00B53FFB">
        <w:rPr>
          <w:i/>
          <w:szCs w:val="22"/>
        </w:rPr>
        <w:t>AT&amp;T's Applications for Transfer of Control of T-Mobile USA</w:t>
      </w:r>
      <w:r w:rsidRPr="00B53FFB">
        <w:rPr>
          <w:szCs w:val="22"/>
        </w:rPr>
        <w:t>.</w:t>
      </w:r>
      <w:r w:rsidRPr="00B53FFB">
        <w:rPr>
          <w:b/>
          <w:szCs w:val="22"/>
        </w:rPr>
        <w:t xml:space="preserve">  </w:t>
      </w:r>
      <w:r w:rsidRPr="00B53FFB">
        <w:rPr>
          <w:szCs w:val="22"/>
        </w:rPr>
        <w:t>On March 20, 2011,</w:t>
      </w:r>
      <w:r w:rsidRPr="00B53FFB">
        <w:rPr>
          <w:b/>
          <w:szCs w:val="22"/>
        </w:rPr>
        <w:t xml:space="preserve"> </w:t>
      </w:r>
      <w:r w:rsidRPr="00B53FFB">
        <w:rPr>
          <w:szCs w:val="22"/>
        </w:rPr>
        <w:t>AT&amp;T announced an agreement with Deutsche Telekom (DT) for AT&amp;T to acquire all of the stock of T-Mobile USA for $39 billion.  On April 21, 2011, AT&amp;T and DT filed a series of applications seeking the Commission’s consent to the transfer of control of the licenses and authorizations held by T-Mobile USA and its wholly-owned and controlled subsidiaries from DT to AT&amp;T.  On November 29, 2011, the Wireless Telecommunications Bureau granted the Applicants’ request to withdraw the applications and the Commission released a Staff Report on the applications stating that the proposed acquisition raised serious competitive concerns.</w:t>
      </w:r>
      <w:r w:rsidRPr="00B53FFB">
        <w:rPr>
          <w:szCs w:val="22"/>
          <w:vertAlign w:val="superscript"/>
        </w:rPr>
        <w:footnoteReference w:id="211"/>
      </w:r>
      <w:r w:rsidRPr="00B53FFB">
        <w:rPr>
          <w:szCs w:val="22"/>
        </w:rPr>
        <w:t xml:space="preserve">  On December 19, 2011, DT announced that AT&amp;T and DT had terminated the agreement they announced on March 20, 2011.  As a result of a break-up provision in the terminated agreement between AT&amp;T and DT, AT&amp;T transferred $3 billion to DT and assigned 20 AWS-1 licenses in full and partitioned portions of 27 AWS-1 licenses to T-Mobile.</w:t>
      </w:r>
      <w:r w:rsidRPr="00B53FFB">
        <w:rPr>
          <w:szCs w:val="22"/>
          <w:vertAlign w:val="superscript"/>
        </w:rPr>
        <w:footnoteReference w:id="212"/>
      </w:r>
      <w:r w:rsidRPr="00B53FFB">
        <w:rPr>
          <w:szCs w:val="22"/>
        </w:rPr>
        <w:t xml:space="preserve"> </w:t>
      </w:r>
    </w:p>
    <w:p w:rsidR="004A147C" w:rsidRPr="00B53FFB" w:rsidRDefault="004A147C" w:rsidP="00CE5850">
      <w:pPr>
        <w:pStyle w:val="ParaNum"/>
        <w:numPr>
          <w:ilvl w:val="0"/>
          <w:numId w:val="28"/>
        </w:numPr>
        <w:rPr>
          <w:sz w:val="22"/>
          <w:szCs w:val="22"/>
        </w:rPr>
      </w:pPr>
      <w:r w:rsidRPr="00B53FFB">
        <w:rPr>
          <w:i/>
          <w:sz w:val="22"/>
          <w:szCs w:val="22"/>
        </w:rPr>
        <w:t>Cox Communications</w:t>
      </w:r>
      <w:r w:rsidRPr="00B53FFB">
        <w:rPr>
          <w:sz w:val="22"/>
          <w:szCs w:val="22"/>
        </w:rPr>
        <w:t>.  Cox Communications (Cox) invested more than $500 million in spectrum in the AWS-1 and 700 MHz bands and the development of infrastructure in 2006 and 2008.</w:t>
      </w:r>
      <w:r w:rsidRPr="00B53FFB">
        <w:rPr>
          <w:sz w:val="22"/>
          <w:szCs w:val="22"/>
          <w:vertAlign w:val="superscript"/>
        </w:rPr>
        <w:footnoteReference w:id="213"/>
      </w:r>
      <w:r w:rsidRPr="00B53FFB">
        <w:rPr>
          <w:sz w:val="22"/>
          <w:szCs w:val="22"/>
        </w:rPr>
        <w:t xml:space="preserve">  In 2009, Huawei Technologies announced that it had signed a contract with Cox to supply CDMA 1x and EV-DO network infrastructure and equipment for a Cox mobile wireless network,</w:t>
      </w:r>
      <w:r w:rsidRPr="00B53FFB">
        <w:rPr>
          <w:sz w:val="22"/>
          <w:szCs w:val="22"/>
          <w:vertAlign w:val="superscript"/>
        </w:rPr>
        <w:footnoteReference w:id="214"/>
      </w:r>
      <w:r w:rsidRPr="00B53FFB">
        <w:rPr>
          <w:sz w:val="22"/>
          <w:szCs w:val="22"/>
        </w:rPr>
        <w:t xml:space="preserve"> and Cox began market testing its mobile wireless service.</w:t>
      </w:r>
      <w:r w:rsidRPr="00B53FFB">
        <w:rPr>
          <w:sz w:val="22"/>
          <w:szCs w:val="22"/>
          <w:vertAlign w:val="superscript"/>
        </w:rPr>
        <w:footnoteReference w:id="215"/>
      </w:r>
      <w:r w:rsidRPr="00B53FFB">
        <w:rPr>
          <w:sz w:val="22"/>
          <w:szCs w:val="22"/>
        </w:rPr>
        <w:t xml:space="preserve">  However, in May 2011, Cox announced that it would abandon its plans to build its own wireless network,</w:t>
      </w:r>
      <w:r w:rsidRPr="00B53FFB">
        <w:rPr>
          <w:sz w:val="22"/>
          <w:szCs w:val="22"/>
          <w:vertAlign w:val="superscript"/>
        </w:rPr>
        <w:footnoteReference w:id="216"/>
      </w:r>
      <w:r w:rsidRPr="00B53FFB">
        <w:rPr>
          <w:sz w:val="22"/>
          <w:szCs w:val="22"/>
        </w:rPr>
        <w:t xml:space="preserve"> and on November 15, 2011 Cox announced that it would discontinue selling Cox Wireless, its wireless phone service, effective November 16, 2011.</w:t>
      </w:r>
      <w:r w:rsidRPr="00B53FFB">
        <w:rPr>
          <w:sz w:val="22"/>
          <w:szCs w:val="22"/>
          <w:vertAlign w:val="superscript"/>
        </w:rPr>
        <w:footnoteReference w:id="217"/>
      </w:r>
      <w:r w:rsidRPr="00B53FFB">
        <w:rPr>
          <w:sz w:val="22"/>
          <w:szCs w:val="22"/>
        </w:rPr>
        <w:t xml:space="preserve">  Cox stated it would continue providing service for its wireless customers through March 30, 2012.</w:t>
      </w:r>
      <w:r w:rsidRPr="00B53FFB">
        <w:rPr>
          <w:sz w:val="22"/>
          <w:szCs w:val="22"/>
          <w:vertAlign w:val="superscript"/>
        </w:rPr>
        <w:footnoteReference w:id="218"/>
      </w:r>
      <w:r w:rsidRPr="00B53FFB">
        <w:rPr>
          <w:sz w:val="22"/>
          <w:szCs w:val="22"/>
        </w:rPr>
        <w:t xml:space="preserve">  Verizon Wireless and Cox TMI Wireless, LLC filed an application on December 21, 2011 to assign 30 20-megahertz AWS-1 licenses from Cox to Verizon Wireless, which was granted subject to conditions on August 21, 2012.</w:t>
      </w:r>
      <w:r w:rsidRPr="00B53FFB">
        <w:rPr>
          <w:rStyle w:val="FootnoteReference"/>
          <w:szCs w:val="22"/>
        </w:rPr>
        <w:footnoteReference w:id="219"/>
      </w:r>
    </w:p>
    <w:p w:rsidR="004A147C" w:rsidRPr="00B53FFB" w:rsidRDefault="004A147C" w:rsidP="00CE5850">
      <w:pPr>
        <w:pStyle w:val="ParaNum"/>
        <w:numPr>
          <w:ilvl w:val="0"/>
          <w:numId w:val="28"/>
        </w:numPr>
        <w:rPr>
          <w:sz w:val="22"/>
          <w:szCs w:val="22"/>
        </w:rPr>
      </w:pPr>
      <w:r w:rsidRPr="00B53FFB">
        <w:rPr>
          <w:i/>
          <w:sz w:val="22"/>
          <w:szCs w:val="22"/>
        </w:rPr>
        <w:t>MetroPCS</w:t>
      </w:r>
      <w:r w:rsidRPr="00B53FFB">
        <w:rPr>
          <w:sz w:val="22"/>
          <w:szCs w:val="22"/>
        </w:rPr>
        <w:t>.  On October 18, 2012, Deutsche Telekom AG, T-Mobile USA, Inc., and MetroPCS filed applications seeking Commission consent to the transfer of control of PCS and AWS-1 licenses and leases, and authorizations, as well as one lower 700 MHz license, held by Metr</w:t>
      </w:r>
      <w:r w:rsidR="008F1833">
        <w:rPr>
          <w:sz w:val="22"/>
          <w:szCs w:val="22"/>
        </w:rPr>
        <w:t xml:space="preserve">oPCS and by T-Mobile to a newly </w:t>
      </w:r>
      <w:r w:rsidRPr="00B53FFB">
        <w:rPr>
          <w:sz w:val="22"/>
          <w:szCs w:val="22"/>
        </w:rPr>
        <w:t xml:space="preserve">formed entity that would combine T-Mobile and MetroPCS.  </w:t>
      </w:r>
      <w:r w:rsidR="008F1833">
        <w:rPr>
          <w:sz w:val="22"/>
          <w:szCs w:val="22"/>
        </w:rPr>
        <w:t>The Applicants stated that the</w:t>
      </w:r>
      <w:r w:rsidRPr="00B53FFB">
        <w:rPr>
          <w:sz w:val="22"/>
          <w:szCs w:val="22"/>
        </w:rPr>
        <w:t xml:space="preserve"> proposed transaction would result in Deutsche Telekom and existing MetroPCS shareholders ultimately holding 74 percent and 26 percent ownership interests, respectively, in a newly</w:t>
      </w:r>
      <w:r w:rsidR="008F1833">
        <w:rPr>
          <w:sz w:val="22"/>
          <w:szCs w:val="22"/>
        </w:rPr>
        <w:t xml:space="preserve"> </w:t>
      </w:r>
      <w:r w:rsidRPr="00B53FFB">
        <w:rPr>
          <w:sz w:val="22"/>
          <w:szCs w:val="22"/>
        </w:rPr>
        <w:t>formed entity that would continue to offer both MetroPCS brand and T-Mobile USA brand services.</w:t>
      </w:r>
      <w:r w:rsidRPr="00B53FFB">
        <w:rPr>
          <w:rStyle w:val="FootnoteReference"/>
          <w:szCs w:val="22"/>
        </w:rPr>
        <w:footnoteReference w:id="220"/>
      </w:r>
      <w:r w:rsidR="00770E89">
        <w:rPr>
          <w:sz w:val="22"/>
          <w:szCs w:val="22"/>
        </w:rPr>
        <w:t xml:space="preserve">  On March 12, 2013, the Wireless Telecommunications Bureau and the International Bureau jointly approved the proposed transaction.</w:t>
      </w:r>
      <w:r w:rsidR="00770E89">
        <w:rPr>
          <w:rStyle w:val="FootnoteReference"/>
          <w:szCs w:val="22"/>
        </w:rPr>
        <w:footnoteReference w:id="221"/>
      </w:r>
    </w:p>
    <w:p w:rsidR="004A147C" w:rsidRPr="00B53FFB" w:rsidRDefault="004A147C" w:rsidP="00CE5850">
      <w:pPr>
        <w:pStyle w:val="Heading2"/>
        <w:keepNext w:val="0"/>
      </w:pPr>
      <w:bookmarkStart w:id="1431" w:name="_Toc252283854"/>
      <w:bookmarkStart w:id="1432" w:name="_Ref256585103"/>
      <w:bookmarkStart w:id="1433" w:name="_Ref256585106"/>
      <w:bookmarkStart w:id="1434" w:name="_Ref257026754"/>
      <w:bookmarkStart w:id="1435" w:name="_Ref257026758"/>
      <w:bookmarkStart w:id="1436" w:name="_Ref257909335"/>
      <w:bookmarkStart w:id="1437" w:name="_Ref257909336"/>
      <w:bookmarkStart w:id="1438" w:name="_Ref260062964"/>
      <w:bookmarkStart w:id="1439" w:name="_Ref260062965"/>
      <w:bookmarkStart w:id="1440" w:name="_Ref261014463"/>
      <w:bookmarkStart w:id="1441" w:name="_Ref261014466"/>
      <w:bookmarkStart w:id="1442" w:name="_Toc261610763"/>
      <w:bookmarkStart w:id="1443" w:name="_Toc261858496"/>
      <w:bookmarkStart w:id="1444" w:name="_Toc262034301"/>
      <w:bookmarkStart w:id="1445" w:name="_Toc262034404"/>
      <w:bookmarkStart w:id="1446" w:name="_Toc271288443"/>
      <w:bookmarkStart w:id="1447" w:name="_Toc275517960"/>
      <w:bookmarkStart w:id="1448" w:name="_Toc275952400"/>
      <w:bookmarkStart w:id="1449" w:name="_Toc276121832"/>
      <w:bookmarkStart w:id="1450" w:name="_Toc276480669"/>
      <w:bookmarkStart w:id="1451" w:name="_Ref276717695"/>
      <w:bookmarkStart w:id="1452" w:name="_Toc276741746"/>
      <w:bookmarkStart w:id="1453" w:name="_Toc277171510"/>
      <w:bookmarkStart w:id="1454" w:name="_Toc277864485"/>
      <w:bookmarkStart w:id="1455" w:name="_Toc277864701"/>
      <w:bookmarkStart w:id="1456" w:name="_Ref278198780"/>
      <w:bookmarkStart w:id="1457" w:name="_Ref282597277"/>
      <w:bookmarkStart w:id="1458" w:name="_Toc285810382"/>
      <w:bookmarkStart w:id="1459" w:name="_Ref286234033"/>
      <w:bookmarkStart w:id="1460" w:name="_Ref286234037"/>
      <w:bookmarkStart w:id="1461" w:name="_Toc287257776"/>
      <w:bookmarkStart w:id="1462" w:name="_Toc291758655"/>
      <w:bookmarkStart w:id="1463" w:name="_Toc291758758"/>
      <w:bookmarkStart w:id="1464" w:name="_Toc295392938"/>
      <w:bookmarkStart w:id="1465" w:name="_Toc329098089"/>
      <w:bookmarkStart w:id="1466" w:name="_Toc329262488"/>
      <w:bookmarkStart w:id="1467" w:name="_Toc329852393"/>
      <w:bookmarkStart w:id="1468" w:name="_Toc331766309"/>
      <w:bookmarkStart w:id="1469" w:name="_Toc332119104"/>
      <w:bookmarkStart w:id="1470" w:name="_Toc334088786"/>
      <w:bookmarkStart w:id="1471" w:name="_Toc334089022"/>
      <w:bookmarkStart w:id="1472" w:name="_Toc334089181"/>
      <w:bookmarkStart w:id="1473" w:name="_Toc334089292"/>
      <w:bookmarkStart w:id="1474" w:name="_Toc334089456"/>
      <w:bookmarkStart w:id="1475" w:name="_Toc335839029"/>
      <w:bookmarkStart w:id="1476" w:name="_Toc336268592"/>
      <w:bookmarkStart w:id="1477" w:name="_Toc336268700"/>
      <w:bookmarkStart w:id="1478" w:name="_Toc336268807"/>
      <w:bookmarkStart w:id="1479" w:name="_Toc336269021"/>
      <w:bookmarkStart w:id="1480" w:name="_Toc336269128"/>
      <w:bookmarkStart w:id="1481" w:name="_Toc336269496"/>
      <w:bookmarkStart w:id="1482" w:name="_Toc336269642"/>
      <w:bookmarkStart w:id="1483" w:name="_Toc336270055"/>
      <w:bookmarkStart w:id="1484" w:name="_Toc336271261"/>
      <w:bookmarkStart w:id="1485" w:name="_Toc337651956"/>
      <w:bookmarkStart w:id="1486" w:name="_Toc349577144"/>
      <w:bookmarkStart w:id="1487" w:name="_Toc349579236"/>
      <w:bookmarkStart w:id="1488" w:name="_Toc349580551"/>
      <w:bookmarkStart w:id="1489" w:name="_Toc349734959"/>
      <w:bookmarkStart w:id="1490" w:name="_Toc349742324"/>
      <w:r w:rsidRPr="00B53FFB">
        <w:t>Entry and Exit Conditions</w:t>
      </w:r>
      <w:bookmarkEnd w:id="1431"/>
      <w:bookmarkEnd w:id="1432"/>
      <w:bookmarkEnd w:id="1433"/>
      <w:bookmarkEnd w:id="1434"/>
      <w:bookmarkEnd w:id="1435"/>
      <w:bookmarkEnd w:id="1436"/>
      <w:bookmarkEnd w:id="1437"/>
      <w:bookmarkEnd w:id="1438"/>
      <w:bookmarkEnd w:id="1439"/>
      <w:bookmarkEnd w:id="1440"/>
      <w:bookmarkEnd w:id="1441"/>
      <w:bookmarkEnd w:id="1442"/>
      <w:bookmarkEnd w:id="1443"/>
      <w:bookmarkEnd w:id="1444"/>
      <w:bookmarkEnd w:id="1445"/>
      <w:bookmarkEnd w:id="1446"/>
      <w:bookmarkEnd w:id="1447"/>
      <w:bookmarkEnd w:id="1448"/>
      <w:bookmarkEnd w:id="1449"/>
      <w:bookmarkEnd w:id="1450"/>
      <w:bookmarkEnd w:id="1451"/>
      <w:bookmarkEnd w:id="1452"/>
      <w:bookmarkEnd w:id="1453"/>
      <w:bookmarkEnd w:id="1454"/>
      <w:bookmarkEnd w:id="1455"/>
      <w:bookmarkEnd w:id="1456"/>
      <w:bookmarkEnd w:id="1457"/>
      <w:bookmarkEnd w:id="1458"/>
      <w:bookmarkEnd w:id="1459"/>
      <w:bookmarkEnd w:id="1460"/>
      <w:bookmarkEnd w:id="1461"/>
      <w:bookmarkEnd w:id="1462"/>
      <w:bookmarkEnd w:id="1463"/>
      <w:bookmarkEnd w:id="1464"/>
      <w:bookmarkEnd w:id="1465"/>
      <w:bookmarkEnd w:id="1466"/>
      <w:bookmarkEnd w:id="1467"/>
      <w:bookmarkEnd w:id="1468"/>
      <w:bookmarkEnd w:id="1469"/>
      <w:bookmarkEnd w:id="1470"/>
      <w:bookmarkEnd w:id="1471"/>
      <w:bookmarkEnd w:id="1472"/>
      <w:bookmarkEnd w:id="1473"/>
      <w:bookmarkEnd w:id="1474"/>
      <w:bookmarkEnd w:id="1475"/>
      <w:bookmarkEnd w:id="1476"/>
      <w:bookmarkEnd w:id="1477"/>
      <w:bookmarkEnd w:id="1478"/>
      <w:bookmarkEnd w:id="1479"/>
      <w:bookmarkEnd w:id="1480"/>
      <w:bookmarkEnd w:id="1481"/>
      <w:bookmarkEnd w:id="1482"/>
      <w:bookmarkEnd w:id="1483"/>
      <w:bookmarkEnd w:id="1484"/>
      <w:bookmarkEnd w:id="1485"/>
      <w:bookmarkEnd w:id="1486"/>
      <w:bookmarkEnd w:id="1487"/>
      <w:bookmarkEnd w:id="1488"/>
      <w:bookmarkEnd w:id="1489"/>
      <w:bookmarkEnd w:id="1490"/>
      <w:r w:rsidRPr="00B53FFB">
        <w:t xml:space="preserve"> </w:t>
      </w:r>
    </w:p>
    <w:p w:rsidR="004A147C" w:rsidRPr="00B53FFB" w:rsidRDefault="004A147C" w:rsidP="00CE5850">
      <w:pPr>
        <w:pStyle w:val="ParaNum"/>
        <w:numPr>
          <w:ilvl w:val="0"/>
          <w:numId w:val="28"/>
        </w:numPr>
        <w:rPr>
          <w:sz w:val="22"/>
          <w:szCs w:val="22"/>
        </w:rPr>
      </w:pPr>
      <w:r w:rsidRPr="00B53FFB">
        <w:rPr>
          <w:sz w:val="22"/>
          <w:szCs w:val="22"/>
        </w:rPr>
        <w:t xml:space="preserve">Entry and exit conditions are important in helping to understand the degree to which incumbent firms may or may not possess market power, </w:t>
      </w:r>
      <w:r w:rsidRPr="00B53FFB">
        <w:rPr>
          <w:i/>
          <w:sz w:val="22"/>
          <w:szCs w:val="22"/>
        </w:rPr>
        <w:t>i.e.</w:t>
      </w:r>
      <w:r w:rsidRPr="00B53FFB">
        <w:rPr>
          <w:sz w:val="22"/>
          <w:szCs w:val="22"/>
        </w:rPr>
        <w:t xml:space="preserve"> the ability to set prices above marginal cost without attracting entry.  Entry and exit occurs in the context of underlying regulatory and market conditions that directly influence the total number of firms that can compete successfully in a market.  Such conditions are relevant for determining </w:t>
      </w:r>
      <w:r w:rsidRPr="00EB6DA8">
        <w:rPr>
          <w:sz w:val="22"/>
          <w:szCs w:val="22"/>
        </w:rPr>
        <w:t xml:space="preserve">if </w:t>
      </w:r>
      <w:r w:rsidRPr="00B53FFB">
        <w:rPr>
          <w:sz w:val="22"/>
          <w:szCs w:val="22"/>
        </w:rPr>
        <w:t xml:space="preserve">actual entry or exit will occur, and </w:t>
      </w:r>
      <w:r w:rsidRPr="00B53FFB">
        <w:rPr>
          <w:i/>
          <w:sz w:val="22"/>
          <w:szCs w:val="22"/>
        </w:rPr>
        <w:t>when</w:t>
      </w:r>
      <w:r w:rsidRPr="00B53FFB">
        <w:rPr>
          <w:sz w:val="22"/>
          <w:szCs w:val="22"/>
        </w:rPr>
        <w:t xml:space="preserve"> actual entry or exit will occur – both of which are important for evaluating how the market structure will evolve in the future.  Service provider entry and exit decisions are primarily determined by regulatory entry and exit conditions, the costs of entry, and expected post-entry market profitability.</w:t>
      </w:r>
      <w:r w:rsidRPr="00B53FFB">
        <w:rPr>
          <w:rStyle w:val="FootnoteReference"/>
          <w:szCs w:val="22"/>
        </w:rPr>
        <w:footnoteReference w:id="222"/>
      </w:r>
      <w:r w:rsidRPr="00B53FFB">
        <w:rPr>
          <w:sz w:val="22"/>
          <w:szCs w:val="22"/>
        </w:rPr>
        <w:t xml:space="preserve">  </w:t>
      </w:r>
    </w:p>
    <w:p w:rsidR="004A147C" w:rsidRPr="00B53FFB" w:rsidRDefault="004A147C" w:rsidP="00CE5850">
      <w:pPr>
        <w:pStyle w:val="ParaNum"/>
        <w:numPr>
          <w:ilvl w:val="0"/>
          <w:numId w:val="28"/>
        </w:numPr>
        <w:rPr>
          <w:sz w:val="22"/>
          <w:szCs w:val="22"/>
        </w:rPr>
      </w:pPr>
      <w:r w:rsidRPr="00B53FFB">
        <w:rPr>
          <w:sz w:val="22"/>
          <w:szCs w:val="22"/>
        </w:rPr>
        <w:t>We distinguish between regulatory and non-regulatory entry and exit conditions in order to consider the effects of the Commission’s spectrum and infrastructure policies from basic market conditions.  Regulatory entry conditions primarily affect access to the inputs necessary to offer mobile wireless services.</w:t>
      </w:r>
      <w:r w:rsidRPr="00B53FFB">
        <w:rPr>
          <w:rStyle w:val="FootnoteReference"/>
          <w:szCs w:val="22"/>
        </w:rPr>
        <w:t xml:space="preserve"> </w:t>
      </w:r>
      <w:r w:rsidRPr="00B53FFB">
        <w:rPr>
          <w:rStyle w:val="FootnoteReference"/>
          <w:szCs w:val="22"/>
        </w:rPr>
        <w:footnoteReference w:id="223"/>
      </w:r>
      <w:r w:rsidRPr="00B53FFB">
        <w:rPr>
          <w:sz w:val="22"/>
          <w:szCs w:val="22"/>
        </w:rPr>
        <w:t xml:space="preserve">  They include spectrum policy, which affects the spectrum capacity available for mobile wireless services, and tower-siting regulations, which affect whether and how quickly mobile wireless networks can be deployed or expanded.  They also include Federal policies for the funding of network deployment and operations, such as the Mobility Fund programs of the Connect America Fund.</w:t>
      </w:r>
      <w:r w:rsidRPr="00B53FFB">
        <w:rPr>
          <w:rStyle w:val="FootnoteReference"/>
          <w:szCs w:val="22"/>
        </w:rPr>
        <w:footnoteReference w:id="224"/>
      </w:r>
      <w:r w:rsidRPr="00B53FFB">
        <w:rPr>
          <w:sz w:val="22"/>
          <w:szCs w:val="22"/>
        </w:rPr>
        <w:t xml:space="preserve">  Non-regulatory or market conditions that influence entry and exit can be summarized by expected post-entry profitability and its associated risk factors, which in turn have several main market determinants that are discussed below.</w:t>
      </w:r>
      <w:r w:rsidRPr="00B53FFB">
        <w:rPr>
          <w:rStyle w:val="FootnoteReference"/>
          <w:szCs w:val="22"/>
        </w:rPr>
        <w:footnoteReference w:id="225"/>
      </w:r>
      <w:r>
        <w:rPr>
          <w:sz w:val="22"/>
          <w:szCs w:val="22"/>
        </w:rPr>
        <w:t xml:space="preserve">  </w:t>
      </w:r>
      <w:r w:rsidRPr="00B53FFB">
        <w:rPr>
          <w:sz w:val="22"/>
          <w:szCs w:val="22"/>
        </w:rPr>
        <w:t xml:space="preserve">Major costs that may determine the number of providers that can operate in the market or may deter entry include efficiencies of size and scale, permanent asymmetries across service providers’ costs, and capital cost requirements.  </w:t>
      </w:r>
    </w:p>
    <w:p w:rsidR="004A147C" w:rsidRPr="00B53FFB" w:rsidRDefault="004A147C" w:rsidP="00CE5850">
      <w:pPr>
        <w:pStyle w:val="Heading3"/>
        <w:keepNext w:val="0"/>
        <w:numPr>
          <w:ilvl w:val="2"/>
          <w:numId w:val="26"/>
        </w:numPr>
        <w:tabs>
          <w:tab w:val="left" w:pos="2160"/>
        </w:tabs>
        <w:rPr>
          <w:sz w:val="22"/>
          <w:szCs w:val="22"/>
        </w:rPr>
      </w:pPr>
      <w:bookmarkStart w:id="1491" w:name="_Toc252283855"/>
      <w:bookmarkStart w:id="1492" w:name="_Toc261610764"/>
      <w:bookmarkStart w:id="1493" w:name="_Toc261858497"/>
      <w:bookmarkStart w:id="1494" w:name="_Toc262034302"/>
      <w:bookmarkStart w:id="1495" w:name="_Toc262034405"/>
      <w:bookmarkStart w:id="1496" w:name="_Toc271288444"/>
      <w:bookmarkStart w:id="1497" w:name="_Toc275517961"/>
      <w:bookmarkStart w:id="1498" w:name="_Toc275952401"/>
      <w:bookmarkStart w:id="1499" w:name="_Toc276121833"/>
      <w:bookmarkStart w:id="1500" w:name="_Toc276480670"/>
      <w:bookmarkStart w:id="1501" w:name="_Toc276741747"/>
      <w:bookmarkStart w:id="1502" w:name="_Toc277171511"/>
      <w:bookmarkStart w:id="1503" w:name="_Toc277864486"/>
      <w:bookmarkStart w:id="1504" w:name="_Toc277864702"/>
      <w:bookmarkStart w:id="1505" w:name="_Toc285810383"/>
      <w:bookmarkStart w:id="1506" w:name="_Toc287257777"/>
      <w:bookmarkStart w:id="1507" w:name="_Toc291758656"/>
      <w:bookmarkStart w:id="1508" w:name="_Toc291758759"/>
      <w:bookmarkStart w:id="1509" w:name="_Toc295392939"/>
      <w:bookmarkStart w:id="1510" w:name="_Toc329098090"/>
      <w:bookmarkStart w:id="1511" w:name="_Toc329262489"/>
      <w:bookmarkStart w:id="1512" w:name="_Toc329852394"/>
      <w:bookmarkStart w:id="1513" w:name="_Toc331766310"/>
      <w:bookmarkStart w:id="1514" w:name="_Toc332119105"/>
      <w:bookmarkStart w:id="1515" w:name="_Toc334088787"/>
      <w:bookmarkStart w:id="1516" w:name="_Toc334089023"/>
      <w:bookmarkStart w:id="1517" w:name="_Toc334089182"/>
      <w:bookmarkStart w:id="1518" w:name="_Toc334089293"/>
      <w:bookmarkStart w:id="1519" w:name="_Toc334089457"/>
      <w:bookmarkStart w:id="1520" w:name="_Toc335839030"/>
      <w:bookmarkStart w:id="1521" w:name="_Toc336268593"/>
      <w:bookmarkStart w:id="1522" w:name="_Toc336268701"/>
      <w:bookmarkStart w:id="1523" w:name="_Toc336268808"/>
      <w:bookmarkStart w:id="1524" w:name="_Toc336269022"/>
      <w:bookmarkStart w:id="1525" w:name="_Toc336269129"/>
      <w:bookmarkStart w:id="1526" w:name="_Toc336269497"/>
      <w:bookmarkStart w:id="1527" w:name="_Toc336269643"/>
      <w:bookmarkStart w:id="1528" w:name="_Toc336270056"/>
      <w:bookmarkStart w:id="1529" w:name="_Toc336271262"/>
      <w:bookmarkStart w:id="1530" w:name="_Toc337651957"/>
      <w:bookmarkStart w:id="1531" w:name="_Toc349577145"/>
      <w:bookmarkStart w:id="1532" w:name="_Toc349579237"/>
      <w:bookmarkStart w:id="1533" w:name="_Toc349580552"/>
      <w:bookmarkStart w:id="1534" w:name="_Toc349734960"/>
      <w:bookmarkStart w:id="1535" w:name="_Toc349742325"/>
      <w:r w:rsidRPr="00B53FFB">
        <w:rPr>
          <w:sz w:val="22"/>
          <w:szCs w:val="22"/>
        </w:rPr>
        <w:t>Regulatory Entry and Exit Conditions</w:t>
      </w:r>
      <w:bookmarkEnd w:id="1491"/>
      <w:bookmarkEnd w:id="1492"/>
      <w:bookmarkEnd w:id="1493"/>
      <w:bookmarkEnd w:id="1494"/>
      <w:bookmarkEnd w:id="1495"/>
      <w:bookmarkEnd w:id="1496"/>
      <w:bookmarkEnd w:id="1497"/>
      <w:bookmarkEnd w:id="1498"/>
      <w:bookmarkEnd w:id="1499"/>
      <w:bookmarkEnd w:id="1500"/>
      <w:bookmarkEnd w:id="1501"/>
      <w:bookmarkEnd w:id="1502"/>
      <w:bookmarkEnd w:id="1503"/>
      <w:bookmarkEnd w:id="1504"/>
      <w:bookmarkEnd w:id="1505"/>
      <w:bookmarkEnd w:id="1506"/>
      <w:bookmarkEnd w:id="1507"/>
      <w:bookmarkEnd w:id="1508"/>
      <w:bookmarkEnd w:id="1509"/>
      <w:bookmarkEnd w:id="1510"/>
      <w:bookmarkEnd w:id="1511"/>
      <w:bookmarkEnd w:id="1512"/>
      <w:bookmarkEnd w:id="1513"/>
      <w:bookmarkEnd w:id="1514"/>
      <w:bookmarkEnd w:id="1515"/>
      <w:bookmarkEnd w:id="1516"/>
      <w:bookmarkEnd w:id="1517"/>
      <w:bookmarkEnd w:id="1518"/>
      <w:bookmarkEnd w:id="1519"/>
      <w:bookmarkEnd w:id="1520"/>
      <w:bookmarkEnd w:id="1521"/>
      <w:bookmarkEnd w:id="1522"/>
      <w:bookmarkEnd w:id="1523"/>
      <w:bookmarkEnd w:id="1524"/>
      <w:bookmarkEnd w:id="1525"/>
      <w:bookmarkEnd w:id="1526"/>
      <w:bookmarkEnd w:id="1527"/>
      <w:bookmarkEnd w:id="1528"/>
      <w:bookmarkEnd w:id="1529"/>
      <w:bookmarkEnd w:id="1530"/>
      <w:bookmarkEnd w:id="1531"/>
      <w:bookmarkEnd w:id="1532"/>
      <w:bookmarkEnd w:id="1533"/>
      <w:bookmarkEnd w:id="1534"/>
      <w:bookmarkEnd w:id="1535"/>
    </w:p>
    <w:p w:rsidR="004A147C" w:rsidRPr="00B53FFB" w:rsidRDefault="004A147C" w:rsidP="00CE5850">
      <w:pPr>
        <w:pStyle w:val="ParaNum"/>
        <w:numPr>
          <w:ilvl w:val="0"/>
          <w:numId w:val="28"/>
        </w:numPr>
        <w:rPr>
          <w:sz w:val="22"/>
          <w:szCs w:val="22"/>
        </w:rPr>
      </w:pPr>
      <w:r w:rsidRPr="00B53FFB">
        <w:rPr>
          <w:i/>
          <w:sz w:val="22"/>
          <w:szCs w:val="22"/>
        </w:rPr>
        <w:t>Spectrum.</w:t>
      </w:r>
      <w:r w:rsidRPr="00B53FFB">
        <w:rPr>
          <w:sz w:val="22"/>
          <w:szCs w:val="22"/>
        </w:rPr>
        <w:t xml:space="preserve">  Spectrum bandwidth is a necessary input to the supply of mobile wireless services.  If a potential entrant were to attempt to enter the mobile wireless services market, obtaining access to spectrum is crucial.  The effective supply of spectrum capacity that is available for mobile wireless service depends on several aspects of spectrum policy, including allocation and licensing policies, as well as interference and technical rules.  First, increasing the total supply of spectrum bandwidth that the Commission allocates and licenses to mobile wireless service providers can increase network capacity and reduce the degree of frequency reuse required to achieve a given capacity.</w:t>
      </w:r>
      <w:r w:rsidRPr="00B53FFB">
        <w:rPr>
          <w:rStyle w:val="StyleFootnoteReferenceAppelnotedebasdepStyle12NECGFoo"/>
          <w:szCs w:val="22"/>
        </w:rPr>
        <w:footnoteReference w:id="226"/>
      </w:r>
      <w:r w:rsidRPr="00B53FFB">
        <w:rPr>
          <w:sz w:val="22"/>
          <w:szCs w:val="22"/>
        </w:rPr>
        <w:t xml:space="preserve">  Second, interference and technical rules can affect both spectrum access and spectrum efficiency, and, hence, overall network capacity.</w:t>
      </w:r>
      <w:r w:rsidRPr="00B53FFB">
        <w:rPr>
          <w:rStyle w:val="FootnoteReference"/>
          <w:szCs w:val="22"/>
        </w:rPr>
        <w:footnoteReference w:id="227"/>
      </w:r>
      <w:r w:rsidRPr="00B53FFB">
        <w:rPr>
          <w:sz w:val="22"/>
          <w:szCs w:val="22"/>
        </w:rPr>
        <w:t xml:space="preserve">  Therefore, spectrum policies affect the ability of potential entrants to access spectrum and to build out or expand capacity.</w:t>
      </w:r>
      <w:r w:rsidRPr="00B53FFB">
        <w:rPr>
          <w:rStyle w:val="FootnoteReference"/>
          <w:szCs w:val="22"/>
        </w:rPr>
        <w:footnoteReference w:id="228"/>
      </w:r>
    </w:p>
    <w:p w:rsidR="004A147C" w:rsidRPr="00B53FFB" w:rsidRDefault="004A147C" w:rsidP="00CE5850">
      <w:pPr>
        <w:pStyle w:val="ParaNum"/>
        <w:numPr>
          <w:ilvl w:val="0"/>
          <w:numId w:val="28"/>
        </w:numPr>
        <w:rPr>
          <w:sz w:val="22"/>
          <w:szCs w:val="22"/>
        </w:rPr>
      </w:pPr>
      <w:r w:rsidRPr="00B53FFB">
        <w:rPr>
          <w:i/>
          <w:sz w:val="22"/>
          <w:szCs w:val="22"/>
        </w:rPr>
        <w:t>Tower and Antenna Siting.</w:t>
      </w:r>
      <w:r w:rsidRPr="00B53FFB">
        <w:rPr>
          <w:sz w:val="22"/>
          <w:szCs w:val="22"/>
        </w:rPr>
        <w:t xml:space="preserve">  State and local zoning rules for erecting wireless towers or attaching equipment to pre-existing towers and other structures (</w:t>
      </w:r>
      <w:r w:rsidRPr="00B53FFB">
        <w:rPr>
          <w:i/>
          <w:sz w:val="22"/>
          <w:szCs w:val="22"/>
        </w:rPr>
        <w:t>e.g.</w:t>
      </w:r>
      <w:r w:rsidRPr="00B53FFB">
        <w:rPr>
          <w:sz w:val="22"/>
          <w:szCs w:val="22"/>
        </w:rPr>
        <w:t>, rooftops, water tanks, power lines, and utility poles) can affect the deployment of mobile wireless networks.  In particular, delays in zoning approvals can lengthen the process of cell site acquisition and deployment, thereby increasing costs for new or existing providers to enter into new markets.  The Commission reported that in 2009, of 3,300 pending zoning applications for wireless facilities, over 760 (nearly one quarter) had been pending for more than a year and 180 had been pending for more than three years.</w:t>
      </w:r>
      <w:r w:rsidRPr="00B53FFB">
        <w:rPr>
          <w:rStyle w:val="FootnoteReference"/>
          <w:szCs w:val="22"/>
        </w:rPr>
        <w:footnoteReference w:id="229"/>
      </w:r>
      <w:r w:rsidRPr="00B53FFB">
        <w:rPr>
          <w:sz w:val="22"/>
          <w:szCs w:val="22"/>
        </w:rPr>
        <w:t xml:space="preserve">  In November 2009, the Commission issued a </w:t>
      </w:r>
      <w:r w:rsidRPr="00B53FFB">
        <w:rPr>
          <w:i/>
          <w:sz w:val="22"/>
          <w:szCs w:val="22"/>
        </w:rPr>
        <w:t xml:space="preserve">Declaratory Ruling </w:t>
      </w:r>
      <w:r w:rsidRPr="00B53FFB">
        <w:rPr>
          <w:sz w:val="22"/>
          <w:szCs w:val="22"/>
        </w:rPr>
        <w:t>that sets time frames for state and local zoning authorities to act on a zoning application – 90 days for collocations and 150 days for all other towers.</w:t>
      </w:r>
      <w:r w:rsidRPr="00B53FFB">
        <w:rPr>
          <w:rStyle w:val="FootnoteReference"/>
          <w:szCs w:val="22"/>
        </w:rPr>
        <w:footnoteReference w:id="230"/>
      </w:r>
      <w:r w:rsidRPr="00B53FFB">
        <w:rPr>
          <w:sz w:val="22"/>
          <w:szCs w:val="22"/>
        </w:rPr>
        <w:t xml:space="preserve">  If a zoning authority does not act within the appropriate time period, and the parties have not agreed to extend the review period, the applicant can file for relief in federal court.</w:t>
      </w:r>
      <w:r w:rsidRPr="00B53FFB">
        <w:rPr>
          <w:rStyle w:val="FootnoteReference"/>
          <w:szCs w:val="22"/>
        </w:rPr>
        <w:footnoteReference w:id="231"/>
      </w:r>
      <w:r w:rsidRPr="00B53FFB">
        <w:rPr>
          <w:sz w:val="22"/>
          <w:szCs w:val="22"/>
        </w:rPr>
        <w:t xml:space="preserve">  Furthermore, the </w:t>
      </w:r>
      <w:r w:rsidRPr="00B53FFB">
        <w:rPr>
          <w:i/>
          <w:sz w:val="22"/>
          <w:szCs w:val="22"/>
        </w:rPr>
        <w:t>Declaratory Ruling</w:t>
      </w:r>
      <w:r w:rsidRPr="00B53FFB">
        <w:rPr>
          <w:sz w:val="22"/>
          <w:szCs w:val="22"/>
        </w:rPr>
        <w:t xml:space="preserve"> reduced regulatory barriers to entry by finding that it is a violation of the Communications Act for a state or local government to deny a wireless service facility-siting application because service is available from another provider.</w:t>
      </w:r>
      <w:r w:rsidRPr="00B53FFB">
        <w:rPr>
          <w:rStyle w:val="FootnoteReference"/>
          <w:szCs w:val="22"/>
        </w:rPr>
        <w:footnoteReference w:id="232"/>
      </w:r>
      <w:r w:rsidRPr="00B53FFB">
        <w:rPr>
          <w:sz w:val="22"/>
          <w:szCs w:val="22"/>
        </w:rPr>
        <w:t xml:space="preserve">  In addition, on February 22, 2012, President Obama signed into law the Middle Class Tax Relief and Job Creation Act of 2012 (Tax Relief Act).</w:t>
      </w:r>
      <w:r w:rsidRPr="00B53FFB">
        <w:rPr>
          <w:rStyle w:val="FootnoteReference"/>
          <w:szCs w:val="22"/>
        </w:rPr>
        <w:footnoteReference w:id="233"/>
      </w:r>
      <w:r w:rsidRPr="00B53FFB">
        <w:rPr>
          <w:sz w:val="22"/>
          <w:szCs w:val="22"/>
        </w:rPr>
        <w:t xml:space="preserve">  Section 6409 of the Tax Relief Act provides that a state or local government may not deny, and shall approve, any request for collocation, removal, or replacement of equipment on a wireless tower or base station that does not substantially change the physical dimensions of the tower or base station.</w:t>
      </w:r>
      <w:r w:rsidRPr="00B53FFB">
        <w:rPr>
          <w:rStyle w:val="FootnoteReference"/>
          <w:szCs w:val="22"/>
        </w:rPr>
        <w:footnoteReference w:id="234"/>
      </w:r>
      <w:r w:rsidRPr="00B53FFB">
        <w:rPr>
          <w:sz w:val="22"/>
          <w:szCs w:val="22"/>
        </w:rPr>
        <w:t xml:space="preserve">  Section 6409 also includes provisions to facilitate access to Federal buildings and other property for wireless facilities.</w:t>
      </w:r>
      <w:r w:rsidRPr="00B53FFB">
        <w:rPr>
          <w:rStyle w:val="FootnoteReference"/>
          <w:szCs w:val="22"/>
        </w:rPr>
        <w:footnoteReference w:id="235"/>
      </w:r>
      <w:r w:rsidRPr="00B53FFB">
        <w:rPr>
          <w:sz w:val="22"/>
          <w:szCs w:val="22"/>
        </w:rPr>
        <w:t xml:space="preserve">  On June 14, 2012, President Obama released an Executive Order to facilitate broadband deployment on Federal buildings, lands, and rights-of-way.</w:t>
      </w:r>
      <w:r w:rsidRPr="00B53FFB">
        <w:rPr>
          <w:rStyle w:val="FootnoteReference"/>
          <w:szCs w:val="22"/>
        </w:rPr>
        <w:footnoteReference w:id="236"/>
      </w:r>
    </w:p>
    <w:p w:rsidR="004A147C" w:rsidRPr="00B53FFB" w:rsidRDefault="004A147C" w:rsidP="00CE5850">
      <w:pPr>
        <w:pStyle w:val="ParaNum"/>
        <w:numPr>
          <w:ilvl w:val="0"/>
          <w:numId w:val="28"/>
        </w:numPr>
        <w:rPr>
          <w:sz w:val="22"/>
          <w:szCs w:val="22"/>
        </w:rPr>
      </w:pPr>
      <w:r w:rsidRPr="00B53FFB">
        <w:rPr>
          <w:sz w:val="22"/>
          <w:szCs w:val="22"/>
        </w:rPr>
        <w:t xml:space="preserve">In a 2011 </w:t>
      </w:r>
      <w:r w:rsidRPr="00B53FFB">
        <w:rPr>
          <w:i/>
          <w:sz w:val="22"/>
          <w:szCs w:val="22"/>
        </w:rPr>
        <w:t xml:space="preserve">Report and Order and Order on Reconsideration </w:t>
      </w:r>
      <w:r w:rsidRPr="00B53FFB">
        <w:rPr>
          <w:sz w:val="22"/>
          <w:szCs w:val="22"/>
        </w:rPr>
        <w:t xml:space="preserve">(Pole Attachment Order), the Commission </w:t>
      </w:r>
      <w:r w:rsidR="00512566">
        <w:rPr>
          <w:sz w:val="22"/>
          <w:szCs w:val="22"/>
        </w:rPr>
        <w:t>revised its pole attachment rule</w:t>
      </w:r>
      <w:r w:rsidRPr="00B53FFB">
        <w:rPr>
          <w:sz w:val="22"/>
          <w:szCs w:val="22"/>
        </w:rPr>
        <w:t>s to improve the efficiency and reduce the costs of deploying telecommunications networks.</w:t>
      </w:r>
      <w:r w:rsidRPr="00B53FFB">
        <w:rPr>
          <w:rStyle w:val="FootnoteReference"/>
          <w:szCs w:val="22"/>
        </w:rPr>
        <w:footnoteReference w:id="237"/>
      </w:r>
      <w:r w:rsidRPr="00B53FFB">
        <w:rPr>
          <w:sz w:val="22"/>
          <w:szCs w:val="22"/>
        </w:rPr>
        <w:t xml:space="preserve">  In particular, the Pole Attachment Order adopted rule changes to help facilitate deployment on utility poles of Distributed Antenna Systems (DAS) and small cell solutions that are especially useful for providing wireless broadband service.  </w:t>
      </w:r>
    </w:p>
    <w:p w:rsidR="004A147C" w:rsidRPr="00B53FFB" w:rsidRDefault="004A147C" w:rsidP="00CE5850">
      <w:pPr>
        <w:pStyle w:val="Heading3"/>
        <w:keepNext w:val="0"/>
        <w:numPr>
          <w:ilvl w:val="2"/>
          <w:numId w:val="26"/>
        </w:numPr>
        <w:tabs>
          <w:tab w:val="left" w:pos="2160"/>
        </w:tabs>
        <w:rPr>
          <w:sz w:val="22"/>
          <w:szCs w:val="22"/>
        </w:rPr>
      </w:pPr>
      <w:bookmarkStart w:id="1536" w:name="_Toc252283856"/>
      <w:bookmarkStart w:id="1537" w:name="_Toc261610765"/>
      <w:bookmarkStart w:id="1538" w:name="_Toc261858498"/>
      <w:bookmarkStart w:id="1539" w:name="_Ref261960798"/>
      <w:bookmarkStart w:id="1540" w:name="_Ref261960800"/>
      <w:bookmarkStart w:id="1541" w:name="_Toc262034303"/>
      <w:bookmarkStart w:id="1542" w:name="_Toc262034406"/>
      <w:bookmarkStart w:id="1543" w:name="_Toc271288445"/>
      <w:bookmarkStart w:id="1544" w:name="_Toc275517962"/>
      <w:bookmarkStart w:id="1545" w:name="_Toc275952402"/>
      <w:bookmarkStart w:id="1546" w:name="_Toc276121834"/>
      <w:bookmarkStart w:id="1547" w:name="_Toc276480671"/>
      <w:bookmarkStart w:id="1548" w:name="_Toc276741748"/>
      <w:bookmarkStart w:id="1549" w:name="_Toc277171512"/>
      <w:bookmarkStart w:id="1550" w:name="_Toc277864487"/>
      <w:bookmarkStart w:id="1551" w:name="_Toc277864703"/>
      <w:bookmarkStart w:id="1552" w:name="_Toc285810384"/>
      <w:bookmarkStart w:id="1553" w:name="_Toc287257778"/>
      <w:bookmarkStart w:id="1554" w:name="_Toc291758657"/>
      <w:bookmarkStart w:id="1555" w:name="_Toc291758760"/>
      <w:bookmarkStart w:id="1556" w:name="_Toc295392940"/>
      <w:bookmarkStart w:id="1557" w:name="_Toc329098091"/>
      <w:bookmarkStart w:id="1558" w:name="_Toc329262490"/>
      <w:bookmarkStart w:id="1559" w:name="_Toc329852395"/>
      <w:bookmarkStart w:id="1560" w:name="_Toc331766311"/>
      <w:bookmarkStart w:id="1561" w:name="_Toc332119106"/>
      <w:bookmarkStart w:id="1562" w:name="_Toc334088788"/>
      <w:bookmarkStart w:id="1563" w:name="_Toc334089024"/>
      <w:bookmarkStart w:id="1564" w:name="_Toc334089183"/>
      <w:bookmarkStart w:id="1565" w:name="_Toc334089294"/>
      <w:bookmarkStart w:id="1566" w:name="_Toc334089458"/>
      <w:bookmarkStart w:id="1567" w:name="_Toc335839031"/>
      <w:bookmarkStart w:id="1568" w:name="_Toc336268594"/>
      <w:bookmarkStart w:id="1569" w:name="_Toc336268702"/>
      <w:bookmarkStart w:id="1570" w:name="_Toc336268809"/>
      <w:bookmarkStart w:id="1571" w:name="_Toc336269023"/>
      <w:bookmarkStart w:id="1572" w:name="_Toc336269130"/>
      <w:bookmarkStart w:id="1573" w:name="_Toc336269498"/>
      <w:bookmarkStart w:id="1574" w:name="_Toc336269644"/>
      <w:bookmarkStart w:id="1575" w:name="_Toc336270057"/>
      <w:bookmarkStart w:id="1576" w:name="_Toc336271263"/>
      <w:bookmarkStart w:id="1577" w:name="_Toc337651958"/>
      <w:bookmarkStart w:id="1578" w:name="_Toc349577146"/>
      <w:bookmarkStart w:id="1579" w:name="_Toc349579238"/>
      <w:bookmarkStart w:id="1580" w:name="_Toc349580553"/>
      <w:bookmarkStart w:id="1581" w:name="_Toc349734961"/>
      <w:bookmarkStart w:id="1582" w:name="_Toc349742326"/>
      <w:r w:rsidRPr="00B53FFB">
        <w:rPr>
          <w:sz w:val="22"/>
          <w:szCs w:val="22"/>
        </w:rPr>
        <w:t>Non-Regulatory Entry and Exit Conditions</w:t>
      </w:r>
      <w:bookmarkEnd w:id="1536"/>
      <w:bookmarkEnd w:id="1537"/>
      <w:bookmarkEnd w:id="1538"/>
      <w:bookmarkEnd w:id="1539"/>
      <w:bookmarkEnd w:id="1540"/>
      <w:bookmarkEnd w:id="1541"/>
      <w:bookmarkEnd w:id="1542"/>
      <w:bookmarkEnd w:id="1543"/>
      <w:bookmarkEnd w:id="1544"/>
      <w:bookmarkEnd w:id="1545"/>
      <w:bookmarkEnd w:id="1546"/>
      <w:bookmarkEnd w:id="1547"/>
      <w:bookmarkEnd w:id="1548"/>
      <w:bookmarkEnd w:id="1549"/>
      <w:bookmarkEnd w:id="1550"/>
      <w:bookmarkEnd w:id="1551"/>
      <w:bookmarkEnd w:id="1552"/>
      <w:bookmarkEnd w:id="1553"/>
      <w:bookmarkEnd w:id="1554"/>
      <w:bookmarkEnd w:id="1555"/>
      <w:bookmarkEnd w:id="1556"/>
      <w:bookmarkEnd w:id="1557"/>
      <w:bookmarkEnd w:id="1558"/>
      <w:bookmarkEnd w:id="1559"/>
      <w:bookmarkEnd w:id="1560"/>
      <w:bookmarkEnd w:id="1561"/>
      <w:bookmarkEnd w:id="1562"/>
      <w:bookmarkEnd w:id="1563"/>
      <w:bookmarkEnd w:id="1564"/>
      <w:bookmarkEnd w:id="1565"/>
      <w:bookmarkEnd w:id="1566"/>
      <w:bookmarkEnd w:id="1567"/>
      <w:bookmarkEnd w:id="1568"/>
      <w:bookmarkEnd w:id="1569"/>
      <w:bookmarkEnd w:id="1570"/>
      <w:bookmarkEnd w:id="1571"/>
      <w:bookmarkEnd w:id="1572"/>
      <w:bookmarkEnd w:id="1573"/>
      <w:bookmarkEnd w:id="1574"/>
      <w:bookmarkEnd w:id="1575"/>
      <w:bookmarkEnd w:id="1576"/>
      <w:bookmarkEnd w:id="1577"/>
      <w:bookmarkEnd w:id="1578"/>
      <w:bookmarkEnd w:id="1579"/>
      <w:bookmarkEnd w:id="1580"/>
      <w:bookmarkEnd w:id="1581"/>
      <w:bookmarkEnd w:id="1582"/>
    </w:p>
    <w:p w:rsidR="004A147C" w:rsidRPr="00B53FFB" w:rsidRDefault="004A147C" w:rsidP="00CE5850">
      <w:pPr>
        <w:pStyle w:val="ParaNum"/>
        <w:numPr>
          <w:ilvl w:val="0"/>
          <w:numId w:val="28"/>
        </w:numPr>
        <w:rPr>
          <w:sz w:val="22"/>
          <w:szCs w:val="22"/>
        </w:rPr>
      </w:pPr>
      <w:r w:rsidRPr="00B53FFB">
        <w:rPr>
          <w:sz w:val="22"/>
          <w:szCs w:val="22"/>
        </w:rPr>
        <w:t xml:space="preserve">Non-regulatory entry and exit conditions are market conditions that directly affect a firm’s ability to enter into or exit from a market.  </w:t>
      </w:r>
      <w:r w:rsidRPr="00B53FFB">
        <w:rPr>
          <w:sz w:val="22"/>
          <w:szCs w:val="22"/>
          <w:lang w:eastAsia="zh-CN"/>
        </w:rPr>
        <w:t>The major sources of market-determined entry costs that affect the propensity to enter include: (1) the cost of acquiring spectrum licenses or spectrum leases; (2) network coverage costs such as site acquisition and preparation costs, site construction and leasing costs, network equipment costs, backhaul transport costs</w:t>
      </w:r>
      <w:r w:rsidRPr="00B53FFB">
        <w:rPr>
          <w:rStyle w:val="FootnoteReference"/>
          <w:szCs w:val="22"/>
          <w:lang w:eastAsia="zh-CN"/>
        </w:rPr>
        <w:footnoteReference w:id="238"/>
      </w:r>
      <w:r w:rsidRPr="00B53FFB">
        <w:rPr>
          <w:sz w:val="22"/>
          <w:szCs w:val="22"/>
          <w:lang w:eastAsia="zh-CN"/>
        </w:rPr>
        <w:t xml:space="preserve"> and other potential interconnection and roaming costs; (3) the costs of offering customers a portfolio of attractive wireless devices; and (4) the costs of marketing and distributing wireless services and devices.  O</w:t>
      </w:r>
      <w:r w:rsidRPr="00B53FFB">
        <w:rPr>
          <w:sz w:val="22"/>
          <w:szCs w:val="22"/>
        </w:rPr>
        <w:t>n the demand side, population, population density, income, other socioeconomic variables, and macroeconomic conditions affect the service revenue projections of potential entrants.  The market-determined entry conditions factor into an entrant’s expected post-entry market profitability.  Expected post-entry market profitability also depends on market growth projections, market supply and capacity projections, and the intensity of inter-firm rivalry, including the level of price competition and the extent of product differentiation.</w:t>
      </w:r>
      <w:r w:rsidRPr="00B53FFB">
        <w:rPr>
          <w:rStyle w:val="FootnoteReference"/>
          <w:szCs w:val="22"/>
        </w:rPr>
        <w:footnoteReference w:id="239"/>
      </w:r>
      <w:r w:rsidRPr="00B53FFB">
        <w:rPr>
          <w:sz w:val="22"/>
          <w:szCs w:val="22"/>
        </w:rPr>
        <w:t xml:space="preserve">  </w:t>
      </w:r>
    </w:p>
    <w:p w:rsidR="004A147C" w:rsidRPr="00B53FFB" w:rsidRDefault="004A147C" w:rsidP="00CE5850">
      <w:pPr>
        <w:pStyle w:val="ParaNum"/>
        <w:numPr>
          <w:ilvl w:val="0"/>
          <w:numId w:val="28"/>
        </w:numPr>
        <w:rPr>
          <w:sz w:val="22"/>
          <w:szCs w:val="22"/>
        </w:rPr>
      </w:pPr>
      <w:r>
        <w:rPr>
          <w:sz w:val="22"/>
          <w:szCs w:val="22"/>
        </w:rPr>
        <w:t>Market-determ</w:t>
      </w:r>
      <w:r w:rsidRPr="00B53FFB">
        <w:rPr>
          <w:sz w:val="22"/>
          <w:szCs w:val="22"/>
        </w:rPr>
        <w:t xml:space="preserve">ined entry conditions, like regulatory entry conditions, can affect both </w:t>
      </w:r>
      <w:r w:rsidRPr="00B53FFB">
        <w:rPr>
          <w:i/>
          <w:sz w:val="22"/>
          <w:szCs w:val="22"/>
        </w:rPr>
        <w:t>if</w:t>
      </w:r>
      <w:r w:rsidRPr="00B53FFB">
        <w:rPr>
          <w:sz w:val="22"/>
          <w:szCs w:val="22"/>
        </w:rPr>
        <w:t xml:space="preserve"> entry will occur and </w:t>
      </w:r>
      <w:r w:rsidRPr="00B53FFB">
        <w:rPr>
          <w:i/>
          <w:sz w:val="22"/>
          <w:szCs w:val="22"/>
        </w:rPr>
        <w:t>when</w:t>
      </w:r>
      <w:r w:rsidRPr="00B53FFB">
        <w:rPr>
          <w:sz w:val="22"/>
          <w:szCs w:val="22"/>
        </w:rPr>
        <w:t xml:space="preserve"> entry will occur.  Entry costs, on a per subscriber basis, are significant in the mobile wireless industry, although they are generally lower than in the wireline industry.</w:t>
      </w:r>
      <w:r w:rsidRPr="00B53FFB">
        <w:rPr>
          <w:rStyle w:val="FootnoteReference"/>
          <w:szCs w:val="22"/>
        </w:rPr>
        <w:footnoteReference w:id="240"/>
      </w:r>
      <w:r w:rsidRPr="00B53FFB">
        <w:rPr>
          <w:sz w:val="22"/>
          <w:szCs w:val="22"/>
        </w:rPr>
        <w:t xml:space="preserve">  A high level of network deployment costs (a type of fixed cost</w:t>
      </w:r>
      <w:r w:rsidRPr="00B53FFB">
        <w:rPr>
          <w:rStyle w:val="FootnoteReference"/>
          <w:szCs w:val="22"/>
        </w:rPr>
        <w:t xml:space="preserve"> </w:t>
      </w:r>
      <w:r w:rsidRPr="00B53FFB">
        <w:rPr>
          <w:rStyle w:val="FootnoteReference"/>
          <w:szCs w:val="22"/>
        </w:rPr>
        <w:footnoteReference w:id="241"/>
      </w:r>
      <w:r w:rsidRPr="00B53FFB">
        <w:rPr>
          <w:sz w:val="22"/>
          <w:szCs w:val="22"/>
        </w:rPr>
        <w:t xml:space="preserve"> of building network capacity) in relation to the number of customers may limit the number of firms that can enter and survive in a market.</w:t>
      </w:r>
      <w:r w:rsidRPr="00B53FFB">
        <w:rPr>
          <w:rStyle w:val="FootnoteReference"/>
          <w:szCs w:val="22"/>
        </w:rPr>
        <w:footnoteReference w:id="242"/>
      </w:r>
      <w:r w:rsidRPr="00B53FFB">
        <w:rPr>
          <w:sz w:val="22"/>
          <w:szCs w:val="22"/>
        </w:rPr>
        <w:t xml:space="preserve">  For example, areas with a low population density tend to have fewer facilities-based competitors (and higher concentration) than areas that have a high population density.</w:t>
      </w:r>
      <w:r w:rsidRPr="00B53FFB">
        <w:rPr>
          <w:rStyle w:val="FootnoteReference"/>
          <w:szCs w:val="22"/>
        </w:rPr>
        <w:footnoteReference w:id="243"/>
      </w:r>
      <w:r w:rsidRPr="00B53FFB">
        <w:rPr>
          <w:sz w:val="22"/>
          <w:szCs w:val="22"/>
        </w:rPr>
        <w:t xml:space="preserve">  For an entrant to survive in the market, the market must be large enough, and profits high enough, for a potential entrant to recoup its network deployment costs over time from service revenues.  Costs that delay entry, sometimes referred to as “adjustment costs,” are relevant for estimating exactly when entry will occur.</w:t>
      </w:r>
      <w:r w:rsidRPr="00B53FFB">
        <w:rPr>
          <w:rStyle w:val="FootnoteReference"/>
          <w:szCs w:val="22"/>
        </w:rPr>
        <w:t xml:space="preserve"> </w:t>
      </w:r>
      <w:r w:rsidRPr="00B53FFB">
        <w:rPr>
          <w:rStyle w:val="FootnoteReference"/>
          <w:szCs w:val="22"/>
        </w:rPr>
        <w:footnoteReference w:id="244"/>
      </w:r>
      <w:r w:rsidRPr="00B53FFB">
        <w:rPr>
          <w:sz w:val="22"/>
          <w:szCs w:val="22"/>
        </w:rPr>
        <w:t xml:space="preserve">  One role of competition policy is to estimate how the timing of entry depends on various costs and to determine whether there are any relevant regulatory policy tools that can reduce entry delay.</w:t>
      </w:r>
      <w:r w:rsidRPr="00B53FFB">
        <w:rPr>
          <w:rStyle w:val="FootnoteReference"/>
          <w:szCs w:val="22"/>
        </w:rPr>
        <w:footnoteReference w:id="245"/>
      </w:r>
      <w:r w:rsidRPr="00B53FFB">
        <w:rPr>
          <w:sz w:val="22"/>
          <w:szCs w:val="22"/>
        </w:rPr>
        <w:t xml:space="preserve">  Below, we briefly discuss the major costs of setting up a network and gaining a customer base.</w:t>
      </w:r>
    </w:p>
    <w:p w:rsidR="004A147C" w:rsidRPr="00B53FFB" w:rsidRDefault="004A147C" w:rsidP="00CE5850">
      <w:pPr>
        <w:pStyle w:val="ParaNum"/>
        <w:numPr>
          <w:ilvl w:val="0"/>
          <w:numId w:val="28"/>
        </w:numPr>
        <w:rPr>
          <w:sz w:val="22"/>
          <w:szCs w:val="22"/>
        </w:rPr>
      </w:pPr>
      <w:r w:rsidRPr="00B53FFB">
        <w:rPr>
          <w:i/>
          <w:sz w:val="22"/>
          <w:szCs w:val="22"/>
        </w:rPr>
        <w:t>Spectrum</w:t>
      </w:r>
      <w:r w:rsidRPr="00B53FFB">
        <w:rPr>
          <w:sz w:val="22"/>
          <w:szCs w:val="22"/>
          <w:lang w:eastAsia="zh-CN"/>
        </w:rPr>
        <w:t>.  A potential facilities-based entrant to a wireless service market can obtain spectrum in several ways including purchasing licenses at Commission auctions, purchasing licenses in the secondary market, and leasing spectrum in the secondary market.</w:t>
      </w:r>
      <w:r w:rsidRPr="00B53FFB">
        <w:rPr>
          <w:rStyle w:val="FootnoteReference"/>
          <w:szCs w:val="22"/>
          <w:lang w:eastAsia="zh-CN"/>
        </w:rPr>
        <w:footnoteReference w:id="246"/>
      </w:r>
      <w:r w:rsidRPr="00B53FFB">
        <w:rPr>
          <w:sz w:val="22"/>
          <w:szCs w:val="22"/>
          <w:lang w:eastAsia="zh-CN"/>
        </w:rPr>
        <w:t xml:space="preserve">  For instance, in two major spectrum auctions in 2006 and 2008, the average price ranged from $0.53/MHz-POP for the AWS-1 (Advanced Wireless Service) band (1700/2100 MHz band) in Auction 66 to $1.28/MHz-POP for the 700 MHz band in Auction 73.</w:t>
      </w:r>
      <w:r w:rsidRPr="00B53FFB">
        <w:rPr>
          <w:rStyle w:val="FootnoteReference"/>
          <w:szCs w:val="22"/>
          <w:lang w:eastAsia="zh-CN"/>
        </w:rPr>
        <w:footnoteReference w:id="247"/>
      </w:r>
      <w:r w:rsidRPr="00B53FFB">
        <w:rPr>
          <w:sz w:val="22"/>
          <w:szCs w:val="22"/>
          <w:lang w:eastAsia="zh-CN"/>
        </w:rPr>
        <w:t xml:space="preserve">  At these prices, aggregating a significant regional spectrum footprint would involve an outlay of hundreds of millions of dollars and a national footprint would require billions of dollars.  Additional information about spectrum can be found in Section </w:t>
      </w:r>
      <w:r w:rsidR="00951E9B">
        <w:fldChar w:fldCharType="begin"/>
      </w:r>
      <w:r w:rsidR="00951E9B">
        <w:instrText xml:space="preserve"> REF _Ref336859194 \w  \* MERGEFORMAT </w:instrText>
      </w:r>
      <w:r w:rsidR="00951E9B">
        <w:fldChar w:fldCharType="separate"/>
      </w:r>
      <w:r w:rsidR="00CA3AC6" w:rsidRPr="00CA3AC6">
        <w:rPr>
          <w:sz w:val="22"/>
          <w:szCs w:val="22"/>
          <w:lang w:eastAsia="zh-CN"/>
        </w:rPr>
        <w:t>III.F</w:t>
      </w:r>
      <w:r w:rsidR="00951E9B">
        <w:rPr>
          <w:sz w:val="22"/>
          <w:szCs w:val="22"/>
          <w:lang w:eastAsia="zh-CN"/>
        </w:rPr>
        <w:fldChar w:fldCharType="end"/>
      </w:r>
      <w:r w:rsidRPr="00B53FFB">
        <w:rPr>
          <w:sz w:val="22"/>
          <w:szCs w:val="22"/>
          <w:lang w:eastAsia="zh-CN"/>
        </w:rPr>
        <w:t xml:space="preserve">. </w:t>
      </w:r>
    </w:p>
    <w:p w:rsidR="004A147C" w:rsidRPr="00B53FFB" w:rsidRDefault="004A147C" w:rsidP="00CE5850">
      <w:pPr>
        <w:pStyle w:val="ParaNum"/>
        <w:numPr>
          <w:ilvl w:val="0"/>
          <w:numId w:val="28"/>
        </w:numPr>
        <w:rPr>
          <w:sz w:val="22"/>
          <w:szCs w:val="22"/>
        </w:rPr>
      </w:pPr>
      <w:r w:rsidRPr="00B53FFB">
        <w:rPr>
          <w:i/>
          <w:sz w:val="22"/>
          <w:szCs w:val="22"/>
        </w:rPr>
        <w:t>Network Coverage</w:t>
      </w:r>
      <w:r w:rsidRPr="00B53FFB">
        <w:rPr>
          <w:sz w:val="22"/>
          <w:szCs w:val="22"/>
        </w:rPr>
        <w:t>.  T</w:t>
      </w:r>
      <w:r w:rsidRPr="00B53FFB">
        <w:rPr>
          <w:sz w:val="22"/>
          <w:szCs w:val="22"/>
          <w:lang w:eastAsia="zh-CN"/>
        </w:rPr>
        <w:t>o create a customer base, a new facilities-based entrant must provide network coverage that is sufficient to attract new customers, including enticing customers to switch from their existing service providers.</w:t>
      </w:r>
      <w:r w:rsidRPr="00B53FFB">
        <w:rPr>
          <w:rStyle w:val="FootnoteReference"/>
          <w:szCs w:val="22"/>
          <w:lang w:eastAsia="zh-CN"/>
        </w:rPr>
        <w:footnoteReference w:id="248"/>
      </w:r>
      <w:r w:rsidRPr="00B53FFB">
        <w:rPr>
          <w:sz w:val="22"/>
          <w:szCs w:val="22"/>
          <w:lang w:eastAsia="zh-CN"/>
        </w:rPr>
        <w:t xml:space="preserve">  Major network deployment costs include cell site acquisition, preparation, engineering, and construction.  N</w:t>
      </w:r>
      <w:r w:rsidRPr="00B53FFB">
        <w:rPr>
          <w:sz w:val="22"/>
          <w:szCs w:val="22"/>
        </w:rPr>
        <w:t>etwork cost studies analyze cost scenarios under diverse sets of assumptions.  One network cost study estimates that the total capital cost of deploying a single cell site, on average, can be upwards of $200,000.</w:t>
      </w:r>
      <w:r w:rsidRPr="00B53FFB">
        <w:rPr>
          <w:rStyle w:val="FootnoteReference"/>
          <w:szCs w:val="22"/>
          <w:lang w:eastAsia="zh-CN"/>
        </w:rPr>
        <w:footnoteReference w:id="249"/>
      </w:r>
      <w:r w:rsidRPr="00B53FFB">
        <w:rPr>
          <w:sz w:val="22"/>
          <w:szCs w:val="22"/>
        </w:rPr>
        <w:t xml:space="preserve">  </w:t>
      </w:r>
      <w:r w:rsidRPr="00B53FFB">
        <w:rPr>
          <w:sz w:val="22"/>
          <w:szCs w:val="22"/>
          <w:lang w:eastAsia="zh-CN"/>
        </w:rPr>
        <w:t>Regional wireless providers typically have hundreds or thousands of sites and national providers have tens of thousands of sites.  A new entrant would therefore need to invest tens or hundreds of millions of dollars in capital expense for a regional network (depending on the size of the regions) and billions of dollars for a national network.  We note that roaming on competitors’ networks can offer entrants access to greater network coverage while they are deploying their own networks.  Service providers, including new e</w:t>
      </w:r>
      <w:r w:rsidRPr="00B53FFB">
        <w:rPr>
          <w:sz w:val="22"/>
          <w:szCs w:val="22"/>
        </w:rPr>
        <w:t>ntrants to a mobile wireless market that typically deploy their planned networks gradually, may seek access to networks besides their own in order to achieve a competitive level of coverage while their network is being built out.  Roaming can increase network coverage by allowing the entrant’s customers to have network coverage when they travel outside of the range of the entrant’s own network.</w:t>
      </w:r>
      <w:r w:rsidRPr="00B53FFB">
        <w:rPr>
          <w:rStyle w:val="FootnoteReference"/>
          <w:szCs w:val="22"/>
        </w:rPr>
        <w:footnoteReference w:id="250"/>
      </w:r>
      <w:r w:rsidRPr="00B53FFB">
        <w:rPr>
          <w:sz w:val="22"/>
          <w:szCs w:val="22"/>
        </w:rPr>
        <w:t xml:space="preserve">  </w:t>
      </w:r>
    </w:p>
    <w:p w:rsidR="004A147C" w:rsidRPr="00B53FFB" w:rsidRDefault="004A147C" w:rsidP="00CE5850">
      <w:pPr>
        <w:pStyle w:val="ParaNum"/>
        <w:numPr>
          <w:ilvl w:val="0"/>
          <w:numId w:val="28"/>
        </w:numPr>
        <w:rPr>
          <w:sz w:val="22"/>
          <w:szCs w:val="22"/>
        </w:rPr>
      </w:pPr>
      <w:r w:rsidRPr="00B53FFB">
        <w:rPr>
          <w:sz w:val="22"/>
          <w:szCs w:val="22"/>
        </w:rPr>
        <w:t>Entrants often use backhaul provided by other firms, especially if construction of separate backhaul facilities is not cost-justified given the size of the market.  B</w:t>
      </w:r>
      <w:r w:rsidRPr="00B53FFB">
        <w:rPr>
          <w:sz w:val="22"/>
          <w:szCs w:val="22"/>
          <w:lang w:eastAsia="zh-CN"/>
        </w:rPr>
        <w:t>ackhaul can be a significant cost for new entrants.  Estimates of average monthly costs range from hundreds of dollars (for a T1 line) to $6,000.</w:t>
      </w:r>
      <w:r w:rsidRPr="00B53FFB">
        <w:rPr>
          <w:rStyle w:val="FootnoteReference"/>
          <w:szCs w:val="22"/>
          <w:lang w:eastAsia="zh-CN"/>
        </w:rPr>
        <w:footnoteReference w:id="251"/>
      </w:r>
      <w:r w:rsidRPr="00B53FFB">
        <w:rPr>
          <w:sz w:val="22"/>
          <w:szCs w:val="22"/>
          <w:lang w:eastAsia="zh-CN"/>
        </w:rPr>
        <w:t xml:space="preserve">  </w:t>
      </w:r>
      <w:r w:rsidRPr="00B53FFB">
        <w:rPr>
          <w:sz w:val="22"/>
          <w:szCs w:val="22"/>
        </w:rPr>
        <w:t>The</w:t>
      </w:r>
      <w:r w:rsidRPr="00B53FFB">
        <w:rPr>
          <w:sz w:val="22"/>
          <w:szCs w:val="22"/>
          <w:lang w:eastAsia="zh-CN"/>
        </w:rPr>
        <w:t xml:space="preserve"> costs can vary widely by market and provider, and </w:t>
      </w:r>
      <w:r w:rsidRPr="00B53FFB">
        <w:rPr>
          <w:sz w:val="22"/>
          <w:szCs w:val="22"/>
        </w:rPr>
        <w:t xml:space="preserve">may affect the ability of entrants to compete successfully.  </w:t>
      </w:r>
      <w:r w:rsidRPr="00B53FFB">
        <w:rPr>
          <w:sz w:val="22"/>
          <w:szCs w:val="22"/>
          <w:lang w:eastAsia="zh-CN"/>
        </w:rPr>
        <w:t>Overall cell site and backhaul costs also depend on the spectrum held by new entrants.</w:t>
      </w:r>
      <w:r w:rsidRPr="00B53FFB">
        <w:rPr>
          <w:rStyle w:val="FootnoteReference"/>
          <w:szCs w:val="22"/>
        </w:rPr>
        <w:footnoteReference w:id="252"/>
      </w:r>
      <w:r w:rsidRPr="00B53FFB">
        <w:rPr>
          <w:sz w:val="22"/>
          <w:szCs w:val="22"/>
          <w:lang w:eastAsia="zh-CN"/>
        </w:rPr>
        <w:t xml:space="preserve">  </w:t>
      </w:r>
      <w:r w:rsidRPr="00B53FFB">
        <w:rPr>
          <w:sz w:val="22"/>
          <w:szCs w:val="22"/>
        </w:rPr>
        <w:t>For instance, a</w:t>
      </w:r>
      <w:r w:rsidRPr="00B53FFB">
        <w:rPr>
          <w:sz w:val="22"/>
          <w:szCs w:val="22"/>
          <w:lang w:eastAsia="zh-CN"/>
        </w:rPr>
        <w:t xml:space="preserve"> new entrant with more </w:t>
      </w:r>
      <w:r w:rsidRPr="00B53FFB">
        <w:rPr>
          <w:rStyle w:val="Emphasis"/>
          <w:i w:val="0"/>
          <w:sz w:val="22"/>
          <w:szCs w:val="22"/>
        </w:rPr>
        <w:t xml:space="preserve">spectrum bandwidth would </w:t>
      </w:r>
      <w:r w:rsidRPr="00B53FFB">
        <w:rPr>
          <w:rStyle w:val="Emphasis"/>
          <w:i w:val="0"/>
          <w:sz w:val="22"/>
          <w:szCs w:val="22"/>
          <w:lang w:eastAsia="zh-CN"/>
        </w:rPr>
        <w:t>be able to reduce its cell site and backhaul costs by deploying f</w:t>
      </w:r>
      <w:r w:rsidRPr="00B53FFB">
        <w:rPr>
          <w:rStyle w:val="Emphasis"/>
          <w:i w:val="0"/>
          <w:sz w:val="22"/>
          <w:szCs w:val="22"/>
        </w:rPr>
        <w:t xml:space="preserve">ewer </w:t>
      </w:r>
      <w:r w:rsidRPr="00B53FFB">
        <w:rPr>
          <w:rStyle w:val="Emphasis"/>
          <w:i w:val="0"/>
          <w:sz w:val="22"/>
          <w:szCs w:val="22"/>
          <w:lang w:eastAsia="zh-CN"/>
        </w:rPr>
        <w:t xml:space="preserve">cell </w:t>
      </w:r>
      <w:r w:rsidRPr="00B53FFB">
        <w:rPr>
          <w:rStyle w:val="Emphasis"/>
          <w:i w:val="0"/>
          <w:sz w:val="22"/>
          <w:szCs w:val="22"/>
        </w:rPr>
        <w:t xml:space="preserve">sites </w:t>
      </w:r>
      <w:r w:rsidRPr="00B53FFB">
        <w:rPr>
          <w:rStyle w:val="Emphasis"/>
          <w:i w:val="0"/>
          <w:sz w:val="22"/>
          <w:szCs w:val="22"/>
          <w:lang w:eastAsia="zh-CN"/>
        </w:rPr>
        <w:t xml:space="preserve">and potentially fewer backhaul transmission lines for </w:t>
      </w:r>
      <w:r w:rsidRPr="00B53FFB">
        <w:rPr>
          <w:rStyle w:val="Emphasis"/>
          <w:i w:val="0"/>
          <w:sz w:val="22"/>
          <w:szCs w:val="22"/>
        </w:rPr>
        <w:t xml:space="preserve">a given traffic volume.  </w:t>
      </w:r>
      <w:r w:rsidRPr="00B53FFB">
        <w:rPr>
          <w:rStyle w:val="Emphasis"/>
          <w:i w:val="0"/>
          <w:sz w:val="22"/>
          <w:szCs w:val="22"/>
          <w:lang w:eastAsia="zh-CN"/>
        </w:rPr>
        <w:t xml:space="preserve">Additionally, </w:t>
      </w:r>
      <w:r w:rsidRPr="00B53FFB">
        <w:rPr>
          <w:kern w:val="0"/>
          <w:sz w:val="22"/>
          <w:szCs w:val="22"/>
          <w:lang w:eastAsia="zh-CN"/>
        </w:rPr>
        <w:t xml:space="preserve">a new entrant </w:t>
      </w:r>
      <w:r w:rsidRPr="00B53FFB">
        <w:rPr>
          <w:rStyle w:val="Emphasis"/>
          <w:i w:val="0"/>
          <w:iCs/>
          <w:sz w:val="22"/>
          <w:szCs w:val="22"/>
        </w:rPr>
        <w:t>utilizing spectrum only in higher frequency bands may need to deploy more infrastructure, including</w:t>
      </w:r>
      <w:r w:rsidRPr="00B53FFB">
        <w:rPr>
          <w:rStyle w:val="Emphasis"/>
          <w:i w:val="0"/>
          <w:iCs/>
          <w:sz w:val="22"/>
          <w:szCs w:val="22"/>
          <w:lang w:eastAsia="zh-CN"/>
        </w:rPr>
        <w:t xml:space="preserve"> cell sites</w:t>
      </w:r>
      <w:r w:rsidRPr="00B53FFB">
        <w:rPr>
          <w:rStyle w:val="Emphasis"/>
          <w:i w:val="0"/>
          <w:iCs/>
          <w:sz w:val="22"/>
          <w:szCs w:val="22"/>
        </w:rPr>
        <w:t xml:space="preserve"> to cover the same land area</w:t>
      </w:r>
      <w:r w:rsidRPr="00B53FFB">
        <w:rPr>
          <w:rStyle w:val="Emphasis"/>
          <w:i w:val="0"/>
          <w:iCs/>
          <w:sz w:val="22"/>
          <w:szCs w:val="22"/>
          <w:lang w:eastAsia="zh-CN"/>
        </w:rPr>
        <w:t xml:space="preserve"> and therefore incur higher cell site costs, compared to providers using lower band spectrum.</w:t>
      </w:r>
      <w:r w:rsidRPr="00B53FFB">
        <w:rPr>
          <w:kern w:val="0"/>
          <w:sz w:val="22"/>
          <w:szCs w:val="22"/>
        </w:rPr>
        <w:t xml:space="preserve">  </w:t>
      </w:r>
      <w:r w:rsidRPr="00B53FFB">
        <w:rPr>
          <w:sz w:val="22"/>
          <w:szCs w:val="22"/>
          <w:lang w:eastAsia="zh-CN"/>
        </w:rPr>
        <w:t>Additional discussions on cell site deployment and backhaul facilities can be found in Section VII.A.</w:t>
      </w:r>
    </w:p>
    <w:p w:rsidR="004A147C" w:rsidRPr="00B53FFB" w:rsidRDefault="004A147C" w:rsidP="00CE5850">
      <w:pPr>
        <w:pStyle w:val="ParaNum"/>
        <w:numPr>
          <w:ilvl w:val="0"/>
          <w:numId w:val="28"/>
        </w:numPr>
        <w:rPr>
          <w:sz w:val="22"/>
          <w:szCs w:val="22"/>
        </w:rPr>
      </w:pPr>
      <w:r w:rsidRPr="00B53FFB">
        <w:rPr>
          <w:i/>
          <w:sz w:val="22"/>
          <w:szCs w:val="22"/>
        </w:rPr>
        <w:t>Handsets and Devices.</w:t>
      </w:r>
      <w:r w:rsidRPr="00B53FFB">
        <w:rPr>
          <w:sz w:val="22"/>
          <w:szCs w:val="22"/>
        </w:rPr>
        <w:t xml:space="preserve">  Mobile handsets and devices are the end points of mobile wireless networks that connect consumers to the networks.  They directly affect the quality of a consumer’s mobile wireless experience and can factor into a consumer’s choice of a wireless provider.  Depending on the market strategy of the entrant, its portfolio of handsets and devices may be a significant non-price factor affecting its ability to compete for customers.  Although handset manufacturers sell many handset models to any service provider with a compatible network, some handsets and devices may be subject to exclusivity arrangements that restrict their distribution to a single service provider in the United States or they may be designed to function only in spectrum bands held by particular providers.</w:t>
      </w:r>
      <w:r w:rsidRPr="00B53FFB">
        <w:rPr>
          <w:rStyle w:val="FootnoteReference"/>
          <w:szCs w:val="22"/>
        </w:rPr>
        <w:footnoteReference w:id="253"/>
      </w:r>
      <w:r w:rsidRPr="00B53FFB">
        <w:rPr>
          <w:sz w:val="22"/>
          <w:szCs w:val="22"/>
        </w:rPr>
        <w:t xml:space="preserve">    </w:t>
      </w:r>
    </w:p>
    <w:p w:rsidR="004A147C" w:rsidRPr="00B53FFB" w:rsidRDefault="004A147C" w:rsidP="00CE5850">
      <w:pPr>
        <w:pStyle w:val="ParaNum"/>
        <w:numPr>
          <w:ilvl w:val="0"/>
          <w:numId w:val="28"/>
        </w:numPr>
        <w:rPr>
          <w:sz w:val="22"/>
          <w:szCs w:val="22"/>
        </w:rPr>
      </w:pPr>
      <w:r w:rsidRPr="00B53FFB">
        <w:rPr>
          <w:i/>
          <w:sz w:val="22"/>
          <w:szCs w:val="22"/>
        </w:rPr>
        <w:t>Marketing and Distribution</w:t>
      </w:r>
      <w:r w:rsidRPr="00B53FFB">
        <w:rPr>
          <w:sz w:val="22"/>
          <w:szCs w:val="22"/>
        </w:rPr>
        <w:t>.  The ability of a potential entrant to compete for customers is also influenced by its expenditures on marketing and the development of its Internet and non-Internet sales and distribution networks.  Marketing expenditures help to distribute product information and promote brand recognition.  Marketing expenditures are a significant factor of non-price competition in the mobile wireless industry.</w:t>
      </w:r>
      <w:r w:rsidRPr="00B53FFB">
        <w:rPr>
          <w:rStyle w:val="FootnoteReference"/>
          <w:szCs w:val="22"/>
        </w:rPr>
        <w:footnoteReference w:id="254"/>
      </w:r>
      <w:r w:rsidRPr="00B53FFB">
        <w:rPr>
          <w:sz w:val="22"/>
          <w:szCs w:val="22"/>
        </w:rPr>
        <w:t xml:space="preserve">  The size of a provider’s sales and distribution networks is one measure of the provider’s penetration of the market.  An entrant that has an existing customer base for other telecommunication services may expect to have lower expenditures on marketing, sales, and distribution than an entrant that does not have a customer base in potentially complementary telecommunications services that can be marketed in bundles.  Marketing and advertising expenditures by mobile wireless service providers are discussed below.</w:t>
      </w:r>
      <w:r w:rsidRPr="00B53FFB">
        <w:rPr>
          <w:rStyle w:val="FootnoteReference"/>
          <w:szCs w:val="22"/>
        </w:rPr>
        <w:footnoteReference w:id="255"/>
      </w:r>
    </w:p>
    <w:p w:rsidR="004A147C" w:rsidRPr="00B53FFB" w:rsidRDefault="004A147C" w:rsidP="00CE5850">
      <w:pPr>
        <w:pStyle w:val="Heading2"/>
        <w:keepNext w:val="0"/>
      </w:pPr>
      <w:bookmarkStart w:id="1583" w:name="_Toc336268595"/>
      <w:bookmarkStart w:id="1584" w:name="_Toc336268703"/>
      <w:bookmarkStart w:id="1585" w:name="_Toc336268810"/>
      <w:bookmarkStart w:id="1586" w:name="_Toc336269024"/>
      <w:bookmarkStart w:id="1587" w:name="_Toc336269131"/>
      <w:bookmarkStart w:id="1588" w:name="_Toc336269499"/>
      <w:bookmarkStart w:id="1589" w:name="_Toc336269645"/>
      <w:bookmarkStart w:id="1590" w:name="_Toc336270058"/>
      <w:bookmarkStart w:id="1591" w:name="_Ref336859194"/>
      <w:bookmarkStart w:id="1592" w:name="_Toc337651959"/>
      <w:bookmarkStart w:id="1593" w:name="_Toc349577147"/>
      <w:bookmarkStart w:id="1594" w:name="_Toc349579239"/>
      <w:bookmarkStart w:id="1595" w:name="_Toc349580554"/>
      <w:bookmarkStart w:id="1596" w:name="_Toc349734962"/>
      <w:bookmarkStart w:id="1597" w:name="_Toc349742327"/>
      <w:bookmarkStart w:id="1598" w:name="_Toc335839032"/>
      <w:r w:rsidRPr="00B53FFB">
        <w:t>Spectrum for Mobile Wireless Services</w:t>
      </w:r>
      <w:bookmarkEnd w:id="1583"/>
      <w:bookmarkEnd w:id="1584"/>
      <w:bookmarkEnd w:id="1585"/>
      <w:bookmarkEnd w:id="1586"/>
      <w:bookmarkEnd w:id="1587"/>
      <w:bookmarkEnd w:id="1588"/>
      <w:bookmarkEnd w:id="1589"/>
      <w:bookmarkEnd w:id="1590"/>
      <w:bookmarkEnd w:id="1591"/>
      <w:bookmarkEnd w:id="1592"/>
      <w:bookmarkEnd w:id="1593"/>
      <w:bookmarkEnd w:id="1594"/>
      <w:bookmarkEnd w:id="1595"/>
      <w:bookmarkEnd w:id="1596"/>
      <w:bookmarkEnd w:id="1597"/>
      <w:r w:rsidRPr="00B53FFB">
        <w:t xml:space="preserve">  </w:t>
      </w:r>
    </w:p>
    <w:p w:rsidR="004A147C" w:rsidRPr="00320D1B" w:rsidRDefault="004A147C" w:rsidP="00CE5850">
      <w:pPr>
        <w:pStyle w:val="ParaNum"/>
        <w:numPr>
          <w:ilvl w:val="0"/>
          <w:numId w:val="28"/>
        </w:numPr>
        <w:rPr>
          <w:sz w:val="22"/>
          <w:szCs w:val="22"/>
        </w:rPr>
      </w:pPr>
      <w:r w:rsidRPr="00320D1B">
        <w:rPr>
          <w:sz w:val="22"/>
          <w:szCs w:val="22"/>
        </w:rPr>
        <w:t>As discussed above, spectrum is a key input for the provision of mobile wireless services, and spectrum policy affects if and when existing providers and potential entrants will be able to build out networks or expand capacity.  Because spectrum plays such a significant role in the mobile wireless industry, and because the Commission has primary responsibility for overseeing spectrum availability, allocation, and holdings, this section will highlight the role of spectrum as an entry condition.  Other inputs in the mobile wireless industry, including infrastructure and backhaul, are discussed in Section VII below.  First, we briefly describe the Commission’s allocation and licensing of commercial wireless spectrum that is used for the provision of mobile voice and data services.  We then provide an overview of the overall spectrum holdings among different providers.  We also discuss the relative advantages of spectrum in different frequency bands for providing broadband service.</w:t>
      </w:r>
    </w:p>
    <w:p w:rsidR="004A147C" w:rsidRPr="00B53FFB" w:rsidRDefault="004A147C" w:rsidP="00CE5850">
      <w:pPr>
        <w:pStyle w:val="Heading3"/>
        <w:keepNext w:val="0"/>
        <w:numPr>
          <w:ilvl w:val="2"/>
          <w:numId w:val="26"/>
        </w:numPr>
        <w:tabs>
          <w:tab w:val="left" w:pos="2160"/>
        </w:tabs>
        <w:rPr>
          <w:sz w:val="22"/>
          <w:szCs w:val="22"/>
        </w:rPr>
      </w:pPr>
      <w:bookmarkStart w:id="1599" w:name="_Toc336268596"/>
      <w:bookmarkStart w:id="1600" w:name="_Toc336268704"/>
      <w:bookmarkStart w:id="1601" w:name="_Toc336268811"/>
      <w:bookmarkStart w:id="1602" w:name="_Toc336269025"/>
      <w:bookmarkStart w:id="1603" w:name="_Toc336269132"/>
      <w:bookmarkStart w:id="1604" w:name="_Toc336269500"/>
      <w:bookmarkStart w:id="1605" w:name="_Toc336269646"/>
      <w:bookmarkStart w:id="1606" w:name="_Toc336270059"/>
      <w:bookmarkStart w:id="1607" w:name="_Toc337651960"/>
      <w:bookmarkStart w:id="1608" w:name="_Toc349577148"/>
      <w:bookmarkStart w:id="1609" w:name="_Toc349579240"/>
      <w:bookmarkStart w:id="1610" w:name="_Toc349580555"/>
      <w:bookmarkStart w:id="1611" w:name="_Toc349734963"/>
      <w:bookmarkStart w:id="1612" w:name="_Toc349742328"/>
      <w:r w:rsidRPr="00B53FFB">
        <w:rPr>
          <w:sz w:val="22"/>
          <w:szCs w:val="22"/>
        </w:rPr>
        <w:t>Availability of Mobile Wireless Services Spectrum</w:t>
      </w:r>
      <w:bookmarkEnd w:id="1599"/>
      <w:bookmarkEnd w:id="1600"/>
      <w:bookmarkEnd w:id="1601"/>
      <w:bookmarkEnd w:id="1602"/>
      <w:bookmarkEnd w:id="1603"/>
      <w:bookmarkEnd w:id="1604"/>
      <w:bookmarkEnd w:id="1605"/>
      <w:bookmarkEnd w:id="1606"/>
      <w:bookmarkEnd w:id="1607"/>
      <w:bookmarkEnd w:id="1608"/>
      <w:bookmarkEnd w:id="1609"/>
      <w:bookmarkEnd w:id="1610"/>
      <w:bookmarkEnd w:id="1611"/>
      <w:bookmarkEnd w:id="1612"/>
      <w:r w:rsidRPr="00B53FFB">
        <w:rPr>
          <w:sz w:val="22"/>
          <w:szCs w:val="22"/>
        </w:rPr>
        <w:t xml:space="preserve"> </w:t>
      </w:r>
    </w:p>
    <w:p w:rsidR="004A147C" w:rsidRPr="00B53FFB" w:rsidRDefault="004A147C" w:rsidP="00CE5850">
      <w:pPr>
        <w:pStyle w:val="ParaNum"/>
        <w:numPr>
          <w:ilvl w:val="0"/>
          <w:numId w:val="28"/>
        </w:numPr>
        <w:rPr>
          <w:szCs w:val="22"/>
        </w:rPr>
      </w:pPr>
      <w:r w:rsidRPr="00320D1B">
        <w:rPr>
          <w:sz w:val="22"/>
          <w:szCs w:val="22"/>
        </w:rPr>
        <w:t>Ensuring that sufficient spectrum is available for incumbent licensees, as well as for potential entrants, is critical to promoting competition, investment, and innovation.  Incumbent licensees may need additional spectrum to increase their coverage or capacity as they grow their subscriber bases and meet increasing demand, while new entrants need access to spectrum to enter the market and compete with established licensees.  A number of commenters discuss their concerns with a lack of spectrum for mobile use, and comment that competition and innovation in the mobile market requires spectrum</w:t>
      </w:r>
      <w:r w:rsidRPr="00B53FFB">
        <w:rPr>
          <w:szCs w:val="22"/>
        </w:rPr>
        <w:t>.</w:t>
      </w:r>
      <w:r w:rsidRPr="00B53FFB">
        <w:rPr>
          <w:szCs w:val="22"/>
          <w:vertAlign w:val="superscript"/>
        </w:rPr>
        <w:footnoteReference w:id="256"/>
      </w:r>
      <w:r w:rsidRPr="00B53FFB">
        <w:rPr>
          <w:szCs w:val="22"/>
        </w:rPr>
        <w:t xml:space="preserve">  </w:t>
      </w:r>
      <w:r w:rsidRPr="00320D1B">
        <w:rPr>
          <w:sz w:val="22"/>
          <w:szCs w:val="22"/>
        </w:rPr>
        <w:t>Through the years, the Commission has increased the amount of spectrum available for the provision of mobile wireless services.  This spectrum has been made available in different frequency bands, in different bandwidths and licensing areas.</w:t>
      </w:r>
      <w:r w:rsidRPr="00B53FFB">
        <w:rPr>
          <w:szCs w:val="22"/>
        </w:rPr>
        <w:t xml:space="preserve">  </w:t>
      </w:r>
    </w:p>
    <w:p w:rsidR="004A147C" w:rsidRPr="00320D1B" w:rsidRDefault="004A147C" w:rsidP="00CE5850">
      <w:pPr>
        <w:pStyle w:val="ParaNum"/>
        <w:numPr>
          <w:ilvl w:val="0"/>
          <w:numId w:val="28"/>
        </w:numPr>
        <w:rPr>
          <w:sz w:val="22"/>
          <w:szCs w:val="22"/>
        </w:rPr>
      </w:pPr>
      <w:r w:rsidRPr="00320D1B">
        <w:rPr>
          <w:sz w:val="22"/>
          <w:szCs w:val="22"/>
        </w:rPr>
        <w:t xml:space="preserve">As noted in the </w:t>
      </w:r>
      <w:r w:rsidRPr="00320D1B">
        <w:rPr>
          <w:i/>
          <w:sz w:val="22"/>
          <w:szCs w:val="22"/>
        </w:rPr>
        <w:t>National Broadband Plan</w:t>
      </w:r>
      <w:r w:rsidRPr="00320D1B">
        <w:rPr>
          <w:sz w:val="22"/>
          <w:szCs w:val="22"/>
        </w:rPr>
        <w:t>,</w:t>
      </w:r>
      <w:r w:rsidRPr="00320D1B">
        <w:rPr>
          <w:i/>
          <w:sz w:val="22"/>
          <w:szCs w:val="22"/>
        </w:rPr>
        <w:t xml:space="preserve"> </w:t>
      </w:r>
      <w:r w:rsidRPr="00320D1B">
        <w:rPr>
          <w:sz w:val="22"/>
          <w:szCs w:val="22"/>
        </w:rPr>
        <w:t>making sufficient spectrum available to meet growing spectrum needs is integral to enabling network expansion and technology upgrades by providers</w:t>
      </w:r>
      <w:r w:rsidRPr="00B53FFB">
        <w:rPr>
          <w:szCs w:val="22"/>
        </w:rPr>
        <w:t>.</w:t>
      </w:r>
      <w:r w:rsidRPr="00B53FFB">
        <w:rPr>
          <w:szCs w:val="22"/>
          <w:vertAlign w:val="superscript"/>
        </w:rPr>
        <w:footnoteReference w:id="257"/>
      </w:r>
      <w:r w:rsidRPr="00B53FFB">
        <w:rPr>
          <w:szCs w:val="22"/>
        </w:rPr>
        <w:t xml:space="preserve">  </w:t>
      </w:r>
      <w:r w:rsidRPr="00320D1B">
        <w:rPr>
          <w:sz w:val="22"/>
          <w:szCs w:val="22"/>
        </w:rPr>
        <w:t>In the absence of sufficient spectrum, network providers must turn to costly alternatives, such as cell splitting, often with diminishing returns</w:t>
      </w:r>
      <w:r w:rsidRPr="00B53FFB">
        <w:rPr>
          <w:szCs w:val="22"/>
        </w:rPr>
        <w:t>.</w:t>
      </w:r>
      <w:r w:rsidRPr="00B53FFB">
        <w:rPr>
          <w:szCs w:val="22"/>
          <w:vertAlign w:val="superscript"/>
        </w:rPr>
        <w:footnoteReference w:id="258"/>
      </w:r>
      <w:r w:rsidRPr="00B53FFB">
        <w:rPr>
          <w:szCs w:val="22"/>
        </w:rPr>
        <w:t xml:space="preserve">  </w:t>
      </w:r>
      <w:r w:rsidRPr="00320D1B">
        <w:rPr>
          <w:sz w:val="22"/>
          <w:szCs w:val="22"/>
        </w:rPr>
        <w:t xml:space="preserve">Accordingly, the </w:t>
      </w:r>
      <w:r w:rsidRPr="00320D1B">
        <w:rPr>
          <w:i/>
          <w:sz w:val="22"/>
          <w:szCs w:val="22"/>
        </w:rPr>
        <w:t xml:space="preserve">National Broadband Plan </w:t>
      </w:r>
      <w:r w:rsidRPr="00320D1B">
        <w:rPr>
          <w:sz w:val="22"/>
          <w:szCs w:val="22"/>
        </w:rPr>
        <w:t>recommended that the Commission make 500 megahertz of spectrum newly available for broadband use within ten years, of which 300 megahertz between 225 MHz and 3.7 GHz should be made newly available for mobile use within five years</w:t>
      </w:r>
      <w:r w:rsidRPr="00B53FFB">
        <w:rPr>
          <w:szCs w:val="22"/>
        </w:rPr>
        <w:t>.</w:t>
      </w:r>
      <w:r w:rsidRPr="00B53FFB">
        <w:rPr>
          <w:szCs w:val="22"/>
          <w:vertAlign w:val="superscript"/>
        </w:rPr>
        <w:footnoteReference w:id="259"/>
      </w:r>
      <w:r w:rsidRPr="00B53FFB">
        <w:rPr>
          <w:szCs w:val="22"/>
        </w:rPr>
        <w:t xml:space="preserve">  </w:t>
      </w:r>
      <w:r w:rsidRPr="00320D1B">
        <w:rPr>
          <w:sz w:val="22"/>
          <w:szCs w:val="22"/>
        </w:rPr>
        <w:t>Furthermore, on June 28, 2010, the President issued an Executive Memorandum calling for 500 megahertz of new spectrum to be made available for wireless broadband use in the next ten years.</w:t>
      </w:r>
      <w:r w:rsidRPr="00320D1B">
        <w:rPr>
          <w:sz w:val="22"/>
          <w:szCs w:val="22"/>
          <w:vertAlign w:val="superscript"/>
        </w:rPr>
        <w:footnoteReference w:id="260"/>
      </w:r>
      <w:r w:rsidRPr="00320D1B">
        <w:rPr>
          <w:sz w:val="22"/>
          <w:szCs w:val="22"/>
        </w:rPr>
        <w:t xml:space="preserve">  Moreover, the wireless industry is undergoing a transformation from an industry providing predominantly voice services to one that is increasingly focused on providing data services, particularly mobile broadband services.  Rapid adoption of smartphones and tablet computers, wide-spread use of mobile applications, and deployment of high-speed 3G and 4G technologies are driving more intensive use of mobile networks.  </w:t>
      </w:r>
      <w:r w:rsidR="004B03EC" w:rsidRPr="00320D1B">
        <w:rPr>
          <w:sz w:val="22"/>
          <w:szCs w:val="22"/>
        </w:rPr>
        <w:t>In 2012, a</w:t>
      </w:r>
      <w:r w:rsidRPr="00320D1B">
        <w:rPr>
          <w:sz w:val="22"/>
          <w:szCs w:val="22"/>
        </w:rPr>
        <w:t xml:space="preserve"> single smartphone c</w:t>
      </w:r>
      <w:r w:rsidR="004B03EC" w:rsidRPr="00320D1B">
        <w:rPr>
          <w:sz w:val="22"/>
          <w:szCs w:val="22"/>
        </w:rPr>
        <w:t>ould</w:t>
      </w:r>
      <w:r w:rsidRPr="00320D1B">
        <w:rPr>
          <w:sz w:val="22"/>
          <w:szCs w:val="22"/>
        </w:rPr>
        <w:t xml:space="preserve"> generate as much traffic as </w:t>
      </w:r>
      <w:r w:rsidR="004B03EC" w:rsidRPr="00320D1B">
        <w:rPr>
          <w:sz w:val="22"/>
          <w:szCs w:val="22"/>
        </w:rPr>
        <w:t>50</w:t>
      </w:r>
      <w:r w:rsidRPr="00320D1B">
        <w:rPr>
          <w:sz w:val="22"/>
          <w:szCs w:val="22"/>
        </w:rPr>
        <w:t xml:space="preserve"> basic-feature phones, while a tablet c</w:t>
      </w:r>
      <w:r w:rsidR="004B03EC" w:rsidRPr="00320D1B">
        <w:rPr>
          <w:sz w:val="22"/>
          <w:szCs w:val="22"/>
        </w:rPr>
        <w:t>ould</w:t>
      </w:r>
      <w:r w:rsidRPr="00320D1B">
        <w:rPr>
          <w:sz w:val="22"/>
          <w:szCs w:val="22"/>
        </w:rPr>
        <w:t xml:space="preserve"> generate as much traffic as 12</w:t>
      </w:r>
      <w:r w:rsidR="004B03EC" w:rsidRPr="00320D1B">
        <w:rPr>
          <w:sz w:val="22"/>
          <w:szCs w:val="22"/>
        </w:rPr>
        <w:t>0</w:t>
      </w:r>
      <w:r w:rsidRPr="00320D1B">
        <w:rPr>
          <w:sz w:val="22"/>
          <w:szCs w:val="22"/>
        </w:rPr>
        <w:t xml:space="preserve"> basic-feature phones and a single laptop as much traffic as </w:t>
      </w:r>
      <w:r w:rsidR="004B03EC" w:rsidRPr="00320D1B">
        <w:rPr>
          <w:sz w:val="22"/>
          <w:szCs w:val="22"/>
        </w:rPr>
        <w:t>368</w:t>
      </w:r>
      <w:r w:rsidRPr="00320D1B">
        <w:rPr>
          <w:sz w:val="22"/>
          <w:szCs w:val="22"/>
        </w:rPr>
        <w:t xml:space="preserve"> basic-feature phones.</w:t>
      </w:r>
      <w:r w:rsidRPr="00320D1B">
        <w:rPr>
          <w:rStyle w:val="FootnoteReference"/>
          <w:szCs w:val="22"/>
        </w:rPr>
        <w:footnoteReference w:id="261"/>
      </w:r>
      <w:r w:rsidRPr="00320D1B">
        <w:rPr>
          <w:sz w:val="22"/>
          <w:szCs w:val="22"/>
        </w:rPr>
        <w:t xml:space="preserve">  The adoption of smartphones alone increased at a 50 percent annual growth rate in 2011, from 27 percent of U.S. mobile subscribers in December 2010 to nearly 42 percent in December 2011.</w:t>
      </w:r>
      <w:r w:rsidRPr="00320D1B">
        <w:rPr>
          <w:rStyle w:val="FootnoteReference"/>
          <w:szCs w:val="22"/>
        </w:rPr>
        <w:footnoteReference w:id="262"/>
      </w:r>
      <w:r w:rsidRPr="00320D1B">
        <w:rPr>
          <w:sz w:val="22"/>
          <w:szCs w:val="22"/>
        </w:rPr>
        <w:t xml:space="preserve">  In addition, global mobile data traffic is anticipated to grow </w:t>
      </w:r>
      <w:r w:rsidR="004B03EC" w:rsidRPr="00320D1B">
        <w:rPr>
          <w:sz w:val="22"/>
          <w:szCs w:val="22"/>
        </w:rPr>
        <w:t>thir</w:t>
      </w:r>
      <w:r w:rsidRPr="00320D1B">
        <w:rPr>
          <w:sz w:val="22"/>
          <w:szCs w:val="22"/>
        </w:rPr>
        <w:t>teen-fold between 201</w:t>
      </w:r>
      <w:r w:rsidR="004B03EC" w:rsidRPr="00320D1B">
        <w:rPr>
          <w:sz w:val="22"/>
          <w:szCs w:val="22"/>
        </w:rPr>
        <w:t>2</w:t>
      </w:r>
      <w:r w:rsidRPr="00320D1B">
        <w:rPr>
          <w:sz w:val="22"/>
          <w:szCs w:val="22"/>
        </w:rPr>
        <w:t xml:space="preserve"> and 201</w:t>
      </w:r>
      <w:r w:rsidR="004B03EC" w:rsidRPr="00320D1B">
        <w:rPr>
          <w:sz w:val="22"/>
          <w:szCs w:val="22"/>
        </w:rPr>
        <w:t>7</w:t>
      </w:r>
      <w:r w:rsidRPr="00320D1B">
        <w:rPr>
          <w:sz w:val="22"/>
          <w:szCs w:val="22"/>
        </w:rPr>
        <w:t>.</w:t>
      </w:r>
      <w:r w:rsidRPr="00320D1B">
        <w:rPr>
          <w:rStyle w:val="FootnoteReference"/>
          <w:szCs w:val="22"/>
        </w:rPr>
        <w:footnoteReference w:id="263"/>
      </w:r>
      <w:r w:rsidRPr="00320D1B">
        <w:rPr>
          <w:sz w:val="22"/>
          <w:szCs w:val="22"/>
        </w:rPr>
        <w:t xml:space="preserve">  A study by the Council of Economic Advisors (CEA) found that “the spectrum currently allocated to wireless is not sufficient to handle the projected growth in demand, even with technological improvements allowing for more efficient use of existing spectrum and significant investment in new facilities.”</w:t>
      </w:r>
      <w:r w:rsidRPr="00320D1B">
        <w:rPr>
          <w:rStyle w:val="FootnoteReference"/>
          <w:szCs w:val="22"/>
        </w:rPr>
        <w:footnoteReference w:id="264"/>
      </w:r>
    </w:p>
    <w:p w:rsidR="004A147C" w:rsidRPr="00320D1B" w:rsidRDefault="004A147C" w:rsidP="00CE5850">
      <w:pPr>
        <w:pStyle w:val="ParaNum"/>
        <w:numPr>
          <w:ilvl w:val="0"/>
          <w:numId w:val="28"/>
        </w:numPr>
        <w:rPr>
          <w:sz w:val="22"/>
          <w:szCs w:val="22"/>
        </w:rPr>
      </w:pPr>
      <w:r w:rsidRPr="00320D1B">
        <w:rPr>
          <w:sz w:val="22"/>
          <w:szCs w:val="22"/>
        </w:rPr>
        <w:t>In 2010, the Department of Commerce’s National Telecommunications and Information Administration (NTIA) released two complementary reports describing efforts to make additional spectrum available for mobile and fixed broadband commercial use:  a Ten-Year Plan and Timetable,</w:t>
      </w:r>
      <w:r w:rsidRPr="00320D1B">
        <w:rPr>
          <w:sz w:val="22"/>
          <w:szCs w:val="22"/>
          <w:vertAlign w:val="superscript"/>
        </w:rPr>
        <w:footnoteReference w:id="265"/>
      </w:r>
      <w:r w:rsidRPr="00320D1B">
        <w:rPr>
          <w:sz w:val="22"/>
          <w:szCs w:val="22"/>
        </w:rPr>
        <w:t xml:space="preserve"> as well as a Fast Track Evaluation report identifying 115 megahertz of spectrum to be made available within five years.</w:t>
      </w:r>
      <w:r w:rsidRPr="00320D1B">
        <w:rPr>
          <w:sz w:val="22"/>
          <w:szCs w:val="22"/>
          <w:vertAlign w:val="superscript"/>
        </w:rPr>
        <w:footnoteReference w:id="266"/>
      </w:r>
      <w:r w:rsidRPr="00320D1B">
        <w:rPr>
          <w:sz w:val="22"/>
          <w:szCs w:val="22"/>
        </w:rPr>
        <w:t xml:space="preserve">  The Ten-Year Plan and Timetable, developed in collaboration with the Commission and other Federal agencies, identifies over 2,200 megahertz of Federal and non-Federal spectrum that will be evaluated for potential opportunities for wireless broadband use.</w:t>
      </w:r>
      <w:r w:rsidRPr="00320D1B">
        <w:rPr>
          <w:sz w:val="22"/>
          <w:szCs w:val="22"/>
          <w:vertAlign w:val="superscript"/>
        </w:rPr>
        <w:footnoteReference w:id="267"/>
      </w:r>
      <w:r w:rsidRPr="00320D1B">
        <w:rPr>
          <w:sz w:val="22"/>
          <w:szCs w:val="22"/>
        </w:rPr>
        <w:t xml:space="preserve">  It also describes the process for evaluating these candidate bands and the steps necessary to make the selected spectrum available for wireless broadband services.</w:t>
      </w:r>
      <w:r w:rsidRPr="00320D1B">
        <w:rPr>
          <w:sz w:val="22"/>
          <w:szCs w:val="22"/>
          <w:vertAlign w:val="superscript"/>
        </w:rPr>
        <w:footnoteReference w:id="268"/>
      </w:r>
      <w:r w:rsidRPr="00320D1B">
        <w:rPr>
          <w:sz w:val="22"/>
          <w:szCs w:val="22"/>
        </w:rPr>
        <w:t xml:space="preserve">  In its Fast Track Evaluation report, NTIA examines four spectrum bands for potential reallocation within five years – 1675-1710 MHz, 1755-1780 MHz, 3500-3650 MHz, and 4200-4220/4380-4400 MHz – and recommends that various portions of these bands totaling 115 megahertz be made available for wireless broadband use within five years, contingent upon the allocation of resources for necessary reallocation activities.</w:t>
      </w:r>
      <w:r w:rsidRPr="00320D1B">
        <w:rPr>
          <w:sz w:val="22"/>
          <w:szCs w:val="22"/>
          <w:vertAlign w:val="superscript"/>
        </w:rPr>
        <w:footnoteReference w:id="269"/>
      </w:r>
      <w:r w:rsidRPr="00320D1B">
        <w:rPr>
          <w:sz w:val="22"/>
          <w:szCs w:val="22"/>
        </w:rPr>
        <w:t xml:space="preserve">  In a subsequent report released in March 2012, NTIA finds that 95 megahertz of spectrum at 1755-1850 MHz can be repurposed for wireless broadband use, and discusses the importance of spectrum sharing, and suggests that spectrum repurposing rely on a combination of relocating federal users and sharing spectrum between federal agencies and commercial users.</w:t>
      </w:r>
      <w:r w:rsidRPr="00320D1B">
        <w:rPr>
          <w:sz w:val="22"/>
          <w:szCs w:val="22"/>
          <w:vertAlign w:val="superscript"/>
        </w:rPr>
        <w:footnoteReference w:id="270"/>
      </w:r>
      <w:r w:rsidRPr="00320D1B">
        <w:rPr>
          <w:sz w:val="22"/>
          <w:szCs w:val="22"/>
        </w:rPr>
        <w:t xml:space="preserve">  The Commerce Spectrum Management Advisory Committee (CSMAC) advises the NTIA on spectrum policy issues and includes spectrum policy experts from within and outside the Federal government.  In May 2012, CSMAC was directed to create five working groups to consider ways to facilitate the implementation of commercial wireless broadband in the 1695-1710 MHz and 1755-1850 MHz band and to “enable the NTIA and the FCC to formulate the service rules for the band, including terms of spectrum sharing and required protections.”</w:t>
      </w:r>
      <w:r w:rsidRPr="00320D1B">
        <w:rPr>
          <w:rStyle w:val="FootnoteReference"/>
          <w:szCs w:val="22"/>
        </w:rPr>
        <w:footnoteReference w:id="271"/>
      </w:r>
      <w:r w:rsidRPr="00320D1B">
        <w:rPr>
          <w:sz w:val="22"/>
          <w:szCs w:val="22"/>
        </w:rPr>
        <w:t xml:space="preserve">   Work in these CSMAC working groups is currently on-going, and it is anticipated that the working groups provide reports to the CSMAC by early 2013.</w:t>
      </w:r>
      <w:r w:rsidRPr="00320D1B">
        <w:rPr>
          <w:rStyle w:val="FootnoteReference"/>
          <w:szCs w:val="22"/>
        </w:rPr>
        <w:footnoteReference w:id="272"/>
      </w:r>
      <w:r w:rsidRPr="00320D1B">
        <w:rPr>
          <w:sz w:val="22"/>
          <w:szCs w:val="22"/>
        </w:rPr>
        <w:t xml:space="preserve">   </w:t>
      </w:r>
    </w:p>
    <w:p w:rsidR="004A147C" w:rsidRPr="00320D1B" w:rsidRDefault="004A147C" w:rsidP="00CE5850">
      <w:pPr>
        <w:pStyle w:val="ParaNum"/>
        <w:numPr>
          <w:ilvl w:val="0"/>
          <w:numId w:val="28"/>
        </w:numPr>
        <w:rPr>
          <w:sz w:val="22"/>
          <w:szCs w:val="22"/>
        </w:rPr>
      </w:pPr>
      <w:r w:rsidRPr="00320D1B">
        <w:rPr>
          <w:sz w:val="22"/>
          <w:szCs w:val="22"/>
        </w:rPr>
        <w:t>Recent legislation has provisions that will make additional spectrum available for commercial mobile broadband services.  On February 22, 2012, President Obama signed the Middle Class Tax Relief and Job Creation Act of 2012 (Spectrum Act) into law.  The Spectrum Act addresses public safety communications and electromagnetic spectrum auctions,</w:t>
      </w:r>
      <w:r w:rsidRPr="00320D1B">
        <w:rPr>
          <w:sz w:val="22"/>
          <w:szCs w:val="22"/>
          <w:vertAlign w:val="superscript"/>
        </w:rPr>
        <w:footnoteReference w:id="273"/>
      </w:r>
      <w:r w:rsidRPr="00320D1B">
        <w:rPr>
          <w:sz w:val="22"/>
          <w:szCs w:val="22"/>
        </w:rPr>
        <w:t xml:space="preserve"> and grants the Commission the authority to conduct incentive auctions.</w:t>
      </w:r>
      <w:r w:rsidRPr="00320D1B">
        <w:rPr>
          <w:sz w:val="22"/>
          <w:szCs w:val="22"/>
          <w:vertAlign w:val="superscript"/>
        </w:rPr>
        <w:footnoteReference w:id="274"/>
      </w:r>
      <w:r w:rsidRPr="00320D1B">
        <w:rPr>
          <w:sz w:val="22"/>
          <w:szCs w:val="22"/>
        </w:rPr>
        <w:t xml:space="preserve">  Section 6403 of the Spectrum Act</w:t>
      </w:r>
      <w:r w:rsidRPr="00320D1B">
        <w:rPr>
          <w:i/>
          <w:sz w:val="22"/>
          <w:szCs w:val="22"/>
        </w:rPr>
        <w:t xml:space="preserve"> </w:t>
      </w:r>
      <w:r w:rsidRPr="00320D1B">
        <w:rPr>
          <w:sz w:val="22"/>
          <w:szCs w:val="22"/>
        </w:rPr>
        <w:t>requires the Commission to conduct a one-time incentive auction of broadcast television spectrum, and sets forth specific requirements for the auction.</w:t>
      </w:r>
      <w:r w:rsidRPr="00320D1B">
        <w:rPr>
          <w:sz w:val="22"/>
          <w:szCs w:val="22"/>
          <w:vertAlign w:val="superscript"/>
        </w:rPr>
        <w:footnoteReference w:id="275"/>
      </w:r>
      <w:r w:rsidRPr="00320D1B">
        <w:rPr>
          <w:sz w:val="22"/>
          <w:szCs w:val="22"/>
        </w:rPr>
        <w:t xml:space="preserve">  Section 6403(a)(1) directs the Commission to conduct a “reverse auction” to determine the amount of compensation that each broadcast television licensee would accept for voluntarily relinquishing some or all of its spectrum usage rights for assignment through a system of competitive bidding.</w:t>
      </w:r>
      <w:r w:rsidRPr="00320D1B">
        <w:rPr>
          <w:sz w:val="22"/>
          <w:szCs w:val="22"/>
          <w:vertAlign w:val="superscript"/>
        </w:rPr>
        <w:footnoteReference w:id="276"/>
      </w:r>
      <w:r w:rsidRPr="00320D1B">
        <w:rPr>
          <w:sz w:val="22"/>
          <w:szCs w:val="22"/>
        </w:rPr>
        <w:t xml:space="preserve">  The Spectrum Act also indicates that the Commission may “make such reassignments of television channels as the Commission considers appropriate,” and “reallocate such portions of such spectrum as the Commission determines are available for reallocation.”</w:t>
      </w:r>
      <w:r w:rsidRPr="00320D1B">
        <w:rPr>
          <w:sz w:val="22"/>
          <w:szCs w:val="22"/>
          <w:vertAlign w:val="superscript"/>
        </w:rPr>
        <w:footnoteReference w:id="277"/>
      </w:r>
      <w:r w:rsidRPr="00320D1B">
        <w:rPr>
          <w:sz w:val="22"/>
          <w:szCs w:val="22"/>
        </w:rPr>
        <w:t xml:space="preserve">  The Commission has proposed to make the recovered spectrum available for flexible use in fixed and mobile wireless communications services, including mobile broadband.</w:t>
      </w:r>
      <w:r w:rsidRPr="00320D1B">
        <w:rPr>
          <w:sz w:val="22"/>
          <w:szCs w:val="22"/>
          <w:vertAlign w:val="superscript"/>
        </w:rPr>
        <w:footnoteReference w:id="278"/>
      </w:r>
      <w:r w:rsidRPr="00320D1B">
        <w:rPr>
          <w:sz w:val="22"/>
          <w:szCs w:val="22"/>
        </w:rPr>
        <w:t xml:space="preserve">  The Commission has stated that repurposing this spectrum will serve to further address this nation’s growing demand for wireless broadband services, promote ongoing innovation and investment in mobile communications, and help to ensure that the United States keeps pace with the global wireless revolution.</w:t>
      </w:r>
      <w:r w:rsidRPr="00320D1B">
        <w:rPr>
          <w:sz w:val="22"/>
          <w:szCs w:val="22"/>
          <w:vertAlign w:val="superscript"/>
        </w:rPr>
        <w:footnoteReference w:id="279"/>
      </w:r>
      <w:r w:rsidRPr="00320D1B">
        <w:rPr>
          <w:sz w:val="22"/>
          <w:szCs w:val="22"/>
        </w:rPr>
        <w:t xml:space="preserve">  In addition to the provisions on incentive auctions and broadcast television spectrum, the Spectrum Act also requires the Commission to allocate certain spectrum for commercial use and to assign new initial licenses for its use subject to flexible use service rules within three years of enactment.</w:t>
      </w:r>
      <w:r w:rsidRPr="00320D1B">
        <w:rPr>
          <w:sz w:val="22"/>
          <w:szCs w:val="22"/>
          <w:vertAlign w:val="superscript"/>
        </w:rPr>
        <w:footnoteReference w:id="280"/>
      </w:r>
      <w:r w:rsidRPr="00320D1B">
        <w:rPr>
          <w:sz w:val="22"/>
          <w:szCs w:val="22"/>
        </w:rPr>
        <w:t xml:space="preserve">  The Spectrum Act takes other steps, including requiring the reallocation of the Upper 700 MHz D block for use by public safety.</w:t>
      </w:r>
      <w:r w:rsidRPr="00320D1B">
        <w:rPr>
          <w:sz w:val="22"/>
          <w:szCs w:val="22"/>
          <w:vertAlign w:val="superscript"/>
        </w:rPr>
        <w:footnoteReference w:id="281"/>
      </w:r>
      <w:r w:rsidRPr="00320D1B">
        <w:rPr>
          <w:sz w:val="22"/>
          <w:szCs w:val="22"/>
        </w:rPr>
        <w:t xml:space="preserve">  The Spectrum Act also requires the reallocation of the spectrum in the 470-512 MHz band that is currently used by public safety and requires the Commission to begin a system of competitive bidding to grant new initial licenses for the use of the spectrum.</w:t>
      </w:r>
      <w:r w:rsidRPr="00320D1B">
        <w:rPr>
          <w:sz w:val="22"/>
          <w:szCs w:val="22"/>
          <w:vertAlign w:val="superscript"/>
        </w:rPr>
        <w:footnoteReference w:id="282"/>
      </w:r>
    </w:p>
    <w:p w:rsidR="004A147C" w:rsidRPr="00320D1B" w:rsidRDefault="004A147C" w:rsidP="00CE5850">
      <w:pPr>
        <w:pStyle w:val="ParaNum"/>
        <w:numPr>
          <w:ilvl w:val="0"/>
          <w:numId w:val="28"/>
        </w:numPr>
        <w:rPr>
          <w:sz w:val="22"/>
          <w:szCs w:val="22"/>
        </w:rPr>
      </w:pPr>
      <w:r w:rsidRPr="00320D1B">
        <w:rPr>
          <w:sz w:val="22"/>
          <w:szCs w:val="22"/>
        </w:rPr>
        <w:t xml:space="preserve">On July 20, 2012, the President’s Council of Advisors on Science and Technology (PCAST) released a report </w:t>
      </w:r>
      <w:r w:rsidRPr="00320D1B">
        <w:rPr>
          <w:sz w:val="22"/>
          <w:szCs w:val="22"/>
          <w:vertAlign w:val="superscript"/>
        </w:rPr>
        <w:footnoteReference w:id="283"/>
      </w:r>
      <w:r w:rsidRPr="00320D1B">
        <w:rPr>
          <w:sz w:val="22"/>
          <w:szCs w:val="22"/>
        </w:rPr>
        <w:t xml:space="preserve"> recommending that </w:t>
      </w:r>
      <w:r w:rsidRPr="00320D1B">
        <w:rPr>
          <w:rFonts w:cs="Times"/>
          <w:color w:val="211D1E"/>
          <w:sz w:val="22"/>
          <w:szCs w:val="22"/>
        </w:rPr>
        <w:t>the U.S. government share underutilized spectrum to the maximum extent consistent with the Federal mission, and identify 1,000 MHz of Federal spectrum in which to implement shared-use spectrum pilot projects.</w:t>
      </w:r>
      <w:r w:rsidRPr="00320D1B">
        <w:rPr>
          <w:sz w:val="22"/>
          <w:szCs w:val="22"/>
          <w:vertAlign w:val="superscript"/>
        </w:rPr>
        <w:footnoteReference w:id="284"/>
      </w:r>
      <w:r w:rsidRPr="00320D1B">
        <w:rPr>
          <w:rFonts w:cs="Times"/>
          <w:color w:val="211D1E"/>
          <w:sz w:val="22"/>
          <w:szCs w:val="22"/>
        </w:rPr>
        <w:t xml:space="preserve">  The PCAST report also recommended modifying FCC rules to allow “general authorized access” devices to operate in the 3550-3650 MHz (radar) band and another to be determined by NTIA and the FCC.</w:t>
      </w:r>
      <w:r w:rsidRPr="00320D1B">
        <w:rPr>
          <w:sz w:val="22"/>
          <w:szCs w:val="22"/>
          <w:vertAlign w:val="superscript"/>
        </w:rPr>
        <w:footnoteReference w:id="285"/>
      </w:r>
      <w:r w:rsidRPr="00320D1B">
        <w:rPr>
          <w:rFonts w:cs="Times"/>
          <w:color w:val="211D1E"/>
          <w:sz w:val="22"/>
          <w:szCs w:val="22"/>
        </w:rPr>
        <w:t xml:space="preserve"> </w:t>
      </w:r>
    </w:p>
    <w:p w:rsidR="004A147C" w:rsidRPr="00320D1B" w:rsidRDefault="004A147C" w:rsidP="00CE5850">
      <w:pPr>
        <w:pStyle w:val="ParaNum"/>
        <w:numPr>
          <w:ilvl w:val="0"/>
          <w:numId w:val="28"/>
        </w:numPr>
        <w:rPr>
          <w:sz w:val="22"/>
          <w:szCs w:val="22"/>
        </w:rPr>
      </w:pPr>
      <w:r w:rsidRPr="00320D1B">
        <w:rPr>
          <w:sz w:val="22"/>
          <w:szCs w:val="22"/>
        </w:rPr>
        <w:t>Wireless operators today primarily use licenses that fall in frequencies between 698 MHz and 2.7 GHz for the provision of mobile voice and broadband services.  Among the bands used, or with the potential to be used, are Cellular (in the 850 MHz band), SMR (in the 800/900 MHz band), broadband PCS (in the 1.9 GHz band), BRS and EBS in the 2.5 GHz band, AWS in the 1.7/2.1 GHz band (and potentially other bands), the 700 MHz band, and WCS in the 2.3 GHz band.  By examining the history of the available frequency bands and associated service rules, it is possible to trace the growth of the mobile wireless industry and the introduction of new competition in the mobile wireless marketplace.</w:t>
      </w:r>
      <w:r w:rsidRPr="00320D1B">
        <w:rPr>
          <w:sz w:val="22"/>
          <w:szCs w:val="22"/>
          <w:vertAlign w:val="superscript"/>
        </w:rPr>
        <w:footnoteReference w:id="286"/>
      </w:r>
      <w:r w:rsidRPr="00320D1B">
        <w:rPr>
          <w:sz w:val="22"/>
          <w:szCs w:val="22"/>
        </w:rPr>
        <w:t xml:space="preserve"> </w:t>
      </w:r>
    </w:p>
    <w:p w:rsidR="004A147C" w:rsidRPr="00B53FFB" w:rsidRDefault="004A147C" w:rsidP="00CE5850">
      <w:pPr>
        <w:numPr>
          <w:ilvl w:val="3"/>
          <w:numId w:val="26"/>
        </w:numPr>
        <w:tabs>
          <w:tab w:val="left" w:pos="2880"/>
        </w:tabs>
        <w:spacing w:after="120"/>
        <w:outlineLvl w:val="3"/>
        <w:rPr>
          <w:b/>
          <w:szCs w:val="22"/>
        </w:rPr>
      </w:pPr>
      <w:r w:rsidRPr="00B53FFB">
        <w:rPr>
          <w:b/>
          <w:szCs w:val="22"/>
        </w:rPr>
        <w:t>Frequency Bands</w:t>
      </w:r>
    </w:p>
    <w:p w:rsidR="004A147C" w:rsidRPr="00F307FE" w:rsidRDefault="004A147C" w:rsidP="00CE5850">
      <w:pPr>
        <w:pStyle w:val="ParaNum"/>
        <w:numPr>
          <w:ilvl w:val="0"/>
          <w:numId w:val="28"/>
        </w:numPr>
        <w:rPr>
          <w:sz w:val="22"/>
          <w:szCs w:val="22"/>
        </w:rPr>
      </w:pPr>
      <w:r w:rsidRPr="00F307FE">
        <w:rPr>
          <w:i/>
          <w:sz w:val="22"/>
          <w:szCs w:val="22"/>
        </w:rPr>
        <w:t xml:space="preserve">Cellular.  </w:t>
      </w:r>
      <w:r w:rsidRPr="00F307FE">
        <w:rPr>
          <w:sz w:val="22"/>
          <w:szCs w:val="22"/>
        </w:rPr>
        <w:t>The Commission began licensing Cellular spectrum in 1982, eventually making a total of 50 megahertz available.  The band was divided into two blocks, licensed by Cellular Market Area (CMA).  At the time of initial licensing, one of the two Cellular channel blocks in each market was awarded to a local incumbent wireline carrier, while the other block was awarded to another entity in order to promote competition.</w:t>
      </w:r>
      <w:r w:rsidRPr="00F307FE">
        <w:rPr>
          <w:sz w:val="22"/>
          <w:szCs w:val="22"/>
          <w:vertAlign w:val="superscript"/>
        </w:rPr>
        <w:footnoteReference w:id="287"/>
      </w:r>
      <w:r w:rsidRPr="00F307FE">
        <w:rPr>
          <w:sz w:val="22"/>
          <w:szCs w:val="22"/>
        </w:rPr>
        <w:t xml:space="preserve">  The Commission completed licensing the majority of Cellular operators in 1991.  Cellular licensees provided the first widely-used mobile services,</w:t>
      </w:r>
      <w:r w:rsidRPr="00F307FE">
        <w:rPr>
          <w:sz w:val="22"/>
          <w:szCs w:val="22"/>
          <w:vertAlign w:val="superscript"/>
        </w:rPr>
        <w:footnoteReference w:id="288"/>
      </w:r>
      <w:r w:rsidRPr="00F307FE">
        <w:rPr>
          <w:sz w:val="22"/>
          <w:szCs w:val="22"/>
        </w:rPr>
        <w:t xml:space="preserve"> and providers have since been using Cellular spectrum to deploy mobile voice and broadband services using technologies on the CDMA and GSM migration paths.</w:t>
      </w:r>
      <w:r w:rsidRPr="00F307FE" w:rsidDel="004D1D64">
        <w:rPr>
          <w:sz w:val="22"/>
          <w:szCs w:val="22"/>
          <w:vertAlign w:val="superscript"/>
        </w:rPr>
        <w:t xml:space="preserve"> </w:t>
      </w:r>
      <w:r w:rsidRPr="00F307FE">
        <w:rPr>
          <w:sz w:val="22"/>
          <w:szCs w:val="22"/>
        </w:rPr>
        <w:t xml:space="preserve">  </w:t>
      </w:r>
    </w:p>
    <w:p w:rsidR="004A147C" w:rsidRPr="00F307FE" w:rsidRDefault="004A147C" w:rsidP="00CE5850">
      <w:pPr>
        <w:pStyle w:val="ParaNum"/>
        <w:numPr>
          <w:ilvl w:val="0"/>
          <w:numId w:val="28"/>
        </w:numPr>
        <w:rPr>
          <w:sz w:val="22"/>
          <w:szCs w:val="22"/>
        </w:rPr>
      </w:pPr>
      <w:r w:rsidRPr="00F307FE">
        <w:rPr>
          <w:i/>
          <w:sz w:val="22"/>
          <w:szCs w:val="22"/>
        </w:rPr>
        <w:t>SMR</w:t>
      </w:r>
      <w:r w:rsidRPr="00F307FE">
        <w:rPr>
          <w:sz w:val="22"/>
          <w:szCs w:val="22"/>
        </w:rPr>
        <w:t>.  The Commission established SMR in 1979 to provide for land mobile communications on a commercial basis.</w:t>
      </w:r>
      <w:r w:rsidRPr="00F307FE">
        <w:rPr>
          <w:sz w:val="22"/>
          <w:szCs w:val="22"/>
          <w:vertAlign w:val="superscript"/>
        </w:rPr>
        <w:footnoteReference w:id="289"/>
      </w:r>
      <w:r w:rsidRPr="00F307FE">
        <w:rPr>
          <w:sz w:val="22"/>
          <w:szCs w:val="22"/>
        </w:rPr>
        <w:t xml:space="preserve">  While it initially licensed SMR spectrum in non-contiguous bands, on a site-by-site basis, the Commission has since licensed additional SMR spectrum on an EA basis through the auction process.</w:t>
      </w:r>
      <w:r w:rsidRPr="00F307FE">
        <w:rPr>
          <w:sz w:val="22"/>
          <w:szCs w:val="22"/>
          <w:vertAlign w:val="superscript"/>
        </w:rPr>
        <w:t xml:space="preserve"> </w:t>
      </w:r>
      <w:r w:rsidRPr="00F307FE">
        <w:rPr>
          <w:sz w:val="22"/>
          <w:szCs w:val="22"/>
          <w:vertAlign w:val="superscript"/>
        </w:rPr>
        <w:footnoteReference w:id="290"/>
      </w:r>
      <w:r w:rsidRPr="00F307FE">
        <w:rPr>
          <w:sz w:val="22"/>
          <w:szCs w:val="22"/>
        </w:rPr>
        <w:t xml:space="preserve">  Although the primary use for SMR traditionally was dispatch services,</w:t>
      </w:r>
      <w:r w:rsidRPr="00F307FE">
        <w:rPr>
          <w:sz w:val="22"/>
          <w:szCs w:val="22"/>
          <w:vertAlign w:val="superscript"/>
        </w:rPr>
        <w:footnoteReference w:id="291"/>
      </w:r>
      <w:r w:rsidRPr="00F307FE">
        <w:rPr>
          <w:sz w:val="22"/>
          <w:szCs w:val="22"/>
        </w:rPr>
        <w:t xml:space="preserve"> providers such as Nextel acquired significant amounts of SMR spectrum and were successful in launching mobile voice services in the 800 and 900 MHz bands in the 1990s, competing with licensees using Cellular spectrum in the provision of mobile voice services.</w:t>
      </w:r>
      <w:r w:rsidRPr="00F307FE">
        <w:rPr>
          <w:sz w:val="22"/>
          <w:szCs w:val="22"/>
          <w:vertAlign w:val="superscript"/>
        </w:rPr>
        <w:footnoteReference w:id="292"/>
      </w:r>
      <w:r w:rsidRPr="00F307FE">
        <w:rPr>
          <w:sz w:val="22"/>
          <w:szCs w:val="22"/>
        </w:rPr>
        <w:t xml:space="preserve">  As discussed in previous reports, for many years, SMR providers offered mobile wireless services using iDEN-based technologies.</w:t>
      </w:r>
      <w:r w:rsidRPr="00F307FE">
        <w:rPr>
          <w:sz w:val="22"/>
          <w:szCs w:val="22"/>
          <w:vertAlign w:val="superscript"/>
        </w:rPr>
        <w:footnoteReference w:id="293"/>
      </w:r>
      <w:r w:rsidRPr="00F307FE">
        <w:rPr>
          <w:sz w:val="22"/>
          <w:szCs w:val="22"/>
        </w:rPr>
        <w:t xml:space="preserve">  However, Sprint, the largest SMR licensee, has announced that it is in the process of repurposing</w:t>
      </w:r>
      <w:r w:rsidRPr="00F307FE">
        <w:rPr>
          <w:color w:val="000000"/>
          <w:sz w:val="22"/>
          <w:szCs w:val="22"/>
        </w:rPr>
        <w:t xml:space="preserve"> its 800 MHz SMR spectrum for CDMA-based technology and that it will shut down its iDEN network as early as June 30, 2013.</w:t>
      </w:r>
      <w:r w:rsidRPr="00F307FE">
        <w:rPr>
          <w:sz w:val="22"/>
          <w:szCs w:val="22"/>
          <w:vertAlign w:val="superscript"/>
        </w:rPr>
        <w:footnoteReference w:id="294"/>
      </w:r>
      <w:r w:rsidRPr="00F307FE">
        <w:rPr>
          <w:color w:val="000000"/>
          <w:sz w:val="22"/>
          <w:szCs w:val="22"/>
        </w:rPr>
        <w:t xml:space="preserve">  </w:t>
      </w:r>
      <w:r w:rsidRPr="00F307FE">
        <w:rPr>
          <w:sz w:val="22"/>
          <w:szCs w:val="22"/>
        </w:rPr>
        <w:t xml:space="preserve">  In May of 2012 the Commission adopted a Report and Order that amends its rules to allow geographically-based SMR licensees to operate across contiguous channels without rigid channel spacing requirement or bandwidth limitation.</w:t>
      </w:r>
      <w:r w:rsidRPr="00F307FE">
        <w:rPr>
          <w:rStyle w:val="FootnoteReference"/>
          <w:szCs w:val="22"/>
        </w:rPr>
        <w:footnoteReference w:id="295"/>
      </w:r>
      <w:r w:rsidRPr="00F307FE">
        <w:rPr>
          <w:sz w:val="22"/>
          <w:szCs w:val="22"/>
        </w:rPr>
        <w:t xml:space="preserve">   This change enables SMR licensees to fully and more efficiently utilize their licensed spectrum and transition their networks from legacy 2G technologies to 3G as well as other advanced technologies such as LTE.</w:t>
      </w:r>
      <w:r w:rsidRPr="00F307FE">
        <w:rPr>
          <w:rStyle w:val="FootnoteReference"/>
          <w:szCs w:val="22"/>
        </w:rPr>
        <w:footnoteReference w:id="296"/>
      </w:r>
    </w:p>
    <w:p w:rsidR="004A147C" w:rsidRPr="00F307FE" w:rsidRDefault="004A147C" w:rsidP="00CE5850">
      <w:pPr>
        <w:pStyle w:val="ParaNum"/>
        <w:numPr>
          <w:ilvl w:val="0"/>
          <w:numId w:val="28"/>
        </w:numPr>
        <w:rPr>
          <w:sz w:val="22"/>
          <w:szCs w:val="22"/>
        </w:rPr>
      </w:pPr>
      <w:r w:rsidRPr="00F307FE">
        <w:rPr>
          <w:i/>
          <w:sz w:val="22"/>
          <w:szCs w:val="22"/>
        </w:rPr>
        <w:t xml:space="preserve">Broadband PCS.  </w:t>
      </w:r>
      <w:r w:rsidRPr="00F307FE">
        <w:rPr>
          <w:sz w:val="22"/>
          <w:szCs w:val="22"/>
        </w:rPr>
        <w:t>Between 1995 and 1999, the Commission auctioned 120 megahertz of Broadband PCS spectrum, using different bandwidths and licensing areas, in the 1850-1910 MHz and 1930-1990 MHz bands.</w:t>
      </w:r>
      <w:r w:rsidRPr="00F307FE">
        <w:rPr>
          <w:sz w:val="22"/>
          <w:szCs w:val="22"/>
          <w:vertAlign w:val="superscript"/>
        </w:rPr>
        <w:footnoteReference w:id="297"/>
      </w:r>
      <w:r w:rsidRPr="00F307FE">
        <w:rPr>
          <w:sz w:val="22"/>
          <w:szCs w:val="22"/>
        </w:rPr>
        <w:t xml:space="preserve">  Licensees of this newly-available spectrum deployed digital technologies that were more efficient and offered improved service quality over the existing analog technologies deployed in the Cellular bands at the time.  These deployments by new entrants facilitated the growth and development of a more competitive mobile wireless marketplace.  By 1998, 87 percent of the U.S. population (by Basic Trading Area) was covered by three or more mobile wireless providers, and 54 percent by five or more providers.</w:t>
      </w:r>
      <w:r w:rsidRPr="00F307FE">
        <w:rPr>
          <w:sz w:val="22"/>
          <w:szCs w:val="22"/>
          <w:vertAlign w:val="superscript"/>
        </w:rPr>
        <w:footnoteReference w:id="298"/>
      </w:r>
      <w:r w:rsidRPr="00F307FE">
        <w:rPr>
          <w:sz w:val="22"/>
          <w:szCs w:val="22"/>
        </w:rPr>
        <w:t xml:space="preserve">  During this time period, the Broadband PCS band was the primary spectrum available to new entrants that could provide competition to the cellular incumbents. With that increased competition came increased innovation: broadband PCS service providers offered new pricing plans, introduced smaller handsets with increased functionality, and facilitated mass market acceptance of mobile wireless service.  Cumulative investment in the industry more than tripled from $19 billion to over $70 billion from 1994 to 2000,</w:t>
      </w:r>
      <w:r w:rsidRPr="00F307FE">
        <w:rPr>
          <w:sz w:val="22"/>
          <w:szCs w:val="22"/>
          <w:vertAlign w:val="superscript"/>
        </w:rPr>
        <w:footnoteReference w:id="299"/>
      </w:r>
      <w:r w:rsidRPr="00F307FE">
        <w:rPr>
          <w:sz w:val="22"/>
          <w:szCs w:val="22"/>
        </w:rPr>
        <w:t xml:space="preserve"> and the number of cell sites more than quadrupled, from 18,000 to over 80,000.</w:t>
      </w:r>
      <w:r w:rsidRPr="00F307FE">
        <w:rPr>
          <w:sz w:val="22"/>
          <w:szCs w:val="22"/>
          <w:vertAlign w:val="superscript"/>
        </w:rPr>
        <w:footnoteReference w:id="300"/>
      </w:r>
      <w:r w:rsidRPr="00F307FE">
        <w:rPr>
          <w:sz w:val="22"/>
          <w:szCs w:val="22"/>
        </w:rPr>
        <w:t xml:space="preserve">  Subsequently, the Commission assigned an additional 10 megahertz at 1910-1915 MHz and 1990-1995 MHz to Sprint as part of the 800 MHz Band Reconfiguration agreement.</w:t>
      </w:r>
      <w:r w:rsidRPr="00F307FE">
        <w:rPr>
          <w:rStyle w:val="FootnoteReference"/>
          <w:szCs w:val="22"/>
        </w:rPr>
        <w:footnoteReference w:id="301"/>
      </w:r>
      <w:r w:rsidRPr="00F307FE">
        <w:rPr>
          <w:sz w:val="22"/>
          <w:szCs w:val="22"/>
        </w:rPr>
        <w:t xml:space="preserve">  </w:t>
      </w:r>
    </w:p>
    <w:p w:rsidR="004A147C" w:rsidRPr="00F307FE" w:rsidRDefault="004A147C" w:rsidP="00CE5850">
      <w:pPr>
        <w:pStyle w:val="ParaNum"/>
        <w:numPr>
          <w:ilvl w:val="0"/>
          <w:numId w:val="28"/>
        </w:numPr>
        <w:rPr>
          <w:sz w:val="22"/>
          <w:szCs w:val="22"/>
        </w:rPr>
      </w:pPr>
      <w:r w:rsidRPr="00F307FE">
        <w:rPr>
          <w:i/>
          <w:sz w:val="22"/>
          <w:szCs w:val="22"/>
        </w:rPr>
        <w:t xml:space="preserve">BRS and EBS.  </w:t>
      </w:r>
      <w:r w:rsidRPr="00F307FE">
        <w:rPr>
          <w:sz w:val="22"/>
          <w:szCs w:val="22"/>
        </w:rPr>
        <w:t>In 2004, the Commission adopted revisions to the rules and band plan governing the BRS and EBS spectrum in the 2.5 GHz band that better facilitated the use of this spectrum – 73.5 megahertz of BRS and 112.5 megahertz of EBS – for mobile and fixed broadband services.</w:t>
      </w:r>
      <w:r w:rsidRPr="00F307FE">
        <w:rPr>
          <w:sz w:val="22"/>
          <w:szCs w:val="22"/>
          <w:vertAlign w:val="superscript"/>
        </w:rPr>
        <w:footnoteReference w:id="302"/>
      </w:r>
      <w:r w:rsidRPr="00F307FE">
        <w:rPr>
          <w:sz w:val="22"/>
          <w:szCs w:val="22"/>
        </w:rPr>
        <w:t xml:space="preserve">  Since then, BRS and EBS licensees have been transitioning to the revised band plan, a process that is nearly complete.  In 2008, Clearwire began deploying mobile broadband services using this spectrum in various markets across the country.</w:t>
      </w:r>
      <w:r w:rsidRPr="00F307FE">
        <w:rPr>
          <w:sz w:val="22"/>
          <w:szCs w:val="22"/>
          <w:vertAlign w:val="superscript"/>
        </w:rPr>
        <w:footnoteReference w:id="303"/>
      </w:r>
      <w:r w:rsidRPr="00F307FE">
        <w:rPr>
          <w:sz w:val="22"/>
          <w:szCs w:val="22"/>
        </w:rPr>
        <w:t xml:space="preserve">  Clearwire currently operates a mobile WiMAX network and plans to overlay certain of its WiMAX sites with TDD LTE technology by June 2013.</w:t>
      </w:r>
      <w:r w:rsidRPr="00F307FE">
        <w:rPr>
          <w:sz w:val="22"/>
          <w:szCs w:val="22"/>
          <w:vertAlign w:val="superscript"/>
        </w:rPr>
        <w:footnoteReference w:id="304"/>
      </w:r>
      <w:r w:rsidRPr="00F307FE">
        <w:rPr>
          <w:sz w:val="22"/>
          <w:szCs w:val="22"/>
        </w:rPr>
        <w:t xml:space="preserve">  Several smaller providers, including Xanadoo and Digital Bridge, are, like Clearwire, deploying WiMAX in their 2.5 GHz spectrum holdings.</w:t>
      </w:r>
      <w:r w:rsidRPr="00F307FE">
        <w:rPr>
          <w:sz w:val="22"/>
          <w:szCs w:val="22"/>
          <w:vertAlign w:val="superscript"/>
        </w:rPr>
        <w:footnoteReference w:id="305"/>
      </w:r>
    </w:p>
    <w:p w:rsidR="004A147C" w:rsidRPr="00F307FE" w:rsidRDefault="004A147C" w:rsidP="00CE5850">
      <w:pPr>
        <w:pStyle w:val="ParaNum"/>
        <w:numPr>
          <w:ilvl w:val="0"/>
          <w:numId w:val="28"/>
        </w:numPr>
        <w:rPr>
          <w:sz w:val="22"/>
          <w:szCs w:val="22"/>
        </w:rPr>
      </w:pPr>
      <w:r w:rsidRPr="00F307FE">
        <w:rPr>
          <w:i/>
          <w:sz w:val="22"/>
          <w:szCs w:val="22"/>
        </w:rPr>
        <w:t xml:space="preserve">AWS-1.  </w:t>
      </w:r>
      <w:r w:rsidRPr="00F307FE">
        <w:rPr>
          <w:sz w:val="22"/>
          <w:szCs w:val="22"/>
        </w:rPr>
        <w:t>In 2006, the Commission auctioned a total of 90 megahertz of AWS-1 spectrum in the 1.7 and 2.1 GHz bands.</w:t>
      </w:r>
      <w:r w:rsidRPr="00F307FE">
        <w:rPr>
          <w:sz w:val="22"/>
          <w:szCs w:val="22"/>
          <w:vertAlign w:val="superscript"/>
        </w:rPr>
        <w:footnoteReference w:id="306"/>
      </w:r>
      <w:r w:rsidRPr="00F307FE">
        <w:rPr>
          <w:sz w:val="22"/>
          <w:szCs w:val="22"/>
        </w:rPr>
        <w:t xml:space="preserve">  Since 2008, several licensees have deployed mobile wireless services using AWS spectrum and 3G/4G technologies in markets across the country.</w:t>
      </w:r>
      <w:r w:rsidRPr="00F307FE">
        <w:rPr>
          <w:sz w:val="22"/>
          <w:szCs w:val="22"/>
          <w:vertAlign w:val="superscript"/>
        </w:rPr>
        <w:footnoteReference w:id="307"/>
      </w:r>
      <w:r w:rsidRPr="00F307FE">
        <w:rPr>
          <w:sz w:val="22"/>
          <w:szCs w:val="22"/>
        </w:rPr>
        <w:t xml:space="preserve">  T-Mobile has been using its AWS spectrum to offer WCDMA/HSPA+ technologies since 2008 and, in 2012, announced plans to launch an LTE network in 2013 using AWS licenses acquired from AT&amp;T earlier this year.</w:t>
      </w:r>
      <w:r w:rsidRPr="00F307FE">
        <w:rPr>
          <w:sz w:val="22"/>
          <w:szCs w:val="22"/>
          <w:vertAlign w:val="superscript"/>
        </w:rPr>
        <w:footnoteReference w:id="308"/>
      </w:r>
      <w:r w:rsidRPr="00F307FE">
        <w:rPr>
          <w:sz w:val="22"/>
          <w:szCs w:val="22"/>
        </w:rPr>
        <w:t xml:space="preserve">  MetroPCS and Leap have launched LTE networks using their AWS licenses in September 2010 and December 2011, respectively.</w:t>
      </w:r>
      <w:r w:rsidRPr="00F307FE">
        <w:rPr>
          <w:sz w:val="22"/>
          <w:szCs w:val="22"/>
          <w:vertAlign w:val="superscript"/>
        </w:rPr>
        <w:footnoteReference w:id="309"/>
      </w:r>
      <w:r w:rsidRPr="00F307FE">
        <w:rPr>
          <w:sz w:val="22"/>
          <w:szCs w:val="22"/>
        </w:rPr>
        <w:t xml:space="preserve">  In addition, AT&amp;T launched its LTE network in September 2011, and has stated that it is using both AWS and 700 MHz spectrum for its LTE deployment.</w:t>
      </w:r>
      <w:r w:rsidRPr="00F307FE">
        <w:rPr>
          <w:sz w:val="22"/>
          <w:szCs w:val="22"/>
          <w:vertAlign w:val="superscript"/>
        </w:rPr>
        <w:footnoteReference w:id="310"/>
      </w:r>
      <w:r w:rsidRPr="00F307FE">
        <w:rPr>
          <w:sz w:val="22"/>
          <w:szCs w:val="22"/>
        </w:rPr>
        <w:t xml:space="preserve">  AT&amp;T plans to deploy LTE to 80 percent of the U.S. population by the end of 2013.</w:t>
      </w:r>
      <w:r w:rsidRPr="00F307FE">
        <w:rPr>
          <w:sz w:val="22"/>
          <w:szCs w:val="22"/>
          <w:vertAlign w:val="superscript"/>
        </w:rPr>
        <w:footnoteReference w:id="311"/>
      </w:r>
      <w:r w:rsidRPr="00F307FE">
        <w:rPr>
          <w:sz w:val="22"/>
          <w:szCs w:val="22"/>
        </w:rPr>
        <w:t xml:space="preserve">  In 2012, Verizon Wireless completed the acquisition of a significant amount of AWS spectrum from Leap, SpectrumCo, and Cox.</w:t>
      </w:r>
      <w:r w:rsidRPr="00F307FE">
        <w:rPr>
          <w:sz w:val="22"/>
          <w:szCs w:val="22"/>
          <w:vertAlign w:val="superscript"/>
        </w:rPr>
        <w:footnoteReference w:id="312"/>
      </w:r>
      <w:r w:rsidRPr="00F307FE">
        <w:rPr>
          <w:sz w:val="22"/>
          <w:szCs w:val="22"/>
        </w:rPr>
        <w:t xml:space="preserve">  Verizon Wireless plans to use this spectrum to expand and enhance its existing LTE network, and committed to covering at least 30 percent of the total population in the Economic Areas in which it is acquiring AWS by August 2015 and at least 70 percent by August 2019.</w:t>
      </w:r>
      <w:r w:rsidRPr="00F307FE">
        <w:rPr>
          <w:sz w:val="22"/>
          <w:szCs w:val="22"/>
          <w:vertAlign w:val="superscript"/>
        </w:rPr>
        <w:footnoteReference w:id="313"/>
      </w:r>
      <w:r w:rsidRPr="00F307FE">
        <w:rPr>
          <w:sz w:val="22"/>
          <w:szCs w:val="22"/>
        </w:rPr>
        <w:t xml:space="preserve">   T-Mobile acquired significant amounts of AWS spectrum during 2012 in two significant transactions:  from AT&amp;T as part of the implementation of the break-up provisions of the AT&amp;T/Deutsche Telekom deal and from Verizon Wireless.</w:t>
      </w:r>
    </w:p>
    <w:p w:rsidR="004A147C" w:rsidRPr="00B53FFB" w:rsidRDefault="004A147C" w:rsidP="00CE5850">
      <w:pPr>
        <w:pStyle w:val="ParaNum"/>
        <w:numPr>
          <w:ilvl w:val="0"/>
          <w:numId w:val="28"/>
        </w:numPr>
        <w:rPr>
          <w:sz w:val="22"/>
          <w:szCs w:val="22"/>
        </w:rPr>
      </w:pPr>
      <w:r w:rsidRPr="00B53FFB">
        <w:rPr>
          <w:i/>
          <w:sz w:val="22"/>
          <w:szCs w:val="22"/>
        </w:rPr>
        <w:t>700 MHz.</w:t>
      </w:r>
      <w:r w:rsidRPr="00B53FFB">
        <w:rPr>
          <w:sz w:val="22"/>
          <w:szCs w:val="22"/>
        </w:rPr>
        <w:t xml:space="preserve">  The auctions of 700 MHz spectrum between 2002 and 2008, combined with the completion of the Digital Television transition in June 2009, made 70 megahertz of spectrum in the 700 MHz Band available for commercial mobile and fixed services, including 58 megahertz of paired spectrum.</w:t>
      </w:r>
      <w:r w:rsidRPr="00B53FFB">
        <w:rPr>
          <w:sz w:val="22"/>
          <w:szCs w:val="22"/>
          <w:vertAlign w:val="superscript"/>
        </w:rPr>
        <w:footnoteReference w:id="314"/>
      </w:r>
      <w:r w:rsidRPr="00B53FFB">
        <w:rPr>
          <w:sz w:val="22"/>
          <w:szCs w:val="22"/>
        </w:rPr>
        <w:t xml:space="preserve">  Certain providers have begun rolling out LTE networks using 700 MHz Band spectrum.  Verizon Wireless first launched LTE services using its 700 MHz Upper C Block licenses in December 2010 and is leasing portions of this spectrum to wireless service providers in rural areas where it does not intend to build out.</w:t>
      </w:r>
      <w:r w:rsidRPr="00B53FFB">
        <w:rPr>
          <w:sz w:val="22"/>
          <w:szCs w:val="22"/>
          <w:vertAlign w:val="superscript"/>
        </w:rPr>
        <w:footnoteReference w:id="315"/>
      </w:r>
      <w:r w:rsidRPr="00B53FFB">
        <w:rPr>
          <w:sz w:val="22"/>
          <w:szCs w:val="22"/>
        </w:rPr>
        <w:t xml:space="preserve">  AT&amp;T launched its LTE network in September 2011 and has stated that it is using both 700 MHz and AWS spectrum for its LTE deployment.</w:t>
      </w:r>
      <w:r w:rsidRPr="00B53FFB">
        <w:rPr>
          <w:sz w:val="22"/>
          <w:szCs w:val="22"/>
          <w:vertAlign w:val="superscript"/>
        </w:rPr>
        <w:footnoteReference w:id="316"/>
      </w:r>
      <w:r w:rsidRPr="00B53FFB">
        <w:rPr>
          <w:sz w:val="22"/>
          <w:szCs w:val="22"/>
        </w:rPr>
        <w:t xml:space="preserve">  AT&amp;T also has announced plans to use the unpaired 700 MHz Lower D and E block licenses it acquired from Qualcomm in December 2011 as early as 2014 as a supplemental downlink for mobile broadband services.</w:t>
      </w:r>
      <w:r w:rsidRPr="00B53FFB">
        <w:rPr>
          <w:sz w:val="22"/>
          <w:szCs w:val="22"/>
          <w:vertAlign w:val="superscript"/>
        </w:rPr>
        <w:footnoteReference w:id="317"/>
      </w:r>
      <w:r w:rsidRPr="00B53FFB">
        <w:rPr>
          <w:sz w:val="22"/>
          <w:szCs w:val="22"/>
        </w:rPr>
        <w:t xml:space="preserve">  In March 2012, US Cellular launched LTE service using 700 MHz spectrum and plans to expand LTE service to cover approximately 25 million people by year end 2012 and approximately two-thirds of its footprint by 2014.</w:t>
      </w:r>
      <w:r w:rsidRPr="00B53FFB">
        <w:rPr>
          <w:sz w:val="22"/>
          <w:szCs w:val="22"/>
          <w:vertAlign w:val="superscript"/>
        </w:rPr>
        <w:footnoteReference w:id="318"/>
      </w:r>
      <w:r w:rsidRPr="00B53FFB">
        <w:rPr>
          <w:sz w:val="22"/>
          <w:szCs w:val="22"/>
        </w:rPr>
        <w:t xml:space="preserve">  On September 7, 2012, the Public Safety and Homeland Security Bureau (PSHSB) implemented the directives of the Spectrum Act by reallocating the Upper 700 MHz D Block for public safety services, and adopting rules to license the D Block and the existing public safety broadband spectrum in the 700 MHz Band to FirstNet, an independent authority within NTIA, in order to establish “a nationwide, interoperable public safety broadband network.”</w:t>
      </w:r>
      <w:r w:rsidRPr="00B53FFB">
        <w:rPr>
          <w:rStyle w:val="FootnoteReference"/>
          <w:szCs w:val="22"/>
        </w:rPr>
        <w:footnoteReference w:id="319"/>
      </w:r>
      <w:r w:rsidRPr="00B53FFB">
        <w:rPr>
          <w:sz w:val="22"/>
          <w:szCs w:val="22"/>
        </w:rPr>
        <w:t xml:space="preserve">    </w:t>
      </w:r>
    </w:p>
    <w:p w:rsidR="004A147C" w:rsidRPr="00E55486" w:rsidRDefault="004A147C" w:rsidP="00CE5850">
      <w:pPr>
        <w:pStyle w:val="ParaNum"/>
        <w:numPr>
          <w:ilvl w:val="0"/>
          <w:numId w:val="28"/>
        </w:numPr>
        <w:rPr>
          <w:sz w:val="22"/>
          <w:szCs w:val="22"/>
        </w:rPr>
      </w:pPr>
      <w:r w:rsidRPr="00E55486">
        <w:rPr>
          <w:i/>
          <w:sz w:val="22"/>
          <w:szCs w:val="22"/>
        </w:rPr>
        <w:t xml:space="preserve">Wireless Communications Service (WCS).  </w:t>
      </w:r>
      <w:r w:rsidRPr="00E55486">
        <w:rPr>
          <w:sz w:val="22"/>
          <w:szCs w:val="22"/>
        </w:rPr>
        <w:t>In May 2010, the Commission adopted final rules for WCS that modified the technical parameters governing the operation of WCS mobile and portable devices in 25 megahertz of spectrum in the 2.3 GHz band.</w:t>
      </w:r>
      <w:r w:rsidRPr="00E55486">
        <w:rPr>
          <w:sz w:val="22"/>
          <w:szCs w:val="22"/>
          <w:vertAlign w:val="superscript"/>
        </w:rPr>
        <w:footnoteReference w:id="320"/>
      </w:r>
      <w:r w:rsidRPr="00E55486">
        <w:rPr>
          <w:sz w:val="22"/>
          <w:szCs w:val="22"/>
        </w:rPr>
        <w:t xml:space="preserve">  The revised rules were intended to enable WCS licensees to offer mobile broadband services, while limiting the potential for harmful interference to incumbent Satellite Digital Audio Radio Service licensees operating in adjacent bands.</w:t>
      </w:r>
      <w:r w:rsidRPr="00E55486">
        <w:rPr>
          <w:sz w:val="22"/>
          <w:szCs w:val="22"/>
          <w:vertAlign w:val="superscript"/>
        </w:rPr>
        <w:footnoteReference w:id="321"/>
      </w:r>
      <w:r w:rsidRPr="00E55486">
        <w:rPr>
          <w:sz w:val="22"/>
          <w:szCs w:val="22"/>
        </w:rPr>
        <w:t xml:space="preserve">  In 2012 the Commission issued an Order on Reconsideration that adopted flexible technical and operating rules to enable LTE mobile broadband deployment in 20 megahertz of long-dormant WCS spectrum.  In addition, it made an additional 10 megahertz of spectrum available for fixed broadband, with possible future downlink use of the spectrum to serve mobile broadband devices (for a total of 30 megahertz potentially available for mobile broadband).  It also provides greater certainty to Sirius XM by requiring WCS licensees to work cooperatively if WCS base or fixed stations cause harmful interference (</w:t>
      </w:r>
      <w:r w:rsidRPr="00E55486">
        <w:rPr>
          <w:i/>
          <w:sz w:val="22"/>
          <w:szCs w:val="22"/>
        </w:rPr>
        <w:t>i.e.</w:t>
      </w:r>
      <w:r w:rsidRPr="00E55486">
        <w:rPr>
          <w:sz w:val="22"/>
          <w:szCs w:val="22"/>
        </w:rPr>
        <w:t>, muting) to SDARS receivers on roadways, resolving longstanding interference concerns between the WCS and SDARS.</w:t>
      </w:r>
      <w:r w:rsidRPr="00E55486">
        <w:rPr>
          <w:rStyle w:val="FootnoteReference"/>
          <w:szCs w:val="22"/>
        </w:rPr>
        <w:footnoteReference w:id="322"/>
      </w:r>
    </w:p>
    <w:p w:rsidR="004A147C" w:rsidRPr="00E55486" w:rsidRDefault="004A147C" w:rsidP="00CE5850">
      <w:pPr>
        <w:pStyle w:val="ParaNum"/>
        <w:numPr>
          <w:ilvl w:val="0"/>
          <w:numId w:val="28"/>
        </w:numPr>
        <w:rPr>
          <w:rFonts w:eastAsia="Times New Roman"/>
          <w:sz w:val="22"/>
          <w:szCs w:val="22"/>
        </w:rPr>
      </w:pPr>
      <w:r w:rsidRPr="00E55486">
        <w:rPr>
          <w:i/>
          <w:sz w:val="22"/>
          <w:szCs w:val="22"/>
        </w:rPr>
        <w:t xml:space="preserve">AWS-4.  </w:t>
      </w:r>
      <w:r w:rsidRPr="00E55486">
        <w:rPr>
          <w:sz w:val="22"/>
          <w:szCs w:val="22"/>
        </w:rPr>
        <w:t>In March 2012, the Commission proposed service and licensing rules for the provision of terrestrial mobile broadband service in the 40 megahertz of spectrum in the 2000-2020 MHz and 2180-2200 MHz bands, currently assigned to the Mobile Satellite Service and known as “AWS-4.”</w:t>
      </w:r>
      <w:r w:rsidRPr="00E55486">
        <w:rPr>
          <w:sz w:val="22"/>
          <w:szCs w:val="22"/>
          <w:vertAlign w:val="superscript"/>
        </w:rPr>
        <w:footnoteReference w:id="323"/>
      </w:r>
      <w:r w:rsidRPr="00E55486">
        <w:rPr>
          <w:sz w:val="22"/>
          <w:szCs w:val="22"/>
        </w:rPr>
        <w:t xml:space="preserve">     As described in more detail below, in December of 2012, the Commission adopted service and licensing rules that generally follow the Commission’s Part 27 flexible use rules, modified as necessary to account for issues unique to the AWS-4 band.</w:t>
      </w:r>
      <w:r w:rsidRPr="00E55486">
        <w:rPr>
          <w:rStyle w:val="FootnoteReference"/>
          <w:szCs w:val="22"/>
        </w:rPr>
        <w:footnoteReference w:id="324"/>
      </w:r>
      <w:r w:rsidRPr="00E55486">
        <w:rPr>
          <w:sz w:val="22"/>
          <w:szCs w:val="22"/>
        </w:rPr>
        <w:t xml:space="preserve"> This action carries out a recommendation in the </w:t>
      </w:r>
      <w:r w:rsidRPr="00E55486">
        <w:rPr>
          <w:i/>
          <w:sz w:val="22"/>
          <w:szCs w:val="22"/>
        </w:rPr>
        <w:t>National Broadband Plan</w:t>
      </w:r>
      <w:r w:rsidRPr="00E55486">
        <w:rPr>
          <w:sz w:val="22"/>
          <w:szCs w:val="22"/>
        </w:rPr>
        <w:t xml:space="preserve"> that the Commission enable the provision of stand-alone terrestrial services in this spectrum.</w:t>
      </w:r>
      <w:r w:rsidRPr="00E55486">
        <w:rPr>
          <w:sz w:val="22"/>
          <w:szCs w:val="22"/>
          <w:vertAlign w:val="superscript"/>
        </w:rPr>
        <w:footnoteReference w:id="325"/>
      </w:r>
    </w:p>
    <w:p w:rsidR="004A147C" w:rsidRPr="00E55486" w:rsidRDefault="004A147C" w:rsidP="00CE5850">
      <w:pPr>
        <w:pStyle w:val="ParaNum"/>
        <w:numPr>
          <w:ilvl w:val="0"/>
          <w:numId w:val="28"/>
        </w:numPr>
        <w:rPr>
          <w:rFonts w:eastAsia="Times New Roman"/>
          <w:sz w:val="22"/>
          <w:szCs w:val="22"/>
        </w:rPr>
      </w:pPr>
      <w:r w:rsidRPr="00E55486">
        <w:rPr>
          <w:i/>
          <w:sz w:val="22"/>
          <w:szCs w:val="22"/>
        </w:rPr>
        <w:t>Other Spectrum Bands.</w:t>
      </w:r>
      <w:r w:rsidRPr="00E55486">
        <w:rPr>
          <w:sz w:val="22"/>
          <w:szCs w:val="22"/>
        </w:rPr>
        <w:t xml:space="preserve">  Other spectrum bands that may later be used for the provision of mobile voice or broadband services include spectrum in the 1.4 GHz band (1392-1395 MHz and 1432-1435 MHz), and the 1670-1675 MHz band as well as certain MSS spectrum bands.   As noted previously, the Spectrum Act requires that the Administration, within three years, begin the process of withdrawing or modifying the assignment to Federal stations of 15 megahertz between 1675 and 1710 MHz identified for reallocation from Federal use to non-Federal use.   In addition, the Spectrum Act requires the Commission to allocate this spectrum for commercial use and assign new initial licenses within three years of enactment (February 2015), along with 1915-1920 MHz, 1995-2000 MHz, 2155-2180 MHz, and an additional 15 megahertz of continuous spectrum that it must identify.  The Commission has taken several  steps to accelerate terrestrial broadband deployment in MSS bands  For example, in April 2011, the Commission adopted a Report and Order applying certain spectrum leasing policies to MSS/ATC leasing arrangements and adding co-primary mobile and fixed allocations in the 2 GHz MSS band.   As discussed above, on March 21, 2012, the Commission proposed rules for AWS-4 to enable the provision of terrestrial mobile broadband service in the 2 GHz band at 2000-2020 MHz and 2180-2200 MHz.  T</w:t>
      </w:r>
      <w:r w:rsidRPr="00E55486">
        <w:rPr>
          <w:color w:val="000000"/>
          <w:sz w:val="22"/>
          <w:szCs w:val="22"/>
        </w:rPr>
        <w:t xml:space="preserve">he </w:t>
      </w:r>
      <w:r w:rsidRPr="00E55486">
        <w:rPr>
          <w:i/>
          <w:color w:val="000000"/>
          <w:sz w:val="22"/>
          <w:szCs w:val="22"/>
        </w:rPr>
        <w:t>AWS-4 NPRM</w:t>
      </w:r>
      <w:r w:rsidRPr="00E55486">
        <w:rPr>
          <w:color w:val="000000"/>
          <w:sz w:val="22"/>
          <w:szCs w:val="22"/>
        </w:rPr>
        <w:t xml:space="preserve"> also proposed eliminating the ATC rules for the 2 GHz band.</w:t>
      </w:r>
      <w:r w:rsidRPr="00E55486">
        <w:rPr>
          <w:rStyle w:val="FootnoteReference"/>
          <w:szCs w:val="22"/>
        </w:rPr>
        <w:footnoteReference w:id="326"/>
      </w:r>
      <w:r w:rsidRPr="00E55486">
        <w:rPr>
          <w:color w:val="000000"/>
          <w:sz w:val="22"/>
          <w:szCs w:val="22"/>
        </w:rPr>
        <w:t xml:space="preserve">  </w:t>
      </w:r>
      <w:r w:rsidRPr="00E55486">
        <w:rPr>
          <w:sz w:val="22"/>
          <w:szCs w:val="22"/>
        </w:rPr>
        <w:t>In December of 2012, the Commission eliminated the ATC rules for the 2 GHz band, granted terrestrial authority to the existing MSS licensee, and established terrestrial service, technical, and licensing rules that generally follow the Commission’s Part 27 flexible use rules, modified as necessary to account for issues unique to the AWS-4 band.</w:t>
      </w:r>
      <w:r w:rsidRPr="00E55486">
        <w:rPr>
          <w:rStyle w:val="FootnoteReference"/>
          <w:szCs w:val="22"/>
        </w:rPr>
        <w:footnoteReference w:id="327"/>
      </w:r>
      <w:r w:rsidRPr="00E55486">
        <w:rPr>
          <w:sz w:val="22"/>
          <w:szCs w:val="22"/>
        </w:rPr>
        <w:t xml:space="preserve">  </w:t>
      </w:r>
      <w:r w:rsidRPr="00E55486">
        <w:rPr>
          <w:color w:val="000000"/>
          <w:sz w:val="22"/>
          <w:szCs w:val="22"/>
        </w:rPr>
        <w:t xml:space="preserve">  </w:t>
      </w:r>
      <w:r w:rsidRPr="00E55486">
        <w:rPr>
          <w:sz w:val="22"/>
          <w:szCs w:val="22"/>
        </w:rPr>
        <w:t>Further, on December 12, 2012, the Commission adopted a Notice of Proposed Rulemaking that seeks comment on creating a new Citizens Broadband Service, which would make 100 megahertz of spectrum available for mobile broadband service in the 3550-3650 MHz Band according to rules that would leverage the benefits of small cell technologies to facilitate spectrum sharing with incumbent federal and commercial users.  And, as recommended in the PCAST Report, the Commission proposes to use a spectrum access system to manage shared access to the band and protect incumbent users.   In addition, as discussed in the Fifteenth Report, LightSquared had planned to use MSS/ATC authority associated with its L-band MSS licenses to offer terrestrial LTE service and satellite connectivity on a wholesale basis to other wireless providers.   However, on February 15, 2012, the Commission’s International Bureau  proposed to vacate the conditional waiver previously granted to LightSquared and to modify LightSquared’s satellite license “to suspend indefinitely LightSquared’s underlying ATC authorization” out of concerns that its network would interfere with GPS services.   More recently, LightSquared has requested that the Commission take additional actions that would allow LightSquared to proceed with revised plans to provide terrestrially-based services using L-band spectrum.</w:t>
      </w:r>
      <w:r w:rsidRPr="00E55486">
        <w:rPr>
          <w:rStyle w:val="FootnoteReference"/>
          <w:szCs w:val="22"/>
        </w:rPr>
        <w:footnoteReference w:id="328"/>
      </w:r>
    </w:p>
    <w:p w:rsidR="004A147C" w:rsidRPr="00B53FFB" w:rsidRDefault="004A147C" w:rsidP="00CE5850">
      <w:pPr>
        <w:numPr>
          <w:ilvl w:val="3"/>
          <w:numId w:val="26"/>
        </w:numPr>
        <w:tabs>
          <w:tab w:val="left" w:pos="2880"/>
        </w:tabs>
        <w:spacing w:after="120"/>
        <w:outlineLvl w:val="3"/>
        <w:rPr>
          <w:b/>
          <w:szCs w:val="22"/>
        </w:rPr>
      </w:pPr>
      <w:r w:rsidRPr="00B53FFB">
        <w:rPr>
          <w:b/>
          <w:szCs w:val="22"/>
        </w:rPr>
        <w:t>Facilitating Access to Spectrum Among Multiple Providers</w:t>
      </w:r>
    </w:p>
    <w:p w:rsidR="004A147C" w:rsidRPr="00E55486" w:rsidRDefault="004A147C" w:rsidP="00CE5850">
      <w:pPr>
        <w:pStyle w:val="ParaNum"/>
        <w:numPr>
          <w:ilvl w:val="0"/>
          <w:numId w:val="28"/>
        </w:numPr>
        <w:rPr>
          <w:sz w:val="22"/>
          <w:szCs w:val="22"/>
        </w:rPr>
      </w:pPr>
      <w:r w:rsidRPr="00E55486">
        <w:rPr>
          <w:sz w:val="22"/>
          <w:szCs w:val="22"/>
        </w:rPr>
        <w:t>In addition to increasing the availability of commercial mobile wireless spectrum, the Commission has had different policies related to the service and technical rules, licensing and assignment, and aggregation of spectrum, all of which have affected market entry.  We discuss here several prominent Commission policies that have affected spectrum holdings over the past two decades.</w:t>
      </w:r>
    </w:p>
    <w:p w:rsidR="004A147C" w:rsidRPr="00E55486" w:rsidRDefault="004A147C" w:rsidP="00CE5850">
      <w:pPr>
        <w:pStyle w:val="ParaNum"/>
        <w:numPr>
          <w:ilvl w:val="0"/>
          <w:numId w:val="28"/>
        </w:numPr>
        <w:rPr>
          <w:sz w:val="22"/>
          <w:szCs w:val="22"/>
        </w:rPr>
      </w:pPr>
      <w:r w:rsidRPr="00E55486">
        <w:rPr>
          <w:i/>
          <w:sz w:val="22"/>
          <w:szCs w:val="22"/>
        </w:rPr>
        <w:t xml:space="preserve">Flexible Use Policies.  </w:t>
      </w:r>
      <w:r w:rsidRPr="00E55486">
        <w:rPr>
          <w:sz w:val="22"/>
          <w:szCs w:val="22"/>
        </w:rPr>
        <w:t>Initially, the Commission’s rules restricted the use of Cellular spectrum to analog service.  More recently, the Commission has adopted a general policy of providing licensees with significant flexibility to decide which services to offer and what technologies to deploy on spectrum used for the provision of mobile wireless services.  For example, licensees have the flexibility to deploy next-generation wireless technologies that allow them to offer high-speed mobile data services using their existing spectrum.</w:t>
      </w:r>
      <w:r w:rsidRPr="00E55486">
        <w:rPr>
          <w:sz w:val="22"/>
          <w:szCs w:val="22"/>
          <w:vertAlign w:val="superscript"/>
        </w:rPr>
        <w:footnoteReference w:id="329"/>
      </w:r>
      <w:r w:rsidRPr="00E55486">
        <w:rPr>
          <w:sz w:val="22"/>
          <w:szCs w:val="22"/>
        </w:rPr>
        <w:t xml:space="preserve">  </w:t>
      </w:r>
    </w:p>
    <w:p w:rsidR="004A147C" w:rsidRPr="00E55486" w:rsidRDefault="004A147C" w:rsidP="00CE5850">
      <w:pPr>
        <w:pStyle w:val="ParaNum"/>
        <w:numPr>
          <w:ilvl w:val="0"/>
          <w:numId w:val="28"/>
        </w:numPr>
        <w:rPr>
          <w:sz w:val="22"/>
          <w:szCs w:val="22"/>
        </w:rPr>
      </w:pPr>
      <w:r w:rsidRPr="00E55486">
        <w:rPr>
          <w:i/>
          <w:sz w:val="22"/>
          <w:szCs w:val="22"/>
        </w:rPr>
        <w:t xml:space="preserve">Mobile Spectrum Holdings.  </w:t>
      </w:r>
      <w:r w:rsidRPr="00E55486">
        <w:rPr>
          <w:sz w:val="22"/>
          <w:szCs w:val="22"/>
        </w:rPr>
        <w:t>The Commission has adopted different policies through the years with regard to policies regarding mobile spectrum holdings.  As mentioned above, when first licensing 50 megahertz of Cellular spectrum, the Commission required that two different Cellular licensees serve each local market in order to promote competition between mobile telephony providers.  In 1994, as the Commission prepared to make an additional 120 megahertz of spectrum available through broadband PCS auctions, it adopted a CMRS spectrum cap.</w:t>
      </w:r>
      <w:r w:rsidRPr="00E55486">
        <w:rPr>
          <w:sz w:val="22"/>
          <w:szCs w:val="22"/>
          <w:vertAlign w:val="superscript"/>
        </w:rPr>
        <w:footnoteReference w:id="330"/>
      </w:r>
      <w:r w:rsidRPr="00E55486">
        <w:rPr>
          <w:sz w:val="22"/>
          <w:szCs w:val="22"/>
        </w:rPr>
        <w:t xml:space="preserve">  Under these CMRS spectrum limits, which were modified in 1999, no entity could control more than 45 megahertz out of 180 megahertz of Cellular, SMR, and broadband PCS spectrum in any given cellular market.</w:t>
      </w:r>
      <w:r w:rsidRPr="00E55486">
        <w:rPr>
          <w:sz w:val="22"/>
          <w:szCs w:val="22"/>
          <w:vertAlign w:val="superscript"/>
        </w:rPr>
        <w:footnoteReference w:id="331"/>
      </w:r>
      <w:r w:rsidRPr="00E55486">
        <w:rPr>
          <w:sz w:val="22"/>
          <w:szCs w:val="22"/>
        </w:rPr>
        <w:t xml:space="preserve">  In 2003, the Commission moved from a spectrum cap to a case-by-case market review of proposed merger transactions to review potential competitive effects on the marketplace, as well as the acquisition of business units.</w:t>
      </w:r>
      <w:r w:rsidRPr="00E55486">
        <w:rPr>
          <w:sz w:val="22"/>
          <w:szCs w:val="22"/>
          <w:vertAlign w:val="superscript"/>
        </w:rPr>
        <w:footnoteReference w:id="332"/>
      </w:r>
      <w:r w:rsidRPr="00E55486">
        <w:rPr>
          <w:sz w:val="22"/>
          <w:szCs w:val="22"/>
        </w:rPr>
        <w:t xml:space="preserve">  In 2012, the Commission released a notice of proposed rulemaking to review its policies governing mobile spectrum holdings.</w:t>
      </w:r>
      <w:r w:rsidRPr="00E55486">
        <w:rPr>
          <w:sz w:val="22"/>
          <w:szCs w:val="22"/>
          <w:vertAlign w:val="superscript"/>
        </w:rPr>
        <w:footnoteReference w:id="333"/>
      </w:r>
      <w:r w:rsidRPr="00E55486">
        <w:rPr>
          <w:sz w:val="22"/>
          <w:szCs w:val="22"/>
        </w:rPr>
        <w:t xml:space="preserve">  The Commission seeks comment on a number of options for evaluating the competitive effects of spectrum holdings,  including retaining the current case-by-case approach, adopting bright-line limits, or adopting a hybrid approach that would combine some elements of a bright-line limit with a case-by-case analysis.</w:t>
      </w:r>
      <w:r w:rsidRPr="00E55486">
        <w:rPr>
          <w:rStyle w:val="FootnoteReference"/>
          <w:szCs w:val="22"/>
        </w:rPr>
        <w:footnoteReference w:id="334"/>
      </w:r>
      <w:r w:rsidRPr="00E55486">
        <w:rPr>
          <w:sz w:val="22"/>
          <w:szCs w:val="22"/>
        </w:rPr>
        <w:t xml:space="preserve"> </w:t>
      </w:r>
    </w:p>
    <w:p w:rsidR="004A147C" w:rsidRPr="00E55486" w:rsidRDefault="004A147C" w:rsidP="00CE5850">
      <w:pPr>
        <w:pStyle w:val="ParaNum"/>
        <w:numPr>
          <w:ilvl w:val="0"/>
          <w:numId w:val="28"/>
        </w:numPr>
        <w:rPr>
          <w:sz w:val="22"/>
          <w:szCs w:val="22"/>
        </w:rPr>
      </w:pPr>
      <w:r w:rsidRPr="00E55486">
        <w:rPr>
          <w:i/>
          <w:sz w:val="22"/>
          <w:szCs w:val="22"/>
        </w:rPr>
        <w:t xml:space="preserve">Spectrum Screen.  </w:t>
      </w:r>
      <w:r w:rsidRPr="00E55486">
        <w:rPr>
          <w:sz w:val="22"/>
          <w:szCs w:val="22"/>
        </w:rPr>
        <w:t>Beginning in 2004, the Commission has used a two-part screen to help identify markets where the acquisition of spectrum provides particular reason for further competitive analysis.</w:t>
      </w:r>
      <w:r w:rsidRPr="00E55486">
        <w:rPr>
          <w:sz w:val="22"/>
          <w:szCs w:val="22"/>
          <w:vertAlign w:val="superscript"/>
        </w:rPr>
        <w:footnoteReference w:id="335"/>
      </w:r>
      <w:r w:rsidRPr="00E55486">
        <w:rPr>
          <w:sz w:val="22"/>
          <w:szCs w:val="22"/>
        </w:rPr>
        <w:t>The first part of the screen considers changes in market concentration as a result of the transaction and is based on the size of the post-transaction Herfindahl-Hirschman Index (HHI) and the change in the HHI.</w:t>
      </w:r>
      <w:r w:rsidRPr="00E55486">
        <w:rPr>
          <w:sz w:val="22"/>
          <w:szCs w:val="22"/>
          <w:vertAlign w:val="superscript"/>
        </w:rPr>
        <w:footnoteReference w:id="336"/>
      </w:r>
      <w:r w:rsidRPr="00E55486">
        <w:rPr>
          <w:sz w:val="22"/>
          <w:szCs w:val="22"/>
        </w:rPr>
        <w:t xml:space="preserve">  The second part examines the amount of spectrum that is suitable and available on a market-by-market basis for the provision of mobile telephony/broadband service.</w:t>
      </w:r>
      <w:r w:rsidRPr="00E55486">
        <w:rPr>
          <w:sz w:val="22"/>
          <w:szCs w:val="22"/>
          <w:vertAlign w:val="superscript"/>
        </w:rPr>
        <w:footnoteReference w:id="337"/>
      </w:r>
      <w:r w:rsidRPr="00E55486">
        <w:rPr>
          <w:sz w:val="22"/>
          <w:szCs w:val="22"/>
        </w:rPr>
        <w:t xml:space="preserve">  For those markets highlighted by one or both steps in the analysis, the Commission routinely conducts detailed, market-by-market reviews to determine whether the transaction would result in an increased likelihood or ability in those markets for the combined entity to behave in an anticompetitive manner.  The case-by-case analysis considers variables that are important in predicting the incentives and ability of service providers to successfully reduce competition on price or non-price terms, and transaction-specific public interest benefits that may mitigate or outweigh any harms arising from the transaction.</w:t>
      </w:r>
      <w:r w:rsidRPr="00E55486">
        <w:rPr>
          <w:sz w:val="22"/>
          <w:szCs w:val="22"/>
          <w:vertAlign w:val="superscript"/>
        </w:rPr>
        <w:footnoteReference w:id="338"/>
      </w:r>
      <w:r w:rsidRPr="00E55486">
        <w:rPr>
          <w:sz w:val="22"/>
          <w:szCs w:val="22"/>
        </w:rPr>
        <w:t xml:space="preserve">   </w:t>
      </w:r>
    </w:p>
    <w:p w:rsidR="004A147C" w:rsidRPr="00E55486" w:rsidRDefault="004A147C" w:rsidP="00CE5850">
      <w:pPr>
        <w:pStyle w:val="ParaNum"/>
        <w:numPr>
          <w:ilvl w:val="0"/>
          <w:numId w:val="28"/>
        </w:numPr>
        <w:rPr>
          <w:sz w:val="22"/>
          <w:szCs w:val="22"/>
        </w:rPr>
      </w:pPr>
      <w:r w:rsidRPr="00E55486">
        <w:rPr>
          <w:sz w:val="22"/>
          <w:szCs w:val="22"/>
        </w:rPr>
        <w:t>In 2008, the Commission recognized the evolving nature of mobile services marketplace and therefore expanded the product market to include mobile broadband services.</w:t>
      </w:r>
      <w:r w:rsidRPr="00E55486">
        <w:rPr>
          <w:sz w:val="22"/>
          <w:szCs w:val="22"/>
          <w:vertAlign w:val="superscript"/>
        </w:rPr>
        <w:footnoteReference w:id="339"/>
      </w:r>
      <w:r w:rsidRPr="00E55486">
        <w:rPr>
          <w:sz w:val="22"/>
          <w:szCs w:val="22"/>
        </w:rPr>
        <w:t xml:space="preserve">  The Commission has determined suitability by whether the spectrum is capable of supporting mobile service given its physical properties and the state of equipment technology, whether the spectrum is licensed with a mobile allocation and corresponding service rules, and whether the spectrum is committed to another use that effectively precludes its uses for the relevant mobile services.</w:t>
      </w:r>
      <w:r w:rsidRPr="00E55486">
        <w:rPr>
          <w:sz w:val="22"/>
          <w:szCs w:val="22"/>
          <w:vertAlign w:val="superscript"/>
        </w:rPr>
        <w:footnoteReference w:id="340"/>
      </w:r>
      <w:r w:rsidRPr="00E55486">
        <w:rPr>
          <w:sz w:val="22"/>
          <w:szCs w:val="22"/>
        </w:rPr>
        <w:t xml:space="preserve">  With respect to availability, the Commission has considered particular spectrum to be a relevant input if it is fairly certain that it will meet the criteria for suitable spectrum in the near term.</w:t>
      </w:r>
      <w:r w:rsidRPr="00E55486">
        <w:rPr>
          <w:sz w:val="22"/>
          <w:szCs w:val="22"/>
          <w:vertAlign w:val="superscript"/>
        </w:rPr>
        <w:footnoteReference w:id="341"/>
      </w:r>
      <w:r w:rsidRPr="00E55486">
        <w:rPr>
          <w:sz w:val="22"/>
          <w:szCs w:val="22"/>
        </w:rPr>
        <w:t xml:space="preserve"> The Commission has balanced a number of factors in its market-by-market analysis, considering the totality of the circumstances in each market.</w:t>
      </w:r>
      <w:r w:rsidRPr="00E55486">
        <w:rPr>
          <w:sz w:val="22"/>
          <w:szCs w:val="22"/>
          <w:vertAlign w:val="superscript"/>
        </w:rPr>
        <w:footnoteReference w:id="342"/>
      </w:r>
      <w:r w:rsidRPr="00E55486">
        <w:rPr>
          <w:sz w:val="22"/>
          <w:szCs w:val="22"/>
        </w:rPr>
        <w:t xml:space="preserve">  The Commission also has considered whether harms in numerous local markets may result in nationwide harms.</w:t>
      </w:r>
      <w:r w:rsidRPr="00E55486">
        <w:rPr>
          <w:sz w:val="22"/>
          <w:szCs w:val="22"/>
          <w:vertAlign w:val="superscript"/>
        </w:rPr>
        <w:footnoteReference w:id="343"/>
      </w:r>
      <w:r w:rsidRPr="00E55486">
        <w:rPr>
          <w:sz w:val="22"/>
          <w:szCs w:val="22"/>
        </w:rPr>
        <w:t xml:space="preserve"> Since 2004, the Commission has periodically modified its spectrum screen to include additional spectrum – including 700 MHz,</w:t>
      </w:r>
      <w:r w:rsidRPr="00E55486">
        <w:rPr>
          <w:sz w:val="22"/>
          <w:szCs w:val="22"/>
          <w:vertAlign w:val="superscript"/>
        </w:rPr>
        <w:footnoteReference w:id="344"/>
      </w:r>
      <w:r w:rsidRPr="00E55486">
        <w:rPr>
          <w:sz w:val="22"/>
          <w:szCs w:val="22"/>
        </w:rPr>
        <w:t xml:space="preserve"> AWS-1,</w:t>
      </w:r>
      <w:r w:rsidRPr="00E55486">
        <w:rPr>
          <w:sz w:val="22"/>
          <w:szCs w:val="22"/>
          <w:vertAlign w:val="superscript"/>
        </w:rPr>
        <w:footnoteReference w:id="345"/>
      </w:r>
      <w:r w:rsidRPr="00E55486">
        <w:rPr>
          <w:sz w:val="22"/>
          <w:szCs w:val="22"/>
        </w:rPr>
        <w:t xml:space="preserve"> </w:t>
      </w:r>
      <w:r w:rsidR="005B380F" w:rsidRPr="00E55486">
        <w:rPr>
          <w:sz w:val="22"/>
          <w:szCs w:val="22"/>
        </w:rPr>
        <w:t>BRS,</w:t>
      </w:r>
      <w:r w:rsidRPr="00E55486">
        <w:rPr>
          <w:sz w:val="22"/>
          <w:szCs w:val="22"/>
          <w:vertAlign w:val="superscript"/>
        </w:rPr>
        <w:footnoteReference w:id="346"/>
      </w:r>
      <w:r w:rsidRPr="00E55486">
        <w:rPr>
          <w:sz w:val="22"/>
          <w:szCs w:val="22"/>
        </w:rPr>
        <w:t xml:space="preserve"> </w:t>
      </w:r>
      <w:r w:rsidR="005B380F" w:rsidRPr="00E55486">
        <w:rPr>
          <w:sz w:val="22"/>
          <w:szCs w:val="22"/>
        </w:rPr>
        <w:t>and WCS</w:t>
      </w:r>
      <w:r w:rsidR="005B380F" w:rsidRPr="00E55486">
        <w:rPr>
          <w:rStyle w:val="FootnoteReference"/>
          <w:szCs w:val="22"/>
        </w:rPr>
        <w:footnoteReference w:id="347"/>
      </w:r>
      <w:r w:rsidR="005B380F" w:rsidRPr="00E55486">
        <w:rPr>
          <w:sz w:val="22"/>
          <w:szCs w:val="22"/>
        </w:rPr>
        <w:t xml:space="preserve"> spectrum</w:t>
      </w:r>
      <w:r w:rsidRPr="00E55486">
        <w:rPr>
          <w:sz w:val="22"/>
          <w:szCs w:val="22"/>
        </w:rPr>
        <w:t>– as those band</w:t>
      </w:r>
      <w:r w:rsidR="00E72E1A" w:rsidRPr="00E55486">
        <w:rPr>
          <w:sz w:val="22"/>
          <w:szCs w:val="22"/>
        </w:rPr>
        <w:t>s</w:t>
      </w:r>
      <w:r w:rsidRPr="00E55486">
        <w:rPr>
          <w:sz w:val="22"/>
          <w:szCs w:val="22"/>
        </w:rPr>
        <w:t xml:space="preserve"> have been made available for commercial use.</w:t>
      </w:r>
      <w:r w:rsidRPr="00E55486">
        <w:rPr>
          <w:sz w:val="22"/>
          <w:szCs w:val="22"/>
          <w:vertAlign w:val="superscript"/>
        </w:rPr>
        <w:footnoteReference w:id="348"/>
      </w:r>
      <w:r w:rsidRPr="00E55486">
        <w:rPr>
          <w:sz w:val="22"/>
          <w:szCs w:val="22"/>
        </w:rPr>
        <w:t xml:space="preserve">  The Commission has determined that cellular, PCS,</w:t>
      </w:r>
      <w:r w:rsidRPr="00E55486">
        <w:rPr>
          <w:sz w:val="22"/>
          <w:szCs w:val="22"/>
          <w:vertAlign w:val="superscript"/>
        </w:rPr>
        <w:footnoteReference w:id="349"/>
      </w:r>
      <w:r w:rsidRPr="00E55486">
        <w:rPr>
          <w:sz w:val="22"/>
          <w:szCs w:val="22"/>
        </w:rPr>
        <w:t xml:space="preserve"> SMR, and 700 MHz band spectrum, as well as AWS-1</w:t>
      </w:r>
      <w:r w:rsidR="005B380F" w:rsidRPr="00E55486">
        <w:rPr>
          <w:sz w:val="22"/>
          <w:szCs w:val="22"/>
        </w:rPr>
        <w:t>, WCS,</w:t>
      </w:r>
      <w:r w:rsidRPr="00E55486">
        <w:rPr>
          <w:sz w:val="22"/>
          <w:szCs w:val="22"/>
        </w:rPr>
        <w:t xml:space="preserve"> and BRS spectrum, where available, meet the definition.</w:t>
      </w:r>
      <w:r w:rsidRPr="00E55486">
        <w:rPr>
          <w:sz w:val="22"/>
          <w:szCs w:val="22"/>
          <w:vertAlign w:val="superscript"/>
        </w:rPr>
        <w:footnoteReference w:id="350"/>
      </w:r>
      <w:r w:rsidRPr="00E55486">
        <w:rPr>
          <w:sz w:val="22"/>
          <w:szCs w:val="22"/>
        </w:rPr>
        <w:t xml:space="preserve"> In the recent </w:t>
      </w:r>
      <w:r w:rsidRPr="00E55486">
        <w:rPr>
          <w:i/>
          <w:sz w:val="22"/>
          <w:szCs w:val="22"/>
        </w:rPr>
        <w:t>Mobile Spectrum Holdings NPRM</w:t>
      </w:r>
      <w:r w:rsidRPr="00E55486">
        <w:rPr>
          <w:sz w:val="22"/>
          <w:szCs w:val="22"/>
        </w:rPr>
        <w:t xml:space="preserve">, the Commission notes that in several recent transactions, some parties have suggested modifying the spectrum screen to include additional spectrum bands, such as the BRS spectrum not currently included in the screen, EBS, </w:t>
      </w:r>
      <w:r w:rsidR="005B380F" w:rsidRPr="00E55486">
        <w:rPr>
          <w:sz w:val="22"/>
          <w:szCs w:val="22"/>
        </w:rPr>
        <w:t xml:space="preserve">and </w:t>
      </w:r>
      <w:r w:rsidRPr="00E55486">
        <w:rPr>
          <w:sz w:val="22"/>
          <w:szCs w:val="22"/>
        </w:rPr>
        <w:t>MSS</w:t>
      </w:r>
      <w:r w:rsidR="005B380F" w:rsidRPr="00E55486">
        <w:rPr>
          <w:sz w:val="22"/>
          <w:szCs w:val="22"/>
        </w:rPr>
        <w:t>.</w:t>
      </w:r>
      <w:r w:rsidRPr="00E55486">
        <w:rPr>
          <w:sz w:val="22"/>
          <w:szCs w:val="22"/>
        </w:rPr>
        <w:t xml:space="preserve">  In the NPRM, the Commission</w:t>
      </w:r>
      <w:r w:rsidRPr="00E55486">
        <w:rPr>
          <w:color w:val="000000"/>
          <w:sz w:val="22"/>
          <w:szCs w:val="22"/>
        </w:rPr>
        <w:t xml:space="preserve"> seeks comment on whether to modify the screen to include additional bands.</w:t>
      </w:r>
      <w:r w:rsidRPr="00E55486">
        <w:rPr>
          <w:sz w:val="22"/>
          <w:szCs w:val="22"/>
          <w:vertAlign w:val="superscript"/>
        </w:rPr>
        <w:footnoteReference w:id="351"/>
      </w:r>
      <w:r w:rsidRPr="00E55486">
        <w:rPr>
          <w:color w:val="000000"/>
          <w:sz w:val="22"/>
          <w:szCs w:val="22"/>
        </w:rPr>
        <w:t xml:space="preserve"> </w:t>
      </w:r>
    </w:p>
    <w:p w:rsidR="004A147C" w:rsidRPr="00B53FFB" w:rsidRDefault="004A147C" w:rsidP="00CE5850">
      <w:pPr>
        <w:pStyle w:val="ParaNum"/>
        <w:numPr>
          <w:ilvl w:val="0"/>
          <w:numId w:val="28"/>
        </w:numPr>
        <w:rPr>
          <w:szCs w:val="22"/>
        </w:rPr>
      </w:pPr>
      <w:r w:rsidRPr="00E55486">
        <w:rPr>
          <w:sz w:val="22"/>
          <w:szCs w:val="22"/>
        </w:rPr>
        <w:t>The spectrum screen identifies markets for particular focus in its case-by-case analysis to determine the likelihood that the transfer of spectrum may increase competitors’ costs to increase capacity or foreclose competitors or potential entrants from expanding capacity, deploying next-generation services, or entering the market.</w:t>
      </w:r>
      <w:r w:rsidRPr="00E55486">
        <w:rPr>
          <w:sz w:val="22"/>
          <w:szCs w:val="22"/>
          <w:vertAlign w:val="superscript"/>
        </w:rPr>
        <w:footnoteReference w:id="352"/>
      </w:r>
      <w:r w:rsidRPr="00E55486">
        <w:rPr>
          <w:sz w:val="22"/>
          <w:szCs w:val="22"/>
        </w:rPr>
        <w:t xml:space="preserve">  The Commission can condition approval of a transaction on the divestiture of licenses in markets where necessary to find an application serves the public interest.</w:t>
      </w:r>
      <w:r w:rsidRPr="00E55486" w:rsidDel="00C439C0">
        <w:rPr>
          <w:sz w:val="22"/>
          <w:szCs w:val="22"/>
        </w:rPr>
        <w:t xml:space="preserve"> </w:t>
      </w:r>
      <w:r w:rsidRPr="00E55486">
        <w:rPr>
          <w:sz w:val="22"/>
          <w:szCs w:val="22"/>
          <w:vertAlign w:val="superscript"/>
        </w:rPr>
        <w:footnoteReference w:id="353"/>
      </w:r>
      <w:r w:rsidRPr="00E55486">
        <w:rPr>
          <w:sz w:val="22"/>
          <w:szCs w:val="22"/>
        </w:rPr>
        <w:t xml:space="preserve">  The Commission is not, however, limited in its consideration of potential competitive harms in proposed transactions solely to markets identified by the spectrum screen.</w:t>
      </w:r>
      <w:r w:rsidRPr="00E55486">
        <w:rPr>
          <w:sz w:val="22"/>
          <w:szCs w:val="22"/>
          <w:vertAlign w:val="superscript"/>
        </w:rPr>
        <w:footnoteReference w:id="354"/>
      </w:r>
      <w:r w:rsidRPr="00E55486">
        <w:rPr>
          <w:sz w:val="22"/>
          <w:szCs w:val="22"/>
        </w:rPr>
        <w:t xml:space="preserve">   </w:t>
      </w:r>
      <w:r w:rsidRPr="00B53FFB">
        <w:rPr>
          <w:szCs w:val="22"/>
        </w:rPr>
        <w:t xml:space="preserve">   </w:t>
      </w:r>
    </w:p>
    <w:p w:rsidR="004A147C" w:rsidRPr="00B53FFB" w:rsidRDefault="004A147C" w:rsidP="00CE5850">
      <w:pPr>
        <w:spacing w:before="120" w:after="120"/>
        <w:jc w:val="center"/>
        <w:rPr>
          <w:b/>
          <w:kern w:val="0"/>
          <w:szCs w:val="22"/>
        </w:rPr>
      </w:pPr>
      <w:bookmarkStart w:id="1617" w:name="_Ref347757443"/>
      <w:r w:rsidRPr="00B53FFB">
        <w:rPr>
          <w:b/>
          <w:kern w:val="0"/>
          <w:szCs w:val="22"/>
        </w:rPr>
        <w:t xml:space="preserve">Table </w:t>
      </w:r>
      <w:r w:rsidR="0007014B" w:rsidRPr="00B53FFB">
        <w:rPr>
          <w:b/>
          <w:kern w:val="0"/>
          <w:szCs w:val="22"/>
        </w:rPr>
        <w:fldChar w:fldCharType="begin"/>
      </w:r>
      <w:r w:rsidRPr="00B53FFB">
        <w:rPr>
          <w:b/>
          <w:kern w:val="0"/>
          <w:szCs w:val="22"/>
        </w:rPr>
        <w:instrText xml:space="preserve"> SEQ Table \* ARABIC </w:instrText>
      </w:r>
      <w:r w:rsidR="0007014B" w:rsidRPr="00B53FFB">
        <w:rPr>
          <w:b/>
          <w:kern w:val="0"/>
          <w:szCs w:val="22"/>
        </w:rPr>
        <w:fldChar w:fldCharType="separate"/>
      </w:r>
      <w:r w:rsidR="00CA3AC6">
        <w:rPr>
          <w:b/>
          <w:noProof/>
          <w:kern w:val="0"/>
          <w:szCs w:val="22"/>
        </w:rPr>
        <w:t>16</w:t>
      </w:r>
      <w:r w:rsidR="0007014B" w:rsidRPr="00B53FFB">
        <w:rPr>
          <w:b/>
          <w:kern w:val="0"/>
          <w:szCs w:val="22"/>
        </w:rPr>
        <w:fldChar w:fldCharType="end"/>
      </w:r>
      <w:bookmarkEnd w:id="1617"/>
      <w:r w:rsidRPr="00B53FFB">
        <w:rPr>
          <w:b/>
          <w:kern w:val="0"/>
          <w:szCs w:val="22"/>
        </w:rPr>
        <w:br/>
        <w:t>Spectrum Attributable in the Spectrum Screen</w:t>
      </w:r>
    </w:p>
    <w:tbl>
      <w:tblPr>
        <w:tblW w:w="0" w:type="auto"/>
        <w:jc w:val="center"/>
        <w:tblCellMar>
          <w:left w:w="0" w:type="dxa"/>
          <w:right w:w="0" w:type="dxa"/>
        </w:tblCellMar>
        <w:tblLook w:val="0000" w:firstRow="0" w:lastRow="0" w:firstColumn="0" w:lastColumn="0" w:noHBand="0" w:noVBand="0"/>
      </w:tblPr>
      <w:tblGrid>
        <w:gridCol w:w="2837"/>
        <w:gridCol w:w="2430"/>
      </w:tblGrid>
      <w:tr w:rsidR="004A147C" w:rsidRPr="00B53FFB" w:rsidTr="00610A7B">
        <w:trPr>
          <w:jc w:val="center"/>
        </w:trPr>
        <w:tc>
          <w:tcPr>
            <w:tcW w:w="2837"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tcPr>
          <w:p w:rsidR="004A147C" w:rsidRPr="00B53FFB" w:rsidRDefault="004A147C" w:rsidP="00CE5850">
            <w:pPr>
              <w:snapToGrid w:val="0"/>
              <w:jc w:val="center"/>
              <w:rPr>
                <w:b/>
                <w:bCs/>
                <w:szCs w:val="22"/>
              </w:rPr>
            </w:pPr>
            <w:r w:rsidRPr="00B53FFB">
              <w:rPr>
                <w:b/>
                <w:bCs/>
                <w:szCs w:val="22"/>
              </w:rPr>
              <w:t>Spectrum Band</w:t>
            </w:r>
          </w:p>
        </w:tc>
        <w:tc>
          <w:tcPr>
            <w:tcW w:w="2430" w:type="dxa"/>
            <w:tcBorders>
              <w:top w:val="single" w:sz="8" w:space="0" w:color="auto"/>
              <w:left w:val="nil"/>
              <w:bottom w:val="single" w:sz="8" w:space="0" w:color="auto"/>
              <w:right w:val="single" w:sz="8" w:space="0" w:color="auto"/>
            </w:tcBorders>
            <w:tcMar>
              <w:top w:w="0" w:type="dxa"/>
              <w:left w:w="108" w:type="dxa"/>
              <w:bottom w:w="0" w:type="dxa"/>
              <w:right w:w="108" w:type="dxa"/>
            </w:tcMar>
          </w:tcPr>
          <w:p w:rsidR="004A147C" w:rsidRPr="00B53FFB" w:rsidRDefault="004A147C" w:rsidP="00CE5850">
            <w:pPr>
              <w:snapToGrid w:val="0"/>
              <w:jc w:val="center"/>
              <w:rPr>
                <w:b/>
                <w:bCs/>
                <w:szCs w:val="22"/>
              </w:rPr>
            </w:pPr>
            <w:r w:rsidRPr="00B53FFB">
              <w:rPr>
                <w:b/>
                <w:bCs/>
                <w:szCs w:val="22"/>
              </w:rPr>
              <w:t>Megahertz</w:t>
            </w:r>
          </w:p>
        </w:tc>
      </w:tr>
      <w:tr w:rsidR="004A147C" w:rsidRPr="00B53FFB" w:rsidTr="00610A7B">
        <w:trPr>
          <w:jc w:val="center"/>
        </w:trPr>
        <w:tc>
          <w:tcPr>
            <w:tcW w:w="2837" w:type="dxa"/>
            <w:tcBorders>
              <w:top w:val="nil"/>
              <w:left w:val="single" w:sz="8" w:space="0" w:color="auto"/>
              <w:bottom w:val="single" w:sz="8" w:space="0" w:color="auto"/>
              <w:right w:val="single" w:sz="8" w:space="0" w:color="auto"/>
            </w:tcBorders>
            <w:tcMar>
              <w:top w:w="0" w:type="dxa"/>
              <w:left w:w="108" w:type="dxa"/>
              <w:bottom w:w="0" w:type="dxa"/>
              <w:right w:w="108" w:type="dxa"/>
            </w:tcMar>
          </w:tcPr>
          <w:p w:rsidR="004A147C" w:rsidRPr="00B53FFB" w:rsidRDefault="004A147C" w:rsidP="00CE5850">
            <w:pPr>
              <w:snapToGrid w:val="0"/>
              <w:rPr>
                <w:szCs w:val="22"/>
              </w:rPr>
            </w:pPr>
            <w:r w:rsidRPr="00B53FFB">
              <w:rPr>
                <w:szCs w:val="22"/>
              </w:rPr>
              <w:t>Cellular</w:t>
            </w:r>
          </w:p>
        </w:tc>
        <w:tc>
          <w:tcPr>
            <w:tcW w:w="2430" w:type="dxa"/>
            <w:tcBorders>
              <w:top w:val="nil"/>
              <w:left w:val="nil"/>
              <w:bottom w:val="single" w:sz="8" w:space="0" w:color="auto"/>
              <w:right w:val="single" w:sz="8" w:space="0" w:color="auto"/>
            </w:tcBorders>
            <w:tcMar>
              <w:top w:w="0" w:type="dxa"/>
              <w:left w:w="108" w:type="dxa"/>
              <w:bottom w:w="0" w:type="dxa"/>
              <w:right w:w="108" w:type="dxa"/>
            </w:tcMar>
          </w:tcPr>
          <w:p w:rsidR="004A147C" w:rsidRPr="00B53FFB" w:rsidRDefault="004A147C" w:rsidP="00CE5850">
            <w:pPr>
              <w:snapToGrid w:val="0"/>
              <w:jc w:val="right"/>
              <w:rPr>
                <w:szCs w:val="22"/>
              </w:rPr>
            </w:pPr>
            <w:r w:rsidRPr="00B53FFB">
              <w:rPr>
                <w:szCs w:val="22"/>
              </w:rPr>
              <w:t>50</w:t>
            </w:r>
          </w:p>
        </w:tc>
      </w:tr>
      <w:tr w:rsidR="004A147C" w:rsidRPr="00B53FFB" w:rsidTr="00610A7B">
        <w:trPr>
          <w:jc w:val="center"/>
        </w:trPr>
        <w:tc>
          <w:tcPr>
            <w:tcW w:w="2837" w:type="dxa"/>
            <w:tcBorders>
              <w:top w:val="nil"/>
              <w:left w:val="single" w:sz="8" w:space="0" w:color="auto"/>
              <w:bottom w:val="single" w:sz="8" w:space="0" w:color="auto"/>
              <w:right w:val="single" w:sz="8" w:space="0" w:color="auto"/>
            </w:tcBorders>
            <w:tcMar>
              <w:top w:w="0" w:type="dxa"/>
              <w:left w:w="108" w:type="dxa"/>
              <w:bottom w:w="0" w:type="dxa"/>
              <w:right w:w="108" w:type="dxa"/>
            </w:tcMar>
          </w:tcPr>
          <w:p w:rsidR="004A147C" w:rsidRPr="00B53FFB" w:rsidRDefault="004A147C" w:rsidP="00CE5850">
            <w:pPr>
              <w:snapToGrid w:val="0"/>
              <w:rPr>
                <w:szCs w:val="22"/>
              </w:rPr>
            </w:pPr>
            <w:r w:rsidRPr="00B53FFB">
              <w:rPr>
                <w:szCs w:val="22"/>
              </w:rPr>
              <w:t>SMR*</w:t>
            </w:r>
          </w:p>
        </w:tc>
        <w:tc>
          <w:tcPr>
            <w:tcW w:w="2430" w:type="dxa"/>
            <w:tcBorders>
              <w:top w:val="nil"/>
              <w:left w:val="nil"/>
              <w:bottom w:val="single" w:sz="8" w:space="0" w:color="auto"/>
              <w:right w:val="single" w:sz="8" w:space="0" w:color="auto"/>
            </w:tcBorders>
            <w:tcMar>
              <w:top w:w="0" w:type="dxa"/>
              <w:left w:w="108" w:type="dxa"/>
              <w:bottom w:w="0" w:type="dxa"/>
              <w:right w:w="108" w:type="dxa"/>
            </w:tcMar>
          </w:tcPr>
          <w:p w:rsidR="004A147C" w:rsidRPr="00B53FFB" w:rsidRDefault="004A147C" w:rsidP="00CE5850">
            <w:pPr>
              <w:snapToGrid w:val="0"/>
              <w:jc w:val="right"/>
              <w:rPr>
                <w:szCs w:val="22"/>
              </w:rPr>
            </w:pPr>
            <w:r w:rsidRPr="00B53FFB">
              <w:rPr>
                <w:szCs w:val="22"/>
              </w:rPr>
              <w:t>26.5</w:t>
            </w:r>
          </w:p>
        </w:tc>
      </w:tr>
      <w:tr w:rsidR="004A147C" w:rsidRPr="00B53FFB" w:rsidTr="00610A7B">
        <w:trPr>
          <w:jc w:val="center"/>
        </w:trPr>
        <w:tc>
          <w:tcPr>
            <w:tcW w:w="2837" w:type="dxa"/>
            <w:tcBorders>
              <w:top w:val="nil"/>
              <w:left w:val="single" w:sz="8" w:space="0" w:color="auto"/>
              <w:bottom w:val="single" w:sz="8" w:space="0" w:color="auto"/>
              <w:right w:val="single" w:sz="8" w:space="0" w:color="auto"/>
            </w:tcBorders>
            <w:tcMar>
              <w:top w:w="0" w:type="dxa"/>
              <w:left w:w="108" w:type="dxa"/>
              <w:bottom w:w="0" w:type="dxa"/>
              <w:right w:w="108" w:type="dxa"/>
            </w:tcMar>
          </w:tcPr>
          <w:p w:rsidR="004A147C" w:rsidRPr="00B53FFB" w:rsidRDefault="004A147C" w:rsidP="00CE5850">
            <w:pPr>
              <w:snapToGrid w:val="0"/>
              <w:rPr>
                <w:szCs w:val="22"/>
              </w:rPr>
            </w:pPr>
            <w:r w:rsidRPr="00B53FFB">
              <w:rPr>
                <w:szCs w:val="22"/>
              </w:rPr>
              <w:t>Broadband PCS**</w:t>
            </w:r>
          </w:p>
        </w:tc>
        <w:tc>
          <w:tcPr>
            <w:tcW w:w="2430" w:type="dxa"/>
            <w:tcBorders>
              <w:top w:val="nil"/>
              <w:left w:val="nil"/>
              <w:bottom w:val="single" w:sz="8" w:space="0" w:color="auto"/>
              <w:right w:val="single" w:sz="8" w:space="0" w:color="auto"/>
            </w:tcBorders>
            <w:tcMar>
              <w:top w:w="0" w:type="dxa"/>
              <w:left w:w="108" w:type="dxa"/>
              <w:bottom w:w="0" w:type="dxa"/>
              <w:right w:w="108" w:type="dxa"/>
            </w:tcMar>
          </w:tcPr>
          <w:p w:rsidR="004A147C" w:rsidRPr="00B53FFB" w:rsidRDefault="004A147C" w:rsidP="00CE5850">
            <w:pPr>
              <w:snapToGrid w:val="0"/>
              <w:jc w:val="right"/>
              <w:rPr>
                <w:szCs w:val="22"/>
              </w:rPr>
            </w:pPr>
            <w:r w:rsidRPr="00B53FFB">
              <w:rPr>
                <w:szCs w:val="22"/>
              </w:rPr>
              <w:t>130</w:t>
            </w:r>
          </w:p>
        </w:tc>
      </w:tr>
      <w:tr w:rsidR="004A147C" w:rsidRPr="00B53FFB" w:rsidTr="00610A7B">
        <w:trPr>
          <w:jc w:val="center"/>
        </w:trPr>
        <w:tc>
          <w:tcPr>
            <w:tcW w:w="2837" w:type="dxa"/>
            <w:tcBorders>
              <w:top w:val="nil"/>
              <w:left w:val="single" w:sz="8" w:space="0" w:color="auto"/>
              <w:bottom w:val="single" w:sz="8" w:space="0" w:color="auto"/>
              <w:right w:val="single" w:sz="8" w:space="0" w:color="auto"/>
            </w:tcBorders>
            <w:tcMar>
              <w:top w:w="0" w:type="dxa"/>
              <w:left w:w="108" w:type="dxa"/>
              <w:bottom w:w="0" w:type="dxa"/>
              <w:right w:w="108" w:type="dxa"/>
            </w:tcMar>
          </w:tcPr>
          <w:p w:rsidR="004A147C" w:rsidRPr="00B53FFB" w:rsidRDefault="004A147C" w:rsidP="00CE5850">
            <w:pPr>
              <w:snapToGrid w:val="0"/>
              <w:rPr>
                <w:szCs w:val="22"/>
              </w:rPr>
            </w:pPr>
            <w:r w:rsidRPr="00B53FFB">
              <w:rPr>
                <w:szCs w:val="22"/>
              </w:rPr>
              <w:t>700 MHz***</w:t>
            </w:r>
          </w:p>
        </w:tc>
        <w:tc>
          <w:tcPr>
            <w:tcW w:w="2430" w:type="dxa"/>
            <w:tcBorders>
              <w:top w:val="nil"/>
              <w:left w:val="nil"/>
              <w:bottom w:val="single" w:sz="8" w:space="0" w:color="auto"/>
              <w:right w:val="single" w:sz="8" w:space="0" w:color="auto"/>
            </w:tcBorders>
            <w:tcMar>
              <w:top w:w="0" w:type="dxa"/>
              <w:left w:w="108" w:type="dxa"/>
              <w:bottom w:w="0" w:type="dxa"/>
              <w:right w:w="108" w:type="dxa"/>
            </w:tcMar>
          </w:tcPr>
          <w:p w:rsidR="004A147C" w:rsidRPr="00B53FFB" w:rsidDel="001F14E7" w:rsidRDefault="004A147C" w:rsidP="00CE5850">
            <w:pPr>
              <w:snapToGrid w:val="0"/>
              <w:jc w:val="right"/>
              <w:rPr>
                <w:szCs w:val="22"/>
              </w:rPr>
            </w:pPr>
            <w:r w:rsidRPr="00B53FFB">
              <w:rPr>
                <w:szCs w:val="22"/>
              </w:rPr>
              <w:t>80</w:t>
            </w:r>
          </w:p>
        </w:tc>
      </w:tr>
      <w:tr w:rsidR="004A147C" w:rsidRPr="00B53FFB" w:rsidTr="00C12233">
        <w:trPr>
          <w:jc w:val="center"/>
        </w:trPr>
        <w:tc>
          <w:tcPr>
            <w:tcW w:w="2837" w:type="dxa"/>
            <w:tcBorders>
              <w:top w:val="nil"/>
              <w:left w:val="single" w:sz="8" w:space="0" w:color="auto"/>
              <w:bottom w:val="single" w:sz="8" w:space="0" w:color="auto"/>
              <w:right w:val="single" w:sz="8" w:space="0" w:color="auto"/>
            </w:tcBorders>
            <w:tcMar>
              <w:top w:w="0" w:type="dxa"/>
              <w:left w:w="108" w:type="dxa"/>
              <w:bottom w:w="0" w:type="dxa"/>
              <w:right w:w="108" w:type="dxa"/>
            </w:tcMar>
          </w:tcPr>
          <w:p w:rsidR="004A147C" w:rsidRPr="00B53FFB" w:rsidRDefault="004A147C" w:rsidP="00CE5850">
            <w:pPr>
              <w:snapToGrid w:val="0"/>
              <w:rPr>
                <w:szCs w:val="22"/>
              </w:rPr>
            </w:pPr>
            <w:r w:rsidRPr="00B53FFB">
              <w:rPr>
                <w:szCs w:val="22"/>
              </w:rPr>
              <w:t>AWS-1****</w:t>
            </w:r>
          </w:p>
        </w:tc>
        <w:tc>
          <w:tcPr>
            <w:tcW w:w="2430" w:type="dxa"/>
            <w:tcBorders>
              <w:top w:val="nil"/>
              <w:left w:val="nil"/>
              <w:bottom w:val="single" w:sz="8" w:space="0" w:color="auto"/>
              <w:right w:val="single" w:sz="8" w:space="0" w:color="auto"/>
            </w:tcBorders>
            <w:tcMar>
              <w:top w:w="0" w:type="dxa"/>
              <w:left w:w="108" w:type="dxa"/>
              <w:bottom w:w="0" w:type="dxa"/>
              <w:right w:w="108" w:type="dxa"/>
            </w:tcMar>
          </w:tcPr>
          <w:p w:rsidR="004A147C" w:rsidRPr="00B53FFB" w:rsidRDefault="004A147C" w:rsidP="00CE5850">
            <w:pPr>
              <w:snapToGrid w:val="0"/>
              <w:jc w:val="right"/>
              <w:rPr>
                <w:szCs w:val="22"/>
              </w:rPr>
            </w:pPr>
            <w:r w:rsidRPr="00B53FFB">
              <w:rPr>
                <w:szCs w:val="22"/>
              </w:rPr>
              <w:t>90</w:t>
            </w:r>
          </w:p>
        </w:tc>
      </w:tr>
      <w:tr w:rsidR="004A147C" w:rsidRPr="00B53FFB" w:rsidTr="00C12233">
        <w:trPr>
          <w:jc w:val="center"/>
        </w:trPr>
        <w:tc>
          <w:tcPr>
            <w:tcW w:w="2837"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tcPr>
          <w:p w:rsidR="004A147C" w:rsidRPr="00B53FFB" w:rsidRDefault="004A147C" w:rsidP="00CE5850">
            <w:pPr>
              <w:snapToGrid w:val="0"/>
              <w:rPr>
                <w:szCs w:val="22"/>
              </w:rPr>
            </w:pPr>
            <w:r w:rsidRPr="00B53FFB">
              <w:rPr>
                <w:szCs w:val="22"/>
              </w:rPr>
              <w:t>BRS*****</w:t>
            </w:r>
          </w:p>
        </w:tc>
        <w:tc>
          <w:tcPr>
            <w:tcW w:w="2430" w:type="dxa"/>
            <w:tcBorders>
              <w:top w:val="single" w:sz="8" w:space="0" w:color="auto"/>
              <w:left w:val="nil"/>
              <w:bottom w:val="single" w:sz="8" w:space="0" w:color="auto"/>
              <w:right w:val="single" w:sz="8" w:space="0" w:color="auto"/>
            </w:tcBorders>
            <w:tcMar>
              <w:top w:w="0" w:type="dxa"/>
              <w:left w:w="108" w:type="dxa"/>
              <w:bottom w:w="0" w:type="dxa"/>
              <w:right w:w="108" w:type="dxa"/>
            </w:tcMar>
          </w:tcPr>
          <w:p w:rsidR="004A147C" w:rsidRPr="00B53FFB" w:rsidRDefault="004A147C" w:rsidP="00CE5850">
            <w:pPr>
              <w:snapToGrid w:val="0"/>
              <w:jc w:val="right"/>
              <w:rPr>
                <w:szCs w:val="22"/>
              </w:rPr>
            </w:pPr>
            <w:r w:rsidRPr="00B53FFB">
              <w:rPr>
                <w:szCs w:val="22"/>
              </w:rPr>
              <w:t>55.5</w:t>
            </w:r>
          </w:p>
        </w:tc>
      </w:tr>
      <w:tr w:rsidR="00C12233" w:rsidRPr="00B53FFB" w:rsidTr="00C12233">
        <w:trPr>
          <w:jc w:val="center"/>
        </w:trPr>
        <w:tc>
          <w:tcPr>
            <w:tcW w:w="2837"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tcPr>
          <w:p w:rsidR="00C12233" w:rsidRPr="00B53FFB" w:rsidRDefault="00C12233" w:rsidP="00CE5850">
            <w:pPr>
              <w:snapToGrid w:val="0"/>
              <w:rPr>
                <w:szCs w:val="22"/>
              </w:rPr>
            </w:pPr>
            <w:r>
              <w:rPr>
                <w:szCs w:val="22"/>
              </w:rPr>
              <w:t>WCS</w:t>
            </w:r>
          </w:p>
        </w:tc>
        <w:tc>
          <w:tcPr>
            <w:tcW w:w="2430" w:type="dxa"/>
            <w:tcBorders>
              <w:top w:val="single" w:sz="8" w:space="0" w:color="auto"/>
              <w:left w:val="nil"/>
              <w:bottom w:val="single" w:sz="8" w:space="0" w:color="auto"/>
              <w:right w:val="single" w:sz="8" w:space="0" w:color="auto"/>
            </w:tcBorders>
            <w:tcMar>
              <w:top w:w="0" w:type="dxa"/>
              <w:left w:w="108" w:type="dxa"/>
              <w:bottom w:w="0" w:type="dxa"/>
              <w:right w:w="108" w:type="dxa"/>
            </w:tcMar>
          </w:tcPr>
          <w:p w:rsidR="00C12233" w:rsidRPr="00B53FFB" w:rsidRDefault="00C12233" w:rsidP="00CE5850">
            <w:pPr>
              <w:snapToGrid w:val="0"/>
              <w:jc w:val="right"/>
              <w:rPr>
                <w:szCs w:val="22"/>
              </w:rPr>
            </w:pPr>
            <w:r>
              <w:rPr>
                <w:szCs w:val="22"/>
              </w:rPr>
              <w:t>20</w:t>
            </w:r>
          </w:p>
        </w:tc>
      </w:tr>
    </w:tbl>
    <w:p w:rsidR="004A147C" w:rsidRPr="00B53FFB" w:rsidRDefault="004A147C" w:rsidP="00CE5850">
      <w:pPr>
        <w:rPr>
          <w:szCs w:val="22"/>
        </w:rPr>
      </w:pPr>
      <w:r w:rsidRPr="00B53FFB">
        <w:rPr>
          <w:szCs w:val="22"/>
        </w:rPr>
        <w:t>* Including 19 megahertz of SMR spectrum and 7.5 megahertz of spectrum that is available for SMR as well as other services.</w:t>
      </w:r>
      <w:r w:rsidRPr="00B53FFB">
        <w:rPr>
          <w:szCs w:val="22"/>
          <w:vertAlign w:val="superscript"/>
        </w:rPr>
        <w:footnoteReference w:id="355"/>
      </w:r>
      <w:r w:rsidRPr="00B53FFB">
        <w:rPr>
          <w:szCs w:val="22"/>
        </w:rPr>
        <w:t xml:space="preserve"> </w:t>
      </w:r>
    </w:p>
    <w:p w:rsidR="004A147C" w:rsidRPr="00B53FFB" w:rsidRDefault="004A147C" w:rsidP="00CE5850">
      <w:pPr>
        <w:rPr>
          <w:szCs w:val="22"/>
        </w:rPr>
      </w:pPr>
      <w:r w:rsidRPr="00B53FFB">
        <w:rPr>
          <w:szCs w:val="22"/>
        </w:rPr>
        <w:t>** Includes 10 megahertz of 1910-15/1990-95 MHz spectrum held by Sprint as a result of the 800 MHz Band Reconfiguration.</w:t>
      </w:r>
      <w:r w:rsidRPr="00B53FFB">
        <w:rPr>
          <w:szCs w:val="22"/>
          <w:vertAlign w:val="superscript"/>
        </w:rPr>
        <w:footnoteReference w:id="356"/>
      </w:r>
      <w:r w:rsidRPr="00B53FFB">
        <w:rPr>
          <w:szCs w:val="22"/>
        </w:rPr>
        <w:t xml:space="preserve"> </w:t>
      </w:r>
    </w:p>
    <w:p w:rsidR="004A147C" w:rsidRPr="00B53FFB" w:rsidRDefault="004A147C" w:rsidP="00CE5850">
      <w:pPr>
        <w:rPr>
          <w:szCs w:val="22"/>
        </w:rPr>
      </w:pPr>
      <w:r w:rsidRPr="00B53FFB">
        <w:rPr>
          <w:szCs w:val="22"/>
        </w:rPr>
        <w:t>***Includes 10 megahertz of Upper 700 MHz D Block spectrum.</w:t>
      </w:r>
      <w:r w:rsidRPr="00B53FFB">
        <w:rPr>
          <w:szCs w:val="22"/>
          <w:vertAlign w:val="superscript"/>
        </w:rPr>
        <w:footnoteReference w:id="357"/>
      </w:r>
      <w:r w:rsidRPr="00B53FFB">
        <w:rPr>
          <w:szCs w:val="22"/>
        </w:rPr>
        <w:t xml:space="preserve">   </w:t>
      </w:r>
    </w:p>
    <w:p w:rsidR="004A147C" w:rsidRPr="00B53FFB" w:rsidRDefault="004A147C" w:rsidP="00CE5850">
      <w:pPr>
        <w:rPr>
          <w:szCs w:val="22"/>
        </w:rPr>
      </w:pPr>
      <w:r w:rsidRPr="00B53FFB">
        <w:rPr>
          <w:szCs w:val="22"/>
        </w:rPr>
        <w:t>**** AWS-1 is not attributable in markets where Federal Government users have not been relocated.</w:t>
      </w:r>
    </w:p>
    <w:p w:rsidR="004A147C" w:rsidRPr="00B53FFB" w:rsidRDefault="004A147C" w:rsidP="00CE5850">
      <w:pPr>
        <w:rPr>
          <w:szCs w:val="22"/>
        </w:rPr>
      </w:pPr>
      <w:r w:rsidRPr="00B53FFB">
        <w:rPr>
          <w:szCs w:val="22"/>
        </w:rPr>
        <w:t>***** BRS is not attributable in markets where previous BRS licensees have not been transitioned.</w:t>
      </w:r>
      <w:r w:rsidRPr="00B53FFB">
        <w:rPr>
          <w:szCs w:val="22"/>
          <w:vertAlign w:val="superscript"/>
        </w:rPr>
        <w:t xml:space="preserve"> </w:t>
      </w:r>
      <w:r w:rsidRPr="00B53FFB">
        <w:rPr>
          <w:szCs w:val="22"/>
          <w:vertAlign w:val="superscript"/>
        </w:rPr>
        <w:footnoteReference w:id="358"/>
      </w:r>
    </w:p>
    <w:p w:rsidR="004A147C" w:rsidRPr="00B53FFB" w:rsidRDefault="004A147C" w:rsidP="00CE5850">
      <w:pPr>
        <w:spacing w:after="120"/>
        <w:rPr>
          <w:szCs w:val="22"/>
        </w:rPr>
      </w:pPr>
    </w:p>
    <w:p w:rsidR="004A147C" w:rsidRPr="00E55486" w:rsidRDefault="004A147C" w:rsidP="00CE5850">
      <w:pPr>
        <w:pStyle w:val="ParaNum"/>
        <w:numPr>
          <w:ilvl w:val="0"/>
          <w:numId w:val="28"/>
        </w:numPr>
        <w:rPr>
          <w:sz w:val="22"/>
          <w:szCs w:val="22"/>
        </w:rPr>
      </w:pPr>
      <w:r w:rsidRPr="00E55486">
        <w:rPr>
          <w:sz w:val="22"/>
          <w:szCs w:val="22"/>
        </w:rPr>
        <w:t xml:space="preserve">In both the 2011 </w:t>
      </w:r>
      <w:r w:rsidRPr="00E55486">
        <w:rPr>
          <w:i/>
          <w:sz w:val="22"/>
          <w:szCs w:val="22"/>
        </w:rPr>
        <w:t>AT&amp;T-Qualcomm Order</w:t>
      </w:r>
      <w:r w:rsidRPr="00E55486">
        <w:rPr>
          <w:sz w:val="22"/>
          <w:szCs w:val="22"/>
        </w:rPr>
        <w:t xml:space="preserve"> and in the 2012 </w:t>
      </w:r>
      <w:r w:rsidRPr="00E55486">
        <w:rPr>
          <w:i/>
          <w:spacing w:val="-2"/>
          <w:sz w:val="22"/>
          <w:szCs w:val="22"/>
        </w:rPr>
        <w:t>Verizon Wireless- SpectrumCo Order,</w:t>
      </w:r>
      <w:r w:rsidRPr="00E55486">
        <w:rPr>
          <w:spacing w:val="-2"/>
          <w:sz w:val="22"/>
          <w:szCs w:val="22"/>
        </w:rPr>
        <w:t xml:space="preserve"> the Commission declined to make any changes to the current spectrum screen</w:t>
      </w:r>
      <w:r w:rsidRPr="00E55486">
        <w:rPr>
          <w:sz w:val="22"/>
          <w:szCs w:val="22"/>
        </w:rPr>
        <w:t>.</w:t>
      </w:r>
      <w:r w:rsidRPr="00E55486">
        <w:rPr>
          <w:sz w:val="22"/>
          <w:szCs w:val="22"/>
          <w:vertAlign w:val="superscript"/>
        </w:rPr>
        <w:footnoteReference w:id="359"/>
      </w:r>
      <w:r w:rsidRPr="00E55486">
        <w:rPr>
          <w:sz w:val="22"/>
          <w:szCs w:val="22"/>
        </w:rPr>
        <w:t xml:space="preserve">  However, in the </w:t>
      </w:r>
      <w:r w:rsidRPr="00E55486">
        <w:rPr>
          <w:i/>
          <w:sz w:val="22"/>
          <w:szCs w:val="22"/>
        </w:rPr>
        <w:t>Verizon Wireless-Spectrum Co Order</w:t>
      </w:r>
      <w:r w:rsidRPr="00E55486">
        <w:rPr>
          <w:sz w:val="22"/>
          <w:szCs w:val="22"/>
        </w:rPr>
        <w:t>, the Commission stated it would initiate a proceeding to review its policies governing mobile wireless spectrum holdings to ensure that they fulfill statutory objectives, given changes in technology, spectrum availability, and the marketplace.</w:t>
      </w:r>
      <w:r w:rsidRPr="00E55486">
        <w:rPr>
          <w:sz w:val="22"/>
          <w:szCs w:val="22"/>
          <w:vertAlign w:val="superscript"/>
        </w:rPr>
        <w:footnoteReference w:id="360"/>
      </w:r>
      <w:r w:rsidRPr="00E55486">
        <w:rPr>
          <w:sz w:val="22"/>
          <w:szCs w:val="22"/>
        </w:rPr>
        <w:t xml:space="preserve"> On September 28, 2012,</w:t>
      </w:r>
      <w:r w:rsidRPr="00E55486">
        <w:rPr>
          <w:b/>
          <w:sz w:val="22"/>
          <w:szCs w:val="22"/>
        </w:rPr>
        <w:t xml:space="preserve"> </w:t>
      </w:r>
      <w:r w:rsidRPr="00E55486">
        <w:rPr>
          <w:sz w:val="22"/>
          <w:szCs w:val="22"/>
        </w:rPr>
        <w:t xml:space="preserve">the Commission released the </w:t>
      </w:r>
      <w:r w:rsidRPr="00E55486">
        <w:rPr>
          <w:i/>
          <w:sz w:val="22"/>
          <w:szCs w:val="22"/>
        </w:rPr>
        <w:t>Mobile Spectrum Holdings NPRM</w:t>
      </w:r>
      <w:r w:rsidRPr="00E55486">
        <w:rPr>
          <w:sz w:val="22"/>
          <w:szCs w:val="22"/>
        </w:rPr>
        <w:t xml:space="preserve"> to review its policies to ensure that its rules “are clear and predictable and promote the competition needed to ensure a vibrant, world-leading, increasingly mobile economy driven by innovation.”</w:t>
      </w:r>
      <w:r w:rsidRPr="00E55486">
        <w:rPr>
          <w:sz w:val="22"/>
          <w:szCs w:val="22"/>
          <w:vertAlign w:val="superscript"/>
        </w:rPr>
        <w:footnoteReference w:id="361"/>
      </w:r>
      <w:r w:rsidRPr="00E55486">
        <w:rPr>
          <w:sz w:val="22"/>
          <w:szCs w:val="22"/>
        </w:rPr>
        <w:t xml:space="preserve">  As noted above, one of the issues the Commission addresses is whether and how to modify the current spectrum screen.</w:t>
      </w:r>
      <w:r w:rsidRPr="00E55486">
        <w:rPr>
          <w:sz w:val="22"/>
          <w:szCs w:val="22"/>
          <w:vertAlign w:val="superscript"/>
        </w:rPr>
        <w:footnoteReference w:id="362"/>
      </w:r>
      <w:r w:rsidRPr="00E55486">
        <w:rPr>
          <w:sz w:val="22"/>
          <w:szCs w:val="22"/>
        </w:rPr>
        <w:t xml:space="preserve">   </w:t>
      </w:r>
    </w:p>
    <w:p w:rsidR="004A147C" w:rsidRPr="00E55486" w:rsidRDefault="004A147C" w:rsidP="00CE5850">
      <w:pPr>
        <w:pStyle w:val="ParaNum"/>
        <w:numPr>
          <w:ilvl w:val="0"/>
          <w:numId w:val="28"/>
        </w:numPr>
        <w:rPr>
          <w:sz w:val="22"/>
          <w:szCs w:val="22"/>
        </w:rPr>
      </w:pPr>
      <w:bookmarkStart w:id="1618" w:name="_Toc336268597"/>
      <w:bookmarkStart w:id="1619" w:name="_Toc336268705"/>
      <w:bookmarkStart w:id="1620" w:name="_Toc336268812"/>
      <w:bookmarkStart w:id="1621" w:name="_Toc336269026"/>
      <w:bookmarkStart w:id="1622" w:name="_Toc336269133"/>
      <w:bookmarkStart w:id="1623" w:name="_Toc336269501"/>
      <w:bookmarkStart w:id="1624" w:name="_Toc336269647"/>
      <w:bookmarkStart w:id="1625" w:name="_Toc336270060"/>
      <w:bookmarkStart w:id="1626" w:name="_Ref336858992"/>
      <w:bookmarkStart w:id="1627" w:name="_Ref336859214"/>
      <w:r w:rsidRPr="00E55486">
        <w:rPr>
          <w:i/>
          <w:sz w:val="22"/>
          <w:szCs w:val="22"/>
        </w:rPr>
        <w:t xml:space="preserve">Secondary Market Transactions and Spectrum Leasing.  </w:t>
      </w:r>
      <w:r w:rsidRPr="00E55486">
        <w:rPr>
          <w:sz w:val="22"/>
          <w:szCs w:val="22"/>
        </w:rPr>
        <w:t>The Commission also has adopted secondary market policies to facilitate spectrum access.  Subject to the Commission’s approval, which includes review of spectrum aggregation for potential competitive harm, licensees may buy and sell licenses, in whole or in part (through partitioning and/or disaggregation), on the secondary market.  As part of its secondary market policies, the Commission also permits mobile wireless licensees to lease all or a portion of their spectrum usage rights for any length of time within the license term, and over any geographic area encompassed by the license.</w:t>
      </w:r>
      <w:r w:rsidRPr="00E55486">
        <w:rPr>
          <w:sz w:val="22"/>
          <w:szCs w:val="22"/>
          <w:vertAlign w:val="superscript"/>
        </w:rPr>
        <w:footnoteReference w:id="363"/>
      </w:r>
      <w:r w:rsidRPr="00E55486">
        <w:rPr>
          <w:sz w:val="22"/>
          <w:szCs w:val="22"/>
        </w:rPr>
        <w:t xml:space="preserve">  The Commission’s secondary market policies allow existing licensees to obtain additional spectrum capacity and expand their coverage areas to better meet the needs of their customers, while also providing new entrants with additional opportunities to access the spectrum so that they can compete.  The </w:t>
      </w:r>
      <w:r w:rsidRPr="00E55486">
        <w:rPr>
          <w:i/>
          <w:iCs/>
          <w:sz w:val="22"/>
          <w:szCs w:val="22"/>
        </w:rPr>
        <w:t>National Broadband Plan</w:t>
      </w:r>
      <w:r w:rsidRPr="00E55486">
        <w:rPr>
          <w:sz w:val="22"/>
          <w:szCs w:val="22"/>
        </w:rPr>
        <w:t xml:space="preserve"> recommended that the Commission spur further development and deployment of opportunistic uses across more radio spectrum.  Consistent with that recommendation, in November 2010 the Commission released a Notice of Inquiry seeking comment on the variety of ways in which dynamic spectrum access radios and techniques can promote more intensive and efficient use of the radio spectrum, and the potential of these technological innovations to enable more effective management of spectrum through use of secondary market arrangements.  Geo-location databases with policy information, and the use of small cell technologies have the potential to enable efficient spectrum sharing in both the existing commercial bands, as well as those bands designated for federal and non-federal use such as the 3.5 GHz and 1755 MHz bands.</w:t>
      </w:r>
    </w:p>
    <w:p w:rsidR="004A147C" w:rsidRPr="00E55486" w:rsidRDefault="004A147C" w:rsidP="00CE5850">
      <w:pPr>
        <w:pStyle w:val="ParaNum"/>
        <w:numPr>
          <w:ilvl w:val="0"/>
          <w:numId w:val="28"/>
        </w:numPr>
        <w:rPr>
          <w:sz w:val="22"/>
          <w:szCs w:val="22"/>
        </w:rPr>
      </w:pPr>
      <w:r w:rsidRPr="00E55486">
        <w:rPr>
          <w:sz w:val="22"/>
          <w:szCs w:val="22"/>
        </w:rPr>
        <w:t xml:space="preserve">The Commission’s spectrum leasing policies provide for two types of spectrum leasing agreements:  </w:t>
      </w:r>
      <w:r w:rsidRPr="00E55486">
        <w:rPr>
          <w:kern w:val="0"/>
          <w:sz w:val="22"/>
          <w:szCs w:val="22"/>
        </w:rPr>
        <w:t>spectrum manager leases</w:t>
      </w:r>
      <w:r w:rsidRPr="00E55486">
        <w:rPr>
          <w:kern w:val="0"/>
          <w:sz w:val="22"/>
          <w:szCs w:val="22"/>
          <w:vertAlign w:val="superscript"/>
        </w:rPr>
        <w:footnoteReference w:id="364"/>
      </w:r>
      <w:r w:rsidRPr="00E55486">
        <w:rPr>
          <w:kern w:val="0"/>
          <w:sz w:val="22"/>
          <w:szCs w:val="22"/>
        </w:rPr>
        <w:t xml:space="preserve"> and </w:t>
      </w:r>
      <w:r w:rsidRPr="00E55486">
        <w:rPr>
          <w:i/>
          <w:kern w:val="0"/>
          <w:sz w:val="22"/>
          <w:szCs w:val="22"/>
        </w:rPr>
        <w:t>de facto</w:t>
      </w:r>
      <w:r w:rsidRPr="00E55486">
        <w:rPr>
          <w:kern w:val="0"/>
          <w:sz w:val="22"/>
          <w:szCs w:val="22"/>
        </w:rPr>
        <w:t xml:space="preserve"> transfer leases.</w:t>
      </w:r>
      <w:r w:rsidRPr="00E55486">
        <w:rPr>
          <w:kern w:val="0"/>
          <w:sz w:val="22"/>
          <w:szCs w:val="22"/>
          <w:vertAlign w:val="superscript"/>
        </w:rPr>
        <w:footnoteReference w:id="365"/>
      </w:r>
      <w:r w:rsidRPr="00E55486">
        <w:rPr>
          <w:kern w:val="0"/>
          <w:sz w:val="22"/>
          <w:szCs w:val="22"/>
        </w:rPr>
        <w:t xml:space="preserve">  Such leasing agreements can provide parties with the opportunity to negotiate voluntary, market-driven leasing arrangements that enable other providers or new entrants to provide facilities-based services to the public or other end-users.</w:t>
      </w:r>
      <w:r w:rsidRPr="00E55486">
        <w:rPr>
          <w:kern w:val="0"/>
          <w:sz w:val="22"/>
          <w:szCs w:val="22"/>
          <w:vertAlign w:val="superscript"/>
        </w:rPr>
        <w:footnoteReference w:id="366"/>
      </w:r>
      <w:r w:rsidRPr="00E55486">
        <w:rPr>
          <w:kern w:val="0"/>
          <w:sz w:val="22"/>
          <w:szCs w:val="22"/>
        </w:rPr>
        <w:t xml:space="preserve">  Leasing provides lessees the flexibility to lease a small or large quantity of spectrum for short or longer time periods depending on their business needs.</w:t>
      </w:r>
      <w:r w:rsidRPr="00E55486" w:rsidDel="007C3AB6">
        <w:rPr>
          <w:kern w:val="0"/>
          <w:sz w:val="22"/>
          <w:szCs w:val="22"/>
        </w:rPr>
        <w:t xml:space="preserve"> </w:t>
      </w:r>
      <w:r w:rsidRPr="00E55486">
        <w:rPr>
          <w:kern w:val="0"/>
          <w:sz w:val="22"/>
          <w:szCs w:val="22"/>
          <w:vertAlign w:val="superscript"/>
        </w:rPr>
        <w:footnoteReference w:id="367"/>
      </w:r>
      <w:r w:rsidRPr="00E55486">
        <w:rPr>
          <w:kern w:val="0"/>
          <w:sz w:val="22"/>
          <w:szCs w:val="22"/>
        </w:rPr>
        <w:t xml:space="preserve">  </w:t>
      </w:r>
      <w:r w:rsidRPr="00E55486">
        <w:rPr>
          <w:iCs/>
          <w:kern w:val="0"/>
          <w:sz w:val="22"/>
          <w:szCs w:val="22"/>
        </w:rPr>
        <w:t>T</w:t>
      </w:r>
      <w:r w:rsidRPr="00E55486">
        <w:rPr>
          <w:kern w:val="0"/>
          <w:sz w:val="22"/>
          <w:szCs w:val="22"/>
        </w:rPr>
        <w:t>he Commission applies its general competition policies to spectrum leasing arrangements, with spectrum being attributed, with limited exceptions, to both lessee and lessor.</w:t>
      </w:r>
    </w:p>
    <w:p w:rsidR="004A147C" w:rsidRPr="002350C4" w:rsidRDefault="004A147C" w:rsidP="00CE5850">
      <w:pPr>
        <w:pStyle w:val="ParaNum"/>
        <w:numPr>
          <w:ilvl w:val="0"/>
          <w:numId w:val="28"/>
        </w:numPr>
        <w:rPr>
          <w:szCs w:val="22"/>
        </w:rPr>
      </w:pPr>
      <w:r w:rsidRPr="00E55486">
        <w:rPr>
          <w:sz w:val="22"/>
          <w:szCs w:val="22"/>
        </w:rPr>
        <w:t xml:space="preserve">Spectrum leasing has been used frequently in a number of the Commission’s spectrum bands, such as paging or narrowband PCS, where there are licensees and third parties making businesses out of leasing spectrum.  Spectrum leasing arrangements in the spectrum bands that are the focus of this </w:t>
      </w:r>
      <w:r w:rsidRPr="00E55486">
        <w:rPr>
          <w:i/>
          <w:sz w:val="22"/>
          <w:szCs w:val="22"/>
        </w:rPr>
        <w:t xml:space="preserve">Report, </w:t>
      </w:r>
      <w:r w:rsidRPr="00E55486">
        <w:rPr>
          <w:sz w:val="22"/>
          <w:szCs w:val="22"/>
        </w:rPr>
        <w:t>however, have been employed more sparingly.  For instance, parties have at times entered into short-term spectrum manager lease arrangements involving spectrum that is also the subject of an application to assign the underlying spectrum licenses.  Such arrangements enable the lessee to gain interim access to the spectrum during the pendency, and subject to approval, of the underlying assignment application.</w:t>
      </w:r>
      <w:r w:rsidRPr="00E55486">
        <w:rPr>
          <w:sz w:val="22"/>
          <w:szCs w:val="22"/>
          <w:vertAlign w:val="superscript"/>
        </w:rPr>
        <w:footnoteReference w:id="368"/>
      </w:r>
      <w:r w:rsidRPr="00E55486">
        <w:rPr>
          <w:sz w:val="22"/>
          <w:szCs w:val="22"/>
        </w:rPr>
        <w:t xml:space="preserve">  Spectrum manager l</w:t>
      </w:r>
      <w:r w:rsidRPr="00E55486">
        <w:rPr>
          <w:kern w:val="0"/>
          <w:sz w:val="22"/>
          <w:szCs w:val="22"/>
        </w:rPr>
        <w:t>easing arrangements in these spectrum bands also have provided licensees the flexibility to provide contractually for certain post-transaction obligations.  For instance, such arrangements have been used by sellers of spectrum to continue to provide roaming services on a transitional basis post-transaction before buyers use the spectrum to launch new services.</w:t>
      </w:r>
      <w:r w:rsidRPr="00E55486">
        <w:rPr>
          <w:kern w:val="0"/>
          <w:sz w:val="22"/>
          <w:szCs w:val="22"/>
          <w:vertAlign w:val="superscript"/>
        </w:rPr>
        <w:footnoteReference w:id="369"/>
      </w:r>
      <w:r w:rsidRPr="00E55486">
        <w:rPr>
          <w:kern w:val="0"/>
          <w:sz w:val="22"/>
          <w:szCs w:val="22"/>
        </w:rPr>
        <w:t xml:space="preserve">  Spectrum manager leasing arrangements also have been relied upon to facilitate transition of customers by means of a temporary leaseback of spectrum once it has been transferred to a new entity to ensure that the original licensee can move existing customers using that spectrum to replacement spectrum in a non-disruptive fashion.  This use can often occur where two existing licensees are swapping spectrum within the same geographic market.</w:t>
      </w:r>
      <w:r w:rsidRPr="00E55486">
        <w:rPr>
          <w:kern w:val="0"/>
          <w:sz w:val="22"/>
          <w:szCs w:val="22"/>
          <w:vertAlign w:val="superscript"/>
        </w:rPr>
        <w:footnoteReference w:id="370"/>
      </w:r>
      <w:r w:rsidRPr="00E55486">
        <w:rPr>
          <w:kern w:val="0"/>
          <w:sz w:val="22"/>
          <w:szCs w:val="22"/>
        </w:rPr>
        <w:t xml:space="preserve">  Short-term </w:t>
      </w:r>
      <w:r w:rsidRPr="00E55486">
        <w:rPr>
          <w:i/>
          <w:kern w:val="0"/>
          <w:sz w:val="22"/>
          <w:szCs w:val="22"/>
        </w:rPr>
        <w:t>de facto</w:t>
      </w:r>
      <w:r w:rsidRPr="00E55486">
        <w:rPr>
          <w:kern w:val="0"/>
          <w:sz w:val="22"/>
          <w:szCs w:val="22"/>
        </w:rPr>
        <w:t xml:space="preserve"> transfer leases also have been used for post-transaction customer transition purposes, as, for example in the recent transaction between T-Mobile License LLC and Cellco Partnership d/b/a Verizon Wireless involving AWS-1 licenses.</w:t>
      </w:r>
      <w:r w:rsidRPr="00E55486">
        <w:rPr>
          <w:rStyle w:val="FootnoteReference"/>
          <w:kern w:val="0"/>
          <w:szCs w:val="22"/>
        </w:rPr>
        <w:footnoteReference w:id="371"/>
      </w:r>
    </w:p>
    <w:p w:rsidR="004A147C" w:rsidRPr="00B53FFB" w:rsidRDefault="004A147C" w:rsidP="00CE5850">
      <w:pPr>
        <w:pStyle w:val="Heading3"/>
        <w:keepNext w:val="0"/>
        <w:numPr>
          <w:ilvl w:val="2"/>
          <w:numId w:val="26"/>
        </w:numPr>
        <w:tabs>
          <w:tab w:val="left" w:pos="2160"/>
        </w:tabs>
        <w:rPr>
          <w:sz w:val="22"/>
          <w:szCs w:val="22"/>
        </w:rPr>
      </w:pPr>
      <w:bookmarkStart w:id="1628" w:name="_Toc337651961"/>
      <w:bookmarkStart w:id="1629" w:name="_Toc349577149"/>
      <w:bookmarkStart w:id="1630" w:name="_Toc349579241"/>
      <w:bookmarkStart w:id="1631" w:name="_Toc349580556"/>
      <w:bookmarkStart w:id="1632" w:name="_Toc349734964"/>
      <w:bookmarkStart w:id="1633" w:name="_Toc349742329"/>
      <w:r w:rsidRPr="00B53FFB">
        <w:rPr>
          <w:sz w:val="22"/>
          <w:szCs w:val="22"/>
        </w:rPr>
        <w:t>Current Spectrum Transactions</w:t>
      </w:r>
      <w:bookmarkEnd w:id="1618"/>
      <w:bookmarkEnd w:id="1619"/>
      <w:bookmarkEnd w:id="1620"/>
      <w:bookmarkEnd w:id="1621"/>
      <w:bookmarkEnd w:id="1622"/>
      <w:bookmarkEnd w:id="1623"/>
      <w:bookmarkEnd w:id="1624"/>
      <w:bookmarkEnd w:id="1625"/>
      <w:bookmarkEnd w:id="1626"/>
      <w:bookmarkEnd w:id="1627"/>
      <w:bookmarkEnd w:id="1628"/>
      <w:bookmarkEnd w:id="1629"/>
      <w:bookmarkEnd w:id="1630"/>
      <w:bookmarkEnd w:id="1631"/>
      <w:bookmarkEnd w:id="1632"/>
      <w:bookmarkEnd w:id="1633"/>
    </w:p>
    <w:p w:rsidR="004A147C" w:rsidRPr="00B53FFB" w:rsidRDefault="004A147C" w:rsidP="00CE5850">
      <w:pPr>
        <w:pStyle w:val="ParaNum"/>
        <w:numPr>
          <w:ilvl w:val="0"/>
          <w:numId w:val="28"/>
        </w:numPr>
        <w:rPr>
          <w:sz w:val="22"/>
          <w:szCs w:val="22"/>
        </w:rPr>
      </w:pPr>
      <w:r w:rsidRPr="00B53FFB">
        <w:rPr>
          <w:sz w:val="22"/>
          <w:szCs w:val="22"/>
        </w:rPr>
        <w:t xml:space="preserve">Since the </w:t>
      </w:r>
      <w:r w:rsidRPr="00B53FFB">
        <w:rPr>
          <w:i/>
          <w:sz w:val="22"/>
          <w:szCs w:val="22"/>
        </w:rPr>
        <w:t>Fifteenth Report</w:t>
      </w:r>
      <w:r w:rsidRPr="00B53FFB">
        <w:rPr>
          <w:sz w:val="22"/>
          <w:szCs w:val="22"/>
        </w:rPr>
        <w:t>, there have been developments regarding several major proposed transactions filed with the Commission that involved the transfer of spectrum licenses only, rather than network assets or customers, from one mobile wireless licensee to another.  Such transactions primarily involved an assignment of spectrum either to or from AT&amp;T or Verizon Wireless.  The first of the spectrum-only transactions involving AT&amp;T involved the Commission’s approval in late 2011 of the assignment of 11 licenses in the D and E Block of the Lower 700 MHz band from Qualcomm to AT&amp;T, subject to certain conditions.</w:t>
      </w:r>
      <w:r w:rsidRPr="00B53FFB">
        <w:rPr>
          <w:sz w:val="22"/>
          <w:szCs w:val="22"/>
          <w:vertAlign w:val="superscript"/>
        </w:rPr>
        <w:footnoteReference w:id="372"/>
      </w:r>
      <w:r w:rsidRPr="00B53FFB">
        <w:rPr>
          <w:sz w:val="22"/>
          <w:szCs w:val="22"/>
        </w:rPr>
        <w:t xml:space="preserve">  In addition, in April 2012, the Commission consented to the transfer of 13 AWS-1 licenses in 20 full and partitioned portions of 27 AWS-1 licenses from AT&amp;T to T-Mobile</w:t>
      </w:r>
      <w:r w:rsidRPr="00B53FFB">
        <w:rPr>
          <w:kern w:val="0"/>
          <w:sz w:val="22"/>
          <w:szCs w:val="22"/>
        </w:rPr>
        <w:t>.</w:t>
      </w:r>
      <w:r w:rsidRPr="00B53FFB">
        <w:rPr>
          <w:kern w:val="0"/>
          <w:sz w:val="22"/>
          <w:szCs w:val="22"/>
          <w:vertAlign w:val="superscript"/>
        </w:rPr>
        <w:footnoteReference w:id="373"/>
      </w:r>
      <w:r w:rsidRPr="00B53FFB">
        <w:rPr>
          <w:sz w:val="22"/>
          <w:szCs w:val="22"/>
        </w:rPr>
        <w:t xml:space="preserve">  This transaction was the result of a break-up provision </w:t>
      </w:r>
      <w:r w:rsidRPr="00B53FFB">
        <w:rPr>
          <w:kern w:val="0"/>
          <w:sz w:val="22"/>
          <w:szCs w:val="22"/>
        </w:rPr>
        <w:t>between AT&amp;T and Deutsche Telekom for the proposed, but ultimately withdrawn, application for the sale of T-Mobile to AT&amp;T.</w:t>
      </w:r>
      <w:r w:rsidRPr="00B53FFB">
        <w:rPr>
          <w:kern w:val="0"/>
          <w:sz w:val="22"/>
          <w:szCs w:val="22"/>
          <w:vertAlign w:val="superscript"/>
        </w:rPr>
        <w:footnoteReference w:id="374"/>
      </w:r>
      <w:r w:rsidRPr="00B53FFB">
        <w:rPr>
          <w:kern w:val="0"/>
          <w:sz w:val="22"/>
          <w:szCs w:val="22"/>
        </w:rPr>
        <w:t xml:space="preserve">  </w:t>
      </w:r>
      <w:r w:rsidRPr="00B53FFB">
        <w:rPr>
          <w:sz w:val="22"/>
          <w:szCs w:val="22"/>
        </w:rPr>
        <w:t xml:space="preserve"> T-Mobile acquired 10-20 megahertz of spectrum in 128 CMAs covering 121 million people (or approximately 39 percent of the U.S. population).</w:t>
      </w:r>
      <w:r w:rsidRPr="00B53FFB">
        <w:rPr>
          <w:kern w:val="0"/>
          <w:sz w:val="22"/>
          <w:szCs w:val="22"/>
          <w:vertAlign w:val="superscript"/>
        </w:rPr>
        <w:footnoteReference w:id="375"/>
      </w:r>
      <w:r w:rsidRPr="00B53FFB">
        <w:rPr>
          <w:sz w:val="22"/>
          <w:szCs w:val="22"/>
        </w:rPr>
        <w:t xml:space="preserve">  In August 2012, AT&amp;T was a party to separate applications seeking Commission consent to assign 51 WCS licenses and 12 AWS-1 licenses from Comcast, Horizon, and Nextwave to AT&amp;T.  On August 31, 2012, the Commission consolidated the review of these AT&amp;T applications.</w:t>
      </w:r>
      <w:r w:rsidRPr="00B53FFB">
        <w:rPr>
          <w:sz w:val="22"/>
          <w:szCs w:val="22"/>
          <w:vertAlign w:val="superscript"/>
        </w:rPr>
        <w:footnoteReference w:id="376"/>
      </w:r>
      <w:r w:rsidRPr="00B53FFB">
        <w:rPr>
          <w:sz w:val="22"/>
          <w:szCs w:val="22"/>
        </w:rPr>
        <w:t xml:space="preserve">  </w:t>
      </w:r>
      <w:r>
        <w:rPr>
          <w:sz w:val="22"/>
          <w:szCs w:val="22"/>
        </w:rPr>
        <w:t>On September 14, 2012, an additional application was filed to assign two WCS licenses from San Diego Gas &amp; Electric to AT&amp;T, which was also consolidated.  The Commission approved the acquisition of all these respective licenses on December 18, 2012.</w:t>
      </w:r>
      <w:r w:rsidR="005B380F">
        <w:rPr>
          <w:rStyle w:val="FootnoteReference"/>
          <w:szCs w:val="22"/>
        </w:rPr>
        <w:footnoteReference w:id="377"/>
      </w:r>
      <w:r w:rsidRPr="00B53FFB">
        <w:rPr>
          <w:sz w:val="22"/>
          <w:szCs w:val="22"/>
        </w:rPr>
        <w:t xml:space="preserve">     </w:t>
      </w:r>
    </w:p>
    <w:p w:rsidR="004A147C" w:rsidRPr="00E55486" w:rsidRDefault="004A147C" w:rsidP="00CE5850">
      <w:pPr>
        <w:pStyle w:val="ParaNum"/>
        <w:numPr>
          <w:ilvl w:val="0"/>
          <w:numId w:val="28"/>
        </w:numPr>
        <w:rPr>
          <w:sz w:val="22"/>
          <w:szCs w:val="22"/>
        </w:rPr>
      </w:pPr>
      <w:r w:rsidRPr="00E55486">
        <w:rPr>
          <w:sz w:val="22"/>
          <w:szCs w:val="22"/>
        </w:rPr>
        <w:t>The spectrum-only transactions involving Verizon Wireless included a series of interrelated assignments and exchanges with Leap Wireless, SpectrumCo, Cox, and T-Mobile.  In November 2011, Verizon Wireless and Leap filed applications seeking Commission consent to assign certain 700 MHz, AWS, and PCS licenses between the two applicants.  Specifically, the parties sought to assign, from Verizon Wireless to Leap, the 700 MHz Lower Band A Block license for the Chicago BEA, and to assign, from Leap to Verizon Wireless, 23 PCS and 13 AWS-1 licenses in full; disaggregated portions of one PCS license and one AWS-1 license; and partitioned portions of five AWS-1 licenses.</w:t>
      </w:r>
      <w:r w:rsidRPr="00E55486">
        <w:rPr>
          <w:sz w:val="22"/>
          <w:szCs w:val="22"/>
          <w:vertAlign w:val="superscript"/>
        </w:rPr>
        <w:footnoteReference w:id="378"/>
      </w:r>
      <w:r w:rsidRPr="00E55486">
        <w:rPr>
          <w:sz w:val="22"/>
          <w:szCs w:val="22"/>
        </w:rPr>
        <w:t xml:space="preserve">  Shortly thereafter, in early 2012, Verizon Wireless, SpectrumCo, and Cox Wireless filed two separate applications seeking Commission consent to assign 122 AWS-1 licenses to Verizon Wireless from SpectrumCo, and 30 AWS-1 licenses to Verizon Wireless from Cox.</w:t>
      </w:r>
      <w:r w:rsidRPr="00E55486">
        <w:rPr>
          <w:sz w:val="22"/>
          <w:szCs w:val="22"/>
          <w:vertAlign w:val="superscript"/>
        </w:rPr>
        <w:footnoteReference w:id="379"/>
      </w:r>
      <w:r w:rsidRPr="00E55486">
        <w:rPr>
          <w:sz w:val="22"/>
          <w:szCs w:val="22"/>
        </w:rPr>
        <w:t xml:space="preserve">  In June 2012, Verizon Wireless and T-Mobile filed applications for the assignment and exchange of a number of full and partial AWS-1 licenses, including 47 licenses that Verizon Wireless had proposed to acquire from SpectrumCo, Cox, and Leap Wireless.</w:t>
      </w:r>
      <w:r w:rsidRPr="00E55486">
        <w:rPr>
          <w:sz w:val="22"/>
          <w:szCs w:val="22"/>
          <w:vertAlign w:val="superscript"/>
        </w:rPr>
        <w:footnoteReference w:id="380"/>
      </w:r>
      <w:r w:rsidRPr="00E55486">
        <w:rPr>
          <w:sz w:val="22"/>
          <w:szCs w:val="22"/>
        </w:rPr>
        <w:t xml:space="preserve">  On August 3, 2012, the Commission consolidated the review of these Verizon Wireless applications</w:t>
      </w:r>
      <w:r w:rsidRPr="00E55486">
        <w:rPr>
          <w:sz w:val="22"/>
          <w:szCs w:val="22"/>
          <w:vertAlign w:val="superscript"/>
        </w:rPr>
        <w:footnoteReference w:id="381"/>
      </w:r>
      <w:r w:rsidRPr="00E55486">
        <w:rPr>
          <w:sz w:val="22"/>
          <w:szCs w:val="22"/>
        </w:rPr>
        <w:t xml:space="preserve"> and on August 24, 2012 the Commission consented to the various assignments of spectrum subject to certain conditions.</w:t>
      </w:r>
      <w:r w:rsidRPr="00E55486">
        <w:rPr>
          <w:sz w:val="22"/>
          <w:szCs w:val="22"/>
          <w:vertAlign w:val="superscript"/>
        </w:rPr>
        <w:footnoteReference w:id="382"/>
      </w:r>
      <w:r w:rsidRPr="00E55486">
        <w:rPr>
          <w:b/>
          <w:sz w:val="22"/>
          <w:szCs w:val="22"/>
        </w:rPr>
        <w:t xml:space="preserve">  </w:t>
      </w:r>
    </w:p>
    <w:p w:rsidR="004A147C" w:rsidRPr="00E55486" w:rsidRDefault="004A147C" w:rsidP="00CE5850">
      <w:pPr>
        <w:pStyle w:val="ParaNum"/>
        <w:numPr>
          <w:ilvl w:val="0"/>
          <w:numId w:val="28"/>
        </w:numPr>
        <w:rPr>
          <w:sz w:val="22"/>
          <w:szCs w:val="22"/>
        </w:rPr>
      </w:pPr>
      <w:r w:rsidRPr="00E55486">
        <w:rPr>
          <w:sz w:val="22"/>
          <w:szCs w:val="22"/>
        </w:rPr>
        <w:t>In addition to larger spectrum-only transactions, there have been several smaller transactions in which larger providers have acquired spectrum licenses in a small number of CMAs from small or regional licensees.  Many of these transactions also included assignments of spectrum to AT&amp;T and Verizon Wireless.  From the end of 2010 through December 2012, the Commission consented to close to 60 applications filed by AT&amp;T in which it sought to acquire PCS, AWS, Cellular, and 700 MHz licenses.  Between November 2010 and mid-June 2011, AT&amp;T filed applications associated with nine separate transactions through which it acquired 700 MHz licenses from small or regional licensees.</w:t>
      </w:r>
      <w:r w:rsidRPr="00E55486">
        <w:rPr>
          <w:sz w:val="22"/>
          <w:szCs w:val="22"/>
          <w:vertAlign w:val="superscript"/>
        </w:rPr>
        <w:footnoteReference w:id="383"/>
      </w:r>
      <w:r w:rsidRPr="00E55486">
        <w:rPr>
          <w:sz w:val="22"/>
          <w:szCs w:val="22"/>
        </w:rPr>
        <w:t xml:space="preserve">  For example, in May 2011, AT&amp;T filed an application to acquire a 700 MHz B Block license from </w:t>
      </w:r>
      <w:r w:rsidRPr="00E55486">
        <w:rPr>
          <w:kern w:val="0"/>
          <w:sz w:val="22"/>
          <w:szCs w:val="22"/>
        </w:rPr>
        <w:t xml:space="preserve">Maxima </w:t>
      </w:r>
      <w:r w:rsidRPr="00E55486">
        <w:rPr>
          <w:sz w:val="22"/>
          <w:szCs w:val="22"/>
        </w:rPr>
        <w:t>in two counties and one CMA in Louisiana.</w:t>
      </w:r>
      <w:r w:rsidRPr="00E55486">
        <w:rPr>
          <w:sz w:val="22"/>
          <w:szCs w:val="22"/>
          <w:vertAlign w:val="superscript"/>
        </w:rPr>
        <w:footnoteReference w:id="384"/>
      </w:r>
      <w:r w:rsidRPr="00E55486">
        <w:rPr>
          <w:sz w:val="22"/>
          <w:szCs w:val="22"/>
        </w:rPr>
        <w:t xml:space="preserve">  Also, in June 2011, AT&amp;T filed an application to acquire 12 megahertz of 700 MHz spectrum from Kennebec in two counties and one CMA in Iowa and Nebraska.</w:t>
      </w:r>
      <w:r w:rsidRPr="00E55486">
        <w:rPr>
          <w:sz w:val="22"/>
          <w:szCs w:val="22"/>
          <w:vertAlign w:val="superscript"/>
        </w:rPr>
        <w:footnoteReference w:id="385"/>
      </w:r>
      <w:r w:rsidRPr="00E55486">
        <w:rPr>
          <w:sz w:val="22"/>
          <w:szCs w:val="22"/>
        </w:rPr>
        <w:t xml:space="preserve">  In 2012, AT&amp;T filed numerous additional applications to acquire 700 MHz spectrum, among these, an application for consent to the assignment of eight Lower 700 MHz B Block licenses from Cox.</w:t>
      </w:r>
      <w:r w:rsidRPr="00E55486">
        <w:rPr>
          <w:sz w:val="22"/>
          <w:szCs w:val="22"/>
          <w:vertAlign w:val="superscript"/>
        </w:rPr>
        <w:footnoteReference w:id="386"/>
      </w:r>
      <w:r w:rsidRPr="00E55486">
        <w:rPr>
          <w:sz w:val="22"/>
          <w:szCs w:val="22"/>
        </w:rPr>
        <w:t xml:space="preserve">  </w:t>
      </w:r>
    </w:p>
    <w:p w:rsidR="004A147C" w:rsidRPr="00E55486" w:rsidRDefault="004A147C" w:rsidP="00CE5850">
      <w:pPr>
        <w:pStyle w:val="ParaNum"/>
        <w:numPr>
          <w:ilvl w:val="0"/>
          <w:numId w:val="28"/>
        </w:numPr>
        <w:rPr>
          <w:sz w:val="22"/>
          <w:szCs w:val="22"/>
        </w:rPr>
      </w:pPr>
      <w:r w:rsidRPr="00E55486">
        <w:rPr>
          <w:sz w:val="22"/>
          <w:szCs w:val="22"/>
        </w:rPr>
        <w:t>During 2011 and 2012, the Commission consented to approximately 30 applications filed by Verizon Wireless seeking to acquire PCS, AWS and Cellular spectrum from small or regional licensees.  For example, in February 2011, Verizon Wireless filed an application to acquire a 10 megahertz PCS F Block license from 3 Rivers Telephone Cooperative, Inc. covering 5 counties and 3 CMAs in Montana.</w:t>
      </w:r>
      <w:r w:rsidRPr="00E55486">
        <w:rPr>
          <w:sz w:val="22"/>
          <w:szCs w:val="22"/>
          <w:vertAlign w:val="superscript"/>
        </w:rPr>
        <w:footnoteReference w:id="387"/>
      </w:r>
      <w:r w:rsidRPr="00E55486">
        <w:rPr>
          <w:sz w:val="22"/>
          <w:szCs w:val="22"/>
        </w:rPr>
        <w:t xml:space="preserve">  The following February, Verizon Wireless filed an application to acquire a 20 megahertz AWS B Block license from 3 Rivers in 14 counties in 6 Montana CMAs.</w:t>
      </w:r>
      <w:r w:rsidRPr="00E55486">
        <w:rPr>
          <w:sz w:val="22"/>
          <w:szCs w:val="22"/>
          <w:vertAlign w:val="superscript"/>
        </w:rPr>
        <w:footnoteReference w:id="388"/>
      </w:r>
      <w:r w:rsidRPr="00E55486">
        <w:rPr>
          <w:sz w:val="22"/>
          <w:szCs w:val="22"/>
        </w:rPr>
        <w:t xml:space="preserve">  In addition, nationwide service providers filed applications to transfer spectrum licenses among those providers:  for instance, AT&amp;T and Verizon Wireless transferred Cellular spectrum licenses between the two companies, Verizon Wireless and Sprint transferred PCS spectrum licenses.</w:t>
      </w:r>
      <w:r w:rsidRPr="00E55486">
        <w:rPr>
          <w:sz w:val="22"/>
          <w:szCs w:val="22"/>
          <w:vertAlign w:val="superscript"/>
        </w:rPr>
        <w:footnoteReference w:id="389"/>
      </w:r>
      <w:r w:rsidRPr="00E55486">
        <w:rPr>
          <w:sz w:val="22"/>
          <w:szCs w:val="22"/>
        </w:rPr>
        <w:t xml:space="preserve"> </w:t>
      </w:r>
    </w:p>
    <w:p w:rsidR="004A147C" w:rsidRPr="00E55486" w:rsidRDefault="004A147C" w:rsidP="00CE5850">
      <w:pPr>
        <w:pStyle w:val="ParaNum"/>
        <w:numPr>
          <w:ilvl w:val="0"/>
          <w:numId w:val="28"/>
        </w:numPr>
        <w:rPr>
          <w:sz w:val="22"/>
          <w:szCs w:val="22"/>
        </w:rPr>
      </w:pPr>
      <w:r w:rsidRPr="00E55486">
        <w:rPr>
          <w:sz w:val="22"/>
          <w:szCs w:val="22"/>
        </w:rPr>
        <w:t>In addition to the two largest service providers, T-Mobile as well as certain small or regional providers also filed applications with other parties to assign or transfer spectrum.  T-Mobile filed a number of applications to acquire or exchange AWS or PCS spectrum.  For instance, in June 2012, T-Mobile acquired 20 megahertz of AWS spectrum from Cleveland Unlimited in 10 counties and 3 CMAs in Ohio.</w:t>
      </w:r>
      <w:r w:rsidRPr="00E55486">
        <w:rPr>
          <w:sz w:val="22"/>
          <w:szCs w:val="22"/>
          <w:vertAlign w:val="superscript"/>
        </w:rPr>
        <w:footnoteReference w:id="390"/>
      </w:r>
      <w:r w:rsidRPr="00E55486">
        <w:rPr>
          <w:sz w:val="22"/>
          <w:szCs w:val="22"/>
        </w:rPr>
        <w:t xml:space="preserve">  The regional carrier US Cellular participated in a large number of transactions during 2011 and 2012 compared to most other regional providers, mainly to acquire 700 MHz licenses</w:t>
      </w:r>
      <w:r w:rsidRPr="00E55486">
        <w:rPr>
          <w:b/>
          <w:sz w:val="22"/>
          <w:szCs w:val="22"/>
        </w:rPr>
        <w:t>.</w:t>
      </w:r>
      <w:r w:rsidRPr="00E55486">
        <w:rPr>
          <w:sz w:val="22"/>
          <w:szCs w:val="22"/>
        </w:rPr>
        <w:t xml:space="preserve">  These included an April 2012 application for 12 megahertz of lower 700 MHz A Block spectrum from Cox in 30 CMAs throughout five Midwestern states.</w:t>
      </w:r>
      <w:r w:rsidRPr="00E55486">
        <w:rPr>
          <w:sz w:val="22"/>
          <w:szCs w:val="22"/>
          <w:vertAlign w:val="superscript"/>
        </w:rPr>
        <w:footnoteReference w:id="391"/>
      </w:r>
    </w:p>
    <w:p w:rsidR="004A147C" w:rsidRPr="00B53FFB" w:rsidRDefault="004A147C" w:rsidP="00CE5850">
      <w:pPr>
        <w:pStyle w:val="Heading3"/>
        <w:keepNext w:val="0"/>
        <w:numPr>
          <w:ilvl w:val="2"/>
          <w:numId w:val="26"/>
        </w:numPr>
        <w:tabs>
          <w:tab w:val="left" w:pos="2160"/>
        </w:tabs>
        <w:rPr>
          <w:sz w:val="22"/>
          <w:szCs w:val="22"/>
        </w:rPr>
      </w:pPr>
      <w:r w:rsidRPr="00B53FFB">
        <w:rPr>
          <w:sz w:val="22"/>
          <w:szCs w:val="22"/>
        </w:rPr>
        <w:t xml:space="preserve"> </w:t>
      </w:r>
      <w:bookmarkStart w:id="1634" w:name="_Toc336268598"/>
      <w:bookmarkStart w:id="1635" w:name="_Toc336268706"/>
      <w:bookmarkStart w:id="1636" w:name="_Toc336268813"/>
      <w:bookmarkStart w:id="1637" w:name="_Toc336269027"/>
      <w:bookmarkStart w:id="1638" w:name="_Toc336269134"/>
      <w:bookmarkStart w:id="1639" w:name="_Toc336269502"/>
      <w:bookmarkStart w:id="1640" w:name="_Toc336269648"/>
      <w:bookmarkStart w:id="1641" w:name="_Toc336270061"/>
      <w:bookmarkStart w:id="1642" w:name="_Toc337651962"/>
      <w:bookmarkStart w:id="1643" w:name="_Toc349577150"/>
      <w:bookmarkStart w:id="1644" w:name="_Toc349579242"/>
      <w:bookmarkStart w:id="1645" w:name="_Toc349580557"/>
      <w:bookmarkStart w:id="1646" w:name="_Toc349734965"/>
      <w:bookmarkStart w:id="1647" w:name="_Toc349742330"/>
      <w:r w:rsidRPr="00B53FFB">
        <w:rPr>
          <w:sz w:val="22"/>
          <w:szCs w:val="22"/>
        </w:rPr>
        <w:t>Analysis of Spectrum Holdings Overall</w:t>
      </w:r>
      <w:bookmarkEnd w:id="1634"/>
      <w:bookmarkEnd w:id="1635"/>
      <w:bookmarkEnd w:id="1636"/>
      <w:bookmarkEnd w:id="1637"/>
      <w:bookmarkEnd w:id="1638"/>
      <w:bookmarkEnd w:id="1639"/>
      <w:bookmarkEnd w:id="1640"/>
      <w:bookmarkEnd w:id="1641"/>
      <w:bookmarkEnd w:id="1642"/>
      <w:bookmarkEnd w:id="1643"/>
      <w:bookmarkEnd w:id="1644"/>
      <w:bookmarkEnd w:id="1645"/>
      <w:bookmarkEnd w:id="1646"/>
      <w:bookmarkEnd w:id="1647"/>
    </w:p>
    <w:p w:rsidR="004A147C" w:rsidRPr="009836C0" w:rsidRDefault="004A147C" w:rsidP="00CE5850">
      <w:pPr>
        <w:pStyle w:val="ParaNum"/>
        <w:numPr>
          <w:ilvl w:val="0"/>
          <w:numId w:val="28"/>
        </w:numPr>
        <w:rPr>
          <w:sz w:val="22"/>
          <w:szCs w:val="22"/>
        </w:rPr>
      </w:pPr>
      <w:r w:rsidRPr="009836C0">
        <w:rPr>
          <w:sz w:val="22"/>
          <w:szCs w:val="22"/>
        </w:rPr>
        <w:t>Because access to spectrum is necessary for the provision of mobile wireless service, the different spectrum holdings of providers potentially affect their ability to compete effectively.  These spectrum holdings include licenses obtained when the spectrum was first licensed for mobile services, such as through the original Cellular assignments or through the auction process (</w:t>
      </w:r>
      <w:r w:rsidRPr="009836C0">
        <w:rPr>
          <w:i/>
          <w:sz w:val="22"/>
          <w:szCs w:val="22"/>
        </w:rPr>
        <w:t>e.g.</w:t>
      </w:r>
      <w:r w:rsidRPr="009836C0">
        <w:rPr>
          <w:sz w:val="22"/>
          <w:szCs w:val="22"/>
        </w:rPr>
        <w:t>, PCS, AWS, or 700 MHz spectrum), as well as spectrum obtained through various secondary market transactions.  The following Tables and Charts update the information included in past Reports.</w:t>
      </w:r>
      <w:r w:rsidRPr="009836C0">
        <w:rPr>
          <w:sz w:val="22"/>
          <w:szCs w:val="22"/>
          <w:vertAlign w:val="superscript"/>
        </w:rPr>
        <w:footnoteReference w:id="392"/>
      </w:r>
      <w:r w:rsidRPr="009836C0">
        <w:rPr>
          <w:sz w:val="22"/>
          <w:szCs w:val="22"/>
        </w:rPr>
        <w:t xml:space="preserve">  </w:t>
      </w:r>
    </w:p>
    <w:p w:rsidR="004A147C" w:rsidRPr="009836C0" w:rsidRDefault="004A147C" w:rsidP="00CE5850">
      <w:pPr>
        <w:pStyle w:val="ParaNum"/>
        <w:numPr>
          <w:ilvl w:val="0"/>
          <w:numId w:val="28"/>
        </w:numPr>
        <w:rPr>
          <w:sz w:val="22"/>
          <w:szCs w:val="22"/>
        </w:rPr>
      </w:pPr>
      <w:r w:rsidRPr="009836C0">
        <w:rPr>
          <w:sz w:val="22"/>
          <w:szCs w:val="22"/>
        </w:rPr>
        <w:t>Verizon Wireless and AT&amp;T each hold significant amounts of 700 MHz, Cellular, broadband PCS, and AWS spectrum.  Sprint has substantial holdings of PCS licenses, as well as the SMR spectrum acquired through its merger with Nextel in 2005.  T-Mobile’s spectrum holdings are in both the PCS and AWS bands.</w:t>
      </w:r>
      <w:r w:rsidRPr="009836C0">
        <w:rPr>
          <w:sz w:val="22"/>
          <w:szCs w:val="22"/>
          <w:vertAlign w:val="superscript"/>
        </w:rPr>
        <w:t xml:space="preserve"> </w:t>
      </w:r>
      <w:r w:rsidRPr="009836C0">
        <w:rPr>
          <w:sz w:val="22"/>
          <w:szCs w:val="22"/>
          <w:vertAlign w:val="superscript"/>
        </w:rPr>
        <w:footnoteReference w:id="393"/>
      </w:r>
      <w:r w:rsidRPr="009836C0">
        <w:rPr>
          <w:sz w:val="22"/>
          <w:szCs w:val="22"/>
        </w:rPr>
        <w:t xml:space="preserve">   Uniquely, the spectrum holdings of Clearwire, which is affiliated with Sprint,</w:t>
      </w:r>
      <w:r w:rsidRPr="009836C0">
        <w:rPr>
          <w:sz w:val="22"/>
          <w:szCs w:val="22"/>
          <w:vertAlign w:val="superscript"/>
        </w:rPr>
        <w:footnoteReference w:id="394"/>
      </w:r>
      <w:r w:rsidRPr="009836C0">
        <w:rPr>
          <w:sz w:val="22"/>
          <w:szCs w:val="22"/>
        </w:rPr>
        <w:t xml:space="preserve">  fall in the 2.5 GHz band – where it holds the predominant share of BRS spectrum, and has access to much of the EBS spectrum through spectrum leasing arrangements.</w:t>
      </w:r>
      <w:r w:rsidRPr="009836C0">
        <w:rPr>
          <w:sz w:val="22"/>
          <w:szCs w:val="22"/>
          <w:vertAlign w:val="superscript"/>
        </w:rPr>
        <w:t xml:space="preserve"> </w:t>
      </w:r>
      <w:r w:rsidRPr="009836C0">
        <w:rPr>
          <w:sz w:val="22"/>
          <w:szCs w:val="22"/>
          <w:vertAlign w:val="superscript"/>
        </w:rPr>
        <w:footnoteReference w:id="395"/>
      </w:r>
      <w:r w:rsidRPr="009836C0">
        <w:rPr>
          <w:sz w:val="22"/>
          <w:szCs w:val="22"/>
        </w:rPr>
        <w:t xml:space="preserve">   Regional provider US Cellular holds Cellular, 700 MHz, PCS, and AWS licenses, while MetroPCS and Leap chiefly hold PCS and AWS spectrum.  Finally, as the charts below reveal, smaller providers also hold Cellular, 700 MHz, SMR, PCS, AWS, and BRS licenses, primarily in the less populated parts of the United States.  </w:t>
      </w:r>
    </w:p>
    <w:p w:rsidR="004A147C" w:rsidRPr="009836C0" w:rsidRDefault="004A147C" w:rsidP="00CE5850">
      <w:pPr>
        <w:pStyle w:val="ParaNum"/>
        <w:numPr>
          <w:ilvl w:val="0"/>
          <w:numId w:val="28"/>
        </w:numPr>
        <w:rPr>
          <w:sz w:val="22"/>
          <w:szCs w:val="22"/>
        </w:rPr>
      </w:pPr>
      <w:r w:rsidRPr="009836C0">
        <w:rPr>
          <w:sz w:val="22"/>
          <w:szCs w:val="22"/>
        </w:rPr>
        <w:t>Five providers together – Verizon Wireless, AT&amp;T, T-Mobile, as well as Sprint and Clearwire – hold close to 80 percent of all spectrum, measured on a MHz-POPs basis, that is potentially usable for the provision of mobile wireless services.</w:t>
      </w:r>
      <w:r w:rsidRPr="009836C0">
        <w:rPr>
          <w:rStyle w:val="FootnoteReference"/>
          <w:szCs w:val="22"/>
        </w:rPr>
        <w:footnoteReference w:id="396"/>
      </w:r>
      <w:r w:rsidRPr="009836C0">
        <w:rPr>
          <w:sz w:val="22"/>
          <w:szCs w:val="22"/>
        </w:rPr>
        <w:t xml:space="preserve">   </w:t>
      </w:r>
      <w:r w:rsidR="009836C0" w:rsidRPr="009836C0">
        <w:rPr>
          <w:sz w:val="22"/>
          <w:szCs w:val="22"/>
        </w:rPr>
        <w:fldChar w:fldCharType="begin"/>
      </w:r>
      <w:r w:rsidR="009836C0" w:rsidRPr="009836C0">
        <w:rPr>
          <w:sz w:val="22"/>
          <w:szCs w:val="22"/>
        </w:rPr>
        <w:instrText xml:space="preserve"> REF _Ref340657088  \* MERGEFORMAT </w:instrText>
      </w:r>
      <w:r w:rsidR="009836C0" w:rsidRPr="009836C0">
        <w:rPr>
          <w:sz w:val="22"/>
          <w:szCs w:val="22"/>
        </w:rPr>
        <w:fldChar w:fldCharType="separate"/>
      </w:r>
      <w:r w:rsidR="00CA3AC6" w:rsidRPr="00CA3AC6">
        <w:rPr>
          <w:bCs/>
          <w:kern w:val="0"/>
          <w:sz w:val="22"/>
          <w:szCs w:val="22"/>
        </w:rPr>
        <w:t xml:space="preserve">Table </w:t>
      </w:r>
      <w:r w:rsidR="00CA3AC6" w:rsidRPr="00CA3AC6">
        <w:rPr>
          <w:bCs/>
          <w:noProof/>
          <w:kern w:val="0"/>
          <w:sz w:val="22"/>
          <w:szCs w:val="22"/>
        </w:rPr>
        <w:t>18</w:t>
      </w:r>
      <w:r w:rsidR="009836C0" w:rsidRPr="009836C0">
        <w:rPr>
          <w:bCs/>
          <w:noProof/>
          <w:kern w:val="0"/>
          <w:sz w:val="22"/>
          <w:szCs w:val="22"/>
        </w:rPr>
        <w:fldChar w:fldCharType="end"/>
      </w:r>
      <w:r w:rsidRPr="009836C0">
        <w:rPr>
          <w:sz w:val="22"/>
          <w:szCs w:val="22"/>
        </w:rPr>
        <w:t xml:space="preserve"> shows megahertz holdings for each provider, weighted by population.  Finally, Chart 4 is a graph of providers’ spectrum holdings by frequency band, measured on a MHz-POPs basis.</w:t>
      </w:r>
    </w:p>
    <w:p w:rsidR="004A147C" w:rsidRPr="00B53FFB" w:rsidRDefault="004A147C" w:rsidP="00CE5850">
      <w:pPr>
        <w:spacing w:before="120" w:after="120"/>
        <w:jc w:val="center"/>
        <w:rPr>
          <w:b/>
          <w:bCs/>
          <w:kern w:val="0"/>
          <w:szCs w:val="22"/>
        </w:rPr>
      </w:pPr>
      <w:bookmarkStart w:id="1648" w:name="_Ref341799212"/>
      <w:r w:rsidRPr="00B53FFB">
        <w:rPr>
          <w:b/>
          <w:bCs/>
          <w:kern w:val="0"/>
          <w:szCs w:val="22"/>
        </w:rPr>
        <w:t xml:space="preserve">Table </w:t>
      </w:r>
      <w:r w:rsidR="0007014B" w:rsidRPr="00B53FFB">
        <w:rPr>
          <w:b/>
          <w:bCs/>
          <w:kern w:val="0"/>
          <w:szCs w:val="22"/>
        </w:rPr>
        <w:fldChar w:fldCharType="begin"/>
      </w:r>
      <w:r w:rsidRPr="00B53FFB">
        <w:rPr>
          <w:b/>
          <w:bCs/>
          <w:kern w:val="0"/>
          <w:szCs w:val="22"/>
        </w:rPr>
        <w:instrText xml:space="preserve"> SEQ Table \* ARABIC </w:instrText>
      </w:r>
      <w:r w:rsidR="0007014B" w:rsidRPr="00B53FFB">
        <w:rPr>
          <w:b/>
          <w:bCs/>
          <w:kern w:val="0"/>
          <w:szCs w:val="22"/>
        </w:rPr>
        <w:fldChar w:fldCharType="separate"/>
      </w:r>
      <w:r w:rsidR="00CA3AC6">
        <w:rPr>
          <w:b/>
          <w:bCs/>
          <w:noProof/>
          <w:kern w:val="0"/>
          <w:szCs w:val="22"/>
        </w:rPr>
        <w:t>17</w:t>
      </w:r>
      <w:r w:rsidR="0007014B" w:rsidRPr="00B53FFB">
        <w:rPr>
          <w:b/>
          <w:bCs/>
          <w:kern w:val="0"/>
          <w:szCs w:val="22"/>
        </w:rPr>
        <w:fldChar w:fldCharType="end"/>
      </w:r>
      <w:bookmarkEnd w:id="1648"/>
      <w:r w:rsidRPr="00B53FFB">
        <w:rPr>
          <w:b/>
          <w:bCs/>
          <w:kern w:val="0"/>
          <w:szCs w:val="22"/>
        </w:rPr>
        <w:br/>
        <w:t>Percentage Spectrum Holdings, Measured on a MHz-POPs Basis</w:t>
      </w:r>
      <w:r w:rsidRPr="00B53FFB">
        <w:rPr>
          <w:b/>
          <w:bCs/>
          <w:kern w:val="0"/>
          <w:szCs w:val="22"/>
        </w:rPr>
        <w:br/>
        <w:t>by Provider, by Frequency Band</w:t>
      </w:r>
      <w:r w:rsidRPr="00B53FFB">
        <w:rPr>
          <w:rStyle w:val="FootnoteReference"/>
          <w:b/>
          <w:bCs/>
          <w:kern w:val="0"/>
          <w:szCs w:val="22"/>
        </w:rPr>
        <w:footnoteReference w:id="397"/>
      </w:r>
    </w:p>
    <w:tbl>
      <w:tblPr>
        <w:tblW w:w="9360" w:type="dxa"/>
        <w:tblInd w:w="93"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A0" w:firstRow="1" w:lastRow="0" w:firstColumn="1" w:lastColumn="0" w:noHBand="0" w:noVBand="0"/>
      </w:tblPr>
      <w:tblGrid>
        <w:gridCol w:w="1889"/>
        <w:gridCol w:w="1067"/>
        <w:gridCol w:w="1067"/>
        <w:gridCol w:w="1067"/>
        <w:gridCol w:w="1068"/>
        <w:gridCol w:w="1067"/>
        <w:gridCol w:w="1067"/>
        <w:gridCol w:w="1068"/>
      </w:tblGrid>
      <w:tr w:rsidR="004A147C" w:rsidRPr="00B53FFB" w:rsidTr="00610A7B">
        <w:trPr>
          <w:trHeight w:val="315"/>
        </w:trPr>
        <w:tc>
          <w:tcPr>
            <w:tcW w:w="1889" w:type="dxa"/>
            <w:noWrap/>
            <w:vAlign w:val="center"/>
          </w:tcPr>
          <w:p w:rsidR="004A147C" w:rsidRPr="00B53FFB" w:rsidRDefault="004A147C" w:rsidP="00CE5850">
            <w:pPr>
              <w:jc w:val="center"/>
              <w:rPr>
                <w:b/>
                <w:kern w:val="0"/>
                <w:szCs w:val="22"/>
              </w:rPr>
            </w:pPr>
            <w:r w:rsidRPr="00B53FFB">
              <w:rPr>
                <w:b/>
                <w:kern w:val="0"/>
                <w:szCs w:val="22"/>
              </w:rPr>
              <w:t>Licensee</w:t>
            </w:r>
          </w:p>
        </w:tc>
        <w:tc>
          <w:tcPr>
            <w:tcW w:w="1067" w:type="dxa"/>
            <w:noWrap/>
            <w:vAlign w:val="center"/>
          </w:tcPr>
          <w:p w:rsidR="004A147C" w:rsidRPr="00B53FFB" w:rsidRDefault="004A147C" w:rsidP="00CE5850">
            <w:pPr>
              <w:jc w:val="center"/>
              <w:rPr>
                <w:b/>
                <w:kern w:val="0"/>
                <w:szCs w:val="22"/>
              </w:rPr>
            </w:pPr>
            <w:r w:rsidRPr="00B53FFB">
              <w:rPr>
                <w:b/>
                <w:kern w:val="0"/>
                <w:szCs w:val="22"/>
              </w:rPr>
              <w:t>700 MHz</w:t>
            </w:r>
          </w:p>
        </w:tc>
        <w:tc>
          <w:tcPr>
            <w:tcW w:w="1067" w:type="dxa"/>
            <w:noWrap/>
            <w:vAlign w:val="center"/>
          </w:tcPr>
          <w:p w:rsidR="004A147C" w:rsidRPr="00B53FFB" w:rsidRDefault="004A147C" w:rsidP="00CE5850">
            <w:pPr>
              <w:jc w:val="center"/>
              <w:rPr>
                <w:b/>
                <w:kern w:val="0"/>
                <w:szCs w:val="22"/>
              </w:rPr>
            </w:pPr>
            <w:r w:rsidRPr="00B53FFB">
              <w:rPr>
                <w:b/>
                <w:kern w:val="0"/>
                <w:szCs w:val="22"/>
              </w:rPr>
              <w:t>Cellular (850 MHz)</w:t>
            </w:r>
          </w:p>
        </w:tc>
        <w:tc>
          <w:tcPr>
            <w:tcW w:w="1067" w:type="dxa"/>
            <w:noWrap/>
            <w:vAlign w:val="center"/>
          </w:tcPr>
          <w:p w:rsidR="004A147C" w:rsidRPr="00B53FFB" w:rsidRDefault="004A147C" w:rsidP="00CE5850">
            <w:pPr>
              <w:jc w:val="center"/>
              <w:rPr>
                <w:b/>
                <w:kern w:val="0"/>
                <w:szCs w:val="22"/>
              </w:rPr>
            </w:pPr>
            <w:r w:rsidRPr="00B53FFB">
              <w:rPr>
                <w:b/>
                <w:kern w:val="0"/>
                <w:szCs w:val="22"/>
              </w:rPr>
              <w:t>SMR (800/900 MHz)</w:t>
            </w:r>
          </w:p>
        </w:tc>
        <w:tc>
          <w:tcPr>
            <w:tcW w:w="1068" w:type="dxa"/>
            <w:noWrap/>
            <w:vAlign w:val="center"/>
          </w:tcPr>
          <w:p w:rsidR="004A147C" w:rsidRPr="00B53FFB" w:rsidRDefault="004A147C" w:rsidP="00CE5850">
            <w:pPr>
              <w:jc w:val="center"/>
              <w:rPr>
                <w:b/>
                <w:kern w:val="0"/>
                <w:szCs w:val="22"/>
              </w:rPr>
            </w:pPr>
            <w:r w:rsidRPr="00B53FFB">
              <w:rPr>
                <w:b/>
                <w:kern w:val="0"/>
                <w:szCs w:val="22"/>
              </w:rPr>
              <w:t>PCS (1.9 GHz)</w:t>
            </w:r>
          </w:p>
        </w:tc>
        <w:tc>
          <w:tcPr>
            <w:tcW w:w="1067" w:type="dxa"/>
            <w:noWrap/>
            <w:vAlign w:val="center"/>
          </w:tcPr>
          <w:p w:rsidR="004A147C" w:rsidRPr="00B53FFB" w:rsidRDefault="004A147C" w:rsidP="00CE5850">
            <w:pPr>
              <w:jc w:val="center"/>
              <w:rPr>
                <w:b/>
                <w:kern w:val="0"/>
                <w:szCs w:val="22"/>
              </w:rPr>
            </w:pPr>
            <w:r w:rsidRPr="00B53FFB">
              <w:rPr>
                <w:b/>
                <w:kern w:val="0"/>
                <w:szCs w:val="22"/>
              </w:rPr>
              <w:t>AWS (1.7/2.1 GHz)</w:t>
            </w:r>
          </w:p>
        </w:tc>
        <w:tc>
          <w:tcPr>
            <w:tcW w:w="1067" w:type="dxa"/>
            <w:noWrap/>
            <w:vAlign w:val="center"/>
          </w:tcPr>
          <w:p w:rsidR="004A147C" w:rsidRPr="00B53FFB" w:rsidRDefault="004A147C" w:rsidP="00CE5850">
            <w:pPr>
              <w:jc w:val="center"/>
              <w:rPr>
                <w:b/>
                <w:kern w:val="0"/>
                <w:szCs w:val="22"/>
              </w:rPr>
            </w:pPr>
            <w:r w:rsidRPr="00B53FFB">
              <w:rPr>
                <w:b/>
                <w:kern w:val="0"/>
                <w:szCs w:val="22"/>
              </w:rPr>
              <w:t>BRS (2.5 GHz)</w:t>
            </w:r>
          </w:p>
        </w:tc>
        <w:tc>
          <w:tcPr>
            <w:tcW w:w="1068" w:type="dxa"/>
            <w:noWrap/>
            <w:vAlign w:val="center"/>
          </w:tcPr>
          <w:p w:rsidR="004A147C" w:rsidRPr="00B53FFB" w:rsidRDefault="004A147C" w:rsidP="00CE5850">
            <w:pPr>
              <w:jc w:val="center"/>
              <w:rPr>
                <w:b/>
                <w:kern w:val="0"/>
                <w:szCs w:val="22"/>
              </w:rPr>
            </w:pPr>
            <w:r w:rsidRPr="00B53FFB">
              <w:rPr>
                <w:b/>
                <w:kern w:val="0"/>
                <w:szCs w:val="22"/>
              </w:rPr>
              <w:t>EBS Leases (2.5 GHz)</w:t>
            </w:r>
          </w:p>
        </w:tc>
      </w:tr>
      <w:tr w:rsidR="004A147C" w:rsidRPr="00B53FFB" w:rsidTr="00610A7B">
        <w:trPr>
          <w:trHeight w:val="315"/>
        </w:trPr>
        <w:tc>
          <w:tcPr>
            <w:tcW w:w="1889" w:type="dxa"/>
            <w:noWrap/>
            <w:vAlign w:val="bottom"/>
          </w:tcPr>
          <w:p w:rsidR="004A147C" w:rsidRPr="00B53FFB" w:rsidRDefault="004A147C" w:rsidP="00CE5850">
            <w:pPr>
              <w:rPr>
                <w:kern w:val="0"/>
                <w:szCs w:val="22"/>
              </w:rPr>
            </w:pPr>
            <w:r w:rsidRPr="00B53FFB">
              <w:rPr>
                <w:kern w:val="0"/>
                <w:szCs w:val="22"/>
              </w:rPr>
              <w:t>Verizon Wireless</w:t>
            </w:r>
          </w:p>
        </w:tc>
        <w:tc>
          <w:tcPr>
            <w:tcW w:w="1067" w:type="dxa"/>
            <w:noWrap/>
            <w:vAlign w:val="bottom"/>
          </w:tcPr>
          <w:p w:rsidR="004A147C" w:rsidRPr="00B53FFB" w:rsidRDefault="004A147C" w:rsidP="00CE5850">
            <w:pPr>
              <w:jc w:val="right"/>
              <w:rPr>
                <w:kern w:val="0"/>
                <w:szCs w:val="22"/>
              </w:rPr>
            </w:pPr>
            <w:r w:rsidRPr="00B53FFB">
              <w:rPr>
                <w:kern w:val="0"/>
                <w:szCs w:val="22"/>
              </w:rPr>
              <w:t>42.0%</w:t>
            </w:r>
          </w:p>
        </w:tc>
        <w:tc>
          <w:tcPr>
            <w:tcW w:w="1067" w:type="dxa"/>
            <w:noWrap/>
            <w:vAlign w:val="bottom"/>
          </w:tcPr>
          <w:p w:rsidR="004A147C" w:rsidRPr="00B53FFB" w:rsidRDefault="004A147C" w:rsidP="00CE5850">
            <w:pPr>
              <w:jc w:val="right"/>
              <w:rPr>
                <w:kern w:val="0"/>
                <w:szCs w:val="22"/>
              </w:rPr>
            </w:pPr>
            <w:r w:rsidRPr="00B53FFB">
              <w:rPr>
                <w:kern w:val="0"/>
                <w:szCs w:val="22"/>
              </w:rPr>
              <w:t>48.1%</w:t>
            </w:r>
          </w:p>
        </w:tc>
        <w:tc>
          <w:tcPr>
            <w:tcW w:w="1067" w:type="dxa"/>
            <w:noWrap/>
            <w:vAlign w:val="bottom"/>
          </w:tcPr>
          <w:p w:rsidR="004A147C" w:rsidRPr="00B53FFB" w:rsidRDefault="004A147C" w:rsidP="00CE5850">
            <w:pPr>
              <w:jc w:val="right"/>
              <w:rPr>
                <w:kern w:val="0"/>
                <w:szCs w:val="22"/>
              </w:rPr>
            </w:pPr>
            <w:r w:rsidRPr="00B53FFB">
              <w:rPr>
                <w:kern w:val="0"/>
                <w:szCs w:val="22"/>
              </w:rPr>
              <w:t>0.0%</w:t>
            </w:r>
          </w:p>
        </w:tc>
        <w:tc>
          <w:tcPr>
            <w:tcW w:w="1068" w:type="dxa"/>
            <w:noWrap/>
            <w:vAlign w:val="bottom"/>
          </w:tcPr>
          <w:p w:rsidR="004A147C" w:rsidRPr="00B53FFB" w:rsidRDefault="004A147C" w:rsidP="00CE5850">
            <w:pPr>
              <w:jc w:val="right"/>
              <w:rPr>
                <w:kern w:val="0"/>
                <w:szCs w:val="22"/>
              </w:rPr>
            </w:pPr>
            <w:r w:rsidRPr="00B53FFB">
              <w:rPr>
                <w:kern w:val="0"/>
                <w:szCs w:val="22"/>
              </w:rPr>
              <w:t>15.7%</w:t>
            </w:r>
          </w:p>
        </w:tc>
        <w:tc>
          <w:tcPr>
            <w:tcW w:w="1067" w:type="dxa"/>
            <w:noWrap/>
            <w:vAlign w:val="bottom"/>
          </w:tcPr>
          <w:p w:rsidR="004A147C" w:rsidRPr="00B53FFB" w:rsidRDefault="004A147C" w:rsidP="00CE5850">
            <w:pPr>
              <w:jc w:val="right"/>
              <w:rPr>
                <w:kern w:val="0"/>
                <w:szCs w:val="22"/>
              </w:rPr>
            </w:pPr>
            <w:r w:rsidRPr="00B53FFB">
              <w:rPr>
                <w:kern w:val="0"/>
                <w:szCs w:val="22"/>
              </w:rPr>
              <w:t>35.5%</w:t>
            </w:r>
          </w:p>
        </w:tc>
        <w:tc>
          <w:tcPr>
            <w:tcW w:w="1067" w:type="dxa"/>
            <w:noWrap/>
            <w:vAlign w:val="bottom"/>
          </w:tcPr>
          <w:p w:rsidR="004A147C" w:rsidRPr="00B53FFB" w:rsidRDefault="004A147C" w:rsidP="00CE5850">
            <w:pPr>
              <w:jc w:val="right"/>
              <w:rPr>
                <w:kern w:val="0"/>
                <w:szCs w:val="22"/>
              </w:rPr>
            </w:pPr>
            <w:r w:rsidRPr="00B53FFB">
              <w:rPr>
                <w:kern w:val="0"/>
                <w:szCs w:val="22"/>
              </w:rPr>
              <w:t>0.0%</w:t>
            </w:r>
          </w:p>
        </w:tc>
        <w:tc>
          <w:tcPr>
            <w:tcW w:w="1068" w:type="dxa"/>
            <w:noWrap/>
            <w:vAlign w:val="bottom"/>
          </w:tcPr>
          <w:p w:rsidR="004A147C" w:rsidRPr="00B53FFB" w:rsidRDefault="004A147C" w:rsidP="00CE5850">
            <w:pPr>
              <w:jc w:val="right"/>
              <w:rPr>
                <w:kern w:val="0"/>
                <w:szCs w:val="22"/>
              </w:rPr>
            </w:pPr>
            <w:r w:rsidRPr="00B53FFB">
              <w:rPr>
                <w:kern w:val="0"/>
                <w:szCs w:val="22"/>
              </w:rPr>
              <w:t>0.0%</w:t>
            </w:r>
          </w:p>
        </w:tc>
      </w:tr>
      <w:tr w:rsidR="004A147C" w:rsidRPr="00B53FFB" w:rsidTr="00610A7B">
        <w:trPr>
          <w:trHeight w:val="315"/>
        </w:trPr>
        <w:tc>
          <w:tcPr>
            <w:tcW w:w="1889" w:type="dxa"/>
            <w:noWrap/>
            <w:vAlign w:val="bottom"/>
          </w:tcPr>
          <w:p w:rsidR="004A147C" w:rsidRPr="00B53FFB" w:rsidRDefault="004A147C" w:rsidP="00CE5850">
            <w:pPr>
              <w:rPr>
                <w:kern w:val="0"/>
                <w:szCs w:val="22"/>
              </w:rPr>
            </w:pPr>
            <w:r w:rsidRPr="00B53FFB">
              <w:rPr>
                <w:kern w:val="0"/>
                <w:szCs w:val="22"/>
              </w:rPr>
              <w:t>AT&amp;T</w:t>
            </w:r>
          </w:p>
        </w:tc>
        <w:tc>
          <w:tcPr>
            <w:tcW w:w="1067" w:type="dxa"/>
            <w:noWrap/>
            <w:vAlign w:val="bottom"/>
          </w:tcPr>
          <w:p w:rsidR="004A147C" w:rsidRPr="00B53FFB" w:rsidRDefault="004A147C" w:rsidP="00CE5850">
            <w:pPr>
              <w:jc w:val="right"/>
              <w:rPr>
                <w:kern w:val="0"/>
                <w:szCs w:val="22"/>
              </w:rPr>
            </w:pPr>
            <w:r w:rsidRPr="00B53FFB">
              <w:rPr>
                <w:kern w:val="0"/>
                <w:szCs w:val="22"/>
              </w:rPr>
              <w:t>35.9%</w:t>
            </w:r>
          </w:p>
        </w:tc>
        <w:tc>
          <w:tcPr>
            <w:tcW w:w="1067" w:type="dxa"/>
            <w:noWrap/>
            <w:vAlign w:val="bottom"/>
          </w:tcPr>
          <w:p w:rsidR="004A147C" w:rsidRPr="00B53FFB" w:rsidRDefault="004A147C" w:rsidP="00CE5850">
            <w:pPr>
              <w:jc w:val="right"/>
              <w:rPr>
                <w:kern w:val="0"/>
                <w:szCs w:val="22"/>
              </w:rPr>
            </w:pPr>
            <w:r w:rsidRPr="00B53FFB">
              <w:rPr>
                <w:kern w:val="0"/>
                <w:szCs w:val="22"/>
              </w:rPr>
              <w:t>43.6%</w:t>
            </w:r>
          </w:p>
        </w:tc>
        <w:tc>
          <w:tcPr>
            <w:tcW w:w="1067" w:type="dxa"/>
            <w:noWrap/>
            <w:vAlign w:val="bottom"/>
          </w:tcPr>
          <w:p w:rsidR="004A147C" w:rsidRPr="00B53FFB" w:rsidRDefault="004A147C" w:rsidP="00CE5850">
            <w:pPr>
              <w:jc w:val="right"/>
              <w:rPr>
                <w:kern w:val="0"/>
                <w:szCs w:val="22"/>
              </w:rPr>
            </w:pPr>
            <w:r w:rsidRPr="00B53FFB">
              <w:rPr>
                <w:kern w:val="0"/>
                <w:szCs w:val="22"/>
              </w:rPr>
              <w:t>0.0%</w:t>
            </w:r>
          </w:p>
        </w:tc>
        <w:tc>
          <w:tcPr>
            <w:tcW w:w="1068" w:type="dxa"/>
            <w:noWrap/>
            <w:vAlign w:val="bottom"/>
          </w:tcPr>
          <w:p w:rsidR="004A147C" w:rsidRPr="00B53FFB" w:rsidRDefault="004A147C" w:rsidP="00CE5850">
            <w:pPr>
              <w:jc w:val="right"/>
              <w:rPr>
                <w:kern w:val="0"/>
                <w:szCs w:val="22"/>
              </w:rPr>
            </w:pPr>
            <w:r w:rsidRPr="00B53FFB">
              <w:rPr>
                <w:kern w:val="0"/>
                <w:szCs w:val="22"/>
              </w:rPr>
              <w:t>26.4%</w:t>
            </w:r>
          </w:p>
        </w:tc>
        <w:tc>
          <w:tcPr>
            <w:tcW w:w="1067" w:type="dxa"/>
            <w:noWrap/>
            <w:vAlign w:val="bottom"/>
          </w:tcPr>
          <w:p w:rsidR="004A147C" w:rsidRPr="00B53FFB" w:rsidRDefault="004A147C" w:rsidP="00CE5850">
            <w:pPr>
              <w:jc w:val="right"/>
              <w:rPr>
                <w:kern w:val="0"/>
                <w:szCs w:val="22"/>
              </w:rPr>
            </w:pPr>
            <w:r w:rsidRPr="00B53FFB">
              <w:rPr>
                <w:kern w:val="0"/>
                <w:szCs w:val="22"/>
              </w:rPr>
              <w:t>6.2%</w:t>
            </w:r>
          </w:p>
        </w:tc>
        <w:tc>
          <w:tcPr>
            <w:tcW w:w="1067" w:type="dxa"/>
            <w:noWrap/>
            <w:vAlign w:val="bottom"/>
          </w:tcPr>
          <w:p w:rsidR="004A147C" w:rsidRPr="00B53FFB" w:rsidRDefault="004A147C" w:rsidP="00CE5850">
            <w:pPr>
              <w:jc w:val="right"/>
              <w:rPr>
                <w:kern w:val="0"/>
                <w:szCs w:val="22"/>
              </w:rPr>
            </w:pPr>
            <w:r w:rsidRPr="00B53FFB">
              <w:rPr>
                <w:kern w:val="0"/>
                <w:szCs w:val="22"/>
              </w:rPr>
              <w:t>0.0%</w:t>
            </w:r>
          </w:p>
        </w:tc>
        <w:tc>
          <w:tcPr>
            <w:tcW w:w="1068" w:type="dxa"/>
            <w:noWrap/>
            <w:vAlign w:val="bottom"/>
          </w:tcPr>
          <w:p w:rsidR="004A147C" w:rsidRPr="00B53FFB" w:rsidRDefault="004A147C" w:rsidP="00CE5850">
            <w:pPr>
              <w:jc w:val="right"/>
              <w:rPr>
                <w:kern w:val="0"/>
                <w:szCs w:val="22"/>
              </w:rPr>
            </w:pPr>
            <w:r w:rsidRPr="00B53FFB">
              <w:rPr>
                <w:kern w:val="0"/>
                <w:szCs w:val="22"/>
              </w:rPr>
              <w:t>0.0%</w:t>
            </w:r>
          </w:p>
        </w:tc>
      </w:tr>
      <w:tr w:rsidR="004A147C" w:rsidRPr="00B53FFB" w:rsidTr="00610A7B">
        <w:trPr>
          <w:trHeight w:val="315"/>
        </w:trPr>
        <w:tc>
          <w:tcPr>
            <w:tcW w:w="1889" w:type="dxa"/>
            <w:noWrap/>
            <w:vAlign w:val="bottom"/>
          </w:tcPr>
          <w:p w:rsidR="004A147C" w:rsidRPr="00B53FFB" w:rsidRDefault="004A147C" w:rsidP="00CE5850">
            <w:pPr>
              <w:rPr>
                <w:kern w:val="0"/>
                <w:szCs w:val="22"/>
              </w:rPr>
            </w:pPr>
            <w:r w:rsidRPr="00B53FFB">
              <w:rPr>
                <w:kern w:val="0"/>
                <w:szCs w:val="22"/>
              </w:rPr>
              <w:t>Sprint Nextel</w:t>
            </w:r>
          </w:p>
        </w:tc>
        <w:tc>
          <w:tcPr>
            <w:tcW w:w="1067" w:type="dxa"/>
            <w:noWrap/>
            <w:vAlign w:val="bottom"/>
          </w:tcPr>
          <w:p w:rsidR="004A147C" w:rsidRPr="00B53FFB" w:rsidRDefault="004A147C" w:rsidP="00CE5850">
            <w:pPr>
              <w:jc w:val="right"/>
              <w:rPr>
                <w:kern w:val="0"/>
                <w:szCs w:val="22"/>
              </w:rPr>
            </w:pPr>
            <w:r w:rsidRPr="00B53FFB">
              <w:rPr>
                <w:kern w:val="0"/>
                <w:szCs w:val="22"/>
              </w:rPr>
              <w:t>0.0%</w:t>
            </w:r>
          </w:p>
        </w:tc>
        <w:tc>
          <w:tcPr>
            <w:tcW w:w="1067" w:type="dxa"/>
            <w:noWrap/>
            <w:vAlign w:val="bottom"/>
          </w:tcPr>
          <w:p w:rsidR="004A147C" w:rsidRPr="00B53FFB" w:rsidRDefault="004A147C" w:rsidP="00CE5850">
            <w:pPr>
              <w:jc w:val="right"/>
              <w:rPr>
                <w:kern w:val="0"/>
                <w:szCs w:val="22"/>
              </w:rPr>
            </w:pPr>
            <w:r w:rsidRPr="00B53FFB">
              <w:rPr>
                <w:kern w:val="0"/>
                <w:szCs w:val="22"/>
              </w:rPr>
              <w:t>0.0%</w:t>
            </w:r>
          </w:p>
        </w:tc>
        <w:tc>
          <w:tcPr>
            <w:tcW w:w="1067" w:type="dxa"/>
            <w:noWrap/>
            <w:vAlign w:val="bottom"/>
          </w:tcPr>
          <w:p w:rsidR="004A147C" w:rsidRPr="00B53FFB" w:rsidRDefault="004A147C" w:rsidP="00CE5850">
            <w:pPr>
              <w:jc w:val="right"/>
              <w:rPr>
                <w:kern w:val="0"/>
                <w:szCs w:val="22"/>
              </w:rPr>
            </w:pPr>
            <w:r w:rsidRPr="00B53FFB">
              <w:rPr>
                <w:kern w:val="0"/>
                <w:szCs w:val="22"/>
              </w:rPr>
              <w:t>97.2%</w:t>
            </w:r>
          </w:p>
        </w:tc>
        <w:tc>
          <w:tcPr>
            <w:tcW w:w="1068" w:type="dxa"/>
            <w:noWrap/>
            <w:vAlign w:val="bottom"/>
          </w:tcPr>
          <w:p w:rsidR="004A147C" w:rsidRPr="00B53FFB" w:rsidRDefault="004A147C" w:rsidP="00CE5850">
            <w:pPr>
              <w:jc w:val="right"/>
              <w:rPr>
                <w:kern w:val="0"/>
                <w:szCs w:val="22"/>
              </w:rPr>
            </w:pPr>
            <w:r w:rsidRPr="00B53FFB">
              <w:rPr>
                <w:kern w:val="0"/>
                <w:szCs w:val="22"/>
              </w:rPr>
              <w:t>27.1%</w:t>
            </w:r>
          </w:p>
        </w:tc>
        <w:tc>
          <w:tcPr>
            <w:tcW w:w="1067" w:type="dxa"/>
            <w:noWrap/>
            <w:vAlign w:val="bottom"/>
          </w:tcPr>
          <w:p w:rsidR="004A147C" w:rsidRPr="00B53FFB" w:rsidRDefault="004A147C" w:rsidP="00CE5850">
            <w:pPr>
              <w:jc w:val="right"/>
              <w:rPr>
                <w:kern w:val="0"/>
                <w:szCs w:val="22"/>
              </w:rPr>
            </w:pPr>
            <w:r w:rsidRPr="00B53FFB">
              <w:rPr>
                <w:kern w:val="0"/>
                <w:szCs w:val="22"/>
              </w:rPr>
              <w:t>0.0%</w:t>
            </w:r>
          </w:p>
        </w:tc>
        <w:tc>
          <w:tcPr>
            <w:tcW w:w="1067" w:type="dxa"/>
            <w:noWrap/>
            <w:vAlign w:val="bottom"/>
          </w:tcPr>
          <w:p w:rsidR="004A147C" w:rsidRPr="00B53FFB" w:rsidRDefault="004A147C" w:rsidP="00CE5850">
            <w:pPr>
              <w:jc w:val="right"/>
              <w:rPr>
                <w:kern w:val="0"/>
                <w:szCs w:val="22"/>
              </w:rPr>
            </w:pPr>
            <w:r w:rsidRPr="00B53FFB">
              <w:rPr>
                <w:kern w:val="0"/>
                <w:szCs w:val="22"/>
              </w:rPr>
              <w:t>0.0%</w:t>
            </w:r>
          </w:p>
        </w:tc>
        <w:tc>
          <w:tcPr>
            <w:tcW w:w="1068" w:type="dxa"/>
            <w:noWrap/>
            <w:vAlign w:val="bottom"/>
          </w:tcPr>
          <w:p w:rsidR="004A147C" w:rsidRPr="00B53FFB" w:rsidRDefault="004A147C" w:rsidP="00CE5850">
            <w:pPr>
              <w:jc w:val="right"/>
              <w:rPr>
                <w:kern w:val="0"/>
                <w:szCs w:val="22"/>
              </w:rPr>
            </w:pPr>
            <w:r w:rsidRPr="00B53FFB">
              <w:rPr>
                <w:kern w:val="0"/>
                <w:szCs w:val="22"/>
              </w:rPr>
              <w:t>0.0%</w:t>
            </w:r>
          </w:p>
        </w:tc>
      </w:tr>
      <w:tr w:rsidR="004A147C" w:rsidRPr="00B53FFB" w:rsidTr="00610A7B">
        <w:trPr>
          <w:trHeight w:val="315"/>
        </w:trPr>
        <w:tc>
          <w:tcPr>
            <w:tcW w:w="1889" w:type="dxa"/>
            <w:noWrap/>
            <w:vAlign w:val="bottom"/>
          </w:tcPr>
          <w:p w:rsidR="004A147C" w:rsidRPr="00B53FFB" w:rsidRDefault="004A147C" w:rsidP="00CE5850">
            <w:pPr>
              <w:rPr>
                <w:kern w:val="0"/>
                <w:szCs w:val="22"/>
              </w:rPr>
            </w:pPr>
            <w:r w:rsidRPr="00B53FFB">
              <w:rPr>
                <w:kern w:val="0"/>
                <w:szCs w:val="22"/>
              </w:rPr>
              <w:t>Clearwire</w:t>
            </w:r>
          </w:p>
        </w:tc>
        <w:tc>
          <w:tcPr>
            <w:tcW w:w="1067" w:type="dxa"/>
            <w:noWrap/>
            <w:vAlign w:val="bottom"/>
          </w:tcPr>
          <w:p w:rsidR="004A147C" w:rsidRPr="00B53FFB" w:rsidRDefault="004A147C" w:rsidP="00CE5850">
            <w:pPr>
              <w:jc w:val="right"/>
              <w:rPr>
                <w:kern w:val="0"/>
                <w:szCs w:val="22"/>
              </w:rPr>
            </w:pPr>
            <w:r w:rsidRPr="00B53FFB">
              <w:rPr>
                <w:kern w:val="0"/>
                <w:szCs w:val="22"/>
              </w:rPr>
              <w:t>0.0%</w:t>
            </w:r>
          </w:p>
        </w:tc>
        <w:tc>
          <w:tcPr>
            <w:tcW w:w="1067" w:type="dxa"/>
            <w:noWrap/>
            <w:vAlign w:val="bottom"/>
          </w:tcPr>
          <w:p w:rsidR="004A147C" w:rsidRPr="00B53FFB" w:rsidRDefault="004A147C" w:rsidP="00CE5850">
            <w:pPr>
              <w:jc w:val="right"/>
              <w:rPr>
                <w:kern w:val="0"/>
                <w:szCs w:val="22"/>
              </w:rPr>
            </w:pPr>
            <w:r w:rsidRPr="00B53FFB">
              <w:rPr>
                <w:kern w:val="0"/>
                <w:szCs w:val="22"/>
              </w:rPr>
              <w:t>0.0%</w:t>
            </w:r>
          </w:p>
        </w:tc>
        <w:tc>
          <w:tcPr>
            <w:tcW w:w="1067" w:type="dxa"/>
            <w:noWrap/>
            <w:vAlign w:val="bottom"/>
          </w:tcPr>
          <w:p w:rsidR="004A147C" w:rsidRPr="00B53FFB" w:rsidRDefault="004A147C" w:rsidP="00CE5850">
            <w:pPr>
              <w:jc w:val="right"/>
              <w:rPr>
                <w:kern w:val="0"/>
                <w:szCs w:val="22"/>
              </w:rPr>
            </w:pPr>
            <w:r w:rsidRPr="00B53FFB">
              <w:rPr>
                <w:kern w:val="0"/>
                <w:szCs w:val="22"/>
              </w:rPr>
              <w:t>0.0%</w:t>
            </w:r>
          </w:p>
        </w:tc>
        <w:tc>
          <w:tcPr>
            <w:tcW w:w="1068" w:type="dxa"/>
            <w:noWrap/>
            <w:vAlign w:val="bottom"/>
          </w:tcPr>
          <w:p w:rsidR="004A147C" w:rsidRPr="00B53FFB" w:rsidRDefault="004A147C" w:rsidP="00CE5850">
            <w:pPr>
              <w:jc w:val="right"/>
              <w:rPr>
                <w:kern w:val="0"/>
                <w:szCs w:val="22"/>
              </w:rPr>
            </w:pPr>
            <w:r w:rsidRPr="00B53FFB">
              <w:rPr>
                <w:kern w:val="0"/>
                <w:szCs w:val="22"/>
              </w:rPr>
              <w:t>0.0%</w:t>
            </w:r>
          </w:p>
        </w:tc>
        <w:tc>
          <w:tcPr>
            <w:tcW w:w="1067" w:type="dxa"/>
            <w:noWrap/>
            <w:vAlign w:val="bottom"/>
          </w:tcPr>
          <w:p w:rsidR="004A147C" w:rsidRPr="00B53FFB" w:rsidRDefault="004A147C" w:rsidP="00CE5850">
            <w:pPr>
              <w:jc w:val="right"/>
              <w:rPr>
                <w:kern w:val="0"/>
                <w:szCs w:val="22"/>
              </w:rPr>
            </w:pPr>
            <w:r w:rsidRPr="00B53FFB">
              <w:rPr>
                <w:kern w:val="0"/>
                <w:szCs w:val="22"/>
              </w:rPr>
              <w:t>0.0%</w:t>
            </w:r>
          </w:p>
        </w:tc>
        <w:tc>
          <w:tcPr>
            <w:tcW w:w="1067" w:type="dxa"/>
            <w:noWrap/>
            <w:vAlign w:val="bottom"/>
          </w:tcPr>
          <w:p w:rsidR="004A147C" w:rsidRPr="00B53FFB" w:rsidRDefault="004A147C" w:rsidP="00CE5850">
            <w:pPr>
              <w:jc w:val="right"/>
              <w:rPr>
                <w:kern w:val="0"/>
                <w:szCs w:val="22"/>
              </w:rPr>
            </w:pPr>
            <w:r w:rsidRPr="00B53FFB">
              <w:rPr>
                <w:kern w:val="0"/>
                <w:szCs w:val="22"/>
              </w:rPr>
              <w:t>85.4%</w:t>
            </w:r>
          </w:p>
        </w:tc>
        <w:tc>
          <w:tcPr>
            <w:tcW w:w="1068" w:type="dxa"/>
            <w:noWrap/>
            <w:vAlign w:val="bottom"/>
          </w:tcPr>
          <w:p w:rsidR="004A147C" w:rsidRPr="00B53FFB" w:rsidRDefault="004A147C" w:rsidP="00CE5850">
            <w:pPr>
              <w:jc w:val="right"/>
              <w:rPr>
                <w:kern w:val="0"/>
                <w:szCs w:val="22"/>
              </w:rPr>
            </w:pPr>
            <w:r w:rsidRPr="00B53FFB">
              <w:rPr>
                <w:kern w:val="0"/>
                <w:szCs w:val="22"/>
              </w:rPr>
              <w:t>61.1%</w:t>
            </w:r>
          </w:p>
        </w:tc>
      </w:tr>
      <w:tr w:rsidR="004A147C" w:rsidRPr="00B53FFB" w:rsidTr="00610A7B">
        <w:trPr>
          <w:trHeight w:val="315"/>
        </w:trPr>
        <w:tc>
          <w:tcPr>
            <w:tcW w:w="1889" w:type="dxa"/>
            <w:noWrap/>
            <w:vAlign w:val="bottom"/>
          </w:tcPr>
          <w:p w:rsidR="004A147C" w:rsidRPr="00B53FFB" w:rsidRDefault="004A147C" w:rsidP="00CE5850">
            <w:pPr>
              <w:rPr>
                <w:kern w:val="0"/>
                <w:szCs w:val="22"/>
              </w:rPr>
            </w:pPr>
            <w:r w:rsidRPr="00B53FFB">
              <w:rPr>
                <w:kern w:val="0"/>
                <w:szCs w:val="22"/>
              </w:rPr>
              <w:t>T-Mobile</w:t>
            </w:r>
          </w:p>
        </w:tc>
        <w:tc>
          <w:tcPr>
            <w:tcW w:w="1067" w:type="dxa"/>
            <w:noWrap/>
            <w:vAlign w:val="bottom"/>
          </w:tcPr>
          <w:p w:rsidR="004A147C" w:rsidRPr="00B53FFB" w:rsidRDefault="004A147C" w:rsidP="00CE5850">
            <w:pPr>
              <w:jc w:val="right"/>
              <w:rPr>
                <w:kern w:val="0"/>
                <w:szCs w:val="22"/>
              </w:rPr>
            </w:pPr>
            <w:r w:rsidRPr="00B53FFB">
              <w:rPr>
                <w:kern w:val="0"/>
                <w:szCs w:val="22"/>
              </w:rPr>
              <w:t>0.0%</w:t>
            </w:r>
          </w:p>
        </w:tc>
        <w:tc>
          <w:tcPr>
            <w:tcW w:w="1067" w:type="dxa"/>
            <w:noWrap/>
            <w:vAlign w:val="bottom"/>
          </w:tcPr>
          <w:p w:rsidR="004A147C" w:rsidRPr="00B53FFB" w:rsidRDefault="004A147C" w:rsidP="00CE5850">
            <w:pPr>
              <w:jc w:val="right"/>
              <w:rPr>
                <w:kern w:val="0"/>
                <w:szCs w:val="22"/>
              </w:rPr>
            </w:pPr>
            <w:r w:rsidRPr="00B53FFB">
              <w:rPr>
                <w:kern w:val="0"/>
                <w:szCs w:val="22"/>
              </w:rPr>
              <w:t>0.1%</w:t>
            </w:r>
          </w:p>
        </w:tc>
        <w:tc>
          <w:tcPr>
            <w:tcW w:w="1067" w:type="dxa"/>
            <w:noWrap/>
            <w:vAlign w:val="bottom"/>
          </w:tcPr>
          <w:p w:rsidR="004A147C" w:rsidRPr="00B53FFB" w:rsidRDefault="004A147C" w:rsidP="00CE5850">
            <w:pPr>
              <w:jc w:val="right"/>
              <w:rPr>
                <w:kern w:val="0"/>
                <w:szCs w:val="22"/>
              </w:rPr>
            </w:pPr>
            <w:r w:rsidRPr="00B53FFB">
              <w:rPr>
                <w:kern w:val="0"/>
                <w:szCs w:val="22"/>
              </w:rPr>
              <w:t>0.0%</w:t>
            </w:r>
          </w:p>
        </w:tc>
        <w:tc>
          <w:tcPr>
            <w:tcW w:w="1068" w:type="dxa"/>
            <w:noWrap/>
            <w:vAlign w:val="bottom"/>
          </w:tcPr>
          <w:p w:rsidR="004A147C" w:rsidRPr="00B53FFB" w:rsidRDefault="004A147C" w:rsidP="00CE5850">
            <w:pPr>
              <w:jc w:val="right"/>
              <w:rPr>
                <w:kern w:val="0"/>
                <w:szCs w:val="22"/>
              </w:rPr>
            </w:pPr>
            <w:r w:rsidRPr="00B53FFB">
              <w:rPr>
                <w:kern w:val="0"/>
                <w:szCs w:val="22"/>
              </w:rPr>
              <w:t>19.6%</w:t>
            </w:r>
          </w:p>
        </w:tc>
        <w:tc>
          <w:tcPr>
            <w:tcW w:w="1067" w:type="dxa"/>
            <w:noWrap/>
            <w:vAlign w:val="bottom"/>
          </w:tcPr>
          <w:p w:rsidR="004A147C" w:rsidRPr="00B53FFB" w:rsidRDefault="004A147C" w:rsidP="00CE5850">
            <w:pPr>
              <w:jc w:val="right"/>
              <w:rPr>
                <w:kern w:val="0"/>
                <w:szCs w:val="22"/>
              </w:rPr>
            </w:pPr>
            <w:r w:rsidRPr="00B53FFB">
              <w:rPr>
                <w:kern w:val="0"/>
                <w:szCs w:val="22"/>
              </w:rPr>
              <w:t>34.6%</w:t>
            </w:r>
          </w:p>
        </w:tc>
        <w:tc>
          <w:tcPr>
            <w:tcW w:w="1067" w:type="dxa"/>
            <w:noWrap/>
            <w:vAlign w:val="bottom"/>
          </w:tcPr>
          <w:p w:rsidR="004A147C" w:rsidRPr="00B53FFB" w:rsidRDefault="004A147C" w:rsidP="00CE5850">
            <w:pPr>
              <w:jc w:val="right"/>
              <w:rPr>
                <w:kern w:val="0"/>
                <w:szCs w:val="22"/>
              </w:rPr>
            </w:pPr>
            <w:r w:rsidRPr="00B53FFB">
              <w:rPr>
                <w:kern w:val="0"/>
                <w:szCs w:val="22"/>
              </w:rPr>
              <w:t>0.0%</w:t>
            </w:r>
          </w:p>
        </w:tc>
        <w:tc>
          <w:tcPr>
            <w:tcW w:w="1068" w:type="dxa"/>
            <w:noWrap/>
            <w:vAlign w:val="bottom"/>
          </w:tcPr>
          <w:p w:rsidR="004A147C" w:rsidRPr="00B53FFB" w:rsidRDefault="004A147C" w:rsidP="00CE5850">
            <w:pPr>
              <w:jc w:val="right"/>
              <w:rPr>
                <w:kern w:val="0"/>
                <w:szCs w:val="22"/>
              </w:rPr>
            </w:pPr>
            <w:r w:rsidRPr="00B53FFB">
              <w:rPr>
                <w:kern w:val="0"/>
                <w:szCs w:val="22"/>
              </w:rPr>
              <w:t>0.0%</w:t>
            </w:r>
          </w:p>
        </w:tc>
      </w:tr>
      <w:tr w:rsidR="004A147C" w:rsidRPr="00B53FFB" w:rsidTr="00610A7B">
        <w:trPr>
          <w:trHeight w:val="315"/>
        </w:trPr>
        <w:tc>
          <w:tcPr>
            <w:tcW w:w="1889" w:type="dxa"/>
            <w:noWrap/>
            <w:vAlign w:val="bottom"/>
          </w:tcPr>
          <w:p w:rsidR="004A147C" w:rsidRPr="00B53FFB" w:rsidRDefault="004A147C" w:rsidP="00CE5850">
            <w:pPr>
              <w:rPr>
                <w:kern w:val="0"/>
                <w:szCs w:val="22"/>
              </w:rPr>
            </w:pPr>
            <w:r w:rsidRPr="00B53FFB">
              <w:rPr>
                <w:kern w:val="0"/>
                <w:szCs w:val="22"/>
              </w:rPr>
              <w:t>MetroPCS</w:t>
            </w:r>
          </w:p>
        </w:tc>
        <w:tc>
          <w:tcPr>
            <w:tcW w:w="1067" w:type="dxa"/>
            <w:noWrap/>
            <w:vAlign w:val="bottom"/>
          </w:tcPr>
          <w:p w:rsidR="004A147C" w:rsidRPr="00B53FFB" w:rsidRDefault="004A147C" w:rsidP="00CE5850">
            <w:pPr>
              <w:jc w:val="right"/>
              <w:rPr>
                <w:kern w:val="0"/>
                <w:szCs w:val="22"/>
              </w:rPr>
            </w:pPr>
            <w:r w:rsidRPr="00B53FFB">
              <w:rPr>
                <w:kern w:val="0"/>
                <w:szCs w:val="22"/>
              </w:rPr>
              <w:t>0.5%</w:t>
            </w:r>
          </w:p>
        </w:tc>
        <w:tc>
          <w:tcPr>
            <w:tcW w:w="1067" w:type="dxa"/>
            <w:noWrap/>
            <w:vAlign w:val="bottom"/>
          </w:tcPr>
          <w:p w:rsidR="004A147C" w:rsidRPr="00B53FFB" w:rsidRDefault="004A147C" w:rsidP="00CE5850">
            <w:pPr>
              <w:jc w:val="right"/>
              <w:rPr>
                <w:kern w:val="0"/>
                <w:szCs w:val="22"/>
              </w:rPr>
            </w:pPr>
            <w:r w:rsidRPr="00B53FFB">
              <w:rPr>
                <w:kern w:val="0"/>
                <w:szCs w:val="22"/>
              </w:rPr>
              <w:t>0.0%</w:t>
            </w:r>
          </w:p>
        </w:tc>
        <w:tc>
          <w:tcPr>
            <w:tcW w:w="1067" w:type="dxa"/>
            <w:noWrap/>
            <w:vAlign w:val="bottom"/>
          </w:tcPr>
          <w:p w:rsidR="004A147C" w:rsidRPr="00B53FFB" w:rsidRDefault="004A147C" w:rsidP="00CE5850">
            <w:pPr>
              <w:jc w:val="right"/>
              <w:rPr>
                <w:kern w:val="0"/>
                <w:szCs w:val="22"/>
              </w:rPr>
            </w:pPr>
            <w:r w:rsidRPr="00B53FFB">
              <w:rPr>
                <w:kern w:val="0"/>
                <w:szCs w:val="22"/>
              </w:rPr>
              <w:t>0.0%</w:t>
            </w:r>
          </w:p>
        </w:tc>
        <w:tc>
          <w:tcPr>
            <w:tcW w:w="1068" w:type="dxa"/>
            <w:noWrap/>
            <w:vAlign w:val="bottom"/>
          </w:tcPr>
          <w:p w:rsidR="004A147C" w:rsidRPr="00B53FFB" w:rsidRDefault="004A147C" w:rsidP="00CE5850">
            <w:pPr>
              <w:jc w:val="right"/>
              <w:rPr>
                <w:kern w:val="0"/>
                <w:szCs w:val="22"/>
              </w:rPr>
            </w:pPr>
            <w:r w:rsidRPr="00B53FFB">
              <w:rPr>
                <w:kern w:val="0"/>
                <w:szCs w:val="22"/>
              </w:rPr>
              <w:t>2.6%</w:t>
            </w:r>
          </w:p>
        </w:tc>
        <w:tc>
          <w:tcPr>
            <w:tcW w:w="1067" w:type="dxa"/>
            <w:noWrap/>
            <w:vAlign w:val="bottom"/>
          </w:tcPr>
          <w:p w:rsidR="004A147C" w:rsidRPr="00B53FFB" w:rsidRDefault="004A147C" w:rsidP="00CE5850">
            <w:pPr>
              <w:jc w:val="right"/>
              <w:rPr>
                <w:kern w:val="0"/>
                <w:szCs w:val="22"/>
              </w:rPr>
            </w:pPr>
            <w:r w:rsidRPr="00B53FFB">
              <w:rPr>
                <w:kern w:val="0"/>
                <w:szCs w:val="22"/>
              </w:rPr>
              <w:t>6.1%</w:t>
            </w:r>
          </w:p>
        </w:tc>
        <w:tc>
          <w:tcPr>
            <w:tcW w:w="1067" w:type="dxa"/>
            <w:noWrap/>
            <w:vAlign w:val="bottom"/>
          </w:tcPr>
          <w:p w:rsidR="004A147C" w:rsidRPr="00B53FFB" w:rsidRDefault="004A147C" w:rsidP="00CE5850">
            <w:pPr>
              <w:jc w:val="right"/>
              <w:rPr>
                <w:kern w:val="0"/>
                <w:szCs w:val="22"/>
              </w:rPr>
            </w:pPr>
            <w:r w:rsidRPr="00B53FFB">
              <w:rPr>
                <w:kern w:val="0"/>
                <w:szCs w:val="22"/>
              </w:rPr>
              <w:t>0.0%</w:t>
            </w:r>
          </w:p>
        </w:tc>
        <w:tc>
          <w:tcPr>
            <w:tcW w:w="1068" w:type="dxa"/>
            <w:noWrap/>
            <w:vAlign w:val="bottom"/>
          </w:tcPr>
          <w:p w:rsidR="004A147C" w:rsidRPr="00B53FFB" w:rsidRDefault="004A147C" w:rsidP="00CE5850">
            <w:pPr>
              <w:jc w:val="right"/>
              <w:rPr>
                <w:kern w:val="0"/>
                <w:szCs w:val="22"/>
              </w:rPr>
            </w:pPr>
            <w:r w:rsidRPr="00B53FFB">
              <w:rPr>
                <w:kern w:val="0"/>
                <w:szCs w:val="22"/>
              </w:rPr>
              <w:t>0.0%</w:t>
            </w:r>
          </w:p>
        </w:tc>
      </w:tr>
      <w:tr w:rsidR="004A147C" w:rsidRPr="00B53FFB" w:rsidTr="00610A7B">
        <w:trPr>
          <w:trHeight w:val="315"/>
        </w:trPr>
        <w:tc>
          <w:tcPr>
            <w:tcW w:w="1889" w:type="dxa"/>
            <w:noWrap/>
            <w:vAlign w:val="bottom"/>
          </w:tcPr>
          <w:p w:rsidR="004A147C" w:rsidRPr="00B53FFB" w:rsidRDefault="004A147C" w:rsidP="00CE5850">
            <w:pPr>
              <w:rPr>
                <w:kern w:val="0"/>
                <w:szCs w:val="22"/>
              </w:rPr>
            </w:pPr>
            <w:r w:rsidRPr="00B53FFB">
              <w:rPr>
                <w:kern w:val="0"/>
                <w:szCs w:val="22"/>
              </w:rPr>
              <w:t>US Cellular</w:t>
            </w:r>
          </w:p>
        </w:tc>
        <w:tc>
          <w:tcPr>
            <w:tcW w:w="1067" w:type="dxa"/>
            <w:noWrap/>
            <w:vAlign w:val="bottom"/>
          </w:tcPr>
          <w:p w:rsidR="004A147C" w:rsidRPr="00B53FFB" w:rsidRDefault="004A147C" w:rsidP="00CE5850">
            <w:pPr>
              <w:jc w:val="right"/>
              <w:rPr>
                <w:kern w:val="0"/>
                <w:szCs w:val="22"/>
              </w:rPr>
            </w:pPr>
            <w:r w:rsidRPr="00B53FFB">
              <w:rPr>
                <w:kern w:val="0"/>
                <w:szCs w:val="22"/>
              </w:rPr>
              <w:t>2.9%</w:t>
            </w:r>
          </w:p>
        </w:tc>
        <w:tc>
          <w:tcPr>
            <w:tcW w:w="1067" w:type="dxa"/>
            <w:noWrap/>
            <w:vAlign w:val="bottom"/>
          </w:tcPr>
          <w:p w:rsidR="004A147C" w:rsidRPr="00B53FFB" w:rsidRDefault="004A147C" w:rsidP="00CE5850">
            <w:pPr>
              <w:jc w:val="right"/>
              <w:rPr>
                <w:kern w:val="0"/>
                <w:szCs w:val="22"/>
              </w:rPr>
            </w:pPr>
            <w:r w:rsidRPr="00B53FFB">
              <w:rPr>
                <w:kern w:val="0"/>
                <w:szCs w:val="22"/>
              </w:rPr>
              <w:t>4.2%</w:t>
            </w:r>
          </w:p>
        </w:tc>
        <w:tc>
          <w:tcPr>
            <w:tcW w:w="1067" w:type="dxa"/>
            <w:noWrap/>
            <w:vAlign w:val="bottom"/>
          </w:tcPr>
          <w:p w:rsidR="004A147C" w:rsidRPr="00B53FFB" w:rsidRDefault="004A147C" w:rsidP="00CE5850">
            <w:pPr>
              <w:jc w:val="right"/>
              <w:rPr>
                <w:kern w:val="0"/>
                <w:szCs w:val="22"/>
              </w:rPr>
            </w:pPr>
            <w:r w:rsidRPr="00B53FFB">
              <w:rPr>
                <w:kern w:val="0"/>
                <w:szCs w:val="22"/>
              </w:rPr>
              <w:t>0.0%</w:t>
            </w:r>
          </w:p>
        </w:tc>
        <w:tc>
          <w:tcPr>
            <w:tcW w:w="1068" w:type="dxa"/>
            <w:noWrap/>
            <w:vAlign w:val="bottom"/>
          </w:tcPr>
          <w:p w:rsidR="004A147C" w:rsidRPr="00B53FFB" w:rsidRDefault="004A147C" w:rsidP="00CE5850">
            <w:pPr>
              <w:jc w:val="right"/>
              <w:rPr>
                <w:kern w:val="0"/>
                <w:szCs w:val="22"/>
              </w:rPr>
            </w:pPr>
            <w:r w:rsidRPr="00B53FFB">
              <w:rPr>
                <w:kern w:val="0"/>
                <w:szCs w:val="22"/>
              </w:rPr>
              <w:t>2.1%</w:t>
            </w:r>
          </w:p>
        </w:tc>
        <w:tc>
          <w:tcPr>
            <w:tcW w:w="1067" w:type="dxa"/>
            <w:noWrap/>
            <w:vAlign w:val="bottom"/>
          </w:tcPr>
          <w:p w:rsidR="004A147C" w:rsidRPr="00B53FFB" w:rsidRDefault="004A147C" w:rsidP="00CE5850">
            <w:pPr>
              <w:jc w:val="right"/>
              <w:rPr>
                <w:kern w:val="0"/>
                <w:szCs w:val="22"/>
              </w:rPr>
            </w:pPr>
            <w:r w:rsidRPr="00B53FFB">
              <w:rPr>
                <w:kern w:val="0"/>
                <w:szCs w:val="22"/>
              </w:rPr>
              <w:t>2.0%</w:t>
            </w:r>
          </w:p>
        </w:tc>
        <w:tc>
          <w:tcPr>
            <w:tcW w:w="1067" w:type="dxa"/>
            <w:noWrap/>
            <w:vAlign w:val="bottom"/>
          </w:tcPr>
          <w:p w:rsidR="004A147C" w:rsidRPr="00B53FFB" w:rsidRDefault="004A147C" w:rsidP="00CE5850">
            <w:pPr>
              <w:jc w:val="right"/>
              <w:rPr>
                <w:kern w:val="0"/>
                <w:szCs w:val="22"/>
              </w:rPr>
            </w:pPr>
            <w:r w:rsidRPr="00B53FFB">
              <w:rPr>
                <w:kern w:val="0"/>
                <w:szCs w:val="22"/>
              </w:rPr>
              <w:t>0.0%</w:t>
            </w:r>
          </w:p>
        </w:tc>
        <w:tc>
          <w:tcPr>
            <w:tcW w:w="1068" w:type="dxa"/>
            <w:noWrap/>
            <w:vAlign w:val="bottom"/>
          </w:tcPr>
          <w:p w:rsidR="004A147C" w:rsidRPr="00B53FFB" w:rsidRDefault="004A147C" w:rsidP="00CE5850">
            <w:pPr>
              <w:jc w:val="right"/>
              <w:rPr>
                <w:kern w:val="0"/>
                <w:szCs w:val="22"/>
              </w:rPr>
            </w:pPr>
            <w:r w:rsidRPr="00B53FFB">
              <w:rPr>
                <w:kern w:val="0"/>
                <w:szCs w:val="22"/>
              </w:rPr>
              <w:t>0.0%</w:t>
            </w:r>
          </w:p>
        </w:tc>
      </w:tr>
      <w:tr w:rsidR="004A147C" w:rsidRPr="00B53FFB" w:rsidTr="00610A7B">
        <w:trPr>
          <w:trHeight w:val="315"/>
        </w:trPr>
        <w:tc>
          <w:tcPr>
            <w:tcW w:w="1889" w:type="dxa"/>
            <w:noWrap/>
            <w:vAlign w:val="bottom"/>
          </w:tcPr>
          <w:p w:rsidR="004A147C" w:rsidRPr="00B53FFB" w:rsidRDefault="004A147C" w:rsidP="00CE5850">
            <w:pPr>
              <w:rPr>
                <w:kern w:val="0"/>
                <w:szCs w:val="22"/>
              </w:rPr>
            </w:pPr>
            <w:r w:rsidRPr="00B53FFB">
              <w:rPr>
                <w:kern w:val="0"/>
                <w:szCs w:val="22"/>
              </w:rPr>
              <w:t>Leap</w:t>
            </w:r>
          </w:p>
        </w:tc>
        <w:tc>
          <w:tcPr>
            <w:tcW w:w="1067" w:type="dxa"/>
            <w:noWrap/>
            <w:vAlign w:val="bottom"/>
          </w:tcPr>
          <w:p w:rsidR="004A147C" w:rsidRPr="00B53FFB" w:rsidRDefault="004A147C" w:rsidP="00CE5850">
            <w:pPr>
              <w:jc w:val="right"/>
              <w:rPr>
                <w:kern w:val="0"/>
                <w:szCs w:val="22"/>
              </w:rPr>
            </w:pPr>
            <w:r w:rsidRPr="00B53FFB">
              <w:rPr>
                <w:kern w:val="0"/>
                <w:szCs w:val="22"/>
              </w:rPr>
              <w:t>0.6%</w:t>
            </w:r>
          </w:p>
        </w:tc>
        <w:tc>
          <w:tcPr>
            <w:tcW w:w="1067" w:type="dxa"/>
            <w:noWrap/>
            <w:vAlign w:val="bottom"/>
          </w:tcPr>
          <w:p w:rsidR="004A147C" w:rsidRPr="00B53FFB" w:rsidRDefault="004A147C" w:rsidP="00CE5850">
            <w:pPr>
              <w:jc w:val="right"/>
              <w:rPr>
                <w:kern w:val="0"/>
                <w:szCs w:val="22"/>
              </w:rPr>
            </w:pPr>
            <w:r w:rsidRPr="00B53FFB">
              <w:rPr>
                <w:kern w:val="0"/>
                <w:szCs w:val="22"/>
              </w:rPr>
              <w:t>0.0%</w:t>
            </w:r>
          </w:p>
        </w:tc>
        <w:tc>
          <w:tcPr>
            <w:tcW w:w="1067" w:type="dxa"/>
            <w:noWrap/>
            <w:vAlign w:val="bottom"/>
          </w:tcPr>
          <w:p w:rsidR="004A147C" w:rsidRPr="00B53FFB" w:rsidRDefault="004A147C" w:rsidP="00CE5850">
            <w:pPr>
              <w:jc w:val="right"/>
              <w:rPr>
                <w:kern w:val="0"/>
                <w:szCs w:val="22"/>
              </w:rPr>
            </w:pPr>
            <w:r w:rsidRPr="00B53FFB">
              <w:rPr>
                <w:kern w:val="0"/>
                <w:szCs w:val="22"/>
              </w:rPr>
              <w:t>0.0%</w:t>
            </w:r>
          </w:p>
        </w:tc>
        <w:tc>
          <w:tcPr>
            <w:tcW w:w="1068" w:type="dxa"/>
            <w:noWrap/>
            <w:vAlign w:val="bottom"/>
          </w:tcPr>
          <w:p w:rsidR="004A147C" w:rsidRPr="00B53FFB" w:rsidRDefault="004A147C" w:rsidP="00CE5850">
            <w:pPr>
              <w:jc w:val="right"/>
              <w:rPr>
                <w:kern w:val="0"/>
                <w:szCs w:val="22"/>
              </w:rPr>
            </w:pPr>
            <w:r w:rsidRPr="00B53FFB">
              <w:rPr>
                <w:kern w:val="0"/>
                <w:szCs w:val="22"/>
              </w:rPr>
              <w:t>2.3%</w:t>
            </w:r>
          </w:p>
        </w:tc>
        <w:tc>
          <w:tcPr>
            <w:tcW w:w="1067" w:type="dxa"/>
            <w:noWrap/>
            <w:vAlign w:val="bottom"/>
          </w:tcPr>
          <w:p w:rsidR="004A147C" w:rsidRPr="00B53FFB" w:rsidRDefault="004A147C" w:rsidP="00CE5850">
            <w:pPr>
              <w:jc w:val="right"/>
              <w:rPr>
                <w:kern w:val="0"/>
                <w:szCs w:val="22"/>
              </w:rPr>
            </w:pPr>
            <w:r w:rsidRPr="00B53FFB">
              <w:rPr>
                <w:kern w:val="0"/>
                <w:szCs w:val="22"/>
              </w:rPr>
              <w:t>6.6%</w:t>
            </w:r>
          </w:p>
        </w:tc>
        <w:tc>
          <w:tcPr>
            <w:tcW w:w="1067" w:type="dxa"/>
            <w:noWrap/>
            <w:vAlign w:val="bottom"/>
          </w:tcPr>
          <w:p w:rsidR="004A147C" w:rsidRPr="00B53FFB" w:rsidRDefault="004A147C" w:rsidP="00CE5850">
            <w:pPr>
              <w:jc w:val="right"/>
              <w:rPr>
                <w:kern w:val="0"/>
                <w:szCs w:val="22"/>
              </w:rPr>
            </w:pPr>
            <w:r w:rsidRPr="00B53FFB">
              <w:rPr>
                <w:kern w:val="0"/>
                <w:szCs w:val="22"/>
              </w:rPr>
              <w:t>0.0%</w:t>
            </w:r>
          </w:p>
        </w:tc>
        <w:tc>
          <w:tcPr>
            <w:tcW w:w="1068" w:type="dxa"/>
            <w:noWrap/>
            <w:vAlign w:val="bottom"/>
          </w:tcPr>
          <w:p w:rsidR="004A147C" w:rsidRPr="00B53FFB" w:rsidRDefault="004A147C" w:rsidP="00CE5850">
            <w:pPr>
              <w:jc w:val="right"/>
              <w:rPr>
                <w:kern w:val="0"/>
                <w:szCs w:val="22"/>
              </w:rPr>
            </w:pPr>
            <w:r w:rsidRPr="00B53FFB">
              <w:rPr>
                <w:kern w:val="0"/>
                <w:szCs w:val="22"/>
              </w:rPr>
              <w:t>0.0%</w:t>
            </w:r>
          </w:p>
        </w:tc>
      </w:tr>
      <w:tr w:rsidR="004A147C" w:rsidRPr="00B53FFB" w:rsidTr="00610A7B">
        <w:trPr>
          <w:trHeight w:val="315"/>
        </w:trPr>
        <w:tc>
          <w:tcPr>
            <w:tcW w:w="1889" w:type="dxa"/>
            <w:noWrap/>
            <w:vAlign w:val="bottom"/>
          </w:tcPr>
          <w:p w:rsidR="004A147C" w:rsidRPr="00B53FFB" w:rsidRDefault="004A147C" w:rsidP="00CE5850">
            <w:pPr>
              <w:rPr>
                <w:kern w:val="0"/>
                <w:szCs w:val="22"/>
              </w:rPr>
            </w:pPr>
            <w:r w:rsidRPr="00B53FFB">
              <w:rPr>
                <w:kern w:val="0"/>
                <w:szCs w:val="22"/>
              </w:rPr>
              <w:t>Other</w:t>
            </w:r>
            <w:r w:rsidRPr="00B53FFB">
              <w:rPr>
                <w:rStyle w:val="FootnoteReference"/>
                <w:kern w:val="0"/>
                <w:szCs w:val="22"/>
              </w:rPr>
              <w:footnoteReference w:id="398"/>
            </w:r>
          </w:p>
        </w:tc>
        <w:tc>
          <w:tcPr>
            <w:tcW w:w="1067" w:type="dxa"/>
            <w:noWrap/>
            <w:vAlign w:val="bottom"/>
          </w:tcPr>
          <w:p w:rsidR="004A147C" w:rsidRPr="00B53FFB" w:rsidRDefault="004A147C" w:rsidP="00CE5850">
            <w:pPr>
              <w:jc w:val="right"/>
              <w:rPr>
                <w:kern w:val="0"/>
                <w:szCs w:val="22"/>
              </w:rPr>
            </w:pPr>
            <w:r w:rsidRPr="00B53FFB">
              <w:rPr>
                <w:kern w:val="0"/>
                <w:szCs w:val="22"/>
              </w:rPr>
              <w:t>18.1%</w:t>
            </w:r>
          </w:p>
        </w:tc>
        <w:tc>
          <w:tcPr>
            <w:tcW w:w="1067" w:type="dxa"/>
            <w:noWrap/>
            <w:vAlign w:val="bottom"/>
          </w:tcPr>
          <w:p w:rsidR="004A147C" w:rsidRPr="00B53FFB" w:rsidRDefault="004A147C" w:rsidP="00CE5850">
            <w:pPr>
              <w:jc w:val="right"/>
              <w:rPr>
                <w:kern w:val="0"/>
                <w:szCs w:val="22"/>
              </w:rPr>
            </w:pPr>
            <w:r w:rsidRPr="00B53FFB">
              <w:rPr>
                <w:kern w:val="0"/>
                <w:szCs w:val="22"/>
              </w:rPr>
              <w:t>4.1%</w:t>
            </w:r>
          </w:p>
        </w:tc>
        <w:tc>
          <w:tcPr>
            <w:tcW w:w="1067" w:type="dxa"/>
            <w:noWrap/>
            <w:vAlign w:val="bottom"/>
          </w:tcPr>
          <w:p w:rsidR="004A147C" w:rsidRPr="00B53FFB" w:rsidRDefault="004A147C" w:rsidP="00CE5850">
            <w:pPr>
              <w:jc w:val="right"/>
              <w:rPr>
                <w:kern w:val="0"/>
                <w:szCs w:val="22"/>
              </w:rPr>
            </w:pPr>
            <w:r w:rsidRPr="00B53FFB">
              <w:rPr>
                <w:kern w:val="0"/>
                <w:szCs w:val="22"/>
              </w:rPr>
              <w:t>2.8%</w:t>
            </w:r>
          </w:p>
        </w:tc>
        <w:tc>
          <w:tcPr>
            <w:tcW w:w="1068" w:type="dxa"/>
            <w:noWrap/>
            <w:vAlign w:val="bottom"/>
          </w:tcPr>
          <w:p w:rsidR="004A147C" w:rsidRPr="00B53FFB" w:rsidRDefault="004A147C" w:rsidP="00CE5850">
            <w:pPr>
              <w:jc w:val="right"/>
              <w:rPr>
                <w:kern w:val="0"/>
                <w:szCs w:val="22"/>
              </w:rPr>
            </w:pPr>
            <w:r w:rsidRPr="00B53FFB">
              <w:rPr>
                <w:kern w:val="0"/>
                <w:szCs w:val="22"/>
              </w:rPr>
              <w:t>4.2%</w:t>
            </w:r>
          </w:p>
        </w:tc>
        <w:tc>
          <w:tcPr>
            <w:tcW w:w="1067" w:type="dxa"/>
            <w:noWrap/>
            <w:vAlign w:val="bottom"/>
          </w:tcPr>
          <w:p w:rsidR="004A147C" w:rsidRPr="00B53FFB" w:rsidRDefault="004A147C" w:rsidP="00CE5850">
            <w:pPr>
              <w:jc w:val="right"/>
              <w:rPr>
                <w:kern w:val="0"/>
                <w:szCs w:val="22"/>
              </w:rPr>
            </w:pPr>
            <w:r w:rsidRPr="00B53FFB">
              <w:rPr>
                <w:kern w:val="0"/>
                <w:szCs w:val="22"/>
              </w:rPr>
              <w:t>9.0%</w:t>
            </w:r>
          </w:p>
        </w:tc>
        <w:tc>
          <w:tcPr>
            <w:tcW w:w="1067" w:type="dxa"/>
            <w:noWrap/>
            <w:vAlign w:val="bottom"/>
          </w:tcPr>
          <w:p w:rsidR="004A147C" w:rsidRPr="00B53FFB" w:rsidRDefault="004A147C" w:rsidP="00CE5850">
            <w:pPr>
              <w:jc w:val="right"/>
              <w:rPr>
                <w:kern w:val="0"/>
                <w:szCs w:val="22"/>
              </w:rPr>
            </w:pPr>
            <w:r w:rsidRPr="00B53FFB">
              <w:rPr>
                <w:kern w:val="0"/>
                <w:szCs w:val="22"/>
              </w:rPr>
              <w:t>14.6%</w:t>
            </w:r>
          </w:p>
        </w:tc>
        <w:tc>
          <w:tcPr>
            <w:tcW w:w="1068" w:type="dxa"/>
            <w:noWrap/>
            <w:vAlign w:val="bottom"/>
          </w:tcPr>
          <w:p w:rsidR="004A147C" w:rsidRPr="00B53FFB" w:rsidRDefault="004A147C" w:rsidP="00CE5850">
            <w:pPr>
              <w:jc w:val="right"/>
              <w:rPr>
                <w:kern w:val="0"/>
                <w:szCs w:val="22"/>
              </w:rPr>
            </w:pPr>
            <w:r w:rsidRPr="00B53FFB">
              <w:rPr>
                <w:kern w:val="0"/>
                <w:szCs w:val="22"/>
              </w:rPr>
              <w:t>38.9%</w:t>
            </w:r>
          </w:p>
        </w:tc>
      </w:tr>
    </w:tbl>
    <w:p w:rsidR="004A147C" w:rsidRDefault="004A147C" w:rsidP="00CE5850">
      <w:pPr>
        <w:rPr>
          <w:sz w:val="20"/>
        </w:rPr>
      </w:pPr>
      <w:r w:rsidRPr="006D773A">
        <w:rPr>
          <w:sz w:val="20"/>
        </w:rPr>
        <w:t xml:space="preserve">* Estimates in </w:t>
      </w:r>
      <w:r w:rsidR="00951E9B">
        <w:fldChar w:fldCharType="begin"/>
      </w:r>
      <w:r w:rsidR="00951E9B">
        <w:instrText xml:space="preserve"> REF _Ref341799212  \* MERGEFORMAT </w:instrText>
      </w:r>
      <w:r w:rsidR="00951E9B">
        <w:fldChar w:fldCharType="separate"/>
      </w:r>
      <w:r w:rsidR="00CA3AC6" w:rsidRPr="00CA3AC6">
        <w:rPr>
          <w:bCs/>
          <w:kern w:val="0"/>
          <w:sz w:val="20"/>
        </w:rPr>
        <w:t xml:space="preserve">Table </w:t>
      </w:r>
      <w:r w:rsidR="00CA3AC6" w:rsidRPr="00CA3AC6">
        <w:rPr>
          <w:bCs/>
          <w:noProof/>
          <w:kern w:val="0"/>
          <w:sz w:val="20"/>
        </w:rPr>
        <w:t>17</w:t>
      </w:r>
      <w:r w:rsidR="00951E9B">
        <w:rPr>
          <w:bCs/>
          <w:noProof/>
          <w:kern w:val="0"/>
          <w:sz w:val="20"/>
        </w:rPr>
        <w:fldChar w:fldCharType="end"/>
      </w:r>
      <w:r w:rsidRPr="006D773A">
        <w:rPr>
          <w:sz w:val="20"/>
        </w:rPr>
        <w:t xml:space="preserve"> i</w:t>
      </w:r>
      <w:r w:rsidRPr="006D773A">
        <w:rPr>
          <w:spacing w:val="-2"/>
          <w:sz w:val="20"/>
        </w:rPr>
        <w:t>nclude all transactions consummated as of August 15</w:t>
      </w:r>
      <w:r>
        <w:rPr>
          <w:spacing w:val="-2"/>
          <w:sz w:val="20"/>
        </w:rPr>
        <w:t>, 2012</w:t>
      </w:r>
      <w:r w:rsidRPr="006D773A">
        <w:rPr>
          <w:spacing w:val="-2"/>
          <w:sz w:val="20"/>
        </w:rPr>
        <w:t xml:space="preserve">, as well as the transactions approved in the </w:t>
      </w:r>
      <w:r w:rsidRPr="006D773A">
        <w:rPr>
          <w:i/>
          <w:spacing w:val="-2"/>
          <w:sz w:val="20"/>
        </w:rPr>
        <w:t>Verizon Wireless-SpectrumCo Order</w:t>
      </w:r>
      <w:r w:rsidRPr="006D773A">
        <w:rPr>
          <w:sz w:val="20"/>
        </w:rPr>
        <w:t xml:space="preserve">. </w:t>
      </w:r>
      <w:r w:rsidR="008D3A15">
        <w:rPr>
          <w:sz w:val="20"/>
        </w:rPr>
        <w:t xml:space="preserve">  Estimates </w:t>
      </w:r>
      <w:r w:rsidR="0002640D">
        <w:rPr>
          <w:sz w:val="20"/>
        </w:rPr>
        <w:t>do not include</w:t>
      </w:r>
      <w:r w:rsidR="008D3A15">
        <w:rPr>
          <w:sz w:val="20"/>
        </w:rPr>
        <w:t xml:space="preserve"> WCS spectrum that was </w:t>
      </w:r>
      <w:r w:rsidR="0002640D">
        <w:rPr>
          <w:sz w:val="20"/>
        </w:rPr>
        <w:t>add</w:t>
      </w:r>
      <w:r w:rsidR="008D3A15">
        <w:rPr>
          <w:sz w:val="20"/>
        </w:rPr>
        <w:t>ed in the spectrum screen in December 2012.</w:t>
      </w:r>
      <w:r w:rsidRPr="006D773A">
        <w:rPr>
          <w:sz w:val="20"/>
        </w:rPr>
        <w:t xml:space="preserve"> </w:t>
      </w:r>
    </w:p>
    <w:p w:rsidR="00BD4B26" w:rsidRDefault="00BD4B26" w:rsidP="00CE5850">
      <w:pPr>
        <w:rPr>
          <w:sz w:val="20"/>
        </w:rPr>
      </w:pPr>
    </w:p>
    <w:p w:rsidR="00BD4B26" w:rsidRDefault="00BD4B26" w:rsidP="00CE5850">
      <w:pPr>
        <w:rPr>
          <w:sz w:val="20"/>
        </w:rPr>
      </w:pPr>
    </w:p>
    <w:p w:rsidR="00BD4B26" w:rsidRDefault="00BD4B26" w:rsidP="00CE5850">
      <w:pPr>
        <w:rPr>
          <w:sz w:val="20"/>
        </w:rPr>
      </w:pPr>
    </w:p>
    <w:p w:rsidR="00BD4B26" w:rsidRDefault="00BD4B26" w:rsidP="00CE5850">
      <w:pPr>
        <w:rPr>
          <w:sz w:val="20"/>
        </w:rPr>
      </w:pPr>
    </w:p>
    <w:p w:rsidR="00BD4B26" w:rsidRDefault="00BD4B26" w:rsidP="00CE5850">
      <w:pPr>
        <w:rPr>
          <w:sz w:val="20"/>
        </w:rPr>
      </w:pPr>
    </w:p>
    <w:p w:rsidR="00BD4B26" w:rsidRDefault="00BD4B26" w:rsidP="00CE5850">
      <w:pPr>
        <w:rPr>
          <w:sz w:val="20"/>
        </w:rPr>
      </w:pPr>
    </w:p>
    <w:p w:rsidR="00BD4B26" w:rsidRDefault="00BD4B26" w:rsidP="00CE5850">
      <w:pPr>
        <w:rPr>
          <w:sz w:val="20"/>
        </w:rPr>
      </w:pPr>
    </w:p>
    <w:p w:rsidR="00BD4B26" w:rsidRPr="006D773A" w:rsidRDefault="00BD4B26" w:rsidP="00CE5850">
      <w:pPr>
        <w:rPr>
          <w:sz w:val="20"/>
        </w:rPr>
      </w:pPr>
    </w:p>
    <w:p w:rsidR="004A147C" w:rsidRPr="00B53FFB" w:rsidRDefault="004A147C" w:rsidP="00CE5850">
      <w:pPr>
        <w:spacing w:before="120" w:after="120"/>
        <w:jc w:val="center"/>
        <w:rPr>
          <w:b/>
          <w:bCs/>
          <w:kern w:val="0"/>
          <w:szCs w:val="22"/>
        </w:rPr>
      </w:pPr>
      <w:bookmarkStart w:id="1649" w:name="_Ref340657088"/>
      <w:r w:rsidRPr="00B53FFB">
        <w:rPr>
          <w:b/>
          <w:bCs/>
          <w:kern w:val="0"/>
          <w:szCs w:val="22"/>
        </w:rPr>
        <w:t xml:space="preserve">Table </w:t>
      </w:r>
      <w:r w:rsidR="0007014B" w:rsidRPr="00B53FFB">
        <w:rPr>
          <w:b/>
          <w:bCs/>
          <w:kern w:val="0"/>
          <w:szCs w:val="22"/>
        </w:rPr>
        <w:fldChar w:fldCharType="begin"/>
      </w:r>
      <w:r w:rsidRPr="00B53FFB">
        <w:rPr>
          <w:b/>
          <w:bCs/>
          <w:kern w:val="0"/>
          <w:szCs w:val="22"/>
        </w:rPr>
        <w:instrText xml:space="preserve"> SEQ Table \* ARABIC </w:instrText>
      </w:r>
      <w:r w:rsidR="0007014B" w:rsidRPr="00B53FFB">
        <w:rPr>
          <w:b/>
          <w:bCs/>
          <w:kern w:val="0"/>
          <w:szCs w:val="22"/>
        </w:rPr>
        <w:fldChar w:fldCharType="separate"/>
      </w:r>
      <w:r w:rsidR="00CA3AC6">
        <w:rPr>
          <w:b/>
          <w:bCs/>
          <w:noProof/>
          <w:kern w:val="0"/>
          <w:szCs w:val="22"/>
        </w:rPr>
        <w:t>18</w:t>
      </w:r>
      <w:r w:rsidR="0007014B" w:rsidRPr="00B53FFB">
        <w:rPr>
          <w:b/>
          <w:bCs/>
          <w:kern w:val="0"/>
          <w:szCs w:val="22"/>
        </w:rPr>
        <w:fldChar w:fldCharType="end"/>
      </w:r>
      <w:bookmarkEnd w:id="1649"/>
      <w:r w:rsidRPr="00B53FFB">
        <w:rPr>
          <w:b/>
          <w:bCs/>
          <w:kern w:val="0"/>
          <w:szCs w:val="22"/>
        </w:rPr>
        <w:br/>
        <w:t>Population-Weighted Average Megahertz Holdings</w:t>
      </w:r>
      <w:r w:rsidRPr="00B53FFB">
        <w:rPr>
          <w:b/>
          <w:bCs/>
          <w:kern w:val="0"/>
          <w:szCs w:val="22"/>
        </w:rPr>
        <w:br/>
        <w:t>by Provider, by Frequency Band</w:t>
      </w:r>
      <w:r w:rsidRPr="00B53FFB">
        <w:rPr>
          <w:rStyle w:val="FootnoteReference"/>
          <w:b/>
          <w:bCs/>
          <w:kern w:val="0"/>
          <w:szCs w:val="22"/>
        </w:rPr>
        <w:footnoteReference w:id="399"/>
      </w:r>
    </w:p>
    <w:tbl>
      <w:tblPr>
        <w:tblW w:w="9465" w:type="dxa"/>
        <w:tblInd w:w="93"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A0" w:firstRow="1" w:lastRow="0" w:firstColumn="1" w:lastColumn="0" w:noHBand="0" w:noVBand="0"/>
      </w:tblPr>
      <w:tblGrid>
        <w:gridCol w:w="2205"/>
        <w:gridCol w:w="1022"/>
        <w:gridCol w:w="1022"/>
        <w:gridCol w:w="1022"/>
        <w:gridCol w:w="1022"/>
        <w:gridCol w:w="1022"/>
        <w:gridCol w:w="1022"/>
        <w:gridCol w:w="1128"/>
      </w:tblGrid>
      <w:tr w:rsidR="004A147C" w:rsidRPr="00B53FFB" w:rsidTr="00610A7B">
        <w:trPr>
          <w:trHeight w:val="315"/>
        </w:trPr>
        <w:tc>
          <w:tcPr>
            <w:tcW w:w="2205" w:type="dxa"/>
            <w:noWrap/>
            <w:vAlign w:val="center"/>
          </w:tcPr>
          <w:p w:rsidR="004A147C" w:rsidRPr="00B53FFB" w:rsidRDefault="004A147C" w:rsidP="00CE5850">
            <w:pPr>
              <w:jc w:val="center"/>
              <w:rPr>
                <w:b/>
                <w:kern w:val="0"/>
                <w:szCs w:val="22"/>
              </w:rPr>
            </w:pPr>
            <w:r w:rsidRPr="00B53FFB">
              <w:rPr>
                <w:b/>
                <w:kern w:val="0"/>
                <w:szCs w:val="22"/>
              </w:rPr>
              <w:t>Licensee</w:t>
            </w:r>
          </w:p>
        </w:tc>
        <w:tc>
          <w:tcPr>
            <w:tcW w:w="1022" w:type="dxa"/>
            <w:noWrap/>
            <w:vAlign w:val="center"/>
          </w:tcPr>
          <w:p w:rsidR="004A147C" w:rsidRPr="00B53FFB" w:rsidRDefault="004A147C" w:rsidP="00CE5850">
            <w:pPr>
              <w:jc w:val="center"/>
              <w:rPr>
                <w:b/>
                <w:kern w:val="0"/>
                <w:szCs w:val="22"/>
              </w:rPr>
            </w:pPr>
            <w:r w:rsidRPr="00B53FFB">
              <w:rPr>
                <w:b/>
                <w:kern w:val="0"/>
                <w:szCs w:val="22"/>
              </w:rPr>
              <w:t>700 MHz</w:t>
            </w:r>
          </w:p>
        </w:tc>
        <w:tc>
          <w:tcPr>
            <w:tcW w:w="1022" w:type="dxa"/>
            <w:noWrap/>
            <w:vAlign w:val="center"/>
          </w:tcPr>
          <w:p w:rsidR="004A147C" w:rsidRPr="00B53FFB" w:rsidRDefault="004A147C" w:rsidP="00CE5850">
            <w:pPr>
              <w:jc w:val="center"/>
              <w:rPr>
                <w:b/>
                <w:kern w:val="0"/>
                <w:szCs w:val="22"/>
              </w:rPr>
            </w:pPr>
            <w:r w:rsidRPr="00B53FFB">
              <w:rPr>
                <w:b/>
                <w:kern w:val="0"/>
                <w:szCs w:val="22"/>
              </w:rPr>
              <w:t>Cellular (850 MHz)</w:t>
            </w:r>
          </w:p>
        </w:tc>
        <w:tc>
          <w:tcPr>
            <w:tcW w:w="1022" w:type="dxa"/>
            <w:noWrap/>
            <w:vAlign w:val="center"/>
          </w:tcPr>
          <w:p w:rsidR="004A147C" w:rsidRPr="00B53FFB" w:rsidRDefault="004A147C" w:rsidP="00CE5850">
            <w:pPr>
              <w:jc w:val="center"/>
              <w:rPr>
                <w:b/>
                <w:kern w:val="0"/>
                <w:szCs w:val="22"/>
              </w:rPr>
            </w:pPr>
            <w:r w:rsidRPr="00B53FFB">
              <w:rPr>
                <w:b/>
                <w:kern w:val="0"/>
                <w:szCs w:val="22"/>
              </w:rPr>
              <w:t>SMR (800/900 MHz)</w:t>
            </w:r>
          </w:p>
        </w:tc>
        <w:tc>
          <w:tcPr>
            <w:tcW w:w="1022" w:type="dxa"/>
            <w:noWrap/>
            <w:vAlign w:val="center"/>
          </w:tcPr>
          <w:p w:rsidR="004A147C" w:rsidRPr="00B53FFB" w:rsidRDefault="004A147C" w:rsidP="00CE5850">
            <w:pPr>
              <w:jc w:val="center"/>
              <w:rPr>
                <w:b/>
                <w:kern w:val="0"/>
                <w:szCs w:val="22"/>
              </w:rPr>
            </w:pPr>
            <w:r w:rsidRPr="00B53FFB">
              <w:rPr>
                <w:b/>
                <w:kern w:val="0"/>
                <w:szCs w:val="22"/>
              </w:rPr>
              <w:t>PCS (1.9 GHz)</w:t>
            </w:r>
          </w:p>
        </w:tc>
        <w:tc>
          <w:tcPr>
            <w:tcW w:w="1022" w:type="dxa"/>
            <w:noWrap/>
            <w:vAlign w:val="center"/>
          </w:tcPr>
          <w:p w:rsidR="004A147C" w:rsidRPr="00B53FFB" w:rsidRDefault="004A147C" w:rsidP="00CE5850">
            <w:pPr>
              <w:jc w:val="center"/>
              <w:rPr>
                <w:b/>
                <w:kern w:val="0"/>
                <w:szCs w:val="22"/>
              </w:rPr>
            </w:pPr>
            <w:r w:rsidRPr="00B53FFB">
              <w:rPr>
                <w:b/>
                <w:kern w:val="0"/>
                <w:szCs w:val="22"/>
              </w:rPr>
              <w:t>AWS (1.7/2.1 GHz)</w:t>
            </w:r>
          </w:p>
        </w:tc>
        <w:tc>
          <w:tcPr>
            <w:tcW w:w="1022" w:type="dxa"/>
            <w:noWrap/>
            <w:vAlign w:val="center"/>
          </w:tcPr>
          <w:p w:rsidR="004A147C" w:rsidRPr="00B53FFB" w:rsidRDefault="004A147C" w:rsidP="00CE5850">
            <w:pPr>
              <w:jc w:val="center"/>
              <w:rPr>
                <w:b/>
                <w:kern w:val="0"/>
                <w:szCs w:val="22"/>
              </w:rPr>
            </w:pPr>
            <w:r w:rsidRPr="00B53FFB">
              <w:rPr>
                <w:b/>
                <w:kern w:val="0"/>
                <w:szCs w:val="22"/>
              </w:rPr>
              <w:t>BRS (2.5 GHz)</w:t>
            </w:r>
          </w:p>
        </w:tc>
        <w:tc>
          <w:tcPr>
            <w:tcW w:w="1128" w:type="dxa"/>
            <w:noWrap/>
            <w:vAlign w:val="center"/>
          </w:tcPr>
          <w:p w:rsidR="004A147C" w:rsidRPr="00B53FFB" w:rsidRDefault="004A147C" w:rsidP="00CE5850">
            <w:pPr>
              <w:jc w:val="center"/>
              <w:rPr>
                <w:b/>
                <w:kern w:val="0"/>
                <w:szCs w:val="22"/>
              </w:rPr>
            </w:pPr>
            <w:r w:rsidRPr="00B53FFB">
              <w:rPr>
                <w:b/>
                <w:kern w:val="0"/>
                <w:szCs w:val="22"/>
              </w:rPr>
              <w:t>EBS Leases (2.5 GHz)</w:t>
            </w:r>
          </w:p>
        </w:tc>
      </w:tr>
      <w:tr w:rsidR="004A147C" w:rsidRPr="00B53FFB" w:rsidTr="00610A7B">
        <w:trPr>
          <w:trHeight w:val="315"/>
        </w:trPr>
        <w:tc>
          <w:tcPr>
            <w:tcW w:w="2205" w:type="dxa"/>
            <w:noWrap/>
            <w:vAlign w:val="bottom"/>
          </w:tcPr>
          <w:p w:rsidR="004A147C" w:rsidRPr="00B53FFB" w:rsidRDefault="004A147C" w:rsidP="00CE5850">
            <w:pPr>
              <w:rPr>
                <w:bCs/>
                <w:kern w:val="0"/>
                <w:szCs w:val="22"/>
              </w:rPr>
            </w:pPr>
            <w:r w:rsidRPr="00B53FFB">
              <w:rPr>
                <w:bCs/>
                <w:kern w:val="0"/>
                <w:szCs w:val="22"/>
              </w:rPr>
              <w:t>Verizon Wireless</w:t>
            </w:r>
          </w:p>
        </w:tc>
        <w:tc>
          <w:tcPr>
            <w:tcW w:w="1022" w:type="dxa"/>
            <w:noWrap/>
            <w:vAlign w:val="bottom"/>
          </w:tcPr>
          <w:p w:rsidR="004A147C" w:rsidRPr="00B53FFB" w:rsidRDefault="004A147C" w:rsidP="00CE5850">
            <w:pPr>
              <w:jc w:val="right"/>
              <w:rPr>
                <w:kern w:val="0"/>
                <w:szCs w:val="22"/>
              </w:rPr>
            </w:pPr>
            <w:r w:rsidRPr="00B53FFB">
              <w:rPr>
                <w:kern w:val="0"/>
                <w:szCs w:val="22"/>
              </w:rPr>
              <w:t>29.4</w:t>
            </w:r>
          </w:p>
        </w:tc>
        <w:tc>
          <w:tcPr>
            <w:tcW w:w="1022" w:type="dxa"/>
            <w:noWrap/>
            <w:vAlign w:val="bottom"/>
          </w:tcPr>
          <w:p w:rsidR="004A147C" w:rsidRPr="00B53FFB" w:rsidRDefault="004A147C" w:rsidP="00CE5850">
            <w:pPr>
              <w:jc w:val="right"/>
              <w:rPr>
                <w:kern w:val="0"/>
                <w:szCs w:val="22"/>
              </w:rPr>
            </w:pPr>
            <w:r w:rsidRPr="00B53FFB">
              <w:rPr>
                <w:kern w:val="0"/>
                <w:szCs w:val="22"/>
              </w:rPr>
              <w:t>25.2</w:t>
            </w:r>
          </w:p>
        </w:tc>
        <w:tc>
          <w:tcPr>
            <w:tcW w:w="1022" w:type="dxa"/>
            <w:noWrap/>
            <w:vAlign w:val="bottom"/>
          </w:tcPr>
          <w:p w:rsidR="004A147C" w:rsidRPr="00B53FFB" w:rsidRDefault="004A147C" w:rsidP="00CE5850">
            <w:pPr>
              <w:jc w:val="right"/>
              <w:rPr>
                <w:kern w:val="0"/>
                <w:szCs w:val="22"/>
              </w:rPr>
            </w:pPr>
            <w:r w:rsidRPr="00B53FFB">
              <w:rPr>
                <w:kern w:val="0"/>
                <w:szCs w:val="22"/>
              </w:rPr>
              <w:t>0.0</w:t>
            </w:r>
          </w:p>
        </w:tc>
        <w:tc>
          <w:tcPr>
            <w:tcW w:w="1022" w:type="dxa"/>
            <w:noWrap/>
            <w:vAlign w:val="bottom"/>
          </w:tcPr>
          <w:p w:rsidR="004A147C" w:rsidRPr="00B53FFB" w:rsidRDefault="004A147C" w:rsidP="00CE5850">
            <w:pPr>
              <w:jc w:val="right"/>
              <w:rPr>
                <w:kern w:val="0"/>
                <w:szCs w:val="22"/>
              </w:rPr>
            </w:pPr>
            <w:r w:rsidRPr="00B53FFB">
              <w:rPr>
                <w:kern w:val="0"/>
                <w:szCs w:val="22"/>
              </w:rPr>
              <w:t>20.6</w:t>
            </w:r>
          </w:p>
        </w:tc>
        <w:tc>
          <w:tcPr>
            <w:tcW w:w="1022" w:type="dxa"/>
            <w:noWrap/>
            <w:vAlign w:val="bottom"/>
          </w:tcPr>
          <w:p w:rsidR="004A147C" w:rsidRPr="00B53FFB" w:rsidRDefault="004A147C" w:rsidP="00CE5850">
            <w:pPr>
              <w:jc w:val="right"/>
              <w:rPr>
                <w:kern w:val="0"/>
                <w:szCs w:val="22"/>
              </w:rPr>
            </w:pPr>
            <w:r w:rsidRPr="00B53FFB">
              <w:rPr>
                <w:kern w:val="0"/>
                <w:szCs w:val="22"/>
              </w:rPr>
              <w:t>32.1</w:t>
            </w:r>
          </w:p>
        </w:tc>
        <w:tc>
          <w:tcPr>
            <w:tcW w:w="1022" w:type="dxa"/>
            <w:noWrap/>
            <w:vAlign w:val="bottom"/>
          </w:tcPr>
          <w:p w:rsidR="004A147C" w:rsidRPr="00B53FFB" w:rsidRDefault="004A147C" w:rsidP="00CE5850">
            <w:pPr>
              <w:jc w:val="right"/>
              <w:rPr>
                <w:kern w:val="0"/>
                <w:szCs w:val="22"/>
              </w:rPr>
            </w:pPr>
            <w:r w:rsidRPr="00B53FFB">
              <w:rPr>
                <w:kern w:val="0"/>
                <w:szCs w:val="22"/>
              </w:rPr>
              <w:t>0.0</w:t>
            </w:r>
          </w:p>
        </w:tc>
        <w:tc>
          <w:tcPr>
            <w:tcW w:w="1128" w:type="dxa"/>
            <w:noWrap/>
            <w:vAlign w:val="bottom"/>
          </w:tcPr>
          <w:p w:rsidR="004A147C" w:rsidRPr="00B53FFB" w:rsidRDefault="004A147C" w:rsidP="00CE5850">
            <w:pPr>
              <w:jc w:val="right"/>
              <w:rPr>
                <w:kern w:val="0"/>
                <w:szCs w:val="22"/>
              </w:rPr>
            </w:pPr>
            <w:r w:rsidRPr="00B53FFB">
              <w:rPr>
                <w:kern w:val="0"/>
                <w:szCs w:val="22"/>
              </w:rPr>
              <w:t>0.0</w:t>
            </w:r>
          </w:p>
        </w:tc>
      </w:tr>
      <w:tr w:rsidR="004A147C" w:rsidRPr="00B53FFB" w:rsidTr="00610A7B">
        <w:trPr>
          <w:trHeight w:val="315"/>
        </w:trPr>
        <w:tc>
          <w:tcPr>
            <w:tcW w:w="2205" w:type="dxa"/>
            <w:noWrap/>
            <w:vAlign w:val="bottom"/>
          </w:tcPr>
          <w:p w:rsidR="004A147C" w:rsidRPr="00B53FFB" w:rsidRDefault="004A147C" w:rsidP="00CE5850">
            <w:pPr>
              <w:rPr>
                <w:bCs/>
                <w:kern w:val="0"/>
                <w:szCs w:val="22"/>
              </w:rPr>
            </w:pPr>
            <w:r w:rsidRPr="00B53FFB">
              <w:rPr>
                <w:bCs/>
                <w:kern w:val="0"/>
                <w:szCs w:val="22"/>
              </w:rPr>
              <w:t>AT&amp;T</w:t>
            </w:r>
          </w:p>
        </w:tc>
        <w:tc>
          <w:tcPr>
            <w:tcW w:w="1022" w:type="dxa"/>
            <w:noWrap/>
            <w:vAlign w:val="bottom"/>
          </w:tcPr>
          <w:p w:rsidR="004A147C" w:rsidRPr="00B53FFB" w:rsidRDefault="004A147C" w:rsidP="00CE5850">
            <w:pPr>
              <w:jc w:val="right"/>
              <w:rPr>
                <w:kern w:val="0"/>
                <w:szCs w:val="22"/>
              </w:rPr>
            </w:pPr>
            <w:r w:rsidRPr="00B53FFB">
              <w:rPr>
                <w:kern w:val="0"/>
                <w:szCs w:val="22"/>
              </w:rPr>
              <w:t>25.2</w:t>
            </w:r>
          </w:p>
        </w:tc>
        <w:tc>
          <w:tcPr>
            <w:tcW w:w="1022" w:type="dxa"/>
            <w:noWrap/>
            <w:vAlign w:val="bottom"/>
          </w:tcPr>
          <w:p w:rsidR="004A147C" w:rsidRPr="00B53FFB" w:rsidRDefault="004A147C" w:rsidP="00CE5850">
            <w:pPr>
              <w:jc w:val="right"/>
              <w:rPr>
                <w:kern w:val="0"/>
                <w:szCs w:val="22"/>
              </w:rPr>
            </w:pPr>
            <w:r w:rsidRPr="00B53FFB">
              <w:rPr>
                <w:kern w:val="0"/>
                <w:szCs w:val="22"/>
              </w:rPr>
              <w:t>22.9</w:t>
            </w:r>
          </w:p>
        </w:tc>
        <w:tc>
          <w:tcPr>
            <w:tcW w:w="1022" w:type="dxa"/>
            <w:noWrap/>
            <w:vAlign w:val="bottom"/>
          </w:tcPr>
          <w:p w:rsidR="004A147C" w:rsidRPr="00B53FFB" w:rsidRDefault="004A147C" w:rsidP="00CE5850">
            <w:pPr>
              <w:jc w:val="right"/>
              <w:rPr>
                <w:kern w:val="0"/>
                <w:szCs w:val="22"/>
              </w:rPr>
            </w:pPr>
            <w:r w:rsidRPr="00B53FFB">
              <w:rPr>
                <w:kern w:val="0"/>
                <w:szCs w:val="22"/>
              </w:rPr>
              <w:t>0.0</w:t>
            </w:r>
          </w:p>
        </w:tc>
        <w:tc>
          <w:tcPr>
            <w:tcW w:w="1022" w:type="dxa"/>
            <w:noWrap/>
            <w:vAlign w:val="bottom"/>
          </w:tcPr>
          <w:p w:rsidR="004A147C" w:rsidRPr="00B53FFB" w:rsidRDefault="004A147C" w:rsidP="00CE5850">
            <w:pPr>
              <w:jc w:val="right"/>
              <w:rPr>
                <w:kern w:val="0"/>
                <w:szCs w:val="22"/>
              </w:rPr>
            </w:pPr>
            <w:r w:rsidRPr="00B53FFB">
              <w:rPr>
                <w:kern w:val="0"/>
                <w:szCs w:val="22"/>
              </w:rPr>
              <w:t>34.6</w:t>
            </w:r>
          </w:p>
        </w:tc>
        <w:tc>
          <w:tcPr>
            <w:tcW w:w="1022" w:type="dxa"/>
            <w:noWrap/>
            <w:vAlign w:val="bottom"/>
          </w:tcPr>
          <w:p w:rsidR="004A147C" w:rsidRPr="00B53FFB" w:rsidRDefault="004A147C" w:rsidP="00CE5850">
            <w:pPr>
              <w:jc w:val="right"/>
              <w:rPr>
                <w:kern w:val="0"/>
                <w:szCs w:val="22"/>
              </w:rPr>
            </w:pPr>
            <w:r w:rsidRPr="00B53FFB">
              <w:rPr>
                <w:kern w:val="0"/>
                <w:szCs w:val="22"/>
              </w:rPr>
              <w:t>5.6</w:t>
            </w:r>
          </w:p>
        </w:tc>
        <w:tc>
          <w:tcPr>
            <w:tcW w:w="1022" w:type="dxa"/>
            <w:noWrap/>
            <w:vAlign w:val="bottom"/>
          </w:tcPr>
          <w:p w:rsidR="004A147C" w:rsidRPr="00B53FFB" w:rsidRDefault="004A147C" w:rsidP="00CE5850">
            <w:pPr>
              <w:jc w:val="right"/>
              <w:rPr>
                <w:kern w:val="0"/>
                <w:szCs w:val="22"/>
              </w:rPr>
            </w:pPr>
            <w:r w:rsidRPr="00B53FFB">
              <w:rPr>
                <w:kern w:val="0"/>
                <w:szCs w:val="22"/>
              </w:rPr>
              <w:t>0.0</w:t>
            </w:r>
          </w:p>
        </w:tc>
        <w:tc>
          <w:tcPr>
            <w:tcW w:w="1128" w:type="dxa"/>
            <w:noWrap/>
            <w:vAlign w:val="bottom"/>
          </w:tcPr>
          <w:p w:rsidR="004A147C" w:rsidRPr="00B53FFB" w:rsidRDefault="004A147C" w:rsidP="00CE5850">
            <w:pPr>
              <w:jc w:val="right"/>
              <w:rPr>
                <w:kern w:val="0"/>
                <w:szCs w:val="22"/>
              </w:rPr>
            </w:pPr>
            <w:r w:rsidRPr="00B53FFB">
              <w:rPr>
                <w:kern w:val="0"/>
                <w:szCs w:val="22"/>
              </w:rPr>
              <w:t>0.0</w:t>
            </w:r>
          </w:p>
        </w:tc>
      </w:tr>
      <w:tr w:rsidR="004A147C" w:rsidRPr="00B53FFB" w:rsidTr="00610A7B">
        <w:trPr>
          <w:trHeight w:val="315"/>
        </w:trPr>
        <w:tc>
          <w:tcPr>
            <w:tcW w:w="2205" w:type="dxa"/>
            <w:noWrap/>
            <w:vAlign w:val="bottom"/>
          </w:tcPr>
          <w:p w:rsidR="004A147C" w:rsidRPr="00B53FFB" w:rsidRDefault="004A147C" w:rsidP="00CE5850">
            <w:pPr>
              <w:rPr>
                <w:bCs/>
                <w:kern w:val="0"/>
                <w:szCs w:val="22"/>
              </w:rPr>
            </w:pPr>
            <w:r w:rsidRPr="00B53FFB">
              <w:rPr>
                <w:bCs/>
                <w:kern w:val="0"/>
                <w:szCs w:val="22"/>
              </w:rPr>
              <w:t>Sprint Nextel</w:t>
            </w:r>
          </w:p>
        </w:tc>
        <w:tc>
          <w:tcPr>
            <w:tcW w:w="1022" w:type="dxa"/>
            <w:noWrap/>
            <w:vAlign w:val="bottom"/>
          </w:tcPr>
          <w:p w:rsidR="004A147C" w:rsidRPr="00B53FFB" w:rsidRDefault="004A147C" w:rsidP="00CE5850">
            <w:pPr>
              <w:jc w:val="right"/>
              <w:rPr>
                <w:kern w:val="0"/>
                <w:szCs w:val="22"/>
              </w:rPr>
            </w:pPr>
            <w:r w:rsidRPr="00B53FFB">
              <w:rPr>
                <w:kern w:val="0"/>
                <w:szCs w:val="22"/>
              </w:rPr>
              <w:t>0.0</w:t>
            </w:r>
          </w:p>
        </w:tc>
        <w:tc>
          <w:tcPr>
            <w:tcW w:w="1022" w:type="dxa"/>
            <w:noWrap/>
            <w:vAlign w:val="bottom"/>
          </w:tcPr>
          <w:p w:rsidR="004A147C" w:rsidRPr="00B53FFB" w:rsidRDefault="004A147C" w:rsidP="00CE5850">
            <w:pPr>
              <w:jc w:val="right"/>
              <w:rPr>
                <w:kern w:val="0"/>
                <w:szCs w:val="22"/>
              </w:rPr>
            </w:pPr>
            <w:r w:rsidRPr="00B53FFB">
              <w:rPr>
                <w:kern w:val="0"/>
                <w:szCs w:val="22"/>
              </w:rPr>
              <w:t>0.0</w:t>
            </w:r>
          </w:p>
        </w:tc>
        <w:tc>
          <w:tcPr>
            <w:tcW w:w="1022" w:type="dxa"/>
            <w:noWrap/>
            <w:vAlign w:val="bottom"/>
          </w:tcPr>
          <w:p w:rsidR="004A147C" w:rsidRPr="00B53FFB" w:rsidRDefault="004A147C" w:rsidP="00CE5850">
            <w:pPr>
              <w:jc w:val="right"/>
              <w:rPr>
                <w:kern w:val="0"/>
                <w:szCs w:val="22"/>
              </w:rPr>
            </w:pPr>
            <w:r w:rsidRPr="00B53FFB">
              <w:rPr>
                <w:kern w:val="0"/>
                <w:szCs w:val="22"/>
              </w:rPr>
              <w:t>17.5</w:t>
            </w:r>
          </w:p>
        </w:tc>
        <w:tc>
          <w:tcPr>
            <w:tcW w:w="1022" w:type="dxa"/>
            <w:noWrap/>
            <w:vAlign w:val="bottom"/>
          </w:tcPr>
          <w:p w:rsidR="004A147C" w:rsidRPr="00B53FFB" w:rsidRDefault="004A147C" w:rsidP="00CE5850">
            <w:pPr>
              <w:jc w:val="right"/>
              <w:rPr>
                <w:kern w:val="0"/>
                <w:szCs w:val="22"/>
              </w:rPr>
            </w:pPr>
            <w:r w:rsidRPr="00B53FFB">
              <w:rPr>
                <w:kern w:val="0"/>
                <w:szCs w:val="22"/>
              </w:rPr>
              <w:t>35.5</w:t>
            </w:r>
          </w:p>
        </w:tc>
        <w:tc>
          <w:tcPr>
            <w:tcW w:w="1022" w:type="dxa"/>
            <w:noWrap/>
            <w:vAlign w:val="bottom"/>
          </w:tcPr>
          <w:p w:rsidR="004A147C" w:rsidRPr="00B53FFB" w:rsidRDefault="004A147C" w:rsidP="00CE5850">
            <w:pPr>
              <w:jc w:val="right"/>
              <w:rPr>
                <w:kern w:val="0"/>
                <w:szCs w:val="22"/>
              </w:rPr>
            </w:pPr>
            <w:r w:rsidRPr="00B53FFB">
              <w:rPr>
                <w:kern w:val="0"/>
                <w:szCs w:val="22"/>
              </w:rPr>
              <w:t>0.0</w:t>
            </w:r>
          </w:p>
        </w:tc>
        <w:tc>
          <w:tcPr>
            <w:tcW w:w="1022" w:type="dxa"/>
            <w:noWrap/>
            <w:vAlign w:val="bottom"/>
          </w:tcPr>
          <w:p w:rsidR="004A147C" w:rsidRPr="00B53FFB" w:rsidRDefault="004A147C" w:rsidP="00CE5850">
            <w:pPr>
              <w:jc w:val="right"/>
              <w:rPr>
                <w:kern w:val="0"/>
                <w:szCs w:val="22"/>
              </w:rPr>
            </w:pPr>
            <w:r w:rsidRPr="00B53FFB">
              <w:rPr>
                <w:kern w:val="0"/>
                <w:szCs w:val="22"/>
              </w:rPr>
              <w:t>0.0</w:t>
            </w:r>
          </w:p>
        </w:tc>
        <w:tc>
          <w:tcPr>
            <w:tcW w:w="1128" w:type="dxa"/>
            <w:noWrap/>
            <w:vAlign w:val="bottom"/>
          </w:tcPr>
          <w:p w:rsidR="004A147C" w:rsidRPr="00B53FFB" w:rsidRDefault="004A147C" w:rsidP="00CE5850">
            <w:pPr>
              <w:jc w:val="right"/>
              <w:rPr>
                <w:kern w:val="0"/>
                <w:szCs w:val="22"/>
              </w:rPr>
            </w:pPr>
            <w:r w:rsidRPr="00B53FFB">
              <w:rPr>
                <w:kern w:val="0"/>
                <w:szCs w:val="22"/>
              </w:rPr>
              <w:t>0.0</w:t>
            </w:r>
          </w:p>
        </w:tc>
      </w:tr>
      <w:tr w:rsidR="004A147C" w:rsidRPr="00B53FFB" w:rsidTr="00610A7B">
        <w:trPr>
          <w:trHeight w:val="315"/>
        </w:trPr>
        <w:tc>
          <w:tcPr>
            <w:tcW w:w="2205" w:type="dxa"/>
            <w:noWrap/>
            <w:vAlign w:val="bottom"/>
          </w:tcPr>
          <w:p w:rsidR="004A147C" w:rsidRPr="00B53FFB" w:rsidRDefault="004A147C" w:rsidP="00CE5850">
            <w:pPr>
              <w:rPr>
                <w:bCs/>
                <w:kern w:val="0"/>
                <w:szCs w:val="22"/>
              </w:rPr>
            </w:pPr>
            <w:r w:rsidRPr="00B53FFB">
              <w:rPr>
                <w:bCs/>
                <w:kern w:val="0"/>
                <w:szCs w:val="22"/>
              </w:rPr>
              <w:t>Clearwire</w:t>
            </w:r>
          </w:p>
        </w:tc>
        <w:tc>
          <w:tcPr>
            <w:tcW w:w="1022" w:type="dxa"/>
            <w:noWrap/>
            <w:vAlign w:val="bottom"/>
          </w:tcPr>
          <w:p w:rsidR="004A147C" w:rsidRPr="00B53FFB" w:rsidRDefault="004A147C" w:rsidP="00CE5850">
            <w:pPr>
              <w:jc w:val="right"/>
              <w:rPr>
                <w:kern w:val="0"/>
                <w:szCs w:val="22"/>
              </w:rPr>
            </w:pPr>
            <w:r w:rsidRPr="00B53FFB">
              <w:rPr>
                <w:kern w:val="0"/>
                <w:szCs w:val="22"/>
              </w:rPr>
              <w:t>0.0</w:t>
            </w:r>
          </w:p>
        </w:tc>
        <w:tc>
          <w:tcPr>
            <w:tcW w:w="1022" w:type="dxa"/>
            <w:noWrap/>
            <w:vAlign w:val="bottom"/>
          </w:tcPr>
          <w:p w:rsidR="004A147C" w:rsidRPr="00B53FFB" w:rsidRDefault="004A147C" w:rsidP="00CE5850">
            <w:pPr>
              <w:jc w:val="right"/>
              <w:rPr>
                <w:kern w:val="0"/>
                <w:szCs w:val="22"/>
              </w:rPr>
            </w:pPr>
            <w:r w:rsidRPr="00B53FFB">
              <w:rPr>
                <w:kern w:val="0"/>
                <w:szCs w:val="22"/>
              </w:rPr>
              <w:t>0.0</w:t>
            </w:r>
          </w:p>
        </w:tc>
        <w:tc>
          <w:tcPr>
            <w:tcW w:w="1022" w:type="dxa"/>
            <w:noWrap/>
            <w:vAlign w:val="bottom"/>
          </w:tcPr>
          <w:p w:rsidR="004A147C" w:rsidRPr="00B53FFB" w:rsidRDefault="004A147C" w:rsidP="00CE5850">
            <w:pPr>
              <w:jc w:val="right"/>
              <w:rPr>
                <w:kern w:val="0"/>
                <w:szCs w:val="22"/>
              </w:rPr>
            </w:pPr>
            <w:r w:rsidRPr="00B53FFB">
              <w:rPr>
                <w:kern w:val="0"/>
                <w:szCs w:val="22"/>
              </w:rPr>
              <w:t>0.0</w:t>
            </w:r>
          </w:p>
        </w:tc>
        <w:tc>
          <w:tcPr>
            <w:tcW w:w="1022" w:type="dxa"/>
            <w:noWrap/>
            <w:vAlign w:val="bottom"/>
          </w:tcPr>
          <w:p w:rsidR="004A147C" w:rsidRPr="00B53FFB" w:rsidRDefault="004A147C" w:rsidP="00CE5850">
            <w:pPr>
              <w:jc w:val="right"/>
              <w:rPr>
                <w:kern w:val="0"/>
                <w:szCs w:val="22"/>
              </w:rPr>
            </w:pPr>
            <w:r w:rsidRPr="00B53FFB">
              <w:rPr>
                <w:kern w:val="0"/>
                <w:szCs w:val="22"/>
              </w:rPr>
              <w:t>0.0</w:t>
            </w:r>
          </w:p>
        </w:tc>
        <w:tc>
          <w:tcPr>
            <w:tcW w:w="1022" w:type="dxa"/>
            <w:noWrap/>
            <w:vAlign w:val="bottom"/>
          </w:tcPr>
          <w:p w:rsidR="004A147C" w:rsidRPr="00B53FFB" w:rsidRDefault="004A147C" w:rsidP="00CE5850">
            <w:pPr>
              <w:jc w:val="right"/>
              <w:rPr>
                <w:kern w:val="0"/>
                <w:szCs w:val="22"/>
              </w:rPr>
            </w:pPr>
            <w:r w:rsidRPr="00B53FFB">
              <w:rPr>
                <w:kern w:val="0"/>
                <w:szCs w:val="22"/>
              </w:rPr>
              <w:t>0.0</w:t>
            </w:r>
          </w:p>
        </w:tc>
        <w:tc>
          <w:tcPr>
            <w:tcW w:w="1022" w:type="dxa"/>
            <w:noWrap/>
            <w:vAlign w:val="bottom"/>
          </w:tcPr>
          <w:p w:rsidR="004A147C" w:rsidRPr="00B53FFB" w:rsidRDefault="004A147C" w:rsidP="00CE5850">
            <w:pPr>
              <w:jc w:val="right"/>
              <w:rPr>
                <w:kern w:val="0"/>
                <w:szCs w:val="22"/>
              </w:rPr>
            </w:pPr>
            <w:r w:rsidRPr="00B53FFB">
              <w:rPr>
                <w:kern w:val="0"/>
                <w:szCs w:val="22"/>
              </w:rPr>
              <w:t>62.8</w:t>
            </w:r>
          </w:p>
        </w:tc>
        <w:tc>
          <w:tcPr>
            <w:tcW w:w="1128" w:type="dxa"/>
            <w:noWrap/>
            <w:vAlign w:val="bottom"/>
          </w:tcPr>
          <w:p w:rsidR="004A147C" w:rsidRPr="00B53FFB" w:rsidRDefault="004A147C" w:rsidP="00CE5850">
            <w:pPr>
              <w:jc w:val="right"/>
              <w:rPr>
                <w:kern w:val="0"/>
                <w:szCs w:val="22"/>
              </w:rPr>
            </w:pPr>
            <w:r w:rsidRPr="00B53FFB">
              <w:rPr>
                <w:kern w:val="0"/>
                <w:szCs w:val="22"/>
              </w:rPr>
              <w:t>68.7</w:t>
            </w:r>
          </w:p>
        </w:tc>
      </w:tr>
      <w:tr w:rsidR="004A147C" w:rsidRPr="00B53FFB" w:rsidTr="00610A7B">
        <w:trPr>
          <w:trHeight w:val="315"/>
        </w:trPr>
        <w:tc>
          <w:tcPr>
            <w:tcW w:w="2205" w:type="dxa"/>
            <w:noWrap/>
            <w:vAlign w:val="bottom"/>
          </w:tcPr>
          <w:p w:rsidR="004A147C" w:rsidRPr="00B53FFB" w:rsidRDefault="004A147C" w:rsidP="00CE5850">
            <w:pPr>
              <w:rPr>
                <w:bCs/>
                <w:kern w:val="0"/>
                <w:szCs w:val="22"/>
              </w:rPr>
            </w:pPr>
            <w:r w:rsidRPr="00B53FFB">
              <w:rPr>
                <w:bCs/>
                <w:kern w:val="0"/>
                <w:szCs w:val="22"/>
              </w:rPr>
              <w:t>T-Mobile</w:t>
            </w:r>
          </w:p>
        </w:tc>
        <w:tc>
          <w:tcPr>
            <w:tcW w:w="1022" w:type="dxa"/>
            <w:noWrap/>
            <w:vAlign w:val="bottom"/>
          </w:tcPr>
          <w:p w:rsidR="004A147C" w:rsidRPr="00B53FFB" w:rsidRDefault="004A147C" w:rsidP="00CE5850">
            <w:pPr>
              <w:jc w:val="right"/>
              <w:rPr>
                <w:kern w:val="0"/>
                <w:szCs w:val="22"/>
              </w:rPr>
            </w:pPr>
            <w:r w:rsidRPr="00B53FFB">
              <w:rPr>
                <w:kern w:val="0"/>
                <w:szCs w:val="22"/>
              </w:rPr>
              <w:t>0.0</w:t>
            </w:r>
          </w:p>
        </w:tc>
        <w:tc>
          <w:tcPr>
            <w:tcW w:w="1022" w:type="dxa"/>
            <w:noWrap/>
            <w:vAlign w:val="bottom"/>
          </w:tcPr>
          <w:p w:rsidR="004A147C" w:rsidRPr="00B53FFB" w:rsidRDefault="004A147C" w:rsidP="00CE5850">
            <w:pPr>
              <w:jc w:val="right"/>
              <w:rPr>
                <w:kern w:val="0"/>
                <w:szCs w:val="22"/>
              </w:rPr>
            </w:pPr>
            <w:r w:rsidRPr="00B53FFB">
              <w:rPr>
                <w:kern w:val="0"/>
                <w:szCs w:val="22"/>
              </w:rPr>
              <w:t>0.0</w:t>
            </w:r>
          </w:p>
        </w:tc>
        <w:tc>
          <w:tcPr>
            <w:tcW w:w="1022" w:type="dxa"/>
            <w:noWrap/>
            <w:vAlign w:val="bottom"/>
          </w:tcPr>
          <w:p w:rsidR="004A147C" w:rsidRPr="00B53FFB" w:rsidRDefault="004A147C" w:rsidP="00CE5850">
            <w:pPr>
              <w:jc w:val="right"/>
              <w:rPr>
                <w:kern w:val="0"/>
                <w:szCs w:val="22"/>
              </w:rPr>
            </w:pPr>
            <w:r w:rsidRPr="00B53FFB">
              <w:rPr>
                <w:kern w:val="0"/>
                <w:szCs w:val="22"/>
              </w:rPr>
              <w:t>0.0</w:t>
            </w:r>
          </w:p>
        </w:tc>
        <w:tc>
          <w:tcPr>
            <w:tcW w:w="1022" w:type="dxa"/>
            <w:noWrap/>
            <w:vAlign w:val="bottom"/>
          </w:tcPr>
          <w:p w:rsidR="004A147C" w:rsidRPr="00B53FFB" w:rsidRDefault="004A147C" w:rsidP="00CE5850">
            <w:pPr>
              <w:jc w:val="right"/>
              <w:rPr>
                <w:kern w:val="0"/>
                <w:szCs w:val="22"/>
              </w:rPr>
            </w:pPr>
            <w:r w:rsidRPr="00B53FFB">
              <w:rPr>
                <w:kern w:val="0"/>
                <w:szCs w:val="22"/>
              </w:rPr>
              <w:t>25.7</w:t>
            </w:r>
          </w:p>
        </w:tc>
        <w:tc>
          <w:tcPr>
            <w:tcW w:w="1022" w:type="dxa"/>
            <w:noWrap/>
            <w:vAlign w:val="bottom"/>
          </w:tcPr>
          <w:p w:rsidR="004A147C" w:rsidRPr="00B53FFB" w:rsidRDefault="004A147C" w:rsidP="00CE5850">
            <w:pPr>
              <w:jc w:val="right"/>
              <w:rPr>
                <w:kern w:val="0"/>
                <w:szCs w:val="22"/>
              </w:rPr>
            </w:pPr>
            <w:r w:rsidRPr="00B53FFB">
              <w:rPr>
                <w:kern w:val="0"/>
                <w:szCs w:val="22"/>
              </w:rPr>
              <w:t>31.3</w:t>
            </w:r>
          </w:p>
        </w:tc>
        <w:tc>
          <w:tcPr>
            <w:tcW w:w="1022" w:type="dxa"/>
            <w:noWrap/>
            <w:vAlign w:val="bottom"/>
          </w:tcPr>
          <w:p w:rsidR="004A147C" w:rsidRPr="00B53FFB" w:rsidRDefault="004A147C" w:rsidP="00CE5850">
            <w:pPr>
              <w:jc w:val="right"/>
              <w:rPr>
                <w:kern w:val="0"/>
                <w:szCs w:val="22"/>
              </w:rPr>
            </w:pPr>
            <w:r w:rsidRPr="00B53FFB">
              <w:rPr>
                <w:kern w:val="0"/>
                <w:szCs w:val="22"/>
              </w:rPr>
              <w:t>0.0</w:t>
            </w:r>
          </w:p>
        </w:tc>
        <w:tc>
          <w:tcPr>
            <w:tcW w:w="1128" w:type="dxa"/>
            <w:noWrap/>
            <w:vAlign w:val="bottom"/>
          </w:tcPr>
          <w:p w:rsidR="004A147C" w:rsidRPr="00B53FFB" w:rsidRDefault="004A147C" w:rsidP="00CE5850">
            <w:pPr>
              <w:jc w:val="right"/>
              <w:rPr>
                <w:kern w:val="0"/>
                <w:szCs w:val="22"/>
              </w:rPr>
            </w:pPr>
            <w:r w:rsidRPr="00B53FFB">
              <w:rPr>
                <w:kern w:val="0"/>
                <w:szCs w:val="22"/>
              </w:rPr>
              <w:t>0.0</w:t>
            </w:r>
          </w:p>
        </w:tc>
      </w:tr>
      <w:tr w:rsidR="004A147C" w:rsidRPr="00B53FFB" w:rsidTr="00610A7B">
        <w:trPr>
          <w:trHeight w:val="315"/>
        </w:trPr>
        <w:tc>
          <w:tcPr>
            <w:tcW w:w="2205" w:type="dxa"/>
            <w:noWrap/>
            <w:vAlign w:val="bottom"/>
          </w:tcPr>
          <w:p w:rsidR="004A147C" w:rsidRPr="00B53FFB" w:rsidRDefault="004A147C" w:rsidP="00CE5850">
            <w:pPr>
              <w:rPr>
                <w:bCs/>
                <w:kern w:val="0"/>
                <w:szCs w:val="22"/>
              </w:rPr>
            </w:pPr>
            <w:r w:rsidRPr="00B53FFB">
              <w:rPr>
                <w:bCs/>
                <w:kern w:val="0"/>
                <w:szCs w:val="22"/>
              </w:rPr>
              <w:t>MetroPCS</w:t>
            </w:r>
          </w:p>
        </w:tc>
        <w:tc>
          <w:tcPr>
            <w:tcW w:w="1022" w:type="dxa"/>
            <w:noWrap/>
            <w:vAlign w:val="bottom"/>
          </w:tcPr>
          <w:p w:rsidR="004A147C" w:rsidRPr="00B53FFB" w:rsidRDefault="004A147C" w:rsidP="00CE5850">
            <w:pPr>
              <w:jc w:val="right"/>
              <w:rPr>
                <w:kern w:val="0"/>
                <w:szCs w:val="22"/>
              </w:rPr>
            </w:pPr>
            <w:r w:rsidRPr="00B53FFB">
              <w:rPr>
                <w:kern w:val="0"/>
                <w:szCs w:val="22"/>
              </w:rPr>
              <w:t>0.3</w:t>
            </w:r>
          </w:p>
        </w:tc>
        <w:tc>
          <w:tcPr>
            <w:tcW w:w="1022" w:type="dxa"/>
            <w:noWrap/>
            <w:vAlign w:val="bottom"/>
          </w:tcPr>
          <w:p w:rsidR="004A147C" w:rsidRPr="00B53FFB" w:rsidRDefault="004A147C" w:rsidP="00CE5850">
            <w:pPr>
              <w:jc w:val="right"/>
              <w:rPr>
                <w:kern w:val="0"/>
                <w:szCs w:val="22"/>
              </w:rPr>
            </w:pPr>
            <w:r w:rsidRPr="00B53FFB">
              <w:rPr>
                <w:kern w:val="0"/>
                <w:szCs w:val="22"/>
              </w:rPr>
              <w:t>0.0</w:t>
            </w:r>
          </w:p>
        </w:tc>
        <w:tc>
          <w:tcPr>
            <w:tcW w:w="1022" w:type="dxa"/>
            <w:noWrap/>
            <w:vAlign w:val="bottom"/>
          </w:tcPr>
          <w:p w:rsidR="004A147C" w:rsidRPr="00B53FFB" w:rsidRDefault="004A147C" w:rsidP="00CE5850">
            <w:pPr>
              <w:jc w:val="right"/>
              <w:rPr>
                <w:kern w:val="0"/>
                <w:szCs w:val="22"/>
              </w:rPr>
            </w:pPr>
            <w:r w:rsidRPr="00B53FFB">
              <w:rPr>
                <w:kern w:val="0"/>
                <w:szCs w:val="22"/>
              </w:rPr>
              <w:t>0.0</w:t>
            </w:r>
          </w:p>
        </w:tc>
        <w:tc>
          <w:tcPr>
            <w:tcW w:w="1022" w:type="dxa"/>
            <w:noWrap/>
            <w:vAlign w:val="bottom"/>
          </w:tcPr>
          <w:p w:rsidR="004A147C" w:rsidRPr="00B53FFB" w:rsidRDefault="004A147C" w:rsidP="00CE5850">
            <w:pPr>
              <w:jc w:val="right"/>
              <w:rPr>
                <w:kern w:val="0"/>
                <w:szCs w:val="22"/>
              </w:rPr>
            </w:pPr>
            <w:r w:rsidRPr="00B53FFB">
              <w:rPr>
                <w:kern w:val="0"/>
                <w:szCs w:val="22"/>
              </w:rPr>
              <w:t>3.4</w:t>
            </w:r>
          </w:p>
        </w:tc>
        <w:tc>
          <w:tcPr>
            <w:tcW w:w="1022" w:type="dxa"/>
            <w:noWrap/>
            <w:vAlign w:val="bottom"/>
          </w:tcPr>
          <w:p w:rsidR="004A147C" w:rsidRPr="00B53FFB" w:rsidRDefault="004A147C" w:rsidP="00CE5850">
            <w:pPr>
              <w:jc w:val="right"/>
              <w:rPr>
                <w:kern w:val="0"/>
                <w:szCs w:val="22"/>
              </w:rPr>
            </w:pPr>
            <w:r w:rsidRPr="00B53FFB">
              <w:rPr>
                <w:kern w:val="0"/>
                <w:szCs w:val="22"/>
              </w:rPr>
              <w:t>5.5</w:t>
            </w:r>
          </w:p>
        </w:tc>
        <w:tc>
          <w:tcPr>
            <w:tcW w:w="1022" w:type="dxa"/>
            <w:noWrap/>
            <w:vAlign w:val="bottom"/>
          </w:tcPr>
          <w:p w:rsidR="004A147C" w:rsidRPr="00B53FFB" w:rsidRDefault="004A147C" w:rsidP="00CE5850">
            <w:pPr>
              <w:jc w:val="right"/>
              <w:rPr>
                <w:kern w:val="0"/>
                <w:szCs w:val="22"/>
              </w:rPr>
            </w:pPr>
            <w:r w:rsidRPr="00B53FFB">
              <w:rPr>
                <w:kern w:val="0"/>
                <w:szCs w:val="22"/>
              </w:rPr>
              <w:t>0.0</w:t>
            </w:r>
          </w:p>
        </w:tc>
        <w:tc>
          <w:tcPr>
            <w:tcW w:w="1128" w:type="dxa"/>
            <w:noWrap/>
            <w:vAlign w:val="bottom"/>
          </w:tcPr>
          <w:p w:rsidR="004A147C" w:rsidRPr="00B53FFB" w:rsidRDefault="004A147C" w:rsidP="00CE5850">
            <w:pPr>
              <w:jc w:val="right"/>
              <w:rPr>
                <w:kern w:val="0"/>
                <w:szCs w:val="22"/>
              </w:rPr>
            </w:pPr>
            <w:r w:rsidRPr="00B53FFB">
              <w:rPr>
                <w:kern w:val="0"/>
                <w:szCs w:val="22"/>
              </w:rPr>
              <w:t>0.0</w:t>
            </w:r>
          </w:p>
        </w:tc>
      </w:tr>
      <w:tr w:rsidR="004A147C" w:rsidRPr="00B53FFB" w:rsidTr="00610A7B">
        <w:trPr>
          <w:trHeight w:val="315"/>
        </w:trPr>
        <w:tc>
          <w:tcPr>
            <w:tcW w:w="2205" w:type="dxa"/>
            <w:noWrap/>
            <w:vAlign w:val="bottom"/>
          </w:tcPr>
          <w:p w:rsidR="004A147C" w:rsidRPr="00B53FFB" w:rsidRDefault="004A147C" w:rsidP="00CE5850">
            <w:pPr>
              <w:rPr>
                <w:bCs/>
                <w:kern w:val="0"/>
                <w:szCs w:val="22"/>
              </w:rPr>
            </w:pPr>
            <w:r w:rsidRPr="00B53FFB">
              <w:rPr>
                <w:bCs/>
                <w:kern w:val="0"/>
                <w:szCs w:val="22"/>
              </w:rPr>
              <w:t>US Cellular</w:t>
            </w:r>
          </w:p>
        </w:tc>
        <w:tc>
          <w:tcPr>
            <w:tcW w:w="1022" w:type="dxa"/>
            <w:noWrap/>
            <w:vAlign w:val="bottom"/>
          </w:tcPr>
          <w:p w:rsidR="004A147C" w:rsidRPr="00B53FFB" w:rsidRDefault="004A147C" w:rsidP="00CE5850">
            <w:pPr>
              <w:jc w:val="right"/>
              <w:rPr>
                <w:kern w:val="0"/>
                <w:szCs w:val="22"/>
              </w:rPr>
            </w:pPr>
            <w:r w:rsidRPr="00B53FFB">
              <w:rPr>
                <w:kern w:val="0"/>
                <w:szCs w:val="22"/>
              </w:rPr>
              <w:t>2.1</w:t>
            </w:r>
          </w:p>
        </w:tc>
        <w:tc>
          <w:tcPr>
            <w:tcW w:w="1022" w:type="dxa"/>
            <w:noWrap/>
            <w:vAlign w:val="bottom"/>
          </w:tcPr>
          <w:p w:rsidR="004A147C" w:rsidRPr="00B53FFB" w:rsidRDefault="004A147C" w:rsidP="00CE5850">
            <w:pPr>
              <w:jc w:val="right"/>
              <w:rPr>
                <w:kern w:val="0"/>
                <w:szCs w:val="22"/>
              </w:rPr>
            </w:pPr>
            <w:r w:rsidRPr="00B53FFB">
              <w:rPr>
                <w:kern w:val="0"/>
                <w:szCs w:val="22"/>
              </w:rPr>
              <w:t>2.2</w:t>
            </w:r>
          </w:p>
        </w:tc>
        <w:tc>
          <w:tcPr>
            <w:tcW w:w="1022" w:type="dxa"/>
            <w:noWrap/>
            <w:vAlign w:val="bottom"/>
          </w:tcPr>
          <w:p w:rsidR="004A147C" w:rsidRPr="00B53FFB" w:rsidRDefault="004A147C" w:rsidP="00CE5850">
            <w:pPr>
              <w:jc w:val="right"/>
              <w:rPr>
                <w:kern w:val="0"/>
                <w:szCs w:val="22"/>
              </w:rPr>
            </w:pPr>
            <w:r w:rsidRPr="00B53FFB">
              <w:rPr>
                <w:kern w:val="0"/>
                <w:szCs w:val="22"/>
              </w:rPr>
              <w:t>0.0</w:t>
            </w:r>
          </w:p>
        </w:tc>
        <w:tc>
          <w:tcPr>
            <w:tcW w:w="1022" w:type="dxa"/>
            <w:noWrap/>
            <w:vAlign w:val="bottom"/>
          </w:tcPr>
          <w:p w:rsidR="004A147C" w:rsidRPr="00B53FFB" w:rsidRDefault="004A147C" w:rsidP="00CE5850">
            <w:pPr>
              <w:jc w:val="right"/>
              <w:rPr>
                <w:kern w:val="0"/>
                <w:szCs w:val="22"/>
              </w:rPr>
            </w:pPr>
            <w:r w:rsidRPr="00B53FFB">
              <w:rPr>
                <w:kern w:val="0"/>
                <w:szCs w:val="22"/>
              </w:rPr>
              <w:t>2.7</w:t>
            </w:r>
          </w:p>
        </w:tc>
        <w:tc>
          <w:tcPr>
            <w:tcW w:w="1022" w:type="dxa"/>
            <w:noWrap/>
            <w:vAlign w:val="bottom"/>
          </w:tcPr>
          <w:p w:rsidR="004A147C" w:rsidRPr="00B53FFB" w:rsidRDefault="004A147C" w:rsidP="00CE5850">
            <w:pPr>
              <w:jc w:val="right"/>
              <w:rPr>
                <w:kern w:val="0"/>
                <w:szCs w:val="22"/>
              </w:rPr>
            </w:pPr>
            <w:r w:rsidRPr="00B53FFB">
              <w:rPr>
                <w:kern w:val="0"/>
                <w:szCs w:val="22"/>
              </w:rPr>
              <w:t>1.8</w:t>
            </w:r>
          </w:p>
        </w:tc>
        <w:tc>
          <w:tcPr>
            <w:tcW w:w="1022" w:type="dxa"/>
            <w:noWrap/>
            <w:vAlign w:val="bottom"/>
          </w:tcPr>
          <w:p w:rsidR="004A147C" w:rsidRPr="00B53FFB" w:rsidRDefault="004A147C" w:rsidP="00CE5850">
            <w:pPr>
              <w:jc w:val="right"/>
              <w:rPr>
                <w:kern w:val="0"/>
                <w:szCs w:val="22"/>
              </w:rPr>
            </w:pPr>
            <w:r w:rsidRPr="00B53FFB">
              <w:rPr>
                <w:kern w:val="0"/>
                <w:szCs w:val="22"/>
              </w:rPr>
              <w:t>0.0</w:t>
            </w:r>
          </w:p>
        </w:tc>
        <w:tc>
          <w:tcPr>
            <w:tcW w:w="1128" w:type="dxa"/>
            <w:noWrap/>
            <w:vAlign w:val="bottom"/>
          </w:tcPr>
          <w:p w:rsidR="004A147C" w:rsidRPr="00B53FFB" w:rsidRDefault="004A147C" w:rsidP="00CE5850">
            <w:pPr>
              <w:jc w:val="right"/>
              <w:rPr>
                <w:kern w:val="0"/>
                <w:szCs w:val="22"/>
              </w:rPr>
            </w:pPr>
            <w:r w:rsidRPr="00B53FFB">
              <w:rPr>
                <w:kern w:val="0"/>
                <w:szCs w:val="22"/>
              </w:rPr>
              <w:t>0.0</w:t>
            </w:r>
          </w:p>
        </w:tc>
      </w:tr>
      <w:tr w:rsidR="004A147C" w:rsidRPr="00B53FFB" w:rsidTr="00610A7B">
        <w:trPr>
          <w:trHeight w:val="315"/>
        </w:trPr>
        <w:tc>
          <w:tcPr>
            <w:tcW w:w="2205" w:type="dxa"/>
            <w:noWrap/>
            <w:vAlign w:val="bottom"/>
          </w:tcPr>
          <w:p w:rsidR="004A147C" w:rsidRPr="00B53FFB" w:rsidRDefault="004A147C" w:rsidP="00CE5850">
            <w:pPr>
              <w:rPr>
                <w:bCs/>
                <w:kern w:val="0"/>
                <w:szCs w:val="22"/>
              </w:rPr>
            </w:pPr>
            <w:r w:rsidRPr="00B53FFB">
              <w:rPr>
                <w:bCs/>
                <w:kern w:val="0"/>
                <w:szCs w:val="22"/>
              </w:rPr>
              <w:t>Leap</w:t>
            </w:r>
          </w:p>
        </w:tc>
        <w:tc>
          <w:tcPr>
            <w:tcW w:w="1022" w:type="dxa"/>
            <w:noWrap/>
            <w:vAlign w:val="bottom"/>
          </w:tcPr>
          <w:p w:rsidR="004A147C" w:rsidRPr="00B53FFB" w:rsidRDefault="004A147C" w:rsidP="00CE5850">
            <w:pPr>
              <w:jc w:val="right"/>
              <w:rPr>
                <w:kern w:val="0"/>
                <w:szCs w:val="22"/>
              </w:rPr>
            </w:pPr>
            <w:r w:rsidRPr="00B53FFB">
              <w:rPr>
                <w:kern w:val="0"/>
                <w:szCs w:val="22"/>
              </w:rPr>
              <w:t>0.4</w:t>
            </w:r>
          </w:p>
        </w:tc>
        <w:tc>
          <w:tcPr>
            <w:tcW w:w="1022" w:type="dxa"/>
            <w:noWrap/>
            <w:vAlign w:val="bottom"/>
          </w:tcPr>
          <w:p w:rsidR="004A147C" w:rsidRPr="00B53FFB" w:rsidRDefault="004A147C" w:rsidP="00CE5850">
            <w:pPr>
              <w:jc w:val="right"/>
              <w:rPr>
                <w:kern w:val="0"/>
                <w:szCs w:val="22"/>
              </w:rPr>
            </w:pPr>
            <w:r w:rsidRPr="00B53FFB">
              <w:rPr>
                <w:kern w:val="0"/>
                <w:szCs w:val="22"/>
              </w:rPr>
              <w:t>0.0</w:t>
            </w:r>
          </w:p>
        </w:tc>
        <w:tc>
          <w:tcPr>
            <w:tcW w:w="1022" w:type="dxa"/>
            <w:noWrap/>
            <w:vAlign w:val="bottom"/>
          </w:tcPr>
          <w:p w:rsidR="004A147C" w:rsidRPr="00B53FFB" w:rsidRDefault="004A147C" w:rsidP="00CE5850">
            <w:pPr>
              <w:jc w:val="right"/>
              <w:rPr>
                <w:kern w:val="0"/>
                <w:szCs w:val="22"/>
              </w:rPr>
            </w:pPr>
            <w:r w:rsidRPr="00B53FFB">
              <w:rPr>
                <w:kern w:val="0"/>
                <w:szCs w:val="22"/>
              </w:rPr>
              <w:t>0.0</w:t>
            </w:r>
          </w:p>
        </w:tc>
        <w:tc>
          <w:tcPr>
            <w:tcW w:w="1022" w:type="dxa"/>
            <w:noWrap/>
            <w:vAlign w:val="bottom"/>
          </w:tcPr>
          <w:p w:rsidR="004A147C" w:rsidRPr="00B53FFB" w:rsidRDefault="004A147C" w:rsidP="00CE5850">
            <w:pPr>
              <w:jc w:val="right"/>
              <w:rPr>
                <w:kern w:val="0"/>
                <w:szCs w:val="22"/>
              </w:rPr>
            </w:pPr>
            <w:r w:rsidRPr="00B53FFB">
              <w:rPr>
                <w:kern w:val="0"/>
                <w:szCs w:val="22"/>
              </w:rPr>
              <w:t>3.0</w:t>
            </w:r>
          </w:p>
        </w:tc>
        <w:tc>
          <w:tcPr>
            <w:tcW w:w="1022" w:type="dxa"/>
            <w:noWrap/>
            <w:vAlign w:val="bottom"/>
          </w:tcPr>
          <w:p w:rsidR="004A147C" w:rsidRPr="00B53FFB" w:rsidRDefault="004A147C" w:rsidP="00CE5850">
            <w:pPr>
              <w:jc w:val="right"/>
              <w:rPr>
                <w:kern w:val="0"/>
                <w:szCs w:val="22"/>
              </w:rPr>
            </w:pPr>
            <w:r w:rsidRPr="00B53FFB">
              <w:rPr>
                <w:kern w:val="0"/>
                <w:szCs w:val="22"/>
              </w:rPr>
              <w:t>6.0</w:t>
            </w:r>
          </w:p>
        </w:tc>
        <w:tc>
          <w:tcPr>
            <w:tcW w:w="1022" w:type="dxa"/>
            <w:noWrap/>
            <w:vAlign w:val="bottom"/>
          </w:tcPr>
          <w:p w:rsidR="004A147C" w:rsidRPr="00B53FFB" w:rsidRDefault="004A147C" w:rsidP="00CE5850">
            <w:pPr>
              <w:jc w:val="right"/>
              <w:rPr>
                <w:kern w:val="0"/>
                <w:szCs w:val="22"/>
              </w:rPr>
            </w:pPr>
            <w:r w:rsidRPr="00B53FFB">
              <w:rPr>
                <w:kern w:val="0"/>
                <w:szCs w:val="22"/>
              </w:rPr>
              <w:t>0.0</w:t>
            </w:r>
          </w:p>
        </w:tc>
        <w:tc>
          <w:tcPr>
            <w:tcW w:w="1128" w:type="dxa"/>
            <w:noWrap/>
            <w:vAlign w:val="bottom"/>
          </w:tcPr>
          <w:p w:rsidR="004A147C" w:rsidRPr="00B53FFB" w:rsidRDefault="004A147C" w:rsidP="00CE5850">
            <w:pPr>
              <w:jc w:val="right"/>
              <w:rPr>
                <w:kern w:val="0"/>
                <w:szCs w:val="22"/>
              </w:rPr>
            </w:pPr>
            <w:r w:rsidRPr="00B53FFB">
              <w:rPr>
                <w:kern w:val="0"/>
                <w:szCs w:val="22"/>
              </w:rPr>
              <w:t>0.0</w:t>
            </w:r>
          </w:p>
        </w:tc>
      </w:tr>
      <w:tr w:rsidR="004A147C" w:rsidRPr="00B53FFB" w:rsidTr="00610A7B">
        <w:trPr>
          <w:trHeight w:val="315"/>
        </w:trPr>
        <w:tc>
          <w:tcPr>
            <w:tcW w:w="2205" w:type="dxa"/>
            <w:noWrap/>
            <w:vAlign w:val="bottom"/>
          </w:tcPr>
          <w:p w:rsidR="004A147C" w:rsidRPr="00B53FFB" w:rsidRDefault="004A147C" w:rsidP="00CE5850">
            <w:pPr>
              <w:rPr>
                <w:bCs/>
                <w:kern w:val="0"/>
                <w:szCs w:val="22"/>
              </w:rPr>
            </w:pPr>
            <w:r w:rsidRPr="00B53FFB">
              <w:rPr>
                <w:bCs/>
                <w:kern w:val="0"/>
                <w:szCs w:val="22"/>
              </w:rPr>
              <w:t>Other</w:t>
            </w:r>
          </w:p>
        </w:tc>
        <w:tc>
          <w:tcPr>
            <w:tcW w:w="1022" w:type="dxa"/>
            <w:noWrap/>
            <w:vAlign w:val="bottom"/>
          </w:tcPr>
          <w:p w:rsidR="004A147C" w:rsidRPr="00B53FFB" w:rsidRDefault="004A147C" w:rsidP="00CE5850">
            <w:pPr>
              <w:jc w:val="right"/>
              <w:rPr>
                <w:kern w:val="0"/>
                <w:szCs w:val="22"/>
              </w:rPr>
            </w:pPr>
            <w:r w:rsidRPr="00B53FFB">
              <w:rPr>
                <w:kern w:val="0"/>
                <w:szCs w:val="22"/>
              </w:rPr>
              <w:t>12.7</w:t>
            </w:r>
          </w:p>
        </w:tc>
        <w:tc>
          <w:tcPr>
            <w:tcW w:w="1022" w:type="dxa"/>
            <w:noWrap/>
            <w:vAlign w:val="bottom"/>
          </w:tcPr>
          <w:p w:rsidR="004A147C" w:rsidRPr="00B53FFB" w:rsidRDefault="004A147C" w:rsidP="00CE5850">
            <w:pPr>
              <w:jc w:val="right"/>
              <w:rPr>
                <w:kern w:val="0"/>
                <w:szCs w:val="22"/>
              </w:rPr>
            </w:pPr>
            <w:r w:rsidRPr="00B53FFB">
              <w:rPr>
                <w:kern w:val="0"/>
                <w:szCs w:val="22"/>
              </w:rPr>
              <w:t>2.1</w:t>
            </w:r>
          </w:p>
        </w:tc>
        <w:tc>
          <w:tcPr>
            <w:tcW w:w="1022" w:type="dxa"/>
            <w:noWrap/>
            <w:vAlign w:val="bottom"/>
          </w:tcPr>
          <w:p w:rsidR="004A147C" w:rsidRPr="00B53FFB" w:rsidRDefault="004A147C" w:rsidP="00CE5850">
            <w:pPr>
              <w:jc w:val="right"/>
              <w:rPr>
                <w:kern w:val="0"/>
                <w:szCs w:val="22"/>
              </w:rPr>
            </w:pPr>
            <w:r w:rsidRPr="00B53FFB">
              <w:rPr>
                <w:kern w:val="0"/>
                <w:szCs w:val="22"/>
              </w:rPr>
              <w:t>0.5</w:t>
            </w:r>
          </w:p>
        </w:tc>
        <w:tc>
          <w:tcPr>
            <w:tcW w:w="1022" w:type="dxa"/>
            <w:noWrap/>
            <w:vAlign w:val="bottom"/>
          </w:tcPr>
          <w:p w:rsidR="004A147C" w:rsidRPr="00B53FFB" w:rsidRDefault="004A147C" w:rsidP="00CE5850">
            <w:pPr>
              <w:jc w:val="right"/>
              <w:rPr>
                <w:kern w:val="0"/>
                <w:szCs w:val="22"/>
              </w:rPr>
            </w:pPr>
            <w:r w:rsidRPr="00B53FFB">
              <w:rPr>
                <w:kern w:val="0"/>
                <w:szCs w:val="22"/>
              </w:rPr>
              <w:t>5.4</w:t>
            </w:r>
          </w:p>
        </w:tc>
        <w:tc>
          <w:tcPr>
            <w:tcW w:w="1022" w:type="dxa"/>
            <w:noWrap/>
            <w:vAlign w:val="bottom"/>
          </w:tcPr>
          <w:p w:rsidR="004A147C" w:rsidRPr="00B53FFB" w:rsidRDefault="004A147C" w:rsidP="00CE5850">
            <w:pPr>
              <w:jc w:val="right"/>
              <w:rPr>
                <w:kern w:val="0"/>
                <w:szCs w:val="22"/>
              </w:rPr>
            </w:pPr>
            <w:r w:rsidRPr="00B53FFB">
              <w:rPr>
                <w:kern w:val="0"/>
                <w:szCs w:val="22"/>
              </w:rPr>
              <w:t>8.2</w:t>
            </w:r>
          </w:p>
        </w:tc>
        <w:tc>
          <w:tcPr>
            <w:tcW w:w="1022" w:type="dxa"/>
            <w:noWrap/>
            <w:vAlign w:val="bottom"/>
          </w:tcPr>
          <w:p w:rsidR="004A147C" w:rsidRPr="00B53FFB" w:rsidRDefault="004A147C" w:rsidP="00CE5850">
            <w:pPr>
              <w:jc w:val="right"/>
              <w:rPr>
                <w:kern w:val="0"/>
                <w:szCs w:val="22"/>
              </w:rPr>
            </w:pPr>
            <w:r w:rsidRPr="00B53FFB">
              <w:rPr>
                <w:kern w:val="0"/>
                <w:szCs w:val="22"/>
              </w:rPr>
              <w:t>10.7</w:t>
            </w:r>
          </w:p>
        </w:tc>
        <w:tc>
          <w:tcPr>
            <w:tcW w:w="1128" w:type="dxa"/>
            <w:noWrap/>
            <w:vAlign w:val="bottom"/>
          </w:tcPr>
          <w:p w:rsidR="004A147C" w:rsidRPr="00B53FFB" w:rsidRDefault="004A147C" w:rsidP="00CE5850">
            <w:pPr>
              <w:jc w:val="right"/>
              <w:rPr>
                <w:kern w:val="0"/>
                <w:szCs w:val="22"/>
              </w:rPr>
            </w:pPr>
            <w:r w:rsidRPr="00B53FFB">
              <w:rPr>
                <w:kern w:val="0"/>
                <w:szCs w:val="22"/>
              </w:rPr>
              <w:t>43.8</w:t>
            </w:r>
          </w:p>
        </w:tc>
      </w:tr>
    </w:tbl>
    <w:p w:rsidR="004A147C" w:rsidRPr="006D773A" w:rsidRDefault="004A147C" w:rsidP="00CE5850">
      <w:pPr>
        <w:rPr>
          <w:sz w:val="20"/>
        </w:rPr>
      </w:pPr>
      <w:r w:rsidRPr="006D773A">
        <w:rPr>
          <w:sz w:val="20"/>
        </w:rPr>
        <w:t xml:space="preserve">* Estimates in </w:t>
      </w:r>
      <w:r w:rsidR="00951E9B">
        <w:fldChar w:fldCharType="begin"/>
      </w:r>
      <w:r w:rsidR="00951E9B">
        <w:instrText xml:space="preserve"> REF _Ref340657088  \* MERGEFORMAT </w:instrText>
      </w:r>
      <w:r w:rsidR="00951E9B">
        <w:fldChar w:fldCharType="separate"/>
      </w:r>
      <w:r w:rsidR="00CA3AC6" w:rsidRPr="00CA3AC6">
        <w:rPr>
          <w:bCs/>
          <w:kern w:val="0"/>
          <w:sz w:val="20"/>
        </w:rPr>
        <w:t xml:space="preserve">Table </w:t>
      </w:r>
      <w:r w:rsidR="00CA3AC6" w:rsidRPr="00CA3AC6">
        <w:rPr>
          <w:bCs/>
          <w:noProof/>
          <w:kern w:val="0"/>
          <w:sz w:val="20"/>
        </w:rPr>
        <w:t>18</w:t>
      </w:r>
      <w:r w:rsidR="00951E9B">
        <w:rPr>
          <w:bCs/>
          <w:noProof/>
          <w:kern w:val="0"/>
          <w:sz w:val="20"/>
        </w:rPr>
        <w:fldChar w:fldCharType="end"/>
      </w:r>
      <w:r>
        <w:rPr>
          <w:sz w:val="20"/>
        </w:rPr>
        <w:t xml:space="preserve"> </w:t>
      </w:r>
      <w:r w:rsidR="001D0392" w:rsidRPr="001D0392">
        <w:rPr>
          <w:sz w:val="20"/>
        </w:rPr>
        <w:t>do not include the WCS spectrum that was added to the spectrum screen in December 2012, 5.4 billion MHz-Pops of which is held by AT&amp;T</w:t>
      </w:r>
      <w:r w:rsidR="001D0392">
        <w:rPr>
          <w:sz w:val="20"/>
        </w:rPr>
        <w:t>.</w:t>
      </w:r>
    </w:p>
    <w:p w:rsidR="004A147C" w:rsidRPr="00B53FFB" w:rsidRDefault="004A147C" w:rsidP="00CE5850">
      <w:pPr>
        <w:rPr>
          <w:szCs w:val="22"/>
        </w:rPr>
      </w:pPr>
    </w:p>
    <w:p w:rsidR="004A147C" w:rsidRPr="00B53FFB" w:rsidRDefault="004A147C" w:rsidP="00CE5850">
      <w:pPr>
        <w:spacing w:after="120"/>
        <w:jc w:val="center"/>
        <w:rPr>
          <w:b/>
          <w:bCs/>
          <w:kern w:val="0"/>
          <w:szCs w:val="22"/>
        </w:rPr>
      </w:pPr>
      <w:bookmarkStart w:id="1650" w:name="_Ref341799426"/>
      <w:r w:rsidRPr="00B53FFB">
        <w:rPr>
          <w:b/>
          <w:bCs/>
          <w:kern w:val="0"/>
          <w:szCs w:val="22"/>
        </w:rPr>
        <w:t xml:space="preserve">Chart </w:t>
      </w:r>
      <w:r w:rsidR="0007014B" w:rsidRPr="00B53FFB">
        <w:rPr>
          <w:b/>
          <w:bCs/>
          <w:kern w:val="0"/>
          <w:szCs w:val="22"/>
        </w:rPr>
        <w:fldChar w:fldCharType="begin"/>
      </w:r>
      <w:r w:rsidRPr="00B53FFB">
        <w:rPr>
          <w:b/>
          <w:bCs/>
          <w:kern w:val="0"/>
          <w:szCs w:val="22"/>
        </w:rPr>
        <w:instrText xml:space="preserve"> SEQ Chart \* ARABIC </w:instrText>
      </w:r>
      <w:r w:rsidR="0007014B" w:rsidRPr="00B53FFB">
        <w:rPr>
          <w:b/>
          <w:bCs/>
          <w:kern w:val="0"/>
          <w:szCs w:val="22"/>
        </w:rPr>
        <w:fldChar w:fldCharType="separate"/>
      </w:r>
      <w:r w:rsidR="00CA3AC6">
        <w:rPr>
          <w:b/>
          <w:bCs/>
          <w:noProof/>
          <w:kern w:val="0"/>
          <w:szCs w:val="22"/>
        </w:rPr>
        <w:t>4</w:t>
      </w:r>
      <w:r w:rsidR="0007014B" w:rsidRPr="00B53FFB">
        <w:rPr>
          <w:b/>
          <w:bCs/>
          <w:kern w:val="0"/>
          <w:szCs w:val="22"/>
        </w:rPr>
        <w:fldChar w:fldCharType="end"/>
      </w:r>
      <w:bookmarkEnd w:id="1650"/>
      <w:r w:rsidRPr="00B53FFB">
        <w:rPr>
          <w:b/>
          <w:bCs/>
          <w:kern w:val="0"/>
          <w:szCs w:val="22"/>
        </w:rPr>
        <w:br/>
        <w:t>Mobile Wireless Provider Spectrum Holdings by Band, Weighted by Population</w:t>
      </w:r>
      <w:r w:rsidR="00AD1D6E">
        <w:rPr>
          <w:rStyle w:val="FootnoteReference"/>
          <w:b/>
          <w:bCs/>
          <w:kern w:val="0"/>
          <w:szCs w:val="22"/>
        </w:rPr>
        <w:footnoteReference w:id="400"/>
      </w:r>
    </w:p>
    <w:p w:rsidR="004A147C" w:rsidRPr="00B53FFB" w:rsidRDefault="00C81B24" w:rsidP="00BD4B26">
      <w:pPr>
        <w:jc w:val="center"/>
        <w:rPr>
          <w:szCs w:val="22"/>
        </w:rPr>
      </w:pPr>
      <w:r>
        <w:rPr>
          <w:noProof/>
          <w:szCs w:val="22"/>
        </w:rPr>
        <w:drawing>
          <wp:inline distT="0" distB="0" distL="0" distR="0" wp14:anchorId="0D61A4A5" wp14:editId="75F6059C">
            <wp:extent cx="5067300" cy="3446713"/>
            <wp:effectExtent l="0" t="0" r="0" b="190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068695" cy="3447662"/>
                    </a:xfrm>
                    <a:prstGeom prst="rect">
                      <a:avLst/>
                    </a:prstGeom>
                    <a:noFill/>
                    <a:ln>
                      <a:noFill/>
                    </a:ln>
                  </pic:spPr>
                </pic:pic>
              </a:graphicData>
            </a:graphic>
          </wp:inline>
        </w:drawing>
      </w:r>
    </w:p>
    <w:p w:rsidR="004A147C" w:rsidRPr="00B53FFB" w:rsidRDefault="004A147C" w:rsidP="00CE5850">
      <w:pPr>
        <w:pStyle w:val="Heading3"/>
        <w:keepNext w:val="0"/>
        <w:numPr>
          <w:ilvl w:val="2"/>
          <w:numId w:val="26"/>
        </w:numPr>
        <w:tabs>
          <w:tab w:val="left" w:pos="2160"/>
        </w:tabs>
        <w:rPr>
          <w:sz w:val="22"/>
          <w:szCs w:val="22"/>
        </w:rPr>
      </w:pPr>
      <w:bookmarkStart w:id="1651" w:name="_Toc336268599"/>
      <w:bookmarkStart w:id="1652" w:name="_Toc336268707"/>
      <w:bookmarkStart w:id="1653" w:name="_Toc336268814"/>
      <w:bookmarkStart w:id="1654" w:name="_Toc336269028"/>
      <w:bookmarkStart w:id="1655" w:name="_Toc336269135"/>
      <w:bookmarkStart w:id="1656" w:name="_Toc336269503"/>
      <w:bookmarkStart w:id="1657" w:name="_Toc336269649"/>
      <w:bookmarkStart w:id="1658" w:name="_Toc336270062"/>
      <w:bookmarkStart w:id="1659" w:name="_Toc337651963"/>
      <w:bookmarkStart w:id="1660" w:name="_Toc349577151"/>
      <w:bookmarkStart w:id="1661" w:name="_Toc349579243"/>
      <w:bookmarkStart w:id="1662" w:name="_Toc349580558"/>
      <w:bookmarkStart w:id="1663" w:name="_Toc349734966"/>
      <w:bookmarkStart w:id="1664" w:name="_Toc349742331"/>
      <w:r w:rsidRPr="00B53FFB">
        <w:rPr>
          <w:sz w:val="22"/>
          <w:szCs w:val="22"/>
        </w:rPr>
        <w:t>Analysis of Spectrum Characteristics</w:t>
      </w:r>
      <w:bookmarkEnd w:id="1651"/>
      <w:bookmarkEnd w:id="1652"/>
      <w:bookmarkEnd w:id="1653"/>
      <w:bookmarkEnd w:id="1654"/>
      <w:bookmarkEnd w:id="1655"/>
      <w:bookmarkEnd w:id="1656"/>
      <w:bookmarkEnd w:id="1657"/>
      <w:bookmarkEnd w:id="1658"/>
      <w:bookmarkEnd w:id="1659"/>
      <w:bookmarkEnd w:id="1660"/>
      <w:bookmarkEnd w:id="1661"/>
      <w:bookmarkEnd w:id="1662"/>
      <w:bookmarkEnd w:id="1663"/>
      <w:bookmarkEnd w:id="1664"/>
    </w:p>
    <w:p w:rsidR="004A147C" w:rsidRPr="009836C0" w:rsidRDefault="004A147C" w:rsidP="00CE5850">
      <w:pPr>
        <w:pStyle w:val="ParaNum"/>
        <w:numPr>
          <w:ilvl w:val="0"/>
          <w:numId w:val="28"/>
        </w:numPr>
        <w:rPr>
          <w:sz w:val="22"/>
          <w:szCs w:val="22"/>
        </w:rPr>
      </w:pPr>
      <w:r w:rsidRPr="009836C0">
        <w:rPr>
          <w:sz w:val="22"/>
          <w:szCs w:val="22"/>
        </w:rPr>
        <w:t xml:space="preserve">In addition to considering the quantity of spectrum to which providers have access, we also consider the characteristics of particular spectrum that is available for licensing and assignment.  As discussed below, </w:t>
      </w:r>
      <w:r w:rsidRPr="009836C0">
        <w:rPr>
          <w:color w:val="000000"/>
          <w:sz w:val="22"/>
          <w:szCs w:val="22"/>
        </w:rPr>
        <w:t xml:space="preserve">spectrum bands vary in their propagation characteristics, and service providers may make use of different bands depending on the nature of the service, geography, density, or other factors in their network build-out.  Spectrum below 1 GHz is considered most suitable for establishing base network coverage, especially for rural area and in-building coverage, whereas higher frequencies, which are typically available in wider bandwidths, often can best enable providers to increase capacity where needed, especially to provide higher data rates.  </w:t>
      </w:r>
      <w:r w:rsidRPr="009836C0">
        <w:rPr>
          <w:sz w:val="22"/>
          <w:szCs w:val="22"/>
        </w:rPr>
        <w:t>In particular, providers that obtain coverage by deploying services in below-1-GHz spectrum often use spectrum from 1 GHz through 2.7 GHz for additional capacity, whereas operators who only have access to high frequency spectrum use it for both coverage and capacity.</w:t>
      </w:r>
      <w:r w:rsidRPr="009836C0">
        <w:rPr>
          <w:color w:val="000000"/>
          <w:sz w:val="22"/>
          <w:szCs w:val="22"/>
        </w:rPr>
        <w:t xml:space="preserve">  Thus, as a general matter, a provider is best positioned if it holds complementary spectrum bands, </w:t>
      </w:r>
      <w:r w:rsidRPr="009836C0">
        <w:rPr>
          <w:i/>
          <w:color w:val="000000"/>
          <w:sz w:val="22"/>
          <w:szCs w:val="22"/>
        </w:rPr>
        <w:t xml:space="preserve">i.e., </w:t>
      </w:r>
      <w:r w:rsidRPr="009836C0">
        <w:rPr>
          <w:color w:val="000000"/>
          <w:sz w:val="22"/>
          <w:szCs w:val="22"/>
        </w:rPr>
        <w:t>both higher and lower frequency bands.</w:t>
      </w:r>
      <w:r w:rsidRPr="009836C0">
        <w:rPr>
          <w:sz w:val="22"/>
          <w:szCs w:val="22"/>
        </w:rPr>
        <w:t xml:space="preserve">  In this sense, to a certain degree, higher-frequency spectrum may be made more valuable by being combined with lower-frequency spectrum, and vice versa.  We discuss below the technical differences between spectrum at lower and higher frequencies as well as the spectrum holdings of mobile wireless providers in both lower and higher frequency bands.  </w:t>
      </w:r>
    </w:p>
    <w:p w:rsidR="004A147C" w:rsidRPr="009836C0" w:rsidRDefault="004A147C" w:rsidP="00CE5850">
      <w:pPr>
        <w:pStyle w:val="ParaNum"/>
        <w:numPr>
          <w:ilvl w:val="0"/>
          <w:numId w:val="28"/>
        </w:numPr>
        <w:rPr>
          <w:sz w:val="22"/>
          <w:szCs w:val="22"/>
        </w:rPr>
      </w:pPr>
      <w:r w:rsidRPr="009836C0">
        <w:rPr>
          <w:sz w:val="22"/>
          <w:szCs w:val="22"/>
        </w:rPr>
        <w:t>In the United States, there are frequency bands suitable for mobile broadband services at very different frequencies:  the 700 MHz, SMR, and Cellular bands fall below 1 GHz,</w:t>
      </w:r>
      <w:r w:rsidRPr="009836C0">
        <w:rPr>
          <w:sz w:val="22"/>
          <w:szCs w:val="22"/>
          <w:vertAlign w:val="superscript"/>
        </w:rPr>
        <w:footnoteReference w:id="401"/>
      </w:r>
      <w:r w:rsidRPr="009836C0">
        <w:rPr>
          <w:sz w:val="22"/>
          <w:szCs w:val="22"/>
        </w:rPr>
        <w:t xml:space="preserve"> while the AWS, PCS, BRS, and EBS bands – which run from 1.7 to 2.5 GHz – are above 1 GHz.  The different characteristics of these respective bands affect how providers use them to deliver mobile services to consumers.  Two licensees may hold equal quantities of bandwidth but nevertheless hold very different spectrum assets.  Some commenters note that access to spectrum is important to competition.</w:t>
      </w:r>
      <w:r w:rsidRPr="009836C0">
        <w:rPr>
          <w:sz w:val="22"/>
          <w:szCs w:val="22"/>
          <w:vertAlign w:val="superscript"/>
        </w:rPr>
        <w:footnoteReference w:id="402"/>
      </w:r>
      <w:r w:rsidRPr="009836C0">
        <w:rPr>
          <w:sz w:val="22"/>
          <w:szCs w:val="22"/>
        </w:rPr>
        <w:t xml:space="preserve">    In addition, several parties have commented on the importance of access to spectrum below 1 GHz.</w:t>
      </w:r>
      <w:r w:rsidRPr="009836C0">
        <w:rPr>
          <w:sz w:val="22"/>
          <w:szCs w:val="22"/>
          <w:vertAlign w:val="superscript"/>
        </w:rPr>
        <w:footnoteReference w:id="403"/>
      </w:r>
    </w:p>
    <w:p w:rsidR="004A147C" w:rsidRPr="009836C0" w:rsidRDefault="004A147C" w:rsidP="00CE5850">
      <w:pPr>
        <w:pStyle w:val="ParaNum"/>
        <w:numPr>
          <w:ilvl w:val="0"/>
          <w:numId w:val="28"/>
        </w:numPr>
        <w:rPr>
          <w:sz w:val="22"/>
          <w:szCs w:val="22"/>
        </w:rPr>
      </w:pPr>
      <w:r w:rsidRPr="009836C0">
        <w:rPr>
          <w:sz w:val="22"/>
          <w:szCs w:val="22"/>
        </w:rPr>
        <w:t>As noted above, it is well established that lower frequency bands possess certain more favorable spectrum propagation characteristics than spectrum in higher bands that make them particularly suitable for establishing baseline, or foundational, network coverage.</w:t>
      </w:r>
      <w:r w:rsidRPr="009836C0">
        <w:rPr>
          <w:sz w:val="22"/>
          <w:szCs w:val="22"/>
          <w:vertAlign w:val="superscript"/>
        </w:rPr>
        <w:footnoteReference w:id="404"/>
      </w:r>
      <w:r w:rsidRPr="009836C0">
        <w:rPr>
          <w:sz w:val="22"/>
          <w:szCs w:val="22"/>
        </w:rPr>
        <w:t xml:space="preserve">  In particular, “low-band” spectrum can provide superior coverage both over larger geographic areas, through adverse climates and terrain, and inside buildings and vehicles.</w:t>
      </w:r>
      <w:r w:rsidRPr="009836C0">
        <w:rPr>
          <w:sz w:val="22"/>
          <w:szCs w:val="22"/>
          <w:vertAlign w:val="superscript"/>
        </w:rPr>
        <w:footnoteReference w:id="405"/>
      </w:r>
      <w:r w:rsidRPr="009836C0">
        <w:rPr>
          <w:sz w:val="22"/>
          <w:szCs w:val="22"/>
        </w:rPr>
        <w:t xml:space="preserve">  </w:t>
      </w:r>
    </w:p>
    <w:p w:rsidR="004A147C" w:rsidRPr="009836C0" w:rsidRDefault="004A147C" w:rsidP="00CE5850">
      <w:pPr>
        <w:pStyle w:val="ParaNum"/>
        <w:numPr>
          <w:ilvl w:val="0"/>
          <w:numId w:val="28"/>
        </w:numPr>
        <w:rPr>
          <w:sz w:val="22"/>
          <w:szCs w:val="22"/>
        </w:rPr>
      </w:pPr>
      <w:r w:rsidRPr="009836C0">
        <w:rPr>
          <w:sz w:val="22"/>
          <w:szCs w:val="22"/>
        </w:rPr>
        <w:t>With respect to wide area coverage, the Commission has noted, in particular with respect to 700 MHz band spectrum, that lower frequency spectrum has “excellent propagation” characteristics that, in contrast to higher frequency bands such as PCS and AWS spectrum, “make it ideal for delivering advanced wireless services to rural areas.”</w:t>
      </w:r>
      <w:r w:rsidRPr="009836C0">
        <w:rPr>
          <w:sz w:val="22"/>
          <w:szCs w:val="22"/>
          <w:vertAlign w:val="superscript"/>
        </w:rPr>
        <w:footnoteReference w:id="406"/>
      </w:r>
      <w:r w:rsidRPr="009836C0">
        <w:rPr>
          <w:sz w:val="22"/>
          <w:szCs w:val="22"/>
        </w:rPr>
        <w:t xml:space="preserve">  In addition, certain providers have noted the advantages of lower frequency spectrum for coverage in rural areas.</w:t>
      </w:r>
      <w:r w:rsidRPr="009836C0">
        <w:rPr>
          <w:sz w:val="22"/>
          <w:szCs w:val="22"/>
          <w:vertAlign w:val="superscript"/>
        </w:rPr>
        <w:footnoteReference w:id="407"/>
      </w:r>
      <w:r w:rsidRPr="009836C0">
        <w:rPr>
          <w:sz w:val="22"/>
          <w:szCs w:val="22"/>
        </w:rPr>
        <w:t xml:space="preserve">  Low-band spectrum can provide the same geographic coverage, at a lower cost, than higher-frequency bands, such as the 1.9 GHz PCS band, the 1.7/2.1 GHz AWS band, and the 2.5 GHz band.</w:t>
      </w:r>
      <w:r w:rsidRPr="009836C0">
        <w:rPr>
          <w:sz w:val="22"/>
          <w:szCs w:val="22"/>
          <w:vertAlign w:val="superscript"/>
        </w:rPr>
        <w:footnoteReference w:id="408"/>
      </w:r>
      <w:r w:rsidRPr="009836C0">
        <w:rPr>
          <w:sz w:val="22"/>
          <w:szCs w:val="22"/>
        </w:rPr>
        <w:t xml:space="preserve">  In order to provide equivalent service coverage, a licensee that exclusively or primarily holds spectrum in a higher frequency range generally must construct more cell sites (at additional cost) than a licensee with primary holdings at a lower frequency.  For example, T-Mobile has estimated that build out of 700 MHz spectrum would require approximately 25 to 30 percent of the sites needed to build out a comparable geographic area using AWS-1 spectrum.</w:t>
      </w:r>
      <w:r w:rsidRPr="009836C0">
        <w:rPr>
          <w:sz w:val="22"/>
          <w:szCs w:val="22"/>
          <w:vertAlign w:val="superscript"/>
        </w:rPr>
        <w:footnoteReference w:id="409"/>
      </w:r>
      <w:r w:rsidRPr="009836C0">
        <w:rPr>
          <w:sz w:val="22"/>
          <w:szCs w:val="22"/>
        </w:rPr>
        <w:t xml:space="preserve">  The National Institute of Standards and Technology (NIST) developed a propagation model comparing the 700 MHz, 1.9 GHz, and 2.4 GHz spectrum bands.</w:t>
      </w:r>
      <w:r w:rsidRPr="009836C0">
        <w:rPr>
          <w:sz w:val="22"/>
          <w:szCs w:val="22"/>
          <w:vertAlign w:val="superscript"/>
        </w:rPr>
        <w:footnoteReference w:id="410"/>
      </w:r>
      <w:r w:rsidRPr="009836C0">
        <w:rPr>
          <w:sz w:val="22"/>
          <w:szCs w:val="22"/>
        </w:rPr>
        <w:t xml:space="preserve">  Similarly, an analysis using the Okumura-Hata model shows that rural, suburban, and urban cell sizes at 700 MHz are more than three times larger than cells in the PCS band.</w:t>
      </w:r>
      <w:r w:rsidRPr="009836C0">
        <w:rPr>
          <w:sz w:val="22"/>
          <w:szCs w:val="22"/>
          <w:vertAlign w:val="superscript"/>
        </w:rPr>
        <w:footnoteReference w:id="411"/>
      </w:r>
      <w:r w:rsidRPr="009836C0">
        <w:rPr>
          <w:sz w:val="22"/>
          <w:szCs w:val="22"/>
        </w:rPr>
        <w:t xml:space="preserve">  </w:t>
      </w:r>
    </w:p>
    <w:p w:rsidR="004A147C" w:rsidRPr="009836C0" w:rsidRDefault="004A147C" w:rsidP="00CE5850">
      <w:pPr>
        <w:pStyle w:val="ParaNum"/>
        <w:numPr>
          <w:ilvl w:val="0"/>
          <w:numId w:val="28"/>
        </w:numPr>
        <w:rPr>
          <w:sz w:val="22"/>
          <w:szCs w:val="22"/>
        </w:rPr>
      </w:pPr>
      <w:r w:rsidRPr="009836C0">
        <w:rPr>
          <w:sz w:val="22"/>
          <w:szCs w:val="22"/>
        </w:rPr>
        <w:t>With respect to critical in-building coverage issues, wireless providers such as Verizon Wireless and AT&amp;T have recognized the relative advantages of deploying lower frequency spectrum in urban areas due to its superior in-building coverage characteristics.</w:t>
      </w:r>
      <w:r w:rsidRPr="009836C0">
        <w:rPr>
          <w:sz w:val="22"/>
          <w:szCs w:val="22"/>
          <w:vertAlign w:val="superscript"/>
        </w:rPr>
        <w:footnoteReference w:id="412"/>
      </w:r>
      <w:r w:rsidRPr="009836C0">
        <w:rPr>
          <w:sz w:val="22"/>
          <w:szCs w:val="22"/>
        </w:rPr>
        <w:t xml:space="preserve">  For instance, to improve its network performance in large cities due to subscribers’ increasing usage of smartphones, AT&amp;T put 3G traffic on its 850 MHz Cellular spectrum, which provided comparatively better in-building coverage.</w:t>
      </w:r>
      <w:r w:rsidRPr="009836C0">
        <w:rPr>
          <w:sz w:val="22"/>
          <w:szCs w:val="22"/>
          <w:vertAlign w:val="superscript"/>
        </w:rPr>
        <w:footnoteReference w:id="413"/>
      </w:r>
      <w:r w:rsidRPr="009836C0">
        <w:rPr>
          <w:sz w:val="22"/>
          <w:szCs w:val="22"/>
        </w:rPr>
        <w:t xml:space="preserve">   Verizon Wireless has estimated that spectrum in the 700 MHz and Cellular bands can provide in-building penetration approximately two to three times farther than that of spectrum in the PCS, AWS, and BRS bands.</w:t>
      </w:r>
      <w:r w:rsidRPr="009836C0">
        <w:rPr>
          <w:sz w:val="22"/>
          <w:szCs w:val="22"/>
          <w:vertAlign w:val="superscript"/>
        </w:rPr>
        <w:footnoteReference w:id="414"/>
      </w:r>
    </w:p>
    <w:p w:rsidR="004A147C" w:rsidRPr="009836C0" w:rsidRDefault="004A147C" w:rsidP="00CE5850">
      <w:pPr>
        <w:pStyle w:val="ParaNum"/>
        <w:numPr>
          <w:ilvl w:val="0"/>
          <w:numId w:val="28"/>
        </w:numPr>
        <w:rPr>
          <w:sz w:val="22"/>
          <w:szCs w:val="22"/>
        </w:rPr>
      </w:pPr>
      <w:r w:rsidRPr="009836C0">
        <w:rPr>
          <w:sz w:val="22"/>
          <w:szCs w:val="22"/>
        </w:rPr>
        <w:t>In its consideration of mobile wireless mergers and transactions, both the Commission and the DOJ have both noted the differences between the use of lower and higher frequency bands.</w:t>
      </w:r>
      <w:r w:rsidRPr="009836C0">
        <w:rPr>
          <w:sz w:val="22"/>
          <w:szCs w:val="22"/>
          <w:vertAlign w:val="superscript"/>
        </w:rPr>
        <w:footnoteReference w:id="415"/>
      </w:r>
      <w:r w:rsidRPr="009836C0">
        <w:rPr>
          <w:sz w:val="22"/>
          <w:szCs w:val="22"/>
        </w:rPr>
        <w:t xml:space="preserve">  In 2011, in its review of the competitive effects of the AT&amp;T-Qualcomm transaction, the Commission found that the proposed transaction raised some competitive concerns because post-transaction, AT&amp;T would hold a significant proportion of the available spectrum suitable for the provision of mobile voice or broadband services, particularly below-1 GHz spectrum with “technical attributes important for other competitors to meaningfully expand their provision of mobile broadband services or for new entrants to have a potentially significant impact on competition.”</w:t>
      </w:r>
      <w:r w:rsidRPr="009836C0">
        <w:rPr>
          <w:sz w:val="22"/>
          <w:szCs w:val="22"/>
          <w:vertAlign w:val="superscript"/>
        </w:rPr>
        <w:footnoteReference w:id="416"/>
      </w:r>
      <w:r w:rsidRPr="009836C0">
        <w:rPr>
          <w:sz w:val="22"/>
          <w:szCs w:val="22"/>
        </w:rPr>
        <w:t xml:space="preserve">  Furthermore, some regulators in other countries have recognized the distinctive characteristics between lower and higher frequency bands.  As lower frequency spectrum has become available for mobile services, countries such as Germany and the United Kingdom have adopted policies intended to promote wireless competition, innovation, and investments, as well as broadband deployment in rural areas.</w:t>
      </w:r>
      <w:r w:rsidRPr="009836C0">
        <w:rPr>
          <w:sz w:val="22"/>
          <w:szCs w:val="22"/>
          <w:vertAlign w:val="superscript"/>
        </w:rPr>
        <w:footnoteReference w:id="417"/>
      </w:r>
      <w:r w:rsidRPr="009836C0">
        <w:rPr>
          <w:sz w:val="22"/>
          <w:szCs w:val="22"/>
        </w:rPr>
        <w:t xml:space="preserve"> </w:t>
      </w:r>
    </w:p>
    <w:p w:rsidR="004A147C" w:rsidRPr="009836C0" w:rsidRDefault="004A147C" w:rsidP="00CE5850">
      <w:pPr>
        <w:pStyle w:val="ParaNum"/>
        <w:numPr>
          <w:ilvl w:val="0"/>
          <w:numId w:val="28"/>
        </w:numPr>
        <w:rPr>
          <w:sz w:val="22"/>
          <w:szCs w:val="22"/>
        </w:rPr>
      </w:pPr>
      <w:r w:rsidRPr="009836C0">
        <w:rPr>
          <w:sz w:val="22"/>
          <w:szCs w:val="22"/>
        </w:rPr>
        <w:t>A comparison of spectrum prices in the AWS and 700 MHz spectrum auctions (Auctions 66 and 73, respectively) suggests that providers may have placed a higher value on 700 MHz spectrum, at least in part, because of its relative advantages for coverage and in-building penetration.  Although a number of factors in addition to frequency can affect the prices in a particular auction, including factors unrelated to technical characteristics of the spectrum, both auctions involved large quantities of paired spectrum with similar service rules in a relatively close timeframe, eliminating at least some of the other factors that could reduce the significance of the comparison.  In the 2008 auction of 700 MHz spectrum, the average price for the 700 MHz spectrum was $1.28 per MHz-pop, which was more than twice the average price of $0.54 per MHz-pop for AWS spectrum auctioned in 2006.</w:t>
      </w:r>
      <w:r w:rsidRPr="009836C0">
        <w:rPr>
          <w:sz w:val="22"/>
          <w:szCs w:val="22"/>
          <w:vertAlign w:val="superscript"/>
        </w:rPr>
        <w:footnoteReference w:id="418"/>
      </w:r>
      <w:r w:rsidRPr="009836C0">
        <w:rPr>
          <w:sz w:val="22"/>
          <w:szCs w:val="22"/>
        </w:rPr>
        <w:t xml:space="preserve">   </w:t>
      </w:r>
    </w:p>
    <w:p w:rsidR="004A147C" w:rsidRPr="009836C0" w:rsidRDefault="004A147C" w:rsidP="00CE5850">
      <w:pPr>
        <w:pStyle w:val="ParaNum"/>
        <w:numPr>
          <w:ilvl w:val="0"/>
          <w:numId w:val="28"/>
        </w:numPr>
        <w:rPr>
          <w:sz w:val="22"/>
          <w:szCs w:val="22"/>
        </w:rPr>
      </w:pPr>
      <w:r w:rsidRPr="009836C0">
        <w:rPr>
          <w:sz w:val="22"/>
          <w:szCs w:val="22"/>
        </w:rPr>
        <w:t>Although higher-frequency spectrum does not provide the same level of coverage or in-building penetration as lower-frequency spectrum, in some instances, higher-frequency spectrum may be just as effective, or more effective, for providing significant capacity, or increasing capacity, within smaller geographic areas.</w:t>
      </w:r>
      <w:r w:rsidRPr="009836C0">
        <w:rPr>
          <w:sz w:val="22"/>
          <w:szCs w:val="22"/>
          <w:vertAlign w:val="superscript"/>
        </w:rPr>
        <w:footnoteReference w:id="419"/>
      </w:r>
      <w:r w:rsidRPr="009836C0">
        <w:rPr>
          <w:sz w:val="22"/>
          <w:szCs w:val="22"/>
        </w:rPr>
        <w:t xml:space="preserve">  For instance, AT&amp;T has noted that it cannot be assumed that lower frequency bands will require fewer cells or be more economical to deploy because other factors also affect propagation – including the presence of large buildings in urban areas or other physical impediments.</w:t>
      </w:r>
      <w:r w:rsidRPr="009836C0">
        <w:rPr>
          <w:sz w:val="22"/>
          <w:szCs w:val="22"/>
          <w:vertAlign w:val="superscript"/>
        </w:rPr>
        <w:footnoteReference w:id="420"/>
      </w:r>
      <w:r w:rsidRPr="009836C0">
        <w:rPr>
          <w:sz w:val="22"/>
          <w:szCs w:val="22"/>
        </w:rPr>
        <w:t xml:space="preserve">  In addition, capacity enhancement technologies such as multiple-input and multiple-output (MIMO) may perform better at higher frequencies.</w:t>
      </w:r>
      <w:r w:rsidRPr="009836C0">
        <w:rPr>
          <w:sz w:val="22"/>
          <w:szCs w:val="22"/>
          <w:vertAlign w:val="superscript"/>
        </w:rPr>
        <w:footnoteReference w:id="421"/>
      </w:r>
      <w:r w:rsidRPr="009836C0">
        <w:rPr>
          <w:sz w:val="22"/>
          <w:szCs w:val="22"/>
        </w:rPr>
        <w:t xml:space="preserve">  We also note that while spectral efficiency is the same for all spectrum bands when using a given technology (and bandwidth),</w:t>
      </w:r>
      <w:r w:rsidRPr="009836C0">
        <w:rPr>
          <w:sz w:val="22"/>
          <w:szCs w:val="22"/>
          <w:vertAlign w:val="superscript"/>
        </w:rPr>
        <w:footnoteReference w:id="422"/>
      </w:r>
      <w:r w:rsidRPr="009836C0">
        <w:rPr>
          <w:sz w:val="22"/>
          <w:szCs w:val="22"/>
        </w:rPr>
        <w:t xml:space="preserve"> there currently is significantly more spectrum above 1 GHz that is potentially available for use (as shown by </w:t>
      </w:r>
      <w:r w:rsidR="009836C0" w:rsidRPr="009836C0">
        <w:rPr>
          <w:sz w:val="22"/>
          <w:szCs w:val="22"/>
        </w:rPr>
        <w:fldChar w:fldCharType="begin"/>
      </w:r>
      <w:r w:rsidR="009836C0" w:rsidRPr="009836C0">
        <w:rPr>
          <w:sz w:val="22"/>
          <w:szCs w:val="22"/>
        </w:rPr>
        <w:instrText xml:space="preserve"> REF _Ref347757443  \* MERGEFORMAT </w:instrText>
      </w:r>
      <w:r w:rsidR="009836C0" w:rsidRPr="009836C0">
        <w:rPr>
          <w:sz w:val="22"/>
          <w:szCs w:val="22"/>
        </w:rPr>
        <w:fldChar w:fldCharType="separate"/>
      </w:r>
      <w:r w:rsidR="00CA3AC6" w:rsidRPr="00CA3AC6">
        <w:rPr>
          <w:kern w:val="0"/>
          <w:sz w:val="22"/>
          <w:szCs w:val="22"/>
        </w:rPr>
        <w:t xml:space="preserve">Table </w:t>
      </w:r>
      <w:r w:rsidR="00CA3AC6" w:rsidRPr="00CA3AC6">
        <w:rPr>
          <w:noProof/>
          <w:kern w:val="0"/>
          <w:sz w:val="22"/>
          <w:szCs w:val="22"/>
        </w:rPr>
        <w:t>16</w:t>
      </w:r>
      <w:r w:rsidR="009836C0" w:rsidRPr="009836C0">
        <w:rPr>
          <w:noProof/>
          <w:kern w:val="0"/>
          <w:sz w:val="22"/>
          <w:szCs w:val="22"/>
        </w:rPr>
        <w:fldChar w:fldCharType="end"/>
      </w:r>
      <w:r w:rsidRPr="009836C0">
        <w:rPr>
          <w:sz w:val="22"/>
          <w:szCs w:val="22"/>
        </w:rPr>
        <w:t xml:space="preserve"> above), and, in many parts of these higher bands, spectrum is licensed in larger contiguous blocks.  Larger blocks can enable operators to deploy wider channels and simplify device design.  Thus, higher-frequency spectrum can be ideally suited for providing high capacity where it is needed, such as in high-traffic urban areas.</w:t>
      </w:r>
      <w:r w:rsidRPr="009836C0">
        <w:rPr>
          <w:sz w:val="22"/>
          <w:szCs w:val="22"/>
          <w:vertAlign w:val="superscript"/>
        </w:rPr>
        <w:footnoteReference w:id="423"/>
      </w:r>
      <w:r w:rsidRPr="009836C0">
        <w:rPr>
          <w:sz w:val="22"/>
          <w:szCs w:val="22"/>
        </w:rPr>
        <w:t xml:space="preserve">  </w:t>
      </w:r>
    </w:p>
    <w:p w:rsidR="004A147C" w:rsidRPr="00B53FFB" w:rsidRDefault="004A147C" w:rsidP="00CE5850">
      <w:pPr>
        <w:pStyle w:val="ParaNum"/>
        <w:numPr>
          <w:ilvl w:val="0"/>
          <w:numId w:val="28"/>
        </w:numPr>
        <w:rPr>
          <w:szCs w:val="22"/>
        </w:rPr>
      </w:pPr>
      <w:r w:rsidRPr="009836C0">
        <w:rPr>
          <w:sz w:val="22"/>
          <w:szCs w:val="22"/>
        </w:rPr>
        <w:t>In general, as noted above, because the properties of lower and higher frequency spectrum are complementary, both types of spectrum may be helpful for the development of an effective nationwide competitor that can address both coverage and capacity needs.</w:t>
      </w:r>
      <w:r w:rsidRPr="009836C0">
        <w:rPr>
          <w:sz w:val="22"/>
          <w:szCs w:val="22"/>
          <w:vertAlign w:val="superscript"/>
        </w:rPr>
        <w:footnoteReference w:id="424"/>
      </w:r>
      <w:r w:rsidRPr="009836C0">
        <w:rPr>
          <w:sz w:val="22"/>
          <w:szCs w:val="22"/>
        </w:rPr>
        <w:t xml:space="preserve">  As some observers have noted, a combination of sub-1 GHz and higher frequency spectrum may be optimal.</w:t>
      </w:r>
      <w:r w:rsidRPr="009836C0">
        <w:rPr>
          <w:sz w:val="22"/>
          <w:szCs w:val="22"/>
          <w:vertAlign w:val="superscript"/>
        </w:rPr>
        <w:footnoteReference w:id="425"/>
      </w:r>
      <w:r w:rsidRPr="009836C0">
        <w:rPr>
          <w:sz w:val="22"/>
          <w:szCs w:val="22"/>
        </w:rPr>
        <w:t xml:space="preserve">  For example, low frequency spectrum can be deployed ubiquitously with relatively few cell sites, providing a base layer of coverage that extends to wide areas and complemented with a capacity layer using high frequency spectrum.</w:t>
      </w:r>
      <w:r w:rsidRPr="009836C0">
        <w:rPr>
          <w:sz w:val="22"/>
          <w:szCs w:val="22"/>
          <w:vertAlign w:val="superscript"/>
        </w:rPr>
        <w:footnoteReference w:id="426"/>
      </w:r>
      <w:r w:rsidRPr="009836C0">
        <w:rPr>
          <w:sz w:val="22"/>
          <w:szCs w:val="22"/>
        </w:rPr>
        <w:t xml:space="preserve">    Given these different spectrum characteristics, a licensee’s particular mix of spectrum holdings may affect its ability to provide efficient mobile wireless services.</w:t>
      </w:r>
      <w:r w:rsidRPr="00B53FFB">
        <w:rPr>
          <w:szCs w:val="22"/>
        </w:rPr>
        <w:t xml:space="preserve">  </w:t>
      </w:r>
    </w:p>
    <w:p w:rsidR="004A147C" w:rsidRPr="00B53FFB" w:rsidRDefault="004A147C" w:rsidP="00CE5850">
      <w:pPr>
        <w:numPr>
          <w:ilvl w:val="3"/>
          <w:numId w:val="26"/>
        </w:numPr>
        <w:tabs>
          <w:tab w:val="left" w:pos="2880"/>
        </w:tabs>
        <w:spacing w:after="120"/>
        <w:outlineLvl w:val="3"/>
        <w:rPr>
          <w:b/>
          <w:szCs w:val="22"/>
        </w:rPr>
      </w:pPr>
      <w:r w:rsidRPr="00B53FFB">
        <w:rPr>
          <w:b/>
          <w:szCs w:val="22"/>
        </w:rPr>
        <w:t>Analysis of Spectrum Holdings Below 1 GHz</w:t>
      </w:r>
    </w:p>
    <w:p w:rsidR="004A147C" w:rsidRPr="009836C0" w:rsidRDefault="004A147C" w:rsidP="00CE5850">
      <w:pPr>
        <w:pStyle w:val="ParaNum"/>
        <w:numPr>
          <w:ilvl w:val="0"/>
          <w:numId w:val="28"/>
        </w:numPr>
        <w:rPr>
          <w:sz w:val="22"/>
          <w:szCs w:val="22"/>
        </w:rPr>
      </w:pPr>
      <w:r w:rsidRPr="009836C0">
        <w:rPr>
          <w:sz w:val="22"/>
          <w:szCs w:val="22"/>
        </w:rPr>
        <w:t>Three nationwide providers – Verizon Wireless, AT&amp;T, and Sprint – hold licenses for spectrum below 1 GHz, as do regional providers, such as US Cellular and C Spire, and several smaller companies, many of which have holdings in more rural areas of the country.  T-Mobile, the fourth nationwide provider, holds one Cellular license in South Carolina.</w:t>
      </w:r>
      <w:r w:rsidRPr="009836C0">
        <w:rPr>
          <w:sz w:val="22"/>
          <w:szCs w:val="22"/>
          <w:vertAlign w:val="superscript"/>
        </w:rPr>
        <w:footnoteReference w:id="427"/>
      </w:r>
      <w:r w:rsidRPr="009836C0">
        <w:rPr>
          <w:sz w:val="22"/>
          <w:szCs w:val="22"/>
        </w:rPr>
        <w:t xml:space="preserve">   </w:t>
      </w:r>
    </w:p>
    <w:p w:rsidR="004A147C" w:rsidRPr="00B53FFB" w:rsidRDefault="004A147C" w:rsidP="00CE5850">
      <w:pPr>
        <w:pStyle w:val="ParaNum"/>
        <w:numPr>
          <w:ilvl w:val="0"/>
          <w:numId w:val="28"/>
        </w:numPr>
        <w:rPr>
          <w:szCs w:val="22"/>
        </w:rPr>
      </w:pPr>
      <w:r w:rsidRPr="009836C0">
        <w:rPr>
          <w:sz w:val="22"/>
          <w:szCs w:val="22"/>
        </w:rPr>
        <w:t xml:space="preserve">Of the sub-1 GHz spectrum, Verizon Wireless and AT&amp;T each hold a significant amount of the available Cellular and 700 MHz spectrum.  Specifically, when measured on a licensed MHz-POP basis, Verizon Wireless holds 48.1 percent of the Cellular spectrum and 42 percent of the 700 MHz spectrum, while AT&amp;T holds 43.6 percent of the Cellular spectrum and 35.9 percent of the 700 MHz band spectrum.  Adding these two bands together, Verizon Wireless holds approximately 45 percent of the licensed MHz-POPs of the combined Cellular and 700 MHz band spectrum, while AT&amp;T holds approximately 39 percent.  US Cellular holds approximately 3 percent of these bands.   Several other, smaller providers’ combined holdings total approximately four percent of the Cellular and 18 percent of the 700 MHz spectrum.  Sprint Nextel holds approximately 97 percent of the SMR spectrum.  </w:t>
      </w:r>
      <w:r w:rsidRPr="00B53FFB">
        <w:rPr>
          <w:szCs w:val="22"/>
        </w:rPr>
        <w:t xml:space="preserve">  </w:t>
      </w:r>
    </w:p>
    <w:p w:rsidR="004A147C" w:rsidRPr="00B53FFB" w:rsidRDefault="004A147C" w:rsidP="00CE5850">
      <w:pPr>
        <w:numPr>
          <w:ilvl w:val="3"/>
          <w:numId w:val="26"/>
        </w:numPr>
        <w:tabs>
          <w:tab w:val="left" w:pos="2880"/>
        </w:tabs>
        <w:spacing w:after="120"/>
        <w:outlineLvl w:val="3"/>
        <w:rPr>
          <w:b/>
          <w:szCs w:val="22"/>
        </w:rPr>
      </w:pPr>
      <w:r w:rsidRPr="00B53FFB">
        <w:rPr>
          <w:b/>
          <w:szCs w:val="22"/>
        </w:rPr>
        <w:t>Analysis of Spectrum Holdings Above 1 GHz</w:t>
      </w:r>
    </w:p>
    <w:p w:rsidR="004A147C" w:rsidRPr="009836C0" w:rsidRDefault="004A147C" w:rsidP="00CE5850">
      <w:pPr>
        <w:pStyle w:val="ParaNum"/>
        <w:numPr>
          <w:ilvl w:val="0"/>
          <w:numId w:val="28"/>
        </w:numPr>
        <w:rPr>
          <w:sz w:val="22"/>
          <w:szCs w:val="22"/>
        </w:rPr>
      </w:pPr>
      <w:r w:rsidRPr="009836C0">
        <w:rPr>
          <w:sz w:val="22"/>
          <w:szCs w:val="22"/>
        </w:rPr>
        <w:t>All four nationwide providers hold spectrum above 1 GHz.  Verizon Wireless, AT&amp;T, and T-Mobile each hold a substantial number of PCS and AWS licenses, while Sprint holds significant amounts of PCS spectrum.  In the PCS and AWS spectrum bands, no licensee holds more than 26 percent of the combined MHz-POPs for those two bands, with T-Mobile holding the most.  Of the PCS and AWS spectrum held by nationwide providers, again based on MHz-POPs:  Verizon Wireless holds approximately 15.7 percent of the PCS and 35.5 percent of the AWS spectrum; AT&amp;T holds around 26.4 percent of the PCS and 6.2 percent of the AWS spectrum; Sprint holds approximately 27.1 percent of the PCS and none of the AWS; and T-Mobile holds approximately 19.5 percent of the PCS and approximately 34.6 percent of the AWS.  US Cellular, MetroPCS, and Leap each hold some PCS and AWS spectrum, with MetroPCS and Leap holding a somewhat higher percentage, relative to their PCS holdings, of the AWS spectrum.  Other, smaller providers hold 4.2 percent of the PCS spectrum and 9 percent of the AWS spectrum.   Finally, as noted above, Clearwire, in which Sprint holds a significant ownership interest, holds a predominant amount of 2.5 GHz spectrum, comprised of the BRS and EBS bands, which is the highest frequency band potentially usable for the provision of mobile broadband service.</w:t>
      </w:r>
      <w:r w:rsidRPr="009836C0">
        <w:rPr>
          <w:rStyle w:val="FootnoteReference"/>
          <w:szCs w:val="22"/>
        </w:rPr>
        <w:footnoteReference w:id="428"/>
      </w:r>
      <w:r w:rsidRPr="009836C0">
        <w:rPr>
          <w:sz w:val="22"/>
          <w:szCs w:val="22"/>
        </w:rPr>
        <w:t xml:space="preserve">   </w:t>
      </w:r>
    </w:p>
    <w:p w:rsidR="004A147C" w:rsidRPr="00B53FFB" w:rsidRDefault="004A147C" w:rsidP="00CE5850">
      <w:pPr>
        <w:numPr>
          <w:ilvl w:val="3"/>
          <w:numId w:val="26"/>
        </w:numPr>
        <w:tabs>
          <w:tab w:val="left" w:pos="2880"/>
        </w:tabs>
        <w:spacing w:after="120"/>
        <w:outlineLvl w:val="3"/>
        <w:rPr>
          <w:b/>
          <w:szCs w:val="22"/>
        </w:rPr>
      </w:pPr>
      <w:r w:rsidRPr="00B53FFB">
        <w:rPr>
          <w:b/>
          <w:szCs w:val="22"/>
        </w:rPr>
        <w:t>Distribution of Holdings Below and Above 1 GHz</w:t>
      </w:r>
    </w:p>
    <w:p w:rsidR="004A147C" w:rsidRPr="009836C0" w:rsidRDefault="004A147C" w:rsidP="00CE5850">
      <w:pPr>
        <w:pStyle w:val="ParaNum"/>
        <w:numPr>
          <w:ilvl w:val="0"/>
          <w:numId w:val="28"/>
        </w:numPr>
        <w:rPr>
          <w:sz w:val="22"/>
          <w:szCs w:val="22"/>
        </w:rPr>
      </w:pPr>
      <w:r w:rsidRPr="009836C0">
        <w:rPr>
          <w:sz w:val="22"/>
          <w:szCs w:val="22"/>
        </w:rPr>
        <w:t>The following chart shows the spectrum holdings of nationwide wireless providers by frequency.  It provides a side-by-side comparison of each licensee’s holdings – in terms of total population-weighted average megahertz – under 1 GHz, between 1 and 2 GHz, and above 2.5 GHz.</w:t>
      </w:r>
      <w:r w:rsidR="0044381D" w:rsidRPr="009836C0">
        <w:rPr>
          <w:rStyle w:val="FootnoteReference"/>
          <w:szCs w:val="22"/>
        </w:rPr>
        <w:footnoteReference w:id="429"/>
      </w:r>
    </w:p>
    <w:p w:rsidR="004A147C" w:rsidRDefault="004A147C" w:rsidP="00CE5850">
      <w:pPr>
        <w:spacing w:after="120"/>
        <w:jc w:val="center"/>
        <w:rPr>
          <w:b/>
          <w:bCs/>
          <w:kern w:val="0"/>
          <w:szCs w:val="22"/>
        </w:rPr>
      </w:pPr>
      <w:bookmarkStart w:id="1665" w:name="_Ref341799774"/>
      <w:r w:rsidRPr="00B53FFB">
        <w:rPr>
          <w:b/>
          <w:bCs/>
          <w:kern w:val="0"/>
          <w:szCs w:val="22"/>
        </w:rPr>
        <w:t xml:space="preserve">Chart </w:t>
      </w:r>
      <w:r w:rsidR="0007014B" w:rsidRPr="00B53FFB">
        <w:rPr>
          <w:b/>
          <w:bCs/>
          <w:kern w:val="0"/>
          <w:szCs w:val="22"/>
        </w:rPr>
        <w:fldChar w:fldCharType="begin"/>
      </w:r>
      <w:r w:rsidRPr="00B53FFB">
        <w:rPr>
          <w:b/>
          <w:bCs/>
          <w:kern w:val="0"/>
          <w:szCs w:val="22"/>
        </w:rPr>
        <w:instrText xml:space="preserve"> SEQ Chart \* ARABIC </w:instrText>
      </w:r>
      <w:r w:rsidR="0007014B" w:rsidRPr="00B53FFB">
        <w:rPr>
          <w:b/>
          <w:bCs/>
          <w:kern w:val="0"/>
          <w:szCs w:val="22"/>
        </w:rPr>
        <w:fldChar w:fldCharType="separate"/>
      </w:r>
      <w:r w:rsidR="00CA3AC6">
        <w:rPr>
          <w:b/>
          <w:bCs/>
          <w:noProof/>
          <w:kern w:val="0"/>
          <w:szCs w:val="22"/>
        </w:rPr>
        <w:t>5</w:t>
      </w:r>
      <w:r w:rsidR="0007014B" w:rsidRPr="00B53FFB">
        <w:rPr>
          <w:b/>
          <w:bCs/>
          <w:kern w:val="0"/>
          <w:szCs w:val="22"/>
        </w:rPr>
        <w:fldChar w:fldCharType="end"/>
      </w:r>
      <w:bookmarkEnd w:id="1665"/>
      <w:r w:rsidRPr="00B53FFB">
        <w:rPr>
          <w:b/>
          <w:bCs/>
          <w:kern w:val="0"/>
          <w:szCs w:val="22"/>
        </w:rPr>
        <w:br/>
        <w:t>Population-Weighted Average Megahertz Under/Over 1 GHz*</w:t>
      </w:r>
    </w:p>
    <w:p w:rsidR="004A147C" w:rsidRDefault="00C81B24" w:rsidP="00CE5850">
      <w:pPr>
        <w:spacing w:after="120"/>
        <w:jc w:val="center"/>
        <w:rPr>
          <w:b/>
          <w:bCs/>
          <w:kern w:val="0"/>
          <w:szCs w:val="22"/>
        </w:rPr>
      </w:pPr>
      <w:r>
        <w:rPr>
          <w:noProof/>
          <w:color w:val="000000"/>
          <w:szCs w:val="22"/>
        </w:rPr>
        <w:drawing>
          <wp:inline distT="0" distB="0" distL="0" distR="0" wp14:anchorId="7A42304C" wp14:editId="5843D2C3">
            <wp:extent cx="5657850" cy="3733800"/>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657850" cy="3733800"/>
                    </a:xfrm>
                    <a:prstGeom prst="rect">
                      <a:avLst/>
                    </a:prstGeom>
                    <a:noFill/>
                    <a:ln>
                      <a:noFill/>
                    </a:ln>
                  </pic:spPr>
                </pic:pic>
              </a:graphicData>
            </a:graphic>
          </wp:inline>
        </w:drawing>
      </w:r>
    </w:p>
    <w:p w:rsidR="004A147C" w:rsidRPr="00B53FFB" w:rsidRDefault="004A147C" w:rsidP="00CE5850">
      <w:pPr>
        <w:numPr>
          <w:ilvl w:val="3"/>
          <w:numId w:val="26"/>
        </w:numPr>
        <w:tabs>
          <w:tab w:val="left" w:pos="2880"/>
        </w:tabs>
        <w:spacing w:after="120"/>
        <w:outlineLvl w:val="3"/>
        <w:rPr>
          <w:b/>
          <w:szCs w:val="22"/>
        </w:rPr>
      </w:pPr>
      <w:r w:rsidRPr="00B53FFB">
        <w:rPr>
          <w:b/>
          <w:szCs w:val="22"/>
        </w:rPr>
        <w:t>Distribution of Holdings by Population Density</w:t>
      </w:r>
    </w:p>
    <w:p w:rsidR="004A147C" w:rsidRDefault="004A147C" w:rsidP="00CE5850">
      <w:pPr>
        <w:pStyle w:val="ParaNum"/>
        <w:numPr>
          <w:ilvl w:val="0"/>
          <w:numId w:val="28"/>
        </w:numPr>
        <w:rPr>
          <w:sz w:val="22"/>
          <w:szCs w:val="22"/>
        </w:rPr>
      </w:pPr>
      <w:r w:rsidRPr="009836C0">
        <w:rPr>
          <w:sz w:val="22"/>
          <w:szCs w:val="22"/>
        </w:rPr>
        <w:t>The following Chart shows how spectrum is nationally distributed by population density.  Generally, as the population density decreases, the under-1 GHz spectrum holdings of the large providers decrease, and those of regional and smaller companies increase.</w:t>
      </w:r>
    </w:p>
    <w:p w:rsidR="00786EE0" w:rsidRDefault="00786EE0" w:rsidP="00786EE0">
      <w:pPr>
        <w:pStyle w:val="ParaNum"/>
        <w:tabs>
          <w:tab w:val="clear" w:pos="1440"/>
        </w:tabs>
        <w:rPr>
          <w:sz w:val="22"/>
          <w:szCs w:val="22"/>
        </w:rPr>
      </w:pPr>
    </w:p>
    <w:p w:rsidR="00786EE0" w:rsidRDefault="00786EE0" w:rsidP="00786EE0">
      <w:pPr>
        <w:pStyle w:val="ParaNum"/>
        <w:tabs>
          <w:tab w:val="clear" w:pos="1440"/>
        </w:tabs>
        <w:rPr>
          <w:sz w:val="22"/>
          <w:szCs w:val="22"/>
        </w:rPr>
      </w:pPr>
    </w:p>
    <w:p w:rsidR="00786EE0" w:rsidRDefault="00786EE0" w:rsidP="00786EE0">
      <w:pPr>
        <w:pStyle w:val="ParaNum"/>
        <w:tabs>
          <w:tab w:val="clear" w:pos="1440"/>
        </w:tabs>
        <w:rPr>
          <w:sz w:val="22"/>
          <w:szCs w:val="22"/>
        </w:rPr>
      </w:pPr>
    </w:p>
    <w:p w:rsidR="00786EE0" w:rsidRDefault="00786EE0" w:rsidP="00786EE0">
      <w:pPr>
        <w:pStyle w:val="ParaNum"/>
        <w:tabs>
          <w:tab w:val="clear" w:pos="1440"/>
        </w:tabs>
        <w:rPr>
          <w:sz w:val="22"/>
          <w:szCs w:val="22"/>
        </w:rPr>
      </w:pPr>
    </w:p>
    <w:p w:rsidR="00786EE0" w:rsidRDefault="00786EE0" w:rsidP="00786EE0">
      <w:pPr>
        <w:pStyle w:val="ParaNum"/>
        <w:tabs>
          <w:tab w:val="clear" w:pos="1440"/>
        </w:tabs>
        <w:rPr>
          <w:sz w:val="22"/>
          <w:szCs w:val="22"/>
        </w:rPr>
      </w:pPr>
    </w:p>
    <w:p w:rsidR="00786EE0" w:rsidRDefault="00786EE0" w:rsidP="00786EE0">
      <w:pPr>
        <w:pStyle w:val="ParaNum"/>
        <w:tabs>
          <w:tab w:val="clear" w:pos="1440"/>
        </w:tabs>
        <w:rPr>
          <w:sz w:val="22"/>
          <w:szCs w:val="22"/>
        </w:rPr>
      </w:pPr>
    </w:p>
    <w:p w:rsidR="00786EE0" w:rsidRPr="009836C0" w:rsidRDefault="00786EE0" w:rsidP="00786EE0">
      <w:pPr>
        <w:pStyle w:val="ParaNum"/>
        <w:tabs>
          <w:tab w:val="clear" w:pos="1440"/>
        </w:tabs>
        <w:rPr>
          <w:sz w:val="22"/>
          <w:szCs w:val="22"/>
        </w:rPr>
      </w:pPr>
    </w:p>
    <w:p w:rsidR="004A147C" w:rsidRPr="00B53FFB" w:rsidRDefault="004A147C" w:rsidP="00CE5850">
      <w:pPr>
        <w:spacing w:before="120" w:after="120"/>
        <w:jc w:val="center"/>
        <w:rPr>
          <w:b/>
          <w:bCs/>
          <w:kern w:val="0"/>
          <w:szCs w:val="22"/>
        </w:rPr>
      </w:pPr>
      <w:bookmarkStart w:id="1666" w:name="_Ref341799857"/>
      <w:r w:rsidRPr="00B53FFB">
        <w:rPr>
          <w:b/>
          <w:bCs/>
          <w:kern w:val="0"/>
          <w:szCs w:val="22"/>
        </w:rPr>
        <w:t xml:space="preserve">Chart </w:t>
      </w:r>
      <w:r w:rsidR="0007014B" w:rsidRPr="00B53FFB">
        <w:rPr>
          <w:b/>
          <w:bCs/>
          <w:kern w:val="0"/>
          <w:szCs w:val="22"/>
        </w:rPr>
        <w:fldChar w:fldCharType="begin"/>
      </w:r>
      <w:r w:rsidRPr="00B53FFB">
        <w:rPr>
          <w:b/>
          <w:bCs/>
          <w:kern w:val="0"/>
          <w:szCs w:val="22"/>
        </w:rPr>
        <w:instrText xml:space="preserve"> SEQ Chart \* ARABIC </w:instrText>
      </w:r>
      <w:r w:rsidR="0007014B" w:rsidRPr="00B53FFB">
        <w:rPr>
          <w:b/>
          <w:bCs/>
          <w:kern w:val="0"/>
          <w:szCs w:val="22"/>
        </w:rPr>
        <w:fldChar w:fldCharType="separate"/>
      </w:r>
      <w:r w:rsidR="00CA3AC6">
        <w:rPr>
          <w:b/>
          <w:bCs/>
          <w:noProof/>
          <w:kern w:val="0"/>
          <w:szCs w:val="22"/>
        </w:rPr>
        <w:t>6</w:t>
      </w:r>
      <w:r w:rsidR="0007014B" w:rsidRPr="00B53FFB">
        <w:rPr>
          <w:b/>
          <w:bCs/>
          <w:kern w:val="0"/>
          <w:szCs w:val="22"/>
        </w:rPr>
        <w:fldChar w:fldCharType="end"/>
      </w:r>
      <w:bookmarkEnd w:id="1666"/>
      <w:r w:rsidRPr="00B53FFB">
        <w:rPr>
          <w:b/>
          <w:bCs/>
          <w:kern w:val="0"/>
          <w:szCs w:val="22"/>
        </w:rPr>
        <w:br/>
        <w:t>Average Under-1 GHz Spectrum by Population Density Deciles</w:t>
      </w:r>
    </w:p>
    <w:p w:rsidR="004A147C" w:rsidRPr="00B53FFB" w:rsidRDefault="00C81B24" w:rsidP="00CE5850">
      <w:pPr>
        <w:tabs>
          <w:tab w:val="num" w:pos="1440"/>
        </w:tabs>
        <w:spacing w:after="120"/>
        <w:jc w:val="center"/>
        <w:rPr>
          <w:szCs w:val="22"/>
        </w:rPr>
      </w:pPr>
      <w:r>
        <w:rPr>
          <w:noProof/>
          <w:szCs w:val="22"/>
        </w:rPr>
        <w:drawing>
          <wp:inline distT="0" distB="0" distL="0" distR="0" wp14:anchorId="3CF9661F" wp14:editId="46CF8096">
            <wp:extent cx="5581650" cy="3800475"/>
            <wp:effectExtent l="0" t="0" r="0" b="952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581650" cy="3800475"/>
                    </a:xfrm>
                    <a:prstGeom prst="rect">
                      <a:avLst/>
                    </a:prstGeom>
                    <a:noFill/>
                    <a:ln>
                      <a:noFill/>
                    </a:ln>
                  </pic:spPr>
                </pic:pic>
              </a:graphicData>
            </a:graphic>
          </wp:inline>
        </w:drawing>
      </w:r>
    </w:p>
    <w:p w:rsidR="004A147C" w:rsidRPr="00B53FFB" w:rsidRDefault="004A147C" w:rsidP="00CE5850">
      <w:pPr>
        <w:pStyle w:val="Heading3"/>
        <w:keepNext w:val="0"/>
        <w:numPr>
          <w:ilvl w:val="2"/>
          <w:numId w:val="26"/>
        </w:numPr>
        <w:tabs>
          <w:tab w:val="left" w:pos="2160"/>
        </w:tabs>
        <w:rPr>
          <w:sz w:val="22"/>
          <w:szCs w:val="22"/>
        </w:rPr>
      </w:pPr>
      <w:bookmarkStart w:id="1667" w:name="_Toc336268600"/>
      <w:bookmarkStart w:id="1668" w:name="_Toc336268708"/>
      <w:bookmarkStart w:id="1669" w:name="_Toc336268815"/>
      <w:bookmarkStart w:id="1670" w:name="_Toc336269029"/>
      <w:bookmarkStart w:id="1671" w:name="_Toc336269136"/>
      <w:bookmarkStart w:id="1672" w:name="_Toc336269504"/>
      <w:bookmarkStart w:id="1673" w:name="_Toc336269650"/>
      <w:bookmarkStart w:id="1674" w:name="_Toc336270063"/>
      <w:bookmarkStart w:id="1675" w:name="_Toc337651964"/>
      <w:bookmarkStart w:id="1676" w:name="_Toc349577152"/>
      <w:bookmarkStart w:id="1677" w:name="_Toc349579244"/>
      <w:bookmarkStart w:id="1678" w:name="_Toc349580559"/>
      <w:bookmarkStart w:id="1679" w:name="_Toc349734967"/>
      <w:bookmarkStart w:id="1680" w:name="_Toc349742332"/>
      <w:r w:rsidRPr="00B53FFB">
        <w:rPr>
          <w:sz w:val="22"/>
          <w:szCs w:val="22"/>
        </w:rPr>
        <w:t>Competitive Effects of Spectrum Holdings</w:t>
      </w:r>
      <w:bookmarkEnd w:id="1667"/>
      <w:bookmarkEnd w:id="1668"/>
      <w:bookmarkEnd w:id="1669"/>
      <w:bookmarkEnd w:id="1670"/>
      <w:bookmarkEnd w:id="1671"/>
      <w:bookmarkEnd w:id="1672"/>
      <w:bookmarkEnd w:id="1673"/>
      <w:bookmarkEnd w:id="1674"/>
      <w:bookmarkEnd w:id="1675"/>
      <w:bookmarkEnd w:id="1676"/>
      <w:bookmarkEnd w:id="1677"/>
      <w:bookmarkEnd w:id="1678"/>
      <w:bookmarkEnd w:id="1679"/>
      <w:bookmarkEnd w:id="1680"/>
      <w:r w:rsidRPr="00B53FFB">
        <w:rPr>
          <w:sz w:val="22"/>
          <w:szCs w:val="22"/>
        </w:rPr>
        <w:t xml:space="preserve"> </w:t>
      </w:r>
    </w:p>
    <w:p w:rsidR="004A147C" w:rsidRPr="00F91267" w:rsidRDefault="004A147C" w:rsidP="00CE5850">
      <w:pPr>
        <w:pStyle w:val="ParaNum"/>
        <w:numPr>
          <w:ilvl w:val="0"/>
          <w:numId w:val="28"/>
        </w:numPr>
        <w:rPr>
          <w:sz w:val="22"/>
          <w:szCs w:val="22"/>
        </w:rPr>
      </w:pPr>
      <w:r w:rsidRPr="00F91267">
        <w:rPr>
          <w:sz w:val="22"/>
          <w:szCs w:val="22"/>
        </w:rPr>
        <w:t xml:space="preserve">The Commission’s competition policies with respect to spectrum holdings have been developed with the goal of preserving competitive opportunities in the mobile wireless marketplace while retaining incentives for efficiency and innovation.  Its policies have evolved over the years as more and more spectrum has been made available for mobile services.  These policies have also changed as the marketplace changes and technology evolves.  </w:t>
      </w:r>
    </w:p>
    <w:p w:rsidR="004A147C" w:rsidRPr="00F91267" w:rsidRDefault="004A147C" w:rsidP="00CE5850">
      <w:pPr>
        <w:pStyle w:val="ParaNum"/>
        <w:numPr>
          <w:ilvl w:val="0"/>
          <w:numId w:val="28"/>
        </w:numPr>
        <w:rPr>
          <w:sz w:val="22"/>
          <w:szCs w:val="22"/>
        </w:rPr>
      </w:pPr>
      <w:r w:rsidRPr="00F91267">
        <w:rPr>
          <w:sz w:val="22"/>
          <w:szCs w:val="22"/>
        </w:rPr>
        <w:t xml:space="preserve">The CMRS marketplace in 1995, when the </w:t>
      </w:r>
      <w:r w:rsidRPr="00F91267">
        <w:rPr>
          <w:i/>
          <w:sz w:val="22"/>
          <w:szCs w:val="22"/>
        </w:rPr>
        <w:t>First Report</w:t>
      </w:r>
      <w:r w:rsidRPr="00F91267">
        <w:rPr>
          <w:sz w:val="22"/>
          <w:szCs w:val="22"/>
        </w:rPr>
        <w:t xml:space="preserve"> was issued, was very different from today’s mobile wireless marketplace.  Until 2007, the Commission’s competition policies concerning the spectrum input market for mobile services focused on spectrum associated with three frequency bands – Cellular, SMR, and broadband PCS.  These were the specific frequency bands that, until that time, the Commission had determined to be spectrum “suitable” for the provision of mobile services in the relevant product market, which the Commission had defined as the product market for “mobile telephony” services.</w:t>
      </w:r>
      <w:r w:rsidRPr="00F91267">
        <w:rPr>
          <w:sz w:val="22"/>
          <w:szCs w:val="22"/>
          <w:vertAlign w:val="superscript"/>
        </w:rPr>
        <w:footnoteReference w:id="430"/>
      </w:r>
      <w:r w:rsidRPr="00F91267">
        <w:rPr>
          <w:sz w:val="22"/>
          <w:szCs w:val="22"/>
        </w:rPr>
        <w:t xml:space="preserve">  For purposes of its competitive analysis, the Commission has evaluated whether particular spectrum bands are  “suitable” for mobile wireless services by determining whether the spectrum is capable of supporting mobile services given its physical properties and the state of the equipment technology, whether the spectrum is licensed with a mobile allocation and corresponding service rules, and whether the spectrum is committed to another use that effectively precludes its uses for mobile telephony.</w:t>
      </w:r>
      <w:r w:rsidRPr="00F91267">
        <w:rPr>
          <w:sz w:val="22"/>
          <w:szCs w:val="22"/>
          <w:vertAlign w:val="superscript"/>
        </w:rPr>
        <w:footnoteReference w:id="431"/>
      </w:r>
      <w:r w:rsidRPr="00F91267">
        <w:rPr>
          <w:sz w:val="22"/>
          <w:szCs w:val="22"/>
        </w:rPr>
        <w:t xml:space="preserve">  Since the Commission first began applying a “spectrum screen” as part of its competitive analysis, it has determined that additional spectrum should be part of its spectrum input analysis – including 700 MHz,</w:t>
      </w:r>
      <w:r w:rsidRPr="00F91267">
        <w:rPr>
          <w:sz w:val="22"/>
          <w:szCs w:val="22"/>
          <w:vertAlign w:val="superscript"/>
        </w:rPr>
        <w:footnoteReference w:id="432"/>
      </w:r>
      <w:r w:rsidRPr="00F91267">
        <w:rPr>
          <w:sz w:val="22"/>
          <w:szCs w:val="22"/>
        </w:rPr>
        <w:t xml:space="preserve"> AWS, and BRS spectrum</w:t>
      </w:r>
      <w:r w:rsidRPr="00F91267">
        <w:rPr>
          <w:sz w:val="22"/>
          <w:szCs w:val="22"/>
          <w:vertAlign w:val="superscript"/>
        </w:rPr>
        <w:footnoteReference w:id="433"/>
      </w:r>
      <w:r w:rsidRPr="00F91267">
        <w:rPr>
          <w:sz w:val="22"/>
          <w:szCs w:val="22"/>
        </w:rPr>
        <w:t xml:space="preserve"> – and periodically has modified the spectrum screen as more spectrum has become available.</w:t>
      </w:r>
      <w:r w:rsidRPr="00F91267">
        <w:rPr>
          <w:sz w:val="22"/>
          <w:szCs w:val="22"/>
          <w:vertAlign w:val="superscript"/>
        </w:rPr>
        <w:footnoteReference w:id="434"/>
      </w:r>
      <w:r w:rsidRPr="00F91267">
        <w:rPr>
          <w:sz w:val="22"/>
          <w:szCs w:val="22"/>
        </w:rPr>
        <w:t xml:space="preserve">  The Commission also has recognized that the mobile services marketplace – including the product market – has evolved.  In 2008, the Commission revised its competition policies, no longer limiting its competitive analysis to examination of the mobile telephony product market.  Given the increasing prevalence of mobile broadband services, the Commission began examining a combined product market for both mobile telephony services and mobile broadband services.</w:t>
      </w:r>
      <w:r w:rsidRPr="00F91267">
        <w:rPr>
          <w:sz w:val="22"/>
          <w:szCs w:val="22"/>
          <w:vertAlign w:val="superscript"/>
        </w:rPr>
        <w:footnoteReference w:id="435"/>
      </w:r>
      <w:r w:rsidRPr="00F91267">
        <w:rPr>
          <w:sz w:val="22"/>
          <w:szCs w:val="22"/>
        </w:rPr>
        <w:t xml:space="preserve">  Finally, we note that the Commission recently initiated a </w:t>
      </w:r>
      <w:r w:rsidRPr="00F91267">
        <w:rPr>
          <w:i/>
          <w:sz w:val="22"/>
          <w:szCs w:val="22"/>
        </w:rPr>
        <w:t xml:space="preserve">Mobile Spectrum Holdings </w:t>
      </w:r>
      <w:r w:rsidRPr="00F91267">
        <w:rPr>
          <w:sz w:val="22"/>
          <w:szCs w:val="22"/>
        </w:rPr>
        <w:t>rulemaking proceeding, in which it has sought comment on the factors it should use to determine whether particular spectrum bands are suitable and available for purposes of evaluating spectrum concentration, as well as which specific spectrum bands should be included in the analysis.</w:t>
      </w:r>
      <w:r w:rsidRPr="00F91267">
        <w:rPr>
          <w:rStyle w:val="FootnoteReference"/>
          <w:szCs w:val="22"/>
        </w:rPr>
        <w:footnoteReference w:id="436"/>
      </w:r>
    </w:p>
    <w:p w:rsidR="004A147C" w:rsidRPr="00F91267" w:rsidRDefault="004A147C" w:rsidP="00CE5850">
      <w:pPr>
        <w:pStyle w:val="ParaNum"/>
        <w:numPr>
          <w:ilvl w:val="0"/>
          <w:numId w:val="28"/>
        </w:numPr>
        <w:rPr>
          <w:sz w:val="22"/>
          <w:szCs w:val="22"/>
        </w:rPr>
      </w:pPr>
      <w:r w:rsidRPr="00F91267">
        <w:rPr>
          <w:sz w:val="22"/>
          <w:szCs w:val="22"/>
        </w:rPr>
        <w:t>As discussed above, spectrum resources in different frequency bands have distinguishing features that can make some frequency bands more valuable or better suited for particular purposes.  From a competitive perspective, given these complementary characteristics, a provider is best positioned if it holds both low and higher frequency spectrum.  Holding a mix of frequency ranges may be optimal from the perspective of providing the greatest service quality at low cost</w:t>
      </w:r>
      <w:r w:rsidRPr="00F91267">
        <w:rPr>
          <w:b/>
          <w:sz w:val="22"/>
          <w:szCs w:val="22"/>
        </w:rPr>
        <w:t xml:space="preserve">. </w:t>
      </w:r>
      <w:r w:rsidRPr="00F91267">
        <w:rPr>
          <w:sz w:val="22"/>
          <w:szCs w:val="22"/>
        </w:rPr>
        <w:t xml:space="preserve"> For instance, given the superior propagation characteristics of spectrum under 1 GHz, particularly for providing coverage in rural areas and inside buildings, providers whose spectrum assets include spectrum below 1 GHz may possess certain competitive advantages for providing robust coverage when compared to licensees whose portfolio is exclusively comprised of higher frequency spectrum.   On the other hand, providers with higher frequency spectrum may possess advantages in addressing capacity needs.  For example, Verizon Wireless has stated that for a number of reasons, its Lower 700 MHz Band licenses are not as suitable to complement its 700 MHz Upper C Band for its own LTE capacity requirements as AWS.</w:t>
      </w:r>
      <w:r w:rsidRPr="00F91267">
        <w:rPr>
          <w:sz w:val="22"/>
          <w:szCs w:val="22"/>
          <w:vertAlign w:val="superscript"/>
        </w:rPr>
        <w:footnoteReference w:id="437"/>
      </w:r>
      <w:r w:rsidRPr="00F91267">
        <w:rPr>
          <w:sz w:val="22"/>
          <w:szCs w:val="22"/>
        </w:rPr>
        <w:t xml:space="preserve">  Recognizing that different frequency bands can have distinct technical characteristics that affect how the bands are used to deliver mobile services, the Commission has sought comment in the </w:t>
      </w:r>
      <w:r w:rsidRPr="00F91267">
        <w:rPr>
          <w:i/>
          <w:sz w:val="22"/>
          <w:szCs w:val="22"/>
        </w:rPr>
        <w:t>Mobile Spectrum Holdings NPRM</w:t>
      </w:r>
      <w:r w:rsidRPr="00F91267">
        <w:rPr>
          <w:sz w:val="22"/>
          <w:szCs w:val="22"/>
        </w:rPr>
        <w:t xml:space="preserve"> on whether its policies regarding mobile spectrum holdings should include separate consideration of spectrum in different frequency bands, such as spectrum below or above 1 GHz.</w:t>
      </w:r>
      <w:r w:rsidRPr="00F91267">
        <w:rPr>
          <w:sz w:val="22"/>
          <w:szCs w:val="22"/>
          <w:vertAlign w:val="superscript"/>
        </w:rPr>
        <w:footnoteReference w:id="438"/>
      </w:r>
    </w:p>
    <w:p w:rsidR="004A147C" w:rsidRPr="00B53FFB" w:rsidRDefault="004A147C" w:rsidP="00CE5850">
      <w:pPr>
        <w:pStyle w:val="Heading1"/>
        <w:keepNext w:val="0"/>
        <w:numPr>
          <w:ilvl w:val="0"/>
          <w:numId w:val="26"/>
        </w:numPr>
        <w:tabs>
          <w:tab w:val="left" w:pos="720"/>
        </w:tabs>
        <w:suppressAutoHyphens w:val="0"/>
        <w:rPr>
          <w:sz w:val="22"/>
          <w:szCs w:val="22"/>
        </w:rPr>
      </w:pPr>
      <w:bookmarkStart w:id="1681" w:name="_Toc261610769"/>
      <w:bookmarkStart w:id="1682" w:name="_Toc261858502"/>
      <w:bookmarkStart w:id="1683" w:name="_Toc262034307"/>
      <w:bookmarkStart w:id="1684" w:name="_Toc262034410"/>
      <w:bookmarkStart w:id="1685" w:name="_Toc271288449"/>
      <w:bookmarkStart w:id="1686" w:name="_Toc275517966"/>
      <w:bookmarkStart w:id="1687" w:name="_Toc275952406"/>
      <w:bookmarkStart w:id="1688" w:name="_Toc276121838"/>
      <w:bookmarkStart w:id="1689" w:name="_Toc276480675"/>
      <w:bookmarkStart w:id="1690" w:name="_Toc276741752"/>
      <w:bookmarkStart w:id="1691" w:name="_Toc277171516"/>
      <w:bookmarkStart w:id="1692" w:name="_Toc277864491"/>
      <w:bookmarkStart w:id="1693" w:name="_Toc277864707"/>
      <w:bookmarkStart w:id="1694" w:name="_Toc285810388"/>
      <w:bookmarkStart w:id="1695" w:name="_Toc287257782"/>
      <w:bookmarkStart w:id="1696" w:name="_Toc291758661"/>
      <w:bookmarkStart w:id="1697" w:name="_Toc291758764"/>
      <w:bookmarkStart w:id="1698" w:name="_Toc295392944"/>
      <w:bookmarkStart w:id="1699" w:name="_Toc329262495"/>
      <w:bookmarkStart w:id="1700" w:name="_Toc329852402"/>
      <w:bookmarkStart w:id="1701" w:name="_Toc331766318"/>
      <w:bookmarkStart w:id="1702" w:name="_Toc332119113"/>
      <w:bookmarkStart w:id="1703" w:name="_Toc334088790"/>
      <w:bookmarkStart w:id="1704" w:name="_Toc334089026"/>
      <w:bookmarkStart w:id="1705" w:name="_Toc334089185"/>
      <w:bookmarkStart w:id="1706" w:name="_Toc334089296"/>
      <w:bookmarkStart w:id="1707" w:name="_Toc334089460"/>
      <w:bookmarkStart w:id="1708" w:name="_Toc335839038"/>
      <w:bookmarkStart w:id="1709" w:name="_Toc336268601"/>
      <w:bookmarkStart w:id="1710" w:name="_Toc336268709"/>
      <w:bookmarkStart w:id="1711" w:name="_Toc336268816"/>
      <w:bookmarkStart w:id="1712" w:name="_Toc336269030"/>
      <w:bookmarkStart w:id="1713" w:name="_Toc336269137"/>
      <w:bookmarkStart w:id="1714" w:name="_Toc336269505"/>
      <w:bookmarkStart w:id="1715" w:name="_Toc336269651"/>
      <w:bookmarkStart w:id="1716" w:name="_Toc336270064"/>
      <w:bookmarkStart w:id="1717" w:name="_Toc336271264"/>
      <w:bookmarkStart w:id="1718" w:name="_Toc337651965"/>
      <w:bookmarkStart w:id="1719" w:name="_Toc349577153"/>
      <w:bookmarkStart w:id="1720" w:name="_Toc349579245"/>
      <w:bookmarkStart w:id="1721" w:name="_Toc349580560"/>
      <w:bookmarkStart w:id="1722" w:name="_Toc349734968"/>
      <w:bookmarkStart w:id="1723" w:name="_Toc349742333"/>
      <w:bookmarkEnd w:id="965"/>
      <w:bookmarkEnd w:id="966"/>
      <w:bookmarkEnd w:id="967"/>
      <w:bookmarkEnd w:id="968"/>
      <w:bookmarkEnd w:id="969"/>
      <w:bookmarkEnd w:id="970"/>
      <w:bookmarkEnd w:id="971"/>
      <w:bookmarkEnd w:id="972"/>
      <w:bookmarkEnd w:id="973"/>
      <w:bookmarkEnd w:id="974"/>
      <w:bookmarkEnd w:id="1598"/>
      <w:r w:rsidRPr="00B53FFB">
        <w:rPr>
          <w:sz w:val="22"/>
          <w:szCs w:val="22"/>
        </w:rPr>
        <w:t>mobile wireless services: PROVIDER CONDUCT</w:t>
      </w:r>
      <w:bookmarkEnd w:id="261"/>
      <w:bookmarkEnd w:id="262"/>
      <w:bookmarkEnd w:id="263"/>
      <w:bookmarkEnd w:id="264"/>
      <w:bookmarkEnd w:id="265"/>
      <w:bookmarkEnd w:id="266"/>
      <w:bookmarkEnd w:id="267"/>
      <w:bookmarkEnd w:id="268"/>
      <w:bookmarkEnd w:id="269"/>
      <w:bookmarkEnd w:id="270"/>
      <w:bookmarkEnd w:id="271"/>
      <w:bookmarkEnd w:id="272"/>
      <w:bookmarkEnd w:id="273"/>
      <w:bookmarkEnd w:id="274"/>
      <w:bookmarkEnd w:id="275"/>
      <w:bookmarkEnd w:id="276"/>
      <w:bookmarkEnd w:id="277"/>
      <w:bookmarkEnd w:id="278"/>
      <w:bookmarkEnd w:id="279"/>
      <w:bookmarkEnd w:id="280"/>
      <w:bookmarkEnd w:id="281"/>
      <w:bookmarkEnd w:id="282"/>
      <w:bookmarkEnd w:id="283"/>
      <w:bookmarkEnd w:id="284"/>
      <w:bookmarkEnd w:id="285"/>
      <w:bookmarkEnd w:id="286"/>
      <w:bookmarkEnd w:id="287"/>
      <w:bookmarkEnd w:id="288"/>
      <w:bookmarkEnd w:id="289"/>
      <w:bookmarkEnd w:id="290"/>
      <w:bookmarkEnd w:id="291"/>
      <w:bookmarkEnd w:id="292"/>
      <w:bookmarkEnd w:id="293"/>
      <w:bookmarkEnd w:id="294"/>
      <w:bookmarkEnd w:id="295"/>
      <w:bookmarkEnd w:id="296"/>
      <w:bookmarkEnd w:id="297"/>
      <w:bookmarkEnd w:id="298"/>
      <w:bookmarkEnd w:id="299"/>
      <w:bookmarkEnd w:id="300"/>
      <w:bookmarkEnd w:id="301"/>
      <w:bookmarkEnd w:id="302"/>
      <w:bookmarkEnd w:id="303"/>
      <w:bookmarkEnd w:id="304"/>
      <w:bookmarkEnd w:id="305"/>
      <w:bookmarkEnd w:id="306"/>
      <w:bookmarkEnd w:id="307"/>
      <w:bookmarkEnd w:id="308"/>
      <w:bookmarkEnd w:id="309"/>
      <w:bookmarkEnd w:id="310"/>
      <w:bookmarkEnd w:id="311"/>
      <w:bookmarkEnd w:id="312"/>
      <w:bookmarkEnd w:id="313"/>
      <w:bookmarkEnd w:id="314"/>
      <w:bookmarkEnd w:id="315"/>
      <w:bookmarkEnd w:id="316"/>
      <w:bookmarkEnd w:id="317"/>
      <w:bookmarkEnd w:id="318"/>
      <w:bookmarkEnd w:id="1681"/>
      <w:bookmarkEnd w:id="1682"/>
      <w:bookmarkEnd w:id="1683"/>
      <w:bookmarkEnd w:id="1684"/>
      <w:bookmarkEnd w:id="1685"/>
      <w:bookmarkEnd w:id="1686"/>
      <w:bookmarkEnd w:id="1687"/>
      <w:bookmarkEnd w:id="1688"/>
      <w:bookmarkEnd w:id="1689"/>
      <w:bookmarkEnd w:id="1690"/>
      <w:bookmarkEnd w:id="1691"/>
      <w:bookmarkEnd w:id="1692"/>
      <w:bookmarkEnd w:id="1693"/>
      <w:bookmarkEnd w:id="1694"/>
      <w:bookmarkEnd w:id="1695"/>
      <w:bookmarkEnd w:id="1696"/>
      <w:bookmarkEnd w:id="1697"/>
      <w:bookmarkEnd w:id="1698"/>
      <w:bookmarkEnd w:id="1699"/>
      <w:bookmarkEnd w:id="1700"/>
      <w:bookmarkEnd w:id="1701"/>
      <w:bookmarkEnd w:id="1702"/>
      <w:bookmarkEnd w:id="1703"/>
      <w:bookmarkEnd w:id="1704"/>
      <w:bookmarkEnd w:id="1705"/>
      <w:bookmarkEnd w:id="1706"/>
      <w:bookmarkEnd w:id="1707"/>
      <w:bookmarkEnd w:id="1708"/>
      <w:bookmarkEnd w:id="1709"/>
      <w:bookmarkEnd w:id="1710"/>
      <w:bookmarkEnd w:id="1711"/>
      <w:bookmarkEnd w:id="1712"/>
      <w:bookmarkEnd w:id="1713"/>
      <w:bookmarkEnd w:id="1714"/>
      <w:bookmarkEnd w:id="1715"/>
      <w:bookmarkEnd w:id="1716"/>
      <w:bookmarkEnd w:id="1717"/>
      <w:bookmarkEnd w:id="1718"/>
      <w:bookmarkEnd w:id="1719"/>
      <w:bookmarkEnd w:id="1720"/>
      <w:bookmarkEnd w:id="1721"/>
      <w:bookmarkEnd w:id="1722"/>
      <w:bookmarkEnd w:id="1723"/>
      <w:r w:rsidRPr="00B53FFB">
        <w:rPr>
          <w:sz w:val="22"/>
          <w:szCs w:val="22"/>
        </w:rPr>
        <w:t xml:space="preserve"> </w:t>
      </w:r>
    </w:p>
    <w:p w:rsidR="004A147C" w:rsidRPr="00B53FFB" w:rsidRDefault="004A147C" w:rsidP="00CE5850">
      <w:pPr>
        <w:pStyle w:val="ParaNum"/>
        <w:numPr>
          <w:ilvl w:val="0"/>
          <w:numId w:val="28"/>
        </w:numPr>
        <w:rPr>
          <w:sz w:val="22"/>
          <w:szCs w:val="22"/>
        </w:rPr>
      </w:pPr>
      <w:bookmarkStart w:id="1724" w:name="_Toc83547805"/>
      <w:bookmarkStart w:id="1725" w:name="_Toc112139229"/>
      <w:bookmarkStart w:id="1726" w:name="_Toc113257836"/>
      <w:bookmarkStart w:id="1727" w:name="_Toc113258033"/>
      <w:bookmarkStart w:id="1728" w:name="_Toc113258301"/>
      <w:bookmarkStart w:id="1729" w:name="_Toc113258627"/>
      <w:bookmarkStart w:id="1730" w:name="_Toc113272216"/>
      <w:bookmarkStart w:id="1731" w:name="_Toc115580901"/>
      <w:bookmarkStart w:id="1732" w:name="_Toc136318304"/>
      <w:bookmarkStart w:id="1733" w:name="_Toc136318653"/>
      <w:bookmarkStart w:id="1734" w:name="_Toc136318820"/>
      <w:bookmarkStart w:id="1735" w:name="_Toc138475796"/>
      <w:bookmarkStart w:id="1736" w:name="_Toc146684525"/>
      <w:bookmarkStart w:id="1737" w:name="_Toc147046283"/>
      <w:bookmarkStart w:id="1738" w:name="_Toc171415240"/>
      <w:bookmarkStart w:id="1739" w:name="_Toc173642128"/>
      <w:bookmarkStart w:id="1740" w:name="_Toc173813666"/>
      <w:bookmarkStart w:id="1741" w:name="_Toc175387836"/>
      <w:bookmarkStart w:id="1742" w:name="_Toc176254441"/>
      <w:bookmarkStart w:id="1743" w:name="_Toc176254730"/>
      <w:bookmarkStart w:id="1744" w:name="_Toc176254841"/>
      <w:bookmarkStart w:id="1745" w:name="_Toc176762476"/>
      <w:bookmarkStart w:id="1746" w:name="_Toc176843497"/>
      <w:bookmarkStart w:id="1747" w:name="_Toc176853301"/>
      <w:bookmarkStart w:id="1748" w:name="_Toc176853410"/>
      <w:bookmarkStart w:id="1749" w:name="_Toc176857459"/>
      <w:bookmarkStart w:id="1750" w:name="_Toc179108387"/>
      <w:bookmarkStart w:id="1751" w:name="_Toc179357646"/>
      <w:bookmarkStart w:id="1752" w:name="_Toc181781130"/>
      <w:bookmarkStart w:id="1753" w:name="_Toc182218716"/>
      <w:bookmarkStart w:id="1754" w:name="_Toc182909151"/>
      <w:bookmarkStart w:id="1755" w:name="_Toc182909581"/>
      <w:bookmarkStart w:id="1756" w:name="_Toc182987231"/>
      <w:bookmarkStart w:id="1757" w:name="_Toc183244066"/>
      <w:bookmarkStart w:id="1758" w:name="_Toc183244444"/>
      <w:bookmarkStart w:id="1759" w:name="_Toc183244855"/>
      <w:bookmarkStart w:id="1760" w:name="_Toc183244973"/>
      <w:bookmarkStart w:id="1761" w:name="_Toc183245631"/>
      <w:bookmarkStart w:id="1762" w:name="_Toc183246206"/>
      <w:bookmarkStart w:id="1763" w:name="_Toc183246305"/>
      <w:bookmarkStart w:id="1764" w:name="_Ref185322574"/>
      <w:bookmarkStart w:id="1765" w:name="_Ref185322590"/>
      <w:bookmarkStart w:id="1766" w:name="_Toc185667915"/>
      <w:bookmarkStart w:id="1767" w:name="_Toc185838972"/>
      <w:bookmarkStart w:id="1768" w:name="_Toc185846944"/>
      <w:bookmarkStart w:id="1769" w:name="_Toc185848550"/>
      <w:bookmarkStart w:id="1770" w:name="_Toc188946908"/>
      <w:bookmarkStart w:id="1771" w:name="_Toc189302812"/>
      <w:bookmarkStart w:id="1772" w:name="_Ref20214477"/>
      <w:bookmarkEnd w:id="319"/>
      <w:bookmarkEnd w:id="320"/>
      <w:bookmarkEnd w:id="321"/>
      <w:bookmarkEnd w:id="322"/>
      <w:r w:rsidRPr="00B53FFB">
        <w:rPr>
          <w:sz w:val="22"/>
          <w:szCs w:val="22"/>
        </w:rPr>
        <w:t xml:space="preserve">A key element of our analysis of competition in mobile wireless services is an examination of the conduct of mobile wireless services providers—in particular, whether there is evidence that service providers engage in price and non-price rivalry to attract customers from their competitors.  Price rivalry includes a comparison of providers’ service plans and their services, features, and prices.  Non-price rivalry includes providers’ network coverage, quality, and investment; providers’ portfolios of innovative devices and services, and providers’ advertising campaigns and expenditures to create retail distribution networks, distribute product information, and establish brand recognition.  For both price and non-price rivalry providers take actions and make expenditures to differentiate themselves from competitors, as well as to imitate initiatives of their competitors that have been successful in attracting customers.  For both price and non-price rivalry we report evidence of significant actions, changes, and expenditures undertaken by providers during 2011and the first part of 2012 and their responses to each other.  </w:t>
      </w:r>
    </w:p>
    <w:p w:rsidR="004A147C" w:rsidRPr="00E36736" w:rsidRDefault="004A147C" w:rsidP="00CE5850">
      <w:pPr>
        <w:pStyle w:val="Heading2"/>
        <w:keepNext w:val="0"/>
      </w:pPr>
      <w:bookmarkStart w:id="1773" w:name="_Toc55787793"/>
      <w:bookmarkStart w:id="1774" w:name="_Toc57021205"/>
      <w:bookmarkStart w:id="1775" w:name="_Toc67722111"/>
      <w:bookmarkStart w:id="1776" w:name="_Toc83547802"/>
      <w:bookmarkStart w:id="1777" w:name="_Toc112139226"/>
      <w:bookmarkStart w:id="1778" w:name="_Toc113257833"/>
      <w:bookmarkStart w:id="1779" w:name="_Toc113258030"/>
      <w:bookmarkStart w:id="1780" w:name="_Toc113258298"/>
      <w:bookmarkStart w:id="1781" w:name="_Toc113258624"/>
      <w:bookmarkStart w:id="1782" w:name="_Toc113272213"/>
      <w:bookmarkStart w:id="1783" w:name="_Toc115580898"/>
      <w:bookmarkStart w:id="1784" w:name="_Toc136318301"/>
      <w:bookmarkStart w:id="1785" w:name="_Toc136318650"/>
      <w:bookmarkStart w:id="1786" w:name="_Toc136318817"/>
      <w:bookmarkStart w:id="1787" w:name="_Toc138475793"/>
      <w:bookmarkStart w:id="1788" w:name="_Toc146684522"/>
      <w:bookmarkStart w:id="1789" w:name="_Toc147046280"/>
      <w:bookmarkStart w:id="1790" w:name="_Toc171415237"/>
      <w:bookmarkStart w:id="1791" w:name="_Toc173642125"/>
      <w:bookmarkStart w:id="1792" w:name="_Toc173813663"/>
      <w:bookmarkStart w:id="1793" w:name="_Toc175387833"/>
      <w:bookmarkStart w:id="1794" w:name="_Toc176254438"/>
      <w:bookmarkStart w:id="1795" w:name="_Toc176254727"/>
      <w:bookmarkStart w:id="1796" w:name="_Toc176254838"/>
      <w:bookmarkStart w:id="1797" w:name="_Toc176762473"/>
      <w:bookmarkStart w:id="1798" w:name="_Toc176843494"/>
      <w:bookmarkStart w:id="1799" w:name="_Toc176853298"/>
      <w:bookmarkStart w:id="1800" w:name="_Toc176853407"/>
      <w:bookmarkStart w:id="1801" w:name="_Toc176857456"/>
      <w:bookmarkStart w:id="1802" w:name="_Toc179108383"/>
      <w:bookmarkStart w:id="1803" w:name="_Toc179357642"/>
      <w:bookmarkStart w:id="1804" w:name="_Toc181781126"/>
      <w:bookmarkStart w:id="1805" w:name="_Toc182218712"/>
      <w:bookmarkStart w:id="1806" w:name="_Toc182909147"/>
      <w:bookmarkStart w:id="1807" w:name="_Toc182909577"/>
      <w:bookmarkStart w:id="1808" w:name="_Toc182987227"/>
      <w:bookmarkStart w:id="1809" w:name="_Toc183244062"/>
      <w:bookmarkStart w:id="1810" w:name="_Toc183244440"/>
      <w:bookmarkStart w:id="1811" w:name="_Toc183244851"/>
      <w:bookmarkStart w:id="1812" w:name="_Toc183244969"/>
      <w:bookmarkStart w:id="1813" w:name="_Toc183245627"/>
      <w:bookmarkStart w:id="1814" w:name="_Toc183246202"/>
      <w:bookmarkStart w:id="1815" w:name="_Toc183246301"/>
      <w:bookmarkStart w:id="1816" w:name="_Toc185667911"/>
      <w:bookmarkStart w:id="1817" w:name="_Toc185838968"/>
      <w:bookmarkStart w:id="1818" w:name="_Toc185846940"/>
      <w:bookmarkStart w:id="1819" w:name="_Toc185848546"/>
      <w:bookmarkStart w:id="1820" w:name="_Toc188946904"/>
      <w:bookmarkStart w:id="1821" w:name="_Toc189302808"/>
      <w:bookmarkStart w:id="1822" w:name="_Toc209948475"/>
      <w:bookmarkStart w:id="1823" w:name="_Toc209948584"/>
      <w:bookmarkStart w:id="1824" w:name="_Toc209950026"/>
      <w:bookmarkStart w:id="1825" w:name="_Toc210211482"/>
      <w:bookmarkStart w:id="1826" w:name="_Toc210213049"/>
      <w:bookmarkStart w:id="1827" w:name="_Toc210213188"/>
      <w:bookmarkStart w:id="1828" w:name="_Toc210213749"/>
      <w:bookmarkStart w:id="1829" w:name="_Toc212967974"/>
      <w:bookmarkStart w:id="1830" w:name="_Toc215316376"/>
      <w:bookmarkStart w:id="1831" w:name="_Toc215384630"/>
      <w:bookmarkStart w:id="1832" w:name="_Toc217810496"/>
      <w:bookmarkStart w:id="1833" w:name="_Ref256604215"/>
      <w:bookmarkStart w:id="1834" w:name="_Ref256604227"/>
      <w:bookmarkStart w:id="1835" w:name="_Ref256604231"/>
      <w:bookmarkStart w:id="1836" w:name="_Ref256604853"/>
      <w:bookmarkStart w:id="1837" w:name="_Ref256604857"/>
      <w:bookmarkStart w:id="1838" w:name="_Toc261610770"/>
      <w:bookmarkStart w:id="1839" w:name="_Toc261858503"/>
      <w:bookmarkStart w:id="1840" w:name="_Toc262034308"/>
      <w:bookmarkStart w:id="1841" w:name="_Toc262034411"/>
      <w:bookmarkStart w:id="1842" w:name="_Toc275517967"/>
      <w:bookmarkStart w:id="1843" w:name="_Toc275952407"/>
      <w:bookmarkStart w:id="1844" w:name="_Toc276121839"/>
      <w:bookmarkStart w:id="1845" w:name="_Toc276480676"/>
      <w:bookmarkStart w:id="1846" w:name="_Toc276741753"/>
      <w:bookmarkStart w:id="1847" w:name="_Toc277171517"/>
      <w:bookmarkStart w:id="1848" w:name="_Toc277864492"/>
      <w:bookmarkStart w:id="1849" w:name="_Toc277864708"/>
      <w:bookmarkStart w:id="1850" w:name="_Toc285810389"/>
      <w:bookmarkStart w:id="1851" w:name="_Toc287257783"/>
      <w:bookmarkStart w:id="1852" w:name="_Toc291758662"/>
      <w:bookmarkStart w:id="1853" w:name="_Toc291758765"/>
      <w:bookmarkStart w:id="1854" w:name="_Toc295392945"/>
      <w:bookmarkStart w:id="1855" w:name="_Toc329262496"/>
      <w:bookmarkStart w:id="1856" w:name="_Toc329852403"/>
      <w:bookmarkStart w:id="1857" w:name="_Toc331766319"/>
      <w:bookmarkStart w:id="1858" w:name="_Toc332119114"/>
      <w:bookmarkStart w:id="1859" w:name="_Toc334088791"/>
      <w:bookmarkStart w:id="1860" w:name="_Toc334089027"/>
      <w:bookmarkStart w:id="1861" w:name="_Toc334089186"/>
      <w:bookmarkStart w:id="1862" w:name="_Toc334089297"/>
      <w:bookmarkStart w:id="1863" w:name="_Toc334089461"/>
      <w:bookmarkStart w:id="1864" w:name="_Toc335839039"/>
      <w:bookmarkStart w:id="1865" w:name="_Toc336268602"/>
      <w:bookmarkStart w:id="1866" w:name="_Toc336268710"/>
      <w:bookmarkStart w:id="1867" w:name="_Toc336268817"/>
      <w:bookmarkStart w:id="1868" w:name="_Toc336269031"/>
      <w:bookmarkStart w:id="1869" w:name="_Toc336269138"/>
      <w:bookmarkStart w:id="1870" w:name="_Toc336269506"/>
      <w:bookmarkStart w:id="1871" w:name="_Toc336269652"/>
      <w:bookmarkStart w:id="1872" w:name="_Toc336270065"/>
      <w:bookmarkStart w:id="1873" w:name="_Toc336271265"/>
      <w:bookmarkStart w:id="1874" w:name="_Toc337651966"/>
      <w:bookmarkStart w:id="1875" w:name="_Toc349577154"/>
      <w:bookmarkStart w:id="1876" w:name="_Toc349579246"/>
      <w:bookmarkStart w:id="1877" w:name="_Toc349580561"/>
      <w:bookmarkStart w:id="1878" w:name="_Toc349734969"/>
      <w:bookmarkStart w:id="1879" w:name="_Toc349742334"/>
      <w:r w:rsidRPr="00E36736">
        <w:t>Price Rivalry</w:t>
      </w:r>
      <w:bookmarkStart w:id="1880" w:name="_Ref510603652"/>
      <w:bookmarkStart w:id="1881" w:name="_Ref510848343"/>
      <w:bookmarkStart w:id="1882" w:name="_Toc511810973"/>
      <w:bookmarkStart w:id="1883" w:name="_Toc83547803"/>
      <w:bookmarkStart w:id="1884" w:name="_Toc112139227"/>
      <w:bookmarkStart w:id="1885" w:name="_Toc113257834"/>
      <w:bookmarkStart w:id="1886" w:name="_Toc113258031"/>
      <w:bookmarkStart w:id="1887" w:name="_Toc113258299"/>
      <w:bookmarkStart w:id="1888" w:name="_Toc113258625"/>
      <w:bookmarkStart w:id="1889" w:name="_Toc113272214"/>
      <w:bookmarkStart w:id="1890" w:name="_Toc115580899"/>
      <w:bookmarkStart w:id="1891" w:name="_Toc136318302"/>
      <w:bookmarkStart w:id="1892" w:name="_Toc136318651"/>
      <w:bookmarkStart w:id="1893" w:name="_Toc136318818"/>
      <w:bookmarkStart w:id="1894" w:name="_Toc138475794"/>
      <w:bookmarkStart w:id="1895" w:name="_Toc146684523"/>
      <w:bookmarkStart w:id="1896" w:name="_Toc147046281"/>
      <w:bookmarkStart w:id="1897" w:name="_Toc171415238"/>
      <w:bookmarkStart w:id="1898" w:name="_Toc173642126"/>
      <w:bookmarkStart w:id="1899" w:name="_Toc173813664"/>
      <w:bookmarkStart w:id="1900" w:name="_Toc175387834"/>
      <w:bookmarkStart w:id="1901" w:name="_Toc176254439"/>
      <w:bookmarkStart w:id="1902" w:name="_Toc176254728"/>
      <w:bookmarkStart w:id="1903" w:name="_Toc176254839"/>
      <w:bookmarkStart w:id="1904" w:name="_Toc176762474"/>
      <w:bookmarkStart w:id="1905" w:name="_Toc176843495"/>
      <w:bookmarkStart w:id="1906" w:name="_Toc176853299"/>
      <w:bookmarkStart w:id="1907" w:name="_Toc176853408"/>
      <w:bookmarkStart w:id="1908" w:name="_Toc176857457"/>
      <w:bookmarkStart w:id="1909" w:name="_Toc179108384"/>
      <w:bookmarkStart w:id="1910" w:name="_Toc179357643"/>
      <w:bookmarkStart w:id="1911" w:name="_Toc181781127"/>
      <w:bookmarkStart w:id="1912" w:name="_Toc182218713"/>
      <w:bookmarkStart w:id="1913" w:name="_Toc182909148"/>
      <w:bookmarkStart w:id="1914" w:name="_Toc182909578"/>
      <w:bookmarkStart w:id="1915" w:name="_Toc182987228"/>
      <w:bookmarkStart w:id="1916" w:name="_Toc183244063"/>
      <w:bookmarkStart w:id="1917" w:name="_Toc183244441"/>
      <w:bookmarkStart w:id="1918" w:name="_Toc183244852"/>
      <w:bookmarkStart w:id="1919" w:name="_Toc183244970"/>
      <w:bookmarkStart w:id="1920" w:name="_Toc183245628"/>
      <w:bookmarkStart w:id="1921" w:name="_Toc183246203"/>
      <w:bookmarkStart w:id="1922" w:name="_Toc183246302"/>
      <w:bookmarkStart w:id="1923" w:name="_Toc185667912"/>
      <w:bookmarkStart w:id="1924" w:name="_Toc185838969"/>
      <w:bookmarkStart w:id="1925" w:name="_Toc185846941"/>
      <w:bookmarkStart w:id="1926" w:name="_Toc185848547"/>
      <w:bookmarkStart w:id="1927" w:name="_Toc188946905"/>
      <w:bookmarkStart w:id="1928" w:name="_Toc189302809"/>
      <w:bookmarkStart w:id="1929" w:name="_Toc209948476"/>
      <w:bookmarkStart w:id="1930" w:name="_Toc209948585"/>
      <w:bookmarkStart w:id="1931" w:name="_Toc209950027"/>
      <w:bookmarkStart w:id="1932" w:name="_Toc210211483"/>
      <w:bookmarkStart w:id="1933" w:name="_Toc210213050"/>
      <w:bookmarkStart w:id="1934" w:name="_Toc210213189"/>
      <w:bookmarkStart w:id="1935" w:name="_Toc210213750"/>
      <w:bookmarkStart w:id="1936" w:name="_Toc212967975"/>
      <w:bookmarkStart w:id="1937" w:name="_Toc215316377"/>
      <w:bookmarkStart w:id="1938" w:name="_Toc215384631"/>
      <w:bookmarkStart w:id="1939" w:name="_Toc217810497"/>
      <w:bookmarkEnd w:id="1773"/>
      <w:bookmarkEnd w:id="1774"/>
      <w:bookmarkEnd w:id="1775"/>
      <w:bookmarkEnd w:id="1776"/>
      <w:bookmarkEnd w:id="1777"/>
      <w:bookmarkEnd w:id="1778"/>
      <w:bookmarkEnd w:id="1779"/>
      <w:bookmarkEnd w:id="1780"/>
      <w:bookmarkEnd w:id="1781"/>
      <w:bookmarkEnd w:id="1782"/>
      <w:bookmarkEnd w:id="1783"/>
      <w:bookmarkEnd w:id="1784"/>
      <w:bookmarkEnd w:id="1785"/>
      <w:bookmarkEnd w:id="1786"/>
      <w:bookmarkEnd w:id="1787"/>
      <w:bookmarkEnd w:id="1788"/>
      <w:bookmarkEnd w:id="1789"/>
      <w:bookmarkEnd w:id="1790"/>
      <w:bookmarkEnd w:id="1791"/>
      <w:bookmarkEnd w:id="1792"/>
      <w:bookmarkEnd w:id="1793"/>
      <w:bookmarkEnd w:id="1794"/>
      <w:bookmarkEnd w:id="1795"/>
      <w:bookmarkEnd w:id="1796"/>
      <w:bookmarkEnd w:id="1797"/>
      <w:bookmarkEnd w:id="1798"/>
      <w:bookmarkEnd w:id="1799"/>
      <w:bookmarkEnd w:id="1800"/>
      <w:bookmarkEnd w:id="1801"/>
      <w:bookmarkEnd w:id="1802"/>
      <w:bookmarkEnd w:id="1803"/>
      <w:bookmarkEnd w:id="1804"/>
      <w:bookmarkEnd w:id="1805"/>
      <w:bookmarkEnd w:id="1806"/>
      <w:bookmarkEnd w:id="1807"/>
      <w:bookmarkEnd w:id="1808"/>
      <w:bookmarkEnd w:id="1809"/>
      <w:bookmarkEnd w:id="1810"/>
      <w:bookmarkEnd w:id="1811"/>
      <w:bookmarkEnd w:id="1812"/>
      <w:bookmarkEnd w:id="1813"/>
      <w:bookmarkEnd w:id="1814"/>
      <w:bookmarkEnd w:id="1815"/>
      <w:bookmarkEnd w:id="1816"/>
      <w:bookmarkEnd w:id="1817"/>
      <w:bookmarkEnd w:id="1818"/>
      <w:bookmarkEnd w:id="1819"/>
      <w:bookmarkEnd w:id="1820"/>
      <w:bookmarkEnd w:id="1821"/>
      <w:bookmarkEnd w:id="1822"/>
      <w:bookmarkEnd w:id="1823"/>
      <w:bookmarkEnd w:id="1824"/>
      <w:bookmarkEnd w:id="1825"/>
      <w:bookmarkEnd w:id="1826"/>
      <w:bookmarkEnd w:id="1827"/>
      <w:bookmarkEnd w:id="1828"/>
      <w:bookmarkEnd w:id="1829"/>
      <w:bookmarkEnd w:id="1830"/>
      <w:bookmarkEnd w:id="1831"/>
      <w:bookmarkEnd w:id="1832"/>
      <w:r w:rsidRPr="00E36736">
        <w:t>: Developments in Mobile Service Pricing Plans</w:t>
      </w:r>
      <w:bookmarkEnd w:id="1833"/>
      <w:bookmarkEnd w:id="1834"/>
      <w:bookmarkEnd w:id="1835"/>
      <w:bookmarkEnd w:id="1836"/>
      <w:bookmarkEnd w:id="1837"/>
      <w:bookmarkEnd w:id="1838"/>
      <w:bookmarkEnd w:id="1839"/>
      <w:bookmarkEnd w:id="1840"/>
      <w:bookmarkEnd w:id="1841"/>
      <w:bookmarkEnd w:id="1842"/>
      <w:bookmarkEnd w:id="1843"/>
      <w:bookmarkEnd w:id="1844"/>
      <w:bookmarkEnd w:id="1845"/>
      <w:bookmarkEnd w:id="1846"/>
      <w:bookmarkEnd w:id="1847"/>
      <w:bookmarkEnd w:id="1848"/>
      <w:bookmarkEnd w:id="1849"/>
      <w:bookmarkEnd w:id="1850"/>
      <w:bookmarkEnd w:id="1851"/>
      <w:bookmarkEnd w:id="1852"/>
      <w:bookmarkEnd w:id="1853"/>
      <w:bookmarkEnd w:id="1854"/>
      <w:bookmarkEnd w:id="1855"/>
      <w:bookmarkEnd w:id="1856"/>
      <w:bookmarkEnd w:id="1857"/>
      <w:bookmarkEnd w:id="1858"/>
      <w:bookmarkEnd w:id="1859"/>
      <w:bookmarkEnd w:id="1860"/>
      <w:bookmarkEnd w:id="1861"/>
      <w:bookmarkEnd w:id="1862"/>
      <w:bookmarkEnd w:id="1863"/>
      <w:bookmarkEnd w:id="1864"/>
      <w:bookmarkEnd w:id="1865"/>
      <w:bookmarkEnd w:id="1866"/>
      <w:bookmarkEnd w:id="1867"/>
      <w:bookmarkEnd w:id="1868"/>
      <w:bookmarkEnd w:id="1869"/>
      <w:bookmarkEnd w:id="1870"/>
      <w:bookmarkEnd w:id="1871"/>
      <w:bookmarkEnd w:id="1872"/>
      <w:bookmarkEnd w:id="1873"/>
      <w:bookmarkEnd w:id="1874"/>
      <w:bookmarkEnd w:id="1875"/>
      <w:bookmarkEnd w:id="1876"/>
      <w:bookmarkEnd w:id="1877"/>
      <w:bookmarkEnd w:id="1878"/>
      <w:bookmarkEnd w:id="1879"/>
      <w:bookmarkEnd w:id="1880"/>
      <w:bookmarkEnd w:id="1881"/>
      <w:bookmarkEnd w:id="1882"/>
      <w:bookmarkEnd w:id="1883"/>
      <w:bookmarkEnd w:id="1884"/>
      <w:bookmarkEnd w:id="1885"/>
      <w:bookmarkEnd w:id="1886"/>
      <w:bookmarkEnd w:id="1887"/>
      <w:bookmarkEnd w:id="1888"/>
      <w:bookmarkEnd w:id="1889"/>
      <w:bookmarkEnd w:id="1890"/>
      <w:bookmarkEnd w:id="1891"/>
      <w:bookmarkEnd w:id="1892"/>
      <w:bookmarkEnd w:id="1893"/>
      <w:bookmarkEnd w:id="1894"/>
      <w:bookmarkEnd w:id="1895"/>
      <w:bookmarkEnd w:id="1896"/>
      <w:bookmarkEnd w:id="1897"/>
      <w:bookmarkEnd w:id="1898"/>
      <w:bookmarkEnd w:id="1899"/>
      <w:bookmarkEnd w:id="1900"/>
      <w:bookmarkEnd w:id="1901"/>
      <w:bookmarkEnd w:id="1902"/>
      <w:bookmarkEnd w:id="1903"/>
      <w:bookmarkEnd w:id="1904"/>
      <w:bookmarkEnd w:id="1905"/>
      <w:bookmarkEnd w:id="1906"/>
      <w:bookmarkEnd w:id="1907"/>
      <w:bookmarkEnd w:id="1908"/>
      <w:bookmarkEnd w:id="1909"/>
      <w:bookmarkEnd w:id="1910"/>
      <w:bookmarkEnd w:id="1911"/>
      <w:bookmarkEnd w:id="1912"/>
      <w:bookmarkEnd w:id="1913"/>
      <w:bookmarkEnd w:id="1914"/>
      <w:bookmarkEnd w:id="1915"/>
      <w:bookmarkEnd w:id="1916"/>
      <w:bookmarkEnd w:id="1917"/>
      <w:bookmarkEnd w:id="1918"/>
      <w:bookmarkEnd w:id="1919"/>
      <w:bookmarkEnd w:id="1920"/>
      <w:bookmarkEnd w:id="1921"/>
      <w:bookmarkEnd w:id="1922"/>
      <w:bookmarkEnd w:id="1923"/>
      <w:bookmarkEnd w:id="1924"/>
      <w:bookmarkEnd w:id="1925"/>
      <w:bookmarkEnd w:id="1926"/>
      <w:bookmarkEnd w:id="1927"/>
      <w:bookmarkEnd w:id="1928"/>
      <w:bookmarkEnd w:id="1929"/>
      <w:bookmarkEnd w:id="1930"/>
      <w:bookmarkEnd w:id="1931"/>
      <w:bookmarkEnd w:id="1932"/>
      <w:bookmarkEnd w:id="1933"/>
      <w:bookmarkEnd w:id="1934"/>
      <w:bookmarkEnd w:id="1935"/>
      <w:bookmarkEnd w:id="1936"/>
      <w:bookmarkEnd w:id="1937"/>
      <w:bookmarkEnd w:id="1938"/>
      <w:bookmarkEnd w:id="1939"/>
    </w:p>
    <w:p w:rsidR="004A147C" w:rsidRPr="00B53FFB" w:rsidRDefault="004A147C" w:rsidP="00CE5850">
      <w:pPr>
        <w:pStyle w:val="ParaNum"/>
        <w:numPr>
          <w:ilvl w:val="0"/>
          <w:numId w:val="28"/>
        </w:numPr>
        <w:rPr>
          <w:sz w:val="22"/>
          <w:szCs w:val="22"/>
        </w:rPr>
      </w:pPr>
      <w:bookmarkStart w:id="1940" w:name="_Toc511810975"/>
      <w:bookmarkStart w:id="1941" w:name="_Ref37477628"/>
      <w:bookmarkStart w:id="1942" w:name="_Ref37477669"/>
      <w:bookmarkStart w:id="1943" w:name="_Toc83547804"/>
      <w:bookmarkStart w:id="1944" w:name="_Ref109724840"/>
      <w:bookmarkStart w:id="1945" w:name="_Ref109724855"/>
      <w:bookmarkStart w:id="1946" w:name="_Toc112139228"/>
      <w:bookmarkStart w:id="1947" w:name="_Toc113257835"/>
      <w:bookmarkStart w:id="1948" w:name="_Toc113258032"/>
      <w:bookmarkStart w:id="1949" w:name="_Toc113258300"/>
      <w:bookmarkStart w:id="1950" w:name="_Toc113258626"/>
      <w:bookmarkStart w:id="1951" w:name="_Toc113272215"/>
      <w:bookmarkStart w:id="1952" w:name="_Toc115580900"/>
      <w:bookmarkStart w:id="1953" w:name="_Toc136318303"/>
      <w:bookmarkStart w:id="1954" w:name="_Toc136318652"/>
      <w:bookmarkStart w:id="1955" w:name="_Toc136318819"/>
      <w:bookmarkStart w:id="1956" w:name="_Toc138475795"/>
      <w:bookmarkStart w:id="1957" w:name="_Toc146684524"/>
      <w:bookmarkStart w:id="1958" w:name="_Toc147046282"/>
      <w:bookmarkStart w:id="1959" w:name="_Toc171415239"/>
      <w:bookmarkStart w:id="1960" w:name="_Toc173642127"/>
      <w:bookmarkStart w:id="1961" w:name="_Toc173813665"/>
      <w:bookmarkStart w:id="1962" w:name="_Toc175387835"/>
      <w:bookmarkStart w:id="1963" w:name="_Toc176254440"/>
      <w:bookmarkStart w:id="1964" w:name="_Toc176254729"/>
      <w:bookmarkStart w:id="1965" w:name="_Toc176254840"/>
      <w:bookmarkStart w:id="1966" w:name="_Toc176762475"/>
      <w:bookmarkStart w:id="1967" w:name="_Toc176843496"/>
      <w:bookmarkStart w:id="1968" w:name="_Toc176853300"/>
      <w:bookmarkStart w:id="1969" w:name="_Toc176853409"/>
      <w:bookmarkStart w:id="1970" w:name="_Toc176857458"/>
      <w:bookmarkStart w:id="1971" w:name="_Toc179108386"/>
      <w:bookmarkStart w:id="1972" w:name="_Toc179357645"/>
      <w:bookmarkStart w:id="1973" w:name="_Toc181781129"/>
      <w:bookmarkStart w:id="1974" w:name="_Toc182218715"/>
      <w:bookmarkStart w:id="1975" w:name="_Toc182909150"/>
      <w:bookmarkStart w:id="1976" w:name="_Toc182909580"/>
      <w:bookmarkStart w:id="1977" w:name="_Toc182987230"/>
      <w:bookmarkStart w:id="1978" w:name="_Toc183244065"/>
      <w:bookmarkStart w:id="1979" w:name="_Toc183244443"/>
      <w:bookmarkStart w:id="1980" w:name="_Toc183244854"/>
      <w:bookmarkStart w:id="1981" w:name="_Toc183244972"/>
      <w:bookmarkStart w:id="1982" w:name="_Toc183245630"/>
      <w:bookmarkStart w:id="1983" w:name="_Toc183246205"/>
      <w:bookmarkStart w:id="1984" w:name="_Toc183246304"/>
      <w:bookmarkStart w:id="1985" w:name="_Ref185321323"/>
      <w:bookmarkStart w:id="1986" w:name="_Ref185321381"/>
      <w:bookmarkStart w:id="1987" w:name="_Toc185667914"/>
      <w:bookmarkStart w:id="1988" w:name="_Toc185838971"/>
      <w:bookmarkStart w:id="1989" w:name="_Toc185846943"/>
      <w:bookmarkStart w:id="1990" w:name="_Toc185848549"/>
      <w:bookmarkStart w:id="1991" w:name="_Toc188946907"/>
      <w:bookmarkStart w:id="1992" w:name="_Toc189302811"/>
      <w:bookmarkStart w:id="1993" w:name="_Toc329852406"/>
      <w:bookmarkStart w:id="1994" w:name="_Toc331766322"/>
      <w:bookmarkStart w:id="1995" w:name="_Toc332119117"/>
      <w:bookmarkStart w:id="1996" w:name="_Toc334088794"/>
      <w:bookmarkStart w:id="1997" w:name="_Toc334089030"/>
      <w:bookmarkStart w:id="1998" w:name="_Toc334089189"/>
      <w:bookmarkStart w:id="1999" w:name="_Toc334089300"/>
      <w:bookmarkStart w:id="2000" w:name="_Toc334089464"/>
      <w:bookmarkStart w:id="2001" w:name="_Toc55787794"/>
      <w:bookmarkStart w:id="2002" w:name="_Toc57021206"/>
      <w:bookmarkStart w:id="2003" w:name="_Toc67722112"/>
      <w:bookmarkStart w:id="2004" w:name="_Toc83547806"/>
      <w:bookmarkStart w:id="2005" w:name="_Toc112139230"/>
      <w:bookmarkStart w:id="2006" w:name="_Toc113257837"/>
      <w:bookmarkStart w:id="2007" w:name="_Toc113258034"/>
      <w:bookmarkStart w:id="2008" w:name="_Toc113258302"/>
      <w:bookmarkStart w:id="2009" w:name="_Toc113258628"/>
      <w:bookmarkStart w:id="2010" w:name="_Toc113272217"/>
      <w:bookmarkStart w:id="2011" w:name="_Toc115580902"/>
      <w:bookmarkStart w:id="2012" w:name="_Toc136318305"/>
      <w:bookmarkStart w:id="2013" w:name="_Toc136318654"/>
      <w:bookmarkStart w:id="2014" w:name="_Toc136318821"/>
      <w:bookmarkStart w:id="2015" w:name="_Toc138475797"/>
      <w:bookmarkStart w:id="2016" w:name="_Toc146684526"/>
      <w:bookmarkStart w:id="2017" w:name="_Toc147046284"/>
      <w:bookmarkStart w:id="2018" w:name="_Toc171415241"/>
      <w:bookmarkStart w:id="2019" w:name="_Toc173642129"/>
      <w:bookmarkStart w:id="2020" w:name="_Toc173813667"/>
      <w:bookmarkStart w:id="2021" w:name="_Toc175387837"/>
      <w:bookmarkStart w:id="2022" w:name="_Toc176254442"/>
      <w:bookmarkStart w:id="2023" w:name="_Toc176254731"/>
      <w:bookmarkStart w:id="2024" w:name="_Toc176254842"/>
      <w:bookmarkStart w:id="2025" w:name="_Toc176762477"/>
      <w:bookmarkStart w:id="2026" w:name="_Toc176843498"/>
      <w:bookmarkStart w:id="2027" w:name="_Toc176853302"/>
      <w:bookmarkStart w:id="2028" w:name="_Toc176853411"/>
      <w:bookmarkStart w:id="2029" w:name="_Toc176857460"/>
      <w:bookmarkStart w:id="2030" w:name="_Toc179108388"/>
      <w:bookmarkStart w:id="2031" w:name="_Toc179357647"/>
      <w:bookmarkStart w:id="2032" w:name="_Toc181781131"/>
      <w:bookmarkStart w:id="2033" w:name="_Toc182218717"/>
      <w:bookmarkStart w:id="2034" w:name="_Toc182909152"/>
      <w:bookmarkStart w:id="2035" w:name="_Toc182909582"/>
      <w:bookmarkStart w:id="2036" w:name="_Toc182987232"/>
      <w:bookmarkStart w:id="2037" w:name="_Toc183244067"/>
      <w:bookmarkStart w:id="2038" w:name="_Toc183244445"/>
      <w:bookmarkStart w:id="2039" w:name="_Toc183244856"/>
      <w:bookmarkStart w:id="2040" w:name="_Toc183244974"/>
      <w:bookmarkStart w:id="2041" w:name="_Toc183245632"/>
      <w:bookmarkStart w:id="2042" w:name="_Toc183246207"/>
      <w:bookmarkStart w:id="2043" w:name="_Toc183246306"/>
      <w:bookmarkStart w:id="2044" w:name="_Toc185667916"/>
      <w:bookmarkStart w:id="2045" w:name="_Toc185838973"/>
      <w:bookmarkStart w:id="2046" w:name="_Toc185846945"/>
      <w:bookmarkStart w:id="2047" w:name="_Toc185848551"/>
      <w:bookmarkStart w:id="2048" w:name="_Toc188946909"/>
      <w:bookmarkStart w:id="2049" w:name="_Toc189302813"/>
      <w:bookmarkStart w:id="2050" w:name="_Toc209948480"/>
      <w:bookmarkStart w:id="2051" w:name="_Toc209948589"/>
      <w:bookmarkStart w:id="2052" w:name="_Toc209950031"/>
      <w:bookmarkStart w:id="2053" w:name="_Toc210211487"/>
      <w:bookmarkStart w:id="2054" w:name="_Toc210213054"/>
      <w:bookmarkStart w:id="2055" w:name="_Toc210213193"/>
      <w:bookmarkStart w:id="2056" w:name="_Toc210213754"/>
      <w:bookmarkStart w:id="2057" w:name="_Toc212967978"/>
      <w:bookmarkStart w:id="2058" w:name="_Toc215316380"/>
      <w:bookmarkStart w:id="2059" w:name="_Toc215384634"/>
      <w:bookmarkStart w:id="2060" w:name="_Toc217810500"/>
      <w:bookmarkStart w:id="2061" w:name="_Toc261610773"/>
      <w:bookmarkStart w:id="2062" w:name="_Toc261858506"/>
      <w:bookmarkStart w:id="2063" w:name="_Toc262034311"/>
      <w:bookmarkStart w:id="2064" w:name="_Toc262034414"/>
      <w:bookmarkStart w:id="2065" w:name="_Toc55787796"/>
      <w:bookmarkStart w:id="2066" w:name="_Toc57021208"/>
      <w:bookmarkStart w:id="2067" w:name="_Toc67722114"/>
      <w:bookmarkStart w:id="2068" w:name="_Toc83547819"/>
      <w:bookmarkEnd w:id="1724"/>
      <w:bookmarkEnd w:id="1725"/>
      <w:bookmarkEnd w:id="1726"/>
      <w:bookmarkEnd w:id="1727"/>
      <w:bookmarkEnd w:id="1728"/>
      <w:bookmarkEnd w:id="1729"/>
      <w:bookmarkEnd w:id="1730"/>
      <w:bookmarkEnd w:id="1731"/>
      <w:bookmarkEnd w:id="1732"/>
      <w:bookmarkEnd w:id="1733"/>
      <w:bookmarkEnd w:id="1734"/>
      <w:bookmarkEnd w:id="1735"/>
      <w:bookmarkEnd w:id="1736"/>
      <w:bookmarkEnd w:id="1737"/>
      <w:bookmarkEnd w:id="1738"/>
      <w:bookmarkEnd w:id="1739"/>
      <w:bookmarkEnd w:id="1740"/>
      <w:bookmarkEnd w:id="1741"/>
      <w:bookmarkEnd w:id="1742"/>
      <w:bookmarkEnd w:id="1743"/>
      <w:bookmarkEnd w:id="1744"/>
      <w:bookmarkEnd w:id="1745"/>
      <w:bookmarkEnd w:id="1746"/>
      <w:bookmarkEnd w:id="1747"/>
      <w:bookmarkEnd w:id="1748"/>
      <w:bookmarkEnd w:id="1749"/>
      <w:bookmarkEnd w:id="1750"/>
      <w:bookmarkEnd w:id="1751"/>
      <w:bookmarkEnd w:id="1752"/>
      <w:bookmarkEnd w:id="1753"/>
      <w:bookmarkEnd w:id="1754"/>
      <w:bookmarkEnd w:id="1755"/>
      <w:bookmarkEnd w:id="1756"/>
      <w:bookmarkEnd w:id="1757"/>
      <w:bookmarkEnd w:id="1758"/>
      <w:bookmarkEnd w:id="1759"/>
      <w:bookmarkEnd w:id="1760"/>
      <w:bookmarkEnd w:id="1761"/>
      <w:bookmarkEnd w:id="1762"/>
      <w:bookmarkEnd w:id="1763"/>
      <w:bookmarkEnd w:id="1764"/>
      <w:bookmarkEnd w:id="1765"/>
      <w:bookmarkEnd w:id="1766"/>
      <w:bookmarkEnd w:id="1767"/>
      <w:bookmarkEnd w:id="1768"/>
      <w:bookmarkEnd w:id="1769"/>
      <w:bookmarkEnd w:id="1770"/>
      <w:bookmarkEnd w:id="1771"/>
      <w:r w:rsidRPr="00B53FFB">
        <w:rPr>
          <w:sz w:val="22"/>
          <w:szCs w:val="22"/>
        </w:rPr>
        <w:t xml:space="preserve">In </w:t>
      </w:r>
      <w:r w:rsidRPr="004F3855">
        <w:rPr>
          <w:sz w:val="22"/>
          <w:szCs w:val="22"/>
        </w:rPr>
        <w:t>the United States, most mobile wireless subscribers pay for their mobile wireless service after they have received services (“postpaid” service).</w:t>
      </w:r>
      <w:r w:rsidRPr="004F3855">
        <w:rPr>
          <w:sz w:val="22"/>
          <w:szCs w:val="22"/>
          <w:vertAlign w:val="superscript"/>
        </w:rPr>
        <w:footnoteReference w:id="439"/>
      </w:r>
      <w:r w:rsidRPr="004F3855">
        <w:rPr>
          <w:sz w:val="22"/>
          <w:szCs w:val="22"/>
        </w:rPr>
        <w:t xml:space="preserve">  Other customers pay for their service prior to making calls (“prepaid” service).  The following discussion of developments in mobile service pricing plans is divided into two sections.  The first section covers developments in postpaid plans.  The second section covers developments in prepaid plans, including traditional prepaid service plans and higher-end prepaid service plans that include data.  The discussion focuses on recent changes made by providers during the period covered by the </w:t>
      </w:r>
      <w:r w:rsidRPr="004F3855">
        <w:rPr>
          <w:i/>
          <w:sz w:val="22"/>
          <w:szCs w:val="22"/>
        </w:rPr>
        <w:t>Report</w:t>
      </w:r>
      <w:r w:rsidRPr="004F3855">
        <w:rPr>
          <w:sz w:val="22"/>
          <w:szCs w:val="22"/>
        </w:rPr>
        <w:t xml:space="preserve"> and accordingly ha</w:t>
      </w:r>
      <w:r w:rsidR="00E06AC0">
        <w:rPr>
          <w:sz w:val="22"/>
          <w:szCs w:val="22"/>
        </w:rPr>
        <w:t>s</w:t>
      </w:r>
      <w:r w:rsidRPr="004F3855">
        <w:rPr>
          <w:sz w:val="22"/>
          <w:szCs w:val="22"/>
        </w:rPr>
        <w:t xml:space="preserve"> varied significantly from previous </w:t>
      </w:r>
      <w:r w:rsidRPr="004F3855">
        <w:rPr>
          <w:i/>
          <w:sz w:val="22"/>
          <w:szCs w:val="22"/>
        </w:rPr>
        <w:t>Reports</w:t>
      </w:r>
      <w:r w:rsidRPr="004F3855">
        <w:rPr>
          <w:sz w:val="22"/>
          <w:szCs w:val="22"/>
        </w:rPr>
        <w:t xml:space="preserve"> as providers have changed their service plans and pricing practices.  It does not present a comprehensive comparison of pricing plans and pricing data.</w:t>
      </w:r>
      <w:r w:rsidRPr="004F3855">
        <w:rPr>
          <w:sz w:val="22"/>
          <w:szCs w:val="22"/>
          <w:vertAlign w:val="superscript"/>
        </w:rPr>
        <w:footnoteReference w:id="440"/>
      </w:r>
    </w:p>
    <w:p w:rsidR="004A147C" w:rsidRPr="00B53FFB" w:rsidRDefault="004A147C" w:rsidP="00CE5850">
      <w:pPr>
        <w:pStyle w:val="Heading3"/>
        <w:keepNext w:val="0"/>
        <w:numPr>
          <w:ilvl w:val="2"/>
          <w:numId w:val="26"/>
        </w:numPr>
        <w:tabs>
          <w:tab w:val="left" w:pos="2160"/>
        </w:tabs>
        <w:rPr>
          <w:sz w:val="22"/>
          <w:szCs w:val="22"/>
        </w:rPr>
      </w:pPr>
      <w:bookmarkStart w:id="2069" w:name="_Toc261610771"/>
      <w:bookmarkStart w:id="2070" w:name="_Toc261858504"/>
      <w:bookmarkStart w:id="2071" w:name="_Toc262034309"/>
      <w:bookmarkStart w:id="2072" w:name="_Toc262034412"/>
      <w:bookmarkStart w:id="2073" w:name="_Toc275517968"/>
      <w:bookmarkStart w:id="2074" w:name="_Toc275952408"/>
      <w:bookmarkStart w:id="2075" w:name="_Toc276121840"/>
      <w:bookmarkStart w:id="2076" w:name="_Toc276480677"/>
      <w:bookmarkStart w:id="2077" w:name="_Toc276741754"/>
      <w:bookmarkStart w:id="2078" w:name="_Toc277171518"/>
      <w:bookmarkStart w:id="2079" w:name="_Toc277864493"/>
      <w:bookmarkStart w:id="2080" w:name="_Toc277864709"/>
      <w:bookmarkStart w:id="2081" w:name="_Toc285810390"/>
      <w:bookmarkStart w:id="2082" w:name="_Toc287257784"/>
      <w:bookmarkStart w:id="2083" w:name="_Toc291758663"/>
      <w:bookmarkStart w:id="2084" w:name="_Toc291758766"/>
      <w:bookmarkStart w:id="2085" w:name="_Toc295392946"/>
      <w:bookmarkStart w:id="2086" w:name="_Toc329262497"/>
      <w:bookmarkStart w:id="2087" w:name="_Toc329852404"/>
      <w:bookmarkStart w:id="2088" w:name="_Toc331766320"/>
      <w:bookmarkStart w:id="2089" w:name="_Toc332119115"/>
      <w:bookmarkStart w:id="2090" w:name="_Toc334088792"/>
      <w:bookmarkStart w:id="2091" w:name="_Toc334089028"/>
      <w:bookmarkStart w:id="2092" w:name="_Toc334089187"/>
      <w:bookmarkStart w:id="2093" w:name="_Toc334089298"/>
      <w:bookmarkStart w:id="2094" w:name="_Toc334089462"/>
      <w:bookmarkStart w:id="2095" w:name="_Toc335839040"/>
      <w:bookmarkStart w:id="2096" w:name="_Toc336268603"/>
      <w:bookmarkStart w:id="2097" w:name="_Toc336268711"/>
      <w:bookmarkStart w:id="2098" w:name="_Toc336268818"/>
      <w:bookmarkStart w:id="2099" w:name="_Toc336269032"/>
      <w:bookmarkStart w:id="2100" w:name="_Toc336269139"/>
      <w:bookmarkStart w:id="2101" w:name="_Toc336269507"/>
      <w:bookmarkStart w:id="2102" w:name="_Toc336269653"/>
      <w:bookmarkStart w:id="2103" w:name="_Toc336270066"/>
      <w:bookmarkStart w:id="2104" w:name="_Toc336271266"/>
      <w:bookmarkStart w:id="2105" w:name="_Toc337651967"/>
      <w:bookmarkStart w:id="2106" w:name="_Toc349577155"/>
      <w:bookmarkStart w:id="2107" w:name="_Toc349579247"/>
      <w:bookmarkStart w:id="2108" w:name="_Toc349580562"/>
      <w:bookmarkStart w:id="2109" w:name="_Toc349734970"/>
      <w:bookmarkStart w:id="2110" w:name="_Toc349742335"/>
      <w:r w:rsidRPr="00B53FFB">
        <w:rPr>
          <w:sz w:val="22"/>
          <w:szCs w:val="22"/>
        </w:rPr>
        <w:t>Postpaid Service</w:t>
      </w:r>
      <w:bookmarkStart w:id="2111" w:name="_Toc179108385"/>
      <w:bookmarkStart w:id="2112" w:name="_Toc179357644"/>
      <w:bookmarkStart w:id="2113" w:name="_Toc181781128"/>
      <w:bookmarkStart w:id="2114" w:name="_Toc182218714"/>
      <w:bookmarkStart w:id="2115" w:name="_Toc182909149"/>
      <w:bookmarkStart w:id="2116" w:name="_Toc182909579"/>
      <w:bookmarkStart w:id="2117" w:name="_Toc182987229"/>
      <w:bookmarkStart w:id="2118" w:name="_Toc183244064"/>
      <w:bookmarkStart w:id="2119" w:name="_Toc183244442"/>
      <w:bookmarkStart w:id="2120" w:name="_Toc183244853"/>
      <w:bookmarkStart w:id="2121" w:name="_Toc183244971"/>
      <w:bookmarkStart w:id="2122" w:name="_Toc183245629"/>
      <w:bookmarkStart w:id="2123" w:name="_Toc183246204"/>
      <w:bookmarkStart w:id="2124" w:name="_Toc183246303"/>
      <w:bookmarkStart w:id="2125" w:name="_Ref185321346"/>
      <w:bookmarkStart w:id="2126" w:name="_Toc185667913"/>
      <w:bookmarkStart w:id="2127" w:name="_Toc185838970"/>
      <w:bookmarkStart w:id="2128" w:name="_Toc185846942"/>
      <w:bookmarkStart w:id="2129" w:name="_Toc185848548"/>
      <w:bookmarkStart w:id="2130" w:name="_Toc188946906"/>
      <w:bookmarkStart w:id="2131" w:name="_Toc189302810"/>
      <w:bookmarkEnd w:id="2069"/>
      <w:bookmarkEnd w:id="2070"/>
      <w:bookmarkEnd w:id="2071"/>
      <w:bookmarkEnd w:id="2072"/>
      <w:bookmarkEnd w:id="2073"/>
      <w:bookmarkEnd w:id="2074"/>
      <w:bookmarkEnd w:id="2075"/>
      <w:bookmarkEnd w:id="2076"/>
      <w:bookmarkEnd w:id="2077"/>
      <w:bookmarkEnd w:id="2078"/>
      <w:bookmarkEnd w:id="2079"/>
      <w:bookmarkEnd w:id="2080"/>
      <w:bookmarkEnd w:id="2081"/>
      <w:bookmarkEnd w:id="2082"/>
      <w:bookmarkEnd w:id="2083"/>
      <w:bookmarkEnd w:id="2084"/>
      <w:bookmarkEnd w:id="2085"/>
      <w:bookmarkEnd w:id="2086"/>
      <w:bookmarkEnd w:id="2087"/>
      <w:bookmarkEnd w:id="2088"/>
      <w:bookmarkEnd w:id="2089"/>
      <w:bookmarkEnd w:id="2090"/>
      <w:bookmarkEnd w:id="2091"/>
      <w:bookmarkEnd w:id="2092"/>
      <w:bookmarkEnd w:id="2093"/>
      <w:bookmarkEnd w:id="2094"/>
      <w:bookmarkEnd w:id="2095"/>
      <w:bookmarkEnd w:id="2096"/>
      <w:bookmarkEnd w:id="2097"/>
      <w:bookmarkEnd w:id="2098"/>
      <w:bookmarkEnd w:id="2099"/>
      <w:bookmarkEnd w:id="2100"/>
      <w:bookmarkEnd w:id="2101"/>
      <w:bookmarkEnd w:id="2102"/>
      <w:bookmarkEnd w:id="2103"/>
      <w:bookmarkEnd w:id="2104"/>
      <w:bookmarkEnd w:id="2105"/>
      <w:bookmarkEnd w:id="2106"/>
      <w:bookmarkEnd w:id="2107"/>
      <w:bookmarkEnd w:id="2108"/>
      <w:bookmarkEnd w:id="2109"/>
      <w:bookmarkEnd w:id="2110"/>
    </w:p>
    <w:bookmarkEnd w:id="2111"/>
    <w:bookmarkEnd w:id="2112"/>
    <w:bookmarkEnd w:id="2113"/>
    <w:bookmarkEnd w:id="2114"/>
    <w:bookmarkEnd w:id="2115"/>
    <w:bookmarkEnd w:id="2116"/>
    <w:bookmarkEnd w:id="2117"/>
    <w:bookmarkEnd w:id="2118"/>
    <w:bookmarkEnd w:id="2119"/>
    <w:bookmarkEnd w:id="2120"/>
    <w:bookmarkEnd w:id="2121"/>
    <w:bookmarkEnd w:id="2122"/>
    <w:bookmarkEnd w:id="2123"/>
    <w:bookmarkEnd w:id="2124"/>
    <w:bookmarkEnd w:id="2125"/>
    <w:bookmarkEnd w:id="2126"/>
    <w:bookmarkEnd w:id="2127"/>
    <w:bookmarkEnd w:id="2128"/>
    <w:bookmarkEnd w:id="2129"/>
    <w:bookmarkEnd w:id="2130"/>
    <w:bookmarkEnd w:id="2131"/>
    <w:p w:rsidR="004A147C" w:rsidRPr="00F040D6" w:rsidRDefault="004A147C" w:rsidP="00CE5850">
      <w:pPr>
        <w:pStyle w:val="ParaNum"/>
        <w:numPr>
          <w:ilvl w:val="0"/>
          <w:numId w:val="28"/>
        </w:numPr>
        <w:rPr>
          <w:sz w:val="22"/>
          <w:szCs w:val="22"/>
        </w:rPr>
      </w:pPr>
      <w:r w:rsidRPr="00F040D6">
        <w:rPr>
          <w:sz w:val="22"/>
          <w:szCs w:val="22"/>
        </w:rPr>
        <w:t xml:space="preserve">This section of the </w:t>
      </w:r>
      <w:r w:rsidRPr="00F040D6">
        <w:rPr>
          <w:i/>
          <w:sz w:val="22"/>
          <w:szCs w:val="22"/>
        </w:rPr>
        <w:t>Sixteenth Report</w:t>
      </w:r>
      <w:r w:rsidRPr="00F040D6">
        <w:rPr>
          <w:sz w:val="22"/>
          <w:szCs w:val="22"/>
        </w:rPr>
        <w:t xml:space="preserve"> traces the evolution of smartphone data pricing since the </w:t>
      </w:r>
      <w:r w:rsidRPr="00F040D6">
        <w:rPr>
          <w:i/>
          <w:sz w:val="22"/>
          <w:szCs w:val="22"/>
        </w:rPr>
        <w:t>Fifteenth Report</w:t>
      </w:r>
      <w:r w:rsidRPr="00F040D6">
        <w:rPr>
          <w:sz w:val="22"/>
          <w:szCs w:val="22"/>
        </w:rPr>
        <w:t xml:space="preserve">, which had focused on the industry’s shift from unlimited data pricing to tiered, usage-based data pricing for smartphones.  As discussed in the </w:t>
      </w:r>
      <w:r w:rsidRPr="00F040D6">
        <w:rPr>
          <w:i/>
          <w:sz w:val="22"/>
          <w:szCs w:val="22"/>
        </w:rPr>
        <w:t>Fifteenth Report</w:t>
      </w:r>
      <w:r w:rsidRPr="00F040D6">
        <w:rPr>
          <w:sz w:val="22"/>
          <w:szCs w:val="22"/>
        </w:rPr>
        <w:t>, this shift was a response to the effects of increased bandwidth consumption by smartphone users on network utilization and capacity constraints.</w:t>
      </w:r>
      <w:r w:rsidRPr="00F040D6">
        <w:rPr>
          <w:sz w:val="22"/>
          <w:szCs w:val="22"/>
          <w:vertAlign w:val="superscript"/>
        </w:rPr>
        <w:footnoteReference w:id="441"/>
      </w:r>
      <w:r w:rsidRPr="00F040D6">
        <w:rPr>
          <w:sz w:val="22"/>
          <w:szCs w:val="22"/>
        </w:rPr>
        <w:t xml:space="preserve">  The </w:t>
      </w:r>
      <w:r w:rsidRPr="00F040D6">
        <w:rPr>
          <w:i/>
          <w:sz w:val="22"/>
          <w:szCs w:val="22"/>
        </w:rPr>
        <w:t xml:space="preserve">Fifteenth </w:t>
      </w:r>
      <w:r w:rsidRPr="00F040D6">
        <w:rPr>
          <w:sz w:val="22"/>
          <w:szCs w:val="22"/>
        </w:rPr>
        <w:t>Report discussed the introduction of tiered smartphone data pricing by AT&amp;T in June 2010 and initial competitive responses by other providers to AT&amp;T’s pricing changes.</w:t>
      </w:r>
      <w:r w:rsidRPr="00F040D6">
        <w:rPr>
          <w:sz w:val="22"/>
          <w:szCs w:val="22"/>
          <w:vertAlign w:val="superscript"/>
        </w:rPr>
        <w:footnoteReference w:id="442"/>
      </w:r>
      <w:r w:rsidRPr="00F040D6">
        <w:rPr>
          <w:sz w:val="22"/>
          <w:szCs w:val="22"/>
        </w:rPr>
        <w:t xml:space="preserve">  As documented below, three distinct models for smartphone data pricing emerged in 2011:  (1) tiered, usage-based data pricing with overage charges (Verizon and AT&amp;T); (2) tiered, usage-based data pricing with speed reductions instead of overage charges (T-Mobile); and (3) unlimited data pricing (Sprint).  These pricing models remained relatively unchanged until the second half of 2012 when AT&amp;T and Verizon launched shared data plans for smartphones and other mobile data devices, and T-Mobile reintroduced an unlimited smartphone data pricing option.  </w:t>
      </w:r>
    </w:p>
    <w:p w:rsidR="004A147C" w:rsidRDefault="004A147C" w:rsidP="00CE5850">
      <w:pPr>
        <w:pStyle w:val="ParaNum"/>
        <w:numPr>
          <w:ilvl w:val="0"/>
          <w:numId w:val="28"/>
        </w:numPr>
        <w:rPr>
          <w:sz w:val="22"/>
          <w:szCs w:val="22"/>
        </w:rPr>
      </w:pPr>
      <w:r w:rsidRPr="00F040D6">
        <w:rPr>
          <w:i/>
          <w:sz w:val="22"/>
          <w:szCs w:val="22"/>
        </w:rPr>
        <w:t>AT&amp;T and Verizon Wireless Smartphone Data Plans</w:t>
      </w:r>
      <w:r w:rsidRPr="00F040D6">
        <w:rPr>
          <w:sz w:val="22"/>
          <w:szCs w:val="22"/>
        </w:rPr>
        <w:t xml:space="preserve">.  Through the first half of 2012, the smartphone data pricing plans offered by AT&amp;T and Verizon Wireless, summarized in </w:t>
      </w:r>
      <w:r w:rsidR="005B380F">
        <w:fldChar w:fldCharType="begin"/>
      </w:r>
      <w:r w:rsidR="005B380F">
        <w:instrText xml:space="preserve"> REF _Ref326836308 \h  \* MERGEFORMAT </w:instrText>
      </w:r>
      <w:r w:rsidR="005B380F">
        <w:fldChar w:fldCharType="separate"/>
      </w:r>
      <w:r w:rsidR="00CA3AC6" w:rsidRPr="00CA3AC6">
        <w:rPr>
          <w:sz w:val="22"/>
          <w:szCs w:val="22"/>
        </w:rPr>
        <w:t>Table 19</w:t>
      </w:r>
      <w:r w:rsidR="005B380F">
        <w:fldChar w:fldCharType="end"/>
      </w:r>
      <w:r w:rsidRPr="00F040D6">
        <w:rPr>
          <w:sz w:val="22"/>
          <w:szCs w:val="22"/>
        </w:rPr>
        <w:t xml:space="preserve"> below, shared three basic features:  (1) both discontinued a $30 per month unlimited data plan for new smartphone customers;</w:t>
      </w:r>
      <w:r w:rsidRPr="00F040D6">
        <w:rPr>
          <w:sz w:val="22"/>
          <w:szCs w:val="22"/>
          <w:vertAlign w:val="superscript"/>
        </w:rPr>
        <w:footnoteReference w:id="443"/>
      </w:r>
      <w:r w:rsidRPr="00F040D6">
        <w:rPr>
          <w:sz w:val="22"/>
          <w:szCs w:val="22"/>
        </w:rPr>
        <w:t xml:space="preserve"> (2) both offered multiple usage-based tiers with overage charges levied on customers when their monthly data usage allowance</w:t>
      </w:r>
      <w:r w:rsidR="004565AE">
        <w:rPr>
          <w:sz w:val="22"/>
          <w:szCs w:val="22"/>
        </w:rPr>
        <w:t>s</w:t>
      </w:r>
      <w:r w:rsidRPr="00F040D6">
        <w:rPr>
          <w:sz w:val="22"/>
          <w:szCs w:val="22"/>
        </w:rPr>
        <w:t xml:space="preserve"> are exceeded;</w:t>
      </w:r>
      <w:r w:rsidRPr="00F040D6">
        <w:rPr>
          <w:sz w:val="22"/>
          <w:szCs w:val="22"/>
          <w:vertAlign w:val="superscript"/>
        </w:rPr>
        <w:footnoteReference w:id="444"/>
      </w:r>
      <w:r w:rsidRPr="00F040D6">
        <w:rPr>
          <w:sz w:val="22"/>
          <w:szCs w:val="22"/>
        </w:rPr>
        <w:t xml:space="preserve"> and (3) both grandfathered their $30 per month unlimited data plan for existing smartphone users but subsequently started reducing the data throughput speeds for the heaviest data users of the grandfathered “unlimited” plans under certain circumstances.</w:t>
      </w:r>
      <w:r w:rsidRPr="00F040D6">
        <w:rPr>
          <w:sz w:val="22"/>
          <w:szCs w:val="22"/>
          <w:vertAlign w:val="superscript"/>
        </w:rPr>
        <w:footnoteReference w:id="445"/>
      </w:r>
      <w:r w:rsidRPr="00F040D6">
        <w:rPr>
          <w:sz w:val="22"/>
          <w:szCs w:val="22"/>
        </w:rPr>
        <w:t xml:space="preserve">  As with the original unlimited data plans, customers who purchased one of the tiered data plans were also required to purchase a voice plan for an additional monthly charge.</w:t>
      </w:r>
      <w:r w:rsidRPr="00F040D6">
        <w:rPr>
          <w:sz w:val="22"/>
          <w:szCs w:val="22"/>
          <w:vertAlign w:val="superscript"/>
        </w:rPr>
        <w:footnoteReference w:id="446"/>
      </w:r>
    </w:p>
    <w:p w:rsidR="00856523" w:rsidRDefault="00856523" w:rsidP="00856523">
      <w:pPr>
        <w:pStyle w:val="ParaNum"/>
        <w:tabs>
          <w:tab w:val="clear" w:pos="1440"/>
        </w:tabs>
        <w:rPr>
          <w:sz w:val="22"/>
          <w:szCs w:val="22"/>
        </w:rPr>
      </w:pPr>
    </w:p>
    <w:p w:rsidR="00856523" w:rsidRDefault="00856523" w:rsidP="00856523">
      <w:pPr>
        <w:pStyle w:val="ParaNum"/>
        <w:tabs>
          <w:tab w:val="clear" w:pos="1440"/>
        </w:tabs>
        <w:rPr>
          <w:sz w:val="22"/>
          <w:szCs w:val="22"/>
        </w:rPr>
      </w:pPr>
    </w:p>
    <w:p w:rsidR="00856523" w:rsidRDefault="00856523" w:rsidP="00856523">
      <w:pPr>
        <w:pStyle w:val="ParaNum"/>
        <w:tabs>
          <w:tab w:val="clear" w:pos="1440"/>
        </w:tabs>
        <w:rPr>
          <w:sz w:val="22"/>
          <w:szCs w:val="22"/>
        </w:rPr>
      </w:pPr>
    </w:p>
    <w:p w:rsidR="00856523" w:rsidRDefault="00856523" w:rsidP="00856523">
      <w:pPr>
        <w:pStyle w:val="ParaNum"/>
        <w:tabs>
          <w:tab w:val="clear" w:pos="1440"/>
        </w:tabs>
        <w:rPr>
          <w:sz w:val="22"/>
          <w:szCs w:val="22"/>
        </w:rPr>
      </w:pPr>
    </w:p>
    <w:p w:rsidR="00856523" w:rsidRDefault="00856523" w:rsidP="00856523">
      <w:pPr>
        <w:pStyle w:val="ParaNum"/>
        <w:tabs>
          <w:tab w:val="clear" w:pos="1440"/>
        </w:tabs>
        <w:rPr>
          <w:sz w:val="22"/>
          <w:szCs w:val="22"/>
        </w:rPr>
      </w:pPr>
    </w:p>
    <w:p w:rsidR="00856523" w:rsidRDefault="00856523" w:rsidP="00856523">
      <w:pPr>
        <w:pStyle w:val="ParaNum"/>
        <w:tabs>
          <w:tab w:val="clear" w:pos="1440"/>
        </w:tabs>
        <w:rPr>
          <w:sz w:val="22"/>
          <w:szCs w:val="22"/>
        </w:rPr>
      </w:pPr>
    </w:p>
    <w:p w:rsidR="00856523" w:rsidRDefault="00856523" w:rsidP="00856523">
      <w:pPr>
        <w:pStyle w:val="ParaNum"/>
        <w:tabs>
          <w:tab w:val="clear" w:pos="1440"/>
        </w:tabs>
        <w:rPr>
          <w:sz w:val="22"/>
          <w:szCs w:val="22"/>
        </w:rPr>
      </w:pPr>
    </w:p>
    <w:p w:rsidR="00856523" w:rsidRDefault="00856523" w:rsidP="00856523">
      <w:pPr>
        <w:pStyle w:val="ParaNum"/>
        <w:tabs>
          <w:tab w:val="clear" w:pos="1440"/>
        </w:tabs>
        <w:rPr>
          <w:sz w:val="22"/>
          <w:szCs w:val="22"/>
        </w:rPr>
      </w:pPr>
    </w:p>
    <w:p w:rsidR="00856523" w:rsidRDefault="00856523" w:rsidP="00856523">
      <w:pPr>
        <w:pStyle w:val="ParaNum"/>
        <w:tabs>
          <w:tab w:val="clear" w:pos="1440"/>
        </w:tabs>
        <w:rPr>
          <w:sz w:val="22"/>
          <w:szCs w:val="22"/>
        </w:rPr>
      </w:pPr>
    </w:p>
    <w:p w:rsidR="00856523" w:rsidRDefault="00856523" w:rsidP="00856523">
      <w:pPr>
        <w:pStyle w:val="ParaNum"/>
        <w:tabs>
          <w:tab w:val="clear" w:pos="1440"/>
        </w:tabs>
        <w:rPr>
          <w:sz w:val="22"/>
          <w:szCs w:val="22"/>
        </w:rPr>
      </w:pPr>
    </w:p>
    <w:p w:rsidR="00856523" w:rsidRDefault="00856523" w:rsidP="00856523">
      <w:pPr>
        <w:pStyle w:val="ParaNum"/>
        <w:tabs>
          <w:tab w:val="clear" w:pos="1440"/>
        </w:tabs>
        <w:rPr>
          <w:sz w:val="22"/>
          <w:szCs w:val="22"/>
        </w:rPr>
      </w:pPr>
    </w:p>
    <w:p w:rsidR="00856523" w:rsidRDefault="00856523" w:rsidP="00856523">
      <w:pPr>
        <w:pStyle w:val="ParaNum"/>
        <w:tabs>
          <w:tab w:val="clear" w:pos="1440"/>
        </w:tabs>
        <w:rPr>
          <w:sz w:val="22"/>
          <w:szCs w:val="22"/>
        </w:rPr>
      </w:pPr>
    </w:p>
    <w:p w:rsidR="00856523" w:rsidRDefault="00856523" w:rsidP="00856523">
      <w:pPr>
        <w:pStyle w:val="ParaNum"/>
        <w:tabs>
          <w:tab w:val="clear" w:pos="1440"/>
        </w:tabs>
        <w:rPr>
          <w:sz w:val="22"/>
          <w:szCs w:val="22"/>
        </w:rPr>
      </w:pPr>
    </w:p>
    <w:p w:rsidR="00856523" w:rsidRDefault="00856523" w:rsidP="00856523">
      <w:pPr>
        <w:pStyle w:val="ParaNum"/>
        <w:tabs>
          <w:tab w:val="clear" w:pos="1440"/>
        </w:tabs>
        <w:rPr>
          <w:sz w:val="22"/>
          <w:szCs w:val="22"/>
        </w:rPr>
      </w:pPr>
    </w:p>
    <w:p w:rsidR="00856523" w:rsidRDefault="00856523" w:rsidP="00856523">
      <w:pPr>
        <w:pStyle w:val="ParaNum"/>
        <w:tabs>
          <w:tab w:val="clear" w:pos="1440"/>
        </w:tabs>
        <w:rPr>
          <w:sz w:val="22"/>
          <w:szCs w:val="22"/>
        </w:rPr>
      </w:pPr>
    </w:p>
    <w:p w:rsidR="00856523" w:rsidRDefault="00856523" w:rsidP="00856523">
      <w:pPr>
        <w:pStyle w:val="ParaNum"/>
        <w:tabs>
          <w:tab w:val="clear" w:pos="1440"/>
        </w:tabs>
        <w:rPr>
          <w:sz w:val="22"/>
          <w:szCs w:val="22"/>
        </w:rPr>
      </w:pPr>
    </w:p>
    <w:p w:rsidR="00856523" w:rsidRPr="00F040D6" w:rsidRDefault="00856523" w:rsidP="00856523">
      <w:pPr>
        <w:pStyle w:val="ParaNum"/>
        <w:tabs>
          <w:tab w:val="clear" w:pos="1440"/>
        </w:tabs>
        <w:rPr>
          <w:sz w:val="22"/>
          <w:szCs w:val="22"/>
        </w:rPr>
      </w:pPr>
    </w:p>
    <w:p w:rsidR="004A147C" w:rsidRPr="00F040D6" w:rsidRDefault="004A147C" w:rsidP="00CE5850">
      <w:pPr>
        <w:pStyle w:val="ListParagraph"/>
        <w:spacing w:before="120"/>
        <w:ind w:left="0"/>
        <w:jc w:val="center"/>
        <w:rPr>
          <w:b/>
          <w:bCs/>
        </w:rPr>
      </w:pPr>
      <w:bookmarkStart w:id="2132" w:name="_Ref326836308"/>
      <w:r w:rsidRPr="00F040D6">
        <w:rPr>
          <w:b/>
          <w:bCs/>
        </w:rPr>
        <w:t xml:space="preserve">Table </w:t>
      </w:r>
      <w:r w:rsidR="0007014B" w:rsidRPr="00F040D6">
        <w:rPr>
          <w:b/>
          <w:bCs/>
        </w:rPr>
        <w:fldChar w:fldCharType="begin"/>
      </w:r>
      <w:r w:rsidRPr="00F040D6">
        <w:rPr>
          <w:b/>
          <w:bCs/>
        </w:rPr>
        <w:instrText xml:space="preserve"> SEQ Table \* ARABIC </w:instrText>
      </w:r>
      <w:r w:rsidR="0007014B" w:rsidRPr="00F040D6">
        <w:rPr>
          <w:b/>
          <w:bCs/>
        </w:rPr>
        <w:fldChar w:fldCharType="separate"/>
      </w:r>
      <w:r w:rsidR="00CA3AC6">
        <w:rPr>
          <w:b/>
          <w:bCs/>
          <w:noProof/>
        </w:rPr>
        <w:t>19</w:t>
      </w:r>
      <w:r w:rsidR="0007014B" w:rsidRPr="00F040D6">
        <w:rPr>
          <w:b/>
          <w:bCs/>
        </w:rPr>
        <w:fldChar w:fldCharType="end"/>
      </w:r>
      <w:bookmarkEnd w:id="2132"/>
    </w:p>
    <w:p w:rsidR="004A147C" w:rsidRPr="00F040D6" w:rsidRDefault="004A147C" w:rsidP="00CE5850">
      <w:pPr>
        <w:pStyle w:val="ListParagraph"/>
        <w:spacing w:after="120"/>
        <w:ind w:left="0"/>
        <w:jc w:val="center"/>
        <w:rPr>
          <w:b/>
          <w:bCs/>
        </w:rPr>
      </w:pPr>
      <w:r w:rsidRPr="00F040D6">
        <w:rPr>
          <w:b/>
          <w:bCs/>
        </w:rPr>
        <w:t>AT&amp;T and Verizon Wireless Data Plans: Unlimited with Reduced Speeds, Tiered with Overage Charges, June 2010- June 2012</w:t>
      </w:r>
      <w:r w:rsidRPr="00FE5EC9">
        <w:rPr>
          <w:vertAlign w:val="superscript"/>
        </w:rPr>
        <w:footnoteReference w:id="447"/>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023"/>
        <w:gridCol w:w="1452"/>
        <w:gridCol w:w="3254"/>
        <w:gridCol w:w="656"/>
        <w:gridCol w:w="1057"/>
        <w:gridCol w:w="1073"/>
        <w:gridCol w:w="1061"/>
      </w:tblGrid>
      <w:tr w:rsidR="004A147C" w:rsidRPr="00FE5EC9" w:rsidTr="00F040D6">
        <w:tc>
          <w:tcPr>
            <w:tcW w:w="0" w:type="auto"/>
          </w:tcPr>
          <w:p w:rsidR="004A147C" w:rsidRPr="00FE5EC9" w:rsidRDefault="004A147C" w:rsidP="00CE5850">
            <w:pPr>
              <w:spacing w:after="120"/>
            </w:pPr>
          </w:p>
        </w:tc>
        <w:tc>
          <w:tcPr>
            <w:tcW w:w="0" w:type="auto"/>
            <w:gridSpan w:val="2"/>
          </w:tcPr>
          <w:p w:rsidR="004A147C" w:rsidRPr="00FE5EC9" w:rsidRDefault="004A147C" w:rsidP="00CE5850">
            <w:pPr>
              <w:spacing w:after="120"/>
              <w:rPr>
                <w:b/>
              </w:rPr>
            </w:pPr>
            <w:r w:rsidRPr="00FE5EC9">
              <w:rPr>
                <w:b/>
              </w:rPr>
              <w:t>Unlimited Data Plans</w:t>
            </w:r>
          </w:p>
          <w:p w:rsidR="004A147C" w:rsidRPr="00FE5EC9" w:rsidRDefault="004A147C" w:rsidP="00CE5850">
            <w:pPr>
              <w:spacing w:after="120"/>
            </w:pPr>
          </w:p>
        </w:tc>
        <w:tc>
          <w:tcPr>
            <w:tcW w:w="0" w:type="auto"/>
            <w:gridSpan w:val="4"/>
          </w:tcPr>
          <w:p w:rsidR="004A147C" w:rsidRPr="00FE5EC9" w:rsidRDefault="004A147C" w:rsidP="00CE5850">
            <w:pPr>
              <w:spacing w:after="120"/>
              <w:rPr>
                <w:b/>
              </w:rPr>
            </w:pPr>
            <w:r w:rsidRPr="00FE5EC9">
              <w:rPr>
                <w:b/>
              </w:rPr>
              <w:t>Tiered Data Plans</w:t>
            </w:r>
          </w:p>
        </w:tc>
      </w:tr>
      <w:tr w:rsidR="004A147C" w:rsidRPr="00FE5EC9" w:rsidTr="00F040D6">
        <w:tc>
          <w:tcPr>
            <w:tcW w:w="0" w:type="auto"/>
          </w:tcPr>
          <w:p w:rsidR="004A147C" w:rsidRPr="00FE5EC9" w:rsidRDefault="004A147C" w:rsidP="00CE5850">
            <w:pPr>
              <w:spacing w:after="120"/>
            </w:pPr>
          </w:p>
        </w:tc>
        <w:tc>
          <w:tcPr>
            <w:tcW w:w="0" w:type="auto"/>
          </w:tcPr>
          <w:p w:rsidR="004A147C" w:rsidRPr="00FE5EC9" w:rsidRDefault="004A147C" w:rsidP="00CE5850">
            <w:pPr>
              <w:spacing w:after="120"/>
            </w:pPr>
            <w:r w:rsidRPr="00FE5EC9">
              <w:rPr>
                <w:b/>
              </w:rPr>
              <w:t xml:space="preserve">New Customers </w:t>
            </w:r>
          </w:p>
        </w:tc>
        <w:tc>
          <w:tcPr>
            <w:tcW w:w="0" w:type="auto"/>
          </w:tcPr>
          <w:p w:rsidR="004A147C" w:rsidRPr="00FE5EC9" w:rsidRDefault="004A147C" w:rsidP="00CE5850">
            <w:pPr>
              <w:spacing w:after="120"/>
            </w:pPr>
            <w:r w:rsidRPr="00FE5EC9">
              <w:rPr>
                <w:b/>
              </w:rPr>
              <w:t>Existing Customers (grandfathered with reduced speeds for heaviest data users)</w:t>
            </w:r>
          </w:p>
        </w:tc>
        <w:tc>
          <w:tcPr>
            <w:tcW w:w="0" w:type="auto"/>
          </w:tcPr>
          <w:p w:rsidR="004A147C" w:rsidRPr="00FE5EC9" w:rsidRDefault="004A147C" w:rsidP="00CE5850">
            <w:pPr>
              <w:spacing w:after="120"/>
              <w:rPr>
                <w:b/>
              </w:rPr>
            </w:pPr>
            <w:r w:rsidRPr="00FE5EC9">
              <w:rPr>
                <w:b/>
              </w:rPr>
              <w:t>Date</w:t>
            </w:r>
          </w:p>
        </w:tc>
        <w:tc>
          <w:tcPr>
            <w:tcW w:w="0" w:type="auto"/>
          </w:tcPr>
          <w:p w:rsidR="004A147C" w:rsidRPr="00FE5EC9" w:rsidRDefault="004A147C" w:rsidP="00CE5850">
            <w:pPr>
              <w:spacing w:after="120"/>
              <w:rPr>
                <w:b/>
              </w:rPr>
            </w:pPr>
            <w:r w:rsidRPr="00FE5EC9">
              <w:rPr>
                <w:b/>
              </w:rPr>
              <w:t xml:space="preserve">Monthly Data </w:t>
            </w:r>
          </w:p>
        </w:tc>
        <w:tc>
          <w:tcPr>
            <w:tcW w:w="0" w:type="auto"/>
          </w:tcPr>
          <w:p w:rsidR="004A147C" w:rsidRPr="00FE5EC9" w:rsidRDefault="004A147C" w:rsidP="00CE5850">
            <w:pPr>
              <w:spacing w:after="120"/>
              <w:rPr>
                <w:b/>
              </w:rPr>
            </w:pPr>
            <w:r w:rsidRPr="00FE5EC9">
              <w:rPr>
                <w:b/>
              </w:rPr>
              <w:t>Monthly Charge</w:t>
            </w:r>
          </w:p>
        </w:tc>
        <w:tc>
          <w:tcPr>
            <w:tcW w:w="0" w:type="auto"/>
          </w:tcPr>
          <w:p w:rsidR="004A147C" w:rsidRPr="00FE5EC9" w:rsidRDefault="004A147C" w:rsidP="00CE5850">
            <w:pPr>
              <w:spacing w:after="120"/>
              <w:rPr>
                <w:b/>
              </w:rPr>
            </w:pPr>
            <w:r w:rsidRPr="00FE5EC9">
              <w:rPr>
                <w:b/>
              </w:rPr>
              <w:t>Overage Charge</w:t>
            </w:r>
          </w:p>
        </w:tc>
      </w:tr>
      <w:tr w:rsidR="004A147C" w:rsidRPr="00FE5EC9" w:rsidTr="00F040D6">
        <w:tc>
          <w:tcPr>
            <w:tcW w:w="0" w:type="auto"/>
            <w:vMerge w:val="restart"/>
          </w:tcPr>
          <w:p w:rsidR="004A147C" w:rsidRPr="00FE5EC9" w:rsidRDefault="004A147C" w:rsidP="00CE5850">
            <w:pPr>
              <w:spacing w:after="120"/>
              <w:rPr>
                <w:b/>
              </w:rPr>
            </w:pPr>
            <w:r w:rsidRPr="00FE5EC9">
              <w:rPr>
                <w:b/>
              </w:rPr>
              <w:t>AT&amp;T</w:t>
            </w:r>
          </w:p>
        </w:tc>
        <w:tc>
          <w:tcPr>
            <w:tcW w:w="0" w:type="auto"/>
            <w:vMerge w:val="restart"/>
          </w:tcPr>
          <w:p w:rsidR="004A147C" w:rsidRPr="00FE5EC9" w:rsidRDefault="004A147C" w:rsidP="00CE5850">
            <w:pPr>
              <w:spacing w:after="120"/>
            </w:pPr>
            <w:r w:rsidRPr="00FE5EC9">
              <w:t>Discontinued 6/07/2010</w:t>
            </w:r>
          </w:p>
        </w:tc>
        <w:tc>
          <w:tcPr>
            <w:tcW w:w="0" w:type="auto"/>
            <w:vMerge w:val="restart"/>
          </w:tcPr>
          <w:p w:rsidR="004A147C" w:rsidRPr="00FE5EC9" w:rsidRDefault="004A147C" w:rsidP="00CE5850">
            <w:pPr>
              <w:spacing w:after="120"/>
            </w:pPr>
            <w:r w:rsidRPr="00FE5EC9">
              <w:t xml:space="preserve">As of 10/2011, AT&amp;T has reserved the right to reduce data speeds for the top 5 percent of data users in a given billing period. </w:t>
            </w:r>
          </w:p>
          <w:p w:rsidR="004A147C" w:rsidRPr="00FE5EC9" w:rsidRDefault="004A147C" w:rsidP="00CE5850">
            <w:pPr>
              <w:spacing w:after="120"/>
            </w:pPr>
            <w:r w:rsidRPr="00FE5EC9">
              <w:t>As of 3/2012, AT&amp;T will only slow data speeds when users reach 3 GB of usage in a billing cycle, or 5 GB for LTE customers.</w:t>
            </w:r>
          </w:p>
        </w:tc>
        <w:tc>
          <w:tcPr>
            <w:tcW w:w="0" w:type="auto"/>
            <w:vMerge w:val="restart"/>
          </w:tcPr>
          <w:p w:rsidR="004A147C" w:rsidRPr="00FE5EC9" w:rsidRDefault="004A147C" w:rsidP="00CE5850">
            <w:pPr>
              <w:spacing w:after="120"/>
            </w:pPr>
          </w:p>
          <w:p w:rsidR="004A147C" w:rsidRPr="00FE5EC9" w:rsidRDefault="004A147C" w:rsidP="00CE5850">
            <w:pPr>
              <w:spacing w:after="120"/>
            </w:pPr>
            <w:r w:rsidRPr="00FE5EC9">
              <w:t xml:space="preserve">June </w:t>
            </w:r>
          </w:p>
          <w:p w:rsidR="004A147C" w:rsidRPr="00FE5EC9" w:rsidRDefault="004A147C" w:rsidP="00CE5850">
            <w:pPr>
              <w:spacing w:after="120"/>
            </w:pPr>
            <w:r w:rsidRPr="00FE5EC9">
              <w:t>2010</w:t>
            </w:r>
          </w:p>
        </w:tc>
        <w:tc>
          <w:tcPr>
            <w:tcW w:w="0" w:type="auto"/>
          </w:tcPr>
          <w:p w:rsidR="004A147C" w:rsidRPr="00FE5EC9" w:rsidRDefault="004A147C" w:rsidP="00CE5850">
            <w:pPr>
              <w:spacing w:after="120"/>
            </w:pPr>
            <w:r w:rsidRPr="00FE5EC9">
              <w:t>200 MB</w:t>
            </w:r>
          </w:p>
        </w:tc>
        <w:tc>
          <w:tcPr>
            <w:tcW w:w="0" w:type="auto"/>
          </w:tcPr>
          <w:p w:rsidR="004A147C" w:rsidRPr="00FE5EC9" w:rsidRDefault="004A147C" w:rsidP="00CE5850">
            <w:pPr>
              <w:spacing w:after="120"/>
            </w:pPr>
            <w:r w:rsidRPr="00FE5EC9">
              <w:t>$15</w:t>
            </w:r>
          </w:p>
        </w:tc>
        <w:tc>
          <w:tcPr>
            <w:tcW w:w="0" w:type="auto"/>
          </w:tcPr>
          <w:p w:rsidR="004A147C" w:rsidRPr="00FE5EC9" w:rsidRDefault="004A147C" w:rsidP="00CE5850">
            <w:pPr>
              <w:spacing w:after="120"/>
            </w:pPr>
            <w:r w:rsidRPr="00FE5EC9">
              <w:t>$15 per 200 MB</w:t>
            </w:r>
          </w:p>
        </w:tc>
      </w:tr>
      <w:tr w:rsidR="004A147C" w:rsidRPr="00FE5EC9" w:rsidTr="00F040D6">
        <w:tc>
          <w:tcPr>
            <w:tcW w:w="0" w:type="auto"/>
            <w:vMerge/>
          </w:tcPr>
          <w:p w:rsidR="004A147C" w:rsidRPr="00FE5EC9" w:rsidRDefault="004A147C" w:rsidP="00CE5850">
            <w:pPr>
              <w:spacing w:after="120"/>
            </w:pPr>
          </w:p>
        </w:tc>
        <w:tc>
          <w:tcPr>
            <w:tcW w:w="0" w:type="auto"/>
            <w:vMerge/>
          </w:tcPr>
          <w:p w:rsidR="004A147C" w:rsidRPr="00FE5EC9" w:rsidRDefault="004A147C" w:rsidP="00CE5850">
            <w:pPr>
              <w:spacing w:after="120"/>
            </w:pPr>
          </w:p>
        </w:tc>
        <w:tc>
          <w:tcPr>
            <w:tcW w:w="0" w:type="auto"/>
            <w:vMerge/>
          </w:tcPr>
          <w:p w:rsidR="004A147C" w:rsidRPr="00FE5EC9" w:rsidRDefault="004A147C" w:rsidP="00CE5850">
            <w:pPr>
              <w:spacing w:after="120"/>
            </w:pPr>
          </w:p>
        </w:tc>
        <w:tc>
          <w:tcPr>
            <w:tcW w:w="0" w:type="auto"/>
            <w:vMerge/>
          </w:tcPr>
          <w:p w:rsidR="004A147C" w:rsidRPr="00FE5EC9" w:rsidRDefault="004A147C" w:rsidP="00CE5850">
            <w:pPr>
              <w:spacing w:after="120"/>
            </w:pPr>
          </w:p>
        </w:tc>
        <w:tc>
          <w:tcPr>
            <w:tcW w:w="0" w:type="auto"/>
          </w:tcPr>
          <w:p w:rsidR="004A147C" w:rsidRPr="00FE5EC9" w:rsidRDefault="004A147C" w:rsidP="00CE5850">
            <w:pPr>
              <w:spacing w:after="120"/>
            </w:pPr>
            <w:r w:rsidRPr="00FE5EC9">
              <w:t>2 GB</w:t>
            </w:r>
          </w:p>
        </w:tc>
        <w:tc>
          <w:tcPr>
            <w:tcW w:w="0" w:type="auto"/>
          </w:tcPr>
          <w:p w:rsidR="004A147C" w:rsidRPr="00FE5EC9" w:rsidRDefault="004A147C" w:rsidP="00CE5850">
            <w:pPr>
              <w:spacing w:after="120"/>
            </w:pPr>
            <w:r w:rsidRPr="00FE5EC9">
              <w:t>$25</w:t>
            </w:r>
          </w:p>
        </w:tc>
        <w:tc>
          <w:tcPr>
            <w:tcW w:w="0" w:type="auto"/>
          </w:tcPr>
          <w:p w:rsidR="004A147C" w:rsidRPr="00FE5EC9" w:rsidRDefault="004A147C" w:rsidP="00CE5850">
            <w:pPr>
              <w:spacing w:after="120"/>
            </w:pPr>
            <w:r w:rsidRPr="00FE5EC9">
              <w:t>$10 per GB</w:t>
            </w:r>
          </w:p>
        </w:tc>
      </w:tr>
      <w:tr w:rsidR="004A147C" w:rsidRPr="00FE5EC9" w:rsidTr="00F040D6">
        <w:tc>
          <w:tcPr>
            <w:tcW w:w="0" w:type="auto"/>
            <w:vMerge/>
          </w:tcPr>
          <w:p w:rsidR="004A147C" w:rsidRPr="00FE5EC9" w:rsidRDefault="004A147C" w:rsidP="00CE5850">
            <w:pPr>
              <w:spacing w:after="120"/>
            </w:pPr>
          </w:p>
        </w:tc>
        <w:tc>
          <w:tcPr>
            <w:tcW w:w="0" w:type="auto"/>
            <w:vMerge/>
          </w:tcPr>
          <w:p w:rsidR="004A147C" w:rsidRPr="00FE5EC9" w:rsidRDefault="004A147C" w:rsidP="00CE5850">
            <w:pPr>
              <w:spacing w:after="120"/>
            </w:pPr>
          </w:p>
        </w:tc>
        <w:tc>
          <w:tcPr>
            <w:tcW w:w="0" w:type="auto"/>
            <w:vMerge/>
          </w:tcPr>
          <w:p w:rsidR="004A147C" w:rsidRPr="00FE5EC9" w:rsidRDefault="004A147C" w:rsidP="00CE5850">
            <w:pPr>
              <w:spacing w:after="120"/>
            </w:pPr>
          </w:p>
        </w:tc>
        <w:tc>
          <w:tcPr>
            <w:tcW w:w="0" w:type="auto"/>
            <w:vMerge w:val="restart"/>
          </w:tcPr>
          <w:p w:rsidR="004A147C" w:rsidRPr="00FE5EC9" w:rsidRDefault="004A147C" w:rsidP="00CE5850">
            <w:pPr>
              <w:spacing w:after="120"/>
            </w:pPr>
          </w:p>
          <w:p w:rsidR="004A147C" w:rsidRPr="00FE5EC9" w:rsidRDefault="004A147C" w:rsidP="00CE5850">
            <w:pPr>
              <w:spacing w:after="120"/>
            </w:pPr>
            <w:r w:rsidRPr="00FE5EC9">
              <w:t>Jan.</w:t>
            </w:r>
          </w:p>
          <w:p w:rsidR="004A147C" w:rsidRPr="00FE5EC9" w:rsidRDefault="004A147C" w:rsidP="00CE5850">
            <w:pPr>
              <w:spacing w:after="120"/>
            </w:pPr>
            <w:r w:rsidRPr="00FE5EC9">
              <w:t>2012</w:t>
            </w:r>
          </w:p>
        </w:tc>
        <w:tc>
          <w:tcPr>
            <w:tcW w:w="0" w:type="auto"/>
          </w:tcPr>
          <w:p w:rsidR="004A147C" w:rsidRPr="00FE5EC9" w:rsidRDefault="004A147C" w:rsidP="00CE5850">
            <w:pPr>
              <w:spacing w:after="120"/>
            </w:pPr>
            <w:r w:rsidRPr="00FE5EC9">
              <w:t>300 MB</w:t>
            </w:r>
          </w:p>
        </w:tc>
        <w:tc>
          <w:tcPr>
            <w:tcW w:w="0" w:type="auto"/>
          </w:tcPr>
          <w:p w:rsidR="004A147C" w:rsidRPr="00FE5EC9" w:rsidRDefault="004A147C" w:rsidP="00CE5850">
            <w:pPr>
              <w:spacing w:after="120"/>
            </w:pPr>
            <w:r w:rsidRPr="00FE5EC9">
              <w:t>$20</w:t>
            </w:r>
          </w:p>
        </w:tc>
        <w:tc>
          <w:tcPr>
            <w:tcW w:w="0" w:type="auto"/>
          </w:tcPr>
          <w:p w:rsidR="004A147C" w:rsidRPr="00FE5EC9" w:rsidRDefault="004A147C" w:rsidP="00CE5850">
            <w:pPr>
              <w:spacing w:after="120"/>
            </w:pPr>
            <w:r w:rsidRPr="00FE5EC9">
              <w:t>$20 per 300 MB</w:t>
            </w:r>
          </w:p>
        </w:tc>
      </w:tr>
      <w:tr w:rsidR="004A147C" w:rsidRPr="00FE5EC9" w:rsidTr="00F040D6">
        <w:tc>
          <w:tcPr>
            <w:tcW w:w="0" w:type="auto"/>
            <w:vMerge/>
          </w:tcPr>
          <w:p w:rsidR="004A147C" w:rsidRPr="00FE5EC9" w:rsidRDefault="004A147C" w:rsidP="00CE5850">
            <w:pPr>
              <w:spacing w:after="120"/>
            </w:pPr>
          </w:p>
        </w:tc>
        <w:tc>
          <w:tcPr>
            <w:tcW w:w="0" w:type="auto"/>
            <w:vMerge/>
          </w:tcPr>
          <w:p w:rsidR="004A147C" w:rsidRPr="00FE5EC9" w:rsidRDefault="004A147C" w:rsidP="00CE5850">
            <w:pPr>
              <w:spacing w:after="120"/>
            </w:pPr>
          </w:p>
        </w:tc>
        <w:tc>
          <w:tcPr>
            <w:tcW w:w="0" w:type="auto"/>
            <w:vMerge/>
          </w:tcPr>
          <w:p w:rsidR="004A147C" w:rsidRPr="00FE5EC9" w:rsidRDefault="004A147C" w:rsidP="00CE5850">
            <w:pPr>
              <w:spacing w:after="120"/>
            </w:pPr>
          </w:p>
        </w:tc>
        <w:tc>
          <w:tcPr>
            <w:tcW w:w="0" w:type="auto"/>
            <w:vMerge/>
          </w:tcPr>
          <w:p w:rsidR="004A147C" w:rsidRPr="00FE5EC9" w:rsidRDefault="004A147C" w:rsidP="00CE5850">
            <w:pPr>
              <w:spacing w:after="120"/>
            </w:pPr>
          </w:p>
        </w:tc>
        <w:tc>
          <w:tcPr>
            <w:tcW w:w="0" w:type="auto"/>
          </w:tcPr>
          <w:p w:rsidR="004A147C" w:rsidRPr="00FE5EC9" w:rsidRDefault="004A147C" w:rsidP="00CE5850">
            <w:pPr>
              <w:spacing w:after="120"/>
            </w:pPr>
            <w:r w:rsidRPr="00FE5EC9">
              <w:t>3 GB</w:t>
            </w:r>
          </w:p>
        </w:tc>
        <w:tc>
          <w:tcPr>
            <w:tcW w:w="0" w:type="auto"/>
          </w:tcPr>
          <w:p w:rsidR="004A147C" w:rsidRPr="00FE5EC9" w:rsidRDefault="004A147C" w:rsidP="00CE5850">
            <w:pPr>
              <w:spacing w:after="120"/>
            </w:pPr>
            <w:r w:rsidRPr="00FE5EC9">
              <w:t>$30</w:t>
            </w:r>
          </w:p>
        </w:tc>
        <w:tc>
          <w:tcPr>
            <w:tcW w:w="0" w:type="auto"/>
          </w:tcPr>
          <w:p w:rsidR="004A147C" w:rsidRPr="00FE5EC9" w:rsidRDefault="004A147C" w:rsidP="00CE5850">
            <w:pPr>
              <w:spacing w:after="120"/>
            </w:pPr>
            <w:r w:rsidRPr="00FE5EC9">
              <w:t>$10 per GB</w:t>
            </w:r>
          </w:p>
        </w:tc>
      </w:tr>
      <w:tr w:rsidR="004A147C" w:rsidRPr="00FE5EC9" w:rsidTr="00F040D6">
        <w:tc>
          <w:tcPr>
            <w:tcW w:w="0" w:type="auto"/>
            <w:vMerge/>
          </w:tcPr>
          <w:p w:rsidR="004A147C" w:rsidRPr="00FE5EC9" w:rsidRDefault="004A147C" w:rsidP="00CE5850">
            <w:pPr>
              <w:spacing w:after="120"/>
            </w:pPr>
          </w:p>
        </w:tc>
        <w:tc>
          <w:tcPr>
            <w:tcW w:w="0" w:type="auto"/>
            <w:vMerge/>
          </w:tcPr>
          <w:p w:rsidR="004A147C" w:rsidRPr="00FE5EC9" w:rsidRDefault="004A147C" w:rsidP="00CE5850">
            <w:pPr>
              <w:spacing w:after="120"/>
            </w:pPr>
          </w:p>
        </w:tc>
        <w:tc>
          <w:tcPr>
            <w:tcW w:w="0" w:type="auto"/>
            <w:vMerge/>
          </w:tcPr>
          <w:p w:rsidR="004A147C" w:rsidRPr="00FE5EC9" w:rsidRDefault="004A147C" w:rsidP="00CE5850">
            <w:pPr>
              <w:spacing w:after="120"/>
            </w:pPr>
          </w:p>
        </w:tc>
        <w:tc>
          <w:tcPr>
            <w:tcW w:w="0" w:type="auto"/>
            <w:vMerge/>
          </w:tcPr>
          <w:p w:rsidR="004A147C" w:rsidRPr="00FE5EC9" w:rsidRDefault="004A147C" w:rsidP="00CE5850">
            <w:pPr>
              <w:spacing w:after="120"/>
            </w:pPr>
          </w:p>
        </w:tc>
        <w:tc>
          <w:tcPr>
            <w:tcW w:w="0" w:type="auto"/>
          </w:tcPr>
          <w:p w:rsidR="004A147C" w:rsidRPr="00FE5EC9" w:rsidRDefault="004A147C" w:rsidP="00CE5850">
            <w:pPr>
              <w:spacing w:after="120"/>
            </w:pPr>
            <w:r w:rsidRPr="00FE5EC9">
              <w:t>5 GB</w:t>
            </w:r>
          </w:p>
        </w:tc>
        <w:tc>
          <w:tcPr>
            <w:tcW w:w="0" w:type="auto"/>
          </w:tcPr>
          <w:p w:rsidR="004A147C" w:rsidRPr="00FE5EC9" w:rsidRDefault="004A147C" w:rsidP="00CE5850">
            <w:pPr>
              <w:spacing w:after="120"/>
            </w:pPr>
            <w:r w:rsidRPr="00FE5EC9">
              <w:t>$50</w:t>
            </w:r>
          </w:p>
        </w:tc>
        <w:tc>
          <w:tcPr>
            <w:tcW w:w="0" w:type="auto"/>
          </w:tcPr>
          <w:p w:rsidR="004A147C" w:rsidRPr="00FE5EC9" w:rsidRDefault="004A147C" w:rsidP="00CE5850">
            <w:pPr>
              <w:spacing w:after="120"/>
            </w:pPr>
            <w:r w:rsidRPr="00FE5EC9">
              <w:t>$10 per GB</w:t>
            </w:r>
          </w:p>
        </w:tc>
      </w:tr>
      <w:tr w:rsidR="004A147C" w:rsidRPr="00FE5EC9" w:rsidTr="00F040D6">
        <w:tc>
          <w:tcPr>
            <w:tcW w:w="0" w:type="auto"/>
            <w:vMerge w:val="restart"/>
          </w:tcPr>
          <w:p w:rsidR="004A147C" w:rsidRPr="00FE5EC9" w:rsidRDefault="004A147C" w:rsidP="00CE5850">
            <w:pPr>
              <w:spacing w:after="120"/>
              <w:rPr>
                <w:b/>
              </w:rPr>
            </w:pPr>
            <w:r w:rsidRPr="00FE5EC9">
              <w:rPr>
                <w:b/>
              </w:rPr>
              <w:t>Verizon</w:t>
            </w:r>
          </w:p>
          <w:p w:rsidR="004A147C" w:rsidRPr="00FE5EC9" w:rsidRDefault="004A147C" w:rsidP="00CE5850">
            <w:pPr>
              <w:spacing w:after="120"/>
              <w:rPr>
                <w:b/>
              </w:rPr>
            </w:pPr>
            <w:r w:rsidRPr="00FE5EC9">
              <w:rPr>
                <w:b/>
              </w:rPr>
              <w:t>Wireless</w:t>
            </w:r>
          </w:p>
        </w:tc>
        <w:tc>
          <w:tcPr>
            <w:tcW w:w="0" w:type="auto"/>
            <w:vMerge w:val="restart"/>
          </w:tcPr>
          <w:p w:rsidR="004A147C" w:rsidRPr="00FE5EC9" w:rsidRDefault="004A147C" w:rsidP="00CE5850">
            <w:pPr>
              <w:spacing w:after="120"/>
            </w:pPr>
            <w:r w:rsidRPr="00FE5EC9">
              <w:t>Discontinued 7/07/2011</w:t>
            </w:r>
          </w:p>
        </w:tc>
        <w:tc>
          <w:tcPr>
            <w:tcW w:w="0" w:type="auto"/>
            <w:vMerge w:val="restart"/>
          </w:tcPr>
          <w:p w:rsidR="004A147C" w:rsidRPr="00FE5EC9" w:rsidRDefault="004A147C" w:rsidP="00CE5850">
            <w:pPr>
              <w:spacing w:after="120"/>
            </w:pPr>
            <w:r w:rsidRPr="00FE5EC9">
              <w:t>As of 9/2011, Verizon Wireless may reduce data speeds for the top 5% of 3G device users when connected to a congested 3G cell site after reaching certain data-usage levels in a billing cycle (2 GB of data or more as of 8/2011), with an option to switch to usage-based plans or an LTE device</w:t>
            </w:r>
          </w:p>
        </w:tc>
        <w:tc>
          <w:tcPr>
            <w:tcW w:w="0" w:type="auto"/>
            <w:vMerge w:val="restart"/>
          </w:tcPr>
          <w:p w:rsidR="004A147C" w:rsidRPr="00FE5EC9" w:rsidRDefault="004A147C" w:rsidP="00CE5850">
            <w:pPr>
              <w:spacing w:after="120"/>
            </w:pPr>
          </w:p>
          <w:p w:rsidR="004A147C" w:rsidRPr="00FE5EC9" w:rsidRDefault="004A147C" w:rsidP="00CE5850">
            <w:pPr>
              <w:spacing w:after="120"/>
            </w:pPr>
            <w:r w:rsidRPr="00FE5EC9">
              <w:t>July</w:t>
            </w:r>
          </w:p>
          <w:p w:rsidR="004A147C" w:rsidRPr="00FE5EC9" w:rsidRDefault="004A147C" w:rsidP="00CE5850">
            <w:pPr>
              <w:spacing w:after="120"/>
            </w:pPr>
            <w:r w:rsidRPr="00FE5EC9">
              <w:t>2011</w:t>
            </w:r>
          </w:p>
        </w:tc>
        <w:tc>
          <w:tcPr>
            <w:tcW w:w="0" w:type="auto"/>
          </w:tcPr>
          <w:p w:rsidR="004A147C" w:rsidRPr="00FE5EC9" w:rsidRDefault="004A147C" w:rsidP="00CE5850">
            <w:pPr>
              <w:spacing w:after="120"/>
            </w:pPr>
            <w:r w:rsidRPr="00FE5EC9">
              <w:t>2 GB</w:t>
            </w:r>
          </w:p>
        </w:tc>
        <w:tc>
          <w:tcPr>
            <w:tcW w:w="0" w:type="auto"/>
          </w:tcPr>
          <w:p w:rsidR="004A147C" w:rsidRPr="00FE5EC9" w:rsidRDefault="004A147C" w:rsidP="00CE5850">
            <w:pPr>
              <w:spacing w:after="120"/>
            </w:pPr>
            <w:r w:rsidRPr="00FE5EC9">
              <w:t>$30</w:t>
            </w:r>
          </w:p>
        </w:tc>
        <w:tc>
          <w:tcPr>
            <w:tcW w:w="0" w:type="auto"/>
          </w:tcPr>
          <w:p w:rsidR="004A147C" w:rsidRPr="00FE5EC9" w:rsidRDefault="004A147C" w:rsidP="00CE5850">
            <w:pPr>
              <w:spacing w:after="120"/>
            </w:pPr>
            <w:r w:rsidRPr="00FE5EC9">
              <w:t>$10 per GB</w:t>
            </w:r>
          </w:p>
        </w:tc>
      </w:tr>
      <w:tr w:rsidR="004A147C" w:rsidRPr="00FE5EC9" w:rsidTr="00F040D6">
        <w:tc>
          <w:tcPr>
            <w:tcW w:w="0" w:type="auto"/>
            <w:vMerge/>
          </w:tcPr>
          <w:p w:rsidR="004A147C" w:rsidRPr="00FE5EC9" w:rsidRDefault="004A147C" w:rsidP="00CE5850">
            <w:pPr>
              <w:spacing w:after="120"/>
            </w:pPr>
          </w:p>
        </w:tc>
        <w:tc>
          <w:tcPr>
            <w:tcW w:w="0" w:type="auto"/>
            <w:vMerge/>
          </w:tcPr>
          <w:p w:rsidR="004A147C" w:rsidRPr="00FE5EC9" w:rsidRDefault="004A147C" w:rsidP="00CE5850">
            <w:pPr>
              <w:spacing w:after="120"/>
            </w:pPr>
          </w:p>
        </w:tc>
        <w:tc>
          <w:tcPr>
            <w:tcW w:w="0" w:type="auto"/>
            <w:vMerge/>
          </w:tcPr>
          <w:p w:rsidR="004A147C" w:rsidRPr="00FE5EC9" w:rsidRDefault="004A147C" w:rsidP="00CE5850">
            <w:pPr>
              <w:spacing w:after="120"/>
            </w:pPr>
          </w:p>
        </w:tc>
        <w:tc>
          <w:tcPr>
            <w:tcW w:w="0" w:type="auto"/>
            <w:vMerge/>
          </w:tcPr>
          <w:p w:rsidR="004A147C" w:rsidRPr="00FE5EC9" w:rsidRDefault="004A147C" w:rsidP="00CE5850">
            <w:pPr>
              <w:spacing w:after="120"/>
            </w:pPr>
          </w:p>
        </w:tc>
        <w:tc>
          <w:tcPr>
            <w:tcW w:w="0" w:type="auto"/>
          </w:tcPr>
          <w:p w:rsidR="004A147C" w:rsidRPr="00FE5EC9" w:rsidRDefault="004A147C" w:rsidP="00CE5850">
            <w:pPr>
              <w:spacing w:after="120"/>
            </w:pPr>
            <w:r w:rsidRPr="00FE5EC9">
              <w:t>5 GB</w:t>
            </w:r>
          </w:p>
        </w:tc>
        <w:tc>
          <w:tcPr>
            <w:tcW w:w="0" w:type="auto"/>
          </w:tcPr>
          <w:p w:rsidR="004A147C" w:rsidRPr="00FE5EC9" w:rsidRDefault="004A147C" w:rsidP="00CE5850">
            <w:pPr>
              <w:spacing w:after="120"/>
            </w:pPr>
            <w:r w:rsidRPr="00FE5EC9">
              <w:t>$50</w:t>
            </w:r>
          </w:p>
        </w:tc>
        <w:tc>
          <w:tcPr>
            <w:tcW w:w="0" w:type="auto"/>
          </w:tcPr>
          <w:p w:rsidR="004A147C" w:rsidRPr="00FE5EC9" w:rsidRDefault="004A147C" w:rsidP="00CE5850">
            <w:pPr>
              <w:spacing w:after="120"/>
            </w:pPr>
            <w:r w:rsidRPr="00FE5EC9">
              <w:t>$10 per GB</w:t>
            </w:r>
          </w:p>
        </w:tc>
      </w:tr>
      <w:tr w:rsidR="004A147C" w:rsidRPr="00FE5EC9" w:rsidTr="00F040D6">
        <w:tc>
          <w:tcPr>
            <w:tcW w:w="0" w:type="auto"/>
            <w:vMerge/>
          </w:tcPr>
          <w:p w:rsidR="004A147C" w:rsidRPr="00FE5EC9" w:rsidRDefault="004A147C" w:rsidP="00CE5850">
            <w:pPr>
              <w:spacing w:after="120"/>
            </w:pPr>
          </w:p>
        </w:tc>
        <w:tc>
          <w:tcPr>
            <w:tcW w:w="0" w:type="auto"/>
            <w:vMerge/>
          </w:tcPr>
          <w:p w:rsidR="004A147C" w:rsidRPr="00FE5EC9" w:rsidRDefault="004A147C" w:rsidP="00CE5850">
            <w:pPr>
              <w:spacing w:after="120"/>
            </w:pPr>
          </w:p>
        </w:tc>
        <w:tc>
          <w:tcPr>
            <w:tcW w:w="0" w:type="auto"/>
            <w:vMerge/>
          </w:tcPr>
          <w:p w:rsidR="004A147C" w:rsidRPr="00FE5EC9" w:rsidRDefault="004A147C" w:rsidP="00CE5850">
            <w:pPr>
              <w:spacing w:after="120"/>
            </w:pPr>
          </w:p>
        </w:tc>
        <w:tc>
          <w:tcPr>
            <w:tcW w:w="0" w:type="auto"/>
            <w:vMerge/>
          </w:tcPr>
          <w:p w:rsidR="004A147C" w:rsidRPr="00FE5EC9" w:rsidRDefault="004A147C" w:rsidP="00CE5850">
            <w:pPr>
              <w:spacing w:after="120"/>
            </w:pPr>
          </w:p>
        </w:tc>
        <w:tc>
          <w:tcPr>
            <w:tcW w:w="0" w:type="auto"/>
          </w:tcPr>
          <w:p w:rsidR="004A147C" w:rsidRPr="00FE5EC9" w:rsidRDefault="004A147C" w:rsidP="00CE5850">
            <w:pPr>
              <w:spacing w:after="120"/>
            </w:pPr>
            <w:r w:rsidRPr="00FE5EC9">
              <w:t>10 GB</w:t>
            </w:r>
          </w:p>
        </w:tc>
        <w:tc>
          <w:tcPr>
            <w:tcW w:w="0" w:type="auto"/>
          </w:tcPr>
          <w:p w:rsidR="004A147C" w:rsidRPr="00FE5EC9" w:rsidRDefault="004A147C" w:rsidP="00CE5850">
            <w:pPr>
              <w:spacing w:after="120"/>
            </w:pPr>
            <w:r w:rsidRPr="00FE5EC9">
              <w:t>$80</w:t>
            </w:r>
          </w:p>
        </w:tc>
        <w:tc>
          <w:tcPr>
            <w:tcW w:w="0" w:type="auto"/>
          </w:tcPr>
          <w:p w:rsidR="004A147C" w:rsidRPr="00FE5EC9" w:rsidRDefault="004A147C" w:rsidP="00CE5850">
            <w:pPr>
              <w:spacing w:after="120"/>
            </w:pPr>
            <w:r w:rsidRPr="00FE5EC9">
              <w:t>$10 per GB</w:t>
            </w:r>
          </w:p>
        </w:tc>
      </w:tr>
    </w:tbl>
    <w:p w:rsidR="004A147C" w:rsidRPr="00F1004B" w:rsidRDefault="004A147C" w:rsidP="00CE5850">
      <w:pPr>
        <w:pStyle w:val="ParaNum"/>
        <w:tabs>
          <w:tab w:val="clear" w:pos="1440"/>
        </w:tabs>
        <w:ind w:firstLine="0"/>
        <w:rPr>
          <w:szCs w:val="22"/>
        </w:rPr>
      </w:pPr>
    </w:p>
    <w:p w:rsidR="004A147C" w:rsidRPr="00F040D6" w:rsidRDefault="004A147C" w:rsidP="00CE5850">
      <w:pPr>
        <w:pStyle w:val="ParaNum"/>
        <w:numPr>
          <w:ilvl w:val="0"/>
          <w:numId w:val="28"/>
        </w:numPr>
        <w:rPr>
          <w:sz w:val="22"/>
          <w:szCs w:val="22"/>
        </w:rPr>
      </w:pPr>
      <w:r w:rsidRPr="00F040D6">
        <w:rPr>
          <w:sz w:val="22"/>
          <w:szCs w:val="22"/>
        </w:rPr>
        <w:t>Verizon Wireless discontinued unlimited data plans for new smartphone customers more than a year after AT&amp;T did so.  Verizon Wireless retained its unlimited smartphone data plans when it first launched the CDMA iPhone in February 2011, and switched to usage-based smartphone data pricing the following July.</w:t>
      </w:r>
      <w:r w:rsidRPr="00F040D6">
        <w:rPr>
          <w:sz w:val="22"/>
          <w:szCs w:val="22"/>
          <w:vertAlign w:val="superscript"/>
        </w:rPr>
        <w:footnoteReference w:id="448"/>
      </w:r>
      <w:r w:rsidRPr="00F040D6">
        <w:rPr>
          <w:sz w:val="22"/>
          <w:szCs w:val="22"/>
        </w:rPr>
        <w:t xml:space="preserve">  With AT&amp;T being the only provider to offer the iPhone at that time, Verizon Wireless acknowledged that its decision to delay the switch to usage-based data pricing was an attempt to use its unlimited data plan to attract iPhone subscribers to Verizon Wireless from both AT&amp;T’s existing iPhone customer base and the pool of potential new iPhone subscribers.</w:t>
      </w:r>
      <w:r w:rsidRPr="00F040D6">
        <w:rPr>
          <w:sz w:val="22"/>
          <w:szCs w:val="22"/>
          <w:vertAlign w:val="superscript"/>
        </w:rPr>
        <w:footnoteReference w:id="449"/>
      </w:r>
      <w:r w:rsidRPr="00F040D6">
        <w:rPr>
          <w:sz w:val="22"/>
          <w:szCs w:val="22"/>
        </w:rPr>
        <w:t xml:space="preserve">  </w:t>
      </w:r>
    </w:p>
    <w:p w:rsidR="004A147C" w:rsidRPr="00F040D6" w:rsidRDefault="004A147C" w:rsidP="00CE5850">
      <w:pPr>
        <w:pStyle w:val="ParaNum"/>
        <w:numPr>
          <w:ilvl w:val="0"/>
          <w:numId w:val="28"/>
        </w:numPr>
        <w:rPr>
          <w:sz w:val="22"/>
          <w:szCs w:val="22"/>
        </w:rPr>
      </w:pPr>
      <w:r w:rsidRPr="00F040D6">
        <w:rPr>
          <w:sz w:val="22"/>
          <w:szCs w:val="22"/>
        </w:rPr>
        <w:t xml:space="preserve">Verizon Wireless structured its data tiers differently that AT&amp;T, as shown in </w:t>
      </w:r>
      <w:r w:rsidR="005B380F">
        <w:fldChar w:fldCharType="begin"/>
      </w:r>
      <w:r w:rsidR="005B380F">
        <w:instrText xml:space="preserve"> REF _Ref326836308 \h  \* MERGEFORMAT </w:instrText>
      </w:r>
      <w:r w:rsidR="005B380F">
        <w:fldChar w:fldCharType="separate"/>
      </w:r>
      <w:r w:rsidR="00CA3AC6" w:rsidRPr="00CA3AC6">
        <w:rPr>
          <w:sz w:val="22"/>
          <w:szCs w:val="22"/>
        </w:rPr>
        <w:t>Table 19</w:t>
      </w:r>
      <w:r w:rsidR="005B380F">
        <w:fldChar w:fldCharType="end"/>
      </w:r>
      <w:r w:rsidRPr="00F040D6">
        <w:rPr>
          <w:sz w:val="22"/>
          <w:szCs w:val="22"/>
        </w:rPr>
        <w:t>.  Verizon Wireless offered a higher data tier than AT&amp;T, and its tiers did not include an entry-level 200 MB plan like the one offered by AT&amp;T.  Whereas AT&amp;T structured its usage-based tiers to attract new smartphone customers and encourage existing customers to upgrade to smartphones by lowering the entry-level cost of using smartphones, Verizon Wireless marketed its smartphone data offerings as a premium product by targeting high-end users with higher average monthly revenues per user.</w:t>
      </w:r>
      <w:r w:rsidRPr="00F040D6">
        <w:rPr>
          <w:sz w:val="22"/>
          <w:szCs w:val="22"/>
          <w:vertAlign w:val="superscript"/>
        </w:rPr>
        <w:footnoteReference w:id="450"/>
      </w:r>
      <w:r w:rsidRPr="00F040D6">
        <w:rPr>
          <w:sz w:val="22"/>
          <w:szCs w:val="22"/>
        </w:rPr>
        <w:t xml:space="preserve">  Although Verizon Wireless included a 300 MB plan for a $20 monthly charge in a limited-time holiday promotion launched in November 2011, the promotion was applicable only to LTE smartphones.</w:t>
      </w:r>
      <w:r w:rsidRPr="00F040D6">
        <w:rPr>
          <w:sz w:val="22"/>
          <w:szCs w:val="22"/>
          <w:vertAlign w:val="superscript"/>
        </w:rPr>
        <w:footnoteReference w:id="451"/>
      </w:r>
      <w:r w:rsidRPr="00F040D6">
        <w:rPr>
          <w:sz w:val="22"/>
          <w:szCs w:val="22"/>
        </w:rPr>
        <w:t xml:space="preserve">  </w:t>
      </w:r>
    </w:p>
    <w:p w:rsidR="004A147C" w:rsidRPr="00F040D6" w:rsidRDefault="004A147C" w:rsidP="00CE5850">
      <w:pPr>
        <w:pStyle w:val="ParaNum"/>
        <w:numPr>
          <w:ilvl w:val="0"/>
          <w:numId w:val="28"/>
        </w:numPr>
        <w:rPr>
          <w:sz w:val="22"/>
          <w:szCs w:val="22"/>
        </w:rPr>
      </w:pPr>
      <w:r w:rsidRPr="00F040D6">
        <w:rPr>
          <w:sz w:val="22"/>
          <w:szCs w:val="22"/>
        </w:rPr>
        <w:t>In January 2012, AT&amp;T announced the first major changes to its smartphone data plans since switching to tiered data pricing in June 2010.</w:t>
      </w:r>
      <w:r w:rsidRPr="00F040D6">
        <w:rPr>
          <w:sz w:val="22"/>
          <w:szCs w:val="22"/>
          <w:vertAlign w:val="superscript"/>
        </w:rPr>
        <w:footnoteReference w:id="452"/>
      </w:r>
      <w:r w:rsidRPr="00F040D6">
        <w:rPr>
          <w:sz w:val="22"/>
          <w:szCs w:val="22"/>
        </w:rPr>
        <w:t xml:space="preserve">  The company increased both the monthly prices and the usage tier levels for new smartphone customers, as shown in </w:t>
      </w:r>
      <w:r w:rsidR="005B380F">
        <w:fldChar w:fldCharType="begin"/>
      </w:r>
      <w:r w:rsidR="005B380F">
        <w:instrText xml:space="preserve"> REF _Ref326836308 \h  \* MERGEFORMAT </w:instrText>
      </w:r>
      <w:r w:rsidR="005B380F">
        <w:fldChar w:fldCharType="separate"/>
      </w:r>
      <w:r w:rsidR="00CA3AC6" w:rsidRPr="00CA3AC6">
        <w:rPr>
          <w:sz w:val="22"/>
          <w:szCs w:val="22"/>
        </w:rPr>
        <w:t>Table 19</w:t>
      </w:r>
      <w:r w:rsidR="005B380F">
        <w:fldChar w:fldCharType="end"/>
      </w:r>
      <w:r w:rsidRPr="00F040D6">
        <w:rPr>
          <w:sz w:val="22"/>
          <w:szCs w:val="22"/>
        </w:rPr>
        <w:t>.  At the new higher tier levels, the unit prices (average revenue per megabyte) are lower than those of the original tiers because the flat monthly fee is spread over a larger quantity of data.  Of course, the actual price per MB paid by the subscriber depends on actual data usage, with subscribers who do not use up their monthly data allowance paying higher prices per MB than those who do.  While these pricing changes brought some of AT&amp;T’s smartphone data pricing tiers closer to those of Verizon Wireless, AT&amp;T continued to offer an entry-level plan with a monthly usage allowance well below Verizon Wireless’s lowest 2 GB tier, and AT&amp;T’s highest data usage tier was only half the size of Verizon Wireless’s highest 10 GB tier.</w:t>
      </w:r>
    </w:p>
    <w:p w:rsidR="004A147C" w:rsidRPr="00F040D6" w:rsidRDefault="004A147C" w:rsidP="00CE5850">
      <w:pPr>
        <w:pStyle w:val="ParaNum"/>
        <w:numPr>
          <w:ilvl w:val="0"/>
          <w:numId w:val="28"/>
        </w:numPr>
        <w:rPr>
          <w:sz w:val="22"/>
          <w:szCs w:val="22"/>
        </w:rPr>
      </w:pPr>
      <w:r w:rsidRPr="00F040D6">
        <w:rPr>
          <w:sz w:val="22"/>
          <w:szCs w:val="22"/>
        </w:rPr>
        <w:t>In March 2012, AT&amp;T changed its network management policy for customers with grandfathered unlimited smartphone data plans.</w:t>
      </w:r>
      <w:r w:rsidRPr="00F040D6">
        <w:rPr>
          <w:sz w:val="22"/>
          <w:szCs w:val="22"/>
          <w:vertAlign w:val="superscript"/>
        </w:rPr>
        <w:footnoteReference w:id="453"/>
      </w:r>
      <w:r w:rsidRPr="00F040D6">
        <w:rPr>
          <w:sz w:val="22"/>
          <w:szCs w:val="22"/>
        </w:rPr>
        <w:t xml:space="preserve">  Under the previous policy instituted in October 2011, AT&amp;T stated that it may reduce the data speeds of unlimited data subscribers when they are in the top five percent of data users in the month and area.  Subsequently, many customers complained that this policy placed unreasonable limits on data usage because subscribers had no way of finding out what the limits would be ahead of time, and some subscribers ended up having their data throughput speeds reduced at just over 2 gigabytes of data use, lower than the data amount included under AT&amp;T’s current $30 per month limited smartphone data plan.</w:t>
      </w:r>
      <w:r w:rsidRPr="00F040D6">
        <w:rPr>
          <w:sz w:val="22"/>
          <w:szCs w:val="22"/>
          <w:vertAlign w:val="superscript"/>
        </w:rPr>
        <w:footnoteReference w:id="454"/>
      </w:r>
      <w:r w:rsidRPr="00F040D6">
        <w:rPr>
          <w:sz w:val="22"/>
          <w:szCs w:val="22"/>
        </w:rPr>
        <w:t xml:space="preserve">  In response, AT&amp;T altered its network management policy so that it will only slow down service for customers with unlimited data plans when they reach 3 gigabytes of usage in a billing cycle, or 5 gigabytes of usage for customers using the new LTE data network and smartphones.</w:t>
      </w:r>
      <w:r w:rsidRPr="00F040D6">
        <w:rPr>
          <w:sz w:val="22"/>
          <w:szCs w:val="22"/>
          <w:vertAlign w:val="superscript"/>
        </w:rPr>
        <w:footnoteReference w:id="455"/>
      </w:r>
      <w:r w:rsidRPr="00F040D6">
        <w:rPr>
          <w:sz w:val="22"/>
          <w:szCs w:val="22"/>
        </w:rPr>
        <w:t xml:space="preserve"> </w:t>
      </w:r>
    </w:p>
    <w:p w:rsidR="004A147C" w:rsidRPr="00F040D6" w:rsidRDefault="004A147C" w:rsidP="00CE5850">
      <w:pPr>
        <w:pStyle w:val="ParaNum"/>
        <w:numPr>
          <w:ilvl w:val="0"/>
          <w:numId w:val="28"/>
        </w:numPr>
        <w:rPr>
          <w:sz w:val="22"/>
          <w:szCs w:val="22"/>
        </w:rPr>
      </w:pPr>
      <w:r w:rsidRPr="00F040D6">
        <w:rPr>
          <w:sz w:val="22"/>
          <w:szCs w:val="22"/>
        </w:rPr>
        <w:t>Under all of the above tiered data plans, individual customers or families with multiple devices were required to purchase a separate data plan for each device.  At the end of June 2012, Verizon launched new tiered data pricing plans, called “Share Everything,” that allow customers to pool their data usage package across multiple smartphones, tablets and other devices,</w:t>
      </w:r>
      <w:r w:rsidRPr="00F040D6">
        <w:rPr>
          <w:sz w:val="22"/>
          <w:szCs w:val="22"/>
          <w:vertAlign w:val="superscript"/>
        </w:rPr>
        <w:footnoteReference w:id="456"/>
      </w:r>
      <w:r w:rsidRPr="00F040D6">
        <w:rPr>
          <w:sz w:val="22"/>
          <w:szCs w:val="22"/>
        </w:rPr>
        <w:t xml:space="preserve"> and in August 2012 AT&amp;T followed suit by launching its own version of shared data plans, called “Mobile Share.”</w:t>
      </w:r>
      <w:r w:rsidRPr="00F040D6">
        <w:rPr>
          <w:sz w:val="22"/>
          <w:szCs w:val="22"/>
          <w:vertAlign w:val="superscript"/>
        </w:rPr>
        <w:footnoteReference w:id="457"/>
      </w:r>
      <w:r w:rsidRPr="00F040D6">
        <w:rPr>
          <w:sz w:val="22"/>
          <w:szCs w:val="22"/>
        </w:rPr>
        <w:t xml:space="preserve">  As set out below in Table 20, each tier of both Verizon’s “Share Everything” plans for smartphones and AT&amp;T’s “Mobile Share” plans includes a single monthly data allowance that can be shared by up to ten different devices, plus unlimited voice minutes, unlimited text, video and picture messaging, and a “mobile hotspot” service.  In addition, the pricing structure for each tier of both providers’ shared data plans includes both a monthly charge for the monthly data allowance plus a monthly line access charge for each device added to the account, as well as an overage charge for data usage that exceeds each tier’s monthly data allowance.  An important difference between the two shared data offerings is that Verizon discontinued offering its existing tiered smartphone data plans to new customers and requires all new customers who purchase subsidized smartphones to sign up for its new “Share Everything” data plans, whereas AT&amp;T introduced its new “Mobile Share” plans alongside its existing tiered smartphone data plans and does not require new customers or customers who upgrade to a subsidized smartphone to sign up for the new plans.</w:t>
      </w:r>
      <w:r w:rsidRPr="00F040D6">
        <w:rPr>
          <w:sz w:val="22"/>
          <w:szCs w:val="22"/>
          <w:vertAlign w:val="superscript"/>
        </w:rPr>
        <w:footnoteReference w:id="458"/>
      </w:r>
      <w:r w:rsidRPr="00F040D6">
        <w:rPr>
          <w:sz w:val="22"/>
          <w:szCs w:val="22"/>
        </w:rPr>
        <w:t xml:space="preserve">  However, to continue attracting new customers with limited data needs, Verizon kept two entry-level plans for new customers with basic phones.</w:t>
      </w:r>
      <w:r w:rsidRPr="00F040D6">
        <w:rPr>
          <w:sz w:val="22"/>
          <w:szCs w:val="22"/>
          <w:vertAlign w:val="superscript"/>
        </w:rPr>
        <w:footnoteReference w:id="459"/>
      </w:r>
    </w:p>
    <w:p w:rsidR="004A147C" w:rsidRPr="00F040D6" w:rsidRDefault="004A147C" w:rsidP="00CE5850">
      <w:pPr>
        <w:pStyle w:val="ParaNum"/>
        <w:numPr>
          <w:ilvl w:val="0"/>
          <w:numId w:val="28"/>
        </w:numPr>
        <w:rPr>
          <w:sz w:val="22"/>
          <w:szCs w:val="22"/>
        </w:rPr>
      </w:pPr>
      <w:r w:rsidRPr="00F040D6">
        <w:rPr>
          <w:sz w:val="22"/>
          <w:szCs w:val="22"/>
        </w:rPr>
        <w:t>The effects of the new shared data plans on the monthly price per megabyte of data paid by a subscriber depends on both the number of devices and the amount of data a family or individual customer uses.  While light data users with a small number of devices will typically pay more per megabyte of data, there is a cross-over point beyond which heavy data users with many devices will be able to realize savings as a result of declines in the price per unit of data.</w:t>
      </w:r>
      <w:r w:rsidRPr="00F040D6">
        <w:rPr>
          <w:sz w:val="22"/>
          <w:szCs w:val="22"/>
          <w:vertAlign w:val="superscript"/>
        </w:rPr>
        <w:footnoteReference w:id="460"/>
      </w:r>
      <w:r w:rsidRPr="00F040D6">
        <w:rPr>
          <w:sz w:val="22"/>
          <w:szCs w:val="22"/>
        </w:rPr>
        <w:t xml:space="preserve"> </w:t>
      </w:r>
    </w:p>
    <w:p w:rsidR="004A147C" w:rsidRDefault="004A147C" w:rsidP="00CE5850">
      <w:pPr>
        <w:pStyle w:val="ParaNum"/>
        <w:numPr>
          <w:ilvl w:val="0"/>
          <w:numId w:val="28"/>
        </w:numPr>
        <w:rPr>
          <w:sz w:val="22"/>
          <w:szCs w:val="22"/>
        </w:rPr>
      </w:pPr>
      <w:r w:rsidRPr="00F040D6">
        <w:rPr>
          <w:sz w:val="22"/>
          <w:szCs w:val="22"/>
        </w:rPr>
        <w:t xml:space="preserve">The introduction of shared data offerings also represents a </w:t>
      </w:r>
      <w:r>
        <w:rPr>
          <w:sz w:val="22"/>
          <w:szCs w:val="22"/>
        </w:rPr>
        <w:t xml:space="preserve">potentially </w:t>
      </w:r>
      <w:r w:rsidRPr="00F040D6">
        <w:rPr>
          <w:sz w:val="22"/>
          <w:szCs w:val="22"/>
        </w:rPr>
        <w:t>fundamental departure from the historical model of pricing mobile voice and texting services on a per unit basis by service (cents per minute of voice service or per text message).</w:t>
      </w:r>
      <w:r w:rsidRPr="00F040D6">
        <w:rPr>
          <w:sz w:val="22"/>
          <w:szCs w:val="22"/>
          <w:vertAlign w:val="superscript"/>
        </w:rPr>
        <w:footnoteReference w:id="461"/>
      </w:r>
      <w:r w:rsidRPr="00F040D6">
        <w:rPr>
          <w:sz w:val="22"/>
          <w:szCs w:val="22"/>
        </w:rPr>
        <w:t xml:space="preserve">  This historical model creates an incentive for what one analyst terms “bandwidth arbitrage” – substitution of low-priced, high-bandwidth data services for high-priced, low-bandwidth voice and text services by means of applications such as Skype, Facebook and Apple’s iMessage.</w:t>
      </w:r>
      <w:r w:rsidRPr="00F040D6">
        <w:rPr>
          <w:sz w:val="22"/>
          <w:szCs w:val="22"/>
          <w:vertAlign w:val="superscript"/>
        </w:rPr>
        <w:footnoteReference w:id="462"/>
      </w:r>
      <w:r w:rsidRPr="00F040D6">
        <w:rPr>
          <w:sz w:val="22"/>
          <w:szCs w:val="22"/>
        </w:rPr>
        <w:t xml:space="preserve">  The new shared data plans reduce this type of substitution by including unlimited voice and text messaging in each tier and by pricing that is based exclusively on data usage.</w:t>
      </w:r>
      <w:r w:rsidRPr="00F040D6">
        <w:rPr>
          <w:sz w:val="22"/>
          <w:szCs w:val="22"/>
          <w:vertAlign w:val="superscript"/>
        </w:rPr>
        <w:footnoteReference w:id="463"/>
      </w:r>
    </w:p>
    <w:p w:rsidR="00856523" w:rsidRDefault="00856523" w:rsidP="00856523">
      <w:pPr>
        <w:pStyle w:val="ParaNum"/>
        <w:tabs>
          <w:tab w:val="clear" w:pos="1440"/>
        </w:tabs>
        <w:rPr>
          <w:sz w:val="22"/>
          <w:szCs w:val="22"/>
        </w:rPr>
      </w:pPr>
    </w:p>
    <w:p w:rsidR="00856523" w:rsidRDefault="00856523" w:rsidP="00856523">
      <w:pPr>
        <w:pStyle w:val="ParaNum"/>
        <w:tabs>
          <w:tab w:val="clear" w:pos="1440"/>
        </w:tabs>
        <w:rPr>
          <w:sz w:val="22"/>
          <w:szCs w:val="22"/>
        </w:rPr>
      </w:pPr>
    </w:p>
    <w:p w:rsidR="00856523" w:rsidRDefault="00856523" w:rsidP="00856523">
      <w:pPr>
        <w:pStyle w:val="ParaNum"/>
        <w:tabs>
          <w:tab w:val="clear" w:pos="1440"/>
        </w:tabs>
        <w:rPr>
          <w:sz w:val="22"/>
          <w:szCs w:val="22"/>
        </w:rPr>
      </w:pPr>
    </w:p>
    <w:p w:rsidR="00856523" w:rsidRDefault="00856523" w:rsidP="00856523">
      <w:pPr>
        <w:pStyle w:val="ParaNum"/>
        <w:tabs>
          <w:tab w:val="clear" w:pos="1440"/>
        </w:tabs>
        <w:rPr>
          <w:sz w:val="22"/>
          <w:szCs w:val="22"/>
        </w:rPr>
      </w:pPr>
    </w:p>
    <w:p w:rsidR="00856523" w:rsidRDefault="00856523" w:rsidP="00856523">
      <w:pPr>
        <w:pStyle w:val="ParaNum"/>
        <w:tabs>
          <w:tab w:val="clear" w:pos="1440"/>
        </w:tabs>
        <w:rPr>
          <w:sz w:val="22"/>
          <w:szCs w:val="22"/>
        </w:rPr>
      </w:pPr>
    </w:p>
    <w:p w:rsidR="00856523" w:rsidRDefault="00856523" w:rsidP="00856523">
      <w:pPr>
        <w:pStyle w:val="ParaNum"/>
        <w:tabs>
          <w:tab w:val="clear" w:pos="1440"/>
        </w:tabs>
        <w:rPr>
          <w:sz w:val="22"/>
          <w:szCs w:val="22"/>
        </w:rPr>
      </w:pPr>
    </w:p>
    <w:p w:rsidR="00856523" w:rsidRDefault="00856523" w:rsidP="00856523">
      <w:pPr>
        <w:pStyle w:val="ParaNum"/>
        <w:tabs>
          <w:tab w:val="clear" w:pos="1440"/>
        </w:tabs>
        <w:rPr>
          <w:sz w:val="22"/>
          <w:szCs w:val="22"/>
        </w:rPr>
      </w:pPr>
    </w:p>
    <w:p w:rsidR="00856523" w:rsidRDefault="00856523" w:rsidP="00856523">
      <w:pPr>
        <w:pStyle w:val="ParaNum"/>
        <w:tabs>
          <w:tab w:val="clear" w:pos="1440"/>
        </w:tabs>
        <w:rPr>
          <w:sz w:val="22"/>
          <w:szCs w:val="22"/>
        </w:rPr>
      </w:pPr>
    </w:p>
    <w:p w:rsidR="00856523" w:rsidRPr="00F040D6" w:rsidRDefault="00856523" w:rsidP="00856523">
      <w:pPr>
        <w:pStyle w:val="ParaNum"/>
        <w:tabs>
          <w:tab w:val="clear" w:pos="1440"/>
        </w:tabs>
        <w:rPr>
          <w:sz w:val="22"/>
          <w:szCs w:val="22"/>
        </w:rPr>
      </w:pPr>
    </w:p>
    <w:p w:rsidR="004A147C" w:rsidRPr="00FE5EC9" w:rsidRDefault="004A147C" w:rsidP="00CE5850">
      <w:pPr>
        <w:spacing w:before="120"/>
        <w:jc w:val="center"/>
        <w:rPr>
          <w:b/>
          <w:bCs/>
        </w:rPr>
      </w:pPr>
      <w:r w:rsidRPr="00FE5EC9">
        <w:rPr>
          <w:b/>
          <w:bCs/>
        </w:rPr>
        <w:t xml:space="preserve">Table </w:t>
      </w:r>
      <w:r w:rsidR="0007014B" w:rsidRPr="00FE5EC9">
        <w:rPr>
          <w:b/>
          <w:bCs/>
        </w:rPr>
        <w:fldChar w:fldCharType="begin"/>
      </w:r>
      <w:r w:rsidRPr="00FE5EC9">
        <w:rPr>
          <w:b/>
          <w:bCs/>
        </w:rPr>
        <w:instrText xml:space="preserve"> SEQ Table \* ARABIC </w:instrText>
      </w:r>
      <w:r w:rsidR="0007014B" w:rsidRPr="00FE5EC9">
        <w:rPr>
          <w:b/>
          <w:bCs/>
        </w:rPr>
        <w:fldChar w:fldCharType="separate"/>
      </w:r>
      <w:r w:rsidR="00CA3AC6">
        <w:rPr>
          <w:b/>
          <w:bCs/>
          <w:noProof/>
        </w:rPr>
        <w:t>20</w:t>
      </w:r>
      <w:r w:rsidR="0007014B" w:rsidRPr="00FE5EC9">
        <w:rPr>
          <w:b/>
          <w:bCs/>
        </w:rPr>
        <w:fldChar w:fldCharType="end"/>
      </w:r>
    </w:p>
    <w:p w:rsidR="004A147C" w:rsidRPr="00FE5EC9" w:rsidRDefault="009448B7" w:rsidP="00CE5850">
      <w:pPr>
        <w:spacing w:after="120"/>
        <w:jc w:val="center"/>
        <w:rPr>
          <w:b/>
        </w:rPr>
      </w:pPr>
      <w:r>
        <w:rPr>
          <w:b/>
        </w:rPr>
        <w:t>Verizon Wireless’s</w:t>
      </w:r>
      <w:r w:rsidR="004A147C" w:rsidRPr="00FE5EC9">
        <w:rPr>
          <w:b/>
        </w:rPr>
        <w:t xml:space="preserve"> and AT&amp;T’s Shared Data Plans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63"/>
        <w:gridCol w:w="2022"/>
        <w:gridCol w:w="728"/>
        <w:gridCol w:w="1427"/>
        <w:gridCol w:w="1847"/>
        <w:gridCol w:w="1153"/>
        <w:gridCol w:w="1436"/>
      </w:tblGrid>
      <w:tr w:rsidR="004A147C" w:rsidRPr="00FE5EC9" w:rsidTr="00F040D6">
        <w:tc>
          <w:tcPr>
            <w:tcW w:w="0" w:type="auto"/>
          </w:tcPr>
          <w:p w:rsidR="004A147C" w:rsidRPr="00FE5EC9" w:rsidRDefault="004A147C" w:rsidP="00CE5850">
            <w:pPr>
              <w:spacing w:after="120"/>
            </w:pPr>
          </w:p>
        </w:tc>
        <w:tc>
          <w:tcPr>
            <w:tcW w:w="0" w:type="auto"/>
            <w:gridSpan w:val="2"/>
          </w:tcPr>
          <w:p w:rsidR="004A147C" w:rsidRPr="00FE5EC9" w:rsidRDefault="004A147C" w:rsidP="00CE5850">
            <w:pPr>
              <w:spacing w:after="120"/>
              <w:rPr>
                <w:b/>
              </w:rPr>
            </w:pPr>
            <w:r w:rsidRPr="00FE5EC9">
              <w:rPr>
                <w:b/>
              </w:rPr>
              <w:t>Monthly Line Access (per device)</w:t>
            </w:r>
          </w:p>
        </w:tc>
        <w:tc>
          <w:tcPr>
            <w:tcW w:w="0" w:type="auto"/>
          </w:tcPr>
          <w:p w:rsidR="004A147C" w:rsidRPr="00FE5EC9" w:rsidRDefault="004A147C" w:rsidP="00CE5850">
            <w:pPr>
              <w:spacing w:after="120"/>
              <w:rPr>
                <w:b/>
              </w:rPr>
            </w:pPr>
            <w:r w:rsidRPr="00FE5EC9">
              <w:rPr>
                <w:b/>
              </w:rPr>
              <w:t>Shared Data Allowance</w:t>
            </w:r>
          </w:p>
        </w:tc>
        <w:tc>
          <w:tcPr>
            <w:tcW w:w="0" w:type="auto"/>
          </w:tcPr>
          <w:p w:rsidR="004A147C" w:rsidRPr="00FE5EC9" w:rsidRDefault="004A147C" w:rsidP="00CE5850">
            <w:pPr>
              <w:spacing w:after="120"/>
              <w:rPr>
                <w:b/>
              </w:rPr>
            </w:pPr>
            <w:r w:rsidRPr="00FE5EC9">
              <w:rPr>
                <w:b/>
              </w:rPr>
              <w:t>Monthly Account Access (shared with up to 10 devices)</w:t>
            </w:r>
          </w:p>
        </w:tc>
        <w:tc>
          <w:tcPr>
            <w:tcW w:w="0" w:type="auto"/>
          </w:tcPr>
          <w:p w:rsidR="004A147C" w:rsidRPr="00FE5EC9" w:rsidRDefault="004A147C" w:rsidP="00CE5850">
            <w:pPr>
              <w:spacing w:after="120"/>
              <w:rPr>
                <w:b/>
              </w:rPr>
            </w:pPr>
            <w:r w:rsidRPr="00FE5EC9">
              <w:rPr>
                <w:b/>
              </w:rPr>
              <w:t>Overage Charge</w:t>
            </w:r>
          </w:p>
        </w:tc>
        <w:tc>
          <w:tcPr>
            <w:tcW w:w="0" w:type="auto"/>
          </w:tcPr>
          <w:p w:rsidR="004A147C" w:rsidRPr="00FE5EC9" w:rsidRDefault="004A147C" w:rsidP="00CE5850">
            <w:pPr>
              <w:spacing w:after="120"/>
              <w:rPr>
                <w:b/>
              </w:rPr>
            </w:pPr>
            <w:r>
              <w:rPr>
                <w:b/>
              </w:rPr>
              <w:t>Unlimited Voice and Text</w:t>
            </w:r>
          </w:p>
        </w:tc>
      </w:tr>
      <w:tr w:rsidR="004A147C" w:rsidRPr="00FE5EC9" w:rsidTr="00F040D6">
        <w:tc>
          <w:tcPr>
            <w:tcW w:w="0" w:type="auto"/>
            <w:vMerge w:val="restart"/>
          </w:tcPr>
          <w:p w:rsidR="004A147C" w:rsidRPr="00FE5EC9" w:rsidRDefault="004A147C" w:rsidP="00CE5850">
            <w:pPr>
              <w:spacing w:after="120"/>
              <w:rPr>
                <w:b/>
              </w:rPr>
            </w:pPr>
            <w:r w:rsidRPr="00FE5EC9">
              <w:rPr>
                <w:b/>
              </w:rPr>
              <w:t>Verizon</w:t>
            </w:r>
          </w:p>
        </w:tc>
        <w:tc>
          <w:tcPr>
            <w:tcW w:w="0" w:type="auto"/>
            <w:gridSpan w:val="2"/>
            <w:vMerge w:val="restart"/>
          </w:tcPr>
          <w:p w:rsidR="004A147C" w:rsidRPr="00FE5EC9" w:rsidRDefault="004A147C" w:rsidP="00CE5850">
            <w:pPr>
              <w:spacing w:after="120"/>
            </w:pPr>
            <w:r w:rsidRPr="00FE5EC9">
              <w:t>Smartphones $40</w:t>
            </w:r>
          </w:p>
          <w:p w:rsidR="004A147C" w:rsidRPr="00FE5EC9" w:rsidRDefault="004A147C" w:rsidP="00CE5850">
            <w:pPr>
              <w:spacing w:after="120"/>
            </w:pPr>
            <w:r w:rsidRPr="00FE5EC9">
              <w:t>Basic phones $30</w:t>
            </w:r>
          </w:p>
          <w:p w:rsidR="004A147C" w:rsidRPr="00FE5EC9" w:rsidRDefault="004A147C" w:rsidP="00CE5850">
            <w:pPr>
              <w:spacing w:after="120"/>
            </w:pPr>
            <w:r w:rsidRPr="00FE5EC9">
              <w:t>Jetpacks/USBs/Notebooks/</w:t>
            </w:r>
          </w:p>
          <w:p w:rsidR="004A147C" w:rsidRPr="00FE5EC9" w:rsidRDefault="004A147C" w:rsidP="00CE5850">
            <w:pPr>
              <w:spacing w:after="120"/>
            </w:pPr>
            <w:r w:rsidRPr="00FE5EC9">
              <w:t>Netbooks $20</w:t>
            </w:r>
          </w:p>
          <w:p w:rsidR="004A147C" w:rsidRPr="00FE5EC9" w:rsidRDefault="004A147C" w:rsidP="00CE5850">
            <w:pPr>
              <w:tabs>
                <w:tab w:val="num" w:pos="1440"/>
              </w:tabs>
              <w:spacing w:after="120"/>
            </w:pPr>
            <w:r w:rsidRPr="00FE5EC9">
              <w:t>Tablets $10</w:t>
            </w:r>
          </w:p>
        </w:tc>
        <w:tc>
          <w:tcPr>
            <w:tcW w:w="0" w:type="auto"/>
          </w:tcPr>
          <w:p w:rsidR="004A147C" w:rsidRPr="00FE5EC9" w:rsidRDefault="004A147C" w:rsidP="00CE5850">
            <w:pPr>
              <w:spacing w:after="120"/>
            </w:pPr>
            <w:r w:rsidRPr="00FE5EC9">
              <w:t>1 GB</w:t>
            </w:r>
          </w:p>
        </w:tc>
        <w:tc>
          <w:tcPr>
            <w:tcW w:w="0" w:type="auto"/>
          </w:tcPr>
          <w:p w:rsidR="004A147C" w:rsidRPr="00FE5EC9" w:rsidRDefault="004A147C" w:rsidP="00CE5850">
            <w:pPr>
              <w:spacing w:after="120"/>
            </w:pPr>
            <w:r w:rsidRPr="00FE5EC9">
              <w:t>$50</w:t>
            </w:r>
          </w:p>
        </w:tc>
        <w:tc>
          <w:tcPr>
            <w:tcW w:w="0" w:type="auto"/>
            <w:vMerge w:val="restart"/>
          </w:tcPr>
          <w:p w:rsidR="004A147C" w:rsidRPr="00FE5EC9" w:rsidRDefault="004A147C" w:rsidP="00CE5850">
            <w:pPr>
              <w:spacing w:after="120"/>
            </w:pPr>
            <w:r w:rsidRPr="00FE5EC9">
              <w:t xml:space="preserve">$15 per GB </w:t>
            </w:r>
          </w:p>
        </w:tc>
        <w:tc>
          <w:tcPr>
            <w:tcW w:w="0" w:type="auto"/>
            <w:vMerge w:val="restart"/>
          </w:tcPr>
          <w:p w:rsidR="004A147C" w:rsidRDefault="004A147C" w:rsidP="00CE5850">
            <w:pPr>
              <w:spacing w:after="120"/>
            </w:pPr>
          </w:p>
          <w:p w:rsidR="004A147C" w:rsidRPr="00FE5EC9" w:rsidRDefault="004A147C" w:rsidP="00CE5850">
            <w:pPr>
              <w:spacing w:after="120"/>
            </w:pPr>
            <w:r>
              <w:t>Yes</w:t>
            </w:r>
          </w:p>
        </w:tc>
      </w:tr>
      <w:tr w:rsidR="004A147C" w:rsidRPr="00FE5EC9" w:rsidTr="00F040D6">
        <w:tc>
          <w:tcPr>
            <w:tcW w:w="0" w:type="auto"/>
            <w:vMerge/>
          </w:tcPr>
          <w:p w:rsidR="004A147C" w:rsidRPr="00FE5EC9" w:rsidRDefault="004A147C" w:rsidP="00CE5850">
            <w:pPr>
              <w:spacing w:after="120"/>
            </w:pPr>
          </w:p>
        </w:tc>
        <w:tc>
          <w:tcPr>
            <w:tcW w:w="0" w:type="auto"/>
            <w:gridSpan w:val="2"/>
            <w:vMerge/>
          </w:tcPr>
          <w:p w:rsidR="004A147C" w:rsidRPr="00FE5EC9" w:rsidRDefault="004A147C" w:rsidP="00CE5850">
            <w:pPr>
              <w:numPr>
                <w:ilvl w:val="0"/>
                <w:numId w:val="28"/>
              </w:numPr>
              <w:spacing w:after="120"/>
            </w:pPr>
          </w:p>
        </w:tc>
        <w:tc>
          <w:tcPr>
            <w:tcW w:w="0" w:type="auto"/>
          </w:tcPr>
          <w:p w:rsidR="004A147C" w:rsidRPr="00FE5EC9" w:rsidRDefault="004A147C" w:rsidP="00CE5850">
            <w:pPr>
              <w:spacing w:after="120"/>
            </w:pPr>
            <w:r w:rsidRPr="00FE5EC9">
              <w:t>2 GB</w:t>
            </w:r>
          </w:p>
        </w:tc>
        <w:tc>
          <w:tcPr>
            <w:tcW w:w="0" w:type="auto"/>
          </w:tcPr>
          <w:p w:rsidR="004A147C" w:rsidRPr="00FE5EC9" w:rsidRDefault="004A147C" w:rsidP="00CE5850">
            <w:pPr>
              <w:spacing w:after="120"/>
            </w:pPr>
            <w:r w:rsidRPr="00FE5EC9">
              <w:t>$60</w:t>
            </w:r>
          </w:p>
        </w:tc>
        <w:tc>
          <w:tcPr>
            <w:tcW w:w="0" w:type="auto"/>
            <w:vMerge/>
          </w:tcPr>
          <w:p w:rsidR="004A147C" w:rsidRPr="00FE5EC9" w:rsidRDefault="004A147C" w:rsidP="00CE5850">
            <w:pPr>
              <w:spacing w:after="120"/>
            </w:pPr>
          </w:p>
        </w:tc>
        <w:tc>
          <w:tcPr>
            <w:tcW w:w="0" w:type="auto"/>
            <w:vMerge/>
          </w:tcPr>
          <w:p w:rsidR="004A147C" w:rsidRPr="00FE5EC9" w:rsidRDefault="004A147C" w:rsidP="00CE5850">
            <w:pPr>
              <w:spacing w:after="120"/>
            </w:pPr>
          </w:p>
        </w:tc>
      </w:tr>
      <w:tr w:rsidR="004A147C" w:rsidRPr="00FE5EC9" w:rsidTr="00F040D6">
        <w:tc>
          <w:tcPr>
            <w:tcW w:w="0" w:type="auto"/>
            <w:vMerge/>
          </w:tcPr>
          <w:p w:rsidR="004A147C" w:rsidRPr="00FE5EC9" w:rsidRDefault="004A147C" w:rsidP="00CE5850">
            <w:pPr>
              <w:spacing w:after="120"/>
            </w:pPr>
          </w:p>
        </w:tc>
        <w:tc>
          <w:tcPr>
            <w:tcW w:w="0" w:type="auto"/>
            <w:gridSpan w:val="2"/>
            <w:vMerge/>
          </w:tcPr>
          <w:p w:rsidR="004A147C" w:rsidRPr="00FE5EC9" w:rsidRDefault="004A147C" w:rsidP="00CE5850">
            <w:pPr>
              <w:numPr>
                <w:ilvl w:val="0"/>
                <w:numId w:val="28"/>
              </w:numPr>
              <w:spacing w:after="120"/>
            </w:pPr>
          </w:p>
        </w:tc>
        <w:tc>
          <w:tcPr>
            <w:tcW w:w="0" w:type="auto"/>
          </w:tcPr>
          <w:p w:rsidR="004A147C" w:rsidRPr="00FE5EC9" w:rsidRDefault="004A147C" w:rsidP="00CE5850">
            <w:pPr>
              <w:spacing w:after="120"/>
            </w:pPr>
            <w:r w:rsidRPr="00FE5EC9">
              <w:t>4 GB</w:t>
            </w:r>
          </w:p>
        </w:tc>
        <w:tc>
          <w:tcPr>
            <w:tcW w:w="0" w:type="auto"/>
          </w:tcPr>
          <w:p w:rsidR="004A147C" w:rsidRPr="00FE5EC9" w:rsidRDefault="004A147C" w:rsidP="00CE5850">
            <w:pPr>
              <w:spacing w:after="120"/>
            </w:pPr>
            <w:r w:rsidRPr="00FE5EC9">
              <w:t>$70</w:t>
            </w:r>
          </w:p>
        </w:tc>
        <w:tc>
          <w:tcPr>
            <w:tcW w:w="0" w:type="auto"/>
            <w:vMerge/>
          </w:tcPr>
          <w:p w:rsidR="004A147C" w:rsidRPr="00FE5EC9" w:rsidRDefault="004A147C" w:rsidP="00CE5850">
            <w:pPr>
              <w:spacing w:after="120"/>
            </w:pPr>
          </w:p>
        </w:tc>
        <w:tc>
          <w:tcPr>
            <w:tcW w:w="0" w:type="auto"/>
            <w:vMerge/>
          </w:tcPr>
          <w:p w:rsidR="004A147C" w:rsidRPr="00FE5EC9" w:rsidRDefault="004A147C" w:rsidP="00CE5850">
            <w:pPr>
              <w:spacing w:after="120"/>
            </w:pPr>
          </w:p>
        </w:tc>
      </w:tr>
      <w:tr w:rsidR="004A147C" w:rsidRPr="00FE5EC9" w:rsidTr="00F040D6">
        <w:tc>
          <w:tcPr>
            <w:tcW w:w="0" w:type="auto"/>
            <w:vMerge/>
          </w:tcPr>
          <w:p w:rsidR="004A147C" w:rsidRPr="00FE5EC9" w:rsidRDefault="004A147C" w:rsidP="00CE5850">
            <w:pPr>
              <w:spacing w:after="120"/>
            </w:pPr>
          </w:p>
        </w:tc>
        <w:tc>
          <w:tcPr>
            <w:tcW w:w="0" w:type="auto"/>
            <w:gridSpan w:val="2"/>
            <w:vMerge/>
          </w:tcPr>
          <w:p w:rsidR="004A147C" w:rsidRPr="00FE5EC9" w:rsidRDefault="004A147C" w:rsidP="00CE5850">
            <w:pPr>
              <w:spacing w:after="120"/>
            </w:pPr>
          </w:p>
        </w:tc>
        <w:tc>
          <w:tcPr>
            <w:tcW w:w="0" w:type="auto"/>
          </w:tcPr>
          <w:p w:rsidR="004A147C" w:rsidRPr="00FE5EC9" w:rsidRDefault="004A147C" w:rsidP="00CE5850">
            <w:pPr>
              <w:spacing w:after="120"/>
            </w:pPr>
            <w:r w:rsidRPr="00FE5EC9">
              <w:t>6 GB</w:t>
            </w:r>
          </w:p>
        </w:tc>
        <w:tc>
          <w:tcPr>
            <w:tcW w:w="0" w:type="auto"/>
          </w:tcPr>
          <w:p w:rsidR="004A147C" w:rsidRPr="00FE5EC9" w:rsidRDefault="004A147C" w:rsidP="00CE5850">
            <w:pPr>
              <w:spacing w:after="120"/>
            </w:pPr>
            <w:r w:rsidRPr="00FE5EC9">
              <w:t>$80</w:t>
            </w:r>
          </w:p>
        </w:tc>
        <w:tc>
          <w:tcPr>
            <w:tcW w:w="0" w:type="auto"/>
            <w:vMerge/>
          </w:tcPr>
          <w:p w:rsidR="004A147C" w:rsidRPr="00FE5EC9" w:rsidRDefault="004A147C" w:rsidP="00CE5850">
            <w:pPr>
              <w:spacing w:after="120"/>
            </w:pPr>
          </w:p>
        </w:tc>
        <w:tc>
          <w:tcPr>
            <w:tcW w:w="0" w:type="auto"/>
            <w:vMerge/>
          </w:tcPr>
          <w:p w:rsidR="004A147C" w:rsidRPr="00FE5EC9" w:rsidRDefault="004A147C" w:rsidP="00CE5850">
            <w:pPr>
              <w:spacing w:after="120"/>
            </w:pPr>
          </w:p>
        </w:tc>
      </w:tr>
      <w:tr w:rsidR="004A147C" w:rsidRPr="00FE5EC9" w:rsidTr="00F040D6">
        <w:tc>
          <w:tcPr>
            <w:tcW w:w="0" w:type="auto"/>
            <w:vMerge/>
          </w:tcPr>
          <w:p w:rsidR="004A147C" w:rsidRPr="00FE5EC9" w:rsidRDefault="004A147C" w:rsidP="00CE5850">
            <w:pPr>
              <w:spacing w:after="120"/>
            </w:pPr>
          </w:p>
        </w:tc>
        <w:tc>
          <w:tcPr>
            <w:tcW w:w="0" w:type="auto"/>
            <w:gridSpan w:val="2"/>
            <w:vMerge/>
          </w:tcPr>
          <w:p w:rsidR="004A147C" w:rsidRPr="00FE5EC9" w:rsidRDefault="004A147C" w:rsidP="00CE5850">
            <w:pPr>
              <w:spacing w:after="120"/>
            </w:pPr>
          </w:p>
        </w:tc>
        <w:tc>
          <w:tcPr>
            <w:tcW w:w="0" w:type="auto"/>
          </w:tcPr>
          <w:p w:rsidR="004A147C" w:rsidRPr="00FE5EC9" w:rsidRDefault="004A147C" w:rsidP="00CE5850">
            <w:pPr>
              <w:spacing w:after="120"/>
            </w:pPr>
            <w:r w:rsidRPr="00FE5EC9">
              <w:t>8 GB</w:t>
            </w:r>
          </w:p>
        </w:tc>
        <w:tc>
          <w:tcPr>
            <w:tcW w:w="0" w:type="auto"/>
          </w:tcPr>
          <w:p w:rsidR="004A147C" w:rsidRPr="00FE5EC9" w:rsidRDefault="004A147C" w:rsidP="00CE5850">
            <w:pPr>
              <w:spacing w:after="120"/>
            </w:pPr>
            <w:r w:rsidRPr="00FE5EC9">
              <w:t>$90</w:t>
            </w:r>
          </w:p>
        </w:tc>
        <w:tc>
          <w:tcPr>
            <w:tcW w:w="0" w:type="auto"/>
            <w:vMerge/>
          </w:tcPr>
          <w:p w:rsidR="004A147C" w:rsidRPr="00FE5EC9" w:rsidRDefault="004A147C" w:rsidP="00CE5850">
            <w:pPr>
              <w:spacing w:after="120"/>
            </w:pPr>
          </w:p>
        </w:tc>
        <w:tc>
          <w:tcPr>
            <w:tcW w:w="0" w:type="auto"/>
            <w:vMerge/>
          </w:tcPr>
          <w:p w:rsidR="004A147C" w:rsidRPr="00FE5EC9" w:rsidRDefault="004A147C" w:rsidP="00CE5850">
            <w:pPr>
              <w:spacing w:after="120"/>
            </w:pPr>
          </w:p>
        </w:tc>
      </w:tr>
      <w:tr w:rsidR="004A147C" w:rsidRPr="00FE5EC9" w:rsidTr="00F040D6">
        <w:tc>
          <w:tcPr>
            <w:tcW w:w="0" w:type="auto"/>
            <w:vMerge/>
          </w:tcPr>
          <w:p w:rsidR="004A147C" w:rsidRPr="00FE5EC9" w:rsidRDefault="004A147C" w:rsidP="00CE5850">
            <w:pPr>
              <w:spacing w:after="120"/>
            </w:pPr>
          </w:p>
        </w:tc>
        <w:tc>
          <w:tcPr>
            <w:tcW w:w="0" w:type="auto"/>
            <w:gridSpan w:val="2"/>
            <w:vMerge/>
          </w:tcPr>
          <w:p w:rsidR="004A147C" w:rsidRPr="00FE5EC9" w:rsidRDefault="004A147C" w:rsidP="00CE5850">
            <w:pPr>
              <w:spacing w:after="120"/>
            </w:pPr>
          </w:p>
        </w:tc>
        <w:tc>
          <w:tcPr>
            <w:tcW w:w="0" w:type="auto"/>
          </w:tcPr>
          <w:p w:rsidR="004A147C" w:rsidRPr="00FE5EC9" w:rsidRDefault="004A147C" w:rsidP="00CE5850">
            <w:pPr>
              <w:spacing w:after="120"/>
            </w:pPr>
            <w:r w:rsidRPr="00FE5EC9">
              <w:t>10 GB</w:t>
            </w:r>
          </w:p>
        </w:tc>
        <w:tc>
          <w:tcPr>
            <w:tcW w:w="0" w:type="auto"/>
          </w:tcPr>
          <w:p w:rsidR="004A147C" w:rsidRPr="00FE5EC9" w:rsidRDefault="004A147C" w:rsidP="00CE5850">
            <w:pPr>
              <w:spacing w:after="120"/>
            </w:pPr>
            <w:r w:rsidRPr="00FE5EC9">
              <w:t>$100</w:t>
            </w:r>
          </w:p>
        </w:tc>
        <w:tc>
          <w:tcPr>
            <w:tcW w:w="0" w:type="auto"/>
            <w:vMerge/>
          </w:tcPr>
          <w:p w:rsidR="004A147C" w:rsidRPr="00FE5EC9" w:rsidRDefault="004A147C" w:rsidP="00CE5850">
            <w:pPr>
              <w:spacing w:after="120"/>
            </w:pPr>
          </w:p>
        </w:tc>
        <w:tc>
          <w:tcPr>
            <w:tcW w:w="0" w:type="auto"/>
            <w:vMerge/>
          </w:tcPr>
          <w:p w:rsidR="004A147C" w:rsidRPr="00FE5EC9" w:rsidRDefault="004A147C" w:rsidP="00CE5850">
            <w:pPr>
              <w:spacing w:after="120"/>
            </w:pPr>
          </w:p>
        </w:tc>
      </w:tr>
      <w:tr w:rsidR="004A147C" w:rsidRPr="00FE5EC9" w:rsidTr="00F040D6">
        <w:tc>
          <w:tcPr>
            <w:tcW w:w="0" w:type="auto"/>
            <w:vMerge w:val="restart"/>
          </w:tcPr>
          <w:p w:rsidR="004A147C" w:rsidRPr="00FE5EC9" w:rsidRDefault="004A147C" w:rsidP="00CE5850">
            <w:pPr>
              <w:spacing w:after="120"/>
              <w:rPr>
                <w:b/>
              </w:rPr>
            </w:pPr>
            <w:r w:rsidRPr="00FE5EC9">
              <w:rPr>
                <w:b/>
              </w:rPr>
              <w:t>AT&amp;T</w:t>
            </w:r>
          </w:p>
        </w:tc>
        <w:tc>
          <w:tcPr>
            <w:tcW w:w="0" w:type="auto"/>
            <w:vMerge w:val="restart"/>
            <w:tcBorders>
              <w:bottom w:val="dashed" w:sz="4" w:space="0" w:color="auto"/>
              <w:right w:val="nil"/>
            </w:tcBorders>
          </w:tcPr>
          <w:p w:rsidR="004A147C" w:rsidRPr="00FE5EC9" w:rsidRDefault="004A147C" w:rsidP="00CE5850">
            <w:pPr>
              <w:spacing w:after="120"/>
            </w:pPr>
            <w:r w:rsidRPr="00FE5EC9">
              <w:t>Smartphones</w:t>
            </w:r>
          </w:p>
          <w:p w:rsidR="004A147C" w:rsidRPr="00FE5EC9" w:rsidRDefault="004A147C" w:rsidP="00CE5850"/>
          <w:p w:rsidR="004A147C" w:rsidRPr="00FE5EC9" w:rsidRDefault="004A147C" w:rsidP="00CE5850"/>
        </w:tc>
        <w:tc>
          <w:tcPr>
            <w:tcW w:w="0" w:type="auto"/>
            <w:tcBorders>
              <w:left w:val="nil"/>
            </w:tcBorders>
          </w:tcPr>
          <w:p w:rsidR="004A147C" w:rsidRPr="00FE5EC9" w:rsidRDefault="004A147C" w:rsidP="00CE5850">
            <w:pPr>
              <w:spacing w:after="120"/>
            </w:pPr>
            <w:r w:rsidRPr="00FE5EC9">
              <w:t xml:space="preserve">$45 </w:t>
            </w:r>
          </w:p>
        </w:tc>
        <w:tc>
          <w:tcPr>
            <w:tcW w:w="0" w:type="auto"/>
          </w:tcPr>
          <w:p w:rsidR="004A147C" w:rsidRPr="00FE5EC9" w:rsidRDefault="004A147C" w:rsidP="00CE5850">
            <w:pPr>
              <w:spacing w:after="120"/>
            </w:pPr>
            <w:r w:rsidRPr="00FE5EC9">
              <w:t>1 GB</w:t>
            </w:r>
          </w:p>
        </w:tc>
        <w:tc>
          <w:tcPr>
            <w:tcW w:w="0" w:type="auto"/>
          </w:tcPr>
          <w:p w:rsidR="004A147C" w:rsidRPr="00FE5EC9" w:rsidRDefault="004A147C" w:rsidP="00CE5850">
            <w:pPr>
              <w:spacing w:after="120"/>
            </w:pPr>
            <w:r w:rsidRPr="00FE5EC9">
              <w:t>$40</w:t>
            </w:r>
          </w:p>
        </w:tc>
        <w:tc>
          <w:tcPr>
            <w:tcW w:w="0" w:type="auto"/>
            <w:vMerge w:val="restart"/>
          </w:tcPr>
          <w:p w:rsidR="004A147C" w:rsidRPr="00FE5EC9" w:rsidRDefault="004A147C" w:rsidP="00CE5850">
            <w:pPr>
              <w:spacing w:after="120"/>
            </w:pPr>
            <w:r w:rsidRPr="00FE5EC9">
              <w:t>$15 per GB</w:t>
            </w:r>
          </w:p>
        </w:tc>
        <w:tc>
          <w:tcPr>
            <w:tcW w:w="0" w:type="auto"/>
            <w:vMerge w:val="restart"/>
          </w:tcPr>
          <w:p w:rsidR="004A147C" w:rsidRDefault="004A147C" w:rsidP="00CE5850">
            <w:pPr>
              <w:spacing w:after="120"/>
            </w:pPr>
          </w:p>
          <w:p w:rsidR="004A147C" w:rsidRPr="00FE5EC9" w:rsidRDefault="004A147C" w:rsidP="00CE5850">
            <w:pPr>
              <w:spacing w:after="120"/>
            </w:pPr>
            <w:r>
              <w:t>Yes</w:t>
            </w:r>
          </w:p>
        </w:tc>
      </w:tr>
      <w:tr w:rsidR="004A147C" w:rsidRPr="00FE5EC9" w:rsidTr="00F040D6">
        <w:tc>
          <w:tcPr>
            <w:tcW w:w="0" w:type="auto"/>
            <w:vMerge/>
          </w:tcPr>
          <w:p w:rsidR="004A147C" w:rsidRPr="00FE5EC9" w:rsidRDefault="004A147C" w:rsidP="00CE5850">
            <w:pPr>
              <w:spacing w:after="120"/>
            </w:pPr>
          </w:p>
        </w:tc>
        <w:tc>
          <w:tcPr>
            <w:tcW w:w="0" w:type="auto"/>
            <w:vMerge/>
            <w:tcBorders>
              <w:bottom w:val="dashed" w:sz="4" w:space="0" w:color="auto"/>
              <w:right w:val="nil"/>
            </w:tcBorders>
          </w:tcPr>
          <w:p w:rsidR="004A147C" w:rsidRPr="00FE5EC9" w:rsidRDefault="004A147C" w:rsidP="00CE5850">
            <w:pPr>
              <w:tabs>
                <w:tab w:val="num" w:pos="1440"/>
              </w:tabs>
              <w:spacing w:after="120"/>
              <w:ind w:left="720"/>
            </w:pPr>
          </w:p>
        </w:tc>
        <w:tc>
          <w:tcPr>
            <w:tcW w:w="0" w:type="auto"/>
            <w:tcBorders>
              <w:left w:val="nil"/>
            </w:tcBorders>
          </w:tcPr>
          <w:p w:rsidR="004A147C" w:rsidRPr="00FE5EC9" w:rsidRDefault="004A147C" w:rsidP="00CE5850">
            <w:pPr>
              <w:spacing w:after="120"/>
            </w:pPr>
            <w:r w:rsidRPr="00FE5EC9">
              <w:t>$40</w:t>
            </w:r>
          </w:p>
        </w:tc>
        <w:tc>
          <w:tcPr>
            <w:tcW w:w="0" w:type="auto"/>
          </w:tcPr>
          <w:p w:rsidR="004A147C" w:rsidRPr="00FE5EC9" w:rsidRDefault="004A147C" w:rsidP="00CE5850">
            <w:pPr>
              <w:spacing w:after="120"/>
            </w:pPr>
            <w:r w:rsidRPr="00FE5EC9">
              <w:t>4 GB</w:t>
            </w:r>
          </w:p>
        </w:tc>
        <w:tc>
          <w:tcPr>
            <w:tcW w:w="0" w:type="auto"/>
          </w:tcPr>
          <w:p w:rsidR="004A147C" w:rsidRPr="00FE5EC9" w:rsidRDefault="004A147C" w:rsidP="00CE5850">
            <w:pPr>
              <w:spacing w:after="120"/>
            </w:pPr>
            <w:r w:rsidRPr="00FE5EC9">
              <w:t>$70</w:t>
            </w:r>
          </w:p>
        </w:tc>
        <w:tc>
          <w:tcPr>
            <w:tcW w:w="0" w:type="auto"/>
            <w:vMerge/>
          </w:tcPr>
          <w:p w:rsidR="004A147C" w:rsidRPr="00FE5EC9" w:rsidRDefault="004A147C" w:rsidP="00CE5850">
            <w:pPr>
              <w:spacing w:after="120"/>
            </w:pPr>
          </w:p>
        </w:tc>
        <w:tc>
          <w:tcPr>
            <w:tcW w:w="0" w:type="auto"/>
            <w:vMerge/>
          </w:tcPr>
          <w:p w:rsidR="004A147C" w:rsidRPr="00FE5EC9" w:rsidRDefault="004A147C" w:rsidP="00CE5850">
            <w:pPr>
              <w:spacing w:after="120"/>
            </w:pPr>
          </w:p>
        </w:tc>
      </w:tr>
      <w:tr w:rsidR="004A147C" w:rsidRPr="00FE5EC9" w:rsidTr="00F040D6">
        <w:tc>
          <w:tcPr>
            <w:tcW w:w="0" w:type="auto"/>
            <w:vMerge/>
          </w:tcPr>
          <w:p w:rsidR="004A147C" w:rsidRPr="00FE5EC9" w:rsidRDefault="004A147C" w:rsidP="00CE5850">
            <w:pPr>
              <w:spacing w:after="120"/>
            </w:pPr>
          </w:p>
        </w:tc>
        <w:tc>
          <w:tcPr>
            <w:tcW w:w="0" w:type="auto"/>
            <w:vMerge/>
            <w:tcBorders>
              <w:bottom w:val="dashed" w:sz="4" w:space="0" w:color="auto"/>
              <w:right w:val="nil"/>
            </w:tcBorders>
          </w:tcPr>
          <w:p w:rsidR="004A147C" w:rsidRPr="00FE5EC9" w:rsidRDefault="004A147C" w:rsidP="00CE5850">
            <w:pPr>
              <w:spacing w:after="120"/>
              <w:ind w:left="720"/>
            </w:pPr>
          </w:p>
        </w:tc>
        <w:tc>
          <w:tcPr>
            <w:tcW w:w="0" w:type="auto"/>
            <w:tcBorders>
              <w:left w:val="nil"/>
            </w:tcBorders>
          </w:tcPr>
          <w:p w:rsidR="004A147C" w:rsidRPr="00FE5EC9" w:rsidRDefault="004A147C" w:rsidP="00CE5850">
            <w:pPr>
              <w:spacing w:after="120"/>
            </w:pPr>
            <w:r w:rsidRPr="00FE5EC9">
              <w:t>$35</w:t>
            </w:r>
          </w:p>
        </w:tc>
        <w:tc>
          <w:tcPr>
            <w:tcW w:w="0" w:type="auto"/>
          </w:tcPr>
          <w:p w:rsidR="004A147C" w:rsidRPr="00FE5EC9" w:rsidRDefault="004A147C" w:rsidP="00CE5850">
            <w:pPr>
              <w:spacing w:after="120"/>
            </w:pPr>
            <w:r w:rsidRPr="00FE5EC9">
              <w:t>6 GB</w:t>
            </w:r>
          </w:p>
        </w:tc>
        <w:tc>
          <w:tcPr>
            <w:tcW w:w="0" w:type="auto"/>
          </w:tcPr>
          <w:p w:rsidR="004A147C" w:rsidRPr="00FE5EC9" w:rsidRDefault="004A147C" w:rsidP="00CE5850">
            <w:pPr>
              <w:spacing w:after="120"/>
            </w:pPr>
            <w:r w:rsidRPr="00FE5EC9">
              <w:t>$90</w:t>
            </w:r>
          </w:p>
        </w:tc>
        <w:tc>
          <w:tcPr>
            <w:tcW w:w="0" w:type="auto"/>
            <w:vMerge/>
          </w:tcPr>
          <w:p w:rsidR="004A147C" w:rsidRPr="00FE5EC9" w:rsidRDefault="004A147C" w:rsidP="00CE5850">
            <w:pPr>
              <w:spacing w:after="120"/>
            </w:pPr>
          </w:p>
        </w:tc>
        <w:tc>
          <w:tcPr>
            <w:tcW w:w="0" w:type="auto"/>
            <w:vMerge/>
          </w:tcPr>
          <w:p w:rsidR="004A147C" w:rsidRPr="00FE5EC9" w:rsidRDefault="004A147C" w:rsidP="00CE5850">
            <w:pPr>
              <w:spacing w:after="120"/>
            </w:pPr>
          </w:p>
        </w:tc>
      </w:tr>
      <w:tr w:rsidR="004A147C" w:rsidRPr="00FE5EC9" w:rsidTr="00F040D6">
        <w:tc>
          <w:tcPr>
            <w:tcW w:w="0" w:type="auto"/>
            <w:vMerge/>
          </w:tcPr>
          <w:p w:rsidR="004A147C" w:rsidRPr="00FE5EC9" w:rsidRDefault="004A147C" w:rsidP="00CE5850">
            <w:pPr>
              <w:spacing w:after="120"/>
            </w:pPr>
          </w:p>
        </w:tc>
        <w:tc>
          <w:tcPr>
            <w:tcW w:w="0" w:type="auto"/>
            <w:vMerge/>
            <w:tcBorders>
              <w:bottom w:val="dashed" w:sz="4" w:space="0" w:color="auto"/>
              <w:right w:val="nil"/>
            </w:tcBorders>
          </w:tcPr>
          <w:p w:rsidR="004A147C" w:rsidRPr="00FE5EC9" w:rsidRDefault="004A147C" w:rsidP="00CE5850">
            <w:pPr>
              <w:spacing w:after="120"/>
            </w:pPr>
          </w:p>
        </w:tc>
        <w:tc>
          <w:tcPr>
            <w:tcW w:w="0" w:type="auto"/>
            <w:vMerge w:val="restart"/>
            <w:tcBorders>
              <w:left w:val="nil"/>
              <w:bottom w:val="dashed" w:sz="4" w:space="0" w:color="auto"/>
            </w:tcBorders>
          </w:tcPr>
          <w:p w:rsidR="004A147C" w:rsidRPr="00FE5EC9" w:rsidRDefault="004A147C" w:rsidP="00CE5850">
            <w:pPr>
              <w:spacing w:after="120"/>
            </w:pPr>
            <w:r w:rsidRPr="00FE5EC9">
              <w:t>$30</w:t>
            </w:r>
          </w:p>
        </w:tc>
        <w:tc>
          <w:tcPr>
            <w:tcW w:w="0" w:type="auto"/>
          </w:tcPr>
          <w:p w:rsidR="004A147C" w:rsidRPr="00FE5EC9" w:rsidRDefault="004A147C" w:rsidP="00CE5850">
            <w:pPr>
              <w:spacing w:after="120"/>
            </w:pPr>
            <w:r w:rsidRPr="00FE5EC9">
              <w:t>10 GB</w:t>
            </w:r>
          </w:p>
        </w:tc>
        <w:tc>
          <w:tcPr>
            <w:tcW w:w="0" w:type="auto"/>
          </w:tcPr>
          <w:p w:rsidR="004A147C" w:rsidRPr="00FE5EC9" w:rsidRDefault="004A147C" w:rsidP="00CE5850">
            <w:pPr>
              <w:spacing w:after="120"/>
            </w:pPr>
            <w:r w:rsidRPr="00FE5EC9">
              <w:t>$120</w:t>
            </w:r>
          </w:p>
        </w:tc>
        <w:tc>
          <w:tcPr>
            <w:tcW w:w="0" w:type="auto"/>
            <w:vMerge/>
          </w:tcPr>
          <w:p w:rsidR="004A147C" w:rsidRPr="00FE5EC9" w:rsidRDefault="004A147C" w:rsidP="00CE5850">
            <w:pPr>
              <w:spacing w:after="120"/>
            </w:pPr>
          </w:p>
        </w:tc>
        <w:tc>
          <w:tcPr>
            <w:tcW w:w="0" w:type="auto"/>
            <w:vMerge/>
          </w:tcPr>
          <w:p w:rsidR="004A147C" w:rsidRPr="00FE5EC9" w:rsidRDefault="004A147C" w:rsidP="00CE5850">
            <w:pPr>
              <w:spacing w:after="120"/>
            </w:pPr>
          </w:p>
        </w:tc>
      </w:tr>
      <w:tr w:rsidR="004A147C" w:rsidRPr="00FE5EC9" w:rsidTr="00F040D6">
        <w:tc>
          <w:tcPr>
            <w:tcW w:w="0" w:type="auto"/>
            <w:vMerge/>
          </w:tcPr>
          <w:p w:rsidR="004A147C" w:rsidRPr="00FE5EC9" w:rsidRDefault="004A147C" w:rsidP="00CE5850">
            <w:pPr>
              <w:spacing w:after="120"/>
            </w:pPr>
          </w:p>
        </w:tc>
        <w:tc>
          <w:tcPr>
            <w:tcW w:w="0" w:type="auto"/>
            <w:vMerge/>
            <w:tcBorders>
              <w:bottom w:val="dashed" w:sz="4" w:space="0" w:color="auto"/>
              <w:right w:val="nil"/>
            </w:tcBorders>
          </w:tcPr>
          <w:p w:rsidR="004A147C" w:rsidRPr="00FE5EC9" w:rsidRDefault="004A147C" w:rsidP="00CE5850">
            <w:pPr>
              <w:spacing w:after="120"/>
            </w:pPr>
          </w:p>
        </w:tc>
        <w:tc>
          <w:tcPr>
            <w:tcW w:w="0" w:type="auto"/>
            <w:vMerge/>
            <w:tcBorders>
              <w:left w:val="nil"/>
              <w:bottom w:val="dashed" w:sz="4" w:space="0" w:color="auto"/>
            </w:tcBorders>
          </w:tcPr>
          <w:p w:rsidR="004A147C" w:rsidRPr="00FE5EC9" w:rsidRDefault="004A147C" w:rsidP="00CE5850">
            <w:pPr>
              <w:spacing w:after="120"/>
            </w:pPr>
          </w:p>
        </w:tc>
        <w:tc>
          <w:tcPr>
            <w:tcW w:w="0" w:type="auto"/>
          </w:tcPr>
          <w:p w:rsidR="004A147C" w:rsidRPr="00FE5EC9" w:rsidRDefault="004A147C" w:rsidP="00CE5850">
            <w:pPr>
              <w:spacing w:after="120"/>
            </w:pPr>
            <w:r w:rsidRPr="00FE5EC9">
              <w:t>15 GB</w:t>
            </w:r>
          </w:p>
        </w:tc>
        <w:tc>
          <w:tcPr>
            <w:tcW w:w="0" w:type="auto"/>
          </w:tcPr>
          <w:p w:rsidR="004A147C" w:rsidRPr="00FE5EC9" w:rsidRDefault="004A147C" w:rsidP="00CE5850">
            <w:pPr>
              <w:spacing w:after="120"/>
            </w:pPr>
            <w:r w:rsidRPr="00FE5EC9">
              <w:t>$160</w:t>
            </w:r>
          </w:p>
        </w:tc>
        <w:tc>
          <w:tcPr>
            <w:tcW w:w="0" w:type="auto"/>
            <w:vMerge/>
          </w:tcPr>
          <w:p w:rsidR="004A147C" w:rsidRPr="00FE5EC9" w:rsidRDefault="004A147C" w:rsidP="00CE5850">
            <w:pPr>
              <w:spacing w:after="120"/>
            </w:pPr>
          </w:p>
        </w:tc>
        <w:tc>
          <w:tcPr>
            <w:tcW w:w="0" w:type="auto"/>
            <w:vMerge/>
          </w:tcPr>
          <w:p w:rsidR="004A147C" w:rsidRPr="00FE5EC9" w:rsidRDefault="004A147C" w:rsidP="00CE5850">
            <w:pPr>
              <w:spacing w:after="120"/>
            </w:pPr>
          </w:p>
        </w:tc>
      </w:tr>
      <w:tr w:rsidR="004A147C" w:rsidRPr="00FE5EC9" w:rsidTr="00F040D6">
        <w:tc>
          <w:tcPr>
            <w:tcW w:w="0" w:type="auto"/>
            <w:vMerge/>
          </w:tcPr>
          <w:p w:rsidR="004A147C" w:rsidRPr="00FE5EC9" w:rsidRDefault="004A147C" w:rsidP="00CE5850">
            <w:pPr>
              <w:spacing w:after="120"/>
            </w:pPr>
          </w:p>
        </w:tc>
        <w:tc>
          <w:tcPr>
            <w:tcW w:w="0" w:type="auto"/>
            <w:vMerge/>
            <w:tcBorders>
              <w:bottom w:val="dashed" w:sz="4" w:space="0" w:color="auto"/>
              <w:right w:val="nil"/>
            </w:tcBorders>
          </w:tcPr>
          <w:p w:rsidR="004A147C" w:rsidRPr="00FE5EC9" w:rsidRDefault="004A147C" w:rsidP="00CE5850">
            <w:pPr>
              <w:spacing w:after="120"/>
            </w:pPr>
          </w:p>
        </w:tc>
        <w:tc>
          <w:tcPr>
            <w:tcW w:w="0" w:type="auto"/>
            <w:vMerge/>
            <w:tcBorders>
              <w:left w:val="nil"/>
              <w:bottom w:val="dashed" w:sz="4" w:space="0" w:color="auto"/>
            </w:tcBorders>
          </w:tcPr>
          <w:p w:rsidR="004A147C" w:rsidRPr="00FE5EC9" w:rsidRDefault="004A147C" w:rsidP="00CE5850">
            <w:pPr>
              <w:spacing w:after="120"/>
            </w:pPr>
          </w:p>
        </w:tc>
        <w:tc>
          <w:tcPr>
            <w:tcW w:w="0" w:type="auto"/>
          </w:tcPr>
          <w:p w:rsidR="004A147C" w:rsidRPr="00FE5EC9" w:rsidRDefault="004A147C" w:rsidP="00CE5850">
            <w:pPr>
              <w:spacing w:after="120"/>
            </w:pPr>
            <w:r w:rsidRPr="00FE5EC9">
              <w:t>20 GB</w:t>
            </w:r>
          </w:p>
        </w:tc>
        <w:tc>
          <w:tcPr>
            <w:tcW w:w="0" w:type="auto"/>
          </w:tcPr>
          <w:p w:rsidR="004A147C" w:rsidRPr="00FE5EC9" w:rsidRDefault="004A147C" w:rsidP="00CE5850">
            <w:pPr>
              <w:spacing w:after="120"/>
            </w:pPr>
            <w:r w:rsidRPr="00FE5EC9">
              <w:t>$200</w:t>
            </w:r>
          </w:p>
        </w:tc>
        <w:tc>
          <w:tcPr>
            <w:tcW w:w="0" w:type="auto"/>
            <w:vMerge/>
          </w:tcPr>
          <w:p w:rsidR="004A147C" w:rsidRPr="00FE5EC9" w:rsidRDefault="004A147C" w:rsidP="00CE5850">
            <w:pPr>
              <w:spacing w:after="120"/>
            </w:pPr>
          </w:p>
        </w:tc>
        <w:tc>
          <w:tcPr>
            <w:tcW w:w="0" w:type="auto"/>
            <w:vMerge/>
          </w:tcPr>
          <w:p w:rsidR="004A147C" w:rsidRPr="00FE5EC9" w:rsidRDefault="004A147C" w:rsidP="00CE5850">
            <w:pPr>
              <w:spacing w:after="120"/>
            </w:pPr>
          </w:p>
        </w:tc>
      </w:tr>
      <w:tr w:rsidR="004A147C" w:rsidRPr="00FE5EC9" w:rsidTr="00F040D6">
        <w:trPr>
          <w:trHeight w:val="1483"/>
        </w:trPr>
        <w:tc>
          <w:tcPr>
            <w:tcW w:w="0" w:type="auto"/>
            <w:vMerge/>
          </w:tcPr>
          <w:p w:rsidR="004A147C" w:rsidRPr="00FE5EC9" w:rsidRDefault="004A147C" w:rsidP="00CE5850">
            <w:pPr>
              <w:spacing w:after="120"/>
            </w:pPr>
          </w:p>
        </w:tc>
        <w:tc>
          <w:tcPr>
            <w:tcW w:w="0" w:type="auto"/>
            <w:gridSpan w:val="2"/>
            <w:tcBorders>
              <w:top w:val="nil"/>
            </w:tcBorders>
          </w:tcPr>
          <w:p w:rsidR="004A147C" w:rsidRPr="00FE5EC9" w:rsidRDefault="004A147C" w:rsidP="00CE5850">
            <w:pPr>
              <w:spacing w:after="120"/>
            </w:pPr>
            <w:r w:rsidRPr="00FE5EC9">
              <w:t>Basic phones $30</w:t>
            </w:r>
          </w:p>
          <w:p w:rsidR="004A147C" w:rsidRPr="00FE5EC9" w:rsidRDefault="004A147C" w:rsidP="00CE5850">
            <w:pPr>
              <w:spacing w:after="120"/>
            </w:pPr>
            <w:r w:rsidRPr="00FE5EC9">
              <w:t>Laptops/netbooks $20</w:t>
            </w:r>
          </w:p>
          <w:p w:rsidR="004A147C" w:rsidRPr="00FE5EC9" w:rsidRDefault="004A147C" w:rsidP="00CE5850">
            <w:pPr>
              <w:spacing w:after="120"/>
            </w:pPr>
            <w:r w:rsidRPr="00FE5EC9">
              <w:t>Tablets $10</w:t>
            </w:r>
          </w:p>
          <w:p w:rsidR="004A147C" w:rsidRPr="00FE5EC9" w:rsidRDefault="004A147C" w:rsidP="00CE5850">
            <w:pPr>
              <w:spacing w:after="120"/>
            </w:pPr>
            <w:r w:rsidRPr="00FE5EC9">
              <w:t>Gaming devices $10</w:t>
            </w:r>
          </w:p>
        </w:tc>
        <w:tc>
          <w:tcPr>
            <w:tcW w:w="0" w:type="auto"/>
            <w:gridSpan w:val="2"/>
          </w:tcPr>
          <w:p w:rsidR="004A147C" w:rsidRPr="00FE5EC9" w:rsidRDefault="004A147C" w:rsidP="00CE5850">
            <w:pPr>
              <w:spacing w:after="120"/>
            </w:pPr>
          </w:p>
        </w:tc>
        <w:tc>
          <w:tcPr>
            <w:tcW w:w="0" w:type="auto"/>
            <w:vMerge/>
          </w:tcPr>
          <w:p w:rsidR="004A147C" w:rsidRPr="00FE5EC9" w:rsidRDefault="004A147C" w:rsidP="00CE5850">
            <w:pPr>
              <w:spacing w:after="120"/>
            </w:pPr>
          </w:p>
        </w:tc>
        <w:tc>
          <w:tcPr>
            <w:tcW w:w="0" w:type="auto"/>
          </w:tcPr>
          <w:p w:rsidR="004A147C" w:rsidRPr="00FE5EC9" w:rsidRDefault="004A147C" w:rsidP="00CE5850">
            <w:pPr>
              <w:spacing w:after="120"/>
            </w:pPr>
          </w:p>
        </w:tc>
      </w:tr>
    </w:tbl>
    <w:p w:rsidR="004A147C" w:rsidRPr="00F1004B" w:rsidRDefault="004A147C" w:rsidP="00CE5850">
      <w:pPr>
        <w:pStyle w:val="ParaNum"/>
        <w:tabs>
          <w:tab w:val="clear" w:pos="1440"/>
        </w:tabs>
        <w:ind w:firstLine="0"/>
        <w:rPr>
          <w:szCs w:val="22"/>
        </w:rPr>
      </w:pPr>
    </w:p>
    <w:p w:rsidR="004A147C" w:rsidRPr="00F040D6" w:rsidRDefault="004A147C" w:rsidP="00CE5850">
      <w:pPr>
        <w:pStyle w:val="ParaNum"/>
        <w:numPr>
          <w:ilvl w:val="0"/>
          <w:numId w:val="28"/>
        </w:numPr>
        <w:rPr>
          <w:sz w:val="22"/>
          <w:szCs w:val="22"/>
        </w:rPr>
      </w:pPr>
      <w:r w:rsidRPr="00F040D6">
        <w:rPr>
          <w:i/>
          <w:sz w:val="22"/>
          <w:szCs w:val="22"/>
        </w:rPr>
        <w:t>T-Mobile Smartphone Data Plans</w:t>
      </w:r>
      <w:r w:rsidRPr="00F040D6">
        <w:rPr>
          <w:sz w:val="22"/>
          <w:szCs w:val="22"/>
        </w:rPr>
        <w:t>.  The tiered, usage-based smartphone data plans introduced by T-Mobile in 2011 differed in two key respects from the tiered plans of AT&amp;T and Verizon Wireless.</w:t>
      </w:r>
      <w:r w:rsidRPr="00F040D6">
        <w:rPr>
          <w:sz w:val="22"/>
          <w:szCs w:val="22"/>
          <w:vertAlign w:val="superscript"/>
        </w:rPr>
        <w:footnoteReference w:id="464"/>
      </w:r>
      <w:r w:rsidRPr="00F040D6">
        <w:rPr>
          <w:sz w:val="22"/>
          <w:szCs w:val="22"/>
        </w:rPr>
        <w:t xml:space="preserve">  T-Mobile set lower prices for comparable tiered plans, and its tiered plans depended primarily on reducing the data speeds of customers once they exceed their monthly data allowances, rather than on levying overage charges.</w:t>
      </w:r>
      <w:r w:rsidRPr="00F040D6">
        <w:rPr>
          <w:sz w:val="22"/>
          <w:szCs w:val="22"/>
          <w:vertAlign w:val="superscript"/>
        </w:rPr>
        <w:footnoteReference w:id="465"/>
      </w:r>
      <w:r w:rsidRPr="00F040D6">
        <w:rPr>
          <w:sz w:val="22"/>
          <w:szCs w:val="22"/>
        </w:rPr>
        <w:t xml:space="preserve"> The initial version of its tiered data plans for smartphones introduced in May 2011 relied exclusively on reducing data speeds once a user exceeded her data usage allowance.</w:t>
      </w:r>
      <w:r w:rsidRPr="00F040D6">
        <w:rPr>
          <w:sz w:val="22"/>
          <w:szCs w:val="22"/>
          <w:vertAlign w:val="superscript"/>
        </w:rPr>
        <w:footnoteReference w:id="466"/>
      </w:r>
      <w:r w:rsidRPr="00F040D6">
        <w:rPr>
          <w:sz w:val="22"/>
          <w:szCs w:val="22"/>
        </w:rPr>
        <w:t xml:space="preserve">  However, T-Mobile replaced speed reductions with overage fees on its entry-level 200 MB smartphone data plan beginning on August 14, 2011 for new customers who sign up for this plan.</w:t>
      </w:r>
      <w:r w:rsidRPr="00F040D6">
        <w:rPr>
          <w:sz w:val="22"/>
          <w:szCs w:val="22"/>
          <w:vertAlign w:val="superscript"/>
        </w:rPr>
        <w:footnoteReference w:id="467"/>
      </w:r>
      <w:r w:rsidRPr="00F040D6">
        <w:rPr>
          <w:sz w:val="22"/>
          <w:szCs w:val="22"/>
        </w:rPr>
        <w:t xml:space="preserve">  T-Mobile made the partial switch from speed reductions to overage charges for its entry-level 200 MB plan because the rate of adoption exceeded expectations.</w:t>
      </w:r>
      <w:r w:rsidRPr="00F040D6">
        <w:rPr>
          <w:sz w:val="22"/>
          <w:szCs w:val="22"/>
          <w:vertAlign w:val="superscript"/>
        </w:rPr>
        <w:footnoteReference w:id="468"/>
      </w:r>
      <w:r w:rsidRPr="00F040D6">
        <w:rPr>
          <w:sz w:val="22"/>
          <w:szCs w:val="22"/>
        </w:rPr>
        <w:t xml:space="preserve">  As with the tiered smartphone data plans offered by Verizon and AT&amp;T, customers who purchased one of T-Mobile’s tiered smartphone data plans were also required to purchase a voice plan for an additional monthly charge.</w:t>
      </w:r>
    </w:p>
    <w:p w:rsidR="004A147C" w:rsidRPr="00F040D6" w:rsidRDefault="004A147C" w:rsidP="00CE5850">
      <w:pPr>
        <w:pStyle w:val="ListParagraph"/>
        <w:ind w:left="0"/>
        <w:jc w:val="center"/>
        <w:rPr>
          <w:b/>
        </w:rPr>
      </w:pPr>
      <w:bookmarkStart w:id="2133" w:name="_Ref335251840"/>
      <w:r w:rsidRPr="00F040D6">
        <w:rPr>
          <w:b/>
        </w:rPr>
        <w:t xml:space="preserve">Table </w:t>
      </w:r>
      <w:r w:rsidR="0007014B" w:rsidRPr="00F040D6">
        <w:rPr>
          <w:b/>
        </w:rPr>
        <w:fldChar w:fldCharType="begin"/>
      </w:r>
      <w:r w:rsidRPr="00F040D6">
        <w:rPr>
          <w:b/>
        </w:rPr>
        <w:instrText xml:space="preserve"> SEQ Table \* ARABIC </w:instrText>
      </w:r>
      <w:r w:rsidR="0007014B" w:rsidRPr="00F040D6">
        <w:rPr>
          <w:b/>
        </w:rPr>
        <w:fldChar w:fldCharType="separate"/>
      </w:r>
      <w:r w:rsidR="00CA3AC6">
        <w:rPr>
          <w:b/>
          <w:noProof/>
        </w:rPr>
        <w:t>21</w:t>
      </w:r>
      <w:r w:rsidR="0007014B" w:rsidRPr="00F040D6">
        <w:rPr>
          <w:b/>
        </w:rPr>
        <w:fldChar w:fldCharType="end"/>
      </w:r>
      <w:bookmarkEnd w:id="2133"/>
    </w:p>
    <w:p w:rsidR="004A147C" w:rsidRPr="00F040D6" w:rsidRDefault="004A147C" w:rsidP="00CE5850">
      <w:pPr>
        <w:pStyle w:val="ListParagraph"/>
        <w:spacing w:after="120"/>
        <w:ind w:left="0"/>
        <w:jc w:val="center"/>
        <w:rPr>
          <w:b/>
        </w:rPr>
      </w:pPr>
      <w:r w:rsidRPr="00F040D6">
        <w:rPr>
          <w:b/>
        </w:rPr>
        <w:t>T-Mobile:  Tiered Smartphone Data Plans with Reduced Speeds or Overage Charges, Aug. 2011-Aug. 2012</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127"/>
        <w:gridCol w:w="1178"/>
        <w:gridCol w:w="4619"/>
        <w:gridCol w:w="2652"/>
      </w:tblGrid>
      <w:tr w:rsidR="004A147C" w:rsidRPr="00FE5EC9" w:rsidTr="00F040D6">
        <w:tc>
          <w:tcPr>
            <w:tcW w:w="0" w:type="auto"/>
          </w:tcPr>
          <w:p w:rsidR="004A147C" w:rsidRPr="00FE5EC9" w:rsidRDefault="004A147C" w:rsidP="00CE5850">
            <w:pPr>
              <w:spacing w:after="120"/>
              <w:rPr>
                <w:b/>
              </w:rPr>
            </w:pPr>
            <w:r w:rsidRPr="00FE5EC9">
              <w:rPr>
                <w:b/>
              </w:rPr>
              <w:t xml:space="preserve">Monthly Data </w:t>
            </w:r>
          </w:p>
        </w:tc>
        <w:tc>
          <w:tcPr>
            <w:tcW w:w="0" w:type="auto"/>
          </w:tcPr>
          <w:p w:rsidR="004A147C" w:rsidRPr="00FE5EC9" w:rsidRDefault="004A147C" w:rsidP="00CE5850">
            <w:pPr>
              <w:spacing w:after="120"/>
              <w:rPr>
                <w:b/>
              </w:rPr>
            </w:pPr>
            <w:r w:rsidRPr="00FE5EC9">
              <w:rPr>
                <w:b/>
              </w:rPr>
              <w:t>Monthly Charge</w:t>
            </w:r>
          </w:p>
        </w:tc>
        <w:tc>
          <w:tcPr>
            <w:tcW w:w="0" w:type="auto"/>
          </w:tcPr>
          <w:p w:rsidR="004A147C" w:rsidRPr="00FE5EC9" w:rsidRDefault="004A147C" w:rsidP="00CE5850">
            <w:pPr>
              <w:spacing w:after="120"/>
              <w:rPr>
                <w:b/>
              </w:rPr>
            </w:pPr>
            <w:r w:rsidRPr="00FE5EC9">
              <w:rPr>
                <w:b/>
              </w:rPr>
              <w:t>Speed Reduction</w:t>
            </w:r>
          </w:p>
        </w:tc>
        <w:tc>
          <w:tcPr>
            <w:tcW w:w="0" w:type="auto"/>
          </w:tcPr>
          <w:p w:rsidR="004A147C" w:rsidRPr="00FE5EC9" w:rsidRDefault="004A147C" w:rsidP="00CE5850">
            <w:pPr>
              <w:spacing w:after="120"/>
            </w:pPr>
            <w:r w:rsidRPr="00FE5EC9">
              <w:rPr>
                <w:b/>
              </w:rPr>
              <w:t>Overage Charge</w:t>
            </w:r>
          </w:p>
        </w:tc>
      </w:tr>
      <w:tr w:rsidR="004A147C" w:rsidRPr="00FE5EC9" w:rsidTr="00F040D6">
        <w:tc>
          <w:tcPr>
            <w:tcW w:w="0" w:type="auto"/>
          </w:tcPr>
          <w:p w:rsidR="004A147C" w:rsidRPr="00FE5EC9" w:rsidRDefault="004A147C" w:rsidP="00CE5850">
            <w:pPr>
              <w:spacing w:after="120"/>
            </w:pPr>
            <w:r w:rsidRPr="00FE5EC9">
              <w:t>200 MB</w:t>
            </w:r>
          </w:p>
        </w:tc>
        <w:tc>
          <w:tcPr>
            <w:tcW w:w="0" w:type="auto"/>
          </w:tcPr>
          <w:p w:rsidR="004A147C" w:rsidRPr="00FE5EC9" w:rsidRDefault="004A147C" w:rsidP="00CE5850">
            <w:pPr>
              <w:spacing w:after="120"/>
            </w:pPr>
            <w:r w:rsidRPr="00FE5EC9">
              <w:t>$10</w:t>
            </w:r>
          </w:p>
        </w:tc>
        <w:tc>
          <w:tcPr>
            <w:tcW w:w="0" w:type="auto"/>
          </w:tcPr>
          <w:p w:rsidR="004A147C" w:rsidRPr="00FE5EC9" w:rsidRDefault="004A147C" w:rsidP="00CE5850">
            <w:pPr>
              <w:spacing w:after="120"/>
            </w:pPr>
            <w:r w:rsidRPr="00FE5EC9">
              <w:t>Reduced speeds replaced with overage fees for new customers as of 8/14/2011.  Existing customers on the 200 MB plan are still subject to reduced speeds rather than overage charges.</w:t>
            </w:r>
          </w:p>
        </w:tc>
        <w:tc>
          <w:tcPr>
            <w:tcW w:w="0" w:type="auto"/>
          </w:tcPr>
          <w:p w:rsidR="004A147C" w:rsidRPr="00FE5EC9" w:rsidRDefault="004A147C" w:rsidP="00CE5850">
            <w:pPr>
              <w:spacing w:after="120"/>
            </w:pPr>
            <w:r w:rsidRPr="00FE5EC9">
              <w:t>$0.10 per MB, up to a maximum monthly charge of $40, including the cost of the 200 MB plan</w:t>
            </w:r>
          </w:p>
        </w:tc>
      </w:tr>
      <w:tr w:rsidR="004A147C" w:rsidRPr="00FE5EC9" w:rsidTr="00F040D6">
        <w:tc>
          <w:tcPr>
            <w:tcW w:w="0" w:type="auto"/>
          </w:tcPr>
          <w:p w:rsidR="004A147C" w:rsidRPr="00FE5EC9" w:rsidRDefault="004A147C" w:rsidP="00CE5850">
            <w:pPr>
              <w:spacing w:after="120"/>
            </w:pPr>
            <w:r w:rsidRPr="00FE5EC9">
              <w:t xml:space="preserve"> 2 GB</w:t>
            </w:r>
          </w:p>
        </w:tc>
        <w:tc>
          <w:tcPr>
            <w:tcW w:w="0" w:type="auto"/>
          </w:tcPr>
          <w:p w:rsidR="004A147C" w:rsidRPr="00FE5EC9" w:rsidRDefault="004A147C" w:rsidP="00CE5850">
            <w:pPr>
              <w:spacing w:after="120"/>
            </w:pPr>
            <w:r w:rsidRPr="00FE5EC9">
              <w:t>$20</w:t>
            </w:r>
          </w:p>
        </w:tc>
        <w:tc>
          <w:tcPr>
            <w:tcW w:w="0" w:type="auto"/>
            <w:vMerge w:val="restart"/>
          </w:tcPr>
          <w:p w:rsidR="004A147C" w:rsidRPr="00FE5EC9" w:rsidRDefault="004A147C" w:rsidP="00CE5850">
            <w:pPr>
              <w:spacing w:after="120"/>
            </w:pPr>
            <w:r w:rsidRPr="00FE5EC9">
              <w:t>Customers who exceed the cap will have their data speeds reduced to an EDGE/2G experience of around 100 Kbps or less for the rest of month, with the option of switching to a higher data tier instead</w:t>
            </w:r>
          </w:p>
        </w:tc>
        <w:tc>
          <w:tcPr>
            <w:tcW w:w="0" w:type="auto"/>
            <w:vMerge w:val="restart"/>
          </w:tcPr>
          <w:p w:rsidR="004A147C" w:rsidRPr="00FE5EC9" w:rsidRDefault="004A147C" w:rsidP="00CE5850">
            <w:pPr>
              <w:spacing w:after="120"/>
            </w:pPr>
            <w:r w:rsidRPr="00FE5EC9">
              <w:t>No charge</w:t>
            </w:r>
          </w:p>
        </w:tc>
      </w:tr>
      <w:tr w:rsidR="004A147C" w:rsidRPr="00FE5EC9" w:rsidTr="00F040D6">
        <w:tc>
          <w:tcPr>
            <w:tcW w:w="0" w:type="auto"/>
          </w:tcPr>
          <w:p w:rsidR="004A147C" w:rsidRPr="00FE5EC9" w:rsidRDefault="004A147C" w:rsidP="00CE5850">
            <w:pPr>
              <w:spacing w:after="120"/>
            </w:pPr>
            <w:r w:rsidRPr="00FE5EC9">
              <w:t>5 GB</w:t>
            </w:r>
          </w:p>
        </w:tc>
        <w:tc>
          <w:tcPr>
            <w:tcW w:w="0" w:type="auto"/>
          </w:tcPr>
          <w:p w:rsidR="004A147C" w:rsidRPr="00FE5EC9" w:rsidRDefault="004A147C" w:rsidP="00CE5850">
            <w:pPr>
              <w:spacing w:after="120"/>
            </w:pPr>
            <w:r w:rsidRPr="00FE5EC9">
              <w:t>$30</w:t>
            </w:r>
          </w:p>
        </w:tc>
        <w:tc>
          <w:tcPr>
            <w:tcW w:w="0" w:type="auto"/>
            <w:vMerge/>
          </w:tcPr>
          <w:p w:rsidR="004A147C" w:rsidRPr="00FE5EC9" w:rsidRDefault="004A147C" w:rsidP="00CE5850">
            <w:pPr>
              <w:spacing w:after="120"/>
            </w:pPr>
          </w:p>
        </w:tc>
        <w:tc>
          <w:tcPr>
            <w:tcW w:w="0" w:type="auto"/>
            <w:vMerge/>
          </w:tcPr>
          <w:p w:rsidR="004A147C" w:rsidRPr="00FE5EC9" w:rsidRDefault="004A147C" w:rsidP="00CE5850">
            <w:pPr>
              <w:spacing w:after="120"/>
            </w:pPr>
          </w:p>
        </w:tc>
      </w:tr>
      <w:tr w:rsidR="004A147C" w:rsidRPr="00FE5EC9" w:rsidTr="00F040D6">
        <w:tc>
          <w:tcPr>
            <w:tcW w:w="0" w:type="auto"/>
          </w:tcPr>
          <w:p w:rsidR="004A147C" w:rsidRPr="00FE5EC9" w:rsidRDefault="004A147C" w:rsidP="00CE5850">
            <w:pPr>
              <w:spacing w:after="120"/>
            </w:pPr>
            <w:r w:rsidRPr="00FE5EC9">
              <w:t>10 GB</w:t>
            </w:r>
          </w:p>
        </w:tc>
        <w:tc>
          <w:tcPr>
            <w:tcW w:w="0" w:type="auto"/>
          </w:tcPr>
          <w:p w:rsidR="004A147C" w:rsidRPr="00FE5EC9" w:rsidRDefault="004A147C" w:rsidP="00CE5850">
            <w:pPr>
              <w:spacing w:after="120"/>
            </w:pPr>
            <w:r w:rsidRPr="00FE5EC9">
              <w:t>$60</w:t>
            </w:r>
          </w:p>
        </w:tc>
        <w:tc>
          <w:tcPr>
            <w:tcW w:w="0" w:type="auto"/>
            <w:vMerge/>
          </w:tcPr>
          <w:p w:rsidR="004A147C" w:rsidRPr="00FE5EC9" w:rsidRDefault="004A147C" w:rsidP="00CE5850">
            <w:pPr>
              <w:spacing w:after="120"/>
            </w:pPr>
          </w:p>
        </w:tc>
        <w:tc>
          <w:tcPr>
            <w:tcW w:w="0" w:type="auto"/>
            <w:vMerge/>
          </w:tcPr>
          <w:p w:rsidR="004A147C" w:rsidRPr="00FE5EC9" w:rsidRDefault="004A147C" w:rsidP="00CE5850">
            <w:pPr>
              <w:spacing w:after="120"/>
            </w:pPr>
          </w:p>
        </w:tc>
      </w:tr>
    </w:tbl>
    <w:p w:rsidR="004A147C" w:rsidRPr="00F1004B" w:rsidRDefault="004A147C" w:rsidP="00CE5850">
      <w:pPr>
        <w:pStyle w:val="ParaNum"/>
        <w:tabs>
          <w:tab w:val="clear" w:pos="1440"/>
        </w:tabs>
        <w:ind w:left="720" w:firstLine="0"/>
        <w:rPr>
          <w:szCs w:val="22"/>
        </w:rPr>
      </w:pPr>
    </w:p>
    <w:p w:rsidR="004A147C" w:rsidRPr="00F040D6" w:rsidRDefault="004A147C" w:rsidP="00CE5850">
      <w:pPr>
        <w:pStyle w:val="ParaNum"/>
        <w:numPr>
          <w:ilvl w:val="0"/>
          <w:numId w:val="28"/>
        </w:numPr>
        <w:rPr>
          <w:sz w:val="22"/>
          <w:szCs w:val="22"/>
        </w:rPr>
      </w:pPr>
      <w:r w:rsidRPr="00F040D6">
        <w:rPr>
          <w:sz w:val="22"/>
          <w:szCs w:val="22"/>
        </w:rPr>
        <w:t>Prior to the introduction of its new tiered data plans in May 2011, T-Mobile had already begun to qualify its original $30 per month “unlimited” smartphone data plan by reducing the data speeds of customers when they reached 5 GB of data usage.</w:t>
      </w:r>
      <w:r w:rsidRPr="00F040D6">
        <w:rPr>
          <w:sz w:val="22"/>
          <w:szCs w:val="22"/>
          <w:vertAlign w:val="superscript"/>
        </w:rPr>
        <w:footnoteReference w:id="469"/>
      </w:r>
      <w:r w:rsidRPr="00F040D6">
        <w:rPr>
          <w:sz w:val="22"/>
          <w:szCs w:val="22"/>
        </w:rPr>
        <w:t xml:space="preserve">  As a consequence, although T-Mobile continued to offer a $30 per month data plan to new smartphone customers alongside the new tiered data plans, what had been T-Mobile’s original unlimited data plan became, in effect, one tier of its usage-based data plans.  Therefore, like AT&amp;T and Verizon Wireless, T-Mobile stopped offering an unlimited data plan without qualifications to new smartphone customers, and it used speed reductions to control the data usage of subscribers of its original “unlimited” data plan.</w:t>
      </w:r>
    </w:p>
    <w:p w:rsidR="004A147C" w:rsidRPr="00F040D6" w:rsidRDefault="004A147C" w:rsidP="00CE5850">
      <w:pPr>
        <w:pStyle w:val="ParaNum"/>
        <w:numPr>
          <w:ilvl w:val="0"/>
          <w:numId w:val="28"/>
        </w:numPr>
        <w:rPr>
          <w:sz w:val="22"/>
          <w:szCs w:val="22"/>
        </w:rPr>
      </w:pPr>
      <w:r w:rsidRPr="00F040D6">
        <w:rPr>
          <w:sz w:val="22"/>
          <w:szCs w:val="22"/>
        </w:rPr>
        <w:t>In July 2011,</w:t>
      </w:r>
      <w:r w:rsidRPr="00603811">
        <w:rPr>
          <w:sz w:val="22"/>
          <w:szCs w:val="22"/>
        </w:rPr>
        <w:t xml:space="preserve"> T-Mobile began “Value Plans” that offer less expensive monthly rates on its three higher tiered data plans for customers who either bring a compatible device to T-Mobile or purchase a new device in monthly installments.</w:t>
      </w:r>
      <w:r w:rsidRPr="00603811">
        <w:rPr>
          <w:sz w:val="22"/>
          <w:szCs w:val="22"/>
          <w:vertAlign w:val="superscript"/>
        </w:rPr>
        <w:footnoteReference w:id="470"/>
      </w:r>
      <w:r w:rsidRPr="00603811">
        <w:rPr>
          <w:sz w:val="22"/>
          <w:szCs w:val="22"/>
        </w:rPr>
        <w:t xml:space="preserve">  Customers who signed up for the less expensive plans were still subject to speed reductions if they went over their monthly data allowances.</w:t>
      </w:r>
      <w:r w:rsidRPr="00603811">
        <w:rPr>
          <w:sz w:val="22"/>
          <w:szCs w:val="22"/>
          <w:vertAlign w:val="superscript"/>
        </w:rPr>
        <w:footnoteReference w:id="471"/>
      </w:r>
      <w:r w:rsidRPr="00603811">
        <w:rPr>
          <w:sz w:val="22"/>
          <w:szCs w:val="22"/>
        </w:rPr>
        <w:t xml:space="preserve">  T-Mobile estimates th</w:t>
      </w:r>
      <w:r w:rsidR="00EE4B6C">
        <w:rPr>
          <w:sz w:val="22"/>
          <w:szCs w:val="22"/>
        </w:rPr>
        <w:t>at, as of December 2012, Value P</w:t>
      </w:r>
      <w:r w:rsidRPr="00603811">
        <w:rPr>
          <w:sz w:val="22"/>
          <w:szCs w:val="22"/>
        </w:rPr>
        <w:t>lans accounted for approximately 80 percent of its postpaid activations in its stores.</w:t>
      </w:r>
      <w:r w:rsidRPr="00603811">
        <w:rPr>
          <w:sz w:val="22"/>
          <w:szCs w:val="22"/>
          <w:vertAlign w:val="superscript"/>
        </w:rPr>
        <w:footnoteReference w:id="472"/>
      </w:r>
      <w:r w:rsidRPr="00603811">
        <w:rPr>
          <w:sz w:val="22"/>
          <w:szCs w:val="22"/>
        </w:rPr>
        <w:t xml:space="preserve">  In April 2012, T-Mobile raised the monthly charge for its two highest data tiers – from $30 to $35 for its 5 GB tier, and from $60 to $65 for its 10 GB tier</w:t>
      </w:r>
      <w:r w:rsidRPr="00F040D6">
        <w:rPr>
          <w:sz w:val="22"/>
          <w:szCs w:val="22"/>
        </w:rPr>
        <w:t>.</w:t>
      </w:r>
      <w:r w:rsidRPr="00F040D6">
        <w:rPr>
          <w:sz w:val="22"/>
          <w:szCs w:val="22"/>
          <w:vertAlign w:val="superscript"/>
        </w:rPr>
        <w:footnoteReference w:id="473"/>
      </w:r>
    </w:p>
    <w:p w:rsidR="004A147C" w:rsidRPr="00F040D6" w:rsidRDefault="004A147C" w:rsidP="00CE5850">
      <w:pPr>
        <w:pStyle w:val="ParaNum"/>
        <w:numPr>
          <w:ilvl w:val="0"/>
          <w:numId w:val="28"/>
        </w:numPr>
        <w:rPr>
          <w:sz w:val="22"/>
          <w:szCs w:val="22"/>
        </w:rPr>
      </w:pPr>
      <w:r w:rsidRPr="00F040D6">
        <w:rPr>
          <w:sz w:val="22"/>
          <w:szCs w:val="22"/>
        </w:rPr>
        <w:t>In September 2012, T-Mobile modified its approach to smartphone data pricing by introducing an unlimited smartphone data pricing option without tethering alongside its existing tiered, usage-based smartphone data pricing plans.</w:t>
      </w:r>
      <w:r w:rsidRPr="00F040D6">
        <w:rPr>
          <w:sz w:val="22"/>
          <w:szCs w:val="22"/>
          <w:vertAlign w:val="superscript"/>
        </w:rPr>
        <w:footnoteReference w:id="474"/>
      </w:r>
      <w:r w:rsidRPr="00F040D6">
        <w:rPr>
          <w:sz w:val="22"/>
          <w:szCs w:val="22"/>
        </w:rPr>
        <w:t xml:space="preserve">  Like T-Mobile’s original $30 per month unlimited smartphone data plan discussed above, the provider’s new Unlimited Nationwide 4G Data plan is priced at $30 per month for postpaid subscribers with subsidized smartphones, with $20 per month option available to subscribers who choose to forgo a smartphone subsidy.  Although T-Mobile’s 5 GB and 10 GB data tiers have higher monthly prices than the new unlimited without tethering plan, they include T-Mobile’s “mobile hotspot” smartphone tethering service.  T-Mobile differentiates its new unlimited data plan from Sprint’s unlimited smartphone data offering based on the broader geographic coverage of its HSPA+ network as compared to Sprint’s 4G data service, which runs over Clearwire’s mobile WiMAX network and Sprint’s nascent LTE network, and the higher speeds offered by its HSPA+ network as compared to Sprint’s slower nationwide 3G CDMA EV-DO network.</w:t>
      </w:r>
      <w:r w:rsidRPr="00F040D6">
        <w:rPr>
          <w:sz w:val="22"/>
          <w:szCs w:val="22"/>
          <w:vertAlign w:val="superscript"/>
        </w:rPr>
        <w:footnoteReference w:id="475"/>
      </w:r>
    </w:p>
    <w:p w:rsidR="004A147C" w:rsidRDefault="004A147C" w:rsidP="00CE5850">
      <w:pPr>
        <w:pStyle w:val="ParaNum"/>
        <w:numPr>
          <w:ilvl w:val="0"/>
          <w:numId w:val="28"/>
        </w:numPr>
        <w:rPr>
          <w:sz w:val="22"/>
          <w:szCs w:val="22"/>
        </w:rPr>
      </w:pPr>
      <w:r w:rsidRPr="00F040D6">
        <w:rPr>
          <w:sz w:val="22"/>
          <w:szCs w:val="22"/>
        </w:rPr>
        <w:t>As a result of the revival of its unlimited smartphone data plan and the earlier change in its entry-level tiered plan, T-Mobile’s pricing of smartphone data plans can be characterized as a composite of the three original models of smartphone data pricing.  In addition to its original tiered data plans with speed reductions, T-Mobile’s array of smartphone data plans includes a low-end tier with overage charges adopted from the first model and an unlimited data pricing option from the third model.  Customers who purchase one of these smartphone data plans are also required to purchase a voice plan, plus unlimited text messaging, for an additional monthly charge.</w:t>
      </w:r>
      <w:r w:rsidRPr="00F040D6">
        <w:rPr>
          <w:sz w:val="22"/>
          <w:szCs w:val="22"/>
          <w:vertAlign w:val="superscript"/>
        </w:rPr>
        <w:footnoteReference w:id="476"/>
      </w:r>
    </w:p>
    <w:p w:rsidR="004A147C" w:rsidRPr="00F91267" w:rsidRDefault="004A147C" w:rsidP="00CE5850">
      <w:pPr>
        <w:pStyle w:val="ParaNum"/>
        <w:numPr>
          <w:ilvl w:val="0"/>
          <w:numId w:val="28"/>
        </w:numPr>
        <w:rPr>
          <w:sz w:val="22"/>
          <w:szCs w:val="22"/>
        </w:rPr>
      </w:pPr>
      <w:r w:rsidRPr="00F91267">
        <w:rPr>
          <w:sz w:val="22"/>
          <w:szCs w:val="22"/>
        </w:rPr>
        <w:t>In December 201</w:t>
      </w:r>
      <w:r w:rsidR="00882063" w:rsidRPr="00F91267">
        <w:rPr>
          <w:sz w:val="22"/>
          <w:szCs w:val="22"/>
        </w:rPr>
        <w:t>2</w:t>
      </w:r>
      <w:r w:rsidRPr="00F91267">
        <w:rPr>
          <w:sz w:val="22"/>
          <w:szCs w:val="22"/>
        </w:rPr>
        <w:t>, T-Mobile USA CEO John Legere announced that in 2013 the company will eliminate the Classic rate plans shown in Tables 21 and 22 and instead offer only Value plans to customers, thus eliminating device subsidies.</w:t>
      </w:r>
      <w:r w:rsidRPr="00F91267">
        <w:rPr>
          <w:rStyle w:val="FootnoteReference"/>
          <w:szCs w:val="22"/>
        </w:rPr>
        <w:footnoteReference w:id="477"/>
      </w:r>
      <w:r w:rsidRPr="00F91267">
        <w:rPr>
          <w:sz w:val="22"/>
          <w:szCs w:val="22"/>
        </w:rPr>
        <w:t xml:space="preserve">  As explained above, T-Mobile’s Value plans allow customers to bring a compatible device to T-Mobile or pay for a new device upfront or in monthly installments in exchange for lower monthly service plan fees.</w:t>
      </w:r>
    </w:p>
    <w:p w:rsidR="004A147C" w:rsidRPr="00F040D6" w:rsidRDefault="004A147C" w:rsidP="00CE5850">
      <w:pPr>
        <w:pStyle w:val="ListParagraph"/>
        <w:spacing w:before="120"/>
        <w:ind w:left="0"/>
        <w:jc w:val="center"/>
        <w:rPr>
          <w:b/>
          <w:bCs/>
        </w:rPr>
      </w:pPr>
      <w:r w:rsidRPr="00F040D6">
        <w:rPr>
          <w:b/>
          <w:bCs/>
        </w:rPr>
        <w:t xml:space="preserve">Table </w:t>
      </w:r>
      <w:r w:rsidR="0007014B" w:rsidRPr="00F040D6">
        <w:rPr>
          <w:b/>
          <w:bCs/>
        </w:rPr>
        <w:fldChar w:fldCharType="begin"/>
      </w:r>
      <w:r w:rsidRPr="00F040D6">
        <w:rPr>
          <w:b/>
          <w:bCs/>
        </w:rPr>
        <w:instrText xml:space="preserve"> SEQ Table \* ARABIC </w:instrText>
      </w:r>
      <w:r w:rsidR="0007014B" w:rsidRPr="00F040D6">
        <w:rPr>
          <w:b/>
          <w:bCs/>
        </w:rPr>
        <w:fldChar w:fldCharType="separate"/>
      </w:r>
      <w:r w:rsidR="00CA3AC6">
        <w:rPr>
          <w:b/>
          <w:bCs/>
          <w:noProof/>
        </w:rPr>
        <w:t>22</w:t>
      </w:r>
      <w:r w:rsidR="0007014B" w:rsidRPr="00F040D6">
        <w:rPr>
          <w:b/>
          <w:bCs/>
        </w:rPr>
        <w:fldChar w:fldCharType="end"/>
      </w:r>
    </w:p>
    <w:p w:rsidR="004A147C" w:rsidRPr="00F040D6" w:rsidRDefault="004A147C" w:rsidP="00CE5850">
      <w:pPr>
        <w:pStyle w:val="ListParagraph"/>
        <w:spacing w:after="120"/>
        <w:ind w:left="0"/>
        <w:jc w:val="center"/>
        <w:rPr>
          <w:b/>
        </w:rPr>
      </w:pPr>
      <w:r w:rsidRPr="00F040D6">
        <w:rPr>
          <w:b/>
        </w:rPr>
        <w:t>T-Mobile: Tiered Smartphone Data Plans with Reduced Speeds or Overage Charges, Sept. 2012</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54"/>
        <w:gridCol w:w="1440"/>
        <w:gridCol w:w="1530"/>
        <w:gridCol w:w="1710"/>
        <w:gridCol w:w="1710"/>
      </w:tblGrid>
      <w:tr w:rsidR="004A147C" w:rsidRPr="00FE5EC9" w:rsidTr="00F040D6">
        <w:trPr>
          <w:jc w:val="center"/>
        </w:trPr>
        <w:tc>
          <w:tcPr>
            <w:tcW w:w="1254" w:type="dxa"/>
          </w:tcPr>
          <w:p w:rsidR="004A147C" w:rsidRPr="00FE5EC9" w:rsidRDefault="004A147C" w:rsidP="00CE5850">
            <w:pPr>
              <w:spacing w:after="120"/>
              <w:rPr>
                <w:b/>
              </w:rPr>
            </w:pPr>
            <w:r w:rsidRPr="00FE5EC9">
              <w:rPr>
                <w:b/>
              </w:rPr>
              <w:t>Monthly Data</w:t>
            </w:r>
          </w:p>
        </w:tc>
        <w:tc>
          <w:tcPr>
            <w:tcW w:w="1440" w:type="dxa"/>
          </w:tcPr>
          <w:p w:rsidR="004A147C" w:rsidRPr="00FE5EC9" w:rsidRDefault="004A147C" w:rsidP="00CE5850">
            <w:pPr>
              <w:spacing w:after="120"/>
              <w:rPr>
                <w:b/>
              </w:rPr>
            </w:pPr>
            <w:r w:rsidRPr="00FE5EC9">
              <w:rPr>
                <w:b/>
              </w:rPr>
              <w:t>Monthly Charge</w:t>
            </w:r>
          </w:p>
        </w:tc>
        <w:tc>
          <w:tcPr>
            <w:tcW w:w="1530" w:type="dxa"/>
          </w:tcPr>
          <w:p w:rsidR="004A147C" w:rsidRPr="00FE5EC9" w:rsidRDefault="004A147C" w:rsidP="00CE5850">
            <w:pPr>
              <w:spacing w:after="120"/>
              <w:rPr>
                <w:b/>
              </w:rPr>
            </w:pPr>
            <w:r w:rsidRPr="00FE5EC9">
              <w:rPr>
                <w:b/>
              </w:rPr>
              <w:t>Speed Reduction</w:t>
            </w:r>
            <w:r w:rsidRPr="00FE5EC9">
              <w:rPr>
                <w:vertAlign w:val="superscript"/>
              </w:rPr>
              <w:footnoteReference w:id="478"/>
            </w:r>
          </w:p>
        </w:tc>
        <w:tc>
          <w:tcPr>
            <w:tcW w:w="1710" w:type="dxa"/>
          </w:tcPr>
          <w:p w:rsidR="004A147C" w:rsidRPr="00FE5EC9" w:rsidRDefault="004A147C" w:rsidP="00CE5850">
            <w:pPr>
              <w:spacing w:after="120"/>
              <w:rPr>
                <w:b/>
              </w:rPr>
            </w:pPr>
            <w:r w:rsidRPr="00FE5EC9">
              <w:rPr>
                <w:b/>
              </w:rPr>
              <w:t>Overage Charge</w:t>
            </w:r>
          </w:p>
        </w:tc>
        <w:tc>
          <w:tcPr>
            <w:tcW w:w="1710" w:type="dxa"/>
          </w:tcPr>
          <w:p w:rsidR="004A147C" w:rsidRPr="00FE5EC9" w:rsidRDefault="004A147C" w:rsidP="00CE5850">
            <w:pPr>
              <w:spacing w:after="120"/>
              <w:rPr>
                <w:b/>
              </w:rPr>
            </w:pPr>
            <w:r w:rsidRPr="00FE5EC9">
              <w:rPr>
                <w:b/>
              </w:rPr>
              <w:t>Mobile Hotspot Tethering</w:t>
            </w:r>
          </w:p>
        </w:tc>
      </w:tr>
      <w:tr w:rsidR="004A147C" w:rsidRPr="00FE5EC9" w:rsidTr="00F040D6">
        <w:trPr>
          <w:jc w:val="center"/>
        </w:trPr>
        <w:tc>
          <w:tcPr>
            <w:tcW w:w="1254" w:type="dxa"/>
          </w:tcPr>
          <w:p w:rsidR="004A147C" w:rsidRPr="00FE5EC9" w:rsidRDefault="004A147C" w:rsidP="00CE5850">
            <w:pPr>
              <w:spacing w:after="120"/>
            </w:pPr>
            <w:r w:rsidRPr="00FE5EC9">
              <w:t>200 MB</w:t>
            </w:r>
          </w:p>
        </w:tc>
        <w:tc>
          <w:tcPr>
            <w:tcW w:w="1440" w:type="dxa"/>
          </w:tcPr>
          <w:p w:rsidR="004A147C" w:rsidRPr="00FE5EC9" w:rsidRDefault="004A147C" w:rsidP="00CE5850">
            <w:pPr>
              <w:spacing w:after="120"/>
            </w:pPr>
            <w:r w:rsidRPr="00FE5EC9">
              <w:t>$10</w:t>
            </w:r>
          </w:p>
        </w:tc>
        <w:tc>
          <w:tcPr>
            <w:tcW w:w="1530" w:type="dxa"/>
          </w:tcPr>
          <w:p w:rsidR="004A147C" w:rsidRPr="00FE5EC9" w:rsidRDefault="004A147C" w:rsidP="00CE5850">
            <w:pPr>
              <w:spacing w:after="120"/>
            </w:pPr>
            <w:r w:rsidRPr="00FE5EC9">
              <w:t>No</w:t>
            </w:r>
          </w:p>
        </w:tc>
        <w:tc>
          <w:tcPr>
            <w:tcW w:w="1710" w:type="dxa"/>
          </w:tcPr>
          <w:p w:rsidR="004A147C" w:rsidRPr="00FE5EC9" w:rsidRDefault="004A147C" w:rsidP="00CE5850">
            <w:pPr>
              <w:spacing w:after="120"/>
            </w:pPr>
            <w:r w:rsidRPr="00FE5EC9">
              <w:t>$0.10 per MB</w:t>
            </w:r>
          </w:p>
        </w:tc>
        <w:tc>
          <w:tcPr>
            <w:tcW w:w="1710" w:type="dxa"/>
          </w:tcPr>
          <w:p w:rsidR="004A147C" w:rsidRPr="00FE5EC9" w:rsidRDefault="004A147C" w:rsidP="00CE5850">
            <w:pPr>
              <w:spacing w:after="120"/>
            </w:pPr>
            <w:r w:rsidRPr="00FE5EC9">
              <w:t>No</w:t>
            </w:r>
          </w:p>
        </w:tc>
      </w:tr>
      <w:tr w:rsidR="004A147C" w:rsidRPr="00FE5EC9" w:rsidTr="00F040D6">
        <w:trPr>
          <w:jc w:val="center"/>
        </w:trPr>
        <w:tc>
          <w:tcPr>
            <w:tcW w:w="1254" w:type="dxa"/>
          </w:tcPr>
          <w:p w:rsidR="004A147C" w:rsidRPr="00FE5EC9" w:rsidRDefault="004A147C" w:rsidP="00CE5850">
            <w:pPr>
              <w:spacing w:after="120"/>
            </w:pPr>
            <w:r w:rsidRPr="00FE5EC9">
              <w:t>2 GB</w:t>
            </w:r>
          </w:p>
        </w:tc>
        <w:tc>
          <w:tcPr>
            <w:tcW w:w="1440" w:type="dxa"/>
          </w:tcPr>
          <w:p w:rsidR="004A147C" w:rsidRPr="00FE5EC9" w:rsidRDefault="004A147C" w:rsidP="00CE5850">
            <w:pPr>
              <w:spacing w:after="120"/>
            </w:pPr>
            <w:r w:rsidRPr="00FE5EC9">
              <w:t>$20</w:t>
            </w:r>
          </w:p>
        </w:tc>
        <w:tc>
          <w:tcPr>
            <w:tcW w:w="1530" w:type="dxa"/>
          </w:tcPr>
          <w:p w:rsidR="004A147C" w:rsidRPr="00FE5EC9" w:rsidRDefault="004A147C" w:rsidP="00CE5850">
            <w:pPr>
              <w:spacing w:after="120"/>
            </w:pPr>
            <w:r w:rsidRPr="00FE5EC9">
              <w:t>Yes</w:t>
            </w:r>
          </w:p>
        </w:tc>
        <w:tc>
          <w:tcPr>
            <w:tcW w:w="1710" w:type="dxa"/>
          </w:tcPr>
          <w:p w:rsidR="004A147C" w:rsidRPr="00FE5EC9" w:rsidRDefault="004A147C" w:rsidP="00CE5850">
            <w:pPr>
              <w:spacing w:after="120"/>
            </w:pPr>
            <w:r w:rsidRPr="00FE5EC9">
              <w:t>No</w:t>
            </w:r>
          </w:p>
        </w:tc>
        <w:tc>
          <w:tcPr>
            <w:tcW w:w="1710" w:type="dxa"/>
          </w:tcPr>
          <w:p w:rsidR="004A147C" w:rsidRPr="00FE5EC9" w:rsidRDefault="004A147C" w:rsidP="00CE5850">
            <w:pPr>
              <w:spacing w:after="120"/>
            </w:pPr>
            <w:r w:rsidRPr="00FE5EC9">
              <w:t>No</w:t>
            </w:r>
          </w:p>
        </w:tc>
      </w:tr>
      <w:tr w:rsidR="004A147C" w:rsidRPr="00FE5EC9" w:rsidTr="00F040D6">
        <w:trPr>
          <w:jc w:val="center"/>
        </w:trPr>
        <w:tc>
          <w:tcPr>
            <w:tcW w:w="1254" w:type="dxa"/>
          </w:tcPr>
          <w:p w:rsidR="004A147C" w:rsidRPr="00FE5EC9" w:rsidRDefault="004A147C" w:rsidP="00CE5850">
            <w:pPr>
              <w:spacing w:after="120"/>
            </w:pPr>
            <w:r w:rsidRPr="00FE5EC9">
              <w:t>Unlimited</w:t>
            </w:r>
          </w:p>
        </w:tc>
        <w:tc>
          <w:tcPr>
            <w:tcW w:w="1440" w:type="dxa"/>
          </w:tcPr>
          <w:p w:rsidR="004A147C" w:rsidRPr="00FE5EC9" w:rsidRDefault="004A147C" w:rsidP="00CE5850">
            <w:pPr>
              <w:spacing w:after="120"/>
            </w:pPr>
            <w:r w:rsidRPr="00FE5EC9">
              <w:t>$30</w:t>
            </w:r>
          </w:p>
        </w:tc>
        <w:tc>
          <w:tcPr>
            <w:tcW w:w="1530" w:type="dxa"/>
          </w:tcPr>
          <w:p w:rsidR="004A147C" w:rsidRPr="00FE5EC9" w:rsidRDefault="004A147C" w:rsidP="00CE5850">
            <w:pPr>
              <w:spacing w:after="120"/>
            </w:pPr>
            <w:r w:rsidRPr="00FE5EC9">
              <w:t>No</w:t>
            </w:r>
          </w:p>
        </w:tc>
        <w:tc>
          <w:tcPr>
            <w:tcW w:w="1710" w:type="dxa"/>
          </w:tcPr>
          <w:p w:rsidR="004A147C" w:rsidRPr="00FE5EC9" w:rsidRDefault="004A147C" w:rsidP="00CE5850">
            <w:pPr>
              <w:spacing w:after="120"/>
            </w:pPr>
            <w:r w:rsidRPr="00FE5EC9">
              <w:t>No</w:t>
            </w:r>
          </w:p>
        </w:tc>
        <w:tc>
          <w:tcPr>
            <w:tcW w:w="1710" w:type="dxa"/>
          </w:tcPr>
          <w:p w:rsidR="004A147C" w:rsidRPr="00FE5EC9" w:rsidRDefault="004A147C" w:rsidP="00CE5850">
            <w:pPr>
              <w:spacing w:after="120"/>
            </w:pPr>
            <w:r w:rsidRPr="00FE5EC9">
              <w:t>No</w:t>
            </w:r>
          </w:p>
        </w:tc>
      </w:tr>
      <w:tr w:rsidR="004A147C" w:rsidRPr="00FE5EC9" w:rsidTr="00F040D6">
        <w:trPr>
          <w:jc w:val="center"/>
        </w:trPr>
        <w:tc>
          <w:tcPr>
            <w:tcW w:w="1254" w:type="dxa"/>
          </w:tcPr>
          <w:p w:rsidR="004A147C" w:rsidRPr="00FE5EC9" w:rsidRDefault="004A147C" w:rsidP="00CE5850">
            <w:pPr>
              <w:spacing w:after="120"/>
            </w:pPr>
            <w:r w:rsidRPr="00FE5EC9">
              <w:t>5 GB</w:t>
            </w:r>
          </w:p>
        </w:tc>
        <w:tc>
          <w:tcPr>
            <w:tcW w:w="1440" w:type="dxa"/>
          </w:tcPr>
          <w:p w:rsidR="004A147C" w:rsidRPr="00FE5EC9" w:rsidRDefault="004A147C" w:rsidP="00CE5850">
            <w:pPr>
              <w:spacing w:after="120"/>
            </w:pPr>
            <w:r w:rsidRPr="00FE5EC9">
              <w:t>$35</w:t>
            </w:r>
          </w:p>
        </w:tc>
        <w:tc>
          <w:tcPr>
            <w:tcW w:w="1530" w:type="dxa"/>
          </w:tcPr>
          <w:p w:rsidR="004A147C" w:rsidRPr="00FE5EC9" w:rsidRDefault="004A147C" w:rsidP="00CE5850">
            <w:pPr>
              <w:spacing w:after="120"/>
            </w:pPr>
            <w:r w:rsidRPr="00FE5EC9">
              <w:t>Yes</w:t>
            </w:r>
          </w:p>
        </w:tc>
        <w:tc>
          <w:tcPr>
            <w:tcW w:w="1710" w:type="dxa"/>
          </w:tcPr>
          <w:p w:rsidR="004A147C" w:rsidRPr="00FE5EC9" w:rsidRDefault="004A147C" w:rsidP="00CE5850">
            <w:pPr>
              <w:spacing w:after="120"/>
            </w:pPr>
            <w:r w:rsidRPr="00FE5EC9">
              <w:t>No</w:t>
            </w:r>
          </w:p>
        </w:tc>
        <w:tc>
          <w:tcPr>
            <w:tcW w:w="1710" w:type="dxa"/>
          </w:tcPr>
          <w:p w:rsidR="004A147C" w:rsidRPr="00FE5EC9" w:rsidRDefault="004A147C" w:rsidP="00CE5850">
            <w:pPr>
              <w:spacing w:after="120"/>
            </w:pPr>
            <w:r w:rsidRPr="00FE5EC9">
              <w:t>Yes</w:t>
            </w:r>
          </w:p>
        </w:tc>
      </w:tr>
      <w:tr w:rsidR="004A147C" w:rsidRPr="00FE5EC9" w:rsidTr="00F040D6">
        <w:trPr>
          <w:jc w:val="center"/>
        </w:trPr>
        <w:tc>
          <w:tcPr>
            <w:tcW w:w="1254" w:type="dxa"/>
          </w:tcPr>
          <w:p w:rsidR="004A147C" w:rsidRPr="00FE5EC9" w:rsidRDefault="004A147C" w:rsidP="00CE5850">
            <w:pPr>
              <w:spacing w:after="120"/>
            </w:pPr>
            <w:r w:rsidRPr="00FE5EC9">
              <w:t>10 GB</w:t>
            </w:r>
          </w:p>
        </w:tc>
        <w:tc>
          <w:tcPr>
            <w:tcW w:w="1440" w:type="dxa"/>
          </w:tcPr>
          <w:p w:rsidR="004A147C" w:rsidRPr="00FE5EC9" w:rsidRDefault="004A147C" w:rsidP="00CE5850">
            <w:pPr>
              <w:spacing w:after="120"/>
            </w:pPr>
            <w:r w:rsidRPr="00FE5EC9">
              <w:t>$65</w:t>
            </w:r>
          </w:p>
        </w:tc>
        <w:tc>
          <w:tcPr>
            <w:tcW w:w="1530" w:type="dxa"/>
          </w:tcPr>
          <w:p w:rsidR="004A147C" w:rsidRPr="00FE5EC9" w:rsidRDefault="004A147C" w:rsidP="00CE5850">
            <w:pPr>
              <w:spacing w:after="120"/>
            </w:pPr>
            <w:r w:rsidRPr="00FE5EC9">
              <w:t>Yes</w:t>
            </w:r>
          </w:p>
        </w:tc>
        <w:tc>
          <w:tcPr>
            <w:tcW w:w="1710" w:type="dxa"/>
          </w:tcPr>
          <w:p w:rsidR="004A147C" w:rsidRPr="00FE5EC9" w:rsidRDefault="004A147C" w:rsidP="00CE5850">
            <w:pPr>
              <w:spacing w:after="120"/>
            </w:pPr>
            <w:r w:rsidRPr="00FE5EC9">
              <w:t>No</w:t>
            </w:r>
          </w:p>
        </w:tc>
        <w:tc>
          <w:tcPr>
            <w:tcW w:w="1710" w:type="dxa"/>
          </w:tcPr>
          <w:p w:rsidR="004A147C" w:rsidRPr="00FE5EC9" w:rsidRDefault="004A147C" w:rsidP="00CE5850">
            <w:pPr>
              <w:spacing w:after="120"/>
            </w:pPr>
            <w:r w:rsidRPr="00FE5EC9">
              <w:t>Yes</w:t>
            </w:r>
          </w:p>
        </w:tc>
      </w:tr>
    </w:tbl>
    <w:p w:rsidR="004A147C" w:rsidRPr="00F1004B" w:rsidRDefault="004A147C" w:rsidP="00CE5850">
      <w:pPr>
        <w:pStyle w:val="ParaNum"/>
        <w:tabs>
          <w:tab w:val="clear" w:pos="1440"/>
        </w:tabs>
        <w:ind w:left="720" w:firstLine="0"/>
        <w:rPr>
          <w:szCs w:val="22"/>
        </w:rPr>
      </w:pPr>
    </w:p>
    <w:p w:rsidR="004A147C" w:rsidRPr="00F040D6" w:rsidRDefault="004A147C" w:rsidP="00CE5850">
      <w:pPr>
        <w:pStyle w:val="ParaNum"/>
        <w:numPr>
          <w:ilvl w:val="0"/>
          <w:numId w:val="28"/>
        </w:numPr>
        <w:rPr>
          <w:sz w:val="22"/>
          <w:szCs w:val="22"/>
        </w:rPr>
      </w:pPr>
      <w:r w:rsidRPr="00F040D6">
        <w:rPr>
          <w:i/>
          <w:sz w:val="22"/>
          <w:szCs w:val="22"/>
        </w:rPr>
        <w:t>Sprint Smartphone Data Plans</w:t>
      </w:r>
      <w:r w:rsidRPr="00F040D6">
        <w:rPr>
          <w:sz w:val="22"/>
          <w:szCs w:val="22"/>
        </w:rPr>
        <w:t>.  Sprint remains the only nationwide service provider that has continuously retained its unlimited data offering despite the trend toward tiered data, and that has not yet introduced tiered smartphone data plans, discontinued offering new unlimited smartphone data plans, or reduced the data speeds on its unlimited smartphone data plans.</w:t>
      </w:r>
      <w:r w:rsidRPr="00F040D6">
        <w:rPr>
          <w:sz w:val="22"/>
          <w:szCs w:val="22"/>
          <w:vertAlign w:val="superscript"/>
        </w:rPr>
        <w:footnoteReference w:id="479"/>
      </w:r>
      <w:r w:rsidRPr="00F040D6">
        <w:rPr>
          <w:sz w:val="22"/>
          <w:szCs w:val="22"/>
        </w:rPr>
        <w:t xml:space="preserve">  This was the standard industry smartphone data pricing plan before the shift to tiered data plan pricing – a single unlimited data plan for smartphones with no speed reductions or overage fees.  Sprint has been using its unlimited smartphone data offerings and the absence of either speed reductions or overage charges for heavy data use to differentiate itself from its rivals and to seek a competitive advantage in attracting and retaining customers.</w:t>
      </w:r>
      <w:r w:rsidRPr="00F040D6">
        <w:rPr>
          <w:sz w:val="22"/>
          <w:szCs w:val="22"/>
          <w:vertAlign w:val="superscript"/>
        </w:rPr>
        <w:footnoteReference w:id="480"/>
      </w:r>
      <w:r w:rsidRPr="00F040D6">
        <w:rPr>
          <w:sz w:val="22"/>
          <w:szCs w:val="22"/>
        </w:rPr>
        <w:t xml:space="preserve">  Sprint retained unlimited data pricing when it became the third U.S. service provider to launch the iPhone in October 2011, and used its unlimited data plans to differentiate itself as the “value proposition” provider in competing for iPhone users against rivals AT&amp;T and Verizon Wireless.</w:t>
      </w:r>
      <w:r w:rsidRPr="00F040D6">
        <w:rPr>
          <w:sz w:val="22"/>
          <w:szCs w:val="22"/>
          <w:vertAlign w:val="superscript"/>
        </w:rPr>
        <w:footnoteReference w:id="481"/>
      </w:r>
    </w:p>
    <w:p w:rsidR="004A147C" w:rsidRPr="00F040D6" w:rsidRDefault="004A147C" w:rsidP="00CE5850">
      <w:pPr>
        <w:pStyle w:val="ParaNum"/>
        <w:numPr>
          <w:ilvl w:val="0"/>
          <w:numId w:val="28"/>
        </w:numPr>
        <w:rPr>
          <w:sz w:val="22"/>
          <w:szCs w:val="22"/>
        </w:rPr>
      </w:pPr>
      <w:r w:rsidRPr="00F040D6">
        <w:rPr>
          <w:sz w:val="22"/>
          <w:szCs w:val="22"/>
        </w:rPr>
        <w:t>Sprint prices its unlimited smartphone data plan with unlimited text messaging and varying amounts of voice minutes included in the price (Table 23).  As indicated in Table 23, it costs $30 per month to add Sprint’s unlimited smartphone data plan to a package that includes a limited bucket of voice minutes and unlimited text messaging services.</w:t>
      </w:r>
      <w:r w:rsidRPr="00F040D6">
        <w:rPr>
          <w:sz w:val="22"/>
          <w:szCs w:val="22"/>
          <w:vertAlign w:val="superscript"/>
        </w:rPr>
        <w:footnoteReference w:id="482"/>
      </w:r>
      <w:r w:rsidRPr="00F040D6" w:rsidDel="001E5E3E">
        <w:rPr>
          <w:sz w:val="22"/>
          <w:szCs w:val="22"/>
        </w:rPr>
        <w:t xml:space="preserve"> </w:t>
      </w:r>
    </w:p>
    <w:p w:rsidR="004A147C" w:rsidRPr="00F83BFA" w:rsidRDefault="004A147C" w:rsidP="00CE5850">
      <w:pPr>
        <w:pStyle w:val="ListParagraph"/>
        <w:spacing w:before="120" w:after="120"/>
        <w:ind w:left="0"/>
        <w:contextualSpacing/>
        <w:jc w:val="center"/>
        <w:rPr>
          <w:b/>
          <w:bCs/>
          <w:szCs w:val="22"/>
        </w:rPr>
      </w:pPr>
      <w:r w:rsidRPr="00F83BFA">
        <w:rPr>
          <w:b/>
          <w:bCs/>
          <w:szCs w:val="22"/>
        </w:rPr>
        <w:t xml:space="preserve">Table </w:t>
      </w:r>
      <w:r w:rsidR="0007014B" w:rsidRPr="00F83BFA">
        <w:rPr>
          <w:b/>
          <w:bCs/>
          <w:szCs w:val="22"/>
        </w:rPr>
        <w:fldChar w:fldCharType="begin"/>
      </w:r>
      <w:r w:rsidRPr="00F83BFA">
        <w:rPr>
          <w:b/>
          <w:bCs/>
          <w:szCs w:val="22"/>
        </w:rPr>
        <w:instrText xml:space="preserve"> SEQ Table \* ARABIC </w:instrText>
      </w:r>
      <w:r w:rsidR="0007014B" w:rsidRPr="00F83BFA">
        <w:rPr>
          <w:b/>
          <w:bCs/>
          <w:szCs w:val="22"/>
        </w:rPr>
        <w:fldChar w:fldCharType="separate"/>
      </w:r>
      <w:r w:rsidR="00CA3AC6">
        <w:rPr>
          <w:b/>
          <w:bCs/>
          <w:noProof/>
          <w:szCs w:val="22"/>
        </w:rPr>
        <w:t>23</w:t>
      </w:r>
      <w:r w:rsidR="0007014B" w:rsidRPr="00F83BFA">
        <w:rPr>
          <w:b/>
          <w:bCs/>
          <w:szCs w:val="22"/>
        </w:rPr>
        <w:fldChar w:fldCharType="end"/>
      </w:r>
    </w:p>
    <w:p w:rsidR="004A147C" w:rsidRPr="00F83BFA" w:rsidRDefault="00B63DEF" w:rsidP="00CE5850">
      <w:pPr>
        <w:pStyle w:val="ListParagraph"/>
        <w:ind w:left="0"/>
        <w:contextualSpacing/>
        <w:jc w:val="center"/>
        <w:rPr>
          <w:b/>
        </w:rPr>
      </w:pPr>
      <w:r>
        <w:rPr>
          <w:b/>
          <w:szCs w:val="22"/>
        </w:rPr>
        <w:t>S</w:t>
      </w:r>
      <w:r w:rsidR="004A147C" w:rsidRPr="00F83BFA">
        <w:rPr>
          <w:b/>
          <w:szCs w:val="22"/>
        </w:rPr>
        <w:t>print Postpaid Unlimited Smartphone Data Plans</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188"/>
        <w:gridCol w:w="1440"/>
        <w:gridCol w:w="1440"/>
        <w:gridCol w:w="1530"/>
        <w:gridCol w:w="1350"/>
        <w:gridCol w:w="1080"/>
      </w:tblGrid>
      <w:tr w:rsidR="004A147C" w:rsidRPr="00FE5EC9" w:rsidTr="006D773A">
        <w:trPr>
          <w:jc w:val="center"/>
        </w:trPr>
        <w:tc>
          <w:tcPr>
            <w:tcW w:w="1188" w:type="dxa"/>
          </w:tcPr>
          <w:p w:rsidR="004A147C" w:rsidRPr="008650CC" w:rsidRDefault="004A147C" w:rsidP="00CE5850">
            <w:pPr>
              <w:spacing w:before="120" w:after="120"/>
              <w:jc w:val="center"/>
              <w:rPr>
                <w:b/>
                <w:bCs/>
              </w:rPr>
            </w:pPr>
            <w:r w:rsidRPr="008650CC">
              <w:rPr>
                <w:b/>
                <w:bCs/>
              </w:rPr>
              <w:t>Monthly Data</w:t>
            </w:r>
          </w:p>
        </w:tc>
        <w:tc>
          <w:tcPr>
            <w:tcW w:w="1440" w:type="dxa"/>
          </w:tcPr>
          <w:p w:rsidR="004A147C" w:rsidRPr="008650CC" w:rsidRDefault="004A147C" w:rsidP="00CE5850">
            <w:pPr>
              <w:spacing w:before="120" w:after="120"/>
              <w:jc w:val="center"/>
              <w:rPr>
                <w:b/>
                <w:bCs/>
              </w:rPr>
            </w:pPr>
            <w:r w:rsidRPr="008650CC">
              <w:rPr>
                <w:b/>
                <w:bCs/>
              </w:rPr>
              <w:t>Voice Minutes</w:t>
            </w:r>
          </w:p>
        </w:tc>
        <w:tc>
          <w:tcPr>
            <w:tcW w:w="1440" w:type="dxa"/>
          </w:tcPr>
          <w:p w:rsidR="004A147C" w:rsidRPr="008650CC" w:rsidRDefault="004A147C" w:rsidP="00CE5850">
            <w:pPr>
              <w:spacing w:before="120" w:after="120"/>
              <w:jc w:val="center"/>
              <w:rPr>
                <w:b/>
                <w:bCs/>
              </w:rPr>
            </w:pPr>
            <w:r w:rsidRPr="008650CC">
              <w:rPr>
                <w:b/>
                <w:bCs/>
              </w:rPr>
              <w:t>Text Messaging</w:t>
            </w:r>
          </w:p>
        </w:tc>
        <w:tc>
          <w:tcPr>
            <w:tcW w:w="1530" w:type="dxa"/>
          </w:tcPr>
          <w:p w:rsidR="004A147C" w:rsidRPr="008650CC" w:rsidRDefault="004A147C" w:rsidP="00CE5850">
            <w:pPr>
              <w:spacing w:before="120" w:after="120"/>
              <w:jc w:val="center"/>
              <w:rPr>
                <w:b/>
                <w:bCs/>
              </w:rPr>
            </w:pPr>
            <w:r w:rsidRPr="008650CC">
              <w:rPr>
                <w:b/>
                <w:bCs/>
              </w:rPr>
              <w:t>Monthly Charge</w:t>
            </w:r>
          </w:p>
        </w:tc>
        <w:tc>
          <w:tcPr>
            <w:tcW w:w="1350" w:type="dxa"/>
          </w:tcPr>
          <w:p w:rsidR="004A147C" w:rsidRPr="008650CC" w:rsidRDefault="004A147C" w:rsidP="00CE5850">
            <w:pPr>
              <w:spacing w:before="120" w:after="120"/>
              <w:jc w:val="center"/>
              <w:rPr>
                <w:b/>
                <w:bCs/>
              </w:rPr>
            </w:pPr>
            <w:r w:rsidRPr="008650CC">
              <w:rPr>
                <w:b/>
                <w:bCs/>
              </w:rPr>
              <w:t>Any Mobile Minutes</w:t>
            </w:r>
          </w:p>
        </w:tc>
        <w:tc>
          <w:tcPr>
            <w:tcW w:w="1080" w:type="dxa"/>
          </w:tcPr>
          <w:p w:rsidR="004A147C" w:rsidRPr="008650CC" w:rsidRDefault="004A147C" w:rsidP="00CE5850">
            <w:pPr>
              <w:spacing w:before="120" w:after="120"/>
              <w:jc w:val="center"/>
              <w:rPr>
                <w:b/>
                <w:bCs/>
              </w:rPr>
            </w:pPr>
            <w:r w:rsidRPr="008650CC">
              <w:rPr>
                <w:b/>
                <w:bCs/>
              </w:rPr>
              <w:t>Push to Talk</w:t>
            </w:r>
          </w:p>
        </w:tc>
      </w:tr>
      <w:tr w:rsidR="004A147C" w:rsidRPr="00FE5EC9" w:rsidTr="006D773A">
        <w:trPr>
          <w:jc w:val="center"/>
        </w:trPr>
        <w:tc>
          <w:tcPr>
            <w:tcW w:w="1188" w:type="dxa"/>
          </w:tcPr>
          <w:p w:rsidR="004A147C" w:rsidRPr="00FE5EC9" w:rsidRDefault="004A147C" w:rsidP="00CE5850">
            <w:pPr>
              <w:spacing w:before="120"/>
              <w:jc w:val="center"/>
              <w:rPr>
                <w:bCs/>
              </w:rPr>
            </w:pPr>
            <w:r w:rsidRPr="00FE5EC9">
              <w:rPr>
                <w:bCs/>
              </w:rPr>
              <w:t>Unlimited</w:t>
            </w:r>
          </w:p>
        </w:tc>
        <w:tc>
          <w:tcPr>
            <w:tcW w:w="1440" w:type="dxa"/>
          </w:tcPr>
          <w:p w:rsidR="004A147C" w:rsidRPr="00FE5EC9" w:rsidRDefault="004A147C" w:rsidP="00CE5850">
            <w:pPr>
              <w:spacing w:before="120"/>
              <w:jc w:val="center"/>
              <w:rPr>
                <w:bCs/>
              </w:rPr>
            </w:pPr>
            <w:r w:rsidRPr="00FE5EC9">
              <w:rPr>
                <w:bCs/>
              </w:rPr>
              <w:t>Unlimited</w:t>
            </w:r>
          </w:p>
        </w:tc>
        <w:tc>
          <w:tcPr>
            <w:tcW w:w="1440" w:type="dxa"/>
          </w:tcPr>
          <w:p w:rsidR="004A147C" w:rsidRPr="00FE5EC9" w:rsidRDefault="004A147C" w:rsidP="00CE5850">
            <w:pPr>
              <w:spacing w:before="120"/>
              <w:jc w:val="center"/>
              <w:rPr>
                <w:bCs/>
              </w:rPr>
            </w:pPr>
            <w:r w:rsidRPr="00FE5EC9">
              <w:rPr>
                <w:bCs/>
              </w:rPr>
              <w:t>Unlimited</w:t>
            </w:r>
          </w:p>
        </w:tc>
        <w:tc>
          <w:tcPr>
            <w:tcW w:w="1530" w:type="dxa"/>
          </w:tcPr>
          <w:p w:rsidR="004A147C" w:rsidRPr="00FE5EC9" w:rsidRDefault="004A147C" w:rsidP="00CE5850">
            <w:pPr>
              <w:spacing w:before="120"/>
              <w:jc w:val="center"/>
              <w:rPr>
                <w:bCs/>
              </w:rPr>
            </w:pPr>
            <w:r w:rsidRPr="00FE5EC9">
              <w:rPr>
                <w:bCs/>
              </w:rPr>
              <w:t>$109.99</w:t>
            </w:r>
          </w:p>
        </w:tc>
        <w:tc>
          <w:tcPr>
            <w:tcW w:w="1350" w:type="dxa"/>
          </w:tcPr>
          <w:p w:rsidR="004A147C" w:rsidRPr="00FE5EC9" w:rsidRDefault="004A147C" w:rsidP="00CE5850">
            <w:pPr>
              <w:spacing w:before="120"/>
              <w:jc w:val="center"/>
              <w:rPr>
                <w:bCs/>
              </w:rPr>
            </w:pPr>
            <w:r w:rsidRPr="00FE5EC9">
              <w:rPr>
                <w:bCs/>
              </w:rPr>
              <w:t>Yes</w:t>
            </w:r>
          </w:p>
        </w:tc>
        <w:tc>
          <w:tcPr>
            <w:tcW w:w="1080" w:type="dxa"/>
          </w:tcPr>
          <w:p w:rsidR="004A147C" w:rsidRPr="00FE5EC9" w:rsidRDefault="004A147C" w:rsidP="00CE5850">
            <w:pPr>
              <w:spacing w:before="120"/>
              <w:jc w:val="center"/>
              <w:rPr>
                <w:bCs/>
              </w:rPr>
            </w:pPr>
            <w:r w:rsidRPr="00FE5EC9">
              <w:rPr>
                <w:bCs/>
              </w:rPr>
              <w:t>Yes</w:t>
            </w:r>
          </w:p>
        </w:tc>
      </w:tr>
      <w:tr w:rsidR="004A147C" w:rsidRPr="00FE5EC9" w:rsidTr="006D773A">
        <w:trPr>
          <w:jc w:val="center"/>
        </w:trPr>
        <w:tc>
          <w:tcPr>
            <w:tcW w:w="1188" w:type="dxa"/>
          </w:tcPr>
          <w:p w:rsidR="004A147C" w:rsidRPr="00FE5EC9" w:rsidRDefault="004A147C" w:rsidP="00CE5850">
            <w:pPr>
              <w:spacing w:before="120"/>
              <w:jc w:val="center"/>
              <w:rPr>
                <w:bCs/>
              </w:rPr>
            </w:pPr>
            <w:r w:rsidRPr="00FE5EC9">
              <w:rPr>
                <w:bCs/>
              </w:rPr>
              <w:t>Unlimited</w:t>
            </w:r>
          </w:p>
        </w:tc>
        <w:tc>
          <w:tcPr>
            <w:tcW w:w="1440" w:type="dxa"/>
          </w:tcPr>
          <w:p w:rsidR="004A147C" w:rsidRPr="00FE5EC9" w:rsidRDefault="004A147C" w:rsidP="00CE5850">
            <w:pPr>
              <w:spacing w:before="120"/>
              <w:jc w:val="center"/>
              <w:rPr>
                <w:bCs/>
              </w:rPr>
            </w:pPr>
            <w:r w:rsidRPr="00FE5EC9">
              <w:rPr>
                <w:bCs/>
              </w:rPr>
              <w:t>900</w:t>
            </w:r>
          </w:p>
        </w:tc>
        <w:tc>
          <w:tcPr>
            <w:tcW w:w="1440" w:type="dxa"/>
          </w:tcPr>
          <w:p w:rsidR="004A147C" w:rsidRPr="00FE5EC9" w:rsidRDefault="004A147C" w:rsidP="00CE5850">
            <w:pPr>
              <w:spacing w:before="120"/>
              <w:jc w:val="center"/>
              <w:rPr>
                <w:bCs/>
              </w:rPr>
            </w:pPr>
            <w:r w:rsidRPr="00FE5EC9">
              <w:rPr>
                <w:bCs/>
              </w:rPr>
              <w:t>Unlimited</w:t>
            </w:r>
          </w:p>
        </w:tc>
        <w:tc>
          <w:tcPr>
            <w:tcW w:w="1530" w:type="dxa"/>
          </w:tcPr>
          <w:p w:rsidR="004A147C" w:rsidRPr="00FE5EC9" w:rsidRDefault="004A147C" w:rsidP="00CE5850">
            <w:pPr>
              <w:spacing w:before="120"/>
              <w:jc w:val="center"/>
              <w:rPr>
                <w:bCs/>
              </w:rPr>
            </w:pPr>
            <w:r w:rsidRPr="00FE5EC9">
              <w:rPr>
                <w:bCs/>
              </w:rPr>
              <w:t>$99.99</w:t>
            </w:r>
          </w:p>
        </w:tc>
        <w:tc>
          <w:tcPr>
            <w:tcW w:w="1350" w:type="dxa"/>
          </w:tcPr>
          <w:p w:rsidR="004A147C" w:rsidRPr="00FE5EC9" w:rsidRDefault="004A147C" w:rsidP="00CE5850">
            <w:pPr>
              <w:spacing w:before="120"/>
              <w:jc w:val="center"/>
              <w:rPr>
                <w:bCs/>
              </w:rPr>
            </w:pPr>
            <w:r w:rsidRPr="00FE5EC9">
              <w:rPr>
                <w:bCs/>
              </w:rPr>
              <w:t>Yes</w:t>
            </w:r>
          </w:p>
        </w:tc>
        <w:tc>
          <w:tcPr>
            <w:tcW w:w="1080" w:type="dxa"/>
          </w:tcPr>
          <w:p w:rsidR="004A147C" w:rsidRPr="00FE5EC9" w:rsidRDefault="004A147C" w:rsidP="00CE5850">
            <w:pPr>
              <w:spacing w:before="120"/>
              <w:jc w:val="center"/>
              <w:rPr>
                <w:bCs/>
              </w:rPr>
            </w:pPr>
            <w:r w:rsidRPr="00FE5EC9">
              <w:rPr>
                <w:bCs/>
              </w:rPr>
              <w:t>No</w:t>
            </w:r>
          </w:p>
        </w:tc>
      </w:tr>
      <w:tr w:rsidR="004A147C" w:rsidRPr="00FE5EC9" w:rsidTr="006D773A">
        <w:trPr>
          <w:jc w:val="center"/>
        </w:trPr>
        <w:tc>
          <w:tcPr>
            <w:tcW w:w="1188" w:type="dxa"/>
          </w:tcPr>
          <w:p w:rsidR="004A147C" w:rsidRPr="00FE5EC9" w:rsidRDefault="004A147C" w:rsidP="00CE5850">
            <w:pPr>
              <w:spacing w:before="120"/>
              <w:jc w:val="center"/>
              <w:rPr>
                <w:bCs/>
              </w:rPr>
            </w:pPr>
            <w:r w:rsidRPr="00FE5EC9">
              <w:rPr>
                <w:bCs/>
              </w:rPr>
              <w:t>0</w:t>
            </w:r>
          </w:p>
        </w:tc>
        <w:tc>
          <w:tcPr>
            <w:tcW w:w="1440" w:type="dxa"/>
          </w:tcPr>
          <w:p w:rsidR="004A147C" w:rsidRPr="00FE5EC9" w:rsidRDefault="004A147C" w:rsidP="00CE5850">
            <w:pPr>
              <w:spacing w:before="120"/>
              <w:jc w:val="center"/>
              <w:rPr>
                <w:bCs/>
              </w:rPr>
            </w:pPr>
            <w:r w:rsidRPr="00FE5EC9">
              <w:rPr>
                <w:bCs/>
              </w:rPr>
              <w:t>900</w:t>
            </w:r>
          </w:p>
        </w:tc>
        <w:tc>
          <w:tcPr>
            <w:tcW w:w="1440" w:type="dxa"/>
          </w:tcPr>
          <w:p w:rsidR="004A147C" w:rsidRPr="00FE5EC9" w:rsidRDefault="004A147C" w:rsidP="00CE5850">
            <w:pPr>
              <w:spacing w:before="120"/>
              <w:jc w:val="center"/>
              <w:rPr>
                <w:bCs/>
              </w:rPr>
            </w:pPr>
            <w:r w:rsidRPr="00FE5EC9">
              <w:rPr>
                <w:bCs/>
              </w:rPr>
              <w:t>Unlimited</w:t>
            </w:r>
          </w:p>
        </w:tc>
        <w:tc>
          <w:tcPr>
            <w:tcW w:w="1530" w:type="dxa"/>
          </w:tcPr>
          <w:p w:rsidR="004A147C" w:rsidRPr="00FE5EC9" w:rsidRDefault="004A147C" w:rsidP="00CE5850">
            <w:pPr>
              <w:spacing w:before="120"/>
              <w:jc w:val="center"/>
              <w:rPr>
                <w:bCs/>
              </w:rPr>
            </w:pPr>
            <w:r w:rsidRPr="00FE5EC9">
              <w:rPr>
                <w:bCs/>
              </w:rPr>
              <w:t>$69.99</w:t>
            </w:r>
          </w:p>
        </w:tc>
        <w:tc>
          <w:tcPr>
            <w:tcW w:w="1350" w:type="dxa"/>
          </w:tcPr>
          <w:p w:rsidR="004A147C" w:rsidRPr="00FE5EC9" w:rsidRDefault="004A147C" w:rsidP="00CE5850">
            <w:pPr>
              <w:spacing w:before="120"/>
              <w:jc w:val="center"/>
              <w:rPr>
                <w:bCs/>
              </w:rPr>
            </w:pPr>
            <w:r w:rsidRPr="00FE5EC9">
              <w:rPr>
                <w:bCs/>
              </w:rPr>
              <w:t>No</w:t>
            </w:r>
          </w:p>
        </w:tc>
        <w:tc>
          <w:tcPr>
            <w:tcW w:w="1080" w:type="dxa"/>
          </w:tcPr>
          <w:p w:rsidR="004A147C" w:rsidRPr="00FE5EC9" w:rsidRDefault="004A147C" w:rsidP="00CE5850">
            <w:pPr>
              <w:spacing w:before="120"/>
              <w:jc w:val="center"/>
              <w:rPr>
                <w:bCs/>
              </w:rPr>
            </w:pPr>
            <w:r w:rsidRPr="00FE5EC9">
              <w:rPr>
                <w:bCs/>
              </w:rPr>
              <w:t>No</w:t>
            </w:r>
          </w:p>
        </w:tc>
      </w:tr>
      <w:tr w:rsidR="004A147C" w:rsidRPr="00FE5EC9" w:rsidTr="006D773A">
        <w:trPr>
          <w:jc w:val="center"/>
        </w:trPr>
        <w:tc>
          <w:tcPr>
            <w:tcW w:w="1188" w:type="dxa"/>
          </w:tcPr>
          <w:p w:rsidR="004A147C" w:rsidRPr="00FE5EC9" w:rsidRDefault="004A147C" w:rsidP="00CE5850">
            <w:pPr>
              <w:spacing w:before="120"/>
              <w:jc w:val="center"/>
              <w:rPr>
                <w:bCs/>
              </w:rPr>
            </w:pPr>
            <w:r w:rsidRPr="00FE5EC9">
              <w:rPr>
                <w:bCs/>
              </w:rPr>
              <w:t>Unlimited</w:t>
            </w:r>
          </w:p>
        </w:tc>
        <w:tc>
          <w:tcPr>
            <w:tcW w:w="1440" w:type="dxa"/>
          </w:tcPr>
          <w:p w:rsidR="004A147C" w:rsidRPr="00FE5EC9" w:rsidRDefault="004A147C" w:rsidP="00CE5850">
            <w:pPr>
              <w:spacing w:before="120"/>
              <w:jc w:val="center"/>
              <w:rPr>
                <w:bCs/>
              </w:rPr>
            </w:pPr>
            <w:r w:rsidRPr="00FE5EC9">
              <w:rPr>
                <w:bCs/>
              </w:rPr>
              <w:t>450</w:t>
            </w:r>
          </w:p>
        </w:tc>
        <w:tc>
          <w:tcPr>
            <w:tcW w:w="1440" w:type="dxa"/>
          </w:tcPr>
          <w:p w:rsidR="004A147C" w:rsidRPr="00FE5EC9" w:rsidRDefault="004A147C" w:rsidP="00CE5850">
            <w:pPr>
              <w:spacing w:before="120"/>
              <w:jc w:val="center"/>
              <w:rPr>
                <w:bCs/>
              </w:rPr>
            </w:pPr>
            <w:r w:rsidRPr="00FE5EC9">
              <w:rPr>
                <w:bCs/>
              </w:rPr>
              <w:t>Unlimited</w:t>
            </w:r>
          </w:p>
        </w:tc>
        <w:tc>
          <w:tcPr>
            <w:tcW w:w="1530" w:type="dxa"/>
          </w:tcPr>
          <w:p w:rsidR="004A147C" w:rsidRPr="00FE5EC9" w:rsidRDefault="004A147C" w:rsidP="00CE5850">
            <w:pPr>
              <w:spacing w:before="120"/>
              <w:jc w:val="center"/>
              <w:rPr>
                <w:bCs/>
              </w:rPr>
            </w:pPr>
            <w:r w:rsidRPr="00FE5EC9">
              <w:rPr>
                <w:bCs/>
              </w:rPr>
              <w:t>$79.99</w:t>
            </w:r>
          </w:p>
        </w:tc>
        <w:tc>
          <w:tcPr>
            <w:tcW w:w="1350" w:type="dxa"/>
          </w:tcPr>
          <w:p w:rsidR="004A147C" w:rsidRPr="00FE5EC9" w:rsidRDefault="004A147C" w:rsidP="00CE5850">
            <w:pPr>
              <w:spacing w:before="120"/>
              <w:jc w:val="center"/>
              <w:rPr>
                <w:bCs/>
              </w:rPr>
            </w:pPr>
            <w:r w:rsidRPr="00FE5EC9">
              <w:rPr>
                <w:bCs/>
              </w:rPr>
              <w:t>Yes</w:t>
            </w:r>
          </w:p>
        </w:tc>
        <w:tc>
          <w:tcPr>
            <w:tcW w:w="1080" w:type="dxa"/>
          </w:tcPr>
          <w:p w:rsidR="004A147C" w:rsidRPr="00FE5EC9" w:rsidRDefault="004A147C" w:rsidP="00CE5850">
            <w:pPr>
              <w:spacing w:before="120"/>
              <w:jc w:val="center"/>
              <w:rPr>
                <w:bCs/>
              </w:rPr>
            </w:pPr>
            <w:r w:rsidRPr="00FE5EC9">
              <w:rPr>
                <w:bCs/>
              </w:rPr>
              <w:t>No</w:t>
            </w:r>
          </w:p>
        </w:tc>
      </w:tr>
      <w:tr w:rsidR="004A147C" w:rsidRPr="00FE5EC9" w:rsidTr="006D773A">
        <w:trPr>
          <w:jc w:val="center"/>
        </w:trPr>
        <w:tc>
          <w:tcPr>
            <w:tcW w:w="1188" w:type="dxa"/>
          </w:tcPr>
          <w:p w:rsidR="004A147C" w:rsidRPr="00FE5EC9" w:rsidRDefault="004A147C" w:rsidP="00CE5850">
            <w:pPr>
              <w:spacing w:before="120"/>
              <w:jc w:val="center"/>
              <w:rPr>
                <w:bCs/>
              </w:rPr>
            </w:pPr>
            <w:r w:rsidRPr="00FE5EC9">
              <w:rPr>
                <w:bCs/>
              </w:rPr>
              <w:t>0</w:t>
            </w:r>
          </w:p>
        </w:tc>
        <w:tc>
          <w:tcPr>
            <w:tcW w:w="1440" w:type="dxa"/>
          </w:tcPr>
          <w:p w:rsidR="004A147C" w:rsidRPr="00FE5EC9" w:rsidRDefault="004A147C" w:rsidP="00CE5850">
            <w:pPr>
              <w:spacing w:before="120"/>
              <w:jc w:val="center"/>
              <w:rPr>
                <w:bCs/>
              </w:rPr>
            </w:pPr>
            <w:r w:rsidRPr="00FE5EC9">
              <w:rPr>
                <w:bCs/>
              </w:rPr>
              <w:t>450</w:t>
            </w:r>
          </w:p>
        </w:tc>
        <w:tc>
          <w:tcPr>
            <w:tcW w:w="1440" w:type="dxa"/>
          </w:tcPr>
          <w:p w:rsidR="004A147C" w:rsidRPr="00FE5EC9" w:rsidRDefault="004A147C" w:rsidP="00CE5850">
            <w:pPr>
              <w:spacing w:before="120"/>
              <w:jc w:val="center"/>
              <w:rPr>
                <w:bCs/>
              </w:rPr>
            </w:pPr>
            <w:r w:rsidRPr="00FE5EC9">
              <w:rPr>
                <w:bCs/>
              </w:rPr>
              <w:t>Unlimited</w:t>
            </w:r>
          </w:p>
        </w:tc>
        <w:tc>
          <w:tcPr>
            <w:tcW w:w="1530" w:type="dxa"/>
          </w:tcPr>
          <w:p w:rsidR="004A147C" w:rsidRPr="00FE5EC9" w:rsidRDefault="004A147C" w:rsidP="00CE5850">
            <w:pPr>
              <w:spacing w:before="120"/>
              <w:jc w:val="center"/>
              <w:rPr>
                <w:bCs/>
              </w:rPr>
            </w:pPr>
            <w:r w:rsidRPr="00FE5EC9">
              <w:rPr>
                <w:bCs/>
              </w:rPr>
              <w:t>$49.99</w:t>
            </w:r>
          </w:p>
        </w:tc>
        <w:tc>
          <w:tcPr>
            <w:tcW w:w="1350" w:type="dxa"/>
          </w:tcPr>
          <w:p w:rsidR="004A147C" w:rsidRPr="00FE5EC9" w:rsidRDefault="004A147C" w:rsidP="00CE5850">
            <w:pPr>
              <w:spacing w:before="120"/>
              <w:jc w:val="center"/>
              <w:rPr>
                <w:bCs/>
              </w:rPr>
            </w:pPr>
            <w:r w:rsidRPr="00FE5EC9">
              <w:rPr>
                <w:bCs/>
              </w:rPr>
              <w:t>No</w:t>
            </w:r>
          </w:p>
        </w:tc>
        <w:tc>
          <w:tcPr>
            <w:tcW w:w="1080" w:type="dxa"/>
          </w:tcPr>
          <w:p w:rsidR="004A147C" w:rsidRPr="00FE5EC9" w:rsidRDefault="004A147C" w:rsidP="00CE5850">
            <w:pPr>
              <w:spacing w:before="120"/>
              <w:jc w:val="center"/>
              <w:rPr>
                <w:bCs/>
              </w:rPr>
            </w:pPr>
            <w:r w:rsidRPr="00FE5EC9">
              <w:rPr>
                <w:bCs/>
              </w:rPr>
              <w:t>No</w:t>
            </w:r>
          </w:p>
        </w:tc>
      </w:tr>
    </w:tbl>
    <w:p w:rsidR="004A147C" w:rsidRPr="00F1004B" w:rsidRDefault="004A147C" w:rsidP="00CE5850">
      <w:pPr>
        <w:pStyle w:val="ParaNum"/>
        <w:tabs>
          <w:tab w:val="clear" w:pos="1440"/>
        </w:tabs>
        <w:ind w:left="720" w:firstLine="0"/>
        <w:rPr>
          <w:szCs w:val="22"/>
        </w:rPr>
      </w:pPr>
    </w:p>
    <w:p w:rsidR="004A147C" w:rsidRPr="00F83BFA" w:rsidRDefault="004A147C" w:rsidP="00CE5850">
      <w:pPr>
        <w:pStyle w:val="ParaNum"/>
        <w:numPr>
          <w:ilvl w:val="0"/>
          <w:numId w:val="28"/>
        </w:numPr>
        <w:rPr>
          <w:b/>
          <w:sz w:val="22"/>
          <w:szCs w:val="22"/>
        </w:rPr>
      </w:pPr>
      <w:r w:rsidRPr="00F83BFA">
        <w:rPr>
          <w:sz w:val="22"/>
          <w:szCs w:val="22"/>
        </w:rPr>
        <w:t>Although Sprint has yet to shift from unlimited data pricing to tiered data pricing, the company made some pricing plan changes since its nationwide rivals shifted to tiered data pricing. (Table 24).  In January 2011, Sprint raised the monthly charge on its unlimited smartphone data service by ten dollars per month for new customers and also existing customers who get a new smartphone.</w:t>
      </w:r>
      <w:r w:rsidRPr="00F83BFA">
        <w:rPr>
          <w:sz w:val="22"/>
          <w:szCs w:val="22"/>
          <w:vertAlign w:val="superscript"/>
        </w:rPr>
        <w:footnoteReference w:id="483"/>
      </w:r>
      <w:r w:rsidRPr="00F83BFA">
        <w:rPr>
          <w:sz w:val="22"/>
          <w:szCs w:val="22"/>
        </w:rPr>
        <w:t xml:space="preserve">  This price increase applied to both Sprint’s “Simply Everything” plan, which includes unlimited voice and texting, and its “Everything Data” plans, which include a limited bucket of voice minutes and unlimited texting.  Prior to this increase, Sprint had charged an extra ten dollars per month only for its WiMAX-capable smartphones.</w:t>
      </w:r>
      <w:r w:rsidRPr="00F83BFA">
        <w:rPr>
          <w:sz w:val="22"/>
          <w:szCs w:val="22"/>
          <w:vertAlign w:val="superscript"/>
        </w:rPr>
        <w:footnoteReference w:id="484"/>
      </w:r>
      <w:r w:rsidRPr="00F83BFA">
        <w:rPr>
          <w:sz w:val="22"/>
          <w:szCs w:val="22"/>
        </w:rPr>
        <w:t xml:space="preserve">  In addition, Sprint has begun to move away from unlimited data pricing in other business segments, including its prepaid brands and non-smartphone devices.</w:t>
      </w:r>
      <w:r w:rsidRPr="00F83BFA">
        <w:rPr>
          <w:sz w:val="22"/>
          <w:szCs w:val="22"/>
          <w:vertAlign w:val="superscript"/>
        </w:rPr>
        <w:footnoteReference w:id="485"/>
      </w:r>
      <w:bookmarkStart w:id="2134" w:name="_Ref326837991"/>
    </w:p>
    <w:p w:rsidR="004A147C" w:rsidRPr="00F83BFA" w:rsidRDefault="004A147C" w:rsidP="00CE5850">
      <w:pPr>
        <w:pStyle w:val="ListParagraph"/>
        <w:spacing w:before="120"/>
        <w:ind w:left="0"/>
        <w:jc w:val="center"/>
        <w:rPr>
          <w:b/>
          <w:bCs/>
        </w:rPr>
      </w:pPr>
      <w:bookmarkStart w:id="2135" w:name="_Ref341877899"/>
      <w:bookmarkEnd w:id="2134"/>
      <w:r w:rsidRPr="00F83BFA">
        <w:rPr>
          <w:b/>
          <w:bCs/>
        </w:rPr>
        <w:t xml:space="preserve">Table </w:t>
      </w:r>
      <w:r w:rsidR="0007014B" w:rsidRPr="00F83BFA">
        <w:rPr>
          <w:b/>
          <w:bCs/>
        </w:rPr>
        <w:fldChar w:fldCharType="begin"/>
      </w:r>
      <w:r w:rsidRPr="00F83BFA">
        <w:rPr>
          <w:b/>
          <w:bCs/>
        </w:rPr>
        <w:instrText xml:space="preserve"> SEQ Table \* ARABIC </w:instrText>
      </w:r>
      <w:r w:rsidR="0007014B" w:rsidRPr="00F83BFA">
        <w:rPr>
          <w:b/>
          <w:bCs/>
        </w:rPr>
        <w:fldChar w:fldCharType="separate"/>
      </w:r>
      <w:r w:rsidR="00CA3AC6">
        <w:rPr>
          <w:b/>
          <w:bCs/>
          <w:noProof/>
        </w:rPr>
        <w:t>24</w:t>
      </w:r>
      <w:r w:rsidR="0007014B" w:rsidRPr="00F83BFA">
        <w:rPr>
          <w:b/>
          <w:bCs/>
        </w:rPr>
        <w:fldChar w:fldCharType="end"/>
      </w:r>
      <w:bookmarkEnd w:id="2135"/>
    </w:p>
    <w:p w:rsidR="004A147C" w:rsidRPr="00F83BFA" w:rsidRDefault="004A147C" w:rsidP="00CE5850">
      <w:pPr>
        <w:pStyle w:val="ListParagraph"/>
        <w:spacing w:after="120"/>
        <w:ind w:left="1440"/>
        <w:jc w:val="center"/>
        <w:rPr>
          <w:bCs/>
        </w:rPr>
      </w:pPr>
      <w:r w:rsidRPr="00F83BFA">
        <w:rPr>
          <w:b/>
          <w:bCs/>
        </w:rPr>
        <w:t>Sprint Unlimited Smartphone Data Plan Changes, Jan. 2011-Mar. 2012</w:t>
      </w:r>
      <w:r w:rsidRPr="00FE5EC9">
        <w:rPr>
          <w:vertAlign w:val="superscript"/>
        </w:rPr>
        <w:footnoteReference w:id="486"/>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75"/>
        <w:gridCol w:w="1528"/>
        <w:gridCol w:w="4784"/>
        <w:gridCol w:w="2289"/>
      </w:tblGrid>
      <w:tr w:rsidR="004A147C" w:rsidRPr="00FE5EC9" w:rsidTr="006D773A">
        <w:tc>
          <w:tcPr>
            <w:tcW w:w="0" w:type="auto"/>
          </w:tcPr>
          <w:p w:rsidR="004A147C" w:rsidRPr="00FE5EC9" w:rsidRDefault="004A147C" w:rsidP="00CE5850">
            <w:pPr>
              <w:spacing w:after="120"/>
            </w:pPr>
          </w:p>
        </w:tc>
        <w:tc>
          <w:tcPr>
            <w:tcW w:w="0" w:type="auto"/>
          </w:tcPr>
          <w:p w:rsidR="004A147C" w:rsidRPr="00FE5EC9" w:rsidRDefault="004A147C" w:rsidP="00CE5850">
            <w:pPr>
              <w:spacing w:after="120"/>
              <w:rPr>
                <w:b/>
              </w:rPr>
            </w:pPr>
            <w:r w:rsidRPr="00FE5EC9">
              <w:rPr>
                <w:b/>
              </w:rPr>
              <w:t>Unlimited Plan</w:t>
            </w:r>
          </w:p>
        </w:tc>
        <w:tc>
          <w:tcPr>
            <w:tcW w:w="0" w:type="auto"/>
          </w:tcPr>
          <w:p w:rsidR="004A147C" w:rsidRPr="00FE5EC9" w:rsidRDefault="004A147C" w:rsidP="00CE5850">
            <w:pPr>
              <w:spacing w:after="120"/>
              <w:rPr>
                <w:b/>
              </w:rPr>
            </w:pPr>
            <w:r w:rsidRPr="00FE5EC9">
              <w:rPr>
                <w:b/>
              </w:rPr>
              <w:t>Pricing Changes</w:t>
            </w:r>
          </w:p>
        </w:tc>
        <w:tc>
          <w:tcPr>
            <w:tcW w:w="0" w:type="auto"/>
          </w:tcPr>
          <w:p w:rsidR="004A147C" w:rsidRPr="00FE5EC9" w:rsidRDefault="004A147C" w:rsidP="00CE5850">
            <w:pPr>
              <w:spacing w:after="120"/>
              <w:rPr>
                <w:b/>
              </w:rPr>
            </w:pPr>
            <w:r w:rsidRPr="00FE5EC9">
              <w:rPr>
                <w:b/>
              </w:rPr>
              <w:t>Speed Reduction</w:t>
            </w:r>
          </w:p>
        </w:tc>
      </w:tr>
      <w:tr w:rsidR="004A147C" w:rsidRPr="00FE5EC9" w:rsidTr="006D773A">
        <w:tc>
          <w:tcPr>
            <w:tcW w:w="0" w:type="auto"/>
          </w:tcPr>
          <w:p w:rsidR="004A147C" w:rsidRPr="00FE5EC9" w:rsidRDefault="004A147C" w:rsidP="00CE5850">
            <w:pPr>
              <w:spacing w:after="120"/>
            </w:pPr>
            <w:r w:rsidRPr="00FE5EC9">
              <w:t>Postpaid</w:t>
            </w:r>
          </w:p>
          <w:p w:rsidR="004A147C" w:rsidRPr="00FE5EC9" w:rsidRDefault="004A147C" w:rsidP="00CE5850">
            <w:pPr>
              <w:spacing w:after="120"/>
            </w:pPr>
          </w:p>
        </w:tc>
        <w:tc>
          <w:tcPr>
            <w:tcW w:w="0" w:type="auto"/>
          </w:tcPr>
          <w:p w:rsidR="004A147C" w:rsidRPr="00FE5EC9" w:rsidRDefault="004A147C" w:rsidP="00CE5850">
            <w:pPr>
              <w:spacing w:after="120"/>
            </w:pPr>
            <w:r w:rsidRPr="00FE5EC9">
              <w:t xml:space="preserve">Everything Data </w:t>
            </w:r>
          </w:p>
          <w:p w:rsidR="004A147C" w:rsidRPr="00FE5EC9" w:rsidRDefault="004A147C" w:rsidP="00CE5850">
            <w:pPr>
              <w:spacing w:after="120"/>
            </w:pPr>
            <w:r w:rsidRPr="00FE5EC9">
              <w:t>Simply Everything</w:t>
            </w:r>
          </w:p>
        </w:tc>
        <w:tc>
          <w:tcPr>
            <w:tcW w:w="0" w:type="auto"/>
          </w:tcPr>
          <w:p w:rsidR="004A147C" w:rsidRPr="00FE5EC9" w:rsidRDefault="004A147C" w:rsidP="00CE5850">
            <w:pPr>
              <w:spacing w:after="120"/>
            </w:pPr>
            <w:r w:rsidRPr="00FE5EC9">
              <w:t>Extra $10 per month for new customers and existing customers who got a new smartphone as of 1/20/2011</w:t>
            </w:r>
          </w:p>
        </w:tc>
        <w:tc>
          <w:tcPr>
            <w:tcW w:w="0" w:type="auto"/>
          </w:tcPr>
          <w:p w:rsidR="004A147C" w:rsidRPr="00FE5EC9" w:rsidRDefault="004A147C" w:rsidP="00CE5850">
            <w:pPr>
              <w:spacing w:after="120"/>
            </w:pPr>
          </w:p>
        </w:tc>
      </w:tr>
      <w:tr w:rsidR="004A147C" w:rsidRPr="00FE5EC9" w:rsidTr="006D773A">
        <w:tc>
          <w:tcPr>
            <w:tcW w:w="0" w:type="auto"/>
            <w:vMerge w:val="restart"/>
          </w:tcPr>
          <w:p w:rsidR="004A147C" w:rsidRPr="00FE5EC9" w:rsidRDefault="004A147C" w:rsidP="00CE5850">
            <w:pPr>
              <w:spacing w:after="120"/>
            </w:pPr>
            <w:r w:rsidRPr="00FE5EC9">
              <w:t>Prepaid</w:t>
            </w:r>
          </w:p>
        </w:tc>
        <w:tc>
          <w:tcPr>
            <w:tcW w:w="0" w:type="auto"/>
          </w:tcPr>
          <w:p w:rsidR="004A147C" w:rsidRPr="00FE5EC9" w:rsidRDefault="004A147C" w:rsidP="00CE5850">
            <w:pPr>
              <w:spacing w:after="120"/>
            </w:pPr>
            <w:r w:rsidRPr="00FE5EC9">
              <w:t>Beyond Talk (</w:t>
            </w:r>
            <w:r w:rsidRPr="00FE5EC9">
              <w:rPr>
                <w:i/>
              </w:rPr>
              <w:t>Virgin Mobile</w:t>
            </w:r>
            <w:r w:rsidRPr="00FE5EC9">
              <w:t>)</w:t>
            </w:r>
          </w:p>
        </w:tc>
        <w:tc>
          <w:tcPr>
            <w:tcW w:w="0" w:type="auto"/>
          </w:tcPr>
          <w:p w:rsidR="004A147C" w:rsidRPr="00FE5EC9" w:rsidRDefault="004A147C" w:rsidP="00CE5850">
            <w:pPr>
              <w:spacing w:after="120"/>
            </w:pPr>
            <w:r w:rsidRPr="00FE5EC9">
              <w:t>In July 2011, the price of the $25 plan increased to $35, the price of the $40 plan increased to $45, the price of the $60 plan decreased to $55, and a $10 add-on fee for RIM Blackberry devices was dropped</w:t>
            </w:r>
          </w:p>
        </w:tc>
        <w:tc>
          <w:tcPr>
            <w:tcW w:w="0" w:type="auto"/>
          </w:tcPr>
          <w:p w:rsidR="004A147C" w:rsidRPr="00FE5EC9" w:rsidRDefault="004A147C" w:rsidP="00CE5850">
            <w:pPr>
              <w:spacing w:after="120"/>
            </w:pPr>
            <w:r w:rsidRPr="00FE5EC9">
              <w:t>As of March 2012, for customers who use more than 2.5 GB per month</w:t>
            </w:r>
          </w:p>
        </w:tc>
      </w:tr>
      <w:tr w:rsidR="004A147C" w:rsidRPr="00FE5EC9" w:rsidTr="006D773A">
        <w:trPr>
          <w:trHeight w:val="760"/>
        </w:trPr>
        <w:tc>
          <w:tcPr>
            <w:tcW w:w="0" w:type="auto"/>
            <w:vMerge/>
          </w:tcPr>
          <w:p w:rsidR="004A147C" w:rsidRPr="00FE5EC9" w:rsidRDefault="004A147C" w:rsidP="00CE5850">
            <w:pPr>
              <w:spacing w:after="120"/>
            </w:pPr>
          </w:p>
        </w:tc>
        <w:tc>
          <w:tcPr>
            <w:tcW w:w="0" w:type="auto"/>
          </w:tcPr>
          <w:p w:rsidR="004A147C" w:rsidRPr="00FE5EC9" w:rsidRDefault="004A147C" w:rsidP="00CE5850">
            <w:pPr>
              <w:spacing w:after="120"/>
              <w:rPr>
                <w:i/>
              </w:rPr>
            </w:pPr>
            <w:r w:rsidRPr="00FE5EC9">
              <w:rPr>
                <w:i/>
              </w:rPr>
              <w:t>Boost Mobile</w:t>
            </w:r>
          </w:p>
        </w:tc>
        <w:tc>
          <w:tcPr>
            <w:tcW w:w="0" w:type="auto"/>
          </w:tcPr>
          <w:p w:rsidR="004A147C" w:rsidRPr="00FE5EC9" w:rsidRDefault="004A147C" w:rsidP="00CE5850">
            <w:pPr>
              <w:spacing w:after="120"/>
            </w:pPr>
            <w:r w:rsidRPr="00FE5EC9">
              <w:t xml:space="preserve">Extra $5 per month for new Android smartphone customers as of 10/06/2011 </w:t>
            </w:r>
          </w:p>
        </w:tc>
        <w:tc>
          <w:tcPr>
            <w:tcW w:w="0" w:type="auto"/>
          </w:tcPr>
          <w:p w:rsidR="004A147C" w:rsidRPr="00FE5EC9" w:rsidRDefault="004A147C" w:rsidP="00CE5850">
            <w:pPr>
              <w:spacing w:after="120"/>
            </w:pPr>
          </w:p>
        </w:tc>
      </w:tr>
    </w:tbl>
    <w:p w:rsidR="004A147C" w:rsidRPr="00F1004B" w:rsidRDefault="004A147C" w:rsidP="00CE5850">
      <w:pPr>
        <w:pStyle w:val="ParaNum"/>
        <w:tabs>
          <w:tab w:val="clear" w:pos="1440"/>
        </w:tabs>
        <w:ind w:firstLine="0"/>
        <w:rPr>
          <w:szCs w:val="22"/>
        </w:rPr>
      </w:pPr>
    </w:p>
    <w:p w:rsidR="004A147C" w:rsidRPr="00F83BFA" w:rsidRDefault="004A147C" w:rsidP="00CE5850">
      <w:pPr>
        <w:pStyle w:val="ParaNum"/>
        <w:numPr>
          <w:ilvl w:val="0"/>
          <w:numId w:val="28"/>
        </w:numPr>
        <w:rPr>
          <w:sz w:val="22"/>
          <w:szCs w:val="22"/>
        </w:rPr>
      </w:pPr>
      <w:r w:rsidRPr="00F83BFA">
        <w:rPr>
          <w:i/>
          <w:sz w:val="22"/>
          <w:szCs w:val="22"/>
        </w:rPr>
        <w:t>Smartphone Data Plans of Other Providers</w:t>
      </w:r>
      <w:r w:rsidRPr="00F83BFA">
        <w:rPr>
          <w:sz w:val="22"/>
          <w:szCs w:val="22"/>
        </w:rPr>
        <w:t>.  Apart from the nationwide service providers, C Spire Wireless (formerly Cellular South), in November 2011, became the fourth U.S. service provider and the first regional provider to offer the iPhone 4S.</w:t>
      </w:r>
      <w:r w:rsidRPr="00F83BFA">
        <w:rPr>
          <w:sz w:val="22"/>
          <w:szCs w:val="22"/>
          <w:vertAlign w:val="superscript"/>
        </w:rPr>
        <w:footnoteReference w:id="487"/>
      </w:r>
      <w:r w:rsidRPr="00F83BFA">
        <w:rPr>
          <w:sz w:val="22"/>
          <w:szCs w:val="22"/>
        </w:rPr>
        <w:t xml:space="preserve">  The smartphone data pricing model adopted by C Spire is similar to Sprint’s model in that all four bundled voice and data plans offered by C Spire include unlimited data usage.</w:t>
      </w:r>
      <w:r w:rsidRPr="00F83BFA">
        <w:rPr>
          <w:sz w:val="22"/>
          <w:szCs w:val="22"/>
          <w:vertAlign w:val="superscript"/>
        </w:rPr>
        <w:footnoteReference w:id="488"/>
      </w:r>
      <w:r w:rsidRPr="00F83BFA">
        <w:rPr>
          <w:sz w:val="22"/>
          <w:szCs w:val="22"/>
        </w:rPr>
        <w:t xml:space="preserve">  The two least expensive plans curb bandwidth consumption by excluding streaming video.</w:t>
      </w:r>
      <w:r w:rsidRPr="00F83BFA">
        <w:rPr>
          <w:sz w:val="22"/>
          <w:szCs w:val="22"/>
          <w:vertAlign w:val="superscript"/>
        </w:rPr>
        <w:footnoteReference w:id="489"/>
      </w:r>
    </w:p>
    <w:p w:rsidR="004A147C" w:rsidRPr="00F83BFA" w:rsidRDefault="004A147C" w:rsidP="00CE5850">
      <w:pPr>
        <w:pStyle w:val="ParaNum"/>
        <w:numPr>
          <w:ilvl w:val="0"/>
          <w:numId w:val="28"/>
        </w:numPr>
        <w:rPr>
          <w:sz w:val="22"/>
          <w:szCs w:val="22"/>
        </w:rPr>
      </w:pPr>
      <w:r w:rsidRPr="00F83BFA">
        <w:rPr>
          <w:i/>
          <w:sz w:val="22"/>
          <w:szCs w:val="22"/>
        </w:rPr>
        <w:t>Tablet Data Plans</w:t>
      </w:r>
      <w:r w:rsidRPr="00F83BFA">
        <w:rPr>
          <w:sz w:val="22"/>
          <w:szCs w:val="22"/>
        </w:rPr>
        <w:t>.  Unlike the case of smartphones, cellular network connections and data plans are optional for tablets, and surveys indicate that tablet users prefer Wi-Fi over cellular networks for connectivity.</w:t>
      </w:r>
      <w:r w:rsidRPr="00F83BFA">
        <w:rPr>
          <w:sz w:val="22"/>
          <w:szCs w:val="22"/>
          <w:vertAlign w:val="superscript"/>
        </w:rPr>
        <w:footnoteReference w:id="490"/>
      </w:r>
      <w:r w:rsidRPr="00F83BFA">
        <w:rPr>
          <w:sz w:val="22"/>
          <w:szCs w:val="22"/>
        </w:rPr>
        <w:t xml:space="preserve">  One of the factors inhibiting cellular connectivity for tablets has been the need to purchase an additional data plan.</w:t>
      </w:r>
      <w:r w:rsidRPr="00F83BFA">
        <w:rPr>
          <w:sz w:val="22"/>
          <w:szCs w:val="22"/>
          <w:vertAlign w:val="superscript"/>
        </w:rPr>
        <w:footnoteReference w:id="491"/>
      </w:r>
      <w:r w:rsidRPr="00F83BFA">
        <w:rPr>
          <w:sz w:val="22"/>
          <w:szCs w:val="22"/>
        </w:rPr>
        <w:t xml:space="preserve">  The introduction of new family data plans for multiple devices may make cellular network connectivity more attractive for tablet users.</w:t>
      </w:r>
      <w:r w:rsidRPr="00F83BFA">
        <w:rPr>
          <w:sz w:val="22"/>
          <w:szCs w:val="22"/>
          <w:vertAlign w:val="superscript"/>
        </w:rPr>
        <w:footnoteReference w:id="492"/>
      </w:r>
    </w:p>
    <w:p w:rsidR="004A147C" w:rsidRPr="00F83BFA" w:rsidRDefault="004A147C" w:rsidP="00CE5850">
      <w:pPr>
        <w:pStyle w:val="ParaNum"/>
        <w:numPr>
          <w:ilvl w:val="0"/>
          <w:numId w:val="28"/>
        </w:numPr>
        <w:rPr>
          <w:sz w:val="22"/>
          <w:szCs w:val="22"/>
        </w:rPr>
      </w:pPr>
      <w:r w:rsidRPr="00F83BFA">
        <w:rPr>
          <w:sz w:val="22"/>
          <w:szCs w:val="22"/>
        </w:rPr>
        <w:t>Prior to the launch of the new shared data plans, data plans for tablets were not a major focal point of price rivalry in comparison with data plans for smartphones.</w:t>
      </w:r>
      <w:r w:rsidRPr="00F83BFA">
        <w:rPr>
          <w:sz w:val="22"/>
          <w:szCs w:val="22"/>
          <w:vertAlign w:val="superscript"/>
        </w:rPr>
        <w:footnoteReference w:id="493"/>
      </w:r>
      <w:r w:rsidRPr="00F83BFA">
        <w:rPr>
          <w:sz w:val="22"/>
          <w:szCs w:val="22"/>
        </w:rPr>
        <w:t xml:space="preserve">  While service providers heavily subsidize the purchase of smartphones to promote their adoption and attract and retain data users, they do not subsidize the purchase of tablets as extensively as they do smartphone purchases.  Neither Verizon Wireless nor AT&amp;T offer subsidies for the purchase of Apple iPads, although both offer subsidies on other brands provided customers sign up for a two-year contract.  While T-Mobile and Sprint do not offer the iPad, T-Mobile offers subsidies on the tablets it supports and Sprint offers subsidies on some but not all tablets.</w:t>
      </w:r>
      <w:r w:rsidRPr="00F83BFA">
        <w:rPr>
          <w:sz w:val="22"/>
          <w:szCs w:val="22"/>
          <w:vertAlign w:val="superscript"/>
        </w:rPr>
        <w:footnoteReference w:id="494"/>
      </w:r>
      <w:r w:rsidRPr="00F83BFA">
        <w:rPr>
          <w:sz w:val="22"/>
          <w:szCs w:val="22"/>
        </w:rPr>
        <w:t xml:space="preserve">  Data pricing for tablets is less differentiated than smartphone data pricing.  In particular, all four nationwide providers offer exclusively tiered, usage-based data plans for tablets, rather than unlimited data plans.</w:t>
      </w:r>
      <w:r w:rsidRPr="00F83BFA">
        <w:rPr>
          <w:sz w:val="22"/>
          <w:szCs w:val="22"/>
          <w:vertAlign w:val="superscript"/>
        </w:rPr>
        <w:footnoteReference w:id="495"/>
      </w:r>
      <w:r w:rsidRPr="00F83BFA">
        <w:rPr>
          <w:sz w:val="22"/>
          <w:szCs w:val="22"/>
        </w:rPr>
        <w:t xml:space="preserve">  In common with Verizon Wireless and AT&amp;T, Sprint levies overage charges for usage in excess of monthly allowances, while T-Mobile reduces the data speeds of tablet users after they reach their monthly data allowances.</w:t>
      </w:r>
      <w:r w:rsidRPr="00F83BFA">
        <w:rPr>
          <w:sz w:val="22"/>
          <w:szCs w:val="22"/>
          <w:vertAlign w:val="superscript"/>
        </w:rPr>
        <w:footnoteReference w:id="496"/>
      </w:r>
      <w:r w:rsidRPr="00F83BFA">
        <w:rPr>
          <w:sz w:val="22"/>
          <w:szCs w:val="22"/>
        </w:rPr>
        <w:t xml:space="preserve">  Data plan pricing for tablets by AT&amp;T and Verizon Wireless is shown above in Table 20 on their shared data plans.  The pricing of comparable data plans for tablets by Sprint and T-Mobile is shown in </w:t>
      </w:r>
      <w:r w:rsidR="00951E9B">
        <w:fldChar w:fldCharType="begin"/>
      </w:r>
      <w:r w:rsidR="00951E9B">
        <w:instrText xml:space="preserve"> REF _Ref335648163  \* MERGEFORMAT </w:instrText>
      </w:r>
      <w:r w:rsidR="00951E9B">
        <w:fldChar w:fldCharType="separate"/>
      </w:r>
      <w:r w:rsidR="00CA3AC6" w:rsidRPr="00B53FFB">
        <w:rPr>
          <w:sz w:val="22"/>
          <w:szCs w:val="22"/>
        </w:rPr>
        <w:t xml:space="preserve">Table </w:t>
      </w:r>
      <w:r w:rsidR="00CA3AC6">
        <w:rPr>
          <w:sz w:val="22"/>
          <w:szCs w:val="22"/>
        </w:rPr>
        <w:t>25</w:t>
      </w:r>
      <w:r w:rsidR="00951E9B">
        <w:rPr>
          <w:sz w:val="22"/>
          <w:szCs w:val="22"/>
        </w:rPr>
        <w:fldChar w:fldCharType="end"/>
      </w:r>
      <w:r w:rsidRPr="00F83BFA">
        <w:rPr>
          <w:sz w:val="22"/>
          <w:szCs w:val="22"/>
        </w:rPr>
        <w:t xml:space="preserve"> below.  Unlike with smartphone data plans, data plans for tablets are not bundled with voice plans, and customers who purchase a data plan for tablets from Sprint or T-Mobile are not required to purchase a voice plan.</w:t>
      </w:r>
    </w:p>
    <w:p w:rsidR="004A147C" w:rsidRPr="00B53FFB" w:rsidRDefault="004A147C" w:rsidP="00CE5850">
      <w:pPr>
        <w:pStyle w:val="Caption"/>
        <w:widowControl w:val="0"/>
        <w:spacing w:after="0"/>
        <w:jc w:val="center"/>
        <w:rPr>
          <w:sz w:val="22"/>
          <w:szCs w:val="22"/>
        </w:rPr>
      </w:pPr>
      <w:bookmarkStart w:id="2136" w:name="_Ref335648163"/>
      <w:r w:rsidRPr="00B53FFB">
        <w:rPr>
          <w:sz w:val="22"/>
          <w:szCs w:val="22"/>
        </w:rPr>
        <w:t xml:space="preserve">Table </w:t>
      </w:r>
      <w:r w:rsidR="0007014B" w:rsidRPr="00B53FFB">
        <w:rPr>
          <w:sz w:val="22"/>
          <w:szCs w:val="22"/>
        </w:rPr>
        <w:fldChar w:fldCharType="begin"/>
      </w:r>
      <w:r w:rsidRPr="00B53FFB">
        <w:rPr>
          <w:sz w:val="22"/>
          <w:szCs w:val="22"/>
        </w:rPr>
        <w:instrText xml:space="preserve"> SEQ Table \* ARABIC </w:instrText>
      </w:r>
      <w:r w:rsidR="0007014B" w:rsidRPr="00B53FFB">
        <w:rPr>
          <w:sz w:val="22"/>
          <w:szCs w:val="22"/>
        </w:rPr>
        <w:fldChar w:fldCharType="separate"/>
      </w:r>
      <w:r w:rsidR="00CA3AC6">
        <w:rPr>
          <w:noProof/>
          <w:sz w:val="22"/>
          <w:szCs w:val="22"/>
        </w:rPr>
        <w:t>25</w:t>
      </w:r>
      <w:r w:rsidR="0007014B" w:rsidRPr="00B53FFB">
        <w:rPr>
          <w:sz w:val="22"/>
          <w:szCs w:val="22"/>
        </w:rPr>
        <w:fldChar w:fldCharType="end"/>
      </w:r>
      <w:bookmarkEnd w:id="2136"/>
    </w:p>
    <w:p w:rsidR="004A147C" w:rsidRPr="00B53FFB" w:rsidRDefault="004A147C" w:rsidP="00CE5850">
      <w:pPr>
        <w:pStyle w:val="Caption"/>
        <w:widowControl w:val="0"/>
        <w:spacing w:before="0"/>
        <w:jc w:val="center"/>
        <w:rPr>
          <w:sz w:val="22"/>
          <w:szCs w:val="22"/>
        </w:rPr>
      </w:pPr>
      <w:r w:rsidRPr="00B53FFB">
        <w:rPr>
          <w:sz w:val="22"/>
          <w:szCs w:val="22"/>
        </w:rPr>
        <w:t>Sprint and T-Mobile Data Plans for Tablets</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306"/>
        <w:gridCol w:w="1701"/>
        <w:gridCol w:w="1567"/>
        <w:gridCol w:w="1762"/>
        <w:gridCol w:w="1618"/>
      </w:tblGrid>
      <w:tr w:rsidR="004A147C" w:rsidRPr="00B53FFB" w:rsidTr="00D80544">
        <w:trPr>
          <w:jc w:val="center"/>
        </w:trPr>
        <w:tc>
          <w:tcPr>
            <w:tcW w:w="0" w:type="auto"/>
          </w:tcPr>
          <w:p w:rsidR="004A147C" w:rsidRPr="004F14A8" w:rsidRDefault="004A147C" w:rsidP="00CE5850">
            <w:pPr>
              <w:pStyle w:val="ParaNum"/>
              <w:tabs>
                <w:tab w:val="clear" w:pos="1440"/>
              </w:tabs>
              <w:ind w:firstLine="0"/>
              <w:rPr>
                <w:sz w:val="22"/>
                <w:szCs w:val="22"/>
              </w:rPr>
            </w:pPr>
          </w:p>
        </w:tc>
        <w:tc>
          <w:tcPr>
            <w:tcW w:w="0" w:type="auto"/>
          </w:tcPr>
          <w:p w:rsidR="004A147C" w:rsidRPr="004F14A8" w:rsidRDefault="004A147C" w:rsidP="00CE5850">
            <w:pPr>
              <w:pStyle w:val="ParaNum"/>
              <w:tabs>
                <w:tab w:val="clear" w:pos="1440"/>
              </w:tabs>
              <w:ind w:firstLine="0"/>
              <w:rPr>
                <w:b/>
                <w:sz w:val="22"/>
                <w:szCs w:val="22"/>
              </w:rPr>
            </w:pPr>
            <w:r w:rsidRPr="004F14A8">
              <w:rPr>
                <w:b/>
                <w:sz w:val="22"/>
                <w:szCs w:val="22"/>
              </w:rPr>
              <w:t>Data Allowance</w:t>
            </w:r>
          </w:p>
        </w:tc>
        <w:tc>
          <w:tcPr>
            <w:tcW w:w="0" w:type="auto"/>
          </w:tcPr>
          <w:p w:rsidR="004A147C" w:rsidRPr="004F14A8" w:rsidRDefault="004A147C" w:rsidP="00CE5850">
            <w:pPr>
              <w:pStyle w:val="ParaNum"/>
              <w:tabs>
                <w:tab w:val="clear" w:pos="1440"/>
              </w:tabs>
              <w:ind w:firstLine="0"/>
              <w:rPr>
                <w:b/>
                <w:sz w:val="22"/>
                <w:szCs w:val="22"/>
              </w:rPr>
            </w:pPr>
            <w:r w:rsidRPr="004F14A8">
              <w:rPr>
                <w:b/>
                <w:sz w:val="22"/>
                <w:szCs w:val="22"/>
              </w:rPr>
              <w:t>Monthly Price</w:t>
            </w:r>
          </w:p>
        </w:tc>
        <w:tc>
          <w:tcPr>
            <w:tcW w:w="0" w:type="auto"/>
          </w:tcPr>
          <w:p w:rsidR="004A147C" w:rsidRPr="004F14A8" w:rsidRDefault="004A147C" w:rsidP="00CE5850">
            <w:pPr>
              <w:pStyle w:val="ParaNum"/>
              <w:tabs>
                <w:tab w:val="clear" w:pos="1440"/>
              </w:tabs>
              <w:ind w:firstLine="0"/>
              <w:rPr>
                <w:b/>
                <w:sz w:val="22"/>
                <w:szCs w:val="22"/>
              </w:rPr>
            </w:pPr>
            <w:r w:rsidRPr="004F14A8">
              <w:rPr>
                <w:b/>
                <w:sz w:val="22"/>
                <w:szCs w:val="22"/>
              </w:rPr>
              <w:t>Overage Charge</w:t>
            </w:r>
          </w:p>
        </w:tc>
        <w:tc>
          <w:tcPr>
            <w:tcW w:w="1618" w:type="dxa"/>
          </w:tcPr>
          <w:p w:rsidR="004A147C" w:rsidRPr="004F14A8" w:rsidRDefault="004A147C" w:rsidP="00CE5850">
            <w:pPr>
              <w:pStyle w:val="ParaNum"/>
              <w:tabs>
                <w:tab w:val="clear" w:pos="1440"/>
              </w:tabs>
              <w:ind w:firstLine="0"/>
              <w:rPr>
                <w:b/>
                <w:sz w:val="22"/>
                <w:szCs w:val="22"/>
              </w:rPr>
            </w:pPr>
            <w:r w:rsidRPr="004F14A8">
              <w:rPr>
                <w:b/>
                <w:sz w:val="22"/>
                <w:szCs w:val="22"/>
              </w:rPr>
              <w:t>Speed Reductions</w:t>
            </w:r>
          </w:p>
        </w:tc>
      </w:tr>
      <w:tr w:rsidR="004A147C" w:rsidRPr="00B53FFB" w:rsidTr="00D80544">
        <w:trPr>
          <w:jc w:val="center"/>
        </w:trPr>
        <w:tc>
          <w:tcPr>
            <w:tcW w:w="0" w:type="auto"/>
            <w:vMerge w:val="restart"/>
          </w:tcPr>
          <w:p w:rsidR="004A147C" w:rsidRPr="004F14A8" w:rsidRDefault="004A147C" w:rsidP="00CE5850">
            <w:pPr>
              <w:pStyle w:val="ParaNum"/>
              <w:tabs>
                <w:tab w:val="clear" w:pos="1440"/>
              </w:tabs>
              <w:ind w:firstLine="0"/>
              <w:rPr>
                <w:b/>
                <w:sz w:val="22"/>
                <w:szCs w:val="22"/>
              </w:rPr>
            </w:pPr>
            <w:r w:rsidRPr="004F14A8">
              <w:rPr>
                <w:b/>
                <w:sz w:val="22"/>
                <w:szCs w:val="22"/>
              </w:rPr>
              <w:t>Sprint</w:t>
            </w:r>
          </w:p>
        </w:tc>
        <w:tc>
          <w:tcPr>
            <w:tcW w:w="0" w:type="auto"/>
          </w:tcPr>
          <w:p w:rsidR="004A147C" w:rsidRPr="004F14A8" w:rsidRDefault="004A147C" w:rsidP="00CE5850">
            <w:pPr>
              <w:pStyle w:val="ParaNum"/>
              <w:tabs>
                <w:tab w:val="clear" w:pos="1440"/>
              </w:tabs>
              <w:ind w:firstLine="0"/>
              <w:rPr>
                <w:sz w:val="22"/>
                <w:szCs w:val="22"/>
              </w:rPr>
            </w:pPr>
            <w:r w:rsidRPr="004F14A8">
              <w:rPr>
                <w:sz w:val="22"/>
                <w:szCs w:val="22"/>
              </w:rPr>
              <w:t>3 GB</w:t>
            </w:r>
          </w:p>
        </w:tc>
        <w:tc>
          <w:tcPr>
            <w:tcW w:w="0" w:type="auto"/>
          </w:tcPr>
          <w:p w:rsidR="004A147C" w:rsidRPr="004F14A8" w:rsidRDefault="004A147C" w:rsidP="00CE5850">
            <w:pPr>
              <w:pStyle w:val="ParaNum"/>
              <w:tabs>
                <w:tab w:val="clear" w:pos="1440"/>
              </w:tabs>
              <w:ind w:firstLine="0"/>
              <w:rPr>
                <w:sz w:val="22"/>
                <w:szCs w:val="22"/>
              </w:rPr>
            </w:pPr>
            <w:r w:rsidRPr="004F14A8">
              <w:rPr>
                <w:sz w:val="22"/>
                <w:szCs w:val="22"/>
              </w:rPr>
              <w:t>$34.99</w:t>
            </w:r>
          </w:p>
        </w:tc>
        <w:tc>
          <w:tcPr>
            <w:tcW w:w="0" w:type="auto"/>
            <w:vMerge w:val="restart"/>
          </w:tcPr>
          <w:p w:rsidR="004A147C" w:rsidRPr="004F14A8" w:rsidRDefault="004A147C" w:rsidP="00CE5850">
            <w:pPr>
              <w:pStyle w:val="ParaNum"/>
              <w:tabs>
                <w:tab w:val="clear" w:pos="1440"/>
              </w:tabs>
              <w:ind w:firstLine="0"/>
              <w:rPr>
                <w:sz w:val="22"/>
                <w:szCs w:val="22"/>
              </w:rPr>
            </w:pPr>
            <w:r w:rsidRPr="004F14A8">
              <w:rPr>
                <w:sz w:val="22"/>
                <w:szCs w:val="22"/>
              </w:rPr>
              <w:t>$0.05 per MB</w:t>
            </w:r>
          </w:p>
        </w:tc>
        <w:tc>
          <w:tcPr>
            <w:tcW w:w="1618" w:type="dxa"/>
            <w:vMerge w:val="restart"/>
          </w:tcPr>
          <w:p w:rsidR="004A147C" w:rsidRPr="004F14A8" w:rsidRDefault="004A147C" w:rsidP="00CE5850">
            <w:pPr>
              <w:pStyle w:val="ParaNum"/>
              <w:tabs>
                <w:tab w:val="clear" w:pos="1440"/>
              </w:tabs>
              <w:ind w:firstLine="0"/>
              <w:rPr>
                <w:sz w:val="22"/>
                <w:szCs w:val="22"/>
              </w:rPr>
            </w:pPr>
            <w:r w:rsidRPr="004F14A8">
              <w:rPr>
                <w:sz w:val="22"/>
                <w:szCs w:val="22"/>
              </w:rPr>
              <w:t xml:space="preserve"> Not applicable</w:t>
            </w:r>
          </w:p>
        </w:tc>
      </w:tr>
      <w:tr w:rsidR="004A147C" w:rsidRPr="00B53FFB" w:rsidTr="00D80544">
        <w:trPr>
          <w:jc w:val="center"/>
        </w:trPr>
        <w:tc>
          <w:tcPr>
            <w:tcW w:w="0" w:type="auto"/>
            <w:vMerge/>
          </w:tcPr>
          <w:p w:rsidR="004A147C" w:rsidRPr="004F14A8" w:rsidRDefault="004A147C" w:rsidP="00CE5850">
            <w:pPr>
              <w:pStyle w:val="ParaNum"/>
              <w:tabs>
                <w:tab w:val="clear" w:pos="1440"/>
              </w:tabs>
              <w:ind w:firstLine="0"/>
              <w:rPr>
                <w:sz w:val="22"/>
                <w:szCs w:val="22"/>
              </w:rPr>
            </w:pPr>
          </w:p>
        </w:tc>
        <w:tc>
          <w:tcPr>
            <w:tcW w:w="0" w:type="auto"/>
          </w:tcPr>
          <w:p w:rsidR="004A147C" w:rsidRPr="004F14A8" w:rsidRDefault="004A147C" w:rsidP="00CE5850">
            <w:pPr>
              <w:pStyle w:val="ParaNum"/>
              <w:tabs>
                <w:tab w:val="clear" w:pos="1440"/>
              </w:tabs>
              <w:ind w:firstLine="0"/>
              <w:rPr>
                <w:sz w:val="22"/>
                <w:szCs w:val="22"/>
              </w:rPr>
            </w:pPr>
            <w:r w:rsidRPr="004F14A8">
              <w:rPr>
                <w:sz w:val="22"/>
                <w:szCs w:val="22"/>
              </w:rPr>
              <w:t>6 BG</w:t>
            </w:r>
          </w:p>
        </w:tc>
        <w:tc>
          <w:tcPr>
            <w:tcW w:w="0" w:type="auto"/>
          </w:tcPr>
          <w:p w:rsidR="004A147C" w:rsidRPr="004F14A8" w:rsidRDefault="004A147C" w:rsidP="00CE5850">
            <w:pPr>
              <w:pStyle w:val="ParaNum"/>
              <w:tabs>
                <w:tab w:val="clear" w:pos="1440"/>
              </w:tabs>
              <w:ind w:firstLine="0"/>
              <w:rPr>
                <w:sz w:val="22"/>
                <w:szCs w:val="22"/>
              </w:rPr>
            </w:pPr>
            <w:r w:rsidRPr="004F14A8">
              <w:rPr>
                <w:sz w:val="22"/>
                <w:szCs w:val="22"/>
              </w:rPr>
              <w:t>$49.99</w:t>
            </w:r>
          </w:p>
        </w:tc>
        <w:tc>
          <w:tcPr>
            <w:tcW w:w="0" w:type="auto"/>
            <w:vMerge/>
          </w:tcPr>
          <w:p w:rsidR="004A147C" w:rsidRPr="004F14A8" w:rsidRDefault="004A147C" w:rsidP="00CE5850">
            <w:pPr>
              <w:pStyle w:val="ParaNum"/>
              <w:tabs>
                <w:tab w:val="clear" w:pos="1440"/>
              </w:tabs>
              <w:ind w:firstLine="0"/>
              <w:rPr>
                <w:sz w:val="22"/>
                <w:szCs w:val="22"/>
              </w:rPr>
            </w:pPr>
          </w:p>
        </w:tc>
        <w:tc>
          <w:tcPr>
            <w:tcW w:w="1618" w:type="dxa"/>
            <w:vMerge/>
          </w:tcPr>
          <w:p w:rsidR="004A147C" w:rsidRPr="004F14A8" w:rsidRDefault="004A147C" w:rsidP="00CE5850">
            <w:pPr>
              <w:pStyle w:val="ParaNum"/>
              <w:tabs>
                <w:tab w:val="clear" w:pos="1440"/>
              </w:tabs>
              <w:ind w:firstLine="0"/>
              <w:rPr>
                <w:sz w:val="22"/>
                <w:szCs w:val="22"/>
              </w:rPr>
            </w:pPr>
          </w:p>
        </w:tc>
      </w:tr>
      <w:tr w:rsidR="004A147C" w:rsidRPr="00B53FFB" w:rsidTr="00D80544">
        <w:trPr>
          <w:jc w:val="center"/>
        </w:trPr>
        <w:tc>
          <w:tcPr>
            <w:tcW w:w="0" w:type="auto"/>
            <w:vMerge/>
          </w:tcPr>
          <w:p w:rsidR="004A147C" w:rsidRPr="004F14A8" w:rsidRDefault="004A147C" w:rsidP="00CE5850">
            <w:pPr>
              <w:pStyle w:val="ParaNum"/>
              <w:tabs>
                <w:tab w:val="clear" w:pos="1440"/>
              </w:tabs>
              <w:ind w:firstLine="0"/>
              <w:rPr>
                <w:sz w:val="22"/>
                <w:szCs w:val="22"/>
              </w:rPr>
            </w:pPr>
          </w:p>
        </w:tc>
        <w:tc>
          <w:tcPr>
            <w:tcW w:w="0" w:type="auto"/>
          </w:tcPr>
          <w:p w:rsidR="004A147C" w:rsidRPr="004F14A8" w:rsidRDefault="004A147C" w:rsidP="00CE5850">
            <w:pPr>
              <w:pStyle w:val="ParaNum"/>
              <w:tabs>
                <w:tab w:val="clear" w:pos="1440"/>
              </w:tabs>
              <w:ind w:firstLine="0"/>
              <w:rPr>
                <w:sz w:val="22"/>
                <w:szCs w:val="22"/>
              </w:rPr>
            </w:pPr>
            <w:r w:rsidRPr="004F14A8">
              <w:rPr>
                <w:sz w:val="22"/>
                <w:szCs w:val="22"/>
              </w:rPr>
              <w:t>12 GB</w:t>
            </w:r>
          </w:p>
        </w:tc>
        <w:tc>
          <w:tcPr>
            <w:tcW w:w="0" w:type="auto"/>
          </w:tcPr>
          <w:p w:rsidR="004A147C" w:rsidRPr="004F14A8" w:rsidRDefault="004A147C" w:rsidP="00CE5850">
            <w:pPr>
              <w:pStyle w:val="ParaNum"/>
              <w:tabs>
                <w:tab w:val="clear" w:pos="1440"/>
              </w:tabs>
              <w:ind w:firstLine="0"/>
              <w:rPr>
                <w:sz w:val="22"/>
                <w:szCs w:val="22"/>
              </w:rPr>
            </w:pPr>
            <w:r w:rsidRPr="004F14A8">
              <w:rPr>
                <w:sz w:val="22"/>
                <w:szCs w:val="22"/>
              </w:rPr>
              <w:t>$79.99</w:t>
            </w:r>
          </w:p>
        </w:tc>
        <w:tc>
          <w:tcPr>
            <w:tcW w:w="0" w:type="auto"/>
            <w:vMerge/>
          </w:tcPr>
          <w:p w:rsidR="004A147C" w:rsidRPr="004F14A8" w:rsidRDefault="004A147C" w:rsidP="00CE5850">
            <w:pPr>
              <w:pStyle w:val="ParaNum"/>
              <w:tabs>
                <w:tab w:val="clear" w:pos="1440"/>
              </w:tabs>
              <w:ind w:firstLine="0"/>
              <w:rPr>
                <w:sz w:val="22"/>
                <w:szCs w:val="22"/>
              </w:rPr>
            </w:pPr>
          </w:p>
        </w:tc>
        <w:tc>
          <w:tcPr>
            <w:tcW w:w="1618" w:type="dxa"/>
            <w:vMerge/>
          </w:tcPr>
          <w:p w:rsidR="004A147C" w:rsidRPr="004F14A8" w:rsidRDefault="004A147C" w:rsidP="00CE5850">
            <w:pPr>
              <w:pStyle w:val="ParaNum"/>
              <w:tabs>
                <w:tab w:val="clear" w:pos="1440"/>
              </w:tabs>
              <w:ind w:firstLine="0"/>
              <w:rPr>
                <w:sz w:val="22"/>
                <w:szCs w:val="22"/>
              </w:rPr>
            </w:pPr>
          </w:p>
        </w:tc>
      </w:tr>
      <w:tr w:rsidR="004A147C" w:rsidRPr="00B53FFB" w:rsidTr="00D80544">
        <w:trPr>
          <w:jc w:val="center"/>
        </w:trPr>
        <w:tc>
          <w:tcPr>
            <w:tcW w:w="0" w:type="auto"/>
            <w:vMerge w:val="restart"/>
          </w:tcPr>
          <w:p w:rsidR="004A147C" w:rsidRPr="004F14A8" w:rsidRDefault="004A147C" w:rsidP="00CE5850">
            <w:pPr>
              <w:pStyle w:val="ParaNum"/>
              <w:tabs>
                <w:tab w:val="clear" w:pos="1440"/>
              </w:tabs>
              <w:ind w:firstLine="0"/>
              <w:rPr>
                <w:sz w:val="22"/>
                <w:szCs w:val="22"/>
              </w:rPr>
            </w:pPr>
            <w:r w:rsidRPr="004F14A8">
              <w:rPr>
                <w:b/>
                <w:sz w:val="22"/>
                <w:szCs w:val="22"/>
              </w:rPr>
              <w:t>T-Mobile</w:t>
            </w:r>
            <w:r w:rsidRPr="004F14A8">
              <w:rPr>
                <w:rStyle w:val="FootnoteReference"/>
                <w:szCs w:val="22"/>
              </w:rPr>
              <w:footnoteReference w:id="497"/>
            </w:r>
          </w:p>
        </w:tc>
        <w:tc>
          <w:tcPr>
            <w:tcW w:w="0" w:type="auto"/>
          </w:tcPr>
          <w:p w:rsidR="004A147C" w:rsidRPr="004F14A8" w:rsidRDefault="004A147C" w:rsidP="00CE5850">
            <w:pPr>
              <w:pStyle w:val="ParaNum"/>
              <w:tabs>
                <w:tab w:val="clear" w:pos="1440"/>
              </w:tabs>
              <w:ind w:firstLine="0"/>
              <w:rPr>
                <w:sz w:val="22"/>
                <w:szCs w:val="22"/>
              </w:rPr>
            </w:pPr>
            <w:r w:rsidRPr="004F14A8">
              <w:rPr>
                <w:sz w:val="22"/>
                <w:szCs w:val="22"/>
              </w:rPr>
              <w:t>2 GB</w:t>
            </w:r>
          </w:p>
        </w:tc>
        <w:tc>
          <w:tcPr>
            <w:tcW w:w="0" w:type="auto"/>
          </w:tcPr>
          <w:p w:rsidR="004A147C" w:rsidRPr="004F14A8" w:rsidRDefault="004A147C" w:rsidP="00CE5850">
            <w:pPr>
              <w:pStyle w:val="ParaNum"/>
              <w:tabs>
                <w:tab w:val="clear" w:pos="1440"/>
              </w:tabs>
              <w:ind w:firstLine="0"/>
              <w:rPr>
                <w:sz w:val="22"/>
                <w:szCs w:val="22"/>
              </w:rPr>
            </w:pPr>
            <w:r w:rsidRPr="004F14A8">
              <w:rPr>
                <w:sz w:val="22"/>
                <w:szCs w:val="22"/>
              </w:rPr>
              <w:t>$39.99</w:t>
            </w:r>
          </w:p>
        </w:tc>
        <w:tc>
          <w:tcPr>
            <w:tcW w:w="0" w:type="auto"/>
            <w:vMerge w:val="restart"/>
          </w:tcPr>
          <w:p w:rsidR="004A147C" w:rsidRPr="004F14A8" w:rsidRDefault="004A147C" w:rsidP="00CE5850">
            <w:pPr>
              <w:pStyle w:val="ParaNum"/>
              <w:tabs>
                <w:tab w:val="clear" w:pos="1440"/>
              </w:tabs>
              <w:ind w:firstLine="0"/>
              <w:rPr>
                <w:sz w:val="22"/>
                <w:szCs w:val="22"/>
              </w:rPr>
            </w:pPr>
            <w:r w:rsidRPr="004F14A8">
              <w:rPr>
                <w:sz w:val="22"/>
                <w:szCs w:val="22"/>
              </w:rPr>
              <w:t>Not applicable</w:t>
            </w:r>
          </w:p>
        </w:tc>
        <w:tc>
          <w:tcPr>
            <w:tcW w:w="1618" w:type="dxa"/>
            <w:vMerge w:val="restart"/>
          </w:tcPr>
          <w:p w:rsidR="004A147C" w:rsidRPr="004F14A8" w:rsidRDefault="004A147C" w:rsidP="00CE5850">
            <w:pPr>
              <w:pStyle w:val="ParaNum"/>
              <w:tabs>
                <w:tab w:val="clear" w:pos="1440"/>
              </w:tabs>
              <w:ind w:firstLine="0"/>
              <w:rPr>
                <w:sz w:val="22"/>
                <w:szCs w:val="22"/>
              </w:rPr>
            </w:pPr>
            <w:r w:rsidRPr="004F14A8">
              <w:rPr>
                <w:sz w:val="22"/>
                <w:szCs w:val="22"/>
              </w:rPr>
              <w:t>Speeds slowed after monthly limit reached</w:t>
            </w:r>
          </w:p>
        </w:tc>
      </w:tr>
      <w:tr w:rsidR="004A147C" w:rsidRPr="00B53FFB" w:rsidTr="00D80544">
        <w:trPr>
          <w:jc w:val="center"/>
        </w:trPr>
        <w:tc>
          <w:tcPr>
            <w:tcW w:w="0" w:type="auto"/>
            <w:vMerge/>
          </w:tcPr>
          <w:p w:rsidR="004A147C" w:rsidRPr="004F14A8" w:rsidRDefault="004A147C" w:rsidP="00CE5850">
            <w:pPr>
              <w:pStyle w:val="ParaNum"/>
              <w:tabs>
                <w:tab w:val="clear" w:pos="1440"/>
              </w:tabs>
              <w:ind w:firstLine="0"/>
              <w:rPr>
                <w:sz w:val="22"/>
                <w:szCs w:val="22"/>
              </w:rPr>
            </w:pPr>
          </w:p>
        </w:tc>
        <w:tc>
          <w:tcPr>
            <w:tcW w:w="0" w:type="auto"/>
          </w:tcPr>
          <w:p w:rsidR="004A147C" w:rsidRPr="004F14A8" w:rsidRDefault="004A147C" w:rsidP="00CE5850">
            <w:pPr>
              <w:pStyle w:val="ParaNum"/>
              <w:tabs>
                <w:tab w:val="clear" w:pos="1440"/>
              </w:tabs>
              <w:ind w:firstLine="0"/>
              <w:rPr>
                <w:sz w:val="22"/>
                <w:szCs w:val="22"/>
              </w:rPr>
            </w:pPr>
            <w:r w:rsidRPr="004F14A8">
              <w:rPr>
                <w:sz w:val="22"/>
                <w:szCs w:val="22"/>
              </w:rPr>
              <w:t>5 GB</w:t>
            </w:r>
          </w:p>
        </w:tc>
        <w:tc>
          <w:tcPr>
            <w:tcW w:w="0" w:type="auto"/>
          </w:tcPr>
          <w:p w:rsidR="004A147C" w:rsidRPr="004F14A8" w:rsidRDefault="004A147C" w:rsidP="00CE5850">
            <w:pPr>
              <w:pStyle w:val="ParaNum"/>
              <w:tabs>
                <w:tab w:val="clear" w:pos="1440"/>
              </w:tabs>
              <w:ind w:firstLine="0"/>
              <w:rPr>
                <w:sz w:val="22"/>
                <w:szCs w:val="22"/>
              </w:rPr>
            </w:pPr>
            <w:r w:rsidRPr="004F14A8">
              <w:rPr>
                <w:sz w:val="22"/>
                <w:szCs w:val="22"/>
              </w:rPr>
              <w:t>$49.99</w:t>
            </w:r>
          </w:p>
        </w:tc>
        <w:tc>
          <w:tcPr>
            <w:tcW w:w="0" w:type="auto"/>
            <w:vMerge/>
          </w:tcPr>
          <w:p w:rsidR="004A147C" w:rsidRPr="004F14A8" w:rsidRDefault="004A147C" w:rsidP="00CE5850">
            <w:pPr>
              <w:pStyle w:val="ParaNum"/>
              <w:tabs>
                <w:tab w:val="clear" w:pos="1440"/>
              </w:tabs>
              <w:ind w:firstLine="0"/>
              <w:rPr>
                <w:sz w:val="22"/>
                <w:szCs w:val="22"/>
              </w:rPr>
            </w:pPr>
          </w:p>
        </w:tc>
        <w:tc>
          <w:tcPr>
            <w:tcW w:w="1618" w:type="dxa"/>
            <w:vMerge/>
          </w:tcPr>
          <w:p w:rsidR="004A147C" w:rsidRPr="004F14A8" w:rsidRDefault="004A147C" w:rsidP="00CE5850">
            <w:pPr>
              <w:pStyle w:val="ParaNum"/>
              <w:tabs>
                <w:tab w:val="clear" w:pos="1440"/>
              </w:tabs>
              <w:ind w:firstLine="0"/>
              <w:rPr>
                <w:sz w:val="22"/>
                <w:szCs w:val="22"/>
              </w:rPr>
            </w:pPr>
          </w:p>
        </w:tc>
      </w:tr>
      <w:tr w:rsidR="004A147C" w:rsidRPr="00B53FFB" w:rsidTr="00D80544">
        <w:trPr>
          <w:jc w:val="center"/>
        </w:trPr>
        <w:tc>
          <w:tcPr>
            <w:tcW w:w="0" w:type="auto"/>
            <w:vMerge/>
          </w:tcPr>
          <w:p w:rsidR="004A147C" w:rsidRPr="004F14A8" w:rsidRDefault="004A147C" w:rsidP="00CE5850">
            <w:pPr>
              <w:pStyle w:val="ParaNum"/>
              <w:tabs>
                <w:tab w:val="clear" w:pos="1440"/>
              </w:tabs>
              <w:ind w:firstLine="0"/>
              <w:rPr>
                <w:sz w:val="22"/>
                <w:szCs w:val="22"/>
              </w:rPr>
            </w:pPr>
          </w:p>
        </w:tc>
        <w:tc>
          <w:tcPr>
            <w:tcW w:w="0" w:type="auto"/>
          </w:tcPr>
          <w:p w:rsidR="004A147C" w:rsidRPr="004F14A8" w:rsidRDefault="004A147C" w:rsidP="00CE5850">
            <w:pPr>
              <w:pStyle w:val="ParaNum"/>
              <w:tabs>
                <w:tab w:val="clear" w:pos="1440"/>
              </w:tabs>
              <w:ind w:firstLine="0"/>
              <w:rPr>
                <w:sz w:val="22"/>
                <w:szCs w:val="22"/>
              </w:rPr>
            </w:pPr>
            <w:r w:rsidRPr="004F14A8">
              <w:rPr>
                <w:sz w:val="22"/>
                <w:szCs w:val="22"/>
              </w:rPr>
              <w:t>10 GB</w:t>
            </w:r>
          </w:p>
        </w:tc>
        <w:tc>
          <w:tcPr>
            <w:tcW w:w="0" w:type="auto"/>
          </w:tcPr>
          <w:p w:rsidR="004A147C" w:rsidRPr="004F14A8" w:rsidRDefault="004A147C" w:rsidP="00CE5850">
            <w:pPr>
              <w:pStyle w:val="ParaNum"/>
              <w:tabs>
                <w:tab w:val="clear" w:pos="1440"/>
              </w:tabs>
              <w:ind w:firstLine="0"/>
              <w:rPr>
                <w:sz w:val="22"/>
                <w:szCs w:val="22"/>
              </w:rPr>
            </w:pPr>
            <w:r w:rsidRPr="004F14A8">
              <w:rPr>
                <w:sz w:val="22"/>
                <w:szCs w:val="22"/>
              </w:rPr>
              <w:t>$79.99</w:t>
            </w:r>
          </w:p>
        </w:tc>
        <w:tc>
          <w:tcPr>
            <w:tcW w:w="0" w:type="auto"/>
            <w:vMerge/>
          </w:tcPr>
          <w:p w:rsidR="004A147C" w:rsidRPr="004F14A8" w:rsidRDefault="004A147C" w:rsidP="00CE5850">
            <w:pPr>
              <w:pStyle w:val="ParaNum"/>
              <w:tabs>
                <w:tab w:val="clear" w:pos="1440"/>
              </w:tabs>
              <w:ind w:firstLine="0"/>
              <w:rPr>
                <w:sz w:val="22"/>
                <w:szCs w:val="22"/>
              </w:rPr>
            </w:pPr>
          </w:p>
        </w:tc>
        <w:tc>
          <w:tcPr>
            <w:tcW w:w="1618" w:type="dxa"/>
            <w:vMerge/>
          </w:tcPr>
          <w:p w:rsidR="004A147C" w:rsidRPr="004F14A8" w:rsidRDefault="004A147C" w:rsidP="00CE5850">
            <w:pPr>
              <w:pStyle w:val="ParaNum"/>
              <w:tabs>
                <w:tab w:val="clear" w:pos="1440"/>
              </w:tabs>
              <w:ind w:firstLine="0"/>
              <w:rPr>
                <w:sz w:val="22"/>
                <w:szCs w:val="22"/>
              </w:rPr>
            </w:pPr>
          </w:p>
        </w:tc>
      </w:tr>
    </w:tbl>
    <w:p w:rsidR="004A147C" w:rsidRPr="00B53FFB" w:rsidRDefault="004A147C" w:rsidP="00CE5850">
      <w:pPr>
        <w:pStyle w:val="ParaNum"/>
        <w:tabs>
          <w:tab w:val="clear" w:pos="1440"/>
        </w:tabs>
        <w:ind w:firstLine="0"/>
        <w:rPr>
          <w:sz w:val="22"/>
          <w:szCs w:val="22"/>
        </w:rPr>
      </w:pPr>
    </w:p>
    <w:p w:rsidR="004A147C" w:rsidRPr="00B53FFB" w:rsidRDefault="004A147C" w:rsidP="00CE5850">
      <w:pPr>
        <w:pStyle w:val="Heading3"/>
        <w:keepNext w:val="0"/>
        <w:numPr>
          <w:ilvl w:val="2"/>
          <w:numId w:val="26"/>
        </w:numPr>
        <w:tabs>
          <w:tab w:val="left" w:pos="2160"/>
        </w:tabs>
        <w:rPr>
          <w:sz w:val="22"/>
          <w:szCs w:val="22"/>
        </w:rPr>
      </w:pPr>
      <w:bookmarkStart w:id="2137" w:name="_Toc209948478"/>
      <w:bookmarkStart w:id="2138" w:name="_Toc209948587"/>
      <w:bookmarkStart w:id="2139" w:name="_Toc209950029"/>
      <w:bookmarkStart w:id="2140" w:name="_Toc210211485"/>
      <w:bookmarkStart w:id="2141" w:name="_Toc210213052"/>
      <w:bookmarkStart w:id="2142" w:name="_Toc210213191"/>
      <w:bookmarkStart w:id="2143" w:name="_Toc210213752"/>
      <w:bookmarkStart w:id="2144" w:name="_Toc212967976"/>
      <w:bookmarkStart w:id="2145" w:name="_Toc215316378"/>
      <w:bookmarkStart w:id="2146" w:name="_Toc215384632"/>
      <w:bookmarkStart w:id="2147" w:name="_Ref217795869"/>
      <w:bookmarkStart w:id="2148" w:name="_Ref217795890"/>
      <w:bookmarkStart w:id="2149" w:name="_Toc217810498"/>
      <w:bookmarkStart w:id="2150" w:name="_Ref260254714"/>
      <w:bookmarkStart w:id="2151" w:name="_Toc261610772"/>
      <w:bookmarkStart w:id="2152" w:name="_Toc261858505"/>
      <w:bookmarkStart w:id="2153" w:name="_Toc262034310"/>
      <w:bookmarkStart w:id="2154" w:name="_Toc262034413"/>
      <w:bookmarkStart w:id="2155" w:name="_Toc275517969"/>
      <w:bookmarkStart w:id="2156" w:name="_Toc275952409"/>
      <w:bookmarkStart w:id="2157" w:name="_Toc276121841"/>
      <w:bookmarkStart w:id="2158" w:name="_Toc276480678"/>
      <w:bookmarkStart w:id="2159" w:name="_Toc276741755"/>
      <w:bookmarkStart w:id="2160" w:name="_Toc277171519"/>
      <w:bookmarkStart w:id="2161" w:name="_Toc277864494"/>
      <w:bookmarkStart w:id="2162" w:name="_Toc277864710"/>
      <w:bookmarkStart w:id="2163" w:name="_Ref283292826"/>
      <w:bookmarkStart w:id="2164" w:name="_Ref283292832"/>
      <w:bookmarkStart w:id="2165" w:name="_Toc285810391"/>
      <w:bookmarkStart w:id="2166" w:name="_Toc287257785"/>
      <w:bookmarkStart w:id="2167" w:name="_Ref287263301"/>
      <w:bookmarkStart w:id="2168" w:name="_Toc291758664"/>
      <w:bookmarkStart w:id="2169" w:name="_Toc291758767"/>
      <w:bookmarkStart w:id="2170" w:name="_Toc295392947"/>
      <w:bookmarkStart w:id="2171" w:name="_Toc329262498"/>
      <w:bookmarkStart w:id="2172" w:name="_Toc329852405"/>
      <w:bookmarkStart w:id="2173" w:name="_Toc331766321"/>
      <w:bookmarkStart w:id="2174" w:name="_Toc332119116"/>
      <w:bookmarkStart w:id="2175" w:name="_Toc334088793"/>
      <w:bookmarkStart w:id="2176" w:name="_Toc334089029"/>
      <w:bookmarkStart w:id="2177" w:name="_Toc334089188"/>
      <w:bookmarkStart w:id="2178" w:name="_Toc334089299"/>
      <w:bookmarkStart w:id="2179" w:name="_Toc334089463"/>
      <w:bookmarkStart w:id="2180" w:name="_Toc335839041"/>
      <w:bookmarkStart w:id="2181" w:name="_Toc336268604"/>
      <w:bookmarkStart w:id="2182" w:name="_Toc336268712"/>
      <w:bookmarkStart w:id="2183" w:name="_Toc336268819"/>
      <w:bookmarkStart w:id="2184" w:name="_Toc336269033"/>
      <w:bookmarkStart w:id="2185" w:name="_Toc336269140"/>
      <w:bookmarkStart w:id="2186" w:name="_Toc336269508"/>
      <w:bookmarkStart w:id="2187" w:name="_Toc336269654"/>
      <w:bookmarkStart w:id="2188" w:name="_Toc336270067"/>
      <w:bookmarkStart w:id="2189" w:name="_Toc336271267"/>
      <w:bookmarkStart w:id="2190" w:name="_Toc337651968"/>
      <w:bookmarkStart w:id="2191" w:name="_Toc349577156"/>
      <w:bookmarkStart w:id="2192" w:name="_Toc349579248"/>
      <w:bookmarkStart w:id="2193" w:name="_Toc349580563"/>
      <w:bookmarkStart w:id="2194" w:name="_Toc349734971"/>
      <w:bookmarkStart w:id="2195" w:name="_Toc349742336"/>
      <w:r w:rsidRPr="00B53FFB">
        <w:rPr>
          <w:sz w:val="22"/>
          <w:szCs w:val="22"/>
        </w:rPr>
        <w:t>Prepaid Service</w:t>
      </w:r>
      <w:bookmarkEnd w:id="1940"/>
      <w:bookmarkEnd w:id="1941"/>
      <w:bookmarkEnd w:id="1942"/>
      <w:bookmarkEnd w:id="1943"/>
      <w:bookmarkEnd w:id="1944"/>
      <w:bookmarkEnd w:id="1945"/>
      <w:bookmarkEnd w:id="1946"/>
      <w:bookmarkEnd w:id="1947"/>
      <w:bookmarkEnd w:id="1948"/>
      <w:bookmarkEnd w:id="1949"/>
      <w:bookmarkEnd w:id="1950"/>
      <w:bookmarkEnd w:id="1951"/>
      <w:bookmarkEnd w:id="1952"/>
      <w:bookmarkEnd w:id="1953"/>
      <w:bookmarkEnd w:id="1954"/>
      <w:bookmarkEnd w:id="1955"/>
      <w:bookmarkEnd w:id="1956"/>
      <w:bookmarkEnd w:id="1957"/>
      <w:bookmarkEnd w:id="1958"/>
      <w:bookmarkEnd w:id="1959"/>
      <w:bookmarkEnd w:id="1960"/>
      <w:bookmarkEnd w:id="1961"/>
      <w:bookmarkEnd w:id="1962"/>
      <w:bookmarkEnd w:id="1963"/>
      <w:bookmarkEnd w:id="1964"/>
      <w:bookmarkEnd w:id="1965"/>
      <w:bookmarkEnd w:id="1966"/>
      <w:bookmarkEnd w:id="1967"/>
      <w:bookmarkEnd w:id="1968"/>
      <w:bookmarkEnd w:id="1969"/>
      <w:bookmarkEnd w:id="1970"/>
      <w:bookmarkEnd w:id="1971"/>
      <w:bookmarkEnd w:id="1972"/>
      <w:bookmarkEnd w:id="1973"/>
      <w:bookmarkEnd w:id="1974"/>
      <w:bookmarkEnd w:id="1975"/>
      <w:bookmarkEnd w:id="1976"/>
      <w:bookmarkEnd w:id="1977"/>
      <w:bookmarkEnd w:id="1978"/>
      <w:bookmarkEnd w:id="1979"/>
      <w:bookmarkEnd w:id="1980"/>
      <w:bookmarkEnd w:id="1981"/>
      <w:bookmarkEnd w:id="1982"/>
      <w:bookmarkEnd w:id="1983"/>
      <w:bookmarkEnd w:id="1984"/>
      <w:bookmarkEnd w:id="1985"/>
      <w:bookmarkEnd w:id="1986"/>
      <w:bookmarkEnd w:id="1987"/>
      <w:bookmarkEnd w:id="1988"/>
      <w:bookmarkEnd w:id="1989"/>
      <w:bookmarkEnd w:id="1990"/>
      <w:bookmarkEnd w:id="1991"/>
      <w:bookmarkEnd w:id="1992"/>
      <w:bookmarkEnd w:id="2137"/>
      <w:bookmarkEnd w:id="2138"/>
      <w:bookmarkEnd w:id="2139"/>
      <w:bookmarkEnd w:id="2140"/>
      <w:bookmarkEnd w:id="2141"/>
      <w:bookmarkEnd w:id="2142"/>
      <w:bookmarkEnd w:id="2143"/>
      <w:bookmarkEnd w:id="2144"/>
      <w:bookmarkEnd w:id="2145"/>
      <w:bookmarkEnd w:id="2146"/>
      <w:bookmarkEnd w:id="2147"/>
      <w:bookmarkEnd w:id="2148"/>
      <w:bookmarkEnd w:id="2149"/>
      <w:bookmarkEnd w:id="2150"/>
      <w:bookmarkEnd w:id="2151"/>
      <w:bookmarkEnd w:id="2152"/>
      <w:bookmarkEnd w:id="2153"/>
      <w:bookmarkEnd w:id="2154"/>
      <w:bookmarkEnd w:id="2155"/>
      <w:bookmarkEnd w:id="2156"/>
      <w:bookmarkEnd w:id="2157"/>
      <w:bookmarkEnd w:id="2158"/>
      <w:bookmarkEnd w:id="2159"/>
      <w:bookmarkEnd w:id="2160"/>
      <w:bookmarkEnd w:id="2161"/>
      <w:bookmarkEnd w:id="2162"/>
      <w:bookmarkEnd w:id="2163"/>
      <w:bookmarkEnd w:id="2164"/>
      <w:bookmarkEnd w:id="2165"/>
      <w:bookmarkEnd w:id="2166"/>
      <w:bookmarkEnd w:id="2167"/>
      <w:bookmarkEnd w:id="2168"/>
      <w:bookmarkEnd w:id="2169"/>
      <w:bookmarkEnd w:id="2170"/>
      <w:bookmarkEnd w:id="2171"/>
      <w:bookmarkEnd w:id="2172"/>
      <w:bookmarkEnd w:id="2173"/>
      <w:bookmarkEnd w:id="2174"/>
      <w:bookmarkEnd w:id="2175"/>
      <w:bookmarkEnd w:id="2176"/>
      <w:bookmarkEnd w:id="2177"/>
      <w:bookmarkEnd w:id="2178"/>
      <w:bookmarkEnd w:id="2179"/>
      <w:bookmarkEnd w:id="2180"/>
      <w:bookmarkEnd w:id="2181"/>
      <w:bookmarkEnd w:id="2182"/>
      <w:bookmarkEnd w:id="2183"/>
      <w:bookmarkEnd w:id="2184"/>
      <w:bookmarkEnd w:id="2185"/>
      <w:bookmarkEnd w:id="2186"/>
      <w:bookmarkEnd w:id="2187"/>
      <w:bookmarkEnd w:id="2188"/>
      <w:bookmarkEnd w:id="2189"/>
      <w:bookmarkEnd w:id="2190"/>
      <w:bookmarkEnd w:id="2191"/>
      <w:bookmarkEnd w:id="2192"/>
      <w:bookmarkEnd w:id="2193"/>
      <w:bookmarkEnd w:id="2194"/>
      <w:bookmarkEnd w:id="2195"/>
    </w:p>
    <w:p w:rsidR="004A147C" w:rsidRPr="00F83BFA" w:rsidRDefault="004A147C" w:rsidP="00CE5850">
      <w:pPr>
        <w:pStyle w:val="ParaNum"/>
        <w:numPr>
          <w:ilvl w:val="0"/>
          <w:numId w:val="28"/>
        </w:numPr>
        <w:rPr>
          <w:sz w:val="22"/>
          <w:szCs w:val="22"/>
        </w:rPr>
      </w:pPr>
      <w:r w:rsidRPr="00F83BFA">
        <w:rPr>
          <w:sz w:val="22"/>
          <w:szCs w:val="22"/>
        </w:rPr>
        <w:t>Prepaid plans typically yield lower average monthly revenue per user (ARPU) and higher churn rates for service providers in comparison to postpaid service.</w:t>
      </w:r>
      <w:r w:rsidRPr="00F83BFA">
        <w:rPr>
          <w:bCs/>
          <w:sz w:val="22"/>
          <w:szCs w:val="22"/>
          <w:vertAlign w:val="superscript"/>
        </w:rPr>
        <w:footnoteReference w:id="498"/>
      </w:r>
      <w:r w:rsidRPr="00F83BFA">
        <w:rPr>
          <w:sz w:val="22"/>
          <w:szCs w:val="22"/>
        </w:rPr>
        <w:t xml:space="preserve">  For these reasons, initially the industry did not heavily promote prepaid offerings.</w:t>
      </w:r>
      <w:r w:rsidRPr="00F83BFA">
        <w:rPr>
          <w:bCs/>
          <w:sz w:val="22"/>
          <w:szCs w:val="22"/>
          <w:vertAlign w:val="superscript"/>
        </w:rPr>
        <w:footnoteReference w:id="499"/>
      </w:r>
      <w:r w:rsidRPr="00F83BFA">
        <w:rPr>
          <w:sz w:val="22"/>
          <w:szCs w:val="22"/>
        </w:rPr>
        <w:t xml:space="preserve">  Subsequently, however, the pool of unsubscribed customers that met the credit requirements for postpaid plans declined to the point where prepaid offerings, which do not require credit checks, became more attractive to more service providers.</w:t>
      </w:r>
      <w:r w:rsidRPr="00F83BFA">
        <w:rPr>
          <w:bCs/>
          <w:sz w:val="22"/>
          <w:szCs w:val="22"/>
          <w:vertAlign w:val="superscript"/>
        </w:rPr>
        <w:footnoteReference w:id="500"/>
      </w:r>
      <w:r w:rsidRPr="00F83BFA">
        <w:rPr>
          <w:sz w:val="22"/>
          <w:szCs w:val="22"/>
        </w:rPr>
        <w:t xml:space="preserve">  In recent years there has been growth in unlimited prepaid service offerings,</w:t>
      </w:r>
      <w:r w:rsidRPr="00F83BFA">
        <w:rPr>
          <w:sz w:val="22"/>
          <w:szCs w:val="22"/>
          <w:vertAlign w:val="superscript"/>
        </w:rPr>
        <w:footnoteReference w:id="501"/>
      </w:r>
      <w:r w:rsidRPr="00F83BFA">
        <w:rPr>
          <w:sz w:val="22"/>
          <w:szCs w:val="22"/>
        </w:rPr>
        <w:t xml:space="preserve"> and prepaid service providers took actions to compete aggressively for customers of smartphones and other data devices.</w:t>
      </w:r>
      <w:r w:rsidRPr="00F83BFA">
        <w:rPr>
          <w:sz w:val="22"/>
          <w:szCs w:val="22"/>
          <w:vertAlign w:val="superscript"/>
        </w:rPr>
        <w:t xml:space="preserve"> </w:t>
      </w:r>
      <w:r w:rsidRPr="00F83BFA">
        <w:rPr>
          <w:sz w:val="22"/>
          <w:szCs w:val="22"/>
          <w:vertAlign w:val="superscript"/>
        </w:rPr>
        <w:footnoteReference w:id="502"/>
      </w:r>
      <w:r w:rsidRPr="00F83BFA">
        <w:rPr>
          <w:sz w:val="22"/>
          <w:szCs w:val="22"/>
        </w:rPr>
        <w:t xml:space="preserve">  Leading this trend, MetroPCS and Leap added new smartphones to their handset line-ups and introduced higher-tier pricing plans for smartphones.</w:t>
      </w:r>
      <w:r w:rsidRPr="00F83BFA">
        <w:rPr>
          <w:sz w:val="22"/>
          <w:szCs w:val="22"/>
          <w:vertAlign w:val="superscript"/>
        </w:rPr>
        <w:footnoteReference w:id="503"/>
      </w:r>
      <w:r w:rsidRPr="00F83BFA">
        <w:rPr>
          <w:sz w:val="22"/>
          <w:szCs w:val="22"/>
        </w:rPr>
        <w:t xml:space="preserve">  Prepaid smartphone penetration reached 25 and 27 percent in the second quarter of 2011 for MetroPCS and Leap, respectively.</w:t>
      </w:r>
      <w:r w:rsidRPr="00F83BFA">
        <w:rPr>
          <w:sz w:val="22"/>
          <w:szCs w:val="22"/>
          <w:vertAlign w:val="superscript"/>
        </w:rPr>
        <w:footnoteReference w:id="504"/>
      </w:r>
      <w:r w:rsidRPr="00F83BFA">
        <w:rPr>
          <w:sz w:val="22"/>
          <w:szCs w:val="22"/>
        </w:rPr>
        <w:t xml:space="preserve">  </w:t>
      </w:r>
    </w:p>
    <w:p w:rsidR="004A147C" w:rsidRPr="00F83BFA" w:rsidRDefault="004A147C" w:rsidP="00CE5850">
      <w:pPr>
        <w:pStyle w:val="ParaNum"/>
        <w:numPr>
          <w:ilvl w:val="0"/>
          <w:numId w:val="28"/>
        </w:numPr>
        <w:rPr>
          <w:sz w:val="22"/>
          <w:szCs w:val="22"/>
        </w:rPr>
      </w:pPr>
      <w:r w:rsidRPr="00F83BFA">
        <w:rPr>
          <w:sz w:val="22"/>
          <w:szCs w:val="22"/>
        </w:rPr>
        <w:t>Accompanying the growth of unlimited and tiered prepaid offerings, there is a trend towards lower per-minute rates and increased usage and ARPU in prepaid services.  As a result, analysts believe that the market for prepaid service is divided into a low-end segment and a high-end segment.</w:t>
      </w:r>
      <w:r w:rsidRPr="00F83BFA">
        <w:rPr>
          <w:sz w:val="22"/>
          <w:szCs w:val="22"/>
          <w:vertAlign w:val="superscript"/>
        </w:rPr>
        <w:footnoteReference w:id="505"/>
      </w:r>
      <w:r w:rsidRPr="00F83BFA">
        <w:rPr>
          <w:sz w:val="22"/>
          <w:szCs w:val="22"/>
        </w:rPr>
        <w:t xml:space="preserve">  The low-end prepaid segment comprises traditional pay-as-you-go prepaid service, while the high-end prepaid segment encompasses unlimited and tiered service plans, especially those that include data.  The following discussion of developments in prepaid pricing plans discusses first the high-end and then the low-end prepaid segments.</w:t>
      </w:r>
    </w:p>
    <w:p w:rsidR="004A147C" w:rsidRPr="00F83BFA" w:rsidRDefault="004A147C" w:rsidP="00CE5850">
      <w:pPr>
        <w:pStyle w:val="ParaNum"/>
        <w:numPr>
          <w:ilvl w:val="0"/>
          <w:numId w:val="28"/>
        </w:numPr>
        <w:rPr>
          <w:sz w:val="22"/>
          <w:szCs w:val="22"/>
        </w:rPr>
      </w:pPr>
      <w:r w:rsidRPr="00F83BFA">
        <w:rPr>
          <w:i/>
          <w:sz w:val="22"/>
          <w:szCs w:val="22"/>
        </w:rPr>
        <w:t>High-End Segment Prepaid Plans</w:t>
      </w:r>
      <w:r w:rsidRPr="00F83BFA">
        <w:rPr>
          <w:sz w:val="22"/>
          <w:szCs w:val="22"/>
        </w:rPr>
        <w:t xml:space="preserve">.  The following discussion of the high-end prepaid segment focuses on two trends, both of which were highlighted in the </w:t>
      </w:r>
      <w:r w:rsidRPr="00F83BFA">
        <w:rPr>
          <w:i/>
          <w:sz w:val="22"/>
          <w:szCs w:val="22"/>
        </w:rPr>
        <w:t>Fifteenth Report</w:t>
      </w:r>
      <w:r w:rsidRPr="00F83BFA">
        <w:rPr>
          <w:sz w:val="22"/>
          <w:szCs w:val="22"/>
        </w:rPr>
        <w:t>.</w:t>
      </w:r>
      <w:r w:rsidRPr="00F83BFA">
        <w:rPr>
          <w:sz w:val="22"/>
          <w:szCs w:val="22"/>
          <w:vertAlign w:val="superscript"/>
        </w:rPr>
        <w:footnoteReference w:id="506"/>
      </w:r>
      <w:r w:rsidRPr="00F83BFA">
        <w:rPr>
          <w:sz w:val="22"/>
          <w:szCs w:val="22"/>
        </w:rPr>
        <w:t xml:space="preserve">  </w:t>
      </w:r>
      <w:r w:rsidR="00566B9F" w:rsidRPr="00F83BFA">
        <w:rPr>
          <w:sz w:val="22"/>
          <w:szCs w:val="22"/>
        </w:rPr>
        <w:t xml:space="preserve">The first is the continued entry of the nationwide service providers into the unlimited and tiered prepaid segment, and the second is the continued movement by prepaid service providers into data services for smartphone users.  As explained below, the high-end prepaid segment is evolving to tiered plans due to the movement of prepaid service providers into smartphone data services and the strain that heavy bandwidth consumption by smartphone data users puts on network management. </w:t>
      </w:r>
      <w:r w:rsidRPr="00F83BFA">
        <w:rPr>
          <w:sz w:val="22"/>
          <w:szCs w:val="22"/>
        </w:rPr>
        <w:t xml:space="preserve"> Faced with network capacity constraints, some prepaid service providers are beginning to respond with plan changes designed to limit bandwidth use, including reductions in data connection speeds when usage exceeds a monthly allowance. </w:t>
      </w:r>
    </w:p>
    <w:p w:rsidR="004A147C" w:rsidRPr="00F83BFA" w:rsidRDefault="004A147C" w:rsidP="00CE5850">
      <w:pPr>
        <w:pStyle w:val="ParaNum"/>
        <w:numPr>
          <w:ilvl w:val="0"/>
          <w:numId w:val="28"/>
        </w:numPr>
        <w:rPr>
          <w:sz w:val="22"/>
          <w:szCs w:val="22"/>
        </w:rPr>
      </w:pPr>
      <w:r w:rsidRPr="00F83BFA">
        <w:rPr>
          <w:sz w:val="22"/>
          <w:szCs w:val="22"/>
        </w:rPr>
        <w:t>Multi-metro providers Leap and MetroPCS were the earliest retailers of unlimited prepaid talk, text, and data offerings.</w:t>
      </w:r>
      <w:r w:rsidRPr="00F83BFA">
        <w:rPr>
          <w:sz w:val="22"/>
          <w:szCs w:val="22"/>
          <w:vertAlign w:val="superscript"/>
        </w:rPr>
        <w:footnoteReference w:id="507"/>
      </w:r>
      <w:r w:rsidRPr="00F83BFA">
        <w:rPr>
          <w:sz w:val="22"/>
          <w:szCs w:val="22"/>
        </w:rPr>
        <w:t xml:space="preserve">  In recent years, the nationwide service providers have entered this segment directly via their own prepaid brands and indirectly through wholesale arrangements with resellers.  Unlimited offerings from Sprint Nextel’s Virgin Mobile and Boost Mobile prepaid brands were among the first examples of this trend.  They were followed by TracFone’s “Straight Talk” service, which was launched on Verizon Wireless’s network in 2009.</w:t>
      </w:r>
      <w:r w:rsidRPr="00F83BFA">
        <w:rPr>
          <w:sz w:val="22"/>
          <w:szCs w:val="22"/>
          <w:vertAlign w:val="superscript"/>
        </w:rPr>
        <w:footnoteReference w:id="508"/>
      </w:r>
      <w:r w:rsidRPr="00F83BFA">
        <w:rPr>
          <w:sz w:val="22"/>
          <w:szCs w:val="22"/>
        </w:rPr>
        <w:t xml:space="preserve">    </w:t>
      </w:r>
    </w:p>
    <w:p w:rsidR="004A147C" w:rsidRPr="00F83BFA" w:rsidRDefault="004A147C" w:rsidP="00CE5850">
      <w:pPr>
        <w:pStyle w:val="ParaNum"/>
        <w:numPr>
          <w:ilvl w:val="0"/>
          <w:numId w:val="28"/>
        </w:numPr>
        <w:rPr>
          <w:sz w:val="22"/>
          <w:szCs w:val="22"/>
        </w:rPr>
      </w:pPr>
      <w:r w:rsidRPr="00F83BFA">
        <w:rPr>
          <w:sz w:val="22"/>
          <w:szCs w:val="22"/>
        </w:rPr>
        <w:t>Today, TracFone’s Straight Talk service runs on the networks of all four nationwide service providers.</w:t>
      </w:r>
      <w:r w:rsidRPr="00F83BFA">
        <w:rPr>
          <w:sz w:val="22"/>
          <w:szCs w:val="22"/>
          <w:vertAlign w:val="superscript"/>
        </w:rPr>
        <w:footnoteReference w:id="509"/>
      </w:r>
      <w:r w:rsidRPr="00F83BFA">
        <w:rPr>
          <w:sz w:val="22"/>
          <w:szCs w:val="22"/>
        </w:rPr>
        <w:t xml:space="preserve">  Following its 2009 launch on Verizon Wireless’s CDMA network, in 2010 TracFone expanded Straight Talk to include feature phones that operate on AT&amp;T’s and T-Mobile’s respective GSM networks.</w:t>
      </w:r>
      <w:r w:rsidRPr="00F83BFA">
        <w:rPr>
          <w:sz w:val="22"/>
          <w:szCs w:val="22"/>
          <w:vertAlign w:val="superscript"/>
        </w:rPr>
        <w:footnoteReference w:id="510"/>
      </w:r>
      <w:r w:rsidRPr="00F83BFA">
        <w:rPr>
          <w:sz w:val="22"/>
          <w:szCs w:val="22"/>
        </w:rPr>
        <w:t xml:space="preserve">  In the second half of 2011, Sprint began to support TracFone’s Straight Talk service when it signed an agreement to provide the underlying network for Straight Talk’s first Android smartphone and future Straight Talk Android devices.</w:t>
      </w:r>
      <w:r w:rsidRPr="00F83BFA">
        <w:rPr>
          <w:sz w:val="22"/>
          <w:szCs w:val="22"/>
          <w:vertAlign w:val="superscript"/>
        </w:rPr>
        <w:footnoteReference w:id="511"/>
      </w:r>
      <w:r w:rsidRPr="00F83BFA">
        <w:rPr>
          <w:sz w:val="22"/>
          <w:szCs w:val="22"/>
        </w:rPr>
        <w:t xml:space="preserve">  In January 2012, TracFone expanded its Straight Talk service for Android smartphones by launching a high-end Android smartphone (the LG Optimus 2X) on T-Mobile’s HSPA+ network.</w:t>
      </w:r>
      <w:r w:rsidRPr="00F83BFA">
        <w:rPr>
          <w:sz w:val="22"/>
          <w:szCs w:val="22"/>
          <w:vertAlign w:val="superscript"/>
        </w:rPr>
        <w:footnoteReference w:id="512"/>
      </w:r>
      <w:r w:rsidRPr="00F83BFA">
        <w:rPr>
          <w:sz w:val="22"/>
          <w:szCs w:val="22"/>
        </w:rPr>
        <w:t xml:space="preserve">  The price of the Straight Talk plan with unlimited voice, text, and mobile web access is </w:t>
      </w:r>
      <w:r>
        <w:rPr>
          <w:sz w:val="22"/>
          <w:szCs w:val="22"/>
        </w:rPr>
        <w:t>$</w:t>
      </w:r>
      <w:r w:rsidRPr="00F83BFA">
        <w:rPr>
          <w:sz w:val="22"/>
          <w:szCs w:val="22"/>
        </w:rPr>
        <w:t>45 per month.</w:t>
      </w:r>
      <w:r w:rsidRPr="00F83BFA">
        <w:rPr>
          <w:sz w:val="22"/>
          <w:szCs w:val="22"/>
          <w:vertAlign w:val="superscript"/>
        </w:rPr>
        <w:footnoteReference w:id="513"/>
      </w:r>
      <w:r w:rsidRPr="00F83BFA">
        <w:rPr>
          <w:sz w:val="22"/>
          <w:szCs w:val="22"/>
        </w:rPr>
        <w:t xml:space="preserve">  Straight Talk also offers three months, six months, and one year unlimited data plans that offer discounts to consumers who purchase the plan for longer periods.</w:t>
      </w:r>
      <w:r w:rsidRPr="00F83BFA">
        <w:rPr>
          <w:sz w:val="22"/>
          <w:szCs w:val="22"/>
          <w:vertAlign w:val="superscript"/>
        </w:rPr>
        <w:footnoteReference w:id="514"/>
      </w:r>
    </w:p>
    <w:p w:rsidR="004A147C" w:rsidRPr="00856523" w:rsidRDefault="004A147C" w:rsidP="00CE5850">
      <w:pPr>
        <w:pStyle w:val="ParaNum"/>
        <w:numPr>
          <w:ilvl w:val="0"/>
          <w:numId w:val="28"/>
        </w:numPr>
        <w:rPr>
          <w:b/>
          <w:sz w:val="22"/>
          <w:szCs w:val="22"/>
        </w:rPr>
      </w:pPr>
      <w:r w:rsidRPr="00F83BFA">
        <w:rPr>
          <w:sz w:val="22"/>
          <w:szCs w:val="22"/>
        </w:rPr>
        <w:t xml:space="preserve">The </w:t>
      </w:r>
      <w:r w:rsidRPr="00F83BFA">
        <w:rPr>
          <w:i/>
          <w:sz w:val="22"/>
          <w:szCs w:val="22"/>
        </w:rPr>
        <w:t>Fifteenth Report</w:t>
      </w:r>
      <w:r w:rsidRPr="00F83BFA">
        <w:rPr>
          <w:sz w:val="22"/>
          <w:szCs w:val="22"/>
        </w:rPr>
        <w:t xml:space="preserve"> noted that Verizon Wireless’s earlier decision to support Straight Talk had represented a shift in its business strategy inasmuch as the company had largely avoided the prepaid market prior to the launch of Straight Talk in 2009.</w:t>
      </w:r>
      <w:r w:rsidRPr="00F83BFA">
        <w:rPr>
          <w:sz w:val="22"/>
          <w:szCs w:val="22"/>
          <w:vertAlign w:val="superscript"/>
        </w:rPr>
        <w:footnoteReference w:id="515"/>
      </w:r>
      <w:r w:rsidRPr="00F83BFA">
        <w:rPr>
          <w:sz w:val="22"/>
          <w:szCs w:val="22"/>
        </w:rPr>
        <w:t xml:space="preserve">  Subsequently, Verizon Wireless has increased its presence in the unlimited prepaid segment by launching its own unlimited prepaid brand called “Unleashed.”  As detailed in </w:t>
      </w:r>
      <w:r w:rsidR="005B380F">
        <w:fldChar w:fldCharType="begin"/>
      </w:r>
      <w:r w:rsidR="005B380F">
        <w:instrText xml:space="preserve"> REF _Ref326841843 \h  \* MERGEFORMAT </w:instrText>
      </w:r>
      <w:r w:rsidR="005B380F">
        <w:fldChar w:fldCharType="separate"/>
      </w:r>
      <w:r w:rsidR="00CA3AC6" w:rsidRPr="00CA3AC6">
        <w:rPr>
          <w:sz w:val="22"/>
          <w:szCs w:val="22"/>
        </w:rPr>
        <w:t>Table 26</w:t>
      </w:r>
      <w:r w:rsidR="005B380F">
        <w:fldChar w:fldCharType="end"/>
      </w:r>
      <w:r w:rsidRPr="00F83BFA">
        <w:rPr>
          <w:sz w:val="22"/>
          <w:szCs w:val="22"/>
        </w:rPr>
        <w:t>, while Verizon Wireless’s initial experimentation with unlimited prepaid offerings was confined to regional markets in parts of the Southeast, Florida and Southern California, these were followed by the launch of the Unleashed $50 per month unlimited prepaid plan on a nationwide basis in September 2011.</w:t>
      </w:r>
      <w:r w:rsidRPr="00F83BFA">
        <w:rPr>
          <w:sz w:val="22"/>
          <w:szCs w:val="22"/>
          <w:vertAlign w:val="superscript"/>
        </w:rPr>
        <w:footnoteReference w:id="516"/>
      </w:r>
      <w:r w:rsidRPr="00F83BFA">
        <w:rPr>
          <w:sz w:val="22"/>
          <w:szCs w:val="22"/>
        </w:rPr>
        <w:t xml:space="preserve">  According to analysts, Verizon Wireless launched its own brand of unlimited prepaid plans in response to the success of traditional unlimited prepaid providers (such as MetroPCS) in certain regional markets, and its entry into the unlimited prepaid segment is likely to compete for customers with existing unlimited prepaid providers that offer comparable plans at the same or somewhat lower monthly prices, including MetroPCS ($40 per month), Leap ($45), Sprint Nextel’s Boost Mobile brand ($50)</w:t>
      </w:r>
      <w:r w:rsidR="00BB501B">
        <w:rPr>
          <w:sz w:val="22"/>
          <w:szCs w:val="22"/>
        </w:rPr>
        <w:t xml:space="preserve"> </w:t>
      </w:r>
      <w:r w:rsidRPr="00F83BFA">
        <w:rPr>
          <w:sz w:val="22"/>
          <w:szCs w:val="22"/>
        </w:rPr>
        <w:t>and TracFone’s Straight Talk service ($45).</w:t>
      </w:r>
      <w:r w:rsidRPr="00F83BFA">
        <w:rPr>
          <w:sz w:val="22"/>
          <w:szCs w:val="22"/>
          <w:vertAlign w:val="superscript"/>
        </w:rPr>
        <w:footnoteReference w:id="517"/>
      </w:r>
      <w:r w:rsidRPr="00F83BFA">
        <w:rPr>
          <w:sz w:val="22"/>
          <w:szCs w:val="22"/>
        </w:rPr>
        <w:t xml:space="preserve">  </w:t>
      </w:r>
    </w:p>
    <w:p w:rsidR="00856523" w:rsidRDefault="00856523" w:rsidP="00856523">
      <w:pPr>
        <w:pStyle w:val="ParaNum"/>
        <w:tabs>
          <w:tab w:val="clear" w:pos="1440"/>
        </w:tabs>
        <w:rPr>
          <w:sz w:val="22"/>
          <w:szCs w:val="22"/>
        </w:rPr>
      </w:pPr>
    </w:p>
    <w:p w:rsidR="00856523" w:rsidRDefault="00856523" w:rsidP="00856523">
      <w:pPr>
        <w:pStyle w:val="ParaNum"/>
        <w:tabs>
          <w:tab w:val="clear" w:pos="1440"/>
        </w:tabs>
        <w:rPr>
          <w:sz w:val="22"/>
          <w:szCs w:val="22"/>
        </w:rPr>
      </w:pPr>
    </w:p>
    <w:p w:rsidR="00856523" w:rsidRDefault="00856523" w:rsidP="00856523">
      <w:pPr>
        <w:pStyle w:val="ParaNum"/>
        <w:tabs>
          <w:tab w:val="clear" w:pos="1440"/>
        </w:tabs>
        <w:rPr>
          <w:sz w:val="22"/>
          <w:szCs w:val="22"/>
        </w:rPr>
      </w:pPr>
    </w:p>
    <w:p w:rsidR="00856523" w:rsidRDefault="00856523" w:rsidP="00856523">
      <w:pPr>
        <w:pStyle w:val="ParaNum"/>
        <w:tabs>
          <w:tab w:val="clear" w:pos="1440"/>
        </w:tabs>
        <w:rPr>
          <w:sz w:val="22"/>
          <w:szCs w:val="22"/>
        </w:rPr>
      </w:pPr>
    </w:p>
    <w:p w:rsidR="00856523" w:rsidRPr="00F83BFA" w:rsidRDefault="00856523" w:rsidP="00856523">
      <w:pPr>
        <w:pStyle w:val="ParaNum"/>
        <w:tabs>
          <w:tab w:val="clear" w:pos="1440"/>
        </w:tabs>
        <w:rPr>
          <w:b/>
          <w:sz w:val="22"/>
          <w:szCs w:val="22"/>
        </w:rPr>
      </w:pPr>
    </w:p>
    <w:p w:rsidR="004A147C" w:rsidRPr="00F83BFA" w:rsidRDefault="004A147C" w:rsidP="00CE5850">
      <w:pPr>
        <w:pStyle w:val="ListParagraph"/>
        <w:ind w:left="0"/>
        <w:jc w:val="center"/>
        <w:rPr>
          <w:b/>
        </w:rPr>
      </w:pPr>
      <w:bookmarkStart w:id="2196" w:name="_Ref326841843"/>
      <w:r w:rsidRPr="00F83BFA">
        <w:rPr>
          <w:b/>
        </w:rPr>
        <w:t xml:space="preserve">Table </w:t>
      </w:r>
      <w:r w:rsidR="0007014B" w:rsidRPr="00F83BFA">
        <w:rPr>
          <w:b/>
        </w:rPr>
        <w:fldChar w:fldCharType="begin"/>
      </w:r>
      <w:r w:rsidRPr="00F83BFA">
        <w:rPr>
          <w:b/>
        </w:rPr>
        <w:instrText xml:space="preserve"> SEQ Table \* ARABIC </w:instrText>
      </w:r>
      <w:r w:rsidR="0007014B" w:rsidRPr="00F83BFA">
        <w:rPr>
          <w:b/>
        </w:rPr>
        <w:fldChar w:fldCharType="separate"/>
      </w:r>
      <w:r w:rsidR="00CA3AC6">
        <w:rPr>
          <w:b/>
          <w:noProof/>
        </w:rPr>
        <w:t>26</w:t>
      </w:r>
      <w:r w:rsidR="0007014B" w:rsidRPr="00F83BFA">
        <w:rPr>
          <w:b/>
        </w:rPr>
        <w:fldChar w:fldCharType="end"/>
      </w:r>
      <w:bookmarkEnd w:id="2196"/>
    </w:p>
    <w:p w:rsidR="004A147C" w:rsidRPr="00F83BFA" w:rsidRDefault="004A147C" w:rsidP="00CE5850">
      <w:pPr>
        <w:pStyle w:val="ListParagraph"/>
        <w:spacing w:after="120"/>
        <w:ind w:left="1440"/>
        <w:jc w:val="center"/>
        <w:rPr>
          <w:b/>
        </w:rPr>
      </w:pPr>
      <w:r w:rsidRPr="00F83BFA">
        <w:rPr>
          <w:b/>
        </w:rPr>
        <w:t>Verizon Wireless:  Development of Unlimited Prepaid Offerings, Jul. 2010-2011</w:t>
      </w:r>
      <w:r w:rsidRPr="00FE5EC9">
        <w:rPr>
          <w:vertAlign w:val="superscript"/>
        </w:rPr>
        <w:footnoteReference w:id="518"/>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012"/>
        <w:gridCol w:w="1503"/>
        <w:gridCol w:w="1522"/>
        <w:gridCol w:w="1133"/>
        <w:gridCol w:w="1589"/>
        <w:gridCol w:w="2817"/>
      </w:tblGrid>
      <w:tr w:rsidR="004A147C" w:rsidRPr="00FE5EC9" w:rsidTr="006D773A">
        <w:tc>
          <w:tcPr>
            <w:tcW w:w="0" w:type="auto"/>
          </w:tcPr>
          <w:p w:rsidR="004A147C" w:rsidRPr="00FE5EC9" w:rsidRDefault="004A147C" w:rsidP="00CE5850">
            <w:pPr>
              <w:spacing w:after="120"/>
            </w:pPr>
            <w:r w:rsidRPr="00FE5EC9">
              <w:rPr>
                <w:b/>
              </w:rPr>
              <w:t>Launch Date</w:t>
            </w:r>
          </w:p>
        </w:tc>
        <w:tc>
          <w:tcPr>
            <w:tcW w:w="0" w:type="auto"/>
          </w:tcPr>
          <w:p w:rsidR="004A147C" w:rsidRPr="00FE5EC9" w:rsidRDefault="004A147C" w:rsidP="00CE5850">
            <w:pPr>
              <w:spacing w:after="120"/>
              <w:rPr>
                <w:b/>
              </w:rPr>
            </w:pPr>
            <w:r w:rsidRPr="00FE5EC9">
              <w:rPr>
                <w:b/>
              </w:rPr>
              <w:t>Plan</w:t>
            </w:r>
          </w:p>
        </w:tc>
        <w:tc>
          <w:tcPr>
            <w:tcW w:w="0" w:type="auto"/>
          </w:tcPr>
          <w:p w:rsidR="004A147C" w:rsidRPr="00FE5EC9" w:rsidRDefault="004A147C" w:rsidP="00CE5850">
            <w:pPr>
              <w:spacing w:after="120"/>
              <w:rPr>
                <w:b/>
              </w:rPr>
            </w:pPr>
            <w:r w:rsidRPr="00FE5EC9">
              <w:rPr>
                <w:b/>
              </w:rPr>
              <w:t>Geographic Coverage</w:t>
            </w:r>
          </w:p>
        </w:tc>
        <w:tc>
          <w:tcPr>
            <w:tcW w:w="0" w:type="auto"/>
          </w:tcPr>
          <w:p w:rsidR="004A147C" w:rsidRPr="00FE5EC9" w:rsidRDefault="004A147C" w:rsidP="00CE5850">
            <w:pPr>
              <w:spacing w:after="120"/>
            </w:pPr>
            <w:r w:rsidRPr="00FE5EC9">
              <w:rPr>
                <w:b/>
              </w:rPr>
              <w:t>Monthly Charge</w:t>
            </w:r>
          </w:p>
        </w:tc>
        <w:tc>
          <w:tcPr>
            <w:tcW w:w="0" w:type="auto"/>
          </w:tcPr>
          <w:p w:rsidR="004A147C" w:rsidRPr="00FE5EC9" w:rsidRDefault="004A147C" w:rsidP="00CE5850">
            <w:pPr>
              <w:spacing w:after="120"/>
              <w:rPr>
                <w:b/>
              </w:rPr>
            </w:pPr>
            <w:r w:rsidRPr="00FE5EC9">
              <w:rPr>
                <w:b/>
              </w:rPr>
              <w:t>Services</w:t>
            </w:r>
          </w:p>
        </w:tc>
        <w:tc>
          <w:tcPr>
            <w:tcW w:w="0" w:type="auto"/>
          </w:tcPr>
          <w:p w:rsidR="004A147C" w:rsidRPr="00FE5EC9" w:rsidRDefault="004A147C" w:rsidP="00CE5850">
            <w:pPr>
              <w:spacing w:after="120"/>
              <w:rPr>
                <w:b/>
              </w:rPr>
            </w:pPr>
            <w:r w:rsidRPr="00FE5EC9">
              <w:rPr>
                <w:b/>
              </w:rPr>
              <w:t>Additional Conditions</w:t>
            </w:r>
          </w:p>
          <w:p w:rsidR="004A147C" w:rsidRPr="00FE5EC9" w:rsidRDefault="004A147C" w:rsidP="00CE5850">
            <w:pPr>
              <w:spacing w:after="120"/>
            </w:pPr>
          </w:p>
        </w:tc>
      </w:tr>
      <w:tr w:rsidR="004A147C" w:rsidRPr="00FE5EC9" w:rsidTr="006D773A">
        <w:tc>
          <w:tcPr>
            <w:tcW w:w="0" w:type="auto"/>
          </w:tcPr>
          <w:p w:rsidR="004A147C" w:rsidRPr="00FE5EC9" w:rsidRDefault="004A147C" w:rsidP="00CE5850">
            <w:pPr>
              <w:spacing w:after="120"/>
            </w:pPr>
            <w:r w:rsidRPr="00FE5EC9">
              <w:t>7/2010</w:t>
            </w:r>
          </w:p>
          <w:p w:rsidR="004A147C" w:rsidRPr="00FE5EC9" w:rsidRDefault="004A147C" w:rsidP="00CE5850">
            <w:pPr>
              <w:spacing w:after="120"/>
            </w:pPr>
          </w:p>
        </w:tc>
        <w:tc>
          <w:tcPr>
            <w:tcW w:w="0" w:type="auto"/>
          </w:tcPr>
          <w:p w:rsidR="004A147C" w:rsidRPr="00FE5EC9" w:rsidRDefault="004A147C" w:rsidP="00CE5850">
            <w:pPr>
              <w:spacing w:after="120"/>
            </w:pPr>
            <w:r w:rsidRPr="00FE5EC9">
              <w:t xml:space="preserve">Southeast Save Program </w:t>
            </w:r>
          </w:p>
        </w:tc>
        <w:tc>
          <w:tcPr>
            <w:tcW w:w="0" w:type="auto"/>
          </w:tcPr>
          <w:p w:rsidR="004A147C" w:rsidRPr="00FE5EC9" w:rsidRDefault="004A147C" w:rsidP="00CE5850">
            <w:pPr>
              <w:spacing w:after="120"/>
            </w:pPr>
            <w:r w:rsidRPr="00FE5EC9">
              <w:t xml:space="preserve">Southeastern </w:t>
            </w:r>
          </w:p>
          <w:p w:rsidR="004A147C" w:rsidRPr="00FE5EC9" w:rsidRDefault="004A147C" w:rsidP="00CE5850">
            <w:pPr>
              <w:spacing w:after="120"/>
            </w:pPr>
            <w:r w:rsidRPr="00FE5EC9">
              <w:t>States</w:t>
            </w:r>
          </w:p>
        </w:tc>
        <w:tc>
          <w:tcPr>
            <w:tcW w:w="0" w:type="auto"/>
          </w:tcPr>
          <w:p w:rsidR="004A147C" w:rsidRPr="00FE5EC9" w:rsidRDefault="004A147C" w:rsidP="00CE5850">
            <w:pPr>
              <w:spacing w:after="120"/>
            </w:pPr>
            <w:r w:rsidRPr="00FE5EC9">
              <w:t>$50</w:t>
            </w:r>
          </w:p>
        </w:tc>
        <w:tc>
          <w:tcPr>
            <w:tcW w:w="0" w:type="auto"/>
          </w:tcPr>
          <w:p w:rsidR="004A147C" w:rsidRPr="00FE5EC9" w:rsidRDefault="004A147C" w:rsidP="00CE5850">
            <w:pPr>
              <w:spacing w:after="120"/>
            </w:pPr>
            <w:r w:rsidRPr="00FE5EC9">
              <w:t>Unlimited voice and texting, but no data option</w:t>
            </w:r>
          </w:p>
        </w:tc>
        <w:tc>
          <w:tcPr>
            <w:tcW w:w="0" w:type="auto"/>
          </w:tcPr>
          <w:p w:rsidR="004A147C" w:rsidRPr="00FE5EC9" w:rsidRDefault="004A147C" w:rsidP="00CE5850">
            <w:pPr>
              <w:spacing w:after="120"/>
            </w:pPr>
            <w:r w:rsidRPr="00FE5EC9">
              <w:t>Limited-time offer, only open to subscribers targeted with text message &amp; email campaigns</w:t>
            </w:r>
          </w:p>
        </w:tc>
      </w:tr>
      <w:tr w:rsidR="004A147C" w:rsidRPr="00FE5EC9" w:rsidTr="006D773A">
        <w:tc>
          <w:tcPr>
            <w:tcW w:w="0" w:type="auto"/>
          </w:tcPr>
          <w:p w:rsidR="004A147C" w:rsidRPr="00FE5EC9" w:rsidRDefault="004A147C" w:rsidP="00CE5850">
            <w:pPr>
              <w:spacing w:after="120"/>
            </w:pPr>
            <w:r w:rsidRPr="00FE5EC9">
              <w:t>4/2011</w:t>
            </w:r>
          </w:p>
        </w:tc>
        <w:tc>
          <w:tcPr>
            <w:tcW w:w="0" w:type="auto"/>
          </w:tcPr>
          <w:p w:rsidR="004A147C" w:rsidRPr="00FE5EC9" w:rsidRDefault="004A147C" w:rsidP="00CE5850">
            <w:pPr>
              <w:spacing w:after="120"/>
            </w:pPr>
            <w:r w:rsidRPr="00FE5EC9">
              <w:t>Unleashed</w:t>
            </w:r>
            <w:r w:rsidRPr="00FE5EC9">
              <w:rPr>
                <w:vertAlign w:val="superscript"/>
              </w:rPr>
              <w:footnoteReference w:id="519"/>
            </w:r>
          </w:p>
        </w:tc>
        <w:tc>
          <w:tcPr>
            <w:tcW w:w="0" w:type="auto"/>
          </w:tcPr>
          <w:p w:rsidR="004A147C" w:rsidRPr="00FE5EC9" w:rsidRDefault="004A147C" w:rsidP="00CE5850">
            <w:pPr>
              <w:spacing w:after="120"/>
            </w:pPr>
            <w:r w:rsidRPr="00FE5EC9">
              <w:t>Southern California &amp;</w:t>
            </w:r>
          </w:p>
          <w:p w:rsidR="004A147C" w:rsidRPr="00FE5EC9" w:rsidRDefault="004A147C" w:rsidP="00CE5850">
            <w:pPr>
              <w:spacing w:after="120"/>
            </w:pPr>
            <w:r w:rsidRPr="00FE5EC9">
              <w:t>defined regions of Florida</w:t>
            </w:r>
          </w:p>
        </w:tc>
        <w:tc>
          <w:tcPr>
            <w:tcW w:w="0" w:type="auto"/>
          </w:tcPr>
          <w:p w:rsidR="004A147C" w:rsidRPr="00FE5EC9" w:rsidRDefault="004A147C" w:rsidP="00CE5850">
            <w:pPr>
              <w:spacing w:after="120"/>
            </w:pPr>
            <w:r w:rsidRPr="00FE5EC9">
              <w:t>$50</w:t>
            </w:r>
          </w:p>
        </w:tc>
        <w:tc>
          <w:tcPr>
            <w:tcW w:w="0" w:type="auto"/>
          </w:tcPr>
          <w:p w:rsidR="004A147C" w:rsidRPr="00FE5EC9" w:rsidRDefault="004A147C" w:rsidP="00CE5850">
            <w:pPr>
              <w:spacing w:after="120"/>
            </w:pPr>
            <w:r w:rsidRPr="00FE5EC9">
              <w:t>Unlimited voice, texting and web access</w:t>
            </w:r>
          </w:p>
        </w:tc>
        <w:tc>
          <w:tcPr>
            <w:tcW w:w="0" w:type="auto"/>
          </w:tcPr>
          <w:p w:rsidR="004A147C" w:rsidRPr="00FE5EC9" w:rsidRDefault="004A147C" w:rsidP="00CE5850">
            <w:pPr>
              <w:spacing w:after="120"/>
            </w:pPr>
            <w:r w:rsidRPr="00FE5EC9">
              <w:t>Mobile web does not provide full web browsing</w:t>
            </w:r>
          </w:p>
        </w:tc>
      </w:tr>
      <w:tr w:rsidR="004A147C" w:rsidRPr="00FE5EC9" w:rsidTr="006D773A">
        <w:tc>
          <w:tcPr>
            <w:tcW w:w="0" w:type="auto"/>
          </w:tcPr>
          <w:p w:rsidR="004A147C" w:rsidRPr="00FE5EC9" w:rsidRDefault="004A147C" w:rsidP="00CE5850">
            <w:pPr>
              <w:spacing w:after="120"/>
            </w:pPr>
            <w:r w:rsidRPr="00FE5EC9">
              <w:t>9/2011</w:t>
            </w:r>
          </w:p>
        </w:tc>
        <w:tc>
          <w:tcPr>
            <w:tcW w:w="0" w:type="auto"/>
          </w:tcPr>
          <w:p w:rsidR="004A147C" w:rsidRPr="00FE5EC9" w:rsidRDefault="004A147C" w:rsidP="00CE5850">
            <w:pPr>
              <w:spacing w:after="120"/>
            </w:pPr>
            <w:r w:rsidRPr="00FE5EC9">
              <w:t>Unleashed</w:t>
            </w:r>
          </w:p>
        </w:tc>
        <w:tc>
          <w:tcPr>
            <w:tcW w:w="0" w:type="auto"/>
          </w:tcPr>
          <w:p w:rsidR="004A147C" w:rsidRPr="00FE5EC9" w:rsidRDefault="004A147C" w:rsidP="00CE5850">
            <w:pPr>
              <w:spacing w:after="120"/>
            </w:pPr>
            <w:r w:rsidRPr="00FE5EC9">
              <w:t>Nationwide</w:t>
            </w:r>
          </w:p>
        </w:tc>
        <w:tc>
          <w:tcPr>
            <w:tcW w:w="0" w:type="auto"/>
          </w:tcPr>
          <w:p w:rsidR="004A147C" w:rsidRPr="00FE5EC9" w:rsidRDefault="004A147C" w:rsidP="00CE5850">
            <w:pPr>
              <w:spacing w:after="120"/>
            </w:pPr>
            <w:r w:rsidRPr="00FE5EC9">
              <w:t>$50</w:t>
            </w:r>
          </w:p>
        </w:tc>
        <w:tc>
          <w:tcPr>
            <w:tcW w:w="0" w:type="auto"/>
          </w:tcPr>
          <w:p w:rsidR="004A147C" w:rsidRPr="00FE5EC9" w:rsidRDefault="004A147C" w:rsidP="00CE5850">
            <w:pPr>
              <w:spacing w:after="120"/>
            </w:pPr>
            <w:r w:rsidRPr="00FE5EC9">
              <w:t>Unlimited voice, texting &amp; web access</w:t>
            </w:r>
          </w:p>
        </w:tc>
        <w:tc>
          <w:tcPr>
            <w:tcW w:w="0" w:type="auto"/>
          </w:tcPr>
          <w:p w:rsidR="004A147C" w:rsidRPr="00FE5EC9" w:rsidRDefault="004A147C" w:rsidP="00CE5850">
            <w:pPr>
              <w:spacing w:after="120"/>
            </w:pPr>
            <w:r w:rsidRPr="00FE5EC9">
              <w:t>Mobile web does not provide full web browsing.  Available at Verizon Wireless stores &amp; through Best Buy, Target &amp; Walmart stores</w:t>
            </w:r>
          </w:p>
        </w:tc>
      </w:tr>
    </w:tbl>
    <w:p w:rsidR="004A147C" w:rsidRPr="00F1004B" w:rsidRDefault="004A147C" w:rsidP="00CE5850">
      <w:pPr>
        <w:pStyle w:val="ParaNum"/>
        <w:tabs>
          <w:tab w:val="clear" w:pos="1440"/>
        </w:tabs>
        <w:ind w:left="720" w:firstLine="0"/>
        <w:rPr>
          <w:szCs w:val="22"/>
        </w:rPr>
      </w:pPr>
    </w:p>
    <w:p w:rsidR="004A147C" w:rsidRPr="00F83BFA" w:rsidRDefault="004A147C" w:rsidP="00CE5850">
      <w:pPr>
        <w:pStyle w:val="ParaNum"/>
        <w:numPr>
          <w:ilvl w:val="0"/>
          <w:numId w:val="28"/>
        </w:numPr>
        <w:rPr>
          <w:sz w:val="22"/>
          <w:szCs w:val="22"/>
        </w:rPr>
      </w:pPr>
      <w:r w:rsidRPr="00F83BFA">
        <w:rPr>
          <w:sz w:val="22"/>
          <w:szCs w:val="22"/>
        </w:rPr>
        <w:t>T-Mobile increased its presence in the high-end prepaid segment in 2011 by launching its no annual contract Monthly 4G plans.</w:t>
      </w:r>
      <w:r w:rsidRPr="00F83BFA">
        <w:rPr>
          <w:sz w:val="22"/>
          <w:szCs w:val="22"/>
          <w:vertAlign w:val="superscript"/>
        </w:rPr>
        <w:footnoteReference w:id="520"/>
      </w:r>
      <w:r w:rsidRPr="00F83BFA">
        <w:rPr>
          <w:sz w:val="22"/>
          <w:szCs w:val="22"/>
        </w:rPr>
        <w:t xml:space="preserve">  As detailed in </w:t>
      </w:r>
      <w:r w:rsidR="005B380F">
        <w:fldChar w:fldCharType="begin"/>
      </w:r>
      <w:r w:rsidR="005B380F">
        <w:instrText xml:space="preserve"> REF _Ref326842181 \h  \* MERGEFORMAT </w:instrText>
      </w:r>
      <w:r w:rsidR="005B380F">
        <w:fldChar w:fldCharType="separate"/>
      </w:r>
      <w:r w:rsidR="00CA3AC6" w:rsidRPr="00CA3AC6">
        <w:rPr>
          <w:sz w:val="22"/>
          <w:szCs w:val="22"/>
        </w:rPr>
        <w:t>Table 27</w:t>
      </w:r>
      <w:r w:rsidR="005B380F">
        <w:fldChar w:fldCharType="end"/>
      </w:r>
      <w:r w:rsidRPr="00F83BFA">
        <w:rPr>
          <w:sz w:val="22"/>
          <w:szCs w:val="22"/>
        </w:rPr>
        <w:t>, T-Mobile’s Monthly 4G lineup is a tiered offering, with most of the tiers featuring unlimited calling, texting and web use.</w:t>
      </w:r>
      <w:r w:rsidRPr="00F83BFA">
        <w:rPr>
          <w:sz w:val="22"/>
          <w:szCs w:val="22"/>
          <w:vertAlign w:val="superscript"/>
        </w:rPr>
        <w:t xml:space="preserve"> </w:t>
      </w:r>
      <w:r w:rsidRPr="00F83BFA">
        <w:rPr>
          <w:sz w:val="22"/>
          <w:szCs w:val="22"/>
          <w:vertAlign w:val="superscript"/>
        </w:rPr>
        <w:footnoteReference w:id="521"/>
      </w:r>
      <w:r w:rsidRPr="00F83BFA">
        <w:rPr>
          <w:sz w:val="22"/>
          <w:szCs w:val="22"/>
        </w:rPr>
        <w:t xml:space="preserve">  The exception is the data-centric Monthly 4G plan launched in an exclusive partnership with Walmart in October 2011, which includes unlimited texting and web use but not unlimited voice.</w:t>
      </w:r>
      <w:r w:rsidRPr="00F83BFA">
        <w:rPr>
          <w:sz w:val="22"/>
          <w:szCs w:val="22"/>
          <w:vertAlign w:val="superscript"/>
        </w:rPr>
        <w:footnoteReference w:id="522"/>
      </w:r>
      <w:r w:rsidRPr="00F83BFA">
        <w:rPr>
          <w:sz w:val="22"/>
          <w:szCs w:val="22"/>
        </w:rPr>
        <w:t xml:space="preserve">  T-Mobile sets a different monthly allowance for high-speed data use for each tier and reduces the data throughput speeds of customers after they use up their monthly high-speed data allotment on its HSPA+ network by slowing their speeds for the remainder of the month.</w:t>
      </w:r>
      <w:r w:rsidRPr="00F83BFA">
        <w:rPr>
          <w:sz w:val="22"/>
          <w:szCs w:val="22"/>
          <w:vertAlign w:val="superscript"/>
        </w:rPr>
        <w:footnoteReference w:id="523"/>
      </w:r>
      <w:r w:rsidRPr="00F83BFA">
        <w:rPr>
          <w:sz w:val="22"/>
          <w:szCs w:val="22"/>
        </w:rPr>
        <w:t xml:space="preserve">  </w:t>
      </w:r>
    </w:p>
    <w:p w:rsidR="004A147C" w:rsidRPr="00856523" w:rsidRDefault="004A147C" w:rsidP="00856523">
      <w:pPr>
        <w:jc w:val="center"/>
        <w:rPr>
          <w:b/>
        </w:rPr>
      </w:pPr>
      <w:bookmarkStart w:id="2197" w:name="_Ref326842181"/>
      <w:r w:rsidRPr="00856523">
        <w:rPr>
          <w:b/>
        </w:rPr>
        <w:t xml:space="preserve">Table </w:t>
      </w:r>
      <w:r w:rsidR="0007014B" w:rsidRPr="00856523">
        <w:rPr>
          <w:b/>
        </w:rPr>
        <w:fldChar w:fldCharType="begin"/>
      </w:r>
      <w:r w:rsidRPr="00856523">
        <w:rPr>
          <w:b/>
        </w:rPr>
        <w:instrText xml:space="preserve"> SEQ Table \* ARABIC </w:instrText>
      </w:r>
      <w:r w:rsidR="0007014B" w:rsidRPr="00856523">
        <w:rPr>
          <w:b/>
        </w:rPr>
        <w:fldChar w:fldCharType="separate"/>
      </w:r>
      <w:r w:rsidR="00CA3AC6">
        <w:rPr>
          <w:b/>
          <w:noProof/>
        </w:rPr>
        <w:t>27</w:t>
      </w:r>
      <w:r w:rsidR="0007014B" w:rsidRPr="00856523">
        <w:rPr>
          <w:b/>
        </w:rPr>
        <w:fldChar w:fldCharType="end"/>
      </w:r>
      <w:bookmarkEnd w:id="2197"/>
    </w:p>
    <w:p w:rsidR="004A147C" w:rsidRPr="00F83BFA" w:rsidRDefault="004A147C" w:rsidP="00CE5850">
      <w:pPr>
        <w:pStyle w:val="ListParagraph"/>
        <w:spacing w:after="120"/>
        <w:ind w:left="1440"/>
        <w:jc w:val="center"/>
        <w:rPr>
          <w:b/>
        </w:rPr>
      </w:pPr>
      <w:r w:rsidRPr="00F83BFA">
        <w:rPr>
          <w:b/>
        </w:rPr>
        <w:t>T-Mobile: Monthly Prepaid 4G Service Plans, 2011-Sept. 2012</w:t>
      </w:r>
      <w:r w:rsidRPr="00FE5EC9">
        <w:rPr>
          <w:vertAlign w:val="superscript"/>
        </w:rPr>
        <w:footnoteReference w:id="524"/>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137"/>
        <w:gridCol w:w="1325"/>
        <w:gridCol w:w="2638"/>
        <w:gridCol w:w="1109"/>
        <w:gridCol w:w="984"/>
        <w:gridCol w:w="2383"/>
      </w:tblGrid>
      <w:tr w:rsidR="004A147C" w:rsidRPr="00FE5EC9" w:rsidTr="006D773A">
        <w:trPr>
          <w:jc w:val="center"/>
        </w:trPr>
        <w:tc>
          <w:tcPr>
            <w:tcW w:w="0" w:type="auto"/>
          </w:tcPr>
          <w:p w:rsidR="004A147C" w:rsidRPr="00FE5EC9" w:rsidRDefault="004A147C" w:rsidP="00CE5850">
            <w:pPr>
              <w:spacing w:after="120"/>
              <w:rPr>
                <w:b/>
              </w:rPr>
            </w:pPr>
            <w:r w:rsidRPr="00FE5EC9">
              <w:rPr>
                <w:b/>
              </w:rPr>
              <w:t>Launch Date</w:t>
            </w:r>
          </w:p>
        </w:tc>
        <w:tc>
          <w:tcPr>
            <w:tcW w:w="0" w:type="auto"/>
          </w:tcPr>
          <w:p w:rsidR="004A147C" w:rsidRPr="00FE5EC9" w:rsidRDefault="004A147C" w:rsidP="00CE5850">
            <w:pPr>
              <w:spacing w:after="120"/>
              <w:rPr>
                <w:b/>
              </w:rPr>
            </w:pPr>
            <w:r w:rsidRPr="00FE5EC9">
              <w:rPr>
                <w:b/>
              </w:rPr>
              <w:t>Monthly Charge</w:t>
            </w:r>
          </w:p>
        </w:tc>
        <w:tc>
          <w:tcPr>
            <w:tcW w:w="0" w:type="auto"/>
          </w:tcPr>
          <w:p w:rsidR="004A147C" w:rsidRPr="00FE5EC9" w:rsidRDefault="004A147C" w:rsidP="00CE5850">
            <w:pPr>
              <w:spacing w:after="120"/>
              <w:rPr>
                <w:b/>
              </w:rPr>
            </w:pPr>
            <w:r w:rsidRPr="00FE5EC9">
              <w:rPr>
                <w:b/>
              </w:rPr>
              <w:t>Calling</w:t>
            </w:r>
          </w:p>
        </w:tc>
        <w:tc>
          <w:tcPr>
            <w:tcW w:w="0" w:type="auto"/>
          </w:tcPr>
          <w:p w:rsidR="004A147C" w:rsidRPr="00FE5EC9" w:rsidRDefault="004A147C" w:rsidP="00CE5850">
            <w:pPr>
              <w:spacing w:after="120"/>
              <w:rPr>
                <w:b/>
              </w:rPr>
            </w:pPr>
            <w:r w:rsidRPr="00FE5EC9">
              <w:rPr>
                <w:b/>
              </w:rPr>
              <w:t>Texting</w:t>
            </w:r>
          </w:p>
        </w:tc>
        <w:tc>
          <w:tcPr>
            <w:tcW w:w="0" w:type="auto"/>
          </w:tcPr>
          <w:p w:rsidR="004A147C" w:rsidRPr="00FE5EC9" w:rsidRDefault="004A147C" w:rsidP="00CE5850">
            <w:pPr>
              <w:spacing w:after="120"/>
              <w:rPr>
                <w:b/>
              </w:rPr>
            </w:pPr>
            <w:r w:rsidRPr="00FE5EC9">
              <w:rPr>
                <w:b/>
              </w:rPr>
              <w:t>4G Data Cap</w:t>
            </w:r>
          </w:p>
        </w:tc>
        <w:tc>
          <w:tcPr>
            <w:tcW w:w="0" w:type="auto"/>
          </w:tcPr>
          <w:p w:rsidR="004A147C" w:rsidRPr="00FE5EC9" w:rsidRDefault="004A147C" w:rsidP="00CE5850">
            <w:pPr>
              <w:spacing w:after="120"/>
              <w:rPr>
                <w:b/>
              </w:rPr>
            </w:pPr>
            <w:r w:rsidRPr="00FE5EC9">
              <w:rPr>
                <w:b/>
              </w:rPr>
              <w:t>Other Features</w:t>
            </w:r>
          </w:p>
        </w:tc>
      </w:tr>
      <w:tr w:rsidR="004A147C" w:rsidRPr="00FE5EC9" w:rsidTr="006D773A">
        <w:trPr>
          <w:jc w:val="center"/>
        </w:trPr>
        <w:tc>
          <w:tcPr>
            <w:tcW w:w="0" w:type="auto"/>
          </w:tcPr>
          <w:p w:rsidR="004A147C" w:rsidRPr="00FE5EC9" w:rsidRDefault="004A147C" w:rsidP="00CE5850">
            <w:pPr>
              <w:spacing w:after="120"/>
            </w:pPr>
            <w:r w:rsidRPr="00FE5EC9">
              <w:t>5/2011</w:t>
            </w:r>
          </w:p>
        </w:tc>
        <w:tc>
          <w:tcPr>
            <w:tcW w:w="0" w:type="auto"/>
          </w:tcPr>
          <w:p w:rsidR="004A147C" w:rsidRPr="00FE5EC9" w:rsidRDefault="004A147C" w:rsidP="00CE5850">
            <w:pPr>
              <w:spacing w:after="120"/>
            </w:pPr>
            <w:r w:rsidRPr="00FE5EC9">
              <w:t>$70</w:t>
            </w:r>
          </w:p>
        </w:tc>
        <w:tc>
          <w:tcPr>
            <w:tcW w:w="0" w:type="auto"/>
          </w:tcPr>
          <w:p w:rsidR="004A147C" w:rsidRPr="00FE5EC9" w:rsidRDefault="004A147C" w:rsidP="00CE5850">
            <w:pPr>
              <w:spacing w:after="120"/>
            </w:pPr>
            <w:r w:rsidRPr="00FE5EC9">
              <w:t>Unlimited</w:t>
            </w:r>
          </w:p>
        </w:tc>
        <w:tc>
          <w:tcPr>
            <w:tcW w:w="0" w:type="auto"/>
          </w:tcPr>
          <w:p w:rsidR="004A147C" w:rsidRPr="00FE5EC9" w:rsidRDefault="004A147C" w:rsidP="00CE5850">
            <w:pPr>
              <w:spacing w:after="120"/>
            </w:pPr>
            <w:r w:rsidRPr="00FE5EC9">
              <w:t>Unlimited</w:t>
            </w:r>
          </w:p>
        </w:tc>
        <w:tc>
          <w:tcPr>
            <w:tcW w:w="0" w:type="auto"/>
          </w:tcPr>
          <w:p w:rsidR="004A147C" w:rsidRPr="00FE5EC9" w:rsidRDefault="004A147C" w:rsidP="00CE5850">
            <w:pPr>
              <w:spacing w:after="120"/>
            </w:pPr>
            <w:r w:rsidRPr="00FE5EC9">
              <w:t>5 GB</w:t>
            </w:r>
          </w:p>
        </w:tc>
        <w:tc>
          <w:tcPr>
            <w:tcW w:w="0" w:type="auto"/>
          </w:tcPr>
          <w:p w:rsidR="004A147C" w:rsidRPr="00FE5EC9" w:rsidRDefault="004A147C" w:rsidP="00CE5850">
            <w:pPr>
              <w:spacing w:after="120"/>
            </w:pPr>
            <w:r w:rsidRPr="00FE5EC9">
              <w:t>NA</w:t>
            </w:r>
          </w:p>
        </w:tc>
      </w:tr>
      <w:tr w:rsidR="004A147C" w:rsidRPr="00FE5EC9" w:rsidTr="006D773A">
        <w:trPr>
          <w:jc w:val="center"/>
        </w:trPr>
        <w:tc>
          <w:tcPr>
            <w:tcW w:w="0" w:type="auto"/>
          </w:tcPr>
          <w:p w:rsidR="004A147C" w:rsidRPr="00FE5EC9" w:rsidRDefault="004A147C" w:rsidP="00CE5850">
            <w:pPr>
              <w:spacing w:after="120"/>
            </w:pPr>
            <w:r w:rsidRPr="00FE5EC9">
              <w:t>5/2011</w:t>
            </w:r>
          </w:p>
        </w:tc>
        <w:tc>
          <w:tcPr>
            <w:tcW w:w="0" w:type="auto"/>
          </w:tcPr>
          <w:p w:rsidR="004A147C" w:rsidRPr="00FE5EC9" w:rsidRDefault="004A147C" w:rsidP="00CE5850">
            <w:pPr>
              <w:spacing w:after="120"/>
            </w:pPr>
            <w:r w:rsidRPr="00FE5EC9">
              <w:t>$50</w:t>
            </w:r>
          </w:p>
        </w:tc>
        <w:tc>
          <w:tcPr>
            <w:tcW w:w="0" w:type="auto"/>
          </w:tcPr>
          <w:p w:rsidR="004A147C" w:rsidRPr="00FE5EC9" w:rsidRDefault="004A147C" w:rsidP="00CE5850">
            <w:pPr>
              <w:spacing w:after="120"/>
            </w:pPr>
            <w:r w:rsidRPr="00FE5EC9">
              <w:t>Unlimited</w:t>
            </w:r>
          </w:p>
        </w:tc>
        <w:tc>
          <w:tcPr>
            <w:tcW w:w="0" w:type="auto"/>
          </w:tcPr>
          <w:p w:rsidR="004A147C" w:rsidRPr="00FE5EC9" w:rsidRDefault="004A147C" w:rsidP="00CE5850">
            <w:pPr>
              <w:spacing w:after="120"/>
            </w:pPr>
            <w:r w:rsidRPr="00FE5EC9">
              <w:t>Unlimited</w:t>
            </w:r>
          </w:p>
        </w:tc>
        <w:tc>
          <w:tcPr>
            <w:tcW w:w="0" w:type="auto"/>
          </w:tcPr>
          <w:p w:rsidR="004A147C" w:rsidRPr="00FE5EC9" w:rsidRDefault="004A147C" w:rsidP="00CE5850">
            <w:pPr>
              <w:spacing w:after="120"/>
            </w:pPr>
            <w:r w:rsidRPr="00FE5EC9">
              <w:t>100 MB</w:t>
            </w:r>
          </w:p>
        </w:tc>
        <w:tc>
          <w:tcPr>
            <w:tcW w:w="0" w:type="auto"/>
          </w:tcPr>
          <w:p w:rsidR="004A147C" w:rsidRPr="00FE5EC9" w:rsidRDefault="004A147C" w:rsidP="00CE5850">
            <w:pPr>
              <w:spacing w:after="120"/>
            </w:pPr>
            <w:r w:rsidRPr="00FE5EC9">
              <w:t>NA</w:t>
            </w:r>
          </w:p>
        </w:tc>
      </w:tr>
      <w:tr w:rsidR="004A147C" w:rsidRPr="00FE5EC9" w:rsidTr="006D773A">
        <w:trPr>
          <w:jc w:val="center"/>
        </w:trPr>
        <w:tc>
          <w:tcPr>
            <w:tcW w:w="0" w:type="auto"/>
          </w:tcPr>
          <w:p w:rsidR="004A147C" w:rsidRPr="00FE5EC9" w:rsidRDefault="004A147C" w:rsidP="00CE5850">
            <w:pPr>
              <w:spacing w:after="120"/>
            </w:pPr>
            <w:r w:rsidRPr="00FE5EC9">
              <w:t>10/2011</w:t>
            </w:r>
          </w:p>
        </w:tc>
        <w:tc>
          <w:tcPr>
            <w:tcW w:w="0" w:type="auto"/>
          </w:tcPr>
          <w:p w:rsidR="004A147C" w:rsidRPr="00FE5EC9" w:rsidRDefault="004A147C" w:rsidP="00CE5850">
            <w:pPr>
              <w:spacing w:after="120"/>
            </w:pPr>
            <w:r w:rsidRPr="00FE5EC9">
              <w:t>$60</w:t>
            </w:r>
          </w:p>
        </w:tc>
        <w:tc>
          <w:tcPr>
            <w:tcW w:w="0" w:type="auto"/>
          </w:tcPr>
          <w:p w:rsidR="004A147C" w:rsidRPr="00FE5EC9" w:rsidRDefault="004A147C" w:rsidP="00CE5850">
            <w:pPr>
              <w:spacing w:after="120"/>
            </w:pPr>
            <w:r w:rsidRPr="00FE5EC9">
              <w:t>Unlimited</w:t>
            </w:r>
          </w:p>
        </w:tc>
        <w:tc>
          <w:tcPr>
            <w:tcW w:w="0" w:type="auto"/>
          </w:tcPr>
          <w:p w:rsidR="004A147C" w:rsidRPr="00FE5EC9" w:rsidRDefault="004A147C" w:rsidP="00CE5850">
            <w:pPr>
              <w:spacing w:after="120"/>
            </w:pPr>
            <w:r w:rsidRPr="00FE5EC9">
              <w:t>Unlimited</w:t>
            </w:r>
          </w:p>
        </w:tc>
        <w:tc>
          <w:tcPr>
            <w:tcW w:w="0" w:type="auto"/>
          </w:tcPr>
          <w:p w:rsidR="004A147C" w:rsidRPr="00FE5EC9" w:rsidRDefault="004A147C" w:rsidP="00CE5850">
            <w:pPr>
              <w:spacing w:after="120"/>
            </w:pPr>
            <w:r w:rsidRPr="00FE5EC9">
              <w:t>2 GB</w:t>
            </w:r>
          </w:p>
        </w:tc>
        <w:tc>
          <w:tcPr>
            <w:tcW w:w="0" w:type="auto"/>
          </w:tcPr>
          <w:p w:rsidR="004A147C" w:rsidRPr="00FE5EC9" w:rsidRDefault="004A147C" w:rsidP="00CE5850">
            <w:pPr>
              <w:spacing w:after="120"/>
            </w:pPr>
            <w:r w:rsidRPr="00FE5EC9">
              <w:t>NA</w:t>
            </w:r>
          </w:p>
        </w:tc>
      </w:tr>
      <w:tr w:rsidR="004A147C" w:rsidRPr="00FE5EC9" w:rsidTr="006D773A">
        <w:trPr>
          <w:jc w:val="center"/>
        </w:trPr>
        <w:tc>
          <w:tcPr>
            <w:tcW w:w="0" w:type="auto"/>
          </w:tcPr>
          <w:p w:rsidR="004A147C" w:rsidRPr="00FE5EC9" w:rsidRDefault="004A147C" w:rsidP="00CE5850">
            <w:pPr>
              <w:spacing w:after="120"/>
            </w:pPr>
            <w:r w:rsidRPr="00FE5EC9">
              <w:t>10/2011</w:t>
            </w:r>
          </w:p>
        </w:tc>
        <w:tc>
          <w:tcPr>
            <w:tcW w:w="0" w:type="auto"/>
          </w:tcPr>
          <w:p w:rsidR="004A147C" w:rsidRPr="00FE5EC9" w:rsidRDefault="004A147C" w:rsidP="00CE5850">
            <w:pPr>
              <w:spacing w:after="120"/>
            </w:pPr>
            <w:r w:rsidRPr="00FE5EC9">
              <w:t>$30</w:t>
            </w:r>
          </w:p>
        </w:tc>
        <w:tc>
          <w:tcPr>
            <w:tcW w:w="0" w:type="auto"/>
          </w:tcPr>
          <w:p w:rsidR="004A147C" w:rsidRPr="00FE5EC9" w:rsidRDefault="004A147C" w:rsidP="00CE5850">
            <w:pPr>
              <w:spacing w:after="120"/>
            </w:pPr>
            <w:r w:rsidRPr="00FE5EC9">
              <w:t>100 minutes, $0.10 per minute after first 100 minutes</w:t>
            </w:r>
          </w:p>
        </w:tc>
        <w:tc>
          <w:tcPr>
            <w:tcW w:w="0" w:type="auto"/>
          </w:tcPr>
          <w:p w:rsidR="004A147C" w:rsidRPr="00FE5EC9" w:rsidRDefault="004A147C" w:rsidP="00CE5850">
            <w:pPr>
              <w:spacing w:after="120"/>
            </w:pPr>
            <w:r w:rsidRPr="00FE5EC9">
              <w:t>Unlimited</w:t>
            </w:r>
          </w:p>
        </w:tc>
        <w:tc>
          <w:tcPr>
            <w:tcW w:w="0" w:type="auto"/>
          </w:tcPr>
          <w:p w:rsidR="004A147C" w:rsidRPr="00FE5EC9" w:rsidRDefault="004A147C" w:rsidP="00CE5850">
            <w:pPr>
              <w:spacing w:after="120"/>
            </w:pPr>
            <w:r w:rsidRPr="00FE5EC9">
              <w:t>5 GB</w:t>
            </w:r>
          </w:p>
        </w:tc>
        <w:tc>
          <w:tcPr>
            <w:tcW w:w="0" w:type="auto"/>
          </w:tcPr>
          <w:p w:rsidR="004A147C" w:rsidRPr="00FE5EC9" w:rsidRDefault="004A147C" w:rsidP="00CE5850">
            <w:pPr>
              <w:spacing w:after="120"/>
            </w:pPr>
            <w:r w:rsidRPr="00FE5EC9">
              <w:t>Sold exclusively at Walmart stores &amp; online</w:t>
            </w:r>
          </w:p>
        </w:tc>
      </w:tr>
    </w:tbl>
    <w:p w:rsidR="004A147C" w:rsidRPr="00F1004B" w:rsidRDefault="004A147C" w:rsidP="00CE5850">
      <w:pPr>
        <w:pStyle w:val="ParaNum"/>
        <w:tabs>
          <w:tab w:val="clear" w:pos="1440"/>
        </w:tabs>
        <w:ind w:left="720" w:firstLine="0"/>
        <w:rPr>
          <w:szCs w:val="22"/>
        </w:rPr>
      </w:pPr>
    </w:p>
    <w:p w:rsidR="004A147C" w:rsidRPr="00F83BFA" w:rsidRDefault="004A147C" w:rsidP="00CE5850">
      <w:pPr>
        <w:pStyle w:val="ParaNum"/>
        <w:numPr>
          <w:ilvl w:val="0"/>
          <w:numId w:val="28"/>
        </w:numPr>
        <w:rPr>
          <w:sz w:val="22"/>
          <w:szCs w:val="22"/>
        </w:rPr>
      </w:pPr>
      <w:r w:rsidRPr="00F83BFA">
        <w:rPr>
          <w:sz w:val="22"/>
          <w:szCs w:val="22"/>
        </w:rPr>
        <w:t>MetroPCS responded to the unlimited offerings of nationwide providers in October 2011 by launching a holiday promotional offer of unlimited calling, texting and data usage in a package of four feature phones for $100 per month, or $25 per line.</w:t>
      </w:r>
      <w:r w:rsidRPr="00F83BFA">
        <w:rPr>
          <w:sz w:val="22"/>
          <w:szCs w:val="22"/>
          <w:vertAlign w:val="superscript"/>
        </w:rPr>
        <w:footnoteReference w:id="525"/>
      </w:r>
      <w:r w:rsidRPr="00F83BFA">
        <w:rPr>
          <w:sz w:val="22"/>
          <w:szCs w:val="22"/>
        </w:rPr>
        <w:t xml:space="preserve">  The promotion represented a significant discount from the price of $40 per month for each line fo</w:t>
      </w:r>
      <w:r>
        <w:rPr>
          <w:sz w:val="22"/>
          <w:szCs w:val="22"/>
        </w:rPr>
        <w:t xml:space="preserve">r the </w:t>
      </w:r>
      <w:r w:rsidRPr="00F83BFA">
        <w:rPr>
          <w:sz w:val="22"/>
          <w:szCs w:val="22"/>
        </w:rPr>
        <w:t>company’s standard package of unlimited calling, texting and web use.</w:t>
      </w:r>
      <w:r w:rsidRPr="00F83BFA">
        <w:rPr>
          <w:sz w:val="22"/>
          <w:szCs w:val="22"/>
          <w:vertAlign w:val="superscript"/>
        </w:rPr>
        <w:footnoteReference w:id="526"/>
      </w:r>
      <w:r w:rsidRPr="00F83BFA">
        <w:rPr>
          <w:sz w:val="22"/>
          <w:szCs w:val="22"/>
        </w:rPr>
        <w:t xml:space="preserve">  However, the promotion lasted only through December 31, 2011, only new customers were eligible for the offer, and the company’s LTE and Android devices were excluded from the offer.</w:t>
      </w:r>
      <w:r w:rsidRPr="00F83BFA">
        <w:rPr>
          <w:sz w:val="22"/>
          <w:szCs w:val="22"/>
          <w:vertAlign w:val="superscript"/>
        </w:rPr>
        <w:t xml:space="preserve"> </w:t>
      </w:r>
      <w:r w:rsidRPr="00F83BFA">
        <w:rPr>
          <w:sz w:val="22"/>
          <w:szCs w:val="22"/>
          <w:vertAlign w:val="superscript"/>
        </w:rPr>
        <w:footnoteReference w:id="527"/>
      </w:r>
    </w:p>
    <w:p w:rsidR="004A147C" w:rsidRPr="00F83BFA" w:rsidRDefault="004A147C" w:rsidP="00CE5850">
      <w:pPr>
        <w:pStyle w:val="ParaNum"/>
        <w:numPr>
          <w:ilvl w:val="0"/>
          <w:numId w:val="28"/>
        </w:numPr>
        <w:rPr>
          <w:sz w:val="22"/>
          <w:szCs w:val="22"/>
        </w:rPr>
      </w:pPr>
      <w:r w:rsidRPr="00F83BFA">
        <w:rPr>
          <w:i/>
          <w:sz w:val="22"/>
          <w:szCs w:val="22"/>
        </w:rPr>
        <w:t>Management of Data Consumption in High-End Prepaid Plans</w:t>
      </w:r>
      <w:r w:rsidRPr="00F83BFA">
        <w:rPr>
          <w:sz w:val="22"/>
          <w:szCs w:val="22"/>
        </w:rPr>
        <w:t>.  The same network management issues motivating the ongoing shift from unlimited data pricing to tiered smartphone data plans in the postpaid segment – namely, the impact of higher bandwidth consumption by smartphone users on network utilization and capacity constraints</w:t>
      </w:r>
      <w:r w:rsidRPr="00F83BFA">
        <w:rPr>
          <w:sz w:val="22"/>
          <w:szCs w:val="22"/>
          <w:vertAlign w:val="superscript"/>
        </w:rPr>
        <w:footnoteReference w:id="528"/>
      </w:r>
      <w:r w:rsidRPr="00F83BFA">
        <w:rPr>
          <w:sz w:val="22"/>
          <w:szCs w:val="22"/>
        </w:rPr>
        <w:t xml:space="preserve"> – are also beginning to induce changes in the pricing and service terms and conditions of high-end prepaid plans for users of smartphone data.  </w:t>
      </w:r>
    </w:p>
    <w:p w:rsidR="004A147C" w:rsidRPr="00F83BFA" w:rsidRDefault="004A147C" w:rsidP="00CE5850">
      <w:pPr>
        <w:pStyle w:val="ParaNum"/>
        <w:numPr>
          <w:ilvl w:val="0"/>
          <w:numId w:val="28"/>
        </w:numPr>
        <w:rPr>
          <w:sz w:val="22"/>
          <w:szCs w:val="22"/>
        </w:rPr>
      </w:pPr>
      <w:r w:rsidRPr="00F83BFA">
        <w:rPr>
          <w:sz w:val="22"/>
          <w:szCs w:val="22"/>
        </w:rPr>
        <w:t>As discussed above, T-Mobile set an allowance on high-speed data use for each tier of its Monthly 4G offerings launched in 2011.  After customers use up their monthly high-speed data allotment at up to 4G speeds on T-Mobile’s HSPA+ network, their speeds will potentially be slowed to 2G speeds for the remainder of the month.</w:t>
      </w:r>
      <w:r w:rsidRPr="00F83BFA">
        <w:rPr>
          <w:sz w:val="22"/>
          <w:szCs w:val="22"/>
          <w:vertAlign w:val="superscript"/>
        </w:rPr>
        <w:footnoteReference w:id="529"/>
      </w:r>
      <w:r w:rsidRPr="00F83BFA">
        <w:rPr>
          <w:sz w:val="22"/>
          <w:szCs w:val="22"/>
        </w:rPr>
        <w:t xml:space="preserve">  Verizon Wireless’s Unlimited prepaid plan provides unlimited talk, text &amp; web, but is offered only with basic phones and does not include full web browsing.</w:t>
      </w:r>
      <w:r w:rsidRPr="00F83BFA">
        <w:rPr>
          <w:sz w:val="22"/>
          <w:szCs w:val="22"/>
          <w:vertAlign w:val="superscript"/>
        </w:rPr>
        <w:footnoteReference w:id="530"/>
      </w:r>
      <w:r w:rsidRPr="00F83BFA">
        <w:rPr>
          <w:sz w:val="22"/>
          <w:szCs w:val="22"/>
        </w:rPr>
        <w:t xml:space="preserve">  </w:t>
      </w:r>
    </w:p>
    <w:p w:rsidR="004A147C" w:rsidRPr="00654A95" w:rsidRDefault="004A147C" w:rsidP="00CE5850">
      <w:pPr>
        <w:pStyle w:val="ParaNum"/>
        <w:numPr>
          <w:ilvl w:val="0"/>
          <w:numId w:val="28"/>
        </w:numPr>
        <w:rPr>
          <w:sz w:val="22"/>
          <w:szCs w:val="22"/>
        </w:rPr>
      </w:pPr>
      <w:r w:rsidRPr="00654A95">
        <w:rPr>
          <w:sz w:val="22"/>
          <w:szCs w:val="22"/>
        </w:rPr>
        <w:t>Sprint’s strategy for managing data consumption in its high-end prepaid plans has evolved over time.  Sprint’s initial strategy was limited to pricing changes.  In particular, as shown in</w:t>
      </w:r>
      <w:r>
        <w:rPr>
          <w:sz w:val="22"/>
          <w:szCs w:val="22"/>
        </w:rPr>
        <w:t xml:space="preserve"> </w:t>
      </w:r>
      <w:r w:rsidR="00951E9B">
        <w:fldChar w:fldCharType="begin"/>
      </w:r>
      <w:r w:rsidR="00951E9B">
        <w:instrText xml:space="preserve"> REF _Ref341877899  \* MERGEFORMAT </w:instrText>
      </w:r>
      <w:r w:rsidR="00951E9B">
        <w:fldChar w:fldCharType="separate"/>
      </w:r>
      <w:r w:rsidR="00CA3AC6" w:rsidRPr="00CA3AC6">
        <w:rPr>
          <w:bCs/>
          <w:sz w:val="22"/>
          <w:szCs w:val="22"/>
        </w:rPr>
        <w:t xml:space="preserve">Table </w:t>
      </w:r>
      <w:r w:rsidR="00CA3AC6" w:rsidRPr="00CA3AC6">
        <w:rPr>
          <w:bCs/>
          <w:noProof/>
          <w:sz w:val="22"/>
          <w:szCs w:val="22"/>
        </w:rPr>
        <w:t>24</w:t>
      </w:r>
      <w:r w:rsidR="00951E9B">
        <w:rPr>
          <w:bCs/>
          <w:noProof/>
          <w:sz w:val="22"/>
          <w:szCs w:val="22"/>
        </w:rPr>
        <w:fldChar w:fldCharType="end"/>
      </w:r>
      <w:r w:rsidRPr="00654A95">
        <w:rPr>
          <w:sz w:val="22"/>
          <w:szCs w:val="22"/>
        </w:rPr>
        <w:t>, Sprint’s Boost Mobile prepaid brand added a $5 monthly charge to its $50 per month unlimited nationwide talk, texting, and data plan for new customers of its Android smartphones in October 2011,</w:t>
      </w:r>
      <w:r w:rsidRPr="00F83BFA">
        <w:rPr>
          <w:sz w:val="22"/>
          <w:szCs w:val="22"/>
          <w:vertAlign w:val="superscript"/>
        </w:rPr>
        <w:footnoteReference w:id="531"/>
      </w:r>
      <w:r w:rsidRPr="00654A95">
        <w:rPr>
          <w:sz w:val="22"/>
          <w:szCs w:val="22"/>
        </w:rPr>
        <w:t xml:space="preserve"> and Sprint’s Virgin Mobile prepaid brand also increased the prices of its least expensive Beyond Talk unlimited data plans in July 2011.</w:t>
      </w:r>
      <w:r w:rsidRPr="00F83BFA">
        <w:rPr>
          <w:sz w:val="22"/>
          <w:szCs w:val="22"/>
          <w:vertAlign w:val="superscript"/>
        </w:rPr>
        <w:footnoteReference w:id="532"/>
      </w:r>
      <w:r w:rsidRPr="00654A95">
        <w:rPr>
          <w:sz w:val="22"/>
          <w:szCs w:val="22"/>
        </w:rPr>
        <w:t xml:space="preserve">  Subsequently, Sprint began to move away from unlimited data pricing in its prepaid segment.  In particular, while Sprint has so far continued to offer unlimited postpaid smartphone data offerings marketed under the Sprint brand, in March 2012 the company’s Virgin Mobile prepaid brand began to reduce the data speeds of smartphone customers on its Beyond Talk plans if their data usage exceeds a monthly allowance of 2.5 GB of data.</w:t>
      </w:r>
      <w:r w:rsidRPr="00F83BFA">
        <w:rPr>
          <w:sz w:val="22"/>
          <w:szCs w:val="22"/>
          <w:vertAlign w:val="superscript"/>
        </w:rPr>
        <w:footnoteReference w:id="533"/>
      </w:r>
      <w:r w:rsidRPr="00654A95">
        <w:rPr>
          <w:sz w:val="22"/>
          <w:szCs w:val="22"/>
        </w:rPr>
        <w:t xml:space="preserve">  The data speeds of Beyond Talk customers will be reduced to 256 Kbps for the remainder of the month once the 2.5 GB monthly allowance has been reached, but data speeds will return to normal at the start of the customer’s next billing cycle.</w:t>
      </w:r>
      <w:r w:rsidRPr="00F83BFA">
        <w:rPr>
          <w:sz w:val="22"/>
          <w:szCs w:val="22"/>
          <w:vertAlign w:val="superscript"/>
        </w:rPr>
        <w:footnoteReference w:id="534"/>
      </w:r>
      <w:r w:rsidRPr="00654A95">
        <w:rPr>
          <w:sz w:val="22"/>
          <w:szCs w:val="22"/>
        </w:rPr>
        <w:t xml:space="preserve">  Customers who want to avoid waiting for the start of the next billing cycle have the option to restart their plan simply by topping up their account.</w:t>
      </w:r>
      <w:r w:rsidRPr="00F83BFA">
        <w:rPr>
          <w:sz w:val="22"/>
          <w:szCs w:val="22"/>
          <w:vertAlign w:val="superscript"/>
        </w:rPr>
        <w:footnoteReference w:id="535"/>
      </w:r>
    </w:p>
    <w:p w:rsidR="004A147C" w:rsidRPr="00F83BFA" w:rsidRDefault="004A147C" w:rsidP="00CE5850">
      <w:pPr>
        <w:pStyle w:val="ParaNum"/>
        <w:numPr>
          <w:ilvl w:val="0"/>
          <w:numId w:val="28"/>
        </w:numPr>
        <w:rPr>
          <w:sz w:val="22"/>
          <w:szCs w:val="22"/>
        </w:rPr>
      </w:pPr>
      <w:r w:rsidRPr="00F83BFA">
        <w:rPr>
          <w:sz w:val="22"/>
          <w:szCs w:val="22"/>
        </w:rPr>
        <w:t>Leap was one of the first wireless providers to switch from unlimited smartphone data pricing to a tiered pricing structure for smartphone data use and to reduce the data speeds of customers who exceed their monthly data allowance instead of levying overage charges.</w:t>
      </w:r>
      <w:r w:rsidRPr="00F83BFA">
        <w:rPr>
          <w:sz w:val="22"/>
          <w:szCs w:val="22"/>
          <w:vertAlign w:val="superscript"/>
        </w:rPr>
        <w:footnoteReference w:id="536"/>
      </w:r>
      <w:r w:rsidRPr="00F83BFA">
        <w:rPr>
          <w:sz w:val="22"/>
          <w:szCs w:val="22"/>
        </w:rPr>
        <w:t xml:space="preserve">  Leap began conducting market trials for its new tiered data pricing plans in several Western markets in April 2010, and the company introduced this tiered data pricing model on a nationwide basis the following August.</w:t>
      </w:r>
      <w:r w:rsidRPr="00F83BFA">
        <w:rPr>
          <w:sz w:val="22"/>
          <w:szCs w:val="22"/>
          <w:vertAlign w:val="superscript"/>
        </w:rPr>
        <w:footnoteReference w:id="537"/>
      </w:r>
      <w:r w:rsidRPr="00F83BFA">
        <w:rPr>
          <w:sz w:val="22"/>
          <w:szCs w:val="22"/>
        </w:rPr>
        <w:t xml:space="preserve">  In September 2012, Leap revised its pricing model again by launching new tiered smartphone data plans that give customers the option of purchasing additional quantities of full-speed data than their selected tier provides if they need it.</w:t>
      </w:r>
      <w:r w:rsidRPr="00F83BFA">
        <w:rPr>
          <w:sz w:val="22"/>
          <w:szCs w:val="22"/>
          <w:vertAlign w:val="superscript"/>
        </w:rPr>
        <w:footnoteReference w:id="538"/>
      </w:r>
      <w:r w:rsidRPr="00F83BFA">
        <w:rPr>
          <w:sz w:val="22"/>
          <w:szCs w:val="22"/>
        </w:rPr>
        <w:t xml:space="preserve">  The result is essentially a more flexible, blended tiered pricing model with either speed reductions or overage charges.</w:t>
      </w:r>
    </w:p>
    <w:p w:rsidR="004A147C" w:rsidRPr="00F83BFA" w:rsidRDefault="004A147C" w:rsidP="00CE5850">
      <w:pPr>
        <w:pStyle w:val="ParaNum"/>
        <w:numPr>
          <w:ilvl w:val="0"/>
          <w:numId w:val="28"/>
        </w:numPr>
        <w:rPr>
          <w:sz w:val="22"/>
          <w:szCs w:val="22"/>
        </w:rPr>
      </w:pPr>
      <w:r w:rsidRPr="00F83BFA">
        <w:rPr>
          <w:sz w:val="22"/>
          <w:szCs w:val="22"/>
        </w:rPr>
        <w:t>Under the new tiered pricing structure introduced in September 2012, Leap’s smartphone rate plans start at $50 per month for unlimited calling, texting and 3G data, plus an allowance of 1 GB of full-speed data per month.</w:t>
      </w:r>
      <w:r w:rsidRPr="00F83BFA">
        <w:rPr>
          <w:sz w:val="22"/>
          <w:szCs w:val="22"/>
          <w:vertAlign w:val="superscript"/>
        </w:rPr>
        <w:footnoteReference w:id="539"/>
      </w:r>
      <w:r w:rsidRPr="00F83BFA">
        <w:rPr>
          <w:sz w:val="22"/>
          <w:szCs w:val="22"/>
        </w:rPr>
        <w:t xml:space="preserve">  The two higher tiers include 2.5 GB of full-speed data for $60 per month and 5 GB of data for $70 per month, and both plans also include the ability for customers to tether their device to power additional wireless devices.  If customers use up their allowance of full-speed data before the end of the month, they have several options:  (1) add one or more 1 GB full-speed data add-ons to their plan for $10 each; (2) purchase additional full-speed data on an as needed basis at a rate of one dollar for 50 MB; (3) upgrade to a rate plan with a higher allowance of full-speed data; or (4) make no change and use unlimited data at reduced speed through the rest of the month.</w:t>
      </w:r>
      <w:r w:rsidRPr="00F83BFA">
        <w:rPr>
          <w:sz w:val="22"/>
          <w:szCs w:val="22"/>
          <w:vertAlign w:val="superscript"/>
        </w:rPr>
        <w:footnoteReference w:id="540"/>
      </w:r>
      <w:r w:rsidRPr="00F83BFA">
        <w:rPr>
          <w:sz w:val="22"/>
          <w:szCs w:val="22"/>
        </w:rPr>
        <w:t xml:space="preserve">  </w:t>
      </w:r>
    </w:p>
    <w:p w:rsidR="004A147C" w:rsidRPr="00F83BFA" w:rsidRDefault="004A147C" w:rsidP="00CE5850">
      <w:pPr>
        <w:pStyle w:val="ParaNum"/>
        <w:numPr>
          <w:ilvl w:val="0"/>
          <w:numId w:val="28"/>
        </w:numPr>
        <w:rPr>
          <w:sz w:val="22"/>
          <w:szCs w:val="22"/>
        </w:rPr>
      </w:pPr>
      <w:r w:rsidRPr="00F83BFA">
        <w:rPr>
          <w:sz w:val="22"/>
          <w:szCs w:val="22"/>
        </w:rPr>
        <w:t>While Leap has managed network congestion with speed reductions since 2010, MetroPCS did not resort to speed reductions until 2012.</w:t>
      </w:r>
      <w:r w:rsidRPr="00F83BFA">
        <w:rPr>
          <w:sz w:val="22"/>
          <w:szCs w:val="22"/>
          <w:vertAlign w:val="superscript"/>
        </w:rPr>
        <w:footnoteReference w:id="541"/>
      </w:r>
      <w:r w:rsidRPr="00F83BFA">
        <w:rPr>
          <w:sz w:val="22"/>
          <w:szCs w:val="22"/>
        </w:rPr>
        <w:t xml:space="preserve">  Instead, MetroPCS initially used a tiered pricing structure for its LTE service that gave consumers the option of choosing less expensive “unlimited” data plans with restricted access to multimedia streaming.  The company’s most expensive LTE service plan ($60 per month) included unlimited multimedia streaming and unlimited access to its Rhapsody music service along with unlimited web and email service, while its entry-level LTE service plan ($40 per month) limited users to 100 MB of multimedia streaming access and its mid-range LTE service plan ($50 per month) limited users to 1 GB of multimedia streaming.</w:t>
      </w:r>
      <w:r w:rsidRPr="00F83BFA">
        <w:rPr>
          <w:sz w:val="22"/>
          <w:szCs w:val="22"/>
          <w:vertAlign w:val="superscript"/>
        </w:rPr>
        <w:footnoteReference w:id="542"/>
      </w:r>
      <w:r w:rsidRPr="00F83BFA">
        <w:rPr>
          <w:sz w:val="22"/>
          <w:szCs w:val="22"/>
        </w:rPr>
        <w:t xml:space="preserve">  Customers who reached their monthly multimedia streaming allowances on these plans were no longer able to access that content, but could still use other data services.  In April 2012, MetroPCS raised the price of its unlimited LTE smartphone data plan to $70 per month and eliminated the distinction between web browsing and multimedia streaming on its lower-tiered LTE plans by introducing monthly data allowances and reducing the data speeds of users who exceed the allowances in a monthly billing cycle.</w:t>
      </w:r>
      <w:r w:rsidRPr="00F83BFA">
        <w:rPr>
          <w:sz w:val="22"/>
          <w:szCs w:val="22"/>
          <w:vertAlign w:val="superscript"/>
        </w:rPr>
        <w:t xml:space="preserve"> </w:t>
      </w:r>
      <w:r w:rsidRPr="00F83BFA">
        <w:rPr>
          <w:sz w:val="22"/>
          <w:szCs w:val="22"/>
          <w:vertAlign w:val="superscript"/>
        </w:rPr>
        <w:footnoteReference w:id="543"/>
      </w:r>
      <w:r w:rsidRPr="00F83BFA">
        <w:rPr>
          <w:sz w:val="22"/>
          <w:szCs w:val="22"/>
        </w:rPr>
        <w:t xml:space="preserve">  In particular, the company set LTE data usage allowances at 5 GB on its $60 plan, 2.5 GB on its $50 plan and 250 MB on its $40 plan.</w:t>
      </w:r>
      <w:r w:rsidRPr="00F83BFA">
        <w:rPr>
          <w:sz w:val="22"/>
          <w:szCs w:val="22"/>
          <w:vertAlign w:val="superscript"/>
        </w:rPr>
        <w:footnoteReference w:id="544"/>
      </w:r>
      <w:r w:rsidRPr="00F83BFA">
        <w:rPr>
          <w:sz w:val="22"/>
          <w:szCs w:val="22"/>
        </w:rPr>
        <w:t xml:space="preserve">  Customers who exceed their monthly data allowances remain on the LTE network and can continue to use their data service but at a reduced speed similar to what they might experience on the company’s EV-DO networks.</w:t>
      </w:r>
      <w:r w:rsidRPr="00F83BFA">
        <w:rPr>
          <w:sz w:val="22"/>
          <w:szCs w:val="22"/>
          <w:vertAlign w:val="superscript"/>
        </w:rPr>
        <w:footnoteReference w:id="545"/>
      </w:r>
    </w:p>
    <w:p w:rsidR="004A147C" w:rsidRPr="00F83BFA" w:rsidRDefault="004A147C" w:rsidP="00CE5850">
      <w:pPr>
        <w:pStyle w:val="ParaNum"/>
        <w:numPr>
          <w:ilvl w:val="0"/>
          <w:numId w:val="28"/>
        </w:numPr>
        <w:rPr>
          <w:sz w:val="22"/>
          <w:szCs w:val="22"/>
        </w:rPr>
      </w:pPr>
      <w:r w:rsidRPr="00F83BFA">
        <w:rPr>
          <w:sz w:val="22"/>
          <w:szCs w:val="22"/>
        </w:rPr>
        <w:t>In August 2012, MetroPCS began offering its unlimited LTE data plan for $55 per month on a promotional basis for a limited time.</w:t>
      </w:r>
      <w:r w:rsidRPr="00F83BFA">
        <w:rPr>
          <w:sz w:val="22"/>
          <w:szCs w:val="22"/>
          <w:vertAlign w:val="superscript"/>
        </w:rPr>
        <w:footnoteReference w:id="546"/>
      </w:r>
      <w:r w:rsidRPr="00F83BFA">
        <w:rPr>
          <w:sz w:val="22"/>
          <w:szCs w:val="22"/>
        </w:rPr>
        <w:t xml:space="preserve">  The new promotional plan, which includes unlimited voice and text messaging, does not have any data limits or speed reductions.  In an apparent response to the new shared data plans launched by Verizon and AT&amp;T, MetroPCS also offered families the option of purchasing up to four additional lines for a discounted price of $50 per month if they purchase the first unlimited LTE plan for $55 per month.  MetroPCS indicated it would determine how long the promotion lasts based on the customer response.</w:t>
      </w:r>
    </w:p>
    <w:p w:rsidR="004A147C" w:rsidRPr="00F1004B" w:rsidRDefault="004A147C" w:rsidP="00CE5850">
      <w:pPr>
        <w:pStyle w:val="ParaNum"/>
        <w:numPr>
          <w:ilvl w:val="0"/>
          <w:numId w:val="28"/>
        </w:numPr>
        <w:rPr>
          <w:sz w:val="22"/>
          <w:szCs w:val="22"/>
        </w:rPr>
      </w:pPr>
      <w:r w:rsidRPr="00F1004B">
        <w:rPr>
          <w:i/>
          <w:sz w:val="22"/>
          <w:szCs w:val="22"/>
        </w:rPr>
        <w:t>Low-End Segment Prepaid Plans</w:t>
      </w:r>
      <w:r w:rsidRPr="00F1004B">
        <w:rPr>
          <w:sz w:val="22"/>
          <w:szCs w:val="22"/>
        </w:rPr>
        <w:t>.  TracFone, an MVNO, is generally regarded as the leader in the low-end prepaid segment.</w:t>
      </w:r>
      <w:r w:rsidRPr="00F1004B">
        <w:rPr>
          <w:sz w:val="22"/>
          <w:szCs w:val="22"/>
          <w:vertAlign w:val="superscript"/>
        </w:rPr>
        <w:footnoteReference w:id="547"/>
      </w:r>
      <w:r w:rsidRPr="00F1004B">
        <w:rPr>
          <w:sz w:val="22"/>
          <w:szCs w:val="22"/>
        </w:rPr>
        <w:t xml:space="preserve">  Although Tracfone’s rates are slightly higher on a per minute basis than some alternative prepaid offerings, the company targets low-usage customers whom other prepaid service providers are reluctant to target because the ARPU they generate is so low.  In the first half of 2012, the monthly ARPU of Tracfone was $16, which was $3 less than the average monthly prepaid ARPU of the nationwide providers.</w:t>
      </w:r>
      <w:r w:rsidRPr="00F1004B">
        <w:rPr>
          <w:sz w:val="22"/>
          <w:szCs w:val="22"/>
          <w:vertAlign w:val="superscript"/>
        </w:rPr>
        <w:footnoteReference w:id="548"/>
      </w:r>
      <w:r w:rsidRPr="00F1004B">
        <w:rPr>
          <w:sz w:val="22"/>
          <w:szCs w:val="22"/>
        </w:rPr>
        <w:t xml:space="preserve">  TracFone purchases capacity wholesale from facilities-based providers and resells them through a national distribution network under various brands, including TracFone, Net10, and Safelink.</w:t>
      </w:r>
      <w:r w:rsidRPr="00F1004B">
        <w:rPr>
          <w:sz w:val="22"/>
          <w:szCs w:val="22"/>
          <w:vertAlign w:val="superscript"/>
        </w:rPr>
        <w:footnoteReference w:id="549"/>
      </w:r>
      <w:r w:rsidRPr="00F1004B">
        <w:rPr>
          <w:sz w:val="22"/>
          <w:szCs w:val="22"/>
        </w:rPr>
        <w:t xml:space="preserve">  The company’s phones and prepaid calling cards are sold at Wal-Mart Stores, Target, and RadioShack, in addition to drug stores and other local retail outlets.</w:t>
      </w:r>
      <w:r w:rsidRPr="00F1004B">
        <w:rPr>
          <w:sz w:val="22"/>
          <w:szCs w:val="22"/>
          <w:vertAlign w:val="superscript"/>
        </w:rPr>
        <w:footnoteReference w:id="550"/>
      </w:r>
      <w:r w:rsidRPr="00F1004B">
        <w:rPr>
          <w:sz w:val="22"/>
          <w:szCs w:val="22"/>
        </w:rPr>
        <w:t xml:space="preserve">  Analysts attribute much of TracFone's subscriber growth to its Safelink offer, a product that is supported by the Universal Service Fund through the Lifeline program.</w:t>
      </w:r>
      <w:r w:rsidRPr="00F1004B">
        <w:rPr>
          <w:sz w:val="22"/>
          <w:szCs w:val="22"/>
          <w:vertAlign w:val="superscript"/>
        </w:rPr>
        <w:footnoteReference w:id="551"/>
      </w:r>
      <w:r w:rsidRPr="00F1004B">
        <w:rPr>
          <w:sz w:val="22"/>
          <w:szCs w:val="22"/>
        </w:rPr>
        <w:t xml:space="preserve">  T-Mobile launched new pay-by-the-day prepaid plans in October 2011.</w:t>
      </w:r>
      <w:r w:rsidRPr="00F1004B">
        <w:rPr>
          <w:sz w:val="22"/>
          <w:szCs w:val="22"/>
          <w:vertAlign w:val="superscript"/>
        </w:rPr>
        <w:footnoteReference w:id="552"/>
      </w:r>
      <w:r w:rsidRPr="00F1004B">
        <w:rPr>
          <w:sz w:val="22"/>
          <w:szCs w:val="22"/>
        </w:rPr>
        <w:t xml:space="preserve">  The company’s $1.00 per day plan includes unlimited text messages, with an additional charge of $0.10 per minute of voice service.  In addition, the $2.00 per day plan includes unlimited calls, text messages and data at 2G (EDGE) speeds, while the $3.00 per day plan includes unlimited calls, text messages and data, with the first 200 MB per day at up to 4G speeds.  Customers pay the daily charge only on the days they actually use their phones.  As discussed above, T-Mobile also launched a new lineup of monthly prepaid plans in 2011, but the pay-per-day plans are targeted at “more down-market customers” than the monthly prepaid</w:t>
      </w:r>
      <w:r>
        <w:rPr>
          <w:sz w:val="22"/>
          <w:szCs w:val="22"/>
        </w:rPr>
        <w:t xml:space="preserve"> </w:t>
      </w:r>
      <w:r w:rsidRPr="00F1004B">
        <w:rPr>
          <w:sz w:val="22"/>
          <w:szCs w:val="22"/>
        </w:rPr>
        <w:t>plans.</w:t>
      </w:r>
      <w:r w:rsidRPr="00B53FFB">
        <w:rPr>
          <w:rStyle w:val="FootnoteReference"/>
          <w:szCs w:val="22"/>
        </w:rPr>
        <w:footnoteReference w:id="553"/>
      </w:r>
    </w:p>
    <w:p w:rsidR="004A147C" w:rsidRPr="00B53FFB" w:rsidRDefault="004A147C" w:rsidP="00CE5850">
      <w:pPr>
        <w:pStyle w:val="Heading3"/>
        <w:keepNext w:val="0"/>
        <w:numPr>
          <w:ilvl w:val="2"/>
          <w:numId w:val="26"/>
        </w:numPr>
        <w:tabs>
          <w:tab w:val="left" w:pos="2160"/>
        </w:tabs>
        <w:rPr>
          <w:sz w:val="22"/>
          <w:szCs w:val="22"/>
        </w:rPr>
      </w:pPr>
      <w:bookmarkStart w:id="2198" w:name="_Toc335839042"/>
      <w:bookmarkStart w:id="2199" w:name="_Toc336268605"/>
      <w:bookmarkStart w:id="2200" w:name="_Toc336268713"/>
      <w:bookmarkStart w:id="2201" w:name="_Toc336268820"/>
      <w:bookmarkStart w:id="2202" w:name="_Toc336269034"/>
      <w:bookmarkStart w:id="2203" w:name="_Toc336269141"/>
      <w:bookmarkStart w:id="2204" w:name="_Toc336269509"/>
      <w:bookmarkStart w:id="2205" w:name="_Toc336269655"/>
      <w:bookmarkStart w:id="2206" w:name="_Toc336270068"/>
      <w:bookmarkStart w:id="2207" w:name="_Toc336271268"/>
      <w:bookmarkStart w:id="2208" w:name="_Toc337651969"/>
      <w:bookmarkStart w:id="2209" w:name="_Toc349577157"/>
      <w:bookmarkStart w:id="2210" w:name="_Toc349579249"/>
      <w:bookmarkStart w:id="2211" w:name="_Toc349580564"/>
      <w:bookmarkStart w:id="2212" w:name="_Toc349734972"/>
      <w:bookmarkStart w:id="2213" w:name="_Toc349742337"/>
      <w:r w:rsidRPr="00B53FFB">
        <w:rPr>
          <w:sz w:val="22"/>
          <w:szCs w:val="22"/>
        </w:rPr>
        <w:t>Early Termination Fees (ETFs)</w:t>
      </w:r>
      <w:bookmarkEnd w:id="1993"/>
      <w:bookmarkEnd w:id="1994"/>
      <w:bookmarkEnd w:id="1995"/>
      <w:r w:rsidRPr="00B53FFB">
        <w:rPr>
          <w:sz w:val="22"/>
          <w:szCs w:val="22"/>
        </w:rPr>
        <w:t xml:space="preserve"> for Postpaid Service</w:t>
      </w:r>
      <w:bookmarkEnd w:id="1996"/>
      <w:bookmarkEnd w:id="1997"/>
      <w:bookmarkEnd w:id="1998"/>
      <w:bookmarkEnd w:id="1999"/>
      <w:bookmarkEnd w:id="2000"/>
      <w:bookmarkEnd w:id="2198"/>
      <w:bookmarkEnd w:id="2199"/>
      <w:bookmarkEnd w:id="2200"/>
      <w:bookmarkEnd w:id="2201"/>
      <w:bookmarkEnd w:id="2202"/>
      <w:bookmarkEnd w:id="2203"/>
      <w:bookmarkEnd w:id="2204"/>
      <w:bookmarkEnd w:id="2205"/>
      <w:bookmarkEnd w:id="2206"/>
      <w:bookmarkEnd w:id="2207"/>
      <w:bookmarkEnd w:id="2208"/>
      <w:bookmarkEnd w:id="2209"/>
      <w:bookmarkEnd w:id="2210"/>
      <w:bookmarkEnd w:id="2211"/>
      <w:bookmarkEnd w:id="2212"/>
      <w:bookmarkEnd w:id="2213"/>
    </w:p>
    <w:p w:rsidR="004A147C" w:rsidRPr="00F83BFA" w:rsidRDefault="004A147C" w:rsidP="00CE5850">
      <w:pPr>
        <w:pStyle w:val="ParaNum"/>
        <w:numPr>
          <w:ilvl w:val="0"/>
          <w:numId w:val="28"/>
        </w:numPr>
        <w:rPr>
          <w:sz w:val="22"/>
          <w:szCs w:val="22"/>
        </w:rPr>
      </w:pPr>
      <w:r w:rsidRPr="00F83BFA">
        <w:rPr>
          <w:sz w:val="22"/>
          <w:szCs w:val="22"/>
        </w:rPr>
        <w:t>Service providers assess ETFs to postpaid subscribers when they cancel their wireless service agreements or plans before the expiration of their terms.  Service providers may view ETFs as part of their service plan rates.  For instance, T-Mobile states “The Early Termination Fee is part of our rates and is not a penalty.”</w:t>
      </w:r>
      <w:r w:rsidRPr="00F83BFA">
        <w:rPr>
          <w:sz w:val="22"/>
          <w:szCs w:val="22"/>
          <w:vertAlign w:val="superscript"/>
        </w:rPr>
        <w:footnoteReference w:id="554"/>
      </w:r>
      <w:r w:rsidRPr="00F83BFA">
        <w:rPr>
          <w:sz w:val="22"/>
          <w:szCs w:val="22"/>
        </w:rPr>
        <w:t xml:space="preserve">  Smartphones and other advanced devices typically have higher ETFs than more basic handsets, reflecting the prevailing model of handset distribution for postpaid plans in which providers sell handsets to customers below cost and subsequently recover the cost over the term of the service agreement.</w:t>
      </w:r>
      <w:r w:rsidRPr="00F83BFA">
        <w:rPr>
          <w:sz w:val="22"/>
          <w:szCs w:val="22"/>
          <w:vertAlign w:val="superscript"/>
        </w:rPr>
        <w:footnoteReference w:id="555"/>
      </w:r>
      <w:r w:rsidRPr="00F83BFA">
        <w:rPr>
          <w:sz w:val="22"/>
          <w:szCs w:val="22"/>
        </w:rPr>
        <w:t xml:space="preserve">  As detailed in the </w:t>
      </w:r>
      <w:r w:rsidRPr="00F83BFA">
        <w:rPr>
          <w:i/>
          <w:sz w:val="22"/>
          <w:szCs w:val="22"/>
        </w:rPr>
        <w:t>Fourteenth Report</w:t>
      </w:r>
      <w:r w:rsidRPr="00F83BFA">
        <w:rPr>
          <w:sz w:val="22"/>
          <w:szCs w:val="22"/>
        </w:rPr>
        <w:t>, the nationwide providers have described their practices regarding the disclosure of ETFs to consumers and state generally that they give consumers adequate notice about the applicable ETFs that apply; that ETFs allow them to subsidize handset purchases — including purchases of smartphones — for customers; and that wireless providers normally recover those subsidies over the life of a contract, but cannot do so when a customer ends a contract early.</w:t>
      </w:r>
      <w:r w:rsidRPr="00F83BFA">
        <w:rPr>
          <w:sz w:val="22"/>
          <w:szCs w:val="22"/>
          <w:vertAlign w:val="superscript"/>
        </w:rPr>
        <w:footnoteReference w:id="556"/>
      </w:r>
      <w:r w:rsidRPr="00F83BFA">
        <w:rPr>
          <w:sz w:val="22"/>
          <w:szCs w:val="22"/>
        </w:rPr>
        <w:t xml:space="preserve"> </w:t>
      </w:r>
    </w:p>
    <w:p w:rsidR="004A147C" w:rsidRPr="00F83BFA" w:rsidRDefault="004A147C" w:rsidP="00CE5850">
      <w:pPr>
        <w:pStyle w:val="ParaNum"/>
        <w:numPr>
          <w:ilvl w:val="0"/>
          <w:numId w:val="28"/>
        </w:numPr>
        <w:rPr>
          <w:sz w:val="22"/>
          <w:szCs w:val="22"/>
        </w:rPr>
      </w:pPr>
      <w:r w:rsidRPr="00F83BFA">
        <w:rPr>
          <w:sz w:val="22"/>
          <w:szCs w:val="22"/>
        </w:rPr>
        <w:t>In 2012, all four nationwide providers had policies to pro-rate ETFs over the course of the standard two-year contract by progressively reducing the fee postpaid customers pay to terminate their service contracts before the expiration of their terms.  The AT&amp;T ETF for advanced smartphones and devices starts at $325 and is reduced by $10 for each full month of service completed.</w:t>
      </w:r>
      <w:r w:rsidRPr="00F83BFA">
        <w:rPr>
          <w:sz w:val="22"/>
          <w:szCs w:val="22"/>
          <w:vertAlign w:val="superscript"/>
        </w:rPr>
        <w:footnoteReference w:id="557"/>
      </w:r>
      <w:r w:rsidRPr="00F83BFA">
        <w:rPr>
          <w:sz w:val="22"/>
          <w:szCs w:val="22"/>
        </w:rPr>
        <w:t xml:space="preserve">  AT&amp;T’s standard ETF starts at $150 and is reduced by $4 for each full month of service completed.  The Verizon ETF for advanced smartphones and devices starts at $350 and is reduced by $10 for each full month of service completed.</w:t>
      </w:r>
      <w:r w:rsidRPr="00F83BFA">
        <w:rPr>
          <w:sz w:val="22"/>
          <w:szCs w:val="22"/>
          <w:vertAlign w:val="superscript"/>
        </w:rPr>
        <w:footnoteReference w:id="558"/>
      </w:r>
      <w:r w:rsidRPr="00F83BFA">
        <w:rPr>
          <w:sz w:val="22"/>
          <w:szCs w:val="22"/>
        </w:rPr>
        <w:t xml:space="preserve">  Verizon’s standard ETF starts at $175 and is reduced by $5 for each full month of service completed.  The Sprint ETF for advanced smartphones and devices is $350 for the first six months, and then is reduced by $20 for each full month of service completed until the ETF reaches $100.</w:t>
      </w:r>
      <w:r w:rsidRPr="00F83BFA">
        <w:rPr>
          <w:sz w:val="22"/>
          <w:szCs w:val="22"/>
          <w:vertAlign w:val="superscript"/>
        </w:rPr>
        <w:footnoteReference w:id="559"/>
      </w:r>
      <w:r w:rsidRPr="00F83BFA">
        <w:rPr>
          <w:sz w:val="22"/>
          <w:szCs w:val="22"/>
        </w:rPr>
        <w:t xml:space="preserve">  Sprint’s standard ETF is $200 for the first four months, and then is reduced by $10 for each full month of service completed until the ETF reaches $50.  The T-Mobile ETF is $200 if more than six months remain on the service contract, $100 if three to six months remain on the service contract, $50 if one to three months remain on the service contract, and the smaller of $50 or the monthly recurring charges if less than one month remains on the contract.</w:t>
      </w:r>
      <w:r w:rsidRPr="00F83BFA">
        <w:rPr>
          <w:sz w:val="22"/>
          <w:szCs w:val="22"/>
          <w:vertAlign w:val="superscript"/>
        </w:rPr>
        <w:footnoteReference w:id="560"/>
      </w:r>
    </w:p>
    <w:p w:rsidR="004A147C" w:rsidRPr="00F83BFA" w:rsidRDefault="004A147C" w:rsidP="00CE5850">
      <w:pPr>
        <w:pStyle w:val="ParaNum"/>
        <w:numPr>
          <w:ilvl w:val="0"/>
          <w:numId w:val="28"/>
        </w:numPr>
        <w:rPr>
          <w:sz w:val="22"/>
          <w:szCs w:val="22"/>
        </w:rPr>
      </w:pPr>
      <w:r w:rsidRPr="00F83BFA">
        <w:rPr>
          <w:sz w:val="22"/>
          <w:szCs w:val="22"/>
        </w:rPr>
        <w:t>There are service plans available to customers that do not involve ETFs and service plans that include ETFs generally have a return period in which the ETF will not be triggered.  Consumers can avoid ETFs entirely by purchasing mobile wireless service on a prepaid basis, which offers service at attractive prices and has grown to include smartphone data plans.</w:t>
      </w:r>
      <w:r w:rsidRPr="00F83BFA">
        <w:rPr>
          <w:sz w:val="22"/>
          <w:szCs w:val="22"/>
          <w:vertAlign w:val="superscript"/>
        </w:rPr>
        <w:footnoteReference w:id="561"/>
      </w:r>
      <w:r w:rsidRPr="00F83BFA">
        <w:rPr>
          <w:sz w:val="22"/>
          <w:szCs w:val="22"/>
        </w:rPr>
        <w:t xml:space="preserve">  Some service providers have return policies that allow customers to cancel their contracts and return their handsets for a limited period of time without having to pay an ETF.  In 2012, AT&amp;T permitted service cancellations and handset returns for a full refund for up to 30 days.</w:t>
      </w:r>
      <w:r w:rsidRPr="00F83BFA">
        <w:rPr>
          <w:sz w:val="22"/>
          <w:szCs w:val="22"/>
          <w:vertAlign w:val="superscript"/>
        </w:rPr>
        <w:footnoteReference w:id="562"/>
      </w:r>
      <w:r w:rsidRPr="00F83BFA">
        <w:rPr>
          <w:sz w:val="22"/>
          <w:szCs w:val="22"/>
        </w:rPr>
        <w:t xml:space="preserve">  T-Mobile, Sprint, and Verizon Wireless granted full refunds if a customer canceled a new account and returned the handset within 14 days of activation.</w:t>
      </w:r>
      <w:r w:rsidRPr="00F83BFA">
        <w:rPr>
          <w:sz w:val="22"/>
          <w:szCs w:val="22"/>
          <w:vertAlign w:val="superscript"/>
        </w:rPr>
        <w:footnoteReference w:id="563"/>
      </w:r>
      <w:r w:rsidRPr="00F83BFA">
        <w:rPr>
          <w:sz w:val="22"/>
          <w:szCs w:val="22"/>
        </w:rPr>
        <w:t xml:space="preserve">    </w:t>
      </w:r>
    </w:p>
    <w:p w:rsidR="004A147C" w:rsidRPr="00F83BFA" w:rsidRDefault="004A147C" w:rsidP="00CE5850">
      <w:pPr>
        <w:pStyle w:val="ParaNum"/>
        <w:numPr>
          <w:ilvl w:val="0"/>
          <w:numId w:val="28"/>
        </w:numPr>
        <w:rPr>
          <w:sz w:val="22"/>
          <w:szCs w:val="22"/>
        </w:rPr>
      </w:pPr>
      <w:r w:rsidRPr="00F83BFA">
        <w:rPr>
          <w:sz w:val="22"/>
          <w:szCs w:val="22"/>
        </w:rPr>
        <w:t>The emergence of a secondary market segment for mobile wireless service contracts may facilitate consumers’ ability to switch service providers.  In most cases, wireless service providers allow consumers to leave their contracts without paying an ETF by transferring the remaining contract term to someone else who meets the provider’s credit requirements.  A number of websites exist to facilitate transfers of mobile wireless contracts from one consumer to another under these provisions.</w:t>
      </w:r>
      <w:r w:rsidRPr="00F83BFA">
        <w:rPr>
          <w:sz w:val="22"/>
          <w:szCs w:val="22"/>
          <w:vertAlign w:val="superscript"/>
        </w:rPr>
        <w:footnoteReference w:id="564"/>
      </w:r>
      <w:r w:rsidRPr="00F83BFA">
        <w:rPr>
          <w:sz w:val="22"/>
          <w:szCs w:val="22"/>
        </w:rPr>
        <w:t xml:space="preserve">  In particular, the websites help mobile wireless customers avoid paying penalties for early termination by putting them in touch with people seeking a mobile wireless contract.  Although these sites charge existing mobile wireless customers a range of fees to transfer or cancel a contract, these fees are typically much lower than the ETFs customers would otherwise have to pay. </w:t>
      </w:r>
      <w:r w:rsidRPr="00F83BFA">
        <w:rPr>
          <w:sz w:val="22"/>
          <w:szCs w:val="22"/>
          <w:vertAlign w:val="superscript"/>
        </w:rPr>
        <w:footnoteReference w:id="565"/>
      </w:r>
      <w:r w:rsidRPr="00F83BFA">
        <w:rPr>
          <w:sz w:val="22"/>
          <w:szCs w:val="22"/>
        </w:rPr>
        <w:t xml:space="preserve">  Other potential advantages include</w:t>
      </w:r>
      <w:r>
        <w:rPr>
          <w:sz w:val="22"/>
          <w:szCs w:val="22"/>
        </w:rPr>
        <w:t xml:space="preserve"> avoiding a service activation f</w:t>
      </w:r>
      <w:r w:rsidRPr="00F83BFA">
        <w:rPr>
          <w:sz w:val="22"/>
          <w:szCs w:val="22"/>
        </w:rPr>
        <w:t xml:space="preserve">ee and obtaining a shorter contract than if they had contracted directly with a mobile wireless service provider.  </w:t>
      </w:r>
    </w:p>
    <w:p w:rsidR="004A147C" w:rsidRPr="00F83BFA" w:rsidRDefault="004A147C" w:rsidP="00CE5850">
      <w:pPr>
        <w:pStyle w:val="ParaNum"/>
        <w:numPr>
          <w:ilvl w:val="0"/>
          <w:numId w:val="28"/>
        </w:numPr>
        <w:rPr>
          <w:sz w:val="22"/>
          <w:szCs w:val="22"/>
        </w:rPr>
      </w:pPr>
      <w:r w:rsidRPr="00F83BFA">
        <w:rPr>
          <w:sz w:val="22"/>
          <w:szCs w:val="22"/>
        </w:rPr>
        <w:t>In addition to the secondary market for cellphone service contracts, there is a secondary market for iPhones and other high-end smartphones and devices.  Customers on contracts that are not yet eligible for subsidized devices and who therefore have to pay more to upgrade immediately can partially offset the increased cost of upgrading, including ETFs and upgrade fees, by trading in their old devices.</w:t>
      </w:r>
      <w:r w:rsidRPr="00F83BFA">
        <w:rPr>
          <w:sz w:val="22"/>
          <w:szCs w:val="22"/>
          <w:vertAlign w:val="superscript"/>
        </w:rPr>
        <w:footnoteReference w:id="566"/>
      </w:r>
      <w:r w:rsidRPr="00F83BFA">
        <w:rPr>
          <w:sz w:val="22"/>
          <w:szCs w:val="22"/>
        </w:rPr>
        <w:t xml:space="preserve">  Trade-in options include Gazelle, Amazon and programs offered by both Sprint and Verizon.</w:t>
      </w:r>
      <w:r w:rsidRPr="00F83BFA">
        <w:rPr>
          <w:sz w:val="22"/>
          <w:szCs w:val="22"/>
          <w:vertAlign w:val="superscript"/>
        </w:rPr>
        <w:footnoteReference w:id="567"/>
      </w:r>
      <w:r w:rsidRPr="00F83BFA">
        <w:rPr>
          <w:sz w:val="22"/>
          <w:szCs w:val="22"/>
        </w:rPr>
        <w:t xml:space="preserve">  Gazelle purchases a range of devices for various forms of payment, including check, direct deposit to a Paypal account and Amazon gift card.  Amazon offers better trade-in values than Gazelle, but the only form of payment is an Amazon gift card and it only offers trade-ins for Apple iPhones.</w:t>
      </w:r>
      <w:r w:rsidRPr="00F83BFA">
        <w:rPr>
          <w:sz w:val="22"/>
          <w:szCs w:val="22"/>
          <w:vertAlign w:val="superscript"/>
        </w:rPr>
        <w:footnoteReference w:id="568"/>
      </w:r>
      <w:r w:rsidRPr="00F83BFA">
        <w:rPr>
          <w:sz w:val="22"/>
          <w:szCs w:val="22"/>
        </w:rPr>
        <w:t xml:space="preserve">  Sprint offers account credit and Verizon offers gift cards for used devices, but trade-in programs are limited to iPhones and the latest and most popular Android smartphones.</w:t>
      </w:r>
      <w:r w:rsidRPr="00F83BFA">
        <w:rPr>
          <w:sz w:val="22"/>
          <w:szCs w:val="22"/>
          <w:vertAlign w:val="superscript"/>
        </w:rPr>
        <w:footnoteReference w:id="569"/>
      </w:r>
      <w:r w:rsidRPr="00F83BFA">
        <w:rPr>
          <w:sz w:val="22"/>
          <w:szCs w:val="22"/>
        </w:rPr>
        <w:t xml:space="preserve">  Customers may also buy and sell smartphones on eBay, ReCellular.com, and Cellitused.com.</w:t>
      </w:r>
      <w:r w:rsidRPr="00F83BFA">
        <w:rPr>
          <w:rStyle w:val="FootnoteReference"/>
          <w:szCs w:val="22"/>
        </w:rPr>
        <w:footnoteReference w:id="570"/>
      </w:r>
    </w:p>
    <w:p w:rsidR="004A147C" w:rsidRPr="00B53FFB" w:rsidRDefault="004A147C" w:rsidP="00CE5850">
      <w:pPr>
        <w:pStyle w:val="Heading2"/>
        <w:keepNext w:val="0"/>
      </w:pPr>
      <w:bookmarkStart w:id="2214" w:name="_Toc275517970"/>
      <w:bookmarkStart w:id="2215" w:name="_Toc275952410"/>
      <w:bookmarkStart w:id="2216" w:name="_Toc276121842"/>
      <w:bookmarkStart w:id="2217" w:name="_Toc276480679"/>
      <w:bookmarkStart w:id="2218" w:name="_Toc276741756"/>
      <w:bookmarkStart w:id="2219" w:name="_Ref276997153"/>
      <w:bookmarkStart w:id="2220" w:name="_Toc277171520"/>
      <w:bookmarkStart w:id="2221" w:name="_Toc277864495"/>
      <w:bookmarkStart w:id="2222" w:name="_Toc277864711"/>
      <w:bookmarkStart w:id="2223" w:name="_Ref278189280"/>
      <w:bookmarkStart w:id="2224" w:name="_Toc285810392"/>
      <w:bookmarkStart w:id="2225" w:name="_Toc287257786"/>
      <w:bookmarkStart w:id="2226" w:name="_Ref287259795"/>
      <w:bookmarkStart w:id="2227" w:name="_Toc291758665"/>
      <w:bookmarkStart w:id="2228" w:name="_Toc291758768"/>
      <w:bookmarkStart w:id="2229" w:name="_Toc295392948"/>
      <w:bookmarkStart w:id="2230" w:name="_Toc329262499"/>
      <w:bookmarkStart w:id="2231" w:name="_Toc329852407"/>
      <w:bookmarkStart w:id="2232" w:name="_Toc331766323"/>
      <w:bookmarkStart w:id="2233" w:name="_Toc332119118"/>
      <w:bookmarkStart w:id="2234" w:name="_Toc334088795"/>
      <w:bookmarkStart w:id="2235" w:name="_Toc334089031"/>
      <w:bookmarkStart w:id="2236" w:name="_Toc334089190"/>
      <w:bookmarkStart w:id="2237" w:name="_Toc334089301"/>
      <w:bookmarkStart w:id="2238" w:name="_Toc334089465"/>
      <w:bookmarkStart w:id="2239" w:name="_Toc335839043"/>
      <w:bookmarkStart w:id="2240" w:name="_Toc336268606"/>
      <w:bookmarkStart w:id="2241" w:name="_Toc336268714"/>
      <w:bookmarkStart w:id="2242" w:name="_Toc336268821"/>
      <w:bookmarkStart w:id="2243" w:name="_Toc336269035"/>
      <w:bookmarkStart w:id="2244" w:name="_Toc336269142"/>
      <w:bookmarkStart w:id="2245" w:name="_Toc336269510"/>
      <w:bookmarkStart w:id="2246" w:name="_Toc336269656"/>
      <w:bookmarkStart w:id="2247" w:name="_Toc336270069"/>
      <w:bookmarkStart w:id="2248" w:name="_Toc336271269"/>
      <w:bookmarkStart w:id="2249" w:name="_Toc337651970"/>
      <w:bookmarkStart w:id="2250" w:name="_Toc349577158"/>
      <w:bookmarkStart w:id="2251" w:name="_Toc349579250"/>
      <w:bookmarkStart w:id="2252" w:name="_Toc349580565"/>
      <w:bookmarkStart w:id="2253" w:name="_Toc349734973"/>
      <w:bookmarkStart w:id="2254" w:name="_Toc349742338"/>
      <w:r w:rsidRPr="00B53FFB">
        <w:t>Non-Price Rivalry</w:t>
      </w:r>
      <w:bookmarkEnd w:id="2001"/>
      <w:bookmarkEnd w:id="2002"/>
      <w:bookmarkEnd w:id="2003"/>
      <w:bookmarkEnd w:id="2004"/>
      <w:bookmarkEnd w:id="2005"/>
      <w:bookmarkEnd w:id="2006"/>
      <w:bookmarkEnd w:id="2007"/>
      <w:bookmarkEnd w:id="2008"/>
      <w:bookmarkEnd w:id="2009"/>
      <w:bookmarkEnd w:id="2010"/>
      <w:bookmarkEnd w:id="2011"/>
      <w:bookmarkEnd w:id="2012"/>
      <w:bookmarkEnd w:id="2013"/>
      <w:bookmarkEnd w:id="2014"/>
      <w:bookmarkEnd w:id="2015"/>
      <w:bookmarkEnd w:id="2016"/>
      <w:bookmarkEnd w:id="2017"/>
      <w:bookmarkEnd w:id="2018"/>
      <w:bookmarkEnd w:id="2019"/>
      <w:bookmarkEnd w:id="2020"/>
      <w:bookmarkEnd w:id="2021"/>
      <w:bookmarkEnd w:id="2022"/>
      <w:bookmarkEnd w:id="2023"/>
      <w:bookmarkEnd w:id="2024"/>
      <w:bookmarkEnd w:id="2025"/>
      <w:bookmarkEnd w:id="2026"/>
      <w:bookmarkEnd w:id="2027"/>
      <w:bookmarkEnd w:id="2028"/>
      <w:bookmarkEnd w:id="2029"/>
      <w:bookmarkEnd w:id="2030"/>
      <w:bookmarkEnd w:id="2031"/>
      <w:bookmarkEnd w:id="2032"/>
      <w:bookmarkEnd w:id="2033"/>
      <w:bookmarkEnd w:id="2034"/>
      <w:bookmarkEnd w:id="2035"/>
      <w:bookmarkEnd w:id="2036"/>
      <w:bookmarkEnd w:id="2037"/>
      <w:bookmarkEnd w:id="2038"/>
      <w:bookmarkEnd w:id="2039"/>
      <w:bookmarkEnd w:id="2040"/>
      <w:bookmarkEnd w:id="2041"/>
      <w:bookmarkEnd w:id="2042"/>
      <w:bookmarkEnd w:id="2043"/>
      <w:bookmarkEnd w:id="2044"/>
      <w:bookmarkEnd w:id="2045"/>
      <w:bookmarkEnd w:id="2046"/>
      <w:bookmarkEnd w:id="2047"/>
      <w:bookmarkEnd w:id="2048"/>
      <w:bookmarkEnd w:id="2049"/>
      <w:bookmarkEnd w:id="2050"/>
      <w:bookmarkEnd w:id="2051"/>
      <w:bookmarkEnd w:id="2052"/>
      <w:bookmarkEnd w:id="2053"/>
      <w:bookmarkEnd w:id="2054"/>
      <w:bookmarkEnd w:id="2055"/>
      <w:bookmarkEnd w:id="2056"/>
      <w:bookmarkEnd w:id="2057"/>
      <w:bookmarkEnd w:id="2058"/>
      <w:bookmarkEnd w:id="2059"/>
      <w:bookmarkEnd w:id="2060"/>
      <w:bookmarkEnd w:id="2061"/>
      <w:bookmarkEnd w:id="2062"/>
      <w:bookmarkEnd w:id="2063"/>
      <w:bookmarkEnd w:id="2064"/>
      <w:bookmarkEnd w:id="2214"/>
      <w:bookmarkEnd w:id="2215"/>
      <w:bookmarkEnd w:id="2216"/>
      <w:bookmarkEnd w:id="2217"/>
      <w:bookmarkEnd w:id="2218"/>
      <w:bookmarkEnd w:id="2219"/>
      <w:bookmarkEnd w:id="2220"/>
      <w:bookmarkEnd w:id="2221"/>
      <w:bookmarkEnd w:id="2222"/>
      <w:bookmarkEnd w:id="2223"/>
      <w:bookmarkEnd w:id="2224"/>
      <w:bookmarkEnd w:id="2225"/>
      <w:bookmarkEnd w:id="2226"/>
      <w:bookmarkEnd w:id="2227"/>
      <w:bookmarkEnd w:id="2228"/>
      <w:bookmarkEnd w:id="2229"/>
      <w:bookmarkEnd w:id="2230"/>
      <w:bookmarkEnd w:id="2231"/>
      <w:bookmarkEnd w:id="2232"/>
      <w:bookmarkEnd w:id="2233"/>
      <w:bookmarkEnd w:id="2234"/>
      <w:bookmarkEnd w:id="2235"/>
      <w:bookmarkEnd w:id="2236"/>
      <w:bookmarkEnd w:id="2237"/>
      <w:bookmarkEnd w:id="2238"/>
      <w:bookmarkEnd w:id="2239"/>
      <w:bookmarkEnd w:id="2240"/>
      <w:bookmarkEnd w:id="2241"/>
      <w:bookmarkEnd w:id="2242"/>
      <w:bookmarkEnd w:id="2243"/>
      <w:bookmarkEnd w:id="2244"/>
      <w:bookmarkEnd w:id="2245"/>
      <w:bookmarkEnd w:id="2246"/>
      <w:bookmarkEnd w:id="2247"/>
      <w:bookmarkEnd w:id="2248"/>
      <w:bookmarkEnd w:id="2249"/>
      <w:bookmarkEnd w:id="2250"/>
      <w:bookmarkEnd w:id="2251"/>
      <w:bookmarkEnd w:id="2252"/>
      <w:bookmarkEnd w:id="2253"/>
      <w:bookmarkEnd w:id="2254"/>
      <w:r w:rsidRPr="00B53FFB">
        <w:t xml:space="preserve"> </w:t>
      </w:r>
    </w:p>
    <w:p w:rsidR="004A147C" w:rsidRPr="00B53FFB" w:rsidRDefault="004A147C" w:rsidP="00CE5850">
      <w:pPr>
        <w:pStyle w:val="ParaNum"/>
        <w:numPr>
          <w:ilvl w:val="0"/>
          <w:numId w:val="28"/>
        </w:numPr>
        <w:rPr>
          <w:sz w:val="22"/>
          <w:szCs w:val="22"/>
        </w:rPr>
      </w:pPr>
      <w:bookmarkStart w:id="2255" w:name="_Toc69552334"/>
      <w:r w:rsidRPr="00B53FFB">
        <w:rPr>
          <w:sz w:val="22"/>
          <w:szCs w:val="22"/>
        </w:rPr>
        <w:t xml:space="preserve">Mobile wireless service providers also compete for customers on other dimensions in addition to price.  This section presents evidence in three broad categories of non-price rivalry among mobile wireless service providers:  1) network coverage, quality, and investment; 2) portfolios of innovative devices and services; and 3)  advertising campaigns and expenditures to create retail distribution networks, distribute product information, and establish and increase brand recognition .  </w:t>
      </w:r>
    </w:p>
    <w:p w:rsidR="004A147C" w:rsidRPr="00B53FFB" w:rsidRDefault="004A147C" w:rsidP="00CE5850">
      <w:pPr>
        <w:pStyle w:val="Heading3"/>
        <w:keepNext w:val="0"/>
        <w:numPr>
          <w:ilvl w:val="2"/>
          <w:numId w:val="26"/>
        </w:numPr>
        <w:tabs>
          <w:tab w:val="left" w:pos="2160"/>
        </w:tabs>
        <w:rPr>
          <w:sz w:val="22"/>
          <w:szCs w:val="22"/>
        </w:rPr>
      </w:pPr>
      <w:bookmarkStart w:id="2256" w:name="_Ref256506775"/>
      <w:bookmarkStart w:id="2257" w:name="_Ref256506780"/>
      <w:bookmarkStart w:id="2258" w:name="_Ref257369473"/>
      <w:bookmarkStart w:id="2259" w:name="_Toc261610774"/>
      <w:bookmarkStart w:id="2260" w:name="_Toc261858507"/>
      <w:bookmarkStart w:id="2261" w:name="_Toc262034312"/>
      <w:bookmarkStart w:id="2262" w:name="_Toc262034415"/>
      <w:bookmarkStart w:id="2263" w:name="_Toc275517971"/>
      <w:bookmarkStart w:id="2264" w:name="_Toc275952411"/>
      <w:bookmarkStart w:id="2265" w:name="_Toc276121843"/>
      <w:bookmarkStart w:id="2266" w:name="_Toc276480680"/>
      <w:bookmarkStart w:id="2267" w:name="_Toc276741757"/>
      <w:bookmarkStart w:id="2268" w:name="_Toc277171521"/>
      <w:bookmarkStart w:id="2269" w:name="_Toc277864496"/>
      <w:bookmarkStart w:id="2270" w:name="_Toc277864712"/>
      <w:bookmarkStart w:id="2271" w:name="_Toc285810393"/>
      <w:bookmarkStart w:id="2272" w:name="_Toc287257787"/>
      <w:bookmarkStart w:id="2273" w:name="_Toc291758666"/>
      <w:bookmarkStart w:id="2274" w:name="_Toc291758769"/>
      <w:bookmarkStart w:id="2275" w:name="_Toc295392949"/>
      <w:bookmarkStart w:id="2276" w:name="_Toc329262500"/>
      <w:bookmarkStart w:id="2277" w:name="_Toc329852408"/>
      <w:bookmarkStart w:id="2278" w:name="_Toc331766324"/>
      <w:bookmarkStart w:id="2279" w:name="_Toc332119119"/>
      <w:bookmarkStart w:id="2280" w:name="_Toc334088796"/>
      <w:bookmarkStart w:id="2281" w:name="_Toc334089032"/>
      <w:bookmarkStart w:id="2282" w:name="_Toc334089191"/>
      <w:bookmarkStart w:id="2283" w:name="_Toc334089302"/>
      <w:bookmarkStart w:id="2284" w:name="_Toc334089466"/>
      <w:bookmarkStart w:id="2285" w:name="_Toc335839044"/>
      <w:bookmarkStart w:id="2286" w:name="_Toc336268607"/>
      <w:bookmarkStart w:id="2287" w:name="_Toc336268715"/>
      <w:bookmarkStart w:id="2288" w:name="_Toc336268822"/>
      <w:bookmarkStart w:id="2289" w:name="_Toc336269036"/>
      <w:bookmarkStart w:id="2290" w:name="_Toc336269143"/>
      <w:bookmarkStart w:id="2291" w:name="_Toc336269511"/>
      <w:bookmarkStart w:id="2292" w:name="_Toc336269657"/>
      <w:bookmarkStart w:id="2293" w:name="_Toc336270070"/>
      <w:bookmarkStart w:id="2294" w:name="_Toc336271270"/>
      <w:bookmarkStart w:id="2295" w:name="_Toc337651971"/>
      <w:bookmarkStart w:id="2296" w:name="_Toc349577159"/>
      <w:bookmarkStart w:id="2297" w:name="_Toc349579251"/>
      <w:bookmarkStart w:id="2298" w:name="_Toc349580566"/>
      <w:bookmarkStart w:id="2299" w:name="_Toc349734974"/>
      <w:bookmarkStart w:id="2300" w:name="_Toc349742339"/>
      <w:bookmarkEnd w:id="2255"/>
      <w:r w:rsidRPr="00B53FFB">
        <w:rPr>
          <w:sz w:val="22"/>
          <w:szCs w:val="22"/>
        </w:rPr>
        <w:t>Network Coverage and Technology Upgrades</w:t>
      </w:r>
      <w:bookmarkEnd w:id="2256"/>
      <w:bookmarkEnd w:id="2257"/>
      <w:bookmarkEnd w:id="2258"/>
      <w:bookmarkEnd w:id="2259"/>
      <w:bookmarkEnd w:id="2260"/>
      <w:bookmarkEnd w:id="2261"/>
      <w:bookmarkEnd w:id="2262"/>
      <w:bookmarkEnd w:id="2263"/>
      <w:bookmarkEnd w:id="2264"/>
      <w:bookmarkEnd w:id="2265"/>
      <w:bookmarkEnd w:id="2266"/>
      <w:bookmarkEnd w:id="2267"/>
      <w:bookmarkEnd w:id="2268"/>
      <w:bookmarkEnd w:id="2269"/>
      <w:bookmarkEnd w:id="2270"/>
      <w:bookmarkEnd w:id="2271"/>
      <w:bookmarkEnd w:id="2272"/>
      <w:bookmarkEnd w:id="2273"/>
      <w:bookmarkEnd w:id="2274"/>
      <w:bookmarkEnd w:id="2275"/>
      <w:bookmarkEnd w:id="2276"/>
      <w:bookmarkEnd w:id="2277"/>
      <w:bookmarkEnd w:id="2278"/>
      <w:bookmarkEnd w:id="2279"/>
      <w:bookmarkEnd w:id="2280"/>
      <w:bookmarkEnd w:id="2281"/>
      <w:bookmarkEnd w:id="2282"/>
      <w:bookmarkEnd w:id="2283"/>
      <w:bookmarkEnd w:id="2284"/>
      <w:bookmarkEnd w:id="2285"/>
      <w:bookmarkEnd w:id="2286"/>
      <w:bookmarkEnd w:id="2287"/>
      <w:bookmarkEnd w:id="2288"/>
      <w:bookmarkEnd w:id="2289"/>
      <w:bookmarkEnd w:id="2290"/>
      <w:bookmarkEnd w:id="2291"/>
      <w:bookmarkEnd w:id="2292"/>
      <w:bookmarkEnd w:id="2293"/>
      <w:bookmarkEnd w:id="2294"/>
      <w:bookmarkEnd w:id="2295"/>
      <w:bookmarkEnd w:id="2296"/>
      <w:bookmarkEnd w:id="2297"/>
      <w:bookmarkEnd w:id="2298"/>
      <w:bookmarkEnd w:id="2299"/>
      <w:bookmarkEnd w:id="2300"/>
    </w:p>
    <w:p w:rsidR="004A147C" w:rsidRPr="00B53FFB" w:rsidRDefault="004A147C" w:rsidP="00CE5850">
      <w:pPr>
        <w:pStyle w:val="ParaNum"/>
        <w:numPr>
          <w:ilvl w:val="0"/>
          <w:numId w:val="28"/>
        </w:numPr>
        <w:rPr>
          <w:sz w:val="22"/>
          <w:szCs w:val="22"/>
        </w:rPr>
      </w:pPr>
      <w:r w:rsidRPr="00B53FFB">
        <w:rPr>
          <w:sz w:val="22"/>
          <w:szCs w:val="22"/>
        </w:rPr>
        <w:t>Network investment remains a centerpiece of service providers’ efforts to improve their customers’ mobile wireless service experience.  During 2010, 2011, and early 2012, several providers continued to upgrade and expand their networks with technologies that enable faster data transfer speeds.  Other providers announced plans to make additional upgrades in the near future.</w:t>
      </w:r>
      <w:r w:rsidRPr="00B53FFB">
        <w:rPr>
          <w:rStyle w:val="FootnoteReference"/>
          <w:szCs w:val="22"/>
        </w:rPr>
        <w:footnoteReference w:id="571"/>
      </w:r>
      <w:r w:rsidRPr="00B53FFB">
        <w:rPr>
          <w:sz w:val="22"/>
          <w:szCs w:val="22"/>
        </w:rPr>
        <w:t xml:space="preserve">  As discussed below, a critical way in which mobile wireless service providers differentiate themselves is with the speeds, reliability, capabilities, and coverage of their mobile broadband networks.</w:t>
      </w:r>
      <w:r w:rsidRPr="00B53FFB">
        <w:rPr>
          <w:rStyle w:val="FootnoteReference"/>
          <w:szCs w:val="22"/>
        </w:rPr>
        <w:footnoteReference w:id="572"/>
      </w:r>
      <w:r w:rsidRPr="00B53FFB">
        <w:rPr>
          <w:sz w:val="22"/>
          <w:szCs w:val="22"/>
        </w:rPr>
        <w:t xml:space="preserve">  </w:t>
      </w:r>
    </w:p>
    <w:p w:rsidR="004A147C" w:rsidRPr="00B53FFB" w:rsidRDefault="004A147C" w:rsidP="00CE5850">
      <w:pPr>
        <w:pStyle w:val="ParaNum"/>
        <w:numPr>
          <w:ilvl w:val="0"/>
          <w:numId w:val="28"/>
        </w:numPr>
        <w:rPr>
          <w:sz w:val="22"/>
          <w:szCs w:val="22"/>
        </w:rPr>
      </w:pPr>
      <w:r w:rsidRPr="00B53FFB">
        <w:rPr>
          <w:sz w:val="22"/>
          <w:szCs w:val="22"/>
        </w:rPr>
        <w:t>As a component of upgrading their networks, service providers can improve capacity, coverage, and service quality by improving and expanding their spectrum portfolios.  Several service providers have been able to expand into new geographic areas and/or upgrade networks in existing markets after adding to their spectrum portfolios through participation in spectrum auctions and secondary market transactions.</w:t>
      </w:r>
      <w:r w:rsidRPr="00B53FFB">
        <w:rPr>
          <w:rStyle w:val="FootnoteReference"/>
          <w:szCs w:val="22"/>
        </w:rPr>
        <w:footnoteReference w:id="573"/>
      </w:r>
      <w:r w:rsidRPr="00B53FFB">
        <w:rPr>
          <w:sz w:val="22"/>
          <w:szCs w:val="22"/>
        </w:rPr>
        <w:t xml:space="preserve">   </w:t>
      </w:r>
    </w:p>
    <w:p w:rsidR="004A147C" w:rsidRPr="00B53FFB" w:rsidRDefault="004A147C" w:rsidP="00CE5850">
      <w:pPr>
        <w:pStyle w:val="ParaNum"/>
        <w:numPr>
          <w:ilvl w:val="0"/>
          <w:numId w:val="28"/>
        </w:numPr>
        <w:rPr>
          <w:sz w:val="22"/>
          <w:szCs w:val="22"/>
        </w:rPr>
      </w:pPr>
      <w:r w:rsidRPr="00B53FFB">
        <w:rPr>
          <w:sz w:val="22"/>
          <w:szCs w:val="22"/>
        </w:rPr>
        <w:t>The Commission largely has adopted flexible licensing policies to the extent that they do not mandate any particular technology or network standard for commercial mobile wireless licensees.  Mobile wireless service providers choose their own network technologies and services and abide by certain technical parameters designed to avoid radiofrequency interference with adjacent licensees.</w:t>
      </w:r>
      <w:r w:rsidRPr="00B53FFB">
        <w:rPr>
          <w:rStyle w:val="FootnoteReference"/>
          <w:szCs w:val="22"/>
        </w:rPr>
        <w:footnoteReference w:id="574"/>
      </w:r>
      <w:r w:rsidRPr="00B53FFB">
        <w:rPr>
          <w:sz w:val="22"/>
          <w:szCs w:val="22"/>
        </w:rPr>
        <w:t xml:space="preserve">  As a result of this approach, U.S. service providers have deployed, over the past 15 years, different digital network technologies with divergent technology migration paths.  The two main technology migration paths have been the CDMA and GSM paths, shown in </w:t>
      </w:r>
      <w:r w:rsidR="00951E9B">
        <w:fldChar w:fldCharType="begin"/>
      </w:r>
      <w:r w:rsidR="00951E9B">
        <w:instrText xml:space="preserve"> REF _Ref256170762  \* MERGEFORMAT </w:instrText>
      </w:r>
      <w:r w:rsidR="00951E9B">
        <w:fldChar w:fldCharType="separate"/>
      </w:r>
      <w:r w:rsidR="00CA3AC6" w:rsidRPr="00CA3AC6">
        <w:rPr>
          <w:sz w:val="22"/>
          <w:szCs w:val="22"/>
        </w:rPr>
        <w:t xml:space="preserve">Figure </w:t>
      </w:r>
      <w:r w:rsidR="00951E9B">
        <w:rPr>
          <w:sz w:val="22"/>
          <w:szCs w:val="22"/>
        </w:rPr>
        <w:fldChar w:fldCharType="end"/>
      </w:r>
      <w:r w:rsidRPr="00B53FFB">
        <w:rPr>
          <w:sz w:val="22"/>
          <w:szCs w:val="22"/>
        </w:rPr>
        <w:t>2 below.</w:t>
      </w:r>
      <w:r w:rsidRPr="00B53FFB">
        <w:rPr>
          <w:rStyle w:val="FootnoteReference"/>
          <w:szCs w:val="22"/>
        </w:rPr>
        <w:footnoteReference w:id="575"/>
      </w:r>
      <w:r w:rsidRPr="00B53FFB">
        <w:rPr>
          <w:sz w:val="22"/>
          <w:szCs w:val="22"/>
        </w:rPr>
        <w:t xml:space="preserve">  The evolution of mobile network technologies is now converging on LTE, as all of the major service providers are deploying or planning to deploy LTE technology, as discussed below.</w:t>
      </w:r>
      <w:r w:rsidRPr="00B53FFB">
        <w:rPr>
          <w:rStyle w:val="FootnoteReference"/>
          <w:szCs w:val="22"/>
        </w:rPr>
        <w:footnoteReference w:id="576"/>
      </w:r>
      <w:r w:rsidRPr="00B53FFB">
        <w:rPr>
          <w:sz w:val="22"/>
          <w:szCs w:val="22"/>
        </w:rPr>
        <w:t xml:space="preserve">  </w:t>
      </w:r>
    </w:p>
    <w:p w:rsidR="004A147C" w:rsidRPr="00B53FFB" w:rsidRDefault="004A147C" w:rsidP="00CE5850">
      <w:pPr>
        <w:pStyle w:val="ParaNum"/>
        <w:numPr>
          <w:ilvl w:val="0"/>
          <w:numId w:val="28"/>
        </w:numPr>
        <w:rPr>
          <w:sz w:val="22"/>
          <w:szCs w:val="22"/>
        </w:rPr>
      </w:pPr>
      <w:r w:rsidRPr="00B53FFB">
        <w:rPr>
          <w:sz w:val="22"/>
          <w:szCs w:val="22"/>
        </w:rPr>
        <w:t>When competing mobile wireless service providers deploy compatible network technologies, greater economies of scale in the production of both end-user devices and network infrastructure equipment can result, lowering the unit cost of handsets, chipsets, and other network equipment.</w:t>
      </w:r>
      <w:r w:rsidRPr="00B53FFB">
        <w:rPr>
          <w:sz w:val="22"/>
          <w:szCs w:val="22"/>
          <w:vertAlign w:val="superscript"/>
        </w:rPr>
        <w:footnoteReference w:id="577"/>
      </w:r>
      <w:r w:rsidRPr="00B53FFB">
        <w:rPr>
          <w:sz w:val="22"/>
          <w:szCs w:val="22"/>
        </w:rPr>
        <w:t xml:space="preserve">  This, in turn, may promote more rapid adoption of mobile wireless services, a greater variety of handsets, and more price competition.</w:t>
      </w:r>
      <w:r w:rsidRPr="00B53FFB">
        <w:rPr>
          <w:sz w:val="22"/>
          <w:szCs w:val="22"/>
          <w:vertAlign w:val="superscript"/>
        </w:rPr>
        <w:footnoteReference w:id="578"/>
      </w:r>
      <w:r w:rsidRPr="00B53FFB">
        <w:rPr>
          <w:sz w:val="22"/>
          <w:szCs w:val="22"/>
        </w:rPr>
        <w:t xml:space="preserve">  </w:t>
      </w:r>
    </w:p>
    <w:p w:rsidR="004A147C" w:rsidRPr="00B53FFB" w:rsidRDefault="004A147C" w:rsidP="00CE5850">
      <w:pPr>
        <w:pStyle w:val="ParaNum"/>
        <w:tabs>
          <w:tab w:val="clear" w:pos="1440"/>
        </w:tabs>
        <w:ind w:firstLine="0"/>
        <w:jc w:val="center"/>
        <w:rPr>
          <w:b/>
          <w:sz w:val="22"/>
          <w:szCs w:val="22"/>
        </w:rPr>
      </w:pPr>
      <w:bookmarkStart w:id="2301" w:name="_Ref256170762"/>
      <w:r w:rsidRPr="00B53FFB">
        <w:rPr>
          <w:b/>
          <w:sz w:val="22"/>
          <w:szCs w:val="22"/>
        </w:rPr>
        <w:t xml:space="preserve">Figure </w:t>
      </w:r>
      <w:bookmarkEnd w:id="2301"/>
      <w:r w:rsidRPr="00B53FFB">
        <w:rPr>
          <w:b/>
          <w:sz w:val="22"/>
          <w:szCs w:val="22"/>
        </w:rPr>
        <w:t xml:space="preserve">2 </w:t>
      </w:r>
      <w:r w:rsidRPr="00B53FFB">
        <w:rPr>
          <w:b/>
          <w:sz w:val="22"/>
          <w:szCs w:val="22"/>
        </w:rPr>
        <w:br/>
        <w:t>Mobile Wireless Network Technology Evolution</w:t>
      </w:r>
    </w:p>
    <w:p w:rsidR="004A147C" w:rsidRPr="00B53FFB" w:rsidRDefault="00C81B24" w:rsidP="00CE5850">
      <w:pPr>
        <w:pStyle w:val="ParaNum"/>
        <w:tabs>
          <w:tab w:val="clear" w:pos="1440"/>
        </w:tabs>
        <w:ind w:firstLine="0"/>
        <w:jc w:val="center"/>
        <w:rPr>
          <w:sz w:val="22"/>
          <w:szCs w:val="22"/>
        </w:rPr>
      </w:pPr>
      <w:r>
        <w:rPr>
          <w:noProof/>
          <w:sz w:val="22"/>
          <w:szCs w:val="22"/>
        </w:rPr>
        <mc:AlternateContent>
          <mc:Choice Requires="wpg">
            <w:drawing>
              <wp:inline distT="0" distB="0" distL="0" distR="0" wp14:anchorId="2184E5B7" wp14:editId="026D748D">
                <wp:extent cx="4327525" cy="2827655"/>
                <wp:effectExtent l="5080" t="13335" r="20320" b="0"/>
                <wp:docPr id="136" name="Group 45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327525" cy="2827655"/>
                          <a:chOff x="665" y="1375"/>
                          <a:chExt cx="2726" cy="1781"/>
                        </a:xfrm>
                      </wpg:grpSpPr>
                      <wps:wsp>
                        <wps:cNvPr id="137" name="AutoShape 4554"/>
                        <wps:cNvSpPr>
                          <a:spLocks noChangeArrowheads="1"/>
                        </wps:cNvSpPr>
                        <wps:spPr bwMode="auto">
                          <a:xfrm>
                            <a:off x="1948" y="1375"/>
                            <a:ext cx="742" cy="551"/>
                          </a:xfrm>
                          <a:prstGeom prst="homePlate">
                            <a:avLst>
                              <a:gd name="adj" fmla="val 33666"/>
                            </a:avLst>
                          </a:prstGeom>
                          <a:solidFill>
                            <a:srgbClr val="008000"/>
                          </a:solidFill>
                          <a:ln w="9525">
                            <a:solidFill>
                              <a:srgbClr val="000000"/>
                            </a:solidFill>
                            <a:miter lim="800000"/>
                            <a:headEnd/>
                            <a:tailEnd/>
                          </a:ln>
                        </wps:spPr>
                        <wps:bodyPr rot="0" vert="horz" wrap="square" lIns="91440" tIns="45720" rIns="91440" bIns="45720" anchor="ctr" anchorCtr="0" upright="1">
                          <a:noAutofit/>
                        </wps:bodyPr>
                      </wps:wsp>
                      <wps:wsp>
                        <wps:cNvPr id="138" name="AutoShape 4555"/>
                        <wps:cNvSpPr>
                          <a:spLocks noChangeArrowheads="1"/>
                        </wps:cNvSpPr>
                        <wps:spPr bwMode="auto">
                          <a:xfrm>
                            <a:off x="2157" y="2162"/>
                            <a:ext cx="742" cy="551"/>
                          </a:xfrm>
                          <a:prstGeom prst="homePlate">
                            <a:avLst>
                              <a:gd name="adj" fmla="val 33666"/>
                            </a:avLst>
                          </a:prstGeom>
                          <a:solidFill>
                            <a:srgbClr val="000099"/>
                          </a:solidFill>
                          <a:ln w="9525">
                            <a:solidFill>
                              <a:srgbClr val="000000"/>
                            </a:solidFill>
                            <a:miter lim="800000"/>
                            <a:headEnd/>
                            <a:tailEnd/>
                          </a:ln>
                        </wps:spPr>
                        <wps:bodyPr rot="0" vert="horz" wrap="square" lIns="91440" tIns="45720" rIns="91440" bIns="45720" anchor="ctr" anchorCtr="0" upright="1">
                          <a:noAutofit/>
                        </wps:bodyPr>
                      </wps:wsp>
                      <wps:wsp>
                        <wps:cNvPr id="139" name="AutoShape 4556"/>
                        <wps:cNvSpPr>
                          <a:spLocks noChangeArrowheads="1"/>
                        </wps:cNvSpPr>
                        <wps:spPr bwMode="auto">
                          <a:xfrm>
                            <a:off x="1713" y="2162"/>
                            <a:ext cx="742" cy="551"/>
                          </a:xfrm>
                          <a:prstGeom prst="homePlate">
                            <a:avLst>
                              <a:gd name="adj" fmla="val 33666"/>
                            </a:avLst>
                          </a:prstGeom>
                          <a:solidFill>
                            <a:srgbClr val="3366FF"/>
                          </a:solidFill>
                          <a:ln w="9525">
                            <a:solidFill>
                              <a:srgbClr val="000000"/>
                            </a:solidFill>
                            <a:miter lim="800000"/>
                            <a:headEnd/>
                            <a:tailEnd/>
                          </a:ln>
                        </wps:spPr>
                        <wps:bodyPr rot="0" vert="horz" wrap="square" lIns="91440" tIns="45720" rIns="91440" bIns="45720" anchor="ctr" anchorCtr="0" upright="1">
                          <a:noAutofit/>
                        </wps:bodyPr>
                      </wps:wsp>
                      <wps:wsp>
                        <wps:cNvPr id="140" name="AutoShape 4557"/>
                        <wps:cNvSpPr>
                          <a:spLocks noChangeArrowheads="1"/>
                        </wps:cNvSpPr>
                        <wps:spPr bwMode="auto">
                          <a:xfrm>
                            <a:off x="1239" y="2162"/>
                            <a:ext cx="742" cy="551"/>
                          </a:xfrm>
                          <a:prstGeom prst="homePlate">
                            <a:avLst>
                              <a:gd name="adj" fmla="val 33666"/>
                            </a:avLst>
                          </a:prstGeom>
                          <a:solidFill>
                            <a:srgbClr val="6699FF"/>
                          </a:solidFill>
                          <a:ln w="9525">
                            <a:solidFill>
                              <a:srgbClr val="000000"/>
                            </a:solidFill>
                            <a:miter lim="800000"/>
                            <a:headEnd/>
                            <a:tailEnd/>
                          </a:ln>
                        </wps:spPr>
                        <wps:bodyPr rot="0" vert="horz" wrap="square" lIns="91440" tIns="45720" rIns="91440" bIns="45720" anchor="ctr" anchorCtr="0" upright="1">
                          <a:noAutofit/>
                        </wps:bodyPr>
                      </wps:wsp>
                      <wps:wsp>
                        <wps:cNvPr id="141" name="AutoShape 4558"/>
                        <wps:cNvSpPr>
                          <a:spLocks noChangeArrowheads="1"/>
                        </wps:cNvSpPr>
                        <wps:spPr bwMode="auto">
                          <a:xfrm>
                            <a:off x="1546" y="1375"/>
                            <a:ext cx="742" cy="551"/>
                          </a:xfrm>
                          <a:prstGeom prst="homePlate">
                            <a:avLst>
                              <a:gd name="adj" fmla="val 33666"/>
                            </a:avLst>
                          </a:prstGeom>
                          <a:solidFill>
                            <a:srgbClr val="34A241"/>
                          </a:solidFill>
                          <a:ln w="9525">
                            <a:solidFill>
                              <a:srgbClr val="000000"/>
                            </a:solidFill>
                            <a:miter lim="800000"/>
                            <a:headEnd/>
                            <a:tailEnd/>
                          </a:ln>
                        </wps:spPr>
                        <wps:bodyPr rot="0" vert="horz" wrap="square" lIns="91440" tIns="45720" rIns="91440" bIns="45720" anchor="ctr" anchorCtr="0" upright="1">
                          <a:noAutofit/>
                        </wps:bodyPr>
                      </wps:wsp>
                      <wps:wsp>
                        <wps:cNvPr id="142" name="AutoShape 4559"/>
                        <wps:cNvSpPr>
                          <a:spLocks noChangeArrowheads="1"/>
                        </wps:cNvSpPr>
                        <wps:spPr bwMode="auto">
                          <a:xfrm>
                            <a:off x="1114" y="1375"/>
                            <a:ext cx="742" cy="551"/>
                          </a:xfrm>
                          <a:prstGeom prst="homePlate">
                            <a:avLst>
                              <a:gd name="adj" fmla="val 33666"/>
                            </a:avLst>
                          </a:prstGeom>
                          <a:solidFill>
                            <a:srgbClr val="86CB83"/>
                          </a:solidFill>
                          <a:ln w="9525">
                            <a:solidFill>
                              <a:srgbClr val="000000"/>
                            </a:solidFill>
                            <a:miter lim="800000"/>
                            <a:headEnd/>
                            <a:tailEnd/>
                          </a:ln>
                        </wps:spPr>
                        <wps:bodyPr rot="0" vert="horz" wrap="square" lIns="91440" tIns="45720" rIns="91440" bIns="45720" anchor="ctr" anchorCtr="0" upright="1">
                          <a:noAutofit/>
                        </wps:bodyPr>
                      </wps:wsp>
                      <wps:wsp>
                        <wps:cNvPr id="143" name="AutoShape 4560"/>
                        <wps:cNvSpPr>
                          <a:spLocks noChangeArrowheads="1"/>
                        </wps:cNvSpPr>
                        <wps:spPr bwMode="auto">
                          <a:xfrm>
                            <a:off x="921" y="2162"/>
                            <a:ext cx="742" cy="551"/>
                          </a:xfrm>
                          <a:prstGeom prst="homePlate">
                            <a:avLst>
                              <a:gd name="adj" fmla="val 33666"/>
                            </a:avLst>
                          </a:prstGeom>
                          <a:solidFill>
                            <a:srgbClr val="99CCFF"/>
                          </a:solidFill>
                          <a:ln w="9525">
                            <a:solidFill>
                              <a:srgbClr val="000000"/>
                            </a:solidFill>
                            <a:miter lim="800000"/>
                            <a:headEnd/>
                            <a:tailEnd/>
                          </a:ln>
                        </wps:spPr>
                        <wps:bodyPr rot="0" vert="horz" wrap="square" lIns="91440" tIns="45720" rIns="91440" bIns="45720" anchor="ctr" anchorCtr="0" upright="1">
                          <a:noAutofit/>
                        </wps:bodyPr>
                      </wps:wsp>
                      <wps:wsp>
                        <wps:cNvPr id="144" name="AutoShape 4561"/>
                        <wps:cNvSpPr>
                          <a:spLocks noChangeArrowheads="1"/>
                        </wps:cNvSpPr>
                        <wps:spPr bwMode="auto">
                          <a:xfrm>
                            <a:off x="665" y="1376"/>
                            <a:ext cx="659" cy="551"/>
                          </a:xfrm>
                          <a:prstGeom prst="homePlate">
                            <a:avLst>
                              <a:gd name="adj" fmla="val 29900"/>
                            </a:avLst>
                          </a:prstGeom>
                          <a:solidFill>
                            <a:srgbClr val="CCFFCC"/>
                          </a:solidFill>
                          <a:ln w="9525">
                            <a:solidFill>
                              <a:srgbClr val="000000"/>
                            </a:solidFill>
                            <a:miter lim="800000"/>
                            <a:headEnd/>
                            <a:tailEnd/>
                          </a:ln>
                        </wps:spPr>
                        <wps:txbx>
                          <w:txbxContent>
                            <w:p w:rsidR="00EC7CF3" w:rsidRDefault="00EC7CF3" w:rsidP="003C780D">
                              <w:pPr>
                                <w:autoSpaceDE w:val="0"/>
                                <w:autoSpaceDN w:val="0"/>
                                <w:adjustRightInd w:val="0"/>
                                <w:jc w:val="center"/>
                                <w:rPr>
                                  <w:rFonts w:ascii="Arial" w:hAnsi="Arial" w:cs="Arial"/>
                                  <w:b/>
                                  <w:bCs/>
                                  <w:color w:val="000000"/>
                                  <w:sz w:val="24"/>
                                  <w:szCs w:val="24"/>
                                </w:rPr>
                              </w:pPr>
                            </w:p>
                            <w:p w:rsidR="00EC7CF3" w:rsidRDefault="00EC7CF3" w:rsidP="003C780D">
                              <w:pPr>
                                <w:autoSpaceDE w:val="0"/>
                                <w:autoSpaceDN w:val="0"/>
                                <w:adjustRightInd w:val="0"/>
                                <w:jc w:val="center"/>
                                <w:rPr>
                                  <w:rFonts w:ascii="Arial" w:hAnsi="Arial" w:cs="Arial"/>
                                  <w:b/>
                                  <w:bCs/>
                                  <w:color w:val="000000"/>
                                  <w:sz w:val="24"/>
                                  <w:szCs w:val="24"/>
                                </w:rPr>
                              </w:pPr>
                            </w:p>
                            <w:p w:rsidR="00EC7CF3" w:rsidRDefault="00EC7CF3" w:rsidP="003C780D">
                              <w:pPr>
                                <w:autoSpaceDE w:val="0"/>
                                <w:autoSpaceDN w:val="0"/>
                                <w:adjustRightInd w:val="0"/>
                                <w:jc w:val="center"/>
                                <w:rPr>
                                  <w:rFonts w:ascii="Arial" w:hAnsi="Arial" w:cs="Arial"/>
                                  <w:b/>
                                  <w:bCs/>
                                  <w:color w:val="000000"/>
                                  <w:sz w:val="24"/>
                                  <w:szCs w:val="24"/>
                                </w:rPr>
                              </w:pPr>
                              <w:r>
                                <w:rPr>
                                  <w:rFonts w:ascii="Arial" w:hAnsi="Arial" w:cs="Arial"/>
                                  <w:b/>
                                  <w:bCs/>
                                  <w:color w:val="000000"/>
                                  <w:sz w:val="24"/>
                                  <w:szCs w:val="24"/>
                                </w:rPr>
                                <w:t>CDMA</w:t>
                              </w:r>
                            </w:p>
                          </w:txbxContent>
                        </wps:txbx>
                        <wps:bodyPr rot="0" vert="horz" wrap="square" lIns="91440" tIns="45720" rIns="91440" bIns="45720" anchor="ctr" anchorCtr="0" upright="1">
                          <a:noAutofit/>
                        </wps:bodyPr>
                      </wps:wsp>
                      <wps:wsp>
                        <wps:cNvPr id="145" name="AutoShape 4562"/>
                        <wps:cNvSpPr>
                          <a:spLocks noChangeArrowheads="1"/>
                        </wps:cNvSpPr>
                        <wps:spPr bwMode="auto">
                          <a:xfrm>
                            <a:off x="671" y="2163"/>
                            <a:ext cx="646" cy="551"/>
                          </a:xfrm>
                          <a:prstGeom prst="homePlate">
                            <a:avLst>
                              <a:gd name="adj" fmla="val 29310"/>
                            </a:avLst>
                          </a:prstGeom>
                          <a:solidFill>
                            <a:srgbClr val="CCECFF"/>
                          </a:solidFill>
                          <a:ln w="9525">
                            <a:solidFill>
                              <a:srgbClr val="000000"/>
                            </a:solidFill>
                            <a:miter lim="800000"/>
                            <a:headEnd/>
                            <a:tailEnd/>
                          </a:ln>
                        </wps:spPr>
                        <wps:bodyPr rot="0" vert="horz" wrap="square" lIns="91440" tIns="45720" rIns="91440" bIns="45720" anchor="ctr" anchorCtr="0" upright="1">
                          <a:noAutofit/>
                        </wps:bodyPr>
                      </wps:wsp>
                      <wps:wsp>
                        <wps:cNvPr id="146" name="Text Box 4563"/>
                        <wps:cNvSpPr txBox="1">
                          <a:spLocks noChangeArrowheads="1"/>
                        </wps:cNvSpPr>
                        <wps:spPr bwMode="auto">
                          <a:xfrm>
                            <a:off x="1373" y="1547"/>
                            <a:ext cx="409" cy="173"/>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C7CF3" w:rsidRDefault="00EC7CF3" w:rsidP="003C780D">
                              <w:pPr>
                                <w:autoSpaceDE w:val="0"/>
                                <w:autoSpaceDN w:val="0"/>
                                <w:adjustRightInd w:val="0"/>
                                <w:rPr>
                                  <w:rFonts w:ascii="Arial" w:hAnsi="Arial" w:cs="Arial"/>
                                  <w:b/>
                                  <w:bCs/>
                                  <w:color w:val="000000"/>
                                  <w:sz w:val="24"/>
                                  <w:szCs w:val="24"/>
                                </w:rPr>
                              </w:pPr>
                              <w:r>
                                <w:rPr>
                                  <w:rFonts w:ascii="Arial" w:hAnsi="Arial" w:cs="Arial"/>
                                  <w:b/>
                                  <w:bCs/>
                                  <w:color w:val="000000"/>
                                  <w:sz w:val="24"/>
                                  <w:szCs w:val="24"/>
                                </w:rPr>
                                <w:t>1xRTT</w:t>
                              </w:r>
                            </w:p>
                          </w:txbxContent>
                        </wps:txbx>
                        <wps:bodyPr rot="0" vert="horz" wrap="square" lIns="91440" tIns="45720" rIns="91440" bIns="45720" anchor="t" anchorCtr="0" upright="1">
                          <a:noAutofit/>
                        </wps:bodyPr>
                      </wps:wsp>
                      <wps:wsp>
                        <wps:cNvPr id="147" name="Text Box 4564"/>
                        <wps:cNvSpPr txBox="1">
                          <a:spLocks noChangeArrowheads="1"/>
                        </wps:cNvSpPr>
                        <wps:spPr bwMode="auto">
                          <a:xfrm>
                            <a:off x="1843" y="1523"/>
                            <a:ext cx="420" cy="288"/>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C7CF3" w:rsidRDefault="00EC7CF3" w:rsidP="003C780D">
                              <w:pPr>
                                <w:autoSpaceDE w:val="0"/>
                                <w:autoSpaceDN w:val="0"/>
                                <w:adjustRightInd w:val="0"/>
                                <w:rPr>
                                  <w:rFonts w:ascii="Arial" w:hAnsi="Arial" w:cs="Arial"/>
                                  <w:b/>
                                  <w:bCs/>
                                  <w:color w:val="FFFFFF"/>
                                  <w:sz w:val="24"/>
                                  <w:szCs w:val="24"/>
                                </w:rPr>
                              </w:pPr>
                              <w:r>
                                <w:rPr>
                                  <w:rFonts w:ascii="Arial" w:hAnsi="Arial" w:cs="Arial"/>
                                  <w:b/>
                                  <w:bCs/>
                                  <w:color w:val="FFFFFF"/>
                                  <w:sz w:val="24"/>
                                  <w:szCs w:val="24"/>
                                </w:rPr>
                                <w:t>EV-DO</w:t>
                              </w:r>
                            </w:p>
                            <w:p w:rsidR="00EC7CF3" w:rsidRDefault="00EC7CF3" w:rsidP="003C780D">
                              <w:pPr>
                                <w:autoSpaceDE w:val="0"/>
                                <w:autoSpaceDN w:val="0"/>
                                <w:adjustRightInd w:val="0"/>
                                <w:rPr>
                                  <w:rFonts w:ascii="Arial" w:hAnsi="Arial" w:cs="Arial"/>
                                  <w:b/>
                                  <w:bCs/>
                                  <w:color w:val="FFFFFF"/>
                                  <w:sz w:val="24"/>
                                  <w:szCs w:val="24"/>
                                </w:rPr>
                              </w:pPr>
                              <w:r>
                                <w:rPr>
                                  <w:rFonts w:ascii="Arial" w:hAnsi="Arial" w:cs="Arial"/>
                                  <w:b/>
                                  <w:bCs/>
                                  <w:color w:val="FFFFFF"/>
                                  <w:sz w:val="24"/>
                                  <w:szCs w:val="24"/>
                                </w:rPr>
                                <w:t>Rev. 0</w:t>
                              </w:r>
                            </w:p>
                          </w:txbxContent>
                        </wps:txbx>
                        <wps:bodyPr rot="0" vert="horz" wrap="square" lIns="91440" tIns="45720" rIns="91440" bIns="45720" anchor="t" anchorCtr="0" upright="1">
                          <a:noAutofit/>
                        </wps:bodyPr>
                      </wps:wsp>
                      <wps:wsp>
                        <wps:cNvPr id="148" name="Text Box 4565"/>
                        <wps:cNvSpPr txBox="1">
                          <a:spLocks noChangeArrowheads="1"/>
                        </wps:cNvSpPr>
                        <wps:spPr bwMode="auto">
                          <a:xfrm>
                            <a:off x="2245" y="1509"/>
                            <a:ext cx="420" cy="288"/>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C7CF3" w:rsidRDefault="00EC7CF3" w:rsidP="003C780D">
                              <w:pPr>
                                <w:autoSpaceDE w:val="0"/>
                                <w:autoSpaceDN w:val="0"/>
                                <w:adjustRightInd w:val="0"/>
                                <w:rPr>
                                  <w:rFonts w:ascii="Arial" w:hAnsi="Arial" w:cs="Arial"/>
                                  <w:b/>
                                  <w:bCs/>
                                  <w:color w:val="FFFFFF"/>
                                  <w:sz w:val="24"/>
                                  <w:szCs w:val="24"/>
                                </w:rPr>
                              </w:pPr>
                              <w:r>
                                <w:rPr>
                                  <w:rFonts w:ascii="Arial" w:hAnsi="Arial" w:cs="Arial"/>
                                  <w:b/>
                                  <w:bCs/>
                                  <w:color w:val="FFFFFF"/>
                                  <w:sz w:val="24"/>
                                  <w:szCs w:val="24"/>
                                </w:rPr>
                                <w:t>EV-DO</w:t>
                              </w:r>
                            </w:p>
                            <w:p w:rsidR="00EC7CF3" w:rsidRDefault="00EC7CF3" w:rsidP="003C780D">
                              <w:pPr>
                                <w:autoSpaceDE w:val="0"/>
                                <w:autoSpaceDN w:val="0"/>
                                <w:adjustRightInd w:val="0"/>
                                <w:rPr>
                                  <w:rFonts w:ascii="Arial" w:hAnsi="Arial" w:cs="Arial"/>
                                  <w:b/>
                                  <w:bCs/>
                                  <w:color w:val="FFFFFF"/>
                                  <w:sz w:val="24"/>
                                  <w:szCs w:val="24"/>
                                </w:rPr>
                              </w:pPr>
                              <w:r>
                                <w:rPr>
                                  <w:rFonts w:ascii="Arial" w:hAnsi="Arial" w:cs="Arial"/>
                                  <w:b/>
                                  <w:bCs/>
                                  <w:color w:val="FFFFFF"/>
                                  <w:sz w:val="24"/>
                                  <w:szCs w:val="24"/>
                                </w:rPr>
                                <w:t>Rev. A</w:t>
                              </w:r>
                            </w:p>
                          </w:txbxContent>
                        </wps:txbx>
                        <wps:bodyPr rot="0" vert="horz" wrap="square" lIns="91440" tIns="45720" rIns="91440" bIns="45720" anchor="t" anchorCtr="0" upright="1">
                          <a:noAutofit/>
                        </wps:bodyPr>
                      </wps:wsp>
                      <wps:wsp>
                        <wps:cNvPr id="149" name="Text Box 4566"/>
                        <wps:cNvSpPr txBox="1">
                          <a:spLocks noChangeArrowheads="1"/>
                        </wps:cNvSpPr>
                        <wps:spPr bwMode="auto">
                          <a:xfrm>
                            <a:off x="719" y="2291"/>
                            <a:ext cx="393" cy="288"/>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C7CF3" w:rsidRDefault="00EC7CF3" w:rsidP="003C780D">
                              <w:pPr>
                                <w:autoSpaceDE w:val="0"/>
                                <w:autoSpaceDN w:val="0"/>
                                <w:adjustRightInd w:val="0"/>
                                <w:rPr>
                                  <w:rFonts w:ascii="Arial" w:hAnsi="Arial" w:cs="Arial"/>
                                  <w:b/>
                                  <w:bCs/>
                                  <w:color w:val="000000"/>
                                  <w:sz w:val="24"/>
                                  <w:szCs w:val="24"/>
                                </w:rPr>
                              </w:pPr>
                              <w:r>
                                <w:rPr>
                                  <w:rFonts w:ascii="Arial" w:hAnsi="Arial" w:cs="Arial"/>
                                  <w:b/>
                                  <w:bCs/>
                                  <w:color w:val="000000"/>
                                  <w:sz w:val="24"/>
                                  <w:szCs w:val="24"/>
                                </w:rPr>
                                <w:t>GSM/</w:t>
                              </w:r>
                            </w:p>
                            <w:p w:rsidR="00EC7CF3" w:rsidRDefault="00EC7CF3" w:rsidP="003C780D">
                              <w:pPr>
                                <w:autoSpaceDE w:val="0"/>
                                <w:autoSpaceDN w:val="0"/>
                                <w:adjustRightInd w:val="0"/>
                                <w:rPr>
                                  <w:rFonts w:ascii="Arial" w:hAnsi="Arial" w:cs="Arial"/>
                                  <w:b/>
                                  <w:bCs/>
                                  <w:color w:val="000000"/>
                                  <w:sz w:val="24"/>
                                  <w:szCs w:val="24"/>
                                </w:rPr>
                              </w:pPr>
                              <w:r>
                                <w:rPr>
                                  <w:rFonts w:ascii="Arial" w:hAnsi="Arial" w:cs="Arial"/>
                                  <w:b/>
                                  <w:bCs/>
                                  <w:color w:val="000000"/>
                                  <w:sz w:val="24"/>
                                  <w:szCs w:val="24"/>
                                </w:rPr>
                                <w:t>TDMA</w:t>
                              </w:r>
                            </w:p>
                          </w:txbxContent>
                        </wps:txbx>
                        <wps:bodyPr rot="0" vert="horz" wrap="square" lIns="91440" tIns="45720" rIns="91440" bIns="45720" anchor="t" anchorCtr="0" upright="1">
                          <a:noAutofit/>
                        </wps:bodyPr>
                      </wps:wsp>
                      <wps:wsp>
                        <wps:cNvPr id="150" name="Text Box 4567"/>
                        <wps:cNvSpPr txBox="1">
                          <a:spLocks noChangeArrowheads="1"/>
                        </wps:cNvSpPr>
                        <wps:spPr bwMode="auto">
                          <a:xfrm>
                            <a:off x="1269" y="2355"/>
                            <a:ext cx="388" cy="173"/>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C7CF3" w:rsidRDefault="00EC7CF3" w:rsidP="003C780D">
                              <w:pPr>
                                <w:autoSpaceDE w:val="0"/>
                                <w:autoSpaceDN w:val="0"/>
                                <w:adjustRightInd w:val="0"/>
                                <w:rPr>
                                  <w:rFonts w:ascii="Arial" w:hAnsi="Arial" w:cs="Arial"/>
                                  <w:b/>
                                  <w:bCs/>
                                  <w:color w:val="000000"/>
                                  <w:sz w:val="24"/>
                                  <w:szCs w:val="24"/>
                                </w:rPr>
                              </w:pPr>
                              <w:r>
                                <w:rPr>
                                  <w:rFonts w:ascii="Arial" w:hAnsi="Arial" w:cs="Arial"/>
                                  <w:b/>
                                  <w:bCs/>
                                  <w:color w:val="000000"/>
                                  <w:sz w:val="24"/>
                                  <w:szCs w:val="24"/>
                                </w:rPr>
                                <w:t>GPRS</w:t>
                              </w:r>
                            </w:p>
                          </w:txbxContent>
                        </wps:txbx>
                        <wps:bodyPr rot="0" vert="horz" wrap="square" lIns="91440" tIns="45720" rIns="91440" bIns="45720" anchor="t" anchorCtr="0" upright="1">
                          <a:noAutofit/>
                        </wps:bodyPr>
                      </wps:wsp>
                      <wps:wsp>
                        <wps:cNvPr id="151" name="Text Box 4568"/>
                        <wps:cNvSpPr txBox="1">
                          <a:spLocks noChangeArrowheads="1"/>
                        </wps:cNvSpPr>
                        <wps:spPr bwMode="auto">
                          <a:xfrm>
                            <a:off x="1619" y="2348"/>
                            <a:ext cx="388" cy="173"/>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C7CF3" w:rsidRDefault="00EC7CF3" w:rsidP="003C780D">
                              <w:pPr>
                                <w:autoSpaceDE w:val="0"/>
                                <w:autoSpaceDN w:val="0"/>
                                <w:adjustRightInd w:val="0"/>
                                <w:rPr>
                                  <w:rFonts w:ascii="Arial" w:hAnsi="Arial" w:cs="Arial"/>
                                  <w:b/>
                                  <w:bCs/>
                                  <w:color w:val="000000"/>
                                  <w:sz w:val="24"/>
                                  <w:szCs w:val="24"/>
                                </w:rPr>
                              </w:pPr>
                              <w:r>
                                <w:rPr>
                                  <w:rFonts w:ascii="Arial" w:hAnsi="Arial" w:cs="Arial"/>
                                  <w:b/>
                                  <w:bCs/>
                                  <w:color w:val="000000"/>
                                  <w:sz w:val="24"/>
                                  <w:szCs w:val="24"/>
                                </w:rPr>
                                <w:t>EDGE</w:t>
                              </w:r>
                            </w:p>
                          </w:txbxContent>
                        </wps:txbx>
                        <wps:bodyPr rot="0" vert="horz" wrap="square" lIns="91440" tIns="45720" rIns="91440" bIns="45720" anchor="t" anchorCtr="0" upright="1">
                          <a:noAutofit/>
                        </wps:bodyPr>
                      </wps:wsp>
                      <wps:wsp>
                        <wps:cNvPr id="152" name="Text Box 4569"/>
                        <wps:cNvSpPr txBox="1">
                          <a:spLocks noChangeArrowheads="1"/>
                        </wps:cNvSpPr>
                        <wps:spPr bwMode="auto">
                          <a:xfrm>
                            <a:off x="1910" y="2276"/>
                            <a:ext cx="521" cy="288"/>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C7CF3" w:rsidRDefault="00EC7CF3" w:rsidP="003C780D">
                              <w:pPr>
                                <w:autoSpaceDE w:val="0"/>
                                <w:autoSpaceDN w:val="0"/>
                                <w:adjustRightInd w:val="0"/>
                                <w:jc w:val="center"/>
                                <w:rPr>
                                  <w:rFonts w:ascii="Arial" w:hAnsi="Arial" w:cs="Arial"/>
                                  <w:b/>
                                  <w:bCs/>
                                  <w:color w:val="FFFFFF"/>
                                  <w:sz w:val="24"/>
                                  <w:szCs w:val="24"/>
                                </w:rPr>
                              </w:pPr>
                              <w:r>
                                <w:rPr>
                                  <w:rFonts w:ascii="Arial" w:hAnsi="Arial" w:cs="Arial"/>
                                  <w:b/>
                                  <w:bCs/>
                                  <w:color w:val="FFFFFF"/>
                                  <w:sz w:val="24"/>
                                  <w:szCs w:val="24"/>
                                </w:rPr>
                                <w:t>WCDMA/</w:t>
                              </w:r>
                            </w:p>
                            <w:p w:rsidR="00EC7CF3" w:rsidRDefault="00EC7CF3" w:rsidP="003C780D">
                              <w:pPr>
                                <w:autoSpaceDE w:val="0"/>
                                <w:autoSpaceDN w:val="0"/>
                                <w:adjustRightInd w:val="0"/>
                                <w:jc w:val="center"/>
                                <w:rPr>
                                  <w:rFonts w:ascii="Arial" w:hAnsi="Arial" w:cs="Arial"/>
                                  <w:b/>
                                  <w:bCs/>
                                  <w:color w:val="FFFFFF"/>
                                  <w:sz w:val="24"/>
                                  <w:szCs w:val="24"/>
                                </w:rPr>
                              </w:pPr>
                              <w:r>
                                <w:rPr>
                                  <w:rFonts w:ascii="Arial" w:hAnsi="Arial" w:cs="Arial"/>
                                  <w:b/>
                                  <w:bCs/>
                                  <w:color w:val="FFFFFF"/>
                                  <w:sz w:val="24"/>
                                  <w:szCs w:val="24"/>
                                </w:rPr>
                                <w:t>HSPA</w:t>
                              </w:r>
                            </w:p>
                          </w:txbxContent>
                        </wps:txbx>
                        <wps:bodyPr rot="0" vert="horz" wrap="square" lIns="91440" tIns="45720" rIns="91440" bIns="45720" anchor="t" anchorCtr="0" upright="1">
                          <a:noAutofit/>
                        </wps:bodyPr>
                      </wps:wsp>
                      <wps:wsp>
                        <wps:cNvPr id="153" name="Text Box 4570"/>
                        <wps:cNvSpPr txBox="1">
                          <a:spLocks noChangeArrowheads="1"/>
                        </wps:cNvSpPr>
                        <wps:spPr bwMode="auto">
                          <a:xfrm>
                            <a:off x="2457" y="2337"/>
                            <a:ext cx="438" cy="173"/>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C7CF3" w:rsidRDefault="00EC7CF3" w:rsidP="003C780D">
                              <w:pPr>
                                <w:autoSpaceDE w:val="0"/>
                                <w:autoSpaceDN w:val="0"/>
                                <w:adjustRightInd w:val="0"/>
                                <w:jc w:val="center"/>
                                <w:rPr>
                                  <w:rFonts w:ascii="Arial" w:hAnsi="Arial" w:cs="Arial"/>
                                  <w:b/>
                                  <w:bCs/>
                                  <w:color w:val="FFFFFF"/>
                                  <w:sz w:val="24"/>
                                  <w:szCs w:val="24"/>
                                </w:rPr>
                              </w:pPr>
                              <w:r>
                                <w:rPr>
                                  <w:rFonts w:ascii="Arial" w:hAnsi="Arial" w:cs="Arial"/>
                                  <w:b/>
                                  <w:bCs/>
                                  <w:color w:val="FFFFFF"/>
                                  <w:sz w:val="24"/>
                                  <w:szCs w:val="24"/>
                                </w:rPr>
                                <w:t>HSPA+</w:t>
                              </w:r>
                            </w:p>
                          </w:txbxContent>
                        </wps:txbx>
                        <wps:bodyPr rot="0" vert="horz" wrap="square" lIns="91440" tIns="45720" rIns="91440" bIns="45720" anchor="t" anchorCtr="0" upright="1">
                          <a:noAutofit/>
                        </wps:bodyPr>
                      </wps:wsp>
                      <wps:wsp>
                        <wps:cNvPr id="154" name="Line 4571"/>
                        <wps:cNvCnPr/>
                        <wps:spPr bwMode="auto">
                          <a:xfrm>
                            <a:off x="807" y="2986"/>
                            <a:ext cx="2579" cy="0"/>
                          </a:xfrm>
                          <a:prstGeom prst="line">
                            <a:avLst/>
                          </a:prstGeom>
                          <a:noFill/>
                          <a:ln w="2540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55" name="Text Box 4572"/>
                        <wps:cNvSpPr txBox="1">
                          <a:spLocks noChangeArrowheads="1"/>
                        </wps:cNvSpPr>
                        <wps:spPr bwMode="auto">
                          <a:xfrm>
                            <a:off x="1335" y="2983"/>
                            <a:ext cx="1457" cy="173"/>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C7CF3" w:rsidRPr="00F13C55" w:rsidRDefault="00EC7CF3" w:rsidP="003C780D">
                              <w:pPr>
                                <w:autoSpaceDE w:val="0"/>
                                <w:autoSpaceDN w:val="0"/>
                                <w:adjustRightInd w:val="0"/>
                                <w:rPr>
                                  <w:rFonts w:ascii="Arial" w:hAnsi="Arial" w:cs="Arial"/>
                                  <w:i/>
                                  <w:iCs/>
                                  <w:color w:val="000000"/>
                                  <w:szCs w:val="22"/>
                                </w:rPr>
                              </w:pPr>
                              <w:r w:rsidRPr="00F13C55">
                                <w:rPr>
                                  <w:rFonts w:ascii="Arial" w:hAnsi="Arial" w:cs="Arial"/>
                                  <w:i/>
                                  <w:iCs/>
                                  <w:color w:val="000000"/>
                                  <w:szCs w:val="22"/>
                                </w:rPr>
                                <w:t>Increasing data transfer speeds speeds</w:t>
                              </w:r>
                            </w:p>
                          </w:txbxContent>
                        </wps:txbx>
                        <wps:bodyPr rot="0" vert="horz" wrap="square" lIns="91440" tIns="45720" rIns="91440" bIns="45720" anchor="t" anchorCtr="0" upright="1">
                          <a:noAutofit/>
                        </wps:bodyPr>
                      </wps:wsp>
                      <wps:wsp>
                        <wps:cNvPr id="156" name="AutoShape 4573"/>
                        <wps:cNvSpPr>
                          <a:spLocks noChangeArrowheads="1"/>
                        </wps:cNvSpPr>
                        <wps:spPr bwMode="auto">
                          <a:xfrm>
                            <a:off x="2860" y="1844"/>
                            <a:ext cx="531" cy="345"/>
                          </a:xfrm>
                          <a:prstGeom prst="homePlate">
                            <a:avLst>
                              <a:gd name="adj" fmla="val 38478"/>
                            </a:avLst>
                          </a:prstGeom>
                          <a:solidFill>
                            <a:srgbClr val="009999"/>
                          </a:solidFill>
                          <a:ln w="9525">
                            <a:solidFill>
                              <a:srgbClr val="000000"/>
                            </a:solidFill>
                            <a:miter lim="800000"/>
                            <a:headEnd/>
                            <a:tailEnd/>
                          </a:ln>
                        </wps:spPr>
                        <wps:txbx>
                          <w:txbxContent>
                            <w:p w:rsidR="00EC7CF3" w:rsidRDefault="00EC7CF3" w:rsidP="003C780D">
                              <w:pPr>
                                <w:autoSpaceDE w:val="0"/>
                                <w:autoSpaceDN w:val="0"/>
                                <w:adjustRightInd w:val="0"/>
                                <w:jc w:val="center"/>
                                <w:rPr>
                                  <w:rFonts w:ascii="Arial" w:hAnsi="Arial" w:cs="Arial"/>
                                  <w:b/>
                                  <w:bCs/>
                                  <w:color w:val="000000"/>
                                  <w:sz w:val="24"/>
                                  <w:szCs w:val="24"/>
                                </w:rPr>
                              </w:pPr>
                            </w:p>
                            <w:p w:rsidR="00EC7CF3" w:rsidRDefault="00EC7CF3" w:rsidP="003C780D">
                              <w:pPr>
                                <w:autoSpaceDE w:val="0"/>
                                <w:autoSpaceDN w:val="0"/>
                                <w:adjustRightInd w:val="0"/>
                                <w:jc w:val="center"/>
                                <w:rPr>
                                  <w:rFonts w:ascii="Arial" w:hAnsi="Arial" w:cs="Arial"/>
                                  <w:b/>
                                  <w:bCs/>
                                  <w:color w:val="000000"/>
                                  <w:sz w:val="24"/>
                                  <w:szCs w:val="24"/>
                                </w:rPr>
                              </w:pPr>
                              <w:r>
                                <w:rPr>
                                  <w:rFonts w:ascii="Arial" w:hAnsi="Arial" w:cs="Arial"/>
                                  <w:b/>
                                  <w:bCs/>
                                  <w:color w:val="000000"/>
                                  <w:sz w:val="24"/>
                                  <w:szCs w:val="24"/>
                                </w:rPr>
                                <w:t>LTE</w:t>
                              </w:r>
                            </w:p>
                          </w:txbxContent>
                        </wps:txbx>
                        <wps:bodyPr rot="0" vert="horz" wrap="square" lIns="91440" tIns="45720" rIns="91440" bIns="45720" anchor="ctr" anchorCtr="0" upright="1">
                          <a:noAutofit/>
                        </wps:bodyPr>
                      </wps:wsp>
                      <wps:wsp>
                        <wps:cNvPr id="157" name="AutoShape 4574"/>
                        <wps:cNvSpPr>
                          <a:spLocks noChangeArrowheads="1"/>
                        </wps:cNvSpPr>
                        <wps:spPr bwMode="auto">
                          <a:xfrm>
                            <a:off x="2841" y="2592"/>
                            <a:ext cx="530" cy="346"/>
                          </a:xfrm>
                          <a:prstGeom prst="homePlate">
                            <a:avLst>
                              <a:gd name="adj" fmla="val 38295"/>
                            </a:avLst>
                          </a:prstGeom>
                          <a:solidFill>
                            <a:srgbClr val="CC99FF"/>
                          </a:solidFill>
                          <a:ln w="9525">
                            <a:solidFill>
                              <a:srgbClr val="000000"/>
                            </a:solidFill>
                            <a:miter lim="800000"/>
                            <a:headEnd/>
                            <a:tailEnd/>
                          </a:ln>
                        </wps:spPr>
                        <wps:txbx>
                          <w:txbxContent>
                            <w:p w:rsidR="00EC7CF3" w:rsidRDefault="00EC7CF3" w:rsidP="003C780D">
                              <w:pPr>
                                <w:autoSpaceDE w:val="0"/>
                                <w:autoSpaceDN w:val="0"/>
                                <w:adjustRightInd w:val="0"/>
                                <w:jc w:val="center"/>
                                <w:rPr>
                                  <w:rFonts w:ascii="Arial" w:hAnsi="Arial" w:cs="Arial"/>
                                  <w:b/>
                                  <w:bCs/>
                                  <w:color w:val="000000"/>
                                  <w:sz w:val="24"/>
                                  <w:szCs w:val="24"/>
                                </w:rPr>
                              </w:pPr>
                            </w:p>
                            <w:p w:rsidR="00EC7CF3" w:rsidRDefault="00EC7CF3" w:rsidP="003C780D">
                              <w:pPr>
                                <w:autoSpaceDE w:val="0"/>
                                <w:autoSpaceDN w:val="0"/>
                                <w:adjustRightInd w:val="0"/>
                                <w:jc w:val="center"/>
                                <w:rPr>
                                  <w:rFonts w:ascii="Arial" w:hAnsi="Arial" w:cs="Arial"/>
                                  <w:b/>
                                  <w:bCs/>
                                  <w:color w:val="000000"/>
                                  <w:sz w:val="24"/>
                                  <w:szCs w:val="24"/>
                                </w:rPr>
                              </w:pPr>
                              <w:r>
                                <w:rPr>
                                  <w:rFonts w:ascii="Arial" w:hAnsi="Arial" w:cs="Arial"/>
                                  <w:b/>
                                  <w:bCs/>
                                  <w:color w:val="000000"/>
                                  <w:sz w:val="24"/>
                                  <w:szCs w:val="24"/>
                                </w:rPr>
                                <w:t>WiMAX</w:t>
                              </w:r>
                            </w:p>
                          </w:txbxContent>
                        </wps:txbx>
                        <wps:bodyPr rot="0" vert="horz" wrap="square" lIns="91440" tIns="45720" rIns="91440" bIns="45720" anchor="ctr" anchorCtr="0" upright="1">
                          <a:noAutofit/>
                        </wps:bodyPr>
                      </wps:wsp>
                      <wps:wsp>
                        <wps:cNvPr id="158" name="AutoShape 4575"/>
                        <wps:cNvCnPr>
                          <a:cxnSpLocks noChangeShapeType="1"/>
                        </wps:cNvCnPr>
                        <wps:spPr bwMode="auto">
                          <a:xfrm>
                            <a:off x="2690" y="1651"/>
                            <a:ext cx="369" cy="193"/>
                          </a:xfrm>
                          <a:prstGeom prst="curvedConnector2">
                            <a:avLst/>
                          </a:prstGeom>
                          <a:noFill/>
                          <a:ln w="38100">
                            <a:solidFill>
                              <a:srgbClr val="808080"/>
                            </a:solidFill>
                            <a:round/>
                            <a:headEnd/>
                            <a:tailEnd type="triangle" w="med" len="med"/>
                          </a:ln>
                          <a:extLst>
                            <a:ext uri="{909E8E84-426E-40DD-AFC4-6F175D3DCCD1}">
                              <a14:hiddenFill xmlns:a14="http://schemas.microsoft.com/office/drawing/2010/main">
                                <a:noFill/>
                              </a14:hiddenFill>
                            </a:ext>
                          </a:extLst>
                        </wps:spPr>
                        <wps:bodyPr/>
                      </wps:wsp>
                      <wps:wsp>
                        <wps:cNvPr id="159" name="AutoShape 4576"/>
                        <wps:cNvCnPr>
                          <a:cxnSpLocks noChangeShapeType="1"/>
                        </wps:cNvCnPr>
                        <wps:spPr bwMode="auto">
                          <a:xfrm flipV="1">
                            <a:off x="2899" y="2189"/>
                            <a:ext cx="160" cy="249"/>
                          </a:xfrm>
                          <a:prstGeom prst="curvedConnector2">
                            <a:avLst/>
                          </a:prstGeom>
                          <a:noFill/>
                          <a:ln w="38100">
                            <a:solidFill>
                              <a:srgbClr val="808080"/>
                            </a:solidFill>
                            <a:round/>
                            <a:headEnd/>
                            <a:tailEnd type="triangle" w="med" len="med"/>
                          </a:ln>
                          <a:extLst>
                            <a:ext uri="{909E8E84-426E-40DD-AFC4-6F175D3DCCD1}">
                              <a14:hiddenFill xmlns:a14="http://schemas.microsoft.com/office/drawing/2010/main">
                                <a:noFill/>
                              </a14:hiddenFill>
                            </a:ext>
                          </a:extLst>
                        </wps:spPr>
                        <wps:bodyPr/>
                      </wps:wsp>
                    </wpg:wgp>
                  </a:graphicData>
                </a:graphic>
              </wp:inline>
            </w:drawing>
          </mc:Choice>
          <mc:Fallback>
            <w:pict>
              <v:group id="Group 4553" o:spid="_x0000_s1029" style="width:340.75pt;height:222.65pt;mso-position-horizontal-relative:char;mso-position-vertical-relative:line" coordorigin="665,1375" coordsize="2726,178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">
                <v:shapetype id="_x0000_t15" coordsize="21600,21600" o:spt="15" adj="16200" path="m@0,l,,,21600@0,21600,21600,10800xe">
                  <v:stroke joinstyle="miter"/>
                  <v:formulas>
                    <v:f eqn="val #0"/>
                    <v:f eqn="prod #0 1 2"/>
                  </v:formulas>
                  <v:path gradientshapeok="t" o:connecttype="custom" o:connectlocs="@1,0;0,10800;@1,21600;21600,10800" o:connectangles="270,180,90,0" textboxrect="0,0,10800,21600;0,0,16200,21600;0,0,21600,21600"/>
                  <v:handles>
                    <v:h position="#0,topLeft" xrange="0,21600"/>
                  </v:handles>
                </v:shapetype>
                <v:shape id="AutoShape 4554" o:spid="_x0000_s1030" type="#_x0000_t15" style="position:absolute;left:1948;top:1375;width:742;height:55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FWa/cUA&#10;AADcAAAADwAAAGRycy9kb3ducmV2LnhtbESPS4vCQBCE74L/YWjBm058rIaso4ig6EnWx4K3JtOb&#10;ZM30hMyo8d87wsLeuqmqr6tni8aU4k61KywrGPQjEMSp1QVnCk7HdS8G4TyyxtIyKXiSg8W83Zph&#10;ou2Dv+h+8JkIEHYJKsi9rxIpXZqTQde3FXHQfmxt0Ie1zqSu8RHgppTDKJpIgwWHCzlWtMopvR5u&#10;JlA2k53Zn1c4jreXWJ++f4cfl6NS3U6z/AThqfH/5r/0Vof6oym8nwkTyPk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AVZr9xQAAANwAAAAPAAAAAAAAAAAAAAAAAJgCAABkcnMv&#10;ZG93bnJldi54bWxQSwUGAAAAAAQABAD1AAAAigMAAAAA&#10;" fillcolor="green"/>
                <v:shape id="AutoShape 4555" o:spid="_x0000_s1031" type="#_x0000_t15" style="position:absolute;left:2157;top:2162;width:742;height:55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U6CcccA&#10;AADcAAAADwAAAGRycy9kb3ducmV2LnhtbESPQUsDMRCF7wX/QxjBS7HZtlDq2rSUloI9KLQq6G3Y&#10;jJvFZLJs4nb9985B6G2G9+a9b1abIXjVU5eayAamkwIUcRVtw7WBt9fD/RJUysgWfWQy8EsJNuub&#10;0QpLGy98ov6cayUhnEo04HJuS61T5ShgmsSWWLSv2AXMsna1th1eJDx4PSuKhQ7YsDQ4bGnnqPo+&#10;/wQD+3n70PvTrvrwi5fp+NMd8/P70Zi722H7CCrTkK/m/+snK/hzoZVnZAK9/g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1OgnHHAAAA3AAAAA8AAAAAAAAAAAAAAAAAmAIAAGRy&#10;cy9kb3ducmV2LnhtbFBLBQYAAAAABAAEAPUAAACMAwAAAAA=&#10;" fillcolor="#009"/>
                <v:shape id="AutoShape 4556" o:spid="_x0000_s1032" type="#_x0000_t15" style="position:absolute;left:1713;top:2162;width:742;height:55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1nDWMQA&#10;AADcAAAADwAAAGRycy9kb3ducmV2LnhtbERPS2vCQBC+F/oflhF6qxstGI2u0gqCemsiPm5jdkxC&#10;s7Mhu5r033cLhd7m43vOYtWbWjyodZVlBaNhBII4t7riQsEh27xOQTiPrLG2TAq+ycFq+fy0wETb&#10;jj/pkfpChBB2CSoovW8SKV1ekkE3tA1x4G62NegDbAupW+xCuKnlOIom0mDFoaHEhtYl5V/p3SjY&#10;H/fn0zW7bSYHvGzd8SPexeaq1Mugf5+D8NT7f/Gfe6vD/LcZ/D4TLpDL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dZw1jEAAAA3AAAAA8AAAAAAAAAAAAAAAAAmAIAAGRycy9k&#10;b3ducmV2LnhtbFBLBQYAAAAABAAEAPUAAACJAwAAAAA=&#10;" fillcolor="#36f"/>
                <v:shape id="AutoShape 4557" o:spid="_x0000_s1033" type="#_x0000_t15" style="position:absolute;left:1239;top:2162;width:742;height:55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Eo7L8MA&#10;AADcAAAADwAAAGRycy9kb3ducmV2LnhtbESPwWrDQAxE74X+w6JAb806pZTgZBNCwCU51i05C69q&#10;u/FqjVexnb+vDoXeJGY087Tdz6EzIw2pjexgtczAEFfRt1w7+PosntdgkiB77CKTgzsl2O8eH7aY&#10;+zjxB42l1EZDOOXooBHpc2tT1VDAtIw9sWrfcQgoug619QNOGh46+5JlbzZgy9rQYE/HhqpreQsO&#10;sst0Oozn8mf1XhRyX1/am5yPzj0t5sMGjNAs/+a/65NX/FfF12d0Arv7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Eo7L8MAAADcAAAADwAAAAAAAAAAAAAAAACYAgAAZHJzL2Rv&#10;d25yZXYueG1sUEsFBgAAAAAEAAQA9QAAAIgDAAAAAA==&#10;" fillcolor="#69f"/>
                <v:shape id="AutoShape 4558" o:spid="_x0000_s1034" type="#_x0000_t15" style="position:absolute;left:1546;top:1375;width:742;height:55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nRBzscA&#10;AADcAAAADwAAAGRycy9kb3ducmV2LnhtbESP3WrCQBCF7wt9h2UKvSm6SSlSoqtYQRAqiFb8uRuy&#10;YxLMzobdrYlv7wqCdzOcc745M5p0phYXcr6yrCDtJyCIc6srLhRs/+a9bxA+IGusLZOCK3mYjF9f&#10;Rphp2/KaLptQiAhhn6GCMoQmk9LnJRn0fdsQR+1kncEQV1dI7bCNcFPLzyQZSIMVxwslNjQrKT9v&#10;/k2krFY/i3S2OyznW/d7bD9MtdzvlHp/66ZDEIG68DQ/0gsd63+lcH8mTiDHN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50Qc7HAAAA3AAAAA8AAAAAAAAAAAAAAAAAmAIAAGRy&#10;cy9kb3ducmV2LnhtbFBLBQYAAAAABAAEAPUAAACMAwAAAAA=&#10;" fillcolor="#34a241"/>
                <v:shape id="AutoShape 4559" o:spid="_x0000_s1035" type="#_x0000_t15" style="position:absolute;left:1114;top:1375;width:742;height:55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E6lTcIA&#10;AADcAAAADwAAAGRycy9kb3ducmV2LnhtbERP22rCQBB9L/gPywi+1Y3BS0ldxRYEEUSM0uchO02i&#10;2dmQXU30612h0Lc5nOvMl52pxI0aV1pWMBpGIIgzq0vOFZyO6/cPEM4ja6wsk4I7OVguem9zTLRt&#10;+UC31OcihLBLUEHhfZ1I6bKCDLqhrYkD92sbgz7AJpe6wTaEm0rGUTSVBksODQXW9F1QdkmvRoGc&#10;/Wx3cvfo9g9zvsatqdPJ10SpQb9bfYLw1Pl/8Z97o8P8cQyvZ8IFcvEE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MTqVNwgAAANwAAAAPAAAAAAAAAAAAAAAAAJgCAABkcnMvZG93&#10;bnJldi54bWxQSwUGAAAAAAQABAD1AAAAhwMAAAAA&#10;" fillcolor="#86cb83"/>
                <v:shape id="AutoShape 4560" o:spid="_x0000_s1036" type="#_x0000_t15" style="position:absolute;left:921;top:2162;width:742;height:55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sghKsMA&#10;AADcAAAADwAAAGRycy9kb3ducmV2LnhtbERPTWvCQBC9F/oflil4q5saK5K6ighq6KEQFfU4ZKdJ&#10;bHY2ZFdN/70rCN7m8T5nMutMLS7Uusqygo9+BII4t7riQsFuu3wfg3AeWWNtmRT8k4PZ9PVlgom2&#10;V87osvGFCCHsElRQet8kUrq8JIOubxviwP3a1qAPsC2kbvEawk0tB1E0kgYrDg0lNrQoKf/bnI2C&#10;dXpcxfEic+b0+Z3+nA4Os/1Yqd5bN/8C4anzT/HDneowfxjD/ZlwgZz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sghKsMAAADcAAAADwAAAAAAAAAAAAAAAACYAgAAZHJzL2Rv&#10;d25yZXYueG1sUEsFBgAAAAAEAAQA9QAAAIgDAAAAAA==&#10;" fillcolor="#9cf"/>
                <v:shape id="AutoShape 4561" o:spid="_x0000_s1037" type="#_x0000_t15" style="position:absolute;left:665;top:1376;width:659;height:55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mSK8MQA&#10;AADcAAAADwAAAGRycy9kb3ducmV2LnhtbERPTWvCQBC9F/wPywi9FN1YRCRmlWIrtQiFph48jtlJ&#10;NjU7G7Jbjf++Kwi9zeN9TrbqbSPO1PnasYLJOAFBXDhdc6Vg/70ZzUH4gKyxcUwKruRhtRw8ZJhq&#10;d+EvOuehEjGEfYoKTAhtKqUvDFn0Y9cSR650ncUQYVdJ3eElhttGPifJTFqsOTYYbGltqDjlv1bB&#10;Uf+Uuvk8bJ7m70bb17fjx4R3Sj0O+5cFiEB9+Bff3Vsd50+ncHsmXiCX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ZkivDEAAAA3AAAAA8AAAAAAAAAAAAAAAAAmAIAAGRycy9k&#10;b3ducmV2LnhtbFBLBQYAAAAABAAEAPUAAACJAwAAAAA=&#10;" fillcolor="#cfc">
                  <v:textbox>
                    <w:txbxContent>
                      <w:p w:rsidR="00EC7CF3" w:rsidRDefault="00EC7CF3" w:rsidP="003C780D">
                        <w:pPr>
                          <w:autoSpaceDE w:val="0"/>
                          <w:autoSpaceDN w:val="0"/>
                          <w:adjustRightInd w:val="0"/>
                          <w:jc w:val="center"/>
                          <w:rPr>
                            <w:rFonts w:ascii="Arial" w:hAnsi="Arial" w:cs="Arial"/>
                            <w:b/>
                            <w:bCs/>
                            <w:color w:val="000000"/>
                            <w:sz w:val="24"/>
                            <w:szCs w:val="24"/>
                          </w:rPr>
                        </w:pPr>
                      </w:p>
                      <w:p w:rsidR="00EC7CF3" w:rsidRDefault="00EC7CF3" w:rsidP="003C780D">
                        <w:pPr>
                          <w:autoSpaceDE w:val="0"/>
                          <w:autoSpaceDN w:val="0"/>
                          <w:adjustRightInd w:val="0"/>
                          <w:jc w:val="center"/>
                          <w:rPr>
                            <w:rFonts w:ascii="Arial" w:hAnsi="Arial" w:cs="Arial"/>
                            <w:b/>
                            <w:bCs/>
                            <w:color w:val="000000"/>
                            <w:sz w:val="24"/>
                            <w:szCs w:val="24"/>
                          </w:rPr>
                        </w:pPr>
                      </w:p>
                      <w:p w:rsidR="00EC7CF3" w:rsidRDefault="00EC7CF3" w:rsidP="003C780D">
                        <w:pPr>
                          <w:autoSpaceDE w:val="0"/>
                          <w:autoSpaceDN w:val="0"/>
                          <w:adjustRightInd w:val="0"/>
                          <w:jc w:val="center"/>
                          <w:rPr>
                            <w:rFonts w:ascii="Arial" w:hAnsi="Arial" w:cs="Arial"/>
                            <w:b/>
                            <w:bCs/>
                            <w:color w:val="000000"/>
                            <w:sz w:val="24"/>
                            <w:szCs w:val="24"/>
                          </w:rPr>
                        </w:pPr>
                        <w:r>
                          <w:rPr>
                            <w:rFonts w:ascii="Arial" w:hAnsi="Arial" w:cs="Arial"/>
                            <w:b/>
                            <w:bCs/>
                            <w:color w:val="000000"/>
                            <w:sz w:val="24"/>
                            <w:szCs w:val="24"/>
                          </w:rPr>
                          <w:t>CDMA</w:t>
                        </w:r>
                      </w:p>
                    </w:txbxContent>
                  </v:textbox>
                </v:shape>
                <v:shape id="AutoShape 4562" o:spid="_x0000_s1038" type="#_x0000_t15" style="position:absolute;left:671;top:2163;width:646;height:55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QxWsMA&#10;AADcAAAADwAAAGRycy9kb3ducmV2LnhtbERPTWvCQBC9F/oflin0Vje1Km3qKioqOQmmXrwN2Wk2&#10;mJ2N2TWm/74rCN7m8T5nOu9tLTpqfeVYwfsgAUFcOF1xqeDws3n7BOEDssbaMSn4Iw/z2fPTFFPt&#10;rrynLg+liCHsU1RgQmhSKX1hyKIfuIY4cr+utRgibEupW7zGcFvLYZJMpMWKY4PBhlaGilN+sQom&#10;2ddx87HLR93pnGfr3dIat9gq9frSL75BBOrDQ3x3ZzrOH43h9ky8QM7+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QxWsMAAADcAAAADwAAAAAAAAAAAAAAAACYAgAAZHJzL2Rv&#10;d25yZXYueG1sUEsFBgAAAAAEAAQA9QAAAIgDAAAAAA==&#10;" fillcolor="#ccecff"/>
                <v:shape id="Text Box 4563" o:spid="_x0000_s1039" type="#_x0000_t202" style="position:absolute;left:1373;top:1547;width:409;height:17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jLrOMQA&#10;AADcAAAADwAAAGRycy9kb3ducmV2LnhtbERPTWvCQBC9C/6HZYTezEYRkegqrShKD0WtosdpdpoE&#10;s7Mhu9U0v94tCL3N433ObNGYUtyodoVlBYMoBkGcWl1wpuD4ue5PQDiPrLG0TAp+ycFi3u3MMNH2&#10;znu6HXwmQgi7BBXk3leJlC7NyaCLbEUcuG9bG/QB1pnUNd5DuCnlMI7H0mDBoSHHipY5pdfDj1Gw&#10;3a3e6H3Ttu3o43yafF2OG7+8KvXSa16nIDw1/l/8dG91mD8aw98z4QI5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Iy6zjEAAAA3AAAAA8AAAAAAAAAAAAAAAAAmAIAAGRycy9k&#10;b3ducmV2LnhtbFBLBQYAAAAABAAEAPUAAACJAwAAAAA=&#10;" filled="f" fillcolor="#bbe0e3" stroked="f">
                  <v:textbox>
                    <w:txbxContent>
                      <w:p w:rsidR="00EC7CF3" w:rsidRDefault="00EC7CF3" w:rsidP="003C780D">
                        <w:pPr>
                          <w:autoSpaceDE w:val="0"/>
                          <w:autoSpaceDN w:val="0"/>
                          <w:adjustRightInd w:val="0"/>
                          <w:rPr>
                            <w:rFonts w:ascii="Arial" w:hAnsi="Arial" w:cs="Arial"/>
                            <w:b/>
                            <w:bCs/>
                            <w:color w:val="000000"/>
                            <w:sz w:val="24"/>
                            <w:szCs w:val="24"/>
                          </w:rPr>
                        </w:pPr>
                        <w:r>
                          <w:rPr>
                            <w:rFonts w:ascii="Arial" w:hAnsi="Arial" w:cs="Arial"/>
                            <w:b/>
                            <w:bCs/>
                            <w:color w:val="000000"/>
                            <w:sz w:val="24"/>
                            <w:szCs w:val="24"/>
                          </w:rPr>
                          <w:t>1xRTT</w:t>
                        </w:r>
                      </w:p>
                    </w:txbxContent>
                  </v:textbox>
                </v:shape>
                <v:shape id="Text Box 4564" o:spid="_x0000_s1040" type="#_x0000_t202" style="position:absolute;left:1843;top:1523;width:420;height:2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X5Oo8UA&#10;AADcAAAADwAAAGRycy9kb3ducmV2LnhtbERPS2vCQBC+F/oflil4q5sWUYnZSCsVxYO0PrDHaXaa&#10;BLOzIbtqzK93hUJv8/E9J5m2phJnalxpWcFLPwJBnFldcq5gt50/j0E4j6yxskwKruRgmj4+JBhr&#10;e+EvOm98LkIIuxgVFN7XsZQuK8ig69uaOHC/tjHoA2xyqRu8hHBTydcoGkqDJYeGAmuaFZQdNyej&#10;YPn58U6rRdd1g/VhP/753i387KhU76l9m4Dw1Pp/8Z97qcP8wQjuz4QLZHo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Nfk6jxQAAANwAAAAPAAAAAAAAAAAAAAAAAJgCAABkcnMv&#10;ZG93bnJldi54bWxQSwUGAAAAAAQABAD1AAAAigMAAAAA&#10;" filled="f" fillcolor="#bbe0e3" stroked="f">
                  <v:textbox>
                    <w:txbxContent>
                      <w:p w:rsidR="00EC7CF3" w:rsidRDefault="00EC7CF3" w:rsidP="003C780D">
                        <w:pPr>
                          <w:autoSpaceDE w:val="0"/>
                          <w:autoSpaceDN w:val="0"/>
                          <w:adjustRightInd w:val="0"/>
                          <w:rPr>
                            <w:rFonts w:ascii="Arial" w:hAnsi="Arial" w:cs="Arial"/>
                            <w:b/>
                            <w:bCs/>
                            <w:color w:val="FFFFFF"/>
                            <w:sz w:val="24"/>
                            <w:szCs w:val="24"/>
                          </w:rPr>
                        </w:pPr>
                        <w:r>
                          <w:rPr>
                            <w:rFonts w:ascii="Arial" w:hAnsi="Arial" w:cs="Arial"/>
                            <w:b/>
                            <w:bCs/>
                            <w:color w:val="FFFFFF"/>
                            <w:sz w:val="24"/>
                            <w:szCs w:val="24"/>
                          </w:rPr>
                          <w:t>EV-DO</w:t>
                        </w:r>
                      </w:p>
                      <w:p w:rsidR="00EC7CF3" w:rsidRDefault="00EC7CF3" w:rsidP="003C780D">
                        <w:pPr>
                          <w:autoSpaceDE w:val="0"/>
                          <w:autoSpaceDN w:val="0"/>
                          <w:adjustRightInd w:val="0"/>
                          <w:rPr>
                            <w:rFonts w:ascii="Arial" w:hAnsi="Arial" w:cs="Arial"/>
                            <w:b/>
                            <w:bCs/>
                            <w:color w:val="FFFFFF"/>
                            <w:sz w:val="24"/>
                            <w:szCs w:val="24"/>
                          </w:rPr>
                        </w:pPr>
                        <w:r>
                          <w:rPr>
                            <w:rFonts w:ascii="Arial" w:hAnsi="Arial" w:cs="Arial"/>
                            <w:b/>
                            <w:bCs/>
                            <w:color w:val="FFFFFF"/>
                            <w:sz w:val="24"/>
                            <w:szCs w:val="24"/>
                          </w:rPr>
                          <w:t>Rev. 0</w:t>
                        </w:r>
                      </w:p>
                    </w:txbxContent>
                  </v:textbox>
                </v:shape>
                <v:shape id="Text Box 4565" o:spid="_x0000_s1041" type="#_x0000_t202" style="position:absolute;left:2245;top:1509;width:420;height:2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Ha0ccA&#10;AADcAAAADwAAAGRycy9kb3ducmV2LnhtbESPQWvCQBCF70L/wzKF3nRjEZHUVaq0KD2IWkt7nGan&#10;STA7G7Jbjfn1zkHwNsN7894303nrKnWiJpSeDQwHCSjizNuScwOHz/f+BFSIyBYrz2TgQgHms4fe&#10;FFPrz7yj0z7mSkI4pGigiLFOtQ5ZQQ7DwNfEov35xmGUtcm1bfAs4a7Sz0ky1g5LloYCa1oWlB33&#10;/87Aevu2oI9V13WjzffX5PfnsIrLozFPj+3rC6hIbbybb9drK/gjoZVnZAI9uw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zh2tHHAAAA3AAAAA8AAAAAAAAAAAAAAAAAmAIAAGRy&#10;cy9kb3ducmV2LnhtbFBLBQYAAAAABAAEAPUAAACMAwAAAAA=&#10;" filled="f" fillcolor="#bbe0e3" stroked="f">
                  <v:textbox>
                    <w:txbxContent>
                      <w:p w:rsidR="00EC7CF3" w:rsidRDefault="00EC7CF3" w:rsidP="003C780D">
                        <w:pPr>
                          <w:autoSpaceDE w:val="0"/>
                          <w:autoSpaceDN w:val="0"/>
                          <w:adjustRightInd w:val="0"/>
                          <w:rPr>
                            <w:rFonts w:ascii="Arial" w:hAnsi="Arial" w:cs="Arial"/>
                            <w:b/>
                            <w:bCs/>
                            <w:color w:val="FFFFFF"/>
                            <w:sz w:val="24"/>
                            <w:szCs w:val="24"/>
                          </w:rPr>
                        </w:pPr>
                        <w:r>
                          <w:rPr>
                            <w:rFonts w:ascii="Arial" w:hAnsi="Arial" w:cs="Arial"/>
                            <w:b/>
                            <w:bCs/>
                            <w:color w:val="FFFFFF"/>
                            <w:sz w:val="24"/>
                            <w:szCs w:val="24"/>
                          </w:rPr>
                          <w:t>EV-DO</w:t>
                        </w:r>
                      </w:p>
                      <w:p w:rsidR="00EC7CF3" w:rsidRDefault="00EC7CF3" w:rsidP="003C780D">
                        <w:pPr>
                          <w:autoSpaceDE w:val="0"/>
                          <w:autoSpaceDN w:val="0"/>
                          <w:adjustRightInd w:val="0"/>
                          <w:rPr>
                            <w:rFonts w:ascii="Arial" w:hAnsi="Arial" w:cs="Arial"/>
                            <w:b/>
                            <w:bCs/>
                            <w:color w:val="FFFFFF"/>
                            <w:sz w:val="24"/>
                            <w:szCs w:val="24"/>
                          </w:rPr>
                        </w:pPr>
                        <w:r>
                          <w:rPr>
                            <w:rFonts w:ascii="Arial" w:hAnsi="Arial" w:cs="Arial"/>
                            <w:b/>
                            <w:bCs/>
                            <w:color w:val="FFFFFF"/>
                            <w:sz w:val="24"/>
                            <w:szCs w:val="24"/>
                          </w:rPr>
                          <w:t>Rev. A</w:t>
                        </w:r>
                      </w:p>
                    </w:txbxContent>
                  </v:textbox>
                </v:shape>
                <v:shape id="Text Box 4566" o:spid="_x0000_s1042" type="#_x0000_t202" style="position:absolute;left:719;top:2291;width:393;height:2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61/SsQA&#10;AADcAAAADwAAAGRycy9kb3ducmV2LnhtbERPS2vCQBC+F/oflhG81Y0iYqOrtKIoHkrrAz2O2WkS&#10;zM6G7Koxv94VCr3Nx/ec8bQ2hbhS5XLLCrqdCARxYnXOqYLddvE2BOE8ssbCMim4k4Pp5PVljLG2&#10;N/6h68anIoSwi1FB5n0ZS+mSjAy6ji2JA/drK4M+wCqVusJbCDeF7EXRQBrMOTRkWNIso+S8uRgF&#10;q+/5J62XTdP0vw774em4W/rZWal2q/4YgfBU+3/xn3ulw/z+OzyfCRfIy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Otf0rEAAAA3AAAAA8AAAAAAAAAAAAAAAAAmAIAAGRycy9k&#10;b3ducmV2LnhtbFBLBQYAAAAABAAEAPUAAACJAwAAAAA=&#10;" filled="f" fillcolor="#bbe0e3" stroked="f">
                  <v:textbox>
                    <w:txbxContent>
                      <w:p w:rsidR="00EC7CF3" w:rsidRDefault="00EC7CF3" w:rsidP="003C780D">
                        <w:pPr>
                          <w:autoSpaceDE w:val="0"/>
                          <w:autoSpaceDN w:val="0"/>
                          <w:adjustRightInd w:val="0"/>
                          <w:rPr>
                            <w:rFonts w:ascii="Arial" w:hAnsi="Arial" w:cs="Arial"/>
                            <w:b/>
                            <w:bCs/>
                            <w:color w:val="000000"/>
                            <w:sz w:val="24"/>
                            <w:szCs w:val="24"/>
                          </w:rPr>
                        </w:pPr>
                        <w:r>
                          <w:rPr>
                            <w:rFonts w:ascii="Arial" w:hAnsi="Arial" w:cs="Arial"/>
                            <w:b/>
                            <w:bCs/>
                            <w:color w:val="000000"/>
                            <w:sz w:val="24"/>
                            <w:szCs w:val="24"/>
                          </w:rPr>
                          <w:t>GSM/</w:t>
                        </w:r>
                      </w:p>
                      <w:p w:rsidR="00EC7CF3" w:rsidRDefault="00EC7CF3" w:rsidP="003C780D">
                        <w:pPr>
                          <w:autoSpaceDE w:val="0"/>
                          <w:autoSpaceDN w:val="0"/>
                          <w:adjustRightInd w:val="0"/>
                          <w:rPr>
                            <w:rFonts w:ascii="Arial" w:hAnsi="Arial" w:cs="Arial"/>
                            <w:b/>
                            <w:bCs/>
                            <w:color w:val="000000"/>
                            <w:sz w:val="24"/>
                            <w:szCs w:val="24"/>
                          </w:rPr>
                        </w:pPr>
                        <w:r>
                          <w:rPr>
                            <w:rFonts w:ascii="Arial" w:hAnsi="Arial" w:cs="Arial"/>
                            <w:b/>
                            <w:bCs/>
                            <w:color w:val="000000"/>
                            <w:sz w:val="24"/>
                            <w:szCs w:val="24"/>
                          </w:rPr>
                          <w:t>TDMA</w:t>
                        </w:r>
                      </w:p>
                    </w:txbxContent>
                  </v:textbox>
                </v:shape>
                <v:shape id="Text Box 4567" o:spid="_x0000_s1043" type="#_x0000_t202" style="position:absolute;left:1269;top:2355;width:388;height:17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05ACsgA&#10;AADcAAAADwAAAGRycy9kb3ducmV2LnhtbESPQWvCQBCF7wX/wzKCt7ppsSKpq7SiKB6ktZb2OM1O&#10;k2B2NmS3GvPrnYPQ2wzvzXvfTOetq9SJmlB6NvAwTEARZ96WnBs4fKzuJ6BCRLZYeSYDFwown/Xu&#10;pphaf+Z3Ou1jriSEQ4oGihjrVOuQFeQwDH1NLNqvbxxGWZtc2wbPEu4q/ZgkY+2wZGkosKZFQdlx&#10;/+cMbN6Wr7Rdd1032n19Tn6+D+u4OBoz6Lcvz6AitfHffLveWMF/Enx5RibQsy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HTkAKyAAAANwAAAAPAAAAAAAAAAAAAAAAAJgCAABk&#10;cnMvZG93bnJldi54bWxQSwUGAAAAAAQABAD1AAAAjQMAAAAA&#10;" filled="f" fillcolor="#bbe0e3" stroked="f">
                  <v:textbox>
                    <w:txbxContent>
                      <w:p w:rsidR="00EC7CF3" w:rsidRDefault="00EC7CF3" w:rsidP="003C780D">
                        <w:pPr>
                          <w:autoSpaceDE w:val="0"/>
                          <w:autoSpaceDN w:val="0"/>
                          <w:adjustRightInd w:val="0"/>
                          <w:rPr>
                            <w:rFonts w:ascii="Arial" w:hAnsi="Arial" w:cs="Arial"/>
                            <w:b/>
                            <w:bCs/>
                            <w:color w:val="000000"/>
                            <w:sz w:val="24"/>
                            <w:szCs w:val="24"/>
                          </w:rPr>
                        </w:pPr>
                        <w:r>
                          <w:rPr>
                            <w:rFonts w:ascii="Arial" w:hAnsi="Arial" w:cs="Arial"/>
                            <w:b/>
                            <w:bCs/>
                            <w:color w:val="000000"/>
                            <w:sz w:val="24"/>
                            <w:szCs w:val="24"/>
                          </w:rPr>
                          <w:t>GPRS</w:t>
                        </w:r>
                      </w:p>
                    </w:txbxContent>
                  </v:textbox>
                </v:shape>
                <v:shape id="Text Box 4568" o:spid="_x0000_s1044" type="#_x0000_t202" style="position:absolute;left:1619;top:2348;width:388;height:17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ALlkcUA&#10;AADcAAAADwAAAGRycy9kb3ducmV2LnhtbERPTWvCQBC9F/oflin0VjdKFYnZiEqL4kGqtdjjNDsm&#10;wexsyK6a5te7hYK3ebzPSaatqcSFGldaVtDvRSCIM6tLzhXsP99fxiCcR9ZYWSYFv+Rgmj4+JBhr&#10;e+UtXXY+FyGEXYwKCu/rWEqXFWTQ9WxNHLijbQz6AJtc6gavIdxUchBFI2mw5NBQYE2LgrLT7mwU&#10;rD7e5rRedl33ujl8jX++90u/OCn1/NTOJiA8tf4u/nevdJg/7MPfM+ECmd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oAuWRxQAAANwAAAAPAAAAAAAAAAAAAAAAAJgCAABkcnMv&#10;ZG93bnJldi54bWxQSwUGAAAAAAQABAD1AAAAigMAAAAA&#10;" filled="f" fillcolor="#bbe0e3" stroked="f">
                  <v:textbox>
                    <w:txbxContent>
                      <w:p w:rsidR="00EC7CF3" w:rsidRDefault="00EC7CF3" w:rsidP="003C780D">
                        <w:pPr>
                          <w:autoSpaceDE w:val="0"/>
                          <w:autoSpaceDN w:val="0"/>
                          <w:adjustRightInd w:val="0"/>
                          <w:rPr>
                            <w:rFonts w:ascii="Arial" w:hAnsi="Arial" w:cs="Arial"/>
                            <w:b/>
                            <w:bCs/>
                            <w:color w:val="000000"/>
                            <w:sz w:val="24"/>
                            <w:szCs w:val="24"/>
                          </w:rPr>
                        </w:pPr>
                        <w:r>
                          <w:rPr>
                            <w:rFonts w:ascii="Arial" w:hAnsi="Arial" w:cs="Arial"/>
                            <w:b/>
                            <w:bCs/>
                            <w:color w:val="000000"/>
                            <w:sz w:val="24"/>
                            <w:szCs w:val="24"/>
                          </w:rPr>
                          <w:t>EDGE</w:t>
                        </w:r>
                      </w:p>
                    </w:txbxContent>
                  </v:textbox>
                </v:shape>
                <v:shape id="Text Box 4569" o:spid="_x0000_s1045" type="#_x0000_t202" style="position:absolute;left:1910;top:2276;width:521;height:2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NB75sQA&#10;AADcAAAADwAAAGRycy9kb3ducmV2LnhtbERPS2vCQBC+C/6HZQredFOxItFVqihKD2J9YI/T7DQJ&#10;ZmdDdqsxv74rCL3Nx/ecyaw2hbhS5XLLCl57EQjixOqcUwXHw6o7AuE8ssbCMim4k4PZtN2aYKzt&#10;jT/puvepCCHsYlSQeV/GUrokI4OuZ0viwP3YyqAPsEqlrvAWwk0h+1E0lAZzDg0ZlrTIKLnsf42C&#10;zW45p4910zSD7fk0+v46rv3iolTnpX4fg/BU+3/x073RYf5bHx7PhAvk9A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jQe+bEAAAA3AAAAA8AAAAAAAAAAAAAAAAAmAIAAGRycy9k&#10;b3ducmV2LnhtbFBLBQYAAAAABAAEAPUAAACJAwAAAAA=&#10;" filled="f" fillcolor="#bbe0e3" stroked="f">
                  <v:textbox>
                    <w:txbxContent>
                      <w:p w:rsidR="00EC7CF3" w:rsidRDefault="00EC7CF3" w:rsidP="003C780D">
                        <w:pPr>
                          <w:autoSpaceDE w:val="0"/>
                          <w:autoSpaceDN w:val="0"/>
                          <w:adjustRightInd w:val="0"/>
                          <w:jc w:val="center"/>
                          <w:rPr>
                            <w:rFonts w:ascii="Arial" w:hAnsi="Arial" w:cs="Arial"/>
                            <w:b/>
                            <w:bCs/>
                            <w:color w:val="FFFFFF"/>
                            <w:sz w:val="24"/>
                            <w:szCs w:val="24"/>
                          </w:rPr>
                        </w:pPr>
                        <w:r>
                          <w:rPr>
                            <w:rFonts w:ascii="Arial" w:hAnsi="Arial" w:cs="Arial"/>
                            <w:b/>
                            <w:bCs/>
                            <w:color w:val="FFFFFF"/>
                            <w:sz w:val="24"/>
                            <w:szCs w:val="24"/>
                          </w:rPr>
                          <w:t>WCDMA/</w:t>
                        </w:r>
                      </w:p>
                      <w:p w:rsidR="00EC7CF3" w:rsidRDefault="00EC7CF3" w:rsidP="003C780D">
                        <w:pPr>
                          <w:autoSpaceDE w:val="0"/>
                          <w:autoSpaceDN w:val="0"/>
                          <w:adjustRightInd w:val="0"/>
                          <w:jc w:val="center"/>
                          <w:rPr>
                            <w:rFonts w:ascii="Arial" w:hAnsi="Arial" w:cs="Arial"/>
                            <w:b/>
                            <w:bCs/>
                            <w:color w:val="FFFFFF"/>
                            <w:sz w:val="24"/>
                            <w:szCs w:val="24"/>
                          </w:rPr>
                        </w:pPr>
                        <w:r>
                          <w:rPr>
                            <w:rFonts w:ascii="Arial" w:hAnsi="Arial" w:cs="Arial"/>
                            <w:b/>
                            <w:bCs/>
                            <w:color w:val="FFFFFF"/>
                            <w:sz w:val="24"/>
                            <w:szCs w:val="24"/>
                          </w:rPr>
                          <w:t>HSPA</w:t>
                        </w:r>
                      </w:p>
                    </w:txbxContent>
                  </v:textbox>
                </v:shape>
                <v:shape id="Text Box 4570" o:spid="_x0000_s1046" type="#_x0000_t202" style="position:absolute;left:2457;top:2337;width:438;height:17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5zefcUA&#10;AADcAAAADwAAAGRycy9kb3ducmV2LnhtbERPS2vCQBC+C/0PyxS86aY+iqSu0oqieBAblfY4zU6T&#10;YHY2ZFdN8+vdQqG3+fieM503phRXql1hWcFTPwJBnFpdcKbgeFj1JiCcR9ZYWiYFP+RgPnvoTDHW&#10;9sbvdE18JkIIuxgV5N5XsZQuzcmg69uKOHDftjboA6wzqWu8hXBTykEUPUuDBYeGHCta5JSek4tR&#10;sNkv32i7btt2tPs4Tb4+j2u/OCvVfWxeX0B4avy/+M+90WH+eAi/z4QL5OwO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3nN59xQAAANwAAAAPAAAAAAAAAAAAAAAAAJgCAABkcnMv&#10;ZG93bnJldi54bWxQSwUGAAAAAAQABAD1AAAAigMAAAAA&#10;" filled="f" fillcolor="#bbe0e3" stroked="f">
                  <v:textbox>
                    <w:txbxContent>
                      <w:p w:rsidR="00EC7CF3" w:rsidRDefault="00EC7CF3" w:rsidP="003C780D">
                        <w:pPr>
                          <w:autoSpaceDE w:val="0"/>
                          <w:autoSpaceDN w:val="0"/>
                          <w:adjustRightInd w:val="0"/>
                          <w:jc w:val="center"/>
                          <w:rPr>
                            <w:rFonts w:ascii="Arial" w:hAnsi="Arial" w:cs="Arial"/>
                            <w:b/>
                            <w:bCs/>
                            <w:color w:val="FFFFFF"/>
                            <w:sz w:val="24"/>
                            <w:szCs w:val="24"/>
                          </w:rPr>
                        </w:pPr>
                        <w:r>
                          <w:rPr>
                            <w:rFonts w:ascii="Arial" w:hAnsi="Arial" w:cs="Arial"/>
                            <w:b/>
                            <w:bCs/>
                            <w:color w:val="FFFFFF"/>
                            <w:sz w:val="24"/>
                            <w:szCs w:val="24"/>
                          </w:rPr>
                          <w:t>HSPA+</w:t>
                        </w:r>
                      </w:p>
                    </w:txbxContent>
                  </v:textbox>
                </v:shape>
                <v:line id="Line 4571" o:spid="_x0000_s1047" style="position:absolute;visibility:visible;mso-wrap-style:square" from="807,2986" to="3386,29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sbIgcIAAADcAAAADwAAAGRycy9kb3ducmV2LnhtbERPzWrCQBC+C32HZQpeRDcttdo0GylF&#10;S45WfYAhOyYh2dl0d2vi23cLgrf5+H4n24ymExdyvrGs4GmRgCAurW64UnA67uZrED4ga+wsk4Ir&#10;edjkD5MMU20H/qbLIVQihrBPUUEdQp9K6cuaDPqF7Ykjd7bOYIjQVVI7HGK46eRzkrxKgw3Hhhp7&#10;+qypbA+/RkHzNdv2hW1Xs2I1Do7fkvPPvlVq+jh+vIMINIa7+OYudJy/fIH/Z+IFMv8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usbIgcIAAADcAAAADwAAAAAAAAAAAAAA&#10;AAChAgAAZHJzL2Rvd25yZXYueG1sUEsFBgAAAAAEAAQA+QAAAJADAAAAAA==&#10;" strokeweight="2pt">
                  <v:stroke endarrow="block"/>
                </v:line>
                <v:shape id="Text Box 4572" o:spid="_x0000_s1048" type="#_x0000_t202" style="position:absolute;left:1335;top:2983;width:1457;height:17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znjksQA&#10;AADcAAAADwAAAGRycy9kb3ducmV2LnhtbERPS2vCQBC+C/6HZYTedGOpItFVVFqUHqS+0OOYHZNg&#10;djZkt5rm13cLBW/z8T1nMqtNIe5Uudyygn4vAkGcWJ1zquCw/+iOQDiPrLGwTAp+yMFs2m5NMNb2&#10;wVu673wqQgi7GBVk3pexlC7JyKDr2ZI4cFdbGfQBVqnUFT5CuCnkaxQNpcGcQ0OGJS0zSm67b6Ng&#10;/fW+oM9V0zRvm9NxdDkfVn55U+qlU8/HIDzV/in+d691mD8YwN8z4QI5/Q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c545LEAAAA3AAAAA8AAAAAAAAAAAAAAAAAmAIAAGRycy9k&#10;b3ducmV2LnhtbFBLBQYAAAAABAAEAPUAAACJAwAAAAA=&#10;" filled="f" fillcolor="#bbe0e3" stroked="f">
                  <v:textbox>
                    <w:txbxContent>
                      <w:p w:rsidR="00EC7CF3" w:rsidRPr="00F13C55" w:rsidRDefault="00EC7CF3" w:rsidP="003C780D">
                        <w:pPr>
                          <w:autoSpaceDE w:val="0"/>
                          <w:autoSpaceDN w:val="0"/>
                          <w:adjustRightInd w:val="0"/>
                          <w:rPr>
                            <w:rFonts w:ascii="Arial" w:hAnsi="Arial" w:cs="Arial"/>
                            <w:i/>
                            <w:iCs/>
                            <w:color w:val="000000"/>
                            <w:szCs w:val="22"/>
                          </w:rPr>
                        </w:pPr>
                        <w:r w:rsidRPr="00F13C55">
                          <w:rPr>
                            <w:rFonts w:ascii="Arial" w:hAnsi="Arial" w:cs="Arial"/>
                            <w:i/>
                            <w:iCs/>
                            <w:color w:val="000000"/>
                            <w:szCs w:val="22"/>
                          </w:rPr>
                          <w:t xml:space="preserve">Increasing data transfer speeds </w:t>
                        </w:r>
                        <w:proofErr w:type="spellStart"/>
                        <w:r w:rsidRPr="00F13C55">
                          <w:rPr>
                            <w:rFonts w:ascii="Arial" w:hAnsi="Arial" w:cs="Arial"/>
                            <w:i/>
                            <w:iCs/>
                            <w:color w:val="000000"/>
                            <w:szCs w:val="22"/>
                          </w:rPr>
                          <w:t>speeds</w:t>
                        </w:r>
                        <w:proofErr w:type="spellEnd"/>
                      </w:p>
                    </w:txbxContent>
                  </v:textbox>
                </v:shape>
                <v:shape id="AutoShape 4573" o:spid="_x0000_s1049" type="#_x0000_t15" style="position:absolute;left:2860;top:1844;width:531;height:34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u/zKsIA&#10;AADcAAAADwAAAGRycy9kb3ducmV2LnhtbERPS2vCQBC+F/wPywi91U0KSptmlaIU7UVqtPdpdvIg&#10;2dmQXU38964g9DYf33PS1WhacaHe1ZYVxLMIBHFudc2lgtPx6+UNhPPIGlvLpOBKDlbLyVOKibYD&#10;H+iS+VKEEHYJKqi87xIpXV6RQTezHXHgCtsb9AH2pdQ9DiHctPI1ihbSYM2hocKO1hXlTXY2Cn7f&#10;h7jZFeUh22YGr9+bPf79nJV6no6fHyA8jf5f/HDvdJg/X8D9mXCBXN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e7/MqwgAAANwAAAAPAAAAAAAAAAAAAAAAAJgCAABkcnMvZG93&#10;bnJldi54bWxQSwUGAAAAAAQABAD1AAAAhwMAAAAA&#10;" fillcolor="#099">
                  <v:textbox>
                    <w:txbxContent>
                      <w:p w:rsidR="00EC7CF3" w:rsidRDefault="00EC7CF3" w:rsidP="003C780D">
                        <w:pPr>
                          <w:autoSpaceDE w:val="0"/>
                          <w:autoSpaceDN w:val="0"/>
                          <w:adjustRightInd w:val="0"/>
                          <w:jc w:val="center"/>
                          <w:rPr>
                            <w:rFonts w:ascii="Arial" w:hAnsi="Arial" w:cs="Arial"/>
                            <w:b/>
                            <w:bCs/>
                            <w:color w:val="000000"/>
                            <w:sz w:val="24"/>
                            <w:szCs w:val="24"/>
                          </w:rPr>
                        </w:pPr>
                      </w:p>
                      <w:p w:rsidR="00EC7CF3" w:rsidRDefault="00EC7CF3" w:rsidP="003C780D">
                        <w:pPr>
                          <w:autoSpaceDE w:val="0"/>
                          <w:autoSpaceDN w:val="0"/>
                          <w:adjustRightInd w:val="0"/>
                          <w:jc w:val="center"/>
                          <w:rPr>
                            <w:rFonts w:ascii="Arial" w:hAnsi="Arial" w:cs="Arial"/>
                            <w:b/>
                            <w:bCs/>
                            <w:color w:val="000000"/>
                            <w:sz w:val="24"/>
                            <w:szCs w:val="24"/>
                          </w:rPr>
                        </w:pPr>
                        <w:r>
                          <w:rPr>
                            <w:rFonts w:ascii="Arial" w:hAnsi="Arial" w:cs="Arial"/>
                            <w:b/>
                            <w:bCs/>
                            <w:color w:val="000000"/>
                            <w:sz w:val="24"/>
                            <w:szCs w:val="24"/>
                          </w:rPr>
                          <w:t>LTE</w:t>
                        </w:r>
                      </w:p>
                    </w:txbxContent>
                  </v:textbox>
                </v:shape>
                <v:shape id="AutoShape 4574" o:spid="_x0000_s1050" type="#_x0000_t15" style="position:absolute;left:2841;top:2592;width:530;height:34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869zMMA&#10;AADcAAAADwAAAGRycy9kb3ducmV2LnhtbERPTWsCMRC9F/wPYQq9FM0qWGVrFJUWBA9F29LrkIyb&#10;xc1k2aQa/fVGKPQ2j/c5s0VyjThRF2rPCoaDAgSx9qbmSsHX53t/CiJEZIONZ1JwoQCLee9hhqXx&#10;Z97RaR8rkUM4lKjAxtiWUgZtyWEY+JY4cwffOYwZdpU0HZ5zuGvkqChepMOac4PFltaW9HH/6xR8&#10;JFts3g7tKDxv19dvrVdH+klKPT2m5SuISCn+i//cG5PnjydwfyZfIOc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869zMMAAADcAAAADwAAAAAAAAAAAAAAAACYAgAAZHJzL2Rv&#10;d25yZXYueG1sUEsFBgAAAAAEAAQA9QAAAIgDAAAAAA==&#10;" fillcolor="#c9f">
                  <v:textbox>
                    <w:txbxContent>
                      <w:p w:rsidR="00EC7CF3" w:rsidRDefault="00EC7CF3" w:rsidP="003C780D">
                        <w:pPr>
                          <w:autoSpaceDE w:val="0"/>
                          <w:autoSpaceDN w:val="0"/>
                          <w:adjustRightInd w:val="0"/>
                          <w:jc w:val="center"/>
                          <w:rPr>
                            <w:rFonts w:ascii="Arial" w:hAnsi="Arial" w:cs="Arial"/>
                            <w:b/>
                            <w:bCs/>
                            <w:color w:val="000000"/>
                            <w:sz w:val="24"/>
                            <w:szCs w:val="24"/>
                          </w:rPr>
                        </w:pPr>
                      </w:p>
                      <w:p w:rsidR="00EC7CF3" w:rsidRDefault="00EC7CF3" w:rsidP="003C780D">
                        <w:pPr>
                          <w:autoSpaceDE w:val="0"/>
                          <w:autoSpaceDN w:val="0"/>
                          <w:adjustRightInd w:val="0"/>
                          <w:jc w:val="center"/>
                          <w:rPr>
                            <w:rFonts w:ascii="Arial" w:hAnsi="Arial" w:cs="Arial"/>
                            <w:b/>
                            <w:bCs/>
                            <w:color w:val="000000"/>
                            <w:sz w:val="24"/>
                            <w:szCs w:val="24"/>
                          </w:rPr>
                        </w:pPr>
                        <w:proofErr w:type="spellStart"/>
                        <w:r>
                          <w:rPr>
                            <w:rFonts w:ascii="Arial" w:hAnsi="Arial" w:cs="Arial"/>
                            <w:b/>
                            <w:bCs/>
                            <w:color w:val="000000"/>
                            <w:sz w:val="24"/>
                            <w:szCs w:val="24"/>
                          </w:rPr>
                          <w:t>WiMAX</w:t>
                        </w:r>
                        <w:proofErr w:type="spellEnd"/>
                      </w:p>
                    </w:txbxContent>
                  </v:textbox>
                </v:shape>
                <v:shapetype id="_x0000_t37" coordsize="21600,21600" o:spt="37" o:oned="t" path="m,c10800,,21600,10800,21600,21600e" filled="f">
                  <v:path arrowok="t" fillok="f" o:connecttype="none"/>
                  <o:lock v:ext="edit" shapetype="t"/>
                </v:shapetype>
                <v:shape id="AutoShape 4575" o:spid="_x0000_s1051" type="#_x0000_t37" style="position:absolute;left:2690;top:1651;width:369;height:193;visibility:visible;mso-wrap-style:square" o:connectortype="curved"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LVY3ccAAADcAAAADwAAAGRycy9kb3ducmV2LnhtbESPQWvCQBCF70L/wzIFb7qpUCmpq7SW&#10;lh5EqlaktyE7JsHsbNhdY+qv7xwK3mZ4b977ZrboXaM6CrH2bOBhnIEiLrytuTTwvXsfPYGKCdli&#10;45kM/FKExfxuMMPc+gtvqNumUkkIxxwNVCm1udaxqMhhHPuWWLSjDw6TrKHUNuBFwl2jJ1k21Q5r&#10;loYKW1pWVJy2Z2fg2v30X2E3aVfT0/64PiyL17ePlTHD+/7lGVSiPt3M/9efVvAfhVaekQn0/A8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gtVjdxwAAANwAAAAPAAAAAAAA&#10;AAAAAAAAAKECAABkcnMvZG93bnJldi54bWxQSwUGAAAAAAQABAD5AAAAlQMAAAAA&#10;" strokecolor="gray" strokeweight="3pt">
                  <v:stroke endarrow="block"/>
                </v:shape>
                <v:shape id="AutoShape 4576" o:spid="_x0000_s1052" type="#_x0000_t37" style="position:absolute;left:2899;top:2189;width:160;height:249;flip:y;visibility:visible;mso-wrap-style:square" o:connectortype="curved"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G9VFcIAAADcAAAADwAAAGRycy9kb3ducmV2LnhtbERPzWrCQBC+C77DMoVeQt0oJNjoKiII&#10;0kOhaR9gzI5JbHY2ZNdk+/bdQsHbfHy/s90H04mRBtdaVrBcpCCIK6tbrhV8fZ5e1iCcR9bYWSYF&#10;P+Rgv5vPtlhoO/EHjaWvRQxhV6CCxvu+kNJVDRl0C9sTR+5qB4M+wqGWesAphptOrtI0lwZbjg0N&#10;9nRsqPou70YBv4ebf8svSe54CmObZNmNMqWen8JhA8JT8A/xv/us4/zsFf6eiRfI3S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rG9VFcIAAADcAAAADwAAAAAAAAAAAAAA&#10;AAChAgAAZHJzL2Rvd25yZXYueG1sUEsFBgAAAAAEAAQA+QAAAJADAAAAAA==&#10;" strokecolor="gray" strokeweight="3pt">
                  <v:stroke endarrow="block"/>
                </v:shape>
                <w10:anchorlock/>
              </v:group>
            </w:pict>
          </mc:Fallback>
        </mc:AlternateContent>
      </w:r>
    </w:p>
    <w:p w:rsidR="004A147C" w:rsidRPr="00B53FFB" w:rsidRDefault="004A147C" w:rsidP="00CE5850">
      <w:pPr>
        <w:rPr>
          <w:szCs w:val="22"/>
        </w:rPr>
      </w:pPr>
    </w:p>
    <w:p w:rsidR="004A147C" w:rsidRPr="00B53FFB" w:rsidRDefault="004A147C" w:rsidP="00CE5850">
      <w:pPr>
        <w:pStyle w:val="Heading4"/>
        <w:keepNext w:val="0"/>
        <w:numPr>
          <w:ilvl w:val="3"/>
          <w:numId w:val="26"/>
        </w:numPr>
        <w:tabs>
          <w:tab w:val="left" w:pos="2880"/>
        </w:tabs>
        <w:rPr>
          <w:sz w:val="22"/>
          <w:szCs w:val="22"/>
        </w:rPr>
      </w:pPr>
      <w:bookmarkStart w:id="2302" w:name="_Toc83547810"/>
      <w:bookmarkStart w:id="2303" w:name="_Toc112139234"/>
      <w:bookmarkStart w:id="2304" w:name="_Toc113257841"/>
      <w:bookmarkStart w:id="2305" w:name="_Toc113258038"/>
      <w:bookmarkStart w:id="2306" w:name="_Toc113258306"/>
      <w:bookmarkStart w:id="2307" w:name="_Toc113258632"/>
      <w:bookmarkStart w:id="2308" w:name="_Toc113272221"/>
      <w:bookmarkStart w:id="2309" w:name="_Toc115580906"/>
      <w:bookmarkStart w:id="2310" w:name="_Toc136318309"/>
      <w:bookmarkStart w:id="2311" w:name="_Toc136318658"/>
      <w:bookmarkStart w:id="2312" w:name="_Toc136318825"/>
      <w:bookmarkStart w:id="2313" w:name="_Toc138475801"/>
      <w:bookmarkStart w:id="2314" w:name="_Toc146684530"/>
      <w:bookmarkStart w:id="2315" w:name="_Toc147046288"/>
      <w:bookmarkStart w:id="2316" w:name="_Toc171415245"/>
      <w:bookmarkStart w:id="2317" w:name="_Toc173642133"/>
      <w:bookmarkStart w:id="2318" w:name="_Toc173813671"/>
      <w:bookmarkStart w:id="2319" w:name="_Toc175387841"/>
      <w:bookmarkStart w:id="2320" w:name="_Toc176254446"/>
      <w:bookmarkStart w:id="2321" w:name="_Toc176254735"/>
      <w:bookmarkStart w:id="2322" w:name="_Toc176254846"/>
      <w:bookmarkStart w:id="2323" w:name="_Toc176762481"/>
      <w:bookmarkStart w:id="2324" w:name="_Toc176843502"/>
      <w:bookmarkStart w:id="2325" w:name="_Toc176853306"/>
      <w:bookmarkStart w:id="2326" w:name="_Toc176853415"/>
      <w:bookmarkStart w:id="2327" w:name="_Toc176857464"/>
      <w:bookmarkStart w:id="2328" w:name="_Toc179108392"/>
      <w:bookmarkStart w:id="2329" w:name="_Toc179357651"/>
      <w:bookmarkStart w:id="2330" w:name="_Toc181781135"/>
      <w:bookmarkStart w:id="2331" w:name="_Toc182218721"/>
      <w:bookmarkStart w:id="2332" w:name="_Toc182909156"/>
      <w:bookmarkStart w:id="2333" w:name="_Toc182909586"/>
      <w:bookmarkStart w:id="2334" w:name="_Toc182987236"/>
      <w:bookmarkStart w:id="2335" w:name="_Toc183244071"/>
      <w:bookmarkStart w:id="2336" w:name="_Toc183244449"/>
      <w:bookmarkStart w:id="2337" w:name="_Toc183244860"/>
      <w:bookmarkStart w:id="2338" w:name="_Toc183244978"/>
      <w:bookmarkStart w:id="2339" w:name="_Toc183245636"/>
      <w:bookmarkStart w:id="2340" w:name="_Toc183246211"/>
      <w:bookmarkStart w:id="2341" w:name="_Toc183246310"/>
      <w:bookmarkStart w:id="2342" w:name="_Ref185241914"/>
      <w:bookmarkStart w:id="2343" w:name="_Ref185241920"/>
      <w:bookmarkStart w:id="2344" w:name="_Ref185317271"/>
      <w:bookmarkStart w:id="2345" w:name="_Ref185317279"/>
      <w:bookmarkStart w:id="2346" w:name="_Toc185667920"/>
      <w:bookmarkStart w:id="2347" w:name="_Ref185758763"/>
      <w:bookmarkStart w:id="2348" w:name="_Toc185838977"/>
      <w:bookmarkStart w:id="2349" w:name="_Toc185846949"/>
      <w:bookmarkStart w:id="2350" w:name="_Toc185848555"/>
      <w:bookmarkStart w:id="2351" w:name="_Toc188946913"/>
      <w:bookmarkStart w:id="2352" w:name="_Toc189302817"/>
      <w:bookmarkStart w:id="2353" w:name="_Toc209948484"/>
      <w:bookmarkStart w:id="2354" w:name="_Toc209948593"/>
      <w:bookmarkStart w:id="2355" w:name="_Toc209950035"/>
      <w:bookmarkStart w:id="2356" w:name="_Toc210211491"/>
      <w:bookmarkStart w:id="2357" w:name="_Toc210213058"/>
      <w:bookmarkStart w:id="2358" w:name="_Toc210213197"/>
      <w:bookmarkStart w:id="2359" w:name="_Toc210213758"/>
      <w:bookmarkStart w:id="2360" w:name="_Toc212967982"/>
      <w:bookmarkStart w:id="2361" w:name="_Toc215316384"/>
      <w:bookmarkStart w:id="2362" w:name="_Toc215384638"/>
      <w:bookmarkStart w:id="2363" w:name="_Ref217796216"/>
      <w:bookmarkStart w:id="2364" w:name="_Ref217796245"/>
      <w:bookmarkStart w:id="2365" w:name="_Toc217810504"/>
      <w:bookmarkStart w:id="2366" w:name="_Ref256168774"/>
      <w:bookmarkStart w:id="2367" w:name="_Ref256168781"/>
      <w:bookmarkStart w:id="2368" w:name="_Ref256169012"/>
      <w:bookmarkStart w:id="2369" w:name="_Toc261858508"/>
      <w:bookmarkStart w:id="2370" w:name="_Toc262034313"/>
      <w:bookmarkStart w:id="2371" w:name="_Toc262034416"/>
      <w:bookmarkStart w:id="2372" w:name="_Toc275517972"/>
      <w:bookmarkStart w:id="2373" w:name="_Toc275952412"/>
      <w:bookmarkStart w:id="2374" w:name="_Toc276121844"/>
      <w:bookmarkStart w:id="2375" w:name="_Toc276480681"/>
      <w:bookmarkStart w:id="2376" w:name="_Toc276741758"/>
      <w:bookmarkStart w:id="2377" w:name="_Toc277171522"/>
      <w:bookmarkStart w:id="2378" w:name="_Toc277864497"/>
      <w:bookmarkStart w:id="2379" w:name="_Toc277864713"/>
      <w:bookmarkStart w:id="2380" w:name="_Toc285810394"/>
      <w:bookmarkStart w:id="2381" w:name="_Toc287257788"/>
      <w:bookmarkStart w:id="2382" w:name="_Toc291758667"/>
      <w:bookmarkStart w:id="2383" w:name="_Toc291758770"/>
      <w:bookmarkStart w:id="2384" w:name="_Toc295392950"/>
      <w:bookmarkStart w:id="2385" w:name="_Toc337651972"/>
      <w:bookmarkStart w:id="2386" w:name="_Toc349577160"/>
      <w:bookmarkStart w:id="2387" w:name="_Toc349579252"/>
      <w:bookmarkStart w:id="2388" w:name="_Toc349580567"/>
      <w:bookmarkStart w:id="2389" w:name="_Toc349734975"/>
      <w:bookmarkStart w:id="2390" w:name="_Toc349742340"/>
      <w:bookmarkStart w:id="2391" w:name="OLE_LINK2"/>
      <w:bookmarkStart w:id="2392" w:name="OLE_LINK22"/>
      <w:r w:rsidRPr="00B53FFB">
        <w:rPr>
          <w:sz w:val="22"/>
          <w:szCs w:val="22"/>
        </w:rPr>
        <w:t xml:space="preserve">Service Provider Technology </w:t>
      </w:r>
      <w:bookmarkEnd w:id="2302"/>
      <w:bookmarkEnd w:id="2303"/>
      <w:bookmarkEnd w:id="2304"/>
      <w:bookmarkEnd w:id="2305"/>
      <w:bookmarkEnd w:id="2306"/>
      <w:bookmarkEnd w:id="2307"/>
      <w:bookmarkEnd w:id="2308"/>
      <w:bookmarkEnd w:id="2309"/>
      <w:bookmarkEnd w:id="2310"/>
      <w:bookmarkEnd w:id="2311"/>
      <w:bookmarkEnd w:id="2312"/>
      <w:bookmarkEnd w:id="2313"/>
      <w:bookmarkEnd w:id="2314"/>
      <w:bookmarkEnd w:id="2315"/>
      <w:bookmarkEnd w:id="2316"/>
      <w:bookmarkEnd w:id="2317"/>
      <w:bookmarkEnd w:id="2318"/>
      <w:bookmarkEnd w:id="2319"/>
      <w:bookmarkEnd w:id="2320"/>
      <w:bookmarkEnd w:id="2321"/>
      <w:bookmarkEnd w:id="2322"/>
      <w:bookmarkEnd w:id="2323"/>
      <w:bookmarkEnd w:id="2324"/>
      <w:bookmarkEnd w:id="2325"/>
      <w:bookmarkEnd w:id="2326"/>
      <w:bookmarkEnd w:id="2327"/>
      <w:bookmarkEnd w:id="2328"/>
      <w:bookmarkEnd w:id="2329"/>
      <w:bookmarkEnd w:id="2330"/>
      <w:bookmarkEnd w:id="2331"/>
      <w:bookmarkEnd w:id="2332"/>
      <w:bookmarkEnd w:id="2333"/>
      <w:bookmarkEnd w:id="2334"/>
      <w:bookmarkEnd w:id="2335"/>
      <w:bookmarkEnd w:id="2336"/>
      <w:bookmarkEnd w:id="2337"/>
      <w:bookmarkEnd w:id="2338"/>
      <w:bookmarkEnd w:id="2339"/>
      <w:bookmarkEnd w:id="2340"/>
      <w:bookmarkEnd w:id="2341"/>
      <w:bookmarkEnd w:id="2342"/>
      <w:bookmarkEnd w:id="2343"/>
      <w:bookmarkEnd w:id="2344"/>
      <w:bookmarkEnd w:id="2345"/>
      <w:bookmarkEnd w:id="2346"/>
      <w:bookmarkEnd w:id="2347"/>
      <w:bookmarkEnd w:id="2348"/>
      <w:bookmarkEnd w:id="2349"/>
      <w:bookmarkEnd w:id="2350"/>
      <w:bookmarkEnd w:id="2351"/>
      <w:bookmarkEnd w:id="2352"/>
      <w:bookmarkEnd w:id="2353"/>
      <w:bookmarkEnd w:id="2354"/>
      <w:bookmarkEnd w:id="2355"/>
      <w:bookmarkEnd w:id="2356"/>
      <w:bookmarkEnd w:id="2357"/>
      <w:bookmarkEnd w:id="2358"/>
      <w:bookmarkEnd w:id="2359"/>
      <w:bookmarkEnd w:id="2360"/>
      <w:bookmarkEnd w:id="2361"/>
      <w:bookmarkEnd w:id="2362"/>
      <w:bookmarkEnd w:id="2363"/>
      <w:bookmarkEnd w:id="2364"/>
      <w:bookmarkEnd w:id="2365"/>
      <w:r w:rsidRPr="00B53FFB">
        <w:rPr>
          <w:sz w:val="22"/>
          <w:szCs w:val="22"/>
        </w:rPr>
        <w:t>Deployments</w:t>
      </w:r>
      <w:bookmarkEnd w:id="2366"/>
      <w:bookmarkEnd w:id="2367"/>
      <w:bookmarkEnd w:id="2368"/>
      <w:bookmarkEnd w:id="2369"/>
      <w:bookmarkEnd w:id="2370"/>
      <w:bookmarkEnd w:id="2371"/>
      <w:bookmarkEnd w:id="2372"/>
      <w:bookmarkEnd w:id="2373"/>
      <w:bookmarkEnd w:id="2374"/>
      <w:bookmarkEnd w:id="2375"/>
      <w:bookmarkEnd w:id="2376"/>
      <w:bookmarkEnd w:id="2377"/>
      <w:bookmarkEnd w:id="2378"/>
      <w:bookmarkEnd w:id="2379"/>
      <w:bookmarkEnd w:id="2380"/>
      <w:bookmarkEnd w:id="2381"/>
      <w:bookmarkEnd w:id="2382"/>
      <w:bookmarkEnd w:id="2383"/>
      <w:bookmarkEnd w:id="2384"/>
      <w:bookmarkEnd w:id="2385"/>
      <w:bookmarkEnd w:id="2386"/>
      <w:bookmarkEnd w:id="2387"/>
      <w:bookmarkEnd w:id="2388"/>
      <w:bookmarkEnd w:id="2389"/>
      <w:bookmarkEnd w:id="2390"/>
    </w:p>
    <w:p w:rsidR="004A147C" w:rsidRPr="00B53FFB" w:rsidRDefault="004A147C" w:rsidP="00CE5850">
      <w:pPr>
        <w:pStyle w:val="ParaNum"/>
        <w:numPr>
          <w:ilvl w:val="0"/>
          <w:numId w:val="28"/>
        </w:numPr>
        <w:rPr>
          <w:sz w:val="22"/>
          <w:szCs w:val="22"/>
        </w:rPr>
      </w:pPr>
      <w:r w:rsidRPr="00B53FFB">
        <w:rPr>
          <w:sz w:val="22"/>
          <w:szCs w:val="22"/>
        </w:rPr>
        <w:t>While service providers initially adopted different plans for upgrading their networks with newer technologies, all of the major mobile wireless providers now offer or plan to deploy LTE.  During 2009 and 2010, Verizon Wireless launched LTE, Sprint was offering WiMAX through its investment in Clearwire, and T-Mobile and AT&amp;T deployed different versions of HSPA+ technology.</w:t>
      </w:r>
      <w:r w:rsidRPr="00B53FFB">
        <w:rPr>
          <w:rStyle w:val="FootnoteReference"/>
          <w:szCs w:val="22"/>
        </w:rPr>
        <w:footnoteReference w:id="579"/>
      </w:r>
      <w:r w:rsidRPr="00B53FFB">
        <w:rPr>
          <w:sz w:val="22"/>
          <w:szCs w:val="22"/>
        </w:rPr>
        <w:t xml:space="preserve">  While these providers continue to maintain these divergent networks, as of April 2012, all of the major providers had either begun to deploy, or announced plans to migrate to, LTE technology.  </w:t>
      </w:r>
    </w:p>
    <w:p w:rsidR="004A147C" w:rsidRPr="00B53FFB" w:rsidRDefault="004A147C" w:rsidP="00CE5850">
      <w:pPr>
        <w:pStyle w:val="ParaNum"/>
        <w:numPr>
          <w:ilvl w:val="0"/>
          <w:numId w:val="28"/>
        </w:numPr>
        <w:rPr>
          <w:sz w:val="22"/>
          <w:szCs w:val="22"/>
        </w:rPr>
      </w:pPr>
      <w:r w:rsidRPr="00B53FFB">
        <w:rPr>
          <w:sz w:val="22"/>
          <w:szCs w:val="22"/>
        </w:rPr>
        <w:t xml:space="preserve">Below we discuss in detail the mobile network upgrades of the major mobile wireless providers in 2010, 2011, and early 2012.  For purposes of this </w:t>
      </w:r>
      <w:r w:rsidRPr="00B53FFB">
        <w:rPr>
          <w:i/>
          <w:sz w:val="22"/>
          <w:szCs w:val="22"/>
        </w:rPr>
        <w:t>Report</w:t>
      </w:r>
      <w:r w:rsidRPr="00B53FFB">
        <w:rPr>
          <w:sz w:val="22"/>
          <w:szCs w:val="22"/>
        </w:rPr>
        <w:t>, we include all 3G and 4G network technologies – CDMA EV-DO, EV-DO Rev. A, WCDMA/UMTS/HSPA, HSPA+, LTE, and mobile WiMAX – in our discussion of mobile broadband.</w:t>
      </w:r>
      <w:r w:rsidRPr="00B53FFB">
        <w:rPr>
          <w:rStyle w:val="FootnoteReference"/>
          <w:szCs w:val="22"/>
        </w:rPr>
        <w:footnoteReference w:id="580"/>
      </w:r>
      <w:r w:rsidRPr="00B53FFB">
        <w:rPr>
          <w:sz w:val="22"/>
          <w:szCs w:val="22"/>
        </w:rPr>
        <w:t xml:space="preserve">  While the Mosaik deployment data distinguish among different mobile wireless network technologies, other factors than network technology may affect network performance, including the configuration of the network, the amount of spectrum used, and the type of backhaul connection to the cell site.</w:t>
      </w:r>
      <w:r w:rsidRPr="00B53FFB">
        <w:rPr>
          <w:rStyle w:val="FootnoteReference"/>
          <w:szCs w:val="22"/>
        </w:rPr>
        <w:footnoteReference w:id="581"/>
      </w:r>
      <w:r w:rsidRPr="00B53FFB">
        <w:rPr>
          <w:sz w:val="22"/>
          <w:szCs w:val="22"/>
        </w:rPr>
        <w:t xml:space="preserve">     </w:t>
      </w:r>
    </w:p>
    <w:p w:rsidR="004A147C" w:rsidRPr="00B53FFB" w:rsidRDefault="004A147C" w:rsidP="00CE5850">
      <w:pPr>
        <w:pStyle w:val="ParaNum"/>
        <w:tabs>
          <w:tab w:val="clear" w:pos="1440"/>
        </w:tabs>
        <w:ind w:firstLine="0"/>
        <w:jc w:val="center"/>
        <w:rPr>
          <w:b/>
          <w:sz w:val="22"/>
          <w:szCs w:val="22"/>
        </w:rPr>
      </w:pPr>
      <w:bookmarkStart w:id="2393" w:name="_Ref255824904"/>
      <w:r w:rsidRPr="00B53FFB">
        <w:rPr>
          <w:b/>
          <w:sz w:val="22"/>
          <w:szCs w:val="22"/>
        </w:rPr>
        <w:t xml:space="preserve">Table </w:t>
      </w:r>
      <w:r w:rsidR="0007014B" w:rsidRPr="00B53FFB">
        <w:rPr>
          <w:b/>
          <w:sz w:val="22"/>
          <w:szCs w:val="22"/>
        </w:rPr>
        <w:fldChar w:fldCharType="begin"/>
      </w:r>
      <w:r w:rsidRPr="00B53FFB">
        <w:rPr>
          <w:b/>
          <w:sz w:val="22"/>
          <w:szCs w:val="22"/>
        </w:rPr>
        <w:instrText xml:space="preserve"> SEQ Table \* ARABIC </w:instrText>
      </w:r>
      <w:r w:rsidR="0007014B" w:rsidRPr="00B53FFB">
        <w:rPr>
          <w:b/>
          <w:sz w:val="22"/>
          <w:szCs w:val="22"/>
        </w:rPr>
        <w:fldChar w:fldCharType="separate"/>
      </w:r>
      <w:r w:rsidR="00CA3AC6">
        <w:rPr>
          <w:b/>
          <w:noProof/>
          <w:sz w:val="22"/>
          <w:szCs w:val="22"/>
        </w:rPr>
        <w:t>28</w:t>
      </w:r>
      <w:r w:rsidR="0007014B" w:rsidRPr="00B53FFB">
        <w:rPr>
          <w:b/>
          <w:sz w:val="22"/>
          <w:szCs w:val="22"/>
        </w:rPr>
        <w:fldChar w:fldCharType="end"/>
      </w:r>
      <w:bookmarkEnd w:id="2393"/>
      <w:r w:rsidRPr="00B53FFB">
        <w:rPr>
          <w:b/>
          <w:sz w:val="22"/>
          <w:szCs w:val="22"/>
        </w:rPr>
        <w:br/>
        <w:t>3G/4G Deployment by Selected Mobile Wireless Service Providers, 2011-2012</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674"/>
        <w:gridCol w:w="3762"/>
        <w:gridCol w:w="3672"/>
      </w:tblGrid>
      <w:tr w:rsidR="004A147C" w:rsidRPr="00B53FFB" w:rsidTr="00A655E0">
        <w:trPr>
          <w:jc w:val="center"/>
        </w:trPr>
        <w:tc>
          <w:tcPr>
            <w:tcW w:w="1674" w:type="dxa"/>
          </w:tcPr>
          <w:p w:rsidR="004A147C" w:rsidRPr="00B53FFB" w:rsidRDefault="004A147C" w:rsidP="00CE5850">
            <w:pPr>
              <w:rPr>
                <w:b/>
                <w:szCs w:val="22"/>
              </w:rPr>
            </w:pPr>
            <w:r w:rsidRPr="00B53FFB">
              <w:rPr>
                <w:b/>
                <w:szCs w:val="22"/>
              </w:rPr>
              <w:t>Service Provider</w:t>
            </w:r>
          </w:p>
        </w:tc>
        <w:tc>
          <w:tcPr>
            <w:tcW w:w="3762" w:type="dxa"/>
          </w:tcPr>
          <w:p w:rsidR="004A147C" w:rsidRPr="00B53FFB" w:rsidRDefault="004A147C" w:rsidP="00CE5850">
            <w:pPr>
              <w:rPr>
                <w:b/>
                <w:szCs w:val="22"/>
              </w:rPr>
            </w:pPr>
            <w:r w:rsidRPr="00B53FFB">
              <w:rPr>
                <w:b/>
                <w:szCs w:val="22"/>
              </w:rPr>
              <w:t>HSPA, HSPA+, and EV-DO Deployment</w:t>
            </w:r>
          </w:p>
        </w:tc>
        <w:tc>
          <w:tcPr>
            <w:tcW w:w="3672" w:type="dxa"/>
          </w:tcPr>
          <w:p w:rsidR="004A147C" w:rsidRPr="00B53FFB" w:rsidRDefault="004A147C" w:rsidP="00CE5850">
            <w:pPr>
              <w:rPr>
                <w:b/>
                <w:szCs w:val="22"/>
              </w:rPr>
            </w:pPr>
            <w:r w:rsidRPr="00B53FFB">
              <w:rPr>
                <w:b/>
                <w:szCs w:val="22"/>
              </w:rPr>
              <w:t>LTE and WiMAX Deployment</w:t>
            </w:r>
          </w:p>
        </w:tc>
      </w:tr>
      <w:tr w:rsidR="004A147C" w:rsidRPr="00B53FFB" w:rsidTr="00A655E0">
        <w:trPr>
          <w:jc w:val="center"/>
        </w:trPr>
        <w:tc>
          <w:tcPr>
            <w:tcW w:w="1674" w:type="dxa"/>
          </w:tcPr>
          <w:p w:rsidR="004A147C" w:rsidRPr="00B53FFB" w:rsidRDefault="004A147C" w:rsidP="00CE5850">
            <w:pPr>
              <w:rPr>
                <w:szCs w:val="22"/>
              </w:rPr>
            </w:pPr>
            <w:r w:rsidRPr="00B53FFB">
              <w:rPr>
                <w:szCs w:val="22"/>
              </w:rPr>
              <w:t>Verizon Wireless</w:t>
            </w:r>
          </w:p>
        </w:tc>
        <w:tc>
          <w:tcPr>
            <w:tcW w:w="3762" w:type="dxa"/>
          </w:tcPr>
          <w:p w:rsidR="004A147C" w:rsidRPr="00B53FFB" w:rsidRDefault="004A147C" w:rsidP="00CE5850">
            <w:pPr>
              <w:rPr>
                <w:szCs w:val="22"/>
              </w:rPr>
            </w:pPr>
            <w:r w:rsidRPr="00B53FFB">
              <w:rPr>
                <w:szCs w:val="22"/>
              </w:rPr>
              <w:t>As of May 2012, EV-DO Rev. A network covered 290 million POPs.</w:t>
            </w:r>
          </w:p>
        </w:tc>
        <w:tc>
          <w:tcPr>
            <w:tcW w:w="3672" w:type="dxa"/>
          </w:tcPr>
          <w:p w:rsidR="004A147C" w:rsidRPr="00B53FFB" w:rsidRDefault="004A147C" w:rsidP="00CE5850">
            <w:pPr>
              <w:rPr>
                <w:szCs w:val="22"/>
              </w:rPr>
            </w:pPr>
            <w:r w:rsidRPr="00B53FFB">
              <w:rPr>
                <w:szCs w:val="22"/>
              </w:rPr>
              <w:t>As of Nov. 2012, LTE network covered more than 250 million POPs.  Plans to expand LTE nationwide in 2013 to have LTE coverage similar to its 3G network.</w:t>
            </w:r>
          </w:p>
        </w:tc>
      </w:tr>
      <w:tr w:rsidR="004A147C" w:rsidRPr="00B53FFB" w:rsidTr="00A655E0">
        <w:trPr>
          <w:jc w:val="center"/>
        </w:trPr>
        <w:tc>
          <w:tcPr>
            <w:tcW w:w="1674" w:type="dxa"/>
          </w:tcPr>
          <w:p w:rsidR="004A147C" w:rsidRPr="00B53FFB" w:rsidRDefault="004A147C" w:rsidP="00CE5850">
            <w:pPr>
              <w:rPr>
                <w:szCs w:val="22"/>
              </w:rPr>
            </w:pPr>
            <w:r w:rsidRPr="00B53FFB">
              <w:rPr>
                <w:szCs w:val="22"/>
              </w:rPr>
              <w:t>Verizon Wireless – LTE in Rural America Partners</w:t>
            </w:r>
          </w:p>
        </w:tc>
        <w:tc>
          <w:tcPr>
            <w:tcW w:w="3762" w:type="dxa"/>
          </w:tcPr>
          <w:p w:rsidR="004A147C" w:rsidRPr="00B53FFB" w:rsidRDefault="004A147C" w:rsidP="00CE5850">
            <w:pPr>
              <w:rPr>
                <w:szCs w:val="22"/>
              </w:rPr>
            </w:pPr>
          </w:p>
        </w:tc>
        <w:tc>
          <w:tcPr>
            <w:tcW w:w="3672" w:type="dxa"/>
          </w:tcPr>
          <w:p w:rsidR="004A147C" w:rsidRPr="00B53FFB" w:rsidRDefault="00DB58CC" w:rsidP="00CE5850">
            <w:pPr>
              <w:rPr>
                <w:szCs w:val="22"/>
              </w:rPr>
            </w:pPr>
            <w:r w:rsidRPr="00DB58CC">
              <w:rPr>
                <w:szCs w:val="22"/>
              </w:rPr>
              <w:t xml:space="preserve">As of March 2013, the program included 20 small, rural providers that have launched or plan to launch LTE to areas covering approximately 2.8 million people across 14 states.  By March 2013, </w:t>
            </w:r>
            <w:r w:rsidR="00645C09">
              <w:rPr>
                <w:szCs w:val="22"/>
              </w:rPr>
              <w:t>7</w:t>
            </w:r>
            <w:r w:rsidRPr="00DB58CC">
              <w:rPr>
                <w:szCs w:val="22"/>
              </w:rPr>
              <w:t xml:space="preserve"> of these providers had la</w:t>
            </w:r>
            <w:r w:rsidR="005C29BD">
              <w:rPr>
                <w:szCs w:val="22"/>
              </w:rPr>
              <w:t>u</w:t>
            </w:r>
            <w:r w:rsidRPr="00DB58CC">
              <w:rPr>
                <w:szCs w:val="22"/>
              </w:rPr>
              <w:t>nched LTE: Bluegrass Cellular (Kentucky), Pioneer Cellular (Oklahoma), Cellcom (Wisconsin), Thumb Cellular (Michig</w:t>
            </w:r>
            <w:r w:rsidR="00645C09">
              <w:rPr>
                <w:szCs w:val="22"/>
              </w:rPr>
              <w:t>an), Strata Networks (Utah),</w:t>
            </w:r>
            <w:r w:rsidRPr="00DB58CC">
              <w:rPr>
                <w:szCs w:val="22"/>
              </w:rPr>
              <w:t xml:space="preserve"> Chariton Valley (Missouri)</w:t>
            </w:r>
            <w:r w:rsidR="00645C09">
              <w:rPr>
                <w:szCs w:val="22"/>
              </w:rPr>
              <w:t xml:space="preserve"> and Cross Wireless (Oklahoma)</w:t>
            </w:r>
            <w:r w:rsidRPr="00DB58CC">
              <w:rPr>
                <w:szCs w:val="22"/>
              </w:rPr>
              <w:t>.</w:t>
            </w:r>
          </w:p>
        </w:tc>
      </w:tr>
      <w:tr w:rsidR="004A147C" w:rsidRPr="00B53FFB" w:rsidTr="00A655E0">
        <w:trPr>
          <w:jc w:val="center"/>
        </w:trPr>
        <w:tc>
          <w:tcPr>
            <w:tcW w:w="1674" w:type="dxa"/>
          </w:tcPr>
          <w:p w:rsidR="004A147C" w:rsidRPr="00B53FFB" w:rsidRDefault="004A147C" w:rsidP="00CE5850">
            <w:pPr>
              <w:rPr>
                <w:szCs w:val="22"/>
              </w:rPr>
            </w:pPr>
            <w:r w:rsidRPr="00B53FFB">
              <w:rPr>
                <w:szCs w:val="22"/>
              </w:rPr>
              <w:t>AT&amp;T Wireless</w:t>
            </w:r>
          </w:p>
        </w:tc>
        <w:tc>
          <w:tcPr>
            <w:tcW w:w="3762" w:type="dxa"/>
          </w:tcPr>
          <w:p w:rsidR="004A147C" w:rsidRPr="00B53FFB" w:rsidRDefault="004A147C" w:rsidP="00CE5850">
            <w:pPr>
              <w:rPr>
                <w:szCs w:val="22"/>
              </w:rPr>
            </w:pPr>
            <w:r w:rsidRPr="00B53FFB">
              <w:rPr>
                <w:szCs w:val="22"/>
              </w:rPr>
              <w:t xml:space="preserve">As of mid-year 2012, all of AT&amp;T’s network is covered by HSPA+, covering 275 million POPs. </w:t>
            </w:r>
          </w:p>
        </w:tc>
        <w:tc>
          <w:tcPr>
            <w:tcW w:w="3672" w:type="dxa"/>
          </w:tcPr>
          <w:p w:rsidR="004A147C" w:rsidRPr="00B53FFB" w:rsidRDefault="004A147C" w:rsidP="00CE5850">
            <w:pPr>
              <w:rPr>
                <w:szCs w:val="22"/>
              </w:rPr>
            </w:pPr>
            <w:r w:rsidRPr="00B53FFB">
              <w:rPr>
                <w:szCs w:val="22"/>
              </w:rPr>
              <w:t>As of Nov. 2012, LTE network covered 150 million POPs.  AT&amp;T plans to deploy LTE to 80 percent of the U.S. population, or approximately 250 million POPs, by the end of 2013, and to 300 million by the end of 2014.</w:t>
            </w:r>
          </w:p>
        </w:tc>
      </w:tr>
      <w:tr w:rsidR="004A147C" w:rsidRPr="00B53FFB" w:rsidTr="00A655E0">
        <w:trPr>
          <w:jc w:val="center"/>
        </w:trPr>
        <w:tc>
          <w:tcPr>
            <w:tcW w:w="1674" w:type="dxa"/>
          </w:tcPr>
          <w:p w:rsidR="004A147C" w:rsidRPr="00B53FFB" w:rsidRDefault="004A147C" w:rsidP="00CE5850">
            <w:pPr>
              <w:rPr>
                <w:szCs w:val="22"/>
              </w:rPr>
            </w:pPr>
            <w:r w:rsidRPr="00B53FFB">
              <w:rPr>
                <w:szCs w:val="22"/>
              </w:rPr>
              <w:t xml:space="preserve">Sprint Nextel </w:t>
            </w:r>
          </w:p>
        </w:tc>
        <w:tc>
          <w:tcPr>
            <w:tcW w:w="3762" w:type="dxa"/>
          </w:tcPr>
          <w:p w:rsidR="004A147C" w:rsidRPr="00B53FFB" w:rsidRDefault="004A147C" w:rsidP="00CE5850">
            <w:pPr>
              <w:rPr>
                <w:szCs w:val="22"/>
              </w:rPr>
            </w:pPr>
            <w:r w:rsidRPr="00B53FFB">
              <w:rPr>
                <w:szCs w:val="22"/>
              </w:rPr>
              <w:t>As of January 2012, EV-DO Rev. A network covered approximately 274 million POPs.</w:t>
            </w:r>
          </w:p>
        </w:tc>
        <w:tc>
          <w:tcPr>
            <w:tcW w:w="3672" w:type="dxa"/>
          </w:tcPr>
          <w:p w:rsidR="004A147C" w:rsidRPr="00B53FFB" w:rsidRDefault="004A147C" w:rsidP="00CE5850">
            <w:pPr>
              <w:rPr>
                <w:szCs w:val="22"/>
              </w:rPr>
            </w:pPr>
            <w:r w:rsidRPr="00B53FFB">
              <w:rPr>
                <w:szCs w:val="22"/>
              </w:rPr>
              <w:t xml:space="preserve">As of September 2012, LTE service is offered in 19 cities and plans to deploy LTE to 100 additional cities within the next several months and to complete LTE build-out by the end of 2013. </w:t>
            </w:r>
          </w:p>
        </w:tc>
      </w:tr>
      <w:tr w:rsidR="004A147C" w:rsidRPr="00B53FFB" w:rsidTr="00A655E0">
        <w:trPr>
          <w:jc w:val="center"/>
        </w:trPr>
        <w:tc>
          <w:tcPr>
            <w:tcW w:w="1674" w:type="dxa"/>
          </w:tcPr>
          <w:p w:rsidR="004A147C" w:rsidRPr="00B53FFB" w:rsidRDefault="004A147C" w:rsidP="00CE5850">
            <w:pPr>
              <w:rPr>
                <w:szCs w:val="22"/>
              </w:rPr>
            </w:pPr>
            <w:r w:rsidRPr="00B53FFB">
              <w:rPr>
                <w:szCs w:val="22"/>
              </w:rPr>
              <w:t>Clearwire</w:t>
            </w:r>
          </w:p>
        </w:tc>
        <w:tc>
          <w:tcPr>
            <w:tcW w:w="3762" w:type="dxa"/>
          </w:tcPr>
          <w:p w:rsidR="004A147C" w:rsidRPr="00B53FFB" w:rsidRDefault="004A147C" w:rsidP="00CE5850">
            <w:pPr>
              <w:rPr>
                <w:szCs w:val="22"/>
              </w:rPr>
            </w:pPr>
          </w:p>
        </w:tc>
        <w:tc>
          <w:tcPr>
            <w:tcW w:w="3672" w:type="dxa"/>
          </w:tcPr>
          <w:p w:rsidR="004A147C" w:rsidRPr="00B53FFB" w:rsidRDefault="004A147C" w:rsidP="00CE5850">
            <w:pPr>
              <w:rPr>
                <w:szCs w:val="22"/>
              </w:rPr>
            </w:pPr>
            <w:r w:rsidRPr="00B53FFB">
              <w:rPr>
                <w:szCs w:val="22"/>
              </w:rPr>
              <w:t>As of June 2012, WiMAX network covered approximately 134 million POPs. Plans to launch LTE in 31 urban markets by June 2013.</w:t>
            </w:r>
          </w:p>
        </w:tc>
      </w:tr>
      <w:tr w:rsidR="004A147C" w:rsidRPr="00B53FFB" w:rsidTr="00A655E0">
        <w:trPr>
          <w:jc w:val="center"/>
        </w:trPr>
        <w:tc>
          <w:tcPr>
            <w:tcW w:w="1674" w:type="dxa"/>
          </w:tcPr>
          <w:p w:rsidR="004A147C" w:rsidRPr="00B53FFB" w:rsidRDefault="004A147C" w:rsidP="00CE5850">
            <w:pPr>
              <w:rPr>
                <w:szCs w:val="22"/>
              </w:rPr>
            </w:pPr>
            <w:r w:rsidRPr="00B53FFB">
              <w:rPr>
                <w:szCs w:val="22"/>
              </w:rPr>
              <w:t>T-Mobile</w:t>
            </w:r>
          </w:p>
        </w:tc>
        <w:tc>
          <w:tcPr>
            <w:tcW w:w="3762" w:type="dxa"/>
          </w:tcPr>
          <w:p w:rsidR="004A147C" w:rsidRPr="00B53FFB" w:rsidRDefault="004A147C" w:rsidP="00CE5850">
            <w:pPr>
              <w:rPr>
                <w:szCs w:val="22"/>
              </w:rPr>
            </w:pPr>
            <w:r w:rsidRPr="00B53FFB">
              <w:rPr>
                <w:szCs w:val="22"/>
              </w:rPr>
              <w:t>As of September 2012, HSPA+ 21 network covered over 200 million POPs and HSPA+ 42 network covered 184 million POPs.</w:t>
            </w:r>
          </w:p>
        </w:tc>
        <w:tc>
          <w:tcPr>
            <w:tcW w:w="3672" w:type="dxa"/>
          </w:tcPr>
          <w:p w:rsidR="004A147C" w:rsidRPr="00B53FFB" w:rsidRDefault="004A147C" w:rsidP="00CE5850">
            <w:pPr>
              <w:rPr>
                <w:szCs w:val="22"/>
              </w:rPr>
            </w:pPr>
            <w:r w:rsidRPr="00633F60">
              <w:rPr>
                <w:szCs w:val="22"/>
              </w:rPr>
              <w:t>As of December 2012, plans to deploy its LTE network in the United States to 100 million people by July 2013 and 200 million people by year-end July 2013.</w:t>
            </w:r>
          </w:p>
        </w:tc>
      </w:tr>
      <w:tr w:rsidR="004A147C" w:rsidRPr="00B53FFB" w:rsidTr="00A655E0">
        <w:trPr>
          <w:jc w:val="center"/>
        </w:trPr>
        <w:tc>
          <w:tcPr>
            <w:tcW w:w="1674" w:type="dxa"/>
          </w:tcPr>
          <w:p w:rsidR="004A147C" w:rsidRPr="00B53FFB" w:rsidRDefault="004A147C" w:rsidP="00CE5850">
            <w:pPr>
              <w:rPr>
                <w:szCs w:val="22"/>
              </w:rPr>
            </w:pPr>
            <w:r w:rsidRPr="00B53FFB">
              <w:rPr>
                <w:szCs w:val="22"/>
              </w:rPr>
              <w:t>MetroPCS</w:t>
            </w:r>
          </w:p>
        </w:tc>
        <w:tc>
          <w:tcPr>
            <w:tcW w:w="3762" w:type="dxa"/>
          </w:tcPr>
          <w:p w:rsidR="004A147C" w:rsidRPr="00B53FFB" w:rsidRDefault="004A147C" w:rsidP="00CE5850">
            <w:pPr>
              <w:rPr>
                <w:szCs w:val="22"/>
              </w:rPr>
            </w:pPr>
          </w:p>
        </w:tc>
        <w:tc>
          <w:tcPr>
            <w:tcW w:w="3672" w:type="dxa"/>
          </w:tcPr>
          <w:p w:rsidR="004A147C" w:rsidRPr="00B53FFB" w:rsidRDefault="004A147C" w:rsidP="00CE5850">
            <w:pPr>
              <w:rPr>
                <w:szCs w:val="22"/>
              </w:rPr>
            </w:pPr>
            <w:r w:rsidRPr="00B53FFB">
              <w:rPr>
                <w:szCs w:val="22"/>
              </w:rPr>
              <w:t>As of the end of July 2012, LTE network covered all of the major metropolitan areas MetroPCS serves, including Atlanta, Boston, Dallas, Detroit, Jacksonville, Las Vegas, Los Angeles, Miami, New York, Orlando, Philadelphia, Sacramento, San Francisco, and Tampa.</w:t>
            </w:r>
          </w:p>
        </w:tc>
      </w:tr>
      <w:tr w:rsidR="004A147C" w:rsidRPr="00B53FFB" w:rsidTr="00A655E0">
        <w:trPr>
          <w:jc w:val="center"/>
        </w:trPr>
        <w:tc>
          <w:tcPr>
            <w:tcW w:w="1674" w:type="dxa"/>
          </w:tcPr>
          <w:p w:rsidR="004A147C" w:rsidRPr="00B53FFB" w:rsidRDefault="004A147C" w:rsidP="00CE5850">
            <w:pPr>
              <w:rPr>
                <w:szCs w:val="22"/>
              </w:rPr>
            </w:pPr>
            <w:r w:rsidRPr="00B53FFB">
              <w:rPr>
                <w:szCs w:val="22"/>
              </w:rPr>
              <w:t>Leap</w:t>
            </w:r>
          </w:p>
        </w:tc>
        <w:tc>
          <w:tcPr>
            <w:tcW w:w="3762" w:type="dxa"/>
          </w:tcPr>
          <w:p w:rsidR="004A147C" w:rsidRPr="00B53FFB" w:rsidRDefault="004A147C" w:rsidP="00CE5850">
            <w:pPr>
              <w:rPr>
                <w:szCs w:val="22"/>
              </w:rPr>
            </w:pPr>
            <w:r w:rsidRPr="00B53FFB">
              <w:rPr>
                <w:szCs w:val="22"/>
              </w:rPr>
              <w:t xml:space="preserve">EV-DO deployed to entire network footprint, which covered approximately 95.3 million POPs at the end of 2011. </w:t>
            </w:r>
          </w:p>
        </w:tc>
        <w:tc>
          <w:tcPr>
            <w:tcW w:w="3672" w:type="dxa"/>
          </w:tcPr>
          <w:p w:rsidR="004A147C" w:rsidRPr="00B53FFB" w:rsidRDefault="004A147C" w:rsidP="00CE5850">
            <w:pPr>
              <w:rPr>
                <w:szCs w:val="22"/>
              </w:rPr>
            </w:pPr>
            <w:r>
              <w:rPr>
                <w:rFonts w:eastAsia="Times New Roman"/>
                <w:snapToGrid w:val="0"/>
              </w:rPr>
              <w:t>As of October 2012</w:t>
            </w:r>
            <w:r w:rsidRPr="008139CD">
              <w:rPr>
                <w:rFonts w:eastAsia="Times New Roman"/>
                <w:snapToGrid w:val="0"/>
              </w:rPr>
              <w:t xml:space="preserve">, Leap </w:t>
            </w:r>
            <w:r>
              <w:rPr>
                <w:rFonts w:eastAsia="Times New Roman"/>
                <w:snapToGrid w:val="0"/>
              </w:rPr>
              <w:t xml:space="preserve">had </w:t>
            </w:r>
            <w:r w:rsidRPr="008139CD">
              <w:rPr>
                <w:rFonts w:eastAsia="Times New Roman"/>
                <w:snapToGrid w:val="0"/>
              </w:rPr>
              <w:t xml:space="preserve">launched LTE service in Tucson, AZ </w:t>
            </w:r>
            <w:r>
              <w:rPr>
                <w:rFonts w:eastAsia="Times New Roman"/>
                <w:snapToGrid w:val="0"/>
              </w:rPr>
              <w:t>and Las Vegas, Nevada.</w:t>
            </w:r>
            <w:r w:rsidRPr="008139CD">
              <w:rPr>
                <w:rFonts w:eastAsia="Times New Roman"/>
                <w:snapToGrid w:val="0"/>
              </w:rPr>
              <w:t xml:space="preserve">  </w:t>
            </w:r>
            <w:r w:rsidRPr="00C56486">
              <w:rPr>
                <w:rFonts w:eastAsia="Times New Roman"/>
                <w:snapToGrid w:val="0"/>
              </w:rPr>
              <w:t>Leap expects its LTE network to cover approximately 21 million POPs by the end of 2012.</w:t>
            </w:r>
            <w:r>
              <w:rPr>
                <w:rFonts w:eastAsia="Times New Roman"/>
                <w:snapToGrid w:val="0"/>
              </w:rPr>
              <w:t xml:space="preserve">  </w:t>
            </w:r>
            <w:r w:rsidRPr="008139CD">
              <w:rPr>
                <w:rFonts w:eastAsia="Times New Roman"/>
                <w:snapToGrid w:val="0"/>
              </w:rPr>
              <w:t xml:space="preserve">The company plans to deploy LTE to approximately two-thirds of its network footprint </w:t>
            </w:r>
            <w:r>
              <w:rPr>
                <w:rFonts w:eastAsia="Times New Roman"/>
                <w:snapToGrid w:val="0"/>
              </w:rPr>
              <w:t>over the next two to three years</w:t>
            </w:r>
            <w:r w:rsidRPr="008139CD">
              <w:rPr>
                <w:rFonts w:eastAsia="Times New Roman"/>
                <w:snapToGrid w:val="0"/>
              </w:rPr>
              <w:t xml:space="preserve">.  </w:t>
            </w:r>
            <w:r w:rsidRPr="00B53FFB">
              <w:rPr>
                <w:szCs w:val="22"/>
              </w:rPr>
              <w:t xml:space="preserve">    </w:t>
            </w:r>
          </w:p>
        </w:tc>
      </w:tr>
      <w:tr w:rsidR="004A147C" w:rsidRPr="00B53FFB" w:rsidTr="00A655E0">
        <w:trPr>
          <w:jc w:val="center"/>
        </w:trPr>
        <w:tc>
          <w:tcPr>
            <w:tcW w:w="1674" w:type="dxa"/>
          </w:tcPr>
          <w:p w:rsidR="004A147C" w:rsidRPr="00B53FFB" w:rsidRDefault="004A147C" w:rsidP="00CE5850">
            <w:pPr>
              <w:rPr>
                <w:szCs w:val="22"/>
              </w:rPr>
            </w:pPr>
            <w:r w:rsidRPr="00B53FFB">
              <w:rPr>
                <w:szCs w:val="22"/>
              </w:rPr>
              <w:t>US Cellular</w:t>
            </w:r>
          </w:p>
        </w:tc>
        <w:tc>
          <w:tcPr>
            <w:tcW w:w="3762" w:type="dxa"/>
          </w:tcPr>
          <w:p w:rsidR="004A147C" w:rsidRPr="00B53FFB" w:rsidRDefault="004A147C" w:rsidP="00CE5850">
            <w:pPr>
              <w:rPr>
                <w:szCs w:val="22"/>
              </w:rPr>
            </w:pPr>
            <w:r w:rsidRPr="00B53FFB">
              <w:rPr>
                <w:szCs w:val="22"/>
              </w:rPr>
              <w:t>EV-DO network covers 98 percent of its customers.</w:t>
            </w:r>
          </w:p>
        </w:tc>
        <w:tc>
          <w:tcPr>
            <w:tcW w:w="3672" w:type="dxa"/>
          </w:tcPr>
          <w:p w:rsidR="004A147C" w:rsidRPr="00B53FFB" w:rsidRDefault="004A147C" w:rsidP="00CE5850">
            <w:pPr>
              <w:rPr>
                <w:szCs w:val="22"/>
              </w:rPr>
            </w:pPr>
            <w:r w:rsidRPr="00B53FFB">
              <w:rPr>
                <w:szCs w:val="22"/>
              </w:rPr>
              <w:t xml:space="preserve">As of June 2012, LTE network covers 30 percent of customers and expects to cover 58 percent by the end of 2012.     </w:t>
            </w:r>
          </w:p>
        </w:tc>
      </w:tr>
      <w:tr w:rsidR="004A147C" w:rsidRPr="00B53FFB" w:rsidTr="00A655E0">
        <w:trPr>
          <w:jc w:val="center"/>
        </w:trPr>
        <w:tc>
          <w:tcPr>
            <w:tcW w:w="1674" w:type="dxa"/>
          </w:tcPr>
          <w:p w:rsidR="004A147C" w:rsidRPr="00B53FFB" w:rsidRDefault="004A147C" w:rsidP="00CE5850">
            <w:pPr>
              <w:rPr>
                <w:szCs w:val="22"/>
              </w:rPr>
            </w:pPr>
            <w:r w:rsidRPr="00B53FFB">
              <w:rPr>
                <w:szCs w:val="22"/>
              </w:rPr>
              <w:t>C-Spire</w:t>
            </w:r>
          </w:p>
        </w:tc>
        <w:tc>
          <w:tcPr>
            <w:tcW w:w="3762" w:type="dxa"/>
          </w:tcPr>
          <w:p w:rsidR="004A147C" w:rsidRPr="00B53FFB" w:rsidRDefault="004A147C" w:rsidP="00CE5850">
            <w:pPr>
              <w:rPr>
                <w:szCs w:val="22"/>
              </w:rPr>
            </w:pPr>
            <w:r w:rsidRPr="00B53FFB">
              <w:rPr>
                <w:szCs w:val="22"/>
              </w:rPr>
              <w:t>EV-DO network covered approximately 4.7 million POPs at the end of 2011.</w:t>
            </w:r>
          </w:p>
        </w:tc>
        <w:tc>
          <w:tcPr>
            <w:tcW w:w="3672" w:type="dxa"/>
          </w:tcPr>
          <w:p w:rsidR="004A147C" w:rsidRPr="00B53FFB" w:rsidRDefault="004A147C" w:rsidP="00CE5850">
            <w:pPr>
              <w:rPr>
                <w:szCs w:val="22"/>
              </w:rPr>
            </w:pPr>
            <w:r w:rsidRPr="00B53FFB">
              <w:rPr>
                <w:szCs w:val="22"/>
              </w:rPr>
              <w:t xml:space="preserve">As of October 2012, C-Spire offered LTE service in 31 cities in Mississippi. C-Spire plans to further expand its LTE network to 6 more cities by the end of 2012. </w:t>
            </w:r>
          </w:p>
        </w:tc>
      </w:tr>
    </w:tbl>
    <w:p w:rsidR="004A147C" w:rsidRPr="00B53FFB" w:rsidRDefault="004A147C" w:rsidP="00CE5850">
      <w:pPr>
        <w:pStyle w:val="ParaNum"/>
        <w:tabs>
          <w:tab w:val="clear" w:pos="1440"/>
        </w:tabs>
        <w:ind w:firstLine="0"/>
        <w:rPr>
          <w:sz w:val="22"/>
          <w:szCs w:val="22"/>
        </w:rPr>
      </w:pPr>
    </w:p>
    <w:p w:rsidR="004A147C" w:rsidRPr="00B53FFB" w:rsidRDefault="004A147C" w:rsidP="00CE5850">
      <w:pPr>
        <w:pStyle w:val="ParaNum"/>
        <w:numPr>
          <w:ilvl w:val="0"/>
          <w:numId w:val="28"/>
        </w:numPr>
        <w:rPr>
          <w:sz w:val="22"/>
          <w:szCs w:val="22"/>
        </w:rPr>
      </w:pPr>
      <w:r w:rsidRPr="00B53FFB">
        <w:rPr>
          <w:i/>
          <w:sz w:val="22"/>
          <w:szCs w:val="22"/>
        </w:rPr>
        <w:t>Verizon Wireless</w:t>
      </w:r>
      <w:r w:rsidRPr="00B53FFB">
        <w:rPr>
          <w:sz w:val="22"/>
          <w:szCs w:val="22"/>
        </w:rPr>
        <w:t>.  Verizon Wireless’s EV-DO Rev. A  network – which provides advertised average download speeds of 600 kbps to 1.4 megabits per second (Mbps) and upload speeds of 500-800 kbps – was available to more than 290 million people as of May 2012, slightly higher than the 289 million covered by its network in September 2010.</w:t>
      </w:r>
      <w:r w:rsidRPr="00B53FFB">
        <w:rPr>
          <w:rStyle w:val="FootnoteReference"/>
          <w:szCs w:val="22"/>
        </w:rPr>
        <w:footnoteReference w:id="582"/>
      </w:r>
      <w:r w:rsidRPr="00B53FFB">
        <w:rPr>
          <w:sz w:val="22"/>
          <w:szCs w:val="22"/>
        </w:rPr>
        <w:t xml:space="preserve">  As discussed in the </w:t>
      </w:r>
      <w:r w:rsidRPr="00B53FFB">
        <w:rPr>
          <w:i/>
          <w:sz w:val="22"/>
          <w:szCs w:val="22"/>
        </w:rPr>
        <w:t>Fifteenth Report</w:t>
      </w:r>
      <w:r w:rsidRPr="00B53FFB">
        <w:rPr>
          <w:sz w:val="22"/>
          <w:szCs w:val="22"/>
        </w:rPr>
        <w:t>, Verizon Wireless launched its LTE network in December 2010, deploying in 20 megahertz in 38 major U.S. cities covering approximately 110 million people.</w:t>
      </w:r>
      <w:r w:rsidRPr="00B53FFB">
        <w:rPr>
          <w:rStyle w:val="FootnoteReference"/>
          <w:szCs w:val="22"/>
        </w:rPr>
        <w:footnoteReference w:id="583"/>
      </w:r>
      <w:r w:rsidRPr="00B53FFB">
        <w:rPr>
          <w:sz w:val="22"/>
          <w:szCs w:val="22"/>
        </w:rPr>
        <w:t xml:space="preserve">  As of May 2012, Verizon Wireless’s LTE network covered more than 200 million people, and the company plans to expand its LTE network to 260 million people by the end of 2012 and to its entire EV-DO footprint by the end of 2013.</w:t>
      </w:r>
      <w:r w:rsidRPr="00B53FFB">
        <w:rPr>
          <w:rStyle w:val="FootnoteReference"/>
          <w:szCs w:val="22"/>
        </w:rPr>
        <w:footnoteReference w:id="584"/>
      </w:r>
      <w:r w:rsidRPr="00B53FFB">
        <w:rPr>
          <w:sz w:val="22"/>
          <w:szCs w:val="22"/>
        </w:rPr>
        <w:t xml:space="preserve">  Verizon Wireless advertises that its LTE network provides average data rates of 5-12 Mbps downstream and 2-5 Mbps upstream.</w:t>
      </w:r>
      <w:r w:rsidRPr="00B53FFB">
        <w:rPr>
          <w:rStyle w:val="FootnoteReference"/>
          <w:szCs w:val="22"/>
        </w:rPr>
        <w:footnoteReference w:id="585"/>
      </w:r>
      <w:r w:rsidRPr="00B53FFB">
        <w:rPr>
          <w:sz w:val="22"/>
          <w:szCs w:val="22"/>
        </w:rPr>
        <w:t xml:space="preserve">  </w:t>
      </w:r>
    </w:p>
    <w:p w:rsidR="004A147C" w:rsidRPr="00B53FFB" w:rsidRDefault="004A147C" w:rsidP="00CE5850">
      <w:pPr>
        <w:pStyle w:val="ParaNum"/>
        <w:numPr>
          <w:ilvl w:val="0"/>
          <w:numId w:val="28"/>
        </w:numPr>
        <w:rPr>
          <w:sz w:val="22"/>
          <w:szCs w:val="22"/>
        </w:rPr>
      </w:pPr>
      <w:r w:rsidRPr="00B53FFB">
        <w:rPr>
          <w:sz w:val="22"/>
          <w:szCs w:val="22"/>
        </w:rPr>
        <w:t>In addition to upgrading its own network to LTE, Verizon Wireless in 2010 launched an initiative called the LTE in Rural America Program to expand LTE coverage in rural areas.  Under this program, Verizon Wireless leases portions of its 700 MHz Upper C Block spectrum licenses to facilities-based mobile wireless service providers in rural areas where Verizon Wireless currently lacks coverage and does not intend to build out.</w:t>
      </w:r>
      <w:r w:rsidRPr="00B53FFB">
        <w:rPr>
          <w:rStyle w:val="FootnoteReference"/>
          <w:szCs w:val="22"/>
        </w:rPr>
        <w:footnoteReference w:id="586"/>
      </w:r>
      <w:r w:rsidRPr="00B53FFB">
        <w:rPr>
          <w:sz w:val="22"/>
          <w:szCs w:val="22"/>
        </w:rPr>
        <w:t xml:space="preserve">  The rural providers then use this spectrum to build out an LTE network in those areas.</w:t>
      </w:r>
      <w:r w:rsidRPr="00B53FFB">
        <w:rPr>
          <w:rStyle w:val="FootnoteReference"/>
          <w:szCs w:val="22"/>
        </w:rPr>
        <w:footnoteReference w:id="587"/>
      </w:r>
      <w:r w:rsidRPr="00B53FFB">
        <w:rPr>
          <w:sz w:val="22"/>
          <w:szCs w:val="22"/>
        </w:rPr>
        <w:t xml:space="preserve"> </w:t>
      </w:r>
      <w:r w:rsidR="00176C72" w:rsidRPr="00176C72">
        <w:rPr>
          <w:sz w:val="22"/>
          <w:szCs w:val="22"/>
        </w:rPr>
        <w:t>As of March 2013, the program included 20 small, rural providers that have launched or plan to launch LTE to areas covering approximately 2.8 million people across 14 states.</w:t>
      </w:r>
      <w:r w:rsidRPr="00B53FFB">
        <w:rPr>
          <w:rStyle w:val="FootnoteReference"/>
          <w:szCs w:val="22"/>
        </w:rPr>
        <w:footnoteReference w:id="588"/>
      </w:r>
      <w:r w:rsidRPr="00B53FFB">
        <w:rPr>
          <w:sz w:val="22"/>
          <w:szCs w:val="22"/>
        </w:rPr>
        <w:t xml:space="preserve">  In April 2012, Pioneer Cellular became the first rural provider to launch LTE service, to six counties in Oklahoma, as part of the program.</w:t>
      </w:r>
      <w:r w:rsidRPr="00B53FFB">
        <w:rPr>
          <w:rStyle w:val="FootnoteReference"/>
          <w:szCs w:val="22"/>
        </w:rPr>
        <w:footnoteReference w:id="589"/>
      </w:r>
      <w:r w:rsidRPr="00B53FFB">
        <w:rPr>
          <w:sz w:val="22"/>
          <w:szCs w:val="22"/>
        </w:rPr>
        <w:t xml:space="preserve">  The program includes reciprocal roaming rights; the LTE customers of the rural providers can roam on Verizon Wireless’s nationwide LTE network, while Verizon Wireless’s customers can roam on the rural providers’ LTE networks when traveling in such areas.</w:t>
      </w:r>
      <w:r w:rsidRPr="00B53FFB">
        <w:rPr>
          <w:rStyle w:val="FootnoteReference"/>
          <w:szCs w:val="22"/>
        </w:rPr>
        <w:footnoteReference w:id="590"/>
      </w:r>
    </w:p>
    <w:p w:rsidR="004A147C" w:rsidRPr="00B53FFB" w:rsidRDefault="004A147C" w:rsidP="00CE5850">
      <w:pPr>
        <w:pStyle w:val="ParaNum"/>
        <w:numPr>
          <w:ilvl w:val="0"/>
          <w:numId w:val="28"/>
        </w:numPr>
        <w:rPr>
          <w:sz w:val="22"/>
          <w:szCs w:val="22"/>
        </w:rPr>
      </w:pPr>
      <w:r w:rsidRPr="00B53FFB">
        <w:rPr>
          <w:i/>
          <w:sz w:val="22"/>
          <w:szCs w:val="22"/>
        </w:rPr>
        <w:t>AT&amp;T</w:t>
      </w:r>
      <w:r w:rsidRPr="00B53FFB">
        <w:rPr>
          <w:sz w:val="22"/>
          <w:szCs w:val="22"/>
        </w:rPr>
        <w:t>.  AT&amp;T is using both HSPA+ and LTE technologies, as well as enhanced backhaul connections, to increase data transfer speeds for customers on its network.</w:t>
      </w:r>
      <w:r w:rsidRPr="00B53FFB">
        <w:rPr>
          <w:rStyle w:val="FootnoteReference"/>
          <w:szCs w:val="22"/>
        </w:rPr>
        <w:footnoteReference w:id="591"/>
      </w:r>
      <w:r w:rsidRPr="00B53FFB">
        <w:rPr>
          <w:sz w:val="22"/>
          <w:szCs w:val="22"/>
        </w:rPr>
        <w:t xml:space="preserve">  As of January 2012, AT&amp;T’s HSPA+ network covered approximately 234 million people,</w:t>
      </w:r>
      <w:r w:rsidRPr="00B53FFB">
        <w:rPr>
          <w:rStyle w:val="FootnoteReference"/>
          <w:szCs w:val="22"/>
        </w:rPr>
        <w:footnoteReference w:id="592"/>
      </w:r>
      <w:r w:rsidRPr="00B53FFB">
        <w:rPr>
          <w:sz w:val="22"/>
          <w:szCs w:val="22"/>
        </w:rPr>
        <w:t xml:space="preserve"> and AT&amp;T has announced that it plans to expand HSPA+ technology to its full wireless footprint, covering approximately 97 percent of the U.S. population, or 303 million people, by the end of 2012.</w:t>
      </w:r>
      <w:r w:rsidRPr="00B53FFB">
        <w:rPr>
          <w:rStyle w:val="FootnoteReference"/>
          <w:szCs w:val="22"/>
        </w:rPr>
        <w:footnoteReference w:id="593"/>
      </w:r>
      <w:r w:rsidRPr="00B53FFB">
        <w:rPr>
          <w:sz w:val="22"/>
          <w:szCs w:val="22"/>
        </w:rPr>
        <w:t xml:space="preserve">  As mentioned in the </w:t>
      </w:r>
      <w:r w:rsidRPr="00B53FFB">
        <w:rPr>
          <w:i/>
          <w:sz w:val="22"/>
          <w:szCs w:val="22"/>
        </w:rPr>
        <w:t>Fifteenth Report</w:t>
      </w:r>
      <w:r w:rsidRPr="00B53FFB">
        <w:rPr>
          <w:sz w:val="22"/>
          <w:szCs w:val="22"/>
        </w:rPr>
        <w:t>, in January 2011, AT&amp;T had upgraded most of its HSPA footprint from HSPA 7.2 to HSPA+ 14 technology, which provides theoretical peak download speeds of 14.4 Mbps.</w:t>
      </w:r>
      <w:r w:rsidRPr="00B53FFB">
        <w:rPr>
          <w:rStyle w:val="FootnoteReference"/>
          <w:szCs w:val="22"/>
        </w:rPr>
        <w:footnoteReference w:id="594"/>
      </w:r>
      <w:r w:rsidRPr="00B53FFB">
        <w:rPr>
          <w:sz w:val="22"/>
          <w:szCs w:val="22"/>
        </w:rPr>
        <w:t xml:space="preserve">  During 2011, AT&amp;T began further upgrading its HSPA+ network with HSPA+ 21 technology, which provides theoretical peak download speeds of 21 Mbps.</w:t>
      </w:r>
      <w:r w:rsidRPr="00B53FFB">
        <w:rPr>
          <w:rStyle w:val="FootnoteReference"/>
          <w:szCs w:val="22"/>
        </w:rPr>
        <w:footnoteReference w:id="595"/>
      </w:r>
      <w:r w:rsidRPr="00B53FFB">
        <w:rPr>
          <w:sz w:val="22"/>
          <w:szCs w:val="22"/>
        </w:rPr>
        <w:t xml:space="preserve">  As of March 2012, AT&amp;T’s HSPA+ 21 footprint reportedly covered more than 200 million POPs.</w:t>
      </w:r>
      <w:r w:rsidRPr="00B53FFB">
        <w:rPr>
          <w:rStyle w:val="FootnoteReference"/>
          <w:szCs w:val="22"/>
        </w:rPr>
        <w:footnoteReference w:id="596"/>
      </w:r>
      <w:r w:rsidRPr="00B53FFB">
        <w:rPr>
          <w:sz w:val="22"/>
          <w:szCs w:val="22"/>
        </w:rPr>
        <w:t xml:space="preserve">  In September 2011, AT&amp;T launched its LTE network in five cities – Atlanta, Chicago, Dallas, Houston, and San Antonio – and announced at that time that it planned to extend LTE to a total of 15 cities covering 70 million people by the end of 2011.</w:t>
      </w:r>
      <w:r w:rsidRPr="00B53FFB">
        <w:rPr>
          <w:rStyle w:val="FootnoteReference"/>
          <w:szCs w:val="22"/>
        </w:rPr>
        <w:footnoteReference w:id="597"/>
      </w:r>
      <w:r w:rsidRPr="00B53FFB">
        <w:rPr>
          <w:sz w:val="22"/>
          <w:szCs w:val="22"/>
        </w:rPr>
        <w:t xml:space="preserve">  By March 2012, AT&amp;T had expanded its LTE network to 74 million people in 28 cities,</w:t>
      </w:r>
      <w:r w:rsidRPr="00B53FFB">
        <w:rPr>
          <w:rStyle w:val="FootnoteReference"/>
          <w:szCs w:val="22"/>
        </w:rPr>
        <w:footnoteReference w:id="598"/>
      </w:r>
      <w:r w:rsidRPr="00B53FFB">
        <w:rPr>
          <w:sz w:val="22"/>
          <w:szCs w:val="22"/>
        </w:rPr>
        <w:t xml:space="preserve"> and by September 2012, AT&amp;T announced that it has LTE coverage in 63 markets, utilizing approximately 20 megahertz in most of those.</w:t>
      </w:r>
      <w:r w:rsidRPr="00B53FFB">
        <w:rPr>
          <w:rStyle w:val="FootnoteReference"/>
          <w:szCs w:val="22"/>
        </w:rPr>
        <w:footnoteReference w:id="599"/>
      </w:r>
      <w:r w:rsidRPr="00B53FFB">
        <w:rPr>
          <w:sz w:val="22"/>
          <w:szCs w:val="22"/>
        </w:rPr>
        <w:t xml:space="preserve">  AT&amp;T has stated that it expedited its rollout of LTE by a year in order to compete with other firms on the basis of network speeds and because LTE is a more spectrally efficient technology than those on the UMTS/HSPA migration path.</w:t>
      </w:r>
      <w:r w:rsidRPr="00B53FFB">
        <w:rPr>
          <w:rStyle w:val="FootnoteReference"/>
          <w:szCs w:val="22"/>
        </w:rPr>
        <w:footnoteReference w:id="600"/>
      </w:r>
      <w:r w:rsidRPr="00B53FFB">
        <w:rPr>
          <w:sz w:val="22"/>
          <w:szCs w:val="22"/>
        </w:rPr>
        <w:t xml:space="preserve">  AT&amp;T has stated that it plans to deploy LTE to 80 percent of the U.S. population, or approximately 250 million people, by the end of 2013.</w:t>
      </w:r>
      <w:r w:rsidRPr="00B53FFB">
        <w:rPr>
          <w:rStyle w:val="FootnoteReference"/>
          <w:szCs w:val="22"/>
        </w:rPr>
        <w:footnoteReference w:id="601"/>
      </w:r>
    </w:p>
    <w:p w:rsidR="004A147C" w:rsidRPr="00B53FFB" w:rsidRDefault="004A147C" w:rsidP="00CE5850">
      <w:pPr>
        <w:pStyle w:val="ParaNum"/>
        <w:numPr>
          <w:ilvl w:val="0"/>
          <w:numId w:val="28"/>
        </w:numPr>
        <w:rPr>
          <w:sz w:val="22"/>
          <w:szCs w:val="22"/>
        </w:rPr>
      </w:pPr>
      <w:r w:rsidRPr="00B53FFB">
        <w:rPr>
          <w:sz w:val="22"/>
          <w:szCs w:val="22"/>
        </w:rPr>
        <w:t>In conjunction with upgrading its cell sites with HSPA+ and LTE technologies, AT&amp;T is rolling out high-speed backhaul connections, primarily fiber, to many of its cell sites in order to increase network capacity.</w:t>
      </w:r>
      <w:r w:rsidRPr="00B53FFB">
        <w:rPr>
          <w:rStyle w:val="FootnoteReference"/>
          <w:szCs w:val="22"/>
        </w:rPr>
        <w:footnoteReference w:id="602"/>
      </w:r>
      <w:r w:rsidRPr="00B53FFB">
        <w:rPr>
          <w:sz w:val="22"/>
          <w:szCs w:val="22"/>
        </w:rPr>
        <w:t xml:space="preserve">  These connections are meant to accommodate the faster data speeds that HSPA+ and LTE enable and the increasing traffic that results from the faster data connections and more advanced end-user devices.  In 2011, AT&amp;T began using the term “4G” to refer to the portions of its network where LTE or HSPA+ with enhanced backhaul had been deployed.</w:t>
      </w:r>
      <w:r w:rsidRPr="00B53FFB">
        <w:rPr>
          <w:rStyle w:val="FootnoteReference"/>
          <w:szCs w:val="22"/>
        </w:rPr>
        <w:footnoteReference w:id="603"/>
      </w:r>
      <w:r w:rsidRPr="00B53FFB">
        <w:rPr>
          <w:sz w:val="22"/>
          <w:szCs w:val="22"/>
        </w:rPr>
        <w:t xml:space="preserve">  Its 4G network covered 250 million POPs in April 2012.</w:t>
      </w:r>
      <w:r w:rsidRPr="00B53FFB">
        <w:rPr>
          <w:rStyle w:val="FootnoteReference"/>
          <w:szCs w:val="22"/>
        </w:rPr>
        <w:footnoteReference w:id="604"/>
      </w:r>
    </w:p>
    <w:p w:rsidR="004A147C" w:rsidRPr="00B53FFB" w:rsidRDefault="004A147C" w:rsidP="00CE5850">
      <w:pPr>
        <w:pStyle w:val="ParaNum"/>
        <w:numPr>
          <w:ilvl w:val="0"/>
          <w:numId w:val="28"/>
        </w:numPr>
        <w:rPr>
          <w:sz w:val="22"/>
          <w:szCs w:val="22"/>
        </w:rPr>
      </w:pPr>
      <w:r w:rsidRPr="00B53FFB">
        <w:rPr>
          <w:i/>
          <w:sz w:val="22"/>
          <w:szCs w:val="22"/>
        </w:rPr>
        <w:t>Sprint Nextel/Clearwire</w:t>
      </w:r>
      <w:r w:rsidRPr="00B53FFB">
        <w:rPr>
          <w:sz w:val="22"/>
          <w:szCs w:val="22"/>
        </w:rPr>
        <w:t>.  Sprint operates an extensive CDMA EV-DO network that covered approximately 274 million POPs as of January 2012.</w:t>
      </w:r>
      <w:r w:rsidRPr="00B53FFB">
        <w:rPr>
          <w:rStyle w:val="FootnoteReference"/>
          <w:szCs w:val="22"/>
        </w:rPr>
        <w:footnoteReference w:id="605"/>
      </w:r>
      <w:r w:rsidRPr="00B53FFB">
        <w:rPr>
          <w:sz w:val="22"/>
          <w:szCs w:val="22"/>
        </w:rPr>
        <w:t xml:space="preserve">  As discussed in the </w:t>
      </w:r>
      <w:r w:rsidRPr="00B53FFB">
        <w:rPr>
          <w:i/>
          <w:sz w:val="22"/>
          <w:szCs w:val="22"/>
        </w:rPr>
        <w:t>Fifteenth Report</w:t>
      </w:r>
      <w:r w:rsidRPr="00B53FFB">
        <w:rPr>
          <w:sz w:val="22"/>
          <w:szCs w:val="22"/>
        </w:rPr>
        <w:t>,</w:t>
      </w:r>
      <w:r w:rsidRPr="00B53FFB">
        <w:rPr>
          <w:i/>
          <w:sz w:val="22"/>
          <w:szCs w:val="22"/>
        </w:rPr>
        <w:t xml:space="preserve"> </w:t>
      </w:r>
      <w:r w:rsidRPr="00B53FFB">
        <w:rPr>
          <w:sz w:val="22"/>
          <w:szCs w:val="22"/>
        </w:rPr>
        <w:t>in 2011, Sprint began its Network Vision upgrade to consolidate its multiple network technologies operating in a range of spectrum bands into multi-mode base stations.</w:t>
      </w:r>
      <w:r w:rsidRPr="00B53FFB">
        <w:rPr>
          <w:rStyle w:val="FootnoteReference"/>
          <w:szCs w:val="22"/>
        </w:rPr>
        <w:footnoteReference w:id="606"/>
      </w:r>
      <w:r w:rsidRPr="00B53FFB">
        <w:rPr>
          <w:sz w:val="22"/>
          <w:szCs w:val="22"/>
        </w:rPr>
        <w:t xml:space="preserve">  According to Sprint, this upgrade, in conjunction with backhaul upgrades and background applications that shift data sessions to Wi-Fi, improves the network speed, coverage, and efficiency for the company’s EV-DO customers.</w:t>
      </w:r>
      <w:r w:rsidRPr="00B53FFB">
        <w:rPr>
          <w:rStyle w:val="FootnoteReference"/>
          <w:szCs w:val="22"/>
        </w:rPr>
        <w:footnoteReference w:id="607"/>
      </w:r>
      <w:r w:rsidRPr="00B53FFB">
        <w:rPr>
          <w:sz w:val="22"/>
          <w:szCs w:val="22"/>
        </w:rPr>
        <w:t xml:space="preserve">  The Network Vision upgrade will also result in Sprint shutting down its iDEN network in 2013.</w:t>
      </w:r>
      <w:r w:rsidRPr="00B53FFB">
        <w:rPr>
          <w:rStyle w:val="FootnoteReference"/>
          <w:szCs w:val="22"/>
        </w:rPr>
        <w:footnoteReference w:id="608"/>
      </w:r>
    </w:p>
    <w:p w:rsidR="004A147C" w:rsidRPr="00B53FFB" w:rsidRDefault="004A147C" w:rsidP="00CE5850">
      <w:pPr>
        <w:pStyle w:val="ParaNum"/>
        <w:numPr>
          <w:ilvl w:val="0"/>
          <w:numId w:val="28"/>
        </w:numPr>
        <w:rPr>
          <w:sz w:val="22"/>
          <w:szCs w:val="22"/>
        </w:rPr>
      </w:pPr>
      <w:r w:rsidRPr="00B53FFB">
        <w:rPr>
          <w:sz w:val="22"/>
          <w:szCs w:val="22"/>
        </w:rPr>
        <w:t>As part of its Network Vision implementation, Sprint announced that it would begin deploying an LTE network in 2012, with its initial launch of LTE service in Atlanta, Baltimore, Dallas, Houston, Kansas City, and San Antonio by mid-2012.</w:t>
      </w:r>
      <w:r w:rsidRPr="00B53FFB">
        <w:rPr>
          <w:rStyle w:val="FootnoteReference"/>
          <w:szCs w:val="22"/>
        </w:rPr>
        <w:footnoteReference w:id="609"/>
      </w:r>
      <w:r w:rsidRPr="00B53FFB">
        <w:rPr>
          <w:sz w:val="22"/>
          <w:szCs w:val="22"/>
        </w:rPr>
        <w:t xml:space="preserve">  In anticipation of its launch, it began selling LTE-compatible devices in April 2012.</w:t>
      </w:r>
      <w:r w:rsidRPr="00B53FFB">
        <w:rPr>
          <w:rStyle w:val="FootnoteReference"/>
          <w:szCs w:val="22"/>
        </w:rPr>
        <w:footnoteReference w:id="610"/>
      </w:r>
      <w:r w:rsidRPr="00B53FFB">
        <w:rPr>
          <w:sz w:val="22"/>
          <w:szCs w:val="22"/>
        </w:rPr>
        <w:t xml:space="preserve">  As of September 2012, Sprint Nextel offers LTE service in 19 metropolitan areas and has plans to expand coverage to more than 100 additional cities in the coming months.</w:t>
      </w:r>
      <w:r w:rsidRPr="00B53FFB">
        <w:rPr>
          <w:rStyle w:val="FootnoteReference"/>
          <w:szCs w:val="22"/>
        </w:rPr>
        <w:footnoteReference w:id="611"/>
      </w:r>
      <w:r w:rsidRPr="00B53FFB">
        <w:rPr>
          <w:sz w:val="22"/>
          <w:szCs w:val="22"/>
        </w:rPr>
        <w:t xml:space="preserve">  Sprint has deployed the LTE network using its 10 megahertz PCS G block licenses in the 1910-1915 MHz and 1990-1995 MHz bands.</w:t>
      </w:r>
      <w:r w:rsidRPr="00B53FFB">
        <w:rPr>
          <w:rStyle w:val="FootnoteReference"/>
          <w:szCs w:val="22"/>
        </w:rPr>
        <w:footnoteReference w:id="612"/>
      </w:r>
      <w:r w:rsidRPr="00B53FFB">
        <w:rPr>
          <w:sz w:val="22"/>
          <w:szCs w:val="22"/>
        </w:rPr>
        <w:t xml:space="preserve">  Because the LTE network is deployed initially in 10, rather than 20 or more, megahertz of spectrum, its average connection speeds will be lower than those offered on the LTE networks of Verizon Wireless or AT&amp;T.</w:t>
      </w:r>
      <w:r w:rsidRPr="00B53FFB">
        <w:rPr>
          <w:rStyle w:val="FootnoteReference"/>
          <w:szCs w:val="22"/>
        </w:rPr>
        <w:footnoteReference w:id="613"/>
      </w:r>
      <w:r w:rsidRPr="00B53FFB">
        <w:rPr>
          <w:sz w:val="22"/>
          <w:szCs w:val="22"/>
        </w:rPr>
        <w:t xml:space="preserve">     </w:t>
      </w:r>
    </w:p>
    <w:p w:rsidR="004A147C" w:rsidRPr="00B53FFB" w:rsidRDefault="004A147C" w:rsidP="00CE5850">
      <w:pPr>
        <w:pStyle w:val="ParaNum"/>
        <w:numPr>
          <w:ilvl w:val="0"/>
          <w:numId w:val="28"/>
        </w:numPr>
        <w:rPr>
          <w:sz w:val="22"/>
          <w:szCs w:val="22"/>
        </w:rPr>
      </w:pPr>
      <w:r w:rsidRPr="00B53FFB">
        <w:rPr>
          <w:sz w:val="22"/>
          <w:szCs w:val="22"/>
        </w:rPr>
        <w:t>Sprint continues to resell the mobile WiMAX service offered by Clearwire, in which Sprint has a significant ownership interest.</w:t>
      </w:r>
      <w:r w:rsidRPr="00B53FFB">
        <w:rPr>
          <w:rStyle w:val="FootnoteReference"/>
          <w:szCs w:val="22"/>
        </w:rPr>
        <w:footnoteReference w:id="614"/>
      </w:r>
      <w:r w:rsidRPr="00B53FFB">
        <w:rPr>
          <w:sz w:val="22"/>
          <w:szCs w:val="22"/>
        </w:rPr>
        <w:t xml:space="preserve">  Many of the devices sold by Sprint are compatible with both EV-DO and WiMAX, allowing users to connect to both types of networks.</w:t>
      </w:r>
      <w:r w:rsidRPr="00B53FFB">
        <w:rPr>
          <w:rStyle w:val="FootnoteReference"/>
          <w:szCs w:val="22"/>
        </w:rPr>
        <w:footnoteReference w:id="615"/>
      </w:r>
      <w:r w:rsidRPr="00B53FFB">
        <w:rPr>
          <w:sz w:val="22"/>
          <w:szCs w:val="22"/>
        </w:rPr>
        <w:t xml:space="preserve">  In December 2011, Sprint announced a new agreement with Clearwire under which Sprint will continue to resell WiMAX, will have access to Clearwire’s network through at least 2015, and will eventually resell the LTE services offered by Clearwire’s planned LTE network to supplement its own LTE services.</w:t>
      </w:r>
      <w:r w:rsidRPr="00B53FFB">
        <w:rPr>
          <w:rStyle w:val="FootnoteReference"/>
          <w:szCs w:val="22"/>
        </w:rPr>
        <w:footnoteReference w:id="616"/>
      </w:r>
      <w:r w:rsidRPr="00B53FFB">
        <w:rPr>
          <w:sz w:val="22"/>
          <w:szCs w:val="22"/>
        </w:rPr>
        <w:t xml:space="preserve">  </w:t>
      </w:r>
    </w:p>
    <w:p w:rsidR="004A147C" w:rsidRPr="00B53FFB" w:rsidRDefault="004A147C" w:rsidP="00CE5850">
      <w:pPr>
        <w:pStyle w:val="ParaNum"/>
        <w:numPr>
          <w:ilvl w:val="0"/>
          <w:numId w:val="28"/>
        </w:numPr>
        <w:rPr>
          <w:sz w:val="22"/>
          <w:szCs w:val="22"/>
        </w:rPr>
      </w:pPr>
      <w:r w:rsidRPr="00B53FFB">
        <w:rPr>
          <w:sz w:val="22"/>
          <w:szCs w:val="22"/>
        </w:rPr>
        <w:t>Clearwire operates an extensive WiMAX network and has announced plans to deploy LTE in the future.  As of year-end 2011, Clearwire’s WiMAX network covered 132 million people in 71 markets, compared to approximately 120 million people at the end of 2010.</w:t>
      </w:r>
      <w:r w:rsidRPr="00B53FFB">
        <w:rPr>
          <w:rStyle w:val="FootnoteReference"/>
          <w:szCs w:val="22"/>
        </w:rPr>
        <w:footnoteReference w:id="617"/>
      </w:r>
      <w:r w:rsidRPr="00B53FFB">
        <w:rPr>
          <w:sz w:val="22"/>
          <w:szCs w:val="22"/>
        </w:rPr>
        <w:t xml:space="preserve">  The network operates on spectrum in the 2.5 GHz BRS/EBS band and, according to Clearwire, provides average download speeds of 3-6 Mbps with burst rates up to 10 Mbps.</w:t>
      </w:r>
      <w:bookmarkStart w:id="2394" w:name="_Ref286851085"/>
      <w:r w:rsidRPr="00B53FFB">
        <w:rPr>
          <w:rStyle w:val="FootnoteReference"/>
          <w:szCs w:val="22"/>
        </w:rPr>
        <w:footnoteReference w:id="618"/>
      </w:r>
      <w:bookmarkEnd w:id="2394"/>
      <w:r w:rsidRPr="00B53FFB">
        <w:rPr>
          <w:sz w:val="22"/>
          <w:szCs w:val="22"/>
        </w:rPr>
        <w:t xml:space="preserve">  As discussed in the </w:t>
      </w:r>
      <w:r w:rsidRPr="00B53FFB">
        <w:rPr>
          <w:i/>
          <w:sz w:val="22"/>
          <w:szCs w:val="22"/>
        </w:rPr>
        <w:t xml:space="preserve">Fifteenth Report, </w:t>
      </w:r>
      <w:r w:rsidRPr="00B53FFB">
        <w:rPr>
          <w:sz w:val="22"/>
          <w:szCs w:val="22"/>
        </w:rPr>
        <w:t>Clearwire began testing LTE in the 2.5 GHz band in 2010.</w:t>
      </w:r>
      <w:r w:rsidRPr="00B53FFB">
        <w:rPr>
          <w:rStyle w:val="FootnoteReference"/>
          <w:szCs w:val="22"/>
        </w:rPr>
        <w:footnoteReference w:id="619"/>
      </w:r>
      <w:r w:rsidRPr="00B53FFB">
        <w:rPr>
          <w:sz w:val="22"/>
          <w:szCs w:val="22"/>
        </w:rPr>
        <w:t xml:space="preserve">  The company has continued with its plans to deploy LTE and is expected to launch its LTE network in mid-2013.</w:t>
      </w:r>
      <w:r w:rsidRPr="00B53FFB">
        <w:rPr>
          <w:rStyle w:val="FootnoteReference"/>
          <w:szCs w:val="22"/>
        </w:rPr>
        <w:footnoteReference w:id="620"/>
      </w:r>
      <w:r w:rsidRPr="00B53FFB">
        <w:rPr>
          <w:sz w:val="22"/>
          <w:szCs w:val="22"/>
        </w:rPr>
        <w:t xml:space="preserve">  Clearwire’s initial LTE plans are to overlay 5,000 of its existing WiMAX sites in 31 urban markets with TDD (Time Division Duplex) LTE technology by June 2013.</w:t>
      </w:r>
      <w:r w:rsidRPr="00B53FFB">
        <w:rPr>
          <w:rStyle w:val="FootnoteReference"/>
          <w:szCs w:val="22"/>
        </w:rPr>
        <w:footnoteReference w:id="621"/>
      </w:r>
      <w:r w:rsidRPr="00B53FFB">
        <w:rPr>
          <w:sz w:val="22"/>
          <w:szCs w:val="22"/>
        </w:rPr>
        <w:t xml:space="preserve">  </w:t>
      </w:r>
    </w:p>
    <w:p w:rsidR="004A147C" w:rsidRPr="00B53FFB" w:rsidRDefault="004A147C" w:rsidP="00CE5850">
      <w:pPr>
        <w:pStyle w:val="ParaNum"/>
        <w:numPr>
          <w:ilvl w:val="0"/>
          <w:numId w:val="28"/>
        </w:numPr>
        <w:rPr>
          <w:sz w:val="22"/>
          <w:szCs w:val="22"/>
        </w:rPr>
      </w:pPr>
      <w:r w:rsidRPr="00B53FFB">
        <w:rPr>
          <w:sz w:val="22"/>
          <w:szCs w:val="22"/>
        </w:rPr>
        <w:t>In contrast to other facilities-based providers, Clearwire is focused on pursuing a wholesale, rather than a retail, business model.  While it has maintained its retail service under the CLEAR brand, the majority of Clearwire’s customers are wholesale, it has added wholesale partners over the past year, and it is focused on growing its business through wholesale agreements.</w:t>
      </w:r>
      <w:r w:rsidRPr="00B53FFB">
        <w:rPr>
          <w:rStyle w:val="FootnoteReference"/>
          <w:szCs w:val="22"/>
        </w:rPr>
        <w:footnoteReference w:id="622"/>
      </w:r>
      <w:r w:rsidRPr="00B53FFB">
        <w:rPr>
          <w:sz w:val="22"/>
          <w:szCs w:val="22"/>
        </w:rPr>
        <w:t xml:space="preserve">  In addition to reselling to Sprint, Clearwire has also resold its WiMAX service to Comcast, Time Warner, Best Buy, and NetZero, and in March 2012, announced an LTE wholesale agreement with Leap.</w:t>
      </w:r>
      <w:r w:rsidRPr="00B53FFB">
        <w:rPr>
          <w:rStyle w:val="FootnoteReference"/>
          <w:szCs w:val="22"/>
        </w:rPr>
        <w:footnoteReference w:id="623"/>
      </w:r>
      <w:r w:rsidRPr="00B53FFB">
        <w:rPr>
          <w:sz w:val="22"/>
          <w:szCs w:val="22"/>
        </w:rPr>
        <w:t xml:space="preserve">  Clearwire has stated that it hopes to obtain wholesale partners seeking to offload data traffic onto Clearwire’s WiMAX or planned LTE networks.</w:t>
      </w:r>
      <w:r w:rsidRPr="00B53FFB">
        <w:rPr>
          <w:rStyle w:val="FootnoteReference"/>
          <w:szCs w:val="22"/>
        </w:rPr>
        <w:footnoteReference w:id="624"/>
      </w:r>
      <w:r w:rsidRPr="00B53FFB">
        <w:rPr>
          <w:sz w:val="22"/>
          <w:szCs w:val="22"/>
        </w:rPr>
        <w:t xml:space="preserve">  To help facilitate such arrangements, Clearwire signed a deal with Qualcomm in May 2012 under which Qualcomm will manufacture chipsets that connect to the different versions of LTE that the different mobile wireless service providers, including Clearwire, are deploying.</w:t>
      </w:r>
      <w:r w:rsidRPr="00B53FFB">
        <w:rPr>
          <w:rStyle w:val="FootnoteReference"/>
          <w:szCs w:val="22"/>
        </w:rPr>
        <w:footnoteReference w:id="625"/>
      </w:r>
      <w:r w:rsidRPr="00B53FFB">
        <w:rPr>
          <w:sz w:val="22"/>
          <w:szCs w:val="22"/>
        </w:rPr>
        <w:t xml:space="preserve">  This deal would enable LTE subscribers of other mobile wireless service providers, such as AT&amp;T and T-Mobile, to roam onto Clearwire’s LTE network in capacity-constrained areas if those providers established a wholesale sale agreement with Clearwire.</w:t>
      </w:r>
      <w:r w:rsidRPr="00B53FFB">
        <w:rPr>
          <w:rStyle w:val="FootnoteReference"/>
          <w:szCs w:val="22"/>
        </w:rPr>
        <w:footnoteReference w:id="626"/>
      </w:r>
    </w:p>
    <w:p w:rsidR="004A147C" w:rsidRPr="00B53FFB" w:rsidRDefault="004A147C" w:rsidP="00CE5850">
      <w:pPr>
        <w:pStyle w:val="ParaNum"/>
        <w:numPr>
          <w:ilvl w:val="0"/>
          <w:numId w:val="28"/>
        </w:numPr>
        <w:rPr>
          <w:sz w:val="22"/>
          <w:szCs w:val="22"/>
        </w:rPr>
      </w:pPr>
      <w:r w:rsidRPr="00B53FFB">
        <w:rPr>
          <w:i/>
          <w:sz w:val="22"/>
          <w:szCs w:val="22"/>
        </w:rPr>
        <w:t>T-Mobile</w:t>
      </w:r>
      <w:r w:rsidRPr="00B53FFB">
        <w:rPr>
          <w:sz w:val="22"/>
          <w:szCs w:val="22"/>
        </w:rPr>
        <w:t xml:space="preserve">.  T-Mobile, like AT&amp;T, is deploying HSPA+ technology across its mobile wireless network and, in early 2012, announced plans to launch an LTE network in 2013.  As mentioned in the </w:t>
      </w:r>
      <w:r w:rsidRPr="00B53FFB">
        <w:rPr>
          <w:i/>
          <w:sz w:val="22"/>
          <w:szCs w:val="22"/>
        </w:rPr>
        <w:t>Fifteenth Report</w:t>
      </w:r>
      <w:r w:rsidRPr="00B53FFB">
        <w:rPr>
          <w:sz w:val="22"/>
          <w:szCs w:val="22"/>
        </w:rPr>
        <w:t>, T-Mobile began upgrading its HSPA+ network to HSPA+ 21 technology in late 2009, and this network covered 200 million people as of the end of 2010.</w:t>
      </w:r>
      <w:r w:rsidRPr="00B53FFB">
        <w:rPr>
          <w:rStyle w:val="FootnoteReference"/>
          <w:szCs w:val="22"/>
        </w:rPr>
        <w:footnoteReference w:id="627"/>
      </w:r>
      <w:r w:rsidRPr="00B53FFB">
        <w:rPr>
          <w:sz w:val="22"/>
          <w:szCs w:val="22"/>
        </w:rPr>
        <w:t xml:space="preserve">  During 2011, T-Mobile further upgraded its HSPA+ network with HSPA+ 42 technology, which doubles the peak downstream rate of HSPA+ 21 technology to 42 Mbps.  In January 2012, T-Mobile reported that its HSPA+ 42 network covered 184 million people and that its HSPA+ 21 network covered more than 200 million people.</w:t>
      </w:r>
      <w:r w:rsidRPr="00B53FFB">
        <w:rPr>
          <w:rStyle w:val="FootnoteReference"/>
          <w:szCs w:val="22"/>
        </w:rPr>
        <w:footnoteReference w:id="628"/>
      </w:r>
      <w:r w:rsidRPr="00B53FFB">
        <w:rPr>
          <w:sz w:val="22"/>
          <w:szCs w:val="22"/>
        </w:rPr>
        <w:t xml:space="preserve">  The company reports that customers using HSPA+ 42-compatible devices experience average download speeds of 8 Mbps.</w:t>
      </w:r>
      <w:r w:rsidRPr="00B53FFB">
        <w:rPr>
          <w:rStyle w:val="FootnoteReference"/>
          <w:szCs w:val="22"/>
        </w:rPr>
        <w:footnoteReference w:id="629"/>
      </w:r>
    </w:p>
    <w:p w:rsidR="004A147C" w:rsidRPr="00B53FFB" w:rsidRDefault="004A147C" w:rsidP="00CE5850">
      <w:pPr>
        <w:pStyle w:val="ParaNum"/>
        <w:numPr>
          <w:ilvl w:val="0"/>
          <w:numId w:val="28"/>
        </w:numPr>
        <w:rPr>
          <w:sz w:val="22"/>
          <w:szCs w:val="22"/>
        </w:rPr>
      </w:pPr>
      <w:r w:rsidRPr="00B53FFB">
        <w:rPr>
          <w:sz w:val="22"/>
          <w:szCs w:val="22"/>
        </w:rPr>
        <w:t xml:space="preserve">In 2012, T-Mobile announced </w:t>
      </w:r>
      <w:r w:rsidRPr="00D9282E">
        <w:rPr>
          <w:sz w:val="22"/>
          <w:szCs w:val="22"/>
        </w:rPr>
        <w:t>plans to deploy an LTE network using the AWS-1 spectrum licenses it acquired from AT&amp;T as a result of the breakup of the companies’ proposed merger.   T-Mobile plans to launch the LTE network in 18 to 19 of the top 25 U.S. markets in 2013 by deploying “LTE-Advanced” Release 10 technology at 37,000 cell sites.   T-Mobile expects its LTE network in the United States to cover 100 million people by July 2013 and 200 million people by year-end July 2013.</w:t>
      </w:r>
      <w:r>
        <w:rPr>
          <w:rStyle w:val="FootnoteReference"/>
          <w:szCs w:val="22"/>
        </w:rPr>
        <w:footnoteReference w:id="630"/>
      </w:r>
      <w:r w:rsidRPr="00D9282E">
        <w:rPr>
          <w:sz w:val="22"/>
          <w:szCs w:val="22"/>
        </w:rPr>
        <w:t xml:space="preserve">   In conjunction with its roll out of LTE in the AWS-1 band, T-Mobile is also refarming its PCS spectrum to be able to deploy HSPA+ technology in that band.   T-Mobile claims that these refarming efforts will increase average data transfer speeds on its HSPA+ network, improve in-building coverage, and allow consumers to use a broader range of HSPA+ </w:t>
      </w:r>
      <w:r w:rsidRPr="00B53FFB">
        <w:rPr>
          <w:sz w:val="22"/>
          <w:szCs w:val="22"/>
        </w:rPr>
        <w:t>devices.</w:t>
      </w:r>
      <w:r w:rsidRPr="00B53FFB">
        <w:rPr>
          <w:rStyle w:val="FootnoteReference"/>
          <w:szCs w:val="22"/>
        </w:rPr>
        <w:footnoteReference w:id="631"/>
      </w:r>
      <w:r w:rsidRPr="00B53FFB">
        <w:rPr>
          <w:i/>
          <w:sz w:val="22"/>
          <w:szCs w:val="22"/>
        </w:rPr>
        <w:t xml:space="preserve"> </w:t>
      </w:r>
    </w:p>
    <w:p w:rsidR="004A147C" w:rsidRPr="00B53FFB" w:rsidRDefault="004A147C" w:rsidP="00CE5850">
      <w:pPr>
        <w:pStyle w:val="ParaNum"/>
        <w:numPr>
          <w:ilvl w:val="0"/>
          <w:numId w:val="28"/>
        </w:numPr>
        <w:rPr>
          <w:sz w:val="22"/>
          <w:szCs w:val="22"/>
        </w:rPr>
      </w:pPr>
      <w:r w:rsidRPr="00B53FFB">
        <w:rPr>
          <w:i/>
          <w:sz w:val="22"/>
          <w:szCs w:val="22"/>
        </w:rPr>
        <w:t>MetroPCS</w:t>
      </w:r>
      <w:r w:rsidRPr="00B53FFB">
        <w:rPr>
          <w:sz w:val="22"/>
          <w:szCs w:val="22"/>
        </w:rPr>
        <w:t>.  MetroPCS, which never generally upgraded its CDMA network with EV-DO technology, became the first U.S. mobile wireless service provider to launch LTE – in Las Vegas and Dallas – in September 2010.</w:t>
      </w:r>
      <w:r w:rsidRPr="00B53FFB">
        <w:rPr>
          <w:rStyle w:val="FootnoteReference"/>
          <w:szCs w:val="22"/>
        </w:rPr>
        <w:footnoteReference w:id="632"/>
      </w:r>
      <w:r w:rsidRPr="00B53FFB">
        <w:rPr>
          <w:sz w:val="22"/>
          <w:szCs w:val="22"/>
        </w:rPr>
        <w:t xml:space="preserve">  As of the end of 2011, the operator had deployed LTE in all of the major metropolitan areas it serves, including Atlanta, Boston, Dallas, Detroit, Jacksonville, Las Vegas, Los Angeles, Miami, New York, Orlando, Philadelphia, Sacramento, San Francisco, and Tampa.</w:t>
      </w:r>
      <w:r w:rsidRPr="00B53FFB">
        <w:rPr>
          <w:rStyle w:val="FootnoteReference"/>
          <w:szCs w:val="22"/>
        </w:rPr>
        <w:footnoteReference w:id="633"/>
      </w:r>
      <w:r w:rsidRPr="00B53FFB">
        <w:rPr>
          <w:sz w:val="22"/>
          <w:szCs w:val="22"/>
        </w:rPr>
        <w:t xml:space="preserve">  It has been reported that MetroPCS’s LTE average data speeds are lower than those offered on the LTE networks of other providers.</w:t>
      </w:r>
      <w:r w:rsidRPr="00B53FFB">
        <w:rPr>
          <w:rStyle w:val="FootnoteReference"/>
          <w:szCs w:val="22"/>
        </w:rPr>
        <w:footnoteReference w:id="634"/>
      </w:r>
      <w:r w:rsidRPr="00B53FFB">
        <w:rPr>
          <w:sz w:val="22"/>
          <w:szCs w:val="22"/>
        </w:rPr>
        <w:t xml:space="preserve">  </w:t>
      </w:r>
    </w:p>
    <w:p w:rsidR="004A147C" w:rsidRPr="00B53FFB" w:rsidRDefault="004A147C" w:rsidP="00CE5850">
      <w:pPr>
        <w:pStyle w:val="ParaNum"/>
        <w:numPr>
          <w:ilvl w:val="0"/>
          <w:numId w:val="28"/>
        </w:numPr>
        <w:rPr>
          <w:sz w:val="22"/>
          <w:szCs w:val="22"/>
        </w:rPr>
      </w:pPr>
      <w:r w:rsidRPr="00B53FFB">
        <w:rPr>
          <w:i/>
          <w:sz w:val="22"/>
          <w:szCs w:val="22"/>
        </w:rPr>
        <w:t>Leap</w:t>
      </w:r>
      <w:r w:rsidRPr="00B53FFB">
        <w:rPr>
          <w:sz w:val="22"/>
          <w:szCs w:val="22"/>
        </w:rPr>
        <w:t>.  Leap has deployed EV-DO across its entire network footprint, which covered approximately 95.3 million POPs at the end of 2011, and has begun rolling out LTE.</w:t>
      </w:r>
      <w:r w:rsidRPr="00B53FFB">
        <w:rPr>
          <w:rStyle w:val="FootnoteReference"/>
          <w:szCs w:val="22"/>
        </w:rPr>
        <w:footnoteReference w:id="635"/>
      </w:r>
      <w:r w:rsidRPr="00B53FFB">
        <w:rPr>
          <w:sz w:val="22"/>
          <w:szCs w:val="22"/>
        </w:rPr>
        <w:t xml:space="preserve">  In December 2011, Leap launched LTE service in Tucson, AZ and plans to cover approximately 25 million people with LTE by the end of 2012.</w:t>
      </w:r>
      <w:r w:rsidRPr="00B53FFB">
        <w:rPr>
          <w:rStyle w:val="FootnoteReference"/>
          <w:szCs w:val="22"/>
        </w:rPr>
        <w:footnoteReference w:id="636"/>
      </w:r>
      <w:r w:rsidRPr="00B53FFB">
        <w:rPr>
          <w:sz w:val="22"/>
          <w:szCs w:val="22"/>
        </w:rPr>
        <w:t xml:space="preserve">  The company plans to deploy LTE to approximately two-thirds of its network footprint by sometime in 2014.</w:t>
      </w:r>
      <w:r w:rsidRPr="00B53FFB">
        <w:rPr>
          <w:rStyle w:val="FootnoteReference"/>
          <w:szCs w:val="22"/>
        </w:rPr>
        <w:footnoteReference w:id="637"/>
      </w:r>
      <w:r w:rsidRPr="00B53FFB">
        <w:rPr>
          <w:sz w:val="22"/>
          <w:szCs w:val="22"/>
        </w:rPr>
        <w:t xml:space="preserve">  </w:t>
      </w:r>
    </w:p>
    <w:p w:rsidR="004A147C" w:rsidRPr="00B53FFB" w:rsidRDefault="004A147C" w:rsidP="00CE5850">
      <w:pPr>
        <w:pStyle w:val="ParaNum"/>
        <w:numPr>
          <w:ilvl w:val="0"/>
          <w:numId w:val="28"/>
        </w:numPr>
        <w:rPr>
          <w:sz w:val="22"/>
          <w:szCs w:val="22"/>
        </w:rPr>
      </w:pPr>
      <w:r w:rsidRPr="00B53FFB">
        <w:rPr>
          <w:i/>
          <w:sz w:val="22"/>
          <w:szCs w:val="22"/>
        </w:rPr>
        <w:t>US Cellular</w:t>
      </w:r>
      <w:r w:rsidRPr="00B53FFB">
        <w:rPr>
          <w:sz w:val="22"/>
          <w:szCs w:val="22"/>
        </w:rPr>
        <w:t>.  US Cellular has deployed an EV-DO network covering 98 percent of its customers, and in March 2012, the company launched LTE service.</w:t>
      </w:r>
      <w:r w:rsidRPr="00B53FFB">
        <w:rPr>
          <w:rStyle w:val="FootnoteReference"/>
          <w:szCs w:val="22"/>
        </w:rPr>
        <w:footnoteReference w:id="638"/>
      </w:r>
      <w:r w:rsidRPr="00B53FFB">
        <w:rPr>
          <w:sz w:val="22"/>
          <w:szCs w:val="22"/>
        </w:rPr>
        <w:t xml:space="preserve">  US Cellular initially rolled out LTE to 25 percent of its customers and plans to cover 54 percent of its customers by the end of 2012.</w:t>
      </w:r>
      <w:r w:rsidRPr="00B53FFB">
        <w:rPr>
          <w:rStyle w:val="FootnoteReference"/>
          <w:szCs w:val="22"/>
        </w:rPr>
        <w:footnoteReference w:id="639"/>
      </w:r>
      <w:r w:rsidRPr="00B53FFB">
        <w:rPr>
          <w:sz w:val="22"/>
          <w:szCs w:val="22"/>
        </w:rPr>
        <w:t xml:space="preserve">    </w:t>
      </w:r>
    </w:p>
    <w:p w:rsidR="004A147C" w:rsidRPr="00B53FFB" w:rsidRDefault="004A147C" w:rsidP="00CE5850">
      <w:pPr>
        <w:pStyle w:val="ParaNum"/>
        <w:numPr>
          <w:ilvl w:val="0"/>
          <w:numId w:val="28"/>
        </w:numPr>
        <w:rPr>
          <w:sz w:val="22"/>
          <w:szCs w:val="22"/>
        </w:rPr>
      </w:pPr>
      <w:r w:rsidRPr="00B53FFB">
        <w:rPr>
          <w:i/>
          <w:sz w:val="22"/>
          <w:szCs w:val="22"/>
        </w:rPr>
        <w:t>Other Providers</w:t>
      </w:r>
      <w:r w:rsidRPr="00B53FFB">
        <w:rPr>
          <w:sz w:val="22"/>
          <w:szCs w:val="22"/>
        </w:rPr>
        <w:t>.  In addition to the providers discussed above, several other smaller, regional operators had deployed 3G and 4G technologies within their networks as of January 2012.  These networks combined had been deployed in census blocks covering 66.6 million people, or 21.3 percent of the U.S. population, as of January 2012.</w:t>
      </w:r>
      <w:r w:rsidRPr="00B53FFB">
        <w:rPr>
          <w:rStyle w:val="FootnoteReference"/>
          <w:szCs w:val="22"/>
        </w:rPr>
        <w:footnoteReference w:id="640"/>
      </w:r>
      <w:r w:rsidRPr="00B53FFB">
        <w:rPr>
          <w:sz w:val="22"/>
          <w:szCs w:val="22"/>
        </w:rPr>
        <w:t xml:space="preserve">    </w:t>
      </w:r>
    </w:p>
    <w:p w:rsidR="004A147C" w:rsidRPr="00B53FFB" w:rsidRDefault="004A147C" w:rsidP="00CE5850">
      <w:pPr>
        <w:pStyle w:val="Heading4"/>
        <w:keepNext w:val="0"/>
        <w:numPr>
          <w:ilvl w:val="3"/>
          <w:numId w:val="26"/>
        </w:numPr>
        <w:tabs>
          <w:tab w:val="left" w:pos="2880"/>
        </w:tabs>
        <w:rPr>
          <w:sz w:val="22"/>
          <w:szCs w:val="22"/>
        </w:rPr>
      </w:pPr>
      <w:bookmarkStart w:id="2395" w:name="_Toc83547811"/>
      <w:bookmarkStart w:id="2396" w:name="_Toc112139235"/>
      <w:bookmarkStart w:id="2397" w:name="_Toc113257842"/>
      <w:bookmarkStart w:id="2398" w:name="_Toc113258039"/>
      <w:bookmarkStart w:id="2399" w:name="_Toc113258307"/>
      <w:bookmarkStart w:id="2400" w:name="_Toc113258633"/>
      <w:bookmarkStart w:id="2401" w:name="_Toc113272222"/>
      <w:bookmarkStart w:id="2402" w:name="_Toc115580907"/>
      <w:bookmarkStart w:id="2403" w:name="_Toc136318310"/>
      <w:bookmarkStart w:id="2404" w:name="_Toc136318659"/>
      <w:bookmarkStart w:id="2405" w:name="_Toc136318826"/>
      <w:bookmarkStart w:id="2406" w:name="_Toc138475802"/>
      <w:bookmarkStart w:id="2407" w:name="_Toc146684531"/>
      <w:bookmarkStart w:id="2408" w:name="_Toc147046289"/>
      <w:bookmarkStart w:id="2409" w:name="_Toc171415246"/>
      <w:bookmarkStart w:id="2410" w:name="_Toc173642134"/>
      <w:bookmarkStart w:id="2411" w:name="_Toc173813672"/>
      <w:bookmarkStart w:id="2412" w:name="_Toc175387842"/>
      <w:bookmarkStart w:id="2413" w:name="_Toc176254447"/>
      <w:bookmarkStart w:id="2414" w:name="_Toc176254736"/>
      <w:bookmarkStart w:id="2415" w:name="_Toc176254847"/>
      <w:bookmarkStart w:id="2416" w:name="_Toc176762482"/>
      <w:bookmarkStart w:id="2417" w:name="_Toc176843503"/>
      <w:bookmarkStart w:id="2418" w:name="_Toc176853307"/>
      <w:bookmarkStart w:id="2419" w:name="_Toc176853416"/>
      <w:bookmarkStart w:id="2420" w:name="_Toc176857465"/>
      <w:bookmarkStart w:id="2421" w:name="_Toc179108393"/>
      <w:bookmarkStart w:id="2422" w:name="_Toc179357652"/>
      <w:bookmarkStart w:id="2423" w:name="_Toc181781136"/>
      <w:bookmarkStart w:id="2424" w:name="_Toc182218722"/>
      <w:bookmarkStart w:id="2425" w:name="_Toc182909157"/>
      <w:bookmarkStart w:id="2426" w:name="_Toc182909587"/>
      <w:bookmarkStart w:id="2427" w:name="_Toc182987237"/>
      <w:bookmarkStart w:id="2428" w:name="_Toc183244072"/>
      <w:bookmarkStart w:id="2429" w:name="_Toc183244450"/>
      <w:bookmarkStart w:id="2430" w:name="_Toc183244861"/>
      <w:bookmarkStart w:id="2431" w:name="_Toc183244979"/>
      <w:bookmarkStart w:id="2432" w:name="_Toc183245637"/>
      <w:bookmarkStart w:id="2433" w:name="_Toc183246212"/>
      <w:bookmarkStart w:id="2434" w:name="_Toc183246311"/>
      <w:bookmarkStart w:id="2435" w:name="_Toc185667921"/>
      <w:bookmarkStart w:id="2436" w:name="_Ref185758782"/>
      <w:bookmarkStart w:id="2437" w:name="_Toc185838978"/>
      <w:bookmarkStart w:id="2438" w:name="_Toc185846950"/>
      <w:bookmarkStart w:id="2439" w:name="_Toc185848556"/>
      <w:bookmarkStart w:id="2440" w:name="_Toc188946914"/>
      <w:bookmarkStart w:id="2441" w:name="_Toc189302818"/>
      <w:bookmarkStart w:id="2442" w:name="_Toc209948485"/>
      <w:bookmarkStart w:id="2443" w:name="_Toc209948594"/>
      <w:bookmarkStart w:id="2444" w:name="_Toc209950036"/>
      <w:bookmarkStart w:id="2445" w:name="_Toc210211492"/>
      <w:bookmarkStart w:id="2446" w:name="_Toc210213059"/>
      <w:bookmarkStart w:id="2447" w:name="_Toc210213198"/>
      <w:bookmarkStart w:id="2448" w:name="_Toc210213759"/>
      <w:bookmarkStart w:id="2449" w:name="_Toc212967983"/>
      <w:bookmarkStart w:id="2450" w:name="_Toc215316385"/>
      <w:bookmarkStart w:id="2451" w:name="_Toc215384639"/>
      <w:bookmarkStart w:id="2452" w:name="_Toc217810505"/>
      <w:bookmarkStart w:id="2453" w:name="_Ref256168467"/>
      <w:bookmarkStart w:id="2454" w:name="_Ref256168477"/>
      <w:bookmarkStart w:id="2455" w:name="_Toc261858509"/>
      <w:bookmarkStart w:id="2456" w:name="_Toc262034314"/>
      <w:bookmarkStart w:id="2457" w:name="_Toc262034417"/>
      <w:bookmarkStart w:id="2458" w:name="_Toc275517973"/>
      <w:bookmarkStart w:id="2459" w:name="_Toc275952413"/>
      <w:bookmarkStart w:id="2460" w:name="_Toc276121845"/>
      <w:bookmarkStart w:id="2461" w:name="_Toc276480682"/>
      <w:bookmarkStart w:id="2462" w:name="_Toc276741759"/>
      <w:bookmarkStart w:id="2463" w:name="_Toc277171523"/>
      <w:bookmarkStart w:id="2464" w:name="_Toc277864498"/>
      <w:bookmarkStart w:id="2465" w:name="_Toc277864714"/>
      <w:bookmarkStart w:id="2466" w:name="_Ref285534526"/>
      <w:bookmarkStart w:id="2467" w:name="_Ref285534529"/>
      <w:bookmarkStart w:id="2468" w:name="_Toc285810395"/>
      <w:bookmarkStart w:id="2469" w:name="_Toc287257789"/>
      <w:bookmarkStart w:id="2470" w:name="_Ref287340465"/>
      <w:bookmarkStart w:id="2471" w:name="_Toc291758668"/>
      <w:bookmarkStart w:id="2472" w:name="_Toc291758771"/>
      <w:bookmarkStart w:id="2473" w:name="_Toc295392951"/>
      <w:bookmarkStart w:id="2474" w:name="_Toc337651973"/>
      <w:bookmarkStart w:id="2475" w:name="_Toc349577161"/>
      <w:bookmarkStart w:id="2476" w:name="_Toc349579253"/>
      <w:bookmarkStart w:id="2477" w:name="_Toc349580568"/>
      <w:bookmarkStart w:id="2478" w:name="_Toc349734976"/>
      <w:bookmarkStart w:id="2479" w:name="_Toc349742341"/>
      <w:bookmarkEnd w:id="2391"/>
      <w:bookmarkEnd w:id="2392"/>
      <w:r w:rsidRPr="00B53FFB">
        <w:rPr>
          <w:sz w:val="22"/>
          <w:szCs w:val="22"/>
        </w:rPr>
        <w:t>Coverage by Technology Type</w:t>
      </w:r>
      <w:bookmarkEnd w:id="2395"/>
      <w:bookmarkEnd w:id="2396"/>
      <w:bookmarkEnd w:id="2397"/>
      <w:bookmarkEnd w:id="2398"/>
      <w:bookmarkEnd w:id="2399"/>
      <w:bookmarkEnd w:id="2400"/>
      <w:bookmarkEnd w:id="2401"/>
      <w:bookmarkEnd w:id="2402"/>
      <w:bookmarkEnd w:id="2403"/>
      <w:bookmarkEnd w:id="2404"/>
      <w:bookmarkEnd w:id="2405"/>
      <w:bookmarkEnd w:id="2406"/>
      <w:bookmarkEnd w:id="2407"/>
      <w:bookmarkEnd w:id="2408"/>
      <w:bookmarkEnd w:id="2409"/>
      <w:bookmarkEnd w:id="2410"/>
      <w:bookmarkEnd w:id="2411"/>
      <w:bookmarkEnd w:id="2412"/>
      <w:bookmarkEnd w:id="2413"/>
      <w:bookmarkEnd w:id="2414"/>
      <w:bookmarkEnd w:id="2415"/>
      <w:bookmarkEnd w:id="2416"/>
      <w:bookmarkEnd w:id="2417"/>
      <w:bookmarkEnd w:id="2418"/>
      <w:bookmarkEnd w:id="2419"/>
      <w:bookmarkEnd w:id="2420"/>
      <w:bookmarkEnd w:id="2421"/>
      <w:bookmarkEnd w:id="2422"/>
      <w:bookmarkEnd w:id="2423"/>
      <w:bookmarkEnd w:id="2424"/>
      <w:bookmarkEnd w:id="2425"/>
      <w:bookmarkEnd w:id="2426"/>
      <w:bookmarkEnd w:id="2427"/>
      <w:bookmarkEnd w:id="2428"/>
      <w:bookmarkEnd w:id="2429"/>
      <w:bookmarkEnd w:id="2430"/>
      <w:bookmarkEnd w:id="2431"/>
      <w:bookmarkEnd w:id="2432"/>
      <w:bookmarkEnd w:id="2433"/>
      <w:bookmarkEnd w:id="2434"/>
      <w:bookmarkEnd w:id="2435"/>
      <w:bookmarkEnd w:id="2436"/>
      <w:bookmarkEnd w:id="2437"/>
      <w:bookmarkEnd w:id="2438"/>
      <w:bookmarkEnd w:id="2439"/>
      <w:bookmarkEnd w:id="2440"/>
      <w:bookmarkEnd w:id="2441"/>
      <w:bookmarkEnd w:id="2442"/>
      <w:bookmarkEnd w:id="2443"/>
      <w:bookmarkEnd w:id="2444"/>
      <w:bookmarkEnd w:id="2445"/>
      <w:bookmarkEnd w:id="2446"/>
      <w:bookmarkEnd w:id="2447"/>
      <w:bookmarkEnd w:id="2448"/>
      <w:bookmarkEnd w:id="2449"/>
      <w:bookmarkEnd w:id="2450"/>
      <w:bookmarkEnd w:id="2451"/>
      <w:bookmarkEnd w:id="2452"/>
      <w:bookmarkEnd w:id="2453"/>
      <w:bookmarkEnd w:id="2454"/>
      <w:bookmarkEnd w:id="2455"/>
      <w:bookmarkEnd w:id="2456"/>
      <w:bookmarkEnd w:id="2457"/>
      <w:bookmarkEnd w:id="2458"/>
      <w:bookmarkEnd w:id="2459"/>
      <w:bookmarkEnd w:id="2460"/>
      <w:bookmarkEnd w:id="2461"/>
      <w:bookmarkEnd w:id="2462"/>
      <w:bookmarkEnd w:id="2463"/>
      <w:bookmarkEnd w:id="2464"/>
      <w:bookmarkEnd w:id="2465"/>
      <w:bookmarkEnd w:id="2466"/>
      <w:bookmarkEnd w:id="2467"/>
      <w:bookmarkEnd w:id="2468"/>
      <w:bookmarkEnd w:id="2469"/>
      <w:bookmarkEnd w:id="2470"/>
      <w:bookmarkEnd w:id="2471"/>
      <w:bookmarkEnd w:id="2472"/>
      <w:bookmarkEnd w:id="2473"/>
      <w:bookmarkEnd w:id="2474"/>
      <w:bookmarkEnd w:id="2475"/>
      <w:bookmarkEnd w:id="2476"/>
      <w:bookmarkEnd w:id="2477"/>
      <w:bookmarkEnd w:id="2478"/>
      <w:bookmarkEnd w:id="2479"/>
      <w:r w:rsidRPr="00B53FFB">
        <w:rPr>
          <w:sz w:val="22"/>
          <w:szCs w:val="22"/>
        </w:rPr>
        <w:t xml:space="preserve"> </w:t>
      </w:r>
    </w:p>
    <w:p w:rsidR="004A147C" w:rsidRDefault="004A147C" w:rsidP="00CE5850">
      <w:pPr>
        <w:pStyle w:val="ParaNum"/>
        <w:numPr>
          <w:ilvl w:val="0"/>
          <w:numId w:val="28"/>
        </w:numPr>
        <w:rPr>
          <w:sz w:val="22"/>
          <w:szCs w:val="22"/>
        </w:rPr>
      </w:pPr>
      <w:r w:rsidRPr="00B53FFB">
        <w:rPr>
          <w:sz w:val="22"/>
          <w:szCs w:val="22"/>
        </w:rPr>
        <w:t>We present estimates of coverage by air interference type in approximately 11 million census blocks in the U.S.</w:t>
      </w:r>
      <w:r w:rsidRPr="00B53FFB">
        <w:rPr>
          <w:rStyle w:val="FootnoteReference"/>
          <w:szCs w:val="22"/>
        </w:rPr>
        <w:t xml:space="preserve"> </w:t>
      </w:r>
      <w:r w:rsidRPr="00B53FFB">
        <w:rPr>
          <w:rStyle w:val="FootnoteReference"/>
          <w:szCs w:val="22"/>
        </w:rPr>
        <w:footnoteReference w:id="641"/>
      </w:r>
      <w:r w:rsidRPr="00B53FFB">
        <w:rPr>
          <w:sz w:val="22"/>
          <w:szCs w:val="22"/>
        </w:rPr>
        <w:t xml:space="preserve"> This census block level analysis is based on data from Mosaik Solutions, and while this analysis likely overstates the coverage experienced by consumers because of limitations in Mosaik data, we find that this analysis is useful because it provides a general baseline that can be compared over time across network types, technologies, and providers.  As of </w:t>
      </w:r>
      <w:r>
        <w:rPr>
          <w:sz w:val="22"/>
          <w:szCs w:val="22"/>
        </w:rPr>
        <w:t>October</w:t>
      </w:r>
      <w:r w:rsidRPr="00B53FFB">
        <w:rPr>
          <w:sz w:val="22"/>
          <w:szCs w:val="22"/>
        </w:rPr>
        <w:t xml:space="preserve"> 2012, an estimated 99.</w:t>
      </w:r>
      <w:r>
        <w:rPr>
          <w:sz w:val="22"/>
          <w:szCs w:val="22"/>
        </w:rPr>
        <w:t>9</w:t>
      </w:r>
      <w:r w:rsidRPr="00B53FFB">
        <w:rPr>
          <w:sz w:val="22"/>
          <w:szCs w:val="22"/>
        </w:rPr>
        <w:t xml:space="preserve"> percent of the United States population lived in census blocks where operators have deployed digital mobile wireless coverage over at least part of the census block using CDMA, GSM/TDMA, or iDEN (including their respective next generation technologies), or some combination of the three.  As shown </w:t>
      </w:r>
      <w:r>
        <w:rPr>
          <w:sz w:val="22"/>
          <w:szCs w:val="22"/>
        </w:rPr>
        <w:t xml:space="preserve">in </w:t>
      </w:r>
      <w:r w:rsidR="0007014B">
        <w:rPr>
          <w:sz w:val="22"/>
          <w:szCs w:val="22"/>
        </w:rPr>
        <w:fldChar w:fldCharType="begin"/>
      </w:r>
      <w:r>
        <w:rPr>
          <w:sz w:val="22"/>
          <w:szCs w:val="22"/>
        </w:rPr>
        <w:instrText xml:space="preserve"> REF _Ref342922219 </w:instrText>
      </w:r>
      <w:r w:rsidR="0007014B">
        <w:rPr>
          <w:sz w:val="22"/>
          <w:szCs w:val="22"/>
        </w:rPr>
        <w:fldChar w:fldCharType="separate"/>
      </w:r>
      <w:r w:rsidR="00CA3AC6" w:rsidRPr="003E63EC">
        <w:rPr>
          <w:sz w:val="22"/>
          <w:szCs w:val="22"/>
        </w:rPr>
        <w:t xml:space="preserve">Table </w:t>
      </w:r>
      <w:r w:rsidR="00CA3AC6">
        <w:rPr>
          <w:noProof/>
          <w:sz w:val="22"/>
          <w:szCs w:val="22"/>
        </w:rPr>
        <w:t>30</w:t>
      </w:r>
      <w:r w:rsidR="0007014B">
        <w:rPr>
          <w:sz w:val="22"/>
          <w:szCs w:val="22"/>
        </w:rPr>
        <w:fldChar w:fldCharType="end"/>
      </w:r>
      <w:r>
        <w:rPr>
          <w:sz w:val="22"/>
          <w:szCs w:val="22"/>
        </w:rPr>
        <w:t xml:space="preserve"> </w:t>
      </w:r>
      <w:r w:rsidRPr="00CD3105">
        <w:rPr>
          <w:sz w:val="22"/>
          <w:szCs w:val="22"/>
        </w:rPr>
        <w:t xml:space="preserve">below, we estimate that both CDMA and GSM/TDMA have been deployed in census blocks containing 310.3 million people.  As stated above, these estimates of coverage represent deployment of mobile wireless networks and do not indicate the extent to which providers actually offer service in the covered areas or have customers residing in those areas.  iDEN coverage has declined slightly as Sprint has been phasing out its iDEN network.  The technology covered </w:t>
      </w:r>
      <w:r>
        <w:rPr>
          <w:sz w:val="22"/>
          <w:szCs w:val="22"/>
        </w:rPr>
        <w:t>89</w:t>
      </w:r>
      <w:r w:rsidRPr="00CD3105">
        <w:rPr>
          <w:sz w:val="22"/>
          <w:szCs w:val="22"/>
        </w:rPr>
        <w:t xml:space="preserve"> percent of the U.S. population as of </w:t>
      </w:r>
      <w:r>
        <w:rPr>
          <w:sz w:val="22"/>
          <w:szCs w:val="22"/>
        </w:rPr>
        <w:t>October</w:t>
      </w:r>
      <w:r w:rsidRPr="00CD3105">
        <w:rPr>
          <w:sz w:val="22"/>
          <w:szCs w:val="22"/>
        </w:rPr>
        <w:t xml:space="preserve"> 2012, down from 91 percent in July 2010.  A map showing coverage by mobile wireless digital technologies can be found in Appendix C, Maps C-23 to C-30.  </w:t>
      </w:r>
      <w:bookmarkStart w:id="2480" w:name="_Ref256073092"/>
      <w:bookmarkStart w:id="2481" w:name="_Ref185317975"/>
    </w:p>
    <w:p w:rsidR="00856523" w:rsidRDefault="00856523" w:rsidP="00856523">
      <w:pPr>
        <w:pStyle w:val="ParaNum"/>
        <w:tabs>
          <w:tab w:val="clear" w:pos="1440"/>
        </w:tabs>
        <w:rPr>
          <w:sz w:val="22"/>
          <w:szCs w:val="22"/>
        </w:rPr>
      </w:pPr>
    </w:p>
    <w:p w:rsidR="00856523" w:rsidRDefault="00856523" w:rsidP="00856523">
      <w:pPr>
        <w:pStyle w:val="ParaNum"/>
        <w:tabs>
          <w:tab w:val="clear" w:pos="1440"/>
        </w:tabs>
        <w:rPr>
          <w:sz w:val="22"/>
          <w:szCs w:val="22"/>
        </w:rPr>
      </w:pPr>
    </w:p>
    <w:p w:rsidR="00856523" w:rsidRDefault="00856523" w:rsidP="00856523">
      <w:pPr>
        <w:pStyle w:val="ParaNum"/>
        <w:tabs>
          <w:tab w:val="clear" w:pos="1440"/>
        </w:tabs>
        <w:rPr>
          <w:sz w:val="22"/>
          <w:szCs w:val="22"/>
        </w:rPr>
      </w:pPr>
    </w:p>
    <w:p w:rsidR="00856523" w:rsidRDefault="00856523" w:rsidP="00856523">
      <w:pPr>
        <w:pStyle w:val="ParaNum"/>
        <w:tabs>
          <w:tab w:val="clear" w:pos="1440"/>
        </w:tabs>
        <w:rPr>
          <w:sz w:val="22"/>
          <w:szCs w:val="22"/>
        </w:rPr>
      </w:pPr>
    </w:p>
    <w:p w:rsidR="00856523" w:rsidRDefault="00856523" w:rsidP="00856523">
      <w:pPr>
        <w:pStyle w:val="ParaNum"/>
        <w:tabs>
          <w:tab w:val="clear" w:pos="1440"/>
        </w:tabs>
        <w:rPr>
          <w:sz w:val="22"/>
          <w:szCs w:val="22"/>
        </w:rPr>
      </w:pPr>
    </w:p>
    <w:p w:rsidR="00856523" w:rsidRDefault="00856523" w:rsidP="00856523">
      <w:pPr>
        <w:pStyle w:val="ParaNum"/>
        <w:tabs>
          <w:tab w:val="clear" w:pos="1440"/>
        </w:tabs>
        <w:rPr>
          <w:sz w:val="22"/>
          <w:szCs w:val="22"/>
        </w:rPr>
      </w:pPr>
    </w:p>
    <w:p w:rsidR="00856523" w:rsidRDefault="00856523" w:rsidP="00856523">
      <w:pPr>
        <w:pStyle w:val="ParaNum"/>
        <w:tabs>
          <w:tab w:val="clear" w:pos="1440"/>
        </w:tabs>
        <w:rPr>
          <w:sz w:val="22"/>
          <w:szCs w:val="22"/>
        </w:rPr>
      </w:pPr>
    </w:p>
    <w:p w:rsidR="00856523" w:rsidRDefault="00856523" w:rsidP="00856523">
      <w:pPr>
        <w:pStyle w:val="ParaNum"/>
        <w:tabs>
          <w:tab w:val="clear" w:pos="1440"/>
        </w:tabs>
        <w:rPr>
          <w:sz w:val="22"/>
          <w:szCs w:val="22"/>
        </w:rPr>
      </w:pPr>
    </w:p>
    <w:p w:rsidR="00856523" w:rsidRDefault="00856523" w:rsidP="00856523">
      <w:pPr>
        <w:pStyle w:val="ParaNum"/>
        <w:tabs>
          <w:tab w:val="clear" w:pos="1440"/>
        </w:tabs>
        <w:rPr>
          <w:sz w:val="22"/>
          <w:szCs w:val="22"/>
        </w:rPr>
      </w:pPr>
    </w:p>
    <w:p w:rsidR="00856523" w:rsidRDefault="00856523" w:rsidP="00856523">
      <w:pPr>
        <w:pStyle w:val="ParaNum"/>
        <w:tabs>
          <w:tab w:val="clear" w:pos="1440"/>
        </w:tabs>
        <w:rPr>
          <w:sz w:val="22"/>
          <w:szCs w:val="22"/>
        </w:rPr>
      </w:pPr>
    </w:p>
    <w:p w:rsidR="00856523" w:rsidRDefault="00856523" w:rsidP="00856523">
      <w:pPr>
        <w:pStyle w:val="ParaNum"/>
        <w:tabs>
          <w:tab w:val="clear" w:pos="1440"/>
        </w:tabs>
        <w:rPr>
          <w:sz w:val="22"/>
          <w:szCs w:val="22"/>
        </w:rPr>
      </w:pPr>
    </w:p>
    <w:p w:rsidR="00856523" w:rsidRDefault="00856523" w:rsidP="00856523">
      <w:pPr>
        <w:pStyle w:val="ParaNum"/>
        <w:tabs>
          <w:tab w:val="clear" w:pos="1440"/>
        </w:tabs>
        <w:rPr>
          <w:sz w:val="22"/>
          <w:szCs w:val="22"/>
        </w:rPr>
      </w:pPr>
    </w:p>
    <w:p w:rsidR="00856523" w:rsidRDefault="00856523" w:rsidP="00856523">
      <w:pPr>
        <w:pStyle w:val="ParaNum"/>
        <w:tabs>
          <w:tab w:val="clear" w:pos="1440"/>
        </w:tabs>
        <w:rPr>
          <w:sz w:val="22"/>
          <w:szCs w:val="22"/>
        </w:rPr>
      </w:pPr>
    </w:p>
    <w:p w:rsidR="004A147C" w:rsidRPr="003E63EC" w:rsidRDefault="004A147C" w:rsidP="00CE5850">
      <w:pPr>
        <w:pStyle w:val="Caption"/>
        <w:widowControl w:val="0"/>
        <w:jc w:val="center"/>
        <w:rPr>
          <w:sz w:val="22"/>
          <w:szCs w:val="22"/>
        </w:rPr>
      </w:pPr>
      <w:r w:rsidRPr="003E63EC">
        <w:rPr>
          <w:sz w:val="22"/>
          <w:szCs w:val="22"/>
        </w:rPr>
        <w:t xml:space="preserve">Table </w:t>
      </w:r>
      <w:r w:rsidR="0007014B" w:rsidRPr="003E63EC">
        <w:rPr>
          <w:sz w:val="22"/>
          <w:szCs w:val="22"/>
        </w:rPr>
        <w:fldChar w:fldCharType="begin"/>
      </w:r>
      <w:r w:rsidRPr="003E63EC">
        <w:rPr>
          <w:sz w:val="22"/>
          <w:szCs w:val="22"/>
        </w:rPr>
        <w:instrText xml:space="preserve"> SEQ Table \* ARABIC </w:instrText>
      </w:r>
      <w:r w:rsidR="0007014B" w:rsidRPr="003E63EC">
        <w:rPr>
          <w:sz w:val="22"/>
          <w:szCs w:val="22"/>
        </w:rPr>
        <w:fldChar w:fldCharType="separate"/>
      </w:r>
      <w:r w:rsidR="00CA3AC6">
        <w:rPr>
          <w:noProof/>
          <w:sz w:val="22"/>
          <w:szCs w:val="22"/>
        </w:rPr>
        <w:t>29</w:t>
      </w:r>
      <w:r w:rsidR="0007014B" w:rsidRPr="003E63EC">
        <w:rPr>
          <w:sz w:val="22"/>
          <w:szCs w:val="22"/>
        </w:rPr>
        <w:fldChar w:fldCharType="end"/>
      </w:r>
      <w:r w:rsidRPr="003E63EC">
        <w:rPr>
          <w:bCs w:val="0"/>
          <w:sz w:val="22"/>
          <w:szCs w:val="22"/>
        </w:rPr>
        <w:br/>
        <w:t>Estimated Mobile Wireless Coverage by Technology, Jan. 2012</w:t>
      </w:r>
      <w:r w:rsidRPr="003E63EC">
        <w:rPr>
          <w:rStyle w:val="FootnoteReference"/>
          <w:bCs w:val="0"/>
          <w:szCs w:val="22"/>
        </w:rPr>
        <w:footnoteReference w:id="642"/>
      </w:r>
    </w:p>
    <w:tbl>
      <w:tblPr>
        <w:tblW w:w="0" w:type="auto"/>
        <w:jc w:val="center"/>
        <w:tblInd w:w="-471"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left w:w="0" w:type="dxa"/>
          <w:right w:w="0" w:type="dxa"/>
        </w:tblCellMar>
        <w:tblLook w:val="00A0" w:firstRow="1" w:lastRow="0" w:firstColumn="1" w:lastColumn="0" w:noHBand="0" w:noVBand="0"/>
      </w:tblPr>
      <w:tblGrid>
        <w:gridCol w:w="1353"/>
        <w:gridCol w:w="1354"/>
        <w:gridCol w:w="818"/>
        <w:gridCol w:w="1332"/>
        <w:gridCol w:w="1038"/>
        <w:gridCol w:w="1122"/>
        <w:gridCol w:w="992"/>
      </w:tblGrid>
      <w:tr w:rsidR="004A147C" w:rsidRPr="00B53FFB" w:rsidTr="00A0412A">
        <w:trPr>
          <w:trHeight w:val="523"/>
          <w:jc w:val="center"/>
        </w:trPr>
        <w:tc>
          <w:tcPr>
            <w:tcW w:w="1353" w:type="dxa"/>
            <w:shd w:val="clear" w:color="auto" w:fill="F2DBDB"/>
            <w:tcMar>
              <w:top w:w="0" w:type="dxa"/>
              <w:left w:w="30" w:type="dxa"/>
              <w:bottom w:w="0" w:type="dxa"/>
              <w:right w:w="30" w:type="dxa"/>
            </w:tcMar>
          </w:tcPr>
          <w:p w:rsidR="004A147C" w:rsidRPr="007D38C2" w:rsidRDefault="004A147C" w:rsidP="00CE5850">
            <w:pPr>
              <w:snapToGrid w:val="0"/>
              <w:rPr>
                <w:rFonts w:eastAsia="Times New Roman"/>
                <w:b/>
                <w:bCs/>
                <w:iCs/>
                <w:kern w:val="0"/>
                <w:sz w:val="20"/>
              </w:rPr>
            </w:pPr>
            <w:r w:rsidRPr="007D38C2">
              <w:rPr>
                <w:rFonts w:eastAsia="Times New Roman"/>
                <w:b/>
                <w:bCs/>
                <w:iCs/>
                <w:kern w:val="0"/>
                <w:sz w:val="20"/>
              </w:rPr>
              <w:t>Technology</w:t>
            </w:r>
          </w:p>
        </w:tc>
        <w:tc>
          <w:tcPr>
            <w:tcW w:w="1354" w:type="dxa"/>
            <w:shd w:val="clear" w:color="auto" w:fill="F2DBDB"/>
            <w:tcMar>
              <w:top w:w="0" w:type="dxa"/>
              <w:left w:w="30" w:type="dxa"/>
              <w:bottom w:w="0" w:type="dxa"/>
              <w:right w:w="30" w:type="dxa"/>
            </w:tcMar>
          </w:tcPr>
          <w:p w:rsidR="004A147C" w:rsidRPr="007D38C2" w:rsidRDefault="004A147C" w:rsidP="00CE5850">
            <w:pPr>
              <w:snapToGrid w:val="0"/>
              <w:jc w:val="center"/>
              <w:rPr>
                <w:rFonts w:eastAsia="Times New Roman"/>
                <w:b/>
                <w:bCs/>
                <w:iCs/>
                <w:kern w:val="0"/>
                <w:sz w:val="20"/>
              </w:rPr>
            </w:pPr>
            <w:r w:rsidRPr="007D38C2">
              <w:rPr>
                <w:rFonts w:eastAsia="Times New Roman"/>
                <w:b/>
                <w:bCs/>
                <w:iCs/>
                <w:kern w:val="0"/>
                <w:sz w:val="20"/>
              </w:rPr>
              <w:t xml:space="preserve">POPs in Covered </w:t>
            </w:r>
            <w:r w:rsidRPr="007D38C2">
              <w:rPr>
                <w:rFonts w:eastAsia="Times New Roman"/>
                <w:b/>
                <w:bCs/>
                <w:iCs/>
                <w:kern w:val="0"/>
                <w:sz w:val="20"/>
              </w:rPr>
              <w:br/>
              <w:t>Blocks</w:t>
            </w:r>
          </w:p>
          <w:p w:rsidR="004A147C" w:rsidRPr="007D38C2" w:rsidRDefault="004A147C" w:rsidP="00CE5850">
            <w:pPr>
              <w:snapToGrid w:val="0"/>
              <w:jc w:val="center"/>
              <w:rPr>
                <w:rFonts w:eastAsia="Times New Roman"/>
                <w:b/>
                <w:bCs/>
                <w:iCs/>
                <w:kern w:val="0"/>
                <w:sz w:val="20"/>
              </w:rPr>
            </w:pPr>
            <w:r w:rsidRPr="007D38C2">
              <w:rPr>
                <w:rFonts w:eastAsia="Times New Roman"/>
                <w:b/>
                <w:bCs/>
                <w:iCs/>
                <w:kern w:val="0"/>
                <w:sz w:val="20"/>
              </w:rPr>
              <w:t>(Thousands)</w:t>
            </w:r>
          </w:p>
        </w:tc>
        <w:tc>
          <w:tcPr>
            <w:tcW w:w="818" w:type="dxa"/>
            <w:shd w:val="clear" w:color="auto" w:fill="F2DBDB"/>
            <w:tcMar>
              <w:top w:w="0" w:type="dxa"/>
              <w:left w:w="30" w:type="dxa"/>
              <w:bottom w:w="0" w:type="dxa"/>
              <w:right w:w="30" w:type="dxa"/>
            </w:tcMar>
          </w:tcPr>
          <w:p w:rsidR="004A147C" w:rsidRPr="007D38C2" w:rsidRDefault="004A147C" w:rsidP="00CE5850">
            <w:pPr>
              <w:snapToGrid w:val="0"/>
              <w:jc w:val="center"/>
              <w:rPr>
                <w:rFonts w:eastAsia="Times New Roman"/>
                <w:b/>
                <w:bCs/>
                <w:iCs/>
                <w:kern w:val="0"/>
                <w:sz w:val="20"/>
              </w:rPr>
            </w:pPr>
            <w:r w:rsidRPr="007D38C2">
              <w:rPr>
                <w:rFonts w:eastAsia="Times New Roman"/>
                <w:b/>
                <w:bCs/>
                <w:iCs/>
                <w:kern w:val="0"/>
                <w:sz w:val="20"/>
              </w:rPr>
              <w:t>% of Total POPs</w:t>
            </w:r>
          </w:p>
        </w:tc>
        <w:tc>
          <w:tcPr>
            <w:tcW w:w="1332" w:type="dxa"/>
            <w:shd w:val="clear" w:color="auto" w:fill="F2DBDB"/>
            <w:tcMar>
              <w:top w:w="0" w:type="dxa"/>
              <w:left w:w="30" w:type="dxa"/>
              <w:bottom w:w="0" w:type="dxa"/>
              <w:right w:w="30" w:type="dxa"/>
            </w:tcMar>
          </w:tcPr>
          <w:p w:rsidR="004A147C" w:rsidRPr="007D38C2" w:rsidRDefault="004A147C" w:rsidP="00CE5850">
            <w:pPr>
              <w:snapToGrid w:val="0"/>
              <w:jc w:val="center"/>
              <w:rPr>
                <w:rFonts w:eastAsia="Times New Roman"/>
                <w:b/>
                <w:bCs/>
                <w:iCs/>
                <w:kern w:val="0"/>
                <w:sz w:val="20"/>
              </w:rPr>
            </w:pPr>
            <w:r w:rsidRPr="007D38C2">
              <w:rPr>
                <w:rFonts w:eastAsia="Times New Roman"/>
                <w:b/>
                <w:bCs/>
                <w:iCs/>
                <w:kern w:val="0"/>
                <w:sz w:val="20"/>
              </w:rPr>
              <w:t>Square Miles Contained in Those Blocks</w:t>
            </w:r>
          </w:p>
          <w:p w:rsidR="004A147C" w:rsidRPr="007D38C2" w:rsidRDefault="004A147C" w:rsidP="00CE5850">
            <w:pPr>
              <w:snapToGrid w:val="0"/>
              <w:jc w:val="center"/>
              <w:rPr>
                <w:rFonts w:eastAsia="Times New Roman"/>
                <w:b/>
                <w:bCs/>
                <w:iCs/>
                <w:kern w:val="0"/>
                <w:sz w:val="20"/>
              </w:rPr>
            </w:pPr>
            <w:r w:rsidRPr="007D38C2">
              <w:rPr>
                <w:rFonts w:eastAsia="Times New Roman"/>
                <w:b/>
                <w:bCs/>
                <w:iCs/>
                <w:kern w:val="0"/>
                <w:sz w:val="20"/>
              </w:rPr>
              <w:t>(Thousands)</w:t>
            </w:r>
          </w:p>
        </w:tc>
        <w:tc>
          <w:tcPr>
            <w:tcW w:w="1038" w:type="dxa"/>
            <w:shd w:val="clear" w:color="auto" w:fill="F2DBDB"/>
            <w:tcMar>
              <w:top w:w="0" w:type="dxa"/>
              <w:left w:w="30" w:type="dxa"/>
              <w:bottom w:w="0" w:type="dxa"/>
              <w:right w:w="30" w:type="dxa"/>
            </w:tcMar>
          </w:tcPr>
          <w:p w:rsidR="004A147C" w:rsidRPr="007D38C2" w:rsidRDefault="004A147C" w:rsidP="00CE5850">
            <w:pPr>
              <w:snapToGrid w:val="0"/>
              <w:jc w:val="center"/>
              <w:rPr>
                <w:rFonts w:eastAsia="Times New Roman"/>
                <w:b/>
                <w:bCs/>
                <w:iCs/>
                <w:kern w:val="0"/>
                <w:sz w:val="20"/>
              </w:rPr>
            </w:pPr>
            <w:r w:rsidRPr="007D38C2">
              <w:rPr>
                <w:rFonts w:eastAsia="Times New Roman"/>
                <w:b/>
                <w:bCs/>
                <w:iCs/>
                <w:kern w:val="0"/>
                <w:sz w:val="20"/>
              </w:rPr>
              <w:t>% of Total Square Miles</w:t>
            </w:r>
          </w:p>
        </w:tc>
        <w:tc>
          <w:tcPr>
            <w:tcW w:w="1122" w:type="dxa"/>
            <w:shd w:val="clear" w:color="auto" w:fill="F2DBDB"/>
          </w:tcPr>
          <w:p w:rsidR="004A147C" w:rsidRPr="007D38C2" w:rsidRDefault="004A147C" w:rsidP="00CE5850">
            <w:pPr>
              <w:snapToGrid w:val="0"/>
              <w:jc w:val="center"/>
              <w:rPr>
                <w:rFonts w:eastAsia="Times New Roman"/>
                <w:b/>
                <w:bCs/>
                <w:iCs/>
                <w:kern w:val="0"/>
                <w:sz w:val="20"/>
              </w:rPr>
            </w:pPr>
            <w:r w:rsidRPr="007D38C2">
              <w:rPr>
                <w:rFonts w:eastAsia="Times New Roman"/>
                <w:b/>
                <w:bCs/>
                <w:iCs/>
                <w:kern w:val="0"/>
                <w:sz w:val="20"/>
              </w:rPr>
              <w:t>Road Miles Contained in Those Blocks (Thousands)</w:t>
            </w:r>
          </w:p>
        </w:tc>
        <w:tc>
          <w:tcPr>
            <w:tcW w:w="992" w:type="dxa"/>
            <w:shd w:val="clear" w:color="auto" w:fill="F2DBDB"/>
          </w:tcPr>
          <w:p w:rsidR="004A147C" w:rsidRPr="007D38C2" w:rsidRDefault="004A147C" w:rsidP="00CE5850">
            <w:pPr>
              <w:snapToGrid w:val="0"/>
              <w:jc w:val="center"/>
              <w:rPr>
                <w:rFonts w:eastAsia="Times New Roman"/>
                <w:b/>
                <w:bCs/>
                <w:iCs/>
                <w:kern w:val="0"/>
                <w:sz w:val="20"/>
              </w:rPr>
            </w:pPr>
            <w:r w:rsidRPr="007D38C2">
              <w:rPr>
                <w:rFonts w:eastAsia="Times New Roman"/>
                <w:b/>
                <w:bCs/>
                <w:iCs/>
                <w:kern w:val="0"/>
                <w:sz w:val="20"/>
              </w:rPr>
              <w:t>% of Total U.S. Road Miles</w:t>
            </w:r>
          </w:p>
        </w:tc>
      </w:tr>
      <w:tr w:rsidR="004A147C" w:rsidRPr="00B53FFB" w:rsidTr="00A0412A">
        <w:trPr>
          <w:trHeight w:val="262"/>
          <w:jc w:val="center"/>
        </w:trPr>
        <w:tc>
          <w:tcPr>
            <w:tcW w:w="1353" w:type="dxa"/>
            <w:shd w:val="clear" w:color="auto" w:fill="F2DBDB"/>
            <w:tcMar>
              <w:top w:w="0" w:type="dxa"/>
              <w:left w:w="30" w:type="dxa"/>
              <w:bottom w:w="0" w:type="dxa"/>
              <w:right w:w="30" w:type="dxa"/>
            </w:tcMar>
            <w:vAlign w:val="bottom"/>
          </w:tcPr>
          <w:p w:rsidR="004A147C" w:rsidRPr="007D38C2" w:rsidRDefault="004A147C" w:rsidP="00CE5850">
            <w:pPr>
              <w:snapToGrid w:val="0"/>
              <w:rPr>
                <w:rFonts w:eastAsia="Times New Roman"/>
                <w:kern w:val="0"/>
                <w:sz w:val="20"/>
              </w:rPr>
            </w:pPr>
            <w:r w:rsidRPr="007D38C2">
              <w:rPr>
                <w:rFonts w:eastAsia="Times New Roman"/>
                <w:kern w:val="0"/>
                <w:sz w:val="20"/>
              </w:rPr>
              <w:t>CDMA</w:t>
            </w:r>
          </w:p>
        </w:tc>
        <w:tc>
          <w:tcPr>
            <w:tcW w:w="1354" w:type="dxa"/>
            <w:shd w:val="clear" w:color="auto" w:fill="F2DBDB"/>
            <w:tcMar>
              <w:top w:w="0" w:type="dxa"/>
              <w:left w:w="30" w:type="dxa"/>
              <w:bottom w:w="0" w:type="dxa"/>
              <w:right w:w="30" w:type="dxa"/>
            </w:tcMar>
            <w:vAlign w:val="bottom"/>
          </w:tcPr>
          <w:p w:rsidR="004A147C" w:rsidRPr="007D38C2" w:rsidRDefault="004A147C" w:rsidP="00CE5850">
            <w:pPr>
              <w:snapToGrid w:val="0"/>
              <w:ind w:firstLine="200"/>
              <w:jc w:val="right"/>
              <w:rPr>
                <w:rFonts w:eastAsia="Times New Roman"/>
                <w:kern w:val="0"/>
                <w:sz w:val="20"/>
              </w:rPr>
            </w:pPr>
            <w:r w:rsidRPr="007D38C2">
              <w:rPr>
                <w:rFonts w:eastAsia="Times New Roman"/>
                <w:kern w:val="0"/>
                <w:sz w:val="20"/>
              </w:rPr>
              <w:t>310,306</w:t>
            </w:r>
          </w:p>
        </w:tc>
        <w:tc>
          <w:tcPr>
            <w:tcW w:w="818" w:type="dxa"/>
            <w:shd w:val="clear" w:color="auto" w:fill="F2DBDB"/>
            <w:tcMar>
              <w:top w:w="0" w:type="dxa"/>
              <w:left w:w="30" w:type="dxa"/>
              <w:bottom w:w="0" w:type="dxa"/>
              <w:right w:w="30" w:type="dxa"/>
            </w:tcMar>
            <w:vAlign w:val="bottom"/>
          </w:tcPr>
          <w:p w:rsidR="004A147C" w:rsidRPr="007D38C2" w:rsidRDefault="004A147C" w:rsidP="00CE5850">
            <w:pPr>
              <w:snapToGrid w:val="0"/>
              <w:ind w:firstLine="200"/>
              <w:jc w:val="right"/>
              <w:rPr>
                <w:rFonts w:eastAsia="Times New Roman"/>
                <w:kern w:val="0"/>
                <w:sz w:val="20"/>
              </w:rPr>
            </w:pPr>
            <w:r w:rsidRPr="007D38C2">
              <w:rPr>
                <w:rFonts w:eastAsia="Times New Roman"/>
                <w:kern w:val="0"/>
                <w:sz w:val="20"/>
              </w:rPr>
              <w:t>99.3%</w:t>
            </w:r>
          </w:p>
        </w:tc>
        <w:tc>
          <w:tcPr>
            <w:tcW w:w="1332" w:type="dxa"/>
            <w:shd w:val="clear" w:color="auto" w:fill="F2DBDB"/>
            <w:tcMar>
              <w:top w:w="0" w:type="dxa"/>
              <w:left w:w="30" w:type="dxa"/>
              <w:bottom w:w="0" w:type="dxa"/>
              <w:right w:w="30" w:type="dxa"/>
            </w:tcMar>
            <w:vAlign w:val="bottom"/>
          </w:tcPr>
          <w:p w:rsidR="004A147C" w:rsidRPr="007D38C2" w:rsidRDefault="004A147C" w:rsidP="00CE5850">
            <w:pPr>
              <w:snapToGrid w:val="0"/>
              <w:ind w:firstLine="400"/>
              <w:jc w:val="right"/>
              <w:rPr>
                <w:rFonts w:eastAsia="Times New Roman"/>
                <w:kern w:val="0"/>
                <w:sz w:val="20"/>
              </w:rPr>
            </w:pPr>
            <w:r w:rsidRPr="007D38C2">
              <w:rPr>
                <w:rFonts w:eastAsia="Times New Roman"/>
                <w:kern w:val="0"/>
                <w:sz w:val="20"/>
              </w:rPr>
              <w:t>2,656</w:t>
            </w:r>
          </w:p>
        </w:tc>
        <w:tc>
          <w:tcPr>
            <w:tcW w:w="1038" w:type="dxa"/>
            <w:shd w:val="clear" w:color="auto" w:fill="F2DBDB"/>
            <w:tcMar>
              <w:top w:w="0" w:type="dxa"/>
              <w:left w:w="30" w:type="dxa"/>
              <w:bottom w:w="0" w:type="dxa"/>
              <w:right w:w="30" w:type="dxa"/>
            </w:tcMar>
            <w:vAlign w:val="bottom"/>
          </w:tcPr>
          <w:p w:rsidR="004A147C" w:rsidRPr="007D38C2" w:rsidRDefault="004A147C" w:rsidP="00CE5850">
            <w:pPr>
              <w:snapToGrid w:val="0"/>
              <w:ind w:firstLine="400"/>
              <w:jc w:val="right"/>
              <w:rPr>
                <w:rFonts w:eastAsia="Times New Roman"/>
                <w:kern w:val="0"/>
                <w:sz w:val="20"/>
              </w:rPr>
            </w:pPr>
            <w:r w:rsidRPr="007D38C2">
              <w:rPr>
                <w:rFonts w:eastAsia="Times New Roman"/>
                <w:kern w:val="0"/>
                <w:sz w:val="20"/>
              </w:rPr>
              <w:t>67.0%</w:t>
            </w:r>
          </w:p>
        </w:tc>
        <w:tc>
          <w:tcPr>
            <w:tcW w:w="1122" w:type="dxa"/>
            <w:shd w:val="clear" w:color="auto" w:fill="F2DBDB"/>
          </w:tcPr>
          <w:p w:rsidR="004A147C" w:rsidRPr="007D38C2" w:rsidRDefault="004A147C" w:rsidP="00CE5850">
            <w:pPr>
              <w:jc w:val="right"/>
              <w:rPr>
                <w:rFonts w:eastAsia="Times New Roman"/>
                <w:kern w:val="0"/>
                <w:sz w:val="20"/>
              </w:rPr>
            </w:pPr>
            <w:r w:rsidRPr="007D38C2">
              <w:rPr>
                <w:rFonts w:eastAsia="Times New Roman"/>
                <w:kern w:val="0"/>
                <w:sz w:val="20"/>
              </w:rPr>
              <w:t>6,140</w:t>
            </w:r>
          </w:p>
        </w:tc>
        <w:tc>
          <w:tcPr>
            <w:tcW w:w="992" w:type="dxa"/>
            <w:shd w:val="clear" w:color="auto" w:fill="F2DBDB"/>
          </w:tcPr>
          <w:p w:rsidR="004A147C" w:rsidRPr="007D38C2" w:rsidRDefault="004A147C" w:rsidP="00CE5850">
            <w:pPr>
              <w:jc w:val="right"/>
              <w:rPr>
                <w:rFonts w:eastAsia="Times New Roman"/>
                <w:kern w:val="0"/>
                <w:sz w:val="20"/>
              </w:rPr>
            </w:pPr>
            <w:r w:rsidRPr="007D38C2">
              <w:rPr>
                <w:rFonts w:eastAsia="Times New Roman"/>
                <w:kern w:val="0"/>
                <w:sz w:val="20"/>
              </w:rPr>
              <w:t>90.0%</w:t>
            </w:r>
          </w:p>
        </w:tc>
      </w:tr>
      <w:tr w:rsidR="004A147C" w:rsidRPr="00B53FFB" w:rsidTr="00A0412A">
        <w:trPr>
          <w:trHeight w:val="262"/>
          <w:jc w:val="center"/>
        </w:trPr>
        <w:tc>
          <w:tcPr>
            <w:tcW w:w="1353" w:type="dxa"/>
            <w:shd w:val="clear" w:color="auto" w:fill="F2DBDB"/>
            <w:tcMar>
              <w:top w:w="0" w:type="dxa"/>
              <w:left w:w="30" w:type="dxa"/>
              <w:bottom w:w="0" w:type="dxa"/>
              <w:right w:w="30" w:type="dxa"/>
            </w:tcMar>
            <w:vAlign w:val="bottom"/>
          </w:tcPr>
          <w:p w:rsidR="004A147C" w:rsidRPr="007D38C2" w:rsidRDefault="004A147C" w:rsidP="00CE5850">
            <w:pPr>
              <w:snapToGrid w:val="0"/>
              <w:rPr>
                <w:rFonts w:eastAsia="Times New Roman"/>
                <w:kern w:val="0"/>
                <w:sz w:val="20"/>
              </w:rPr>
            </w:pPr>
            <w:r w:rsidRPr="007D38C2">
              <w:rPr>
                <w:rFonts w:eastAsia="Times New Roman"/>
                <w:kern w:val="0"/>
                <w:sz w:val="20"/>
              </w:rPr>
              <w:t>GSM/TDMA</w:t>
            </w:r>
          </w:p>
        </w:tc>
        <w:tc>
          <w:tcPr>
            <w:tcW w:w="1354" w:type="dxa"/>
            <w:shd w:val="clear" w:color="auto" w:fill="F2DBDB"/>
            <w:tcMar>
              <w:top w:w="0" w:type="dxa"/>
              <w:left w:w="30" w:type="dxa"/>
              <w:bottom w:w="0" w:type="dxa"/>
              <w:right w:w="30" w:type="dxa"/>
            </w:tcMar>
            <w:vAlign w:val="bottom"/>
          </w:tcPr>
          <w:p w:rsidR="004A147C" w:rsidRPr="007D38C2" w:rsidRDefault="004A147C" w:rsidP="00CE5850">
            <w:pPr>
              <w:snapToGrid w:val="0"/>
              <w:ind w:firstLine="200"/>
              <w:jc w:val="right"/>
              <w:rPr>
                <w:rFonts w:eastAsia="Times New Roman"/>
                <w:kern w:val="0"/>
                <w:sz w:val="20"/>
              </w:rPr>
            </w:pPr>
            <w:r w:rsidRPr="007D38C2">
              <w:rPr>
                <w:rFonts w:eastAsia="Times New Roman"/>
                <w:kern w:val="0"/>
                <w:sz w:val="20"/>
              </w:rPr>
              <w:t>310,276</w:t>
            </w:r>
          </w:p>
        </w:tc>
        <w:tc>
          <w:tcPr>
            <w:tcW w:w="818" w:type="dxa"/>
            <w:shd w:val="clear" w:color="auto" w:fill="F2DBDB"/>
            <w:tcMar>
              <w:top w:w="0" w:type="dxa"/>
              <w:left w:w="30" w:type="dxa"/>
              <w:bottom w:w="0" w:type="dxa"/>
              <w:right w:w="30" w:type="dxa"/>
            </w:tcMar>
            <w:vAlign w:val="bottom"/>
          </w:tcPr>
          <w:p w:rsidR="004A147C" w:rsidRPr="007D38C2" w:rsidRDefault="004A147C" w:rsidP="00CE5850">
            <w:pPr>
              <w:snapToGrid w:val="0"/>
              <w:ind w:firstLine="200"/>
              <w:jc w:val="right"/>
              <w:rPr>
                <w:rFonts w:eastAsia="Times New Roman"/>
                <w:kern w:val="0"/>
                <w:sz w:val="20"/>
              </w:rPr>
            </w:pPr>
            <w:r w:rsidRPr="007D38C2">
              <w:rPr>
                <w:rFonts w:eastAsia="Times New Roman"/>
                <w:kern w:val="0"/>
                <w:sz w:val="20"/>
              </w:rPr>
              <w:t>99.3%</w:t>
            </w:r>
          </w:p>
        </w:tc>
        <w:tc>
          <w:tcPr>
            <w:tcW w:w="1332" w:type="dxa"/>
            <w:shd w:val="clear" w:color="auto" w:fill="F2DBDB"/>
            <w:tcMar>
              <w:top w:w="0" w:type="dxa"/>
              <w:left w:w="30" w:type="dxa"/>
              <w:bottom w:w="0" w:type="dxa"/>
              <w:right w:w="30" w:type="dxa"/>
            </w:tcMar>
            <w:vAlign w:val="bottom"/>
          </w:tcPr>
          <w:p w:rsidR="004A147C" w:rsidRPr="007D38C2" w:rsidRDefault="004A147C" w:rsidP="00CE5850">
            <w:pPr>
              <w:snapToGrid w:val="0"/>
              <w:ind w:firstLine="400"/>
              <w:jc w:val="right"/>
              <w:rPr>
                <w:rFonts w:eastAsia="Times New Roman"/>
                <w:kern w:val="0"/>
                <w:sz w:val="20"/>
              </w:rPr>
            </w:pPr>
            <w:r w:rsidRPr="007D38C2">
              <w:rPr>
                <w:rFonts w:eastAsia="Times New Roman"/>
                <w:kern w:val="0"/>
                <w:sz w:val="20"/>
              </w:rPr>
              <w:t>2,419</w:t>
            </w:r>
          </w:p>
        </w:tc>
        <w:tc>
          <w:tcPr>
            <w:tcW w:w="1038" w:type="dxa"/>
            <w:shd w:val="clear" w:color="auto" w:fill="F2DBDB"/>
            <w:tcMar>
              <w:top w:w="0" w:type="dxa"/>
              <w:left w:w="30" w:type="dxa"/>
              <w:bottom w:w="0" w:type="dxa"/>
              <w:right w:w="30" w:type="dxa"/>
            </w:tcMar>
            <w:vAlign w:val="bottom"/>
          </w:tcPr>
          <w:p w:rsidR="004A147C" w:rsidRPr="007D38C2" w:rsidRDefault="004A147C" w:rsidP="00CE5850">
            <w:pPr>
              <w:snapToGrid w:val="0"/>
              <w:ind w:firstLine="400"/>
              <w:jc w:val="right"/>
              <w:rPr>
                <w:rFonts w:eastAsia="Times New Roman"/>
                <w:kern w:val="0"/>
                <w:sz w:val="20"/>
              </w:rPr>
            </w:pPr>
            <w:r w:rsidRPr="007D38C2">
              <w:rPr>
                <w:rFonts w:eastAsia="Times New Roman"/>
                <w:kern w:val="0"/>
                <w:sz w:val="20"/>
              </w:rPr>
              <w:t>65.0%</w:t>
            </w:r>
          </w:p>
        </w:tc>
        <w:tc>
          <w:tcPr>
            <w:tcW w:w="1122" w:type="dxa"/>
            <w:shd w:val="clear" w:color="auto" w:fill="F2DBDB"/>
          </w:tcPr>
          <w:p w:rsidR="004A147C" w:rsidRPr="007D38C2" w:rsidRDefault="004A147C" w:rsidP="00CE5850">
            <w:pPr>
              <w:jc w:val="right"/>
              <w:rPr>
                <w:rFonts w:eastAsia="Times New Roman"/>
                <w:kern w:val="0"/>
                <w:sz w:val="20"/>
              </w:rPr>
            </w:pPr>
            <w:r w:rsidRPr="007D38C2">
              <w:rPr>
                <w:rFonts w:eastAsia="Times New Roman"/>
                <w:kern w:val="0"/>
                <w:sz w:val="20"/>
              </w:rPr>
              <w:t>6,030</w:t>
            </w:r>
          </w:p>
        </w:tc>
        <w:tc>
          <w:tcPr>
            <w:tcW w:w="992" w:type="dxa"/>
            <w:shd w:val="clear" w:color="auto" w:fill="F2DBDB"/>
          </w:tcPr>
          <w:p w:rsidR="004A147C" w:rsidRPr="007D38C2" w:rsidRDefault="004A147C" w:rsidP="00CE5850">
            <w:pPr>
              <w:jc w:val="right"/>
              <w:rPr>
                <w:rFonts w:eastAsia="Times New Roman"/>
                <w:kern w:val="0"/>
                <w:sz w:val="20"/>
              </w:rPr>
            </w:pPr>
            <w:r w:rsidRPr="007D38C2">
              <w:rPr>
                <w:rFonts w:eastAsia="Times New Roman"/>
                <w:kern w:val="0"/>
                <w:sz w:val="20"/>
              </w:rPr>
              <w:t>88.4%</w:t>
            </w:r>
          </w:p>
        </w:tc>
      </w:tr>
      <w:tr w:rsidR="004A147C" w:rsidRPr="00B53FFB" w:rsidTr="00A0412A">
        <w:trPr>
          <w:trHeight w:val="262"/>
          <w:jc w:val="center"/>
        </w:trPr>
        <w:tc>
          <w:tcPr>
            <w:tcW w:w="1353" w:type="dxa"/>
            <w:shd w:val="clear" w:color="auto" w:fill="F2DBDB"/>
            <w:tcMar>
              <w:top w:w="0" w:type="dxa"/>
              <w:left w:w="30" w:type="dxa"/>
              <w:bottom w:w="0" w:type="dxa"/>
              <w:right w:w="30" w:type="dxa"/>
            </w:tcMar>
            <w:vAlign w:val="bottom"/>
          </w:tcPr>
          <w:p w:rsidR="004A147C" w:rsidRPr="007D38C2" w:rsidRDefault="004A147C" w:rsidP="00CE5850">
            <w:pPr>
              <w:snapToGrid w:val="0"/>
              <w:rPr>
                <w:rFonts w:eastAsia="Times New Roman"/>
                <w:kern w:val="0"/>
                <w:sz w:val="20"/>
              </w:rPr>
            </w:pPr>
            <w:r w:rsidRPr="007D38C2">
              <w:rPr>
                <w:rFonts w:eastAsia="Times New Roman"/>
                <w:kern w:val="0"/>
                <w:sz w:val="20"/>
              </w:rPr>
              <w:t>iDEN</w:t>
            </w:r>
          </w:p>
        </w:tc>
        <w:tc>
          <w:tcPr>
            <w:tcW w:w="1354" w:type="dxa"/>
            <w:shd w:val="clear" w:color="auto" w:fill="F2DBDB"/>
            <w:tcMar>
              <w:top w:w="0" w:type="dxa"/>
              <w:left w:w="30" w:type="dxa"/>
              <w:bottom w:w="0" w:type="dxa"/>
              <w:right w:w="30" w:type="dxa"/>
            </w:tcMar>
            <w:vAlign w:val="bottom"/>
          </w:tcPr>
          <w:p w:rsidR="004A147C" w:rsidRPr="007D38C2" w:rsidRDefault="004A147C" w:rsidP="00CE5850">
            <w:pPr>
              <w:snapToGrid w:val="0"/>
              <w:ind w:firstLine="200"/>
              <w:jc w:val="right"/>
              <w:rPr>
                <w:rFonts w:eastAsia="Times New Roman"/>
                <w:kern w:val="0"/>
                <w:sz w:val="20"/>
              </w:rPr>
            </w:pPr>
            <w:r w:rsidRPr="007D38C2">
              <w:rPr>
                <w:rFonts w:eastAsia="Times New Roman"/>
                <w:kern w:val="0"/>
                <w:sz w:val="20"/>
              </w:rPr>
              <w:t>281,138</w:t>
            </w:r>
          </w:p>
        </w:tc>
        <w:tc>
          <w:tcPr>
            <w:tcW w:w="818" w:type="dxa"/>
            <w:shd w:val="clear" w:color="auto" w:fill="F2DBDB"/>
            <w:tcMar>
              <w:top w:w="0" w:type="dxa"/>
              <w:left w:w="30" w:type="dxa"/>
              <w:bottom w:w="0" w:type="dxa"/>
              <w:right w:w="30" w:type="dxa"/>
            </w:tcMar>
            <w:vAlign w:val="bottom"/>
          </w:tcPr>
          <w:p w:rsidR="004A147C" w:rsidRPr="007D38C2" w:rsidRDefault="004A147C" w:rsidP="00CE5850">
            <w:pPr>
              <w:snapToGrid w:val="0"/>
              <w:ind w:firstLine="200"/>
              <w:jc w:val="right"/>
              <w:rPr>
                <w:rFonts w:eastAsia="Times New Roman"/>
                <w:kern w:val="0"/>
                <w:sz w:val="20"/>
              </w:rPr>
            </w:pPr>
            <w:r w:rsidRPr="007D38C2">
              <w:rPr>
                <w:rFonts w:eastAsia="Times New Roman"/>
                <w:kern w:val="0"/>
                <w:sz w:val="20"/>
              </w:rPr>
              <w:t>90.0%</w:t>
            </w:r>
          </w:p>
        </w:tc>
        <w:tc>
          <w:tcPr>
            <w:tcW w:w="1332" w:type="dxa"/>
            <w:shd w:val="clear" w:color="auto" w:fill="F2DBDB"/>
            <w:tcMar>
              <w:top w:w="0" w:type="dxa"/>
              <w:left w:w="30" w:type="dxa"/>
              <w:bottom w:w="0" w:type="dxa"/>
              <w:right w:w="30" w:type="dxa"/>
            </w:tcMar>
            <w:vAlign w:val="bottom"/>
          </w:tcPr>
          <w:p w:rsidR="004A147C" w:rsidRPr="007D38C2" w:rsidRDefault="004A147C" w:rsidP="00CE5850">
            <w:pPr>
              <w:snapToGrid w:val="0"/>
              <w:ind w:firstLine="400"/>
              <w:jc w:val="right"/>
              <w:rPr>
                <w:rFonts w:eastAsia="Times New Roman"/>
                <w:kern w:val="0"/>
                <w:sz w:val="20"/>
              </w:rPr>
            </w:pPr>
            <w:r w:rsidRPr="007D38C2">
              <w:rPr>
                <w:rFonts w:eastAsia="Times New Roman"/>
                <w:kern w:val="0"/>
                <w:sz w:val="20"/>
              </w:rPr>
              <w:t>1,135</w:t>
            </w:r>
          </w:p>
        </w:tc>
        <w:tc>
          <w:tcPr>
            <w:tcW w:w="1038" w:type="dxa"/>
            <w:shd w:val="clear" w:color="auto" w:fill="F2DBDB"/>
            <w:tcMar>
              <w:top w:w="0" w:type="dxa"/>
              <w:left w:w="30" w:type="dxa"/>
              <w:bottom w:w="0" w:type="dxa"/>
              <w:right w:w="30" w:type="dxa"/>
            </w:tcMar>
            <w:vAlign w:val="bottom"/>
          </w:tcPr>
          <w:p w:rsidR="004A147C" w:rsidRPr="007D38C2" w:rsidRDefault="004A147C" w:rsidP="00CE5850">
            <w:pPr>
              <w:snapToGrid w:val="0"/>
              <w:ind w:firstLine="400"/>
              <w:jc w:val="right"/>
              <w:rPr>
                <w:rFonts w:eastAsia="Times New Roman"/>
                <w:kern w:val="0"/>
                <w:sz w:val="20"/>
              </w:rPr>
            </w:pPr>
            <w:r w:rsidRPr="007D38C2">
              <w:rPr>
                <w:rFonts w:eastAsia="Times New Roman"/>
                <w:kern w:val="0"/>
                <w:sz w:val="20"/>
              </w:rPr>
              <w:t>25.1%</w:t>
            </w:r>
          </w:p>
        </w:tc>
        <w:tc>
          <w:tcPr>
            <w:tcW w:w="1122" w:type="dxa"/>
            <w:shd w:val="clear" w:color="auto" w:fill="F2DBDB"/>
          </w:tcPr>
          <w:p w:rsidR="004A147C" w:rsidRPr="007D38C2" w:rsidRDefault="004A147C" w:rsidP="00CE5850">
            <w:pPr>
              <w:jc w:val="right"/>
              <w:rPr>
                <w:rFonts w:eastAsia="Times New Roman"/>
                <w:kern w:val="0"/>
                <w:sz w:val="20"/>
              </w:rPr>
            </w:pPr>
            <w:r w:rsidRPr="007D38C2">
              <w:rPr>
                <w:rFonts w:eastAsia="Times New Roman"/>
                <w:kern w:val="0"/>
                <w:sz w:val="20"/>
              </w:rPr>
              <w:t>3,338</w:t>
            </w:r>
          </w:p>
        </w:tc>
        <w:tc>
          <w:tcPr>
            <w:tcW w:w="992" w:type="dxa"/>
            <w:shd w:val="clear" w:color="auto" w:fill="F2DBDB"/>
          </w:tcPr>
          <w:p w:rsidR="004A147C" w:rsidRPr="007D38C2" w:rsidRDefault="004A147C" w:rsidP="00CE5850">
            <w:pPr>
              <w:jc w:val="right"/>
              <w:rPr>
                <w:rFonts w:eastAsia="Times New Roman"/>
                <w:kern w:val="0"/>
                <w:sz w:val="20"/>
              </w:rPr>
            </w:pPr>
            <w:r w:rsidRPr="007D38C2">
              <w:rPr>
                <w:rFonts w:eastAsia="Times New Roman"/>
                <w:kern w:val="0"/>
                <w:sz w:val="20"/>
              </w:rPr>
              <w:t>48.9%</w:t>
            </w:r>
          </w:p>
        </w:tc>
      </w:tr>
      <w:tr w:rsidR="004A147C" w:rsidRPr="00B53FFB" w:rsidTr="00A0412A">
        <w:trPr>
          <w:trHeight w:val="262"/>
          <w:jc w:val="center"/>
        </w:trPr>
        <w:tc>
          <w:tcPr>
            <w:tcW w:w="1353" w:type="dxa"/>
            <w:shd w:val="clear" w:color="auto" w:fill="F2DBDB"/>
            <w:tcMar>
              <w:top w:w="0" w:type="dxa"/>
              <w:left w:w="30" w:type="dxa"/>
              <w:bottom w:w="0" w:type="dxa"/>
              <w:right w:w="30" w:type="dxa"/>
            </w:tcMar>
            <w:vAlign w:val="bottom"/>
          </w:tcPr>
          <w:p w:rsidR="004A147C" w:rsidRPr="007D38C2" w:rsidRDefault="004A147C" w:rsidP="00CE5850">
            <w:pPr>
              <w:snapToGrid w:val="0"/>
              <w:rPr>
                <w:rFonts w:eastAsia="Times New Roman"/>
                <w:b/>
                <w:bCs/>
                <w:kern w:val="0"/>
                <w:sz w:val="20"/>
              </w:rPr>
            </w:pPr>
            <w:r w:rsidRPr="007D38C2">
              <w:rPr>
                <w:rFonts w:eastAsia="Times New Roman"/>
                <w:b/>
                <w:bCs/>
                <w:kern w:val="0"/>
                <w:sz w:val="20"/>
              </w:rPr>
              <w:t>Total Digital</w:t>
            </w:r>
          </w:p>
        </w:tc>
        <w:tc>
          <w:tcPr>
            <w:tcW w:w="1354" w:type="dxa"/>
            <w:shd w:val="clear" w:color="auto" w:fill="F2DBDB"/>
            <w:tcMar>
              <w:top w:w="0" w:type="dxa"/>
              <w:left w:w="30" w:type="dxa"/>
              <w:bottom w:w="0" w:type="dxa"/>
              <w:right w:w="30" w:type="dxa"/>
            </w:tcMar>
            <w:vAlign w:val="bottom"/>
          </w:tcPr>
          <w:p w:rsidR="004A147C" w:rsidRPr="007D38C2" w:rsidRDefault="004A147C" w:rsidP="00CE5850">
            <w:pPr>
              <w:snapToGrid w:val="0"/>
              <w:ind w:firstLine="200"/>
              <w:jc w:val="right"/>
              <w:rPr>
                <w:rFonts w:eastAsia="Times New Roman"/>
                <w:b/>
                <w:bCs/>
                <w:kern w:val="0"/>
                <w:sz w:val="20"/>
              </w:rPr>
            </w:pPr>
            <w:r w:rsidRPr="007D38C2">
              <w:rPr>
                <w:rFonts w:eastAsia="Times New Roman"/>
                <w:b/>
                <w:bCs/>
                <w:kern w:val="0"/>
                <w:sz w:val="20"/>
              </w:rPr>
              <w:t>311,982</w:t>
            </w:r>
          </w:p>
        </w:tc>
        <w:tc>
          <w:tcPr>
            <w:tcW w:w="818" w:type="dxa"/>
            <w:shd w:val="clear" w:color="auto" w:fill="F2DBDB"/>
            <w:tcMar>
              <w:top w:w="0" w:type="dxa"/>
              <w:left w:w="30" w:type="dxa"/>
              <w:bottom w:w="0" w:type="dxa"/>
              <w:right w:w="30" w:type="dxa"/>
            </w:tcMar>
            <w:vAlign w:val="bottom"/>
          </w:tcPr>
          <w:p w:rsidR="004A147C" w:rsidRPr="007D38C2" w:rsidRDefault="004A147C" w:rsidP="00CE5850">
            <w:pPr>
              <w:snapToGrid w:val="0"/>
              <w:ind w:firstLine="200"/>
              <w:jc w:val="right"/>
              <w:rPr>
                <w:rFonts w:eastAsia="Times New Roman"/>
                <w:b/>
                <w:bCs/>
                <w:kern w:val="0"/>
                <w:sz w:val="20"/>
              </w:rPr>
            </w:pPr>
            <w:r w:rsidRPr="007D38C2">
              <w:rPr>
                <w:rFonts w:eastAsia="Times New Roman"/>
                <w:b/>
                <w:bCs/>
                <w:kern w:val="0"/>
                <w:sz w:val="20"/>
              </w:rPr>
              <w:t>99.8%</w:t>
            </w:r>
          </w:p>
        </w:tc>
        <w:tc>
          <w:tcPr>
            <w:tcW w:w="1332" w:type="dxa"/>
            <w:shd w:val="clear" w:color="auto" w:fill="F2DBDB"/>
            <w:tcMar>
              <w:top w:w="0" w:type="dxa"/>
              <w:left w:w="30" w:type="dxa"/>
              <w:bottom w:w="0" w:type="dxa"/>
              <w:right w:w="30" w:type="dxa"/>
            </w:tcMar>
            <w:vAlign w:val="bottom"/>
          </w:tcPr>
          <w:p w:rsidR="004A147C" w:rsidRPr="007D38C2" w:rsidRDefault="004A147C" w:rsidP="00CE5850">
            <w:pPr>
              <w:snapToGrid w:val="0"/>
              <w:ind w:firstLine="400"/>
              <w:jc w:val="right"/>
              <w:rPr>
                <w:rFonts w:eastAsia="Times New Roman"/>
                <w:b/>
                <w:bCs/>
                <w:kern w:val="0"/>
                <w:sz w:val="20"/>
              </w:rPr>
            </w:pPr>
            <w:r w:rsidRPr="007D38C2">
              <w:rPr>
                <w:rFonts w:eastAsia="Times New Roman"/>
                <w:b/>
                <w:bCs/>
                <w:kern w:val="0"/>
                <w:sz w:val="20"/>
              </w:rPr>
              <w:t>2,895</w:t>
            </w:r>
          </w:p>
        </w:tc>
        <w:tc>
          <w:tcPr>
            <w:tcW w:w="1038" w:type="dxa"/>
            <w:shd w:val="clear" w:color="auto" w:fill="F2DBDB"/>
            <w:tcMar>
              <w:top w:w="0" w:type="dxa"/>
              <w:left w:w="30" w:type="dxa"/>
              <w:bottom w:w="0" w:type="dxa"/>
              <w:right w:w="30" w:type="dxa"/>
            </w:tcMar>
            <w:vAlign w:val="bottom"/>
          </w:tcPr>
          <w:p w:rsidR="004A147C" w:rsidRPr="007D38C2" w:rsidRDefault="004A147C" w:rsidP="00CE5850">
            <w:pPr>
              <w:snapToGrid w:val="0"/>
              <w:ind w:firstLine="400"/>
              <w:jc w:val="right"/>
              <w:rPr>
                <w:rFonts w:eastAsia="Times New Roman"/>
                <w:b/>
                <w:bCs/>
                <w:kern w:val="0"/>
                <w:sz w:val="20"/>
              </w:rPr>
            </w:pPr>
            <w:r w:rsidRPr="007D38C2">
              <w:rPr>
                <w:rFonts w:eastAsia="Times New Roman"/>
                <w:b/>
                <w:bCs/>
                <w:kern w:val="0"/>
                <w:sz w:val="20"/>
              </w:rPr>
              <w:t>73.3%</w:t>
            </w:r>
          </w:p>
        </w:tc>
        <w:tc>
          <w:tcPr>
            <w:tcW w:w="1122" w:type="dxa"/>
            <w:shd w:val="clear" w:color="auto" w:fill="F2DBDB"/>
          </w:tcPr>
          <w:p w:rsidR="004A147C" w:rsidRPr="007D38C2" w:rsidRDefault="004A147C" w:rsidP="00CE5850">
            <w:pPr>
              <w:jc w:val="right"/>
              <w:rPr>
                <w:rFonts w:eastAsia="Times New Roman"/>
                <w:kern w:val="0"/>
                <w:sz w:val="20"/>
              </w:rPr>
            </w:pPr>
            <w:r w:rsidRPr="007D38C2">
              <w:rPr>
                <w:rFonts w:eastAsia="Times New Roman"/>
                <w:kern w:val="0"/>
                <w:sz w:val="20"/>
              </w:rPr>
              <w:t>6,462</w:t>
            </w:r>
          </w:p>
        </w:tc>
        <w:tc>
          <w:tcPr>
            <w:tcW w:w="992" w:type="dxa"/>
            <w:shd w:val="clear" w:color="auto" w:fill="F2DBDB"/>
          </w:tcPr>
          <w:p w:rsidR="004A147C" w:rsidRPr="007D38C2" w:rsidRDefault="004A147C" w:rsidP="00CE5850">
            <w:pPr>
              <w:jc w:val="right"/>
              <w:rPr>
                <w:rFonts w:eastAsia="Times New Roman"/>
                <w:kern w:val="0"/>
                <w:sz w:val="20"/>
              </w:rPr>
            </w:pPr>
            <w:r w:rsidRPr="007D38C2">
              <w:rPr>
                <w:rFonts w:eastAsia="Times New Roman"/>
                <w:kern w:val="0"/>
                <w:sz w:val="20"/>
              </w:rPr>
              <w:t>94.7%</w:t>
            </w:r>
          </w:p>
        </w:tc>
      </w:tr>
    </w:tbl>
    <w:p w:rsidR="004A147C" w:rsidRPr="00CD3105" w:rsidRDefault="004A147C" w:rsidP="00CE5850">
      <w:pPr>
        <w:pStyle w:val="ParaNum"/>
        <w:tabs>
          <w:tab w:val="clear" w:pos="1440"/>
        </w:tabs>
        <w:ind w:firstLine="0"/>
        <w:rPr>
          <w:sz w:val="22"/>
          <w:szCs w:val="22"/>
        </w:rPr>
      </w:pPr>
    </w:p>
    <w:p w:rsidR="004A147C" w:rsidRDefault="004A147C" w:rsidP="00CE5850">
      <w:pPr>
        <w:pStyle w:val="Caption"/>
        <w:widowControl w:val="0"/>
        <w:jc w:val="center"/>
        <w:rPr>
          <w:bCs w:val="0"/>
          <w:sz w:val="22"/>
          <w:szCs w:val="22"/>
        </w:rPr>
      </w:pPr>
      <w:bookmarkStart w:id="2482" w:name="_Ref342922219"/>
      <w:bookmarkStart w:id="2483" w:name="_Ref329787021"/>
      <w:r w:rsidRPr="003E63EC">
        <w:rPr>
          <w:sz w:val="22"/>
          <w:szCs w:val="22"/>
        </w:rPr>
        <w:t xml:space="preserve">Table </w:t>
      </w:r>
      <w:r w:rsidR="0007014B" w:rsidRPr="003E63EC">
        <w:rPr>
          <w:sz w:val="22"/>
          <w:szCs w:val="22"/>
        </w:rPr>
        <w:fldChar w:fldCharType="begin"/>
      </w:r>
      <w:r w:rsidRPr="003E63EC">
        <w:rPr>
          <w:sz w:val="22"/>
          <w:szCs w:val="22"/>
        </w:rPr>
        <w:instrText xml:space="preserve"> SEQ Table \* ARABIC </w:instrText>
      </w:r>
      <w:r w:rsidR="0007014B" w:rsidRPr="003E63EC">
        <w:rPr>
          <w:sz w:val="22"/>
          <w:szCs w:val="22"/>
        </w:rPr>
        <w:fldChar w:fldCharType="separate"/>
      </w:r>
      <w:r w:rsidR="00CA3AC6">
        <w:rPr>
          <w:noProof/>
          <w:sz w:val="22"/>
          <w:szCs w:val="22"/>
        </w:rPr>
        <w:t>30</w:t>
      </w:r>
      <w:r w:rsidR="0007014B" w:rsidRPr="003E63EC">
        <w:rPr>
          <w:sz w:val="22"/>
          <w:szCs w:val="22"/>
        </w:rPr>
        <w:fldChar w:fldCharType="end"/>
      </w:r>
      <w:bookmarkEnd w:id="2482"/>
      <w:r>
        <w:br/>
      </w:r>
      <w:r w:rsidRPr="00DB049C">
        <w:rPr>
          <w:bCs w:val="0"/>
          <w:sz w:val="22"/>
          <w:szCs w:val="22"/>
        </w:rPr>
        <w:t>Estimated Mobile Wireless Coverage by Technology, Oct. 2012</w:t>
      </w:r>
      <w:r w:rsidRPr="00DB049C">
        <w:rPr>
          <w:rStyle w:val="FootnoteReference"/>
          <w:bCs w:val="0"/>
          <w:szCs w:val="22"/>
        </w:rPr>
        <w:footnoteReference w:id="643"/>
      </w:r>
    </w:p>
    <w:tbl>
      <w:tblPr>
        <w:tblW w:w="0" w:type="auto"/>
        <w:jc w:val="center"/>
        <w:tblInd w:w="-471"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left w:w="0" w:type="dxa"/>
          <w:right w:w="0" w:type="dxa"/>
        </w:tblCellMar>
        <w:tblLook w:val="00A0" w:firstRow="1" w:lastRow="0" w:firstColumn="1" w:lastColumn="0" w:noHBand="0" w:noVBand="0"/>
      </w:tblPr>
      <w:tblGrid>
        <w:gridCol w:w="1353"/>
        <w:gridCol w:w="1354"/>
        <w:gridCol w:w="818"/>
        <w:gridCol w:w="1332"/>
        <w:gridCol w:w="1038"/>
        <w:gridCol w:w="1122"/>
        <w:gridCol w:w="992"/>
      </w:tblGrid>
      <w:tr w:rsidR="004A147C" w:rsidRPr="007D38C2" w:rsidTr="00F00DAF">
        <w:trPr>
          <w:trHeight w:val="523"/>
          <w:jc w:val="center"/>
        </w:trPr>
        <w:tc>
          <w:tcPr>
            <w:tcW w:w="1353" w:type="dxa"/>
            <w:shd w:val="clear" w:color="auto" w:fill="F2DBDB"/>
            <w:tcMar>
              <w:top w:w="0" w:type="dxa"/>
              <w:left w:w="30" w:type="dxa"/>
              <w:bottom w:w="0" w:type="dxa"/>
              <w:right w:w="30" w:type="dxa"/>
            </w:tcMar>
          </w:tcPr>
          <w:p w:rsidR="004A147C" w:rsidRPr="007D38C2" w:rsidRDefault="004A147C" w:rsidP="00CE5850">
            <w:pPr>
              <w:snapToGrid w:val="0"/>
              <w:rPr>
                <w:rFonts w:eastAsia="Times New Roman"/>
                <w:b/>
                <w:bCs/>
                <w:iCs/>
                <w:kern w:val="0"/>
                <w:sz w:val="20"/>
              </w:rPr>
            </w:pPr>
            <w:r w:rsidRPr="007D38C2">
              <w:rPr>
                <w:rFonts w:eastAsia="Times New Roman"/>
                <w:b/>
                <w:bCs/>
                <w:iCs/>
                <w:kern w:val="0"/>
                <w:sz w:val="20"/>
              </w:rPr>
              <w:t>Technology</w:t>
            </w:r>
          </w:p>
        </w:tc>
        <w:tc>
          <w:tcPr>
            <w:tcW w:w="1354" w:type="dxa"/>
            <w:shd w:val="clear" w:color="auto" w:fill="F2DBDB"/>
            <w:tcMar>
              <w:top w:w="0" w:type="dxa"/>
              <w:left w:w="30" w:type="dxa"/>
              <w:bottom w:w="0" w:type="dxa"/>
              <w:right w:w="30" w:type="dxa"/>
            </w:tcMar>
          </w:tcPr>
          <w:p w:rsidR="004A147C" w:rsidRPr="007D38C2" w:rsidRDefault="004A147C" w:rsidP="00CE5850">
            <w:pPr>
              <w:snapToGrid w:val="0"/>
              <w:jc w:val="center"/>
              <w:rPr>
                <w:rFonts w:eastAsia="Times New Roman"/>
                <w:b/>
                <w:bCs/>
                <w:iCs/>
                <w:kern w:val="0"/>
                <w:sz w:val="20"/>
              </w:rPr>
            </w:pPr>
            <w:r w:rsidRPr="007D38C2">
              <w:rPr>
                <w:rFonts w:eastAsia="Times New Roman"/>
                <w:b/>
                <w:bCs/>
                <w:iCs/>
                <w:kern w:val="0"/>
                <w:sz w:val="20"/>
              </w:rPr>
              <w:t xml:space="preserve">POPs in Covered </w:t>
            </w:r>
            <w:r w:rsidRPr="007D38C2">
              <w:rPr>
                <w:rFonts w:eastAsia="Times New Roman"/>
                <w:b/>
                <w:bCs/>
                <w:iCs/>
                <w:kern w:val="0"/>
                <w:sz w:val="20"/>
              </w:rPr>
              <w:br/>
              <w:t>Blocks</w:t>
            </w:r>
          </w:p>
          <w:p w:rsidR="004A147C" w:rsidRPr="007D38C2" w:rsidRDefault="004A147C" w:rsidP="00CE5850">
            <w:pPr>
              <w:snapToGrid w:val="0"/>
              <w:jc w:val="center"/>
              <w:rPr>
                <w:rFonts w:eastAsia="Times New Roman"/>
                <w:b/>
                <w:bCs/>
                <w:iCs/>
                <w:kern w:val="0"/>
                <w:sz w:val="20"/>
              </w:rPr>
            </w:pPr>
            <w:r w:rsidRPr="007D38C2">
              <w:rPr>
                <w:rFonts w:eastAsia="Times New Roman"/>
                <w:b/>
                <w:bCs/>
                <w:iCs/>
                <w:kern w:val="0"/>
                <w:sz w:val="20"/>
              </w:rPr>
              <w:t>(Thousands)</w:t>
            </w:r>
          </w:p>
        </w:tc>
        <w:tc>
          <w:tcPr>
            <w:tcW w:w="818" w:type="dxa"/>
            <w:shd w:val="clear" w:color="auto" w:fill="F2DBDB"/>
            <w:tcMar>
              <w:top w:w="0" w:type="dxa"/>
              <w:left w:w="30" w:type="dxa"/>
              <w:bottom w:w="0" w:type="dxa"/>
              <w:right w:w="30" w:type="dxa"/>
            </w:tcMar>
          </w:tcPr>
          <w:p w:rsidR="004A147C" w:rsidRPr="007D38C2" w:rsidRDefault="004A147C" w:rsidP="00CE5850">
            <w:pPr>
              <w:snapToGrid w:val="0"/>
              <w:jc w:val="center"/>
              <w:rPr>
                <w:rFonts w:eastAsia="Times New Roman"/>
                <w:b/>
                <w:bCs/>
                <w:iCs/>
                <w:kern w:val="0"/>
                <w:sz w:val="20"/>
              </w:rPr>
            </w:pPr>
            <w:r w:rsidRPr="007D38C2">
              <w:rPr>
                <w:rFonts w:eastAsia="Times New Roman"/>
                <w:b/>
                <w:bCs/>
                <w:iCs/>
                <w:kern w:val="0"/>
                <w:sz w:val="20"/>
              </w:rPr>
              <w:t>% of Total POPs</w:t>
            </w:r>
          </w:p>
        </w:tc>
        <w:tc>
          <w:tcPr>
            <w:tcW w:w="1332" w:type="dxa"/>
            <w:shd w:val="clear" w:color="auto" w:fill="F2DBDB"/>
            <w:tcMar>
              <w:top w:w="0" w:type="dxa"/>
              <w:left w:w="30" w:type="dxa"/>
              <w:bottom w:w="0" w:type="dxa"/>
              <w:right w:w="30" w:type="dxa"/>
            </w:tcMar>
          </w:tcPr>
          <w:p w:rsidR="004A147C" w:rsidRPr="007D38C2" w:rsidRDefault="004A147C" w:rsidP="00CE5850">
            <w:pPr>
              <w:snapToGrid w:val="0"/>
              <w:jc w:val="center"/>
              <w:rPr>
                <w:rFonts w:eastAsia="Times New Roman"/>
                <w:b/>
                <w:bCs/>
                <w:iCs/>
                <w:kern w:val="0"/>
                <w:sz w:val="20"/>
              </w:rPr>
            </w:pPr>
            <w:r w:rsidRPr="007D38C2">
              <w:rPr>
                <w:rFonts w:eastAsia="Times New Roman"/>
                <w:b/>
                <w:bCs/>
                <w:iCs/>
                <w:kern w:val="0"/>
                <w:sz w:val="20"/>
              </w:rPr>
              <w:t>Square Miles Contained in Those Blocks</w:t>
            </w:r>
          </w:p>
          <w:p w:rsidR="004A147C" w:rsidRPr="007D38C2" w:rsidRDefault="004A147C" w:rsidP="00CE5850">
            <w:pPr>
              <w:snapToGrid w:val="0"/>
              <w:jc w:val="center"/>
              <w:rPr>
                <w:rFonts w:eastAsia="Times New Roman"/>
                <w:b/>
                <w:bCs/>
                <w:iCs/>
                <w:kern w:val="0"/>
                <w:sz w:val="20"/>
              </w:rPr>
            </w:pPr>
            <w:r w:rsidRPr="007D38C2">
              <w:rPr>
                <w:rFonts w:eastAsia="Times New Roman"/>
                <w:b/>
                <w:bCs/>
                <w:iCs/>
                <w:kern w:val="0"/>
                <w:sz w:val="20"/>
              </w:rPr>
              <w:t>(Thousands)</w:t>
            </w:r>
          </w:p>
        </w:tc>
        <w:tc>
          <w:tcPr>
            <w:tcW w:w="1038" w:type="dxa"/>
            <w:shd w:val="clear" w:color="auto" w:fill="F2DBDB"/>
            <w:tcMar>
              <w:top w:w="0" w:type="dxa"/>
              <w:left w:w="30" w:type="dxa"/>
              <w:bottom w:w="0" w:type="dxa"/>
              <w:right w:w="30" w:type="dxa"/>
            </w:tcMar>
          </w:tcPr>
          <w:p w:rsidR="004A147C" w:rsidRPr="007D38C2" w:rsidRDefault="004A147C" w:rsidP="00CE5850">
            <w:pPr>
              <w:snapToGrid w:val="0"/>
              <w:jc w:val="center"/>
              <w:rPr>
                <w:rFonts w:eastAsia="Times New Roman"/>
                <w:b/>
                <w:bCs/>
                <w:iCs/>
                <w:kern w:val="0"/>
                <w:sz w:val="20"/>
              </w:rPr>
            </w:pPr>
            <w:r w:rsidRPr="007D38C2">
              <w:rPr>
                <w:rFonts w:eastAsia="Times New Roman"/>
                <w:b/>
                <w:bCs/>
                <w:iCs/>
                <w:kern w:val="0"/>
                <w:sz w:val="20"/>
              </w:rPr>
              <w:t>% of Total Square Miles</w:t>
            </w:r>
          </w:p>
        </w:tc>
        <w:tc>
          <w:tcPr>
            <w:tcW w:w="1122" w:type="dxa"/>
            <w:shd w:val="clear" w:color="auto" w:fill="F2DBDB"/>
          </w:tcPr>
          <w:p w:rsidR="004A147C" w:rsidRPr="007D38C2" w:rsidRDefault="004A147C" w:rsidP="00CE5850">
            <w:pPr>
              <w:snapToGrid w:val="0"/>
              <w:jc w:val="center"/>
              <w:rPr>
                <w:rFonts w:eastAsia="Times New Roman"/>
                <w:b/>
                <w:bCs/>
                <w:iCs/>
                <w:kern w:val="0"/>
                <w:sz w:val="20"/>
              </w:rPr>
            </w:pPr>
            <w:r w:rsidRPr="007D38C2">
              <w:rPr>
                <w:rFonts w:eastAsia="Times New Roman"/>
                <w:b/>
                <w:bCs/>
                <w:iCs/>
                <w:kern w:val="0"/>
                <w:sz w:val="20"/>
              </w:rPr>
              <w:t>Road Miles Contained in Those Blocks (Thousands)</w:t>
            </w:r>
          </w:p>
        </w:tc>
        <w:tc>
          <w:tcPr>
            <w:tcW w:w="992" w:type="dxa"/>
            <w:shd w:val="clear" w:color="auto" w:fill="F2DBDB"/>
          </w:tcPr>
          <w:p w:rsidR="004A147C" w:rsidRPr="007D38C2" w:rsidRDefault="004A147C" w:rsidP="00CE5850">
            <w:pPr>
              <w:snapToGrid w:val="0"/>
              <w:jc w:val="center"/>
              <w:rPr>
                <w:rFonts w:eastAsia="Times New Roman"/>
                <w:b/>
                <w:bCs/>
                <w:iCs/>
                <w:kern w:val="0"/>
                <w:sz w:val="20"/>
              </w:rPr>
            </w:pPr>
            <w:r w:rsidRPr="007D38C2">
              <w:rPr>
                <w:rFonts w:eastAsia="Times New Roman"/>
                <w:b/>
                <w:bCs/>
                <w:iCs/>
                <w:kern w:val="0"/>
                <w:sz w:val="20"/>
              </w:rPr>
              <w:t>% of Total U.S. Road Miles</w:t>
            </w:r>
          </w:p>
        </w:tc>
      </w:tr>
      <w:tr w:rsidR="004A147C" w:rsidRPr="007D38C2" w:rsidTr="00F00DAF">
        <w:trPr>
          <w:trHeight w:val="262"/>
          <w:jc w:val="center"/>
        </w:trPr>
        <w:tc>
          <w:tcPr>
            <w:tcW w:w="1353" w:type="dxa"/>
            <w:shd w:val="clear" w:color="auto" w:fill="F2DBDB"/>
            <w:tcMar>
              <w:top w:w="0" w:type="dxa"/>
              <w:left w:w="30" w:type="dxa"/>
              <w:bottom w:w="0" w:type="dxa"/>
              <w:right w:w="30" w:type="dxa"/>
            </w:tcMar>
            <w:vAlign w:val="bottom"/>
          </w:tcPr>
          <w:p w:rsidR="004A147C" w:rsidRPr="007D38C2" w:rsidRDefault="004A147C" w:rsidP="00CE5850">
            <w:pPr>
              <w:snapToGrid w:val="0"/>
              <w:rPr>
                <w:rFonts w:eastAsia="Times New Roman"/>
                <w:kern w:val="0"/>
                <w:sz w:val="20"/>
              </w:rPr>
            </w:pPr>
            <w:r w:rsidRPr="007D38C2">
              <w:rPr>
                <w:rFonts w:eastAsia="Times New Roman"/>
                <w:kern w:val="0"/>
                <w:sz w:val="20"/>
              </w:rPr>
              <w:t>CDMA</w:t>
            </w:r>
          </w:p>
        </w:tc>
        <w:tc>
          <w:tcPr>
            <w:tcW w:w="1354" w:type="dxa"/>
            <w:shd w:val="clear" w:color="auto" w:fill="F2DBDB"/>
            <w:tcMar>
              <w:top w:w="0" w:type="dxa"/>
              <w:left w:w="30" w:type="dxa"/>
              <w:bottom w:w="0" w:type="dxa"/>
              <w:right w:w="30" w:type="dxa"/>
            </w:tcMar>
          </w:tcPr>
          <w:p w:rsidR="004A147C" w:rsidRPr="00DB049C" w:rsidRDefault="004A147C" w:rsidP="00CE5850">
            <w:pPr>
              <w:jc w:val="right"/>
              <w:rPr>
                <w:sz w:val="20"/>
              </w:rPr>
            </w:pPr>
            <w:r w:rsidRPr="00DB049C">
              <w:rPr>
                <w:sz w:val="20"/>
              </w:rPr>
              <w:t>310,370</w:t>
            </w:r>
          </w:p>
        </w:tc>
        <w:tc>
          <w:tcPr>
            <w:tcW w:w="818" w:type="dxa"/>
            <w:shd w:val="clear" w:color="auto" w:fill="F2DBDB"/>
            <w:tcMar>
              <w:top w:w="0" w:type="dxa"/>
              <w:left w:w="30" w:type="dxa"/>
              <w:bottom w:w="0" w:type="dxa"/>
              <w:right w:w="30" w:type="dxa"/>
            </w:tcMar>
          </w:tcPr>
          <w:p w:rsidR="004A147C" w:rsidRPr="00DB049C" w:rsidRDefault="004A147C" w:rsidP="00CE5850">
            <w:pPr>
              <w:jc w:val="right"/>
              <w:rPr>
                <w:sz w:val="20"/>
              </w:rPr>
            </w:pPr>
            <w:r w:rsidRPr="00DB049C">
              <w:rPr>
                <w:sz w:val="20"/>
              </w:rPr>
              <w:t>99.3%</w:t>
            </w:r>
          </w:p>
        </w:tc>
        <w:tc>
          <w:tcPr>
            <w:tcW w:w="1332" w:type="dxa"/>
            <w:shd w:val="clear" w:color="auto" w:fill="F2DBDB"/>
            <w:tcMar>
              <w:top w:w="0" w:type="dxa"/>
              <w:left w:w="30" w:type="dxa"/>
              <w:bottom w:w="0" w:type="dxa"/>
              <w:right w:w="30" w:type="dxa"/>
            </w:tcMar>
          </w:tcPr>
          <w:p w:rsidR="004A147C" w:rsidRPr="00DB049C" w:rsidRDefault="004A147C" w:rsidP="00CE5850">
            <w:pPr>
              <w:jc w:val="right"/>
              <w:rPr>
                <w:sz w:val="20"/>
              </w:rPr>
            </w:pPr>
            <w:r w:rsidRPr="00DB049C">
              <w:rPr>
                <w:sz w:val="20"/>
              </w:rPr>
              <w:t>2,547</w:t>
            </w:r>
          </w:p>
        </w:tc>
        <w:tc>
          <w:tcPr>
            <w:tcW w:w="1038" w:type="dxa"/>
            <w:shd w:val="clear" w:color="auto" w:fill="F2DBDB"/>
            <w:tcMar>
              <w:top w:w="0" w:type="dxa"/>
              <w:left w:w="30" w:type="dxa"/>
              <w:bottom w:w="0" w:type="dxa"/>
              <w:right w:w="30" w:type="dxa"/>
            </w:tcMar>
          </w:tcPr>
          <w:p w:rsidR="004A147C" w:rsidRPr="00DB049C" w:rsidRDefault="004A147C" w:rsidP="00CE5850">
            <w:pPr>
              <w:jc w:val="right"/>
              <w:rPr>
                <w:sz w:val="20"/>
              </w:rPr>
            </w:pPr>
            <w:r w:rsidRPr="00DB049C">
              <w:rPr>
                <w:sz w:val="20"/>
              </w:rPr>
              <w:t>67.0%</w:t>
            </w:r>
          </w:p>
        </w:tc>
        <w:tc>
          <w:tcPr>
            <w:tcW w:w="1122" w:type="dxa"/>
            <w:shd w:val="clear" w:color="auto" w:fill="F2DBDB"/>
          </w:tcPr>
          <w:p w:rsidR="004A147C" w:rsidRPr="00DB049C" w:rsidRDefault="004A147C" w:rsidP="00CE5850">
            <w:pPr>
              <w:jc w:val="right"/>
              <w:rPr>
                <w:sz w:val="20"/>
              </w:rPr>
            </w:pPr>
            <w:r w:rsidRPr="00DB049C">
              <w:rPr>
                <w:sz w:val="20"/>
              </w:rPr>
              <w:t>6,147</w:t>
            </w:r>
          </w:p>
        </w:tc>
        <w:tc>
          <w:tcPr>
            <w:tcW w:w="992" w:type="dxa"/>
            <w:shd w:val="clear" w:color="auto" w:fill="F2DBDB"/>
          </w:tcPr>
          <w:p w:rsidR="004A147C" w:rsidRPr="00DB049C" w:rsidRDefault="004A147C" w:rsidP="00CE5850">
            <w:pPr>
              <w:jc w:val="right"/>
              <w:rPr>
                <w:sz w:val="20"/>
              </w:rPr>
            </w:pPr>
            <w:r w:rsidRPr="00DB049C">
              <w:rPr>
                <w:sz w:val="20"/>
              </w:rPr>
              <w:t>90.1%</w:t>
            </w:r>
          </w:p>
        </w:tc>
      </w:tr>
      <w:tr w:rsidR="004A147C" w:rsidRPr="007D38C2" w:rsidTr="00F00DAF">
        <w:trPr>
          <w:trHeight w:val="262"/>
          <w:jc w:val="center"/>
        </w:trPr>
        <w:tc>
          <w:tcPr>
            <w:tcW w:w="1353" w:type="dxa"/>
            <w:shd w:val="clear" w:color="auto" w:fill="F2DBDB"/>
            <w:tcMar>
              <w:top w:w="0" w:type="dxa"/>
              <w:left w:w="30" w:type="dxa"/>
              <w:bottom w:w="0" w:type="dxa"/>
              <w:right w:w="30" w:type="dxa"/>
            </w:tcMar>
            <w:vAlign w:val="bottom"/>
          </w:tcPr>
          <w:p w:rsidR="004A147C" w:rsidRPr="007D38C2" w:rsidRDefault="004A147C" w:rsidP="00CE5850">
            <w:pPr>
              <w:snapToGrid w:val="0"/>
              <w:rPr>
                <w:rFonts w:eastAsia="Times New Roman"/>
                <w:kern w:val="0"/>
                <w:sz w:val="20"/>
              </w:rPr>
            </w:pPr>
            <w:r w:rsidRPr="007D38C2">
              <w:rPr>
                <w:rFonts w:eastAsia="Times New Roman"/>
                <w:kern w:val="0"/>
                <w:sz w:val="20"/>
              </w:rPr>
              <w:t>GSM/TDMA</w:t>
            </w:r>
          </w:p>
        </w:tc>
        <w:tc>
          <w:tcPr>
            <w:tcW w:w="1354" w:type="dxa"/>
            <w:shd w:val="clear" w:color="auto" w:fill="F2DBDB"/>
            <w:tcMar>
              <w:top w:w="0" w:type="dxa"/>
              <w:left w:w="30" w:type="dxa"/>
              <w:bottom w:w="0" w:type="dxa"/>
              <w:right w:w="30" w:type="dxa"/>
            </w:tcMar>
          </w:tcPr>
          <w:p w:rsidR="004A147C" w:rsidRPr="00DB049C" w:rsidRDefault="004A147C" w:rsidP="00CE5850">
            <w:pPr>
              <w:jc w:val="right"/>
              <w:rPr>
                <w:sz w:val="20"/>
              </w:rPr>
            </w:pPr>
            <w:r w:rsidRPr="00DB049C">
              <w:rPr>
                <w:sz w:val="20"/>
              </w:rPr>
              <w:t>310,315</w:t>
            </w:r>
          </w:p>
        </w:tc>
        <w:tc>
          <w:tcPr>
            <w:tcW w:w="818" w:type="dxa"/>
            <w:shd w:val="clear" w:color="auto" w:fill="F2DBDB"/>
            <w:tcMar>
              <w:top w:w="0" w:type="dxa"/>
              <w:left w:w="30" w:type="dxa"/>
              <w:bottom w:w="0" w:type="dxa"/>
              <w:right w:w="30" w:type="dxa"/>
            </w:tcMar>
          </w:tcPr>
          <w:p w:rsidR="004A147C" w:rsidRPr="00DB049C" w:rsidRDefault="004A147C" w:rsidP="00CE5850">
            <w:pPr>
              <w:jc w:val="right"/>
              <w:rPr>
                <w:sz w:val="20"/>
              </w:rPr>
            </w:pPr>
            <w:r w:rsidRPr="00DB049C">
              <w:rPr>
                <w:sz w:val="20"/>
              </w:rPr>
              <w:t>99.3%</w:t>
            </w:r>
          </w:p>
        </w:tc>
        <w:tc>
          <w:tcPr>
            <w:tcW w:w="1332" w:type="dxa"/>
            <w:shd w:val="clear" w:color="auto" w:fill="F2DBDB"/>
            <w:tcMar>
              <w:top w:w="0" w:type="dxa"/>
              <w:left w:w="30" w:type="dxa"/>
              <w:bottom w:w="0" w:type="dxa"/>
              <w:right w:w="30" w:type="dxa"/>
            </w:tcMar>
          </w:tcPr>
          <w:p w:rsidR="004A147C" w:rsidRPr="00DB049C" w:rsidRDefault="004A147C" w:rsidP="00CE5850">
            <w:pPr>
              <w:jc w:val="right"/>
              <w:rPr>
                <w:sz w:val="20"/>
              </w:rPr>
            </w:pPr>
            <w:r w:rsidRPr="00DB049C">
              <w:rPr>
                <w:sz w:val="20"/>
              </w:rPr>
              <w:t>2,495</w:t>
            </w:r>
          </w:p>
        </w:tc>
        <w:tc>
          <w:tcPr>
            <w:tcW w:w="1038" w:type="dxa"/>
            <w:shd w:val="clear" w:color="auto" w:fill="F2DBDB"/>
            <w:tcMar>
              <w:top w:w="0" w:type="dxa"/>
              <w:left w:w="30" w:type="dxa"/>
              <w:bottom w:w="0" w:type="dxa"/>
              <w:right w:w="30" w:type="dxa"/>
            </w:tcMar>
          </w:tcPr>
          <w:p w:rsidR="004A147C" w:rsidRPr="00DB049C" w:rsidRDefault="004A147C" w:rsidP="00CE5850">
            <w:pPr>
              <w:jc w:val="right"/>
              <w:rPr>
                <w:sz w:val="20"/>
              </w:rPr>
            </w:pPr>
            <w:r w:rsidRPr="00DB049C">
              <w:rPr>
                <w:sz w:val="20"/>
              </w:rPr>
              <w:t>65.6%</w:t>
            </w:r>
          </w:p>
        </w:tc>
        <w:tc>
          <w:tcPr>
            <w:tcW w:w="1122" w:type="dxa"/>
            <w:shd w:val="clear" w:color="auto" w:fill="F2DBDB"/>
          </w:tcPr>
          <w:p w:rsidR="004A147C" w:rsidRPr="00DB049C" w:rsidRDefault="004A147C" w:rsidP="00CE5850">
            <w:pPr>
              <w:jc w:val="right"/>
              <w:rPr>
                <w:sz w:val="20"/>
              </w:rPr>
            </w:pPr>
            <w:r w:rsidRPr="00DB049C">
              <w:rPr>
                <w:sz w:val="20"/>
              </w:rPr>
              <w:t>6,059</w:t>
            </w:r>
          </w:p>
        </w:tc>
        <w:tc>
          <w:tcPr>
            <w:tcW w:w="992" w:type="dxa"/>
            <w:shd w:val="clear" w:color="auto" w:fill="F2DBDB"/>
          </w:tcPr>
          <w:p w:rsidR="004A147C" w:rsidRPr="00DB049C" w:rsidRDefault="004A147C" w:rsidP="00CE5850">
            <w:pPr>
              <w:jc w:val="right"/>
              <w:rPr>
                <w:sz w:val="20"/>
              </w:rPr>
            </w:pPr>
            <w:r w:rsidRPr="00DB049C">
              <w:rPr>
                <w:sz w:val="20"/>
              </w:rPr>
              <w:t>88.8%</w:t>
            </w:r>
          </w:p>
        </w:tc>
      </w:tr>
      <w:tr w:rsidR="004A147C" w:rsidRPr="007D38C2" w:rsidTr="00F00DAF">
        <w:trPr>
          <w:trHeight w:val="262"/>
          <w:jc w:val="center"/>
        </w:trPr>
        <w:tc>
          <w:tcPr>
            <w:tcW w:w="1353" w:type="dxa"/>
            <w:shd w:val="clear" w:color="auto" w:fill="F2DBDB"/>
            <w:tcMar>
              <w:top w:w="0" w:type="dxa"/>
              <w:left w:w="30" w:type="dxa"/>
              <w:bottom w:w="0" w:type="dxa"/>
              <w:right w:w="30" w:type="dxa"/>
            </w:tcMar>
            <w:vAlign w:val="bottom"/>
          </w:tcPr>
          <w:p w:rsidR="004A147C" w:rsidRPr="007D38C2" w:rsidRDefault="004A147C" w:rsidP="00CE5850">
            <w:pPr>
              <w:snapToGrid w:val="0"/>
              <w:rPr>
                <w:rFonts w:eastAsia="Times New Roman"/>
                <w:kern w:val="0"/>
                <w:sz w:val="20"/>
              </w:rPr>
            </w:pPr>
            <w:r w:rsidRPr="007D38C2">
              <w:rPr>
                <w:rFonts w:eastAsia="Times New Roman"/>
                <w:kern w:val="0"/>
                <w:sz w:val="20"/>
              </w:rPr>
              <w:t>iDEN</w:t>
            </w:r>
          </w:p>
        </w:tc>
        <w:tc>
          <w:tcPr>
            <w:tcW w:w="1354" w:type="dxa"/>
            <w:shd w:val="clear" w:color="auto" w:fill="F2DBDB"/>
            <w:tcMar>
              <w:top w:w="0" w:type="dxa"/>
              <w:left w:w="30" w:type="dxa"/>
              <w:bottom w:w="0" w:type="dxa"/>
              <w:right w:w="30" w:type="dxa"/>
            </w:tcMar>
          </w:tcPr>
          <w:p w:rsidR="004A147C" w:rsidRPr="00DB049C" w:rsidRDefault="004A147C" w:rsidP="00CE5850">
            <w:pPr>
              <w:jc w:val="right"/>
              <w:rPr>
                <w:sz w:val="20"/>
              </w:rPr>
            </w:pPr>
            <w:r w:rsidRPr="00DB049C">
              <w:rPr>
                <w:sz w:val="20"/>
              </w:rPr>
              <w:t>278,435</w:t>
            </w:r>
          </w:p>
        </w:tc>
        <w:tc>
          <w:tcPr>
            <w:tcW w:w="818" w:type="dxa"/>
            <w:shd w:val="clear" w:color="auto" w:fill="F2DBDB"/>
            <w:tcMar>
              <w:top w:w="0" w:type="dxa"/>
              <w:left w:w="30" w:type="dxa"/>
              <w:bottom w:w="0" w:type="dxa"/>
              <w:right w:w="30" w:type="dxa"/>
            </w:tcMar>
          </w:tcPr>
          <w:p w:rsidR="004A147C" w:rsidRPr="00DB049C" w:rsidRDefault="004A147C" w:rsidP="00CE5850">
            <w:pPr>
              <w:jc w:val="right"/>
              <w:rPr>
                <w:sz w:val="20"/>
              </w:rPr>
            </w:pPr>
            <w:r w:rsidRPr="00DB049C">
              <w:rPr>
                <w:sz w:val="20"/>
              </w:rPr>
              <w:t>89.1%</w:t>
            </w:r>
          </w:p>
        </w:tc>
        <w:tc>
          <w:tcPr>
            <w:tcW w:w="1332" w:type="dxa"/>
            <w:shd w:val="clear" w:color="auto" w:fill="F2DBDB"/>
            <w:tcMar>
              <w:top w:w="0" w:type="dxa"/>
              <w:left w:w="30" w:type="dxa"/>
              <w:bottom w:w="0" w:type="dxa"/>
              <w:right w:w="30" w:type="dxa"/>
            </w:tcMar>
          </w:tcPr>
          <w:p w:rsidR="004A147C" w:rsidRPr="00DB049C" w:rsidRDefault="004A147C" w:rsidP="00CE5850">
            <w:pPr>
              <w:jc w:val="right"/>
              <w:rPr>
                <w:sz w:val="20"/>
              </w:rPr>
            </w:pPr>
            <w:r w:rsidRPr="00DB049C">
              <w:rPr>
                <w:sz w:val="20"/>
              </w:rPr>
              <w:t>895</w:t>
            </w:r>
          </w:p>
        </w:tc>
        <w:tc>
          <w:tcPr>
            <w:tcW w:w="1038" w:type="dxa"/>
            <w:shd w:val="clear" w:color="auto" w:fill="F2DBDB"/>
            <w:tcMar>
              <w:top w:w="0" w:type="dxa"/>
              <w:left w:w="30" w:type="dxa"/>
              <w:bottom w:w="0" w:type="dxa"/>
              <w:right w:w="30" w:type="dxa"/>
            </w:tcMar>
          </w:tcPr>
          <w:p w:rsidR="004A147C" w:rsidRPr="00DB049C" w:rsidRDefault="004A147C" w:rsidP="00CE5850">
            <w:pPr>
              <w:jc w:val="right"/>
              <w:rPr>
                <w:sz w:val="20"/>
              </w:rPr>
            </w:pPr>
            <w:r w:rsidRPr="00DB049C">
              <w:rPr>
                <w:sz w:val="20"/>
              </w:rPr>
              <w:t>23.5%</w:t>
            </w:r>
          </w:p>
        </w:tc>
        <w:tc>
          <w:tcPr>
            <w:tcW w:w="1122" w:type="dxa"/>
            <w:shd w:val="clear" w:color="auto" w:fill="F2DBDB"/>
          </w:tcPr>
          <w:p w:rsidR="004A147C" w:rsidRPr="00DB049C" w:rsidRDefault="004A147C" w:rsidP="00CE5850">
            <w:pPr>
              <w:jc w:val="right"/>
              <w:rPr>
                <w:sz w:val="20"/>
              </w:rPr>
            </w:pPr>
            <w:r w:rsidRPr="00DB049C">
              <w:rPr>
                <w:sz w:val="20"/>
              </w:rPr>
              <w:t>3,200</w:t>
            </w:r>
          </w:p>
        </w:tc>
        <w:tc>
          <w:tcPr>
            <w:tcW w:w="992" w:type="dxa"/>
            <w:shd w:val="clear" w:color="auto" w:fill="F2DBDB"/>
          </w:tcPr>
          <w:p w:rsidR="004A147C" w:rsidRPr="00DB049C" w:rsidRDefault="004A147C" w:rsidP="00CE5850">
            <w:pPr>
              <w:jc w:val="right"/>
              <w:rPr>
                <w:sz w:val="20"/>
              </w:rPr>
            </w:pPr>
            <w:r w:rsidRPr="00DB049C">
              <w:rPr>
                <w:sz w:val="20"/>
              </w:rPr>
              <w:t>46.9%</w:t>
            </w:r>
          </w:p>
        </w:tc>
      </w:tr>
      <w:tr w:rsidR="004A147C" w:rsidRPr="007D38C2" w:rsidTr="00F00DAF">
        <w:trPr>
          <w:trHeight w:val="262"/>
          <w:jc w:val="center"/>
        </w:trPr>
        <w:tc>
          <w:tcPr>
            <w:tcW w:w="1353" w:type="dxa"/>
            <w:shd w:val="clear" w:color="auto" w:fill="F2DBDB"/>
            <w:tcMar>
              <w:top w:w="0" w:type="dxa"/>
              <w:left w:w="30" w:type="dxa"/>
              <w:bottom w:w="0" w:type="dxa"/>
              <w:right w:w="30" w:type="dxa"/>
            </w:tcMar>
            <w:vAlign w:val="bottom"/>
          </w:tcPr>
          <w:p w:rsidR="004A147C" w:rsidRPr="007D38C2" w:rsidRDefault="004A147C" w:rsidP="00CE5850">
            <w:pPr>
              <w:snapToGrid w:val="0"/>
              <w:rPr>
                <w:rFonts w:eastAsia="Times New Roman"/>
                <w:b/>
                <w:bCs/>
                <w:kern w:val="0"/>
                <w:sz w:val="20"/>
              </w:rPr>
            </w:pPr>
            <w:r w:rsidRPr="007D38C2">
              <w:rPr>
                <w:rFonts w:eastAsia="Times New Roman"/>
                <w:b/>
                <w:bCs/>
                <w:kern w:val="0"/>
                <w:sz w:val="20"/>
              </w:rPr>
              <w:t>Total Digital</w:t>
            </w:r>
          </w:p>
        </w:tc>
        <w:tc>
          <w:tcPr>
            <w:tcW w:w="1354" w:type="dxa"/>
            <w:shd w:val="clear" w:color="auto" w:fill="F2DBDB"/>
            <w:tcMar>
              <w:top w:w="0" w:type="dxa"/>
              <w:left w:w="30" w:type="dxa"/>
              <w:bottom w:w="0" w:type="dxa"/>
              <w:right w:w="30" w:type="dxa"/>
            </w:tcMar>
          </w:tcPr>
          <w:p w:rsidR="004A147C" w:rsidRPr="00DB049C" w:rsidRDefault="004A147C" w:rsidP="00CE5850">
            <w:pPr>
              <w:jc w:val="right"/>
              <w:rPr>
                <w:b/>
                <w:sz w:val="20"/>
              </w:rPr>
            </w:pPr>
            <w:r w:rsidRPr="00DB049C">
              <w:rPr>
                <w:b/>
                <w:sz w:val="20"/>
              </w:rPr>
              <w:t>312,004</w:t>
            </w:r>
          </w:p>
        </w:tc>
        <w:tc>
          <w:tcPr>
            <w:tcW w:w="818" w:type="dxa"/>
            <w:shd w:val="clear" w:color="auto" w:fill="F2DBDB"/>
            <w:tcMar>
              <w:top w:w="0" w:type="dxa"/>
              <w:left w:w="30" w:type="dxa"/>
              <w:bottom w:w="0" w:type="dxa"/>
              <w:right w:w="30" w:type="dxa"/>
            </w:tcMar>
          </w:tcPr>
          <w:p w:rsidR="004A147C" w:rsidRPr="00DB049C" w:rsidRDefault="004A147C" w:rsidP="00CE5850">
            <w:pPr>
              <w:jc w:val="right"/>
              <w:rPr>
                <w:b/>
                <w:sz w:val="20"/>
              </w:rPr>
            </w:pPr>
            <w:r w:rsidRPr="00DB049C">
              <w:rPr>
                <w:b/>
                <w:sz w:val="20"/>
              </w:rPr>
              <w:t>99.9%</w:t>
            </w:r>
          </w:p>
        </w:tc>
        <w:tc>
          <w:tcPr>
            <w:tcW w:w="1332" w:type="dxa"/>
            <w:shd w:val="clear" w:color="auto" w:fill="F2DBDB"/>
            <w:tcMar>
              <w:top w:w="0" w:type="dxa"/>
              <w:left w:w="30" w:type="dxa"/>
              <w:bottom w:w="0" w:type="dxa"/>
              <w:right w:w="30" w:type="dxa"/>
            </w:tcMar>
          </w:tcPr>
          <w:p w:rsidR="004A147C" w:rsidRPr="00DB049C" w:rsidRDefault="004A147C" w:rsidP="00CE5850">
            <w:pPr>
              <w:jc w:val="right"/>
              <w:rPr>
                <w:b/>
                <w:sz w:val="20"/>
              </w:rPr>
            </w:pPr>
            <w:r w:rsidRPr="00DB049C">
              <w:rPr>
                <w:b/>
                <w:sz w:val="20"/>
              </w:rPr>
              <w:t>2,791</w:t>
            </w:r>
          </w:p>
        </w:tc>
        <w:tc>
          <w:tcPr>
            <w:tcW w:w="1038" w:type="dxa"/>
            <w:shd w:val="clear" w:color="auto" w:fill="F2DBDB"/>
            <w:tcMar>
              <w:top w:w="0" w:type="dxa"/>
              <w:left w:w="30" w:type="dxa"/>
              <w:bottom w:w="0" w:type="dxa"/>
              <w:right w:w="30" w:type="dxa"/>
            </w:tcMar>
          </w:tcPr>
          <w:p w:rsidR="004A147C" w:rsidRPr="00DB049C" w:rsidRDefault="004A147C" w:rsidP="00CE5850">
            <w:pPr>
              <w:jc w:val="right"/>
              <w:rPr>
                <w:b/>
                <w:sz w:val="20"/>
              </w:rPr>
            </w:pPr>
            <w:r w:rsidRPr="00DB049C">
              <w:rPr>
                <w:b/>
                <w:sz w:val="20"/>
              </w:rPr>
              <w:t>73.4%</w:t>
            </w:r>
          </w:p>
        </w:tc>
        <w:tc>
          <w:tcPr>
            <w:tcW w:w="1122" w:type="dxa"/>
            <w:shd w:val="clear" w:color="auto" w:fill="F2DBDB"/>
          </w:tcPr>
          <w:p w:rsidR="004A147C" w:rsidRPr="00DB049C" w:rsidRDefault="004A147C" w:rsidP="00CE5850">
            <w:pPr>
              <w:jc w:val="right"/>
              <w:rPr>
                <w:sz w:val="20"/>
              </w:rPr>
            </w:pPr>
            <w:r w:rsidRPr="00DB049C">
              <w:rPr>
                <w:sz w:val="20"/>
              </w:rPr>
              <w:t>6,465</w:t>
            </w:r>
          </w:p>
        </w:tc>
        <w:tc>
          <w:tcPr>
            <w:tcW w:w="992" w:type="dxa"/>
            <w:shd w:val="clear" w:color="auto" w:fill="F2DBDB"/>
          </w:tcPr>
          <w:p w:rsidR="004A147C" w:rsidRPr="00DB049C" w:rsidRDefault="004A147C" w:rsidP="00CE5850">
            <w:pPr>
              <w:jc w:val="right"/>
              <w:rPr>
                <w:sz w:val="20"/>
              </w:rPr>
            </w:pPr>
            <w:r w:rsidRPr="00DB049C">
              <w:rPr>
                <w:sz w:val="20"/>
              </w:rPr>
              <w:t>94.8%</w:t>
            </w:r>
          </w:p>
        </w:tc>
      </w:tr>
    </w:tbl>
    <w:p w:rsidR="004A147C" w:rsidRPr="00DB049C" w:rsidRDefault="004A147C" w:rsidP="00CE5850"/>
    <w:p w:rsidR="004A147C" w:rsidRPr="00DB049C" w:rsidRDefault="004A147C" w:rsidP="00CE5850"/>
    <w:bookmarkEnd w:id="2480"/>
    <w:bookmarkEnd w:id="2481"/>
    <w:bookmarkEnd w:id="2483"/>
    <w:p w:rsidR="004A147C" w:rsidRPr="00C918B8" w:rsidRDefault="0007014B" w:rsidP="00CE5850">
      <w:pPr>
        <w:pStyle w:val="ParaNum"/>
        <w:numPr>
          <w:ilvl w:val="0"/>
          <w:numId w:val="28"/>
        </w:numPr>
      </w:pPr>
      <w:r>
        <w:fldChar w:fldCharType="begin"/>
      </w:r>
      <w:r w:rsidR="004A147C">
        <w:instrText xml:space="preserve"> REF _Ref342658657 </w:instrText>
      </w:r>
      <w:r>
        <w:fldChar w:fldCharType="separate"/>
      </w:r>
      <w:r w:rsidR="00CA3AC6" w:rsidRPr="007F6269">
        <w:rPr>
          <w:sz w:val="22"/>
          <w:szCs w:val="22"/>
        </w:rPr>
        <w:t xml:space="preserve">Table </w:t>
      </w:r>
      <w:r w:rsidR="00CA3AC6">
        <w:rPr>
          <w:noProof/>
          <w:sz w:val="22"/>
          <w:szCs w:val="22"/>
        </w:rPr>
        <w:t>31</w:t>
      </w:r>
      <w:r>
        <w:fldChar w:fldCharType="end"/>
      </w:r>
      <w:r w:rsidR="004A147C">
        <w:t xml:space="preserve"> </w:t>
      </w:r>
      <w:r w:rsidR="004A147C" w:rsidRPr="006266CB">
        <w:rPr>
          <w:rFonts w:eastAsia="Times New Roman"/>
          <w:kern w:val="0"/>
          <w:sz w:val="22"/>
          <w:szCs w:val="22"/>
        </w:rPr>
        <w:t xml:space="preserve">below provides estimates of the extent of mobile data and mobile broadband network coverage in the United States based on Mosaik data.  </w:t>
      </w:r>
      <w:r>
        <w:rPr>
          <w:rFonts w:eastAsia="Times New Roman"/>
          <w:kern w:val="0"/>
          <w:sz w:val="22"/>
          <w:szCs w:val="22"/>
        </w:rPr>
        <w:fldChar w:fldCharType="begin"/>
      </w:r>
      <w:r w:rsidR="004A147C">
        <w:rPr>
          <w:rFonts w:eastAsia="Times New Roman"/>
          <w:kern w:val="0"/>
          <w:sz w:val="22"/>
          <w:szCs w:val="22"/>
        </w:rPr>
        <w:instrText xml:space="preserve"> REF _Ref342658657 </w:instrText>
      </w:r>
      <w:r>
        <w:rPr>
          <w:rFonts w:eastAsia="Times New Roman"/>
          <w:kern w:val="0"/>
          <w:sz w:val="22"/>
          <w:szCs w:val="22"/>
        </w:rPr>
        <w:fldChar w:fldCharType="separate"/>
      </w:r>
      <w:r w:rsidR="00CA3AC6" w:rsidRPr="007F6269">
        <w:rPr>
          <w:sz w:val="22"/>
          <w:szCs w:val="22"/>
        </w:rPr>
        <w:t xml:space="preserve">Table </w:t>
      </w:r>
      <w:r w:rsidR="00CA3AC6">
        <w:rPr>
          <w:noProof/>
          <w:sz w:val="22"/>
          <w:szCs w:val="22"/>
        </w:rPr>
        <w:t>31</w:t>
      </w:r>
      <w:r>
        <w:rPr>
          <w:rFonts w:eastAsia="Times New Roman"/>
          <w:kern w:val="0"/>
          <w:sz w:val="22"/>
          <w:szCs w:val="22"/>
        </w:rPr>
        <w:fldChar w:fldCharType="end"/>
      </w:r>
      <w:r w:rsidR="004A147C">
        <w:rPr>
          <w:rFonts w:eastAsia="Times New Roman"/>
          <w:kern w:val="0"/>
          <w:sz w:val="22"/>
          <w:szCs w:val="22"/>
        </w:rPr>
        <w:t xml:space="preserve"> </w:t>
      </w:r>
      <w:r w:rsidR="004A147C" w:rsidRPr="006266CB">
        <w:rPr>
          <w:rFonts w:eastAsia="Times New Roman"/>
          <w:kern w:val="0"/>
          <w:sz w:val="22"/>
          <w:szCs w:val="22"/>
        </w:rPr>
        <w:t xml:space="preserve">shows that 2.5G mobile data networks, which were widely deployed several years ago, covered an estimated 99.8 percent of the total U.S. population as of October 2012.  We estimate that 99.3 percent of the population is covered by the individual CDMA and GSM path technologies – 1xRTT and GPRS/EDGE.  For mobile broadband coverage, </w:t>
      </w:r>
      <w:r>
        <w:rPr>
          <w:rFonts w:eastAsia="Times New Roman"/>
          <w:kern w:val="0"/>
          <w:sz w:val="22"/>
          <w:szCs w:val="22"/>
        </w:rPr>
        <w:fldChar w:fldCharType="begin"/>
      </w:r>
      <w:r w:rsidR="004A147C">
        <w:rPr>
          <w:rFonts w:eastAsia="Times New Roman"/>
          <w:kern w:val="0"/>
          <w:sz w:val="22"/>
          <w:szCs w:val="22"/>
        </w:rPr>
        <w:instrText xml:space="preserve"> REF _Ref342658657 </w:instrText>
      </w:r>
      <w:r>
        <w:rPr>
          <w:rFonts w:eastAsia="Times New Roman"/>
          <w:kern w:val="0"/>
          <w:sz w:val="22"/>
          <w:szCs w:val="22"/>
        </w:rPr>
        <w:fldChar w:fldCharType="separate"/>
      </w:r>
      <w:r w:rsidR="00CA3AC6" w:rsidRPr="007F6269">
        <w:rPr>
          <w:sz w:val="22"/>
          <w:szCs w:val="22"/>
        </w:rPr>
        <w:t xml:space="preserve">Table </w:t>
      </w:r>
      <w:r w:rsidR="00CA3AC6">
        <w:rPr>
          <w:noProof/>
          <w:sz w:val="22"/>
          <w:szCs w:val="22"/>
        </w:rPr>
        <w:t>31</w:t>
      </w:r>
      <w:r>
        <w:rPr>
          <w:rFonts w:eastAsia="Times New Roman"/>
          <w:kern w:val="0"/>
          <w:sz w:val="22"/>
          <w:szCs w:val="22"/>
        </w:rPr>
        <w:fldChar w:fldCharType="end"/>
      </w:r>
      <w:r w:rsidR="004A147C">
        <w:rPr>
          <w:rFonts w:eastAsia="Times New Roman"/>
          <w:kern w:val="0"/>
          <w:sz w:val="22"/>
          <w:szCs w:val="22"/>
        </w:rPr>
        <w:t xml:space="preserve"> </w:t>
      </w:r>
      <w:r w:rsidR="004A147C" w:rsidRPr="006266CB">
        <w:rPr>
          <w:rFonts w:eastAsia="Times New Roman"/>
          <w:kern w:val="0"/>
          <w:sz w:val="22"/>
          <w:szCs w:val="22"/>
        </w:rPr>
        <w:t>shows that an estimated 99.5 percent of the U.S. population (residing in an estimated 67.8% of the U.S. land area) was covered by at least one mobile provider using a 3G or 4G network technology as of October 2012, up from 98.5 percent in August 2010.</w:t>
      </w:r>
      <w:r w:rsidR="004A147C" w:rsidRPr="006266CB">
        <w:rPr>
          <w:rFonts w:eastAsia="Times New Roman"/>
          <w:kern w:val="0"/>
          <w:sz w:val="22"/>
          <w:szCs w:val="22"/>
          <w:vertAlign w:val="superscript"/>
        </w:rPr>
        <w:footnoteReference w:id="644"/>
      </w:r>
      <w:r w:rsidR="004A147C" w:rsidRPr="006266CB">
        <w:rPr>
          <w:rFonts w:eastAsia="Times New Roman"/>
          <w:kern w:val="0"/>
          <w:sz w:val="22"/>
          <w:szCs w:val="22"/>
        </w:rPr>
        <w:t xml:space="preserve">  We also estimate that EV-DO coverage increased from 98.3 percent to 99.2 percent of the U.S. population, while estimated HSPA coverage gr</w:t>
      </w:r>
      <w:r w:rsidR="004A147C">
        <w:rPr>
          <w:rFonts w:eastAsia="Times New Roman"/>
          <w:kern w:val="0"/>
          <w:sz w:val="22"/>
          <w:szCs w:val="22"/>
        </w:rPr>
        <w:t>ew from 79.8 percent to 95.3 per</w:t>
      </w:r>
      <w:r w:rsidR="004A147C" w:rsidRPr="006266CB">
        <w:rPr>
          <w:rFonts w:eastAsia="Times New Roman"/>
          <w:kern w:val="0"/>
          <w:sz w:val="22"/>
          <w:szCs w:val="22"/>
        </w:rPr>
        <w:t>cent of the U.S. population.</w:t>
      </w:r>
      <w:r w:rsidR="004A147C" w:rsidRPr="006266CB">
        <w:rPr>
          <w:rFonts w:eastAsia="Times New Roman"/>
          <w:kern w:val="0"/>
          <w:sz w:val="22"/>
          <w:szCs w:val="22"/>
          <w:vertAlign w:val="superscript"/>
        </w:rPr>
        <w:footnoteReference w:id="645"/>
      </w:r>
      <w:r w:rsidR="004A147C" w:rsidRPr="006266CB">
        <w:rPr>
          <w:rFonts w:eastAsia="Times New Roman"/>
          <w:kern w:val="0"/>
          <w:sz w:val="22"/>
          <w:szCs w:val="22"/>
        </w:rPr>
        <w:t xml:space="preserve">  In addition, we estimate that LTE networks, which had not been deployed in the U.S. as of July/August 2010, covered 267.5 million people, or 85.6 percent of the U.S. population as of October 2012.  Finally, we estimate that mobile WiMAX network coverage increased from 17.7 percent </w:t>
      </w:r>
      <w:r w:rsidR="004A147C" w:rsidRPr="00711CBB">
        <w:rPr>
          <w:sz w:val="22"/>
          <w:szCs w:val="22"/>
        </w:rPr>
        <w:t>to 33.6 percent.</w:t>
      </w:r>
      <w:r w:rsidR="004A147C" w:rsidRPr="00711CBB">
        <w:rPr>
          <w:rStyle w:val="FootnoteReference"/>
          <w:szCs w:val="22"/>
        </w:rPr>
        <w:footnoteReference w:id="646"/>
      </w:r>
      <w:r w:rsidR="004A147C" w:rsidRPr="00C918B8">
        <w:t xml:space="preserve"> </w:t>
      </w:r>
      <w:bookmarkStart w:id="2484" w:name="_Ref256072552"/>
      <w:bookmarkStart w:id="2485" w:name="_Ref256072548"/>
    </w:p>
    <w:p w:rsidR="004A147C" w:rsidRPr="007F6269" w:rsidRDefault="004A147C" w:rsidP="00CE5850">
      <w:pPr>
        <w:pStyle w:val="Caption"/>
        <w:widowControl w:val="0"/>
        <w:jc w:val="center"/>
        <w:rPr>
          <w:sz w:val="22"/>
          <w:szCs w:val="22"/>
        </w:rPr>
      </w:pPr>
      <w:bookmarkStart w:id="2486" w:name="_Ref342658657"/>
      <w:bookmarkStart w:id="2487" w:name="_Ref334621670"/>
      <w:r w:rsidRPr="007F6269">
        <w:rPr>
          <w:sz w:val="22"/>
          <w:szCs w:val="22"/>
        </w:rPr>
        <w:t xml:space="preserve">Table </w:t>
      </w:r>
      <w:r w:rsidR="0007014B" w:rsidRPr="007F6269">
        <w:rPr>
          <w:sz w:val="22"/>
          <w:szCs w:val="22"/>
        </w:rPr>
        <w:fldChar w:fldCharType="begin"/>
      </w:r>
      <w:r w:rsidRPr="007F6269">
        <w:rPr>
          <w:sz w:val="22"/>
          <w:szCs w:val="22"/>
        </w:rPr>
        <w:instrText xml:space="preserve"> SEQ Table \* ARABIC </w:instrText>
      </w:r>
      <w:r w:rsidR="0007014B" w:rsidRPr="007F6269">
        <w:rPr>
          <w:sz w:val="22"/>
          <w:szCs w:val="22"/>
        </w:rPr>
        <w:fldChar w:fldCharType="separate"/>
      </w:r>
      <w:r w:rsidR="00CA3AC6">
        <w:rPr>
          <w:noProof/>
          <w:sz w:val="22"/>
          <w:szCs w:val="22"/>
        </w:rPr>
        <w:t>31</w:t>
      </w:r>
      <w:r w:rsidR="0007014B" w:rsidRPr="007F6269">
        <w:rPr>
          <w:sz w:val="22"/>
          <w:szCs w:val="22"/>
        </w:rPr>
        <w:fldChar w:fldCharType="end"/>
      </w:r>
      <w:bookmarkEnd w:id="2486"/>
      <w:r w:rsidRPr="007F6269">
        <w:rPr>
          <w:bCs w:val="0"/>
          <w:sz w:val="22"/>
          <w:szCs w:val="22"/>
        </w:rPr>
        <w:br/>
        <w:t>Estimated Mobile Wireless Data/Broadband Network Coverage by Census Block, Jan. 2012</w:t>
      </w:r>
      <w:r w:rsidRPr="007F6269">
        <w:rPr>
          <w:rStyle w:val="FootnoteReference"/>
          <w:bCs w:val="0"/>
          <w:szCs w:val="22"/>
        </w:rPr>
        <w:footnoteReference w:id="647"/>
      </w:r>
    </w:p>
    <w:tbl>
      <w:tblPr>
        <w:tblW w:w="0" w:type="auto"/>
        <w:jc w:val="center"/>
        <w:tblCellMar>
          <w:left w:w="0" w:type="dxa"/>
          <w:right w:w="0" w:type="dxa"/>
        </w:tblCellMar>
        <w:tblLook w:val="00A0" w:firstRow="1" w:lastRow="0" w:firstColumn="1" w:lastColumn="0" w:noHBand="0" w:noVBand="0"/>
      </w:tblPr>
      <w:tblGrid>
        <w:gridCol w:w="636"/>
        <w:gridCol w:w="2252"/>
        <w:gridCol w:w="1310"/>
        <w:gridCol w:w="1076"/>
        <w:gridCol w:w="1284"/>
        <w:gridCol w:w="925"/>
        <w:gridCol w:w="1307"/>
        <w:gridCol w:w="688"/>
      </w:tblGrid>
      <w:tr w:rsidR="004A147C" w:rsidRPr="00B53FFB" w:rsidTr="00A0412A">
        <w:trPr>
          <w:trHeight w:val="726"/>
          <w:jc w:val="center"/>
        </w:trPr>
        <w:tc>
          <w:tcPr>
            <w:tcW w:w="0" w:type="auto"/>
            <w:gridSpan w:val="2"/>
            <w:tcBorders>
              <w:top w:val="single" w:sz="8" w:space="0" w:color="auto"/>
              <w:left w:val="single" w:sz="8" w:space="0" w:color="auto"/>
              <w:bottom w:val="single" w:sz="8" w:space="0" w:color="auto"/>
              <w:right w:val="single" w:sz="8" w:space="0" w:color="auto"/>
            </w:tcBorders>
            <w:shd w:val="clear" w:color="auto" w:fill="DAEEF3"/>
            <w:tcMar>
              <w:top w:w="0" w:type="dxa"/>
              <w:left w:w="108" w:type="dxa"/>
              <w:bottom w:w="0" w:type="dxa"/>
              <w:right w:w="108" w:type="dxa"/>
            </w:tcMar>
          </w:tcPr>
          <w:p w:rsidR="004A147C" w:rsidRPr="007D38C2" w:rsidRDefault="004A147C" w:rsidP="00CE5850">
            <w:pPr>
              <w:snapToGrid w:val="0"/>
              <w:jc w:val="center"/>
              <w:rPr>
                <w:b/>
                <w:bCs/>
                <w:iCs/>
                <w:sz w:val="20"/>
              </w:rPr>
            </w:pPr>
            <w:r w:rsidRPr="007D38C2">
              <w:rPr>
                <w:b/>
                <w:bCs/>
                <w:iCs/>
                <w:sz w:val="20"/>
              </w:rPr>
              <w:t>Technology</w:t>
            </w:r>
          </w:p>
        </w:tc>
        <w:tc>
          <w:tcPr>
            <w:tcW w:w="0" w:type="auto"/>
            <w:tcBorders>
              <w:top w:val="single" w:sz="8" w:space="0" w:color="auto"/>
              <w:left w:val="nil"/>
              <w:bottom w:val="single" w:sz="8" w:space="0" w:color="auto"/>
              <w:right w:val="single" w:sz="8" w:space="0" w:color="auto"/>
            </w:tcBorders>
            <w:shd w:val="clear" w:color="auto" w:fill="DAEEF3"/>
            <w:tcMar>
              <w:top w:w="0" w:type="dxa"/>
              <w:left w:w="108" w:type="dxa"/>
              <w:bottom w:w="0" w:type="dxa"/>
              <w:right w:w="108" w:type="dxa"/>
            </w:tcMar>
          </w:tcPr>
          <w:p w:rsidR="004A147C" w:rsidRPr="007D38C2" w:rsidRDefault="004A147C" w:rsidP="00CE5850">
            <w:pPr>
              <w:snapToGrid w:val="0"/>
              <w:jc w:val="center"/>
              <w:rPr>
                <w:b/>
                <w:bCs/>
                <w:iCs/>
                <w:sz w:val="20"/>
              </w:rPr>
            </w:pPr>
            <w:r w:rsidRPr="007D38C2">
              <w:rPr>
                <w:b/>
                <w:bCs/>
                <w:iCs/>
                <w:sz w:val="20"/>
              </w:rPr>
              <w:t xml:space="preserve">POPs in Covered </w:t>
            </w:r>
          </w:p>
          <w:p w:rsidR="004A147C" w:rsidRPr="007D38C2" w:rsidRDefault="004A147C" w:rsidP="00CE5850">
            <w:pPr>
              <w:snapToGrid w:val="0"/>
              <w:jc w:val="center"/>
              <w:rPr>
                <w:b/>
                <w:bCs/>
                <w:iCs/>
                <w:sz w:val="20"/>
              </w:rPr>
            </w:pPr>
            <w:r w:rsidRPr="007D38C2">
              <w:rPr>
                <w:b/>
                <w:bCs/>
                <w:iCs/>
                <w:sz w:val="20"/>
              </w:rPr>
              <w:t>Blocks</w:t>
            </w:r>
          </w:p>
          <w:p w:rsidR="004A147C" w:rsidRPr="007D38C2" w:rsidRDefault="004A147C" w:rsidP="00CE5850">
            <w:pPr>
              <w:snapToGrid w:val="0"/>
              <w:jc w:val="center"/>
              <w:rPr>
                <w:b/>
                <w:bCs/>
                <w:iCs/>
                <w:sz w:val="20"/>
              </w:rPr>
            </w:pPr>
            <w:r w:rsidRPr="007D38C2">
              <w:rPr>
                <w:b/>
                <w:bCs/>
                <w:iCs/>
                <w:sz w:val="20"/>
              </w:rPr>
              <w:t>(Thousands)</w:t>
            </w:r>
          </w:p>
        </w:tc>
        <w:tc>
          <w:tcPr>
            <w:tcW w:w="1076" w:type="dxa"/>
            <w:tcBorders>
              <w:top w:val="single" w:sz="8" w:space="0" w:color="auto"/>
              <w:left w:val="nil"/>
              <w:bottom w:val="single" w:sz="8" w:space="0" w:color="auto"/>
              <w:right w:val="single" w:sz="8" w:space="0" w:color="auto"/>
            </w:tcBorders>
            <w:shd w:val="clear" w:color="auto" w:fill="DAEEF3"/>
            <w:tcMar>
              <w:top w:w="0" w:type="dxa"/>
              <w:left w:w="108" w:type="dxa"/>
              <w:bottom w:w="0" w:type="dxa"/>
              <w:right w:w="108" w:type="dxa"/>
            </w:tcMar>
          </w:tcPr>
          <w:p w:rsidR="004A147C" w:rsidRPr="007D38C2" w:rsidRDefault="004A147C" w:rsidP="00CE5850">
            <w:pPr>
              <w:snapToGrid w:val="0"/>
              <w:jc w:val="center"/>
              <w:rPr>
                <w:b/>
                <w:bCs/>
                <w:iCs/>
                <w:sz w:val="20"/>
              </w:rPr>
            </w:pPr>
            <w:r w:rsidRPr="007D38C2">
              <w:rPr>
                <w:b/>
                <w:bCs/>
                <w:iCs/>
                <w:sz w:val="20"/>
              </w:rPr>
              <w:t>% of Total POPs</w:t>
            </w:r>
          </w:p>
        </w:tc>
        <w:tc>
          <w:tcPr>
            <w:tcW w:w="1219" w:type="dxa"/>
            <w:tcBorders>
              <w:top w:val="single" w:sz="8" w:space="0" w:color="auto"/>
              <w:left w:val="nil"/>
              <w:bottom w:val="single" w:sz="8" w:space="0" w:color="auto"/>
              <w:right w:val="single" w:sz="8" w:space="0" w:color="auto"/>
            </w:tcBorders>
            <w:shd w:val="clear" w:color="auto" w:fill="DAEEF3"/>
            <w:tcMar>
              <w:top w:w="0" w:type="dxa"/>
              <w:left w:w="108" w:type="dxa"/>
              <w:bottom w:w="0" w:type="dxa"/>
              <w:right w:w="108" w:type="dxa"/>
            </w:tcMar>
          </w:tcPr>
          <w:p w:rsidR="004A147C" w:rsidRPr="007D38C2" w:rsidRDefault="004A147C" w:rsidP="00CE5850">
            <w:pPr>
              <w:snapToGrid w:val="0"/>
              <w:jc w:val="center"/>
              <w:rPr>
                <w:b/>
                <w:bCs/>
                <w:iCs/>
                <w:sz w:val="20"/>
              </w:rPr>
            </w:pPr>
            <w:r w:rsidRPr="007D38C2">
              <w:rPr>
                <w:b/>
                <w:bCs/>
                <w:iCs/>
                <w:sz w:val="20"/>
              </w:rPr>
              <w:t>Square Miles Contained in Those Blocks</w:t>
            </w:r>
          </w:p>
          <w:p w:rsidR="004A147C" w:rsidRPr="007D38C2" w:rsidRDefault="004A147C" w:rsidP="00CE5850">
            <w:pPr>
              <w:snapToGrid w:val="0"/>
              <w:jc w:val="center"/>
              <w:rPr>
                <w:b/>
                <w:bCs/>
                <w:iCs/>
                <w:sz w:val="20"/>
              </w:rPr>
            </w:pPr>
            <w:r w:rsidRPr="007D38C2">
              <w:rPr>
                <w:b/>
                <w:bCs/>
                <w:iCs/>
                <w:sz w:val="20"/>
              </w:rPr>
              <w:t>(Thousands)</w:t>
            </w:r>
          </w:p>
        </w:tc>
        <w:tc>
          <w:tcPr>
            <w:tcW w:w="0" w:type="auto"/>
            <w:tcBorders>
              <w:top w:val="single" w:sz="8" w:space="0" w:color="auto"/>
              <w:left w:val="nil"/>
              <w:bottom w:val="single" w:sz="8" w:space="0" w:color="auto"/>
              <w:right w:val="single" w:sz="8" w:space="0" w:color="auto"/>
            </w:tcBorders>
            <w:shd w:val="clear" w:color="auto" w:fill="DAEEF3"/>
            <w:tcMar>
              <w:top w:w="0" w:type="dxa"/>
              <w:left w:w="108" w:type="dxa"/>
              <w:bottom w:w="0" w:type="dxa"/>
              <w:right w:w="108" w:type="dxa"/>
            </w:tcMar>
          </w:tcPr>
          <w:p w:rsidR="004A147C" w:rsidRPr="007D38C2" w:rsidRDefault="004A147C" w:rsidP="00CE5850">
            <w:pPr>
              <w:snapToGrid w:val="0"/>
              <w:jc w:val="center"/>
              <w:rPr>
                <w:b/>
                <w:bCs/>
                <w:iCs/>
                <w:sz w:val="20"/>
              </w:rPr>
            </w:pPr>
            <w:r w:rsidRPr="007D38C2">
              <w:rPr>
                <w:b/>
                <w:bCs/>
                <w:iCs/>
                <w:sz w:val="20"/>
              </w:rPr>
              <w:t>% of Total Square Miles</w:t>
            </w:r>
          </w:p>
        </w:tc>
        <w:tc>
          <w:tcPr>
            <w:tcW w:w="0" w:type="auto"/>
            <w:tcBorders>
              <w:top w:val="single" w:sz="8" w:space="0" w:color="auto"/>
              <w:left w:val="nil"/>
              <w:bottom w:val="single" w:sz="8" w:space="0" w:color="auto"/>
              <w:right w:val="single" w:sz="8" w:space="0" w:color="auto"/>
            </w:tcBorders>
            <w:shd w:val="clear" w:color="auto" w:fill="DAEEF3"/>
          </w:tcPr>
          <w:p w:rsidR="004A147C" w:rsidRPr="007D38C2" w:rsidRDefault="004A147C" w:rsidP="00CE5850">
            <w:pPr>
              <w:snapToGrid w:val="0"/>
              <w:jc w:val="center"/>
              <w:rPr>
                <w:b/>
                <w:bCs/>
                <w:iCs/>
                <w:sz w:val="20"/>
              </w:rPr>
            </w:pPr>
            <w:r w:rsidRPr="007D38C2">
              <w:rPr>
                <w:b/>
                <w:bCs/>
                <w:iCs/>
                <w:sz w:val="20"/>
              </w:rPr>
              <w:t>Road Miles Contained in Those Blocks (Thousands)</w:t>
            </w:r>
          </w:p>
        </w:tc>
        <w:tc>
          <w:tcPr>
            <w:tcW w:w="0" w:type="auto"/>
            <w:tcBorders>
              <w:top w:val="single" w:sz="8" w:space="0" w:color="auto"/>
              <w:left w:val="nil"/>
              <w:bottom w:val="single" w:sz="8" w:space="0" w:color="auto"/>
              <w:right w:val="single" w:sz="8" w:space="0" w:color="auto"/>
            </w:tcBorders>
            <w:shd w:val="clear" w:color="auto" w:fill="DAEEF3"/>
          </w:tcPr>
          <w:p w:rsidR="004A147C" w:rsidRPr="007D38C2" w:rsidRDefault="004A147C" w:rsidP="00CE5850">
            <w:pPr>
              <w:snapToGrid w:val="0"/>
              <w:jc w:val="center"/>
              <w:rPr>
                <w:b/>
                <w:bCs/>
                <w:iCs/>
                <w:sz w:val="20"/>
              </w:rPr>
            </w:pPr>
            <w:r w:rsidRPr="007D38C2">
              <w:rPr>
                <w:b/>
                <w:bCs/>
                <w:iCs/>
                <w:sz w:val="20"/>
              </w:rPr>
              <w:t>% of Total U.S. Road Miles</w:t>
            </w:r>
          </w:p>
        </w:tc>
      </w:tr>
      <w:tr w:rsidR="004A147C" w:rsidRPr="00B53FFB" w:rsidTr="00A0412A">
        <w:trPr>
          <w:trHeight w:val="272"/>
          <w:jc w:val="center"/>
        </w:trPr>
        <w:tc>
          <w:tcPr>
            <w:tcW w:w="0" w:type="auto"/>
            <w:vMerge w:val="restart"/>
            <w:tcBorders>
              <w:top w:val="nil"/>
              <w:left w:val="single" w:sz="8" w:space="0" w:color="auto"/>
              <w:bottom w:val="double" w:sz="4" w:space="0" w:color="auto"/>
              <w:right w:val="single" w:sz="8" w:space="0" w:color="auto"/>
            </w:tcBorders>
            <w:shd w:val="clear" w:color="auto" w:fill="DAEEF3"/>
            <w:tcMar>
              <w:top w:w="0" w:type="dxa"/>
              <w:left w:w="108" w:type="dxa"/>
              <w:bottom w:w="0" w:type="dxa"/>
              <w:right w:w="108" w:type="dxa"/>
            </w:tcMar>
          </w:tcPr>
          <w:p w:rsidR="004A147C" w:rsidRPr="007D38C2" w:rsidRDefault="004A147C" w:rsidP="00CE5850">
            <w:pPr>
              <w:snapToGrid w:val="0"/>
              <w:rPr>
                <w:b/>
                <w:bCs/>
                <w:sz w:val="20"/>
                <w:lang w:val="pt-BR"/>
              </w:rPr>
            </w:pPr>
            <w:r w:rsidRPr="007D38C2">
              <w:rPr>
                <w:b/>
                <w:bCs/>
                <w:sz w:val="20"/>
                <w:lang w:val="pt-BR"/>
              </w:rPr>
              <w:t>2.5G</w:t>
            </w:r>
          </w:p>
        </w:tc>
        <w:tc>
          <w:tcPr>
            <w:tcW w:w="0" w:type="auto"/>
            <w:tcBorders>
              <w:top w:val="nil"/>
              <w:left w:val="nil"/>
              <w:bottom w:val="single" w:sz="8" w:space="0" w:color="auto"/>
              <w:right w:val="single" w:sz="8" w:space="0" w:color="auto"/>
            </w:tcBorders>
            <w:shd w:val="clear" w:color="auto" w:fill="DAEEF3"/>
            <w:noWrap/>
            <w:tcMar>
              <w:top w:w="0" w:type="dxa"/>
              <w:left w:w="108" w:type="dxa"/>
              <w:bottom w:w="0" w:type="dxa"/>
              <w:right w:w="108" w:type="dxa"/>
            </w:tcMar>
            <w:vAlign w:val="bottom"/>
          </w:tcPr>
          <w:p w:rsidR="004A147C" w:rsidRPr="007D38C2" w:rsidRDefault="004A147C" w:rsidP="00CE5850">
            <w:pPr>
              <w:snapToGrid w:val="0"/>
              <w:rPr>
                <w:sz w:val="20"/>
                <w:lang w:val="pt-BR"/>
              </w:rPr>
            </w:pPr>
            <w:r w:rsidRPr="007D38C2">
              <w:rPr>
                <w:sz w:val="20"/>
                <w:lang w:val="pt-BR"/>
              </w:rPr>
              <w:t>CDMA 1xRTT</w:t>
            </w:r>
          </w:p>
        </w:tc>
        <w:tc>
          <w:tcPr>
            <w:tcW w:w="0" w:type="auto"/>
            <w:tcBorders>
              <w:top w:val="nil"/>
              <w:left w:val="nil"/>
              <w:bottom w:val="single" w:sz="8" w:space="0" w:color="auto"/>
              <w:right w:val="single" w:sz="8" w:space="0" w:color="auto"/>
            </w:tcBorders>
            <w:shd w:val="clear" w:color="auto" w:fill="DAEEF3"/>
            <w:noWrap/>
            <w:tcMar>
              <w:top w:w="0" w:type="dxa"/>
              <w:left w:w="108" w:type="dxa"/>
              <w:bottom w:w="0" w:type="dxa"/>
              <w:right w:w="108" w:type="dxa"/>
            </w:tcMar>
            <w:vAlign w:val="bottom"/>
          </w:tcPr>
          <w:p w:rsidR="004A147C" w:rsidRPr="007D38C2" w:rsidRDefault="004A147C" w:rsidP="00CE5850">
            <w:pPr>
              <w:snapToGrid w:val="0"/>
              <w:jc w:val="right"/>
              <w:rPr>
                <w:sz w:val="20"/>
              </w:rPr>
            </w:pPr>
            <w:r w:rsidRPr="007D38C2">
              <w:rPr>
                <w:sz w:val="20"/>
              </w:rPr>
              <w:t>310,226</w:t>
            </w:r>
          </w:p>
        </w:tc>
        <w:tc>
          <w:tcPr>
            <w:tcW w:w="1076" w:type="dxa"/>
            <w:tcBorders>
              <w:top w:val="nil"/>
              <w:left w:val="nil"/>
              <w:bottom w:val="single" w:sz="8" w:space="0" w:color="auto"/>
              <w:right w:val="single" w:sz="8" w:space="0" w:color="auto"/>
            </w:tcBorders>
            <w:shd w:val="clear" w:color="auto" w:fill="DAEEF3"/>
            <w:noWrap/>
            <w:tcMar>
              <w:top w:w="0" w:type="dxa"/>
              <w:left w:w="108" w:type="dxa"/>
              <w:bottom w:w="0" w:type="dxa"/>
              <w:right w:w="108" w:type="dxa"/>
            </w:tcMar>
          </w:tcPr>
          <w:p w:rsidR="004A147C" w:rsidRPr="007D38C2" w:rsidRDefault="004A147C" w:rsidP="00CE5850">
            <w:pPr>
              <w:snapToGrid w:val="0"/>
              <w:jc w:val="center"/>
              <w:rPr>
                <w:sz w:val="20"/>
              </w:rPr>
            </w:pPr>
            <w:r w:rsidRPr="007D38C2">
              <w:rPr>
                <w:sz w:val="20"/>
              </w:rPr>
              <w:t>99.3%</w:t>
            </w:r>
          </w:p>
        </w:tc>
        <w:tc>
          <w:tcPr>
            <w:tcW w:w="1219" w:type="dxa"/>
            <w:tcBorders>
              <w:top w:val="nil"/>
              <w:left w:val="nil"/>
              <w:bottom w:val="single" w:sz="8" w:space="0" w:color="auto"/>
              <w:right w:val="single" w:sz="8" w:space="0" w:color="auto"/>
            </w:tcBorders>
            <w:shd w:val="clear" w:color="auto" w:fill="DAEEF3"/>
            <w:noWrap/>
            <w:tcMar>
              <w:top w:w="0" w:type="dxa"/>
              <w:left w:w="108" w:type="dxa"/>
              <w:bottom w:w="0" w:type="dxa"/>
              <w:right w:w="108" w:type="dxa"/>
            </w:tcMar>
            <w:vAlign w:val="bottom"/>
          </w:tcPr>
          <w:p w:rsidR="004A147C" w:rsidRPr="007D38C2" w:rsidRDefault="004A147C" w:rsidP="00CE5850">
            <w:pPr>
              <w:snapToGrid w:val="0"/>
              <w:jc w:val="right"/>
              <w:rPr>
                <w:sz w:val="20"/>
              </w:rPr>
            </w:pPr>
            <w:r w:rsidRPr="007D38C2">
              <w:rPr>
                <w:sz w:val="20"/>
              </w:rPr>
              <w:t>2,530</w:t>
            </w:r>
          </w:p>
        </w:tc>
        <w:tc>
          <w:tcPr>
            <w:tcW w:w="0" w:type="auto"/>
            <w:tcBorders>
              <w:top w:val="nil"/>
              <w:left w:val="nil"/>
              <w:bottom w:val="single" w:sz="8" w:space="0" w:color="auto"/>
              <w:right w:val="single" w:sz="8" w:space="0" w:color="auto"/>
            </w:tcBorders>
            <w:shd w:val="clear" w:color="auto" w:fill="DAEEF3"/>
            <w:noWrap/>
            <w:tcMar>
              <w:top w:w="0" w:type="dxa"/>
              <w:left w:w="108" w:type="dxa"/>
              <w:bottom w:w="0" w:type="dxa"/>
              <w:right w:w="108" w:type="dxa"/>
            </w:tcMar>
            <w:vAlign w:val="bottom"/>
          </w:tcPr>
          <w:p w:rsidR="004A147C" w:rsidRPr="007D38C2" w:rsidRDefault="004A147C" w:rsidP="00CE5850">
            <w:pPr>
              <w:snapToGrid w:val="0"/>
              <w:jc w:val="right"/>
              <w:rPr>
                <w:sz w:val="20"/>
              </w:rPr>
            </w:pPr>
            <w:r w:rsidRPr="007D38C2">
              <w:rPr>
                <w:sz w:val="20"/>
              </w:rPr>
              <w:t>66.6%</w:t>
            </w:r>
          </w:p>
        </w:tc>
        <w:tc>
          <w:tcPr>
            <w:tcW w:w="0" w:type="auto"/>
            <w:tcBorders>
              <w:top w:val="nil"/>
              <w:left w:val="nil"/>
              <w:bottom w:val="single" w:sz="8" w:space="0" w:color="auto"/>
              <w:right w:val="single" w:sz="8" w:space="0" w:color="auto"/>
            </w:tcBorders>
            <w:shd w:val="clear" w:color="auto" w:fill="DAEEF3"/>
            <w:vAlign w:val="bottom"/>
          </w:tcPr>
          <w:p w:rsidR="004A147C" w:rsidRPr="007D38C2" w:rsidRDefault="004A147C" w:rsidP="00CE5850">
            <w:pPr>
              <w:jc w:val="center"/>
              <w:rPr>
                <w:sz w:val="20"/>
              </w:rPr>
            </w:pPr>
            <w:r w:rsidRPr="007D38C2">
              <w:rPr>
                <w:sz w:val="20"/>
              </w:rPr>
              <w:t>6,121</w:t>
            </w:r>
          </w:p>
        </w:tc>
        <w:tc>
          <w:tcPr>
            <w:tcW w:w="0" w:type="auto"/>
            <w:tcBorders>
              <w:top w:val="nil"/>
              <w:left w:val="nil"/>
              <w:bottom w:val="single" w:sz="8" w:space="0" w:color="auto"/>
              <w:right w:val="single" w:sz="8" w:space="0" w:color="auto"/>
            </w:tcBorders>
            <w:shd w:val="clear" w:color="auto" w:fill="DAEEF3"/>
            <w:vAlign w:val="bottom"/>
          </w:tcPr>
          <w:p w:rsidR="004A147C" w:rsidRPr="007D38C2" w:rsidRDefault="004A147C" w:rsidP="00CE5850">
            <w:pPr>
              <w:jc w:val="center"/>
              <w:rPr>
                <w:sz w:val="20"/>
              </w:rPr>
            </w:pPr>
            <w:r w:rsidRPr="007D38C2">
              <w:rPr>
                <w:sz w:val="20"/>
              </w:rPr>
              <w:t>90.0%</w:t>
            </w:r>
          </w:p>
        </w:tc>
      </w:tr>
      <w:tr w:rsidR="004A147C" w:rsidRPr="00B53FFB" w:rsidTr="00A0412A">
        <w:trPr>
          <w:trHeight w:val="272"/>
          <w:jc w:val="center"/>
        </w:trPr>
        <w:tc>
          <w:tcPr>
            <w:tcW w:w="0" w:type="auto"/>
            <w:vMerge/>
            <w:tcBorders>
              <w:top w:val="nil"/>
              <w:left w:val="single" w:sz="8" w:space="0" w:color="auto"/>
              <w:bottom w:val="double" w:sz="4" w:space="0" w:color="auto"/>
              <w:right w:val="single" w:sz="8" w:space="0" w:color="auto"/>
            </w:tcBorders>
            <w:shd w:val="clear" w:color="auto" w:fill="DAEEF3"/>
            <w:vAlign w:val="center"/>
          </w:tcPr>
          <w:p w:rsidR="004A147C" w:rsidRPr="007D38C2" w:rsidRDefault="004A147C" w:rsidP="00CE5850">
            <w:pPr>
              <w:rPr>
                <w:b/>
                <w:bCs/>
                <w:sz w:val="20"/>
                <w:lang w:val="pt-BR"/>
              </w:rPr>
            </w:pPr>
          </w:p>
        </w:tc>
        <w:tc>
          <w:tcPr>
            <w:tcW w:w="0" w:type="auto"/>
            <w:tcBorders>
              <w:top w:val="nil"/>
              <w:left w:val="nil"/>
              <w:bottom w:val="single" w:sz="8" w:space="0" w:color="auto"/>
              <w:right w:val="single" w:sz="8" w:space="0" w:color="auto"/>
            </w:tcBorders>
            <w:shd w:val="clear" w:color="auto" w:fill="DAEEF3"/>
            <w:noWrap/>
            <w:tcMar>
              <w:top w:w="0" w:type="dxa"/>
              <w:left w:w="108" w:type="dxa"/>
              <w:bottom w:w="0" w:type="dxa"/>
              <w:right w:w="108" w:type="dxa"/>
            </w:tcMar>
            <w:vAlign w:val="bottom"/>
          </w:tcPr>
          <w:p w:rsidR="004A147C" w:rsidRPr="007D38C2" w:rsidRDefault="004A147C" w:rsidP="00CE5850">
            <w:pPr>
              <w:snapToGrid w:val="0"/>
              <w:rPr>
                <w:sz w:val="20"/>
              </w:rPr>
            </w:pPr>
            <w:r w:rsidRPr="007D38C2">
              <w:rPr>
                <w:sz w:val="20"/>
              </w:rPr>
              <w:t>GPRS/EDGE</w:t>
            </w:r>
          </w:p>
        </w:tc>
        <w:tc>
          <w:tcPr>
            <w:tcW w:w="0" w:type="auto"/>
            <w:tcBorders>
              <w:top w:val="nil"/>
              <w:left w:val="nil"/>
              <w:bottom w:val="single" w:sz="8" w:space="0" w:color="auto"/>
              <w:right w:val="single" w:sz="8" w:space="0" w:color="auto"/>
            </w:tcBorders>
            <w:shd w:val="clear" w:color="auto" w:fill="DAEEF3"/>
            <w:noWrap/>
            <w:tcMar>
              <w:top w:w="0" w:type="dxa"/>
              <w:left w:w="108" w:type="dxa"/>
              <w:bottom w:w="0" w:type="dxa"/>
              <w:right w:w="108" w:type="dxa"/>
            </w:tcMar>
            <w:vAlign w:val="bottom"/>
          </w:tcPr>
          <w:p w:rsidR="004A147C" w:rsidRPr="007D38C2" w:rsidRDefault="004A147C" w:rsidP="00CE5850">
            <w:pPr>
              <w:snapToGrid w:val="0"/>
              <w:jc w:val="right"/>
              <w:rPr>
                <w:sz w:val="20"/>
              </w:rPr>
            </w:pPr>
            <w:r w:rsidRPr="007D38C2">
              <w:rPr>
                <w:sz w:val="20"/>
              </w:rPr>
              <w:t>310,258</w:t>
            </w:r>
          </w:p>
        </w:tc>
        <w:tc>
          <w:tcPr>
            <w:tcW w:w="1076" w:type="dxa"/>
            <w:tcBorders>
              <w:top w:val="nil"/>
              <w:left w:val="nil"/>
              <w:bottom w:val="single" w:sz="8" w:space="0" w:color="auto"/>
              <w:right w:val="single" w:sz="8" w:space="0" w:color="auto"/>
            </w:tcBorders>
            <w:shd w:val="clear" w:color="auto" w:fill="DAEEF3"/>
            <w:noWrap/>
            <w:tcMar>
              <w:top w:w="0" w:type="dxa"/>
              <w:left w:w="108" w:type="dxa"/>
              <w:bottom w:w="0" w:type="dxa"/>
              <w:right w:w="108" w:type="dxa"/>
            </w:tcMar>
          </w:tcPr>
          <w:p w:rsidR="004A147C" w:rsidRPr="007D38C2" w:rsidRDefault="004A147C" w:rsidP="00CE5850">
            <w:pPr>
              <w:snapToGrid w:val="0"/>
              <w:jc w:val="center"/>
              <w:rPr>
                <w:sz w:val="20"/>
              </w:rPr>
            </w:pPr>
            <w:r w:rsidRPr="007D38C2">
              <w:rPr>
                <w:sz w:val="20"/>
              </w:rPr>
              <w:t>99.3%</w:t>
            </w:r>
          </w:p>
        </w:tc>
        <w:tc>
          <w:tcPr>
            <w:tcW w:w="1219" w:type="dxa"/>
            <w:tcBorders>
              <w:top w:val="nil"/>
              <w:left w:val="nil"/>
              <w:bottom w:val="single" w:sz="8" w:space="0" w:color="auto"/>
              <w:right w:val="single" w:sz="8" w:space="0" w:color="auto"/>
            </w:tcBorders>
            <w:shd w:val="clear" w:color="auto" w:fill="DAEEF3"/>
            <w:noWrap/>
            <w:tcMar>
              <w:top w:w="0" w:type="dxa"/>
              <w:left w:w="108" w:type="dxa"/>
              <w:bottom w:w="0" w:type="dxa"/>
              <w:right w:w="108" w:type="dxa"/>
            </w:tcMar>
            <w:vAlign w:val="bottom"/>
          </w:tcPr>
          <w:p w:rsidR="004A147C" w:rsidRPr="007D38C2" w:rsidRDefault="004A147C" w:rsidP="00CE5850">
            <w:pPr>
              <w:snapToGrid w:val="0"/>
              <w:jc w:val="right"/>
              <w:rPr>
                <w:sz w:val="20"/>
              </w:rPr>
            </w:pPr>
            <w:r w:rsidRPr="007D38C2">
              <w:rPr>
                <w:sz w:val="20"/>
              </w:rPr>
              <w:t>2,464</w:t>
            </w:r>
          </w:p>
        </w:tc>
        <w:tc>
          <w:tcPr>
            <w:tcW w:w="0" w:type="auto"/>
            <w:tcBorders>
              <w:top w:val="nil"/>
              <w:left w:val="nil"/>
              <w:bottom w:val="single" w:sz="8" w:space="0" w:color="auto"/>
              <w:right w:val="single" w:sz="8" w:space="0" w:color="auto"/>
            </w:tcBorders>
            <w:shd w:val="clear" w:color="auto" w:fill="DAEEF3"/>
            <w:noWrap/>
            <w:tcMar>
              <w:top w:w="0" w:type="dxa"/>
              <w:left w:w="108" w:type="dxa"/>
              <w:bottom w:w="0" w:type="dxa"/>
              <w:right w:w="108" w:type="dxa"/>
            </w:tcMar>
            <w:vAlign w:val="bottom"/>
          </w:tcPr>
          <w:p w:rsidR="004A147C" w:rsidRPr="007D38C2" w:rsidRDefault="004A147C" w:rsidP="00CE5850">
            <w:pPr>
              <w:snapToGrid w:val="0"/>
              <w:jc w:val="right"/>
              <w:rPr>
                <w:sz w:val="20"/>
              </w:rPr>
            </w:pPr>
            <w:r w:rsidRPr="007D38C2">
              <w:rPr>
                <w:sz w:val="20"/>
              </w:rPr>
              <w:t>64.9%</w:t>
            </w:r>
          </w:p>
        </w:tc>
        <w:tc>
          <w:tcPr>
            <w:tcW w:w="0" w:type="auto"/>
            <w:tcBorders>
              <w:top w:val="nil"/>
              <w:left w:val="nil"/>
              <w:bottom w:val="single" w:sz="8" w:space="0" w:color="auto"/>
              <w:right w:val="single" w:sz="8" w:space="0" w:color="auto"/>
            </w:tcBorders>
            <w:shd w:val="clear" w:color="auto" w:fill="DAEEF3"/>
            <w:vAlign w:val="bottom"/>
          </w:tcPr>
          <w:p w:rsidR="004A147C" w:rsidRPr="007D38C2" w:rsidRDefault="004A147C" w:rsidP="00CE5850">
            <w:pPr>
              <w:jc w:val="center"/>
              <w:rPr>
                <w:sz w:val="20"/>
              </w:rPr>
            </w:pPr>
            <w:r w:rsidRPr="007D38C2">
              <w:rPr>
                <w:sz w:val="20"/>
              </w:rPr>
              <w:t>6,028</w:t>
            </w:r>
          </w:p>
        </w:tc>
        <w:tc>
          <w:tcPr>
            <w:tcW w:w="0" w:type="auto"/>
            <w:tcBorders>
              <w:top w:val="nil"/>
              <w:left w:val="nil"/>
              <w:bottom w:val="single" w:sz="8" w:space="0" w:color="auto"/>
              <w:right w:val="single" w:sz="8" w:space="0" w:color="auto"/>
            </w:tcBorders>
            <w:shd w:val="clear" w:color="auto" w:fill="DAEEF3"/>
            <w:vAlign w:val="bottom"/>
          </w:tcPr>
          <w:p w:rsidR="004A147C" w:rsidRPr="007D38C2" w:rsidRDefault="004A147C" w:rsidP="00CE5850">
            <w:pPr>
              <w:jc w:val="center"/>
              <w:rPr>
                <w:sz w:val="20"/>
              </w:rPr>
            </w:pPr>
            <w:r w:rsidRPr="007D38C2">
              <w:rPr>
                <w:sz w:val="20"/>
              </w:rPr>
              <w:t>88.4%</w:t>
            </w:r>
          </w:p>
        </w:tc>
      </w:tr>
      <w:tr w:rsidR="004A147C" w:rsidRPr="00B53FFB" w:rsidTr="00A0412A">
        <w:trPr>
          <w:trHeight w:val="272"/>
          <w:jc w:val="center"/>
        </w:trPr>
        <w:tc>
          <w:tcPr>
            <w:tcW w:w="0" w:type="auto"/>
            <w:vMerge/>
            <w:tcBorders>
              <w:top w:val="nil"/>
              <w:left w:val="single" w:sz="8" w:space="0" w:color="auto"/>
              <w:bottom w:val="double" w:sz="4" w:space="0" w:color="auto"/>
              <w:right w:val="single" w:sz="8" w:space="0" w:color="auto"/>
            </w:tcBorders>
            <w:shd w:val="clear" w:color="auto" w:fill="DAEEF3"/>
            <w:vAlign w:val="center"/>
          </w:tcPr>
          <w:p w:rsidR="004A147C" w:rsidRPr="007D38C2" w:rsidRDefault="004A147C" w:rsidP="00CE5850">
            <w:pPr>
              <w:rPr>
                <w:b/>
                <w:bCs/>
                <w:sz w:val="20"/>
                <w:lang w:val="pt-BR"/>
              </w:rPr>
            </w:pPr>
          </w:p>
        </w:tc>
        <w:tc>
          <w:tcPr>
            <w:tcW w:w="0" w:type="auto"/>
            <w:tcBorders>
              <w:top w:val="nil"/>
              <w:left w:val="nil"/>
              <w:bottom w:val="double" w:sz="4" w:space="0" w:color="auto"/>
              <w:right w:val="single" w:sz="8" w:space="0" w:color="auto"/>
            </w:tcBorders>
            <w:shd w:val="clear" w:color="auto" w:fill="DAEEF3"/>
            <w:noWrap/>
            <w:tcMar>
              <w:top w:w="0" w:type="dxa"/>
              <w:left w:w="108" w:type="dxa"/>
              <w:bottom w:w="0" w:type="dxa"/>
              <w:right w:w="108" w:type="dxa"/>
            </w:tcMar>
            <w:vAlign w:val="bottom"/>
          </w:tcPr>
          <w:p w:rsidR="004A147C" w:rsidRPr="007D38C2" w:rsidRDefault="004A147C" w:rsidP="00CE5850">
            <w:pPr>
              <w:snapToGrid w:val="0"/>
              <w:rPr>
                <w:b/>
                <w:bCs/>
                <w:sz w:val="20"/>
              </w:rPr>
            </w:pPr>
            <w:r w:rsidRPr="007D38C2">
              <w:rPr>
                <w:b/>
                <w:bCs/>
                <w:sz w:val="20"/>
              </w:rPr>
              <w:t xml:space="preserve">Total 2.5G Mobile </w:t>
            </w:r>
          </w:p>
          <w:p w:rsidR="004A147C" w:rsidRPr="007D38C2" w:rsidRDefault="004A147C" w:rsidP="00CE5850">
            <w:pPr>
              <w:snapToGrid w:val="0"/>
              <w:rPr>
                <w:b/>
                <w:bCs/>
                <w:sz w:val="20"/>
              </w:rPr>
            </w:pPr>
            <w:r w:rsidRPr="007D38C2">
              <w:rPr>
                <w:b/>
                <w:bCs/>
                <w:sz w:val="20"/>
              </w:rPr>
              <w:t xml:space="preserve">Data Network </w:t>
            </w:r>
          </w:p>
          <w:p w:rsidR="004A147C" w:rsidRPr="007D38C2" w:rsidRDefault="004A147C" w:rsidP="00CE5850">
            <w:pPr>
              <w:snapToGrid w:val="0"/>
              <w:rPr>
                <w:b/>
                <w:bCs/>
                <w:sz w:val="20"/>
              </w:rPr>
            </w:pPr>
            <w:r w:rsidRPr="007D38C2">
              <w:rPr>
                <w:b/>
                <w:bCs/>
                <w:sz w:val="20"/>
              </w:rPr>
              <w:t>Coverage</w:t>
            </w:r>
          </w:p>
        </w:tc>
        <w:tc>
          <w:tcPr>
            <w:tcW w:w="0" w:type="auto"/>
            <w:tcBorders>
              <w:top w:val="nil"/>
              <w:left w:val="nil"/>
              <w:bottom w:val="double" w:sz="4" w:space="0" w:color="auto"/>
              <w:right w:val="single" w:sz="8" w:space="0" w:color="auto"/>
            </w:tcBorders>
            <w:shd w:val="clear" w:color="auto" w:fill="DAEEF3"/>
            <w:noWrap/>
            <w:tcMar>
              <w:top w:w="0" w:type="dxa"/>
              <w:left w:w="108" w:type="dxa"/>
              <w:bottom w:w="0" w:type="dxa"/>
              <w:right w:w="108" w:type="dxa"/>
            </w:tcMar>
          </w:tcPr>
          <w:p w:rsidR="004A147C" w:rsidRPr="007D38C2" w:rsidRDefault="004A147C" w:rsidP="00CE5850">
            <w:pPr>
              <w:snapToGrid w:val="0"/>
              <w:jc w:val="center"/>
              <w:rPr>
                <w:b/>
                <w:bCs/>
                <w:sz w:val="20"/>
              </w:rPr>
            </w:pPr>
            <w:r w:rsidRPr="007D38C2">
              <w:rPr>
                <w:b/>
                <w:bCs/>
                <w:sz w:val="20"/>
              </w:rPr>
              <w:t>311,960</w:t>
            </w:r>
          </w:p>
        </w:tc>
        <w:tc>
          <w:tcPr>
            <w:tcW w:w="1076" w:type="dxa"/>
            <w:tcBorders>
              <w:top w:val="nil"/>
              <w:left w:val="nil"/>
              <w:bottom w:val="double" w:sz="4" w:space="0" w:color="auto"/>
              <w:right w:val="single" w:sz="8" w:space="0" w:color="auto"/>
            </w:tcBorders>
            <w:shd w:val="clear" w:color="auto" w:fill="DAEEF3"/>
            <w:noWrap/>
            <w:tcMar>
              <w:top w:w="0" w:type="dxa"/>
              <w:left w:w="108" w:type="dxa"/>
              <w:bottom w:w="0" w:type="dxa"/>
              <w:right w:w="108" w:type="dxa"/>
            </w:tcMar>
          </w:tcPr>
          <w:p w:rsidR="004A147C" w:rsidRPr="007D38C2" w:rsidRDefault="004A147C" w:rsidP="00CE5850">
            <w:pPr>
              <w:snapToGrid w:val="0"/>
              <w:jc w:val="center"/>
              <w:rPr>
                <w:b/>
                <w:bCs/>
                <w:sz w:val="20"/>
              </w:rPr>
            </w:pPr>
            <w:r w:rsidRPr="007D38C2">
              <w:rPr>
                <w:b/>
                <w:bCs/>
                <w:sz w:val="20"/>
              </w:rPr>
              <w:t>99.8%</w:t>
            </w:r>
          </w:p>
        </w:tc>
        <w:tc>
          <w:tcPr>
            <w:tcW w:w="1219" w:type="dxa"/>
            <w:tcBorders>
              <w:top w:val="nil"/>
              <w:left w:val="nil"/>
              <w:bottom w:val="double" w:sz="4" w:space="0" w:color="auto"/>
              <w:right w:val="single" w:sz="8" w:space="0" w:color="auto"/>
            </w:tcBorders>
            <w:shd w:val="clear" w:color="auto" w:fill="DAEEF3"/>
            <w:noWrap/>
            <w:tcMar>
              <w:top w:w="0" w:type="dxa"/>
              <w:left w:w="108" w:type="dxa"/>
              <w:bottom w:w="0" w:type="dxa"/>
              <w:right w:w="108" w:type="dxa"/>
            </w:tcMar>
          </w:tcPr>
          <w:p w:rsidR="004A147C" w:rsidRPr="007D38C2" w:rsidRDefault="004A147C" w:rsidP="00CE5850">
            <w:pPr>
              <w:snapToGrid w:val="0"/>
              <w:jc w:val="center"/>
              <w:rPr>
                <w:b/>
                <w:bCs/>
                <w:sz w:val="20"/>
              </w:rPr>
            </w:pPr>
            <w:r w:rsidRPr="007D38C2">
              <w:rPr>
                <w:b/>
                <w:bCs/>
                <w:sz w:val="20"/>
              </w:rPr>
              <w:t>2,771</w:t>
            </w:r>
          </w:p>
        </w:tc>
        <w:tc>
          <w:tcPr>
            <w:tcW w:w="0" w:type="auto"/>
            <w:tcBorders>
              <w:top w:val="nil"/>
              <w:left w:val="nil"/>
              <w:bottom w:val="double" w:sz="4" w:space="0" w:color="auto"/>
              <w:right w:val="single" w:sz="8" w:space="0" w:color="auto"/>
            </w:tcBorders>
            <w:shd w:val="clear" w:color="auto" w:fill="DAEEF3"/>
            <w:noWrap/>
            <w:tcMar>
              <w:top w:w="0" w:type="dxa"/>
              <w:left w:w="108" w:type="dxa"/>
              <w:bottom w:w="0" w:type="dxa"/>
              <w:right w:w="108" w:type="dxa"/>
            </w:tcMar>
          </w:tcPr>
          <w:p w:rsidR="004A147C" w:rsidRPr="007D38C2" w:rsidRDefault="004A147C" w:rsidP="00CE5850">
            <w:pPr>
              <w:snapToGrid w:val="0"/>
              <w:jc w:val="center"/>
              <w:rPr>
                <w:b/>
                <w:bCs/>
                <w:sz w:val="20"/>
              </w:rPr>
            </w:pPr>
            <w:r w:rsidRPr="007D38C2">
              <w:rPr>
                <w:b/>
                <w:bCs/>
                <w:sz w:val="20"/>
              </w:rPr>
              <w:t>72.9%</w:t>
            </w:r>
          </w:p>
        </w:tc>
        <w:tc>
          <w:tcPr>
            <w:tcW w:w="0" w:type="auto"/>
            <w:tcBorders>
              <w:top w:val="nil"/>
              <w:left w:val="nil"/>
              <w:bottom w:val="double" w:sz="4" w:space="0" w:color="auto"/>
              <w:right w:val="single" w:sz="8" w:space="0" w:color="auto"/>
            </w:tcBorders>
            <w:shd w:val="clear" w:color="auto" w:fill="DAEEF3"/>
          </w:tcPr>
          <w:p w:rsidR="004A147C" w:rsidRPr="007D38C2" w:rsidRDefault="004A147C" w:rsidP="00CE5850">
            <w:pPr>
              <w:jc w:val="center"/>
              <w:rPr>
                <w:b/>
                <w:sz w:val="20"/>
              </w:rPr>
            </w:pPr>
            <w:r w:rsidRPr="007D38C2">
              <w:rPr>
                <w:b/>
                <w:sz w:val="20"/>
              </w:rPr>
              <w:t>6,453</w:t>
            </w:r>
          </w:p>
        </w:tc>
        <w:tc>
          <w:tcPr>
            <w:tcW w:w="0" w:type="auto"/>
            <w:tcBorders>
              <w:top w:val="nil"/>
              <w:left w:val="nil"/>
              <w:bottom w:val="double" w:sz="4" w:space="0" w:color="auto"/>
              <w:right w:val="single" w:sz="8" w:space="0" w:color="auto"/>
            </w:tcBorders>
            <w:shd w:val="clear" w:color="auto" w:fill="DAEEF3"/>
          </w:tcPr>
          <w:p w:rsidR="004A147C" w:rsidRPr="007D38C2" w:rsidRDefault="004A147C" w:rsidP="00CE5850">
            <w:pPr>
              <w:jc w:val="center"/>
              <w:rPr>
                <w:b/>
                <w:sz w:val="20"/>
              </w:rPr>
            </w:pPr>
            <w:r w:rsidRPr="007D38C2">
              <w:rPr>
                <w:b/>
                <w:sz w:val="20"/>
              </w:rPr>
              <w:t>94.6%</w:t>
            </w:r>
          </w:p>
        </w:tc>
      </w:tr>
      <w:tr w:rsidR="004A147C" w:rsidRPr="00B53FFB" w:rsidTr="00A0412A">
        <w:trPr>
          <w:trHeight w:val="253"/>
          <w:jc w:val="center"/>
        </w:trPr>
        <w:tc>
          <w:tcPr>
            <w:tcW w:w="0" w:type="auto"/>
            <w:vMerge w:val="restart"/>
            <w:tcBorders>
              <w:top w:val="nil"/>
              <w:left w:val="single" w:sz="8" w:space="0" w:color="auto"/>
              <w:bottom w:val="single" w:sz="8" w:space="0" w:color="auto"/>
              <w:right w:val="single" w:sz="8" w:space="0" w:color="auto"/>
            </w:tcBorders>
            <w:shd w:val="clear" w:color="auto" w:fill="DAEEF3"/>
            <w:tcMar>
              <w:top w:w="0" w:type="dxa"/>
              <w:left w:w="108" w:type="dxa"/>
              <w:bottom w:w="0" w:type="dxa"/>
              <w:right w:w="108" w:type="dxa"/>
            </w:tcMar>
          </w:tcPr>
          <w:p w:rsidR="004A147C" w:rsidRPr="007D38C2" w:rsidRDefault="004A147C" w:rsidP="00CE5850">
            <w:pPr>
              <w:snapToGrid w:val="0"/>
              <w:rPr>
                <w:b/>
                <w:bCs/>
                <w:sz w:val="20"/>
              </w:rPr>
            </w:pPr>
            <w:r w:rsidRPr="007D38C2">
              <w:rPr>
                <w:b/>
                <w:bCs/>
                <w:sz w:val="20"/>
              </w:rPr>
              <w:t>3G/ 4G</w:t>
            </w:r>
          </w:p>
        </w:tc>
        <w:tc>
          <w:tcPr>
            <w:tcW w:w="0" w:type="auto"/>
            <w:tcBorders>
              <w:top w:val="nil"/>
              <w:left w:val="nil"/>
              <w:bottom w:val="single" w:sz="8" w:space="0" w:color="auto"/>
              <w:right w:val="single" w:sz="8" w:space="0" w:color="auto"/>
            </w:tcBorders>
            <w:shd w:val="clear" w:color="auto" w:fill="DAEEF3"/>
            <w:noWrap/>
            <w:tcMar>
              <w:top w:w="0" w:type="dxa"/>
              <w:left w:w="108" w:type="dxa"/>
              <w:bottom w:w="0" w:type="dxa"/>
              <w:right w:w="108" w:type="dxa"/>
            </w:tcMar>
            <w:vAlign w:val="bottom"/>
          </w:tcPr>
          <w:p w:rsidR="004A147C" w:rsidRPr="007D38C2" w:rsidRDefault="004A147C" w:rsidP="00CE5850">
            <w:pPr>
              <w:snapToGrid w:val="0"/>
              <w:rPr>
                <w:sz w:val="20"/>
              </w:rPr>
            </w:pPr>
            <w:r w:rsidRPr="007D38C2">
              <w:rPr>
                <w:sz w:val="20"/>
              </w:rPr>
              <w:t>WCDMA/HSPA/HSPA+</w:t>
            </w:r>
          </w:p>
        </w:tc>
        <w:tc>
          <w:tcPr>
            <w:tcW w:w="0" w:type="auto"/>
            <w:tcBorders>
              <w:top w:val="nil"/>
              <w:left w:val="nil"/>
              <w:bottom w:val="single" w:sz="8" w:space="0" w:color="auto"/>
              <w:right w:val="single" w:sz="8" w:space="0" w:color="auto"/>
            </w:tcBorders>
            <w:shd w:val="clear" w:color="auto" w:fill="DAEEF3"/>
            <w:noWrap/>
            <w:tcMar>
              <w:top w:w="0" w:type="dxa"/>
              <w:left w:w="108" w:type="dxa"/>
              <w:bottom w:w="0" w:type="dxa"/>
              <w:right w:w="108" w:type="dxa"/>
            </w:tcMar>
            <w:vAlign w:val="bottom"/>
          </w:tcPr>
          <w:p w:rsidR="004A147C" w:rsidRPr="007D38C2" w:rsidRDefault="004A147C" w:rsidP="00CE5850">
            <w:pPr>
              <w:snapToGrid w:val="0"/>
              <w:jc w:val="right"/>
              <w:rPr>
                <w:sz w:val="20"/>
              </w:rPr>
            </w:pPr>
            <w:r w:rsidRPr="007D38C2">
              <w:rPr>
                <w:sz w:val="20"/>
              </w:rPr>
              <w:t>291,056</w:t>
            </w:r>
          </w:p>
        </w:tc>
        <w:tc>
          <w:tcPr>
            <w:tcW w:w="1076" w:type="dxa"/>
            <w:tcBorders>
              <w:top w:val="nil"/>
              <w:left w:val="nil"/>
              <w:bottom w:val="single" w:sz="8" w:space="0" w:color="auto"/>
              <w:right w:val="single" w:sz="8" w:space="0" w:color="auto"/>
            </w:tcBorders>
            <w:shd w:val="clear" w:color="auto" w:fill="DAEEF3"/>
            <w:noWrap/>
            <w:tcMar>
              <w:top w:w="0" w:type="dxa"/>
              <w:left w:w="108" w:type="dxa"/>
              <w:bottom w:w="0" w:type="dxa"/>
              <w:right w:w="108" w:type="dxa"/>
            </w:tcMar>
          </w:tcPr>
          <w:p w:rsidR="004A147C" w:rsidRPr="007D38C2" w:rsidRDefault="004A147C" w:rsidP="00CE5850">
            <w:pPr>
              <w:snapToGrid w:val="0"/>
              <w:jc w:val="center"/>
              <w:rPr>
                <w:sz w:val="20"/>
              </w:rPr>
            </w:pPr>
            <w:r w:rsidRPr="007D38C2">
              <w:rPr>
                <w:sz w:val="20"/>
              </w:rPr>
              <w:t>93.1%</w:t>
            </w:r>
          </w:p>
        </w:tc>
        <w:tc>
          <w:tcPr>
            <w:tcW w:w="1219" w:type="dxa"/>
            <w:tcBorders>
              <w:top w:val="nil"/>
              <w:left w:val="nil"/>
              <w:bottom w:val="single" w:sz="8" w:space="0" w:color="auto"/>
              <w:right w:val="single" w:sz="8" w:space="0" w:color="auto"/>
            </w:tcBorders>
            <w:shd w:val="clear" w:color="auto" w:fill="DAEEF3"/>
            <w:noWrap/>
            <w:tcMar>
              <w:top w:w="0" w:type="dxa"/>
              <w:left w:w="108" w:type="dxa"/>
              <w:bottom w:w="0" w:type="dxa"/>
              <w:right w:w="108" w:type="dxa"/>
            </w:tcMar>
            <w:vAlign w:val="bottom"/>
          </w:tcPr>
          <w:p w:rsidR="004A147C" w:rsidRPr="007D38C2" w:rsidRDefault="004A147C" w:rsidP="00CE5850">
            <w:pPr>
              <w:snapToGrid w:val="0"/>
              <w:jc w:val="right"/>
              <w:rPr>
                <w:sz w:val="20"/>
              </w:rPr>
            </w:pPr>
            <w:r w:rsidRPr="007D38C2">
              <w:rPr>
                <w:sz w:val="20"/>
              </w:rPr>
              <w:t>1,597</w:t>
            </w:r>
          </w:p>
        </w:tc>
        <w:tc>
          <w:tcPr>
            <w:tcW w:w="0" w:type="auto"/>
            <w:tcBorders>
              <w:top w:val="nil"/>
              <w:left w:val="nil"/>
              <w:bottom w:val="single" w:sz="8" w:space="0" w:color="auto"/>
              <w:right w:val="single" w:sz="8" w:space="0" w:color="auto"/>
            </w:tcBorders>
            <w:shd w:val="clear" w:color="auto" w:fill="DAEEF3"/>
            <w:noWrap/>
            <w:tcMar>
              <w:top w:w="0" w:type="dxa"/>
              <w:left w:w="108" w:type="dxa"/>
              <w:bottom w:w="0" w:type="dxa"/>
              <w:right w:w="108" w:type="dxa"/>
            </w:tcMar>
            <w:vAlign w:val="bottom"/>
          </w:tcPr>
          <w:p w:rsidR="004A147C" w:rsidRPr="007D38C2" w:rsidRDefault="004A147C" w:rsidP="00CE5850">
            <w:pPr>
              <w:snapToGrid w:val="0"/>
              <w:jc w:val="right"/>
              <w:rPr>
                <w:sz w:val="20"/>
              </w:rPr>
            </w:pPr>
            <w:r w:rsidRPr="007D38C2">
              <w:rPr>
                <w:sz w:val="20"/>
              </w:rPr>
              <w:t>42.0%</w:t>
            </w:r>
          </w:p>
        </w:tc>
        <w:tc>
          <w:tcPr>
            <w:tcW w:w="0" w:type="auto"/>
            <w:tcBorders>
              <w:top w:val="nil"/>
              <w:left w:val="nil"/>
              <w:bottom w:val="single" w:sz="8" w:space="0" w:color="auto"/>
              <w:right w:val="single" w:sz="8" w:space="0" w:color="auto"/>
            </w:tcBorders>
            <w:shd w:val="clear" w:color="auto" w:fill="DAEEF3"/>
            <w:vAlign w:val="bottom"/>
          </w:tcPr>
          <w:p w:rsidR="004A147C" w:rsidRPr="007D38C2" w:rsidRDefault="004A147C" w:rsidP="00CE5850">
            <w:pPr>
              <w:jc w:val="center"/>
              <w:rPr>
                <w:sz w:val="20"/>
              </w:rPr>
            </w:pPr>
            <w:r w:rsidRPr="007D38C2">
              <w:rPr>
                <w:sz w:val="20"/>
              </w:rPr>
              <w:t>4,341</w:t>
            </w:r>
          </w:p>
        </w:tc>
        <w:tc>
          <w:tcPr>
            <w:tcW w:w="0" w:type="auto"/>
            <w:tcBorders>
              <w:top w:val="nil"/>
              <w:left w:val="nil"/>
              <w:bottom w:val="single" w:sz="8" w:space="0" w:color="auto"/>
              <w:right w:val="single" w:sz="8" w:space="0" w:color="auto"/>
            </w:tcBorders>
            <w:shd w:val="clear" w:color="auto" w:fill="DAEEF3"/>
            <w:vAlign w:val="bottom"/>
          </w:tcPr>
          <w:p w:rsidR="004A147C" w:rsidRPr="007D38C2" w:rsidRDefault="004A147C" w:rsidP="00CE5850">
            <w:pPr>
              <w:jc w:val="center"/>
              <w:rPr>
                <w:sz w:val="20"/>
              </w:rPr>
            </w:pPr>
            <w:r w:rsidRPr="007D38C2">
              <w:rPr>
                <w:sz w:val="20"/>
              </w:rPr>
              <w:t>63.6%</w:t>
            </w:r>
          </w:p>
        </w:tc>
      </w:tr>
      <w:tr w:rsidR="004A147C" w:rsidRPr="00B53FFB" w:rsidTr="00A0412A">
        <w:trPr>
          <w:trHeight w:val="272"/>
          <w:jc w:val="center"/>
        </w:trPr>
        <w:tc>
          <w:tcPr>
            <w:tcW w:w="0" w:type="auto"/>
            <w:vMerge/>
            <w:tcBorders>
              <w:top w:val="nil"/>
              <w:left w:val="single" w:sz="8" w:space="0" w:color="auto"/>
              <w:bottom w:val="single" w:sz="8" w:space="0" w:color="auto"/>
              <w:right w:val="single" w:sz="8" w:space="0" w:color="auto"/>
            </w:tcBorders>
            <w:shd w:val="clear" w:color="auto" w:fill="DAEEF3"/>
            <w:vAlign w:val="center"/>
          </w:tcPr>
          <w:p w:rsidR="004A147C" w:rsidRPr="007D38C2" w:rsidRDefault="004A147C" w:rsidP="00CE5850">
            <w:pPr>
              <w:rPr>
                <w:b/>
                <w:bCs/>
                <w:sz w:val="20"/>
              </w:rPr>
            </w:pPr>
          </w:p>
        </w:tc>
        <w:tc>
          <w:tcPr>
            <w:tcW w:w="0" w:type="auto"/>
            <w:tcBorders>
              <w:top w:val="nil"/>
              <w:left w:val="nil"/>
              <w:bottom w:val="single" w:sz="8" w:space="0" w:color="auto"/>
              <w:right w:val="single" w:sz="8" w:space="0" w:color="auto"/>
            </w:tcBorders>
            <w:shd w:val="clear" w:color="auto" w:fill="DAEEF3"/>
            <w:noWrap/>
            <w:tcMar>
              <w:top w:w="0" w:type="dxa"/>
              <w:left w:w="108" w:type="dxa"/>
              <w:bottom w:w="0" w:type="dxa"/>
              <w:right w:w="108" w:type="dxa"/>
            </w:tcMar>
            <w:vAlign w:val="bottom"/>
          </w:tcPr>
          <w:p w:rsidR="004A147C" w:rsidRPr="007D38C2" w:rsidRDefault="004A147C" w:rsidP="00CE5850">
            <w:pPr>
              <w:snapToGrid w:val="0"/>
              <w:rPr>
                <w:sz w:val="20"/>
                <w:lang w:val="pt-BR"/>
              </w:rPr>
            </w:pPr>
            <w:r w:rsidRPr="007D38C2">
              <w:rPr>
                <w:sz w:val="20"/>
                <w:lang w:val="pt-BR"/>
              </w:rPr>
              <w:t>EV-DO/EV-DO Rev. A</w:t>
            </w:r>
          </w:p>
        </w:tc>
        <w:tc>
          <w:tcPr>
            <w:tcW w:w="0" w:type="auto"/>
            <w:tcBorders>
              <w:top w:val="nil"/>
              <w:left w:val="nil"/>
              <w:bottom w:val="single" w:sz="8" w:space="0" w:color="auto"/>
              <w:right w:val="single" w:sz="8" w:space="0" w:color="auto"/>
            </w:tcBorders>
            <w:shd w:val="clear" w:color="auto" w:fill="DAEEF3"/>
            <w:noWrap/>
            <w:tcMar>
              <w:top w:w="0" w:type="dxa"/>
              <w:left w:w="108" w:type="dxa"/>
              <w:bottom w:w="0" w:type="dxa"/>
              <w:right w:w="108" w:type="dxa"/>
            </w:tcMar>
            <w:vAlign w:val="bottom"/>
          </w:tcPr>
          <w:p w:rsidR="004A147C" w:rsidRPr="007D38C2" w:rsidRDefault="004A147C" w:rsidP="00CE5850">
            <w:pPr>
              <w:snapToGrid w:val="0"/>
              <w:jc w:val="right"/>
              <w:rPr>
                <w:sz w:val="20"/>
              </w:rPr>
            </w:pPr>
            <w:r w:rsidRPr="007D38C2">
              <w:rPr>
                <w:sz w:val="20"/>
              </w:rPr>
              <w:t>309,486</w:t>
            </w:r>
          </w:p>
        </w:tc>
        <w:tc>
          <w:tcPr>
            <w:tcW w:w="1076" w:type="dxa"/>
            <w:tcBorders>
              <w:top w:val="nil"/>
              <w:left w:val="nil"/>
              <w:bottom w:val="single" w:sz="8" w:space="0" w:color="auto"/>
              <w:right w:val="single" w:sz="8" w:space="0" w:color="auto"/>
            </w:tcBorders>
            <w:shd w:val="clear" w:color="auto" w:fill="DAEEF3"/>
            <w:noWrap/>
            <w:tcMar>
              <w:top w:w="0" w:type="dxa"/>
              <w:left w:w="108" w:type="dxa"/>
              <w:bottom w:w="0" w:type="dxa"/>
              <w:right w:w="108" w:type="dxa"/>
            </w:tcMar>
          </w:tcPr>
          <w:p w:rsidR="004A147C" w:rsidRPr="007D38C2" w:rsidRDefault="004A147C" w:rsidP="00CE5850">
            <w:pPr>
              <w:snapToGrid w:val="0"/>
              <w:jc w:val="center"/>
              <w:rPr>
                <w:sz w:val="20"/>
              </w:rPr>
            </w:pPr>
            <w:r w:rsidRPr="007D38C2">
              <w:rPr>
                <w:sz w:val="20"/>
              </w:rPr>
              <w:t>99.0%</w:t>
            </w:r>
          </w:p>
        </w:tc>
        <w:tc>
          <w:tcPr>
            <w:tcW w:w="1219" w:type="dxa"/>
            <w:tcBorders>
              <w:top w:val="nil"/>
              <w:left w:val="nil"/>
              <w:bottom w:val="single" w:sz="8" w:space="0" w:color="auto"/>
              <w:right w:val="single" w:sz="8" w:space="0" w:color="auto"/>
            </w:tcBorders>
            <w:shd w:val="clear" w:color="auto" w:fill="DAEEF3"/>
            <w:noWrap/>
            <w:tcMar>
              <w:top w:w="0" w:type="dxa"/>
              <w:left w:w="108" w:type="dxa"/>
              <w:bottom w:w="0" w:type="dxa"/>
              <w:right w:w="108" w:type="dxa"/>
            </w:tcMar>
            <w:vAlign w:val="bottom"/>
          </w:tcPr>
          <w:p w:rsidR="004A147C" w:rsidRPr="007D38C2" w:rsidRDefault="004A147C" w:rsidP="00CE5850">
            <w:pPr>
              <w:snapToGrid w:val="0"/>
              <w:jc w:val="right"/>
              <w:rPr>
                <w:sz w:val="20"/>
              </w:rPr>
            </w:pPr>
            <w:r w:rsidRPr="007D38C2">
              <w:rPr>
                <w:sz w:val="20"/>
              </w:rPr>
              <w:t>2,365</w:t>
            </w:r>
          </w:p>
        </w:tc>
        <w:tc>
          <w:tcPr>
            <w:tcW w:w="0" w:type="auto"/>
            <w:tcBorders>
              <w:top w:val="nil"/>
              <w:left w:val="nil"/>
              <w:bottom w:val="single" w:sz="8" w:space="0" w:color="auto"/>
              <w:right w:val="single" w:sz="8" w:space="0" w:color="auto"/>
            </w:tcBorders>
            <w:shd w:val="clear" w:color="auto" w:fill="DAEEF3"/>
            <w:noWrap/>
            <w:tcMar>
              <w:top w:w="0" w:type="dxa"/>
              <w:left w:w="108" w:type="dxa"/>
              <w:bottom w:w="0" w:type="dxa"/>
              <w:right w:w="108" w:type="dxa"/>
            </w:tcMar>
            <w:vAlign w:val="bottom"/>
          </w:tcPr>
          <w:p w:rsidR="004A147C" w:rsidRPr="007D38C2" w:rsidRDefault="004A147C" w:rsidP="00CE5850">
            <w:pPr>
              <w:snapToGrid w:val="0"/>
              <w:jc w:val="right"/>
              <w:rPr>
                <w:sz w:val="20"/>
              </w:rPr>
            </w:pPr>
            <w:r w:rsidRPr="007D38C2">
              <w:rPr>
                <w:sz w:val="20"/>
              </w:rPr>
              <w:t>62.3%</w:t>
            </w:r>
          </w:p>
        </w:tc>
        <w:tc>
          <w:tcPr>
            <w:tcW w:w="0" w:type="auto"/>
            <w:tcBorders>
              <w:top w:val="nil"/>
              <w:left w:val="nil"/>
              <w:bottom w:val="single" w:sz="8" w:space="0" w:color="auto"/>
              <w:right w:val="single" w:sz="8" w:space="0" w:color="auto"/>
            </w:tcBorders>
            <w:shd w:val="clear" w:color="auto" w:fill="DAEEF3"/>
            <w:vAlign w:val="bottom"/>
          </w:tcPr>
          <w:p w:rsidR="004A147C" w:rsidRPr="007D38C2" w:rsidRDefault="004A147C" w:rsidP="00CE5850">
            <w:pPr>
              <w:jc w:val="center"/>
              <w:rPr>
                <w:sz w:val="20"/>
              </w:rPr>
            </w:pPr>
            <w:r w:rsidRPr="007D38C2">
              <w:rPr>
                <w:sz w:val="20"/>
              </w:rPr>
              <w:t>5,917</w:t>
            </w:r>
          </w:p>
        </w:tc>
        <w:tc>
          <w:tcPr>
            <w:tcW w:w="0" w:type="auto"/>
            <w:tcBorders>
              <w:top w:val="nil"/>
              <w:left w:val="nil"/>
              <w:bottom w:val="single" w:sz="8" w:space="0" w:color="auto"/>
              <w:right w:val="single" w:sz="8" w:space="0" w:color="auto"/>
            </w:tcBorders>
            <w:shd w:val="clear" w:color="auto" w:fill="DAEEF3"/>
            <w:vAlign w:val="bottom"/>
          </w:tcPr>
          <w:p w:rsidR="004A147C" w:rsidRPr="007D38C2" w:rsidRDefault="004A147C" w:rsidP="00CE5850">
            <w:pPr>
              <w:jc w:val="center"/>
              <w:rPr>
                <w:sz w:val="20"/>
              </w:rPr>
            </w:pPr>
            <w:r w:rsidRPr="007D38C2">
              <w:rPr>
                <w:sz w:val="20"/>
              </w:rPr>
              <w:t>86.8%</w:t>
            </w:r>
          </w:p>
        </w:tc>
      </w:tr>
      <w:tr w:rsidR="004A147C" w:rsidRPr="00B53FFB" w:rsidTr="00A0412A">
        <w:trPr>
          <w:trHeight w:val="272"/>
          <w:jc w:val="center"/>
        </w:trPr>
        <w:tc>
          <w:tcPr>
            <w:tcW w:w="0" w:type="auto"/>
            <w:vMerge/>
            <w:tcBorders>
              <w:top w:val="nil"/>
              <w:left w:val="single" w:sz="8" w:space="0" w:color="auto"/>
              <w:bottom w:val="single" w:sz="8" w:space="0" w:color="auto"/>
              <w:right w:val="single" w:sz="8" w:space="0" w:color="auto"/>
            </w:tcBorders>
            <w:shd w:val="clear" w:color="auto" w:fill="DAEEF3"/>
            <w:vAlign w:val="center"/>
          </w:tcPr>
          <w:p w:rsidR="004A147C" w:rsidRPr="007D38C2" w:rsidRDefault="004A147C" w:rsidP="00CE5850">
            <w:pPr>
              <w:rPr>
                <w:b/>
                <w:bCs/>
                <w:sz w:val="20"/>
              </w:rPr>
            </w:pPr>
          </w:p>
        </w:tc>
        <w:tc>
          <w:tcPr>
            <w:tcW w:w="0" w:type="auto"/>
            <w:tcBorders>
              <w:top w:val="nil"/>
              <w:left w:val="nil"/>
              <w:bottom w:val="single" w:sz="8" w:space="0" w:color="auto"/>
              <w:right w:val="single" w:sz="8" w:space="0" w:color="auto"/>
            </w:tcBorders>
            <w:shd w:val="clear" w:color="auto" w:fill="DAEEF3"/>
            <w:noWrap/>
            <w:tcMar>
              <w:top w:w="0" w:type="dxa"/>
              <w:left w:w="108" w:type="dxa"/>
              <w:bottom w:w="0" w:type="dxa"/>
              <w:right w:w="108" w:type="dxa"/>
            </w:tcMar>
            <w:vAlign w:val="bottom"/>
          </w:tcPr>
          <w:p w:rsidR="004A147C" w:rsidRPr="007D38C2" w:rsidRDefault="004A147C" w:rsidP="00CE5850">
            <w:pPr>
              <w:snapToGrid w:val="0"/>
              <w:rPr>
                <w:sz w:val="20"/>
              </w:rPr>
            </w:pPr>
            <w:r w:rsidRPr="007D38C2">
              <w:rPr>
                <w:sz w:val="20"/>
              </w:rPr>
              <w:t>Mobile WiMAX</w:t>
            </w:r>
          </w:p>
        </w:tc>
        <w:tc>
          <w:tcPr>
            <w:tcW w:w="0" w:type="auto"/>
            <w:tcBorders>
              <w:top w:val="nil"/>
              <w:left w:val="nil"/>
              <w:bottom w:val="single" w:sz="8" w:space="0" w:color="auto"/>
              <w:right w:val="single" w:sz="8" w:space="0" w:color="auto"/>
            </w:tcBorders>
            <w:shd w:val="clear" w:color="auto" w:fill="DAEEF3"/>
            <w:noWrap/>
            <w:tcMar>
              <w:top w:w="0" w:type="dxa"/>
              <w:left w:w="108" w:type="dxa"/>
              <w:bottom w:w="0" w:type="dxa"/>
              <w:right w:w="108" w:type="dxa"/>
            </w:tcMar>
            <w:vAlign w:val="bottom"/>
          </w:tcPr>
          <w:p w:rsidR="004A147C" w:rsidRPr="007D38C2" w:rsidRDefault="004A147C" w:rsidP="00CE5850">
            <w:pPr>
              <w:snapToGrid w:val="0"/>
              <w:jc w:val="right"/>
              <w:rPr>
                <w:sz w:val="20"/>
              </w:rPr>
            </w:pPr>
            <w:r w:rsidRPr="007D38C2">
              <w:rPr>
                <w:sz w:val="20"/>
              </w:rPr>
              <w:t>105,124</w:t>
            </w:r>
          </w:p>
        </w:tc>
        <w:tc>
          <w:tcPr>
            <w:tcW w:w="1076" w:type="dxa"/>
            <w:tcBorders>
              <w:top w:val="nil"/>
              <w:left w:val="nil"/>
              <w:bottom w:val="single" w:sz="8" w:space="0" w:color="auto"/>
              <w:right w:val="single" w:sz="8" w:space="0" w:color="auto"/>
            </w:tcBorders>
            <w:shd w:val="clear" w:color="auto" w:fill="DAEEF3"/>
            <w:noWrap/>
            <w:tcMar>
              <w:top w:w="0" w:type="dxa"/>
              <w:left w:w="108" w:type="dxa"/>
              <w:bottom w:w="0" w:type="dxa"/>
              <w:right w:w="108" w:type="dxa"/>
            </w:tcMar>
          </w:tcPr>
          <w:p w:rsidR="004A147C" w:rsidRPr="007D38C2" w:rsidRDefault="004A147C" w:rsidP="00CE5850">
            <w:pPr>
              <w:snapToGrid w:val="0"/>
              <w:jc w:val="center"/>
              <w:rPr>
                <w:sz w:val="20"/>
              </w:rPr>
            </w:pPr>
            <w:r w:rsidRPr="007D38C2">
              <w:rPr>
                <w:sz w:val="20"/>
              </w:rPr>
              <w:t>33.6%</w:t>
            </w:r>
          </w:p>
        </w:tc>
        <w:tc>
          <w:tcPr>
            <w:tcW w:w="1219" w:type="dxa"/>
            <w:tcBorders>
              <w:top w:val="nil"/>
              <w:left w:val="nil"/>
              <w:bottom w:val="single" w:sz="8" w:space="0" w:color="auto"/>
              <w:right w:val="single" w:sz="8" w:space="0" w:color="auto"/>
            </w:tcBorders>
            <w:shd w:val="clear" w:color="auto" w:fill="DAEEF3"/>
            <w:noWrap/>
            <w:tcMar>
              <w:top w:w="0" w:type="dxa"/>
              <w:left w:w="108" w:type="dxa"/>
              <w:bottom w:w="0" w:type="dxa"/>
              <w:right w:w="108" w:type="dxa"/>
            </w:tcMar>
            <w:vAlign w:val="bottom"/>
          </w:tcPr>
          <w:p w:rsidR="004A147C" w:rsidRPr="007D38C2" w:rsidRDefault="004A147C" w:rsidP="00CE5850">
            <w:pPr>
              <w:snapToGrid w:val="0"/>
              <w:jc w:val="right"/>
              <w:rPr>
                <w:sz w:val="20"/>
              </w:rPr>
            </w:pPr>
            <w:r w:rsidRPr="007D38C2">
              <w:rPr>
                <w:sz w:val="20"/>
              </w:rPr>
              <w:t>43</w:t>
            </w:r>
          </w:p>
        </w:tc>
        <w:tc>
          <w:tcPr>
            <w:tcW w:w="0" w:type="auto"/>
            <w:tcBorders>
              <w:top w:val="nil"/>
              <w:left w:val="nil"/>
              <w:bottom w:val="single" w:sz="8" w:space="0" w:color="auto"/>
              <w:right w:val="single" w:sz="8" w:space="0" w:color="auto"/>
            </w:tcBorders>
            <w:shd w:val="clear" w:color="auto" w:fill="DAEEF3"/>
            <w:noWrap/>
            <w:tcMar>
              <w:top w:w="0" w:type="dxa"/>
              <w:left w:w="108" w:type="dxa"/>
              <w:bottom w:w="0" w:type="dxa"/>
              <w:right w:w="108" w:type="dxa"/>
            </w:tcMar>
            <w:vAlign w:val="bottom"/>
          </w:tcPr>
          <w:p w:rsidR="004A147C" w:rsidRPr="007D38C2" w:rsidRDefault="004A147C" w:rsidP="00CE5850">
            <w:pPr>
              <w:snapToGrid w:val="0"/>
              <w:jc w:val="right"/>
              <w:rPr>
                <w:sz w:val="20"/>
              </w:rPr>
            </w:pPr>
            <w:r w:rsidRPr="007D38C2">
              <w:rPr>
                <w:sz w:val="20"/>
              </w:rPr>
              <w:t>1.1%</w:t>
            </w:r>
          </w:p>
        </w:tc>
        <w:tc>
          <w:tcPr>
            <w:tcW w:w="0" w:type="auto"/>
            <w:tcBorders>
              <w:top w:val="nil"/>
              <w:left w:val="nil"/>
              <w:bottom w:val="single" w:sz="8" w:space="0" w:color="auto"/>
              <w:right w:val="single" w:sz="8" w:space="0" w:color="auto"/>
            </w:tcBorders>
            <w:shd w:val="clear" w:color="auto" w:fill="DAEEF3"/>
            <w:vAlign w:val="bottom"/>
          </w:tcPr>
          <w:p w:rsidR="004A147C" w:rsidRPr="007D38C2" w:rsidRDefault="004A147C" w:rsidP="00CE5850">
            <w:pPr>
              <w:jc w:val="center"/>
              <w:rPr>
                <w:sz w:val="20"/>
              </w:rPr>
            </w:pPr>
            <w:r w:rsidRPr="007D38C2">
              <w:rPr>
                <w:sz w:val="20"/>
              </w:rPr>
              <w:t>416</w:t>
            </w:r>
          </w:p>
        </w:tc>
        <w:tc>
          <w:tcPr>
            <w:tcW w:w="0" w:type="auto"/>
            <w:tcBorders>
              <w:top w:val="nil"/>
              <w:left w:val="nil"/>
              <w:bottom w:val="single" w:sz="8" w:space="0" w:color="auto"/>
              <w:right w:val="single" w:sz="8" w:space="0" w:color="auto"/>
            </w:tcBorders>
            <w:shd w:val="clear" w:color="auto" w:fill="DAEEF3"/>
            <w:vAlign w:val="bottom"/>
          </w:tcPr>
          <w:p w:rsidR="004A147C" w:rsidRPr="007D38C2" w:rsidRDefault="004A147C" w:rsidP="00CE5850">
            <w:pPr>
              <w:jc w:val="center"/>
              <w:rPr>
                <w:sz w:val="20"/>
              </w:rPr>
            </w:pPr>
            <w:r w:rsidRPr="007D38C2">
              <w:rPr>
                <w:sz w:val="20"/>
              </w:rPr>
              <w:t>6.1%</w:t>
            </w:r>
          </w:p>
        </w:tc>
      </w:tr>
      <w:tr w:rsidR="004A147C" w:rsidRPr="00B53FFB" w:rsidTr="00A0412A">
        <w:trPr>
          <w:trHeight w:val="272"/>
          <w:jc w:val="center"/>
        </w:trPr>
        <w:tc>
          <w:tcPr>
            <w:tcW w:w="0" w:type="auto"/>
            <w:vMerge/>
            <w:tcBorders>
              <w:top w:val="nil"/>
              <w:left w:val="single" w:sz="8" w:space="0" w:color="auto"/>
              <w:bottom w:val="single" w:sz="8" w:space="0" w:color="auto"/>
              <w:right w:val="single" w:sz="8" w:space="0" w:color="auto"/>
            </w:tcBorders>
            <w:shd w:val="clear" w:color="auto" w:fill="DAEEF3"/>
            <w:vAlign w:val="center"/>
          </w:tcPr>
          <w:p w:rsidR="004A147C" w:rsidRPr="007D38C2" w:rsidRDefault="004A147C" w:rsidP="00CE5850">
            <w:pPr>
              <w:rPr>
                <w:b/>
                <w:bCs/>
                <w:sz w:val="20"/>
              </w:rPr>
            </w:pPr>
          </w:p>
        </w:tc>
        <w:tc>
          <w:tcPr>
            <w:tcW w:w="0" w:type="auto"/>
            <w:tcBorders>
              <w:top w:val="nil"/>
              <w:left w:val="nil"/>
              <w:bottom w:val="single" w:sz="8" w:space="0" w:color="auto"/>
              <w:right w:val="single" w:sz="8" w:space="0" w:color="auto"/>
            </w:tcBorders>
            <w:shd w:val="clear" w:color="auto" w:fill="DAEEF3"/>
            <w:noWrap/>
            <w:tcMar>
              <w:top w:w="0" w:type="dxa"/>
              <w:left w:w="108" w:type="dxa"/>
              <w:bottom w:w="0" w:type="dxa"/>
              <w:right w:w="108" w:type="dxa"/>
            </w:tcMar>
            <w:vAlign w:val="bottom"/>
          </w:tcPr>
          <w:p w:rsidR="004A147C" w:rsidRPr="007D38C2" w:rsidRDefault="004A147C" w:rsidP="00CE5850">
            <w:pPr>
              <w:snapToGrid w:val="0"/>
              <w:rPr>
                <w:sz w:val="20"/>
              </w:rPr>
            </w:pPr>
            <w:r w:rsidRPr="007D38C2">
              <w:rPr>
                <w:sz w:val="20"/>
              </w:rPr>
              <w:t>LTE</w:t>
            </w:r>
          </w:p>
        </w:tc>
        <w:tc>
          <w:tcPr>
            <w:tcW w:w="0" w:type="auto"/>
            <w:tcBorders>
              <w:top w:val="nil"/>
              <w:left w:val="nil"/>
              <w:bottom w:val="single" w:sz="8" w:space="0" w:color="auto"/>
              <w:right w:val="single" w:sz="8" w:space="0" w:color="auto"/>
            </w:tcBorders>
            <w:shd w:val="clear" w:color="auto" w:fill="DAEEF3"/>
            <w:noWrap/>
            <w:tcMar>
              <w:top w:w="0" w:type="dxa"/>
              <w:left w:w="108" w:type="dxa"/>
              <w:bottom w:w="0" w:type="dxa"/>
              <w:right w:w="108" w:type="dxa"/>
            </w:tcMar>
            <w:vAlign w:val="bottom"/>
          </w:tcPr>
          <w:p w:rsidR="004A147C" w:rsidRPr="007D38C2" w:rsidRDefault="004A147C" w:rsidP="00CE5850">
            <w:pPr>
              <w:snapToGrid w:val="0"/>
              <w:jc w:val="right"/>
              <w:rPr>
                <w:sz w:val="20"/>
              </w:rPr>
            </w:pPr>
            <w:r w:rsidRPr="007D38C2">
              <w:rPr>
                <w:sz w:val="20"/>
              </w:rPr>
              <w:t>210,940</w:t>
            </w:r>
          </w:p>
        </w:tc>
        <w:tc>
          <w:tcPr>
            <w:tcW w:w="1076" w:type="dxa"/>
            <w:tcBorders>
              <w:top w:val="nil"/>
              <w:left w:val="nil"/>
              <w:bottom w:val="single" w:sz="8" w:space="0" w:color="auto"/>
              <w:right w:val="single" w:sz="8" w:space="0" w:color="auto"/>
            </w:tcBorders>
            <w:shd w:val="clear" w:color="auto" w:fill="DAEEF3"/>
            <w:noWrap/>
            <w:tcMar>
              <w:top w:w="0" w:type="dxa"/>
              <w:left w:w="108" w:type="dxa"/>
              <w:bottom w:w="0" w:type="dxa"/>
              <w:right w:w="108" w:type="dxa"/>
            </w:tcMar>
          </w:tcPr>
          <w:p w:rsidR="004A147C" w:rsidRPr="007D38C2" w:rsidRDefault="004A147C" w:rsidP="00CE5850">
            <w:pPr>
              <w:snapToGrid w:val="0"/>
              <w:jc w:val="center"/>
              <w:rPr>
                <w:sz w:val="20"/>
              </w:rPr>
            </w:pPr>
            <w:r w:rsidRPr="007D38C2">
              <w:rPr>
                <w:sz w:val="20"/>
              </w:rPr>
              <w:t>67.5%</w:t>
            </w:r>
          </w:p>
        </w:tc>
        <w:tc>
          <w:tcPr>
            <w:tcW w:w="1219" w:type="dxa"/>
            <w:tcBorders>
              <w:top w:val="nil"/>
              <w:left w:val="nil"/>
              <w:bottom w:val="single" w:sz="8" w:space="0" w:color="auto"/>
              <w:right w:val="single" w:sz="8" w:space="0" w:color="auto"/>
            </w:tcBorders>
            <w:shd w:val="clear" w:color="auto" w:fill="DAEEF3"/>
            <w:noWrap/>
            <w:tcMar>
              <w:top w:w="0" w:type="dxa"/>
              <w:left w:w="108" w:type="dxa"/>
              <w:bottom w:w="0" w:type="dxa"/>
              <w:right w:w="108" w:type="dxa"/>
            </w:tcMar>
            <w:vAlign w:val="bottom"/>
          </w:tcPr>
          <w:p w:rsidR="004A147C" w:rsidRPr="007D38C2" w:rsidRDefault="004A147C" w:rsidP="00CE5850">
            <w:pPr>
              <w:snapToGrid w:val="0"/>
              <w:jc w:val="right"/>
              <w:rPr>
                <w:sz w:val="20"/>
              </w:rPr>
            </w:pPr>
            <w:r w:rsidRPr="007D38C2">
              <w:rPr>
                <w:sz w:val="20"/>
              </w:rPr>
              <w:t>292</w:t>
            </w:r>
          </w:p>
        </w:tc>
        <w:tc>
          <w:tcPr>
            <w:tcW w:w="0" w:type="auto"/>
            <w:tcBorders>
              <w:top w:val="nil"/>
              <w:left w:val="nil"/>
              <w:bottom w:val="single" w:sz="8" w:space="0" w:color="auto"/>
              <w:right w:val="single" w:sz="8" w:space="0" w:color="auto"/>
            </w:tcBorders>
            <w:shd w:val="clear" w:color="auto" w:fill="DAEEF3"/>
            <w:noWrap/>
            <w:tcMar>
              <w:top w:w="0" w:type="dxa"/>
              <w:left w:w="108" w:type="dxa"/>
              <w:bottom w:w="0" w:type="dxa"/>
              <w:right w:w="108" w:type="dxa"/>
            </w:tcMar>
            <w:vAlign w:val="bottom"/>
          </w:tcPr>
          <w:p w:rsidR="004A147C" w:rsidRPr="007D38C2" w:rsidRDefault="004A147C" w:rsidP="00CE5850">
            <w:pPr>
              <w:snapToGrid w:val="0"/>
              <w:jc w:val="right"/>
              <w:rPr>
                <w:sz w:val="20"/>
              </w:rPr>
            </w:pPr>
            <w:r w:rsidRPr="007D38C2">
              <w:rPr>
                <w:sz w:val="20"/>
              </w:rPr>
              <w:t>7.7%</w:t>
            </w:r>
          </w:p>
        </w:tc>
        <w:tc>
          <w:tcPr>
            <w:tcW w:w="0" w:type="auto"/>
            <w:tcBorders>
              <w:top w:val="nil"/>
              <w:left w:val="nil"/>
              <w:bottom w:val="single" w:sz="8" w:space="0" w:color="auto"/>
              <w:right w:val="single" w:sz="8" w:space="0" w:color="auto"/>
            </w:tcBorders>
            <w:shd w:val="clear" w:color="auto" w:fill="DAEEF3"/>
            <w:vAlign w:val="bottom"/>
          </w:tcPr>
          <w:p w:rsidR="004A147C" w:rsidRPr="007D38C2" w:rsidRDefault="004A147C" w:rsidP="00CE5850">
            <w:pPr>
              <w:jc w:val="center"/>
              <w:rPr>
                <w:sz w:val="20"/>
              </w:rPr>
            </w:pPr>
            <w:r w:rsidRPr="007D38C2">
              <w:rPr>
                <w:sz w:val="20"/>
              </w:rPr>
              <w:t>1,475</w:t>
            </w:r>
          </w:p>
        </w:tc>
        <w:tc>
          <w:tcPr>
            <w:tcW w:w="0" w:type="auto"/>
            <w:tcBorders>
              <w:top w:val="nil"/>
              <w:left w:val="nil"/>
              <w:bottom w:val="single" w:sz="8" w:space="0" w:color="auto"/>
              <w:right w:val="single" w:sz="8" w:space="0" w:color="auto"/>
            </w:tcBorders>
            <w:shd w:val="clear" w:color="auto" w:fill="DAEEF3"/>
            <w:vAlign w:val="bottom"/>
          </w:tcPr>
          <w:p w:rsidR="004A147C" w:rsidRPr="007D38C2" w:rsidRDefault="004A147C" w:rsidP="00CE5850">
            <w:pPr>
              <w:jc w:val="center"/>
              <w:rPr>
                <w:sz w:val="20"/>
              </w:rPr>
            </w:pPr>
            <w:r w:rsidRPr="007D38C2">
              <w:rPr>
                <w:sz w:val="20"/>
              </w:rPr>
              <w:t>21.6%</w:t>
            </w:r>
          </w:p>
        </w:tc>
      </w:tr>
      <w:tr w:rsidR="004A147C" w:rsidRPr="00B53FFB" w:rsidTr="00A0412A">
        <w:trPr>
          <w:trHeight w:val="272"/>
          <w:jc w:val="center"/>
        </w:trPr>
        <w:tc>
          <w:tcPr>
            <w:tcW w:w="0" w:type="auto"/>
            <w:vMerge/>
            <w:tcBorders>
              <w:top w:val="nil"/>
              <w:left w:val="single" w:sz="8" w:space="0" w:color="auto"/>
              <w:bottom w:val="single" w:sz="8" w:space="0" w:color="auto"/>
              <w:right w:val="single" w:sz="8" w:space="0" w:color="auto"/>
            </w:tcBorders>
            <w:shd w:val="clear" w:color="auto" w:fill="DAEEF3"/>
            <w:vAlign w:val="center"/>
          </w:tcPr>
          <w:p w:rsidR="004A147C" w:rsidRPr="007D38C2" w:rsidRDefault="004A147C" w:rsidP="00CE5850">
            <w:pPr>
              <w:rPr>
                <w:b/>
                <w:bCs/>
                <w:sz w:val="20"/>
              </w:rPr>
            </w:pPr>
          </w:p>
        </w:tc>
        <w:tc>
          <w:tcPr>
            <w:tcW w:w="0" w:type="auto"/>
            <w:tcBorders>
              <w:top w:val="nil"/>
              <w:left w:val="nil"/>
              <w:bottom w:val="single" w:sz="8" w:space="0" w:color="auto"/>
              <w:right w:val="single" w:sz="8" w:space="0" w:color="auto"/>
            </w:tcBorders>
            <w:shd w:val="clear" w:color="auto" w:fill="DAEEF3"/>
            <w:noWrap/>
            <w:tcMar>
              <w:top w:w="0" w:type="dxa"/>
              <w:left w:w="108" w:type="dxa"/>
              <w:bottom w:w="0" w:type="dxa"/>
              <w:right w:w="108" w:type="dxa"/>
            </w:tcMar>
            <w:vAlign w:val="bottom"/>
          </w:tcPr>
          <w:p w:rsidR="004A147C" w:rsidRPr="007D38C2" w:rsidRDefault="004A147C" w:rsidP="00CE5850">
            <w:pPr>
              <w:snapToGrid w:val="0"/>
              <w:rPr>
                <w:b/>
                <w:bCs/>
                <w:sz w:val="20"/>
              </w:rPr>
            </w:pPr>
            <w:r w:rsidRPr="007D38C2">
              <w:rPr>
                <w:b/>
                <w:bCs/>
                <w:sz w:val="20"/>
              </w:rPr>
              <w:t xml:space="preserve">Total Mobile </w:t>
            </w:r>
          </w:p>
          <w:p w:rsidR="004A147C" w:rsidRPr="007D38C2" w:rsidRDefault="004A147C" w:rsidP="00CE5850">
            <w:pPr>
              <w:snapToGrid w:val="0"/>
              <w:rPr>
                <w:b/>
                <w:bCs/>
                <w:sz w:val="20"/>
              </w:rPr>
            </w:pPr>
            <w:r w:rsidRPr="007D38C2">
              <w:rPr>
                <w:b/>
                <w:bCs/>
                <w:sz w:val="20"/>
              </w:rPr>
              <w:t xml:space="preserve">Broadband </w:t>
            </w:r>
          </w:p>
          <w:p w:rsidR="004A147C" w:rsidRPr="007D38C2" w:rsidRDefault="004A147C" w:rsidP="00CE5850">
            <w:pPr>
              <w:snapToGrid w:val="0"/>
              <w:rPr>
                <w:b/>
                <w:bCs/>
                <w:sz w:val="20"/>
              </w:rPr>
            </w:pPr>
            <w:r w:rsidRPr="007D38C2">
              <w:rPr>
                <w:b/>
                <w:bCs/>
                <w:sz w:val="20"/>
              </w:rPr>
              <w:t>Coverage (3G/4G)</w:t>
            </w:r>
          </w:p>
        </w:tc>
        <w:tc>
          <w:tcPr>
            <w:tcW w:w="0" w:type="auto"/>
            <w:tcBorders>
              <w:top w:val="nil"/>
              <w:left w:val="nil"/>
              <w:bottom w:val="single" w:sz="8" w:space="0" w:color="auto"/>
              <w:right w:val="single" w:sz="8" w:space="0" w:color="auto"/>
            </w:tcBorders>
            <w:shd w:val="clear" w:color="auto" w:fill="DAEEF3"/>
            <w:noWrap/>
            <w:tcMar>
              <w:top w:w="0" w:type="dxa"/>
              <w:left w:w="108" w:type="dxa"/>
              <w:bottom w:w="0" w:type="dxa"/>
              <w:right w:w="108" w:type="dxa"/>
            </w:tcMar>
          </w:tcPr>
          <w:p w:rsidR="004A147C" w:rsidRPr="007D38C2" w:rsidRDefault="004A147C" w:rsidP="00CE5850">
            <w:pPr>
              <w:snapToGrid w:val="0"/>
              <w:jc w:val="center"/>
              <w:rPr>
                <w:b/>
                <w:bCs/>
                <w:sz w:val="20"/>
              </w:rPr>
            </w:pPr>
            <w:r w:rsidRPr="007D38C2">
              <w:rPr>
                <w:b/>
                <w:bCs/>
                <w:sz w:val="20"/>
              </w:rPr>
              <w:t>310,519</w:t>
            </w:r>
          </w:p>
        </w:tc>
        <w:tc>
          <w:tcPr>
            <w:tcW w:w="1076" w:type="dxa"/>
            <w:tcBorders>
              <w:top w:val="nil"/>
              <w:left w:val="nil"/>
              <w:bottom w:val="single" w:sz="8" w:space="0" w:color="auto"/>
              <w:right w:val="single" w:sz="8" w:space="0" w:color="auto"/>
            </w:tcBorders>
            <w:shd w:val="clear" w:color="auto" w:fill="DAEEF3"/>
            <w:noWrap/>
            <w:tcMar>
              <w:top w:w="0" w:type="dxa"/>
              <w:left w:w="108" w:type="dxa"/>
              <w:bottom w:w="0" w:type="dxa"/>
              <w:right w:w="108" w:type="dxa"/>
            </w:tcMar>
          </w:tcPr>
          <w:p w:rsidR="004A147C" w:rsidRPr="007D38C2" w:rsidRDefault="004A147C" w:rsidP="00CE5850">
            <w:pPr>
              <w:snapToGrid w:val="0"/>
              <w:jc w:val="center"/>
              <w:rPr>
                <w:b/>
                <w:bCs/>
                <w:sz w:val="20"/>
              </w:rPr>
            </w:pPr>
            <w:r w:rsidRPr="007D38C2">
              <w:rPr>
                <w:b/>
                <w:bCs/>
                <w:sz w:val="20"/>
              </w:rPr>
              <w:t>99.4%</w:t>
            </w:r>
          </w:p>
        </w:tc>
        <w:tc>
          <w:tcPr>
            <w:tcW w:w="1219" w:type="dxa"/>
            <w:tcBorders>
              <w:top w:val="nil"/>
              <w:left w:val="nil"/>
              <w:bottom w:val="single" w:sz="8" w:space="0" w:color="auto"/>
              <w:right w:val="single" w:sz="8" w:space="0" w:color="auto"/>
            </w:tcBorders>
            <w:shd w:val="clear" w:color="auto" w:fill="DAEEF3"/>
            <w:noWrap/>
            <w:tcMar>
              <w:top w:w="0" w:type="dxa"/>
              <w:left w:w="108" w:type="dxa"/>
              <w:bottom w:w="0" w:type="dxa"/>
              <w:right w:w="108" w:type="dxa"/>
            </w:tcMar>
          </w:tcPr>
          <w:p w:rsidR="004A147C" w:rsidRPr="007D38C2" w:rsidRDefault="004A147C" w:rsidP="00CE5850">
            <w:pPr>
              <w:snapToGrid w:val="0"/>
              <w:jc w:val="center"/>
              <w:rPr>
                <w:b/>
                <w:bCs/>
                <w:sz w:val="20"/>
              </w:rPr>
            </w:pPr>
            <w:r w:rsidRPr="007D38C2">
              <w:rPr>
                <w:b/>
                <w:bCs/>
                <w:sz w:val="20"/>
              </w:rPr>
              <w:t>2,517</w:t>
            </w:r>
          </w:p>
        </w:tc>
        <w:tc>
          <w:tcPr>
            <w:tcW w:w="0" w:type="auto"/>
            <w:tcBorders>
              <w:top w:val="nil"/>
              <w:left w:val="nil"/>
              <w:bottom w:val="single" w:sz="8" w:space="0" w:color="auto"/>
              <w:right w:val="single" w:sz="8" w:space="0" w:color="auto"/>
            </w:tcBorders>
            <w:shd w:val="clear" w:color="auto" w:fill="DAEEF3"/>
            <w:noWrap/>
            <w:tcMar>
              <w:top w:w="0" w:type="dxa"/>
              <w:left w:w="108" w:type="dxa"/>
              <w:bottom w:w="0" w:type="dxa"/>
              <w:right w:w="108" w:type="dxa"/>
            </w:tcMar>
          </w:tcPr>
          <w:p w:rsidR="004A147C" w:rsidRPr="007D38C2" w:rsidRDefault="004A147C" w:rsidP="00CE5850">
            <w:pPr>
              <w:snapToGrid w:val="0"/>
              <w:jc w:val="center"/>
              <w:rPr>
                <w:b/>
                <w:bCs/>
                <w:sz w:val="20"/>
              </w:rPr>
            </w:pPr>
            <w:r w:rsidRPr="007D38C2">
              <w:rPr>
                <w:b/>
                <w:bCs/>
                <w:sz w:val="20"/>
              </w:rPr>
              <w:t>66.2%</w:t>
            </w:r>
          </w:p>
        </w:tc>
        <w:tc>
          <w:tcPr>
            <w:tcW w:w="0" w:type="auto"/>
            <w:tcBorders>
              <w:top w:val="nil"/>
              <w:left w:val="nil"/>
              <w:bottom w:val="single" w:sz="8" w:space="0" w:color="auto"/>
              <w:right w:val="single" w:sz="8" w:space="0" w:color="auto"/>
            </w:tcBorders>
            <w:shd w:val="clear" w:color="auto" w:fill="DAEEF3"/>
          </w:tcPr>
          <w:p w:rsidR="004A147C" w:rsidRPr="007D38C2" w:rsidRDefault="004A147C" w:rsidP="00CE5850">
            <w:pPr>
              <w:jc w:val="center"/>
              <w:rPr>
                <w:b/>
                <w:sz w:val="20"/>
              </w:rPr>
            </w:pPr>
            <w:r w:rsidRPr="007D38C2">
              <w:rPr>
                <w:b/>
                <w:sz w:val="20"/>
              </w:rPr>
              <w:t>6,115</w:t>
            </w:r>
          </w:p>
        </w:tc>
        <w:tc>
          <w:tcPr>
            <w:tcW w:w="0" w:type="auto"/>
            <w:tcBorders>
              <w:top w:val="nil"/>
              <w:left w:val="nil"/>
              <w:bottom w:val="single" w:sz="8" w:space="0" w:color="auto"/>
              <w:right w:val="single" w:sz="8" w:space="0" w:color="auto"/>
            </w:tcBorders>
            <w:shd w:val="clear" w:color="auto" w:fill="DAEEF3"/>
          </w:tcPr>
          <w:p w:rsidR="004A147C" w:rsidRPr="007D38C2" w:rsidRDefault="004A147C" w:rsidP="00CE5850">
            <w:pPr>
              <w:jc w:val="center"/>
              <w:rPr>
                <w:b/>
                <w:sz w:val="20"/>
              </w:rPr>
            </w:pPr>
            <w:r w:rsidRPr="007D38C2">
              <w:rPr>
                <w:b/>
                <w:sz w:val="20"/>
              </w:rPr>
              <w:t>89.6%</w:t>
            </w:r>
          </w:p>
        </w:tc>
      </w:tr>
    </w:tbl>
    <w:p w:rsidR="004A147C" w:rsidRDefault="004A147C" w:rsidP="00CE5850">
      <w:pPr>
        <w:pStyle w:val="Caption"/>
        <w:widowControl w:val="0"/>
        <w:jc w:val="center"/>
      </w:pPr>
    </w:p>
    <w:p w:rsidR="004A147C" w:rsidRDefault="004A147C" w:rsidP="00CE5850">
      <w:pPr>
        <w:pStyle w:val="Caption"/>
        <w:widowControl w:val="0"/>
        <w:jc w:val="center"/>
      </w:pPr>
    </w:p>
    <w:p w:rsidR="004A147C" w:rsidRDefault="004A147C" w:rsidP="00CE5850"/>
    <w:p w:rsidR="004A147C" w:rsidRDefault="004A147C" w:rsidP="00CE5850"/>
    <w:p w:rsidR="00856523" w:rsidRDefault="00856523" w:rsidP="00CE5850"/>
    <w:p w:rsidR="00856523" w:rsidRPr="007F6269" w:rsidRDefault="00856523" w:rsidP="00CE5850"/>
    <w:p w:rsidR="004A147C" w:rsidRDefault="004A147C" w:rsidP="00CE5850">
      <w:pPr>
        <w:pStyle w:val="Caption"/>
        <w:widowControl w:val="0"/>
        <w:jc w:val="center"/>
        <w:rPr>
          <w:bCs w:val="0"/>
          <w:sz w:val="22"/>
          <w:szCs w:val="22"/>
        </w:rPr>
      </w:pPr>
      <w:r>
        <w:t xml:space="preserve">Table </w:t>
      </w:r>
      <w:r w:rsidR="0007014B">
        <w:fldChar w:fldCharType="begin"/>
      </w:r>
      <w:r w:rsidR="00CE74AC">
        <w:instrText xml:space="preserve"> SEQ Table \* ARABIC </w:instrText>
      </w:r>
      <w:r w:rsidR="0007014B">
        <w:fldChar w:fldCharType="separate"/>
      </w:r>
      <w:r w:rsidR="00CA3AC6">
        <w:rPr>
          <w:noProof/>
        </w:rPr>
        <w:t>32</w:t>
      </w:r>
      <w:r w:rsidR="0007014B">
        <w:rPr>
          <w:noProof/>
        </w:rPr>
        <w:fldChar w:fldCharType="end"/>
      </w:r>
      <w:r>
        <w:br/>
      </w:r>
      <w:r w:rsidRPr="00F00DAF">
        <w:rPr>
          <w:bCs w:val="0"/>
          <w:sz w:val="22"/>
          <w:szCs w:val="22"/>
        </w:rPr>
        <w:t xml:space="preserve">Estimated Mobile Wireless Data/Broadband Network Coverage by Census Block, </w:t>
      </w:r>
      <w:r>
        <w:rPr>
          <w:bCs w:val="0"/>
          <w:sz w:val="22"/>
          <w:szCs w:val="22"/>
        </w:rPr>
        <w:t>Oct</w:t>
      </w:r>
      <w:r w:rsidRPr="00F00DAF">
        <w:rPr>
          <w:bCs w:val="0"/>
          <w:sz w:val="22"/>
          <w:szCs w:val="22"/>
        </w:rPr>
        <w:t>. 2012</w:t>
      </w:r>
      <w:r w:rsidRPr="00F00DAF">
        <w:rPr>
          <w:rStyle w:val="FootnoteReference"/>
          <w:bCs w:val="0"/>
          <w:szCs w:val="22"/>
        </w:rPr>
        <w:footnoteReference w:id="648"/>
      </w:r>
    </w:p>
    <w:tbl>
      <w:tblPr>
        <w:tblW w:w="0" w:type="auto"/>
        <w:jc w:val="center"/>
        <w:tblCellMar>
          <w:left w:w="0" w:type="dxa"/>
          <w:right w:w="0" w:type="dxa"/>
        </w:tblCellMar>
        <w:tblLook w:val="00A0" w:firstRow="1" w:lastRow="0" w:firstColumn="1" w:lastColumn="0" w:noHBand="0" w:noVBand="0"/>
      </w:tblPr>
      <w:tblGrid>
        <w:gridCol w:w="636"/>
        <w:gridCol w:w="2252"/>
        <w:gridCol w:w="1310"/>
        <w:gridCol w:w="1076"/>
        <w:gridCol w:w="1284"/>
        <w:gridCol w:w="925"/>
        <w:gridCol w:w="1307"/>
        <w:gridCol w:w="688"/>
      </w:tblGrid>
      <w:tr w:rsidR="004A147C" w:rsidRPr="00B53FFB" w:rsidTr="00F00DAF">
        <w:trPr>
          <w:trHeight w:val="726"/>
          <w:jc w:val="center"/>
        </w:trPr>
        <w:tc>
          <w:tcPr>
            <w:tcW w:w="0" w:type="auto"/>
            <w:gridSpan w:val="2"/>
            <w:tcBorders>
              <w:top w:val="single" w:sz="8" w:space="0" w:color="auto"/>
              <w:left w:val="single" w:sz="8" w:space="0" w:color="auto"/>
              <w:bottom w:val="single" w:sz="8" w:space="0" w:color="auto"/>
              <w:right w:val="single" w:sz="8" w:space="0" w:color="auto"/>
            </w:tcBorders>
            <w:shd w:val="clear" w:color="auto" w:fill="DAEEF3"/>
            <w:tcMar>
              <w:top w:w="0" w:type="dxa"/>
              <w:left w:w="108" w:type="dxa"/>
              <w:bottom w:w="0" w:type="dxa"/>
              <w:right w:w="108" w:type="dxa"/>
            </w:tcMar>
          </w:tcPr>
          <w:p w:rsidR="004A147C" w:rsidRPr="007D38C2" w:rsidRDefault="004A147C" w:rsidP="00CE5850">
            <w:pPr>
              <w:snapToGrid w:val="0"/>
              <w:jc w:val="center"/>
              <w:rPr>
                <w:b/>
                <w:bCs/>
                <w:iCs/>
                <w:sz w:val="20"/>
              </w:rPr>
            </w:pPr>
            <w:r w:rsidRPr="007D38C2">
              <w:rPr>
                <w:b/>
                <w:bCs/>
                <w:iCs/>
                <w:sz w:val="20"/>
              </w:rPr>
              <w:t>Technology</w:t>
            </w:r>
          </w:p>
        </w:tc>
        <w:tc>
          <w:tcPr>
            <w:tcW w:w="0" w:type="auto"/>
            <w:tcBorders>
              <w:top w:val="single" w:sz="8" w:space="0" w:color="auto"/>
              <w:left w:val="nil"/>
              <w:bottom w:val="single" w:sz="8" w:space="0" w:color="auto"/>
              <w:right w:val="single" w:sz="8" w:space="0" w:color="auto"/>
            </w:tcBorders>
            <w:shd w:val="clear" w:color="auto" w:fill="DAEEF3"/>
            <w:tcMar>
              <w:top w:w="0" w:type="dxa"/>
              <w:left w:w="108" w:type="dxa"/>
              <w:bottom w:w="0" w:type="dxa"/>
              <w:right w:w="108" w:type="dxa"/>
            </w:tcMar>
          </w:tcPr>
          <w:p w:rsidR="004A147C" w:rsidRPr="007D38C2" w:rsidRDefault="004A147C" w:rsidP="00CE5850">
            <w:pPr>
              <w:snapToGrid w:val="0"/>
              <w:jc w:val="center"/>
              <w:rPr>
                <w:b/>
                <w:bCs/>
                <w:iCs/>
                <w:sz w:val="20"/>
              </w:rPr>
            </w:pPr>
            <w:r w:rsidRPr="007D38C2">
              <w:rPr>
                <w:b/>
                <w:bCs/>
                <w:iCs/>
                <w:sz w:val="20"/>
              </w:rPr>
              <w:t xml:space="preserve">POPs in Covered </w:t>
            </w:r>
          </w:p>
          <w:p w:rsidR="004A147C" w:rsidRPr="007D38C2" w:rsidRDefault="004A147C" w:rsidP="00CE5850">
            <w:pPr>
              <w:snapToGrid w:val="0"/>
              <w:jc w:val="center"/>
              <w:rPr>
                <w:b/>
                <w:bCs/>
                <w:iCs/>
                <w:sz w:val="20"/>
              </w:rPr>
            </w:pPr>
            <w:r w:rsidRPr="007D38C2">
              <w:rPr>
                <w:b/>
                <w:bCs/>
                <w:iCs/>
                <w:sz w:val="20"/>
              </w:rPr>
              <w:t>Blocks</w:t>
            </w:r>
          </w:p>
          <w:p w:rsidR="004A147C" w:rsidRPr="007D38C2" w:rsidRDefault="004A147C" w:rsidP="00CE5850">
            <w:pPr>
              <w:snapToGrid w:val="0"/>
              <w:jc w:val="center"/>
              <w:rPr>
                <w:b/>
                <w:bCs/>
                <w:iCs/>
                <w:sz w:val="20"/>
              </w:rPr>
            </w:pPr>
            <w:r w:rsidRPr="007D38C2">
              <w:rPr>
                <w:b/>
                <w:bCs/>
                <w:iCs/>
                <w:sz w:val="20"/>
              </w:rPr>
              <w:t>(Thousands)</w:t>
            </w:r>
          </w:p>
        </w:tc>
        <w:tc>
          <w:tcPr>
            <w:tcW w:w="1076" w:type="dxa"/>
            <w:tcBorders>
              <w:top w:val="single" w:sz="8" w:space="0" w:color="auto"/>
              <w:left w:val="nil"/>
              <w:bottom w:val="single" w:sz="8" w:space="0" w:color="auto"/>
              <w:right w:val="single" w:sz="8" w:space="0" w:color="auto"/>
            </w:tcBorders>
            <w:shd w:val="clear" w:color="auto" w:fill="DAEEF3"/>
            <w:tcMar>
              <w:top w:w="0" w:type="dxa"/>
              <w:left w:w="108" w:type="dxa"/>
              <w:bottom w:w="0" w:type="dxa"/>
              <w:right w:w="108" w:type="dxa"/>
            </w:tcMar>
          </w:tcPr>
          <w:p w:rsidR="004A147C" w:rsidRPr="007D38C2" w:rsidRDefault="004A147C" w:rsidP="00CE5850">
            <w:pPr>
              <w:snapToGrid w:val="0"/>
              <w:jc w:val="center"/>
              <w:rPr>
                <w:b/>
                <w:bCs/>
                <w:iCs/>
                <w:sz w:val="20"/>
              </w:rPr>
            </w:pPr>
            <w:r w:rsidRPr="007D38C2">
              <w:rPr>
                <w:b/>
                <w:bCs/>
                <w:iCs/>
                <w:sz w:val="20"/>
              </w:rPr>
              <w:t>% of Total POPs</w:t>
            </w:r>
          </w:p>
        </w:tc>
        <w:tc>
          <w:tcPr>
            <w:tcW w:w="1284" w:type="dxa"/>
            <w:tcBorders>
              <w:top w:val="single" w:sz="8" w:space="0" w:color="auto"/>
              <w:left w:val="nil"/>
              <w:bottom w:val="single" w:sz="8" w:space="0" w:color="auto"/>
              <w:right w:val="single" w:sz="8" w:space="0" w:color="auto"/>
            </w:tcBorders>
            <w:shd w:val="clear" w:color="auto" w:fill="DAEEF3"/>
            <w:tcMar>
              <w:top w:w="0" w:type="dxa"/>
              <w:left w:w="108" w:type="dxa"/>
              <w:bottom w:w="0" w:type="dxa"/>
              <w:right w:w="108" w:type="dxa"/>
            </w:tcMar>
          </w:tcPr>
          <w:p w:rsidR="004A147C" w:rsidRPr="007D38C2" w:rsidRDefault="004A147C" w:rsidP="00CE5850">
            <w:pPr>
              <w:snapToGrid w:val="0"/>
              <w:jc w:val="center"/>
              <w:rPr>
                <w:b/>
                <w:bCs/>
                <w:iCs/>
                <w:sz w:val="20"/>
              </w:rPr>
            </w:pPr>
            <w:r w:rsidRPr="007D38C2">
              <w:rPr>
                <w:b/>
                <w:bCs/>
                <w:iCs/>
                <w:sz w:val="20"/>
              </w:rPr>
              <w:t>Square Miles Contained in Those Blocks</w:t>
            </w:r>
          </w:p>
          <w:p w:rsidR="004A147C" w:rsidRPr="007D38C2" w:rsidRDefault="004A147C" w:rsidP="00CE5850">
            <w:pPr>
              <w:snapToGrid w:val="0"/>
              <w:jc w:val="center"/>
              <w:rPr>
                <w:b/>
                <w:bCs/>
                <w:iCs/>
                <w:sz w:val="20"/>
              </w:rPr>
            </w:pPr>
            <w:r w:rsidRPr="007D38C2">
              <w:rPr>
                <w:b/>
                <w:bCs/>
                <w:iCs/>
                <w:sz w:val="20"/>
              </w:rPr>
              <w:t>(Thousands)</w:t>
            </w:r>
          </w:p>
        </w:tc>
        <w:tc>
          <w:tcPr>
            <w:tcW w:w="0" w:type="auto"/>
            <w:tcBorders>
              <w:top w:val="single" w:sz="8" w:space="0" w:color="auto"/>
              <w:left w:val="nil"/>
              <w:bottom w:val="single" w:sz="8" w:space="0" w:color="auto"/>
              <w:right w:val="single" w:sz="8" w:space="0" w:color="auto"/>
            </w:tcBorders>
            <w:shd w:val="clear" w:color="auto" w:fill="DAEEF3"/>
            <w:tcMar>
              <w:top w:w="0" w:type="dxa"/>
              <w:left w:w="108" w:type="dxa"/>
              <w:bottom w:w="0" w:type="dxa"/>
              <w:right w:w="108" w:type="dxa"/>
            </w:tcMar>
          </w:tcPr>
          <w:p w:rsidR="004A147C" w:rsidRPr="007D38C2" w:rsidRDefault="004A147C" w:rsidP="00CE5850">
            <w:pPr>
              <w:snapToGrid w:val="0"/>
              <w:jc w:val="center"/>
              <w:rPr>
                <w:b/>
                <w:bCs/>
                <w:iCs/>
                <w:sz w:val="20"/>
              </w:rPr>
            </w:pPr>
            <w:r w:rsidRPr="007D38C2">
              <w:rPr>
                <w:b/>
                <w:bCs/>
                <w:iCs/>
                <w:sz w:val="20"/>
              </w:rPr>
              <w:t>% of Total Square Miles</w:t>
            </w:r>
          </w:p>
        </w:tc>
        <w:tc>
          <w:tcPr>
            <w:tcW w:w="0" w:type="auto"/>
            <w:tcBorders>
              <w:top w:val="single" w:sz="8" w:space="0" w:color="auto"/>
              <w:left w:val="nil"/>
              <w:bottom w:val="single" w:sz="8" w:space="0" w:color="auto"/>
              <w:right w:val="single" w:sz="8" w:space="0" w:color="auto"/>
            </w:tcBorders>
            <w:shd w:val="clear" w:color="auto" w:fill="DAEEF3"/>
          </w:tcPr>
          <w:p w:rsidR="004A147C" w:rsidRPr="007D38C2" w:rsidRDefault="004A147C" w:rsidP="00CE5850">
            <w:pPr>
              <w:snapToGrid w:val="0"/>
              <w:jc w:val="center"/>
              <w:rPr>
                <w:b/>
                <w:bCs/>
                <w:iCs/>
                <w:sz w:val="20"/>
              </w:rPr>
            </w:pPr>
            <w:r w:rsidRPr="007D38C2">
              <w:rPr>
                <w:b/>
                <w:bCs/>
                <w:iCs/>
                <w:sz w:val="20"/>
              </w:rPr>
              <w:t>Road Miles Contained in Those Blocks (Thousands)</w:t>
            </w:r>
          </w:p>
        </w:tc>
        <w:tc>
          <w:tcPr>
            <w:tcW w:w="0" w:type="auto"/>
            <w:tcBorders>
              <w:top w:val="single" w:sz="8" w:space="0" w:color="auto"/>
              <w:left w:val="nil"/>
              <w:bottom w:val="single" w:sz="8" w:space="0" w:color="auto"/>
              <w:right w:val="single" w:sz="8" w:space="0" w:color="auto"/>
            </w:tcBorders>
            <w:shd w:val="clear" w:color="auto" w:fill="DAEEF3"/>
          </w:tcPr>
          <w:p w:rsidR="004A147C" w:rsidRPr="007D38C2" w:rsidRDefault="004A147C" w:rsidP="00CE5850">
            <w:pPr>
              <w:snapToGrid w:val="0"/>
              <w:jc w:val="center"/>
              <w:rPr>
                <w:b/>
                <w:bCs/>
                <w:iCs/>
                <w:sz w:val="20"/>
              </w:rPr>
            </w:pPr>
            <w:r w:rsidRPr="007D38C2">
              <w:rPr>
                <w:b/>
                <w:bCs/>
                <w:iCs/>
                <w:sz w:val="20"/>
              </w:rPr>
              <w:t>% of Total U.S. Road Miles</w:t>
            </w:r>
          </w:p>
        </w:tc>
      </w:tr>
      <w:tr w:rsidR="004A147C" w:rsidRPr="00B53FFB" w:rsidTr="00F00DAF">
        <w:trPr>
          <w:trHeight w:val="272"/>
          <w:jc w:val="center"/>
        </w:trPr>
        <w:tc>
          <w:tcPr>
            <w:tcW w:w="0" w:type="auto"/>
            <w:vMerge w:val="restart"/>
            <w:tcBorders>
              <w:top w:val="nil"/>
              <w:left w:val="single" w:sz="8" w:space="0" w:color="auto"/>
              <w:bottom w:val="double" w:sz="4" w:space="0" w:color="auto"/>
              <w:right w:val="single" w:sz="8" w:space="0" w:color="auto"/>
            </w:tcBorders>
            <w:shd w:val="clear" w:color="auto" w:fill="DAEEF3"/>
            <w:tcMar>
              <w:top w:w="0" w:type="dxa"/>
              <w:left w:w="108" w:type="dxa"/>
              <w:bottom w:w="0" w:type="dxa"/>
              <w:right w:w="108" w:type="dxa"/>
            </w:tcMar>
          </w:tcPr>
          <w:p w:rsidR="004A147C" w:rsidRPr="007D38C2" w:rsidRDefault="004A147C" w:rsidP="00CE5850">
            <w:pPr>
              <w:snapToGrid w:val="0"/>
              <w:rPr>
                <w:b/>
                <w:bCs/>
                <w:sz w:val="20"/>
                <w:lang w:val="pt-BR"/>
              </w:rPr>
            </w:pPr>
            <w:r w:rsidRPr="007D38C2">
              <w:rPr>
                <w:b/>
                <w:bCs/>
                <w:sz w:val="20"/>
                <w:lang w:val="pt-BR"/>
              </w:rPr>
              <w:t>2.5G</w:t>
            </w:r>
          </w:p>
        </w:tc>
        <w:tc>
          <w:tcPr>
            <w:tcW w:w="0" w:type="auto"/>
            <w:tcBorders>
              <w:top w:val="nil"/>
              <w:left w:val="nil"/>
              <w:bottom w:val="single" w:sz="8" w:space="0" w:color="auto"/>
              <w:right w:val="single" w:sz="8" w:space="0" w:color="auto"/>
            </w:tcBorders>
            <w:shd w:val="clear" w:color="auto" w:fill="DAEEF3"/>
            <w:noWrap/>
            <w:tcMar>
              <w:top w:w="0" w:type="dxa"/>
              <w:left w:w="108" w:type="dxa"/>
              <w:bottom w:w="0" w:type="dxa"/>
              <w:right w:w="108" w:type="dxa"/>
            </w:tcMar>
            <w:vAlign w:val="bottom"/>
          </w:tcPr>
          <w:p w:rsidR="004A147C" w:rsidRPr="007D38C2" w:rsidRDefault="004A147C" w:rsidP="00CE5850">
            <w:pPr>
              <w:snapToGrid w:val="0"/>
              <w:rPr>
                <w:sz w:val="20"/>
                <w:lang w:val="pt-BR"/>
              </w:rPr>
            </w:pPr>
            <w:r w:rsidRPr="007D38C2">
              <w:rPr>
                <w:sz w:val="20"/>
                <w:lang w:val="pt-BR"/>
              </w:rPr>
              <w:t>CDMA 1xRTT</w:t>
            </w:r>
          </w:p>
        </w:tc>
        <w:tc>
          <w:tcPr>
            <w:tcW w:w="0" w:type="auto"/>
            <w:tcBorders>
              <w:top w:val="nil"/>
              <w:left w:val="nil"/>
              <w:bottom w:val="single" w:sz="8" w:space="0" w:color="auto"/>
              <w:right w:val="single" w:sz="8" w:space="0" w:color="auto"/>
            </w:tcBorders>
            <w:shd w:val="clear" w:color="auto" w:fill="DAEEF3"/>
            <w:noWrap/>
            <w:tcMar>
              <w:top w:w="0" w:type="dxa"/>
              <w:left w:w="108" w:type="dxa"/>
              <w:bottom w:w="0" w:type="dxa"/>
              <w:right w:w="108" w:type="dxa"/>
            </w:tcMar>
          </w:tcPr>
          <w:p w:rsidR="004A147C" w:rsidRPr="00F00DAF" w:rsidRDefault="004A147C" w:rsidP="00CE5850">
            <w:pPr>
              <w:rPr>
                <w:sz w:val="20"/>
              </w:rPr>
            </w:pPr>
            <w:r w:rsidRPr="00F00DAF">
              <w:rPr>
                <w:sz w:val="20"/>
              </w:rPr>
              <w:t>310,296</w:t>
            </w:r>
          </w:p>
        </w:tc>
        <w:tc>
          <w:tcPr>
            <w:tcW w:w="1076" w:type="dxa"/>
            <w:tcBorders>
              <w:top w:val="nil"/>
              <w:left w:val="nil"/>
              <w:bottom w:val="single" w:sz="8" w:space="0" w:color="auto"/>
              <w:right w:val="single" w:sz="8" w:space="0" w:color="auto"/>
            </w:tcBorders>
            <w:shd w:val="clear" w:color="auto" w:fill="DAEEF3"/>
            <w:noWrap/>
            <w:tcMar>
              <w:top w:w="0" w:type="dxa"/>
              <w:left w:w="108" w:type="dxa"/>
              <w:bottom w:w="0" w:type="dxa"/>
              <w:right w:w="108" w:type="dxa"/>
            </w:tcMar>
          </w:tcPr>
          <w:p w:rsidR="004A147C" w:rsidRPr="00F00DAF" w:rsidRDefault="004A147C" w:rsidP="00CE5850">
            <w:pPr>
              <w:rPr>
                <w:sz w:val="20"/>
              </w:rPr>
            </w:pPr>
            <w:r w:rsidRPr="00F00DAF">
              <w:rPr>
                <w:sz w:val="20"/>
              </w:rPr>
              <w:t>99.3%</w:t>
            </w:r>
          </w:p>
        </w:tc>
        <w:tc>
          <w:tcPr>
            <w:tcW w:w="1284" w:type="dxa"/>
            <w:tcBorders>
              <w:top w:val="nil"/>
              <w:left w:val="nil"/>
              <w:bottom w:val="single" w:sz="8" w:space="0" w:color="auto"/>
              <w:right w:val="single" w:sz="8" w:space="0" w:color="auto"/>
            </w:tcBorders>
            <w:shd w:val="clear" w:color="auto" w:fill="DAEEF3"/>
            <w:noWrap/>
            <w:tcMar>
              <w:top w:w="0" w:type="dxa"/>
              <w:left w:w="108" w:type="dxa"/>
              <w:bottom w:w="0" w:type="dxa"/>
              <w:right w:w="108" w:type="dxa"/>
            </w:tcMar>
          </w:tcPr>
          <w:p w:rsidR="004A147C" w:rsidRPr="00F00DAF" w:rsidRDefault="004A147C" w:rsidP="00CE5850">
            <w:pPr>
              <w:rPr>
                <w:sz w:val="20"/>
              </w:rPr>
            </w:pPr>
            <w:r w:rsidRPr="00F00DAF">
              <w:rPr>
                <w:sz w:val="20"/>
              </w:rPr>
              <w:t>2,534</w:t>
            </w:r>
          </w:p>
        </w:tc>
        <w:tc>
          <w:tcPr>
            <w:tcW w:w="0" w:type="auto"/>
            <w:tcBorders>
              <w:top w:val="nil"/>
              <w:left w:val="nil"/>
              <w:bottom w:val="single" w:sz="8" w:space="0" w:color="auto"/>
              <w:right w:val="single" w:sz="8" w:space="0" w:color="auto"/>
            </w:tcBorders>
            <w:shd w:val="clear" w:color="auto" w:fill="DAEEF3"/>
            <w:noWrap/>
            <w:tcMar>
              <w:top w:w="0" w:type="dxa"/>
              <w:left w:w="108" w:type="dxa"/>
              <w:bottom w:w="0" w:type="dxa"/>
              <w:right w:w="108" w:type="dxa"/>
            </w:tcMar>
          </w:tcPr>
          <w:p w:rsidR="004A147C" w:rsidRPr="00F00DAF" w:rsidRDefault="004A147C" w:rsidP="00CE5850">
            <w:pPr>
              <w:rPr>
                <w:sz w:val="20"/>
              </w:rPr>
            </w:pPr>
            <w:r w:rsidRPr="00F00DAF">
              <w:rPr>
                <w:sz w:val="20"/>
              </w:rPr>
              <w:t>66.6%</w:t>
            </w:r>
          </w:p>
        </w:tc>
        <w:tc>
          <w:tcPr>
            <w:tcW w:w="0" w:type="auto"/>
            <w:tcBorders>
              <w:top w:val="nil"/>
              <w:left w:val="nil"/>
              <w:bottom w:val="single" w:sz="8" w:space="0" w:color="auto"/>
              <w:right w:val="single" w:sz="8" w:space="0" w:color="auto"/>
            </w:tcBorders>
            <w:shd w:val="clear" w:color="auto" w:fill="DAEEF3"/>
          </w:tcPr>
          <w:p w:rsidR="004A147C" w:rsidRPr="00F00DAF" w:rsidRDefault="004A147C" w:rsidP="00CE5850">
            <w:pPr>
              <w:rPr>
                <w:sz w:val="20"/>
              </w:rPr>
            </w:pPr>
            <w:r w:rsidRPr="00F00DAF">
              <w:rPr>
                <w:sz w:val="20"/>
              </w:rPr>
              <w:t>6,129</w:t>
            </w:r>
          </w:p>
        </w:tc>
        <w:tc>
          <w:tcPr>
            <w:tcW w:w="0" w:type="auto"/>
            <w:tcBorders>
              <w:top w:val="nil"/>
              <w:left w:val="nil"/>
              <w:bottom w:val="single" w:sz="8" w:space="0" w:color="auto"/>
              <w:right w:val="single" w:sz="8" w:space="0" w:color="auto"/>
            </w:tcBorders>
            <w:shd w:val="clear" w:color="auto" w:fill="DAEEF3"/>
          </w:tcPr>
          <w:p w:rsidR="004A147C" w:rsidRPr="00F00DAF" w:rsidRDefault="004A147C" w:rsidP="00CE5850">
            <w:pPr>
              <w:rPr>
                <w:sz w:val="20"/>
              </w:rPr>
            </w:pPr>
            <w:r w:rsidRPr="00F00DAF">
              <w:rPr>
                <w:sz w:val="20"/>
              </w:rPr>
              <w:t>89.9%</w:t>
            </w:r>
          </w:p>
        </w:tc>
      </w:tr>
      <w:tr w:rsidR="004A147C" w:rsidRPr="00B53FFB" w:rsidTr="00F00DAF">
        <w:trPr>
          <w:trHeight w:val="272"/>
          <w:jc w:val="center"/>
        </w:trPr>
        <w:tc>
          <w:tcPr>
            <w:tcW w:w="0" w:type="auto"/>
            <w:vMerge/>
            <w:tcBorders>
              <w:top w:val="nil"/>
              <w:left w:val="single" w:sz="8" w:space="0" w:color="auto"/>
              <w:bottom w:val="double" w:sz="4" w:space="0" w:color="auto"/>
              <w:right w:val="single" w:sz="8" w:space="0" w:color="auto"/>
            </w:tcBorders>
            <w:shd w:val="clear" w:color="auto" w:fill="DAEEF3"/>
            <w:vAlign w:val="center"/>
          </w:tcPr>
          <w:p w:rsidR="004A147C" w:rsidRPr="007D38C2" w:rsidRDefault="004A147C" w:rsidP="00CE5850">
            <w:pPr>
              <w:rPr>
                <w:b/>
                <w:bCs/>
                <w:sz w:val="20"/>
                <w:lang w:val="pt-BR"/>
              </w:rPr>
            </w:pPr>
          </w:p>
        </w:tc>
        <w:tc>
          <w:tcPr>
            <w:tcW w:w="0" w:type="auto"/>
            <w:tcBorders>
              <w:top w:val="nil"/>
              <w:left w:val="nil"/>
              <w:bottom w:val="single" w:sz="8" w:space="0" w:color="auto"/>
              <w:right w:val="single" w:sz="8" w:space="0" w:color="auto"/>
            </w:tcBorders>
            <w:shd w:val="clear" w:color="auto" w:fill="DAEEF3"/>
            <w:noWrap/>
            <w:tcMar>
              <w:top w:w="0" w:type="dxa"/>
              <w:left w:w="108" w:type="dxa"/>
              <w:bottom w:w="0" w:type="dxa"/>
              <w:right w:w="108" w:type="dxa"/>
            </w:tcMar>
            <w:vAlign w:val="bottom"/>
          </w:tcPr>
          <w:p w:rsidR="004A147C" w:rsidRPr="007D38C2" w:rsidRDefault="004A147C" w:rsidP="00CE5850">
            <w:pPr>
              <w:snapToGrid w:val="0"/>
              <w:rPr>
                <w:sz w:val="20"/>
              </w:rPr>
            </w:pPr>
            <w:r w:rsidRPr="007D38C2">
              <w:rPr>
                <w:sz w:val="20"/>
              </w:rPr>
              <w:t>GPRS/EDGE</w:t>
            </w:r>
          </w:p>
        </w:tc>
        <w:tc>
          <w:tcPr>
            <w:tcW w:w="0" w:type="auto"/>
            <w:tcBorders>
              <w:top w:val="nil"/>
              <w:left w:val="nil"/>
              <w:bottom w:val="single" w:sz="8" w:space="0" w:color="auto"/>
              <w:right w:val="single" w:sz="8" w:space="0" w:color="auto"/>
            </w:tcBorders>
            <w:shd w:val="clear" w:color="auto" w:fill="DAEEF3"/>
            <w:noWrap/>
            <w:tcMar>
              <w:top w:w="0" w:type="dxa"/>
              <w:left w:w="108" w:type="dxa"/>
              <w:bottom w:w="0" w:type="dxa"/>
              <w:right w:w="108" w:type="dxa"/>
            </w:tcMar>
          </w:tcPr>
          <w:p w:rsidR="004A147C" w:rsidRPr="00F00DAF" w:rsidRDefault="004A147C" w:rsidP="00CE5850">
            <w:pPr>
              <w:rPr>
                <w:sz w:val="20"/>
              </w:rPr>
            </w:pPr>
            <w:r w:rsidRPr="00F00DAF">
              <w:rPr>
                <w:sz w:val="20"/>
              </w:rPr>
              <w:t>310,312</w:t>
            </w:r>
          </w:p>
        </w:tc>
        <w:tc>
          <w:tcPr>
            <w:tcW w:w="1076" w:type="dxa"/>
            <w:tcBorders>
              <w:top w:val="nil"/>
              <w:left w:val="nil"/>
              <w:bottom w:val="single" w:sz="8" w:space="0" w:color="auto"/>
              <w:right w:val="single" w:sz="8" w:space="0" w:color="auto"/>
            </w:tcBorders>
            <w:shd w:val="clear" w:color="auto" w:fill="DAEEF3"/>
            <w:noWrap/>
            <w:tcMar>
              <w:top w:w="0" w:type="dxa"/>
              <w:left w:w="108" w:type="dxa"/>
              <w:bottom w:w="0" w:type="dxa"/>
              <w:right w:w="108" w:type="dxa"/>
            </w:tcMar>
          </w:tcPr>
          <w:p w:rsidR="004A147C" w:rsidRPr="00F00DAF" w:rsidRDefault="004A147C" w:rsidP="00CE5850">
            <w:pPr>
              <w:rPr>
                <w:sz w:val="20"/>
              </w:rPr>
            </w:pPr>
            <w:r w:rsidRPr="00F00DAF">
              <w:rPr>
                <w:sz w:val="20"/>
              </w:rPr>
              <w:t>99.3%</w:t>
            </w:r>
          </w:p>
        </w:tc>
        <w:tc>
          <w:tcPr>
            <w:tcW w:w="1284" w:type="dxa"/>
            <w:tcBorders>
              <w:top w:val="nil"/>
              <w:left w:val="nil"/>
              <w:bottom w:val="single" w:sz="8" w:space="0" w:color="auto"/>
              <w:right w:val="single" w:sz="8" w:space="0" w:color="auto"/>
            </w:tcBorders>
            <w:shd w:val="clear" w:color="auto" w:fill="DAEEF3"/>
            <w:noWrap/>
            <w:tcMar>
              <w:top w:w="0" w:type="dxa"/>
              <w:left w:w="108" w:type="dxa"/>
              <w:bottom w:w="0" w:type="dxa"/>
              <w:right w:w="108" w:type="dxa"/>
            </w:tcMar>
          </w:tcPr>
          <w:p w:rsidR="004A147C" w:rsidRPr="00F00DAF" w:rsidRDefault="004A147C" w:rsidP="00CE5850">
            <w:pPr>
              <w:rPr>
                <w:sz w:val="20"/>
              </w:rPr>
            </w:pPr>
            <w:r w:rsidRPr="00F00DAF">
              <w:rPr>
                <w:sz w:val="20"/>
              </w:rPr>
              <w:t>2,488</w:t>
            </w:r>
          </w:p>
        </w:tc>
        <w:tc>
          <w:tcPr>
            <w:tcW w:w="0" w:type="auto"/>
            <w:tcBorders>
              <w:top w:val="nil"/>
              <w:left w:val="nil"/>
              <w:bottom w:val="single" w:sz="8" w:space="0" w:color="auto"/>
              <w:right w:val="single" w:sz="8" w:space="0" w:color="auto"/>
            </w:tcBorders>
            <w:shd w:val="clear" w:color="auto" w:fill="DAEEF3"/>
            <w:noWrap/>
            <w:tcMar>
              <w:top w:w="0" w:type="dxa"/>
              <w:left w:w="108" w:type="dxa"/>
              <w:bottom w:w="0" w:type="dxa"/>
              <w:right w:w="108" w:type="dxa"/>
            </w:tcMar>
          </w:tcPr>
          <w:p w:rsidR="004A147C" w:rsidRPr="00F00DAF" w:rsidRDefault="004A147C" w:rsidP="00CE5850">
            <w:pPr>
              <w:rPr>
                <w:sz w:val="20"/>
              </w:rPr>
            </w:pPr>
            <w:r w:rsidRPr="00F00DAF">
              <w:rPr>
                <w:sz w:val="20"/>
              </w:rPr>
              <w:t>65.4%</w:t>
            </w:r>
          </w:p>
        </w:tc>
        <w:tc>
          <w:tcPr>
            <w:tcW w:w="0" w:type="auto"/>
            <w:tcBorders>
              <w:top w:val="nil"/>
              <w:left w:val="nil"/>
              <w:bottom w:val="single" w:sz="8" w:space="0" w:color="auto"/>
              <w:right w:val="single" w:sz="8" w:space="0" w:color="auto"/>
            </w:tcBorders>
            <w:shd w:val="clear" w:color="auto" w:fill="DAEEF3"/>
          </w:tcPr>
          <w:p w:rsidR="004A147C" w:rsidRPr="00F00DAF" w:rsidRDefault="004A147C" w:rsidP="00CE5850">
            <w:pPr>
              <w:rPr>
                <w:sz w:val="20"/>
              </w:rPr>
            </w:pPr>
            <w:r w:rsidRPr="00F00DAF">
              <w:rPr>
                <w:sz w:val="20"/>
              </w:rPr>
              <w:t>6,058</w:t>
            </w:r>
          </w:p>
        </w:tc>
        <w:tc>
          <w:tcPr>
            <w:tcW w:w="0" w:type="auto"/>
            <w:tcBorders>
              <w:top w:val="nil"/>
              <w:left w:val="nil"/>
              <w:bottom w:val="single" w:sz="8" w:space="0" w:color="auto"/>
              <w:right w:val="single" w:sz="8" w:space="0" w:color="auto"/>
            </w:tcBorders>
            <w:shd w:val="clear" w:color="auto" w:fill="DAEEF3"/>
          </w:tcPr>
          <w:p w:rsidR="004A147C" w:rsidRPr="00F00DAF" w:rsidRDefault="004A147C" w:rsidP="00CE5850">
            <w:pPr>
              <w:rPr>
                <w:sz w:val="20"/>
              </w:rPr>
            </w:pPr>
            <w:r w:rsidRPr="00F00DAF">
              <w:rPr>
                <w:sz w:val="20"/>
              </w:rPr>
              <w:t>88.8%</w:t>
            </w:r>
          </w:p>
        </w:tc>
      </w:tr>
      <w:tr w:rsidR="004A147C" w:rsidRPr="00B53FFB" w:rsidTr="00F00DAF">
        <w:trPr>
          <w:trHeight w:val="272"/>
          <w:jc w:val="center"/>
        </w:trPr>
        <w:tc>
          <w:tcPr>
            <w:tcW w:w="0" w:type="auto"/>
            <w:vMerge/>
            <w:tcBorders>
              <w:top w:val="nil"/>
              <w:left w:val="single" w:sz="8" w:space="0" w:color="auto"/>
              <w:bottom w:val="double" w:sz="4" w:space="0" w:color="auto"/>
              <w:right w:val="single" w:sz="8" w:space="0" w:color="auto"/>
            </w:tcBorders>
            <w:shd w:val="clear" w:color="auto" w:fill="DAEEF3"/>
            <w:vAlign w:val="center"/>
          </w:tcPr>
          <w:p w:rsidR="004A147C" w:rsidRPr="007D38C2" w:rsidRDefault="004A147C" w:rsidP="00CE5850">
            <w:pPr>
              <w:rPr>
                <w:b/>
                <w:bCs/>
                <w:sz w:val="20"/>
                <w:lang w:val="pt-BR"/>
              </w:rPr>
            </w:pPr>
          </w:p>
        </w:tc>
        <w:tc>
          <w:tcPr>
            <w:tcW w:w="0" w:type="auto"/>
            <w:tcBorders>
              <w:top w:val="nil"/>
              <w:left w:val="nil"/>
              <w:bottom w:val="double" w:sz="4" w:space="0" w:color="auto"/>
              <w:right w:val="single" w:sz="8" w:space="0" w:color="auto"/>
            </w:tcBorders>
            <w:shd w:val="clear" w:color="auto" w:fill="DAEEF3"/>
            <w:noWrap/>
            <w:tcMar>
              <w:top w:w="0" w:type="dxa"/>
              <w:left w:w="108" w:type="dxa"/>
              <w:bottom w:w="0" w:type="dxa"/>
              <w:right w:w="108" w:type="dxa"/>
            </w:tcMar>
            <w:vAlign w:val="bottom"/>
          </w:tcPr>
          <w:p w:rsidR="004A147C" w:rsidRPr="007D38C2" w:rsidRDefault="004A147C" w:rsidP="00CE5850">
            <w:pPr>
              <w:snapToGrid w:val="0"/>
              <w:rPr>
                <w:b/>
                <w:bCs/>
                <w:sz w:val="20"/>
              </w:rPr>
            </w:pPr>
            <w:r w:rsidRPr="007D38C2">
              <w:rPr>
                <w:b/>
                <w:bCs/>
                <w:sz w:val="20"/>
              </w:rPr>
              <w:t xml:space="preserve">Total 2.5G Mobile </w:t>
            </w:r>
          </w:p>
          <w:p w:rsidR="004A147C" w:rsidRPr="007D38C2" w:rsidRDefault="004A147C" w:rsidP="00CE5850">
            <w:pPr>
              <w:snapToGrid w:val="0"/>
              <w:rPr>
                <w:b/>
                <w:bCs/>
                <w:sz w:val="20"/>
              </w:rPr>
            </w:pPr>
            <w:r w:rsidRPr="007D38C2">
              <w:rPr>
                <w:b/>
                <w:bCs/>
                <w:sz w:val="20"/>
              </w:rPr>
              <w:t xml:space="preserve">Data Network </w:t>
            </w:r>
          </w:p>
          <w:p w:rsidR="004A147C" w:rsidRPr="007D38C2" w:rsidRDefault="004A147C" w:rsidP="00CE5850">
            <w:pPr>
              <w:snapToGrid w:val="0"/>
              <w:rPr>
                <w:b/>
                <w:bCs/>
                <w:sz w:val="20"/>
              </w:rPr>
            </w:pPr>
            <w:r w:rsidRPr="007D38C2">
              <w:rPr>
                <w:b/>
                <w:bCs/>
                <w:sz w:val="20"/>
              </w:rPr>
              <w:t>Coverage</w:t>
            </w:r>
          </w:p>
        </w:tc>
        <w:tc>
          <w:tcPr>
            <w:tcW w:w="0" w:type="auto"/>
            <w:tcBorders>
              <w:top w:val="nil"/>
              <w:left w:val="nil"/>
              <w:bottom w:val="double" w:sz="4" w:space="0" w:color="auto"/>
              <w:right w:val="single" w:sz="8" w:space="0" w:color="auto"/>
            </w:tcBorders>
            <w:shd w:val="clear" w:color="auto" w:fill="DAEEF3"/>
            <w:noWrap/>
            <w:tcMar>
              <w:top w:w="0" w:type="dxa"/>
              <w:left w:w="108" w:type="dxa"/>
              <w:bottom w:w="0" w:type="dxa"/>
              <w:right w:w="108" w:type="dxa"/>
            </w:tcMar>
          </w:tcPr>
          <w:p w:rsidR="004A147C" w:rsidRPr="00F00DAF" w:rsidRDefault="004A147C" w:rsidP="00CE5850">
            <w:pPr>
              <w:jc w:val="center"/>
              <w:rPr>
                <w:b/>
                <w:sz w:val="20"/>
              </w:rPr>
            </w:pPr>
            <w:r w:rsidRPr="00F00DAF">
              <w:rPr>
                <w:b/>
                <w:sz w:val="20"/>
              </w:rPr>
              <w:t>311,986</w:t>
            </w:r>
          </w:p>
        </w:tc>
        <w:tc>
          <w:tcPr>
            <w:tcW w:w="1076" w:type="dxa"/>
            <w:tcBorders>
              <w:top w:val="nil"/>
              <w:left w:val="nil"/>
              <w:bottom w:val="double" w:sz="4" w:space="0" w:color="auto"/>
              <w:right w:val="single" w:sz="8" w:space="0" w:color="auto"/>
            </w:tcBorders>
            <w:shd w:val="clear" w:color="auto" w:fill="DAEEF3"/>
            <w:noWrap/>
            <w:tcMar>
              <w:top w:w="0" w:type="dxa"/>
              <w:left w:w="108" w:type="dxa"/>
              <w:bottom w:w="0" w:type="dxa"/>
              <w:right w:w="108" w:type="dxa"/>
            </w:tcMar>
          </w:tcPr>
          <w:p w:rsidR="004A147C" w:rsidRPr="00F00DAF" w:rsidRDefault="004A147C" w:rsidP="00CE5850">
            <w:pPr>
              <w:jc w:val="center"/>
              <w:rPr>
                <w:b/>
                <w:sz w:val="20"/>
              </w:rPr>
            </w:pPr>
            <w:r w:rsidRPr="00F00DAF">
              <w:rPr>
                <w:b/>
                <w:sz w:val="20"/>
              </w:rPr>
              <w:t>99.8%</w:t>
            </w:r>
          </w:p>
        </w:tc>
        <w:tc>
          <w:tcPr>
            <w:tcW w:w="1284" w:type="dxa"/>
            <w:tcBorders>
              <w:top w:val="nil"/>
              <w:left w:val="nil"/>
              <w:bottom w:val="double" w:sz="4" w:space="0" w:color="auto"/>
              <w:right w:val="single" w:sz="8" w:space="0" w:color="auto"/>
            </w:tcBorders>
            <w:shd w:val="clear" w:color="auto" w:fill="DAEEF3"/>
            <w:noWrap/>
            <w:tcMar>
              <w:top w:w="0" w:type="dxa"/>
              <w:left w:w="108" w:type="dxa"/>
              <w:bottom w:w="0" w:type="dxa"/>
              <w:right w:w="108" w:type="dxa"/>
            </w:tcMar>
          </w:tcPr>
          <w:p w:rsidR="004A147C" w:rsidRPr="00F00DAF" w:rsidRDefault="004A147C" w:rsidP="00CE5850">
            <w:pPr>
              <w:jc w:val="center"/>
              <w:rPr>
                <w:b/>
                <w:sz w:val="20"/>
              </w:rPr>
            </w:pPr>
            <w:r w:rsidRPr="00F00DAF">
              <w:rPr>
                <w:b/>
                <w:sz w:val="20"/>
              </w:rPr>
              <w:t>2,777</w:t>
            </w:r>
          </w:p>
        </w:tc>
        <w:tc>
          <w:tcPr>
            <w:tcW w:w="0" w:type="auto"/>
            <w:tcBorders>
              <w:top w:val="nil"/>
              <w:left w:val="nil"/>
              <w:bottom w:val="double" w:sz="4" w:space="0" w:color="auto"/>
              <w:right w:val="single" w:sz="8" w:space="0" w:color="auto"/>
            </w:tcBorders>
            <w:shd w:val="clear" w:color="auto" w:fill="DAEEF3"/>
            <w:noWrap/>
            <w:tcMar>
              <w:top w:w="0" w:type="dxa"/>
              <w:left w:w="108" w:type="dxa"/>
              <w:bottom w:w="0" w:type="dxa"/>
              <w:right w:w="108" w:type="dxa"/>
            </w:tcMar>
          </w:tcPr>
          <w:p w:rsidR="004A147C" w:rsidRPr="00F00DAF" w:rsidRDefault="004A147C" w:rsidP="00CE5850">
            <w:pPr>
              <w:jc w:val="center"/>
              <w:rPr>
                <w:b/>
                <w:sz w:val="20"/>
              </w:rPr>
            </w:pPr>
            <w:r w:rsidRPr="00F00DAF">
              <w:rPr>
                <w:b/>
                <w:sz w:val="20"/>
              </w:rPr>
              <w:t>73.1%</w:t>
            </w:r>
          </w:p>
        </w:tc>
        <w:tc>
          <w:tcPr>
            <w:tcW w:w="0" w:type="auto"/>
            <w:tcBorders>
              <w:top w:val="nil"/>
              <w:left w:val="nil"/>
              <w:bottom w:val="double" w:sz="4" w:space="0" w:color="auto"/>
              <w:right w:val="single" w:sz="8" w:space="0" w:color="auto"/>
            </w:tcBorders>
            <w:shd w:val="clear" w:color="auto" w:fill="DAEEF3"/>
          </w:tcPr>
          <w:p w:rsidR="004A147C" w:rsidRPr="00F00DAF" w:rsidRDefault="004A147C" w:rsidP="00CE5850">
            <w:pPr>
              <w:jc w:val="center"/>
              <w:rPr>
                <w:b/>
                <w:sz w:val="20"/>
              </w:rPr>
            </w:pPr>
            <w:r w:rsidRPr="00F00DAF">
              <w:rPr>
                <w:b/>
                <w:sz w:val="20"/>
              </w:rPr>
              <w:t>6,455</w:t>
            </w:r>
          </w:p>
        </w:tc>
        <w:tc>
          <w:tcPr>
            <w:tcW w:w="0" w:type="auto"/>
            <w:tcBorders>
              <w:top w:val="nil"/>
              <w:left w:val="nil"/>
              <w:bottom w:val="double" w:sz="4" w:space="0" w:color="auto"/>
              <w:right w:val="single" w:sz="8" w:space="0" w:color="auto"/>
            </w:tcBorders>
            <w:shd w:val="clear" w:color="auto" w:fill="DAEEF3"/>
          </w:tcPr>
          <w:p w:rsidR="004A147C" w:rsidRPr="00F00DAF" w:rsidRDefault="004A147C" w:rsidP="00CE5850">
            <w:pPr>
              <w:jc w:val="center"/>
              <w:rPr>
                <w:b/>
                <w:sz w:val="20"/>
              </w:rPr>
            </w:pPr>
            <w:r w:rsidRPr="00F00DAF">
              <w:rPr>
                <w:b/>
                <w:sz w:val="20"/>
              </w:rPr>
              <w:t>94.6%</w:t>
            </w:r>
          </w:p>
        </w:tc>
      </w:tr>
      <w:tr w:rsidR="004A147C" w:rsidRPr="00B53FFB" w:rsidTr="00F00DAF">
        <w:trPr>
          <w:trHeight w:val="253"/>
          <w:jc w:val="center"/>
        </w:trPr>
        <w:tc>
          <w:tcPr>
            <w:tcW w:w="0" w:type="auto"/>
            <w:vMerge w:val="restart"/>
            <w:tcBorders>
              <w:top w:val="nil"/>
              <w:left w:val="single" w:sz="8" w:space="0" w:color="auto"/>
              <w:bottom w:val="single" w:sz="8" w:space="0" w:color="auto"/>
              <w:right w:val="single" w:sz="8" w:space="0" w:color="auto"/>
            </w:tcBorders>
            <w:shd w:val="clear" w:color="auto" w:fill="DAEEF3"/>
            <w:tcMar>
              <w:top w:w="0" w:type="dxa"/>
              <w:left w:w="108" w:type="dxa"/>
              <w:bottom w:w="0" w:type="dxa"/>
              <w:right w:w="108" w:type="dxa"/>
            </w:tcMar>
          </w:tcPr>
          <w:p w:rsidR="004A147C" w:rsidRPr="007D38C2" w:rsidRDefault="004A147C" w:rsidP="00CE5850">
            <w:pPr>
              <w:snapToGrid w:val="0"/>
              <w:rPr>
                <w:b/>
                <w:bCs/>
                <w:sz w:val="20"/>
              </w:rPr>
            </w:pPr>
            <w:r w:rsidRPr="007D38C2">
              <w:rPr>
                <w:b/>
                <w:bCs/>
                <w:sz w:val="20"/>
              </w:rPr>
              <w:t>3G/ 4G</w:t>
            </w:r>
          </w:p>
        </w:tc>
        <w:tc>
          <w:tcPr>
            <w:tcW w:w="0" w:type="auto"/>
            <w:tcBorders>
              <w:top w:val="nil"/>
              <w:left w:val="nil"/>
              <w:bottom w:val="single" w:sz="8" w:space="0" w:color="auto"/>
              <w:right w:val="single" w:sz="8" w:space="0" w:color="auto"/>
            </w:tcBorders>
            <w:shd w:val="clear" w:color="auto" w:fill="DAEEF3"/>
            <w:noWrap/>
            <w:tcMar>
              <w:top w:w="0" w:type="dxa"/>
              <w:left w:w="108" w:type="dxa"/>
              <w:bottom w:w="0" w:type="dxa"/>
              <w:right w:w="108" w:type="dxa"/>
            </w:tcMar>
            <w:vAlign w:val="bottom"/>
          </w:tcPr>
          <w:p w:rsidR="004A147C" w:rsidRPr="007D38C2" w:rsidRDefault="004A147C" w:rsidP="00CE5850">
            <w:pPr>
              <w:snapToGrid w:val="0"/>
              <w:rPr>
                <w:sz w:val="20"/>
              </w:rPr>
            </w:pPr>
            <w:r w:rsidRPr="007D38C2">
              <w:rPr>
                <w:sz w:val="20"/>
              </w:rPr>
              <w:t>WCDMA/HSPA/HSPA+</w:t>
            </w:r>
          </w:p>
        </w:tc>
        <w:tc>
          <w:tcPr>
            <w:tcW w:w="0" w:type="auto"/>
            <w:tcBorders>
              <w:top w:val="nil"/>
              <w:left w:val="nil"/>
              <w:bottom w:val="single" w:sz="8" w:space="0" w:color="auto"/>
              <w:right w:val="single" w:sz="8" w:space="0" w:color="auto"/>
            </w:tcBorders>
            <w:shd w:val="clear" w:color="auto" w:fill="DAEEF3"/>
            <w:noWrap/>
            <w:tcMar>
              <w:top w:w="0" w:type="dxa"/>
              <w:left w:w="108" w:type="dxa"/>
              <w:bottom w:w="0" w:type="dxa"/>
              <w:right w:w="108" w:type="dxa"/>
            </w:tcMar>
          </w:tcPr>
          <w:p w:rsidR="004A147C" w:rsidRPr="00F00DAF" w:rsidRDefault="004A147C" w:rsidP="00CE5850">
            <w:pPr>
              <w:rPr>
                <w:sz w:val="20"/>
              </w:rPr>
            </w:pPr>
            <w:r w:rsidRPr="00F00DAF">
              <w:rPr>
                <w:sz w:val="20"/>
              </w:rPr>
              <w:t>297,921</w:t>
            </w:r>
          </w:p>
        </w:tc>
        <w:tc>
          <w:tcPr>
            <w:tcW w:w="1076" w:type="dxa"/>
            <w:tcBorders>
              <w:top w:val="nil"/>
              <w:left w:val="nil"/>
              <w:bottom w:val="single" w:sz="8" w:space="0" w:color="auto"/>
              <w:right w:val="single" w:sz="8" w:space="0" w:color="auto"/>
            </w:tcBorders>
            <w:shd w:val="clear" w:color="auto" w:fill="DAEEF3"/>
            <w:noWrap/>
            <w:tcMar>
              <w:top w:w="0" w:type="dxa"/>
              <w:left w:w="108" w:type="dxa"/>
              <w:bottom w:w="0" w:type="dxa"/>
              <w:right w:w="108" w:type="dxa"/>
            </w:tcMar>
          </w:tcPr>
          <w:p w:rsidR="004A147C" w:rsidRPr="00F00DAF" w:rsidRDefault="004A147C" w:rsidP="00CE5850">
            <w:pPr>
              <w:rPr>
                <w:sz w:val="20"/>
              </w:rPr>
            </w:pPr>
            <w:r w:rsidRPr="00F00DAF">
              <w:rPr>
                <w:sz w:val="20"/>
              </w:rPr>
              <w:t>95.3%</w:t>
            </w:r>
          </w:p>
        </w:tc>
        <w:tc>
          <w:tcPr>
            <w:tcW w:w="1284" w:type="dxa"/>
            <w:tcBorders>
              <w:top w:val="nil"/>
              <w:left w:val="nil"/>
              <w:bottom w:val="single" w:sz="8" w:space="0" w:color="auto"/>
              <w:right w:val="single" w:sz="8" w:space="0" w:color="auto"/>
            </w:tcBorders>
            <w:shd w:val="clear" w:color="auto" w:fill="DAEEF3"/>
            <w:noWrap/>
            <w:tcMar>
              <w:top w:w="0" w:type="dxa"/>
              <w:left w:w="108" w:type="dxa"/>
              <w:bottom w:w="0" w:type="dxa"/>
              <w:right w:w="108" w:type="dxa"/>
            </w:tcMar>
          </w:tcPr>
          <w:p w:rsidR="004A147C" w:rsidRPr="00F00DAF" w:rsidRDefault="004A147C" w:rsidP="00CE5850">
            <w:pPr>
              <w:rPr>
                <w:sz w:val="20"/>
              </w:rPr>
            </w:pPr>
            <w:r w:rsidRPr="00F00DAF">
              <w:rPr>
                <w:sz w:val="20"/>
              </w:rPr>
              <w:t>1,782</w:t>
            </w:r>
          </w:p>
        </w:tc>
        <w:tc>
          <w:tcPr>
            <w:tcW w:w="0" w:type="auto"/>
            <w:tcBorders>
              <w:top w:val="nil"/>
              <w:left w:val="nil"/>
              <w:bottom w:val="single" w:sz="8" w:space="0" w:color="auto"/>
              <w:right w:val="single" w:sz="8" w:space="0" w:color="auto"/>
            </w:tcBorders>
            <w:shd w:val="clear" w:color="auto" w:fill="DAEEF3"/>
            <w:noWrap/>
            <w:tcMar>
              <w:top w:w="0" w:type="dxa"/>
              <w:left w:w="108" w:type="dxa"/>
              <w:bottom w:w="0" w:type="dxa"/>
              <w:right w:w="108" w:type="dxa"/>
            </w:tcMar>
          </w:tcPr>
          <w:p w:rsidR="004A147C" w:rsidRPr="00F00DAF" w:rsidRDefault="004A147C" w:rsidP="00CE5850">
            <w:pPr>
              <w:rPr>
                <w:sz w:val="20"/>
              </w:rPr>
            </w:pPr>
            <w:r w:rsidRPr="00F00DAF">
              <w:rPr>
                <w:sz w:val="20"/>
              </w:rPr>
              <w:t>46.9%</w:t>
            </w:r>
          </w:p>
        </w:tc>
        <w:tc>
          <w:tcPr>
            <w:tcW w:w="0" w:type="auto"/>
            <w:tcBorders>
              <w:top w:val="nil"/>
              <w:left w:val="nil"/>
              <w:bottom w:val="single" w:sz="8" w:space="0" w:color="auto"/>
              <w:right w:val="single" w:sz="8" w:space="0" w:color="auto"/>
            </w:tcBorders>
            <w:shd w:val="clear" w:color="auto" w:fill="DAEEF3"/>
          </w:tcPr>
          <w:p w:rsidR="004A147C" w:rsidRPr="00F00DAF" w:rsidRDefault="004A147C" w:rsidP="00CE5850">
            <w:pPr>
              <w:rPr>
                <w:sz w:val="20"/>
              </w:rPr>
            </w:pPr>
            <w:r w:rsidRPr="00F00DAF">
              <w:rPr>
                <w:sz w:val="20"/>
              </w:rPr>
              <w:t>4,771</w:t>
            </w:r>
          </w:p>
        </w:tc>
        <w:tc>
          <w:tcPr>
            <w:tcW w:w="0" w:type="auto"/>
            <w:tcBorders>
              <w:top w:val="nil"/>
              <w:left w:val="nil"/>
              <w:bottom w:val="single" w:sz="8" w:space="0" w:color="auto"/>
              <w:right w:val="single" w:sz="8" w:space="0" w:color="auto"/>
            </w:tcBorders>
            <w:shd w:val="clear" w:color="auto" w:fill="DAEEF3"/>
          </w:tcPr>
          <w:p w:rsidR="004A147C" w:rsidRPr="00F00DAF" w:rsidRDefault="004A147C" w:rsidP="00CE5850">
            <w:pPr>
              <w:rPr>
                <w:sz w:val="20"/>
              </w:rPr>
            </w:pPr>
            <w:r w:rsidRPr="00F00DAF">
              <w:rPr>
                <w:sz w:val="20"/>
              </w:rPr>
              <w:t>69.9%</w:t>
            </w:r>
          </w:p>
        </w:tc>
      </w:tr>
      <w:tr w:rsidR="004A147C" w:rsidRPr="00B53FFB" w:rsidTr="00F00DAF">
        <w:trPr>
          <w:trHeight w:val="272"/>
          <w:jc w:val="center"/>
        </w:trPr>
        <w:tc>
          <w:tcPr>
            <w:tcW w:w="0" w:type="auto"/>
            <w:vMerge/>
            <w:tcBorders>
              <w:top w:val="nil"/>
              <w:left w:val="single" w:sz="8" w:space="0" w:color="auto"/>
              <w:bottom w:val="single" w:sz="8" w:space="0" w:color="auto"/>
              <w:right w:val="single" w:sz="8" w:space="0" w:color="auto"/>
            </w:tcBorders>
            <w:shd w:val="clear" w:color="auto" w:fill="DAEEF3"/>
            <w:vAlign w:val="center"/>
          </w:tcPr>
          <w:p w:rsidR="004A147C" w:rsidRPr="007D38C2" w:rsidRDefault="004A147C" w:rsidP="00CE5850">
            <w:pPr>
              <w:rPr>
                <w:b/>
                <w:bCs/>
                <w:sz w:val="20"/>
              </w:rPr>
            </w:pPr>
          </w:p>
        </w:tc>
        <w:tc>
          <w:tcPr>
            <w:tcW w:w="0" w:type="auto"/>
            <w:tcBorders>
              <w:top w:val="nil"/>
              <w:left w:val="nil"/>
              <w:bottom w:val="single" w:sz="8" w:space="0" w:color="auto"/>
              <w:right w:val="single" w:sz="8" w:space="0" w:color="auto"/>
            </w:tcBorders>
            <w:shd w:val="clear" w:color="auto" w:fill="DAEEF3"/>
            <w:noWrap/>
            <w:tcMar>
              <w:top w:w="0" w:type="dxa"/>
              <w:left w:w="108" w:type="dxa"/>
              <w:bottom w:w="0" w:type="dxa"/>
              <w:right w:w="108" w:type="dxa"/>
            </w:tcMar>
            <w:vAlign w:val="bottom"/>
          </w:tcPr>
          <w:p w:rsidR="004A147C" w:rsidRPr="007D38C2" w:rsidRDefault="004A147C" w:rsidP="00CE5850">
            <w:pPr>
              <w:snapToGrid w:val="0"/>
              <w:rPr>
                <w:sz w:val="20"/>
                <w:lang w:val="pt-BR"/>
              </w:rPr>
            </w:pPr>
            <w:r w:rsidRPr="007D38C2">
              <w:rPr>
                <w:sz w:val="20"/>
                <w:lang w:val="pt-BR"/>
              </w:rPr>
              <w:t>EV-DO/EV-DO Rev. A</w:t>
            </w:r>
          </w:p>
        </w:tc>
        <w:tc>
          <w:tcPr>
            <w:tcW w:w="0" w:type="auto"/>
            <w:tcBorders>
              <w:top w:val="nil"/>
              <w:left w:val="nil"/>
              <w:bottom w:val="single" w:sz="8" w:space="0" w:color="auto"/>
              <w:right w:val="single" w:sz="8" w:space="0" w:color="auto"/>
            </w:tcBorders>
            <w:shd w:val="clear" w:color="auto" w:fill="DAEEF3"/>
            <w:noWrap/>
            <w:tcMar>
              <w:top w:w="0" w:type="dxa"/>
              <w:left w:w="108" w:type="dxa"/>
              <w:bottom w:w="0" w:type="dxa"/>
              <w:right w:w="108" w:type="dxa"/>
            </w:tcMar>
          </w:tcPr>
          <w:p w:rsidR="004A147C" w:rsidRPr="00F00DAF" w:rsidRDefault="004A147C" w:rsidP="00CE5850">
            <w:pPr>
              <w:rPr>
                <w:sz w:val="20"/>
              </w:rPr>
            </w:pPr>
            <w:r w:rsidRPr="00F00DAF">
              <w:rPr>
                <w:sz w:val="20"/>
              </w:rPr>
              <w:t>310,011</w:t>
            </w:r>
          </w:p>
        </w:tc>
        <w:tc>
          <w:tcPr>
            <w:tcW w:w="1076" w:type="dxa"/>
            <w:tcBorders>
              <w:top w:val="nil"/>
              <w:left w:val="nil"/>
              <w:bottom w:val="single" w:sz="8" w:space="0" w:color="auto"/>
              <w:right w:val="single" w:sz="8" w:space="0" w:color="auto"/>
            </w:tcBorders>
            <w:shd w:val="clear" w:color="auto" w:fill="DAEEF3"/>
            <w:noWrap/>
            <w:tcMar>
              <w:top w:w="0" w:type="dxa"/>
              <w:left w:w="108" w:type="dxa"/>
              <w:bottom w:w="0" w:type="dxa"/>
              <w:right w:w="108" w:type="dxa"/>
            </w:tcMar>
          </w:tcPr>
          <w:p w:rsidR="004A147C" w:rsidRPr="00F00DAF" w:rsidRDefault="004A147C" w:rsidP="00CE5850">
            <w:pPr>
              <w:rPr>
                <w:sz w:val="20"/>
              </w:rPr>
            </w:pPr>
            <w:r w:rsidRPr="00F00DAF">
              <w:rPr>
                <w:sz w:val="20"/>
              </w:rPr>
              <w:t>99.2%</w:t>
            </w:r>
          </w:p>
        </w:tc>
        <w:tc>
          <w:tcPr>
            <w:tcW w:w="1284" w:type="dxa"/>
            <w:tcBorders>
              <w:top w:val="nil"/>
              <w:left w:val="nil"/>
              <w:bottom w:val="single" w:sz="8" w:space="0" w:color="auto"/>
              <w:right w:val="single" w:sz="8" w:space="0" w:color="auto"/>
            </w:tcBorders>
            <w:shd w:val="clear" w:color="auto" w:fill="DAEEF3"/>
            <w:noWrap/>
            <w:tcMar>
              <w:top w:w="0" w:type="dxa"/>
              <w:left w:w="108" w:type="dxa"/>
              <w:bottom w:w="0" w:type="dxa"/>
              <w:right w:w="108" w:type="dxa"/>
            </w:tcMar>
          </w:tcPr>
          <w:p w:rsidR="004A147C" w:rsidRPr="00F00DAF" w:rsidRDefault="004A147C" w:rsidP="00CE5850">
            <w:pPr>
              <w:rPr>
                <w:sz w:val="20"/>
              </w:rPr>
            </w:pPr>
            <w:r w:rsidRPr="00F00DAF">
              <w:rPr>
                <w:sz w:val="20"/>
              </w:rPr>
              <w:t>2,431</w:t>
            </w:r>
          </w:p>
        </w:tc>
        <w:tc>
          <w:tcPr>
            <w:tcW w:w="0" w:type="auto"/>
            <w:tcBorders>
              <w:top w:val="nil"/>
              <w:left w:val="nil"/>
              <w:bottom w:val="single" w:sz="8" w:space="0" w:color="auto"/>
              <w:right w:val="single" w:sz="8" w:space="0" w:color="auto"/>
            </w:tcBorders>
            <w:shd w:val="clear" w:color="auto" w:fill="DAEEF3"/>
            <w:noWrap/>
            <w:tcMar>
              <w:top w:w="0" w:type="dxa"/>
              <w:left w:w="108" w:type="dxa"/>
              <w:bottom w:w="0" w:type="dxa"/>
              <w:right w:w="108" w:type="dxa"/>
            </w:tcMar>
          </w:tcPr>
          <w:p w:rsidR="004A147C" w:rsidRPr="00F00DAF" w:rsidRDefault="004A147C" w:rsidP="00CE5850">
            <w:pPr>
              <w:rPr>
                <w:sz w:val="20"/>
              </w:rPr>
            </w:pPr>
            <w:r w:rsidRPr="00F00DAF">
              <w:rPr>
                <w:sz w:val="20"/>
              </w:rPr>
              <w:t>63.9%</w:t>
            </w:r>
          </w:p>
        </w:tc>
        <w:tc>
          <w:tcPr>
            <w:tcW w:w="0" w:type="auto"/>
            <w:tcBorders>
              <w:top w:val="nil"/>
              <w:left w:val="nil"/>
              <w:bottom w:val="single" w:sz="8" w:space="0" w:color="auto"/>
              <w:right w:val="single" w:sz="8" w:space="0" w:color="auto"/>
            </w:tcBorders>
            <w:shd w:val="clear" w:color="auto" w:fill="DAEEF3"/>
          </w:tcPr>
          <w:p w:rsidR="004A147C" w:rsidRPr="00F00DAF" w:rsidRDefault="004A147C" w:rsidP="00CE5850">
            <w:pPr>
              <w:rPr>
                <w:sz w:val="20"/>
              </w:rPr>
            </w:pPr>
            <w:r w:rsidRPr="00F00DAF">
              <w:rPr>
                <w:sz w:val="20"/>
              </w:rPr>
              <w:t>6,012</w:t>
            </w:r>
          </w:p>
        </w:tc>
        <w:tc>
          <w:tcPr>
            <w:tcW w:w="0" w:type="auto"/>
            <w:tcBorders>
              <w:top w:val="nil"/>
              <w:left w:val="nil"/>
              <w:bottom w:val="single" w:sz="8" w:space="0" w:color="auto"/>
              <w:right w:val="single" w:sz="8" w:space="0" w:color="auto"/>
            </w:tcBorders>
            <w:shd w:val="clear" w:color="auto" w:fill="DAEEF3"/>
          </w:tcPr>
          <w:p w:rsidR="004A147C" w:rsidRPr="00F00DAF" w:rsidRDefault="004A147C" w:rsidP="00CE5850">
            <w:pPr>
              <w:rPr>
                <w:sz w:val="20"/>
              </w:rPr>
            </w:pPr>
            <w:r w:rsidRPr="00F00DAF">
              <w:rPr>
                <w:sz w:val="20"/>
              </w:rPr>
              <w:t>88.1%</w:t>
            </w:r>
          </w:p>
        </w:tc>
      </w:tr>
      <w:tr w:rsidR="004A147C" w:rsidRPr="00B53FFB" w:rsidTr="00F00DAF">
        <w:trPr>
          <w:trHeight w:val="272"/>
          <w:jc w:val="center"/>
        </w:trPr>
        <w:tc>
          <w:tcPr>
            <w:tcW w:w="0" w:type="auto"/>
            <w:vMerge/>
            <w:tcBorders>
              <w:top w:val="nil"/>
              <w:left w:val="single" w:sz="8" w:space="0" w:color="auto"/>
              <w:bottom w:val="single" w:sz="8" w:space="0" w:color="auto"/>
              <w:right w:val="single" w:sz="8" w:space="0" w:color="auto"/>
            </w:tcBorders>
            <w:shd w:val="clear" w:color="auto" w:fill="DAEEF3"/>
            <w:vAlign w:val="center"/>
          </w:tcPr>
          <w:p w:rsidR="004A147C" w:rsidRPr="007D38C2" w:rsidRDefault="004A147C" w:rsidP="00CE5850">
            <w:pPr>
              <w:rPr>
                <w:b/>
                <w:bCs/>
                <w:sz w:val="20"/>
              </w:rPr>
            </w:pPr>
          </w:p>
        </w:tc>
        <w:tc>
          <w:tcPr>
            <w:tcW w:w="0" w:type="auto"/>
            <w:tcBorders>
              <w:top w:val="nil"/>
              <w:left w:val="nil"/>
              <w:bottom w:val="single" w:sz="8" w:space="0" w:color="auto"/>
              <w:right w:val="single" w:sz="8" w:space="0" w:color="auto"/>
            </w:tcBorders>
            <w:shd w:val="clear" w:color="auto" w:fill="DAEEF3"/>
            <w:noWrap/>
            <w:tcMar>
              <w:top w:w="0" w:type="dxa"/>
              <w:left w:w="108" w:type="dxa"/>
              <w:bottom w:w="0" w:type="dxa"/>
              <w:right w:w="108" w:type="dxa"/>
            </w:tcMar>
            <w:vAlign w:val="bottom"/>
          </w:tcPr>
          <w:p w:rsidR="004A147C" w:rsidRPr="007D38C2" w:rsidRDefault="004A147C" w:rsidP="00CE5850">
            <w:pPr>
              <w:snapToGrid w:val="0"/>
              <w:rPr>
                <w:sz w:val="20"/>
              </w:rPr>
            </w:pPr>
            <w:r w:rsidRPr="007D38C2">
              <w:rPr>
                <w:sz w:val="20"/>
              </w:rPr>
              <w:t>Mobile WiMAX</w:t>
            </w:r>
          </w:p>
        </w:tc>
        <w:tc>
          <w:tcPr>
            <w:tcW w:w="0" w:type="auto"/>
            <w:tcBorders>
              <w:top w:val="nil"/>
              <w:left w:val="nil"/>
              <w:bottom w:val="single" w:sz="8" w:space="0" w:color="auto"/>
              <w:right w:val="single" w:sz="8" w:space="0" w:color="auto"/>
            </w:tcBorders>
            <w:shd w:val="clear" w:color="auto" w:fill="DAEEF3"/>
            <w:noWrap/>
            <w:tcMar>
              <w:top w:w="0" w:type="dxa"/>
              <w:left w:w="108" w:type="dxa"/>
              <w:bottom w:w="0" w:type="dxa"/>
              <w:right w:w="108" w:type="dxa"/>
            </w:tcMar>
          </w:tcPr>
          <w:p w:rsidR="004A147C" w:rsidRPr="00F00DAF" w:rsidRDefault="004A147C" w:rsidP="00CE5850">
            <w:pPr>
              <w:rPr>
                <w:sz w:val="20"/>
              </w:rPr>
            </w:pPr>
            <w:r w:rsidRPr="00F00DAF">
              <w:rPr>
                <w:sz w:val="20"/>
              </w:rPr>
              <w:t>105,340</w:t>
            </w:r>
          </w:p>
        </w:tc>
        <w:tc>
          <w:tcPr>
            <w:tcW w:w="1076" w:type="dxa"/>
            <w:tcBorders>
              <w:top w:val="nil"/>
              <w:left w:val="nil"/>
              <w:bottom w:val="single" w:sz="8" w:space="0" w:color="auto"/>
              <w:right w:val="single" w:sz="8" w:space="0" w:color="auto"/>
            </w:tcBorders>
            <w:shd w:val="clear" w:color="auto" w:fill="DAEEF3"/>
            <w:noWrap/>
            <w:tcMar>
              <w:top w:w="0" w:type="dxa"/>
              <w:left w:w="108" w:type="dxa"/>
              <w:bottom w:w="0" w:type="dxa"/>
              <w:right w:w="108" w:type="dxa"/>
            </w:tcMar>
          </w:tcPr>
          <w:p w:rsidR="004A147C" w:rsidRPr="00F00DAF" w:rsidRDefault="004A147C" w:rsidP="00CE5850">
            <w:pPr>
              <w:rPr>
                <w:sz w:val="20"/>
              </w:rPr>
            </w:pPr>
            <w:r w:rsidRPr="00F00DAF">
              <w:rPr>
                <w:sz w:val="20"/>
              </w:rPr>
              <w:t>33.7%</w:t>
            </w:r>
          </w:p>
        </w:tc>
        <w:tc>
          <w:tcPr>
            <w:tcW w:w="1284" w:type="dxa"/>
            <w:tcBorders>
              <w:top w:val="nil"/>
              <w:left w:val="nil"/>
              <w:bottom w:val="single" w:sz="8" w:space="0" w:color="auto"/>
              <w:right w:val="single" w:sz="8" w:space="0" w:color="auto"/>
            </w:tcBorders>
            <w:shd w:val="clear" w:color="auto" w:fill="DAEEF3"/>
            <w:noWrap/>
            <w:tcMar>
              <w:top w:w="0" w:type="dxa"/>
              <w:left w:w="108" w:type="dxa"/>
              <w:bottom w:w="0" w:type="dxa"/>
              <w:right w:w="108" w:type="dxa"/>
            </w:tcMar>
          </w:tcPr>
          <w:p w:rsidR="004A147C" w:rsidRPr="00F00DAF" w:rsidRDefault="004A147C" w:rsidP="00CE5850">
            <w:pPr>
              <w:rPr>
                <w:sz w:val="20"/>
              </w:rPr>
            </w:pPr>
            <w:r w:rsidRPr="00F00DAF">
              <w:rPr>
                <w:sz w:val="20"/>
              </w:rPr>
              <w:t>44</w:t>
            </w:r>
          </w:p>
        </w:tc>
        <w:tc>
          <w:tcPr>
            <w:tcW w:w="0" w:type="auto"/>
            <w:tcBorders>
              <w:top w:val="nil"/>
              <w:left w:val="nil"/>
              <w:bottom w:val="single" w:sz="8" w:space="0" w:color="auto"/>
              <w:right w:val="single" w:sz="8" w:space="0" w:color="auto"/>
            </w:tcBorders>
            <w:shd w:val="clear" w:color="auto" w:fill="DAEEF3"/>
            <w:noWrap/>
            <w:tcMar>
              <w:top w:w="0" w:type="dxa"/>
              <w:left w:w="108" w:type="dxa"/>
              <w:bottom w:w="0" w:type="dxa"/>
              <w:right w:w="108" w:type="dxa"/>
            </w:tcMar>
          </w:tcPr>
          <w:p w:rsidR="004A147C" w:rsidRPr="00F00DAF" w:rsidRDefault="004A147C" w:rsidP="00CE5850">
            <w:pPr>
              <w:rPr>
                <w:sz w:val="20"/>
              </w:rPr>
            </w:pPr>
            <w:r w:rsidRPr="00F00DAF">
              <w:rPr>
                <w:sz w:val="20"/>
              </w:rPr>
              <w:t>1.2%</w:t>
            </w:r>
          </w:p>
        </w:tc>
        <w:tc>
          <w:tcPr>
            <w:tcW w:w="0" w:type="auto"/>
            <w:tcBorders>
              <w:top w:val="nil"/>
              <w:left w:val="nil"/>
              <w:bottom w:val="single" w:sz="8" w:space="0" w:color="auto"/>
              <w:right w:val="single" w:sz="8" w:space="0" w:color="auto"/>
            </w:tcBorders>
            <w:shd w:val="clear" w:color="auto" w:fill="DAEEF3"/>
          </w:tcPr>
          <w:p w:rsidR="004A147C" w:rsidRPr="00F00DAF" w:rsidRDefault="004A147C" w:rsidP="00CE5850">
            <w:pPr>
              <w:rPr>
                <w:sz w:val="20"/>
              </w:rPr>
            </w:pPr>
            <w:r w:rsidRPr="00F00DAF">
              <w:rPr>
                <w:sz w:val="20"/>
              </w:rPr>
              <w:t>418</w:t>
            </w:r>
          </w:p>
        </w:tc>
        <w:tc>
          <w:tcPr>
            <w:tcW w:w="0" w:type="auto"/>
            <w:tcBorders>
              <w:top w:val="nil"/>
              <w:left w:val="nil"/>
              <w:bottom w:val="single" w:sz="8" w:space="0" w:color="auto"/>
              <w:right w:val="single" w:sz="8" w:space="0" w:color="auto"/>
            </w:tcBorders>
            <w:shd w:val="clear" w:color="auto" w:fill="DAEEF3"/>
          </w:tcPr>
          <w:p w:rsidR="004A147C" w:rsidRPr="00F00DAF" w:rsidRDefault="004A147C" w:rsidP="00CE5850">
            <w:pPr>
              <w:rPr>
                <w:sz w:val="20"/>
              </w:rPr>
            </w:pPr>
            <w:r w:rsidRPr="00F00DAF">
              <w:rPr>
                <w:sz w:val="20"/>
              </w:rPr>
              <w:t>6.1%</w:t>
            </w:r>
          </w:p>
        </w:tc>
      </w:tr>
      <w:tr w:rsidR="004A147C" w:rsidRPr="00B53FFB" w:rsidTr="00F00DAF">
        <w:trPr>
          <w:trHeight w:val="272"/>
          <w:jc w:val="center"/>
        </w:trPr>
        <w:tc>
          <w:tcPr>
            <w:tcW w:w="0" w:type="auto"/>
            <w:vMerge/>
            <w:tcBorders>
              <w:top w:val="nil"/>
              <w:left w:val="single" w:sz="8" w:space="0" w:color="auto"/>
              <w:bottom w:val="single" w:sz="8" w:space="0" w:color="auto"/>
              <w:right w:val="single" w:sz="8" w:space="0" w:color="auto"/>
            </w:tcBorders>
            <w:shd w:val="clear" w:color="auto" w:fill="DAEEF3"/>
            <w:vAlign w:val="center"/>
          </w:tcPr>
          <w:p w:rsidR="004A147C" w:rsidRPr="007D38C2" w:rsidRDefault="004A147C" w:rsidP="00CE5850">
            <w:pPr>
              <w:rPr>
                <w:b/>
                <w:bCs/>
                <w:sz w:val="20"/>
              </w:rPr>
            </w:pPr>
          </w:p>
        </w:tc>
        <w:tc>
          <w:tcPr>
            <w:tcW w:w="0" w:type="auto"/>
            <w:tcBorders>
              <w:top w:val="nil"/>
              <w:left w:val="nil"/>
              <w:bottom w:val="single" w:sz="8" w:space="0" w:color="auto"/>
              <w:right w:val="single" w:sz="8" w:space="0" w:color="auto"/>
            </w:tcBorders>
            <w:shd w:val="clear" w:color="auto" w:fill="DAEEF3"/>
            <w:noWrap/>
            <w:tcMar>
              <w:top w:w="0" w:type="dxa"/>
              <w:left w:w="108" w:type="dxa"/>
              <w:bottom w:w="0" w:type="dxa"/>
              <w:right w:w="108" w:type="dxa"/>
            </w:tcMar>
            <w:vAlign w:val="bottom"/>
          </w:tcPr>
          <w:p w:rsidR="004A147C" w:rsidRPr="007D38C2" w:rsidRDefault="004A147C" w:rsidP="00CE5850">
            <w:pPr>
              <w:snapToGrid w:val="0"/>
              <w:rPr>
                <w:sz w:val="20"/>
              </w:rPr>
            </w:pPr>
            <w:r w:rsidRPr="007D38C2">
              <w:rPr>
                <w:sz w:val="20"/>
              </w:rPr>
              <w:t>LTE</w:t>
            </w:r>
          </w:p>
        </w:tc>
        <w:tc>
          <w:tcPr>
            <w:tcW w:w="0" w:type="auto"/>
            <w:tcBorders>
              <w:top w:val="nil"/>
              <w:left w:val="nil"/>
              <w:bottom w:val="single" w:sz="8" w:space="0" w:color="auto"/>
              <w:right w:val="single" w:sz="8" w:space="0" w:color="auto"/>
            </w:tcBorders>
            <w:shd w:val="clear" w:color="auto" w:fill="DAEEF3"/>
            <w:noWrap/>
            <w:tcMar>
              <w:top w:w="0" w:type="dxa"/>
              <w:left w:w="108" w:type="dxa"/>
              <w:bottom w:w="0" w:type="dxa"/>
              <w:right w:w="108" w:type="dxa"/>
            </w:tcMar>
          </w:tcPr>
          <w:p w:rsidR="004A147C" w:rsidRPr="00F00DAF" w:rsidRDefault="004A147C" w:rsidP="00CE5850">
            <w:pPr>
              <w:rPr>
                <w:sz w:val="20"/>
              </w:rPr>
            </w:pPr>
            <w:r w:rsidRPr="00F00DAF">
              <w:rPr>
                <w:sz w:val="20"/>
              </w:rPr>
              <w:t>267,464</w:t>
            </w:r>
          </w:p>
        </w:tc>
        <w:tc>
          <w:tcPr>
            <w:tcW w:w="1076" w:type="dxa"/>
            <w:tcBorders>
              <w:top w:val="nil"/>
              <w:left w:val="nil"/>
              <w:bottom w:val="single" w:sz="8" w:space="0" w:color="auto"/>
              <w:right w:val="single" w:sz="8" w:space="0" w:color="auto"/>
            </w:tcBorders>
            <w:shd w:val="clear" w:color="auto" w:fill="DAEEF3"/>
            <w:noWrap/>
            <w:tcMar>
              <w:top w:w="0" w:type="dxa"/>
              <w:left w:w="108" w:type="dxa"/>
              <w:bottom w:w="0" w:type="dxa"/>
              <w:right w:w="108" w:type="dxa"/>
            </w:tcMar>
          </w:tcPr>
          <w:p w:rsidR="004A147C" w:rsidRPr="00F00DAF" w:rsidRDefault="004A147C" w:rsidP="00CE5850">
            <w:pPr>
              <w:rPr>
                <w:sz w:val="20"/>
              </w:rPr>
            </w:pPr>
            <w:r w:rsidRPr="00F00DAF">
              <w:rPr>
                <w:sz w:val="20"/>
              </w:rPr>
              <w:t>85.6%</w:t>
            </w:r>
          </w:p>
        </w:tc>
        <w:tc>
          <w:tcPr>
            <w:tcW w:w="1284" w:type="dxa"/>
            <w:tcBorders>
              <w:top w:val="nil"/>
              <w:left w:val="nil"/>
              <w:bottom w:val="single" w:sz="8" w:space="0" w:color="auto"/>
              <w:right w:val="single" w:sz="8" w:space="0" w:color="auto"/>
            </w:tcBorders>
            <w:shd w:val="clear" w:color="auto" w:fill="DAEEF3"/>
            <w:noWrap/>
            <w:tcMar>
              <w:top w:w="0" w:type="dxa"/>
              <w:left w:w="108" w:type="dxa"/>
              <w:bottom w:w="0" w:type="dxa"/>
              <w:right w:w="108" w:type="dxa"/>
            </w:tcMar>
          </w:tcPr>
          <w:p w:rsidR="004A147C" w:rsidRPr="00F00DAF" w:rsidRDefault="004A147C" w:rsidP="00CE5850">
            <w:pPr>
              <w:rPr>
                <w:sz w:val="20"/>
              </w:rPr>
            </w:pPr>
            <w:r w:rsidRPr="00F00DAF">
              <w:rPr>
                <w:sz w:val="20"/>
              </w:rPr>
              <w:t>766</w:t>
            </w:r>
          </w:p>
        </w:tc>
        <w:tc>
          <w:tcPr>
            <w:tcW w:w="0" w:type="auto"/>
            <w:tcBorders>
              <w:top w:val="nil"/>
              <w:left w:val="nil"/>
              <w:bottom w:val="single" w:sz="8" w:space="0" w:color="auto"/>
              <w:right w:val="single" w:sz="8" w:space="0" w:color="auto"/>
            </w:tcBorders>
            <w:shd w:val="clear" w:color="auto" w:fill="DAEEF3"/>
            <w:noWrap/>
            <w:tcMar>
              <w:top w:w="0" w:type="dxa"/>
              <w:left w:w="108" w:type="dxa"/>
              <w:bottom w:w="0" w:type="dxa"/>
              <w:right w:w="108" w:type="dxa"/>
            </w:tcMar>
          </w:tcPr>
          <w:p w:rsidR="004A147C" w:rsidRPr="00F00DAF" w:rsidRDefault="004A147C" w:rsidP="00CE5850">
            <w:pPr>
              <w:rPr>
                <w:sz w:val="20"/>
              </w:rPr>
            </w:pPr>
            <w:r w:rsidRPr="00F00DAF">
              <w:rPr>
                <w:sz w:val="20"/>
              </w:rPr>
              <w:t>20.2%</w:t>
            </w:r>
          </w:p>
        </w:tc>
        <w:tc>
          <w:tcPr>
            <w:tcW w:w="0" w:type="auto"/>
            <w:tcBorders>
              <w:top w:val="nil"/>
              <w:left w:val="nil"/>
              <w:bottom w:val="single" w:sz="8" w:space="0" w:color="auto"/>
              <w:right w:val="single" w:sz="8" w:space="0" w:color="auto"/>
            </w:tcBorders>
            <w:shd w:val="clear" w:color="auto" w:fill="DAEEF3"/>
          </w:tcPr>
          <w:p w:rsidR="004A147C" w:rsidRPr="00F00DAF" w:rsidRDefault="004A147C" w:rsidP="00CE5850">
            <w:pPr>
              <w:rPr>
                <w:sz w:val="20"/>
              </w:rPr>
            </w:pPr>
            <w:r w:rsidRPr="00F00DAF">
              <w:rPr>
                <w:sz w:val="20"/>
              </w:rPr>
              <w:t>2,816</w:t>
            </w:r>
          </w:p>
        </w:tc>
        <w:tc>
          <w:tcPr>
            <w:tcW w:w="0" w:type="auto"/>
            <w:tcBorders>
              <w:top w:val="nil"/>
              <w:left w:val="nil"/>
              <w:bottom w:val="single" w:sz="8" w:space="0" w:color="auto"/>
              <w:right w:val="single" w:sz="8" w:space="0" w:color="auto"/>
            </w:tcBorders>
            <w:shd w:val="clear" w:color="auto" w:fill="DAEEF3"/>
          </w:tcPr>
          <w:p w:rsidR="004A147C" w:rsidRPr="00F00DAF" w:rsidRDefault="004A147C" w:rsidP="00CE5850">
            <w:pPr>
              <w:rPr>
                <w:sz w:val="20"/>
              </w:rPr>
            </w:pPr>
            <w:r w:rsidRPr="00F00DAF">
              <w:rPr>
                <w:sz w:val="20"/>
              </w:rPr>
              <w:t>41.3%</w:t>
            </w:r>
          </w:p>
        </w:tc>
      </w:tr>
      <w:tr w:rsidR="004A147C" w:rsidRPr="00B53FFB" w:rsidTr="00F00DAF">
        <w:trPr>
          <w:trHeight w:val="272"/>
          <w:jc w:val="center"/>
        </w:trPr>
        <w:tc>
          <w:tcPr>
            <w:tcW w:w="0" w:type="auto"/>
            <w:vMerge/>
            <w:tcBorders>
              <w:top w:val="nil"/>
              <w:left w:val="single" w:sz="8" w:space="0" w:color="auto"/>
              <w:bottom w:val="single" w:sz="8" w:space="0" w:color="auto"/>
              <w:right w:val="single" w:sz="8" w:space="0" w:color="auto"/>
            </w:tcBorders>
            <w:shd w:val="clear" w:color="auto" w:fill="DAEEF3"/>
            <w:vAlign w:val="center"/>
          </w:tcPr>
          <w:p w:rsidR="004A147C" w:rsidRPr="007D38C2" w:rsidRDefault="004A147C" w:rsidP="00CE5850">
            <w:pPr>
              <w:rPr>
                <w:b/>
                <w:bCs/>
                <w:sz w:val="20"/>
              </w:rPr>
            </w:pPr>
          </w:p>
        </w:tc>
        <w:tc>
          <w:tcPr>
            <w:tcW w:w="0" w:type="auto"/>
            <w:tcBorders>
              <w:top w:val="nil"/>
              <w:left w:val="nil"/>
              <w:bottom w:val="single" w:sz="8" w:space="0" w:color="auto"/>
              <w:right w:val="single" w:sz="8" w:space="0" w:color="auto"/>
            </w:tcBorders>
            <w:shd w:val="clear" w:color="auto" w:fill="DAEEF3"/>
            <w:noWrap/>
            <w:tcMar>
              <w:top w:w="0" w:type="dxa"/>
              <w:left w:w="108" w:type="dxa"/>
              <w:bottom w:w="0" w:type="dxa"/>
              <w:right w:w="108" w:type="dxa"/>
            </w:tcMar>
            <w:vAlign w:val="bottom"/>
          </w:tcPr>
          <w:p w:rsidR="004A147C" w:rsidRPr="007D38C2" w:rsidRDefault="004A147C" w:rsidP="00CE5850">
            <w:pPr>
              <w:snapToGrid w:val="0"/>
              <w:rPr>
                <w:b/>
                <w:bCs/>
                <w:sz w:val="20"/>
              </w:rPr>
            </w:pPr>
            <w:r w:rsidRPr="007D38C2">
              <w:rPr>
                <w:b/>
                <w:bCs/>
                <w:sz w:val="20"/>
              </w:rPr>
              <w:t xml:space="preserve">Total Mobile </w:t>
            </w:r>
          </w:p>
          <w:p w:rsidR="004A147C" w:rsidRPr="007D38C2" w:rsidRDefault="004A147C" w:rsidP="00CE5850">
            <w:pPr>
              <w:snapToGrid w:val="0"/>
              <w:rPr>
                <w:b/>
                <w:bCs/>
                <w:sz w:val="20"/>
              </w:rPr>
            </w:pPr>
            <w:r w:rsidRPr="007D38C2">
              <w:rPr>
                <w:b/>
                <w:bCs/>
                <w:sz w:val="20"/>
              </w:rPr>
              <w:t xml:space="preserve">Broadband </w:t>
            </w:r>
          </w:p>
          <w:p w:rsidR="004A147C" w:rsidRPr="007D38C2" w:rsidRDefault="004A147C" w:rsidP="00CE5850">
            <w:pPr>
              <w:snapToGrid w:val="0"/>
              <w:rPr>
                <w:b/>
                <w:bCs/>
                <w:sz w:val="20"/>
              </w:rPr>
            </w:pPr>
            <w:r w:rsidRPr="007D38C2">
              <w:rPr>
                <w:b/>
                <w:bCs/>
                <w:sz w:val="20"/>
              </w:rPr>
              <w:t>Coverage (3G/4G)</w:t>
            </w:r>
          </w:p>
        </w:tc>
        <w:tc>
          <w:tcPr>
            <w:tcW w:w="0" w:type="auto"/>
            <w:tcBorders>
              <w:top w:val="nil"/>
              <w:left w:val="nil"/>
              <w:bottom w:val="single" w:sz="8" w:space="0" w:color="auto"/>
              <w:right w:val="single" w:sz="8" w:space="0" w:color="auto"/>
            </w:tcBorders>
            <w:shd w:val="clear" w:color="auto" w:fill="DAEEF3"/>
            <w:noWrap/>
            <w:tcMar>
              <w:top w:w="0" w:type="dxa"/>
              <w:left w:w="108" w:type="dxa"/>
              <w:bottom w:w="0" w:type="dxa"/>
              <w:right w:w="108" w:type="dxa"/>
            </w:tcMar>
          </w:tcPr>
          <w:p w:rsidR="004A147C" w:rsidRPr="00F00DAF" w:rsidRDefault="004A147C" w:rsidP="00CE5850">
            <w:pPr>
              <w:jc w:val="center"/>
              <w:rPr>
                <w:b/>
                <w:sz w:val="20"/>
              </w:rPr>
            </w:pPr>
            <w:r w:rsidRPr="00F00DAF">
              <w:rPr>
                <w:b/>
                <w:sz w:val="20"/>
              </w:rPr>
              <w:t>311,025</w:t>
            </w:r>
          </w:p>
        </w:tc>
        <w:tc>
          <w:tcPr>
            <w:tcW w:w="1076" w:type="dxa"/>
            <w:tcBorders>
              <w:top w:val="nil"/>
              <w:left w:val="nil"/>
              <w:bottom w:val="single" w:sz="8" w:space="0" w:color="auto"/>
              <w:right w:val="single" w:sz="8" w:space="0" w:color="auto"/>
            </w:tcBorders>
            <w:shd w:val="clear" w:color="auto" w:fill="DAEEF3"/>
            <w:noWrap/>
            <w:tcMar>
              <w:top w:w="0" w:type="dxa"/>
              <w:left w:w="108" w:type="dxa"/>
              <w:bottom w:w="0" w:type="dxa"/>
              <w:right w:w="108" w:type="dxa"/>
            </w:tcMar>
          </w:tcPr>
          <w:p w:rsidR="004A147C" w:rsidRPr="00F00DAF" w:rsidRDefault="004A147C" w:rsidP="00CE5850">
            <w:pPr>
              <w:jc w:val="center"/>
              <w:rPr>
                <w:b/>
                <w:sz w:val="20"/>
              </w:rPr>
            </w:pPr>
            <w:r w:rsidRPr="00F00DAF">
              <w:rPr>
                <w:b/>
                <w:sz w:val="20"/>
              </w:rPr>
              <w:t>99.5%</w:t>
            </w:r>
          </w:p>
        </w:tc>
        <w:tc>
          <w:tcPr>
            <w:tcW w:w="1284" w:type="dxa"/>
            <w:tcBorders>
              <w:top w:val="nil"/>
              <w:left w:val="nil"/>
              <w:bottom w:val="single" w:sz="8" w:space="0" w:color="auto"/>
              <w:right w:val="single" w:sz="8" w:space="0" w:color="auto"/>
            </w:tcBorders>
            <w:shd w:val="clear" w:color="auto" w:fill="DAEEF3"/>
            <w:noWrap/>
            <w:tcMar>
              <w:top w:w="0" w:type="dxa"/>
              <w:left w:w="108" w:type="dxa"/>
              <w:bottom w:w="0" w:type="dxa"/>
              <w:right w:w="108" w:type="dxa"/>
            </w:tcMar>
          </w:tcPr>
          <w:p w:rsidR="004A147C" w:rsidRPr="00F00DAF" w:rsidRDefault="004A147C" w:rsidP="00CE5850">
            <w:pPr>
              <w:jc w:val="center"/>
              <w:rPr>
                <w:b/>
                <w:sz w:val="20"/>
              </w:rPr>
            </w:pPr>
            <w:r w:rsidRPr="00F00DAF">
              <w:rPr>
                <w:b/>
                <w:sz w:val="20"/>
              </w:rPr>
              <w:t>2,577</w:t>
            </w:r>
          </w:p>
        </w:tc>
        <w:tc>
          <w:tcPr>
            <w:tcW w:w="0" w:type="auto"/>
            <w:tcBorders>
              <w:top w:val="nil"/>
              <w:left w:val="nil"/>
              <w:bottom w:val="single" w:sz="8" w:space="0" w:color="auto"/>
              <w:right w:val="single" w:sz="8" w:space="0" w:color="auto"/>
            </w:tcBorders>
            <w:shd w:val="clear" w:color="auto" w:fill="DAEEF3"/>
            <w:noWrap/>
            <w:tcMar>
              <w:top w:w="0" w:type="dxa"/>
              <w:left w:w="108" w:type="dxa"/>
              <w:bottom w:w="0" w:type="dxa"/>
              <w:right w:w="108" w:type="dxa"/>
            </w:tcMar>
          </w:tcPr>
          <w:p w:rsidR="004A147C" w:rsidRPr="00F00DAF" w:rsidRDefault="004A147C" w:rsidP="00CE5850">
            <w:pPr>
              <w:jc w:val="center"/>
              <w:rPr>
                <w:b/>
                <w:sz w:val="20"/>
              </w:rPr>
            </w:pPr>
            <w:r w:rsidRPr="00F00DAF">
              <w:rPr>
                <w:b/>
                <w:sz w:val="20"/>
              </w:rPr>
              <w:t>67.8%</w:t>
            </w:r>
          </w:p>
        </w:tc>
        <w:tc>
          <w:tcPr>
            <w:tcW w:w="0" w:type="auto"/>
            <w:tcBorders>
              <w:top w:val="nil"/>
              <w:left w:val="nil"/>
              <w:bottom w:val="single" w:sz="8" w:space="0" w:color="auto"/>
              <w:right w:val="single" w:sz="8" w:space="0" w:color="auto"/>
            </w:tcBorders>
            <w:shd w:val="clear" w:color="auto" w:fill="DAEEF3"/>
          </w:tcPr>
          <w:p w:rsidR="004A147C" w:rsidRPr="00F00DAF" w:rsidRDefault="004A147C" w:rsidP="00CE5850">
            <w:pPr>
              <w:jc w:val="center"/>
              <w:rPr>
                <w:b/>
                <w:sz w:val="20"/>
              </w:rPr>
            </w:pPr>
            <w:r w:rsidRPr="00F00DAF">
              <w:rPr>
                <w:b/>
                <w:sz w:val="20"/>
              </w:rPr>
              <w:t>6,209</w:t>
            </w:r>
          </w:p>
        </w:tc>
        <w:tc>
          <w:tcPr>
            <w:tcW w:w="0" w:type="auto"/>
            <w:tcBorders>
              <w:top w:val="nil"/>
              <w:left w:val="nil"/>
              <w:bottom w:val="single" w:sz="8" w:space="0" w:color="auto"/>
              <w:right w:val="single" w:sz="8" w:space="0" w:color="auto"/>
            </w:tcBorders>
            <w:shd w:val="clear" w:color="auto" w:fill="DAEEF3"/>
          </w:tcPr>
          <w:p w:rsidR="004A147C" w:rsidRPr="00F00DAF" w:rsidRDefault="004A147C" w:rsidP="00CE5850">
            <w:pPr>
              <w:jc w:val="center"/>
              <w:rPr>
                <w:b/>
                <w:sz w:val="20"/>
              </w:rPr>
            </w:pPr>
            <w:r w:rsidRPr="00F00DAF">
              <w:rPr>
                <w:b/>
                <w:sz w:val="20"/>
              </w:rPr>
              <w:t>91.0%</w:t>
            </w:r>
          </w:p>
        </w:tc>
      </w:tr>
    </w:tbl>
    <w:p w:rsidR="004A147C" w:rsidRPr="00F00DAF" w:rsidRDefault="004A147C" w:rsidP="00CE5850"/>
    <w:bookmarkEnd w:id="2484"/>
    <w:bookmarkEnd w:id="2485"/>
    <w:bookmarkEnd w:id="2487"/>
    <w:p w:rsidR="004A147C" w:rsidRPr="00B53FFB" w:rsidRDefault="004A147C" w:rsidP="00CE5850">
      <w:pPr>
        <w:pStyle w:val="ParaNum"/>
        <w:tabs>
          <w:tab w:val="clear" w:pos="1440"/>
        </w:tabs>
        <w:ind w:left="720" w:firstLine="0"/>
        <w:rPr>
          <w:sz w:val="22"/>
          <w:szCs w:val="22"/>
        </w:rPr>
      </w:pPr>
    </w:p>
    <w:p w:rsidR="00CA3AC6" w:rsidRPr="00B53FFB" w:rsidRDefault="004A147C" w:rsidP="00CE5850">
      <w:pPr>
        <w:pStyle w:val="ParaNum"/>
        <w:numPr>
          <w:ilvl w:val="0"/>
          <w:numId w:val="28"/>
        </w:numPr>
        <w:rPr>
          <w:sz w:val="22"/>
          <w:szCs w:val="22"/>
        </w:rPr>
      </w:pPr>
      <w:r w:rsidRPr="00B53FFB">
        <w:rPr>
          <w:sz w:val="22"/>
          <w:szCs w:val="22"/>
        </w:rPr>
        <w:t>Additional information on mobile broadband network deployment can be found in the National Broadband Map.</w:t>
      </w:r>
      <w:r w:rsidRPr="00B53FFB">
        <w:rPr>
          <w:rStyle w:val="FootnoteReference"/>
          <w:szCs w:val="22"/>
        </w:rPr>
        <w:footnoteReference w:id="649"/>
      </w:r>
      <w:r w:rsidRPr="00B53FFB">
        <w:rPr>
          <w:sz w:val="22"/>
          <w:szCs w:val="22"/>
        </w:rPr>
        <w:t xml:space="preserve">  The National Broadband Map displays the geographic areas where broadband service is available, the technology used to provide the service, and the speeds of the service.</w:t>
      </w:r>
      <w:r w:rsidRPr="00B53FFB">
        <w:rPr>
          <w:rStyle w:val="FootnoteReference"/>
          <w:szCs w:val="22"/>
        </w:rPr>
        <w:footnoteReference w:id="650"/>
      </w:r>
      <w:r w:rsidRPr="00B53FFB">
        <w:rPr>
          <w:sz w:val="22"/>
          <w:szCs w:val="22"/>
        </w:rPr>
        <w:t xml:space="preserve">  The Map is searchable by address and indicates the broadband providers offering service in the corresponding census block or street segment.</w:t>
      </w:r>
      <w:r w:rsidRPr="00B53FFB">
        <w:rPr>
          <w:rStyle w:val="FootnoteReference"/>
          <w:szCs w:val="22"/>
        </w:rPr>
        <w:footnoteReference w:id="651"/>
      </w:r>
      <w:r w:rsidRPr="00B53FFB">
        <w:rPr>
          <w:sz w:val="22"/>
          <w:szCs w:val="22"/>
        </w:rPr>
        <w:t xml:space="preserve">  According to a Commission analysis of State Broadband Initiative map data submitted for the National Broadband Map, mobile broadband networks offering speeds of 3 Mbps downstream and 768 kbps upstream covered an estimated 93.8 percent of the U.S. population as of June 2011.</w:t>
      </w:r>
      <w:r w:rsidRPr="00B53FFB">
        <w:rPr>
          <w:rStyle w:val="FootnoteReference"/>
          <w:szCs w:val="22"/>
        </w:rPr>
        <w:footnoteReference w:id="652"/>
      </w:r>
      <w:r w:rsidR="0007014B" w:rsidRPr="00B53FFB">
        <w:rPr>
          <w:sz w:val="22"/>
          <w:szCs w:val="22"/>
        </w:rPr>
        <w:fldChar w:fldCharType="begin"/>
      </w:r>
      <w:r w:rsidRPr="00B53FFB">
        <w:rPr>
          <w:sz w:val="22"/>
          <w:szCs w:val="22"/>
        </w:rPr>
        <w:instrText xml:space="preserve"> REF _Ref256073681  \* MERGEFORMAT </w:instrText>
      </w:r>
      <w:r w:rsidR="0007014B" w:rsidRPr="00B53FFB">
        <w:rPr>
          <w:sz w:val="22"/>
          <w:szCs w:val="22"/>
        </w:rPr>
        <w:fldChar w:fldCharType="separate"/>
      </w:r>
    </w:p>
    <w:p w:rsidR="004A147C" w:rsidRPr="00B53FFB" w:rsidRDefault="00CA3AC6" w:rsidP="00CE5850">
      <w:pPr>
        <w:pStyle w:val="ParaNum"/>
        <w:numPr>
          <w:ilvl w:val="0"/>
          <w:numId w:val="28"/>
        </w:numPr>
        <w:rPr>
          <w:sz w:val="22"/>
          <w:szCs w:val="22"/>
        </w:rPr>
      </w:pPr>
      <w:r w:rsidRPr="00CA3AC6">
        <w:rPr>
          <w:sz w:val="22"/>
          <w:szCs w:val="22"/>
        </w:rPr>
        <w:t>Chart</w:t>
      </w:r>
      <w:r w:rsidRPr="00CA3AC6">
        <w:rPr>
          <w:noProof/>
          <w:sz w:val="22"/>
          <w:szCs w:val="22"/>
        </w:rPr>
        <w:t xml:space="preserve"> 7</w:t>
      </w:r>
      <w:r w:rsidR="0007014B" w:rsidRPr="00B53FFB">
        <w:rPr>
          <w:sz w:val="22"/>
          <w:szCs w:val="22"/>
        </w:rPr>
        <w:fldChar w:fldCharType="end"/>
      </w:r>
      <w:r w:rsidR="004A147C" w:rsidRPr="00B53FFB">
        <w:rPr>
          <w:sz w:val="22"/>
          <w:szCs w:val="22"/>
        </w:rPr>
        <w:t xml:space="preserve"> below depicts the pace of 3G/4G network deployment over the past seven years.  As stated above, these estimates of coverage represent mobile network deployment and may not indicate the extent to which providers actually offer service in the covered areas or have customers residing in those areas.  EV-DO network coverage has grown from 62.6 percent of the U.S. population in 2006 to 99.</w:t>
      </w:r>
      <w:r w:rsidR="004A147C">
        <w:rPr>
          <w:sz w:val="22"/>
          <w:szCs w:val="22"/>
        </w:rPr>
        <w:t>2</w:t>
      </w:r>
      <w:r w:rsidR="004A147C" w:rsidRPr="00B53FFB">
        <w:rPr>
          <w:sz w:val="22"/>
          <w:szCs w:val="22"/>
        </w:rPr>
        <w:t xml:space="preserve"> percent in 2012.  HSPA network coverage was not nearly as extensive as EV-DO coverage in 2006, covering only 20 percent of the U.S. population.  However, HSPA deployment has been increasing in recent years, and HSPA networks covered 9</w:t>
      </w:r>
      <w:r w:rsidR="004A147C">
        <w:rPr>
          <w:sz w:val="22"/>
          <w:szCs w:val="22"/>
        </w:rPr>
        <w:t>5.</w:t>
      </w:r>
      <w:r w:rsidR="004A147C" w:rsidRPr="00B53FFB">
        <w:rPr>
          <w:sz w:val="22"/>
          <w:szCs w:val="22"/>
        </w:rPr>
        <w:t xml:space="preserve">3 percent of the population in </w:t>
      </w:r>
      <w:r w:rsidR="004A147C">
        <w:rPr>
          <w:sz w:val="22"/>
          <w:szCs w:val="22"/>
        </w:rPr>
        <w:t>October</w:t>
      </w:r>
      <w:r w:rsidR="004A147C" w:rsidRPr="00B53FFB">
        <w:rPr>
          <w:sz w:val="22"/>
          <w:szCs w:val="22"/>
        </w:rPr>
        <w:t xml:space="preserve"> 2012.  Looking at the more recently-launched network technologies, WiMAX and LTE, we see that WiMAX coverage has increased since 2009 but still only covers about a third of the U.S. population and actually declined slightly from 2011 to 2012.  LTE coverage, on the other hand, has grown rapidly over the past year-and-a-half, from nothing in mid-2010 to </w:t>
      </w:r>
      <w:r w:rsidR="004A147C">
        <w:rPr>
          <w:sz w:val="22"/>
          <w:szCs w:val="22"/>
        </w:rPr>
        <w:t xml:space="preserve">86 percent </w:t>
      </w:r>
      <w:r w:rsidR="004A147C" w:rsidRPr="00B53FFB">
        <w:rPr>
          <w:sz w:val="22"/>
          <w:szCs w:val="22"/>
        </w:rPr>
        <w:t xml:space="preserve">of the U.S. population as of </w:t>
      </w:r>
      <w:r w:rsidR="004A147C">
        <w:rPr>
          <w:sz w:val="22"/>
          <w:szCs w:val="22"/>
        </w:rPr>
        <w:t>October</w:t>
      </w:r>
      <w:r w:rsidR="004A147C" w:rsidRPr="00B53FFB">
        <w:rPr>
          <w:sz w:val="22"/>
          <w:szCs w:val="22"/>
        </w:rPr>
        <w:t xml:space="preserve"> 2012.  This trend reflects the LTE network launches by the major providers that began in the fall of 2010.</w:t>
      </w:r>
      <w:r w:rsidR="004A147C" w:rsidRPr="00B53FFB">
        <w:rPr>
          <w:rStyle w:val="FootnoteReference"/>
          <w:szCs w:val="22"/>
        </w:rPr>
        <w:footnoteReference w:id="653"/>
      </w:r>
      <w:bookmarkStart w:id="2488" w:name="_Ref256073676"/>
      <w:bookmarkStart w:id="2489" w:name="_Ref256073681"/>
    </w:p>
    <w:p w:rsidR="004A147C" w:rsidRPr="00B53FFB" w:rsidRDefault="004A147C" w:rsidP="00CE5850">
      <w:pPr>
        <w:pStyle w:val="ParaNum"/>
        <w:tabs>
          <w:tab w:val="clear" w:pos="1440"/>
        </w:tabs>
        <w:spacing w:after="0"/>
        <w:ind w:left="720" w:firstLine="0"/>
        <w:jc w:val="center"/>
        <w:rPr>
          <w:b/>
          <w:sz w:val="22"/>
          <w:szCs w:val="22"/>
        </w:rPr>
      </w:pPr>
      <w:r w:rsidRPr="00B53FFB">
        <w:rPr>
          <w:b/>
          <w:sz w:val="22"/>
          <w:szCs w:val="22"/>
        </w:rPr>
        <w:t xml:space="preserve">Chart </w:t>
      </w:r>
      <w:r w:rsidR="0007014B" w:rsidRPr="00B53FFB">
        <w:rPr>
          <w:b/>
          <w:sz w:val="22"/>
          <w:szCs w:val="22"/>
        </w:rPr>
        <w:fldChar w:fldCharType="begin"/>
      </w:r>
      <w:r w:rsidRPr="00B53FFB">
        <w:rPr>
          <w:b/>
          <w:sz w:val="22"/>
          <w:szCs w:val="22"/>
        </w:rPr>
        <w:instrText xml:space="preserve"> SEQ Chart \* ARABIC </w:instrText>
      </w:r>
      <w:r w:rsidR="0007014B" w:rsidRPr="00B53FFB">
        <w:rPr>
          <w:b/>
          <w:sz w:val="22"/>
          <w:szCs w:val="22"/>
        </w:rPr>
        <w:fldChar w:fldCharType="separate"/>
      </w:r>
      <w:r w:rsidR="00CA3AC6">
        <w:rPr>
          <w:b/>
          <w:noProof/>
          <w:sz w:val="22"/>
          <w:szCs w:val="22"/>
        </w:rPr>
        <w:t>7</w:t>
      </w:r>
      <w:r w:rsidR="0007014B" w:rsidRPr="00B53FFB">
        <w:rPr>
          <w:b/>
          <w:sz w:val="22"/>
          <w:szCs w:val="22"/>
        </w:rPr>
        <w:fldChar w:fldCharType="end"/>
      </w:r>
      <w:bookmarkEnd w:id="2488"/>
      <w:bookmarkEnd w:id="2489"/>
    </w:p>
    <w:p w:rsidR="004A147C" w:rsidRPr="00B53FFB" w:rsidRDefault="004A147C" w:rsidP="00CE5850">
      <w:pPr>
        <w:pStyle w:val="ParaNum"/>
        <w:tabs>
          <w:tab w:val="clear" w:pos="1440"/>
        </w:tabs>
        <w:spacing w:after="0"/>
        <w:ind w:left="720" w:firstLine="0"/>
        <w:jc w:val="center"/>
        <w:rPr>
          <w:b/>
          <w:sz w:val="22"/>
          <w:szCs w:val="22"/>
        </w:rPr>
      </w:pPr>
      <w:r w:rsidRPr="00B53FFB">
        <w:rPr>
          <w:b/>
          <w:sz w:val="22"/>
          <w:szCs w:val="22"/>
        </w:rPr>
        <w:t>Estimated 3G and 4G Network Coverage, 2006-2012</w:t>
      </w:r>
      <w:r w:rsidRPr="00B53FFB">
        <w:rPr>
          <w:rStyle w:val="FootnoteReference"/>
          <w:szCs w:val="22"/>
        </w:rPr>
        <w:footnoteReference w:id="654"/>
      </w:r>
    </w:p>
    <w:p w:rsidR="00856523" w:rsidRDefault="00C81B24" w:rsidP="00856523">
      <w:pPr>
        <w:pStyle w:val="ParaNum"/>
        <w:tabs>
          <w:tab w:val="clear" w:pos="1440"/>
        </w:tabs>
        <w:ind w:left="720" w:firstLine="0"/>
        <w:jc w:val="center"/>
        <w:rPr>
          <w:b/>
          <w:sz w:val="22"/>
          <w:szCs w:val="22"/>
        </w:rPr>
      </w:pPr>
      <w:r>
        <w:rPr>
          <w:noProof/>
        </w:rPr>
        <mc:AlternateContent>
          <mc:Choice Requires="wps">
            <w:drawing>
              <wp:anchor distT="0" distB="0" distL="114300" distR="114300" simplePos="0" relativeHeight="4" behindDoc="0" locked="0" layoutInCell="1" allowOverlap="1" wp14:anchorId="3C1CFB3F" wp14:editId="3EDF784E">
                <wp:simplePos x="0" y="0"/>
                <wp:positionH relativeFrom="column">
                  <wp:posOffset>456565</wp:posOffset>
                </wp:positionH>
                <wp:positionV relativeFrom="paragraph">
                  <wp:posOffset>3532505</wp:posOffset>
                </wp:positionV>
                <wp:extent cx="1342390" cy="222885"/>
                <wp:effectExtent l="0" t="0" r="0" b="5715"/>
                <wp:wrapNone/>
                <wp:docPr id="135" name="Text Box 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42390" cy="2228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C7CF3" w:rsidRPr="00911FBF" w:rsidRDefault="00EC7CF3">
                            <w:pPr>
                              <w:rPr>
                                <w:rFonts w:ascii="Arial" w:hAnsi="Arial" w:cs="Arial"/>
                                <w:sz w:val="18"/>
                                <w:szCs w:val="18"/>
                              </w:rPr>
                            </w:pPr>
                            <w:r w:rsidRPr="00911FBF">
                              <w:rPr>
                                <w:rFonts w:ascii="Arial" w:hAnsi="Arial" w:cs="Arial"/>
                                <w:sz w:val="18"/>
                                <w:szCs w:val="18"/>
                              </w:rPr>
                              <w:t>Source: Mosaik Data</w:t>
                            </w:r>
                          </w:p>
                        </w:txbxContent>
                      </wps:txbx>
                      <wps:bodyPr rot="0" vert="horz" wrap="squar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29" o:spid="_x0000_s1053" type="#_x0000_t202" style="position:absolute;left:0;text-align:left;margin-left:35.95pt;margin-top:278.15pt;width:105.7pt;height:17.55pt;z-index: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" filled="f" stroked="f">
                <v:textbox style="mso-fit-shape-to-text:t">
                  <w:txbxContent>
                    <w:p w:rsidR="00EC7CF3" w:rsidRPr="00911FBF" w:rsidRDefault="00EC7CF3">
                      <w:pPr>
                        <w:rPr>
                          <w:rFonts w:ascii="Arial" w:hAnsi="Arial" w:cs="Arial"/>
                          <w:sz w:val="18"/>
                          <w:szCs w:val="18"/>
                        </w:rPr>
                      </w:pPr>
                      <w:r w:rsidRPr="00911FBF">
                        <w:rPr>
                          <w:rFonts w:ascii="Arial" w:hAnsi="Arial" w:cs="Arial"/>
                          <w:sz w:val="18"/>
                          <w:szCs w:val="18"/>
                        </w:rPr>
                        <w:t xml:space="preserve">Source: </w:t>
                      </w:r>
                      <w:proofErr w:type="spellStart"/>
                      <w:r w:rsidRPr="00911FBF">
                        <w:rPr>
                          <w:rFonts w:ascii="Arial" w:hAnsi="Arial" w:cs="Arial"/>
                          <w:sz w:val="18"/>
                          <w:szCs w:val="18"/>
                        </w:rPr>
                        <w:t>Mosaik</w:t>
                      </w:r>
                      <w:proofErr w:type="spellEnd"/>
                      <w:r w:rsidRPr="00911FBF">
                        <w:rPr>
                          <w:rFonts w:ascii="Arial" w:hAnsi="Arial" w:cs="Arial"/>
                          <w:sz w:val="18"/>
                          <w:szCs w:val="18"/>
                        </w:rPr>
                        <w:t xml:space="preserve"> Data</w:t>
                      </w:r>
                    </w:p>
                  </w:txbxContent>
                </v:textbox>
              </v:shape>
            </w:pict>
          </mc:Fallback>
        </mc:AlternateContent>
      </w:r>
      <w:r w:rsidR="004A147C" w:rsidRPr="00B53FFB">
        <w:rPr>
          <w:b/>
          <w:sz w:val="22"/>
          <w:szCs w:val="22"/>
        </w:rPr>
        <w:t>(Percent of U.S. Population Covered)</w:t>
      </w:r>
      <w:r w:rsidR="004A147C">
        <w:rPr>
          <w:b/>
          <w:sz w:val="22"/>
          <w:szCs w:val="22"/>
        </w:rPr>
        <w:t xml:space="preserve"> </w:t>
      </w:r>
    </w:p>
    <w:p w:rsidR="004A147C" w:rsidRPr="00B53FFB" w:rsidRDefault="004A147C" w:rsidP="00CE5850">
      <w:pPr>
        <w:pStyle w:val="ParaNum"/>
        <w:tabs>
          <w:tab w:val="clear" w:pos="1440"/>
        </w:tabs>
        <w:ind w:left="720" w:firstLine="0"/>
        <w:jc w:val="center"/>
        <w:rPr>
          <w:sz w:val="22"/>
          <w:szCs w:val="22"/>
        </w:rPr>
      </w:pPr>
      <w:r w:rsidRPr="00B53FFB">
        <w:rPr>
          <w:sz w:val="22"/>
          <w:szCs w:val="22"/>
        </w:rPr>
        <w:br/>
      </w:r>
      <w:r w:rsidR="00C81B24">
        <w:rPr>
          <w:noProof/>
          <w:sz w:val="22"/>
          <w:szCs w:val="22"/>
        </w:rPr>
        <w:drawing>
          <wp:inline distT="0" distB="0" distL="0" distR="0" wp14:anchorId="1E171FB4" wp14:editId="78280E49">
            <wp:extent cx="5619750" cy="3648075"/>
            <wp:effectExtent l="0" t="0" r="0" b="0"/>
            <wp:docPr id="32" name="Object 3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rsidR="004A147C" w:rsidRPr="00B53FFB" w:rsidRDefault="004A147C" w:rsidP="00CE5850">
      <w:pPr>
        <w:rPr>
          <w:szCs w:val="22"/>
        </w:rPr>
      </w:pPr>
    </w:p>
    <w:p w:rsidR="004A147C" w:rsidRPr="00B53FFB" w:rsidRDefault="004A147C" w:rsidP="00CE5850">
      <w:pPr>
        <w:pStyle w:val="ParaNum"/>
        <w:numPr>
          <w:ilvl w:val="0"/>
          <w:numId w:val="28"/>
        </w:numPr>
        <w:rPr>
          <w:sz w:val="22"/>
          <w:szCs w:val="22"/>
        </w:rPr>
      </w:pPr>
      <w:bookmarkStart w:id="2490" w:name="_Ref258241030"/>
      <w:bookmarkStart w:id="2491" w:name="_Toc261858510"/>
      <w:bookmarkStart w:id="2492" w:name="_Toc262034315"/>
      <w:bookmarkStart w:id="2493" w:name="_Toc262034418"/>
      <w:bookmarkStart w:id="2494" w:name="_Toc271288457"/>
      <w:r w:rsidRPr="00B53FFB">
        <w:rPr>
          <w:sz w:val="22"/>
          <w:szCs w:val="22"/>
        </w:rPr>
        <w:t>While mobile broadband network deployment has grown in recent years, certain geographic areas of the country remain unserved.  To expand mobile network deployment into such unserved areas, the Commission adopted rules creating the Mobility Fund in November 2011.</w:t>
      </w:r>
      <w:r w:rsidRPr="00B53FFB">
        <w:rPr>
          <w:rStyle w:val="FootnoteReference"/>
          <w:szCs w:val="22"/>
        </w:rPr>
        <w:footnoteReference w:id="655"/>
      </w:r>
      <w:r w:rsidRPr="00B53FFB">
        <w:rPr>
          <w:sz w:val="22"/>
          <w:szCs w:val="22"/>
        </w:rPr>
        <w:t xml:space="preserve">  The Mobility Fund will use Universal Service Fund reserves to support the deployment of current- or future-generation mobile network technologies that provide mobile voice and Internet services.</w:t>
      </w:r>
      <w:r w:rsidRPr="00B53FFB">
        <w:rPr>
          <w:rStyle w:val="FootnoteReference"/>
          <w:szCs w:val="22"/>
        </w:rPr>
        <w:footnoteReference w:id="656"/>
      </w:r>
      <w:r w:rsidRPr="00B53FFB">
        <w:rPr>
          <w:sz w:val="22"/>
          <w:szCs w:val="22"/>
        </w:rPr>
        <w:t xml:space="preserve">  Phase I of the </w:t>
      </w:r>
      <w:r w:rsidRPr="00B53FFB">
        <w:rPr>
          <w:rFonts w:ascii="TimesNewRoman" w:hAnsi="TimesNewRoman" w:cs="TimesNewRoman"/>
          <w:color w:val="010101"/>
          <w:sz w:val="22"/>
          <w:szCs w:val="22"/>
          <w:lang w:eastAsia="zh-CN"/>
        </w:rPr>
        <w:t xml:space="preserve">Mobility Fund used a reverse auction to assign approximately $300 million in one-time support to service providers seeking to deploy 3G or better mobile networks in census blocks with no </w:t>
      </w:r>
      <w:r w:rsidRPr="00B53FFB">
        <w:rPr>
          <w:sz w:val="22"/>
          <w:szCs w:val="22"/>
        </w:rPr>
        <w:t>3G network coverage as of January 2012.</w:t>
      </w:r>
      <w:r w:rsidRPr="00B53FFB">
        <w:rPr>
          <w:rStyle w:val="FootnoteReference"/>
          <w:szCs w:val="22"/>
        </w:rPr>
        <w:footnoteReference w:id="657"/>
      </w:r>
      <w:r w:rsidRPr="00B53FFB">
        <w:rPr>
          <w:sz w:val="22"/>
          <w:szCs w:val="22"/>
        </w:rPr>
        <w:t xml:space="preserve">  The Mobility Fund Phase I auction occurred on September 27, 2012.</w:t>
      </w:r>
      <w:r w:rsidRPr="00B53FFB">
        <w:rPr>
          <w:sz w:val="22"/>
          <w:szCs w:val="22"/>
          <w:vertAlign w:val="superscript"/>
        </w:rPr>
        <w:footnoteReference w:id="658"/>
      </w:r>
      <w:r w:rsidRPr="00B53FFB">
        <w:rPr>
          <w:sz w:val="22"/>
          <w:szCs w:val="22"/>
        </w:rPr>
        <w:t xml:space="preserve">  The auction assigned support to 33 winning bidders to provide services covering up to 83,494.23 road miles in 795 biddable geographic areas located in 31 states and 1 territory.</w:t>
      </w:r>
      <w:r w:rsidRPr="00B53FFB">
        <w:rPr>
          <w:rStyle w:val="FootnoteReference"/>
          <w:szCs w:val="22"/>
        </w:rPr>
        <w:footnoteReference w:id="659"/>
      </w:r>
      <w:bookmarkStart w:id="2495" w:name="_Toc277171525"/>
      <w:bookmarkStart w:id="2496" w:name="_Toc277864500"/>
      <w:bookmarkStart w:id="2497" w:name="_Toc277864716"/>
      <w:bookmarkStart w:id="2498" w:name="_Ref282601984"/>
      <w:bookmarkStart w:id="2499" w:name="_Ref282601987"/>
      <w:bookmarkStart w:id="2500" w:name="_Toc285810397"/>
      <w:bookmarkStart w:id="2501" w:name="_Toc287257791"/>
      <w:bookmarkStart w:id="2502" w:name="_Ref287262607"/>
      <w:bookmarkStart w:id="2503" w:name="_Toc291758670"/>
      <w:bookmarkStart w:id="2504" w:name="_Toc291758773"/>
      <w:bookmarkStart w:id="2505" w:name="_Toc295392953"/>
    </w:p>
    <w:p w:rsidR="004A147C" w:rsidRPr="008650CC" w:rsidRDefault="004A147C" w:rsidP="00CE5850">
      <w:pPr>
        <w:pStyle w:val="Heading4"/>
        <w:keepNext w:val="0"/>
        <w:numPr>
          <w:ilvl w:val="3"/>
          <w:numId w:val="26"/>
        </w:numPr>
        <w:tabs>
          <w:tab w:val="left" w:pos="2880"/>
        </w:tabs>
        <w:rPr>
          <w:sz w:val="22"/>
          <w:szCs w:val="22"/>
        </w:rPr>
      </w:pPr>
      <w:bookmarkStart w:id="2506" w:name="_Toc349577162"/>
      <w:bookmarkStart w:id="2507" w:name="_Toc349579254"/>
      <w:bookmarkStart w:id="2508" w:name="_Toc349580569"/>
      <w:bookmarkStart w:id="2509" w:name="_Toc349734977"/>
      <w:bookmarkStart w:id="2510" w:name="_Toc349742342"/>
      <w:r w:rsidRPr="008650CC">
        <w:rPr>
          <w:sz w:val="22"/>
          <w:szCs w:val="22"/>
        </w:rPr>
        <w:t>Roaming</w:t>
      </w:r>
      <w:bookmarkEnd w:id="2495"/>
      <w:bookmarkEnd w:id="2496"/>
      <w:bookmarkEnd w:id="2497"/>
      <w:bookmarkEnd w:id="2498"/>
      <w:bookmarkEnd w:id="2499"/>
      <w:bookmarkEnd w:id="2500"/>
      <w:bookmarkEnd w:id="2501"/>
      <w:bookmarkEnd w:id="2502"/>
      <w:bookmarkEnd w:id="2503"/>
      <w:bookmarkEnd w:id="2504"/>
      <w:bookmarkEnd w:id="2505"/>
      <w:bookmarkEnd w:id="2506"/>
      <w:bookmarkEnd w:id="2507"/>
      <w:bookmarkEnd w:id="2508"/>
      <w:bookmarkEnd w:id="2509"/>
      <w:bookmarkEnd w:id="2510"/>
      <w:r w:rsidRPr="008650CC">
        <w:rPr>
          <w:sz w:val="22"/>
          <w:szCs w:val="22"/>
        </w:rPr>
        <w:t xml:space="preserve">  </w:t>
      </w:r>
    </w:p>
    <w:p w:rsidR="004A147C" w:rsidRPr="00B53FFB" w:rsidRDefault="004A147C" w:rsidP="00CE5850">
      <w:pPr>
        <w:pStyle w:val="ParaNum"/>
        <w:numPr>
          <w:ilvl w:val="0"/>
          <w:numId w:val="28"/>
        </w:numPr>
        <w:rPr>
          <w:sz w:val="22"/>
          <w:szCs w:val="22"/>
        </w:rPr>
      </w:pPr>
      <w:r w:rsidRPr="00B53FFB">
        <w:rPr>
          <w:sz w:val="22"/>
          <w:szCs w:val="22"/>
        </w:rPr>
        <w:t>Some providers offer their customers coverage outside of their network coverage areas through roaming arrangements with other providers.</w:t>
      </w:r>
      <w:r w:rsidRPr="00B53FFB">
        <w:rPr>
          <w:rStyle w:val="FootnoteReference"/>
          <w:szCs w:val="22"/>
        </w:rPr>
        <w:footnoteReference w:id="660"/>
      </w:r>
      <w:r w:rsidRPr="00B53FFB">
        <w:rPr>
          <w:sz w:val="22"/>
          <w:szCs w:val="22"/>
        </w:rPr>
        <w:t xml:space="preserve"> Roaming arrangements between mobile wireless service providers allow customers of one mobile wireless provider to automatically receive service from other providers’ networks when they are in areas that are covered by their roaming partners’ networks but not their own network.</w:t>
      </w:r>
      <w:r w:rsidRPr="00B53FFB">
        <w:rPr>
          <w:rStyle w:val="FootnoteReference"/>
          <w:szCs w:val="22"/>
        </w:rPr>
        <w:footnoteReference w:id="661"/>
      </w:r>
      <w:r w:rsidRPr="00B53FFB">
        <w:rPr>
          <w:sz w:val="22"/>
          <w:szCs w:val="22"/>
        </w:rPr>
        <w:t xml:space="preserve">  Smaller providers that rely on roaming arrangements to offer nationwide coverage to their customers may include the price of nationwide roaming services in the plans’ monthly fees instead of billing for roaming on a usage basis.  In contrast to the purchase of capacity wholesale from other service providers, a provider uses roaming services to market extended coverage to consumers residing within the provider’s network coverage area, not to acquire customers where a provider does not have network coverage.  </w:t>
      </w:r>
    </w:p>
    <w:p w:rsidR="004A147C" w:rsidRPr="00B53FFB" w:rsidRDefault="004A147C" w:rsidP="00CE5850">
      <w:pPr>
        <w:pStyle w:val="ParaNum"/>
        <w:numPr>
          <w:ilvl w:val="0"/>
          <w:numId w:val="28"/>
        </w:numPr>
        <w:rPr>
          <w:sz w:val="22"/>
          <w:szCs w:val="22"/>
        </w:rPr>
      </w:pPr>
      <w:r w:rsidRPr="00B53FFB">
        <w:rPr>
          <w:sz w:val="22"/>
          <w:szCs w:val="22"/>
        </w:rPr>
        <w:t>Service providers may use roaming services to enhance their coverage for a variety of reasons, including temporary arrangements while their networks are being deployed, and as permanent arrangements due to the economics of the market or their business models.  No mobile wireless provider – including the four nationwide providers – has built out its entire licensed service area, and consequently all providers employ roaming to some extent to fill gaps in their coverage.</w:t>
      </w:r>
      <w:r w:rsidRPr="00B53FFB">
        <w:rPr>
          <w:rStyle w:val="FootnoteReference"/>
          <w:szCs w:val="22"/>
        </w:rPr>
        <w:footnoteReference w:id="662"/>
      </w:r>
      <w:r w:rsidRPr="00B53FFB">
        <w:rPr>
          <w:sz w:val="22"/>
          <w:szCs w:val="22"/>
        </w:rPr>
        <w:t xml:space="preserve">  In addition, as discussed in section </w:t>
      </w:r>
      <w:r w:rsidR="005B380F">
        <w:fldChar w:fldCharType="begin"/>
      </w:r>
      <w:r w:rsidR="005B380F">
        <w:instrText xml:space="preserve"> REF _Ref326762469 \r \h  \* MERGEFORMAT </w:instrText>
      </w:r>
      <w:r w:rsidR="005B380F">
        <w:fldChar w:fldCharType="separate"/>
      </w:r>
      <w:r w:rsidR="00CA3AC6" w:rsidRPr="00CA3AC6">
        <w:rPr>
          <w:sz w:val="22"/>
          <w:szCs w:val="22"/>
        </w:rPr>
        <w:t>III.B.1</w:t>
      </w:r>
      <w:r w:rsidR="005B380F">
        <w:fldChar w:fldCharType="end"/>
      </w:r>
      <w:r w:rsidRPr="00B53FFB">
        <w:rPr>
          <w:sz w:val="22"/>
          <w:szCs w:val="22"/>
        </w:rPr>
        <w:t xml:space="preserve">, </w:t>
      </w:r>
      <w:r w:rsidR="005B380F">
        <w:fldChar w:fldCharType="begin"/>
      </w:r>
      <w:r w:rsidR="005B380F">
        <w:instrText xml:space="preserve"> REF _Ref326762487 \h  \* MERGEFORMAT </w:instrText>
      </w:r>
      <w:r w:rsidR="005B380F">
        <w:fldChar w:fldCharType="separate"/>
      </w:r>
      <w:r w:rsidR="00CA3AC6" w:rsidRPr="00B53FFB">
        <w:rPr>
          <w:sz w:val="22"/>
          <w:szCs w:val="22"/>
        </w:rPr>
        <w:t>Facilities-Based Providers</w:t>
      </w:r>
      <w:r w:rsidR="005B380F">
        <w:fldChar w:fldCharType="end"/>
      </w:r>
      <w:r w:rsidRPr="00B53FFB">
        <w:rPr>
          <w:sz w:val="22"/>
          <w:szCs w:val="22"/>
        </w:rPr>
        <w:t>, there are non-nationwide providers whose business plans do not employ nationwide networks.  Many of these non-nationwide providers are able to offer voice coverage and service plans that are national in scope through roaming agreements with other mobile wireless providers.</w:t>
      </w:r>
      <w:r w:rsidRPr="00B53FFB">
        <w:rPr>
          <w:rStyle w:val="FootnoteReference"/>
          <w:szCs w:val="22"/>
        </w:rPr>
        <w:footnoteReference w:id="663"/>
      </w:r>
      <w:r w:rsidRPr="00B53FFB">
        <w:rPr>
          <w:sz w:val="22"/>
          <w:szCs w:val="22"/>
        </w:rPr>
        <w:t xml:space="preserve">  For example, Leap offers voice plans that already come with a certain number of nationwide roaming minutes included in the plan.</w:t>
      </w:r>
      <w:r w:rsidRPr="00B53FFB">
        <w:rPr>
          <w:rStyle w:val="FootnoteReference"/>
          <w:szCs w:val="22"/>
        </w:rPr>
        <w:footnoteReference w:id="664"/>
      </w:r>
      <w:r w:rsidRPr="00B53FFB">
        <w:rPr>
          <w:sz w:val="22"/>
          <w:szCs w:val="22"/>
        </w:rPr>
        <w:t xml:space="preserve">  Accordingly, roaming remains particularly important for small and regional providers with limited network population coverage to remain competitive by meeting their customers’ needs for nationwide service.</w:t>
      </w:r>
      <w:r w:rsidRPr="00B53FFB">
        <w:rPr>
          <w:rStyle w:val="FootnoteReference"/>
          <w:szCs w:val="22"/>
        </w:rPr>
        <w:footnoteReference w:id="665"/>
      </w:r>
      <w:r w:rsidRPr="00B53FFB">
        <w:rPr>
          <w:sz w:val="22"/>
          <w:szCs w:val="22"/>
        </w:rPr>
        <w:t xml:space="preserve">  Similarly, roaming provides important assistance to new entrants who wish to begin offering service before they have fully deployed their networks.</w:t>
      </w:r>
      <w:r w:rsidRPr="00B53FFB">
        <w:rPr>
          <w:rStyle w:val="FootnoteReference"/>
          <w:szCs w:val="22"/>
        </w:rPr>
        <w:footnoteReference w:id="666"/>
      </w:r>
      <w:r w:rsidRPr="00B53FFB">
        <w:rPr>
          <w:sz w:val="22"/>
          <w:szCs w:val="22"/>
        </w:rPr>
        <w:t xml:space="preserve">  In section </w:t>
      </w:r>
      <w:r w:rsidR="005B380F">
        <w:fldChar w:fldCharType="begin"/>
      </w:r>
      <w:r w:rsidR="005B380F">
        <w:instrText xml:space="preserve"> REF _Ref259031429 \r \h  \* MERGEFORMAT </w:instrText>
      </w:r>
      <w:r w:rsidR="005B380F">
        <w:fldChar w:fldCharType="separate"/>
      </w:r>
      <w:r w:rsidR="00CA3AC6" w:rsidRPr="00CA3AC6">
        <w:rPr>
          <w:sz w:val="22"/>
          <w:szCs w:val="22"/>
        </w:rPr>
        <w:t>V.E.3</w:t>
      </w:r>
      <w:r w:rsidR="005B380F">
        <w:fldChar w:fldCharType="end"/>
      </w:r>
      <w:r w:rsidRPr="00B53FFB">
        <w:rPr>
          <w:sz w:val="22"/>
          <w:szCs w:val="22"/>
        </w:rPr>
        <w:t xml:space="preserve">, </w:t>
      </w:r>
      <w:r w:rsidR="0007014B">
        <w:fldChar w:fldCharType="begin"/>
      </w:r>
      <w:r w:rsidR="009A5A6C">
        <w:instrText xml:space="preserve"> REF _Ref259031429 \h  \* MERGEFORMAT </w:instrText>
      </w:r>
      <w:r w:rsidR="0007014B">
        <w:fldChar w:fldCharType="separate"/>
      </w:r>
      <w:r w:rsidR="00CA3AC6" w:rsidRPr="00B53FFB">
        <w:rPr>
          <w:sz w:val="22"/>
          <w:szCs w:val="22"/>
        </w:rPr>
        <w:t>Intercarrier Roaming Rates and Revenue</w:t>
      </w:r>
      <w:r w:rsidR="0007014B">
        <w:fldChar w:fldCharType="end"/>
      </w:r>
      <w:r w:rsidRPr="00B53FFB">
        <w:rPr>
          <w:sz w:val="22"/>
          <w:szCs w:val="22"/>
        </w:rPr>
        <w:t xml:space="preserve">, recent data on intercarrier roaming revenues and voice minutes are presented.    </w:t>
      </w:r>
    </w:p>
    <w:p w:rsidR="004A147C" w:rsidRPr="00B53FFB" w:rsidRDefault="004A147C" w:rsidP="00CE5850">
      <w:pPr>
        <w:pStyle w:val="ParaNum"/>
        <w:numPr>
          <w:ilvl w:val="0"/>
          <w:numId w:val="28"/>
        </w:numPr>
        <w:rPr>
          <w:sz w:val="22"/>
          <w:szCs w:val="22"/>
        </w:rPr>
      </w:pPr>
      <w:r w:rsidRPr="00B53FFB">
        <w:rPr>
          <w:sz w:val="22"/>
          <w:szCs w:val="22"/>
        </w:rPr>
        <w:t xml:space="preserve">As noted in the </w:t>
      </w:r>
      <w:r w:rsidRPr="00B53FFB">
        <w:rPr>
          <w:i/>
          <w:sz w:val="22"/>
          <w:szCs w:val="22"/>
        </w:rPr>
        <w:t>Fifteenth Report</w:t>
      </w:r>
      <w:r w:rsidRPr="00B53FFB">
        <w:rPr>
          <w:sz w:val="22"/>
          <w:szCs w:val="22"/>
        </w:rPr>
        <w:t>, in recent years, the Commission has taken actions to facilitate roaming arrangements.</w:t>
      </w:r>
      <w:r w:rsidRPr="00B53FFB">
        <w:rPr>
          <w:rStyle w:val="FootnoteReference"/>
          <w:szCs w:val="22"/>
        </w:rPr>
        <w:footnoteReference w:id="667"/>
      </w:r>
      <w:r w:rsidRPr="00B53FFB">
        <w:rPr>
          <w:sz w:val="22"/>
          <w:szCs w:val="22"/>
        </w:rPr>
        <w:t xml:space="preserve">  In 2007, for instance, it clarified that </w:t>
      </w:r>
      <w:r w:rsidRPr="00B53FFB">
        <w:rPr>
          <w:bCs/>
          <w:sz w:val="22"/>
          <w:szCs w:val="22"/>
        </w:rPr>
        <w:t>automatic voice roaming is a common carrier obligation for CMRS providers.</w:t>
      </w:r>
      <w:r w:rsidRPr="00B53FFB">
        <w:rPr>
          <w:rStyle w:val="FootnoteReference"/>
          <w:bCs/>
          <w:szCs w:val="22"/>
        </w:rPr>
        <w:footnoteReference w:id="668"/>
      </w:r>
      <w:r w:rsidRPr="00B53FFB">
        <w:rPr>
          <w:bCs/>
          <w:sz w:val="22"/>
          <w:szCs w:val="22"/>
        </w:rPr>
        <w:t xml:space="preserve">  In April 2010</w:t>
      </w:r>
      <w:r w:rsidRPr="00B53FFB">
        <w:rPr>
          <w:sz w:val="22"/>
          <w:szCs w:val="22"/>
        </w:rPr>
        <w:t xml:space="preserve">, the Commission adopted the </w:t>
      </w:r>
      <w:r w:rsidRPr="00B53FFB">
        <w:rPr>
          <w:i/>
          <w:sz w:val="22"/>
          <w:szCs w:val="22"/>
        </w:rPr>
        <w:t>Roaming Order on Reconsideration</w:t>
      </w:r>
      <w:r w:rsidRPr="00B53FFB">
        <w:rPr>
          <w:sz w:val="22"/>
          <w:szCs w:val="22"/>
        </w:rPr>
        <w:t>, which eliminates the home roaming exclusion and establishes the same general obligation to provide automatic voice roaming, regardless of whether the provider requesting roaming holds spectrum in an area.</w:t>
      </w:r>
      <w:r w:rsidRPr="00B53FFB">
        <w:rPr>
          <w:rStyle w:val="FootnoteReference"/>
          <w:szCs w:val="22"/>
        </w:rPr>
        <w:footnoteReference w:id="669"/>
      </w:r>
      <w:r w:rsidRPr="00B53FFB">
        <w:rPr>
          <w:sz w:val="22"/>
          <w:szCs w:val="22"/>
        </w:rPr>
        <w:t xml:space="preserve">  In April 2011, the Commission issued the </w:t>
      </w:r>
      <w:r w:rsidRPr="00B53FFB">
        <w:rPr>
          <w:i/>
          <w:iCs/>
          <w:sz w:val="22"/>
          <w:szCs w:val="22"/>
        </w:rPr>
        <w:t>Data Roaming Order</w:t>
      </w:r>
      <w:r w:rsidRPr="00B53FFB">
        <w:rPr>
          <w:sz w:val="22"/>
          <w:szCs w:val="22"/>
        </w:rPr>
        <w:t>.</w:t>
      </w:r>
      <w:r w:rsidRPr="00B53FFB">
        <w:rPr>
          <w:rStyle w:val="FootnoteReference"/>
          <w:szCs w:val="22"/>
        </w:rPr>
        <w:footnoteReference w:id="670"/>
      </w:r>
      <w:r w:rsidRPr="00B53FFB">
        <w:rPr>
          <w:sz w:val="22"/>
          <w:szCs w:val="22"/>
        </w:rPr>
        <w:t xml:space="preserve">  The </w:t>
      </w:r>
      <w:r w:rsidRPr="00B53FFB">
        <w:rPr>
          <w:i/>
          <w:iCs/>
          <w:sz w:val="22"/>
          <w:szCs w:val="22"/>
        </w:rPr>
        <w:t xml:space="preserve">Data Roaming Order </w:t>
      </w:r>
      <w:r w:rsidRPr="00B53FFB">
        <w:rPr>
          <w:sz w:val="22"/>
          <w:szCs w:val="22"/>
        </w:rPr>
        <w:t>requires facilities-based providers of commercial mobile data services, whether or not such providers also offer CMRS, to offer data roaming arrangements to other mobile data service providers on commercially reasonable terms and conditions, subject to certain limitations.</w:t>
      </w:r>
      <w:r w:rsidRPr="00B53FFB">
        <w:rPr>
          <w:rStyle w:val="FootnoteReference"/>
          <w:szCs w:val="22"/>
        </w:rPr>
        <w:footnoteReference w:id="671"/>
      </w:r>
      <w:r w:rsidRPr="00B53FFB">
        <w:rPr>
          <w:sz w:val="22"/>
          <w:szCs w:val="22"/>
        </w:rPr>
        <w:t xml:space="preserve">  The Commission found that its actions to promote commercial data roaming would facilitate investment in and deployment of mobile broadband networks.</w:t>
      </w:r>
      <w:r w:rsidRPr="00B53FFB">
        <w:rPr>
          <w:rStyle w:val="FootnoteReference"/>
          <w:szCs w:val="22"/>
        </w:rPr>
        <w:footnoteReference w:id="672"/>
      </w:r>
      <w:bookmarkEnd w:id="2490"/>
      <w:bookmarkEnd w:id="2491"/>
      <w:bookmarkEnd w:id="2492"/>
      <w:bookmarkEnd w:id="2493"/>
      <w:bookmarkEnd w:id="2494"/>
    </w:p>
    <w:p w:rsidR="004A147C" w:rsidRPr="00B53FFB" w:rsidRDefault="004A147C" w:rsidP="00CE5850">
      <w:pPr>
        <w:pStyle w:val="ParaNum"/>
        <w:numPr>
          <w:ilvl w:val="0"/>
          <w:numId w:val="28"/>
        </w:numPr>
        <w:rPr>
          <w:sz w:val="22"/>
          <w:szCs w:val="22"/>
        </w:rPr>
      </w:pPr>
      <w:r w:rsidRPr="00B53FFB">
        <w:rPr>
          <w:sz w:val="22"/>
          <w:szCs w:val="22"/>
        </w:rPr>
        <w:t xml:space="preserve">Several providers have stated that, although the Commission adopted the </w:t>
      </w:r>
      <w:r w:rsidRPr="00B53FFB">
        <w:rPr>
          <w:i/>
          <w:sz w:val="22"/>
          <w:szCs w:val="22"/>
        </w:rPr>
        <w:t xml:space="preserve">Data Roaming Order </w:t>
      </w:r>
      <w:r w:rsidRPr="00B53FFB">
        <w:rPr>
          <w:sz w:val="22"/>
          <w:szCs w:val="22"/>
        </w:rPr>
        <w:t>in 2011,</w:t>
      </w:r>
      <w:r w:rsidRPr="00B53FFB" w:rsidDel="007D45D7">
        <w:rPr>
          <w:sz w:val="22"/>
          <w:szCs w:val="22"/>
        </w:rPr>
        <w:t xml:space="preserve"> </w:t>
      </w:r>
      <w:r w:rsidRPr="00B53FFB">
        <w:rPr>
          <w:sz w:val="22"/>
          <w:szCs w:val="22"/>
        </w:rPr>
        <w:t>the ability to negotiate data roaming agreements on non-discriminatory terms and at reasonable rates remains a concern.</w:t>
      </w:r>
      <w:r w:rsidRPr="00B53FFB">
        <w:rPr>
          <w:rStyle w:val="FootnoteReference"/>
          <w:szCs w:val="22"/>
        </w:rPr>
        <w:footnoteReference w:id="673"/>
      </w:r>
      <w:r w:rsidRPr="00B53FFB">
        <w:rPr>
          <w:sz w:val="22"/>
          <w:szCs w:val="22"/>
        </w:rPr>
        <w:t xml:space="preserve">  According to a recent survey by NTCA of its membership, which consists exclusively of small, rural providers, 55 percent of the survey respondents indicated that “negotiating roaming agreements” remains a major area of concern.</w:t>
      </w:r>
      <w:r w:rsidRPr="00B53FFB">
        <w:rPr>
          <w:rStyle w:val="FootnoteReference"/>
          <w:szCs w:val="22"/>
        </w:rPr>
        <w:footnoteReference w:id="674"/>
      </w:r>
      <w:r w:rsidRPr="00B53FFB">
        <w:rPr>
          <w:sz w:val="22"/>
          <w:szCs w:val="22"/>
        </w:rPr>
        <w:t xml:space="preserve">  When asked about their experience in negotiating data roaming and in-market roaming agreements with other carriers, 68 percent of the NTCA survey respondents categorized it as “moderately to extremely difficult.”</w:t>
      </w:r>
      <w:r w:rsidRPr="00B53FFB">
        <w:rPr>
          <w:rStyle w:val="FootnoteReference"/>
          <w:szCs w:val="22"/>
        </w:rPr>
        <w:footnoteReference w:id="675"/>
      </w:r>
      <w:r w:rsidRPr="00B53FFB">
        <w:rPr>
          <w:sz w:val="22"/>
          <w:szCs w:val="22"/>
        </w:rPr>
        <w:t xml:space="preserve">  AT&amp;T and Verizon Wireless state that, to the extent parties believe that the terms they have been offered are commercially unreasonable, they have every opportunity to raise those claims in the case-by-case complaint proceedings authorized by the </w:t>
      </w:r>
      <w:r w:rsidRPr="00B53FFB">
        <w:rPr>
          <w:i/>
          <w:sz w:val="22"/>
          <w:szCs w:val="22"/>
        </w:rPr>
        <w:t>Data Roaming Order</w:t>
      </w:r>
      <w:r w:rsidRPr="00B53FFB">
        <w:rPr>
          <w:sz w:val="22"/>
          <w:szCs w:val="22"/>
        </w:rPr>
        <w:t>.</w:t>
      </w:r>
      <w:r w:rsidRPr="00B53FFB">
        <w:rPr>
          <w:rStyle w:val="FootnoteReference"/>
          <w:szCs w:val="22"/>
        </w:rPr>
        <w:footnoteReference w:id="676"/>
      </w:r>
      <w:r w:rsidRPr="00B53FFB">
        <w:rPr>
          <w:sz w:val="22"/>
          <w:szCs w:val="22"/>
        </w:rPr>
        <w:t xml:space="preserve">  AT&amp;T also states that it is a net purchaser of roaming services overall because, although AT&amp;T has a larger network than its roaming partners, it also has more customers who roam on its partners’ networks and generate more minutes and megabytes on those networks than vice versa.</w:t>
      </w:r>
      <w:r w:rsidRPr="00B53FFB">
        <w:rPr>
          <w:rStyle w:val="FootnoteReference"/>
          <w:szCs w:val="22"/>
        </w:rPr>
        <w:footnoteReference w:id="677"/>
      </w:r>
    </w:p>
    <w:p w:rsidR="004A147C" w:rsidRPr="00B53FFB" w:rsidRDefault="004A147C" w:rsidP="00CE5850">
      <w:pPr>
        <w:pStyle w:val="Heading3"/>
        <w:keepNext w:val="0"/>
        <w:numPr>
          <w:ilvl w:val="2"/>
          <w:numId w:val="26"/>
        </w:numPr>
        <w:tabs>
          <w:tab w:val="left" w:pos="2160"/>
        </w:tabs>
        <w:rPr>
          <w:sz w:val="22"/>
          <w:szCs w:val="22"/>
        </w:rPr>
      </w:pPr>
      <w:bookmarkStart w:id="2511" w:name="_Toc261610797"/>
      <w:bookmarkStart w:id="2512" w:name="_Toc261858536"/>
      <w:bookmarkStart w:id="2513" w:name="_Toc262034341"/>
      <w:bookmarkStart w:id="2514" w:name="_Toc262034444"/>
      <w:bookmarkStart w:id="2515" w:name="_Toc271288484"/>
      <w:bookmarkStart w:id="2516" w:name="_Toc275518002"/>
      <w:bookmarkStart w:id="2517" w:name="_Toc275952442"/>
      <w:bookmarkStart w:id="2518" w:name="_Toc276121874"/>
      <w:bookmarkStart w:id="2519" w:name="_Toc276480710"/>
      <w:bookmarkStart w:id="2520" w:name="_Toc276741787"/>
      <w:bookmarkStart w:id="2521" w:name="_Toc277171552"/>
      <w:bookmarkStart w:id="2522" w:name="_Toc277864527"/>
      <w:bookmarkStart w:id="2523" w:name="_Toc277864743"/>
      <w:bookmarkStart w:id="2524" w:name="_Toc285810424"/>
      <w:bookmarkStart w:id="2525" w:name="_Toc287257818"/>
      <w:bookmarkStart w:id="2526" w:name="_Toc291758697"/>
      <w:bookmarkStart w:id="2527" w:name="_Toc291758800"/>
      <w:bookmarkStart w:id="2528" w:name="_Toc295392980"/>
      <w:bookmarkStart w:id="2529" w:name="_Ref325470088"/>
      <w:bookmarkStart w:id="2530" w:name="_Ref325470097"/>
      <w:bookmarkStart w:id="2531" w:name="_Toc329262501"/>
      <w:bookmarkStart w:id="2532" w:name="_Toc329852409"/>
      <w:bookmarkStart w:id="2533" w:name="_Ref331433841"/>
      <w:bookmarkStart w:id="2534" w:name="_Ref331433903"/>
      <w:bookmarkStart w:id="2535" w:name="_Toc331766325"/>
      <w:bookmarkStart w:id="2536" w:name="_Toc332119120"/>
      <w:bookmarkStart w:id="2537" w:name="_Toc334088797"/>
      <w:bookmarkStart w:id="2538" w:name="_Toc334089033"/>
      <w:bookmarkStart w:id="2539" w:name="_Toc334089192"/>
      <w:bookmarkStart w:id="2540" w:name="_Toc334089303"/>
      <w:bookmarkStart w:id="2541" w:name="_Toc334089467"/>
      <w:bookmarkStart w:id="2542" w:name="_Toc335839045"/>
      <w:bookmarkStart w:id="2543" w:name="_Toc336268608"/>
      <w:bookmarkStart w:id="2544" w:name="_Toc336268716"/>
      <w:bookmarkStart w:id="2545" w:name="_Toc336268823"/>
      <w:bookmarkStart w:id="2546" w:name="_Toc336269037"/>
      <w:bookmarkStart w:id="2547" w:name="_Toc336269144"/>
      <w:bookmarkStart w:id="2548" w:name="_Toc336269512"/>
      <w:bookmarkStart w:id="2549" w:name="_Toc336269658"/>
      <w:bookmarkStart w:id="2550" w:name="_Toc336270071"/>
      <w:bookmarkStart w:id="2551" w:name="_Toc336271271"/>
      <w:bookmarkStart w:id="2552" w:name="_Toc337651974"/>
      <w:bookmarkStart w:id="2553" w:name="_Toc349577163"/>
      <w:bookmarkStart w:id="2554" w:name="_Toc349579255"/>
      <w:bookmarkStart w:id="2555" w:name="_Toc349580570"/>
      <w:bookmarkStart w:id="2556" w:name="_Toc349734978"/>
      <w:bookmarkStart w:id="2557" w:name="_Toc349742343"/>
      <w:bookmarkStart w:id="2558" w:name="_Ref325469899"/>
      <w:r w:rsidRPr="00B53FFB">
        <w:rPr>
          <w:sz w:val="22"/>
          <w:szCs w:val="22"/>
        </w:rPr>
        <w:t>Investment</w:t>
      </w:r>
      <w:bookmarkEnd w:id="2511"/>
      <w:bookmarkEnd w:id="2512"/>
      <w:bookmarkEnd w:id="2513"/>
      <w:bookmarkEnd w:id="2514"/>
      <w:bookmarkEnd w:id="2515"/>
      <w:bookmarkEnd w:id="2516"/>
      <w:bookmarkEnd w:id="2517"/>
      <w:bookmarkEnd w:id="2518"/>
      <w:bookmarkEnd w:id="2519"/>
      <w:bookmarkEnd w:id="2520"/>
      <w:bookmarkEnd w:id="2521"/>
      <w:bookmarkEnd w:id="2522"/>
      <w:bookmarkEnd w:id="2523"/>
      <w:bookmarkEnd w:id="2524"/>
      <w:bookmarkEnd w:id="2525"/>
      <w:bookmarkEnd w:id="2526"/>
      <w:bookmarkEnd w:id="2527"/>
      <w:bookmarkEnd w:id="2528"/>
      <w:bookmarkEnd w:id="2529"/>
      <w:bookmarkEnd w:id="2530"/>
      <w:bookmarkEnd w:id="2531"/>
      <w:bookmarkEnd w:id="2532"/>
      <w:bookmarkEnd w:id="2533"/>
      <w:bookmarkEnd w:id="2534"/>
      <w:bookmarkEnd w:id="2535"/>
      <w:bookmarkEnd w:id="2536"/>
      <w:bookmarkEnd w:id="2537"/>
      <w:bookmarkEnd w:id="2538"/>
      <w:bookmarkEnd w:id="2539"/>
      <w:bookmarkEnd w:id="2540"/>
      <w:bookmarkEnd w:id="2541"/>
      <w:bookmarkEnd w:id="2542"/>
      <w:bookmarkEnd w:id="2543"/>
      <w:bookmarkEnd w:id="2544"/>
      <w:bookmarkEnd w:id="2545"/>
      <w:bookmarkEnd w:id="2546"/>
      <w:bookmarkEnd w:id="2547"/>
      <w:bookmarkEnd w:id="2548"/>
      <w:bookmarkEnd w:id="2549"/>
      <w:bookmarkEnd w:id="2550"/>
      <w:bookmarkEnd w:id="2551"/>
      <w:bookmarkEnd w:id="2552"/>
      <w:bookmarkEnd w:id="2553"/>
      <w:bookmarkEnd w:id="2554"/>
      <w:bookmarkEnd w:id="2555"/>
      <w:bookmarkEnd w:id="2556"/>
      <w:bookmarkEnd w:id="2557"/>
      <w:r w:rsidRPr="00B53FFB">
        <w:rPr>
          <w:sz w:val="22"/>
          <w:szCs w:val="22"/>
        </w:rPr>
        <w:t xml:space="preserve"> </w:t>
      </w:r>
      <w:bookmarkEnd w:id="2558"/>
    </w:p>
    <w:p w:rsidR="004A147C" w:rsidRPr="00B53FFB" w:rsidRDefault="004A147C" w:rsidP="00CE5850">
      <w:pPr>
        <w:pStyle w:val="ParaNum"/>
        <w:numPr>
          <w:ilvl w:val="0"/>
          <w:numId w:val="28"/>
        </w:numPr>
        <w:rPr>
          <w:sz w:val="22"/>
          <w:szCs w:val="22"/>
        </w:rPr>
      </w:pPr>
      <w:bookmarkStart w:id="2559" w:name="_Ref255568937"/>
      <w:bookmarkStart w:id="2560" w:name="_Ref255568941"/>
      <w:bookmarkStart w:id="2561" w:name="_Ref256172667"/>
      <w:r w:rsidRPr="00B53FFB">
        <w:rPr>
          <w:sz w:val="22"/>
          <w:szCs w:val="22"/>
        </w:rPr>
        <w:t xml:space="preserve">Capital </w:t>
      </w:r>
      <w:bookmarkStart w:id="2562" w:name="_Ref257818120"/>
      <w:bookmarkStart w:id="2563" w:name="_Ref257818122"/>
      <w:bookmarkStart w:id="2564" w:name="_Ref257909302"/>
      <w:bookmarkStart w:id="2565" w:name="_Ref257909304"/>
      <w:bookmarkStart w:id="2566" w:name="_Toc261610776"/>
      <w:bookmarkStart w:id="2567" w:name="_Toc261858515"/>
      <w:bookmarkStart w:id="2568" w:name="_Toc262034320"/>
      <w:bookmarkStart w:id="2569" w:name="_Toc262034423"/>
      <w:bookmarkStart w:id="2570" w:name="_Toc271288462"/>
      <w:bookmarkStart w:id="2571" w:name="_Toc275517980"/>
      <w:bookmarkStart w:id="2572" w:name="_Toc275952420"/>
      <w:bookmarkStart w:id="2573" w:name="_Toc276121852"/>
      <w:bookmarkStart w:id="2574" w:name="_Toc276480688"/>
      <w:bookmarkStart w:id="2575" w:name="_Toc276741765"/>
      <w:bookmarkStart w:id="2576" w:name="_Toc277171530"/>
      <w:bookmarkStart w:id="2577" w:name="_Toc277864505"/>
      <w:bookmarkStart w:id="2578" w:name="_Toc277864721"/>
      <w:bookmarkStart w:id="2579" w:name="_Toc285810402"/>
      <w:bookmarkStart w:id="2580" w:name="_Toc287257796"/>
      <w:bookmarkStart w:id="2581" w:name="_Toc291758675"/>
      <w:bookmarkStart w:id="2582" w:name="_Toc291758778"/>
      <w:bookmarkStart w:id="2583" w:name="_Toc295392958"/>
      <w:bookmarkStart w:id="2584" w:name="_Ref326749438"/>
      <w:bookmarkStart w:id="2585" w:name="_Toc329852410"/>
      <w:bookmarkStart w:id="2586" w:name="_Toc331766326"/>
      <w:bookmarkStart w:id="2587" w:name="_Toc332119121"/>
      <w:bookmarkStart w:id="2588" w:name="_Toc334088798"/>
      <w:bookmarkStart w:id="2589" w:name="_Toc334089034"/>
      <w:bookmarkStart w:id="2590" w:name="_Toc334089193"/>
      <w:bookmarkStart w:id="2591" w:name="_Toc334089304"/>
      <w:bookmarkStart w:id="2592" w:name="_Toc334089468"/>
      <w:bookmarkStart w:id="2593" w:name="_Toc83547815"/>
      <w:bookmarkStart w:id="2594" w:name="_Toc112139239"/>
      <w:bookmarkStart w:id="2595" w:name="_Toc113257846"/>
      <w:bookmarkStart w:id="2596" w:name="_Toc113258043"/>
      <w:bookmarkStart w:id="2597" w:name="_Toc113258311"/>
      <w:bookmarkStart w:id="2598" w:name="_Toc113258637"/>
      <w:bookmarkStart w:id="2599" w:name="_Toc113272226"/>
      <w:bookmarkStart w:id="2600" w:name="_Toc115580911"/>
      <w:bookmarkStart w:id="2601" w:name="_Toc136318314"/>
      <w:bookmarkStart w:id="2602" w:name="_Toc136318663"/>
      <w:bookmarkStart w:id="2603" w:name="_Toc136318830"/>
      <w:bookmarkStart w:id="2604" w:name="_Toc138475806"/>
      <w:bookmarkStart w:id="2605" w:name="_Toc146684535"/>
      <w:bookmarkStart w:id="2606" w:name="_Toc147046293"/>
      <w:bookmarkStart w:id="2607" w:name="_Toc171415250"/>
      <w:bookmarkStart w:id="2608" w:name="_Toc173642141"/>
      <w:bookmarkStart w:id="2609" w:name="_Toc173813679"/>
      <w:bookmarkStart w:id="2610" w:name="_Toc175387849"/>
      <w:bookmarkStart w:id="2611" w:name="_Toc176254454"/>
      <w:bookmarkStart w:id="2612" w:name="_Toc176254743"/>
      <w:bookmarkStart w:id="2613" w:name="_Toc176254854"/>
      <w:bookmarkStart w:id="2614" w:name="_Toc176762489"/>
      <w:bookmarkStart w:id="2615" w:name="_Toc176843510"/>
      <w:bookmarkStart w:id="2616" w:name="_Toc176853312"/>
      <w:bookmarkStart w:id="2617" w:name="_Toc176853421"/>
      <w:bookmarkStart w:id="2618" w:name="_Toc176857470"/>
      <w:bookmarkStart w:id="2619" w:name="_Toc179108400"/>
      <w:bookmarkStart w:id="2620" w:name="_Toc179357659"/>
      <w:bookmarkStart w:id="2621" w:name="_Toc181781141"/>
      <w:bookmarkStart w:id="2622" w:name="_Toc182218727"/>
      <w:bookmarkStart w:id="2623" w:name="_Toc182909162"/>
      <w:bookmarkStart w:id="2624" w:name="_Toc182909592"/>
      <w:bookmarkStart w:id="2625" w:name="_Toc182987242"/>
      <w:bookmarkStart w:id="2626" w:name="_Toc183244077"/>
      <w:bookmarkStart w:id="2627" w:name="_Toc183244455"/>
      <w:bookmarkStart w:id="2628" w:name="_Toc183244866"/>
      <w:bookmarkStart w:id="2629" w:name="_Toc183244984"/>
      <w:bookmarkStart w:id="2630" w:name="_Toc183245642"/>
      <w:bookmarkStart w:id="2631" w:name="_Toc183246217"/>
      <w:bookmarkStart w:id="2632" w:name="_Toc183246316"/>
      <w:bookmarkStart w:id="2633" w:name="_Ref185313891"/>
      <w:bookmarkStart w:id="2634" w:name="_Ref185313899"/>
      <w:bookmarkStart w:id="2635" w:name="_Toc185667926"/>
      <w:bookmarkStart w:id="2636" w:name="_Toc185838983"/>
      <w:bookmarkStart w:id="2637" w:name="_Toc185846955"/>
      <w:bookmarkStart w:id="2638" w:name="_Toc185848561"/>
      <w:bookmarkStart w:id="2639" w:name="_Toc188946919"/>
      <w:bookmarkStart w:id="2640" w:name="_Toc189302823"/>
      <w:bookmarkStart w:id="2641" w:name="_Toc209948490"/>
      <w:bookmarkStart w:id="2642" w:name="_Toc209948599"/>
      <w:bookmarkStart w:id="2643" w:name="_Toc209950041"/>
      <w:bookmarkStart w:id="2644" w:name="_Toc210211497"/>
      <w:bookmarkStart w:id="2645" w:name="_Toc210213064"/>
      <w:bookmarkStart w:id="2646" w:name="_Toc210213203"/>
      <w:bookmarkStart w:id="2647" w:name="_Toc210213764"/>
      <w:bookmarkStart w:id="2648" w:name="_Toc212967988"/>
      <w:bookmarkStart w:id="2649" w:name="_Toc215316390"/>
      <w:bookmarkStart w:id="2650" w:name="_Toc215384644"/>
      <w:bookmarkStart w:id="2651" w:name="_Toc217810510"/>
      <w:bookmarkStart w:id="2652" w:name="_Toc261610775"/>
      <w:bookmarkStart w:id="2653" w:name="_Toc261858511"/>
      <w:bookmarkStart w:id="2654" w:name="_Toc262034316"/>
      <w:bookmarkStart w:id="2655" w:name="_Toc262034419"/>
      <w:bookmarkStart w:id="2656" w:name="_Toc275517976"/>
      <w:bookmarkStart w:id="2657" w:name="_Toc275952416"/>
      <w:bookmarkStart w:id="2658" w:name="_Toc276121848"/>
      <w:bookmarkStart w:id="2659" w:name="_Toc276480684"/>
      <w:bookmarkStart w:id="2660" w:name="_Toc276741761"/>
      <w:bookmarkStart w:id="2661" w:name="_Toc277171526"/>
      <w:bookmarkStart w:id="2662" w:name="_Toc277864501"/>
      <w:bookmarkStart w:id="2663" w:name="_Toc277864717"/>
      <w:bookmarkStart w:id="2664" w:name="_Ref278275356"/>
      <w:bookmarkStart w:id="2665" w:name="_Ref278275359"/>
      <w:bookmarkStart w:id="2666" w:name="_Toc285810398"/>
      <w:bookmarkStart w:id="2667" w:name="_Toc287257792"/>
      <w:bookmarkStart w:id="2668" w:name="_Ref287262735"/>
      <w:bookmarkStart w:id="2669" w:name="_Toc291758671"/>
      <w:bookmarkStart w:id="2670" w:name="_Toc291758774"/>
      <w:bookmarkStart w:id="2671" w:name="_Toc295392954"/>
      <w:bookmarkStart w:id="2672" w:name="_Toc55787795"/>
      <w:bookmarkStart w:id="2673" w:name="_Toc57021207"/>
      <w:bookmarkStart w:id="2674" w:name="_Toc67722113"/>
      <w:bookmarkEnd w:id="2559"/>
      <w:bookmarkEnd w:id="2560"/>
      <w:bookmarkEnd w:id="2561"/>
      <w:r w:rsidRPr="00B53FFB">
        <w:rPr>
          <w:sz w:val="22"/>
          <w:szCs w:val="22"/>
        </w:rPr>
        <w:t>expenditure, or “CAPEX,” measures the amount of money invested in capital assets in the mobile wireless service industry.  CAPEX in system/network assets provides a financial measure of network deployment that is an alternative to the engineering-oriented metrics such as network coverage, capacity, and throughput that are the results of CAPEX.</w:t>
      </w:r>
    </w:p>
    <w:p w:rsidR="004A147C" w:rsidRPr="00B53FFB" w:rsidRDefault="004A147C" w:rsidP="00CE5850">
      <w:pPr>
        <w:pStyle w:val="ParaNum"/>
        <w:numPr>
          <w:ilvl w:val="0"/>
          <w:numId w:val="28"/>
        </w:numPr>
        <w:rPr>
          <w:sz w:val="22"/>
          <w:szCs w:val="22"/>
        </w:rPr>
      </w:pPr>
      <w:r w:rsidRPr="00B53FFB">
        <w:rPr>
          <w:sz w:val="22"/>
          <w:szCs w:val="22"/>
        </w:rPr>
        <w:t xml:space="preserve"> CAPEX includes expenditures on system/network assets and non-system assets such as buildings and vehicles.  The data sources for capital investment in this </w:t>
      </w:r>
      <w:r w:rsidRPr="00B53FFB">
        <w:rPr>
          <w:i/>
          <w:sz w:val="22"/>
          <w:szCs w:val="22"/>
        </w:rPr>
        <w:t>Report</w:t>
      </w:r>
      <w:r w:rsidRPr="00B53FFB">
        <w:rPr>
          <w:sz w:val="22"/>
          <w:szCs w:val="22"/>
        </w:rPr>
        <w:t xml:space="preserve"> include CTIA, the Census Bureau, and provider financial reports.  Disaggregated data on system/network CAPEX and non-system CAPEX are not consistently available from all data sources.  Spectrum licenses and expenditures, normally treated as intangible assets,</w:t>
      </w:r>
      <w:r w:rsidRPr="00B53FFB">
        <w:rPr>
          <w:rStyle w:val="FootnoteReference"/>
          <w:szCs w:val="22"/>
        </w:rPr>
        <w:footnoteReference w:id="678"/>
      </w:r>
      <w:r w:rsidRPr="00B53FFB">
        <w:rPr>
          <w:sz w:val="22"/>
          <w:szCs w:val="22"/>
        </w:rPr>
        <w:t xml:space="preserve"> are not accounted for in capital assets.</w:t>
      </w:r>
      <w:r w:rsidRPr="00B53FFB">
        <w:rPr>
          <w:rStyle w:val="FootnoteReference"/>
          <w:szCs w:val="22"/>
        </w:rPr>
        <w:footnoteReference w:id="679"/>
      </w:r>
    </w:p>
    <w:p w:rsidR="004A147C" w:rsidRPr="00B53FFB" w:rsidRDefault="004A147C" w:rsidP="00CE5850">
      <w:pPr>
        <w:pStyle w:val="ParaNum"/>
        <w:numPr>
          <w:ilvl w:val="0"/>
          <w:numId w:val="28"/>
        </w:numPr>
        <w:rPr>
          <w:sz w:val="22"/>
          <w:szCs w:val="22"/>
        </w:rPr>
      </w:pPr>
      <w:r w:rsidRPr="00B53FFB">
        <w:rPr>
          <w:sz w:val="22"/>
          <w:szCs w:val="22"/>
        </w:rPr>
        <w:t>CTIA reports that incremental capital investment by wireless operators rose to $24.9 billion in 2010, a 22 percent increase from the $20.4 billion spent in 2009, and then increased another 1.7 percent to $25.3 billion in 2011.</w:t>
      </w:r>
      <w:r w:rsidRPr="00B53FFB">
        <w:rPr>
          <w:rStyle w:val="FootnoteReference"/>
          <w:szCs w:val="22"/>
        </w:rPr>
        <w:footnoteReference w:id="680"/>
      </w:r>
      <w:r w:rsidRPr="00B53FFB">
        <w:rPr>
          <w:sz w:val="22"/>
          <w:szCs w:val="22"/>
        </w:rPr>
        <w:t xml:space="preserve">  The increases in 2010 and 2011 follow a one percent increase in capital investment by mobile wireless service providers in 2009, reversing the trend of declining investment in 2006 through 2008.  Estimates by the U.S. Census Bureau likewise show an 11 percent increase in total wireless industry capital expenditures to $23 billion in 2010 following an 18 percent decline to $20.7 billion in 2009.</w:t>
      </w:r>
      <w:r w:rsidRPr="00B53FFB">
        <w:rPr>
          <w:rStyle w:val="FootnoteReference"/>
          <w:szCs w:val="22"/>
        </w:rPr>
        <w:footnoteReference w:id="681"/>
      </w:r>
    </w:p>
    <w:p w:rsidR="004A147C" w:rsidRPr="00B53FFB" w:rsidRDefault="004A147C" w:rsidP="00CE5850">
      <w:pPr>
        <w:pStyle w:val="ParaNum"/>
        <w:tabs>
          <w:tab w:val="clear" w:pos="1440"/>
        </w:tabs>
        <w:ind w:firstLine="0"/>
        <w:jc w:val="center"/>
        <w:rPr>
          <w:sz w:val="22"/>
          <w:szCs w:val="22"/>
        </w:rPr>
      </w:pPr>
      <w:r w:rsidRPr="00B53FFB">
        <w:rPr>
          <w:b/>
          <w:sz w:val="22"/>
          <w:szCs w:val="22"/>
        </w:rPr>
        <w:t xml:space="preserve">Table </w:t>
      </w:r>
      <w:r w:rsidR="0007014B" w:rsidRPr="00B53FFB">
        <w:rPr>
          <w:b/>
          <w:sz w:val="22"/>
          <w:szCs w:val="22"/>
        </w:rPr>
        <w:fldChar w:fldCharType="begin"/>
      </w:r>
      <w:r w:rsidRPr="00B53FFB">
        <w:rPr>
          <w:b/>
          <w:sz w:val="22"/>
          <w:szCs w:val="22"/>
        </w:rPr>
        <w:instrText xml:space="preserve"> SEQ Table \* ARABIC </w:instrText>
      </w:r>
      <w:r w:rsidR="0007014B" w:rsidRPr="00B53FFB">
        <w:rPr>
          <w:b/>
          <w:sz w:val="22"/>
          <w:szCs w:val="22"/>
        </w:rPr>
        <w:fldChar w:fldCharType="separate"/>
      </w:r>
      <w:r w:rsidR="00CA3AC6">
        <w:rPr>
          <w:b/>
          <w:noProof/>
          <w:sz w:val="22"/>
          <w:szCs w:val="22"/>
        </w:rPr>
        <w:t>33</w:t>
      </w:r>
      <w:r w:rsidR="0007014B" w:rsidRPr="00B53FFB">
        <w:rPr>
          <w:b/>
          <w:sz w:val="22"/>
          <w:szCs w:val="22"/>
        </w:rPr>
        <w:fldChar w:fldCharType="end"/>
      </w:r>
      <w:r w:rsidRPr="00B53FFB">
        <w:rPr>
          <w:b/>
          <w:sz w:val="22"/>
          <w:szCs w:val="22"/>
        </w:rPr>
        <w:br/>
        <w:t>Annual Capital Expenditures by Wireless Service Providers, 2006-2011</w:t>
      </w:r>
      <w:r w:rsidRPr="00B53FFB">
        <w:rPr>
          <w:rStyle w:val="FootnoteReference"/>
          <w:szCs w:val="22"/>
        </w:rPr>
        <w:footnoteReference w:id="682"/>
      </w:r>
    </w:p>
    <w:tbl>
      <w:tblPr>
        <w:tblW w:w="8208" w:type="dxa"/>
        <w:jc w:val="center"/>
        <w:tblInd w:w="13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948"/>
        <w:gridCol w:w="821"/>
        <w:gridCol w:w="931"/>
        <w:gridCol w:w="821"/>
        <w:gridCol w:w="931"/>
        <w:gridCol w:w="878"/>
        <w:gridCol w:w="878"/>
      </w:tblGrid>
      <w:tr w:rsidR="004A147C" w:rsidRPr="00B53FFB" w:rsidTr="00D91588">
        <w:trPr>
          <w:jc w:val="center"/>
        </w:trPr>
        <w:tc>
          <w:tcPr>
            <w:tcW w:w="0" w:type="auto"/>
            <w:vAlign w:val="center"/>
          </w:tcPr>
          <w:p w:rsidR="004A147C" w:rsidRPr="004F14A8" w:rsidRDefault="004A147C" w:rsidP="00CE5850">
            <w:pPr>
              <w:pStyle w:val="ParaNum"/>
              <w:tabs>
                <w:tab w:val="clear" w:pos="1440"/>
              </w:tabs>
              <w:spacing w:after="0"/>
              <w:ind w:firstLine="0"/>
              <w:jc w:val="center"/>
              <w:rPr>
                <w:sz w:val="22"/>
                <w:szCs w:val="22"/>
              </w:rPr>
            </w:pPr>
          </w:p>
        </w:tc>
        <w:tc>
          <w:tcPr>
            <w:tcW w:w="0" w:type="auto"/>
            <w:vAlign w:val="center"/>
          </w:tcPr>
          <w:p w:rsidR="004A147C" w:rsidRPr="004F14A8" w:rsidRDefault="004A147C" w:rsidP="00CE5850">
            <w:pPr>
              <w:pStyle w:val="ParaNum"/>
              <w:tabs>
                <w:tab w:val="clear" w:pos="1440"/>
              </w:tabs>
              <w:spacing w:after="0"/>
              <w:ind w:firstLine="0"/>
              <w:jc w:val="center"/>
              <w:rPr>
                <w:b/>
                <w:sz w:val="22"/>
                <w:szCs w:val="22"/>
              </w:rPr>
            </w:pPr>
            <w:r w:rsidRPr="004F14A8">
              <w:rPr>
                <w:b/>
                <w:sz w:val="22"/>
                <w:szCs w:val="22"/>
              </w:rPr>
              <w:t>2006</w:t>
            </w:r>
          </w:p>
        </w:tc>
        <w:tc>
          <w:tcPr>
            <w:tcW w:w="0" w:type="auto"/>
            <w:vAlign w:val="center"/>
          </w:tcPr>
          <w:p w:rsidR="004A147C" w:rsidRPr="004F14A8" w:rsidRDefault="004A147C" w:rsidP="00CE5850">
            <w:pPr>
              <w:pStyle w:val="ParaNum"/>
              <w:tabs>
                <w:tab w:val="clear" w:pos="1440"/>
              </w:tabs>
              <w:spacing w:after="0"/>
              <w:ind w:firstLine="0"/>
              <w:jc w:val="center"/>
              <w:rPr>
                <w:b/>
                <w:sz w:val="22"/>
                <w:szCs w:val="22"/>
              </w:rPr>
            </w:pPr>
            <w:r w:rsidRPr="004F14A8">
              <w:rPr>
                <w:b/>
                <w:sz w:val="22"/>
                <w:szCs w:val="22"/>
              </w:rPr>
              <w:t>2007</w:t>
            </w:r>
          </w:p>
        </w:tc>
        <w:tc>
          <w:tcPr>
            <w:tcW w:w="0" w:type="auto"/>
            <w:vAlign w:val="center"/>
          </w:tcPr>
          <w:p w:rsidR="004A147C" w:rsidRPr="004F14A8" w:rsidRDefault="004A147C" w:rsidP="00CE5850">
            <w:pPr>
              <w:pStyle w:val="ParaNum"/>
              <w:tabs>
                <w:tab w:val="clear" w:pos="1440"/>
              </w:tabs>
              <w:spacing w:after="0"/>
              <w:ind w:firstLine="0"/>
              <w:jc w:val="center"/>
              <w:rPr>
                <w:b/>
                <w:sz w:val="22"/>
                <w:szCs w:val="22"/>
              </w:rPr>
            </w:pPr>
            <w:r w:rsidRPr="004F14A8">
              <w:rPr>
                <w:b/>
                <w:sz w:val="22"/>
                <w:szCs w:val="22"/>
              </w:rPr>
              <w:t>2008</w:t>
            </w:r>
          </w:p>
        </w:tc>
        <w:tc>
          <w:tcPr>
            <w:tcW w:w="878" w:type="dxa"/>
          </w:tcPr>
          <w:p w:rsidR="004A147C" w:rsidRPr="004F14A8" w:rsidRDefault="004A147C" w:rsidP="00CE5850">
            <w:pPr>
              <w:pStyle w:val="ParaNum"/>
              <w:tabs>
                <w:tab w:val="clear" w:pos="1440"/>
              </w:tabs>
              <w:spacing w:after="0"/>
              <w:ind w:firstLine="0"/>
              <w:jc w:val="center"/>
              <w:rPr>
                <w:b/>
                <w:sz w:val="22"/>
                <w:szCs w:val="22"/>
              </w:rPr>
            </w:pPr>
            <w:r w:rsidRPr="004F14A8">
              <w:rPr>
                <w:b/>
                <w:sz w:val="22"/>
                <w:szCs w:val="22"/>
              </w:rPr>
              <w:t>2009</w:t>
            </w:r>
          </w:p>
        </w:tc>
        <w:tc>
          <w:tcPr>
            <w:tcW w:w="878" w:type="dxa"/>
          </w:tcPr>
          <w:p w:rsidR="004A147C" w:rsidRPr="004F14A8" w:rsidRDefault="004A147C" w:rsidP="00CE5850">
            <w:pPr>
              <w:pStyle w:val="ParaNum"/>
              <w:tabs>
                <w:tab w:val="clear" w:pos="1440"/>
              </w:tabs>
              <w:spacing w:after="0"/>
              <w:ind w:firstLine="0"/>
              <w:jc w:val="center"/>
              <w:rPr>
                <w:b/>
                <w:sz w:val="22"/>
                <w:szCs w:val="22"/>
              </w:rPr>
            </w:pPr>
            <w:r w:rsidRPr="004F14A8">
              <w:rPr>
                <w:b/>
                <w:sz w:val="22"/>
                <w:szCs w:val="22"/>
              </w:rPr>
              <w:t>2010</w:t>
            </w:r>
          </w:p>
        </w:tc>
        <w:tc>
          <w:tcPr>
            <w:tcW w:w="878" w:type="dxa"/>
          </w:tcPr>
          <w:p w:rsidR="004A147C" w:rsidRPr="004F14A8" w:rsidRDefault="004A147C" w:rsidP="00CE5850">
            <w:pPr>
              <w:pStyle w:val="ParaNum"/>
              <w:tabs>
                <w:tab w:val="clear" w:pos="1440"/>
              </w:tabs>
              <w:spacing w:after="0"/>
              <w:ind w:firstLine="0"/>
              <w:jc w:val="center"/>
              <w:rPr>
                <w:b/>
                <w:sz w:val="22"/>
                <w:szCs w:val="22"/>
              </w:rPr>
            </w:pPr>
            <w:r w:rsidRPr="004F14A8">
              <w:rPr>
                <w:b/>
                <w:sz w:val="22"/>
                <w:szCs w:val="22"/>
              </w:rPr>
              <w:t>2011</w:t>
            </w:r>
          </w:p>
        </w:tc>
      </w:tr>
      <w:tr w:rsidR="004A147C" w:rsidRPr="00B53FFB" w:rsidTr="00D91588">
        <w:trPr>
          <w:trHeight w:val="557"/>
          <w:jc w:val="center"/>
        </w:trPr>
        <w:tc>
          <w:tcPr>
            <w:tcW w:w="0" w:type="auto"/>
            <w:vAlign w:val="center"/>
          </w:tcPr>
          <w:p w:rsidR="004A147C" w:rsidRPr="004F14A8" w:rsidRDefault="004A147C" w:rsidP="00CE5850">
            <w:pPr>
              <w:pStyle w:val="ParaNum"/>
              <w:tabs>
                <w:tab w:val="clear" w:pos="1440"/>
              </w:tabs>
              <w:spacing w:after="0"/>
              <w:ind w:firstLine="0"/>
              <w:rPr>
                <w:sz w:val="22"/>
                <w:szCs w:val="22"/>
              </w:rPr>
            </w:pPr>
            <w:r w:rsidRPr="004F14A8">
              <w:rPr>
                <w:sz w:val="22"/>
                <w:szCs w:val="22"/>
              </w:rPr>
              <w:t>Census Bureau: Total Annual Capital Expenditures (in billions)</w:t>
            </w:r>
          </w:p>
        </w:tc>
        <w:tc>
          <w:tcPr>
            <w:tcW w:w="0" w:type="auto"/>
            <w:vAlign w:val="center"/>
          </w:tcPr>
          <w:p w:rsidR="004A147C" w:rsidRPr="004F14A8" w:rsidRDefault="004A147C" w:rsidP="00CE5850">
            <w:pPr>
              <w:pStyle w:val="ParaNum"/>
              <w:tabs>
                <w:tab w:val="clear" w:pos="1440"/>
              </w:tabs>
              <w:spacing w:after="0"/>
              <w:ind w:firstLine="0"/>
              <w:jc w:val="center"/>
              <w:rPr>
                <w:sz w:val="22"/>
                <w:szCs w:val="22"/>
              </w:rPr>
            </w:pPr>
            <w:r w:rsidRPr="004F14A8">
              <w:rPr>
                <w:sz w:val="22"/>
                <w:szCs w:val="22"/>
              </w:rPr>
              <w:t>$27.9</w:t>
            </w:r>
          </w:p>
        </w:tc>
        <w:tc>
          <w:tcPr>
            <w:tcW w:w="0" w:type="auto"/>
            <w:vAlign w:val="center"/>
          </w:tcPr>
          <w:p w:rsidR="004A147C" w:rsidRPr="004F14A8" w:rsidRDefault="004A147C" w:rsidP="00CE5850">
            <w:pPr>
              <w:pStyle w:val="ParaNum"/>
              <w:tabs>
                <w:tab w:val="clear" w:pos="1440"/>
              </w:tabs>
              <w:spacing w:after="0"/>
              <w:ind w:firstLine="0"/>
              <w:jc w:val="center"/>
              <w:rPr>
                <w:sz w:val="22"/>
                <w:szCs w:val="22"/>
              </w:rPr>
            </w:pPr>
            <w:r w:rsidRPr="004F14A8">
              <w:rPr>
                <w:sz w:val="22"/>
                <w:szCs w:val="22"/>
              </w:rPr>
              <w:t>$22.2</w:t>
            </w:r>
          </w:p>
        </w:tc>
        <w:tc>
          <w:tcPr>
            <w:tcW w:w="0" w:type="auto"/>
            <w:vAlign w:val="center"/>
          </w:tcPr>
          <w:p w:rsidR="004A147C" w:rsidRPr="004F14A8" w:rsidRDefault="004A147C" w:rsidP="00CE5850">
            <w:pPr>
              <w:pStyle w:val="ParaNum"/>
              <w:tabs>
                <w:tab w:val="clear" w:pos="1440"/>
              </w:tabs>
              <w:spacing w:after="0"/>
              <w:ind w:firstLine="0"/>
              <w:jc w:val="center"/>
              <w:rPr>
                <w:sz w:val="22"/>
                <w:szCs w:val="22"/>
              </w:rPr>
            </w:pPr>
            <w:r w:rsidRPr="004F14A8">
              <w:rPr>
                <w:sz w:val="22"/>
                <w:szCs w:val="22"/>
              </w:rPr>
              <w:t>$25.3</w:t>
            </w:r>
          </w:p>
        </w:tc>
        <w:tc>
          <w:tcPr>
            <w:tcW w:w="878" w:type="dxa"/>
            <w:vAlign w:val="center"/>
          </w:tcPr>
          <w:p w:rsidR="004A147C" w:rsidRPr="004F14A8" w:rsidRDefault="004A147C" w:rsidP="00CE5850">
            <w:pPr>
              <w:pStyle w:val="ParaNum"/>
              <w:tabs>
                <w:tab w:val="clear" w:pos="1440"/>
              </w:tabs>
              <w:spacing w:after="0"/>
              <w:ind w:firstLine="0"/>
              <w:jc w:val="center"/>
              <w:rPr>
                <w:sz w:val="22"/>
                <w:szCs w:val="22"/>
              </w:rPr>
            </w:pPr>
            <w:r w:rsidRPr="004F14A8">
              <w:rPr>
                <w:sz w:val="22"/>
                <w:szCs w:val="22"/>
              </w:rPr>
              <w:t>$20.7</w:t>
            </w:r>
          </w:p>
        </w:tc>
        <w:tc>
          <w:tcPr>
            <w:tcW w:w="878" w:type="dxa"/>
            <w:vAlign w:val="center"/>
          </w:tcPr>
          <w:p w:rsidR="004A147C" w:rsidRPr="004F14A8" w:rsidRDefault="004A147C" w:rsidP="00CE5850">
            <w:pPr>
              <w:pStyle w:val="ParaNum"/>
              <w:tabs>
                <w:tab w:val="clear" w:pos="1440"/>
              </w:tabs>
              <w:spacing w:after="0"/>
              <w:ind w:firstLine="0"/>
              <w:jc w:val="center"/>
              <w:rPr>
                <w:sz w:val="22"/>
                <w:szCs w:val="22"/>
              </w:rPr>
            </w:pPr>
            <w:r w:rsidRPr="004F14A8">
              <w:rPr>
                <w:sz w:val="22"/>
                <w:szCs w:val="22"/>
              </w:rPr>
              <w:t>$23.0</w:t>
            </w:r>
          </w:p>
        </w:tc>
        <w:tc>
          <w:tcPr>
            <w:tcW w:w="878" w:type="dxa"/>
            <w:vAlign w:val="center"/>
          </w:tcPr>
          <w:p w:rsidR="004A147C" w:rsidRPr="004F14A8" w:rsidRDefault="004A147C" w:rsidP="00CE5850">
            <w:pPr>
              <w:pStyle w:val="ParaNum"/>
              <w:tabs>
                <w:tab w:val="clear" w:pos="1440"/>
              </w:tabs>
              <w:spacing w:after="0"/>
              <w:ind w:firstLine="0"/>
              <w:jc w:val="center"/>
              <w:rPr>
                <w:sz w:val="22"/>
                <w:szCs w:val="22"/>
              </w:rPr>
            </w:pPr>
            <w:r w:rsidRPr="004F14A8">
              <w:rPr>
                <w:sz w:val="22"/>
                <w:szCs w:val="22"/>
              </w:rPr>
              <w:t>NA</w:t>
            </w:r>
          </w:p>
        </w:tc>
      </w:tr>
      <w:tr w:rsidR="004A147C" w:rsidRPr="00B53FFB" w:rsidTr="00D91588">
        <w:trPr>
          <w:trHeight w:val="548"/>
          <w:jc w:val="center"/>
        </w:trPr>
        <w:tc>
          <w:tcPr>
            <w:tcW w:w="0" w:type="auto"/>
            <w:vAlign w:val="center"/>
          </w:tcPr>
          <w:p w:rsidR="004A147C" w:rsidRPr="004F14A8" w:rsidRDefault="004A147C" w:rsidP="00CE5850">
            <w:pPr>
              <w:pStyle w:val="ParaNum"/>
              <w:tabs>
                <w:tab w:val="clear" w:pos="1440"/>
              </w:tabs>
              <w:spacing w:after="0"/>
              <w:ind w:firstLine="0"/>
              <w:rPr>
                <w:sz w:val="22"/>
                <w:szCs w:val="22"/>
              </w:rPr>
            </w:pPr>
            <w:r w:rsidRPr="004F14A8">
              <w:rPr>
                <w:sz w:val="22"/>
                <w:szCs w:val="22"/>
              </w:rPr>
              <w:t>Census Bureau: Percent Change in Capital Expenditures from Previous Year</w:t>
            </w:r>
          </w:p>
        </w:tc>
        <w:tc>
          <w:tcPr>
            <w:tcW w:w="0" w:type="auto"/>
            <w:vAlign w:val="center"/>
          </w:tcPr>
          <w:p w:rsidR="004A147C" w:rsidRPr="004F14A8" w:rsidRDefault="004A147C" w:rsidP="00CE5850">
            <w:pPr>
              <w:pStyle w:val="ParaNum"/>
              <w:tabs>
                <w:tab w:val="clear" w:pos="1440"/>
              </w:tabs>
              <w:spacing w:after="0"/>
              <w:ind w:firstLine="0"/>
              <w:jc w:val="center"/>
              <w:rPr>
                <w:sz w:val="22"/>
                <w:szCs w:val="22"/>
              </w:rPr>
            </w:pPr>
            <w:r w:rsidRPr="004F14A8">
              <w:rPr>
                <w:sz w:val="22"/>
                <w:szCs w:val="22"/>
              </w:rPr>
              <w:t>2.2%</w:t>
            </w:r>
          </w:p>
        </w:tc>
        <w:tc>
          <w:tcPr>
            <w:tcW w:w="0" w:type="auto"/>
            <w:vAlign w:val="center"/>
          </w:tcPr>
          <w:p w:rsidR="004A147C" w:rsidRPr="004F14A8" w:rsidRDefault="004A147C" w:rsidP="00CE5850">
            <w:pPr>
              <w:pStyle w:val="ParaNum"/>
              <w:tabs>
                <w:tab w:val="clear" w:pos="1440"/>
              </w:tabs>
              <w:spacing w:after="0"/>
              <w:ind w:firstLine="0"/>
              <w:jc w:val="center"/>
              <w:rPr>
                <w:sz w:val="22"/>
                <w:szCs w:val="22"/>
              </w:rPr>
            </w:pPr>
            <w:r w:rsidRPr="004F14A8">
              <w:rPr>
                <w:sz w:val="22"/>
                <w:szCs w:val="22"/>
              </w:rPr>
              <w:t>(20.4%)</w:t>
            </w:r>
          </w:p>
        </w:tc>
        <w:tc>
          <w:tcPr>
            <w:tcW w:w="0" w:type="auto"/>
            <w:vAlign w:val="center"/>
          </w:tcPr>
          <w:p w:rsidR="004A147C" w:rsidRPr="004F14A8" w:rsidRDefault="004A147C" w:rsidP="00CE5850">
            <w:pPr>
              <w:pStyle w:val="ParaNum"/>
              <w:tabs>
                <w:tab w:val="clear" w:pos="1440"/>
              </w:tabs>
              <w:spacing w:after="0"/>
              <w:ind w:firstLine="0"/>
              <w:jc w:val="center"/>
              <w:rPr>
                <w:sz w:val="22"/>
                <w:szCs w:val="22"/>
              </w:rPr>
            </w:pPr>
            <w:r w:rsidRPr="004F14A8">
              <w:rPr>
                <w:sz w:val="22"/>
                <w:szCs w:val="22"/>
              </w:rPr>
              <w:t>14.0%</w:t>
            </w:r>
          </w:p>
        </w:tc>
        <w:tc>
          <w:tcPr>
            <w:tcW w:w="878" w:type="dxa"/>
            <w:vAlign w:val="center"/>
          </w:tcPr>
          <w:p w:rsidR="004A147C" w:rsidRPr="004F14A8" w:rsidRDefault="004A147C" w:rsidP="00CE5850">
            <w:pPr>
              <w:pStyle w:val="ParaNum"/>
              <w:tabs>
                <w:tab w:val="clear" w:pos="1440"/>
              </w:tabs>
              <w:spacing w:after="0"/>
              <w:ind w:firstLine="0"/>
              <w:jc w:val="center"/>
              <w:rPr>
                <w:sz w:val="22"/>
                <w:szCs w:val="22"/>
              </w:rPr>
            </w:pPr>
            <w:r w:rsidRPr="004F14A8">
              <w:rPr>
                <w:sz w:val="22"/>
                <w:szCs w:val="22"/>
              </w:rPr>
              <w:t>(18.2%)</w:t>
            </w:r>
          </w:p>
        </w:tc>
        <w:tc>
          <w:tcPr>
            <w:tcW w:w="878" w:type="dxa"/>
            <w:vAlign w:val="center"/>
          </w:tcPr>
          <w:p w:rsidR="004A147C" w:rsidRPr="004F14A8" w:rsidRDefault="004A147C" w:rsidP="00CE5850">
            <w:pPr>
              <w:pStyle w:val="ParaNum"/>
              <w:tabs>
                <w:tab w:val="clear" w:pos="1440"/>
              </w:tabs>
              <w:spacing w:after="0"/>
              <w:ind w:firstLine="0"/>
              <w:jc w:val="center"/>
              <w:rPr>
                <w:sz w:val="22"/>
                <w:szCs w:val="22"/>
              </w:rPr>
            </w:pPr>
            <w:r w:rsidRPr="004F14A8">
              <w:rPr>
                <w:sz w:val="22"/>
                <w:szCs w:val="22"/>
              </w:rPr>
              <w:t>11.1%</w:t>
            </w:r>
          </w:p>
        </w:tc>
        <w:tc>
          <w:tcPr>
            <w:tcW w:w="878" w:type="dxa"/>
            <w:vAlign w:val="center"/>
          </w:tcPr>
          <w:p w:rsidR="004A147C" w:rsidRPr="004F14A8" w:rsidRDefault="004A147C" w:rsidP="00CE5850">
            <w:pPr>
              <w:pStyle w:val="ParaNum"/>
              <w:tabs>
                <w:tab w:val="clear" w:pos="1440"/>
              </w:tabs>
              <w:spacing w:after="0"/>
              <w:ind w:firstLine="0"/>
              <w:jc w:val="center"/>
              <w:rPr>
                <w:sz w:val="22"/>
                <w:szCs w:val="22"/>
              </w:rPr>
            </w:pPr>
            <w:r w:rsidRPr="004F14A8">
              <w:rPr>
                <w:sz w:val="22"/>
                <w:szCs w:val="22"/>
              </w:rPr>
              <w:t>NA</w:t>
            </w:r>
          </w:p>
        </w:tc>
      </w:tr>
      <w:tr w:rsidR="004A147C" w:rsidRPr="00B53FFB" w:rsidTr="00D91588">
        <w:trPr>
          <w:trHeight w:val="512"/>
          <w:jc w:val="center"/>
        </w:trPr>
        <w:tc>
          <w:tcPr>
            <w:tcW w:w="0" w:type="auto"/>
            <w:vAlign w:val="center"/>
          </w:tcPr>
          <w:p w:rsidR="004A147C" w:rsidRPr="004F14A8" w:rsidRDefault="004A147C" w:rsidP="00CE5850">
            <w:pPr>
              <w:pStyle w:val="ParaNum"/>
              <w:tabs>
                <w:tab w:val="clear" w:pos="1440"/>
              </w:tabs>
              <w:spacing w:after="0"/>
              <w:ind w:firstLine="0"/>
              <w:rPr>
                <w:sz w:val="22"/>
                <w:szCs w:val="22"/>
              </w:rPr>
            </w:pPr>
            <w:r w:rsidRPr="004F14A8">
              <w:rPr>
                <w:sz w:val="22"/>
                <w:szCs w:val="22"/>
              </w:rPr>
              <w:t>CTIA: Total Annual Incremental Capital Investment (in billions)</w:t>
            </w:r>
          </w:p>
        </w:tc>
        <w:tc>
          <w:tcPr>
            <w:tcW w:w="0" w:type="auto"/>
            <w:vAlign w:val="center"/>
          </w:tcPr>
          <w:p w:rsidR="004A147C" w:rsidRPr="004F14A8" w:rsidRDefault="004A147C" w:rsidP="00CE5850">
            <w:pPr>
              <w:pStyle w:val="ParaNum"/>
              <w:tabs>
                <w:tab w:val="clear" w:pos="1440"/>
              </w:tabs>
              <w:spacing w:after="0"/>
              <w:ind w:firstLine="0"/>
              <w:jc w:val="center"/>
              <w:rPr>
                <w:sz w:val="22"/>
                <w:szCs w:val="22"/>
              </w:rPr>
            </w:pPr>
            <w:r w:rsidRPr="004F14A8">
              <w:rPr>
                <w:sz w:val="22"/>
                <w:szCs w:val="22"/>
              </w:rPr>
              <w:t>$24.4</w:t>
            </w:r>
          </w:p>
        </w:tc>
        <w:tc>
          <w:tcPr>
            <w:tcW w:w="0" w:type="auto"/>
            <w:vAlign w:val="center"/>
          </w:tcPr>
          <w:p w:rsidR="004A147C" w:rsidRPr="004F14A8" w:rsidRDefault="004A147C" w:rsidP="00CE5850">
            <w:pPr>
              <w:pStyle w:val="ParaNum"/>
              <w:tabs>
                <w:tab w:val="clear" w:pos="1440"/>
              </w:tabs>
              <w:spacing w:after="0"/>
              <w:ind w:firstLine="0"/>
              <w:jc w:val="center"/>
              <w:rPr>
                <w:sz w:val="22"/>
                <w:szCs w:val="22"/>
              </w:rPr>
            </w:pPr>
            <w:r w:rsidRPr="004F14A8">
              <w:rPr>
                <w:sz w:val="22"/>
                <w:szCs w:val="22"/>
              </w:rPr>
              <w:t>$21.1</w:t>
            </w:r>
          </w:p>
        </w:tc>
        <w:tc>
          <w:tcPr>
            <w:tcW w:w="0" w:type="auto"/>
            <w:vAlign w:val="center"/>
          </w:tcPr>
          <w:p w:rsidR="004A147C" w:rsidRPr="004F14A8" w:rsidRDefault="004A147C" w:rsidP="00CE5850">
            <w:pPr>
              <w:pStyle w:val="ParaNum"/>
              <w:tabs>
                <w:tab w:val="clear" w:pos="1440"/>
              </w:tabs>
              <w:spacing w:after="0"/>
              <w:ind w:firstLine="0"/>
              <w:jc w:val="center"/>
              <w:rPr>
                <w:sz w:val="22"/>
                <w:szCs w:val="22"/>
              </w:rPr>
            </w:pPr>
            <w:r w:rsidRPr="004F14A8">
              <w:rPr>
                <w:sz w:val="22"/>
                <w:szCs w:val="22"/>
              </w:rPr>
              <w:t>$20.2</w:t>
            </w:r>
          </w:p>
        </w:tc>
        <w:tc>
          <w:tcPr>
            <w:tcW w:w="878" w:type="dxa"/>
            <w:vAlign w:val="center"/>
          </w:tcPr>
          <w:p w:rsidR="004A147C" w:rsidRPr="004F14A8" w:rsidRDefault="004A147C" w:rsidP="00CE5850">
            <w:pPr>
              <w:pStyle w:val="ParaNum"/>
              <w:tabs>
                <w:tab w:val="clear" w:pos="1440"/>
              </w:tabs>
              <w:spacing w:after="0"/>
              <w:ind w:firstLine="0"/>
              <w:jc w:val="center"/>
              <w:rPr>
                <w:sz w:val="22"/>
                <w:szCs w:val="22"/>
              </w:rPr>
            </w:pPr>
            <w:r w:rsidRPr="004F14A8">
              <w:rPr>
                <w:sz w:val="22"/>
                <w:szCs w:val="22"/>
              </w:rPr>
              <w:t>$20.4</w:t>
            </w:r>
          </w:p>
        </w:tc>
        <w:tc>
          <w:tcPr>
            <w:tcW w:w="878" w:type="dxa"/>
            <w:vAlign w:val="center"/>
          </w:tcPr>
          <w:p w:rsidR="004A147C" w:rsidRPr="004F14A8" w:rsidRDefault="004A147C" w:rsidP="00CE5850">
            <w:pPr>
              <w:pStyle w:val="ParaNum"/>
              <w:tabs>
                <w:tab w:val="clear" w:pos="1440"/>
              </w:tabs>
              <w:spacing w:after="0"/>
              <w:ind w:firstLine="0"/>
              <w:jc w:val="center"/>
              <w:rPr>
                <w:sz w:val="22"/>
                <w:szCs w:val="22"/>
              </w:rPr>
            </w:pPr>
            <w:r w:rsidRPr="004F14A8">
              <w:rPr>
                <w:sz w:val="22"/>
                <w:szCs w:val="22"/>
              </w:rPr>
              <w:t>$24.9</w:t>
            </w:r>
          </w:p>
        </w:tc>
        <w:tc>
          <w:tcPr>
            <w:tcW w:w="878" w:type="dxa"/>
            <w:vAlign w:val="center"/>
          </w:tcPr>
          <w:p w:rsidR="004A147C" w:rsidRPr="004F14A8" w:rsidRDefault="004A147C" w:rsidP="00CE5850">
            <w:pPr>
              <w:pStyle w:val="ParaNum"/>
              <w:tabs>
                <w:tab w:val="clear" w:pos="1440"/>
              </w:tabs>
              <w:spacing w:after="0"/>
              <w:ind w:firstLine="0"/>
              <w:jc w:val="center"/>
              <w:rPr>
                <w:sz w:val="22"/>
                <w:szCs w:val="22"/>
              </w:rPr>
            </w:pPr>
            <w:r w:rsidRPr="004F14A8">
              <w:rPr>
                <w:sz w:val="22"/>
                <w:szCs w:val="22"/>
              </w:rPr>
              <w:t>$25.3</w:t>
            </w:r>
          </w:p>
        </w:tc>
      </w:tr>
      <w:tr w:rsidR="004A147C" w:rsidRPr="00B53FFB" w:rsidTr="00D91588">
        <w:trPr>
          <w:trHeight w:val="548"/>
          <w:jc w:val="center"/>
        </w:trPr>
        <w:tc>
          <w:tcPr>
            <w:tcW w:w="0" w:type="auto"/>
            <w:vAlign w:val="center"/>
          </w:tcPr>
          <w:p w:rsidR="004A147C" w:rsidRPr="004F14A8" w:rsidRDefault="004A147C" w:rsidP="00CE5850">
            <w:pPr>
              <w:pStyle w:val="ParaNum"/>
              <w:tabs>
                <w:tab w:val="clear" w:pos="1440"/>
              </w:tabs>
              <w:spacing w:after="0"/>
              <w:ind w:firstLine="0"/>
              <w:rPr>
                <w:sz w:val="22"/>
                <w:szCs w:val="22"/>
              </w:rPr>
            </w:pPr>
            <w:r w:rsidRPr="004F14A8">
              <w:rPr>
                <w:sz w:val="22"/>
                <w:szCs w:val="22"/>
              </w:rPr>
              <w:t>CTIA: Percent Change in Incremental Capital Investment from Previous Year</w:t>
            </w:r>
          </w:p>
        </w:tc>
        <w:tc>
          <w:tcPr>
            <w:tcW w:w="0" w:type="auto"/>
            <w:vAlign w:val="center"/>
          </w:tcPr>
          <w:p w:rsidR="004A147C" w:rsidRPr="004F14A8" w:rsidRDefault="004A147C" w:rsidP="00CE5850">
            <w:pPr>
              <w:pStyle w:val="ParaNum"/>
              <w:tabs>
                <w:tab w:val="clear" w:pos="1440"/>
              </w:tabs>
              <w:spacing w:after="0"/>
              <w:ind w:firstLine="0"/>
              <w:jc w:val="center"/>
              <w:rPr>
                <w:sz w:val="22"/>
                <w:szCs w:val="22"/>
              </w:rPr>
            </w:pPr>
            <w:r w:rsidRPr="004F14A8">
              <w:rPr>
                <w:sz w:val="22"/>
                <w:szCs w:val="22"/>
              </w:rPr>
              <w:t>(3.2%)</w:t>
            </w:r>
          </w:p>
        </w:tc>
        <w:tc>
          <w:tcPr>
            <w:tcW w:w="0" w:type="auto"/>
            <w:vAlign w:val="center"/>
          </w:tcPr>
          <w:p w:rsidR="004A147C" w:rsidRPr="004F14A8" w:rsidRDefault="004A147C" w:rsidP="00CE5850">
            <w:pPr>
              <w:pStyle w:val="ParaNum"/>
              <w:tabs>
                <w:tab w:val="clear" w:pos="1440"/>
              </w:tabs>
              <w:spacing w:after="0"/>
              <w:ind w:firstLine="0"/>
              <w:jc w:val="center"/>
              <w:rPr>
                <w:sz w:val="22"/>
                <w:szCs w:val="22"/>
              </w:rPr>
            </w:pPr>
            <w:r w:rsidRPr="004F14A8">
              <w:rPr>
                <w:sz w:val="22"/>
                <w:szCs w:val="22"/>
              </w:rPr>
              <w:t>(13.5%)</w:t>
            </w:r>
          </w:p>
        </w:tc>
        <w:tc>
          <w:tcPr>
            <w:tcW w:w="0" w:type="auto"/>
            <w:vAlign w:val="center"/>
          </w:tcPr>
          <w:p w:rsidR="004A147C" w:rsidRPr="004F14A8" w:rsidRDefault="004A147C" w:rsidP="00CE5850">
            <w:pPr>
              <w:pStyle w:val="ParaNum"/>
              <w:tabs>
                <w:tab w:val="clear" w:pos="1440"/>
              </w:tabs>
              <w:spacing w:after="0"/>
              <w:ind w:firstLine="0"/>
              <w:jc w:val="center"/>
              <w:rPr>
                <w:sz w:val="22"/>
                <w:szCs w:val="22"/>
              </w:rPr>
            </w:pPr>
            <w:r w:rsidRPr="004F14A8">
              <w:rPr>
                <w:sz w:val="22"/>
                <w:szCs w:val="22"/>
              </w:rPr>
              <w:t>(4.3%)</w:t>
            </w:r>
          </w:p>
        </w:tc>
        <w:tc>
          <w:tcPr>
            <w:tcW w:w="878" w:type="dxa"/>
            <w:vAlign w:val="center"/>
          </w:tcPr>
          <w:p w:rsidR="004A147C" w:rsidRPr="004F14A8" w:rsidRDefault="004A147C" w:rsidP="00CE5850">
            <w:pPr>
              <w:pStyle w:val="ParaNum"/>
              <w:tabs>
                <w:tab w:val="clear" w:pos="1440"/>
              </w:tabs>
              <w:spacing w:after="0"/>
              <w:ind w:firstLine="0"/>
              <w:jc w:val="center"/>
              <w:rPr>
                <w:sz w:val="22"/>
                <w:szCs w:val="22"/>
              </w:rPr>
            </w:pPr>
            <w:r w:rsidRPr="004F14A8">
              <w:rPr>
                <w:sz w:val="22"/>
                <w:szCs w:val="22"/>
              </w:rPr>
              <w:t>1.0%</w:t>
            </w:r>
          </w:p>
        </w:tc>
        <w:tc>
          <w:tcPr>
            <w:tcW w:w="878" w:type="dxa"/>
            <w:vAlign w:val="center"/>
          </w:tcPr>
          <w:p w:rsidR="004A147C" w:rsidRPr="004F14A8" w:rsidRDefault="004A147C" w:rsidP="00CE5850">
            <w:pPr>
              <w:pStyle w:val="ParaNum"/>
              <w:tabs>
                <w:tab w:val="clear" w:pos="1440"/>
              </w:tabs>
              <w:spacing w:after="0"/>
              <w:ind w:firstLine="0"/>
              <w:jc w:val="center"/>
              <w:rPr>
                <w:sz w:val="22"/>
                <w:szCs w:val="22"/>
              </w:rPr>
            </w:pPr>
            <w:r w:rsidRPr="004F14A8">
              <w:rPr>
                <w:sz w:val="22"/>
                <w:szCs w:val="22"/>
              </w:rPr>
              <w:t>22.3%</w:t>
            </w:r>
          </w:p>
        </w:tc>
        <w:tc>
          <w:tcPr>
            <w:tcW w:w="878" w:type="dxa"/>
            <w:vAlign w:val="center"/>
          </w:tcPr>
          <w:p w:rsidR="004A147C" w:rsidRPr="004F14A8" w:rsidRDefault="004A147C" w:rsidP="00CE5850">
            <w:pPr>
              <w:pStyle w:val="ParaNum"/>
              <w:tabs>
                <w:tab w:val="clear" w:pos="1440"/>
              </w:tabs>
              <w:spacing w:after="0"/>
              <w:ind w:firstLine="0"/>
              <w:jc w:val="center"/>
              <w:rPr>
                <w:sz w:val="22"/>
                <w:szCs w:val="22"/>
              </w:rPr>
            </w:pPr>
            <w:r w:rsidRPr="004F14A8">
              <w:rPr>
                <w:sz w:val="22"/>
                <w:szCs w:val="22"/>
              </w:rPr>
              <w:t>1.7%</w:t>
            </w:r>
          </w:p>
        </w:tc>
      </w:tr>
    </w:tbl>
    <w:p w:rsidR="004A147C" w:rsidRDefault="004A147C" w:rsidP="00CE5850">
      <w:pPr>
        <w:pStyle w:val="Caption"/>
        <w:widowControl w:val="0"/>
        <w:spacing w:after="0"/>
      </w:pPr>
    </w:p>
    <w:p w:rsidR="004A147C" w:rsidRDefault="004A147C" w:rsidP="00CE5850"/>
    <w:p w:rsidR="00856523" w:rsidRDefault="00856523" w:rsidP="00CE5850"/>
    <w:p w:rsidR="00856523" w:rsidRDefault="00856523" w:rsidP="00CE5850"/>
    <w:p w:rsidR="00856523" w:rsidRDefault="00856523" w:rsidP="00CE5850"/>
    <w:p w:rsidR="00856523" w:rsidRDefault="00856523" w:rsidP="00CE5850"/>
    <w:p w:rsidR="00856523" w:rsidRDefault="00856523" w:rsidP="00CE5850"/>
    <w:p w:rsidR="00856523" w:rsidRDefault="00856523" w:rsidP="00CE5850"/>
    <w:p w:rsidR="00856523" w:rsidRDefault="00856523" w:rsidP="00CE5850"/>
    <w:p w:rsidR="00856523" w:rsidRDefault="00856523" w:rsidP="00CE5850"/>
    <w:p w:rsidR="00856523" w:rsidRDefault="00856523" w:rsidP="00CE5850"/>
    <w:p w:rsidR="00856523" w:rsidRDefault="00856523" w:rsidP="00CE5850"/>
    <w:p w:rsidR="00856523" w:rsidRDefault="00856523" w:rsidP="00CE5850"/>
    <w:p w:rsidR="00856523" w:rsidRDefault="00856523" w:rsidP="00CE5850"/>
    <w:p w:rsidR="00856523" w:rsidRDefault="00856523" w:rsidP="00CE5850"/>
    <w:p w:rsidR="00856523" w:rsidRDefault="00856523" w:rsidP="00CE5850"/>
    <w:p w:rsidR="00856523" w:rsidRDefault="00856523" w:rsidP="00CE5850"/>
    <w:p w:rsidR="00856523" w:rsidRDefault="00856523" w:rsidP="00CE5850"/>
    <w:p w:rsidR="00856523" w:rsidRDefault="00856523" w:rsidP="00CE5850"/>
    <w:p w:rsidR="00856523" w:rsidRDefault="00856523" w:rsidP="00CE5850"/>
    <w:p w:rsidR="00856523" w:rsidRDefault="00856523" w:rsidP="00CE5850"/>
    <w:p w:rsidR="00856523" w:rsidRDefault="00856523" w:rsidP="00CE5850"/>
    <w:p w:rsidR="00856523" w:rsidRDefault="00856523" w:rsidP="00CE5850"/>
    <w:p w:rsidR="00856523" w:rsidRDefault="00856523" w:rsidP="00CE5850"/>
    <w:p w:rsidR="00856523" w:rsidRPr="00A31EDF" w:rsidRDefault="00856523" w:rsidP="00CE5850"/>
    <w:p w:rsidR="004A147C" w:rsidRDefault="004A147C" w:rsidP="00CE5850">
      <w:pPr>
        <w:pStyle w:val="Caption"/>
        <w:widowControl w:val="0"/>
        <w:spacing w:after="0"/>
        <w:jc w:val="center"/>
        <w:rPr>
          <w:szCs w:val="22"/>
        </w:rPr>
      </w:pPr>
      <w:r>
        <w:t xml:space="preserve">Chart </w:t>
      </w:r>
      <w:r w:rsidR="0007014B">
        <w:fldChar w:fldCharType="begin"/>
      </w:r>
      <w:r w:rsidR="00CE74AC">
        <w:instrText xml:space="preserve"> SEQ Chart \* ARABIC </w:instrText>
      </w:r>
      <w:r w:rsidR="0007014B">
        <w:fldChar w:fldCharType="separate"/>
      </w:r>
      <w:r w:rsidR="00CA3AC6">
        <w:rPr>
          <w:noProof/>
        </w:rPr>
        <w:t>8</w:t>
      </w:r>
      <w:r w:rsidR="0007014B">
        <w:rPr>
          <w:noProof/>
        </w:rPr>
        <w:fldChar w:fldCharType="end"/>
      </w:r>
      <w:r>
        <w:br/>
      </w:r>
      <w:r w:rsidRPr="006B3F65">
        <w:rPr>
          <w:szCs w:val="22"/>
        </w:rPr>
        <w:t>CTIA: Total Annual Incremental Capital Investment (in billions)</w:t>
      </w:r>
    </w:p>
    <w:p w:rsidR="00D4284B" w:rsidRPr="00D4284B" w:rsidRDefault="00D4284B" w:rsidP="00D4284B"/>
    <w:p w:rsidR="004A147C" w:rsidRPr="00324E6B" w:rsidRDefault="00C81B24" w:rsidP="00CE5850">
      <w:pPr>
        <w:jc w:val="center"/>
      </w:pPr>
      <w:r>
        <w:rPr>
          <w:noProof/>
        </w:rPr>
        <w:drawing>
          <wp:inline distT="0" distB="0" distL="0" distR="0" wp14:anchorId="33B8F4D1" wp14:editId="5994B7C9">
            <wp:extent cx="6048375" cy="4562475"/>
            <wp:effectExtent l="0" t="0" r="9525" b="952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048375" cy="4562475"/>
                    </a:xfrm>
                    <a:prstGeom prst="rect">
                      <a:avLst/>
                    </a:prstGeom>
                    <a:noFill/>
                    <a:ln>
                      <a:noFill/>
                    </a:ln>
                  </pic:spPr>
                </pic:pic>
              </a:graphicData>
            </a:graphic>
          </wp:inline>
        </w:drawing>
      </w:r>
    </w:p>
    <w:p w:rsidR="004A147C" w:rsidRPr="00A31EDF" w:rsidRDefault="004A147C" w:rsidP="00CE5850"/>
    <w:p w:rsidR="004A147C" w:rsidRDefault="004A147C" w:rsidP="00CE5850">
      <w:pPr>
        <w:pStyle w:val="ParaNum"/>
        <w:numPr>
          <w:ilvl w:val="0"/>
          <w:numId w:val="28"/>
        </w:numPr>
        <w:rPr>
          <w:sz w:val="22"/>
          <w:szCs w:val="22"/>
        </w:rPr>
      </w:pPr>
      <w:r w:rsidRPr="00B53FFB">
        <w:rPr>
          <w:sz w:val="22"/>
          <w:szCs w:val="22"/>
        </w:rPr>
        <w:t>Averages and ratios of industry CAPEX also show a pattern of fluctuation during this period.  Data from CTIA show that incremental investment per subscriber increased from $7</w:t>
      </w:r>
      <w:r>
        <w:rPr>
          <w:sz w:val="22"/>
          <w:szCs w:val="22"/>
        </w:rPr>
        <w:t>3</w:t>
      </w:r>
      <w:r w:rsidRPr="00B53FFB">
        <w:rPr>
          <w:sz w:val="22"/>
          <w:szCs w:val="22"/>
        </w:rPr>
        <w:t>.</w:t>
      </w:r>
      <w:r>
        <w:rPr>
          <w:sz w:val="22"/>
          <w:szCs w:val="22"/>
        </w:rPr>
        <w:t>24</w:t>
      </w:r>
      <w:r w:rsidRPr="00B53FFB">
        <w:rPr>
          <w:sz w:val="22"/>
          <w:szCs w:val="22"/>
        </w:rPr>
        <w:t xml:space="preserve"> in 2009 to $8</w:t>
      </w:r>
      <w:r>
        <w:rPr>
          <w:sz w:val="22"/>
          <w:szCs w:val="22"/>
        </w:rPr>
        <w:t>5</w:t>
      </w:r>
      <w:r w:rsidRPr="00B53FFB">
        <w:rPr>
          <w:sz w:val="22"/>
          <w:szCs w:val="22"/>
        </w:rPr>
        <w:t>.</w:t>
      </w:r>
      <w:r>
        <w:rPr>
          <w:sz w:val="22"/>
          <w:szCs w:val="22"/>
        </w:rPr>
        <w:t>55</w:t>
      </w:r>
      <w:r w:rsidRPr="00B53FFB">
        <w:rPr>
          <w:sz w:val="22"/>
          <w:szCs w:val="22"/>
        </w:rPr>
        <w:t xml:space="preserve"> in 2010 and then declined to $</w:t>
      </w:r>
      <w:r>
        <w:rPr>
          <w:sz w:val="22"/>
          <w:szCs w:val="22"/>
        </w:rPr>
        <w:t>82</w:t>
      </w:r>
      <w:r w:rsidRPr="00B53FFB">
        <w:rPr>
          <w:sz w:val="22"/>
          <w:szCs w:val="22"/>
        </w:rPr>
        <w:t>.</w:t>
      </w:r>
      <w:r>
        <w:rPr>
          <w:sz w:val="22"/>
          <w:szCs w:val="22"/>
        </w:rPr>
        <w:t>7</w:t>
      </w:r>
      <w:r w:rsidRPr="00B53FFB">
        <w:rPr>
          <w:sz w:val="22"/>
          <w:szCs w:val="22"/>
        </w:rPr>
        <w:t>0 in 2011 but still remained well above the 2009 level.  Data from CTIA likewise show that investment as a percentage of revenue increased from 13 percent in 2009 to 16 percent in 2010 and then declined to 15 percent in 2011,</w:t>
      </w:r>
      <w:r w:rsidRPr="00B53FFB">
        <w:rPr>
          <w:color w:val="FF0000"/>
          <w:sz w:val="22"/>
          <w:szCs w:val="22"/>
        </w:rPr>
        <w:t xml:space="preserve"> </w:t>
      </w:r>
      <w:r w:rsidRPr="00B53FFB">
        <w:rPr>
          <w:sz w:val="22"/>
          <w:szCs w:val="22"/>
        </w:rPr>
        <w:t>but Census Bureau data show that this metric remained flat at 14 percent from 2009 through 2010.</w:t>
      </w:r>
    </w:p>
    <w:p w:rsidR="00D4284B" w:rsidRDefault="00D4284B" w:rsidP="00D4284B">
      <w:pPr>
        <w:pStyle w:val="ParaNum"/>
        <w:tabs>
          <w:tab w:val="clear" w:pos="1440"/>
        </w:tabs>
        <w:rPr>
          <w:sz w:val="22"/>
          <w:szCs w:val="22"/>
        </w:rPr>
      </w:pPr>
    </w:p>
    <w:p w:rsidR="00D4284B" w:rsidRDefault="00D4284B" w:rsidP="00D4284B">
      <w:pPr>
        <w:pStyle w:val="ParaNum"/>
        <w:tabs>
          <w:tab w:val="clear" w:pos="1440"/>
        </w:tabs>
        <w:rPr>
          <w:sz w:val="22"/>
          <w:szCs w:val="22"/>
        </w:rPr>
      </w:pPr>
    </w:p>
    <w:p w:rsidR="00D4284B" w:rsidRDefault="00D4284B" w:rsidP="00D4284B">
      <w:pPr>
        <w:pStyle w:val="ParaNum"/>
        <w:tabs>
          <w:tab w:val="clear" w:pos="1440"/>
        </w:tabs>
        <w:rPr>
          <w:sz w:val="22"/>
          <w:szCs w:val="22"/>
        </w:rPr>
      </w:pPr>
    </w:p>
    <w:p w:rsidR="00D4284B" w:rsidRDefault="00D4284B" w:rsidP="00D4284B">
      <w:pPr>
        <w:pStyle w:val="ParaNum"/>
        <w:tabs>
          <w:tab w:val="clear" w:pos="1440"/>
        </w:tabs>
        <w:rPr>
          <w:sz w:val="22"/>
          <w:szCs w:val="22"/>
        </w:rPr>
      </w:pPr>
    </w:p>
    <w:p w:rsidR="00D4284B" w:rsidRDefault="00D4284B" w:rsidP="00D4284B">
      <w:pPr>
        <w:pStyle w:val="ParaNum"/>
        <w:tabs>
          <w:tab w:val="clear" w:pos="1440"/>
        </w:tabs>
        <w:rPr>
          <w:sz w:val="22"/>
          <w:szCs w:val="22"/>
        </w:rPr>
      </w:pPr>
    </w:p>
    <w:p w:rsidR="00D4284B" w:rsidRDefault="00D4284B" w:rsidP="00D4284B">
      <w:pPr>
        <w:pStyle w:val="ParaNum"/>
        <w:tabs>
          <w:tab w:val="clear" w:pos="1440"/>
        </w:tabs>
        <w:rPr>
          <w:sz w:val="22"/>
          <w:szCs w:val="22"/>
        </w:rPr>
      </w:pPr>
    </w:p>
    <w:p w:rsidR="00D4284B" w:rsidRDefault="00D4284B" w:rsidP="00D4284B">
      <w:pPr>
        <w:pStyle w:val="ParaNum"/>
        <w:tabs>
          <w:tab w:val="clear" w:pos="1440"/>
        </w:tabs>
        <w:rPr>
          <w:sz w:val="22"/>
          <w:szCs w:val="22"/>
        </w:rPr>
      </w:pPr>
    </w:p>
    <w:p w:rsidR="00D4284B" w:rsidRPr="00B53FFB" w:rsidRDefault="00D4284B" w:rsidP="00D4284B">
      <w:pPr>
        <w:pStyle w:val="ParaNum"/>
        <w:tabs>
          <w:tab w:val="clear" w:pos="1440"/>
        </w:tabs>
        <w:rPr>
          <w:sz w:val="22"/>
          <w:szCs w:val="22"/>
        </w:rPr>
      </w:pPr>
    </w:p>
    <w:p w:rsidR="004A147C" w:rsidRPr="0043710E" w:rsidRDefault="004A147C" w:rsidP="00CE5850">
      <w:pPr>
        <w:pStyle w:val="ParaNum"/>
        <w:tabs>
          <w:tab w:val="clear" w:pos="1440"/>
        </w:tabs>
        <w:ind w:firstLine="0"/>
        <w:jc w:val="center"/>
        <w:rPr>
          <w:sz w:val="22"/>
          <w:szCs w:val="22"/>
        </w:rPr>
      </w:pPr>
      <w:r w:rsidRPr="00B53FFB">
        <w:rPr>
          <w:b/>
          <w:sz w:val="22"/>
          <w:szCs w:val="22"/>
        </w:rPr>
        <w:t xml:space="preserve">Chart </w:t>
      </w:r>
      <w:r w:rsidR="0007014B" w:rsidRPr="00B53FFB">
        <w:rPr>
          <w:b/>
          <w:sz w:val="22"/>
          <w:szCs w:val="22"/>
        </w:rPr>
        <w:fldChar w:fldCharType="begin"/>
      </w:r>
      <w:r w:rsidRPr="00B53FFB">
        <w:rPr>
          <w:b/>
          <w:sz w:val="22"/>
          <w:szCs w:val="22"/>
        </w:rPr>
        <w:instrText xml:space="preserve"> SEQ Chart \* ARABIC </w:instrText>
      </w:r>
      <w:r w:rsidR="0007014B" w:rsidRPr="00B53FFB">
        <w:rPr>
          <w:b/>
          <w:sz w:val="22"/>
          <w:szCs w:val="22"/>
        </w:rPr>
        <w:fldChar w:fldCharType="separate"/>
      </w:r>
      <w:r w:rsidR="00CA3AC6">
        <w:rPr>
          <w:b/>
          <w:noProof/>
          <w:sz w:val="22"/>
          <w:szCs w:val="22"/>
        </w:rPr>
        <w:t>9</w:t>
      </w:r>
      <w:r w:rsidR="0007014B" w:rsidRPr="00B53FFB">
        <w:rPr>
          <w:b/>
          <w:sz w:val="22"/>
          <w:szCs w:val="22"/>
        </w:rPr>
        <w:fldChar w:fldCharType="end"/>
      </w:r>
      <w:r w:rsidRPr="00B53FFB">
        <w:rPr>
          <w:b/>
          <w:sz w:val="22"/>
          <w:szCs w:val="22"/>
        </w:rPr>
        <w:t xml:space="preserve"> </w:t>
      </w:r>
      <w:r w:rsidRPr="00B53FFB">
        <w:rPr>
          <w:b/>
          <w:sz w:val="22"/>
          <w:szCs w:val="22"/>
        </w:rPr>
        <w:br/>
        <w:t>Annual Incremental Capital Investment per Customer, 2006-</w:t>
      </w:r>
      <w:r>
        <w:rPr>
          <w:b/>
          <w:sz w:val="22"/>
          <w:szCs w:val="22"/>
        </w:rPr>
        <w:t xml:space="preserve"> Mid Year </w:t>
      </w:r>
      <w:r w:rsidRPr="00B53FFB">
        <w:rPr>
          <w:b/>
          <w:sz w:val="22"/>
          <w:szCs w:val="22"/>
        </w:rPr>
        <w:t>201</w:t>
      </w:r>
      <w:r>
        <w:rPr>
          <w:b/>
          <w:sz w:val="22"/>
          <w:szCs w:val="22"/>
        </w:rPr>
        <w:t>2</w:t>
      </w:r>
      <w:r w:rsidRPr="00B53FFB">
        <w:rPr>
          <w:rStyle w:val="FootnoteReference"/>
          <w:szCs w:val="22"/>
        </w:rPr>
        <w:footnoteReference w:id="683"/>
      </w:r>
      <w:r w:rsidRPr="00B53FFB">
        <w:rPr>
          <w:sz w:val="22"/>
          <w:szCs w:val="22"/>
        </w:rPr>
        <w:t xml:space="preserve"> </w:t>
      </w:r>
    </w:p>
    <w:p w:rsidR="004A147C" w:rsidRDefault="00C81B24" w:rsidP="00D4284B">
      <w:pPr>
        <w:pStyle w:val="ParaNum"/>
        <w:tabs>
          <w:tab w:val="clear" w:pos="1440"/>
        </w:tabs>
        <w:ind w:firstLine="0"/>
        <w:jc w:val="center"/>
        <w:rPr>
          <w:b/>
          <w:sz w:val="22"/>
          <w:szCs w:val="22"/>
        </w:rPr>
      </w:pPr>
      <w:r>
        <w:rPr>
          <w:b/>
          <w:noProof/>
          <w:sz w:val="22"/>
          <w:szCs w:val="22"/>
        </w:rPr>
        <w:drawing>
          <wp:inline distT="0" distB="0" distL="0" distR="0" wp14:anchorId="395B8D43" wp14:editId="084704C2">
            <wp:extent cx="5848350" cy="3914775"/>
            <wp:effectExtent l="0" t="0" r="0" b="952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848350" cy="3914775"/>
                    </a:xfrm>
                    <a:prstGeom prst="rect">
                      <a:avLst/>
                    </a:prstGeom>
                    <a:noFill/>
                    <a:ln>
                      <a:noFill/>
                    </a:ln>
                  </pic:spPr>
                </pic:pic>
              </a:graphicData>
            </a:graphic>
          </wp:inline>
        </w:drawing>
      </w:r>
    </w:p>
    <w:p w:rsidR="004A147C" w:rsidRDefault="004A147C" w:rsidP="00CE5850">
      <w:pPr>
        <w:pStyle w:val="ParaNum"/>
        <w:tabs>
          <w:tab w:val="clear" w:pos="1440"/>
        </w:tabs>
        <w:ind w:firstLine="0"/>
        <w:jc w:val="center"/>
        <w:rPr>
          <w:b/>
          <w:sz w:val="22"/>
          <w:szCs w:val="22"/>
        </w:rPr>
      </w:pPr>
      <w:r w:rsidRPr="00B53FFB">
        <w:rPr>
          <w:b/>
          <w:sz w:val="22"/>
          <w:szCs w:val="22"/>
        </w:rPr>
        <w:t xml:space="preserve">Chart </w:t>
      </w:r>
      <w:r w:rsidR="0007014B" w:rsidRPr="00B53FFB">
        <w:rPr>
          <w:b/>
          <w:sz w:val="22"/>
          <w:szCs w:val="22"/>
        </w:rPr>
        <w:fldChar w:fldCharType="begin"/>
      </w:r>
      <w:r w:rsidRPr="00B53FFB">
        <w:rPr>
          <w:b/>
          <w:sz w:val="22"/>
          <w:szCs w:val="22"/>
        </w:rPr>
        <w:instrText xml:space="preserve"> SEQ Chart \* ARABIC </w:instrText>
      </w:r>
      <w:r w:rsidR="0007014B" w:rsidRPr="00B53FFB">
        <w:rPr>
          <w:b/>
          <w:sz w:val="22"/>
          <w:szCs w:val="22"/>
        </w:rPr>
        <w:fldChar w:fldCharType="separate"/>
      </w:r>
      <w:r w:rsidR="00CA3AC6">
        <w:rPr>
          <w:b/>
          <w:noProof/>
          <w:sz w:val="22"/>
          <w:szCs w:val="22"/>
        </w:rPr>
        <w:t>10</w:t>
      </w:r>
      <w:r w:rsidR="0007014B" w:rsidRPr="00B53FFB">
        <w:rPr>
          <w:b/>
          <w:sz w:val="22"/>
          <w:szCs w:val="22"/>
        </w:rPr>
        <w:fldChar w:fldCharType="end"/>
      </w:r>
      <w:r w:rsidRPr="00B53FFB">
        <w:rPr>
          <w:b/>
          <w:sz w:val="22"/>
          <w:szCs w:val="22"/>
        </w:rPr>
        <w:br/>
        <w:t>Annual Capital Investment as a Percentage of Industry Revenue, 2006-2011</w:t>
      </w:r>
      <w:r w:rsidRPr="00B53FFB">
        <w:rPr>
          <w:rStyle w:val="FootnoteReference"/>
          <w:szCs w:val="22"/>
        </w:rPr>
        <w:footnoteReference w:id="684"/>
      </w:r>
    </w:p>
    <w:p w:rsidR="00D4284B" w:rsidRPr="00B53FFB" w:rsidRDefault="00D4284B" w:rsidP="00CE5850">
      <w:pPr>
        <w:pStyle w:val="ParaNum"/>
        <w:tabs>
          <w:tab w:val="clear" w:pos="1440"/>
        </w:tabs>
        <w:ind w:firstLine="0"/>
        <w:jc w:val="center"/>
        <w:rPr>
          <w:b/>
          <w:sz w:val="22"/>
          <w:szCs w:val="22"/>
        </w:rPr>
      </w:pPr>
    </w:p>
    <w:p w:rsidR="004A147C" w:rsidRPr="00B53FFB" w:rsidRDefault="00C81B24" w:rsidP="00CE5850">
      <w:pPr>
        <w:pStyle w:val="ParaNum"/>
        <w:tabs>
          <w:tab w:val="clear" w:pos="1440"/>
        </w:tabs>
        <w:ind w:firstLine="0"/>
        <w:jc w:val="center"/>
        <w:rPr>
          <w:b/>
          <w:sz w:val="22"/>
          <w:szCs w:val="22"/>
        </w:rPr>
      </w:pPr>
      <w:r>
        <w:rPr>
          <w:noProof/>
          <w:sz w:val="22"/>
          <w:szCs w:val="22"/>
        </w:rPr>
        <w:drawing>
          <wp:inline distT="0" distB="0" distL="0" distR="0" wp14:anchorId="278E298B" wp14:editId="13DC93A3">
            <wp:extent cx="4619625" cy="1828800"/>
            <wp:effectExtent l="0" t="0" r="9525" b="19050"/>
            <wp:docPr id="35" name="Object 35"/>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rsidR="004A147C" w:rsidRPr="00B53FFB" w:rsidRDefault="004A147C" w:rsidP="00CE5850">
      <w:pPr>
        <w:pStyle w:val="ParaNum"/>
        <w:tabs>
          <w:tab w:val="clear" w:pos="1440"/>
        </w:tabs>
        <w:ind w:firstLine="0"/>
        <w:rPr>
          <w:sz w:val="22"/>
          <w:szCs w:val="22"/>
        </w:rPr>
      </w:pPr>
    </w:p>
    <w:p w:rsidR="004A147C" w:rsidRPr="00B53FFB" w:rsidRDefault="004A147C" w:rsidP="00CE5850">
      <w:pPr>
        <w:pStyle w:val="ParaNum"/>
        <w:numPr>
          <w:ilvl w:val="0"/>
          <w:numId w:val="28"/>
        </w:numPr>
        <w:rPr>
          <w:sz w:val="22"/>
          <w:szCs w:val="22"/>
        </w:rPr>
      </w:pPr>
      <w:r w:rsidRPr="00B53FFB">
        <w:rPr>
          <w:sz w:val="22"/>
          <w:szCs w:val="22"/>
        </w:rPr>
        <w:t xml:space="preserve">The foregoing estimates of CAPEX reveal a cyclical pattern in which a period of declining investment is followed by a period of rising investment.  Increases in CAPEX are closely correlated with periods in which there are mobile wireless network deployments and upgrades, described in detail in Section IV.B.1 of this </w:t>
      </w:r>
      <w:r w:rsidRPr="00B53FFB">
        <w:rPr>
          <w:i/>
          <w:sz w:val="22"/>
          <w:szCs w:val="22"/>
        </w:rPr>
        <w:t>Report</w:t>
      </w:r>
      <w:r w:rsidRPr="00B53FFB">
        <w:rPr>
          <w:sz w:val="22"/>
          <w:szCs w:val="22"/>
        </w:rPr>
        <w:t>.</w:t>
      </w:r>
      <w:r w:rsidRPr="00B53FFB">
        <w:rPr>
          <w:rStyle w:val="FootnoteReference"/>
          <w:szCs w:val="22"/>
        </w:rPr>
        <w:footnoteReference w:id="685"/>
      </w:r>
      <w:r w:rsidRPr="00B53FFB">
        <w:rPr>
          <w:sz w:val="22"/>
          <w:szCs w:val="22"/>
        </w:rPr>
        <w:t xml:space="preserve">  CAPEX in system/network assets may be cyclical or “lumpy” because technological change in the mobile wireless service industry is commercially implemented in successive generations of technologies.  As detailed in Section IV.B.1 of this </w:t>
      </w:r>
      <w:r w:rsidRPr="00B53FFB">
        <w:rPr>
          <w:i/>
          <w:sz w:val="22"/>
          <w:szCs w:val="22"/>
        </w:rPr>
        <w:t>Report</w:t>
      </w:r>
      <w:r w:rsidRPr="00B53FFB">
        <w:rPr>
          <w:sz w:val="22"/>
          <w:szCs w:val="22"/>
        </w:rPr>
        <w:t>, the mobile wireless service industry has progressively transitioned from first-generation analog to second-generation digital wireless network technologies to third-generation technologies, and now is in the process of transitioning to fourth-generation technologies.  In addition to these inter-generational transitions, there have been overlay upgrades within both the second- and third-generation technologies.  Consequently, CAPEX may vary between periods when a provider stays with the current technology and periods when the provider replaces the current technology with the next technology.  Thus, fluctuations in measures of CAPEX are consistent with the cyclical nature of technological adoption in the mobile wireless service industry, with the upswing in capital investment since 2009 possibly reflecting the transition from third- to fourth-generation wireless network technologies.</w:t>
      </w:r>
    </w:p>
    <w:p w:rsidR="004A147C" w:rsidRDefault="004A147C" w:rsidP="00CE5850">
      <w:pPr>
        <w:pStyle w:val="ParaNum"/>
        <w:numPr>
          <w:ilvl w:val="0"/>
          <w:numId w:val="28"/>
        </w:numPr>
        <w:rPr>
          <w:sz w:val="22"/>
          <w:szCs w:val="22"/>
        </w:rPr>
      </w:pPr>
      <w:r w:rsidRPr="00B53FFB">
        <w:rPr>
          <w:sz w:val="22"/>
          <w:szCs w:val="22"/>
        </w:rPr>
        <w:t xml:space="preserve">As shown in </w:t>
      </w:r>
      <w:r w:rsidR="00951E9B">
        <w:fldChar w:fldCharType="begin"/>
      </w:r>
      <w:r w:rsidR="00951E9B">
        <w:instrText xml:space="preserve"> REF _Ref257707258  \* MERGEFORMAT </w:instrText>
      </w:r>
      <w:r w:rsidR="00951E9B">
        <w:fldChar w:fldCharType="separate"/>
      </w:r>
      <w:r w:rsidR="00CA3AC6" w:rsidRPr="00B53FFB">
        <w:rPr>
          <w:sz w:val="22"/>
          <w:szCs w:val="22"/>
        </w:rPr>
        <w:t xml:space="preserve">Chart </w:t>
      </w:r>
      <w:r w:rsidR="00CA3AC6">
        <w:rPr>
          <w:noProof/>
          <w:sz w:val="22"/>
          <w:szCs w:val="22"/>
        </w:rPr>
        <w:t>11</w:t>
      </w:r>
      <w:r w:rsidR="00951E9B">
        <w:rPr>
          <w:noProof/>
          <w:sz w:val="22"/>
          <w:szCs w:val="22"/>
        </w:rPr>
        <w:fldChar w:fldCharType="end"/>
      </w:r>
      <w:r w:rsidRPr="00B53FFB">
        <w:rPr>
          <w:sz w:val="22"/>
          <w:szCs w:val="22"/>
        </w:rPr>
        <w:t xml:space="preserve">, capital expenditures have continued to vary significantly from operator to operator.  AT&amp;T and Verizon Wireless continued to </w:t>
      </w:r>
      <w:r w:rsidR="00003D2D">
        <w:rPr>
          <w:sz w:val="22"/>
          <w:szCs w:val="22"/>
        </w:rPr>
        <w:t>invest more than</w:t>
      </w:r>
      <w:r w:rsidRPr="00B53FFB">
        <w:rPr>
          <w:sz w:val="22"/>
          <w:szCs w:val="22"/>
        </w:rPr>
        <w:t xml:space="preserve"> Sprint </w:t>
      </w:r>
      <w:r w:rsidR="00003D2D">
        <w:rPr>
          <w:sz w:val="22"/>
          <w:szCs w:val="22"/>
        </w:rPr>
        <w:t>or</w:t>
      </w:r>
      <w:r w:rsidRPr="00B53FFB">
        <w:rPr>
          <w:sz w:val="22"/>
          <w:szCs w:val="22"/>
        </w:rPr>
        <w:t xml:space="preserve"> T-Mobile by wide margins.  </w:t>
      </w:r>
      <w:r>
        <w:rPr>
          <w:sz w:val="22"/>
          <w:szCs w:val="22"/>
        </w:rPr>
        <w:t>In December 2012, Deutsche Telekom announced that the CAPEX for T-Mobile USA would be approximately $4.7 billion in 2013 and $3 billion annually in 2014 and 2015.</w:t>
      </w:r>
      <w:r>
        <w:rPr>
          <w:rStyle w:val="FootnoteReference"/>
          <w:szCs w:val="22"/>
        </w:rPr>
        <w:footnoteReference w:id="686"/>
      </w:r>
    </w:p>
    <w:p w:rsidR="00D4284B" w:rsidRDefault="00D4284B" w:rsidP="00D4284B">
      <w:pPr>
        <w:pStyle w:val="ParaNum"/>
        <w:tabs>
          <w:tab w:val="clear" w:pos="1440"/>
        </w:tabs>
        <w:rPr>
          <w:sz w:val="22"/>
          <w:szCs w:val="22"/>
        </w:rPr>
      </w:pPr>
    </w:p>
    <w:p w:rsidR="00D4284B" w:rsidRDefault="00D4284B" w:rsidP="00D4284B">
      <w:pPr>
        <w:pStyle w:val="ParaNum"/>
        <w:tabs>
          <w:tab w:val="clear" w:pos="1440"/>
        </w:tabs>
        <w:rPr>
          <w:sz w:val="22"/>
          <w:szCs w:val="22"/>
        </w:rPr>
      </w:pPr>
    </w:p>
    <w:p w:rsidR="00D4284B" w:rsidRDefault="00D4284B" w:rsidP="00D4284B">
      <w:pPr>
        <w:pStyle w:val="ParaNum"/>
        <w:tabs>
          <w:tab w:val="clear" w:pos="1440"/>
        </w:tabs>
        <w:rPr>
          <w:sz w:val="22"/>
          <w:szCs w:val="22"/>
        </w:rPr>
      </w:pPr>
    </w:p>
    <w:p w:rsidR="00D4284B" w:rsidRDefault="00D4284B" w:rsidP="00D4284B">
      <w:pPr>
        <w:pStyle w:val="ParaNum"/>
        <w:tabs>
          <w:tab w:val="clear" w:pos="1440"/>
        </w:tabs>
        <w:rPr>
          <w:sz w:val="22"/>
          <w:szCs w:val="22"/>
        </w:rPr>
      </w:pPr>
    </w:p>
    <w:p w:rsidR="00D4284B" w:rsidRDefault="00D4284B" w:rsidP="00D4284B">
      <w:pPr>
        <w:pStyle w:val="ParaNum"/>
        <w:tabs>
          <w:tab w:val="clear" w:pos="1440"/>
        </w:tabs>
        <w:rPr>
          <w:sz w:val="22"/>
          <w:szCs w:val="22"/>
        </w:rPr>
      </w:pPr>
    </w:p>
    <w:p w:rsidR="00D4284B" w:rsidRDefault="00D4284B" w:rsidP="00D4284B">
      <w:pPr>
        <w:pStyle w:val="ParaNum"/>
        <w:tabs>
          <w:tab w:val="clear" w:pos="1440"/>
        </w:tabs>
        <w:rPr>
          <w:sz w:val="22"/>
          <w:szCs w:val="22"/>
        </w:rPr>
      </w:pPr>
    </w:p>
    <w:p w:rsidR="00D4284B" w:rsidRDefault="00D4284B" w:rsidP="00D4284B">
      <w:pPr>
        <w:pStyle w:val="ParaNum"/>
        <w:tabs>
          <w:tab w:val="clear" w:pos="1440"/>
        </w:tabs>
        <w:rPr>
          <w:sz w:val="22"/>
          <w:szCs w:val="22"/>
        </w:rPr>
      </w:pPr>
    </w:p>
    <w:p w:rsidR="00D4284B" w:rsidRDefault="00D4284B" w:rsidP="00D4284B">
      <w:pPr>
        <w:pStyle w:val="ParaNum"/>
        <w:tabs>
          <w:tab w:val="clear" w:pos="1440"/>
        </w:tabs>
        <w:rPr>
          <w:sz w:val="22"/>
          <w:szCs w:val="22"/>
        </w:rPr>
      </w:pPr>
    </w:p>
    <w:p w:rsidR="00D4284B" w:rsidRDefault="00D4284B" w:rsidP="00D4284B">
      <w:pPr>
        <w:pStyle w:val="ParaNum"/>
        <w:tabs>
          <w:tab w:val="clear" w:pos="1440"/>
        </w:tabs>
        <w:rPr>
          <w:sz w:val="22"/>
          <w:szCs w:val="22"/>
        </w:rPr>
      </w:pPr>
    </w:p>
    <w:p w:rsidR="00D4284B" w:rsidRDefault="00D4284B" w:rsidP="00D4284B">
      <w:pPr>
        <w:pStyle w:val="ParaNum"/>
        <w:tabs>
          <w:tab w:val="clear" w:pos="1440"/>
        </w:tabs>
        <w:rPr>
          <w:sz w:val="22"/>
          <w:szCs w:val="22"/>
        </w:rPr>
      </w:pPr>
    </w:p>
    <w:p w:rsidR="00D4284B" w:rsidRDefault="00D4284B" w:rsidP="00D4284B">
      <w:pPr>
        <w:pStyle w:val="ParaNum"/>
        <w:tabs>
          <w:tab w:val="clear" w:pos="1440"/>
        </w:tabs>
        <w:rPr>
          <w:sz w:val="22"/>
          <w:szCs w:val="22"/>
        </w:rPr>
      </w:pPr>
    </w:p>
    <w:p w:rsidR="00D4284B" w:rsidRDefault="00D4284B" w:rsidP="00D4284B">
      <w:pPr>
        <w:pStyle w:val="ParaNum"/>
        <w:tabs>
          <w:tab w:val="clear" w:pos="1440"/>
        </w:tabs>
        <w:rPr>
          <w:sz w:val="22"/>
          <w:szCs w:val="22"/>
        </w:rPr>
      </w:pPr>
    </w:p>
    <w:p w:rsidR="00D4284B" w:rsidRDefault="00D4284B" w:rsidP="00D4284B">
      <w:pPr>
        <w:pStyle w:val="ParaNum"/>
        <w:tabs>
          <w:tab w:val="clear" w:pos="1440"/>
        </w:tabs>
        <w:rPr>
          <w:sz w:val="22"/>
          <w:szCs w:val="22"/>
        </w:rPr>
      </w:pPr>
    </w:p>
    <w:p w:rsidR="00D4284B" w:rsidRDefault="00D4284B" w:rsidP="00D4284B">
      <w:pPr>
        <w:pStyle w:val="ParaNum"/>
        <w:tabs>
          <w:tab w:val="clear" w:pos="1440"/>
        </w:tabs>
        <w:rPr>
          <w:sz w:val="22"/>
          <w:szCs w:val="22"/>
        </w:rPr>
      </w:pPr>
    </w:p>
    <w:p w:rsidR="00D4284B" w:rsidRPr="00B53FFB" w:rsidRDefault="00D4284B" w:rsidP="00D4284B">
      <w:pPr>
        <w:pStyle w:val="ParaNum"/>
        <w:tabs>
          <w:tab w:val="clear" w:pos="1440"/>
        </w:tabs>
        <w:rPr>
          <w:sz w:val="22"/>
          <w:szCs w:val="22"/>
        </w:rPr>
      </w:pPr>
    </w:p>
    <w:p w:rsidR="004A147C" w:rsidRPr="00B53FFB" w:rsidRDefault="004A147C" w:rsidP="00CE5850">
      <w:pPr>
        <w:pStyle w:val="Caption"/>
        <w:widowControl w:val="0"/>
        <w:jc w:val="center"/>
        <w:rPr>
          <w:sz w:val="22"/>
          <w:szCs w:val="22"/>
        </w:rPr>
      </w:pPr>
      <w:bookmarkStart w:id="2675" w:name="_Ref257707258"/>
      <w:r w:rsidRPr="00B53FFB">
        <w:rPr>
          <w:sz w:val="22"/>
          <w:szCs w:val="22"/>
        </w:rPr>
        <w:t xml:space="preserve">Chart </w:t>
      </w:r>
      <w:r w:rsidR="0007014B" w:rsidRPr="00B53FFB">
        <w:rPr>
          <w:sz w:val="22"/>
          <w:szCs w:val="22"/>
        </w:rPr>
        <w:fldChar w:fldCharType="begin"/>
      </w:r>
      <w:r w:rsidRPr="00B53FFB">
        <w:rPr>
          <w:sz w:val="22"/>
          <w:szCs w:val="22"/>
        </w:rPr>
        <w:instrText xml:space="preserve"> SEQ Chart \* ARABIC </w:instrText>
      </w:r>
      <w:r w:rsidR="0007014B" w:rsidRPr="00B53FFB">
        <w:rPr>
          <w:sz w:val="22"/>
          <w:szCs w:val="22"/>
        </w:rPr>
        <w:fldChar w:fldCharType="separate"/>
      </w:r>
      <w:r w:rsidR="00CA3AC6">
        <w:rPr>
          <w:noProof/>
          <w:sz w:val="22"/>
          <w:szCs w:val="22"/>
        </w:rPr>
        <w:t>11</w:t>
      </w:r>
      <w:r w:rsidR="0007014B" w:rsidRPr="00B53FFB">
        <w:rPr>
          <w:sz w:val="22"/>
          <w:szCs w:val="22"/>
        </w:rPr>
        <w:fldChar w:fldCharType="end"/>
      </w:r>
      <w:bookmarkEnd w:id="2675"/>
      <w:r w:rsidRPr="00B53FFB">
        <w:rPr>
          <w:sz w:val="22"/>
          <w:szCs w:val="22"/>
        </w:rPr>
        <w:br/>
      </w:r>
      <w:bookmarkStart w:id="2676" w:name="_Ref331433947"/>
      <w:r w:rsidRPr="00B53FFB">
        <w:rPr>
          <w:sz w:val="22"/>
          <w:szCs w:val="22"/>
        </w:rPr>
        <w:t>Capital Expenditures by Service Provider, 2007-2012 (In millions)</w:t>
      </w:r>
      <w:r w:rsidRPr="00B53FFB">
        <w:rPr>
          <w:rStyle w:val="FootnoteReference"/>
          <w:b w:val="0"/>
          <w:szCs w:val="22"/>
        </w:rPr>
        <w:footnoteReference w:id="687"/>
      </w:r>
      <w:bookmarkEnd w:id="2676"/>
    </w:p>
    <w:p w:rsidR="004A147C" w:rsidRPr="00B53FFB" w:rsidRDefault="00C81B24" w:rsidP="00CE5850">
      <w:pPr>
        <w:pStyle w:val="ParaNum"/>
        <w:tabs>
          <w:tab w:val="clear" w:pos="1440"/>
        </w:tabs>
        <w:ind w:firstLine="0"/>
        <w:rPr>
          <w:sz w:val="22"/>
          <w:szCs w:val="22"/>
        </w:rPr>
      </w:pPr>
      <w:r>
        <w:rPr>
          <w:noProof/>
          <w:sz w:val="22"/>
          <w:szCs w:val="22"/>
        </w:rPr>
        <w:drawing>
          <wp:inline distT="0" distB="0" distL="0" distR="0" wp14:anchorId="10189B66" wp14:editId="1B0E60F6">
            <wp:extent cx="5886450" cy="4276725"/>
            <wp:effectExtent l="0" t="0" r="0" b="952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886450" cy="4276725"/>
                    </a:xfrm>
                    <a:prstGeom prst="rect">
                      <a:avLst/>
                    </a:prstGeom>
                    <a:noFill/>
                    <a:ln>
                      <a:noFill/>
                    </a:ln>
                  </pic:spPr>
                </pic:pic>
              </a:graphicData>
            </a:graphic>
          </wp:inline>
        </w:drawing>
      </w:r>
    </w:p>
    <w:p w:rsidR="00D4284B" w:rsidRDefault="00D4284B" w:rsidP="00D4284B">
      <w:pPr>
        <w:pStyle w:val="ParaNum"/>
        <w:tabs>
          <w:tab w:val="clear" w:pos="1440"/>
        </w:tabs>
        <w:ind w:left="720" w:firstLine="0"/>
        <w:rPr>
          <w:sz w:val="22"/>
          <w:szCs w:val="22"/>
        </w:rPr>
      </w:pPr>
    </w:p>
    <w:p w:rsidR="004A147C" w:rsidRPr="00B53FFB" w:rsidRDefault="004A147C" w:rsidP="00CE5850">
      <w:pPr>
        <w:pStyle w:val="ParaNum"/>
        <w:numPr>
          <w:ilvl w:val="0"/>
          <w:numId w:val="28"/>
        </w:numPr>
        <w:rPr>
          <w:sz w:val="22"/>
          <w:szCs w:val="22"/>
        </w:rPr>
      </w:pPr>
      <w:r w:rsidRPr="00B53FFB">
        <w:rPr>
          <w:sz w:val="22"/>
          <w:szCs w:val="22"/>
        </w:rPr>
        <w:t xml:space="preserve">Variations in CAPEX may not be synchronized across providers for several reasons.  First, providers follow different technological migration paths on different timeframes.  Recently, the industry has followed two distinct technological migration paths, GSM and CDMA, each with its own sequence of upgrades.  As a result, CAPEX can vary from one service provider to the next because each is following a different technological migration path. </w:t>
      </w:r>
    </w:p>
    <w:p w:rsidR="004A147C" w:rsidRPr="00B53FFB" w:rsidRDefault="004A147C" w:rsidP="00CE5850">
      <w:pPr>
        <w:pStyle w:val="ParaNum"/>
        <w:numPr>
          <w:ilvl w:val="0"/>
          <w:numId w:val="28"/>
        </w:numPr>
        <w:rPr>
          <w:sz w:val="22"/>
          <w:szCs w:val="22"/>
        </w:rPr>
      </w:pPr>
      <w:r w:rsidRPr="00B53FFB">
        <w:rPr>
          <w:sz w:val="22"/>
          <w:szCs w:val="22"/>
        </w:rPr>
        <w:t>Second, providers often base their investment decisions on an assessment of how network deployments and upgrades affect future earnings.  For instance, applying a net present value (“NPV”) analysis to investment decisions would result in service providers approving network deployments and upgrades when the present value of future sales of wireless services and other cash flows exceeds the initial cost of the investment.</w:t>
      </w:r>
      <w:r w:rsidRPr="00B53FFB">
        <w:rPr>
          <w:rStyle w:val="FootnoteReference"/>
          <w:szCs w:val="22"/>
        </w:rPr>
        <w:footnoteReference w:id="688"/>
      </w:r>
      <w:r w:rsidRPr="00B53FFB">
        <w:rPr>
          <w:sz w:val="22"/>
          <w:szCs w:val="22"/>
        </w:rPr>
        <w:t xml:space="preserve">  To undertake a NPV analysis, a service provider must forecast the future stream of cash flows based on estimates of the service revenues and costs associated with a new network deployment or upgrade.  Variations in CAPEX may not be synchronized across providers because these forecasts are influenced by provider-specific factors as well as current market conditions.</w:t>
      </w:r>
    </w:p>
    <w:p w:rsidR="004A147C" w:rsidRPr="00B53FFB" w:rsidRDefault="004A147C" w:rsidP="00CE5850">
      <w:pPr>
        <w:pStyle w:val="ParaNum"/>
        <w:numPr>
          <w:ilvl w:val="0"/>
          <w:numId w:val="28"/>
        </w:numPr>
        <w:rPr>
          <w:sz w:val="22"/>
          <w:szCs w:val="22"/>
        </w:rPr>
      </w:pPr>
      <w:r w:rsidRPr="00B53FFB">
        <w:rPr>
          <w:sz w:val="22"/>
          <w:szCs w:val="22"/>
        </w:rPr>
        <w:t xml:space="preserve">Finally, the timing of network investments often has a strategic component vis-à-vis rivals.  Some providers strategically make CAPEX decisions to differentiate their service offerings from those of rivals by becoming the first to deploy a particular upgrade or new network technology.  Other providers wait for rivals to make the first move and then respond with a lag by upgrading their own networks.  Section IV.B.1 of this </w:t>
      </w:r>
      <w:r w:rsidRPr="00B53FFB">
        <w:rPr>
          <w:i/>
          <w:sz w:val="22"/>
          <w:szCs w:val="22"/>
        </w:rPr>
        <w:t>Report</w:t>
      </w:r>
      <w:r w:rsidRPr="00B53FFB">
        <w:rPr>
          <w:sz w:val="22"/>
          <w:szCs w:val="22"/>
        </w:rPr>
        <w:t xml:space="preserve"> describes in detail how the CAPEX of individual providers in network deployments and upgrades are a measure of non-price rivalry.</w:t>
      </w:r>
    </w:p>
    <w:p w:rsidR="004A147C" w:rsidRPr="00B53FFB" w:rsidRDefault="004A147C" w:rsidP="00CE5850">
      <w:pPr>
        <w:pStyle w:val="Heading3"/>
        <w:keepNext w:val="0"/>
        <w:numPr>
          <w:ilvl w:val="2"/>
          <w:numId w:val="26"/>
        </w:numPr>
        <w:tabs>
          <w:tab w:val="left" w:pos="2160"/>
        </w:tabs>
        <w:rPr>
          <w:sz w:val="22"/>
          <w:szCs w:val="22"/>
        </w:rPr>
      </w:pPr>
      <w:bookmarkStart w:id="2677" w:name="_Toc335839046"/>
      <w:bookmarkStart w:id="2678" w:name="_Ref335925349"/>
      <w:bookmarkStart w:id="2679" w:name="_Ref335925359"/>
      <w:bookmarkStart w:id="2680" w:name="_Ref335925391"/>
      <w:bookmarkStart w:id="2681" w:name="_Toc336268609"/>
      <w:bookmarkStart w:id="2682" w:name="_Toc336268717"/>
      <w:bookmarkStart w:id="2683" w:name="_Toc336268824"/>
      <w:bookmarkStart w:id="2684" w:name="_Toc336269038"/>
      <w:bookmarkStart w:id="2685" w:name="_Toc336269145"/>
      <w:bookmarkStart w:id="2686" w:name="_Toc336269513"/>
      <w:bookmarkStart w:id="2687" w:name="_Toc336269659"/>
      <w:bookmarkStart w:id="2688" w:name="_Toc336270072"/>
      <w:bookmarkStart w:id="2689" w:name="_Toc336271272"/>
      <w:bookmarkStart w:id="2690" w:name="_Toc337651975"/>
      <w:bookmarkStart w:id="2691" w:name="_Toc349577164"/>
      <w:bookmarkStart w:id="2692" w:name="_Toc349579256"/>
      <w:bookmarkStart w:id="2693" w:name="_Toc349580571"/>
      <w:bookmarkStart w:id="2694" w:name="_Toc349734979"/>
      <w:bookmarkStart w:id="2695" w:name="_Toc349742344"/>
      <w:r w:rsidRPr="00B53FFB">
        <w:rPr>
          <w:sz w:val="22"/>
          <w:szCs w:val="22"/>
        </w:rPr>
        <w:t>Differentiation in Mobile Wireless Handsets/Devices</w:t>
      </w:r>
      <w:bookmarkEnd w:id="2562"/>
      <w:bookmarkEnd w:id="2563"/>
      <w:bookmarkEnd w:id="2564"/>
      <w:bookmarkEnd w:id="2565"/>
      <w:bookmarkEnd w:id="2566"/>
      <w:bookmarkEnd w:id="2567"/>
      <w:bookmarkEnd w:id="2568"/>
      <w:bookmarkEnd w:id="2569"/>
      <w:bookmarkEnd w:id="2570"/>
      <w:bookmarkEnd w:id="2571"/>
      <w:bookmarkEnd w:id="2572"/>
      <w:bookmarkEnd w:id="2573"/>
      <w:bookmarkEnd w:id="2574"/>
      <w:bookmarkEnd w:id="2575"/>
      <w:bookmarkEnd w:id="2576"/>
      <w:bookmarkEnd w:id="2577"/>
      <w:bookmarkEnd w:id="2578"/>
      <w:bookmarkEnd w:id="2579"/>
      <w:bookmarkEnd w:id="2580"/>
      <w:bookmarkEnd w:id="2581"/>
      <w:bookmarkEnd w:id="2582"/>
      <w:bookmarkEnd w:id="2583"/>
      <w:r w:rsidRPr="00B53FFB">
        <w:rPr>
          <w:sz w:val="22"/>
          <w:szCs w:val="22"/>
        </w:rPr>
        <w:t xml:space="preserve"> and Applications</w:t>
      </w:r>
      <w:bookmarkEnd w:id="2584"/>
      <w:bookmarkEnd w:id="2585"/>
      <w:bookmarkEnd w:id="2586"/>
      <w:bookmarkEnd w:id="2587"/>
      <w:bookmarkEnd w:id="2588"/>
      <w:bookmarkEnd w:id="2589"/>
      <w:bookmarkEnd w:id="2590"/>
      <w:bookmarkEnd w:id="2591"/>
      <w:bookmarkEnd w:id="2592"/>
      <w:bookmarkEnd w:id="2677"/>
      <w:bookmarkEnd w:id="2678"/>
      <w:bookmarkEnd w:id="2679"/>
      <w:bookmarkEnd w:id="2680"/>
      <w:bookmarkEnd w:id="2681"/>
      <w:bookmarkEnd w:id="2682"/>
      <w:bookmarkEnd w:id="2683"/>
      <w:bookmarkEnd w:id="2684"/>
      <w:bookmarkEnd w:id="2685"/>
      <w:bookmarkEnd w:id="2686"/>
      <w:bookmarkEnd w:id="2687"/>
      <w:bookmarkEnd w:id="2688"/>
      <w:bookmarkEnd w:id="2689"/>
      <w:bookmarkEnd w:id="2690"/>
      <w:bookmarkEnd w:id="2691"/>
      <w:bookmarkEnd w:id="2692"/>
      <w:bookmarkEnd w:id="2693"/>
      <w:bookmarkEnd w:id="2694"/>
      <w:bookmarkEnd w:id="2695"/>
    </w:p>
    <w:p w:rsidR="004A147C" w:rsidRPr="00B53FFB" w:rsidRDefault="004A147C" w:rsidP="00CE5850">
      <w:pPr>
        <w:pStyle w:val="ParaNum"/>
        <w:numPr>
          <w:ilvl w:val="0"/>
          <w:numId w:val="28"/>
        </w:numPr>
        <w:rPr>
          <w:sz w:val="22"/>
          <w:szCs w:val="22"/>
        </w:rPr>
      </w:pPr>
      <w:r w:rsidRPr="00B53FFB">
        <w:rPr>
          <w:sz w:val="22"/>
          <w:szCs w:val="22"/>
        </w:rPr>
        <w:t>In addition to competing on price and network quality, mobile wireless providers continue to compete by offering consumers a variety of different mobile wireless devices with innovative features.</w:t>
      </w:r>
      <w:r w:rsidRPr="00B53FFB">
        <w:rPr>
          <w:rStyle w:val="FootnoteReference"/>
          <w:szCs w:val="22"/>
        </w:rPr>
        <w:footnoteReference w:id="689"/>
      </w:r>
      <w:r w:rsidRPr="00B53FFB">
        <w:rPr>
          <w:sz w:val="22"/>
          <w:szCs w:val="22"/>
        </w:rPr>
        <w:t xml:space="preserve">  In particular, providers are offering a range of data-centric smartphones</w:t>
      </w:r>
      <w:r w:rsidRPr="00B53FFB">
        <w:rPr>
          <w:rStyle w:val="FootnoteReference"/>
          <w:szCs w:val="22"/>
        </w:rPr>
        <w:footnoteReference w:id="690"/>
      </w:r>
      <w:r w:rsidRPr="00B53FFB">
        <w:rPr>
          <w:sz w:val="22"/>
          <w:szCs w:val="22"/>
        </w:rPr>
        <w:t xml:space="preserve"> and tablets made by different manufacturers and running different operating systems, in order to respond to growing consumer demand for mobile data products.  As evidence of this demand for smartphones, comScore estimates that the number of smartphone users grew from 67 million to 104 million during 2011.</w:t>
      </w:r>
      <w:r w:rsidRPr="00B53FFB">
        <w:rPr>
          <w:rStyle w:val="FootnoteReference"/>
          <w:szCs w:val="22"/>
        </w:rPr>
        <w:footnoteReference w:id="691"/>
      </w:r>
      <w:r w:rsidRPr="00B53FFB">
        <w:rPr>
          <w:sz w:val="22"/>
          <w:szCs w:val="22"/>
        </w:rPr>
        <w:t xml:space="preserve">  However, while smartphone adoption is growing, the ability of the major mobile wireless service providers to distinguish their device offerings from those of their rivals by offering exclusive devices diminished during 2011 as a result of several major developments: the end of iPhone exclusivity, the availability of innovative smartphones that are not subject to exclusive arrangements,</w:t>
      </w:r>
      <w:r w:rsidRPr="00B53FFB">
        <w:rPr>
          <w:rStyle w:val="FootnoteReference"/>
          <w:szCs w:val="22"/>
        </w:rPr>
        <w:footnoteReference w:id="692"/>
      </w:r>
      <w:r w:rsidRPr="00B53FFB">
        <w:rPr>
          <w:sz w:val="22"/>
          <w:szCs w:val="22"/>
        </w:rPr>
        <w:t xml:space="preserve"> and the emergence of two leading mobile operating systems, Apple’s iOS and Google’s Android, which generally define the user interfaces of the devices.</w:t>
      </w:r>
      <w:r w:rsidRPr="00B53FFB">
        <w:rPr>
          <w:rStyle w:val="FootnoteReference"/>
          <w:szCs w:val="22"/>
        </w:rPr>
        <w:footnoteReference w:id="693"/>
      </w:r>
      <w:r w:rsidRPr="00B53FFB">
        <w:rPr>
          <w:sz w:val="22"/>
          <w:szCs w:val="22"/>
        </w:rPr>
        <w:t xml:space="preserve"> </w:t>
      </w:r>
    </w:p>
    <w:p w:rsidR="004A147C" w:rsidRPr="00B53FFB" w:rsidRDefault="004A147C" w:rsidP="00CE5850">
      <w:pPr>
        <w:pStyle w:val="ParaNum"/>
        <w:numPr>
          <w:ilvl w:val="0"/>
          <w:numId w:val="28"/>
        </w:numPr>
        <w:rPr>
          <w:sz w:val="22"/>
          <w:szCs w:val="22"/>
        </w:rPr>
      </w:pPr>
      <w:r w:rsidRPr="00B53FFB">
        <w:rPr>
          <w:sz w:val="22"/>
          <w:szCs w:val="22"/>
        </w:rPr>
        <w:t>During 2011, AT&amp;T’s iPhone exclusivity ended, and other providers began selling the iPhone for use on their networks.  With the loss of iPhone exclusivity, AT&amp;T was no longer able to differentiate itself as the only provider carrying the iPhone, and consumers began purchasing iPhone devices for use on other providers’ networks.</w:t>
      </w:r>
      <w:r w:rsidRPr="00B53FFB">
        <w:rPr>
          <w:rStyle w:val="FootnoteReference"/>
          <w:szCs w:val="22"/>
        </w:rPr>
        <w:footnoteReference w:id="694"/>
      </w:r>
      <w:r w:rsidRPr="00B53FFB">
        <w:rPr>
          <w:sz w:val="22"/>
          <w:szCs w:val="22"/>
        </w:rPr>
        <w:t xml:space="preserve">  As mentioned in previous </w:t>
      </w:r>
      <w:r w:rsidRPr="00B53FFB">
        <w:rPr>
          <w:i/>
          <w:sz w:val="22"/>
          <w:szCs w:val="22"/>
        </w:rPr>
        <w:t>Reports</w:t>
      </w:r>
      <w:r w:rsidRPr="00B53FFB">
        <w:rPr>
          <w:sz w:val="22"/>
          <w:szCs w:val="22"/>
        </w:rPr>
        <w:t>, AT&amp;T had been the only mobile wireless provider to offer the Apple iPhone – the first three models – since 2007.</w:t>
      </w:r>
      <w:r w:rsidRPr="00B53FFB">
        <w:rPr>
          <w:rStyle w:val="FootnoteReference"/>
          <w:szCs w:val="22"/>
        </w:rPr>
        <w:footnoteReference w:id="695"/>
      </w:r>
      <w:r w:rsidRPr="00B53FFB">
        <w:rPr>
          <w:sz w:val="22"/>
          <w:szCs w:val="22"/>
        </w:rPr>
        <w:t xml:space="preserve">  However, AT&amp;T’s exclusivity arrangement with Apple ended in 2011, when Verizon Wireless began selling the iPhone 4 for use on its CDMA EV-DO network in February 2011.</w:t>
      </w:r>
      <w:r w:rsidRPr="00B53FFB">
        <w:rPr>
          <w:rStyle w:val="FootnoteReference"/>
          <w:szCs w:val="22"/>
        </w:rPr>
        <w:footnoteReference w:id="696"/>
      </w:r>
      <w:r w:rsidRPr="00B53FFB">
        <w:rPr>
          <w:sz w:val="22"/>
          <w:szCs w:val="22"/>
        </w:rPr>
        <w:t xml:space="preserve">  Sprint began doing the same in October 2011.  In June 2012, Leap Wireless became the first U.S. prepaid provider to offer the iPhone.</w:t>
      </w:r>
      <w:r w:rsidRPr="00B53FFB">
        <w:rPr>
          <w:rStyle w:val="FootnoteReference"/>
          <w:szCs w:val="22"/>
        </w:rPr>
        <w:footnoteReference w:id="697"/>
      </w:r>
      <w:r w:rsidRPr="00B53FFB">
        <w:rPr>
          <w:sz w:val="22"/>
          <w:szCs w:val="22"/>
        </w:rPr>
        <w:t xml:space="preserve">  In addition, as of March 2012, more than 30 smaller, regional providers and resellers were also offering the iPhone, including C-Spire, Appalachian Wireless, and Cellcom.</w:t>
      </w:r>
      <w:r w:rsidRPr="00B53FFB">
        <w:rPr>
          <w:rStyle w:val="FootnoteReference"/>
          <w:szCs w:val="22"/>
        </w:rPr>
        <w:footnoteReference w:id="698"/>
      </w:r>
      <w:r w:rsidRPr="00B53FFB">
        <w:rPr>
          <w:sz w:val="22"/>
          <w:szCs w:val="22"/>
        </w:rPr>
        <w:t xml:space="preserve">  </w:t>
      </w:r>
    </w:p>
    <w:p w:rsidR="004A147C" w:rsidRPr="00B53FFB" w:rsidRDefault="004A147C" w:rsidP="00CE5850">
      <w:pPr>
        <w:pStyle w:val="ParaNum"/>
        <w:numPr>
          <w:ilvl w:val="0"/>
          <w:numId w:val="28"/>
        </w:numPr>
        <w:rPr>
          <w:sz w:val="22"/>
          <w:szCs w:val="22"/>
        </w:rPr>
      </w:pPr>
      <w:r w:rsidRPr="00B53FFB">
        <w:rPr>
          <w:sz w:val="22"/>
          <w:szCs w:val="22"/>
        </w:rPr>
        <w:t>With the increased availability of the iPhone from multiple mobile wireless providers, its decreasing price, and its continued popularity among consumers, adoption of the iPhone and its bundled iOS mobile operating system by customers on different networks grew significantly during 2011.  During the fourth quarter of 2011, 13.7 million iPhones were activated by AT&amp;T, Verizon and Sprint, compared to 4.1 million on AT&amp;T’s network during the fourth quarter of 2010.</w:t>
      </w:r>
      <w:r w:rsidRPr="00B53FFB">
        <w:rPr>
          <w:rStyle w:val="FootnoteReference"/>
          <w:szCs w:val="22"/>
        </w:rPr>
        <w:footnoteReference w:id="699"/>
      </w:r>
      <w:r w:rsidRPr="00B53FFB">
        <w:rPr>
          <w:sz w:val="22"/>
          <w:szCs w:val="22"/>
        </w:rPr>
        <w:t xml:space="preserve">  iPhones also accounted for a significant portion of smartphone sales – 81 percent at AT&amp;T, 62 percent at Verizon Wireless, and 44 percent at Sprint – during the fourth quarter of 2011.</w:t>
      </w:r>
      <w:r w:rsidRPr="00B53FFB">
        <w:rPr>
          <w:rStyle w:val="FootnoteReference"/>
          <w:szCs w:val="22"/>
        </w:rPr>
        <w:footnoteReference w:id="700"/>
      </w:r>
      <w:r w:rsidRPr="00B53FFB">
        <w:rPr>
          <w:sz w:val="22"/>
          <w:szCs w:val="22"/>
        </w:rPr>
        <w:t xml:space="preserve"> For a complementary discussion of the handset/device market see section </w:t>
      </w:r>
      <w:r w:rsidR="005B380F">
        <w:fldChar w:fldCharType="begin"/>
      </w:r>
      <w:r w:rsidR="005B380F">
        <w:instrText xml:space="preserve"> REF _Ref326749032 \r \h  \* MERGEFORMAT </w:instrText>
      </w:r>
      <w:r w:rsidR="005B380F">
        <w:fldChar w:fldCharType="separate"/>
      </w:r>
      <w:r w:rsidR="00CA3AC6" w:rsidRPr="00CA3AC6">
        <w:rPr>
          <w:sz w:val="22"/>
          <w:szCs w:val="22"/>
        </w:rPr>
        <w:t>VII.B.1</w:t>
      </w:r>
      <w:r w:rsidR="005B380F">
        <w:fldChar w:fldCharType="end"/>
      </w:r>
      <w:r w:rsidRPr="00B53FFB">
        <w:rPr>
          <w:sz w:val="22"/>
          <w:szCs w:val="22"/>
        </w:rPr>
        <w:t xml:space="preserve">, </w:t>
      </w:r>
      <w:r w:rsidR="005B380F">
        <w:fldChar w:fldCharType="begin"/>
      </w:r>
      <w:r w:rsidR="005B380F">
        <w:instrText xml:space="preserve"> REF _Ref326749032 \h  \* MERGEFORMAT </w:instrText>
      </w:r>
      <w:r w:rsidR="005B380F">
        <w:fldChar w:fldCharType="separate"/>
      </w:r>
      <w:r w:rsidR="00CA3AC6" w:rsidRPr="00B53FFB">
        <w:rPr>
          <w:sz w:val="22"/>
          <w:szCs w:val="22"/>
        </w:rPr>
        <w:t>Mobile Wireless Handsets/Devices and Operating Systems</w:t>
      </w:r>
      <w:r w:rsidR="005B380F">
        <w:fldChar w:fldCharType="end"/>
      </w:r>
      <w:r w:rsidRPr="00B53FFB">
        <w:rPr>
          <w:sz w:val="22"/>
          <w:szCs w:val="22"/>
        </w:rPr>
        <w:t>.</w:t>
      </w:r>
    </w:p>
    <w:p w:rsidR="004A147C" w:rsidRPr="00B53FFB" w:rsidRDefault="004A147C" w:rsidP="00CE5850">
      <w:pPr>
        <w:pStyle w:val="ParaNum"/>
        <w:numPr>
          <w:ilvl w:val="0"/>
          <w:numId w:val="28"/>
        </w:numPr>
        <w:rPr>
          <w:sz w:val="22"/>
          <w:szCs w:val="22"/>
        </w:rPr>
      </w:pPr>
      <w:r w:rsidRPr="00B53FFB">
        <w:rPr>
          <w:sz w:val="22"/>
          <w:szCs w:val="22"/>
        </w:rPr>
        <w:t>Google’s Android also increased its market share, though via a different approach than Apple.  While Apple bundles its iOS with Apple devices, Google offers Android on a free, open source basis to device manufacturers.  Android also integrates Google’s other products – including its search engine, web browser, Gmail, and mapping software – into the mobile device, provides a popular navigation service, and offers an increasing number of applications through the Google Play application store.  As of December 2011, 48 equipment manufacturers had released more than 550 device models worldwide running the Android operating system, and all of the top seven mobile wireless providers currently offer Android smartphones</w:t>
      </w:r>
      <w:r w:rsidRPr="00B53FFB">
        <w:rPr>
          <w:b/>
          <w:sz w:val="22"/>
          <w:szCs w:val="22"/>
        </w:rPr>
        <w:t>.</w:t>
      </w:r>
      <w:r w:rsidRPr="00B53FFB">
        <w:rPr>
          <w:sz w:val="22"/>
          <w:szCs w:val="22"/>
        </w:rPr>
        <w:t xml:space="preserve">  </w:t>
      </w:r>
    </w:p>
    <w:p w:rsidR="004A147C" w:rsidRPr="00B53FFB" w:rsidRDefault="004A147C" w:rsidP="00CE5850">
      <w:pPr>
        <w:pStyle w:val="ParaNum"/>
        <w:numPr>
          <w:ilvl w:val="0"/>
          <w:numId w:val="28"/>
        </w:numPr>
        <w:rPr>
          <w:sz w:val="22"/>
          <w:szCs w:val="22"/>
        </w:rPr>
      </w:pPr>
      <w:r w:rsidRPr="00B53FFB">
        <w:rPr>
          <w:sz w:val="22"/>
          <w:szCs w:val="22"/>
        </w:rPr>
        <w:t>The increasing number of</w:t>
      </w:r>
      <w:r>
        <w:rPr>
          <w:sz w:val="22"/>
          <w:szCs w:val="22"/>
        </w:rPr>
        <w:t xml:space="preserve"> </w:t>
      </w:r>
      <w:r w:rsidRPr="00642F9A">
        <w:rPr>
          <w:sz w:val="22"/>
          <w:szCs w:val="22"/>
        </w:rPr>
        <w:t>smartphone users and the growing prevalence of the Apple and Android smartphone operating systems contributed to the growth in the number of mobile apps developed for the Apple App Store and Google Play application store (formerly Android Market).</w:t>
      </w:r>
      <w:r w:rsidRPr="00642F9A">
        <w:rPr>
          <w:sz w:val="22"/>
          <w:szCs w:val="22"/>
          <w:vertAlign w:val="superscript"/>
        </w:rPr>
        <w:t xml:space="preserve"> </w:t>
      </w:r>
      <w:r w:rsidRPr="00642F9A">
        <w:rPr>
          <w:sz w:val="22"/>
          <w:szCs w:val="22"/>
          <w:vertAlign w:val="superscript"/>
        </w:rPr>
        <w:footnoteReference w:id="701"/>
      </w:r>
      <w:r w:rsidRPr="00642F9A">
        <w:rPr>
          <w:sz w:val="22"/>
          <w:szCs w:val="22"/>
        </w:rPr>
        <w:t xml:space="preserve">   The number of applications available in the Apple App store exceeded 700,000 in September 2012, up from 425,000 in June 2011, wh</w:t>
      </w:r>
      <w:r>
        <w:rPr>
          <w:sz w:val="22"/>
          <w:szCs w:val="22"/>
        </w:rPr>
        <w:t>ile the number of apps in the Go</w:t>
      </w:r>
      <w:r w:rsidRPr="00642F9A">
        <w:rPr>
          <w:sz w:val="22"/>
          <w:szCs w:val="22"/>
        </w:rPr>
        <w:t>ogle Play store increased from 200,000 to 675,000 between May 2011 and September 2012.</w:t>
      </w:r>
      <w:r>
        <w:rPr>
          <w:sz w:val="22"/>
          <w:szCs w:val="22"/>
        </w:rPr>
        <w:t xml:space="preserve"> </w:t>
      </w:r>
      <w:r w:rsidRPr="00642F9A">
        <w:rPr>
          <w:sz w:val="22"/>
          <w:szCs w:val="22"/>
        </w:rPr>
        <w:t xml:space="preserve"> The growing number of applications offered for these two operating systems increases the demand for the devices that run these operating systems.  In turn, this increases the incentives for third parties to create applications for these operating systems</w:t>
      </w:r>
      <w:r>
        <w:rPr>
          <w:sz w:val="22"/>
          <w:szCs w:val="22"/>
        </w:rPr>
        <w:t>.</w:t>
      </w:r>
      <w:r w:rsidRPr="00642F9A">
        <w:rPr>
          <w:sz w:val="22"/>
          <w:szCs w:val="22"/>
        </w:rPr>
        <w:t xml:space="preserve">  With devices running these operating systems being available from multiple service providers, consumers are able to choose a service provider based on other elements, including network quality, coverage, and price.</w:t>
      </w:r>
      <w:r>
        <w:rPr>
          <w:sz w:val="22"/>
          <w:szCs w:val="22"/>
        </w:rPr>
        <w:t xml:space="preserve"> </w:t>
      </w:r>
      <w:r w:rsidRPr="00642F9A">
        <w:rPr>
          <w:sz w:val="22"/>
          <w:szCs w:val="22"/>
        </w:rPr>
        <w:t xml:space="preserve"> Hence, while service providers do differentiate their device portfolios to attract customers, providers are competing for the growing number of customers seeking the Apple and Android platforms on many factors besides devices</w:t>
      </w:r>
      <w:r w:rsidRPr="00B53FFB">
        <w:rPr>
          <w:sz w:val="22"/>
          <w:szCs w:val="22"/>
        </w:rPr>
        <w:t>.</w:t>
      </w:r>
    </w:p>
    <w:p w:rsidR="004A147C" w:rsidRPr="00B53FFB" w:rsidRDefault="004A147C" w:rsidP="00CE5850">
      <w:pPr>
        <w:pStyle w:val="ParaNum"/>
        <w:numPr>
          <w:ilvl w:val="0"/>
          <w:numId w:val="28"/>
        </w:numPr>
        <w:rPr>
          <w:sz w:val="22"/>
          <w:szCs w:val="22"/>
        </w:rPr>
      </w:pPr>
      <w:r w:rsidRPr="00B53FFB">
        <w:rPr>
          <w:i/>
          <w:sz w:val="22"/>
          <w:szCs w:val="22"/>
        </w:rPr>
        <w:t>Data-Only Devices.</w:t>
      </w:r>
      <w:r w:rsidRPr="00B53FFB">
        <w:rPr>
          <w:sz w:val="22"/>
          <w:szCs w:val="22"/>
        </w:rPr>
        <w:t xml:space="preserve">  In addition to offering a variety of smartphones and traditional handsets, mobile wireless providers also sell or provide connectivity for – other, data-only devices such as tablets, e-readers, wireless data cards, mobile Wi-Fi hotspots,</w:t>
      </w:r>
      <w:r w:rsidRPr="00B53FFB">
        <w:rPr>
          <w:rStyle w:val="FootnoteReference"/>
          <w:szCs w:val="22"/>
        </w:rPr>
        <w:footnoteReference w:id="702"/>
      </w:r>
      <w:r w:rsidRPr="00B53FFB">
        <w:rPr>
          <w:sz w:val="22"/>
          <w:szCs w:val="22"/>
        </w:rPr>
        <w:t xml:space="preserve"> and netbook computers with embedded modems.</w:t>
      </w:r>
      <w:r w:rsidRPr="00B53FFB">
        <w:rPr>
          <w:rStyle w:val="FootnoteReference"/>
          <w:szCs w:val="22"/>
        </w:rPr>
        <w:footnoteReference w:id="703"/>
      </w:r>
      <w:r w:rsidRPr="00B53FFB">
        <w:rPr>
          <w:sz w:val="22"/>
          <w:szCs w:val="22"/>
        </w:rPr>
        <w:t xml:space="preserve">  The use of data-only devices with mobile network connectivity has grown in recent years,</w:t>
      </w:r>
      <w:r w:rsidRPr="00B53FFB">
        <w:rPr>
          <w:rStyle w:val="FootnoteReference"/>
          <w:szCs w:val="22"/>
        </w:rPr>
        <w:footnoteReference w:id="704"/>
      </w:r>
      <w:r w:rsidRPr="00B53FFB">
        <w:rPr>
          <w:sz w:val="22"/>
          <w:szCs w:val="22"/>
        </w:rPr>
        <w:t xml:space="preserve"> and providers compete with one another by offering such devices and on the speed, coverage, and price of the mobile data connections on which these devices rely.  </w:t>
      </w:r>
    </w:p>
    <w:p w:rsidR="004A147C" w:rsidRPr="00B53FFB" w:rsidRDefault="004A147C" w:rsidP="00CE5850">
      <w:pPr>
        <w:pStyle w:val="ParaNum"/>
        <w:numPr>
          <w:ilvl w:val="0"/>
          <w:numId w:val="28"/>
        </w:numPr>
        <w:rPr>
          <w:sz w:val="22"/>
          <w:szCs w:val="22"/>
        </w:rPr>
      </w:pPr>
      <w:r w:rsidRPr="00B53FFB">
        <w:rPr>
          <w:sz w:val="22"/>
          <w:szCs w:val="22"/>
        </w:rPr>
        <w:t xml:space="preserve">Mobile wireless providers offer wireless data cards and mobile Wi-Fi hotspots to consumers seeking mobile Internet connections for laptop computers and other Wi-Fi enabled devices. </w:t>
      </w:r>
      <w:r>
        <w:rPr>
          <w:sz w:val="22"/>
          <w:szCs w:val="22"/>
        </w:rPr>
        <w:t xml:space="preserve"> </w:t>
      </w:r>
      <w:r w:rsidRPr="00B53FFB">
        <w:rPr>
          <w:sz w:val="22"/>
          <w:szCs w:val="22"/>
        </w:rPr>
        <w:t>Because such devices tend to have similar characteristics and functionality across equipment manufacturers, providers generally differentiate their offerings of these products based on the speed and coverage of their mobile data networks to which such devices connect, rather than the uniqueness of the devices themselves.</w:t>
      </w:r>
      <w:r w:rsidRPr="00B53FFB">
        <w:rPr>
          <w:rStyle w:val="FootnoteReference"/>
          <w:szCs w:val="22"/>
        </w:rPr>
        <w:footnoteReference w:id="705"/>
      </w:r>
      <w:r w:rsidRPr="00B53FFB">
        <w:rPr>
          <w:sz w:val="22"/>
          <w:szCs w:val="22"/>
        </w:rPr>
        <w:t xml:space="preserve">  </w:t>
      </w:r>
    </w:p>
    <w:p w:rsidR="004A147C" w:rsidRPr="00B53FFB" w:rsidRDefault="004A147C" w:rsidP="00CE5850">
      <w:pPr>
        <w:pStyle w:val="ParaNum"/>
        <w:numPr>
          <w:ilvl w:val="0"/>
          <w:numId w:val="28"/>
        </w:numPr>
        <w:rPr>
          <w:sz w:val="22"/>
          <w:szCs w:val="22"/>
        </w:rPr>
      </w:pPr>
      <w:r w:rsidRPr="00B53FFB">
        <w:rPr>
          <w:sz w:val="22"/>
          <w:szCs w:val="22"/>
        </w:rPr>
        <w:t>In addition, several mobile wireless providers sell or offer mobile Internet connections for iPads and other tablet devices, although many tablet users connect to the Internet only through Wi-Fi.  Certain tablets, such as the Amazon.com Kindle Fire and Google Nexus 7, are offered with Wi-Fi only and do not include 3G or 4G modems for mobile network connectivity.  With other devices, including the most popular tablet, the iPad,</w:t>
      </w:r>
      <w:r w:rsidRPr="00B53FFB">
        <w:rPr>
          <w:rStyle w:val="FootnoteReference"/>
          <w:szCs w:val="22"/>
        </w:rPr>
        <w:footnoteReference w:id="706"/>
      </w:r>
      <w:r w:rsidRPr="00B53FFB">
        <w:rPr>
          <w:sz w:val="22"/>
          <w:szCs w:val="22"/>
        </w:rPr>
        <w:t xml:space="preserve"> mobile network connectivity is offered as an option, though only around 10 percent of iPads were sold with such functionality as of March 2012.</w:t>
      </w:r>
      <w:r w:rsidRPr="00B53FFB">
        <w:rPr>
          <w:rStyle w:val="FootnoteReference"/>
          <w:szCs w:val="22"/>
        </w:rPr>
        <w:footnoteReference w:id="707"/>
      </w:r>
      <w:r w:rsidRPr="00B53FFB">
        <w:rPr>
          <w:sz w:val="22"/>
          <w:szCs w:val="22"/>
        </w:rPr>
        <w:t xml:space="preserve">  While at least two mobile wireless providers offer mobile data service plans for iPad consumers who want such connectivity, providers do not subsidize iPads and offer mobile data access for iPads without a long term service contract.</w:t>
      </w:r>
      <w:r w:rsidRPr="00B53FFB">
        <w:rPr>
          <w:rStyle w:val="FootnoteReference"/>
          <w:szCs w:val="22"/>
        </w:rPr>
        <w:footnoteReference w:id="708"/>
      </w:r>
      <w:r w:rsidRPr="00B53FFB">
        <w:rPr>
          <w:sz w:val="22"/>
          <w:szCs w:val="22"/>
        </w:rPr>
        <w:t xml:space="preserve">  With other tablets, such as the Samsung Galaxy Tab, mobile network connectivity is included in all models.  Certain mobile wireless providers offer such devices at a discounted price if the user purchases a long term service contract</w:t>
      </w:r>
      <w:r w:rsidRPr="00B53FFB">
        <w:rPr>
          <w:rStyle w:val="FootnoteReference"/>
          <w:szCs w:val="22"/>
        </w:rPr>
        <w:footnoteReference w:id="709"/>
      </w:r>
      <w:r w:rsidRPr="00B53FFB">
        <w:rPr>
          <w:sz w:val="22"/>
          <w:szCs w:val="22"/>
        </w:rPr>
        <w:t xml:space="preserve"> or at an unsubsidized price with a month-to-month plan.</w:t>
      </w:r>
      <w:r w:rsidRPr="00B53FFB">
        <w:rPr>
          <w:rStyle w:val="FootnoteReference"/>
          <w:szCs w:val="22"/>
        </w:rPr>
        <w:footnoteReference w:id="710"/>
      </w:r>
      <w:r w:rsidRPr="00B53FFB">
        <w:rPr>
          <w:sz w:val="22"/>
          <w:szCs w:val="22"/>
        </w:rPr>
        <w:t xml:space="preserve">  In June 2012, Verizon Wireless announced that tablets would be subject to the company’s new Shared Everything data plans and would no longer be offered at a discounted or subsidized price.</w:t>
      </w:r>
      <w:r w:rsidRPr="00B53FFB">
        <w:rPr>
          <w:rStyle w:val="FootnoteReference"/>
          <w:szCs w:val="22"/>
        </w:rPr>
        <w:footnoteReference w:id="711"/>
      </w:r>
      <w:r w:rsidRPr="00B53FFB">
        <w:rPr>
          <w:sz w:val="22"/>
          <w:szCs w:val="22"/>
        </w:rPr>
        <w:t xml:space="preserve">   </w:t>
      </w:r>
    </w:p>
    <w:p w:rsidR="004A147C" w:rsidRPr="00B53FFB" w:rsidRDefault="004A147C" w:rsidP="00CE5850">
      <w:pPr>
        <w:pStyle w:val="ParaNum"/>
        <w:numPr>
          <w:ilvl w:val="0"/>
          <w:numId w:val="28"/>
        </w:numPr>
        <w:rPr>
          <w:sz w:val="22"/>
          <w:szCs w:val="22"/>
        </w:rPr>
      </w:pPr>
      <w:r w:rsidRPr="00B53FFB">
        <w:rPr>
          <w:sz w:val="22"/>
          <w:szCs w:val="22"/>
        </w:rPr>
        <w:t>In addition to offering tablets and mobile Internet connection devices for computers directly, mobile wireless operators also provide data connections on a wholesale basis for data-only devices sold by other companies that act as resellers of data connectivity to consumers.  These devices include electronic reading devices, such as the Amazon Kindle or the Barnes &amp; Noble Nook,</w:t>
      </w:r>
      <w:r w:rsidRPr="00B53FFB">
        <w:rPr>
          <w:rStyle w:val="FootnoteReference"/>
          <w:szCs w:val="22"/>
        </w:rPr>
        <w:footnoteReference w:id="712"/>
      </w:r>
      <w:r w:rsidRPr="00B53FFB">
        <w:rPr>
          <w:sz w:val="22"/>
          <w:szCs w:val="22"/>
        </w:rPr>
        <w:t xml:space="preserve"> machine-to-machine communication devices, and vehicle and alarm/security monitoring systems.  </w:t>
      </w:r>
    </w:p>
    <w:p w:rsidR="004A147C" w:rsidRPr="00B53FFB" w:rsidRDefault="004A147C" w:rsidP="00CE5850">
      <w:pPr>
        <w:pStyle w:val="ParaNum"/>
        <w:numPr>
          <w:ilvl w:val="0"/>
          <w:numId w:val="28"/>
        </w:numPr>
        <w:rPr>
          <w:sz w:val="22"/>
          <w:szCs w:val="22"/>
        </w:rPr>
      </w:pPr>
      <w:r w:rsidRPr="00B53FFB">
        <w:rPr>
          <w:i/>
          <w:sz w:val="22"/>
          <w:szCs w:val="22"/>
        </w:rPr>
        <w:t>Mobile Applications.</w:t>
      </w:r>
      <w:r w:rsidRPr="00B53FFB">
        <w:rPr>
          <w:sz w:val="22"/>
          <w:szCs w:val="22"/>
        </w:rPr>
        <w:t xml:space="preserve">  Each of the major smartphone operating system/platform developers has created an application store in which consumers can download applications, some free and some paid, that have been designed to work on that specific operating system.</w:t>
      </w:r>
      <w:r w:rsidRPr="00B53FFB">
        <w:rPr>
          <w:rStyle w:val="FootnoteReference"/>
          <w:szCs w:val="22"/>
        </w:rPr>
        <w:footnoteReference w:id="713"/>
      </w:r>
      <w:r w:rsidRPr="00B53FFB">
        <w:rPr>
          <w:sz w:val="22"/>
          <w:szCs w:val="22"/>
        </w:rPr>
        <w:t xml:space="preserve">  While mobile wireless service providers allow their customers with data plans to generally use whatever mobile data services and applications they want, many service providers have maintained certain restrictions on this usage, largely in an effort to manage network traffic.  For example, AT&amp;T prohibits, as part of its wireless terms and conditions, certain uses of data plans “that cause extreme network capacity issues and interference with the network.”</w:t>
      </w:r>
      <w:r w:rsidRPr="00B53FFB">
        <w:rPr>
          <w:rStyle w:val="FootnoteReference"/>
          <w:szCs w:val="22"/>
        </w:rPr>
        <w:footnoteReference w:id="714"/>
      </w:r>
      <w:r w:rsidRPr="00B53FFB">
        <w:rPr>
          <w:sz w:val="22"/>
          <w:szCs w:val="22"/>
        </w:rPr>
        <w:t xml:space="preserve">  These include, for example, downloading movies using peer-to-peer file sharing services, web broadcasting, and operating servers.</w:t>
      </w:r>
      <w:r w:rsidRPr="00B53FFB">
        <w:rPr>
          <w:rStyle w:val="FootnoteReference"/>
          <w:szCs w:val="22"/>
        </w:rPr>
        <w:footnoteReference w:id="715"/>
      </w:r>
      <w:r w:rsidRPr="00B53FFB">
        <w:rPr>
          <w:sz w:val="22"/>
          <w:szCs w:val="22"/>
        </w:rPr>
        <w:t xml:space="preserve">  In addition, Verizon Wireless prohibits the use of data services for purposes that interfere “with the network’s ability to fairly allocate capacity among users or that otherwise degrades service quality for other users.”</w:t>
      </w:r>
      <w:r w:rsidRPr="00B53FFB">
        <w:rPr>
          <w:rStyle w:val="FootnoteReference"/>
          <w:szCs w:val="22"/>
        </w:rPr>
        <w:footnoteReference w:id="716"/>
      </w:r>
      <w:r w:rsidRPr="00B53FFB">
        <w:rPr>
          <w:sz w:val="22"/>
          <w:szCs w:val="22"/>
        </w:rPr>
        <w:t xml:space="preserve">  As discussed above under Developments in Mobile Service Pricing Plans, recent data plan pricing changes reflect that providers are managing capacity and traffic issues on their data networks primarily through pricing mechanisms, as well as with reductions of data throughput speed,</w:t>
      </w:r>
      <w:r w:rsidRPr="00B53FFB">
        <w:rPr>
          <w:rStyle w:val="FootnoteReference"/>
          <w:szCs w:val="22"/>
        </w:rPr>
        <w:footnoteReference w:id="717"/>
      </w:r>
      <w:r w:rsidRPr="00B53FFB">
        <w:rPr>
          <w:sz w:val="22"/>
          <w:szCs w:val="22"/>
        </w:rPr>
        <w:t xml:space="preserve"> rather than through restricting access to certain applications or content.</w:t>
      </w:r>
      <w:r w:rsidRPr="00B53FFB">
        <w:rPr>
          <w:rStyle w:val="FootnoteReference"/>
          <w:szCs w:val="22"/>
        </w:rPr>
        <w:footnoteReference w:id="718"/>
      </w:r>
    </w:p>
    <w:p w:rsidR="004A147C" w:rsidRPr="00B53FFB" w:rsidRDefault="004A147C" w:rsidP="00CE5850">
      <w:pPr>
        <w:pStyle w:val="ParaNum"/>
        <w:numPr>
          <w:ilvl w:val="0"/>
          <w:numId w:val="28"/>
        </w:numPr>
        <w:rPr>
          <w:sz w:val="22"/>
          <w:szCs w:val="22"/>
        </w:rPr>
      </w:pPr>
      <w:r w:rsidRPr="00B53FFB">
        <w:rPr>
          <w:sz w:val="22"/>
          <w:szCs w:val="22"/>
        </w:rPr>
        <w:t>In December 2010, the Commission adopted rules on Internet openness.  The rules require all broadband providers to publicly disclose network management practices, restrict broadband providers from blocking Internet content and applications, and bar fixed broadband providers from engaging in unreasonable discrimination in transmitting lawful network traffic.</w:t>
      </w:r>
      <w:r w:rsidRPr="00B53FFB">
        <w:rPr>
          <w:rStyle w:val="FootnoteReference"/>
          <w:szCs w:val="22"/>
        </w:rPr>
        <w:footnoteReference w:id="719"/>
      </w:r>
    </w:p>
    <w:p w:rsidR="004A147C" w:rsidRPr="00B53FFB" w:rsidRDefault="004A147C" w:rsidP="00CE5850">
      <w:pPr>
        <w:pStyle w:val="Heading3"/>
        <w:keepNext w:val="0"/>
        <w:numPr>
          <w:ilvl w:val="2"/>
          <w:numId w:val="26"/>
        </w:numPr>
        <w:tabs>
          <w:tab w:val="left" w:pos="2160"/>
        </w:tabs>
        <w:rPr>
          <w:sz w:val="22"/>
          <w:szCs w:val="22"/>
        </w:rPr>
      </w:pPr>
      <w:bookmarkStart w:id="2696" w:name="_Ref328406921"/>
      <w:bookmarkStart w:id="2697" w:name="_Toc329852411"/>
      <w:bookmarkStart w:id="2698" w:name="_Toc331766327"/>
      <w:bookmarkStart w:id="2699" w:name="_Toc332119122"/>
      <w:bookmarkStart w:id="2700" w:name="_Toc334088799"/>
      <w:bookmarkStart w:id="2701" w:name="_Toc334089035"/>
      <w:bookmarkStart w:id="2702" w:name="_Toc334089194"/>
      <w:bookmarkStart w:id="2703" w:name="_Toc334089305"/>
      <w:bookmarkStart w:id="2704" w:name="_Toc334089469"/>
      <w:bookmarkStart w:id="2705" w:name="_Toc335839047"/>
      <w:bookmarkStart w:id="2706" w:name="_Toc336268610"/>
      <w:bookmarkStart w:id="2707" w:name="_Toc336268718"/>
      <w:bookmarkStart w:id="2708" w:name="_Toc336268825"/>
      <w:bookmarkStart w:id="2709" w:name="_Toc336269039"/>
      <w:bookmarkStart w:id="2710" w:name="_Toc336269146"/>
      <w:bookmarkStart w:id="2711" w:name="_Toc336269514"/>
      <w:bookmarkStart w:id="2712" w:name="_Toc336269660"/>
      <w:bookmarkStart w:id="2713" w:name="_Toc336270073"/>
      <w:bookmarkStart w:id="2714" w:name="_Toc336271273"/>
      <w:bookmarkStart w:id="2715" w:name="_Toc337651976"/>
      <w:bookmarkStart w:id="2716" w:name="_Toc349577165"/>
      <w:bookmarkStart w:id="2717" w:name="_Toc349579257"/>
      <w:bookmarkStart w:id="2718" w:name="_Toc349580572"/>
      <w:bookmarkStart w:id="2719" w:name="_Toc349734980"/>
      <w:bookmarkStart w:id="2720" w:name="_Toc349742345"/>
      <w:r w:rsidRPr="00B53FFB">
        <w:rPr>
          <w:sz w:val="22"/>
          <w:szCs w:val="22"/>
        </w:rPr>
        <w:t>Advertising, Marketing</w:t>
      </w:r>
      <w:bookmarkEnd w:id="2593"/>
      <w:bookmarkEnd w:id="2594"/>
      <w:bookmarkEnd w:id="2595"/>
      <w:bookmarkEnd w:id="2596"/>
      <w:bookmarkEnd w:id="2597"/>
      <w:bookmarkEnd w:id="2598"/>
      <w:bookmarkEnd w:id="2599"/>
      <w:bookmarkEnd w:id="2600"/>
      <w:bookmarkEnd w:id="2601"/>
      <w:bookmarkEnd w:id="2602"/>
      <w:bookmarkEnd w:id="2603"/>
      <w:bookmarkEnd w:id="2604"/>
      <w:bookmarkEnd w:id="2605"/>
      <w:bookmarkEnd w:id="2606"/>
      <w:bookmarkEnd w:id="2607"/>
      <w:bookmarkEnd w:id="2608"/>
      <w:bookmarkEnd w:id="2609"/>
      <w:bookmarkEnd w:id="2610"/>
      <w:bookmarkEnd w:id="2611"/>
      <w:bookmarkEnd w:id="2612"/>
      <w:bookmarkEnd w:id="2613"/>
      <w:bookmarkEnd w:id="2614"/>
      <w:bookmarkEnd w:id="2615"/>
      <w:bookmarkEnd w:id="2616"/>
      <w:bookmarkEnd w:id="2617"/>
      <w:bookmarkEnd w:id="2618"/>
      <w:bookmarkEnd w:id="2619"/>
      <w:bookmarkEnd w:id="2620"/>
      <w:bookmarkEnd w:id="2621"/>
      <w:bookmarkEnd w:id="2622"/>
      <w:bookmarkEnd w:id="2623"/>
      <w:bookmarkEnd w:id="2624"/>
      <w:bookmarkEnd w:id="2625"/>
      <w:bookmarkEnd w:id="2626"/>
      <w:bookmarkEnd w:id="2627"/>
      <w:bookmarkEnd w:id="2628"/>
      <w:bookmarkEnd w:id="2629"/>
      <w:bookmarkEnd w:id="2630"/>
      <w:bookmarkEnd w:id="2631"/>
      <w:bookmarkEnd w:id="2632"/>
      <w:bookmarkEnd w:id="2633"/>
      <w:bookmarkEnd w:id="2634"/>
      <w:bookmarkEnd w:id="2635"/>
      <w:bookmarkEnd w:id="2636"/>
      <w:bookmarkEnd w:id="2637"/>
      <w:bookmarkEnd w:id="2638"/>
      <w:bookmarkEnd w:id="2639"/>
      <w:bookmarkEnd w:id="2640"/>
      <w:bookmarkEnd w:id="2641"/>
      <w:bookmarkEnd w:id="2642"/>
      <w:bookmarkEnd w:id="2643"/>
      <w:bookmarkEnd w:id="2644"/>
      <w:bookmarkEnd w:id="2645"/>
      <w:bookmarkEnd w:id="2646"/>
      <w:bookmarkEnd w:id="2647"/>
      <w:bookmarkEnd w:id="2648"/>
      <w:bookmarkEnd w:id="2649"/>
      <w:bookmarkEnd w:id="2650"/>
      <w:bookmarkEnd w:id="2651"/>
      <w:r w:rsidRPr="00B53FFB">
        <w:rPr>
          <w:sz w:val="22"/>
          <w:szCs w:val="22"/>
        </w:rPr>
        <w:t>, Sales Expenditures, and Retailing</w:t>
      </w:r>
      <w:bookmarkEnd w:id="2652"/>
      <w:bookmarkEnd w:id="2653"/>
      <w:bookmarkEnd w:id="2654"/>
      <w:bookmarkEnd w:id="2655"/>
      <w:bookmarkEnd w:id="2656"/>
      <w:bookmarkEnd w:id="2657"/>
      <w:bookmarkEnd w:id="2658"/>
      <w:bookmarkEnd w:id="2659"/>
      <w:bookmarkEnd w:id="2660"/>
      <w:bookmarkEnd w:id="2661"/>
      <w:bookmarkEnd w:id="2662"/>
      <w:bookmarkEnd w:id="2663"/>
      <w:bookmarkEnd w:id="2664"/>
      <w:bookmarkEnd w:id="2665"/>
      <w:bookmarkEnd w:id="2666"/>
      <w:bookmarkEnd w:id="2667"/>
      <w:bookmarkEnd w:id="2668"/>
      <w:bookmarkEnd w:id="2669"/>
      <w:bookmarkEnd w:id="2670"/>
      <w:bookmarkEnd w:id="2671"/>
      <w:bookmarkEnd w:id="2696"/>
      <w:bookmarkEnd w:id="2697"/>
      <w:bookmarkEnd w:id="2698"/>
      <w:bookmarkEnd w:id="2699"/>
      <w:bookmarkEnd w:id="2700"/>
      <w:bookmarkEnd w:id="2701"/>
      <w:bookmarkEnd w:id="2702"/>
      <w:bookmarkEnd w:id="2703"/>
      <w:bookmarkEnd w:id="2704"/>
      <w:bookmarkEnd w:id="2705"/>
      <w:bookmarkEnd w:id="2706"/>
      <w:bookmarkEnd w:id="2707"/>
      <w:bookmarkEnd w:id="2708"/>
      <w:bookmarkEnd w:id="2709"/>
      <w:bookmarkEnd w:id="2710"/>
      <w:bookmarkEnd w:id="2711"/>
      <w:bookmarkEnd w:id="2712"/>
      <w:bookmarkEnd w:id="2713"/>
      <w:bookmarkEnd w:id="2714"/>
      <w:bookmarkEnd w:id="2715"/>
      <w:bookmarkEnd w:id="2716"/>
      <w:bookmarkEnd w:id="2717"/>
      <w:bookmarkEnd w:id="2718"/>
      <w:bookmarkEnd w:id="2719"/>
      <w:bookmarkEnd w:id="2720"/>
      <w:r w:rsidRPr="00B53FFB">
        <w:rPr>
          <w:sz w:val="22"/>
          <w:szCs w:val="22"/>
        </w:rPr>
        <w:t xml:space="preserve">  </w:t>
      </w:r>
    </w:p>
    <w:p w:rsidR="004A147C" w:rsidRPr="00B53FFB" w:rsidRDefault="004A147C" w:rsidP="00CE5850">
      <w:pPr>
        <w:pStyle w:val="ParaNum"/>
        <w:numPr>
          <w:ilvl w:val="0"/>
          <w:numId w:val="28"/>
        </w:numPr>
        <w:rPr>
          <w:sz w:val="22"/>
          <w:szCs w:val="22"/>
        </w:rPr>
      </w:pPr>
      <w:r w:rsidRPr="00B53FFB">
        <w:rPr>
          <w:sz w:val="22"/>
          <w:szCs w:val="22"/>
        </w:rPr>
        <w:t>Mobile wireless providers also compete for customers through advertising and marketing, including by establishing retail and distribution networks that reach the people they target.  Mobile wireless providers market their services through many channels.  Through their retail and distribution networks they market their services in their pricing plans, through sales representatives, in the design and location of their retail outlets, and on the internet in their on-line stores.  They also market their services in the media, in internet and mobile applications, in sponsorships and co-branding, and at events.</w:t>
      </w:r>
      <w:r w:rsidRPr="00B53FFB">
        <w:rPr>
          <w:rStyle w:val="FootnoteReference"/>
          <w:szCs w:val="22"/>
        </w:rPr>
        <w:t xml:space="preserve"> </w:t>
      </w:r>
      <w:r w:rsidRPr="00B53FFB">
        <w:rPr>
          <w:rStyle w:val="FootnoteReference"/>
          <w:szCs w:val="22"/>
        </w:rPr>
        <w:footnoteReference w:id="720"/>
      </w:r>
      <w:r w:rsidRPr="00B53FFB">
        <w:rPr>
          <w:sz w:val="22"/>
          <w:szCs w:val="22"/>
        </w:rPr>
        <w:t xml:space="preserve">  Several providers state that the goal of these advertising and marketing efforts is to increase and maintain brand awareness and to support distribution.</w:t>
      </w:r>
      <w:r w:rsidRPr="00B53FFB">
        <w:rPr>
          <w:rStyle w:val="FootnoteReference"/>
          <w:szCs w:val="22"/>
        </w:rPr>
        <w:footnoteReference w:id="721"/>
      </w:r>
      <w:r w:rsidRPr="00B53FFB">
        <w:rPr>
          <w:sz w:val="22"/>
          <w:szCs w:val="22"/>
        </w:rPr>
        <w:t xml:space="preserve">  Providers may also engage in advertising and marketing either to inform consumers about available products or services or to try to increase sales by influencing consumer preferences.</w:t>
      </w:r>
      <w:r w:rsidRPr="00B53FFB">
        <w:rPr>
          <w:rStyle w:val="FootnoteReference"/>
          <w:szCs w:val="22"/>
        </w:rPr>
        <w:footnoteReference w:id="722"/>
      </w:r>
      <w:r w:rsidRPr="00B53FFB">
        <w:rPr>
          <w:sz w:val="22"/>
          <w:szCs w:val="22"/>
        </w:rPr>
        <w:t xml:space="preserve">   </w:t>
      </w:r>
    </w:p>
    <w:p w:rsidR="004A147C" w:rsidRPr="00B53FFB" w:rsidRDefault="004A147C" w:rsidP="00CE5850">
      <w:pPr>
        <w:pStyle w:val="Heading4"/>
        <w:keepNext w:val="0"/>
        <w:numPr>
          <w:ilvl w:val="3"/>
          <w:numId w:val="26"/>
        </w:numPr>
        <w:tabs>
          <w:tab w:val="left" w:pos="2880"/>
        </w:tabs>
        <w:rPr>
          <w:sz w:val="22"/>
          <w:szCs w:val="22"/>
        </w:rPr>
      </w:pPr>
      <w:bookmarkStart w:id="2721" w:name="_Toc261858512"/>
      <w:bookmarkStart w:id="2722" w:name="_Toc262034317"/>
      <w:bookmarkStart w:id="2723" w:name="_Toc262034420"/>
      <w:bookmarkStart w:id="2724" w:name="_Toc275517977"/>
      <w:bookmarkStart w:id="2725" w:name="_Toc275952417"/>
      <w:bookmarkStart w:id="2726" w:name="_Toc276121849"/>
      <w:bookmarkStart w:id="2727" w:name="_Toc276480685"/>
      <w:bookmarkStart w:id="2728" w:name="_Toc276741762"/>
      <w:bookmarkStart w:id="2729" w:name="_Toc277171527"/>
      <w:bookmarkStart w:id="2730" w:name="_Toc277864502"/>
      <w:bookmarkStart w:id="2731" w:name="_Toc277864718"/>
      <w:bookmarkStart w:id="2732" w:name="_Toc285810399"/>
      <w:bookmarkStart w:id="2733" w:name="_Toc287257793"/>
      <w:bookmarkStart w:id="2734" w:name="_Toc291758672"/>
      <w:bookmarkStart w:id="2735" w:name="_Toc291758775"/>
      <w:bookmarkStart w:id="2736" w:name="_Toc295392955"/>
      <w:bookmarkStart w:id="2737" w:name="_Toc337651977"/>
      <w:bookmarkStart w:id="2738" w:name="_Toc349577166"/>
      <w:bookmarkStart w:id="2739" w:name="_Toc349579258"/>
      <w:bookmarkStart w:id="2740" w:name="_Toc349580573"/>
      <w:bookmarkStart w:id="2741" w:name="_Toc349734981"/>
      <w:bookmarkStart w:id="2742" w:name="_Toc349742346"/>
      <w:r w:rsidRPr="00B53FFB">
        <w:rPr>
          <w:sz w:val="22"/>
          <w:szCs w:val="22"/>
        </w:rPr>
        <w:t>Advertising Expenditures</w:t>
      </w:r>
      <w:bookmarkEnd w:id="2721"/>
      <w:bookmarkEnd w:id="2722"/>
      <w:bookmarkEnd w:id="2723"/>
      <w:bookmarkEnd w:id="2724"/>
      <w:bookmarkEnd w:id="2725"/>
      <w:bookmarkEnd w:id="2726"/>
      <w:bookmarkEnd w:id="2727"/>
      <w:bookmarkEnd w:id="2728"/>
      <w:bookmarkEnd w:id="2729"/>
      <w:bookmarkEnd w:id="2730"/>
      <w:bookmarkEnd w:id="2731"/>
      <w:bookmarkEnd w:id="2732"/>
      <w:bookmarkEnd w:id="2733"/>
      <w:bookmarkEnd w:id="2734"/>
      <w:bookmarkEnd w:id="2735"/>
      <w:bookmarkEnd w:id="2736"/>
      <w:bookmarkEnd w:id="2737"/>
      <w:bookmarkEnd w:id="2738"/>
      <w:bookmarkEnd w:id="2739"/>
      <w:bookmarkEnd w:id="2740"/>
      <w:bookmarkEnd w:id="2741"/>
      <w:bookmarkEnd w:id="2742"/>
    </w:p>
    <w:p w:rsidR="004A147C" w:rsidRPr="00B53FFB" w:rsidRDefault="004A147C" w:rsidP="00CE5850">
      <w:pPr>
        <w:pStyle w:val="ParaNum"/>
        <w:numPr>
          <w:ilvl w:val="0"/>
          <w:numId w:val="28"/>
        </w:numPr>
        <w:rPr>
          <w:sz w:val="22"/>
          <w:szCs w:val="22"/>
        </w:rPr>
      </w:pPr>
      <w:r w:rsidRPr="00B53FFB">
        <w:rPr>
          <w:sz w:val="22"/>
          <w:szCs w:val="22"/>
        </w:rPr>
        <w:t>Advertising expenditures by wireless service providers continued to decline for the fourth straight year during 2011.</w:t>
      </w:r>
      <w:r w:rsidRPr="00B53FFB">
        <w:rPr>
          <w:rStyle w:val="FootnoteReference"/>
          <w:szCs w:val="22"/>
        </w:rPr>
        <w:footnoteReference w:id="723"/>
      </w:r>
      <w:r w:rsidRPr="00B53FFB">
        <w:rPr>
          <w:sz w:val="22"/>
          <w:szCs w:val="22"/>
        </w:rPr>
        <w:t xml:space="preserve">  According to Advertising Age, measured advertising expenditures for mobile wireless service dropped almost two percent from $5.5 billion in 2009 to $5.4 billion in 2010, and more than seven percent to $5 billion in 2011.</w:t>
      </w:r>
      <w:r w:rsidRPr="00B53FFB">
        <w:rPr>
          <w:rStyle w:val="FootnoteReference"/>
          <w:szCs w:val="22"/>
        </w:rPr>
        <w:footnoteReference w:id="724"/>
      </w:r>
      <w:r w:rsidRPr="00B53FFB">
        <w:rPr>
          <w:sz w:val="22"/>
          <w:szCs w:val="22"/>
        </w:rPr>
        <w:t xml:space="preserve">  In contrast, total U.S. advertising expenditures increased during the same period, rising 0.8 percent, to $144 billion in 2011.</w:t>
      </w:r>
      <w:r w:rsidRPr="00B53FFB">
        <w:rPr>
          <w:rStyle w:val="FootnoteReference"/>
          <w:szCs w:val="22"/>
        </w:rPr>
        <w:footnoteReference w:id="725"/>
      </w:r>
      <w:r w:rsidRPr="00B53FFB">
        <w:rPr>
          <w:sz w:val="22"/>
          <w:szCs w:val="22"/>
        </w:rPr>
        <w:t xml:space="preserve">  Despite the drop in measured advertising spending, wireless service providers continued to spend more on advertising agencies than firms in many other industries. </w:t>
      </w:r>
      <w:r>
        <w:rPr>
          <w:sz w:val="22"/>
          <w:szCs w:val="22"/>
        </w:rPr>
        <w:t xml:space="preserve"> </w:t>
      </w:r>
      <w:r w:rsidRPr="00B53FFB">
        <w:rPr>
          <w:sz w:val="22"/>
          <w:szCs w:val="22"/>
        </w:rPr>
        <w:t>In Advertising Age’s 2010 rankings of advertising spending, AT&amp;T and Verizon Communications were the second and fourth largest U.S. advertisers, respectively, followed by Sprint Nextel in twentieth place and Deutsche Telekom (T-Mobile) in forty-fifth.</w:t>
      </w:r>
      <w:r w:rsidRPr="00B53FFB">
        <w:rPr>
          <w:rStyle w:val="FootnoteReference"/>
          <w:szCs w:val="22"/>
        </w:rPr>
        <w:footnoteReference w:id="726"/>
      </w:r>
      <w:r w:rsidRPr="00B53FFB">
        <w:rPr>
          <w:sz w:val="22"/>
          <w:szCs w:val="22"/>
        </w:rPr>
        <w:t xml:space="preserve">  In 2011, Verizon Communications became the third largest advertiser, surpassing AT&amp;T, which dropped to fifth.  Sprint Nextel and Deutsche Telekom dropped to twenty-second and fifty-fourth, respectively.</w:t>
      </w:r>
      <w:r w:rsidRPr="00B53FFB">
        <w:rPr>
          <w:rStyle w:val="FootnoteReference"/>
          <w:szCs w:val="22"/>
        </w:rPr>
        <w:footnoteReference w:id="727"/>
      </w:r>
      <w:r w:rsidRPr="00B53FFB">
        <w:rPr>
          <w:sz w:val="22"/>
          <w:szCs w:val="22"/>
        </w:rPr>
        <w:t xml:space="preserve">  Moreover, AT&amp;T and Verizon were respectively, the first and second most advertised brands by media spending in both 2010 and 2011.</w:t>
      </w:r>
      <w:r w:rsidRPr="00B53FFB">
        <w:rPr>
          <w:rStyle w:val="FootnoteReference"/>
          <w:szCs w:val="22"/>
        </w:rPr>
        <w:footnoteReference w:id="728"/>
      </w:r>
    </w:p>
    <w:p w:rsidR="004A147C" w:rsidRPr="00B53FFB" w:rsidRDefault="004A147C" w:rsidP="00CE5850">
      <w:pPr>
        <w:pStyle w:val="ParaNum"/>
        <w:numPr>
          <w:ilvl w:val="0"/>
          <w:numId w:val="28"/>
        </w:numPr>
        <w:rPr>
          <w:sz w:val="22"/>
          <w:szCs w:val="22"/>
        </w:rPr>
      </w:pPr>
      <w:r w:rsidRPr="00B53FFB">
        <w:rPr>
          <w:sz w:val="22"/>
          <w:szCs w:val="22"/>
        </w:rPr>
        <w:t>At the level of individual firms, measured advertising expenditures for the top four service providers generally declined from 2009 to 2011.  According to Advertising Age, measured advertising expenditures for Verizon Wireless and Sprint Nextel dropped steadily from 2009 to 2011.  Verizon Wireless’ measured advertising expenditures fell from $1.8 billion in 2009 to $1.5 billion in 2010 and to $1.3 billion in 2011 while Sprint Nextel’s expenditures dropped from $1.2 billion in 2009 to $1.0 billion in 2010 and to $881 million in 2011.</w:t>
      </w:r>
      <w:r w:rsidRPr="00B53FFB">
        <w:rPr>
          <w:rStyle w:val="FootnoteReference"/>
          <w:szCs w:val="22"/>
        </w:rPr>
        <w:footnoteReference w:id="729"/>
      </w:r>
      <w:r w:rsidRPr="00B53FFB">
        <w:rPr>
          <w:sz w:val="22"/>
          <w:szCs w:val="22"/>
        </w:rPr>
        <w:t xml:space="preserve">  AT&amp;T’s measured advertising expenditures increased from $1.6 billion in 2009 to $1.7 billion in 2010, but then declined to $1.4 billion in 2011.  T-Mobile was the only service provider among the top four to spend more on measured advertising in 2011 than in 2009.  T-Mobile’s expenditures increased from $510 million in 2009 to $582 million in 2010, dropping to $517 million in 2011.  Advertising campaigns may bundle advertisements for wireless services with products offered by other subsidiaries.  According to Kantar Media, in 2010, AT&amp;T spent $2.2 billion on advertising while Verizon Communications spent $1.9 billion.</w:t>
      </w:r>
      <w:r w:rsidRPr="00B53FFB">
        <w:rPr>
          <w:rStyle w:val="FootnoteReference"/>
          <w:szCs w:val="22"/>
        </w:rPr>
        <w:footnoteReference w:id="730"/>
      </w:r>
      <w:r w:rsidRPr="00B53FFB">
        <w:rPr>
          <w:sz w:val="22"/>
          <w:szCs w:val="22"/>
        </w:rPr>
        <w:t xml:space="preserve">  These figures fell to $1.9 billion and $1.6 billion respectively in 2011.</w:t>
      </w:r>
      <w:r w:rsidRPr="00B53FFB">
        <w:rPr>
          <w:rStyle w:val="FootnoteReference"/>
          <w:szCs w:val="22"/>
        </w:rPr>
        <w:footnoteReference w:id="731"/>
      </w:r>
      <w:r w:rsidRPr="00B53FFB">
        <w:rPr>
          <w:sz w:val="22"/>
          <w:szCs w:val="22"/>
        </w:rPr>
        <w:t xml:space="preserve"> </w:t>
      </w:r>
    </w:p>
    <w:p w:rsidR="004A147C" w:rsidRPr="00B53FFB" w:rsidRDefault="004A147C" w:rsidP="00CE5850">
      <w:pPr>
        <w:pStyle w:val="Heading4"/>
        <w:keepNext w:val="0"/>
        <w:numPr>
          <w:ilvl w:val="3"/>
          <w:numId w:val="26"/>
        </w:numPr>
        <w:tabs>
          <w:tab w:val="left" w:pos="2880"/>
        </w:tabs>
        <w:rPr>
          <w:sz w:val="22"/>
          <w:szCs w:val="22"/>
        </w:rPr>
      </w:pPr>
      <w:bookmarkStart w:id="2743" w:name="_Toc261858513"/>
      <w:bookmarkStart w:id="2744" w:name="_Toc262034318"/>
      <w:bookmarkStart w:id="2745" w:name="_Toc262034421"/>
      <w:bookmarkStart w:id="2746" w:name="_Toc275517978"/>
      <w:bookmarkStart w:id="2747" w:name="_Toc275952418"/>
      <w:bookmarkStart w:id="2748" w:name="_Toc276121850"/>
      <w:bookmarkStart w:id="2749" w:name="_Toc276480686"/>
      <w:bookmarkStart w:id="2750" w:name="_Toc276741763"/>
      <w:bookmarkStart w:id="2751" w:name="_Toc277171528"/>
      <w:bookmarkStart w:id="2752" w:name="_Toc277864503"/>
      <w:bookmarkStart w:id="2753" w:name="_Toc277864719"/>
      <w:bookmarkStart w:id="2754" w:name="_Toc285810400"/>
      <w:bookmarkStart w:id="2755" w:name="_Toc287257794"/>
      <w:bookmarkStart w:id="2756" w:name="_Toc291758673"/>
      <w:bookmarkStart w:id="2757" w:name="_Toc291758776"/>
      <w:bookmarkStart w:id="2758" w:name="_Toc295392956"/>
      <w:bookmarkStart w:id="2759" w:name="_Toc337651978"/>
      <w:bookmarkStart w:id="2760" w:name="_Toc349577167"/>
      <w:bookmarkStart w:id="2761" w:name="_Toc349579259"/>
      <w:bookmarkStart w:id="2762" w:name="_Toc349580574"/>
      <w:bookmarkStart w:id="2763" w:name="_Toc349734982"/>
      <w:bookmarkStart w:id="2764" w:name="_Toc349742347"/>
      <w:r w:rsidRPr="00B53FFB">
        <w:rPr>
          <w:sz w:val="22"/>
          <w:szCs w:val="22"/>
        </w:rPr>
        <w:t>Marketing Campaigns</w:t>
      </w:r>
      <w:bookmarkEnd w:id="2743"/>
      <w:bookmarkEnd w:id="2744"/>
      <w:bookmarkEnd w:id="2745"/>
      <w:bookmarkEnd w:id="2746"/>
      <w:bookmarkEnd w:id="2747"/>
      <w:bookmarkEnd w:id="2748"/>
      <w:bookmarkEnd w:id="2749"/>
      <w:bookmarkEnd w:id="2750"/>
      <w:bookmarkEnd w:id="2751"/>
      <w:bookmarkEnd w:id="2752"/>
      <w:bookmarkEnd w:id="2753"/>
      <w:bookmarkEnd w:id="2754"/>
      <w:bookmarkEnd w:id="2755"/>
      <w:bookmarkEnd w:id="2756"/>
      <w:bookmarkEnd w:id="2757"/>
      <w:bookmarkEnd w:id="2758"/>
      <w:bookmarkEnd w:id="2759"/>
      <w:bookmarkEnd w:id="2760"/>
      <w:bookmarkEnd w:id="2761"/>
      <w:bookmarkEnd w:id="2762"/>
      <w:bookmarkEnd w:id="2763"/>
      <w:bookmarkEnd w:id="2764"/>
    </w:p>
    <w:p w:rsidR="004A147C" w:rsidRPr="00B53FFB" w:rsidRDefault="004A147C" w:rsidP="00CE5850">
      <w:pPr>
        <w:pStyle w:val="ParaNum"/>
        <w:numPr>
          <w:ilvl w:val="0"/>
          <w:numId w:val="28"/>
        </w:numPr>
        <w:rPr>
          <w:sz w:val="22"/>
          <w:szCs w:val="22"/>
        </w:rPr>
      </w:pPr>
      <w:r w:rsidRPr="00B53FFB">
        <w:rPr>
          <w:sz w:val="22"/>
          <w:szCs w:val="22"/>
        </w:rPr>
        <w:t>From mid 2010 to early 2012, mobile wireless service providers’ marketing campaigns continued to focus on the quality and size of their mobile broadband networks.</w:t>
      </w:r>
      <w:r w:rsidRPr="00B53FFB">
        <w:rPr>
          <w:rStyle w:val="FootnoteReference"/>
          <w:szCs w:val="22"/>
        </w:rPr>
        <w:footnoteReference w:id="732"/>
      </w:r>
      <w:r w:rsidRPr="00B53FFB">
        <w:rPr>
          <w:sz w:val="22"/>
          <w:szCs w:val="22"/>
        </w:rPr>
        <w:t xml:space="preserve">  Many providers sought to highlight their network speed, coverage and the data capabilities of devices available on these networks.  Some providers also promoted the advantages of their particular service plans relative to those of rivals.  </w:t>
      </w:r>
    </w:p>
    <w:p w:rsidR="004A147C" w:rsidRPr="00B53FFB" w:rsidRDefault="004A147C" w:rsidP="00CE5850">
      <w:pPr>
        <w:pStyle w:val="ParaNum"/>
        <w:numPr>
          <w:ilvl w:val="0"/>
          <w:numId w:val="28"/>
        </w:numPr>
        <w:rPr>
          <w:sz w:val="22"/>
          <w:szCs w:val="22"/>
        </w:rPr>
      </w:pPr>
      <w:r w:rsidRPr="00B53FFB">
        <w:rPr>
          <w:sz w:val="22"/>
          <w:szCs w:val="22"/>
        </w:rPr>
        <w:t>Providers continued to make claims about who has the “best” network.  Toward the end of 2010, Sprint Nextel, which had previously designated itself as the first to offer 4G service with the launch of its EVO phone, contested T-Mobile advertisements claiming its HSPA+ network is “America’s Largest 4G Network.”</w:t>
      </w:r>
      <w:r w:rsidRPr="00B53FFB">
        <w:rPr>
          <w:rStyle w:val="FootnoteReference"/>
          <w:szCs w:val="22"/>
        </w:rPr>
        <w:footnoteReference w:id="733"/>
      </w:r>
      <w:r w:rsidRPr="00B53FFB">
        <w:rPr>
          <w:sz w:val="22"/>
          <w:szCs w:val="22"/>
        </w:rPr>
        <w:t xml:space="preserve">  By 2012, T-Mobile, AT&amp;T, and Verizon Wireless, each claimed to have the largest 4G network.</w:t>
      </w:r>
      <w:r w:rsidRPr="00B53FFB">
        <w:rPr>
          <w:rStyle w:val="FootnoteReference"/>
          <w:szCs w:val="22"/>
        </w:rPr>
        <w:footnoteReference w:id="734"/>
      </w:r>
      <w:r w:rsidRPr="00B53FFB">
        <w:rPr>
          <w:sz w:val="22"/>
          <w:szCs w:val="22"/>
        </w:rPr>
        <w:t xml:space="preserve">  In April 2012, in a video posted on its website, Verizon Wireless challenged the other top four providers to a ‘4G Throw Down,’ arguing that “its LTE network is faster than the other 4G networks.”</w:t>
      </w:r>
      <w:r w:rsidRPr="00B53FFB">
        <w:rPr>
          <w:rStyle w:val="FootnoteReference"/>
          <w:szCs w:val="22"/>
        </w:rPr>
        <w:footnoteReference w:id="735"/>
      </w:r>
      <w:r w:rsidRPr="00B53FFB">
        <w:rPr>
          <w:sz w:val="22"/>
          <w:szCs w:val="22"/>
        </w:rPr>
        <w:t xml:space="preserve">  </w:t>
      </w:r>
    </w:p>
    <w:p w:rsidR="004A147C" w:rsidRPr="00B53FFB" w:rsidRDefault="004A147C" w:rsidP="00CE5850">
      <w:pPr>
        <w:pStyle w:val="ParaNum"/>
        <w:numPr>
          <w:ilvl w:val="0"/>
          <w:numId w:val="28"/>
        </w:numPr>
        <w:rPr>
          <w:sz w:val="22"/>
          <w:szCs w:val="22"/>
        </w:rPr>
      </w:pPr>
      <w:r w:rsidRPr="00B53FFB">
        <w:rPr>
          <w:sz w:val="22"/>
          <w:szCs w:val="22"/>
        </w:rPr>
        <w:t>Some providers’ advertisements highlighted the particular qualities and capabilities of their networks and handsets/devices.  AT&amp;T ran advertisements showcasing the myriad features of their devices, showing people multitasking at rapid speeds in different social settings.</w:t>
      </w:r>
      <w:r w:rsidRPr="00B53FFB">
        <w:rPr>
          <w:rStyle w:val="FootnoteReference"/>
          <w:szCs w:val="22"/>
        </w:rPr>
        <w:footnoteReference w:id="736"/>
      </w:r>
      <w:r w:rsidRPr="00B53FFB">
        <w:rPr>
          <w:sz w:val="22"/>
          <w:szCs w:val="22"/>
        </w:rPr>
        <w:t xml:space="preserve">  These advertisements, along with several others, showed off the different lines of AT&amp;T handsets, including the iPhone, the BlackBerry Torch, the Samsung Infuse, and most recently, the Lumia.</w:t>
      </w:r>
      <w:r w:rsidRPr="00B53FFB">
        <w:rPr>
          <w:rStyle w:val="FootnoteReference"/>
          <w:szCs w:val="22"/>
        </w:rPr>
        <w:footnoteReference w:id="737"/>
      </w:r>
      <w:r w:rsidRPr="00B53FFB">
        <w:rPr>
          <w:sz w:val="22"/>
          <w:szCs w:val="22"/>
        </w:rPr>
        <w:t xml:space="preserve"> Verizon Wireless advertised the benefits of their devices for small business with a series of “Susie’s Lemonade” commercials, featuring children successfully running a business with the aid of Verizon Wireless technology.</w:t>
      </w:r>
      <w:r w:rsidRPr="00B53FFB">
        <w:rPr>
          <w:rStyle w:val="FootnoteReference"/>
          <w:szCs w:val="22"/>
        </w:rPr>
        <w:footnoteReference w:id="738"/>
      </w:r>
      <w:r w:rsidRPr="00B53FFB">
        <w:rPr>
          <w:sz w:val="22"/>
          <w:szCs w:val="22"/>
        </w:rPr>
        <w:t xml:space="preserve">  Verizon Wireless continued to advertise DROID handsets, but without focusing on comparisons to the iPhone.</w:t>
      </w:r>
      <w:r w:rsidRPr="00B53FFB">
        <w:rPr>
          <w:rStyle w:val="FootnoteReference"/>
          <w:szCs w:val="22"/>
        </w:rPr>
        <w:footnoteReference w:id="739"/>
      </w:r>
      <w:r w:rsidRPr="00B53FFB">
        <w:rPr>
          <w:sz w:val="22"/>
          <w:szCs w:val="22"/>
        </w:rPr>
        <w:t xml:space="preserve">  At the start of 2011, Verizon Wireless began running commercials for its iPhones, bringing back its “Test Man” spokesman to point out the advantage of using the iPhone on its network.</w:t>
      </w:r>
      <w:r w:rsidRPr="00B53FFB">
        <w:rPr>
          <w:rStyle w:val="FootnoteReference"/>
          <w:szCs w:val="22"/>
        </w:rPr>
        <w:footnoteReference w:id="740"/>
      </w:r>
      <w:r w:rsidRPr="00B53FFB">
        <w:rPr>
          <w:sz w:val="22"/>
          <w:szCs w:val="22"/>
        </w:rPr>
        <w:t xml:space="preserve">  Sprint Nextel ran ads showing customers using their devices for unlimited Web, e-mail and text services.</w:t>
      </w:r>
      <w:r w:rsidRPr="00B53FFB">
        <w:rPr>
          <w:rStyle w:val="FootnoteReference"/>
          <w:szCs w:val="22"/>
        </w:rPr>
        <w:footnoteReference w:id="741"/>
      </w:r>
      <w:r w:rsidRPr="00B53FFB">
        <w:rPr>
          <w:sz w:val="22"/>
          <w:szCs w:val="22"/>
        </w:rPr>
        <w:t xml:space="preserve">  Sprint also ran a commercial specifically featuring unlimited data for its iPhone, which was released in October 2011.</w:t>
      </w:r>
      <w:r w:rsidRPr="00B53FFB">
        <w:rPr>
          <w:rStyle w:val="FootnoteReference"/>
          <w:szCs w:val="22"/>
        </w:rPr>
        <w:footnoteReference w:id="742"/>
      </w:r>
    </w:p>
    <w:p w:rsidR="004A147C" w:rsidRPr="00B53FFB" w:rsidRDefault="004A147C" w:rsidP="00CE5850">
      <w:pPr>
        <w:pStyle w:val="ParaNum"/>
        <w:numPr>
          <w:ilvl w:val="0"/>
          <w:numId w:val="28"/>
        </w:numPr>
        <w:rPr>
          <w:sz w:val="22"/>
          <w:szCs w:val="22"/>
        </w:rPr>
      </w:pPr>
      <w:r w:rsidRPr="00B53FFB">
        <w:rPr>
          <w:sz w:val="22"/>
          <w:szCs w:val="22"/>
        </w:rPr>
        <w:t>Providers also advertised the advantages of their pricing plans.  Sprint continued advertising its unlimited data plans throughout 2011 and going into 2012, often pointing out the dilemmas of customers with limited data plans from other providers.</w:t>
      </w:r>
      <w:r w:rsidRPr="00B53FFB">
        <w:rPr>
          <w:rStyle w:val="FootnoteReference"/>
          <w:szCs w:val="22"/>
        </w:rPr>
        <w:footnoteReference w:id="743"/>
      </w:r>
      <w:r w:rsidRPr="00B53FFB">
        <w:rPr>
          <w:sz w:val="22"/>
          <w:szCs w:val="22"/>
        </w:rPr>
        <w:t xml:space="preserve">  BoostMobile, a subsidiary of Sprint Nextel, advertised its “shrinking payment” plan, in contrast to flat-rate plans of other providers.</w:t>
      </w:r>
      <w:r w:rsidRPr="00B53FFB">
        <w:rPr>
          <w:rStyle w:val="FootnoteReference"/>
          <w:szCs w:val="22"/>
        </w:rPr>
        <w:footnoteReference w:id="744"/>
      </w:r>
      <w:r w:rsidRPr="00B53FFB">
        <w:rPr>
          <w:sz w:val="22"/>
          <w:szCs w:val="22"/>
        </w:rPr>
        <w:t xml:space="preserve">  MetroPCS’s “Tech &amp; Talk” commercials promised “Nationwide 3G Coverage, No Contract, $40 a month.  Period.”</w:t>
      </w:r>
      <w:r w:rsidRPr="00B53FFB">
        <w:rPr>
          <w:rStyle w:val="FootnoteReference"/>
          <w:szCs w:val="22"/>
        </w:rPr>
        <w:footnoteReference w:id="745"/>
      </w:r>
      <w:r w:rsidRPr="00B53FFB">
        <w:rPr>
          <w:sz w:val="22"/>
          <w:szCs w:val="22"/>
        </w:rPr>
        <w:t xml:space="preserve">  US Cellular ran a campaign to draw attention to its Belief Project, a rewards program with points, faster upgrades, and other features.</w:t>
      </w:r>
      <w:r w:rsidRPr="00B53FFB">
        <w:rPr>
          <w:rStyle w:val="FootnoteReference"/>
          <w:szCs w:val="22"/>
        </w:rPr>
        <w:footnoteReference w:id="746"/>
      </w:r>
    </w:p>
    <w:p w:rsidR="004A147C" w:rsidRPr="00B53FFB" w:rsidRDefault="004A147C" w:rsidP="00CE5850">
      <w:pPr>
        <w:pStyle w:val="ParaNum"/>
        <w:numPr>
          <w:ilvl w:val="0"/>
          <w:numId w:val="28"/>
        </w:numPr>
        <w:rPr>
          <w:sz w:val="22"/>
          <w:szCs w:val="22"/>
        </w:rPr>
      </w:pPr>
      <w:r w:rsidRPr="00B53FFB">
        <w:rPr>
          <w:sz w:val="22"/>
          <w:szCs w:val="22"/>
        </w:rPr>
        <w:t>Nationwide and other providers’ advertisements seemed aimed at refreshing their images.  AT&amp;T, refined its “Rethink Possible,” campaign, supplementing it with “It’s What You Do With What We Do,” in a series of commercials intended to focus on human experiences.</w:t>
      </w:r>
      <w:r w:rsidRPr="00B53FFB">
        <w:rPr>
          <w:rStyle w:val="FootnoteReference"/>
          <w:szCs w:val="22"/>
        </w:rPr>
        <w:footnoteReference w:id="747"/>
      </w:r>
      <w:r w:rsidRPr="00B53FFB">
        <w:rPr>
          <w:sz w:val="22"/>
          <w:szCs w:val="22"/>
        </w:rPr>
        <w:t xml:space="preserve">  Sprint tweaked its “Now Network” tagline to “All. Together. Now,” characterizing the new campaign as an evolution of the “Now Network” campaign designed to highlight Sprint’s unlimited plans.</w:t>
      </w:r>
      <w:r w:rsidRPr="00B53FFB">
        <w:rPr>
          <w:rStyle w:val="FootnoteReference"/>
          <w:szCs w:val="22"/>
        </w:rPr>
        <w:footnoteReference w:id="748"/>
      </w:r>
      <w:r w:rsidRPr="00B53FFB">
        <w:rPr>
          <w:sz w:val="22"/>
          <w:szCs w:val="22"/>
        </w:rPr>
        <w:t xml:space="preserve">  In the aftermath of its abandoned acquisition by AT&amp;T, T-Mobile’s spokeswoman Carly Foulkes traded in her magenta dress for the black leather of a biker in an aggressive ad blitz promoting T-Mobile’s HSPA+ network.</w:t>
      </w:r>
      <w:r w:rsidRPr="00B53FFB">
        <w:rPr>
          <w:rStyle w:val="FootnoteReference"/>
          <w:szCs w:val="22"/>
        </w:rPr>
        <w:footnoteReference w:id="749"/>
      </w:r>
      <w:r w:rsidRPr="00B53FFB">
        <w:rPr>
          <w:sz w:val="22"/>
          <w:szCs w:val="22"/>
        </w:rPr>
        <w:t xml:space="preserve">  MetroPCS launched the “Everybody’s Moving to Metro” campaign to focus on factors other than brand awareness.</w:t>
      </w:r>
      <w:r w:rsidRPr="00B53FFB">
        <w:rPr>
          <w:rStyle w:val="FootnoteReference"/>
          <w:szCs w:val="22"/>
        </w:rPr>
        <w:footnoteReference w:id="750"/>
      </w:r>
      <w:r w:rsidRPr="00B53FFB">
        <w:rPr>
          <w:sz w:val="22"/>
          <w:szCs w:val="22"/>
        </w:rPr>
        <w:t xml:space="preserve">  </w:t>
      </w:r>
    </w:p>
    <w:p w:rsidR="004A147C" w:rsidRPr="00B53FFB" w:rsidRDefault="004A147C" w:rsidP="00CE5850">
      <w:pPr>
        <w:pStyle w:val="ParaNum"/>
        <w:numPr>
          <w:ilvl w:val="0"/>
          <w:numId w:val="28"/>
        </w:numPr>
        <w:rPr>
          <w:sz w:val="22"/>
          <w:szCs w:val="22"/>
        </w:rPr>
      </w:pPr>
      <w:r w:rsidRPr="00B53FFB">
        <w:rPr>
          <w:sz w:val="22"/>
          <w:szCs w:val="22"/>
        </w:rPr>
        <w:t>In addition to marketing with traditional media, service providers have also advertised their products on the internet, social media, and mobile applications.  In 2011, AT&amp;T ran a Valentine’s Day campaign on Facebook.</w:t>
      </w:r>
      <w:r w:rsidRPr="00B53FFB">
        <w:rPr>
          <w:rStyle w:val="FootnoteReference"/>
          <w:szCs w:val="22"/>
        </w:rPr>
        <w:footnoteReference w:id="751"/>
      </w:r>
      <w:r w:rsidRPr="00B53FFB">
        <w:rPr>
          <w:sz w:val="22"/>
          <w:szCs w:val="22"/>
        </w:rPr>
        <w:t xml:space="preserve">  It also advertised the HTC Status handset, which comes with a “Facebook share button.”</w:t>
      </w:r>
      <w:r w:rsidRPr="00B53FFB">
        <w:rPr>
          <w:rStyle w:val="FootnoteReference"/>
          <w:szCs w:val="22"/>
        </w:rPr>
        <w:footnoteReference w:id="752"/>
      </w:r>
      <w:r w:rsidRPr="00B53FFB">
        <w:rPr>
          <w:sz w:val="22"/>
          <w:szCs w:val="22"/>
        </w:rPr>
        <w:t xml:space="preserve">  During the 2010 holiday season, Sprint teamed up with the blog Awkward Family Photos to give customers a chance to make awkward portraits of themselves.</w:t>
      </w:r>
      <w:r w:rsidRPr="00B53FFB">
        <w:rPr>
          <w:rStyle w:val="FootnoteReference"/>
          <w:szCs w:val="22"/>
        </w:rPr>
        <w:footnoteReference w:id="753"/>
      </w:r>
      <w:r w:rsidRPr="00B53FFB">
        <w:rPr>
          <w:sz w:val="22"/>
          <w:szCs w:val="22"/>
        </w:rPr>
        <w:t xml:space="preserve">  In addition to marketing using mobile apps, T-Mobile advertised using various YouTube posts.</w:t>
      </w:r>
      <w:r w:rsidRPr="00B53FFB">
        <w:rPr>
          <w:rStyle w:val="FootnoteReference"/>
          <w:szCs w:val="22"/>
        </w:rPr>
        <w:footnoteReference w:id="754"/>
      </w:r>
      <w:r w:rsidRPr="00B53FFB">
        <w:rPr>
          <w:sz w:val="22"/>
          <w:szCs w:val="22"/>
        </w:rPr>
        <w:t xml:space="preserve">  Verizon Wireless, which started its iPhone marketing campaign on YouTube, also used mobile apps in order to target customers.</w:t>
      </w:r>
      <w:r w:rsidRPr="00B53FFB">
        <w:rPr>
          <w:rStyle w:val="FootnoteReference"/>
          <w:szCs w:val="22"/>
        </w:rPr>
        <w:footnoteReference w:id="755"/>
      </w:r>
      <w:r w:rsidRPr="00B53FFB">
        <w:rPr>
          <w:sz w:val="22"/>
          <w:szCs w:val="22"/>
        </w:rPr>
        <w:t xml:space="preserve">  Each of the top four providers, along with smaller providers such as MetroPCS and C Spire have YouTube pages where users can view their marketing campaigns and additional videos about these firms.</w:t>
      </w:r>
      <w:r w:rsidRPr="00B53FFB">
        <w:rPr>
          <w:rStyle w:val="FootnoteReference"/>
          <w:szCs w:val="22"/>
        </w:rPr>
        <w:footnoteReference w:id="756"/>
      </w:r>
    </w:p>
    <w:p w:rsidR="004A147C" w:rsidRPr="00B53FFB" w:rsidRDefault="004A147C" w:rsidP="00CE5850">
      <w:pPr>
        <w:pStyle w:val="Heading4"/>
        <w:keepNext w:val="0"/>
        <w:numPr>
          <w:ilvl w:val="3"/>
          <w:numId w:val="26"/>
        </w:numPr>
        <w:tabs>
          <w:tab w:val="left" w:pos="2880"/>
        </w:tabs>
        <w:rPr>
          <w:sz w:val="22"/>
          <w:szCs w:val="22"/>
        </w:rPr>
      </w:pPr>
      <w:bookmarkStart w:id="2765" w:name="_Toc261858514"/>
      <w:bookmarkStart w:id="2766" w:name="_Toc262034319"/>
      <w:bookmarkStart w:id="2767" w:name="_Toc262034422"/>
      <w:bookmarkStart w:id="2768" w:name="_Toc275952419"/>
      <w:bookmarkStart w:id="2769" w:name="_Toc276121851"/>
      <w:bookmarkStart w:id="2770" w:name="_Toc276480687"/>
      <w:bookmarkStart w:id="2771" w:name="_Ref276739030"/>
      <w:bookmarkStart w:id="2772" w:name="_Ref276739032"/>
      <w:bookmarkStart w:id="2773" w:name="_Toc276741764"/>
      <w:bookmarkStart w:id="2774" w:name="_Toc277171529"/>
      <w:bookmarkStart w:id="2775" w:name="_Toc277864504"/>
      <w:bookmarkStart w:id="2776" w:name="_Toc277864720"/>
      <w:bookmarkStart w:id="2777" w:name="_Toc285810401"/>
      <w:bookmarkStart w:id="2778" w:name="_Toc287257795"/>
      <w:bookmarkStart w:id="2779" w:name="_Ref287350086"/>
      <w:bookmarkStart w:id="2780" w:name="_Toc291758674"/>
      <w:bookmarkStart w:id="2781" w:name="_Toc291758777"/>
      <w:bookmarkStart w:id="2782" w:name="_Toc295392957"/>
      <w:bookmarkStart w:id="2783" w:name="_Toc337651979"/>
      <w:bookmarkStart w:id="2784" w:name="_Toc349577168"/>
      <w:bookmarkStart w:id="2785" w:name="_Toc349579260"/>
      <w:bookmarkStart w:id="2786" w:name="_Toc349580575"/>
      <w:bookmarkStart w:id="2787" w:name="_Toc349734983"/>
      <w:bookmarkStart w:id="2788" w:name="_Toc349742348"/>
      <w:bookmarkStart w:id="2789" w:name="_Toc275517979"/>
      <w:r w:rsidRPr="00B53FFB">
        <w:rPr>
          <w:sz w:val="22"/>
          <w:szCs w:val="22"/>
        </w:rPr>
        <w:t>Retailing</w:t>
      </w:r>
      <w:bookmarkEnd w:id="2765"/>
      <w:bookmarkEnd w:id="2766"/>
      <w:bookmarkEnd w:id="2767"/>
      <w:bookmarkEnd w:id="2768"/>
      <w:bookmarkEnd w:id="2769"/>
      <w:bookmarkEnd w:id="2770"/>
      <w:bookmarkEnd w:id="2771"/>
      <w:bookmarkEnd w:id="2772"/>
      <w:bookmarkEnd w:id="2773"/>
      <w:bookmarkEnd w:id="2774"/>
      <w:bookmarkEnd w:id="2775"/>
      <w:bookmarkEnd w:id="2776"/>
      <w:bookmarkEnd w:id="2777"/>
      <w:bookmarkEnd w:id="2778"/>
      <w:bookmarkEnd w:id="2779"/>
      <w:bookmarkEnd w:id="2780"/>
      <w:bookmarkEnd w:id="2781"/>
      <w:bookmarkEnd w:id="2782"/>
      <w:bookmarkEnd w:id="2783"/>
      <w:bookmarkEnd w:id="2784"/>
      <w:bookmarkEnd w:id="2785"/>
      <w:bookmarkEnd w:id="2786"/>
      <w:bookmarkEnd w:id="2787"/>
      <w:bookmarkEnd w:id="2788"/>
      <w:r w:rsidRPr="00B53FFB">
        <w:rPr>
          <w:sz w:val="22"/>
          <w:szCs w:val="22"/>
        </w:rPr>
        <w:t xml:space="preserve"> </w:t>
      </w:r>
      <w:bookmarkEnd w:id="2789"/>
    </w:p>
    <w:p w:rsidR="004A147C" w:rsidRPr="00B53FFB" w:rsidRDefault="004A147C" w:rsidP="00CE5850">
      <w:pPr>
        <w:pStyle w:val="ParaNum"/>
        <w:numPr>
          <w:ilvl w:val="0"/>
          <w:numId w:val="28"/>
        </w:numPr>
        <w:rPr>
          <w:sz w:val="22"/>
          <w:szCs w:val="22"/>
        </w:rPr>
      </w:pPr>
      <w:r w:rsidRPr="00B53FFB">
        <w:rPr>
          <w:sz w:val="22"/>
          <w:szCs w:val="22"/>
        </w:rPr>
        <w:t xml:space="preserve">Mobile </w:t>
      </w:r>
      <w:bookmarkEnd w:id="2672"/>
      <w:bookmarkEnd w:id="2673"/>
      <w:bookmarkEnd w:id="2674"/>
      <w:r w:rsidRPr="00B53FFB">
        <w:rPr>
          <w:sz w:val="22"/>
          <w:szCs w:val="22"/>
        </w:rPr>
        <w:t>wireless service providers sell their products and services through their distribution and retail networks.  Providers may try to design their distribution and retail networks to increase customer growth, reduce customer acquisition costs, and attract customers from competitors.</w:t>
      </w:r>
      <w:r w:rsidRPr="00B53FFB">
        <w:rPr>
          <w:rStyle w:val="FootnoteReference"/>
          <w:szCs w:val="22"/>
        </w:rPr>
        <w:footnoteReference w:id="757"/>
      </w:r>
      <w:r w:rsidRPr="00B53FFB">
        <w:rPr>
          <w:color w:val="FF0000"/>
          <w:sz w:val="22"/>
          <w:szCs w:val="22"/>
        </w:rPr>
        <w:t xml:space="preserve">  </w:t>
      </w:r>
      <w:r w:rsidRPr="00B53FFB">
        <w:rPr>
          <w:sz w:val="22"/>
          <w:szCs w:val="22"/>
        </w:rPr>
        <w:t>Distribution channels include: 1) direct sales representatives who target businesses and government agencies 2) direct retail outlets, such as provider-owned stores and kiosks; 3) indirect retail outlets, including mass-market electronics retailers such as Best Buy, Wal-Mart, Target, Costco, Radio Shack, and Amazon; 4) provider websites; and 5) telemarketers.</w:t>
      </w:r>
      <w:r w:rsidRPr="00B53FFB">
        <w:rPr>
          <w:rStyle w:val="FootnoteReference"/>
          <w:szCs w:val="22"/>
        </w:rPr>
        <w:footnoteReference w:id="758"/>
      </w:r>
      <w:r w:rsidRPr="00B53FFB">
        <w:rPr>
          <w:sz w:val="22"/>
          <w:szCs w:val="22"/>
        </w:rPr>
        <w:t xml:space="preserve">  The reliance on direct versus indirect channels varies by provider.  For instance, among providers outside the top four, the number of third-party agent locations is typically greater than the number of company-operated retail stores.</w:t>
      </w:r>
      <w:r w:rsidRPr="00B53FFB">
        <w:rPr>
          <w:rStyle w:val="FootnoteReference"/>
          <w:szCs w:val="22"/>
        </w:rPr>
        <w:footnoteReference w:id="759"/>
      </w:r>
    </w:p>
    <w:p w:rsidR="004A147C" w:rsidRPr="00B53FFB" w:rsidRDefault="004A147C" w:rsidP="00CE5850">
      <w:pPr>
        <w:pStyle w:val="ParaNum"/>
        <w:numPr>
          <w:ilvl w:val="0"/>
          <w:numId w:val="28"/>
        </w:numPr>
        <w:rPr>
          <w:sz w:val="22"/>
          <w:szCs w:val="22"/>
        </w:rPr>
      </w:pPr>
      <w:r w:rsidRPr="00B53FFB">
        <w:rPr>
          <w:sz w:val="22"/>
          <w:szCs w:val="22"/>
        </w:rPr>
        <w:t>In a study of full-service wireless purchase experience released in February, 2012, J.D. Power and Associates found that customer satisfaction with the wireless purchase experience has declined from 2011, mainly due to changing customer expectations and the level of service provided to customers in sales made by phone.</w:t>
      </w:r>
      <w:r w:rsidRPr="00B53FFB">
        <w:rPr>
          <w:rStyle w:val="FootnoteReference"/>
          <w:szCs w:val="22"/>
        </w:rPr>
        <w:footnoteReference w:id="760"/>
      </w:r>
      <w:r w:rsidRPr="00B53FFB">
        <w:rPr>
          <w:sz w:val="22"/>
          <w:szCs w:val="22"/>
        </w:rPr>
        <w:t xml:space="preserve">   J.D. Power’s semi-annual survey evaluates the wireless purchase experience of customers using any of three channels of contact: phone calls with sales representatives; visits to a retail wireless store; and on the Web.  The survey also ranks wireless providers on customer purchase satisfaction.  Among the top four providers, Sprint Nextel ranked first, followed by Verizon Wireless, and then by AT&amp;T and T-Mobile, both of which ranked below the full-service average.  In the previous six month period study, Sprint tied for first with T-Mobile, which was followed by Verizon Wireless and AT&amp;T.</w:t>
      </w:r>
      <w:r w:rsidRPr="00B53FFB">
        <w:rPr>
          <w:rStyle w:val="FootnoteReference"/>
          <w:szCs w:val="22"/>
        </w:rPr>
        <w:footnoteReference w:id="761"/>
      </w:r>
      <w:r w:rsidRPr="00B53FFB">
        <w:rPr>
          <w:sz w:val="22"/>
          <w:szCs w:val="22"/>
        </w:rPr>
        <w:t xml:space="preserve">  The 2011 study pointed out that overall satisfaction with the wireless purchase experience differs widely across the three channels of contact. </w:t>
      </w:r>
    </w:p>
    <w:p w:rsidR="004A147C" w:rsidRPr="00B53FFB" w:rsidRDefault="004A147C" w:rsidP="00CE5850">
      <w:pPr>
        <w:pStyle w:val="Heading1"/>
        <w:keepNext w:val="0"/>
        <w:numPr>
          <w:ilvl w:val="0"/>
          <w:numId w:val="26"/>
        </w:numPr>
        <w:tabs>
          <w:tab w:val="left" w:pos="720"/>
        </w:tabs>
        <w:suppressAutoHyphens w:val="0"/>
        <w:rPr>
          <w:sz w:val="22"/>
          <w:szCs w:val="22"/>
        </w:rPr>
      </w:pPr>
      <w:bookmarkStart w:id="2790" w:name="_Ref256585435"/>
      <w:bookmarkStart w:id="2791" w:name="_Ref256585438"/>
      <w:bookmarkStart w:id="2792" w:name="_Toc261610778"/>
      <w:bookmarkStart w:id="2793" w:name="_Toc261858517"/>
      <w:bookmarkStart w:id="2794" w:name="_Toc262034322"/>
      <w:bookmarkStart w:id="2795" w:name="_Toc262034425"/>
      <w:bookmarkStart w:id="2796" w:name="_Toc271288464"/>
      <w:bookmarkStart w:id="2797" w:name="_Toc275517982"/>
      <w:bookmarkStart w:id="2798" w:name="_Toc275952422"/>
      <w:bookmarkStart w:id="2799" w:name="_Toc276121854"/>
      <w:bookmarkStart w:id="2800" w:name="_Toc276480690"/>
      <w:bookmarkStart w:id="2801" w:name="_Toc276741767"/>
      <w:bookmarkStart w:id="2802" w:name="_Toc277171532"/>
      <w:bookmarkStart w:id="2803" w:name="_Toc277864507"/>
      <w:bookmarkStart w:id="2804" w:name="_Toc277864723"/>
      <w:bookmarkStart w:id="2805" w:name="_Toc285810404"/>
      <w:bookmarkStart w:id="2806" w:name="_Toc287257798"/>
      <w:bookmarkStart w:id="2807" w:name="_Toc291758677"/>
      <w:bookmarkStart w:id="2808" w:name="_Toc291758780"/>
      <w:bookmarkStart w:id="2809" w:name="_Toc295392960"/>
      <w:bookmarkStart w:id="2810" w:name="_Toc329262502"/>
      <w:bookmarkStart w:id="2811" w:name="_Toc329852412"/>
      <w:bookmarkStart w:id="2812" w:name="_Toc331766328"/>
      <w:bookmarkStart w:id="2813" w:name="_Toc332119123"/>
      <w:bookmarkStart w:id="2814" w:name="_Toc334088800"/>
      <w:bookmarkStart w:id="2815" w:name="_Toc334089036"/>
      <w:bookmarkStart w:id="2816" w:name="_Toc334089195"/>
      <w:bookmarkStart w:id="2817" w:name="_Toc334089306"/>
      <w:bookmarkStart w:id="2818" w:name="_Toc334089470"/>
      <w:bookmarkStart w:id="2819" w:name="_Toc335839048"/>
      <w:bookmarkStart w:id="2820" w:name="_Toc336268611"/>
      <w:bookmarkStart w:id="2821" w:name="_Toc336268719"/>
      <w:bookmarkStart w:id="2822" w:name="_Toc336268826"/>
      <w:bookmarkStart w:id="2823" w:name="_Toc336269040"/>
      <w:bookmarkStart w:id="2824" w:name="_Toc336269147"/>
      <w:bookmarkStart w:id="2825" w:name="_Toc336269515"/>
      <w:bookmarkStart w:id="2826" w:name="_Toc336269661"/>
      <w:bookmarkStart w:id="2827" w:name="_Toc336270074"/>
      <w:bookmarkStart w:id="2828" w:name="_Toc336271274"/>
      <w:bookmarkStart w:id="2829" w:name="_Toc337651980"/>
      <w:bookmarkStart w:id="2830" w:name="_Toc349577169"/>
      <w:bookmarkStart w:id="2831" w:name="_Toc349579261"/>
      <w:bookmarkStart w:id="2832" w:name="_Toc349580576"/>
      <w:bookmarkStart w:id="2833" w:name="_Toc349734984"/>
      <w:bookmarkStart w:id="2834" w:name="_Toc349742349"/>
      <w:bookmarkStart w:id="2835" w:name="_Toc112139242"/>
      <w:bookmarkStart w:id="2836" w:name="_Toc113257849"/>
      <w:bookmarkStart w:id="2837" w:name="_Toc113258046"/>
      <w:bookmarkStart w:id="2838" w:name="_Toc113258314"/>
      <w:bookmarkStart w:id="2839" w:name="_Toc113258640"/>
      <w:bookmarkStart w:id="2840" w:name="_Toc113272229"/>
      <w:bookmarkStart w:id="2841" w:name="_Toc115580914"/>
      <w:bookmarkStart w:id="2842" w:name="_Toc136318317"/>
      <w:bookmarkStart w:id="2843" w:name="_Toc136318666"/>
      <w:bookmarkStart w:id="2844" w:name="_Toc136318833"/>
      <w:bookmarkStart w:id="2845" w:name="_Toc138475809"/>
      <w:bookmarkStart w:id="2846" w:name="_Toc146684538"/>
      <w:bookmarkStart w:id="2847" w:name="_Toc147046296"/>
      <w:bookmarkStart w:id="2848" w:name="_Toc171415253"/>
      <w:bookmarkStart w:id="2849" w:name="_Toc173642144"/>
      <w:bookmarkStart w:id="2850" w:name="_Toc173813682"/>
      <w:bookmarkStart w:id="2851" w:name="_Toc175387852"/>
      <w:bookmarkStart w:id="2852" w:name="_Toc176254457"/>
      <w:bookmarkStart w:id="2853" w:name="_Toc176254746"/>
      <w:bookmarkStart w:id="2854" w:name="_Toc176254857"/>
      <w:bookmarkStart w:id="2855" w:name="_Toc176762492"/>
      <w:bookmarkStart w:id="2856" w:name="_Toc176843513"/>
      <w:bookmarkStart w:id="2857" w:name="_Toc176853315"/>
      <w:bookmarkStart w:id="2858" w:name="_Toc176853424"/>
      <w:bookmarkStart w:id="2859" w:name="_Toc176857473"/>
      <w:bookmarkStart w:id="2860" w:name="_Toc179108403"/>
      <w:bookmarkStart w:id="2861" w:name="_Toc179357662"/>
      <w:bookmarkStart w:id="2862" w:name="_Toc181781144"/>
      <w:bookmarkStart w:id="2863" w:name="_Toc182218730"/>
      <w:bookmarkStart w:id="2864" w:name="_Toc182909165"/>
      <w:bookmarkStart w:id="2865" w:name="_Toc182909595"/>
      <w:bookmarkStart w:id="2866" w:name="_Toc182987245"/>
      <w:bookmarkStart w:id="2867" w:name="_Toc183244080"/>
      <w:bookmarkStart w:id="2868" w:name="_Toc183244458"/>
      <w:bookmarkStart w:id="2869" w:name="_Toc183244869"/>
      <w:bookmarkStart w:id="2870" w:name="_Toc183244987"/>
      <w:bookmarkStart w:id="2871" w:name="_Toc183245645"/>
      <w:bookmarkStart w:id="2872" w:name="_Toc183246220"/>
      <w:bookmarkStart w:id="2873" w:name="_Toc183246319"/>
      <w:bookmarkStart w:id="2874" w:name="_Toc185667929"/>
      <w:bookmarkStart w:id="2875" w:name="_Toc185838986"/>
      <w:bookmarkStart w:id="2876" w:name="_Toc185846958"/>
      <w:bookmarkStart w:id="2877" w:name="_Toc185848564"/>
      <w:bookmarkStart w:id="2878" w:name="_Toc188946922"/>
      <w:bookmarkStart w:id="2879" w:name="_Toc189302826"/>
      <w:bookmarkStart w:id="2880" w:name="_Toc209948493"/>
      <w:bookmarkStart w:id="2881" w:name="_Toc209948602"/>
      <w:bookmarkStart w:id="2882" w:name="_Toc209950044"/>
      <w:bookmarkStart w:id="2883" w:name="_Toc210211500"/>
      <w:bookmarkStart w:id="2884" w:name="_Toc210213067"/>
      <w:bookmarkStart w:id="2885" w:name="_Toc210213206"/>
      <w:bookmarkStart w:id="2886" w:name="_Toc210213767"/>
      <w:bookmarkStart w:id="2887" w:name="_Toc212967991"/>
      <w:bookmarkStart w:id="2888" w:name="_Toc215316393"/>
      <w:bookmarkStart w:id="2889" w:name="_Toc215384647"/>
      <w:bookmarkStart w:id="2890" w:name="_Toc217810513"/>
      <w:r w:rsidRPr="00B53FFB">
        <w:rPr>
          <w:sz w:val="22"/>
          <w:szCs w:val="22"/>
        </w:rPr>
        <w:t>MOBILE WIRELESS SERVICES: PERFORMANCE</w:t>
      </w:r>
      <w:bookmarkEnd w:id="2790"/>
      <w:bookmarkEnd w:id="2791"/>
      <w:bookmarkEnd w:id="2792"/>
      <w:bookmarkEnd w:id="2793"/>
      <w:bookmarkEnd w:id="2794"/>
      <w:bookmarkEnd w:id="2795"/>
      <w:bookmarkEnd w:id="2796"/>
      <w:bookmarkEnd w:id="2797"/>
      <w:bookmarkEnd w:id="2798"/>
      <w:bookmarkEnd w:id="2799"/>
      <w:bookmarkEnd w:id="2800"/>
      <w:bookmarkEnd w:id="2801"/>
      <w:bookmarkEnd w:id="2802"/>
      <w:bookmarkEnd w:id="2803"/>
      <w:bookmarkEnd w:id="2804"/>
      <w:bookmarkEnd w:id="2805"/>
      <w:bookmarkEnd w:id="2806"/>
      <w:bookmarkEnd w:id="2807"/>
      <w:bookmarkEnd w:id="2808"/>
      <w:bookmarkEnd w:id="2809"/>
      <w:bookmarkEnd w:id="2810"/>
      <w:r w:rsidRPr="00B53FFB">
        <w:rPr>
          <w:sz w:val="22"/>
          <w:szCs w:val="22"/>
        </w:rPr>
        <w:t xml:space="preserve"> and outcomes</w:t>
      </w:r>
      <w:bookmarkEnd w:id="2811"/>
      <w:bookmarkEnd w:id="2812"/>
      <w:bookmarkEnd w:id="2813"/>
      <w:bookmarkEnd w:id="2814"/>
      <w:bookmarkEnd w:id="2815"/>
      <w:bookmarkEnd w:id="2816"/>
      <w:bookmarkEnd w:id="2817"/>
      <w:bookmarkEnd w:id="2818"/>
      <w:bookmarkEnd w:id="2819"/>
      <w:bookmarkEnd w:id="2820"/>
      <w:bookmarkEnd w:id="2821"/>
      <w:bookmarkEnd w:id="2822"/>
      <w:bookmarkEnd w:id="2823"/>
      <w:bookmarkEnd w:id="2824"/>
      <w:bookmarkEnd w:id="2825"/>
      <w:bookmarkEnd w:id="2826"/>
      <w:bookmarkEnd w:id="2827"/>
      <w:bookmarkEnd w:id="2828"/>
      <w:bookmarkEnd w:id="2829"/>
      <w:bookmarkEnd w:id="2830"/>
      <w:bookmarkEnd w:id="2831"/>
      <w:bookmarkEnd w:id="2832"/>
      <w:bookmarkEnd w:id="2833"/>
      <w:bookmarkEnd w:id="2834"/>
    </w:p>
    <w:p w:rsidR="004A147C" w:rsidRPr="00B53FFB" w:rsidRDefault="004A147C" w:rsidP="00CE5850">
      <w:pPr>
        <w:pStyle w:val="ParaNum"/>
        <w:numPr>
          <w:ilvl w:val="0"/>
          <w:numId w:val="28"/>
        </w:numPr>
        <w:rPr>
          <w:sz w:val="22"/>
          <w:szCs w:val="22"/>
        </w:rPr>
      </w:pPr>
      <w:bookmarkStart w:id="2891" w:name="_Toc55787801"/>
      <w:bookmarkStart w:id="2892" w:name="_Toc57021213"/>
      <w:bookmarkStart w:id="2893" w:name="_Toc67722119"/>
      <w:bookmarkStart w:id="2894" w:name="_Toc83547830"/>
      <w:bookmarkStart w:id="2895" w:name="_Toc112139251"/>
      <w:bookmarkStart w:id="2896" w:name="_Toc113257858"/>
      <w:bookmarkStart w:id="2897" w:name="_Toc113258055"/>
      <w:bookmarkStart w:id="2898" w:name="_Toc113258323"/>
      <w:bookmarkStart w:id="2899" w:name="_Toc113258649"/>
      <w:bookmarkStart w:id="2900" w:name="_Toc113272238"/>
      <w:bookmarkStart w:id="2901" w:name="_Toc115580923"/>
      <w:bookmarkStart w:id="2902" w:name="_Toc136318326"/>
      <w:bookmarkStart w:id="2903" w:name="_Toc136318675"/>
      <w:bookmarkStart w:id="2904" w:name="_Toc136318842"/>
      <w:bookmarkStart w:id="2905" w:name="_Toc138475818"/>
      <w:bookmarkStart w:id="2906" w:name="_Toc146684547"/>
      <w:bookmarkStart w:id="2907" w:name="_Toc147046305"/>
      <w:bookmarkStart w:id="2908" w:name="_Toc171415263"/>
      <w:bookmarkStart w:id="2909" w:name="_Toc173642154"/>
      <w:bookmarkStart w:id="2910" w:name="_Toc173813692"/>
      <w:bookmarkStart w:id="2911" w:name="_Toc175387862"/>
      <w:bookmarkStart w:id="2912" w:name="_Toc176254467"/>
      <w:bookmarkStart w:id="2913" w:name="_Toc176254756"/>
      <w:bookmarkStart w:id="2914" w:name="_Toc176254867"/>
      <w:bookmarkStart w:id="2915" w:name="_Toc176762502"/>
      <w:bookmarkStart w:id="2916" w:name="_Toc176843523"/>
      <w:bookmarkStart w:id="2917" w:name="_Toc176853325"/>
      <w:bookmarkStart w:id="2918" w:name="_Toc176853434"/>
      <w:bookmarkStart w:id="2919" w:name="_Toc176857483"/>
      <w:bookmarkStart w:id="2920" w:name="_Toc179108415"/>
      <w:bookmarkStart w:id="2921" w:name="_Toc179357674"/>
      <w:bookmarkStart w:id="2922" w:name="_Toc181781156"/>
      <w:bookmarkStart w:id="2923" w:name="_Toc182218742"/>
      <w:bookmarkStart w:id="2924" w:name="_Toc182909178"/>
      <w:bookmarkStart w:id="2925" w:name="_Toc182909608"/>
      <w:bookmarkStart w:id="2926" w:name="_Toc182987258"/>
      <w:bookmarkStart w:id="2927" w:name="_Toc183244093"/>
      <w:bookmarkStart w:id="2928" w:name="_Toc183244471"/>
      <w:bookmarkStart w:id="2929" w:name="_Toc183244882"/>
      <w:bookmarkStart w:id="2930" w:name="_Toc183245000"/>
      <w:bookmarkStart w:id="2931" w:name="_Toc183245658"/>
      <w:bookmarkStart w:id="2932" w:name="_Toc183246233"/>
      <w:bookmarkStart w:id="2933" w:name="_Toc183246332"/>
      <w:bookmarkStart w:id="2934" w:name="_Toc185667942"/>
      <w:bookmarkStart w:id="2935" w:name="_Toc185838999"/>
      <w:bookmarkStart w:id="2936" w:name="_Toc185846971"/>
      <w:bookmarkStart w:id="2937" w:name="_Toc185848577"/>
      <w:bookmarkStart w:id="2938" w:name="_Toc188946935"/>
      <w:bookmarkStart w:id="2939" w:name="_Toc189302839"/>
      <w:bookmarkStart w:id="2940" w:name="_Toc209948506"/>
      <w:bookmarkStart w:id="2941" w:name="_Toc209948615"/>
      <w:bookmarkStart w:id="2942" w:name="_Toc209950057"/>
      <w:bookmarkStart w:id="2943" w:name="_Toc210211513"/>
      <w:bookmarkStart w:id="2944" w:name="_Toc210213080"/>
      <w:bookmarkStart w:id="2945" w:name="_Toc210213219"/>
      <w:bookmarkStart w:id="2946" w:name="_Toc210213780"/>
      <w:bookmarkStart w:id="2947" w:name="_Toc212968003"/>
      <w:bookmarkStart w:id="2948" w:name="_Toc215316405"/>
      <w:bookmarkStart w:id="2949" w:name="_Toc215384659"/>
      <w:bookmarkStart w:id="2950" w:name="_Toc217810525"/>
      <w:bookmarkStart w:id="2951" w:name="_Toc55787800"/>
      <w:bookmarkStart w:id="2952" w:name="_Toc57021212"/>
      <w:bookmarkStart w:id="2953" w:name="_Toc67722118"/>
      <w:bookmarkStart w:id="2954" w:name="_Toc83547825"/>
      <w:bookmarkStart w:id="2955" w:name="_Toc112139248"/>
      <w:bookmarkStart w:id="2956" w:name="_Toc113257855"/>
      <w:bookmarkStart w:id="2957" w:name="_Toc113258052"/>
      <w:bookmarkStart w:id="2958" w:name="_Toc113258320"/>
      <w:bookmarkStart w:id="2959" w:name="_Toc113258646"/>
      <w:bookmarkStart w:id="2960" w:name="_Toc113272235"/>
      <w:bookmarkStart w:id="2961" w:name="_Toc115580920"/>
      <w:bookmarkStart w:id="2962" w:name="_Toc136318323"/>
      <w:bookmarkStart w:id="2963" w:name="_Toc136318672"/>
      <w:bookmarkStart w:id="2964" w:name="_Toc136318839"/>
      <w:bookmarkStart w:id="2965" w:name="_Toc138475815"/>
      <w:bookmarkStart w:id="2966" w:name="_Toc146684544"/>
      <w:bookmarkStart w:id="2967" w:name="_Toc147046302"/>
      <w:bookmarkStart w:id="2968" w:name="_Toc171415260"/>
      <w:bookmarkStart w:id="2969" w:name="_Toc173642151"/>
      <w:bookmarkStart w:id="2970" w:name="_Toc173813689"/>
      <w:bookmarkStart w:id="2971" w:name="_Toc175387859"/>
      <w:bookmarkStart w:id="2972" w:name="_Toc176254464"/>
      <w:bookmarkStart w:id="2973" w:name="_Toc176254753"/>
      <w:bookmarkStart w:id="2974" w:name="_Toc176254864"/>
      <w:bookmarkStart w:id="2975" w:name="_Toc176762499"/>
      <w:bookmarkStart w:id="2976" w:name="_Toc176843520"/>
      <w:bookmarkStart w:id="2977" w:name="_Toc176853322"/>
      <w:bookmarkStart w:id="2978" w:name="_Toc176853431"/>
      <w:bookmarkStart w:id="2979" w:name="_Toc176857480"/>
      <w:bookmarkStart w:id="2980" w:name="_Toc179108410"/>
      <w:bookmarkStart w:id="2981" w:name="_Toc179357669"/>
      <w:bookmarkStart w:id="2982" w:name="_Toc181781151"/>
      <w:bookmarkStart w:id="2983" w:name="_Toc182218737"/>
      <w:bookmarkStart w:id="2984" w:name="_Toc182909173"/>
      <w:bookmarkStart w:id="2985" w:name="_Toc182909603"/>
      <w:bookmarkStart w:id="2986" w:name="_Toc182987253"/>
      <w:bookmarkStart w:id="2987" w:name="_Toc183244088"/>
      <w:bookmarkStart w:id="2988" w:name="_Toc183244466"/>
      <w:bookmarkStart w:id="2989" w:name="_Toc183244877"/>
      <w:bookmarkStart w:id="2990" w:name="_Toc183244995"/>
      <w:bookmarkStart w:id="2991" w:name="_Toc183245653"/>
      <w:bookmarkStart w:id="2992" w:name="_Toc183246228"/>
      <w:bookmarkStart w:id="2993" w:name="_Toc183246327"/>
      <w:bookmarkStart w:id="2994" w:name="_Toc185667937"/>
      <w:bookmarkStart w:id="2995" w:name="_Toc185838994"/>
      <w:bookmarkStart w:id="2996" w:name="_Toc185846966"/>
      <w:bookmarkStart w:id="2997" w:name="_Toc185848572"/>
      <w:bookmarkStart w:id="2998" w:name="_Toc188946930"/>
      <w:bookmarkStart w:id="2999" w:name="_Toc189302834"/>
      <w:bookmarkStart w:id="3000" w:name="_Toc209948501"/>
      <w:bookmarkStart w:id="3001" w:name="_Toc209948610"/>
      <w:bookmarkStart w:id="3002" w:name="_Toc209950052"/>
      <w:bookmarkStart w:id="3003" w:name="_Toc210211508"/>
      <w:bookmarkStart w:id="3004" w:name="_Toc210213075"/>
      <w:bookmarkStart w:id="3005" w:name="_Toc210213214"/>
      <w:bookmarkStart w:id="3006" w:name="_Toc210213775"/>
      <w:bookmarkStart w:id="3007" w:name="_Toc212967998"/>
      <w:bookmarkStart w:id="3008" w:name="_Toc215316400"/>
      <w:bookmarkStart w:id="3009" w:name="_Toc215384654"/>
      <w:bookmarkStart w:id="3010" w:name="_Toc217810520"/>
      <w:bookmarkStart w:id="3011" w:name="_Ref256601691"/>
      <w:bookmarkStart w:id="3012" w:name="_Ref256601694"/>
      <w:bookmarkStart w:id="3013" w:name="_Ref257294012"/>
      <w:bookmarkStart w:id="3014" w:name="_Ref257294015"/>
      <w:r w:rsidRPr="00B53FFB">
        <w:rPr>
          <w:sz w:val="22"/>
          <w:szCs w:val="22"/>
        </w:rPr>
        <w:t xml:space="preserve">Competitive </w:t>
      </w:r>
      <w:bookmarkStart w:id="3015" w:name="_Toc261610802"/>
      <w:bookmarkStart w:id="3016" w:name="_Toc261858541"/>
      <w:bookmarkStart w:id="3017" w:name="_Toc262034346"/>
      <w:bookmarkStart w:id="3018" w:name="_Toc262034449"/>
      <w:bookmarkStart w:id="3019" w:name="_Toc271288489"/>
      <w:bookmarkStart w:id="3020" w:name="_Toc275518007"/>
      <w:bookmarkStart w:id="3021" w:name="_Toc275952447"/>
      <w:bookmarkStart w:id="3022" w:name="_Toc276121879"/>
      <w:bookmarkStart w:id="3023" w:name="_Toc276480715"/>
      <w:bookmarkStart w:id="3024" w:name="_Toc276741792"/>
      <w:bookmarkStart w:id="3025" w:name="_Toc277171557"/>
      <w:bookmarkStart w:id="3026" w:name="_Toc277864532"/>
      <w:bookmarkStart w:id="3027" w:name="_Toc277864748"/>
      <w:bookmarkStart w:id="3028" w:name="_Toc285810429"/>
      <w:bookmarkStart w:id="3029" w:name="_Toc287257823"/>
      <w:bookmarkStart w:id="3030" w:name="_Toc291758702"/>
      <w:bookmarkStart w:id="3031" w:name="_Toc291758805"/>
      <w:bookmarkStart w:id="3032" w:name="_Toc295392985"/>
      <w:bookmarkStart w:id="3033" w:name="_Toc329262525"/>
      <w:bookmarkStart w:id="3034" w:name="_Toc329852436"/>
      <w:bookmarkStart w:id="3035" w:name="_Toc331766351"/>
      <w:bookmarkStart w:id="3036" w:name="_Toc332119155"/>
      <w:bookmarkStart w:id="3037" w:name="_Toc334088823"/>
      <w:bookmarkStart w:id="3038" w:name="_Toc334089059"/>
      <w:bookmarkStart w:id="3039" w:name="_Toc334089218"/>
      <w:bookmarkStart w:id="3040" w:name="_Toc334089329"/>
      <w:bookmarkStart w:id="3041" w:name="_Toc334089493"/>
      <w:bookmarkEnd w:id="2065"/>
      <w:bookmarkEnd w:id="2066"/>
      <w:bookmarkEnd w:id="2067"/>
      <w:bookmarkEnd w:id="2068"/>
      <w:bookmarkEnd w:id="2835"/>
      <w:bookmarkEnd w:id="2836"/>
      <w:bookmarkEnd w:id="2837"/>
      <w:bookmarkEnd w:id="2838"/>
      <w:bookmarkEnd w:id="2839"/>
      <w:bookmarkEnd w:id="2840"/>
      <w:bookmarkEnd w:id="2841"/>
      <w:bookmarkEnd w:id="2842"/>
      <w:bookmarkEnd w:id="2843"/>
      <w:bookmarkEnd w:id="2844"/>
      <w:bookmarkEnd w:id="2845"/>
      <w:bookmarkEnd w:id="2846"/>
      <w:bookmarkEnd w:id="2847"/>
      <w:bookmarkEnd w:id="2848"/>
      <w:bookmarkEnd w:id="2849"/>
      <w:bookmarkEnd w:id="2850"/>
      <w:bookmarkEnd w:id="2851"/>
      <w:bookmarkEnd w:id="2852"/>
      <w:bookmarkEnd w:id="2853"/>
      <w:bookmarkEnd w:id="2854"/>
      <w:bookmarkEnd w:id="2855"/>
      <w:bookmarkEnd w:id="2856"/>
      <w:bookmarkEnd w:id="2857"/>
      <w:bookmarkEnd w:id="2858"/>
      <w:bookmarkEnd w:id="2859"/>
      <w:bookmarkEnd w:id="2860"/>
      <w:bookmarkEnd w:id="2861"/>
      <w:bookmarkEnd w:id="2862"/>
      <w:bookmarkEnd w:id="2863"/>
      <w:bookmarkEnd w:id="2864"/>
      <w:bookmarkEnd w:id="2865"/>
      <w:bookmarkEnd w:id="2866"/>
      <w:bookmarkEnd w:id="2867"/>
      <w:bookmarkEnd w:id="2868"/>
      <w:bookmarkEnd w:id="2869"/>
      <w:bookmarkEnd w:id="2870"/>
      <w:bookmarkEnd w:id="2871"/>
      <w:bookmarkEnd w:id="2872"/>
      <w:bookmarkEnd w:id="2873"/>
      <w:bookmarkEnd w:id="2874"/>
      <w:bookmarkEnd w:id="2875"/>
      <w:bookmarkEnd w:id="2876"/>
      <w:bookmarkEnd w:id="2877"/>
      <w:bookmarkEnd w:id="2878"/>
      <w:bookmarkEnd w:id="2879"/>
      <w:bookmarkEnd w:id="2880"/>
      <w:bookmarkEnd w:id="2881"/>
      <w:bookmarkEnd w:id="2882"/>
      <w:bookmarkEnd w:id="2883"/>
      <w:bookmarkEnd w:id="2884"/>
      <w:bookmarkEnd w:id="2885"/>
      <w:bookmarkEnd w:id="2886"/>
      <w:bookmarkEnd w:id="2887"/>
      <w:bookmarkEnd w:id="2888"/>
      <w:bookmarkEnd w:id="2889"/>
      <w:bookmarkEnd w:id="2890"/>
      <w:bookmarkEnd w:id="2891"/>
      <w:bookmarkEnd w:id="2892"/>
      <w:bookmarkEnd w:id="2893"/>
      <w:bookmarkEnd w:id="2894"/>
      <w:bookmarkEnd w:id="2895"/>
      <w:bookmarkEnd w:id="2896"/>
      <w:bookmarkEnd w:id="2897"/>
      <w:bookmarkEnd w:id="2898"/>
      <w:bookmarkEnd w:id="2899"/>
      <w:bookmarkEnd w:id="2900"/>
      <w:bookmarkEnd w:id="2901"/>
      <w:bookmarkEnd w:id="2902"/>
      <w:bookmarkEnd w:id="2903"/>
      <w:bookmarkEnd w:id="2904"/>
      <w:bookmarkEnd w:id="2905"/>
      <w:bookmarkEnd w:id="2906"/>
      <w:bookmarkEnd w:id="2907"/>
      <w:bookmarkEnd w:id="2908"/>
      <w:bookmarkEnd w:id="2909"/>
      <w:bookmarkEnd w:id="2910"/>
      <w:bookmarkEnd w:id="2911"/>
      <w:bookmarkEnd w:id="2912"/>
      <w:bookmarkEnd w:id="2913"/>
      <w:bookmarkEnd w:id="2914"/>
      <w:bookmarkEnd w:id="2915"/>
      <w:bookmarkEnd w:id="2916"/>
      <w:bookmarkEnd w:id="2917"/>
      <w:bookmarkEnd w:id="2918"/>
      <w:bookmarkEnd w:id="2919"/>
      <w:bookmarkEnd w:id="2920"/>
      <w:bookmarkEnd w:id="2921"/>
      <w:bookmarkEnd w:id="2922"/>
      <w:bookmarkEnd w:id="2923"/>
      <w:bookmarkEnd w:id="2924"/>
      <w:bookmarkEnd w:id="2925"/>
      <w:bookmarkEnd w:id="2926"/>
      <w:bookmarkEnd w:id="2927"/>
      <w:bookmarkEnd w:id="2928"/>
      <w:bookmarkEnd w:id="2929"/>
      <w:bookmarkEnd w:id="2930"/>
      <w:bookmarkEnd w:id="2931"/>
      <w:bookmarkEnd w:id="2932"/>
      <w:bookmarkEnd w:id="2933"/>
      <w:bookmarkEnd w:id="2934"/>
      <w:bookmarkEnd w:id="2935"/>
      <w:bookmarkEnd w:id="2936"/>
      <w:bookmarkEnd w:id="2937"/>
      <w:bookmarkEnd w:id="2938"/>
      <w:bookmarkEnd w:id="2939"/>
      <w:bookmarkEnd w:id="2940"/>
      <w:bookmarkEnd w:id="2941"/>
      <w:bookmarkEnd w:id="2942"/>
      <w:bookmarkEnd w:id="2943"/>
      <w:bookmarkEnd w:id="2944"/>
      <w:bookmarkEnd w:id="2945"/>
      <w:bookmarkEnd w:id="2946"/>
      <w:bookmarkEnd w:id="2947"/>
      <w:bookmarkEnd w:id="2948"/>
      <w:bookmarkEnd w:id="2949"/>
      <w:bookmarkEnd w:id="2950"/>
      <w:bookmarkEnd w:id="2951"/>
      <w:bookmarkEnd w:id="2952"/>
      <w:bookmarkEnd w:id="2953"/>
      <w:bookmarkEnd w:id="2954"/>
      <w:bookmarkEnd w:id="2955"/>
      <w:bookmarkEnd w:id="2956"/>
      <w:bookmarkEnd w:id="2957"/>
      <w:bookmarkEnd w:id="2958"/>
      <w:bookmarkEnd w:id="2959"/>
      <w:bookmarkEnd w:id="2960"/>
      <w:bookmarkEnd w:id="2961"/>
      <w:bookmarkEnd w:id="2962"/>
      <w:bookmarkEnd w:id="2963"/>
      <w:bookmarkEnd w:id="2964"/>
      <w:bookmarkEnd w:id="2965"/>
      <w:bookmarkEnd w:id="2966"/>
      <w:bookmarkEnd w:id="2967"/>
      <w:bookmarkEnd w:id="2968"/>
      <w:bookmarkEnd w:id="2969"/>
      <w:bookmarkEnd w:id="2970"/>
      <w:bookmarkEnd w:id="2971"/>
      <w:bookmarkEnd w:id="2972"/>
      <w:bookmarkEnd w:id="2973"/>
      <w:bookmarkEnd w:id="2974"/>
      <w:bookmarkEnd w:id="2975"/>
      <w:bookmarkEnd w:id="2976"/>
      <w:bookmarkEnd w:id="2977"/>
      <w:bookmarkEnd w:id="2978"/>
      <w:bookmarkEnd w:id="2979"/>
      <w:bookmarkEnd w:id="2980"/>
      <w:bookmarkEnd w:id="2981"/>
      <w:bookmarkEnd w:id="2982"/>
      <w:bookmarkEnd w:id="2983"/>
      <w:bookmarkEnd w:id="2984"/>
      <w:bookmarkEnd w:id="2985"/>
      <w:bookmarkEnd w:id="2986"/>
      <w:bookmarkEnd w:id="2987"/>
      <w:bookmarkEnd w:id="2988"/>
      <w:bookmarkEnd w:id="2989"/>
      <w:bookmarkEnd w:id="2990"/>
      <w:bookmarkEnd w:id="2991"/>
      <w:bookmarkEnd w:id="2992"/>
      <w:bookmarkEnd w:id="2993"/>
      <w:bookmarkEnd w:id="2994"/>
      <w:bookmarkEnd w:id="2995"/>
      <w:bookmarkEnd w:id="2996"/>
      <w:bookmarkEnd w:id="2997"/>
      <w:bookmarkEnd w:id="2998"/>
      <w:bookmarkEnd w:id="2999"/>
      <w:bookmarkEnd w:id="3000"/>
      <w:bookmarkEnd w:id="3001"/>
      <w:bookmarkEnd w:id="3002"/>
      <w:bookmarkEnd w:id="3003"/>
      <w:bookmarkEnd w:id="3004"/>
      <w:bookmarkEnd w:id="3005"/>
      <w:bookmarkEnd w:id="3006"/>
      <w:bookmarkEnd w:id="3007"/>
      <w:bookmarkEnd w:id="3008"/>
      <w:bookmarkEnd w:id="3009"/>
      <w:bookmarkEnd w:id="3010"/>
      <w:bookmarkEnd w:id="3011"/>
      <w:bookmarkEnd w:id="3012"/>
      <w:bookmarkEnd w:id="3013"/>
      <w:bookmarkEnd w:id="3014"/>
      <w:r w:rsidRPr="00B53FFB">
        <w:rPr>
          <w:sz w:val="22"/>
          <w:szCs w:val="22"/>
        </w:rPr>
        <w:t>rivalry among providers is desirable not as an end in itself, but rather as a means of bringing tangible benefits to consumers, such as lower prices, higher quality, and greater choice of services.  To determine if the market is producing outcomes that bring benefits to consumers, in this section we analyze various metrics, including subscriber/connection growth and penetration, usage, pricing levels and trends, and network performance.</w:t>
      </w:r>
    </w:p>
    <w:p w:rsidR="004A147C" w:rsidRPr="00B53FFB" w:rsidRDefault="004A147C" w:rsidP="00CE5850">
      <w:pPr>
        <w:pStyle w:val="ParaNum"/>
        <w:numPr>
          <w:ilvl w:val="0"/>
          <w:numId w:val="28"/>
        </w:numPr>
        <w:rPr>
          <w:sz w:val="22"/>
          <w:szCs w:val="22"/>
        </w:rPr>
      </w:pPr>
      <w:r w:rsidRPr="00B53FFB">
        <w:rPr>
          <w:sz w:val="22"/>
          <w:szCs w:val="22"/>
        </w:rPr>
        <w:t xml:space="preserve">As in previous reports, the performance and outcomes section of this </w:t>
      </w:r>
      <w:r w:rsidRPr="00B53FFB">
        <w:rPr>
          <w:i/>
          <w:sz w:val="22"/>
          <w:szCs w:val="22"/>
        </w:rPr>
        <w:t>Report</w:t>
      </w:r>
      <w:r w:rsidRPr="00B53FFB">
        <w:rPr>
          <w:sz w:val="22"/>
          <w:szCs w:val="22"/>
        </w:rPr>
        <w:t xml:space="preserve"> tracks the pricing of mobile wireless services using available measures of prices or proxies based on average revenue.  In addition, this section supplements the analysis of price data with an analysis of measures of industry output, including subscribership and connection levels, net adds, and output and usage.  Churn data are an indicator of how often customers are switching between providers and pricing plans.  A decomposition of industry service revenues between voice and data shows that mobile wireless services continue to become increasingly data centric.  The analysis of profitability incorporates cost data that are not reflected in the pricing and revenue data.  </w:t>
      </w:r>
    </w:p>
    <w:p w:rsidR="004A147C" w:rsidRPr="00F90B33" w:rsidRDefault="004A147C" w:rsidP="00CE5850">
      <w:pPr>
        <w:pStyle w:val="Heading2"/>
        <w:keepNext w:val="0"/>
      </w:pPr>
      <w:bookmarkStart w:id="3042" w:name="_Ref256582542"/>
      <w:bookmarkStart w:id="3043" w:name="_Ref256582545"/>
      <w:bookmarkStart w:id="3044" w:name="_Toc261610779"/>
      <w:bookmarkStart w:id="3045" w:name="_Toc261858518"/>
      <w:bookmarkStart w:id="3046" w:name="_Toc262034323"/>
      <w:bookmarkStart w:id="3047" w:name="_Toc262034426"/>
      <w:bookmarkStart w:id="3048" w:name="_Toc271288465"/>
      <w:bookmarkStart w:id="3049" w:name="_Toc275517983"/>
      <w:bookmarkStart w:id="3050" w:name="_Toc275952423"/>
      <w:bookmarkStart w:id="3051" w:name="_Toc276121855"/>
      <w:bookmarkStart w:id="3052" w:name="_Toc276480691"/>
      <w:bookmarkStart w:id="3053" w:name="_Toc276741768"/>
      <w:bookmarkStart w:id="3054" w:name="_Toc277171533"/>
      <w:bookmarkStart w:id="3055" w:name="_Toc277864508"/>
      <w:bookmarkStart w:id="3056" w:name="_Toc277864724"/>
      <w:bookmarkStart w:id="3057" w:name="_Toc285810405"/>
      <w:bookmarkStart w:id="3058" w:name="_Toc287257799"/>
      <w:bookmarkStart w:id="3059" w:name="_Toc291758678"/>
      <w:bookmarkStart w:id="3060" w:name="_Toc291758781"/>
      <w:bookmarkStart w:id="3061" w:name="_Toc295392961"/>
      <w:bookmarkStart w:id="3062" w:name="_Toc331766329"/>
      <w:bookmarkStart w:id="3063" w:name="_Toc332119124"/>
      <w:bookmarkStart w:id="3064" w:name="_Toc334088801"/>
      <w:bookmarkStart w:id="3065" w:name="_Toc334089037"/>
      <w:bookmarkStart w:id="3066" w:name="_Toc334089196"/>
      <w:bookmarkStart w:id="3067" w:name="_Toc334089307"/>
      <w:bookmarkStart w:id="3068" w:name="_Toc334089471"/>
      <w:bookmarkStart w:id="3069" w:name="_Toc336268612"/>
      <w:bookmarkStart w:id="3070" w:name="_Toc336268720"/>
      <w:bookmarkStart w:id="3071" w:name="_Toc336268827"/>
      <w:bookmarkStart w:id="3072" w:name="_Toc336269041"/>
      <w:bookmarkStart w:id="3073" w:name="_Toc336269148"/>
      <w:bookmarkStart w:id="3074" w:name="_Toc336269516"/>
      <w:bookmarkStart w:id="3075" w:name="_Toc336269662"/>
      <w:bookmarkStart w:id="3076" w:name="_Toc336270075"/>
      <w:bookmarkStart w:id="3077" w:name="_Toc336271275"/>
      <w:bookmarkStart w:id="3078" w:name="_Toc337651981"/>
      <w:bookmarkStart w:id="3079" w:name="_Toc349577170"/>
      <w:bookmarkStart w:id="3080" w:name="_Toc349579262"/>
      <w:bookmarkStart w:id="3081" w:name="_Toc349580577"/>
      <w:bookmarkStart w:id="3082" w:name="_Toc349734985"/>
      <w:bookmarkStart w:id="3083" w:name="_Toc349742350"/>
      <w:r w:rsidRPr="00F90B33">
        <w:t xml:space="preserve">Numbers of Mobile Wireless Connections </w:t>
      </w:r>
      <w:bookmarkEnd w:id="3042"/>
      <w:bookmarkEnd w:id="3043"/>
      <w:bookmarkEnd w:id="3044"/>
      <w:bookmarkEnd w:id="3045"/>
      <w:bookmarkEnd w:id="3046"/>
      <w:bookmarkEnd w:id="3047"/>
      <w:bookmarkEnd w:id="3048"/>
      <w:bookmarkEnd w:id="3049"/>
      <w:bookmarkEnd w:id="3050"/>
      <w:bookmarkEnd w:id="3051"/>
      <w:bookmarkEnd w:id="3052"/>
      <w:bookmarkEnd w:id="3053"/>
      <w:bookmarkEnd w:id="3054"/>
      <w:bookmarkEnd w:id="3055"/>
      <w:bookmarkEnd w:id="3056"/>
      <w:bookmarkEnd w:id="3057"/>
      <w:bookmarkEnd w:id="3058"/>
      <w:bookmarkEnd w:id="3059"/>
      <w:bookmarkEnd w:id="3060"/>
      <w:bookmarkEnd w:id="3061"/>
      <w:r w:rsidRPr="00F90B33">
        <w:t>and Customers</w:t>
      </w:r>
      <w:bookmarkEnd w:id="3062"/>
      <w:bookmarkEnd w:id="3063"/>
      <w:bookmarkEnd w:id="3064"/>
      <w:bookmarkEnd w:id="3065"/>
      <w:bookmarkEnd w:id="3066"/>
      <w:bookmarkEnd w:id="3067"/>
      <w:bookmarkEnd w:id="3068"/>
      <w:bookmarkEnd w:id="3069"/>
      <w:bookmarkEnd w:id="3070"/>
      <w:bookmarkEnd w:id="3071"/>
      <w:bookmarkEnd w:id="3072"/>
      <w:bookmarkEnd w:id="3073"/>
      <w:bookmarkEnd w:id="3074"/>
      <w:bookmarkEnd w:id="3075"/>
      <w:bookmarkEnd w:id="3076"/>
      <w:bookmarkEnd w:id="3077"/>
      <w:bookmarkEnd w:id="3078"/>
      <w:bookmarkEnd w:id="3079"/>
      <w:bookmarkEnd w:id="3080"/>
      <w:bookmarkEnd w:id="3081"/>
      <w:bookmarkEnd w:id="3082"/>
      <w:bookmarkEnd w:id="3083"/>
    </w:p>
    <w:p w:rsidR="004A147C" w:rsidRPr="00B53FFB" w:rsidRDefault="004A147C" w:rsidP="00CE5850">
      <w:pPr>
        <w:pStyle w:val="Heading3"/>
        <w:keepNext w:val="0"/>
        <w:numPr>
          <w:ilvl w:val="2"/>
          <w:numId w:val="26"/>
        </w:numPr>
        <w:tabs>
          <w:tab w:val="left" w:pos="2160"/>
        </w:tabs>
        <w:rPr>
          <w:sz w:val="22"/>
          <w:szCs w:val="22"/>
        </w:rPr>
      </w:pPr>
      <w:bookmarkStart w:id="3084" w:name="_Ref331434649"/>
      <w:bookmarkStart w:id="3085" w:name="_Toc331766330"/>
      <w:bookmarkStart w:id="3086" w:name="_Toc332119125"/>
      <w:bookmarkStart w:id="3087" w:name="_Toc334088802"/>
      <w:bookmarkStart w:id="3088" w:name="_Toc334089038"/>
      <w:bookmarkStart w:id="3089" w:name="_Toc334089197"/>
      <w:bookmarkStart w:id="3090" w:name="_Toc334089308"/>
      <w:bookmarkStart w:id="3091" w:name="_Toc334089472"/>
      <w:bookmarkStart w:id="3092" w:name="_Toc336268613"/>
      <w:bookmarkStart w:id="3093" w:name="_Toc336268721"/>
      <w:bookmarkStart w:id="3094" w:name="_Toc336268828"/>
      <w:bookmarkStart w:id="3095" w:name="_Toc336269042"/>
      <w:bookmarkStart w:id="3096" w:name="_Toc336269149"/>
      <w:bookmarkStart w:id="3097" w:name="_Toc336269517"/>
      <w:bookmarkStart w:id="3098" w:name="_Toc336269663"/>
      <w:bookmarkStart w:id="3099" w:name="_Toc336270076"/>
      <w:bookmarkStart w:id="3100" w:name="_Toc336271276"/>
      <w:bookmarkStart w:id="3101" w:name="_Toc337651982"/>
      <w:bookmarkStart w:id="3102" w:name="_Toc349577171"/>
      <w:bookmarkStart w:id="3103" w:name="_Toc349579263"/>
      <w:bookmarkStart w:id="3104" w:name="_Toc349580578"/>
      <w:bookmarkStart w:id="3105" w:name="_Toc349734986"/>
      <w:bookmarkStart w:id="3106" w:name="_Toc349742351"/>
      <w:bookmarkStart w:id="3107" w:name="_Ref259107350"/>
      <w:bookmarkStart w:id="3108" w:name="_Toc271288467"/>
      <w:bookmarkStart w:id="3109" w:name="_Toc275517985"/>
      <w:bookmarkStart w:id="3110" w:name="_Toc275952425"/>
      <w:bookmarkStart w:id="3111" w:name="_Toc276121857"/>
      <w:bookmarkStart w:id="3112" w:name="_Toc276480693"/>
      <w:bookmarkStart w:id="3113" w:name="_Toc276741770"/>
      <w:bookmarkStart w:id="3114" w:name="_Toc277171535"/>
      <w:bookmarkStart w:id="3115" w:name="_Toc277864510"/>
      <w:bookmarkStart w:id="3116" w:name="_Toc277864726"/>
      <w:bookmarkStart w:id="3117" w:name="_Ref283293428"/>
      <w:bookmarkStart w:id="3118" w:name="_Ref283293430"/>
      <w:bookmarkStart w:id="3119" w:name="_Toc285810407"/>
      <w:bookmarkStart w:id="3120" w:name="_Toc287257801"/>
      <w:bookmarkStart w:id="3121" w:name="_Ref287350692"/>
      <w:bookmarkStart w:id="3122" w:name="_Toc291758680"/>
      <w:bookmarkStart w:id="3123" w:name="_Toc291758783"/>
      <w:bookmarkStart w:id="3124" w:name="_Toc295392963"/>
      <w:r w:rsidRPr="00B53FFB">
        <w:rPr>
          <w:sz w:val="22"/>
          <w:szCs w:val="22"/>
        </w:rPr>
        <w:t>Industry-Wide Connections</w:t>
      </w:r>
      <w:bookmarkEnd w:id="3084"/>
      <w:bookmarkEnd w:id="3085"/>
      <w:bookmarkEnd w:id="3086"/>
      <w:bookmarkEnd w:id="3087"/>
      <w:bookmarkEnd w:id="3088"/>
      <w:bookmarkEnd w:id="3089"/>
      <w:bookmarkEnd w:id="3090"/>
      <w:bookmarkEnd w:id="3091"/>
      <w:bookmarkEnd w:id="3092"/>
      <w:bookmarkEnd w:id="3093"/>
      <w:bookmarkEnd w:id="3094"/>
      <w:bookmarkEnd w:id="3095"/>
      <w:bookmarkEnd w:id="3096"/>
      <w:bookmarkEnd w:id="3097"/>
      <w:bookmarkEnd w:id="3098"/>
      <w:bookmarkEnd w:id="3099"/>
      <w:bookmarkEnd w:id="3100"/>
      <w:bookmarkEnd w:id="3101"/>
      <w:bookmarkEnd w:id="3102"/>
      <w:bookmarkEnd w:id="3103"/>
      <w:bookmarkEnd w:id="3104"/>
      <w:bookmarkEnd w:id="3105"/>
      <w:bookmarkEnd w:id="3106"/>
    </w:p>
    <w:p w:rsidR="004A147C" w:rsidRPr="00B53FFB" w:rsidRDefault="004A147C" w:rsidP="00CE5850">
      <w:pPr>
        <w:pStyle w:val="ParaNum"/>
        <w:numPr>
          <w:ilvl w:val="0"/>
          <w:numId w:val="28"/>
        </w:numPr>
        <w:rPr>
          <w:sz w:val="22"/>
          <w:szCs w:val="22"/>
        </w:rPr>
      </w:pPr>
      <w:r w:rsidRPr="00B53FFB">
        <w:rPr>
          <w:sz w:val="22"/>
          <w:szCs w:val="22"/>
        </w:rPr>
        <w:t>Based on estimates from two sources, the total number of mobile wireless connections now exceeds the total U.S. population.</w:t>
      </w:r>
      <w:r w:rsidRPr="00B53FFB">
        <w:rPr>
          <w:rStyle w:val="FootnoteReference"/>
          <w:szCs w:val="22"/>
        </w:rPr>
        <w:footnoteReference w:id="762"/>
      </w:r>
      <w:r w:rsidRPr="00B53FFB">
        <w:rPr>
          <w:sz w:val="22"/>
          <w:szCs w:val="22"/>
        </w:rPr>
        <w:t xml:space="preserve">  According to data from NRUF, there were an estimated 317.3 million total mobile wireless connections at the end of 2011, up five percent from 301.8 million at the end of 2010, and up nine percent from 290.</w:t>
      </w:r>
      <w:r w:rsidR="009B313E">
        <w:rPr>
          <w:sz w:val="22"/>
          <w:szCs w:val="22"/>
        </w:rPr>
        <w:t>7</w:t>
      </w:r>
      <w:r w:rsidRPr="00B53FFB">
        <w:rPr>
          <w:sz w:val="22"/>
          <w:szCs w:val="22"/>
        </w:rPr>
        <w:t xml:space="preserve"> million at the end of 2009 (see </w:t>
      </w:r>
      <w:r w:rsidR="00951E9B">
        <w:fldChar w:fldCharType="begin"/>
      </w:r>
      <w:r w:rsidR="00951E9B">
        <w:instrText xml:space="preserve"> REF _</w:instrText>
      </w:r>
      <w:r w:rsidR="00951E9B">
        <w:instrText xml:space="preserve">Ref330391727  \* MERGEFORMAT </w:instrText>
      </w:r>
      <w:r w:rsidR="00951E9B">
        <w:fldChar w:fldCharType="separate"/>
      </w:r>
      <w:r w:rsidR="00CA3AC6" w:rsidRPr="00CA3AC6">
        <w:rPr>
          <w:kern w:val="0"/>
          <w:sz w:val="22"/>
          <w:szCs w:val="22"/>
        </w:rPr>
        <w:t xml:space="preserve">Table </w:t>
      </w:r>
      <w:r w:rsidR="00CA3AC6" w:rsidRPr="00CA3AC6">
        <w:rPr>
          <w:noProof/>
          <w:kern w:val="0"/>
          <w:sz w:val="22"/>
          <w:szCs w:val="22"/>
        </w:rPr>
        <w:t>34</w:t>
      </w:r>
      <w:r w:rsidR="00951E9B">
        <w:rPr>
          <w:noProof/>
          <w:kern w:val="0"/>
          <w:sz w:val="22"/>
          <w:szCs w:val="22"/>
        </w:rPr>
        <w:fldChar w:fldCharType="end"/>
      </w:r>
      <w:r w:rsidRPr="00B53FFB">
        <w:rPr>
          <w:sz w:val="22"/>
          <w:szCs w:val="22"/>
        </w:rPr>
        <w:t>).</w:t>
      </w:r>
      <w:r w:rsidRPr="00B53FFB">
        <w:rPr>
          <w:rStyle w:val="FootnoteReference"/>
          <w:szCs w:val="22"/>
        </w:rPr>
        <w:footnoteReference w:id="763"/>
      </w:r>
      <w:r w:rsidRPr="00B53FFB">
        <w:rPr>
          <w:sz w:val="22"/>
          <w:szCs w:val="22"/>
        </w:rPr>
        <w:t xml:space="preserve">  According to data from CTIA, the total number of mobile wireless connections grew </w:t>
      </w:r>
      <w:r>
        <w:rPr>
          <w:sz w:val="22"/>
          <w:szCs w:val="22"/>
        </w:rPr>
        <w:t>four</w:t>
      </w:r>
      <w:r w:rsidRPr="00B53FFB">
        <w:rPr>
          <w:sz w:val="22"/>
          <w:szCs w:val="22"/>
        </w:rPr>
        <w:t xml:space="preserve"> percent from the end of 2009 to the end of 2010 to </w:t>
      </w:r>
      <w:r>
        <w:rPr>
          <w:sz w:val="22"/>
          <w:szCs w:val="22"/>
        </w:rPr>
        <w:t>296.3</w:t>
      </w:r>
      <w:r w:rsidRPr="00B53FFB">
        <w:rPr>
          <w:sz w:val="22"/>
          <w:szCs w:val="22"/>
        </w:rPr>
        <w:t xml:space="preserve"> million and an additional </w:t>
      </w:r>
      <w:r>
        <w:rPr>
          <w:sz w:val="22"/>
          <w:szCs w:val="22"/>
        </w:rPr>
        <w:t>seven</w:t>
      </w:r>
      <w:r w:rsidRPr="00B53FFB">
        <w:rPr>
          <w:sz w:val="22"/>
          <w:szCs w:val="22"/>
        </w:rPr>
        <w:t xml:space="preserve"> percent during 2011 to 3</w:t>
      </w:r>
      <w:r>
        <w:rPr>
          <w:sz w:val="22"/>
          <w:szCs w:val="22"/>
        </w:rPr>
        <w:t>16</w:t>
      </w:r>
      <w:r w:rsidRPr="00B53FFB">
        <w:rPr>
          <w:sz w:val="22"/>
          <w:szCs w:val="22"/>
        </w:rPr>
        <w:t>.</w:t>
      </w:r>
      <w:r>
        <w:rPr>
          <w:sz w:val="22"/>
          <w:szCs w:val="22"/>
        </w:rPr>
        <w:t>0</w:t>
      </w:r>
      <w:r w:rsidRPr="00B53FFB">
        <w:rPr>
          <w:sz w:val="22"/>
          <w:szCs w:val="22"/>
        </w:rPr>
        <w:t xml:space="preserve"> million at year-end 2011.</w:t>
      </w:r>
      <w:r w:rsidRPr="00B53FFB">
        <w:rPr>
          <w:rStyle w:val="FootnoteReference"/>
          <w:szCs w:val="22"/>
        </w:rPr>
        <w:footnoteReference w:id="764"/>
      </w:r>
      <w:r w:rsidRPr="00B53FFB">
        <w:rPr>
          <w:sz w:val="22"/>
          <w:szCs w:val="22"/>
        </w:rPr>
        <w:t xml:space="preserve">  </w:t>
      </w:r>
    </w:p>
    <w:p w:rsidR="004A147C" w:rsidRPr="00B53FFB" w:rsidRDefault="004A147C" w:rsidP="00CE5850">
      <w:pPr>
        <w:pStyle w:val="ParaNum"/>
        <w:tabs>
          <w:tab w:val="clear" w:pos="1440"/>
        </w:tabs>
        <w:ind w:firstLine="0"/>
        <w:jc w:val="center"/>
        <w:rPr>
          <w:b/>
          <w:sz w:val="22"/>
          <w:szCs w:val="22"/>
        </w:rPr>
      </w:pPr>
      <w:bookmarkStart w:id="3125" w:name="_Ref330391727"/>
      <w:r w:rsidRPr="00B53FFB">
        <w:rPr>
          <w:b/>
          <w:kern w:val="0"/>
          <w:sz w:val="22"/>
          <w:szCs w:val="22"/>
        </w:rPr>
        <w:t xml:space="preserve">Table </w:t>
      </w:r>
      <w:r w:rsidR="0007014B" w:rsidRPr="00B53FFB">
        <w:rPr>
          <w:b/>
          <w:kern w:val="0"/>
          <w:sz w:val="22"/>
          <w:szCs w:val="22"/>
        </w:rPr>
        <w:fldChar w:fldCharType="begin"/>
      </w:r>
      <w:r w:rsidRPr="00B53FFB">
        <w:rPr>
          <w:b/>
          <w:kern w:val="0"/>
          <w:sz w:val="22"/>
          <w:szCs w:val="22"/>
        </w:rPr>
        <w:instrText xml:space="preserve"> SEQ Table \* ARABIC </w:instrText>
      </w:r>
      <w:r w:rsidR="0007014B" w:rsidRPr="00B53FFB">
        <w:rPr>
          <w:b/>
          <w:kern w:val="0"/>
          <w:sz w:val="22"/>
          <w:szCs w:val="22"/>
        </w:rPr>
        <w:fldChar w:fldCharType="separate"/>
      </w:r>
      <w:r w:rsidR="00CA3AC6">
        <w:rPr>
          <w:b/>
          <w:noProof/>
          <w:kern w:val="0"/>
          <w:sz w:val="22"/>
          <w:szCs w:val="22"/>
        </w:rPr>
        <w:t>34</w:t>
      </w:r>
      <w:r w:rsidR="0007014B" w:rsidRPr="00B53FFB">
        <w:rPr>
          <w:b/>
          <w:kern w:val="0"/>
          <w:sz w:val="22"/>
          <w:szCs w:val="22"/>
        </w:rPr>
        <w:fldChar w:fldCharType="end"/>
      </w:r>
      <w:bookmarkEnd w:id="3125"/>
      <w:r w:rsidRPr="00B53FFB">
        <w:rPr>
          <w:b/>
          <w:kern w:val="0"/>
          <w:sz w:val="22"/>
          <w:szCs w:val="22"/>
        </w:rPr>
        <w:br/>
      </w:r>
      <w:r w:rsidRPr="00B53FFB">
        <w:rPr>
          <w:b/>
          <w:sz w:val="22"/>
          <w:szCs w:val="22"/>
        </w:rPr>
        <w:t>Estimated Total Mobile Wireless Connections, Year-end 2001-2011</w:t>
      </w:r>
      <w:r w:rsidRPr="00B53FFB">
        <w:rPr>
          <w:rStyle w:val="FootnoteReference"/>
          <w:bCs/>
          <w:szCs w:val="22"/>
        </w:rPr>
        <w:footnoteReference w:id="765"/>
      </w:r>
    </w:p>
    <w:tbl>
      <w:tblPr>
        <w:tblW w:w="6124" w:type="dxa"/>
        <w:jc w:val="center"/>
        <w:tblInd w:w="5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30" w:type="dxa"/>
          <w:right w:w="30" w:type="dxa"/>
        </w:tblCellMar>
        <w:tblLook w:val="0000" w:firstRow="0" w:lastRow="0" w:firstColumn="0" w:lastColumn="0" w:noHBand="0" w:noVBand="0"/>
      </w:tblPr>
      <w:tblGrid>
        <w:gridCol w:w="876"/>
        <w:gridCol w:w="1170"/>
        <w:gridCol w:w="1439"/>
        <w:gridCol w:w="1285"/>
        <w:gridCol w:w="1343"/>
        <w:gridCol w:w="11"/>
      </w:tblGrid>
      <w:tr w:rsidR="004A147C" w:rsidRPr="00B53FFB" w:rsidTr="00D626F5">
        <w:trPr>
          <w:trHeight w:val="170"/>
          <w:jc w:val="center"/>
        </w:trPr>
        <w:tc>
          <w:tcPr>
            <w:tcW w:w="876" w:type="dxa"/>
          </w:tcPr>
          <w:p w:rsidR="004A147C" w:rsidRPr="00B53FFB" w:rsidRDefault="004A147C" w:rsidP="00CE5850">
            <w:pPr>
              <w:spacing w:after="120"/>
              <w:jc w:val="center"/>
              <w:rPr>
                <w:rStyle w:val="Normal1"/>
                <w:szCs w:val="22"/>
              </w:rPr>
            </w:pPr>
          </w:p>
        </w:tc>
        <w:tc>
          <w:tcPr>
            <w:tcW w:w="3894" w:type="dxa"/>
            <w:gridSpan w:val="3"/>
          </w:tcPr>
          <w:p w:rsidR="004A147C" w:rsidRPr="00B53FFB" w:rsidRDefault="004A147C" w:rsidP="00CE5850">
            <w:pPr>
              <w:spacing w:after="120"/>
              <w:jc w:val="center"/>
              <w:rPr>
                <w:rStyle w:val="Normal1"/>
                <w:b/>
                <w:szCs w:val="22"/>
              </w:rPr>
            </w:pPr>
            <w:r w:rsidRPr="00B53FFB">
              <w:rPr>
                <w:rStyle w:val="Normal1"/>
                <w:b/>
                <w:szCs w:val="22"/>
              </w:rPr>
              <w:t>NRUF</w:t>
            </w:r>
          </w:p>
        </w:tc>
        <w:tc>
          <w:tcPr>
            <w:tcW w:w="1354" w:type="dxa"/>
            <w:gridSpan w:val="2"/>
          </w:tcPr>
          <w:p w:rsidR="004A147C" w:rsidRPr="00B53FFB" w:rsidRDefault="004A147C" w:rsidP="00CE5850">
            <w:pPr>
              <w:spacing w:after="120"/>
              <w:jc w:val="center"/>
              <w:rPr>
                <w:rStyle w:val="Normal1"/>
                <w:b/>
                <w:szCs w:val="22"/>
              </w:rPr>
            </w:pPr>
            <w:r w:rsidRPr="00B53FFB">
              <w:rPr>
                <w:rStyle w:val="Normal1"/>
                <w:b/>
                <w:szCs w:val="22"/>
              </w:rPr>
              <w:t>CTIA</w:t>
            </w:r>
          </w:p>
        </w:tc>
      </w:tr>
      <w:tr w:rsidR="004A147C" w:rsidRPr="00B53FFB" w:rsidTr="00D626F5">
        <w:trPr>
          <w:gridAfter w:val="1"/>
          <w:wAfter w:w="11" w:type="dxa"/>
          <w:trHeight w:val="512"/>
          <w:jc w:val="center"/>
        </w:trPr>
        <w:tc>
          <w:tcPr>
            <w:tcW w:w="876" w:type="dxa"/>
          </w:tcPr>
          <w:p w:rsidR="004A147C" w:rsidRPr="00B53FFB" w:rsidRDefault="004A147C" w:rsidP="00CE5850">
            <w:pPr>
              <w:jc w:val="center"/>
              <w:rPr>
                <w:rStyle w:val="Normal1"/>
                <w:b/>
                <w:i/>
                <w:szCs w:val="22"/>
              </w:rPr>
            </w:pPr>
            <w:r w:rsidRPr="00B53FFB">
              <w:rPr>
                <w:rStyle w:val="Normal1"/>
                <w:b/>
                <w:i/>
                <w:szCs w:val="22"/>
              </w:rPr>
              <w:t>Year</w:t>
            </w:r>
          </w:p>
        </w:tc>
        <w:tc>
          <w:tcPr>
            <w:tcW w:w="1170" w:type="dxa"/>
          </w:tcPr>
          <w:p w:rsidR="004A147C" w:rsidRPr="00B53FFB" w:rsidRDefault="004A147C" w:rsidP="00CE5850">
            <w:pPr>
              <w:jc w:val="center"/>
              <w:rPr>
                <w:rStyle w:val="Normal1"/>
                <w:b/>
                <w:i/>
                <w:szCs w:val="22"/>
              </w:rPr>
            </w:pPr>
            <w:r w:rsidRPr="00B53FFB">
              <w:rPr>
                <w:rStyle w:val="Normal1"/>
                <w:b/>
                <w:i/>
                <w:szCs w:val="22"/>
              </w:rPr>
              <w:t>Connected Devices</w:t>
            </w:r>
          </w:p>
          <w:p w:rsidR="004A147C" w:rsidRPr="00B53FFB" w:rsidRDefault="004A147C" w:rsidP="00CE5850">
            <w:pPr>
              <w:jc w:val="center"/>
              <w:rPr>
                <w:rStyle w:val="Normal1"/>
                <w:b/>
                <w:i/>
                <w:szCs w:val="22"/>
              </w:rPr>
            </w:pPr>
            <w:r w:rsidRPr="00B53FFB">
              <w:rPr>
                <w:rStyle w:val="Normal1"/>
                <w:b/>
                <w:i/>
                <w:szCs w:val="22"/>
              </w:rPr>
              <w:t>(millions)</w:t>
            </w:r>
          </w:p>
        </w:tc>
        <w:tc>
          <w:tcPr>
            <w:tcW w:w="1439" w:type="dxa"/>
          </w:tcPr>
          <w:p w:rsidR="004A147C" w:rsidRPr="00B53FFB" w:rsidRDefault="004A147C" w:rsidP="00CE5850">
            <w:pPr>
              <w:jc w:val="center"/>
              <w:rPr>
                <w:rStyle w:val="Normal1"/>
                <w:b/>
                <w:i/>
                <w:szCs w:val="22"/>
              </w:rPr>
            </w:pPr>
            <w:r w:rsidRPr="00B53FFB">
              <w:rPr>
                <w:rStyle w:val="Normal1"/>
                <w:b/>
                <w:i/>
                <w:szCs w:val="22"/>
              </w:rPr>
              <w:t>Increase from previous year</w:t>
            </w:r>
          </w:p>
          <w:p w:rsidR="004A147C" w:rsidRPr="00B53FFB" w:rsidRDefault="004A147C" w:rsidP="00CE5850">
            <w:pPr>
              <w:jc w:val="center"/>
              <w:rPr>
                <w:rStyle w:val="Normal1"/>
                <w:b/>
                <w:i/>
                <w:szCs w:val="22"/>
              </w:rPr>
            </w:pPr>
            <w:r w:rsidRPr="00B53FFB">
              <w:rPr>
                <w:rStyle w:val="Normal1"/>
                <w:b/>
                <w:i/>
                <w:szCs w:val="22"/>
              </w:rPr>
              <w:t>(millions)</w:t>
            </w:r>
          </w:p>
        </w:tc>
        <w:tc>
          <w:tcPr>
            <w:tcW w:w="1285" w:type="dxa"/>
          </w:tcPr>
          <w:p w:rsidR="004A147C" w:rsidRPr="00B53FFB" w:rsidRDefault="004A147C" w:rsidP="00CE5850">
            <w:pPr>
              <w:jc w:val="center"/>
              <w:rPr>
                <w:rStyle w:val="Normal1"/>
                <w:b/>
                <w:i/>
                <w:szCs w:val="22"/>
              </w:rPr>
            </w:pPr>
            <w:r w:rsidRPr="00B53FFB">
              <w:rPr>
                <w:rStyle w:val="Normal1"/>
                <w:b/>
                <w:i/>
                <w:szCs w:val="22"/>
              </w:rPr>
              <w:t xml:space="preserve">Connections Per 100 People </w:t>
            </w:r>
          </w:p>
        </w:tc>
        <w:tc>
          <w:tcPr>
            <w:tcW w:w="1343" w:type="dxa"/>
          </w:tcPr>
          <w:p w:rsidR="004A147C" w:rsidRPr="00B53FFB" w:rsidRDefault="004A147C" w:rsidP="00CE5850">
            <w:pPr>
              <w:jc w:val="center"/>
              <w:rPr>
                <w:rStyle w:val="Normal1"/>
                <w:b/>
                <w:i/>
                <w:szCs w:val="22"/>
              </w:rPr>
            </w:pPr>
            <w:r>
              <w:rPr>
                <w:rStyle w:val="Normal1"/>
                <w:b/>
                <w:i/>
                <w:szCs w:val="22"/>
              </w:rPr>
              <w:t>Estimated</w:t>
            </w:r>
            <w:r w:rsidRPr="00B53FFB">
              <w:rPr>
                <w:rStyle w:val="Normal1"/>
                <w:b/>
                <w:i/>
                <w:szCs w:val="22"/>
              </w:rPr>
              <w:t xml:space="preserve"> Connections</w:t>
            </w:r>
          </w:p>
          <w:p w:rsidR="004A147C" w:rsidRPr="00B53FFB" w:rsidRDefault="004A147C" w:rsidP="00CE5850">
            <w:pPr>
              <w:jc w:val="center"/>
              <w:rPr>
                <w:rStyle w:val="Normal1"/>
                <w:b/>
                <w:szCs w:val="22"/>
              </w:rPr>
            </w:pPr>
            <w:r w:rsidRPr="00B53FFB">
              <w:rPr>
                <w:rStyle w:val="Normal1"/>
                <w:b/>
                <w:i/>
                <w:szCs w:val="22"/>
              </w:rPr>
              <w:t>(millions)</w:t>
            </w:r>
          </w:p>
        </w:tc>
      </w:tr>
      <w:tr w:rsidR="004A147C" w:rsidRPr="00B53FFB" w:rsidTr="00D626F5">
        <w:trPr>
          <w:gridAfter w:val="1"/>
          <w:wAfter w:w="11" w:type="dxa"/>
          <w:trHeight w:val="188"/>
          <w:jc w:val="center"/>
        </w:trPr>
        <w:tc>
          <w:tcPr>
            <w:tcW w:w="876" w:type="dxa"/>
            <w:vAlign w:val="bottom"/>
          </w:tcPr>
          <w:p w:rsidR="004A147C" w:rsidRPr="00B53FFB" w:rsidRDefault="004A147C" w:rsidP="00CE5850">
            <w:pPr>
              <w:rPr>
                <w:rStyle w:val="Normal1"/>
                <w:szCs w:val="22"/>
              </w:rPr>
            </w:pPr>
            <w:r w:rsidRPr="00B53FFB">
              <w:rPr>
                <w:rStyle w:val="Normal1"/>
                <w:szCs w:val="22"/>
              </w:rPr>
              <w:t>2001</w:t>
            </w:r>
          </w:p>
        </w:tc>
        <w:tc>
          <w:tcPr>
            <w:tcW w:w="1170" w:type="dxa"/>
            <w:vAlign w:val="bottom"/>
          </w:tcPr>
          <w:p w:rsidR="004A147C" w:rsidRPr="00B53FFB" w:rsidRDefault="004A147C" w:rsidP="00CE5850">
            <w:pPr>
              <w:jc w:val="right"/>
              <w:rPr>
                <w:rStyle w:val="Normal1"/>
                <w:szCs w:val="22"/>
              </w:rPr>
            </w:pPr>
            <w:r w:rsidRPr="00B53FFB">
              <w:rPr>
                <w:rStyle w:val="Normal1"/>
                <w:szCs w:val="22"/>
              </w:rPr>
              <w:t>128.5</w:t>
            </w:r>
          </w:p>
        </w:tc>
        <w:tc>
          <w:tcPr>
            <w:tcW w:w="1439" w:type="dxa"/>
            <w:vAlign w:val="bottom"/>
          </w:tcPr>
          <w:p w:rsidR="004A147C" w:rsidRPr="00B53FFB" w:rsidRDefault="004A147C" w:rsidP="00CE5850">
            <w:pPr>
              <w:jc w:val="right"/>
              <w:rPr>
                <w:rStyle w:val="Normal1"/>
                <w:szCs w:val="22"/>
              </w:rPr>
            </w:pPr>
            <w:r w:rsidRPr="00B53FFB">
              <w:rPr>
                <w:rStyle w:val="Normal1"/>
                <w:szCs w:val="22"/>
              </w:rPr>
              <w:t>n/a</w:t>
            </w:r>
          </w:p>
        </w:tc>
        <w:tc>
          <w:tcPr>
            <w:tcW w:w="1285" w:type="dxa"/>
            <w:vAlign w:val="bottom"/>
          </w:tcPr>
          <w:p w:rsidR="004A147C" w:rsidRPr="00B53FFB" w:rsidRDefault="004A147C" w:rsidP="00CE5850">
            <w:pPr>
              <w:jc w:val="right"/>
              <w:rPr>
                <w:rStyle w:val="Normal1"/>
                <w:szCs w:val="22"/>
              </w:rPr>
            </w:pPr>
            <w:r w:rsidRPr="00B53FFB">
              <w:rPr>
                <w:rStyle w:val="Normal1"/>
                <w:szCs w:val="22"/>
              </w:rPr>
              <w:t>45</w:t>
            </w:r>
          </w:p>
        </w:tc>
        <w:tc>
          <w:tcPr>
            <w:tcW w:w="1343" w:type="dxa"/>
          </w:tcPr>
          <w:p w:rsidR="004A147C" w:rsidRPr="00B53FFB" w:rsidRDefault="004A147C" w:rsidP="00CE5850">
            <w:pPr>
              <w:jc w:val="right"/>
              <w:rPr>
                <w:rStyle w:val="Normal1"/>
                <w:szCs w:val="22"/>
              </w:rPr>
            </w:pPr>
            <w:r w:rsidRPr="00B53FFB">
              <w:rPr>
                <w:rStyle w:val="Normal1"/>
                <w:szCs w:val="22"/>
              </w:rPr>
              <w:t>128.4</w:t>
            </w:r>
          </w:p>
        </w:tc>
      </w:tr>
      <w:tr w:rsidR="004A147C" w:rsidRPr="00B53FFB" w:rsidTr="00D626F5">
        <w:trPr>
          <w:gridAfter w:val="1"/>
          <w:wAfter w:w="11" w:type="dxa"/>
          <w:trHeight w:val="197"/>
          <w:jc w:val="center"/>
        </w:trPr>
        <w:tc>
          <w:tcPr>
            <w:tcW w:w="876" w:type="dxa"/>
            <w:vAlign w:val="bottom"/>
          </w:tcPr>
          <w:p w:rsidR="004A147C" w:rsidRPr="00B53FFB" w:rsidRDefault="004A147C" w:rsidP="00CE5850">
            <w:pPr>
              <w:rPr>
                <w:rStyle w:val="Normal1"/>
                <w:szCs w:val="22"/>
              </w:rPr>
            </w:pPr>
            <w:r w:rsidRPr="00B53FFB">
              <w:rPr>
                <w:rStyle w:val="Normal1"/>
                <w:szCs w:val="22"/>
              </w:rPr>
              <w:t>2002</w:t>
            </w:r>
          </w:p>
        </w:tc>
        <w:tc>
          <w:tcPr>
            <w:tcW w:w="1170" w:type="dxa"/>
            <w:vAlign w:val="bottom"/>
          </w:tcPr>
          <w:p w:rsidR="004A147C" w:rsidRPr="00B53FFB" w:rsidRDefault="004A147C" w:rsidP="00CE5850">
            <w:pPr>
              <w:jc w:val="right"/>
              <w:rPr>
                <w:rStyle w:val="Normal1"/>
                <w:szCs w:val="22"/>
              </w:rPr>
            </w:pPr>
            <w:r w:rsidRPr="00B53FFB">
              <w:rPr>
                <w:rStyle w:val="Normal1"/>
                <w:szCs w:val="22"/>
              </w:rPr>
              <w:t>141.8</w:t>
            </w:r>
          </w:p>
        </w:tc>
        <w:tc>
          <w:tcPr>
            <w:tcW w:w="1439" w:type="dxa"/>
            <w:vAlign w:val="bottom"/>
          </w:tcPr>
          <w:p w:rsidR="004A147C" w:rsidRPr="00B53FFB" w:rsidRDefault="004A147C" w:rsidP="00CE5850">
            <w:pPr>
              <w:jc w:val="right"/>
              <w:rPr>
                <w:rStyle w:val="Normal1"/>
                <w:szCs w:val="22"/>
              </w:rPr>
            </w:pPr>
            <w:r w:rsidRPr="00B53FFB">
              <w:rPr>
                <w:rStyle w:val="Normal1"/>
                <w:szCs w:val="22"/>
              </w:rPr>
              <w:t>13.3</w:t>
            </w:r>
          </w:p>
        </w:tc>
        <w:tc>
          <w:tcPr>
            <w:tcW w:w="1285" w:type="dxa"/>
            <w:vAlign w:val="bottom"/>
          </w:tcPr>
          <w:p w:rsidR="004A147C" w:rsidRPr="00B53FFB" w:rsidRDefault="004A147C" w:rsidP="00CE5850">
            <w:pPr>
              <w:jc w:val="right"/>
              <w:rPr>
                <w:rStyle w:val="Normal1"/>
                <w:szCs w:val="22"/>
              </w:rPr>
            </w:pPr>
            <w:r w:rsidRPr="00B53FFB">
              <w:rPr>
                <w:rStyle w:val="Normal1"/>
                <w:szCs w:val="22"/>
              </w:rPr>
              <w:t>49</w:t>
            </w:r>
          </w:p>
        </w:tc>
        <w:tc>
          <w:tcPr>
            <w:tcW w:w="1343" w:type="dxa"/>
          </w:tcPr>
          <w:p w:rsidR="004A147C" w:rsidRPr="00B53FFB" w:rsidRDefault="004A147C" w:rsidP="00CE5850">
            <w:pPr>
              <w:jc w:val="right"/>
              <w:rPr>
                <w:rStyle w:val="Normal1"/>
                <w:szCs w:val="22"/>
              </w:rPr>
            </w:pPr>
            <w:r w:rsidRPr="00B53FFB">
              <w:rPr>
                <w:rStyle w:val="Normal1"/>
                <w:szCs w:val="22"/>
              </w:rPr>
              <w:t>140.8</w:t>
            </w:r>
          </w:p>
        </w:tc>
      </w:tr>
      <w:tr w:rsidR="004A147C" w:rsidRPr="00B53FFB" w:rsidTr="00D626F5">
        <w:trPr>
          <w:gridAfter w:val="1"/>
          <w:wAfter w:w="11" w:type="dxa"/>
          <w:trHeight w:val="262"/>
          <w:jc w:val="center"/>
        </w:trPr>
        <w:tc>
          <w:tcPr>
            <w:tcW w:w="876" w:type="dxa"/>
            <w:vAlign w:val="bottom"/>
          </w:tcPr>
          <w:p w:rsidR="004A147C" w:rsidRPr="00B53FFB" w:rsidRDefault="004A147C" w:rsidP="00CE5850">
            <w:pPr>
              <w:rPr>
                <w:rStyle w:val="Normal1"/>
                <w:szCs w:val="22"/>
              </w:rPr>
            </w:pPr>
            <w:r w:rsidRPr="00B53FFB">
              <w:rPr>
                <w:rStyle w:val="Normal1"/>
                <w:szCs w:val="22"/>
              </w:rPr>
              <w:t>2003</w:t>
            </w:r>
          </w:p>
        </w:tc>
        <w:tc>
          <w:tcPr>
            <w:tcW w:w="1170" w:type="dxa"/>
            <w:vAlign w:val="bottom"/>
          </w:tcPr>
          <w:p w:rsidR="004A147C" w:rsidRPr="00B53FFB" w:rsidRDefault="004A147C" w:rsidP="00CE5850">
            <w:pPr>
              <w:jc w:val="right"/>
              <w:rPr>
                <w:rStyle w:val="Normal1"/>
                <w:szCs w:val="22"/>
              </w:rPr>
            </w:pPr>
            <w:r w:rsidRPr="00B53FFB">
              <w:rPr>
                <w:rStyle w:val="Normal1"/>
                <w:szCs w:val="22"/>
              </w:rPr>
              <w:t>160.6</w:t>
            </w:r>
          </w:p>
        </w:tc>
        <w:tc>
          <w:tcPr>
            <w:tcW w:w="1439" w:type="dxa"/>
            <w:vAlign w:val="bottom"/>
          </w:tcPr>
          <w:p w:rsidR="004A147C" w:rsidRPr="00B53FFB" w:rsidRDefault="004A147C" w:rsidP="00CE5850">
            <w:pPr>
              <w:jc w:val="right"/>
              <w:rPr>
                <w:rStyle w:val="Normal1"/>
                <w:szCs w:val="22"/>
              </w:rPr>
            </w:pPr>
            <w:r w:rsidRPr="00B53FFB">
              <w:rPr>
                <w:rStyle w:val="Normal1"/>
                <w:szCs w:val="22"/>
              </w:rPr>
              <w:t>18.8</w:t>
            </w:r>
          </w:p>
        </w:tc>
        <w:tc>
          <w:tcPr>
            <w:tcW w:w="1285" w:type="dxa"/>
            <w:vAlign w:val="bottom"/>
          </w:tcPr>
          <w:p w:rsidR="004A147C" w:rsidRPr="00B53FFB" w:rsidRDefault="004A147C" w:rsidP="00CE5850">
            <w:pPr>
              <w:jc w:val="right"/>
              <w:rPr>
                <w:rStyle w:val="Normal1"/>
                <w:szCs w:val="22"/>
              </w:rPr>
            </w:pPr>
            <w:r w:rsidRPr="00B53FFB">
              <w:rPr>
                <w:rStyle w:val="Normal1"/>
                <w:szCs w:val="22"/>
              </w:rPr>
              <w:t>54</w:t>
            </w:r>
          </w:p>
        </w:tc>
        <w:tc>
          <w:tcPr>
            <w:tcW w:w="1343" w:type="dxa"/>
          </w:tcPr>
          <w:p w:rsidR="004A147C" w:rsidRPr="00B53FFB" w:rsidRDefault="004A147C" w:rsidP="00CE5850">
            <w:pPr>
              <w:jc w:val="right"/>
              <w:rPr>
                <w:rStyle w:val="Normal1"/>
                <w:szCs w:val="22"/>
              </w:rPr>
            </w:pPr>
            <w:r w:rsidRPr="00B53FFB">
              <w:rPr>
                <w:rStyle w:val="Normal1"/>
                <w:szCs w:val="22"/>
              </w:rPr>
              <w:t>158.7</w:t>
            </w:r>
          </w:p>
        </w:tc>
      </w:tr>
      <w:tr w:rsidR="004A147C" w:rsidRPr="00B53FFB" w:rsidTr="00D626F5">
        <w:trPr>
          <w:gridAfter w:val="1"/>
          <w:wAfter w:w="11" w:type="dxa"/>
          <w:trHeight w:val="197"/>
          <w:jc w:val="center"/>
        </w:trPr>
        <w:tc>
          <w:tcPr>
            <w:tcW w:w="876" w:type="dxa"/>
            <w:vAlign w:val="bottom"/>
          </w:tcPr>
          <w:p w:rsidR="004A147C" w:rsidRPr="00B53FFB" w:rsidRDefault="004A147C" w:rsidP="00CE5850">
            <w:pPr>
              <w:rPr>
                <w:rStyle w:val="Normal1"/>
                <w:szCs w:val="22"/>
              </w:rPr>
            </w:pPr>
            <w:r w:rsidRPr="00B53FFB">
              <w:rPr>
                <w:rStyle w:val="Normal1"/>
                <w:szCs w:val="22"/>
              </w:rPr>
              <w:t>2004</w:t>
            </w:r>
          </w:p>
        </w:tc>
        <w:tc>
          <w:tcPr>
            <w:tcW w:w="1170" w:type="dxa"/>
            <w:vAlign w:val="bottom"/>
          </w:tcPr>
          <w:p w:rsidR="004A147C" w:rsidRPr="00B53FFB" w:rsidRDefault="004A147C" w:rsidP="00CE5850">
            <w:pPr>
              <w:jc w:val="right"/>
              <w:rPr>
                <w:rStyle w:val="Normal1"/>
                <w:szCs w:val="22"/>
              </w:rPr>
            </w:pPr>
            <w:r w:rsidRPr="00B53FFB">
              <w:rPr>
                <w:rStyle w:val="Normal1"/>
                <w:szCs w:val="22"/>
              </w:rPr>
              <w:t>184.7</w:t>
            </w:r>
          </w:p>
        </w:tc>
        <w:tc>
          <w:tcPr>
            <w:tcW w:w="1439" w:type="dxa"/>
            <w:vAlign w:val="bottom"/>
          </w:tcPr>
          <w:p w:rsidR="004A147C" w:rsidRPr="00B53FFB" w:rsidRDefault="004A147C" w:rsidP="00CE5850">
            <w:pPr>
              <w:jc w:val="right"/>
              <w:rPr>
                <w:rStyle w:val="Normal1"/>
                <w:szCs w:val="22"/>
              </w:rPr>
            </w:pPr>
            <w:r w:rsidRPr="00B53FFB">
              <w:rPr>
                <w:rStyle w:val="Normal1"/>
                <w:szCs w:val="22"/>
              </w:rPr>
              <w:t>24.1</w:t>
            </w:r>
          </w:p>
        </w:tc>
        <w:tc>
          <w:tcPr>
            <w:tcW w:w="1285" w:type="dxa"/>
            <w:vAlign w:val="bottom"/>
          </w:tcPr>
          <w:p w:rsidR="004A147C" w:rsidRPr="00B53FFB" w:rsidRDefault="004A147C" w:rsidP="00CE5850">
            <w:pPr>
              <w:jc w:val="right"/>
              <w:rPr>
                <w:rStyle w:val="Normal1"/>
                <w:szCs w:val="22"/>
              </w:rPr>
            </w:pPr>
            <w:r w:rsidRPr="00B53FFB">
              <w:rPr>
                <w:rStyle w:val="Normal1"/>
                <w:szCs w:val="22"/>
              </w:rPr>
              <w:t>62</w:t>
            </w:r>
          </w:p>
        </w:tc>
        <w:tc>
          <w:tcPr>
            <w:tcW w:w="1343" w:type="dxa"/>
          </w:tcPr>
          <w:p w:rsidR="004A147C" w:rsidRPr="00B53FFB" w:rsidRDefault="004A147C" w:rsidP="00CE5850">
            <w:pPr>
              <w:jc w:val="right"/>
              <w:rPr>
                <w:rStyle w:val="Normal1"/>
                <w:szCs w:val="22"/>
              </w:rPr>
            </w:pPr>
            <w:r w:rsidRPr="00B53FFB">
              <w:rPr>
                <w:rStyle w:val="Normal1"/>
                <w:szCs w:val="22"/>
              </w:rPr>
              <w:t>182.1</w:t>
            </w:r>
          </w:p>
        </w:tc>
      </w:tr>
      <w:tr w:rsidR="004A147C" w:rsidRPr="00B53FFB" w:rsidTr="00D626F5">
        <w:trPr>
          <w:gridAfter w:val="1"/>
          <w:wAfter w:w="11" w:type="dxa"/>
          <w:trHeight w:val="215"/>
          <w:jc w:val="center"/>
        </w:trPr>
        <w:tc>
          <w:tcPr>
            <w:tcW w:w="876" w:type="dxa"/>
            <w:vAlign w:val="bottom"/>
          </w:tcPr>
          <w:p w:rsidR="004A147C" w:rsidRPr="00B53FFB" w:rsidRDefault="004A147C" w:rsidP="00CE5850">
            <w:pPr>
              <w:rPr>
                <w:rStyle w:val="Normal1"/>
                <w:szCs w:val="22"/>
              </w:rPr>
            </w:pPr>
            <w:r w:rsidRPr="00B53FFB">
              <w:rPr>
                <w:rStyle w:val="Normal1"/>
                <w:szCs w:val="22"/>
              </w:rPr>
              <w:t>2005</w:t>
            </w:r>
          </w:p>
        </w:tc>
        <w:tc>
          <w:tcPr>
            <w:tcW w:w="1170" w:type="dxa"/>
            <w:vAlign w:val="bottom"/>
          </w:tcPr>
          <w:p w:rsidR="004A147C" w:rsidRPr="00B53FFB" w:rsidRDefault="004A147C" w:rsidP="00CE5850">
            <w:pPr>
              <w:jc w:val="right"/>
              <w:rPr>
                <w:rStyle w:val="Normal1"/>
                <w:szCs w:val="22"/>
              </w:rPr>
            </w:pPr>
            <w:r w:rsidRPr="00B53FFB">
              <w:rPr>
                <w:rStyle w:val="Normal1"/>
                <w:szCs w:val="22"/>
              </w:rPr>
              <w:t>213.0</w:t>
            </w:r>
          </w:p>
        </w:tc>
        <w:tc>
          <w:tcPr>
            <w:tcW w:w="1439" w:type="dxa"/>
            <w:vAlign w:val="bottom"/>
          </w:tcPr>
          <w:p w:rsidR="004A147C" w:rsidRPr="00B53FFB" w:rsidRDefault="004A147C" w:rsidP="00CE5850">
            <w:pPr>
              <w:jc w:val="right"/>
              <w:rPr>
                <w:rStyle w:val="Normal1"/>
                <w:szCs w:val="22"/>
              </w:rPr>
            </w:pPr>
            <w:r w:rsidRPr="00B53FFB">
              <w:rPr>
                <w:rStyle w:val="Normal1"/>
                <w:szCs w:val="22"/>
              </w:rPr>
              <w:t>28.3</w:t>
            </w:r>
          </w:p>
        </w:tc>
        <w:tc>
          <w:tcPr>
            <w:tcW w:w="1285" w:type="dxa"/>
            <w:vAlign w:val="bottom"/>
          </w:tcPr>
          <w:p w:rsidR="004A147C" w:rsidRPr="00B53FFB" w:rsidRDefault="004A147C" w:rsidP="00CE5850">
            <w:pPr>
              <w:jc w:val="right"/>
              <w:rPr>
                <w:rStyle w:val="Normal1"/>
                <w:szCs w:val="22"/>
              </w:rPr>
            </w:pPr>
            <w:r w:rsidRPr="00B53FFB">
              <w:rPr>
                <w:rStyle w:val="Normal1"/>
                <w:szCs w:val="22"/>
              </w:rPr>
              <w:t>71</w:t>
            </w:r>
          </w:p>
        </w:tc>
        <w:tc>
          <w:tcPr>
            <w:tcW w:w="1343" w:type="dxa"/>
          </w:tcPr>
          <w:p w:rsidR="004A147C" w:rsidRPr="00B53FFB" w:rsidRDefault="004A147C" w:rsidP="00CE5850">
            <w:pPr>
              <w:jc w:val="right"/>
              <w:rPr>
                <w:rStyle w:val="Normal1"/>
                <w:szCs w:val="22"/>
              </w:rPr>
            </w:pPr>
            <w:r w:rsidRPr="00B53FFB">
              <w:rPr>
                <w:rStyle w:val="Normal1"/>
                <w:szCs w:val="22"/>
              </w:rPr>
              <w:t>207.9</w:t>
            </w:r>
          </w:p>
        </w:tc>
      </w:tr>
      <w:tr w:rsidR="004A147C" w:rsidRPr="00B53FFB" w:rsidTr="00D626F5">
        <w:trPr>
          <w:gridAfter w:val="1"/>
          <w:wAfter w:w="11" w:type="dxa"/>
          <w:trHeight w:val="215"/>
          <w:jc w:val="center"/>
        </w:trPr>
        <w:tc>
          <w:tcPr>
            <w:tcW w:w="876" w:type="dxa"/>
            <w:vAlign w:val="bottom"/>
          </w:tcPr>
          <w:p w:rsidR="004A147C" w:rsidRPr="00B53FFB" w:rsidRDefault="004A147C" w:rsidP="00CE5850">
            <w:pPr>
              <w:rPr>
                <w:rStyle w:val="Normal1"/>
                <w:szCs w:val="22"/>
              </w:rPr>
            </w:pPr>
            <w:r w:rsidRPr="00B53FFB">
              <w:rPr>
                <w:rStyle w:val="Normal1"/>
                <w:szCs w:val="22"/>
              </w:rPr>
              <w:t>2006</w:t>
            </w:r>
          </w:p>
        </w:tc>
        <w:tc>
          <w:tcPr>
            <w:tcW w:w="1170" w:type="dxa"/>
            <w:vAlign w:val="bottom"/>
          </w:tcPr>
          <w:p w:rsidR="004A147C" w:rsidRPr="00B53FFB" w:rsidRDefault="004A147C" w:rsidP="00CE5850">
            <w:pPr>
              <w:jc w:val="right"/>
              <w:rPr>
                <w:rStyle w:val="Normal1"/>
                <w:szCs w:val="22"/>
              </w:rPr>
            </w:pPr>
            <w:r w:rsidRPr="00B53FFB">
              <w:rPr>
                <w:rStyle w:val="Normal1"/>
                <w:szCs w:val="22"/>
              </w:rPr>
              <w:t>241.8</w:t>
            </w:r>
          </w:p>
        </w:tc>
        <w:tc>
          <w:tcPr>
            <w:tcW w:w="1439" w:type="dxa"/>
            <w:vAlign w:val="bottom"/>
          </w:tcPr>
          <w:p w:rsidR="004A147C" w:rsidRPr="00B53FFB" w:rsidRDefault="004A147C" w:rsidP="00CE5850">
            <w:pPr>
              <w:jc w:val="right"/>
              <w:rPr>
                <w:rStyle w:val="Normal1"/>
                <w:szCs w:val="22"/>
              </w:rPr>
            </w:pPr>
            <w:r w:rsidRPr="00B53FFB">
              <w:rPr>
                <w:rStyle w:val="Normal1"/>
                <w:szCs w:val="22"/>
              </w:rPr>
              <w:t>28.8</w:t>
            </w:r>
          </w:p>
        </w:tc>
        <w:tc>
          <w:tcPr>
            <w:tcW w:w="1285" w:type="dxa"/>
            <w:vAlign w:val="bottom"/>
          </w:tcPr>
          <w:p w:rsidR="004A147C" w:rsidRPr="00B53FFB" w:rsidRDefault="004A147C" w:rsidP="00CE5850">
            <w:pPr>
              <w:jc w:val="right"/>
              <w:rPr>
                <w:rStyle w:val="Normal1"/>
                <w:szCs w:val="22"/>
              </w:rPr>
            </w:pPr>
            <w:r w:rsidRPr="00B53FFB">
              <w:rPr>
                <w:rStyle w:val="Normal1"/>
                <w:szCs w:val="22"/>
              </w:rPr>
              <w:t>80</w:t>
            </w:r>
          </w:p>
        </w:tc>
        <w:tc>
          <w:tcPr>
            <w:tcW w:w="1343" w:type="dxa"/>
          </w:tcPr>
          <w:p w:rsidR="004A147C" w:rsidRPr="00B53FFB" w:rsidRDefault="004A147C" w:rsidP="00CE5850">
            <w:pPr>
              <w:jc w:val="right"/>
              <w:rPr>
                <w:rStyle w:val="Normal1"/>
                <w:szCs w:val="22"/>
              </w:rPr>
            </w:pPr>
            <w:r w:rsidRPr="00B53FFB">
              <w:rPr>
                <w:rStyle w:val="Normal1"/>
                <w:szCs w:val="22"/>
              </w:rPr>
              <w:t>233.0</w:t>
            </w:r>
          </w:p>
        </w:tc>
      </w:tr>
      <w:tr w:rsidR="004A147C" w:rsidRPr="00B53FFB" w:rsidTr="00D626F5">
        <w:trPr>
          <w:gridAfter w:val="1"/>
          <w:wAfter w:w="11" w:type="dxa"/>
          <w:trHeight w:val="70"/>
          <w:jc w:val="center"/>
        </w:trPr>
        <w:tc>
          <w:tcPr>
            <w:tcW w:w="876" w:type="dxa"/>
            <w:vAlign w:val="bottom"/>
          </w:tcPr>
          <w:p w:rsidR="004A147C" w:rsidRPr="00B53FFB" w:rsidRDefault="004A147C" w:rsidP="00CE5850">
            <w:pPr>
              <w:rPr>
                <w:rStyle w:val="Normal1"/>
                <w:szCs w:val="22"/>
              </w:rPr>
            </w:pPr>
            <w:r w:rsidRPr="00B53FFB">
              <w:rPr>
                <w:rStyle w:val="Normal1"/>
                <w:szCs w:val="22"/>
              </w:rPr>
              <w:t>2007</w:t>
            </w:r>
          </w:p>
        </w:tc>
        <w:tc>
          <w:tcPr>
            <w:tcW w:w="1170" w:type="dxa"/>
            <w:vAlign w:val="bottom"/>
          </w:tcPr>
          <w:p w:rsidR="004A147C" w:rsidRPr="00B53FFB" w:rsidRDefault="004A147C" w:rsidP="00CE5850">
            <w:pPr>
              <w:jc w:val="right"/>
              <w:rPr>
                <w:rStyle w:val="Normal1"/>
                <w:szCs w:val="22"/>
              </w:rPr>
            </w:pPr>
            <w:r w:rsidRPr="00B53FFB">
              <w:rPr>
                <w:rStyle w:val="Normal1"/>
                <w:szCs w:val="22"/>
              </w:rPr>
              <w:t>263.0</w:t>
            </w:r>
          </w:p>
        </w:tc>
        <w:tc>
          <w:tcPr>
            <w:tcW w:w="1439" w:type="dxa"/>
            <w:vAlign w:val="bottom"/>
          </w:tcPr>
          <w:p w:rsidR="004A147C" w:rsidRPr="00B53FFB" w:rsidRDefault="004A147C" w:rsidP="00CE5850">
            <w:pPr>
              <w:jc w:val="right"/>
              <w:rPr>
                <w:rStyle w:val="Normal1"/>
                <w:szCs w:val="22"/>
              </w:rPr>
            </w:pPr>
            <w:r w:rsidRPr="00B53FFB">
              <w:rPr>
                <w:rStyle w:val="Normal1"/>
                <w:szCs w:val="22"/>
              </w:rPr>
              <w:t>21.2</w:t>
            </w:r>
          </w:p>
        </w:tc>
        <w:tc>
          <w:tcPr>
            <w:tcW w:w="1285" w:type="dxa"/>
            <w:vAlign w:val="bottom"/>
          </w:tcPr>
          <w:p w:rsidR="004A147C" w:rsidRPr="00B53FFB" w:rsidRDefault="004A147C" w:rsidP="00CE5850">
            <w:pPr>
              <w:jc w:val="right"/>
              <w:rPr>
                <w:rStyle w:val="Normal1"/>
                <w:szCs w:val="22"/>
              </w:rPr>
            </w:pPr>
            <w:r w:rsidRPr="00B53FFB">
              <w:rPr>
                <w:rStyle w:val="Normal1"/>
                <w:szCs w:val="22"/>
              </w:rPr>
              <w:t>86</w:t>
            </w:r>
          </w:p>
        </w:tc>
        <w:tc>
          <w:tcPr>
            <w:tcW w:w="1343" w:type="dxa"/>
          </w:tcPr>
          <w:p w:rsidR="004A147C" w:rsidRPr="00B53FFB" w:rsidRDefault="004A147C" w:rsidP="00CE5850">
            <w:pPr>
              <w:jc w:val="right"/>
              <w:rPr>
                <w:rStyle w:val="Normal1"/>
                <w:szCs w:val="22"/>
              </w:rPr>
            </w:pPr>
            <w:r w:rsidRPr="00B53FFB">
              <w:rPr>
                <w:rStyle w:val="Normal1"/>
                <w:szCs w:val="22"/>
              </w:rPr>
              <w:t>255.4</w:t>
            </w:r>
          </w:p>
        </w:tc>
      </w:tr>
      <w:tr w:rsidR="004A147C" w:rsidRPr="00B53FFB" w:rsidTr="00D626F5">
        <w:trPr>
          <w:gridAfter w:val="1"/>
          <w:wAfter w:w="11" w:type="dxa"/>
          <w:trHeight w:val="143"/>
          <w:jc w:val="center"/>
        </w:trPr>
        <w:tc>
          <w:tcPr>
            <w:tcW w:w="876" w:type="dxa"/>
            <w:vAlign w:val="bottom"/>
          </w:tcPr>
          <w:p w:rsidR="004A147C" w:rsidRPr="00B53FFB" w:rsidRDefault="004A147C" w:rsidP="00CE5850">
            <w:pPr>
              <w:rPr>
                <w:rStyle w:val="Normal1"/>
                <w:szCs w:val="22"/>
              </w:rPr>
            </w:pPr>
            <w:r w:rsidRPr="00B53FFB">
              <w:rPr>
                <w:rStyle w:val="Normal1"/>
                <w:szCs w:val="22"/>
              </w:rPr>
              <w:t>2008</w:t>
            </w:r>
          </w:p>
        </w:tc>
        <w:tc>
          <w:tcPr>
            <w:tcW w:w="1170" w:type="dxa"/>
            <w:vAlign w:val="bottom"/>
          </w:tcPr>
          <w:p w:rsidR="004A147C" w:rsidRPr="00B53FFB" w:rsidRDefault="004A147C" w:rsidP="00CE5850">
            <w:pPr>
              <w:jc w:val="right"/>
              <w:rPr>
                <w:rStyle w:val="Normal1"/>
                <w:szCs w:val="22"/>
              </w:rPr>
            </w:pPr>
            <w:r w:rsidRPr="00B53FFB">
              <w:rPr>
                <w:rStyle w:val="Normal1"/>
                <w:szCs w:val="22"/>
              </w:rPr>
              <w:t>279.6</w:t>
            </w:r>
          </w:p>
        </w:tc>
        <w:tc>
          <w:tcPr>
            <w:tcW w:w="1439" w:type="dxa"/>
            <w:vAlign w:val="bottom"/>
          </w:tcPr>
          <w:p w:rsidR="004A147C" w:rsidRPr="00B53FFB" w:rsidRDefault="004A147C" w:rsidP="00CE5850">
            <w:pPr>
              <w:jc w:val="right"/>
              <w:rPr>
                <w:rStyle w:val="Normal1"/>
                <w:szCs w:val="22"/>
              </w:rPr>
            </w:pPr>
            <w:r w:rsidRPr="00B53FFB">
              <w:rPr>
                <w:rStyle w:val="Normal1"/>
                <w:szCs w:val="22"/>
              </w:rPr>
              <w:t>16.6</w:t>
            </w:r>
          </w:p>
        </w:tc>
        <w:tc>
          <w:tcPr>
            <w:tcW w:w="1285" w:type="dxa"/>
            <w:vAlign w:val="bottom"/>
          </w:tcPr>
          <w:p w:rsidR="004A147C" w:rsidRPr="00B53FFB" w:rsidRDefault="004A147C" w:rsidP="00CE5850">
            <w:pPr>
              <w:jc w:val="right"/>
              <w:rPr>
                <w:rStyle w:val="Normal1"/>
                <w:szCs w:val="22"/>
              </w:rPr>
            </w:pPr>
            <w:r w:rsidRPr="00B53FFB">
              <w:rPr>
                <w:rStyle w:val="Normal1"/>
                <w:szCs w:val="22"/>
              </w:rPr>
              <w:t>91</w:t>
            </w:r>
          </w:p>
        </w:tc>
        <w:tc>
          <w:tcPr>
            <w:tcW w:w="1343" w:type="dxa"/>
          </w:tcPr>
          <w:p w:rsidR="004A147C" w:rsidRPr="00B53FFB" w:rsidRDefault="004A147C" w:rsidP="00CE5850">
            <w:pPr>
              <w:jc w:val="right"/>
              <w:rPr>
                <w:rStyle w:val="Normal1"/>
                <w:szCs w:val="22"/>
              </w:rPr>
            </w:pPr>
            <w:r w:rsidRPr="00B53FFB">
              <w:rPr>
                <w:rStyle w:val="Normal1"/>
                <w:szCs w:val="22"/>
              </w:rPr>
              <w:t>270.3</w:t>
            </w:r>
          </w:p>
        </w:tc>
      </w:tr>
      <w:tr w:rsidR="004A147C" w:rsidRPr="00B53FFB" w:rsidTr="00D626F5">
        <w:trPr>
          <w:gridAfter w:val="1"/>
          <w:wAfter w:w="11" w:type="dxa"/>
          <w:trHeight w:val="152"/>
          <w:jc w:val="center"/>
        </w:trPr>
        <w:tc>
          <w:tcPr>
            <w:tcW w:w="876" w:type="dxa"/>
            <w:vAlign w:val="bottom"/>
          </w:tcPr>
          <w:p w:rsidR="004A147C" w:rsidRPr="00B53FFB" w:rsidRDefault="004A147C" w:rsidP="00CE5850">
            <w:pPr>
              <w:rPr>
                <w:rStyle w:val="Normal1"/>
                <w:szCs w:val="22"/>
              </w:rPr>
            </w:pPr>
            <w:r w:rsidRPr="00B53FFB">
              <w:rPr>
                <w:rStyle w:val="Normal1"/>
                <w:szCs w:val="22"/>
              </w:rPr>
              <w:t>2009</w:t>
            </w:r>
          </w:p>
        </w:tc>
        <w:tc>
          <w:tcPr>
            <w:tcW w:w="1170" w:type="dxa"/>
            <w:vAlign w:val="bottom"/>
          </w:tcPr>
          <w:p w:rsidR="004A147C" w:rsidRPr="00B53FFB" w:rsidRDefault="004A147C" w:rsidP="00CE5850">
            <w:pPr>
              <w:jc w:val="right"/>
              <w:rPr>
                <w:rStyle w:val="Normal1"/>
                <w:szCs w:val="22"/>
              </w:rPr>
            </w:pPr>
            <w:r w:rsidRPr="00B53FFB">
              <w:rPr>
                <w:rStyle w:val="Normal1"/>
                <w:szCs w:val="22"/>
              </w:rPr>
              <w:t>290.7</w:t>
            </w:r>
          </w:p>
        </w:tc>
        <w:tc>
          <w:tcPr>
            <w:tcW w:w="1439" w:type="dxa"/>
            <w:vAlign w:val="bottom"/>
          </w:tcPr>
          <w:p w:rsidR="004A147C" w:rsidRPr="00B53FFB" w:rsidRDefault="004A147C" w:rsidP="00CE5850">
            <w:pPr>
              <w:jc w:val="right"/>
              <w:rPr>
                <w:rStyle w:val="Normal1"/>
                <w:szCs w:val="22"/>
              </w:rPr>
            </w:pPr>
            <w:r w:rsidRPr="00B53FFB">
              <w:rPr>
                <w:rStyle w:val="Normal1"/>
                <w:szCs w:val="22"/>
              </w:rPr>
              <w:t>11.1</w:t>
            </w:r>
          </w:p>
        </w:tc>
        <w:tc>
          <w:tcPr>
            <w:tcW w:w="1285" w:type="dxa"/>
            <w:vAlign w:val="bottom"/>
          </w:tcPr>
          <w:p w:rsidR="004A147C" w:rsidRPr="00B53FFB" w:rsidRDefault="004A147C" w:rsidP="00CE5850">
            <w:pPr>
              <w:jc w:val="right"/>
              <w:rPr>
                <w:rStyle w:val="Normal1"/>
                <w:szCs w:val="22"/>
              </w:rPr>
            </w:pPr>
            <w:r w:rsidRPr="00B53FFB">
              <w:rPr>
                <w:rStyle w:val="Normal1"/>
                <w:szCs w:val="22"/>
              </w:rPr>
              <w:t>94</w:t>
            </w:r>
          </w:p>
        </w:tc>
        <w:tc>
          <w:tcPr>
            <w:tcW w:w="1343" w:type="dxa"/>
          </w:tcPr>
          <w:p w:rsidR="004A147C" w:rsidRPr="00B53FFB" w:rsidRDefault="004A147C" w:rsidP="00CE5850">
            <w:pPr>
              <w:jc w:val="right"/>
              <w:rPr>
                <w:rStyle w:val="Normal1"/>
                <w:szCs w:val="22"/>
              </w:rPr>
            </w:pPr>
            <w:r w:rsidRPr="00B53FFB">
              <w:rPr>
                <w:rStyle w:val="Normal1"/>
                <w:szCs w:val="22"/>
              </w:rPr>
              <w:t>2</w:t>
            </w:r>
            <w:r>
              <w:rPr>
                <w:rStyle w:val="Normal1"/>
                <w:szCs w:val="22"/>
              </w:rPr>
              <w:t>85</w:t>
            </w:r>
            <w:r w:rsidRPr="00B53FFB">
              <w:rPr>
                <w:rStyle w:val="Normal1"/>
                <w:szCs w:val="22"/>
              </w:rPr>
              <w:t>.</w:t>
            </w:r>
            <w:r>
              <w:rPr>
                <w:rStyle w:val="Normal1"/>
                <w:szCs w:val="22"/>
              </w:rPr>
              <w:t>6</w:t>
            </w:r>
          </w:p>
        </w:tc>
      </w:tr>
      <w:tr w:rsidR="004A147C" w:rsidRPr="00B53FFB" w:rsidTr="00D626F5">
        <w:trPr>
          <w:gridAfter w:val="1"/>
          <w:wAfter w:w="11" w:type="dxa"/>
          <w:trHeight w:val="262"/>
          <w:jc w:val="center"/>
        </w:trPr>
        <w:tc>
          <w:tcPr>
            <w:tcW w:w="876" w:type="dxa"/>
            <w:vAlign w:val="bottom"/>
          </w:tcPr>
          <w:p w:rsidR="004A147C" w:rsidRPr="00B53FFB" w:rsidRDefault="004A147C" w:rsidP="00CE5850">
            <w:pPr>
              <w:rPr>
                <w:rStyle w:val="Normal1"/>
                <w:szCs w:val="22"/>
              </w:rPr>
            </w:pPr>
            <w:r w:rsidRPr="00B53FFB">
              <w:rPr>
                <w:rStyle w:val="Normal1"/>
                <w:szCs w:val="22"/>
              </w:rPr>
              <w:t>2010</w:t>
            </w:r>
          </w:p>
        </w:tc>
        <w:tc>
          <w:tcPr>
            <w:tcW w:w="1170" w:type="dxa"/>
            <w:vAlign w:val="bottom"/>
          </w:tcPr>
          <w:p w:rsidR="004A147C" w:rsidRPr="00B53FFB" w:rsidRDefault="004A147C" w:rsidP="00CE5850">
            <w:pPr>
              <w:jc w:val="right"/>
              <w:rPr>
                <w:rStyle w:val="Normal1"/>
                <w:szCs w:val="22"/>
              </w:rPr>
            </w:pPr>
            <w:r w:rsidRPr="00B53FFB">
              <w:rPr>
                <w:rStyle w:val="Normal1"/>
                <w:szCs w:val="22"/>
              </w:rPr>
              <w:t>301.8</w:t>
            </w:r>
          </w:p>
        </w:tc>
        <w:tc>
          <w:tcPr>
            <w:tcW w:w="1439" w:type="dxa"/>
            <w:vAlign w:val="bottom"/>
          </w:tcPr>
          <w:p w:rsidR="004A147C" w:rsidRPr="00B53FFB" w:rsidRDefault="004A147C" w:rsidP="00CE5850">
            <w:pPr>
              <w:jc w:val="right"/>
              <w:rPr>
                <w:rStyle w:val="Normal1"/>
                <w:szCs w:val="22"/>
              </w:rPr>
            </w:pPr>
            <w:r w:rsidRPr="00B53FFB">
              <w:rPr>
                <w:rStyle w:val="Normal1"/>
                <w:szCs w:val="22"/>
              </w:rPr>
              <w:t>11.1</w:t>
            </w:r>
          </w:p>
        </w:tc>
        <w:tc>
          <w:tcPr>
            <w:tcW w:w="1285" w:type="dxa"/>
            <w:vAlign w:val="bottom"/>
          </w:tcPr>
          <w:p w:rsidR="004A147C" w:rsidRPr="00B53FFB" w:rsidRDefault="004A147C" w:rsidP="00CE5850">
            <w:pPr>
              <w:jc w:val="right"/>
              <w:rPr>
                <w:rStyle w:val="Normal1"/>
                <w:szCs w:val="22"/>
              </w:rPr>
            </w:pPr>
            <w:r w:rsidRPr="00B53FFB">
              <w:rPr>
                <w:rStyle w:val="Normal1"/>
                <w:szCs w:val="22"/>
              </w:rPr>
              <w:t>97</w:t>
            </w:r>
          </w:p>
        </w:tc>
        <w:tc>
          <w:tcPr>
            <w:tcW w:w="1343" w:type="dxa"/>
          </w:tcPr>
          <w:p w:rsidR="004A147C" w:rsidRPr="00B53FFB" w:rsidRDefault="004A147C" w:rsidP="00CE5850">
            <w:pPr>
              <w:jc w:val="right"/>
              <w:rPr>
                <w:rStyle w:val="Normal1"/>
                <w:szCs w:val="22"/>
              </w:rPr>
            </w:pPr>
            <w:r>
              <w:rPr>
                <w:rStyle w:val="Normal1"/>
                <w:szCs w:val="22"/>
              </w:rPr>
              <w:t>296</w:t>
            </w:r>
            <w:r w:rsidRPr="00B53FFB">
              <w:rPr>
                <w:rStyle w:val="Normal1"/>
                <w:szCs w:val="22"/>
              </w:rPr>
              <w:t>.</w:t>
            </w:r>
            <w:r>
              <w:rPr>
                <w:rStyle w:val="Normal1"/>
                <w:szCs w:val="22"/>
              </w:rPr>
              <w:t>3</w:t>
            </w:r>
          </w:p>
        </w:tc>
      </w:tr>
      <w:tr w:rsidR="004A147C" w:rsidRPr="00B53FFB" w:rsidTr="00D626F5">
        <w:trPr>
          <w:gridAfter w:val="1"/>
          <w:wAfter w:w="11" w:type="dxa"/>
          <w:trHeight w:val="262"/>
          <w:jc w:val="center"/>
        </w:trPr>
        <w:tc>
          <w:tcPr>
            <w:tcW w:w="876" w:type="dxa"/>
            <w:vAlign w:val="bottom"/>
          </w:tcPr>
          <w:p w:rsidR="004A147C" w:rsidRPr="00B53FFB" w:rsidRDefault="004A147C" w:rsidP="00CE5850">
            <w:pPr>
              <w:rPr>
                <w:rStyle w:val="Normal1"/>
                <w:szCs w:val="22"/>
              </w:rPr>
            </w:pPr>
            <w:r w:rsidRPr="00B53FFB">
              <w:rPr>
                <w:rStyle w:val="Normal1"/>
                <w:szCs w:val="22"/>
              </w:rPr>
              <w:t>2011</w:t>
            </w:r>
          </w:p>
        </w:tc>
        <w:tc>
          <w:tcPr>
            <w:tcW w:w="1170" w:type="dxa"/>
            <w:vAlign w:val="bottom"/>
          </w:tcPr>
          <w:p w:rsidR="004A147C" w:rsidRPr="00B53FFB" w:rsidRDefault="004A147C" w:rsidP="00CE5850">
            <w:pPr>
              <w:jc w:val="right"/>
              <w:rPr>
                <w:rStyle w:val="Normal1"/>
                <w:szCs w:val="22"/>
              </w:rPr>
            </w:pPr>
            <w:r w:rsidRPr="00B53FFB">
              <w:rPr>
                <w:rStyle w:val="Normal1"/>
                <w:szCs w:val="22"/>
              </w:rPr>
              <w:t>317.3</w:t>
            </w:r>
          </w:p>
        </w:tc>
        <w:tc>
          <w:tcPr>
            <w:tcW w:w="1439" w:type="dxa"/>
            <w:vAlign w:val="bottom"/>
          </w:tcPr>
          <w:p w:rsidR="004A147C" w:rsidRPr="00B53FFB" w:rsidRDefault="004A147C" w:rsidP="00CE5850">
            <w:pPr>
              <w:jc w:val="right"/>
              <w:rPr>
                <w:rStyle w:val="Normal1"/>
                <w:szCs w:val="22"/>
              </w:rPr>
            </w:pPr>
            <w:r w:rsidRPr="00B53FFB">
              <w:rPr>
                <w:rStyle w:val="Normal1"/>
                <w:szCs w:val="22"/>
              </w:rPr>
              <w:t>15.5</w:t>
            </w:r>
          </w:p>
        </w:tc>
        <w:tc>
          <w:tcPr>
            <w:tcW w:w="1285" w:type="dxa"/>
            <w:vAlign w:val="bottom"/>
          </w:tcPr>
          <w:p w:rsidR="004A147C" w:rsidRPr="00B53FFB" w:rsidRDefault="004A147C" w:rsidP="00CE5850">
            <w:pPr>
              <w:jc w:val="right"/>
              <w:rPr>
                <w:rStyle w:val="Normal1"/>
                <w:szCs w:val="22"/>
              </w:rPr>
            </w:pPr>
            <w:r w:rsidRPr="00B53FFB">
              <w:rPr>
                <w:rStyle w:val="Normal1"/>
                <w:szCs w:val="22"/>
              </w:rPr>
              <w:t>102</w:t>
            </w:r>
          </w:p>
        </w:tc>
        <w:tc>
          <w:tcPr>
            <w:tcW w:w="1343" w:type="dxa"/>
          </w:tcPr>
          <w:p w:rsidR="004A147C" w:rsidRPr="00B53FFB" w:rsidRDefault="004A147C" w:rsidP="00CE5850">
            <w:pPr>
              <w:jc w:val="right"/>
              <w:rPr>
                <w:rStyle w:val="Normal1"/>
                <w:szCs w:val="22"/>
              </w:rPr>
            </w:pPr>
            <w:r w:rsidRPr="00B53FFB">
              <w:rPr>
                <w:rStyle w:val="Normal1"/>
                <w:szCs w:val="22"/>
              </w:rPr>
              <w:t>3</w:t>
            </w:r>
            <w:r>
              <w:rPr>
                <w:rStyle w:val="Normal1"/>
                <w:szCs w:val="22"/>
              </w:rPr>
              <w:t>16</w:t>
            </w:r>
            <w:r w:rsidRPr="00B53FFB">
              <w:rPr>
                <w:rStyle w:val="Normal1"/>
                <w:szCs w:val="22"/>
              </w:rPr>
              <w:t>.</w:t>
            </w:r>
            <w:r>
              <w:rPr>
                <w:rStyle w:val="Normal1"/>
                <w:szCs w:val="22"/>
              </w:rPr>
              <w:t>0</w:t>
            </w:r>
          </w:p>
        </w:tc>
      </w:tr>
    </w:tbl>
    <w:p w:rsidR="004A147C" w:rsidRPr="00B53FFB" w:rsidRDefault="004A147C" w:rsidP="00CE5850">
      <w:pPr>
        <w:pStyle w:val="ParaNum"/>
        <w:tabs>
          <w:tab w:val="clear" w:pos="1440"/>
        </w:tabs>
        <w:ind w:firstLine="0"/>
        <w:rPr>
          <w:sz w:val="22"/>
          <w:szCs w:val="22"/>
        </w:rPr>
      </w:pPr>
    </w:p>
    <w:p w:rsidR="004A147C" w:rsidRPr="00B53FFB" w:rsidRDefault="004A147C" w:rsidP="00CE5850">
      <w:pPr>
        <w:pStyle w:val="ParaNum"/>
        <w:numPr>
          <w:ilvl w:val="0"/>
          <w:numId w:val="28"/>
        </w:numPr>
        <w:rPr>
          <w:szCs w:val="22"/>
        </w:rPr>
      </w:pPr>
      <w:r w:rsidRPr="004E0F47">
        <w:rPr>
          <w:sz w:val="22"/>
          <w:szCs w:val="22"/>
        </w:rPr>
        <w:t xml:space="preserve">The </w:t>
      </w:r>
      <w:r w:rsidRPr="004E0F47">
        <w:rPr>
          <w:i/>
          <w:sz w:val="22"/>
          <w:szCs w:val="22"/>
        </w:rPr>
        <w:t>Report</w:t>
      </w:r>
      <w:r w:rsidRPr="004E0F47">
        <w:rPr>
          <w:sz w:val="22"/>
          <w:szCs w:val="22"/>
        </w:rPr>
        <w:t xml:space="preserve"> uses different data sources to estimate the number of mobile wireless subscribers and connections.  One source, Numbering Resource Utilization Forecast (NRUF), tracks the number of telephone numbers (TNs) that have been assigned to devices connected to mobile wireless networks.</w:t>
      </w:r>
      <w:r w:rsidRPr="004E0F47">
        <w:rPr>
          <w:rStyle w:val="FootnoteReference"/>
          <w:szCs w:val="22"/>
        </w:rPr>
        <w:footnoteReference w:id="766"/>
      </w:r>
      <w:r w:rsidRPr="004E0F47">
        <w:rPr>
          <w:sz w:val="22"/>
          <w:szCs w:val="22"/>
        </w:rPr>
        <w:t xml:space="preserve">  However, NRUF data have certain limitations that are becoming increasingly significant.  First, an increasing number of consumers now use more than one mobile wireless device with an assigned TN, and because many devices without circuit-switched voice connections – such as e-readers, tablets, Internet access cards for laptops, and telematics systems – are assigned TNs, estimates of the number of individual subscribers are less accurate.  An additional limitation of the NRUF data arises due to providers following different practices for how and whether to assign TNs to non-voice devices.  Some providers assign TNs to all non-voice devices, while others assign TNs to some or no data-only devices.  For instance, Clearwire’s WiMAX mobile and fixed Internet access devices do not have TNs assigned to them and are not accounted for in the NRUF data.  Therefore, NRUF is becoming increasingly less useful in measuring the number of individual subscribers.  Instead, it is providing more of an estimate of the number of mobile wireless connections or connected devices, and will become a less accurate measure of connected devices to the extent that more devices are sold that do not use telephone numbers.  Furthermore, we note that devices represented as mobile connections in the NRUF data – because they are assigned TNs by mobile wireless providers and connect to mobile wireless networks – are actually offered on a fixed basis, although it is not clear whether the number of these connections is significant at this point.</w:t>
      </w:r>
      <w:r w:rsidRPr="004E0F47">
        <w:rPr>
          <w:rStyle w:val="FootnoteReference"/>
          <w:szCs w:val="22"/>
        </w:rPr>
        <w:footnoteReference w:id="767"/>
      </w:r>
      <w:r w:rsidRPr="004E0F47">
        <w:rPr>
          <w:sz w:val="22"/>
          <w:szCs w:val="22"/>
        </w:rPr>
        <w:t xml:space="preserve"> Another limitation of NRUF data relates to its use in sub-national analyses.  When a subscriber moves to a new location but does not change his/her mobile telephone number, the TN is still assigned to the rate center in the previous location, and the subscriber is therefore counted as living in an area in which he/she does not reside</w:t>
      </w:r>
      <w:r w:rsidRPr="00B53FFB">
        <w:rPr>
          <w:szCs w:val="22"/>
        </w:rPr>
        <w:t>.</w:t>
      </w:r>
    </w:p>
    <w:p w:rsidR="004A147C" w:rsidRPr="00B53FFB" w:rsidRDefault="004A147C" w:rsidP="00CE5850">
      <w:pPr>
        <w:pStyle w:val="Heading3"/>
        <w:keepNext w:val="0"/>
        <w:numPr>
          <w:ilvl w:val="2"/>
          <w:numId w:val="26"/>
        </w:numPr>
        <w:tabs>
          <w:tab w:val="left" w:pos="2160"/>
        </w:tabs>
        <w:rPr>
          <w:sz w:val="22"/>
          <w:szCs w:val="22"/>
        </w:rPr>
      </w:pPr>
      <w:bookmarkStart w:id="3126" w:name="_Toc331766331"/>
      <w:bookmarkStart w:id="3127" w:name="_Toc332119126"/>
      <w:bookmarkStart w:id="3128" w:name="_Toc334088803"/>
      <w:bookmarkStart w:id="3129" w:name="_Toc334089039"/>
      <w:bookmarkStart w:id="3130" w:name="_Toc334089198"/>
      <w:bookmarkStart w:id="3131" w:name="_Toc334089309"/>
      <w:bookmarkStart w:id="3132" w:name="_Toc334089473"/>
      <w:bookmarkStart w:id="3133" w:name="_Toc336268614"/>
      <w:bookmarkStart w:id="3134" w:name="_Toc336268722"/>
      <w:bookmarkStart w:id="3135" w:name="_Toc336268829"/>
      <w:bookmarkStart w:id="3136" w:name="_Toc336269043"/>
      <w:bookmarkStart w:id="3137" w:name="_Toc336269150"/>
      <w:bookmarkStart w:id="3138" w:name="_Toc336269518"/>
      <w:bookmarkStart w:id="3139" w:name="_Toc336269664"/>
      <w:bookmarkStart w:id="3140" w:name="_Toc336270077"/>
      <w:bookmarkStart w:id="3141" w:name="_Toc336271277"/>
      <w:bookmarkStart w:id="3142" w:name="_Toc337651983"/>
      <w:bookmarkStart w:id="3143" w:name="_Toc349577172"/>
      <w:bookmarkStart w:id="3144" w:name="_Toc349579264"/>
      <w:bookmarkStart w:id="3145" w:name="_Toc349580579"/>
      <w:bookmarkStart w:id="3146" w:name="_Toc349734987"/>
      <w:bookmarkStart w:id="3147" w:name="_Toc349742352"/>
      <w:r w:rsidRPr="00B53FFB">
        <w:rPr>
          <w:sz w:val="22"/>
          <w:szCs w:val="22"/>
        </w:rPr>
        <w:t>Connections by Type of Service and Device</w:t>
      </w:r>
      <w:bookmarkEnd w:id="3107"/>
      <w:bookmarkEnd w:id="3108"/>
      <w:bookmarkEnd w:id="3109"/>
      <w:bookmarkEnd w:id="3110"/>
      <w:bookmarkEnd w:id="3111"/>
      <w:bookmarkEnd w:id="3112"/>
      <w:bookmarkEnd w:id="3113"/>
      <w:bookmarkEnd w:id="3114"/>
      <w:bookmarkEnd w:id="3115"/>
      <w:bookmarkEnd w:id="3116"/>
      <w:bookmarkEnd w:id="3117"/>
      <w:bookmarkEnd w:id="3118"/>
      <w:bookmarkEnd w:id="3119"/>
      <w:bookmarkEnd w:id="3120"/>
      <w:bookmarkEnd w:id="3121"/>
      <w:bookmarkEnd w:id="3122"/>
      <w:bookmarkEnd w:id="3123"/>
      <w:bookmarkEnd w:id="3124"/>
      <w:bookmarkEnd w:id="3126"/>
      <w:bookmarkEnd w:id="3127"/>
      <w:bookmarkEnd w:id="3128"/>
      <w:bookmarkEnd w:id="3129"/>
      <w:bookmarkEnd w:id="3130"/>
      <w:bookmarkEnd w:id="3131"/>
      <w:bookmarkEnd w:id="3132"/>
      <w:bookmarkEnd w:id="3133"/>
      <w:bookmarkEnd w:id="3134"/>
      <w:bookmarkEnd w:id="3135"/>
      <w:bookmarkEnd w:id="3136"/>
      <w:bookmarkEnd w:id="3137"/>
      <w:bookmarkEnd w:id="3138"/>
      <w:bookmarkEnd w:id="3139"/>
      <w:bookmarkEnd w:id="3140"/>
      <w:bookmarkEnd w:id="3141"/>
      <w:bookmarkEnd w:id="3142"/>
      <w:bookmarkEnd w:id="3143"/>
      <w:bookmarkEnd w:id="3144"/>
      <w:bookmarkEnd w:id="3145"/>
      <w:bookmarkEnd w:id="3146"/>
      <w:bookmarkEnd w:id="3147"/>
    </w:p>
    <w:p w:rsidR="004A147C" w:rsidRPr="00B53FFB" w:rsidRDefault="004A147C" w:rsidP="00CE5850">
      <w:pPr>
        <w:pStyle w:val="ParaNum"/>
        <w:numPr>
          <w:ilvl w:val="0"/>
          <w:numId w:val="28"/>
        </w:numPr>
        <w:rPr>
          <w:sz w:val="22"/>
          <w:szCs w:val="22"/>
        </w:rPr>
      </w:pPr>
      <w:r w:rsidRPr="00B53FFB">
        <w:rPr>
          <w:i/>
          <w:sz w:val="22"/>
          <w:szCs w:val="22"/>
        </w:rPr>
        <w:t>Mobile Wireless Voice Connections</w:t>
      </w:r>
      <w:r w:rsidRPr="00B53FFB">
        <w:rPr>
          <w:sz w:val="22"/>
          <w:szCs w:val="22"/>
        </w:rPr>
        <w:t>.  The Form 477 mobile telephone data report nationally and by state the number of mobile wireless connections to devices with circuit-switched voice connections.</w:t>
      </w:r>
      <w:r w:rsidRPr="00B53FFB">
        <w:rPr>
          <w:rStyle w:val="FootnoteReference"/>
          <w:szCs w:val="22"/>
        </w:rPr>
        <w:footnoteReference w:id="768"/>
      </w:r>
      <w:r w:rsidRPr="00B53FFB">
        <w:rPr>
          <w:sz w:val="22"/>
          <w:szCs w:val="22"/>
        </w:rPr>
        <w:t xml:space="preserve">  Providers reported on Form 477 that there were 298.3 million mobile telephone connections as of December 2011, an increase of 4.6 percent from 285.1 million at the end of 2010, and an increase of 8.8 percent from 274.3 million at the end of 2009 (see </w:t>
      </w:r>
      <w:r w:rsidR="00951E9B">
        <w:fldChar w:fldCharType="begin"/>
      </w:r>
      <w:r w:rsidR="00951E9B">
        <w:instrText xml:space="preserve"> REF _Ref256419397  \* MERGEFORMAT </w:instrText>
      </w:r>
      <w:r w:rsidR="00951E9B">
        <w:fldChar w:fldCharType="separate"/>
      </w:r>
      <w:r w:rsidR="00CA3AC6" w:rsidRPr="00CA3AC6">
        <w:rPr>
          <w:sz w:val="22"/>
          <w:szCs w:val="22"/>
        </w:rPr>
        <w:t xml:space="preserve">Chart </w:t>
      </w:r>
      <w:r w:rsidR="00CA3AC6" w:rsidRPr="00CA3AC6">
        <w:rPr>
          <w:noProof/>
          <w:sz w:val="22"/>
          <w:szCs w:val="22"/>
        </w:rPr>
        <w:t>12</w:t>
      </w:r>
      <w:r w:rsidR="00951E9B">
        <w:rPr>
          <w:noProof/>
          <w:sz w:val="22"/>
          <w:szCs w:val="22"/>
        </w:rPr>
        <w:fldChar w:fldCharType="end"/>
      </w:r>
      <w:r w:rsidRPr="00B53FFB">
        <w:rPr>
          <w:sz w:val="22"/>
          <w:szCs w:val="22"/>
        </w:rPr>
        <w:t>).</w:t>
      </w:r>
      <w:r w:rsidRPr="00B53FFB">
        <w:rPr>
          <w:rStyle w:val="FootnoteReference"/>
          <w:szCs w:val="22"/>
        </w:rPr>
        <w:footnoteReference w:id="769"/>
      </w:r>
      <w:r w:rsidRPr="00B53FFB">
        <w:rPr>
          <w:sz w:val="22"/>
          <w:szCs w:val="22"/>
        </w:rPr>
        <w:t xml:space="preserve">  The number of connections overestimates the number of individuals with a mobile voice device to the extent that some individuals own or use more than one mobile voice device.  Another source, comScore, estimates the number of individuals who are over the age of 13 and own a mobile wireless voice handset to be 234 million.</w:t>
      </w:r>
      <w:r w:rsidRPr="00B53FFB">
        <w:rPr>
          <w:rStyle w:val="FootnoteReference"/>
          <w:szCs w:val="22"/>
        </w:rPr>
        <w:footnoteReference w:id="770"/>
      </w:r>
    </w:p>
    <w:p w:rsidR="004A147C" w:rsidRPr="00B53FFB" w:rsidRDefault="004A147C" w:rsidP="00CE5850">
      <w:pPr>
        <w:pStyle w:val="ParaNum"/>
        <w:numPr>
          <w:ilvl w:val="0"/>
          <w:numId w:val="28"/>
        </w:numPr>
        <w:rPr>
          <w:sz w:val="22"/>
          <w:szCs w:val="22"/>
        </w:rPr>
      </w:pPr>
      <w:r w:rsidRPr="00B53FFB">
        <w:rPr>
          <w:i/>
          <w:sz w:val="22"/>
          <w:szCs w:val="22"/>
        </w:rPr>
        <w:t>Mobile Wireless Internet Access Connections</w:t>
      </w:r>
      <w:r w:rsidRPr="00B53FFB">
        <w:rPr>
          <w:sz w:val="22"/>
          <w:szCs w:val="22"/>
        </w:rPr>
        <w:t xml:space="preserve">.  In this </w:t>
      </w:r>
      <w:r w:rsidRPr="00B53FFB">
        <w:rPr>
          <w:i/>
          <w:sz w:val="22"/>
          <w:szCs w:val="22"/>
        </w:rPr>
        <w:t>Report</w:t>
      </w:r>
      <w:r w:rsidRPr="00B53FFB">
        <w:rPr>
          <w:sz w:val="22"/>
          <w:szCs w:val="22"/>
        </w:rPr>
        <w:t>, Form 477 provides data on the number of mobile wireless Internet access connections exceeding 200 kbps, and therefore using 3G or 4G technologies.</w:t>
      </w:r>
      <w:r w:rsidRPr="00B53FFB">
        <w:rPr>
          <w:rStyle w:val="FootnoteReference"/>
          <w:szCs w:val="22"/>
        </w:rPr>
        <w:footnoteReference w:id="771"/>
      </w:r>
      <w:r w:rsidRPr="00B53FFB">
        <w:rPr>
          <w:sz w:val="22"/>
          <w:szCs w:val="22"/>
        </w:rPr>
        <w:t xml:space="preserve">  Approximately 142.1 million terrestrial mobile wireless Internet access subscriber connections were reported to the Commission on Form 477 for the end of 2011, and 97.5 million were reported for the end of 2010, a significant increase from the 56.3 million (restated) reported for year-end 2009.  </w:t>
      </w:r>
    </w:p>
    <w:p w:rsidR="004A147C" w:rsidRPr="00B53FFB" w:rsidRDefault="004A147C" w:rsidP="00CE5850">
      <w:pPr>
        <w:pStyle w:val="ParaNum"/>
        <w:numPr>
          <w:ilvl w:val="0"/>
          <w:numId w:val="28"/>
        </w:numPr>
        <w:rPr>
          <w:sz w:val="22"/>
          <w:szCs w:val="22"/>
        </w:rPr>
      </w:pPr>
      <w:r w:rsidRPr="00B53FFB">
        <w:rPr>
          <w:i/>
          <w:sz w:val="22"/>
          <w:szCs w:val="22"/>
        </w:rPr>
        <w:t>Mobile Wireless Devices In Use</w:t>
      </w:r>
      <w:r w:rsidRPr="00B53FFB">
        <w:rPr>
          <w:sz w:val="22"/>
          <w:szCs w:val="22"/>
        </w:rPr>
        <w:t xml:space="preserve">.  Alternative measures of mobile wireless adoption are provided by the numbers of different types of devices in use (irrespective of the service plans mobile wireless consumers).  The adoption of data-capable mobile devices has significantly increased in recent years.  According to Form 477 data, an estimated 183.7 million mobile wireless devices in use were reported to be capable of transmitting data at over 200 kbps in at least one direction as of year-end 2011, up 21 percent from the 151.6 million reported for year-end 2010, and up 59 percent from the 115.7 million reported for year-end 2009 (see </w:t>
      </w:r>
      <w:r w:rsidR="00951E9B">
        <w:fldChar w:fldCharType="begin"/>
      </w:r>
      <w:r w:rsidR="00951E9B">
        <w:instrText xml:space="preserve"> REF _Ref256419397  \* MERGEFORMAT </w:instrText>
      </w:r>
      <w:r w:rsidR="00951E9B">
        <w:fldChar w:fldCharType="separate"/>
      </w:r>
      <w:r w:rsidR="00CA3AC6" w:rsidRPr="00CA3AC6">
        <w:rPr>
          <w:sz w:val="22"/>
          <w:szCs w:val="22"/>
        </w:rPr>
        <w:t xml:space="preserve">Chart </w:t>
      </w:r>
      <w:r w:rsidR="00CA3AC6" w:rsidRPr="00CA3AC6">
        <w:rPr>
          <w:noProof/>
          <w:sz w:val="22"/>
          <w:szCs w:val="22"/>
        </w:rPr>
        <w:t>12</w:t>
      </w:r>
      <w:r w:rsidR="00951E9B">
        <w:rPr>
          <w:noProof/>
          <w:sz w:val="22"/>
          <w:szCs w:val="22"/>
        </w:rPr>
        <w:fldChar w:fldCharType="end"/>
      </w:r>
      <w:r w:rsidRPr="00B53FFB">
        <w:rPr>
          <w:sz w:val="22"/>
          <w:szCs w:val="22"/>
        </w:rPr>
        <w:t>).</w:t>
      </w:r>
      <w:r w:rsidRPr="00B53FFB">
        <w:rPr>
          <w:rStyle w:val="FootnoteReference"/>
          <w:szCs w:val="22"/>
        </w:rPr>
        <w:footnoteReference w:id="772"/>
      </w:r>
      <w:r w:rsidRPr="00B53FFB">
        <w:rPr>
          <w:sz w:val="22"/>
          <w:szCs w:val="22"/>
        </w:rPr>
        <w:t xml:space="preserve">  Alternatively, CTIA estimated a total of 295.1 million data-capable handsets and devices were in use by the end of 2011, up from 270.5 million at the end of 201</w:t>
      </w:r>
      <w:r w:rsidR="009C7430">
        <w:rPr>
          <w:sz w:val="22"/>
          <w:szCs w:val="22"/>
        </w:rPr>
        <w:t>0, and 257 million at the end of</w:t>
      </w:r>
      <w:r w:rsidRPr="00B53FFB">
        <w:rPr>
          <w:sz w:val="22"/>
          <w:szCs w:val="22"/>
        </w:rPr>
        <w:t xml:space="preserve"> 2009 (see </w:t>
      </w:r>
      <w:r w:rsidR="00951E9B">
        <w:fldChar w:fldCharType="begin"/>
      </w:r>
      <w:r w:rsidR="00951E9B">
        <w:instrText xml:space="preserve"> REF _Ref256419397  \* MERGEFORMAT </w:instrText>
      </w:r>
      <w:r w:rsidR="00951E9B">
        <w:fldChar w:fldCharType="separate"/>
      </w:r>
      <w:r w:rsidR="00CA3AC6" w:rsidRPr="00CA3AC6">
        <w:rPr>
          <w:sz w:val="22"/>
          <w:szCs w:val="22"/>
        </w:rPr>
        <w:t xml:space="preserve">Chart </w:t>
      </w:r>
      <w:r w:rsidR="00CA3AC6" w:rsidRPr="00CA3AC6">
        <w:rPr>
          <w:noProof/>
          <w:sz w:val="22"/>
          <w:szCs w:val="22"/>
        </w:rPr>
        <w:t>12</w:t>
      </w:r>
      <w:r w:rsidR="00951E9B">
        <w:rPr>
          <w:noProof/>
          <w:sz w:val="22"/>
          <w:szCs w:val="22"/>
        </w:rPr>
        <w:fldChar w:fldCharType="end"/>
      </w:r>
      <w:r w:rsidRPr="00B53FFB">
        <w:rPr>
          <w:sz w:val="22"/>
          <w:szCs w:val="22"/>
        </w:rPr>
        <w:t>).</w:t>
      </w:r>
      <w:r w:rsidRPr="00B53FFB">
        <w:rPr>
          <w:rStyle w:val="FootnoteReference"/>
          <w:szCs w:val="22"/>
        </w:rPr>
        <w:footnoteReference w:id="773"/>
      </w:r>
      <w:r w:rsidRPr="00B53FFB">
        <w:rPr>
          <w:sz w:val="22"/>
          <w:szCs w:val="22"/>
        </w:rPr>
        <w:t xml:space="preserve">  Additionally, CTIA estimated that the number of wireless-enabled laptops, netbooks, and aircards in use increased 49 percent during 2011 from 13.6 million to 20.2 million.</w:t>
      </w:r>
      <w:r w:rsidRPr="00B53FFB">
        <w:rPr>
          <w:rStyle w:val="FootnoteReference"/>
          <w:szCs w:val="22"/>
        </w:rPr>
        <w:footnoteReference w:id="774"/>
      </w:r>
      <w:r w:rsidRPr="00B53FFB">
        <w:rPr>
          <w:sz w:val="22"/>
          <w:szCs w:val="22"/>
        </w:rPr>
        <w:t xml:space="preserve"> </w:t>
      </w:r>
    </w:p>
    <w:p w:rsidR="004A147C" w:rsidRPr="00B53FFB" w:rsidRDefault="004A147C" w:rsidP="00CE5850">
      <w:pPr>
        <w:pStyle w:val="ParaNum"/>
        <w:tabs>
          <w:tab w:val="clear" w:pos="1440"/>
        </w:tabs>
        <w:ind w:firstLine="0"/>
        <w:jc w:val="center"/>
        <w:rPr>
          <w:b/>
          <w:sz w:val="22"/>
          <w:szCs w:val="22"/>
        </w:rPr>
      </w:pPr>
      <w:bookmarkStart w:id="3148" w:name="_Ref256419397"/>
      <w:r w:rsidRPr="00B53FFB">
        <w:rPr>
          <w:b/>
          <w:sz w:val="22"/>
          <w:szCs w:val="22"/>
        </w:rPr>
        <w:t xml:space="preserve">Chart </w:t>
      </w:r>
      <w:r w:rsidR="0007014B" w:rsidRPr="00B53FFB">
        <w:rPr>
          <w:b/>
          <w:sz w:val="22"/>
          <w:szCs w:val="22"/>
        </w:rPr>
        <w:fldChar w:fldCharType="begin"/>
      </w:r>
      <w:r w:rsidRPr="00B53FFB">
        <w:rPr>
          <w:b/>
          <w:sz w:val="22"/>
          <w:szCs w:val="22"/>
        </w:rPr>
        <w:instrText xml:space="preserve"> SEQ Chart \* ARABIC </w:instrText>
      </w:r>
      <w:r w:rsidR="0007014B" w:rsidRPr="00B53FFB">
        <w:rPr>
          <w:b/>
          <w:sz w:val="22"/>
          <w:szCs w:val="22"/>
        </w:rPr>
        <w:fldChar w:fldCharType="separate"/>
      </w:r>
      <w:r w:rsidR="00CA3AC6">
        <w:rPr>
          <w:b/>
          <w:noProof/>
          <w:sz w:val="22"/>
          <w:szCs w:val="22"/>
        </w:rPr>
        <w:t>12</w:t>
      </w:r>
      <w:r w:rsidR="0007014B" w:rsidRPr="00B53FFB">
        <w:rPr>
          <w:b/>
          <w:sz w:val="22"/>
          <w:szCs w:val="22"/>
        </w:rPr>
        <w:fldChar w:fldCharType="end"/>
      </w:r>
      <w:bookmarkEnd w:id="3148"/>
      <w:r w:rsidRPr="00B53FFB">
        <w:rPr>
          <w:b/>
          <w:sz w:val="22"/>
          <w:szCs w:val="22"/>
        </w:rPr>
        <w:t xml:space="preserve">  </w:t>
      </w:r>
      <w:r w:rsidRPr="00B53FFB">
        <w:rPr>
          <w:b/>
          <w:sz w:val="22"/>
          <w:szCs w:val="22"/>
        </w:rPr>
        <w:br/>
        <w:t>Mobile Wireless Connections by Type of Service and Device, 2009-2011 (In Millions)</w:t>
      </w:r>
    </w:p>
    <w:p w:rsidR="004A147C" w:rsidRPr="00B53FFB" w:rsidRDefault="00C81B24" w:rsidP="00CE5850">
      <w:pPr>
        <w:pStyle w:val="Caption"/>
        <w:widowControl w:val="0"/>
        <w:jc w:val="center"/>
        <w:rPr>
          <w:sz w:val="22"/>
          <w:szCs w:val="22"/>
        </w:rPr>
      </w:pPr>
      <w:bookmarkStart w:id="3149" w:name="_Ref256603350"/>
      <w:r>
        <w:rPr>
          <w:noProof/>
          <w:sz w:val="22"/>
          <w:szCs w:val="22"/>
        </w:rPr>
        <w:drawing>
          <wp:inline distT="0" distB="0" distL="0" distR="0" wp14:anchorId="11AA8D18" wp14:editId="56F38F62">
            <wp:extent cx="6124575" cy="3429000"/>
            <wp:effectExtent l="0" t="0" r="0" b="0"/>
            <wp:docPr id="37" name="Object 37"/>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p w:rsidR="004A147C" w:rsidRPr="00B53FFB" w:rsidRDefault="004A147C" w:rsidP="00CE5850">
      <w:pPr>
        <w:rPr>
          <w:szCs w:val="22"/>
        </w:rPr>
      </w:pPr>
    </w:p>
    <w:p w:rsidR="004A147C" w:rsidRPr="00B53FFB" w:rsidRDefault="004A147C" w:rsidP="00CE5850">
      <w:pPr>
        <w:pStyle w:val="ParaNum"/>
        <w:numPr>
          <w:ilvl w:val="0"/>
          <w:numId w:val="28"/>
        </w:numPr>
        <w:rPr>
          <w:sz w:val="22"/>
          <w:szCs w:val="22"/>
        </w:rPr>
      </w:pPr>
      <w:r w:rsidRPr="00B53FFB">
        <w:rPr>
          <w:sz w:val="22"/>
          <w:szCs w:val="22"/>
        </w:rPr>
        <w:t>The adoption of smartphones, a sub-category of data-capable mobile devices, has increased dramatically over the past two years.  ComScore estimates that the number of individuals owning a smartphone increased 55 percent during 2011 from 61.5 million to 98 million, and the smartphone penetration rate had reached 42 percent as of December 2011.</w:t>
      </w:r>
      <w:r w:rsidRPr="00B53FFB">
        <w:rPr>
          <w:rStyle w:val="FootnoteReference"/>
          <w:szCs w:val="22"/>
        </w:rPr>
        <w:footnoteReference w:id="775"/>
      </w:r>
      <w:r w:rsidRPr="00B53FFB">
        <w:rPr>
          <w:sz w:val="22"/>
          <w:szCs w:val="22"/>
        </w:rPr>
        <w:t xml:space="preserve"> ComScore also estimated that nearly 60 percent of all recently-acquired mobile devices were smartphones in December 2011, with the Apple iPhone 4 being the smartphone with highest adoption rate during that month.  CTIA reported that, as of the end of 2011, there were 111.5 million smartphones in service, up from 78.2 million at the end of 2010 and 49.8 million at the end of 2009.</w:t>
      </w:r>
      <w:r w:rsidRPr="00B53FFB">
        <w:rPr>
          <w:rStyle w:val="FootnoteReference"/>
          <w:szCs w:val="22"/>
        </w:rPr>
        <w:footnoteReference w:id="776"/>
      </w:r>
      <w:r w:rsidRPr="00B53FFB">
        <w:rPr>
          <w:sz w:val="22"/>
          <w:szCs w:val="22"/>
        </w:rPr>
        <w:t xml:space="preserve">  Finally, </w:t>
      </w:r>
      <w:bookmarkEnd w:id="3149"/>
      <w:r w:rsidRPr="00B53FFB">
        <w:rPr>
          <w:sz w:val="22"/>
          <w:szCs w:val="22"/>
        </w:rPr>
        <w:t>the Pew Internet &amp; American Life Project (Pew) reported that, as of February 2012, an estimated 46 percent of American adults had smartphones, an increase of 11 percentage points over the 35 percent who owned a smartphone in May 2011.</w:t>
      </w:r>
      <w:r w:rsidRPr="00B53FFB">
        <w:rPr>
          <w:rStyle w:val="FootnoteReference"/>
          <w:szCs w:val="22"/>
        </w:rPr>
        <w:footnoteReference w:id="777"/>
      </w:r>
      <w:r w:rsidRPr="00B53FFB">
        <w:rPr>
          <w:sz w:val="22"/>
          <w:szCs w:val="22"/>
        </w:rPr>
        <w:t xml:space="preserve">  </w:t>
      </w:r>
    </w:p>
    <w:p w:rsidR="004A147C" w:rsidRPr="00B53FFB" w:rsidRDefault="004A147C" w:rsidP="00CE5850">
      <w:pPr>
        <w:pStyle w:val="Heading3"/>
        <w:keepNext w:val="0"/>
        <w:numPr>
          <w:ilvl w:val="2"/>
          <w:numId w:val="26"/>
        </w:numPr>
        <w:tabs>
          <w:tab w:val="left" w:pos="2160"/>
        </w:tabs>
        <w:rPr>
          <w:sz w:val="22"/>
          <w:szCs w:val="22"/>
        </w:rPr>
      </w:pPr>
      <w:bookmarkStart w:id="3150" w:name="_Ref256597651"/>
      <w:bookmarkStart w:id="3151" w:name="_Ref256597654"/>
      <w:bookmarkStart w:id="3152" w:name="_Toc261610781"/>
      <w:bookmarkStart w:id="3153" w:name="_Toc261858520"/>
      <w:bookmarkStart w:id="3154" w:name="_Toc262034325"/>
      <w:bookmarkStart w:id="3155" w:name="_Toc262034428"/>
      <w:bookmarkStart w:id="3156" w:name="_Toc271288468"/>
      <w:bookmarkStart w:id="3157" w:name="_Toc275517986"/>
      <w:bookmarkStart w:id="3158" w:name="_Toc275952426"/>
      <w:bookmarkStart w:id="3159" w:name="_Toc276121858"/>
      <w:bookmarkStart w:id="3160" w:name="_Toc276480694"/>
      <w:bookmarkStart w:id="3161" w:name="_Toc276741771"/>
      <w:bookmarkStart w:id="3162" w:name="_Toc277171536"/>
      <w:bookmarkStart w:id="3163" w:name="_Toc277864511"/>
      <w:bookmarkStart w:id="3164" w:name="_Toc277864727"/>
      <w:bookmarkStart w:id="3165" w:name="_Toc285810408"/>
      <w:bookmarkStart w:id="3166" w:name="_Toc287257802"/>
      <w:bookmarkStart w:id="3167" w:name="_Toc291758681"/>
      <w:bookmarkStart w:id="3168" w:name="_Toc291758784"/>
      <w:bookmarkStart w:id="3169" w:name="_Toc295392964"/>
      <w:bookmarkStart w:id="3170" w:name="_Toc331766332"/>
      <w:bookmarkStart w:id="3171" w:name="_Toc332119127"/>
      <w:bookmarkStart w:id="3172" w:name="_Toc334088804"/>
      <w:bookmarkStart w:id="3173" w:name="_Toc334089040"/>
      <w:bookmarkStart w:id="3174" w:name="_Toc334089199"/>
      <w:bookmarkStart w:id="3175" w:name="_Toc334089310"/>
      <w:bookmarkStart w:id="3176" w:name="_Toc334089474"/>
      <w:bookmarkStart w:id="3177" w:name="_Toc336268615"/>
      <w:bookmarkStart w:id="3178" w:name="_Toc336268723"/>
      <w:bookmarkStart w:id="3179" w:name="_Toc336268830"/>
      <w:bookmarkStart w:id="3180" w:name="_Toc336269044"/>
      <w:bookmarkStart w:id="3181" w:name="_Toc336269151"/>
      <w:bookmarkStart w:id="3182" w:name="_Toc336269519"/>
      <w:bookmarkStart w:id="3183" w:name="_Toc336269665"/>
      <w:bookmarkStart w:id="3184" w:name="_Toc336270078"/>
      <w:bookmarkStart w:id="3185" w:name="_Toc336271278"/>
      <w:bookmarkStart w:id="3186" w:name="_Toc337651984"/>
      <w:bookmarkStart w:id="3187" w:name="_Toc349577173"/>
      <w:bookmarkStart w:id="3188" w:name="_Toc349579265"/>
      <w:bookmarkStart w:id="3189" w:name="_Toc349580580"/>
      <w:bookmarkStart w:id="3190" w:name="_Toc349734988"/>
      <w:bookmarkStart w:id="3191" w:name="_Toc349742353"/>
      <w:r w:rsidRPr="00B53FFB">
        <w:rPr>
          <w:sz w:val="22"/>
          <w:szCs w:val="22"/>
        </w:rPr>
        <w:t>Connections by Service Segment</w:t>
      </w:r>
      <w:bookmarkEnd w:id="3150"/>
      <w:bookmarkEnd w:id="3151"/>
      <w:bookmarkEnd w:id="3152"/>
      <w:bookmarkEnd w:id="3153"/>
      <w:bookmarkEnd w:id="3154"/>
      <w:bookmarkEnd w:id="3155"/>
      <w:bookmarkEnd w:id="3156"/>
      <w:bookmarkEnd w:id="3157"/>
      <w:bookmarkEnd w:id="3158"/>
      <w:bookmarkEnd w:id="3159"/>
      <w:bookmarkEnd w:id="3160"/>
      <w:bookmarkEnd w:id="3161"/>
      <w:bookmarkEnd w:id="3162"/>
      <w:bookmarkEnd w:id="3163"/>
      <w:bookmarkEnd w:id="3164"/>
      <w:bookmarkEnd w:id="3165"/>
      <w:bookmarkEnd w:id="3166"/>
      <w:bookmarkEnd w:id="3167"/>
      <w:bookmarkEnd w:id="3168"/>
      <w:bookmarkEnd w:id="3169"/>
      <w:bookmarkEnd w:id="3170"/>
      <w:bookmarkEnd w:id="3171"/>
      <w:bookmarkEnd w:id="3172"/>
      <w:bookmarkEnd w:id="3173"/>
      <w:bookmarkEnd w:id="3174"/>
      <w:bookmarkEnd w:id="3175"/>
      <w:bookmarkEnd w:id="3176"/>
      <w:bookmarkEnd w:id="3177"/>
      <w:bookmarkEnd w:id="3178"/>
      <w:bookmarkEnd w:id="3179"/>
      <w:bookmarkEnd w:id="3180"/>
      <w:bookmarkEnd w:id="3181"/>
      <w:bookmarkEnd w:id="3182"/>
      <w:bookmarkEnd w:id="3183"/>
      <w:bookmarkEnd w:id="3184"/>
      <w:bookmarkEnd w:id="3185"/>
      <w:bookmarkEnd w:id="3186"/>
      <w:bookmarkEnd w:id="3187"/>
      <w:bookmarkEnd w:id="3188"/>
      <w:bookmarkEnd w:id="3189"/>
      <w:bookmarkEnd w:id="3190"/>
      <w:bookmarkEnd w:id="3191"/>
      <w:r w:rsidRPr="00B53FFB">
        <w:rPr>
          <w:sz w:val="22"/>
          <w:szCs w:val="22"/>
        </w:rPr>
        <w:tab/>
      </w:r>
    </w:p>
    <w:p w:rsidR="004A147C" w:rsidRPr="00B53FFB" w:rsidRDefault="004A147C" w:rsidP="00CE5850">
      <w:pPr>
        <w:pStyle w:val="ParaNum"/>
        <w:numPr>
          <w:ilvl w:val="0"/>
          <w:numId w:val="28"/>
        </w:numPr>
        <w:rPr>
          <w:sz w:val="22"/>
          <w:szCs w:val="22"/>
        </w:rPr>
      </w:pPr>
      <w:r w:rsidRPr="00B53FFB">
        <w:rPr>
          <w:noProof/>
          <w:sz w:val="22"/>
          <w:szCs w:val="22"/>
        </w:rPr>
        <w:t xml:space="preserve">While the substantial majority of mobile wireless connections in the United States today are on a postpaid subscription plan, the prepaid, wholesale, and connected device segments are growing at a much faster pace than postpaid.  </w:t>
      </w:r>
      <w:r w:rsidRPr="00B53FFB">
        <w:rPr>
          <w:sz w:val="22"/>
          <w:szCs w:val="22"/>
        </w:rPr>
        <w:t xml:space="preserve">According to the UBS data shown in </w:t>
      </w:r>
      <w:r w:rsidR="00245875">
        <w:t xml:space="preserve">Chart 13 </w:t>
      </w:r>
      <w:r w:rsidRPr="00B53FFB">
        <w:rPr>
          <w:sz w:val="22"/>
          <w:szCs w:val="22"/>
        </w:rPr>
        <w:t>below, the number of prepaid subscriptions grew 29 percent from the end of 2009 to the end of 2011, the number of connected devices grew 82 percent, and the number of wholesale connections nearly tripled.</w:t>
      </w:r>
      <w:r w:rsidRPr="00B53FFB">
        <w:rPr>
          <w:rStyle w:val="FootnoteReference"/>
          <w:szCs w:val="22"/>
        </w:rPr>
        <w:footnoteReference w:id="778"/>
      </w:r>
      <w:r w:rsidRPr="00B53FFB">
        <w:rPr>
          <w:sz w:val="22"/>
          <w:szCs w:val="22"/>
        </w:rPr>
        <w:t xml:space="preserve">  During the same period, the number of postpaid subscriptions grew just under three percent.</w:t>
      </w:r>
      <w:r w:rsidRPr="00B53FFB">
        <w:rPr>
          <w:rStyle w:val="FootnoteReference"/>
          <w:szCs w:val="22"/>
        </w:rPr>
        <w:footnoteReference w:id="779"/>
      </w:r>
      <w:r w:rsidRPr="00B53FFB">
        <w:rPr>
          <w:sz w:val="22"/>
          <w:szCs w:val="22"/>
        </w:rPr>
        <w:t xml:space="preserve">  </w:t>
      </w:r>
    </w:p>
    <w:p w:rsidR="004A147C" w:rsidRPr="00B53FFB" w:rsidRDefault="004A147C" w:rsidP="00CE5850">
      <w:pPr>
        <w:pStyle w:val="Caption"/>
        <w:widowControl w:val="0"/>
        <w:spacing w:before="0" w:after="0"/>
        <w:jc w:val="center"/>
        <w:rPr>
          <w:sz w:val="22"/>
          <w:szCs w:val="22"/>
        </w:rPr>
      </w:pPr>
      <w:bookmarkStart w:id="3192" w:name="_Ref275435804"/>
      <w:bookmarkStart w:id="3193" w:name="_Ref256418528"/>
      <w:r w:rsidRPr="00B53FFB">
        <w:rPr>
          <w:sz w:val="22"/>
          <w:szCs w:val="22"/>
        </w:rPr>
        <w:t xml:space="preserve">Chart </w:t>
      </w:r>
      <w:r w:rsidR="0007014B" w:rsidRPr="00B53FFB">
        <w:rPr>
          <w:sz w:val="22"/>
          <w:szCs w:val="22"/>
        </w:rPr>
        <w:fldChar w:fldCharType="begin"/>
      </w:r>
      <w:r w:rsidRPr="00B53FFB">
        <w:rPr>
          <w:sz w:val="22"/>
          <w:szCs w:val="22"/>
        </w:rPr>
        <w:instrText xml:space="preserve"> SEQ Chart \* ARABIC </w:instrText>
      </w:r>
      <w:r w:rsidR="0007014B" w:rsidRPr="00B53FFB">
        <w:rPr>
          <w:sz w:val="22"/>
          <w:szCs w:val="22"/>
        </w:rPr>
        <w:fldChar w:fldCharType="separate"/>
      </w:r>
      <w:r w:rsidR="00CA3AC6">
        <w:rPr>
          <w:noProof/>
          <w:sz w:val="22"/>
          <w:szCs w:val="22"/>
        </w:rPr>
        <w:t>13</w:t>
      </w:r>
      <w:r w:rsidR="0007014B" w:rsidRPr="00B53FFB">
        <w:rPr>
          <w:sz w:val="22"/>
          <w:szCs w:val="22"/>
        </w:rPr>
        <w:fldChar w:fldCharType="end"/>
      </w:r>
      <w:bookmarkEnd w:id="3192"/>
      <w:r w:rsidRPr="00B53FFB">
        <w:rPr>
          <w:sz w:val="22"/>
          <w:szCs w:val="22"/>
        </w:rPr>
        <w:br/>
        <w:t>Mobile Wireless Customers by Pricing Plan, 2009-2011</w:t>
      </w:r>
      <w:r w:rsidRPr="00B53FFB">
        <w:rPr>
          <w:rStyle w:val="FootnoteReference"/>
          <w:b w:val="0"/>
          <w:szCs w:val="22"/>
        </w:rPr>
        <w:footnoteReference w:id="780"/>
      </w:r>
      <w:r w:rsidRPr="00B53FFB">
        <w:rPr>
          <w:sz w:val="22"/>
          <w:szCs w:val="22"/>
        </w:rPr>
        <w:t xml:space="preserve"> </w:t>
      </w:r>
    </w:p>
    <w:p w:rsidR="004A147C" w:rsidRPr="00B53FFB" w:rsidRDefault="00C81B24" w:rsidP="00CE5850">
      <w:pPr>
        <w:pStyle w:val="ParaNum"/>
        <w:tabs>
          <w:tab w:val="clear" w:pos="1440"/>
        </w:tabs>
        <w:ind w:firstLine="0"/>
        <w:rPr>
          <w:sz w:val="22"/>
          <w:szCs w:val="22"/>
        </w:rPr>
      </w:pPr>
      <w:r>
        <w:rPr>
          <w:noProof/>
        </w:rPr>
        <mc:AlternateContent>
          <mc:Choice Requires="wps">
            <w:drawing>
              <wp:anchor distT="0" distB="0" distL="114300" distR="114300" simplePos="0" relativeHeight="5" behindDoc="0" locked="0" layoutInCell="1" allowOverlap="1" wp14:anchorId="58D08F3F" wp14:editId="54144C43">
                <wp:simplePos x="0" y="0"/>
                <wp:positionH relativeFrom="column">
                  <wp:posOffset>22225</wp:posOffset>
                </wp:positionH>
                <wp:positionV relativeFrom="paragraph">
                  <wp:posOffset>3795395</wp:posOffset>
                </wp:positionV>
                <wp:extent cx="2377440" cy="222885"/>
                <wp:effectExtent l="0" t="0" r="0" b="5715"/>
                <wp:wrapNone/>
                <wp:docPr id="134" name="Text Box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7440" cy="2228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C7CF3" w:rsidRPr="00982E20" w:rsidRDefault="00EC7CF3">
                            <w:pPr>
                              <w:rPr>
                                <w:rFonts w:ascii="Arial" w:hAnsi="Arial" w:cs="Arial"/>
                                <w:sz w:val="18"/>
                                <w:szCs w:val="18"/>
                              </w:rPr>
                            </w:pPr>
                            <w:r w:rsidRPr="00982E20">
                              <w:rPr>
                                <w:rFonts w:ascii="Arial" w:hAnsi="Arial" w:cs="Arial"/>
                                <w:sz w:val="18"/>
                                <w:szCs w:val="18"/>
                              </w:rPr>
                              <w:t>Source: UBS</w:t>
                            </w:r>
                          </w:p>
                        </w:txbxContent>
                      </wps:txbx>
                      <wps:bodyPr rot="0" vert="horz" wrap="squar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30" o:spid="_x0000_s1054" type="#_x0000_t202" style="position:absolute;margin-left:1.75pt;margin-top:298.85pt;width:187.2pt;height:17.55pt;z-index: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" filled="f" stroked="f">
                <v:textbox style="mso-fit-shape-to-text:t">
                  <w:txbxContent>
                    <w:p w:rsidR="00EC7CF3" w:rsidRPr="00982E20" w:rsidRDefault="00EC7CF3">
                      <w:pPr>
                        <w:rPr>
                          <w:rFonts w:ascii="Arial" w:hAnsi="Arial" w:cs="Arial"/>
                          <w:sz w:val="18"/>
                          <w:szCs w:val="18"/>
                        </w:rPr>
                      </w:pPr>
                      <w:r w:rsidRPr="00982E20">
                        <w:rPr>
                          <w:rFonts w:ascii="Arial" w:hAnsi="Arial" w:cs="Arial"/>
                          <w:sz w:val="18"/>
                          <w:szCs w:val="18"/>
                        </w:rPr>
                        <w:t>Source: UBS</w:t>
                      </w:r>
                    </w:p>
                  </w:txbxContent>
                </v:textbox>
              </v:shape>
            </w:pict>
          </mc:Fallback>
        </mc:AlternateContent>
      </w:r>
      <w:r>
        <w:rPr>
          <w:noProof/>
          <w:sz w:val="22"/>
          <w:szCs w:val="22"/>
        </w:rPr>
        <w:drawing>
          <wp:inline distT="0" distB="0" distL="0" distR="0" wp14:anchorId="29BE8128" wp14:editId="0C6D94B4">
            <wp:extent cx="5838825" cy="2657475"/>
            <wp:effectExtent l="0" t="0" r="9525" b="9525"/>
            <wp:docPr id="38" name="Object 38"/>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bookmarkEnd w:id="3193"/>
    </w:p>
    <w:p w:rsidR="004A147C" w:rsidRPr="00B53FFB" w:rsidRDefault="004A147C" w:rsidP="00CE5850">
      <w:pPr>
        <w:pStyle w:val="Heading3"/>
        <w:keepNext w:val="0"/>
        <w:numPr>
          <w:ilvl w:val="2"/>
          <w:numId w:val="26"/>
        </w:numPr>
        <w:tabs>
          <w:tab w:val="left" w:pos="2160"/>
        </w:tabs>
        <w:rPr>
          <w:sz w:val="22"/>
          <w:szCs w:val="22"/>
        </w:rPr>
      </w:pPr>
      <w:bookmarkStart w:id="3194" w:name="_Toc261610782"/>
      <w:bookmarkStart w:id="3195" w:name="_Toc261858521"/>
      <w:bookmarkStart w:id="3196" w:name="_Toc262034326"/>
      <w:bookmarkStart w:id="3197" w:name="_Toc262034429"/>
      <w:bookmarkStart w:id="3198" w:name="_Toc271288469"/>
      <w:bookmarkStart w:id="3199" w:name="_Toc275517987"/>
      <w:bookmarkStart w:id="3200" w:name="_Toc275952427"/>
      <w:bookmarkStart w:id="3201" w:name="_Toc276121859"/>
      <w:bookmarkStart w:id="3202" w:name="_Toc276480695"/>
      <w:bookmarkStart w:id="3203" w:name="_Ref276652376"/>
      <w:bookmarkStart w:id="3204" w:name="_Ref276652380"/>
      <w:bookmarkStart w:id="3205" w:name="_Toc276741772"/>
      <w:bookmarkStart w:id="3206" w:name="_Toc277171537"/>
      <w:bookmarkStart w:id="3207" w:name="_Toc277864512"/>
      <w:bookmarkStart w:id="3208" w:name="_Toc277864728"/>
      <w:bookmarkStart w:id="3209" w:name="_Toc285810409"/>
      <w:bookmarkStart w:id="3210" w:name="_Toc287257803"/>
      <w:bookmarkStart w:id="3211" w:name="_Ref287272229"/>
      <w:bookmarkStart w:id="3212" w:name="_Toc291758682"/>
      <w:bookmarkStart w:id="3213" w:name="_Toc291758785"/>
      <w:bookmarkStart w:id="3214" w:name="_Toc295392965"/>
      <w:bookmarkStart w:id="3215" w:name="_Toc331766333"/>
      <w:bookmarkStart w:id="3216" w:name="_Toc332119128"/>
      <w:bookmarkStart w:id="3217" w:name="_Toc334088805"/>
      <w:bookmarkStart w:id="3218" w:name="_Toc334089041"/>
      <w:bookmarkStart w:id="3219" w:name="_Toc334089200"/>
      <w:bookmarkStart w:id="3220" w:name="_Toc334089311"/>
      <w:bookmarkStart w:id="3221" w:name="_Toc334089475"/>
      <w:bookmarkStart w:id="3222" w:name="_Toc336268616"/>
      <w:bookmarkStart w:id="3223" w:name="_Toc336268724"/>
      <w:bookmarkStart w:id="3224" w:name="_Toc336268831"/>
      <w:bookmarkStart w:id="3225" w:name="_Toc336269045"/>
      <w:bookmarkStart w:id="3226" w:name="_Toc336269152"/>
      <w:bookmarkStart w:id="3227" w:name="_Toc336269520"/>
      <w:bookmarkStart w:id="3228" w:name="_Toc336269666"/>
      <w:bookmarkStart w:id="3229" w:name="_Toc336270079"/>
      <w:bookmarkStart w:id="3230" w:name="_Toc336271279"/>
      <w:bookmarkStart w:id="3231" w:name="_Toc337651985"/>
      <w:bookmarkStart w:id="3232" w:name="_Toc349577174"/>
      <w:bookmarkStart w:id="3233" w:name="_Toc349579266"/>
      <w:bookmarkStart w:id="3234" w:name="_Toc349580581"/>
      <w:bookmarkStart w:id="3235" w:name="_Toc349734989"/>
      <w:bookmarkStart w:id="3236" w:name="_Toc349742354"/>
      <w:r w:rsidRPr="00B53FFB">
        <w:rPr>
          <w:sz w:val="22"/>
          <w:szCs w:val="22"/>
        </w:rPr>
        <w:t>Connections by Age</w:t>
      </w:r>
      <w:bookmarkEnd w:id="3194"/>
      <w:bookmarkEnd w:id="3195"/>
      <w:bookmarkEnd w:id="3196"/>
      <w:bookmarkEnd w:id="3197"/>
      <w:bookmarkEnd w:id="3198"/>
      <w:bookmarkEnd w:id="3199"/>
      <w:bookmarkEnd w:id="3200"/>
      <w:bookmarkEnd w:id="3201"/>
      <w:bookmarkEnd w:id="3202"/>
      <w:bookmarkEnd w:id="3203"/>
      <w:bookmarkEnd w:id="3204"/>
      <w:bookmarkEnd w:id="3205"/>
      <w:bookmarkEnd w:id="3206"/>
      <w:bookmarkEnd w:id="3207"/>
      <w:bookmarkEnd w:id="3208"/>
      <w:bookmarkEnd w:id="3209"/>
      <w:bookmarkEnd w:id="3210"/>
      <w:bookmarkEnd w:id="3211"/>
      <w:bookmarkEnd w:id="3212"/>
      <w:bookmarkEnd w:id="3213"/>
      <w:bookmarkEnd w:id="3214"/>
      <w:bookmarkEnd w:id="3215"/>
      <w:bookmarkEnd w:id="3216"/>
      <w:bookmarkEnd w:id="3217"/>
      <w:bookmarkEnd w:id="3218"/>
      <w:bookmarkEnd w:id="3219"/>
      <w:bookmarkEnd w:id="3220"/>
      <w:bookmarkEnd w:id="3221"/>
      <w:bookmarkEnd w:id="3222"/>
      <w:bookmarkEnd w:id="3223"/>
      <w:bookmarkEnd w:id="3224"/>
      <w:bookmarkEnd w:id="3225"/>
      <w:bookmarkEnd w:id="3226"/>
      <w:bookmarkEnd w:id="3227"/>
      <w:bookmarkEnd w:id="3228"/>
      <w:bookmarkEnd w:id="3229"/>
      <w:bookmarkEnd w:id="3230"/>
      <w:bookmarkEnd w:id="3231"/>
      <w:bookmarkEnd w:id="3232"/>
      <w:bookmarkEnd w:id="3233"/>
      <w:bookmarkEnd w:id="3234"/>
      <w:bookmarkEnd w:id="3235"/>
      <w:bookmarkEnd w:id="3236"/>
    </w:p>
    <w:p w:rsidR="004A147C" w:rsidRPr="00B53FFB" w:rsidRDefault="004A147C" w:rsidP="00CE5850">
      <w:pPr>
        <w:pStyle w:val="ParaNum"/>
        <w:numPr>
          <w:ilvl w:val="0"/>
          <w:numId w:val="28"/>
        </w:numPr>
        <w:rPr>
          <w:sz w:val="22"/>
          <w:szCs w:val="22"/>
        </w:rPr>
      </w:pPr>
      <w:r w:rsidRPr="00B53FFB">
        <w:rPr>
          <w:sz w:val="22"/>
          <w:szCs w:val="22"/>
        </w:rPr>
        <w:t xml:space="preserve">ComScore has estimated the age distribution of mobile wireless subscribers and of smartphone subscribers, as shown in </w:t>
      </w:r>
      <w:r w:rsidR="005B380F">
        <w:fldChar w:fldCharType="begin"/>
      </w:r>
      <w:r w:rsidR="005B380F">
        <w:instrText xml:space="preserve"> REF _Ref276463721 \h  \* MERGEFORMAT </w:instrText>
      </w:r>
      <w:r w:rsidR="005B380F">
        <w:fldChar w:fldCharType="separate"/>
      </w:r>
      <w:r w:rsidR="00CA3AC6" w:rsidRPr="00B53FFB">
        <w:rPr>
          <w:sz w:val="22"/>
          <w:szCs w:val="22"/>
        </w:rPr>
        <w:t xml:space="preserve">Chart </w:t>
      </w:r>
      <w:r w:rsidR="00CA3AC6">
        <w:rPr>
          <w:noProof/>
          <w:sz w:val="22"/>
          <w:szCs w:val="22"/>
        </w:rPr>
        <w:t>14</w:t>
      </w:r>
      <w:r w:rsidR="005B380F">
        <w:fldChar w:fldCharType="end"/>
      </w:r>
      <w:r w:rsidRPr="00B53FFB">
        <w:rPr>
          <w:sz w:val="22"/>
          <w:szCs w:val="22"/>
        </w:rPr>
        <w:t xml:space="preserve"> below.  While the adoption of all mobile wireless devices is fairly evenly distributed among various age groups, smartphone adoption is more concentrated in younger age groups.  </w:t>
      </w:r>
      <w:r w:rsidR="005B380F">
        <w:fldChar w:fldCharType="begin"/>
      </w:r>
      <w:r w:rsidR="005B380F">
        <w:instrText xml:space="preserve"> REF _Ref276463721 \h  \* MERGEFORMAT </w:instrText>
      </w:r>
      <w:r w:rsidR="005B380F">
        <w:fldChar w:fldCharType="separate"/>
      </w:r>
      <w:r w:rsidR="00CA3AC6" w:rsidRPr="00B53FFB">
        <w:rPr>
          <w:sz w:val="22"/>
          <w:szCs w:val="22"/>
        </w:rPr>
        <w:t xml:space="preserve">Chart </w:t>
      </w:r>
      <w:r w:rsidR="00CA3AC6">
        <w:rPr>
          <w:noProof/>
          <w:sz w:val="22"/>
          <w:szCs w:val="22"/>
        </w:rPr>
        <w:t>14</w:t>
      </w:r>
      <w:r w:rsidR="005B380F">
        <w:fldChar w:fldCharType="end"/>
      </w:r>
      <w:r w:rsidRPr="00B53FFB">
        <w:rPr>
          <w:sz w:val="22"/>
          <w:szCs w:val="22"/>
        </w:rPr>
        <w:t xml:space="preserve"> shows that adults age 18-44 comprise 47 percent of all mobile wireless subscribers, but make up 62 percent of smartphone users.</w:t>
      </w:r>
      <w:r w:rsidRPr="00B53FFB">
        <w:rPr>
          <w:rStyle w:val="FootnoteReference"/>
          <w:szCs w:val="22"/>
        </w:rPr>
        <w:footnoteReference w:id="781"/>
      </w:r>
      <w:r w:rsidRPr="00B53FFB">
        <w:rPr>
          <w:sz w:val="22"/>
          <w:szCs w:val="22"/>
        </w:rPr>
        <w:t xml:space="preserve">  On the other hand, adults over age 55 comprise 28 percent of all mobile wireless subscribers but only 16 percent of smartphone subscribers.</w:t>
      </w:r>
      <w:r w:rsidRPr="00B53FFB">
        <w:rPr>
          <w:rStyle w:val="FootnoteReference"/>
          <w:szCs w:val="22"/>
        </w:rPr>
        <w:footnoteReference w:id="782"/>
      </w:r>
      <w:r w:rsidRPr="00B53FFB">
        <w:rPr>
          <w:sz w:val="22"/>
          <w:szCs w:val="22"/>
        </w:rPr>
        <w:t xml:space="preserve">  Additionally, Pew has estimated that about one in four teens reports owning a smartphone.</w:t>
      </w:r>
      <w:r w:rsidRPr="00B53FFB">
        <w:rPr>
          <w:rStyle w:val="FootnoteReference"/>
          <w:szCs w:val="22"/>
        </w:rPr>
        <w:footnoteReference w:id="783"/>
      </w:r>
      <w:r w:rsidRPr="00B53FFB">
        <w:rPr>
          <w:sz w:val="22"/>
          <w:szCs w:val="22"/>
        </w:rPr>
        <w:t xml:space="preserve"> Of teens ages 12-17, 23 percent said they have a smartphone, with ownership highest amongst older teens ages 14-17, at 31 percent.</w:t>
      </w:r>
      <w:r w:rsidRPr="00B53FFB">
        <w:rPr>
          <w:rStyle w:val="FootnoteReference"/>
          <w:szCs w:val="22"/>
        </w:rPr>
        <w:footnoteReference w:id="784"/>
      </w:r>
    </w:p>
    <w:p w:rsidR="004A147C" w:rsidRPr="00B53FFB" w:rsidRDefault="004A147C" w:rsidP="00CE5850">
      <w:pPr>
        <w:pStyle w:val="Caption"/>
        <w:widowControl w:val="0"/>
        <w:jc w:val="center"/>
        <w:rPr>
          <w:sz w:val="22"/>
          <w:szCs w:val="22"/>
        </w:rPr>
      </w:pPr>
      <w:bookmarkStart w:id="3237" w:name="_Ref276463721"/>
      <w:r w:rsidRPr="00B53FFB">
        <w:rPr>
          <w:sz w:val="22"/>
          <w:szCs w:val="22"/>
        </w:rPr>
        <w:t xml:space="preserve">Chart </w:t>
      </w:r>
      <w:r w:rsidR="0007014B" w:rsidRPr="00B53FFB">
        <w:rPr>
          <w:sz w:val="22"/>
          <w:szCs w:val="22"/>
        </w:rPr>
        <w:fldChar w:fldCharType="begin"/>
      </w:r>
      <w:r w:rsidRPr="00B53FFB">
        <w:rPr>
          <w:sz w:val="22"/>
          <w:szCs w:val="22"/>
        </w:rPr>
        <w:instrText xml:space="preserve"> SEQ Chart \* ARABIC </w:instrText>
      </w:r>
      <w:r w:rsidR="0007014B" w:rsidRPr="00B53FFB">
        <w:rPr>
          <w:sz w:val="22"/>
          <w:szCs w:val="22"/>
        </w:rPr>
        <w:fldChar w:fldCharType="separate"/>
      </w:r>
      <w:r w:rsidR="00CA3AC6">
        <w:rPr>
          <w:noProof/>
          <w:sz w:val="22"/>
          <w:szCs w:val="22"/>
        </w:rPr>
        <w:t>14</w:t>
      </w:r>
      <w:r w:rsidR="0007014B" w:rsidRPr="00B53FFB">
        <w:rPr>
          <w:sz w:val="22"/>
          <w:szCs w:val="22"/>
        </w:rPr>
        <w:fldChar w:fldCharType="end"/>
      </w:r>
      <w:bookmarkEnd w:id="3237"/>
      <w:r w:rsidRPr="00B53FFB">
        <w:rPr>
          <w:sz w:val="22"/>
          <w:szCs w:val="22"/>
        </w:rPr>
        <w:br/>
        <w:t>Age Breakdown of Mobile Wireless Subscribers, Q4 2011 (Percent)</w:t>
      </w:r>
      <w:r w:rsidRPr="00B53FFB">
        <w:rPr>
          <w:rStyle w:val="FootnoteReference"/>
          <w:b w:val="0"/>
          <w:szCs w:val="22"/>
        </w:rPr>
        <w:footnoteReference w:id="785"/>
      </w:r>
    </w:p>
    <w:p w:rsidR="004A147C" w:rsidRPr="00B53FFB" w:rsidRDefault="00C81B24" w:rsidP="00CE5850">
      <w:pPr>
        <w:rPr>
          <w:szCs w:val="22"/>
        </w:rPr>
      </w:pPr>
      <w:r>
        <w:rPr>
          <w:noProof/>
          <w:szCs w:val="22"/>
        </w:rPr>
        <w:drawing>
          <wp:inline distT="0" distB="0" distL="0" distR="0" wp14:anchorId="62EE8791" wp14:editId="73D3BF22">
            <wp:extent cx="6267449" cy="3609975"/>
            <wp:effectExtent l="0" t="0" r="635"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6274906" cy="3614270"/>
                    </a:xfrm>
                    <a:prstGeom prst="rect">
                      <a:avLst/>
                    </a:prstGeom>
                    <a:noFill/>
                    <a:ln>
                      <a:noFill/>
                    </a:ln>
                  </pic:spPr>
                </pic:pic>
              </a:graphicData>
            </a:graphic>
          </wp:inline>
        </w:drawing>
      </w:r>
    </w:p>
    <w:p w:rsidR="004A147C" w:rsidRPr="00B53FFB" w:rsidRDefault="004A147C" w:rsidP="00CE5850">
      <w:pPr>
        <w:jc w:val="center"/>
        <w:rPr>
          <w:szCs w:val="22"/>
        </w:rPr>
      </w:pPr>
    </w:p>
    <w:p w:rsidR="004A147C" w:rsidRPr="00B53FFB" w:rsidRDefault="004A147C" w:rsidP="00CE5850">
      <w:pPr>
        <w:pStyle w:val="Heading3"/>
        <w:keepNext w:val="0"/>
        <w:numPr>
          <w:ilvl w:val="2"/>
          <w:numId w:val="26"/>
        </w:numPr>
        <w:tabs>
          <w:tab w:val="left" w:pos="2160"/>
        </w:tabs>
        <w:rPr>
          <w:sz w:val="22"/>
          <w:szCs w:val="22"/>
        </w:rPr>
      </w:pPr>
      <w:bookmarkStart w:id="3238" w:name="_Ref256506572"/>
      <w:bookmarkStart w:id="3239" w:name="_Ref256506578"/>
      <w:bookmarkStart w:id="3240" w:name="_Toc261610783"/>
      <w:bookmarkStart w:id="3241" w:name="_Toc261858522"/>
      <w:bookmarkStart w:id="3242" w:name="_Toc262034327"/>
      <w:bookmarkStart w:id="3243" w:name="_Toc262034430"/>
      <w:bookmarkStart w:id="3244" w:name="_Toc271288470"/>
      <w:bookmarkStart w:id="3245" w:name="_Toc275517988"/>
      <w:bookmarkStart w:id="3246" w:name="_Toc275952428"/>
      <w:bookmarkStart w:id="3247" w:name="_Toc276121860"/>
      <w:bookmarkStart w:id="3248" w:name="_Toc276480696"/>
      <w:bookmarkStart w:id="3249" w:name="_Toc276741773"/>
      <w:bookmarkStart w:id="3250" w:name="_Toc277171538"/>
      <w:bookmarkStart w:id="3251" w:name="_Toc277864513"/>
      <w:bookmarkStart w:id="3252" w:name="_Toc277864729"/>
      <w:bookmarkStart w:id="3253" w:name="_Toc285810410"/>
      <w:bookmarkStart w:id="3254" w:name="_Toc287257804"/>
      <w:bookmarkStart w:id="3255" w:name="_Toc291758683"/>
      <w:bookmarkStart w:id="3256" w:name="_Toc291758786"/>
      <w:bookmarkStart w:id="3257" w:name="_Toc295392966"/>
      <w:bookmarkStart w:id="3258" w:name="_Toc331766334"/>
      <w:bookmarkStart w:id="3259" w:name="_Toc332119129"/>
      <w:bookmarkStart w:id="3260" w:name="_Toc334088806"/>
      <w:bookmarkStart w:id="3261" w:name="_Toc334089042"/>
      <w:bookmarkStart w:id="3262" w:name="_Toc334089201"/>
      <w:bookmarkStart w:id="3263" w:name="_Toc334089312"/>
      <w:bookmarkStart w:id="3264" w:name="_Toc334089476"/>
      <w:bookmarkStart w:id="3265" w:name="_Toc336268617"/>
      <w:bookmarkStart w:id="3266" w:name="_Toc336268725"/>
      <w:bookmarkStart w:id="3267" w:name="_Toc336268832"/>
      <w:bookmarkStart w:id="3268" w:name="_Toc336269046"/>
      <w:bookmarkStart w:id="3269" w:name="_Toc336269153"/>
      <w:bookmarkStart w:id="3270" w:name="_Toc336269521"/>
      <w:bookmarkStart w:id="3271" w:name="_Toc336269667"/>
      <w:bookmarkStart w:id="3272" w:name="_Toc336270080"/>
      <w:bookmarkStart w:id="3273" w:name="_Toc336271280"/>
      <w:bookmarkStart w:id="3274" w:name="_Toc337651986"/>
      <w:bookmarkStart w:id="3275" w:name="_Toc349577175"/>
      <w:bookmarkStart w:id="3276" w:name="_Toc349579267"/>
      <w:bookmarkStart w:id="3277" w:name="_Toc349580582"/>
      <w:bookmarkStart w:id="3278" w:name="_Toc349734990"/>
      <w:bookmarkStart w:id="3279" w:name="_Toc349742355"/>
      <w:r w:rsidRPr="00B53FFB">
        <w:rPr>
          <w:sz w:val="22"/>
          <w:szCs w:val="22"/>
        </w:rPr>
        <w:t>Connections by Economic Area (EA)</w:t>
      </w:r>
      <w:bookmarkEnd w:id="3238"/>
      <w:bookmarkEnd w:id="3239"/>
      <w:bookmarkEnd w:id="3240"/>
      <w:bookmarkEnd w:id="3241"/>
      <w:bookmarkEnd w:id="3242"/>
      <w:bookmarkEnd w:id="3243"/>
      <w:bookmarkEnd w:id="3244"/>
      <w:bookmarkEnd w:id="3245"/>
      <w:bookmarkEnd w:id="3246"/>
      <w:bookmarkEnd w:id="3247"/>
      <w:bookmarkEnd w:id="3248"/>
      <w:bookmarkEnd w:id="3249"/>
      <w:bookmarkEnd w:id="3250"/>
      <w:bookmarkEnd w:id="3251"/>
      <w:bookmarkEnd w:id="3252"/>
      <w:bookmarkEnd w:id="3253"/>
      <w:bookmarkEnd w:id="3254"/>
      <w:bookmarkEnd w:id="3255"/>
      <w:bookmarkEnd w:id="3256"/>
      <w:bookmarkEnd w:id="3257"/>
      <w:bookmarkEnd w:id="3258"/>
      <w:bookmarkEnd w:id="3259"/>
      <w:bookmarkEnd w:id="3260"/>
      <w:bookmarkEnd w:id="3261"/>
      <w:bookmarkEnd w:id="3262"/>
      <w:bookmarkEnd w:id="3263"/>
      <w:bookmarkEnd w:id="3264"/>
      <w:bookmarkEnd w:id="3265"/>
      <w:bookmarkEnd w:id="3266"/>
      <w:bookmarkEnd w:id="3267"/>
      <w:bookmarkEnd w:id="3268"/>
      <w:bookmarkEnd w:id="3269"/>
      <w:bookmarkEnd w:id="3270"/>
      <w:bookmarkEnd w:id="3271"/>
      <w:bookmarkEnd w:id="3272"/>
      <w:bookmarkEnd w:id="3273"/>
      <w:bookmarkEnd w:id="3274"/>
      <w:bookmarkEnd w:id="3275"/>
      <w:bookmarkEnd w:id="3276"/>
      <w:bookmarkEnd w:id="3277"/>
      <w:bookmarkEnd w:id="3278"/>
      <w:bookmarkEnd w:id="3279"/>
    </w:p>
    <w:p w:rsidR="004A147C" w:rsidRPr="00B53FFB" w:rsidRDefault="004A147C" w:rsidP="00CE5850">
      <w:pPr>
        <w:pStyle w:val="ParaNum"/>
        <w:numPr>
          <w:ilvl w:val="0"/>
          <w:numId w:val="28"/>
        </w:numPr>
        <w:rPr>
          <w:sz w:val="22"/>
          <w:szCs w:val="22"/>
        </w:rPr>
      </w:pPr>
      <w:r w:rsidRPr="00B53FFB">
        <w:rPr>
          <w:sz w:val="22"/>
          <w:szCs w:val="22"/>
        </w:rPr>
        <w:t>To analyze mobile wireless connections across geographic areas, we have estimated mobile wireless connections per 100 people (penetration rates) in the EAs of the United States using NRUF data.</w:t>
      </w:r>
      <w:bookmarkStart w:id="3280" w:name="_Ref138561688"/>
      <w:r w:rsidRPr="00B53FFB">
        <w:rPr>
          <w:rStyle w:val="FootnoteReference"/>
          <w:szCs w:val="22"/>
        </w:rPr>
        <w:footnoteReference w:id="786"/>
      </w:r>
      <w:bookmarkEnd w:id="3280"/>
      <w:r w:rsidRPr="00B53FFB">
        <w:rPr>
          <w:sz w:val="22"/>
          <w:szCs w:val="22"/>
        </w:rPr>
        <w:t xml:space="preserve">  As discussed above, we use EAs as the geographic unit for measuring the level of concentration in the mobile wireless services industry in order to maintain continuity with past </w:t>
      </w:r>
      <w:r w:rsidRPr="00B53FFB">
        <w:rPr>
          <w:i/>
          <w:sz w:val="22"/>
          <w:szCs w:val="22"/>
        </w:rPr>
        <w:t>Reports</w:t>
      </w:r>
      <w:r w:rsidRPr="00B53FFB">
        <w:rPr>
          <w:rStyle w:val="FootnoteReference"/>
          <w:szCs w:val="22"/>
        </w:rPr>
        <w:footnoteReference w:id="787"/>
      </w:r>
      <w:r w:rsidRPr="00B53FFB">
        <w:rPr>
          <w:i/>
          <w:sz w:val="22"/>
          <w:szCs w:val="22"/>
        </w:rPr>
        <w:t xml:space="preserve"> </w:t>
      </w:r>
      <w:r w:rsidRPr="00B53FFB">
        <w:rPr>
          <w:sz w:val="22"/>
          <w:szCs w:val="22"/>
        </w:rPr>
        <w:t>and ensure that we do not compromise the confidential information contained in the NRUF data.</w:t>
      </w:r>
      <w:r w:rsidRPr="00B53FFB">
        <w:rPr>
          <w:rStyle w:val="FootnoteReference"/>
          <w:szCs w:val="22"/>
        </w:rPr>
        <w:footnoteReference w:id="788"/>
      </w:r>
      <w:r w:rsidRPr="00B53FFB">
        <w:rPr>
          <w:sz w:val="22"/>
          <w:szCs w:val="22"/>
        </w:rPr>
        <w:t xml:space="preserve">  Regional penetration rates for the 172 EAs range from 79.5 percent in Hobbs, NM to 135 percent in Monroe, LA.</w:t>
      </w:r>
      <w:r w:rsidRPr="00B53FFB">
        <w:rPr>
          <w:rStyle w:val="FootnoteReference"/>
          <w:szCs w:val="22"/>
        </w:rPr>
        <w:footnoteReference w:id="789"/>
      </w:r>
      <w:r w:rsidRPr="00B53FFB">
        <w:rPr>
          <w:sz w:val="22"/>
          <w:szCs w:val="22"/>
        </w:rPr>
        <w:t xml:space="preserve">  As discussed above, the nationwide penetration rate based on NRUF data now exceeds 100 percent, and the penetration rate in 60 of the 172 EAs was at least 100 percent at the end of 2011.  This is up from 18 EAs at the end of 2009 and 30 EAs at the end of 2010.</w:t>
      </w:r>
    </w:p>
    <w:p w:rsidR="004A147C" w:rsidRPr="00B53FFB" w:rsidRDefault="004A147C" w:rsidP="00CE5850">
      <w:pPr>
        <w:pStyle w:val="Heading2"/>
        <w:keepNext w:val="0"/>
      </w:pPr>
      <w:bookmarkStart w:id="3281" w:name="_Toc261610784"/>
      <w:bookmarkStart w:id="3282" w:name="_Toc261858523"/>
      <w:bookmarkStart w:id="3283" w:name="_Toc262034328"/>
      <w:bookmarkStart w:id="3284" w:name="_Toc262034431"/>
      <w:bookmarkStart w:id="3285" w:name="_Toc271288471"/>
      <w:bookmarkStart w:id="3286" w:name="_Toc275517989"/>
      <w:bookmarkStart w:id="3287" w:name="_Toc275952429"/>
      <w:bookmarkStart w:id="3288" w:name="_Toc276121861"/>
      <w:bookmarkStart w:id="3289" w:name="_Toc276480697"/>
      <w:bookmarkStart w:id="3290" w:name="_Toc276741774"/>
      <w:bookmarkStart w:id="3291" w:name="_Toc277171539"/>
      <w:bookmarkStart w:id="3292" w:name="_Toc277864514"/>
      <w:bookmarkStart w:id="3293" w:name="_Toc277864730"/>
      <w:bookmarkStart w:id="3294" w:name="_Toc285810411"/>
      <w:bookmarkStart w:id="3295" w:name="_Toc287257805"/>
      <w:bookmarkStart w:id="3296" w:name="_Toc291758684"/>
      <w:bookmarkStart w:id="3297" w:name="_Toc291758787"/>
      <w:bookmarkStart w:id="3298" w:name="_Toc295392967"/>
      <w:bookmarkStart w:id="3299" w:name="_Toc329262509"/>
      <w:bookmarkStart w:id="3300" w:name="_Toc329852419"/>
      <w:bookmarkStart w:id="3301" w:name="_Toc331766335"/>
      <w:bookmarkStart w:id="3302" w:name="_Toc332119130"/>
      <w:bookmarkStart w:id="3303" w:name="_Toc334088807"/>
      <w:bookmarkStart w:id="3304" w:name="_Toc334089043"/>
      <w:bookmarkStart w:id="3305" w:name="_Toc334089202"/>
      <w:bookmarkStart w:id="3306" w:name="_Toc334089313"/>
      <w:bookmarkStart w:id="3307" w:name="_Toc334089477"/>
      <w:bookmarkStart w:id="3308" w:name="_Toc336268618"/>
      <w:bookmarkStart w:id="3309" w:name="_Toc336268726"/>
      <w:bookmarkStart w:id="3310" w:name="_Toc336268833"/>
      <w:bookmarkStart w:id="3311" w:name="_Toc336269047"/>
      <w:bookmarkStart w:id="3312" w:name="_Toc336269154"/>
      <w:bookmarkStart w:id="3313" w:name="_Toc336269522"/>
      <w:bookmarkStart w:id="3314" w:name="_Toc336269668"/>
      <w:bookmarkStart w:id="3315" w:name="_Toc336270081"/>
      <w:bookmarkStart w:id="3316" w:name="_Toc336271281"/>
      <w:bookmarkStart w:id="3317" w:name="_Toc337651987"/>
      <w:bookmarkStart w:id="3318" w:name="_Toc349577176"/>
      <w:bookmarkStart w:id="3319" w:name="_Toc349579268"/>
      <w:bookmarkStart w:id="3320" w:name="_Toc349580583"/>
      <w:bookmarkStart w:id="3321" w:name="_Toc349734991"/>
      <w:bookmarkStart w:id="3322" w:name="_Toc349742356"/>
      <w:r w:rsidRPr="00B53FFB">
        <w:t>Mobile Wireless Net Additions</w:t>
      </w:r>
      <w:bookmarkEnd w:id="3281"/>
      <w:bookmarkEnd w:id="3282"/>
      <w:bookmarkEnd w:id="3283"/>
      <w:bookmarkEnd w:id="3284"/>
      <w:bookmarkEnd w:id="3285"/>
      <w:bookmarkEnd w:id="3286"/>
      <w:bookmarkEnd w:id="3287"/>
      <w:bookmarkEnd w:id="3288"/>
      <w:bookmarkEnd w:id="3289"/>
      <w:bookmarkEnd w:id="3290"/>
      <w:bookmarkEnd w:id="3291"/>
      <w:bookmarkEnd w:id="3292"/>
      <w:bookmarkEnd w:id="3293"/>
      <w:bookmarkEnd w:id="3294"/>
      <w:bookmarkEnd w:id="3295"/>
      <w:bookmarkEnd w:id="3296"/>
      <w:bookmarkEnd w:id="3297"/>
      <w:bookmarkEnd w:id="3298"/>
      <w:bookmarkEnd w:id="3299"/>
      <w:bookmarkEnd w:id="3300"/>
      <w:r w:rsidRPr="00B53FFB">
        <w:t xml:space="preserve"> of Customers</w:t>
      </w:r>
      <w:bookmarkEnd w:id="3301"/>
      <w:bookmarkEnd w:id="3302"/>
      <w:bookmarkEnd w:id="3303"/>
      <w:bookmarkEnd w:id="3304"/>
      <w:bookmarkEnd w:id="3305"/>
      <w:bookmarkEnd w:id="3306"/>
      <w:bookmarkEnd w:id="3307"/>
      <w:bookmarkEnd w:id="3308"/>
      <w:bookmarkEnd w:id="3309"/>
      <w:bookmarkEnd w:id="3310"/>
      <w:bookmarkEnd w:id="3311"/>
      <w:bookmarkEnd w:id="3312"/>
      <w:bookmarkEnd w:id="3313"/>
      <w:bookmarkEnd w:id="3314"/>
      <w:bookmarkEnd w:id="3315"/>
      <w:bookmarkEnd w:id="3316"/>
      <w:bookmarkEnd w:id="3317"/>
      <w:bookmarkEnd w:id="3318"/>
      <w:bookmarkEnd w:id="3319"/>
      <w:bookmarkEnd w:id="3320"/>
      <w:bookmarkEnd w:id="3321"/>
      <w:bookmarkEnd w:id="3322"/>
    </w:p>
    <w:p w:rsidR="004A147C" w:rsidRPr="00B53FFB" w:rsidRDefault="004A147C" w:rsidP="00CE5850">
      <w:pPr>
        <w:pStyle w:val="Heading3"/>
        <w:keepNext w:val="0"/>
        <w:numPr>
          <w:ilvl w:val="2"/>
          <w:numId w:val="26"/>
        </w:numPr>
        <w:tabs>
          <w:tab w:val="left" w:pos="2160"/>
        </w:tabs>
        <w:rPr>
          <w:sz w:val="22"/>
          <w:szCs w:val="22"/>
        </w:rPr>
      </w:pPr>
      <w:bookmarkStart w:id="3323" w:name="_Toc261610785"/>
      <w:bookmarkStart w:id="3324" w:name="_Toc261858524"/>
      <w:bookmarkStart w:id="3325" w:name="_Toc262034329"/>
      <w:bookmarkStart w:id="3326" w:name="_Toc262034432"/>
      <w:bookmarkStart w:id="3327" w:name="_Toc271288472"/>
      <w:bookmarkStart w:id="3328" w:name="_Toc275517990"/>
      <w:bookmarkStart w:id="3329" w:name="_Toc275952430"/>
      <w:bookmarkStart w:id="3330" w:name="_Toc276121862"/>
      <w:bookmarkStart w:id="3331" w:name="_Toc276480698"/>
      <w:bookmarkStart w:id="3332" w:name="_Toc276741775"/>
      <w:bookmarkStart w:id="3333" w:name="_Toc277171540"/>
      <w:bookmarkStart w:id="3334" w:name="_Toc277864515"/>
      <w:bookmarkStart w:id="3335" w:name="_Toc277864731"/>
      <w:bookmarkStart w:id="3336" w:name="_Toc285810412"/>
      <w:bookmarkStart w:id="3337" w:name="_Toc287257806"/>
      <w:bookmarkStart w:id="3338" w:name="_Toc291758685"/>
      <w:bookmarkStart w:id="3339" w:name="_Toc291758788"/>
      <w:bookmarkStart w:id="3340" w:name="_Toc295392968"/>
      <w:bookmarkStart w:id="3341" w:name="_Toc329262510"/>
      <w:bookmarkStart w:id="3342" w:name="_Toc329852420"/>
      <w:bookmarkStart w:id="3343" w:name="_Toc331766336"/>
      <w:bookmarkStart w:id="3344" w:name="_Toc332119131"/>
      <w:bookmarkStart w:id="3345" w:name="_Toc334088808"/>
      <w:bookmarkStart w:id="3346" w:name="_Toc334089044"/>
      <w:bookmarkStart w:id="3347" w:name="_Toc334089203"/>
      <w:bookmarkStart w:id="3348" w:name="_Toc334089314"/>
      <w:bookmarkStart w:id="3349" w:name="_Toc334089478"/>
      <w:bookmarkStart w:id="3350" w:name="_Toc336268619"/>
      <w:bookmarkStart w:id="3351" w:name="_Toc336268727"/>
      <w:bookmarkStart w:id="3352" w:name="_Toc336268834"/>
      <w:bookmarkStart w:id="3353" w:name="_Toc336269048"/>
      <w:bookmarkStart w:id="3354" w:name="_Toc336269155"/>
      <w:bookmarkStart w:id="3355" w:name="_Toc336269523"/>
      <w:bookmarkStart w:id="3356" w:name="_Toc336269669"/>
      <w:bookmarkStart w:id="3357" w:name="_Toc336270082"/>
      <w:bookmarkStart w:id="3358" w:name="_Toc336271282"/>
      <w:bookmarkStart w:id="3359" w:name="_Toc337651988"/>
      <w:bookmarkStart w:id="3360" w:name="_Toc349577177"/>
      <w:bookmarkStart w:id="3361" w:name="_Toc349579269"/>
      <w:bookmarkStart w:id="3362" w:name="_Toc349580584"/>
      <w:bookmarkStart w:id="3363" w:name="_Toc349734992"/>
      <w:bookmarkStart w:id="3364" w:name="_Toc349742357"/>
      <w:r w:rsidRPr="00B53FFB">
        <w:rPr>
          <w:sz w:val="22"/>
          <w:szCs w:val="22"/>
        </w:rPr>
        <w:t>Industry-Wide Net Add</w:t>
      </w:r>
      <w:bookmarkEnd w:id="3323"/>
      <w:bookmarkEnd w:id="3324"/>
      <w:bookmarkEnd w:id="3325"/>
      <w:bookmarkEnd w:id="3326"/>
      <w:bookmarkEnd w:id="3327"/>
      <w:bookmarkEnd w:id="3328"/>
      <w:bookmarkEnd w:id="3329"/>
      <w:bookmarkEnd w:id="3330"/>
      <w:bookmarkEnd w:id="3331"/>
      <w:bookmarkEnd w:id="3332"/>
      <w:bookmarkEnd w:id="3333"/>
      <w:bookmarkEnd w:id="3334"/>
      <w:bookmarkEnd w:id="3335"/>
      <w:bookmarkEnd w:id="3336"/>
      <w:bookmarkEnd w:id="3337"/>
      <w:bookmarkEnd w:id="3338"/>
      <w:bookmarkEnd w:id="3339"/>
      <w:bookmarkEnd w:id="3340"/>
      <w:bookmarkEnd w:id="3341"/>
      <w:bookmarkEnd w:id="3342"/>
      <w:r w:rsidRPr="00B53FFB">
        <w:rPr>
          <w:sz w:val="22"/>
          <w:szCs w:val="22"/>
        </w:rPr>
        <w:t>itions</w:t>
      </w:r>
      <w:bookmarkEnd w:id="3343"/>
      <w:bookmarkEnd w:id="3344"/>
      <w:bookmarkEnd w:id="3345"/>
      <w:bookmarkEnd w:id="3346"/>
      <w:bookmarkEnd w:id="3347"/>
      <w:bookmarkEnd w:id="3348"/>
      <w:bookmarkEnd w:id="3349"/>
      <w:bookmarkEnd w:id="3350"/>
      <w:bookmarkEnd w:id="3351"/>
      <w:bookmarkEnd w:id="3352"/>
      <w:bookmarkEnd w:id="3353"/>
      <w:bookmarkEnd w:id="3354"/>
      <w:bookmarkEnd w:id="3355"/>
      <w:bookmarkEnd w:id="3356"/>
      <w:bookmarkEnd w:id="3357"/>
      <w:bookmarkEnd w:id="3358"/>
      <w:bookmarkEnd w:id="3359"/>
      <w:bookmarkEnd w:id="3360"/>
      <w:bookmarkEnd w:id="3361"/>
      <w:bookmarkEnd w:id="3362"/>
      <w:bookmarkEnd w:id="3363"/>
      <w:bookmarkEnd w:id="3364"/>
    </w:p>
    <w:p w:rsidR="004A147C" w:rsidRPr="00B53FFB" w:rsidRDefault="004A147C" w:rsidP="00CE5850">
      <w:pPr>
        <w:pStyle w:val="ParaNum"/>
        <w:numPr>
          <w:ilvl w:val="0"/>
          <w:numId w:val="28"/>
        </w:numPr>
        <w:rPr>
          <w:sz w:val="22"/>
          <w:szCs w:val="22"/>
        </w:rPr>
      </w:pPr>
      <w:bookmarkStart w:id="3365" w:name="_Ref257293106"/>
      <w:bookmarkStart w:id="3366" w:name="_Ref257293109"/>
      <w:bookmarkStart w:id="3367" w:name="_Ref260226356"/>
      <w:bookmarkStart w:id="3368" w:name="_Ref260226359"/>
      <w:bookmarkStart w:id="3369" w:name="_Toc261610788"/>
      <w:bookmarkStart w:id="3370" w:name="_Toc261858527"/>
      <w:bookmarkStart w:id="3371" w:name="_Toc262034332"/>
      <w:bookmarkStart w:id="3372" w:name="_Toc262034435"/>
      <w:r w:rsidRPr="00B53FFB">
        <w:rPr>
          <w:kern w:val="0"/>
          <w:sz w:val="22"/>
          <w:szCs w:val="22"/>
          <w:lang w:eastAsia="zh-CN"/>
        </w:rPr>
        <w:t>Data on the net additional connections during a period of time (“net adds”) provide information about the sources and level of growth in mobile wireless connections.  According to data from CTIA, after declining from 2006 through 2008, net adds increased significantly in 2009 to 20.6 million (revised data) and remained at just over 20 million in 2010 and 2011 (</w:t>
      </w:r>
      <w:r w:rsidR="005B380F">
        <w:fldChar w:fldCharType="begin"/>
      </w:r>
      <w:r w:rsidR="005B380F">
        <w:instrText xml:space="preserve"> REF _Ref256091101 \h  \* MERGEFORMAT </w:instrText>
      </w:r>
      <w:r w:rsidR="005B380F">
        <w:fldChar w:fldCharType="separate"/>
      </w:r>
      <w:r w:rsidR="00CA3AC6" w:rsidRPr="00B53FFB">
        <w:rPr>
          <w:sz w:val="22"/>
          <w:szCs w:val="22"/>
        </w:rPr>
        <w:t xml:space="preserve">Chart </w:t>
      </w:r>
      <w:r w:rsidR="00CA3AC6">
        <w:rPr>
          <w:noProof/>
          <w:sz w:val="22"/>
          <w:szCs w:val="22"/>
        </w:rPr>
        <w:t>15</w:t>
      </w:r>
      <w:r w:rsidR="005B380F">
        <w:fldChar w:fldCharType="end"/>
      </w:r>
      <w:r w:rsidRPr="00B53FFB">
        <w:rPr>
          <w:kern w:val="0"/>
          <w:sz w:val="22"/>
          <w:szCs w:val="22"/>
          <w:lang w:eastAsia="zh-CN"/>
        </w:rPr>
        <w:t>).  According to NRUF data, net adds were flat in 2010 at 11.1 million and increased in 2011 to 15.5 million.</w:t>
      </w:r>
      <w:r w:rsidRPr="00B53FFB">
        <w:rPr>
          <w:rStyle w:val="FootnoteReference"/>
          <w:kern w:val="0"/>
          <w:szCs w:val="22"/>
          <w:lang w:eastAsia="zh-CN"/>
        </w:rPr>
        <w:footnoteReference w:id="790"/>
      </w:r>
      <w:r w:rsidRPr="00B53FFB">
        <w:rPr>
          <w:kern w:val="0"/>
          <w:sz w:val="22"/>
          <w:szCs w:val="22"/>
          <w:lang w:eastAsia="zh-CN"/>
        </w:rPr>
        <w:t xml:space="preserve">  Data from Form 477, which reports data on both mobile voice connections and mobile Internet access connections, suggest that data-only connections are driving a large portion of net adds.  While the number of mobile connections continued to grow in 2010 and 2011, particularly as people in younger age groups purchase mobile wireless services for the first time,</w:t>
      </w:r>
      <w:r w:rsidRPr="00B53FFB">
        <w:rPr>
          <w:rStyle w:val="FootnoteReference"/>
          <w:kern w:val="0"/>
          <w:szCs w:val="22"/>
          <w:lang w:eastAsia="zh-CN"/>
        </w:rPr>
        <w:footnoteReference w:id="791"/>
      </w:r>
      <w:r w:rsidRPr="00B53FFB">
        <w:rPr>
          <w:kern w:val="0"/>
          <w:sz w:val="22"/>
          <w:szCs w:val="22"/>
          <w:lang w:eastAsia="zh-CN"/>
        </w:rPr>
        <w:t xml:space="preserve"> the growth rate has been declining as mobile voice adoption reaches increasingly larger percentages of the population.  At the same time, the number of devices with data-only mobile wireless connectivity has increased, reflecting the increased demand for mobile wireless data services.</w:t>
      </w:r>
    </w:p>
    <w:p w:rsidR="004A147C" w:rsidRPr="00B53FFB" w:rsidRDefault="004A147C" w:rsidP="00CE5850">
      <w:pPr>
        <w:pStyle w:val="Caption"/>
        <w:widowControl w:val="0"/>
        <w:jc w:val="center"/>
        <w:rPr>
          <w:sz w:val="22"/>
          <w:szCs w:val="22"/>
        </w:rPr>
      </w:pPr>
      <w:bookmarkStart w:id="3373" w:name="_Ref256091101"/>
      <w:r w:rsidRPr="00B53FFB">
        <w:rPr>
          <w:sz w:val="22"/>
          <w:szCs w:val="22"/>
        </w:rPr>
        <w:t xml:space="preserve">Chart </w:t>
      </w:r>
      <w:r w:rsidR="0007014B" w:rsidRPr="00B53FFB">
        <w:rPr>
          <w:sz w:val="22"/>
          <w:szCs w:val="22"/>
        </w:rPr>
        <w:fldChar w:fldCharType="begin"/>
      </w:r>
      <w:r w:rsidRPr="00B53FFB">
        <w:rPr>
          <w:sz w:val="22"/>
          <w:szCs w:val="22"/>
        </w:rPr>
        <w:instrText xml:space="preserve"> SEQ Chart \* ARABIC </w:instrText>
      </w:r>
      <w:r w:rsidR="0007014B" w:rsidRPr="00B53FFB">
        <w:rPr>
          <w:sz w:val="22"/>
          <w:szCs w:val="22"/>
        </w:rPr>
        <w:fldChar w:fldCharType="separate"/>
      </w:r>
      <w:r w:rsidR="00CA3AC6">
        <w:rPr>
          <w:noProof/>
          <w:sz w:val="22"/>
          <w:szCs w:val="22"/>
        </w:rPr>
        <w:t>15</w:t>
      </w:r>
      <w:r w:rsidR="0007014B" w:rsidRPr="00B53FFB">
        <w:rPr>
          <w:sz w:val="22"/>
          <w:szCs w:val="22"/>
        </w:rPr>
        <w:fldChar w:fldCharType="end"/>
      </w:r>
      <w:bookmarkEnd w:id="3373"/>
      <w:r w:rsidRPr="00B53FFB">
        <w:rPr>
          <w:sz w:val="22"/>
          <w:szCs w:val="22"/>
        </w:rPr>
        <w:br/>
        <w:t>Total Mobile Wireless Connection Annual Net Additions, 2005-2011 (In millions)</w:t>
      </w:r>
      <w:r w:rsidRPr="00B53FFB">
        <w:rPr>
          <w:rStyle w:val="FootnoteReference"/>
          <w:b w:val="0"/>
          <w:szCs w:val="22"/>
        </w:rPr>
        <w:footnoteReference w:id="792"/>
      </w:r>
      <w:r w:rsidRPr="00D506C5">
        <w:rPr>
          <w:noProof/>
          <w:szCs w:val="22"/>
        </w:rPr>
        <w:t xml:space="preserve"> </w:t>
      </w:r>
      <w:r w:rsidR="00C81B24">
        <w:rPr>
          <w:noProof/>
          <w:szCs w:val="22"/>
        </w:rPr>
        <w:drawing>
          <wp:inline distT="0" distB="0" distL="0" distR="0" wp14:anchorId="1D58660D" wp14:editId="634FCD5F">
            <wp:extent cx="5438775" cy="4219575"/>
            <wp:effectExtent l="0" t="0" r="0" b="0"/>
            <wp:docPr id="40" name="Object 40"/>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p>
    <w:p w:rsidR="004A147C" w:rsidRPr="00B53FFB" w:rsidRDefault="004A147C" w:rsidP="00CE5850">
      <w:pPr>
        <w:jc w:val="center"/>
        <w:rPr>
          <w:szCs w:val="22"/>
        </w:rPr>
      </w:pPr>
      <w:bookmarkStart w:id="3374" w:name="_Toc261610786"/>
      <w:bookmarkStart w:id="3375" w:name="_Toc261858525"/>
      <w:bookmarkStart w:id="3376" w:name="_Toc262034330"/>
      <w:bookmarkStart w:id="3377" w:name="_Toc262034433"/>
      <w:bookmarkStart w:id="3378" w:name="_Toc271288473"/>
    </w:p>
    <w:p w:rsidR="004A147C" w:rsidRPr="00B53FFB" w:rsidRDefault="004A147C" w:rsidP="00CE5850">
      <w:pPr>
        <w:pStyle w:val="Heading3"/>
        <w:keepNext w:val="0"/>
        <w:numPr>
          <w:ilvl w:val="2"/>
          <w:numId w:val="26"/>
        </w:numPr>
        <w:tabs>
          <w:tab w:val="left" w:pos="2160"/>
        </w:tabs>
        <w:rPr>
          <w:sz w:val="22"/>
          <w:szCs w:val="22"/>
        </w:rPr>
      </w:pPr>
      <w:bookmarkStart w:id="3379" w:name="_Toc275517991"/>
      <w:bookmarkStart w:id="3380" w:name="_Toc275952431"/>
      <w:bookmarkStart w:id="3381" w:name="_Toc276121863"/>
      <w:bookmarkStart w:id="3382" w:name="_Toc276480699"/>
      <w:bookmarkStart w:id="3383" w:name="_Toc276741776"/>
      <w:bookmarkStart w:id="3384" w:name="_Toc277171541"/>
      <w:bookmarkStart w:id="3385" w:name="_Toc277864516"/>
      <w:bookmarkStart w:id="3386" w:name="_Toc277864732"/>
      <w:bookmarkStart w:id="3387" w:name="_Toc285810413"/>
      <w:bookmarkStart w:id="3388" w:name="_Toc287257807"/>
      <w:bookmarkStart w:id="3389" w:name="_Toc291758686"/>
      <w:bookmarkStart w:id="3390" w:name="_Toc291758789"/>
      <w:bookmarkStart w:id="3391" w:name="_Toc295392969"/>
      <w:bookmarkStart w:id="3392" w:name="_Toc329262511"/>
      <w:bookmarkStart w:id="3393" w:name="_Toc329852421"/>
      <w:bookmarkStart w:id="3394" w:name="_Toc331766337"/>
      <w:bookmarkStart w:id="3395" w:name="_Toc332119132"/>
      <w:bookmarkStart w:id="3396" w:name="_Toc334088809"/>
      <w:bookmarkStart w:id="3397" w:name="_Toc334089045"/>
      <w:bookmarkStart w:id="3398" w:name="_Toc334089204"/>
      <w:bookmarkStart w:id="3399" w:name="_Toc334089315"/>
      <w:bookmarkStart w:id="3400" w:name="_Toc334089479"/>
      <w:bookmarkStart w:id="3401" w:name="_Toc336268620"/>
      <w:bookmarkStart w:id="3402" w:name="_Toc336268728"/>
      <w:bookmarkStart w:id="3403" w:name="_Toc336268835"/>
      <w:bookmarkStart w:id="3404" w:name="_Toc336269049"/>
      <w:bookmarkStart w:id="3405" w:name="_Toc336269156"/>
      <w:bookmarkStart w:id="3406" w:name="_Toc336269524"/>
      <w:bookmarkStart w:id="3407" w:name="_Toc336269670"/>
      <w:bookmarkStart w:id="3408" w:name="_Toc336270083"/>
      <w:bookmarkStart w:id="3409" w:name="_Toc336271283"/>
      <w:bookmarkStart w:id="3410" w:name="_Toc337651989"/>
      <w:bookmarkStart w:id="3411" w:name="_Toc349577178"/>
      <w:bookmarkStart w:id="3412" w:name="_Toc349579270"/>
      <w:bookmarkStart w:id="3413" w:name="_Toc349580585"/>
      <w:bookmarkStart w:id="3414" w:name="_Toc349734993"/>
      <w:bookmarkStart w:id="3415" w:name="_Toc349742358"/>
      <w:r w:rsidRPr="00B53FFB">
        <w:rPr>
          <w:sz w:val="22"/>
          <w:szCs w:val="22"/>
        </w:rPr>
        <w:t>Net Additions by Service</w:t>
      </w:r>
      <w:bookmarkEnd w:id="3374"/>
      <w:bookmarkEnd w:id="3375"/>
      <w:bookmarkEnd w:id="3376"/>
      <w:bookmarkEnd w:id="3377"/>
      <w:bookmarkEnd w:id="3378"/>
      <w:bookmarkEnd w:id="3379"/>
      <w:bookmarkEnd w:id="3380"/>
      <w:bookmarkEnd w:id="3381"/>
      <w:bookmarkEnd w:id="3382"/>
      <w:bookmarkEnd w:id="3383"/>
      <w:bookmarkEnd w:id="3384"/>
      <w:bookmarkEnd w:id="3385"/>
      <w:bookmarkEnd w:id="3386"/>
      <w:bookmarkEnd w:id="3387"/>
      <w:bookmarkEnd w:id="3388"/>
      <w:bookmarkEnd w:id="3389"/>
      <w:bookmarkEnd w:id="3390"/>
      <w:bookmarkEnd w:id="3391"/>
      <w:bookmarkEnd w:id="3392"/>
      <w:bookmarkEnd w:id="3393"/>
      <w:r w:rsidRPr="00B53FFB">
        <w:rPr>
          <w:sz w:val="22"/>
          <w:szCs w:val="22"/>
        </w:rPr>
        <w:t xml:space="preserve"> Segment</w:t>
      </w:r>
      <w:bookmarkEnd w:id="3394"/>
      <w:bookmarkEnd w:id="3395"/>
      <w:bookmarkEnd w:id="3396"/>
      <w:bookmarkEnd w:id="3397"/>
      <w:bookmarkEnd w:id="3398"/>
      <w:bookmarkEnd w:id="3399"/>
      <w:bookmarkEnd w:id="3400"/>
      <w:bookmarkEnd w:id="3401"/>
      <w:bookmarkEnd w:id="3402"/>
      <w:bookmarkEnd w:id="3403"/>
      <w:bookmarkEnd w:id="3404"/>
      <w:bookmarkEnd w:id="3405"/>
      <w:bookmarkEnd w:id="3406"/>
      <w:bookmarkEnd w:id="3407"/>
      <w:bookmarkEnd w:id="3408"/>
      <w:bookmarkEnd w:id="3409"/>
      <w:bookmarkEnd w:id="3410"/>
      <w:bookmarkEnd w:id="3411"/>
      <w:bookmarkEnd w:id="3412"/>
      <w:bookmarkEnd w:id="3413"/>
      <w:bookmarkEnd w:id="3414"/>
      <w:bookmarkEnd w:id="3415"/>
    </w:p>
    <w:p w:rsidR="004A147C" w:rsidRPr="00B53FFB" w:rsidRDefault="004A147C" w:rsidP="00CE5850">
      <w:pPr>
        <w:pStyle w:val="ParaNum"/>
        <w:numPr>
          <w:ilvl w:val="0"/>
          <w:numId w:val="28"/>
        </w:numPr>
        <w:rPr>
          <w:sz w:val="22"/>
          <w:szCs w:val="22"/>
        </w:rPr>
      </w:pPr>
      <w:r w:rsidRPr="00B53FFB">
        <w:rPr>
          <w:kern w:val="0"/>
          <w:sz w:val="22"/>
          <w:szCs w:val="22"/>
          <w:lang w:eastAsia="zh-CN"/>
        </w:rPr>
        <w:t xml:space="preserve">Data on net adds by service segment provide information on which segments contributed to the growth in mobile wireless connections.  As shown in </w:t>
      </w:r>
      <w:r w:rsidR="005B380F">
        <w:fldChar w:fldCharType="begin"/>
      </w:r>
      <w:r w:rsidR="005B380F">
        <w:instrText xml:space="preserve"> REF _Ref256091149 \h  \* MERGEFORMAT </w:instrText>
      </w:r>
      <w:r w:rsidR="005B380F">
        <w:fldChar w:fldCharType="separate"/>
      </w:r>
      <w:r w:rsidR="00CA3AC6" w:rsidRPr="00CA3AC6">
        <w:rPr>
          <w:sz w:val="22"/>
          <w:szCs w:val="22"/>
        </w:rPr>
        <w:t xml:space="preserve">Chart </w:t>
      </w:r>
      <w:r w:rsidR="00CA3AC6" w:rsidRPr="00CA3AC6">
        <w:rPr>
          <w:noProof/>
          <w:sz w:val="22"/>
          <w:szCs w:val="22"/>
        </w:rPr>
        <w:t>16</w:t>
      </w:r>
      <w:r w:rsidR="005B380F">
        <w:fldChar w:fldCharType="end"/>
      </w:r>
      <w:r w:rsidRPr="00B53FFB">
        <w:rPr>
          <w:kern w:val="0"/>
          <w:sz w:val="22"/>
          <w:szCs w:val="22"/>
          <w:lang w:eastAsia="zh-CN"/>
        </w:rPr>
        <w:t xml:space="preserve">, there has been significant variation in net adds across service segments in recent years.  The number of </w:t>
      </w:r>
      <w:r w:rsidRPr="00B53FFB">
        <w:rPr>
          <w:sz w:val="22"/>
          <w:szCs w:val="22"/>
        </w:rPr>
        <w:t>postpaid subscriptions in 2010 and 2011 declined from their 2009 levels</w:t>
      </w:r>
      <w:r w:rsidRPr="00B53FFB">
        <w:rPr>
          <w:kern w:val="0"/>
          <w:sz w:val="22"/>
          <w:szCs w:val="22"/>
          <w:lang w:eastAsia="zh-CN"/>
        </w:rPr>
        <w:t xml:space="preserve">.  According to UBS, there were 2.5 million postpaid net adds in 2010 (14 percent of total net adds), and 3 million in 2011 (15 percent of the total), down from 3.7 million (25 percent of total net adds) in 2009.  The number of prepaid net adds, both unlimited and traditional, still constituted a large portion of total net adds – 41 percent – in both 2010 and 2011, but declined from 54 percent of total net adds in 2009.    </w:t>
      </w:r>
    </w:p>
    <w:p w:rsidR="004A147C" w:rsidRDefault="004A147C" w:rsidP="00CE5850">
      <w:pPr>
        <w:pStyle w:val="ParaNum"/>
        <w:numPr>
          <w:ilvl w:val="0"/>
          <w:numId w:val="28"/>
        </w:numPr>
        <w:rPr>
          <w:sz w:val="22"/>
          <w:szCs w:val="22"/>
        </w:rPr>
      </w:pPr>
      <w:r w:rsidRPr="00B53FFB">
        <w:rPr>
          <w:kern w:val="0"/>
          <w:sz w:val="22"/>
          <w:szCs w:val="22"/>
          <w:lang w:eastAsia="zh-CN"/>
        </w:rPr>
        <w:t>The number of wholesale and connected device net adds grew significantly in 2010 and 2011 compared to their 2009 levels.  UBS estimates that wholesale subscribers as a percentage of total net adds grew five percent in 2009, 10 percent in 2010, and 20 percent in 2011.</w:t>
      </w:r>
      <w:r w:rsidRPr="00B53FFB">
        <w:rPr>
          <w:rStyle w:val="FootnoteReference"/>
          <w:szCs w:val="22"/>
        </w:rPr>
        <w:footnoteReference w:id="793"/>
      </w:r>
      <w:r w:rsidRPr="00B53FFB">
        <w:rPr>
          <w:kern w:val="0"/>
          <w:sz w:val="22"/>
          <w:szCs w:val="22"/>
          <w:lang w:eastAsia="zh-CN"/>
        </w:rPr>
        <w:t xml:space="preserve">  In addition, connected device net adds constituted 34 percent of total net adds in 2010 and 23 percent in 2011, up from 17 percent in 2009.</w:t>
      </w:r>
      <w:r w:rsidRPr="00B53FFB">
        <w:rPr>
          <w:rStyle w:val="FootnoteReference"/>
          <w:szCs w:val="22"/>
        </w:rPr>
        <w:footnoteReference w:id="794"/>
      </w:r>
      <w:r w:rsidRPr="00B53FFB">
        <w:rPr>
          <w:kern w:val="0"/>
          <w:sz w:val="22"/>
          <w:szCs w:val="22"/>
          <w:lang w:eastAsia="zh-CN"/>
        </w:rPr>
        <w:t xml:space="preserve">  </w:t>
      </w:r>
      <w:r w:rsidRPr="00B53FFB">
        <w:rPr>
          <w:sz w:val="22"/>
          <w:szCs w:val="22"/>
        </w:rPr>
        <w:t>The increases in the numbers of wholesale connections and connected devices since 2009 may reflect the growing adoption of data-only mobile devices, such as tablets and e-readers, which are sold on both a retail basis by mobile wireless providers and a wholesale basis by resellers and other retailers.  For instance, Comcast, Bright House Networks, and Best Buy were all reselling Clearwire’s WiMAX service in 2010 and 2011.</w:t>
      </w:r>
      <w:r w:rsidRPr="00B53FFB">
        <w:rPr>
          <w:rStyle w:val="FootnoteReference"/>
          <w:szCs w:val="22"/>
        </w:rPr>
        <w:footnoteReference w:id="795"/>
      </w:r>
    </w:p>
    <w:p w:rsidR="00135758" w:rsidRDefault="00135758" w:rsidP="00135758">
      <w:pPr>
        <w:pStyle w:val="ParaNum"/>
        <w:tabs>
          <w:tab w:val="clear" w:pos="1440"/>
        </w:tabs>
        <w:rPr>
          <w:sz w:val="22"/>
          <w:szCs w:val="22"/>
        </w:rPr>
      </w:pPr>
    </w:p>
    <w:p w:rsidR="00135758" w:rsidRDefault="00135758" w:rsidP="00135758">
      <w:pPr>
        <w:pStyle w:val="ParaNum"/>
        <w:tabs>
          <w:tab w:val="clear" w:pos="1440"/>
        </w:tabs>
        <w:rPr>
          <w:sz w:val="22"/>
          <w:szCs w:val="22"/>
        </w:rPr>
      </w:pPr>
    </w:p>
    <w:p w:rsidR="00135758" w:rsidRDefault="00135758" w:rsidP="00135758">
      <w:pPr>
        <w:pStyle w:val="ParaNum"/>
        <w:tabs>
          <w:tab w:val="clear" w:pos="1440"/>
        </w:tabs>
        <w:rPr>
          <w:sz w:val="22"/>
          <w:szCs w:val="22"/>
        </w:rPr>
      </w:pPr>
    </w:p>
    <w:p w:rsidR="00135758" w:rsidRDefault="00135758" w:rsidP="00135758">
      <w:pPr>
        <w:pStyle w:val="ParaNum"/>
        <w:tabs>
          <w:tab w:val="clear" w:pos="1440"/>
        </w:tabs>
        <w:rPr>
          <w:sz w:val="22"/>
          <w:szCs w:val="22"/>
        </w:rPr>
      </w:pPr>
    </w:p>
    <w:p w:rsidR="00135758" w:rsidRDefault="00135758" w:rsidP="00135758">
      <w:pPr>
        <w:pStyle w:val="ParaNum"/>
        <w:tabs>
          <w:tab w:val="clear" w:pos="1440"/>
        </w:tabs>
        <w:rPr>
          <w:sz w:val="22"/>
          <w:szCs w:val="22"/>
        </w:rPr>
      </w:pPr>
    </w:p>
    <w:p w:rsidR="00135758" w:rsidRDefault="00135758" w:rsidP="00135758">
      <w:pPr>
        <w:pStyle w:val="ParaNum"/>
        <w:tabs>
          <w:tab w:val="clear" w:pos="1440"/>
        </w:tabs>
        <w:rPr>
          <w:sz w:val="22"/>
          <w:szCs w:val="22"/>
        </w:rPr>
      </w:pPr>
    </w:p>
    <w:p w:rsidR="00135758" w:rsidRDefault="00135758" w:rsidP="00135758">
      <w:pPr>
        <w:pStyle w:val="ParaNum"/>
        <w:tabs>
          <w:tab w:val="clear" w:pos="1440"/>
        </w:tabs>
        <w:rPr>
          <w:sz w:val="22"/>
          <w:szCs w:val="22"/>
        </w:rPr>
      </w:pPr>
    </w:p>
    <w:p w:rsidR="00135758" w:rsidRDefault="00135758" w:rsidP="00135758">
      <w:pPr>
        <w:pStyle w:val="ParaNum"/>
        <w:tabs>
          <w:tab w:val="clear" w:pos="1440"/>
        </w:tabs>
        <w:rPr>
          <w:sz w:val="22"/>
          <w:szCs w:val="22"/>
        </w:rPr>
      </w:pPr>
    </w:p>
    <w:p w:rsidR="00135758" w:rsidRDefault="00135758" w:rsidP="00135758">
      <w:pPr>
        <w:pStyle w:val="ParaNum"/>
        <w:tabs>
          <w:tab w:val="clear" w:pos="1440"/>
        </w:tabs>
        <w:rPr>
          <w:sz w:val="22"/>
          <w:szCs w:val="22"/>
        </w:rPr>
      </w:pPr>
    </w:p>
    <w:p w:rsidR="00135758" w:rsidRDefault="00135758" w:rsidP="00135758">
      <w:pPr>
        <w:pStyle w:val="ParaNum"/>
        <w:tabs>
          <w:tab w:val="clear" w:pos="1440"/>
        </w:tabs>
        <w:rPr>
          <w:sz w:val="22"/>
          <w:szCs w:val="22"/>
        </w:rPr>
      </w:pPr>
    </w:p>
    <w:p w:rsidR="00135758" w:rsidRDefault="00135758" w:rsidP="00135758">
      <w:pPr>
        <w:pStyle w:val="ParaNum"/>
        <w:tabs>
          <w:tab w:val="clear" w:pos="1440"/>
        </w:tabs>
        <w:rPr>
          <w:sz w:val="22"/>
          <w:szCs w:val="22"/>
        </w:rPr>
      </w:pPr>
    </w:p>
    <w:p w:rsidR="00135758" w:rsidRDefault="00135758" w:rsidP="00135758">
      <w:pPr>
        <w:pStyle w:val="ParaNum"/>
        <w:tabs>
          <w:tab w:val="clear" w:pos="1440"/>
        </w:tabs>
        <w:rPr>
          <w:sz w:val="22"/>
          <w:szCs w:val="22"/>
        </w:rPr>
      </w:pPr>
    </w:p>
    <w:p w:rsidR="00135758" w:rsidRDefault="00135758" w:rsidP="00135758">
      <w:pPr>
        <w:pStyle w:val="ParaNum"/>
        <w:tabs>
          <w:tab w:val="clear" w:pos="1440"/>
        </w:tabs>
        <w:rPr>
          <w:sz w:val="22"/>
          <w:szCs w:val="22"/>
        </w:rPr>
      </w:pPr>
    </w:p>
    <w:p w:rsidR="00135758" w:rsidRDefault="00135758" w:rsidP="00135758">
      <w:pPr>
        <w:pStyle w:val="ParaNum"/>
        <w:tabs>
          <w:tab w:val="clear" w:pos="1440"/>
        </w:tabs>
        <w:rPr>
          <w:sz w:val="22"/>
          <w:szCs w:val="22"/>
        </w:rPr>
      </w:pPr>
    </w:p>
    <w:p w:rsidR="00135758" w:rsidRDefault="00135758" w:rsidP="00135758">
      <w:pPr>
        <w:pStyle w:val="ParaNum"/>
        <w:tabs>
          <w:tab w:val="clear" w:pos="1440"/>
        </w:tabs>
        <w:rPr>
          <w:sz w:val="22"/>
          <w:szCs w:val="22"/>
        </w:rPr>
      </w:pPr>
    </w:p>
    <w:p w:rsidR="00135758" w:rsidRDefault="00135758" w:rsidP="00135758">
      <w:pPr>
        <w:pStyle w:val="ParaNum"/>
        <w:tabs>
          <w:tab w:val="clear" w:pos="1440"/>
        </w:tabs>
        <w:rPr>
          <w:sz w:val="22"/>
          <w:szCs w:val="22"/>
        </w:rPr>
      </w:pPr>
    </w:p>
    <w:p w:rsidR="00135758" w:rsidRDefault="00135758" w:rsidP="00135758">
      <w:pPr>
        <w:pStyle w:val="ParaNum"/>
        <w:tabs>
          <w:tab w:val="clear" w:pos="1440"/>
        </w:tabs>
        <w:rPr>
          <w:sz w:val="22"/>
          <w:szCs w:val="22"/>
        </w:rPr>
      </w:pPr>
    </w:p>
    <w:p w:rsidR="00135758" w:rsidRDefault="00135758" w:rsidP="00135758">
      <w:pPr>
        <w:pStyle w:val="ParaNum"/>
        <w:tabs>
          <w:tab w:val="clear" w:pos="1440"/>
        </w:tabs>
        <w:rPr>
          <w:sz w:val="22"/>
          <w:szCs w:val="22"/>
        </w:rPr>
      </w:pPr>
    </w:p>
    <w:p w:rsidR="00135758" w:rsidRPr="00B53FFB" w:rsidRDefault="00135758" w:rsidP="00135758">
      <w:pPr>
        <w:pStyle w:val="ParaNum"/>
        <w:tabs>
          <w:tab w:val="clear" w:pos="1440"/>
        </w:tabs>
        <w:rPr>
          <w:sz w:val="22"/>
          <w:szCs w:val="22"/>
        </w:rPr>
      </w:pPr>
    </w:p>
    <w:p w:rsidR="004A147C" w:rsidRPr="00B53FFB" w:rsidRDefault="004A147C" w:rsidP="00CE5850">
      <w:pPr>
        <w:pStyle w:val="ParaNum"/>
        <w:tabs>
          <w:tab w:val="clear" w:pos="1440"/>
        </w:tabs>
        <w:ind w:firstLine="0"/>
        <w:jc w:val="center"/>
        <w:rPr>
          <w:sz w:val="22"/>
          <w:szCs w:val="22"/>
        </w:rPr>
      </w:pPr>
      <w:bookmarkStart w:id="3416" w:name="_Ref256091149"/>
      <w:bookmarkStart w:id="3417" w:name="_Ref275436282"/>
      <w:r w:rsidRPr="00B53FFB">
        <w:rPr>
          <w:b/>
          <w:sz w:val="22"/>
          <w:szCs w:val="22"/>
        </w:rPr>
        <w:t xml:space="preserve">Chart </w:t>
      </w:r>
      <w:r w:rsidR="0007014B" w:rsidRPr="00B53FFB">
        <w:rPr>
          <w:b/>
          <w:sz w:val="22"/>
          <w:szCs w:val="22"/>
        </w:rPr>
        <w:fldChar w:fldCharType="begin"/>
      </w:r>
      <w:r w:rsidRPr="00B53FFB">
        <w:rPr>
          <w:b/>
          <w:sz w:val="22"/>
          <w:szCs w:val="22"/>
        </w:rPr>
        <w:instrText xml:space="preserve"> SEQ Chart \* ARABIC </w:instrText>
      </w:r>
      <w:r w:rsidR="0007014B" w:rsidRPr="00B53FFB">
        <w:rPr>
          <w:b/>
          <w:sz w:val="22"/>
          <w:szCs w:val="22"/>
        </w:rPr>
        <w:fldChar w:fldCharType="separate"/>
      </w:r>
      <w:r w:rsidR="00CA3AC6">
        <w:rPr>
          <w:b/>
          <w:noProof/>
          <w:sz w:val="22"/>
          <w:szCs w:val="22"/>
        </w:rPr>
        <w:t>16</w:t>
      </w:r>
      <w:r w:rsidR="0007014B" w:rsidRPr="00B53FFB">
        <w:rPr>
          <w:b/>
          <w:sz w:val="22"/>
          <w:szCs w:val="22"/>
        </w:rPr>
        <w:fldChar w:fldCharType="end"/>
      </w:r>
      <w:bookmarkEnd w:id="3416"/>
      <w:r w:rsidRPr="00B53FFB">
        <w:rPr>
          <w:b/>
          <w:sz w:val="22"/>
          <w:szCs w:val="22"/>
        </w:rPr>
        <w:t xml:space="preserve"> </w:t>
      </w:r>
      <w:r w:rsidRPr="00B53FFB">
        <w:rPr>
          <w:b/>
          <w:sz w:val="22"/>
          <w:szCs w:val="22"/>
        </w:rPr>
        <w:br/>
        <w:t>Quarterly Net Additions by Service Segment, 2009-2011 (In thousands)</w:t>
      </w:r>
      <w:r w:rsidRPr="00B53FFB">
        <w:rPr>
          <w:rStyle w:val="FootnoteReference"/>
          <w:szCs w:val="22"/>
        </w:rPr>
        <w:footnoteReference w:id="796"/>
      </w:r>
      <w:bookmarkEnd w:id="3417"/>
    </w:p>
    <w:p w:rsidR="004A147C" w:rsidRPr="00B53FFB" w:rsidRDefault="00C81B24" w:rsidP="00CE5850">
      <w:pPr>
        <w:pStyle w:val="ParaNum"/>
        <w:tabs>
          <w:tab w:val="clear" w:pos="1440"/>
        </w:tabs>
        <w:ind w:firstLine="0"/>
        <w:jc w:val="center"/>
        <w:rPr>
          <w:sz w:val="22"/>
          <w:szCs w:val="22"/>
        </w:rPr>
      </w:pPr>
      <w:r>
        <w:rPr>
          <w:noProof/>
          <w:sz w:val="22"/>
          <w:szCs w:val="22"/>
        </w:rPr>
        <w:drawing>
          <wp:inline distT="0" distB="0" distL="0" distR="0" wp14:anchorId="0786AEC0" wp14:editId="54EAAB2E">
            <wp:extent cx="5953125" cy="4314825"/>
            <wp:effectExtent l="0" t="0" r="9525" b="952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953125" cy="4314825"/>
                    </a:xfrm>
                    <a:prstGeom prst="rect">
                      <a:avLst/>
                    </a:prstGeom>
                    <a:noFill/>
                    <a:ln>
                      <a:noFill/>
                    </a:ln>
                  </pic:spPr>
                </pic:pic>
              </a:graphicData>
            </a:graphic>
          </wp:inline>
        </w:drawing>
      </w:r>
    </w:p>
    <w:p w:rsidR="004A147C" w:rsidRPr="00B53FFB" w:rsidRDefault="004A147C" w:rsidP="00CE5850">
      <w:pPr>
        <w:pStyle w:val="Heading3"/>
        <w:keepNext w:val="0"/>
        <w:numPr>
          <w:ilvl w:val="2"/>
          <w:numId w:val="26"/>
        </w:numPr>
        <w:tabs>
          <w:tab w:val="left" w:pos="2160"/>
        </w:tabs>
        <w:rPr>
          <w:sz w:val="22"/>
          <w:szCs w:val="22"/>
        </w:rPr>
      </w:pPr>
      <w:bookmarkStart w:id="3418" w:name="_Toc261610787"/>
      <w:bookmarkStart w:id="3419" w:name="_Toc261858526"/>
      <w:bookmarkStart w:id="3420" w:name="_Toc262034331"/>
      <w:bookmarkStart w:id="3421" w:name="_Toc262034434"/>
      <w:bookmarkStart w:id="3422" w:name="_Toc271288474"/>
      <w:bookmarkStart w:id="3423" w:name="_Toc275517992"/>
      <w:bookmarkStart w:id="3424" w:name="_Toc275952432"/>
      <w:bookmarkStart w:id="3425" w:name="_Toc276121864"/>
      <w:bookmarkStart w:id="3426" w:name="_Toc276480700"/>
      <w:bookmarkStart w:id="3427" w:name="_Toc276741777"/>
      <w:bookmarkStart w:id="3428" w:name="_Toc277171542"/>
      <w:bookmarkStart w:id="3429" w:name="_Toc277864517"/>
      <w:bookmarkStart w:id="3430" w:name="_Toc277864733"/>
      <w:bookmarkStart w:id="3431" w:name="_Toc285810414"/>
      <w:bookmarkStart w:id="3432" w:name="_Toc287257808"/>
      <w:bookmarkStart w:id="3433" w:name="_Toc291758687"/>
      <w:bookmarkStart w:id="3434" w:name="_Toc291758790"/>
      <w:bookmarkStart w:id="3435" w:name="_Toc295392970"/>
      <w:bookmarkStart w:id="3436" w:name="_Toc329262512"/>
      <w:bookmarkStart w:id="3437" w:name="_Toc329852422"/>
      <w:bookmarkStart w:id="3438" w:name="_Toc331766338"/>
      <w:bookmarkStart w:id="3439" w:name="_Toc332119133"/>
      <w:bookmarkStart w:id="3440" w:name="_Toc334088810"/>
      <w:bookmarkStart w:id="3441" w:name="_Toc334089046"/>
      <w:bookmarkStart w:id="3442" w:name="_Toc334089205"/>
      <w:bookmarkStart w:id="3443" w:name="_Toc334089316"/>
      <w:bookmarkStart w:id="3444" w:name="_Toc334089480"/>
      <w:bookmarkStart w:id="3445" w:name="_Toc336268621"/>
      <w:bookmarkStart w:id="3446" w:name="_Toc336268729"/>
      <w:bookmarkStart w:id="3447" w:name="_Toc336268836"/>
      <w:bookmarkStart w:id="3448" w:name="_Toc336269050"/>
      <w:bookmarkStart w:id="3449" w:name="_Toc336269157"/>
      <w:bookmarkStart w:id="3450" w:name="_Toc336269525"/>
      <w:bookmarkStart w:id="3451" w:name="_Toc336269671"/>
      <w:bookmarkStart w:id="3452" w:name="_Toc336270084"/>
      <w:bookmarkStart w:id="3453" w:name="_Toc336271284"/>
      <w:bookmarkStart w:id="3454" w:name="_Toc337651990"/>
      <w:bookmarkStart w:id="3455" w:name="_Toc349577179"/>
      <w:bookmarkStart w:id="3456" w:name="_Toc349579271"/>
      <w:bookmarkStart w:id="3457" w:name="_Toc349580586"/>
      <w:bookmarkStart w:id="3458" w:name="_Toc349734994"/>
      <w:bookmarkStart w:id="3459" w:name="_Toc349742359"/>
      <w:r w:rsidRPr="00B53FFB">
        <w:rPr>
          <w:sz w:val="22"/>
          <w:szCs w:val="22"/>
        </w:rPr>
        <w:t>Net Adds by Service Provider</w:t>
      </w:r>
      <w:bookmarkEnd w:id="3418"/>
      <w:bookmarkEnd w:id="3419"/>
      <w:bookmarkEnd w:id="3420"/>
      <w:bookmarkEnd w:id="3421"/>
      <w:bookmarkEnd w:id="3422"/>
      <w:bookmarkEnd w:id="3423"/>
      <w:bookmarkEnd w:id="3424"/>
      <w:bookmarkEnd w:id="3425"/>
      <w:bookmarkEnd w:id="3426"/>
      <w:bookmarkEnd w:id="3427"/>
      <w:bookmarkEnd w:id="3428"/>
      <w:bookmarkEnd w:id="3429"/>
      <w:bookmarkEnd w:id="3430"/>
      <w:bookmarkEnd w:id="3431"/>
      <w:bookmarkEnd w:id="3432"/>
      <w:bookmarkEnd w:id="3433"/>
      <w:bookmarkEnd w:id="3434"/>
      <w:bookmarkEnd w:id="3435"/>
      <w:bookmarkEnd w:id="3436"/>
      <w:bookmarkEnd w:id="3437"/>
      <w:bookmarkEnd w:id="3438"/>
      <w:bookmarkEnd w:id="3439"/>
      <w:bookmarkEnd w:id="3440"/>
      <w:bookmarkEnd w:id="3441"/>
      <w:bookmarkEnd w:id="3442"/>
      <w:bookmarkEnd w:id="3443"/>
      <w:bookmarkEnd w:id="3444"/>
      <w:bookmarkEnd w:id="3445"/>
      <w:bookmarkEnd w:id="3446"/>
      <w:bookmarkEnd w:id="3447"/>
      <w:bookmarkEnd w:id="3448"/>
      <w:bookmarkEnd w:id="3449"/>
      <w:bookmarkEnd w:id="3450"/>
      <w:bookmarkEnd w:id="3451"/>
      <w:bookmarkEnd w:id="3452"/>
      <w:bookmarkEnd w:id="3453"/>
      <w:bookmarkEnd w:id="3454"/>
      <w:bookmarkEnd w:id="3455"/>
      <w:bookmarkEnd w:id="3456"/>
      <w:bookmarkEnd w:id="3457"/>
      <w:bookmarkEnd w:id="3458"/>
      <w:bookmarkEnd w:id="3459"/>
    </w:p>
    <w:p w:rsidR="004A147C" w:rsidRDefault="004A147C" w:rsidP="00CE5850">
      <w:pPr>
        <w:pStyle w:val="ParaNum"/>
        <w:numPr>
          <w:ilvl w:val="0"/>
          <w:numId w:val="28"/>
        </w:numPr>
        <w:rPr>
          <w:sz w:val="22"/>
          <w:szCs w:val="22"/>
        </w:rPr>
      </w:pPr>
      <w:r w:rsidRPr="00B53FFB">
        <w:rPr>
          <w:sz w:val="22"/>
          <w:szCs w:val="22"/>
        </w:rPr>
        <w:t xml:space="preserve">As shown in </w:t>
      </w:r>
      <w:r w:rsidR="005B380F">
        <w:fldChar w:fldCharType="begin"/>
      </w:r>
      <w:r w:rsidR="005B380F">
        <w:instrText xml:space="preserve"> REF _Ref279585175 \h  \* MERGEFORMAT </w:instrText>
      </w:r>
      <w:r w:rsidR="005B380F">
        <w:fldChar w:fldCharType="separate"/>
      </w:r>
      <w:r w:rsidR="00CA3AC6" w:rsidRPr="00B53FFB">
        <w:rPr>
          <w:sz w:val="22"/>
          <w:szCs w:val="22"/>
        </w:rPr>
        <w:t xml:space="preserve">Chart </w:t>
      </w:r>
      <w:r w:rsidR="00CA3AC6">
        <w:rPr>
          <w:noProof/>
          <w:sz w:val="22"/>
          <w:szCs w:val="22"/>
        </w:rPr>
        <w:t>17</w:t>
      </w:r>
      <w:r w:rsidR="005B380F">
        <w:fldChar w:fldCharType="end"/>
      </w:r>
      <w:r w:rsidRPr="00B53FFB">
        <w:rPr>
          <w:sz w:val="22"/>
          <w:szCs w:val="22"/>
        </w:rPr>
        <w:t xml:space="preserve"> below, net additions vary significantly across service providers.  In each year since 2008, AT&amp;T and Verizon Wireless have each gained more net adds than has any other service provider.  During 2010 and 2011, AT&amp;T had 8.9 million and 7.7 million net adds, respectively, and Verizon Wireless had 2.9 million and 14.5 million net adds during the same two years. After experiencing steep negative net adds in 2008, Sprint’s net adds have increased each year since 2009, up to 4.8 million in 2011.  T-Mobile incurred annual customer losses in both 2010 and 2011 of 56,000 and 549,000, respectively.  MetroPCS and Leap, following multi-metro business models, continued to increase their subscriber bases in 2010 and 2011.  MetroPCS had 1.5 million net adds in 2010 and 1.2 million in 2011, figures that are comparable to its 1.3 million net adds in 2009.  Leap’s net adds in 2010 and 2011 of around a half a million were about half the size of its net adds of around 1 million in 2008 and 2009.</w:t>
      </w:r>
    </w:p>
    <w:p w:rsidR="00135758" w:rsidRDefault="00135758" w:rsidP="00135758">
      <w:pPr>
        <w:pStyle w:val="ParaNum"/>
        <w:tabs>
          <w:tab w:val="clear" w:pos="1440"/>
        </w:tabs>
        <w:rPr>
          <w:sz w:val="22"/>
          <w:szCs w:val="22"/>
        </w:rPr>
      </w:pPr>
    </w:p>
    <w:p w:rsidR="00135758" w:rsidRDefault="00135758" w:rsidP="00135758">
      <w:pPr>
        <w:pStyle w:val="ParaNum"/>
        <w:tabs>
          <w:tab w:val="clear" w:pos="1440"/>
        </w:tabs>
        <w:rPr>
          <w:sz w:val="22"/>
          <w:szCs w:val="22"/>
        </w:rPr>
      </w:pPr>
    </w:p>
    <w:p w:rsidR="00135758" w:rsidRDefault="00135758" w:rsidP="00135758">
      <w:pPr>
        <w:pStyle w:val="ParaNum"/>
        <w:tabs>
          <w:tab w:val="clear" w:pos="1440"/>
        </w:tabs>
        <w:rPr>
          <w:sz w:val="22"/>
          <w:szCs w:val="22"/>
        </w:rPr>
      </w:pPr>
    </w:p>
    <w:p w:rsidR="00135758" w:rsidRDefault="00135758" w:rsidP="00135758">
      <w:pPr>
        <w:pStyle w:val="ParaNum"/>
        <w:tabs>
          <w:tab w:val="clear" w:pos="1440"/>
        </w:tabs>
        <w:rPr>
          <w:sz w:val="22"/>
          <w:szCs w:val="22"/>
        </w:rPr>
      </w:pPr>
    </w:p>
    <w:p w:rsidR="00135758" w:rsidRPr="00B53FFB" w:rsidRDefault="00135758" w:rsidP="00135758">
      <w:pPr>
        <w:pStyle w:val="ParaNum"/>
        <w:tabs>
          <w:tab w:val="clear" w:pos="1440"/>
        </w:tabs>
        <w:rPr>
          <w:sz w:val="22"/>
          <w:szCs w:val="22"/>
        </w:rPr>
      </w:pPr>
    </w:p>
    <w:p w:rsidR="004A147C" w:rsidRPr="00B53FFB" w:rsidRDefault="004A147C" w:rsidP="00CE5850">
      <w:pPr>
        <w:pStyle w:val="Caption"/>
        <w:widowControl w:val="0"/>
        <w:spacing w:before="0" w:after="0"/>
        <w:jc w:val="center"/>
        <w:rPr>
          <w:sz w:val="22"/>
          <w:szCs w:val="22"/>
        </w:rPr>
      </w:pPr>
      <w:bookmarkStart w:id="3460" w:name="_Ref279585175"/>
      <w:r w:rsidRPr="00B53FFB">
        <w:rPr>
          <w:sz w:val="22"/>
          <w:szCs w:val="22"/>
        </w:rPr>
        <w:t xml:space="preserve">Chart </w:t>
      </w:r>
      <w:r w:rsidR="0007014B" w:rsidRPr="00B53FFB">
        <w:rPr>
          <w:sz w:val="22"/>
          <w:szCs w:val="22"/>
        </w:rPr>
        <w:fldChar w:fldCharType="begin"/>
      </w:r>
      <w:r w:rsidRPr="00B53FFB">
        <w:rPr>
          <w:sz w:val="22"/>
          <w:szCs w:val="22"/>
        </w:rPr>
        <w:instrText xml:space="preserve"> SEQ Chart \* ARABIC </w:instrText>
      </w:r>
      <w:r w:rsidR="0007014B" w:rsidRPr="00B53FFB">
        <w:rPr>
          <w:sz w:val="22"/>
          <w:szCs w:val="22"/>
        </w:rPr>
        <w:fldChar w:fldCharType="separate"/>
      </w:r>
      <w:r w:rsidR="00CA3AC6">
        <w:rPr>
          <w:noProof/>
          <w:sz w:val="22"/>
          <w:szCs w:val="22"/>
        </w:rPr>
        <w:t>17</w:t>
      </w:r>
      <w:r w:rsidR="0007014B" w:rsidRPr="00B53FFB">
        <w:rPr>
          <w:sz w:val="22"/>
          <w:szCs w:val="22"/>
        </w:rPr>
        <w:fldChar w:fldCharType="end"/>
      </w:r>
      <w:bookmarkEnd w:id="3460"/>
      <w:r w:rsidRPr="00B53FFB">
        <w:rPr>
          <w:sz w:val="22"/>
          <w:szCs w:val="22"/>
        </w:rPr>
        <w:br/>
        <w:t>Annual Net Additions by Service Provider, 2008-2011 (In thousands)</w:t>
      </w:r>
      <w:r w:rsidRPr="00B53FFB">
        <w:rPr>
          <w:rStyle w:val="FootnoteReference"/>
          <w:b w:val="0"/>
          <w:szCs w:val="22"/>
        </w:rPr>
        <w:footnoteReference w:id="797"/>
      </w:r>
    </w:p>
    <w:p w:rsidR="004A147C" w:rsidRPr="00B53FFB" w:rsidRDefault="00C81B24" w:rsidP="00CE5850">
      <w:pPr>
        <w:rPr>
          <w:szCs w:val="22"/>
        </w:rPr>
      </w:pPr>
      <w:r>
        <w:rPr>
          <w:noProof/>
          <w:szCs w:val="22"/>
        </w:rPr>
        <w:drawing>
          <wp:inline distT="0" distB="0" distL="0" distR="0" wp14:anchorId="49B5DCBA" wp14:editId="60E19D51">
            <wp:extent cx="5924550" cy="4038600"/>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924550" cy="4038600"/>
                    </a:xfrm>
                    <a:prstGeom prst="rect">
                      <a:avLst/>
                    </a:prstGeom>
                    <a:noFill/>
                    <a:ln>
                      <a:noFill/>
                    </a:ln>
                  </pic:spPr>
                </pic:pic>
              </a:graphicData>
            </a:graphic>
          </wp:inline>
        </w:drawing>
      </w:r>
    </w:p>
    <w:p w:rsidR="00135758" w:rsidRDefault="00135758" w:rsidP="00135758">
      <w:pPr>
        <w:pStyle w:val="Heading2"/>
        <w:keepNext w:val="0"/>
        <w:numPr>
          <w:ilvl w:val="0"/>
          <w:numId w:val="0"/>
        </w:numPr>
        <w:ind w:left="1440"/>
      </w:pPr>
      <w:bookmarkStart w:id="3461" w:name="_Toc329852423"/>
      <w:bookmarkStart w:id="3462" w:name="_Toc331766339"/>
      <w:bookmarkStart w:id="3463" w:name="_Toc332119134"/>
      <w:bookmarkStart w:id="3464" w:name="_Toc334088811"/>
      <w:bookmarkStart w:id="3465" w:name="_Toc334089047"/>
      <w:bookmarkStart w:id="3466" w:name="_Toc334089206"/>
      <w:bookmarkStart w:id="3467" w:name="_Toc334089317"/>
      <w:bookmarkStart w:id="3468" w:name="_Toc334089481"/>
      <w:bookmarkStart w:id="3469" w:name="_Toc336268622"/>
      <w:bookmarkStart w:id="3470" w:name="_Toc336268730"/>
      <w:bookmarkStart w:id="3471" w:name="_Toc336268837"/>
      <w:bookmarkStart w:id="3472" w:name="_Toc336269051"/>
      <w:bookmarkStart w:id="3473" w:name="_Toc336269158"/>
      <w:bookmarkStart w:id="3474" w:name="_Toc336269526"/>
      <w:bookmarkStart w:id="3475" w:name="_Toc336269672"/>
      <w:bookmarkStart w:id="3476" w:name="_Toc336270085"/>
      <w:bookmarkStart w:id="3477" w:name="_Toc336271285"/>
      <w:bookmarkStart w:id="3478" w:name="_Toc337651991"/>
      <w:bookmarkStart w:id="3479" w:name="_Ref341879705"/>
      <w:bookmarkStart w:id="3480" w:name="_Toc349577180"/>
      <w:bookmarkStart w:id="3481" w:name="_Toc349579272"/>
      <w:bookmarkStart w:id="3482" w:name="_Toc349580587"/>
      <w:bookmarkStart w:id="3483" w:name="_Toc349734995"/>
      <w:bookmarkStart w:id="3484" w:name="_Toc349742360"/>
      <w:bookmarkStart w:id="3485" w:name="_Toc271288475"/>
      <w:bookmarkStart w:id="3486" w:name="_Toc275517993"/>
      <w:bookmarkStart w:id="3487" w:name="_Toc275952433"/>
      <w:bookmarkStart w:id="3488" w:name="_Toc276121865"/>
      <w:bookmarkStart w:id="3489" w:name="_Toc276480701"/>
      <w:bookmarkStart w:id="3490" w:name="_Toc276741778"/>
      <w:bookmarkStart w:id="3491" w:name="_Toc277171543"/>
      <w:bookmarkStart w:id="3492" w:name="_Toc277864518"/>
      <w:bookmarkStart w:id="3493" w:name="_Toc277864734"/>
      <w:bookmarkStart w:id="3494" w:name="_Ref279074815"/>
      <w:bookmarkStart w:id="3495" w:name="_Ref279074817"/>
      <w:bookmarkStart w:id="3496" w:name="_Ref279585951"/>
      <w:bookmarkStart w:id="3497" w:name="_Ref279585953"/>
      <w:bookmarkStart w:id="3498" w:name="_Ref279586554"/>
      <w:bookmarkStart w:id="3499" w:name="_Ref279586556"/>
      <w:bookmarkStart w:id="3500" w:name="_Toc285810415"/>
      <w:bookmarkStart w:id="3501" w:name="_Toc287257809"/>
      <w:bookmarkStart w:id="3502" w:name="_Ref287258895"/>
      <w:bookmarkStart w:id="3503" w:name="_Ref287274216"/>
      <w:bookmarkStart w:id="3504" w:name="_Toc291758688"/>
      <w:bookmarkStart w:id="3505" w:name="_Toc291758791"/>
      <w:bookmarkStart w:id="3506" w:name="_Toc295392971"/>
      <w:bookmarkStart w:id="3507" w:name="_Toc329262513"/>
    </w:p>
    <w:p w:rsidR="004A147C" w:rsidRPr="00B53FFB" w:rsidRDefault="004A147C" w:rsidP="00CE5850">
      <w:pPr>
        <w:pStyle w:val="Heading2"/>
        <w:keepNext w:val="0"/>
      </w:pPr>
      <w:r w:rsidRPr="00B53FFB">
        <w:t>Connection Churn</w:t>
      </w:r>
      <w:bookmarkEnd w:id="3461"/>
      <w:bookmarkEnd w:id="3462"/>
      <w:bookmarkEnd w:id="3463"/>
      <w:bookmarkEnd w:id="3464"/>
      <w:bookmarkEnd w:id="3465"/>
      <w:bookmarkEnd w:id="3466"/>
      <w:bookmarkEnd w:id="3467"/>
      <w:bookmarkEnd w:id="3468"/>
      <w:bookmarkEnd w:id="3469"/>
      <w:bookmarkEnd w:id="3470"/>
      <w:bookmarkEnd w:id="3471"/>
      <w:bookmarkEnd w:id="3472"/>
      <w:bookmarkEnd w:id="3473"/>
      <w:bookmarkEnd w:id="3474"/>
      <w:bookmarkEnd w:id="3475"/>
      <w:bookmarkEnd w:id="3476"/>
      <w:bookmarkEnd w:id="3477"/>
      <w:bookmarkEnd w:id="3478"/>
      <w:bookmarkEnd w:id="3479"/>
      <w:bookmarkEnd w:id="3480"/>
      <w:bookmarkEnd w:id="3481"/>
      <w:bookmarkEnd w:id="3482"/>
      <w:bookmarkEnd w:id="3483"/>
      <w:bookmarkEnd w:id="3484"/>
    </w:p>
    <w:p w:rsidR="00CA3AC6" w:rsidRDefault="004A147C" w:rsidP="00CA3AC6">
      <w:pPr>
        <w:pStyle w:val="ParaNum"/>
        <w:numPr>
          <w:ilvl w:val="0"/>
          <w:numId w:val="28"/>
        </w:numPr>
        <w:rPr>
          <w:sz w:val="22"/>
          <w:szCs w:val="22"/>
          <w:lang w:eastAsia="zh-CN"/>
        </w:rPr>
      </w:pPr>
      <w:r w:rsidRPr="00B53FFB">
        <w:rPr>
          <w:sz w:val="22"/>
          <w:szCs w:val="22"/>
        </w:rPr>
        <w:t>Churn is a measure of the number of connections that are disconnected from mobile wireless service during a given period of time.</w:t>
      </w:r>
      <w:r w:rsidRPr="00B53FFB">
        <w:rPr>
          <w:rStyle w:val="FootnoteReference"/>
          <w:szCs w:val="22"/>
        </w:rPr>
        <w:footnoteReference w:id="798"/>
      </w:r>
      <w:r w:rsidRPr="00B53FFB">
        <w:rPr>
          <w:sz w:val="22"/>
          <w:szCs w:val="22"/>
        </w:rPr>
        <w:t xml:space="preserve">  Churn is usually expressed as a percentage of the estimated number of connections during the period.  For example, if a service provider has an average monthly churn rate of two percent in each month of a year, the service provider would lose approximately 24 percent of its customers over the course of the year.  Current average monthly churn rates of individual service providers range from about 1.5 percent for AT&amp;T and Verizon Wireless up to 3.5 percent for T-Mobile (</w:t>
      </w:r>
      <w:r w:rsidR="00951E9B">
        <w:fldChar w:fldCharType="begin"/>
      </w:r>
      <w:r w:rsidR="00951E9B">
        <w:instrText xml:space="preserve"> RE</w:instrText>
      </w:r>
      <w:r w:rsidR="00951E9B">
        <w:instrText xml:space="preserve">F _Ref330818531  \* MERGEFORMAT </w:instrText>
      </w:r>
      <w:r w:rsidR="00951E9B">
        <w:fldChar w:fldCharType="separate"/>
      </w:r>
      <w:r w:rsidR="00CA3AC6" w:rsidRPr="00B53FFB">
        <w:rPr>
          <w:sz w:val="22"/>
          <w:szCs w:val="22"/>
        </w:rPr>
        <w:t xml:space="preserve">Chart </w:t>
      </w:r>
      <w:r w:rsidR="00CA3AC6">
        <w:rPr>
          <w:noProof/>
          <w:sz w:val="22"/>
          <w:szCs w:val="22"/>
        </w:rPr>
        <w:t>18</w:t>
      </w:r>
      <w:r w:rsidR="00951E9B">
        <w:rPr>
          <w:noProof/>
          <w:sz w:val="22"/>
          <w:szCs w:val="22"/>
        </w:rPr>
        <w:fldChar w:fldCharType="end"/>
      </w:r>
      <w:r w:rsidRPr="00B53FFB">
        <w:rPr>
          <w:sz w:val="22"/>
          <w:szCs w:val="22"/>
        </w:rPr>
        <w:t>).  The average industry monthly churn rates have been between 2.0 percent and 2.5 percent since at least 2005.  Churn rates for prepaid connections are typically significantly higher than churn rates for postpaid connections, because prepaid customers, unconstrained by a multi-month or multi-year service contract, are more likely than postpaid customers to terminate a relationship with a wireless service provider (</w:t>
      </w:r>
      <w:r w:rsidR="00FC73C4">
        <w:fldChar w:fldCharType="begin"/>
      </w:r>
      <w:r w:rsidR="00FC73C4">
        <w:instrText xml:space="preserve"> REF _Ref330824530  \* MERGEFORMAT </w:instrText>
      </w:r>
      <w:r w:rsidR="00FC73C4">
        <w:fldChar w:fldCharType="separate"/>
      </w:r>
    </w:p>
    <w:p w:rsidR="00CA3AC6" w:rsidRDefault="00CA3AC6" w:rsidP="00CA3AC6">
      <w:pPr>
        <w:pStyle w:val="ParaNum"/>
        <w:numPr>
          <w:ilvl w:val="0"/>
          <w:numId w:val="28"/>
        </w:numPr>
        <w:rPr>
          <w:sz w:val="22"/>
          <w:szCs w:val="22"/>
          <w:lang w:eastAsia="zh-CN"/>
        </w:rPr>
      </w:pPr>
    </w:p>
    <w:p w:rsidR="00CA3AC6" w:rsidRDefault="00CA3AC6" w:rsidP="00CA3AC6">
      <w:pPr>
        <w:pStyle w:val="ParaNum"/>
        <w:numPr>
          <w:ilvl w:val="0"/>
          <w:numId w:val="28"/>
        </w:numPr>
        <w:rPr>
          <w:noProof/>
          <w:sz w:val="22"/>
          <w:szCs w:val="22"/>
          <w:lang w:eastAsia="zh-CN"/>
        </w:rPr>
      </w:pPr>
    </w:p>
    <w:p w:rsidR="00CA3AC6" w:rsidRDefault="00CA3AC6" w:rsidP="00CE5850">
      <w:pPr>
        <w:pStyle w:val="Caption"/>
        <w:widowControl w:val="0"/>
        <w:jc w:val="center"/>
        <w:rPr>
          <w:sz w:val="22"/>
          <w:szCs w:val="22"/>
          <w:lang w:eastAsia="zh-CN"/>
        </w:rPr>
      </w:pPr>
    </w:p>
    <w:p w:rsidR="00CA3AC6" w:rsidRDefault="00CA3AC6" w:rsidP="00CE5850">
      <w:pPr>
        <w:pStyle w:val="Caption"/>
        <w:widowControl w:val="0"/>
        <w:jc w:val="center"/>
        <w:rPr>
          <w:sz w:val="22"/>
          <w:szCs w:val="22"/>
          <w:lang w:eastAsia="zh-CN"/>
        </w:rPr>
      </w:pPr>
    </w:p>
    <w:p w:rsidR="00CA3AC6" w:rsidRDefault="00CA3AC6" w:rsidP="00CE5850">
      <w:pPr>
        <w:pStyle w:val="Caption"/>
        <w:widowControl w:val="0"/>
        <w:jc w:val="center"/>
        <w:rPr>
          <w:sz w:val="22"/>
          <w:szCs w:val="22"/>
          <w:lang w:eastAsia="zh-CN"/>
        </w:rPr>
      </w:pPr>
    </w:p>
    <w:p w:rsidR="00CA3AC6" w:rsidRDefault="00CA3AC6" w:rsidP="00CE5850">
      <w:pPr>
        <w:pStyle w:val="Caption"/>
        <w:widowControl w:val="0"/>
        <w:jc w:val="center"/>
        <w:rPr>
          <w:sz w:val="22"/>
          <w:szCs w:val="22"/>
          <w:lang w:eastAsia="zh-CN"/>
        </w:rPr>
      </w:pPr>
    </w:p>
    <w:p w:rsidR="00CA3AC6" w:rsidRDefault="00CA3AC6" w:rsidP="00CE5850">
      <w:pPr>
        <w:pStyle w:val="Caption"/>
        <w:widowControl w:val="0"/>
        <w:jc w:val="center"/>
        <w:rPr>
          <w:sz w:val="22"/>
          <w:szCs w:val="22"/>
          <w:lang w:eastAsia="zh-CN"/>
        </w:rPr>
      </w:pPr>
    </w:p>
    <w:p w:rsidR="00CA3AC6" w:rsidRDefault="00CA3AC6" w:rsidP="00CE5850">
      <w:pPr>
        <w:pStyle w:val="Caption"/>
        <w:widowControl w:val="0"/>
        <w:jc w:val="center"/>
        <w:rPr>
          <w:sz w:val="22"/>
          <w:szCs w:val="22"/>
          <w:lang w:eastAsia="zh-CN"/>
        </w:rPr>
      </w:pPr>
    </w:p>
    <w:p w:rsidR="004A147C" w:rsidRPr="00B53FFB" w:rsidRDefault="00CA3AC6" w:rsidP="00CE5850">
      <w:pPr>
        <w:pStyle w:val="ParaNum"/>
        <w:numPr>
          <w:ilvl w:val="0"/>
          <w:numId w:val="28"/>
        </w:numPr>
        <w:rPr>
          <w:noProof/>
          <w:sz w:val="22"/>
          <w:szCs w:val="22"/>
          <w:lang w:eastAsia="zh-CN"/>
        </w:rPr>
      </w:pPr>
      <w:r w:rsidRPr="00B53FFB">
        <w:rPr>
          <w:sz w:val="22"/>
          <w:szCs w:val="22"/>
          <w:lang w:eastAsia="zh-CN"/>
        </w:rPr>
        <w:t xml:space="preserve">Chart </w:t>
      </w:r>
      <w:r>
        <w:rPr>
          <w:noProof/>
          <w:sz w:val="22"/>
          <w:szCs w:val="22"/>
          <w:lang w:eastAsia="zh-CN"/>
        </w:rPr>
        <w:t>19</w:t>
      </w:r>
      <w:r w:rsidR="00FC73C4">
        <w:rPr>
          <w:noProof/>
          <w:sz w:val="22"/>
          <w:szCs w:val="22"/>
          <w:lang w:eastAsia="zh-CN"/>
        </w:rPr>
        <w:fldChar w:fldCharType="end"/>
      </w:r>
      <w:r w:rsidR="004A147C" w:rsidRPr="00B53FFB">
        <w:rPr>
          <w:sz w:val="22"/>
          <w:szCs w:val="22"/>
        </w:rPr>
        <w:t>).</w:t>
      </w:r>
      <w:r w:rsidR="004A147C" w:rsidRPr="00B53FFB">
        <w:rPr>
          <w:rStyle w:val="FootnoteReference"/>
          <w:szCs w:val="22"/>
        </w:rPr>
        <w:footnoteReference w:id="799"/>
      </w:r>
      <w:r w:rsidR="004A147C" w:rsidRPr="00B53FFB">
        <w:rPr>
          <w:sz w:val="22"/>
          <w:szCs w:val="22"/>
        </w:rPr>
        <w:t xml:space="preserve">  A service provider’s churn rate depends on many factors including the distribution of its customers between postpaid and prepaid service plans, customer satisfaction with service provider, service provider switching costs, and competition.  The inverse of the churn rate gives an estimate of the number of months an average customer is expected to remain a customer of a particular service provider.</w:t>
      </w:r>
      <w:r w:rsidR="004A147C" w:rsidRPr="00B53FFB">
        <w:rPr>
          <w:rStyle w:val="FootnoteReference"/>
          <w:szCs w:val="22"/>
        </w:rPr>
        <w:footnoteReference w:id="800"/>
      </w:r>
      <w:r w:rsidR="004A147C" w:rsidRPr="00B53FFB">
        <w:rPr>
          <w:sz w:val="22"/>
          <w:szCs w:val="22"/>
        </w:rPr>
        <w:t xml:space="preserve">  These customer lifetimes are presented in </w:t>
      </w:r>
      <w:r w:rsidR="00951E9B">
        <w:fldChar w:fldCharType="begin"/>
      </w:r>
      <w:r w:rsidR="00951E9B">
        <w:instrText xml:space="preserve"> REF _Ref330826342  \* MERGEFORMAT </w:instrText>
      </w:r>
      <w:r w:rsidR="00951E9B">
        <w:fldChar w:fldCharType="separate"/>
      </w:r>
      <w:r w:rsidRPr="00B53FFB">
        <w:rPr>
          <w:sz w:val="22"/>
          <w:szCs w:val="22"/>
        </w:rPr>
        <w:t xml:space="preserve">Table </w:t>
      </w:r>
      <w:r>
        <w:rPr>
          <w:noProof/>
          <w:sz w:val="22"/>
          <w:szCs w:val="22"/>
        </w:rPr>
        <w:t>35</w:t>
      </w:r>
      <w:r w:rsidR="00951E9B">
        <w:rPr>
          <w:noProof/>
          <w:sz w:val="22"/>
          <w:szCs w:val="22"/>
        </w:rPr>
        <w:fldChar w:fldCharType="end"/>
      </w:r>
      <w:r w:rsidR="004A147C" w:rsidRPr="00B53FFB">
        <w:rPr>
          <w:sz w:val="22"/>
          <w:szCs w:val="22"/>
        </w:rPr>
        <w:t xml:space="preserve">.  </w:t>
      </w:r>
    </w:p>
    <w:p w:rsidR="004A147C" w:rsidRPr="00B53FFB" w:rsidRDefault="004A147C" w:rsidP="00CE5850">
      <w:pPr>
        <w:pStyle w:val="Caption"/>
        <w:widowControl w:val="0"/>
        <w:jc w:val="center"/>
        <w:rPr>
          <w:sz w:val="22"/>
          <w:szCs w:val="22"/>
        </w:rPr>
      </w:pPr>
      <w:bookmarkStart w:id="3508" w:name="_Ref330818531"/>
      <w:r w:rsidRPr="00B53FFB">
        <w:rPr>
          <w:sz w:val="22"/>
          <w:szCs w:val="22"/>
        </w:rPr>
        <w:t xml:space="preserve">Chart </w:t>
      </w:r>
      <w:r w:rsidR="0007014B" w:rsidRPr="00B53FFB">
        <w:rPr>
          <w:sz w:val="22"/>
          <w:szCs w:val="22"/>
        </w:rPr>
        <w:fldChar w:fldCharType="begin"/>
      </w:r>
      <w:r w:rsidRPr="00B53FFB">
        <w:rPr>
          <w:sz w:val="22"/>
          <w:szCs w:val="22"/>
        </w:rPr>
        <w:instrText xml:space="preserve"> SEQ Chart \* ARABIC </w:instrText>
      </w:r>
      <w:r w:rsidR="0007014B" w:rsidRPr="00B53FFB">
        <w:rPr>
          <w:sz w:val="22"/>
          <w:szCs w:val="22"/>
        </w:rPr>
        <w:fldChar w:fldCharType="separate"/>
      </w:r>
      <w:r w:rsidR="00CA3AC6">
        <w:rPr>
          <w:noProof/>
          <w:sz w:val="22"/>
          <w:szCs w:val="22"/>
        </w:rPr>
        <w:t>18</w:t>
      </w:r>
      <w:r w:rsidR="0007014B" w:rsidRPr="00B53FFB">
        <w:rPr>
          <w:sz w:val="22"/>
          <w:szCs w:val="22"/>
        </w:rPr>
        <w:fldChar w:fldCharType="end"/>
      </w:r>
      <w:bookmarkEnd w:id="3508"/>
      <w:r w:rsidRPr="00B53FFB">
        <w:rPr>
          <w:sz w:val="22"/>
          <w:szCs w:val="22"/>
        </w:rPr>
        <w:br/>
        <w:t>Average Monthly Churn Rates of the Nationwide Service Providers, 2005-2011</w:t>
      </w:r>
      <w:r w:rsidRPr="00B53FFB">
        <w:rPr>
          <w:rStyle w:val="FootnoteReference"/>
          <w:b w:val="0"/>
          <w:szCs w:val="22"/>
        </w:rPr>
        <w:footnoteReference w:id="801"/>
      </w:r>
    </w:p>
    <w:p w:rsidR="004A147C" w:rsidRPr="00B53FFB" w:rsidRDefault="00C81B24" w:rsidP="00CE5850">
      <w:pPr>
        <w:pStyle w:val="Caption"/>
        <w:widowControl w:val="0"/>
        <w:jc w:val="center"/>
        <w:rPr>
          <w:sz w:val="22"/>
          <w:szCs w:val="22"/>
          <w:lang w:eastAsia="zh-CN"/>
        </w:rPr>
      </w:pPr>
      <w:r>
        <w:rPr>
          <w:noProof/>
          <w:sz w:val="22"/>
          <w:szCs w:val="22"/>
        </w:rPr>
        <w:drawing>
          <wp:inline distT="0" distB="0" distL="0" distR="0" wp14:anchorId="4A5D0CC9" wp14:editId="6EC0451F">
            <wp:extent cx="5943600" cy="4229100"/>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943600" cy="4229100"/>
                    </a:xfrm>
                    <a:prstGeom prst="rect">
                      <a:avLst/>
                    </a:prstGeom>
                    <a:noFill/>
                    <a:ln>
                      <a:noFill/>
                    </a:ln>
                  </pic:spPr>
                </pic:pic>
              </a:graphicData>
            </a:graphic>
          </wp:inline>
        </w:drawing>
      </w:r>
    </w:p>
    <w:p w:rsidR="00135758" w:rsidRDefault="00135758" w:rsidP="00CE5850">
      <w:pPr>
        <w:pStyle w:val="Caption"/>
        <w:widowControl w:val="0"/>
        <w:jc w:val="center"/>
        <w:rPr>
          <w:sz w:val="22"/>
          <w:szCs w:val="22"/>
          <w:lang w:eastAsia="zh-CN"/>
        </w:rPr>
      </w:pPr>
      <w:bookmarkStart w:id="3509" w:name="_Ref330824530"/>
    </w:p>
    <w:p w:rsidR="00135758" w:rsidRDefault="00135758" w:rsidP="00CE5850">
      <w:pPr>
        <w:pStyle w:val="Caption"/>
        <w:widowControl w:val="0"/>
        <w:jc w:val="center"/>
        <w:rPr>
          <w:sz w:val="22"/>
          <w:szCs w:val="22"/>
          <w:lang w:eastAsia="zh-CN"/>
        </w:rPr>
      </w:pPr>
    </w:p>
    <w:p w:rsidR="00135758" w:rsidRDefault="00135758" w:rsidP="00CE5850">
      <w:pPr>
        <w:pStyle w:val="Caption"/>
        <w:widowControl w:val="0"/>
        <w:jc w:val="center"/>
        <w:rPr>
          <w:sz w:val="22"/>
          <w:szCs w:val="22"/>
          <w:lang w:eastAsia="zh-CN"/>
        </w:rPr>
      </w:pPr>
    </w:p>
    <w:p w:rsidR="00135758" w:rsidRDefault="00135758" w:rsidP="00CE5850">
      <w:pPr>
        <w:pStyle w:val="Caption"/>
        <w:widowControl w:val="0"/>
        <w:jc w:val="center"/>
        <w:rPr>
          <w:sz w:val="22"/>
          <w:szCs w:val="22"/>
          <w:lang w:eastAsia="zh-CN"/>
        </w:rPr>
      </w:pPr>
    </w:p>
    <w:p w:rsidR="00135758" w:rsidRDefault="00135758" w:rsidP="00CE5850">
      <w:pPr>
        <w:pStyle w:val="Caption"/>
        <w:widowControl w:val="0"/>
        <w:jc w:val="center"/>
        <w:rPr>
          <w:sz w:val="22"/>
          <w:szCs w:val="22"/>
          <w:lang w:eastAsia="zh-CN"/>
        </w:rPr>
      </w:pPr>
    </w:p>
    <w:p w:rsidR="00135758" w:rsidRDefault="00135758" w:rsidP="00CE5850">
      <w:pPr>
        <w:pStyle w:val="Caption"/>
        <w:widowControl w:val="0"/>
        <w:jc w:val="center"/>
        <w:rPr>
          <w:sz w:val="22"/>
          <w:szCs w:val="22"/>
          <w:lang w:eastAsia="zh-CN"/>
        </w:rPr>
      </w:pPr>
    </w:p>
    <w:p w:rsidR="00135758" w:rsidRDefault="00135758" w:rsidP="00CE5850">
      <w:pPr>
        <w:pStyle w:val="Caption"/>
        <w:widowControl w:val="0"/>
        <w:jc w:val="center"/>
        <w:rPr>
          <w:sz w:val="22"/>
          <w:szCs w:val="22"/>
          <w:lang w:eastAsia="zh-CN"/>
        </w:rPr>
      </w:pPr>
    </w:p>
    <w:p w:rsidR="00135758" w:rsidRDefault="00135758" w:rsidP="00CE5850">
      <w:pPr>
        <w:pStyle w:val="Caption"/>
        <w:widowControl w:val="0"/>
        <w:jc w:val="center"/>
        <w:rPr>
          <w:sz w:val="22"/>
          <w:szCs w:val="22"/>
          <w:lang w:eastAsia="zh-CN"/>
        </w:rPr>
      </w:pPr>
    </w:p>
    <w:p w:rsidR="00135758" w:rsidRDefault="00135758" w:rsidP="00CE5850">
      <w:pPr>
        <w:pStyle w:val="Caption"/>
        <w:widowControl w:val="0"/>
        <w:jc w:val="center"/>
        <w:rPr>
          <w:sz w:val="22"/>
          <w:szCs w:val="22"/>
          <w:lang w:eastAsia="zh-CN"/>
        </w:rPr>
      </w:pPr>
    </w:p>
    <w:p w:rsidR="004A147C" w:rsidRPr="00B53FFB" w:rsidRDefault="004A147C" w:rsidP="00CE5850">
      <w:pPr>
        <w:pStyle w:val="Caption"/>
        <w:widowControl w:val="0"/>
        <w:jc w:val="center"/>
        <w:rPr>
          <w:sz w:val="22"/>
          <w:szCs w:val="22"/>
          <w:lang w:eastAsia="zh-CN"/>
        </w:rPr>
      </w:pPr>
      <w:r w:rsidRPr="00B53FFB">
        <w:rPr>
          <w:sz w:val="22"/>
          <w:szCs w:val="22"/>
          <w:lang w:eastAsia="zh-CN"/>
        </w:rPr>
        <w:t xml:space="preserve">Chart </w:t>
      </w:r>
      <w:r w:rsidR="0007014B" w:rsidRPr="00B53FFB">
        <w:rPr>
          <w:sz w:val="22"/>
          <w:szCs w:val="22"/>
          <w:lang w:eastAsia="zh-CN"/>
        </w:rPr>
        <w:fldChar w:fldCharType="begin"/>
      </w:r>
      <w:r w:rsidRPr="00B53FFB">
        <w:rPr>
          <w:sz w:val="22"/>
          <w:szCs w:val="22"/>
          <w:lang w:eastAsia="zh-CN"/>
        </w:rPr>
        <w:instrText xml:space="preserve"> SEQ Chart \* ARABIC </w:instrText>
      </w:r>
      <w:r w:rsidR="0007014B" w:rsidRPr="00B53FFB">
        <w:rPr>
          <w:sz w:val="22"/>
          <w:szCs w:val="22"/>
          <w:lang w:eastAsia="zh-CN"/>
        </w:rPr>
        <w:fldChar w:fldCharType="separate"/>
      </w:r>
      <w:r w:rsidR="00CA3AC6">
        <w:rPr>
          <w:noProof/>
          <w:sz w:val="22"/>
          <w:szCs w:val="22"/>
          <w:lang w:eastAsia="zh-CN"/>
        </w:rPr>
        <w:t>19</w:t>
      </w:r>
      <w:r w:rsidR="0007014B" w:rsidRPr="00B53FFB">
        <w:rPr>
          <w:sz w:val="22"/>
          <w:szCs w:val="22"/>
          <w:lang w:eastAsia="zh-CN"/>
        </w:rPr>
        <w:fldChar w:fldCharType="end"/>
      </w:r>
      <w:bookmarkEnd w:id="3509"/>
      <w:r w:rsidRPr="00B53FFB">
        <w:rPr>
          <w:sz w:val="22"/>
          <w:szCs w:val="22"/>
          <w:lang w:eastAsia="zh-CN"/>
        </w:rPr>
        <w:br/>
        <w:t>Average Monthly Churn Rates by Segment, 2005-2011</w:t>
      </w:r>
      <w:r w:rsidRPr="00B53FFB">
        <w:rPr>
          <w:rStyle w:val="FootnoteReference"/>
          <w:b w:val="0"/>
          <w:szCs w:val="22"/>
        </w:rPr>
        <w:footnoteReference w:id="802"/>
      </w:r>
    </w:p>
    <w:p w:rsidR="004A147C" w:rsidRPr="00B53FFB" w:rsidRDefault="00C81B24" w:rsidP="00CE5850">
      <w:pPr>
        <w:pStyle w:val="Caption"/>
        <w:widowControl w:val="0"/>
        <w:jc w:val="center"/>
        <w:rPr>
          <w:sz w:val="22"/>
          <w:szCs w:val="22"/>
        </w:rPr>
      </w:pPr>
      <w:r>
        <w:rPr>
          <w:noProof/>
          <w:sz w:val="22"/>
          <w:szCs w:val="22"/>
        </w:rPr>
        <w:drawing>
          <wp:inline distT="0" distB="0" distL="0" distR="0" wp14:anchorId="6128A8C0" wp14:editId="6FDEBC91">
            <wp:extent cx="6076950" cy="3486150"/>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6076950" cy="3486150"/>
                    </a:xfrm>
                    <a:prstGeom prst="rect">
                      <a:avLst/>
                    </a:prstGeom>
                    <a:noFill/>
                    <a:ln>
                      <a:noFill/>
                    </a:ln>
                  </pic:spPr>
                </pic:pic>
              </a:graphicData>
            </a:graphic>
          </wp:inline>
        </w:drawing>
      </w:r>
    </w:p>
    <w:p w:rsidR="004A147C" w:rsidRPr="00B53FFB" w:rsidRDefault="004A147C" w:rsidP="00CE5850">
      <w:pPr>
        <w:pStyle w:val="Caption"/>
        <w:widowControl w:val="0"/>
        <w:jc w:val="center"/>
        <w:rPr>
          <w:sz w:val="22"/>
          <w:szCs w:val="22"/>
        </w:rPr>
      </w:pPr>
      <w:bookmarkStart w:id="3510" w:name="_Ref330826342"/>
      <w:r w:rsidRPr="00B53FFB">
        <w:rPr>
          <w:sz w:val="22"/>
          <w:szCs w:val="22"/>
        </w:rPr>
        <w:t xml:space="preserve">Table </w:t>
      </w:r>
      <w:r w:rsidR="0007014B" w:rsidRPr="00B53FFB">
        <w:rPr>
          <w:sz w:val="22"/>
          <w:szCs w:val="22"/>
        </w:rPr>
        <w:fldChar w:fldCharType="begin"/>
      </w:r>
      <w:r w:rsidRPr="00B53FFB">
        <w:rPr>
          <w:sz w:val="22"/>
          <w:szCs w:val="22"/>
        </w:rPr>
        <w:instrText xml:space="preserve"> SEQ Table \* ARABIC </w:instrText>
      </w:r>
      <w:r w:rsidR="0007014B" w:rsidRPr="00B53FFB">
        <w:rPr>
          <w:sz w:val="22"/>
          <w:szCs w:val="22"/>
        </w:rPr>
        <w:fldChar w:fldCharType="separate"/>
      </w:r>
      <w:r w:rsidR="00CA3AC6">
        <w:rPr>
          <w:noProof/>
          <w:sz w:val="22"/>
          <w:szCs w:val="22"/>
        </w:rPr>
        <w:t>35</w:t>
      </w:r>
      <w:r w:rsidR="0007014B" w:rsidRPr="00B53FFB">
        <w:rPr>
          <w:sz w:val="22"/>
          <w:szCs w:val="22"/>
        </w:rPr>
        <w:fldChar w:fldCharType="end"/>
      </w:r>
      <w:bookmarkEnd w:id="3510"/>
      <w:r w:rsidRPr="00B53FFB">
        <w:rPr>
          <w:sz w:val="22"/>
          <w:szCs w:val="22"/>
        </w:rPr>
        <w:br/>
        <w:t>Average Customer Lifetime, 2005-2011 (In Years)</w:t>
      </w:r>
      <w:r w:rsidRPr="00B53FFB">
        <w:rPr>
          <w:rStyle w:val="FootnoteReference"/>
          <w:b w:val="0"/>
          <w:szCs w:val="22"/>
        </w:rPr>
        <w:footnoteReference w:id="803"/>
      </w:r>
    </w:p>
    <w:tbl>
      <w:tblPr>
        <w:tblW w:w="6643" w:type="dxa"/>
        <w:jc w:val="center"/>
        <w:tblInd w:w="44"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Look w:val="0000" w:firstRow="0" w:lastRow="0" w:firstColumn="0" w:lastColumn="0" w:noHBand="0" w:noVBand="0"/>
      </w:tblPr>
      <w:tblGrid>
        <w:gridCol w:w="1742"/>
        <w:gridCol w:w="700"/>
        <w:gridCol w:w="700"/>
        <w:gridCol w:w="700"/>
        <w:gridCol w:w="700"/>
        <w:gridCol w:w="700"/>
        <w:gridCol w:w="701"/>
        <w:gridCol w:w="700"/>
      </w:tblGrid>
      <w:tr w:rsidR="004A147C" w:rsidRPr="00B53FFB" w:rsidTr="00D626F5">
        <w:trPr>
          <w:trHeight w:val="309"/>
          <w:jc w:val="center"/>
        </w:trPr>
        <w:tc>
          <w:tcPr>
            <w:tcW w:w="1742" w:type="dxa"/>
            <w:noWrap/>
            <w:vAlign w:val="bottom"/>
          </w:tcPr>
          <w:p w:rsidR="004A147C" w:rsidRPr="00B53FFB" w:rsidRDefault="004A147C" w:rsidP="00CE5850">
            <w:pPr>
              <w:rPr>
                <w:b/>
                <w:szCs w:val="22"/>
              </w:rPr>
            </w:pPr>
            <w:r w:rsidRPr="00B53FFB">
              <w:rPr>
                <w:b/>
                <w:szCs w:val="22"/>
              </w:rPr>
              <w:t>Provider</w:t>
            </w:r>
          </w:p>
        </w:tc>
        <w:tc>
          <w:tcPr>
            <w:tcW w:w="700" w:type="dxa"/>
            <w:noWrap/>
            <w:vAlign w:val="bottom"/>
          </w:tcPr>
          <w:p w:rsidR="004A147C" w:rsidRPr="00B53FFB" w:rsidRDefault="004A147C" w:rsidP="00CE5850">
            <w:pPr>
              <w:rPr>
                <w:b/>
                <w:szCs w:val="22"/>
              </w:rPr>
            </w:pPr>
            <w:r w:rsidRPr="00B53FFB">
              <w:rPr>
                <w:b/>
                <w:szCs w:val="22"/>
              </w:rPr>
              <w:t>2005</w:t>
            </w:r>
          </w:p>
        </w:tc>
        <w:tc>
          <w:tcPr>
            <w:tcW w:w="700" w:type="dxa"/>
            <w:noWrap/>
            <w:vAlign w:val="bottom"/>
          </w:tcPr>
          <w:p w:rsidR="004A147C" w:rsidRPr="00B53FFB" w:rsidRDefault="004A147C" w:rsidP="00CE5850">
            <w:pPr>
              <w:rPr>
                <w:b/>
                <w:szCs w:val="22"/>
              </w:rPr>
            </w:pPr>
            <w:r w:rsidRPr="00B53FFB">
              <w:rPr>
                <w:b/>
                <w:szCs w:val="22"/>
              </w:rPr>
              <w:t xml:space="preserve"> 2006</w:t>
            </w:r>
            <w:r w:rsidRPr="00B53FFB">
              <w:rPr>
                <w:b/>
                <w:bCs/>
                <w:color w:val="000000"/>
                <w:szCs w:val="22"/>
              </w:rPr>
              <w:t xml:space="preserve"> </w:t>
            </w:r>
            <w:r w:rsidRPr="00B53FFB">
              <w:rPr>
                <w:b/>
                <w:szCs w:val="22"/>
              </w:rPr>
              <w:t xml:space="preserve"> </w:t>
            </w:r>
          </w:p>
        </w:tc>
        <w:tc>
          <w:tcPr>
            <w:tcW w:w="700" w:type="dxa"/>
            <w:noWrap/>
            <w:vAlign w:val="bottom"/>
          </w:tcPr>
          <w:p w:rsidR="004A147C" w:rsidRPr="00B53FFB" w:rsidRDefault="004A147C" w:rsidP="00CE5850">
            <w:pPr>
              <w:rPr>
                <w:b/>
                <w:szCs w:val="22"/>
              </w:rPr>
            </w:pPr>
            <w:r w:rsidRPr="00B53FFB">
              <w:rPr>
                <w:b/>
                <w:szCs w:val="22"/>
              </w:rPr>
              <w:t xml:space="preserve"> 2007</w:t>
            </w:r>
            <w:r w:rsidRPr="00B53FFB">
              <w:rPr>
                <w:b/>
                <w:bCs/>
                <w:color w:val="000000"/>
                <w:szCs w:val="22"/>
              </w:rPr>
              <w:t xml:space="preserve"> </w:t>
            </w:r>
            <w:r w:rsidRPr="00B53FFB">
              <w:rPr>
                <w:b/>
                <w:szCs w:val="22"/>
              </w:rPr>
              <w:t xml:space="preserve"> </w:t>
            </w:r>
          </w:p>
        </w:tc>
        <w:tc>
          <w:tcPr>
            <w:tcW w:w="700" w:type="dxa"/>
            <w:noWrap/>
            <w:vAlign w:val="bottom"/>
          </w:tcPr>
          <w:p w:rsidR="004A147C" w:rsidRPr="00B53FFB" w:rsidRDefault="004A147C" w:rsidP="00CE5850">
            <w:pPr>
              <w:rPr>
                <w:b/>
                <w:szCs w:val="22"/>
              </w:rPr>
            </w:pPr>
            <w:r w:rsidRPr="00B53FFB">
              <w:rPr>
                <w:b/>
                <w:szCs w:val="22"/>
              </w:rPr>
              <w:t xml:space="preserve"> 2008</w:t>
            </w:r>
            <w:r w:rsidRPr="00B53FFB">
              <w:rPr>
                <w:b/>
                <w:bCs/>
                <w:color w:val="000000"/>
                <w:szCs w:val="22"/>
              </w:rPr>
              <w:t xml:space="preserve"> </w:t>
            </w:r>
            <w:r w:rsidRPr="00B53FFB">
              <w:rPr>
                <w:b/>
                <w:szCs w:val="22"/>
              </w:rPr>
              <w:t xml:space="preserve"> </w:t>
            </w:r>
          </w:p>
        </w:tc>
        <w:tc>
          <w:tcPr>
            <w:tcW w:w="700" w:type="dxa"/>
            <w:noWrap/>
            <w:vAlign w:val="bottom"/>
          </w:tcPr>
          <w:p w:rsidR="004A147C" w:rsidRPr="00B53FFB" w:rsidRDefault="004A147C" w:rsidP="00CE5850">
            <w:pPr>
              <w:rPr>
                <w:b/>
                <w:szCs w:val="22"/>
              </w:rPr>
            </w:pPr>
            <w:r w:rsidRPr="00B53FFB">
              <w:rPr>
                <w:b/>
                <w:szCs w:val="22"/>
              </w:rPr>
              <w:t xml:space="preserve"> 2009</w:t>
            </w:r>
            <w:r w:rsidRPr="00B53FFB">
              <w:rPr>
                <w:b/>
                <w:bCs/>
                <w:color w:val="000000"/>
                <w:szCs w:val="22"/>
              </w:rPr>
              <w:t xml:space="preserve"> </w:t>
            </w:r>
            <w:r w:rsidRPr="00B53FFB">
              <w:rPr>
                <w:b/>
                <w:szCs w:val="22"/>
              </w:rPr>
              <w:t xml:space="preserve"> </w:t>
            </w:r>
          </w:p>
        </w:tc>
        <w:tc>
          <w:tcPr>
            <w:tcW w:w="701" w:type="dxa"/>
            <w:noWrap/>
            <w:vAlign w:val="bottom"/>
          </w:tcPr>
          <w:p w:rsidR="004A147C" w:rsidRPr="00B53FFB" w:rsidRDefault="004A147C" w:rsidP="00CE5850">
            <w:pPr>
              <w:rPr>
                <w:b/>
                <w:szCs w:val="22"/>
              </w:rPr>
            </w:pPr>
            <w:r w:rsidRPr="00B53FFB">
              <w:rPr>
                <w:b/>
                <w:szCs w:val="22"/>
              </w:rPr>
              <w:t xml:space="preserve"> 2010</w:t>
            </w:r>
            <w:r w:rsidRPr="00B53FFB">
              <w:rPr>
                <w:b/>
                <w:bCs/>
                <w:color w:val="000000"/>
                <w:szCs w:val="22"/>
              </w:rPr>
              <w:t xml:space="preserve"> </w:t>
            </w:r>
            <w:r w:rsidRPr="00B53FFB">
              <w:rPr>
                <w:b/>
                <w:szCs w:val="22"/>
              </w:rPr>
              <w:t xml:space="preserve"> </w:t>
            </w:r>
          </w:p>
        </w:tc>
        <w:tc>
          <w:tcPr>
            <w:tcW w:w="700" w:type="dxa"/>
            <w:noWrap/>
            <w:vAlign w:val="bottom"/>
          </w:tcPr>
          <w:p w:rsidR="004A147C" w:rsidRPr="00B53FFB" w:rsidRDefault="004A147C" w:rsidP="00CE5850">
            <w:pPr>
              <w:rPr>
                <w:b/>
                <w:szCs w:val="22"/>
              </w:rPr>
            </w:pPr>
            <w:r w:rsidRPr="00B53FFB">
              <w:rPr>
                <w:b/>
                <w:szCs w:val="22"/>
              </w:rPr>
              <w:t xml:space="preserve"> 2011</w:t>
            </w:r>
            <w:r w:rsidRPr="00B53FFB">
              <w:rPr>
                <w:b/>
                <w:bCs/>
                <w:color w:val="000000"/>
                <w:szCs w:val="22"/>
              </w:rPr>
              <w:t xml:space="preserve"> </w:t>
            </w:r>
            <w:r w:rsidRPr="00B53FFB">
              <w:rPr>
                <w:b/>
                <w:szCs w:val="22"/>
              </w:rPr>
              <w:t xml:space="preserve"> </w:t>
            </w:r>
          </w:p>
        </w:tc>
      </w:tr>
      <w:tr w:rsidR="004A147C" w:rsidRPr="00B53FFB" w:rsidTr="00D626F5">
        <w:trPr>
          <w:trHeight w:val="309"/>
          <w:jc w:val="center"/>
        </w:trPr>
        <w:tc>
          <w:tcPr>
            <w:tcW w:w="1742" w:type="dxa"/>
            <w:noWrap/>
            <w:vAlign w:val="bottom"/>
          </w:tcPr>
          <w:p w:rsidR="004A147C" w:rsidRPr="00B53FFB" w:rsidRDefault="004A147C" w:rsidP="00CE5850">
            <w:pPr>
              <w:rPr>
                <w:b/>
                <w:szCs w:val="22"/>
              </w:rPr>
            </w:pPr>
            <w:r w:rsidRPr="00B53FFB">
              <w:rPr>
                <w:b/>
                <w:color w:val="000000"/>
                <w:szCs w:val="22"/>
              </w:rPr>
              <w:t xml:space="preserve">AT&amp;T </w:t>
            </w:r>
            <w:r w:rsidRPr="00B53FFB">
              <w:rPr>
                <w:b/>
                <w:szCs w:val="22"/>
              </w:rPr>
              <w:t xml:space="preserve"> </w:t>
            </w:r>
          </w:p>
        </w:tc>
        <w:tc>
          <w:tcPr>
            <w:tcW w:w="700" w:type="dxa"/>
            <w:noWrap/>
            <w:vAlign w:val="bottom"/>
          </w:tcPr>
          <w:p w:rsidR="004A147C" w:rsidRPr="00B53FFB" w:rsidRDefault="004A147C" w:rsidP="00CE5850">
            <w:pPr>
              <w:jc w:val="right"/>
              <w:rPr>
                <w:szCs w:val="22"/>
              </w:rPr>
            </w:pPr>
            <w:r w:rsidRPr="00B53FFB">
              <w:rPr>
                <w:szCs w:val="22"/>
              </w:rPr>
              <w:t>3.8</w:t>
            </w:r>
          </w:p>
        </w:tc>
        <w:tc>
          <w:tcPr>
            <w:tcW w:w="700" w:type="dxa"/>
            <w:noWrap/>
            <w:vAlign w:val="bottom"/>
          </w:tcPr>
          <w:p w:rsidR="004A147C" w:rsidRPr="00B53FFB" w:rsidRDefault="004A147C" w:rsidP="00CE5850">
            <w:pPr>
              <w:jc w:val="right"/>
              <w:rPr>
                <w:szCs w:val="22"/>
              </w:rPr>
            </w:pPr>
            <w:r w:rsidRPr="00B53FFB">
              <w:rPr>
                <w:szCs w:val="22"/>
              </w:rPr>
              <w:t>4.6</w:t>
            </w:r>
          </w:p>
        </w:tc>
        <w:tc>
          <w:tcPr>
            <w:tcW w:w="700" w:type="dxa"/>
            <w:noWrap/>
            <w:vAlign w:val="bottom"/>
          </w:tcPr>
          <w:p w:rsidR="004A147C" w:rsidRPr="00B53FFB" w:rsidRDefault="004A147C" w:rsidP="00CE5850">
            <w:pPr>
              <w:jc w:val="right"/>
              <w:rPr>
                <w:szCs w:val="22"/>
              </w:rPr>
            </w:pPr>
            <w:r w:rsidRPr="00B53FFB">
              <w:rPr>
                <w:szCs w:val="22"/>
              </w:rPr>
              <w:t>5.0</w:t>
            </w:r>
          </w:p>
        </w:tc>
        <w:tc>
          <w:tcPr>
            <w:tcW w:w="700" w:type="dxa"/>
            <w:noWrap/>
            <w:vAlign w:val="bottom"/>
          </w:tcPr>
          <w:p w:rsidR="004A147C" w:rsidRPr="00B53FFB" w:rsidRDefault="004A147C" w:rsidP="00CE5850">
            <w:pPr>
              <w:jc w:val="right"/>
              <w:rPr>
                <w:szCs w:val="22"/>
              </w:rPr>
            </w:pPr>
            <w:r w:rsidRPr="00B53FFB">
              <w:rPr>
                <w:szCs w:val="22"/>
              </w:rPr>
              <w:t>5.0</w:t>
            </w:r>
          </w:p>
        </w:tc>
        <w:tc>
          <w:tcPr>
            <w:tcW w:w="700" w:type="dxa"/>
            <w:noWrap/>
            <w:vAlign w:val="bottom"/>
          </w:tcPr>
          <w:p w:rsidR="004A147C" w:rsidRPr="00B53FFB" w:rsidRDefault="004A147C" w:rsidP="00CE5850">
            <w:pPr>
              <w:jc w:val="right"/>
              <w:rPr>
                <w:szCs w:val="22"/>
              </w:rPr>
            </w:pPr>
            <w:r w:rsidRPr="00B53FFB">
              <w:rPr>
                <w:szCs w:val="22"/>
              </w:rPr>
              <w:t>5.7</w:t>
            </w:r>
          </w:p>
        </w:tc>
        <w:tc>
          <w:tcPr>
            <w:tcW w:w="701" w:type="dxa"/>
            <w:noWrap/>
            <w:vAlign w:val="bottom"/>
          </w:tcPr>
          <w:p w:rsidR="004A147C" w:rsidRPr="00B53FFB" w:rsidRDefault="004A147C" w:rsidP="00CE5850">
            <w:pPr>
              <w:jc w:val="right"/>
              <w:rPr>
                <w:szCs w:val="22"/>
              </w:rPr>
            </w:pPr>
            <w:r w:rsidRPr="00B53FFB">
              <w:rPr>
                <w:szCs w:val="22"/>
              </w:rPr>
              <w:t>6.4</w:t>
            </w:r>
          </w:p>
        </w:tc>
        <w:tc>
          <w:tcPr>
            <w:tcW w:w="700" w:type="dxa"/>
            <w:noWrap/>
            <w:vAlign w:val="bottom"/>
          </w:tcPr>
          <w:p w:rsidR="004A147C" w:rsidRPr="00B53FFB" w:rsidRDefault="004A147C" w:rsidP="00CE5850">
            <w:pPr>
              <w:jc w:val="right"/>
              <w:rPr>
                <w:szCs w:val="22"/>
              </w:rPr>
            </w:pPr>
            <w:r w:rsidRPr="00B53FFB">
              <w:rPr>
                <w:szCs w:val="22"/>
              </w:rPr>
              <w:t>6.1</w:t>
            </w:r>
          </w:p>
        </w:tc>
      </w:tr>
      <w:tr w:rsidR="004A147C" w:rsidRPr="00B53FFB" w:rsidTr="00D626F5">
        <w:trPr>
          <w:trHeight w:val="309"/>
          <w:jc w:val="center"/>
        </w:trPr>
        <w:tc>
          <w:tcPr>
            <w:tcW w:w="1742" w:type="dxa"/>
            <w:noWrap/>
            <w:vAlign w:val="bottom"/>
          </w:tcPr>
          <w:p w:rsidR="004A147C" w:rsidRPr="00B53FFB" w:rsidRDefault="004A147C" w:rsidP="00CE5850">
            <w:pPr>
              <w:rPr>
                <w:b/>
                <w:szCs w:val="22"/>
              </w:rPr>
            </w:pPr>
            <w:r w:rsidRPr="00B53FFB">
              <w:rPr>
                <w:b/>
                <w:color w:val="000000"/>
                <w:szCs w:val="22"/>
              </w:rPr>
              <w:t xml:space="preserve">Verizon Wireless </w:t>
            </w:r>
            <w:r w:rsidRPr="00B53FFB">
              <w:rPr>
                <w:b/>
                <w:szCs w:val="22"/>
              </w:rPr>
              <w:t xml:space="preserve"> </w:t>
            </w:r>
          </w:p>
        </w:tc>
        <w:tc>
          <w:tcPr>
            <w:tcW w:w="700" w:type="dxa"/>
            <w:noWrap/>
            <w:vAlign w:val="bottom"/>
          </w:tcPr>
          <w:p w:rsidR="004A147C" w:rsidRPr="00B53FFB" w:rsidRDefault="004A147C" w:rsidP="00CE5850">
            <w:pPr>
              <w:jc w:val="right"/>
              <w:rPr>
                <w:szCs w:val="22"/>
              </w:rPr>
            </w:pPr>
            <w:r w:rsidRPr="00B53FFB">
              <w:rPr>
                <w:szCs w:val="22"/>
              </w:rPr>
              <w:t>5.9</w:t>
            </w:r>
          </w:p>
        </w:tc>
        <w:tc>
          <w:tcPr>
            <w:tcW w:w="700" w:type="dxa"/>
            <w:noWrap/>
            <w:vAlign w:val="bottom"/>
          </w:tcPr>
          <w:p w:rsidR="004A147C" w:rsidRPr="00B53FFB" w:rsidRDefault="004A147C" w:rsidP="00CE5850">
            <w:pPr>
              <w:jc w:val="right"/>
              <w:rPr>
                <w:szCs w:val="22"/>
              </w:rPr>
            </w:pPr>
            <w:r w:rsidRPr="00B53FFB">
              <w:rPr>
                <w:szCs w:val="22"/>
              </w:rPr>
              <w:t>6.4</w:t>
            </w:r>
          </w:p>
        </w:tc>
        <w:tc>
          <w:tcPr>
            <w:tcW w:w="700" w:type="dxa"/>
            <w:noWrap/>
            <w:vAlign w:val="bottom"/>
          </w:tcPr>
          <w:p w:rsidR="004A147C" w:rsidRPr="00B53FFB" w:rsidRDefault="004A147C" w:rsidP="00CE5850">
            <w:pPr>
              <w:jc w:val="right"/>
              <w:rPr>
                <w:szCs w:val="22"/>
              </w:rPr>
            </w:pPr>
            <w:r w:rsidRPr="00B53FFB">
              <w:rPr>
                <w:szCs w:val="22"/>
              </w:rPr>
              <w:t>6.4</w:t>
            </w:r>
          </w:p>
        </w:tc>
        <w:tc>
          <w:tcPr>
            <w:tcW w:w="700" w:type="dxa"/>
            <w:noWrap/>
            <w:vAlign w:val="bottom"/>
          </w:tcPr>
          <w:p w:rsidR="004A147C" w:rsidRPr="00B53FFB" w:rsidRDefault="004A147C" w:rsidP="00CE5850">
            <w:pPr>
              <w:jc w:val="right"/>
              <w:rPr>
                <w:szCs w:val="22"/>
              </w:rPr>
            </w:pPr>
            <w:r w:rsidRPr="00B53FFB">
              <w:rPr>
                <w:szCs w:val="22"/>
              </w:rPr>
              <w:t>6.1</w:t>
            </w:r>
          </w:p>
        </w:tc>
        <w:tc>
          <w:tcPr>
            <w:tcW w:w="700" w:type="dxa"/>
            <w:noWrap/>
            <w:vAlign w:val="bottom"/>
          </w:tcPr>
          <w:p w:rsidR="004A147C" w:rsidRPr="00B53FFB" w:rsidRDefault="004A147C" w:rsidP="00CE5850">
            <w:pPr>
              <w:jc w:val="right"/>
              <w:rPr>
                <w:szCs w:val="22"/>
              </w:rPr>
            </w:pPr>
            <w:r w:rsidRPr="00B53FFB">
              <w:rPr>
                <w:szCs w:val="22"/>
              </w:rPr>
              <w:t>5.8</w:t>
            </w:r>
          </w:p>
        </w:tc>
        <w:tc>
          <w:tcPr>
            <w:tcW w:w="701" w:type="dxa"/>
            <w:noWrap/>
            <w:vAlign w:val="bottom"/>
          </w:tcPr>
          <w:p w:rsidR="004A147C" w:rsidRPr="00B53FFB" w:rsidRDefault="004A147C" w:rsidP="00CE5850">
            <w:pPr>
              <w:jc w:val="right"/>
              <w:rPr>
                <w:szCs w:val="22"/>
              </w:rPr>
            </w:pPr>
            <w:r w:rsidRPr="00B53FFB">
              <w:rPr>
                <w:szCs w:val="22"/>
              </w:rPr>
              <w:t>5.7</w:t>
            </w:r>
          </w:p>
        </w:tc>
        <w:tc>
          <w:tcPr>
            <w:tcW w:w="700" w:type="dxa"/>
            <w:noWrap/>
            <w:vAlign w:val="bottom"/>
          </w:tcPr>
          <w:p w:rsidR="004A147C" w:rsidRPr="00B53FFB" w:rsidRDefault="004A147C" w:rsidP="00CE5850">
            <w:pPr>
              <w:jc w:val="right"/>
              <w:rPr>
                <w:szCs w:val="22"/>
              </w:rPr>
            </w:pPr>
            <w:r w:rsidRPr="00B53FFB">
              <w:rPr>
                <w:szCs w:val="22"/>
              </w:rPr>
              <w:t>5.5</w:t>
            </w:r>
          </w:p>
        </w:tc>
      </w:tr>
      <w:tr w:rsidR="004A147C" w:rsidRPr="00B53FFB" w:rsidTr="00D626F5">
        <w:trPr>
          <w:trHeight w:val="309"/>
          <w:jc w:val="center"/>
        </w:trPr>
        <w:tc>
          <w:tcPr>
            <w:tcW w:w="1742" w:type="dxa"/>
            <w:noWrap/>
            <w:vAlign w:val="bottom"/>
          </w:tcPr>
          <w:p w:rsidR="004A147C" w:rsidRPr="00B53FFB" w:rsidRDefault="004A147C" w:rsidP="00CE5850">
            <w:pPr>
              <w:rPr>
                <w:b/>
                <w:szCs w:val="22"/>
              </w:rPr>
            </w:pPr>
            <w:r w:rsidRPr="00B53FFB">
              <w:rPr>
                <w:b/>
                <w:color w:val="000000"/>
                <w:szCs w:val="22"/>
              </w:rPr>
              <w:t xml:space="preserve">Sprint Nextel </w:t>
            </w:r>
            <w:r w:rsidRPr="00B53FFB">
              <w:rPr>
                <w:b/>
                <w:szCs w:val="22"/>
              </w:rPr>
              <w:t xml:space="preserve"> </w:t>
            </w:r>
          </w:p>
        </w:tc>
        <w:tc>
          <w:tcPr>
            <w:tcW w:w="700" w:type="dxa"/>
            <w:noWrap/>
            <w:vAlign w:val="bottom"/>
          </w:tcPr>
          <w:p w:rsidR="004A147C" w:rsidRPr="00B53FFB" w:rsidRDefault="004A147C" w:rsidP="00CE5850">
            <w:pPr>
              <w:jc w:val="right"/>
              <w:rPr>
                <w:szCs w:val="22"/>
              </w:rPr>
            </w:pPr>
            <w:r w:rsidRPr="00B53FFB">
              <w:rPr>
                <w:szCs w:val="22"/>
              </w:rPr>
              <w:t>3.4</w:t>
            </w:r>
          </w:p>
        </w:tc>
        <w:tc>
          <w:tcPr>
            <w:tcW w:w="700" w:type="dxa"/>
            <w:noWrap/>
            <w:vAlign w:val="bottom"/>
          </w:tcPr>
          <w:p w:rsidR="004A147C" w:rsidRPr="00B53FFB" w:rsidRDefault="004A147C" w:rsidP="00CE5850">
            <w:pPr>
              <w:jc w:val="right"/>
              <w:rPr>
                <w:szCs w:val="22"/>
              </w:rPr>
            </w:pPr>
            <w:r w:rsidRPr="00B53FFB">
              <w:rPr>
                <w:szCs w:val="22"/>
              </w:rPr>
              <w:t>3.0</w:t>
            </w:r>
          </w:p>
        </w:tc>
        <w:tc>
          <w:tcPr>
            <w:tcW w:w="700" w:type="dxa"/>
            <w:noWrap/>
            <w:vAlign w:val="bottom"/>
          </w:tcPr>
          <w:p w:rsidR="004A147C" w:rsidRPr="00B53FFB" w:rsidRDefault="004A147C" w:rsidP="00CE5850">
            <w:pPr>
              <w:jc w:val="right"/>
              <w:rPr>
                <w:szCs w:val="22"/>
              </w:rPr>
            </w:pPr>
            <w:r w:rsidRPr="00B53FFB">
              <w:rPr>
                <w:szCs w:val="22"/>
              </w:rPr>
              <w:t>2.9</w:t>
            </w:r>
          </w:p>
        </w:tc>
        <w:tc>
          <w:tcPr>
            <w:tcW w:w="700" w:type="dxa"/>
            <w:noWrap/>
            <w:vAlign w:val="bottom"/>
          </w:tcPr>
          <w:p w:rsidR="004A147C" w:rsidRPr="00B53FFB" w:rsidRDefault="004A147C" w:rsidP="00CE5850">
            <w:pPr>
              <w:jc w:val="right"/>
              <w:rPr>
                <w:szCs w:val="22"/>
              </w:rPr>
            </w:pPr>
            <w:r w:rsidRPr="00B53FFB">
              <w:rPr>
                <w:szCs w:val="22"/>
              </w:rPr>
              <w:t>2.7</w:t>
            </w:r>
          </w:p>
        </w:tc>
        <w:tc>
          <w:tcPr>
            <w:tcW w:w="700" w:type="dxa"/>
            <w:noWrap/>
            <w:vAlign w:val="bottom"/>
          </w:tcPr>
          <w:p w:rsidR="004A147C" w:rsidRPr="00B53FFB" w:rsidRDefault="004A147C" w:rsidP="00CE5850">
            <w:pPr>
              <w:jc w:val="right"/>
              <w:rPr>
                <w:szCs w:val="22"/>
              </w:rPr>
            </w:pPr>
            <w:r w:rsidRPr="00B53FFB">
              <w:rPr>
                <w:szCs w:val="22"/>
              </w:rPr>
              <w:t>2.8</w:t>
            </w:r>
          </w:p>
        </w:tc>
        <w:tc>
          <w:tcPr>
            <w:tcW w:w="701" w:type="dxa"/>
            <w:noWrap/>
            <w:vAlign w:val="bottom"/>
          </w:tcPr>
          <w:p w:rsidR="004A147C" w:rsidRPr="00B53FFB" w:rsidRDefault="004A147C" w:rsidP="00CE5850">
            <w:pPr>
              <w:jc w:val="right"/>
              <w:rPr>
                <w:szCs w:val="22"/>
              </w:rPr>
            </w:pPr>
            <w:r w:rsidRPr="00B53FFB">
              <w:rPr>
                <w:szCs w:val="22"/>
              </w:rPr>
              <w:t>2.8</w:t>
            </w:r>
          </w:p>
        </w:tc>
        <w:tc>
          <w:tcPr>
            <w:tcW w:w="700" w:type="dxa"/>
            <w:noWrap/>
            <w:vAlign w:val="bottom"/>
          </w:tcPr>
          <w:p w:rsidR="004A147C" w:rsidRPr="00B53FFB" w:rsidRDefault="004A147C" w:rsidP="00CE5850">
            <w:pPr>
              <w:jc w:val="right"/>
              <w:rPr>
                <w:szCs w:val="22"/>
              </w:rPr>
            </w:pPr>
            <w:r w:rsidRPr="00B53FFB">
              <w:rPr>
                <w:szCs w:val="22"/>
              </w:rPr>
              <w:t>3.1</w:t>
            </w:r>
          </w:p>
        </w:tc>
      </w:tr>
      <w:tr w:rsidR="004A147C" w:rsidRPr="00B53FFB" w:rsidTr="00D626F5">
        <w:trPr>
          <w:trHeight w:val="309"/>
          <w:jc w:val="center"/>
        </w:trPr>
        <w:tc>
          <w:tcPr>
            <w:tcW w:w="1742" w:type="dxa"/>
            <w:noWrap/>
            <w:vAlign w:val="bottom"/>
          </w:tcPr>
          <w:p w:rsidR="004A147C" w:rsidRPr="00B53FFB" w:rsidRDefault="004A147C" w:rsidP="00CE5850">
            <w:pPr>
              <w:rPr>
                <w:b/>
                <w:szCs w:val="22"/>
              </w:rPr>
            </w:pPr>
            <w:r w:rsidRPr="00B53FFB">
              <w:rPr>
                <w:b/>
                <w:color w:val="000000"/>
                <w:szCs w:val="22"/>
              </w:rPr>
              <w:t xml:space="preserve">T-Mobile </w:t>
            </w:r>
            <w:r w:rsidRPr="00B53FFB">
              <w:rPr>
                <w:b/>
                <w:szCs w:val="22"/>
              </w:rPr>
              <w:t xml:space="preserve"> </w:t>
            </w:r>
          </w:p>
        </w:tc>
        <w:tc>
          <w:tcPr>
            <w:tcW w:w="700" w:type="dxa"/>
            <w:noWrap/>
            <w:vAlign w:val="bottom"/>
          </w:tcPr>
          <w:p w:rsidR="004A147C" w:rsidRPr="00B53FFB" w:rsidRDefault="004A147C" w:rsidP="00CE5850">
            <w:pPr>
              <w:jc w:val="right"/>
              <w:rPr>
                <w:szCs w:val="22"/>
              </w:rPr>
            </w:pPr>
            <w:r w:rsidRPr="00B53FFB">
              <w:rPr>
                <w:szCs w:val="22"/>
              </w:rPr>
              <w:t>2.9</w:t>
            </w:r>
          </w:p>
        </w:tc>
        <w:tc>
          <w:tcPr>
            <w:tcW w:w="700" w:type="dxa"/>
            <w:noWrap/>
            <w:vAlign w:val="bottom"/>
          </w:tcPr>
          <w:p w:rsidR="004A147C" w:rsidRPr="00B53FFB" w:rsidRDefault="004A147C" w:rsidP="00CE5850">
            <w:pPr>
              <w:jc w:val="right"/>
              <w:rPr>
                <w:szCs w:val="22"/>
              </w:rPr>
            </w:pPr>
            <w:r w:rsidRPr="00B53FFB">
              <w:rPr>
                <w:szCs w:val="22"/>
              </w:rPr>
              <w:t>2.9</w:t>
            </w:r>
          </w:p>
        </w:tc>
        <w:tc>
          <w:tcPr>
            <w:tcW w:w="700" w:type="dxa"/>
            <w:noWrap/>
            <w:vAlign w:val="bottom"/>
          </w:tcPr>
          <w:p w:rsidR="004A147C" w:rsidRPr="00B53FFB" w:rsidRDefault="004A147C" w:rsidP="00CE5850">
            <w:pPr>
              <w:jc w:val="right"/>
              <w:rPr>
                <w:szCs w:val="22"/>
              </w:rPr>
            </w:pPr>
            <w:r w:rsidRPr="00B53FFB">
              <w:rPr>
                <w:szCs w:val="22"/>
              </w:rPr>
              <w:t>3.0</w:t>
            </w:r>
          </w:p>
        </w:tc>
        <w:tc>
          <w:tcPr>
            <w:tcW w:w="700" w:type="dxa"/>
            <w:noWrap/>
            <w:vAlign w:val="bottom"/>
          </w:tcPr>
          <w:p w:rsidR="004A147C" w:rsidRPr="00B53FFB" w:rsidRDefault="004A147C" w:rsidP="00CE5850">
            <w:pPr>
              <w:jc w:val="right"/>
              <w:rPr>
                <w:szCs w:val="22"/>
              </w:rPr>
            </w:pPr>
            <w:r w:rsidRPr="00B53FFB">
              <w:rPr>
                <w:szCs w:val="22"/>
              </w:rPr>
              <w:t>2.9</w:t>
            </w:r>
          </w:p>
        </w:tc>
        <w:tc>
          <w:tcPr>
            <w:tcW w:w="700" w:type="dxa"/>
            <w:noWrap/>
            <w:vAlign w:val="bottom"/>
          </w:tcPr>
          <w:p w:rsidR="004A147C" w:rsidRPr="00B53FFB" w:rsidRDefault="004A147C" w:rsidP="00CE5850">
            <w:pPr>
              <w:jc w:val="right"/>
              <w:rPr>
                <w:szCs w:val="22"/>
              </w:rPr>
            </w:pPr>
            <w:r w:rsidRPr="00B53FFB">
              <w:rPr>
                <w:szCs w:val="22"/>
              </w:rPr>
              <w:t>2.6</w:t>
            </w:r>
          </w:p>
        </w:tc>
        <w:tc>
          <w:tcPr>
            <w:tcW w:w="701" w:type="dxa"/>
            <w:noWrap/>
            <w:vAlign w:val="bottom"/>
          </w:tcPr>
          <w:p w:rsidR="004A147C" w:rsidRPr="00B53FFB" w:rsidRDefault="004A147C" w:rsidP="00CE5850">
            <w:pPr>
              <w:jc w:val="right"/>
              <w:rPr>
                <w:szCs w:val="22"/>
              </w:rPr>
            </w:pPr>
            <w:r w:rsidRPr="00B53FFB">
              <w:rPr>
                <w:szCs w:val="22"/>
              </w:rPr>
              <w:t>2.5</w:t>
            </w:r>
          </w:p>
        </w:tc>
        <w:tc>
          <w:tcPr>
            <w:tcW w:w="700" w:type="dxa"/>
            <w:noWrap/>
            <w:vAlign w:val="bottom"/>
          </w:tcPr>
          <w:p w:rsidR="004A147C" w:rsidRPr="00B53FFB" w:rsidRDefault="004A147C" w:rsidP="00CE5850">
            <w:pPr>
              <w:jc w:val="right"/>
              <w:rPr>
                <w:szCs w:val="22"/>
              </w:rPr>
            </w:pPr>
            <w:r w:rsidRPr="00B53FFB">
              <w:rPr>
                <w:szCs w:val="22"/>
              </w:rPr>
              <w:t>2.3</w:t>
            </w:r>
          </w:p>
        </w:tc>
      </w:tr>
      <w:tr w:rsidR="004A147C" w:rsidRPr="00B53FFB" w:rsidTr="00D626F5">
        <w:trPr>
          <w:trHeight w:val="327"/>
          <w:jc w:val="center"/>
        </w:trPr>
        <w:tc>
          <w:tcPr>
            <w:tcW w:w="1742" w:type="dxa"/>
            <w:noWrap/>
            <w:vAlign w:val="bottom"/>
          </w:tcPr>
          <w:p w:rsidR="004A147C" w:rsidRPr="00B53FFB" w:rsidRDefault="004A147C" w:rsidP="00CE5850">
            <w:pPr>
              <w:rPr>
                <w:szCs w:val="22"/>
              </w:rPr>
            </w:pPr>
            <w:r w:rsidRPr="00B53FFB">
              <w:rPr>
                <w:b/>
                <w:bCs/>
                <w:color w:val="000000"/>
                <w:szCs w:val="22"/>
              </w:rPr>
              <w:t xml:space="preserve">Industry Wtd. Average </w:t>
            </w:r>
            <w:r w:rsidRPr="00B53FFB">
              <w:rPr>
                <w:szCs w:val="22"/>
              </w:rPr>
              <w:t xml:space="preserve"> </w:t>
            </w:r>
          </w:p>
        </w:tc>
        <w:tc>
          <w:tcPr>
            <w:tcW w:w="700" w:type="dxa"/>
            <w:noWrap/>
            <w:vAlign w:val="bottom"/>
          </w:tcPr>
          <w:p w:rsidR="004A147C" w:rsidRPr="00B53FFB" w:rsidRDefault="004A147C" w:rsidP="00CE5850">
            <w:pPr>
              <w:jc w:val="right"/>
              <w:rPr>
                <w:szCs w:val="22"/>
              </w:rPr>
            </w:pPr>
            <w:r w:rsidRPr="00B53FFB">
              <w:rPr>
                <w:szCs w:val="22"/>
              </w:rPr>
              <w:t>3.9</w:t>
            </w:r>
          </w:p>
        </w:tc>
        <w:tc>
          <w:tcPr>
            <w:tcW w:w="700" w:type="dxa"/>
            <w:noWrap/>
            <w:vAlign w:val="bottom"/>
          </w:tcPr>
          <w:p w:rsidR="004A147C" w:rsidRPr="00B53FFB" w:rsidRDefault="004A147C" w:rsidP="00CE5850">
            <w:pPr>
              <w:jc w:val="right"/>
              <w:rPr>
                <w:szCs w:val="22"/>
              </w:rPr>
            </w:pPr>
            <w:r w:rsidRPr="00B53FFB">
              <w:rPr>
                <w:szCs w:val="22"/>
              </w:rPr>
              <w:t>4.0</w:t>
            </w:r>
          </w:p>
        </w:tc>
        <w:tc>
          <w:tcPr>
            <w:tcW w:w="700" w:type="dxa"/>
            <w:noWrap/>
            <w:vAlign w:val="bottom"/>
          </w:tcPr>
          <w:p w:rsidR="004A147C" w:rsidRPr="00B53FFB" w:rsidRDefault="004A147C" w:rsidP="00CE5850">
            <w:pPr>
              <w:jc w:val="right"/>
              <w:rPr>
                <w:szCs w:val="22"/>
              </w:rPr>
            </w:pPr>
            <w:r w:rsidRPr="00B53FFB">
              <w:rPr>
                <w:szCs w:val="22"/>
              </w:rPr>
              <w:t>4.0</w:t>
            </w:r>
          </w:p>
        </w:tc>
        <w:tc>
          <w:tcPr>
            <w:tcW w:w="700" w:type="dxa"/>
            <w:noWrap/>
            <w:vAlign w:val="bottom"/>
          </w:tcPr>
          <w:p w:rsidR="004A147C" w:rsidRPr="00B53FFB" w:rsidRDefault="004A147C" w:rsidP="00CE5850">
            <w:pPr>
              <w:jc w:val="right"/>
              <w:rPr>
                <w:szCs w:val="22"/>
              </w:rPr>
            </w:pPr>
            <w:r w:rsidRPr="00B53FFB">
              <w:rPr>
                <w:szCs w:val="22"/>
              </w:rPr>
              <w:t>3.9</w:t>
            </w:r>
          </w:p>
        </w:tc>
        <w:tc>
          <w:tcPr>
            <w:tcW w:w="700" w:type="dxa"/>
            <w:noWrap/>
            <w:vAlign w:val="bottom"/>
          </w:tcPr>
          <w:p w:rsidR="004A147C" w:rsidRPr="00B53FFB" w:rsidRDefault="004A147C" w:rsidP="00CE5850">
            <w:pPr>
              <w:jc w:val="right"/>
              <w:rPr>
                <w:szCs w:val="22"/>
              </w:rPr>
            </w:pPr>
            <w:r w:rsidRPr="00B53FFB">
              <w:rPr>
                <w:szCs w:val="22"/>
              </w:rPr>
              <w:t>3.8</w:t>
            </w:r>
          </w:p>
        </w:tc>
        <w:tc>
          <w:tcPr>
            <w:tcW w:w="701" w:type="dxa"/>
            <w:noWrap/>
            <w:vAlign w:val="bottom"/>
          </w:tcPr>
          <w:p w:rsidR="004A147C" w:rsidRPr="00B53FFB" w:rsidRDefault="004A147C" w:rsidP="00CE5850">
            <w:pPr>
              <w:jc w:val="right"/>
              <w:rPr>
                <w:szCs w:val="22"/>
              </w:rPr>
            </w:pPr>
            <w:r w:rsidRPr="00B53FFB">
              <w:rPr>
                <w:szCs w:val="22"/>
              </w:rPr>
              <w:t>3.7</w:t>
            </w:r>
          </w:p>
        </w:tc>
        <w:tc>
          <w:tcPr>
            <w:tcW w:w="700" w:type="dxa"/>
            <w:noWrap/>
            <w:vAlign w:val="bottom"/>
          </w:tcPr>
          <w:p w:rsidR="004A147C" w:rsidRPr="00B53FFB" w:rsidRDefault="004A147C" w:rsidP="00CE5850">
            <w:pPr>
              <w:jc w:val="right"/>
              <w:rPr>
                <w:szCs w:val="22"/>
              </w:rPr>
            </w:pPr>
            <w:r w:rsidRPr="00B53FFB">
              <w:rPr>
                <w:szCs w:val="22"/>
              </w:rPr>
              <w:t>3.7</w:t>
            </w:r>
          </w:p>
        </w:tc>
      </w:tr>
    </w:tbl>
    <w:p w:rsidR="004A147C" w:rsidRPr="00B53FFB" w:rsidRDefault="004A147C" w:rsidP="00CE5850">
      <w:pPr>
        <w:pStyle w:val="ParaNum"/>
        <w:tabs>
          <w:tab w:val="clear" w:pos="1440"/>
        </w:tabs>
        <w:ind w:firstLine="0"/>
        <w:rPr>
          <w:sz w:val="22"/>
          <w:szCs w:val="22"/>
        </w:rPr>
      </w:pPr>
    </w:p>
    <w:p w:rsidR="004A147C" w:rsidRPr="00B53FFB" w:rsidRDefault="004A147C" w:rsidP="00CE5850">
      <w:pPr>
        <w:pStyle w:val="Heading2"/>
        <w:keepNext w:val="0"/>
      </w:pPr>
      <w:bookmarkStart w:id="3511" w:name="_Toc329852424"/>
      <w:bookmarkStart w:id="3512" w:name="_Toc331766340"/>
      <w:bookmarkStart w:id="3513" w:name="_Toc332119135"/>
      <w:bookmarkStart w:id="3514" w:name="_Toc334088812"/>
      <w:bookmarkStart w:id="3515" w:name="_Toc334089048"/>
      <w:bookmarkStart w:id="3516" w:name="_Toc334089207"/>
      <w:bookmarkStart w:id="3517" w:name="_Toc334089318"/>
      <w:bookmarkStart w:id="3518" w:name="_Toc334089482"/>
      <w:bookmarkStart w:id="3519" w:name="_Toc336268623"/>
      <w:bookmarkStart w:id="3520" w:name="_Toc336268731"/>
      <w:bookmarkStart w:id="3521" w:name="_Toc336268838"/>
      <w:bookmarkStart w:id="3522" w:name="_Toc336269052"/>
      <w:bookmarkStart w:id="3523" w:name="_Toc336269159"/>
      <w:bookmarkStart w:id="3524" w:name="_Toc336269527"/>
      <w:bookmarkStart w:id="3525" w:name="_Toc336269673"/>
      <w:bookmarkStart w:id="3526" w:name="_Toc336270086"/>
      <w:bookmarkStart w:id="3527" w:name="_Toc336271286"/>
      <w:bookmarkStart w:id="3528" w:name="_Toc337651992"/>
      <w:bookmarkStart w:id="3529" w:name="_Toc349577181"/>
      <w:bookmarkStart w:id="3530" w:name="_Toc349579273"/>
      <w:bookmarkStart w:id="3531" w:name="_Toc349580588"/>
      <w:bookmarkStart w:id="3532" w:name="_Toc349734996"/>
      <w:bookmarkStart w:id="3533" w:name="_Toc349742361"/>
      <w:r w:rsidRPr="00B53FFB">
        <w:t>Output and Usage Levels</w:t>
      </w:r>
      <w:bookmarkEnd w:id="3365"/>
      <w:bookmarkEnd w:id="3366"/>
      <w:bookmarkEnd w:id="3367"/>
      <w:bookmarkEnd w:id="3368"/>
      <w:bookmarkEnd w:id="3369"/>
      <w:bookmarkEnd w:id="3370"/>
      <w:bookmarkEnd w:id="3371"/>
      <w:bookmarkEnd w:id="3372"/>
      <w:bookmarkEnd w:id="3485"/>
      <w:bookmarkEnd w:id="3486"/>
      <w:bookmarkEnd w:id="3487"/>
      <w:bookmarkEnd w:id="3488"/>
      <w:bookmarkEnd w:id="3489"/>
      <w:bookmarkEnd w:id="3490"/>
      <w:bookmarkEnd w:id="3491"/>
      <w:bookmarkEnd w:id="3492"/>
      <w:bookmarkEnd w:id="3493"/>
      <w:bookmarkEnd w:id="3494"/>
      <w:bookmarkEnd w:id="3495"/>
      <w:bookmarkEnd w:id="3496"/>
      <w:bookmarkEnd w:id="3497"/>
      <w:bookmarkEnd w:id="3498"/>
      <w:bookmarkEnd w:id="3499"/>
      <w:bookmarkEnd w:id="3500"/>
      <w:bookmarkEnd w:id="3501"/>
      <w:bookmarkEnd w:id="3502"/>
      <w:bookmarkEnd w:id="3503"/>
      <w:bookmarkEnd w:id="3504"/>
      <w:bookmarkEnd w:id="3505"/>
      <w:bookmarkEnd w:id="3506"/>
      <w:bookmarkEnd w:id="3507"/>
      <w:bookmarkEnd w:id="3511"/>
      <w:bookmarkEnd w:id="3512"/>
      <w:bookmarkEnd w:id="3513"/>
      <w:bookmarkEnd w:id="3514"/>
      <w:bookmarkEnd w:id="3515"/>
      <w:bookmarkEnd w:id="3516"/>
      <w:bookmarkEnd w:id="3517"/>
      <w:bookmarkEnd w:id="3518"/>
      <w:bookmarkEnd w:id="3519"/>
      <w:bookmarkEnd w:id="3520"/>
      <w:bookmarkEnd w:id="3521"/>
      <w:bookmarkEnd w:id="3522"/>
      <w:bookmarkEnd w:id="3523"/>
      <w:bookmarkEnd w:id="3524"/>
      <w:bookmarkEnd w:id="3525"/>
      <w:bookmarkEnd w:id="3526"/>
      <w:bookmarkEnd w:id="3527"/>
      <w:bookmarkEnd w:id="3528"/>
      <w:bookmarkEnd w:id="3529"/>
      <w:bookmarkEnd w:id="3530"/>
      <w:bookmarkEnd w:id="3531"/>
      <w:bookmarkEnd w:id="3532"/>
      <w:bookmarkEnd w:id="3533"/>
    </w:p>
    <w:p w:rsidR="004A147C" w:rsidRPr="00B53FFB" w:rsidRDefault="004A147C" w:rsidP="00CE5850">
      <w:pPr>
        <w:pStyle w:val="Heading3"/>
        <w:keepNext w:val="0"/>
        <w:numPr>
          <w:ilvl w:val="2"/>
          <w:numId w:val="26"/>
        </w:numPr>
        <w:tabs>
          <w:tab w:val="left" w:pos="2160"/>
        </w:tabs>
        <w:rPr>
          <w:sz w:val="22"/>
          <w:szCs w:val="22"/>
        </w:rPr>
      </w:pPr>
      <w:bookmarkStart w:id="3534" w:name="_Toc261610789"/>
      <w:bookmarkStart w:id="3535" w:name="_Toc261858528"/>
      <w:bookmarkStart w:id="3536" w:name="_Toc262034333"/>
      <w:bookmarkStart w:id="3537" w:name="_Toc262034436"/>
      <w:bookmarkStart w:id="3538" w:name="_Toc271288476"/>
      <w:bookmarkStart w:id="3539" w:name="_Toc275517994"/>
      <w:bookmarkStart w:id="3540" w:name="_Toc275952434"/>
      <w:bookmarkStart w:id="3541" w:name="_Toc276121866"/>
      <w:bookmarkStart w:id="3542" w:name="_Toc276480702"/>
      <w:bookmarkStart w:id="3543" w:name="_Toc276741779"/>
      <w:bookmarkStart w:id="3544" w:name="_Toc277171544"/>
      <w:bookmarkStart w:id="3545" w:name="_Toc277864519"/>
      <w:bookmarkStart w:id="3546" w:name="_Toc277864735"/>
      <w:bookmarkStart w:id="3547" w:name="_Toc285810416"/>
      <w:bookmarkStart w:id="3548" w:name="_Toc287257810"/>
      <w:bookmarkStart w:id="3549" w:name="_Ref287351328"/>
      <w:bookmarkStart w:id="3550" w:name="_Ref287351343"/>
      <w:bookmarkStart w:id="3551" w:name="_Toc291758689"/>
      <w:bookmarkStart w:id="3552" w:name="_Toc291758792"/>
      <w:bookmarkStart w:id="3553" w:name="_Toc295392972"/>
      <w:bookmarkStart w:id="3554" w:name="_Toc329262514"/>
      <w:bookmarkStart w:id="3555" w:name="_Toc329852425"/>
      <w:bookmarkStart w:id="3556" w:name="_Toc331766341"/>
      <w:bookmarkStart w:id="3557" w:name="_Toc332119136"/>
      <w:bookmarkStart w:id="3558" w:name="_Toc334088813"/>
      <w:bookmarkStart w:id="3559" w:name="_Toc334089049"/>
      <w:bookmarkStart w:id="3560" w:name="_Toc334089208"/>
      <w:bookmarkStart w:id="3561" w:name="_Toc334089319"/>
      <w:bookmarkStart w:id="3562" w:name="_Toc334089483"/>
      <w:bookmarkStart w:id="3563" w:name="_Toc336268624"/>
      <w:bookmarkStart w:id="3564" w:name="_Toc336268732"/>
      <w:bookmarkStart w:id="3565" w:name="_Toc336268839"/>
      <w:bookmarkStart w:id="3566" w:name="_Toc336269053"/>
      <w:bookmarkStart w:id="3567" w:name="_Toc336269160"/>
      <w:bookmarkStart w:id="3568" w:name="_Toc336269528"/>
      <w:bookmarkStart w:id="3569" w:name="_Toc336269674"/>
      <w:bookmarkStart w:id="3570" w:name="_Toc336270087"/>
      <w:bookmarkStart w:id="3571" w:name="_Toc336271287"/>
      <w:bookmarkStart w:id="3572" w:name="_Toc337651993"/>
      <w:bookmarkStart w:id="3573" w:name="_Toc349577182"/>
      <w:bookmarkStart w:id="3574" w:name="_Toc349579274"/>
      <w:bookmarkStart w:id="3575" w:name="_Toc349580589"/>
      <w:bookmarkStart w:id="3576" w:name="_Toc349734997"/>
      <w:bookmarkStart w:id="3577" w:name="_Toc349742362"/>
      <w:r w:rsidRPr="00B53FFB">
        <w:rPr>
          <w:sz w:val="22"/>
          <w:szCs w:val="22"/>
        </w:rPr>
        <w:t>Mobile Voice</w:t>
      </w:r>
      <w:bookmarkEnd w:id="3534"/>
      <w:bookmarkEnd w:id="3535"/>
      <w:bookmarkEnd w:id="3536"/>
      <w:bookmarkEnd w:id="3537"/>
      <w:bookmarkEnd w:id="3538"/>
      <w:bookmarkEnd w:id="3539"/>
      <w:bookmarkEnd w:id="3540"/>
      <w:bookmarkEnd w:id="3541"/>
      <w:bookmarkEnd w:id="3542"/>
      <w:bookmarkEnd w:id="3543"/>
      <w:bookmarkEnd w:id="3544"/>
      <w:bookmarkEnd w:id="3545"/>
      <w:bookmarkEnd w:id="3546"/>
      <w:bookmarkEnd w:id="3547"/>
      <w:bookmarkEnd w:id="3548"/>
      <w:bookmarkEnd w:id="3549"/>
      <w:bookmarkEnd w:id="3550"/>
      <w:bookmarkEnd w:id="3551"/>
      <w:bookmarkEnd w:id="3552"/>
      <w:bookmarkEnd w:id="3553"/>
      <w:bookmarkEnd w:id="3554"/>
      <w:bookmarkEnd w:id="3555"/>
      <w:bookmarkEnd w:id="3556"/>
      <w:bookmarkEnd w:id="3557"/>
      <w:bookmarkEnd w:id="3558"/>
      <w:bookmarkEnd w:id="3559"/>
      <w:bookmarkEnd w:id="3560"/>
      <w:bookmarkEnd w:id="3561"/>
      <w:bookmarkEnd w:id="3562"/>
      <w:bookmarkEnd w:id="3563"/>
      <w:bookmarkEnd w:id="3564"/>
      <w:bookmarkEnd w:id="3565"/>
      <w:bookmarkEnd w:id="3566"/>
      <w:bookmarkEnd w:id="3567"/>
      <w:bookmarkEnd w:id="3568"/>
      <w:bookmarkEnd w:id="3569"/>
      <w:bookmarkEnd w:id="3570"/>
      <w:bookmarkEnd w:id="3571"/>
      <w:bookmarkEnd w:id="3572"/>
      <w:bookmarkEnd w:id="3573"/>
      <w:bookmarkEnd w:id="3574"/>
      <w:bookmarkEnd w:id="3575"/>
      <w:bookmarkEnd w:id="3576"/>
      <w:bookmarkEnd w:id="3577"/>
      <w:r w:rsidRPr="00B53FFB">
        <w:rPr>
          <w:sz w:val="22"/>
          <w:szCs w:val="22"/>
        </w:rPr>
        <w:t xml:space="preserve"> </w:t>
      </w:r>
    </w:p>
    <w:p w:rsidR="004A147C" w:rsidRPr="00B53FFB" w:rsidRDefault="004A147C" w:rsidP="00CE5850">
      <w:pPr>
        <w:pStyle w:val="ParaNum"/>
        <w:numPr>
          <w:ilvl w:val="0"/>
          <w:numId w:val="28"/>
        </w:numPr>
        <w:rPr>
          <w:sz w:val="22"/>
          <w:szCs w:val="22"/>
        </w:rPr>
      </w:pPr>
      <w:r w:rsidRPr="00B53FFB">
        <w:rPr>
          <w:sz w:val="22"/>
          <w:szCs w:val="22"/>
        </w:rPr>
        <w:t>Billable minutes of use (MOUs), a measure of mobile voice usage, are reported by CTIA.</w:t>
      </w:r>
      <w:r w:rsidRPr="00B53FFB">
        <w:rPr>
          <w:rStyle w:val="FootnoteReference"/>
          <w:szCs w:val="22"/>
        </w:rPr>
        <w:footnoteReference w:id="804"/>
      </w:r>
      <w:r w:rsidRPr="00B53FFB">
        <w:rPr>
          <w:sz w:val="22"/>
          <w:szCs w:val="22"/>
        </w:rPr>
        <w:t xml:space="preserve">  As shown in </w:t>
      </w:r>
      <w:r w:rsidR="00951E9B">
        <w:fldChar w:fldCharType="begin"/>
      </w:r>
      <w:r w:rsidR="00951E9B">
        <w:instrText xml:space="preserve"> REF _Ref256600526  \* MERGEFORMAT </w:instrText>
      </w:r>
      <w:r w:rsidR="00951E9B">
        <w:fldChar w:fldCharType="separate"/>
      </w:r>
      <w:r w:rsidR="00CA3AC6" w:rsidRPr="00B53FFB">
        <w:rPr>
          <w:sz w:val="22"/>
          <w:szCs w:val="22"/>
        </w:rPr>
        <w:t xml:space="preserve">Chart </w:t>
      </w:r>
      <w:r w:rsidR="00CA3AC6">
        <w:rPr>
          <w:noProof/>
          <w:sz w:val="22"/>
          <w:szCs w:val="22"/>
        </w:rPr>
        <w:t>20</w:t>
      </w:r>
      <w:r w:rsidR="00951E9B">
        <w:rPr>
          <w:noProof/>
          <w:sz w:val="22"/>
          <w:szCs w:val="22"/>
        </w:rPr>
        <w:fldChar w:fldCharType="end"/>
      </w:r>
      <w:r w:rsidRPr="00B53FFB">
        <w:rPr>
          <w:sz w:val="22"/>
          <w:szCs w:val="22"/>
        </w:rPr>
        <w:t xml:space="preserve"> below, MOUs continued to decline over each six-month reporting period in 2010 </w:t>
      </w:r>
      <w:r>
        <w:rPr>
          <w:sz w:val="22"/>
          <w:szCs w:val="22"/>
        </w:rPr>
        <w:t xml:space="preserve">and 2011, from 686 in the first </w:t>
      </w:r>
      <w:r w:rsidRPr="00B53FFB">
        <w:rPr>
          <w:sz w:val="22"/>
          <w:szCs w:val="22"/>
        </w:rPr>
        <w:t>half of 2010 to 615 in the second half of 2011.  There is evidence indicating that the declining trend of voice minutes is due to substitution from mobile voice to mobile messaging and other mobile data services.</w:t>
      </w:r>
      <w:r w:rsidRPr="00B53FFB">
        <w:rPr>
          <w:rStyle w:val="FootnoteReference"/>
          <w:szCs w:val="22"/>
        </w:rPr>
        <w:footnoteReference w:id="805"/>
      </w:r>
      <w:r w:rsidRPr="00B53FFB">
        <w:rPr>
          <w:sz w:val="22"/>
          <w:szCs w:val="22"/>
        </w:rPr>
        <w:t xml:space="preserve">  Reflecting the trend in the aggregate data, MOU data disaggregated across providers (</w:t>
      </w:r>
      <w:r w:rsidR="00951E9B">
        <w:fldChar w:fldCharType="begin"/>
      </w:r>
      <w:r w:rsidR="00951E9B">
        <w:instrText xml:space="preserve"> REF _Ref256001484  \* MERGEFORMAT </w:instrText>
      </w:r>
      <w:r w:rsidR="00951E9B">
        <w:fldChar w:fldCharType="separate"/>
      </w:r>
      <w:r w:rsidR="00CA3AC6" w:rsidRPr="00B53FFB">
        <w:rPr>
          <w:sz w:val="22"/>
          <w:szCs w:val="22"/>
        </w:rPr>
        <w:t xml:space="preserve">Chart </w:t>
      </w:r>
      <w:r w:rsidR="00CA3AC6">
        <w:rPr>
          <w:noProof/>
          <w:sz w:val="22"/>
          <w:szCs w:val="22"/>
        </w:rPr>
        <w:t>21</w:t>
      </w:r>
      <w:r w:rsidR="00951E9B">
        <w:rPr>
          <w:noProof/>
          <w:sz w:val="22"/>
          <w:szCs w:val="22"/>
        </w:rPr>
        <w:fldChar w:fldCharType="end"/>
      </w:r>
      <w:r w:rsidRPr="00B53FFB">
        <w:rPr>
          <w:sz w:val="22"/>
          <w:szCs w:val="22"/>
        </w:rPr>
        <w:t xml:space="preserve">) shows that the average MOUs of all four nationwide service providers has declined steadily since 2009.  </w:t>
      </w:r>
    </w:p>
    <w:p w:rsidR="004A147C" w:rsidRPr="00B53FFB" w:rsidRDefault="004A147C" w:rsidP="00CE5850">
      <w:pPr>
        <w:pStyle w:val="Caption"/>
        <w:widowControl w:val="0"/>
        <w:jc w:val="center"/>
        <w:rPr>
          <w:sz w:val="22"/>
          <w:szCs w:val="22"/>
        </w:rPr>
      </w:pPr>
      <w:bookmarkStart w:id="3578" w:name="_Ref256600526"/>
      <w:r w:rsidRPr="00B53FFB">
        <w:rPr>
          <w:sz w:val="22"/>
          <w:szCs w:val="22"/>
        </w:rPr>
        <w:t xml:space="preserve">Chart </w:t>
      </w:r>
      <w:r w:rsidR="0007014B" w:rsidRPr="00B53FFB">
        <w:rPr>
          <w:sz w:val="22"/>
          <w:szCs w:val="22"/>
        </w:rPr>
        <w:fldChar w:fldCharType="begin"/>
      </w:r>
      <w:r w:rsidRPr="00B53FFB">
        <w:rPr>
          <w:sz w:val="22"/>
          <w:szCs w:val="22"/>
        </w:rPr>
        <w:instrText xml:space="preserve"> SEQ Chart \* ARABIC </w:instrText>
      </w:r>
      <w:r w:rsidR="0007014B" w:rsidRPr="00B53FFB">
        <w:rPr>
          <w:sz w:val="22"/>
          <w:szCs w:val="22"/>
        </w:rPr>
        <w:fldChar w:fldCharType="separate"/>
      </w:r>
      <w:r w:rsidR="00CA3AC6">
        <w:rPr>
          <w:noProof/>
          <w:sz w:val="22"/>
          <w:szCs w:val="22"/>
        </w:rPr>
        <w:t>20</w:t>
      </w:r>
      <w:r w:rsidR="0007014B" w:rsidRPr="00B53FFB">
        <w:rPr>
          <w:sz w:val="22"/>
          <w:szCs w:val="22"/>
        </w:rPr>
        <w:fldChar w:fldCharType="end"/>
      </w:r>
      <w:bookmarkEnd w:id="3578"/>
      <w:r w:rsidRPr="00B53FFB">
        <w:rPr>
          <w:sz w:val="22"/>
          <w:szCs w:val="22"/>
        </w:rPr>
        <w:br/>
        <w:t>Average MOUs Per Subscriber Per Month, 2005-2011</w:t>
      </w:r>
      <w:r w:rsidRPr="00B53FFB">
        <w:rPr>
          <w:b w:val="0"/>
          <w:sz w:val="22"/>
          <w:szCs w:val="22"/>
          <w:vertAlign w:val="superscript"/>
        </w:rPr>
        <w:footnoteReference w:id="806"/>
      </w:r>
    </w:p>
    <w:p w:rsidR="004A147C" w:rsidRPr="00B53FFB" w:rsidRDefault="00C81B24" w:rsidP="00CE5850">
      <w:pPr>
        <w:pStyle w:val="Caption"/>
        <w:widowControl w:val="0"/>
        <w:jc w:val="center"/>
        <w:rPr>
          <w:sz w:val="22"/>
          <w:szCs w:val="22"/>
        </w:rPr>
      </w:pPr>
      <w:r>
        <w:rPr>
          <w:noProof/>
          <w:sz w:val="22"/>
          <w:szCs w:val="22"/>
        </w:rPr>
        <w:drawing>
          <wp:inline distT="0" distB="0" distL="0" distR="0" wp14:anchorId="4EF4F951" wp14:editId="270D6ED2">
            <wp:extent cx="5924550" cy="4038600"/>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924550" cy="4038600"/>
                    </a:xfrm>
                    <a:prstGeom prst="rect">
                      <a:avLst/>
                    </a:prstGeom>
                    <a:noFill/>
                    <a:ln>
                      <a:noFill/>
                    </a:ln>
                  </pic:spPr>
                </pic:pic>
              </a:graphicData>
            </a:graphic>
          </wp:inline>
        </w:drawing>
      </w:r>
    </w:p>
    <w:p w:rsidR="004A147C" w:rsidRPr="00B53FFB" w:rsidRDefault="004A147C" w:rsidP="00CE5850">
      <w:pPr>
        <w:jc w:val="center"/>
        <w:rPr>
          <w:szCs w:val="22"/>
        </w:rPr>
      </w:pPr>
    </w:p>
    <w:p w:rsidR="004A147C" w:rsidRPr="00B53FFB" w:rsidRDefault="004A147C" w:rsidP="00CE5850">
      <w:pPr>
        <w:rPr>
          <w:szCs w:val="22"/>
        </w:rPr>
      </w:pPr>
    </w:p>
    <w:p w:rsidR="004A147C" w:rsidRDefault="004A147C" w:rsidP="00CE5850">
      <w:pPr>
        <w:pStyle w:val="ParaNum"/>
        <w:tabs>
          <w:tab w:val="clear" w:pos="1440"/>
        </w:tabs>
        <w:rPr>
          <w:sz w:val="22"/>
          <w:szCs w:val="22"/>
        </w:rPr>
      </w:pPr>
    </w:p>
    <w:p w:rsidR="00135758" w:rsidRDefault="00135758" w:rsidP="00CE5850">
      <w:pPr>
        <w:pStyle w:val="ParaNum"/>
        <w:tabs>
          <w:tab w:val="clear" w:pos="1440"/>
        </w:tabs>
        <w:rPr>
          <w:sz w:val="22"/>
          <w:szCs w:val="22"/>
        </w:rPr>
      </w:pPr>
    </w:p>
    <w:p w:rsidR="00135758" w:rsidRDefault="00135758" w:rsidP="00CE5850">
      <w:pPr>
        <w:pStyle w:val="ParaNum"/>
        <w:tabs>
          <w:tab w:val="clear" w:pos="1440"/>
        </w:tabs>
        <w:rPr>
          <w:sz w:val="22"/>
          <w:szCs w:val="22"/>
        </w:rPr>
      </w:pPr>
    </w:p>
    <w:p w:rsidR="00135758" w:rsidRDefault="00135758" w:rsidP="00CE5850">
      <w:pPr>
        <w:pStyle w:val="ParaNum"/>
        <w:tabs>
          <w:tab w:val="clear" w:pos="1440"/>
        </w:tabs>
        <w:rPr>
          <w:sz w:val="22"/>
          <w:szCs w:val="22"/>
        </w:rPr>
      </w:pPr>
    </w:p>
    <w:p w:rsidR="00135758" w:rsidRDefault="00135758" w:rsidP="00CE5850">
      <w:pPr>
        <w:pStyle w:val="ParaNum"/>
        <w:tabs>
          <w:tab w:val="clear" w:pos="1440"/>
        </w:tabs>
        <w:rPr>
          <w:sz w:val="22"/>
          <w:szCs w:val="22"/>
        </w:rPr>
      </w:pPr>
    </w:p>
    <w:p w:rsidR="00135758" w:rsidRPr="00B53FFB" w:rsidRDefault="00135758" w:rsidP="00CE5850">
      <w:pPr>
        <w:pStyle w:val="ParaNum"/>
        <w:tabs>
          <w:tab w:val="clear" w:pos="1440"/>
        </w:tabs>
        <w:rPr>
          <w:sz w:val="22"/>
          <w:szCs w:val="22"/>
        </w:rPr>
      </w:pPr>
    </w:p>
    <w:p w:rsidR="004A147C" w:rsidRPr="00B53FFB" w:rsidRDefault="004A147C" w:rsidP="00CE5850">
      <w:pPr>
        <w:pStyle w:val="Caption"/>
        <w:widowControl w:val="0"/>
        <w:jc w:val="center"/>
        <w:rPr>
          <w:sz w:val="22"/>
          <w:szCs w:val="22"/>
        </w:rPr>
      </w:pPr>
      <w:bookmarkStart w:id="3579" w:name="_Ref256001484"/>
      <w:r w:rsidRPr="00B53FFB">
        <w:rPr>
          <w:sz w:val="22"/>
          <w:szCs w:val="22"/>
        </w:rPr>
        <w:t xml:space="preserve">Chart </w:t>
      </w:r>
      <w:r w:rsidR="0007014B" w:rsidRPr="00B53FFB">
        <w:rPr>
          <w:sz w:val="22"/>
          <w:szCs w:val="22"/>
        </w:rPr>
        <w:fldChar w:fldCharType="begin"/>
      </w:r>
      <w:r w:rsidRPr="00B53FFB">
        <w:rPr>
          <w:sz w:val="22"/>
          <w:szCs w:val="22"/>
        </w:rPr>
        <w:instrText xml:space="preserve"> SEQ Chart \* ARABIC </w:instrText>
      </w:r>
      <w:r w:rsidR="0007014B" w:rsidRPr="00B53FFB">
        <w:rPr>
          <w:sz w:val="22"/>
          <w:szCs w:val="22"/>
        </w:rPr>
        <w:fldChar w:fldCharType="separate"/>
      </w:r>
      <w:r w:rsidR="00CA3AC6">
        <w:rPr>
          <w:noProof/>
          <w:sz w:val="22"/>
          <w:szCs w:val="22"/>
        </w:rPr>
        <w:t>21</w:t>
      </w:r>
      <w:r w:rsidR="0007014B" w:rsidRPr="00B53FFB">
        <w:rPr>
          <w:sz w:val="22"/>
          <w:szCs w:val="22"/>
        </w:rPr>
        <w:fldChar w:fldCharType="end"/>
      </w:r>
      <w:bookmarkEnd w:id="3579"/>
      <w:r w:rsidRPr="00B53FFB">
        <w:rPr>
          <w:sz w:val="22"/>
          <w:szCs w:val="22"/>
        </w:rPr>
        <w:br/>
        <w:t>MOUs Per Subscriber: Four Nationwide Service Providers, 2006-2011</w:t>
      </w:r>
      <w:r w:rsidRPr="00B53FFB">
        <w:rPr>
          <w:rStyle w:val="FootnoteReference"/>
          <w:b w:val="0"/>
          <w:szCs w:val="22"/>
        </w:rPr>
        <w:footnoteReference w:id="807"/>
      </w:r>
    </w:p>
    <w:p w:rsidR="004A147C" w:rsidRPr="00B53FFB" w:rsidRDefault="00C81B24" w:rsidP="00CE5850">
      <w:pPr>
        <w:pStyle w:val="Caption"/>
        <w:widowControl w:val="0"/>
        <w:jc w:val="center"/>
        <w:rPr>
          <w:sz w:val="22"/>
          <w:szCs w:val="22"/>
        </w:rPr>
      </w:pPr>
      <w:r>
        <w:rPr>
          <w:noProof/>
          <w:sz w:val="22"/>
          <w:szCs w:val="22"/>
        </w:rPr>
        <w:drawing>
          <wp:inline distT="0" distB="0" distL="0" distR="0" wp14:anchorId="49613253" wp14:editId="30D4714C">
            <wp:extent cx="5686425" cy="3600450"/>
            <wp:effectExtent l="0" t="0" r="9525"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686425" cy="3600450"/>
                    </a:xfrm>
                    <a:prstGeom prst="rect">
                      <a:avLst/>
                    </a:prstGeom>
                    <a:noFill/>
                    <a:ln>
                      <a:noFill/>
                    </a:ln>
                  </pic:spPr>
                </pic:pic>
              </a:graphicData>
            </a:graphic>
          </wp:inline>
        </w:drawing>
      </w:r>
    </w:p>
    <w:p w:rsidR="004A147C" w:rsidRPr="00B53FFB" w:rsidRDefault="004A147C" w:rsidP="00CE5850">
      <w:pPr>
        <w:pStyle w:val="Heading3"/>
        <w:keepNext w:val="0"/>
        <w:numPr>
          <w:ilvl w:val="2"/>
          <w:numId w:val="26"/>
        </w:numPr>
        <w:tabs>
          <w:tab w:val="left" w:pos="2160"/>
        </w:tabs>
        <w:rPr>
          <w:sz w:val="22"/>
          <w:szCs w:val="22"/>
        </w:rPr>
      </w:pPr>
      <w:bookmarkStart w:id="3580" w:name="_Toc83547836"/>
      <w:bookmarkStart w:id="3581" w:name="_Toc112139257"/>
      <w:bookmarkStart w:id="3582" w:name="_Toc113257864"/>
      <w:bookmarkStart w:id="3583" w:name="_Toc113258061"/>
      <w:bookmarkStart w:id="3584" w:name="_Toc113258329"/>
      <w:bookmarkStart w:id="3585" w:name="_Toc113258655"/>
      <w:bookmarkStart w:id="3586" w:name="_Toc113272244"/>
      <w:bookmarkStart w:id="3587" w:name="_Toc115580929"/>
      <w:bookmarkStart w:id="3588" w:name="_Toc136318332"/>
      <w:bookmarkStart w:id="3589" w:name="_Toc136318681"/>
      <w:bookmarkStart w:id="3590" w:name="_Toc136318848"/>
      <w:bookmarkStart w:id="3591" w:name="_Toc138475824"/>
      <w:bookmarkStart w:id="3592" w:name="_Toc146684553"/>
      <w:bookmarkStart w:id="3593" w:name="_Toc147046311"/>
      <w:bookmarkStart w:id="3594" w:name="_Toc171415269"/>
      <w:bookmarkStart w:id="3595" w:name="_Toc173642160"/>
      <w:bookmarkStart w:id="3596" w:name="_Toc173813698"/>
      <w:bookmarkStart w:id="3597" w:name="_Toc175387868"/>
      <w:bookmarkStart w:id="3598" w:name="_Toc176254473"/>
      <w:bookmarkStart w:id="3599" w:name="_Toc176254762"/>
      <w:bookmarkStart w:id="3600" w:name="_Toc176254873"/>
      <w:bookmarkStart w:id="3601" w:name="_Toc176762507"/>
      <w:bookmarkStart w:id="3602" w:name="_Toc176843528"/>
      <w:bookmarkStart w:id="3603" w:name="_Toc176853330"/>
      <w:bookmarkStart w:id="3604" w:name="_Toc176853439"/>
      <w:bookmarkStart w:id="3605" w:name="_Toc176857488"/>
      <w:bookmarkStart w:id="3606" w:name="_Toc179108420"/>
      <w:bookmarkStart w:id="3607" w:name="_Toc179357679"/>
      <w:bookmarkStart w:id="3608" w:name="_Toc181781161"/>
      <w:bookmarkStart w:id="3609" w:name="_Toc182218747"/>
      <w:bookmarkStart w:id="3610" w:name="_Toc182909183"/>
      <w:bookmarkStart w:id="3611" w:name="_Toc182909613"/>
      <w:bookmarkStart w:id="3612" w:name="_Toc182987263"/>
      <w:bookmarkStart w:id="3613" w:name="_Toc183244098"/>
      <w:bookmarkStart w:id="3614" w:name="_Toc183244476"/>
      <w:bookmarkStart w:id="3615" w:name="_Toc183244887"/>
      <w:bookmarkStart w:id="3616" w:name="_Toc183245005"/>
      <w:bookmarkStart w:id="3617" w:name="_Toc183245663"/>
      <w:bookmarkStart w:id="3618" w:name="_Toc183246238"/>
      <w:bookmarkStart w:id="3619" w:name="_Toc183246337"/>
      <w:bookmarkStart w:id="3620" w:name="_Toc185667947"/>
      <w:bookmarkStart w:id="3621" w:name="_Ref185756054"/>
      <w:bookmarkStart w:id="3622" w:name="_Ref185756232"/>
      <w:bookmarkStart w:id="3623" w:name="_Ref185756272"/>
      <w:bookmarkStart w:id="3624" w:name="_Toc185839004"/>
      <w:bookmarkStart w:id="3625" w:name="_Toc185846976"/>
      <w:bookmarkStart w:id="3626" w:name="_Toc185848582"/>
      <w:bookmarkStart w:id="3627" w:name="_Toc188946940"/>
      <w:bookmarkStart w:id="3628" w:name="_Toc189302844"/>
      <w:bookmarkStart w:id="3629" w:name="_Toc209948511"/>
      <w:bookmarkStart w:id="3630" w:name="_Toc209948620"/>
      <w:bookmarkStart w:id="3631" w:name="_Toc209950062"/>
      <w:bookmarkStart w:id="3632" w:name="_Toc210211518"/>
      <w:bookmarkStart w:id="3633" w:name="_Toc210213085"/>
      <w:bookmarkStart w:id="3634" w:name="_Toc210213224"/>
      <w:bookmarkStart w:id="3635" w:name="_Toc210213785"/>
      <w:bookmarkStart w:id="3636" w:name="_Toc212968008"/>
      <w:bookmarkStart w:id="3637" w:name="_Ref215314048"/>
      <w:bookmarkStart w:id="3638" w:name="_Toc215316410"/>
      <w:bookmarkStart w:id="3639" w:name="_Toc215384664"/>
      <w:bookmarkStart w:id="3640" w:name="_Toc217810530"/>
      <w:bookmarkStart w:id="3641" w:name="_Ref260253282"/>
      <w:bookmarkStart w:id="3642" w:name="_Ref260253284"/>
      <w:bookmarkStart w:id="3643" w:name="_Toc261610790"/>
      <w:bookmarkStart w:id="3644" w:name="_Toc261858529"/>
      <w:bookmarkStart w:id="3645" w:name="_Toc262034334"/>
      <w:bookmarkStart w:id="3646" w:name="_Toc262034437"/>
      <w:bookmarkStart w:id="3647" w:name="_Toc271288477"/>
      <w:bookmarkStart w:id="3648" w:name="_Toc275517995"/>
      <w:bookmarkStart w:id="3649" w:name="_Toc275952435"/>
      <w:bookmarkStart w:id="3650" w:name="_Toc276121867"/>
      <w:bookmarkStart w:id="3651" w:name="_Toc276480703"/>
      <w:bookmarkStart w:id="3652" w:name="_Toc276741780"/>
      <w:bookmarkStart w:id="3653" w:name="_Toc277171545"/>
      <w:bookmarkStart w:id="3654" w:name="_Toc277864520"/>
      <w:bookmarkStart w:id="3655" w:name="_Toc277864736"/>
      <w:bookmarkStart w:id="3656" w:name="_Toc285810417"/>
      <w:bookmarkStart w:id="3657" w:name="_Toc287257811"/>
      <w:bookmarkStart w:id="3658" w:name="_Toc291758690"/>
      <w:bookmarkStart w:id="3659" w:name="_Toc291758793"/>
      <w:bookmarkStart w:id="3660" w:name="_Toc295392973"/>
      <w:bookmarkStart w:id="3661" w:name="_Toc329262515"/>
      <w:bookmarkStart w:id="3662" w:name="_Toc329852426"/>
      <w:bookmarkStart w:id="3663" w:name="_Toc331766342"/>
      <w:bookmarkStart w:id="3664" w:name="_Toc332119137"/>
      <w:bookmarkStart w:id="3665" w:name="_Toc334088814"/>
      <w:bookmarkStart w:id="3666" w:name="_Toc334089050"/>
      <w:bookmarkStart w:id="3667" w:name="_Toc334089209"/>
      <w:bookmarkStart w:id="3668" w:name="_Toc334089320"/>
      <w:bookmarkStart w:id="3669" w:name="_Toc334089484"/>
      <w:bookmarkStart w:id="3670" w:name="_Toc336268625"/>
      <w:bookmarkStart w:id="3671" w:name="_Toc336268733"/>
      <w:bookmarkStart w:id="3672" w:name="_Toc336268840"/>
      <w:bookmarkStart w:id="3673" w:name="_Toc336269054"/>
      <w:bookmarkStart w:id="3674" w:name="_Toc336269161"/>
      <w:bookmarkStart w:id="3675" w:name="_Toc336269529"/>
      <w:bookmarkStart w:id="3676" w:name="_Toc336269675"/>
      <w:bookmarkStart w:id="3677" w:name="_Toc336270088"/>
      <w:bookmarkStart w:id="3678" w:name="_Toc336271288"/>
      <w:bookmarkStart w:id="3679" w:name="_Toc337651994"/>
      <w:bookmarkStart w:id="3680" w:name="_Toc349577183"/>
      <w:bookmarkStart w:id="3681" w:name="_Toc349579275"/>
      <w:bookmarkStart w:id="3682" w:name="_Toc349580590"/>
      <w:bookmarkStart w:id="3683" w:name="_Toc349734998"/>
      <w:bookmarkStart w:id="3684" w:name="_Toc349742363"/>
      <w:r w:rsidRPr="00B53FFB">
        <w:rPr>
          <w:sz w:val="22"/>
          <w:szCs w:val="22"/>
        </w:rPr>
        <w:t xml:space="preserve">Mobile </w:t>
      </w:r>
      <w:bookmarkEnd w:id="3580"/>
      <w:bookmarkEnd w:id="3581"/>
      <w:bookmarkEnd w:id="3582"/>
      <w:bookmarkEnd w:id="3583"/>
      <w:bookmarkEnd w:id="3584"/>
      <w:bookmarkEnd w:id="3585"/>
      <w:bookmarkEnd w:id="3586"/>
      <w:bookmarkEnd w:id="3587"/>
      <w:bookmarkEnd w:id="3588"/>
      <w:bookmarkEnd w:id="3589"/>
      <w:bookmarkEnd w:id="3590"/>
      <w:bookmarkEnd w:id="3591"/>
      <w:bookmarkEnd w:id="3592"/>
      <w:bookmarkEnd w:id="3593"/>
      <w:bookmarkEnd w:id="3594"/>
      <w:bookmarkEnd w:id="3595"/>
      <w:bookmarkEnd w:id="3596"/>
      <w:bookmarkEnd w:id="3597"/>
      <w:bookmarkEnd w:id="3598"/>
      <w:bookmarkEnd w:id="3599"/>
      <w:bookmarkEnd w:id="3600"/>
      <w:bookmarkEnd w:id="3601"/>
      <w:bookmarkEnd w:id="3602"/>
      <w:bookmarkEnd w:id="3603"/>
      <w:bookmarkEnd w:id="3604"/>
      <w:bookmarkEnd w:id="3605"/>
      <w:bookmarkEnd w:id="3606"/>
      <w:bookmarkEnd w:id="3607"/>
      <w:bookmarkEnd w:id="3608"/>
      <w:bookmarkEnd w:id="3609"/>
      <w:bookmarkEnd w:id="3610"/>
      <w:bookmarkEnd w:id="3611"/>
      <w:bookmarkEnd w:id="3612"/>
      <w:bookmarkEnd w:id="3613"/>
      <w:bookmarkEnd w:id="3614"/>
      <w:bookmarkEnd w:id="3615"/>
      <w:bookmarkEnd w:id="3616"/>
      <w:bookmarkEnd w:id="3617"/>
      <w:bookmarkEnd w:id="3618"/>
      <w:bookmarkEnd w:id="3619"/>
      <w:bookmarkEnd w:id="3620"/>
      <w:bookmarkEnd w:id="3621"/>
      <w:bookmarkEnd w:id="3622"/>
      <w:bookmarkEnd w:id="3623"/>
      <w:bookmarkEnd w:id="3624"/>
      <w:bookmarkEnd w:id="3625"/>
      <w:bookmarkEnd w:id="3626"/>
      <w:bookmarkEnd w:id="3627"/>
      <w:bookmarkEnd w:id="3628"/>
      <w:bookmarkEnd w:id="3629"/>
      <w:bookmarkEnd w:id="3630"/>
      <w:bookmarkEnd w:id="3631"/>
      <w:bookmarkEnd w:id="3632"/>
      <w:bookmarkEnd w:id="3633"/>
      <w:bookmarkEnd w:id="3634"/>
      <w:bookmarkEnd w:id="3635"/>
      <w:bookmarkEnd w:id="3636"/>
      <w:bookmarkEnd w:id="3637"/>
      <w:bookmarkEnd w:id="3638"/>
      <w:bookmarkEnd w:id="3639"/>
      <w:bookmarkEnd w:id="3640"/>
      <w:r w:rsidRPr="00B53FFB">
        <w:rPr>
          <w:sz w:val="22"/>
          <w:szCs w:val="22"/>
        </w:rPr>
        <w:t>Messaging</w:t>
      </w:r>
      <w:bookmarkEnd w:id="3641"/>
      <w:bookmarkEnd w:id="3642"/>
      <w:bookmarkEnd w:id="3643"/>
      <w:bookmarkEnd w:id="3644"/>
      <w:bookmarkEnd w:id="3645"/>
      <w:bookmarkEnd w:id="3646"/>
      <w:bookmarkEnd w:id="3647"/>
      <w:bookmarkEnd w:id="3648"/>
      <w:bookmarkEnd w:id="3649"/>
      <w:bookmarkEnd w:id="3650"/>
      <w:bookmarkEnd w:id="3651"/>
      <w:bookmarkEnd w:id="3652"/>
      <w:bookmarkEnd w:id="3653"/>
      <w:bookmarkEnd w:id="3654"/>
      <w:bookmarkEnd w:id="3655"/>
      <w:bookmarkEnd w:id="3656"/>
      <w:bookmarkEnd w:id="3657"/>
      <w:bookmarkEnd w:id="3658"/>
      <w:bookmarkEnd w:id="3659"/>
      <w:bookmarkEnd w:id="3660"/>
      <w:bookmarkEnd w:id="3661"/>
      <w:bookmarkEnd w:id="3662"/>
      <w:bookmarkEnd w:id="3663"/>
      <w:bookmarkEnd w:id="3664"/>
      <w:bookmarkEnd w:id="3665"/>
      <w:bookmarkEnd w:id="3666"/>
      <w:bookmarkEnd w:id="3667"/>
      <w:bookmarkEnd w:id="3668"/>
      <w:bookmarkEnd w:id="3669"/>
      <w:bookmarkEnd w:id="3670"/>
      <w:bookmarkEnd w:id="3671"/>
      <w:bookmarkEnd w:id="3672"/>
      <w:bookmarkEnd w:id="3673"/>
      <w:bookmarkEnd w:id="3674"/>
      <w:bookmarkEnd w:id="3675"/>
      <w:bookmarkEnd w:id="3676"/>
      <w:bookmarkEnd w:id="3677"/>
      <w:bookmarkEnd w:id="3678"/>
      <w:bookmarkEnd w:id="3679"/>
      <w:bookmarkEnd w:id="3680"/>
      <w:bookmarkEnd w:id="3681"/>
      <w:bookmarkEnd w:id="3682"/>
      <w:bookmarkEnd w:id="3683"/>
      <w:bookmarkEnd w:id="3684"/>
    </w:p>
    <w:p w:rsidR="004A147C" w:rsidRPr="00135758" w:rsidRDefault="004A147C" w:rsidP="00CE5850">
      <w:pPr>
        <w:pStyle w:val="ParaNum"/>
        <w:numPr>
          <w:ilvl w:val="0"/>
          <w:numId w:val="28"/>
        </w:numPr>
        <w:rPr>
          <w:sz w:val="22"/>
          <w:szCs w:val="22"/>
        </w:rPr>
      </w:pPr>
      <w:r w:rsidRPr="00B53FFB">
        <w:rPr>
          <w:sz w:val="22"/>
          <w:szCs w:val="22"/>
        </w:rPr>
        <w:t>Mobile text messaging traffic continued to grow in 2011, though at a slower rate than in 2010.  According to data reported by CTIA, text messaging volumes grew from a total of 1.14 trillion in the first half of 2011 to 1.17 trillion in the second half of 2011 (</w:t>
      </w:r>
      <w:r w:rsidR="005B380F">
        <w:fldChar w:fldCharType="begin"/>
      </w:r>
      <w:r w:rsidR="005B380F">
        <w:instrText xml:space="preserve"> REF _Ref256600570 \h  \* MERGEFORMAT </w:instrText>
      </w:r>
      <w:r w:rsidR="005B380F">
        <w:fldChar w:fldCharType="separate"/>
      </w:r>
      <w:r w:rsidR="00CA3AC6" w:rsidRPr="00B53FFB">
        <w:rPr>
          <w:sz w:val="22"/>
          <w:szCs w:val="22"/>
        </w:rPr>
        <w:t xml:space="preserve">Chart </w:t>
      </w:r>
      <w:r w:rsidR="00CA3AC6">
        <w:rPr>
          <w:noProof/>
          <w:sz w:val="22"/>
          <w:szCs w:val="22"/>
        </w:rPr>
        <w:t>22</w:t>
      </w:r>
      <w:r w:rsidR="005B380F">
        <w:fldChar w:fldCharType="end"/>
      </w:r>
      <w:r w:rsidRPr="00B53FFB">
        <w:rPr>
          <w:sz w:val="22"/>
          <w:szCs w:val="22"/>
        </w:rPr>
        <w:t>).</w:t>
      </w:r>
      <w:r w:rsidRPr="00B53FFB">
        <w:rPr>
          <w:rStyle w:val="FootnoteReference"/>
          <w:szCs w:val="22"/>
        </w:rPr>
        <w:footnoteReference w:id="808"/>
      </w:r>
      <w:r w:rsidRPr="00B53FFB">
        <w:rPr>
          <w:sz w:val="22"/>
          <w:szCs w:val="22"/>
        </w:rPr>
        <w:t xml:space="preserve">  Mobile wireless subscribers sent fewer photo, video, and other multimedia messages (MMS) with their devices during 2011 than in 2010 (Chart 23).  CTIA reports that a total of 52.8 billion MMS messages were sent during 2011, a 6.7 percent decrease from the 56.6 billion sent during 2010.</w:t>
      </w:r>
      <w:r w:rsidRPr="00B53FFB">
        <w:rPr>
          <w:rStyle w:val="FootnoteReference"/>
          <w:szCs w:val="22"/>
        </w:rPr>
        <w:footnoteReference w:id="809"/>
      </w:r>
      <w:r w:rsidRPr="00B53FFB">
        <w:rPr>
          <w:sz w:val="22"/>
          <w:szCs w:val="22"/>
        </w:rPr>
        <w:t xml:space="preserve">  Data on mobile messaging do not include other types of data</w:t>
      </w:r>
      <w:r w:rsidRPr="00B53FFB">
        <w:rPr>
          <w:kern w:val="0"/>
          <w:sz w:val="22"/>
          <w:szCs w:val="22"/>
        </w:rPr>
        <w:t xml:space="preserve"> usage such as Internet browsing sessions, downloads or uploads.</w:t>
      </w:r>
      <w:r w:rsidRPr="00B53FFB">
        <w:rPr>
          <w:rStyle w:val="FootnoteReference"/>
          <w:kern w:val="0"/>
          <w:szCs w:val="22"/>
        </w:rPr>
        <w:footnoteReference w:id="810"/>
      </w:r>
      <w:r w:rsidRPr="00B53FFB">
        <w:rPr>
          <w:kern w:val="0"/>
          <w:sz w:val="22"/>
          <w:szCs w:val="22"/>
        </w:rPr>
        <w:t xml:space="preserve"> </w:t>
      </w:r>
    </w:p>
    <w:p w:rsidR="00135758" w:rsidRDefault="00135758" w:rsidP="00135758">
      <w:pPr>
        <w:pStyle w:val="ParaNum"/>
        <w:tabs>
          <w:tab w:val="clear" w:pos="1440"/>
        </w:tabs>
        <w:rPr>
          <w:kern w:val="0"/>
          <w:sz w:val="22"/>
          <w:szCs w:val="22"/>
        </w:rPr>
      </w:pPr>
    </w:p>
    <w:p w:rsidR="00135758" w:rsidRDefault="00135758" w:rsidP="00135758">
      <w:pPr>
        <w:pStyle w:val="ParaNum"/>
        <w:tabs>
          <w:tab w:val="clear" w:pos="1440"/>
        </w:tabs>
        <w:rPr>
          <w:kern w:val="0"/>
          <w:sz w:val="22"/>
          <w:szCs w:val="22"/>
        </w:rPr>
      </w:pPr>
    </w:p>
    <w:p w:rsidR="00135758" w:rsidRDefault="00135758" w:rsidP="00135758">
      <w:pPr>
        <w:pStyle w:val="ParaNum"/>
        <w:tabs>
          <w:tab w:val="clear" w:pos="1440"/>
        </w:tabs>
        <w:rPr>
          <w:kern w:val="0"/>
          <w:sz w:val="22"/>
          <w:szCs w:val="22"/>
        </w:rPr>
      </w:pPr>
    </w:p>
    <w:p w:rsidR="00135758" w:rsidRDefault="00135758" w:rsidP="00135758">
      <w:pPr>
        <w:pStyle w:val="ParaNum"/>
        <w:tabs>
          <w:tab w:val="clear" w:pos="1440"/>
        </w:tabs>
        <w:rPr>
          <w:kern w:val="0"/>
          <w:sz w:val="22"/>
          <w:szCs w:val="22"/>
        </w:rPr>
      </w:pPr>
    </w:p>
    <w:p w:rsidR="00135758" w:rsidRDefault="00135758" w:rsidP="00135758">
      <w:pPr>
        <w:pStyle w:val="ParaNum"/>
        <w:tabs>
          <w:tab w:val="clear" w:pos="1440"/>
        </w:tabs>
        <w:rPr>
          <w:kern w:val="0"/>
          <w:sz w:val="22"/>
          <w:szCs w:val="22"/>
        </w:rPr>
      </w:pPr>
    </w:p>
    <w:p w:rsidR="00135758" w:rsidRDefault="00135758" w:rsidP="00135758">
      <w:pPr>
        <w:pStyle w:val="ParaNum"/>
        <w:tabs>
          <w:tab w:val="clear" w:pos="1440"/>
        </w:tabs>
        <w:rPr>
          <w:kern w:val="0"/>
          <w:sz w:val="22"/>
          <w:szCs w:val="22"/>
        </w:rPr>
      </w:pPr>
    </w:p>
    <w:p w:rsidR="00135758" w:rsidRDefault="00135758" w:rsidP="00135758">
      <w:pPr>
        <w:pStyle w:val="ParaNum"/>
        <w:tabs>
          <w:tab w:val="clear" w:pos="1440"/>
        </w:tabs>
        <w:rPr>
          <w:kern w:val="0"/>
          <w:sz w:val="22"/>
          <w:szCs w:val="22"/>
        </w:rPr>
      </w:pPr>
    </w:p>
    <w:p w:rsidR="00135758" w:rsidRPr="00B53FFB" w:rsidRDefault="00135758" w:rsidP="00135758">
      <w:pPr>
        <w:pStyle w:val="ParaNum"/>
        <w:tabs>
          <w:tab w:val="clear" w:pos="1440"/>
        </w:tabs>
        <w:rPr>
          <w:sz w:val="22"/>
          <w:szCs w:val="22"/>
        </w:rPr>
      </w:pPr>
    </w:p>
    <w:p w:rsidR="004A147C" w:rsidRPr="00B53FFB" w:rsidRDefault="004A147C" w:rsidP="00CE5850">
      <w:pPr>
        <w:pStyle w:val="Caption"/>
        <w:widowControl w:val="0"/>
        <w:jc w:val="center"/>
        <w:rPr>
          <w:sz w:val="22"/>
          <w:szCs w:val="22"/>
        </w:rPr>
      </w:pPr>
      <w:bookmarkStart w:id="3685" w:name="_Ref256002102"/>
      <w:bookmarkStart w:id="3686" w:name="_Ref256600570"/>
      <w:r w:rsidRPr="00B53FFB">
        <w:rPr>
          <w:sz w:val="22"/>
          <w:szCs w:val="22"/>
        </w:rPr>
        <w:t xml:space="preserve">Chart </w:t>
      </w:r>
      <w:bookmarkEnd w:id="3685"/>
      <w:r w:rsidR="0007014B" w:rsidRPr="00B53FFB">
        <w:rPr>
          <w:sz w:val="22"/>
          <w:szCs w:val="22"/>
        </w:rPr>
        <w:fldChar w:fldCharType="begin"/>
      </w:r>
      <w:r w:rsidRPr="00B53FFB">
        <w:rPr>
          <w:sz w:val="22"/>
          <w:szCs w:val="22"/>
        </w:rPr>
        <w:instrText xml:space="preserve"> SEQ Chart \* ARABIC </w:instrText>
      </w:r>
      <w:r w:rsidR="0007014B" w:rsidRPr="00B53FFB">
        <w:rPr>
          <w:sz w:val="22"/>
          <w:szCs w:val="22"/>
        </w:rPr>
        <w:fldChar w:fldCharType="separate"/>
      </w:r>
      <w:r w:rsidR="00CA3AC6">
        <w:rPr>
          <w:noProof/>
          <w:sz w:val="22"/>
          <w:szCs w:val="22"/>
        </w:rPr>
        <w:t>22</w:t>
      </w:r>
      <w:r w:rsidR="0007014B" w:rsidRPr="00B53FFB">
        <w:rPr>
          <w:sz w:val="22"/>
          <w:szCs w:val="22"/>
        </w:rPr>
        <w:fldChar w:fldCharType="end"/>
      </w:r>
      <w:bookmarkEnd w:id="3686"/>
      <w:r w:rsidRPr="00B53FFB">
        <w:rPr>
          <w:sz w:val="22"/>
          <w:szCs w:val="22"/>
        </w:rPr>
        <w:br/>
      </w:r>
      <w:bookmarkStart w:id="3687" w:name="_Ref256001732"/>
      <w:r w:rsidRPr="00B53FFB">
        <w:rPr>
          <w:sz w:val="22"/>
          <w:szCs w:val="22"/>
        </w:rPr>
        <w:t>Six-Month Text Messaging Traffic Volumes, 2005-2011 (In billions)</w:t>
      </w:r>
      <w:r w:rsidRPr="00B53FFB">
        <w:rPr>
          <w:rStyle w:val="FootnoteReference"/>
          <w:b w:val="0"/>
          <w:szCs w:val="22"/>
        </w:rPr>
        <w:footnoteReference w:id="811"/>
      </w:r>
    </w:p>
    <w:p w:rsidR="004A147C" w:rsidRPr="00B53FFB" w:rsidRDefault="00C81B24" w:rsidP="00CE5850">
      <w:pPr>
        <w:pStyle w:val="Caption"/>
        <w:widowControl w:val="0"/>
        <w:jc w:val="center"/>
        <w:rPr>
          <w:sz w:val="22"/>
          <w:szCs w:val="22"/>
        </w:rPr>
      </w:pPr>
      <w:r>
        <w:rPr>
          <w:noProof/>
          <w:sz w:val="22"/>
          <w:szCs w:val="22"/>
        </w:rPr>
        <w:drawing>
          <wp:inline distT="0" distB="0" distL="0" distR="0" wp14:anchorId="610B2D99" wp14:editId="04E1413E">
            <wp:extent cx="5810250" cy="4505325"/>
            <wp:effectExtent l="0" t="0" r="0" b="9525"/>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810250" cy="4505325"/>
                    </a:xfrm>
                    <a:prstGeom prst="rect">
                      <a:avLst/>
                    </a:prstGeom>
                    <a:noFill/>
                    <a:ln>
                      <a:noFill/>
                    </a:ln>
                  </pic:spPr>
                </pic:pic>
              </a:graphicData>
            </a:graphic>
          </wp:inline>
        </w:drawing>
      </w:r>
    </w:p>
    <w:p w:rsidR="004A147C" w:rsidRPr="00B53FFB" w:rsidRDefault="004A147C" w:rsidP="00CE5850">
      <w:pPr>
        <w:pStyle w:val="ParaNum"/>
        <w:tabs>
          <w:tab w:val="clear" w:pos="1440"/>
        </w:tabs>
        <w:ind w:firstLine="0"/>
        <w:jc w:val="center"/>
        <w:rPr>
          <w:sz w:val="22"/>
          <w:szCs w:val="22"/>
        </w:rPr>
      </w:pPr>
    </w:p>
    <w:p w:rsidR="004A147C" w:rsidRPr="00B53FFB" w:rsidRDefault="004A147C" w:rsidP="00CE5850">
      <w:pPr>
        <w:pStyle w:val="ParaNum"/>
        <w:tabs>
          <w:tab w:val="clear" w:pos="1440"/>
        </w:tabs>
        <w:ind w:firstLine="0"/>
        <w:jc w:val="center"/>
        <w:rPr>
          <w:b/>
          <w:sz w:val="22"/>
          <w:szCs w:val="22"/>
        </w:rPr>
      </w:pPr>
      <w:bookmarkStart w:id="3688" w:name="_Ref275436902"/>
    </w:p>
    <w:p w:rsidR="004A147C" w:rsidRPr="00B53FFB" w:rsidRDefault="004A147C" w:rsidP="00CE5850">
      <w:pPr>
        <w:pStyle w:val="ParaNum"/>
        <w:tabs>
          <w:tab w:val="clear" w:pos="1440"/>
        </w:tabs>
        <w:ind w:firstLine="0"/>
        <w:jc w:val="center"/>
        <w:rPr>
          <w:b/>
          <w:sz w:val="22"/>
          <w:szCs w:val="22"/>
        </w:rPr>
      </w:pPr>
    </w:p>
    <w:p w:rsidR="004A147C" w:rsidRPr="00B53FFB" w:rsidRDefault="004A147C" w:rsidP="00CE5850">
      <w:pPr>
        <w:pStyle w:val="ParaNum"/>
        <w:tabs>
          <w:tab w:val="clear" w:pos="1440"/>
        </w:tabs>
        <w:ind w:firstLine="0"/>
        <w:jc w:val="center"/>
        <w:rPr>
          <w:b/>
          <w:sz w:val="22"/>
          <w:szCs w:val="22"/>
        </w:rPr>
      </w:pPr>
    </w:p>
    <w:p w:rsidR="004A147C" w:rsidRPr="00B53FFB" w:rsidRDefault="004A147C" w:rsidP="00CE5850">
      <w:pPr>
        <w:pStyle w:val="ParaNum"/>
        <w:tabs>
          <w:tab w:val="clear" w:pos="1440"/>
        </w:tabs>
        <w:ind w:firstLine="0"/>
        <w:jc w:val="center"/>
        <w:rPr>
          <w:b/>
          <w:sz w:val="22"/>
          <w:szCs w:val="22"/>
        </w:rPr>
      </w:pPr>
    </w:p>
    <w:p w:rsidR="004A147C" w:rsidRPr="00B53FFB" w:rsidRDefault="004A147C" w:rsidP="00CE5850">
      <w:pPr>
        <w:pStyle w:val="ParaNum"/>
        <w:tabs>
          <w:tab w:val="clear" w:pos="1440"/>
        </w:tabs>
        <w:ind w:firstLine="0"/>
        <w:jc w:val="center"/>
        <w:rPr>
          <w:b/>
          <w:sz w:val="22"/>
          <w:szCs w:val="22"/>
        </w:rPr>
      </w:pPr>
    </w:p>
    <w:p w:rsidR="004A147C" w:rsidRPr="00B53FFB" w:rsidRDefault="004A147C" w:rsidP="00CE5850">
      <w:pPr>
        <w:pStyle w:val="ParaNum"/>
        <w:tabs>
          <w:tab w:val="clear" w:pos="1440"/>
        </w:tabs>
        <w:ind w:firstLine="0"/>
        <w:jc w:val="center"/>
        <w:rPr>
          <w:b/>
          <w:sz w:val="22"/>
          <w:szCs w:val="22"/>
        </w:rPr>
      </w:pPr>
    </w:p>
    <w:p w:rsidR="004A147C" w:rsidRPr="00B53FFB" w:rsidRDefault="004A147C" w:rsidP="00CE5850">
      <w:pPr>
        <w:pStyle w:val="ParaNum"/>
        <w:tabs>
          <w:tab w:val="clear" w:pos="1440"/>
        </w:tabs>
        <w:ind w:firstLine="0"/>
        <w:jc w:val="center"/>
        <w:rPr>
          <w:b/>
          <w:sz w:val="22"/>
          <w:szCs w:val="22"/>
        </w:rPr>
      </w:pPr>
    </w:p>
    <w:p w:rsidR="004A147C" w:rsidRPr="00B53FFB" w:rsidRDefault="004A147C" w:rsidP="00CE5850">
      <w:pPr>
        <w:pStyle w:val="ParaNum"/>
        <w:tabs>
          <w:tab w:val="clear" w:pos="1440"/>
        </w:tabs>
        <w:ind w:firstLine="0"/>
        <w:jc w:val="center"/>
        <w:rPr>
          <w:b/>
          <w:sz w:val="22"/>
          <w:szCs w:val="22"/>
        </w:rPr>
      </w:pPr>
    </w:p>
    <w:p w:rsidR="004A147C" w:rsidRPr="00B53FFB" w:rsidRDefault="004A147C" w:rsidP="00CE5850">
      <w:pPr>
        <w:pStyle w:val="ParaNum"/>
        <w:tabs>
          <w:tab w:val="clear" w:pos="1440"/>
        </w:tabs>
        <w:ind w:firstLine="0"/>
        <w:jc w:val="center"/>
        <w:rPr>
          <w:b/>
          <w:sz w:val="22"/>
          <w:szCs w:val="22"/>
        </w:rPr>
      </w:pPr>
    </w:p>
    <w:p w:rsidR="004A147C" w:rsidRPr="00B53FFB" w:rsidRDefault="004A147C" w:rsidP="00CE5850">
      <w:pPr>
        <w:pStyle w:val="ParaNum"/>
        <w:tabs>
          <w:tab w:val="clear" w:pos="1440"/>
        </w:tabs>
        <w:ind w:firstLine="0"/>
        <w:jc w:val="center"/>
        <w:rPr>
          <w:b/>
          <w:sz w:val="22"/>
          <w:szCs w:val="22"/>
        </w:rPr>
      </w:pPr>
    </w:p>
    <w:p w:rsidR="004A147C" w:rsidRPr="00B53FFB" w:rsidRDefault="004A147C" w:rsidP="00CE5850">
      <w:pPr>
        <w:pStyle w:val="ParaNum"/>
        <w:tabs>
          <w:tab w:val="clear" w:pos="1440"/>
        </w:tabs>
        <w:ind w:firstLine="0"/>
        <w:jc w:val="center"/>
        <w:rPr>
          <w:b/>
          <w:sz w:val="22"/>
          <w:szCs w:val="22"/>
        </w:rPr>
      </w:pPr>
    </w:p>
    <w:p w:rsidR="004A147C" w:rsidRPr="00B53FFB" w:rsidRDefault="004A147C" w:rsidP="00CE5850">
      <w:pPr>
        <w:pStyle w:val="ParaNum"/>
        <w:tabs>
          <w:tab w:val="clear" w:pos="1440"/>
        </w:tabs>
        <w:ind w:firstLine="0"/>
        <w:rPr>
          <w:b/>
          <w:sz w:val="22"/>
          <w:szCs w:val="22"/>
        </w:rPr>
      </w:pPr>
    </w:p>
    <w:p w:rsidR="004A147C" w:rsidRPr="00B53FFB" w:rsidRDefault="004A147C" w:rsidP="00CE5850">
      <w:pPr>
        <w:pStyle w:val="ParaNum"/>
        <w:tabs>
          <w:tab w:val="clear" w:pos="1440"/>
        </w:tabs>
        <w:ind w:firstLine="0"/>
        <w:jc w:val="center"/>
        <w:rPr>
          <w:sz w:val="22"/>
          <w:szCs w:val="22"/>
        </w:rPr>
      </w:pPr>
      <w:r w:rsidRPr="00B53FFB">
        <w:rPr>
          <w:b/>
          <w:sz w:val="22"/>
          <w:szCs w:val="22"/>
        </w:rPr>
        <w:t xml:space="preserve">Chart </w:t>
      </w:r>
      <w:r w:rsidR="0007014B" w:rsidRPr="00B53FFB">
        <w:rPr>
          <w:b/>
          <w:sz w:val="22"/>
          <w:szCs w:val="22"/>
        </w:rPr>
        <w:fldChar w:fldCharType="begin"/>
      </w:r>
      <w:r w:rsidRPr="00B53FFB">
        <w:rPr>
          <w:b/>
          <w:sz w:val="22"/>
          <w:szCs w:val="22"/>
        </w:rPr>
        <w:instrText xml:space="preserve"> SEQ Chart \* ARABIC </w:instrText>
      </w:r>
      <w:r w:rsidR="0007014B" w:rsidRPr="00B53FFB">
        <w:rPr>
          <w:b/>
          <w:sz w:val="22"/>
          <w:szCs w:val="22"/>
        </w:rPr>
        <w:fldChar w:fldCharType="separate"/>
      </w:r>
      <w:r w:rsidR="00CA3AC6">
        <w:rPr>
          <w:b/>
          <w:noProof/>
          <w:sz w:val="22"/>
          <w:szCs w:val="22"/>
        </w:rPr>
        <w:t>23</w:t>
      </w:r>
      <w:r w:rsidR="0007014B" w:rsidRPr="00B53FFB">
        <w:rPr>
          <w:b/>
          <w:sz w:val="22"/>
          <w:szCs w:val="22"/>
        </w:rPr>
        <w:fldChar w:fldCharType="end"/>
      </w:r>
      <w:bookmarkEnd w:id="3687"/>
      <w:bookmarkEnd w:id="3688"/>
      <w:r w:rsidRPr="00B53FFB">
        <w:rPr>
          <w:b/>
          <w:sz w:val="22"/>
          <w:szCs w:val="22"/>
        </w:rPr>
        <w:t xml:space="preserve"> </w:t>
      </w:r>
      <w:r w:rsidRPr="00B53FFB">
        <w:rPr>
          <w:b/>
          <w:sz w:val="22"/>
          <w:szCs w:val="22"/>
        </w:rPr>
        <w:br/>
        <w:t>Six-Month MMS Traffic Volumes, 2005-2011 (In billions)</w:t>
      </w:r>
      <w:r w:rsidRPr="00B53FFB">
        <w:rPr>
          <w:rStyle w:val="FootnoteReference"/>
          <w:szCs w:val="22"/>
        </w:rPr>
        <w:footnoteReference w:id="812"/>
      </w:r>
    </w:p>
    <w:p w:rsidR="004A147C" w:rsidRPr="00B53FFB" w:rsidRDefault="00C81B24" w:rsidP="00CE5850">
      <w:pPr>
        <w:pStyle w:val="ParaNum"/>
        <w:tabs>
          <w:tab w:val="clear" w:pos="1440"/>
        </w:tabs>
        <w:ind w:firstLine="0"/>
        <w:jc w:val="center"/>
        <w:rPr>
          <w:sz w:val="22"/>
          <w:szCs w:val="22"/>
        </w:rPr>
      </w:pPr>
      <w:r>
        <w:rPr>
          <w:noProof/>
        </w:rPr>
        <mc:AlternateContent>
          <mc:Choice Requires="wps">
            <w:drawing>
              <wp:anchor distT="0" distB="0" distL="114299" distR="114299" simplePos="0" relativeHeight="6" behindDoc="0" locked="0" layoutInCell="1" allowOverlap="1" wp14:anchorId="5090A843" wp14:editId="5893E9C8">
                <wp:simplePos x="0" y="0"/>
                <wp:positionH relativeFrom="column">
                  <wp:posOffset>1468754</wp:posOffset>
                </wp:positionH>
                <wp:positionV relativeFrom="paragraph">
                  <wp:posOffset>346075</wp:posOffset>
                </wp:positionV>
                <wp:extent cx="0" cy="3218815"/>
                <wp:effectExtent l="0" t="0" r="19050" b="19685"/>
                <wp:wrapNone/>
                <wp:docPr id="133" name="Straight Connector 30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3218815"/>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306" o:spid="_x0000_s1026" style="position:absolute;flip:y;z-index:6;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115.65pt,27.25pt" to="115.65pt,280.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" strokeweight="1pt"/>
            </w:pict>
          </mc:Fallback>
        </mc:AlternateContent>
      </w:r>
      <w:r>
        <w:rPr>
          <w:noProof/>
        </w:rPr>
        <mc:AlternateContent>
          <mc:Choice Requires="wps">
            <w:drawing>
              <wp:anchor distT="0" distB="0" distL="114300" distR="114300" simplePos="0" relativeHeight="11" behindDoc="0" locked="0" layoutInCell="1" allowOverlap="1" wp14:anchorId="3D7C7686" wp14:editId="6ADBB67D">
                <wp:simplePos x="0" y="0"/>
                <wp:positionH relativeFrom="column">
                  <wp:posOffset>5203825</wp:posOffset>
                </wp:positionH>
                <wp:positionV relativeFrom="paragraph">
                  <wp:posOffset>346075</wp:posOffset>
                </wp:positionV>
                <wp:extent cx="19050" cy="3218815"/>
                <wp:effectExtent l="0" t="0" r="19050" b="19685"/>
                <wp:wrapNone/>
                <wp:docPr id="132" name="Straight Connector 31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9050" cy="321881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313" o:spid="_x0000_s1026" style="position:absolute;flip:y;z-index:1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09.75pt,27.25pt" to="411.25pt,280.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"/>
            </w:pict>
          </mc:Fallback>
        </mc:AlternateContent>
      </w:r>
      <w:r>
        <w:rPr>
          <w:noProof/>
        </w:rPr>
        <mc:AlternateContent>
          <mc:Choice Requires="wps">
            <w:drawing>
              <wp:anchor distT="0" distB="0" distL="114300" distR="114300" simplePos="0" relativeHeight="10" behindDoc="0" locked="0" layoutInCell="1" allowOverlap="1" wp14:anchorId="09F4C204" wp14:editId="0DC3B673">
                <wp:simplePos x="0" y="0"/>
                <wp:positionH relativeFrom="column">
                  <wp:posOffset>4455160</wp:posOffset>
                </wp:positionH>
                <wp:positionV relativeFrom="paragraph">
                  <wp:posOffset>346075</wp:posOffset>
                </wp:positionV>
                <wp:extent cx="28575" cy="3218815"/>
                <wp:effectExtent l="0" t="0" r="28575" b="19685"/>
                <wp:wrapNone/>
                <wp:docPr id="131" name="Straight Connector 31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28575" cy="321881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312" o:spid="_x0000_s1026" style="position:absolute;flip:y;z-index:1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50.8pt,27.25pt" to="353.05pt,280.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"/>
            </w:pict>
          </mc:Fallback>
        </mc:AlternateContent>
      </w:r>
      <w:r>
        <w:rPr>
          <w:noProof/>
        </w:rPr>
        <mc:AlternateContent>
          <mc:Choice Requires="wps">
            <w:drawing>
              <wp:anchor distT="0" distB="0" distL="114300" distR="114300" simplePos="0" relativeHeight="9" behindDoc="0" locked="0" layoutInCell="1" allowOverlap="1" wp14:anchorId="283B0696" wp14:editId="7B7873CB">
                <wp:simplePos x="0" y="0"/>
                <wp:positionH relativeFrom="column">
                  <wp:posOffset>3696335</wp:posOffset>
                </wp:positionH>
                <wp:positionV relativeFrom="paragraph">
                  <wp:posOffset>346075</wp:posOffset>
                </wp:positionV>
                <wp:extent cx="19050" cy="3218815"/>
                <wp:effectExtent l="0" t="0" r="19050" b="19685"/>
                <wp:wrapNone/>
                <wp:docPr id="130" name="Straight Connector 31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9050" cy="321881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311" o:spid="_x0000_s1026" style="position:absolute;flip:y;z-index: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91.05pt,27.25pt" to="292.55pt,280.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"/>
            </w:pict>
          </mc:Fallback>
        </mc:AlternateContent>
      </w:r>
      <w:r>
        <w:rPr>
          <w:noProof/>
        </w:rPr>
        <mc:AlternateContent>
          <mc:Choice Requires="wps">
            <w:drawing>
              <wp:anchor distT="0" distB="0" distL="114300" distR="114300" simplePos="0" relativeHeight="8" behindDoc="0" locked="0" layoutInCell="1" allowOverlap="1" wp14:anchorId="56FF21A4" wp14:editId="14BA63D4">
                <wp:simplePos x="0" y="0"/>
                <wp:positionH relativeFrom="column">
                  <wp:posOffset>2957195</wp:posOffset>
                </wp:positionH>
                <wp:positionV relativeFrom="paragraph">
                  <wp:posOffset>346075</wp:posOffset>
                </wp:positionV>
                <wp:extent cx="9525" cy="3218815"/>
                <wp:effectExtent l="0" t="0" r="28575" b="19685"/>
                <wp:wrapNone/>
                <wp:docPr id="129" name="Straight Connector 3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9525" cy="321881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310" o:spid="_x0000_s1026" style="position:absolute;flip:y;z-index: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32.85pt,27.25pt" to="233.6pt,280.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"/>
            </w:pict>
          </mc:Fallback>
        </mc:AlternateContent>
      </w:r>
      <w:r>
        <w:rPr>
          <w:noProof/>
        </w:rPr>
        <mc:AlternateContent>
          <mc:Choice Requires="wps">
            <w:drawing>
              <wp:anchor distT="0" distB="0" distL="114299" distR="114299" simplePos="0" relativeHeight="7" behindDoc="0" locked="0" layoutInCell="1" allowOverlap="1" wp14:anchorId="4D9467EC" wp14:editId="5163B382">
                <wp:simplePos x="0" y="0"/>
                <wp:positionH relativeFrom="column">
                  <wp:posOffset>2218054</wp:posOffset>
                </wp:positionH>
                <wp:positionV relativeFrom="paragraph">
                  <wp:posOffset>346075</wp:posOffset>
                </wp:positionV>
                <wp:extent cx="0" cy="3219450"/>
                <wp:effectExtent l="0" t="0" r="19050" b="19050"/>
                <wp:wrapNone/>
                <wp:docPr id="128" name="Straight Connector 30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321945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309" o:spid="_x0000_s1026" style="position:absolute;flip:y;z-index:7;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174.65pt,27.25pt" to="174.65pt,280.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"/>
            </w:pict>
          </mc:Fallback>
        </mc:AlternateContent>
      </w:r>
      <w:r>
        <w:rPr>
          <w:noProof/>
          <w:sz w:val="22"/>
          <w:szCs w:val="22"/>
        </w:rPr>
        <w:drawing>
          <wp:inline distT="0" distB="0" distL="0" distR="0" wp14:anchorId="78EA55D8" wp14:editId="50EC3495">
            <wp:extent cx="6057900" cy="4276725"/>
            <wp:effectExtent l="0" t="0" r="0" b="9525"/>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6057900" cy="4276725"/>
                    </a:xfrm>
                    <a:prstGeom prst="rect">
                      <a:avLst/>
                    </a:prstGeom>
                    <a:noFill/>
                    <a:ln>
                      <a:noFill/>
                    </a:ln>
                  </pic:spPr>
                </pic:pic>
              </a:graphicData>
            </a:graphic>
          </wp:inline>
        </w:drawing>
      </w:r>
    </w:p>
    <w:p w:rsidR="004A147C" w:rsidRDefault="004A147C" w:rsidP="00CE5850">
      <w:pPr>
        <w:pStyle w:val="ParaNum2"/>
        <w:numPr>
          <w:ilvl w:val="0"/>
          <w:numId w:val="28"/>
        </w:numPr>
        <w:rPr>
          <w:szCs w:val="22"/>
        </w:rPr>
      </w:pPr>
      <w:r w:rsidRPr="00B53FFB">
        <w:rPr>
          <w:szCs w:val="22"/>
        </w:rPr>
        <w:t xml:space="preserve">The average number of text and MMS messages per subscriber per month can be estimated by dividing the total number of messages by the average number of mobile wireless connections, while recognizing that not all mobile wireless customers use messaging services.  As shown in </w:t>
      </w:r>
      <w:r w:rsidR="00951E9B">
        <w:fldChar w:fldCharType="begin"/>
      </w:r>
      <w:r w:rsidR="00951E9B">
        <w:instrText xml:space="preserve"> REF _Ref257908092  \* MERGEFORMAT </w:instrText>
      </w:r>
      <w:r w:rsidR="00951E9B">
        <w:fldChar w:fldCharType="separate"/>
      </w:r>
      <w:r w:rsidR="00CA3AC6" w:rsidRPr="00B53FFB">
        <w:rPr>
          <w:szCs w:val="22"/>
        </w:rPr>
        <w:t xml:space="preserve">Table </w:t>
      </w:r>
      <w:r w:rsidR="00CA3AC6">
        <w:rPr>
          <w:noProof/>
          <w:szCs w:val="22"/>
        </w:rPr>
        <w:t>36</w:t>
      </w:r>
      <w:r w:rsidR="00951E9B">
        <w:rPr>
          <w:noProof/>
          <w:szCs w:val="22"/>
        </w:rPr>
        <w:fldChar w:fldCharType="end"/>
      </w:r>
      <w:r w:rsidRPr="00B53FFB">
        <w:rPr>
          <w:szCs w:val="22"/>
        </w:rPr>
        <w:t>, the average mobile wireless customers sent 594 text messages and 12.5 MMS messages per month during the second half of 2011.  While the growth rates for SMS and MMS usage per customer show steady or declining trends, the usage of other data services, discussed below, has steadily increased during the same period.  With consumers substituting among applications that are categorized under different data services, a comprehensive picture of data usage currently requires aggregation of the various measures of mobile messaging and mobile data.  For instance, the Apple iPhone’s iMessage service routes messages (to other iOS5 devices) through the customer’s mobile broadband data service instead of through an SMS or MMS service.  The messaging traffic of a customer who substitutes traditional messaging with iMessage would be accounted for under mobile data instead of under text and MMS messages.</w:t>
      </w:r>
    </w:p>
    <w:p w:rsidR="00135758" w:rsidRDefault="00135758" w:rsidP="00135758">
      <w:pPr>
        <w:pStyle w:val="ParaNum2"/>
        <w:tabs>
          <w:tab w:val="clear" w:pos="1440"/>
        </w:tabs>
        <w:rPr>
          <w:szCs w:val="22"/>
        </w:rPr>
      </w:pPr>
    </w:p>
    <w:p w:rsidR="00135758" w:rsidRDefault="00135758" w:rsidP="00135758">
      <w:pPr>
        <w:pStyle w:val="ParaNum2"/>
        <w:tabs>
          <w:tab w:val="clear" w:pos="1440"/>
        </w:tabs>
        <w:rPr>
          <w:szCs w:val="22"/>
        </w:rPr>
      </w:pPr>
    </w:p>
    <w:p w:rsidR="00135758" w:rsidRDefault="00135758" w:rsidP="00135758">
      <w:pPr>
        <w:pStyle w:val="ParaNum2"/>
        <w:tabs>
          <w:tab w:val="clear" w:pos="1440"/>
        </w:tabs>
        <w:rPr>
          <w:szCs w:val="22"/>
        </w:rPr>
      </w:pPr>
    </w:p>
    <w:p w:rsidR="00135758" w:rsidRPr="00B53FFB" w:rsidRDefault="00135758" w:rsidP="00135758">
      <w:pPr>
        <w:pStyle w:val="ParaNum2"/>
        <w:tabs>
          <w:tab w:val="clear" w:pos="1440"/>
        </w:tabs>
        <w:rPr>
          <w:szCs w:val="22"/>
        </w:rPr>
      </w:pPr>
    </w:p>
    <w:p w:rsidR="004A147C" w:rsidRPr="00B53FFB" w:rsidRDefault="004A147C" w:rsidP="00CE5850">
      <w:pPr>
        <w:pStyle w:val="Caption"/>
        <w:widowControl w:val="0"/>
        <w:jc w:val="center"/>
        <w:rPr>
          <w:sz w:val="22"/>
          <w:szCs w:val="22"/>
        </w:rPr>
      </w:pPr>
      <w:bookmarkStart w:id="3689" w:name="_Ref257908092"/>
      <w:r w:rsidRPr="00B53FFB">
        <w:rPr>
          <w:sz w:val="22"/>
          <w:szCs w:val="22"/>
        </w:rPr>
        <w:t xml:space="preserve">Table </w:t>
      </w:r>
      <w:r w:rsidR="0007014B" w:rsidRPr="00B53FFB">
        <w:rPr>
          <w:sz w:val="22"/>
          <w:szCs w:val="22"/>
        </w:rPr>
        <w:fldChar w:fldCharType="begin"/>
      </w:r>
      <w:r w:rsidRPr="00B53FFB">
        <w:rPr>
          <w:sz w:val="22"/>
          <w:szCs w:val="22"/>
        </w:rPr>
        <w:instrText xml:space="preserve"> SEQ Table \* ARABIC </w:instrText>
      </w:r>
      <w:r w:rsidR="0007014B" w:rsidRPr="00B53FFB">
        <w:rPr>
          <w:sz w:val="22"/>
          <w:szCs w:val="22"/>
        </w:rPr>
        <w:fldChar w:fldCharType="separate"/>
      </w:r>
      <w:r w:rsidR="00CA3AC6">
        <w:rPr>
          <w:noProof/>
          <w:sz w:val="22"/>
          <w:szCs w:val="22"/>
        </w:rPr>
        <w:t>36</w:t>
      </w:r>
      <w:r w:rsidR="0007014B" w:rsidRPr="00B53FFB">
        <w:rPr>
          <w:sz w:val="22"/>
          <w:szCs w:val="22"/>
        </w:rPr>
        <w:fldChar w:fldCharType="end"/>
      </w:r>
      <w:bookmarkEnd w:id="3689"/>
      <w:r w:rsidRPr="00B53FFB">
        <w:rPr>
          <w:sz w:val="22"/>
          <w:szCs w:val="22"/>
        </w:rPr>
        <w:br/>
        <w:t>Average Text and MMS Messages Per Subscriber Per Month, 2005-2011</w:t>
      </w:r>
      <w:r w:rsidRPr="00B53FFB">
        <w:rPr>
          <w:rStyle w:val="FootnoteReference"/>
          <w:b w:val="0"/>
          <w:szCs w:val="22"/>
        </w:rPr>
        <w:footnoteReference w:id="813"/>
      </w:r>
      <w:r w:rsidRPr="00B53FFB">
        <w:rPr>
          <w:sz w:val="22"/>
          <w:szCs w:val="22"/>
        </w:rPr>
        <w:t xml:space="preserve"> </w:t>
      </w:r>
    </w:p>
    <w:tbl>
      <w:tblPr>
        <w:tblW w:w="0" w:type="auto"/>
        <w:jc w:val="center"/>
        <w:tblInd w:w="-23" w:type="dxa"/>
        <w:tblCellMar>
          <w:left w:w="0" w:type="dxa"/>
          <w:right w:w="0" w:type="dxa"/>
        </w:tblCellMar>
        <w:tblLook w:val="00A0" w:firstRow="1" w:lastRow="0" w:firstColumn="1" w:lastColumn="0" w:noHBand="0" w:noVBand="0"/>
      </w:tblPr>
      <w:tblGrid>
        <w:gridCol w:w="1580"/>
        <w:gridCol w:w="1481"/>
        <w:gridCol w:w="1591"/>
      </w:tblGrid>
      <w:tr w:rsidR="004A147C" w:rsidRPr="00B53FFB" w:rsidTr="00D626F5">
        <w:trPr>
          <w:trHeight w:val="510"/>
          <w:jc w:val="center"/>
        </w:trPr>
        <w:tc>
          <w:tcPr>
            <w:tcW w:w="0" w:type="auto"/>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tcPr>
          <w:p w:rsidR="004A147C" w:rsidRPr="00B53FFB" w:rsidRDefault="004A147C" w:rsidP="00CE5850">
            <w:pPr>
              <w:jc w:val="center"/>
              <w:rPr>
                <w:rFonts w:eastAsia="Times New Roman"/>
                <w:b/>
                <w:color w:val="000000"/>
                <w:kern w:val="0"/>
                <w:szCs w:val="22"/>
              </w:rPr>
            </w:pPr>
            <w:r w:rsidRPr="00B53FFB">
              <w:rPr>
                <w:rFonts w:eastAsia="Times New Roman"/>
                <w:b/>
                <w:color w:val="000000"/>
                <w:kern w:val="0"/>
                <w:szCs w:val="22"/>
              </w:rPr>
              <w:t>Six-Month</w:t>
            </w:r>
          </w:p>
          <w:p w:rsidR="004A147C" w:rsidRPr="00B53FFB" w:rsidRDefault="004A147C" w:rsidP="00CE5850">
            <w:pPr>
              <w:jc w:val="center"/>
              <w:rPr>
                <w:rFonts w:eastAsia="Times New Roman"/>
                <w:b/>
                <w:color w:val="000000"/>
                <w:kern w:val="0"/>
                <w:szCs w:val="22"/>
              </w:rPr>
            </w:pPr>
            <w:r w:rsidRPr="00B53FFB">
              <w:rPr>
                <w:rFonts w:eastAsia="Times New Roman"/>
                <w:b/>
                <w:color w:val="000000"/>
                <w:kern w:val="0"/>
                <w:szCs w:val="22"/>
              </w:rPr>
              <w:t>Period Ending</w:t>
            </w:r>
          </w:p>
        </w:tc>
        <w:tc>
          <w:tcPr>
            <w:tcW w:w="0" w:type="auto"/>
            <w:tcBorders>
              <w:top w:val="single" w:sz="8" w:space="0" w:color="auto"/>
              <w:left w:val="nil"/>
              <w:bottom w:val="single" w:sz="8" w:space="0" w:color="auto"/>
              <w:right w:val="single" w:sz="8" w:space="0" w:color="auto"/>
            </w:tcBorders>
            <w:tcMar>
              <w:top w:w="0" w:type="dxa"/>
              <w:left w:w="108" w:type="dxa"/>
              <w:bottom w:w="0" w:type="dxa"/>
              <w:right w:w="108" w:type="dxa"/>
            </w:tcMar>
          </w:tcPr>
          <w:p w:rsidR="004A147C" w:rsidRPr="00B53FFB" w:rsidRDefault="004A147C" w:rsidP="00CE5850">
            <w:pPr>
              <w:jc w:val="center"/>
              <w:rPr>
                <w:rFonts w:eastAsia="Times New Roman"/>
                <w:b/>
                <w:color w:val="000000"/>
                <w:kern w:val="0"/>
                <w:szCs w:val="22"/>
              </w:rPr>
            </w:pPr>
            <w:r w:rsidRPr="00B53FFB">
              <w:rPr>
                <w:rFonts w:eastAsia="Times New Roman"/>
                <w:b/>
                <w:color w:val="000000"/>
                <w:kern w:val="0"/>
                <w:szCs w:val="22"/>
              </w:rPr>
              <w:t>Average Text</w:t>
            </w:r>
          </w:p>
          <w:p w:rsidR="004A147C" w:rsidRPr="00B53FFB" w:rsidRDefault="004A147C" w:rsidP="00CE5850">
            <w:pPr>
              <w:jc w:val="center"/>
              <w:rPr>
                <w:rFonts w:eastAsia="Times New Roman"/>
                <w:b/>
                <w:color w:val="000000"/>
                <w:kern w:val="0"/>
                <w:szCs w:val="22"/>
              </w:rPr>
            </w:pPr>
            <w:r w:rsidRPr="00B53FFB">
              <w:rPr>
                <w:rFonts w:eastAsia="Times New Roman"/>
                <w:b/>
                <w:color w:val="000000"/>
                <w:kern w:val="0"/>
                <w:szCs w:val="22"/>
              </w:rPr>
              <w:t>Messages</w:t>
            </w:r>
          </w:p>
          <w:p w:rsidR="004A147C" w:rsidRPr="00B53FFB" w:rsidRDefault="004A147C" w:rsidP="00CE5850">
            <w:pPr>
              <w:jc w:val="center"/>
              <w:rPr>
                <w:rFonts w:eastAsia="Times New Roman"/>
                <w:b/>
                <w:color w:val="000000"/>
                <w:kern w:val="0"/>
                <w:szCs w:val="22"/>
              </w:rPr>
            </w:pPr>
            <w:r w:rsidRPr="00B53FFB">
              <w:rPr>
                <w:rFonts w:eastAsia="Times New Roman"/>
                <w:b/>
                <w:color w:val="000000"/>
                <w:kern w:val="0"/>
                <w:szCs w:val="22"/>
              </w:rPr>
              <w:t>Per User</w:t>
            </w:r>
          </w:p>
          <w:p w:rsidR="004A147C" w:rsidRPr="00B53FFB" w:rsidRDefault="004A147C" w:rsidP="00CE5850">
            <w:pPr>
              <w:jc w:val="center"/>
              <w:rPr>
                <w:rFonts w:eastAsia="Times New Roman"/>
                <w:b/>
                <w:color w:val="000000"/>
                <w:kern w:val="0"/>
                <w:szCs w:val="22"/>
              </w:rPr>
            </w:pPr>
            <w:r w:rsidRPr="00B53FFB">
              <w:rPr>
                <w:rFonts w:eastAsia="Times New Roman"/>
                <w:b/>
                <w:color w:val="000000"/>
                <w:kern w:val="0"/>
                <w:szCs w:val="22"/>
              </w:rPr>
              <w:t>Per Month</w:t>
            </w:r>
          </w:p>
        </w:tc>
        <w:tc>
          <w:tcPr>
            <w:tcW w:w="0" w:type="auto"/>
            <w:tcBorders>
              <w:top w:val="single" w:sz="8" w:space="0" w:color="auto"/>
              <w:left w:val="nil"/>
              <w:bottom w:val="single" w:sz="8" w:space="0" w:color="auto"/>
              <w:right w:val="single" w:sz="8" w:space="0" w:color="auto"/>
            </w:tcBorders>
            <w:tcMar>
              <w:top w:w="0" w:type="dxa"/>
              <w:left w:w="108" w:type="dxa"/>
              <w:bottom w:w="0" w:type="dxa"/>
              <w:right w:w="108" w:type="dxa"/>
            </w:tcMar>
          </w:tcPr>
          <w:p w:rsidR="004A147C" w:rsidRPr="00B53FFB" w:rsidRDefault="004A147C" w:rsidP="00CE5850">
            <w:pPr>
              <w:jc w:val="center"/>
              <w:rPr>
                <w:rFonts w:eastAsia="Times New Roman"/>
                <w:b/>
                <w:color w:val="000000"/>
                <w:kern w:val="0"/>
                <w:szCs w:val="22"/>
              </w:rPr>
            </w:pPr>
            <w:r w:rsidRPr="00B53FFB">
              <w:rPr>
                <w:rFonts w:eastAsia="Times New Roman"/>
                <w:b/>
                <w:color w:val="000000"/>
                <w:kern w:val="0"/>
                <w:szCs w:val="22"/>
              </w:rPr>
              <w:t>Average MMS</w:t>
            </w:r>
          </w:p>
          <w:p w:rsidR="004A147C" w:rsidRPr="00B53FFB" w:rsidRDefault="004A147C" w:rsidP="00CE5850">
            <w:pPr>
              <w:jc w:val="center"/>
              <w:rPr>
                <w:rFonts w:eastAsia="Times New Roman"/>
                <w:b/>
                <w:color w:val="000000"/>
                <w:kern w:val="0"/>
                <w:szCs w:val="22"/>
              </w:rPr>
            </w:pPr>
            <w:r w:rsidRPr="00B53FFB">
              <w:rPr>
                <w:rFonts w:eastAsia="Times New Roman"/>
                <w:b/>
                <w:color w:val="000000"/>
                <w:kern w:val="0"/>
                <w:szCs w:val="22"/>
              </w:rPr>
              <w:t>Messages</w:t>
            </w:r>
          </w:p>
          <w:p w:rsidR="004A147C" w:rsidRPr="00B53FFB" w:rsidRDefault="004A147C" w:rsidP="00CE5850">
            <w:pPr>
              <w:jc w:val="center"/>
              <w:rPr>
                <w:rFonts w:eastAsia="Times New Roman"/>
                <w:b/>
                <w:color w:val="000000"/>
                <w:kern w:val="0"/>
                <w:szCs w:val="22"/>
              </w:rPr>
            </w:pPr>
            <w:r w:rsidRPr="00B53FFB">
              <w:rPr>
                <w:rFonts w:eastAsia="Times New Roman"/>
                <w:b/>
                <w:color w:val="000000"/>
                <w:kern w:val="0"/>
                <w:szCs w:val="22"/>
              </w:rPr>
              <w:t>Per User</w:t>
            </w:r>
          </w:p>
          <w:p w:rsidR="004A147C" w:rsidRPr="00B53FFB" w:rsidRDefault="004A147C" w:rsidP="00CE5850">
            <w:pPr>
              <w:jc w:val="center"/>
              <w:rPr>
                <w:rFonts w:eastAsia="Times New Roman"/>
                <w:b/>
                <w:color w:val="000000"/>
                <w:kern w:val="0"/>
                <w:szCs w:val="22"/>
              </w:rPr>
            </w:pPr>
            <w:r w:rsidRPr="00B53FFB">
              <w:rPr>
                <w:rFonts w:eastAsia="Times New Roman"/>
                <w:b/>
                <w:color w:val="000000"/>
                <w:kern w:val="0"/>
                <w:szCs w:val="22"/>
              </w:rPr>
              <w:t>Per Month</w:t>
            </w:r>
          </w:p>
        </w:tc>
      </w:tr>
      <w:tr w:rsidR="004A147C" w:rsidRPr="00B53FFB" w:rsidTr="00D626F5">
        <w:trPr>
          <w:trHeight w:val="255"/>
          <w:jc w:val="center"/>
        </w:trPr>
        <w:tc>
          <w:tcPr>
            <w:tcW w:w="0" w:type="auto"/>
            <w:tcBorders>
              <w:top w:val="nil"/>
              <w:left w:val="single" w:sz="8" w:space="0" w:color="auto"/>
              <w:bottom w:val="single" w:sz="8" w:space="0" w:color="auto"/>
              <w:right w:val="single" w:sz="8" w:space="0" w:color="auto"/>
            </w:tcBorders>
            <w:noWrap/>
            <w:tcMar>
              <w:top w:w="0" w:type="dxa"/>
              <w:left w:w="108" w:type="dxa"/>
              <w:bottom w:w="0" w:type="dxa"/>
              <w:right w:w="108" w:type="dxa"/>
            </w:tcMar>
            <w:vAlign w:val="bottom"/>
          </w:tcPr>
          <w:p w:rsidR="004A147C" w:rsidRPr="00B53FFB" w:rsidRDefault="004A147C" w:rsidP="00CE5850">
            <w:pPr>
              <w:jc w:val="right"/>
              <w:rPr>
                <w:rFonts w:eastAsia="Times New Roman"/>
                <w:color w:val="000000"/>
                <w:kern w:val="0"/>
                <w:szCs w:val="22"/>
              </w:rPr>
            </w:pPr>
            <w:r w:rsidRPr="00B53FFB">
              <w:rPr>
                <w:rFonts w:eastAsia="Times New Roman"/>
                <w:color w:val="000000"/>
                <w:kern w:val="0"/>
                <w:szCs w:val="22"/>
              </w:rPr>
              <w:t>Jun-05</w:t>
            </w:r>
          </w:p>
        </w:tc>
        <w:tc>
          <w:tcPr>
            <w:tcW w:w="0" w:type="auto"/>
            <w:tcBorders>
              <w:top w:val="nil"/>
              <w:left w:val="nil"/>
              <w:bottom w:val="single" w:sz="8" w:space="0" w:color="auto"/>
              <w:right w:val="single" w:sz="8" w:space="0" w:color="auto"/>
            </w:tcBorders>
            <w:noWrap/>
            <w:tcMar>
              <w:top w:w="0" w:type="dxa"/>
              <w:left w:w="108" w:type="dxa"/>
              <w:bottom w:w="0" w:type="dxa"/>
              <w:right w:w="108" w:type="dxa"/>
            </w:tcMar>
            <w:vAlign w:val="bottom"/>
          </w:tcPr>
          <w:p w:rsidR="004A147C" w:rsidRPr="00B53FFB" w:rsidRDefault="004A147C" w:rsidP="00CE5850">
            <w:pPr>
              <w:jc w:val="right"/>
              <w:rPr>
                <w:rFonts w:eastAsia="Times New Roman"/>
                <w:color w:val="000000"/>
                <w:kern w:val="0"/>
                <w:szCs w:val="22"/>
              </w:rPr>
            </w:pPr>
            <w:r w:rsidRPr="00B53FFB">
              <w:rPr>
                <w:rFonts w:eastAsia="Times New Roman"/>
                <w:color w:val="000000"/>
                <w:kern w:val="0"/>
                <w:szCs w:val="22"/>
              </w:rPr>
              <w:t>29</w:t>
            </w:r>
          </w:p>
        </w:tc>
        <w:tc>
          <w:tcPr>
            <w:tcW w:w="0" w:type="auto"/>
            <w:tcBorders>
              <w:top w:val="nil"/>
              <w:left w:val="nil"/>
              <w:bottom w:val="single" w:sz="8" w:space="0" w:color="auto"/>
              <w:right w:val="single" w:sz="8" w:space="0" w:color="auto"/>
            </w:tcBorders>
            <w:noWrap/>
            <w:tcMar>
              <w:top w:w="0" w:type="dxa"/>
              <w:left w:w="108" w:type="dxa"/>
              <w:bottom w:w="0" w:type="dxa"/>
              <w:right w:w="108" w:type="dxa"/>
            </w:tcMar>
            <w:vAlign w:val="bottom"/>
          </w:tcPr>
          <w:p w:rsidR="004A147C" w:rsidRPr="00B53FFB" w:rsidRDefault="004A147C" w:rsidP="00CE5850">
            <w:pPr>
              <w:jc w:val="right"/>
              <w:rPr>
                <w:rFonts w:eastAsia="Times New Roman"/>
                <w:color w:val="000000"/>
                <w:kern w:val="0"/>
                <w:szCs w:val="22"/>
              </w:rPr>
            </w:pPr>
            <w:r w:rsidRPr="00B53FFB">
              <w:rPr>
                <w:rFonts w:eastAsia="Times New Roman"/>
                <w:color w:val="000000"/>
                <w:kern w:val="0"/>
                <w:szCs w:val="22"/>
              </w:rPr>
              <w:t>0.3</w:t>
            </w:r>
          </w:p>
        </w:tc>
      </w:tr>
      <w:tr w:rsidR="004A147C" w:rsidRPr="00B53FFB" w:rsidTr="00D626F5">
        <w:trPr>
          <w:trHeight w:val="255"/>
          <w:jc w:val="center"/>
        </w:trPr>
        <w:tc>
          <w:tcPr>
            <w:tcW w:w="0" w:type="auto"/>
            <w:tcBorders>
              <w:top w:val="nil"/>
              <w:left w:val="single" w:sz="8" w:space="0" w:color="auto"/>
              <w:bottom w:val="single" w:sz="8" w:space="0" w:color="auto"/>
              <w:right w:val="single" w:sz="8" w:space="0" w:color="auto"/>
            </w:tcBorders>
            <w:noWrap/>
            <w:tcMar>
              <w:top w:w="0" w:type="dxa"/>
              <w:left w:w="108" w:type="dxa"/>
              <w:bottom w:w="0" w:type="dxa"/>
              <w:right w:w="108" w:type="dxa"/>
            </w:tcMar>
            <w:vAlign w:val="bottom"/>
          </w:tcPr>
          <w:p w:rsidR="004A147C" w:rsidRPr="00B53FFB" w:rsidRDefault="004A147C" w:rsidP="00CE5850">
            <w:pPr>
              <w:jc w:val="right"/>
              <w:rPr>
                <w:rFonts w:eastAsia="Times New Roman"/>
                <w:color w:val="000000"/>
                <w:kern w:val="0"/>
                <w:szCs w:val="22"/>
              </w:rPr>
            </w:pPr>
            <w:r w:rsidRPr="00B53FFB">
              <w:rPr>
                <w:rFonts w:eastAsia="Times New Roman"/>
                <w:color w:val="000000"/>
                <w:kern w:val="0"/>
                <w:szCs w:val="22"/>
              </w:rPr>
              <w:t>Dec-05</w:t>
            </w:r>
          </w:p>
        </w:tc>
        <w:tc>
          <w:tcPr>
            <w:tcW w:w="0" w:type="auto"/>
            <w:tcBorders>
              <w:top w:val="nil"/>
              <w:left w:val="nil"/>
              <w:bottom w:val="single" w:sz="8" w:space="0" w:color="auto"/>
              <w:right w:val="single" w:sz="8" w:space="0" w:color="auto"/>
            </w:tcBorders>
            <w:noWrap/>
            <w:tcMar>
              <w:top w:w="0" w:type="dxa"/>
              <w:left w:w="108" w:type="dxa"/>
              <w:bottom w:w="0" w:type="dxa"/>
              <w:right w:w="108" w:type="dxa"/>
            </w:tcMar>
            <w:vAlign w:val="bottom"/>
          </w:tcPr>
          <w:p w:rsidR="004A147C" w:rsidRPr="00B53FFB" w:rsidRDefault="004A147C" w:rsidP="00CE5850">
            <w:pPr>
              <w:jc w:val="right"/>
              <w:rPr>
                <w:rFonts w:eastAsia="Times New Roman"/>
                <w:color w:val="000000"/>
                <w:kern w:val="0"/>
                <w:szCs w:val="22"/>
              </w:rPr>
            </w:pPr>
            <w:r w:rsidRPr="00B53FFB">
              <w:rPr>
                <w:rFonts w:eastAsia="Times New Roman"/>
                <w:color w:val="000000"/>
                <w:kern w:val="0"/>
                <w:szCs w:val="22"/>
              </w:rPr>
              <w:t>40</w:t>
            </w:r>
          </w:p>
        </w:tc>
        <w:tc>
          <w:tcPr>
            <w:tcW w:w="0" w:type="auto"/>
            <w:tcBorders>
              <w:top w:val="nil"/>
              <w:left w:val="nil"/>
              <w:bottom w:val="single" w:sz="8" w:space="0" w:color="auto"/>
              <w:right w:val="single" w:sz="8" w:space="0" w:color="auto"/>
            </w:tcBorders>
            <w:noWrap/>
            <w:tcMar>
              <w:top w:w="0" w:type="dxa"/>
              <w:left w:w="108" w:type="dxa"/>
              <w:bottom w:w="0" w:type="dxa"/>
              <w:right w:w="108" w:type="dxa"/>
            </w:tcMar>
            <w:vAlign w:val="bottom"/>
          </w:tcPr>
          <w:p w:rsidR="004A147C" w:rsidRPr="00B53FFB" w:rsidRDefault="004A147C" w:rsidP="00CE5850">
            <w:pPr>
              <w:jc w:val="right"/>
              <w:rPr>
                <w:rFonts w:eastAsia="Times New Roman"/>
                <w:color w:val="000000"/>
                <w:kern w:val="0"/>
                <w:szCs w:val="22"/>
              </w:rPr>
            </w:pPr>
            <w:r w:rsidRPr="00B53FFB">
              <w:rPr>
                <w:rFonts w:eastAsia="Times New Roman"/>
                <w:color w:val="000000"/>
                <w:kern w:val="0"/>
                <w:szCs w:val="22"/>
              </w:rPr>
              <w:t>0.7</w:t>
            </w:r>
          </w:p>
        </w:tc>
      </w:tr>
      <w:tr w:rsidR="004A147C" w:rsidRPr="00B53FFB" w:rsidTr="00D626F5">
        <w:trPr>
          <w:trHeight w:val="255"/>
          <w:jc w:val="center"/>
        </w:trPr>
        <w:tc>
          <w:tcPr>
            <w:tcW w:w="0" w:type="auto"/>
            <w:tcBorders>
              <w:top w:val="nil"/>
              <w:left w:val="single" w:sz="8" w:space="0" w:color="auto"/>
              <w:bottom w:val="single" w:sz="8" w:space="0" w:color="auto"/>
              <w:right w:val="single" w:sz="8" w:space="0" w:color="auto"/>
            </w:tcBorders>
            <w:noWrap/>
            <w:tcMar>
              <w:top w:w="0" w:type="dxa"/>
              <w:left w:w="108" w:type="dxa"/>
              <w:bottom w:w="0" w:type="dxa"/>
              <w:right w:w="108" w:type="dxa"/>
            </w:tcMar>
            <w:vAlign w:val="bottom"/>
          </w:tcPr>
          <w:p w:rsidR="004A147C" w:rsidRPr="00B53FFB" w:rsidRDefault="004A147C" w:rsidP="00CE5850">
            <w:pPr>
              <w:jc w:val="right"/>
              <w:rPr>
                <w:rFonts w:eastAsia="Times New Roman"/>
                <w:color w:val="000000"/>
                <w:kern w:val="0"/>
                <w:szCs w:val="22"/>
              </w:rPr>
            </w:pPr>
            <w:r w:rsidRPr="00B53FFB">
              <w:rPr>
                <w:rFonts w:eastAsia="Times New Roman"/>
                <w:color w:val="000000"/>
                <w:kern w:val="0"/>
                <w:szCs w:val="22"/>
              </w:rPr>
              <w:t>Jun-06</w:t>
            </w:r>
          </w:p>
        </w:tc>
        <w:tc>
          <w:tcPr>
            <w:tcW w:w="0" w:type="auto"/>
            <w:tcBorders>
              <w:top w:val="nil"/>
              <w:left w:val="nil"/>
              <w:bottom w:val="single" w:sz="8" w:space="0" w:color="auto"/>
              <w:right w:val="single" w:sz="8" w:space="0" w:color="auto"/>
            </w:tcBorders>
            <w:noWrap/>
            <w:tcMar>
              <w:top w:w="0" w:type="dxa"/>
              <w:left w:w="108" w:type="dxa"/>
              <w:bottom w:w="0" w:type="dxa"/>
              <w:right w:w="108" w:type="dxa"/>
            </w:tcMar>
            <w:vAlign w:val="bottom"/>
          </w:tcPr>
          <w:p w:rsidR="004A147C" w:rsidRPr="00B53FFB" w:rsidRDefault="004A147C" w:rsidP="00CE5850">
            <w:pPr>
              <w:jc w:val="right"/>
              <w:rPr>
                <w:rFonts w:eastAsia="Times New Roman"/>
                <w:color w:val="000000"/>
                <w:kern w:val="0"/>
                <w:szCs w:val="22"/>
              </w:rPr>
            </w:pPr>
            <w:r w:rsidRPr="00B53FFB">
              <w:rPr>
                <w:rFonts w:eastAsia="Times New Roman"/>
                <w:color w:val="000000"/>
                <w:kern w:val="0"/>
                <w:szCs w:val="22"/>
              </w:rPr>
              <w:t>51</w:t>
            </w:r>
          </w:p>
        </w:tc>
        <w:tc>
          <w:tcPr>
            <w:tcW w:w="0" w:type="auto"/>
            <w:tcBorders>
              <w:top w:val="nil"/>
              <w:left w:val="nil"/>
              <w:bottom w:val="single" w:sz="8" w:space="0" w:color="auto"/>
              <w:right w:val="single" w:sz="8" w:space="0" w:color="auto"/>
            </w:tcBorders>
            <w:noWrap/>
            <w:tcMar>
              <w:top w:w="0" w:type="dxa"/>
              <w:left w:w="108" w:type="dxa"/>
              <w:bottom w:w="0" w:type="dxa"/>
              <w:right w:w="108" w:type="dxa"/>
            </w:tcMar>
            <w:vAlign w:val="bottom"/>
          </w:tcPr>
          <w:p w:rsidR="004A147C" w:rsidRPr="00B53FFB" w:rsidRDefault="004A147C" w:rsidP="00CE5850">
            <w:pPr>
              <w:jc w:val="right"/>
              <w:rPr>
                <w:rFonts w:eastAsia="Times New Roman"/>
                <w:color w:val="000000"/>
                <w:kern w:val="0"/>
                <w:szCs w:val="22"/>
              </w:rPr>
            </w:pPr>
            <w:r w:rsidRPr="00B53FFB">
              <w:rPr>
                <w:rFonts w:eastAsia="Times New Roman"/>
                <w:color w:val="000000"/>
                <w:kern w:val="0"/>
                <w:szCs w:val="22"/>
              </w:rPr>
              <w:t>0.9</w:t>
            </w:r>
          </w:p>
        </w:tc>
      </w:tr>
      <w:tr w:rsidR="004A147C" w:rsidRPr="00B53FFB" w:rsidTr="00D626F5">
        <w:trPr>
          <w:trHeight w:val="255"/>
          <w:jc w:val="center"/>
        </w:trPr>
        <w:tc>
          <w:tcPr>
            <w:tcW w:w="0" w:type="auto"/>
            <w:tcBorders>
              <w:top w:val="nil"/>
              <w:left w:val="single" w:sz="8" w:space="0" w:color="auto"/>
              <w:bottom w:val="single" w:sz="8" w:space="0" w:color="auto"/>
              <w:right w:val="single" w:sz="8" w:space="0" w:color="auto"/>
            </w:tcBorders>
            <w:noWrap/>
            <w:tcMar>
              <w:top w:w="0" w:type="dxa"/>
              <w:left w:w="108" w:type="dxa"/>
              <w:bottom w:w="0" w:type="dxa"/>
              <w:right w:w="108" w:type="dxa"/>
            </w:tcMar>
            <w:vAlign w:val="bottom"/>
          </w:tcPr>
          <w:p w:rsidR="004A147C" w:rsidRPr="00B53FFB" w:rsidRDefault="004A147C" w:rsidP="00CE5850">
            <w:pPr>
              <w:jc w:val="right"/>
              <w:rPr>
                <w:rFonts w:eastAsia="Times New Roman"/>
                <w:color w:val="000000"/>
                <w:kern w:val="0"/>
                <w:szCs w:val="22"/>
              </w:rPr>
            </w:pPr>
            <w:r w:rsidRPr="00B53FFB">
              <w:rPr>
                <w:rFonts w:eastAsia="Times New Roman"/>
                <w:color w:val="000000"/>
                <w:kern w:val="0"/>
                <w:szCs w:val="22"/>
              </w:rPr>
              <w:t>Dec-06</w:t>
            </w:r>
          </w:p>
        </w:tc>
        <w:tc>
          <w:tcPr>
            <w:tcW w:w="0" w:type="auto"/>
            <w:tcBorders>
              <w:top w:val="nil"/>
              <w:left w:val="nil"/>
              <w:bottom w:val="single" w:sz="8" w:space="0" w:color="auto"/>
              <w:right w:val="single" w:sz="8" w:space="0" w:color="auto"/>
            </w:tcBorders>
            <w:noWrap/>
            <w:tcMar>
              <w:top w:w="0" w:type="dxa"/>
              <w:left w:w="108" w:type="dxa"/>
              <w:bottom w:w="0" w:type="dxa"/>
              <w:right w:w="108" w:type="dxa"/>
            </w:tcMar>
            <w:vAlign w:val="bottom"/>
          </w:tcPr>
          <w:p w:rsidR="004A147C" w:rsidRPr="00B53FFB" w:rsidRDefault="004A147C" w:rsidP="00CE5850">
            <w:pPr>
              <w:jc w:val="right"/>
              <w:rPr>
                <w:rFonts w:eastAsia="Times New Roman"/>
                <w:color w:val="000000"/>
                <w:kern w:val="0"/>
                <w:szCs w:val="22"/>
              </w:rPr>
            </w:pPr>
            <w:r w:rsidRPr="00B53FFB">
              <w:rPr>
                <w:rFonts w:eastAsia="Times New Roman"/>
                <w:color w:val="000000"/>
                <w:kern w:val="0"/>
                <w:szCs w:val="22"/>
              </w:rPr>
              <w:t>69</w:t>
            </w:r>
          </w:p>
        </w:tc>
        <w:tc>
          <w:tcPr>
            <w:tcW w:w="0" w:type="auto"/>
            <w:tcBorders>
              <w:top w:val="nil"/>
              <w:left w:val="nil"/>
              <w:bottom w:val="single" w:sz="8" w:space="0" w:color="auto"/>
              <w:right w:val="single" w:sz="8" w:space="0" w:color="auto"/>
            </w:tcBorders>
            <w:noWrap/>
            <w:tcMar>
              <w:top w:w="0" w:type="dxa"/>
              <w:left w:w="108" w:type="dxa"/>
              <w:bottom w:w="0" w:type="dxa"/>
              <w:right w:w="108" w:type="dxa"/>
            </w:tcMar>
            <w:vAlign w:val="bottom"/>
          </w:tcPr>
          <w:p w:rsidR="004A147C" w:rsidRPr="00B53FFB" w:rsidRDefault="004A147C" w:rsidP="00CE5850">
            <w:pPr>
              <w:jc w:val="right"/>
              <w:rPr>
                <w:rFonts w:eastAsia="Times New Roman"/>
                <w:color w:val="000000"/>
                <w:kern w:val="0"/>
                <w:szCs w:val="22"/>
              </w:rPr>
            </w:pPr>
            <w:r w:rsidRPr="00B53FFB">
              <w:rPr>
                <w:rFonts w:eastAsia="Times New Roman"/>
                <w:color w:val="000000"/>
                <w:kern w:val="0"/>
                <w:szCs w:val="22"/>
              </w:rPr>
              <w:t>1.2</w:t>
            </w:r>
          </w:p>
        </w:tc>
      </w:tr>
      <w:tr w:rsidR="004A147C" w:rsidRPr="00B53FFB" w:rsidTr="00D626F5">
        <w:trPr>
          <w:trHeight w:val="255"/>
          <w:jc w:val="center"/>
        </w:trPr>
        <w:tc>
          <w:tcPr>
            <w:tcW w:w="0" w:type="auto"/>
            <w:tcBorders>
              <w:top w:val="nil"/>
              <w:left w:val="single" w:sz="8" w:space="0" w:color="auto"/>
              <w:bottom w:val="single" w:sz="8" w:space="0" w:color="auto"/>
              <w:right w:val="single" w:sz="8" w:space="0" w:color="auto"/>
            </w:tcBorders>
            <w:noWrap/>
            <w:tcMar>
              <w:top w:w="0" w:type="dxa"/>
              <w:left w:w="108" w:type="dxa"/>
              <w:bottom w:w="0" w:type="dxa"/>
              <w:right w:w="108" w:type="dxa"/>
            </w:tcMar>
            <w:vAlign w:val="bottom"/>
          </w:tcPr>
          <w:p w:rsidR="004A147C" w:rsidRPr="00B53FFB" w:rsidRDefault="004A147C" w:rsidP="00CE5850">
            <w:pPr>
              <w:jc w:val="right"/>
              <w:rPr>
                <w:rFonts w:eastAsia="Times New Roman"/>
                <w:color w:val="000000"/>
                <w:kern w:val="0"/>
                <w:szCs w:val="22"/>
              </w:rPr>
            </w:pPr>
            <w:r w:rsidRPr="00B53FFB">
              <w:rPr>
                <w:rFonts w:eastAsia="Times New Roman"/>
                <w:color w:val="000000"/>
                <w:kern w:val="0"/>
                <w:szCs w:val="22"/>
              </w:rPr>
              <w:t>Jun-07</w:t>
            </w:r>
          </w:p>
        </w:tc>
        <w:tc>
          <w:tcPr>
            <w:tcW w:w="0" w:type="auto"/>
            <w:tcBorders>
              <w:top w:val="nil"/>
              <w:left w:val="nil"/>
              <w:bottom w:val="single" w:sz="8" w:space="0" w:color="auto"/>
              <w:right w:val="single" w:sz="8" w:space="0" w:color="auto"/>
            </w:tcBorders>
            <w:noWrap/>
            <w:tcMar>
              <w:top w:w="0" w:type="dxa"/>
              <w:left w:w="108" w:type="dxa"/>
              <w:bottom w:w="0" w:type="dxa"/>
              <w:right w:w="108" w:type="dxa"/>
            </w:tcMar>
            <w:vAlign w:val="bottom"/>
          </w:tcPr>
          <w:p w:rsidR="004A147C" w:rsidRPr="00B53FFB" w:rsidRDefault="004A147C" w:rsidP="00CE5850">
            <w:pPr>
              <w:jc w:val="right"/>
              <w:rPr>
                <w:rFonts w:eastAsia="Times New Roman"/>
                <w:color w:val="000000"/>
                <w:kern w:val="0"/>
                <w:szCs w:val="22"/>
              </w:rPr>
            </w:pPr>
            <w:r w:rsidRPr="00B53FFB">
              <w:rPr>
                <w:rFonts w:eastAsia="Times New Roman"/>
                <w:color w:val="000000"/>
                <w:kern w:val="0"/>
                <w:szCs w:val="22"/>
              </w:rPr>
              <w:t>103</w:t>
            </w:r>
          </w:p>
        </w:tc>
        <w:tc>
          <w:tcPr>
            <w:tcW w:w="0" w:type="auto"/>
            <w:tcBorders>
              <w:top w:val="nil"/>
              <w:left w:val="nil"/>
              <w:bottom w:val="single" w:sz="8" w:space="0" w:color="auto"/>
              <w:right w:val="single" w:sz="8" w:space="0" w:color="auto"/>
            </w:tcBorders>
            <w:noWrap/>
            <w:tcMar>
              <w:top w:w="0" w:type="dxa"/>
              <w:left w:w="108" w:type="dxa"/>
              <w:bottom w:w="0" w:type="dxa"/>
              <w:right w:w="108" w:type="dxa"/>
            </w:tcMar>
            <w:vAlign w:val="bottom"/>
          </w:tcPr>
          <w:p w:rsidR="004A147C" w:rsidRPr="00B53FFB" w:rsidRDefault="004A147C" w:rsidP="00CE5850">
            <w:pPr>
              <w:jc w:val="right"/>
              <w:rPr>
                <w:rFonts w:eastAsia="Times New Roman"/>
                <w:color w:val="000000"/>
                <w:kern w:val="0"/>
                <w:szCs w:val="22"/>
              </w:rPr>
            </w:pPr>
            <w:r w:rsidRPr="00B53FFB">
              <w:rPr>
                <w:rFonts w:eastAsia="Times New Roman"/>
                <w:color w:val="000000"/>
                <w:kern w:val="0"/>
                <w:szCs w:val="22"/>
              </w:rPr>
              <w:t>1.8</w:t>
            </w:r>
          </w:p>
        </w:tc>
      </w:tr>
      <w:tr w:rsidR="004A147C" w:rsidRPr="00B53FFB" w:rsidTr="00D626F5">
        <w:trPr>
          <w:trHeight w:val="255"/>
          <w:jc w:val="center"/>
        </w:trPr>
        <w:tc>
          <w:tcPr>
            <w:tcW w:w="0" w:type="auto"/>
            <w:tcBorders>
              <w:top w:val="nil"/>
              <w:left w:val="single" w:sz="8" w:space="0" w:color="auto"/>
              <w:bottom w:val="single" w:sz="8" w:space="0" w:color="auto"/>
              <w:right w:val="single" w:sz="8" w:space="0" w:color="auto"/>
            </w:tcBorders>
            <w:noWrap/>
            <w:tcMar>
              <w:top w:w="0" w:type="dxa"/>
              <w:left w:w="108" w:type="dxa"/>
              <w:bottom w:w="0" w:type="dxa"/>
              <w:right w:w="108" w:type="dxa"/>
            </w:tcMar>
            <w:vAlign w:val="bottom"/>
          </w:tcPr>
          <w:p w:rsidR="004A147C" w:rsidRPr="00B53FFB" w:rsidRDefault="004A147C" w:rsidP="00CE5850">
            <w:pPr>
              <w:jc w:val="right"/>
              <w:rPr>
                <w:rFonts w:eastAsia="Times New Roman"/>
                <w:color w:val="000000"/>
                <w:kern w:val="0"/>
                <w:szCs w:val="22"/>
              </w:rPr>
            </w:pPr>
            <w:r w:rsidRPr="00B53FFB">
              <w:rPr>
                <w:rFonts w:eastAsia="Times New Roman"/>
                <w:color w:val="000000"/>
                <w:kern w:val="0"/>
                <w:szCs w:val="22"/>
              </w:rPr>
              <w:t>Dec-07</w:t>
            </w:r>
          </w:p>
        </w:tc>
        <w:tc>
          <w:tcPr>
            <w:tcW w:w="0" w:type="auto"/>
            <w:tcBorders>
              <w:top w:val="nil"/>
              <w:left w:val="nil"/>
              <w:bottom w:val="single" w:sz="8" w:space="0" w:color="auto"/>
              <w:right w:val="single" w:sz="8" w:space="0" w:color="auto"/>
            </w:tcBorders>
            <w:noWrap/>
            <w:tcMar>
              <w:top w:w="0" w:type="dxa"/>
              <w:left w:w="108" w:type="dxa"/>
              <w:bottom w:w="0" w:type="dxa"/>
              <w:right w:w="108" w:type="dxa"/>
            </w:tcMar>
            <w:vAlign w:val="bottom"/>
          </w:tcPr>
          <w:p w:rsidR="004A147C" w:rsidRPr="00B53FFB" w:rsidRDefault="004A147C" w:rsidP="00CE5850">
            <w:pPr>
              <w:jc w:val="right"/>
              <w:rPr>
                <w:rFonts w:eastAsia="Times New Roman"/>
                <w:color w:val="000000"/>
                <w:kern w:val="0"/>
                <w:szCs w:val="22"/>
              </w:rPr>
            </w:pPr>
            <w:r w:rsidRPr="00B53FFB">
              <w:rPr>
                <w:rFonts w:eastAsia="Times New Roman"/>
                <w:color w:val="000000"/>
                <w:kern w:val="0"/>
                <w:szCs w:val="22"/>
              </w:rPr>
              <w:t>144</w:t>
            </w:r>
          </w:p>
        </w:tc>
        <w:tc>
          <w:tcPr>
            <w:tcW w:w="0" w:type="auto"/>
            <w:tcBorders>
              <w:top w:val="nil"/>
              <w:left w:val="nil"/>
              <w:bottom w:val="single" w:sz="8" w:space="0" w:color="auto"/>
              <w:right w:val="single" w:sz="8" w:space="0" w:color="auto"/>
            </w:tcBorders>
            <w:noWrap/>
            <w:tcMar>
              <w:top w:w="0" w:type="dxa"/>
              <w:left w:w="108" w:type="dxa"/>
              <w:bottom w:w="0" w:type="dxa"/>
              <w:right w:w="108" w:type="dxa"/>
            </w:tcMar>
            <w:vAlign w:val="bottom"/>
          </w:tcPr>
          <w:p w:rsidR="004A147C" w:rsidRPr="00B53FFB" w:rsidRDefault="004A147C" w:rsidP="00CE5850">
            <w:pPr>
              <w:jc w:val="right"/>
              <w:rPr>
                <w:rFonts w:eastAsia="Times New Roman"/>
                <w:color w:val="000000"/>
                <w:kern w:val="0"/>
                <w:szCs w:val="22"/>
              </w:rPr>
            </w:pPr>
            <w:r w:rsidRPr="00B53FFB">
              <w:rPr>
                <w:rFonts w:eastAsia="Times New Roman"/>
                <w:color w:val="000000"/>
                <w:kern w:val="0"/>
                <w:szCs w:val="22"/>
              </w:rPr>
              <w:t>2.3</w:t>
            </w:r>
          </w:p>
        </w:tc>
      </w:tr>
      <w:tr w:rsidR="004A147C" w:rsidRPr="00B53FFB" w:rsidTr="00D626F5">
        <w:trPr>
          <w:trHeight w:val="255"/>
          <w:jc w:val="center"/>
        </w:trPr>
        <w:tc>
          <w:tcPr>
            <w:tcW w:w="0" w:type="auto"/>
            <w:tcBorders>
              <w:top w:val="nil"/>
              <w:left w:val="single" w:sz="8" w:space="0" w:color="auto"/>
              <w:bottom w:val="single" w:sz="8" w:space="0" w:color="auto"/>
              <w:right w:val="single" w:sz="8" w:space="0" w:color="auto"/>
            </w:tcBorders>
            <w:noWrap/>
            <w:tcMar>
              <w:top w:w="0" w:type="dxa"/>
              <w:left w:w="108" w:type="dxa"/>
              <w:bottom w:w="0" w:type="dxa"/>
              <w:right w:w="108" w:type="dxa"/>
            </w:tcMar>
            <w:vAlign w:val="bottom"/>
          </w:tcPr>
          <w:p w:rsidR="004A147C" w:rsidRPr="00B53FFB" w:rsidRDefault="004A147C" w:rsidP="00CE5850">
            <w:pPr>
              <w:jc w:val="right"/>
              <w:rPr>
                <w:rFonts w:eastAsia="Times New Roman"/>
                <w:color w:val="000000"/>
                <w:kern w:val="0"/>
                <w:szCs w:val="22"/>
              </w:rPr>
            </w:pPr>
            <w:r w:rsidRPr="00B53FFB">
              <w:rPr>
                <w:rFonts w:eastAsia="Times New Roman"/>
                <w:color w:val="000000"/>
                <w:kern w:val="0"/>
                <w:szCs w:val="22"/>
              </w:rPr>
              <w:t>Jun-08</w:t>
            </w:r>
          </w:p>
        </w:tc>
        <w:tc>
          <w:tcPr>
            <w:tcW w:w="0" w:type="auto"/>
            <w:tcBorders>
              <w:top w:val="nil"/>
              <w:left w:val="nil"/>
              <w:bottom w:val="single" w:sz="8" w:space="0" w:color="auto"/>
              <w:right w:val="single" w:sz="8" w:space="0" w:color="auto"/>
            </w:tcBorders>
            <w:noWrap/>
            <w:tcMar>
              <w:top w:w="0" w:type="dxa"/>
              <w:left w:w="108" w:type="dxa"/>
              <w:bottom w:w="0" w:type="dxa"/>
              <w:right w:w="108" w:type="dxa"/>
            </w:tcMar>
            <w:vAlign w:val="bottom"/>
          </w:tcPr>
          <w:p w:rsidR="004A147C" w:rsidRPr="00B53FFB" w:rsidRDefault="004A147C" w:rsidP="00CE5850">
            <w:pPr>
              <w:jc w:val="right"/>
              <w:rPr>
                <w:rFonts w:eastAsia="Times New Roman"/>
                <w:color w:val="000000"/>
                <w:kern w:val="0"/>
                <w:szCs w:val="22"/>
              </w:rPr>
            </w:pPr>
            <w:r w:rsidRPr="00B53FFB">
              <w:rPr>
                <w:rFonts w:eastAsia="Times New Roman"/>
                <w:color w:val="000000"/>
                <w:kern w:val="0"/>
                <w:szCs w:val="22"/>
              </w:rPr>
              <w:t>248</w:t>
            </w:r>
          </w:p>
        </w:tc>
        <w:tc>
          <w:tcPr>
            <w:tcW w:w="0" w:type="auto"/>
            <w:tcBorders>
              <w:top w:val="nil"/>
              <w:left w:val="nil"/>
              <w:bottom w:val="single" w:sz="8" w:space="0" w:color="auto"/>
              <w:right w:val="single" w:sz="8" w:space="0" w:color="auto"/>
            </w:tcBorders>
            <w:noWrap/>
            <w:tcMar>
              <w:top w:w="0" w:type="dxa"/>
              <w:left w:w="108" w:type="dxa"/>
              <w:bottom w:w="0" w:type="dxa"/>
              <w:right w:w="108" w:type="dxa"/>
            </w:tcMar>
            <w:vAlign w:val="bottom"/>
          </w:tcPr>
          <w:p w:rsidR="004A147C" w:rsidRPr="00B53FFB" w:rsidRDefault="004A147C" w:rsidP="00CE5850">
            <w:pPr>
              <w:jc w:val="right"/>
              <w:rPr>
                <w:rFonts w:eastAsia="Times New Roman"/>
                <w:color w:val="000000"/>
                <w:kern w:val="0"/>
                <w:szCs w:val="22"/>
              </w:rPr>
            </w:pPr>
            <w:r w:rsidRPr="00B53FFB">
              <w:rPr>
                <w:rFonts w:eastAsia="Times New Roman"/>
                <w:color w:val="000000"/>
                <w:kern w:val="0"/>
                <w:szCs w:val="22"/>
              </w:rPr>
              <w:t>3.6</w:t>
            </w:r>
          </w:p>
        </w:tc>
      </w:tr>
      <w:tr w:rsidR="004A147C" w:rsidRPr="00B53FFB" w:rsidTr="00D626F5">
        <w:trPr>
          <w:trHeight w:val="255"/>
          <w:jc w:val="center"/>
        </w:trPr>
        <w:tc>
          <w:tcPr>
            <w:tcW w:w="0" w:type="auto"/>
            <w:tcBorders>
              <w:top w:val="nil"/>
              <w:left w:val="single" w:sz="8" w:space="0" w:color="auto"/>
              <w:bottom w:val="single" w:sz="8" w:space="0" w:color="auto"/>
              <w:right w:val="single" w:sz="8" w:space="0" w:color="auto"/>
            </w:tcBorders>
            <w:noWrap/>
            <w:tcMar>
              <w:top w:w="0" w:type="dxa"/>
              <w:left w:w="108" w:type="dxa"/>
              <w:bottom w:w="0" w:type="dxa"/>
              <w:right w:w="108" w:type="dxa"/>
            </w:tcMar>
            <w:vAlign w:val="bottom"/>
          </w:tcPr>
          <w:p w:rsidR="004A147C" w:rsidRPr="00B53FFB" w:rsidRDefault="004A147C" w:rsidP="00CE5850">
            <w:pPr>
              <w:jc w:val="right"/>
              <w:rPr>
                <w:rFonts w:eastAsia="Times New Roman"/>
                <w:color w:val="000000"/>
                <w:kern w:val="0"/>
                <w:szCs w:val="22"/>
              </w:rPr>
            </w:pPr>
            <w:r w:rsidRPr="00B53FFB">
              <w:rPr>
                <w:rFonts w:eastAsia="Times New Roman"/>
                <w:color w:val="000000"/>
                <w:kern w:val="0"/>
                <w:szCs w:val="22"/>
              </w:rPr>
              <w:t>Dec-08</w:t>
            </w:r>
          </w:p>
        </w:tc>
        <w:tc>
          <w:tcPr>
            <w:tcW w:w="0" w:type="auto"/>
            <w:tcBorders>
              <w:top w:val="nil"/>
              <w:left w:val="nil"/>
              <w:bottom w:val="single" w:sz="8" w:space="0" w:color="auto"/>
              <w:right w:val="single" w:sz="8" w:space="0" w:color="auto"/>
            </w:tcBorders>
            <w:noWrap/>
            <w:tcMar>
              <w:top w:w="0" w:type="dxa"/>
              <w:left w:w="108" w:type="dxa"/>
              <w:bottom w:w="0" w:type="dxa"/>
              <w:right w:w="108" w:type="dxa"/>
            </w:tcMar>
            <w:vAlign w:val="bottom"/>
          </w:tcPr>
          <w:p w:rsidR="004A147C" w:rsidRPr="00B53FFB" w:rsidRDefault="004A147C" w:rsidP="00CE5850">
            <w:pPr>
              <w:jc w:val="right"/>
              <w:rPr>
                <w:rFonts w:eastAsia="Times New Roman"/>
                <w:color w:val="000000"/>
                <w:kern w:val="0"/>
                <w:szCs w:val="22"/>
              </w:rPr>
            </w:pPr>
            <w:r w:rsidRPr="00B53FFB">
              <w:rPr>
                <w:rFonts w:eastAsia="Times New Roman"/>
                <w:color w:val="000000"/>
                <w:kern w:val="0"/>
                <w:szCs w:val="22"/>
              </w:rPr>
              <w:t>388</w:t>
            </w:r>
          </w:p>
        </w:tc>
        <w:tc>
          <w:tcPr>
            <w:tcW w:w="0" w:type="auto"/>
            <w:tcBorders>
              <w:top w:val="nil"/>
              <w:left w:val="nil"/>
              <w:bottom w:val="single" w:sz="8" w:space="0" w:color="auto"/>
              <w:right w:val="single" w:sz="8" w:space="0" w:color="auto"/>
            </w:tcBorders>
            <w:noWrap/>
            <w:tcMar>
              <w:top w:w="0" w:type="dxa"/>
              <w:left w:w="108" w:type="dxa"/>
              <w:bottom w:w="0" w:type="dxa"/>
              <w:right w:w="108" w:type="dxa"/>
            </w:tcMar>
            <w:vAlign w:val="bottom"/>
          </w:tcPr>
          <w:p w:rsidR="004A147C" w:rsidRPr="00B53FFB" w:rsidRDefault="004A147C" w:rsidP="00CE5850">
            <w:pPr>
              <w:jc w:val="right"/>
              <w:rPr>
                <w:rFonts w:eastAsia="Times New Roman"/>
                <w:color w:val="000000"/>
                <w:kern w:val="0"/>
                <w:szCs w:val="22"/>
              </w:rPr>
            </w:pPr>
            <w:r w:rsidRPr="00B53FFB">
              <w:rPr>
                <w:rFonts w:eastAsia="Times New Roman"/>
                <w:color w:val="000000"/>
                <w:kern w:val="0"/>
                <w:szCs w:val="22"/>
              </w:rPr>
              <w:t>5.8</w:t>
            </w:r>
          </w:p>
        </w:tc>
      </w:tr>
      <w:tr w:rsidR="004A147C" w:rsidRPr="00B53FFB" w:rsidTr="00D626F5">
        <w:trPr>
          <w:trHeight w:val="255"/>
          <w:jc w:val="center"/>
        </w:trPr>
        <w:tc>
          <w:tcPr>
            <w:tcW w:w="0" w:type="auto"/>
            <w:tcBorders>
              <w:top w:val="nil"/>
              <w:left w:val="single" w:sz="8" w:space="0" w:color="auto"/>
              <w:bottom w:val="single" w:sz="8" w:space="0" w:color="auto"/>
              <w:right w:val="single" w:sz="8" w:space="0" w:color="auto"/>
            </w:tcBorders>
            <w:noWrap/>
            <w:tcMar>
              <w:top w:w="0" w:type="dxa"/>
              <w:left w:w="108" w:type="dxa"/>
              <w:bottom w:w="0" w:type="dxa"/>
              <w:right w:w="108" w:type="dxa"/>
            </w:tcMar>
            <w:vAlign w:val="bottom"/>
          </w:tcPr>
          <w:p w:rsidR="004A147C" w:rsidRPr="00B53FFB" w:rsidRDefault="004A147C" w:rsidP="00CE5850">
            <w:pPr>
              <w:jc w:val="right"/>
              <w:rPr>
                <w:rFonts w:eastAsia="Times New Roman"/>
                <w:color w:val="000000"/>
                <w:kern w:val="0"/>
                <w:szCs w:val="22"/>
              </w:rPr>
            </w:pPr>
            <w:r w:rsidRPr="00B53FFB">
              <w:rPr>
                <w:rFonts w:eastAsia="Times New Roman"/>
                <w:color w:val="000000"/>
                <w:kern w:val="0"/>
                <w:szCs w:val="22"/>
              </w:rPr>
              <w:t>Jun-09</w:t>
            </w:r>
          </w:p>
        </w:tc>
        <w:tc>
          <w:tcPr>
            <w:tcW w:w="0" w:type="auto"/>
            <w:tcBorders>
              <w:top w:val="nil"/>
              <w:left w:val="nil"/>
              <w:bottom w:val="single" w:sz="8" w:space="0" w:color="auto"/>
              <w:right w:val="single" w:sz="8" w:space="0" w:color="auto"/>
            </w:tcBorders>
            <w:noWrap/>
            <w:tcMar>
              <w:top w:w="0" w:type="dxa"/>
              <w:left w:w="108" w:type="dxa"/>
              <w:bottom w:w="0" w:type="dxa"/>
              <w:right w:w="108" w:type="dxa"/>
            </w:tcMar>
            <w:vAlign w:val="bottom"/>
          </w:tcPr>
          <w:p w:rsidR="004A147C" w:rsidRPr="00B53FFB" w:rsidRDefault="004A147C" w:rsidP="00CE5850">
            <w:pPr>
              <w:jc w:val="right"/>
              <w:rPr>
                <w:rFonts w:eastAsia="Times New Roman"/>
                <w:color w:val="000000"/>
                <w:kern w:val="0"/>
                <w:szCs w:val="22"/>
              </w:rPr>
            </w:pPr>
            <w:r w:rsidRPr="00B53FFB">
              <w:rPr>
                <w:rFonts w:eastAsia="Times New Roman"/>
                <w:color w:val="000000"/>
                <w:kern w:val="0"/>
                <w:szCs w:val="22"/>
              </w:rPr>
              <w:t>451</w:t>
            </w:r>
          </w:p>
        </w:tc>
        <w:tc>
          <w:tcPr>
            <w:tcW w:w="0" w:type="auto"/>
            <w:tcBorders>
              <w:top w:val="nil"/>
              <w:left w:val="nil"/>
              <w:bottom w:val="single" w:sz="8" w:space="0" w:color="auto"/>
              <w:right w:val="single" w:sz="8" w:space="0" w:color="auto"/>
            </w:tcBorders>
            <w:noWrap/>
            <w:tcMar>
              <w:top w:w="0" w:type="dxa"/>
              <w:left w:w="108" w:type="dxa"/>
              <w:bottom w:w="0" w:type="dxa"/>
              <w:right w:w="108" w:type="dxa"/>
            </w:tcMar>
            <w:vAlign w:val="bottom"/>
          </w:tcPr>
          <w:p w:rsidR="004A147C" w:rsidRPr="00B53FFB" w:rsidRDefault="004A147C" w:rsidP="00CE5850">
            <w:pPr>
              <w:jc w:val="right"/>
              <w:rPr>
                <w:rFonts w:eastAsia="Times New Roman"/>
                <w:color w:val="000000"/>
                <w:kern w:val="0"/>
                <w:szCs w:val="22"/>
              </w:rPr>
            </w:pPr>
            <w:r w:rsidRPr="00B53FFB">
              <w:rPr>
                <w:rFonts w:eastAsia="Times New Roman"/>
                <w:color w:val="000000"/>
                <w:kern w:val="0"/>
                <w:szCs w:val="22"/>
              </w:rPr>
              <w:t>6.3</w:t>
            </w:r>
          </w:p>
        </w:tc>
      </w:tr>
      <w:tr w:rsidR="004A147C" w:rsidRPr="00B53FFB" w:rsidTr="00D626F5">
        <w:trPr>
          <w:trHeight w:val="255"/>
          <w:jc w:val="center"/>
        </w:trPr>
        <w:tc>
          <w:tcPr>
            <w:tcW w:w="0" w:type="auto"/>
            <w:tcBorders>
              <w:top w:val="nil"/>
              <w:left w:val="single" w:sz="8" w:space="0" w:color="auto"/>
              <w:bottom w:val="single" w:sz="8" w:space="0" w:color="auto"/>
              <w:right w:val="single" w:sz="8" w:space="0" w:color="auto"/>
            </w:tcBorders>
            <w:noWrap/>
            <w:tcMar>
              <w:top w:w="0" w:type="dxa"/>
              <w:left w:w="108" w:type="dxa"/>
              <w:bottom w:w="0" w:type="dxa"/>
              <w:right w:w="108" w:type="dxa"/>
            </w:tcMar>
            <w:vAlign w:val="bottom"/>
          </w:tcPr>
          <w:p w:rsidR="004A147C" w:rsidRPr="00B53FFB" w:rsidRDefault="004A147C" w:rsidP="00CE5850">
            <w:pPr>
              <w:jc w:val="right"/>
              <w:rPr>
                <w:rFonts w:eastAsia="Times New Roman"/>
                <w:color w:val="000000"/>
                <w:kern w:val="0"/>
                <w:szCs w:val="22"/>
              </w:rPr>
            </w:pPr>
            <w:r w:rsidRPr="00B53FFB">
              <w:rPr>
                <w:rFonts w:eastAsia="Times New Roman"/>
                <w:color w:val="000000"/>
                <w:kern w:val="0"/>
                <w:szCs w:val="22"/>
              </w:rPr>
              <w:t>Dec-09</w:t>
            </w:r>
          </w:p>
        </w:tc>
        <w:tc>
          <w:tcPr>
            <w:tcW w:w="0" w:type="auto"/>
            <w:tcBorders>
              <w:top w:val="nil"/>
              <w:left w:val="nil"/>
              <w:bottom w:val="single" w:sz="8" w:space="0" w:color="auto"/>
              <w:right w:val="single" w:sz="8" w:space="0" w:color="auto"/>
            </w:tcBorders>
            <w:noWrap/>
            <w:tcMar>
              <w:top w:w="0" w:type="dxa"/>
              <w:left w:w="108" w:type="dxa"/>
              <w:bottom w:w="0" w:type="dxa"/>
              <w:right w:w="108" w:type="dxa"/>
            </w:tcMar>
            <w:vAlign w:val="bottom"/>
          </w:tcPr>
          <w:p w:rsidR="004A147C" w:rsidRPr="00B53FFB" w:rsidRDefault="004A147C" w:rsidP="00CE5850">
            <w:pPr>
              <w:jc w:val="right"/>
              <w:rPr>
                <w:rFonts w:eastAsia="Times New Roman"/>
                <w:color w:val="000000"/>
                <w:kern w:val="0"/>
                <w:szCs w:val="22"/>
              </w:rPr>
            </w:pPr>
            <w:r w:rsidRPr="00B53FFB">
              <w:rPr>
                <w:rFonts w:eastAsia="Times New Roman"/>
                <w:color w:val="000000"/>
                <w:kern w:val="0"/>
                <w:szCs w:val="22"/>
              </w:rPr>
              <w:t>488</w:t>
            </w:r>
          </w:p>
        </w:tc>
        <w:tc>
          <w:tcPr>
            <w:tcW w:w="0" w:type="auto"/>
            <w:tcBorders>
              <w:top w:val="nil"/>
              <w:left w:val="nil"/>
              <w:bottom w:val="single" w:sz="8" w:space="0" w:color="auto"/>
              <w:right w:val="single" w:sz="8" w:space="0" w:color="auto"/>
            </w:tcBorders>
            <w:noWrap/>
            <w:tcMar>
              <w:top w:w="0" w:type="dxa"/>
              <w:left w:w="108" w:type="dxa"/>
              <w:bottom w:w="0" w:type="dxa"/>
              <w:right w:w="108" w:type="dxa"/>
            </w:tcMar>
            <w:vAlign w:val="bottom"/>
          </w:tcPr>
          <w:p w:rsidR="004A147C" w:rsidRPr="00B53FFB" w:rsidRDefault="004A147C" w:rsidP="00CE5850">
            <w:pPr>
              <w:jc w:val="right"/>
              <w:rPr>
                <w:rFonts w:eastAsia="Times New Roman"/>
                <w:color w:val="000000"/>
                <w:kern w:val="0"/>
                <w:szCs w:val="22"/>
              </w:rPr>
            </w:pPr>
            <w:r w:rsidRPr="00B53FFB">
              <w:rPr>
                <w:rFonts w:eastAsia="Times New Roman"/>
                <w:color w:val="000000"/>
                <w:kern w:val="0"/>
                <w:szCs w:val="22"/>
              </w:rPr>
              <w:t>14.4</w:t>
            </w:r>
          </w:p>
        </w:tc>
      </w:tr>
      <w:tr w:rsidR="004A147C" w:rsidRPr="00B53FFB" w:rsidTr="00D626F5">
        <w:trPr>
          <w:trHeight w:val="255"/>
          <w:jc w:val="center"/>
        </w:trPr>
        <w:tc>
          <w:tcPr>
            <w:tcW w:w="0" w:type="auto"/>
            <w:tcBorders>
              <w:top w:val="nil"/>
              <w:left w:val="single" w:sz="8" w:space="0" w:color="auto"/>
              <w:bottom w:val="single" w:sz="8" w:space="0" w:color="auto"/>
              <w:right w:val="single" w:sz="8" w:space="0" w:color="auto"/>
            </w:tcBorders>
            <w:noWrap/>
            <w:tcMar>
              <w:top w:w="0" w:type="dxa"/>
              <w:left w:w="108" w:type="dxa"/>
              <w:bottom w:w="0" w:type="dxa"/>
              <w:right w:w="108" w:type="dxa"/>
            </w:tcMar>
            <w:vAlign w:val="bottom"/>
          </w:tcPr>
          <w:p w:rsidR="004A147C" w:rsidRPr="00B53FFB" w:rsidRDefault="004A147C" w:rsidP="00CE5850">
            <w:pPr>
              <w:jc w:val="right"/>
              <w:rPr>
                <w:rFonts w:eastAsia="Times New Roman"/>
                <w:color w:val="000000"/>
                <w:kern w:val="0"/>
                <w:szCs w:val="22"/>
              </w:rPr>
            </w:pPr>
            <w:r w:rsidRPr="00B53FFB">
              <w:rPr>
                <w:rFonts w:eastAsia="Times New Roman"/>
                <w:color w:val="000000"/>
                <w:kern w:val="0"/>
                <w:szCs w:val="22"/>
              </w:rPr>
              <w:t>Jun-10</w:t>
            </w:r>
          </w:p>
        </w:tc>
        <w:tc>
          <w:tcPr>
            <w:tcW w:w="0" w:type="auto"/>
            <w:tcBorders>
              <w:top w:val="nil"/>
              <w:left w:val="nil"/>
              <w:bottom w:val="single" w:sz="8" w:space="0" w:color="auto"/>
              <w:right w:val="single" w:sz="8" w:space="0" w:color="auto"/>
            </w:tcBorders>
            <w:noWrap/>
            <w:tcMar>
              <w:top w:w="0" w:type="dxa"/>
              <w:left w:w="108" w:type="dxa"/>
              <w:bottom w:w="0" w:type="dxa"/>
              <w:right w:w="108" w:type="dxa"/>
            </w:tcMar>
            <w:vAlign w:val="bottom"/>
          </w:tcPr>
          <w:p w:rsidR="004A147C" w:rsidRPr="00B53FFB" w:rsidRDefault="004A147C" w:rsidP="00CE5850">
            <w:pPr>
              <w:jc w:val="right"/>
              <w:rPr>
                <w:rFonts w:eastAsia="Times New Roman"/>
                <w:color w:val="000000"/>
                <w:kern w:val="0"/>
                <w:szCs w:val="22"/>
              </w:rPr>
            </w:pPr>
            <w:r w:rsidRPr="00B53FFB">
              <w:rPr>
                <w:rFonts w:eastAsia="Times New Roman"/>
                <w:color w:val="000000"/>
                <w:kern w:val="0"/>
                <w:szCs w:val="22"/>
              </w:rPr>
              <w:t>566</w:t>
            </w:r>
          </w:p>
        </w:tc>
        <w:tc>
          <w:tcPr>
            <w:tcW w:w="0" w:type="auto"/>
            <w:tcBorders>
              <w:top w:val="nil"/>
              <w:left w:val="nil"/>
              <w:bottom w:val="single" w:sz="8" w:space="0" w:color="auto"/>
              <w:right w:val="single" w:sz="8" w:space="0" w:color="auto"/>
            </w:tcBorders>
            <w:noWrap/>
            <w:tcMar>
              <w:top w:w="0" w:type="dxa"/>
              <w:left w:w="108" w:type="dxa"/>
              <w:bottom w:w="0" w:type="dxa"/>
              <w:right w:w="108" w:type="dxa"/>
            </w:tcMar>
            <w:vAlign w:val="bottom"/>
          </w:tcPr>
          <w:p w:rsidR="004A147C" w:rsidRPr="00B53FFB" w:rsidRDefault="004A147C" w:rsidP="00CE5850">
            <w:pPr>
              <w:jc w:val="right"/>
              <w:rPr>
                <w:rFonts w:eastAsia="Times New Roman"/>
                <w:color w:val="000000"/>
                <w:kern w:val="0"/>
                <w:szCs w:val="22"/>
              </w:rPr>
            </w:pPr>
            <w:r w:rsidRPr="00B53FFB">
              <w:rPr>
                <w:rFonts w:eastAsia="Times New Roman"/>
                <w:color w:val="000000"/>
                <w:kern w:val="0"/>
                <w:szCs w:val="22"/>
              </w:rPr>
              <w:t>18.5</w:t>
            </w:r>
          </w:p>
        </w:tc>
      </w:tr>
      <w:tr w:rsidR="004A147C" w:rsidRPr="00B53FFB" w:rsidTr="00D626F5">
        <w:trPr>
          <w:trHeight w:val="255"/>
          <w:jc w:val="center"/>
        </w:trPr>
        <w:tc>
          <w:tcPr>
            <w:tcW w:w="0" w:type="auto"/>
            <w:tcBorders>
              <w:top w:val="nil"/>
              <w:left w:val="single" w:sz="8" w:space="0" w:color="auto"/>
              <w:bottom w:val="single" w:sz="8" w:space="0" w:color="auto"/>
              <w:right w:val="single" w:sz="8" w:space="0" w:color="auto"/>
            </w:tcBorders>
            <w:noWrap/>
            <w:tcMar>
              <w:top w:w="0" w:type="dxa"/>
              <w:left w:w="108" w:type="dxa"/>
              <w:bottom w:w="0" w:type="dxa"/>
              <w:right w:w="108" w:type="dxa"/>
            </w:tcMar>
            <w:vAlign w:val="bottom"/>
          </w:tcPr>
          <w:p w:rsidR="004A147C" w:rsidRPr="00B53FFB" w:rsidRDefault="004A147C" w:rsidP="00CE5850">
            <w:pPr>
              <w:jc w:val="right"/>
              <w:rPr>
                <w:rFonts w:eastAsia="Times New Roman"/>
                <w:color w:val="000000"/>
                <w:kern w:val="0"/>
                <w:szCs w:val="22"/>
              </w:rPr>
            </w:pPr>
            <w:r w:rsidRPr="00B53FFB">
              <w:rPr>
                <w:rFonts w:eastAsia="Times New Roman"/>
                <w:color w:val="000000"/>
                <w:kern w:val="0"/>
                <w:szCs w:val="22"/>
              </w:rPr>
              <w:t>Dec-10</w:t>
            </w:r>
          </w:p>
        </w:tc>
        <w:tc>
          <w:tcPr>
            <w:tcW w:w="0" w:type="auto"/>
            <w:tcBorders>
              <w:top w:val="nil"/>
              <w:left w:val="nil"/>
              <w:bottom w:val="single" w:sz="8" w:space="0" w:color="auto"/>
              <w:right w:val="single" w:sz="8" w:space="0" w:color="auto"/>
            </w:tcBorders>
            <w:noWrap/>
            <w:tcMar>
              <w:top w:w="0" w:type="dxa"/>
              <w:left w:w="108" w:type="dxa"/>
              <w:bottom w:w="0" w:type="dxa"/>
              <w:right w:w="108" w:type="dxa"/>
            </w:tcMar>
            <w:vAlign w:val="bottom"/>
          </w:tcPr>
          <w:p w:rsidR="004A147C" w:rsidRPr="00B53FFB" w:rsidRDefault="004A147C" w:rsidP="00CE5850">
            <w:pPr>
              <w:jc w:val="right"/>
              <w:rPr>
                <w:rFonts w:eastAsia="Times New Roman"/>
                <w:color w:val="000000"/>
                <w:kern w:val="0"/>
                <w:szCs w:val="22"/>
              </w:rPr>
            </w:pPr>
            <w:r w:rsidRPr="00B53FFB">
              <w:rPr>
                <w:rFonts w:eastAsia="Times New Roman"/>
                <w:color w:val="000000"/>
                <w:kern w:val="0"/>
                <w:szCs w:val="22"/>
              </w:rPr>
              <w:t>598</w:t>
            </w:r>
          </w:p>
        </w:tc>
        <w:tc>
          <w:tcPr>
            <w:tcW w:w="0" w:type="auto"/>
            <w:tcBorders>
              <w:top w:val="nil"/>
              <w:left w:val="nil"/>
              <w:bottom w:val="single" w:sz="8" w:space="0" w:color="auto"/>
              <w:right w:val="single" w:sz="8" w:space="0" w:color="auto"/>
            </w:tcBorders>
            <w:noWrap/>
            <w:tcMar>
              <w:top w:w="0" w:type="dxa"/>
              <w:left w:w="108" w:type="dxa"/>
              <w:bottom w:w="0" w:type="dxa"/>
              <w:right w:w="108" w:type="dxa"/>
            </w:tcMar>
            <w:vAlign w:val="bottom"/>
          </w:tcPr>
          <w:p w:rsidR="004A147C" w:rsidRPr="00B53FFB" w:rsidRDefault="004A147C" w:rsidP="00CE5850">
            <w:pPr>
              <w:jc w:val="right"/>
              <w:rPr>
                <w:rFonts w:eastAsia="Times New Roman"/>
                <w:color w:val="000000"/>
                <w:kern w:val="0"/>
                <w:szCs w:val="22"/>
              </w:rPr>
            </w:pPr>
            <w:r w:rsidRPr="00B53FFB">
              <w:rPr>
                <w:rFonts w:eastAsia="Times New Roman"/>
                <w:color w:val="000000"/>
                <w:kern w:val="0"/>
                <w:szCs w:val="22"/>
              </w:rPr>
              <w:t>13.7</w:t>
            </w:r>
          </w:p>
        </w:tc>
      </w:tr>
      <w:tr w:rsidR="004A147C" w:rsidRPr="00B53FFB" w:rsidTr="00D626F5">
        <w:trPr>
          <w:trHeight w:val="255"/>
          <w:jc w:val="center"/>
        </w:trPr>
        <w:tc>
          <w:tcPr>
            <w:tcW w:w="0" w:type="auto"/>
            <w:tcBorders>
              <w:top w:val="nil"/>
              <w:left w:val="single" w:sz="8" w:space="0" w:color="auto"/>
              <w:bottom w:val="single" w:sz="8" w:space="0" w:color="auto"/>
              <w:right w:val="single" w:sz="8" w:space="0" w:color="auto"/>
            </w:tcBorders>
            <w:noWrap/>
            <w:tcMar>
              <w:top w:w="0" w:type="dxa"/>
              <w:left w:w="108" w:type="dxa"/>
              <w:bottom w:w="0" w:type="dxa"/>
              <w:right w:w="108" w:type="dxa"/>
            </w:tcMar>
            <w:vAlign w:val="bottom"/>
          </w:tcPr>
          <w:p w:rsidR="004A147C" w:rsidRPr="00B53FFB" w:rsidRDefault="004A147C" w:rsidP="00CE5850">
            <w:pPr>
              <w:jc w:val="right"/>
              <w:rPr>
                <w:rFonts w:eastAsia="Times New Roman"/>
                <w:color w:val="000000"/>
                <w:kern w:val="0"/>
                <w:szCs w:val="22"/>
              </w:rPr>
            </w:pPr>
            <w:r w:rsidRPr="00B53FFB">
              <w:rPr>
                <w:rFonts w:eastAsia="Times New Roman"/>
                <w:color w:val="000000"/>
                <w:kern w:val="0"/>
                <w:szCs w:val="22"/>
              </w:rPr>
              <w:t>Jun-11</w:t>
            </w:r>
          </w:p>
        </w:tc>
        <w:tc>
          <w:tcPr>
            <w:tcW w:w="0" w:type="auto"/>
            <w:tcBorders>
              <w:top w:val="nil"/>
              <w:left w:val="nil"/>
              <w:bottom w:val="single" w:sz="8" w:space="0" w:color="auto"/>
              <w:right w:val="single" w:sz="8" w:space="0" w:color="auto"/>
            </w:tcBorders>
            <w:noWrap/>
            <w:tcMar>
              <w:top w:w="0" w:type="dxa"/>
              <w:left w:w="108" w:type="dxa"/>
              <w:bottom w:w="0" w:type="dxa"/>
              <w:right w:w="108" w:type="dxa"/>
            </w:tcMar>
            <w:vAlign w:val="bottom"/>
          </w:tcPr>
          <w:p w:rsidR="004A147C" w:rsidRPr="00B53FFB" w:rsidRDefault="004A147C" w:rsidP="00CE5850">
            <w:pPr>
              <w:jc w:val="right"/>
              <w:rPr>
                <w:rFonts w:eastAsia="Times New Roman"/>
                <w:color w:val="000000"/>
                <w:kern w:val="0"/>
                <w:szCs w:val="22"/>
              </w:rPr>
            </w:pPr>
            <w:r w:rsidRPr="00B53FFB">
              <w:rPr>
                <w:rFonts w:eastAsia="Times New Roman"/>
                <w:color w:val="000000"/>
                <w:kern w:val="0"/>
                <w:szCs w:val="22"/>
              </w:rPr>
              <w:t>606</w:t>
            </w:r>
          </w:p>
        </w:tc>
        <w:tc>
          <w:tcPr>
            <w:tcW w:w="0" w:type="auto"/>
            <w:tcBorders>
              <w:top w:val="nil"/>
              <w:left w:val="nil"/>
              <w:bottom w:val="single" w:sz="8" w:space="0" w:color="auto"/>
              <w:right w:val="single" w:sz="8" w:space="0" w:color="auto"/>
            </w:tcBorders>
            <w:noWrap/>
            <w:tcMar>
              <w:top w:w="0" w:type="dxa"/>
              <w:left w:w="108" w:type="dxa"/>
              <w:bottom w:w="0" w:type="dxa"/>
              <w:right w:w="108" w:type="dxa"/>
            </w:tcMar>
            <w:vAlign w:val="bottom"/>
          </w:tcPr>
          <w:p w:rsidR="004A147C" w:rsidRPr="00B53FFB" w:rsidRDefault="004A147C" w:rsidP="00CE5850">
            <w:pPr>
              <w:jc w:val="right"/>
              <w:rPr>
                <w:rFonts w:eastAsia="Times New Roman"/>
                <w:color w:val="000000"/>
                <w:kern w:val="0"/>
                <w:szCs w:val="22"/>
              </w:rPr>
            </w:pPr>
            <w:r w:rsidRPr="00B53FFB">
              <w:rPr>
                <w:rFonts w:eastAsia="Times New Roman"/>
                <w:color w:val="000000"/>
                <w:kern w:val="0"/>
                <w:szCs w:val="22"/>
              </w:rPr>
              <w:t>15.0</w:t>
            </w:r>
          </w:p>
        </w:tc>
      </w:tr>
      <w:tr w:rsidR="004A147C" w:rsidRPr="00B53FFB" w:rsidTr="00D626F5">
        <w:trPr>
          <w:trHeight w:val="255"/>
          <w:jc w:val="center"/>
        </w:trPr>
        <w:tc>
          <w:tcPr>
            <w:tcW w:w="0" w:type="auto"/>
            <w:tcBorders>
              <w:top w:val="nil"/>
              <w:left w:val="single" w:sz="8" w:space="0" w:color="auto"/>
              <w:bottom w:val="single" w:sz="8" w:space="0" w:color="auto"/>
              <w:right w:val="single" w:sz="8" w:space="0" w:color="auto"/>
            </w:tcBorders>
            <w:noWrap/>
            <w:tcMar>
              <w:top w:w="0" w:type="dxa"/>
              <w:left w:w="108" w:type="dxa"/>
              <w:bottom w:w="0" w:type="dxa"/>
              <w:right w:w="108" w:type="dxa"/>
            </w:tcMar>
            <w:vAlign w:val="bottom"/>
          </w:tcPr>
          <w:p w:rsidR="004A147C" w:rsidRPr="00B53FFB" w:rsidRDefault="004A147C" w:rsidP="00CE5850">
            <w:pPr>
              <w:jc w:val="right"/>
              <w:rPr>
                <w:rFonts w:eastAsia="Times New Roman"/>
                <w:color w:val="000000"/>
                <w:kern w:val="0"/>
                <w:szCs w:val="22"/>
              </w:rPr>
            </w:pPr>
            <w:r w:rsidRPr="00B53FFB">
              <w:rPr>
                <w:rFonts w:eastAsia="Times New Roman"/>
                <w:color w:val="000000"/>
                <w:kern w:val="0"/>
                <w:szCs w:val="22"/>
              </w:rPr>
              <w:t>Dec-11</w:t>
            </w:r>
          </w:p>
        </w:tc>
        <w:tc>
          <w:tcPr>
            <w:tcW w:w="0" w:type="auto"/>
            <w:tcBorders>
              <w:top w:val="nil"/>
              <w:left w:val="nil"/>
              <w:bottom w:val="single" w:sz="8" w:space="0" w:color="auto"/>
              <w:right w:val="single" w:sz="8" w:space="0" w:color="auto"/>
            </w:tcBorders>
            <w:noWrap/>
            <w:tcMar>
              <w:top w:w="0" w:type="dxa"/>
              <w:left w:w="108" w:type="dxa"/>
              <w:bottom w:w="0" w:type="dxa"/>
              <w:right w:w="108" w:type="dxa"/>
            </w:tcMar>
            <w:vAlign w:val="bottom"/>
          </w:tcPr>
          <w:p w:rsidR="004A147C" w:rsidRPr="00B53FFB" w:rsidRDefault="004A147C" w:rsidP="00CE5850">
            <w:pPr>
              <w:jc w:val="right"/>
              <w:rPr>
                <w:rFonts w:eastAsia="Times New Roman"/>
                <w:color w:val="000000"/>
                <w:kern w:val="0"/>
                <w:szCs w:val="22"/>
              </w:rPr>
            </w:pPr>
            <w:r w:rsidRPr="00B53FFB">
              <w:rPr>
                <w:rFonts w:eastAsia="Times New Roman"/>
                <w:color w:val="000000"/>
                <w:kern w:val="0"/>
                <w:szCs w:val="22"/>
              </w:rPr>
              <w:t>594</w:t>
            </w:r>
          </w:p>
        </w:tc>
        <w:tc>
          <w:tcPr>
            <w:tcW w:w="0" w:type="auto"/>
            <w:tcBorders>
              <w:top w:val="nil"/>
              <w:left w:val="nil"/>
              <w:bottom w:val="single" w:sz="8" w:space="0" w:color="auto"/>
              <w:right w:val="single" w:sz="8" w:space="0" w:color="auto"/>
            </w:tcBorders>
            <w:noWrap/>
            <w:tcMar>
              <w:top w:w="0" w:type="dxa"/>
              <w:left w:w="108" w:type="dxa"/>
              <w:bottom w:w="0" w:type="dxa"/>
              <w:right w:w="108" w:type="dxa"/>
            </w:tcMar>
            <w:vAlign w:val="bottom"/>
          </w:tcPr>
          <w:p w:rsidR="004A147C" w:rsidRPr="00B53FFB" w:rsidRDefault="004A147C" w:rsidP="00CE5850">
            <w:pPr>
              <w:jc w:val="right"/>
              <w:rPr>
                <w:rFonts w:eastAsia="Times New Roman"/>
                <w:color w:val="000000"/>
                <w:kern w:val="0"/>
                <w:szCs w:val="22"/>
              </w:rPr>
            </w:pPr>
            <w:r w:rsidRPr="00B53FFB">
              <w:rPr>
                <w:rFonts w:eastAsia="Times New Roman"/>
                <w:color w:val="000000"/>
                <w:kern w:val="0"/>
                <w:szCs w:val="22"/>
              </w:rPr>
              <w:t>12.5</w:t>
            </w:r>
          </w:p>
        </w:tc>
      </w:tr>
    </w:tbl>
    <w:p w:rsidR="004A147C" w:rsidRPr="00B53FFB" w:rsidRDefault="004A147C" w:rsidP="00CE5850">
      <w:pPr>
        <w:pStyle w:val="ParaNum"/>
        <w:tabs>
          <w:tab w:val="clear" w:pos="1440"/>
        </w:tabs>
        <w:ind w:firstLine="0"/>
        <w:rPr>
          <w:sz w:val="22"/>
          <w:szCs w:val="22"/>
        </w:rPr>
      </w:pPr>
    </w:p>
    <w:p w:rsidR="004A147C" w:rsidRPr="00B53FFB" w:rsidRDefault="004A147C" w:rsidP="00CE5850">
      <w:pPr>
        <w:pStyle w:val="Heading3"/>
        <w:keepNext w:val="0"/>
        <w:numPr>
          <w:ilvl w:val="2"/>
          <w:numId w:val="26"/>
        </w:numPr>
        <w:tabs>
          <w:tab w:val="left" w:pos="2160"/>
        </w:tabs>
        <w:rPr>
          <w:sz w:val="22"/>
          <w:szCs w:val="22"/>
          <w:lang w:val="it-IT"/>
        </w:rPr>
      </w:pPr>
      <w:bookmarkStart w:id="3690" w:name="_Ref257102348"/>
      <w:bookmarkStart w:id="3691" w:name="_Ref257102352"/>
      <w:bookmarkStart w:id="3692" w:name="_Ref257910300"/>
      <w:bookmarkStart w:id="3693" w:name="_Ref257910307"/>
      <w:bookmarkStart w:id="3694" w:name="_Toc261610791"/>
      <w:bookmarkStart w:id="3695" w:name="_Toc261858530"/>
      <w:bookmarkStart w:id="3696" w:name="_Toc262034335"/>
      <w:bookmarkStart w:id="3697" w:name="_Toc262034438"/>
      <w:bookmarkStart w:id="3698" w:name="_Toc271288478"/>
      <w:bookmarkStart w:id="3699" w:name="_Toc275517996"/>
      <w:bookmarkStart w:id="3700" w:name="_Toc275952436"/>
      <w:bookmarkStart w:id="3701" w:name="_Toc276121868"/>
      <w:bookmarkStart w:id="3702" w:name="_Toc276480704"/>
      <w:bookmarkStart w:id="3703" w:name="_Toc276741781"/>
      <w:bookmarkStart w:id="3704" w:name="_Toc277171546"/>
      <w:bookmarkStart w:id="3705" w:name="_Toc277864521"/>
      <w:bookmarkStart w:id="3706" w:name="_Toc277864737"/>
      <w:bookmarkStart w:id="3707" w:name="_Toc285810418"/>
      <w:bookmarkStart w:id="3708" w:name="_Toc287257812"/>
      <w:bookmarkStart w:id="3709" w:name="_Toc291758691"/>
      <w:bookmarkStart w:id="3710" w:name="_Toc291758794"/>
      <w:bookmarkStart w:id="3711" w:name="_Toc295392974"/>
      <w:bookmarkStart w:id="3712" w:name="_Toc329262516"/>
      <w:bookmarkStart w:id="3713" w:name="_Toc329852427"/>
      <w:bookmarkStart w:id="3714" w:name="_Toc331766343"/>
      <w:bookmarkStart w:id="3715" w:name="_Toc332119138"/>
      <w:bookmarkStart w:id="3716" w:name="_Toc334088815"/>
      <w:bookmarkStart w:id="3717" w:name="_Toc334089051"/>
      <w:bookmarkStart w:id="3718" w:name="_Toc334089210"/>
      <w:bookmarkStart w:id="3719" w:name="_Toc334089321"/>
      <w:bookmarkStart w:id="3720" w:name="_Toc334089485"/>
      <w:bookmarkStart w:id="3721" w:name="_Toc336268626"/>
      <w:bookmarkStart w:id="3722" w:name="_Toc336268734"/>
      <w:bookmarkStart w:id="3723" w:name="_Toc336268841"/>
      <w:bookmarkStart w:id="3724" w:name="_Toc336269055"/>
      <w:bookmarkStart w:id="3725" w:name="_Toc336269162"/>
      <w:bookmarkStart w:id="3726" w:name="_Toc336269530"/>
      <w:bookmarkStart w:id="3727" w:name="_Toc336269676"/>
      <w:bookmarkStart w:id="3728" w:name="_Toc336270089"/>
      <w:bookmarkStart w:id="3729" w:name="_Toc336271289"/>
      <w:bookmarkStart w:id="3730" w:name="_Toc337651995"/>
      <w:bookmarkStart w:id="3731" w:name="_Toc349577184"/>
      <w:bookmarkStart w:id="3732" w:name="_Toc349579276"/>
      <w:bookmarkStart w:id="3733" w:name="_Toc349580591"/>
      <w:bookmarkStart w:id="3734" w:name="_Toc349734999"/>
      <w:bookmarkStart w:id="3735" w:name="_Toc349742364"/>
      <w:r w:rsidRPr="00B53FFB">
        <w:rPr>
          <w:sz w:val="22"/>
          <w:szCs w:val="22"/>
          <w:lang w:val="it-IT"/>
        </w:rPr>
        <w:t>Mobile Data Traffic (Non-Messaging)</w:t>
      </w:r>
      <w:bookmarkEnd w:id="3690"/>
      <w:bookmarkEnd w:id="3691"/>
      <w:bookmarkEnd w:id="3692"/>
      <w:bookmarkEnd w:id="3693"/>
      <w:bookmarkEnd w:id="3694"/>
      <w:bookmarkEnd w:id="3695"/>
      <w:bookmarkEnd w:id="3696"/>
      <w:bookmarkEnd w:id="3697"/>
      <w:bookmarkEnd w:id="3698"/>
      <w:bookmarkEnd w:id="3699"/>
      <w:bookmarkEnd w:id="3700"/>
      <w:bookmarkEnd w:id="3701"/>
      <w:bookmarkEnd w:id="3702"/>
      <w:bookmarkEnd w:id="3703"/>
      <w:bookmarkEnd w:id="3704"/>
      <w:bookmarkEnd w:id="3705"/>
      <w:bookmarkEnd w:id="3706"/>
      <w:bookmarkEnd w:id="3707"/>
      <w:bookmarkEnd w:id="3708"/>
      <w:bookmarkEnd w:id="3709"/>
      <w:bookmarkEnd w:id="3710"/>
      <w:bookmarkEnd w:id="3711"/>
      <w:bookmarkEnd w:id="3712"/>
      <w:bookmarkEnd w:id="3713"/>
      <w:bookmarkEnd w:id="3714"/>
      <w:bookmarkEnd w:id="3715"/>
      <w:bookmarkEnd w:id="3716"/>
      <w:bookmarkEnd w:id="3717"/>
      <w:bookmarkEnd w:id="3718"/>
      <w:bookmarkEnd w:id="3719"/>
      <w:bookmarkEnd w:id="3720"/>
      <w:bookmarkEnd w:id="3721"/>
      <w:bookmarkEnd w:id="3722"/>
      <w:bookmarkEnd w:id="3723"/>
      <w:bookmarkEnd w:id="3724"/>
      <w:bookmarkEnd w:id="3725"/>
      <w:bookmarkEnd w:id="3726"/>
      <w:bookmarkEnd w:id="3727"/>
      <w:bookmarkEnd w:id="3728"/>
      <w:bookmarkEnd w:id="3729"/>
      <w:bookmarkEnd w:id="3730"/>
      <w:bookmarkEnd w:id="3731"/>
      <w:bookmarkEnd w:id="3732"/>
      <w:bookmarkEnd w:id="3733"/>
      <w:bookmarkEnd w:id="3734"/>
      <w:bookmarkEnd w:id="3735"/>
    </w:p>
    <w:p w:rsidR="004A147C" w:rsidRPr="00885C9A" w:rsidRDefault="004A147C" w:rsidP="00CE5850">
      <w:pPr>
        <w:pStyle w:val="ParaNum"/>
        <w:numPr>
          <w:ilvl w:val="0"/>
          <w:numId w:val="28"/>
        </w:numPr>
        <w:rPr>
          <w:sz w:val="22"/>
          <w:szCs w:val="22"/>
        </w:rPr>
      </w:pPr>
      <w:r w:rsidRPr="00885C9A">
        <w:rPr>
          <w:sz w:val="22"/>
          <w:szCs w:val="22"/>
        </w:rPr>
        <w:t>Mobile data traffic is growing significantly,</w:t>
      </w:r>
      <w:r w:rsidRPr="00B53FFB">
        <w:rPr>
          <w:rStyle w:val="FootnoteReference"/>
          <w:szCs w:val="22"/>
        </w:rPr>
        <w:footnoteReference w:id="814"/>
      </w:r>
      <w:r w:rsidRPr="00885C9A">
        <w:rPr>
          <w:sz w:val="22"/>
          <w:szCs w:val="22"/>
        </w:rPr>
        <w:t xml:space="preserve"> reflecting the continuing evolution of mobile wireless services from voice-centric mobile services to data-centric mobile services.  Data traffic is increasing with: (1) the growth in mobile device connections, including multiple connections held by the same subscriber; (2) the growing use of data-only mobile devices, such as laptop cards, e-readers, and tablets; (3) the increased popularity of higher-bandwidth mobile applications; and (4) the deployment of faster networks.</w:t>
      </w:r>
      <w:r w:rsidRPr="00B53FFB">
        <w:rPr>
          <w:rStyle w:val="FootnoteReference"/>
          <w:szCs w:val="22"/>
        </w:rPr>
        <w:footnoteReference w:id="815"/>
      </w:r>
      <w:r w:rsidRPr="00885C9A">
        <w:rPr>
          <w:sz w:val="22"/>
          <w:szCs w:val="22"/>
        </w:rPr>
        <w:t xml:space="preserve">  It is estimated that U.S. mobile data traffic increased </w:t>
      </w:r>
      <w:r w:rsidR="00885C9A" w:rsidRPr="00885C9A">
        <w:rPr>
          <w:sz w:val="22"/>
          <w:szCs w:val="22"/>
        </w:rPr>
        <w:t>62</w:t>
      </w:r>
      <w:r w:rsidRPr="00885C9A">
        <w:rPr>
          <w:sz w:val="22"/>
          <w:szCs w:val="22"/>
        </w:rPr>
        <w:t xml:space="preserve"> percent from 201</w:t>
      </w:r>
      <w:r w:rsidR="00885C9A" w:rsidRPr="00885C9A">
        <w:rPr>
          <w:sz w:val="22"/>
          <w:szCs w:val="22"/>
        </w:rPr>
        <w:t>1</w:t>
      </w:r>
      <w:r w:rsidRPr="00885C9A">
        <w:rPr>
          <w:sz w:val="22"/>
          <w:szCs w:val="22"/>
        </w:rPr>
        <w:t xml:space="preserve"> to 201</w:t>
      </w:r>
      <w:r w:rsidR="00885C9A" w:rsidRPr="00885C9A">
        <w:rPr>
          <w:sz w:val="22"/>
          <w:szCs w:val="22"/>
        </w:rPr>
        <w:t>2</w:t>
      </w:r>
      <w:r w:rsidRPr="00885C9A">
        <w:rPr>
          <w:sz w:val="22"/>
          <w:szCs w:val="22"/>
        </w:rPr>
        <w:t>, and that</w:t>
      </w:r>
      <w:r w:rsidR="00885C9A" w:rsidRPr="00885C9A">
        <w:rPr>
          <w:sz w:val="22"/>
          <w:szCs w:val="22"/>
        </w:rPr>
        <w:t xml:space="preserve"> mobile data traffic in 2012 was approximately 73 times the volume of U.S. mobile traffic in 2007</w:t>
      </w:r>
      <w:r w:rsidRPr="00885C9A">
        <w:rPr>
          <w:sz w:val="22"/>
          <w:szCs w:val="22"/>
        </w:rPr>
        <w:t>.</w:t>
      </w:r>
      <w:r w:rsidRPr="00B53FFB">
        <w:rPr>
          <w:rStyle w:val="FootnoteReference"/>
          <w:szCs w:val="22"/>
        </w:rPr>
        <w:footnoteReference w:id="816"/>
      </w:r>
      <w:r w:rsidRPr="00885C9A">
        <w:rPr>
          <w:sz w:val="22"/>
          <w:szCs w:val="22"/>
        </w:rPr>
        <w:t xml:space="preserve">  The average U.S. mobile</w:t>
      </w:r>
      <w:r w:rsidR="009A319C">
        <w:rPr>
          <w:sz w:val="22"/>
          <w:szCs w:val="22"/>
        </w:rPr>
        <w:t xml:space="preserve"> connection</w:t>
      </w:r>
      <w:r w:rsidRPr="00885C9A">
        <w:rPr>
          <w:sz w:val="22"/>
          <w:szCs w:val="22"/>
        </w:rPr>
        <w:t xml:space="preserve"> consumed an estimated </w:t>
      </w:r>
      <w:r w:rsidR="009A319C">
        <w:rPr>
          <w:sz w:val="22"/>
          <w:szCs w:val="22"/>
        </w:rPr>
        <w:t>568</w:t>
      </w:r>
      <w:r w:rsidRPr="00885C9A">
        <w:rPr>
          <w:sz w:val="22"/>
          <w:szCs w:val="22"/>
        </w:rPr>
        <w:t xml:space="preserve"> MB of data per month in 201</w:t>
      </w:r>
      <w:r w:rsidR="009A319C">
        <w:rPr>
          <w:sz w:val="22"/>
          <w:szCs w:val="22"/>
        </w:rPr>
        <w:t>2</w:t>
      </w:r>
      <w:r w:rsidRPr="00885C9A">
        <w:rPr>
          <w:sz w:val="22"/>
          <w:szCs w:val="22"/>
        </w:rPr>
        <w:t xml:space="preserve">, and an estimated </w:t>
      </w:r>
      <w:r w:rsidR="000B60AB">
        <w:rPr>
          <w:sz w:val="22"/>
          <w:szCs w:val="22"/>
        </w:rPr>
        <w:t>11</w:t>
      </w:r>
      <w:r w:rsidRPr="00885C9A">
        <w:rPr>
          <w:sz w:val="22"/>
          <w:szCs w:val="22"/>
        </w:rPr>
        <w:t xml:space="preserve"> percent of U.S. </w:t>
      </w:r>
      <w:r w:rsidRPr="000B60AB">
        <w:rPr>
          <w:sz w:val="22"/>
          <w:szCs w:val="22"/>
        </w:rPr>
        <w:t xml:space="preserve">mobile users consumed </w:t>
      </w:r>
      <w:r w:rsidR="000B60AB" w:rsidRPr="000B60AB">
        <w:rPr>
          <w:sz w:val="22"/>
          <w:szCs w:val="22"/>
        </w:rPr>
        <w:t>over 2</w:t>
      </w:r>
      <w:r w:rsidRPr="000B60AB">
        <w:rPr>
          <w:sz w:val="22"/>
          <w:szCs w:val="22"/>
        </w:rPr>
        <w:t xml:space="preserve"> GB of data per month</w:t>
      </w:r>
      <w:r w:rsidRPr="00885C9A">
        <w:rPr>
          <w:sz w:val="22"/>
          <w:szCs w:val="22"/>
        </w:rPr>
        <w:t>.</w:t>
      </w:r>
      <w:r w:rsidRPr="00B53FFB">
        <w:rPr>
          <w:rStyle w:val="FootnoteReference"/>
          <w:szCs w:val="22"/>
        </w:rPr>
        <w:footnoteReference w:id="817"/>
      </w:r>
      <w:r w:rsidRPr="00885C9A">
        <w:rPr>
          <w:sz w:val="22"/>
          <w:szCs w:val="22"/>
        </w:rPr>
        <w:t xml:space="preserve">  The largest amount of mobile data traffic during the second half of 2011 was generated by streaming video (42 percent), followed by file sharing (26 percent), web browsing (24 percent), VoIP and IM applications (five percent), and other applications (three percent).</w:t>
      </w:r>
      <w:r w:rsidRPr="00B53FFB">
        <w:rPr>
          <w:rStyle w:val="FootnoteReference"/>
          <w:szCs w:val="22"/>
        </w:rPr>
        <w:footnoteReference w:id="818"/>
      </w:r>
      <w:r w:rsidRPr="00885C9A">
        <w:rPr>
          <w:sz w:val="22"/>
          <w:szCs w:val="22"/>
        </w:rPr>
        <w:t xml:space="preserve">  It is projected that </w:t>
      </w:r>
      <w:r w:rsidR="003F50C4">
        <w:rPr>
          <w:sz w:val="22"/>
          <w:szCs w:val="22"/>
        </w:rPr>
        <w:t xml:space="preserve">the volume of </w:t>
      </w:r>
      <w:r w:rsidRPr="00885C9A">
        <w:rPr>
          <w:sz w:val="22"/>
          <w:szCs w:val="22"/>
        </w:rPr>
        <w:t xml:space="preserve">mobile video traffic </w:t>
      </w:r>
      <w:r w:rsidR="003F50C4">
        <w:rPr>
          <w:sz w:val="22"/>
          <w:szCs w:val="22"/>
        </w:rPr>
        <w:t>in 2017 will be nine times the volume</w:t>
      </w:r>
      <w:r w:rsidR="001F7A9E">
        <w:rPr>
          <w:sz w:val="22"/>
          <w:szCs w:val="22"/>
        </w:rPr>
        <w:t xml:space="preserve"> in 2012</w:t>
      </w:r>
      <w:r w:rsidRPr="00885C9A">
        <w:rPr>
          <w:sz w:val="22"/>
          <w:szCs w:val="22"/>
        </w:rPr>
        <w:t>.</w:t>
      </w:r>
      <w:r w:rsidRPr="00B53FFB">
        <w:rPr>
          <w:rStyle w:val="FootnoteReference"/>
          <w:szCs w:val="22"/>
        </w:rPr>
        <w:footnoteReference w:id="819"/>
      </w:r>
      <w:r w:rsidRPr="00885C9A">
        <w:rPr>
          <w:sz w:val="22"/>
          <w:szCs w:val="22"/>
        </w:rPr>
        <w:t xml:space="preserve">  </w:t>
      </w:r>
    </w:p>
    <w:p w:rsidR="004A147C" w:rsidRPr="00917D13" w:rsidRDefault="004A147C" w:rsidP="00CE5850">
      <w:pPr>
        <w:pStyle w:val="Caption"/>
        <w:widowControl w:val="0"/>
        <w:jc w:val="center"/>
        <w:rPr>
          <w:sz w:val="22"/>
          <w:szCs w:val="22"/>
        </w:rPr>
      </w:pPr>
      <w:r w:rsidRPr="00BE192E">
        <w:rPr>
          <w:sz w:val="22"/>
          <w:szCs w:val="22"/>
        </w:rPr>
        <w:t xml:space="preserve">Chart </w:t>
      </w:r>
      <w:r w:rsidR="0007014B" w:rsidRPr="00BE192E">
        <w:rPr>
          <w:sz w:val="22"/>
          <w:szCs w:val="22"/>
        </w:rPr>
        <w:fldChar w:fldCharType="begin"/>
      </w:r>
      <w:r w:rsidRPr="00BE192E">
        <w:rPr>
          <w:sz w:val="22"/>
          <w:szCs w:val="22"/>
        </w:rPr>
        <w:instrText xml:space="preserve"> SEQ Chart \* ARABIC </w:instrText>
      </w:r>
      <w:r w:rsidR="0007014B" w:rsidRPr="00BE192E">
        <w:rPr>
          <w:sz w:val="22"/>
          <w:szCs w:val="22"/>
        </w:rPr>
        <w:fldChar w:fldCharType="separate"/>
      </w:r>
      <w:r w:rsidR="00CA3AC6">
        <w:rPr>
          <w:noProof/>
          <w:sz w:val="22"/>
          <w:szCs w:val="22"/>
        </w:rPr>
        <w:t>24</w:t>
      </w:r>
      <w:r w:rsidR="0007014B" w:rsidRPr="00BE192E">
        <w:rPr>
          <w:sz w:val="22"/>
          <w:szCs w:val="22"/>
        </w:rPr>
        <w:fldChar w:fldCharType="end"/>
      </w:r>
      <w:r>
        <w:rPr>
          <w:sz w:val="22"/>
          <w:szCs w:val="22"/>
        </w:rPr>
        <w:br/>
      </w:r>
      <w:r w:rsidRPr="00A43CB8">
        <w:rPr>
          <w:sz w:val="22"/>
          <w:szCs w:val="22"/>
        </w:rPr>
        <w:t>U.S. Average Data Traffic per Device Type, Cisco, 201</w:t>
      </w:r>
      <w:r w:rsidR="009A5A6C" w:rsidRPr="00A43CB8">
        <w:rPr>
          <w:sz w:val="22"/>
          <w:szCs w:val="22"/>
        </w:rPr>
        <w:t>2</w:t>
      </w:r>
      <w:r w:rsidR="00B42978">
        <w:rPr>
          <w:rStyle w:val="FootnoteReference"/>
        </w:rPr>
        <w:footnoteReference w:id="820"/>
      </w:r>
    </w:p>
    <w:p w:rsidR="004A147C" w:rsidRPr="00B53FFB" w:rsidRDefault="00135758" w:rsidP="00135758">
      <w:pPr>
        <w:pStyle w:val="ParaNum"/>
        <w:tabs>
          <w:tab w:val="clear" w:pos="1440"/>
        </w:tabs>
        <w:ind w:firstLine="0"/>
        <w:rPr>
          <w:b/>
          <w:sz w:val="22"/>
          <w:szCs w:val="22"/>
        </w:rPr>
      </w:pPr>
      <w:r>
        <w:rPr>
          <w:b/>
          <w:noProof/>
          <w:sz w:val="22"/>
          <w:szCs w:val="22"/>
        </w:rPr>
        <w:drawing>
          <wp:inline distT="0" distB="0" distL="0" distR="0" wp14:anchorId="10AA0E60" wp14:editId="66F62EF9">
            <wp:extent cx="6256396" cy="4114800"/>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6258032" cy="4115876"/>
                    </a:xfrm>
                    <a:prstGeom prst="rect">
                      <a:avLst/>
                    </a:prstGeom>
                    <a:noFill/>
                    <a:ln>
                      <a:noFill/>
                    </a:ln>
                  </pic:spPr>
                </pic:pic>
              </a:graphicData>
            </a:graphic>
          </wp:inline>
        </w:drawing>
      </w:r>
    </w:p>
    <w:p w:rsidR="004A147C" w:rsidRDefault="004A147C" w:rsidP="00CE5850">
      <w:pPr>
        <w:pStyle w:val="ParaNum"/>
        <w:tabs>
          <w:tab w:val="clear" w:pos="1440"/>
        </w:tabs>
        <w:ind w:left="720" w:firstLine="0"/>
        <w:jc w:val="center"/>
        <w:rPr>
          <w:b/>
          <w:sz w:val="22"/>
          <w:szCs w:val="22"/>
        </w:rPr>
      </w:pPr>
    </w:p>
    <w:p w:rsidR="004A147C" w:rsidRDefault="004A147C" w:rsidP="00CE5850">
      <w:pPr>
        <w:pStyle w:val="ParaNum"/>
        <w:tabs>
          <w:tab w:val="clear" w:pos="1440"/>
        </w:tabs>
        <w:ind w:left="720" w:firstLine="0"/>
        <w:jc w:val="center"/>
        <w:rPr>
          <w:b/>
          <w:sz w:val="22"/>
          <w:szCs w:val="22"/>
        </w:rPr>
      </w:pPr>
    </w:p>
    <w:p w:rsidR="004A147C" w:rsidRDefault="004A147C" w:rsidP="00CE5850">
      <w:pPr>
        <w:pStyle w:val="ParaNum"/>
        <w:tabs>
          <w:tab w:val="clear" w:pos="1440"/>
        </w:tabs>
        <w:ind w:left="720" w:firstLine="0"/>
        <w:jc w:val="center"/>
        <w:rPr>
          <w:b/>
          <w:sz w:val="22"/>
          <w:szCs w:val="22"/>
        </w:rPr>
      </w:pPr>
    </w:p>
    <w:p w:rsidR="004A147C" w:rsidRDefault="004A147C" w:rsidP="00CE5850">
      <w:pPr>
        <w:pStyle w:val="ParaNum"/>
        <w:tabs>
          <w:tab w:val="clear" w:pos="1440"/>
        </w:tabs>
        <w:ind w:left="720" w:firstLine="0"/>
        <w:jc w:val="center"/>
        <w:rPr>
          <w:b/>
          <w:sz w:val="22"/>
          <w:szCs w:val="22"/>
        </w:rPr>
      </w:pPr>
    </w:p>
    <w:p w:rsidR="004A147C" w:rsidRDefault="004A147C" w:rsidP="00CE5850">
      <w:pPr>
        <w:pStyle w:val="ParaNum"/>
        <w:tabs>
          <w:tab w:val="clear" w:pos="1440"/>
        </w:tabs>
        <w:ind w:left="720" w:firstLine="0"/>
        <w:jc w:val="center"/>
        <w:rPr>
          <w:b/>
          <w:sz w:val="22"/>
          <w:szCs w:val="22"/>
        </w:rPr>
      </w:pPr>
    </w:p>
    <w:p w:rsidR="004A147C" w:rsidRDefault="004A147C" w:rsidP="00CE5850">
      <w:pPr>
        <w:pStyle w:val="ParaNum"/>
        <w:tabs>
          <w:tab w:val="clear" w:pos="1440"/>
        </w:tabs>
        <w:ind w:left="720" w:firstLine="0"/>
        <w:jc w:val="center"/>
        <w:rPr>
          <w:b/>
          <w:sz w:val="22"/>
          <w:szCs w:val="22"/>
        </w:rPr>
      </w:pPr>
    </w:p>
    <w:p w:rsidR="004A147C" w:rsidRDefault="004A147C" w:rsidP="00CE5850">
      <w:pPr>
        <w:pStyle w:val="ParaNum"/>
        <w:tabs>
          <w:tab w:val="clear" w:pos="1440"/>
        </w:tabs>
        <w:ind w:left="720" w:firstLine="0"/>
        <w:jc w:val="center"/>
        <w:rPr>
          <w:b/>
          <w:sz w:val="22"/>
          <w:szCs w:val="22"/>
        </w:rPr>
      </w:pPr>
    </w:p>
    <w:p w:rsidR="004A147C" w:rsidRDefault="004A147C" w:rsidP="00CE5850">
      <w:pPr>
        <w:pStyle w:val="ParaNum"/>
        <w:tabs>
          <w:tab w:val="clear" w:pos="1440"/>
        </w:tabs>
        <w:ind w:left="720" w:firstLine="0"/>
        <w:jc w:val="center"/>
        <w:rPr>
          <w:b/>
          <w:sz w:val="22"/>
          <w:szCs w:val="22"/>
        </w:rPr>
      </w:pPr>
    </w:p>
    <w:p w:rsidR="004A147C" w:rsidRDefault="004A147C" w:rsidP="00CE5850">
      <w:pPr>
        <w:pStyle w:val="ParaNum"/>
        <w:tabs>
          <w:tab w:val="clear" w:pos="1440"/>
        </w:tabs>
        <w:ind w:left="720" w:firstLine="0"/>
        <w:jc w:val="center"/>
        <w:rPr>
          <w:b/>
          <w:sz w:val="22"/>
          <w:szCs w:val="22"/>
        </w:rPr>
      </w:pPr>
    </w:p>
    <w:p w:rsidR="004A147C" w:rsidRDefault="004A147C" w:rsidP="00CE5850">
      <w:pPr>
        <w:pStyle w:val="ParaNum"/>
        <w:tabs>
          <w:tab w:val="clear" w:pos="1440"/>
        </w:tabs>
        <w:ind w:left="720" w:firstLine="0"/>
        <w:jc w:val="center"/>
        <w:rPr>
          <w:b/>
          <w:sz w:val="22"/>
          <w:szCs w:val="22"/>
        </w:rPr>
      </w:pPr>
    </w:p>
    <w:p w:rsidR="004A147C" w:rsidRDefault="004A147C" w:rsidP="00F82EFD">
      <w:pPr>
        <w:pStyle w:val="ParaNum"/>
        <w:tabs>
          <w:tab w:val="clear" w:pos="1440"/>
        </w:tabs>
        <w:ind w:firstLine="0"/>
        <w:rPr>
          <w:b/>
          <w:sz w:val="22"/>
          <w:szCs w:val="22"/>
        </w:rPr>
      </w:pPr>
    </w:p>
    <w:p w:rsidR="004A147C" w:rsidRPr="00B53FFB" w:rsidRDefault="004A147C" w:rsidP="00CE5850">
      <w:pPr>
        <w:pStyle w:val="ParaNum"/>
        <w:tabs>
          <w:tab w:val="clear" w:pos="1440"/>
        </w:tabs>
        <w:ind w:left="720" w:firstLine="0"/>
        <w:jc w:val="center"/>
        <w:rPr>
          <w:b/>
          <w:sz w:val="22"/>
          <w:szCs w:val="22"/>
        </w:rPr>
      </w:pPr>
      <w:r w:rsidRPr="00B53FFB">
        <w:rPr>
          <w:b/>
          <w:sz w:val="22"/>
          <w:szCs w:val="22"/>
        </w:rPr>
        <w:t xml:space="preserve">Chart </w:t>
      </w:r>
      <w:r w:rsidR="0007014B" w:rsidRPr="00B53FFB">
        <w:rPr>
          <w:b/>
          <w:sz w:val="22"/>
          <w:szCs w:val="22"/>
        </w:rPr>
        <w:fldChar w:fldCharType="begin"/>
      </w:r>
      <w:r w:rsidRPr="00B53FFB">
        <w:rPr>
          <w:b/>
          <w:sz w:val="22"/>
          <w:szCs w:val="22"/>
        </w:rPr>
        <w:instrText xml:space="preserve"> SEQ Chart \* ARABIC </w:instrText>
      </w:r>
      <w:r w:rsidR="0007014B" w:rsidRPr="00B53FFB">
        <w:rPr>
          <w:b/>
          <w:sz w:val="22"/>
          <w:szCs w:val="22"/>
        </w:rPr>
        <w:fldChar w:fldCharType="separate"/>
      </w:r>
      <w:r w:rsidR="00CA3AC6">
        <w:rPr>
          <w:b/>
          <w:noProof/>
          <w:sz w:val="22"/>
          <w:szCs w:val="22"/>
        </w:rPr>
        <w:t>25</w:t>
      </w:r>
      <w:r w:rsidR="0007014B" w:rsidRPr="00B53FFB">
        <w:rPr>
          <w:b/>
          <w:sz w:val="22"/>
          <w:szCs w:val="22"/>
        </w:rPr>
        <w:fldChar w:fldCharType="end"/>
      </w:r>
      <w:r w:rsidRPr="00B53FFB">
        <w:rPr>
          <w:b/>
          <w:sz w:val="22"/>
          <w:szCs w:val="22"/>
        </w:rPr>
        <w:t xml:space="preserve"> </w:t>
      </w:r>
      <w:r w:rsidRPr="00B53FFB">
        <w:rPr>
          <w:b/>
          <w:sz w:val="22"/>
          <w:szCs w:val="22"/>
        </w:rPr>
        <w:br/>
        <w:t xml:space="preserve">Average Monthly Data Consumption Per Device, CTIA, 2010-2011 </w:t>
      </w:r>
      <w:r w:rsidRPr="00B53FFB">
        <w:rPr>
          <w:rStyle w:val="FootnoteReference"/>
          <w:szCs w:val="22"/>
        </w:rPr>
        <w:footnoteReference w:id="821"/>
      </w:r>
    </w:p>
    <w:p w:rsidR="004A147C" w:rsidRDefault="00C81B24" w:rsidP="00F82EFD">
      <w:pPr>
        <w:pStyle w:val="ParaNum"/>
        <w:tabs>
          <w:tab w:val="clear" w:pos="1440"/>
        </w:tabs>
        <w:ind w:left="720" w:firstLine="0"/>
        <w:jc w:val="center"/>
        <w:rPr>
          <w:sz w:val="22"/>
          <w:szCs w:val="22"/>
        </w:rPr>
      </w:pPr>
      <w:r>
        <w:rPr>
          <w:noProof/>
          <w:sz w:val="22"/>
          <w:szCs w:val="22"/>
        </w:rPr>
        <w:drawing>
          <wp:inline distT="0" distB="0" distL="0" distR="0" wp14:anchorId="0D74E5D8" wp14:editId="58A24BB6">
            <wp:extent cx="5429250" cy="3667125"/>
            <wp:effectExtent l="0" t="0" r="0" b="952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429250" cy="3667125"/>
                    </a:xfrm>
                    <a:prstGeom prst="rect">
                      <a:avLst/>
                    </a:prstGeom>
                    <a:noFill/>
                    <a:ln>
                      <a:noFill/>
                    </a:ln>
                  </pic:spPr>
                </pic:pic>
              </a:graphicData>
            </a:graphic>
          </wp:inline>
        </w:drawing>
      </w:r>
    </w:p>
    <w:p w:rsidR="00F82EFD" w:rsidRDefault="004A147C" w:rsidP="00CE5850">
      <w:pPr>
        <w:pStyle w:val="ParaNum"/>
        <w:tabs>
          <w:tab w:val="clear" w:pos="1440"/>
        </w:tabs>
        <w:ind w:left="720" w:firstLine="0"/>
        <w:jc w:val="center"/>
        <w:rPr>
          <w:b/>
          <w:sz w:val="21"/>
          <w:szCs w:val="21"/>
        </w:rPr>
      </w:pPr>
      <w:r w:rsidRPr="00B53FFB">
        <w:rPr>
          <w:b/>
          <w:sz w:val="22"/>
          <w:szCs w:val="22"/>
        </w:rPr>
        <w:t xml:space="preserve">Chart </w:t>
      </w:r>
      <w:r w:rsidR="0007014B" w:rsidRPr="00B53FFB">
        <w:rPr>
          <w:b/>
          <w:sz w:val="22"/>
          <w:szCs w:val="22"/>
        </w:rPr>
        <w:fldChar w:fldCharType="begin"/>
      </w:r>
      <w:r w:rsidRPr="00B53FFB">
        <w:rPr>
          <w:b/>
          <w:sz w:val="22"/>
          <w:szCs w:val="22"/>
        </w:rPr>
        <w:instrText xml:space="preserve"> SEQ Chart \* ARABIC </w:instrText>
      </w:r>
      <w:r w:rsidR="0007014B" w:rsidRPr="00B53FFB">
        <w:rPr>
          <w:b/>
          <w:sz w:val="22"/>
          <w:szCs w:val="22"/>
        </w:rPr>
        <w:fldChar w:fldCharType="separate"/>
      </w:r>
      <w:r w:rsidR="00CA3AC6">
        <w:rPr>
          <w:b/>
          <w:noProof/>
          <w:sz w:val="22"/>
          <w:szCs w:val="22"/>
        </w:rPr>
        <w:t>26</w:t>
      </w:r>
      <w:r w:rsidR="0007014B" w:rsidRPr="00B53FFB">
        <w:rPr>
          <w:b/>
          <w:sz w:val="22"/>
          <w:szCs w:val="22"/>
        </w:rPr>
        <w:fldChar w:fldCharType="end"/>
      </w:r>
      <w:r w:rsidRPr="00B53FFB">
        <w:rPr>
          <w:b/>
          <w:sz w:val="22"/>
          <w:szCs w:val="22"/>
        </w:rPr>
        <w:t xml:space="preserve"> </w:t>
      </w:r>
      <w:r w:rsidRPr="00B53FFB">
        <w:rPr>
          <w:b/>
          <w:sz w:val="22"/>
          <w:szCs w:val="22"/>
        </w:rPr>
        <w:br/>
      </w:r>
      <w:r w:rsidRPr="00F82EFD">
        <w:rPr>
          <w:b/>
          <w:sz w:val="21"/>
          <w:szCs w:val="21"/>
        </w:rPr>
        <w:t>Average Monthly Data Consumption per User:  Nati</w:t>
      </w:r>
      <w:r w:rsidR="00F82EFD" w:rsidRPr="00F82EFD">
        <w:rPr>
          <w:b/>
          <w:sz w:val="21"/>
          <w:szCs w:val="21"/>
        </w:rPr>
        <w:t>onwide Providers, Validas, 2009</w:t>
      </w:r>
      <w:r w:rsidR="00F82EFD">
        <w:rPr>
          <w:b/>
          <w:sz w:val="21"/>
          <w:szCs w:val="21"/>
        </w:rPr>
        <w:t>-</w:t>
      </w:r>
      <w:r w:rsidRPr="00F82EFD">
        <w:rPr>
          <w:b/>
          <w:sz w:val="21"/>
          <w:szCs w:val="21"/>
        </w:rPr>
        <w:t>2011</w:t>
      </w:r>
      <w:r w:rsidRPr="00B53FFB">
        <w:rPr>
          <w:rStyle w:val="FootnoteReference"/>
          <w:szCs w:val="22"/>
        </w:rPr>
        <w:footnoteReference w:id="822"/>
      </w:r>
    </w:p>
    <w:p w:rsidR="004A147C" w:rsidRPr="00F82EFD" w:rsidRDefault="00C81B24" w:rsidP="00F82EFD">
      <w:pPr>
        <w:pStyle w:val="ParaNum"/>
        <w:tabs>
          <w:tab w:val="clear" w:pos="1440"/>
        </w:tabs>
        <w:ind w:left="720" w:firstLine="0"/>
        <w:jc w:val="center"/>
        <w:rPr>
          <w:b/>
          <w:sz w:val="22"/>
          <w:szCs w:val="22"/>
        </w:rPr>
      </w:pPr>
      <w:r>
        <w:rPr>
          <w:b/>
          <w:noProof/>
          <w:sz w:val="22"/>
          <w:szCs w:val="22"/>
        </w:rPr>
        <w:drawing>
          <wp:inline distT="0" distB="0" distL="0" distR="0" wp14:anchorId="653F6074" wp14:editId="4B642C17">
            <wp:extent cx="4524375" cy="2716190"/>
            <wp:effectExtent l="0" t="0" r="0" b="8255"/>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524375" cy="2716190"/>
                    </a:xfrm>
                    <a:prstGeom prst="rect">
                      <a:avLst/>
                    </a:prstGeom>
                    <a:noFill/>
                    <a:ln>
                      <a:noFill/>
                    </a:ln>
                  </pic:spPr>
                </pic:pic>
              </a:graphicData>
            </a:graphic>
          </wp:inline>
        </w:drawing>
      </w:r>
    </w:p>
    <w:p w:rsidR="004A147C" w:rsidRPr="00B53FFB" w:rsidRDefault="004A147C" w:rsidP="00CE5850">
      <w:pPr>
        <w:pStyle w:val="Caption"/>
        <w:widowControl w:val="0"/>
        <w:spacing w:after="0"/>
        <w:jc w:val="center"/>
        <w:rPr>
          <w:sz w:val="22"/>
          <w:szCs w:val="22"/>
        </w:rPr>
      </w:pPr>
      <w:r w:rsidRPr="00B53FFB">
        <w:rPr>
          <w:sz w:val="22"/>
          <w:szCs w:val="22"/>
        </w:rPr>
        <w:t xml:space="preserve">Chart </w:t>
      </w:r>
      <w:r w:rsidR="0007014B" w:rsidRPr="00B53FFB">
        <w:rPr>
          <w:sz w:val="22"/>
          <w:szCs w:val="22"/>
        </w:rPr>
        <w:fldChar w:fldCharType="begin"/>
      </w:r>
      <w:r w:rsidRPr="00B53FFB">
        <w:rPr>
          <w:sz w:val="22"/>
          <w:szCs w:val="22"/>
        </w:rPr>
        <w:instrText xml:space="preserve"> SEQ Chart \* ARABIC </w:instrText>
      </w:r>
      <w:r w:rsidR="0007014B" w:rsidRPr="00B53FFB">
        <w:rPr>
          <w:sz w:val="22"/>
          <w:szCs w:val="22"/>
        </w:rPr>
        <w:fldChar w:fldCharType="separate"/>
      </w:r>
      <w:r w:rsidR="00CA3AC6">
        <w:rPr>
          <w:noProof/>
          <w:sz w:val="22"/>
          <w:szCs w:val="22"/>
        </w:rPr>
        <w:t>27</w:t>
      </w:r>
      <w:r w:rsidR="0007014B" w:rsidRPr="00B53FFB">
        <w:rPr>
          <w:sz w:val="22"/>
          <w:szCs w:val="22"/>
        </w:rPr>
        <w:fldChar w:fldCharType="end"/>
      </w:r>
    </w:p>
    <w:p w:rsidR="004A147C" w:rsidRPr="00B53FFB" w:rsidRDefault="004A147C" w:rsidP="00CE5850">
      <w:pPr>
        <w:pStyle w:val="Caption"/>
        <w:widowControl w:val="0"/>
        <w:spacing w:before="0"/>
        <w:jc w:val="center"/>
        <w:rPr>
          <w:sz w:val="22"/>
          <w:szCs w:val="22"/>
        </w:rPr>
      </w:pPr>
      <w:r w:rsidRPr="00B53FFB">
        <w:rPr>
          <w:sz w:val="22"/>
          <w:szCs w:val="22"/>
        </w:rPr>
        <w:t>Average Monthly Data Consumption Per User, Validas, 2009-2011</w:t>
      </w:r>
      <w:r w:rsidRPr="00B53FFB">
        <w:rPr>
          <w:rStyle w:val="FootnoteReference"/>
          <w:b w:val="0"/>
          <w:szCs w:val="22"/>
        </w:rPr>
        <w:footnoteReference w:id="823"/>
      </w:r>
    </w:p>
    <w:p w:rsidR="004A147C" w:rsidRPr="00B53FFB" w:rsidRDefault="00C81B24" w:rsidP="00CE5850">
      <w:pPr>
        <w:pStyle w:val="Caption"/>
        <w:widowControl w:val="0"/>
        <w:jc w:val="center"/>
        <w:rPr>
          <w:sz w:val="22"/>
          <w:szCs w:val="22"/>
        </w:rPr>
      </w:pPr>
      <w:r>
        <w:rPr>
          <w:noProof/>
          <w:sz w:val="22"/>
          <w:szCs w:val="22"/>
        </w:rPr>
        <w:drawing>
          <wp:inline distT="0" distB="0" distL="0" distR="0" wp14:anchorId="5CFC420D" wp14:editId="547EC271">
            <wp:extent cx="5257800" cy="3133725"/>
            <wp:effectExtent l="0" t="0" r="0" b="9525"/>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257800" cy="3133725"/>
                    </a:xfrm>
                    <a:prstGeom prst="rect">
                      <a:avLst/>
                    </a:prstGeom>
                    <a:noFill/>
                    <a:ln>
                      <a:noFill/>
                    </a:ln>
                  </pic:spPr>
                </pic:pic>
              </a:graphicData>
            </a:graphic>
          </wp:inline>
        </w:drawing>
      </w:r>
    </w:p>
    <w:p w:rsidR="004A147C" w:rsidRPr="00B53FFB" w:rsidRDefault="004A147C" w:rsidP="00CE5850">
      <w:pPr>
        <w:pStyle w:val="ParaNum"/>
        <w:tabs>
          <w:tab w:val="clear" w:pos="1440"/>
        </w:tabs>
        <w:ind w:left="720" w:firstLine="0"/>
        <w:rPr>
          <w:sz w:val="22"/>
          <w:szCs w:val="22"/>
        </w:rPr>
      </w:pPr>
    </w:p>
    <w:p w:rsidR="004A147C" w:rsidRPr="00583984" w:rsidRDefault="004A147C" w:rsidP="00CE5850">
      <w:pPr>
        <w:pStyle w:val="Heading2"/>
        <w:keepNext w:val="0"/>
      </w:pPr>
      <w:bookmarkStart w:id="3736" w:name="_Ref258600276"/>
      <w:bookmarkStart w:id="3737" w:name="_Ref258600278"/>
      <w:bookmarkStart w:id="3738" w:name="_Toc261610792"/>
      <w:bookmarkStart w:id="3739" w:name="_Toc261858531"/>
      <w:bookmarkStart w:id="3740" w:name="_Toc262034336"/>
      <w:bookmarkStart w:id="3741" w:name="_Toc262034439"/>
      <w:bookmarkStart w:id="3742" w:name="_Toc271288479"/>
      <w:bookmarkStart w:id="3743" w:name="_Toc275517997"/>
      <w:bookmarkStart w:id="3744" w:name="_Toc275952437"/>
      <w:bookmarkStart w:id="3745" w:name="_Toc276121869"/>
      <w:bookmarkStart w:id="3746" w:name="_Toc276480705"/>
      <w:bookmarkStart w:id="3747" w:name="_Toc276741782"/>
      <w:bookmarkStart w:id="3748" w:name="_Toc277171547"/>
      <w:bookmarkStart w:id="3749" w:name="_Toc277864522"/>
      <w:bookmarkStart w:id="3750" w:name="_Toc277864738"/>
      <w:bookmarkStart w:id="3751" w:name="_Toc285810419"/>
      <w:bookmarkStart w:id="3752" w:name="_Toc287257813"/>
      <w:bookmarkStart w:id="3753" w:name="_Toc291758692"/>
      <w:bookmarkStart w:id="3754" w:name="_Toc291758795"/>
      <w:bookmarkStart w:id="3755" w:name="_Toc295392975"/>
      <w:bookmarkStart w:id="3756" w:name="_Toc329262517"/>
      <w:bookmarkStart w:id="3757" w:name="_Toc329852428"/>
      <w:bookmarkStart w:id="3758" w:name="_Toc331766344"/>
      <w:bookmarkStart w:id="3759" w:name="_Toc332119139"/>
      <w:bookmarkStart w:id="3760" w:name="_Toc334088816"/>
      <w:bookmarkStart w:id="3761" w:name="_Toc334089052"/>
      <w:bookmarkStart w:id="3762" w:name="_Toc334089211"/>
      <w:bookmarkStart w:id="3763" w:name="_Toc334089322"/>
      <w:bookmarkStart w:id="3764" w:name="_Toc334089486"/>
      <w:bookmarkStart w:id="3765" w:name="_Toc336268627"/>
      <w:bookmarkStart w:id="3766" w:name="_Toc336268735"/>
      <w:bookmarkStart w:id="3767" w:name="_Toc336268842"/>
      <w:bookmarkStart w:id="3768" w:name="_Toc336269056"/>
      <w:bookmarkStart w:id="3769" w:name="_Toc336269163"/>
      <w:bookmarkStart w:id="3770" w:name="_Toc336269531"/>
      <w:bookmarkStart w:id="3771" w:name="_Toc336269677"/>
      <w:bookmarkStart w:id="3772" w:name="_Toc336270090"/>
      <w:bookmarkStart w:id="3773" w:name="_Toc336271290"/>
      <w:bookmarkStart w:id="3774" w:name="_Toc337651996"/>
      <w:bookmarkStart w:id="3775" w:name="_Toc349577185"/>
      <w:bookmarkStart w:id="3776" w:name="_Toc349579277"/>
      <w:bookmarkStart w:id="3777" w:name="_Toc349580592"/>
      <w:bookmarkStart w:id="3778" w:name="_Toc349735000"/>
      <w:bookmarkStart w:id="3779" w:name="_Toc349742365"/>
      <w:r w:rsidRPr="00583984">
        <w:t>Pricing Levels, Changes, and Trends</w:t>
      </w:r>
      <w:bookmarkEnd w:id="3736"/>
      <w:bookmarkEnd w:id="3737"/>
      <w:bookmarkEnd w:id="3738"/>
      <w:bookmarkEnd w:id="3739"/>
      <w:bookmarkEnd w:id="3740"/>
      <w:bookmarkEnd w:id="3741"/>
      <w:bookmarkEnd w:id="3742"/>
      <w:bookmarkEnd w:id="3743"/>
      <w:bookmarkEnd w:id="3744"/>
      <w:bookmarkEnd w:id="3745"/>
      <w:bookmarkEnd w:id="3746"/>
      <w:bookmarkEnd w:id="3747"/>
      <w:bookmarkEnd w:id="3748"/>
      <w:bookmarkEnd w:id="3749"/>
      <w:bookmarkEnd w:id="3750"/>
      <w:bookmarkEnd w:id="3751"/>
      <w:bookmarkEnd w:id="3752"/>
      <w:bookmarkEnd w:id="3753"/>
      <w:bookmarkEnd w:id="3754"/>
      <w:bookmarkEnd w:id="3755"/>
      <w:bookmarkEnd w:id="3756"/>
      <w:bookmarkEnd w:id="3757"/>
      <w:bookmarkEnd w:id="3758"/>
      <w:bookmarkEnd w:id="3759"/>
      <w:bookmarkEnd w:id="3760"/>
      <w:bookmarkEnd w:id="3761"/>
      <w:bookmarkEnd w:id="3762"/>
      <w:bookmarkEnd w:id="3763"/>
      <w:bookmarkEnd w:id="3764"/>
      <w:bookmarkEnd w:id="3765"/>
      <w:bookmarkEnd w:id="3766"/>
      <w:bookmarkEnd w:id="3767"/>
      <w:bookmarkEnd w:id="3768"/>
      <w:bookmarkEnd w:id="3769"/>
      <w:bookmarkEnd w:id="3770"/>
      <w:bookmarkEnd w:id="3771"/>
      <w:bookmarkEnd w:id="3772"/>
      <w:bookmarkEnd w:id="3773"/>
      <w:bookmarkEnd w:id="3774"/>
      <w:bookmarkEnd w:id="3775"/>
      <w:bookmarkEnd w:id="3776"/>
      <w:bookmarkEnd w:id="3777"/>
      <w:bookmarkEnd w:id="3778"/>
      <w:bookmarkEnd w:id="3779"/>
      <w:r w:rsidRPr="00583984">
        <w:t xml:space="preserve">  </w:t>
      </w:r>
    </w:p>
    <w:p w:rsidR="004A147C" w:rsidRPr="00B53FFB" w:rsidRDefault="004A147C" w:rsidP="00CE5850">
      <w:pPr>
        <w:pStyle w:val="Heading3"/>
        <w:keepNext w:val="0"/>
        <w:numPr>
          <w:ilvl w:val="2"/>
          <w:numId w:val="26"/>
        </w:numPr>
        <w:tabs>
          <w:tab w:val="left" w:pos="2160"/>
        </w:tabs>
        <w:rPr>
          <w:sz w:val="22"/>
          <w:szCs w:val="22"/>
        </w:rPr>
      </w:pPr>
      <w:bookmarkStart w:id="3780" w:name="_Ref259801574"/>
      <w:bookmarkStart w:id="3781" w:name="_Ref259801579"/>
      <w:bookmarkStart w:id="3782" w:name="_Toc261610793"/>
      <w:bookmarkStart w:id="3783" w:name="_Toc261858532"/>
      <w:bookmarkStart w:id="3784" w:name="_Toc262034337"/>
      <w:bookmarkStart w:id="3785" w:name="_Toc262034440"/>
      <w:bookmarkStart w:id="3786" w:name="_Toc271288480"/>
      <w:bookmarkStart w:id="3787" w:name="_Toc275517998"/>
      <w:bookmarkStart w:id="3788" w:name="_Toc275952438"/>
      <w:bookmarkStart w:id="3789" w:name="_Toc276121870"/>
      <w:bookmarkStart w:id="3790" w:name="_Toc276480706"/>
      <w:bookmarkStart w:id="3791" w:name="_Toc276741783"/>
      <w:bookmarkStart w:id="3792" w:name="_Toc277171548"/>
      <w:bookmarkStart w:id="3793" w:name="_Toc277864523"/>
      <w:bookmarkStart w:id="3794" w:name="_Toc277864739"/>
      <w:bookmarkStart w:id="3795" w:name="_Toc285810420"/>
      <w:bookmarkStart w:id="3796" w:name="_Toc287257814"/>
      <w:bookmarkStart w:id="3797" w:name="_Toc291758693"/>
      <w:bookmarkStart w:id="3798" w:name="_Toc291758796"/>
      <w:bookmarkStart w:id="3799" w:name="_Toc295392976"/>
      <w:bookmarkStart w:id="3800" w:name="_Toc329262518"/>
      <w:bookmarkStart w:id="3801" w:name="_Toc329852429"/>
      <w:bookmarkStart w:id="3802" w:name="_Toc331766345"/>
      <w:bookmarkStart w:id="3803" w:name="_Toc332119140"/>
      <w:bookmarkStart w:id="3804" w:name="_Toc334088817"/>
      <w:bookmarkStart w:id="3805" w:name="_Toc334089053"/>
      <w:bookmarkStart w:id="3806" w:name="_Toc334089212"/>
      <w:bookmarkStart w:id="3807" w:name="_Toc334089323"/>
      <w:bookmarkStart w:id="3808" w:name="_Toc334089487"/>
      <w:bookmarkStart w:id="3809" w:name="_Toc336268628"/>
      <w:bookmarkStart w:id="3810" w:name="_Toc336268736"/>
      <w:bookmarkStart w:id="3811" w:name="_Toc336268843"/>
      <w:bookmarkStart w:id="3812" w:name="_Toc336269057"/>
      <w:bookmarkStart w:id="3813" w:name="_Toc336269164"/>
      <w:bookmarkStart w:id="3814" w:name="_Toc336269532"/>
      <w:bookmarkStart w:id="3815" w:name="_Toc336269678"/>
      <w:bookmarkStart w:id="3816" w:name="_Toc336270091"/>
      <w:bookmarkStart w:id="3817" w:name="_Toc336271291"/>
      <w:bookmarkStart w:id="3818" w:name="_Toc337651997"/>
      <w:bookmarkStart w:id="3819" w:name="_Toc349577186"/>
      <w:bookmarkStart w:id="3820" w:name="_Toc349579278"/>
      <w:bookmarkStart w:id="3821" w:name="_Toc349580593"/>
      <w:bookmarkStart w:id="3822" w:name="_Toc349735001"/>
      <w:bookmarkStart w:id="3823" w:name="_Toc349742366"/>
      <w:r w:rsidRPr="00B53FFB">
        <w:rPr>
          <w:sz w:val="22"/>
          <w:szCs w:val="22"/>
        </w:rPr>
        <w:t>Price Metrics</w:t>
      </w:r>
      <w:bookmarkEnd w:id="3780"/>
      <w:bookmarkEnd w:id="3781"/>
      <w:bookmarkEnd w:id="3782"/>
      <w:bookmarkEnd w:id="3783"/>
      <w:bookmarkEnd w:id="3784"/>
      <w:bookmarkEnd w:id="3785"/>
      <w:bookmarkEnd w:id="3786"/>
      <w:bookmarkEnd w:id="3787"/>
      <w:bookmarkEnd w:id="3788"/>
      <w:bookmarkEnd w:id="3789"/>
      <w:bookmarkEnd w:id="3790"/>
      <w:bookmarkEnd w:id="3791"/>
      <w:bookmarkEnd w:id="3792"/>
      <w:bookmarkEnd w:id="3793"/>
      <w:bookmarkEnd w:id="3794"/>
      <w:bookmarkEnd w:id="3795"/>
      <w:bookmarkEnd w:id="3796"/>
      <w:bookmarkEnd w:id="3797"/>
      <w:bookmarkEnd w:id="3798"/>
      <w:bookmarkEnd w:id="3799"/>
      <w:bookmarkEnd w:id="3800"/>
      <w:bookmarkEnd w:id="3801"/>
      <w:bookmarkEnd w:id="3802"/>
      <w:bookmarkEnd w:id="3803"/>
      <w:bookmarkEnd w:id="3804"/>
      <w:bookmarkEnd w:id="3805"/>
      <w:bookmarkEnd w:id="3806"/>
      <w:bookmarkEnd w:id="3807"/>
      <w:bookmarkEnd w:id="3808"/>
      <w:bookmarkEnd w:id="3809"/>
      <w:bookmarkEnd w:id="3810"/>
      <w:bookmarkEnd w:id="3811"/>
      <w:bookmarkEnd w:id="3812"/>
      <w:bookmarkEnd w:id="3813"/>
      <w:bookmarkEnd w:id="3814"/>
      <w:bookmarkEnd w:id="3815"/>
      <w:bookmarkEnd w:id="3816"/>
      <w:bookmarkEnd w:id="3817"/>
      <w:bookmarkEnd w:id="3818"/>
      <w:bookmarkEnd w:id="3819"/>
      <w:bookmarkEnd w:id="3820"/>
      <w:bookmarkEnd w:id="3821"/>
      <w:bookmarkEnd w:id="3822"/>
      <w:bookmarkEnd w:id="3823"/>
    </w:p>
    <w:p w:rsidR="004A147C" w:rsidRPr="00B53FFB" w:rsidRDefault="004A147C" w:rsidP="00CE5850">
      <w:pPr>
        <w:pStyle w:val="ParaNum"/>
        <w:numPr>
          <w:ilvl w:val="0"/>
          <w:numId w:val="28"/>
        </w:numPr>
        <w:rPr>
          <w:bCs/>
          <w:sz w:val="22"/>
          <w:szCs w:val="22"/>
        </w:rPr>
      </w:pPr>
      <w:r w:rsidRPr="00B53FFB">
        <w:rPr>
          <w:bCs/>
          <w:sz w:val="22"/>
          <w:szCs w:val="22"/>
          <w:lang w:eastAsia="zh-CN"/>
        </w:rPr>
        <w:t xml:space="preserve">  </w:t>
      </w:r>
      <w:r w:rsidRPr="00B53FFB">
        <w:rPr>
          <w:bCs/>
          <w:sz w:val="22"/>
          <w:szCs w:val="22"/>
        </w:rPr>
        <w:t>Variations in the non-price terms and features of mobile wireless service plans make it difficult to compare or aggregate the prices of mobile wireless service.  Consequently, it is difficult to identify sources of information that track actual mobile wireless service prices in a comprehensive and consistent manner.</w:t>
      </w:r>
      <w:r w:rsidRPr="00B53FFB">
        <w:rPr>
          <w:rStyle w:val="FootnoteReference"/>
          <w:bCs/>
          <w:szCs w:val="22"/>
        </w:rPr>
        <w:footnoteReference w:id="824"/>
      </w:r>
      <w:r w:rsidRPr="00B53FFB">
        <w:rPr>
          <w:bCs/>
          <w:sz w:val="22"/>
          <w:szCs w:val="22"/>
        </w:rPr>
        <w:t xml:space="preserve">  As documented in previous </w:t>
      </w:r>
      <w:r w:rsidRPr="00B53FFB">
        <w:rPr>
          <w:bCs/>
          <w:i/>
          <w:sz w:val="22"/>
          <w:szCs w:val="22"/>
        </w:rPr>
        <w:t>Reports</w:t>
      </w:r>
      <w:r w:rsidRPr="00B53FFB">
        <w:rPr>
          <w:bCs/>
          <w:sz w:val="22"/>
          <w:szCs w:val="22"/>
        </w:rPr>
        <w:t xml:space="preserve">, two different pricing indicators – the </w:t>
      </w:r>
      <w:r w:rsidRPr="00B53FFB">
        <w:rPr>
          <w:sz w:val="22"/>
          <w:szCs w:val="22"/>
        </w:rPr>
        <w:t>Wireless Telephone Services CPI</w:t>
      </w:r>
      <w:r w:rsidRPr="00B53FFB">
        <w:rPr>
          <w:bCs/>
          <w:sz w:val="22"/>
          <w:szCs w:val="22"/>
        </w:rPr>
        <w:t xml:space="preserve">  and the per-minute price of voice service – show that mobile wireless prices have declined significantly since the launch of PCS service in the mid-1990s.  In 2010 and 2011, the </w:t>
      </w:r>
      <w:r w:rsidRPr="00B53FFB">
        <w:rPr>
          <w:sz w:val="22"/>
          <w:szCs w:val="22"/>
        </w:rPr>
        <w:t>Wireless Telephone Services</w:t>
      </w:r>
      <w:r w:rsidRPr="00B53FFB">
        <w:rPr>
          <w:bCs/>
          <w:sz w:val="22"/>
          <w:szCs w:val="22"/>
        </w:rPr>
        <w:t xml:space="preserve"> CPI declined for two consecutive years, while the per-minute price of voice service remained roughly stable in 2010 and then declined in 2011.</w:t>
      </w:r>
      <w:r w:rsidRPr="00B53FFB">
        <w:rPr>
          <w:rStyle w:val="FootnoteReference"/>
          <w:bCs/>
          <w:szCs w:val="22"/>
        </w:rPr>
        <w:footnoteReference w:id="825"/>
      </w:r>
    </w:p>
    <w:p w:rsidR="004A147C" w:rsidRPr="00B53FFB" w:rsidRDefault="004A147C" w:rsidP="00CE5850">
      <w:pPr>
        <w:pStyle w:val="ParaNum"/>
        <w:numPr>
          <w:ilvl w:val="0"/>
          <w:numId w:val="28"/>
        </w:numPr>
        <w:rPr>
          <w:bCs/>
          <w:sz w:val="22"/>
          <w:szCs w:val="22"/>
        </w:rPr>
      </w:pPr>
      <w:r w:rsidRPr="00B53FFB">
        <w:rPr>
          <w:i/>
          <w:sz w:val="22"/>
          <w:szCs w:val="22"/>
        </w:rPr>
        <w:t>Wireless Telephone Services CPI</w:t>
      </w:r>
      <w:r w:rsidRPr="00B53FFB">
        <w:rPr>
          <w:sz w:val="22"/>
          <w:szCs w:val="22"/>
        </w:rPr>
        <w:t>.  The wireless telephone services’ component of the CPI (Wireless Telephone Services CPI) is published by the U.S. Department of Labor’s Bureau of Labor Statistics (BLS) on a national basis.</w:t>
      </w:r>
      <w:r w:rsidRPr="00B53FFB">
        <w:rPr>
          <w:rStyle w:val="FootnoteReference"/>
          <w:szCs w:val="22"/>
        </w:rPr>
        <w:footnoteReference w:id="826"/>
      </w:r>
      <w:r w:rsidRPr="00B53FFB">
        <w:rPr>
          <w:sz w:val="22"/>
          <w:szCs w:val="22"/>
        </w:rPr>
        <w:t xml:space="preserve">  As shown in </w:t>
      </w:r>
      <w:r w:rsidR="00951E9B">
        <w:fldChar w:fldCharType="begin"/>
      </w:r>
      <w:r w:rsidR="00951E9B">
        <w:instrText xml:space="preserve"> REF _Ref330981337  \* MERGEFORMAT </w:instrText>
      </w:r>
      <w:r w:rsidR="00951E9B">
        <w:fldChar w:fldCharType="separate"/>
      </w:r>
      <w:r w:rsidR="00CA3AC6" w:rsidRPr="00CA3AC6">
        <w:rPr>
          <w:bCs/>
          <w:kern w:val="0"/>
          <w:sz w:val="22"/>
          <w:szCs w:val="22"/>
        </w:rPr>
        <w:t xml:space="preserve">Table </w:t>
      </w:r>
      <w:r w:rsidR="00CA3AC6" w:rsidRPr="00CA3AC6">
        <w:rPr>
          <w:bCs/>
          <w:noProof/>
          <w:kern w:val="0"/>
          <w:sz w:val="22"/>
          <w:szCs w:val="22"/>
        </w:rPr>
        <w:t>37</w:t>
      </w:r>
      <w:r w:rsidR="00951E9B">
        <w:rPr>
          <w:bCs/>
          <w:noProof/>
          <w:kern w:val="0"/>
          <w:sz w:val="22"/>
          <w:szCs w:val="22"/>
        </w:rPr>
        <w:fldChar w:fldCharType="end"/>
      </w:r>
      <w:r w:rsidRPr="00B53FFB">
        <w:rPr>
          <w:b/>
          <w:sz w:val="22"/>
          <w:szCs w:val="22"/>
        </w:rPr>
        <w:t xml:space="preserve"> </w:t>
      </w:r>
      <w:r w:rsidRPr="00B53FFB">
        <w:rPr>
          <w:sz w:val="22"/>
          <w:szCs w:val="22"/>
        </w:rPr>
        <w:t>below, from 200</w:t>
      </w:r>
      <w:r w:rsidRPr="00B53FFB">
        <w:rPr>
          <w:sz w:val="22"/>
          <w:szCs w:val="22"/>
          <w:lang w:eastAsia="zh-CN"/>
        </w:rPr>
        <w:t>9</w:t>
      </w:r>
      <w:r w:rsidRPr="00B53FFB">
        <w:rPr>
          <w:sz w:val="22"/>
          <w:szCs w:val="22"/>
        </w:rPr>
        <w:t xml:space="preserve"> to 2010, the annual Wireless Telephone Services CPI decreased by nearly three percent while the overall CPI increased by </w:t>
      </w:r>
      <w:r w:rsidRPr="00B53FFB">
        <w:rPr>
          <w:sz w:val="22"/>
          <w:szCs w:val="22"/>
          <w:lang w:eastAsia="zh-CN"/>
        </w:rPr>
        <w:t>1.6</w:t>
      </w:r>
      <w:r w:rsidRPr="00B53FFB">
        <w:rPr>
          <w:sz w:val="22"/>
          <w:szCs w:val="22"/>
        </w:rPr>
        <w:t xml:space="preserve"> percent and the Telephone Services CPI was unchanged.  From 2010 to 2011, the annual Wireless Telephone Services CPI decreased by another 3.6 percent while the overall CPI increased by </w:t>
      </w:r>
      <w:r w:rsidRPr="00B53FFB">
        <w:rPr>
          <w:sz w:val="22"/>
          <w:szCs w:val="22"/>
          <w:lang w:eastAsia="zh-CN"/>
        </w:rPr>
        <w:t>3.2</w:t>
      </w:r>
      <w:r w:rsidRPr="00B53FFB">
        <w:rPr>
          <w:sz w:val="22"/>
          <w:szCs w:val="22"/>
        </w:rPr>
        <w:t xml:space="preserve"> percent and the Telephone Services CPI decreased by 1.1 percent.  The Wireless Telephone Services CPI’s back-to-back declines in 2010 and 2011 followed an unchanged Wireless Telephone Services CPI in 2009 and a series of much smaller declines in the period from 2002 to 2008.  Since December 1997, the Wireless Telephone Services CPI has declined nearly 40 percent while the overall CPI has increased by 40 percent.</w:t>
      </w:r>
      <w:bookmarkStart w:id="3824" w:name="_Toc69552081"/>
      <w:bookmarkStart w:id="3825" w:name="_Toc69552164"/>
      <w:bookmarkStart w:id="3826" w:name="_Toc69552268"/>
      <w:bookmarkStart w:id="3827" w:name="_Toc69552351"/>
      <w:bookmarkStart w:id="3828" w:name="_Toc69552432"/>
      <w:bookmarkStart w:id="3829" w:name="_Toc69552513"/>
      <w:bookmarkStart w:id="3830" w:name="_Toc69552594"/>
      <w:bookmarkStart w:id="3831" w:name="_Toc69628716"/>
      <w:bookmarkStart w:id="3832" w:name="_Toc69630298"/>
      <w:bookmarkStart w:id="3833" w:name="_Toc69630376"/>
      <w:bookmarkStart w:id="3834" w:name="_Toc70297946"/>
      <w:bookmarkStart w:id="3835" w:name="_Toc70299709"/>
      <w:bookmarkStart w:id="3836" w:name="_Toc70299948"/>
      <w:bookmarkStart w:id="3837" w:name="_Toc70300028"/>
      <w:bookmarkStart w:id="3838" w:name="_Toc70300106"/>
      <w:bookmarkStart w:id="3839" w:name="_Toc70300184"/>
      <w:bookmarkStart w:id="3840" w:name="_Toc70300354"/>
      <w:bookmarkStart w:id="3841" w:name="_Toc70303569"/>
      <w:bookmarkStart w:id="3842" w:name="_Toc70303645"/>
      <w:bookmarkStart w:id="3843" w:name="_Toc70303839"/>
      <w:bookmarkStart w:id="3844" w:name="_Toc70303921"/>
      <w:bookmarkStart w:id="3845" w:name="_Toc70304287"/>
      <w:bookmarkStart w:id="3846" w:name="_Toc70304364"/>
      <w:bookmarkStart w:id="3847" w:name="_Toc70313868"/>
      <w:bookmarkStart w:id="3848" w:name="_Toc70733495"/>
      <w:bookmarkStart w:id="3849" w:name="_Toc70918925"/>
      <w:bookmarkStart w:id="3850" w:name="_Toc70919006"/>
      <w:bookmarkStart w:id="3851" w:name="_Toc70919086"/>
      <w:bookmarkStart w:id="3852" w:name="_Toc70919166"/>
      <w:bookmarkStart w:id="3853" w:name="_Toc71361976"/>
      <w:bookmarkStart w:id="3854" w:name="_Toc71362055"/>
      <w:bookmarkStart w:id="3855" w:name="_Toc71362234"/>
      <w:bookmarkStart w:id="3856" w:name="_Toc71531488"/>
      <w:bookmarkStart w:id="3857" w:name="_Toc71531859"/>
      <w:bookmarkStart w:id="3858" w:name="_Toc71532757"/>
      <w:bookmarkStart w:id="3859" w:name="_Toc71617993"/>
      <w:bookmarkStart w:id="3860" w:name="_Toc72229078"/>
      <w:bookmarkStart w:id="3861" w:name="_Toc72229169"/>
      <w:bookmarkStart w:id="3862" w:name="_Toc72894777"/>
      <w:bookmarkStart w:id="3863" w:name="_Toc72894858"/>
      <w:bookmarkStart w:id="3864" w:name="_Toc72905191"/>
      <w:bookmarkStart w:id="3865" w:name="_Toc72916489"/>
      <w:bookmarkStart w:id="3866" w:name="_Toc73327635"/>
      <w:bookmarkStart w:id="3867" w:name="_Toc73341732"/>
      <w:bookmarkStart w:id="3868" w:name="_Toc73844284"/>
      <w:bookmarkStart w:id="3869" w:name="_Toc73847925"/>
      <w:bookmarkStart w:id="3870" w:name="_Toc73849046"/>
      <w:bookmarkStart w:id="3871" w:name="_Toc73849152"/>
      <w:bookmarkStart w:id="3872" w:name="_Toc74541901"/>
      <w:bookmarkStart w:id="3873" w:name="_Toc74631179"/>
      <w:bookmarkStart w:id="3874" w:name="_Toc76978105"/>
      <w:bookmarkStart w:id="3875" w:name="_Toc77066471"/>
      <w:bookmarkStart w:id="3876" w:name="_Toc77129194"/>
      <w:bookmarkStart w:id="3877" w:name="_Toc77568418"/>
      <w:bookmarkStart w:id="3878" w:name="_Toc77649755"/>
      <w:bookmarkStart w:id="3879" w:name="_Toc80678313"/>
      <w:bookmarkStart w:id="3880" w:name="_Toc80678399"/>
      <w:bookmarkStart w:id="3881" w:name="_Toc80678485"/>
      <w:bookmarkStart w:id="3882" w:name="_Toc80678571"/>
      <w:bookmarkStart w:id="3883" w:name="_Toc82838702"/>
      <w:bookmarkStart w:id="3884" w:name="_Toc82838788"/>
      <w:bookmarkStart w:id="3885" w:name="_Toc82838874"/>
      <w:bookmarkStart w:id="3886" w:name="_Toc83117176"/>
      <w:bookmarkStart w:id="3887" w:name="_Toc83441954"/>
      <w:bookmarkStart w:id="3888" w:name="_Toc83547828"/>
      <w:bookmarkStart w:id="3889" w:name="_Ref256599855"/>
      <w:bookmarkStart w:id="3890" w:name="_Ref185322339"/>
      <w:bookmarkEnd w:id="3824"/>
      <w:bookmarkEnd w:id="3825"/>
      <w:bookmarkEnd w:id="3826"/>
      <w:bookmarkEnd w:id="3827"/>
      <w:bookmarkEnd w:id="3828"/>
      <w:bookmarkEnd w:id="3829"/>
      <w:bookmarkEnd w:id="3830"/>
      <w:bookmarkEnd w:id="3831"/>
      <w:bookmarkEnd w:id="3832"/>
      <w:bookmarkEnd w:id="3833"/>
      <w:bookmarkEnd w:id="3834"/>
      <w:bookmarkEnd w:id="3835"/>
      <w:bookmarkEnd w:id="3836"/>
      <w:bookmarkEnd w:id="3837"/>
      <w:bookmarkEnd w:id="3838"/>
      <w:bookmarkEnd w:id="3839"/>
      <w:bookmarkEnd w:id="3840"/>
      <w:bookmarkEnd w:id="3841"/>
      <w:bookmarkEnd w:id="3842"/>
      <w:bookmarkEnd w:id="3843"/>
      <w:bookmarkEnd w:id="3844"/>
      <w:bookmarkEnd w:id="3845"/>
      <w:bookmarkEnd w:id="3846"/>
      <w:bookmarkEnd w:id="3847"/>
      <w:bookmarkEnd w:id="3848"/>
      <w:bookmarkEnd w:id="3849"/>
      <w:bookmarkEnd w:id="3850"/>
      <w:bookmarkEnd w:id="3851"/>
      <w:bookmarkEnd w:id="3852"/>
      <w:bookmarkEnd w:id="3853"/>
      <w:bookmarkEnd w:id="3854"/>
      <w:bookmarkEnd w:id="3855"/>
      <w:bookmarkEnd w:id="3856"/>
      <w:bookmarkEnd w:id="3857"/>
      <w:bookmarkEnd w:id="3858"/>
      <w:bookmarkEnd w:id="3859"/>
      <w:bookmarkEnd w:id="3860"/>
      <w:bookmarkEnd w:id="3861"/>
      <w:bookmarkEnd w:id="3862"/>
      <w:bookmarkEnd w:id="3863"/>
      <w:bookmarkEnd w:id="3864"/>
      <w:bookmarkEnd w:id="3865"/>
      <w:bookmarkEnd w:id="3866"/>
      <w:bookmarkEnd w:id="3867"/>
      <w:bookmarkEnd w:id="3868"/>
      <w:bookmarkEnd w:id="3869"/>
      <w:bookmarkEnd w:id="3870"/>
      <w:bookmarkEnd w:id="3871"/>
      <w:bookmarkEnd w:id="3872"/>
      <w:bookmarkEnd w:id="3873"/>
      <w:bookmarkEnd w:id="3874"/>
      <w:bookmarkEnd w:id="3875"/>
      <w:bookmarkEnd w:id="3876"/>
      <w:bookmarkEnd w:id="3877"/>
      <w:bookmarkEnd w:id="3878"/>
      <w:bookmarkEnd w:id="3879"/>
      <w:bookmarkEnd w:id="3880"/>
      <w:bookmarkEnd w:id="3881"/>
      <w:bookmarkEnd w:id="3882"/>
      <w:bookmarkEnd w:id="3883"/>
      <w:bookmarkEnd w:id="3884"/>
      <w:bookmarkEnd w:id="3885"/>
      <w:bookmarkEnd w:id="3886"/>
      <w:bookmarkEnd w:id="3887"/>
      <w:bookmarkEnd w:id="3888"/>
    </w:p>
    <w:p w:rsidR="004A147C" w:rsidRPr="00B53FFB" w:rsidRDefault="004A147C" w:rsidP="00CE5850">
      <w:pPr>
        <w:pStyle w:val="ParaNum"/>
        <w:tabs>
          <w:tab w:val="clear" w:pos="1440"/>
        </w:tabs>
        <w:ind w:left="720" w:firstLine="0"/>
        <w:jc w:val="center"/>
        <w:rPr>
          <w:bCs/>
          <w:sz w:val="22"/>
          <w:szCs w:val="22"/>
        </w:rPr>
      </w:pPr>
      <w:bookmarkStart w:id="3891" w:name="_Ref330981337"/>
      <w:r w:rsidRPr="00B53FFB">
        <w:rPr>
          <w:b/>
          <w:bCs/>
          <w:kern w:val="0"/>
          <w:sz w:val="22"/>
          <w:szCs w:val="22"/>
        </w:rPr>
        <w:t xml:space="preserve">Table </w:t>
      </w:r>
      <w:r w:rsidR="0007014B" w:rsidRPr="00B53FFB">
        <w:rPr>
          <w:b/>
          <w:bCs/>
          <w:kern w:val="0"/>
          <w:sz w:val="22"/>
          <w:szCs w:val="22"/>
        </w:rPr>
        <w:fldChar w:fldCharType="begin"/>
      </w:r>
      <w:r w:rsidRPr="00B53FFB">
        <w:rPr>
          <w:b/>
          <w:bCs/>
          <w:kern w:val="0"/>
          <w:sz w:val="22"/>
          <w:szCs w:val="22"/>
        </w:rPr>
        <w:instrText xml:space="preserve"> SEQ Table \* ARABIC </w:instrText>
      </w:r>
      <w:r w:rsidR="0007014B" w:rsidRPr="00B53FFB">
        <w:rPr>
          <w:b/>
          <w:bCs/>
          <w:kern w:val="0"/>
          <w:sz w:val="22"/>
          <w:szCs w:val="22"/>
        </w:rPr>
        <w:fldChar w:fldCharType="separate"/>
      </w:r>
      <w:r w:rsidR="00CA3AC6">
        <w:rPr>
          <w:b/>
          <w:bCs/>
          <w:noProof/>
          <w:kern w:val="0"/>
          <w:sz w:val="22"/>
          <w:szCs w:val="22"/>
        </w:rPr>
        <w:t>37</w:t>
      </w:r>
      <w:r w:rsidR="0007014B" w:rsidRPr="00B53FFB">
        <w:rPr>
          <w:b/>
          <w:bCs/>
          <w:kern w:val="0"/>
          <w:sz w:val="22"/>
          <w:szCs w:val="22"/>
        </w:rPr>
        <w:fldChar w:fldCharType="end"/>
      </w:r>
      <w:bookmarkEnd w:id="3889"/>
      <w:bookmarkEnd w:id="3891"/>
      <w:r w:rsidRPr="00B53FFB">
        <w:rPr>
          <w:b/>
          <w:sz w:val="22"/>
          <w:szCs w:val="22"/>
        </w:rPr>
        <w:br/>
      </w:r>
      <w:bookmarkEnd w:id="3890"/>
      <w:r w:rsidRPr="00B53FFB">
        <w:rPr>
          <w:b/>
          <w:bCs/>
          <w:sz w:val="22"/>
          <w:szCs w:val="22"/>
        </w:rPr>
        <w:t>Change in CPI, 1997-2011</w:t>
      </w:r>
      <w:r w:rsidRPr="00B53FFB">
        <w:rPr>
          <w:rStyle w:val="FootnoteReference"/>
          <w:bCs/>
          <w:szCs w:val="22"/>
        </w:rPr>
        <w:footnoteReference w:id="827"/>
      </w:r>
    </w:p>
    <w:tbl>
      <w:tblPr>
        <w:tblW w:w="7877" w:type="dxa"/>
        <w:jc w:val="center"/>
        <w:tblInd w:w="-557" w:type="dxa"/>
        <w:tblLayout w:type="fixed"/>
        <w:tblCellMar>
          <w:left w:w="30" w:type="dxa"/>
          <w:right w:w="30" w:type="dxa"/>
        </w:tblCellMar>
        <w:tblLook w:val="0000" w:firstRow="0" w:lastRow="0" w:firstColumn="0" w:lastColumn="0" w:noHBand="0" w:noVBand="0"/>
      </w:tblPr>
      <w:tblGrid>
        <w:gridCol w:w="840"/>
        <w:gridCol w:w="810"/>
        <w:gridCol w:w="810"/>
        <w:gridCol w:w="900"/>
        <w:gridCol w:w="900"/>
        <w:gridCol w:w="900"/>
        <w:gridCol w:w="900"/>
        <w:gridCol w:w="900"/>
        <w:gridCol w:w="17"/>
        <w:gridCol w:w="900"/>
      </w:tblGrid>
      <w:tr w:rsidR="004A147C" w:rsidRPr="00B53FFB" w:rsidTr="00D626F5">
        <w:trPr>
          <w:cantSplit/>
          <w:trHeight w:val="262"/>
          <w:jc w:val="center"/>
        </w:trPr>
        <w:tc>
          <w:tcPr>
            <w:tcW w:w="840" w:type="dxa"/>
            <w:tcBorders>
              <w:top w:val="single" w:sz="6" w:space="0" w:color="auto"/>
              <w:left w:val="single" w:sz="2" w:space="0" w:color="000000"/>
              <w:right w:val="single" w:sz="6" w:space="0" w:color="auto"/>
            </w:tcBorders>
          </w:tcPr>
          <w:p w:rsidR="004A147C" w:rsidRPr="00B53FFB" w:rsidRDefault="004A147C" w:rsidP="00CE5850">
            <w:pPr>
              <w:rPr>
                <w:b/>
                <w:szCs w:val="22"/>
              </w:rPr>
            </w:pPr>
            <w:r w:rsidRPr="00B53FFB">
              <w:rPr>
                <w:b/>
                <w:szCs w:val="22"/>
              </w:rPr>
              <w:t>Year</w:t>
            </w:r>
          </w:p>
        </w:tc>
        <w:tc>
          <w:tcPr>
            <w:tcW w:w="1620" w:type="dxa"/>
            <w:gridSpan w:val="2"/>
            <w:tcBorders>
              <w:top w:val="single" w:sz="6" w:space="0" w:color="auto"/>
              <w:left w:val="single" w:sz="6" w:space="0" w:color="auto"/>
              <w:right w:val="single" w:sz="6" w:space="0" w:color="auto"/>
            </w:tcBorders>
          </w:tcPr>
          <w:p w:rsidR="004A147C" w:rsidRPr="00B53FFB" w:rsidRDefault="004A147C" w:rsidP="00CE5850">
            <w:pPr>
              <w:rPr>
                <w:b/>
                <w:szCs w:val="22"/>
              </w:rPr>
            </w:pPr>
            <w:r w:rsidRPr="00B53FFB">
              <w:rPr>
                <w:b/>
                <w:szCs w:val="22"/>
              </w:rPr>
              <w:t>CPI</w:t>
            </w:r>
          </w:p>
        </w:tc>
        <w:tc>
          <w:tcPr>
            <w:tcW w:w="1800" w:type="dxa"/>
            <w:gridSpan w:val="2"/>
            <w:tcBorders>
              <w:top w:val="single" w:sz="6" w:space="0" w:color="auto"/>
              <w:left w:val="single" w:sz="6" w:space="0" w:color="auto"/>
              <w:right w:val="single" w:sz="6" w:space="0" w:color="auto"/>
            </w:tcBorders>
            <w:shd w:val="clear" w:color="auto" w:fill="E6E6E6"/>
          </w:tcPr>
          <w:p w:rsidR="004A147C" w:rsidRPr="00B53FFB" w:rsidRDefault="004A147C" w:rsidP="00CE5850">
            <w:pPr>
              <w:rPr>
                <w:b/>
                <w:szCs w:val="22"/>
              </w:rPr>
            </w:pPr>
            <w:r w:rsidRPr="00B53FFB">
              <w:rPr>
                <w:b/>
                <w:szCs w:val="22"/>
              </w:rPr>
              <w:t xml:space="preserve">Wireless </w:t>
            </w:r>
          </w:p>
          <w:p w:rsidR="004A147C" w:rsidRPr="00B53FFB" w:rsidRDefault="004A147C" w:rsidP="00CE5850">
            <w:pPr>
              <w:rPr>
                <w:b/>
                <w:szCs w:val="22"/>
              </w:rPr>
            </w:pPr>
            <w:r w:rsidRPr="00B53FFB">
              <w:rPr>
                <w:b/>
                <w:szCs w:val="22"/>
              </w:rPr>
              <w:t>Telephone</w:t>
            </w:r>
          </w:p>
          <w:p w:rsidR="004A147C" w:rsidRPr="00B53FFB" w:rsidRDefault="004A147C" w:rsidP="00CE5850">
            <w:pPr>
              <w:rPr>
                <w:szCs w:val="22"/>
              </w:rPr>
            </w:pPr>
            <w:r w:rsidRPr="00B53FFB">
              <w:rPr>
                <w:b/>
                <w:szCs w:val="22"/>
              </w:rPr>
              <w:t>Services CPI</w:t>
            </w:r>
          </w:p>
        </w:tc>
        <w:tc>
          <w:tcPr>
            <w:tcW w:w="1800" w:type="dxa"/>
            <w:gridSpan w:val="2"/>
            <w:tcBorders>
              <w:top w:val="single" w:sz="6" w:space="0" w:color="auto"/>
              <w:left w:val="single" w:sz="6" w:space="0" w:color="auto"/>
            </w:tcBorders>
          </w:tcPr>
          <w:p w:rsidR="004A147C" w:rsidRPr="00B53FFB" w:rsidRDefault="004A147C" w:rsidP="00CE5850">
            <w:pPr>
              <w:rPr>
                <w:b/>
                <w:szCs w:val="22"/>
              </w:rPr>
            </w:pPr>
            <w:r w:rsidRPr="00B53FFB">
              <w:rPr>
                <w:b/>
                <w:szCs w:val="22"/>
              </w:rPr>
              <w:t xml:space="preserve">Telephone </w:t>
            </w:r>
          </w:p>
          <w:p w:rsidR="004A147C" w:rsidRPr="00B53FFB" w:rsidRDefault="004A147C" w:rsidP="00CE5850">
            <w:pPr>
              <w:rPr>
                <w:szCs w:val="22"/>
              </w:rPr>
            </w:pPr>
            <w:r w:rsidRPr="00B53FFB">
              <w:rPr>
                <w:b/>
                <w:szCs w:val="22"/>
              </w:rPr>
              <w:t>Services CPI</w:t>
            </w:r>
          </w:p>
        </w:tc>
        <w:tc>
          <w:tcPr>
            <w:tcW w:w="1817" w:type="dxa"/>
            <w:gridSpan w:val="3"/>
            <w:tcBorders>
              <w:top w:val="single" w:sz="6" w:space="0" w:color="auto"/>
              <w:left w:val="single" w:sz="6" w:space="0" w:color="auto"/>
              <w:bottom w:val="single" w:sz="6" w:space="0" w:color="auto"/>
              <w:right w:val="single" w:sz="6" w:space="0" w:color="auto"/>
            </w:tcBorders>
          </w:tcPr>
          <w:p w:rsidR="004A147C" w:rsidRPr="00B53FFB" w:rsidRDefault="004A147C" w:rsidP="00CE5850">
            <w:pPr>
              <w:rPr>
                <w:b/>
                <w:szCs w:val="22"/>
              </w:rPr>
            </w:pPr>
            <w:r w:rsidRPr="00B53FFB">
              <w:rPr>
                <w:b/>
                <w:szCs w:val="22"/>
              </w:rPr>
              <w:t xml:space="preserve">Land-line </w:t>
            </w:r>
          </w:p>
          <w:p w:rsidR="004A147C" w:rsidRPr="00B53FFB" w:rsidRDefault="004A147C" w:rsidP="00CE5850">
            <w:pPr>
              <w:rPr>
                <w:b/>
                <w:szCs w:val="22"/>
              </w:rPr>
            </w:pPr>
            <w:r w:rsidRPr="00B53FFB">
              <w:rPr>
                <w:b/>
                <w:szCs w:val="22"/>
              </w:rPr>
              <w:t>Telephone</w:t>
            </w:r>
          </w:p>
          <w:p w:rsidR="004A147C" w:rsidRPr="00B53FFB" w:rsidRDefault="004A147C" w:rsidP="00CE5850">
            <w:pPr>
              <w:rPr>
                <w:szCs w:val="22"/>
              </w:rPr>
            </w:pPr>
            <w:r w:rsidRPr="00B53FFB">
              <w:rPr>
                <w:b/>
                <w:szCs w:val="22"/>
              </w:rPr>
              <w:t>Services CPI</w:t>
            </w:r>
          </w:p>
        </w:tc>
      </w:tr>
      <w:tr w:rsidR="004A147C" w:rsidRPr="00B53FFB" w:rsidTr="00D626F5">
        <w:trPr>
          <w:trHeight w:val="262"/>
          <w:jc w:val="center"/>
        </w:trPr>
        <w:tc>
          <w:tcPr>
            <w:tcW w:w="840" w:type="dxa"/>
            <w:tcBorders>
              <w:left w:val="single" w:sz="2" w:space="0" w:color="000000"/>
              <w:bottom w:val="single" w:sz="6" w:space="0" w:color="auto"/>
              <w:right w:val="single" w:sz="6" w:space="0" w:color="auto"/>
            </w:tcBorders>
          </w:tcPr>
          <w:p w:rsidR="004A147C" w:rsidRPr="00B53FFB" w:rsidRDefault="004A147C" w:rsidP="00CE5850">
            <w:pPr>
              <w:rPr>
                <w:szCs w:val="22"/>
              </w:rPr>
            </w:pPr>
          </w:p>
        </w:tc>
        <w:tc>
          <w:tcPr>
            <w:tcW w:w="810" w:type="dxa"/>
            <w:tcBorders>
              <w:top w:val="single" w:sz="6" w:space="0" w:color="auto"/>
              <w:left w:val="single" w:sz="6" w:space="0" w:color="auto"/>
              <w:bottom w:val="single" w:sz="6" w:space="0" w:color="auto"/>
              <w:right w:val="single" w:sz="6" w:space="0" w:color="auto"/>
            </w:tcBorders>
          </w:tcPr>
          <w:p w:rsidR="004A147C" w:rsidRPr="00B53FFB" w:rsidRDefault="004A147C" w:rsidP="00CE5850">
            <w:pPr>
              <w:rPr>
                <w:b/>
                <w:szCs w:val="22"/>
              </w:rPr>
            </w:pPr>
            <w:r w:rsidRPr="00B53FFB">
              <w:rPr>
                <w:b/>
                <w:szCs w:val="22"/>
              </w:rPr>
              <w:t>Index</w:t>
            </w:r>
          </w:p>
          <w:p w:rsidR="004A147C" w:rsidRPr="00B53FFB" w:rsidRDefault="004A147C" w:rsidP="00CE5850">
            <w:pPr>
              <w:rPr>
                <w:b/>
                <w:szCs w:val="22"/>
              </w:rPr>
            </w:pPr>
            <w:r w:rsidRPr="00B53FFB">
              <w:rPr>
                <w:b/>
                <w:szCs w:val="22"/>
              </w:rPr>
              <w:t>Value</w:t>
            </w:r>
          </w:p>
        </w:tc>
        <w:tc>
          <w:tcPr>
            <w:tcW w:w="810" w:type="dxa"/>
            <w:tcBorders>
              <w:top w:val="single" w:sz="6" w:space="0" w:color="auto"/>
              <w:left w:val="single" w:sz="6" w:space="0" w:color="auto"/>
              <w:bottom w:val="single" w:sz="6" w:space="0" w:color="auto"/>
              <w:right w:val="single" w:sz="6" w:space="0" w:color="auto"/>
            </w:tcBorders>
          </w:tcPr>
          <w:p w:rsidR="004A147C" w:rsidRPr="00B53FFB" w:rsidRDefault="004A147C" w:rsidP="00CE5850">
            <w:pPr>
              <w:rPr>
                <w:b/>
                <w:szCs w:val="22"/>
              </w:rPr>
            </w:pPr>
            <w:r w:rsidRPr="00B53FFB">
              <w:rPr>
                <w:b/>
                <w:szCs w:val="22"/>
              </w:rPr>
              <w:t>Annual Change</w:t>
            </w:r>
          </w:p>
        </w:tc>
        <w:tc>
          <w:tcPr>
            <w:tcW w:w="900" w:type="dxa"/>
            <w:tcBorders>
              <w:top w:val="single" w:sz="6" w:space="0" w:color="auto"/>
              <w:left w:val="single" w:sz="6" w:space="0" w:color="auto"/>
              <w:bottom w:val="single" w:sz="6" w:space="0" w:color="auto"/>
              <w:right w:val="single" w:sz="6" w:space="0" w:color="auto"/>
            </w:tcBorders>
            <w:shd w:val="clear" w:color="auto" w:fill="E6E6E6"/>
          </w:tcPr>
          <w:p w:rsidR="004A147C" w:rsidRPr="00B53FFB" w:rsidRDefault="004A147C" w:rsidP="00CE5850">
            <w:pPr>
              <w:rPr>
                <w:b/>
                <w:szCs w:val="22"/>
              </w:rPr>
            </w:pPr>
            <w:r w:rsidRPr="00B53FFB">
              <w:rPr>
                <w:b/>
                <w:szCs w:val="22"/>
              </w:rPr>
              <w:t>Index Value</w:t>
            </w:r>
          </w:p>
        </w:tc>
        <w:tc>
          <w:tcPr>
            <w:tcW w:w="900" w:type="dxa"/>
            <w:tcBorders>
              <w:top w:val="single" w:sz="6" w:space="0" w:color="auto"/>
              <w:left w:val="single" w:sz="6" w:space="0" w:color="auto"/>
              <w:bottom w:val="single" w:sz="6" w:space="0" w:color="auto"/>
              <w:right w:val="single" w:sz="6" w:space="0" w:color="auto"/>
            </w:tcBorders>
            <w:shd w:val="clear" w:color="auto" w:fill="E6E6E6"/>
          </w:tcPr>
          <w:p w:rsidR="004A147C" w:rsidRPr="00B53FFB" w:rsidRDefault="004A147C" w:rsidP="00CE5850">
            <w:pPr>
              <w:rPr>
                <w:b/>
                <w:szCs w:val="22"/>
              </w:rPr>
            </w:pPr>
            <w:r w:rsidRPr="00B53FFB">
              <w:rPr>
                <w:b/>
                <w:szCs w:val="22"/>
              </w:rPr>
              <w:t>Annual Change</w:t>
            </w:r>
          </w:p>
        </w:tc>
        <w:tc>
          <w:tcPr>
            <w:tcW w:w="900" w:type="dxa"/>
            <w:tcBorders>
              <w:top w:val="single" w:sz="6" w:space="0" w:color="auto"/>
              <w:left w:val="single" w:sz="6" w:space="0" w:color="auto"/>
              <w:bottom w:val="single" w:sz="6" w:space="0" w:color="auto"/>
              <w:right w:val="single" w:sz="6" w:space="0" w:color="auto"/>
            </w:tcBorders>
          </w:tcPr>
          <w:p w:rsidR="004A147C" w:rsidRPr="00B53FFB" w:rsidRDefault="004A147C" w:rsidP="00CE5850">
            <w:pPr>
              <w:rPr>
                <w:b/>
                <w:szCs w:val="22"/>
              </w:rPr>
            </w:pPr>
            <w:r w:rsidRPr="00B53FFB">
              <w:rPr>
                <w:b/>
                <w:szCs w:val="22"/>
              </w:rPr>
              <w:t>Index Value</w:t>
            </w:r>
          </w:p>
        </w:tc>
        <w:tc>
          <w:tcPr>
            <w:tcW w:w="900" w:type="dxa"/>
            <w:tcBorders>
              <w:top w:val="single" w:sz="6" w:space="0" w:color="auto"/>
              <w:left w:val="single" w:sz="6" w:space="0" w:color="auto"/>
              <w:bottom w:val="single" w:sz="6" w:space="0" w:color="auto"/>
              <w:right w:val="single" w:sz="6" w:space="0" w:color="auto"/>
            </w:tcBorders>
          </w:tcPr>
          <w:p w:rsidR="004A147C" w:rsidRPr="00B53FFB" w:rsidRDefault="004A147C" w:rsidP="00CE5850">
            <w:pPr>
              <w:rPr>
                <w:b/>
                <w:szCs w:val="22"/>
              </w:rPr>
            </w:pPr>
            <w:r w:rsidRPr="00B53FFB">
              <w:rPr>
                <w:b/>
                <w:szCs w:val="22"/>
              </w:rPr>
              <w:t>Annual Change</w:t>
            </w:r>
          </w:p>
        </w:tc>
        <w:tc>
          <w:tcPr>
            <w:tcW w:w="900" w:type="dxa"/>
            <w:tcBorders>
              <w:top w:val="single" w:sz="6" w:space="0" w:color="auto"/>
              <w:left w:val="single" w:sz="6" w:space="0" w:color="auto"/>
              <w:bottom w:val="single" w:sz="6" w:space="0" w:color="auto"/>
              <w:right w:val="single" w:sz="6" w:space="0" w:color="auto"/>
            </w:tcBorders>
          </w:tcPr>
          <w:p w:rsidR="004A147C" w:rsidRPr="00B53FFB" w:rsidRDefault="004A147C" w:rsidP="00CE5850">
            <w:pPr>
              <w:rPr>
                <w:b/>
                <w:szCs w:val="22"/>
              </w:rPr>
            </w:pPr>
            <w:r w:rsidRPr="00B53FFB">
              <w:rPr>
                <w:b/>
                <w:szCs w:val="22"/>
              </w:rPr>
              <w:t>Index Value</w:t>
            </w:r>
          </w:p>
        </w:tc>
        <w:tc>
          <w:tcPr>
            <w:tcW w:w="917" w:type="dxa"/>
            <w:gridSpan w:val="2"/>
            <w:tcBorders>
              <w:top w:val="single" w:sz="6" w:space="0" w:color="auto"/>
              <w:left w:val="single" w:sz="6" w:space="0" w:color="auto"/>
              <w:bottom w:val="single" w:sz="6" w:space="0" w:color="auto"/>
              <w:right w:val="single" w:sz="6" w:space="0" w:color="auto"/>
            </w:tcBorders>
          </w:tcPr>
          <w:p w:rsidR="004A147C" w:rsidRPr="00B53FFB" w:rsidRDefault="004A147C" w:rsidP="00CE5850">
            <w:pPr>
              <w:rPr>
                <w:b/>
                <w:szCs w:val="22"/>
              </w:rPr>
            </w:pPr>
            <w:r w:rsidRPr="00B53FFB">
              <w:rPr>
                <w:b/>
                <w:szCs w:val="22"/>
              </w:rPr>
              <w:t>Annual Change</w:t>
            </w:r>
          </w:p>
        </w:tc>
      </w:tr>
      <w:tr w:rsidR="004A147C" w:rsidRPr="00B53FFB" w:rsidTr="00D626F5">
        <w:trPr>
          <w:trHeight w:val="262"/>
          <w:jc w:val="center"/>
        </w:trPr>
        <w:tc>
          <w:tcPr>
            <w:tcW w:w="840" w:type="dxa"/>
            <w:tcBorders>
              <w:top w:val="single" w:sz="6" w:space="0" w:color="auto"/>
              <w:left w:val="single" w:sz="6" w:space="0" w:color="auto"/>
              <w:bottom w:val="single" w:sz="6" w:space="0" w:color="auto"/>
              <w:right w:val="single" w:sz="6" w:space="0" w:color="auto"/>
            </w:tcBorders>
            <w:vAlign w:val="bottom"/>
          </w:tcPr>
          <w:p w:rsidR="004A147C" w:rsidRPr="00B53FFB" w:rsidRDefault="004A147C" w:rsidP="00CE5850">
            <w:pPr>
              <w:rPr>
                <w:szCs w:val="22"/>
              </w:rPr>
            </w:pPr>
            <w:r w:rsidRPr="00B53FFB">
              <w:rPr>
                <w:szCs w:val="22"/>
              </w:rPr>
              <w:t>Dec 1997</w:t>
            </w:r>
          </w:p>
        </w:tc>
        <w:tc>
          <w:tcPr>
            <w:tcW w:w="810" w:type="dxa"/>
            <w:tcBorders>
              <w:top w:val="single" w:sz="6" w:space="0" w:color="auto"/>
              <w:left w:val="single" w:sz="6" w:space="0" w:color="auto"/>
              <w:bottom w:val="single" w:sz="6" w:space="0" w:color="auto"/>
              <w:right w:val="single" w:sz="6" w:space="0" w:color="auto"/>
            </w:tcBorders>
            <w:vAlign w:val="bottom"/>
          </w:tcPr>
          <w:p w:rsidR="004A147C" w:rsidRPr="00B53FFB" w:rsidRDefault="004A147C" w:rsidP="00CE5850">
            <w:pPr>
              <w:rPr>
                <w:szCs w:val="22"/>
              </w:rPr>
            </w:pPr>
            <w:r w:rsidRPr="00B53FFB">
              <w:rPr>
                <w:szCs w:val="22"/>
              </w:rPr>
              <w:t>100</w:t>
            </w:r>
          </w:p>
        </w:tc>
        <w:tc>
          <w:tcPr>
            <w:tcW w:w="810" w:type="dxa"/>
            <w:tcBorders>
              <w:top w:val="single" w:sz="6" w:space="0" w:color="auto"/>
              <w:left w:val="single" w:sz="6" w:space="0" w:color="auto"/>
              <w:bottom w:val="single" w:sz="6" w:space="0" w:color="auto"/>
              <w:right w:val="single" w:sz="6" w:space="0" w:color="auto"/>
            </w:tcBorders>
            <w:vAlign w:val="bottom"/>
          </w:tcPr>
          <w:p w:rsidR="004A147C" w:rsidRPr="00B53FFB" w:rsidRDefault="004A147C" w:rsidP="00CE5850">
            <w:pPr>
              <w:rPr>
                <w:szCs w:val="22"/>
              </w:rPr>
            </w:pPr>
            <w:r w:rsidRPr="00B53FFB">
              <w:rPr>
                <w:szCs w:val="22"/>
              </w:rPr>
              <w:t> </w:t>
            </w:r>
          </w:p>
        </w:tc>
        <w:tc>
          <w:tcPr>
            <w:tcW w:w="900" w:type="dxa"/>
            <w:tcBorders>
              <w:top w:val="single" w:sz="6" w:space="0" w:color="auto"/>
              <w:left w:val="single" w:sz="6" w:space="0" w:color="auto"/>
              <w:bottom w:val="single" w:sz="6" w:space="0" w:color="auto"/>
              <w:right w:val="single" w:sz="6" w:space="0" w:color="auto"/>
            </w:tcBorders>
            <w:shd w:val="clear" w:color="auto" w:fill="E6E6E6"/>
            <w:vAlign w:val="bottom"/>
          </w:tcPr>
          <w:p w:rsidR="004A147C" w:rsidRPr="00B53FFB" w:rsidRDefault="004A147C" w:rsidP="00CE5850">
            <w:pPr>
              <w:rPr>
                <w:szCs w:val="22"/>
              </w:rPr>
            </w:pPr>
            <w:r w:rsidRPr="00B53FFB">
              <w:rPr>
                <w:szCs w:val="22"/>
              </w:rPr>
              <w:t>100</w:t>
            </w:r>
          </w:p>
        </w:tc>
        <w:tc>
          <w:tcPr>
            <w:tcW w:w="900" w:type="dxa"/>
            <w:tcBorders>
              <w:top w:val="single" w:sz="6" w:space="0" w:color="auto"/>
              <w:left w:val="single" w:sz="6" w:space="0" w:color="auto"/>
              <w:bottom w:val="single" w:sz="6" w:space="0" w:color="auto"/>
              <w:right w:val="single" w:sz="6" w:space="0" w:color="auto"/>
            </w:tcBorders>
            <w:shd w:val="clear" w:color="auto" w:fill="E6E6E6"/>
            <w:vAlign w:val="bottom"/>
          </w:tcPr>
          <w:p w:rsidR="004A147C" w:rsidRPr="00B53FFB" w:rsidRDefault="004A147C" w:rsidP="00CE5850">
            <w:pPr>
              <w:rPr>
                <w:szCs w:val="22"/>
              </w:rPr>
            </w:pPr>
            <w:r w:rsidRPr="00B53FFB">
              <w:rPr>
                <w:szCs w:val="22"/>
              </w:rPr>
              <w:t> </w:t>
            </w:r>
          </w:p>
        </w:tc>
        <w:tc>
          <w:tcPr>
            <w:tcW w:w="900" w:type="dxa"/>
            <w:tcBorders>
              <w:top w:val="single" w:sz="6" w:space="0" w:color="auto"/>
              <w:left w:val="single" w:sz="6" w:space="0" w:color="auto"/>
              <w:bottom w:val="single" w:sz="6" w:space="0" w:color="auto"/>
              <w:right w:val="single" w:sz="6" w:space="0" w:color="auto"/>
            </w:tcBorders>
            <w:vAlign w:val="bottom"/>
          </w:tcPr>
          <w:p w:rsidR="004A147C" w:rsidRPr="00B53FFB" w:rsidRDefault="004A147C" w:rsidP="00CE5850">
            <w:pPr>
              <w:rPr>
                <w:szCs w:val="22"/>
              </w:rPr>
            </w:pPr>
            <w:r w:rsidRPr="00B53FFB">
              <w:rPr>
                <w:szCs w:val="22"/>
              </w:rPr>
              <w:t>100</w:t>
            </w:r>
          </w:p>
        </w:tc>
        <w:tc>
          <w:tcPr>
            <w:tcW w:w="900" w:type="dxa"/>
            <w:tcBorders>
              <w:top w:val="single" w:sz="6" w:space="0" w:color="auto"/>
              <w:left w:val="single" w:sz="6" w:space="0" w:color="auto"/>
              <w:bottom w:val="single" w:sz="6" w:space="0" w:color="auto"/>
              <w:right w:val="single" w:sz="6" w:space="0" w:color="auto"/>
            </w:tcBorders>
            <w:vAlign w:val="bottom"/>
          </w:tcPr>
          <w:p w:rsidR="004A147C" w:rsidRPr="00B53FFB" w:rsidRDefault="004A147C" w:rsidP="00CE5850">
            <w:pPr>
              <w:rPr>
                <w:szCs w:val="22"/>
              </w:rPr>
            </w:pPr>
            <w:r w:rsidRPr="00B53FFB">
              <w:rPr>
                <w:szCs w:val="22"/>
              </w:rPr>
              <w:t> </w:t>
            </w:r>
          </w:p>
        </w:tc>
        <w:tc>
          <w:tcPr>
            <w:tcW w:w="900" w:type="dxa"/>
            <w:tcBorders>
              <w:top w:val="single" w:sz="6" w:space="0" w:color="auto"/>
              <w:left w:val="single" w:sz="6" w:space="0" w:color="auto"/>
              <w:bottom w:val="single" w:sz="6" w:space="0" w:color="auto"/>
              <w:right w:val="single" w:sz="6" w:space="0" w:color="auto"/>
            </w:tcBorders>
            <w:vAlign w:val="bottom"/>
          </w:tcPr>
          <w:p w:rsidR="004A147C" w:rsidRPr="00B53FFB" w:rsidRDefault="004A147C" w:rsidP="00CE5850">
            <w:pPr>
              <w:rPr>
                <w:szCs w:val="22"/>
              </w:rPr>
            </w:pPr>
            <w:r w:rsidRPr="00B53FFB">
              <w:rPr>
                <w:szCs w:val="22"/>
              </w:rPr>
              <w:t>-</w:t>
            </w:r>
          </w:p>
        </w:tc>
        <w:tc>
          <w:tcPr>
            <w:tcW w:w="917" w:type="dxa"/>
            <w:gridSpan w:val="2"/>
            <w:tcBorders>
              <w:top w:val="single" w:sz="6" w:space="0" w:color="auto"/>
              <w:left w:val="single" w:sz="6" w:space="0" w:color="auto"/>
              <w:bottom w:val="single" w:sz="6" w:space="0" w:color="auto"/>
              <w:right w:val="single" w:sz="6" w:space="0" w:color="auto"/>
            </w:tcBorders>
            <w:vAlign w:val="bottom"/>
          </w:tcPr>
          <w:p w:rsidR="004A147C" w:rsidRPr="00B53FFB" w:rsidRDefault="004A147C" w:rsidP="00CE5850">
            <w:pPr>
              <w:rPr>
                <w:szCs w:val="22"/>
              </w:rPr>
            </w:pPr>
            <w:r w:rsidRPr="00B53FFB">
              <w:rPr>
                <w:szCs w:val="22"/>
              </w:rPr>
              <w:t>- </w:t>
            </w:r>
          </w:p>
        </w:tc>
      </w:tr>
      <w:tr w:rsidR="004A147C" w:rsidRPr="00B53FFB" w:rsidTr="00D626F5">
        <w:trPr>
          <w:trHeight w:val="262"/>
          <w:jc w:val="center"/>
        </w:trPr>
        <w:tc>
          <w:tcPr>
            <w:tcW w:w="840" w:type="dxa"/>
            <w:tcBorders>
              <w:top w:val="single" w:sz="6" w:space="0" w:color="auto"/>
              <w:left w:val="single" w:sz="6" w:space="0" w:color="auto"/>
              <w:bottom w:val="single" w:sz="6" w:space="0" w:color="auto"/>
              <w:right w:val="single" w:sz="6" w:space="0" w:color="auto"/>
            </w:tcBorders>
            <w:vAlign w:val="bottom"/>
          </w:tcPr>
          <w:p w:rsidR="004A147C" w:rsidRPr="00B53FFB" w:rsidRDefault="004A147C" w:rsidP="00CE5850">
            <w:pPr>
              <w:rPr>
                <w:szCs w:val="22"/>
              </w:rPr>
            </w:pPr>
            <w:r w:rsidRPr="00B53FFB">
              <w:rPr>
                <w:szCs w:val="22"/>
              </w:rPr>
              <w:t>1998</w:t>
            </w:r>
          </w:p>
        </w:tc>
        <w:tc>
          <w:tcPr>
            <w:tcW w:w="810" w:type="dxa"/>
            <w:tcBorders>
              <w:top w:val="single" w:sz="6" w:space="0" w:color="auto"/>
              <w:left w:val="single" w:sz="6" w:space="0" w:color="auto"/>
              <w:bottom w:val="single" w:sz="6" w:space="0" w:color="auto"/>
              <w:right w:val="single" w:sz="6" w:space="0" w:color="auto"/>
            </w:tcBorders>
            <w:vAlign w:val="bottom"/>
          </w:tcPr>
          <w:p w:rsidR="004A147C" w:rsidRPr="00B53FFB" w:rsidRDefault="004A147C" w:rsidP="00CE5850">
            <w:pPr>
              <w:rPr>
                <w:szCs w:val="22"/>
              </w:rPr>
            </w:pPr>
            <w:r w:rsidRPr="00B53FFB">
              <w:rPr>
                <w:szCs w:val="22"/>
              </w:rPr>
              <w:t>101.6</w:t>
            </w:r>
          </w:p>
        </w:tc>
        <w:tc>
          <w:tcPr>
            <w:tcW w:w="810" w:type="dxa"/>
            <w:tcBorders>
              <w:top w:val="single" w:sz="6" w:space="0" w:color="auto"/>
              <w:left w:val="single" w:sz="6" w:space="0" w:color="auto"/>
              <w:bottom w:val="single" w:sz="6" w:space="0" w:color="auto"/>
              <w:right w:val="single" w:sz="6" w:space="0" w:color="auto"/>
            </w:tcBorders>
            <w:vAlign w:val="bottom"/>
          </w:tcPr>
          <w:p w:rsidR="004A147C" w:rsidRPr="00B53FFB" w:rsidRDefault="004A147C" w:rsidP="00CE5850">
            <w:pPr>
              <w:rPr>
                <w:szCs w:val="22"/>
              </w:rPr>
            </w:pPr>
          </w:p>
        </w:tc>
        <w:tc>
          <w:tcPr>
            <w:tcW w:w="900" w:type="dxa"/>
            <w:tcBorders>
              <w:top w:val="single" w:sz="6" w:space="0" w:color="auto"/>
              <w:left w:val="single" w:sz="6" w:space="0" w:color="auto"/>
              <w:bottom w:val="single" w:sz="6" w:space="0" w:color="auto"/>
              <w:right w:val="single" w:sz="6" w:space="0" w:color="auto"/>
            </w:tcBorders>
            <w:shd w:val="clear" w:color="auto" w:fill="E6E6E6"/>
            <w:vAlign w:val="bottom"/>
          </w:tcPr>
          <w:p w:rsidR="004A147C" w:rsidRPr="00B53FFB" w:rsidRDefault="004A147C" w:rsidP="00CE5850">
            <w:pPr>
              <w:rPr>
                <w:szCs w:val="22"/>
              </w:rPr>
            </w:pPr>
            <w:r w:rsidRPr="00B53FFB">
              <w:rPr>
                <w:szCs w:val="22"/>
              </w:rPr>
              <w:t>95.1</w:t>
            </w:r>
          </w:p>
        </w:tc>
        <w:tc>
          <w:tcPr>
            <w:tcW w:w="900" w:type="dxa"/>
            <w:tcBorders>
              <w:top w:val="single" w:sz="6" w:space="0" w:color="auto"/>
              <w:left w:val="single" w:sz="6" w:space="0" w:color="auto"/>
              <w:bottom w:val="single" w:sz="6" w:space="0" w:color="auto"/>
              <w:right w:val="single" w:sz="6" w:space="0" w:color="auto"/>
            </w:tcBorders>
            <w:shd w:val="clear" w:color="auto" w:fill="E6E6E6"/>
            <w:vAlign w:val="bottom"/>
          </w:tcPr>
          <w:p w:rsidR="004A147C" w:rsidRPr="00B53FFB" w:rsidRDefault="004A147C" w:rsidP="00CE5850">
            <w:pPr>
              <w:rPr>
                <w:szCs w:val="22"/>
              </w:rPr>
            </w:pPr>
            <w:r w:rsidRPr="00B53FFB">
              <w:rPr>
                <w:szCs w:val="22"/>
              </w:rPr>
              <w:t> </w:t>
            </w:r>
          </w:p>
        </w:tc>
        <w:tc>
          <w:tcPr>
            <w:tcW w:w="900" w:type="dxa"/>
            <w:tcBorders>
              <w:top w:val="single" w:sz="6" w:space="0" w:color="auto"/>
              <w:left w:val="single" w:sz="6" w:space="0" w:color="auto"/>
              <w:bottom w:val="single" w:sz="6" w:space="0" w:color="auto"/>
              <w:right w:val="single" w:sz="6" w:space="0" w:color="auto"/>
            </w:tcBorders>
            <w:vAlign w:val="bottom"/>
          </w:tcPr>
          <w:p w:rsidR="004A147C" w:rsidRPr="00B53FFB" w:rsidRDefault="004A147C" w:rsidP="00CE5850">
            <w:pPr>
              <w:rPr>
                <w:szCs w:val="22"/>
              </w:rPr>
            </w:pPr>
            <w:r w:rsidRPr="00B53FFB">
              <w:rPr>
                <w:szCs w:val="22"/>
              </w:rPr>
              <w:t>100.7</w:t>
            </w:r>
          </w:p>
        </w:tc>
        <w:tc>
          <w:tcPr>
            <w:tcW w:w="900" w:type="dxa"/>
            <w:tcBorders>
              <w:top w:val="single" w:sz="6" w:space="0" w:color="auto"/>
              <w:left w:val="single" w:sz="6" w:space="0" w:color="auto"/>
              <w:bottom w:val="single" w:sz="6" w:space="0" w:color="auto"/>
              <w:right w:val="single" w:sz="6" w:space="0" w:color="auto"/>
            </w:tcBorders>
            <w:vAlign w:val="bottom"/>
          </w:tcPr>
          <w:p w:rsidR="004A147C" w:rsidRPr="00B53FFB" w:rsidRDefault="004A147C" w:rsidP="00CE5850">
            <w:pPr>
              <w:rPr>
                <w:szCs w:val="22"/>
              </w:rPr>
            </w:pPr>
            <w:r w:rsidRPr="00B53FFB">
              <w:rPr>
                <w:szCs w:val="22"/>
              </w:rPr>
              <w:t> </w:t>
            </w:r>
          </w:p>
        </w:tc>
        <w:tc>
          <w:tcPr>
            <w:tcW w:w="900" w:type="dxa"/>
            <w:tcBorders>
              <w:top w:val="single" w:sz="6" w:space="0" w:color="auto"/>
              <w:left w:val="single" w:sz="6" w:space="0" w:color="auto"/>
              <w:bottom w:val="single" w:sz="6" w:space="0" w:color="auto"/>
              <w:right w:val="single" w:sz="6" w:space="0" w:color="auto"/>
            </w:tcBorders>
            <w:vAlign w:val="bottom"/>
          </w:tcPr>
          <w:p w:rsidR="004A147C" w:rsidRPr="00B53FFB" w:rsidRDefault="004A147C" w:rsidP="00CE5850">
            <w:pPr>
              <w:rPr>
                <w:szCs w:val="22"/>
              </w:rPr>
            </w:pPr>
            <w:r w:rsidRPr="00B53FFB">
              <w:rPr>
                <w:szCs w:val="22"/>
              </w:rPr>
              <w:t>-</w:t>
            </w:r>
          </w:p>
        </w:tc>
        <w:tc>
          <w:tcPr>
            <w:tcW w:w="917" w:type="dxa"/>
            <w:gridSpan w:val="2"/>
            <w:tcBorders>
              <w:top w:val="single" w:sz="6" w:space="0" w:color="auto"/>
              <w:left w:val="single" w:sz="6" w:space="0" w:color="auto"/>
              <w:bottom w:val="single" w:sz="6" w:space="0" w:color="auto"/>
              <w:right w:val="single" w:sz="6" w:space="0" w:color="auto"/>
            </w:tcBorders>
            <w:vAlign w:val="bottom"/>
          </w:tcPr>
          <w:p w:rsidR="004A147C" w:rsidRPr="00B53FFB" w:rsidRDefault="004A147C" w:rsidP="00CE5850">
            <w:pPr>
              <w:rPr>
                <w:szCs w:val="22"/>
              </w:rPr>
            </w:pPr>
            <w:r w:rsidRPr="00B53FFB">
              <w:rPr>
                <w:szCs w:val="22"/>
              </w:rPr>
              <w:t>- </w:t>
            </w:r>
          </w:p>
        </w:tc>
      </w:tr>
      <w:tr w:rsidR="004A147C" w:rsidRPr="00B53FFB" w:rsidTr="00D626F5">
        <w:trPr>
          <w:trHeight w:val="262"/>
          <w:jc w:val="center"/>
        </w:trPr>
        <w:tc>
          <w:tcPr>
            <w:tcW w:w="840" w:type="dxa"/>
            <w:tcBorders>
              <w:top w:val="single" w:sz="6" w:space="0" w:color="auto"/>
              <w:left w:val="single" w:sz="6" w:space="0" w:color="auto"/>
              <w:bottom w:val="single" w:sz="6" w:space="0" w:color="auto"/>
              <w:right w:val="single" w:sz="6" w:space="0" w:color="auto"/>
            </w:tcBorders>
            <w:vAlign w:val="bottom"/>
          </w:tcPr>
          <w:p w:rsidR="004A147C" w:rsidRPr="00B53FFB" w:rsidRDefault="004A147C" w:rsidP="00CE5850">
            <w:pPr>
              <w:rPr>
                <w:szCs w:val="22"/>
              </w:rPr>
            </w:pPr>
            <w:r w:rsidRPr="00B53FFB">
              <w:rPr>
                <w:szCs w:val="22"/>
              </w:rPr>
              <w:t>1999</w:t>
            </w:r>
          </w:p>
        </w:tc>
        <w:tc>
          <w:tcPr>
            <w:tcW w:w="810" w:type="dxa"/>
            <w:tcBorders>
              <w:top w:val="single" w:sz="6" w:space="0" w:color="auto"/>
              <w:left w:val="single" w:sz="6" w:space="0" w:color="auto"/>
              <w:bottom w:val="single" w:sz="6" w:space="0" w:color="auto"/>
              <w:right w:val="single" w:sz="6" w:space="0" w:color="auto"/>
            </w:tcBorders>
            <w:vAlign w:val="bottom"/>
          </w:tcPr>
          <w:p w:rsidR="004A147C" w:rsidRPr="00B53FFB" w:rsidRDefault="004A147C" w:rsidP="00CE5850">
            <w:pPr>
              <w:rPr>
                <w:szCs w:val="22"/>
              </w:rPr>
            </w:pPr>
            <w:r w:rsidRPr="00B53FFB">
              <w:rPr>
                <w:szCs w:val="22"/>
              </w:rPr>
              <w:t>103.8</w:t>
            </w:r>
          </w:p>
        </w:tc>
        <w:tc>
          <w:tcPr>
            <w:tcW w:w="810" w:type="dxa"/>
            <w:tcBorders>
              <w:top w:val="single" w:sz="6" w:space="0" w:color="auto"/>
              <w:left w:val="single" w:sz="6" w:space="0" w:color="auto"/>
              <w:bottom w:val="single" w:sz="6" w:space="0" w:color="auto"/>
              <w:right w:val="single" w:sz="6" w:space="0" w:color="auto"/>
            </w:tcBorders>
            <w:vAlign w:val="bottom"/>
          </w:tcPr>
          <w:p w:rsidR="004A147C" w:rsidRPr="00B53FFB" w:rsidRDefault="004A147C" w:rsidP="00CE5850">
            <w:pPr>
              <w:rPr>
                <w:szCs w:val="22"/>
              </w:rPr>
            </w:pPr>
            <w:r w:rsidRPr="00B53FFB">
              <w:rPr>
                <w:szCs w:val="22"/>
              </w:rPr>
              <w:t>2.2%</w:t>
            </w:r>
          </w:p>
        </w:tc>
        <w:tc>
          <w:tcPr>
            <w:tcW w:w="900" w:type="dxa"/>
            <w:tcBorders>
              <w:top w:val="single" w:sz="6" w:space="0" w:color="auto"/>
              <w:left w:val="single" w:sz="6" w:space="0" w:color="auto"/>
              <w:bottom w:val="single" w:sz="6" w:space="0" w:color="auto"/>
              <w:right w:val="single" w:sz="6" w:space="0" w:color="auto"/>
            </w:tcBorders>
            <w:shd w:val="clear" w:color="auto" w:fill="E6E6E6"/>
            <w:vAlign w:val="bottom"/>
          </w:tcPr>
          <w:p w:rsidR="004A147C" w:rsidRPr="00B53FFB" w:rsidRDefault="004A147C" w:rsidP="00CE5850">
            <w:pPr>
              <w:rPr>
                <w:szCs w:val="22"/>
              </w:rPr>
            </w:pPr>
            <w:r w:rsidRPr="00B53FFB">
              <w:rPr>
                <w:szCs w:val="22"/>
              </w:rPr>
              <w:t>84.9</w:t>
            </w:r>
          </w:p>
        </w:tc>
        <w:tc>
          <w:tcPr>
            <w:tcW w:w="900" w:type="dxa"/>
            <w:tcBorders>
              <w:top w:val="single" w:sz="6" w:space="0" w:color="auto"/>
              <w:left w:val="single" w:sz="6" w:space="0" w:color="auto"/>
              <w:bottom w:val="single" w:sz="6" w:space="0" w:color="auto"/>
              <w:right w:val="single" w:sz="6" w:space="0" w:color="auto"/>
            </w:tcBorders>
            <w:shd w:val="clear" w:color="auto" w:fill="E6E6E6"/>
            <w:vAlign w:val="bottom"/>
          </w:tcPr>
          <w:p w:rsidR="004A147C" w:rsidRPr="00B53FFB" w:rsidRDefault="004A147C" w:rsidP="00CE5850">
            <w:pPr>
              <w:rPr>
                <w:szCs w:val="22"/>
              </w:rPr>
            </w:pPr>
            <w:r w:rsidRPr="00B53FFB">
              <w:rPr>
                <w:szCs w:val="22"/>
              </w:rPr>
              <w:t>-10.7%</w:t>
            </w:r>
          </w:p>
        </w:tc>
        <w:tc>
          <w:tcPr>
            <w:tcW w:w="900" w:type="dxa"/>
            <w:tcBorders>
              <w:top w:val="single" w:sz="6" w:space="0" w:color="auto"/>
              <w:left w:val="single" w:sz="6" w:space="0" w:color="auto"/>
              <w:bottom w:val="single" w:sz="6" w:space="0" w:color="auto"/>
              <w:right w:val="single" w:sz="6" w:space="0" w:color="auto"/>
            </w:tcBorders>
            <w:vAlign w:val="bottom"/>
          </w:tcPr>
          <w:p w:rsidR="004A147C" w:rsidRPr="00B53FFB" w:rsidRDefault="004A147C" w:rsidP="00CE5850">
            <w:pPr>
              <w:rPr>
                <w:szCs w:val="22"/>
              </w:rPr>
            </w:pPr>
            <w:r w:rsidRPr="00B53FFB">
              <w:rPr>
                <w:szCs w:val="22"/>
              </w:rPr>
              <w:t>100.1</w:t>
            </w:r>
          </w:p>
        </w:tc>
        <w:tc>
          <w:tcPr>
            <w:tcW w:w="900" w:type="dxa"/>
            <w:tcBorders>
              <w:top w:val="single" w:sz="6" w:space="0" w:color="auto"/>
              <w:left w:val="single" w:sz="6" w:space="0" w:color="auto"/>
              <w:bottom w:val="single" w:sz="6" w:space="0" w:color="auto"/>
              <w:right w:val="single" w:sz="6" w:space="0" w:color="auto"/>
            </w:tcBorders>
            <w:vAlign w:val="bottom"/>
          </w:tcPr>
          <w:p w:rsidR="004A147C" w:rsidRPr="00B53FFB" w:rsidRDefault="004A147C" w:rsidP="00CE5850">
            <w:pPr>
              <w:rPr>
                <w:szCs w:val="22"/>
              </w:rPr>
            </w:pPr>
            <w:r w:rsidRPr="00B53FFB">
              <w:rPr>
                <w:szCs w:val="22"/>
              </w:rPr>
              <w:t>-0.6%</w:t>
            </w:r>
          </w:p>
        </w:tc>
        <w:tc>
          <w:tcPr>
            <w:tcW w:w="900" w:type="dxa"/>
            <w:tcBorders>
              <w:top w:val="single" w:sz="6" w:space="0" w:color="auto"/>
              <w:left w:val="single" w:sz="6" w:space="0" w:color="auto"/>
              <w:bottom w:val="single" w:sz="6" w:space="0" w:color="auto"/>
              <w:right w:val="single" w:sz="6" w:space="0" w:color="auto"/>
            </w:tcBorders>
            <w:vAlign w:val="bottom"/>
          </w:tcPr>
          <w:p w:rsidR="004A147C" w:rsidRPr="00B53FFB" w:rsidRDefault="004A147C" w:rsidP="00CE5850">
            <w:pPr>
              <w:rPr>
                <w:szCs w:val="22"/>
              </w:rPr>
            </w:pPr>
            <w:r w:rsidRPr="00B53FFB">
              <w:rPr>
                <w:szCs w:val="22"/>
              </w:rPr>
              <w:t>-</w:t>
            </w:r>
          </w:p>
        </w:tc>
        <w:tc>
          <w:tcPr>
            <w:tcW w:w="917" w:type="dxa"/>
            <w:gridSpan w:val="2"/>
            <w:tcBorders>
              <w:top w:val="single" w:sz="6" w:space="0" w:color="auto"/>
              <w:left w:val="single" w:sz="6" w:space="0" w:color="auto"/>
              <w:bottom w:val="single" w:sz="6" w:space="0" w:color="auto"/>
              <w:right w:val="single" w:sz="6" w:space="0" w:color="auto"/>
            </w:tcBorders>
            <w:vAlign w:val="bottom"/>
          </w:tcPr>
          <w:p w:rsidR="004A147C" w:rsidRPr="00B53FFB" w:rsidRDefault="004A147C" w:rsidP="00CE5850">
            <w:pPr>
              <w:rPr>
                <w:szCs w:val="22"/>
              </w:rPr>
            </w:pPr>
            <w:r w:rsidRPr="00B53FFB">
              <w:rPr>
                <w:szCs w:val="22"/>
              </w:rPr>
              <w:t>-</w:t>
            </w:r>
          </w:p>
        </w:tc>
      </w:tr>
      <w:tr w:rsidR="004A147C" w:rsidRPr="00B53FFB" w:rsidTr="00D626F5">
        <w:trPr>
          <w:trHeight w:val="262"/>
          <w:jc w:val="center"/>
        </w:trPr>
        <w:tc>
          <w:tcPr>
            <w:tcW w:w="840" w:type="dxa"/>
            <w:tcBorders>
              <w:top w:val="single" w:sz="6" w:space="0" w:color="auto"/>
              <w:left w:val="single" w:sz="6" w:space="0" w:color="auto"/>
              <w:bottom w:val="single" w:sz="6" w:space="0" w:color="auto"/>
              <w:right w:val="single" w:sz="6" w:space="0" w:color="auto"/>
            </w:tcBorders>
            <w:vAlign w:val="bottom"/>
          </w:tcPr>
          <w:p w:rsidR="004A147C" w:rsidRPr="00B53FFB" w:rsidRDefault="004A147C" w:rsidP="00CE5850">
            <w:pPr>
              <w:rPr>
                <w:szCs w:val="22"/>
              </w:rPr>
            </w:pPr>
            <w:r w:rsidRPr="00B53FFB">
              <w:rPr>
                <w:szCs w:val="22"/>
              </w:rPr>
              <w:t>2000</w:t>
            </w:r>
          </w:p>
        </w:tc>
        <w:tc>
          <w:tcPr>
            <w:tcW w:w="810" w:type="dxa"/>
            <w:tcBorders>
              <w:top w:val="single" w:sz="6" w:space="0" w:color="auto"/>
              <w:left w:val="single" w:sz="6" w:space="0" w:color="auto"/>
              <w:bottom w:val="single" w:sz="6" w:space="0" w:color="auto"/>
              <w:right w:val="single" w:sz="6" w:space="0" w:color="auto"/>
            </w:tcBorders>
            <w:vAlign w:val="bottom"/>
          </w:tcPr>
          <w:p w:rsidR="004A147C" w:rsidRPr="00B53FFB" w:rsidRDefault="004A147C" w:rsidP="00CE5850">
            <w:pPr>
              <w:rPr>
                <w:szCs w:val="22"/>
              </w:rPr>
            </w:pPr>
            <w:r w:rsidRPr="00B53FFB">
              <w:rPr>
                <w:szCs w:val="22"/>
              </w:rPr>
              <w:t>107.3</w:t>
            </w:r>
          </w:p>
        </w:tc>
        <w:tc>
          <w:tcPr>
            <w:tcW w:w="810" w:type="dxa"/>
            <w:tcBorders>
              <w:top w:val="single" w:sz="6" w:space="0" w:color="auto"/>
              <w:left w:val="single" w:sz="6" w:space="0" w:color="auto"/>
              <w:bottom w:val="single" w:sz="6" w:space="0" w:color="auto"/>
              <w:right w:val="single" w:sz="6" w:space="0" w:color="auto"/>
            </w:tcBorders>
            <w:vAlign w:val="bottom"/>
          </w:tcPr>
          <w:p w:rsidR="004A147C" w:rsidRPr="00B53FFB" w:rsidRDefault="004A147C" w:rsidP="00CE5850">
            <w:pPr>
              <w:rPr>
                <w:szCs w:val="22"/>
              </w:rPr>
            </w:pPr>
            <w:r w:rsidRPr="00B53FFB">
              <w:rPr>
                <w:szCs w:val="22"/>
              </w:rPr>
              <w:t>3.4%</w:t>
            </w:r>
          </w:p>
        </w:tc>
        <w:tc>
          <w:tcPr>
            <w:tcW w:w="900" w:type="dxa"/>
            <w:tcBorders>
              <w:top w:val="single" w:sz="6" w:space="0" w:color="auto"/>
              <w:left w:val="single" w:sz="6" w:space="0" w:color="auto"/>
              <w:bottom w:val="single" w:sz="6" w:space="0" w:color="auto"/>
              <w:right w:val="single" w:sz="6" w:space="0" w:color="auto"/>
            </w:tcBorders>
            <w:shd w:val="clear" w:color="auto" w:fill="E6E6E6"/>
            <w:vAlign w:val="bottom"/>
          </w:tcPr>
          <w:p w:rsidR="004A147C" w:rsidRPr="00B53FFB" w:rsidRDefault="004A147C" w:rsidP="00CE5850">
            <w:pPr>
              <w:rPr>
                <w:szCs w:val="22"/>
              </w:rPr>
            </w:pPr>
            <w:r w:rsidRPr="00B53FFB">
              <w:rPr>
                <w:szCs w:val="22"/>
              </w:rPr>
              <w:t>76.0</w:t>
            </w:r>
          </w:p>
        </w:tc>
        <w:tc>
          <w:tcPr>
            <w:tcW w:w="900" w:type="dxa"/>
            <w:tcBorders>
              <w:top w:val="single" w:sz="6" w:space="0" w:color="auto"/>
              <w:left w:val="single" w:sz="6" w:space="0" w:color="auto"/>
              <w:bottom w:val="single" w:sz="6" w:space="0" w:color="auto"/>
              <w:right w:val="single" w:sz="6" w:space="0" w:color="auto"/>
            </w:tcBorders>
            <w:shd w:val="clear" w:color="auto" w:fill="E6E6E6"/>
            <w:vAlign w:val="bottom"/>
          </w:tcPr>
          <w:p w:rsidR="004A147C" w:rsidRPr="00B53FFB" w:rsidRDefault="004A147C" w:rsidP="00CE5850">
            <w:pPr>
              <w:rPr>
                <w:szCs w:val="22"/>
              </w:rPr>
            </w:pPr>
            <w:r w:rsidRPr="00B53FFB">
              <w:rPr>
                <w:szCs w:val="22"/>
              </w:rPr>
              <w:t>-10.5%</w:t>
            </w:r>
          </w:p>
        </w:tc>
        <w:tc>
          <w:tcPr>
            <w:tcW w:w="900" w:type="dxa"/>
            <w:tcBorders>
              <w:top w:val="single" w:sz="6" w:space="0" w:color="auto"/>
              <w:left w:val="single" w:sz="6" w:space="0" w:color="auto"/>
              <w:bottom w:val="single" w:sz="6" w:space="0" w:color="auto"/>
              <w:right w:val="single" w:sz="6" w:space="0" w:color="auto"/>
            </w:tcBorders>
            <w:vAlign w:val="bottom"/>
          </w:tcPr>
          <w:p w:rsidR="004A147C" w:rsidRPr="00B53FFB" w:rsidRDefault="004A147C" w:rsidP="00CE5850">
            <w:pPr>
              <w:rPr>
                <w:szCs w:val="22"/>
              </w:rPr>
            </w:pPr>
            <w:r w:rsidRPr="00B53FFB">
              <w:rPr>
                <w:szCs w:val="22"/>
              </w:rPr>
              <w:t>98.5</w:t>
            </w:r>
          </w:p>
        </w:tc>
        <w:tc>
          <w:tcPr>
            <w:tcW w:w="900" w:type="dxa"/>
            <w:tcBorders>
              <w:top w:val="single" w:sz="6" w:space="0" w:color="auto"/>
              <w:left w:val="single" w:sz="6" w:space="0" w:color="auto"/>
              <w:bottom w:val="single" w:sz="6" w:space="0" w:color="auto"/>
              <w:right w:val="single" w:sz="6" w:space="0" w:color="auto"/>
            </w:tcBorders>
            <w:vAlign w:val="bottom"/>
          </w:tcPr>
          <w:p w:rsidR="004A147C" w:rsidRPr="00B53FFB" w:rsidRDefault="004A147C" w:rsidP="00CE5850">
            <w:pPr>
              <w:rPr>
                <w:szCs w:val="22"/>
              </w:rPr>
            </w:pPr>
            <w:r w:rsidRPr="00B53FFB">
              <w:rPr>
                <w:szCs w:val="22"/>
              </w:rPr>
              <w:t>-1.6%</w:t>
            </w:r>
          </w:p>
        </w:tc>
        <w:tc>
          <w:tcPr>
            <w:tcW w:w="900" w:type="dxa"/>
            <w:tcBorders>
              <w:top w:val="single" w:sz="6" w:space="0" w:color="auto"/>
              <w:left w:val="single" w:sz="6" w:space="0" w:color="auto"/>
              <w:bottom w:val="single" w:sz="6" w:space="0" w:color="auto"/>
              <w:right w:val="single" w:sz="6" w:space="0" w:color="auto"/>
            </w:tcBorders>
            <w:vAlign w:val="bottom"/>
          </w:tcPr>
          <w:p w:rsidR="004A147C" w:rsidRPr="00B53FFB" w:rsidRDefault="004A147C" w:rsidP="00CE5850">
            <w:pPr>
              <w:rPr>
                <w:szCs w:val="22"/>
              </w:rPr>
            </w:pPr>
            <w:r w:rsidRPr="00B53FFB">
              <w:rPr>
                <w:szCs w:val="22"/>
              </w:rPr>
              <w:t>-</w:t>
            </w:r>
          </w:p>
        </w:tc>
        <w:tc>
          <w:tcPr>
            <w:tcW w:w="917" w:type="dxa"/>
            <w:gridSpan w:val="2"/>
            <w:tcBorders>
              <w:top w:val="single" w:sz="6" w:space="0" w:color="auto"/>
              <w:left w:val="single" w:sz="6" w:space="0" w:color="auto"/>
              <w:bottom w:val="single" w:sz="6" w:space="0" w:color="auto"/>
              <w:right w:val="single" w:sz="6" w:space="0" w:color="auto"/>
            </w:tcBorders>
            <w:vAlign w:val="bottom"/>
          </w:tcPr>
          <w:p w:rsidR="004A147C" w:rsidRPr="00B53FFB" w:rsidRDefault="004A147C" w:rsidP="00CE5850">
            <w:pPr>
              <w:rPr>
                <w:szCs w:val="22"/>
              </w:rPr>
            </w:pPr>
            <w:r w:rsidRPr="00B53FFB">
              <w:rPr>
                <w:szCs w:val="22"/>
              </w:rPr>
              <w:t>-</w:t>
            </w:r>
          </w:p>
        </w:tc>
      </w:tr>
      <w:tr w:rsidR="004A147C" w:rsidRPr="00B53FFB" w:rsidTr="00D626F5">
        <w:trPr>
          <w:trHeight w:val="262"/>
          <w:jc w:val="center"/>
        </w:trPr>
        <w:tc>
          <w:tcPr>
            <w:tcW w:w="840" w:type="dxa"/>
            <w:tcBorders>
              <w:top w:val="single" w:sz="6" w:space="0" w:color="auto"/>
              <w:left w:val="single" w:sz="6" w:space="0" w:color="auto"/>
              <w:right w:val="single" w:sz="6" w:space="0" w:color="auto"/>
            </w:tcBorders>
            <w:vAlign w:val="bottom"/>
          </w:tcPr>
          <w:p w:rsidR="004A147C" w:rsidRPr="00B53FFB" w:rsidRDefault="004A147C" w:rsidP="00CE5850">
            <w:pPr>
              <w:rPr>
                <w:szCs w:val="22"/>
              </w:rPr>
            </w:pPr>
            <w:r w:rsidRPr="00B53FFB">
              <w:rPr>
                <w:szCs w:val="22"/>
              </w:rPr>
              <w:t>2001</w:t>
            </w:r>
          </w:p>
        </w:tc>
        <w:tc>
          <w:tcPr>
            <w:tcW w:w="810" w:type="dxa"/>
            <w:tcBorders>
              <w:top w:val="single" w:sz="6" w:space="0" w:color="auto"/>
              <w:left w:val="single" w:sz="6" w:space="0" w:color="auto"/>
              <w:right w:val="single" w:sz="6" w:space="0" w:color="auto"/>
            </w:tcBorders>
            <w:vAlign w:val="bottom"/>
          </w:tcPr>
          <w:p w:rsidR="004A147C" w:rsidRPr="00B53FFB" w:rsidRDefault="004A147C" w:rsidP="00CE5850">
            <w:pPr>
              <w:rPr>
                <w:szCs w:val="22"/>
              </w:rPr>
            </w:pPr>
            <w:r w:rsidRPr="00B53FFB">
              <w:rPr>
                <w:szCs w:val="22"/>
              </w:rPr>
              <w:t>110.3</w:t>
            </w:r>
          </w:p>
        </w:tc>
        <w:tc>
          <w:tcPr>
            <w:tcW w:w="810" w:type="dxa"/>
            <w:tcBorders>
              <w:top w:val="single" w:sz="6" w:space="0" w:color="auto"/>
              <w:left w:val="single" w:sz="6" w:space="0" w:color="auto"/>
              <w:right w:val="single" w:sz="6" w:space="0" w:color="auto"/>
            </w:tcBorders>
            <w:vAlign w:val="bottom"/>
          </w:tcPr>
          <w:p w:rsidR="004A147C" w:rsidRPr="00B53FFB" w:rsidRDefault="004A147C" w:rsidP="00CE5850">
            <w:pPr>
              <w:rPr>
                <w:szCs w:val="22"/>
              </w:rPr>
            </w:pPr>
            <w:r w:rsidRPr="00B53FFB">
              <w:rPr>
                <w:szCs w:val="22"/>
              </w:rPr>
              <w:t>2.8%</w:t>
            </w:r>
          </w:p>
        </w:tc>
        <w:tc>
          <w:tcPr>
            <w:tcW w:w="900" w:type="dxa"/>
            <w:tcBorders>
              <w:top w:val="single" w:sz="6" w:space="0" w:color="auto"/>
              <w:left w:val="single" w:sz="6" w:space="0" w:color="auto"/>
              <w:right w:val="single" w:sz="6" w:space="0" w:color="auto"/>
            </w:tcBorders>
            <w:shd w:val="clear" w:color="auto" w:fill="E6E6E6"/>
            <w:vAlign w:val="bottom"/>
          </w:tcPr>
          <w:p w:rsidR="004A147C" w:rsidRPr="00B53FFB" w:rsidRDefault="004A147C" w:rsidP="00CE5850">
            <w:pPr>
              <w:rPr>
                <w:szCs w:val="22"/>
              </w:rPr>
            </w:pPr>
            <w:r w:rsidRPr="00B53FFB">
              <w:rPr>
                <w:szCs w:val="22"/>
              </w:rPr>
              <w:t>68.1</w:t>
            </w:r>
          </w:p>
        </w:tc>
        <w:tc>
          <w:tcPr>
            <w:tcW w:w="900" w:type="dxa"/>
            <w:tcBorders>
              <w:top w:val="single" w:sz="6" w:space="0" w:color="auto"/>
              <w:left w:val="single" w:sz="6" w:space="0" w:color="auto"/>
              <w:right w:val="single" w:sz="6" w:space="0" w:color="auto"/>
            </w:tcBorders>
            <w:shd w:val="clear" w:color="auto" w:fill="E6E6E6"/>
            <w:vAlign w:val="bottom"/>
          </w:tcPr>
          <w:p w:rsidR="004A147C" w:rsidRPr="00B53FFB" w:rsidRDefault="004A147C" w:rsidP="00CE5850">
            <w:pPr>
              <w:rPr>
                <w:szCs w:val="22"/>
              </w:rPr>
            </w:pPr>
            <w:r w:rsidRPr="00B53FFB">
              <w:rPr>
                <w:szCs w:val="22"/>
              </w:rPr>
              <w:t>-10.4%</w:t>
            </w:r>
          </w:p>
        </w:tc>
        <w:tc>
          <w:tcPr>
            <w:tcW w:w="900" w:type="dxa"/>
            <w:tcBorders>
              <w:top w:val="single" w:sz="6" w:space="0" w:color="auto"/>
              <w:left w:val="single" w:sz="6" w:space="0" w:color="auto"/>
              <w:right w:val="single" w:sz="6" w:space="0" w:color="auto"/>
            </w:tcBorders>
            <w:vAlign w:val="bottom"/>
          </w:tcPr>
          <w:p w:rsidR="004A147C" w:rsidRPr="00B53FFB" w:rsidRDefault="004A147C" w:rsidP="00CE5850">
            <w:pPr>
              <w:rPr>
                <w:szCs w:val="22"/>
              </w:rPr>
            </w:pPr>
            <w:r w:rsidRPr="00B53FFB">
              <w:rPr>
                <w:szCs w:val="22"/>
              </w:rPr>
              <w:t>99.3</w:t>
            </w:r>
          </w:p>
        </w:tc>
        <w:tc>
          <w:tcPr>
            <w:tcW w:w="900" w:type="dxa"/>
            <w:tcBorders>
              <w:top w:val="single" w:sz="6" w:space="0" w:color="auto"/>
              <w:left w:val="single" w:sz="6" w:space="0" w:color="auto"/>
              <w:right w:val="single" w:sz="6" w:space="0" w:color="auto"/>
            </w:tcBorders>
            <w:vAlign w:val="bottom"/>
          </w:tcPr>
          <w:p w:rsidR="004A147C" w:rsidRPr="00B53FFB" w:rsidRDefault="004A147C" w:rsidP="00CE5850">
            <w:pPr>
              <w:rPr>
                <w:szCs w:val="22"/>
              </w:rPr>
            </w:pPr>
            <w:r w:rsidRPr="00B53FFB">
              <w:rPr>
                <w:szCs w:val="22"/>
              </w:rPr>
              <w:t>0.8%</w:t>
            </w:r>
          </w:p>
        </w:tc>
        <w:tc>
          <w:tcPr>
            <w:tcW w:w="900" w:type="dxa"/>
            <w:tcBorders>
              <w:top w:val="single" w:sz="6" w:space="0" w:color="auto"/>
              <w:left w:val="single" w:sz="6" w:space="0" w:color="auto"/>
              <w:right w:val="single" w:sz="6" w:space="0" w:color="auto"/>
            </w:tcBorders>
            <w:vAlign w:val="bottom"/>
          </w:tcPr>
          <w:p w:rsidR="004A147C" w:rsidRPr="00B53FFB" w:rsidRDefault="004A147C" w:rsidP="00CE5850">
            <w:pPr>
              <w:rPr>
                <w:szCs w:val="22"/>
              </w:rPr>
            </w:pPr>
            <w:r w:rsidRPr="00B53FFB">
              <w:rPr>
                <w:szCs w:val="22"/>
              </w:rPr>
              <w:t>-</w:t>
            </w:r>
          </w:p>
        </w:tc>
        <w:tc>
          <w:tcPr>
            <w:tcW w:w="917" w:type="dxa"/>
            <w:gridSpan w:val="2"/>
            <w:tcBorders>
              <w:top w:val="single" w:sz="6" w:space="0" w:color="auto"/>
              <w:left w:val="single" w:sz="6" w:space="0" w:color="auto"/>
              <w:right w:val="single" w:sz="6" w:space="0" w:color="auto"/>
            </w:tcBorders>
            <w:vAlign w:val="bottom"/>
          </w:tcPr>
          <w:p w:rsidR="004A147C" w:rsidRPr="00B53FFB" w:rsidRDefault="004A147C" w:rsidP="00CE5850">
            <w:pPr>
              <w:rPr>
                <w:szCs w:val="22"/>
              </w:rPr>
            </w:pPr>
            <w:r w:rsidRPr="00B53FFB">
              <w:rPr>
                <w:szCs w:val="22"/>
              </w:rPr>
              <w:t>-</w:t>
            </w:r>
          </w:p>
        </w:tc>
      </w:tr>
      <w:tr w:rsidR="004A147C" w:rsidRPr="00B53FFB" w:rsidTr="00D626F5">
        <w:trPr>
          <w:trHeight w:val="262"/>
          <w:jc w:val="center"/>
        </w:trPr>
        <w:tc>
          <w:tcPr>
            <w:tcW w:w="840" w:type="dxa"/>
            <w:tcBorders>
              <w:top w:val="single" w:sz="6" w:space="0" w:color="auto"/>
              <w:left w:val="single" w:sz="6" w:space="0" w:color="auto"/>
              <w:right w:val="single" w:sz="6" w:space="0" w:color="auto"/>
            </w:tcBorders>
            <w:vAlign w:val="bottom"/>
          </w:tcPr>
          <w:p w:rsidR="004A147C" w:rsidRPr="00B53FFB" w:rsidRDefault="004A147C" w:rsidP="00CE5850">
            <w:pPr>
              <w:rPr>
                <w:szCs w:val="22"/>
              </w:rPr>
            </w:pPr>
            <w:r w:rsidRPr="00B53FFB">
              <w:rPr>
                <w:szCs w:val="22"/>
              </w:rPr>
              <w:t>2002</w:t>
            </w:r>
          </w:p>
        </w:tc>
        <w:tc>
          <w:tcPr>
            <w:tcW w:w="810" w:type="dxa"/>
            <w:tcBorders>
              <w:top w:val="single" w:sz="6" w:space="0" w:color="auto"/>
              <w:left w:val="single" w:sz="6" w:space="0" w:color="auto"/>
              <w:right w:val="single" w:sz="6" w:space="0" w:color="auto"/>
            </w:tcBorders>
            <w:vAlign w:val="bottom"/>
          </w:tcPr>
          <w:p w:rsidR="004A147C" w:rsidRPr="00B53FFB" w:rsidRDefault="004A147C" w:rsidP="00CE5850">
            <w:pPr>
              <w:rPr>
                <w:szCs w:val="22"/>
              </w:rPr>
            </w:pPr>
            <w:r w:rsidRPr="00B53FFB">
              <w:rPr>
                <w:szCs w:val="22"/>
              </w:rPr>
              <w:t>112.1</w:t>
            </w:r>
          </w:p>
        </w:tc>
        <w:tc>
          <w:tcPr>
            <w:tcW w:w="810" w:type="dxa"/>
            <w:tcBorders>
              <w:top w:val="single" w:sz="6" w:space="0" w:color="auto"/>
              <w:left w:val="single" w:sz="6" w:space="0" w:color="auto"/>
              <w:right w:val="single" w:sz="6" w:space="0" w:color="auto"/>
            </w:tcBorders>
            <w:vAlign w:val="bottom"/>
          </w:tcPr>
          <w:p w:rsidR="004A147C" w:rsidRPr="00B53FFB" w:rsidRDefault="004A147C" w:rsidP="00CE5850">
            <w:pPr>
              <w:rPr>
                <w:szCs w:val="22"/>
              </w:rPr>
            </w:pPr>
            <w:r w:rsidRPr="00B53FFB">
              <w:rPr>
                <w:szCs w:val="22"/>
              </w:rPr>
              <w:t>1.6%</w:t>
            </w:r>
          </w:p>
        </w:tc>
        <w:tc>
          <w:tcPr>
            <w:tcW w:w="900" w:type="dxa"/>
            <w:tcBorders>
              <w:top w:val="single" w:sz="6" w:space="0" w:color="auto"/>
              <w:left w:val="single" w:sz="6" w:space="0" w:color="auto"/>
              <w:right w:val="single" w:sz="6" w:space="0" w:color="auto"/>
            </w:tcBorders>
            <w:shd w:val="clear" w:color="auto" w:fill="E6E6E6"/>
            <w:vAlign w:val="bottom"/>
          </w:tcPr>
          <w:p w:rsidR="004A147C" w:rsidRPr="00B53FFB" w:rsidRDefault="004A147C" w:rsidP="00CE5850">
            <w:pPr>
              <w:rPr>
                <w:szCs w:val="22"/>
              </w:rPr>
            </w:pPr>
            <w:r w:rsidRPr="00B53FFB">
              <w:rPr>
                <w:szCs w:val="22"/>
              </w:rPr>
              <w:t>67.4</w:t>
            </w:r>
          </w:p>
        </w:tc>
        <w:tc>
          <w:tcPr>
            <w:tcW w:w="900" w:type="dxa"/>
            <w:tcBorders>
              <w:top w:val="single" w:sz="6" w:space="0" w:color="auto"/>
              <w:left w:val="single" w:sz="6" w:space="0" w:color="auto"/>
              <w:right w:val="single" w:sz="6" w:space="0" w:color="auto"/>
            </w:tcBorders>
            <w:shd w:val="clear" w:color="auto" w:fill="E6E6E6"/>
            <w:vAlign w:val="bottom"/>
          </w:tcPr>
          <w:p w:rsidR="004A147C" w:rsidRPr="00B53FFB" w:rsidRDefault="004A147C" w:rsidP="00CE5850">
            <w:pPr>
              <w:rPr>
                <w:szCs w:val="22"/>
              </w:rPr>
            </w:pPr>
            <w:r w:rsidRPr="00B53FFB">
              <w:rPr>
                <w:szCs w:val="22"/>
              </w:rPr>
              <w:t>-1.0%</w:t>
            </w:r>
          </w:p>
        </w:tc>
        <w:tc>
          <w:tcPr>
            <w:tcW w:w="900" w:type="dxa"/>
            <w:tcBorders>
              <w:top w:val="single" w:sz="6" w:space="0" w:color="auto"/>
              <w:left w:val="single" w:sz="6" w:space="0" w:color="auto"/>
              <w:right w:val="single" w:sz="6" w:space="0" w:color="auto"/>
            </w:tcBorders>
            <w:vAlign w:val="bottom"/>
          </w:tcPr>
          <w:p w:rsidR="004A147C" w:rsidRPr="00B53FFB" w:rsidRDefault="004A147C" w:rsidP="00CE5850">
            <w:pPr>
              <w:rPr>
                <w:szCs w:val="22"/>
              </w:rPr>
            </w:pPr>
            <w:r w:rsidRPr="00B53FFB">
              <w:rPr>
                <w:szCs w:val="22"/>
              </w:rPr>
              <w:t>99.7</w:t>
            </w:r>
          </w:p>
        </w:tc>
        <w:tc>
          <w:tcPr>
            <w:tcW w:w="900" w:type="dxa"/>
            <w:tcBorders>
              <w:top w:val="single" w:sz="6" w:space="0" w:color="auto"/>
              <w:left w:val="single" w:sz="6" w:space="0" w:color="auto"/>
              <w:right w:val="single" w:sz="6" w:space="0" w:color="auto"/>
            </w:tcBorders>
            <w:vAlign w:val="bottom"/>
          </w:tcPr>
          <w:p w:rsidR="004A147C" w:rsidRPr="00B53FFB" w:rsidRDefault="004A147C" w:rsidP="00CE5850">
            <w:pPr>
              <w:rPr>
                <w:szCs w:val="22"/>
              </w:rPr>
            </w:pPr>
            <w:r w:rsidRPr="00B53FFB">
              <w:rPr>
                <w:szCs w:val="22"/>
              </w:rPr>
              <w:t>0.4%</w:t>
            </w:r>
          </w:p>
        </w:tc>
        <w:tc>
          <w:tcPr>
            <w:tcW w:w="900" w:type="dxa"/>
            <w:tcBorders>
              <w:top w:val="single" w:sz="6" w:space="0" w:color="auto"/>
              <w:left w:val="single" w:sz="6" w:space="0" w:color="auto"/>
              <w:right w:val="single" w:sz="6" w:space="0" w:color="auto"/>
            </w:tcBorders>
            <w:vAlign w:val="bottom"/>
          </w:tcPr>
          <w:p w:rsidR="004A147C" w:rsidRPr="00B53FFB" w:rsidRDefault="004A147C" w:rsidP="00CE5850">
            <w:pPr>
              <w:rPr>
                <w:szCs w:val="22"/>
              </w:rPr>
            </w:pPr>
            <w:r w:rsidRPr="00B53FFB">
              <w:rPr>
                <w:szCs w:val="22"/>
              </w:rPr>
              <w:t>-</w:t>
            </w:r>
          </w:p>
        </w:tc>
        <w:tc>
          <w:tcPr>
            <w:tcW w:w="917" w:type="dxa"/>
            <w:gridSpan w:val="2"/>
            <w:tcBorders>
              <w:top w:val="single" w:sz="6" w:space="0" w:color="auto"/>
              <w:left w:val="single" w:sz="6" w:space="0" w:color="auto"/>
              <w:right w:val="single" w:sz="6" w:space="0" w:color="auto"/>
            </w:tcBorders>
            <w:vAlign w:val="bottom"/>
          </w:tcPr>
          <w:p w:rsidR="004A147C" w:rsidRPr="00B53FFB" w:rsidRDefault="004A147C" w:rsidP="00CE5850">
            <w:pPr>
              <w:rPr>
                <w:szCs w:val="22"/>
              </w:rPr>
            </w:pPr>
            <w:r w:rsidRPr="00B53FFB">
              <w:rPr>
                <w:szCs w:val="22"/>
              </w:rPr>
              <w:t>-</w:t>
            </w:r>
          </w:p>
        </w:tc>
      </w:tr>
      <w:tr w:rsidR="004A147C" w:rsidRPr="00B53FFB" w:rsidTr="00D626F5">
        <w:trPr>
          <w:trHeight w:val="262"/>
          <w:jc w:val="center"/>
        </w:trPr>
        <w:tc>
          <w:tcPr>
            <w:tcW w:w="840" w:type="dxa"/>
            <w:tcBorders>
              <w:top w:val="single" w:sz="6" w:space="0" w:color="auto"/>
              <w:left w:val="single" w:sz="6" w:space="0" w:color="auto"/>
              <w:right w:val="single" w:sz="6" w:space="0" w:color="auto"/>
            </w:tcBorders>
            <w:vAlign w:val="bottom"/>
          </w:tcPr>
          <w:p w:rsidR="004A147C" w:rsidRPr="00B53FFB" w:rsidRDefault="004A147C" w:rsidP="00CE5850">
            <w:pPr>
              <w:rPr>
                <w:szCs w:val="22"/>
              </w:rPr>
            </w:pPr>
            <w:r w:rsidRPr="00B53FFB">
              <w:rPr>
                <w:szCs w:val="22"/>
              </w:rPr>
              <w:t>2003</w:t>
            </w:r>
          </w:p>
        </w:tc>
        <w:tc>
          <w:tcPr>
            <w:tcW w:w="810" w:type="dxa"/>
            <w:tcBorders>
              <w:top w:val="single" w:sz="6" w:space="0" w:color="auto"/>
              <w:left w:val="single" w:sz="6" w:space="0" w:color="auto"/>
              <w:right w:val="single" w:sz="6" w:space="0" w:color="auto"/>
            </w:tcBorders>
            <w:vAlign w:val="bottom"/>
          </w:tcPr>
          <w:p w:rsidR="004A147C" w:rsidRPr="00B53FFB" w:rsidRDefault="004A147C" w:rsidP="00CE5850">
            <w:pPr>
              <w:rPr>
                <w:szCs w:val="22"/>
              </w:rPr>
            </w:pPr>
            <w:r w:rsidRPr="00B53FFB">
              <w:rPr>
                <w:szCs w:val="22"/>
              </w:rPr>
              <w:t>114.6</w:t>
            </w:r>
          </w:p>
        </w:tc>
        <w:tc>
          <w:tcPr>
            <w:tcW w:w="810" w:type="dxa"/>
            <w:tcBorders>
              <w:top w:val="single" w:sz="6" w:space="0" w:color="auto"/>
              <w:left w:val="single" w:sz="6" w:space="0" w:color="auto"/>
              <w:right w:val="single" w:sz="6" w:space="0" w:color="auto"/>
            </w:tcBorders>
            <w:vAlign w:val="bottom"/>
          </w:tcPr>
          <w:p w:rsidR="004A147C" w:rsidRPr="00B53FFB" w:rsidRDefault="004A147C" w:rsidP="00CE5850">
            <w:pPr>
              <w:rPr>
                <w:szCs w:val="22"/>
              </w:rPr>
            </w:pPr>
            <w:r w:rsidRPr="00B53FFB">
              <w:rPr>
                <w:szCs w:val="22"/>
              </w:rPr>
              <w:t>2.3%</w:t>
            </w:r>
          </w:p>
        </w:tc>
        <w:tc>
          <w:tcPr>
            <w:tcW w:w="900" w:type="dxa"/>
            <w:tcBorders>
              <w:top w:val="single" w:sz="6" w:space="0" w:color="auto"/>
              <w:left w:val="single" w:sz="6" w:space="0" w:color="auto"/>
              <w:right w:val="single" w:sz="6" w:space="0" w:color="auto"/>
            </w:tcBorders>
            <w:shd w:val="clear" w:color="auto" w:fill="E6E6E6"/>
            <w:vAlign w:val="bottom"/>
          </w:tcPr>
          <w:p w:rsidR="004A147C" w:rsidRPr="00B53FFB" w:rsidRDefault="004A147C" w:rsidP="00CE5850">
            <w:pPr>
              <w:rPr>
                <w:szCs w:val="22"/>
              </w:rPr>
            </w:pPr>
            <w:r w:rsidRPr="00B53FFB">
              <w:rPr>
                <w:szCs w:val="22"/>
              </w:rPr>
              <w:t>66.8</w:t>
            </w:r>
          </w:p>
        </w:tc>
        <w:tc>
          <w:tcPr>
            <w:tcW w:w="900" w:type="dxa"/>
            <w:tcBorders>
              <w:top w:val="single" w:sz="6" w:space="0" w:color="auto"/>
              <w:left w:val="single" w:sz="6" w:space="0" w:color="auto"/>
              <w:right w:val="single" w:sz="6" w:space="0" w:color="auto"/>
            </w:tcBorders>
            <w:shd w:val="clear" w:color="auto" w:fill="E6E6E6"/>
            <w:vAlign w:val="bottom"/>
          </w:tcPr>
          <w:p w:rsidR="004A147C" w:rsidRPr="00B53FFB" w:rsidRDefault="004A147C" w:rsidP="00CE5850">
            <w:pPr>
              <w:rPr>
                <w:szCs w:val="22"/>
              </w:rPr>
            </w:pPr>
            <w:r w:rsidRPr="00B53FFB">
              <w:rPr>
                <w:szCs w:val="22"/>
              </w:rPr>
              <w:t>-0.9%</w:t>
            </w:r>
          </w:p>
        </w:tc>
        <w:tc>
          <w:tcPr>
            <w:tcW w:w="900" w:type="dxa"/>
            <w:tcBorders>
              <w:top w:val="single" w:sz="6" w:space="0" w:color="auto"/>
              <w:left w:val="single" w:sz="6" w:space="0" w:color="auto"/>
              <w:right w:val="single" w:sz="6" w:space="0" w:color="auto"/>
            </w:tcBorders>
            <w:vAlign w:val="bottom"/>
          </w:tcPr>
          <w:p w:rsidR="004A147C" w:rsidRPr="00B53FFB" w:rsidRDefault="004A147C" w:rsidP="00CE5850">
            <w:pPr>
              <w:rPr>
                <w:szCs w:val="22"/>
              </w:rPr>
            </w:pPr>
            <w:r w:rsidRPr="00B53FFB">
              <w:rPr>
                <w:szCs w:val="22"/>
              </w:rPr>
              <w:t>98.3</w:t>
            </w:r>
          </w:p>
        </w:tc>
        <w:tc>
          <w:tcPr>
            <w:tcW w:w="900" w:type="dxa"/>
            <w:tcBorders>
              <w:top w:val="single" w:sz="6" w:space="0" w:color="auto"/>
              <w:left w:val="single" w:sz="6" w:space="0" w:color="auto"/>
              <w:right w:val="single" w:sz="6" w:space="0" w:color="auto"/>
            </w:tcBorders>
            <w:vAlign w:val="bottom"/>
          </w:tcPr>
          <w:p w:rsidR="004A147C" w:rsidRPr="00B53FFB" w:rsidRDefault="004A147C" w:rsidP="00CE5850">
            <w:pPr>
              <w:rPr>
                <w:szCs w:val="22"/>
              </w:rPr>
            </w:pPr>
            <w:r w:rsidRPr="00B53FFB">
              <w:rPr>
                <w:szCs w:val="22"/>
              </w:rPr>
              <w:t>-1.4%</w:t>
            </w:r>
          </w:p>
        </w:tc>
        <w:tc>
          <w:tcPr>
            <w:tcW w:w="900" w:type="dxa"/>
            <w:tcBorders>
              <w:top w:val="single" w:sz="6" w:space="0" w:color="auto"/>
              <w:left w:val="single" w:sz="6" w:space="0" w:color="auto"/>
              <w:right w:val="single" w:sz="6" w:space="0" w:color="auto"/>
            </w:tcBorders>
            <w:vAlign w:val="bottom"/>
          </w:tcPr>
          <w:p w:rsidR="004A147C" w:rsidRPr="00B53FFB" w:rsidRDefault="004A147C" w:rsidP="00CE5850">
            <w:pPr>
              <w:rPr>
                <w:szCs w:val="22"/>
              </w:rPr>
            </w:pPr>
            <w:r w:rsidRPr="00B53FFB">
              <w:rPr>
                <w:szCs w:val="22"/>
              </w:rPr>
              <w:t>-</w:t>
            </w:r>
          </w:p>
        </w:tc>
        <w:tc>
          <w:tcPr>
            <w:tcW w:w="917" w:type="dxa"/>
            <w:gridSpan w:val="2"/>
            <w:tcBorders>
              <w:top w:val="single" w:sz="6" w:space="0" w:color="auto"/>
              <w:left w:val="single" w:sz="6" w:space="0" w:color="auto"/>
              <w:right w:val="single" w:sz="6" w:space="0" w:color="auto"/>
            </w:tcBorders>
            <w:vAlign w:val="bottom"/>
          </w:tcPr>
          <w:p w:rsidR="004A147C" w:rsidRPr="00B53FFB" w:rsidRDefault="004A147C" w:rsidP="00CE5850">
            <w:pPr>
              <w:rPr>
                <w:szCs w:val="22"/>
              </w:rPr>
            </w:pPr>
            <w:r w:rsidRPr="00B53FFB">
              <w:rPr>
                <w:szCs w:val="22"/>
              </w:rPr>
              <w:t>-</w:t>
            </w:r>
          </w:p>
        </w:tc>
      </w:tr>
      <w:tr w:rsidR="004A147C" w:rsidRPr="00B53FFB" w:rsidTr="00D626F5">
        <w:trPr>
          <w:trHeight w:val="262"/>
          <w:jc w:val="center"/>
        </w:trPr>
        <w:tc>
          <w:tcPr>
            <w:tcW w:w="840" w:type="dxa"/>
            <w:tcBorders>
              <w:top w:val="single" w:sz="6" w:space="0" w:color="auto"/>
              <w:left w:val="single" w:sz="6" w:space="0" w:color="auto"/>
              <w:right w:val="single" w:sz="6" w:space="0" w:color="auto"/>
            </w:tcBorders>
            <w:vAlign w:val="bottom"/>
          </w:tcPr>
          <w:p w:rsidR="004A147C" w:rsidRPr="00B53FFB" w:rsidRDefault="004A147C" w:rsidP="00CE5850">
            <w:pPr>
              <w:rPr>
                <w:szCs w:val="22"/>
              </w:rPr>
            </w:pPr>
            <w:r w:rsidRPr="00B53FFB">
              <w:rPr>
                <w:szCs w:val="22"/>
              </w:rPr>
              <w:t>2004</w:t>
            </w:r>
          </w:p>
        </w:tc>
        <w:tc>
          <w:tcPr>
            <w:tcW w:w="810" w:type="dxa"/>
            <w:tcBorders>
              <w:top w:val="single" w:sz="6" w:space="0" w:color="auto"/>
              <w:left w:val="single" w:sz="6" w:space="0" w:color="auto"/>
              <w:right w:val="single" w:sz="6" w:space="0" w:color="auto"/>
            </w:tcBorders>
            <w:vAlign w:val="bottom"/>
          </w:tcPr>
          <w:p w:rsidR="004A147C" w:rsidRPr="00B53FFB" w:rsidRDefault="004A147C" w:rsidP="00CE5850">
            <w:pPr>
              <w:rPr>
                <w:szCs w:val="22"/>
              </w:rPr>
            </w:pPr>
            <w:r w:rsidRPr="00B53FFB">
              <w:rPr>
                <w:szCs w:val="22"/>
              </w:rPr>
              <w:t>117.7</w:t>
            </w:r>
          </w:p>
        </w:tc>
        <w:tc>
          <w:tcPr>
            <w:tcW w:w="810" w:type="dxa"/>
            <w:tcBorders>
              <w:top w:val="single" w:sz="6" w:space="0" w:color="auto"/>
              <w:left w:val="single" w:sz="6" w:space="0" w:color="auto"/>
              <w:right w:val="single" w:sz="6" w:space="0" w:color="auto"/>
            </w:tcBorders>
            <w:vAlign w:val="bottom"/>
          </w:tcPr>
          <w:p w:rsidR="004A147C" w:rsidRPr="00B53FFB" w:rsidRDefault="004A147C" w:rsidP="00CE5850">
            <w:pPr>
              <w:rPr>
                <w:szCs w:val="22"/>
              </w:rPr>
            </w:pPr>
            <w:r w:rsidRPr="00B53FFB">
              <w:rPr>
                <w:szCs w:val="22"/>
              </w:rPr>
              <w:t>2.7%</w:t>
            </w:r>
          </w:p>
        </w:tc>
        <w:tc>
          <w:tcPr>
            <w:tcW w:w="900" w:type="dxa"/>
            <w:tcBorders>
              <w:top w:val="single" w:sz="6" w:space="0" w:color="auto"/>
              <w:left w:val="single" w:sz="6" w:space="0" w:color="auto"/>
              <w:right w:val="single" w:sz="6" w:space="0" w:color="auto"/>
            </w:tcBorders>
            <w:shd w:val="clear" w:color="auto" w:fill="E6E6E6"/>
            <w:vAlign w:val="bottom"/>
          </w:tcPr>
          <w:p w:rsidR="004A147C" w:rsidRPr="00B53FFB" w:rsidRDefault="004A147C" w:rsidP="00CE5850">
            <w:pPr>
              <w:rPr>
                <w:szCs w:val="22"/>
              </w:rPr>
            </w:pPr>
            <w:r w:rsidRPr="00B53FFB">
              <w:rPr>
                <w:szCs w:val="22"/>
              </w:rPr>
              <w:t>66.2</w:t>
            </w:r>
          </w:p>
        </w:tc>
        <w:tc>
          <w:tcPr>
            <w:tcW w:w="900" w:type="dxa"/>
            <w:tcBorders>
              <w:top w:val="single" w:sz="6" w:space="0" w:color="auto"/>
              <w:left w:val="single" w:sz="6" w:space="0" w:color="auto"/>
              <w:right w:val="single" w:sz="6" w:space="0" w:color="auto"/>
            </w:tcBorders>
            <w:shd w:val="clear" w:color="auto" w:fill="E6E6E6"/>
            <w:vAlign w:val="bottom"/>
          </w:tcPr>
          <w:p w:rsidR="004A147C" w:rsidRPr="00B53FFB" w:rsidRDefault="004A147C" w:rsidP="00CE5850">
            <w:pPr>
              <w:rPr>
                <w:szCs w:val="22"/>
              </w:rPr>
            </w:pPr>
            <w:r w:rsidRPr="00B53FFB">
              <w:rPr>
                <w:szCs w:val="22"/>
              </w:rPr>
              <w:t>-0.9%</w:t>
            </w:r>
          </w:p>
        </w:tc>
        <w:tc>
          <w:tcPr>
            <w:tcW w:w="900" w:type="dxa"/>
            <w:tcBorders>
              <w:top w:val="single" w:sz="6" w:space="0" w:color="auto"/>
              <w:left w:val="single" w:sz="6" w:space="0" w:color="auto"/>
              <w:right w:val="single" w:sz="6" w:space="0" w:color="auto"/>
            </w:tcBorders>
            <w:vAlign w:val="bottom"/>
          </w:tcPr>
          <w:p w:rsidR="004A147C" w:rsidRPr="00B53FFB" w:rsidRDefault="004A147C" w:rsidP="00CE5850">
            <w:pPr>
              <w:rPr>
                <w:szCs w:val="22"/>
              </w:rPr>
            </w:pPr>
            <w:r w:rsidRPr="00B53FFB">
              <w:rPr>
                <w:szCs w:val="22"/>
              </w:rPr>
              <w:t>95.8</w:t>
            </w:r>
          </w:p>
        </w:tc>
        <w:tc>
          <w:tcPr>
            <w:tcW w:w="900" w:type="dxa"/>
            <w:tcBorders>
              <w:top w:val="single" w:sz="6" w:space="0" w:color="auto"/>
              <w:left w:val="single" w:sz="6" w:space="0" w:color="auto"/>
              <w:right w:val="single" w:sz="6" w:space="0" w:color="auto"/>
            </w:tcBorders>
            <w:vAlign w:val="bottom"/>
          </w:tcPr>
          <w:p w:rsidR="004A147C" w:rsidRPr="00B53FFB" w:rsidRDefault="004A147C" w:rsidP="00CE5850">
            <w:pPr>
              <w:rPr>
                <w:szCs w:val="22"/>
              </w:rPr>
            </w:pPr>
            <w:r w:rsidRPr="00B53FFB">
              <w:rPr>
                <w:szCs w:val="22"/>
              </w:rPr>
              <w:t>-2.5%</w:t>
            </w:r>
          </w:p>
        </w:tc>
        <w:tc>
          <w:tcPr>
            <w:tcW w:w="900" w:type="dxa"/>
            <w:tcBorders>
              <w:top w:val="single" w:sz="6" w:space="0" w:color="auto"/>
              <w:left w:val="single" w:sz="6" w:space="0" w:color="auto"/>
              <w:right w:val="single" w:sz="6" w:space="0" w:color="auto"/>
            </w:tcBorders>
            <w:vAlign w:val="bottom"/>
          </w:tcPr>
          <w:p w:rsidR="004A147C" w:rsidRPr="00B53FFB" w:rsidRDefault="004A147C" w:rsidP="00CE5850">
            <w:pPr>
              <w:rPr>
                <w:szCs w:val="22"/>
              </w:rPr>
            </w:pPr>
            <w:r w:rsidRPr="00B53FFB">
              <w:rPr>
                <w:szCs w:val="22"/>
              </w:rPr>
              <w:t>-</w:t>
            </w:r>
          </w:p>
        </w:tc>
        <w:tc>
          <w:tcPr>
            <w:tcW w:w="917" w:type="dxa"/>
            <w:gridSpan w:val="2"/>
            <w:tcBorders>
              <w:top w:val="single" w:sz="6" w:space="0" w:color="auto"/>
              <w:left w:val="single" w:sz="6" w:space="0" w:color="auto"/>
              <w:right w:val="single" w:sz="6" w:space="0" w:color="auto"/>
            </w:tcBorders>
            <w:vAlign w:val="bottom"/>
          </w:tcPr>
          <w:p w:rsidR="004A147C" w:rsidRPr="00B53FFB" w:rsidRDefault="004A147C" w:rsidP="00CE5850">
            <w:pPr>
              <w:rPr>
                <w:szCs w:val="22"/>
              </w:rPr>
            </w:pPr>
            <w:r w:rsidRPr="00B53FFB">
              <w:rPr>
                <w:szCs w:val="22"/>
              </w:rPr>
              <w:t>-</w:t>
            </w:r>
          </w:p>
        </w:tc>
      </w:tr>
      <w:tr w:rsidR="004A147C" w:rsidRPr="00B53FFB" w:rsidTr="00D626F5">
        <w:trPr>
          <w:trHeight w:val="262"/>
          <w:jc w:val="center"/>
        </w:trPr>
        <w:tc>
          <w:tcPr>
            <w:tcW w:w="840" w:type="dxa"/>
            <w:tcBorders>
              <w:top w:val="single" w:sz="6" w:space="0" w:color="auto"/>
              <w:left w:val="single" w:sz="6" w:space="0" w:color="auto"/>
              <w:right w:val="single" w:sz="6" w:space="0" w:color="auto"/>
            </w:tcBorders>
            <w:vAlign w:val="bottom"/>
          </w:tcPr>
          <w:p w:rsidR="004A147C" w:rsidRPr="00B53FFB" w:rsidRDefault="004A147C" w:rsidP="00CE5850">
            <w:pPr>
              <w:rPr>
                <w:szCs w:val="22"/>
              </w:rPr>
            </w:pPr>
            <w:r w:rsidRPr="00B53FFB">
              <w:rPr>
                <w:szCs w:val="22"/>
              </w:rPr>
              <w:t>2005</w:t>
            </w:r>
          </w:p>
        </w:tc>
        <w:tc>
          <w:tcPr>
            <w:tcW w:w="810" w:type="dxa"/>
            <w:tcBorders>
              <w:top w:val="single" w:sz="6" w:space="0" w:color="auto"/>
              <w:left w:val="single" w:sz="6" w:space="0" w:color="auto"/>
              <w:right w:val="single" w:sz="6" w:space="0" w:color="auto"/>
            </w:tcBorders>
            <w:vAlign w:val="bottom"/>
          </w:tcPr>
          <w:p w:rsidR="004A147C" w:rsidRPr="00B53FFB" w:rsidRDefault="004A147C" w:rsidP="00CE5850">
            <w:pPr>
              <w:rPr>
                <w:szCs w:val="22"/>
              </w:rPr>
            </w:pPr>
            <w:r w:rsidRPr="00B53FFB">
              <w:rPr>
                <w:szCs w:val="22"/>
              </w:rPr>
              <w:t>121.7</w:t>
            </w:r>
          </w:p>
        </w:tc>
        <w:tc>
          <w:tcPr>
            <w:tcW w:w="810" w:type="dxa"/>
            <w:tcBorders>
              <w:top w:val="single" w:sz="6" w:space="0" w:color="auto"/>
              <w:left w:val="single" w:sz="6" w:space="0" w:color="auto"/>
              <w:right w:val="single" w:sz="6" w:space="0" w:color="auto"/>
            </w:tcBorders>
            <w:vAlign w:val="bottom"/>
          </w:tcPr>
          <w:p w:rsidR="004A147C" w:rsidRPr="00B53FFB" w:rsidRDefault="004A147C" w:rsidP="00CE5850">
            <w:pPr>
              <w:rPr>
                <w:szCs w:val="22"/>
              </w:rPr>
            </w:pPr>
            <w:r w:rsidRPr="00B53FFB">
              <w:rPr>
                <w:szCs w:val="22"/>
              </w:rPr>
              <w:t>3.4%</w:t>
            </w:r>
          </w:p>
        </w:tc>
        <w:tc>
          <w:tcPr>
            <w:tcW w:w="900" w:type="dxa"/>
            <w:tcBorders>
              <w:top w:val="single" w:sz="6" w:space="0" w:color="auto"/>
              <w:left w:val="single" w:sz="6" w:space="0" w:color="auto"/>
              <w:right w:val="single" w:sz="6" w:space="0" w:color="auto"/>
            </w:tcBorders>
            <w:shd w:val="clear" w:color="auto" w:fill="E6E6E6"/>
            <w:vAlign w:val="bottom"/>
          </w:tcPr>
          <w:p w:rsidR="004A147C" w:rsidRPr="00B53FFB" w:rsidRDefault="004A147C" w:rsidP="00CE5850">
            <w:pPr>
              <w:rPr>
                <w:szCs w:val="22"/>
              </w:rPr>
            </w:pPr>
            <w:r w:rsidRPr="00B53FFB">
              <w:rPr>
                <w:szCs w:val="22"/>
              </w:rPr>
              <w:t>65.0</w:t>
            </w:r>
          </w:p>
        </w:tc>
        <w:tc>
          <w:tcPr>
            <w:tcW w:w="900" w:type="dxa"/>
            <w:tcBorders>
              <w:top w:val="single" w:sz="6" w:space="0" w:color="auto"/>
              <w:left w:val="single" w:sz="6" w:space="0" w:color="auto"/>
              <w:right w:val="single" w:sz="6" w:space="0" w:color="auto"/>
            </w:tcBorders>
            <w:shd w:val="clear" w:color="auto" w:fill="E6E6E6"/>
            <w:vAlign w:val="bottom"/>
          </w:tcPr>
          <w:p w:rsidR="004A147C" w:rsidRPr="00B53FFB" w:rsidRDefault="004A147C" w:rsidP="00CE5850">
            <w:pPr>
              <w:rPr>
                <w:szCs w:val="22"/>
              </w:rPr>
            </w:pPr>
            <w:r w:rsidRPr="00B53FFB">
              <w:rPr>
                <w:szCs w:val="22"/>
              </w:rPr>
              <w:t>-1.8%</w:t>
            </w:r>
          </w:p>
        </w:tc>
        <w:tc>
          <w:tcPr>
            <w:tcW w:w="900" w:type="dxa"/>
            <w:tcBorders>
              <w:top w:val="single" w:sz="6" w:space="0" w:color="auto"/>
              <w:left w:val="single" w:sz="6" w:space="0" w:color="auto"/>
              <w:right w:val="single" w:sz="6" w:space="0" w:color="auto"/>
            </w:tcBorders>
            <w:vAlign w:val="bottom"/>
          </w:tcPr>
          <w:p w:rsidR="004A147C" w:rsidRPr="00B53FFB" w:rsidRDefault="004A147C" w:rsidP="00CE5850">
            <w:pPr>
              <w:rPr>
                <w:szCs w:val="22"/>
              </w:rPr>
            </w:pPr>
            <w:r w:rsidRPr="00B53FFB">
              <w:rPr>
                <w:szCs w:val="22"/>
              </w:rPr>
              <w:t>94.9</w:t>
            </w:r>
          </w:p>
        </w:tc>
        <w:tc>
          <w:tcPr>
            <w:tcW w:w="900" w:type="dxa"/>
            <w:tcBorders>
              <w:top w:val="single" w:sz="6" w:space="0" w:color="auto"/>
              <w:left w:val="single" w:sz="6" w:space="0" w:color="auto"/>
              <w:right w:val="single" w:sz="6" w:space="0" w:color="auto"/>
            </w:tcBorders>
            <w:vAlign w:val="bottom"/>
          </w:tcPr>
          <w:p w:rsidR="004A147C" w:rsidRPr="00B53FFB" w:rsidRDefault="004A147C" w:rsidP="00CE5850">
            <w:pPr>
              <w:rPr>
                <w:szCs w:val="22"/>
              </w:rPr>
            </w:pPr>
            <w:r w:rsidRPr="00B53FFB">
              <w:rPr>
                <w:szCs w:val="22"/>
              </w:rPr>
              <w:t>-0.9%</w:t>
            </w:r>
          </w:p>
        </w:tc>
        <w:tc>
          <w:tcPr>
            <w:tcW w:w="900" w:type="dxa"/>
            <w:tcBorders>
              <w:top w:val="single" w:sz="6" w:space="0" w:color="auto"/>
              <w:left w:val="single" w:sz="6" w:space="0" w:color="auto"/>
              <w:right w:val="single" w:sz="6" w:space="0" w:color="auto"/>
            </w:tcBorders>
            <w:vAlign w:val="bottom"/>
          </w:tcPr>
          <w:p w:rsidR="004A147C" w:rsidRPr="00B53FFB" w:rsidRDefault="004A147C" w:rsidP="00CE5850">
            <w:pPr>
              <w:rPr>
                <w:szCs w:val="22"/>
              </w:rPr>
            </w:pPr>
            <w:r w:rsidRPr="00B53FFB">
              <w:rPr>
                <w:szCs w:val="22"/>
              </w:rPr>
              <w:t>-</w:t>
            </w:r>
          </w:p>
        </w:tc>
        <w:tc>
          <w:tcPr>
            <w:tcW w:w="917" w:type="dxa"/>
            <w:gridSpan w:val="2"/>
            <w:tcBorders>
              <w:top w:val="single" w:sz="6" w:space="0" w:color="auto"/>
              <w:left w:val="single" w:sz="6" w:space="0" w:color="auto"/>
              <w:right w:val="single" w:sz="6" w:space="0" w:color="auto"/>
            </w:tcBorders>
            <w:vAlign w:val="bottom"/>
          </w:tcPr>
          <w:p w:rsidR="004A147C" w:rsidRPr="00B53FFB" w:rsidRDefault="004A147C" w:rsidP="00CE5850">
            <w:pPr>
              <w:rPr>
                <w:szCs w:val="22"/>
              </w:rPr>
            </w:pPr>
            <w:r w:rsidRPr="00B53FFB">
              <w:rPr>
                <w:szCs w:val="22"/>
              </w:rPr>
              <w:t>-</w:t>
            </w:r>
          </w:p>
        </w:tc>
      </w:tr>
      <w:tr w:rsidR="004A147C" w:rsidRPr="00B53FFB" w:rsidTr="00D626F5">
        <w:trPr>
          <w:trHeight w:val="262"/>
          <w:jc w:val="center"/>
        </w:trPr>
        <w:tc>
          <w:tcPr>
            <w:tcW w:w="840" w:type="dxa"/>
            <w:tcBorders>
              <w:top w:val="single" w:sz="6" w:space="0" w:color="auto"/>
              <w:left w:val="single" w:sz="6" w:space="0" w:color="auto"/>
              <w:right w:val="single" w:sz="6" w:space="0" w:color="auto"/>
            </w:tcBorders>
            <w:vAlign w:val="bottom"/>
          </w:tcPr>
          <w:p w:rsidR="004A147C" w:rsidRPr="00B53FFB" w:rsidRDefault="004A147C" w:rsidP="00CE5850">
            <w:pPr>
              <w:rPr>
                <w:szCs w:val="22"/>
              </w:rPr>
            </w:pPr>
            <w:r w:rsidRPr="00B53FFB">
              <w:rPr>
                <w:szCs w:val="22"/>
              </w:rPr>
              <w:t>2006</w:t>
            </w:r>
          </w:p>
        </w:tc>
        <w:tc>
          <w:tcPr>
            <w:tcW w:w="810" w:type="dxa"/>
            <w:tcBorders>
              <w:top w:val="single" w:sz="6" w:space="0" w:color="auto"/>
              <w:left w:val="single" w:sz="6" w:space="0" w:color="auto"/>
              <w:right w:val="single" w:sz="6" w:space="0" w:color="auto"/>
            </w:tcBorders>
            <w:vAlign w:val="bottom"/>
          </w:tcPr>
          <w:p w:rsidR="004A147C" w:rsidRPr="00B53FFB" w:rsidRDefault="004A147C" w:rsidP="00CE5850">
            <w:pPr>
              <w:rPr>
                <w:szCs w:val="22"/>
              </w:rPr>
            </w:pPr>
            <w:r w:rsidRPr="00B53FFB">
              <w:rPr>
                <w:szCs w:val="22"/>
              </w:rPr>
              <w:t>125.6</w:t>
            </w:r>
          </w:p>
        </w:tc>
        <w:tc>
          <w:tcPr>
            <w:tcW w:w="810" w:type="dxa"/>
            <w:tcBorders>
              <w:top w:val="single" w:sz="6" w:space="0" w:color="auto"/>
              <w:left w:val="single" w:sz="6" w:space="0" w:color="auto"/>
              <w:right w:val="single" w:sz="6" w:space="0" w:color="auto"/>
            </w:tcBorders>
            <w:vAlign w:val="bottom"/>
          </w:tcPr>
          <w:p w:rsidR="004A147C" w:rsidRPr="00B53FFB" w:rsidRDefault="004A147C" w:rsidP="00CE5850">
            <w:pPr>
              <w:rPr>
                <w:szCs w:val="22"/>
              </w:rPr>
            </w:pPr>
            <w:r w:rsidRPr="00B53FFB">
              <w:rPr>
                <w:szCs w:val="22"/>
              </w:rPr>
              <w:t>3.2%</w:t>
            </w:r>
          </w:p>
        </w:tc>
        <w:tc>
          <w:tcPr>
            <w:tcW w:w="900" w:type="dxa"/>
            <w:tcBorders>
              <w:top w:val="single" w:sz="6" w:space="0" w:color="auto"/>
              <w:left w:val="single" w:sz="6" w:space="0" w:color="auto"/>
              <w:right w:val="single" w:sz="6" w:space="0" w:color="auto"/>
            </w:tcBorders>
            <w:shd w:val="clear" w:color="auto" w:fill="E6E6E6"/>
            <w:vAlign w:val="bottom"/>
          </w:tcPr>
          <w:p w:rsidR="004A147C" w:rsidRPr="00B53FFB" w:rsidRDefault="004A147C" w:rsidP="00CE5850">
            <w:pPr>
              <w:rPr>
                <w:szCs w:val="22"/>
              </w:rPr>
            </w:pPr>
            <w:r w:rsidRPr="00B53FFB">
              <w:rPr>
                <w:szCs w:val="22"/>
              </w:rPr>
              <w:t>64.6</w:t>
            </w:r>
          </w:p>
        </w:tc>
        <w:tc>
          <w:tcPr>
            <w:tcW w:w="900" w:type="dxa"/>
            <w:tcBorders>
              <w:top w:val="single" w:sz="6" w:space="0" w:color="auto"/>
              <w:left w:val="single" w:sz="6" w:space="0" w:color="auto"/>
              <w:right w:val="single" w:sz="6" w:space="0" w:color="auto"/>
            </w:tcBorders>
            <w:shd w:val="clear" w:color="auto" w:fill="E6E6E6"/>
            <w:vAlign w:val="bottom"/>
          </w:tcPr>
          <w:p w:rsidR="004A147C" w:rsidRPr="00B53FFB" w:rsidRDefault="004A147C" w:rsidP="00CE5850">
            <w:pPr>
              <w:rPr>
                <w:szCs w:val="22"/>
              </w:rPr>
            </w:pPr>
            <w:r w:rsidRPr="00B53FFB">
              <w:rPr>
                <w:szCs w:val="22"/>
              </w:rPr>
              <w:t>-0.6%</w:t>
            </w:r>
          </w:p>
        </w:tc>
        <w:tc>
          <w:tcPr>
            <w:tcW w:w="900" w:type="dxa"/>
            <w:tcBorders>
              <w:top w:val="single" w:sz="6" w:space="0" w:color="auto"/>
              <w:left w:val="single" w:sz="6" w:space="0" w:color="auto"/>
              <w:right w:val="single" w:sz="6" w:space="0" w:color="auto"/>
            </w:tcBorders>
            <w:vAlign w:val="bottom"/>
          </w:tcPr>
          <w:p w:rsidR="004A147C" w:rsidRPr="00B53FFB" w:rsidRDefault="004A147C" w:rsidP="00CE5850">
            <w:pPr>
              <w:rPr>
                <w:szCs w:val="22"/>
              </w:rPr>
            </w:pPr>
            <w:r w:rsidRPr="00B53FFB">
              <w:rPr>
                <w:szCs w:val="22"/>
              </w:rPr>
              <w:t>95.8</w:t>
            </w:r>
          </w:p>
        </w:tc>
        <w:tc>
          <w:tcPr>
            <w:tcW w:w="900" w:type="dxa"/>
            <w:tcBorders>
              <w:top w:val="single" w:sz="6" w:space="0" w:color="auto"/>
              <w:left w:val="single" w:sz="6" w:space="0" w:color="auto"/>
              <w:right w:val="single" w:sz="6" w:space="0" w:color="auto"/>
            </w:tcBorders>
            <w:vAlign w:val="bottom"/>
          </w:tcPr>
          <w:p w:rsidR="004A147C" w:rsidRPr="00B53FFB" w:rsidRDefault="004A147C" w:rsidP="00CE5850">
            <w:pPr>
              <w:rPr>
                <w:szCs w:val="22"/>
              </w:rPr>
            </w:pPr>
            <w:r w:rsidRPr="00B53FFB">
              <w:rPr>
                <w:szCs w:val="22"/>
              </w:rPr>
              <w:t>0.9%</w:t>
            </w:r>
          </w:p>
        </w:tc>
        <w:tc>
          <w:tcPr>
            <w:tcW w:w="900" w:type="dxa"/>
            <w:tcBorders>
              <w:top w:val="single" w:sz="6" w:space="0" w:color="auto"/>
              <w:left w:val="single" w:sz="6" w:space="0" w:color="auto"/>
              <w:right w:val="single" w:sz="6" w:space="0" w:color="auto"/>
            </w:tcBorders>
            <w:vAlign w:val="bottom"/>
          </w:tcPr>
          <w:p w:rsidR="004A147C" w:rsidRPr="00B53FFB" w:rsidRDefault="004A147C" w:rsidP="00CE5850">
            <w:pPr>
              <w:rPr>
                <w:szCs w:val="22"/>
              </w:rPr>
            </w:pPr>
            <w:r w:rsidRPr="00B53FFB">
              <w:rPr>
                <w:szCs w:val="22"/>
              </w:rPr>
              <w:t>-</w:t>
            </w:r>
          </w:p>
        </w:tc>
        <w:tc>
          <w:tcPr>
            <w:tcW w:w="917" w:type="dxa"/>
            <w:gridSpan w:val="2"/>
            <w:tcBorders>
              <w:top w:val="single" w:sz="6" w:space="0" w:color="auto"/>
              <w:left w:val="single" w:sz="6" w:space="0" w:color="auto"/>
              <w:right w:val="single" w:sz="6" w:space="0" w:color="auto"/>
            </w:tcBorders>
            <w:vAlign w:val="bottom"/>
          </w:tcPr>
          <w:p w:rsidR="004A147C" w:rsidRPr="00B53FFB" w:rsidRDefault="004A147C" w:rsidP="00CE5850">
            <w:pPr>
              <w:rPr>
                <w:szCs w:val="22"/>
              </w:rPr>
            </w:pPr>
            <w:r w:rsidRPr="00B53FFB">
              <w:rPr>
                <w:szCs w:val="22"/>
              </w:rPr>
              <w:t>-</w:t>
            </w:r>
          </w:p>
        </w:tc>
      </w:tr>
      <w:tr w:rsidR="004A147C" w:rsidRPr="00B53FFB" w:rsidTr="00D626F5">
        <w:trPr>
          <w:trHeight w:val="262"/>
          <w:jc w:val="center"/>
        </w:trPr>
        <w:tc>
          <w:tcPr>
            <w:tcW w:w="840" w:type="dxa"/>
            <w:tcBorders>
              <w:top w:val="single" w:sz="6" w:space="0" w:color="auto"/>
              <w:left w:val="single" w:sz="6" w:space="0" w:color="auto"/>
              <w:right w:val="single" w:sz="6" w:space="0" w:color="auto"/>
            </w:tcBorders>
            <w:vAlign w:val="bottom"/>
          </w:tcPr>
          <w:p w:rsidR="004A147C" w:rsidRPr="00B53FFB" w:rsidRDefault="004A147C" w:rsidP="00CE5850">
            <w:pPr>
              <w:rPr>
                <w:szCs w:val="22"/>
              </w:rPr>
            </w:pPr>
            <w:r w:rsidRPr="00B53FFB">
              <w:rPr>
                <w:szCs w:val="22"/>
              </w:rPr>
              <w:t>2007</w:t>
            </w:r>
          </w:p>
        </w:tc>
        <w:tc>
          <w:tcPr>
            <w:tcW w:w="810" w:type="dxa"/>
            <w:tcBorders>
              <w:top w:val="single" w:sz="6" w:space="0" w:color="auto"/>
              <w:left w:val="single" w:sz="6" w:space="0" w:color="auto"/>
              <w:right w:val="single" w:sz="6" w:space="0" w:color="auto"/>
            </w:tcBorders>
            <w:vAlign w:val="bottom"/>
          </w:tcPr>
          <w:p w:rsidR="004A147C" w:rsidRPr="00B53FFB" w:rsidRDefault="004A147C" w:rsidP="00CE5850">
            <w:pPr>
              <w:rPr>
                <w:szCs w:val="22"/>
              </w:rPr>
            </w:pPr>
            <w:r w:rsidRPr="00B53FFB">
              <w:rPr>
                <w:szCs w:val="22"/>
              </w:rPr>
              <w:t>129.2</w:t>
            </w:r>
          </w:p>
        </w:tc>
        <w:tc>
          <w:tcPr>
            <w:tcW w:w="810" w:type="dxa"/>
            <w:tcBorders>
              <w:top w:val="single" w:sz="6" w:space="0" w:color="auto"/>
              <w:left w:val="single" w:sz="6" w:space="0" w:color="auto"/>
              <w:right w:val="single" w:sz="6" w:space="0" w:color="auto"/>
            </w:tcBorders>
            <w:vAlign w:val="bottom"/>
          </w:tcPr>
          <w:p w:rsidR="004A147C" w:rsidRPr="00B53FFB" w:rsidRDefault="004A147C" w:rsidP="00CE5850">
            <w:pPr>
              <w:rPr>
                <w:szCs w:val="22"/>
              </w:rPr>
            </w:pPr>
            <w:r w:rsidRPr="00B53FFB">
              <w:rPr>
                <w:szCs w:val="22"/>
              </w:rPr>
              <w:t>2.8%</w:t>
            </w:r>
          </w:p>
        </w:tc>
        <w:tc>
          <w:tcPr>
            <w:tcW w:w="900" w:type="dxa"/>
            <w:tcBorders>
              <w:top w:val="single" w:sz="6" w:space="0" w:color="auto"/>
              <w:left w:val="single" w:sz="6" w:space="0" w:color="auto"/>
              <w:right w:val="single" w:sz="6" w:space="0" w:color="auto"/>
            </w:tcBorders>
            <w:shd w:val="clear" w:color="auto" w:fill="E6E6E6"/>
            <w:vAlign w:val="bottom"/>
          </w:tcPr>
          <w:p w:rsidR="004A147C" w:rsidRPr="00B53FFB" w:rsidRDefault="004A147C" w:rsidP="00CE5850">
            <w:pPr>
              <w:rPr>
                <w:szCs w:val="22"/>
              </w:rPr>
            </w:pPr>
            <w:r w:rsidRPr="00B53FFB">
              <w:rPr>
                <w:szCs w:val="22"/>
              </w:rPr>
              <w:t>64.4</w:t>
            </w:r>
          </w:p>
        </w:tc>
        <w:tc>
          <w:tcPr>
            <w:tcW w:w="900" w:type="dxa"/>
            <w:tcBorders>
              <w:top w:val="single" w:sz="6" w:space="0" w:color="auto"/>
              <w:left w:val="single" w:sz="6" w:space="0" w:color="auto"/>
              <w:right w:val="single" w:sz="6" w:space="0" w:color="auto"/>
            </w:tcBorders>
            <w:shd w:val="clear" w:color="auto" w:fill="E6E6E6"/>
            <w:vAlign w:val="bottom"/>
          </w:tcPr>
          <w:p w:rsidR="004A147C" w:rsidRPr="00B53FFB" w:rsidRDefault="004A147C" w:rsidP="00CE5850">
            <w:pPr>
              <w:rPr>
                <w:szCs w:val="22"/>
              </w:rPr>
            </w:pPr>
            <w:r w:rsidRPr="00B53FFB">
              <w:rPr>
                <w:szCs w:val="22"/>
              </w:rPr>
              <w:t>-0.3%</w:t>
            </w:r>
          </w:p>
        </w:tc>
        <w:tc>
          <w:tcPr>
            <w:tcW w:w="900" w:type="dxa"/>
            <w:tcBorders>
              <w:top w:val="single" w:sz="6" w:space="0" w:color="auto"/>
              <w:left w:val="single" w:sz="6" w:space="0" w:color="auto"/>
              <w:right w:val="single" w:sz="6" w:space="0" w:color="auto"/>
            </w:tcBorders>
            <w:vAlign w:val="bottom"/>
          </w:tcPr>
          <w:p w:rsidR="004A147C" w:rsidRPr="00B53FFB" w:rsidRDefault="004A147C" w:rsidP="00CE5850">
            <w:pPr>
              <w:rPr>
                <w:szCs w:val="22"/>
              </w:rPr>
            </w:pPr>
            <w:r w:rsidRPr="00B53FFB">
              <w:rPr>
                <w:szCs w:val="22"/>
              </w:rPr>
              <w:t>98.2</w:t>
            </w:r>
          </w:p>
        </w:tc>
        <w:tc>
          <w:tcPr>
            <w:tcW w:w="900" w:type="dxa"/>
            <w:tcBorders>
              <w:top w:val="single" w:sz="6" w:space="0" w:color="auto"/>
              <w:left w:val="single" w:sz="6" w:space="0" w:color="auto"/>
              <w:right w:val="single" w:sz="6" w:space="0" w:color="auto"/>
            </w:tcBorders>
            <w:vAlign w:val="bottom"/>
          </w:tcPr>
          <w:p w:rsidR="004A147C" w:rsidRPr="00B53FFB" w:rsidRDefault="004A147C" w:rsidP="00CE5850">
            <w:pPr>
              <w:rPr>
                <w:szCs w:val="22"/>
              </w:rPr>
            </w:pPr>
            <w:r w:rsidRPr="00B53FFB">
              <w:rPr>
                <w:szCs w:val="22"/>
              </w:rPr>
              <w:t>2.6%</w:t>
            </w:r>
          </w:p>
        </w:tc>
        <w:tc>
          <w:tcPr>
            <w:tcW w:w="900" w:type="dxa"/>
            <w:tcBorders>
              <w:top w:val="single" w:sz="6" w:space="0" w:color="auto"/>
              <w:left w:val="single" w:sz="6" w:space="0" w:color="auto"/>
              <w:right w:val="single" w:sz="6" w:space="0" w:color="auto"/>
            </w:tcBorders>
            <w:vAlign w:val="bottom"/>
          </w:tcPr>
          <w:p w:rsidR="004A147C" w:rsidRPr="00B53FFB" w:rsidRDefault="004A147C" w:rsidP="00CE5850">
            <w:pPr>
              <w:rPr>
                <w:szCs w:val="22"/>
              </w:rPr>
            </w:pPr>
            <w:r w:rsidRPr="00B53FFB">
              <w:rPr>
                <w:szCs w:val="22"/>
              </w:rPr>
              <w:t>-</w:t>
            </w:r>
          </w:p>
        </w:tc>
        <w:tc>
          <w:tcPr>
            <w:tcW w:w="917" w:type="dxa"/>
            <w:gridSpan w:val="2"/>
            <w:tcBorders>
              <w:top w:val="single" w:sz="6" w:space="0" w:color="auto"/>
              <w:left w:val="single" w:sz="6" w:space="0" w:color="auto"/>
              <w:right w:val="single" w:sz="6" w:space="0" w:color="auto"/>
            </w:tcBorders>
            <w:vAlign w:val="bottom"/>
          </w:tcPr>
          <w:p w:rsidR="004A147C" w:rsidRPr="00B53FFB" w:rsidRDefault="004A147C" w:rsidP="00CE5850">
            <w:pPr>
              <w:rPr>
                <w:szCs w:val="22"/>
              </w:rPr>
            </w:pPr>
            <w:r w:rsidRPr="00B53FFB">
              <w:rPr>
                <w:szCs w:val="22"/>
              </w:rPr>
              <w:t>-</w:t>
            </w:r>
          </w:p>
        </w:tc>
      </w:tr>
      <w:tr w:rsidR="004A147C" w:rsidRPr="00B53FFB" w:rsidTr="00D626F5">
        <w:trPr>
          <w:trHeight w:val="262"/>
          <w:jc w:val="center"/>
        </w:trPr>
        <w:tc>
          <w:tcPr>
            <w:tcW w:w="840" w:type="dxa"/>
            <w:tcBorders>
              <w:top w:val="single" w:sz="6" w:space="0" w:color="auto"/>
              <w:left w:val="single" w:sz="6" w:space="0" w:color="auto"/>
              <w:right w:val="single" w:sz="6" w:space="0" w:color="auto"/>
            </w:tcBorders>
            <w:vAlign w:val="bottom"/>
          </w:tcPr>
          <w:p w:rsidR="004A147C" w:rsidRPr="00B53FFB" w:rsidRDefault="004A147C" w:rsidP="00CE5850">
            <w:pPr>
              <w:rPr>
                <w:szCs w:val="22"/>
              </w:rPr>
            </w:pPr>
            <w:r w:rsidRPr="00B53FFB">
              <w:rPr>
                <w:szCs w:val="22"/>
              </w:rPr>
              <w:t>2008</w:t>
            </w:r>
          </w:p>
        </w:tc>
        <w:tc>
          <w:tcPr>
            <w:tcW w:w="810" w:type="dxa"/>
            <w:tcBorders>
              <w:top w:val="single" w:sz="6" w:space="0" w:color="auto"/>
              <w:left w:val="single" w:sz="6" w:space="0" w:color="auto"/>
              <w:right w:val="single" w:sz="6" w:space="0" w:color="auto"/>
            </w:tcBorders>
            <w:vAlign w:val="bottom"/>
          </w:tcPr>
          <w:p w:rsidR="004A147C" w:rsidRPr="00B53FFB" w:rsidRDefault="004A147C" w:rsidP="00CE5850">
            <w:pPr>
              <w:rPr>
                <w:szCs w:val="22"/>
              </w:rPr>
            </w:pPr>
            <w:r w:rsidRPr="00B53FFB">
              <w:rPr>
                <w:szCs w:val="22"/>
              </w:rPr>
              <w:t>134.1</w:t>
            </w:r>
          </w:p>
        </w:tc>
        <w:tc>
          <w:tcPr>
            <w:tcW w:w="810" w:type="dxa"/>
            <w:tcBorders>
              <w:top w:val="single" w:sz="6" w:space="0" w:color="auto"/>
              <w:left w:val="single" w:sz="6" w:space="0" w:color="auto"/>
              <w:right w:val="single" w:sz="6" w:space="0" w:color="auto"/>
            </w:tcBorders>
            <w:vAlign w:val="bottom"/>
          </w:tcPr>
          <w:p w:rsidR="004A147C" w:rsidRPr="00B53FFB" w:rsidRDefault="004A147C" w:rsidP="00CE5850">
            <w:pPr>
              <w:rPr>
                <w:szCs w:val="22"/>
              </w:rPr>
            </w:pPr>
            <w:r w:rsidRPr="00B53FFB">
              <w:rPr>
                <w:szCs w:val="22"/>
              </w:rPr>
              <w:t>3.8%</w:t>
            </w:r>
          </w:p>
        </w:tc>
        <w:tc>
          <w:tcPr>
            <w:tcW w:w="900" w:type="dxa"/>
            <w:tcBorders>
              <w:top w:val="single" w:sz="6" w:space="0" w:color="auto"/>
              <w:left w:val="single" w:sz="6" w:space="0" w:color="auto"/>
              <w:right w:val="single" w:sz="6" w:space="0" w:color="auto"/>
            </w:tcBorders>
            <w:shd w:val="clear" w:color="auto" w:fill="E6E6E6"/>
            <w:vAlign w:val="bottom"/>
          </w:tcPr>
          <w:p w:rsidR="004A147C" w:rsidRPr="00B53FFB" w:rsidRDefault="004A147C" w:rsidP="00CE5850">
            <w:pPr>
              <w:rPr>
                <w:szCs w:val="22"/>
              </w:rPr>
            </w:pPr>
            <w:r w:rsidRPr="00B53FFB">
              <w:rPr>
                <w:szCs w:val="22"/>
              </w:rPr>
              <w:t>64.2</w:t>
            </w:r>
          </w:p>
        </w:tc>
        <w:tc>
          <w:tcPr>
            <w:tcW w:w="900" w:type="dxa"/>
            <w:tcBorders>
              <w:top w:val="single" w:sz="6" w:space="0" w:color="auto"/>
              <w:left w:val="single" w:sz="6" w:space="0" w:color="auto"/>
              <w:right w:val="single" w:sz="6" w:space="0" w:color="auto"/>
            </w:tcBorders>
            <w:shd w:val="clear" w:color="auto" w:fill="E6E6E6"/>
            <w:vAlign w:val="bottom"/>
          </w:tcPr>
          <w:p w:rsidR="004A147C" w:rsidRPr="00B53FFB" w:rsidRDefault="004A147C" w:rsidP="00CE5850">
            <w:pPr>
              <w:rPr>
                <w:szCs w:val="22"/>
              </w:rPr>
            </w:pPr>
            <w:r w:rsidRPr="00B53FFB">
              <w:rPr>
                <w:szCs w:val="22"/>
              </w:rPr>
              <w:t>-0.2%</w:t>
            </w:r>
          </w:p>
        </w:tc>
        <w:tc>
          <w:tcPr>
            <w:tcW w:w="900" w:type="dxa"/>
            <w:tcBorders>
              <w:top w:val="single" w:sz="6" w:space="0" w:color="auto"/>
              <w:left w:val="single" w:sz="6" w:space="0" w:color="auto"/>
              <w:right w:val="single" w:sz="6" w:space="0" w:color="auto"/>
            </w:tcBorders>
            <w:vAlign w:val="bottom"/>
          </w:tcPr>
          <w:p w:rsidR="004A147C" w:rsidRPr="00B53FFB" w:rsidRDefault="004A147C" w:rsidP="00CE5850">
            <w:pPr>
              <w:rPr>
                <w:szCs w:val="22"/>
              </w:rPr>
            </w:pPr>
            <w:r w:rsidRPr="00B53FFB">
              <w:rPr>
                <w:szCs w:val="22"/>
              </w:rPr>
              <w:t>100.5</w:t>
            </w:r>
          </w:p>
        </w:tc>
        <w:tc>
          <w:tcPr>
            <w:tcW w:w="900" w:type="dxa"/>
            <w:tcBorders>
              <w:top w:val="single" w:sz="6" w:space="0" w:color="auto"/>
              <w:left w:val="single" w:sz="6" w:space="0" w:color="auto"/>
              <w:right w:val="single" w:sz="6" w:space="0" w:color="auto"/>
            </w:tcBorders>
            <w:vAlign w:val="bottom"/>
          </w:tcPr>
          <w:p w:rsidR="004A147C" w:rsidRPr="00B53FFB" w:rsidRDefault="004A147C" w:rsidP="00CE5850">
            <w:pPr>
              <w:rPr>
                <w:szCs w:val="22"/>
              </w:rPr>
            </w:pPr>
            <w:r w:rsidRPr="00B53FFB">
              <w:rPr>
                <w:szCs w:val="22"/>
              </w:rPr>
              <w:t>2.2%</w:t>
            </w:r>
          </w:p>
        </w:tc>
        <w:tc>
          <w:tcPr>
            <w:tcW w:w="900" w:type="dxa"/>
            <w:tcBorders>
              <w:top w:val="single" w:sz="6" w:space="0" w:color="auto"/>
              <w:left w:val="single" w:sz="6" w:space="0" w:color="auto"/>
              <w:right w:val="single" w:sz="6" w:space="0" w:color="auto"/>
            </w:tcBorders>
            <w:vAlign w:val="bottom"/>
          </w:tcPr>
          <w:p w:rsidR="004A147C" w:rsidRPr="00B53FFB" w:rsidRDefault="004A147C" w:rsidP="00CE5850">
            <w:pPr>
              <w:rPr>
                <w:szCs w:val="22"/>
              </w:rPr>
            </w:pPr>
            <w:r w:rsidRPr="00B53FFB">
              <w:rPr>
                <w:szCs w:val="22"/>
              </w:rPr>
              <w:t>-</w:t>
            </w:r>
          </w:p>
        </w:tc>
        <w:tc>
          <w:tcPr>
            <w:tcW w:w="917" w:type="dxa"/>
            <w:gridSpan w:val="2"/>
            <w:tcBorders>
              <w:top w:val="single" w:sz="6" w:space="0" w:color="auto"/>
              <w:left w:val="single" w:sz="6" w:space="0" w:color="auto"/>
              <w:right w:val="single" w:sz="6" w:space="0" w:color="auto"/>
            </w:tcBorders>
            <w:vAlign w:val="bottom"/>
          </w:tcPr>
          <w:p w:rsidR="004A147C" w:rsidRPr="00B53FFB" w:rsidRDefault="004A147C" w:rsidP="00CE5850">
            <w:pPr>
              <w:rPr>
                <w:szCs w:val="22"/>
              </w:rPr>
            </w:pPr>
            <w:r w:rsidRPr="00B53FFB">
              <w:rPr>
                <w:szCs w:val="22"/>
              </w:rPr>
              <w:t>-</w:t>
            </w:r>
          </w:p>
        </w:tc>
      </w:tr>
      <w:tr w:rsidR="004A147C" w:rsidRPr="00B53FFB" w:rsidTr="00D626F5">
        <w:trPr>
          <w:trHeight w:val="262"/>
          <w:jc w:val="center"/>
        </w:trPr>
        <w:tc>
          <w:tcPr>
            <w:tcW w:w="840" w:type="dxa"/>
            <w:tcBorders>
              <w:top w:val="single" w:sz="6" w:space="0" w:color="auto"/>
              <w:left w:val="single" w:sz="6" w:space="0" w:color="auto"/>
              <w:right w:val="single" w:sz="6" w:space="0" w:color="auto"/>
            </w:tcBorders>
            <w:vAlign w:val="bottom"/>
          </w:tcPr>
          <w:p w:rsidR="004A147C" w:rsidRPr="00B53FFB" w:rsidRDefault="004A147C" w:rsidP="00CE5850">
            <w:pPr>
              <w:rPr>
                <w:szCs w:val="22"/>
              </w:rPr>
            </w:pPr>
            <w:r w:rsidRPr="00B53FFB">
              <w:rPr>
                <w:szCs w:val="22"/>
              </w:rPr>
              <w:t>2009</w:t>
            </w:r>
          </w:p>
        </w:tc>
        <w:tc>
          <w:tcPr>
            <w:tcW w:w="810" w:type="dxa"/>
            <w:tcBorders>
              <w:top w:val="single" w:sz="6" w:space="0" w:color="auto"/>
              <w:left w:val="single" w:sz="6" w:space="0" w:color="auto"/>
              <w:right w:val="single" w:sz="6" w:space="0" w:color="auto"/>
            </w:tcBorders>
            <w:vAlign w:val="bottom"/>
          </w:tcPr>
          <w:p w:rsidR="004A147C" w:rsidRPr="00B53FFB" w:rsidRDefault="004A147C" w:rsidP="00CE5850">
            <w:pPr>
              <w:rPr>
                <w:szCs w:val="22"/>
              </w:rPr>
            </w:pPr>
            <w:r w:rsidRPr="00B53FFB">
              <w:rPr>
                <w:szCs w:val="22"/>
              </w:rPr>
              <w:t>133.7</w:t>
            </w:r>
          </w:p>
        </w:tc>
        <w:tc>
          <w:tcPr>
            <w:tcW w:w="810" w:type="dxa"/>
            <w:tcBorders>
              <w:top w:val="single" w:sz="6" w:space="0" w:color="auto"/>
              <w:left w:val="single" w:sz="6" w:space="0" w:color="auto"/>
              <w:right w:val="single" w:sz="6" w:space="0" w:color="auto"/>
            </w:tcBorders>
            <w:vAlign w:val="bottom"/>
          </w:tcPr>
          <w:p w:rsidR="004A147C" w:rsidRPr="00B53FFB" w:rsidRDefault="004A147C" w:rsidP="00CE5850">
            <w:pPr>
              <w:rPr>
                <w:szCs w:val="22"/>
              </w:rPr>
            </w:pPr>
            <w:r w:rsidRPr="00B53FFB">
              <w:rPr>
                <w:szCs w:val="22"/>
              </w:rPr>
              <w:t>-0.4%</w:t>
            </w:r>
          </w:p>
        </w:tc>
        <w:tc>
          <w:tcPr>
            <w:tcW w:w="900" w:type="dxa"/>
            <w:tcBorders>
              <w:top w:val="single" w:sz="6" w:space="0" w:color="auto"/>
              <w:left w:val="single" w:sz="6" w:space="0" w:color="auto"/>
              <w:right w:val="single" w:sz="6" w:space="0" w:color="auto"/>
            </w:tcBorders>
            <w:shd w:val="clear" w:color="auto" w:fill="E6E6E6"/>
            <w:vAlign w:val="bottom"/>
          </w:tcPr>
          <w:p w:rsidR="004A147C" w:rsidRPr="00B53FFB" w:rsidRDefault="004A147C" w:rsidP="00CE5850">
            <w:pPr>
              <w:rPr>
                <w:szCs w:val="22"/>
              </w:rPr>
            </w:pPr>
            <w:r w:rsidRPr="00B53FFB">
              <w:rPr>
                <w:szCs w:val="22"/>
              </w:rPr>
              <w:t>64.3</w:t>
            </w:r>
          </w:p>
        </w:tc>
        <w:tc>
          <w:tcPr>
            <w:tcW w:w="900" w:type="dxa"/>
            <w:tcBorders>
              <w:top w:val="single" w:sz="6" w:space="0" w:color="auto"/>
              <w:left w:val="single" w:sz="6" w:space="0" w:color="auto"/>
              <w:right w:val="single" w:sz="6" w:space="0" w:color="auto"/>
            </w:tcBorders>
            <w:shd w:val="clear" w:color="auto" w:fill="E6E6E6"/>
            <w:vAlign w:val="bottom"/>
          </w:tcPr>
          <w:p w:rsidR="004A147C" w:rsidRPr="00B53FFB" w:rsidRDefault="004A147C" w:rsidP="00CE5850">
            <w:pPr>
              <w:rPr>
                <w:szCs w:val="22"/>
              </w:rPr>
            </w:pPr>
            <w:r w:rsidRPr="00B53FFB">
              <w:rPr>
                <w:szCs w:val="22"/>
              </w:rPr>
              <w:t>0.0%</w:t>
            </w:r>
          </w:p>
        </w:tc>
        <w:tc>
          <w:tcPr>
            <w:tcW w:w="900" w:type="dxa"/>
            <w:tcBorders>
              <w:top w:val="single" w:sz="6" w:space="0" w:color="auto"/>
              <w:left w:val="single" w:sz="6" w:space="0" w:color="auto"/>
              <w:right w:val="single" w:sz="6" w:space="0" w:color="auto"/>
            </w:tcBorders>
            <w:vAlign w:val="bottom"/>
          </w:tcPr>
          <w:p w:rsidR="004A147C" w:rsidRPr="00B53FFB" w:rsidRDefault="004A147C" w:rsidP="00CE5850">
            <w:pPr>
              <w:rPr>
                <w:szCs w:val="22"/>
              </w:rPr>
            </w:pPr>
            <w:r w:rsidRPr="00B53FFB">
              <w:rPr>
                <w:szCs w:val="22"/>
              </w:rPr>
              <w:t>102.4</w:t>
            </w:r>
          </w:p>
        </w:tc>
        <w:tc>
          <w:tcPr>
            <w:tcW w:w="900" w:type="dxa"/>
            <w:tcBorders>
              <w:top w:val="single" w:sz="6" w:space="0" w:color="auto"/>
              <w:left w:val="single" w:sz="6" w:space="0" w:color="auto"/>
              <w:right w:val="single" w:sz="6" w:space="0" w:color="auto"/>
            </w:tcBorders>
            <w:vAlign w:val="bottom"/>
          </w:tcPr>
          <w:p w:rsidR="004A147C" w:rsidRPr="00B53FFB" w:rsidRDefault="004A147C" w:rsidP="00CE5850">
            <w:pPr>
              <w:rPr>
                <w:szCs w:val="22"/>
              </w:rPr>
            </w:pPr>
            <w:r w:rsidRPr="00B53FFB">
              <w:rPr>
                <w:szCs w:val="22"/>
              </w:rPr>
              <w:t>1.9%</w:t>
            </w:r>
          </w:p>
        </w:tc>
        <w:tc>
          <w:tcPr>
            <w:tcW w:w="900" w:type="dxa"/>
            <w:tcBorders>
              <w:top w:val="single" w:sz="6" w:space="0" w:color="auto"/>
              <w:left w:val="single" w:sz="6" w:space="0" w:color="auto"/>
              <w:right w:val="single" w:sz="6" w:space="0" w:color="auto"/>
            </w:tcBorders>
            <w:vAlign w:val="bottom"/>
          </w:tcPr>
          <w:p w:rsidR="004A147C" w:rsidRPr="00B53FFB" w:rsidRDefault="004A147C" w:rsidP="00CE5850">
            <w:pPr>
              <w:rPr>
                <w:szCs w:val="22"/>
              </w:rPr>
            </w:pPr>
            <w:r w:rsidRPr="00B53FFB">
              <w:rPr>
                <w:szCs w:val="22"/>
              </w:rPr>
              <w:t>-</w:t>
            </w:r>
          </w:p>
        </w:tc>
        <w:tc>
          <w:tcPr>
            <w:tcW w:w="917" w:type="dxa"/>
            <w:gridSpan w:val="2"/>
            <w:tcBorders>
              <w:top w:val="single" w:sz="6" w:space="0" w:color="auto"/>
              <w:left w:val="single" w:sz="6" w:space="0" w:color="auto"/>
              <w:right w:val="single" w:sz="6" w:space="0" w:color="auto"/>
            </w:tcBorders>
            <w:vAlign w:val="bottom"/>
          </w:tcPr>
          <w:p w:rsidR="004A147C" w:rsidRPr="00B53FFB" w:rsidRDefault="004A147C" w:rsidP="00CE5850">
            <w:pPr>
              <w:rPr>
                <w:szCs w:val="22"/>
              </w:rPr>
            </w:pPr>
            <w:r w:rsidRPr="00B53FFB">
              <w:rPr>
                <w:szCs w:val="22"/>
              </w:rPr>
              <w:t>-</w:t>
            </w:r>
          </w:p>
        </w:tc>
      </w:tr>
      <w:tr w:rsidR="004A147C" w:rsidRPr="00B53FFB" w:rsidTr="00D626F5">
        <w:trPr>
          <w:trHeight w:val="262"/>
          <w:jc w:val="center"/>
        </w:trPr>
        <w:tc>
          <w:tcPr>
            <w:tcW w:w="840" w:type="dxa"/>
            <w:tcBorders>
              <w:top w:val="single" w:sz="6" w:space="0" w:color="auto"/>
              <w:left w:val="single" w:sz="6" w:space="0" w:color="auto"/>
              <w:right w:val="single" w:sz="6" w:space="0" w:color="auto"/>
            </w:tcBorders>
            <w:vAlign w:val="bottom"/>
          </w:tcPr>
          <w:p w:rsidR="004A147C" w:rsidRPr="00B53FFB" w:rsidRDefault="004A147C" w:rsidP="00CE5850">
            <w:pPr>
              <w:rPr>
                <w:szCs w:val="22"/>
              </w:rPr>
            </w:pPr>
            <w:r w:rsidRPr="00B53FFB">
              <w:rPr>
                <w:szCs w:val="22"/>
              </w:rPr>
              <w:t>2010</w:t>
            </w:r>
          </w:p>
        </w:tc>
        <w:tc>
          <w:tcPr>
            <w:tcW w:w="810" w:type="dxa"/>
            <w:tcBorders>
              <w:top w:val="single" w:sz="6" w:space="0" w:color="auto"/>
              <w:left w:val="single" w:sz="6" w:space="0" w:color="auto"/>
              <w:right w:val="single" w:sz="6" w:space="0" w:color="auto"/>
            </w:tcBorders>
            <w:vAlign w:val="bottom"/>
          </w:tcPr>
          <w:p w:rsidR="004A147C" w:rsidRPr="00B53FFB" w:rsidRDefault="004A147C" w:rsidP="00CE5850">
            <w:pPr>
              <w:rPr>
                <w:szCs w:val="22"/>
              </w:rPr>
            </w:pPr>
            <w:r w:rsidRPr="00B53FFB">
              <w:rPr>
                <w:szCs w:val="22"/>
              </w:rPr>
              <w:t>135.9</w:t>
            </w:r>
          </w:p>
        </w:tc>
        <w:tc>
          <w:tcPr>
            <w:tcW w:w="810" w:type="dxa"/>
            <w:tcBorders>
              <w:top w:val="single" w:sz="6" w:space="0" w:color="auto"/>
              <w:left w:val="single" w:sz="6" w:space="0" w:color="auto"/>
              <w:right w:val="single" w:sz="6" w:space="0" w:color="auto"/>
            </w:tcBorders>
            <w:vAlign w:val="bottom"/>
          </w:tcPr>
          <w:p w:rsidR="004A147C" w:rsidRPr="00B53FFB" w:rsidRDefault="004A147C" w:rsidP="00CE5850">
            <w:pPr>
              <w:rPr>
                <w:szCs w:val="22"/>
              </w:rPr>
            </w:pPr>
            <w:r w:rsidRPr="00B53FFB">
              <w:rPr>
                <w:szCs w:val="22"/>
              </w:rPr>
              <w:t>1.6%</w:t>
            </w:r>
          </w:p>
        </w:tc>
        <w:tc>
          <w:tcPr>
            <w:tcW w:w="900" w:type="dxa"/>
            <w:tcBorders>
              <w:top w:val="single" w:sz="6" w:space="0" w:color="auto"/>
              <w:left w:val="single" w:sz="6" w:space="0" w:color="auto"/>
              <w:right w:val="single" w:sz="6" w:space="0" w:color="auto"/>
            </w:tcBorders>
            <w:shd w:val="clear" w:color="auto" w:fill="E6E6E6"/>
            <w:vAlign w:val="bottom"/>
          </w:tcPr>
          <w:p w:rsidR="004A147C" w:rsidRPr="00B53FFB" w:rsidRDefault="004A147C" w:rsidP="00CE5850">
            <w:pPr>
              <w:rPr>
                <w:szCs w:val="22"/>
              </w:rPr>
            </w:pPr>
            <w:r w:rsidRPr="00B53FFB">
              <w:rPr>
                <w:szCs w:val="22"/>
              </w:rPr>
              <w:t>62.4</w:t>
            </w:r>
          </w:p>
        </w:tc>
        <w:tc>
          <w:tcPr>
            <w:tcW w:w="900" w:type="dxa"/>
            <w:tcBorders>
              <w:top w:val="single" w:sz="6" w:space="0" w:color="auto"/>
              <w:left w:val="single" w:sz="6" w:space="0" w:color="auto"/>
              <w:right w:val="single" w:sz="6" w:space="0" w:color="auto"/>
            </w:tcBorders>
            <w:shd w:val="clear" w:color="auto" w:fill="E6E6E6"/>
            <w:vAlign w:val="bottom"/>
          </w:tcPr>
          <w:p w:rsidR="004A147C" w:rsidRPr="00B53FFB" w:rsidRDefault="004A147C" w:rsidP="00CE5850">
            <w:pPr>
              <w:rPr>
                <w:szCs w:val="22"/>
              </w:rPr>
            </w:pPr>
            <w:r w:rsidRPr="00B53FFB">
              <w:rPr>
                <w:szCs w:val="22"/>
              </w:rPr>
              <w:t>-2.9%</w:t>
            </w:r>
          </w:p>
        </w:tc>
        <w:tc>
          <w:tcPr>
            <w:tcW w:w="900" w:type="dxa"/>
            <w:tcBorders>
              <w:top w:val="single" w:sz="6" w:space="0" w:color="auto"/>
              <w:left w:val="single" w:sz="6" w:space="0" w:color="auto"/>
              <w:right w:val="single" w:sz="6" w:space="0" w:color="auto"/>
            </w:tcBorders>
            <w:vAlign w:val="bottom"/>
          </w:tcPr>
          <w:p w:rsidR="004A147C" w:rsidRPr="00B53FFB" w:rsidRDefault="004A147C" w:rsidP="00CE5850">
            <w:pPr>
              <w:rPr>
                <w:szCs w:val="22"/>
              </w:rPr>
            </w:pPr>
            <w:r w:rsidRPr="00B53FFB">
              <w:rPr>
                <w:szCs w:val="22"/>
              </w:rPr>
              <w:t>102.4</w:t>
            </w:r>
          </w:p>
        </w:tc>
        <w:tc>
          <w:tcPr>
            <w:tcW w:w="900" w:type="dxa"/>
            <w:tcBorders>
              <w:top w:val="single" w:sz="6" w:space="0" w:color="auto"/>
              <w:left w:val="single" w:sz="6" w:space="0" w:color="auto"/>
              <w:right w:val="single" w:sz="6" w:space="0" w:color="auto"/>
            </w:tcBorders>
            <w:vAlign w:val="bottom"/>
          </w:tcPr>
          <w:p w:rsidR="004A147C" w:rsidRPr="00B53FFB" w:rsidRDefault="004A147C" w:rsidP="00CE5850">
            <w:pPr>
              <w:rPr>
                <w:szCs w:val="22"/>
              </w:rPr>
            </w:pPr>
            <w:r w:rsidRPr="00B53FFB">
              <w:rPr>
                <w:szCs w:val="22"/>
              </w:rPr>
              <w:t>0.0%</w:t>
            </w:r>
          </w:p>
        </w:tc>
        <w:tc>
          <w:tcPr>
            <w:tcW w:w="917" w:type="dxa"/>
            <w:gridSpan w:val="2"/>
            <w:tcBorders>
              <w:top w:val="single" w:sz="6" w:space="0" w:color="auto"/>
              <w:left w:val="single" w:sz="6" w:space="0" w:color="auto"/>
              <w:right w:val="single" w:sz="6" w:space="0" w:color="auto"/>
            </w:tcBorders>
            <w:vAlign w:val="bottom"/>
          </w:tcPr>
          <w:p w:rsidR="004A147C" w:rsidRPr="00B53FFB" w:rsidRDefault="004A147C" w:rsidP="00CE5850">
            <w:pPr>
              <w:rPr>
                <w:szCs w:val="22"/>
              </w:rPr>
            </w:pPr>
            <w:r w:rsidRPr="00B53FFB">
              <w:rPr>
                <w:szCs w:val="22"/>
              </w:rPr>
              <w:t xml:space="preserve"> 101.6 </w:t>
            </w:r>
          </w:p>
        </w:tc>
        <w:tc>
          <w:tcPr>
            <w:tcW w:w="900" w:type="dxa"/>
            <w:tcBorders>
              <w:top w:val="single" w:sz="6" w:space="0" w:color="auto"/>
              <w:left w:val="single" w:sz="6" w:space="0" w:color="auto"/>
              <w:right w:val="single" w:sz="6" w:space="0" w:color="auto"/>
            </w:tcBorders>
            <w:vAlign w:val="bottom"/>
          </w:tcPr>
          <w:p w:rsidR="004A147C" w:rsidRPr="00B53FFB" w:rsidRDefault="004A147C" w:rsidP="00CE5850">
            <w:pPr>
              <w:rPr>
                <w:szCs w:val="22"/>
              </w:rPr>
            </w:pPr>
            <w:r w:rsidRPr="00B53FFB">
              <w:rPr>
                <w:szCs w:val="22"/>
              </w:rPr>
              <w:t>-</w:t>
            </w:r>
          </w:p>
        </w:tc>
      </w:tr>
      <w:tr w:rsidR="004A147C" w:rsidRPr="00B53FFB" w:rsidTr="00D626F5">
        <w:trPr>
          <w:trHeight w:val="262"/>
          <w:jc w:val="center"/>
        </w:trPr>
        <w:tc>
          <w:tcPr>
            <w:tcW w:w="840" w:type="dxa"/>
            <w:tcBorders>
              <w:top w:val="single" w:sz="6" w:space="0" w:color="auto"/>
              <w:left w:val="single" w:sz="6" w:space="0" w:color="auto"/>
              <w:right w:val="single" w:sz="6" w:space="0" w:color="auto"/>
            </w:tcBorders>
            <w:vAlign w:val="bottom"/>
          </w:tcPr>
          <w:p w:rsidR="004A147C" w:rsidRPr="00B53FFB" w:rsidRDefault="004A147C" w:rsidP="00CE5850">
            <w:pPr>
              <w:rPr>
                <w:szCs w:val="22"/>
              </w:rPr>
            </w:pPr>
            <w:r w:rsidRPr="00B53FFB">
              <w:rPr>
                <w:szCs w:val="22"/>
              </w:rPr>
              <w:t>2011</w:t>
            </w:r>
          </w:p>
        </w:tc>
        <w:tc>
          <w:tcPr>
            <w:tcW w:w="810" w:type="dxa"/>
            <w:tcBorders>
              <w:top w:val="single" w:sz="6" w:space="0" w:color="auto"/>
              <w:left w:val="single" w:sz="6" w:space="0" w:color="auto"/>
              <w:right w:val="single" w:sz="6" w:space="0" w:color="auto"/>
            </w:tcBorders>
            <w:vAlign w:val="bottom"/>
          </w:tcPr>
          <w:p w:rsidR="004A147C" w:rsidRPr="00B53FFB" w:rsidRDefault="004A147C" w:rsidP="00CE5850">
            <w:pPr>
              <w:rPr>
                <w:szCs w:val="22"/>
              </w:rPr>
            </w:pPr>
            <w:r w:rsidRPr="00B53FFB">
              <w:rPr>
                <w:szCs w:val="22"/>
              </w:rPr>
              <w:t>140.1</w:t>
            </w:r>
          </w:p>
        </w:tc>
        <w:tc>
          <w:tcPr>
            <w:tcW w:w="810" w:type="dxa"/>
            <w:tcBorders>
              <w:top w:val="single" w:sz="6" w:space="0" w:color="auto"/>
              <w:left w:val="single" w:sz="6" w:space="0" w:color="auto"/>
              <w:right w:val="single" w:sz="6" w:space="0" w:color="auto"/>
            </w:tcBorders>
            <w:vAlign w:val="bottom"/>
          </w:tcPr>
          <w:p w:rsidR="004A147C" w:rsidRPr="00B53FFB" w:rsidRDefault="004A147C" w:rsidP="00CE5850">
            <w:pPr>
              <w:rPr>
                <w:szCs w:val="22"/>
              </w:rPr>
            </w:pPr>
            <w:r w:rsidRPr="00B53FFB">
              <w:rPr>
                <w:szCs w:val="22"/>
              </w:rPr>
              <w:t>3.2%</w:t>
            </w:r>
          </w:p>
        </w:tc>
        <w:tc>
          <w:tcPr>
            <w:tcW w:w="900" w:type="dxa"/>
            <w:tcBorders>
              <w:top w:val="single" w:sz="6" w:space="0" w:color="auto"/>
              <w:left w:val="single" w:sz="6" w:space="0" w:color="auto"/>
              <w:right w:val="single" w:sz="6" w:space="0" w:color="auto"/>
            </w:tcBorders>
            <w:shd w:val="clear" w:color="auto" w:fill="E6E6E6"/>
            <w:vAlign w:val="bottom"/>
          </w:tcPr>
          <w:p w:rsidR="004A147C" w:rsidRPr="00B53FFB" w:rsidRDefault="004A147C" w:rsidP="00CE5850">
            <w:pPr>
              <w:rPr>
                <w:szCs w:val="22"/>
              </w:rPr>
            </w:pPr>
            <w:r w:rsidRPr="00B53FFB">
              <w:rPr>
                <w:szCs w:val="22"/>
              </w:rPr>
              <w:t>60.1</w:t>
            </w:r>
          </w:p>
        </w:tc>
        <w:tc>
          <w:tcPr>
            <w:tcW w:w="900" w:type="dxa"/>
            <w:tcBorders>
              <w:top w:val="single" w:sz="6" w:space="0" w:color="auto"/>
              <w:left w:val="single" w:sz="6" w:space="0" w:color="auto"/>
              <w:right w:val="single" w:sz="6" w:space="0" w:color="auto"/>
            </w:tcBorders>
            <w:shd w:val="clear" w:color="auto" w:fill="E6E6E6"/>
            <w:vAlign w:val="bottom"/>
          </w:tcPr>
          <w:p w:rsidR="004A147C" w:rsidRPr="00B53FFB" w:rsidRDefault="004A147C" w:rsidP="00CE5850">
            <w:pPr>
              <w:rPr>
                <w:szCs w:val="22"/>
              </w:rPr>
            </w:pPr>
            <w:r w:rsidRPr="00B53FFB">
              <w:rPr>
                <w:szCs w:val="22"/>
              </w:rPr>
              <w:t>-3.6%</w:t>
            </w:r>
          </w:p>
        </w:tc>
        <w:tc>
          <w:tcPr>
            <w:tcW w:w="900" w:type="dxa"/>
            <w:tcBorders>
              <w:top w:val="single" w:sz="6" w:space="0" w:color="auto"/>
              <w:left w:val="single" w:sz="6" w:space="0" w:color="auto"/>
              <w:right w:val="single" w:sz="6" w:space="0" w:color="auto"/>
            </w:tcBorders>
            <w:vAlign w:val="bottom"/>
          </w:tcPr>
          <w:p w:rsidR="004A147C" w:rsidRPr="00B53FFB" w:rsidRDefault="004A147C" w:rsidP="00CE5850">
            <w:pPr>
              <w:rPr>
                <w:szCs w:val="22"/>
              </w:rPr>
            </w:pPr>
            <w:r w:rsidRPr="00B53FFB">
              <w:rPr>
                <w:szCs w:val="22"/>
              </w:rPr>
              <w:t>101.2</w:t>
            </w:r>
          </w:p>
        </w:tc>
        <w:tc>
          <w:tcPr>
            <w:tcW w:w="900" w:type="dxa"/>
            <w:tcBorders>
              <w:top w:val="single" w:sz="6" w:space="0" w:color="auto"/>
              <w:left w:val="single" w:sz="6" w:space="0" w:color="auto"/>
              <w:right w:val="single" w:sz="6" w:space="0" w:color="auto"/>
            </w:tcBorders>
            <w:vAlign w:val="bottom"/>
          </w:tcPr>
          <w:p w:rsidR="004A147C" w:rsidRPr="00B53FFB" w:rsidRDefault="004A147C" w:rsidP="00CE5850">
            <w:pPr>
              <w:rPr>
                <w:szCs w:val="22"/>
              </w:rPr>
            </w:pPr>
            <w:r w:rsidRPr="00B53FFB">
              <w:rPr>
                <w:szCs w:val="22"/>
              </w:rPr>
              <w:t>-1.1%</w:t>
            </w:r>
          </w:p>
        </w:tc>
        <w:tc>
          <w:tcPr>
            <w:tcW w:w="917" w:type="dxa"/>
            <w:gridSpan w:val="2"/>
            <w:tcBorders>
              <w:top w:val="single" w:sz="6" w:space="0" w:color="auto"/>
              <w:left w:val="single" w:sz="6" w:space="0" w:color="auto"/>
              <w:right w:val="single" w:sz="6" w:space="0" w:color="auto"/>
            </w:tcBorders>
            <w:vAlign w:val="bottom"/>
          </w:tcPr>
          <w:p w:rsidR="004A147C" w:rsidRPr="00B53FFB" w:rsidRDefault="004A147C" w:rsidP="00CE5850">
            <w:pPr>
              <w:rPr>
                <w:szCs w:val="22"/>
              </w:rPr>
            </w:pPr>
            <w:r w:rsidRPr="00B53FFB">
              <w:rPr>
                <w:szCs w:val="22"/>
              </w:rPr>
              <w:t xml:space="preserve"> 103.3</w:t>
            </w:r>
          </w:p>
        </w:tc>
        <w:tc>
          <w:tcPr>
            <w:tcW w:w="900" w:type="dxa"/>
            <w:tcBorders>
              <w:top w:val="single" w:sz="6" w:space="0" w:color="auto"/>
              <w:left w:val="single" w:sz="6" w:space="0" w:color="auto"/>
              <w:right w:val="single" w:sz="6" w:space="0" w:color="auto"/>
            </w:tcBorders>
            <w:vAlign w:val="bottom"/>
          </w:tcPr>
          <w:p w:rsidR="004A147C" w:rsidRPr="00B53FFB" w:rsidRDefault="004A147C" w:rsidP="00CE5850">
            <w:pPr>
              <w:rPr>
                <w:szCs w:val="22"/>
              </w:rPr>
            </w:pPr>
            <w:r w:rsidRPr="00B53FFB">
              <w:rPr>
                <w:szCs w:val="22"/>
              </w:rPr>
              <w:t>1.7%</w:t>
            </w:r>
          </w:p>
        </w:tc>
      </w:tr>
      <w:tr w:rsidR="004A147C" w:rsidRPr="00B53FFB" w:rsidTr="00D626F5">
        <w:trPr>
          <w:trHeight w:val="276"/>
          <w:jc w:val="center"/>
        </w:trPr>
        <w:tc>
          <w:tcPr>
            <w:tcW w:w="840" w:type="dxa"/>
            <w:tcBorders>
              <w:top w:val="single" w:sz="6" w:space="0" w:color="auto"/>
              <w:left w:val="single" w:sz="2" w:space="0" w:color="000000"/>
            </w:tcBorders>
          </w:tcPr>
          <w:p w:rsidR="004A147C" w:rsidRPr="00B53FFB" w:rsidRDefault="004A147C" w:rsidP="00CE5850">
            <w:pPr>
              <w:rPr>
                <w:szCs w:val="22"/>
              </w:rPr>
            </w:pPr>
          </w:p>
        </w:tc>
        <w:tc>
          <w:tcPr>
            <w:tcW w:w="810" w:type="dxa"/>
            <w:tcBorders>
              <w:top w:val="single" w:sz="6" w:space="0" w:color="auto"/>
              <w:bottom w:val="single" w:sz="6" w:space="0" w:color="auto"/>
            </w:tcBorders>
            <w:vAlign w:val="bottom"/>
          </w:tcPr>
          <w:p w:rsidR="004A147C" w:rsidRPr="00B53FFB" w:rsidRDefault="004A147C" w:rsidP="00CE5850">
            <w:pPr>
              <w:rPr>
                <w:szCs w:val="22"/>
              </w:rPr>
            </w:pPr>
          </w:p>
        </w:tc>
        <w:tc>
          <w:tcPr>
            <w:tcW w:w="810" w:type="dxa"/>
            <w:tcBorders>
              <w:top w:val="single" w:sz="6" w:space="0" w:color="auto"/>
              <w:bottom w:val="single" w:sz="6" w:space="0" w:color="auto"/>
            </w:tcBorders>
            <w:vAlign w:val="bottom"/>
          </w:tcPr>
          <w:p w:rsidR="004A147C" w:rsidRPr="00B53FFB" w:rsidRDefault="004A147C" w:rsidP="00CE5850">
            <w:pPr>
              <w:rPr>
                <w:szCs w:val="22"/>
              </w:rPr>
            </w:pPr>
          </w:p>
        </w:tc>
        <w:tc>
          <w:tcPr>
            <w:tcW w:w="900" w:type="dxa"/>
            <w:tcBorders>
              <w:top w:val="single" w:sz="6" w:space="0" w:color="auto"/>
              <w:bottom w:val="single" w:sz="6" w:space="0" w:color="auto"/>
            </w:tcBorders>
            <w:vAlign w:val="bottom"/>
          </w:tcPr>
          <w:p w:rsidR="004A147C" w:rsidRPr="00B53FFB" w:rsidRDefault="004A147C" w:rsidP="00CE5850">
            <w:pPr>
              <w:rPr>
                <w:szCs w:val="22"/>
              </w:rPr>
            </w:pPr>
          </w:p>
        </w:tc>
        <w:tc>
          <w:tcPr>
            <w:tcW w:w="900" w:type="dxa"/>
            <w:tcBorders>
              <w:top w:val="single" w:sz="6" w:space="0" w:color="auto"/>
              <w:bottom w:val="single" w:sz="6" w:space="0" w:color="auto"/>
            </w:tcBorders>
            <w:vAlign w:val="bottom"/>
          </w:tcPr>
          <w:p w:rsidR="004A147C" w:rsidRPr="00B53FFB" w:rsidRDefault="004A147C" w:rsidP="00CE5850">
            <w:pPr>
              <w:rPr>
                <w:szCs w:val="22"/>
              </w:rPr>
            </w:pPr>
          </w:p>
        </w:tc>
        <w:tc>
          <w:tcPr>
            <w:tcW w:w="900" w:type="dxa"/>
            <w:tcBorders>
              <w:top w:val="single" w:sz="6" w:space="0" w:color="auto"/>
              <w:bottom w:val="single" w:sz="6" w:space="0" w:color="auto"/>
            </w:tcBorders>
            <w:vAlign w:val="bottom"/>
          </w:tcPr>
          <w:p w:rsidR="004A147C" w:rsidRPr="00B53FFB" w:rsidRDefault="004A147C" w:rsidP="00CE5850">
            <w:pPr>
              <w:rPr>
                <w:szCs w:val="22"/>
              </w:rPr>
            </w:pPr>
          </w:p>
        </w:tc>
        <w:tc>
          <w:tcPr>
            <w:tcW w:w="900" w:type="dxa"/>
            <w:tcBorders>
              <w:top w:val="single" w:sz="6" w:space="0" w:color="auto"/>
              <w:bottom w:val="single" w:sz="6" w:space="0" w:color="auto"/>
            </w:tcBorders>
            <w:vAlign w:val="bottom"/>
          </w:tcPr>
          <w:p w:rsidR="004A147C" w:rsidRPr="00B53FFB" w:rsidRDefault="004A147C" w:rsidP="00CE5850">
            <w:pPr>
              <w:rPr>
                <w:szCs w:val="22"/>
              </w:rPr>
            </w:pPr>
          </w:p>
        </w:tc>
        <w:tc>
          <w:tcPr>
            <w:tcW w:w="900" w:type="dxa"/>
            <w:tcBorders>
              <w:top w:val="single" w:sz="6" w:space="0" w:color="auto"/>
              <w:bottom w:val="single" w:sz="6" w:space="0" w:color="auto"/>
            </w:tcBorders>
            <w:vAlign w:val="bottom"/>
          </w:tcPr>
          <w:p w:rsidR="004A147C" w:rsidRPr="00B53FFB" w:rsidRDefault="004A147C" w:rsidP="00CE5850">
            <w:pPr>
              <w:rPr>
                <w:szCs w:val="22"/>
              </w:rPr>
            </w:pPr>
          </w:p>
        </w:tc>
        <w:tc>
          <w:tcPr>
            <w:tcW w:w="917" w:type="dxa"/>
            <w:gridSpan w:val="2"/>
            <w:tcBorders>
              <w:top w:val="single" w:sz="6" w:space="0" w:color="auto"/>
              <w:bottom w:val="single" w:sz="6" w:space="0" w:color="auto"/>
              <w:right w:val="single" w:sz="6" w:space="0" w:color="auto"/>
            </w:tcBorders>
            <w:vAlign w:val="bottom"/>
          </w:tcPr>
          <w:p w:rsidR="004A147C" w:rsidRPr="00B53FFB" w:rsidRDefault="004A147C" w:rsidP="00CE5850">
            <w:pPr>
              <w:rPr>
                <w:szCs w:val="22"/>
              </w:rPr>
            </w:pPr>
          </w:p>
        </w:tc>
      </w:tr>
      <w:tr w:rsidR="004A147C" w:rsidRPr="00B53FFB" w:rsidTr="00D626F5">
        <w:trPr>
          <w:trHeight w:val="276"/>
          <w:jc w:val="center"/>
        </w:trPr>
        <w:tc>
          <w:tcPr>
            <w:tcW w:w="840" w:type="dxa"/>
            <w:tcBorders>
              <w:top w:val="single" w:sz="6" w:space="0" w:color="auto"/>
              <w:left w:val="single" w:sz="6" w:space="0" w:color="auto"/>
              <w:bottom w:val="single" w:sz="6" w:space="0" w:color="auto"/>
              <w:right w:val="single" w:sz="6" w:space="0" w:color="auto"/>
            </w:tcBorders>
          </w:tcPr>
          <w:p w:rsidR="004A147C" w:rsidRPr="00B53FFB" w:rsidRDefault="004A147C" w:rsidP="00CE5850">
            <w:pPr>
              <w:rPr>
                <w:b/>
                <w:szCs w:val="22"/>
              </w:rPr>
            </w:pPr>
            <w:r w:rsidRPr="00B53FFB">
              <w:rPr>
                <w:b/>
                <w:szCs w:val="22"/>
              </w:rPr>
              <w:t>1997 to 2011</w:t>
            </w:r>
          </w:p>
        </w:tc>
        <w:tc>
          <w:tcPr>
            <w:tcW w:w="810" w:type="dxa"/>
            <w:tcBorders>
              <w:top w:val="single" w:sz="6" w:space="0" w:color="auto"/>
              <w:left w:val="nil"/>
              <w:bottom w:val="single" w:sz="6" w:space="0" w:color="auto"/>
              <w:right w:val="single" w:sz="6" w:space="0" w:color="auto"/>
            </w:tcBorders>
            <w:vAlign w:val="bottom"/>
          </w:tcPr>
          <w:p w:rsidR="004A147C" w:rsidRPr="00B53FFB" w:rsidRDefault="004A147C" w:rsidP="00CE5850">
            <w:pPr>
              <w:rPr>
                <w:szCs w:val="22"/>
              </w:rPr>
            </w:pPr>
          </w:p>
        </w:tc>
        <w:tc>
          <w:tcPr>
            <w:tcW w:w="810" w:type="dxa"/>
            <w:tcBorders>
              <w:top w:val="single" w:sz="6" w:space="0" w:color="auto"/>
              <w:left w:val="single" w:sz="6" w:space="0" w:color="auto"/>
              <w:bottom w:val="single" w:sz="6" w:space="0" w:color="auto"/>
              <w:right w:val="single" w:sz="6" w:space="0" w:color="auto"/>
            </w:tcBorders>
            <w:vAlign w:val="bottom"/>
          </w:tcPr>
          <w:p w:rsidR="004A147C" w:rsidRPr="00B53FFB" w:rsidRDefault="004A147C" w:rsidP="00CE5850">
            <w:pPr>
              <w:rPr>
                <w:b/>
                <w:szCs w:val="22"/>
              </w:rPr>
            </w:pPr>
            <w:r w:rsidRPr="00B53FFB">
              <w:rPr>
                <w:b/>
                <w:szCs w:val="22"/>
              </w:rPr>
              <w:t>40.1%</w:t>
            </w:r>
          </w:p>
        </w:tc>
        <w:tc>
          <w:tcPr>
            <w:tcW w:w="900" w:type="dxa"/>
            <w:tcBorders>
              <w:top w:val="single" w:sz="6" w:space="0" w:color="auto"/>
              <w:left w:val="single" w:sz="6" w:space="0" w:color="auto"/>
              <w:bottom w:val="single" w:sz="6" w:space="0" w:color="auto"/>
              <w:right w:val="single" w:sz="6" w:space="0" w:color="auto"/>
            </w:tcBorders>
            <w:shd w:val="clear" w:color="auto" w:fill="E6E6E6"/>
            <w:vAlign w:val="bottom"/>
          </w:tcPr>
          <w:p w:rsidR="004A147C" w:rsidRPr="00B53FFB" w:rsidRDefault="004A147C" w:rsidP="00CE5850">
            <w:pPr>
              <w:rPr>
                <w:szCs w:val="22"/>
              </w:rPr>
            </w:pPr>
          </w:p>
        </w:tc>
        <w:tc>
          <w:tcPr>
            <w:tcW w:w="900" w:type="dxa"/>
            <w:tcBorders>
              <w:top w:val="single" w:sz="6" w:space="0" w:color="auto"/>
              <w:left w:val="single" w:sz="6" w:space="0" w:color="auto"/>
              <w:bottom w:val="single" w:sz="6" w:space="0" w:color="auto"/>
              <w:right w:val="single" w:sz="6" w:space="0" w:color="auto"/>
            </w:tcBorders>
            <w:shd w:val="clear" w:color="auto" w:fill="E6E6E6"/>
            <w:vAlign w:val="bottom"/>
          </w:tcPr>
          <w:p w:rsidR="004A147C" w:rsidRPr="00B53FFB" w:rsidRDefault="004A147C" w:rsidP="00CE5850">
            <w:pPr>
              <w:rPr>
                <w:b/>
                <w:szCs w:val="22"/>
              </w:rPr>
            </w:pPr>
            <w:r w:rsidRPr="00B53FFB">
              <w:rPr>
                <w:b/>
                <w:szCs w:val="22"/>
              </w:rPr>
              <w:t>-39.9%</w:t>
            </w:r>
          </w:p>
        </w:tc>
        <w:tc>
          <w:tcPr>
            <w:tcW w:w="900" w:type="dxa"/>
            <w:tcBorders>
              <w:top w:val="single" w:sz="6" w:space="0" w:color="auto"/>
              <w:left w:val="single" w:sz="6" w:space="0" w:color="auto"/>
              <w:bottom w:val="single" w:sz="6" w:space="0" w:color="auto"/>
              <w:right w:val="single" w:sz="6" w:space="0" w:color="auto"/>
            </w:tcBorders>
            <w:vAlign w:val="bottom"/>
          </w:tcPr>
          <w:p w:rsidR="004A147C" w:rsidRPr="00B53FFB" w:rsidRDefault="004A147C" w:rsidP="00CE5850">
            <w:pPr>
              <w:rPr>
                <w:szCs w:val="22"/>
              </w:rPr>
            </w:pPr>
          </w:p>
        </w:tc>
        <w:tc>
          <w:tcPr>
            <w:tcW w:w="900" w:type="dxa"/>
            <w:tcBorders>
              <w:top w:val="single" w:sz="6" w:space="0" w:color="auto"/>
              <w:left w:val="single" w:sz="6" w:space="0" w:color="auto"/>
              <w:bottom w:val="single" w:sz="6" w:space="0" w:color="auto"/>
              <w:right w:val="single" w:sz="6" w:space="0" w:color="auto"/>
            </w:tcBorders>
            <w:vAlign w:val="bottom"/>
          </w:tcPr>
          <w:p w:rsidR="004A147C" w:rsidRPr="00B53FFB" w:rsidRDefault="004A147C" w:rsidP="00CE5850">
            <w:pPr>
              <w:rPr>
                <w:b/>
                <w:szCs w:val="22"/>
              </w:rPr>
            </w:pPr>
            <w:r w:rsidRPr="00B53FFB">
              <w:rPr>
                <w:b/>
                <w:szCs w:val="22"/>
              </w:rPr>
              <w:t>1.2%</w:t>
            </w:r>
          </w:p>
        </w:tc>
        <w:tc>
          <w:tcPr>
            <w:tcW w:w="900" w:type="dxa"/>
            <w:tcBorders>
              <w:top w:val="single" w:sz="6" w:space="0" w:color="auto"/>
              <w:left w:val="single" w:sz="6" w:space="0" w:color="auto"/>
              <w:bottom w:val="single" w:sz="6" w:space="0" w:color="auto"/>
              <w:right w:val="single" w:sz="6" w:space="0" w:color="auto"/>
            </w:tcBorders>
            <w:vAlign w:val="bottom"/>
          </w:tcPr>
          <w:p w:rsidR="004A147C" w:rsidRPr="00B53FFB" w:rsidRDefault="004A147C" w:rsidP="00CE5850">
            <w:pPr>
              <w:rPr>
                <w:szCs w:val="22"/>
              </w:rPr>
            </w:pPr>
          </w:p>
        </w:tc>
        <w:tc>
          <w:tcPr>
            <w:tcW w:w="917" w:type="dxa"/>
            <w:gridSpan w:val="2"/>
            <w:tcBorders>
              <w:top w:val="single" w:sz="6" w:space="0" w:color="auto"/>
              <w:left w:val="single" w:sz="6" w:space="0" w:color="auto"/>
              <w:bottom w:val="single" w:sz="6" w:space="0" w:color="auto"/>
              <w:right w:val="single" w:sz="6" w:space="0" w:color="auto"/>
            </w:tcBorders>
            <w:vAlign w:val="bottom"/>
          </w:tcPr>
          <w:p w:rsidR="004A147C" w:rsidRPr="00B53FFB" w:rsidRDefault="004A147C" w:rsidP="00CE5850">
            <w:pPr>
              <w:rPr>
                <w:szCs w:val="22"/>
              </w:rPr>
            </w:pPr>
          </w:p>
        </w:tc>
      </w:tr>
    </w:tbl>
    <w:p w:rsidR="004A147C" w:rsidRPr="00B53FFB" w:rsidRDefault="004A147C" w:rsidP="00CE5850">
      <w:pPr>
        <w:jc w:val="center"/>
        <w:outlineLvl w:val="0"/>
        <w:rPr>
          <w:szCs w:val="22"/>
        </w:rPr>
      </w:pPr>
    </w:p>
    <w:p w:rsidR="004A147C" w:rsidRPr="00B53FFB" w:rsidRDefault="004A147C" w:rsidP="00CE5850">
      <w:pPr>
        <w:pStyle w:val="ParaNum"/>
        <w:numPr>
          <w:ilvl w:val="0"/>
          <w:numId w:val="28"/>
        </w:numPr>
        <w:rPr>
          <w:sz w:val="22"/>
          <w:szCs w:val="22"/>
        </w:rPr>
      </w:pPr>
      <w:r w:rsidRPr="00B53FFB">
        <w:rPr>
          <w:i/>
          <w:sz w:val="22"/>
          <w:szCs w:val="22"/>
        </w:rPr>
        <w:t>Voice Revenue per Minute</w:t>
      </w:r>
      <w:r w:rsidRPr="00B53FFB">
        <w:rPr>
          <w:sz w:val="22"/>
          <w:szCs w:val="22"/>
        </w:rPr>
        <w:t xml:space="preserve">.  In </w:t>
      </w:r>
      <w:bookmarkStart w:id="3892" w:name="_Ref256601444"/>
      <w:bookmarkStart w:id="3893" w:name="_Ref185322500"/>
      <w:r w:rsidRPr="00B53FFB">
        <w:rPr>
          <w:sz w:val="22"/>
          <w:szCs w:val="22"/>
        </w:rPr>
        <w:t>addition to the Wireless Telephone Services CPI, Voice Revenue per Minute (RPM) offers a proxy for mobile voice prices.</w:t>
      </w:r>
      <w:r w:rsidRPr="00B53FFB">
        <w:rPr>
          <w:rStyle w:val="FootnoteReference"/>
          <w:szCs w:val="22"/>
        </w:rPr>
        <w:footnoteReference w:id="828"/>
      </w:r>
      <w:r w:rsidRPr="00B53FFB">
        <w:rPr>
          <w:sz w:val="22"/>
          <w:szCs w:val="22"/>
        </w:rPr>
        <w:t xml:space="preserve">  Voice RPM is calculated by dividing an estimate of average monthly revenue per subscriber (often referred to as average revenue per unit, or “ARPU”) for voice services by average monthly minutes of use (MOU) per subscriber for the equivalent period, obtaining an estimate of revenue per minute.</w:t>
      </w:r>
      <w:r w:rsidRPr="00B53FFB">
        <w:rPr>
          <w:rStyle w:val="FootnoteReference"/>
          <w:szCs w:val="22"/>
        </w:rPr>
        <w:footnoteReference w:id="829"/>
      </w:r>
      <w:r w:rsidRPr="00B53FFB">
        <w:rPr>
          <w:sz w:val="22"/>
          <w:szCs w:val="22"/>
        </w:rPr>
        <w:t xml:space="preserve">  Using estimates of industry-wide voice ARPU</w:t>
      </w:r>
      <w:r w:rsidRPr="00B53FFB">
        <w:rPr>
          <w:rStyle w:val="FootnoteReference"/>
          <w:szCs w:val="22"/>
        </w:rPr>
        <w:footnoteReference w:id="830"/>
      </w:r>
      <w:r w:rsidRPr="00B53FFB">
        <w:rPr>
          <w:sz w:val="22"/>
          <w:szCs w:val="22"/>
        </w:rPr>
        <w:t xml:space="preserve"> and MOUs from CTIA, we estimate that Voice RPM in December of 2010 and 2011, rounded to the nearest cent, remained at $0.05 for the fourth and fifth straight years, while the unrounded estimate of Voice RPM increased approximately one percent in December of 2010 from its value in the previous year, and then decreased about 5 percent in December of 2011 (see Table 30).  Voice RPM has declined over the past 18 years, from more than $0.40 to the current $0.05, with the rate of decline decreasing as Voice RPM has reached the low single digits.  </w:t>
      </w:r>
    </w:p>
    <w:p w:rsidR="004A147C" w:rsidRPr="00B53FFB" w:rsidRDefault="004A147C" w:rsidP="00CE5850">
      <w:pPr>
        <w:pStyle w:val="ParaNum"/>
        <w:tabs>
          <w:tab w:val="clear" w:pos="1440"/>
        </w:tabs>
        <w:ind w:firstLine="0"/>
        <w:jc w:val="center"/>
        <w:rPr>
          <w:sz w:val="22"/>
          <w:szCs w:val="22"/>
        </w:rPr>
      </w:pPr>
      <w:bookmarkStart w:id="3894" w:name="_Ref330981380"/>
      <w:r w:rsidRPr="00B53FFB">
        <w:rPr>
          <w:b/>
          <w:bCs/>
          <w:kern w:val="0"/>
          <w:sz w:val="22"/>
          <w:szCs w:val="22"/>
        </w:rPr>
        <w:t xml:space="preserve">Table </w:t>
      </w:r>
      <w:r w:rsidR="0007014B" w:rsidRPr="00B53FFB">
        <w:rPr>
          <w:b/>
          <w:bCs/>
          <w:kern w:val="0"/>
          <w:sz w:val="22"/>
          <w:szCs w:val="22"/>
        </w:rPr>
        <w:fldChar w:fldCharType="begin"/>
      </w:r>
      <w:r w:rsidRPr="00B53FFB">
        <w:rPr>
          <w:b/>
          <w:bCs/>
          <w:kern w:val="0"/>
          <w:sz w:val="22"/>
          <w:szCs w:val="22"/>
        </w:rPr>
        <w:instrText xml:space="preserve"> SEQ Table \* ARABIC </w:instrText>
      </w:r>
      <w:r w:rsidR="0007014B" w:rsidRPr="00B53FFB">
        <w:rPr>
          <w:b/>
          <w:bCs/>
          <w:kern w:val="0"/>
          <w:sz w:val="22"/>
          <w:szCs w:val="22"/>
        </w:rPr>
        <w:fldChar w:fldCharType="separate"/>
      </w:r>
      <w:r w:rsidR="00CA3AC6">
        <w:rPr>
          <w:b/>
          <w:bCs/>
          <w:noProof/>
          <w:kern w:val="0"/>
          <w:sz w:val="22"/>
          <w:szCs w:val="22"/>
        </w:rPr>
        <w:t>38</w:t>
      </w:r>
      <w:r w:rsidR="0007014B" w:rsidRPr="00B53FFB">
        <w:rPr>
          <w:b/>
          <w:bCs/>
          <w:kern w:val="0"/>
          <w:sz w:val="22"/>
          <w:szCs w:val="22"/>
        </w:rPr>
        <w:fldChar w:fldCharType="end"/>
      </w:r>
      <w:bookmarkEnd w:id="3892"/>
      <w:bookmarkEnd w:id="3894"/>
      <w:r w:rsidRPr="00B53FFB">
        <w:rPr>
          <w:b/>
          <w:sz w:val="22"/>
          <w:szCs w:val="22"/>
        </w:rPr>
        <w:br/>
      </w:r>
      <w:bookmarkEnd w:id="3893"/>
      <w:r w:rsidRPr="00B53FFB">
        <w:rPr>
          <w:b/>
          <w:bCs/>
          <w:sz w:val="22"/>
          <w:szCs w:val="22"/>
        </w:rPr>
        <w:t>Average Voice Revenue Per Minute, 1993-2011</w:t>
      </w:r>
      <w:r w:rsidRPr="00B53FFB">
        <w:rPr>
          <w:rStyle w:val="FootnoteReference"/>
          <w:bCs/>
          <w:szCs w:val="22"/>
        </w:rPr>
        <w:footnoteReference w:id="831"/>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30" w:type="dxa"/>
          <w:right w:w="30" w:type="dxa"/>
        </w:tblCellMar>
        <w:tblLook w:val="0000" w:firstRow="0" w:lastRow="0" w:firstColumn="0" w:lastColumn="0" w:noHBand="0" w:noVBand="0"/>
      </w:tblPr>
      <w:tblGrid>
        <w:gridCol w:w="504"/>
        <w:gridCol w:w="1074"/>
        <w:gridCol w:w="1041"/>
        <w:gridCol w:w="807"/>
        <w:gridCol w:w="1377"/>
        <w:gridCol w:w="1244"/>
        <w:gridCol w:w="982"/>
        <w:gridCol w:w="1025"/>
        <w:gridCol w:w="1366"/>
      </w:tblGrid>
      <w:tr w:rsidR="004A147C" w:rsidRPr="00F82EFD" w:rsidTr="00D626F5">
        <w:trPr>
          <w:trHeight w:val="214"/>
          <w:jc w:val="center"/>
        </w:trPr>
        <w:tc>
          <w:tcPr>
            <w:tcW w:w="0" w:type="auto"/>
          </w:tcPr>
          <w:p w:rsidR="004A147C" w:rsidRPr="00F82EFD" w:rsidRDefault="004A147C" w:rsidP="00CE5850">
            <w:pPr>
              <w:rPr>
                <w:rStyle w:val="Normal1"/>
                <w:b/>
                <w:sz w:val="21"/>
                <w:szCs w:val="21"/>
              </w:rPr>
            </w:pPr>
            <w:r w:rsidRPr="00F82EFD">
              <w:rPr>
                <w:rStyle w:val="Normal1"/>
                <w:b/>
                <w:sz w:val="21"/>
                <w:szCs w:val="21"/>
              </w:rPr>
              <w:t>Year</w:t>
            </w:r>
          </w:p>
        </w:tc>
        <w:tc>
          <w:tcPr>
            <w:tcW w:w="0" w:type="auto"/>
          </w:tcPr>
          <w:p w:rsidR="004A147C" w:rsidRPr="00F82EFD" w:rsidRDefault="004A147C" w:rsidP="00CE5850">
            <w:pPr>
              <w:jc w:val="center"/>
              <w:rPr>
                <w:rStyle w:val="Normal1"/>
                <w:b/>
                <w:sz w:val="21"/>
                <w:szCs w:val="21"/>
              </w:rPr>
            </w:pPr>
            <w:r w:rsidRPr="00F82EFD">
              <w:rPr>
                <w:rStyle w:val="Normal1"/>
                <w:b/>
                <w:sz w:val="21"/>
                <w:szCs w:val="21"/>
              </w:rPr>
              <w:t xml:space="preserve">Average </w:t>
            </w:r>
          </w:p>
          <w:p w:rsidR="004A147C" w:rsidRPr="00F82EFD" w:rsidRDefault="004A147C" w:rsidP="00CE5850">
            <w:pPr>
              <w:jc w:val="center"/>
              <w:rPr>
                <w:rStyle w:val="Normal1"/>
                <w:b/>
                <w:sz w:val="21"/>
                <w:szCs w:val="21"/>
              </w:rPr>
            </w:pPr>
            <w:r w:rsidRPr="00F82EFD">
              <w:rPr>
                <w:rStyle w:val="Normal1"/>
                <w:b/>
                <w:sz w:val="21"/>
                <w:szCs w:val="21"/>
              </w:rPr>
              <w:t xml:space="preserve">Local Monthly </w:t>
            </w:r>
          </w:p>
          <w:p w:rsidR="004A147C" w:rsidRPr="00F82EFD" w:rsidRDefault="004A147C" w:rsidP="00CE5850">
            <w:pPr>
              <w:jc w:val="center"/>
              <w:rPr>
                <w:rStyle w:val="Normal1"/>
                <w:b/>
                <w:sz w:val="21"/>
                <w:szCs w:val="21"/>
              </w:rPr>
            </w:pPr>
            <w:r w:rsidRPr="00F82EFD">
              <w:rPr>
                <w:rStyle w:val="Normal1"/>
                <w:b/>
                <w:sz w:val="21"/>
                <w:szCs w:val="21"/>
              </w:rPr>
              <w:t>Bill</w:t>
            </w:r>
          </w:p>
        </w:tc>
        <w:tc>
          <w:tcPr>
            <w:tcW w:w="0" w:type="auto"/>
          </w:tcPr>
          <w:p w:rsidR="004A147C" w:rsidRPr="00F82EFD" w:rsidRDefault="004A147C" w:rsidP="00CE5850">
            <w:pPr>
              <w:jc w:val="center"/>
              <w:rPr>
                <w:rStyle w:val="Normal1"/>
                <w:b/>
                <w:sz w:val="21"/>
                <w:szCs w:val="21"/>
              </w:rPr>
            </w:pPr>
            <w:r w:rsidRPr="00F82EFD">
              <w:rPr>
                <w:rStyle w:val="Normal1"/>
                <w:b/>
                <w:sz w:val="21"/>
                <w:szCs w:val="21"/>
              </w:rPr>
              <w:t xml:space="preserve">MOU </w:t>
            </w:r>
          </w:p>
          <w:p w:rsidR="004A147C" w:rsidRPr="00F82EFD" w:rsidRDefault="004A147C" w:rsidP="00CE5850">
            <w:pPr>
              <w:jc w:val="center"/>
              <w:rPr>
                <w:rStyle w:val="Normal1"/>
                <w:b/>
                <w:sz w:val="21"/>
                <w:szCs w:val="21"/>
              </w:rPr>
            </w:pPr>
            <w:r w:rsidRPr="00F82EFD">
              <w:rPr>
                <w:rStyle w:val="Normal1"/>
                <w:b/>
                <w:sz w:val="21"/>
                <w:szCs w:val="21"/>
              </w:rPr>
              <w:t xml:space="preserve"> Per </w:t>
            </w:r>
          </w:p>
          <w:p w:rsidR="004A147C" w:rsidRPr="00F82EFD" w:rsidRDefault="004A147C" w:rsidP="00CE5850">
            <w:pPr>
              <w:jc w:val="center"/>
              <w:rPr>
                <w:rStyle w:val="Normal1"/>
                <w:b/>
                <w:sz w:val="21"/>
                <w:szCs w:val="21"/>
              </w:rPr>
            </w:pPr>
            <w:r w:rsidRPr="00F82EFD">
              <w:rPr>
                <w:rStyle w:val="Normal1"/>
                <w:b/>
                <w:sz w:val="21"/>
                <w:szCs w:val="21"/>
              </w:rPr>
              <w:t>Subscriber</w:t>
            </w:r>
          </w:p>
          <w:p w:rsidR="004A147C" w:rsidRPr="00F82EFD" w:rsidRDefault="004A147C" w:rsidP="00CE5850">
            <w:pPr>
              <w:jc w:val="center"/>
              <w:rPr>
                <w:rStyle w:val="Normal1"/>
                <w:b/>
                <w:sz w:val="21"/>
                <w:szCs w:val="21"/>
              </w:rPr>
            </w:pPr>
            <w:r w:rsidRPr="00F82EFD">
              <w:rPr>
                <w:rStyle w:val="Normal1"/>
                <w:b/>
                <w:sz w:val="21"/>
                <w:szCs w:val="21"/>
              </w:rPr>
              <w:t>Per</w:t>
            </w:r>
          </w:p>
          <w:p w:rsidR="004A147C" w:rsidRPr="00F82EFD" w:rsidRDefault="004A147C" w:rsidP="00CE5850">
            <w:pPr>
              <w:jc w:val="center"/>
              <w:rPr>
                <w:rStyle w:val="Normal1"/>
                <w:b/>
                <w:sz w:val="21"/>
                <w:szCs w:val="21"/>
              </w:rPr>
            </w:pPr>
            <w:r w:rsidRPr="00F82EFD">
              <w:rPr>
                <w:rStyle w:val="Normal1"/>
                <w:b/>
                <w:sz w:val="21"/>
                <w:szCs w:val="21"/>
              </w:rPr>
              <w:t>Month</w:t>
            </w:r>
            <w:r w:rsidRPr="00F82EFD">
              <w:rPr>
                <w:rStyle w:val="FootnoteReference"/>
                <w:b/>
                <w:sz w:val="21"/>
                <w:szCs w:val="21"/>
              </w:rPr>
              <w:footnoteReference w:id="832"/>
            </w:r>
          </w:p>
        </w:tc>
        <w:tc>
          <w:tcPr>
            <w:tcW w:w="0" w:type="auto"/>
          </w:tcPr>
          <w:p w:rsidR="004A147C" w:rsidRPr="00F82EFD" w:rsidRDefault="004A147C" w:rsidP="00CE5850">
            <w:pPr>
              <w:jc w:val="center"/>
              <w:rPr>
                <w:rStyle w:val="Normal1"/>
                <w:b/>
                <w:sz w:val="21"/>
                <w:szCs w:val="21"/>
              </w:rPr>
            </w:pPr>
            <w:r w:rsidRPr="00F82EFD">
              <w:rPr>
                <w:rStyle w:val="Normal1"/>
                <w:b/>
                <w:sz w:val="21"/>
                <w:szCs w:val="21"/>
              </w:rPr>
              <w:t>Blended</w:t>
            </w:r>
          </w:p>
          <w:p w:rsidR="004A147C" w:rsidRPr="00F82EFD" w:rsidRDefault="004A147C" w:rsidP="00CE5850">
            <w:pPr>
              <w:jc w:val="center"/>
              <w:rPr>
                <w:rStyle w:val="Normal1"/>
                <w:b/>
                <w:sz w:val="21"/>
                <w:szCs w:val="21"/>
              </w:rPr>
            </w:pPr>
            <w:r w:rsidRPr="00F82EFD">
              <w:rPr>
                <w:rStyle w:val="Normal1"/>
                <w:b/>
                <w:sz w:val="21"/>
                <w:szCs w:val="21"/>
              </w:rPr>
              <w:t xml:space="preserve">Average </w:t>
            </w:r>
          </w:p>
          <w:p w:rsidR="004A147C" w:rsidRPr="00F82EFD" w:rsidRDefault="004A147C" w:rsidP="00CE5850">
            <w:pPr>
              <w:jc w:val="center"/>
              <w:rPr>
                <w:rStyle w:val="Normal1"/>
                <w:b/>
                <w:sz w:val="21"/>
                <w:szCs w:val="21"/>
              </w:rPr>
            </w:pPr>
            <w:r w:rsidRPr="00F82EFD">
              <w:rPr>
                <w:rStyle w:val="Normal1"/>
                <w:b/>
                <w:sz w:val="21"/>
                <w:szCs w:val="21"/>
              </w:rPr>
              <w:t>RPM</w:t>
            </w:r>
            <w:r w:rsidRPr="00F82EFD">
              <w:rPr>
                <w:rStyle w:val="FootnoteReference"/>
                <w:b/>
                <w:sz w:val="21"/>
                <w:szCs w:val="21"/>
              </w:rPr>
              <w:footnoteReference w:id="833"/>
            </w:r>
          </w:p>
        </w:tc>
        <w:tc>
          <w:tcPr>
            <w:tcW w:w="0" w:type="auto"/>
          </w:tcPr>
          <w:p w:rsidR="004A147C" w:rsidRPr="00F82EFD" w:rsidRDefault="004A147C" w:rsidP="00CE5850">
            <w:pPr>
              <w:jc w:val="center"/>
              <w:rPr>
                <w:rStyle w:val="Normal1"/>
                <w:b/>
                <w:sz w:val="21"/>
                <w:szCs w:val="21"/>
              </w:rPr>
            </w:pPr>
            <w:r w:rsidRPr="00F82EFD">
              <w:rPr>
                <w:rStyle w:val="Normal1"/>
                <w:b/>
                <w:sz w:val="21"/>
                <w:szCs w:val="21"/>
              </w:rPr>
              <w:t xml:space="preserve">Annual </w:t>
            </w:r>
          </w:p>
          <w:p w:rsidR="004A147C" w:rsidRPr="00F82EFD" w:rsidRDefault="004A147C" w:rsidP="00CE5850">
            <w:pPr>
              <w:jc w:val="center"/>
              <w:rPr>
                <w:rStyle w:val="Normal1"/>
                <w:b/>
                <w:sz w:val="21"/>
                <w:szCs w:val="21"/>
              </w:rPr>
            </w:pPr>
            <w:r w:rsidRPr="00F82EFD">
              <w:rPr>
                <w:rStyle w:val="Normal1"/>
                <w:b/>
                <w:sz w:val="21"/>
                <w:szCs w:val="21"/>
              </w:rPr>
              <w:t xml:space="preserve">Percentage Change </w:t>
            </w:r>
          </w:p>
          <w:p w:rsidR="004A147C" w:rsidRPr="00F82EFD" w:rsidRDefault="004A147C" w:rsidP="00CE5850">
            <w:pPr>
              <w:jc w:val="center"/>
              <w:rPr>
                <w:rStyle w:val="Normal1"/>
                <w:b/>
                <w:sz w:val="21"/>
                <w:szCs w:val="21"/>
              </w:rPr>
            </w:pPr>
            <w:r w:rsidRPr="00F82EFD">
              <w:rPr>
                <w:rStyle w:val="Normal1"/>
                <w:b/>
                <w:sz w:val="21"/>
                <w:szCs w:val="21"/>
              </w:rPr>
              <w:t xml:space="preserve">in Blended </w:t>
            </w:r>
          </w:p>
          <w:p w:rsidR="004A147C" w:rsidRPr="00F82EFD" w:rsidRDefault="004A147C" w:rsidP="00CE5850">
            <w:pPr>
              <w:jc w:val="center"/>
              <w:rPr>
                <w:rStyle w:val="Normal1"/>
                <w:b/>
                <w:sz w:val="21"/>
                <w:szCs w:val="21"/>
              </w:rPr>
            </w:pPr>
            <w:r w:rsidRPr="00F82EFD">
              <w:rPr>
                <w:rStyle w:val="Normal1"/>
                <w:b/>
                <w:sz w:val="21"/>
                <w:szCs w:val="21"/>
              </w:rPr>
              <w:t>Average</w:t>
            </w:r>
          </w:p>
          <w:p w:rsidR="004A147C" w:rsidRPr="00F82EFD" w:rsidRDefault="004A147C" w:rsidP="00CE5850">
            <w:pPr>
              <w:jc w:val="center"/>
              <w:rPr>
                <w:rStyle w:val="Normal1"/>
                <w:b/>
                <w:sz w:val="21"/>
                <w:szCs w:val="21"/>
              </w:rPr>
            </w:pPr>
            <w:r w:rsidRPr="00F82EFD">
              <w:rPr>
                <w:rStyle w:val="Normal1"/>
                <w:b/>
                <w:sz w:val="21"/>
                <w:szCs w:val="21"/>
              </w:rPr>
              <w:t>RPM</w:t>
            </w:r>
          </w:p>
        </w:tc>
        <w:tc>
          <w:tcPr>
            <w:tcW w:w="0" w:type="auto"/>
          </w:tcPr>
          <w:p w:rsidR="004A147C" w:rsidRPr="00F82EFD" w:rsidRDefault="004A147C" w:rsidP="00CE5850">
            <w:pPr>
              <w:jc w:val="center"/>
              <w:rPr>
                <w:rStyle w:val="Normal1"/>
                <w:b/>
                <w:sz w:val="21"/>
                <w:szCs w:val="21"/>
              </w:rPr>
            </w:pPr>
            <w:r w:rsidRPr="00F82EFD">
              <w:rPr>
                <w:rStyle w:val="Normal1"/>
                <w:b/>
                <w:sz w:val="21"/>
                <w:szCs w:val="21"/>
              </w:rPr>
              <w:t xml:space="preserve">Data </w:t>
            </w:r>
          </w:p>
          <w:p w:rsidR="004A147C" w:rsidRPr="00F82EFD" w:rsidRDefault="004A147C" w:rsidP="00CE5850">
            <w:pPr>
              <w:jc w:val="center"/>
              <w:rPr>
                <w:rStyle w:val="Normal1"/>
                <w:b/>
                <w:sz w:val="21"/>
                <w:szCs w:val="21"/>
              </w:rPr>
            </w:pPr>
            <w:r w:rsidRPr="00F82EFD">
              <w:rPr>
                <w:rStyle w:val="Normal1"/>
                <w:b/>
                <w:sz w:val="21"/>
                <w:szCs w:val="21"/>
              </w:rPr>
              <w:t xml:space="preserve">Revenue </w:t>
            </w:r>
          </w:p>
          <w:p w:rsidR="004A147C" w:rsidRPr="00F82EFD" w:rsidRDefault="004A147C" w:rsidP="00CE5850">
            <w:pPr>
              <w:jc w:val="center"/>
              <w:rPr>
                <w:rStyle w:val="Normal1"/>
                <w:b/>
                <w:sz w:val="21"/>
                <w:szCs w:val="21"/>
              </w:rPr>
            </w:pPr>
            <w:r w:rsidRPr="00F82EFD">
              <w:rPr>
                <w:rStyle w:val="Normal1"/>
                <w:b/>
                <w:sz w:val="21"/>
                <w:szCs w:val="21"/>
              </w:rPr>
              <w:t xml:space="preserve">as Percent </w:t>
            </w:r>
          </w:p>
          <w:p w:rsidR="004A147C" w:rsidRPr="00F82EFD" w:rsidRDefault="004A147C" w:rsidP="00CE5850">
            <w:pPr>
              <w:jc w:val="center"/>
              <w:rPr>
                <w:rStyle w:val="Normal1"/>
                <w:b/>
                <w:sz w:val="21"/>
                <w:szCs w:val="21"/>
              </w:rPr>
            </w:pPr>
            <w:r w:rsidRPr="00F82EFD">
              <w:rPr>
                <w:rStyle w:val="Normal1"/>
                <w:b/>
                <w:sz w:val="21"/>
                <w:szCs w:val="21"/>
              </w:rPr>
              <w:t>of Total</w:t>
            </w:r>
          </w:p>
          <w:p w:rsidR="004A147C" w:rsidRPr="00F82EFD" w:rsidRDefault="004A147C" w:rsidP="00CE5850">
            <w:pPr>
              <w:jc w:val="center"/>
              <w:rPr>
                <w:rStyle w:val="Normal1"/>
                <w:b/>
                <w:sz w:val="21"/>
                <w:szCs w:val="21"/>
              </w:rPr>
            </w:pPr>
            <w:r w:rsidRPr="00F82EFD">
              <w:rPr>
                <w:rStyle w:val="Normal1"/>
                <w:b/>
                <w:sz w:val="21"/>
                <w:szCs w:val="21"/>
              </w:rPr>
              <w:t xml:space="preserve"> Service Revenues</w:t>
            </w:r>
          </w:p>
        </w:tc>
        <w:tc>
          <w:tcPr>
            <w:tcW w:w="0" w:type="auto"/>
          </w:tcPr>
          <w:p w:rsidR="004A147C" w:rsidRPr="00F82EFD" w:rsidRDefault="004A147C" w:rsidP="00CE5850">
            <w:pPr>
              <w:jc w:val="center"/>
              <w:rPr>
                <w:rStyle w:val="Normal1"/>
                <w:b/>
                <w:sz w:val="21"/>
                <w:szCs w:val="21"/>
              </w:rPr>
            </w:pPr>
            <w:r w:rsidRPr="00F82EFD">
              <w:rPr>
                <w:rStyle w:val="Normal1"/>
                <w:b/>
                <w:sz w:val="21"/>
                <w:szCs w:val="21"/>
              </w:rPr>
              <w:t>Average</w:t>
            </w:r>
          </w:p>
          <w:p w:rsidR="004A147C" w:rsidRPr="00F82EFD" w:rsidRDefault="004A147C" w:rsidP="00CE5850">
            <w:pPr>
              <w:jc w:val="center"/>
              <w:rPr>
                <w:rStyle w:val="Normal1"/>
                <w:b/>
                <w:sz w:val="21"/>
                <w:szCs w:val="21"/>
              </w:rPr>
            </w:pPr>
            <w:r w:rsidRPr="00F82EFD">
              <w:rPr>
                <w:rStyle w:val="Normal1"/>
                <w:b/>
                <w:sz w:val="21"/>
                <w:szCs w:val="21"/>
              </w:rPr>
              <w:t xml:space="preserve"> Local</w:t>
            </w:r>
          </w:p>
          <w:p w:rsidR="004A147C" w:rsidRPr="00F82EFD" w:rsidRDefault="004A147C" w:rsidP="00CE5850">
            <w:pPr>
              <w:jc w:val="center"/>
              <w:rPr>
                <w:rStyle w:val="Normal1"/>
                <w:b/>
                <w:sz w:val="21"/>
                <w:szCs w:val="21"/>
              </w:rPr>
            </w:pPr>
            <w:r w:rsidRPr="00F82EFD">
              <w:rPr>
                <w:rStyle w:val="Normal1"/>
                <w:b/>
                <w:sz w:val="21"/>
                <w:szCs w:val="21"/>
              </w:rPr>
              <w:t xml:space="preserve"> Monthly </w:t>
            </w:r>
          </w:p>
          <w:p w:rsidR="004A147C" w:rsidRPr="00F82EFD" w:rsidRDefault="004A147C" w:rsidP="00CE5850">
            <w:pPr>
              <w:jc w:val="center"/>
              <w:rPr>
                <w:rStyle w:val="Normal1"/>
                <w:b/>
                <w:sz w:val="21"/>
                <w:szCs w:val="21"/>
              </w:rPr>
            </w:pPr>
            <w:r w:rsidRPr="00F82EFD">
              <w:rPr>
                <w:rStyle w:val="Normal1"/>
                <w:b/>
                <w:sz w:val="21"/>
                <w:szCs w:val="21"/>
              </w:rPr>
              <w:t xml:space="preserve">Bill </w:t>
            </w:r>
          </w:p>
          <w:p w:rsidR="004A147C" w:rsidRPr="00F82EFD" w:rsidRDefault="004A147C" w:rsidP="00CE5850">
            <w:pPr>
              <w:jc w:val="center"/>
              <w:rPr>
                <w:rStyle w:val="Normal1"/>
                <w:b/>
                <w:sz w:val="21"/>
                <w:szCs w:val="21"/>
              </w:rPr>
            </w:pPr>
            <w:r w:rsidRPr="00F82EFD">
              <w:rPr>
                <w:rStyle w:val="Normal1"/>
                <w:b/>
                <w:sz w:val="21"/>
                <w:szCs w:val="21"/>
              </w:rPr>
              <w:t xml:space="preserve">(ex. Data </w:t>
            </w:r>
          </w:p>
          <w:p w:rsidR="004A147C" w:rsidRPr="00F82EFD" w:rsidRDefault="004A147C" w:rsidP="00CE5850">
            <w:pPr>
              <w:jc w:val="center"/>
              <w:rPr>
                <w:rStyle w:val="Normal1"/>
                <w:b/>
                <w:sz w:val="21"/>
                <w:szCs w:val="21"/>
              </w:rPr>
            </w:pPr>
            <w:r w:rsidRPr="00F82EFD">
              <w:rPr>
                <w:rStyle w:val="Normal1"/>
                <w:b/>
                <w:sz w:val="21"/>
                <w:szCs w:val="21"/>
              </w:rPr>
              <w:t>Revenues)</w:t>
            </w:r>
          </w:p>
        </w:tc>
        <w:tc>
          <w:tcPr>
            <w:tcW w:w="0" w:type="auto"/>
            <w:shd w:val="pct15" w:color="auto" w:fill="auto"/>
          </w:tcPr>
          <w:p w:rsidR="004A147C" w:rsidRPr="00F82EFD" w:rsidRDefault="004A147C" w:rsidP="00CE5850">
            <w:pPr>
              <w:jc w:val="center"/>
              <w:rPr>
                <w:rStyle w:val="Normal1"/>
                <w:b/>
                <w:sz w:val="21"/>
                <w:szCs w:val="21"/>
              </w:rPr>
            </w:pPr>
            <w:r w:rsidRPr="00F82EFD">
              <w:rPr>
                <w:rStyle w:val="Normal1"/>
                <w:b/>
                <w:sz w:val="21"/>
                <w:szCs w:val="21"/>
              </w:rPr>
              <w:t>Average</w:t>
            </w:r>
          </w:p>
          <w:p w:rsidR="004A147C" w:rsidRPr="00F82EFD" w:rsidRDefault="004A147C" w:rsidP="00CE5850">
            <w:pPr>
              <w:jc w:val="center"/>
              <w:rPr>
                <w:rStyle w:val="Normal1"/>
                <w:sz w:val="21"/>
                <w:szCs w:val="21"/>
              </w:rPr>
            </w:pPr>
            <w:r w:rsidRPr="00F82EFD">
              <w:rPr>
                <w:rStyle w:val="Normal1"/>
                <w:b/>
                <w:sz w:val="21"/>
                <w:szCs w:val="21"/>
              </w:rPr>
              <w:t>Voice RPM</w:t>
            </w:r>
            <w:r w:rsidRPr="00F82EFD">
              <w:rPr>
                <w:rStyle w:val="FootnoteReference"/>
                <w:b/>
                <w:sz w:val="21"/>
                <w:szCs w:val="21"/>
              </w:rPr>
              <w:footnoteReference w:id="834"/>
            </w:r>
          </w:p>
        </w:tc>
        <w:tc>
          <w:tcPr>
            <w:tcW w:w="0" w:type="auto"/>
            <w:shd w:val="pct15" w:color="auto" w:fill="auto"/>
          </w:tcPr>
          <w:p w:rsidR="004A147C" w:rsidRPr="00F82EFD" w:rsidRDefault="004A147C" w:rsidP="00CE5850">
            <w:pPr>
              <w:jc w:val="center"/>
              <w:rPr>
                <w:rStyle w:val="Normal1"/>
                <w:b/>
                <w:sz w:val="21"/>
                <w:szCs w:val="21"/>
              </w:rPr>
            </w:pPr>
            <w:r w:rsidRPr="00F82EFD">
              <w:rPr>
                <w:rStyle w:val="Normal1"/>
                <w:b/>
                <w:sz w:val="21"/>
                <w:szCs w:val="21"/>
              </w:rPr>
              <w:t>Annual Percentage</w:t>
            </w:r>
          </w:p>
          <w:p w:rsidR="004A147C" w:rsidRPr="00F82EFD" w:rsidRDefault="004A147C" w:rsidP="00CE5850">
            <w:pPr>
              <w:jc w:val="center"/>
              <w:rPr>
                <w:rStyle w:val="Normal1"/>
                <w:b/>
                <w:sz w:val="21"/>
                <w:szCs w:val="21"/>
              </w:rPr>
            </w:pPr>
            <w:r w:rsidRPr="00F82EFD">
              <w:rPr>
                <w:rStyle w:val="Normal1"/>
                <w:b/>
                <w:sz w:val="21"/>
                <w:szCs w:val="21"/>
              </w:rPr>
              <w:t>Change</w:t>
            </w:r>
          </w:p>
          <w:p w:rsidR="004A147C" w:rsidRPr="00F82EFD" w:rsidRDefault="004A147C" w:rsidP="00CE5850">
            <w:pPr>
              <w:jc w:val="center"/>
              <w:rPr>
                <w:rStyle w:val="Normal1"/>
                <w:sz w:val="21"/>
                <w:szCs w:val="21"/>
              </w:rPr>
            </w:pPr>
            <w:r w:rsidRPr="00F82EFD">
              <w:rPr>
                <w:rStyle w:val="Normal1"/>
                <w:b/>
                <w:sz w:val="21"/>
                <w:szCs w:val="21"/>
              </w:rPr>
              <w:t xml:space="preserve"> in Voice RPM</w:t>
            </w:r>
          </w:p>
        </w:tc>
      </w:tr>
      <w:tr w:rsidR="004A147C" w:rsidRPr="00B53FFB" w:rsidTr="00D626F5">
        <w:trPr>
          <w:trHeight w:val="252"/>
          <w:jc w:val="center"/>
        </w:trPr>
        <w:tc>
          <w:tcPr>
            <w:tcW w:w="0" w:type="auto"/>
          </w:tcPr>
          <w:p w:rsidR="004A147C" w:rsidRPr="00B53FFB" w:rsidRDefault="004A147C" w:rsidP="00CE5850">
            <w:pPr>
              <w:rPr>
                <w:rStyle w:val="Normal1"/>
                <w:szCs w:val="22"/>
              </w:rPr>
            </w:pPr>
            <w:r w:rsidRPr="00B53FFB">
              <w:rPr>
                <w:rStyle w:val="Normal1"/>
                <w:szCs w:val="22"/>
              </w:rPr>
              <w:t>1993</w:t>
            </w:r>
          </w:p>
        </w:tc>
        <w:tc>
          <w:tcPr>
            <w:tcW w:w="0" w:type="auto"/>
          </w:tcPr>
          <w:p w:rsidR="004A147C" w:rsidRPr="00B53FFB" w:rsidRDefault="004A147C" w:rsidP="00CE5850">
            <w:pPr>
              <w:jc w:val="right"/>
              <w:rPr>
                <w:rStyle w:val="Normal1"/>
                <w:szCs w:val="22"/>
              </w:rPr>
            </w:pPr>
            <w:r w:rsidRPr="00B53FFB">
              <w:rPr>
                <w:rStyle w:val="Normal1"/>
                <w:szCs w:val="22"/>
              </w:rPr>
              <w:t xml:space="preserve">$61.49 </w:t>
            </w:r>
          </w:p>
        </w:tc>
        <w:tc>
          <w:tcPr>
            <w:tcW w:w="0" w:type="auto"/>
          </w:tcPr>
          <w:p w:rsidR="004A147C" w:rsidRPr="00B53FFB" w:rsidRDefault="004A147C" w:rsidP="00CE5850">
            <w:pPr>
              <w:jc w:val="right"/>
              <w:rPr>
                <w:rStyle w:val="Normal1"/>
                <w:szCs w:val="22"/>
              </w:rPr>
            </w:pPr>
            <w:r w:rsidRPr="00B53FFB">
              <w:rPr>
                <w:rStyle w:val="Normal1"/>
                <w:szCs w:val="22"/>
              </w:rPr>
              <w:t>140</w:t>
            </w:r>
          </w:p>
        </w:tc>
        <w:tc>
          <w:tcPr>
            <w:tcW w:w="0" w:type="auto"/>
          </w:tcPr>
          <w:p w:rsidR="004A147C" w:rsidRPr="00B53FFB" w:rsidRDefault="004A147C" w:rsidP="00CE5850">
            <w:pPr>
              <w:jc w:val="right"/>
              <w:rPr>
                <w:rStyle w:val="Normal1"/>
                <w:szCs w:val="22"/>
              </w:rPr>
            </w:pPr>
            <w:r w:rsidRPr="00B53FFB">
              <w:rPr>
                <w:rStyle w:val="Normal1"/>
                <w:szCs w:val="22"/>
              </w:rPr>
              <w:t xml:space="preserve">$0.44 </w:t>
            </w:r>
          </w:p>
        </w:tc>
        <w:tc>
          <w:tcPr>
            <w:tcW w:w="0" w:type="auto"/>
          </w:tcPr>
          <w:p w:rsidR="004A147C" w:rsidRPr="00B53FFB" w:rsidRDefault="004A147C" w:rsidP="00CE5850">
            <w:pPr>
              <w:jc w:val="right"/>
              <w:rPr>
                <w:rStyle w:val="Normal1"/>
                <w:szCs w:val="22"/>
              </w:rPr>
            </w:pPr>
          </w:p>
        </w:tc>
        <w:tc>
          <w:tcPr>
            <w:tcW w:w="0" w:type="auto"/>
          </w:tcPr>
          <w:p w:rsidR="004A147C" w:rsidRPr="00B53FFB" w:rsidRDefault="004A147C" w:rsidP="00CE5850">
            <w:pPr>
              <w:jc w:val="right"/>
              <w:rPr>
                <w:rStyle w:val="Normal1"/>
                <w:szCs w:val="22"/>
              </w:rPr>
            </w:pPr>
            <w:r w:rsidRPr="00B53FFB">
              <w:rPr>
                <w:rStyle w:val="Normal1"/>
                <w:szCs w:val="22"/>
              </w:rPr>
              <w:t>n/a</w:t>
            </w:r>
          </w:p>
        </w:tc>
        <w:tc>
          <w:tcPr>
            <w:tcW w:w="0" w:type="auto"/>
          </w:tcPr>
          <w:p w:rsidR="004A147C" w:rsidRPr="00B53FFB" w:rsidRDefault="004A147C" w:rsidP="00CE5850">
            <w:pPr>
              <w:jc w:val="right"/>
              <w:rPr>
                <w:rStyle w:val="Normal1"/>
                <w:szCs w:val="22"/>
              </w:rPr>
            </w:pPr>
            <w:r w:rsidRPr="00B53FFB">
              <w:rPr>
                <w:rStyle w:val="Normal1"/>
                <w:szCs w:val="22"/>
              </w:rPr>
              <w:t xml:space="preserve">$61.49 </w:t>
            </w:r>
          </w:p>
        </w:tc>
        <w:tc>
          <w:tcPr>
            <w:tcW w:w="0" w:type="auto"/>
            <w:shd w:val="pct15" w:color="auto" w:fill="auto"/>
          </w:tcPr>
          <w:p w:rsidR="004A147C" w:rsidRPr="00B53FFB" w:rsidRDefault="004A147C" w:rsidP="00CE5850">
            <w:pPr>
              <w:jc w:val="right"/>
              <w:rPr>
                <w:rStyle w:val="Normal1"/>
                <w:szCs w:val="22"/>
              </w:rPr>
            </w:pPr>
            <w:r w:rsidRPr="00B53FFB">
              <w:rPr>
                <w:rStyle w:val="Normal1"/>
                <w:szCs w:val="22"/>
              </w:rPr>
              <w:t xml:space="preserve">$0.439 </w:t>
            </w:r>
          </w:p>
        </w:tc>
        <w:tc>
          <w:tcPr>
            <w:tcW w:w="0" w:type="auto"/>
            <w:shd w:val="pct15" w:color="auto" w:fill="auto"/>
          </w:tcPr>
          <w:p w:rsidR="004A147C" w:rsidRPr="00B53FFB" w:rsidRDefault="004A147C" w:rsidP="00CE5850">
            <w:pPr>
              <w:jc w:val="right"/>
              <w:rPr>
                <w:rStyle w:val="Normal1"/>
                <w:szCs w:val="22"/>
              </w:rPr>
            </w:pPr>
          </w:p>
        </w:tc>
      </w:tr>
      <w:tr w:rsidR="004A147C" w:rsidRPr="00B53FFB" w:rsidTr="00D626F5">
        <w:trPr>
          <w:trHeight w:val="252"/>
          <w:jc w:val="center"/>
        </w:trPr>
        <w:tc>
          <w:tcPr>
            <w:tcW w:w="0" w:type="auto"/>
          </w:tcPr>
          <w:p w:rsidR="004A147C" w:rsidRPr="00B53FFB" w:rsidRDefault="004A147C" w:rsidP="00CE5850">
            <w:pPr>
              <w:rPr>
                <w:rStyle w:val="Normal1"/>
                <w:szCs w:val="22"/>
              </w:rPr>
            </w:pPr>
            <w:r w:rsidRPr="00B53FFB">
              <w:rPr>
                <w:rStyle w:val="Normal1"/>
                <w:szCs w:val="22"/>
              </w:rPr>
              <w:t>1994</w:t>
            </w:r>
          </w:p>
        </w:tc>
        <w:tc>
          <w:tcPr>
            <w:tcW w:w="0" w:type="auto"/>
          </w:tcPr>
          <w:p w:rsidR="004A147C" w:rsidRPr="00B53FFB" w:rsidRDefault="004A147C" w:rsidP="00CE5850">
            <w:pPr>
              <w:jc w:val="right"/>
              <w:rPr>
                <w:rStyle w:val="Normal1"/>
                <w:szCs w:val="22"/>
              </w:rPr>
            </w:pPr>
            <w:r w:rsidRPr="00B53FFB">
              <w:rPr>
                <w:rStyle w:val="Normal1"/>
                <w:szCs w:val="22"/>
              </w:rPr>
              <w:t xml:space="preserve">$56.21 </w:t>
            </w:r>
          </w:p>
        </w:tc>
        <w:tc>
          <w:tcPr>
            <w:tcW w:w="0" w:type="auto"/>
          </w:tcPr>
          <w:p w:rsidR="004A147C" w:rsidRPr="00B53FFB" w:rsidRDefault="004A147C" w:rsidP="00CE5850">
            <w:pPr>
              <w:jc w:val="right"/>
              <w:rPr>
                <w:rStyle w:val="Normal1"/>
                <w:szCs w:val="22"/>
              </w:rPr>
            </w:pPr>
            <w:r w:rsidRPr="00B53FFB">
              <w:rPr>
                <w:rStyle w:val="Normal1"/>
                <w:szCs w:val="22"/>
              </w:rPr>
              <w:t>119</w:t>
            </w:r>
          </w:p>
        </w:tc>
        <w:tc>
          <w:tcPr>
            <w:tcW w:w="0" w:type="auto"/>
          </w:tcPr>
          <w:p w:rsidR="004A147C" w:rsidRPr="00B53FFB" w:rsidRDefault="004A147C" w:rsidP="00CE5850">
            <w:pPr>
              <w:jc w:val="right"/>
              <w:rPr>
                <w:rStyle w:val="Normal1"/>
                <w:szCs w:val="22"/>
              </w:rPr>
            </w:pPr>
            <w:r w:rsidRPr="00B53FFB">
              <w:rPr>
                <w:rStyle w:val="Normal1"/>
                <w:szCs w:val="22"/>
              </w:rPr>
              <w:t xml:space="preserve">$0.47 </w:t>
            </w:r>
          </w:p>
        </w:tc>
        <w:tc>
          <w:tcPr>
            <w:tcW w:w="0" w:type="auto"/>
          </w:tcPr>
          <w:p w:rsidR="004A147C" w:rsidRPr="00B53FFB" w:rsidRDefault="004A147C" w:rsidP="00CE5850">
            <w:pPr>
              <w:jc w:val="right"/>
              <w:rPr>
                <w:rStyle w:val="Normal1"/>
                <w:szCs w:val="22"/>
              </w:rPr>
            </w:pPr>
            <w:r w:rsidRPr="00B53FFB">
              <w:rPr>
                <w:rStyle w:val="Normal1"/>
                <w:szCs w:val="22"/>
              </w:rPr>
              <w:t>8%</w:t>
            </w:r>
          </w:p>
        </w:tc>
        <w:tc>
          <w:tcPr>
            <w:tcW w:w="0" w:type="auto"/>
          </w:tcPr>
          <w:p w:rsidR="004A147C" w:rsidRPr="00B53FFB" w:rsidRDefault="004A147C" w:rsidP="00CE5850">
            <w:pPr>
              <w:jc w:val="right"/>
              <w:rPr>
                <w:rStyle w:val="Normal1"/>
                <w:szCs w:val="22"/>
              </w:rPr>
            </w:pPr>
            <w:r w:rsidRPr="00B53FFB">
              <w:rPr>
                <w:rStyle w:val="Normal1"/>
                <w:szCs w:val="22"/>
              </w:rPr>
              <w:t>n/a</w:t>
            </w:r>
          </w:p>
        </w:tc>
        <w:tc>
          <w:tcPr>
            <w:tcW w:w="0" w:type="auto"/>
          </w:tcPr>
          <w:p w:rsidR="004A147C" w:rsidRPr="00B53FFB" w:rsidRDefault="004A147C" w:rsidP="00CE5850">
            <w:pPr>
              <w:jc w:val="right"/>
              <w:rPr>
                <w:rStyle w:val="Normal1"/>
                <w:szCs w:val="22"/>
              </w:rPr>
            </w:pPr>
            <w:r w:rsidRPr="00B53FFB">
              <w:rPr>
                <w:rStyle w:val="Normal1"/>
                <w:szCs w:val="22"/>
              </w:rPr>
              <w:t xml:space="preserve">$56.21 </w:t>
            </w:r>
          </w:p>
        </w:tc>
        <w:tc>
          <w:tcPr>
            <w:tcW w:w="0" w:type="auto"/>
            <w:shd w:val="pct15" w:color="auto" w:fill="auto"/>
          </w:tcPr>
          <w:p w:rsidR="004A147C" w:rsidRPr="00B53FFB" w:rsidRDefault="004A147C" w:rsidP="00CE5850">
            <w:pPr>
              <w:jc w:val="right"/>
              <w:rPr>
                <w:rStyle w:val="Normal1"/>
                <w:szCs w:val="22"/>
              </w:rPr>
            </w:pPr>
            <w:r w:rsidRPr="00B53FFB">
              <w:rPr>
                <w:rStyle w:val="Normal1"/>
                <w:szCs w:val="22"/>
              </w:rPr>
              <w:t xml:space="preserve">$0.472 </w:t>
            </w:r>
          </w:p>
        </w:tc>
        <w:tc>
          <w:tcPr>
            <w:tcW w:w="0" w:type="auto"/>
            <w:shd w:val="pct15" w:color="auto" w:fill="auto"/>
          </w:tcPr>
          <w:p w:rsidR="004A147C" w:rsidRPr="00B53FFB" w:rsidRDefault="004A147C" w:rsidP="00CE5850">
            <w:pPr>
              <w:jc w:val="right"/>
              <w:rPr>
                <w:rStyle w:val="Normal1"/>
                <w:szCs w:val="22"/>
              </w:rPr>
            </w:pPr>
            <w:r w:rsidRPr="00B53FFB">
              <w:rPr>
                <w:rStyle w:val="Normal1"/>
                <w:szCs w:val="22"/>
              </w:rPr>
              <w:t>8%</w:t>
            </w:r>
          </w:p>
        </w:tc>
      </w:tr>
      <w:tr w:rsidR="004A147C" w:rsidRPr="00B53FFB" w:rsidTr="00D626F5">
        <w:trPr>
          <w:trHeight w:val="252"/>
          <w:jc w:val="center"/>
        </w:trPr>
        <w:tc>
          <w:tcPr>
            <w:tcW w:w="0" w:type="auto"/>
          </w:tcPr>
          <w:p w:rsidR="004A147C" w:rsidRPr="00B53FFB" w:rsidRDefault="004A147C" w:rsidP="00CE5850">
            <w:pPr>
              <w:rPr>
                <w:rStyle w:val="Normal1"/>
                <w:szCs w:val="22"/>
              </w:rPr>
            </w:pPr>
            <w:r w:rsidRPr="00B53FFB">
              <w:rPr>
                <w:rStyle w:val="Normal1"/>
                <w:szCs w:val="22"/>
              </w:rPr>
              <w:t>1995</w:t>
            </w:r>
          </w:p>
        </w:tc>
        <w:tc>
          <w:tcPr>
            <w:tcW w:w="0" w:type="auto"/>
          </w:tcPr>
          <w:p w:rsidR="004A147C" w:rsidRPr="00B53FFB" w:rsidRDefault="004A147C" w:rsidP="00CE5850">
            <w:pPr>
              <w:jc w:val="right"/>
              <w:rPr>
                <w:rStyle w:val="Normal1"/>
                <w:szCs w:val="22"/>
              </w:rPr>
            </w:pPr>
            <w:r w:rsidRPr="00B53FFB">
              <w:rPr>
                <w:rStyle w:val="Normal1"/>
                <w:szCs w:val="22"/>
              </w:rPr>
              <w:t xml:space="preserve">$51.00 </w:t>
            </w:r>
          </w:p>
        </w:tc>
        <w:tc>
          <w:tcPr>
            <w:tcW w:w="0" w:type="auto"/>
          </w:tcPr>
          <w:p w:rsidR="004A147C" w:rsidRPr="00B53FFB" w:rsidRDefault="004A147C" w:rsidP="00CE5850">
            <w:pPr>
              <w:jc w:val="right"/>
              <w:rPr>
                <w:rStyle w:val="Normal1"/>
                <w:szCs w:val="22"/>
              </w:rPr>
            </w:pPr>
            <w:r w:rsidRPr="00B53FFB">
              <w:rPr>
                <w:rStyle w:val="Normal1"/>
                <w:szCs w:val="22"/>
              </w:rPr>
              <w:t>119</w:t>
            </w:r>
          </w:p>
        </w:tc>
        <w:tc>
          <w:tcPr>
            <w:tcW w:w="0" w:type="auto"/>
          </w:tcPr>
          <w:p w:rsidR="004A147C" w:rsidRPr="00B53FFB" w:rsidRDefault="004A147C" w:rsidP="00CE5850">
            <w:pPr>
              <w:jc w:val="right"/>
              <w:rPr>
                <w:rStyle w:val="Normal1"/>
                <w:szCs w:val="22"/>
              </w:rPr>
            </w:pPr>
            <w:r w:rsidRPr="00B53FFB">
              <w:rPr>
                <w:rStyle w:val="Normal1"/>
                <w:szCs w:val="22"/>
              </w:rPr>
              <w:t xml:space="preserve">$0.43 </w:t>
            </w:r>
          </w:p>
        </w:tc>
        <w:tc>
          <w:tcPr>
            <w:tcW w:w="0" w:type="auto"/>
          </w:tcPr>
          <w:p w:rsidR="004A147C" w:rsidRPr="00B53FFB" w:rsidRDefault="004A147C" w:rsidP="00CE5850">
            <w:pPr>
              <w:jc w:val="right"/>
              <w:rPr>
                <w:rStyle w:val="Normal1"/>
                <w:szCs w:val="22"/>
              </w:rPr>
            </w:pPr>
            <w:r w:rsidRPr="00B53FFB">
              <w:rPr>
                <w:rStyle w:val="Normal1"/>
                <w:szCs w:val="22"/>
              </w:rPr>
              <w:t>-9%</w:t>
            </w:r>
          </w:p>
        </w:tc>
        <w:tc>
          <w:tcPr>
            <w:tcW w:w="0" w:type="auto"/>
          </w:tcPr>
          <w:p w:rsidR="004A147C" w:rsidRPr="00B53FFB" w:rsidRDefault="004A147C" w:rsidP="00CE5850">
            <w:pPr>
              <w:jc w:val="right"/>
              <w:rPr>
                <w:rStyle w:val="Normal1"/>
                <w:szCs w:val="22"/>
              </w:rPr>
            </w:pPr>
            <w:r w:rsidRPr="00B53FFB">
              <w:rPr>
                <w:rStyle w:val="Normal1"/>
                <w:szCs w:val="22"/>
              </w:rPr>
              <w:t>n/a</w:t>
            </w:r>
          </w:p>
        </w:tc>
        <w:tc>
          <w:tcPr>
            <w:tcW w:w="0" w:type="auto"/>
          </w:tcPr>
          <w:p w:rsidR="004A147C" w:rsidRPr="00B53FFB" w:rsidRDefault="004A147C" w:rsidP="00CE5850">
            <w:pPr>
              <w:jc w:val="right"/>
              <w:rPr>
                <w:rStyle w:val="Normal1"/>
                <w:szCs w:val="22"/>
              </w:rPr>
            </w:pPr>
            <w:r w:rsidRPr="00B53FFB">
              <w:rPr>
                <w:rStyle w:val="Normal1"/>
                <w:szCs w:val="22"/>
              </w:rPr>
              <w:t xml:space="preserve">$51.00 </w:t>
            </w:r>
          </w:p>
        </w:tc>
        <w:tc>
          <w:tcPr>
            <w:tcW w:w="0" w:type="auto"/>
            <w:shd w:val="pct15" w:color="auto" w:fill="auto"/>
          </w:tcPr>
          <w:p w:rsidR="004A147C" w:rsidRPr="00B53FFB" w:rsidRDefault="004A147C" w:rsidP="00CE5850">
            <w:pPr>
              <w:jc w:val="right"/>
              <w:rPr>
                <w:rStyle w:val="Normal1"/>
                <w:szCs w:val="22"/>
              </w:rPr>
            </w:pPr>
            <w:r w:rsidRPr="00B53FFB">
              <w:rPr>
                <w:rStyle w:val="Normal1"/>
                <w:szCs w:val="22"/>
              </w:rPr>
              <w:t xml:space="preserve">$0.429 </w:t>
            </w:r>
          </w:p>
        </w:tc>
        <w:tc>
          <w:tcPr>
            <w:tcW w:w="0" w:type="auto"/>
            <w:shd w:val="pct15" w:color="auto" w:fill="auto"/>
          </w:tcPr>
          <w:p w:rsidR="004A147C" w:rsidRPr="00B53FFB" w:rsidRDefault="004A147C" w:rsidP="00CE5850">
            <w:pPr>
              <w:jc w:val="right"/>
              <w:rPr>
                <w:rStyle w:val="Normal1"/>
                <w:szCs w:val="22"/>
              </w:rPr>
            </w:pPr>
            <w:r w:rsidRPr="00B53FFB">
              <w:rPr>
                <w:rStyle w:val="Normal1"/>
                <w:szCs w:val="22"/>
              </w:rPr>
              <w:t>-9%</w:t>
            </w:r>
          </w:p>
        </w:tc>
      </w:tr>
      <w:tr w:rsidR="004A147C" w:rsidRPr="00B53FFB" w:rsidTr="00D626F5">
        <w:trPr>
          <w:trHeight w:val="252"/>
          <w:jc w:val="center"/>
        </w:trPr>
        <w:tc>
          <w:tcPr>
            <w:tcW w:w="0" w:type="auto"/>
          </w:tcPr>
          <w:p w:rsidR="004A147C" w:rsidRPr="00B53FFB" w:rsidRDefault="004A147C" w:rsidP="00CE5850">
            <w:pPr>
              <w:rPr>
                <w:rStyle w:val="Normal1"/>
                <w:szCs w:val="22"/>
              </w:rPr>
            </w:pPr>
            <w:r w:rsidRPr="00B53FFB">
              <w:rPr>
                <w:rStyle w:val="Normal1"/>
                <w:szCs w:val="22"/>
              </w:rPr>
              <w:t>1996</w:t>
            </w:r>
          </w:p>
        </w:tc>
        <w:tc>
          <w:tcPr>
            <w:tcW w:w="0" w:type="auto"/>
          </w:tcPr>
          <w:p w:rsidR="004A147C" w:rsidRPr="00B53FFB" w:rsidRDefault="004A147C" w:rsidP="00CE5850">
            <w:pPr>
              <w:jc w:val="right"/>
              <w:rPr>
                <w:rStyle w:val="Normal1"/>
                <w:szCs w:val="22"/>
              </w:rPr>
            </w:pPr>
            <w:r w:rsidRPr="00B53FFB">
              <w:rPr>
                <w:rStyle w:val="Normal1"/>
                <w:szCs w:val="22"/>
              </w:rPr>
              <w:t xml:space="preserve">$47.70 </w:t>
            </w:r>
          </w:p>
        </w:tc>
        <w:tc>
          <w:tcPr>
            <w:tcW w:w="0" w:type="auto"/>
          </w:tcPr>
          <w:p w:rsidR="004A147C" w:rsidRPr="00B53FFB" w:rsidRDefault="004A147C" w:rsidP="00CE5850">
            <w:pPr>
              <w:jc w:val="right"/>
              <w:rPr>
                <w:rStyle w:val="Normal1"/>
                <w:szCs w:val="22"/>
              </w:rPr>
            </w:pPr>
            <w:r w:rsidRPr="00B53FFB">
              <w:rPr>
                <w:rStyle w:val="Normal1"/>
                <w:szCs w:val="22"/>
              </w:rPr>
              <w:t>125</w:t>
            </w:r>
          </w:p>
        </w:tc>
        <w:tc>
          <w:tcPr>
            <w:tcW w:w="0" w:type="auto"/>
          </w:tcPr>
          <w:p w:rsidR="004A147C" w:rsidRPr="00B53FFB" w:rsidRDefault="004A147C" w:rsidP="00CE5850">
            <w:pPr>
              <w:jc w:val="right"/>
              <w:rPr>
                <w:rStyle w:val="Normal1"/>
                <w:szCs w:val="22"/>
              </w:rPr>
            </w:pPr>
            <w:r w:rsidRPr="00B53FFB">
              <w:rPr>
                <w:rStyle w:val="Normal1"/>
                <w:szCs w:val="22"/>
              </w:rPr>
              <w:t xml:space="preserve">$0.38 </w:t>
            </w:r>
          </w:p>
        </w:tc>
        <w:tc>
          <w:tcPr>
            <w:tcW w:w="0" w:type="auto"/>
          </w:tcPr>
          <w:p w:rsidR="004A147C" w:rsidRPr="00B53FFB" w:rsidRDefault="004A147C" w:rsidP="00CE5850">
            <w:pPr>
              <w:jc w:val="right"/>
              <w:rPr>
                <w:rStyle w:val="Normal1"/>
                <w:szCs w:val="22"/>
              </w:rPr>
            </w:pPr>
            <w:r w:rsidRPr="00B53FFB">
              <w:rPr>
                <w:rStyle w:val="Normal1"/>
                <w:szCs w:val="22"/>
              </w:rPr>
              <w:t>-11%</w:t>
            </w:r>
          </w:p>
        </w:tc>
        <w:tc>
          <w:tcPr>
            <w:tcW w:w="0" w:type="auto"/>
          </w:tcPr>
          <w:p w:rsidR="004A147C" w:rsidRPr="00B53FFB" w:rsidRDefault="004A147C" w:rsidP="00CE5850">
            <w:pPr>
              <w:jc w:val="right"/>
              <w:rPr>
                <w:rStyle w:val="Normal1"/>
                <w:szCs w:val="22"/>
              </w:rPr>
            </w:pPr>
            <w:r w:rsidRPr="00B53FFB">
              <w:rPr>
                <w:rStyle w:val="Normal1"/>
                <w:szCs w:val="22"/>
              </w:rPr>
              <w:t>n/a</w:t>
            </w:r>
          </w:p>
        </w:tc>
        <w:tc>
          <w:tcPr>
            <w:tcW w:w="0" w:type="auto"/>
          </w:tcPr>
          <w:p w:rsidR="004A147C" w:rsidRPr="00B53FFB" w:rsidRDefault="004A147C" w:rsidP="00CE5850">
            <w:pPr>
              <w:jc w:val="right"/>
              <w:rPr>
                <w:rStyle w:val="Normal1"/>
                <w:szCs w:val="22"/>
              </w:rPr>
            </w:pPr>
            <w:r w:rsidRPr="00B53FFB">
              <w:rPr>
                <w:rStyle w:val="Normal1"/>
                <w:szCs w:val="22"/>
              </w:rPr>
              <w:t xml:space="preserve">$47.70 </w:t>
            </w:r>
          </w:p>
        </w:tc>
        <w:tc>
          <w:tcPr>
            <w:tcW w:w="0" w:type="auto"/>
            <w:shd w:val="pct15" w:color="auto" w:fill="auto"/>
          </w:tcPr>
          <w:p w:rsidR="004A147C" w:rsidRPr="00B53FFB" w:rsidRDefault="004A147C" w:rsidP="00CE5850">
            <w:pPr>
              <w:jc w:val="right"/>
              <w:rPr>
                <w:rStyle w:val="Normal1"/>
                <w:szCs w:val="22"/>
              </w:rPr>
            </w:pPr>
            <w:r w:rsidRPr="00B53FFB">
              <w:rPr>
                <w:rStyle w:val="Normal1"/>
                <w:szCs w:val="22"/>
              </w:rPr>
              <w:t xml:space="preserve">$0.382 </w:t>
            </w:r>
          </w:p>
        </w:tc>
        <w:tc>
          <w:tcPr>
            <w:tcW w:w="0" w:type="auto"/>
            <w:shd w:val="pct15" w:color="auto" w:fill="auto"/>
          </w:tcPr>
          <w:p w:rsidR="004A147C" w:rsidRPr="00B53FFB" w:rsidRDefault="004A147C" w:rsidP="00CE5850">
            <w:pPr>
              <w:jc w:val="right"/>
              <w:rPr>
                <w:rStyle w:val="Normal1"/>
                <w:szCs w:val="22"/>
              </w:rPr>
            </w:pPr>
            <w:r w:rsidRPr="00B53FFB">
              <w:rPr>
                <w:rStyle w:val="Normal1"/>
                <w:szCs w:val="22"/>
              </w:rPr>
              <w:t>-11%</w:t>
            </w:r>
          </w:p>
        </w:tc>
      </w:tr>
      <w:tr w:rsidR="004A147C" w:rsidRPr="00B53FFB" w:rsidTr="00D626F5">
        <w:trPr>
          <w:trHeight w:val="252"/>
          <w:jc w:val="center"/>
        </w:trPr>
        <w:tc>
          <w:tcPr>
            <w:tcW w:w="0" w:type="auto"/>
          </w:tcPr>
          <w:p w:rsidR="004A147C" w:rsidRPr="00B53FFB" w:rsidRDefault="004A147C" w:rsidP="00CE5850">
            <w:pPr>
              <w:rPr>
                <w:rStyle w:val="Normal1"/>
                <w:szCs w:val="22"/>
              </w:rPr>
            </w:pPr>
            <w:r w:rsidRPr="00B53FFB">
              <w:rPr>
                <w:rStyle w:val="Normal1"/>
                <w:szCs w:val="22"/>
              </w:rPr>
              <w:t>1997</w:t>
            </w:r>
          </w:p>
        </w:tc>
        <w:tc>
          <w:tcPr>
            <w:tcW w:w="0" w:type="auto"/>
          </w:tcPr>
          <w:p w:rsidR="004A147C" w:rsidRPr="00B53FFB" w:rsidRDefault="004A147C" w:rsidP="00CE5850">
            <w:pPr>
              <w:jc w:val="right"/>
              <w:rPr>
                <w:rStyle w:val="Normal1"/>
                <w:szCs w:val="22"/>
              </w:rPr>
            </w:pPr>
            <w:r w:rsidRPr="00B53FFB">
              <w:rPr>
                <w:rStyle w:val="Normal1"/>
                <w:szCs w:val="22"/>
              </w:rPr>
              <w:t xml:space="preserve">$42.78 </w:t>
            </w:r>
          </w:p>
        </w:tc>
        <w:tc>
          <w:tcPr>
            <w:tcW w:w="0" w:type="auto"/>
          </w:tcPr>
          <w:p w:rsidR="004A147C" w:rsidRPr="00B53FFB" w:rsidRDefault="004A147C" w:rsidP="00CE5850">
            <w:pPr>
              <w:jc w:val="right"/>
              <w:rPr>
                <w:rStyle w:val="Normal1"/>
                <w:szCs w:val="22"/>
              </w:rPr>
            </w:pPr>
            <w:r w:rsidRPr="00B53FFB">
              <w:rPr>
                <w:rStyle w:val="Normal1"/>
                <w:szCs w:val="22"/>
              </w:rPr>
              <w:t>117</w:t>
            </w:r>
          </w:p>
        </w:tc>
        <w:tc>
          <w:tcPr>
            <w:tcW w:w="0" w:type="auto"/>
          </w:tcPr>
          <w:p w:rsidR="004A147C" w:rsidRPr="00B53FFB" w:rsidRDefault="004A147C" w:rsidP="00CE5850">
            <w:pPr>
              <w:jc w:val="right"/>
              <w:rPr>
                <w:rStyle w:val="Normal1"/>
                <w:szCs w:val="22"/>
              </w:rPr>
            </w:pPr>
            <w:r w:rsidRPr="00B53FFB">
              <w:rPr>
                <w:rStyle w:val="Normal1"/>
                <w:szCs w:val="22"/>
              </w:rPr>
              <w:t xml:space="preserve">$0.37 </w:t>
            </w:r>
          </w:p>
        </w:tc>
        <w:tc>
          <w:tcPr>
            <w:tcW w:w="0" w:type="auto"/>
          </w:tcPr>
          <w:p w:rsidR="004A147C" w:rsidRPr="00B53FFB" w:rsidRDefault="004A147C" w:rsidP="00CE5850">
            <w:pPr>
              <w:jc w:val="right"/>
              <w:rPr>
                <w:rStyle w:val="Normal1"/>
                <w:szCs w:val="22"/>
              </w:rPr>
            </w:pPr>
            <w:r w:rsidRPr="00B53FFB">
              <w:rPr>
                <w:rStyle w:val="Normal1"/>
                <w:szCs w:val="22"/>
              </w:rPr>
              <w:t>-4%</w:t>
            </w:r>
          </w:p>
        </w:tc>
        <w:tc>
          <w:tcPr>
            <w:tcW w:w="0" w:type="auto"/>
          </w:tcPr>
          <w:p w:rsidR="004A147C" w:rsidRPr="00B53FFB" w:rsidRDefault="004A147C" w:rsidP="00CE5850">
            <w:pPr>
              <w:jc w:val="right"/>
              <w:rPr>
                <w:rStyle w:val="Normal1"/>
                <w:szCs w:val="22"/>
              </w:rPr>
            </w:pPr>
            <w:r w:rsidRPr="00B53FFB">
              <w:rPr>
                <w:rStyle w:val="Normal1"/>
                <w:szCs w:val="22"/>
              </w:rPr>
              <w:t>n/a</w:t>
            </w:r>
          </w:p>
        </w:tc>
        <w:tc>
          <w:tcPr>
            <w:tcW w:w="0" w:type="auto"/>
          </w:tcPr>
          <w:p w:rsidR="004A147C" w:rsidRPr="00B53FFB" w:rsidRDefault="004A147C" w:rsidP="00CE5850">
            <w:pPr>
              <w:jc w:val="right"/>
              <w:rPr>
                <w:rStyle w:val="Normal1"/>
                <w:szCs w:val="22"/>
              </w:rPr>
            </w:pPr>
            <w:r w:rsidRPr="00B53FFB">
              <w:rPr>
                <w:rStyle w:val="Normal1"/>
                <w:szCs w:val="22"/>
              </w:rPr>
              <w:t xml:space="preserve">$42.78 </w:t>
            </w:r>
          </w:p>
        </w:tc>
        <w:tc>
          <w:tcPr>
            <w:tcW w:w="0" w:type="auto"/>
            <w:shd w:val="pct15" w:color="auto" w:fill="auto"/>
          </w:tcPr>
          <w:p w:rsidR="004A147C" w:rsidRPr="00B53FFB" w:rsidRDefault="004A147C" w:rsidP="00CE5850">
            <w:pPr>
              <w:jc w:val="right"/>
              <w:rPr>
                <w:rStyle w:val="Normal1"/>
                <w:szCs w:val="22"/>
              </w:rPr>
            </w:pPr>
            <w:r w:rsidRPr="00B53FFB">
              <w:rPr>
                <w:rStyle w:val="Normal1"/>
                <w:szCs w:val="22"/>
              </w:rPr>
              <w:t xml:space="preserve">$0.366 </w:t>
            </w:r>
          </w:p>
        </w:tc>
        <w:tc>
          <w:tcPr>
            <w:tcW w:w="0" w:type="auto"/>
            <w:shd w:val="pct15" w:color="auto" w:fill="auto"/>
          </w:tcPr>
          <w:p w:rsidR="004A147C" w:rsidRPr="00B53FFB" w:rsidRDefault="004A147C" w:rsidP="00CE5850">
            <w:pPr>
              <w:jc w:val="right"/>
              <w:rPr>
                <w:rStyle w:val="Normal1"/>
                <w:szCs w:val="22"/>
              </w:rPr>
            </w:pPr>
            <w:r w:rsidRPr="00B53FFB">
              <w:rPr>
                <w:rStyle w:val="Normal1"/>
                <w:szCs w:val="22"/>
              </w:rPr>
              <w:t>-4%</w:t>
            </w:r>
          </w:p>
        </w:tc>
      </w:tr>
      <w:tr w:rsidR="004A147C" w:rsidRPr="00B53FFB" w:rsidTr="00D626F5">
        <w:trPr>
          <w:trHeight w:val="252"/>
          <w:jc w:val="center"/>
        </w:trPr>
        <w:tc>
          <w:tcPr>
            <w:tcW w:w="0" w:type="auto"/>
          </w:tcPr>
          <w:p w:rsidR="004A147C" w:rsidRPr="00B53FFB" w:rsidRDefault="004A147C" w:rsidP="00CE5850">
            <w:pPr>
              <w:rPr>
                <w:rStyle w:val="Normal1"/>
                <w:szCs w:val="22"/>
              </w:rPr>
            </w:pPr>
            <w:r w:rsidRPr="00B53FFB">
              <w:rPr>
                <w:rStyle w:val="Normal1"/>
                <w:szCs w:val="22"/>
              </w:rPr>
              <w:t>1998</w:t>
            </w:r>
          </w:p>
        </w:tc>
        <w:tc>
          <w:tcPr>
            <w:tcW w:w="0" w:type="auto"/>
          </w:tcPr>
          <w:p w:rsidR="004A147C" w:rsidRPr="00B53FFB" w:rsidRDefault="004A147C" w:rsidP="00CE5850">
            <w:pPr>
              <w:jc w:val="right"/>
              <w:rPr>
                <w:rStyle w:val="Normal1"/>
                <w:szCs w:val="22"/>
              </w:rPr>
            </w:pPr>
            <w:r w:rsidRPr="00B53FFB">
              <w:rPr>
                <w:rStyle w:val="Normal1"/>
                <w:szCs w:val="22"/>
              </w:rPr>
              <w:t xml:space="preserve">$39.43 </w:t>
            </w:r>
          </w:p>
        </w:tc>
        <w:tc>
          <w:tcPr>
            <w:tcW w:w="0" w:type="auto"/>
          </w:tcPr>
          <w:p w:rsidR="004A147C" w:rsidRPr="00B53FFB" w:rsidRDefault="004A147C" w:rsidP="00CE5850">
            <w:pPr>
              <w:jc w:val="right"/>
              <w:rPr>
                <w:rStyle w:val="Normal1"/>
                <w:szCs w:val="22"/>
              </w:rPr>
            </w:pPr>
            <w:r w:rsidRPr="00B53FFB">
              <w:rPr>
                <w:rStyle w:val="Normal1"/>
                <w:szCs w:val="22"/>
              </w:rPr>
              <w:t>136</w:t>
            </w:r>
          </w:p>
        </w:tc>
        <w:tc>
          <w:tcPr>
            <w:tcW w:w="0" w:type="auto"/>
          </w:tcPr>
          <w:p w:rsidR="004A147C" w:rsidRPr="00B53FFB" w:rsidRDefault="004A147C" w:rsidP="00CE5850">
            <w:pPr>
              <w:jc w:val="right"/>
              <w:rPr>
                <w:rStyle w:val="Normal1"/>
                <w:szCs w:val="22"/>
              </w:rPr>
            </w:pPr>
            <w:r w:rsidRPr="00B53FFB">
              <w:rPr>
                <w:rStyle w:val="Normal1"/>
                <w:szCs w:val="22"/>
              </w:rPr>
              <w:t xml:space="preserve">$0.29 </w:t>
            </w:r>
          </w:p>
        </w:tc>
        <w:tc>
          <w:tcPr>
            <w:tcW w:w="0" w:type="auto"/>
          </w:tcPr>
          <w:p w:rsidR="004A147C" w:rsidRPr="00B53FFB" w:rsidRDefault="004A147C" w:rsidP="00CE5850">
            <w:pPr>
              <w:jc w:val="right"/>
              <w:rPr>
                <w:rStyle w:val="Normal1"/>
                <w:szCs w:val="22"/>
              </w:rPr>
            </w:pPr>
            <w:r w:rsidRPr="00B53FFB">
              <w:rPr>
                <w:rStyle w:val="Normal1"/>
                <w:szCs w:val="22"/>
              </w:rPr>
              <w:t>-21%</w:t>
            </w:r>
          </w:p>
        </w:tc>
        <w:tc>
          <w:tcPr>
            <w:tcW w:w="0" w:type="auto"/>
          </w:tcPr>
          <w:p w:rsidR="004A147C" w:rsidRPr="00B53FFB" w:rsidRDefault="004A147C" w:rsidP="00CE5850">
            <w:pPr>
              <w:jc w:val="right"/>
              <w:rPr>
                <w:rStyle w:val="Normal1"/>
                <w:szCs w:val="22"/>
              </w:rPr>
            </w:pPr>
            <w:r w:rsidRPr="00B53FFB">
              <w:rPr>
                <w:rStyle w:val="Normal1"/>
                <w:szCs w:val="22"/>
              </w:rPr>
              <w:t>n/a</w:t>
            </w:r>
          </w:p>
        </w:tc>
        <w:tc>
          <w:tcPr>
            <w:tcW w:w="0" w:type="auto"/>
          </w:tcPr>
          <w:p w:rsidR="004A147C" w:rsidRPr="00B53FFB" w:rsidRDefault="004A147C" w:rsidP="00CE5850">
            <w:pPr>
              <w:jc w:val="right"/>
              <w:rPr>
                <w:rStyle w:val="Normal1"/>
                <w:szCs w:val="22"/>
              </w:rPr>
            </w:pPr>
            <w:r w:rsidRPr="00B53FFB">
              <w:rPr>
                <w:rStyle w:val="Normal1"/>
                <w:szCs w:val="22"/>
              </w:rPr>
              <w:t xml:space="preserve">$39.43 </w:t>
            </w:r>
          </w:p>
        </w:tc>
        <w:tc>
          <w:tcPr>
            <w:tcW w:w="0" w:type="auto"/>
            <w:shd w:val="pct15" w:color="auto" w:fill="auto"/>
          </w:tcPr>
          <w:p w:rsidR="004A147C" w:rsidRPr="00B53FFB" w:rsidRDefault="004A147C" w:rsidP="00CE5850">
            <w:pPr>
              <w:jc w:val="right"/>
              <w:rPr>
                <w:rStyle w:val="Normal1"/>
                <w:szCs w:val="22"/>
              </w:rPr>
            </w:pPr>
            <w:r w:rsidRPr="00B53FFB">
              <w:rPr>
                <w:rStyle w:val="Normal1"/>
                <w:szCs w:val="22"/>
              </w:rPr>
              <w:t xml:space="preserve">$0.290 </w:t>
            </w:r>
          </w:p>
        </w:tc>
        <w:tc>
          <w:tcPr>
            <w:tcW w:w="0" w:type="auto"/>
            <w:shd w:val="pct15" w:color="auto" w:fill="auto"/>
          </w:tcPr>
          <w:p w:rsidR="004A147C" w:rsidRPr="00B53FFB" w:rsidRDefault="004A147C" w:rsidP="00CE5850">
            <w:pPr>
              <w:jc w:val="right"/>
              <w:rPr>
                <w:rStyle w:val="Normal1"/>
                <w:szCs w:val="22"/>
              </w:rPr>
            </w:pPr>
            <w:r w:rsidRPr="00B53FFB">
              <w:rPr>
                <w:rStyle w:val="Normal1"/>
                <w:szCs w:val="22"/>
              </w:rPr>
              <w:t>-21%</w:t>
            </w:r>
          </w:p>
        </w:tc>
      </w:tr>
      <w:tr w:rsidR="004A147C" w:rsidRPr="00B53FFB" w:rsidTr="00D626F5">
        <w:trPr>
          <w:trHeight w:val="252"/>
          <w:jc w:val="center"/>
        </w:trPr>
        <w:tc>
          <w:tcPr>
            <w:tcW w:w="0" w:type="auto"/>
          </w:tcPr>
          <w:p w:rsidR="004A147C" w:rsidRPr="00B53FFB" w:rsidRDefault="004A147C" w:rsidP="00CE5850">
            <w:pPr>
              <w:rPr>
                <w:rStyle w:val="Normal1"/>
                <w:szCs w:val="22"/>
              </w:rPr>
            </w:pPr>
            <w:r w:rsidRPr="00B53FFB">
              <w:rPr>
                <w:rStyle w:val="Normal1"/>
                <w:szCs w:val="22"/>
              </w:rPr>
              <w:t>1999</w:t>
            </w:r>
          </w:p>
        </w:tc>
        <w:tc>
          <w:tcPr>
            <w:tcW w:w="0" w:type="auto"/>
          </w:tcPr>
          <w:p w:rsidR="004A147C" w:rsidRPr="00B53FFB" w:rsidRDefault="004A147C" w:rsidP="00CE5850">
            <w:pPr>
              <w:jc w:val="right"/>
              <w:rPr>
                <w:rStyle w:val="Normal1"/>
                <w:szCs w:val="22"/>
              </w:rPr>
            </w:pPr>
            <w:r w:rsidRPr="00B53FFB">
              <w:rPr>
                <w:rStyle w:val="Normal1"/>
                <w:szCs w:val="22"/>
              </w:rPr>
              <w:t xml:space="preserve">$41.24 </w:t>
            </w:r>
          </w:p>
        </w:tc>
        <w:tc>
          <w:tcPr>
            <w:tcW w:w="0" w:type="auto"/>
          </w:tcPr>
          <w:p w:rsidR="004A147C" w:rsidRPr="00B53FFB" w:rsidRDefault="004A147C" w:rsidP="00CE5850">
            <w:pPr>
              <w:jc w:val="right"/>
              <w:rPr>
                <w:rStyle w:val="Normal1"/>
                <w:szCs w:val="22"/>
              </w:rPr>
            </w:pPr>
            <w:r w:rsidRPr="00B53FFB">
              <w:rPr>
                <w:rStyle w:val="Normal1"/>
                <w:szCs w:val="22"/>
              </w:rPr>
              <w:t>185</w:t>
            </w:r>
          </w:p>
        </w:tc>
        <w:tc>
          <w:tcPr>
            <w:tcW w:w="0" w:type="auto"/>
          </w:tcPr>
          <w:p w:rsidR="004A147C" w:rsidRPr="00B53FFB" w:rsidRDefault="004A147C" w:rsidP="00CE5850">
            <w:pPr>
              <w:jc w:val="right"/>
              <w:rPr>
                <w:rStyle w:val="Normal1"/>
                <w:szCs w:val="22"/>
              </w:rPr>
            </w:pPr>
            <w:r w:rsidRPr="00B53FFB">
              <w:rPr>
                <w:rStyle w:val="Normal1"/>
                <w:szCs w:val="22"/>
              </w:rPr>
              <w:t xml:space="preserve">$0.22 </w:t>
            </w:r>
          </w:p>
        </w:tc>
        <w:tc>
          <w:tcPr>
            <w:tcW w:w="0" w:type="auto"/>
          </w:tcPr>
          <w:p w:rsidR="004A147C" w:rsidRPr="00B53FFB" w:rsidRDefault="004A147C" w:rsidP="00CE5850">
            <w:pPr>
              <w:jc w:val="right"/>
              <w:rPr>
                <w:rStyle w:val="Normal1"/>
                <w:szCs w:val="22"/>
              </w:rPr>
            </w:pPr>
            <w:r w:rsidRPr="00B53FFB">
              <w:rPr>
                <w:rStyle w:val="Normal1"/>
                <w:szCs w:val="22"/>
              </w:rPr>
              <w:t>-23%</w:t>
            </w:r>
          </w:p>
        </w:tc>
        <w:tc>
          <w:tcPr>
            <w:tcW w:w="0" w:type="auto"/>
          </w:tcPr>
          <w:p w:rsidR="004A147C" w:rsidRPr="00B53FFB" w:rsidRDefault="004A147C" w:rsidP="00CE5850">
            <w:pPr>
              <w:jc w:val="right"/>
              <w:rPr>
                <w:szCs w:val="22"/>
              </w:rPr>
            </w:pPr>
            <w:r w:rsidRPr="00B53FFB">
              <w:rPr>
                <w:szCs w:val="22"/>
              </w:rPr>
              <w:t>0.2%</w:t>
            </w:r>
          </w:p>
        </w:tc>
        <w:tc>
          <w:tcPr>
            <w:tcW w:w="0" w:type="auto"/>
          </w:tcPr>
          <w:p w:rsidR="004A147C" w:rsidRPr="00B53FFB" w:rsidRDefault="004A147C" w:rsidP="00CE5850">
            <w:pPr>
              <w:jc w:val="right"/>
              <w:rPr>
                <w:szCs w:val="22"/>
              </w:rPr>
            </w:pPr>
            <w:r w:rsidRPr="00B53FFB">
              <w:rPr>
                <w:szCs w:val="22"/>
              </w:rPr>
              <w:t xml:space="preserve">$41.16 </w:t>
            </w:r>
          </w:p>
        </w:tc>
        <w:tc>
          <w:tcPr>
            <w:tcW w:w="0" w:type="auto"/>
            <w:shd w:val="pct15" w:color="auto" w:fill="auto"/>
          </w:tcPr>
          <w:p w:rsidR="004A147C" w:rsidRPr="00B53FFB" w:rsidRDefault="004A147C" w:rsidP="00CE5850">
            <w:pPr>
              <w:jc w:val="right"/>
              <w:rPr>
                <w:szCs w:val="22"/>
              </w:rPr>
            </w:pPr>
            <w:r w:rsidRPr="00B53FFB">
              <w:rPr>
                <w:szCs w:val="22"/>
              </w:rPr>
              <w:t xml:space="preserve">$0.222 </w:t>
            </w:r>
          </w:p>
        </w:tc>
        <w:tc>
          <w:tcPr>
            <w:tcW w:w="0" w:type="auto"/>
            <w:shd w:val="pct15" w:color="auto" w:fill="auto"/>
          </w:tcPr>
          <w:p w:rsidR="004A147C" w:rsidRPr="00B53FFB" w:rsidRDefault="004A147C" w:rsidP="00CE5850">
            <w:pPr>
              <w:jc w:val="right"/>
              <w:rPr>
                <w:rStyle w:val="Normal1"/>
                <w:szCs w:val="22"/>
              </w:rPr>
            </w:pPr>
            <w:r w:rsidRPr="00B53FFB">
              <w:rPr>
                <w:rStyle w:val="Normal1"/>
                <w:szCs w:val="22"/>
              </w:rPr>
              <w:t>-23%</w:t>
            </w:r>
          </w:p>
        </w:tc>
      </w:tr>
      <w:tr w:rsidR="004A147C" w:rsidRPr="00B53FFB" w:rsidTr="00D626F5">
        <w:trPr>
          <w:trHeight w:val="252"/>
          <w:jc w:val="center"/>
        </w:trPr>
        <w:tc>
          <w:tcPr>
            <w:tcW w:w="0" w:type="auto"/>
          </w:tcPr>
          <w:p w:rsidR="004A147C" w:rsidRPr="00B53FFB" w:rsidRDefault="004A147C" w:rsidP="00CE5850">
            <w:pPr>
              <w:rPr>
                <w:rStyle w:val="Normal1"/>
                <w:szCs w:val="22"/>
              </w:rPr>
            </w:pPr>
            <w:r w:rsidRPr="00B53FFB">
              <w:rPr>
                <w:rStyle w:val="Normal1"/>
                <w:szCs w:val="22"/>
              </w:rPr>
              <w:t>2000</w:t>
            </w:r>
          </w:p>
        </w:tc>
        <w:tc>
          <w:tcPr>
            <w:tcW w:w="0" w:type="auto"/>
          </w:tcPr>
          <w:p w:rsidR="004A147C" w:rsidRPr="00B53FFB" w:rsidRDefault="004A147C" w:rsidP="00CE5850">
            <w:pPr>
              <w:jc w:val="right"/>
              <w:rPr>
                <w:rStyle w:val="Normal1"/>
                <w:szCs w:val="22"/>
              </w:rPr>
            </w:pPr>
            <w:r w:rsidRPr="00B53FFB">
              <w:rPr>
                <w:rStyle w:val="Normal1"/>
                <w:szCs w:val="22"/>
              </w:rPr>
              <w:t xml:space="preserve">$45.27 </w:t>
            </w:r>
          </w:p>
        </w:tc>
        <w:tc>
          <w:tcPr>
            <w:tcW w:w="0" w:type="auto"/>
          </w:tcPr>
          <w:p w:rsidR="004A147C" w:rsidRPr="00B53FFB" w:rsidRDefault="004A147C" w:rsidP="00CE5850">
            <w:pPr>
              <w:jc w:val="right"/>
              <w:rPr>
                <w:rStyle w:val="Normal1"/>
                <w:szCs w:val="22"/>
              </w:rPr>
            </w:pPr>
            <w:r w:rsidRPr="00B53FFB">
              <w:rPr>
                <w:rStyle w:val="Normal1"/>
                <w:szCs w:val="22"/>
              </w:rPr>
              <w:t>255</w:t>
            </w:r>
          </w:p>
        </w:tc>
        <w:tc>
          <w:tcPr>
            <w:tcW w:w="0" w:type="auto"/>
          </w:tcPr>
          <w:p w:rsidR="004A147C" w:rsidRPr="00B53FFB" w:rsidRDefault="004A147C" w:rsidP="00CE5850">
            <w:pPr>
              <w:jc w:val="right"/>
              <w:rPr>
                <w:rStyle w:val="Normal1"/>
                <w:szCs w:val="22"/>
              </w:rPr>
            </w:pPr>
            <w:r w:rsidRPr="00B53FFB">
              <w:rPr>
                <w:rStyle w:val="Normal1"/>
                <w:szCs w:val="22"/>
              </w:rPr>
              <w:t xml:space="preserve">$0.18 </w:t>
            </w:r>
          </w:p>
        </w:tc>
        <w:tc>
          <w:tcPr>
            <w:tcW w:w="0" w:type="auto"/>
          </w:tcPr>
          <w:p w:rsidR="004A147C" w:rsidRPr="00B53FFB" w:rsidRDefault="004A147C" w:rsidP="00CE5850">
            <w:pPr>
              <w:jc w:val="right"/>
              <w:rPr>
                <w:rStyle w:val="Normal1"/>
                <w:szCs w:val="22"/>
              </w:rPr>
            </w:pPr>
            <w:r w:rsidRPr="00B53FFB">
              <w:rPr>
                <w:rStyle w:val="Normal1"/>
                <w:szCs w:val="22"/>
              </w:rPr>
              <w:t>-20%</w:t>
            </w:r>
          </w:p>
        </w:tc>
        <w:tc>
          <w:tcPr>
            <w:tcW w:w="0" w:type="auto"/>
          </w:tcPr>
          <w:p w:rsidR="004A147C" w:rsidRPr="00B53FFB" w:rsidRDefault="004A147C" w:rsidP="00CE5850">
            <w:pPr>
              <w:jc w:val="right"/>
              <w:rPr>
                <w:szCs w:val="22"/>
              </w:rPr>
            </w:pPr>
            <w:r w:rsidRPr="00B53FFB">
              <w:rPr>
                <w:szCs w:val="22"/>
              </w:rPr>
              <w:t>0.4%</w:t>
            </w:r>
          </w:p>
        </w:tc>
        <w:tc>
          <w:tcPr>
            <w:tcW w:w="0" w:type="auto"/>
          </w:tcPr>
          <w:p w:rsidR="004A147C" w:rsidRPr="00B53FFB" w:rsidRDefault="004A147C" w:rsidP="00CE5850">
            <w:pPr>
              <w:jc w:val="right"/>
              <w:rPr>
                <w:szCs w:val="22"/>
              </w:rPr>
            </w:pPr>
            <w:r w:rsidRPr="00B53FFB">
              <w:rPr>
                <w:szCs w:val="22"/>
              </w:rPr>
              <w:t xml:space="preserve">$45.09 </w:t>
            </w:r>
          </w:p>
        </w:tc>
        <w:tc>
          <w:tcPr>
            <w:tcW w:w="0" w:type="auto"/>
            <w:shd w:val="pct15" w:color="auto" w:fill="auto"/>
          </w:tcPr>
          <w:p w:rsidR="004A147C" w:rsidRPr="00B53FFB" w:rsidRDefault="004A147C" w:rsidP="00CE5850">
            <w:pPr>
              <w:jc w:val="right"/>
              <w:rPr>
                <w:szCs w:val="22"/>
              </w:rPr>
            </w:pPr>
            <w:r w:rsidRPr="00B53FFB">
              <w:rPr>
                <w:szCs w:val="22"/>
              </w:rPr>
              <w:t xml:space="preserve">$0.177 </w:t>
            </w:r>
          </w:p>
        </w:tc>
        <w:tc>
          <w:tcPr>
            <w:tcW w:w="0" w:type="auto"/>
            <w:shd w:val="pct15" w:color="auto" w:fill="auto"/>
          </w:tcPr>
          <w:p w:rsidR="004A147C" w:rsidRPr="00B53FFB" w:rsidRDefault="004A147C" w:rsidP="00CE5850">
            <w:pPr>
              <w:jc w:val="right"/>
              <w:rPr>
                <w:szCs w:val="22"/>
              </w:rPr>
            </w:pPr>
            <w:r w:rsidRPr="00B53FFB">
              <w:rPr>
                <w:szCs w:val="22"/>
              </w:rPr>
              <w:t>-21%</w:t>
            </w:r>
          </w:p>
        </w:tc>
      </w:tr>
      <w:tr w:rsidR="004A147C" w:rsidRPr="00B53FFB" w:rsidTr="00D626F5">
        <w:trPr>
          <w:trHeight w:val="252"/>
          <w:jc w:val="center"/>
        </w:trPr>
        <w:tc>
          <w:tcPr>
            <w:tcW w:w="0" w:type="auto"/>
          </w:tcPr>
          <w:p w:rsidR="004A147C" w:rsidRPr="00B53FFB" w:rsidRDefault="004A147C" w:rsidP="00CE5850">
            <w:pPr>
              <w:rPr>
                <w:rStyle w:val="Normal1"/>
                <w:szCs w:val="22"/>
              </w:rPr>
            </w:pPr>
            <w:r w:rsidRPr="00B53FFB">
              <w:rPr>
                <w:rStyle w:val="Normal1"/>
                <w:szCs w:val="22"/>
              </w:rPr>
              <w:t>2001</w:t>
            </w:r>
          </w:p>
        </w:tc>
        <w:tc>
          <w:tcPr>
            <w:tcW w:w="0" w:type="auto"/>
          </w:tcPr>
          <w:p w:rsidR="004A147C" w:rsidRPr="00B53FFB" w:rsidRDefault="004A147C" w:rsidP="00CE5850">
            <w:pPr>
              <w:jc w:val="right"/>
              <w:rPr>
                <w:rStyle w:val="Normal1"/>
                <w:szCs w:val="22"/>
              </w:rPr>
            </w:pPr>
            <w:r w:rsidRPr="00B53FFB">
              <w:rPr>
                <w:rStyle w:val="Normal1"/>
                <w:szCs w:val="22"/>
              </w:rPr>
              <w:t>$47.37</w:t>
            </w:r>
          </w:p>
        </w:tc>
        <w:tc>
          <w:tcPr>
            <w:tcW w:w="0" w:type="auto"/>
          </w:tcPr>
          <w:p w:rsidR="004A147C" w:rsidRPr="00B53FFB" w:rsidRDefault="004A147C" w:rsidP="00CE5850">
            <w:pPr>
              <w:jc w:val="right"/>
              <w:rPr>
                <w:rStyle w:val="Normal1"/>
                <w:szCs w:val="22"/>
              </w:rPr>
            </w:pPr>
            <w:r w:rsidRPr="00B53FFB">
              <w:rPr>
                <w:rStyle w:val="Normal1"/>
                <w:szCs w:val="22"/>
              </w:rPr>
              <w:t>380</w:t>
            </w:r>
          </w:p>
        </w:tc>
        <w:tc>
          <w:tcPr>
            <w:tcW w:w="0" w:type="auto"/>
          </w:tcPr>
          <w:p w:rsidR="004A147C" w:rsidRPr="00B53FFB" w:rsidRDefault="004A147C" w:rsidP="00CE5850">
            <w:pPr>
              <w:jc w:val="right"/>
              <w:rPr>
                <w:rStyle w:val="Normal1"/>
                <w:szCs w:val="22"/>
              </w:rPr>
            </w:pPr>
            <w:r w:rsidRPr="00B53FFB">
              <w:rPr>
                <w:rStyle w:val="Normal1"/>
                <w:szCs w:val="22"/>
              </w:rPr>
              <w:t xml:space="preserve">$0.12 </w:t>
            </w:r>
          </w:p>
        </w:tc>
        <w:tc>
          <w:tcPr>
            <w:tcW w:w="0" w:type="auto"/>
          </w:tcPr>
          <w:p w:rsidR="004A147C" w:rsidRPr="00B53FFB" w:rsidRDefault="004A147C" w:rsidP="00CE5850">
            <w:pPr>
              <w:jc w:val="right"/>
              <w:rPr>
                <w:rStyle w:val="Normal1"/>
                <w:szCs w:val="22"/>
              </w:rPr>
            </w:pPr>
            <w:r w:rsidRPr="00B53FFB">
              <w:rPr>
                <w:rStyle w:val="Normal1"/>
                <w:szCs w:val="22"/>
              </w:rPr>
              <w:t>-30%</w:t>
            </w:r>
          </w:p>
        </w:tc>
        <w:tc>
          <w:tcPr>
            <w:tcW w:w="0" w:type="auto"/>
          </w:tcPr>
          <w:p w:rsidR="004A147C" w:rsidRPr="00B53FFB" w:rsidRDefault="004A147C" w:rsidP="00CE5850">
            <w:pPr>
              <w:jc w:val="right"/>
              <w:rPr>
                <w:szCs w:val="22"/>
              </w:rPr>
            </w:pPr>
            <w:r w:rsidRPr="00B53FFB">
              <w:rPr>
                <w:szCs w:val="22"/>
              </w:rPr>
              <w:t xml:space="preserve">0.9%   </w:t>
            </w:r>
          </w:p>
        </w:tc>
        <w:tc>
          <w:tcPr>
            <w:tcW w:w="0" w:type="auto"/>
          </w:tcPr>
          <w:p w:rsidR="004A147C" w:rsidRPr="00B53FFB" w:rsidRDefault="004A147C" w:rsidP="00CE5850">
            <w:pPr>
              <w:jc w:val="right"/>
              <w:rPr>
                <w:szCs w:val="22"/>
              </w:rPr>
            </w:pPr>
            <w:r w:rsidRPr="00B53FFB">
              <w:rPr>
                <w:szCs w:val="22"/>
              </w:rPr>
              <w:t xml:space="preserve">$46.94 </w:t>
            </w:r>
          </w:p>
        </w:tc>
        <w:tc>
          <w:tcPr>
            <w:tcW w:w="0" w:type="auto"/>
            <w:shd w:val="pct15" w:color="auto" w:fill="auto"/>
          </w:tcPr>
          <w:p w:rsidR="004A147C" w:rsidRPr="00B53FFB" w:rsidRDefault="004A147C" w:rsidP="00CE5850">
            <w:pPr>
              <w:jc w:val="right"/>
              <w:rPr>
                <w:szCs w:val="22"/>
              </w:rPr>
            </w:pPr>
            <w:r w:rsidRPr="00B53FFB">
              <w:rPr>
                <w:szCs w:val="22"/>
              </w:rPr>
              <w:t xml:space="preserve">$0.124 </w:t>
            </w:r>
          </w:p>
        </w:tc>
        <w:tc>
          <w:tcPr>
            <w:tcW w:w="0" w:type="auto"/>
            <w:shd w:val="pct15" w:color="auto" w:fill="auto"/>
          </w:tcPr>
          <w:p w:rsidR="004A147C" w:rsidRPr="00B53FFB" w:rsidRDefault="004A147C" w:rsidP="00CE5850">
            <w:pPr>
              <w:jc w:val="right"/>
              <w:rPr>
                <w:szCs w:val="22"/>
              </w:rPr>
            </w:pPr>
            <w:r w:rsidRPr="00B53FFB">
              <w:rPr>
                <w:szCs w:val="22"/>
              </w:rPr>
              <w:t>-30%</w:t>
            </w:r>
          </w:p>
        </w:tc>
      </w:tr>
      <w:tr w:rsidR="004A147C" w:rsidRPr="00B53FFB" w:rsidTr="00D626F5">
        <w:trPr>
          <w:trHeight w:val="252"/>
          <w:jc w:val="center"/>
        </w:trPr>
        <w:tc>
          <w:tcPr>
            <w:tcW w:w="0" w:type="auto"/>
          </w:tcPr>
          <w:p w:rsidR="004A147C" w:rsidRPr="00B53FFB" w:rsidRDefault="004A147C" w:rsidP="00CE5850">
            <w:pPr>
              <w:rPr>
                <w:rStyle w:val="Normal1"/>
                <w:szCs w:val="22"/>
              </w:rPr>
            </w:pPr>
            <w:r w:rsidRPr="00B53FFB">
              <w:rPr>
                <w:rStyle w:val="Normal1"/>
                <w:szCs w:val="22"/>
              </w:rPr>
              <w:t>2002</w:t>
            </w:r>
          </w:p>
        </w:tc>
        <w:tc>
          <w:tcPr>
            <w:tcW w:w="0" w:type="auto"/>
          </w:tcPr>
          <w:p w:rsidR="004A147C" w:rsidRPr="00B53FFB" w:rsidRDefault="004A147C" w:rsidP="00CE5850">
            <w:pPr>
              <w:jc w:val="right"/>
              <w:rPr>
                <w:rStyle w:val="Normal1"/>
                <w:szCs w:val="22"/>
              </w:rPr>
            </w:pPr>
            <w:r w:rsidRPr="00B53FFB">
              <w:rPr>
                <w:rStyle w:val="Normal1"/>
                <w:szCs w:val="22"/>
              </w:rPr>
              <w:t>$48.40</w:t>
            </w:r>
          </w:p>
        </w:tc>
        <w:tc>
          <w:tcPr>
            <w:tcW w:w="0" w:type="auto"/>
          </w:tcPr>
          <w:p w:rsidR="004A147C" w:rsidRPr="00B53FFB" w:rsidRDefault="004A147C" w:rsidP="00CE5850">
            <w:pPr>
              <w:jc w:val="right"/>
              <w:rPr>
                <w:rStyle w:val="Normal1"/>
                <w:szCs w:val="22"/>
              </w:rPr>
            </w:pPr>
            <w:r w:rsidRPr="00B53FFB">
              <w:rPr>
                <w:rStyle w:val="Normal1"/>
                <w:szCs w:val="22"/>
              </w:rPr>
              <w:t>427</w:t>
            </w:r>
          </w:p>
        </w:tc>
        <w:tc>
          <w:tcPr>
            <w:tcW w:w="0" w:type="auto"/>
          </w:tcPr>
          <w:p w:rsidR="004A147C" w:rsidRPr="00B53FFB" w:rsidRDefault="004A147C" w:rsidP="00CE5850">
            <w:pPr>
              <w:jc w:val="right"/>
              <w:rPr>
                <w:rStyle w:val="Normal1"/>
                <w:szCs w:val="22"/>
              </w:rPr>
            </w:pPr>
            <w:r w:rsidRPr="00B53FFB">
              <w:rPr>
                <w:rStyle w:val="Normal1"/>
                <w:szCs w:val="22"/>
              </w:rPr>
              <w:t>$0.11</w:t>
            </w:r>
          </w:p>
        </w:tc>
        <w:tc>
          <w:tcPr>
            <w:tcW w:w="0" w:type="auto"/>
          </w:tcPr>
          <w:p w:rsidR="004A147C" w:rsidRPr="00B53FFB" w:rsidRDefault="004A147C" w:rsidP="00CE5850">
            <w:pPr>
              <w:jc w:val="right"/>
              <w:rPr>
                <w:rStyle w:val="Normal1"/>
                <w:szCs w:val="22"/>
              </w:rPr>
            </w:pPr>
            <w:r w:rsidRPr="00B53FFB">
              <w:rPr>
                <w:rStyle w:val="Normal1"/>
                <w:szCs w:val="22"/>
              </w:rPr>
              <w:t>-9%</w:t>
            </w:r>
          </w:p>
        </w:tc>
        <w:tc>
          <w:tcPr>
            <w:tcW w:w="0" w:type="auto"/>
          </w:tcPr>
          <w:p w:rsidR="004A147C" w:rsidRPr="00B53FFB" w:rsidRDefault="004A147C" w:rsidP="00CE5850">
            <w:pPr>
              <w:jc w:val="right"/>
              <w:rPr>
                <w:szCs w:val="22"/>
              </w:rPr>
            </w:pPr>
            <w:r w:rsidRPr="00B53FFB">
              <w:rPr>
                <w:szCs w:val="22"/>
              </w:rPr>
              <w:t>1.2%</w:t>
            </w:r>
          </w:p>
        </w:tc>
        <w:tc>
          <w:tcPr>
            <w:tcW w:w="0" w:type="auto"/>
          </w:tcPr>
          <w:p w:rsidR="004A147C" w:rsidRPr="00B53FFB" w:rsidRDefault="004A147C" w:rsidP="00CE5850">
            <w:pPr>
              <w:jc w:val="right"/>
              <w:rPr>
                <w:szCs w:val="22"/>
              </w:rPr>
            </w:pPr>
            <w:r w:rsidRPr="00B53FFB">
              <w:rPr>
                <w:szCs w:val="22"/>
              </w:rPr>
              <w:t xml:space="preserve">$47.82 </w:t>
            </w:r>
          </w:p>
        </w:tc>
        <w:tc>
          <w:tcPr>
            <w:tcW w:w="0" w:type="auto"/>
            <w:shd w:val="pct15" w:color="auto" w:fill="auto"/>
          </w:tcPr>
          <w:p w:rsidR="004A147C" w:rsidRPr="00B53FFB" w:rsidRDefault="004A147C" w:rsidP="00CE5850">
            <w:pPr>
              <w:jc w:val="right"/>
              <w:rPr>
                <w:szCs w:val="22"/>
              </w:rPr>
            </w:pPr>
            <w:r w:rsidRPr="00B53FFB">
              <w:rPr>
                <w:szCs w:val="22"/>
              </w:rPr>
              <w:t xml:space="preserve">$0.112 </w:t>
            </w:r>
          </w:p>
        </w:tc>
        <w:tc>
          <w:tcPr>
            <w:tcW w:w="0" w:type="auto"/>
            <w:shd w:val="pct15" w:color="auto" w:fill="auto"/>
          </w:tcPr>
          <w:p w:rsidR="004A147C" w:rsidRPr="00B53FFB" w:rsidRDefault="004A147C" w:rsidP="00CE5850">
            <w:pPr>
              <w:jc w:val="right"/>
              <w:rPr>
                <w:szCs w:val="22"/>
              </w:rPr>
            </w:pPr>
            <w:r w:rsidRPr="00B53FFB">
              <w:rPr>
                <w:szCs w:val="22"/>
              </w:rPr>
              <w:t>-9%</w:t>
            </w:r>
          </w:p>
        </w:tc>
      </w:tr>
      <w:tr w:rsidR="004A147C" w:rsidRPr="00B53FFB" w:rsidTr="00D626F5">
        <w:trPr>
          <w:trHeight w:val="252"/>
          <w:jc w:val="center"/>
        </w:trPr>
        <w:tc>
          <w:tcPr>
            <w:tcW w:w="0" w:type="auto"/>
          </w:tcPr>
          <w:p w:rsidR="004A147C" w:rsidRPr="00B53FFB" w:rsidRDefault="004A147C" w:rsidP="00CE5850">
            <w:pPr>
              <w:rPr>
                <w:rStyle w:val="Normal1"/>
                <w:szCs w:val="22"/>
              </w:rPr>
            </w:pPr>
            <w:r w:rsidRPr="00B53FFB">
              <w:rPr>
                <w:rStyle w:val="Normal1"/>
                <w:szCs w:val="22"/>
              </w:rPr>
              <w:t>2003</w:t>
            </w:r>
          </w:p>
        </w:tc>
        <w:tc>
          <w:tcPr>
            <w:tcW w:w="0" w:type="auto"/>
          </w:tcPr>
          <w:p w:rsidR="004A147C" w:rsidRPr="00B53FFB" w:rsidRDefault="004A147C" w:rsidP="00CE5850">
            <w:pPr>
              <w:jc w:val="right"/>
              <w:rPr>
                <w:rStyle w:val="Normal1"/>
                <w:szCs w:val="22"/>
              </w:rPr>
            </w:pPr>
            <w:r w:rsidRPr="00B53FFB">
              <w:rPr>
                <w:rStyle w:val="Normal1"/>
                <w:szCs w:val="22"/>
              </w:rPr>
              <w:t>$49.91</w:t>
            </w:r>
          </w:p>
        </w:tc>
        <w:tc>
          <w:tcPr>
            <w:tcW w:w="0" w:type="auto"/>
          </w:tcPr>
          <w:p w:rsidR="004A147C" w:rsidRPr="00B53FFB" w:rsidRDefault="004A147C" w:rsidP="00CE5850">
            <w:pPr>
              <w:jc w:val="right"/>
              <w:rPr>
                <w:rStyle w:val="Normal1"/>
                <w:szCs w:val="22"/>
              </w:rPr>
            </w:pPr>
            <w:r w:rsidRPr="00B53FFB">
              <w:rPr>
                <w:rStyle w:val="Normal1"/>
                <w:szCs w:val="22"/>
              </w:rPr>
              <w:t>507</w:t>
            </w:r>
          </w:p>
        </w:tc>
        <w:tc>
          <w:tcPr>
            <w:tcW w:w="0" w:type="auto"/>
          </w:tcPr>
          <w:p w:rsidR="004A147C" w:rsidRPr="00B53FFB" w:rsidRDefault="004A147C" w:rsidP="00CE5850">
            <w:pPr>
              <w:jc w:val="right"/>
              <w:rPr>
                <w:rStyle w:val="Normal1"/>
                <w:szCs w:val="22"/>
              </w:rPr>
            </w:pPr>
            <w:r w:rsidRPr="00B53FFB">
              <w:rPr>
                <w:rStyle w:val="Normal1"/>
                <w:szCs w:val="22"/>
              </w:rPr>
              <w:t>$0.10</w:t>
            </w:r>
          </w:p>
        </w:tc>
        <w:tc>
          <w:tcPr>
            <w:tcW w:w="0" w:type="auto"/>
          </w:tcPr>
          <w:p w:rsidR="004A147C" w:rsidRPr="00B53FFB" w:rsidRDefault="004A147C" w:rsidP="00CE5850">
            <w:pPr>
              <w:jc w:val="right"/>
              <w:rPr>
                <w:rStyle w:val="Normal1"/>
                <w:szCs w:val="22"/>
              </w:rPr>
            </w:pPr>
            <w:r w:rsidRPr="00B53FFB">
              <w:rPr>
                <w:rStyle w:val="Normal1"/>
                <w:szCs w:val="22"/>
              </w:rPr>
              <w:t>-13%</w:t>
            </w:r>
          </w:p>
        </w:tc>
        <w:tc>
          <w:tcPr>
            <w:tcW w:w="0" w:type="auto"/>
          </w:tcPr>
          <w:p w:rsidR="004A147C" w:rsidRPr="00B53FFB" w:rsidRDefault="004A147C" w:rsidP="00CE5850">
            <w:pPr>
              <w:jc w:val="right"/>
              <w:rPr>
                <w:szCs w:val="22"/>
              </w:rPr>
            </w:pPr>
            <w:r w:rsidRPr="00B53FFB">
              <w:rPr>
                <w:szCs w:val="22"/>
              </w:rPr>
              <w:t>2.5%</w:t>
            </w:r>
          </w:p>
        </w:tc>
        <w:tc>
          <w:tcPr>
            <w:tcW w:w="0" w:type="auto"/>
          </w:tcPr>
          <w:p w:rsidR="004A147C" w:rsidRPr="00B53FFB" w:rsidRDefault="004A147C" w:rsidP="00CE5850">
            <w:pPr>
              <w:jc w:val="right"/>
              <w:rPr>
                <w:szCs w:val="22"/>
              </w:rPr>
            </w:pPr>
            <w:r w:rsidRPr="00B53FFB">
              <w:rPr>
                <w:szCs w:val="22"/>
              </w:rPr>
              <w:t xml:space="preserve">$48.66 </w:t>
            </w:r>
          </w:p>
        </w:tc>
        <w:tc>
          <w:tcPr>
            <w:tcW w:w="0" w:type="auto"/>
            <w:shd w:val="pct15" w:color="auto" w:fill="auto"/>
          </w:tcPr>
          <w:p w:rsidR="004A147C" w:rsidRPr="00B53FFB" w:rsidRDefault="004A147C" w:rsidP="00CE5850">
            <w:pPr>
              <w:jc w:val="right"/>
              <w:rPr>
                <w:szCs w:val="22"/>
              </w:rPr>
            </w:pPr>
            <w:r w:rsidRPr="00B53FFB">
              <w:rPr>
                <w:szCs w:val="22"/>
              </w:rPr>
              <w:t xml:space="preserve">$0.096 </w:t>
            </w:r>
          </w:p>
        </w:tc>
        <w:tc>
          <w:tcPr>
            <w:tcW w:w="0" w:type="auto"/>
            <w:shd w:val="pct15" w:color="auto" w:fill="auto"/>
          </w:tcPr>
          <w:p w:rsidR="004A147C" w:rsidRPr="00B53FFB" w:rsidRDefault="004A147C" w:rsidP="00CE5850">
            <w:pPr>
              <w:jc w:val="right"/>
              <w:rPr>
                <w:szCs w:val="22"/>
              </w:rPr>
            </w:pPr>
            <w:r w:rsidRPr="00B53FFB">
              <w:rPr>
                <w:szCs w:val="22"/>
              </w:rPr>
              <w:t>-14%</w:t>
            </w:r>
          </w:p>
        </w:tc>
      </w:tr>
      <w:tr w:rsidR="004A147C" w:rsidRPr="00B53FFB" w:rsidTr="00D626F5">
        <w:trPr>
          <w:trHeight w:val="252"/>
          <w:jc w:val="center"/>
        </w:trPr>
        <w:tc>
          <w:tcPr>
            <w:tcW w:w="0" w:type="auto"/>
          </w:tcPr>
          <w:p w:rsidR="004A147C" w:rsidRPr="00B53FFB" w:rsidRDefault="004A147C" w:rsidP="00CE5850">
            <w:pPr>
              <w:rPr>
                <w:rStyle w:val="Normal1"/>
                <w:szCs w:val="22"/>
              </w:rPr>
            </w:pPr>
            <w:r w:rsidRPr="00B53FFB">
              <w:rPr>
                <w:rStyle w:val="Normal1"/>
                <w:szCs w:val="22"/>
              </w:rPr>
              <w:t>2004</w:t>
            </w:r>
          </w:p>
        </w:tc>
        <w:tc>
          <w:tcPr>
            <w:tcW w:w="0" w:type="auto"/>
          </w:tcPr>
          <w:p w:rsidR="004A147C" w:rsidRPr="00B53FFB" w:rsidRDefault="004A147C" w:rsidP="00CE5850">
            <w:pPr>
              <w:jc w:val="right"/>
              <w:rPr>
                <w:rStyle w:val="Normal1"/>
                <w:szCs w:val="22"/>
              </w:rPr>
            </w:pPr>
            <w:r w:rsidRPr="00B53FFB">
              <w:rPr>
                <w:rStyle w:val="Normal1"/>
                <w:szCs w:val="22"/>
              </w:rPr>
              <w:t>$50.64</w:t>
            </w:r>
          </w:p>
        </w:tc>
        <w:tc>
          <w:tcPr>
            <w:tcW w:w="0" w:type="auto"/>
          </w:tcPr>
          <w:p w:rsidR="004A147C" w:rsidRPr="00B53FFB" w:rsidRDefault="004A147C" w:rsidP="00CE5850">
            <w:pPr>
              <w:jc w:val="right"/>
              <w:rPr>
                <w:rStyle w:val="Normal1"/>
                <w:szCs w:val="22"/>
              </w:rPr>
            </w:pPr>
            <w:r w:rsidRPr="00B53FFB">
              <w:rPr>
                <w:rStyle w:val="Normal1"/>
                <w:szCs w:val="22"/>
              </w:rPr>
              <w:t>584</w:t>
            </w:r>
          </w:p>
        </w:tc>
        <w:tc>
          <w:tcPr>
            <w:tcW w:w="0" w:type="auto"/>
          </w:tcPr>
          <w:p w:rsidR="004A147C" w:rsidRPr="00B53FFB" w:rsidRDefault="004A147C" w:rsidP="00CE5850">
            <w:pPr>
              <w:jc w:val="right"/>
              <w:rPr>
                <w:rStyle w:val="Normal1"/>
                <w:szCs w:val="22"/>
              </w:rPr>
            </w:pPr>
            <w:r w:rsidRPr="00B53FFB">
              <w:rPr>
                <w:rStyle w:val="Normal1"/>
                <w:szCs w:val="22"/>
              </w:rPr>
              <w:t>$0.09</w:t>
            </w:r>
          </w:p>
        </w:tc>
        <w:tc>
          <w:tcPr>
            <w:tcW w:w="0" w:type="auto"/>
          </w:tcPr>
          <w:p w:rsidR="004A147C" w:rsidRPr="00B53FFB" w:rsidRDefault="004A147C" w:rsidP="00CE5850">
            <w:pPr>
              <w:jc w:val="right"/>
              <w:rPr>
                <w:rStyle w:val="Normal1"/>
                <w:szCs w:val="22"/>
              </w:rPr>
            </w:pPr>
            <w:r w:rsidRPr="00B53FFB">
              <w:rPr>
                <w:rStyle w:val="Normal1"/>
                <w:szCs w:val="22"/>
              </w:rPr>
              <w:t>-12%</w:t>
            </w:r>
          </w:p>
        </w:tc>
        <w:tc>
          <w:tcPr>
            <w:tcW w:w="0" w:type="auto"/>
          </w:tcPr>
          <w:p w:rsidR="004A147C" w:rsidRPr="00B53FFB" w:rsidRDefault="004A147C" w:rsidP="00CE5850">
            <w:pPr>
              <w:jc w:val="right"/>
              <w:rPr>
                <w:szCs w:val="22"/>
              </w:rPr>
            </w:pPr>
            <w:r w:rsidRPr="00B53FFB">
              <w:rPr>
                <w:szCs w:val="22"/>
              </w:rPr>
              <w:t>4.8%</w:t>
            </w:r>
          </w:p>
        </w:tc>
        <w:tc>
          <w:tcPr>
            <w:tcW w:w="0" w:type="auto"/>
          </w:tcPr>
          <w:p w:rsidR="004A147C" w:rsidRPr="00B53FFB" w:rsidRDefault="004A147C" w:rsidP="00CE5850">
            <w:pPr>
              <w:jc w:val="right"/>
              <w:rPr>
                <w:szCs w:val="22"/>
              </w:rPr>
            </w:pPr>
            <w:r w:rsidRPr="00B53FFB">
              <w:rPr>
                <w:szCs w:val="22"/>
              </w:rPr>
              <w:t xml:space="preserve">$48.21 </w:t>
            </w:r>
          </w:p>
        </w:tc>
        <w:tc>
          <w:tcPr>
            <w:tcW w:w="0" w:type="auto"/>
            <w:shd w:val="pct15" w:color="auto" w:fill="auto"/>
          </w:tcPr>
          <w:p w:rsidR="004A147C" w:rsidRPr="00B53FFB" w:rsidRDefault="004A147C" w:rsidP="00CE5850">
            <w:pPr>
              <w:jc w:val="right"/>
              <w:rPr>
                <w:szCs w:val="22"/>
              </w:rPr>
            </w:pPr>
            <w:r w:rsidRPr="00B53FFB">
              <w:rPr>
                <w:szCs w:val="22"/>
              </w:rPr>
              <w:t xml:space="preserve">$0.083 </w:t>
            </w:r>
          </w:p>
        </w:tc>
        <w:tc>
          <w:tcPr>
            <w:tcW w:w="0" w:type="auto"/>
            <w:shd w:val="pct15" w:color="auto" w:fill="auto"/>
          </w:tcPr>
          <w:p w:rsidR="004A147C" w:rsidRPr="00B53FFB" w:rsidRDefault="004A147C" w:rsidP="00CE5850">
            <w:pPr>
              <w:jc w:val="right"/>
              <w:rPr>
                <w:szCs w:val="22"/>
              </w:rPr>
            </w:pPr>
            <w:r w:rsidRPr="00B53FFB">
              <w:rPr>
                <w:szCs w:val="22"/>
              </w:rPr>
              <w:t>-14%</w:t>
            </w:r>
          </w:p>
        </w:tc>
      </w:tr>
      <w:tr w:rsidR="004A147C" w:rsidRPr="00B53FFB" w:rsidTr="00D626F5">
        <w:trPr>
          <w:trHeight w:val="252"/>
          <w:jc w:val="center"/>
        </w:trPr>
        <w:tc>
          <w:tcPr>
            <w:tcW w:w="0" w:type="auto"/>
          </w:tcPr>
          <w:p w:rsidR="004A147C" w:rsidRPr="00B53FFB" w:rsidRDefault="004A147C" w:rsidP="00CE5850">
            <w:pPr>
              <w:rPr>
                <w:rStyle w:val="Normal1"/>
                <w:szCs w:val="22"/>
              </w:rPr>
            </w:pPr>
            <w:r w:rsidRPr="00B53FFB">
              <w:rPr>
                <w:rStyle w:val="Normal1"/>
                <w:szCs w:val="22"/>
              </w:rPr>
              <w:t>2005</w:t>
            </w:r>
          </w:p>
        </w:tc>
        <w:tc>
          <w:tcPr>
            <w:tcW w:w="0" w:type="auto"/>
          </w:tcPr>
          <w:p w:rsidR="004A147C" w:rsidRPr="00B53FFB" w:rsidRDefault="004A147C" w:rsidP="00CE5850">
            <w:pPr>
              <w:jc w:val="right"/>
              <w:rPr>
                <w:rStyle w:val="Normal1"/>
                <w:szCs w:val="22"/>
              </w:rPr>
            </w:pPr>
            <w:r w:rsidRPr="00B53FFB">
              <w:rPr>
                <w:szCs w:val="22"/>
              </w:rPr>
              <w:t xml:space="preserve">$49.98 </w:t>
            </w:r>
          </w:p>
        </w:tc>
        <w:tc>
          <w:tcPr>
            <w:tcW w:w="0" w:type="auto"/>
          </w:tcPr>
          <w:p w:rsidR="004A147C" w:rsidRPr="00B53FFB" w:rsidRDefault="004A147C" w:rsidP="00CE5850">
            <w:pPr>
              <w:jc w:val="right"/>
              <w:rPr>
                <w:rStyle w:val="Normal1"/>
                <w:szCs w:val="22"/>
              </w:rPr>
            </w:pPr>
            <w:r w:rsidRPr="00B53FFB">
              <w:rPr>
                <w:rStyle w:val="Normal1"/>
                <w:szCs w:val="22"/>
              </w:rPr>
              <w:t>708</w:t>
            </w:r>
          </w:p>
        </w:tc>
        <w:tc>
          <w:tcPr>
            <w:tcW w:w="0" w:type="auto"/>
          </w:tcPr>
          <w:p w:rsidR="004A147C" w:rsidRPr="00B53FFB" w:rsidRDefault="004A147C" w:rsidP="00CE5850">
            <w:pPr>
              <w:jc w:val="right"/>
              <w:rPr>
                <w:rStyle w:val="Normal1"/>
                <w:szCs w:val="22"/>
              </w:rPr>
            </w:pPr>
            <w:r w:rsidRPr="00B53FFB">
              <w:rPr>
                <w:rStyle w:val="Normal1"/>
                <w:szCs w:val="22"/>
              </w:rPr>
              <w:t>$0.07</w:t>
            </w:r>
          </w:p>
        </w:tc>
        <w:tc>
          <w:tcPr>
            <w:tcW w:w="0" w:type="auto"/>
          </w:tcPr>
          <w:p w:rsidR="004A147C" w:rsidRPr="00B53FFB" w:rsidRDefault="004A147C" w:rsidP="00CE5850">
            <w:pPr>
              <w:jc w:val="right"/>
              <w:rPr>
                <w:rStyle w:val="Normal1"/>
                <w:szCs w:val="22"/>
              </w:rPr>
            </w:pPr>
            <w:r w:rsidRPr="00B53FFB">
              <w:rPr>
                <w:rStyle w:val="Normal1"/>
                <w:szCs w:val="22"/>
              </w:rPr>
              <w:t>-19%</w:t>
            </w:r>
          </w:p>
        </w:tc>
        <w:tc>
          <w:tcPr>
            <w:tcW w:w="0" w:type="auto"/>
          </w:tcPr>
          <w:p w:rsidR="004A147C" w:rsidRPr="00B53FFB" w:rsidRDefault="004A147C" w:rsidP="00CE5850">
            <w:pPr>
              <w:jc w:val="right"/>
              <w:rPr>
                <w:szCs w:val="22"/>
              </w:rPr>
            </w:pPr>
            <w:r w:rsidRPr="00B53FFB">
              <w:rPr>
                <w:szCs w:val="22"/>
              </w:rPr>
              <w:t>8.3%</w:t>
            </w:r>
          </w:p>
        </w:tc>
        <w:tc>
          <w:tcPr>
            <w:tcW w:w="0" w:type="auto"/>
          </w:tcPr>
          <w:p w:rsidR="004A147C" w:rsidRPr="00B53FFB" w:rsidRDefault="004A147C" w:rsidP="00CE5850">
            <w:pPr>
              <w:jc w:val="right"/>
              <w:rPr>
                <w:szCs w:val="22"/>
              </w:rPr>
            </w:pPr>
            <w:r w:rsidRPr="00B53FFB">
              <w:rPr>
                <w:szCs w:val="22"/>
              </w:rPr>
              <w:t xml:space="preserve">$45.83 </w:t>
            </w:r>
          </w:p>
        </w:tc>
        <w:tc>
          <w:tcPr>
            <w:tcW w:w="0" w:type="auto"/>
            <w:shd w:val="pct15" w:color="auto" w:fill="auto"/>
          </w:tcPr>
          <w:p w:rsidR="004A147C" w:rsidRPr="00B53FFB" w:rsidRDefault="004A147C" w:rsidP="00CE5850">
            <w:pPr>
              <w:jc w:val="right"/>
              <w:rPr>
                <w:szCs w:val="22"/>
              </w:rPr>
            </w:pPr>
            <w:r w:rsidRPr="00B53FFB">
              <w:rPr>
                <w:szCs w:val="22"/>
              </w:rPr>
              <w:t xml:space="preserve">$0.065 </w:t>
            </w:r>
          </w:p>
        </w:tc>
        <w:tc>
          <w:tcPr>
            <w:tcW w:w="0" w:type="auto"/>
            <w:shd w:val="pct15" w:color="auto" w:fill="auto"/>
          </w:tcPr>
          <w:p w:rsidR="004A147C" w:rsidRPr="00B53FFB" w:rsidRDefault="004A147C" w:rsidP="00CE5850">
            <w:pPr>
              <w:jc w:val="right"/>
              <w:rPr>
                <w:szCs w:val="22"/>
              </w:rPr>
            </w:pPr>
            <w:r w:rsidRPr="00B53FFB">
              <w:rPr>
                <w:szCs w:val="22"/>
              </w:rPr>
              <w:t>-22%</w:t>
            </w:r>
          </w:p>
        </w:tc>
      </w:tr>
      <w:tr w:rsidR="004A147C" w:rsidRPr="00B53FFB" w:rsidTr="00D626F5">
        <w:trPr>
          <w:trHeight w:val="252"/>
          <w:jc w:val="center"/>
        </w:trPr>
        <w:tc>
          <w:tcPr>
            <w:tcW w:w="0" w:type="auto"/>
          </w:tcPr>
          <w:p w:rsidR="004A147C" w:rsidRPr="00B53FFB" w:rsidRDefault="004A147C" w:rsidP="00CE5850">
            <w:pPr>
              <w:rPr>
                <w:rStyle w:val="Normal1"/>
                <w:szCs w:val="22"/>
              </w:rPr>
            </w:pPr>
            <w:r w:rsidRPr="00B53FFB">
              <w:rPr>
                <w:rStyle w:val="Normal1"/>
                <w:szCs w:val="22"/>
              </w:rPr>
              <w:t>2006</w:t>
            </w:r>
          </w:p>
        </w:tc>
        <w:tc>
          <w:tcPr>
            <w:tcW w:w="0" w:type="auto"/>
          </w:tcPr>
          <w:p w:rsidR="004A147C" w:rsidRPr="00B53FFB" w:rsidRDefault="004A147C" w:rsidP="00CE5850">
            <w:pPr>
              <w:jc w:val="right"/>
              <w:rPr>
                <w:szCs w:val="22"/>
              </w:rPr>
            </w:pPr>
            <w:r w:rsidRPr="00B53FFB">
              <w:rPr>
                <w:szCs w:val="22"/>
              </w:rPr>
              <w:t>$50.56</w:t>
            </w:r>
          </w:p>
        </w:tc>
        <w:tc>
          <w:tcPr>
            <w:tcW w:w="0" w:type="auto"/>
          </w:tcPr>
          <w:p w:rsidR="004A147C" w:rsidRPr="00B53FFB" w:rsidRDefault="004A147C" w:rsidP="00CE5850">
            <w:pPr>
              <w:jc w:val="right"/>
              <w:rPr>
                <w:rStyle w:val="Normal1"/>
                <w:szCs w:val="22"/>
              </w:rPr>
            </w:pPr>
            <w:r w:rsidRPr="00B53FFB">
              <w:rPr>
                <w:rStyle w:val="Normal1"/>
                <w:szCs w:val="22"/>
              </w:rPr>
              <w:t>714</w:t>
            </w:r>
          </w:p>
        </w:tc>
        <w:tc>
          <w:tcPr>
            <w:tcW w:w="0" w:type="auto"/>
          </w:tcPr>
          <w:p w:rsidR="004A147C" w:rsidRPr="00B53FFB" w:rsidRDefault="004A147C" w:rsidP="00CE5850">
            <w:pPr>
              <w:jc w:val="right"/>
              <w:rPr>
                <w:rStyle w:val="Normal1"/>
                <w:szCs w:val="22"/>
              </w:rPr>
            </w:pPr>
            <w:r w:rsidRPr="00B53FFB">
              <w:rPr>
                <w:rStyle w:val="Normal1"/>
                <w:szCs w:val="22"/>
              </w:rPr>
              <w:t>$0.07</w:t>
            </w:r>
          </w:p>
        </w:tc>
        <w:tc>
          <w:tcPr>
            <w:tcW w:w="0" w:type="auto"/>
          </w:tcPr>
          <w:p w:rsidR="004A147C" w:rsidRPr="00B53FFB" w:rsidRDefault="004A147C" w:rsidP="00CE5850">
            <w:pPr>
              <w:jc w:val="right"/>
              <w:rPr>
                <w:rStyle w:val="Normal1"/>
                <w:szCs w:val="22"/>
              </w:rPr>
            </w:pPr>
            <w:r w:rsidRPr="00B53FFB">
              <w:rPr>
                <w:rStyle w:val="Normal1"/>
                <w:szCs w:val="22"/>
              </w:rPr>
              <w:t>0%</w:t>
            </w:r>
          </w:p>
        </w:tc>
        <w:tc>
          <w:tcPr>
            <w:tcW w:w="0" w:type="auto"/>
          </w:tcPr>
          <w:p w:rsidR="004A147C" w:rsidRPr="00B53FFB" w:rsidRDefault="004A147C" w:rsidP="00CE5850">
            <w:pPr>
              <w:jc w:val="right"/>
              <w:rPr>
                <w:szCs w:val="22"/>
              </w:rPr>
            </w:pPr>
            <w:r w:rsidRPr="00B53FFB">
              <w:rPr>
                <w:szCs w:val="22"/>
              </w:rPr>
              <w:t>13.5%</w:t>
            </w:r>
          </w:p>
        </w:tc>
        <w:tc>
          <w:tcPr>
            <w:tcW w:w="0" w:type="auto"/>
          </w:tcPr>
          <w:p w:rsidR="004A147C" w:rsidRPr="00B53FFB" w:rsidRDefault="004A147C" w:rsidP="00CE5850">
            <w:pPr>
              <w:jc w:val="right"/>
              <w:rPr>
                <w:szCs w:val="22"/>
              </w:rPr>
            </w:pPr>
            <w:r w:rsidRPr="00B53FFB">
              <w:rPr>
                <w:szCs w:val="22"/>
              </w:rPr>
              <w:t xml:space="preserve">$43.73 </w:t>
            </w:r>
          </w:p>
        </w:tc>
        <w:tc>
          <w:tcPr>
            <w:tcW w:w="0" w:type="auto"/>
            <w:shd w:val="pct15" w:color="auto" w:fill="auto"/>
          </w:tcPr>
          <w:p w:rsidR="004A147C" w:rsidRPr="00B53FFB" w:rsidRDefault="004A147C" w:rsidP="00CE5850">
            <w:pPr>
              <w:jc w:val="right"/>
              <w:rPr>
                <w:szCs w:val="22"/>
              </w:rPr>
            </w:pPr>
            <w:r w:rsidRPr="00B53FFB">
              <w:rPr>
                <w:szCs w:val="22"/>
              </w:rPr>
              <w:t xml:space="preserve">$0.061 </w:t>
            </w:r>
          </w:p>
        </w:tc>
        <w:tc>
          <w:tcPr>
            <w:tcW w:w="0" w:type="auto"/>
            <w:shd w:val="pct15" w:color="auto" w:fill="auto"/>
          </w:tcPr>
          <w:p w:rsidR="004A147C" w:rsidRPr="00B53FFB" w:rsidRDefault="004A147C" w:rsidP="00CE5850">
            <w:pPr>
              <w:jc w:val="right"/>
              <w:rPr>
                <w:szCs w:val="22"/>
              </w:rPr>
            </w:pPr>
            <w:r w:rsidRPr="00B53FFB">
              <w:rPr>
                <w:szCs w:val="22"/>
              </w:rPr>
              <w:t>-5%</w:t>
            </w:r>
          </w:p>
        </w:tc>
      </w:tr>
      <w:tr w:rsidR="004A147C" w:rsidRPr="00B53FFB" w:rsidTr="00D626F5">
        <w:trPr>
          <w:trHeight w:val="252"/>
          <w:jc w:val="center"/>
        </w:trPr>
        <w:tc>
          <w:tcPr>
            <w:tcW w:w="0" w:type="auto"/>
          </w:tcPr>
          <w:p w:rsidR="004A147C" w:rsidRPr="00B53FFB" w:rsidRDefault="004A147C" w:rsidP="00CE5850">
            <w:pPr>
              <w:rPr>
                <w:rStyle w:val="Normal1"/>
                <w:szCs w:val="22"/>
              </w:rPr>
            </w:pPr>
            <w:r w:rsidRPr="00B53FFB">
              <w:rPr>
                <w:rStyle w:val="Normal1"/>
                <w:szCs w:val="22"/>
              </w:rPr>
              <w:t>2007</w:t>
            </w:r>
          </w:p>
        </w:tc>
        <w:tc>
          <w:tcPr>
            <w:tcW w:w="0" w:type="auto"/>
          </w:tcPr>
          <w:p w:rsidR="004A147C" w:rsidRPr="00B53FFB" w:rsidRDefault="004A147C" w:rsidP="00CE5850">
            <w:pPr>
              <w:jc w:val="right"/>
              <w:rPr>
                <w:szCs w:val="22"/>
              </w:rPr>
            </w:pPr>
            <w:r w:rsidRPr="00B53FFB">
              <w:rPr>
                <w:szCs w:val="22"/>
              </w:rPr>
              <w:t xml:space="preserve">$49.79 </w:t>
            </w:r>
          </w:p>
        </w:tc>
        <w:tc>
          <w:tcPr>
            <w:tcW w:w="0" w:type="auto"/>
          </w:tcPr>
          <w:p w:rsidR="004A147C" w:rsidRPr="00B53FFB" w:rsidRDefault="004A147C" w:rsidP="00CE5850">
            <w:pPr>
              <w:jc w:val="right"/>
              <w:rPr>
                <w:rStyle w:val="Normal1"/>
                <w:szCs w:val="22"/>
              </w:rPr>
            </w:pPr>
            <w:r w:rsidRPr="00B53FFB">
              <w:rPr>
                <w:rStyle w:val="Normal1"/>
                <w:szCs w:val="22"/>
              </w:rPr>
              <w:t>769</w:t>
            </w:r>
          </w:p>
        </w:tc>
        <w:tc>
          <w:tcPr>
            <w:tcW w:w="0" w:type="auto"/>
          </w:tcPr>
          <w:p w:rsidR="004A147C" w:rsidRPr="00B53FFB" w:rsidRDefault="004A147C" w:rsidP="00CE5850">
            <w:pPr>
              <w:jc w:val="right"/>
              <w:rPr>
                <w:szCs w:val="22"/>
              </w:rPr>
            </w:pPr>
            <w:r w:rsidRPr="00B53FFB">
              <w:rPr>
                <w:szCs w:val="22"/>
              </w:rPr>
              <w:t xml:space="preserve">$0.06 </w:t>
            </w:r>
          </w:p>
        </w:tc>
        <w:tc>
          <w:tcPr>
            <w:tcW w:w="0" w:type="auto"/>
          </w:tcPr>
          <w:p w:rsidR="004A147C" w:rsidRPr="00B53FFB" w:rsidRDefault="004A147C" w:rsidP="00CE5850">
            <w:pPr>
              <w:jc w:val="right"/>
              <w:rPr>
                <w:szCs w:val="22"/>
              </w:rPr>
            </w:pPr>
            <w:r w:rsidRPr="00B53FFB">
              <w:rPr>
                <w:szCs w:val="22"/>
              </w:rPr>
              <w:t>-9%</w:t>
            </w:r>
          </w:p>
        </w:tc>
        <w:tc>
          <w:tcPr>
            <w:tcW w:w="0" w:type="auto"/>
          </w:tcPr>
          <w:p w:rsidR="004A147C" w:rsidRPr="00B53FFB" w:rsidRDefault="004A147C" w:rsidP="00CE5850">
            <w:pPr>
              <w:jc w:val="right"/>
              <w:rPr>
                <w:szCs w:val="22"/>
              </w:rPr>
            </w:pPr>
            <w:r w:rsidRPr="00B53FFB">
              <w:rPr>
                <w:szCs w:val="22"/>
              </w:rPr>
              <w:t>17.9%</w:t>
            </w:r>
          </w:p>
        </w:tc>
        <w:tc>
          <w:tcPr>
            <w:tcW w:w="0" w:type="auto"/>
          </w:tcPr>
          <w:p w:rsidR="004A147C" w:rsidRPr="00B53FFB" w:rsidRDefault="004A147C" w:rsidP="00CE5850">
            <w:pPr>
              <w:jc w:val="right"/>
              <w:rPr>
                <w:szCs w:val="22"/>
              </w:rPr>
            </w:pPr>
            <w:r w:rsidRPr="00B53FFB">
              <w:rPr>
                <w:szCs w:val="22"/>
              </w:rPr>
              <w:t xml:space="preserve">$40.88 </w:t>
            </w:r>
          </w:p>
        </w:tc>
        <w:tc>
          <w:tcPr>
            <w:tcW w:w="0" w:type="auto"/>
            <w:shd w:val="pct15" w:color="auto" w:fill="auto"/>
          </w:tcPr>
          <w:p w:rsidR="004A147C" w:rsidRPr="00B53FFB" w:rsidRDefault="004A147C" w:rsidP="00CE5850">
            <w:pPr>
              <w:jc w:val="right"/>
              <w:rPr>
                <w:szCs w:val="22"/>
              </w:rPr>
            </w:pPr>
            <w:r w:rsidRPr="00B53FFB">
              <w:rPr>
                <w:szCs w:val="22"/>
              </w:rPr>
              <w:t xml:space="preserve">$0.053 </w:t>
            </w:r>
          </w:p>
        </w:tc>
        <w:tc>
          <w:tcPr>
            <w:tcW w:w="0" w:type="auto"/>
            <w:shd w:val="pct15" w:color="auto" w:fill="auto"/>
          </w:tcPr>
          <w:p w:rsidR="004A147C" w:rsidRPr="00B53FFB" w:rsidRDefault="004A147C" w:rsidP="00CE5850">
            <w:pPr>
              <w:jc w:val="right"/>
              <w:rPr>
                <w:szCs w:val="22"/>
              </w:rPr>
            </w:pPr>
            <w:r w:rsidRPr="00B53FFB">
              <w:rPr>
                <w:szCs w:val="22"/>
              </w:rPr>
              <w:t>-13%</w:t>
            </w:r>
          </w:p>
        </w:tc>
      </w:tr>
      <w:tr w:rsidR="004A147C" w:rsidRPr="00B53FFB" w:rsidTr="00D626F5">
        <w:trPr>
          <w:trHeight w:val="252"/>
          <w:jc w:val="center"/>
        </w:trPr>
        <w:tc>
          <w:tcPr>
            <w:tcW w:w="0" w:type="auto"/>
          </w:tcPr>
          <w:p w:rsidR="004A147C" w:rsidRPr="00B53FFB" w:rsidRDefault="004A147C" w:rsidP="00CE5850">
            <w:pPr>
              <w:rPr>
                <w:rStyle w:val="Normal1"/>
                <w:szCs w:val="22"/>
              </w:rPr>
            </w:pPr>
            <w:r w:rsidRPr="00B53FFB">
              <w:rPr>
                <w:rStyle w:val="Normal1"/>
                <w:szCs w:val="22"/>
              </w:rPr>
              <w:t>2008</w:t>
            </w:r>
          </w:p>
        </w:tc>
        <w:tc>
          <w:tcPr>
            <w:tcW w:w="0" w:type="auto"/>
          </w:tcPr>
          <w:p w:rsidR="004A147C" w:rsidRPr="00B53FFB" w:rsidRDefault="004A147C" w:rsidP="00CE5850">
            <w:pPr>
              <w:jc w:val="right"/>
              <w:rPr>
                <w:szCs w:val="22"/>
              </w:rPr>
            </w:pPr>
            <w:r w:rsidRPr="00B53FFB">
              <w:rPr>
                <w:szCs w:val="22"/>
              </w:rPr>
              <w:t>$50.07</w:t>
            </w:r>
          </w:p>
        </w:tc>
        <w:tc>
          <w:tcPr>
            <w:tcW w:w="0" w:type="auto"/>
          </w:tcPr>
          <w:p w:rsidR="004A147C" w:rsidRPr="00B53FFB" w:rsidRDefault="004A147C" w:rsidP="00CE5850">
            <w:pPr>
              <w:jc w:val="right"/>
              <w:rPr>
                <w:rStyle w:val="Normal1"/>
                <w:szCs w:val="22"/>
              </w:rPr>
            </w:pPr>
            <w:r w:rsidRPr="00B53FFB">
              <w:rPr>
                <w:rStyle w:val="Normal1"/>
                <w:szCs w:val="22"/>
              </w:rPr>
              <w:t>708</w:t>
            </w:r>
          </w:p>
        </w:tc>
        <w:tc>
          <w:tcPr>
            <w:tcW w:w="0" w:type="auto"/>
          </w:tcPr>
          <w:p w:rsidR="004A147C" w:rsidRPr="00B53FFB" w:rsidRDefault="004A147C" w:rsidP="00CE5850">
            <w:pPr>
              <w:jc w:val="right"/>
              <w:rPr>
                <w:szCs w:val="22"/>
              </w:rPr>
            </w:pPr>
            <w:r w:rsidRPr="00B53FFB">
              <w:rPr>
                <w:szCs w:val="22"/>
              </w:rPr>
              <w:t>$0.07</w:t>
            </w:r>
          </w:p>
        </w:tc>
        <w:tc>
          <w:tcPr>
            <w:tcW w:w="0" w:type="auto"/>
          </w:tcPr>
          <w:p w:rsidR="004A147C" w:rsidRPr="00B53FFB" w:rsidRDefault="004A147C" w:rsidP="00CE5850">
            <w:pPr>
              <w:jc w:val="right"/>
              <w:rPr>
                <w:szCs w:val="22"/>
              </w:rPr>
            </w:pPr>
            <w:r w:rsidRPr="00B53FFB">
              <w:rPr>
                <w:szCs w:val="22"/>
              </w:rPr>
              <w:t>9%</w:t>
            </w:r>
          </w:p>
        </w:tc>
        <w:tc>
          <w:tcPr>
            <w:tcW w:w="0" w:type="auto"/>
          </w:tcPr>
          <w:p w:rsidR="004A147C" w:rsidRPr="00B53FFB" w:rsidRDefault="004A147C" w:rsidP="00CE5850">
            <w:pPr>
              <w:jc w:val="right"/>
              <w:rPr>
                <w:szCs w:val="22"/>
              </w:rPr>
            </w:pPr>
            <w:r w:rsidRPr="00B53FFB">
              <w:rPr>
                <w:szCs w:val="22"/>
              </w:rPr>
              <w:t>23.3%</w:t>
            </w:r>
          </w:p>
        </w:tc>
        <w:tc>
          <w:tcPr>
            <w:tcW w:w="0" w:type="auto"/>
          </w:tcPr>
          <w:p w:rsidR="004A147C" w:rsidRPr="00B53FFB" w:rsidRDefault="004A147C" w:rsidP="00CE5850">
            <w:pPr>
              <w:jc w:val="right"/>
              <w:rPr>
                <w:szCs w:val="22"/>
              </w:rPr>
            </w:pPr>
            <w:r w:rsidRPr="00B53FFB">
              <w:rPr>
                <w:szCs w:val="22"/>
              </w:rPr>
              <w:t>$38.40</w:t>
            </w:r>
          </w:p>
        </w:tc>
        <w:tc>
          <w:tcPr>
            <w:tcW w:w="0" w:type="auto"/>
            <w:shd w:val="pct15" w:color="auto" w:fill="auto"/>
          </w:tcPr>
          <w:p w:rsidR="004A147C" w:rsidRPr="00B53FFB" w:rsidRDefault="004A147C" w:rsidP="00CE5850">
            <w:pPr>
              <w:jc w:val="right"/>
              <w:rPr>
                <w:szCs w:val="22"/>
              </w:rPr>
            </w:pPr>
            <w:r w:rsidRPr="00B53FFB">
              <w:rPr>
                <w:szCs w:val="22"/>
              </w:rPr>
              <w:t>$0.054</w:t>
            </w:r>
          </w:p>
        </w:tc>
        <w:tc>
          <w:tcPr>
            <w:tcW w:w="0" w:type="auto"/>
            <w:shd w:val="pct15" w:color="auto" w:fill="auto"/>
          </w:tcPr>
          <w:p w:rsidR="004A147C" w:rsidRPr="00B53FFB" w:rsidRDefault="004A147C" w:rsidP="00CE5850">
            <w:pPr>
              <w:jc w:val="right"/>
              <w:rPr>
                <w:szCs w:val="22"/>
              </w:rPr>
            </w:pPr>
            <w:r w:rsidRPr="00B53FFB">
              <w:rPr>
                <w:szCs w:val="22"/>
              </w:rPr>
              <w:t>2%</w:t>
            </w:r>
          </w:p>
        </w:tc>
      </w:tr>
      <w:tr w:rsidR="004A147C" w:rsidRPr="00B53FFB" w:rsidTr="00D626F5">
        <w:trPr>
          <w:trHeight w:val="252"/>
          <w:jc w:val="center"/>
        </w:trPr>
        <w:tc>
          <w:tcPr>
            <w:tcW w:w="0" w:type="auto"/>
          </w:tcPr>
          <w:p w:rsidR="004A147C" w:rsidRPr="00B53FFB" w:rsidRDefault="004A147C" w:rsidP="00CE5850">
            <w:pPr>
              <w:rPr>
                <w:rStyle w:val="Normal1"/>
                <w:szCs w:val="22"/>
              </w:rPr>
            </w:pPr>
            <w:r w:rsidRPr="00B53FFB">
              <w:rPr>
                <w:rStyle w:val="Normal1"/>
                <w:szCs w:val="22"/>
              </w:rPr>
              <w:t>2009</w:t>
            </w:r>
          </w:p>
        </w:tc>
        <w:tc>
          <w:tcPr>
            <w:tcW w:w="0" w:type="auto"/>
          </w:tcPr>
          <w:p w:rsidR="004A147C" w:rsidRPr="00B53FFB" w:rsidRDefault="004A147C" w:rsidP="00CE5850">
            <w:pPr>
              <w:jc w:val="right"/>
              <w:rPr>
                <w:szCs w:val="22"/>
              </w:rPr>
            </w:pPr>
            <w:r w:rsidRPr="00B53FFB">
              <w:rPr>
                <w:szCs w:val="22"/>
              </w:rPr>
              <w:t>$48.16</w:t>
            </w:r>
          </w:p>
        </w:tc>
        <w:tc>
          <w:tcPr>
            <w:tcW w:w="0" w:type="auto"/>
          </w:tcPr>
          <w:p w:rsidR="004A147C" w:rsidRPr="00B53FFB" w:rsidRDefault="004A147C" w:rsidP="00CE5850">
            <w:pPr>
              <w:jc w:val="right"/>
              <w:rPr>
                <w:rStyle w:val="Normal1"/>
                <w:szCs w:val="22"/>
              </w:rPr>
            </w:pPr>
            <w:r w:rsidRPr="00B53FFB">
              <w:rPr>
                <w:rStyle w:val="Normal1"/>
                <w:szCs w:val="22"/>
              </w:rPr>
              <w:t>696</w:t>
            </w:r>
          </w:p>
        </w:tc>
        <w:tc>
          <w:tcPr>
            <w:tcW w:w="0" w:type="auto"/>
          </w:tcPr>
          <w:p w:rsidR="004A147C" w:rsidRPr="00B53FFB" w:rsidRDefault="004A147C" w:rsidP="00CE5850">
            <w:pPr>
              <w:jc w:val="right"/>
              <w:rPr>
                <w:szCs w:val="22"/>
              </w:rPr>
            </w:pPr>
            <w:r w:rsidRPr="00B53FFB">
              <w:rPr>
                <w:szCs w:val="22"/>
              </w:rPr>
              <w:t>$0.07</w:t>
            </w:r>
          </w:p>
        </w:tc>
        <w:tc>
          <w:tcPr>
            <w:tcW w:w="0" w:type="auto"/>
          </w:tcPr>
          <w:p w:rsidR="004A147C" w:rsidRPr="00B53FFB" w:rsidRDefault="004A147C" w:rsidP="00CE5850">
            <w:pPr>
              <w:jc w:val="right"/>
              <w:rPr>
                <w:szCs w:val="22"/>
              </w:rPr>
            </w:pPr>
            <w:r w:rsidRPr="00B53FFB">
              <w:rPr>
                <w:szCs w:val="22"/>
              </w:rPr>
              <w:t>-2%</w:t>
            </w:r>
          </w:p>
        </w:tc>
        <w:tc>
          <w:tcPr>
            <w:tcW w:w="0" w:type="auto"/>
          </w:tcPr>
          <w:p w:rsidR="004A147C" w:rsidRPr="00B53FFB" w:rsidRDefault="004A147C" w:rsidP="00CE5850">
            <w:pPr>
              <w:jc w:val="right"/>
              <w:rPr>
                <w:szCs w:val="22"/>
              </w:rPr>
            </w:pPr>
            <w:r w:rsidRPr="00B53FFB">
              <w:rPr>
                <w:szCs w:val="22"/>
              </w:rPr>
              <w:t>28.7%</w:t>
            </w:r>
          </w:p>
        </w:tc>
        <w:tc>
          <w:tcPr>
            <w:tcW w:w="0" w:type="auto"/>
          </w:tcPr>
          <w:p w:rsidR="004A147C" w:rsidRPr="00B53FFB" w:rsidRDefault="004A147C" w:rsidP="00CE5850">
            <w:pPr>
              <w:jc w:val="right"/>
              <w:rPr>
                <w:szCs w:val="22"/>
              </w:rPr>
            </w:pPr>
            <w:r w:rsidRPr="00B53FFB">
              <w:rPr>
                <w:szCs w:val="22"/>
              </w:rPr>
              <w:t>$34.34</w:t>
            </w:r>
          </w:p>
        </w:tc>
        <w:tc>
          <w:tcPr>
            <w:tcW w:w="0" w:type="auto"/>
            <w:shd w:val="pct15" w:color="auto" w:fill="auto"/>
          </w:tcPr>
          <w:p w:rsidR="004A147C" w:rsidRPr="00B53FFB" w:rsidRDefault="004A147C" w:rsidP="00CE5850">
            <w:pPr>
              <w:jc w:val="right"/>
              <w:rPr>
                <w:szCs w:val="22"/>
              </w:rPr>
            </w:pPr>
            <w:r w:rsidRPr="00B53FFB">
              <w:rPr>
                <w:szCs w:val="22"/>
              </w:rPr>
              <w:t>$0.049</w:t>
            </w:r>
          </w:p>
        </w:tc>
        <w:tc>
          <w:tcPr>
            <w:tcW w:w="0" w:type="auto"/>
            <w:shd w:val="pct15" w:color="auto" w:fill="auto"/>
          </w:tcPr>
          <w:p w:rsidR="004A147C" w:rsidRPr="00B53FFB" w:rsidRDefault="004A147C" w:rsidP="00CE5850">
            <w:pPr>
              <w:jc w:val="right"/>
              <w:rPr>
                <w:szCs w:val="22"/>
              </w:rPr>
            </w:pPr>
            <w:r w:rsidRPr="00B53FFB">
              <w:rPr>
                <w:szCs w:val="22"/>
              </w:rPr>
              <w:t>-9%</w:t>
            </w:r>
          </w:p>
        </w:tc>
      </w:tr>
      <w:tr w:rsidR="004A147C" w:rsidRPr="00B53FFB" w:rsidTr="00D626F5">
        <w:trPr>
          <w:trHeight w:val="252"/>
          <w:jc w:val="center"/>
        </w:trPr>
        <w:tc>
          <w:tcPr>
            <w:tcW w:w="0" w:type="auto"/>
          </w:tcPr>
          <w:p w:rsidR="004A147C" w:rsidRPr="00B53FFB" w:rsidRDefault="004A147C" w:rsidP="00CE5850">
            <w:pPr>
              <w:rPr>
                <w:rStyle w:val="Normal1"/>
                <w:szCs w:val="22"/>
              </w:rPr>
            </w:pPr>
            <w:r w:rsidRPr="00B53FFB">
              <w:rPr>
                <w:rStyle w:val="Normal1"/>
                <w:szCs w:val="22"/>
              </w:rPr>
              <w:t>2010</w:t>
            </w:r>
          </w:p>
        </w:tc>
        <w:tc>
          <w:tcPr>
            <w:tcW w:w="0" w:type="auto"/>
          </w:tcPr>
          <w:p w:rsidR="004A147C" w:rsidRPr="00B53FFB" w:rsidRDefault="004A147C" w:rsidP="00CE5850">
            <w:pPr>
              <w:jc w:val="right"/>
              <w:rPr>
                <w:szCs w:val="22"/>
              </w:rPr>
            </w:pPr>
            <w:r w:rsidRPr="00B53FFB">
              <w:rPr>
                <w:szCs w:val="22"/>
              </w:rPr>
              <w:t>$47.21</w:t>
            </w:r>
          </w:p>
        </w:tc>
        <w:tc>
          <w:tcPr>
            <w:tcW w:w="0" w:type="auto"/>
          </w:tcPr>
          <w:p w:rsidR="004A147C" w:rsidRPr="00B53FFB" w:rsidRDefault="004A147C" w:rsidP="00CE5850">
            <w:pPr>
              <w:jc w:val="right"/>
              <w:rPr>
                <w:rStyle w:val="Normal1"/>
                <w:szCs w:val="22"/>
              </w:rPr>
            </w:pPr>
            <w:r w:rsidRPr="00B53FFB">
              <w:rPr>
                <w:rStyle w:val="Normal1"/>
                <w:szCs w:val="22"/>
              </w:rPr>
              <w:t>647</w:t>
            </w:r>
          </w:p>
        </w:tc>
        <w:tc>
          <w:tcPr>
            <w:tcW w:w="0" w:type="auto"/>
          </w:tcPr>
          <w:p w:rsidR="004A147C" w:rsidRPr="00B53FFB" w:rsidRDefault="004A147C" w:rsidP="00CE5850">
            <w:pPr>
              <w:jc w:val="right"/>
              <w:rPr>
                <w:szCs w:val="22"/>
              </w:rPr>
            </w:pPr>
            <w:r w:rsidRPr="00B53FFB">
              <w:rPr>
                <w:szCs w:val="22"/>
              </w:rPr>
              <w:t>$0.07</w:t>
            </w:r>
          </w:p>
        </w:tc>
        <w:tc>
          <w:tcPr>
            <w:tcW w:w="0" w:type="auto"/>
          </w:tcPr>
          <w:p w:rsidR="004A147C" w:rsidRPr="00B53FFB" w:rsidRDefault="004A147C" w:rsidP="00CE5850">
            <w:pPr>
              <w:jc w:val="right"/>
              <w:rPr>
                <w:szCs w:val="22"/>
              </w:rPr>
            </w:pPr>
            <w:r w:rsidRPr="00B53FFB">
              <w:rPr>
                <w:szCs w:val="22"/>
              </w:rPr>
              <w:t>5%</w:t>
            </w:r>
          </w:p>
        </w:tc>
        <w:tc>
          <w:tcPr>
            <w:tcW w:w="0" w:type="auto"/>
          </w:tcPr>
          <w:p w:rsidR="004A147C" w:rsidRPr="00B53FFB" w:rsidRDefault="004A147C" w:rsidP="00CE5850">
            <w:pPr>
              <w:jc w:val="right"/>
              <w:rPr>
                <w:szCs w:val="22"/>
              </w:rPr>
            </w:pPr>
            <w:r w:rsidRPr="00B53FFB">
              <w:rPr>
                <w:szCs w:val="22"/>
              </w:rPr>
              <w:t>31.4%</w:t>
            </w:r>
          </w:p>
        </w:tc>
        <w:tc>
          <w:tcPr>
            <w:tcW w:w="0" w:type="auto"/>
          </w:tcPr>
          <w:p w:rsidR="004A147C" w:rsidRPr="00B53FFB" w:rsidRDefault="004A147C" w:rsidP="00CE5850">
            <w:pPr>
              <w:jc w:val="right"/>
              <w:rPr>
                <w:szCs w:val="22"/>
              </w:rPr>
            </w:pPr>
            <w:r w:rsidRPr="00B53FFB">
              <w:rPr>
                <w:szCs w:val="22"/>
              </w:rPr>
              <w:t>$32.39</w:t>
            </w:r>
          </w:p>
        </w:tc>
        <w:tc>
          <w:tcPr>
            <w:tcW w:w="0" w:type="auto"/>
            <w:shd w:val="pct15" w:color="auto" w:fill="auto"/>
          </w:tcPr>
          <w:p w:rsidR="004A147C" w:rsidRPr="00B53FFB" w:rsidRDefault="004A147C" w:rsidP="00CE5850">
            <w:pPr>
              <w:jc w:val="right"/>
              <w:rPr>
                <w:szCs w:val="22"/>
              </w:rPr>
            </w:pPr>
            <w:r w:rsidRPr="00B53FFB">
              <w:rPr>
                <w:szCs w:val="22"/>
              </w:rPr>
              <w:t>$0.050</w:t>
            </w:r>
          </w:p>
        </w:tc>
        <w:tc>
          <w:tcPr>
            <w:tcW w:w="0" w:type="auto"/>
            <w:shd w:val="pct15" w:color="auto" w:fill="auto"/>
          </w:tcPr>
          <w:p w:rsidR="004A147C" w:rsidRPr="00B53FFB" w:rsidRDefault="004A147C" w:rsidP="00CE5850">
            <w:pPr>
              <w:jc w:val="right"/>
              <w:rPr>
                <w:szCs w:val="22"/>
              </w:rPr>
            </w:pPr>
            <w:r w:rsidRPr="00B53FFB">
              <w:rPr>
                <w:szCs w:val="22"/>
              </w:rPr>
              <w:t>1%</w:t>
            </w:r>
          </w:p>
        </w:tc>
      </w:tr>
      <w:tr w:rsidR="004A147C" w:rsidRPr="00B53FFB" w:rsidTr="00D626F5">
        <w:trPr>
          <w:trHeight w:val="252"/>
          <w:jc w:val="center"/>
        </w:trPr>
        <w:tc>
          <w:tcPr>
            <w:tcW w:w="0" w:type="auto"/>
          </w:tcPr>
          <w:p w:rsidR="004A147C" w:rsidRPr="00B53FFB" w:rsidRDefault="004A147C" w:rsidP="00CE5850">
            <w:pPr>
              <w:rPr>
                <w:rStyle w:val="Normal1"/>
                <w:szCs w:val="22"/>
              </w:rPr>
            </w:pPr>
            <w:r w:rsidRPr="00B53FFB">
              <w:rPr>
                <w:rStyle w:val="Normal1"/>
                <w:szCs w:val="22"/>
              </w:rPr>
              <w:t>2011</w:t>
            </w:r>
          </w:p>
        </w:tc>
        <w:tc>
          <w:tcPr>
            <w:tcW w:w="0" w:type="auto"/>
          </w:tcPr>
          <w:p w:rsidR="004A147C" w:rsidRPr="00B53FFB" w:rsidRDefault="004A147C" w:rsidP="00CE5850">
            <w:pPr>
              <w:jc w:val="right"/>
              <w:rPr>
                <w:szCs w:val="22"/>
              </w:rPr>
            </w:pPr>
            <w:r w:rsidRPr="00B53FFB">
              <w:rPr>
                <w:szCs w:val="22"/>
              </w:rPr>
              <w:t>$47.00</w:t>
            </w:r>
          </w:p>
        </w:tc>
        <w:tc>
          <w:tcPr>
            <w:tcW w:w="0" w:type="auto"/>
          </w:tcPr>
          <w:p w:rsidR="004A147C" w:rsidRPr="00B53FFB" w:rsidRDefault="004A147C" w:rsidP="00CE5850">
            <w:pPr>
              <w:jc w:val="right"/>
              <w:rPr>
                <w:rStyle w:val="Normal1"/>
                <w:szCs w:val="22"/>
              </w:rPr>
            </w:pPr>
            <w:r w:rsidRPr="00B53FFB">
              <w:rPr>
                <w:rStyle w:val="Normal1"/>
                <w:szCs w:val="22"/>
              </w:rPr>
              <w:t>615</w:t>
            </w:r>
          </w:p>
        </w:tc>
        <w:tc>
          <w:tcPr>
            <w:tcW w:w="0" w:type="auto"/>
          </w:tcPr>
          <w:p w:rsidR="004A147C" w:rsidRPr="00B53FFB" w:rsidRDefault="004A147C" w:rsidP="00CE5850">
            <w:pPr>
              <w:jc w:val="right"/>
              <w:rPr>
                <w:szCs w:val="22"/>
              </w:rPr>
            </w:pPr>
            <w:r w:rsidRPr="00B53FFB">
              <w:rPr>
                <w:szCs w:val="22"/>
              </w:rPr>
              <w:t>$0.08</w:t>
            </w:r>
          </w:p>
        </w:tc>
        <w:tc>
          <w:tcPr>
            <w:tcW w:w="0" w:type="auto"/>
          </w:tcPr>
          <w:p w:rsidR="004A147C" w:rsidRPr="00B53FFB" w:rsidRDefault="004A147C" w:rsidP="00CE5850">
            <w:pPr>
              <w:jc w:val="right"/>
              <w:rPr>
                <w:szCs w:val="22"/>
              </w:rPr>
            </w:pPr>
            <w:r w:rsidRPr="00B53FFB">
              <w:rPr>
                <w:szCs w:val="22"/>
              </w:rPr>
              <w:t>5%</w:t>
            </w:r>
          </w:p>
        </w:tc>
        <w:tc>
          <w:tcPr>
            <w:tcW w:w="0" w:type="auto"/>
          </w:tcPr>
          <w:p w:rsidR="004A147C" w:rsidRPr="00B53FFB" w:rsidRDefault="004A147C" w:rsidP="00CE5850">
            <w:pPr>
              <w:jc w:val="right"/>
              <w:rPr>
                <w:szCs w:val="22"/>
              </w:rPr>
            </w:pPr>
            <w:r w:rsidRPr="00B53FFB">
              <w:rPr>
                <w:szCs w:val="22"/>
              </w:rPr>
              <w:t>38.0%</w:t>
            </w:r>
          </w:p>
        </w:tc>
        <w:tc>
          <w:tcPr>
            <w:tcW w:w="0" w:type="auto"/>
          </w:tcPr>
          <w:p w:rsidR="004A147C" w:rsidRPr="00B53FFB" w:rsidRDefault="004A147C" w:rsidP="00CE5850">
            <w:pPr>
              <w:jc w:val="right"/>
              <w:rPr>
                <w:szCs w:val="22"/>
              </w:rPr>
            </w:pPr>
            <w:r w:rsidRPr="00B53FFB">
              <w:rPr>
                <w:szCs w:val="22"/>
              </w:rPr>
              <w:t>$29.14</w:t>
            </w:r>
          </w:p>
        </w:tc>
        <w:tc>
          <w:tcPr>
            <w:tcW w:w="0" w:type="auto"/>
            <w:shd w:val="pct15" w:color="auto" w:fill="auto"/>
          </w:tcPr>
          <w:p w:rsidR="004A147C" w:rsidRPr="00B53FFB" w:rsidRDefault="004A147C" w:rsidP="00CE5850">
            <w:pPr>
              <w:jc w:val="right"/>
              <w:rPr>
                <w:szCs w:val="22"/>
              </w:rPr>
            </w:pPr>
            <w:r w:rsidRPr="00B53FFB">
              <w:rPr>
                <w:szCs w:val="22"/>
              </w:rPr>
              <w:t>$0.047</w:t>
            </w:r>
          </w:p>
        </w:tc>
        <w:tc>
          <w:tcPr>
            <w:tcW w:w="0" w:type="auto"/>
            <w:shd w:val="pct15" w:color="auto" w:fill="auto"/>
          </w:tcPr>
          <w:p w:rsidR="004A147C" w:rsidRPr="00B53FFB" w:rsidRDefault="004A147C" w:rsidP="00CE5850">
            <w:pPr>
              <w:jc w:val="right"/>
              <w:rPr>
                <w:szCs w:val="22"/>
              </w:rPr>
            </w:pPr>
            <w:r w:rsidRPr="00B53FFB">
              <w:rPr>
                <w:szCs w:val="22"/>
              </w:rPr>
              <w:t>-5%</w:t>
            </w:r>
          </w:p>
        </w:tc>
      </w:tr>
    </w:tbl>
    <w:p w:rsidR="004A147C" w:rsidRPr="00B53FFB" w:rsidRDefault="004A147C" w:rsidP="000C4654">
      <w:pPr>
        <w:pStyle w:val="ParaNum"/>
        <w:tabs>
          <w:tab w:val="clear" w:pos="1440"/>
        </w:tabs>
        <w:ind w:firstLine="0"/>
        <w:rPr>
          <w:sz w:val="22"/>
          <w:szCs w:val="22"/>
        </w:rPr>
      </w:pPr>
    </w:p>
    <w:p w:rsidR="004A147C" w:rsidRPr="00B53FFB" w:rsidRDefault="004A147C" w:rsidP="00CE5850">
      <w:pPr>
        <w:pStyle w:val="Caption"/>
        <w:widowControl w:val="0"/>
        <w:spacing w:after="0"/>
        <w:jc w:val="center"/>
        <w:rPr>
          <w:sz w:val="22"/>
          <w:szCs w:val="22"/>
        </w:rPr>
      </w:pPr>
      <w:r w:rsidRPr="00B53FFB">
        <w:rPr>
          <w:sz w:val="22"/>
          <w:szCs w:val="22"/>
        </w:rPr>
        <w:t xml:space="preserve">Chart </w:t>
      </w:r>
      <w:r w:rsidR="0007014B" w:rsidRPr="00B53FFB">
        <w:rPr>
          <w:sz w:val="22"/>
          <w:szCs w:val="22"/>
        </w:rPr>
        <w:fldChar w:fldCharType="begin"/>
      </w:r>
      <w:r w:rsidRPr="00B53FFB">
        <w:rPr>
          <w:sz w:val="22"/>
          <w:szCs w:val="22"/>
        </w:rPr>
        <w:instrText xml:space="preserve"> SEQ Chart \* ARABIC </w:instrText>
      </w:r>
      <w:r w:rsidR="0007014B" w:rsidRPr="00B53FFB">
        <w:rPr>
          <w:sz w:val="22"/>
          <w:szCs w:val="22"/>
        </w:rPr>
        <w:fldChar w:fldCharType="separate"/>
      </w:r>
      <w:r w:rsidR="00CA3AC6">
        <w:rPr>
          <w:noProof/>
          <w:sz w:val="22"/>
          <w:szCs w:val="22"/>
        </w:rPr>
        <w:t>28</w:t>
      </w:r>
      <w:r w:rsidR="0007014B" w:rsidRPr="00B53FFB">
        <w:rPr>
          <w:sz w:val="22"/>
          <w:szCs w:val="22"/>
        </w:rPr>
        <w:fldChar w:fldCharType="end"/>
      </w:r>
    </w:p>
    <w:p w:rsidR="004A147C" w:rsidRPr="00B53FFB" w:rsidRDefault="004A147C" w:rsidP="00CE5850">
      <w:pPr>
        <w:pStyle w:val="Caption"/>
        <w:widowControl w:val="0"/>
        <w:spacing w:before="0"/>
        <w:jc w:val="center"/>
        <w:rPr>
          <w:sz w:val="22"/>
          <w:szCs w:val="22"/>
        </w:rPr>
      </w:pPr>
      <w:r w:rsidRPr="00B53FFB">
        <w:rPr>
          <w:sz w:val="22"/>
          <w:szCs w:val="22"/>
        </w:rPr>
        <w:t>Mobile Wireless Voice Revenue per Minute, 1993-2011</w:t>
      </w:r>
    </w:p>
    <w:p w:rsidR="004A147C" w:rsidRPr="00B53FFB" w:rsidRDefault="00C81B24" w:rsidP="00CE5850">
      <w:pPr>
        <w:pStyle w:val="ParaNum"/>
        <w:tabs>
          <w:tab w:val="clear" w:pos="1440"/>
        </w:tabs>
        <w:ind w:firstLine="0"/>
        <w:jc w:val="center"/>
        <w:rPr>
          <w:rStyle w:val="Normal1"/>
          <w:bCs/>
          <w:szCs w:val="22"/>
        </w:rPr>
      </w:pPr>
      <w:r>
        <w:rPr>
          <w:bCs/>
          <w:noProof/>
          <w:sz w:val="22"/>
          <w:szCs w:val="22"/>
        </w:rPr>
        <w:drawing>
          <wp:inline distT="0" distB="0" distL="0" distR="0" wp14:anchorId="1DF63B1A" wp14:editId="0A4603F4">
            <wp:extent cx="5286375" cy="3838575"/>
            <wp:effectExtent l="0" t="0" r="9525" b="9525"/>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286375" cy="3838575"/>
                    </a:xfrm>
                    <a:prstGeom prst="rect">
                      <a:avLst/>
                    </a:prstGeom>
                    <a:noFill/>
                    <a:ln>
                      <a:noFill/>
                    </a:ln>
                  </pic:spPr>
                </pic:pic>
              </a:graphicData>
            </a:graphic>
          </wp:inline>
        </w:drawing>
      </w:r>
    </w:p>
    <w:p w:rsidR="004A147C" w:rsidRPr="000C4654" w:rsidRDefault="004A147C" w:rsidP="00CE5850">
      <w:pPr>
        <w:pStyle w:val="ParaNum"/>
        <w:numPr>
          <w:ilvl w:val="0"/>
          <w:numId w:val="28"/>
        </w:numPr>
        <w:rPr>
          <w:bCs/>
          <w:sz w:val="22"/>
          <w:szCs w:val="22"/>
        </w:rPr>
      </w:pPr>
      <w:r w:rsidRPr="00B53FFB">
        <w:rPr>
          <w:sz w:val="22"/>
          <w:szCs w:val="22"/>
        </w:rPr>
        <w:t>The above voice RPM estimates are calculated with MOU data that include non-voice-oriented and some non-voice capable devices, which can cause MOU per reported subscriber per month to be underestimated and voice RPM to be overestimated.</w:t>
      </w:r>
      <w:r w:rsidRPr="00B53FFB">
        <w:rPr>
          <w:rStyle w:val="FootnoteReference"/>
          <w:szCs w:val="22"/>
        </w:rPr>
        <w:footnoteReference w:id="835"/>
      </w:r>
      <w:r w:rsidRPr="00B53FFB">
        <w:rPr>
          <w:sz w:val="22"/>
          <w:szCs w:val="22"/>
        </w:rPr>
        <w:t xml:space="preserve">  Since the second half of 2008, the CTIA survey has requested data on the number of laptops, netbooks and wireless broadband modems.</w:t>
      </w:r>
      <w:r w:rsidRPr="00B53FFB">
        <w:rPr>
          <w:rStyle w:val="FootnoteReference"/>
          <w:szCs w:val="22"/>
        </w:rPr>
        <w:footnoteReference w:id="836"/>
      </w:r>
      <w:r w:rsidRPr="00B53FFB">
        <w:rPr>
          <w:sz w:val="22"/>
          <w:szCs w:val="22"/>
        </w:rPr>
        <w:t xml:space="preserve">  As shown in </w:t>
      </w:r>
      <w:r w:rsidR="005B380F">
        <w:fldChar w:fldCharType="begin"/>
      </w:r>
      <w:r w:rsidR="005B380F">
        <w:instrText xml:space="preserve"> REF _Ref306279238 \h  \* MERGEFORMAT </w:instrText>
      </w:r>
      <w:r w:rsidR="005B380F">
        <w:fldChar w:fldCharType="separate"/>
      </w:r>
      <w:r w:rsidR="00CA3AC6" w:rsidRPr="00B53FFB">
        <w:rPr>
          <w:sz w:val="22"/>
          <w:szCs w:val="22"/>
        </w:rPr>
        <w:t xml:space="preserve">Table </w:t>
      </w:r>
      <w:r w:rsidR="00CA3AC6">
        <w:rPr>
          <w:noProof/>
          <w:sz w:val="22"/>
          <w:szCs w:val="22"/>
        </w:rPr>
        <w:t>39</w:t>
      </w:r>
      <w:r w:rsidR="005B380F">
        <w:fldChar w:fldCharType="end"/>
      </w:r>
      <w:r w:rsidRPr="00B53FFB">
        <w:rPr>
          <w:sz w:val="22"/>
          <w:szCs w:val="22"/>
        </w:rPr>
        <w:t>, when these CTIA estimates of the number of laptops, netbooks and wireless broadband modems are excluded, the adjusted subscriber estimates result in higher estimates of MOU per subscriber per month, and hence lower voice RPM estimates.  With the revised estimates, voice RPM still increased by one percent in December of 2010, but it declined by seven percent in December of 2011.  The revised estimates of average monthly MOUs also yield an 11 percent decrease in voice RPM in December of 2009, as compared with a nine percent decrease with the unrevised estimates.  These revised estimates still understate average monthly MOUs per subscriber and overstate voice RPM to some degree because the adjusted subscriber data continue to include in the denominator of the MOU calculation the number of “other non-voice-oriented devices” for which CTIA does not collect data.</w:t>
      </w:r>
      <w:r w:rsidRPr="00B53FFB">
        <w:rPr>
          <w:rStyle w:val="FootnoteReference"/>
          <w:szCs w:val="22"/>
        </w:rPr>
        <w:footnoteReference w:id="837"/>
      </w:r>
    </w:p>
    <w:p w:rsidR="000C4654" w:rsidRDefault="000C4654" w:rsidP="000C4654">
      <w:pPr>
        <w:pStyle w:val="ParaNum"/>
        <w:tabs>
          <w:tab w:val="clear" w:pos="1440"/>
        </w:tabs>
        <w:rPr>
          <w:sz w:val="22"/>
          <w:szCs w:val="22"/>
        </w:rPr>
      </w:pPr>
    </w:p>
    <w:p w:rsidR="000C4654" w:rsidRDefault="000C4654" w:rsidP="000C4654">
      <w:pPr>
        <w:pStyle w:val="ParaNum"/>
        <w:tabs>
          <w:tab w:val="clear" w:pos="1440"/>
        </w:tabs>
        <w:rPr>
          <w:sz w:val="22"/>
          <w:szCs w:val="22"/>
        </w:rPr>
      </w:pPr>
    </w:p>
    <w:p w:rsidR="000C4654" w:rsidRPr="00B53FFB" w:rsidRDefault="000C4654" w:rsidP="000C4654">
      <w:pPr>
        <w:pStyle w:val="ParaNum"/>
        <w:tabs>
          <w:tab w:val="clear" w:pos="1440"/>
        </w:tabs>
        <w:rPr>
          <w:rStyle w:val="Normal1"/>
          <w:bCs/>
          <w:szCs w:val="22"/>
        </w:rPr>
      </w:pPr>
    </w:p>
    <w:p w:rsidR="004A147C" w:rsidRPr="00B53FFB" w:rsidRDefault="004A147C" w:rsidP="00CE5850">
      <w:pPr>
        <w:pStyle w:val="Caption"/>
        <w:widowControl w:val="0"/>
        <w:jc w:val="center"/>
        <w:rPr>
          <w:b w:val="0"/>
          <w:bCs w:val="0"/>
          <w:sz w:val="22"/>
          <w:szCs w:val="22"/>
        </w:rPr>
      </w:pPr>
      <w:bookmarkStart w:id="3895" w:name="_Ref306279238"/>
      <w:r w:rsidRPr="00B53FFB">
        <w:rPr>
          <w:sz w:val="22"/>
          <w:szCs w:val="22"/>
        </w:rPr>
        <w:t xml:space="preserve">Table </w:t>
      </w:r>
      <w:r w:rsidR="0007014B" w:rsidRPr="00B53FFB">
        <w:rPr>
          <w:sz w:val="22"/>
          <w:szCs w:val="22"/>
        </w:rPr>
        <w:fldChar w:fldCharType="begin"/>
      </w:r>
      <w:r w:rsidRPr="00B53FFB">
        <w:rPr>
          <w:sz w:val="22"/>
          <w:szCs w:val="22"/>
        </w:rPr>
        <w:instrText xml:space="preserve"> SEQ Table \* ARABIC </w:instrText>
      </w:r>
      <w:r w:rsidR="0007014B" w:rsidRPr="00B53FFB">
        <w:rPr>
          <w:sz w:val="22"/>
          <w:szCs w:val="22"/>
        </w:rPr>
        <w:fldChar w:fldCharType="separate"/>
      </w:r>
      <w:r w:rsidR="00CA3AC6">
        <w:rPr>
          <w:noProof/>
          <w:sz w:val="22"/>
          <w:szCs w:val="22"/>
        </w:rPr>
        <w:t>39</w:t>
      </w:r>
      <w:r w:rsidR="0007014B" w:rsidRPr="00B53FFB">
        <w:rPr>
          <w:sz w:val="22"/>
          <w:szCs w:val="22"/>
        </w:rPr>
        <w:fldChar w:fldCharType="end"/>
      </w:r>
      <w:bookmarkEnd w:id="3895"/>
      <w:r w:rsidRPr="00B53FFB">
        <w:rPr>
          <w:b w:val="0"/>
          <w:sz w:val="22"/>
          <w:szCs w:val="22"/>
        </w:rPr>
        <w:br/>
      </w:r>
      <w:r w:rsidRPr="00B53FFB">
        <w:rPr>
          <w:bCs w:val="0"/>
          <w:sz w:val="22"/>
          <w:szCs w:val="22"/>
        </w:rPr>
        <w:t>Average Revenue Per Minute Excluding Non-Voice Devices, 2008-2011</w:t>
      </w:r>
      <w:r>
        <w:rPr>
          <w:rStyle w:val="FootnoteReference"/>
          <w:bCs w:val="0"/>
          <w:szCs w:val="22"/>
        </w:rPr>
        <w:footnoteReference w:id="838"/>
      </w:r>
    </w:p>
    <w:tbl>
      <w:tblPr>
        <w:tblW w:w="962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30" w:type="dxa"/>
          <w:right w:w="30" w:type="dxa"/>
        </w:tblCellMar>
        <w:tblLook w:val="0000" w:firstRow="0" w:lastRow="0" w:firstColumn="0" w:lastColumn="0" w:noHBand="0" w:noVBand="0"/>
      </w:tblPr>
      <w:tblGrid>
        <w:gridCol w:w="748"/>
        <w:gridCol w:w="843"/>
        <w:gridCol w:w="1063"/>
        <w:gridCol w:w="1017"/>
        <w:gridCol w:w="1127"/>
        <w:gridCol w:w="1350"/>
        <w:gridCol w:w="1340"/>
        <w:gridCol w:w="1106"/>
        <w:gridCol w:w="1034"/>
      </w:tblGrid>
      <w:tr w:rsidR="004A147C" w:rsidRPr="00B53FFB" w:rsidTr="004D01F0">
        <w:trPr>
          <w:trHeight w:val="214"/>
          <w:jc w:val="center"/>
        </w:trPr>
        <w:tc>
          <w:tcPr>
            <w:tcW w:w="748" w:type="dxa"/>
          </w:tcPr>
          <w:p w:rsidR="004A147C" w:rsidRPr="008D57D3" w:rsidRDefault="004A147C" w:rsidP="00CE5850">
            <w:pPr>
              <w:rPr>
                <w:rStyle w:val="Normal1"/>
                <w:b/>
                <w:sz w:val="20"/>
              </w:rPr>
            </w:pPr>
            <w:r w:rsidRPr="008D57D3">
              <w:rPr>
                <w:rStyle w:val="Normal1"/>
                <w:b/>
                <w:sz w:val="20"/>
              </w:rPr>
              <w:t>Year</w:t>
            </w:r>
          </w:p>
        </w:tc>
        <w:tc>
          <w:tcPr>
            <w:tcW w:w="843" w:type="dxa"/>
          </w:tcPr>
          <w:p w:rsidR="004A147C" w:rsidRPr="008D57D3" w:rsidRDefault="004A147C" w:rsidP="00CE5850">
            <w:pPr>
              <w:jc w:val="center"/>
              <w:rPr>
                <w:rStyle w:val="Normal1"/>
                <w:b/>
                <w:sz w:val="20"/>
              </w:rPr>
            </w:pPr>
            <w:r w:rsidRPr="008D57D3">
              <w:rPr>
                <w:rStyle w:val="Normal1"/>
                <w:b/>
                <w:sz w:val="20"/>
              </w:rPr>
              <w:t>Average Local Monthly Bill</w:t>
            </w:r>
          </w:p>
        </w:tc>
        <w:tc>
          <w:tcPr>
            <w:tcW w:w="1063" w:type="dxa"/>
          </w:tcPr>
          <w:p w:rsidR="004A147C" w:rsidRPr="008D57D3" w:rsidRDefault="004A147C" w:rsidP="00CE5850">
            <w:pPr>
              <w:jc w:val="center"/>
              <w:rPr>
                <w:b/>
                <w:sz w:val="20"/>
              </w:rPr>
            </w:pPr>
            <w:r w:rsidRPr="008D57D3">
              <w:rPr>
                <w:b/>
                <w:sz w:val="20"/>
              </w:rPr>
              <w:t xml:space="preserve">MOU </w:t>
            </w:r>
          </w:p>
          <w:p w:rsidR="004A147C" w:rsidRPr="008D57D3" w:rsidRDefault="004A147C" w:rsidP="00CE5850">
            <w:pPr>
              <w:jc w:val="center"/>
              <w:rPr>
                <w:b/>
                <w:sz w:val="20"/>
              </w:rPr>
            </w:pPr>
            <w:r w:rsidRPr="008D57D3">
              <w:rPr>
                <w:b/>
                <w:sz w:val="20"/>
              </w:rPr>
              <w:t xml:space="preserve"> Per </w:t>
            </w:r>
          </w:p>
          <w:p w:rsidR="004A147C" w:rsidRPr="008D57D3" w:rsidRDefault="004A147C" w:rsidP="00CE5850">
            <w:pPr>
              <w:jc w:val="center"/>
              <w:rPr>
                <w:rStyle w:val="Normal1"/>
                <w:b/>
                <w:sz w:val="20"/>
              </w:rPr>
            </w:pPr>
            <w:r w:rsidRPr="008D57D3">
              <w:rPr>
                <w:b/>
                <w:sz w:val="20"/>
              </w:rPr>
              <w:t>Subscriber</w:t>
            </w:r>
            <w:r w:rsidRPr="008D57D3" w:rsidDel="001F7531">
              <w:rPr>
                <w:b/>
                <w:sz w:val="20"/>
              </w:rPr>
              <w:t xml:space="preserve"> </w:t>
            </w:r>
            <w:r w:rsidRPr="008D57D3">
              <w:rPr>
                <w:rStyle w:val="Normal1"/>
                <w:b/>
                <w:sz w:val="20"/>
              </w:rPr>
              <w:t>Per Month</w:t>
            </w:r>
          </w:p>
        </w:tc>
        <w:tc>
          <w:tcPr>
            <w:tcW w:w="1017" w:type="dxa"/>
          </w:tcPr>
          <w:p w:rsidR="004A147C" w:rsidRPr="008D57D3" w:rsidRDefault="004A147C" w:rsidP="00CE5850">
            <w:pPr>
              <w:jc w:val="center"/>
              <w:rPr>
                <w:rStyle w:val="Normal1"/>
                <w:b/>
                <w:sz w:val="20"/>
              </w:rPr>
            </w:pPr>
            <w:r w:rsidRPr="008D57D3">
              <w:rPr>
                <w:rStyle w:val="Normal1"/>
                <w:b/>
                <w:sz w:val="20"/>
              </w:rPr>
              <w:t>Blended</w:t>
            </w:r>
          </w:p>
          <w:p w:rsidR="004A147C" w:rsidRPr="008D57D3" w:rsidRDefault="004A147C" w:rsidP="00CE5850">
            <w:pPr>
              <w:jc w:val="center"/>
              <w:rPr>
                <w:rStyle w:val="Normal1"/>
                <w:b/>
                <w:sz w:val="20"/>
              </w:rPr>
            </w:pPr>
            <w:r w:rsidRPr="008D57D3">
              <w:rPr>
                <w:rStyle w:val="Normal1"/>
                <w:b/>
                <w:sz w:val="20"/>
              </w:rPr>
              <w:t xml:space="preserve">Average </w:t>
            </w:r>
          </w:p>
          <w:p w:rsidR="004A147C" w:rsidRPr="008D57D3" w:rsidDel="001F7531" w:rsidRDefault="004A147C" w:rsidP="00CE5850">
            <w:pPr>
              <w:jc w:val="center"/>
              <w:rPr>
                <w:rStyle w:val="Normal1"/>
                <w:b/>
                <w:sz w:val="20"/>
              </w:rPr>
            </w:pPr>
            <w:r w:rsidRPr="008D57D3">
              <w:rPr>
                <w:rStyle w:val="Normal1"/>
                <w:b/>
                <w:sz w:val="20"/>
              </w:rPr>
              <w:t xml:space="preserve">RPM </w:t>
            </w:r>
          </w:p>
          <w:p w:rsidR="004A147C" w:rsidRPr="008D57D3" w:rsidRDefault="004A147C" w:rsidP="00CE5850">
            <w:pPr>
              <w:jc w:val="center"/>
              <w:rPr>
                <w:rStyle w:val="Normal1"/>
                <w:b/>
                <w:sz w:val="20"/>
              </w:rPr>
            </w:pPr>
          </w:p>
        </w:tc>
        <w:tc>
          <w:tcPr>
            <w:tcW w:w="1127" w:type="dxa"/>
          </w:tcPr>
          <w:p w:rsidR="004A147C" w:rsidRPr="008D57D3" w:rsidRDefault="004A147C" w:rsidP="00CE5850">
            <w:pPr>
              <w:jc w:val="center"/>
              <w:rPr>
                <w:rStyle w:val="Normal1"/>
                <w:b/>
                <w:sz w:val="20"/>
              </w:rPr>
            </w:pPr>
            <w:r w:rsidRPr="008D57D3">
              <w:rPr>
                <w:rStyle w:val="Normal1"/>
                <w:b/>
                <w:sz w:val="20"/>
              </w:rPr>
              <w:t xml:space="preserve">Annual </w:t>
            </w:r>
          </w:p>
          <w:p w:rsidR="004A147C" w:rsidRPr="008D57D3" w:rsidRDefault="004A147C" w:rsidP="00CE5850">
            <w:pPr>
              <w:jc w:val="center"/>
              <w:rPr>
                <w:rStyle w:val="Normal1"/>
                <w:b/>
                <w:sz w:val="20"/>
              </w:rPr>
            </w:pPr>
            <w:r w:rsidRPr="008D57D3">
              <w:rPr>
                <w:rStyle w:val="Normal1"/>
                <w:b/>
                <w:sz w:val="20"/>
              </w:rPr>
              <w:t xml:space="preserve">Percentage Change </w:t>
            </w:r>
          </w:p>
          <w:p w:rsidR="004A147C" w:rsidRPr="008D57D3" w:rsidRDefault="004A147C" w:rsidP="00CE5850">
            <w:pPr>
              <w:jc w:val="center"/>
              <w:rPr>
                <w:rStyle w:val="Normal1"/>
                <w:b/>
                <w:sz w:val="20"/>
              </w:rPr>
            </w:pPr>
            <w:r w:rsidRPr="008D57D3">
              <w:rPr>
                <w:rStyle w:val="Normal1"/>
                <w:b/>
                <w:sz w:val="20"/>
              </w:rPr>
              <w:t xml:space="preserve">in Blended </w:t>
            </w:r>
          </w:p>
          <w:p w:rsidR="004A147C" w:rsidRPr="008D57D3" w:rsidRDefault="004A147C" w:rsidP="00CE5850">
            <w:pPr>
              <w:jc w:val="center"/>
              <w:rPr>
                <w:rStyle w:val="Normal1"/>
                <w:b/>
                <w:sz w:val="20"/>
              </w:rPr>
            </w:pPr>
            <w:r w:rsidRPr="008D57D3">
              <w:rPr>
                <w:rStyle w:val="Normal1"/>
                <w:b/>
                <w:sz w:val="20"/>
              </w:rPr>
              <w:t>Average</w:t>
            </w:r>
          </w:p>
          <w:p w:rsidR="004A147C" w:rsidRPr="008D57D3" w:rsidRDefault="004A147C" w:rsidP="00CE5850">
            <w:pPr>
              <w:jc w:val="center"/>
              <w:rPr>
                <w:rStyle w:val="Normal1"/>
                <w:b/>
                <w:sz w:val="20"/>
              </w:rPr>
            </w:pPr>
            <w:r w:rsidRPr="008D57D3">
              <w:rPr>
                <w:rStyle w:val="Normal1"/>
                <w:b/>
                <w:sz w:val="20"/>
              </w:rPr>
              <w:t>RPM</w:t>
            </w:r>
            <w:r w:rsidRPr="008D57D3" w:rsidDel="001F7531">
              <w:rPr>
                <w:rStyle w:val="Normal1"/>
                <w:b/>
                <w:sz w:val="20"/>
              </w:rPr>
              <w:t xml:space="preserve"> </w:t>
            </w:r>
          </w:p>
        </w:tc>
        <w:tc>
          <w:tcPr>
            <w:tcW w:w="1350" w:type="dxa"/>
          </w:tcPr>
          <w:p w:rsidR="004A147C" w:rsidRPr="008D57D3" w:rsidRDefault="004A147C" w:rsidP="00CE5850">
            <w:pPr>
              <w:jc w:val="center"/>
              <w:rPr>
                <w:rStyle w:val="Normal1"/>
                <w:b/>
                <w:sz w:val="20"/>
              </w:rPr>
            </w:pPr>
            <w:r w:rsidRPr="008D57D3">
              <w:rPr>
                <w:rStyle w:val="Normal1"/>
                <w:b/>
                <w:sz w:val="20"/>
              </w:rPr>
              <w:t xml:space="preserve">Data </w:t>
            </w:r>
          </w:p>
          <w:p w:rsidR="004A147C" w:rsidRPr="008D57D3" w:rsidRDefault="004A147C" w:rsidP="00CE5850">
            <w:pPr>
              <w:jc w:val="center"/>
              <w:rPr>
                <w:rStyle w:val="Normal1"/>
                <w:b/>
                <w:sz w:val="20"/>
              </w:rPr>
            </w:pPr>
            <w:r w:rsidRPr="008D57D3">
              <w:rPr>
                <w:rStyle w:val="Normal1"/>
                <w:b/>
                <w:sz w:val="20"/>
              </w:rPr>
              <w:t xml:space="preserve">Revenue </w:t>
            </w:r>
          </w:p>
          <w:p w:rsidR="004A147C" w:rsidRPr="008D57D3" w:rsidRDefault="004A147C" w:rsidP="00CE5850">
            <w:pPr>
              <w:jc w:val="center"/>
              <w:rPr>
                <w:rStyle w:val="Normal1"/>
                <w:b/>
                <w:sz w:val="20"/>
              </w:rPr>
            </w:pPr>
            <w:r w:rsidRPr="008D57D3">
              <w:rPr>
                <w:rStyle w:val="Normal1"/>
                <w:b/>
                <w:sz w:val="20"/>
              </w:rPr>
              <w:t xml:space="preserve">as Percent </w:t>
            </w:r>
          </w:p>
          <w:p w:rsidR="004A147C" w:rsidRPr="008D57D3" w:rsidRDefault="004A147C" w:rsidP="00CE5850">
            <w:pPr>
              <w:jc w:val="center"/>
              <w:rPr>
                <w:rStyle w:val="Normal1"/>
                <w:b/>
                <w:sz w:val="20"/>
              </w:rPr>
            </w:pPr>
            <w:r w:rsidRPr="008D57D3">
              <w:rPr>
                <w:rStyle w:val="Normal1"/>
                <w:b/>
                <w:sz w:val="20"/>
              </w:rPr>
              <w:t>of Total</w:t>
            </w:r>
          </w:p>
          <w:p w:rsidR="004A147C" w:rsidRPr="008D57D3" w:rsidRDefault="004A147C" w:rsidP="00CE5850">
            <w:pPr>
              <w:jc w:val="center"/>
              <w:rPr>
                <w:rStyle w:val="Normal1"/>
                <w:b/>
                <w:sz w:val="20"/>
              </w:rPr>
            </w:pPr>
            <w:r w:rsidRPr="008D57D3">
              <w:rPr>
                <w:rStyle w:val="Normal1"/>
                <w:b/>
                <w:sz w:val="20"/>
              </w:rPr>
              <w:t xml:space="preserve"> Service Revenues</w:t>
            </w:r>
          </w:p>
        </w:tc>
        <w:tc>
          <w:tcPr>
            <w:tcW w:w="1340" w:type="dxa"/>
          </w:tcPr>
          <w:p w:rsidR="004A147C" w:rsidRPr="008D57D3" w:rsidRDefault="004A147C" w:rsidP="00CE5850">
            <w:pPr>
              <w:jc w:val="center"/>
              <w:rPr>
                <w:rStyle w:val="Normal1"/>
                <w:b/>
                <w:sz w:val="20"/>
              </w:rPr>
            </w:pPr>
            <w:r w:rsidRPr="008D57D3">
              <w:rPr>
                <w:rStyle w:val="Normal1"/>
                <w:b/>
                <w:sz w:val="20"/>
              </w:rPr>
              <w:t>Average</w:t>
            </w:r>
          </w:p>
          <w:p w:rsidR="004A147C" w:rsidRPr="008D57D3" w:rsidRDefault="004A147C" w:rsidP="00CE5850">
            <w:pPr>
              <w:jc w:val="center"/>
              <w:rPr>
                <w:rStyle w:val="Normal1"/>
                <w:b/>
                <w:sz w:val="20"/>
              </w:rPr>
            </w:pPr>
            <w:r w:rsidRPr="008D57D3">
              <w:rPr>
                <w:rStyle w:val="Normal1"/>
                <w:b/>
                <w:sz w:val="20"/>
              </w:rPr>
              <w:t xml:space="preserve"> Local</w:t>
            </w:r>
          </w:p>
          <w:p w:rsidR="004A147C" w:rsidRPr="008D57D3" w:rsidRDefault="004A147C" w:rsidP="00CE5850">
            <w:pPr>
              <w:jc w:val="center"/>
              <w:rPr>
                <w:rStyle w:val="Normal1"/>
                <w:b/>
                <w:sz w:val="20"/>
              </w:rPr>
            </w:pPr>
            <w:r w:rsidRPr="008D57D3">
              <w:rPr>
                <w:rStyle w:val="Normal1"/>
                <w:b/>
                <w:sz w:val="20"/>
              </w:rPr>
              <w:t xml:space="preserve"> Monthly </w:t>
            </w:r>
          </w:p>
          <w:p w:rsidR="004A147C" w:rsidRPr="008D57D3" w:rsidRDefault="004A147C" w:rsidP="00CE5850">
            <w:pPr>
              <w:jc w:val="center"/>
              <w:rPr>
                <w:rStyle w:val="Normal1"/>
                <w:b/>
                <w:sz w:val="20"/>
              </w:rPr>
            </w:pPr>
            <w:r w:rsidRPr="008D57D3">
              <w:rPr>
                <w:rStyle w:val="Normal1"/>
                <w:b/>
                <w:sz w:val="20"/>
              </w:rPr>
              <w:t xml:space="preserve">Bill </w:t>
            </w:r>
          </w:p>
          <w:p w:rsidR="004A147C" w:rsidRPr="008D57D3" w:rsidRDefault="004A147C" w:rsidP="00CE5850">
            <w:pPr>
              <w:jc w:val="center"/>
              <w:rPr>
                <w:rStyle w:val="Normal1"/>
                <w:b/>
                <w:sz w:val="20"/>
              </w:rPr>
            </w:pPr>
            <w:r w:rsidRPr="008D57D3">
              <w:rPr>
                <w:rStyle w:val="Normal1"/>
                <w:b/>
                <w:sz w:val="20"/>
              </w:rPr>
              <w:t xml:space="preserve">(ex. Data </w:t>
            </w:r>
          </w:p>
          <w:p w:rsidR="004A147C" w:rsidRPr="008D57D3" w:rsidRDefault="004A147C" w:rsidP="00CE5850">
            <w:pPr>
              <w:jc w:val="center"/>
              <w:rPr>
                <w:rStyle w:val="Normal1"/>
                <w:b/>
                <w:sz w:val="20"/>
              </w:rPr>
            </w:pPr>
            <w:r w:rsidRPr="008D57D3">
              <w:rPr>
                <w:rStyle w:val="Normal1"/>
                <w:b/>
                <w:sz w:val="20"/>
              </w:rPr>
              <w:t>Revenues)</w:t>
            </w:r>
          </w:p>
        </w:tc>
        <w:tc>
          <w:tcPr>
            <w:tcW w:w="1106" w:type="dxa"/>
            <w:shd w:val="pct15" w:color="auto" w:fill="auto"/>
          </w:tcPr>
          <w:p w:rsidR="004A147C" w:rsidRPr="008D57D3" w:rsidRDefault="004A147C" w:rsidP="00CE5850">
            <w:pPr>
              <w:jc w:val="center"/>
              <w:rPr>
                <w:rStyle w:val="Normal1"/>
                <w:b/>
                <w:sz w:val="20"/>
              </w:rPr>
            </w:pPr>
            <w:r w:rsidRPr="008D57D3">
              <w:rPr>
                <w:rStyle w:val="Normal1"/>
                <w:b/>
                <w:sz w:val="20"/>
              </w:rPr>
              <w:t>Average</w:t>
            </w:r>
          </w:p>
          <w:p w:rsidR="004A147C" w:rsidRPr="008D57D3" w:rsidRDefault="004A147C" w:rsidP="00CE5850">
            <w:pPr>
              <w:jc w:val="center"/>
              <w:rPr>
                <w:rStyle w:val="Normal1"/>
                <w:b/>
                <w:sz w:val="20"/>
              </w:rPr>
            </w:pPr>
            <w:r w:rsidRPr="008D57D3">
              <w:rPr>
                <w:rStyle w:val="Normal1"/>
                <w:b/>
                <w:sz w:val="20"/>
              </w:rPr>
              <w:t xml:space="preserve">Voice </w:t>
            </w:r>
          </w:p>
          <w:p w:rsidR="004A147C" w:rsidRPr="008D57D3" w:rsidRDefault="004A147C" w:rsidP="00CE5850">
            <w:pPr>
              <w:jc w:val="center"/>
              <w:rPr>
                <w:rStyle w:val="Normal1"/>
                <w:b/>
                <w:sz w:val="20"/>
              </w:rPr>
            </w:pPr>
            <w:r w:rsidRPr="008D57D3">
              <w:rPr>
                <w:rStyle w:val="Normal1"/>
                <w:b/>
                <w:sz w:val="20"/>
              </w:rPr>
              <w:t>RPM</w:t>
            </w:r>
          </w:p>
        </w:tc>
        <w:tc>
          <w:tcPr>
            <w:tcW w:w="1034" w:type="dxa"/>
            <w:shd w:val="pct15" w:color="auto" w:fill="auto"/>
          </w:tcPr>
          <w:p w:rsidR="004A147C" w:rsidRPr="008D57D3" w:rsidRDefault="004A147C" w:rsidP="00CE5850">
            <w:pPr>
              <w:jc w:val="center"/>
              <w:rPr>
                <w:rStyle w:val="Normal1"/>
                <w:b/>
                <w:sz w:val="20"/>
              </w:rPr>
            </w:pPr>
            <w:r w:rsidRPr="008D57D3">
              <w:rPr>
                <w:rStyle w:val="Normal1"/>
                <w:b/>
                <w:sz w:val="20"/>
              </w:rPr>
              <w:t>Annual</w:t>
            </w:r>
          </w:p>
          <w:p w:rsidR="004A147C" w:rsidRPr="008D57D3" w:rsidRDefault="004A147C" w:rsidP="00CE5850">
            <w:pPr>
              <w:jc w:val="center"/>
              <w:rPr>
                <w:rStyle w:val="Normal1"/>
                <w:b/>
                <w:sz w:val="20"/>
              </w:rPr>
            </w:pPr>
            <w:r w:rsidRPr="008D57D3">
              <w:rPr>
                <w:rStyle w:val="Normal1"/>
                <w:b/>
                <w:sz w:val="20"/>
              </w:rPr>
              <w:t>Percentage Change</w:t>
            </w:r>
          </w:p>
          <w:p w:rsidR="004A147C" w:rsidRPr="008D57D3" w:rsidRDefault="004A147C" w:rsidP="00CE5850">
            <w:pPr>
              <w:jc w:val="center"/>
              <w:rPr>
                <w:rStyle w:val="Normal1"/>
                <w:b/>
                <w:sz w:val="20"/>
              </w:rPr>
            </w:pPr>
            <w:r w:rsidRPr="008D57D3">
              <w:rPr>
                <w:rStyle w:val="Normal1"/>
                <w:b/>
                <w:sz w:val="20"/>
              </w:rPr>
              <w:t xml:space="preserve"> in Voice RPM</w:t>
            </w:r>
          </w:p>
        </w:tc>
      </w:tr>
      <w:tr w:rsidR="004A147C" w:rsidRPr="00B53FFB" w:rsidTr="004D01F0">
        <w:trPr>
          <w:trHeight w:val="252"/>
          <w:jc w:val="center"/>
        </w:trPr>
        <w:tc>
          <w:tcPr>
            <w:tcW w:w="748" w:type="dxa"/>
          </w:tcPr>
          <w:p w:rsidR="004A147C" w:rsidRPr="008D57D3" w:rsidRDefault="004A147C" w:rsidP="00CE5850">
            <w:pPr>
              <w:rPr>
                <w:rStyle w:val="Normal1"/>
                <w:sz w:val="20"/>
              </w:rPr>
            </w:pPr>
            <w:r w:rsidRPr="008D57D3">
              <w:rPr>
                <w:rStyle w:val="Normal1"/>
                <w:sz w:val="20"/>
              </w:rPr>
              <w:t>2008</w:t>
            </w:r>
          </w:p>
        </w:tc>
        <w:tc>
          <w:tcPr>
            <w:tcW w:w="843" w:type="dxa"/>
          </w:tcPr>
          <w:p w:rsidR="004A147C" w:rsidRPr="008D57D3" w:rsidRDefault="004A147C" w:rsidP="00CE5850">
            <w:pPr>
              <w:jc w:val="right"/>
              <w:rPr>
                <w:sz w:val="20"/>
              </w:rPr>
            </w:pPr>
            <w:r w:rsidRPr="008D57D3">
              <w:rPr>
                <w:sz w:val="20"/>
              </w:rPr>
              <w:t>$50.07</w:t>
            </w:r>
          </w:p>
        </w:tc>
        <w:tc>
          <w:tcPr>
            <w:tcW w:w="1063" w:type="dxa"/>
          </w:tcPr>
          <w:p w:rsidR="004A147C" w:rsidRPr="008D57D3" w:rsidRDefault="004A147C" w:rsidP="00CE5850">
            <w:pPr>
              <w:jc w:val="right"/>
              <w:rPr>
                <w:rStyle w:val="Normal1"/>
                <w:sz w:val="20"/>
              </w:rPr>
            </w:pPr>
            <w:r w:rsidRPr="008D57D3">
              <w:rPr>
                <w:rStyle w:val="Normal1"/>
                <w:sz w:val="20"/>
              </w:rPr>
              <w:t>724</w:t>
            </w:r>
          </w:p>
        </w:tc>
        <w:tc>
          <w:tcPr>
            <w:tcW w:w="1017" w:type="dxa"/>
          </w:tcPr>
          <w:p w:rsidR="004A147C" w:rsidRPr="008D57D3" w:rsidRDefault="004A147C" w:rsidP="00CE5850">
            <w:pPr>
              <w:jc w:val="right"/>
              <w:rPr>
                <w:sz w:val="20"/>
              </w:rPr>
            </w:pPr>
            <w:r w:rsidRPr="008D57D3">
              <w:rPr>
                <w:sz w:val="20"/>
              </w:rPr>
              <w:t>$0.07</w:t>
            </w:r>
          </w:p>
        </w:tc>
        <w:tc>
          <w:tcPr>
            <w:tcW w:w="1127" w:type="dxa"/>
          </w:tcPr>
          <w:p w:rsidR="004A147C" w:rsidRPr="008D57D3" w:rsidRDefault="004A147C" w:rsidP="00CE5850">
            <w:pPr>
              <w:jc w:val="right"/>
              <w:rPr>
                <w:sz w:val="20"/>
              </w:rPr>
            </w:pPr>
          </w:p>
        </w:tc>
        <w:tc>
          <w:tcPr>
            <w:tcW w:w="1350" w:type="dxa"/>
          </w:tcPr>
          <w:p w:rsidR="004A147C" w:rsidRPr="008D57D3" w:rsidRDefault="004A147C" w:rsidP="00CE5850">
            <w:pPr>
              <w:jc w:val="right"/>
              <w:rPr>
                <w:sz w:val="20"/>
              </w:rPr>
            </w:pPr>
            <w:r w:rsidRPr="008D57D3">
              <w:rPr>
                <w:sz w:val="20"/>
              </w:rPr>
              <w:t>23.3%</w:t>
            </w:r>
          </w:p>
        </w:tc>
        <w:tc>
          <w:tcPr>
            <w:tcW w:w="1340" w:type="dxa"/>
          </w:tcPr>
          <w:p w:rsidR="004A147C" w:rsidRPr="008D57D3" w:rsidRDefault="004A147C" w:rsidP="00CE5850">
            <w:pPr>
              <w:jc w:val="right"/>
              <w:rPr>
                <w:sz w:val="20"/>
              </w:rPr>
            </w:pPr>
            <w:r w:rsidRPr="008D57D3">
              <w:rPr>
                <w:sz w:val="20"/>
              </w:rPr>
              <w:t>$38.40</w:t>
            </w:r>
          </w:p>
        </w:tc>
        <w:tc>
          <w:tcPr>
            <w:tcW w:w="1106" w:type="dxa"/>
            <w:shd w:val="pct15" w:color="auto" w:fill="auto"/>
          </w:tcPr>
          <w:p w:rsidR="004A147C" w:rsidRPr="008D57D3" w:rsidRDefault="004A147C" w:rsidP="00CE5850">
            <w:pPr>
              <w:jc w:val="right"/>
              <w:rPr>
                <w:sz w:val="20"/>
              </w:rPr>
            </w:pPr>
            <w:r w:rsidRPr="008D57D3">
              <w:rPr>
                <w:sz w:val="20"/>
              </w:rPr>
              <w:t>$0.053</w:t>
            </w:r>
          </w:p>
        </w:tc>
        <w:tc>
          <w:tcPr>
            <w:tcW w:w="1034" w:type="dxa"/>
            <w:shd w:val="pct15" w:color="auto" w:fill="auto"/>
          </w:tcPr>
          <w:p w:rsidR="004A147C" w:rsidRPr="008D57D3" w:rsidRDefault="004A147C" w:rsidP="00CE5850">
            <w:pPr>
              <w:jc w:val="right"/>
              <w:rPr>
                <w:sz w:val="20"/>
              </w:rPr>
            </w:pPr>
          </w:p>
        </w:tc>
      </w:tr>
      <w:tr w:rsidR="004A147C" w:rsidRPr="00B53FFB" w:rsidTr="004D01F0">
        <w:trPr>
          <w:trHeight w:val="252"/>
          <w:jc w:val="center"/>
        </w:trPr>
        <w:tc>
          <w:tcPr>
            <w:tcW w:w="748" w:type="dxa"/>
          </w:tcPr>
          <w:p w:rsidR="004A147C" w:rsidRPr="008D57D3" w:rsidRDefault="004A147C" w:rsidP="00CE5850">
            <w:pPr>
              <w:rPr>
                <w:rStyle w:val="Normal1"/>
                <w:sz w:val="20"/>
              </w:rPr>
            </w:pPr>
            <w:r w:rsidRPr="008D57D3">
              <w:rPr>
                <w:rStyle w:val="Normal1"/>
                <w:sz w:val="20"/>
              </w:rPr>
              <w:t>2009</w:t>
            </w:r>
          </w:p>
        </w:tc>
        <w:tc>
          <w:tcPr>
            <w:tcW w:w="843" w:type="dxa"/>
          </w:tcPr>
          <w:p w:rsidR="004A147C" w:rsidRPr="008D57D3" w:rsidRDefault="004A147C" w:rsidP="00CE5850">
            <w:pPr>
              <w:jc w:val="right"/>
              <w:rPr>
                <w:sz w:val="20"/>
              </w:rPr>
            </w:pPr>
            <w:r w:rsidRPr="008D57D3">
              <w:rPr>
                <w:sz w:val="20"/>
              </w:rPr>
              <w:t>$48.16</w:t>
            </w:r>
          </w:p>
        </w:tc>
        <w:tc>
          <w:tcPr>
            <w:tcW w:w="1063" w:type="dxa"/>
          </w:tcPr>
          <w:p w:rsidR="004A147C" w:rsidRPr="008D57D3" w:rsidRDefault="004A147C" w:rsidP="00CE5850">
            <w:pPr>
              <w:jc w:val="right"/>
              <w:rPr>
                <w:rStyle w:val="Normal1"/>
                <w:sz w:val="20"/>
              </w:rPr>
            </w:pPr>
            <w:r w:rsidRPr="008D57D3">
              <w:rPr>
                <w:rStyle w:val="Normal1"/>
                <w:sz w:val="20"/>
              </w:rPr>
              <w:t>729</w:t>
            </w:r>
          </w:p>
        </w:tc>
        <w:tc>
          <w:tcPr>
            <w:tcW w:w="1017" w:type="dxa"/>
          </w:tcPr>
          <w:p w:rsidR="004A147C" w:rsidRPr="008D57D3" w:rsidRDefault="004A147C" w:rsidP="00CE5850">
            <w:pPr>
              <w:jc w:val="right"/>
              <w:rPr>
                <w:sz w:val="20"/>
              </w:rPr>
            </w:pPr>
            <w:r w:rsidRPr="008D57D3">
              <w:rPr>
                <w:sz w:val="20"/>
              </w:rPr>
              <w:t>$0.07</w:t>
            </w:r>
          </w:p>
        </w:tc>
        <w:tc>
          <w:tcPr>
            <w:tcW w:w="1127" w:type="dxa"/>
          </w:tcPr>
          <w:p w:rsidR="004A147C" w:rsidRPr="008D57D3" w:rsidRDefault="004A147C" w:rsidP="00CE5850">
            <w:pPr>
              <w:jc w:val="right"/>
              <w:rPr>
                <w:sz w:val="20"/>
              </w:rPr>
            </w:pPr>
            <w:r w:rsidRPr="008D57D3">
              <w:rPr>
                <w:sz w:val="20"/>
              </w:rPr>
              <w:t>-4%</w:t>
            </w:r>
          </w:p>
        </w:tc>
        <w:tc>
          <w:tcPr>
            <w:tcW w:w="1350" w:type="dxa"/>
          </w:tcPr>
          <w:p w:rsidR="004A147C" w:rsidRPr="008D57D3" w:rsidRDefault="004A147C" w:rsidP="00CE5850">
            <w:pPr>
              <w:jc w:val="right"/>
              <w:rPr>
                <w:sz w:val="20"/>
              </w:rPr>
            </w:pPr>
            <w:r w:rsidRPr="008D57D3">
              <w:rPr>
                <w:sz w:val="20"/>
              </w:rPr>
              <w:t>28.7%</w:t>
            </w:r>
          </w:p>
        </w:tc>
        <w:tc>
          <w:tcPr>
            <w:tcW w:w="1340" w:type="dxa"/>
          </w:tcPr>
          <w:p w:rsidR="004A147C" w:rsidRPr="008D57D3" w:rsidRDefault="004A147C" w:rsidP="00CE5850">
            <w:pPr>
              <w:jc w:val="right"/>
              <w:rPr>
                <w:sz w:val="20"/>
              </w:rPr>
            </w:pPr>
            <w:r w:rsidRPr="008D57D3">
              <w:rPr>
                <w:sz w:val="20"/>
              </w:rPr>
              <w:t>$34.34</w:t>
            </w:r>
          </w:p>
        </w:tc>
        <w:tc>
          <w:tcPr>
            <w:tcW w:w="1106" w:type="dxa"/>
            <w:shd w:val="pct15" w:color="auto" w:fill="auto"/>
          </w:tcPr>
          <w:p w:rsidR="004A147C" w:rsidRPr="008D57D3" w:rsidRDefault="004A147C" w:rsidP="00CE5850">
            <w:pPr>
              <w:jc w:val="right"/>
              <w:rPr>
                <w:sz w:val="20"/>
              </w:rPr>
            </w:pPr>
            <w:r w:rsidRPr="008D57D3">
              <w:rPr>
                <w:sz w:val="20"/>
              </w:rPr>
              <w:t>$0.047</w:t>
            </w:r>
          </w:p>
        </w:tc>
        <w:tc>
          <w:tcPr>
            <w:tcW w:w="1034" w:type="dxa"/>
            <w:shd w:val="pct15" w:color="auto" w:fill="auto"/>
          </w:tcPr>
          <w:p w:rsidR="004A147C" w:rsidRPr="008D57D3" w:rsidRDefault="004A147C" w:rsidP="00CE5850">
            <w:pPr>
              <w:jc w:val="right"/>
              <w:rPr>
                <w:sz w:val="20"/>
              </w:rPr>
            </w:pPr>
            <w:r w:rsidRPr="008D57D3">
              <w:rPr>
                <w:sz w:val="20"/>
              </w:rPr>
              <w:t>-11%</w:t>
            </w:r>
          </w:p>
        </w:tc>
      </w:tr>
      <w:tr w:rsidR="004A147C" w:rsidRPr="00B53FFB" w:rsidTr="004D01F0">
        <w:trPr>
          <w:trHeight w:val="252"/>
          <w:jc w:val="center"/>
        </w:trPr>
        <w:tc>
          <w:tcPr>
            <w:tcW w:w="748" w:type="dxa"/>
          </w:tcPr>
          <w:p w:rsidR="004A147C" w:rsidRPr="008D57D3" w:rsidRDefault="004A147C" w:rsidP="00CE5850">
            <w:pPr>
              <w:rPr>
                <w:rStyle w:val="Normal1"/>
                <w:sz w:val="20"/>
              </w:rPr>
            </w:pPr>
            <w:r w:rsidRPr="008D57D3">
              <w:rPr>
                <w:rStyle w:val="Normal1"/>
                <w:sz w:val="20"/>
              </w:rPr>
              <w:t>2010</w:t>
            </w:r>
          </w:p>
        </w:tc>
        <w:tc>
          <w:tcPr>
            <w:tcW w:w="843" w:type="dxa"/>
          </w:tcPr>
          <w:p w:rsidR="004A147C" w:rsidRPr="008D57D3" w:rsidRDefault="004A147C" w:rsidP="00CE5850">
            <w:pPr>
              <w:jc w:val="right"/>
              <w:rPr>
                <w:sz w:val="20"/>
              </w:rPr>
            </w:pPr>
            <w:r w:rsidRPr="008D57D3">
              <w:rPr>
                <w:sz w:val="20"/>
              </w:rPr>
              <w:t>$47.21</w:t>
            </w:r>
          </w:p>
        </w:tc>
        <w:tc>
          <w:tcPr>
            <w:tcW w:w="1063" w:type="dxa"/>
          </w:tcPr>
          <w:p w:rsidR="004A147C" w:rsidRPr="008D57D3" w:rsidRDefault="004A147C" w:rsidP="00CE5850">
            <w:pPr>
              <w:jc w:val="right"/>
              <w:rPr>
                <w:rStyle w:val="Normal1"/>
                <w:sz w:val="20"/>
              </w:rPr>
            </w:pPr>
            <w:r w:rsidRPr="008D57D3">
              <w:rPr>
                <w:rStyle w:val="Normal1"/>
                <w:sz w:val="20"/>
              </w:rPr>
              <w:t>679</w:t>
            </w:r>
          </w:p>
        </w:tc>
        <w:tc>
          <w:tcPr>
            <w:tcW w:w="1017" w:type="dxa"/>
          </w:tcPr>
          <w:p w:rsidR="004A147C" w:rsidRPr="008D57D3" w:rsidRDefault="004A147C" w:rsidP="00CE5850">
            <w:pPr>
              <w:jc w:val="right"/>
              <w:rPr>
                <w:sz w:val="20"/>
              </w:rPr>
            </w:pPr>
            <w:r w:rsidRPr="008D57D3">
              <w:rPr>
                <w:sz w:val="20"/>
              </w:rPr>
              <w:t>$0.07</w:t>
            </w:r>
          </w:p>
        </w:tc>
        <w:tc>
          <w:tcPr>
            <w:tcW w:w="1127" w:type="dxa"/>
          </w:tcPr>
          <w:p w:rsidR="004A147C" w:rsidRPr="008D57D3" w:rsidRDefault="004A147C" w:rsidP="00CE5850">
            <w:pPr>
              <w:jc w:val="right"/>
              <w:rPr>
                <w:sz w:val="20"/>
              </w:rPr>
            </w:pPr>
            <w:r w:rsidRPr="008D57D3">
              <w:rPr>
                <w:sz w:val="20"/>
              </w:rPr>
              <w:t>5%</w:t>
            </w:r>
          </w:p>
        </w:tc>
        <w:tc>
          <w:tcPr>
            <w:tcW w:w="1350" w:type="dxa"/>
          </w:tcPr>
          <w:p w:rsidR="004A147C" w:rsidRPr="008D57D3" w:rsidRDefault="004A147C" w:rsidP="00CE5850">
            <w:pPr>
              <w:jc w:val="right"/>
              <w:rPr>
                <w:sz w:val="20"/>
              </w:rPr>
            </w:pPr>
            <w:r w:rsidRPr="008D57D3">
              <w:rPr>
                <w:sz w:val="20"/>
              </w:rPr>
              <w:t>31.4%</w:t>
            </w:r>
          </w:p>
        </w:tc>
        <w:tc>
          <w:tcPr>
            <w:tcW w:w="1340" w:type="dxa"/>
          </w:tcPr>
          <w:p w:rsidR="004A147C" w:rsidRPr="008D57D3" w:rsidRDefault="004A147C" w:rsidP="00CE5850">
            <w:pPr>
              <w:jc w:val="right"/>
              <w:rPr>
                <w:sz w:val="20"/>
              </w:rPr>
            </w:pPr>
            <w:r w:rsidRPr="008D57D3">
              <w:rPr>
                <w:sz w:val="20"/>
              </w:rPr>
              <w:t>$32.39</w:t>
            </w:r>
          </w:p>
        </w:tc>
        <w:tc>
          <w:tcPr>
            <w:tcW w:w="1106" w:type="dxa"/>
            <w:shd w:val="pct15" w:color="auto" w:fill="auto"/>
          </w:tcPr>
          <w:p w:rsidR="004A147C" w:rsidRPr="008D57D3" w:rsidRDefault="004A147C" w:rsidP="00CE5850">
            <w:pPr>
              <w:jc w:val="right"/>
              <w:rPr>
                <w:sz w:val="20"/>
              </w:rPr>
            </w:pPr>
            <w:r w:rsidRPr="008D57D3">
              <w:rPr>
                <w:sz w:val="20"/>
              </w:rPr>
              <w:t>$0.048</w:t>
            </w:r>
          </w:p>
        </w:tc>
        <w:tc>
          <w:tcPr>
            <w:tcW w:w="1034" w:type="dxa"/>
            <w:shd w:val="pct15" w:color="auto" w:fill="auto"/>
          </w:tcPr>
          <w:p w:rsidR="004A147C" w:rsidRPr="008D57D3" w:rsidRDefault="004A147C" w:rsidP="00CE5850">
            <w:pPr>
              <w:jc w:val="right"/>
              <w:rPr>
                <w:sz w:val="20"/>
              </w:rPr>
            </w:pPr>
            <w:r w:rsidRPr="008D57D3">
              <w:rPr>
                <w:sz w:val="20"/>
              </w:rPr>
              <w:t>1%</w:t>
            </w:r>
          </w:p>
        </w:tc>
      </w:tr>
      <w:tr w:rsidR="004A147C" w:rsidRPr="00B53FFB" w:rsidTr="004D01F0">
        <w:trPr>
          <w:trHeight w:val="252"/>
          <w:jc w:val="center"/>
        </w:trPr>
        <w:tc>
          <w:tcPr>
            <w:tcW w:w="748" w:type="dxa"/>
          </w:tcPr>
          <w:p w:rsidR="004A147C" w:rsidRPr="008D57D3" w:rsidRDefault="004A147C" w:rsidP="00CE5850">
            <w:pPr>
              <w:rPr>
                <w:rStyle w:val="Normal1"/>
                <w:sz w:val="20"/>
              </w:rPr>
            </w:pPr>
            <w:r w:rsidRPr="008D57D3">
              <w:rPr>
                <w:rStyle w:val="Normal1"/>
                <w:sz w:val="20"/>
              </w:rPr>
              <w:t>2011</w:t>
            </w:r>
          </w:p>
        </w:tc>
        <w:tc>
          <w:tcPr>
            <w:tcW w:w="843" w:type="dxa"/>
          </w:tcPr>
          <w:p w:rsidR="004A147C" w:rsidRPr="008D57D3" w:rsidRDefault="004A147C" w:rsidP="00CE5850">
            <w:pPr>
              <w:jc w:val="right"/>
              <w:rPr>
                <w:sz w:val="20"/>
              </w:rPr>
            </w:pPr>
            <w:r w:rsidRPr="008D57D3">
              <w:rPr>
                <w:sz w:val="20"/>
              </w:rPr>
              <w:t>$47.00</w:t>
            </w:r>
          </w:p>
        </w:tc>
        <w:tc>
          <w:tcPr>
            <w:tcW w:w="1063" w:type="dxa"/>
          </w:tcPr>
          <w:p w:rsidR="004A147C" w:rsidRPr="008D57D3" w:rsidRDefault="004A147C" w:rsidP="00CE5850">
            <w:pPr>
              <w:jc w:val="right"/>
              <w:rPr>
                <w:rStyle w:val="Normal1"/>
                <w:sz w:val="20"/>
              </w:rPr>
            </w:pPr>
            <w:r w:rsidRPr="008D57D3">
              <w:rPr>
                <w:rStyle w:val="Normal1"/>
                <w:sz w:val="20"/>
              </w:rPr>
              <w:t>658</w:t>
            </w:r>
          </w:p>
        </w:tc>
        <w:tc>
          <w:tcPr>
            <w:tcW w:w="1017" w:type="dxa"/>
          </w:tcPr>
          <w:p w:rsidR="004A147C" w:rsidRPr="008D57D3" w:rsidRDefault="004A147C" w:rsidP="00CE5850">
            <w:pPr>
              <w:jc w:val="right"/>
              <w:rPr>
                <w:sz w:val="20"/>
              </w:rPr>
            </w:pPr>
            <w:r w:rsidRPr="008D57D3">
              <w:rPr>
                <w:sz w:val="20"/>
              </w:rPr>
              <w:t>$0.07</w:t>
            </w:r>
          </w:p>
        </w:tc>
        <w:tc>
          <w:tcPr>
            <w:tcW w:w="1127" w:type="dxa"/>
          </w:tcPr>
          <w:p w:rsidR="004A147C" w:rsidRPr="008D57D3" w:rsidRDefault="004A147C" w:rsidP="00CE5850">
            <w:pPr>
              <w:jc w:val="right"/>
              <w:rPr>
                <w:sz w:val="20"/>
              </w:rPr>
            </w:pPr>
            <w:r w:rsidRPr="008D57D3">
              <w:rPr>
                <w:sz w:val="20"/>
              </w:rPr>
              <w:t>3%</w:t>
            </w:r>
          </w:p>
        </w:tc>
        <w:tc>
          <w:tcPr>
            <w:tcW w:w="1350" w:type="dxa"/>
          </w:tcPr>
          <w:p w:rsidR="004A147C" w:rsidRPr="008D57D3" w:rsidRDefault="004A147C" w:rsidP="00CE5850">
            <w:pPr>
              <w:jc w:val="right"/>
              <w:rPr>
                <w:sz w:val="20"/>
              </w:rPr>
            </w:pPr>
            <w:r w:rsidRPr="008D57D3">
              <w:rPr>
                <w:sz w:val="20"/>
              </w:rPr>
              <w:t>38.0%</w:t>
            </w:r>
          </w:p>
        </w:tc>
        <w:tc>
          <w:tcPr>
            <w:tcW w:w="1340" w:type="dxa"/>
          </w:tcPr>
          <w:p w:rsidR="004A147C" w:rsidRPr="008D57D3" w:rsidRDefault="004A147C" w:rsidP="00CE5850">
            <w:pPr>
              <w:jc w:val="right"/>
              <w:rPr>
                <w:sz w:val="20"/>
              </w:rPr>
            </w:pPr>
            <w:r w:rsidRPr="008D57D3">
              <w:rPr>
                <w:sz w:val="20"/>
              </w:rPr>
              <w:t>$29.14</w:t>
            </w:r>
          </w:p>
        </w:tc>
        <w:tc>
          <w:tcPr>
            <w:tcW w:w="1106" w:type="dxa"/>
            <w:shd w:val="pct15" w:color="auto" w:fill="auto"/>
          </w:tcPr>
          <w:p w:rsidR="004A147C" w:rsidRPr="008D57D3" w:rsidRDefault="004A147C" w:rsidP="00CE5850">
            <w:pPr>
              <w:jc w:val="right"/>
              <w:rPr>
                <w:sz w:val="20"/>
              </w:rPr>
            </w:pPr>
            <w:r w:rsidRPr="008D57D3">
              <w:rPr>
                <w:sz w:val="20"/>
              </w:rPr>
              <w:t>$0.044</w:t>
            </w:r>
          </w:p>
        </w:tc>
        <w:tc>
          <w:tcPr>
            <w:tcW w:w="1034" w:type="dxa"/>
            <w:shd w:val="pct15" w:color="auto" w:fill="auto"/>
          </w:tcPr>
          <w:p w:rsidR="004A147C" w:rsidRPr="008D57D3" w:rsidRDefault="004A147C" w:rsidP="00CE5850">
            <w:pPr>
              <w:jc w:val="right"/>
              <w:rPr>
                <w:sz w:val="20"/>
              </w:rPr>
            </w:pPr>
            <w:r w:rsidRPr="008D57D3">
              <w:rPr>
                <w:sz w:val="20"/>
              </w:rPr>
              <w:t>-7%</w:t>
            </w:r>
          </w:p>
        </w:tc>
      </w:tr>
    </w:tbl>
    <w:p w:rsidR="004A147C" w:rsidRPr="00B53FFB" w:rsidRDefault="004A147C" w:rsidP="00CE5850">
      <w:pPr>
        <w:pStyle w:val="ParaNum"/>
        <w:tabs>
          <w:tab w:val="clear" w:pos="1440"/>
        </w:tabs>
        <w:ind w:firstLine="0"/>
        <w:rPr>
          <w:sz w:val="22"/>
          <w:szCs w:val="22"/>
        </w:rPr>
      </w:pPr>
    </w:p>
    <w:p w:rsidR="004A147C" w:rsidRPr="00B53FFB" w:rsidRDefault="004A147C" w:rsidP="00CE5850">
      <w:pPr>
        <w:pStyle w:val="ParaNum"/>
        <w:numPr>
          <w:ilvl w:val="0"/>
          <w:numId w:val="28"/>
        </w:numPr>
        <w:rPr>
          <w:sz w:val="22"/>
          <w:szCs w:val="22"/>
        </w:rPr>
      </w:pPr>
      <w:r w:rsidRPr="00B53FFB">
        <w:rPr>
          <w:i/>
          <w:sz w:val="22"/>
          <w:szCs w:val="22"/>
        </w:rPr>
        <w:t>Revenue per Text Message</w:t>
      </w:r>
      <w:r w:rsidRPr="00B53FFB">
        <w:rPr>
          <w:sz w:val="22"/>
          <w:szCs w:val="22"/>
        </w:rPr>
        <w:t xml:space="preserve">.  In previous </w:t>
      </w:r>
      <w:r w:rsidRPr="00B53FFB">
        <w:rPr>
          <w:i/>
          <w:sz w:val="22"/>
          <w:szCs w:val="22"/>
        </w:rPr>
        <w:t>Reports</w:t>
      </w:r>
      <w:r w:rsidRPr="00B53FFB">
        <w:rPr>
          <w:sz w:val="22"/>
          <w:szCs w:val="22"/>
        </w:rPr>
        <w:t>, we derived a proxy for the pricing of text messages based on CTIA data by dividing an estimate of text messaging revenues by an estimate of the number of text messages sent during a specified period.</w:t>
      </w:r>
      <w:r w:rsidRPr="00B53FFB">
        <w:rPr>
          <w:rStyle w:val="FootnoteReference"/>
          <w:bCs/>
          <w:szCs w:val="22"/>
        </w:rPr>
        <w:footnoteReference w:id="839"/>
      </w:r>
      <w:r w:rsidRPr="00B53FFB">
        <w:rPr>
          <w:sz w:val="22"/>
          <w:szCs w:val="22"/>
        </w:rPr>
        <w:t xml:space="preserve">  The results showed that the average price for text messages steadily declined from between three and four cents per message in 2005 to approximately one cent per message in 2008.  In 2009, however, the industry stopped reporting a breakout of text messaging revenues from overall wireless data service revenues.  As a consequence, it is no longer possible to </w:t>
      </w:r>
      <w:r w:rsidRPr="00B53FFB">
        <w:rPr>
          <w:bCs/>
          <w:sz w:val="22"/>
          <w:szCs w:val="22"/>
        </w:rPr>
        <w:t xml:space="preserve">calculate unit prices for text messaging based on industry data collected by CTIA, and therefore we discontinue reporting this particular pricing indicator in this </w:t>
      </w:r>
      <w:r w:rsidRPr="00B53FFB">
        <w:rPr>
          <w:bCs/>
          <w:i/>
          <w:sz w:val="22"/>
          <w:szCs w:val="22"/>
        </w:rPr>
        <w:t>Report</w:t>
      </w:r>
      <w:r w:rsidRPr="00B53FFB">
        <w:rPr>
          <w:bCs/>
          <w:sz w:val="22"/>
          <w:szCs w:val="22"/>
        </w:rPr>
        <w:t>.</w:t>
      </w:r>
    </w:p>
    <w:p w:rsidR="004A147C" w:rsidRDefault="004A147C" w:rsidP="00CE5850">
      <w:pPr>
        <w:pStyle w:val="ParaNum"/>
        <w:numPr>
          <w:ilvl w:val="0"/>
          <w:numId w:val="28"/>
        </w:numPr>
        <w:rPr>
          <w:sz w:val="22"/>
          <w:szCs w:val="22"/>
        </w:rPr>
      </w:pPr>
      <w:r w:rsidRPr="00B53FFB">
        <w:rPr>
          <w:sz w:val="22"/>
          <w:szCs w:val="22"/>
        </w:rPr>
        <w:t>Although we are no longer able to derive an estimate of average revenue per text message based on CTIA data, an estimate based on Nielsen data suggests that the unit price for text messages has continued to fall since 2008.  Using Nielsen Customer Value Metrics, Recon Analytics estimates that the effective price of a mobile text message has declined from 1.4 cents to 0.9 cents, or by about 33 percent, from the fourth quarter of 2008 to the fourth quarter of 2010.</w:t>
      </w:r>
      <w:r w:rsidRPr="00B53FFB">
        <w:rPr>
          <w:rStyle w:val="FootnoteReference"/>
          <w:szCs w:val="22"/>
        </w:rPr>
        <w:footnoteReference w:id="840"/>
      </w:r>
      <w:r w:rsidRPr="00B53FFB">
        <w:rPr>
          <w:sz w:val="22"/>
          <w:szCs w:val="22"/>
        </w:rPr>
        <w:t xml:space="preserve">  Recon Analytics attributes the decline in the unit price of text messages to consumers taking advantage of messaging bundles, and notes that the largest decline in the effective price per message occurred between 2005 and 2008, when large text messaging bundles were introduced.</w:t>
      </w:r>
      <w:r w:rsidRPr="00B53FFB">
        <w:rPr>
          <w:rStyle w:val="FootnoteReference"/>
          <w:szCs w:val="22"/>
        </w:rPr>
        <w:footnoteReference w:id="841"/>
      </w:r>
    </w:p>
    <w:p w:rsidR="000C4654" w:rsidRDefault="000C4654" w:rsidP="000C4654">
      <w:pPr>
        <w:pStyle w:val="ParaNum"/>
        <w:tabs>
          <w:tab w:val="clear" w:pos="1440"/>
        </w:tabs>
        <w:rPr>
          <w:sz w:val="22"/>
          <w:szCs w:val="22"/>
        </w:rPr>
      </w:pPr>
    </w:p>
    <w:p w:rsidR="000C4654" w:rsidRDefault="000C4654" w:rsidP="000C4654">
      <w:pPr>
        <w:pStyle w:val="ParaNum"/>
        <w:tabs>
          <w:tab w:val="clear" w:pos="1440"/>
        </w:tabs>
        <w:rPr>
          <w:sz w:val="22"/>
          <w:szCs w:val="22"/>
        </w:rPr>
      </w:pPr>
    </w:p>
    <w:p w:rsidR="000C4654" w:rsidRDefault="000C4654" w:rsidP="000C4654">
      <w:pPr>
        <w:pStyle w:val="ParaNum"/>
        <w:tabs>
          <w:tab w:val="clear" w:pos="1440"/>
        </w:tabs>
        <w:rPr>
          <w:sz w:val="22"/>
          <w:szCs w:val="22"/>
        </w:rPr>
      </w:pPr>
    </w:p>
    <w:p w:rsidR="000C4654" w:rsidRDefault="000C4654" w:rsidP="000C4654">
      <w:pPr>
        <w:pStyle w:val="ParaNum"/>
        <w:tabs>
          <w:tab w:val="clear" w:pos="1440"/>
        </w:tabs>
        <w:rPr>
          <w:sz w:val="22"/>
          <w:szCs w:val="22"/>
        </w:rPr>
      </w:pPr>
    </w:p>
    <w:p w:rsidR="000C4654" w:rsidRDefault="000C4654" w:rsidP="000C4654">
      <w:pPr>
        <w:pStyle w:val="ParaNum"/>
        <w:tabs>
          <w:tab w:val="clear" w:pos="1440"/>
        </w:tabs>
        <w:rPr>
          <w:sz w:val="22"/>
          <w:szCs w:val="22"/>
        </w:rPr>
      </w:pPr>
    </w:p>
    <w:p w:rsidR="000C4654" w:rsidRDefault="000C4654" w:rsidP="000C4654">
      <w:pPr>
        <w:pStyle w:val="ParaNum"/>
        <w:tabs>
          <w:tab w:val="clear" w:pos="1440"/>
        </w:tabs>
        <w:rPr>
          <w:sz w:val="22"/>
          <w:szCs w:val="22"/>
        </w:rPr>
      </w:pPr>
    </w:p>
    <w:p w:rsidR="000C4654" w:rsidRDefault="000C4654" w:rsidP="000C4654">
      <w:pPr>
        <w:pStyle w:val="ParaNum"/>
        <w:tabs>
          <w:tab w:val="clear" w:pos="1440"/>
        </w:tabs>
        <w:rPr>
          <w:sz w:val="22"/>
          <w:szCs w:val="22"/>
        </w:rPr>
      </w:pPr>
    </w:p>
    <w:p w:rsidR="000C4654" w:rsidRPr="00B53FFB" w:rsidRDefault="000C4654" w:rsidP="000C4654">
      <w:pPr>
        <w:pStyle w:val="ParaNum"/>
        <w:tabs>
          <w:tab w:val="clear" w:pos="1440"/>
        </w:tabs>
        <w:rPr>
          <w:sz w:val="22"/>
          <w:szCs w:val="22"/>
        </w:rPr>
      </w:pPr>
    </w:p>
    <w:p w:rsidR="004A147C" w:rsidRPr="00B53FFB" w:rsidRDefault="004A147C" w:rsidP="00CE5850">
      <w:pPr>
        <w:pStyle w:val="ParaNum"/>
        <w:tabs>
          <w:tab w:val="clear" w:pos="1440"/>
        </w:tabs>
        <w:ind w:left="720" w:firstLine="0"/>
        <w:jc w:val="center"/>
        <w:rPr>
          <w:sz w:val="22"/>
          <w:szCs w:val="22"/>
        </w:rPr>
      </w:pPr>
      <w:r w:rsidRPr="00B53FFB">
        <w:rPr>
          <w:b/>
          <w:bCs/>
          <w:kern w:val="0"/>
          <w:sz w:val="22"/>
          <w:szCs w:val="22"/>
        </w:rPr>
        <w:t xml:space="preserve">Table </w:t>
      </w:r>
      <w:r w:rsidR="0007014B" w:rsidRPr="00B53FFB">
        <w:rPr>
          <w:b/>
          <w:bCs/>
          <w:kern w:val="0"/>
          <w:sz w:val="22"/>
          <w:szCs w:val="22"/>
        </w:rPr>
        <w:fldChar w:fldCharType="begin"/>
      </w:r>
      <w:r w:rsidRPr="00B53FFB">
        <w:rPr>
          <w:b/>
          <w:bCs/>
          <w:kern w:val="0"/>
          <w:sz w:val="22"/>
          <w:szCs w:val="22"/>
        </w:rPr>
        <w:instrText xml:space="preserve"> SEQ Table \* ARABIC </w:instrText>
      </w:r>
      <w:r w:rsidR="0007014B" w:rsidRPr="00B53FFB">
        <w:rPr>
          <w:b/>
          <w:bCs/>
          <w:kern w:val="0"/>
          <w:sz w:val="22"/>
          <w:szCs w:val="22"/>
        </w:rPr>
        <w:fldChar w:fldCharType="separate"/>
      </w:r>
      <w:r w:rsidR="00CA3AC6">
        <w:rPr>
          <w:b/>
          <w:bCs/>
          <w:noProof/>
          <w:kern w:val="0"/>
          <w:sz w:val="22"/>
          <w:szCs w:val="22"/>
        </w:rPr>
        <w:t>40</w:t>
      </w:r>
      <w:r w:rsidR="0007014B" w:rsidRPr="00B53FFB">
        <w:rPr>
          <w:b/>
          <w:bCs/>
          <w:kern w:val="0"/>
          <w:sz w:val="22"/>
          <w:szCs w:val="22"/>
        </w:rPr>
        <w:fldChar w:fldCharType="end"/>
      </w:r>
      <w:r w:rsidRPr="00B53FFB">
        <w:rPr>
          <w:b/>
          <w:sz w:val="22"/>
          <w:szCs w:val="22"/>
        </w:rPr>
        <w:br/>
        <w:t>Average Revenue Per Text Message, 2005-2008</w:t>
      </w:r>
      <w:r w:rsidRPr="00B53FFB">
        <w:rPr>
          <w:rStyle w:val="FootnoteReference"/>
          <w:szCs w:val="22"/>
        </w:rPr>
        <w:footnoteReference w:id="842"/>
      </w:r>
    </w:p>
    <w:tbl>
      <w:tblPr>
        <w:tblW w:w="0" w:type="auto"/>
        <w:jc w:val="center"/>
        <w:tblInd w:w="-147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620"/>
        <w:gridCol w:w="1866"/>
        <w:gridCol w:w="1833"/>
        <w:gridCol w:w="1701"/>
        <w:gridCol w:w="2215"/>
      </w:tblGrid>
      <w:tr w:rsidR="004A147C" w:rsidRPr="00B53FFB" w:rsidTr="000C4654">
        <w:trPr>
          <w:jc w:val="center"/>
        </w:trPr>
        <w:tc>
          <w:tcPr>
            <w:tcW w:w="1620" w:type="dxa"/>
          </w:tcPr>
          <w:p w:rsidR="004A147C" w:rsidRPr="004F14A8" w:rsidRDefault="004A147C" w:rsidP="00CE5850">
            <w:pPr>
              <w:pStyle w:val="ParaNum"/>
              <w:tabs>
                <w:tab w:val="clear" w:pos="1440"/>
              </w:tabs>
              <w:spacing w:after="0"/>
              <w:ind w:firstLine="0"/>
              <w:jc w:val="center"/>
              <w:rPr>
                <w:b/>
                <w:sz w:val="22"/>
                <w:szCs w:val="22"/>
              </w:rPr>
            </w:pPr>
            <w:r w:rsidRPr="004F14A8">
              <w:rPr>
                <w:b/>
                <w:sz w:val="22"/>
                <w:szCs w:val="22"/>
              </w:rPr>
              <w:t>Year</w:t>
            </w:r>
          </w:p>
        </w:tc>
        <w:tc>
          <w:tcPr>
            <w:tcW w:w="1866" w:type="dxa"/>
          </w:tcPr>
          <w:p w:rsidR="004A147C" w:rsidRPr="004F14A8" w:rsidRDefault="004A147C" w:rsidP="00CE5850">
            <w:pPr>
              <w:pStyle w:val="ParaNum"/>
              <w:tabs>
                <w:tab w:val="clear" w:pos="1440"/>
              </w:tabs>
              <w:spacing w:after="0"/>
              <w:ind w:firstLine="0"/>
              <w:jc w:val="center"/>
              <w:rPr>
                <w:b/>
                <w:sz w:val="22"/>
                <w:szCs w:val="22"/>
              </w:rPr>
            </w:pPr>
            <w:r w:rsidRPr="004F14A8">
              <w:rPr>
                <w:b/>
                <w:sz w:val="22"/>
                <w:szCs w:val="22"/>
              </w:rPr>
              <w:t xml:space="preserve">Text Traffic </w:t>
            </w:r>
          </w:p>
          <w:p w:rsidR="004A147C" w:rsidRPr="004F14A8" w:rsidRDefault="004A147C" w:rsidP="00CE5850">
            <w:pPr>
              <w:pStyle w:val="ParaNum"/>
              <w:tabs>
                <w:tab w:val="clear" w:pos="1440"/>
              </w:tabs>
              <w:spacing w:after="0"/>
              <w:ind w:firstLine="0"/>
              <w:jc w:val="center"/>
              <w:rPr>
                <w:b/>
                <w:sz w:val="22"/>
                <w:szCs w:val="22"/>
              </w:rPr>
            </w:pPr>
            <w:r w:rsidRPr="004F14A8">
              <w:rPr>
                <w:b/>
                <w:sz w:val="22"/>
                <w:szCs w:val="22"/>
              </w:rPr>
              <w:t>Volume</w:t>
            </w:r>
          </w:p>
        </w:tc>
        <w:tc>
          <w:tcPr>
            <w:tcW w:w="1833" w:type="dxa"/>
          </w:tcPr>
          <w:p w:rsidR="004A147C" w:rsidRPr="004F14A8" w:rsidRDefault="004A147C" w:rsidP="00CE5850">
            <w:pPr>
              <w:pStyle w:val="ParaNum"/>
              <w:tabs>
                <w:tab w:val="clear" w:pos="1440"/>
              </w:tabs>
              <w:spacing w:after="0"/>
              <w:ind w:firstLine="0"/>
              <w:jc w:val="center"/>
              <w:rPr>
                <w:b/>
                <w:sz w:val="22"/>
                <w:szCs w:val="22"/>
              </w:rPr>
            </w:pPr>
            <w:r w:rsidRPr="004F14A8">
              <w:rPr>
                <w:b/>
                <w:sz w:val="22"/>
                <w:szCs w:val="22"/>
              </w:rPr>
              <w:t>Average Messages</w:t>
            </w:r>
          </w:p>
          <w:p w:rsidR="004A147C" w:rsidRPr="004F14A8" w:rsidRDefault="004A147C" w:rsidP="00CE5850">
            <w:pPr>
              <w:pStyle w:val="ParaNum"/>
              <w:tabs>
                <w:tab w:val="clear" w:pos="1440"/>
              </w:tabs>
              <w:spacing w:after="0"/>
              <w:ind w:firstLine="0"/>
              <w:jc w:val="center"/>
              <w:rPr>
                <w:b/>
                <w:sz w:val="22"/>
                <w:szCs w:val="22"/>
              </w:rPr>
            </w:pPr>
            <w:r w:rsidRPr="004F14A8">
              <w:rPr>
                <w:b/>
                <w:sz w:val="22"/>
                <w:szCs w:val="22"/>
              </w:rPr>
              <w:t>Per User Per Year</w:t>
            </w:r>
          </w:p>
        </w:tc>
        <w:tc>
          <w:tcPr>
            <w:tcW w:w="1701" w:type="dxa"/>
          </w:tcPr>
          <w:p w:rsidR="004A147C" w:rsidRPr="004F14A8" w:rsidRDefault="004A147C" w:rsidP="00CE5850">
            <w:pPr>
              <w:pStyle w:val="ParaNum"/>
              <w:tabs>
                <w:tab w:val="clear" w:pos="1440"/>
              </w:tabs>
              <w:spacing w:after="0"/>
              <w:ind w:firstLine="0"/>
              <w:jc w:val="center"/>
              <w:rPr>
                <w:b/>
                <w:sz w:val="22"/>
                <w:szCs w:val="22"/>
              </w:rPr>
            </w:pPr>
            <w:r w:rsidRPr="004F14A8">
              <w:rPr>
                <w:b/>
                <w:sz w:val="22"/>
                <w:szCs w:val="22"/>
              </w:rPr>
              <w:t xml:space="preserve">Text Messaging </w:t>
            </w:r>
          </w:p>
          <w:p w:rsidR="004A147C" w:rsidRPr="004F14A8" w:rsidRDefault="004A147C" w:rsidP="00CE5850">
            <w:pPr>
              <w:pStyle w:val="ParaNum"/>
              <w:tabs>
                <w:tab w:val="clear" w:pos="1440"/>
              </w:tabs>
              <w:spacing w:after="0"/>
              <w:ind w:firstLine="0"/>
              <w:jc w:val="center"/>
              <w:rPr>
                <w:b/>
                <w:sz w:val="22"/>
                <w:szCs w:val="22"/>
              </w:rPr>
            </w:pPr>
            <w:r w:rsidRPr="004F14A8">
              <w:rPr>
                <w:b/>
                <w:sz w:val="22"/>
                <w:szCs w:val="22"/>
              </w:rPr>
              <w:t>Revenues</w:t>
            </w:r>
          </w:p>
        </w:tc>
        <w:tc>
          <w:tcPr>
            <w:tcW w:w="2215" w:type="dxa"/>
            <w:shd w:val="pct15" w:color="auto" w:fill="auto"/>
          </w:tcPr>
          <w:p w:rsidR="004A147C" w:rsidRPr="004F14A8" w:rsidRDefault="004A147C" w:rsidP="00CE5850">
            <w:pPr>
              <w:pStyle w:val="ParaNum"/>
              <w:tabs>
                <w:tab w:val="clear" w:pos="1440"/>
              </w:tabs>
              <w:spacing w:after="0"/>
              <w:ind w:firstLine="0"/>
              <w:jc w:val="center"/>
              <w:rPr>
                <w:b/>
                <w:sz w:val="22"/>
                <w:szCs w:val="22"/>
              </w:rPr>
            </w:pPr>
            <w:r w:rsidRPr="004F14A8">
              <w:rPr>
                <w:b/>
                <w:sz w:val="22"/>
                <w:szCs w:val="22"/>
              </w:rPr>
              <w:t>Average Revenue</w:t>
            </w:r>
          </w:p>
          <w:p w:rsidR="004A147C" w:rsidRPr="004F14A8" w:rsidRDefault="004A147C" w:rsidP="00CE5850">
            <w:pPr>
              <w:pStyle w:val="ParaNum"/>
              <w:tabs>
                <w:tab w:val="clear" w:pos="1440"/>
              </w:tabs>
              <w:spacing w:after="0"/>
              <w:ind w:firstLine="0"/>
              <w:jc w:val="center"/>
              <w:rPr>
                <w:b/>
                <w:sz w:val="22"/>
                <w:szCs w:val="22"/>
              </w:rPr>
            </w:pPr>
            <w:r w:rsidRPr="004F14A8">
              <w:rPr>
                <w:b/>
                <w:sz w:val="22"/>
                <w:szCs w:val="22"/>
              </w:rPr>
              <w:t>Per Text Message</w:t>
            </w:r>
          </w:p>
        </w:tc>
      </w:tr>
      <w:tr w:rsidR="004A147C" w:rsidRPr="00B53FFB" w:rsidTr="000C4654">
        <w:trPr>
          <w:jc w:val="center"/>
        </w:trPr>
        <w:tc>
          <w:tcPr>
            <w:tcW w:w="1620" w:type="dxa"/>
          </w:tcPr>
          <w:p w:rsidR="004A147C" w:rsidRPr="004F14A8" w:rsidRDefault="004A147C" w:rsidP="00CE5850">
            <w:pPr>
              <w:pStyle w:val="ParaNum"/>
              <w:tabs>
                <w:tab w:val="clear" w:pos="1440"/>
              </w:tabs>
              <w:spacing w:after="0"/>
              <w:ind w:firstLine="0"/>
              <w:jc w:val="center"/>
              <w:rPr>
                <w:sz w:val="22"/>
                <w:szCs w:val="22"/>
              </w:rPr>
            </w:pPr>
            <w:r w:rsidRPr="004F14A8">
              <w:rPr>
                <w:sz w:val="22"/>
                <w:szCs w:val="22"/>
              </w:rPr>
              <w:t>2005</w:t>
            </w:r>
          </w:p>
        </w:tc>
        <w:tc>
          <w:tcPr>
            <w:tcW w:w="1866" w:type="dxa"/>
          </w:tcPr>
          <w:p w:rsidR="004A147C" w:rsidRPr="004F14A8" w:rsidRDefault="004A147C" w:rsidP="00CE5850">
            <w:pPr>
              <w:pStyle w:val="ParaNum"/>
              <w:tabs>
                <w:tab w:val="clear" w:pos="1440"/>
              </w:tabs>
              <w:spacing w:after="0"/>
              <w:ind w:firstLine="0"/>
              <w:jc w:val="center"/>
              <w:rPr>
                <w:sz w:val="22"/>
                <w:szCs w:val="22"/>
              </w:rPr>
            </w:pPr>
            <w:r w:rsidRPr="004F14A8">
              <w:rPr>
                <w:sz w:val="22"/>
                <w:szCs w:val="22"/>
              </w:rPr>
              <w:t>81,208,225,767</w:t>
            </w:r>
          </w:p>
        </w:tc>
        <w:tc>
          <w:tcPr>
            <w:tcW w:w="1833" w:type="dxa"/>
          </w:tcPr>
          <w:p w:rsidR="004A147C" w:rsidRPr="004F14A8" w:rsidRDefault="004A147C" w:rsidP="00CE5850">
            <w:pPr>
              <w:pStyle w:val="ParaNum"/>
              <w:tabs>
                <w:tab w:val="clear" w:pos="1440"/>
              </w:tabs>
              <w:spacing w:after="0"/>
              <w:ind w:firstLine="0"/>
              <w:jc w:val="center"/>
              <w:rPr>
                <w:sz w:val="22"/>
                <w:szCs w:val="22"/>
              </w:rPr>
            </w:pPr>
            <w:r w:rsidRPr="004F14A8">
              <w:rPr>
                <w:sz w:val="22"/>
                <w:szCs w:val="22"/>
              </w:rPr>
              <w:t>476</w:t>
            </w:r>
          </w:p>
        </w:tc>
        <w:tc>
          <w:tcPr>
            <w:tcW w:w="1701" w:type="dxa"/>
          </w:tcPr>
          <w:p w:rsidR="004A147C" w:rsidRPr="004F14A8" w:rsidRDefault="004A147C" w:rsidP="00CE5850">
            <w:pPr>
              <w:pStyle w:val="ParaNum"/>
              <w:tabs>
                <w:tab w:val="clear" w:pos="1440"/>
              </w:tabs>
              <w:spacing w:after="0"/>
              <w:ind w:firstLine="0"/>
              <w:jc w:val="center"/>
              <w:rPr>
                <w:sz w:val="22"/>
                <w:szCs w:val="22"/>
              </w:rPr>
            </w:pPr>
            <w:r w:rsidRPr="004F14A8">
              <w:rPr>
                <w:sz w:val="22"/>
                <w:szCs w:val="22"/>
              </w:rPr>
              <w:t>$2,991,666,181</w:t>
            </w:r>
          </w:p>
        </w:tc>
        <w:tc>
          <w:tcPr>
            <w:tcW w:w="2215" w:type="dxa"/>
            <w:shd w:val="pct15" w:color="auto" w:fill="auto"/>
          </w:tcPr>
          <w:p w:rsidR="004A147C" w:rsidRPr="004F14A8" w:rsidRDefault="004A147C" w:rsidP="00CE5850">
            <w:pPr>
              <w:pStyle w:val="ParaNum"/>
              <w:tabs>
                <w:tab w:val="clear" w:pos="1440"/>
              </w:tabs>
              <w:spacing w:after="0"/>
              <w:ind w:firstLine="0"/>
              <w:jc w:val="center"/>
              <w:rPr>
                <w:sz w:val="22"/>
                <w:szCs w:val="22"/>
              </w:rPr>
            </w:pPr>
            <w:r w:rsidRPr="004F14A8">
              <w:rPr>
                <w:sz w:val="22"/>
                <w:szCs w:val="22"/>
              </w:rPr>
              <w:t>$0.037</w:t>
            </w:r>
          </w:p>
        </w:tc>
      </w:tr>
      <w:tr w:rsidR="004A147C" w:rsidRPr="00B53FFB" w:rsidTr="000C4654">
        <w:trPr>
          <w:jc w:val="center"/>
        </w:trPr>
        <w:tc>
          <w:tcPr>
            <w:tcW w:w="1620" w:type="dxa"/>
          </w:tcPr>
          <w:p w:rsidR="004A147C" w:rsidRPr="004F14A8" w:rsidRDefault="004A147C" w:rsidP="00CE5850">
            <w:pPr>
              <w:pStyle w:val="ParaNum"/>
              <w:tabs>
                <w:tab w:val="clear" w:pos="1440"/>
              </w:tabs>
              <w:spacing w:after="0"/>
              <w:ind w:firstLine="0"/>
              <w:jc w:val="center"/>
              <w:rPr>
                <w:sz w:val="22"/>
                <w:szCs w:val="22"/>
              </w:rPr>
            </w:pPr>
            <w:r w:rsidRPr="004F14A8">
              <w:rPr>
                <w:sz w:val="22"/>
                <w:szCs w:val="22"/>
              </w:rPr>
              <w:t>2006</w:t>
            </w:r>
          </w:p>
        </w:tc>
        <w:tc>
          <w:tcPr>
            <w:tcW w:w="1866" w:type="dxa"/>
          </w:tcPr>
          <w:p w:rsidR="004A147C" w:rsidRPr="004F14A8" w:rsidRDefault="004A147C" w:rsidP="00CE5850">
            <w:pPr>
              <w:pStyle w:val="ParaNum"/>
              <w:tabs>
                <w:tab w:val="clear" w:pos="1440"/>
              </w:tabs>
              <w:spacing w:after="0"/>
              <w:ind w:firstLine="0"/>
              <w:jc w:val="center"/>
              <w:rPr>
                <w:sz w:val="22"/>
                <w:szCs w:val="22"/>
              </w:rPr>
            </w:pPr>
            <w:r w:rsidRPr="004F14A8">
              <w:rPr>
                <w:sz w:val="22"/>
                <w:szCs w:val="22"/>
              </w:rPr>
              <w:t>158,648,546,798</w:t>
            </w:r>
          </w:p>
        </w:tc>
        <w:tc>
          <w:tcPr>
            <w:tcW w:w="1833" w:type="dxa"/>
          </w:tcPr>
          <w:p w:rsidR="004A147C" w:rsidRPr="004F14A8" w:rsidRDefault="004A147C" w:rsidP="00CE5850">
            <w:pPr>
              <w:pStyle w:val="ParaNum"/>
              <w:tabs>
                <w:tab w:val="clear" w:pos="1440"/>
              </w:tabs>
              <w:spacing w:after="0"/>
              <w:ind w:firstLine="0"/>
              <w:jc w:val="center"/>
              <w:rPr>
                <w:sz w:val="22"/>
                <w:szCs w:val="22"/>
              </w:rPr>
            </w:pPr>
            <w:r w:rsidRPr="004F14A8">
              <w:rPr>
                <w:sz w:val="22"/>
                <w:szCs w:val="22"/>
              </w:rPr>
              <w:t>779</w:t>
            </w:r>
          </w:p>
        </w:tc>
        <w:tc>
          <w:tcPr>
            <w:tcW w:w="1701" w:type="dxa"/>
          </w:tcPr>
          <w:p w:rsidR="004A147C" w:rsidRPr="004F14A8" w:rsidRDefault="004A147C" w:rsidP="00CE5850">
            <w:pPr>
              <w:pStyle w:val="ParaNum"/>
              <w:tabs>
                <w:tab w:val="clear" w:pos="1440"/>
              </w:tabs>
              <w:spacing w:after="0"/>
              <w:ind w:firstLine="0"/>
              <w:jc w:val="center"/>
              <w:rPr>
                <w:sz w:val="22"/>
                <w:szCs w:val="22"/>
              </w:rPr>
            </w:pPr>
            <w:r w:rsidRPr="004F14A8">
              <w:rPr>
                <w:sz w:val="22"/>
                <w:szCs w:val="22"/>
              </w:rPr>
              <w:t>$5,672,984,205</w:t>
            </w:r>
          </w:p>
        </w:tc>
        <w:tc>
          <w:tcPr>
            <w:tcW w:w="2215" w:type="dxa"/>
            <w:shd w:val="pct15" w:color="auto" w:fill="auto"/>
          </w:tcPr>
          <w:p w:rsidR="004A147C" w:rsidRPr="004F14A8" w:rsidRDefault="004A147C" w:rsidP="00CE5850">
            <w:pPr>
              <w:pStyle w:val="ParaNum"/>
              <w:tabs>
                <w:tab w:val="clear" w:pos="1440"/>
              </w:tabs>
              <w:spacing w:after="0"/>
              <w:ind w:firstLine="0"/>
              <w:jc w:val="center"/>
              <w:rPr>
                <w:sz w:val="22"/>
                <w:szCs w:val="22"/>
              </w:rPr>
            </w:pPr>
            <w:r w:rsidRPr="004F14A8">
              <w:rPr>
                <w:sz w:val="22"/>
                <w:szCs w:val="22"/>
              </w:rPr>
              <w:t>$0.036</w:t>
            </w:r>
          </w:p>
        </w:tc>
      </w:tr>
      <w:tr w:rsidR="004A147C" w:rsidRPr="00B53FFB" w:rsidTr="000C4654">
        <w:trPr>
          <w:jc w:val="center"/>
        </w:trPr>
        <w:tc>
          <w:tcPr>
            <w:tcW w:w="1620" w:type="dxa"/>
          </w:tcPr>
          <w:p w:rsidR="004A147C" w:rsidRPr="004F14A8" w:rsidRDefault="004A147C" w:rsidP="00CE5850">
            <w:pPr>
              <w:pStyle w:val="ParaNum"/>
              <w:tabs>
                <w:tab w:val="clear" w:pos="1440"/>
              </w:tabs>
              <w:spacing w:after="0"/>
              <w:ind w:firstLine="0"/>
              <w:jc w:val="center"/>
              <w:rPr>
                <w:sz w:val="22"/>
                <w:szCs w:val="22"/>
              </w:rPr>
            </w:pPr>
            <w:r w:rsidRPr="004F14A8">
              <w:rPr>
                <w:sz w:val="22"/>
                <w:szCs w:val="22"/>
              </w:rPr>
              <w:t>2007</w:t>
            </w:r>
          </w:p>
        </w:tc>
        <w:tc>
          <w:tcPr>
            <w:tcW w:w="1866" w:type="dxa"/>
          </w:tcPr>
          <w:p w:rsidR="004A147C" w:rsidRPr="004F14A8" w:rsidRDefault="004A147C" w:rsidP="00CE5850">
            <w:pPr>
              <w:pStyle w:val="ParaNum"/>
              <w:tabs>
                <w:tab w:val="clear" w:pos="1440"/>
              </w:tabs>
              <w:spacing w:after="0"/>
              <w:ind w:firstLine="0"/>
              <w:jc w:val="center"/>
              <w:rPr>
                <w:sz w:val="22"/>
                <w:szCs w:val="22"/>
              </w:rPr>
            </w:pPr>
            <w:bookmarkStart w:id="3896" w:name="OLE_LINK20"/>
            <w:r w:rsidRPr="004F14A8">
              <w:rPr>
                <w:sz w:val="22"/>
                <w:szCs w:val="22"/>
              </w:rPr>
              <w:t>362,549,531,172</w:t>
            </w:r>
            <w:bookmarkEnd w:id="3896"/>
          </w:p>
        </w:tc>
        <w:tc>
          <w:tcPr>
            <w:tcW w:w="1833" w:type="dxa"/>
          </w:tcPr>
          <w:p w:rsidR="004A147C" w:rsidRPr="004F14A8" w:rsidRDefault="004A147C" w:rsidP="00CE5850">
            <w:pPr>
              <w:pStyle w:val="ParaNum"/>
              <w:tabs>
                <w:tab w:val="clear" w:pos="1440"/>
              </w:tabs>
              <w:spacing w:after="0"/>
              <w:ind w:firstLine="0"/>
              <w:jc w:val="center"/>
              <w:rPr>
                <w:sz w:val="22"/>
                <w:szCs w:val="22"/>
              </w:rPr>
            </w:pPr>
            <w:r w:rsidRPr="004F14A8">
              <w:rPr>
                <w:sz w:val="22"/>
                <w:szCs w:val="22"/>
              </w:rPr>
              <w:t>1,572</w:t>
            </w:r>
          </w:p>
        </w:tc>
        <w:tc>
          <w:tcPr>
            <w:tcW w:w="1701" w:type="dxa"/>
          </w:tcPr>
          <w:p w:rsidR="004A147C" w:rsidRPr="004F14A8" w:rsidRDefault="004A147C" w:rsidP="00CE5850">
            <w:pPr>
              <w:pStyle w:val="ParaNum"/>
              <w:tabs>
                <w:tab w:val="clear" w:pos="1440"/>
              </w:tabs>
              <w:spacing w:after="0"/>
              <w:ind w:firstLine="0"/>
              <w:jc w:val="center"/>
              <w:rPr>
                <w:sz w:val="22"/>
                <w:szCs w:val="22"/>
              </w:rPr>
            </w:pPr>
            <w:r w:rsidRPr="004F14A8">
              <w:rPr>
                <w:sz w:val="22"/>
                <w:szCs w:val="22"/>
              </w:rPr>
              <w:t>$8,976,574,961</w:t>
            </w:r>
          </w:p>
        </w:tc>
        <w:tc>
          <w:tcPr>
            <w:tcW w:w="2215" w:type="dxa"/>
            <w:shd w:val="pct15" w:color="auto" w:fill="auto"/>
          </w:tcPr>
          <w:p w:rsidR="004A147C" w:rsidRPr="004F14A8" w:rsidRDefault="004A147C" w:rsidP="00CE5850">
            <w:pPr>
              <w:pStyle w:val="ParaNum"/>
              <w:tabs>
                <w:tab w:val="clear" w:pos="1440"/>
              </w:tabs>
              <w:spacing w:after="0"/>
              <w:ind w:firstLine="0"/>
              <w:jc w:val="center"/>
              <w:rPr>
                <w:sz w:val="22"/>
                <w:szCs w:val="22"/>
              </w:rPr>
            </w:pPr>
            <w:r w:rsidRPr="004F14A8">
              <w:rPr>
                <w:sz w:val="22"/>
                <w:szCs w:val="22"/>
              </w:rPr>
              <w:t>$0.025</w:t>
            </w:r>
          </w:p>
        </w:tc>
      </w:tr>
      <w:tr w:rsidR="004A147C" w:rsidRPr="00B53FFB" w:rsidTr="000C4654">
        <w:trPr>
          <w:jc w:val="center"/>
        </w:trPr>
        <w:tc>
          <w:tcPr>
            <w:tcW w:w="1620" w:type="dxa"/>
          </w:tcPr>
          <w:p w:rsidR="004A147C" w:rsidRPr="004F14A8" w:rsidRDefault="004A147C" w:rsidP="00CE5850">
            <w:pPr>
              <w:pStyle w:val="ParaNum"/>
              <w:tabs>
                <w:tab w:val="clear" w:pos="1440"/>
              </w:tabs>
              <w:spacing w:after="0"/>
              <w:ind w:firstLine="0"/>
              <w:jc w:val="center"/>
              <w:rPr>
                <w:sz w:val="22"/>
                <w:szCs w:val="22"/>
              </w:rPr>
            </w:pPr>
            <w:r w:rsidRPr="004F14A8">
              <w:rPr>
                <w:sz w:val="22"/>
                <w:szCs w:val="22"/>
              </w:rPr>
              <w:t>2008</w:t>
            </w:r>
          </w:p>
        </w:tc>
        <w:tc>
          <w:tcPr>
            <w:tcW w:w="1866" w:type="dxa"/>
          </w:tcPr>
          <w:p w:rsidR="004A147C" w:rsidRPr="004F14A8" w:rsidRDefault="004A147C" w:rsidP="00CE5850">
            <w:pPr>
              <w:pStyle w:val="ParaNum"/>
              <w:tabs>
                <w:tab w:val="clear" w:pos="1440"/>
              </w:tabs>
              <w:spacing w:after="0"/>
              <w:ind w:firstLine="0"/>
              <w:jc w:val="center"/>
              <w:rPr>
                <w:sz w:val="22"/>
                <w:szCs w:val="22"/>
              </w:rPr>
            </w:pPr>
            <w:bookmarkStart w:id="3897" w:name="OLE_LINK24"/>
            <w:bookmarkStart w:id="3898" w:name="OLE_LINK25"/>
            <w:bookmarkStart w:id="3899" w:name="OLE_LINK26"/>
            <w:r w:rsidRPr="004F14A8">
              <w:rPr>
                <w:sz w:val="22"/>
                <w:szCs w:val="22"/>
              </w:rPr>
              <w:t>1,005,144,143,136</w:t>
            </w:r>
            <w:bookmarkEnd w:id="3897"/>
            <w:bookmarkEnd w:id="3898"/>
            <w:bookmarkEnd w:id="3899"/>
          </w:p>
        </w:tc>
        <w:tc>
          <w:tcPr>
            <w:tcW w:w="1833" w:type="dxa"/>
          </w:tcPr>
          <w:p w:rsidR="004A147C" w:rsidRPr="004F14A8" w:rsidRDefault="004A147C" w:rsidP="00CE5850">
            <w:pPr>
              <w:pStyle w:val="ParaNum"/>
              <w:tabs>
                <w:tab w:val="clear" w:pos="1440"/>
              </w:tabs>
              <w:spacing w:after="0"/>
              <w:ind w:firstLine="0"/>
              <w:jc w:val="center"/>
              <w:rPr>
                <w:sz w:val="22"/>
                <w:szCs w:val="22"/>
              </w:rPr>
            </w:pPr>
            <w:r w:rsidRPr="004F14A8">
              <w:rPr>
                <w:sz w:val="22"/>
                <w:szCs w:val="22"/>
              </w:rPr>
              <w:t>4,183</w:t>
            </w:r>
          </w:p>
        </w:tc>
        <w:tc>
          <w:tcPr>
            <w:tcW w:w="1701" w:type="dxa"/>
          </w:tcPr>
          <w:p w:rsidR="004A147C" w:rsidRPr="004F14A8" w:rsidRDefault="004A147C" w:rsidP="00CE5850">
            <w:pPr>
              <w:pStyle w:val="ParaNum"/>
              <w:tabs>
                <w:tab w:val="clear" w:pos="1440"/>
              </w:tabs>
              <w:spacing w:after="0"/>
              <w:ind w:firstLine="0"/>
              <w:jc w:val="center"/>
              <w:rPr>
                <w:sz w:val="22"/>
                <w:szCs w:val="22"/>
              </w:rPr>
            </w:pPr>
            <w:r w:rsidRPr="004F14A8">
              <w:rPr>
                <w:sz w:val="22"/>
                <w:szCs w:val="22"/>
              </w:rPr>
              <w:t>$11,355,095,991</w:t>
            </w:r>
          </w:p>
        </w:tc>
        <w:tc>
          <w:tcPr>
            <w:tcW w:w="2215" w:type="dxa"/>
            <w:shd w:val="pct15" w:color="auto" w:fill="auto"/>
          </w:tcPr>
          <w:p w:rsidR="004A147C" w:rsidRPr="004F14A8" w:rsidRDefault="004A147C" w:rsidP="00CE5850">
            <w:pPr>
              <w:pStyle w:val="ParaNum"/>
              <w:tabs>
                <w:tab w:val="clear" w:pos="1440"/>
              </w:tabs>
              <w:spacing w:after="0"/>
              <w:ind w:firstLine="0"/>
              <w:jc w:val="center"/>
              <w:rPr>
                <w:sz w:val="22"/>
                <w:szCs w:val="22"/>
              </w:rPr>
            </w:pPr>
            <w:r w:rsidRPr="004F14A8">
              <w:rPr>
                <w:sz w:val="22"/>
                <w:szCs w:val="22"/>
              </w:rPr>
              <w:t>$0.011</w:t>
            </w:r>
          </w:p>
        </w:tc>
      </w:tr>
    </w:tbl>
    <w:p w:rsidR="004A147C" w:rsidRPr="00B53FFB" w:rsidRDefault="004A147C" w:rsidP="00CE5850">
      <w:pPr>
        <w:rPr>
          <w:szCs w:val="22"/>
        </w:rPr>
      </w:pPr>
    </w:p>
    <w:p w:rsidR="004A147C" w:rsidRPr="00B53FFB" w:rsidRDefault="004A147C" w:rsidP="00CE5850">
      <w:pPr>
        <w:rPr>
          <w:szCs w:val="22"/>
        </w:rPr>
      </w:pPr>
    </w:p>
    <w:p w:rsidR="004A147C" w:rsidRPr="00B53FFB" w:rsidRDefault="004A147C" w:rsidP="00CE5850">
      <w:pPr>
        <w:pStyle w:val="ParaNum"/>
        <w:numPr>
          <w:ilvl w:val="0"/>
          <w:numId w:val="28"/>
        </w:numPr>
        <w:rPr>
          <w:sz w:val="22"/>
          <w:szCs w:val="22"/>
        </w:rPr>
      </w:pPr>
      <w:r w:rsidRPr="00B53FFB">
        <w:rPr>
          <w:i/>
          <w:sz w:val="22"/>
          <w:szCs w:val="22"/>
        </w:rPr>
        <w:t>Price Metrics for Broadband Data</w:t>
      </w:r>
      <w:r w:rsidRPr="00B53FFB">
        <w:rPr>
          <w:sz w:val="22"/>
          <w:szCs w:val="22"/>
        </w:rPr>
        <w:t xml:space="preserve">. </w:t>
      </w:r>
      <w:r>
        <w:rPr>
          <w:sz w:val="22"/>
          <w:szCs w:val="22"/>
        </w:rPr>
        <w:t xml:space="preserve"> </w:t>
      </w:r>
      <w:r w:rsidRPr="00B53FFB">
        <w:rPr>
          <w:sz w:val="22"/>
          <w:szCs w:val="22"/>
          <w:lang w:eastAsia="zh-CN"/>
        </w:rPr>
        <w:t>It is not possible to calculate unit prices for non-messaging mobile data services (price per MB) using CTIA data because CTIA’s estimate of wireless data revenues includes revenues from messaging services.  However, based on data from Nielsen Customer Value Metrics, Recon Analytics estimates that the effective price per megabyte of data declined from $0.47 per megabyte in the third quarter of 2008 to about $0.05 per megabyte in the fourth quarter of 2010, which is roughly an 89 percent decrease.</w:t>
      </w:r>
      <w:r w:rsidRPr="00B53FFB">
        <w:rPr>
          <w:rStyle w:val="FootnoteReference"/>
          <w:szCs w:val="22"/>
        </w:rPr>
        <w:footnoteReference w:id="843"/>
      </w:r>
      <w:r w:rsidRPr="00B53FFB">
        <w:rPr>
          <w:sz w:val="22"/>
          <w:szCs w:val="22"/>
          <w:lang w:eastAsia="zh-CN"/>
        </w:rPr>
        <w:t xml:space="preserve">  Likewise, as shown in </w:t>
      </w:r>
      <w:r w:rsidR="005B380F">
        <w:fldChar w:fldCharType="begin"/>
      </w:r>
      <w:r w:rsidR="005B380F">
        <w:instrText xml:space="preserve"> REF _Ref327447601 \h  \* MERGEFORMAT </w:instrText>
      </w:r>
      <w:r w:rsidR="005B380F">
        <w:fldChar w:fldCharType="separate"/>
      </w:r>
      <w:r w:rsidR="00CA3AC6" w:rsidRPr="00B53FFB">
        <w:rPr>
          <w:sz w:val="22"/>
          <w:szCs w:val="22"/>
        </w:rPr>
        <w:t xml:space="preserve">Chart </w:t>
      </w:r>
      <w:r w:rsidR="00CA3AC6">
        <w:rPr>
          <w:noProof/>
          <w:sz w:val="22"/>
          <w:szCs w:val="22"/>
        </w:rPr>
        <w:t>29</w:t>
      </w:r>
      <w:r w:rsidR="005B380F">
        <w:fldChar w:fldCharType="end"/>
      </w:r>
      <w:r w:rsidRPr="00B53FFB">
        <w:rPr>
          <w:sz w:val="22"/>
          <w:szCs w:val="22"/>
          <w:lang w:eastAsia="zh-CN"/>
        </w:rPr>
        <w:t>, Validas estimates that the price per megabyte of data declined from about $0.11 in 2009 to $0.06 in 2010, and to $0.03 in 2011.</w:t>
      </w:r>
    </w:p>
    <w:p w:rsidR="004A147C" w:rsidRPr="00B53FFB" w:rsidRDefault="004A147C" w:rsidP="00CE5850">
      <w:pPr>
        <w:pStyle w:val="Caption"/>
        <w:widowControl w:val="0"/>
        <w:spacing w:after="0"/>
        <w:jc w:val="center"/>
        <w:rPr>
          <w:sz w:val="22"/>
          <w:szCs w:val="22"/>
        </w:rPr>
      </w:pPr>
      <w:bookmarkStart w:id="3900" w:name="_Ref327447601"/>
      <w:r w:rsidRPr="00B53FFB">
        <w:rPr>
          <w:sz w:val="22"/>
          <w:szCs w:val="22"/>
        </w:rPr>
        <w:t xml:space="preserve">Chart </w:t>
      </w:r>
      <w:r w:rsidR="0007014B" w:rsidRPr="00B53FFB">
        <w:rPr>
          <w:sz w:val="22"/>
          <w:szCs w:val="22"/>
        </w:rPr>
        <w:fldChar w:fldCharType="begin"/>
      </w:r>
      <w:r w:rsidRPr="00B53FFB">
        <w:rPr>
          <w:sz w:val="22"/>
          <w:szCs w:val="22"/>
        </w:rPr>
        <w:instrText xml:space="preserve"> SEQ Chart \* ARABIC </w:instrText>
      </w:r>
      <w:r w:rsidR="0007014B" w:rsidRPr="00B53FFB">
        <w:rPr>
          <w:sz w:val="22"/>
          <w:szCs w:val="22"/>
        </w:rPr>
        <w:fldChar w:fldCharType="separate"/>
      </w:r>
      <w:r w:rsidR="00CA3AC6">
        <w:rPr>
          <w:noProof/>
          <w:sz w:val="22"/>
          <w:szCs w:val="22"/>
        </w:rPr>
        <w:t>29</w:t>
      </w:r>
      <w:r w:rsidR="0007014B" w:rsidRPr="00B53FFB">
        <w:rPr>
          <w:sz w:val="22"/>
          <w:szCs w:val="22"/>
        </w:rPr>
        <w:fldChar w:fldCharType="end"/>
      </w:r>
      <w:bookmarkEnd w:id="3900"/>
    </w:p>
    <w:p w:rsidR="004A147C" w:rsidRPr="00B53FFB" w:rsidRDefault="004A147C" w:rsidP="00CE5850">
      <w:pPr>
        <w:pStyle w:val="Caption"/>
        <w:widowControl w:val="0"/>
        <w:spacing w:before="0"/>
        <w:jc w:val="center"/>
        <w:rPr>
          <w:bCs w:val="0"/>
          <w:sz w:val="22"/>
          <w:szCs w:val="22"/>
        </w:rPr>
      </w:pPr>
      <w:r w:rsidRPr="00B53FFB">
        <w:rPr>
          <w:sz w:val="22"/>
          <w:szCs w:val="22"/>
        </w:rPr>
        <w:t>Average Price per Megabyte: Nationwide Providers, Validas, 2009-2011</w:t>
      </w:r>
      <w:r w:rsidRPr="00B53FFB">
        <w:rPr>
          <w:rStyle w:val="FootnoteReference"/>
          <w:b w:val="0"/>
          <w:szCs w:val="22"/>
        </w:rPr>
        <w:footnoteReference w:id="844"/>
      </w:r>
    </w:p>
    <w:p w:rsidR="004A147C" w:rsidRPr="00B53FFB" w:rsidRDefault="00C81B24" w:rsidP="00CE5850">
      <w:pPr>
        <w:pStyle w:val="ParaNum"/>
        <w:tabs>
          <w:tab w:val="clear" w:pos="1440"/>
        </w:tabs>
        <w:ind w:firstLine="0"/>
        <w:jc w:val="center"/>
        <w:rPr>
          <w:sz w:val="22"/>
          <w:szCs w:val="22"/>
        </w:rPr>
      </w:pPr>
      <w:r>
        <w:rPr>
          <w:noProof/>
          <w:sz w:val="22"/>
          <w:szCs w:val="22"/>
        </w:rPr>
        <w:drawing>
          <wp:inline distT="0" distB="0" distL="0" distR="0" wp14:anchorId="3B126143" wp14:editId="4B2A14F7">
            <wp:extent cx="4667250" cy="3152775"/>
            <wp:effectExtent l="0" t="0" r="0" b="9525"/>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4667250" cy="3152775"/>
                    </a:xfrm>
                    <a:prstGeom prst="rect">
                      <a:avLst/>
                    </a:prstGeom>
                    <a:noFill/>
                    <a:ln>
                      <a:noFill/>
                    </a:ln>
                  </pic:spPr>
                </pic:pic>
              </a:graphicData>
            </a:graphic>
          </wp:inline>
        </w:drawing>
      </w:r>
    </w:p>
    <w:p w:rsidR="000C4654" w:rsidRDefault="000C4654" w:rsidP="00CE5850">
      <w:pPr>
        <w:pStyle w:val="Caption"/>
        <w:widowControl w:val="0"/>
        <w:spacing w:before="0" w:after="0"/>
        <w:jc w:val="center"/>
        <w:rPr>
          <w:sz w:val="22"/>
          <w:szCs w:val="22"/>
        </w:rPr>
      </w:pPr>
    </w:p>
    <w:p w:rsidR="004A147C" w:rsidRPr="00B53FFB" w:rsidRDefault="004A147C" w:rsidP="00CE5850">
      <w:pPr>
        <w:pStyle w:val="Caption"/>
        <w:widowControl w:val="0"/>
        <w:spacing w:before="0" w:after="0"/>
        <w:jc w:val="center"/>
        <w:rPr>
          <w:sz w:val="22"/>
          <w:szCs w:val="22"/>
        </w:rPr>
      </w:pPr>
      <w:r w:rsidRPr="00B53FFB">
        <w:rPr>
          <w:sz w:val="22"/>
          <w:szCs w:val="22"/>
        </w:rPr>
        <w:t xml:space="preserve">Chart </w:t>
      </w:r>
      <w:r w:rsidR="0007014B" w:rsidRPr="00B53FFB">
        <w:rPr>
          <w:sz w:val="22"/>
          <w:szCs w:val="22"/>
        </w:rPr>
        <w:fldChar w:fldCharType="begin"/>
      </w:r>
      <w:r w:rsidRPr="00B53FFB">
        <w:rPr>
          <w:sz w:val="22"/>
          <w:szCs w:val="22"/>
        </w:rPr>
        <w:instrText xml:space="preserve"> SEQ Chart \* ARABIC </w:instrText>
      </w:r>
      <w:r w:rsidR="0007014B" w:rsidRPr="00B53FFB">
        <w:rPr>
          <w:sz w:val="22"/>
          <w:szCs w:val="22"/>
        </w:rPr>
        <w:fldChar w:fldCharType="separate"/>
      </w:r>
      <w:r w:rsidR="00CA3AC6">
        <w:rPr>
          <w:noProof/>
          <w:sz w:val="22"/>
          <w:szCs w:val="22"/>
        </w:rPr>
        <w:t>30</w:t>
      </w:r>
      <w:r w:rsidR="0007014B" w:rsidRPr="00B53FFB">
        <w:rPr>
          <w:sz w:val="22"/>
          <w:szCs w:val="22"/>
        </w:rPr>
        <w:fldChar w:fldCharType="end"/>
      </w:r>
    </w:p>
    <w:p w:rsidR="004A147C" w:rsidRPr="00B53FFB" w:rsidRDefault="004A147C" w:rsidP="00CE5850">
      <w:pPr>
        <w:spacing w:after="120"/>
        <w:jc w:val="center"/>
        <w:rPr>
          <w:b/>
          <w:szCs w:val="22"/>
        </w:rPr>
      </w:pPr>
      <w:r w:rsidRPr="00B53FFB">
        <w:rPr>
          <w:b/>
          <w:szCs w:val="22"/>
        </w:rPr>
        <w:t>Average Price Per Megabyte, Validas, 2009-2011</w:t>
      </w:r>
      <w:r w:rsidRPr="00B53FFB">
        <w:rPr>
          <w:rStyle w:val="FootnoteReference"/>
          <w:szCs w:val="22"/>
        </w:rPr>
        <w:footnoteReference w:id="845"/>
      </w:r>
    </w:p>
    <w:p w:rsidR="004A147C" w:rsidRPr="00B53FFB" w:rsidRDefault="00C81B24" w:rsidP="00CE5850">
      <w:pPr>
        <w:pStyle w:val="ParaNum"/>
        <w:tabs>
          <w:tab w:val="clear" w:pos="1440"/>
        </w:tabs>
        <w:ind w:left="720" w:firstLine="0"/>
        <w:jc w:val="center"/>
        <w:rPr>
          <w:sz w:val="22"/>
          <w:szCs w:val="22"/>
        </w:rPr>
      </w:pPr>
      <w:r>
        <w:rPr>
          <w:noProof/>
          <w:sz w:val="22"/>
          <w:szCs w:val="22"/>
        </w:rPr>
        <w:drawing>
          <wp:inline distT="0" distB="0" distL="0" distR="0" wp14:anchorId="28732877" wp14:editId="64E423D0">
            <wp:extent cx="5372100" cy="4248150"/>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372100" cy="4248150"/>
                    </a:xfrm>
                    <a:prstGeom prst="rect">
                      <a:avLst/>
                    </a:prstGeom>
                    <a:noFill/>
                    <a:ln>
                      <a:noFill/>
                    </a:ln>
                  </pic:spPr>
                </pic:pic>
              </a:graphicData>
            </a:graphic>
          </wp:inline>
        </w:drawing>
      </w:r>
    </w:p>
    <w:p w:rsidR="004A147C" w:rsidRPr="00B53FFB" w:rsidRDefault="004A147C" w:rsidP="00CE5850">
      <w:pPr>
        <w:pStyle w:val="Heading3"/>
        <w:keepNext w:val="0"/>
        <w:numPr>
          <w:ilvl w:val="2"/>
          <w:numId w:val="26"/>
        </w:numPr>
        <w:tabs>
          <w:tab w:val="left" w:pos="2160"/>
        </w:tabs>
        <w:rPr>
          <w:sz w:val="22"/>
          <w:szCs w:val="22"/>
        </w:rPr>
      </w:pPr>
      <w:bookmarkStart w:id="3901" w:name="_Toc261610794"/>
      <w:bookmarkStart w:id="3902" w:name="_Toc261858533"/>
      <w:bookmarkStart w:id="3903" w:name="_Toc262034338"/>
      <w:bookmarkStart w:id="3904" w:name="_Toc262034441"/>
      <w:bookmarkStart w:id="3905" w:name="_Toc271288481"/>
      <w:bookmarkStart w:id="3906" w:name="_Toc275517999"/>
      <w:bookmarkStart w:id="3907" w:name="_Toc275952439"/>
      <w:bookmarkStart w:id="3908" w:name="_Toc276121871"/>
      <w:bookmarkStart w:id="3909" w:name="_Toc276480707"/>
      <w:bookmarkStart w:id="3910" w:name="_Toc276741784"/>
      <w:bookmarkStart w:id="3911" w:name="_Toc277171549"/>
      <w:bookmarkStart w:id="3912" w:name="_Toc277864524"/>
      <w:bookmarkStart w:id="3913" w:name="_Toc277864740"/>
      <w:bookmarkStart w:id="3914" w:name="_Toc285810421"/>
      <w:bookmarkStart w:id="3915" w:name="_Toc287257815"/>
      <w:bookmarkStart w:id="3916" w:name="_Toc291758694"/>
      <w:bookmarkStart w:id="3917" w:name="_Toc291758797"/>
      <w:bookmarkStart w:id="3918" w:name="_Toc295392977"/>
      <w:bookmarkStart w:id="3919" w:name="_Toc329262519"/>
      <w:bookmarkStart w:id="3920" w:name="_Toc329852430"/>
      <w:bookmarkStart w:id="3921" w:name="_Toc331766346"/>
      <w:bookmarkStart w:id="3922" w:name="_Toc332119141"/>
      <w:bookmarkStart w:id="3923" w:name="_Toc334088818"/>
      <w:bookmarkStart w:id="3924" w:name="_Toc334089054"/>
      <w:bookmarkStart w:id="3925" w:name="_Toc334089213"/>
      <w:bookmarkStart w:id="3926" w:name="_Toc334089324"/>
      <w:bookmarkStart w:id="3927" w:name="_Toc334089488"/>
      <w:bookmarkStart w:id="3928" w:name="_Toc336268629"/>
      <w:bookmarkStart w:id="3929" w:name="_Toc336268737"/>
      <w:bookmarkStart w:id="3930" w:name="_Toc336268844"/>
      <w:bookmarkStart w:id="3931" w:name="_Toc336269058"/>
      <w:bookmarkStart w:id="3932" w:name="_Toc336269165"/>
      <w:bookmarkStart w:id="3933" w:name="_Toc336269533"/>
      <w:bookmarkStart w:id="3934" w:name="_Toc336269679"/>
      <w:bookmarkStart w:id="3935" w:name="_Toc336270092"/>
      <w:bookmarkStart w:id="3936" w:name="_Toc336271292"/>
      <w:bookmarkStart w:id="3937" w:name="_Toc337651998"/>
      <w:bookmarkStart w:id="3938" w:name="_Toc349577187"/>
      <w:bookmarkStart w:id="3939" w:name="_Toc349579279"/>
      <w:bookmarkStart w:id="3940" w:name="_Toc349580594"/>
      <w:bookmarkStart w:id="3941" w:name="_Toc349735002"/>
      <w:bookmarkStart w:id="3942" w:name="_Toc349742367"/>
      <w:r w:rsidRPr="00B53FFB">
        <w:rPr>
          <w:sz w:val="22"/>
          <w:szCs w:val="22"/>
        </w:rPr>
        <w:t>Wholesale Pricing</w:t>
      </w:r>
      <w:bookmarkEnd w:id="3901"/>
      <w:bookmarkEnd w:id="3902"/>
      <w:bookmarkEnd w:id="3903"/>
      <w:bookmarkEnd w:id="3904"/>
      <w:bookmarkEnd w:id="3905"/>
      <w:bookmarkEnd w:id="3906"/>
      <w:bookmarkEnd w:id="3907"/>
      <w:bookmarkEnd w:id="3908"/>
      <w:bookmarkEnd w:id="3909"/>
      <w:bookmarkEnd w:id="3910"/>
      <w:bookmarkEnd w:id="3911"/>
      <w:bookmarkEnd w:id="3912"/>
      <w:bookmarkEnd w:id="3913"/>
      <w:bookmarkEnd w:id="3914"/>
      <w:bookmarkEnd w:id="3915"/>
      <w:bookmarkEnd w:id="3916"/>
      <w:bookmarkEnd w:id="3917"/>
      <w:bookmarkEnd w:id="3918"/>
      <w:bookmarkEnd w:id="3919"/>
      <w:bookmarkEnd w:id="3920"/>
      <w:bookmarkEnd w:id="3921"/>
      <w:bookmarkEnd w:id="3922"/>
      <w:bookmarkEnd w:id="3923"/>
      <w:bookmarkEnd w:id="3924"/>
      <w:bookmarkEnd w:id="3925"/>
      <w:bookmarkEnd w:id="3926"/>
      <w:bookmarkEnd w:id="3927"/>
      <w:bookmarkEnd w:id="3928"/>
      <w:bookmarkEnd w:id="3929"/>
      <w:bookmarkEnd w:id="3930"/>
      <w:bookmarkEnd w:id="3931"/>
      <w:bookmarkEnd w:id="3932"/>
      <w:bookmarkEnd w:id="3933"/>
      <w:bookmarkEnd w:id="3934"/>
      <w:bookmarkEnd w:id="3935"/>
      <w:bookmarkEnd w:id="3936"/>
      <w:bookmarkEnd w:id="3937"/>
      <w:bookmarkEnd w:id="3938"/>
      <w:bookmarkEnd w:id="3939"/>
      <w:bookmarkEnd w:id="3940"/>
      <w:bookmarkEnd w:id="3941"/>
      <w:bookmarkEnd w:id="3942"/>
    </w:p>
    <w:p w:rsidR="004A147C" w:rsidRPr="00B53FFB" w:rsidRDefault="004A147C" w:rsidP="00CE5850">
      <w:pPr>
        <w:pStyle w:val="ParaNum"/>
        <w:numPr>
          <w:ilvl w:val="0"/>
          <w:numId w:val="28"/>
        </w:numPr>
        <w:rPr>
          <w:sz w:val="22"/>
          <w:szCs w:val="22"/>
        </w:rPr>
      </w:pPr>
      <w:r w:rsidRPr="00B53FFB">
        <w:rPr>
          <w:sz w:val="22"/>
          <w:szCs w:val="22"/>
        </w:rPr>
        <w:t>Resellers and MVNOs purchase minutes at wholesale prices from facilities-based mobile service providers.  Contractual agreements, and therefore wholesale prices, between MVNOs and resellers depend upon the rates that each MVNO or reseller negotiates with facilities-based providers.  These negotiated rates are generally not publicly available, so it is not possible to track wholesale pricing in the mobile wireless sector in a comprehensive manner.  Many MVNOs that purchase capacity wholesale operate on prepaid basis.  For instance, ARPU data show that the average monthly prepaid ARPU of the nationwide providers was $3 higher than the monthly ARPU of Tracfone, an MVNO that uses the networks of the four nationwide providers.</w:t>
      </w:r>
      <w:bookmarkStart w:id="3943" w:name="_Ref336615726"/>
      <w:r w:rsidRPr="00B53FFB">
        <w:rPr>
          <w:rStyle w:val="FootnoteReference"/>
          <w:szCs w:val="22"/>
        </w:rPr>
        <w:footnoteReference w:id="846"/>
      </w:r>
      <w:bookmarkEnd w:id="3943"/>
      <w:r w:rsidRPr="00B53FFB">
        <w:rPr>
          <w:sz w:val="22"/>
          <w:szCs w:val="22"/>
        </w:rPr>
        <w:t xml:space="preserve">  </w:t>
      </w:r>
    </w:p>
    <w:p w:rsidR="004A147C" w:rsidRPr="00B53FFB" w:rsidRDefault="004A147C" w:rsidP="00CE5850">
      <w:pPr>
        <w:pStyle w:val="Heading3"/>
        <w:keepNext w:val="0"/>
        <w:numPr>
          <w:ilvl w:val="2"/>
          <w:numId w:val="26"/>
        </w:numPr>
        <w:tabs>
          <w:tab w:val="left" w:pos="2160"/>
        </w:tabs>
        <w:rPr>
          <w:sz w:val="22"/>
          <w:szCs w:val="22"/>
        </w:rPr>
      </w:pPr>
      <w:bookmarkStart w:id="3944" w:name="_Ref259031429"/>
      <w:bookmarkStart w:id="3945" w:name="_Ref259031516"/>
      <w:bookmarkStart w:id="3946" w:name="_Ref259791633"/>
      <w:bookmarkStart w:id="3947" w:name="_Ref259791651"/>
      <w:bookmarkStart w:id="3948" w:name="_Toc261610795"/>
      <w:bookmarkStart w:id="3949" w:name="_Toc261858534"/>
      <w:bookmarkStart w:id="3950" w:name="_Toc262034339"/>
      <w:bookmarkStart w:id="3951" w:name="_Toc262034442"/>
      <w:bookmarkStart w:id="3952" w:name="_Toc271288482"/>
      <w:bookmarkStart w:id="3953" w:name="_Toc275518000"/>
      <w:bookmarkStart w:id="3954" w:name="_Toc275952440"/>
      <w:bookmarkStart w:id="3955" w:name="_Toc276121872"/>
      <w:bookmarkStart w:id="3956" w:name="_Toc276480708"/>
      <w:bookmarkStart w:id="3957" w:name="_Toc276741785"/>
      <w:bookmarkStart w:id="3958" w:name="_Toc277171550"/>
      <w:bookmarkStart w:id="3959" w:name="_Toc277864525"/>
      <w:bookmarkStart w:id="3960" w:name="_Toc277864741"/>
      <w:bookmarkStart w:id="3961" w:name="_Toc285810422"/>
      <w:bookmarkStart w:id="3962" w:name="_Toc287257816"/>
      <w:bookmarkStart w:id="3963" w:name="_Toc291758695"/>
      <w:bookmarkStart w:id="3964" w:name="_Toc291758798"/>
      <w:bookmarkStart w:id="3965" w:name="_Toc295392978"/>
      <w:bookmarkStart w:id="3966" w:name="_Toc329262520"/>
      <w:bookmarkStart w:id="3967" w:name="_Toc329852431"/>
      <w:bookmarkStart w:id="3968" w:name="_Toc331766347"/>
      <w:bookmarkStart w:id="3969" w:name="_Toc332119142"/>
      <w:bookmarkStart w:id="3970" w:name="_Toc334088819"/>
      <w:bookmarkStart w:id="3971" w:name="_Toc334089055"/>
      <w:bookmarkStart w:id="3972" w:name="_Toc334089214"/>
      <w:bookmarkStart w:id="3973" w:name="_Toc334089325"/>
      <w:bookmarkStart w:id="3974" w:name="_Toc334089489"/>
      <w:bookmarkStart w:id="3975" w:name="_Toc336268630"/>
      <w:bookmarkStart w:id="3976" w:name="_Toc336268738"/>
      <w:bookmarkStart w:id="3977" w:name="_Toc336268845"/>
      <w:bookmarkStart w:id="3978" w:name="_Toc336269059"/>
      <w:bookmarkStart w:id="3979" w:name="_Toc336269166"/>
      <w:bookmarkStart w:id="3980" w:name="_Toc336269534"/>
      <w:bookmarkStart w:id="3981" w:name="_Toc336269680"/>
      <w:bookmarkStart w:id="3982" w:name="_Toc336270093"/>
      <w:bookmarkStart w:id="3983" w:name="_Toc336271293"/>
      <w:bookmarkStart w:id="3984" w:name="_Toc337651999"/>
      <w:bookmarkStart w:id="3985" w:name="_Toc349577188"/>
      <w:bookmarkStart w:id="3986" w:name="_Toc349579280"/>
      <w:bookmarkStart w:id="3987" w:name="_Toc349580595"/>
      <w:bookmarkStart w:id="3988" w:name="_Toc349735003"/>
      <w:bookmarkStart w:id="3989" w:name="_Toc349742368"/>
      <w:r w:rsidRPr="00B53FFB">
        <w:rPr>
          <w:sz w:val="22"/>
          <w:szCs w:val="22"/>
        </w:rPr>
        <w:t>Intercarrier Roaming Rates and Revenue</w:t>
      </w:r>
      <w:bookmarkEnd w:id="3944"/>
      <w:bookmarkEnd w:id="3945"/>
      <w:bookmarkEnd w:id="3946"/>
      <w:bookmarkEnd w:id="3947"/>
      <w:bookmarkEnd w:id="3948"/>
      <w:bookmarkEnd w:id="3949"/>
      <w:bookmarkEnd w:id="3950"/>
      <w:bookmarkEnd w:id="3951"/>
      <w:bookmarkEnd w:id="3952"/>
      <w:bookmarkEnd w:id="3953"/>
      <w:bookmarkEnd w:id="3954"/>
      <w:bookmarkEnd w:id="3955"/>
      <w:bookmarkEnd w:id="3956"/>
      <w:bookmarkEnd w:id="3957"/>
      <w:bookmarkEnd w:id="3958"/>
      <w:bookmarkEnd w:id="3959"/>
      <w:bookmarkEnd w:id="3960"/>
      <w:bookmarkEnd w:id="3961"/>
      <w:bookmarkEnd w:id="3962"/>
      <w:bookmarkEnd w:id="3963"/>
      <w:bookmarkEnd w:id="3964"/>
      <w:bookmarkEnd w:id="3965"/>
      <w:bookmarkEnd w:id="3966"/>
      <w:bookmarkEnd w:id="3967"/>
      <w:bookmarkEnd w:id="3968"/>
      <w:bookmarkEnd w:id="3969"/>
      <w:bookmarkEnd w:id="3970"/>
      <w:bookmarkEnd w:id="3971"/>
      <w:bookmarkEnd w:id="3972"/>
      <w:bookmarkEnd w:id="3973"/>
      <w:bookmarkEnd w:id="3974"/>
      <w:bookmarkEnd w:id="3975"/>
      <w:bookmarkEnd w:id="3976"/>
      <w:bookmarkEnd w:id="3977"/>
      <w:bookmarkEnd w:id="3978"/>
      <w:bookmarkEnd w:id="3979"/>
      <w:bookmarkEnd w:id="3980"/>
      <w:bookmarkEnd w:id="3981"/>
      <w:bookmarkEnd w:id="3982"/>
      <w:bookmarkEnd w:id="3983"/>
      <w:bookmarkEnd w:id="3984"/>
      <w:bookmarkEnd w:id="3985"/>
      <w:bookmarkEnd w:id="3986"/>
      <w:bookmarkEnd w:id="3987"/>
      <w:bookmarkEnd w:id="3988"/>
      <w:bookmarkEnd w:id="3989"/>
    </w:p>
    <w:p w:rsidR="004A147C" w:rsidRPr="00B53FFB" w:rsidRDefault="004A147C" w:rsidP="00CE5850">
      <w:pPr>
        <w:pStyle w:val="ParaNum"/>
        <w:numPr>
          <w:ilvl w:val="0"/>
          <w:numId w:val="28"/>
        </w:numPr>
        <w:rPr>
          <w:sz w:val="22"/>
          <w:szCs w:val="22"/>
        </w:rPr>
      </w:pPr>
      <w:r w:rsidRPr="00B53FFB">
        <w:rPr>
          <w:sz w:val="22"/>
          <w:szCs w:val="22"/>
        </w:rPr>
        <w:t xml:space="preserve">Intercarrier roaming rates are set by contractual agreements that are confidential, and particular rates vary across agreements depending on the terms negotiated by service providers.  However, CTIA data on roaming revenues and roaming minutes of use (MOUs) can be used to derive a metric for average voice roaming revenue per minute.  CTIA reports “outcollect” roaming revenues, which are </w:t>
      </w:r>
      <w:r w:rsidRPr="00B53FFB">
        <w:rPr>
          <w:kern w:val="0"/>
          <w:sz w:val="22"/>
          <w:szCs w:val="22"/>
        </w:rPr>
        <w:t>the revenues generated by roamers inside the providers’ home coverage areas.</w:t>
      </w:r>
      <w:r w:rsidRPr="00B53FFB">
        <w:rPr>
          <w:rStyle w:val="FootnoteReference"/>
          <w:szCs w:val="22"/>
        </w:rPr>
        <w:t xml:space="preserve"> </w:t>
      </w:r>
      <w:r w:rsidRPr="00B53FFB">
        <w:rPr>
          <w:rStyle w:val="FootnoteReference"/>
          <w:szCs w:val="22"/>
        </w:rPr>
        <w:footnoteReference w:id="847"/>
      </w:r>
      <w:r w:rsidRPr="00B53FFB">
        <w:rPr>
          <w:sz w:val="22"/>
          <w:szCs w:val="22"/>
        </w:rPr>
        <w:t xml:space="preserve">  We note that CTIA’s roaming revenue estimates include revenue from both voice and data roaming services, while the roaming MOU data include traffic from only voice roaming services.  As shown in </w:t>
      </w:r>
      <w:r w:rsidR="00951E9B">
        <w:fldChar w:fldCharType="begin"/>
      </w:r>
      <w:r w:rsidR="00951E9B">
        <w:instrText xml:space="preserve"> REF _Ref329959686  \* MERGEFORMAT </w:instrText>
      </w:r>
      <w:r w:rsidR="00951E9B">
        <w:fldChar w:fldCharType="separate"/>
      </w:r>
      <w:r w:rsidR="00CA3AC6" w:rsidRPr="00CA3AC6">
        <w:rPr>
          <w:sz w:val="22"/>
          <w:szCs w:val="22"/>
        </w:rPr>
        <w:t xml:space="preserve">Table </w:t>
      </w:r>
      <w:r w:rsidR="00CA3AC6" w:rsidRPr="00CA3AC6">
        <w:rPr>
          <w:noProof/>
          <w:sz w:val="22"/>
          <w:szCs w:val="22"/>
        </w:rPr>
        <w:t>41</w:t>
      </w:r>
      <w:r w:rsidR="00951E9B">
        <w:rPr>
          <w:noProof/>
          <w:sz w:val="22"/>
          <w:szCs w:val="22"/>
        </w:rPr>
        <w:fldChar w:fldCharType="end"/>
      </w:r>
      <w:r w:rsidRPr="00B53FFB">
        <w:rPr>
          <w:sz w:val="22"/>
          <w:szCs w:val="22"/>
        </w:rPr>
        <w:t xml:space="preserve"> below, the contribution of roaming revenues to total service revenues has declined over time, as has the contribution of voice roaming traffic to total voice traffic.</w:t>
      </w:r>
    </w:p>
    <w:p w:rsidR="004A147C" w:rsidRPr="00B53FFB" w:rsidRDefault="004A147C" w:rsidP="00CE5850">
      <w:pPr>
        <w:pStyle w:val="ParaNum"/>
        <w:numPr>
          <w:ilvl w:val="0"/>
          <w:numId w:val="28"/>
        </w:numPr>
        <w:rPr>
          <w:sz w:val="22"/>
          <w:szCs w:val="22"/>
        </w:rPr>
      </w:pPr>
      <w:r w:rsidRPr="00B53FFB">
        <w:rPr>
          <w:sz w:val="22"/>
          <w:szCs w:val="22"/>
        </w:rPr>
        <w:t xml:space="preserve">We derive an average roaming RPM by dividing reported annual roaming revenues by reported annual roaming MOUs.  This aggregate proxy for intercarrier roaming rates is likely to somewhat overstate average revenue per minute of voice roaming service because the numerator includes revenue from both voice and data services, while the denominator includes only voice roaming MOUs.  Without separate data for voice and data roaming revenue and traffic, we do not know the degree to which this estimate of average voice roaming RPM is overstated.  </w:t>
      </w:r>
    </w:p>
    <w:p w:rsidR="004A147C" w:rsidRPr="00B53FFB" w:rsidRDefault="004A147C" w:rsidP="00CE5850">
      <w:pPr>
        <w:pStyle w:val="ParaNum"/>
        <w:numPr>
          <w:ilvl w:val="0"/>
          <w:numId w:val="28"/>
        </w:numPr>
        <w:rPr>
          <w:sz w:val="22"/>
          <w:szCs w:val="22"/>
        </w:rPr>
      </w:pPr>
      <w:r w:rsidRPr="00B53FFB">
        <w:rPr>
          <w:sz w:val="22"/>
          <w:szCs w:val="22"/>
        </w:rPr>
        <w:t xml:space="preserve">As shown in </w:t>
      </w:r>
      <w:r w:rsidR="00951E9B">
        <w:fldChar w:fldCharType="begin"/>
      </w:r>
      <w:r w:rsidR="00951E9B">
        <w:instrText xml:space="preserve"> REF _Ref329959686  \* MERGEFORMAT </w:instrText>
      </w:r>
      <w:r w:rsidR="00951E9B">
        <w:fldChar w:fldCharType="separate"/>
      </w:r>
      <w:r w:rsidR="00CA3AC6" w:rsidRPr="00CA3AC6">
        <w:rPr>
          <w:sz w:val="22"/>
          <w:szCs w:val="22"/>
        </w:rPr>
        <w:t xml:space="preserve">Table </w:t>
      </w:r>
      <w:r w:rsidR="00CA3AC6" w:rsidRPr="00CA3AC6">
        <w:rPr>
          <w:noProof/>
          <w:sz w:val="22"/>
          <w:szCs w:val="22"/>
        </w:rPr>
        <w:t>41</w:t>
      </w:r>
      <w:r w:rsidR="00951E9B">
        <w:rPr>
          <w:noProof/>
          <w:sz w:val="22"/>
          <w:szCs w:val="22"/>
        </w:rPr>
        <w:fldChar w:fldCharType="end"/>
      </w:r>
      <w:r w:rsidRPr="00B53FFB">
        <w:rPr>
          <w:sz w:val="22"/>
          <w:szCs w:val="22"/>
        </w:rPr>
        <w:t xml:space="preserve"> below, average voice roaming RPM has declined from just over 30 cents per minute in 1999 to less than three cents per minute in 2010 and 2011, and has been roughly stable for the past seven years.  Total annual intercarrier roaming revenues and voice minutes have generally declined as a percentage of total service revenues and total minutes, respectively, over the past ten years, except in 2011.  In 2011, total annual roaming revenue rose to $3.31 billion from $3.03 billion in 2010, and total roaming minutes rose from 112.0 billion in 2010 to 138.4 billion in 2011.  The growth over the last decade of networks with near-nationwide coverage has been accompanied by service plans with larger geographic calling areas, which may have contributed to the general decrease in roaming over the last decade.  </w:t>
      </w:r>
      <w:bookmarkStart w:id="3990" w:name="_Ref256614514"/>
    </w:p>
    <w:p w:rsidR="004A147C" w:rsidRPr="00B53FFB" w:rsidRDefault="004A147C" w:rsidP="00CE5850">
      <w:pPr>
        <w:pStyle w:val="ParaNum"/>
        <w:tabs>
          <w:tab w:val="clear" w:pos="1440"/>
        </w:tabs>
        <w:ind w:left="720" w:firstLine="0"/>
        <w:jc w:val="center"/>
        <w:rPr>
          <w:sz w:val="22"/>
          <w:szCs w:val="22"/>
        </w:rPr>
      </w:pPr>
      <w:bookmarkStart w:id="3991" w:name="_Ref329959686"/>
      <w:r w:rsidRPr="00B53FFB">
        <w:rPr>
          <w:b/>
          <w:sz w:val="22"/>
          <w:szCs w:val="22"/>
        </w:rPr>
        <w:t xml:space="preserve">Table </w:t>
      </w:r>
      <w:r w:rsidR="0007014B" w:rsidRPr="00B53FFB">
        <w:rPr>
          <w:b/>
          <w:sz w:val="22"/>
          <w:szCs w:val="22"/>
        </w:rPr>
        <w:fldChar w:fldCharType="begin"/>
      </w:r>
      <w:r w:rsidRPr="00B53FFB">
        <w:rPr>
          <w:b/>
          <w:sz w:val="22"/>
          <w:szCs w:val="22"/>
        </w:rPr>
        <w:instrText xml:space="preserve"> SEQ Table \* ARABIC </w:instrText>
      </w:r>
      <w:r w:rsidR="0007014B" w:rsidRPr="00B53FFB">
        <w:rPr>
          <w:b/>
          <w:sz w:val="22"/>
          <w:szCs w:val="22"/>
        </w:rPr>
        <w:fldChar w:fldCharType="separate"/>
      </w:r>
      <w:r w:rsidR="00CA3AC6">
        <w:rPr>
          <w:b/>
          <w:noProof/>
          <w:sz w:val="22"/>
          <w:szCs w:val="22"/>
        </w:rPr>
        <w:t>41</w:t>
      </w:r>
      <w:r w:rsidR="0007014B" w:rsidRPr="00B53FFB">
        <w:rPr>
          <w:b/>
          <w:sz w:val="22"/>
          <w:szCs w:val="22"/>
        </w:rPr>
        <w:fldChar w:fldCharType="end"/>
      </w:r>
      <w:bookmarkEnd w:id="3990"/>
      <w:bookmarkEnd w:id="3991"/>
      <w:r w:rsidRPr="00B53FFB">
        <w:rPr>
          <w:b/>
          <w:sz w:val="22"/>
          <w:szCs w:val="22"/>
        </w:rPr>
        <w:br/>
        <w:t>Roaming Revenues and Rates, 1999-2011</w:t>
      </w:r>
      <w:r w:rsidRPr="00B53FFB">
        <w:rPr>
          <w:rStyle w:val="FootnoteReference"/>
          <w:szCs w:val="22"/>
        </w:rPr>
        <w:footnoteReference w:id="848"/>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56"/>
        <w:gridCol w:w="1206"/>
        <w:gridCol w:w="968"/>
        <w:gridCol w:w="1175"/>
        <w:gridCol w:w="1701"/>
        <w:gridCol w:w="1175"/>
        <w:gridCol w:w="1448"/>
      </w:tblGrid>
      <w:tr w:rsidR="004A147C" w:rsidRPr="00B53FFB" w:rsidTr="00D626F5">
        <w:trPr>
          <w:jc w:val="center"/>
        </w:trPr>
        <w:tc>
          <w:tcPr>
            <w:tcW w:w="0" w:type="auto"/>
          </w:tcPr>
          <w:p w:rsidR="004A147C" w:rsidRPr="004F14A8" w:rsidRDefault="004A147C" w:rsidP="00CE5850">
            <w:pPr>
              <w:pStyle w:val="ParaNum"/>
              <w:tabs>
                <w:tab w:val="clear" w:pos="1440"/>
              </w:tabs>
              <w:ind w:firstLine="0"/>
              <w:rPr>
                <w:sz w:val="22"/>
                <w:szCs w:val="22"/>
              </w:rPr>
            </w:pPr>
          </w:p>
        </w:tc>
        <w:tc>
          <w:tcPr>
            <w:tcW w:w="0" w:type="auto"/>
          </w:tcPr>
          <w:p w:rsidR="004A147C" w:rsidRPr="004F14A8" w:rsidRDefault="004A147C" w:rsidP="00CE5850">
            <w:pPr>
              <w:pStyle w:val="ParaNum"/>
              <w:tabs>
                <w:tab w:val="clear" w:pos="1440"/>
              </w:tabs>
              <w:spacing w:after="0"/>
              <w:ind w:firstLine="0"/>
              <w:jc w:val="center"/>
              <w:rPr>
                <w:b/>
                <w:sz w:val="22"/>
                <w:szCs w:val="22"/>
              </w:rPr>
            </w:pPr>
            <w:r w:rsidRPr="004F14A8">
              <w:rPr>
                <w:b/>
                <w:sz w:val="22"/>
                <w:szCs w:val="22"/>
              </w:rPr>
              <w:t>Outcollect</w:t>
            </w:r>
          </w:p>
          <w:p w:rsidR="004A147C" w:rsidRPr="004F14A8" w:rsidRDefault="004A147C" w:rsidP="00CE5850">
            <w:pPr>
              <w:pStyle w:val="ParaNum"/>
              <w:tabs>
                <w:tab w:val="clear" w:pos="1440"/>
              </w:tabs>
              <w:spacing w:after="0"/>
              <w:ind w:firstLine="0"/>
              <w:jc w:val="center"/>
              <w:rPr>
                <w:b/>
                <w:sz w:val="22"/>
                <w:szCs w:val="22"/>
              </w:rPr>
            </w:pPr>
            <w:r w:rsidRPr="004F14A8">
              <w:rPr>
                <w:b/>
                <w:sz w:val="22"/>
                <w:szCs w:val="22"/>
              </w:rPr>
              <w:t>Roaming</w:t>
            </w:r>
          </w:p>
          <w:p w:rsidR="004A147C" w:rsidRPr="004F14A8" w:rsidRDefault="004A147C" w:rsidP="00CE5850">
            <w:pPr>
              <w:pStyle w:val="ParaNum"/>
              <w:tabs>
                <w:tab w:val="clear" w:pos="1440"/>
              </w:tabs>
              <w:spacing w:after="0"/>
              <w:ind w:firstLine="0"/>
              <w:jc w:val="center"/>
              <w:rPr>
                <w:b/>
                <w:sz w:val="22"/>
                <w:szCs w:val="22"/>
              </w:rPr>
            </w:pPr>
            <w:r w:rsidRPr="004F14A8">
              <w:rPr>
                <w:b/>
                <w:sz w:val="22"/>
                <w:szCs w:val="22"/>
              </w:rPr>
              <w:t>Revenues</w:t>
            </w:r>
          </w:p>
          <w:p w:rsidR="004A147C" w:rsidRPr="004F14A8" w:rsidRDefault="004A147C" w:rsidP="00CE5850">
            <w:pPr>
              <w:pStyle w:val="ParaNum"/>
              <w:tabs>
                <w:tab w:val="clear" w:pos="1440"/>
              </w:tabs>
              <w:spacing w:after="0"/>
              <w:ind w:firstLine="0"/>
              <w:jc w:val="center"/>
              <w:rPr>
                <w:sz w:val="22"/>
                <w:szCs w:val="22"/>
              </w:rPr>
            </w:pPr>
            <w:r w:rsidRPr="004F14A8">
              <w:rPr>
                <w:b/>
                <w:sz w:val="22"/>
                <w:szCs w:val="22"/>
              </w:rPr>
              <w:t>(in $000s)</w:t>
            </w:r>
          </w:p>
        </w:tc>
        <w:tc>
          <w:tcPr>
            <w:tcW w:w="0" w:type="auto"/>
          </w:tcPr>
          <w:p w:rsidR="004A147C" w:rsidRPr="004F14A8" w:rsidRDefault="004A147C" w:rsidP="00CE5850">
            <w:pPr>
              <w:pStyle w:val="ParaNum"/>
              <w:tabs>
                <w:tab w:val="clear" w:pos="1440"/>
              </w:tabs>
              <w:spacing w:after="0"/>
              <w:ind w:firstLine="0"/>
              <w:jc w:val="center"/>
              <w:rPr>
                <w:b/>
                <w:sz w:val="22"/>
                <w:szCs w:val="22"/>
              </w:rPr>
            </w:pPr>
            <w:r w:rsidRPr="004F14A8">
              <w:rPr>
                <w:b/>
                <w:sz w:val="22"/>
                <w:szCs w:val="22"/>
              </w:rPr>
              <w:t>Percent</w:t>
            </w:r>
          </w:p>
          <w:p w:rsidR="004A147C" w:rsidRPr="004F14A8" w:rsidRDefault="004A147C" w:rsidP="00CE5850">
            <w:pPr>
              <w:pStyle w:val="ParaNum"/>
              <w:tabs>
                <w:tab w:val="clear" w:pos="1440"/>
              </w:tabs>
              <w:spacing w:after="0"/>
              <w:ind w:firstLine="0"/>
              <w:jc w:val="center"/>
              <w:rPr>
                <w:b/>
                <w:sz w:val="22"/>
                <w:szCs w:val="22"/>
              </w:rPr>
            </w:pPr>
            <w:r w:rsidRPr="004F14A8">
              <w:rPr>
                <w:b/>
                <w:sz w:val="22"/>
                <w:szCs w:val="22"/>
              </w:rPr>
              <w:t>Change</w:t>
            </w:r>
          </w:p>
        </w:tc>
        <w:tc>
          <w:tcPr>
            <w:tcW w:w="0" w:type="auto"/>
          </w:tcPr>
          <w:p w:rsidR="004A147C" w:rsidRPr="004F14A8" w:rsidRDefault="004A147C" w:rsidP="00CE5850">
            <w:pPr>
              <w:pStyle w:val="ParaNum"/>
              <w:tabs>
                <w:tab w:val="clear" w:pos="1440"/>
              </w:tabs>
              <w:spacing w:after="0"/>
              <w:ind w:firstLine="0"/>
              <w:jc w:val="center"/>
              <w:rPr>
                <w:b/>
                <w:sz w:val="22"/>
                <w:szCs w:val="22"/>
              </w:rPr>
            </w:pPr>
            <w:r w:rsidRPr="004F14A8">
              <w:rPr>
                <w:b/>
                <w:sz w:val="22"/>
                <w:szCs w:val="22"/>
              </w:rPr>
              <w:t xml:space="preserve">Percent of </w:t>
            </w:r>
          </w:p>
          <w:p w:rsidR="004A147C" w:rsidRPr="004F14A8" w:rsidRDefault="004A147C" w:rsidP="00CE5850">
            <w:pPr>
              <w:pStyle w:val="ParaNum"/>
              <w:tabs>
                <w:tab w:val="clear" w:pos="1440"/>
              </w:tabs>
              <w:spacing w:after="0"/>
              <w:ind w:firstLine="0"/>
              <w:jc w:val="center"/>
              <w:rPr>
                <w:b/>
                <w:sz w:val="22"/>
                <w:szCs w:val="22"/>
              </w:rPr>
            </w:pPr>
            <w:r w:rsidRPr="004F14A8">
              <w:rPr>
                <w:b/>
                <w:sz w:val="22"/>
                <w:szCs w:val="22"/>
              </w:rPr>
              <w:t>Total</w:t>
            </w:r>
          </w:p>
          <w:p w:rsidR="004A147C" w:rsidRPr="004F14A8" w:rsidRDefault="004A147C" w:rsidP="00CE5850">
            <w:pPr>
              <w:pStyle w:val="ParaNum"/>
              <w:tabs>
                <w:tab w:val="clear" w:pos="1440"/>
              </w:tabs>
              <w:spacing w:after="0"/>
              <w:ind w:firstLine="0"/>
              <w:jc w:val="center"/>
              <w:rPr>
                <w:b/>
                <w:sz w:val="22"/>
                <w:szCs w:val="22"/>
              </w:rPr>
            </w:pPr>
            <w:r w:rsidRPr="004F14A8">
              <w:rPr>
                <w:b/>
                <w:sz w:val="22"/>
                <w:szCs w:val="22"/>
              </w:rPr>
              <w:t>Service</w:t>
            </w:r>
          </w:p>
          <w:p w:rsidR="004A147C" w:rsidRPr="004F14A8" w:rsidRDefault="004A147C" w:rsidP="00CE5850">
            <w:pPr>
              <w:pStyle w:val="ParaNum"/>
              <w:tabs>
                <w:tab w:val="clear" w:pos="1440"/>
              </w:tabs>
              <w:spacing w:after="0"/>
              <w:ind w:firstLine="0"/>
              <w:jc w:val="center"/>
              <w:rPr>
                <w:b/>
                <w:sz w:val="22"/>
                <w:szCs w:val="22"/>
              </w:rPr>
            </w:pPr>
            <w:r w:rsidRPr="004F14A8">
              <w:rPr>
                <w:b/>
                <w:sz w:val="22"/>
                <w:szCs w:val="22"/>
              </w:rPr>
              <w:t>Revenues</w:t>
            </w:r>
          </w:p>
        </w:tc>
        <w:tc>
          <w:tcPr>
            <w:tcW w:w="0" w:type="auto"/>
          </w:tcPr>
          <w:p w:rsidR="004A147C" w:rsidRPr="004F14A8" w:rsidRDefault="004A147C" w:rsidP="00CE5850">
            <w:pPr>
              <w:pStyle w:val="ParaNum"/>
              <w:tabs>
                <w:tab w:val="clear" w:pos="1440"/>
              </w:tabs>
              <w:spacing w:after="0"/>
              <w:ind w:firstLine="0"/>
              <w:jc w:val="center"/>
              <w:rPr>
                <w:b/>
                <w:sz w:val="22"/>
                <w:szCs w:val="22"/>
              </w:rPr>
            </w:pPr>
            <w:r w:rsidRPr="004F14A8">
              <w:rPr>
                <w:b/>
                <w:sz w:val="22"/>
                <w:szCs w:val="22"/>
              </w:rPr>
              <w:t>Voice</w:t>
            </w:r>
            <w:r w:rsidRPr="004F14A8">
              <w:rPr>
                <w:b/>
                <w:sz w:val="22"/>
                <w:szCs w:val="22"/>
              </w:rPr>
              <w:br/>
              <w:t>Roaming</w:t>
            </w:r>
          </w:p>
          <w:p w:rsidR="004A147C" w:rsidRPr="004F14A8" w:rsidRDefault="004A147C" w:rsidP="00CE5850">
            <w:pPr>
              <w:pStyle w:val="ParaNum"/>
              <w:tabs>
                <w:tab w:val="clear" w:pos="1440"/>
              </w:tabs>
              <w:spacing w:after="0"/>
              <w:ind w:firstLine="0"/>
              <w:jc w:val="center"/>
              <w:rPr>
                <w:b/>
                <w:sz w:val="22"/>
                <w:szCs w:val="22"/>
              </w:rPr>
            </w:pPr>
            <w:r w:rsidRPr="004F14A8">
              <w:rPr>
                <w:b/>
                <w:sz w:val="22"/>
                <w:szCs w:val="22"/>
              </w:rPr>
              <w:t>MOUs</w:t>
            </w:r>
          </w:p>
        </w:tc>
        <w:tc>
          <w:tcPr>
            <w:tcW w:w="0" w:type="auto"/>
          </w:tcPr>
          <w:p w:rsidR="004A147C" w:rsidRPr="004F14A8" w:rsidRDefault="004A147C" w:rsidP="00CE5850">
            <w:pPr>
              <w:pStyle w:val="ParaNum"/>
              <w:tabs>
                <w:tab w:val="clear" w:pos="1440"/>
              </w:tabs>
              <w:spacing w:after="0"/>
              <w:ind w:firstLine="0"/>
              <w:jc w:val="center"/>
              <w:rPr>
                <w:b/>
                <w:sz w:val="22"/>
                <w:szCs w:val="22"/>
              </w:rPr>
            </w:pPr>
            <w:r w:rsidRPr="004F14A8">
              <w:rPr>
                <w:b/>
                <w:sz w:val="22"/>
                <w:szCs w:val="22"/>
              </w:rPr>
              <w:t xml:space="preserve">Percent of </w:t>
            </w:r>
          </w:p>
          <w:p w:rsidR="004A147C" w:rsidRPr="004F14A8" w:rsidRDefault="004A147C" w:rsidP="00CE5850">
            <w:pPr>
              <w:pStyle w:val="ParaNum"/>
              <w:tabs>
                <w:tab w:val="clear" w:pos="1440"/>
              </w:tabs>
              <w:spacing w:after="0"/>
              <w:ind w:firstLine="0"/>
              <w:jc w:val="center"/>
              <w:rPr>
                <w:b/>
                <w:sz w:val="22"/>
                <w:szCs w:val="22"/>
              </w:rPr>
            </w:pPr>
            <w:r w:rsidRPr="004F14A8">
              <w:rPr>
                <w:b/>
                <w:sz w:val="22"/>
                <w:szCs w:val="22"/>
              </w:rPr>
              <w:t>Total</w:t>
            </w:r>
          </w:p>
          <w:p w:rsidR="004A147C" w:rsidRPr="004F14A8" w:rsidRDefault="004A147C" w:rsidP="00CE5850">
            <w:pPr>
              <w:pStyle w:val="ParaNum"/>
              <w:tabs>
                <w:tab w:val="clear" w:pos="1440"/>
              </w:tabs>
              <w:spacing w:after="0"/>
              <w:ind w:firstLine="0"/>
              <w:jc w:val="center"/>
              <w:rPr>
                <w:b/>
                <w:sz w:val="22"/>
                <w:szCs w:val="22"/>
              </w:rPr>
            </w:pPr>
            <w:r w:rsidRPr="004F14A8">
              <w:rPr>
                <w:b/>
                <w:sz w:val="22"/>
                <w:szCs w:val="22"/>
              </w:rPr>
              <w:t>MOUs</w:t>
            </w:r>
          </w:p>
        </w:tc>
        <w:tc>
          <w:tcPr>
            <w:tcW w:w="1448" w:type="dxa"/>
            <w:shd w:val="pct15" w:color="auto" w:fill="auto"/>
          </w:tcPr>
          <w:p w:rsidR="004A147C" w:rsidRPr="004F14A8" w:rsidRDefault="004A147C" w:rsidP="00CE5850">
            <w:pPr>
              <w:pStyle w:val="ParaNum"/>
              <w:tabs>
                <w:tab w:val="clear" w:pos="1440"/>
              </w:tabs>
              <w:spacing w:after="0"/>
              <w:ind w:firstLine="0"/>
              <w:jc w:val="center"/>
              <w:rPr>
                <w:b/>
                <w:sz w:val="22"/>
                <w:szCs w:val="22"/>
              </w:rPr>
            </w:pPr>
            <w:r w:rsidRPr="004F14A8">
              <w:rPr>
                <w:b/>
                <w:sz w:val="22"/>
                <w:szCs w:val="22"/>
              </w:rPr>
              <w:t>Average</w:t>
            </w:r>
          </w:p>
          <w:p w:rsidR="004A147C" w:rsidRPr="004F14A8" w:rsidRDefault="004A147C" w:rsidP="00CE5850">
            <w:pPr>
              <w:pStyle w:val="ParaNum"/>
              <w:tabs>
                <w:tab w:val="clear" w:pos="1440"/>
              </w:tabs>
              <w:spacing w:after="0"/>
              <w:ind w:firstLine="0"/>
              <w:jc w:val="center"/>
              <w:rPr>
                <w:b/>
                <w:sz w:val="22"/>
                <w:szCs w:val="22"/>
              </w:rPr>
            </w:pPr>
            <w:r w:rsidRPr="004F14A8">
              <w:rPr>
                <w:b/>
                <w:sz w:val="22"/>
                <w:szCs w:val="22"/>
              </w:rPr>
              <w:t>Roaming</w:t>
            </w:r>
          </w:p>
          <w:p w:rsidR="004A147C" w:rsidRPr="004F14A8" w:rsidRDefault="004A147C" w:rsidP="00CE5850">
            <w:pPr>
              <w:pStyle w:val="ParaNum"/>
              <w:tabs>
                <w:tab w:val="clear" w:pos="1440"/>
              </w:tabs>
              <w:spacing w:after="0"/>
              <w:ind w:firstLine="0"/>
              <w:jc w:val="center"/>
              <w:rPr>
                <w:b/>
                <w:sz w:val="22"/>
                <w:szCs w:val="22"/>
              </w:rPr>
            </w:pPr>
            <w:r w:rsidRPr="004F14A8">
              <w:rPr>
                <w:b/>
                <w:sz w:val="22"/>
                <w:szCs w:val="22"/>
              </w:rPr>
              <w:t>Revenue</w:t>
            </w:r>
          </w:p>
          <w:p w:rsidR="004A147C" w:rsidRPr="004F14A8" w:rsidRDefault="004A147C" w:rsidP="00CE5850">
            <w:pPr>
              <w:pStyle w:val="ParaNum"/>
              <w:tabs>
                <w:tab w:val="clear" w:pos="1440"/>
              </w:tabs>
              <w:spacing w:after="0"/>
              <w:ind w:firstLine="0"/>
              <w:jc w:val="center"/>
              <w:rPr>
                <w:b/>
                <w:sz w:val="22"/>
                <w:szCs w:val="22"/>
              </w:rPr>
            </w:pPr>
            <w:r w:rsidRPr="004F14A8">
              <w:rPr>
                <w:b/>
                <w:sz w:val="22"/>
                <w:szCs w:val="22"/>
              </w:rPr>
              <w:t>Per Minute (Blended)</w:t>
            </w:r>
          </w:p>
        </w:tc>
      </w:tr>
      <w:tr w:rsidR="004A147C" w:rsidRPr="00B53FFB" w:rsidTr="00D626F5">
        <w:trPr>
          <w:jc w:val="center"/>
        </w:trPr>
        <w:tc>
          <w:tcPr>
            <w:tcW w:w="0" w:type="auto"/>
          </w:tcPr>
          <w:p w:rsidR="004A147C" w:rsidRPr="004F14A8" w:rsidRDefault="004A147C" w:rsidP="00CE5850">
            <w:pPr>
              <w:pStyle w:val="ParaNum"/>
              <w:tabs>
                <w:tab w:val="clear" w:pos="1440"/>
              </w:tabs>
              <w:spacing w:after="0"/>
              <w:ind w:firstLine="0"/>
              <w:rPr>
                <w:sz w:val="22"/>
                <w:szCs w:val="22"/>
              </w:rPr>
            </w:pPr>
            <w:r w:rsidRPr="004F14A8">
              <w:rPr>
                <w:sz w:val="22"/>
                <w:szCs w:val="22"/>
              </w:rPr>
              <w:t>1999</w:t>
            </w:r>
          </w:p>
        </w:tc>
        <w:tc>
          <w:tcPr>
            <w:tcW w:w="0" w:type="auto"/>
          </w:tcPr>
          <w:p w:rsidR="004A147C" w:rsidRPr="004F14A8" w:rsidRDefault="004A147C" w:rsidP="00CE5850">
            <w:pPr>
              <w:pStyle w:val="ParaNum"/>
              <w:tabs>
                <w:tab w:val="clear" w:pos="1440"/>
              </w:tabs>
              <w:spacing w:after="0"/>
              <w:ind w:firstLine="0"/>
              <w:jc w:val="right"/>
              <w:rPr>
                <w:sz w:val="22"/>
                <w:szCs w:val="22"/>
              </w:rPr>
            </w:pPr>
            <w:r w:rsidRPr="004F14A8">
              <w:rPr>
                <w:sz w:val="22"/>
                <w:szCs w:val="22"/>
              </w:rPr>
              <w:t>$4,085,417</w:t>
            </w:r>
          </w:p>
        </w:tc>
        <w:tc>
          <w:tcPr>
            <w:tcW w:w="0" w:type="auto"/>
          </w:tcPr>
          <w:p w:rsidR="004A147C" w:rsidRPr="004F14A8" w:rsidRDefault="004A147C" w:rsidP="00CE5850">
            <w:pPr>
              <w:pStyle w:val="ParaNum"/>
              <w:tabs>
                <w:tab w:val="clear" w:pos="1440"/>
              </w:tabs>
              <w:spacing w:after="0"/>
              <w:ind w:firstLine="0"/>
              <w:jc w:val="right"/>
              <w:rPr>
                <w:sz w:val="22"/>
                <w:szCs w:val="22"/>
              </w:rPr>
            </w:pPr>
            <w:r w:rsidRPr="004F14A8">
              <w:rPr>
                <w:sz w:val="22"/>
                <w:szCs w:val="22"/>
              </w:rPr>
              <w:t>16.71%</w:t>
            </w:r>
          </w:p>
        </w:tc>
        <w:tc>
          <w:tcPr>
            <w:tcW w:w="0" w:type="auto"/>
          </w:tcPr>
          <w:p w:rsidR="004A147C" w:rsidRPr="004F14A8" w:rsidRDefault="004A147C" w:rsidP="00CE5850">
            <w:pPr>
              <w:pStyle w:val="ParaNum"/>
              <w:tabs>
                <w:tab w:val="clear" w:pos="1440"/>
              </w:tabs>
              <w:spacing w:after="0"/>
              <w:ind w:firstLine="0"/>
              <w:jc w:val="right"/>
              <w:rPr>
                <w:sz w:val="22"/>
                <w:szCs w:val="22"/>
              </w:rPr>
            </w:pPr>
            <w:r w:rsidRPr="004F14A8">
              <w:rPr>
                <w:sz w:val="22"/>
                <w:szCs w:val="22"/>
              </w:rPr>
              <w:t>10.2%</w:t>
            </w:r>
          </w:p>
        </w:tc>
        <w:tc>
          <w:tcPr>
            <w:tcW w:w="0" w:type="auto"/>
          </w:tcPr>
          <w:p w:rsidR="004A147C" w:rsidRPr="004F14A8" w:rsidRDefault="004A147C" w:rsidP="00CE5850">
            <w:pPr>
              <w:pStyle w:val="ParaNum"/>
              <w:tabs>
                <w:tab w:val="clear" w:pos="1440"/>
              </w:tabs>
              <w:spacing w:after="0"/>
              <w:ind w:firstLine="0"/>
              <w:jc w:val="right"/>
              <w:rPr>
                <w:sz w:val="22"/>
                <w:szCs w:val="22"/>
              </w:rPr>
            </w:pPr>
            <w:r w:rsidRPr="004F14A8">
              <w:rPr>
                <w:sz w:val="22"/>
                <w:szCs w:val="22"/>
              </w:rPr>
              <w:t>13,038,555,635</w:t>
            </w:r>
          </w:p>
        </w:tc>
        <w:tc>
          <w:tcPr>
            <w:tcW w:w="0" w:type="auto"/>
          </w:tcPr>
          <w:p w:rsidR="004A147C" w:rsidRPr="00B53FFB" w:rsidRDefault="004A147C" w:rsidP="00CE5850">
            <w:pPr>
              <w:jc w:val="right"/>
              <w:rPr>
                <w:szCs w:val="22"/>
              </w:rPr>
            </w:pPr>
            <w:r w:rsidRPr="00B53FFB">
              <w:rPr>
                <w:szCs w:val="22"/>
              </w:rPr>
              <w:t>8.8%</w:t>
            </w:r>
          </w:p>
        </w:tc>
        <w:tc>
          <w:tcPr>
            <w:tcW w:w="1448" w:type="dxa"/>
            <w:shd w:val="pct15" w:color="auto" w:fill="auto"/>
          </w:tcPr>
          <w:p w:rsidR="004A147C" w:rsidRPr="004F14A8" w:rsidRDefault="004A147C" w:rsidP="00CE5850">
            <w:pPr>
              <w:pStyle w:val="ParaNum"/>
              <w:tabs>
                <w:tab w:val="clear" w:pos="1440"/>
              </w:tabs>
              <w:spacing w:after="0"/>
              <w:ind w:firstLine="0"/>
              <w:jc w:val="right"/>
              <w:rPr>
                <w:sz w:val="22"/>
                <w:szCs w:val="22"/>
              </w:rPr>
            </w:pPr>
            <w:r w:rsidRPr="004F14A8">
              <w:rPr>
                <w:sz w:val="22"/>
                <w:szCs w:val="22"/>
              </w:rPr>
              <w:t>$0.31</w:t>
            </w:r>
          </w:p>
        </w:tc>
      </w:tr>
      <w:tr w:rsidR="004A147C" w:rsidRPr="00B53FFB" w:rsidTr="00D626F5">
        <w:trPr>
          <w:jc w:val="center"/>
        </w:trPr>
        <w:tc>
          <w:tcPr>
            <w:tcW w:w="0" w:type="auto"/>
          </w:tcPr>
          <w:p w:rsidR="004A147C" w:rsidRPr="004F14A8" w:rsidRDefault="004A147C" w:rsidP="00CE5850">
            <w:pPr>
              <w:pStyle w:val="ParaNum"/>
              <w:tabs>
                <w:tab w:val="clear" w:pos="1440"/>
              </w:tabs>
              <w:spacing w:after="0"/>
              <w:ind w:firstLine="0"/>
              <w:rPr>
                <w:sz w:val="22"/>
                <w:szCs w:val="22"/>
              </w:rPr>
            </w:pPr>
            <w:r w:rsidRPr="004F14A8">
              <w:rPr>
                <w:sz w:val="22"/>
                <w:szCs w:val="22"/>
              </w:rPr>
              <w:t>2000</w:t>
            </w:r>
          </w:p>
        </w:tc>
        <w:tc>
          <w:tcPr>
            <w:tcW w:w="0" w:type="auto"/>
          </w:tcPr>
          <w:p w:rsidR="004A147C" w:rsidRPr="004F14A8" w:rsidRDefault="004A147C" w:rsidP="00CE5850">
            <w:pPr>
              <w:pStyle w:val="ParaNum"/>
              <w:tabs>
                <w:tab w:val="clear" w:pos="1440"/>
              </w:tabs>
              <w:spacing w:after="0"/>
              <w:ind w:firstLine="0"/>
              <w:jc w:val="right"/>
              <w:rPr>
                <w:sz w:val="22"/>
                <w:szCs w:val="22"/>
              </w:rPr>
            </w:pPr>
            <w:r w:rsidRPr="004F14A8">
              <w:rPr>
                <w:sz w:val="22"/>
                <w:szCs w:val="22"/>
              </w:rPr>
              <w:t>$3,882,981</w:t>
            </w:r>
          </w:p>
        </w:tc>
        <w:tc>
          <w:tcPr>
            <w:tcW w:w="0" w:type="auto"/>
          </w:tcPr>
          <w:p w:rsidR="004A147C" w:rsidRPr="004F14A8" w:rsidRDefault="004A147C" w:rsidP="00CE5850">
            <w:pPr>
              <w:pStyle w:val="ParaNum"/>
              <w:tabs>
                <w:tab w:val="clear" w:pos="1440"/>
              </w:tabs>
              <w:spacing w:after="0"/>
              <w:ind w:firstLine="0"/>
              <w:jc w:val="right"/>
              <w:rPr>
                <w:sz w:val="22"/>
                <w:szCs w:val="22"/>
              </w:rPr>
            </w:pPr>
            <w:r w:rsidRPr="004F14A8">
              <w:rPr>
                <w:sz w:val="22"/>
                <w:szCs w:val="22"/>
              </w:rPr>
              <w:t>-4.96%</w:t>
            </w:r>
          </w:p>
        </w:tc>
        <w:tc>
          <w:tcPr>
            <w:tcW w:w="0" w:type="auto"/>
          </w:tcPr>
          <w:p w:rsidR="004A147C" w:rsidRPr="004F14A8" w:rsidRDefault="004A147C" w:rsidP="00CE5850">
            <w:pPr>
              <w:pStyle w:val="ParaNum"/>
              <w:tabs>
                <w:tab w:val="clear" w:pos="1440"/>
              </w:tabs>
              <w:spacing w:after="0"/>
              <w:ind w:firstLine="0"/>
              <w:jc w:val="right"/>
              <w:rPr>
                <w:sz w:val="22"/>
                <w:szCs w:val="22"/>
              </w:rPr>
            </w:pPr>
            <w:r w:rsidRPr="004F14A8">
              <w:rPr>
                <w:sz w:val="22"/>
                <w:szCs w:val="22"/>
              </w:rPr>
              <w:t>7.4%</w:t>
            </w:r>
          </w:p>
        </w:tc>
        <w:tc>
          <w:tcPr>
            <w:tcW w:w="0" w:type="auto"/>
          </w:tcPr>
          <w:p w:rsidR="004A147C" w:rsidRPr="004F14A8" w:rsidRDefault="004A147C" w:rsidP="00CE5850">
            <w:pPr>
              <w:pStyle w:val="ParaNum"/>
              <w:tabs>
                <w:tab w:val="clear" w:pos="1440"/>
              </w:tabs>
              <w:spacing w:after="0"/>
              <w:ind w:firstLine="0"/>
              <w:jc w:val="right"/>
              <w:rPr>
                <w:sz w:val="22"/>
                <w:szCs w:val="22"/>
              </w:rPr>
            </w:pPr>
            <w:r w:rsidRPr="004F14A8">
              <w:rPr>
                <w:sz w:val="22"/>
                <w:szCs w:val="22"/>
              </w:rPr>
              <w:t>20,852,266,390</w:t>
            </w:r>
          </w:p>
        </w:tc>
        <w:tc>
          <w:tcPr>
            <w:tcW w:w="0" w:type="auto"/>
          </w:tcPr>
          <w:p w:rsidR="004A147C" w:rsidRPr="00B53FFB" w:rsidRDefault="004A147C" w:rsidP="00CE5850">
            <w:pPr>
              <w:jc w:val="right"/>
              <w:rPr>
                <w:szCs w:val="22"/>
              </w:rPr>
            </w:pPr>
            <w:r w:rsidRPr="00B53FFB">
              <w:rPr>
                <w:szCs w:val="22"/>
              </w:rPr>
              <w:t>8.1%</w:t>
            </w:r>
          </w:p>
        </w:tc>
        <w:tc>
          <w:tcPr>
            <w:tcW w:w="1448" w:type="dxa"/>
            <w:shd w:val="pct15" w:color="auto" w:fill="auto"/>
          </w:tcPr>
          <w:p w:rsidR="004A147C" w:rsidRPr="004F14A8" w:rsidRDefault="004A147C" w:rsidP="00CE5850">
            <w:pPr>
              <w:pStyle w:val="ParaNum"/>
              <w:tabs>
                <w:tab w:val="clear" w:pos="1440"/>
              </w:tabs>
              <w:spacing w:after="0"/>
              <w:ind w:firstLine="0"/>
              <w:jc w:val="right"/>
              <w:rPr>
                <w:sz w:val="22"/>
                <w:szCs w:val="22"/>
              </w:rPr>
            </w:pPr>
            <w:r w:rsidRPr="004F14A8">
              <w:rPr>
                <w:sz w:val="22"/>
                <w:szCs w:val="22"/>
              </w:rPr>
              <w:t>$0.19</w:t>
            </w:r>
          </w:p>
        </w:tc>
      </w:tr>
      <w:tr w:rsidR="004A147C" w:rsidRPr="00B53FFB" w:rsidTr="00D626F5">
        <w:trPr>
          <w:jc w:val="center"/>
        </w:trPr>
        <w:tc>
          <w:tcPr>
            <w:tcW w:w="0" w:type="auto"/>
          </w:tcPr>
          <w:p w:rsidR="004A147C" w:rsidRPr="004F14A8" w:rsidRDefault="004A147C" w:rsidP="00CE5850">
            <w:pPr>
              <w:pStyle w:val="ParaNum"/>
              <w:tabs>
                <w:tab w:val="clear" w:pos="1440"/>
              </w:tabs>
              <w:spacing w:after="0"/>
              <w:ind w:firstLine="0"/>
              <w:rPr>
                <w:sz w:val="22"/>
                <w:szCs w:val="22"/>
              </w:rPr>
            </w:pPr>
            <w:r w:rsidRPr="004F14A8">
              <w:rPr>
                <w:sz w:val="22"/>
                <w:szCs w:val="22"/>
              </w:rPr>
              <w:t>2001</w:t>
            </w:r>
          </w:p>
        </w:tc>
        <w:tc>
          <w:tcPr>
            <w:tcW w:w="0" w:type="auto"/>
          </w:tcPr>
          <w:p w:rsidR="004A147C" w:rsidRPr="004F14A8" w:rsidRDefault="004A147C" w:rsidP="00CE5850">
            <w:pPr>
              <w:pStyle w:val="ParaNum"/>
              <w:tabs>
                <w:tab w:val="clear" w:pos="1440"/>
              </w:tabs>
              <w:spacing w:after="0"/>
              <w:ind w:firstLine="0"/>
              <w:jc w:val="right"/>
              <w:rPr>
                <w:sz w:val="22"/>
                <w:szCs w:val="22"/>
              </w:rPr>
            </w:pPr>
            <w:r w:rsidRPr="004F14A8">
              <w:rPr>
                <w:sz w:val="22"/>
                <w:szCs w:val="22"/>
              </w:rPr>
              <w:t>$3,752,826</w:t>
            </w:r>
          </w:p>
        </w:tc>
        <w:tc>
          <w:tcPr>
            <w:tcW w:w="0" w:type="auto"/>
          </w:tcPr>
          <w:p w:rsidR="004A147C" w:rsidRPr="004F14A8" w:rsidRDefault="004A147C" w:rsidP="00CE5850">
            <w:pPr>
              <w:pStyle w:val="ParaNum"/>
              <w:tabs>
                <w:tab w:val="clear" w:pos="1440"/>
              </w:tabs>
              <w:spacing w:after="0"/>
              <w:ind w:firstLine="0"/>
              <w:jc w:val="right"/>
              <w:rPr>
                <w:sz w:val="22"/>
                <w:szCs w:val="22"/>
              </w:rPr>
            </w:pPr>
            <w:r w:rsidRPr="004F14A8">
              <w:rPr>
                <w:sz w:val="22"/>
                <w:szCs w:val="22"/>
              </w:rPr>
              <w:t>-3.35%</w:t>
            </w:r>
          </w:p>
        </w:tc>
        <w:tc>
          <w:tcPr>
            <w:tcW w:w="0" w:type="auto"/>
          </w:tcPr>
          <w:p w:rsidR="004A147C" w:rsidRPr="004F14A8" w:rsidRDefault="004A147C" w:rsidP="00CE5850">
            <w:pPr>
              <w:pStyle w:val="ParaNum"/>
              <w:tabs>
                <w:tab w:val="clear" w:pos="1440"/>
              </w:tabs>
              <w:spacing w:after="0"/>
              <w:ind w:firstLine="0"/>
              <w:jc w:val="right"/>
              <w:rPr>
                <w:sz w:val="22"/>
                <w:szCs w:val="22"/>
              </w:rPr>
            </w:pPr>
            <w:r w:rsidRPr="004F14A8">
              <w:rPr>
                <w:sz w:val="22"/>
                <w:szCs w:val="22"/>
              </w:rPr>
              <w:t>5.7%</w:t>
            </w:r>
          </w:p>
        </w:tc>
        <w:tc>
          <w:tcPr>
            <w:tcW w:w="0" w:type="auto"/>
          </w:tcPr>
          <w:p w:rsidR="004A147C" w:rsidRPr="004F14A8" w:rsidRDefault="004A147C" w:rsidP="00CE5850">
            <w:pPr>
              <w:pStyle w:val="ParaNum"/>
              <w:tabs>
                <w:tab w:val="clear" w:pos="1440"/>
              </w:tabs>
              <w:spacing w:after="0"/>
              <w:ind w:firstLine="0"/>
              <w:jc w:val="right"/>
              <w:rPr>
                <w:sz w:val="22"/>
                <w:szCs w:val="22"/>
              </w:rPr>
            </w:pPr>
            <w:r w:rsidRPr="004F14A8">
              <w:rPr>
                <w:sz w:val="22"/>
                <w:szCs w:val="22"/>
              </w:rPr>
              <w:t>27,811,907,410</w:t>
            </w:r>
          </w:p>
        </w:tc>
        <w:tc>
          <w:tcPr>
            <w:tcW w:w="0" w:type="auto"/>
          </w:tcPr>
          <w:p w:rsidR="004A147C" w:rsidRPr="00B53FFB" w:rsidRDefault="004A147C" w:rsidP="00CE5850">
            <w:pPr>
              <w:jc w:val="right"/>
              <w:rPr>
                <w:szCs w:val="22"/>
              </w:rPr>
            </w:pPr>
            <w:r w:rsidRPr="00B53FFB">
              <w:rPr>
                <w:szCs w:val="22"/>
              </w:rPr>
              <w:t>6.1%</w:t>
            </w:r>
          </w:p>
        </w:tc>
        <w:tc>
          <w:tcPr>
            <w:tcW w:w="1448" w:type="dxa"/>
            <w:shd w:val="pct15" w:color="auto" w:fill="auto"/>
          </w:tcPr>
          <w:p w:rsidR="004A147C" w:rsidRPr="004F14A8" w:rsidRDefault="004A147C" w:rsidP="00CE5850">
            <w:pPr>
              <w:pStyle w:val="ParaNum"/>
              <w:tabs>
                <w:tab w:val="clear" w:pos="1440"/>
              </w:tabs>
              <w:spacing w:after="0"/>
              <w:ind w:firstLine="0"/>
              <w:jc w:val="right"/>
              <w:rPr>
                <w:sz w:val="22"/>
                <w:szCs w:val="22"/>
              </w:rPr>
            </w:pPr>
            <w:r w:rsidRPr="004F14A8">
              <w:rPr>
                <w:sz w:val="22"/>
                <w:szCs w:val="22"/>
              </w:rPr>
              <w:t>$0.13</w:t>
            </w:r>
          </w:p>
        </w:tc>
      </w:tr>
      <w:tr w:rsidR="004A147C" w:rsidRPr="00B53FFB" w:rsidTr="00D626F5">
        <w:trPr>
          <w:jc w:val="center"/>
        </w:trPr>
        <w:tc>
          <w:tcPr>
            <w:tcW w:w="0" w:type="auto"/>
          </w:tcPr>
          <w:p w:rsidR="004A147C" w:rsidRPr="004F14A8" w:rsidRDefault="004A147C" w:rsidP="00CE5850">
            <w:pPr>
              <w:pStyle w:val="ParaNum"/>
              <w:tabs>
                <w:tab w:val="clear" w:pos="1440"/>
              </w:tabs>
              <w:spacing w:after="0"/>
              <w:ind w:firstLine="0"/>
              <w:rPr>
                <w:sz w:val="22"/>
                <w:szCs w:val="22"/>
              </w:rPr>
            </w:pPr>
            <w:r w:rsidRPr="004F14A8">
              <w:rPr>
                <w:sz w:val="22"/>
                <w:szCs w:val="22"/>
              </w:rPr>
              <w:t>2002</w:t>
            </w:r>
          </w:p>
        </w:tc>
        <w:tc>
          <w:tcPr>
            <w:tcW w:w="0" w:type="auto"/>
          </w:tcPr>
          <w:p w:rsidR="004A147C" w:rsidRPr="004F14A8" w:rsidRDefault="004A147C" w:rsidP="00CE5850">
            <w:pPr>
              <w:pStyle w:val="ParaNum"/>
              <w:tabs>
                <w:tab w:val="clear" w:pos="1440"/>
              </w:tabs>
              <w:spacing w:after="0"/>
              <w:ind w:firstLine="0"/>
              <w:jc w:val="right"/>
              <w:rPr>
                <w:sz w:val="22"/>
                <w:szCs w:val="22"/>
              </w:rPr>
            </w:pPr>
            <w:r w:rsidRPr="004F14A8">
              <w:rPr>
                <w:sz w:val="22"/>
                <w:szCs w:val="22"/>
              </w:rPr>
              <w:t>$3,895,511</w:t>
            </w:r>
          </w:p>
        </w:tc>
        <w:tc>
          <w:tcPr>
            <w:tcW w:w="0" w:type="auto"/>
          </w:tcPr>
          <w:p w:rsidR="004A147C" w:rsidRPr="004F14A8" w:rsidRDefault="004A147C" w:rsidP="00CE5850">
            <w:pPr>
              <w:pStyle w:val="ParaNum"/>
              <w:tabs>
                <w:tab w:val="clear" w:pos="1440"/>
              </w:tabs>
              <w:spacing w:after="0"/>
              <w:ind w:firstLine="0"/>
              <w:jc w:val="right"/>
              <w:rPr>
                <w:sz w:val="22"/>
                <w:szCs w:val="22"/>
              </w:rPr>
            </w:pPr>
            <w:r w:rsidRPr="004F14A8">
              <w:rPr>
                <w:sz w:val="22"/>
                <w:szCs w:val="22"/>
              </w:rPr>
              <w:t>3.80%</w:t>
            </w:r>
          </w:p>
        </w:tc>
        <w:tc>
          <w:tcPr>
            <w:tcW w:w="0" w:type="auto"/>
          </w:tcPr>
          <w:p w:rsidR="004A147C" w:rsidRPr="004F14A8" w:rsidRDefault="004A147C" w:rsidP="00CE5850">
            <w:pPr>
              <w:pStyle w:val="ParaNum"/>
              <w:tabs>
                <w:tab w:val="clear" w:pos="1440"/>
              </w:tabs>
              <w:spacing w:after="0"/>
              <w:ind w:firstLine="0"/>
              <w:jc w:val="right"/>
              <w:rPr>
                <w:sz w:val="22"/>
                <w:szCs w:val="22"/>
              </w:rPr>
            </w:pPr>
            <w:r w:rsidRPr="004F14A8">
              <w:rPr>
                <w:sz w:val="22"/>
                <w:szCs w:val="22"/>
              </w:rPr>
              <w:t>5.1%</w:t>
            </w:r>
          </w:p>
        </w:tc>
        <w:tc>
          <w:tcPr>
            <w:tcW w:w="0" w:type="auto"/>
          </w:tcPr>
          <w:p w:rsidR="004A147C" w:rsidRPr="004F14A8" w:rsidRDefault="004A147C" w:rsidP="00CE5850">
            <w:pPr>
              <w:pStyle w:val="ParaNum"/>
              <w:tabs>
                <w:tab w:val="clear" w:pos="1440"/>
              </w:tabs>
              <w:spacing w:after="0"/>
              <w:ind w:firstLine="0"/>
              <w:jc w:val="right"/>
              <w:rPr>
                <w:sz w:val="22"/>
                <w:szCs w:val="22"/>
              </w:rPr>
            </w:pPr>
            <w:r w:rsidRPr="004F14A8">
              <w:rPr>
                <w:sz w:val="22"/>
                <w:szCs w:val="22"/>
              </w:rPr>
              <w:t>43,846,470,833</w:t>
            </w:r>
          </w:p>
        </w:tc>
        <w:tc>
          <w:tcPr>
            <w:tcW w:w="0" w:type="auto"/>
          </w:tcPr>
          <w:p w:rsidR="004A147C" w:rsidRPr="00B53FFB" w:rsidRDefault="004A147C" w:rsidP="00CE5850">
            <w:pPr>
              <w:jc w:val="right"/>
              <w:rPr>
                <w:szCs w:val="22"/>
              </w:rPr>
            </w:pPr>
            <w:r w:rsidRPr="00B53FFB">
              <w:rPr>
                <w:szCs w:val="22"/>
              </w:rPr>
              <w:t>7.1%</w:t>
            </w:r>
          </w:p>
        </w:tc>
        <w:tc>
          <w:tcPr>
            <w:tcW w:w="1448" w:type="dxa"/>
            <w:shd w:val="pct15" w:color="auto" w:fill="auto"/>
          </w:tcPr>
          <w:p w:rsidR="004A147C" w:rsidRPr="004F14A8" w:rsidRDefault="004A147C" w:rsidP="00CE5850">
            <w:pPr>
              <w:pStyle w:val="ParaNum"/>
              <w:tabs>
                <w:tab w:val="clear" w:pos="1440"/>
              </w:tabs>
              <w:spacing w:after="0"/>
              <w:ind w:firstLine="0"/>
              <w:jc w:val="right"/>
              <w:rPr>
                <w:sz w:val="22"/>
                <w:szCs w:val="22"/>
              </w:rPr>
            </w:pPr>
            <w:r w:rsidRPr="004F14A8">
              <w:rPr>
                <w:sz w:val="22"/>
                <w:szCs w:val="22"/>
              </w:rPr>
              <w:t>$0.09</w:t>
            </w:r>
          </w:p>
        </w:tc>
      </w:tr>
      <w:tr w:rsidR="004A147C" w:rsidRPr="00B53FFB" w:rsidTr="00D626F5">
        <w:trPr>
          <w:jc w:val="center"/>
        </w:trPr>
        <w:tc>
          <w:tcPr>
            <w:tcW w:w="0" w:type="auto"/>
          </w:tcPr>
          <w:p w:rsidR="004A147C" w:rsidRPr="004F14A8" w:rsidRDefault="004A147C" w:rsidP="00CE5850">
            <w:pPr>
              <w:pStyle w:val="ParaNum"/>
              <w:tabs>
                <w:tab w:val="clear" w:pos="1440"/>
              </w:tabs>
              <w:spacing w:after="0"/>
              <w:ind w:firstLine="0"/>
              <w:rPr>
                <w:sz w:val="22"/>
                <w:szCs w:val="22"/>
              </w:rPr>
            </w:pPr>
            <w:r w:rsidRPr="004F14A8">
              <w:rPr>
                <w:sz w:val="22"/>
                <w:szCs w:val="22"/>
              </w:rPr>
              <w:t>2003</w:t>
            </w:r>
          </w:p>
        </w:tc>
        <w:tc>
          <w:tcPr>
            <w:tcW w:w="0" w:type="auto"/>
          </w:tcPr>
          <w:p w:rsidR="004A147C" w:rsidRPr="004F14A8" w:rsidRDefault="004A147C" w:rsidP="00CE5850">
            <w:pPr>
              <w:pStyle w:val="ParaNum"/>
              <w:tabs>
                <w:tab w:val="clear" w:pos="1440"/>
              </w:tabs>
              <w:spacing w:after="0"/>
              <w:ind w:firstLine="0"/>
              <w:jc w:val="right"/>
              <w:rPr>
                <w:sz w:val="22"/>
                <w:szCs w:val="22"/>
              </w:rPr>
            </w:pPr>
            <w:r w:rsidRPr="004F14A8">
              <w:rPr>
                <w:sz w:val="22"/>
                <w:szCs w:val="22"/>
              </w:rPr>
              <w:t>$3,766,267</w:t>
            </w:r>
          </w:p>
        </w:tc>
        <w:tc>
          <w:tcPr>
            <w:tcW w:w="0" w:type="auto"/>
          </w:tcPr>
          <w:p w:rsidR="004A147C" w:rsidRPr="004F14A8" w:rsidRDefault="004A147C" w:rsidP="00CE5850">
            <w:pPr>
              <w:pStyle w:val="ParaNum"/>
              <w:tabs>
                <w:tab w:val="clear" w:pos="1440"/>
              </w:tabs>
              <w:spacing w:after="0"/>
              <w:ind w:firstLine="0"/>
              <w:jc w:val="right"/>
              <w:rPr>
                <w:sz w:val="22"/>
                <w:szCs w:val="22"/>
              </w:rPr>
            </w:pPr>
            <w:r w:rsidRPr="004F14A8">
              <w:rPr>
                <w:sz w:val="22"/>
                <w:szCs w:val="22"/>
              </w:rPr>
              <w:t>-3.32%</w:t>
            </w:r>
          </w:p>
        </w:tc>
        <w:tc>
          <w:tcPr>
            <w:tcW w:w="0" w:type="auto"/>
          </w:tcPr>
          <w:p w:rsidR="004A147C" w:rsidRPr="004F14A8" w:rsidRDefault="004A147C" w:rsidP="00CE5850">
            <w:pPr>
              <w:pStyle w:val="ParaNum"/>
              <w:tabs>
                <w:tab w:val="clear" w:pos="1440"/>
              </w:tabs>
              <w:spacing w:after="0"/>
              <w:ind w:firstLine="0"/>
              <w:jc w:val="right"/>
              <w:rPr>
                <w:sz w:val="22"/>
                <w:szCs w:val="22"/>
              </w:rPr>
            </w:pPr>
            <w:r w:rsidRPr="004F14A8">
              <w:rPr>
                <w:sz w:val="22"/>
                <w:szCs w:val="22"/>
              </w:rPr>
              <w:t>4.3%</w:t>
            </w:r>
          </w:p>
        </w:tc>
        <w:tc>
          <w:tcPr>
            <w:tcW w:w="0" w:type="auto"/>
          </w:tcPr>
          <w:p w:rsidR="004A147C" w:rsidRPr="004F14A8" w:rsidRDefault="004A147C" w:rsidP="00CE5850">
            <w:pPr>
              <w:pStyle w:val="ParaNum"/>
              <w:tabs>
                <w:tab w:val="clear" w:pos="1440"/>
              </w:tabs>
              <w:spacing w:after="0"/>
              <w:ind w:firstLine="0"/>
              <w:jc w:val="right"/>
              <w:rPr>
                <w:sz w:val="22"/>
                <w:szCs w:val="22"/>
              </w:rPr>
            </w:pPr>
            <w:r w:rsidRPr="004F14A8">
              <w:rPr>
                <w:sz w:val="22"/>
                <w:szCs w:val="22"/>
              </w:rPr>
              <w:t>56,828,973,359</w:t>
            </w:r>
          </w:p>
        </w:tc>
        <w:tc>
          <w:tcPr>
            <w:tcW w:w="0" w:type="auto"/>
          </w:tcPr>
          <w:p w:rsidR="004A147C" w:rsidRPr="00B53FFB" w:rsidRDefault="004A147C" w:rsidP="00CE5850">
            <w:pPr>
              <w:jc w:val="right"/>
              <w:rPr>
                <w:szCs w:val="22"/>
              </w:rPr>
            </w:pPr>
            <w:r w:rsidRPr="00B53FFB">
              <w:rPr>
                <w:szCs w:val="22"/>
              </w:rPr>
              <w:t>6.8%</w:t>
            </w:r>
          </w:p>
        </w:tc>
        <w:tc>
          <w:tcPr>
            <w:tcW w:w="1448" w:type="dxa"/>
            <w:shd w:val="pct15" w:color="auto" w:fill="auto"/>
          </w:tcPr>
          <w:p w:rsidR="004A147C" w:rsidRPr="004F14A8" w:rsidRDefault="004A147C" w:rsidP="00CE5850">
            <w:pPr>
              <w:pStyle w:val="ParaNum"/>
              <w:tabs>
                <w:tab w:val="clear" w:pos="1440"/>
              </w:tabs>
              <w:spacing w:after="0"/>
              <w:ind w:firstLine="0"/>
              <w:jc w:val="right"/>
              <w:rPr>
                <w:sz w:val="22"/>
                <w:szCs w:val="22"/>
              </w:rPr>
            </w:pPr>
            <w:r w:rsidRPr="004F14A8">
              <w:rPr>
                <w:sz w:val="22"/>
                <w:szCs w:val="22"/>
              </w:rPr>
              <w:t>$0.07</w:t>
            </w:r>
          </w:p>
        </w:tc>
      </w:tr>
      <w:tr w:rsidR="004A147C" w:rsidRPr="00B53FFB" w:rsidTr="00D626F5">
        <w:trPr>
          <w:jc w:val="center"/>
        </w:trPr>
        <w:tc>
          <w:tcPr>
            <w:tcW w:w="0" w:type="auto"/>
          </w:tcPr>
          <w:p w:rsidR="004A147C" w:rsidRPr="004F14A8" w:rsidRDefault="004A147C" w:rsidP="00CE5850">
            <w:pPr>
              <w:pStyle w:val="ParaNum"/>
              <w:tabs>
                <w:tab w:val="clear" w:pos="1440"/>
              </w:tabs>
              <w:spacing w:after="0"/>
              <w:ind w:firstLine="0"/>
              <w:rPr>
                <w:sz w:val="22"/>
                <w:szCs w:val="22"/>
              </w:rPr>
            </w:pPr>
            <w:r w:rsidRPr="004F14A8">
              <w:rPr>
                <w:sz w:val="22"/>
                <w:szCs w:val="22"/>
              </w:rPr>
              <w:t>2004</w:t>
            </w:r>
          </w:p>
        </w:tc>
        <w:tc>
          <w:tcPr>
            <w:tcW w:w="0" w:type="auto"/>
          </w:tcPr>
          <w:p w:rsidR="004A147C" w:rsidRPr="004F14A8" w:rsidRDefault="004A147C" w:rsidP="00CE5850">
            <w:pPr>
              <w:pStyle w:val="ParaNum"/>
              <w:tabs>
                <w:tab w:val="clear" w:pos="1440"/>
              </w:tabs>
              <w:spacing w:after="0"/>
              <w:ind w:firstLine="0"/>
              <w:jc w:val="right"/>
              <w:rPr>
                <w:sz w:val="22"/>
                <w:szCs w:val="22"/>
              </w:rPr>
            </w:pPr>
            <w:r w:rsidRPr="004F14A8">
              <w:rPr>
                <w:sz w:val="22"/>
                <w:szCs w:val="22"/>
              </w:rPr>
              <w:t>$4,210,330</w:t>
            </w:r>
          </w:p>
        </w:tc>
        <w:tc>
          <w:tcPr>
            <w:tcW w:w="0" w:type="auto"/>
          </w:tcPr>
          <w:p w:rsidR="004A147C" w:rsidRPr="004F14A8" w:rsidRDefault="004A147C" w:rsidP="00CE5850">
            <w:pPr>
              <w:pStyle w:val="ParaNum"/>
              <w:tabs>
                <w:tab w:val="clear" w:pos="1440"/>
              </w:tabs>
              <w:spacing w:after="0"/>
              <w:ind w:firstLine="0"/>
              <w:jc w:val="right"/>
              <w:rPr>
                <w:sz w:val="22"/>
                <w:szCs w:val="22"/>
              </w:rPr>
            </w:pPr>
            <w:r w:rsidRPr="004F14A8">
              <w:rPr>
                <w:sz w:val="22"/>
                <w:szCs w:val="22"/>
              </w:rPr>
              <w:t>11.79%</w:t>
            </w:r>
          </w:p>
        </w:tc>
        <w:tc>
          <w:tcPr>
            <w:tcW w:w="0" w:type="auto"/>
          </w:tcPr>
          <w:p w:rsidR="004A147C" w:rsidRPr="004F14A8" w:rsidRDefault="004A147C" w:rsidP="00CE5850">
            <w:pPr>
              <w:pStyle w:val="ParaNum"/>
              <w:tabs>
                <w:tab w:val="clear" w:pos="1440"/>
              </w:tabs>
              <w:spacing w:after="0"/>
              <w:ind w:firstLine="0"/>
              <w:jc w:val="right"/>
              <w:rPr>
                <w:sz w:val="22"/>
                <w:szCs w:val="22"/>
              </w:rPr>
            </w:pPr>
            <w:r w:rsidRPr="004F14A8">
              <w:rPr>
                <w:sz w:val="22"/>
                <w:szCs w:val="22"/>
              </w:rPr>
              <w:t>4.1%</w:t>
            </w:r>
          </w:p>
        </w:tc>
        <w:tc>
          <w:tcPr>
            <w:tcW w:w="0" w:type="auto"/>
          </w:tcPr>
          <w:p w:rsidR="004A147C" w:rsidRPr="004F14A8" w:rsidRDefault="004A147C" w:rsidP="00CE5850">
            <w:pPr>
              <w:pStyle w:val="ParaNum"/>
              <w:tabs>
                <w:tab w:val="clear" w:pos="1440"/>
              </w:tabs>
              <w:spacing w:after="0"/>
              <w:ind w:firstLine="0"/>
              <w:jc w:val="right"/>
              <w:rPr>
                <w:sz w:val="22"/>
                <w:szCs w:val="22"/>
              </w:rPr>
            </w:pPr>
            <w:r w:rsidRPr="004F14A8">
              <w:rPr>
                <w:sz w:val="22"/>
                <w:szCs w:val="22"/>
              </w:rPr>
              <w:t>71,440,711,110</w:t>
            </w:r>
          </w:p>
        </w:tc>
        <w:tc>
          <w:tcPr>
            <w:tcW w:w="0" w:type="auto"/>
          </w:tcPr>
          <w:p w:rsidR="004A147C" w:rsidRPr="00B53FFB" w:rsidRDefault="004A147C" w:rsidP="00CE5850">
            <w:pPr>
              <w:jc w:val="right"/>
              <w:rPr>
                <w:szCs w:val="22"/>
              </w:rPr>
            </w:pPr>
            <w:r w:rsidRPr="00B53FFB">
              <w:rPr>
                <w:szCs w:val="22"/>
              </w:rPr>
              <w:t>6.5%</w:t>
            </w:r>
          </w:p>
        </w:tc>
        <w:tc>
          <w:tcPr>
            <w:tcW w:w="1448" w:type="dxa"/>
            <w:shd w:val="pct15" w:color="auto" w:fill="auto"/>
          </w:tcPr>
          <w:p w:rsidR="004A147C" w:rsidRPr="004F14A8" w:rsidRDefault="004A147C" w:rsidP="00CE5850">
            <w:pPr>
              <w:pStyle w:val="ParaNum"/>
              <w:tabs>
                <w:tab w:val="clear" w:pos="1440"/>
              </w:tabs>
              <w:spacing w:after="0"/>
              <w:ind w:firstLine="0"/>
              <w:jc w:val="right"/>
              <w:rPr>
                <w:sz w:val="22"/>
                <w:szCs w:val="22"/>
              </w:rPr>
            </w:pPr>
            <w:r w:rsidRPr="004F14A8">
              <w:rPr>
                <w:sz w:val="22"/>
                <w:szCs w:val="22"/>
              </w:rPr>
              <w:t>$0.06</w:t>
            </w:r>
          </w:p>
        </w:tc>
      </w:tr>
      <w:tr w:rsidR="004A147C" w:rsidRPr="00B53FFB" w:rsidTr="00D626F5">
        <w:trPr>
          <w:jc w:val="center"/>
        </w:trPr>
        <w:tc>
          <w:tcPr>
            <w:tcW w:w="0" w:type="auto"/>
          </w:tcPr>
          <w:p w:rsidR="004A147C" w:rsidRPr="004F14A8" w:rsidRDefault="004A147C" w:rsidP="00CE5850">
            <w:pPr>
              <w:pStyle w:val="ParaNum"/>
              <w:tabs>
                <w:tab w:val="clear" w:pos="1440"/>
              </w:tabs>
              <w:spacing w:after="0"/>
              <w:ind w:firstLine="0"/>
              <w:rPr>
                <w:sz w:val="22"/>
                <w:szCs w:val="22"/>
              </w:rPr>
            </w:pPr>
            <w:r w:rsidRPr="004F14A8">
              <w:rPr>
                <w:sz w:val="22"/>
                <w:szCs w:val="22"/>
              </w:rPr>
              <w:t>2005</w:t>
            </w:r>
          </w:p>
        </w:tc>
        <w:tc>
          <w:tcPr>
            <w:tcW w:w="0" w:type="auto"/>
          </w:tcPr>
          <w:p w:rsidR="004A147C" w:rsidRPr="004F14A8" w:rsidRDefault="004A147C" w:rsidP="00CE5850">
            <w:pPr>
              <w:pStyle w:val="ParaNum"/>
              <w:tabs>
                <w:tab w:val="clear" w:pos="1440"/>
              </w:tabs>
              <w:spacing w:after="0"/>
              <w:ind w:firstLine="0"/>
              <w:jc w:val="right"/>
              <w:rPr>
                <w:sz w:val="22"/>
                <w:szCs w:val="22"/>
              </w:rPr>
            </w:pPr>
            <w:r w:rsidRPr="004F14A8">
              <w:rPr>
                <w:sz w:val="22"/>
                <w:szCs w:val="22"/>
              </w:rPr>
              <w:t>$3,786,332</w:t>
            </w:r>
          </w:p>
        </w:tc>
        <w:tc>
          <w:tcPr>
            <w:tcW w:w="0" w:type="auto"/>
          </w:tcPr>
          <w:p w:rsidR="004A147C" w:rsidRPr="004F14A8" w:rsidRDefault="004A147C" w:rsidP="00CE5850">
            <w:pPr>
              <w:pStyle w:val="ParaNum"/>
              <w:tabs>
                <w:tab w:val="clear" w:pos="1440"/>
              </w:tabs>
              <w:spacing w:after="0"/>
              <w:ind w:firstLine="0"/>
              <w:jc w:val="right"/>
              <w:rPr>
                <w:sz w:val="22"/>
                <w:szCs w:val="22"/>
              </w:rPr>
            </w:pPr>
            <w:r w:rsidRPr="004F14A8">
              <w:rPr>
                <w:sz w:val="22"/>
                <w:szCs w:val="22"/>
              </w:rPr>
              <w:t>-10.07%</w:t>
            </w:r>
          </w:p>
        </w:tc>
        <w:tc>
          <w:tcPr>
            <w:tcW w:w="0" w:type="auto"/>
          </w:tcPr>
          <w:p w:rsidR="004A147C" w:rsidRPr="004F14A8" w:rsidRDefault="004A147C" w:rsidP="00CE5850">
            <w:pPr>
              <w:pStyle w:val="ParaNum"/>
              <w:tabs>
                <w:tab w:val="clear" w:pos="1440"/>
              </w:tabs>
              <w:spacing w:after="0"/>
              <w:ind w:firstLine="0"/>
              <w:jc w:val="right"/>
              <w:rPr>
                <w:sz w:val="22"/>
                <w:szCs w:val="22"/>
              </w:rPr>
            </w:pPr>
            <w:r w:rsidRPr="004F14A8">
              <w:rPr>
                <w:sz w:val="22"/>
                <w:szCs w:val="22"/>
              </w:rPr>
              <w:t>3.3%</w:t>
            </w:r>
          </w:p>
        </w:tc>
        <w:tc>
          <w:tcPr>
            <w:tcW w:w="0" w:type="auto"/>
          </w:tcPr>
          <w:p w:rsidR="004A147C" w:rsidRPr="004F14A8" w:rsidRDefault="004A147C" w:rsidP="00CE5850">
            <w:pPr>
              <w:pStyle w:val="ParaNum"/>
              <w:tabs>
                <w:tab w:val="clear" w:pos="1440"/>
              </w:tabs>
              <w:spacing w:after="0"/>
              <w:ind w:firstLine="0"/>
              <w:jc w:val="right"/>
              <w:rPr>
                <w:sz w:val="22"/>
                <w:szCs w:val="22"/>
              </w:rPr>
            </w:pPr>
            <w:r w:rsidRPr="004F14A8">
              <w:rPr>
                <w:sz w:val="22"/>
                <w:szCs w:val="22"/>
              </w:rPr>
              <w:t>115,008,338,841</w:t>
            </w:r>
          </w:p>
        </w:tc>
        <w:tc>
          <w:tcPr>
            <w:tcW w:w="0" w:type="auto"/>
          </w:tcPr>
          <w:p w:rsidR="004A147C" w:rsidRPr="00B53FFB" w:rsidRDefault="004A147C" w:rsidP="00CE5850">
            <w:pPr>
              <w:jc w:val="right"/>
              <w:rPr>
                <w:szCs w:val="22"/>
              </w:rPr>
            </w:pPr>
            <w:r w:rsidRPr="00B53FFB">
              <w:rPr>
                <w:szCs w:val="22"/>
              </w:rPr>
              <w:t>7.7%</w:t>
            </w:r>
          </w:p>
        </w:tc>
        <w:tc>
          <w:tcPr>
            <w:tcW w:w="1448" w:type="dxa"/>
            <w:shd w:val="pct15" w:color="auto" w:fill="auto"/>
          </w:tcPr>
          <w:p w:rsidR="004A147C" w:rsidRPr="004F14A8" w:rsidRDefault="004A147C" w:rsidP="00CE5850">
            <w:pPr>
              <w:pStyle w:val="ParaNum"/>
              <w:tabs>
                <w:tab w:val="clear" w:pos="1440"/>
              </w:tabs>
              <w:spacing w:after="0"/>
              <w:ind w:firstLine="0"/>
              <w:jc w:val="right"/>
              <w:rPr>
                <w:sz w:val="22"/>
                <w:szCs w:val="22"/>
              </w:rPr>
            </w:pPr>
            <w:r w:rsidRPr="004F14A8">
              <w:rPr>
                <w:sz w:val="22"/>
                <w:szCs w:val="22"/>
              </w:rPr>
              <w:t>$0.03</w:t>
            </w:r>
          </w:p>
        </w:tc>
      </w:tr>
      <w:tr w:rsidR="004A147C" w:rsidRPr="00B53FFB" w:rsidTr="00D626F5">
        <w:trPr>
          <w:jc w:val="center"/>
        </w:trPr>
        <w:tc>
          <w:tcPr>
            <w:tcW w:w="0" w:type="auto"/>
          </w:tcPr>
          <w:p w:rsidR="004A147C" w:rsidRPr="004F14A8" w:rsidRDefault="004A147C" w:rsidP="00CE5850">
            <w:pPr>
              <w:pStyle w:val="ParaNum"/>
              <w:tabs>
                <w:tab w:val="clear" w:pos="1440"/>
              </w:tabs>
              <w:spacing w:after="0"/>
              <w:ind w:firstLine="0"/>
              <w:rPr>
                <w:sz w:val="22"/>
                <w:szCs w:val="22"/>
              </w:rPr>
            </w:pPr>
            <w:r w:rsidRPr="004F14A8">
              <w:rPr>
                <w:sz w:val="22"/>
                <w:szCs w:val="22"/>
              </w:rPr>
              <w:t>2006</w:t>
            </w:r>
          </w:p>
        </w:tc>
        <w:tc>
          <w:tcPr>
            <w:tcW w:w="0" w:type="auto"/>
          </w:tcPr>
          <w:p w:rsidR="004A147C" w:rsidRPr="004F14A8" w:rsidRDefault="004A147C" w:rsidP="00CE5850">
            <w:pPr>
              <w:pStyle w:val="ParaNum"/>
              <w:tabs>
                <w:tab w:val="clear" w:pos="1440"/>
              </w:tabs>
              <w:spacing w:after="0"/>
              <w:ind w:firstLine="0"/>
              <w:jc w:val="right"/>
              <w:rPr>
                <w:sz w:val="22"/>
                <w:szCs w:val="22"/>
              </w:rPr>
            </w:pPr>
            <w:r w:rsidRPr="004F14A8">
              <w:rPr>
                <w:sz w:val="22"/>
                <w:szCs w:val="22"/>
              </w:rPr>
              <w:t>$3,494,294</w:t>
            </w:r>
          </w:p>
        </w:tc>
        <w:tc>
          <w:tcPr>
            <w:tcW w:w="0" w:type="auto"/>
          </w:tcPr>
          <w:p w:rsidR="004A147C" w:rsidRPr="004F14A8" w:rsidRDefault="004A147C" w:rsidP="00CE5850">
            <w:pPr>
              <w:pStyle w:val="ParaNum"/>
              <w:tabs>
                <w:tab w:val="clear" w:pos="1440"/>
              </w:tabs>
              <w:spacing w:after="0"/>
              <w:ind w:firstLine="0"/>
              <w:jc w:val="right"/>
              <w:rPr>
                <w:sz w:val="22"/>
                <w:szCs w:val="22"/>
              </w:rPr>
            </w:pPr>
            <w:r w:rsidRPr="004F14A8">
              <w:rPr>
                <w:sz w:val="22"/>
                <w:szCs w:val="22"/>
              </w:rPr>
              <w:t>-7.71%</w:t>
            </w:r>
          </w:p>
        </w:tc>
        <w:tc>
          <w:tcPr>
            <w:tcW w:w="0" w:type="auto"/>
          </w:tcPr>
          <w:p w:rsidR="004A147C" w:rsidRPr="004F14A8" w:rsidRDefault="004A147C" w:rsidP="00CE5850">
            <w:pPr>
              <w:pStyle w:val="ParaNum"/>
              <w:tabs>
                <w:tab w:val="clear" w:pos="1440"/>
              </w:tabs>
              <w:spacing w:after="0"/>
              <w:ind w:firstLine="0"/>
              <w:jc w:val="right"/>
              <w:rPr>
                <w:sz w:val="22"/>
                <w:szCs w:val="22"/>
              </w:rPr>
            </w:pPr>
            <w:r w:rsidRPr="004F14A8">
              <w:rPr>
                <w:sz w:val="22"/>
                <w:szCs w:val="22"/>
              </w:rPr>
              <w:t>2.8%</w:t>
            </w:r>
          </w:p>
        </w:tc>
        <w:tc>
          <w:tcPr>
            <w:tcW w:w="0" w:type="auto"/>
          </w:tcPr>
          <w:p w:rsidR="004A147C" w:rsidRPr="004F14A8" w:rsidRDefault="004A147C" w:rsidP="00CE5850">
            <w:pPr>
              <w:pStyle w:val="ParaNum"/>
              <w:tabs>
                <w:tab w:val="clear" w:pos="1440"/>
              </w:tabs>
              <w:spacing w:after="0"/>
              <w:ind w:firstLine="0"/>
              <w:jc w:val="right"/>
              <w:rPr>
                <w:sz w:val="22"/>
                <w:szCs w:val="22"/>
              </w:rPr>
            </w:pPr>
            <w:r w:rsidRPr="004F14A8">
              <w:rPr>
                <w:sz w:val="22"/>
                <w:szCs w:val="22"/>
              </w:rPr>
              <w:t>91,991,570,460</w:t>
            </w:r>
          </w:p>
        </w:tc>
        <w:tc>
          <w:tcPr>
            <w:tcW w:w="0" w:type="auto"/>
          </w:tcPr>
          <w:p w:rsidR="004A147C" w:rsidRPr="00B53FFB" w:rsidRDefault="004A147C" w:rsidP="00CE5850">
            <w:pPr>
              <w:jc w:val="right"/>
              <w:rPr>
                <w:szCs w:val="22"/>
              </w:rPr>
            </w:pPr>
            <w:r w:rsidRPr="00B53FFB">
              <w:rPr>
                <w:szCs w:val="22"/>
              </w:rPr>
              <w:t>5.1%</w:t>
            </w:r>
          </w:p>
        </w:tc>
        <w:tc>
          <w:tcPr>
            <w:tcW w:w="1448" w:type="dxa"/>
            <w:shd w:val="pct15" w:color="auto" w:fill="auto"/>
          </w:tcPr>
          <w:p w:rsidR="004A147C" w:rsidRPr="004F14A8" w:rsidRDefault="004A147C" w:rsidP="00CE5850">
            <w:pPr>
              <w:pStyle w:val="ParaNum"/>
              <w:tabs>
                <w:tab w:val="clear" w:pos="1440"/>
              </w:tabs>
              <w:spacing w:after="0"/>
              <w:ind w:firstLine="0"/>
              <w:jc w:val="right"/>
              <w:rPr>
                <w:sz w:val="22"/>
                <w:szCs w:val="22"/>
              </w:rPr>
            </w:pPr>
            <w:r w:rsidRPr="004F14A8">
              <w:rPr>
                <w:sz w:val="22"/>
                <w:szCs w:val="22"/>
              </w:rPr>
              <w:t>$0.04</w:t>
            </w:r>
          </w:p>
        </w:tc>
      </w:tr>
      <w:tr w:rsidR="004A147C" w:rsidRPr="00B53FFB" w:rsidTr="00D626F5">
        <w:trPr>
          <w:jc w:val="center"/>
        </w:trPr>
        <w:tc>
          <w:tcPr>
            <w:tcW w:w="0" w:type="auto"/>
          </w:tcPr>
          <w:p w:rsidR="004A147C" w:rsidRPr="004F14A8" w:rsidRDefault="004A147C" w:rsidP="00CE5850">
            <w:pPr>
              <w:pStyle w:val="ParaNum"/>
              <w:tabs>
                <w:tab w:val="clear" w:pos="1440"/>
              </w:tabs>
              <w:spacing w:after="0"/>
              <w:ind w:firstLine="0"/>
              <w:rPr>
                <w:sz w:val="22"/>
                <w:szCs w:val="22"/>
              </w:rPr>
            </w:pPr>
            <w:r w:rsidRPr="004F14A8">
              <w:rPr>
                <w:sz w:val="22"/>
                <w:szCs w:val="22"/>
              </w:rPr>
              <w:t>2007</w:t>
            </w:r>
          </w:p>
        </w:tc>
        <w:tc>
          <w:tcPr>
            <w:tcW w:w="0" w:type="auto"/>
          </w:tcPr>
          <w:p w:rsidR="004A147C" w:rsidRPr="004F14A8" w:rsidRDefault="004A147C" w:rsidP="00CE5850">
            <w:pPr>
              <w:pStyle w:val="ParaNum"/>
              <w:tabs>
                <w:tab w:val="clear" w:pos="1440"/>
              </w:tabs>
              <w:spacing w:after="0"/>
              <w:ind w:firstLine="0"/>
              <w:jc w:val="right"/>
              <w:rPr>
                <w:sz w:val="22"/>
                <w:szCs w:val="22"/>
              </w:rPr>
            </w:pPr>
            <w:r w:rsidRPr="004F14A8">
              <w:rPr>
                <w:sz w:val="22"/>
                <w:szCs w:val="22"/>
              </w:rPr>
              <w:t>$3,742,015</w:t>
            </w:r>
          </w:p>
        </w:tc>
        <w:tc>
          <w:tcPr>
            <w:tcW w:w="0" w:type="auto"/>
          </w:tcPr>
          <w:p w:rsidR="004A147C" w:rsidRPr="004F14A8" w:rsidRDefault="004A147C" w:rsidP="00CE5850">
            <w:pPr>
              <w:pStyle w:val="ParaNum"/>
              <w:tabs>
                <w:tab w:val="clear" w:pos="1440"/>
              </w:tabs>
              <w:spacing w:after="0"/>
              <w:ind w:firstLine="0"/>
              <w:jc w:val="right"/>
              <w:rPr>
                <w:sz w:val="22"/>
                <w:szCs w:val="22"/>
              </w:rPr>
            </w:pPr>
            <w:r w:rsidRPr="004F14A8">
              <w:rPr>
                <w:sz w:val="22"/>
                <w:szCs w:val="22"/>
              </w:rPr>
              <w:t>7.09%</w:t>
            </w:r>
          </w:p>
        </w:tc>
        <w:tc>
          <w:tcPr>
            <w:tcW w:w="0" w:type="auto"/>
          </w:tcPr>
          <w:p w:rsidR="004A147C" w:rsidRPr="004F14A8" w:rsidRDefault="004A147C" w:rsidP="00CE5850">
            <w:pPr>
              <w:pStyle w:val="ParaNum"/>
              <w:tabs>
                <w:tab w:val="clear" w:pos="1440"/>
              </w:tabs>
              <w:spacing w:after="0"/>
              <w:ind w:firstLine="0"/>
              <w:jc w:val="right"/>
              <w:rPr>
                <w:sz w:val="22"/>
                <w:szCs w:val="22"/>
              </w:rPr>
            </w:pPr>
            <w:r w:rsidRPr="004F14A8">
              <w:rPr>
                <w:sz w:val="22"/>
                <w:szCs w:val="22"/>
              </w:rPr>
              <w:t>2.7%</w:t>
            </w:r>
          </w:p>
        </w:tc>
        <w:tc>
          <w:tcPr>
            <w:tcW w:w="0" w:type="auto"/>
          </w:tcPr>
          <w:p w:rsidR="004A147C" w:rsidRPr="004F14A8" w:rsidRDefault="004A147C" w:rsidP="00CE5850">
            <w:pPr>
              <w:pStyle w:val="ParaNum"/>
              <w:tabs>
                <w:tab w:val="clear" w:pos="1440"/>
              </w:tabs>
              <w:spacing w:after="0"/>
              <w:ind w:firstLine="0"/>
              <w:jc w:val="right"/>
              <w:rPr>
                <w:sz w:val="22"/>
                <w:szCs w:val="22"/>
              </w:rPr>
            </w:pPr>
            <w:r w:rsidRPr="004F14A8">
              <w:rPr>
                <w:sz w:val="22"/>
                <w:szCs w:val="22"/>
              </w:rPr>
              <w:t>107,615,715,912</w:t>
            </w:r>
          </w:p>
        </w:tc>
        <w:tc>
          <w:tcPr>
            <w:tcW w:w="0" w:type="auto"/>
          </w:tcPr>
          <w:p w:rsidR="004A147C" w:rsidRPr="00B53FFB" w:rsidRDefault="004A147C" w:rsidP="00CE5850">
            <w:pPr>
              <w:jc w:val="right"/>
              <w:rPr>
                <w:szCs w:val="22"/>
              </w:rPr>
            </w:pPr>
            <w:r w:rsidRPr="00B53FFB">
              <w:rPr>
                <w:szCs w:val="22"/>
              </w:rPr>
              <w:t>5.1%</w:t>
            </w:r>
          </w:p>
        </w:tc>
        <w:tc>
          <w:tcPr>
            <w:tcW w:w="1448" w:type="dxa"/>
            <w:shd w:val="pct15" w:color="auto" w:fill="auto"/>
          </w:tcPr>
          <w:p w:rsidR="004A147C" w:rsidRPr="004F14A8" w:rsidRDefault="004A147C" w:rsidP="00CE5850">
            <w:pPr>
              <w:pStyle w:val="ParaNum"/>
              <w:tabs>
                <w:tab w:val="clear" w:pos="1440"/>
              </w:tabs>
              <w:spacing w:after="0"/>
              <w:ind w:firstLine="0"/>
              <w:jc w:val="right"/>
              <w:rPr>
                <w:sz w:val="22"/>
                <w:szCs w:val="22"/>
              </w:rPr>
            </w:pPr>
            <w:r w:rsidRPr="004F14A8">
              <w:rPr>
                <w:sz w:val="22"/>
                <w:szCs w:val="22"/>
              </w:rPr>
              <w:t>$0.03</w:t>
            </w:r>
          </w:p>
        </w:tc>
      </w:tr>
      <w:tr w:rsidR="004A147C" w:rsidRPr="00B53FFB" w:rsidTr="00D626F5">
        <w:trPr>
          <w:jc w:val="center"/>
        </w:trPr>
        <w:tc>
          <w:tcPr>
            <w:tcW w:w="0" w:type="auto"/>
          </w:tcPr>
          <w:p w:rsidR="004A147C" w:rsidRPr="004F14A8" w:rsidRDefault="004A147C" w:rsidP="00CE5850">
            <w:pPr>
              <w:pStyle w:val="ParaNum"/>
              <w:tabs>
                <w:tab w:val="clear" w:pos="1440"/>
              </w:tabs>
              <w:spacing w:after="0"/>
              <w:ind w:firstLine="0"/>
              <w:rPr>
                <w:sz w:val="22"/>
                <w:szCs w:val="22"/>
              </w:rPr>
            </w:pPr>
            <w:r w:rsidRPr="004F14A8">
              <w:rPr>
                <w:sz w:val="22"/>
                <w:szCs w:val="22"/>
              </w:rPr>
              <w:t>2008</w:t>
            </w:r>
          </w:p>
        </w:tc>
        <w:tc>
          <w:tcPr>
            <w:tcW w:w="0" w:type="auto"/>
          </w:tcPr>
          <w:p w:rsidR="004A147C" w:rsidRPr="004F14A8" w:rsidRDefault="004A147C" w:rsidP="00CE5850">
            <w:pPr>
              <w:pStyle w:val="ParaNum"/>
              <w:tabs>
                <w:tab w:val="clear" w:pos="1440"/>
              </w:tabs>
              <w:spacing w:after="0"/>
              <w:ind w:firstLine="0"/>
              <w:jc w:val="right"/>
              <w:rPr>
                <w:sz w:val="22"/>
                <w:szCs w:val="22"/>
              </w:rPr>
            </w:pPr>
            <w:r w:rsidRPr="004F14A8">
              <w:rPr>
                <w:bCs/>
                <w:sz w:val="22"/>
                <w:szCs w:val="22"/>
              </w:rPr>
              <w:t>$3,739,274</w:t>
            </w:r>
          </w:p>
        </w:tc>
        <w:tc>
          <w:tcPr>
            <w:tcW w:w="0" w:type="auto"/>
          </w:tcPr>
          <w:p w:rsidR="004A147C" w:rsidRPr="004F14A8" w:rsidRDefault="004A147C" w:rsidP="00CE5850">
            <w:pPr>
              <w:pStyle w:val="ParaNum"/>
              <w:tabs>
                <w:tab w:val="clear" w:pos="1440"/>
              </w:tabs>
              <w:spacing w:after="0"/>
              <w:ind w:firstLine="0"/>
              <w:jc w:val="right"/>
              <w:rPr>
                <w:sz w:val="22"/>
                <w:szCs w:val="22"/>
              </w:rPr>
            </w:pPr>
            <w:r w:rsidRPr="004F14A8">
              <w:rPr>
                <w:bCs/>
                <w:sz w:val="22"/>
                <w:szCs w:val="22"/>
              </w:rPr>
              <w:t>-0.07%</w:t>
            </w:r>
          </w:p>
        </w:tc>
        <w:tc>
          <w:tcPr>
            <w:tcW w:w="0" w:type="auto"/>
          </w:tcPr>
          <w:p w:rsidR="004A147C" w:rsidRPr="004F14A8" w:rsidRDefault="004A147C" w:rsidP="00CE5850">
            <w:pPr>
              <w:pStyle w:val="ParaNum"/>
              <w:tabs>
                <w:tab w:val="clear" w:pos="1440"/>
              </w:tabs>
              <w:spacing w:after="0"/>
              <w:ind w:firstLine="0"/>
              <w:jc w:val="right"/>
              <w:rPr>
                <w:sz w:val="22"/>
                <w:szCs w:val="22"/>
              </w:rPr>
            </w:pPr>
            <w:r w:rsidRPr="004F14A8">
              <w:rPr>
                <w:sz w:val="22"/>
                <w:szCs w:val="22"/>
              </w:rPr>
              <w:t>2.5%</w:t>
            </w:r>
          </w:p>
        </w:tc>
        <w:tc>
          <w:tcPr>
            <w:tcW w:w="0" w:type="auto"/>
          </w:tcPr>
          <w:p w:rsidR="004A147C" w:rsidRPr="004F14A8" w:rsidRDefault="004A147C" w:rsidP="00CE5850">
            <w:pPr>
              <w:pStyle w:val="ParaNum"/>
              <w:tabs>
                <w:tab w:val="clear" w:pos="1440"/>
              </w:tabs>
              <w:spacing w:after="0"/>
              <w:ind w:firstLine="0"/>
              <w:jc w:val="right"/>
              <w:rPr>
                <w:sz w:val="22"/>
                <w:szCs w:val="22"/>
              </w:rPr>
            </w:pPr>
            <w:r w:rsidRPr="004F14A8">
              <w:rPr>
                <w:sz w:val="22"/>
                <w:szCs w:val="22"/>
              </w:rPr>
              <w:t>121,438,208,469</w:t>
            </w:r>
          </w:p>
        </w:tc>
        <w:tc>
          <w:tcPr>
            <w:tcW w:w="0" w:type="auto"/>
          </w:tcPr>
          <w:p w:rsidR="004A147C" w:rsidRPr="00B53FFB" w:rsidRDefault="004A147C" w:rsidP="00CE5850">
            <w:pPr>
              <w:jc w:val="right"/>
              <w:rPr>
                <w:szCs w:val="22"/>
              </w:rPr>
            </w:pPr>
            <w:r w:rsidRPr="00B53FFB">
              <w:rPr>
                <w:szCs w:val="22"/>
              </w:rPr>
              <w:t>5.5%</w:t>
            </w:r>
          </w:p>
        </w:tc>
        <w:tc>
          <w:tcPr>
            <w:tcW w:w="1448" w:type="dxa"/>
            <w:shd w:val="pct15" w:color="auto" w:fill="auto"/>
          </w:tcPr>
          <w:p w:rsidR="004A147C" w:rsidRPr="004F14A8" w:rsidRDefault="004A147C" w:rsidP="00CE5850">
            <w:pPr>
              <w:pStyle w:val="ParaNum"/>
              <w:tabs>
                <w:tab w:val="clear" w:pos="1440"/>
              </w:tabs>
              <w:spacing w:after="0"/>
              <w:ind w:firstLine="0"/>
              <w:jc w:val="right"/>
              <w:rPr>
                <w:sz w:val="22"/>
                <w:szCs w:val="22"/>
              </w:rPr>
            </w:pPr>
            <w:r w:rsidRPr="004F14A8">
              <w:rPr>
                <w:sz w:val="22"/>
                <w:szCs w:val="22"/>
              </w:rPr>
              <w:t>$0.03</w:t>
            </w:r>
          </w:p>
        </w:tc>
      </w:tr>
      <w:tr w:rsidR="004A147C" w:rsidRPr="00B53FFB" w:rsidTr="00D626F5">
        <w:trPr>
          <w:jc w:val="center"/>
        </w:trPr>
        <w:tc>
          <w:tcPr>
            <w:tcW w:w="0" w:type="auto"/>
          </w:tcPr>
          <w:p w:rsidR="004A147C" w:rsidRPr="004F14A8" w:rsidRDefault="004A147C" w:rsidP="00CE5850">
            <w:pPr>
              <w:pStyle w:val="ParaNum"/>
              <w:tabs>
                <w:tab w:val="clear" w:pos="1440"/>
              </w:tabs>
              <w:spacing w:after="0"/>
              <w:ind w:firstLine="0"/>
              <w:rPr>
                <w:sz w:val="22"/>
                <w:szCs w:val="22"/>
              </w:rPr>
            </w:pPr>
            <w:r w:rsidRPr="004F14A8">
              <w:rPr>
                <w:sz w:val="22"/>
                <w:szCs w:val="22"/>
              </w:rPr>
              <w:t>2009</w:t>
            </w:r>
          </w:p>
        </w:tc>
        <w:tc>
          <w:tcPr>
            <w:tcW w:w="0" w:type="auto"/>
          </w:tcPr>
          <w:p w:rsidR="004A147C" w:rsidRPr="004F14A8" w:rsidRDefault="004A147C" w:rsidP="00CE5850">
            <w:pPr>
              <w:pStyle w:val="ParaNum"/>
              <w:tabs>
                <w:tab w:val="clear" w:pos="1440"/>
              </w:tabs>
              <w:spacing w:after="0"/>
              <w:ind w:firstLine="0"/>
              <w:jc w:val="right"/>
              <w:rPr>
                <w:bCs/>
                <w:sz w:val="22"/>
                <w:szCs w:val="22"/>
              </w:rPr>
            </w:pPr>
            <w:r w:rsidRPr="004F14A8">
              <w:rPr>
                <w:bCs/>
                <w:sz w:val="22"/>
                <w:szCs w:val="22"/>
              </w:rPr>
              <w:t>$3,061,344</w:t>
            </w:r>
          </w:p>
        </w:tc>
        <w:tc>
          <w:tcPr>
            <w:tcW w:w="0" w:type="auto"/>
          </w:tcPr>
          <w:p w:rsidR="004A147C" w:rsidRPr="004F14A8" w:rsidRDefault="004A147C" w:rsidP="00CE5850">
            <w:pPr>
              <w:pStyle w:val="ParaNum"/>
              <w:tabs>
                <w:tab w:val="clear" w:pos="1440"/>
              </w:tabs>
              <w:spacing w:after="0"/>
              <w:ind w:firstLine="0"/>
              <w:jc w:val="right"/>
              <w:rPr>
                <w:bCs/>
                <w:sz w:val="22"/>
                <w:szCs w:val="22"/>
              </w:rPr>
            </w:pPr>
            <w:r w:rsidRPr="004F14A8">
              <w:rPr>
                <w:bCs/>
                <w:sz w:val="22"/>
                <w:szCs w:val="22"/>
              </w:rPr>
              <w:t>-18.1%</w:t>
            </w:r>
          </w:p>
        </w:tc>
        <w:tc>
          <w:tcPr>
            <w:tcW w:w="0" w:type="auto"/>
          </w:tcPr>
          <w:p w:rsidR="004A147C" w:rsidRPr="004F14A8" w:rsidRDefault="004A147C" w:rsidP="00CE5850">
            <w:pPr>
              <w:pStyle w:val="ParaNum"/>
              <w:tabs>
                <w:tab w:val="clear" w:pos="1440"/>
              </w:tabs>
              <w:spacing w:after="0"/>
              <w:ind w:firstLine="0"/>
              <w:jc w:val="right"/>
              <w:rPr>
                <w:sz w:val="22"/>
                <w:szCs w:val="22"/>
              </w:rPr>
            </w:pPr>
            <w:r w:rsidRPr="004F14A8">
              <w:rPr>
                <w:sz w:val="22"/>
                <w:szCs w:val="22"/>
              </w:rPr>
              <w:t>2.3%</w:t>
            </w:r>
          </w:p>
        </w:tc>
        <w:tc>
          <w:tcPr>
            <w:tcW w:w="0" w:type="auto"/>
          </w:tcPr>
          <w:p w:rsidR="004A147C" w:rsidRPr="004F14A8" w:rsidRDefault="004A147C" w:rsidP="00CE5850">
            <w:pPr>
              <w:pStyle w:val="ParaNum"/>
              <w:tabs>
                <w:tab w:val="clear" w:pos="1440"/>
              </w:tabs>
              <w:spacing w:after="0"/>
              <w:ind w:firstLine="0"/>
              <w:jc w:val="right"/>
              <w:rPr>
                <w:sz w:val="22"/>
                <w:szCs w:val="22"/>
              </w:rPr>
            </w:pPr>
            <w:r w:rsidRPr="004F14A8">
              <w:rPr>
                <w:sz w:val="22"/>
                <w:szCs w:val="22"/>
              </w:rPr>
              <w:t>121,092,013,905</w:t>
            </w:r>
          </w:p>
        </w:tc>
        <w:tc>
          <w:tcPr>
            <w:tcW w:w="0" w:type="auto"/>
          </w:tcPr>
          <w:p w:rsidR="004A147C" w:rsidRPr="00B53FFB" w:rsidRDefault="004A147C" w:rsidP="00CE5850">
            <w:pPr>
              <w:jc w:val="right"/>
              <w:rPr>
                <w:szCs w:val="22"/>
              </w:rPr>
            </w:pPr>
            <w:r w:rsidRPr="00B53FFB">
              <w:rPr>
                <w:szCs w:val="22"/>
              </w:rPr>
              <w:t>5.3%</w:t>
            </w:r>
          </w:p>
        </w:tc>
        <w:tc>
          <w:tcPr>
            <w:tcW w:w="1448" w:type="dxa"/>
            <w:shd w:val="pct15" w:color="auto" w:fill="auto"/>
          </w:tcPr>
          <w:p w:rsidR="004A147C" w:rsidRPr="004F14A8" w:rsidRDefault="004A147C" w:rsidP="00CE5850">
            <w:pPr>
              <w:pStyle w:val="ParaNum"/>
              <w:tabs>
                <w:tab w:val="clear" w:pos="1440"/>
              </w:tabs>
              <w:spacing w:after="0"/>
              <w:ind w:firstLine="0"/>
              <w:jc w:val="right"/>
              <w:rPr>
                <w:sz w:val="22"/>
                <w:szCs w:val="22"/>
              </w:rPr>
            </w:pPr>
            <w:r w:rsidRPr="004F14A8">
              <w:rPr>
                <w:sz w:val="22"/>
                <w:szCs w:val="22"/>
              </w:rPr>
              <w:t>$0.025</w:t>
            </w:r>
          </w:p>
        </w:tc>
      </w:tr>
      <w:tr w:rsidR="004A147C" w:rsidRPr="00B53FFB" w:rsidTr="00D626F5">
        <w:trPr>
          <w:jc w:val="center"/>
        </w:trPr>
        <w:tc>
          <w:tcPr>
            <w:tcW w:w="0" w:type="auto"/>
          </w:tcPr>
          <w:p w:rsidR="004A147C" w:rsidRPr="004F14A8" w:rsidRDefault="004A147C" w:rsidP="00CE5850">
            <w:pPr>
              <w:pStyle w:val="ParaNum"/>
              <w:tabs>
                <w:tab w:val="clear" w:pos="1440"/>
              </w:tabs>
              <w:spacing w:after="0"/>
              <w:ind w:firstLine="0"/>
              <w:rPr>
                <w:sz w:val="22"/>
                <w:szCs w:val="22"/>
              </w:rPr>
            </w:pPr>
            <w:r w:rsidRPr="004F14A8">
              <w:rPr>
                <w:sz w:val="22"/>
                <w:szCs w:val="22"/>
              </w:rPr>
              <w:t>2010</w:t>
            </w:r>
          </w:p>
        </w:tc>
        <w:tc>
          <w:tcPr>
            <w:tcW w:w="0" w:type="auto"/>
          </w:tcPr>
          <w:p w:rsidR="004A147C" w:rsidRPr="004F14A8" w:rsidRDefault="004A147C" w:rsidP="00CE5850">
            <w:pPr>
              <w:pStyle w:val="ParaNum"/>
              <w:tabs>
                <w:tab w:val="clear" w:pos="1440"/>
              </w:tabs>
              <w:spacing w:after="0"/>
              <w:ind w:firstLine="0"/>
              <w:jc w:val="right"/>
              <w:rPr>
                <w:bCs/>
                <w:sz w:val="22"/>
                <w:szCs w:val="22"/>
              </w:rPr>
            </w:pPr>
            <w:r w:rsidRPr="004F14A8">
              <w:rPr>
                <w:bCs/>
                <w:sz w:val="22"/>
                <w:szCs w:val="22"/>
              </w:rPr>
              <w:t>$3,026,009</w:t>
            </w:r>
          </w:p>
        </w:tc>
        <w:tc>
          <w:tcPr>
            <w:tcW w:w="0" w:type="auto"/>
          </w:tcPr>
          <w:p w:rsidR="004A147C" w:rsidRPr="004F14A8" w:rsidRDefault="004A147C" w:rsidP="00CE5850">
            <w:pPr>
              <w:pStyle w:val="ParaNum"/>
              <w:tabs>
                <w:tab w:val="clear" w:pos="1440"/>
              </w:tabs>
              <w:spacing w:after="0"/>
              <w:ind w:firstLine="0"/>
              <w:jc w:val="right"/>
              <w:rPr>
                <w:bCs/>
                <w:sz w:val="22"/>
                <w:szCs w:val="22"/>
              </w:rPr>
            </w:pPr>
            <w:r w:rsidRPr="004F14A8">
              <w:rPr>
                <w:bCs/>
                <w:sz w:val="22"/>
                <w:szCs w:val="22"/>
              </w:rPr>
              <w:t>-1.15%</w:t>
            </w:r>
          </w:p>
        </w:tc>
        <w:tc>
          <w:tcPr>
            <w:tcW w:w="0" w:type="auto"/>
          </w:tcPr>
          <w:p w:rsidR="004A147C" w:rsidRPr="004F14A8" w:rsidRDefault="004A147C" w:rsidP="00CE5850">
            <w:pPr>
              <w:pStyle w:val="ParaNum"/>
              <w:tabs>
                <w:tab w:val="clear" w:pos="1440"/>
              </w:tabs>
              <w:spacing w:after="0"/>
              <w:ind w:firstLine="0"/>
              <w:jc w:val="right"/>
              <w:rPr>
                <w:sz w:val="22"/>
                <w:szCs w:val="22"/>
              </w:rPr>
            </w:pPr>
            <w:r w:rsidRPr="004F14A8">
              <w:rPr>
                <w:sz w:val="22"/>
                <w:szCs w:val="22"/>
              </w:rPr>
              <w:t>1.9%</w:t>
            </w:r>
          </w:p>
        </w:tc>
        <w:tc>
          <w:tcPr>
            <w:tcW w:w="0" w:type="auto"/>
          </w:tcPr>
          <w:p w:rsidR="004A147C" w:rsidRPr="004F14A8" w:rsidRDefault="004A147C" w:rsidP="00CE5850">
            <w:pPr>
              <w:pStyle w:val="ParaNum"/>
              <w:tabs>
                <w:tab w:val="clear" w:pos="1440"/>
              </w:tabs>
              <w:spacing w:after="0"/>
              <w:ind w:firstLine="0"/>
              <w:jc w:val="right"/>
              <w:rPr>
                <w:sz w:val="22"/>
                <w:szCs w:val="22"/>
              </w:rPr>
            </w:pPr>
            <w:r w:rsidRPr="004F14A8">
              <w:rPr>
                <w:sz w:val="22"/>
                <w:szCs w:val="22"/>
              </w:rPr>
              <w:t>111,965,766,175</w:t>
            </w:r>
          </w:p>
        </w:tc>
        <w:tc>
          <w:tcPr>
            <w:tcW w:w="0" w:type="auto"/>
          </w:tcPr>
          <w:p w:rsidR="004A147C" w:rsidRPr="00B53FFB" w:rsidRDefault="004A147C" w:rsidP="00CE5850">
            <w:pPr>
              <w:jc w:val="right"/>
              <w:rPr>
                <w:szCs w:val="22"/>
              </w:rPr>
            </w:pPr>
            <w:r w:rsidRPr="00B53FFB">
              <w:rPr>
                <w:szCs w:val="22"/>
              </w:rPr>
              <w:t>5.0%</w:t>
            </w:r>
          </w:p>
        </w:tc>
        <w:tc>
          <w:tcPr>
            <w:tcW w:w="1448" w:type="dxa"/>
            <w:shd w:val="pct15" w:color="auto" w:fill="auto"/>
          </w:tcPr>
          <w:p w:rsidR="004A147C" w:rsidRPr="004F14A8" w:rsidRDefault="004A147C" w:rsidP="00CE5850">
            <w:pPr>
              <w:pStyle w:val="ParaNum"/>
              <w:tabs>
                <w:tab w:val="clear" w:pos="1440"/>
              </w:tabs>
              <w:spacing w:after="0"/>
              <w:ind w:firstLine="0"/>
              <w:jc w:val="right"/>
              <w:rPr>
                <w:sz w:val="22"/>
                <w:szCs w:val="22"/>
              </w:rPr>
            </w:pPr>
            <w:r w:rsidRPr="004F14A8">
              <w:rPr>
                <w:sz w:val="22"/>
                <w:szCs w:val="22"/>
              </w:rPr>
              <w:t>$0.027</w:t>
            </w:r>
          </w:p>
        </w:tc>
      </w:tr>
      <w:tr w:rsidR="004A147C" w:rsidRPr="00B53FFB" w:rsidTr="00D626F5">
        <w:trPr>
          <w:jc w:val="center"/>
        </w:trPr>
        <w:tc>
          <w:tcPr>
            <w:tcW w:w="0" w:type="auto"/>
          </w:tcPr>
          <w:p w:rsidR="004A147C" w:rsidRPr="004F14A8" w:rsidRDefault="004A147C" w:rsidP="00CE5850">
            <w:pPr>
              <w:pStyle w:val="ParaNum"/>
              <w:tabs>
                <w:tab w:val="clear" w:pos="1440"/>
              </w:tabs>
              <w:spacing w:after="0"/>
              <w:ind w:firstLine="0"/>
              <w:rPr>
                <w:sz w:val="22"/>
                <w:szCs w:val="22"/>
              </w:rPr>
            </w:pPr>
            <w:r w:rsidRPr="004F14A8">
              <w:rPr>
                <w:sz w:val="22"/>
                <w:szCs w:val="22"/>
              </w:rPr>
              <w:t>2011</w:t>
            </w:r>
          </w:p>
        </w:tc>
        <w:tc>
          <w:tcPr>
            <w:tcW w:w="0" w:type="auto"/>
          </w:tcPr>
          <w:p w:rsidR="004A147C" w:rsidRPr="004F14A8" w:rsidRDefault="004A147C" w:rsidP="00CE5850">
            <w:pPr>
              <w:pStyle w:val="ParaNum"/>
              <w:tabs>
                <w:tab w:val="clear" w:pos="1440"/>
              </w:tabs>
              <w:spacing w:after="0"/>
              <w:ind w:firstLine="0"/>
              <w:jc w:val="right"/>
              <w:rPr>
                <w:bCs/>
                <w:sz w:val="22"/>
                <w:szCs w:val="22"/>
              </w:rPr>
            </w:pPr>
            <w:r w:rsidRPr="004F14A8">
              <w:rPr>
                <w:bCs/>
                <w:sz w:val="22"/>
                <w:szCs w:val="22"/>
              </w:rPr>
              <w:t>$3,314,895</w:t>
            </w:r>
          </w:p>
        </w:tc>
        <w:tc>
          <w:tcPr>
            <w:tcW w:w="0" w:type="auto"/>
          </w:tcPr>
          <w:p w:rsidR="004A147C" w:rsidRPr="004F14A8" w:rsidRDefault="004A147C" w:rsidP="00CE5850">
            <w:pPr>
              <w:pStyle w:val="ParaNum"/>
              <w:tabs>
                <w:tab w:val="clear" w:pos="1440"/>
              </w:tabs>
              <w:spacing w:after="0"/>
              <w:ind w:firstLine="0"/>
              <w:jc w:val="right"/>
              <w:rPr>
                <w:bCs/>
                <w:sz w:val="22"/>
                <w:szCs w:val="22"/>
              </w:rPr>
            </w:pPr>
            <w:r w:rsidRPr="004F14A8">
              <w:rPr>
                <w:bCs/>
                <w:sz w:val="22"/>
                <w:szCs w:val="22"/>
              </w:rPr>
              <w:t>9.55%</w:t>
            </w:r>
          </w:p>
        </w:tc>
        <w:tc>
          <w:tcPr>
            <w:tcW w:w="0" w:type="auto"/>
          </w:tcPr>
          <w:p w:rsidR="004A147C" w:rsidRPr="004F14A8" w:rsidRDefault="004A147C" w:rsidP="00CE5850">
            <w:pPr>
              <w:pStyle w:val="ParaNum"/>
              <w:tabs>
                <w:tab w:val="clear" w:pos="1440"/>
              </w:tabs>
              <w:spacing w:after="0"/>
              <w:ind w:firstLine="0"/>
              <w:jc w:val="right"/>
              <w:rPr>
                <w:sz w:val="22"/>
                <w:szCs w:val="22"/>
              </w:rPr>
            </w:pPr>
            <w:r w:rsidRPr="004F14A8">
              <w:rPr>
                <w:sz w:val="22"/>
                <w:szCs w:val="22"/>
              </w:rPr>
              <w:t>1.9%</w:t>
            </w:r>
          </w:p>
        </w:tc>
        <w:tc>
          <w:tcPr>
            <w:tcW w:w="0" w:type="auto"/>
          </w:tcPr>
          <w:p w:rsidR="004A147C" w:rsidRPr="004F14A8" w:rsidRDefault="004A147C" w:rsidP="00CE5850">
            <w:pPr>
              <w:pStyle w:val="ParaNum"/>
              <w:tabs>
                <w:tab w:val="clear" w:pos="1440"/>
              </w:tabs>
              <w:spacing w:after="0"/>
              <w:ind w:firstLine="0"/>
              <w:jc w:val="right"/>
              <w:rPr>
                <w:sz w:val="22"/>
                <w:szCs w:val="22"/>
              </w:rPr>
            </w:pPr>
            <w:r w:rsidRPr="004F14A8">
              <w:rPr>
                <w:sz w:val="22"/>
                <w:szCs w:val="22"/>
              </w:rPr>
              <w:t>138,389,805,762</w:t>
            </w:r>
          </w:p>
        </w:tc>
        <w:tc>
          <w:tcPr>
            <w:tcW w:w="0" w:type="auto"/>
          </w:tcPr>
          <w:p w:rsidR="004A147C" w:rsidRPr="00B53FFB" w:rsidRDefault="004A147C" w:rsidP="00CE5850">
            <w:pPr>
              <w:jc w:val="right"/>
              <w:rPr>
                <w:szCs w:val="22"/>
              </w:rPr>
            </w:pPr>
            <w:r w:rsidRPr="00B53FFB">
              <w:rPr>
                <w:szCs w:val="22"/>
              </w:rPr>
              <w:t>6.0%</w:t>
            </w:r>
          </w:p>
        </w:tc>
        <w:tc>
          <w:tcPr>
            <w:tcW w:w="1448" w:type="dxa"/>
            <w:shd w:val="pct15" w:color="auto" w:fill="auto"/>
          </w:tcPr>
          <w:p w:rsidR="004A147C" w:rsidRPr="004F14A8" w:rsidRDefault="004A147C" w:rsidP="00CE5850">
            <w:pPr>
              <w:pStyle w:val="ParaNum"/>
              <w:tabs>
                <w:tab w:val="clear" w:pos="1440"/>
              </w:tabs>
              <w:spacing w:after="0"/>
              <w:ind w:firstLine="0"/>
              <w:jc w:val="right"/>
              <w:rPr>
                <w:sz w:val="22"/>
                <w:szCs w:val="22"/>
              </w:rPr>
            </w:pPr>
            <w:r w:rsidRPr="004F14A8">
              <w:rPr>
                <w:sz w:val="22"/>
                <w:szCs w:val="22"/>
              </w:rPr>
              <w:t>$0.024</w:t>
            </w:r>
          </w:p>
        </w:tc>
      </w:tr>
    </w:tbl>
    <w:p w:rsidR="004A147C" w:rsidRPr="00B53FFB" w:rsidRDefault="004A147C" w:rsidP="00CE5850">
      <w:pPr>
        <w:pStyle w:val="ParaNum"/>
        <w:tabs>
          <w:tab w:val="clear" w:pos="1440"/>
        </w:tabs>
        <w:ind w:firstLine="0"/>
        <w:rPr>
          <w:sz w:val="22"/>
          <w:szCs w:val="22"/>
        </w:rPr>
      </w:pPr>
    </w:p>
    <w:p w:rsidR="004A147C" w:rsidRPr="00B53FFB" w:rsidRDefault="004A147C" w:rsidP="00CE5850">
      <w:pPr>
        <w:pStyle w:val="Heading2"/>
        <w:keepNext w:val="0"/>
      </w:pPr>
      <w:bookmarkStart w:id="3992" w:name="_Hlt185757970"/>
      <w:bookmarkStart w:id="3993" w:name="_Ref256601723"/>
      <w:bookmarkStart w:id="3994" w:name="_Ref256601726"/>
      <w:bookmarkStart w:id="3995" w:name="_Toc261610796"/>
      <w:bookmarkStart w:id="3996" w:name="_Toc261858535"/>
      <w:bookmarkStart w:id="3997" w:name="_Toc262034340"/>
      <w:bookmarkStart w:id="3998" w:name="_Toc262034443"/>
      <w:bookmarkStart w:id="3999" w:name="_Toc271288483"/>
      <w:bookmarkStart w:id="4000" w:name="_Toc275518001"/>
      <w:bookmarkStart w:id="4001" w:name="_Toc275952441"/>
      <w:bookmarkStart w:id="4002" w:name="_Toc276121873"/>
      <w:bookmarkStart w:id="4003" w:name="_Toc276480709"/>
      <w:bookmarkStart w:id="4004" w:name="_Toc276741786"/>
      <w:bookmarkStart w:id="4005" w:name="_Toc277171551"/>
      <w:bookmarkStart w:id="4006" w:name="_Toc277864526"/>
      <w:bookmarkStart w:id="4007" w:name="_Toc277864742"/>
      <w:bookmarkStart w:id="4008" w:name="_Toc285810423"/>
      <w:bookmarkStart w:id="4009" w:name="_Toc287257817"/>
      <w:bookmarkStart w:id="4010" w:name="_Toc291758696"/>
      <w:bookmarkStart w:id="4011" w:name="_Toc291758799"/>
      <w:bookmarkStart w:id="4012" w:name="_Toc295392979"/>
      <w:bookmarkStart w:id="4013" w:name="_Toc329262521"/>
      <w:bookmarkStart w:id="4014" w:name="_Toc329852432"/>
      <w:bookmarkStart w:id="4015" w:name="_Toc331766348"/>
      <w:bookmarkStart w:id="4016" w:name="_Toc332119143"/>
      <w:bookmarkStart w:id="4017" w:name="_Toc334088820"/>
      <w:bookmarkStart w:id="4018" w:name="_Toc334089056"/>
      <w:bookmarkStart w:id="4019" w:name="_Toc334089215"/>
      <w:bookmarkStart w:id="4020" w:name="_Toc334089326"/>
      <w:bookmarkStart w:id="4021" w:name="_Toc334089490"/>
      <w:bookmarkStart w:id="4022" w:name="_Toc336268631"/>
      <w:bookmarkStart w:id="4023" w:name="_Toc336268739"/>
      <w:bookmarkStart w:id="4024" w:name="_Toc336268846"/>
      <w:bookmarkStart w:id="4025" w:name="_Toc336269060"/>
      <w:bookmarkStart w:id="4026" w:name="_Toc336269167"/>
      <w:bookmarkStart w:id="4027" w:name="_Toc336269535"/>
      <w:bookmarkStart w:id="4028" w:name="_Toc336269681"/>
      <w:bookmarkStart w:id="4029" w:name="_Toc336270094"/>
      <w:bookmarkStart w:id="4030" w:name="_Toc336271294"/>
      <w:bookmarkStart w:id="4031" w:name="_Ref336867424"/>
      <w:bookmarkStart w:id="4032" w:name="_Toc337652000"/>
      <w:bookmarkStart w:id="4033" w:name="_Toc349577189"/>
      <w:bookmarkStart w:id="4034" w:name="_Toc349579281"/>
      <w:bookmarkStart w:id="4035" w:name="_Toc349580596"/>
      <w:bookmarkStart w:id="4036" w:name="_Toc349735004"/>
      <w:bookmarkStart w:id="4037" w:name="_Toc349742369"/>
      <w:bookmarkStart w:id="4038" w:name="_Toc252283884"/>
      <w:bookmarkEnd w:id="3992"/>
      <w:r w:rsidRPr="00B53FFB">
        <w:t>Revenue</w:t>
      </w:r>
      <w:bookmarkEnd w:id="3993"/>
      <w:bookmarkEnd w:id="3994"/>
      <w:bookmarkEnd w:id="3995"/>
      <w:bookmarkEnd w:id="3996"/>
      <w:bookmarkEnd w:id="3997"/>
      <w:bookmarkEnd w:id="3998"/>
      <w:bookmarkEnd w:id="3999"/>
      <w:bookmarkEnd w:id="4000"/>
      <w:bookmarkEnd w:id="4001"/>
      <w:bookmarkEnd w:id="4002"/>
      <w:bookmarkEnd w:id="4003"/>
      <w:bookmarkEnd w:id="4004"/>
      <w:bookmarkEnd w:id="4005"/>
      <w:bookmarkEnd w:id="4006"/>
      <w:bookmarkEnd w:id="4007"/>
      <w:r w:rsidRPr="00B53FFB">
        <w:t xml:space="preserve"> and ARPU</w:t>
      </w:r>
      <w:bookmarkEnd w:id="4008"/>
      <w:bookmarkEnd w:id="4009"/>
      <w:bookmarkEnd w:id="4010"/>
      <w:bookmarkEnd w:id="4011"/>
      <w:bookmarkEnd w:id="4012"/>
      <w:bookmarkEnd w:id="4013"/>
      <w:bookmarkEnd w:id="4014"/>
      <w:bookmarkEnd w:id="4015"/>
      <w:bookmarkEnd w:id="4016"/>
      <w:bookmarkEnd w:id="4017"/>
      <w:bookmarkEnd w:id="4018"/>
      <w:bookmarkEnd w:id="4019"/>
      <w:bookmarkEnd w:id="4020"/>
      <w:bookmarkEnd w:id="4021"/>
      <w:bookmarkEnd w:id="4022"/>
      <w:bookmarkEnd w:id="4023"/>
      <w:bookmarkEnd w:id="4024"/>
      <w:bookmarkEnd w:id="4025"/>
      <w:bookmarkEnd w:id="4026"/>
      <w:bookmarkEnd w:id="4027"/>
      <w:bookmarkEnd w:id="4028"/>
      <w:bookmarkEnd w:id="4029"/>
      <w:bookmarkEnd w:id="4030"/>
      <w:bookmarkEnd w:id="4031"/>
      <w:bookmarkEnd w:id="4032"/>
      <w:bookmarkEnd w:id="4033"/>
      <w:bookmarkEnd w:id="4034"/>
      <w:bookmarkEnd w:id="4035"/>
      <w:bookmarkEnd w:id="4036"/>
      <w:bookmarkEnd w:id="4037"/>
      <w:r w:rsidRPr="00B53FFB">
        <w:t xml:space="preserve">  </w:t>
      </w:r>
    </w:p>
    <w:p w:rsidR="004A147C" w:rsidRPr="00B53FFB" w:rsidRDefault="004A147C" w:rsidP="00CE5850">
      <w:pPr>
        <w:pStyle w:val="ParaNum"/>
        <w:numPr>
          <w:ilvl w:val="0"/>
          <w:numId w:val="28"/>
        </w:numPr>
        <w:rPr>
          <w:sz w:val="22"/>
          <w:szCs w:val="22"/>
        </w:rPr>
      </w:pPr>
      <w:r w:rsidRPr="00B53FFB">
        <w:rPr>
          <w:sz w:val="22"/>
          <w:szCs w:val="22"/>
        </w:rPr>
        <w:t>Average monthly revenue per user (ARPU) metrics are financial metrics derived by dividing a revenue figure by an estimate of the number of subscribers that generated that revenue.  ARPU metrics are widely used by Wall Street analysts to evaluate and compare the performance of service providers.  ARPU can be influenced by multiple factors including changes in the number of connections, changes in the quantity of services purchased, customers switching between services or adding additional services, and changes in the prices of the various services.  A given change in ARPU could be caused by various individual or combined changes in the underlying factors (prices, quantities, and number of connections) that determine ARPU.  Hence, changes in revenue and ARPU are not necessarily reliable indicators of changes in prices, nor are revenue or ARPU indicators of the degree of competition or market power.</w:t>
      </w:r>
    </w:p>
    <w:p w:rsidR="004A147C" w:rsidRPr="00B53FFB" w:rsidRDefault="004A147C" w:rsidP="00CE5850">
      <w:pPr>
        <w:pStyle w:val="ParaNum"/>
        <w:numPr>
          <w:ilvl w:val="0"/>
          <w:numId w:val="28"/>
        </w:numPr>
        <w:rPr>
          <w:sz w:val="22"/>
          <w:szCs w:val="22"/>
        </w:rPr>
      </w:pPr>
      <w:r w:rsidRPr="00B53FFB">
        <w:rPr>
          <w:sz w:val="22"/>
          <w:szCs w:val="22"/>
        </w:rPr>
        <w:t>While both total service revenues and wireless data revenues have been rising continuously in recent years, voice revenues began to decline in 2009 and continued to decline in 2010 and 2011 (</w:t>
      </w:r>
      <w:r w:rsidR="005B380F">
        <w:fldChar w:fldCharType="begin"/>
      </w:r>
      <w:r w:rsidR="005B380F">
        <w:instrText xml:space="preserve"> REF _Ref257808833 \h  \* MERGEFORMAT </w:instrText>
      </w:r>
      <w:r w:rsidR="005B380F">
        <w:fldChar w:fldCharType="separate"/>
      </w:r>
      <w:r w:rsidR="00CA3AC6" w:rsidRPr="00CA3AC6">
        <w:rPr>
          <w:sz w:val="22"/>
          <w:szCs w:val="22"/>
        </w:rPr>
        <w:t xml:space="preserve">Chart </w:t>
      </w:r>
      <w:r w:rsidR="00CA3AC6" w:rsidRPr="00CA3AC6">
        <w:rPr>
          <w:noProof/>
          <w:sz w:val="22"/>
          <w:szCs w:val="22"/>
        </w:rPr>
        <w:t>31</w:t>
      </w:r>
      <w:r w:rsidR="005B380F">
        <w:fldChar w:fldCharType="end"/>
      </w:r>
      <w:r w:rsidRPr="00B53FFB">
        <w:rPr>
          <w:sz w:val="22"/>
          <w:szCs w:val="22"/>
        </w:rPr>
        <w:t xml:space="preserve">, </w:t>
      </w:r>
      <w:r w:rsidR="005B380F">
        <w:fldChar w:fldCharType="begin"/>
      </w:r>
      <w:r w:rsidR="005B380F">
        <w:instrText xml:space="preserve"> REF _Ref256522769 \h  \* MERGEFORMAT </w:instrText>
      </w:r>
      <w:r w:rsidR="005B380F">
        <w:fldChar w:fldCharType="separate"/>
      </w:r>
      <w:r w:rsidR="00CA3AC6" w:rsidRPr="00CA3AC6">
        <w:rPr>
          <w:sz w:val="22"/>
          <w:szCs w:val="22"/>
        </w:rPr>
        <w:t xml:space="preserve">Chart </w:t>
      </w:r>
      <w:r w:rsidR="00CA3AC6" w:rsidRPr="00CA3AC6">
        <w:rPr>
          <w:noProof/>
          <w:sz w:val="22"/>
          <w:szCs w:val="22"/>
        </w:rPr>
        <w:t>32</w:t>
      </w:r>
      <w:r w:rsidR="005B380F">
        <w:fldChar w:fldCharType="end"/>
      </w:r>
      <w:r w:rsidRPr="00B53FFB">
        <w:rPr>
          <w:sz w:val="22"/>
          <w:szCs w:val="22"/>
        </w:rPr>
        <w:t xml:space="preserve"> ).</w:t>
      </w:r>
      <w:r w:rsidRPr="00B53FFB">
        <w:rPr>
          <w:rStyle w:val="FootnoteReference"/>
          <w:szCs w:val="22"/>
        </w:rPr>
        <w:footnoteReference w:id="849"/>
      </w:r>
      <w:r w:rsidRPr="00B53FFB">
        <w:rPr>
          <w:sz w:val="22"/>
          <w:szCs w:val="22"/>
        </w:rPr>
        <w:t xml:space="preserve">  In addition, while total service revenues have been rising, blended ARPU has declined continuously since 2008 (</w:t>
      </w:r>
      <w:r w:rsidR="005B380F">
        <w:fldChar w:fldCharType="begin"/>
      </w:r>
      <w:r w:rsidR="005B380F">
        <w:instrText xml:space="preserve"> REF _Ref256522769 \h  \* MERGEFORMAT </w:instrText>
      </w:r>
      <w:r w:rsidR="005B380F">
        <w:fldChar w:fldCharType="separate"/>
      </w:r>
      <w:r w:rsidR="00CA3AC6" w:rsidRPr="00CA3AC6">
        <w:rPr>
          <w:sz w:val="22"/>
          <w:szCs w:val="22"/>
        </w:rPr>
        <w:t xml:space="preserve">Chart </w:t>
      </w:r>
      <w:r w:rsidR="00CA3AC6" w:rsidRPr="00CA3AC6">
        <w:rPr>
          <w:noProof/>
          <w:sz w:val="22"/>
          <w:szCs w:val="22"/>
        </w:rPr>
        <w:t>32</w:t>
      </w:r>
      <w:r w:rsidR="005B380F">
        <w:fldChar w:fldCharType="end"/>
      </w:r>
      <w:r w:rsidRPr="00B53FFB">
        <w:rPr>
          <w:sz w:val="22"/>
          <w:szCs w:val="22"/>
        </w:rPr>
        <w:t xml:space="preserve">, </w:t>
      </w:r>
      <w:r w:rsidR="005B380F">
        <w:fldChar w:fldCharType="begin"/>
      </w:r>
      <w:r w:rsidR="005B380F">
        <w:instrText xml:space="preserve"> REF _Ref334022542 \h  \* MERGEFORMAT </w:instrText>
      </w:r>
      <w:r w:rsidR="005B380F">
        <w:fldChar w:fldCharType="separate"/>
      </w:r>
      <w:r w:rsidR="00CA3AC6" w:rsidRPr="00B53FFB">
        <w:rPr>
          <w:sz w:val="22"/>
          <w:szCs w:val="22"/>
        </w:rPr>
        <w:t xml:space="preserve">Chart </w:t>
      </w:r>
      <w:r w:rsidR="00CA3AC6">
        <w:rPr>
          <w:noProof/>
          <w:sz w:val="22"/>
          <w:szCs w:val="22"/>
        </w:rPr>
        <w:t>33</w:t>
      </w:r>
      <w:r w:rsidR="005B380F">
        <w:fldChar w:fldCharType="end"/>
      </w:r>
      <w:r w:rsidRPr="00B53FFB">
        <w:rPr>
          <w:sz w:val="22"/>
          <w:szCs w:val="22"/>
        </w:rPr>
        <w:t>), with voice ARPU decreasing by more than data ARPU has increased since 2006.</w:t>
      </w:r>
      <w:r w:rsidRPr="00B53FFB">
        <w:rPr>
          <w:rStyle w:val="FootnoteReference"/>
          <w:szCs w:val="22"/>
        </w:rPr>
        <w:footnoteReference w:id="850"/>
      </w:r>
      <w:r w:rsidRPr="00B53FFB">
        <w:rPr>
          <w:sz w:val="22"/>
          <w:szCs w:val="22"/>
        </w:rPr>
        <w:t xml:space="preserve">      </w:t>
      </w:r>
    </w:p>
    <w:p w:rsidR="004A147C" w:rsidRPr="00B53FFB" w:rsidRDefault="004A147C" w:rsidP="00CE5850">
      <w:pPr>
        <w:pStyle w:val="ParaNum"/>
        <w:tabs>
          <w:tab w:val="clear" w:pos="1440"/>
        </w:tabs>
        <w:ind w:firstLine="0"/>
        <w:jc w:val="center"/>
        <w:rPr>
          <w:b/>
          <w:sz w:val="22"/>
          <w:szCs w:val="22"/>
        </w:rPr>
      </w:pPr>
      <w:bookmarkStart w:id="4039" w:name="_Ref257808833"/>
      <w:r w:rsidRPr="00B53FFB">
        <w:rPr>
          <w:b/>
          <w:sz w:val="22"/>
          <w:szCs w:val="22"/>
        </w:rPr>
        <w:t xml:space="preserve">Chart </w:t>
      </w:r>
      <w:r w:rsidR="0007014B" w:rsidRPr="00B53FFB">
        <w:rPr>
          <w:b/>
          <w:sz w:val="22"/>
          <w:szCs w:val="22"/>
        </w:rPr>
        <w:fldChar w:fldCharType="begin"/>
      </w:r>
      <w:r w:rsidRPr="00B53FFB">
        <w:rPr>
          <w:b/>
          <w:sz w:val="22"/>
          <w:szCs w:val="22"/>
        </w:rPr>
        <w:instrText xml:space="preserve"> SEQ Chart \* ARABIC </w:instrText>
      </w:r>
      <w:r w:rsidR="0007014B" w:rsidRPr="00B53FFB">
        <w:rPr>
          <w:b/>
          <w:sz w:val="22"/>
          <w:szCs w:val="22"/>
        </w:rPr>
        <w:fldChar w:fldCharType="separate"/>
      </w:r>
      <w:r w:rsidR="00CA3AC6">
        <w:rPr>
          <w:b/>
          <w:noProof/>
          <w:sz w:val="22"/>
          <w:szCs w:val="22"/>
        </w:rPr>
        <w:t>31</w:t>
      </w:r>
      <w:r w:rsidR="0007014B" w:rsidRPr="00B53FFB">
        <w:rPr>
          <w:b/>
          <w:sz w:val="22"/>
          <w:szCs w:val="22"/>
        </w:rPr>
        <w:fldChar w:fldCharType="end"/>
      </w:r>
      <w:bookmarkEnd w:id="4039"/>
      <w:r w:rsidRPr="00B53FFB">
        <w:rPr>
          <w:b/>
          <w:sz w:val="22"/>
          <w:szCs w:val="22"/>
        </w:rPr>
        <w:t xml:space="preserve">  </w:t>
      </w:r>
      <w:r w:rsidRPr="00B53FFB">
        <w:rPr>
          <w:b/>
          <w:sz w:val="22"/>
          <w:szCs w:val="22"/>
        </w:rPr>
        <w:br/>
        <w:t>Wireless Industry Service Revenues, 2006-2011 (In billions)</w:t>
      </w:r>
      <w:r w:rsidRPr="00B53FFB">
        <w:rPr>
          <w:rStyle w:val="FootnoteReference"/>
          <w:szCs w:val="22"/>
        </w:rPr>
        <w:footnoteReference w:id="851"/>
      </w:r>
    </w:p>
    <w:p w:rsidR="004A147C" w:rsidRPr="00B53FFB" w:rsidRDefault="00C81B24" w:rsidP="00CE5850">
      <w:pPr>
        <w:pStyle w:val="ParaNum"/>
        <w:tabs>
          <w:tab w:val="clear" w:pos="1440"/>
        </w:tabs>
        <w:ind w:firstLine="0"/>
        <w:jc w:val="center"/>
        <w:rPr>
          <w:sz w:val="22"/>
          <w:szCs w:val="22"/>
        </w:rPr>
      </w:pPr>
      <w:r>
        <w:rPr>
          <w:noProof/>
          <w:sz w:val="22"/>
          <w:szCs w:val="22"/>
        </w:rPr>
        <w:drawing>
          <wp:inline distT="0" distB="0" distL="0" distR="0" wp14:anchorId="1F3EC073" wp14:editId="4569C61B">
            <wp:extent cx="5295900" cy="4245262"/>
            <wp:effectExtent l="0" t="0" r="0" b="3175"/>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295900" cy="4245262"/>
                    </a:xfrm>
                    <a:prstGeom prst="rect">
                      <a:avLst/>
                    </a:prstGeom>
                    <a:noFill/>
                    <a:ln>
                      <a:noFill/>
                    </a:ln>
                  </pic:spPr>
                </pic:pic>
              </a:graphicData>
            </a:graphic>
          </wp:inline>
        </w:drawing>
      </w:r>
    </w:p>
    <w:p w:rsidR="004A147C" w:rsidRPr="00B53FFB" w:rsidRDefault="004A147C" w:rsidP="00CE5850">
      <w:pPr>
        <w:pStyle w:val="ParaNum"/>
        <w:tabs>
          <w:tab w:val="clear" w:pos="1440"/>
        </w:tabs>
        <w:ind w:firstLine="0"/>
        <w:rPr>
          <w:sz w:val="22"/>
          <w:szCs w:val="22"/>
        </w:rPr>
      </w:pPr>
      <w:r w:rsidRPr="00B53FFB">
        <w:rPr>
          <w:sz w:val="22"/>
          <w:szCs w:val="22"/>
        </w:rPr>
        <w:t xml:space="preserve">    </w:t>
      </w:r>
    </w:p>
    <w:p w:rsidR="004A147C" w:rsidRPr="00B53FFB" w:rsidRDefault="004A147C" w:rsidP="00CE5850">
      <w:pPr>
        <w:pStyle w:val="ParaNum"/>
        <w:tabs>
          <w:tab w:val="clear" w:pos="1440"/>
        </w:tabs>
        <w:ind w:firstLine="0"/>
        <w:jc w:val="center"/>
        <w:rPr>
          <w:b/>
          <w:sz w:val="22"/>
          <w:szCs w:val="22"/>
        </w:rPr>
      </w:pPr>
      <w:bookmarkStart w:id="4040" w:name="_Ref256522769"/>
      <w:r w:rsidRPr="00B53FFB">
        <w:rPr>
          <w:b/>
          <w:sz w:val="22"/>
          <w:szCs w:val="22"/>
        </w:rPr>
        <w:t xml:space="preserve">Chart </w:t>
      </w:r>
      <w:r w:rsidR="0007014B" w:rsidRPr="00B53FFB">
        <w:rPr>
          <w:b/>
          <w:sz w:val="22"/>
          <w:szCs w:val="22"/>
        </w:rPr>
        <w:fldChar w:fldCharType="begin"/>
      </w:r>
      <w:r w:rsidRPr="00B53FFB">
        <w:rPr>
          <w:b/>
          <w:sz w:val="22"/>
          <w:szCs w:val="22"/>
        </w:rPr>
        <w:instrText xml:space="preserve"> SEQ Chart \* ARABIC </w:instrText>
      </w:r>
      <w:r w:rsidR="0007014B" w:rsidRPr="00B53FFB">
        <w:rPr>
          <w:b/>
          <w:sz w:val="22"/>
          <w:szCs w:val="22"/>
        </w:rPr>
        <w:fldChar w:fldCharType="separate"/>
      </w:r>
      <w:r w:rsidR="00CA3AC6">
        <w:rPr>
          <w:b/>
          <w:noProof/>
          <w:sz w:val="22"/>
          <w:szCs w:val="22"/>
        </w:rPr>
        <w:t>32</w:t>
      </w:r>
      <w:r w:rsidR="0007014B" w:rsidRPr="00B53FFB">
        <w:rPr>
          <w:b/>
          <w:sz w:val="22"/>
          <w:szCs w:val="22"/>
        </w:rPr>
        <w:fldChar w:fldCharType="end"/>
      </w:r>
      <w:bookmarkEnd w:id="4040"/>
      <w:r w:rsidRPr="00B53FFB">
        <w:rPr>
          <w:b/>
          <w:sz w:val="22"/>
          <w:szCs w:val="22"/>
        </w:rPr>
        <w:br/>
        <w:t>Total Mobile Wireless Industry Revenues, 2006-2011 (In billions)</w:t>
      </w:r>
      <w:r w:rsidRPr="00B53FFB">
        <w:rPr>
          <w:rStyle w:val="FootnoteReference"/>
          <w:szCs w:val="22"/>
        </w:rPr>
        <w:footnoteReference w:id="852"/>
      </w:r>
    </w:p>
    <w:p w:rsidR="004A147C" w:rsidRPr="00B53FFB" w:rsidDel="00403F5A" w:rsidRDefault="00C81B24" w:rsidP="00CE5850">
      <w:pPr>
        <w:pStyle w:val="ParaNum"/>
        <w:tabs>
          <w:tab w:val="clear" w:pos="1440"/>
        </w:tabs>
        <w:ind w:firstLine="0"/>
        <w:jc w:val="center"/>
        <w:rPr>
          <w:b/>
          <w:sz w:val="22"/>
          <w:szCs w:val="22"/>
        </w:rPr>
      </w:pPr>
      <w:r>
        <w:rPr>
          <w:noProof/>
        </w:rPr>
        <mc:AlternateContent>
          <mc:Choice Requires="wps">
            <w:drawing>
              <wp:anchor distT="0" distB="0" distL="114300" distR="114300" simplePos="0" relativeHeight="2" behindDoc="0" locked="0" layoutInCell="1" allowOverlap="1" wp14:anchorId="05E1DAD8" wp14:editId="44954C90">
                <wp:simplePos x="0" y="0"/>
                <wp:positionH relativeFrom="column">
                  <wp:posOffset>3771900</wp:posOffset>
                </wp:positionH>
                <wp:positionV relativeFrom="paragraph">
                  <wp:posOffset>366395</wp:posOffset>
                </wp:positionV>
                <wp:extent cx="466725" cy="252095"/>
                <wp:effectExtent l="0" t="0" r="0" b="0"/>
                <wp:wrapNone/>
                <wp:docPr id="127" name="Text Box 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6725" cy="2520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C7CF3" w:rsidRDefault="00EC7CF3"/>
                        </w:txbxContent>
                      </wps:txbx>
                      <wps:bodyPr rot="0" vert="horz" wrap="squar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36" o:spid="_x0000_s1055" type="#_x0000_t202" style="position:absolute;left:0;text-align:left;margin-left:297pt;margin-top:28.85pt;width:36.75pt;height:19.85pt;z-index: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" filled="f" stroked="f">
                <v:textbox style="mso-fit-shape-to-text:t">
                  <w:txbxContent>
                    <w:p w:rsidR="00EC7CF3" w:rsidRDefault="00EC7CF3"/>
                  </w:txbxContent>
                </v:textbox>
              </v:shape>
            </w:pict>
          </mc:Fallback>
        </mc:AlternateContent>
      </w:r>
      <w:r>
        <w:rPr>
          <w:b/>
          <w:noProof/>
          <w:sz w:val="22"/>
          <w:szCs w:val="22"/>
        </w:rPr>
        <w:drawing>
          <wp:inline distT="0" distB="0" distL="0" distR="0" wp14:anchorId="2EA6FDB7" wp14:editId="5760214F">
            <wp:extent cx="5981700" cy="4533900"/>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981700" cy="4533900"/>
                    </a:xfrm>
                    <a:prstGeom prst="rect">
                      <a:avLst/>
                    </a:prstGeom>
                    <a:noFill/>
                    <a:ln>
                      <a:noFill/>
                    </a:ln>
                  </pic:spPr>
                </pic:pic>
              </a:graphicData>
            </a:graphic>
          </wp:inline>
        </w:drawing>
      </w:r>
    </w:p>
    <w:p w:rsidR="004A147C" w:rsidRPr="00B53FFB" w:rsidRDefault="004A147C" w:rsidP="00CE5850">
      <w:pPr>
        <w:pStyle w:val="ParaNum"/>
        <w:tabs>
          <w:tab w:val="clear" w:pos="1440"/>
        </w:tabs>
        <w:ind w:firstLine="0"/>
        <w:jc w:val="center"/>
        <w:rPr>
          <w:sz w:val="22"/>
          <w:szCs w:val="22"/>
        </w:rPr>
      </w:pPr>
    </w:p>
    <w:p w:rsidR="004A147C" w:rsidRPr="00B53FFB" w:rsidRDefault="004A147C" w:rsidP="00CE5850">
      <w:pPr>
        <w:pStyle w:val="Caption"/>
        <w:widowControl w:val="0"/>
        <w:jc w:val="center"/>
        <w:rPr>
          <w:sz w:val="22"/>
          <w:szCs w:val="22"/>
        </w:rPr>
      </w:pPr>
      <w:bookmarkStart w:id="4041" w:name="_Ref256518864"/>
      <w:bookmarkStart w:id="4042" w:name="_Ref257039283"/>
      <w:bookmarkStart w:id="4043" w:name="_Ref257039278"/>
    </w:p>
    <w:p w:rsidR="004A147C" w:rsidRPr="00B53FFB" w:rsidRDefault="004A147C" w:rsidP="00CE5850">
      <w:pPr>
        <w:pStyle w:val="Caption"/>
        <w:widowControl w:val="0"/>
        <w:jc w:val="center"/>
        <w:rPr>
          <w:sz w:val="22"/>
          <w:szCs w:val="22"/>
        </w:rPr>
      </w:pPr>
    </w:p>
    <w:p w:rsidR="004A147C" w:rsidRPr="00B53FFB" w:rsidRDefault="004A147C" w:rsidP="00CE5850">
      <w:pPr>
        <w:pStyle w:val="Caption"/>
        <w:widowControl w:val="0"/>
        <w:jc w:val="center"/>
        <w:rPr>
          <w:sz w:val="22"/>
          <w:szCs w:val="22"/>
        </w:rPr>
      </w:pPr>
    </w:p>
    <w:p w:rsidR="004A147C" w:rsidRPr="00B53FFB" w:rsidRDefault="004A147C" w:rsidP="00CE5850">
      <w:pPr>
        <w:pStyle w:val="Caption"/>
        <w:widowControl w:val="0"/>
        <w:jc w:val="center"/>
        <w:rPr>
          <w:sz w:val="22"/>
          <w:szCs w:val="22"/>
        </w:rPr>
      </w:pPr>
    </w:p>
    <w:p w:rsidR="004A147C" w:rsidRPr="00B53FFB" w:rsidRDefault="004A147C" w:rsidP="00CE5850">
      <w:pPr>
        <w:pStyle w:val="Caption"/>
        <w:widowControl w:val="0"/>
        <w:jc w:val="center"/>
        <w:rPr>
          <w:sz w:val="22"/>
          <w:szCs w:val="22"/>
        </w:rPr>
      </w:pPr>
    </w:p>
    <w:p w:rsidR="004A147C" w:rsidRPr="00B53FFB" w:rsidRDefault="004A147C" w:rsidP="00CE5850">
      <w:pPr>
        <w:pStyle w:val="Caption"/>
        <w:widowControl w:val="0"/>
        <w:jc w:val="center"/>
        <w:rPr>
          <w:sz w:val="22"/>
          <w:szCs w:val="22"/>
        </w:rPr>
      </w:pPr>
    </w:p>
    <w:p w:rsidR="004A147C" w:rsidRPr="00B53FFB" w:rsidRDefault="004A147C" w:rsidP="00CE5850">
      <w:pPr>
        <w:pStyle w:val="Caption"/>
        <w:widowControl w:val="0"/>
        <w:jc w:val="center"/>
        <w:rPr>
          <w:sz w:val="22"/>
          <w:szCs w:val="22"/>
        </w:rPr>
      </w:pPr>
    </w:p>
    <w:p w:rsidR="004A147C" w:rsidRPr="00B53FFB" w:rsidRDefault="004A147C" w:rsidP="00CE5850">
      <w:pPr>
        <w:pStyle w:val="Caption"/>
        <w:widowControl w:val="0"/>
        <w:jc w:val="center"/>
        <w:rPr>
          <w:sz w:val="22"/>
          <w:szCs w:val="22"/>
        </w:rPr>
      </w:pPr>
    </w:p>
    <w:p w:rsidR="004A147C" w:rsidRPr="00B53FFB" w:rsidRDefault="004A147C" w:rsidP="00CE5850">
      <w:pPr>
        <w:pStyle w:val="Caption"/>
        <w:widowControl w:val="0"/>
        <w:jc w:val="center"/>
        <w:rPr>
          <w:sz w:val="22"/>
          <w:szCs w:val="22"/>
        </w:rPr>
      </w:pPr>
    </w:p>
    <w:p w:rsidR="004A147C" w:rsidRPr="00B53FFB" w:rsidRDefault="004A147C" w:rsidP="00CE5850">
      <w:pPr>
        <w:pStyle w:val="Caption"/>
        <w:widowControl w:val="0"/>
        <w:rPr>
          <w:sz w:val="22"/>
          <w:szCs w:val="22"/>
        </w:rPr>
      </w:pPr>
    </w:p>
    <w:p w:rsidR="004A147C" w:rsidRPr="00B53FFB" w:rsidRDefault="004A147C" w:rsidP="00CE5850">
      <w:pPr>
        <w:pStyle w:val="Caption"/>
        <w:widowControl w:val="0"/>
        <w:jc w:val="center"/>
        <w:rPr>
          <w:sz w:val="22"/>
          <w:szCs w:val="22"/>
        </w:rPr>
      </w:pPr>
      <w:bookmarkStart w:id="4044" w:name="_Ref334022542"/>
      <w:r w:rsidRPr="00B53FFB">
        <w:rPr>
          <w:sz w:val="22"/>
          <w:szCs w:val="22"/>
        </w:rPr>
        <w:t xml:space="preserve">Chart </w:t>
      </w:r>
      <w:r w:rsidR="0007014B" w:rsidRPr="00B53FFB">
        <w:rPr>
          <w:sz w:val="22"/>
          <w:szCs w:val="22"/>
        </w:rPr>
        <w:fldChar w:fldCharType="begin"/>
      </w:r>
      <w:r w:rsidRPr="00B53FFB">
        <w:rPr>
          <w:sz w:val="22"/>
          <w:szCs w:val="22"/>
        </w:rPr>
        <w:instrText xml:space="preserve"> SEQ Chart \* ARABIC </w:instrText>
      </w:r>
      <w:r w:rsidR="0007014B" w:rsidRPr="00B53FFB">
        <w:rPr>
          <w:sz w:val="22"/>
          <w:szCs w:val="22"/>
        </w:rPr>
        <w:fldChar w:fldCharType="separate"/>
      </w:r>
      <w:r w:rsidR="00CA3AC6">
        <w:rPr>
          <w:noProof/>
          <w:sz w:val="22"/>
          <w:szCs w:val="22"/>
        </w:rPr>
        <w:t>33</w:t>
      </w:r>
      <w:r w:rsidR="0007014B" w:rsidRPr="00B53FFB">
        <w:rPr>
          <w:sz w:val="22"/>
          <w:szCs w:val="22"/>
        </w:rPr>
        <w:fldChar w:fldCharType="end"/>
      </w:r>
      <w:bookmarkEnd w:id="4041"/>
      <w:bookmarkEnd w:id="4042"/>
      <w:bookmarkEnd w:id="4044"/>
      <w:r w:rsidRPr="00B53FFB">
        <w:rPr>
          <w:sz w:val="22"/>
          <w:szCs w:val="22"/>
        </w:rPr>
        <w:br/>
        <w:t>Monthly ARPU by Type of Service, 2006-2011</w:t>
      </w:r>
      <w:r w:rsidRPr="00B53FFB">
        <w:rPr>
          <w:rStyle w:val="FootnoteReference"/>
          <w:b w:val="0"/>
          <w:szCs w:val="22"/>
        </w:rPr>
        <w:footnoteReference w:id="853"/>
      </w:r>
    </w:p>
    <w:bookmarkEnd w:id="4043"/>
    <w:p w:rsidR="004A147C" w:rsidRPr="00B53FFB" w:rsidRDefault="00C81B24" w:rsidP="00CE5850">
      <w:pPr>
        <w:pStyle w:val="Caption"/>
        <w:widowControl w:val="0"/>
        <w:jc w:val="center"/>
        <w:rPr>
          <w:sz w:val="22"/>
          <w:szCs w:val="22"/>
        </w:rPr>
      </w:pPr>
      <w:r>
        <w:rPr>
          <w:noProof/>
          <w:sz w:val="22"/>
          <w:szCs w:val="22"/>
        </w:rPr>
        <w:drawing>
          <wp:inline distT="0" distB="0" distL="0" distR="0" wp14:anchorId="1DEAA6A6" wp14:editId="4E07E4B4">
            <wp:extent cx="6067425" cy="4419600"/>
            <wp:effectExtent l="0" t="0" r="9525"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067425" cy="4419600"/>
                    </a:xfrm>
                    <a:prstGeom prst="rect">
                      <a:avLst/>
                    </a:prstGeom>
                    <a:noFill/>
                    <a:ln>
                      <a:noFill/>
                    </a:ln>
                  </pic:spPr>
                </pic:pic>
              </a:graphicData>
            </a:graphic>
          </wp:inline>
        </w:drawing>
      </w:r>
    </w:p>
    <w:p w:rsidR="00BE1C87" w:rsidRDefault="00BE1C87" w:rsidP="00BE1C87">
      <w:pPr>
        <w:pStyle w:val="ParaNum"/>
        <w:tabs>
          <w:tab w:val="clear" w:pos="1440"/>
        </w:tabs>
        <w:ind w:left="720" w:firstLine="0"/>
        <w:rPr>
          <w:sz w:val="22"/>
          <w:szCs w:val="22"/>
        </w:rPr>
      </w:pPr>
    </w:p>
    <w:p w:rsidR="004A147C" w:rsidRPr="00B53FFB" w:rsidRDefault="004A147C" w:rsidP="00CE5850">
      <w:pPr>
        <w:pStyle w:val="ParaNum"/>
        <w:numPr>
          <w:ilvl w:val="0"/>
          <w:numId w:val="28"/>
        </w:numPr>
        <w:rPr>
          <w:sz w:val="22"/>
          <w:szCs w:val="22"/>
        </w:rPr>
      </w:pPr>
      <w:r w:rsidRPr="00B53FFB">
        <w:rPr>
          <w:sz w:val="22"/>
          <w:szCs w:val="22"/>
        </w:rPr>
        <w:t>The trends of declining voice ARPU and rising data ARPU may be the result of several factors.  As discussed in the preceding section, the unit prices for voice, text messaging and wireless data services have all declined since 2006.  Consumers generally respond to lower prices by increasing the quantity of services they purchase.  The net effect of a decrease in price on revenue depends on the size of the quantity increase relative to the price decrease.</w:t>
      </w:r>
      <w:r w:rsidRPr="00B53FFB">
        <w:rPr>
          <w:rStyle w:val="FootnoteReference"/>
          <w:szCs w:val="22"/>
        </w:rPr>
        <w:footnoteReference w:id="854"/>
      </w:r>
      <w:r w:rsidRPr="00B53FFB">
        <w:rPr>
          <w:sz w:val="22"/>
          <w:szCs w:val="22"/>
        </w:rPr>
        <w:t xml:space="preserve">  Changes in ARPU are not necessarily reliable indicators of pricing changes, because a decrease in the price of wireless services can be accompanied by a decrease or increase in ARPU depending on how consumer demand changes in response to the price change and how the other factors changed.  </w:t>
      </w:r>
    </w:p>
    <w:p w:rsidR="004A147C" w:rsidRPr="00B53FFB" w:rsidRDefault="004A147C" w:rsidP="00CE5850">
      <w:pPr>
        <w:pStyle w:val="ParaNum"/>
        <w:numPr>
          <w:ilvl w:val="0"/>
          <w:numId w:val="28"/>
        </w:numPr>
        <w:rPr>
          <w:sz w:val="22"/>
          <w:szCs w:val="22"/>
        </w:rPr>
      </w:pPr>
      <w:r w:rsidRPr="00B53FFB">
        <w:rPr>
          <w:sz w:val="22"/>
          <w:szCs w:val="22"/>
        </w:rPr>
        <w:t>Substitution from voice service to messaging and data services may have contributed to the decrease in voice revenue and ARPU and the increase in data revenue and ARPU.  Many consumers may consider voice calls and various messaging services to be close substitutes in certain circumstances.  For instance, since 2005, the price per text message has fallen sharply due to consumers purchasing messaging bundles, while the per-minute price of voice service has declined at a relatively slow rate.</w:t>
      </w:r>
      <w:r w:rsidRPr="00B53FFB">
        <w:rPr>
          <w:rStyle w:val="FootnoteReference"/>
          <w:szCs w:val="22"/>
        </w:rPr>
        <w:footnoteReference w:id="855"/>
      </w:r>
      <w:r w:rsidRPr="00B53FFB">
        <w:rPr>
          <w:sz w:val="22"/>
          <w:szCs w:val="22"/>
        </w:rPr>
        <w:t xml:space="preserve">  As a result, text messaging has become relatively less expensive compared to talking on a mobile phone, potentially creating an incentive for mobile subscribers to substitute text messaging for voice calls.</w:t>
      </w:r>
      <w:r w:rsidRPr="00B53FFB">
        <w:rPr>
          <w:rStyle w:val="FootnoteReference"/>
          <w:szCs w:val="22"/>
        </w:rPr>
        <w:footnoteReference w:id="856"/>
      </w:r>
      <w:r w:rsidRPr="00B53FFB">
        <w:rPr>
          <w:sz w:val="22"/>
          <w:szCs w:val="22"/>
        </w:rPr>
        <w:t xml:space="preserve">  </w:t>
      </w:r>
    </w:p>
    <w:p w:rsidR="004A147C" w:rsidRPr="00B53FFB" w:rsidRDefault="004A147C" w:rsidP="00CE5850">
      <w:pPr>
        <w:pStyle w:val="ParaNum"/>
        <w:numPr>
          <w:ilvl w:val="0"/>
          <w:numId w:val="28"/>
        </w:numPr>
        <w:rPr>
          <w:sz w:val="22"/>
          <w:szCs w:val="22"/>
        </w:rPr>
      </w:pPr>
      <w:r w:rsidRPr="00B53FFB">
        <w:rPr>
          <w:sz w:val="22"/>
          <w:szCs w:val="22"/>
        </w:rPr>
        <w:t>The existence of Internet-based messaging services may also be encouraging consumers to substitute Internet applications for mobile voice calls and traditional text messaging.  These Internet applications allow subscribers to use their data plans to send and receive messages over the internet without subscribing to their service provider’s messaging bundles or incurring the per-message fees charged by service providers for pay-as-you-go text messaging services.</w:t>
      </w:r>
      <w:r w:rsidRPr="00B53FFB">
        <w:rPr>
          <w:rStyle w:val="FootnoteReference"/>
          <w:szCs w:val="22"/>
        </w:rPr>
        <w:footnoteReference w:id="857"/>
      </w:r>
      <w:r w:rsidRPr="00B53FFB">
        <w:rPr>
          <w:sz w:val="22"/>
          <w:szCs w:val="22"/>
        </w:rPr>
        <w:t xml:space="preserve">  These include device-specific services like BlackBerry Messenger (“BBM”) for Blackberry smartphone users, and a number of downloadable third-party applications such as GroupMe, TextPlus, WhatsApp, Kik and Pinger.</w:t>
      </w:r>
      <w:r w:rsidRPr="00B53FFB">
        <w:rPr>
          <w:rStyle w:val="FootnoteReference"/>
          <w:szCs w:val="22"/>
        </w:rPr>
        <w:footnoteReference w:id="858"/>
      </w:r>
      <w:r w:rsidRPr="00B53FFB">
        <w:rPr>
          <w:sz w:val="22"/>
          <w:szCs w:val="22"/>
        </w:rPr>
        <w:t xml:space="preserve">  Analysts predict that these new services will cut into service providers’ text messaging revenues and profits by encouraging subscribers to bypass their providers’ text messaging offerings.</w:t>
      </w:r>
      <w:r w:rsidRPr="00B53FFB">
        <w:rPr>
          <w:rStyle w:val="FootnoteReference"/>
          <w:szCs w:val="22"/>
        </w:rPr>
        <w:footnoteReference w:id="859"/>
      </w:r>
      <w:r w:rsidRPr="00B53FFB">
        <w:rPr>
          <w:sz w:val="22"/>
          <w:szCs w:val="22"/>
        </w:rPr>
        <w:t xml:space="preserve">  In combination with the recent declines in the price per megabyte of mobile data services, these texting services may be encouraging subscribers to substitute data services for mobile voice service.  </w:t>
      </w:r>
    </w:p>
    <w:p w:rsidR="004A147C" w:rsidRPr="00B53FFB" w:rsidRDefault="004A147C" w:rsidP="00CE5850">
      <w:pPr>
        <w:pStyle w:val="ParaNum"/>
        <w:numPr>
          <w:ilvl w:val="0"/>
          <w:numId w:val="28"/>
        </w:numPr>
        <w:rPr>
          <w:sz w:val="22"/>
          <w:szCs w:val="22"/>
        </w:rPr>
      </w:pPr>
      <w:r w:rsidRPr="00B53FFB">
        <w:rPr>
          <w:sz w:val="22"/>
          <w:szCs w:val="22"/>
        </w:rPr>
        <w:t>Factors other than pricing changes and the substitution of messaging services for mobile voice calling may be contributing to the trends of declining voice ARPU and rising data revenue and ARPU.  In particular, data revenue and data ARPU may, in part, be growing due to the growth of innovative smartphones and application stores that encourage subscribers to increase their use of data services.</w:t>
      </w:r>
      <w:r w:rsidRPr="00B53FFB">
        <w:rPr>
          <w:rStyle w:val="FootnoteReference"/>
          <w:szCs w:val="22"/>
        </w:rPr>
        <w:footnoteReference w:id="860"/>
      </w:r>
      <w:r w:rsidRPr="00B53FFB">
        <w:rPr>
          <w:sz w:val="22"/>
          <w:szCs w:val="22"/>
        </w:rPr>
        <w:t xml:space="preserve">  The increased availability and popularity of new data-only mobile devices, such as laptop cards, e-readers, and tablets, likewise stimulates demand for wireless data services.</w:t>
      </w:r>
    </w:p>
    <w:p w:rsidR="004A147C" w:rsidRPr="00B53FFB" w:rsidRDefault="004A147C" w:rsidP="00CE5850">
      <w:pPr>
        <w:pStyle w:val="ParaNum"/>
        <w:numPr>
          <w:ilvl w:val="0"/>
          <w:numId w:val="28"/>
        </w:numPr>
        <w:rPr>
          <w:sz w:val="22"/>
          <w:szCs w:val="22"/>
        </w:rPr>
      </w:pPr>
      <w:r w:rsidRPr="00B53FFB">
        <w:rPr>
          <w:sz w:val="22"/>
          <w:szCs w:val="22"/>
        </w:rPr>
        <w:t xml:space="preserve">Average monthly ARPU for the postpaid and prepaid customers of the nationwide providers, Leap, and MetroPCS are displayed in </w:t>
      </w:r>
      <w:r w:rsidR="00951E9B">
        <w:fldChar w:fldCharType="begin"/>
      </w:r>
      <w:r w:rsidR="00951E9B">
        <w:instrText xml:space="preserve"> REF _Ref336613032  \* MERGEFORMAT </w:instrText>
      </w:r>
      <w:r w:rsidR="00951E9B">
        <w:fldChar w:fldCharType="separate"/>
      </w:r>
      <w:r w:rsidR="00CA3AC6" w:rsidRPr="00B53FFB">
        <w:rPr>
          <w:sz w:val="22"/>
          <w:szCs w:val="22"/>
        </w:rPr>
        <w:t xml:space="preserve">Chart </w:t>
      </w:r>
      <w:r w:rsidR="00CA3AC6">
        <w:rPr>
          <w:noProof/>
          <w:sz w:val="22"/>
          <w:szCs w:val="22"/>
        </w:rPr>
        <w:t>34</w:t>
      </w:r>
      <w:r w:rsidR="00951E9B">
        <w:rPr>
          <w:noProof/>
          <w:sz w:val="22"/>
          <w:szCs w:val="22"/>
        </w:rPr>
        <w:fldChar w:fldCharType="end"/>
      </w:r>
      <w:r w:rsidRPr="00B53FFB">
        <w:rPr>
          <w:sz w:val="22"/>
          <w:szCs w:val="22"/>
        </w:rPr>
        <w:t>.  The chart also displays the monthly ARPU of Tracfone, which operates entirely on a prepaid basis.  While the average monthly postpaid ARPU is near $60 in the first half of 2012, the average monthly prepaid ARPU is near $20.  The monthly prepaid ARPU of Tracfone is $16 during the same period.</w:t>
      </w:r>
    </w:p>
    <w:p w:rsidR="004A147C" w:rsidRPr="00B53FFB" w:rsidRDefault="004A147C" w:rsidP="00CE5850">
      <w:pPr>
        <w:pStyle w:val="Caption"/>
        <w:widowControl w:val="0"/>
        <w:spacing w:after="0"/>
        <w:jc w:val="center"/>
        <w:rPr>
          <w:sz w:val="22"/>
          <w:szCs w:val="22"/>
        </w:rPr>
      </w:pPr>
      <w:bookmarkStart w:id="4045" w:name="_Ref336613032"/>
      <w:r w:rsidRPr="00B53FFB">
        <w:rPr>
          <w:sz w:val="22"/>
          <w:szCs w:val="22"/>
        </w:rPr>
        <w:t xml:space="preserve">Chart </w:t>
      </w:r>
      <w:r w:rsidR="0007014B" w:rsidRPr="00B53FFB">
        <w:rPr>
          <w:sz w:val="22"/>
          <w:szCs w:val="22"/>
        </w:rPr>
        <w:fldChar w:fldCharType="begin"/>
      </w:r>
      <w:r w:rsidRPr="00B53FFB">
        <w:rPr>
          <w:sz w:val="22"/>
          <w:szCs w:val="22"/>
        </w:rPr>
        <w:instrText xml:space="preserve"> SEQ Chart \* ARABIC </w:instrText>
      </w:r>
      <w:r w:rsidR="0007014B" w:rsidRPr="00B53FFB">
        <w:rPr>
          <w:sz w:val="22"/>
          <w:szCs w:val="22"/>
        </w:rPr>
        <w:fldChar w:fldCharType="separate"/>
      </w:r>
      <w:r w:rsidR="00CA3AC6">
        <w:rPr>
          <w:noProof/>
          <w:sz w:val="22"/>
          <w:szCs w:val="22"/>
        </w:rPr>
        <w:t>34</w:t>
      </w:r>
      <w:r w:rsidR="0007014B" w:rsidRPr="00B53FFB">
        <w:rPr>
          <w:sz w:val="22"/>
          <w:szCs w:val="22"/>
        </w:rPr>
        <w:fldChar w:fldCharType="end"/>
      </w:r>
      <w:bookmarkEnd w:id="4045"/>
    </w:p>
    <w:p w:rsidR="004A147C" w:rsidRPr="00B53FFB" w:rsidRDefault="004A147C" w:rsidP="00CE5850">
      <w:pPr>
        <w:jc w:val="center"/>
        <w:rPr>
          <w:b/>
          <w:szCs w:val="22"/>
        </w:rPr>
      </w:pPr>
      <w:r w:rsidRPr="00B53FFB">
        <w:rPr>
          <w:b/>
          <w:szCs w:val="22"/>
        </w:rPr>
        <w:t>Monthly ARPU, Postpaid and Prepaid, 2010-2012</w:t>
      </w:r>
      <w:r w:rsidRPr="00B53FFB">
        <w:rPr>
          <w:rStyle w:val="FootnoteReference"/>
          <w:szCs w:val="22"/>
        </w:rPr>
        <w:footnoteReference w:id="861"/>
      </w:r>
    </w:p>
    <w:p w:rsidR="004A147C" w:rsidRPr="00B53FFB" w:rsidRDefault="00C81B24" w:rsidP="00CE5850">
      <w:pPr>
        <w:pStyle w:val="ParaNum"/>
        <w:tabs>
          <w:tab w:val="clear" w:pos="1440"/>
        </w:tabs>
        <w:ind w:left="720" w:firstLine="0"/>
        <w:jc w:val="center"/>
        <w:rPr>
          <w:sz w:val="22"/>
          <w:szCs w:val="22"/>
        </w:rPr>
      </w:pPr>
      <w:r>
        <w:rPr>
          <w:noProof/>
          <w:sz w:val="22"/>
          <w:szCs w:val="22"/>
        </w:rPr>
        <w:drawing>
          <wp:inline distT="0" distB="0" distL="0" distR="0" wp14:anchorId="1FDDA249" wp14:editId="14A79CA5">
            <wp:extent cx="5267325" cy="4086225"/>
            <wp:effectExtent l="0" t="0" r="9525" b="9525"/>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267325" cy="4086225"/>
                    </a:xfrm>
                    <a:prstGeom prst="rect">
                      <a:avLst/>
                    </a:prstGeom>
                    <a:noFill/>
                    <a:ln>
                      <a:noFill/>
                    </a:ln>
                  </pic:spPr>
                </pic:pic>
              </a:graphicData>
            </a:graphic>
          </wp:inline>
        </w:drawing>
      </w:r>
    </w:p>
    <w:p w:rsidR="004A147C" w:rsidRDefault="004A147C" w:rsidP="00CE5850">
      <w:pPr>
        <w:pStyle w:val="ParaNum"/>
        <w:numPr>
          <w:ilvl w:val="0"/>
          <w:numId w:val="28"/>
        </w:numPr>
        <w:rPr>
          <w:sz w:val="22"/>
          <w:szCs w:val="22"/>
        </w:rPr>
      </w:pPr>
      <w:r w:rsidRPr="00B53FFB">
        <w:rPr>
          <w:sz w:val="22"/>
          <w:szCs w:val="22"/>
        </w:rPr>
        <w:t xml:space="preserve">The growth in data revenue as a percentage of total revenue for the individual four nationwide service providers is shown in </w:t>
      </w:r>
      <w:r w:rsidR="00951E9B">
        <w:fldChar w:fldCharType="begin"/>
      </w:r>
      <w:r w:rsidR="00951E9B">
        <w:instrText xml:space="preserve"> REF _Ref257809108  \* MERGEFORMAT </w:instrText>
      </w:r>
      <w:r w:rsidR="00951E9B">
        <w:fldChar w:fldCharType="separate"/>
      </w:r>
      <w:r w:rsidR="00CA3AC6" w:rsidRPr="00CA3AC6">
        <w:rPr>
          <w:sz w:val="22"/>
          <w:szCs w:val="22"/>
        </w:rPr>
        <w:t xml:space="preserve">Chart </w:t>
      </w:r>
      <w:r w:rsidR="00CA3AC6" w:rsidRPr="00CA3AC6">
        <w:rPr>
          <w:noProof/>
          <w:sz w:val="22"/>
          <w:szCs w:val="22"/>
        </w:rPr>
        <w:t>35</w:t>
      </w:r>
      <w:r w:rsidR="00951E9B">
        <w:rPr>
          <w:noProof/>
          <w:sz w:val="22"/>
          <w:szCs w:val="22"/>
        </w:rPr>
        <w:fldChar w:fldCharType="end"/>
      </w:r>
      <w:r w:rsidRPr="00B53FFB">
        <w:rPr>
          <w:sz w:val="22"/>
          <w:szCs w:val="22"/>
        </w:rPr>
        <w:t>.  While data revenues have been growing at all four providers, data continues to account for a larger percentage of total revenue at Verizon Wireless and AT&amp;T.  According to one analyst, this difference reflects the higher smartphone penetration at AT&amp;T and Verizon Wireless.</w:t>
      </w:r>
      <w:r w:rsidRPr="00B53FFB">
        <w:rPr>
          <w:rStyle w:val="FootnoteReference"/>
          <w:szCs w:val="22"/>
        </w:rPr>
        <w:footnoteReference w:id="862"/>
      </w:r>
    </w:p>
    <w:p w:rsidR="00BE1C87" w:rsidRDefault="00BE1C87" w:rsidP="00BE1C87">
      <w:pPr>
        <w:pStyle w:val="ParaNum"/>
        <w:tabs>
          <w:tab w:val="clear" w:pos="1440"/>
        </w:tabs>
        <w:rPr>
          <w:sz w:val="22"/>
          <w:szCs w:val="22"/>
        </w:rPr>
      </w:pPr>
    </w:p>
    <w:p w:rsidR="00BE1C87" w:rsidRDefault="00BE1C87" w:rsidP="00BE1C87">
      <w:pPr>
        <w:pStyle w:val="ParaNum"/>
        <w:tabs>
          <w:tab w:val="clear" w:pos="1440"/>
        </w:tabs>
        <w:rPr>
          <w:sz w:val="22"/>
          <w:szCs w:val="22"/>
        </w:rPr>
      </w:pPr>
    </w:p>
    <w:p w:rsidR="00BE1C87" w:rsidRDefault="00BE1C87" w:rsidP="00BE1C87">
      <w:pPr>
        <w:pStyle w:val="ParaNum"/>
        <w:tabs>
          <w:tab w:val="clear" w:pos="1440"/>
        </w:tabs>
        <w:rPr>
          <w:sz w:val="22"/>
          <w:szCs w:val="22"/>
        </w:rPr>
      </w:pPr>
    </w:p>
    <w:p w:rsidR="00BE1C87" w:rsidRDefault="00BE1C87" w:rsidP="00BE1C87">
      <w:pPr>
        <w:pStyle w:val="ParaNum"/>
        <w:tabs>
          <w:tab w:val="clear" w:pos="1440"/>
        </w:tabs>
        <w:rPr>
          <w:sz w:val="22"/>
          <w:szCs w:val="22"/>
        </w:rPr>
      </w:pPr>
    </w:p>
    <w:p w:rsidR="00BE1C87" w:rsidRDefault="00BE1C87" w:rsidP="00BE1C87">
      <w:pPr>
        <w:pStyle w:val="ParaNum"/>
        <w:tabs>
          <w:tab w:val="clear" w:pos="1440"/>
        </w:tabs>
        <w:rPr>
          <w:sz w:val="22"/>
          <w:szCs w:val="22"/>
        </w:rPr>
      </w:pPr>
    </w:p>
    <w:p w:rsidR="00BE1C87" w:rsidRPr="00B53FFB" w:rsidRDefault="00BE1C87" w:rsidP="00BE1C87">
      <w:pPr>
        <w:pStyle w:val="ParaNum"/>
        <w:tabs>
          <w:tab w:val="clear" w:pos="1440"/>
        </w:tabs>
        <w:rPr>
          <w:sz w:val="22"/>
          <w:szCs w:val="22"/>
        </w:rPr>
      </w:pPr>
    </w:p>
    <w:p w:rsidR="004A147C" w:rsidRPr="00B53FFB" w:rsidRDefault="004A147C" w:rsidP="00CE5850">
      <w:pPr>
        <w:pStyle w:val="ParaNum"/>
        <w:tabs>
          <w:tab w:val="clear" w:pos="1440"/>
        </w:tabs>
        <w:ind w:firstLine="0"/>
        <w:jc w:val="center"/>
        <w:rPr>
          <w:b/>
          <w:sz w:val="22"/>
          <w:szCs w:val="22"/>
        </w:rPr>
      </w:pPr>
      <w:bookmarkStart w:id="4046" w:name="_Ref257809108"/>
      <w:r w:rsidRPr="00B53FFB">
        <w:rPr>
          <w:b/>
          <w:sz w:val="22"/>
          <w:szCs w:val="22"/>
        </w:rPr>
        <w:t xml:space="preserve">Chart </w:t>
      </w:r>
      <w:r w:rsidR="0007014B" w:rsidRPr="00B53FFB">
        <w:rPr>
          <w:b/>
          <w:sz w:val="22"/>
          <w:szCs w:val="22"/>
        </w:rPr>
        <w:fldChar w:fldCharType="begin"/>
      </w:r>
      <w:r w:rsidRPr="00B53FFB">
        <w:rPr>
          <w:b/>
          <w:sz w:val="22"/>
          <w:szCs w:val="22"/>
        </w:rPr>
        <w:instrText xml:space="preserve"> SEQ Chart \* ARABIC </w:instrText>
      </w:r>
      <w:r w:rsidR="0007014B" w:rsidRPr="00B53FFB">
        <w:rPr>
          <w:b/>
          <w:sz w:val="22"/>
          <w:szCs w:val="22"/>
        </w:rPr>
        <w:fldChar w:fldCharType="separate"/>
      </w:r>
      <w:r w:rsidR="00CA3AC6">
        <w:rPr>
          <w:b/>
          <w:noProof/>
          <w:sz w:val="22"/>
          <w:szCs w:val="22"/>
        </w:rPr>
        <w:t>35</w:t>
      </w:r>
      <w:r w:rsidR="0007014B" w:rsidRPr="00B53FFB">
        <w:rPr>
          <w:b/>
          <w:sz w:val="22"/>
          <w:szCs w:val="22"/>
        </w:rPr>
        <w:fldChar w:fldCharType="end"/>
      </w:r>
      <w:bookmarkEnd w:id="4046"/>
      <w:r w:rsidRPr="00B53FFB">
        <w:rPr>
          <w:b/>
          <w:sz w:val="22"/>
          <w:szCs w:val="22"/>
        </w:rPr>
        <w:br/>
        <w:t>Wireless Data Revenue as a Percentage of Total Revenue, 2006-2011</w:t>
      </w:r>
      <w:r w:rsidRPr="00B53FFB">
        <w:rPr>
          <w:rStyle w:val="FootnoteReference"/>
          <w:szCs w:val="22"/>
        </w:rPr>
        <w:footnoteReference w:id="863"/>
      </w:r>
    </w:p>
    <w:p w:rsidR="004A147C" w:rsidRPr="00B53FFB" w:rsidRDefault="00C81B24" w:rsidP="00CE5850">
      <w:pPr>
        <w:pStyle w:val="ParaNum"/>
        <w:tabs>
          <w:tab w:val="clear" w:pos="1440"/>
        </w:tabs>
        <w:ind w:firstLine="0"/>
        <w:jc w:val="center"/>
        <w:rPr>
          <w:sz w:val="22"/>
          <w:szCs w:val="22"/>
        </w:rPr>
      </w:pPr>
      <w:r>
        <w:rPr>
          <w:noProof/>
        </w:rPr>
        <mc:AlternateContent>
          <mc:Choice Requires="wps">
            <w:drawing>
              <wp:anchor distT="0" distB="0" distL="114300" distR="114300" simplePos="0" relativeHeight="15" behindDoc="0" locked="0" layoutInCell="1" allowOverlap="1" wp14:anchorId="7D311C69" wp14:editId="601BEA5E">
                <wp:simplePos x="0" y="0"/>
                <wp:positionH relativeFrom="column">
                  <wp:posOffset>275590</wp:posOffset>
                </wp:positionH>
                <wp:positionV relativeFrom="paragraph">
                  <wp:posOffset>4085590</wp:posOffset>
                </wp:positionV>
                <wp:extent cx="2377440" cy="222885"/>
                <wp:effectExtent l="0" t="0" r="0" b="5715"/>
                <wp:wrapNone/>
                <wp:docPr id="126" name="Text Box 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7440" cy="2228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C7CF3" w:rsidRPr="0008064F" w:rsidRDefault="00EC7CF3">
                            <w:pPr>
                              <w:rPr>
                                <w:rFonts w:ascii="Arial" w:hAnsi="Arial" w:cs="Arial"/>
                                <w:sz w:val="18"/>
                                <w:szCs w:val="18"/>
                              </w:rPr>
                            </w:pPr>
                            <w:r w:rsidRPr="0008064F">
                              <w:rPr>
                                <w:rFonts w:ascii="Arial" w:hAnsi="Arial" w:cs="Arial"/>
                                <w:sz w:val="18"/>
                                <w:szCs w:val="18"/>
                              </w:rPr>
                              <w:t>Source: Bernstein Research</w:t>
                            </w:r>
                          </w:p>
                        </w:txbxContent>
                      </wps:txbx>
                      <wps:bodyPr rot="0" vert="horz" wrap="squar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38" o:spid="_x0000_s1056" type="#_x0000_t202" style="position:absolute;left:0;text-align:left;margin-left:21.7pt;margin-top:321.7pt;width:187.2pt;height:17.55pt;z-index:1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" filled="f" stroked="f">
                <v:textbox style="mso-fit-shape-to-text:t">
                  <w:txbxContent>
                    <w:p w:rsidR="00EC7CF3" w:rsidRPr="0008064F" w:rsidRDefault="00EC7CF3">
                      <w:pPr>
                        <w:rPr>
                          <w:rFonts w:ascii="Arial" w:hAnsi="Arial" w:cs="Arial"/>
                          <w:sz w:val="18"/>
                          <w:szCs w:val="18"/>
                        </w:rPr>
                      </w:pPr>
                      <w:r w:rsidRPr="0008064F">
                        <w:rPr>
                          <w:rFonts w:ascii="Arial" w:hAnsi="Arial" w:cs="Arial"/>
                          <w:sz w:val="18"/>
                          <w:szCs w:val="18"/>
                        </w:rPr>
                        <w:t>Source: Bernstein Research</w:t>
                      </w:r>
                    </w:p>
                  </w:txbxContent>
                </v:textbox>
              </v:shape>
            </w:pict>
          </mc:Fallback>
        </mc:AlternateContent>
      </w:r>
      <w:r>
        <w:rPr>
          <w:noProof/>
          <w:sz w:val="22"/>
          <w:szCs w:val="22"/>
        </w:rPr>
        <w:drawing>
          <wp:inline distT="0" distB="0" distL="0" distR="0" wp14:anchorId="29FB0C84" wp14:editId="1F1BDACE">
            <wp:extent cx="5876925" cy="4371975"/>
            <wp:effectExtent l="0" t="0" r="9525" b="9525"/>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876925" cy="4371975"/>
                    </a:xfrm>
                    <a:prstGeom prst="rect">
                      <a:avLst/>
                    </a:prstGeom>
                    <a:noFill/>
                    <a:ln>
                      <a:noFill/>
                    </a:ln>
                  </pic:spPr>
                </pic:pic>
              </a:graphicData>
            </a:graphic>
          </wp:inline>
        </w:drawing>
      </w:r>
    </w:p>
    <w:p w:rsidR="004A147C" w:rsidRPr="00B53FFB" w:rsidRDefault="004A147C" w:rsidP="00CE5850">
      <w:pPr>
        <w:pStyle w:val="Heading2"/>
        <w:keepNext w:val="0"/>
      </w:pPr>
      <w:bookmarkStart w:id="4047" w:name="_Toc271288485"/>
      <w:bookmarkStart w:id="4048" w:name="_Toc275518003"/>
      <w:bookmarkStart w:id="4049" w:name="_Toc275952443"/>
      <w:bookmarkStart w:id="4050" w:name="_Toc276121875"/>
      <w:bookmarkStart w:id="4051" w:name="_Toc276480711"/>
      <w:bookmarkStart w:id="4052" w:name="_Toc276741788"/>
      <w:bookmarkStart w:id="4053" w:name="_Toc277171553"/>
      <w:bookmarkStart w:id="4054" w:name="_Toc277864528"/>
      <w:bookmarkStart w:id="4055" w:name="_Toc277864744"/>
      <w:bookmarkStart w:id="4056" w:name="_Ref279074898"/>
      <w:bookmarkStart w:id="4057" w:name="_Ref279074901"/>
      <w:bookmarkStart w:id="4058" w:name="_Toc285810425"/>
      <w:bookmarkStart w:id="4059" w:name="_Toc287257819"/>
      <w:bookmarkStart w:id="4060" w:name="_Ref287258981"/>
      <w:bookmarkStart w:id="4061" w:name="_Toc291758698"/>
      <w:bookmarkStart w:id="4062" w:name="_Toc291758801"/>
      <w:bookmarkStart w:id="4063" w:name="_Toc295392981"/>
      <w:bookmarkStart w:id="4064" w:name="_Toc329262522"/>
      <w:bookmarkStart w:id="4065" w:name="_Toc329852433"/>
      <w:bookmarkStart w:id="4066" w:name="_Toc261610799"/>
      <w:bookmarkStart w:id="4067" w:name="_Toc261858538"/>
      <w:bookmarkStart w:id="4068" w:name="_Toc262034343"/>
      <w:bookmarkStart w:id="4069" w:name="_Toc262034446"/>
      <w:bookmarkStart w:id="4070" w:name="_Toc271288486"/>
      <w:bookmarkStart w:id="4071" w:name="_Toc275518004"/>
      <w:bookmarkStart w:id="4072" w:name="_Toc275952444"/>
      <w:bookmarkStart w:id="4073" w:name="_Toc276121876"/>
      <w:bookmarkStart w:id="4074" w:name="_Toc276480712"/>
      <w:bookmarkStart w:id="4075" w:name="_Toc276741789"/>
      <w:bookmarkStart w:id="4076" w:name="_Toc277171554"/>
      <w:bookmarkStart w:id="4077" w:name="_Toc277864529"/>
      <w:bookmarkStart w:id="4078" w:name="_Toc277864745"/>
      <w:bookmarkStart w:id="4079" w:name="_Toc285810426"/>
      <w:bookmarkStart w:id="4080" w:name="_Toc287257820"/>
      <w:bookmarkStart w:id="4081" w:name="_Toc291758699"/>
      <w:bookmarkStart w:id="4082" w:name="_Toc291758802"/>
      <w:bookmarkStart w:id="4083" w:name="_Toc295392982"/>
      <w:bookmarkStart w:id="4084" w:name="_Toc329262523"/>
      <w:bookmarkStart w:id="4085" w:name="_Toc329852434"/>
      <w:bookmarkStart w:id="4086" w:name="_Toc331766349"/>
      <w:bookmarkStart w:id="4087" w:name="_Toc332119144"/>
      <w:bookmarkStart w:id="4088" w:name="_Toc334088821"/>
      <w:bookmarkStart w:id="4089" w:name="_Toc334089057"/>
      <w:bookmarkStart w:id="4090" w:name="_Toc334089216"/>
      <w:bookmarkStart w:id="4091" w:name="_Toc334089327"/>
      <w:bookmarkStart w:id="4092" w:name="_Toc334089491"/>
      <w:bookmarkStart w:id="4093" w:name="_Toc336268632"/>
      <w:bookmarkStart w:id="4094" w:name="_Toc336268740"/>
      <w:bookmarkStart w:id="4095" w:name="_Toc336268847"/>
      <w:bookmarkStart w:id="4096" w:name="_Toc336269061"/>
      <w:bookmarkStart w:id="4097" w:name="_Toc336269168"/>
      <w:bookmarkStart w:id="4098" w:name="_Toc336269536"/>
      <w:bookmarkStart w:id="4099" w:name="_Toc336269682"/>
      <w:bookmarkStart w:id="4100" w:name="_Toc336270095"/>
      <w:bookmarkStart w:id="4101" w:name="_Toc336271295"/>
      <w:bookmarkStart w:id="4102" w:name="_Toc337652001"/>
      <w:bookmarkStart w:id="4103" w:name="_Toc349577190"/>
      <w:bookmarkStart w:id="4104" w:name="_Toc349579282"/>
      <w:bookmarkStart w:id="4105" w:name="_Toc349580597"/>
      <w:bookmarkStart w:id="4106" w:name="_Toc349735005"/>
      <w:bookmarkStart w:id="4107" w:name="_Toc349742370"/>
      <w:r w:rsidRPr="00B53FFB">
        <w:t>Accounting-Based Measures of Profitability</w:t>
      </w:r>
      <w:bookmarkStart w:id="4108" w:name="_Ref254699365"/>
      <w:bookmarkEnd w:id="4038"/>
      <w:bookmarkEnd w:id="4047"/>
      <w:bookmarkEnd w:id="4048"/>
      <w:bookmarkEnd w:id="4049"/>
      <w:bookmarkEnd w:id="4050"/>
      <w:bookmarkEnd w:id="4051"/>
      <w:bookmarkEnd w:id="4052"/>
      <w:bookmarkEnd w:id="4053"/>
      <w:bookmarkEnd w:id="4054"/>
      <w:bookmarkEnd w:id="4055"/>
      <w:bookmarkEnd w:id="4056"/>
      <w:bookmarkEnd w:id="4057"/>
      <w:bookmarkEnd w:id="4058"/>
      <w:bookmarkEnd w:id="4059"/>
      <w:bookmarkEnd w:id="4060"/>
      <w:bookmarkEnd w:id="4061"/>
      <w:bookmarkEnd w:id="4062"/>
      <w:bookmarkEnd w:id="4063"/>
      <w:bookmarkEnd w:id="4064"/>
      <w:bookmarkEnd w:id="4065"/>
      <w:bookmarkEnd w:id="4066"/>
      <w:bookmarkEnd w:id="4067"/>
      <w:bookmarkEnd w:id="4068"/>
      <w:bookmarkEnd w:id="4069"/>
      <w:bookmarkEnd w:id="4070"/>
      <w:bookmarkEnd w:id="4071"/>
      <w:bookmarkEnd w:id="4072"/>
      <w:bookmarkEnd w:id="4073"/>
      <w:bookmarkEnd w:id="4074"/>
      <w:bookmarkEnd w:id="4075"/>
      <w:bookmarkEnd w:id="4076"/>
      <w:bookmarkEnd w:id="4077"/>
      <w:bookmarkEnd w:id="4078"/>
      <w:bookmarkEnd w:id="4079"/>
      <w:bookmarkEnd w:id="4080"/>
      <w:bookmarkEnd w:id="4081"/>
      <w:bookmarkEnd w:id="4082"/>
      <w:bookmarkEnd w:id="4083"/>
      <w:bookmarkEnd w:id="4084"/>
      <w:bookmarkEnd w:id="4085"/>
      <w:bookmarkEnd w:id="4086"/>
      <w:bookmarkEnd w:id="4087"/>
      <w:bookmarkEnd w:id="4088"/>
      <w:bookmarkEnd w:id="4089"/>
      <w:bookmarkEnd w:id="4090"/>
      <w:bookmarkEnd w:id="4091"/>
      <w:bookmarkEnd w:id="4092"/>
      <w:bookmarkEnd w:id="4093"/>
      <w:bookmarkEnd w:id="4094"/>
      <w:bookmarkEnd w:id="4095"/>
      <w:bookmarkEnd w:id="4096"/>
      <w:bookmarkEnd w:id="4097"/>
      <w:bookmarkEnd w:id="4098"/>
      <w:bookmarkEnd w:id="4099"/>
      <w:bookmarkEnd w:id="4100"/>
      <w:bookmarkEnd w:id="4101"/>
      <w:bookmarkEnd w:id="4102"/>
      <w:bookmarkEnd w:id="4103"/>
      <w:bookmarkEnd w:id="4104"/>
      <w:bookmarkEnd w:id="4105"/>
      <w:bookmarkEnd w:id="4106"/>
      <w:bookmarkEnd w:id="4107"/>
    </w:p>
    <w:p w:rsidR="004A147C" w:rsidRPr="00B53FFB" w:rsidRDefault="004A147C" w:rsidP="00CE5850">
      <w:pPr>
        <w:pStyle w:val="ParaNum"/>
        <w:numPr>
          <w:ilvl w:val="0"/>
          <w:numId w:val="28"/>
        </w:numPr>
        <w:rPr>
          <w:sz w:val="22"/>
          <w:szCs w:val="22"/>
        </w:rPr>
      </w:pPr>
      <w:r w:rsidRPr="00B53FFB">
        <w:rPr>
          <w:sz w:val="22"/>
          <w:szCs w:val="22"/>
        </w:rPr>
        <w:t xml:space="preserve">Profitability indicators differ from the pricing indicators and revenue data (for example, ARPU) discussed in preceding sections of this </w:t>
      </w:r>
      <w:r w:rsidRPr="00B53FFB">
        <w:rPr>
          <w:i/>
          <w:sz w:val="22"/>
          <w:szCs w:val="22"/>
        </w:rPr>
        <w:t>Report</w:t>
      </w:r>
      <w:r w:rsidRPr="00B53FFB">
        <w:rPr>
          <w:sz w:val="22"/>
          <w:szCs w:val="22"/>
        </w:rPr>
        <w:t xml:space="preserve"> in that they account for certain elements of firms’ costs.  These accounting-based indicators of profitability are not estimates of economic profit,</w:t>
      </w:r>
      <w:r w:rsidRPr="00B53FFB">
        <w:rPr>
          <w:rStyle w:val="FootnoteReference"/>
          <w:szCs w:val="22"/>
        </w:rPr>
        <w:footnoteReference w:id="864"/>
      </w:r>
      <w:r w:rsidRPr="00B53FFB">
        <w:rPr>
          <w:sz w:val="22"/>
          <w:szCs w:val="22"/>
        </w:rPr>
        <w:t xml:space="preserve"> and neither accounting nor economic profits are considered reliable estimators of market power.</w:t>
      </w:r>
      <w:r w:rsidRPr="00B53FFB">
        <w:rPr>
          <w:rStyle w:val="FootnoteReference"/>
          <w:szCs w:val="22"/>
        </w:rPr>
        <w:footnoteReference w:id="865"/>
      </w:r>
      <w:r w:rsidRPr="00B53FFB">
        <w:rPr>
          <w:sz w:val="22"/>
          <w:szCs w:val="22"/>
        </w:rPr>
        <w:t xml:space="preserve">    Accounting-based measures of mobile wireless industry profitability are mainly used by Wall Street financial analysts to compare the market value and financial performance of different service providers for investors.</w:t>
      </w:r>
      <w:r w:rsidRPr="00B53FFB">
        <w:rPr>
          <w:rStyle w:val="FootnoteReference"/>
          <w:szCs w:val="22"/>
        </w:rPr>
        <w:footnoteReference w:id="866"/>
      </w:r>
      <w:r w:rsidRPr="00B53FFB">
        <w:rPr>
          <w:sz w:val="22"/>
          <w:szCs w:val="22"/>
        </w:rPr>
        <w:t xml:space="preserve">  The differences across providers in the various measures of accounting profits discussed below may reflect many underlying factors including product differentiation across providers, differences in profitability across product segments, different network designs and capabilities, merger and acquisition costs, different cost structures, efficiencies of size, and the degree of competitive rivalry.      </w:t>
      </w:r>
    </w:p>
    <w:p w:rsidR="004A147C" w:rsidRPr="00B53FFB" w:rsidRDefault="004A147C" w:rsidP="00CE5850">
      <w:pPr>
        <w:pStyle w:val="ParaNum"/>
        <w:numPr>
          <w:ilvl w:val="0"/>
          <w:numId w:val="28"/>
        </w:numPr>
        <w:rPr>
          <w:sz w:val="22"/>
          <w:szCs w:val="22"/>
        </w:rPr>
      </w:pPr>
      <w:r w:rsidRPr="00B53FFB">
        <w:rPr>
          <w:i/>
          <w:sz w:val="22"/>
          <w:szCs w:val="22"/>
        </w:rPr>
        <w:t>Earnings Before Interest and Taxes (EBIT)</w:t>
      </w:r>
      <w:r w:rsidRPr="00B53FFB">
        <w:rPr>
          <w:sz w:val="22"/>
          <w:szCs w:val="22"/>
        </w:rPr>
        <w:t>.  EBIT is the accounting profit of a company before interest expenses and corporate taxes are deducted.</w:t>
      </w:r>
      <w:r w:rsidRPr="00B53FFB">
        <w:rPr>
          <w:rStyle w:val="FootnoteReference"/>
          <w:szCs w:val="22"/>
        </w:rPr>
        <w:footnoteReference w:id="867"/>
      </w:r>
      <w:r w:rsidRPr="00B53FFB">
        <w:rPr>
          <w:sz w:val="22"/>
          <w:szCs w:val="22"/>
        </w:rPr>
        <w:t xml:space="preserve">  EBIT deducts from revenue the cost of equipment sold to users (</w:t>
      </w:r>
      <w:r w:rsidRPr="00B53FFB">
        <w:rPr>
          <w:i/>
          <w:sz w:val="22"/>
          <w:szCs w:val="22"/>
        </w:rPr>
        <w:t>e.g.</w:t>
      </w:r>
      <w:r w:rsidRPr="00B53FFB">
        <w:rPr>
          <w:sz w:val="22"/>
          <w:szCs w:val="22"/>
        </w:rPr>
        <w:t xml:space="preserve"> the price paid by a provider for the handsets that it sells to consumers), service costs (</w:t>
      </w:r>
      <w:r w:rsidRPr="00B53FFB">
        <w:rPr>
          <w:i/>
          <w:sz w:val="22"/>
          <w:szCs w:val="22"/>
        </w:rPr>
        <w:t>e.g.</w:t>
      </w:r>
      <w:r w:rsidRPr="00B53FFB">
        <w:rPr>
          <w:sz w:val="22"/>
          <w:szCs w:val="22"/>
        </w:rPr>
        <w:t xml:space="preserve"> network interconnection, roaming, and long-distance costs), selling, general, and administrative costs, but it does not deduct costs such as interest payments on debt and corporate income taxes.  EBIT has the advantages of being a general indicator of the profits of mobile wireless segments and it deducts operating costs that would also be deducted in more detailed profitability estimates.  However, as interest payments on debt and corporate income taxes are generally recurrent cash flow obligations, some experts argue that these measures may not always be good estimates of operating cash flow.</w:t>
      </w:r>
      <w:r w:rsidRPr="00B53FFB">
        <w:rPr>
          <w:rStyle w:val="FootnoteReference"/>
          <w:szCs w:val="22"/>
        </w:rPr>
        <w:footnoteReference w:id="868"/>
      </w:r>
      <w:r w:rsidRPr="00B53FFB">
        <w:rPr>
          <w:sz w:val="22"/>
          <w:szCs w:val="22"/>
        </w:rPr>
        <w:t xml:space="preserve">  Federal and State corporate income taxes can be over one-third of pre-tax income and they are deducted in most profit formulas.</w:t>
      </w:r>
      <w:r w:rsidRPr="00B53FFB">
        <w:rPr>
          <w:rStyle w:val="FootnoteReference"/>
          <w:szCs w:val="22"/>
        </w:rPr>
        <w:footnoteReference w:id="869"/>
      </w:r>
      <w:r w:rsidRPr="00B53FFB">
        <w:rPr>
          <w:sz w:val="22"/>
          <w:szCs w:val="22"/>
        </w:rPr>
        <w:t xml:space="preserve">  Further, EBIT data are sensitive to accounting practices for depreciation and mergers.  </w:t>
      </w:r>
    </w:p>
    <w:p w:rsidR="004A147C" w:rsidRPr="00B53FFB" w:rsidRDefault="004A147C" w:rsidP="00CE5850">
      <w:pPr>
        <w:pStyle w:val="ParaNum"/>
        <w:numPr>
          <w:ilvl w:val="0"/>
          <w:numId w:val="28"/>
        </w:numPr>
        <w:rPr>
          <w:sz w:val="22"/>
          <w:szCs w:val="22"/>
        </w:rPr>
      </w:pPr>
      <w:r w:rsidRPr="00B53FFB">
        <w:rPr>
          <w:i/>
          <w:sz w:val="22"/>
          <w:szCs w:val="22"/>
        </w:rPr>
        <w:t>Earnings Before Interest, Taxes, Depreciation, and Amortization (EBITDA)</w:t>
      </w:r>
      <w:r w:rsidRPr="00B53FFB">
        <w:rPr>
          <w:sz w:val="22"/>
          <w:szCs w:val="22"/>
        </w:rPr>
        <w:t>.  EBITDA equals accounting profits before deducting interest expenses, corporate income taxes, depreciation, and amortization.</w:t>
      </w:r>
      <w:r w:rsidRPr="00B53FFB">
        <w:rPr>
          <w:rStyle w:val="FootnoteReference"/>
          <w:szCs w:val="22"/>
        </w:rPr>
        <w:footnoteReference w:id="870"/>
      </w:r>
      <w:r w:rsidRPr="00B53FFB">
        <w:rPr>
          <w:sz w:val="22"/>
          <w:szCs w:val="22"/>
        </w:rPr>
        <w:t xml:space="preserve">  Like EBIT, EBITDA does not account for cash flow expenses such as interest and taxes. </w:t>
      </w:r>
      <w:r>
        <w:rPr>
          <w:sz w:val="22"/>
          <w:szCs w:val="22"/>
        </w:rPr>
        <w:t xml:space="preserve"> </w:t>
      </w:r>
      <w:r w:rsidRPr="00B53FFB">
        <w:rPr>
          <w:sz w:val="22"/>
          <w:szCs w:val="22"/>
        </w:rPr>
        <w:t>EBITDA differs from EBIT in that EBITDA does not account for depreciation and amortization.   However, EBITDA also does not account for capital expenditures which can be substantial and vary significantly across service providers.</w:t>
      </w:r>
      <w:r w:rsidRPr="00B53FFB">
        <w:rPr>
          <w:rStyle w:val="FootnoteReference"/>
          <w:szCs w:val="22"/>
        </w:rPr>
        <w:footnoteReference w:id="871"/>
      </w:r>
      <w:r w:rsidRPr="00B53FFB">
        <w:rPr>
          <w:sz w:val="22"/>
          <w:szCs w:val="22"/>
        </w:rPr>
        <w:t xml:space="preserve">  Hence, differences in EBITDA across providers will be partly explained by differences in capital expenditures across service providers.</w:t>
      </w:r>
    </w:p>
    <w:p w:rsidR="004A147C" w:rsidRPr="00B53FFB" w:rsidRDefault="004A147C" w:rsidP="00CE5850">
      <w:pPr>
        <w:pStyle w:val="ParaNum"/>
        <w:numPr>
          <w:ilvl w:val="0"/>
          <w:numId w:val="28"/>
        </w:numPr>
        <w:rPr>
          <w:sz w:val="22"/>
          <w:szCs w:val="22"/>
        </w:rPr>
      </w:pPr>
      <w:r w:rsidRPr="00B53FFB">
        <w:rPr>
          <w:i/>
          <w:sz w:val="22"/>
          <w:szCs w:val="22"/>
          <w:lang w:val="pt-BR"/>
        </w:rPr>
        <w:t xml:space="preserve">EBITDA minus Capital Expenditures (EBITDA minus CAPEX).  </w:t>
      </w:r>
      <w:r w:rsidRPr="00B53FFB">
        <w:rPr>
          <w:sz w:val="22"/>
          <w:szCs w:val="22"/>
        </w:rPr>
        <w:t xml:space="preserve">EBITDA minus CAPEX equals EBITDA, discussed above, less capital expenditures. </w:t>
      </w:r>
      <w:r>
        <w:rPr>
          <w:sz w:val="22"/>
          <w:szCs w:val="22"/>
        </w:rPr>
        <w:t xml:space="preserve"> </w:t>
      </w:r>
      <w:r w:rsidRPr="00B53FFB">
        <w:rPr>
          <w:sz w:val="22"/>
          <w:szCs w:val="22"/>
        </w:rPr>
        <w:t>EBITDA minus CAPEX incorporates capital expenditures into the profitability measure, providing a rough approximation of free cash flow.</w:t>
      </w:r>
      <w:r w:rsidRPr="00B53FFB">
        <w:rPr>
          <w:rStyle w:val="FootnoteReference"/>
          <w:szCs w:val="22"/>
        </w:rPr>
        <w:t xml:space="preserve"> </w:t>
      </w:r>
      <w:r w:rsidRPr="00B53FFB">
        <w:rPr>
          <w:rStyle w:val="FootnoteReference"/>
          <w:szCs w:val="22"/>
        </w:rPr>
        <w:footnoteReference w:id="872"/>
      </w:r>
      <w:r w:rsidRPr="00B53FFB">
        <w:rPr>
          <w:sz w:val="22"/>
          <w:szCs w:val="22"/>
        </w:rPr>
        <w:t xml:space="preserve">  Although it is a better approximation of cash flow than EBITDA because it deducts capital expenditures, we note that capital expenditures may differ from estimates of annual capital costs that are used in estimates of economic profits.</w:t>
      </w:r>
      <w:r w:rsidRPr="00B53FFB">
        <w:rPr>
          <w:rStyle w:val="FootnoteReference"/>
          <w:szCs w:val="22"/>
        </w:rPr>
        <w:footnoteReference w:id="873"/>
      </w:r>
      <w:r w:rsidRPr="00B53FFB">
        <w:rPr>
          <w:sz w:val="22"/>
          <w:szCs w:val="22"/>
        </w:rPr>
        <w:t xml:space="preserve">  Also, EBITDA minus CAPEX does not account for purchases of spectrum licenses, a significant expense of mobile wireless providers.  Although EBITDA minus CAPEX accounts for capital expenditures, standard capital accounting practices normally depreciate capital expenditures over time to represent their current market value and earning life.</w:t>
      </w:r>
      <w:r w:rsidRPr="00B53FFB">
        <w:rPr>
          <w:rStyle w:val="FootnoteReference"/>
          <w:szCs w:val="22"/>
        </w:rPr>
        <w:footnoteReference w:id="874"/>
      </w:r>
      <w:r w:rsidRPr="00B53FFB">
        <w:rPr>
          <w:sz w:val="22"/>
          <w:szCs w:val="22"/>
        </w:rPr>
        <w:t xml:space="preserve">  Furthermore, as discussed in Section </w:t>
      </w:r>
      <w:r w:rsidR="00951E9B">
        <w:fldChar w:fldCharType="begin"/>
      </w:r>
      <w:r w:rsidR="00951E9B">
        <w:instrText xml:space="preserve"> REF _Ref331433841 \w  \* MERGEFORMAT </w:instrText>
      </w:r>
      <w:r w:rsidR="00951E9B">
        <w:fldChar w:fldCharType="separate"/>
      </w:r>
      <w:r w:rsidR="00CA3AC6" w:rsidRPr="00CA3AC6">
        <w:rPr>
          <w:sz w:val="22"/>
          <w:szCs w:val="22"/>
        </w:rPr>
        <w:t>IV.B.2</w:t>
      </w:r>
      <w:r w:rsidR="00951E9B">
        <w:rPr>
          <w:sz w:val="22"/>
          <w:szCs w:val="22"/>
        </w:rPr>
        <w:fldChar w:fldCharType="end"/>
      </w:r>
      <w:r w:rsidRPr="00B53FFB">
        <w:rPr>
          <w:sz w:val="22"/>
          <w:szCs w:val="22"/>
        </w:rPr>
        <w:t>, in the context of capital expenditures, deducting capital expenditures from EBITDA may hinder comparisons across providers due to the lack of synchronization in the timing of capital expenditures of different service providers.</w:t>
      </w:r>
    </w:p>
    <w:p w:rsidR="004A147C" w:rsidRPr="00B53FFB" w:rsidRDefault="004A147C" w:rsidP="00CE5850">
      <w:pPr>
        <w:pStyle w:val="ParaNum"/>
        <w:numPr>
          <w:ilvl w:val="0"/>
          <w:numId w:val="28"/>
        </w:numPr>
        <w:rPr>
          <w:sz w:val="22"/>
          <w:szCs w:val="22"/>
        </w:rPr>
      </w:pPr>
      <w:r w:rsidRPr="00B53FFB">
        <w:rPr>
          <w:i/>
          <w:sz w:val="22"/>
          <w:szCs w:val="22"/>
        </w:rPr>
        <w:t xml:space="preserve">Earnings per Subscriber.  </w:t>
      </w:r>
      <w:r w:rsidRPr="00B53FFB">
        <w:rPr>
          <w:sz w:val="22"/>
          <w:szCs w:val="22"/>
        </w:rPr>
        <w:t xml:space="preserve">EBITDA per subscriber data for selected service providers are presented in </w:t>
      </w:r>
      <w:r w:rsidR="005B380F">
        <w:fldChar w:fldCharType="begin"/>
      </w:r>
      <w:r w:rsidR="005B380F">
        <w:instrText xml:space="preserve"> REF _Ref259443381 \h  \* MERGEFORMAT </w:instrText>
      </w:r>
      <w:r w:rsidR="005B380F">
        <w:fldChar w:fldCharType="separate"/>
      </w:r>
      <w:r w:rsidR="00CA3AC6" w:rsidRPr="00CA3AC6">
        <w:rPr>
          <w:sz w:val="22"/>
          <w:szCs w:val="22"/>
        </w:rPr>
        <w:t xml:space="preserve">Chart </w:t>
      </w:r>
      <w:r w:rsidR="00CA3AC6" w:rsidRPr="00CA3AC6">
        <w:rPr>
          <w:noProof/>
          <w:sz w:val="22"/>
          <w:szCs w:val="22"/>
        </w:rPr>
        <w:t>36</w:t>
      </w:r>
      <w:r w:rsidR="005B380F">
        <w:fldChar w:fldCharType="end"/>
      </w:r>
      <w:r w:rsidRPr="00B53FFB">
        <w:rPr>
          <w:sz w:val="22"/>
          <w:szCs w:val="22"/>
        </w:rPr>
        <w:t xml:space="preserve">.  As shown in </w:t>
      </w:r>
      <w:r w:rsidR="005B380F">
        <w:fldChar w:fldCharType="begin"/>
      </w:r>
      <w:r w:rsidR="005B380F">
        <w:instrText xml:space="preserve"> REF _Ref259443381 \h  \* MERGEFORMAT </w:instrText>
      </w:r>
      <w:r w:rsidR="005B380F">
        <w:fldChar w:fldCharType="separate"/>
      </w:r>
      <w:r w:rsidR="00CA3AC6" w:rsidRPr="00CA3AC6">
        <w:rPr>
          <w:sz w:val="22"/>
          <w:szCs w:val="22"/>
        </w:rPr>
        <w:t xml:space="preserve">Chart </w:t>
      </w:r>
      <w:r w:rsidR="00CA3AC6" w:rsidRPr="00CA3AC6">
        <w:rPr>
          <w:noProof/>
          <w:sz w:val="22"/>
          <w:szCs w:val="22"/>
        </w:rPr>
        <w:t>36</w:t>
      </w:r>
      <w:r w:rsidR="005B380F">
        <w:fldChar w:fldCharType="end"/>
      </w:r>
      <w:r w:rsidRPr="00B53FFB">
        <w:rPr>
          <w:sz w:val="22"/>
          <w:szCs w:val="22"/>
        </w:rPr>
        <w:t xml:space="preserve">, in 2011, EBITDA per subscriber ranged from a low of $4.11 (Sprint Nextel) to a high of $19.66 (Verizon Wireless).  The EBITDA per subscriber of Sprint Nextel has declined significantly over the past several years.  EBITDA minus CAPEX per subscriber data for selected service providers are presented in </w:t>
      </w:r>
      <w:r w:rsidR="005B380F">
        <w:fldChar w:fldCharType="begin"/>
      </w:r>
      <w:r w:rsidR="005B380F">
        <w:instrText xml:space="preserve"> REF _Ref277171957 \h  \* MERGEFORMAT </w:instrText>
      </w:r>
      <w:r w:rsidR="005B380F">
        <w:fldChar w:fldCharType="separate"/>
      </w:r>
      <w:r w:rsidR="00CA3AC6" w:rsidRPr="00B53FFB">
        <w:rPr>
          <w:sz w:val="22"/>
          <w:szCs w:val="22"/>
        </w:rPr>
        <w:t xml:space="preserve">Table </w:t>
      </w:r>
      <w:r w:rsidR="00CA3AC6">
        <w:rPr>
          <w:sz w:val="22"/>
          <w:szCs w:val="22"/>
        </w:rPr>
        <w:t>42</w:t>
      </w:r>
      <w:r w:rsidR="005B380F">
        <w:fldChar w:fldCharType="end"/>
      </w:r>
      <w:r w:rsidRPr="00B53FFB">
        <w:rPr>
          <w:sz w:val="22"/>
          <w:szCs w:val="22"/>
        </w:rPr>
        <w:t xml:space="preserve">.  Between 2006 and 2011, the EBITDA minus CAPEX per subscriber for Sprint Nextel declined each year.  The EBITDA minus CAPEX per subscriber of AT&amp;T and Verizon Wireless have decreased relative to 2009, but are above the levels of Sprint Nextel and T-Mobile.  ARPU, EBITDA, and EBITDA minus CAPEX are presented together in </w:t>
      </w:r>
      <w:r w:rsidR="005B380F">
        <w:fldChar w:fldCharType="begin"/>
      </w:r>
      <w:r w:rsidR="005B380F">
        <w:instrText xml:space="preserve"> REF _Ref258001410 \h  \* MERGEFORMAT </w:instrText>
      </w:r>
      <w:r w:rsidR="005B380F">
        <w:fldChar w:fldCharType="separate"/>
      </w:r>
      <w:r w:rsidR="00CA3AC6" w:rsidRPr="00B53FFB">
        <w:rPr>
          <w:sz w:val="22"/>
          <w:szCs w:val="22"/>
        </w:rPr>
        <w:t xml:space="preserve">Chart </w:t>
      </w:r>
      <w:r w:rsidR="00CA3AC6">
        <w:rPr>
          <w:noProof/>
          <w:sz w:val="22"/>
          <w:szCs w:val="22"/>
        </w:rPr>
        <w:t>37</w:t>
      </w:r>
      <w:r w:rsidR="005B380F">
        <w:fldChar w:fldCharType="end"/>
      </w:r>
      <w:r w:rsidRPr="00B53FFB">
        <w:rPr>
          <w:sz w:val="22"/>
          <w:szCs w:val="22"/>
        </w:rPr>
        <w:t xml:space="preserve">.  EBITDA minus CAPEX per subscriber data for selected service providers are presented in </w:t>
      </w:r>
      <w:r w:rsidR="005B380F">
        <w:fldChar w:fldCharType="begin"/>
      </w:r>
      <w:r w:rsidR="005B380F">
        <w:instrText xml:space="preserve"> REF _Ref277171957 \h  \* MERGEFORMAT </w:instrText>
      </w:r>
      <w:r w:rsidR="005B380F">
        <w:fldChar w:fldCharType="separate"/>
      </w:r>
      <w:r w:rsidR="00CA3AC6" w:rsidRPr="00B53FFB">
        <w:rPr>
          <w:sz w:val="22"/>
          <w:szCs w:val="22"/>
        </w:rPr>
        <w:t xml:space="preserve">Table </w:t>
      </w:r>
      <w:r w:rsidR="00CA3AC6">
        <w:rPr>
          <w:sz w:val="22"/>
          <w:szCs w:val="22"/>
        </w:rPr>
        <w:t>42</w:t>
      </w:r>
      <w:r w:rsidR="005B380F">
        <w:fldChar w:fldCharType="end"/>
      </w:r>
      <w:r w:rsidRPr="00B53FFB">
        <w:rPr>
          <w:sz w:val="22"/>
          <w:szCs w:val="22"/>
        </w:rPr>
        <w:t xml:space="preserve">.  Between 2006 and 2011, the EBITDA minus CAPEX per subscriber for Sprint Nextel declined each year.  The EBITDA minus CAPEX per subscriber of AT&amp;T and Verizon Wireless have decreased relative to 2009, but are above the levels of Sprint Nextel and T-Mobile.  ARPU, EBITDA, and EBITDA minus CAPEX are presented together in </w:t>
      </w:r>
      <w:r w:rsidR="00951E9B">
        <w:fldChar w:fldCharType="begin"/>
      </w:r>
      <w:r w:rsidR="00951E9B">
        <w:instrText xml:space="preserve"> REF _Ref258001410  \* MERGEFORMAT </w:instrText>
      </w:r>
      <w:r w:rsidR="00951E9B">
        <w:fldChar w:fldCharType="separate"/>
      </w:r>
      <w:r w:rsidR="00CA3AC6" w:rsidRPr="00B53FFB">
        <w:rPr>
          <w:sz w:val="22"/>
          <w:szCs w:val="22"/>
        </w:rPr>
        <w:t xml:space="preserve">Chart </w:t>
      </w:r>
      <w:r w:rsidR="00CA3AC6">
        <w:rPr>
          <w:noProof/>
          <w:sz w:val="22"/>
          <w:szCs w:val="22"/>
        </w:rPr>
        <w:t>37</w:t>
      </w:r>
      <w:r w:rsidR="00951E9B">
        <w:rPr>
          <w:noProof/>
          <w:sz w:val="22"/>
          <w:szCs w:val="22"/>
        </w:rPr>
        <w:fldChar w:fldCharType="end"/>
      </w:r>
      <w:r w:rsidRPr="00B53FFB">
        <w:rPr>
          <w:sz w:val="22"/>
          <w:szCs w:val="22"/>
        </w:rPr>
        <w:t xml:space="preserve">.  </w:t>
      </w:r>
    </w:p>
    <w:p w:rsidR="004A147C" w:rsidRPr="00B53FFB" w:rsidRDefault="004A147C" w:rsidP="00CE5850">
      <w:pPr>
        <w:pStyle w:val="ParaNum"/>
        <w:tabs>
          <w:tab w:val="clear" w:pos="1440"/>
        </w:tabs>
        <w:ind w:firstLine="0"/>
        <w:jc w:val="center"/>
        <w:rPr>
          <w:b/>
          <w:sz w:val="22"/>
          <w:szCs w:val="22"/>
        </w:rPr>
      </w:pPr>
      <w:bookmarkStart w:id="4109" w:name="_Ref259443381"/>
      <w:r w:rsidRPr="00B53FFB">
        <w:rPr>
          <w:b/>
          <w:sz w:val="22"/>
          <w:szCs w:val="22"/>
        </w:rPr>
        <w:t xml:space="preserve">Chart </w:t>
      </w:r>
      <w:r w:rsidR="0007014B" w:rsidRPr="00B53FFB">
        <w:rPr>
          <w:b/>
          <w:sz w:val="22"/>
          <w:szCs w:val="22"/>
        </w:rPr>
        <w:fldChar w:fldCharType="begin"/>
      </w:r>
      <w:r w:rsidRPr="00B53FFB">
        <w:rPr>
          <w:b/>
          <w:sz w:val="22"/>
          <w:szCs w:val="22"/>
        </w:rPr>
        <w:instrText xml:space="preserve"> SEQ Chart \* ARABIC </w:instrText>
      </w:r>
      <w:r w:rsidR="0007014B" w:rsidRPr="00B53FFB">
        <w:rPr>
          <w:b/>
          <w:sz w:val="22"/>
          <w:szCs w:val="22"/>
        </w:rPr>
        <w:fldChar w:fldCharType="separate"/>
      </w:r>
      <w:r w:rsidR="00CA3AC6">
        <w:rPr>
          <w:b/>
          <w:noProof/>
          <w:sz w:val="22"/>
          <w:szCs w:val="22"/>
        </w:rPr>
        <w:t>36</w:t>
      </w:r>
      <w:r w:rsidR="0007014B" w:rsidRPr="00B53FFB">
        <w:rPr>
          <w:b/>
          <w:sz w:val="22"/>
          <w:szCs w:val="22"/>
        </w:rPr>
        <w:fldChar w:fldCharType="end"/>
      </w:r>
      <w:bookmarkEnd w:id="4108"/>
      <w:bookmarkEnd w:id="4109"/>
      <w:r w:rsidRPr="00B53FFB">
        <w:rPr>
          <w:b/>
          <w:sz w:val="22"/>
          <w:szCs w:val="22"/>
        </w:rPr>
        <w:br/>
        <w:t>EBITDA per Customer (Selected Providers), 2006-2011</w:t>
      </w:r>
      <w:r w:rsidRPr="00B53FFB">
        <w:rPr>
          <w:rStyle w:val="FootnoteReference"/>
          <w:szCs w:val="22"/>
        </w:rPr>
        <w:footnoteReference w:id="875"/>
      </w:r>
    </w:p>
    <w:p w:rsidR="004A147C" w:rsidRPr="00B53FFB" w:rsidRDefault="00C81B24" w:rsidP="00CE5850">
      <w:pPr>
        <w:pStyle w:val="ParaNum"/>
        <w:tabs>
          <w:tab w:val="clear" w:pos="1440"/>
        </w:tabs>
        <w:ind w:firstLine="0"/>
        <w:jc w:val="center"/>
        <w:rPr>
          <w:sz w:val="22"/>
          <w:szCs w:val="22"/>
        </w:rPr>
      </w:pPr>
      <w:r>
        <w:rPr>
          <w:noProof/>
          <w:sz w:val="22"/>
          <w:szCs w:val="22"/>
        </w:rPr>
        <w:drawing>
          <wp:inline distT="0" distB="0" distL="0" distR="0" wp14:anchorId="0AA5C2D1" wp14:editId="142F8553">
            <wp:extent cx="5514975" cy="3638550"/>
            <wp:effectExtent l="0" t="0" r="9525"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514975" cy="3638550"/>
                    </a:xfrm>
                    <a:prstGeom prst="rect">
                      <a:avLst/>
                    </a:prstGeom>
                    <a:noFill/>
                    <a:ln>
                      <a:noFill/>
                    </a:ln>
                  </pic:spPr>
                </pic:pic>
              </a:graphicData>
            </a:graphic>
          </wp:inline>
        </w:drawing>
      </w:r>
    </w:p>
    <w:p w:rsidR="004A147C" w:rsidRPr="00B53FFB" w:rsidRDefault="004A147C" w:rsidP="00CE5850">
      <w:pPr>
        <w:pStyle w:val="Caption"/>
        <w:widowControl w:val="0"/>
        <w:jc w:val="center"/>
        <w:rPr>
          <w:sz w:val="22"/>
          <w:szCs w:val="22"/>
        </w:rPr>
      </w:pPr>
      <w:bookmarkStart w:id="4110" w:name="_Ref277171957"/>
      <w:r w:rsidRPr="00B53FFB">
        <w:rPr>
          <w:sz w:val="22"/>
          <w:szCs w:val="22"/>
        </w:rPr>
        <w:t xml:space="preserve">Table </w:t>
      </w:r>
      <w:r w:rsidR="0007014B" w:rsidRPr="00B53FFB">
        <w:rPr>
          <w:sz w:val="22"/>
          <w:szCs w:val="22"/>
        </w:rPr>
        <w:fldChar w:fldCharType="begin"/>
      </w:r>
      <w:r w:rsidRPr="00B53FFB">
        <w:rPr>
          <w:sz w:val="22"/>
          <w:szCs w:val="22"/>
        </w:rPr>
        <w:instrText xml:space="preserve"> SEQ Table \* ARABIC </w:instrText>
      </w:r>
      <w:r w:rsidR="0007014B" w:rsidRPr="00B53FFB">
        <w:rPr>
          <w:sz w:val="22"/>
          <w:szCs w:val="22"/>
        </w:rPr>
        <w:fldChar w:fldCharType="separate"/>
      </w:r>
      <w:r w:rsidR="00CA3AC6">
        <w:rPr>
          <w:noProof/>
          <w:sz w:val="22"/>
          <w:szCs w:val="22"/>
        </w:rPr>
        <w:t>42</w:t>
      </w:r>
      <w:r w:rsidR="0007014B" w:rsidRPr="00B53FFB">
        <w:rPr>
          <w:sz w:val="22"/>
          <w:szCs w:val="22"/>
        </w:rPr>
        <w:fldChar w:fldCharType="end"/>
      </w:r>
      <w:bookmarkEnd w:id="4110"/>
      <w:r w:rsidRPr="00B53FFB">
        <w:rPr>
          <w:sz w:val="22"/>
          <w:szCs w:val="22"/>
        </w:rPr>
        <w:br/>
        <w:t>EBITDA minus CAPEX per Customer per Month (Selected Providers), 2006-2011</w:t>
      </w:r>
      <w:r w:rsidRPr="00B53FFB">
        <w:rPr>
          <w:rStyle w:val="FootnoteReference"/>
          <w:b w:val="0"/>
          <w:szCs w:val="22"/>
        </w:rPr>
        <w:footnoteReference w:id="876"/>
      </w:r>
    </w:p>
    <w:tbl>
      <w:tblPr>
        <w:tblW w:w="8920" w:type="dxa"/>
        <w:tblInd w:w="98" w:type="dxa"/>
        <w:tblLook w:val="00A0" w:firstRow="1" w:lastRow="0" w:firstColumn="1" w:lastColumn="0" w:noHBand="0" w:noVBand="0"/>
      </w:tblPr>
      <w:tblGrid>
        <w:gridCol w:w="3160"/>
        <w:gridCol w:w="960"/>
        <w:gridCol w:w="960"/>
        <w:gridCol w:w="960"/>
        <w:gridCol w:w="960"/>
        <w:gridCol w:w="960"/>
        <w:gridCol w:w="960"/>
      </w:tblGrid>
      <w:tr w:rsidR="004A147C" w:rsidRPr="00B53FFB" w:rsidTr="00D626F5">
        <w:trPr>
          <w:trHeight w:val="315"/>
        </w:trPr>
        <w:tc>
          <w:tcPr>
            <w:tcW w:w="3160" w:type="dxa"/>
            <w:tcBorders>
              <w:top w:val="single" w:sz="8" w:space="0" w:color="auto"/>
              <w:left w:val="single" w:sz="8" w:space="0" w:color="auto"/>
              <w:bottom w:val="single" w:sz="8" w:space="0" w:color="auto"/>
              <w:right w:val="single" w:sz="8" w:space="0" w:color="auto"/>
            </w:tcBorders>
            <w:vAlign w:val="center"/>
          </w:tcPr>
          <w:p w:rsidR="004A147C" w:rsidRPr="00B53FFB" w:rsidRDefault="004A147C" w:rsidP="00CE5850">
            <w:pPr>
              <w:rPr>
                <w:b/>
                <w:kern w:val="0"/>
                <w:szCs w:val="22"/>
              </w:rPr>
            </w:pPr>
            <w:r w:rsidRPr="00B53FFB">
              <w:rPr>
                <w:b/>
                <w:kern w:val="0"/>
                <w:szCs w:val="22"/>
              </w:rPr>
              <w:t xml:space="preserve"> Provider </w:t>
            </w:r>
          </w:p>
        </w:tc>
        <w:tc>
          <w:tcPr>
            <w:tcW w:w="960" w:type="dxa"/>
            <w:tcBorders>
              <w:top w:val="single" w:sz="8" w:space="0" w:color="auto"/>
              <w:left w:val="nil"/>
              <w:bottom w:val="single" w:sz="8" w:space="0" w:color="auto"/>
              <w:right w:val="single" w:sz="8" w:space="0" w:color="auto"/>
            </w:tcBorders>
            <w:vAlign w:val="center"/>
          </w:tcPr>
          <w:p w:rsidR="004A147C" w:rsidRPr="00B53FFB" w:rsidRDefault="004A147C" w:rsidP="00CE5850">
            <w:pPr>
              <w:jc w:val="center"/>
              <w:rPr>
                <w:b/>
                <w:bCs/>
                <w:kern w:val="0"/>
                <w:szCs w:val="22"/>
              </w:rPr>
            </w:pPr>
            <w:r w:rsidRPr="00B53FFB">
              <w:rPr>
                <w:b/>
                <w:bCs/>
                <w:kern w:val="0"/>
                <w:szCs w:val="22"/>
              </w:rPr>
              <w:t>2006</w:t>
            </w:r>
          </w:p>
        </w:tc>
        <w:tc>
          <w:tcPr>
            <w:tcW w:w="960" w:type="dxa"/>
            <w:tcBorders>
              <w:top w:val="single" w:sz="8" w:space="0" w:color="auto"/>
              <w:left w:val="nil"/>
              <w:bottom w:val="single" w:sz="8" w:space="0" w:color="auto"/>
              <w:right w:val="single" w:sz="8" w:space="0" w:color="auto"/>
            </w:tcBorders>
            <w:vAlign w:val="center"/>
          </w:tcPr>
          <w:p w:rsidR="004A147C" w:rsidRPr="00B53FFB" w:rsidRDefault="004A147C" w:rsidP="00CE5850">
            <w:pPr>
              <w:jc w:val="center"/>
              <w:rPr>
                <w:b/>
                <w:bCs/>
                <w:kern w:val="0"/>
                <w:szCs w:val="22"/>
              </w:rPr>
            </w:pPr>
            <w:r w:rsidRPr="00B53FFB">
              <w:rPr>
                <w:b/>
                <w:bCs/>
                <w:kern w:val="0"/>
                <w:szCs w:val="22"/>
              </w:rPr>
              <w:t>2007</w:t>
            </w:r>
          </w:p>
        </w:tc>
        <w:tc>
          <w:tcPr>
            <w:tcW w:w="960" w:type="dxa"/>
            <w:tcBorders>
              <w:top w:val="single" w:sz="8" w:space="0" w:color="auto"/>
              <w:left w:val="nil"/>
              <w:bottom w:val="single" w:sz="8" w:space="0" w:color="auto"/>
              <w:right w:val="single" w:sz="8" w:space="0" w:color="auto"/>
            </w:tcBorders>
            <w:vAlign w:val="center"/>
          </w:tcPr>
          <w:p w:rsidR="004A147C" w:rsidRPr="00B53FFB" w:rsidRDefault="004A147C" w:rsidP="00CE5850">
            <w:pPr>
              <w:jc w:val="center"/>
              <w:rPr>
                <w:b/>
                <w:bCs/>
                <w:kern w:val="0"/>
                <w:szCs w:val="22"/>
              </w:rPr>
            </w:pPr>
            <w:r w:rsidRPr="00B53FFB">
              <w:rPr>
                <w:b/>
                <w:bCs/>
                <w:kern w:val="0"/>
                <w:szCs w:val="22"/>
              </w:rPr>
              <w:t>2008</w:t>
            </w:r>
          </w:p>
        </w:tc>
        <w:tc>
          <w:tcPr>
            <w:tcW w:w="960" w:type="dxa"/>
            <w:tcBorders>
              <w:top w:val="single" w:sz="8" w:space="0" w:color="auto"/>
              <w:left w:val="nil"/>
              <w:bottom w:val="single" w:sz="8" w:space="0" w:color="auto"/>
              <w:right w:val="single" w:sz="8" w:space="0" w:color="auto"/>
            </w:tcBorders>
            <w:vAlign w:val="center"/>
          </w:tcPr>
          <w:p w:rsidR="004A147C" w:rsidRPr="00B53FFB" w:rsidRDefault="004A147C" w:rsidP="00CE5850">
            <w:pPr>
              <w:jc w:val="center"/>
              <w:rPr>
                <w:b/>
                <w:bCs/>
                <w:kern w:val="0"/>
                <w:szCs w:val="22"/>
              </w:rPr>
            </w:pPr>
            <w:r w:rsidRPr="00B53FFB">
              <w:rPr>
                <w:b/>
                <w:bCs/>
                <w:kern w:val="0"/>
                <w:szCs w:val="22"/>
              </w:rPr>
              <w:t>2009</w:t>
            </w:r>
          </w:p>
        </w:tc>
        <w:tc>
          <w:tcPr>
            <w:tcW w:w="960" w:type="dxa"/>
            <w:tcBorders>
              <w:top w:val="single" w:sz="8" w:space="0" w:color="auto"/>
              <w:left w:val="nil"/>
              <w:bottom w:val="single" w:sz="8" w:space="0" w:color="auto"/>
              <w:right w:val="single" w:sz="8" w:space="0" w:color="auto"/>
            </w:tcBorders>
            <w:vAlign w:val="center"/>
          </w:tcPr>
          <w:p w:rsidR="004A147C" w:rsidRPr="00B53FFB" w:rsidRDefault="004A147C" w:rsidP="00CE5850">
            <w:pPr>
              <w:jc w:val="center"/>
              <w:rPr>
                <w:b/>
                <w:bCs/>
                <w:kern w:val="0"/>
                <w:szCs w:val="22"/>
              </w:rPr>
            </w:pPr>
            <w:r w:rsidRPr="00B53FFB">
              <w:rPr>
                <w:b/>
                <w:bCs/>
                <w:kern w:val="0"/>
                <w:szCs w:val="22"/>
              </w:rPr>
              <w:t>2010</w:t>
            </w:r>
          </w:p>
        </w:tc>
        <w:tc>
          <w:tcPr>
            <w:tcW w:w="960" w:type="dxa"/>
            <w:tcBorders>
              <w:top w:val="single" w:sz="8" w:space="0" w:color="auto"/>
              <w:left w:val="nil"/>
              <w:bottom w:val="single" w:sz="8" w:space="0" w:color="auto"/>
              <w:right w:val="single" w:sz="8" w:space="0" w:color="auto"/>
            </w:tcBorders>
            <w:vAlign w:val="center"/>
          </w:tcPr>
          <w:p w:rsidR="004A147C" w:rsidRPr="00B53FFB" w:rsidRDefault="004A147C" w:rsidP="00CE5850">
            <w:pPr>
              <w:jc w:val="center"/>
              <w:rPr>
                <w:b/>
                <w:bCs/>
                <w:kern w:val="0"/>
                <w:szCs w:val="22"/>
              </w:rPr>
            </w:pPr>
            <w:r w:rsidRPr="00B53FFB">
              <w:rPr>
                <w:b/>
                <w:bCs/>
                <w:kern w:val="0"/>
                <w:szCs w:val="22"/>
              </w:rPr>
              <w:t>2011</w:t>
            </w:r>
          </w:p>
        </w:tc>
      </w:tr>
      <w:tr w:rsidR="004A147C" w:rsidRPr="00B53FFB" w:rsidTr="00D626F5">
        <w:trPr>
          <w:trHeight w:val="315"/>
        </w:trPr>
        <w:tc>
          <w:tcPr>
            <w:tcW w:w="3160" w:type="dxa"/>
            <w:tcBorders>
              <w:top w:val="nil"/>
              <w:left w:val="single" w:sz="8" w:space="0" w:color="auto"/>
              <w:bottom w:val="single" w:sz="8" w:space="0" w:color="auto"/>
              <w:right w:val="single" w:sz="8" w:space="0" w:color="auto"/>
            </w:tcBorders>
            <w:vAlign w:val="center"/>
          </w:tcPr>
          <w:p w:rsidR="004A147C" w:rsidRPr="00B53FFB" w:rsidRDefault="004A147C" w:rsidP="00CE5850">
            <w:pPr>
              <w:rPr>
                <w:kern w:val="0"/>
                <w:szCs w:val="22"/>
              </w:rPr>
            </w:pPr>
            <w:r w:rsidRPr="00B53FFB">
              <w:rPr>
                <w:kern w:val="0"/>
                <w:szCs w:val="22"/>
              </w:rPr>
              <w:t>Verizon Wireless</w:t>
            </w:r>
          </w:p>
        </w:tc>
        <w:tc>
          <w:tcPr>
            <w:tcW w:w="960" w:type="dxa"/>
            <w:tcBorders>
              <w:top w:val="nil"/>
              <w:left w:val="nil"/>
              <w:bottom w:val="single" w:sz="8" w:space="0" w:color="auto"/>
              <w:right w:val="single" w:sz="8" w:space="0" w:color="auto"/>
            </w:tcBorders>
            <w:vAlign w:val="center"/>
          </w:tcPr>
          <w:p w:rsidR="004A147C" w:rsidRPr="00B53FFB" w:rsidRDefault="004A147C" w:rsidP="00CE5850">
            <w:pPr>
              <w:jc w:val="right"/>
              <w:rPr>
                <w:kern w:val="0"/>
                <w:szCs w:val="22"/>
              </w:rPr>
            </w:pPr>
            <w:r w:rsidRPr="00B53FFB">
              <w:rPr>
                <w:kern w:val="0"/>
                <w:szCs w:val="22"/>
              </w:rPr>
              <w:t xml:space="preserve">$11.77 </w:t>
            </w:r>
          </w:p>
        </w:tc>
        <w:tc>
          <w:tcPr>
            <w:tcW w:w="960" w:type="dxa"/>
            <w:tcBorders>
              <w:top w:val="nil"/>
              <w:left w:val="nil"/>
              <w:bottom w:val="single" w:sz="8" w:space="0" w:color="auto"/>
              <w:right w:val="single" w:sz="8" w:space="0" w:color="auto"/>
            </w:tcBorders>
            <w:vAlign w:val="center"/>
          </w:tcPr>
          <w:p w:rsidR="004A147C" w:rsidRPr="00B53FFB" w:rsidRDefault="004A147C" w:rsidP="00CE5850">
            <w:pPr>
              <w:jc w:val="right"/>
              <w:rPr>
                <w:kern w:val="0"/>
                <w:szCs w:val="22"/>
              </w:rPr>
            </w:pPr>
            <w:r w:rsidRPr="00B53FFB">
              <w:rPr>
                <w:kern w:val="0"/>
                <w:szCs w:val="22"/>
              </w:rPr>
              <w:t xml:space="preserve">$13.83 </w:t>
            </w:r>
          </w:p>
        </w:tc>
        <w:tc>
          <w:tcPr>
            <w:tcW w:w="960" w:type="dxa"/>
            <w:tcBorders>
              <w:top w:val="nil"/>
              <w:left w:val="nil"/>
              <w:bottom w:val="single" w:sz="8" w:space="0" w:color="auto"/>
              <w:right w:val="single" w:sz="8" w:space="0" w:color="auto"/>
            </w:tcBorders>
            <w:vAlign w:val="center"/>
          </w:tcPr>
          <w:p w:rsidR="004A147C" w:rsidRPr="00B53FFB" w:rsidRDefault="004A147C" w:rsidP="00CE5850">
            <w:pPr>
              <w:jc w:val="right"/>
              <w:rPr>
                <w:kern w:val="0"/>
                <w:szCs w:val="22"/>
              </w:rPr>
            </w:pPr>
            <w:r w:rsidRPr="00B53FFB">
              <w:rPr>
                <w:kern w:val="0"/>
                <w:szCs w:val="22"/>
              </w:rPr>
              <w:t xml:space="preserve">$16.52 </w:t>
            </w:r>
          </w:p>
        </w:tc>
        <w:tc>
          <w:tcPr>
            <w:tcW w:w="960" w:type="dxa"/>
            <w:tcBorders>
              <w:top w:val="nil"/>
              <w:left w:val="nil"/>
              <w:bottom w:val="single" w:sz="8" w:space="0" w:color="auto"/>
              <w:right w:val="single" w:sz="8" w:space="0" w:color="auto"/>
            </w:tcBorders>
            <w:vAlign w:val="center"/>
          </w:tcPr>
          <w:p w:rsidR="004A147C" w:rsidRPr="00B53FFB" w:rsidRDefault="004A147C" w:rsidP="00CE5850">
            <w:pPr>
              <w:jc w:val="right"/>
              <w:rPr>
                <w:kern w:val="0"/>
                <w:szCs w:val="22"/>
              </w:rPr>
            </w:pPr>
            <w:r w:rsidRPr="00B53FFB">
              <w:rPr>
                <w:kern w:val="0"/>
                <w:szCs w:val="22"/>
              </w:rPr>
              <w:t xml:space="preserve">$16.34 </w:t>
            </w:r>
          </w:p>
        </w:tc>
        <w:tc>
          <w:tcPr>
            <w:tcW w:w="960" w:type="dxa"/>
            <w:tcBorders>
              <w:top w:val="nil"/>
              <w:left w:val="nil"/>
              <w:bottom w:val="single" w:sz="8" w:space="0" w:color="auto"/>
              <w:right w:val="single" w:sz="8" w:space="0" w:color="auto"/>
            </w:tcBorders>
            <w:vAlign w:val="center"/>
          </w:tcPr>
          <w:p w:rsidR="004A147C" w:rsidRPr="00B53FFB" w:rsidRDefault="004A147C" w:rsidP="00CE5850">
            <w:pPr>
              <w:jc w:val="right"/>
              <w:rPr>
                <w:kern w:val="0"/>
                <w:szCs w:val="22"/>
              </w:rPr>
            </w:pPr>
            <w:r w:rsidRPr="00B53FFB">
              <w:rPr>
                <w:kern w:val="0"/>
                <w:szCs w:val="22"/>
              </w:rPr>
              <w:t xml:space="preserve">$14.77 </w:t>
            </w:r>
          </w:p>
        </w:tc>
        <w:tc>
          <w:tcPr>
            <w:tcW w:w="960" w:type="dxa"/>
            <w:tcBorders>
              <w:top w:val="nil"/>
              <w:left w:val="nil"/>
              <w:bottom w:val="single" w:sz="8" w:space="0" w:color="auto"/>
              <w:right w:val="single" w:sz="8" w:space="0" w:color="auto"/>
            </w:tcBorders>
            <w:vAlign w:val="center"/>
          </w:tcPr>
          <w:p w:rsidR="004A147C" w:rsidRPr="00B53FFB" w:rsidRDefault="004A147C" w:rsidP="00CE5850">
            <w:pPr>
              <w:jc w:val="right"/>
              <w:rPr>
                <w:kern w:val="0"/>
                <w:szCs w:val="22"/>
              </w:rPr>
            </w:pPr>
            <w:r w:rsidRPr="00B53FFB">
              <w:rPr>
                <w:kern w:val="0"/>
                <w:szCs w:val="22"/>
              </w:rPr>
              <w:t xml:space="preserve">$13.79 </w:t>
            </w:r>
          </w:p>
        </w:tc>
      </w:tr>
      <w:tr w:rsidR="004A147C" w:rsidRPr="00B53FFB" w:rsidTr="00D626F5">
        <w:trPr>
          <w:trHeight w:val="315"/>
        </w:trPr>
        <w:tc>
          <w:tcPr>
            <w:tcW w:w="3160" w:type="dxa"/>
            <w:tcBorders>
              <w:top w:val="nil"/>
              <w:left w:val="single" w:sz="8" w:space="0" w:color="auto"/>
              <w:bottom w:val="single" w:sz="8" w:space="0" w:color="auto"/>
              <w:right w:val="single" w:sz="8" w:space="0" w:color="auto"/>
            </w:tcBorders>
            <w:vAlign w:val="center"/>
          </w:tcPr>
          <w:p w:rsidR="004A147C" w:rsidRPr="00B53FFB" w:rsidRDefault="004A147C" w:rsidP="00CE5850">
            <w:pPr>
              <w:rPr>
                <w:kern w:val="0"/>
                <w:szCs w:val="22"/>
              </w:rPr>
            </w:pPr>
            <w:r w:rsidRPr="00B53FFB">
              <w:rPr>
                <w:kern w:val="0"/>
                <w:szCs w:val="22"/>
              </w:rPr>
              <w:t>AT&amp;T</w:t>
            </w:r>
          </w:p>
        </w:tc>
        <w:tc>
          <w:tcPr>
            <w:tcW w:w="960" w:type="dxa"/>
            <w:tcBorders>
              <w:top w:val="nil"/>
              <w:left w:val="nil"/>
              <w:bottom w:val="single" w:sz="8" w:space="0" w:color="auto"/>
              <w:right w:val="single" w:sz="8" w:space="0" w:color="auto"/>
            </w:tcBorders>
            <w:vAlign w:val="center"/>
          </w:tcPr>
          <w:p w:rsidR="004A147C" w:rsidRPr="00B53FFB" w:rsidRDefault="004A147C" w:rsidP="00CE5850">
            <w:pPr>
              <w:jc w:val="right"/>
              <w:rPr>
                <w:kern w:val="0"/>
                <w:szCs w:val="22"/>
              </w:rPr>
            </w:pPr>
            <w:r w:rsidRPr="00B53FFB">
              <w:rPr>
                <w:kern w:val="0"/>
                <w:szCs w:val="22"/>
              </w:rPr>
              <w:t xml:space="preserve">$5.91 </w:t>
            </w:r>
          </w:p>
        </w:tc>
        <w:tc>
          <w:tcPr>
            <w:tcW w:w="960" w:type="dxa"/>
            <w:tcBorders>
              <w:top w:val="nil"/>
              <w:left w:val="nil"/>
              <w:bottom w:val="single" w:sz="8" w:space="0" w:color="auto"/>
              <w:right w:val="single" w:sz="8" w:space="0" w:color="auto"/>
            </w:tcBorders>
            <w:vAlign w:val="center"/>
          </w:tcPr>
          <w:p w:rsidR="004A147C" w:rsidRPr="00B53FFB" w:rsidRDefault="004A147C" w:rsidP="00CE5850">
            <w:pPr>
              <w:jc w:val="right"/>
              <w:rPr>
                <w:kern w:val="0"/>
                <w:szCs w:val="22"/>
              </w:rPr>
            </w:pPr>
            <w:r w:rsidRPr="00B53FFB">
              <w:rPr>
                <w:kern w:val="0"/>
                <w:szCs w:val="22"/>
              </w:rPr>
              <w:t xml:space="preserve">$14.00 </w:t>
            </w:r>
          </w:p>
        </w:tc>
        <w:tc>
          <w:tcPr>
            <w:tcW w:w="960" w:type="dxa"/>
            <w:tcBorders>
              <w:top w:val="nil"/>
              <w:left w:val="nil"/>
              <w:bottom w:val="single" w:sz="8" w:space="0" w:color="auto"/>
              <w:right w:val="single" w:sz="8" w:space="0" w:color="auto"/>
            </w:tcBorders>
            <w:vAlign w:val="center"/>
          </w:tcPr>
          <w:p w:rsidR="004A147C" w:rsidRPr="00B53FFB" w:rsidRDefault="004A147C" w:rsidP="00CE5850">
            <w:pPr>
              <w:jc w:val="right"/>
              <w:rPr>
                <w:kern w:val="0"/>
                <w:szCs w:val="22"/>
              </w:rPr>
            </w:pPr>
            <w:r w:rsidRPr="00B53FFB">
              <w:rPr>
                <w:kern w:val="0"/>
                <w:szCs w:val="22"/>
              </w:rPr>
              <w:t xml:space="preserve">$12.38 </w:t>
            </w:r>
          </w:p>
        </w:tc>
        <w:tc>
          <w:tcPr>
            <w:tcW w:w="960" w:type="dxa"/>
            <w:tcBorders>
              <w:top w:val="nil"/>
              <w:left w:val="nil"/>
              <w:bottom w:val="single" w:sz="8" w:space="0" w:color="auto"/>
              <w:right w:val="single" w:sz="8" w:space="0" w:color="auto"/>
            </w:tcBorders>
            <w:vAlign w:val="center"/>
          </w:tcPr>
          <w:p w:rsidR="004A147C" w:rsidRPr="00B53FFB" w:rsidRDefault="004A147C" w:rsidP="00CE5850">
            <w:pPr>
              <w:jc w:val="right"/>
              <w:rPr>
                <w:kern w:val="0"/>
                <w:szCs w:val="22"/>
              </w:rPr>
            </w:pPr>
            <w:r w:rsidRPr="00B53FFB">
              <w:rPr>
                <w:kern w:val="0"/>
                <w:szCs w:val="22"/>
              </w:rPr>
              <w:t xml:space="preserve">$14.47 </w:t>
            </w:r>
          </w:p>
        </w:tc>
        <w:tc>
          <w:tcPr>
            <w:tcW w:w="960" w:type="dxa"/>
            <w:tcBorders>
              <w:top w:val="nil"/>
              <w:left w:val="nil"/>
              <w:bottom w:val="single" w:sz="8" w:space="0" w:color="auto"/>
              <w:right w:val="single" w:sz="8" w:space="0" w:color="auto"/>
            </w:tcBorders>
            <w:vAlign w:val="center"/>
          </w:tcPr>
          <w:p w:rsidR="004A147C" w:rsidRPr="00B53FFB" w:rsidRDefault="004A147C" w:rsidP="00CE5850">
            <w:pPr>
              <w:jc w:val="right"/>
              <w:rPr>
                <w:kern w:val="0"/>
                <w:szCs w:val="22"/>
              </w:rPr>
            </w:pPr>
            <w:r w:rsidRPr="00B53FFB">
              <w:rPr>
                <w:kern w:val="0"/>
                <w:szCs w:val="22"/>
              </w:rPr>
              <w:t xml:space="preserve">$11.67 </w:t>
            </w:r>
          </w:p>
        </w:tc>
        <w:tc>
          <w:tcPr>
            <w:tcW w:w="960" w:type="dxa"/>
            <w:tcBorders>
              <w:top w:val="nil"/>
              <w:left w:val="nil"/>
              <w:bottom w:val="single" w:sz="8" w:space="0" w:color="auto"/>
              <w:right w:val="single" w:sz="8" w:space="0" w:color="auto"/>
            </w:tcBorders>
            <w:vAlign w:val="center"/>
          </w:tcPr>
          <w:p w:rsidR="004A147C" w:rsidRPr="00B53FFB" w:rsidRDefault="004A147C" w:rsidP="00CE5850">
            <w:pPr>
              <w:jc w:val="right"/>
              <w:rPr>
                <w:kern w:val="0"/>
                <w:szCs w:val="22"/>
              </w:rPr>
            </w:pPr>
            <w:r w:rsidRPr="00B53FFB">
              <w:rPr>
                <w:kern w:val="0"/>
                <w:szCs w:val="22"/>
              </w:rPr>
              <w:t xml:space="preserve">$9.98 </w:t>
            </w:r>
          </w:p>
        </w:tc>
      </w:tr>
      <w:tr w:rsidR="004A147C" w:rsidRPr="00B53FFB" w:rsidTr="00D626F5">
        <w:trPr>
          <w:trHeight w:val="315"/>
        </w:trPr>
        <w:tc>
          <w:tcPr>
            <w:tcW w:w="3160" w:type="dxa"/>
            <w:tcBorders>
              <w:top w:val="nil"/>
              <w:left w:val="single" w:sz="8" w:space="0" w:color="auto"/>
              <w:bottom w:val="single" w:sz="8" w:space="0" w:color="auto"/>
              <w:right w:val="single" w:sz="8" w:space="0" w:color="auto"/>
            </w:tcBorders>
            <w:vAlign w:val="center"/>
          </w:tcPr>
          <w:p w:rsidR="004A147C" w:rsidRPr="00B53FFB" w:rsidRDefault="004A147C" w:rsidP="00CE5850">
            <w:pPr>
              <w:rPr>
                <w:kern w:val="0"/>
                <w:szCs w:val="22"/>
              </w:rPr>
            </w:pPr>
            <w:r w:rsidRPr="00B53FFB">
              <w:rPr>
                <w:kern w:val="0"/>
                <w:szCs w:val="22"/>
              </w:rPr>
              <w:t>Sprint Nextel</w:t>
            </w:r>
          </w:p>
        </w:tc>
        <w:tc>
          <w:tcPr>
            <w:tcW w:w="960" w:type="dxa"/>
            <w:tcBorders>
              <w:top w:val="nil"/>
              <w:left w:val="nil"/>
              <w:bottom w:val="single" w:sz="8" w:space="0" w:color="auto"/>
              <w:right w:val="single" w:sz="8" w:space="0" w:color="auto"/>
            </w:tcBorders>
            <w:vAlign w:val="center"/>
          </w:tcPr>
          <w:p w:rsidR="004A147C" w:rsidRPr="00B53FFB" w:rsidRDefault="004A147C" w:rsidP="00CE5850">
            <w:pPr>
              <w:jc w:val="right"/>
              <w:rPr>
                <w:kern w:val="0"/>
                <w:szCs w:val="22"/>
              </w:rPr>
            </w:pPr>
            <w:r w:rsidRPr="00B53FFB">
              <w:rPr>
                <w:kern w:val="0"/>
                <w:szCs w:val="22"/>
              </w:rPr>
              <w:t xml:space="preserve">$9.67 </w:t>
            </w:r>
          </w:p>
        </w:tc>
        <w:tc>
          <w:tcPr>
            <w:tcW w:w="960" w:type="dxa"/>
            <w:tcBorders>
              <w:top w:val="nil"/>
              <w:left w:val="nil"/>
              <w:bottom w:val="single" w:sz="8" w:space="0" w:color="auto"/>
              <w:right w:val="single" w:sz="8" w:space="0" w:color="auto"/>
            </w:tcBorders>
            <w:vAlign w:val="center"/>
          </w:tcPr>
          <w:p w:rsidR="004A147C" w:rsidRPr="00B53FFB" w:rsidRDefault="004A147C" w:rsidP="00CE5850">
            <w:pPr>
              <w:jc w:val="right"/>
              <w:rPr>
                <w:kern w:val="0"/>
                <w:szCs w:val="22"/>
              </w:rPr>
            </w:pPr>
            <w:r w:rsidRPr="00B53FFB">
              <w:rPr>
                <w:kern w:val="0"/>
                <w:szCs w:val="22"/>
              </w:rPr>
              <w:t xml:space="preserve">$7.84 </w:t>
            </w:r>
          </w:p>
        </w:tc>
        <w:tc>
          <w:tcPr>
            <w:tcW w:w="960" w:type="dxa"/>
            <w:tcBorders>
              <w:top w:val="nil"/>
              <w:left w:val="nil"/>
              <w:bottom w:val="single" w:sz="8" w:space="0" w:color="auto"/>
              <w:right w:val="single" w:sz="8" w:space="0" w:color="auto"/>
            </w:tcBorders>
            <w:vAlign w:val="center"/>
          </w:tcPr>
          <w:p w:rsidR="004A147C" w:rsidRPr="00B53FFB" w:rsidRDefault="004A147C" w:rsidP="00CE5850">
            <w:pPr>
              <w:jc w:val="right"/>
              <w:rPr>
                <w:kern w:val="0"/>
                <w:szCs w:val="22"/>
              </w:rPr>
            </w:pPr>
            <w:r w:rsidRPr="00B53FFB">
              <w:rPr>
                <w:kern w:val="0"/>
                <w:szCs w:val="22"/>
              </w:rPr>
              <w:t xml:space="preserve">$8.52 </w:t>
            </w:r>
          </w:p>
        </w:tc>
        <w:tc>
          <w:tcPr>
            <w:tcW w:w="960" w:type="dxa"/>
            <w:tcBorders>
              <w:top w:val="nil"/>
              <w:left w:val="nil"/>
              <w:bottom w:val="single" w:sz="8" w:space="0" w:color="auto"/>
              <w:right w:val="single" w:sz="8" w:space="0" w:color="auto"/>
            </w:tcBorders>
            <w:vAlign w:val="center"/>
          </w:tcPr>
          <w:p w:rsidR="004A147C" w:rsidRPr="00B53FFB" w:rsidRDefault="004A147C" w:rsidP="00CE5850">
            <w:pPr>
              <w:jc w:val="right"/>
              <w:rPr>
                <w:kern w:val="0"/>
                <w:szCs w:val="22"/>
              </w:rPr>
            </w:pPr>
            <w:r w:rsidRPr="00B53FFB">
              <w:rPr>
                <w:kern w:val="0"/>
                <w:szCs w:val="22"/>
              </w:rPr>
              <w:t xml:space="preserve">$7.03 </w:t>
            </w:r>
          </w:p>
        </w:tc>
        <w:tc>
          <w:tcPr>
            <w:tcW w:w="960" w:type="dxa"/>
            <w:tcBorders>
              <w:top w:val="nil"/>
              <w:left w:val="nil"/>
              <w:bottom w:val="single" w:sz="8" w:space="0" w:color="auto"/>
              <w:right w:val="single" w:sz="8" w:space="0" w:color="auto"/>
            </w:tcBorders>
            <w:vAlign w:val="center"/>
          </w:tcPr>
          <w:p w:rsidR="004A147C" w:rsidRPr="00B53FFB" w:rsidRDefault="004A147C" w:rsidP="00CE5850">
            <w:pPr>
              <w:jc w:val="right"/>
              <w:rPr>
                <w:kern w:val="0"/>
                <w:szCs w:val="22"/>
              </w:rPr>
            </w:pPr>
            <w:r w:rsidRPr="00B53FFB">
              <w:rPr>
                <w:kern w:val="0"/>
                <w:szCs w:val="22"/>
              </w:rPr>
              <w:t xml:space="preserve">$5.30 </w:t>
            </w:r>
          </w:p>
        </w:tc>
        <w:tc>
          <w:tcPr>
            <w:tcW w:w="960" w:type="dxa"/>
            <w:tcBorders>
              <w:top w:val="nil"/>
              <w:left w:val="nil"/>
              <w:bottom w:val="single" w:sz="8" w:space="0" w:color="auto"/>
              <w:right w:val="single" w:sz="8" w:space="0" w:color="auto"/>
            </w:tcBorders>
            <w:vAlign w:val="center"/>
          </w:tcPr>
          <w:p w:rsidR="004A147C" w:rsidRPr="00B53FFB" w:rsidRDefault="004A147C" w:rsidP="00CE5850">
            <w:pPr>
              <w:jc w:val="right"/>
              <w:rPr>
                <w:kern w:val="0"/>
                <w:szCs w:val="22"/>
              </w:rPr>
            </w:pPr>
            <w:r w:rsidRPr="00B53FFB">
              <w:rPr>
                <w:kern w:val="0"/>
                <w:szCs w:val="22"/>
              </w:rPr>
              <w:t xml:space="preserve">$2.95 </w:t>
            </w:r>
          </w:p>
        </w:tc>
      </w:tr>
      <w:tr w:rsidR="004A147C" w:rsidRPr="00B53FFB" w:rsidTr="00D626F5">
        <w:trPr>
          <w:trHeight w:val="315"/>
        </w:trPr>
        <w:tc>
          <w:tcPr>
            <w:tcW w:w="3160" w:type="dxa"/>
            <w:tcBorders>
              <w:top w:val="nil"/>
              <w:left w:val="single" w:sz="8" w:space="0" w:color="auto"/>
              <w:bottom w:val="single" w:sz="8" w:space="0" w:color="auto"/>
              <w:right w:val="single" w:sz="8" w:space="0" w:color="auto"/>
            </w:tcBorders>
            <w:vAlign w:val="center"/>
          </w:tcPr>
          <w:p w:rsidR="004A147C" w:rsidRPr="00B53FFB" w:rsidRDefault="004A147C" w:rsidP="00CE5850">
            <w:pPr>
              <w:rPr>
                <w:kern w:val="0"/>
                <w:szCs w:val="22"/>
              </w:rPr>
            </w:pPr>
            <w:r w:rsidRPr="00B53FFB">
              <w:rPr>
                <w:kern w:val="0"/>
                <w:szCs w:val="22"/>
              </w:rPr>
              <w:t>T-Mobile</w:t>
            </w:r>
          </w:p>
        </w:tc>
        <w:tc>
          <w:tcPr>
            <w:tcW w:w="960" w:type="dxa"/>
            <w:tcBorders>
              <w:top w:val="nil"/>
              <w:left w:val="nil"/>
              <w:bottom w:val="single" w:sz="8" w:space="0" w:color="auto"/>
              <w:right w:val="single" w:sz="8" w:space="0" w:color="auto"/>
            </w:tcBorders>
            <w:vAlign w:val="center"/>
          </w:tcPr>
          <w:p w:rsidR="004A147C" w:rsidRPr="00B53FFB" w:rsidRDefault="004A147C" w:rsidP="00CE5850">
            <w:pPr>
              <w:jc w:val="right"/>
              <w:rPr>
                <w:kern w:val="0"/>
                <w:szCs w:val="22"/>
              </w:rPr>
            </w:pPr>
            <w:r w:rsidRPr="00B53FFB">
              <w:rPr>
                <w:kern w:val="0"/>
                <w:szCs w:val="22"/>
              </w:rPr>
              <w:t xml:space="preserve">$7.37 </w:t>
            </w:r>
          </w:p>
        </w:tc>
        <w:tc>
          <w:tcPr>
            <w:tcW w:w="960" w:type="dxa"/>
            <w:tcBorders>
              <w:top w:val="nil"/>
              <w:left w:val="nil"/>
              <w:bottom w:val="single" w:sz="8" w:space="0" w:color="auto"/>
              <w:right w:val="single" w:sz="8" w:space="0" w:color="auto"/>
            </w:tcBorders>
            <w:vAlign w:val="center"/>
          </w:tcPr>
          <w:p w:rsidR="004A147C" w:rsidRPr="00B53FFB" w:rsidRDefault="004A147C" w:rsidP="00CE5850">
            <w:pPr>
              <w:jc w:val="right"/>
              <w:rPr>
                <w:kern w:val="0"/>
                <w:szCs w:val="22"/>
              </w:rPr>
            </w:pPr>
            <w:r w:rsidRPr="00B53FFB">
              <w:rPr>
                <w:kern w:val="0"/>
                <w:szCs w:val="22"/>
              </w:rPr>
              <w:t xml:space="preserve">$8.15 </w:t>
            </w:r>
          </w:p>
        </w:tc>
        <w:tc>
          <w:tcPr>
            <w:tcW w:w="960" w:type="dxa"/>
            <w:tcBorders>
              <w:top w:val="nil"/>
              <w:left w:val="nil"/>
              <w:bottom w:val="single" w:sz="8" w:space="0" w:color="auto"/>
              <w:right w:val="single" w:sz="8" w:space="0" w:color="auto"/>
            </w:tcBorders>
            <w:vAlign w:val="center"/>
          </w:tcPr>
          <w:p w:rsidR="004A147C" w:rsidRPr="00B53FFB" w:rsidRDefault="004A147C" w:rsidP="00CE5850">
            <w:pPr>
              <w:jc w:val="right"/>
              <w:rPr>
                <w:kern w:val="0"/>
                <w:szCs w:val="22"/>
              </w:rPr>
            </w:pPr>
            <w:r w:rsidRPr="00B53FFB">
              <w:rPr>
                <w:kern w:val="0"/>
                <w:szCs w:val="22"/>
              </w:rPr>
              <w:t xml:space="preserve">$6.61 </w:t>
            </w:r>
          </w:p>
        </w:tc>
        <w:tc>
          <w:tcPr>
            <w:tcW w:w="960" w:type="dxa"/>
            <w:tcBorders>
              <w:top w:val="nil"/>
              <w:left w:val="nil"/>
              <w:bottom w:val="single" w:sz="8" w:space="0" w:color="auto"/>
              <w:right w:val="single" w:sz="8" w:space="0" w:color="auto"/>
            </w:tcBorders>
            <w:vAlign w:val="center"/>
          </w:tcPr>
          <w:p w:rsidR="004A147C" w:rsidRPr="00B53FFB" w:rsidRDefault="004A147C" w:rsidP="00CE5850">
            <w:pPr>
              <w:jc w:val="right"/>
              <w:rPr>
                <w:kern w:val="0"/>
                <w:szCs w:val="22"/>
              </w:rPr>
            </w:pPr>
            <w:r w:rsidRPr="00B53FFB">
              <w:rPr>
                <w:kern w:val="0"/>
                <w:szCs w:val="22"/>
              </w:rPr>
              <w:t xml:space="preserve">$5.55 </w:t>
            </w:r>
          </w:p>
        </w:tc>
        <w:tc>
          <w:tcPr>
            <w:tcW w:w="960" w:type="dxa"/>
            <w:tcBorders>
              <w:top w:val="nil"/>
              <w:left w:val="nil"/>
              <w:bottom w:val="single" w:sz="8" w:space="0" w:color="auto"/>
              <w:right w:val="single" w:sz="8" w:space="0" w:color="auto"/>
            </w:tcBorders>
            <w:vAlign w:val="center"/>
          </w:tcPr>
          <w:p w:rsidR="004A147C" w:rsidRPr="00B53FFB" w:rsidRDefault="004A147C" w:rsidP="00CE5850">
            <w:pPr>
              <w:jc w:val="right"/>
              <w:rPr>
                <w:kern w:val="0"/>
                <w:szCs w:val="22"/>
              </w:rPr>
            </w:pPr>
            <w:r w:rsidRPr="00B53FFB">
              <w:rPr>
                <w:kern w:val="0"/>
                <w:szCs w:val="22"/>
              </w:rPr>
              <w:t xml:space="preserve">$6.57 </w:t>
            </w:r>
          </w:p>
        </w:tc>
        <w:tc>
          <w:tcPr>
            <w:tcW w:w="960" w:type="dxa"/>
            <w:tcBorders>
              <w:top w:val="nil"/>
              <w:left w:val="nil"/>
              <w:bottom w:val="single" w:sz="8" w:space="0" w:color="auto"/>
              <w:right w:val="single" w:sz="8" w:space="0" w:color="auto"/>
            </w:tcBorders>
            <w:vAlign w:val="center"/>
          </w:tcPr>
          <w:p w:rsidR="004A147C" w:rsidRPr="00B53FFB" w:rsidRDefault="004A147C" w:rsidP="00CE5850">
            <w:pPr>
              <w:jc w:val="right"/>
              <w:rPr>
                <w:kern w:val="0"/>
                <w:szCs w:val="22"/>
              </w:rPr>
            </w:pPr>
            <w:r w:rsidRPr="00B53FFB">
              <w:rPr>
                <w:kern w:val="0"/>
                <w:szCs w:val="22"/>
              </w:rPr>
              <w:t xml:space="preserve">$6.40 </w:t>
            </w:r>
          </w:p>
        </w:tc>
      </w:tr>
    </w:tbl>
    <w:p w:rsidR="004A147C" w:rsidRPr="00B53FFB" w:rsidRDefault="004A147C" w:rsidP="00CE5850">
      <w:pPr>
        <w:jc w:val="center"/>
        <w:rPr>
          <w:szCs w:val="22"/>
        </w:rPr>
      </w:pPr>
    </w:p>
    <w:p w:rsidR="004A147C" w:rsidRPr="00B53FFB" w:rsidRDefault="004A147C" w:rsidP="00CE5850">
      <w:pPr>
        <w:pStyle w:val="Caption"/>
        <w:widowControl w:val="0"/>
        <w:jc w:val="center"/>
        <w:rPr>
          <w:sz w:val="22"/>
          <w:szCs w:val="22"/>
        </w:rPr>
      </w:pPr>
      <w:bookmarkStart w:id="4111" w:name="_Ref258001410"/>
      <w:r w:rsidRPr="00B53FFB">
        <w:rPr>
          <w:sz w:val="22"/>
          <w:szCs w:val="22"/>
        </w:rPr>
        <w:t xml:space="preserve">Chart </w:t>
      </w:r>
      <w:r w:rsidR="0007014B" w:rsidRPr="00B53FFB">
        <w:rPr>
          <w:sz w:val="22"/>
          <w:szCs w:val="22"/>
        </w:rPr>
        <w:fldChar w:fldCharType="begin"/>
      </w:r>
      <w:r w:rsidRPr="00B53FFB">
        <w:rPr>
          <w:sz w:val="22"/>
          <w:szCs w:val="22"/>
        </w:rPr>
        <w:instrText xml:space="preserve"> SEQ Chart \* ARABIC </w:instrText>
      </w:r>
      <w:r w:rsidR="0007014B" w:rsidRPr="00B53FFB">
        <w:rPr>
          <w:sz w:val="22"/>
          <w:szCs w:val="22"/>
        </w:rPr>
        <w:fldChar w:fldCharType="separate"/>
      </w:r>
      <w:r w:rsidR="00CA3AC6">
        <w:rPr>
          <w:noProof/>
          <w:sz w:val="22"/>
          <w:szCs w:val="22"/>
        </w:rPr>
        <w:t>37</w:t>
      </w:r>
      <w:r w:rsidR="0007014B" w:rsidRPr="00B53FFB">
        <w:rPr>
          <w:sz w:val="22"/>
          <w:szCs w:val="22"/>
        </w:rPr>
        <w:fldChar w:fldCharType="end"/>
      </w:r>
      <w:bookmarkEnd w:id="4111"/>
      <w:r w:rsidRPr="00B53FFB">
        <w:rPr>
          <w:sz w:val="22"/>
          <w:szCs w:val="22"/>
        </w:rPr>
        <w:br/>
        <w:t>ARPU, EBITDA, and EBITDA minus CAPEX of Nationwide Providers, 2011</w:t>
      </w:r>
      <w:r w:rsidRPr="00B53FFB">
        <w:rPr>
          <w:rStyle w:val="FootnoteReference"/>
          <w:b w:val="0"/>
          <w:szCs w:val="22"/>
        </w:rPr>
        <w:footnoteReference w:id="877"/>
      </w:r>
    </w:p>
    <w:p w:rsidR="004A147C" w:rsidRPr="00B53FFB" w:rsidRDefault="00C81B24" w:rsidP="00CE5850">
      <w:pPr>
        <w:jc w:val="center"/>
        <w:rPr>
          <w:szCs w:val="22"/>
        </w:rPr>
      </w:pPr>
      <w:r>
        <w:rPr>
          <w:noProof/>
          <w:szCs w:val="22"/>
        </w:rPr>
        <w:drawing>
          <wp:inline distT="0" distB="0" distL="0" distR="0" wp14:anchorId="7E1A79DF" wp14:editId="58C24D1B">
            <wp:extent cx="5553075" cy="4038600"/>
            <wp:effectExtent l="0" t="0" r="9525"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553075" cy="4038600"/>
                    </a:xfrm>
                    <a:prstGeom prst="rect">
                      <a:avLst/>
                    </a:prstGeom>
                    <a:noFill/>
                    <a:ln>
                      <a:noFill/>
                    </a:ln>
                  </pic:spPr>
                </pic:pic>
              </a:graphicData>
            </a:graphic>
          </wp:inline>
        </w:drawing>
      </w:r>
    </w:p>
    <w:p w:rsidR="004A147C" w:rsidRPr="00B53FFB" w:rsidRDefault="004A147C" w:rsidP="00CE5850">
      <w:pPr>
        <w:rPr>
          <w:szCs w:val="22"/>
        </w:rPr>
      </w:pPr>
    </w:p>
    <w:p w:rsidR="004A147C" w:rsidRPr="00B53FFB" w:rsidRDefault="004A147C" w:rsidP="00CE5850">
      <w:pPr>
        <w:pStyle w:val="ParaNum"/>
        <w:numPr>
          <w:ilvl w:val="0"/>
          <w:numId w:val="28"/>
        </w:numPr>
        <w:rPr>
          <w:sz w:val="22"/>
          <w:szCs w:val="22"/>
        </w:rPr>
      </w:pPr>
      <w:r w:rsidRPr="00B53FFB">
        <w:rPr>
          <w:i/>
          <w:sz w:val="22"/>
          <w:szCs w:val="22"/>
        </w:rPr>
        <w:t xml:space="preserve">EBITDA Margin.  </w:t>
      </w:r>
      <w:r w:rsidRPr="00B53FFB">
        <w:rPr>
          <w:sz w:val="22"/>
          <w:szCs w:val="22"/>
        </w:rPr>
        <w:t xml:space="preserve">EBITDA as a percentage of service revenue, also called EBITDA margin, appears in </w:t>
      </w:r>
      <w:r w:rsidR="00951E9B">
        <w:fldChar w:fldCharType="begin"/>
      </w:r>
      <w:r w:rsidR="00951E9B">
        <w:instrText xml:space="preserve"> REF _Ref258001442  \* MERGEFORMAT </w:instrText>
      </w:r>
      <w:r w:rsidR="00951E9B">
        <w:fldChar w:fldCharType="separate"/>
      </w:r>
      <w:r w:rsidR="00CA3AC6" w:rsidRPr="00CA3AC6">
        <w:rPr>
          <w:sz w:val="22"/>
          <w:szCs w:val="22"/>
        </w:rPr>
        <w:t xml:space="preserve">Chart </w:t>
      </w:r>
      <w:r w:rsidR="00CA3AC6" w:rsidRPr="00CA3AC6">
        <w:rPr>
          <w:noProof/>
          <w:sz w:val="22"/>
          <w:szCs w:val="22"/>
        </w:rPr>
        <w:t>38</w:t>
      </w:r>
      <w:r w:rsidR="00951E9B">
        <w:rPr>
          <w:noProof/>
          <w:sz w:val="22"/>
          <w:szCs w:val="22"/>
        </w:rPr>
        <w:fldChar w:fldCharType="end"/>
      </w:r>
      <w:r w:rsidRPr="00B53FFB">
        <w:rPr>
          <w:sz w:val="22"/>
          <w:szCs w:val="22"/>
        </w:rPr>
        <w:t xml:space="preserve">.  In 2011, the difference between the provider with the highest EBITDA margin (Verizon Wireless) and the provider with the lowest (Sprint Nextel) was 32.7 percent.  Verizon Wireless has remained above 40 percent since 2006.  AT&amp;T’s EBITDA margin has decreased after 2009, dropping to 28.7 percent in 2011, while T-Mobile’s EBITDA margin increased to 30.2 percent in 2011.  </w:t>
      </w:r>
      <w:r w:rsidRPr="00B53FFB">
        <w:rPr>
          <w:kern w:val="0"/>
          <w:sz w:val="22"/>
          <w:szCs w:val="22"/>
          <w:lang w:eastAsia="zh-CN"/>
        </w:rPr>
        <w:t>The graph of EBITDA per subscriber versus net adds of the four nationwide service providers (</w:t>
      </w:r>
      <w:r w:rsidR="00951E9B">
        <w:fldChar w:fldCharType="begin"/>
      </w:r>
      <w:r w:rsidR="00951E9B">
        <w:instrText xml:space="preserve"> REF _Ref277072565  \* MERGEFORMAT </w:instrText>
      </w:r>
      <w:r w:rsidR="00951E9B">
        <w:fldChar w:fldCharType="separate"/>
      </w:r>
      <w:r w:rsidR="00CA3AC6" w:rsidRPr="00B53FFB">
        <w:rPr>
          <w:sz w:val="22"/>
          <w:szCs w:val="22"/>
        </w:rPr>
        <w:t xml:space="preserve">Chart </w:t>
      </w:r>
      <w:r w:rsidR="00CA3AC6">
        <w:rPr>
          <w:noProof/>
          <w:sz w:val="22"/>
          <w:szCs w:val="22"/>
        </w:rPr>
        <w:t>39</w:t>
      </w:r>
      <w:r w:rsidR="00951E9B">
        <w:rPr>
          <w:noProof/>
          <w:sz w:val="22"/>
          <w:szCs w:val="22"/>
        </w:rPr>
        <w:fldChar w:fldCharType="end"/>
      </w:r>
      <w:r w:rsidRPr="00B53FFB">
        <w:rPr>
          <w:kern w:val="0"/>
          <w:sz w:val="22"/>
          <w:szCs w:val="22"/>
          <w:lang w:eastAsia="zh-CN"/>
        </w:rPr>
        <w:t xml:space="preserve">), shows that the EBITDA per subscriber and net adds of T-Mobile have been decreasing in recent years, and the EBITDA per subscriber of Sprint has been decreasing while its net adds have been increasing.    </w:t>
      </w:r>
      <w:r w:rsidRPr="00B53FFB">
        <w:rPr>
          <w:sz w:val="22"/>
          <w:szCs w:val="22"/>
        </w:rPr>
        <w:t xml:space="preserve">      </w:t>
      </w:r>
    </w:p>
    <w:p w:rsidR="004A147C" w:rsidRPr="00B53FFB" w:rsidRDefault="004A147C" w:rsidP="00CE5850">
      <w:pPr>
        <w:rPr>
          <w:szCs w:val="22"/>
        </w:rPr>
      </w:pPr>
    </w:p>
    <w:p w:rsidR="004A147C" w:rsidRDefault="004A147C" w:rsidP="00CE5850">
      <w:pPr>
        <w:pStyle w:val="ParaNum"/>
        <w:tabs>
          <w:tab w:val="clear" w:pos="1440"/>
        </w:tabs>
        <w:ind w:firstLine="0"/>
        <w:jc w:val="center"/>
        <w:rPr>
          <w:b/>
          <w:sz w:val="22"/>
          <w:szCs w:val="22"/>
        </w:rPr>
      </w:pPr>
      <w:bookmarkStart w:id="4112" w:name="_Ref258001442"/>
      <w:r w:rsidRPr="00B53FFB">
        <w:rPr>
          <w:b/>
          <w:sz w:val="22"/>
          <w:szCs w:val="22"/>
        </w:rPr>
        <w:t xml:space="preserve">Chart </w:t>
      </w:r>
      <w:r w:rsidR="0007014B" w:rsidRPr="00B53FFB">
        <w:rPr>
          <w:b/>
          <w:sz w:val="22"/>
          <w:szCs w:val="22"/>
        </w:rPr>
        <w:fldChar w:fldCharType="begin"/>
      </w:r>
      <w:r w:rsidRPr="00B53FFB">
        <w:rPr>
          <w:b/>
          <w:sz w:val="22"/>
          <w:szCs w:val="22"/>
        </w:rPr>
        <w:instrText xml:space="preserve"> SEQ Chart \* ARABIC </w:instrText>
      </w:r>
      <w:r w:rsidR="0007014B" w:rsidRPr="00B53FFB">
        <w:rPr>
          <w:b/>
          <w:sz w:val="22"/>
          <w:szCs w:val="22"/>
        </w:rPr>
        <w:fldChar w:fldCharType="separate"/>
      </w:r>
      <w:r w:rsidR="00CA3AC6">
        <w:rPr>
          <w:b/>
          <w:noProof/>
          <w:sz w:val="22"/>
          <w:szCs w:val="22"/>
        </w:rPr>
        <w:t>38</w:t>
      </w:r>
      <w:r w:rsidR="0007014B" w:rsidRPr="00B53FFB">
        <w:rPr>
          <w:b/>
          <w:sz w:val="22"/>
          <w:szCs w:val="22"/>
        </w:rPr>
        <w:fldChar w:fldCharType="end"/>
      </w:r>
      <w:bookmarkEnd w:id="4112"/>
      <w:r w:rsidRPr="00B53FFB">
        <w:rPr>
          <w:b/>
          <w:sz w:val="22"/>
          <w:szCs w:val="22"/>
        </w:rPr>
        <w:br/>
        <w:t>Reported EBITDA Margins (Selected Providers), 2002-2011</w:t>
      </w:r>
      <w:r w:rsidRPr="00B53FFB">
        <w:rPr>
          <w:rStyle w:val="FootnoteReference"/>
          <w:szCs w:val="22"/>
        </w:rPr>
        <w:footnoteReference w:id="878"/>
      </w:r>
    </w:p>
    <w:p w:rsidR="004A147C" w:rsidRPr="00B53FFB" w:rsidRDefault="00C81B24" w:rsidP="00CE5850">
      <w:pPr>
        <w:pStyle w:val="ParaNum"/>
        <w:tabs>
          <w:tab w:val="clear" w:pos="1440"/>
        </w:tabs>
        <w:ind w:firstLine="0"/>
        <w:jc w:val="center"/>
        <w:rPr>
          <w:b/>
          <w:sz w:val="22"/>
          <w:szCs w:val="22"/>
        </w:rPr>
      </w:pPr>
      <w:r>
        <w:rPr>
          <w:noProof/>
        </w:rPr>
        <mc:AlternateContent>
          <mc:Choice Requires="wps">
            <w:drawing>
              <wp:anchor distT="0" distB="0" distL="114300" distR="114300" simplePos="0" relativeHeight="17" behindDoc="0" locked="0" layoutInCell="1" allowOverlap="1" wp14:anchorId="3114F0A2" wp14:editId="0B6038F1">
                <wp:simplePos x="0" y="0"/>
                <wp:positionH relativeFrom="column">
                  <wp:posOffset>190500</wp:posOffset>
                </wp:positionH>
                <wp:positionV relativeFrom="paragraph">
                  <wp:posOffset>10160</wp:posOffset>
                </wp:positionV>
                <wp:extent cx="5562600" cy="4600575"/>
                <wp:effectExtent l="19050" t="19050" r="19050" b="19050"/>
                <wp:wrapNone/>
                <wp:docPr id="125" name="Rectangle 4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562600" cy="4600575"/>
                        </a:xfrm>
                        <a:prstGeom prst="rect">
                          <a:avLst/>
                        </a:prstGeom>
                        <a:noFill/>
                        <a:ln w="22225">
                          <a:solidFill>
                            <a:srgbClr val="FFFFFF"/>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40" o:spid="_x0000_s1026" style="position:absolute;margin-left:15pt;margin-top:.8pt;width:438pt;height:362.25pt;z-index:1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" filled="f" strokecolor="white" strokeweight="1.75pt"/>
            </w:pict>
          </mc:Fallback>
        </mc:AlternateContent>
      </w:r>
      <w:r>
        <w:rPr>
          <w:noProof/>
        </w:rPr>
        <mc:AlternateContent>
          <mc:Choice Requires="wps">
            <w:drawing>
              <wp:anchor distT="0" distB="0" distL="114300" distR="114300" simplePos="0" relativeHeight="12" behindDoc="0" locked="0" layoutInCell="1" allowOverlap="1" wp14:anchorId="057530F9" wp14:editId="7BE47581">
                <wp:simplePos x="0" y="0"/>
                <wp:positionH relativeFrom="column">
                  <wp:posOffset>311150</wp:posOffset>
                </wp:positionH>
                <wp:positionV relativeFrom="paragraph">
                  <wp:posOffset>4316095</wp:posOffset>
                </wp:positionV>
                <wp:extent cx="2217420" cy="233680"/>
                <wp:effectExtent l="0" t="0" r="0" b="0"/>
                <wp:wrapNone/>
                <wp:docPr id="12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17420" cy="233680"/>
                        </a:xfrm>
                        <a:prstGeom prst="rect">
                          <a:avLst/>
                        </a:prstGeom>
                        <a:solidFill>
                          <a:srgbClr val="FFFFFF"/>
                        </a:solidFill>
                        <a:ln w="9525">
                          <a:noFill/>
                          <a:miter lim="800000"/>
                          <a:headEnd/>
                          <a:tailEnd/>
                        </a:ln>
                      </wps:spPr>
                      <wps:txbx>
                        <w:txbxContent>
                          <w:p w:rsidR="00EC7CF3" w:rsidRPr="00BE11A5" w:rsidRDefault="00EC7CF3" w:rsidP="001C66BE">
                            <w:pPr>
                              <w:rPr>
                                <w:rFonts w:ascii="Calibri" w:hAnsi="Calibri" w:cs="Calibri"/>
                                <w:sz w:val="20"/>
                              </w:rPr>
                            </w:pPr>
                            <w:r w:rsidRPr="00BE11A5">
                              <w:rPr>
                                <w:rFonts w:ascii="Calibri" w:hAnsi="Calibri" w:cs="Calibri"/>
                              </w:rPr>
                              <w:t>Source: UBS</w:t>
                            </w:r>
                          </w:p>
                        </w:txbxContent>
                      </wps:txbx>
                      <wps:bodyPr rot="0" vert="horz" wrap="square" lIns="91440" tIns="45720" rIns="91440" bIns="45720" anchor="t" anchorCtr="0">
                        <a:noAutofit/>
                      </wps:bodyPr>
                    </wps:wsp>
                  </a:graphicData>
                </a:graphic>
                <wp14:sizeRelH relativeFrom="page">
                  <wp14:pctWidth>0</wp14:pctWidth>
                </wp14:sizeRelH>
                <wp14:sizeRelV relativeFrom="page">
                  <wp14:pctHeight>0</wp14:pctHeight>
                </wp14:sizeRelV>
              </wp:anchor>
            </w:drawing>
          </mc:Choice>
          <mc:Fallback>
            <w:pict>
              <v:shape id="_x0000_s1057" type="#_x0000_t202" style="position:absolute;left:0;text-align:left;margin-left:24.5pt;margin-top:339.85pt;width:174.6pt;height:18.4pt;z-index: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" stroked="f">
                <v:textbox>
                  <w:txbxContent>
                    <w:p w:rsidR="00EC7CF3" w:rsidRPr="00BE11A5" w:rsidRDefault="00EC7CF3" w:rsidP="001C66BE">
                      <w:pPr>
                        <w:rPr>
                          <w:rFonts w:ascii="Calibri" w:hAnsi="Calibri" w:cs="Calibri"/>
                          <w:sz w:val="20"/>
                        </w:rPr>
                      </w:pPr>
                      <w:r w:rsidRPr="00BE11A5">
                        <w:rPr>
                          <w:rFonts w:ascii="Calibri" w:hAnsi="Calibri" w:cs="Calibri"/>
                        </w:rPr>
                        <w:t>Source: UBS</w:t>
                      </w:r>
                    </w:p>
                  </w:txbxContent>
                </v:textbox>
              </v:shape>
            </w:pict>
          </mc:Fallback>
        </mc:AlternateContent>
      </w:r>
      <w:r>
        <w:rPr>
          <w:b/>
          <w:noProof/>
          <w:sz w:val="22"/>
          <w:szCs w:val="22"/>
        </w:rPr>
        <w:drawing>
          <wp:inline distT="0" distB="0" distL="0" distR="0" wp14:anchorId="067CC6C9" wp14:editId="7BE2B64D">
            <wp:extent cx="5600700" cy="4610100"/>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600700" cy="4610100"/>
                    </a:xfrm>
                    <a:prstGeom prst="rect">
                      <a:avLst/>
                    </a:prstGeom>
                    <a:noFill/>
                    <a:ln>
                      <a:noFill/>
                    </a:ln>
                  </pic:spPr>
                </pic:pic>
              </a:graphicData>
            </a:graphic>
          </wp:inline>
        </w:drawing>
      </w:r>
    </w:p>
    <w:p w:rsidR="004A147C" w:rsidRPr="00B53FFB" w:rsidRDefault="004A147C" w:rsidP="00CE5850">
      <w:pPr>
        <w:pStyle w:val="ParaNum"/>
        <w:tabs>
          <w:tab w:val="clear" w:pos="1440"/>
        </w:tabs>
        <w:ind w:firstLine="0"/>
        <w:jc w:val="center"/>
        <w:rPr>
          <w:sz w:val="22"/>
          <w:szCs w:val="22"/>
        </w:rPr>
      </w:pPr>
    </w:p>
    <w:p w:rsidR="004A147C" w:rsidRDefault="004A147C" w:rsidP="00CE5850">
      <w:pPr>
        <w:pStyle w:val="ParaNum"/>
        <w:tabs>
          <w:tab w:val="clear" w:pos="1440"/>
        </w:tabs>
        <w:ind w:firstLine="0"/>
        <w:jc w:val="center"/>
        <w:rPr>
          <w:sz w:val="22"/>
          <w:szCs w:val="22"/>
        </w:rPr>
      </w:pPr>
    </w:p>
    <w:p w:rsidR="00BE1C87" w:rsidRDefault="00BE1C87" w:rsidP="00CE5850">
      <w:pPr>
        <w:pStyle w:val="ParaNum"/>
        <w:tabs>
          <w:tab w:val="clear" w:pos="1440"/>
        </w:tabs>
        <w:ind w:firstLine="0"/>
        <w:jc w:val="center"/>
        <w:rPr>
          <w:sz w:val="22"/>
          <w:szCs w:val="22"/>
        </w:rPr>
      </w:pPr>
    </w:p>
    <w:p w:rsidR="00BE1C87" w:rsidRDefault="00BE1C87" w:rsidP="00CE5850">
      <w:pPr>
        <w:pStyle w:val="ParaNum"/>
        <w:tabs>
          <w:tab w:val="clear" w:pos="1440"/>
        </w:tabs>
        <w:ind w:firstLine="0"/>
        <w:jc w:val="center"/>
        <w:rPr>
          <w:sz w:val="22"/>
          <w:szCs w:val="22"/>
        </w:rPr>
      </w:pPr>
    </w:p>
    <w:p w:rsidR="00BE1C87" w:rsidRDefault="00BE1C87" w:rsidP="00CE5850">
      <w:pPr>
        <w:pStyle w:val="ParaNum"/>
        <w:tabs>
          <w:tab w:val="clear" w:pos="1440"/>
        </w:tabs>
        <w:ind w:firstLine="0"/>
        <w:jc w:val="center"/>
        <w:rPr>
          <w:sz w:val="22"/>
          <w:szCs w:val="22"/>
        </w:rPr>
      </w:pPr>
    </w:p>
    <w:p w:rsidR="00BE1C87" w:rsidRDefault="00BE1C87" w:rsidP="00CE5850">
      <w:pPr>
        <w:pStyle w:val="ParaNum"/>
        <w:tabs>
          <w:tab w:val="clear" w:pos="1440"/>
        </w:tabs>
        <w:ind w:firstLine="0"/>
        <w:jc w:val="center"/>
        <w:rPr>
          <w:sz w:val="22"/>
          <w:szCs w:val="22"/>
        </w:rPr>
      </w:pPr>
    </w:p>
    <w:p w:rsidR="00BE1C87" w:rsidRDefault="00BE1C87" w:rsidP="00CE5850">
      <w:pPr>
        <w:pStyle w:val="ParaNum"/>
        <w:tabs>
          <w:tab w:val="clear" w:pos="1440"/>
        </w:tabs>
        <w:ind w:firstLine="0"/>
        <w:jc w:val="center"/>
        <w:rPr>
          <w:sz w:val="22"/>
          <w:szCs w:val="22"/>
        </w:rPr>
      </w:pPr>
    </w:p>
    <w:p w:rsidR="00BE1C87" w:rsidRDefault="00BE1C87" w:rsidP="00CE5850">
      <w:pPr>
        <w:pStyle w:val="ParaNum"/>
        <w:tabs>
          <w:tab w:val="clear" w:pos="1440"/>
        </w:tabs>
        <w:ind w:firstLine="0"/>
        <w:jc w:val="center"/>
        <w:rPr>
          <w:sz w:val="22"/>
          <w:szCs w:val="22"/>
        </w:rPr>
      </w:pPr>
    </w:p>
    <w:p w:rsidR="00BE1C87" w:rsidRDefault="00BE1C87" w:rsidP="00CE5850">
      <w:pPr>
        <w:pStyle w:val="ParaNum"/>
        <w:tabs>
          <w:tab w:val="clear" w:pos="1440"/>
        </w:tabs>
        <w:ind w:firstLine="0"/>
        <w:jc w:val="center"/>
        <w:rPr>
          <w:sz w:val="22"/>
          <w:szCs w:val="22"/>
        </w:rPr>
      </w:pPr>
    </w:p>
    <w:p w:rsidR="00BE1C87" w:rsidRDefault="00BE1C87" w:rsidP="00CE5850">
      <w:pPr>
        <w:pStyle w:val="ParaNum"/>
        <w:tabs>
          <w:tab w:val="clear" w:pos="1440"/>
        </w:tabs>
        <w:ind w:firstLine="0"/>
        <w:jc w:val="center"/>
        <w:rPr>
          <w:sz w:val="22"/>
          <w:szCs w:val="22"/>
        </w:rPr>
      </w:pPr>
    </w:p>
    <w:p w:rsidR="00BE1C87" w:rsidRDefault="00BE1C87" w:rsidP="00CE5850">
      <w:pPr>
        <w:pStyle w:val="ParaNum"/>
        <w:tabs>
          <w:tab w:val="clear" w:pos="1440"/>
        </w:tabs>
        <w:ind w:firstLine="0"/>
        <w:jc w:val="center"/>
        <w:rPr>
          <w:sz w:val="22"/>
          <w:szCs w:val="22"/>
        </w:rPr>
      </w:pPr>
    </w:p>
    <w:p w:rsidR="00BE1C87" w:rsidRPr="00B53FFB" w:rsidRDefault="00BE1C87" w:rsidP="00CE5850">
      <w:pPr>
        <w:pStyle w:val="ParaNum"/>
        <w:tabs>
          <w:tab w:val="clear" w:pos="1440"/>
        </w:tabs>
        <w:ind w:firstLine="0"/>
        <w:jc w:val="center"/>
        <w:rPr>
          <w:sz w:val="22"/>
          <w:szCs w:val="22"/>
        </w:rPr>
      </w:pPr>
    </w:p>
    <w:p w:rsidR="004A147C" w:rsidRPr="00B53FFB" w:rsidRDefault="004A147C" w:rsidP="00CE5850">
      <w:pPr>
        <w:pStyle w:val="Caption"/>
        <w:widowControl w:val="0"/>
        <w:jc w:val="center"/>
        <w:rPr>
          <w:sz w:val="22"/>
          <w:szCs w:val="22"/>
        </w:rPr>
      </w:pPr>
      <w:bookmarkStart w:id="4113" w:name="_Ref277072565"/>
      <w:r w:rsidRPr="00B53FFB">
        <w:rPr>
          <w:sz w:val="22"/>
          <w:szCs w:val="22"/>
        </w:rPr>
        <w:t xml:space="preserve">Chart </w:t>
      </w:r>
      <w:r w:rsidR="0007014B" w:rsidRPr="00B53FFB">
        <w:rPr>
          <w:sz w:val="22"/>
          <w:szCs w:val="22"/>
        </w:rPr>
        <w:fldChar w:fldCharType="begin"/>
      </w:r>
      <w:r w:rsidRPr="00B53FFB">
        <w:rPr>
          <w:sz w:val="22"/>
          <w:szCs w:val="22"/>
        </w:rPr>
        <w:instrText xml:space="preserve"> SEQ Chart \* ARABIC </w:instrText>
      </w:r>
      <w:r w:rsidR="0007014B" w:rsidRPr="00B53FFB">
        <w:rPr>
          <w:sz w:val="22"/>
          <w:szCs w:val="22"/>
        </w:rPr>
        <w:fldChar w:fldCharType="separate"/>
      </w:r>
      <w:r w:rsidR="00CA3AC6">
        <w:rPr>
          <w:noProof/>
          <w:sz w:val="22"/>
          <w:szCs w:val="22"/>
        </w:rPr>
        <w:t>39</w:t>
      </w:r>
      <w:r w:rsidR="0007014B" w:rsidRPr="00B53FFB">
        <w:rPr>
          <w:sz w:val="22"/>
          <w:szCs w:val="22"/>
        </w:rPr>
        <w:fldChar w:fldCharType="end"/>
      </w:r>
      <w:bookmarkEnd w:id="4113"/>
      <w:r w:rsidRPr="00B53FFB">
        <w:rPr>
          <w:sz w:val="22"/>
          <w:szCs w:val="22"/>
        </w:rPr>
        <w:t xml:space="preserve"> </w:t>
      </w:r>
      <w:r w:rsidRPr="00B53FFB">
        <w:rPr>
          <w:sz w:val="22"/>
          <w:szCs w:val="22"/>
        </w:rPr>
        <w:br/>
        <w:t>Subscriber Additions vs. EBITDA Per Subscriber,  2008-2011</w:t>
      </w:r>
    </w:p>
    <w:p w:rsidR="004A147C" w:rsidRPr="00B53FFB" w:rsidRDefault="00C81B24" w:rsidP="00CE5850">
      <w:pPr>
        <w:rPr>
          <w:szCs w:val="22"/>
        </w:rPr>
      </w:pPr>
      <w:r>
        <w:rPr>
          <w:noProof/>
          <w:szCs w:val="22"/>
        </w:rPr>
        <w:drawing>
          <wp:inline distT="0" distB="0" distL="0" distR="0" wp14:anchorId="4378AB66" wp14:editId="07543276">
            <wp:extent cx="6153150" cy="4210050"/>
            <wp:effectExtent l="0" t="0" r="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6153150" cy="4210050"/>
                    </a:xfrm>
                    <a:prstGeom prst="rect">
                      <a:avLst/>
                    </a:prstGeom>
                    <a:noFill/>
                    <a:ln>
                      <a:noFill/>
                    </a:ln>
                  </pic:spPr>
                </pic:pic>
              </a:graphicData>
            </a:graphic>
          </wp:inline>
        </w:drawing>
      </w:r>
    </w:p>
    <w:p w:rsidR="004A147C" w:rsidRPr="00B53FFB" w:rsidRDefault="004A147C" w:rsidP="00CE5850">
      <w:pPr>
        <w:pStyle w:val="ParaNum"/>
        <w:tabs>
          <w:tab w:val="clear" w:pos="1440"/>
        </w:tabs>
        <w:ind w:firstLine="0"/>
        <w:jc w:val="center"/>
        <w:rPr>
          <w:sz w:val="22"/>
          <w:szCs w:val="22"/>
        </w:rPr>
      </w:pPr>
    </w:p>
    <w:p w:rsidR="004A147C" w:rsidRPr="00B53FFB" w:rsidRDefault="004A147C" w:rsidP="00CE5850">
      <w:pPr>
        <w:pStyle w:val="Heading2"/>
        <w:keepNext w:val="0"/>
      </w:pPr>
      <w:bookmarkStart w:id="4114" w:name="_Ref259791119"/>
      <w:bookmarkStart w:id="4115" w:name="_Ref259791121"/>
      <w:bookmarkStart w:id="4116" w:name="_Toc261610800"/>
      <w:bookmarkStart w:id="4117" w:name="_Toc261858539"/>
      <w:bookmarkStart w:id="4118" w:name="_Toc262034344"/>
      <w:bookmarkStart w:id="4119" w:name="_Toc262034447"/>
      <w:bookmarkStart w:id="4120" w:name="_Toc271288487"/>
      <w:bookmarkStart w:id="4121" w:name="_Toc275518005"/>
      <w:bookmarkStart w:id="4122" w:name="_Toc275952445"/>
      <w:bookmarkStart w:id="4123" w:name="_Toc276121877"/>
      <w:bookmarkStart w:id="4124" w:name="_Toc276480713"/>
      <w:bookmarkStart w:id="4125" w:name="_Toc276741790"/>
      <w:bookmarkStart w:id="4126" w:name="_Toc277171555"/>
      <w:bookmarkStart w:id="4127" w:name="_Toc277864530"/>
      <w:bookmarkStart w:id="4128" w:name="_Toc277864746"/>
      <w:bookmarkStart w:id="4129" w:name="_Toc285810427"/>
      <w:bookmarkStart w:id="4130" w:name="_Toc287257821"/>
      <w:bookmarkStart w:id="4131" w:name="_Toc291758700"/>
      <w:bookmarkStart w:id="4132" w:name="_Toc291758803"/>
      <w:bookmarkStart w:id="4133" w:name="_Toc295392983"/>
      <w:bookmarkStart w:id="4134" w:name="_Toc329262524"/>
      <w:bookmarkStart w:id="4135" w:name="_Toc329852435"/>
      <w:bookmarkStart w:id="4136" w:name="_Toc331766350"/>
      <w:bookmarkStart w:id="4137" w:name="_Toc332119145"/>
      <w:bookmarkStart w:id="4138" w:name="_Toc334088822"/>
      <w:bookmarkStart w:id="4139" w:name="_Toc334089058"/>
      <w:bookmarkStart w:id="4140" w:name="_Toc334089217"/>
      <w:bookmarkStart w:id="4141" w:name="_Toc334089328"/>
      <w:bookmarkStart w:id="4142" w:name="_Toc334089492"/>
      <w:bookmarkStart w:id="4143" w:name="_Toc336268633"/>
      <w:bookmarkStart w:id="4144" w:name="_Toc336268741"/>
      <w:bookmarkStart w:id="4145" w:name="_Toc336268848"/>
      <w:bookmarkStart w:id="4146" w:name="_Toc336269062"/>
      <w:bookmarkStart w:id="4147" w:name="_Toc336269169"/>
      <w:bookmarkStart w:id="4148" w:name="_Toc336269537"/>
      <w:bookmarkStart w:id="4149" w:name="_Toc336269683"/>
      <w:bookmarkStart w:id="4150" w:name="_Toc336270096"/>
      <w:bookmarkStart w:id="4151" w:name="_Toc336271296"/>
      <w:bookmarkStart w:id="4152" w:name="_Toc337652002"/>
      <w:bookmarkStart w:id="4153" w:name="_Toc349577191"/>
      <w:bookmarkStart w:id="4154" w:name="_Toc349579283"/>
      <w:bookmarkStart w:id="4155" w:name="_Toc349580598"/>
      <w:bookmarkStart w:id="4156" w:name="_Toc349735006"/>
      <w:bookmarkStart w:id="4157" w:name="_Toc349742371"/>
      <w:r w:rsidRPr="00B53FFB">
        <w:t>Network Performance</w:t>
      </w:r>
      <w:bookmarkEnd w:id="4114"/>
      <w:bookmarkEnd w:id="4115"/>
      <w:bookmarkEnd w:id="4116"/>
      <w:bookmarkEnd w:id="4117"/>
      <w:bookmarkEnd w:id="4118"/>
      <w:bookmarkEnd w:id="4119"/>
      <w:bookmarkEnd w:id="4120"/>
      <w:bookmarkEnd w:id="4121"/>
      <w:bookmarkEnd w:id="4122"/>
      <w:bookmarkEnd w:id="4123"/>
      <w:bookmarkEnd w:id="4124"/>
      <w:bookmarkEnd w:id="4125"/>
      <w:bookmarkEnd w:id="4126"/>
      <w:bookmarkEnd w:id="4127"/>
      <w:bookmarkEnd w:id="4128"/>
      <w:bookmarkEnd w:id="4129"/>
      <w:bookmarkEnd w:id="4130"/>
      <w:bookmarkEnd w:id="4131"/>
      <w:bookmarkEnd w:id="4132"/>
      <w:bookmarkEnd w:id="4133"/>
      <w:bookmarkEnd w:id="4134"/>
      <w:bookmarkEnd w:id="4135"/>
      <w:bookmarkEnd w:id="4136"/>
      <w:bookmarkEnd w:id="4137"/>
      <w:bookmarkEnd w:id="4138"/>
      <w:bookmarkEnd w:id="4139"/>
      <w:bookmarkEnd w:id="4140"/>
      <w:bookmarkEnd w:id="4141"/>
      <w:bookmarkEnd w:id="4142"/>
      <w:bookmarkEnd w:id="4143"/>
      <w:bookmarkEnd w:id="4144"/>
      <w:bookmarkEnd w:id="4145"/>
      <w:bookmarkEnd w:id="4146"/>
      <w:bookmarkEnd w:id="4147"/>
      <w:bookmarkEnd w:id="4148"/>
      <w:bookmarkEnd w:id="4149"/>
      <w:bookmarkEnd w:id="4150"/>
      <w:bookmarkEnd w:id="4151"/>
      <w:bookmarkEnd w:id="4152"/>
      <w:bookmarkEnd w:id="4153"/>
      <w:bookmarkEnd w:id="4154"/>
      <w:bookmarkEnd w:id="4155"/>
      <w:bookmarkEnd w:id="4156"/>
      <w:bookmarkEnd w:id="4157"/>
    </w:p>
    <w:p w:rsidR="004A147C" w:rsidRPr="00B53FFB" w:rsidRDefault="004A147C" w:rsidP="00CE5850">
      <w:pPr>
        <w:pStyle w:val="ParaNum"/>
        <w:numPr>
          <w:ilvl w:val="0"/>
          <w:numId w:val="28"/>
        </w:numPr>
        <w:rPr>
          <w:sz w:val="22"/>
          <w:szCs w:val="22"/>
        </w:rPr>
      </w:pPr>
      <w:r w:rsidRPr="00B53FFB">
        <w:rPr>
          <w:sz w:val="22"/>
          <w:szCs w:val="22"/>
        </w:rPr>
        <w:t>The Commission has recognized the importance of accurate and timely data on mobile network performance and coverage in informing consumer decisions, Commission policy, and service provider network investment decisions.  The National Broadband Plan recommends that the Commission develop broadband performance testing standards for mobile services, expand on current initiatives to collect user-generated data on network performance and coverage, and continue to work with measurement companies, application designers, device manufactures, and service providers to create an online database to inform the decisions consumers make for their mobile broadband services.</w:t>
      </w:r>
      <w:r w:rsidRPr="00B53FFB">
        <w:rPr>
          <w:rStyle w:val="FootnoteReference"/>
          <w:szCs w:val="22"/>
        </w:rPr>
        <w:footnoteReference w:id="879"/>
      </w:r>
      <w:r w:rsidRPr="00B53FFB">
        <w:rPr>
          <w:sz w:val="22"/>
          <w:szCs w:val="22"/>
        </w:rPr>
        <w:t xml:space="preserve">  To this end, in March 2010, the Commission released an iPhone and Android consumer broadband test application that collects and reports data rates, latency, and user location when initiated on the handset.</w:t>
      </w:r>
      <w:r w:rsidRPr="00B53FFB">
        <w:rPr>
          <w:rStyle w:val="FootnoteReference"/>
          <w:szCs w:val="22"/>
        </w:rPr>
        <w:footnoteReference w:id="880"/>
      </w:r>
      <w:r w:rsidRPr="00B53FFB">
        <w:rPr>
          <w:sz w:val="22"/>
          <w:szCs w:val="22"/>
        </w:rPr>
        <w:t xml:space="preserve">  In June 2010, the Commission released a Public Notice seeking comment on the measurement of mobile broadband network performance and coverage, including the best metrics and data collection methods to measure the performance of mobile broadband network.</w:t>
      </w:r>
      <w:r w:rsidRPr="00B53FFB">
        <w:rPr>
          <w:rStyle w:val="FootnoteReference"/>
          <w:szCs w:val="22"/>
        </w:rPr>
        <w:footnoteReference w:id="881"/>
      </w:r>
      <w:r w:rsidRPr="00B53FFB">
        <w:rPr>
          <w:sz w:val="22"/>
          <w:szCs w:val="22"/>
        </w:rPr>
        <w:t xml:space="preserve">  Additionally, in October 2010, the Commission released a Request for Information soliciting information from entities that can provide mobile broadband performance measurement and mapping services, or data that represent the performance of mobile broadband networks across the United States.</w:t>
      </w:r>
      <w:r w:rsidRPr="00B53FFB">
        <w:rPr>
          <w:rStyle w:val="FootnoteReference"/>
          <w:szCs w:val="22"/>
        </w:rPr>
        <w:footnoteReference w:id="882"/>
      </w:r>
      <w:r w:rsidRPr="00B53FFB">
        <w:rPr>
          <w:sz w:val="22"/>
          <w:szCs w:val="22"/>
        </w:rPr>
        <w:t xml:space="preserve">  </w:t>
      </w:r>
    </w:p>
    <w:p w:rsidR="004A147C" w:rsidRPr="00B53FFB" w:rsidRDefault="004A147C" w:rsidP="00CE5850">
      <w:pPr>
        <w:pStyle w:val="ParaNum"/>
        <w:numPr>
          <w:ilvl w:val="0"/>
          <w:numId w:val="28"/>
        </w:numPr>
        <w:rPr>
          <w:sz w:val="22"/>
          <w:szCs w:val="22"/>
        </w:rPr>
      </w:pPr>
      <w:r w:rsidRPr="00B53FFB">
        <w:rPr>
          <w:sz w:val="22"/>
          <w:szCs w:val="22"/>
        </w:rPr>
        <w:t>In December 2010, as part of its rules on Internet openness, the Commission adopted a transparency rule for both fixed and mobile broadband Internet providers under which they are required to “publicly disclose accurate information regarding the network management practices, performance, and commercial terms of its broadband Internet access services sufficient for consumers to make informed choices regarding use of such services.”</w:t>
      </w:r>
      <w:r w:rsidRPr="00B53FFB">
        <w:rPr>
          <w:rStyle w:val="FootnoteReference"/>
          <w:szCs w:val="22"/>
        </w:rPr>
        <w:footnoteReference w:id="883"/>
      </w:r>
      <w:r w:rsidRPr="00B53FFB">
        <w:rPr>
          <w:sz w:val="22"/>
          <w:szCs w:val="22"/>
        </w:rPr>
        <w:t xml:space="preserve">  In providing guidance regarding effective disclosure models, the order lists types of information, some or all of which the Commission expects would be included in an effective disclosure.</w:t>
      </w:r>
      <w:r w:rsidRPr="00B53FFB">
        <w:rPr>
          <w:rStyle w:val="FootnoteReference"/>
          <w:szCs w:val="22"/>
        </w:rPr>
        <w:footnoteReference w:id="884"/>
      </w:r>
      <w:r w:rsidRPr="00B53FFB">
        <w:rPr>
          <w:sz w:val="22"/>
          <w:szCs w:val="22"/>
        </w:rPr>
        <w:t xml:space="preserve">  Included in this list are “[a] general description of the service, including the service technology, expected and actual access speed and latency, and the suitability of the service for real-time applications.”</w:t>
      </w:r>
      <w:r w:rsidRPr="00B53FFB">
        <w:rPr>
          <w:rStyle w:val="FootnoteReference"/>
          <w:szCs w:val="22"/>
        </w:rPr>
        <w:footnoteReference w:id="885"/>
      </w:r>
      <w:r w:rsidRPr="00B53FFB">
        <w:rPr>
          <w:sz w:val="22"/>
          <w:szCs w:val="22"/>
        </w:rPr>
        <w:t xml:space="preserve">   In February 2011, the Commission adopted the Modernizing the FCC Form 477 Data Program NPRM to modernize and streamline the data collection and utilization to better support informed policymaking, promoting competition and protecting consumers.</w:t>
      </w:r>
      <w:r w:rsidRPr="00B53FFB">
        <w:rPr>
          <w:rStyle w:val="FootnoteReference"/>
          <w:szCs w:val="22"/>
        </w:rPr>
        <w:footnoteReference w:id="886"/>
      </w:r>
      <w:r w:rsidRPr="00B53FFB">
        <w:rPr>
          <w:sz w:val="22"/>
          <w:szCs w:val="22"/>
        </w:rPr>
        <w:t xml:space="preserve">  Also as part of our Consumer Empowerment Agenda, the Commission released the second </w:t>
      </w:r>
      <w:r w:rsidRPr="00B53FFB">
        <w:rPr>
          <w:i/>
          <w:sz w:val="22"/>
          <w:szCs w:val="22"/>
        </w:rPr>
        <w:t>Measuring Broadband America</w:t>
      </w:r>
      <w:r w:rsidRPr="00B53FFB">
        <w:rPr>
          <w:sz w:val="22"/>
          <w:szCs w:val="22"/>
        </w:rPr>
        <w:t xml:space="preserve"> report in July 2012, a comprehensive nationwide study of actual home broadband network performance provided by fixed broadband service providers cable, DSL, and fiber in the United States.</w:t>
      </w:r>
      <w:r w:rsidRPr="00B53FFB">
        <w:rPr>
          <w:rStyle w:val="FootnoteReference"/>
          <w:szCs w:val="22"/>
        </w:rPr>
        <w:footnoteReference w:id="887"/>
      </w:r>
      <w:r w:rsidRPr="00B53FFB">
        <w:rPr>
          <w:sz w:val="22"/>
          <w:szCs w:val="22"/>
        </w:rPr>
        <w:t xml:space="preserve">  </w:t>
      </w:r>
    </w:p>
    <w:p w:rsidR="004A147C" w:rsidRPr="00B53FFB" w:rsidRDefault="004A147C" w:rsidP="00CE5850">
      <w:pPr>
        <w:pStyle w:val="ParaNum"/>
        <w:numPr>
          <w:ilvl w:val="0"/>
          <w:numId w:val="28"/>
        </w:numPr>
        <w:rPr>
          <w:sz w:val="22"/>
          <w:szCs w:val="22"/>
        </w:rPr>
      </w:pPr>
      <w:r w:rsidRPr="00B53FFB">
        <w:rPr>
          <w:sz w:val="22"/>
          <w:szCs w:val="22"/>
        </w:rPr>
        <w:t>On September 21, 2012, Commission staff held a</w:t>
      </w:r>
      <w:r>
        <w:rPr>
          <w:sz w:val="22"/>
          <w:szCs w:val="22"/>
        </w:rPr>
        <w:t xml:space="preserve"> public</w:t>
      </w:r>
      <w:r w:rsidRPr="00B53FFB">
        <w:rPr>
          <w:sz w:val="22"/>
          <w:szCs w:val="22"/>
        </w:rPr>
        <w:t xml:space="preserve"> meeting to discuss the initiation of a new program to develop consistent information on industry wide mobile broadband service performance</w:t>
      </w:r>
      <w:r w:rsidRPr="00B53FFB" w:rsidDel="003D7F46">
        <w:rPr>
          <w:sz w:val="22"/>
          <w:szCs w:val="22"/>
        </w:rPr>
        <w:t xml:space="preserve"> </w:t>
      </w:r>
      <w:r w:rsidRPr="00B53FFB">
        <w:rPr>
          <w:sz w:val="22"/>
          <w:szCs w:val="22"/>
        </w:rPr>
        <w:t>in the United States.</w:t>
      </w:r>
      <w:r w:rsidRPr="00B53FFB">
        <w:rPr>
          <w:rStyle w:val="FootnoteReference"/>
          <w:szCs w:val="22"/>
        </w:rPr>
        <w:footnoteReference w:id="888"/>
      </w:r>
      <w:r w:rsidRPr="00B53FFB">
        <w:rPr>
          <w:sz w:val="22"/>
          <w:szCs w:val="22"/>
        </w:rPr>
        <w:t xml:space="preserve">  In particular, Commission staff discussed with industry representatives and other interested parties the technical methods for performance testing of mobile broadband Internet service, methodological approaches to remotely acquiring and analyzing such data, and other methodological considerations for the testing of mobile broadband performance.</w:t>
      </w:r>
      <w:r w:rsidRPr="00B53FFB">
        <w:rPr>
          <w:rStyle w:val="FootnoteReference"/>
          <w:szCs w:val="22"/>
        </w:rPr>
        <w:footnoteReference w:id="889"/>
      </w:r>
      <w:r w:rsidRPr="00B53FFB">
        <w:rPr>
          <w:sz w:val="22"/>
          <w:szCs w:val="22"/>
        </w:rPr>
        <w:t>Currently, obtaining accurately measured data on the overall quality of a mobile wireless service provider’s network presents certain challenges.  For instance, there is neither a standardized industry-wide definition of network quality nor a definitive method to measure it.  For voice services, network quality metrics include the strength and coverage of the signal, voice call quality,</w:t>
      </w:r>
      <w:r w:rsidRPr="00B53FFB">
        <w:rPr>
          <w:rStyle w:val="FootnoteReference"/>
          <w:szCs w:val="22"/>
        </w:rPr>
        <w:footnoteReference w:id="890"/>
      </w:r>
      <w:r w:rsidRPr="00B53FFB">
        <w:rPr>
          <w:sz w:val="22"/>
          <w:szCs w:val="22"/>
        </w:rPr>
        <w:t xml:space="preserve"> and metrics that measure the reliability of the connection such as dropped or blocked calls.  For broadband data services, network quality metrics include downlink and uplink data speeds and latencies as well as metrics that measure the reliability of the data connection such as the connectivity and maintainability of successful data sessions.  </w:t>
      </w:r>
    </w:p>
    <w:p w:rsidR="004A147C" w:rsidRPr="00B53FFB" w:rsidRDefault="004A147C" w:rsidP="00CE5850">
      <w:pPr>
        <w:pStyle w:val="ParaNum"/>
        <w:numPr>
          <w:ilvl w:val="0"/>
          <w:numId w:val="28"/>
        </w:numPr>
        <w:rPr>
          <w:sz w:val="22"/>
          <w:szCs w:val="22"/>
        </w:rPr>
      </w:pPr>
      <w:r w:rsidRPr="00B53FFB">
        <w:rPr>
          <w:sz w:val="22"/>
          <w:szCs w:val="22"/>
        </w:rPr>
        <w:t>In addition, the overall mobile broadband network service quality experienced by consumers may vary greatly with a number of real world factors such as the service provider’s received signal quality, cell traffic loading, and network capacity in different locations as well as the capability of consumers’ devices.</w:t>
      </w:r>
      <w:r w:rsidRPr="00B53FFB">
        <w:rPr>
          <w:sz w:val="22"/>
          <w:szCs w:val="22"/>
          <w:vertAlign w:val="superscript"/>
        </w:rPr>
        <w:footnoteReference w:id="891"/>
      </w:r>
      <w:r w:rsidRPr="00B53FFB">
        <w:rPr>
          <w:sz w:val="22"/>
          <w:szCs w:val="22"/>
        </w:rPr>
        <w:t xml:space="preserve">  Moreover, from the customer’s perspective, overall network performance is the product of more than network quality alone and often reflects differences in device capability as well.</w:t>
      </w:r>
      <w:r w:rsidRPr="00B53FFB">
        <w:rPr>
          <w:sz w:val="22"/>
          <w:szCs w:val="22"/>
          <w:vertAlign w:val="superscript"/>
        </w:rPr>
        <w:footnoteReference w:id="892"/>
      </w:r>
      <w:r w:rsidRPr="00B53FFB">
        <w:rPr>
          <w:sz w:val="22"/>
          <w:szCs w:val="22"/>
        </w:rPr>
        <w:t xml:space="preserve">  For data services, network quality as perceived by the customer may also be use-case or application-dependent (</w:t>
      </w:r>
      <w:r w:rsidRPr="00B53FFB">
        <w:rPr>
          <w:i/>
          <w:sz w:val="22"/>
          <w:szCs w:val="22"/>
        </w:rPr>
        <w:t>e.g.,</w:t>
      </w:r>
      <w:r w:rsidRPr="00B53FFB">
        <w:rPr>
          <w:sz w:val="22"/>
          <w:szCs w:val="22"/>
        </w:rPr>
        <w:t xml:space="preserve"> a consumer who solely uses e-mail may view the quality of the network differently than one who streams video regularly).  Furthermore, consumers may place more weight on one particular aspect of network quality than another – such as coverage or peak data speeds – when choosing their mobile wireless services.</w:t>
      </w:r>
      <w:r w:rsidRPr="00B53FFB">
        <w:rPr>
          <w:rStyle w:val="FootnoteReference"/>
          <w:szCs w:val="22"/>
        </w:rPr>
        <w:footnoteReference w:id="893"/>
      </w:r>
      <w:r w:rsidRPr="00B53FFB">
        <w:rPr>
          <w:sz w:val="22"/>
          <w:szCs w:val="22"/>
        </w:rPr>
        <w:t xml:space="preserve">       </w:t>
      </w:r>
    </w:p>
    <w:p w:rsidR="004A147C" w:rsidRPr="00900D94" w:rsidRDefault="004A147C" w:rsidP="00CE5850">
      <w:pPr>
        <w:pStyle w:val="ParaNum"/>
        <w:numPr>
          <w:ilvl w:val="0"/>
          <w:numId w:val="28"/>
        </w:numPr>
        <w:rPr>
          <w:sz w:val="22"/>
          <w:szCs w:val="22"/>
        </w:rPr>
      </w:pPr>
      <w:r w:rsidRPr="00B53FFB">
        <w:rPr>
          <w:sz w:val="22"/>
          <w:szCs w:val="22"/>
        </w:rPr>
        <w:t>Despite these challenges, a variety of organizations have conducted mobile wireless broadband network performance studies that make cross-provider comparisons.  The results of these tests are informative, as described below, though these results usually are limited in their scope.</w:t>
      </w:r>
      <w:r w:rsidRPr="00B53FFB">
        <w:rPr>
          <w:rStyle w:val="FootnoteReference"/>
          <w:szCs w:val="22"/>
        </w:rPr>
        <w:footnoteReference w:id="894"/>
      </w:r>
      <w:r w:rsidRPr="00B53FFB">
        <w:rPr>
          <w:sz w:val="22"/>
          <w:szCs w:val="22"/>
        </w:rPr>
        <w:t xml:space="preserve">  The currently available studies also are not intended to provide a comprehensive measure of industry-wide performance.  In addition, studies often utilize different parameters and testing methodologies, making it difficult to draw conclusions related to network performance across these studies.  </w:t>
      </w:r>
    </w:p>
    <w:p w:rsidR="004A147C" w:rsidRPr="00B53FFB" w:rsidRDefault="004A147C" w:rsidP="00CE5850">
      <w:pPr>
        <w:pStyle w:val="ParaNum"/>
        <w:numPr>
          <w:ilvl w:val="0"/>
          <w:numId w:val="28"/>
        </w:numPr>
        <w:rPr>
          <w:sz w:val="22"/>
          <w:szCs w:val="22"/>
        </w:rPr>
      </w:pPr>
      <w:r w:rsidRPr="00B53FFB">
        <w:rPr>
          <w:i/>
          <w:sz w:val="22"/>
          <w:szCs w:val="22"/>
        </w:rPr>
        <w:t>Network Performance Data and Studies</w:t>
      </w:r>
      <w:r w:rsidRPr="00B53FFB">
        <w:rPr>
          <w:sz w:val="22"/>
          <w:szCs w:val="22"/>
        </w:rPr>
        <w:t xml:space="preserve">.  Service providers often publish network quality information, such as coverage maps and data throughput ranges, which are based on sampling measurements of their network performance.  This network quality information is typically based on data gathered on the actual network performance, which are obtained in several ways, including through consumer surveys, network drive tests, fixed probes, internal network level assessments, and the use of crowd-sourcing smartphone applications.    </w:t>
      </w:r>
    </w:p>
    <w:p w:rsidR="004A147C" w:rsidRPr="00B53FFB" w:rsidRDefault="004A147C" w:rsidP="00CE5850">
      <w:pPr>
        <w:pStyle w:val="ParaNum"/>
        <w:numPr>
          <w:ilvl w:val="0"/>
          <w:numId w:val="28"/>
        </w:numPr>
        <w:rPr>
          <w:sz w:val="22"/>
          <w:szCs w:val="22"/>
        </w:rPr>
      </w:pPr>
      <w:r w:rsidRPr="00B53FFB">
        <w:rPr>
          <w:sz w:val="22"/>
          <w:szCs w:val="22"/>
        </w:rPr>
        <w:t>J.D. Power publishes a consumer survey study twice a year that measures wireless call quality performance in terms of the number of problems per 100 calls (PP100), where a lower score reflects fewer problems and higher wireless call quality performance.</w:t>
      </w:r>
      <w:r w:rsidRPr="00B53FFB">
        <w:rPr>
          <w:sz w:val="22"/>
          <w:szCs w:val="22"/>
          <w:vertAlign w:val="superscript"/>
        </w:rPr>
        <w:footnoteReference w:id="895"/>
      </w:r>
      <w:r w:rsidRPr="00B53FFB">
        <w:rPr>
          <w:sz w:val="22"/>
          <w:szCs w:val="22"/>
        </w:rPr>
        <w:t xml:space="preserve">  The </w:t>
      </w:r>
      <w:r w:rsidRPr="00B53FFB">
        <w:rPr>
          <w:i/>
          <w:sz w:val="22"/>
          <w:szCs w:val="22"/>
        </w:rPr>
        <w:t>2011 Wireless Call Quality Study – Volume 1</w:t>
      </w:r>
      <w:r w:rsidRPr="00B53FFB">
        <w:rPr>
          <w:sz w:val="22"/>
          <w:szCs w:val="22"/>
        </w:rPr>
        <w:t>, conducted during the second half of 2010, found the fraction of wireless calls in indoor environments increased to an average of 56 percent which may have contributed to a drop in call quality from 13 PP100 to 14 PP100 scores.  The report found that Verizon Wireless ranked highest in most regions of the country and U.S. Cellular ranked the highest in the North Central region.</w:t>
      </w:r>
      <w:r w:rsidRPr="00B53FFB">
        <w:rPr>
          <w:rStyle w:val="FootnoteReference"/>
          <w:szCs w:val="22"/>
        </w:rPr>
        <w:footnoteReference w:id="896"/>
      </w:r>
      <w:r w:rsidRPr="00B53FFB">
        <w:rPr>
          <w:sz w:val="22"/>
          <w:szCs w:val="22"/>
        </w:rPr>
        <w:t xml:space="preserve">  In the </w:t>
      </w:r>
      <w:r w:rsidRPr="00B53FFB">
        <w:rPr>
          <w:i/>
          <w:sz w:val="22"/>
          <w:szCs w:val="22"/>
        </w:rPr>
        <w:t>2011 Wireless Call Quality Study – Volume 2</w:t>
      </w:r>
      <w:r w:rsidRPr="00B53FFB">
        <w:rPr>
          <w:sz w:val="22"/>
          <w:szCs w:val="22"/>
        </w:rPr>
        <w:t>, conducted during the first half of 2011, J.D. Power changed the overall network performance study to include voice calling, text messaging and data connections where the PP100 scores are now based on ten problem areas of network connection problems.  The report found that Verizon Wireless ranked highest in most regions of the country with the new PP100 scores except the North Central region where U.S. Cellular ranked highest.</w:t>
      </w:r>
      <w:r w:rsidRPr="00B53FFB">
        <w:rPr>
          <w:rStyle w:val="FootnoteReference"/>
          <w:szCs w:val="22"/>
        </w:rPr>
        <w:footnoteReference w:id="897"/>
      </w:r>
      <w:r w:rsidRPr="00B53FFB">
        <w:rPr>
          <w:sz w:val="22"/>
          <w:szCs w:val="22"/>
        </w:rPr>
        <w:t xml:space="preserve">  </w:t>
      </w:r>
    </w:p>
    <w:p w:rsidR="004A147C" w:rsidRPr="00B53FFB" w:rsidRDefault="004A147C" w:rsidP="00CE5850">
      <w:pPr>
        <w:pStyle w:val="ParaNum"/>
        <w:numPr>
          <w:ilvl w:val="0"/>
          <w:numId w:val="28"/>
        </w:numPr>
        <w:rPr>
          <w:sz w:val="22"/>
          <w:szCs w:val="22"/>
        </w:rPr>
      </w:pPr>
      <w:r w:rsidRPr="00B53FFB">
        <w:rPr>
          <w:sz w:val="22"/>
          <w:szCs w:val="22"/>
        </w:rPr>
        <w:t xml:space="preserve">The </w:t>
      </w:r>
      <w:r w:rsidRPr="00B53FFB">
        <w:rPr>
          <w:i/>
          <w:sz w:val="22"/>
          <w:szCs w:val="22"/>
        </w:rPr>
        <w:t>2012 Wireless Call Quality Study – Volume 1</w:t>
      </w:r>
      <w:r w:rsidRPr="00B53FFB">
        <w:rPr>
          <w:sz w:val="22"/>
          <w:szCs w:val="22"/>
        </w:rPr>
        <w:t>, conducted during the second half of 2011, found that data-related issues such as mobile Web and email problems had increased overall since early 2011.  Problems of excessively slow mobile Web download speeds and email connection errors had increased from an average of 19 PP100 in the first half of 2011 to an average of 21 PP100 in the second half of 2011.  However, the latest report also found that other network quality areas such as calling or text messaging had remained steady.</w:t>
      </w:r>
      <w:r w:rsidRPr="00B53FFB">
        <w:rPr>
          <w:rStyle w:val="FootnoteReference"/>
          <w:szCs w:val="22"/>
        </w:rPr>
        <w:footnoteReference w:id="898"/>
      </w:r>
      <w:r w:rsidRPr="00B53FFB">
        <w:rPr>
          <w:sz w:val="22"/>
          <w:szCs w:val="22"/>
        </w:rPr>
        <w:t xml:space="preserve">  The overall average industry network performance quality survey for the six study regions degraded slightly in the second half of 2011 from the first half of 2011.</w:t>
      </w:r>
      <w:r w:rsidRPr="00B53FFB">
        <w:rPr>
          <w:rStyle w:val="FootnoteReference"/>
          <w:szCs w:val="22"/>
        </w:rPr>
        <w:footnoteReference w:id="899"/>
      </w:r>
      <w:r w:rsidRPr="00B53FFB">
        <w:rPr>
          <w:sz w:val="22"/>
          <w:szCs w:val="22"/>
        </w:rPr>
        <w:t xml:space="preserve">  </w:t>
      </w:r>
    </w:p>
    <w:p w:rsidR="004A147C" w:rsidRPr="00B53FFB" w:rsidRDefault="004A147C" w:rsidP="00CE5850">
      <w:pPr>
        <w:pStyle w:val="ParaNum"/>
        <w:numPr>
          <w:ilvl w:val="0"/>
          <w:numId w:val="28"/>
        </w:numPr>
        <w:rPr>
          <w:sz w:val="22"/>
          <w:szCs w:val="22"/>
        </w:rPr>
      </w:pPr>
      <w:r w:rsidRPr="00B53FFB">
        <w:rPr>
          <w:sz w:val="22"/>
          <w:szCs w:val="22"/>
        </w:rPr>
        <w:t>The Nielsen Company’s national service quality benchmark program provides a detailed snapshot of mobile wireless network performance and reliability using its fleet of 35 test vehicles and state-of-the-art mobile wireless network testing equipment.  It performs extensive drive tests annually in 264 US markets and provides a detailed voice and data network quality test report.   An update of Nielsen’s 2011 national wireless data network performance report, released in March 2012, finds that mobile wireless broadband coverage is expanding across the top 100 US markets with new deployments of LTE and HSPA+.</w:t>
      </w:r>
      <w:r w:rsidRPr="00B53FFB">
        <w:rPr>
          <w:rStyle w:val="FootnoteReference"/>
          <w:szCs w:val="22"/>
        </w:rPr>
        <w:footnoteReference w:id="900"/>
      </w:r>
      <w:r w:rsidRPr="00B53FFB">
        <w:rPr>
          <w:sz w:val="22"/>
          <w:szCs w:val="22"/>
        </w:rPr>
        <w:t xml:space="preserve">  The small-file (0.2 MB) industry median download data speed increased from 0.398 Mbps with 98.2 percent reliability in 2009 to 0.523 Mbps with 98.3 percent reliability in 2011.  The large-file (4 MB) industry median download data speed increased from 0.632 Mbps with 94.3 percent reliability in 2009 to 1.693 Mbps with 95.2 percent reliability in 2011.</w:t>
      </w:r>
      <w:r w:rsidRPr="00B53FFB">
        <w:rPr>
          <w:rStyle w:val="FootnoteReference"/>
          <w:szCs w:val="22"/>
        </w:rPr>
        <w:footnoteReference w:id="901"/>
      </w:r>
      <w:r w:rsidRPr="00B53FFB">
        <w:rPr>
          <w:sz w:val="22"/>
          <w:szCs w:val="22"/>
        </w:rPr>
        <w:t xml:space="preserve">  </w:t>
      </w:r>
    </w:p>
    <w:p w:rsidR="004A147C" w:rsidRPr="00B53FFB" w:rsidRDefault="004A147C" w:rsidP="00CE5850">
      <w:pPr>
        <w:pStyle w:val="ParaNum"/>
        <w:numPr>
          <w:ilvl w:val="0"/>
          <w:numId w:val="28"/>
        </w:numPr>
        <w:rPr>
          <w:sz w:val="22"/>
          <w:szCs w:val="22"/>
        </w:rPr>
      </w:pPr>
      <w:r w:rsidRPr="00B53FFB">
        <w:rPr>
          <w:sz w:val="22"/>
          <w:szCs w:val="22"/>
        </w:rPr>
        <w:t xml:space="preserve">Nielsen also evaluated the availability of mobile wireless broadband networks that have at least 2 Mbps and at least 4 Mbps average download data speeds in the top 100 markets.  It found that in nine of the top 100 markets, there is no mobile wireless broadband network capable of 4 Mbps average download data speed, in 34 markets there is only one network, in 44 markets there are two networks, and in 13 markets there are three networks.   For wireless broadband networks capable of 2 Mbps average download data speed in the top 100 markets, in six of the top 100 markets there is only one mobile wireless network available, in 28 markets there are two networks, in 25 markets there are three networks, in 36 markets there are four networks, and in five markets there are five networks.  It also found that there are at least two mobile wireless broadband networks capable of offering 90 percent reliability and 95 percent large file download reliability in 100 and in 94 of the top 100 markets, respectively. </w:t>
      </w:r>
      <w:r w:rsidRPr="00B53FFB">
        <w:rPr>
          <w:rStyle w:val="FootnoteReference"/>
          <w:szCs w:val="22"/>
        </w:rPr>
        <w:footnoteReference w:id="902"/>
      </w:r>
    </w:p>
    <w:p w:rsidR="004A147C" w:rsidRPr="00B53FFB" w:rsidRDefault="004A147C" w:rsidP="00CE5850">
      <w:pPr>
        <w:pStyle w:val="Heading2"/>
        <w:keepNext w:val="0"/>
      </w:pPr>
      <w:bookmarkStart w:id="4158" w:name="_Toc336268634"/>
      <w:bookmarkStart w:id="4159" w:name="_Toc336268742"/>
      <w:bookmarkStart w:id="4160" w:name="_Toc336268849"/>
      <w:bookmarkStart w:id="4161" w:name="_Toc336269063"/>
      <w:bookmarkStart w:id="4162" w:name="_Toc336269170"/>
      <w:bookmarkStart w:id="4163" w:name="_Toc336269538"/>
      <w:bookmarkStart w:id="4164" w:name="_Toc336269684"/>
      <w:bookmarkStart w:id="4165" w:name="_Toc336270097"/>
      <w:bookmarkStart w:id="4166" w:name="_Toc336271297"/>
      <w:bookmarkStart w:id="4167" w:name="_Toc337652003"/>
      <w:bookmarkStart w:id="4168" w:name="_Toc349577192"/>
      <w:bookmarkStart w:id="4169" w:name="_Toc349579284"/>
      <w:bookmarkStart w:id="4170" w:name="_Toc349580599"/>
      <w:bookmarkStart w:id="4171" w:name="_Toc349735007"/>
      <w:bookmarkStart w:id="4172" w:name="_Toc349742372"/>
      <w:r w:rsidRPr="00B53FFB">
        <w:t>Network Coverage by Income Level</w:t>
      </w:r>
      <w:bookmarkEnd w:id="4158"/>
      <w:bookmarkEnd w:id="4159"/>
      <w:bookmarkEnd w:id="4160"/>
      <w:bookmarkEnd w:id="4161"/>
      <w:bookmarkEnd w:id="4162"/>
      <w:bookmarkEnd w:id="4163"/>
      <w:bookmarkEnd w:id="4164"/>
      <w:bookmarkEnd w:id="4165"/>
      <w:bookmarkEnd w:id="4166"/>
      <w:bookmarkEnd w:id="4167"/>
      <w:bookmarkEnd w:id="4168"/>
      <w:bookmarkEnd w:id="4169"/>
      <w:bookmarkEnd w:id="4170"/>
      <w:bookmarkEnd w:id="4171"/>
      <w:bookmarkEnd w:id="4172"/>
    </w:p>
    <w:p w:rsidR="004A147C" w:rsidRDefault="004A147C" w:rsidP="00CE5850">
      <w:pPr>
        <w:pStyle w:val="ParaNum"/>
        <w:numPr>
          <w:ilvl w:val="0"/>
          <w:numId w:val="28"/>
        </w:numPr>
        <w:rPr>
          <w:sz w:val="22"/>
          <w:szCs w:val="22"/>
        </w:rPr>
      </w:pPr>
      <w:bookmarkStart w:id="4173" w:name="_Toc277171524"/>
      <w:bookmarkStart w:id="4174" w:name="_Toc277864499"/>
      <w:bookmarkStart w:id="4175" w:name="_Toc277864715"/>
      <w:bookmarkStart w:id="4176" w:name="_Toc285810396"/>
      <w:bookmarkStart w:id="4177" w:name="_Toc287257790"/>
      <w:bookmarkStart w:id="4178" w:name="_Toc291758669"/>
      <w:bookmarkStart w:id="4179" w:name="_Toc291758772"/>
      <w:bookmarkStart w:id="4180" w:name="_Toc295392952"/>
      <w:r w:rsidRPr="00B53FFB">
        <w:rPr>
          <w:sz w:val="22"/>
          <w:szCs w:val="22"/>
        </w:rPr>
        <w:t>We also</w:t>
      </w:r>
      <w:r w:rsidRPr="00B53FFB">
        <w:rPr>
          <w:i/>
          <w:sz w:val="22"/>
          <w:szCs w:val="22"/>
        </w:rPr>
        <w:t xml:space="preserve"> </w:t>
      </w:r>
      <w:r w:rsidRPr="00B53FFB">
        <w:rPr>
          <w:sz w:val="22"/>
          <w:szCs w:val="22"/>
        </w:rPr>
        <w:t xml:space="preserve">analyze how the number of facilities-based mobile wireless providers that have coverage in a census tract varies based on median household income levels.  The analysis is based on mobile wireless and mobile broadband coverage data reported by </w:t>
      </w:r>
      <w:r w:rsidRPr="00B53FFB">
        <w:rPr>
          <w:color w:val="000000"/>
          <w:sz w:val="22"/>
          <w:szCs w:val="22"/>
        </w:rPr>
        <w:t xml:space="preserve">Mosaik </w:t>
      </w:r>
      <w:r w:rsidRPr="00B53FFB">
        <w:rPr>
          <w:sz w:val="22"/>
          <w:szCs w:val="22"/>
        </w:rPr>
        <w:t>and the median household income levels in each of the country’s 74,000 census tracts based on United States Census Bureau’s American Community Survey 2006-2010 (ACS).</w:t>
      </w:r>
      <w:r w:rsidRPr="00B53FFB">
        <w:rPr>
          <w:rStyle w:val="FootnoteReference"/>
          <w:szCs w:val="22"/>
        </w:rPr>
        <w:footnoteReference w:id="903"/>
      </w:r>
      <w:r w:rsidRPr="00B53FFB">
        <w:rPr>
          <w:sz w:val="22"/>
          <w:szCs w:val="22"/>
        </w:rPr>
        <w:t xml:space="preserve">  </w:t>
      </w:r>
      <w:r w:rsidR="005B380F">
        <w:fldChar w:fldCharType="begin"/>
      </w:r>
      <w:r w:rsidR="005B380F">
        <w:instrText xml:space="preserve"> REF _Ref277002238 \h  \* MERGEFORMAT </w:instrText>
      </w:r>
      <w:r w:rsidR="005B380F">
        <w:fldChar w:fldCharType="separate"/>
      </w:r>
      <w:r w:rsidR="00CA3AC6" w:rsidRPr="00B53FFB">
        <w:rPr>
          <w:sz w:val="22"/>
          <w:szCs w:val="22"/>
        </w:rPr>
        <w:t xml:space="preserve">Chart </w:t>
      </w:r>
      <w:r w:rsidR="00CA3AC6">
        <w:rPr>
          <w:noProof/>
          <w:sz w:val="22"/>
          <w:szCs w:val="22"/>
        </w:rPr>
        <w:t>40</w:t>
      </w:r>
      <w:r w:rsidR="005B380F">
        <w:fldChar w:fldCharType="end"/>
      </w:r>
      <w:r w:rsidRPr="00B53FFB">
        <w:rPr>
          <w:sz w:val="22"/>
          <w:szCs w:val="22"/>
        </w:rPr>
        <w:t xml:space="preserve"> below shows that the average number of mobile wireless providers increased from 5.38 in census tracts with median household income less than $25,000 to 5.81 in census tracts with median household income of more than $150,000, an increase of 0.43 service providers.  The average number of mobile broadband providers increased from 4.85 in census tracts with median household income less than $25,000 to 5.47 in census tracts with median household income of more than $150,000, an increase of 0.62 service providers. Compared to the results reported in the </w:t>
      </w:r>
      <w:r w:rsidRPr="00B53FFB">
        <w:rPr>
          <w:i/>
          <w:sz w:val="22"/>
          <w:szCs w:val="22"/>
        </w:rPr>
        <w:t>Fifteenth Report,</w:t>
      </w:r>
      <w:r w:rsidRPr="00B53FFB">
        <w:rPr>
          <w:sz w:val="22"/>
          <w:szCs w:val="22"/>
        </w:rPr>
        <w:t xml:space="preserve"> the average number of mobile broadband providers has increased by more than 1.3 since August 2010 in all income groups (see </w:t>
      </w:r>
      <w:r w:rsidR="005B380F">
        <w:fldChar w:fldCharType="begin"/>
      </w:r>
      <w:r w:rsidR="005B380F">
        <w:instrText xml:space="preserve"> REF _Ref334112526 \h  \* MERGEFORMAT </w:instrText>
      </w:r>
      <w:r w:rsidR="005B380F">
        <w:fldChar w:fldCharType="separate"/>
      </w:r>
      <w:r w:rsidR="00CA3AC6" w:rsidRPr="00B53FFB">
        <w:rPr>
          <w:sz w:val="22"/>
          <w:szCs w:val="22"/>
        </w:rPr>
        <w:t xml:space="preserve">Chart </w:t>
      </w:r>
      <w:r w:rsidR="00CA3AC6">
        <w:rPr>
          <w:noProof/>
          <w:sz w:val="22"/>
          <w:szCs w:val="22"/>
        </w:rPr>
        <w:t>41</w:t>
      </w:r>
      <w:r w:rsidR="005B380F">
        <w:fldChar w:fldCharType="end"/>
      </w:r>
      <w:r w:rsidRPr="00B53FFB">
        <w:rPr>
          <w:sz w:val="22"/>
          <w:szCs w:val="22"/>
        </w:rPr>
        <w:t>)</w:t>
      </w:r>
      <w:r w:rsidR="000635B6">
        <w:rPr>
          <w:sz w:val="22"/>
          <w:szCs w:val="22"/>
        </w:rPr>
        <w:t>.</w:t>
      </w:r>
      <w:r w:rsidRPr="00B53FFB">
        <w:rPr>
          <w:rStyle w:val="FootnoteReference"/>
          <w:szCs w:val="22"/>
        </w:rPr>
        <w:footnoteReference w:id="904"/>
      </w:r>
    </w:p>
    <w:p w:rsidR="004A147C" w:rsidRDefault="004A147C" w:rsidP="00CE5850">
      <w:pPr>
        <w:pStyle w:val="ParaNum"/>
        <w:tabs>
          <w:tab w:val="clear" w:pos="1440"/>
        </w:tabs>
        <w:rPr>
          <w:sz w:val="22"/>
          <w:szCs w:val="22"/>
        </w:rPr>
      </w:pPr>
    </w:p>
    <w:p w:rsidR="004A147C" w:rsidRDefault="004A147C" w:rsidP="00CE5850">
      <w:pPr>
        <w:pStyle w:val="ParaNum"/>
        <w:tabs>
          <w:tab w:val="clear" w:pos="1440"/>
        </w:tabs>
        <w:rPr>
          <w:sz w:val="22"/>
          <w:szCs w:val="22"/>
        </w:rPr>
      </w:pPr>
    </w:p>
    <w:p w:rsidR="004A147C" w:rsidRDefault="004A147C" w:rsidP="00CE5850">
      <w:pPr>
        <w:pStyle w:val="ParaNum"/>
        <w:tabs>
          <w:tab w:val="clear" w:pos="1440"/>
        </w:tabs>
        <w:rPr>
          <w:sz w:val="22"/>
          <w:szCs w:val="22"/>
        </w:rPr>
      </w:pPr>
    </w:p>
    <w:p w:rsidR="004A147C" w:rsidRDefault="004A147C" w:rsidP="00CE5850">
      <w:pPr>
        <w:pStyle w:val="ParaNum"/>
        <w:tabs>
          <w:tab w:val="clear" w:pos="1440"/>
        </w:tabs>
        <w:rPr>
          <w:sz w:val="22"/>
          <w:szCs w:val="22"/>
        </w:rPr>
      </w:pPr>
    </w:p>
    <w:p w:rsidR="004A147C" w:rsidRDefault="004A147C" w:rsidP="00CE5850">
      <w:pPr>
        <w:pStyle w:val="ParaNum"/>
        <w:tabs>
          <w:tab w:val="clear" w:pos="1440"/>
        </w:tabs>
        <w:rPr>
          <w:sz w:val="22"/>
          <w:szCs w:val="22"/>
        </w:rPr>
      </w:pPr>
    </w:p>
    <w:p w:rsidR="00BE1C87" w:rsidRDefault="00BE1C87" w:rsidP="00CE5850">
      <w:pPr>
        <w:pStyle w:val="ParaNum"/>
        <w:tabs>
          <w:tab w:val="clear" w:pos="1440"/>
        </w:tabs>
        <w:rPr>
          <w:sz w:val="22"/>
          <w:szCs w:val="22"/>
        </w:rPr>
      </w:pPr>
    </w:p>
    <w:p w:rsidR="00BE1C87" w:rsidRDefault="00BE1C87" w:rsidP="00CE5850">
      <w:pPr>
        <w:pStyle w:val="ParaNum"/>
        <w:tabs>
          <w:tab w:val="clear" w:pos="1440"/>
        </w:tabs>
        <w:rPr>
          <w:sz w:val="22"/>
          <w:szCs w:val="22"/>
        </w:rPr>
      </w:pPr>
    </w:p>
    <w:p w:rsidR="00BE1C87" w:rsidRDefault="00BE1C87" w:rsidP="00CE5850">
      <w:pPr>
        <w:pStyle w:val="ParaNum"/>
        <w:tabs>
          <w:tab w:val="clear" w:pos="1440"/>
        </w:tabs>
        <w:rPr>
          <w:sz w:val="22"/>
          <w:szCs w:val="22"/>
        </w:rPr>
      </w:pPr>
    </w:p>
    <w:p w:rsidR="004A147C" w:rsidRDefault="004A147C" w:rsidP="00CE5850">
      <w:pPr>
        <w:pStyle w:val="ParaNum"/>
        <w:tabs>
          <w:tab w:val="clear" w:pos="1440"/>
        </w:tabs>
        <w:rPr>
          <w:sz w:val="22"/>
          <w:szCs w:val="22"/>
        </w:rPr>
      </w:pPr>
    </w:p>
    <w:p w:rsidR="004A147C" w:rsidRPr="00B53FFB" w:rsidRDefault="004A147C" w:rsidP="00CE5850">
      <w:pPr>
        <w:pStyle w:val="ParaNum"/>
        <w:tabs>
          <w:tab w:val="clear" w:pos="1440"/>
        </w:tabs>
        <w:rPr>
          <w:sz w:val="22"/>
          <w:szCs w:val="22"/>
        </w:rPr>
      </w:pPr>
    </w:p>
    <w:p w:rsidR="004A147C" w:rsidRPr="00B53FFB" w:rsidRDefault="004A147C" w:rsidP="00CE5850">
      <w:pPr>
        <w:pStyle w:val="Caption"/>
        <w:widowControl w:val="0"/>
        <w:jc w:val="center"/>
        <w:rPr>
          <w:sz w:val="22"/>
          <w:szCs w:val="22"/>
        </w:rPr>
      </w:pPr>
      <w:bookmarkStart w:id="4181" w:name="_Ref277002238"/>
      <w:bookmarkEnd w:id="4173"/>
      <w:bookmarkEnd w:id="4174"/>
      <w:bookmarkEnd w:id="4175"/>
      <w:bookmarkEnd w:id="4176"/>
      <w:bookmarkEnd w:id="4177"/>
      <w:bookmarkEnd w:id="4178"/>
      <w:bookmarkEnd w:id="4179"/>
      <w:bookmarkEnd w:id="4180"/>
      <w:r w:rsidRPr="00B53FFB">
        <w:rPr>
          <w:sz w:val="22"/>
          <w:szCs w:val="22"/>
        </w:rPr>
        <w:t xml:space="preserve">Chart </w:t>
      </w:r>
      <w:r w:rsidR="0007014B" w:rsidRPr="00B53FFB">
        <w:rPr>
          <w:sz w:val="22"/>
          <w:szCs w:val="22"/>
        </w:rPr>
        <w:fldChar w:fldCharType="begin"/>
      </w:r>
      <w:r w:rsidRPr="00B53FFB">
        <w:rPr>
          <w:sz w:val="22"/>
          <w:szCs w:val="22"/>
        </w:rPr>
        <w:instrText xml:space="preserve"> SEQ Chart \* ARABIC </w:instrText>
      </w:r>
      <w:r w:rsidR="0007014B" w:rsidRPr="00B53FFB">
        <w:rPr>
          <w:sz w:val="22"/>
          <w:szCs w:val="22"/>
        </w:rPr>
        <w:fldChar w:fldCharType="separate"/>
      </w:r>
      <w:r w:rsidR="00CA3AC6">
        <w:rPr>
          <w:noProof/>
          <w:sz w:val="22"/>
          <w:szCs w:val="22"/>
        </w:rPr>
        <w:t>40</w:t>
      </w:r>
      <w:r w:rsidR="0007014B" w:rsidRPr="00B53FFB">
        <w:rPr>
          <w:sz w:val="22"/>
          <w:szCs w:val="22"/>
        </w:rPr>
        <w:fldChar w:fldCharType="end"/>
      </w:r>
      <w:bookmarkEnd w:id="4181"/>
      <w:r w:rsidRPr="00B53FFB">
        <w:rPr>
          <w:sz w:val="22"/>
          <w:szCs w:val="22"/>
        </w:rPr>
        <w:br/>
        <w:t>Average Numbers of Mobile Wireless Providers and Mobile Broadband Providers in Census Tracts by Median Household Income in January 2012</w:t>
      </w:r>
    </w:p>
    <w:p w:rsidR="004A147C" w:rsidRPr="00B53FFB" w:rsidRDefault="00C81B24" w:rsidP="00CE5850">
      <w:pPr>
        <w:jc w:val="center"/>
        <w:rPr>
          <w:szCs w:val="22"/>
        </w:rPr>
      </w:pPr>
      <w:r>
        <w:rPr>
          <w:noProof/>
          <w:szCs w:val="22"/>
        </w:rPr>
        <w:drawing>
          <wp:inline distT="0" distB="0" distL="0" distR="0" wp14:anchorId="44209A81" wp14:editId="31D42533">
            <wp:extent cx="5267325" cy="3038475"/>
            <wp:effectExtent l="0" t="0" r="9525" b="9525"/>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267325" cy="3038475"/>
                    </a:xfrm>
                    <a:prstGeom prst="rect">
                      <a:avLst/>
                    </a:prstGeom>
                    <a:noFill/>
                    <a:ln>
                      <a:noFill/>
                    </a:ln>
                  </pic:spPr>
                </pic:pic>
              </a:graphicData>
            </a:graphic>
          </wp:inline>
        </w:drawing>
      </w:r>
    </w:p>
    <w:p w:rsidR="004A147C" w:rsidRPr="00B53FFB" w:rsidRDefault="004A147C" w:rsidP="00CE5850">
      <w:pPr>
        <w:pStyle w:val="ParaNum2"/>
        <w:tabs>
          <w:tab w:val="clear" w:pos="1440"/>
        </w:tabs>
        <w:ind w:left="720" w:firstLine="0"/>
        <w:rPr>
          <w:szCs w:val="22"/>
        </w:rPr>
      </w:pPr>
    </w:p>
    <w:p w:rsidR="004A147C" w:rsidRPr="00B53FFB" w:rsidRDefault="004A147C" w:rsidP="00CE5850">
      <w:pPr>
        <w:pStyle w:val="Caption"/>
        <w:widowControl w:val="0"/>
        <w:jc w:val="center"/>
        <w:rPr>
          <w:sz w:val="22"/>
          <w:szCs w:val="22"/>
        </w:rPr>
      </w:pPr>
      <w:bookmarkStart w:id="4182" w:name="_Ref334112526"/>
      <w:r w:rsidRPr="00B53FFB">
        <w:rPr>
          <w:sz w:val="22"/>
          <w:szCs w:val="22"/>
        </w:rPr>
        <w:t xml:space="preserve">Chart </w:t>
      </w:r>
      <w:r w:rsidR="0007014B" w:rsidRPr="00B53FFB">
        <w:rPr>
          <w:sz w:val="22"/>
          <w:szCs w:val="22"/>
        </w:rPr>
        <w:fldChar w:fldCharType="begin"/>
      </w:r>
      <w:r w:rsidRPr="00B53FFB">
        <w:rPr>
          <w:sz w:val="22"/>
          <w:szCs w:val="22"/>
        </w:rPr>
        <w:instrText xml:space="preserve"> SEQ Chart \* ARABIC </w:instrText>
      </w:r>
      <w:r w:rsidR="0007014B" w:rsidRPr="00B53FFB">
        <w:rPr>
          <w:sz w:val="22"/>
          <w:szCs w:val="22"/>
        </w:rPr>
        <w:fldChar w:fldCharType="separate"/>
      </w:r>
      <w:r w:rsidR="00CA3AC6">
        <w:rPr>
          <w:noProof/>
          <w:sz w:val="22"/>
          <w:szCs w:val="22"/>
        </w:rPr>
        <w:t>41</w:t>
      </w:r>
      <w:r w:rsidR="0007014B" w:rsidRPr="00B53FFB">
        <w:rPr>
          <w:sz w:val="22"/>
          <w:szCs w:val="22"/>
        </w:rPr>
        <w:fldChar w:fldCharType="end"/>
      </w:r>
      <w:bookmarkEnd w:id="4182"/>
      <w:r w:rsidRPr="00B53FFB">
        <w:rPr>
          <w:sz w:val="22"/>
          <w:szCs w:val="22"/>
        </w:rPr>
        <w:br/>
        <w:t>Average Numbers of Mobile Broadband Providers in August 2010 and January 2012 in Census Tracts by Median Household Income</w:t>
      </w:r>
    </w:p>
    <w:p w:rsidR="004A147C" w:rsidRPr="00B53FFB" w:rsidRDefault="00C81B24" w:rsidP="00CE5850">
      <w:pPr>
        <w:pStyle w:val="ParaNum2"/>
        <w:tabs>
          <w:tab w:val="clear" w:pos="1440"/>
        </w:tabs>
        <w:ind w:left="720" w:firstLine="0"/>
        <w:jc w:val="center"/>
        <w:rPr>
          <w:szCs w:val="22"/>
        </w:rPr>
      </w:pPr>
      <w:r>
        <w:rPr>
          <w:noProof/>
          <w:snapToGrid/>
          <w:szCs w:val="22"/>
        </w:rPr>
        <w:drawing>
          <wp:inline distT="0" distB="0" distL="0" distR="0" wp14:anchorId="32A3E34E" wp14:editId="5453EFA4">
            <wp:extent cx="5629275" cy="3409950"/>
            <wp:effectExtent l="0" t="0" r="9525"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629275" cy="3409950"/>
                    </a:xfrm>
                    <a:prstGeom prst="rect">
                      <a:avLst/>
                    </a:prstGeom>
                    <a:noFill/>
                    <a:ln>
                      <a:noFill/>
                    </a:ln>
                  </pic:spPr>
                </pic:pic>
              </a:graphicData>
            </a:graphic>
          </wp:inline>
        </w:drawing>
      </w:r>
    </w:p>
    <w:p w:rsidR="004A147C" w:rsidRDefault="004A147C" w:rsidP="00CE5850">
      <w:pPr>
        <w:pStyle w:val="ParaNum"/>
        <w:tabs>
          <w:tab w:val="clear" w:pos="1440"/>
        </w:tabs>
        <w:ind w:firstLine="0"/>
        <w:rPr>
          <w:sz w:val="22"/>
          <w:szCs w:val="22"/>
        </w:rPr>
      </w:pPr>
    </w:p>
    <w:p w:rsidR="00BE1C87" w:rsidRDefault="00BE1C87" w:rsidP="00CE5850">
      <w:pPr>
        <w:pStyle w:val="ParaNum"/>
        <w:tabs>
          <w:tab w:val="clear" w:pos="1440"/>
        </w:tabs>
        <w:ind w:firstLine="0"/>
        <w:rPr>
          <w:sz w:val="22"/>
          <w:szCs w:val="22"/>
        </w:rPr>
      </w:pPr>
    </w:p>
    <w:p w:rsidR="00BE1C87" w:rsidRPr="00B53FFB" w:rsidRDefault="00BE1C87" w:rsidP="00CE5850">
      <w:pPr>
        <w:pStyle w:val="ParaNum"/>
        <w:tabs>
          <w:tab w:val="clear" w:pos="1440"/>
        </w:tabs>
        <w:ind w:firstLine="0"/>
        <w:rPr>
          <w:sz w:val="22"/>
          <w:szCs w:val="22"/>
        </w:rPr>
      </w:pPr>
    </w:p>
    <w:p w:rsidR="004A147C" w:rsidRPr="00B53FFB" w:rsidRDefault="004A147C" w:rsidP="00CE5850">
      <w:pPr>
        <w:pStyle w:val="Heading1"/>
        <w:keepNext w:val="0"/>
        <w:numPr>
          <w:ilvl w:val="0"/>
          <w:numId w:val="26"/>
        </w:numPr>
        <w:tabs>
          <w:tab w:val="left" w:pos="720"/>
        </w:tabs>
        <w:suppressAutoHyphens w:val="0"/>
        <w:rPr>
          <w:sz w:val="22"/>
          <w:szCs w:val="22"/>
        </w:rPr>
      </w:pPr>
      <w:bookmarkStart w:id="4183" w:name="_Toc336268635"/>
      <w:bookmarkStart w:id="4184" w:name="_Toc336268743"/>
      <w:bookmarkStart w:id="4185" w:name="_Toc336268850"/>
      <w:bookmarkStart w:id="4186" w:name="_Toc336269064"/>
      <w:bookmarkStart w:id="4187" w:name="_Toc336269171"/>
      <w:bookmarkStart w:id="4188" w:name="_Toc336269539"/>
      <w:bookmarkStart w:id="4189" w:name="_Toc336269685"/>
      <w:bookmarkStart w:id="4190" w:name="_Toc336270098"/>
      <w:bookmarkStart w:id="4191" w:name="_Toc336271298"/>
      <w:bookmarkStart w:id="4192" w:name="_Toc337652004"/>
      <w:bookmarkStart w:id="4193" w:name="_Toc349577193"/>
      <w:bookmarkStart w:id="4194" w:name="_Toc349579285"/>
      <w:bookmarkStart w:id="4195" w:name="_Toc349580600"/>
      <w:bookmarkStart w:id="4196" w:name="_Toc349735008"/>
      <w:bookmarkStart w:id="4197" w:name="_Toc349742373"/>
      <w:r w:rsidRPr="00B53FFB">
        <w:rPr>
          <w:sz w:val="22"/>
          <w:szCs w:val="22"/>
        </w:rPr>
        <w:t>MOBILE WIRELESS SERVICES: CONSUMER BEHAVIOR</w:t>
      </w:r>
      <w:bookmarkEnd w:id="4183"/>
      <w:bookmarkEnd w:id="4184"/>
      <w:bookmarkEnd w:id="4185"/>
      <w:bookmarkEnd w:id="4186"/>
      <w:bookmarkEnd w:id="4187"/>
      <w:bookmarkEnd w:id="4188"/>
      <w:bookmarkEnd w:id="4189"/>
      <w:bookmarkEnd w:id="4190"/>
      <w:bookmarkEnd w:id="4191"/>
      <w:bookmarkEnd w:id="4192"/>
      <w:bookmarkEnd w:id="4193"/>
      <w:bookmarkEnd w:id="4194"/>
      <w:bookmarkEnd w:id="4195"/>
      <w:bookmarkEnd w:id="4196"/>
      <w:bookmarkEnd w:id="4197"/>
    </w:p>
    <w:p w:rsidR="004A147C" w:rsidRPr="00B53FFB" w:rsidRDefault="004A147C" w:rsidP="00CE5850">
      <w:pPr>
        <w:pStyle w:val="ParaNum"/>
        <w:numPr>
          <w:ilvl w:val="0"/>
          <w:numId w:val="28"/>
        </w:numPr>
        <w:spacing w:before="240"/>
        <w:rPr>
          <w:sz w:val="22"/>
          <w:szCs w:val="22"/>
        </w:rPr>
      </w:pPr>
      <w:bookmarkStart w:id="4198" w:name="_Toc55787798"/>
      <w:bookmarkStart w:id="4199" w:name="_Toc57021210"/>
      <w:bookmarkStart w:id="4200" w:name="_Toc67722116"/>
      <w:bookmarkStart w:id="4201" w:name="_Toc83547821"/>
      <w:bookmarkStart w:id="4202" w:name="_Toc112139244"/>
      <w:bookmarkStart w:id="4203" w:name="_Toc113257851"/>
      <w:bookmarkStart w:id="4204" w:name="_Toc113258048"/>
      <w:bookmarkStart w:id="4205" w:name="_Toc113258316"/>
      <w:bookmarkStart w:id="4206" w:name="_Toc113258642"/>
      <w:bookmarkStart w:id="4207" w:name="_Toc113272231"/>
      <w:bookmarkStart w:id="4208" w:name="_Toc115580916"/>
      <w:bookmarkStart w:id="4209" w:name="_Toc136318319"/>
      <w:bookmarkStart w:id="4210" w:name="_Toc136318668"/>
      <w:bookmarkStart w:id="4211" w:name="_Toc136318835"/>
      <w:bookmarkStart w:id="4212" w:name="_Toc138475811"/>
      <w:bookmarkStart w:id="4213" w:name="_Toc146684540"/>
      <w:bookmarkStart w:id="4214" w:name="_Toc147046298"/>
      <w:bookmarkStart w:id="4215" w:name="_Toc171415255"/>
      <w:bookmarkStart w:id="4216" w:name="_Toc173642146"/>
      <w:bookmarkStart w:id="4217" w:name="_Toc173813684"/>
      <w:bookmarkStart w:id="4218" w:name="_Toc175387854"/>
      <w:bookmarkStart w:id="4219" w:name="_Toc176254459"/>
      <w:bookmarkStart w:id="4220" w:name="_Toc176254748"/>
      <w:bookmarkStart w:id="4221" w:name="_Toc176254859"/>
      <w:bookmarkStart w:id="4222" w:name="_Toc176762494"/>
      <w:bookmarkStart w:id="4223" w:name="_Toc176843515"/>
      <w:bookmarkStart w:id="4224" w:name="_Toc176853317"/>
      <w:bookmarkStart w:id="4225" w:name="_Toc176853426"/>
      <w:bookmarkStart w:id="4226" w:name="_Toc176857475"/>
      <w:bookmarkStart w:id="4227" w:name="_Toc179108405"/>
      <w:bookmarkStart w:id="4228" w:name="_Toc179357664"/>
      <w:bookmarkStart w:id="4229" w:name="_Toc181781146"/>
      <w:bookmarkStart w:id="4230" w:name="_Toc182218732"/>
      <w:bookmarkStart w:id="4231" w:name="_Toc182909167"/>
      <w:bookmarkStart w:id="4232" w:name="_Toc182909597"/>
      <w:bookmarkStart w:id="4233" w:name="_Toc182987247"/>
      <w:bookmarkStart w:id="4234" w:name="_Toc183244082"/>
      <w:bookmarkStart w:id="4235" w:name="_Toc183244460"/>
      <w:bookmarkStart w:id="4236" w:name="_Toc183244871"/>
      <w:bookmarkStart w:id="4237" w:name="_Toc183244989"/>
      <w:bookmarkStart w:id="4238" w:name="_Toc183245647"/>
      <w:bookmarkStart w:id="4239" w:name="_Toc183246222"/>
      <w:bookmarkStart w:id="4240" w:name="_Toc183246321"/>
      <w:bookmarkStart w:id="4241" w:name="_Toc185667931"/>
      <w:bookmarkStart w:id="4242" w:name="_Toc185838988"/>
      <w:bookmarkStart w:id="4243" w:name="_Toc185846960"/>
      <w:bookmarkStart w:id="4244" w:name="_Toc185848566"/>
      <w:bookmarkStart w:id="4245" w:name="_Toc188946924"/>
      <w:bookmarkStart w:id="4246" w:name="_Toc189302828"/>
      <w:bookmarkStart w:id="4247" w:name="_Toc209948495"/>
      <w:bookmarkStart w:id="4248" w:name="_Toc209948604"/>
      <w:bookmarkStart w:id="4249" w:name="_Toc209950046"/>
      <w:bookmarkStart w:id="4250" w:name="_Toc210211502"/>
      <w:bookmarkStart w:id="4251" w:name="_Toc210213069"/>
      <w:bookmarkStart w:id="4252" w:name="_Toc210213208"/>
      <w:bookmarkStart w:id="4253" w:name="_Toc210213769"/>
      <w:bookmarkStart w:id="4254" w:name="_Toc212967993"/>
      <w:bookmarkStart w:id="4255" w:name="_Toc215316395"/>
      <w:bookmarkStart w:id="4256" w:name="_Toc215384649"/>
      <w:bookmarkStart w:id="4257" w:name="_Toc217810515"/>
      <w:bookmarkStart w:id="4258" w:name="_Toc261610803"/>
      <w:bookmarkStart w:id="4259" w:name="_Toc261858542"/>
      <w:bookmarkStart w:id="4260" w:name="_Toc262034347"/>
      <w:bookmarkStart w:id="4261" w:name="_Toc262034450"/>
      <w:bookmarkStart w:id="4262" w:name="_Toc55787797"/>
      <w:bookmarkStart w:id="4263" w:name="_Toc57021209"/>
      <w:bookmarkStart w:id="4264" w:name="_Toc67722115"/>
      <w:bookmarkStart w:id="4265" w:name="_Toc83547820"/>
      <w:bookmarkStart w:id="4266" w:name="_Toc112139243"/>
      <w:bookmarkStart w:id="4267" w:name="_Toc113257850"/>
      <w:bookmarkStart w:id="4268" w:name="_Toc113258047"/>
      <w:bookmarkStart w:id="4269" w:name="_Toc113258315"/>
      <w:bookmarkStart w:id="4270" w:name="_Toc113258641"/>
      <w:bookmarkStart w:id="4271" w:name="_Toc113272230"/>
      <w:bookmarkStart w:id="4272" w:name="_Toc115580915"/>
      <w:bookmarkStart w:id="4273" w:name="_Toc136318318"/>
      <w:bookmarkStart w:id="4274" w:name="_Toc136318667"/>
      <w:bookmarkStart w:id="4275" w:name="_Toc136318834"/>
      <w:bookmarkStart w:id="4276" w:name="_Toc138475810"/>
      <w:bookmarkStart w:id="4277" w:name="_Toc146684539"/>
      <w:bookmarkStart w:id="4278" w:name="_Toc147046297"/>
      <w:bookmarkStart w:id="4279" w:name="_Toc171415254"/>
      <w:bookmarkStart w:id="4280" w:name="_Toc173642145"/>
      <w:bookmarkStart w:id="4281" w:name="_Toc173813683"/>
      <w:bookmarkStart w:id="4282" w:name="_Toc175387853"/>
      <w:bookmarkStart w:id="4283" w:name="_Toc176254458"/>
      <w:bookmarkStart w:id="4284" w:name="_Toc176254747"/>
      <w:bookmarkStart w:id="4285" w:name="_Toc176254858"/>
      <w:bookmarkStart w:id="4286" w:name="_Toc176762493"/>
      <w:bookmarkStart w:id="4287" w:name="_Toc176843514"/>
      <w:bookmarkStart w:id="4288" w:name="_Toc176853316"/>
      <w:bookmarkStart w:id="4289" w:name="_Toc176853425"/>
      <w:bookmarkStart w:id="4290" w:name="_Toc176857474"/>
      <w:bookmarkStart w:id="4291" w:name="_Toc179108404"/>
      <w:bookmarkStart w:id="4292" w:name="_Toc179357663"/>
      <w:bookmarkStart w:id="4293" w:name="_Toc181781145"/>
      <w:bookmarkStart w:id="4294" w:name="_Toc182218731"/>
      <w:bookmarkStart w:id="4295" w:name="_Toc182909166"/>
      <w:bookmarkStart w:id="4296" w:name="_Toc182909596"/>
      <w:bookmarkStart w:id="4297" w:name="_Toc182987246"/>
      <w:bookmarkStart w:id="4298" w:name="_Toc183244081"/>
      <w:bookmarkStart w:id="4299" w:name="_Toc183244459"/>
      <w:bookmarkStart w:id="4300" w:name="_Toc183244870"/>
      <w:bookmarkStart w:id="4301" w:name="_Toc183244988"/>
      <w:bookmarkStart w:id="4302" w:name="_Toc183245646"/>
      <w:bookmarkStart w:id="4303" w:name="_Toc183246221"/>
      <w:bookmarkStart w:id="4304" w:name="_Toc183246320"/>
      <w:bookmarkStart w:id="4305" w:name="_Toc185667930"/>
      <w:bookmarkStart w:id="4306" w:name="_Toc185838987"/>
      <w:bookmarkStart w:id="4307" w:name="_Toc185846959"/>
      <w:bookmarkStart w:id="4308" w:name="_Toc185848565"/>
      <w:bookmarkStart w:id="4309" w:name="_Toc188946923"/>
      <w:bookmarkStart w:id="4310" w:name="_Toc189302827"/>
      <w:bookmarkStart w:id="4311" w:name="_Toc209948494"/>
      <w:bookmarkStart w:id="4312" w:name="_Toc209948603"/>
      <w:bookmarkStart w:id="4313" w:name="_Toc209950045"/>
      <w:bookmarkStart w:id="4314" w:name="_Toc210211501"/>
      <w:bookmarkStart w:id="4315" w:name="_Toc210213068"/>
      <w:bookmarkStart w:id="4316" w:name="_Toc210213207"/>
      <w:bookmarkStart w:id="4317" w:name="_Toc210213768"/>
      <w:bookmarkStart w:id="4318" w:name="_Toc212967992"/>
      <w:bookmarkStart w:id="4319" w:name="_Toc215316394"/>
      <w:bookmarkStart w:id="4320" w:name="_Toc215384648"/>
      <w:bookmarkStart w:id="4321" w:name="_Toc217810514"/>
      <w:bookmarkStart w:id="4322" w:name="_Toc83547831"/>
      <w:bookmarkStart w:id="4323" w:name="_Ref109723051"/>
      <w:bookmarkStart w:id="4324" w:name="_Ref109723063"/>
      <w:bookmarkStart w:id="4325" w:name="_Ref109723073"/>
      <w:bookmarkStart w:id="4326" w:name="_Toc112139252"/>
      <w:bookmarkStart w:id="4327" w:name="_Toc113257859"/>
      <w:bookmarkStart w:id="4328" w:name="_Toc113258056"/>
      <w:bookmarkStart w:id="4329" w:name="_Toc113258324"/>
      <w:bookmarkStart w:id="4330" w:name="_Toc113258650"/>
      <w:bookmarkStart w:id="4331" w:name="_Toc113272239"/>
      <w:bookmarkStart w:id="4332" w:name="_Toc115580924"/>
      <w:bookmarkStart w:id="4333" w:name="_Toc136318327"/>
      <w:bookmarkStart w:id="4334" w:name="_Toc136318676"/>
      <w:bookmarkStart w:id="4335" w:name="_Toc136318843"/>
      <w:bookmarkStart w:id="4336" w:name="_Toc138475819"/>
      <w:bookmarkStart w:id="4337" w:name="_Toc146684548"/>
      <w:bookmarkStart w:id="4338" w:name="_Toc147046306"/>
      <w:bookmarkStart w:id="4339" w:name="_Toc171415264"/>
      <w:bookmarkStart w:id="4340" w:name="_Toc173642155"/>
      <w:bookmarkStart w:id="4341" w:name="_Toc173813693"/>
      <w:bookmarkStart w:id="4342" w:name="_Toc175387863"/>
      <w:bookmarkStart w:id="4343" w:name="_Toc176254468"/>
      <w:bookmarkStart w:id="4344" w:name="_Toc176254757"/>
      <w:bookmarkStart w:id="4345" w:name="_Toc176254868"/>
      <w:bookmarkStart w:id="4346" w:name="_Toc176762503"/>
      <w:bookmarkStart w:id="4347" w:name="_Toc176843524"/>
      <w:bookmarkStart w:id="4348" w:name="_Toc176853326"/>
      <w:bookmarkStart w:id="4349" w:name="_Toc176853435"/>
      <w:bookmarkStart w:id="4350" w:name="_Toc176857484"/>
      <w:bookmarkStart w:id="4351" w:name="_Toc179108416"/>
      <w:bookmarkStart w:id="4352" w:name="_Toc179357675"/>
      <w:bookmarkStart w:id="4353" w:name="_Toc181781157"/>
      <w:bookmarkStart w:id="4354" w:name="_Toc182218743"/>
      <w:bookmarkStart w:id="4355" w:name="_Toc182909179"/>
      <w:bookmarkStart w:id="4356" w:name="_Toc182909609"/>
      <w:bookmarkStart w:id="4357" w:name="_Toc182987259"/>
      <w:bookmarkStart w:id="4358" w:name="_Toc183244094"/>
      <w:bookmarkStart w:id="4359" w:name="_Toc183244472"/>
      <w:bookmarkStart w:id="4360" w:name="_Toc183244883"/>
      <w:bookmarkStart w:id="4361" w:name="_Toc183245001"/>
      <w:bookmarkStart w:id="4362" w:name="_Toc183245659"/>
      <w:bookmarkStart w:id="4363" w:name="_Toc183246234"/>
      <w:bookmarkStart w:id="4364" w:name="_Toc183246333"/>
      <w:bookmarkStart w:id="4365" w:name="_Ref185242201"/>
      <w:bookmarkStart w:id="4366" w:name="_Ref185242219"/>
      <w:bookmarkStart w:id="4367" w:name="_Ref185392092"/>
      <w:bookmarkStart w:id="4368" w:name="_Ref185392126"/>
      <w:bookmarkStart w:id="4369" w:name="_Toc185667943"/>
      <w:bookmarkStart w:id="4370" w:name="_Ref185756005"/>
      <w:bookmarkStart w:id="4371" w:name="_Ref185756201"/>
      <w:bookmarkStart w:id="4372" w:name="_Toc185839000"/>
      <w:bookmarkStart w:id="4373" w:name="_Toc185846972"/>
      <w:bookmarkStart w:id="4374" w:name="_Toc185848578"/>
      <w:bookmarkStart w:id="4375" w:name="_Toc188946936"/>
      <w:bookmarkStart w:id="4376" w:name="_Toc189302840"/>
      <w:bookmarkStart w:id="4377" w:name="_Toc209948507"/>
      <w:bookmarkStart w:id="4378" w:name="_Toc209948616"/>
      <w:bookmarkStart w:id="4379" w:name="_Toc209950058"/>
      <w:bookmarkStart w:id="4380" w:name="_Toc210211514"/>
      <w:bookmarkStart w:id="4381" w:name="_Toc210213081"/>
      <w:bookmarkStart w:id="4382" w:name="_Toc210213220"/>
      <w:bookmarkStart w:id="4383" w:name="_Toc210213781"/>
      <w:bookmarkStart w:id="4384" w:name="_Toc212968004"/>
      <w:bookmarkStart w:id="4385" w:name="_Toc215316406"/>
      <w:bookmarkStart w:id="4386" w:name="_Toc215384660"/>
      <w:bookmarkStart w:id="4387" w:name="_Toc217810526"/>
      <w:bookmarkStart w:id="4388" w:name="_Toc55787803"/>
      <w:bookmarkStart w:id="4389" w:name="_Toc83547843"/>
      <w:bookmarkStart w:id="4390" w:name="_Toc112139263"/>
      <w:bookmarkStart w:id="4391" w:name="_Toc113257870"/>
      <w:bookmarkStart w:id="4392" w:name="_Toc113258067"/>
      <w:bookmarkStart w:id="4393" w:name="_Toc113258335"/>
      <w:bookmarkStart w:id="4394" w:name="_Toc113258661"/>
      <w:bookmarkStart w:id="4395" w:name="_Toc113272250"/>
      <w:bookmarkStart w:id="4396" w:name="_Toc115580935"/>
      <w:bookmarkStart w:id="4397" w:name="_Toc136318338"/>
      <w:bookmarkStart w:id="4398" w:name="_Toc136318687"/>
      <w:bookmarkStart w:id="4399" w:name="_Toc136318854"/>
      <w:bookmarkStart w:id="4400" w:name="_Toc138475830"/>
      <w:bookmarkStart w:id="4401" w:name="_Toc146684559"/>
      <w:bookmarkStart w:id="4402" w:name="_Toc147046317"/>
      <w:bookmarkStart w:id="4403" w:name="_Toc171415275"/>
      <w:bookmarkStart w:id="4404" w:name="_Toc173642166"/>
      <w:bookmarkStart w:id="4405" w:name="_Toc173813704"/>
      <w:bookmarkStart w:id="4406" w:name="_Toc175387874"/>
      <w:bookmarkStart w:id="4407" w:name="_Toc176254479"/>
      <w:bookmarkStart w:id="4408" w:name="_Toc176254768"/>
      <w:bookmarkStart w:id="4409" w:name="_Toc176254879"/>
      <w:bookmarkStart w:id="4410" w:name="_Toc176762513"/>
      <w:bookmarkStart w:id="4411" w:name="_Toc176843534"/>
      <w:bookmarkStart w:id="4412" w:name="_Toc176853336"/>
      <w:bookmarkStart w:id="4413" w:name="_Toc176853445"/>
      <w:bookmarkStart w:id="4414" w:name="_Toc176857494"/>
      <w:bookmarkStart w:id="4415" w:name="_Toc179108426"/>
      <w:bookmarkStart w:id="4416" w:name="_Toc179357685"/>
      <w:bookmarkStart w:id="4417" w:name="_Toc181781167"/>
      <w:bookmarkStart w:id="4418" w:name="_Toc182218753"/>
      <w:bookmarkStart w:id="4419" w:name="_Toc182909189"/>
      <w:bookmarkStart w:id="4420" w:name="_Toc182909619"/>
      <w:bookmarkStart w:id="4421" w:name="_Toc182987269"/>
      <w:bookmarkStart w:id="4422" w:name="_Toc183244104"/>
      <w:bookmarkStart w:id="4423" w:name="_Toc183244482"/>
      <w:bookmarkStart w:id="4424" w:name="_Toc183244893"/>
      <w:bookmarkStart w:id="4425" w:name="_Toc183245011"/>
      <w:bookmarkStart w:id="4426" w:name="_Toc183245669"/>
      <w:bookmarkStart w:id="4427" w:name="_Toc183246244"/>
      <w:bookmarkStart w:id="4428" w:name="_Toc183246343"/>
      <w:bookmarkStart w:id="4429" w:name="_Toc185667953"/>
      <w:bookmarkStart w:id="4430" w:name="_Ref185758135"/>
      <w:bookmarkStart w:id="4431" w:name="_Toc185839010"/>
      <w:bookmarkStart w:id="4432" w:name="_Toc185846982"/>
      <w:bookmarkStart w:id="4433" w:name="_Toc185848588"/>
      <w:bookmarkStart w:id="4434" w:name="_Toc188946946"/>
      <w:bookmarkStart w:id="4435" w:name="_Toc189302850"/>
      <w:bookmarkStart w:id="4436" w:name="_Toc209948517"/>
      <w:bookmarkStart w:id="4437" w:name="_Toc209948626"/>
      <w:bookmarkStart w:id="4438" w:name="_Toc209950068"/>
      <w:bookmarkStart w:id="4439" w:name="_Toc210211524"/>
      <w:bookmarkStart w:id="4440" w:name="_Toc210213091"/>
      <w:bookmarkStart w:id="4441" w:name="_Toc210213230"/>
      <w:bookmarkStart w:id="4442" w:name="_Toc210213791"/>
      <w:bookmarkStart w:id="4443" w:name="_Toc212968014"/>
      <w:bookmarkStart w:id="4444" w:name="_Toc215316416"/>
      <w:bookmarkStart w:id="4445" w:name="_Toc215384670"/>
      <w:bookmarkStart w:id="4446" w:name="_Toc217810536"/>
      <w:r w:rsidRPr="00B53FFB">
        <w:rPr>
          <w:sz w:val="22"/>
          <w:szCs w:val="22"/>
        </w:rPr>
        <w:t xml:space="preserve">Consumer </w:t>
      </w:r>
      <w:bookmarkStart w:id="4447" w:name="_Toc275518008"/>
      <w:bookmarkStart w:id="4448" w:name="_Toc275952448"/>
      <w:bookmarkStart w:id="4449" w:name="_Toc276121880"/>
      <w:bookmarkStart w:id="4450" w:name="_Toc276480716"/>
      <w:bookmarkStart w:id="4451" w:name="_Toc276741793"/>
      <w:bookmarkStart w:id="4452" w:name="_Toc277171558"/>
      <w:bookmarkStart w:id="4453" w:name="_Toc277864533"/>
      <w:bookmarkStart w:id="4454" w:name="_Toc277864749"/>
      <w:bookmarkStart w:id="4455" w:name="_Toc285810430"/>
      <w:bookmarkStart w:id="4456" w:name="_Toc287257824"/>
      <w:bookmarkStart w:id="4457" w:name="_Toc291758703"/>
      <w:bookmarkStart w:id="4458" w:name="_Toc291758806"/>
      <w:bookmarkStart w:id="4459" w:name="_Toc295392986"/>
      <w:bookmarkEnd w:id="4198"/>
      <w:bookmarkEnd w:id="4199"/>
      <w:bookmarkEnd w:id="4200"/>
      <w:bookmarkEnd w:id="4201"/>
      <w:bookmarkEnd w:id="4202"/>
      <w:bookmarkEnd w:id="4203"/>
      <w:bookmarkEnd w:id="4204"/>
      <w:bookmarkEnd w:id="4205"/>
      <w:bookmarkEnd w:id="4206"/>
      <w:bookmarkEnd w:id="4207"/>
      <w:bookmarkEnd w:id="4208"/>
      <w:bookmarkEnd w:id="4209"/>
      <w:bookmarkEnd w:id="4210"/>
      <w:bookmarkEnd w:id="4211"/>
      <w:bookmarkEnd w:id="4212"/>
      <w:bookmarkEnd w:id="4213"/>
      <w:bookmarkEnd w:id="4214"/>
      <w:bookmarkEnd w:id="4215"/>
      <w:bookmarkEnd w:id="4216"/>
      <w:bookmarkEnd w:id="4217"/>
      <w:bookmarkEnd w:id="4218"/>
      <w:bookmarkEnd w:id="4219"/>
      <w:bookmarkEnd w:id="4220"/>
      <w:bookmarkEnd w:id="4221"/>
      <w:bookmarkEnd w:id="4222"/>
      <w:bookmarkEnd w:id="4223"/>
      <w:bookmarkEnd w:id="4224"/>
      <w:bookmarkEnd w:id="4225"/>
      <w:bookmarkEnd w:id="4226"/>
      <w:bookmarkEnd w:id="4227"/>
      <w:bookmarkEnd w:id="4228"/>
      <w:bookmarkEnd w:id="4229"/>
      <w:bookmarkEnd w:id="4230"/>
      <w:bookmarkEnd w:id="4231"/>
      <w:bookmarkEnd w:id="4232"/>
      <w:bookmarkEnd w:id="4233"/>
      <w:bookmarkEnd w:id="4234"/>
      <w:bookmarkEnd w:id="4235"/>
      <w:bookmarkEnd w:id="4236"/>
      <w:bookmarkEnd w:id="4237"/>
      <w:bookmarkEnd w:id="4238"/>
      <w:bookmarkEnd w:id="4239"/>
      <w:bookmarkEnd w:id="4240"/>
      <w:bookmarkEnd w:id="4241"/>
      <w:bookmarkEnd w:id="4242"/>
      <w:bookmarkEnd w:id="4243"/>
      <w:bookmarkEnd w:id="4244"/>
      <w:bookmarkEnd w:id="4245"/>
      <w:bookmarkEnd w:id="4246"/>
      <w:bookmarkEnd w:id="4247"/>
      <w:bookmarkEnd w:id="4248"/>
      <w:bookmarkEnd w:id="4249"/>
      <w:bookmarkEnd w:id="4250"/>
      <w:bookmarkEnd w:id="4251"/>
      <w:bookmarkEnd w:id="4252"/>
      <w:bookmarkEnd w:id="4253"/>
      <w:bookmarkEnd w:id="4254"/>
      <w:bookmarkEnd w:id="4255"/>
      <w:bookmarkEnd w:id="4256"/>
      <w:bookmarkEnd w:id="4257"/>
      <w:bookmarkEnd w:id="4258"/>
      <w:bookmarkEnd w:id="4259"/>
      <w:bookmarkEnd w:id="4260"/>
      <w:bookmarkEnd w:id="4261"/>
      <w:bookmarkEnd w:id="4262"/>
      <w:bookmarkEnd w:id="4263"/>
      <w:bookmarkEnd w:id="4264"/>
      <w:bookmarkEnd w:id="4265"/>
      <w:bookmarkEnd w:id="4266"/>
      <w:bookmarkEnd w:id="4267"/>
      <w:bookmarkEnd w:id="4268"/>
      <w:bookmarkEnd w:id="4269"/>
      <w:bookmarkEnd w:id="4270"/>
      <w:bookmarkEnd w:id="4271"/>
      <w:bookmarkEnd w:id="4272"/>
      <w:bookmarkEnd w:id="4273"/>
      <w:bookmarkEnd w:id="4274"/>
      <w:bookmarkEnd w:id="4275"/>
      <w:bookmarkEnd w:id="4276"/>
      <w:bookmarkEnd w:id="4277"/>
      <w:bookmarkEnd w:id="4278"/>
      <w:bookmarkEnd w:id="4279"/>
      <w:bookmarkEnd w:id="4280"/>
      <w:bookmarkEnd w:id="4281"/>
      <w:bookmarkEnd w:id="4282"/>
      <w:bookmarkEnd w:id="4283"/>
      <w:bookmarkEnd w:id="4284"/>
      <w:bookmarkEnd w:id="4285"/>
      <w:bookmarkEnd w:id="4286"/>
      <w:bookmarkEnd w:id="4287"/>
      <w:bookmarkEnd w:id="4288"/>
      <w:bookmarkEnd w:id="4289"/>
      <w:bookmarkEnd w:id="4290"/>
      <w:bookmarkEnd w:id="4291"/>
      <w:bookmarkEnd w:id="4292"/>
      <w:bookmarkEnd w:id="4293"/>
      <w:bookmarkEnd w:id="4294"/>
      <w:bookmarkEnd w:id="4295"/>
      <w:bookmarkEnd w:id="4296"/>
      <w:bookmarkEnd w:id="4297"/>
      <w:bookmarkEnd w:id="4298"/>
      <w:bookmarkEnd w:id="4299"/>
      <w:bookmarkEnd w:id="4300"/>
      <w:bookmarkEnd w:id="4301"/>
      <w:bookmarkEnd w:id="4302"/>
      <w:bookmarkEnd w:id="4303"/>
      <w:bookmarkEnd w:id="4304"/>
      <w:bookmarkEnd w:id="4305"/>
      <w:bookmarkEnd w:id="4306"/>
      <w:bookmarkEnd w:id="4307"/>
      <w:bookmarkEnd w:id="4308"/>
      <w:bookmarkEnd w:id="4309"/>
      <w:bookmarkEnd w:id="4310"/>
      <w:bookmarkEnd w:id="4311"/>
      <w:bookmarkEnd w:id="4312"/>
      <w:bookmarkEnd w:id="4313"/>
      <w:bookmarkEnd w:id="4314"/>
      <w:bookmarkEnd w:id="4315"/>
      <w:bookmarkEnd w:id="4316"/>
      <w:bookmarkEnd w:id="4317"/>
      <w:bookmarkEnd w:id="4318"/>
      <w:bookmarkEnd w:id="4319"/>
      <w:bookmarkEnd w:id="4320"/>
      <w:bookmarkEnd w:id="4321"/>
      <w:bookmarkEnd w:id="4322"/>
      <w:bookmarkEnd w:id="4323"/>
      <w:bookmarkEnd w:id="4324"/>
      <w:bookmarkEnd w:id="4325"/>
      <w:bookmarkEnd w:id="4326"/>
      <w:bookmarkEnd w:id="4327"/>
      <w:bookmarkEnd w:id="4328"/>
      <w:bookmarkEnd w:id="4329"/>
      <w:bookmarkEnd w:id="4330"/>
      <w:bookmarkEnd w:id="4331"/>
      <w:bookmarkEnd w:id="4332"/>
      <w:bookmarkEnd w:id="4333"/>
      <w:bookmarkEnd w:id="4334"/>
      <w:bookmarkEnd w:id="4335"/>
      <w:bookmarkEnd w:id="4336"/>
      <w:bookmarkEnd w:id="4337"/>
      <w:bookmarkEnd w:id="4338"/>
      <w:bookmarkEnd w:id="4339"/>
      <w:bookmarkEnd w:id="4340"/>
      <w:bookmarkEnd w:id="4341"/>
      <w:bookmarkEnd w:id="4342"/>
      <w:bookmarkEnd w:id="4343"/>
      <w:bookmarkEnd w:id="4344"/>
      <w:bookmarkEnd w:id="4345"/>
      <w:bookmarkEnd w:id="4346"/>
      <w:bookmarkEnd w:id="4347"/>
      <w:bookmarkEnd w:id="4348"/>
      <w:bookmarkEnd w:id="4349"/>
      <w:bookmarkEnd w:id="4350"/>
      <w:bookmarkEnd w:id="4351"/>
      <w:bookmarkEnd w:id="4352"/>
      <w:bookmarkEnd w:id="4353"/>
      <w:bookmarkEnd w:id="4354"/>
      <w:bookmarkEnd w:id="4355"/>
      <w:bookmarkEnd w:id="4356"/>
      <w:bookmarkEnd w:id="4357"/>
      <w:bookmarkEnd w:id="4358"/>
      <w:bookmarkEnd w:id="4359"/>
      <w:bookmarkEnd w:id="4360"/>
      <w:bookmarkEnd w:id="4361"/>
      <w:bookmarkEnd w:id="4362"/>
      <w:bookmarkEnd w:id="4363"/>
      <w:bookmarkEnd w:id="4364"/>
      <w:bookmarkEnd w:id="4365"/>
      <w:bookmarkEnd w:id="4366"/>
      <w:bookmarkEnd w:id="4367"/>
      <w:bookmarkEnd w:id="4368"/>
      <w:bookmarkEnd w:id="4369"/>
      <w:bookmarkEnd w:id="4370"/>
      <w:bookmarkEnd w:id="4371"/>
      <w:bookmarkEnd w:id="4372"/>
      <w:bookmarkEnd w:id="4373"/>
      <w:bookmarkEnd w:id="4374"/>
      <w:bookmarkEnd w:id="4375"/>
      <w:bookmarkEnd w:id="4376"/>
      <w:bookmarkEnd w:id="4377"/>
      <w:bookmarkEnd w:id="4378"/>
      <w:bookmarkEnd w:id="4379"/>
      <w:bookmarkEnd w:id="4380"/>
      <w:bookmarkEnd w:id="4381"/>
      <w:bookmarkEnd w:id="4382"/>
      <w:bookmarkEnd w:id="4383"/>
      <w:bookmarkEnd w:id="4384"/>
      <w:bookmarkEnd w:id="4385"/>
      <w:bookmarkEnd w:id="4386"/>
      <w:bookmarkEnd w:id="4387"/>
      <w:r w:rsidRPr="00B53FFB">
        <w:rPr>
          <w:sz w:val="22"/>
          <w:szCs w:val="22"/>
        </w:rPr>
        <w:t>responses to changes in prices and service quality are an important aspect of competition in the mobile wireless services industry.  In well-functioning markets firms compete for customers who are readily able to switch their purchases between competitors.  Consumers who are well-informed about price and non-price factors are better able to choose the service providers that offer the services and prices that best suit the consumers’ tastes and budgets.  There are many purchase decision factors on which consumers base their choice of a service provider, including price, service plans, network quality, devices and mobile data services.  There are also factors that affect when or if consumers change providers including how satisfied consumers are with their existing service providers, new offerings by competing service providers, the launch of innovative devices and services, and switching costs.  As discussed in the Service Provider Conduct section</w:t>
      </w:r>
      <w:r>
        <w:rPr>
          <w:sz w:val="22"/>
          <w:szCs w:val="22"/>
        </w:rPr>
        <w:t>,</w:t>
      </w:r>
      <w:r>
        <w:rPr>
          <w:rStyle w:val="FootnoteReference"/>
          <w:szCs w:val="22"/>
        </w:rPr>
        <w:footnoteReference w:id="905"/>
      </w:r>
      <w:r w:rsidRPr="00B53FFB">
        <w:rPr>
          <w:sz w:val="22"/>
          <w:szCs w:val="22"/>
        </w:rPr>
        <w:t xml:space="preserve"> mobile wireless service providers compete on many dimensions to retain their current customers and to attract customers away from competitors.  In the Industry Performance and Outcomes section, we presented data showing that there were an estimated 15.5 to 20.6 million total net additions in 2011, and that the annual average industry churn rate is in excess of 24 percent</w:t>
      </w:r>
      <w:r>
        <w:rPr>
          <w:sz w:val="22"/>
          <w:szCs w:val="22"/>
        </w:rPr>
        <w:t xml:space="preserve">. </w:t>
      </w:r>
      <w:r>
        <w:rPr>
          <w:rStyle w:val="FootnoteReference"/>
          <w:szCs w:val="22"/>
        </w:rPr>
        <w:footnoteReference w:id="906"/>
      </w:r>
      <w:r>
        <w:rPr>
          <w:sz w:val="22"/>
          <w:szCs w:val="22"/>
        </w:rPr>
        <w:t xml:space="preserve">  </w:t>
      </w:r>
      <w:r w:rsidRPr="00B53FFB">
        <w:rPr>
          <w:sz w:val="22"/>
          <w:szCs w:val="22"/>
        </w:rPr>
        <w:t>Below, we discuss factors in consumers’ decisions to choose a service provider and to switch between service providers, consumer access to information on mobile wireless services, and surveys of consumer satisfaction with service providers.</w:t>
      </w:r>
    </w:p>
    <w:p w:rsidR="004A147C" w:rsidRPr="00146FB2" w:rsidRDefault="004A147C" w:rsidP="00CE5850">
      <w:pPr>
        <w:pStyle w:val="Heading2"/>
        <w:keepNext w:val="0"/>
      </w:pPr>
      <w:bookmarkStart w:id="4460" w:name="_Toc332119156"/>
      <w:bookmarkStart w:id="4461" w:name="_Toc334088824"/>
      <w:bookmarkStart w:id="4462" w:name="_Toc334089060"/>
      <w:bookmarkStart w:id="4463" w:name="_Toc334089219"/>
      <w:bookmarkStart w:id="4464" w:name="_Toc334089330"/>
      <w:bookmarkStart w:id="4465" w:name="_Toc334089494"/>
      <w:bookmarkStart w:id="4466" w:name="_Toc336268636"/>
      <w:bookmarkStart w:id="4467" w:name="_Toc336268744"/>
      <w:bookmarkStart w:id="4468" w:name="_Toc336268851"/>
      <w:bookmarkStart w:id="4469" w:name="_Toc336269065"/>
      <w:bookmarkStart w:id="4470" w:name="_Toc336269172"/>
      <w:bookmarkStart w:id="4471" w:name="_Toc336269540"/>
      <w:bookmarkStart w:id="4472" w:name="_Toc336269686"/>
      <w:bookmarkStart w:id="4473" w:name="_Toc336270099"/>
      <w:bookmarkStart w:id="4474" w:name="_Toc336271299"/>
      <w:bookmarkStart w:id="4475" w:name="_Toc337652005"/>
      <w:bookmarkStart w:id="4476" w:name="_Toc349577194"/>
      <w:bookmarkStart w:id="4477" w:name="_Toc349579286"/>
      <w:bookmarkStart w:id="4478" w:name="_Toc349580601"/>
      <w:bookmarkStart w:id="4479" w:name="_Toc349735009"/>
      <w:bookmarkStart w:id="4480" w:name="_Toc349742374"/>
      <w:r w:rsidRPr="00146FB2">
        <w:t>Consumer Decision Factors in Choosing a Service Provider</w:t>
      </w:r>
      <w:bookmarkEnd w:id="4460"/>
      <w:bookmarkEnd w:id="4461"/>
      <w:bookmarkEnd w:id="4462"/>
      <w:bookmarkEnd w:id="4463"/>
      <w:bookmarkEnd w:id="4464"/>
      <w:bookmarkEnd w:id="4465"/>
      <w:bookmarkEnd w:id="4466"/>
      <w:bookmarkEnd w:id="4467"/>
      <w:bookmarkEnd w:id="4468"/>
      <w:bookmarkEnd w:id="4469"/>
      <w:bookmarkEnd w:id="4470"/>
      <w:bookmarkEnd w:id="4471"/>
      <w:bookmarkEnd w:id="4472"/>
      <w:bookmarkEnd w:id="4473"/>
      <w:bookmarkEnd w:id="4474"/>
      <w:bookmarkEnd w:id="4475"/>
      <w:bookmarkEnd w:id="4476"/>
      <w:bookmarkEnd w:id="4477"/>
      <w:bookmarkEnd w:id="4478"/>
      <w:bookmarkEnd w:id="4479"/>
      <w:bookmarkEnd w:id="4480"/>
    </w:p>
    <w:p w:rsidR="004A147C" w:rsidRPr="00B53FFB" w:rsidRDefault="004A147C" w:rsidP="00CE5850">
      <w:pPr>
        <w:pStyle w:val="ParaNum"/>
        <w:numPr>
          <w:ilvl w:val="0"/>
          <w:numId w:val="28"/>
        </w:numPr>
        <w:spacing w:before="240"/>
        <w:rPr>
          <w:sz w:val="22"/>
          <w:szCs w:val="22"/>
        </w:rPr>
      </w:pPr>
      <w:r w:rsidRPr="00B53FFB">
        <w:rPr>
          <w:i/>
          <w:sz w:val="22"/>
          <w:szCs w:val="22"/>
        </w:rPr>
        <w:t>Purchase Decision Factors</w:t>
      </w:r>
      <w:r w:rsidRPr="00B53FFB">
        <w:rPr>
          <w:sz w:val="22"/>
          <w:szCs w:val="22"/>
        </w:rPr>
        <w:t>.  The reasons consumers choose a service provider or switch between providers vary.  According to a quarterly study by Nielsen, price has been the most important purchase decision factor for consumers choosing a service provider since at least 2007, with 25.7 percent of customers in the first half of 2011 indicating that they picked their service provider based on price, an increase from 17.6 percent of consumers in 2008.</w:t>
      </w:r>
      <w:r w:rsidRPr="00B53FFB">
        <w:rPr>
          <w:rStyle w:val="FootnoteReference"/>
          <w:szCs w:val="22"/>
        </w:rPr>
        <w:footnoteReference w:id="907"/>
      </w:r>
      <w:r w:rsidRPr="00B53FFB">
        <w:rPr>
          <w:sz w:val="22"/>
          <w:szCs w:val="22"/>
        </w:rPr>
        <w:t xml:space="preserve">  After price, the next most common purchase decision factor customers give for choosing a service provider is family plans, with just under 15 percent of customers in the first half 2011 indicating that they chose a service provider based on family plans.  In the first half of 2011, 8.1 percent choose a service provider based on network quality, the third most important purchase decision factor.</w:t>
      </w:r>
      <w:r w:rsidRPr="00B53FFB">
        <w:rPr>
          <w:rStyle w:val="FootnoteReference"/>
          <w:szCs w:val="22"/>
        </w:rPr>
        <w:footnoteReference w:id="908"/>
      </w:r>
      <w:r w:rsidRPr="00B53FFB">
        <w:rPr>
          <w:sz w:val="22"/>
          <w:szCs w:val="22"/>
        </w:rPr>
        <w:t xml:space="preserve">  Following these top-three factors are free/unlimited in-network calling, billing/payment options/ credit, reputation/recommendation, previous experience with operator, other, customer service, mobile data services, specific phone, and bundling of mobile phone services with other services.  The availability of specific phone was the second least common purchase decision factor, at 4.7 percent.  The importance of mobile data service as a purchase decision factor has more than doubled since 2008, with 4.9 percent of customers choosing a service provider based on mobile data service in the first half of 2011.</w:t>
      </w:r>
    </w:p>
    <w:p w:rsidR="004A147C" w:rsidRPr="00B53FFB" w:rsidRDefault="004A147C" w:rsidP="00CE5850">
      <w:pPr>
        <w:pStyle w:val="ParaNum"/>
        <w:numPr>
          <w:ilvl w:val="0"/>
          <w:numId w:val="28"/>
        </w:numPr>
        <w:spacing w:before="240"/>
        <w:rPr>
          <w:sz w:val="22"/>
          <w:szCs w:val="22"/>
        </w:rPr>
      </w:pPr>
      <w:r w:rsidRPr="00B53FFB">
        <w:rPr>
          <w:sz w:val="22"/>
          <w:szCs w:val="22"/>
        </w:rPr>
        <w:t xml:space="preserve">The importance of price as a purchase decision factor is reflected in a </w:t>
      </w:r>
      <w:r w:rsidRPr="00B53FFB">
        <w:rPr>
          <w:i/>
          <w:sz w:val="22"/>
          <w:szCs w:val="22"/>
        </w:rPr>
        <w:t>Consumer Reports</w:t>
      </w:r>
      <w:r w:rsidRPr="00B53FFB">
        <w:rPr>
          <w:sz w:val="22"/>
          <w:szCs w:val="22"/>
        </w:rPr>
        <w:t xml:space="preserve"> article setting forth five ways consumers can save money on their mobile phone bills, including ways to save money on data services.  </w:t>
      </w:r>
      <w:r w:rsidRPr="00B53FFB">
        <w:rPr>
          <w:i/>
          <w:sz w:val="22"/>
          <w:szCs w:val="22"/>
        </w:rPr>
        <w:t>Consumer Reports</w:t>
      </w:r>
      <w:r w:rsidRPr="00B53FFB">
        <w:rPr>
          <w:sz w:val="22"/>
          <w:szCs w:val="22"/>
        </w:rPr>
        <w:t xml:space="preserve"> suggests that wireless users not only carefully compare service plans, but also consider using a low-priced service provider in order to save money on data services.</w:t>
      </w:r>
      <w:r w:rsidRPr="00B53FFB">
        <w:rPr>
          <w:rStyle w:val="FootnoteReference"/>
          <w:szCs w:val="22"/>
        </w:rPr>
        <w:footnoteReference w:id="909"/>
      </w:r>
      <w:r w:rsidRPr="00B53FFB">
        <w:rPr>
          <w:sz w:val="22"/>
          <w:szCs w:val="22"/>
        </w:rPr>
        <w:t xml:space="preserve">  The organization urges wireless consumers to bypass their service provider and use third-party services, such as Heywire and TigerText, for texting and Skype Mobile for voice calls.</w:t>
      </w:r>
      <w:r w:rsidRPr="00B53FFB">
        <w:rPr>
          <w:rStyle w:val="FootnoteReference"/>
          <w:szCs w:val="22"/>
        </w:rPr>
        <w:footnoteReference w:id="910"/>
      </w:r>
      <w:r w:rsidRPr="00B53FFB">
        <w:rPr>
          <w:sz w:val="22"/>
          <w:szCs w:val="22"/>
        </w:rPr>
        <w:t xml:space="preserve">  In addition, </w:t>
      </w:r>
      <w:r w:rsidRPr="00B53FFB">
        <w:rPr>
          <w:i/>
          <w:sz w:val="22"/>
          <w:szCs w:val="22"/>
        </w:rPr>
        <w:t>Consumer Reports</w:t>
      </w:r>
      <w:r w:rsidRPr="00B53FFB">
        <w:rPr>
          <w:sz w:val="22"/>
          <w:szCs w:val="22"/>
        </w:rPr>
        <w:t xml:space="preserve"> recommends that consumers use the rising number of Wi-Fi networks as a way of keeping data costs down.</w:t>
      </w:r>
      <w:r w:rsidRPr="00B53FFB">
        <w:rPr>
          <w:rStyle w:val="FootnoteReference"/>
          <w:szCs w:val="22"/>
        </w:rPr>
        <w:footnoteReference w:id="911"/>
      </w:r>
      <w:r w:rsidRPr="00B53FFB">
        <w:rPr>
          <w:sz w:val="22"/>
          <w:szCs w:val="22"/>
        </w:rPr>
        <w:t xml:space="preserve">  </w:t>
      </w:r>
      <w:r w:rsidRPr="00B53FFB">
        <w:rPr>
          <w:i/>
          <w:sz w:val="22"/>
          <w:szCs w:val="22"/>
        </w:rPr>
        <w:t>Consumer Reports</w:t>
      </w:r>
      <w:r w:rsidRPr="00B53FFB">
        <w:rPr>
          <w:sz w:val="22"/>
          <w:szCs w:val="22"/>
        </w:rPr>
        <w:t xml:space="preserve"> also suggests that consumers consider alternatives to buying their phones from operator stores and that they investigate employee discounts.</w:t>
      </w:r>
    </w:p>
    <w:p w:rsidR="004A147C" w:rsidRPr="00B53FFB" w:rsidRDefault="004A147C" w:rsidP="00CE5850">
      <w:pPr>
        <w:pStyle w:val="ParaNum"/>
        <w:numPr>
          <w:ilvl w:val="0"/>
          <w:numId w:val="28"/>
        </w:numPr>
        <w:spacing w:before="240"/>
        <w:rPr>
          <w:sz w:val="22"/>
          <w:szCs w:val="22"/>
        </w:rPr>
      </w:pPr>
      <w:r w:rsidRPr="00B53FFB">
        <w:rPr>
          <w:sz w:val="22"/>
          <w:szCs w:val="22"/>
        </w:rPr>
        <w:t>Nielsen’s finding that network quality and mobile data services are important purchase decision factors is reflected in other studies and is consistent with the rising penetration rate of smartphones.  A 2012 study found that heavy users of advanced mobile services are more likely to switch service providers than other mobile customers.</w:t>
      </w:r>
      <w:r w:rsidRPr="00B53FFB">
        <w:rPr>
          <w:rStyle w:val="FootnoteReference"/>
          <w:szCs w:val="22"/>
        </w:rPr>
        <w:footnoteReference w:id="912"/>
      </w:r>
      <w:r w:rsidRPr="00B53FFB">
        <w:rPr>
          <w:sz w:val="22"/>
          <w:szCs w:val="22"/>
        </w:rPr>
        <w:t xml:space="preserve">  In this study of 16,000 people in 17 countries, more than 40 percent were considered heavy users of advanced services and more than half of the group of heavy users had recently switched mobile service.  Further, some 40 percent indicated that they were prepared to switch providers in the following year.</w:t>
      </w:r>
      <w:r w:rsidRPr="00B53FFB">
        <w:rPr>
          <w:rStyle w:val="FootnoteReference"/>
          <w:szCs w:val="22"/>
        </w:rPr>
        <w:footnoteReference w:id="913"/>
      </w:r>
      <w:r w:rsidRPr="00B53FFB">
        <w:rPr>
          <w:sz w:val="22"/>
          <w:szCs w:val="22"/>
        </w:rPr>
        <w:t xml:space="preserve">  The study found that most customers rank network coverage and voice quality as the top criteria for staying with an operator, and that heavy users of advanced services also rank mobile broadband quality as high as network coverage and voice quality in determining whether to switch to a different provider. </w:t>
      </w:r>
      <w:r w:rsidR="00754782">
        <w:rPr>
          <w:sz w:val="22"/>
          <w:szCs w:val="22"/>
        </w:rPr>
        <w:t xml:space="preserve"> </w:t>
      </w:r>
      <w:r w:rsidRPr="00B53FFB">
        <w:rPr>
          <w:sz w:val="22"/>
          <w:szCs w:val="22"/>
        </w:rPr>
        <w:t>According to the study, customers rated high-speed mobile broadband as the most important service over the next few years.  The study found that the number of heavy users of advanced services is rapidly increasing, with the category having grown by 34 percent in mature markets during 2011.</w:t>
      </w:r>
      <w:r w:rsidRPr="00B53FFB">
        <w:rPr>
          <w:rStyle w:val="FootnoteReference"/>
          <w:szCs w:val="22"/>
        </w:rPr>
        <w:footnoteReference w:id="914"/>
      </w:r>
      <w:r w:rsidRPr="00B53FFB">
        <w:rPr>
          <w:sz w:val="22"/>
          <w:szCs w:val="22"/>
        </w:rPr>
        <w:t xml:space="preserve">  More than half of the users in this group, the study found, are below the age of 35.</w:t>
      </w:r>
      <w:r w:rsidRPr="00B53FFB">
        <w:rPr>
          <w:rStyle w:val="FootnoteReference"/>
          <w:szCs w:val="22"/>
        </w:rPr>
        <w:footnoteReference w:id="915"/>
      </w:r>
      <w:r w:rsidRPr="00B53FFB">
        <w:rPr>
          <w:sz w:val="22"/>
          <w:szCs w:val="22"/>
        </w:rPr>
        <w:t xml:space="preserve">  </w:t>
      </w:r>
    </w:p>
    <w:p w:rsidR="004A147C" w:rsidRPr="00B53FFB" w:rsidRDefault="004A147C" w:rsidP="00CE5850">
      <w:pPr>
        <w:pStyle w:val="ParaNum"/>
        <w:numPr>
          <w:ilvl w:val="0"/>
          <w:numId w:val="28"/>
        </w:numPr>
        <w:spacing w:before="240"/>
        <w:rPr>
          <w:sz w:val="22"/>
          <w:szCs w:val="22"/>
        </w:rPr>
      </w:pPr>
      <w:r w:rsidRPr="00B53FFB">
        <w:rPr>
          <w:sz w:val="22"/>
          <w:szCs w:val="22"/>
        </w:rPr>
        <w:t>Another study found that after price, the main reason smartphone owners switch service providers is to get better data coverage and download speeds.  In the sample, 40 percent indicated that they switched providers in the past year to get better data speed and coverage compared with 26 percent who said they switched to get better voice coverage.</w:t>
      </w:r>
      <w:r w:rsidRPr="00B53FFB">
        <w:rPr>
          <w:rStyle w:val="FootnoteReference"/>
          <w:szCs w:val="22"/>
        </w:rPr>
        <w:footnoteReference w:id="916"/>
      </w:r>
      <w:r w:rsidRPr="00B53FFB">
        <w:rPr>
          <w:sz w:val="22"/>
          <w:szCs w:val="22"/>
        </w:rPr>
        <w:t xml:space="preserve">  The study was composed of more than 900 U.S. smartphone users and more than 1,000 British smartphone users.  Eighty-six percent said that when their mobile connection is poor, they care more about seeing standard definition video rather than seeing high definition video.</w:t>
      </w:r>
      <w:r w:rsidRPr="00B53FFB">
        <w:rPr>
          <w:rStyle w:val="FootnoteReference"/>
          <w:szCs w:val="22"/>
        </w:rPr>
        <w:footnoteReference w:id="917"/>
      </w:r>
      <w:r w:rsidRPr="00B53FFB">
        <w:rPr>
          <w:sz w:val="22"/>
          <w:szCs w:val="22"/>
        </w:rPr>
        <w:t xml:space="preserve">  </w:t>
      </w:r>
    </w:p>
    <w:p w:rsidR="004A147C" w:rsidRPr="00B53FFB" w:rsidRDefault="004A147C" w:rsidP="00CE5850">
      <w:pPr>
        <w:pStyle w:val="ParaNum"/>
        <w:numPr>
          <w:ilvl w:val="0"/>
          <w:numId w:val="28"/>
        </w:numPr>
        <w:rPr>
          <w:sz w:val="22"/>
          <w:szCs w:val="22"/>
        </w:rPr>
      </w:pPr>
      <w:bookmarkStart w:id="4481" w:name="_Toc83547840"/>
      <w:bookmarkStart w:id="4482" w:name="_Toc112139260"/>
      <w:bookmarkStart w:id="4483" w:name="_Toc113257867"/>
      <w:bookmarkStart w:id="4484" w:name="_Toc113258064"/>
      <w:bookmarkStart w:id="4485" w:name="_Toc113258332"/>
      <w:bookmarkStart w:id="4486" w:name="_Toc113258658"/>
      <w:bookmarkStart w:id="4487" w:name="_Toc113272247"/>
      <w:bookmarkStart w:id="4488" w:name="_Toc115580932"/>
      <w:bookmarkStart w:id="4489" w:name="_Toc136318335"/>
      <w:bookmarkStart w:id="4490" w:name="_Toc136318684"/>
      <w:bookmarkStart w:id="4491" w:name="_Toc136318851"/>
      <w:bookmarkStart w:id="4492" w:name="_Toc138475827"/>
      <w:bookmarkStart w:id="4493" w:name="_Toc146684556"/>
      <w:bookmarkStart w:id="4494" w:name="_Toc147046314"/>
      <w:bookmarkStart w:id="4495" w:name="_Toc171415272"/>
      <w:bookmarkStart w:id="4496" w:name="_Toc173642163"/>
      <w:bookmarkStart w:id="4497" w:name="_Toc173813701"/>
      <w:bookmarkStart w:id="4498" w:name="_Toc175387871"/>
      <w:bookmarkStart w:id="4499" w:name="_Toc176254476"/>
      <w:bookmarkStart w:id="4500" w:name="_Toc176254765"/>
      <w:bookmarkStart w:id="4501" w:name="_Toc176254876"/>
      <w:bookmarkStart w:id="4502" w:name="_Toc176762510"/>
      <w:bookmarkStart w:id="4503" w:name="_Toc176843531"/>
      <w:bookmarkStart w:id="4504" w:name="_Toc176853333"/>
      <w:bookmarkStart w:id="4505" w:name="_Toc176853442"/>
      <w:bookmarkStart w:id="4506" w:name="_Toc176857491"/>
      <w:bookmarkStart w:id="4507" w:name="_Toc179108423"/>
      <w:bookmarkStart w:id="4508" w:name="_Toc179357682"/>
      <w:bookmarkStart w:id="4509" w:name="_Toc181781164"/>
      <w:bookmarkStart w:id="4510" w:name="_Toc182218750"/>
      <w:bookmarkStart w:id="4511" w:name="_Toc182909186"/>
      <w:bookmarkStart w:id="4512" w:name="_Toc182909616"/>
      <w:bookmarkStart w:id="4513" w:name="_Toc182987266"/>
      <w:bookmarkStart w:id="4514" w:name="_Toc183244101"/>
      <w:bookmarkStart w:id="4515" w:name="_Toc183244479"/>
      <w:bookmarkStart w:id="4516" w:name="_Toc183244890"/>
      <w:bookmarkStart w:id="4517" w:name="_Toc183245008"/>
      <w:bookmarkStart w:id="4518" w:name="_Toc183245666"/>
      <w:bookmarkStart w:id="4519" w:name="_Toc183246241"/>
      <w:bookmarkStart w:id="4520" w:name="_Toc183246340"/>
      <w:bookmarkStart w:id="4521" w:name="_Toc185667950"/>
      <w:bookmarkStart w:id="4522" w:name="_Ref185756123"/>
      <w:bookmarkStart w:id="4523" w:name="_Ref185756219"/>
      <w:bookmarkStart w:id="4524" w:name="_Toc185839007"/>
      <w:bookmarkStart w:id="4525" w:name="_Toc185846979"/>
      <w:bookmarkStart w:id="4526" w:name="_Toc185848585"/>
      <w:bookmarkStart w:id="4527" w:name="_Toc188946943"/>
      <w:bookmarkStart w:id="4528" w:name="_Toc189302847"/>
      <w:bookmarkStart w:id="4529" w:name="_Toc209948514"/>
      <w:bookmarkStart w:id="4530" w:name="_Toc209948623"/>
      <w:bookmarkStart w:id="4531" w:name="_Toc209950065"/>
      <w:bookmarkStart w:id="4532" w:name="_Toc210211521"/>
      <w:bookmarkStart w:id="4533" w:name="_Toc210213088"/>
      <w:bookmarkStart w:id="4534" w:name="_Toc210213227"/>
      <w:bookmarkStart w:id="4535" w:name="_Toc210213788"/>
      <w:bookmarkStart w:id="4536" w:name="_Toc212968011"/>
      <w:bookmarkStart w:id="4537" w:name="_Toc215316413"/>
      <w:bookmarkStart w:id="4538" w:name="_Toc215384667"/>
      <w:bookmarkStart w:id="4539" w:name="_Toc217810533"/>
      <w:r w:rsidRPr="00B53FFB">
        <w:rPr>
          <w:i/>
          <w:sz w:val="22"/>
          <w:szCs w:val="22"/>
        </w:rPr>
        <w:t>Switching Decision Factors</w:t>
      </w:r>
      <w:r w:rsidRPr="00B53FFB">
        <w:rPr>
          <w:sz w:val="22"/>
          <w:szCs w:val="22"/>
        </w:rPr>
        <w:t xml:space="preserve">.  When mobile wireless customers wish to switch service providers before they had previously expected to upgrade their service, they may incur some switching costs.  In the context of mobile wireless services, switching costs are costs that a consumer who switches service providers incurs when past </w:t>
      </w:r>
      <w:hyperlink r:id="rId67" w:tooltip="Investment" w:history="1">
        <w:r w:rsidRPr="00B53FFB">
          <w:rPr>
            <w:sz w:val="22"/>
            <w:szCs w:val="22"/>
          </w:rPr>
          <w:t>investment</w:t>
        </w:r>
      </w:hyperlink>
      <w:r w:rsidRPr="00B53FFB">
        <w:rPr>
          <w:sz w:val="22"/>
          <w:szCs w:val="22"/>
        </w:rPr>
        <w:t xml:space="preserve"> specific to her current provider must be duplicated for a new provider.</w:t>
      </w:r>
      <w:r w:rsidRPr="00B53FFB">
        <w:rPr>
          <w:rStyle w:val="FootnoteReference"/>
          <w:szCs w:val="22"/>
        </w:rPr>
        <w:footnoteReference w:id="918"/>
      </w:r>
      <w:r w:rsidRPr="00B53FFB">
        <w:rPr>
          <w:sz w:val="22"/>
          <w:szCs w:val="22"/>
        </w:rPr>
        <w:t xml:space="preserve">  There are several potential sources of switching costs in the mobile wireless industry:</w:t>
      </w:r>
      <w:r w:rsidRPr="00B53FFB">
        <w:rPr>
          <w:rStyle w:val="FootnoteReference"/>
          <w:szCs w:val="22"/>
        </w:rPr>
        <w:footnoteReference w:id="919"/>
      </w:r>
      <w:r w:rsidRPr="00B53FFB">
        <w:rPr>
          <w:sz w:val="22"/>
          <w:szCs w:val="22"/>
        </w:rPr>
        <w:t xml:space="preserve">  First, there may be costs, such as research time, associated with acquiring information about the offerings of various service providers.  Second, mobile wireless customers that have entered into multi-month service subscriptions with their service providers may be liable for early termination fees (ETFs) if they choose to prematurely terminate their contracts.  Third, there are the costs associated with potentially obtaining a new handset when changing service providers.  Whether a consumer obtains a new handset when switching providers may depend on the age of her current handset, the air interface technologies and spectrum of her current and new service providers,</w:t>
      </w:r>
      <w:r w:rsidRPr="00B53FFB">
        <w:rPr>
          <w:rStyle w:val="FootnoteReference"/>
          <w:szCs w:val="22"/>
        </w:rPr>
        <w:footnoteReference w:id="920"/>
      </w:r>
      <w:r w:rsidRPr="00B53FFB">
        <w:rPr>
          <w:sz w:val="22"/>
          <w:szCs w:val="22"/>
        </w:rPr>
        <w:t xml:space="preserve"> and if she is able to unlock her current handset.</w:t>
      </w:r>
      <w:r w:rsidRPr="00B53FFB">
        <w:rPr>
          <w:rStyle w:val="FootnoteReference"/>
          <w:szCs w:val="22"/>
        </w:rPr>
        <w:footnoteReference w:id="921"/>
      </w:r>
      <w:r w:rsidRPr="00B53FFB">
        <w:rPr>
          <w:sz w:val="22"/>
          <w:szCs w:val="22"/>
        </w:rPr>
        <w:t xml:space="preserve">  Finally, there may be non-economic switching costs such as brand loyalty.</w:t>
      </w:r>
      <w:r w:rsidRPr="00B53FFB">
        <w:rPr>
          <w:rStyle w:val="FootnoteReference"/>
          <w:szCs w:val="22"/>
        </w:rPr>
        <w:footnoteReference w:id="922"/>
      </w:r>
      <w:bookmarkEnd w:id="4481"/>
      <w:bookmarkEnd w:id="4482"/>
      <w:bookmarkEnd w:id="4483"/>
      <w:bookmarkEnd w:id="4484"/>
      <w:bookmarkEnd w:id="4485"/>
      <w:bookmarkEnd w:id="4486"/>
      <w:bookmarkEnd w:id="4487"/>
      <w:bookmarkEnd w:id="4488"/>
      <w:bookmarkEnd w:id="4489"/>
      <w:bookmarkEnd w:id="4490"/>
      <w:bookmarkEnd w:id="4491"/>
      <w:bookmarkEnd w:id="4492"/>
      <w:bookmarkEnd w:id="4493"/>
      <w:bookmarkEnd w:id="4494"/>
      <w:bookmarkEnd w:id="4495"/>
      <w:bookmarkEnd w:id="4496"/>
      <w:bookmarkEnd w:id="4497"/>
      <w:bookmarkEnd w:id="4498"/>
      <w:bookmarkEnd w:id="4499"/>
      <w:bookmarkEnd w:id="4500"/>
      <w:bookmarkEnd w:id="4501"/>
      <w:bookmarkEnd w:id="4502"/>
      <w:bookmarkEnd w:id="4503"/>
      <w:bookmarkEnd w:id="4504"/>
      <w:bookmarkEnd w:id="4505"/>
      <w:bookmarkEnd w:id="4506"/>
      <w:bookmarkEnd w:id="4507"/>
      <w:bookmarkEnd w:id="4508"/>
      <w:bookmarkEnd w:id="4509"/>
      <w:bookmarkEnd w:id="4510"/>
      <w:bookmarkEnd w:id="4511"/>
      <w:bookmarkEnd w:id="4512"/>
      <w:bookmarkEnd w:id="4513"/>
      <w:bookmarkEnd w:id="4514"/>
      <w:bookmarkEnd w:id="4515"/>
      <w:bookmarkEnd w:id="4516"/>
      <w:bookmarkEnd w:id="4517"/>
      <w:bookmarkEnd w:id="4518"/>
      <w:bookmarkEnd w:id="4519"/>
      <w:bookmarkEnd w:id="4520"/>
      <w:bookmarkEnd w:id="4521"/>
      <w:bookmarkEnd w:id="4522"/>
      <w:bookmarkEnd w:id="4523"/>
      <w:bookmarkEnd w:id="4524"/>
      <w:bookmarkEnd w:id="4525"/>
      <w:bookmarkEnd w:id="4526"/>
      <w:bookmarkEnd w:id="4527"/>
      <w:bookmarkEnd w:id="4528"/>
      <w:bookmarkEnd w:id="4529"/>
      <w:bookmarkEnd w:id="4530"/>
      <w:bookmarkEnd w:id="4531"/>
      <w:bookmarkEnd w:id="4532"/>
      <w:bookmarkEnd w:id="4533"/>
      <w:bookmarkEnd w:id="4534"/>
      <w:bookmarkEnd w:id="4535"/>
      <w:bookmarkEnd w:id="4536"/>
      <w:bookmarkEnd w:id="4537"/>
      <w:bookmarkEnd w:id="4538"/>
      <w:bookmarkEnd w:id="4539"/>
    </w:p>
    <w:p w:rsidR="004A147C" w:rsidRPr="00B53FFB" w:rsidRDefault="004A147C" w:rsidP="00CE5850">
      <w:pPr>
        <w:pStyle w:val="ParaNum"/>
        <w:numPr>
          <w:ilvl w:val="0"/>
          <w:numId w:val="28"/>
        </w:numPr>
        <w:rPr>
          <w:sz w:val="22"/>
          <w:szCs w:val="22"/>
        </w:rPr>
      </w:pPr>
      <w:r w:rsidRPr="00B53FFB">
        <w:rPr>
          <w:i/>
          <w:sz w:val="22"/>
          <w:szCs w:val="22"/>
        </w:rPr>
        <w:t>Churn Data on Switching</w:t>
      </w:r>
      <w:r w:rsidRPr="00B53FFB">
        <w:rPr>
          <w:sz w:val="22"/>
          <w:szCs w:val="22"/>
        </w:rPr>
        <w:t xml:space="preserve">.  Churn data measure the percentage of customers who switch providers in a given time period are presented in Section </w:t>
      </w:r>
      <w:r w:rsidR="0007014B">
        <w:rPr>
          <w:sz w:val="22"/>
          <w:szCs w:val="22"/>
        </w:rPr>
        <w:fldChar w:fldCharType="begin"/>
      </w:r>
      <w:r>
        <w:rPr>
          <w:sz w:val="22"/>
          <w:szCs w:val="22"/>
        </w:rPr>
        <w:instrText xml:space="preserve"> REF _Ref341879705 \w </w:instrText>
      </w:r>
      <w:r w:rsidR="0007014B">
        <w:rPr>
          <w:sz w:val="22"/>
          <w:szCs w:val="22"/>
        </w:rPr>
        <w:fldChar w:fldCharType="separate"/>
      </w:r>
      <w:r w:rsidR="00CA3AC6">
        <w:rPr>
          <w:sz w:val="22"/>
          <w:szCs w:val="22"/>
        </w:rPr>
        <w:t>0</w:t>
      </w:r>
      <w:r w:rsidR="0007014B">
        <w:rPr>
          <w:sz w:val="22"/>
          <w:szCs w:val="22"/>
        </w:rPr>
        <w:fldChar w:fldCharType="end"/>
      </w:r>
      <w:r w:rsidRPr="00B53FFB">
        <w:rPr>
          <w:sz w:val="22"/>
          <w:szCs w:val="22"/>
        </w:rPr>
        <w:t xml:space="preserve">, Connection Churn.  The annual average industry churn rate is in excess of 24 percent. Churn rate varies by industry segment, with Chart 19 indicating that the churn rate for pre-paid/reseller services is several percentage points higher than for post-paid plans.  Part of this differential may be explained by the presence of ETFs, and part of it may be explained by differences in other service and product characteristics between pre-paid and post-paid plans.  This difference between average pre-paid and post-paid churn rates is reflected in the churn rates of different service providers according to the distribution of their customer bases across pre-paid and post-post service plans.     </w:t>
      </w:r>
    </w:p>
    <w:p w:rsidR="004A147C" w:rsidRPr="00B53FFB" w:rsidRDefault="004A147C" w:rsidP="00CE5850">
      <w:pPr>
        <w:pStyle w:val="Heading2"/>
        <w:keepNext w:val="0"/>
      </w:pPr>
      <w:bookmarkStart w:id="4540" w:name="_Toc275518009"/>
      <w:bookmarkStart w:id="4541" w:name="_Toc275952449"/>
      <w:bookmarkStart w:id="4542" w:name="_Toc276121881"/>
      <w:bookmarkStart w:id="4543" w:name="_Toc276480717"/>
      <w:bookmarkStart w:id="4544" w:name="_Toc276741794"/>
      <w:bookmarkStart w:id="4545" w:name="_Toc277171559"/>
      <w:bookmarkStart w:id="4546" w:name="_Toc277864534"/>
      <w:bookmarkStart w:id="4547" w:name="_Toc277864750"/>
      <w:bookmarkStart w:id="4548" w:name="_Ref279670055"/>
      <w:bookmarkStart w:id="4549" w:name="_Ref281318083"/>
      <w:bookmarkStart w:id="4550" w:name="_Toc285810431"/>
      <w:bookmarkStart w:id="4551" w:name="_Toc287257825"/>
      <w:bookmarkStart w:id="4552" w:name="_Ref287274958"/>
      <w:bookmarkStart w:id="4553" w:name="_Toc291758704"/>
      <w:bookmarkStart w:id="4554" w:name="_Toc291758807"/>
      <w:bookmarkStart w:id="4555" w:name="_Toc295392987"/>
      <w:bookmarkStart w:id="4556" w:name="_Toc332119157"/>
      <w:bookmarkStart w:id="4557" w:name="_Toc334088825"/>
      <w:bookmarkStart w:id="4558" w:name="_Toc334089061"/>
      <w:bookmarkStart w:id="4559" w:name="_Toc334089220"/>
      <w:bookmarkStart w:id="4560" w:name="_Toc334089331"/>
      <w:bookmarkStart w:id="4561" w:name="_Toc334089495"/>
      <w:bookmarkStart w:id="4562" w:name="_Toc336268637"/>
      <w:bookmarkStart w:id="4563" w:name="_Toc336268745"/>
      <w:bookmarkStart w:id="4564" w:name="_Toc336268852"/>
      <w:bookmarkStart w:id="4565" w:name="_Toc336269066"/>
      <w:bookmarkStart w:id="4566" w:name="_Toc336269173"/>
      <w:bookmarkStart w:id="4567" w:name="_Toc336269541"/>
      <w:bookmarkStart w:id="4568" w:name="_Toc336269687"/>
      <w:bookmarkStart w:id="4569" w:name="_Toc336270100"/>
      <w:bookmarkStart w:id="4570" w:name="_Toc336271300"/>
      <w:bookmarkStart w:id="4571" w:name="_Toc337652006"/>
      <w:bookmarkStart w:id="4572" w:name="_Toc349577195"/>
      <w:bookmarkStart w:id="4573" w:name="_Toc349579287"/>
      <w:bookmarkStart w:id="4574" w:name="_Toc349580602"/>
      <w:bookmarkStart w:id="4575" w:name="_Toc349735010"/>
      <w:bookmarkStart w:id="4576" w:name="_Toc349742375"/>
      <w:r w:rsidRPr="00B53FFB">
        <w:t>Consumer Access to Information on Mobile Wireless Services</w:t>
      </w:r>
      <w:bookmarkEnd w:id="4540"/>
      <w:bookmarkEnd w:id="4541"/>
      <w:bookmarkEnd w:id="4542"/>
      <w:bookmarkEnd w:id="4543"/>
      <w:bookmarkEnd w:id="4544"/>
      <w:bookmarkEnd w:id="4545"/>
      <w:bookmarkEnd w:id="4546"/>
      <w:bookmarkEnd w:id="4547"/>
      <w:bookmarkEnd w:id="4548"/>
      <w:bookmarkEnd w:id="4549"/>
      <w:bookmarkEnd w:id="4550"/>
      <w:bookmarkEnd w:id="4551"/>
      <w:bookmarkEnd w:id="4552"/>
      <w:bookmarkEnd w:id="4553"/>
      <w:bookmarkEnd w:id="4554"/>
      <w:bookmarkEnd w:id="4555"/>
      <w:bookmarkEnd w:id="4556"/>
      <w:bookmarkEnd w:id="4557"/>
      <w:bookmarkEnd w:id="4558"/>
      <w:bookmarkEnd w:id="4559"/>
      <w:bookmarkEnd w:id="4560"/>
      <w:bookmarkEnd w:id="4561"/>
      <w:bookmarkEnd w:id="4562"/>
      <w:bookmarkEnd w:id="4563"/>
      <w:bookmarkEnd w:id="4564"/>
      <w:bookmarkEnd w:id="4565"/>
      <w:bookmarkEnd w:id="4566"/>
      <w:bookmarkEnd w:id="4567"/>
      <w:bookmarkEnd w:id="4568"/>
      <w:bookmarkEnd w:id="4569"/>
      <w:bookmarkEnd w:id="4570"/>
      <w:bookmarkEnd w:id="4571"/>
      <w:bookmarkEnd w:id="4572"/>
      <w:bookmarkEnd w:id="4573"/>
      <w:bookmarkEnd w:id="4574"/>
      <w:bookmarkEnd w:id="4575"/>
      <w:bookmarkEnd w:id="4576"/>
    </w:p>
    <w:p w:rsidR="004A147C" w:rsidRPr="00B53FFB" w:rsidRDefault="004A147C" w:rsidP="00CE5850">
      <w:pPr>
        <w:pStyle w:val="ParaNum"/>
        <w:numPr>
          <w:ilvl w:val="0"/>
          <w:numId w:val="28"/>
        </w:numPr>
        <w:rPr>
          <w:sz w:val="22"/>
          <w:szCs w:val="22"/>
        </w:rPr>
      </w:pPr>
      <w:bookmarkStart w:id="4577" w:name="_Ref347845874"/>
      <w:r w:rsidRPr="00B53FFB">
        <w:rPr>
          <w:sz w:val="22"/>
          <w:szCs w:val="22"/>
        </w:rPr>
        <w:t xml:space="preserve">In order to make informed decisions, consumers need detailed information about the price, availability, quality, and features of mobile wireless services.  All mobile wireless service providers offer resources on their websites that advertise their products, services, and prices and that give potential customers information on their networks, service plans, and terms of service.  A number of third parties – such as </w:t>
      </w:r>
      <w:r w:rsidRPr="00B53FFB">
        <w:rPr>
          <w:i/>
          <w:sz w:val="22"/>
          <w:szCs w:val="22"/>
        </w:rPr>
        <w:t>Consumer Reports</w:t>
      </w:r>
      <w:r w:rsidRPr="00B53FFB">
        <w:rPr>
          <w:sz w:val="22"/>
          <w:szCs w:val="22"/>
        </w:rPr>
        <w:t>, trade associations, marketing and consulting firms, and several websites – also provide consumers with an overview and comparison of the mobile wireless services available in their local areas.</w:t>
      </w:r>
      <w:r w:rsidRPr="00B53FFB">
        <w:rPr>
          <w:sz w:val="22"/>
          <w:szCs w:val="22"/>
          <w:vertAlign w:val="superscript"/>
        </w:rPr>
        <w:footnoteReference w:id="923"/>
      </w:r>
      <w:r w:rsidRPr="00B53FFB">
        <w:rPr>
          <w:sz w:val="22"/>
          <w:szCs w:val="22"/>
        </w:rPr>
        <w:t xml:space="preserve">  In addition, organizations such as </w:t>
      </w:r>
      <w:r w:rsidRPr="00B53FFB">
        <w:rPr>
          <w:i/>
          <w:sz w:val="22"/>
          <w:szCs w:val="22"/>
        </w:rPr>
        <w:t>Consumer Reports</w:t>
      </w:r>
      <w:r w:rsidRPr="00B53FFB">
        <w:rPr>
          <w:sz w:val="22"/>
          <w:szCs w:val="22"/>
        </w:rPr>
        <w:t xml:space="preserve"> and </w:t>
      </w:r>
      <w:r w:rsidRPr="00B53FFB">
        <w:rPr>
          <w:i/>
          <w:sz w:val="22"/>
          <w:szCs w:val="22"/>
        </w:rPr>
        <w:t>J.D. Power</w:t>
      </w:r>
      <w:r w:rsidRPr="00B53FFB">
        <w:rPr>
          <w:sz w:val="22"/>
          <w:szCs w:val="22"/>
        </w:rPr>
        <w:t xml:space="preserve"> publish the results of their wireless user surveys, which rate wireless service providers based on customer satisfaction.</w:t>
      </w:r>
      <w:r>
        <w:rPr>
          <w:sz w:val="22"/>
          <w:szCs w:val="22"/>
        </w:rPr>
        <w:t xml:space="preserve">  Additional third party surveys and studies relevant to provider service quality appear above in Section V.H., Network Performance.</w:t>
      </w:r>
      <w:bookmarkEnd w:id="4577"/>
    </w:p>
    <w:p w:rsidR="004A147C" w:rsidRPr="00B53FFB" w:rsidRDefault="004A147C" w:rsidP="00CE5850">
      <w:pPr>
        <w:pStyle w:val="ParaNum"/>
        <w:numPr>
          <w:ilvl w:val="0"/>
          <w:numId w:val="28"/>
        </w:numPr>
        <w:rPr>
          <w:sz w:val="22"/>
          <w:szCs w:val="22"/>
        </w:rPr>
      </w:pPr>
      <w:r w:rsidRPr="00B53FFB">
        <w:rPr>
          <w:sz w:val="22"/>
          <w:szCs w:val="22"/>
        </w:rPr>
        <w:t>Most service provider websites include online street-level coverage maps so consumers can assess the level of service they can expect to receive in a given area.</w:t>
      </w:r>
      <w:r w:rsidRPr="00B53FFB">
        <w:rPr>
          <w:rStyle w:val="FootnoteReference"/>
          <w:szCs w:val="22"/>
        </w:rPr>
        <w:footnoteReference w:id="924"/>
      </w:r>
      <w:r w:rsidRPr="00B53FFB">
        <w:rPr>
          <w:sz w:val="22"/>
          <w:szCs w:val="22"/>
        </w:rPr>
        <w:t xml:space="preserve">  Nonetheless, it can be difficult for consumers to compare coverage between providers in a particular geographic location, as the providers’ coverage maps do not currently provide the capability for overlay viewing.  Independent websites such as BillShrink have begun to compile coverage data, which enables consumers to comparison shop based upon coverage at specific geographic locations.</w:t>
      </w:r>
      <w:r w:rsidRPr="00B53FFB">
        <w:rPr>
          <w:color w:val="000000"/>
          <w:sz w:val="22"/>
          <w:szCs w:val="22"/>
        </w:rPr>
        <w:t xml:space="preserve">  The </w:t>
      </w:r>
      <w:r w:rsidRPr="00B53FFB">
        <w:rPr>
          <w:sz w:val="22"/>
          <w:szCs w:val="22"/>
        </w:rPr>
        <w:t>coverage data released by providers may provide only a binary “yes” or “no” coverage reading and is not quality of service data that would account for variable environmental and network conditions or the actual service quality experienced by consumers.</w:t>
      </w:r>
      <w:r w:rsidRPr="00B53FFB">
        <w:rPr>
          <w:rStyle w:val="FootnoteReference"/>
          <w:szCs w:val="22"/>
        </w:rPr>
        <w:footnoteReference w:id="925"/>
      </w:r>
    </w:p>
    <w:p w:rsidR="004A147C" w:rsidRPr="00B53FFB" w:rsidRDefault="004A147C" w:rsidP="00CE5850">
      <w:pPr>
        <w:pStyle w:val="ParaNum"/>
        <w:numPr>
          <w:ilvl w:val="0"/>
          <w:numId w:val="28"/>
        </w:numPr>
        <w:rPr>
          <w:sz w:val="22"/>
          <w:szCs w:val="22"/>
        </w:rPr>
      </w:pPr>
      <w:r w:rsidRPr="00B53FFB">
        <w:rPr>
          <w:color w:val="000000"/>
          <w:sz w:val="22"/>
          <w:szCs w:val="22"/>
        </w:rPr>
        <w:t xml:space="preserve">In addition to coverage maps, mobile wireless service providers also publish “up-to” or “typical” data throughput rates for their data networks.  However, these published data throughput rates are </w:t>
      </w:r>
      <w:r w:rsidRPr="00B53FFB">
        <w:rPr>
          <w:sz w:val="22"/>
          <w:szCs w:val="22"/>
        </w:rPr>
        <w:t>generally rough estimations of actual performance.  Several third parties test mobile wireless network performance and publish their results, which can include metrics for coverage, reliability, and data throughput rates.</w:t>
      </w:r>
      <w:r w:rsidRPr="00B53FFB">
        <w:rPr>
          <w:rStyle w:val="FootnoteReference"/>
          <w:szCs w:val="22"/>
        </w:rPr>
        <w:footnoteReference w:id="926"/>
      </w:r>
      <w:r w:rsidRPr="00B53FFB">
        <w:rPr>
          <w:sz w:val="22"/>
          <w:szCs w:val="22"/>
        </w:rPr>
        <w:t xml:space="preserve">  As discussed above, the Commission has recognized the importance of accurate, up-to-date data on mobile broadband performance for consumers and has solicited information on the measurement of mobile broadband network performance and coverage, including the best metrics and data collection methods to use.</w:t>
      </w:r>
      <w:r w:rsidRPr="00B53FFB">
        <w:rPr>
          <w:rStyle w:val="FootnoteReference"/>
          <w:szCs w:val="22"/>
        </w:rPr>
        <w:footnoteReference w:id="927"/>
      </w:r>
      <w:r w:rsidRPr="00B53FFB">
        <w:rPr>
          <w:sz w:val="22"/>
          <w:szCs w:val="22"/>
        </w:rPr>
        <w:t xml:space="preserve">  Information on mobile broadband availability can also be found in the National Broadband Map.</w:t>
      </w:r>
      <w:r w:rsidRPr="00B53FFB">
        <w:rPr>
          <w:rStyle w:val="FootnoteReference"/>
          <w:szCs w:val="22"/>
        </w:rPr>
        <w:footnoteReference w:id="928"/>
      </w:r>
    </w:p>
    <w:p w:rsidR="004A147C" w:rsidRPr="00B53FFB" w:rsidRDefault="004A147C" w:rsidP="00CE5850">
      <w:pPr>
        <w:pStyle w:val="ParaNum"/>
        <w:numPr>
          <w:ilvl w:val="0"/>
          <w:numId w:val="28"/>
        </w:numPr>
        <w:rPr>
          <w:sz w:val="22"/>
          <w:szCs w:val="22"/>
        </w:rPr>
      </w:pPr>
      <w:r w:rsidRPr="00B53FFB">
        <w:rPr>
          <w:sz w:val="22"/>
          <w:szCs w:val="22"/>
        </w:rPr>
        <w:t xml:space="preserve">Through the </w:t>
      </w:r>
      <w:r w:rsidRPr="00B53FFB">
        <w:rPr>
          <w:i/>
          <w:sz w:val="22"/>
          <w:szCs w:val="22"/>
        </w:rPr>
        <w:t>Consumer Code for Wireless Service</w:t>
      </w:r>
      <w:r w:rsidRPr="00B53FFB">
        <w:rPr>
          <w:sz w:val="22"/>
          <w:szCs w:val="22"/>
        </w:rPr>
        <w:t>, CTIA and the service providers that are signatories to the Code, voluntarily commit to providing consumers with information to assist them in the selection of mobile wireless service.</w:t>
      </w:r>
      <w:r w:rsidRPr="00B53FFB">
        <w:rPr>
          <w:rStyle w:val="FootnoteReference"/>
          <w:szCs w:val="22"/>
        </w:rPr>
        <w:footnoteReference w:id="929"/>
      </w:r>
      <w:r w:rsidRPr="00B53FFB">
        <w:rPr>
          <w:sz w:val="22"/>
          <w:szCs w:val="22"/>
        </w:rPr>
        <w:t xml:space="preserve">  For example, implementation of initial trial periods in multi-month service subscriptions is a policy that may alleviate a “buyer’s regret” problem, and some wireless service providers have implemented formal procedures to permit consumers to use their service on a trial basis for periods ranging from 14 to 30 days, consistent with one of the elements of CTIA’s Consumer Code.</w:t>
      </w:r>
      <w:r w:rsidRPr="00B53FFB">
        <w:rPr>
          <w:rStyle w:val="FootnoteReference"/>
          <w:szCs w:val="22"/>
        </w:rPr>
        <w:footnoteReference w:id="930"/>
      </w:r>
      <w:r w:rsidRPr="00B53FFB">
        <w:rPr>
          <w:sz w:val="22"/>
          <w:szCs w:val="22"/>
        </w:rPr>
        <w:t xml:space="preserve">  In addition to offering a trial period for new service, signatories to CTIA’s Consumer Code commit to disclose rates, additional taxes, fees, surcharges, and terms of service; provide coverage maps; and make customer service readily accessible.</w:t>
      </w:r>
      <w:r w:rsidRPr="00B53FFB">
        <w:rPr>
          <w:rStyle w:val="FootnoteReference"/>
          <w:szCs w:val="22"/>
        </w:rPr>
        <w:footnoteReference w:id="931"/>
      </w:r>
      <w:r w:rsidRPr="00B53FFB">
        <w:rPr>
          <w:sz w:val="22"/>
          <w:szCs w:val="22"/>
        </w:rPr>
        <w:t xml:space="preserve">  In July 2010, CTIA updated the Consumer Code </w:t>
      </w:r>
      <w:r w:rsidRPr="00B53FFB">
        <w:rPr>
          <w:kern w:val="0"/>
          <w:sz w:val="22"/>
          <w:szCs w:val="22"/>
        </w:rPr>
        <w:t>to require carriers to ensure disclosure of data allowances offered in a service plan, whether there are any prohibitions on data service usage, and whether there are network management practices that will have a material impact on the customer’s wireless data experience.</w:t>
      </w:r>
      <w:r w:rsidRPr="00B53FFB">
        <w:rPr>
          <w:rStyle w:val="FootnoteReference"/>
          <w:kern w:val="0"/>
          <w:szCs w:val="22"/>
        </w:rPr>
        <w:footnoteReference w:id="932"/>
      </w:r>
      <w:r w:rsidRPr="00B53FFB">
        <w:rPr>
          <w:kern w:val="0"/>
          <w:sz w:val="22"/>
          <w:szCs w:val="22"/>
        </w:rPr>
        <w:t xml:space="preserve">  The Consumer Code also states that prepaid service providers must disclose the period of time during which any prepaid balance is available for use.</w:t>
      </w:r>
      <w:r w:rsidRPr="00B53FFB">
        <w:rPr>
          <w:rStyle w:val="FootnoteReference"/>
          <w:kern w:val="0"/>
          <w:szCs w:val="22"/>
        </w:rPr>
        <w:footnoteReference w:id="933"/>
      </w:r>
    </w:p>
    <w:p w:rsidR="004A147C" w:rsidRPr="00B53FFB" w:rsidRDefault="004A147C" w:rsidP="00CE5850">
      <w:pPr>
        <w:pStyle w:val="ParaNum"/>
        <w:numPr>
          <w:ilvl w:val="0"/>
          <w:numId w:val="28"/>
        </w:numPr>
        <w:rPr>
          <w:sz w:val="22"/>
          <w:szCs w:val="22"/>
        </w:rPr>
      </w:pPr>
      <w:r w:rsidRPr="00B53FFB">
        <w:rPr>
          <w:i/>
          <w:sz w:val="22"/>
          <w:szCs w:val="22"/>
        </w:rPr>
        <w:t>Bill Shock</w:t>
      </w:r>
      <w:r w:rsidRPr="00B53FFB">
        <w:rPr>
          <w:sz w:val="22"/>
          <w:szCs w:val="22"/>
        </w:rPr>
        <w:t xml:space="preserve">.  Some mobile wireless service providers also have policies in place that attempt to prevent “bill shock” among their customers, </w:t>
      </w:r>
      <w:r w:rsidRPr="00B53FFB">
        <w:rPr>
          <w:i/>
          <w:sz w:val="22"/>
          <w:szCs w:val="22"/>
        </w:rPr>
        <w:t xml:space="preserve">i.e., </w:t>
      </w:r>
      <w:r w:rsidRPr="00B53FFB">
        <w:rPr>
          <w:sz w:val="22"/>
          <w:szCs w:val="22"/>
        </w:rPr>
        <w:t>a sudden increase in their monthly bill that is not caused by a change in service plan.  Bill shock can happen when a customer unknowingly exceeds plan limits for data, voice, or text, or is unaware of the magnitude of international roaming charges.  Survey results released by the Commission in May 2010 indicate that 30 million Americans – or one in six mobile users – have experienced bill shock.</w:t>
      </w:r>
      <w:r w:rsidRPr="00B53FFB">
        <w:rPr>
          <w:rStyle w:val="FootnoteReference"/>
          <w:szCs w:val="22"/>
        </w:rPr>
        <w:footnoteReference w:id="934"/>
      </w:r>
      <w:r w:rsidRPr="00B53FFB">
        <w:rPr>
          <w:sz w:val="22"/>
          <w:szCs w:val="22"/>
        </w:rPr>
        <w:t xml:space="preserve">  In addition, according to survey data published by </w:t>
      </w:r>
      <w:r w:rsidRPr="00B53FFB">
        <w:rPr>
          <w:i/>
          <w:sz w:val="22"/>
          <w:szCs w:val="22"/>
        </w:rPr>
        <w:t>Consumer Reports</w:t>
      </w:r>
      <w:r w:rsidRPr="00B53FFB">
        <w:rPr>
          <w:sz w:val="22"/>
          <w:szCs w:val="22"/>
        </w:rPr>
        <w:t xml:space="preserve"> in January 2011, one in five survey respondents reported receiving an unexpectedly high bill in the previous year.</w:t>
      </w:r>
      <w:r w:rsidRPr="00B53FFB">
        <w:rPr>
          <w:rStyle w:val="FootnoteReference"/>
          <w:szCs w:val="22"/>
        </w:rPr>
        <w:footnoteReference w:id="935"/>
      </w:r>
    </w:p>
    <w:p w:rsidR="004A147C" w:rsidRPr="00B53FFB" w:rsidRDefault="004A147C" w:rsidP="00CE5850">
      <w:pPr>
        <w:pStyle w:val="ParaNum"/>
        <w:numPr>
          <w:ilvl w:val="0"/>
          <w:numId w:val="28"/>
        </w:numPr>
        <w:rPr>
          <w:sz w:val="22"/>
          <w:szCs w:val="22"/>
        </w:rPr>
      </w:pPr>
      <w:r w:rsidRPr="00B53FFB">
        <w:rPr>
          <w:sz w:val="22"/>
          <w:szCs w:val="22"/>
        </w:rPr>
        <w:t>The Commission has been proactively working to clear up consumer confusion surrounding bill shock.  On October 14, 2010, the Commission proposed new rules that would require mobile service providers to send usage alerts to consumers when they approach and reach monthly plan limits, and also send alerts when they were about to incur international roaming charges.  As a result of these proposals, the Commission reached an agreement with CTIA that its member providers could voluntarily agree to provide these types of alerts that the Commission was proposing.  In October 2011, CTIA revised its Consumer Code to require that its participating providers provide four types of alerts (data, voice, text, international roaming) by April 17, 2013, and at least two out of the four types of alerts by October 17, 2012.</w:t>
      </w:r>
      <w:r w:rsidRPr="00B53FFB">
        <w:rPr>
          <w:rStyle w:val="FootnoteReference"/>
          <w:szCs w:val="22"/>
        </w:rPr>
        <w:footnoteReference w:id="936"/>
      </w:r>
      <w:r w:rsidRPr="00B53FFB">
        <w:rPr>
          <w:sz w:val="22"/>
          <w:szCs w:val="22"/>
        </w:rPr>
        <w:t xml:space="preserve">  The member providers agreeing to this plan account for service to 97 percent of U.S. wireless customers and all customers are included unless they opt out.  As of October 2012, the Commission announced that participating U.S. wireless companies had met or exceeded the initial deadline in CTIA’s Consumer Code to provide two out of the four specified alerts, and that were on track to provide all of the specified alerts by April 2013.</w:t>
      </w:r>
      <w:r w:rsidRPr="00B53FFB">
        <w:rPr>
          <w:rStyle w:val="FootnoteReference"/>
          <w:szCs w:val="22"/>
        </w:rPr>
        <w:footnoteReference w:id="937"/>
      </w:r>
    </w:p>
    <w:p w:rsidR="004A147C" w:rsidRPr="00B53FFB" w:rsidRDefault="004A147C" w:rsidP="00CE5850">
      <w:pPr>
        <w:pStyle w:val="ParaNum"/>
        <w:numPr>
          <w:ilvl w:val="0"/>
          <w:numId w:val="28"/>
        </w:numPr>
        <w:rPr>
          <w:sz w:val="22"/>
          <w:szCs w:val="22"/>
        </w:rPr>
      </w:pPr>
      <w:r w:rsidRPr="00B53FFB">
        <w:rPr>
          <w:sz w:val="22"/>
          <w:szCs w:val="22"/>
        </w:rPr>
        <w:t>As part of the Commission’s effort to empower consumers by putting information online, the Commission has established a web site where consumers can find out which providers are implementing their voluntary commitments.</w:t>
      </w:r>
      <w:r w:rsidRPr="00B53FFB">
        <w:rPr>
          <w:rStyle w:val="FootnoteReference"/>
          <w:szCs w:val="22"/>
        </w:rPr>
        <w:footnoteReference w:id="938"/>
      </w:r>
      <w:r w:rsidRPr="00B53FFB">
        <w:rPr>
          <w:sz w:val="22"/>
          <w:szCs w:val="22"/>
        </w:rPr>
        <w:t xml:space="preserve">  The web site contains a table showing which providers are providing which types of alerts and the Commission will regularly update the table to reflect each provider’s progress in providing the agree-upon alerts, based on information that CTIA provides the agency.</w:t>
      </w:r>
    </w:p>
    <w:p w:rsidR="004A147C" w:rsidRPr="00B53FFB" w:rsidRDefault="004A147C" w:rsidP="00CE5850">
      <w:pPr>
        <w:pStyle w:val="ParaNum"/>
        <w:numPr>
          <w:ilvl w:val="0"/>
          <w:numId w:val="28"/>
        </w:numPr>
        <w:rPr>
          <w:sz w:val="22"/>
          <w:szCs w:val="22"/>
        </w:rPr>
      </w:pPr>
      <w:r w:rsidRPr="00B53FFB">
        <w:rPr>
          <w:i/>
          <w:sz w:val="22"/>
          <w:szCs w:val="22"/>
        </w:rPr>
        <w:t>Open Internet Rules</w:t>
      </w:r>
      <w:r w:rsidRPr="00B53FFB">
        <w:rPr>
          <w:sz w:val="22"/>
          <w:szCs w:val="22"/>
        </w:rPr>
        <w:t>.  The rules on Internet openness adopted by the Commission in December 2010 require both fixed and mobile broadband Internet providers to “publicly disclose accurate information regarding the network management practices, performance, and commercial terms of its broadband Internet access services sufficient for consumers to make informed choices regarding use of such services.”</w:t>
      </w:r>
      <w:r w:rsidRPr="00B53FFB">
        <w:rPr>
          <w:rStyle w:val="FootnoteReference"/>
          <w:szCs w:val="22"/>
        </w:rPr>
        <w:footnoteReference w:id="939"/>
      </w:r>
      <w:r w:rsidRPr="00B53FFB">
        <w:rPr>
          <w:sz w:val="22"/>
          <w:szCs w:val="22"/>
        </w:rPr>
        <w:t xml:space="preserve">  In providing guidance regarding effective disclosure models, the Commission indicates that among the types of information that might be included in an effective disclosure are pricing terms such as monthly prices, usage-based fees, and fees for early termination or additional network services.</w:t>
      </w:r>
      <w:r w:rsidRPr="00B53FFB">
        <w:rPr>
          <w:rStyle w:val="FootnoteReference"/>
          <w:szCs w:val="22"/>
        </w:rPr>
        <w:footnoteReference w:id="940"/>
      </w:r>
    </w:p>
    <w:p w:rsidR="004A147C" w:rsidRPr="00B53FFB" w:rsidRDefault="004A147C" w:rsidP="00CE5850">
      <w:pPr>
        <w:pStyle w:val="Heading2"/>
        <w:keepNext w:val="0"/>
      </w:pPr>
      <w:bookmarkStart w:id="4578" w:name="_Toc332119158"/>
      <w:bookmarkStart w:id="4579" w:name="_Ref334022870"/>
      <w:bookmarkStart w:id="4580" w:name="_Toc334088826"/>
      <w:bookmarkStart w:id="4581" w:name="_Toc334089062"/>
      <w:bookmarkStart w:id="4582" w:name="_Toc334089221"/>
      <w:bookmarkStart w:id="4583" w:name="_Toc334089332"/>
      <w:bookmarkStart w:id="4584" w:name="_Toc334089496"/>
      <w:bookmarkStart w:id="4585" w:name="_Toc336268638"/>
      <w:bookmarkStart w:id="4586" w:name="_Toc336268746"/>
      <w:bookmarkStart w:id="4587" w:name="_Toc336268853"/>
      <w:bookmarkStart w:id="4588" w:name="_Toc336269067"/>
      <w:bookmarkStart w:id="4589" w:name="_Toc336269174"/>
      <w:bookmarkStart w:id="4590" w:name="_Toc336269542"/>
      <w:bookmarkStart w:id="4591" w:name="_Toc336269688"/>
      <w:bookmarkStart w:id="4592" w:name="_Toc336270101"/>
      <w:bookmarkStart w:id="4593" w:name="_Toc336271301"/>
      <w:bookmarkStart w:id="4594" w:name="_Toc337652007"/>
      <w:bookmarkStart w:id="4595" w:name="_Toc349577196"/>
      <w:bookmarkStart w:id="4596" w:name="_Toc349579288"/>
      <w:bookmarkStart w:id="4597" w:name="_Toc349580603"/>
      <w:bookmarkStart w:id="4598" w:name="_Toc349735011"/>
      <w:bookmarkStart w:id="4599" w:name="_Toc349742376"/>
      <w:r>
        <w:t xml:space="preserve">Surveys of </w:t>
      </w:r>
      <w:r w:rsidRPr="00B53FFB">
        <w:t>Consumer Satisfaction with Service Providers</w:t>
      </w:r>
      <w:bookmarkEnd w:id="4578"/>
      <w:bookmarkEnd w:id="4579"/>
      <w:bookmarkEnd w:id="4580"/>
      <w:bookmarkEnd w:id="4581"/>
      <w:bookmarkEnd w:id="4582"/>
      <w:bookmarkEnd w:id="4583"/>
      <w:bookmarkEnd w:id="4584"/>
      <w:bookmarkEnd w:id="4585"/>
      <w:bookmarkEnd w:id="4586"/>
      <w:bookmarkEnd w:id="4587"/>
      <w:bookmarkEnd w:id="4588"/>
      <w:bookmarkEnd w:id="4589"/>
      <w:bookmarkEnd w:id="4590"/>
      <w:bookmarkEnd w:id="4591"/>
      <w:bookmarkEnd w:id="4592"/>
      <w:bookmarkEnd w:id="4593"/>
      <w:bookmarkEnd w:id="4594"/>
      <w:bookmarkEnd w:id="4595"/>
      <w:bookmarkEnd w:id="4596"/>
      <w:bookmarkEnd w:id="4597"/>
      <w:bookmarkEnd w:id="4598"/>
      <w:bookmarkEnd w:id="4599"/>
    </w:p>
    <w:p w:rsidR="004A147C" w:rsidRPr="00B53FFB" w:rsidRDefault="004A147C" w:rsidP="00CE5850">
      <w:pPr>
        <w:pStyle w:val="ParaNum"/>
        <w:numPr>
          <w:ilvl w:val="0"/>
          <w:numId w:val="28"/>
        </w:numPr>
        <w:rPr>
          <w:sz w:val="22"/>
          <w:szCs w:val="22"/>
        </w:rPr>
      </w:pPr>
      <w:r w:rsidRPr="00B53FFB">
        <w:rPr>
          <w:sz w:val="22"/>
          <w:szCs w:val="22"/>
        </w:rPr>
        <w:t xml:space="preserve">In January 2011, </w:t>
      </w:r>
      <w:r w:rsidRPr="00B53FFB">
        <w:rPr>
          <w:i/>
          <w:sz w:val="22"/>
          <w:szCs w:val="22"/>
        </w:rPr>
        <w:t xml:space="preserve">Consumer Reports </w:t>
      </w:r>
      <w:r w:rsidRPr="00B53FFB">
        <w:rPr>
          <w:sz w:val="22"/>
          <w:szCs w:val="22"/>
        </w:rPr>
        <w:t>published the results of its annual survey on service quality for mobile wireless service providers in 23 metropolitan areas.</w:t>
      </w:r>
      <w:bookmarkStart w:id="4600" w:name="_Ref347416644"/>
      <w:r w:rsidRPr="00B53FFB">
        <w:rPr>
          <w:rStyle w:val="FootnoteReference"/>
          <w:szCs w:val="22"/>
        </w:rPr>
        <w:footnoteReference w:id="941"/>
      </w:r>
      <w:bookmarkEnd w:id="4600"/>
      <w:r w:rsidRPr="00B53FFB">
        <w:rPr>
          <w:sz w:val="22"/>
          <w:szCs w:val="22"/>
        </w:rPr>
        <w:t xml:space="preserve">  For each city, the service providers received a numerical “reader score” based on overall customer satisfaction.</w:t>
      </w:r>
      <w:r w:rsidRPr="00B53FFB">
        <w:rPr>
          <w:rStyle w:val="FootnoteReference"/>
          <w:szCs w:val="22"/>
        </w:rPr>
        <w:footnoteReference w:id="942"/>
      </w:r>
      <w:r w:rsidRPr="00B53FFB">
        <w:rPr>
          <w:sz w:val="22"/>
          <w:szCs w:val="22"/>
        </w:rPr>
        <w:t xml:space="preserve">  In addition to providing city-specific ratings, </w:t>
      </w:r>
      <w:r w:rsidRPr="00B53FFB">
        <w:rPr>
          <w:i/>
          <w:sz w:val="22"/>
          <w:szCs w:val="22"/>
        </w:rPr>
        <w:t xml:space="preserve">Consumer Reports </w:t>
      </w:r>
      <w:r w:rsidRPr="00B53FFB">
        <w:rPr>
          <w:sz w:val="22"/>
          <w:szCs w:val="22"/>
        </w:rPr>
        <w:t>also provided summary ratings, for both “conventional (contract)” and “no-contract” service providers in all cities surveyed.</w:t>
      </w:r>
      <w:r w:rsidRPr="00B53FFB">
        <w:rPr>
          <w:rStyle w:val="FootnoteReference"/>
          <w:szCs w:val="22"/>
        </w:rPr>
        <w:footnoteReference w:id="943"/>
      </w:r>
      <w:r w:rsidRPr="00B53FFB">
        <w:rPr>
          <w:sz w:val="22"/>
          <w:szCs w:val="22"/>
        </w:rPr>
        <w:t xml:space="preserve">  In the summary ratings for overall satisfaction among conventional (contract) providers, scores varied by provider, but four out of five providers scored between 60 (“fairly well satisfied”) and 80 (“very satisfied”) on the </w:t>
      </w:r>
      <w:r w:rsidRPr="00B53FFB">
        <w:rPr>
          <w:i/>
          <w:sz w:val="22"/>
          <w:szCs w:val="22"/>
        </w:rPr>
        <w:t xml:space="preserve">Consumer Reports </w:t>
      </w:r>
      <w:r w:rsidRPr="00B53FFB">
        <w:rPr>
          <w:sz w:val="22"/>
          <w:szCs w:val="22"/>
        </w:rPr>
        <w:t>“reader score” scale.</w:t>
      </w:r>
      <w:r w:rsidRPr="00B53FFB">
        <w:rPr>
          <w:rStyle w:val="FootnoteReference"/>
          <w:szCs w:val="22"/>
        </w:rPr>
        <w:footnoteReference w:id="944"/>
      </w:r>
      <w:r w:rsidRPr="00B53FFB">
        <w:rPr>
          <w:sz w:val="22"/>
          <w:szCs w:val="22"/>
        </w:rPr>
        <w:t xml:space="preserve">  In addition, the highest rated conventional (contract) provider – U.S. Cellular – received a score of 82.</w:t>
      </w:r>
      <w:r w:rsidRPr="00B53FFB">
        <w:rPr>
          <w:rStyle w:val="FootnoteReference"/>
          <w:szCs w:val="22"/>
        </w:rPr>
        <w:footnoteReference w:id="945"/>
      </w:r>
      <w:r w:rsidRPr="00B53FFB">
        <w:rPr>
          <w:sz w:val="22"/>
          <w:szCs w:val="22"/>
        </w:rPr>
        <w:t xml:space="preserve">  By comparison, among the six no-contract providers included in the survey results, four received ratings between 60 and 80, while two others – Consumer Cellular and TracFone – received ratings of 87 and 82, respectively.</w:t>
      </w:r>
      <w:r w:rsidRPr="00B53FFB">
        <w:rPr>
          <w:rStyle w:val="FootnoteReference"/>
          <w:szCs w:val="22"/>
        </w:rPr>
        <w:footnoteReference w:id="946"/>
      </w:r>
    </w:p>
    <w:p w:rsidR="004A147C" w:rsidRPr="00B53FFB" w:rsidRDefault="004A147C" w:rsidP="00CE5850">
      <w:pPr>
        <w:pStyle w:val="ParaNum"/>
        <w:numPr>
          <w:ilvl w:val="0"/>
          <w:numId w:val="28"/>
        </w:numPr>
        <w:rPr>
          <w:sz w:val="22"/>
          <w:szCs w:val="22"/>
        </w:rPr>
      </w:pPr>
      <w:r w:rsidRPr="00B53FFB">
        <w:rPr>
          <w:sz w:val="22"/>
          <w:szCs w:val="22"/>
        </w:rPr>
        <w:t xml:space="preserve">In January 2012, </w:t>
      </w:r>
      <w:r w:rsidRPr="00B53FFB">
        <w:rPr>
          <w:i/>
          <w:sz w:val="22"/>
          <w:szCs w:val="22"/>
        </w:rPr>
        <w:t xml:space="preserve">Consumer Reports </w:t>
      </w:r>
      <w:r w:rsidRPr="00B53FFB">
        <w:rPr>
          <w:sz w:val="22"/>
          <w:szCs w:val="22"/>
        </w:rPr>
        <w:t>updated the results of its survey on mobile wireless service quality conducted in September 2011 for major service providers in 22 metropolitan areas based on 66,315 responses from ConsumerReports.org subscribers.</w:t>
      </w:r>
      <w:r w:rsidRPr="00B53FFB">
        <w:rPr>
          <w:rStyle w:val="FootnoteReference"/>
          <w:szCs w:val="22"/>
        </w:rPr>
        <w:footnoteReference w:id="947"/>
      </w:r>
      <w:r w:rsidRPr="00B53FFB">
        <w:rPr>
          <w:sz w:val="22"/>
          <w:szCs w:val="22"/>
        </w:rPr>
        <w:t xml:space="preserve">  Among the conventional (contract) major providers, U.S. Cellular received a summary score of 84 compared to 82 from the previous year and Verizon Wireless, Sprint Nextel, T-Mobile USA and AT&amp;T received summary scores of 73, 72, 67 and 59, respectively, with differences in score of less than five points not being statistically meaningful.  Among the eight no-contract service providers included in the survey, TracFone ranked highest with a score of 82 and others’ scores ranged from 67 to 78.</w:t>
      </w:r>
      <w:r w:rsidRPr="00B53FFB">
        <w:rPr>
          <w:rStyle w:val="FootnoteReference"/>
          <w:szCs w:val="22"/>
        </w:rPr>
        <w:footnoteReference w:id="948"/>
      </w:r>
      <w:r w:rsidRPr="00B53FFB">
        <w:rPr>
          <w:sz w:val="22"/>
          <w:szCs w:val="22"/>
        </w:rPr>
        <w:t xml:space="preserve">  ConsumerReports.org </w:t>
      </w:r>
      <w:r>
        <w:rPr>
          <w:sz w:val="22"/>
          <w:szCs w:val="22"/>
        </w:rPr>
        <w:t>asserts</w:t>
      </w:r>
      <w:r w:rsidRPr="00B53FFB">
        <w:rPr>
          <w:sz w:val="22"/>
          <w:szCs w:val="22"/>
        </w:rPr>
        <w:t xml:space="preserve"> that U.S. Cellular, Verizon Wireless and Sprint Nextel are the overall best major mobile wireless service providers for full-featured conventional service and TracFone, Straight Talk, T-Mobile USA and Virgin Mobile are the overall best prepaid mobile wireless service values.</w:t>
      </w:r>
    </w:p>
    <w:p w:rsidR="004A147C" w:rsidRPr="00B53FFB" w:rsidRDefault="004A147C" w:rsidP="00CE5850">
      <w:pPr>
        <w:pStyle w:val="ParaNum"/>
        <w:numPr>
          <w:ilvl w:val="0"/>
          <w:numId w:val="28"/>
        </w:numPr>
        <w:rPr>
          <w:sz w:val="22"/>
          <w:szCs w:val="22"/>
        </w:rPr>
      </w:pPr>
      <w:r w:rsidRPr="00B53FFB">
        <w:rPr>
          <w:sz w:val="22"/>
          <w:szCs w:val="22"/>
        </w:rPr>
        <w:t xml:space="preserve">The American Consumer Satisfaction Index (ACSI) recently released its findings on customer satisfaction with wireless telephone service.  </w:t>
      </w:r>
      <w:r w:rsidRPr="00B53FFB">
        <w:rPr>
          <w:kern w:val="0"/>
          <w:sz w:val="22"/>
          <w:szCs w:val="22"/>
        </w:rPr>
        <w:t xml:space="preserve">The ACSI combines customer interviews with econometric modeling in its methodology for measuring customer satisfaction.  Its findings are presented in </w:t>
      </w:r>
      <w:r w:rsidR="0007014B">
        <w:rPr>
          <w:kern w:val="0"/>
          <w:sz w:val="22"/>
          <w:szCs w:val="22"/>
        </w:rPr>
        <w:fldChar w:fldCharType="begin"/>
      </w:r>
      <w:r>
        <w:rPr>
          <w:kern w:val="0"/>
          <w:sz w:val="22"/>
          <w:szCs w:val="22"/>
        </w:rPr>
        <w:instrText xml:space="preserve"> REF _Ref347846084 </w:instrText>
      </w:r>
      <w:r w:rsidR="0007014B">
        <w:rPr>
          <w:kern w:val="0"/>
          <w:sz w:val="22"/>
          <w:szCs w:val="22"/>
        </w:rPr>
        <w:fldChar w:fldCharType="separate"/>
      </w:r>
      <w:r w:rsidR="00CA3AC6" w:rsidRPr="00B53FFB">
        <w:rPr>
          <w:sz w:val="22"/>
          <w:szCs w:val="22"/>
        </w:rPr>
        <w:t xml:space="preserve">Table </w:t>
      </w:r>
      <w:r w:rsidR="00CA3AC6">
        <w:rPr>
          <w:noProof/>
          <w:sz w:val="22"/>
          <w:szCs w:val="22"/>
        </w:rPr>
        <w:t>43</w:t>
      </w:r>
      <w:r w:rsidR="0007014B">
        <w:rPr>
          <w:kern w:val="0"/>
          <w:sz w:val="22"/>
          <w:szCs w:val="22"/>
        </w:rPr>
        <w:fldChar w:fldCharType="end"/>
      </w:r>
      <w:r w:rsidRPr="00B53FFB">
        <w:rPr>
          <w:kern w:val="0"/>
          <w:sz w:val="22"/>
          <w:szCs w:val="22"/>
        </w:rPr>
        <w:t>.</w:t>
      </w:r>
      <w:r w:rsidRPr="00B53FFB">
        <w:rPr>
          <w:rStyle w:val="FootnoteReference"/>
          <w:szCs w:val="22"/>
        </w:rPr>
        <w:footnoteReference w:id="949"/>
      </w:r>
    </w:p>
    <w:p w:rsidR="004A147C" w:rsidRPr="00B53FFB" w:rsidRDefault="004A147C" w:rsidP="00CE5850">
      <w:pPr>
        <w:pStyle w:val="Caption"/>
        <w:widowControl w:val="0"/>
        <w:spacing w:before="0" w:after="0"/>
        <w:jc w:val="center"/>
        <w:rPr>
          <w:sz w:val="22"/>
          <w:szCs w:val="22"/>
        </w:rPr>
      </w:pPr>
      <w:bookmarkStart w:id="4601" w:name="_Ref347846084"/>
      <w:r w:rsidRPr="00B53FFB">
        <w:rPr>
          <w:sz w:val="22"/>
          <w:szCs w:val="22"/>
        </w:rPr>
        <w:t xml:space="preserve">Table </w:t>
      </w:r>
      <w:r w:rsidR="0007014B" w:rsidRPr="00B53FFB">
        <w:rPr>
          <w:sz w:val="22"/>
          <w:szCs w:val="22"/>
        </w:rPr>
        <w:fldChar w:fldCharType="begin"/>
      </w:r>
      <w:r w:rsidRPr="00B53FFB">
        <w:rPr>
          <w:sz w:val="22"/>
          <w:szCs w:val="22"/>
        </w:rPr>
        <w:instrText xml:space="preserve"> SEQ Table \* ARABIC </w:instrText>
      </w:r>
      <w:r w:rsidR="0007014B" w:rsidRPr="00B53FFB">
        <w:rPr>
          <w:sz w:val="22"/>
          <w:szCs w:val="22"/>
        </w:rPr>
        <w:fldChar w:fldCharType="separate"/>
      </w:r>
      <w:r w:rsidR="00CA3AC6">
        <w:rPr>
          <w:noProof/>
          <w:sz w:val="22"/>
          <w:szCs w:val="22"/>
        </w:rPr>
        <w:t>43</w:t>
      </w:r>
      <w:r w:rsidR="0007014B" w:rsidRPr="00B53FFB">
        <w:rPr>
          <w:sz w:val="22"/>
          <w:szCs w:val="22"/>
        </w:rPr>
        <w:fldChar w:fldCharType="end"/>
      </w:r>
      <w:bookmarkEnd w:id="4601"/>
    </w:p>
    <w:p w:rsidR="004A147C" w:rsidRPr="00B53FFB" w:rsidRDefault="004A147C" w:rsidP="00CE5850">
      <w:pPr>
        <w:pStyle w:val="ParaNum"/>
        <w:tabs>
          <w:tab w:val="clear" w:pos="1440"/>
        </w:tabs>
        <w:ind w:firstLine="0"/>
        <w:jc w:val="center"/>
        <w:rPr>
          <w:b/>
          <w:kern w:val="0"/>
          <w:sz w:val="22"/>
          <w:szCs w:val="22"/>
        </w:rPr>
      </w:pPr>
      <w:r w:rsidRPr="00B53FFB">
        <w:rPr>
          <w:b/>
          <w:kern w:val="0"/>
          <w:sz w:val="22"/>
          <w:szCs w:val="22"/>
        </w:rPr>
        <w:t>American Consumer Satisfaction Index, Mobile Wireless Industry, 2008--2012</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786"/>
        <w:gridCol w:w="656"/>
        <w:gridCol w:w="656"/>
        <w:gridCol w:w="656"/>
        <w:gridCol w:w="656"/>
        <w:gridCol w:w="656"/>
      </w:tblGrid>
      <w:tr w:rsidR="004A147C" w:rsidRPr="00B53FFB" w:rsidTr="00D626F5">
        <w:trPr>
          <w:cantSplit/>
          <w:jc w:val="center"/>
        </w:trPr>
        <w:tc>
          <w:tcPr>
            <w:tcW w:w="0" w:type="auto"/>
          </w:tcPr>
          <w:p w:rsidR="004A147C" w:rsidRPr="004F14A8" w:rsidRDefault="004A147C" w:rsidP="00CE5850">
            <w:pPr>
              <w:pStyle w:val="ParaNum"/>
              <w:tabs>
                <w:tab w:val="clear" w:pos="1440"/>
              </w:tabs>
              <w:ind w:firstLine="0"/>
              <w:rPr>
                <w:b/>
                <w:sz w:val="22"/>
                <w:szCs w:val="22"/>
              </w:rPr>
            </w:pPr>
            <w:r w:rsidRPr="004F14A8">
              <w:rPr>
                <w:b/>
                <w:sz w:val="22"/>
                <w:szCs w:val="22"/>
              </w:rPr>
              <w:t>Service Provider</w:t>
            </w:r>
          </w:p>
        </w:tc>
        <w:tc>
          <w:tcPr>
            <w:tcW w:w="0" w:type="auto"/>
          </w:tcPr>
          <w:p w:rsidR="004A147C" w:rsidRPr="004F14A8" w:rsidRDefault="004A147C" w:rsidP="00CE5850">
            <w:pPr>
              <w:pStyle w:val="ParaNum"/>
              <w:tabs>
                <w:tab w:val="clear" w:pos="1440"/>
              </w:tabs>
              <w:ind w:firstLine="0"/>
              <w:rPr>
                <w:b/>
                <w:sz w:val="22"/>
                <w:szCs w:val="22"/>
              </w:rPr>
            </w:pPr>
            <w:r w:rsidRPr="004F14A8">
              <w:rPr>
                <w:b/>
                <w:sz w:val="22"/>
                <w:szCs w:val="22"/>
              </w:rPr>
              <w:t>2008</w:t>
            </w:r>
          </w:p>
        </w:tc>
        <w:tc>
          <w:tcPr>
            <w:tcW w:w="0" w:type="auto"/>
          </w:tcPr>
          <w:p w:rsidR="004A147C" w:rsidRPr="004F14A8" w:rsidRDefault="004A147C" w:rsidP="00CE5850">
            <w:pPr>
              <w:pStyle w:val="ParaNum"/>
              <w:tabs>
                <w:tab w:val="clear" w:pos="1440"/>
              </w:tabs>
              <w:ind w:firstLine="0"/>
              <w:rPr>
                <w:b/>
                <w:sz w:val="22"/>
                <w:szCs w:val="22"/>
              </w:rPr>
            </w:pPr>
            <w:r w:rsidRPr="004F14A8">
              <w:rPr>
                <w:b/>
                <w:sz w:val="22"/>
                <w:szCs w:val="22"/>
              </w:rPr>
              <w:t>2009</w:t>
            </w:r>
          </w:p>
        </w:tc>
        <w:tc>
          <w:tcPr>
            <w:tcW w:w="0" w:type="auto"/>
          </w:tcPr>
          <w:p w:rsidR="004A147C" w:rsidRPr="004F14A8" w:rsidRDefault="004A147C" w:rsidP="00CE5850">
            <w:pPr>
              <w:pStyle w:val="ParaNum"/>
              <w:tabs>
                <w:tab w:val="clear" w:pos="1440"/>
              </w:tabs>
              <w:ind w:firstLine="0"/>
              <w:rPr>
                <w:b/>
                <w:sz w:val="22"/>
                <w:szCs w:val="22"/>
              </w:rPr>
            </w:pPr>
            <w:r w:rsidRPr="004F14A8">
              <w:rPr>
                <w:b/>
                <w:sz w:val="22"/>
                <w:szCs w:val="22"/>
              </w:rPr>
              <w:t>2010</w:t>
            </w:r>
          </w:p>
        </w:tc>
        <w:tc>
          <w:tcPr>
            <w:tcW w:w="0" w:type="auto"/>
          </w:tcPr>
          <w:p w:rsidR="004A147C" w:rsidRPr="004F14A8" w:rsidRDefault="004A147C" w:rsidP="00CE5850">
            <w:pPr>
              <w:pStyle w:val="ParaNum"/>
              <w:tabs>
                <w:tab w:val="clear" w:pos="1440"/>
              </w:tabs>
              <w:ind w:firstLine="0"/>
              <w:rPr>
                <w:b/>
                <w:sz w:val="22"/>
                <w:szCs w:val="22"/>
              </w:rPr>
            </w:pPr>
            <w:r w:rsidRPr="004F14A8">
              <w:rPr>
                <w:b/>
                <w:sz w:val="22"/>
                <w:szCs w:val="22"/>
              </w:rPr>
              <w:t>2011</w:t>
            </w:r>
          </w:p>
        </w:tc>
        <w:tc>
          <w:tcPr>
            <w:tcW w:w="0" w:type="auto"/>
          </w:tcPr>
          <w:p w:rsidR="004A147C" w:rsidRPr="004F14A8" w:rsidRDefault="004A147C" w:rsidP="00CE5850">
            <w:pPr>
              <w:pStyle w:val="ParaNum"/>
              <w:tabs>
                <w:tab w:val="clear" w:pos="1440"/>
              </w:tabs>
              <w:ind w:firstLine="0"/>
              <w:rPr>
                <w:b/>
                <w:sz w:val="22"/>
                <w:szCs w:val="22"/>
              </w:rPr>
            </w:pPr>
            <w:r w:rsidRPr="004F14A8">
              <w:rPr>
                <w:b/>
                <w:sz w:val="22"/>
                <w:szCs w:val="22"/>
              </w:rPr>
              <w:t>2012</w:t>
            </w:r>
          </w:p>
        </w:tc>
      </w:tr>
      <w:tr w:rsidR="004A147C" w:rsidRPr="00B53FFB" w:rsidTr="00D626F5">
        <w:trPr>
          <w:cantSplit/>
          <w:jc w:val="center"/>
        </w:trPr>
        <w:tc>
          <w:tcPr>
            <w:tcW w:w="0" w:type="auto"/>
          </w:tcPr>
          <w:p w:rsidR="004A147C" w:rsidRPr="004F14A8" w:rsidRDefault="004A147C" w:rsidP="00CE5850">
            <w:pPr>
              <w:pStyle w:val="ParaNum"/>
              <w:tabs>
                <w:tab w:val="clear" w:pos="1440"/>
              </w:tabs>
              <w:ind w:firstLine="0"/>
              <w:rPr>
                <w:sz w:val="22"/>
                <w:szCs w:val="22"/>
              </w:rPr>
            </w:pPr>
            <w:r w:rsidRPr="004F14A8">
              <w:rPr>
                <w:sz w:val="22"/>
                <w:szCs w:val="22"/>
              </w:rPr>
              <w:t>AT&amp;T Mobility</w:t>
            </w:r>
          </w:p>
        </w:tc>
        <w:tc>
          <w:tcPr>
            <w:tcW w:w="0" w:type="auto"/>
          </w:tcPr>
          <w:p w:rsidR="004A147C" w:rsidRPr="004F14A8" w:rsidRDefault="004A147C" w:rsidP="00CE5850">
            <w:pPr>
              <w:pStyle w:val="ParaNum"/>
              <w:tabs>
                <w:tab w:val="clear" w:pos="1440"/>
              </w:tabs>
              <w:ind w:firstLine="0"/>
              <w:rPr>
                <w:sz w:val="22"/>
                <w:szCs w:val="22"/>
              </w:rPr>
            </w:pPr>
            <w:r w:rsidRPr="004F14A8">
              <w:rPr>
                <w:sz w:val="22"/>
                <w:szCs w:val="22"/>
              </w:rPr>
              <w:t>71</w:t>
            </w:r>
          </w:p>
        </w:tc>
        <w:tc>
          <w:tcPr>
            <w:tcW w:w="0" w:type="auto"/>
          </w:tcPr>
          <w:p w:rsidR="004A147C" w:rsidRPr="004F14A8" w:rsidRDefault="004A147C" w:rsidP="00CE5850">
            <w:pPr>
              <w:pStyle w:val="ParaNum"/>
              <w:tabs>
                <w:tab w:val="clear" w:pos="1440"/>
              </w:tabs>
              <w:ind w:firstLine="0"/>
              <w:rPr>
                <w:sz w:val="22"/>
                <w:szCs w:val="22"/>
              </w:rPr>
            </w:pPr>
            <w:r w:rsidRPr="004F14A8">
              <w:rPr>
                <w:sz w:val="22"/>
                <w:szCs w:val="22"/>
              </w:rPr>
              <w:t>67</w:t>
            </w:r>
          </w:p>
        </w:tc>
        <w:tc>
          <w:tcPr>
            <w:tcW w:w="0" w:type="auto"/>
          </w:tcPr>
          <w:p w:rsidR="004A147C" w:rsidRPr="004F14A8" w:rsidRDefault="004A147C" w:rsidP="00CE5850">
            <w:pPr>
              <w:pStyle w:val="ParaNum"/>
              <w:tabs>
                <w:tab w:val="clear" w:pos="1440"/>
              </w:tabs>
              <w:ind w:firstLine="0"/>
              <w:rPr>
                <w:sz w:val="22"/>
                <w:szCs w:val="22"/>
              </w:rPr>
            </w:pPr>
            <w:r w:rsidRPr="004F14A8">
              <w:rPr>
                <w:sz w:val="22"/>
                <w:szCs w:val="22"/>
              </w:rPr>
              <w:t>69</w:t>
            </w:r>
          </w:p>
        </w:tc>
        <w:tc>
          <w:tcPr>
            <w:tcW w:w="0" w:type="auto"/>
          </w:tcPr>
          <w:p w:rsidR="004A147C" w:rsidRPr="004F14A8" w:rsidRDefault="004A147C" w:rsidP="00CE5850">
            <w:pPr>
              <w:pStyle w:val="ParaNum"/>
              <w:tabs>
                <w:tab w:val="clear" w:pos="1440"/>
              </w:tabs>
              <w:ind w:firstLine="0"/>
              <w:rPr>
                <w:sz w:val="22"/>
                <w:szCs w:val="22"/>
              </w:rPr>
            </w:pPr>
            <w:r w:rsidRPr="004F14A8">
              <w:rPr>
                <w:sz w:val="22"/>
                <w:szCs w:val="22"/>
              </w:rPr>
              <w:t>66</w:t>
            </w:r>
          </w:p>
        </w:tc>
        <w:tc>
          <w:tcPr>
            <w:tcW w:w="0" w:type="auto"/>
          </w:tcPr>
          <w:p w:rsidR="004A147C" w:rsidRPr="004F14A8" w:rsidRDefault="004A147C" w:rsidP="00CE5850">
            <w:pPr>
              <w:pStyle w:val="ParaNum"/>
              <w:tabs>
                <w:tab w:val="clear" w:pos="1440"/>
              </w:tabs>
              <w:ind w:firstLine="0"/>
              <w:rPr>
                <w:sz w:val="22"/>
                <w:szCs w:val="22"/>
              </w:rPr>
            </w:pPr>
            <w:r w:rsidRPr="004F14A8">
              <w:rPr>
                <w:sz w:val="22"/>
                <w:szCs w:val="22"/>
              </w:rPr>
              <w:t>69</w:t>
            </w:r>
          </w:p>
        </w:tc>
      </w:tr>
      <w:tr w:rsidR="004A147C" w:rsidRPr="00B53FFB" w:rsidTr="00D626F5">
        <w:trPr>
          <w:cantSplit/>
          <w:jc w:val="center"/>
        </w:trPr>
        <w:tc>
          <w:tcPr>
            <w:tcW w:w="0" w:type="auto"/>
          </w:tcPr>
          <w:p w:rsidR="004A147C" w:rsidRPr="004F14A8" w:rsidRDefault="004A147C" w:rsidP="00CE5850">
            <w:pPr>
              <w:pStyle w:val="ParaNum"/>
              <w:tabs>
                <w:tab w:val="clear" w:pos="1440"/>
              </w:tabs>
              <w:ind w:firstLine="0"/>
              <w:rPr>
                <w:sz w:val="22"/>
                <w:szCs w:val="22"/>
              </w:rPr>
            </w:pPr>
            <w:r w:rsidRPr="004F14A8">
              <w:rPr>
                <w:sz w:val="22"/>
                <w:szCs w:val="22"/>
              </w:rPr>
              <w:t>T-Mobile</w:t>
            </w:r>
          </w:p>
        </w:tc>
        <w:tc>
          <w:tcPr>
            <w:tcW w:w="0" w:type="auto"/>
          </w:tcPr>
          <w:p w:rsidR="004A147C" w:rsidRPr="004F14A8" w:rsidRDefault="004A147C" w:rsidP="00CE5850">
            <w:pPr>
              <w:pStyle w:val="ParaNum"/>
              <w:tabs>
                <w:tab w:val="clear" w:pos="1440"/>
              </w:tabs>
              <w:ind w:firstLine="0"/>
              <w:rPr>
                <w:sz w:val="22"/>
                <w:szCs w:val="22"/>
              </w:rPr>
            </w:pPr>
            <w:r w:rsidRPr="004F14A8">
              <w:rPr>
                <w:sz w:val="22"/>
                <w:szCs w:val="22"/>
              </w:rPr>
              <w:t>71</w:t>
            </w:r>
          </w:p>
        </w:tc>
        <w:tc>
          <w:tcPr>
            <w:tcW w:w="0" w:type="auto"/>
          </w:tcPr>
          <w:p w:rsidR="004A147C" w:rsidRPr="004F14A8" w:rsidRDefault="004A147C" w:rsidP="00CE5850">
            <w:pPr>
              <w:pStyle w:val="ParaNum"/>
              <w:tabs>
                <w:tab w:val="clear" w:pos="1440"/>
              </w:tabs>
              <w:ind w:firstLine="0"/>
              <w:rPr>
                <w:sz w:val="22"/>
                <w:szCs w:val="22"/>
              </w:rPr>
            </w:pPr>
            <w:r w:rsidRPr="004F14A8">
              <w:rPr>
                <w:sz w:val="22"/>
                <w:szCs w:val="22"/>
              </w:rPr>
              <w:t>71</w:t>
            </w:r>
          </w:p>
        </w:tc>
        <w:tc>
          <w:tcPr>
            <w:tcW w:w="0" w:type="auto"/>
          </w:tcPr>
          <w:p w:rsidR="004A147C" w:rsidRPr="004F14A8" w:rsidRDefault="004A147C" w:rsidP="00CE5850">
            <w:pPr>
              <w:pStyle w:val="ParaNum"/>
              <w:tabs>
                <w:tab w:val="clear" w:pos="1440"/>
              </w:tabs>
              <w:ind w:firstLine="0"/>
              <w:rPr>
                <w:sz w:val="22"/>
                <w:szCs w:val="22"/>
              </w:rPr>
            </w:pPr>
            <w:r w:rsidRPr="004F14A8">
              <w:rPr>
                <w:sz w:val="22"/>
                <w:szCs w:val="22"/>
              </w:rPr>
              <w:t>73</w:t>
            </w:r>
          </w:p>
        </w:tc>
        <w:tc>
          <w:tcPr>
            <w:tcW w:w="0" w:type="auto"/>
          </w:tcPr>
          <w:p w:rsidR="004A147C" w:rsidRPr="004F14A8" w:rsidRDefault="004A147C" w:rsidP="00CE5850">
            <w:pPr>
              <w:pStyle w:val="ParaNum"/>
              <w:tabs>
                <w:tab w:val="clear" w:pos="1440"/>
              </w:tabs>
              <w:ind w:firstLine="0"/>
              <w:rPr>
                <w:sz w:val="22"/>
                <w:szCs w:val="22"/>
              </w:rPr>
            </w:pPr>
            <w:r w:rsidRPr="004F14A8">
              <w:rPr>
                <w:sz w:val="22"/>
                <w:szCs w:val="22"/>
              </w:rPr>
              <w:t>70</w:t>
            </w:r>
          </w:p>
        </w:tc>
        <w:tc>
          <w:tcPr>
            <w:tcW w:w="0" w:type="auto"/>
          </w:tcPr>
          <w:p w:rsidR="004A147C" w:rsidRPr="004F14A8" w:rsidRDefault="004A147C" w:rsidP="00CE5850">
            <w:pPr>
              <w:pStyle w:val="ParaNum"/>
              <w:tabs>
                <w:tab w:val="clear" w:pos="1440"/>
              </w:tabs>
              <w:ind w:firstLine="0"/>
              <w:rPr>
                <w:sz w:val="22"/>
                <w:szCs w:val="22"/>
              </w:rPr>
            </w:pPr>
            <w:r w:rsidRPr="004F14A8">
              <w:rPr>
                <w:sz w:val="22"/>
                <w:szCs w:val="22"/>
              </w:rPr>
              <w:t>69</w:t>
            </w:r>
          </w:p>
        </w:tc>
      </w:tr>
      <w:tr w:rsidR="004A147C" w:rsidRPr="00B53FFB" w:rsidTr="00D626F5">
        <w:trPr>
          <w:cantSplit/>
          <w:jc w:val="center"/>
        </w:trPr>
        <w:tc>
          <w:tcPr>
            <w:tcW w:w="0" w:type="auto"/>
          </w:tcPr>
          <w:p w:rsidR="004A147C" w:rsidRPr="004F14A8" w:rsidRDefault="004A147C" w:rsidP="00CE5850">
            <w:pPr>
              <w:pStyle w:val="ParaNum"/>
              <w:tabs>
                <w:tab w:val="clear" w:pos="1440"/>
              </w:tabs>
              <w:ind w:firstLine="0"/>
              <w:rPr>
                <w:sz w:val="22"/>
                <w:szCs w:val="22"/>
              </w:rPr>
            </w:pPr>
            <w:r w:rsidRPr="004F14A8">
              <w:rPr>
                <w:sz w:val="22"/>
                <w:szCs w:val="22"/>
              </w:rPr>
              <w:t>Sprint Nextel</w:t>
            </w:r>
          </w:p>
        </w:tc>
        <w:tc>
          <w:tcPr>
            <w:tcW w:w="0" w:type="auto"/>
          </w:tcPr>
          <w:p w:rsidR="004A147C" w:rsidRPr="004F14A8" w:rsidRDefault="004A147C" w:rsidP="00CE5850">
            <w:pPr>
              <w:pStyle w:val="ParaNum"/>
              <w:tabs>
                <w:tab w:val="clear" w:pos="1440"/>
              </w:tabs>
              <w:ind w:firstLine="0"/>
              <w:rPr>
                <w:sz w:val="22"/>
                <w:szCs w:val="22"/>
              </w:rPr>
            </w:pPr>
            <w:r w:rsidRPr="004F14A8">
              <w:rPr>
                <w:sz w:val="22"/>
                <w:szCs w:val="22"/>
              </w:rPr>
              <w:t>56</w:t>
            </w:r>
          </w:p>
        </w:tc>
        <w:tc>
          <w:tcPr>
            <w:tcW w:w="0" w:type="auto"/>
          </w:tcPr>
          <w:p w:rsidR="004A147C" w:rsidRPr="004F14A8" w:rsidRDefault="004A147C" w:rsidP="00CE5850">
            <w:pPr>
              <w:pStyle w:val="ParaNum"/>
              <w:tabs>
                <w:tab w:val="clear" w:pos="1440"/>
              </w:tabs>
              <w:ind w:firstLine="0"/>
              <w:rPr>
                <w:sz w:val="22"/>
                <w:szCs w:val="22"/>
              </w:rPr>
            </w:pPr>
            <w:r w:rsidRPr="004F14A8">
              <w:rPr>
                <w:sz w:val="22"/>
                <w:szCs w:val="22"/>
              </w:rPr>
              <w:t>63</w:t>
            </w:r>
          </w:p>
        </w:tc>
        <w:tc>
          <w:tcPr>
            <w:tcW w:w="0" w:type="auto"/>
          </w:tcPr>
          <w:p w:rsidR="004A147C" w:rsidRPr="004F14A8" w:rsidRDefault="004A147C" w:rsidP="00CE5850">
            <w:pPr>
              <w:pStyle w:val="ParaNum"/>
              <w:tabs>
                <w:tab w:val="clear" w:pos="1440"/>
              </w:tabs>
              <w:ind w:firstLine="0"/>
              <w:rPr>
                <w:sz w:val="22"/>
                <w:szCs w:val="22"/>
              </w:rPr>
            </w:pPr>
            <w:r w:rsidRPr="004F14A8">
              <w:rPr>
                <w:sz w:val="22"/>
                <w:szCs w:val="22"/>
              </w:rPr>
              <w:t>70</w:t>
            </w:r>
          </w:p>
        </w:tc>
        <w:tc>
          <w:tcPr>
            <w:tcW w:w="0" w:type="auto"/>
          </w:tcPr>
          <w:p w:rsidR="004A147C" w:rsidRPr="004F14A8" w:rsidRDefault="004A147C" w:rsidP="00CE5850">
            <w:pPr>
              <w:pStyle w:val="ParaNum"/>
              <w:tabs>
                <w:tab w:val="clear" w:pos="1440"/>
              </w:tabs>
              <w:ind w:firstLine="0"/>
              <w:rPr>
                <w:sz w:val="22"/>
                <w:szCs w:val="22"/>
              </w:rPr>
            </w:pPr>
            <w:r w:rsidRPr="004F14A8">
              <w:rPr>
                <w:sz w:val="22"/>
                <w:szCs w:val="22"/>
              </w:rPr>
              <w:t>72</w:t>
            </w:r>
          </w:p>
        </w:tc>
        <w:tc>
          <w:tcPr>
            <w:tcW w:w="0" w:type="auto"/>
          </w:tcPr>
          <w:p w:rsidR="004A147C" w:rsidRPr="004F14A8" w:rsidRDefault="004A147C" w:rsidP="00CE5850">
            <w:pPr>
              <w:pStyle w:val="ParaNum"/>
              <w:tabs>
                <w:tab w:val="clear" w:pos="1440"/>
              </w:tabs>
              <w:ind w:firstLine="0"/>
              <w:rPr>
                <w:sz w:val="22"/>
                <w:szCs w:val="22"/>
              </w:rPr>
            </w:pPr>
            <w:r w:rsidRPr="004F14A8">
              <w:rPr>
                <w:sz w:val="22"/>
                <w:szCs w:val="22"/>
              </w:rPr>
              <w:t>71</w:t>
            </w:r>
          </w:p>
        </w:tc>
      </w:tr>
      <w:tr w:rsidR="004A147C" w:rsidRPr="00B53FFB" w:rsidTr="00D626F5">
        <w:trPr>
          <w:cantSplit/>
          <w:jc w:val="center"/>
        </w:trPr>
        <w:tc>
          <w:tcPr>
            <w:tcW w:w="0" w:type="auto"/>
          </w:tcPr>
          <w:p w:rsidR="004A147C" w:rsidRPr="004F14A8" w:rsidRDefault="004A147C" w:rsidP="00CE5850">
            <w:pPr>
              <w:pStyle w:val="ParaNum"/>
              <w:tabs>
                <w:tab w:val="clear" w:pos="1440"/>
              </w:tabs>
              <w:ind w:firstLine="0"/>
              <w:rPr>
                <w:sz w:val="22"/>
                <w:szCs w:val="22"/>
              </w:rPr>
            </w:pPr>
            <w:r w:rsidRPr="004F14A8">
              <w:rPr>
                <w:sz w:val="22"/>
                <w:szCs w:val="22"/>
              </w:rPr>
              <w:t>Verizon Wireless</w:t>
            </w:r>
          </w:p>
        </w:tc>
        <w:tc>
          <w:tcPr>
            <w:tcW w:w="0" w:type="auto"/>
          </w:tcPr>
          <w:p w:rsidR="004A147C" w:rsidRPr="004F14A8" w:rsidRDefault="004A147C" w:rsidP="00CE5850">
            <w:pPr>
              <w:pStyle w:val="ParaNum"/>
              <w:tabs>
                <w:tab w:val="clear" w:pos="1440"/>
              </w:tabs>
              <w:ind w:firstLine="0"/>
              <w:rPr>
                <w:sz w:val="22"/>
                <w:szCs w:val="22"/>
              </w:rPr>
            </w:pPr>
            <w:r w:rsidRPr="004F14A8">
              <w:rPr>
                <w:sz w:val="22"/>
                <w:szCs w:val="22"/>
              </w:rPr>
              <w:t>72</w:t>
            </w:r>
          </w:p>
        </w:tc>
        <w:tc>
          <w:tcPr>
            <w:tcW w:w="0" w:type="auto"/>
          </w:tcPr>
          <w:p w:rsidR="004A147C" w:rsidRPr="004F14A8" w:rsidRDefault="004A147C" w:rsidP="00CE5850">
            <w:pPr>
              <w:pStyle w:val="ParaNum"/>
              <w:tabs>
                <w:tab w:val="clear" w:pos="1440"/>
              </w:tabs>
              <w:ind w:firstLine="0"/>
              <w:rPr>
                <w:sz w:val="22"/>
                <w:szCs w:val="22"/>
              </w:rPr>
            </w:pPr>
            <w:r w:rsidRPr="004F14A8">
              <w:rPr>
                <w:sz w:val="22"/>
                <w:szCs w:val="22"/>
              </w:rPr>
              <w:t>74</w:t>
            </w:r>
          </w:p>
        </w:tc>
        <w:tc>
          <w:tcPr>
            <w:tcW w:w="0" w:type="auto"/>
          </w:tcPr>
          <w:p w:rsidR="004A147C" w:rsidRPr="004F14A8" w:rsidRDefault="004A147C" w:rsidP="00CE5850">
            <w:pPr>
              <w:pStyle w:val="ParaNum"/>
              <w:tabs>
                <w:tab w:val="clear" w:pos="1440"/>
              </w:tabs>
              <w:ind w:firstLine="0"/>
              <w:rPr>
                <w:sz w:val="22"/>
                <w:szCs w:val="22"/>
              </w:rPr>
            </w:pPr>
            <w:r w:rsidRPr="004F14A8">
              <w:rPr>
                <w:sz w:val="22"/>
                <w:szCs w:val="22"/>
              </w:rPr>
              <w:t>73</w:t>
            </w:r>
          </w:p>
        </w:tc>
        <w:tc>
          <w:tcPr>
            <w:tcW w:w="0" w:type="auto"/>
          </w:tcPr>
          <w:p w:rsidR="004A147C" w:rsidRPr="004F14A8" w:rsidRDefault="004A147C" w:rsidP="00CE5850">
            <w:pPr>
              <w:pStyle w:val="ParaNum"/>
              <w:tabs>
                <w:tab w:val="clear" w:pos="1440"/>
              </w:tabs>
              <w:ind w:firstLine="0"/>
              <w:rPr>
                <w:sz w:val="22"/>
                <w:szCs w:val="22"/>
              </w:rPr>
            </w:pPr>
            <w:r w:rsidRPr="004F14A8">
              <w:rPr>
                <w:sz w:val="22"/>
                <w:szCs w:val="22"/>
              </w:rPr>
              <w:t>72</w:t>
            </w:r>
          </w:p>
        </w:tc>
        <w:tc>
          <w:tcPr>
            <w:tcW w:w="0" w:type="auto"/>
          </w:tcPr>
          <w:p w:rsidR="004A147C" w:rsidRPr="004F14A8" w:rsidRDefault="004A147C" w:rsidP="00CE5850">
            <w:pPr>
              <w:pStyle w:val="ParaNum"/>
              <w:tabs>
                <w:tab w:val="clear" w:pos="1440"/>
              </w:tabs>
              <w:ind w:firstLine="0"/>
              <w:rPr>
                <w:sz w:val="22"/>
                <w:szCs w:val="22"/>
              </w:rPr>
            </w:pPr>
            <w:r w:rsidRPr="004F14A8">
              <w:rPr>
                <w:sz w:val="22"/>
                <w:szCs w:val="22"/>
              </w:rPr>
              <w:t>70</w:t>
            </w:r>
          </w:p>
        </w:tc>
      </w:tr>
      <w:tr w:rsidR="004A147C" w:rsidRPr="00B53FFB" w:rsidTr="00D626F5">
        <w:trPr>
          <w:cantSplit/>
          <w:jc w:val="center"/>
        </w:trPr>
        <w:tc>
          <w:tcPr>
            <w:tcW w:w="0" w:type="auto"/>
          </w:tcPr>
          <w:p w:rsidR="004A147C" w:rsidRPr="004F14A8" w:rsidRDefault="004A147C" w:rsidP="00CE5850">
            <w:pPr>
              <w:pStyle w:val="ParaNum"/>
              <w:tabs>
                <w:tab w:val="clear" w:pos="1440"/>
              </w:tabs>
              <w:ind w:firstLine="0"/>
              <w:rPr>
                <w:sz w:val="22"/>
                <w:szCs w:val="22"/>
              </w:rPr>
            </w:pPr>
            <w:r w:rsidRPr="004F14A8">
              <w:rPr>
                <w:sz w:val="22"/>
                <w:szCs w:val="22"/>
              </w:rPr>
              <w:t>All Others</w:t>
            </w:r>
            <w:r w:rsidRPr="004F14A8">
              <w:rPr>
                <w:rStyle w:val="FootnoteReference"/>
                <w:szCs w:val="22"/>
              </w:rPr>
              <w:footnoteReference w:id="950"/>
            </w:r>
          </w:p>
        </w:tc>
        <w:tc>
          <w:tcPr>
            <w:tcW w:w="0" w:type="auto"/>
          </w:tcPr>
          <w:p w:rsidR="004A147C" w:rsidRPr="004F14A8" w:rsidRDefault="004A147C" w:rsidP="00CE5850">
            <w:pPr>
              <w:pStyle w:val="ParaNum"/>
              <w:tabs>
                <w:tab w:val="clear" w:pos="1440"/>
              </w:tabs>
              <w:ind w:firstLine="0"/>
              <w:rPr>
                <w:sz w:val="22"/>
                <w:szCs w:val="22"/>
              </w:rPr>
            </w:pPr>
            <w:r w:rsidRPr="004F14A8">
              <w:rPr>
                <w:sz w:val="22"/>
                <w:szCs w:val="22"/>
              </w:rPr>
              <w:t>71</w:t>
            </w:r>
          </w:p>
        </w:tc>
        <w:tc>
          <w:tcPr>
            <w:tcW w:w="0" w:type="auto"/>
          </w:tcPr>
          <w:p w:rsidR="004A147C" w:rsidRPr="004F14A8" w:rsidRDefault="004A147C" w:rsidP="00CE5850">
            <w:pPr>
              <w:pStyle w:val="ParaNum"/>
              <w:tabs>
                <w:tab w:val="clear" w:pos="1440"/>
              </w:tabs>
              <w:ind w:firstLine="0"/>
              <w:rPr>
                <w:sz w:val="22"/>
                <w:szCs w:val="22"/>
              </w:rPr>
            </w:pPr>
            <w:r w:rsidRPr="004F14A8">
              <w:rPr>
                <w:sz w:val="22"/>
                <w:szCs w:val="22"/>
              </w:rPr>
              <w:t>73</w:t>
            </w:r>
          </w:p>
        </w:tc>
        <w:tc>
          <w:tcPr>
            <w:tcW w:w="0" w:type="auto"/>
          </w:tcPr>
          <w:p w:rsidR="004A147C" w:rsidRPr="004F14A8" w:rsidRDefault="004A147C" w:rsidP="00CE5850">
            <w:pPr>
              <w:pStyle w:val="ParaNum"/>
              <w:tabs>
                <w:tab w:val="clear" w:pos="1440"/>
              </w:tabs>
              <w:ind w:firstLine="0"/>
              <w:rPr>
                <w:sz w:val="22"/>
                <w:szCs w:val="22"/>
              </w:rPr>
            </w:pPr>
            <w:r w:rsidRPr="004F14A8">
              <w:rPr>
                <w:sz w:val="22"/>
                <w:szCs w:val="22"/>
              </w:rPr>
              <w:t>76</w:t>
            </w:r>
          </w:p>
        </w:tc>
        <w:tc>
          <w:tcPr>
            <w:tcW w:w="0" w:type="auto"/>
          </w:tcPr>
          <w:p w:rsidR="004A147C" w:rsidRPr="004F14A8" w:rsidRDefault="004A147C" w:rsidP="00CE5850">
            <w:pPr>
              <w:pStyle w:val="ParaNum"/>
              <w:tabs>
                <w:tab w:val="clear" w:pos="1440"/>
              </w:tabs>
              <w:ind w:firstLine="0"/>
              <w:rPr>
                <w:sz w:val="22"/>
                <w:szCs w:val="22"/>
              </w:rPr>
            </w:pPr>
            <w:r w:rsidRPr="004F14A8">
              <w:rPr>
                <w:sz w:val="22"/>
                <w:szCs w:val="22"/>
              </w:rPr>
              <w:t>77</w:t>
            </w:r>
          </w:p>
        </w:tc>
        <w:tc>
          <w:tcPr>
            <w:tcW w:w="0" w:type="auto"/>
          </w:tcPr>
          <w:p w:rsidR="004A147C" w:rsidRPr="004F14A8" w:rsidRDefault="004A147C" w:rsidP="00CE5850">
            <w:pPr>
              <w:pStyle w:val="ParaNum"/>
              <w:tabs>
                <w:tab w:val="clear" w:pos="1440"/>
              </w:tabs>
              <w:ind w:firstLine="0"/>
              <w:rPr>
                <w:sz w:val="22"/>
                <w:szCs w:val="22"/>
              </w:rPr>
            </w:pPr>
            <w:r w:rsidRPr="004F14A8">
              <w:rPr>
                <w:sz w:val="22"/>
                <w:szCs w:val="22"/>
              </w:rPr>
              <w:t>76</w:t>
            </w:r>
          </w:p>
        </w:tc>
      </w:tr>
      <w:tr w:rsidR="004A147C" w:rsidRPr="00B53FFB" w:rsidTr="00D626F5">
        <w:trPr>
          <w:cantSplit/>
          <w:jc w:val="center"/>
        </w:trPr>
        <w:tc>
          <w:tcPr>
            <w:tcW w:w="0" w:type="auto"/>
          </w:tcPr>
          <w:p w:rsidR="004A147C" w:rsidRPr="004F14A8" w:rsidRDefault="004A147C" w:rsidP="00CE5850">
            <w:pPr>
              <w:pStyle w:val="ParaNum"/>
              <w:tabs>
                <w:tab w:val="clear" w:pos="1440"/>
              </w:tabs>
              <w:ind w:firstLine="0"/>
              <w:rPr>
                <w:sz w:val="22"/>
                <w:szCs w:val="22"/>
              </w:rPr>
            </w:pPr>
            <w:r w:rsidRPr="004F14A8">
              <w:rPr>
                <w:sz w:val="22"/>
                <w:szCs w:val="22"/>
              </w:rPr>
              <w:t>Industry Average</w:t>
            </w:r>
          </w:p>
        </w:tc>
        <w:tc>
          <w:tcPr>
            <w:tcW w:w="0" w:type="auto"/>
          </w:tcPr>
          <w:p w:rsidR="004A147C" w:rsidRPr="004F14A8" w:rsidRDefault="004A147C" w:rsidP="00CE5850">
            <w:pPr>
              <w:pStyle w:val="ParaNum"/>
              <w:tabs>
                <w:tab w:val="clear" w:pos="1440"/>
              </w:tabs>
              <w:ind w:firstLine="0"/>
              <w:rPr>
                <w:sz w:val="22"/>
                <w:szCs w:val="22"/>
              </w:rPr>
            </w:pPr>
            <w:r w:rsidRPr="004F14A8">
              <w:rPr>
                <w:sz w:val="22"/>
                <w:szCs w:val="22"/>
              </w:rPr>
              <w:t>68</w:t>
            </w:r>
          </w:p>
        </w:tc>
        <w:tc>
          <w:tcPr>
            <w:tcW w:w="0" w:type="auto"/>
          </w:tcPr>
          <w:p w:rsidR="004A147C" w:rsidRPr="004F14A8" w:rsidRDefault="004A147C" w:rsidP="00CE5850">
            <w:pPr>
              <w:pStyle w:val="ParaNum"/>
              <w:tabs>
                <w:tab w:val="clear" w:pos="1440"/>
              </w:tabs>
              <w:ind w:firstLine="0"/>
              <w:rPr>
                <w:sz w:val="22"/>
                <w:szCs w:val="22"/>
              </w:rPr>
            </w:pPr>
            <w:r w:rsidRPr="004F14A8">
              <w:rPr>
                <w:sz w:val="22"/>
                <w:szCs w:val="22"/>
              </w:rPr>
              <w:t>69</w:t>
            </w:r>
          </w:p>
        </w:tc>
        <w:tc>
          <w:tcPr>
            <w:tcW w:w="0" w:type="auto"/>
          </w:tcPr>
          <w:p w:rsidR="004A147C" w:rsidRPr="004F14A8" w:rsidRDefault="004A147C" w:rsidP="00CE5850">
            <w:pPr>
              <w:pStyle w:val="ParaNum"/>
              <w:tabs>
                <w:tab w:val="clear" w:pos="1440"/>
              </w:tabs>
              <w:ind w:firstLine="0"/>
              <w:rPr>
                <w:sz w:val="22"/>
                <w:szCs w:val="22"/>
              </w:rPr>
            </w:pPr>
            <w:r w:rsidRPr="004F14A8">
              <w:rPr>
                <w:sz w:val="22"/>
                <w:szCs w:val="22"/>
              </w:rPr>
              <w:t>72</w:t>
            </w:r>
          </w:p>
        </w:tc>
        <w:tc>
          <w:tcPr>
            <w:tcW w:w="0" w:type="auto"/>
          </w:tcPr>
          <w:p w:rsidR="004A147C" w:rsidRPr="004F14A8" w:rsidRDefault="004A147C" w:rsidP="00CE5850">
            <w:pPr>
              <w:pStyle w:val="ParaNum"/>
              <w:tabs>
                <w:tab w:val="clear" w:pos="1440"/>
              </w:tabs>
              <w:ind w:firstLine="0"/>
              <w:rPr>
                <w:sz w:val="22"/>
                <w:szCs w:val="22"/>
              </w:rPr>
            </w:pPr>
            <w:r w:rsidRPr="004F14A8">
              <w:rPr>
                <w:sz w:val="22"/>
                <w:szCs w:val="22"/>
              </w:rPr>
              <w:t>71</w:t>
            </w:r>
          </w:p>
        </w:tc>
        <w:tc>
          <w:tcPr>
            <w:tcW w:w="0" w:type="auto"/>
          </w:tcPr>
          <w:p w:rsidR="004A147C" w:rsidRPr="004F14A8" w:rsidRDefault="004A147C" w:rsidP="00CE5850">
            <w:pPr>
              <w:pStyle w:val="ParaNum"/>
              <w:tabs>
                <w:tab w:val="clear" w:pos="1440"/>
              </w:tabs>
              <w:ind w:firstLine="0"/>
              <w:rPr>
                <w:sz w:val="22"/>
                <w:szCs w:val="22"/>
              </w:rPr>
            </w:pPr>
            <w:r w:rsidRPr="004F14A8">
              <w:rPr>
                <w:sz w:val="22"/>
                <w:szCs w:val="22"/>
              </w:rPr>
              <w:t>70</w:t>
            </w:r>
          </w:p>
        </w:tc>
      </w:tr>
    </w:tbl>
    <w:p w:rsidR="004A147C" w:rsidRPr="00B53FFB" w:rsidRDefault="004A147C" w:rsidP="00CE5850">
      <w:pPr>
        <w:pStyle w:val="Heading1"/>
        <w:keepNext w:val="0"/>
        <w:tabs>
          <w:tab w:val="clear" w:pos="720"/>
        </w:tabs>
        <w:suppressAutoHyphens w:val="0"/>
        <w:ind w:firstLine="0"/>
        <w:rPr>
          <w:sz w:val="22"/>
          <w:szCs w:val="22"/>
        </w:rPr>
      </w:pPr>
      <w:bookmarkStart w:id="4602" w:name="_Toc285810436"/>
      <w:bookmarkStart w:id="4603" w:name="_Toc287257830"/>
      <w:bookmarkStart w:id="4604" w:name="_Toc291758709"/>
      <w:bookmarkStart w:id="4605" w:name="_Toc291758812"/>
      <w:bookmarkStart w:id="4606" w:name="_Toc295392992"/>
      <w:bookmarkStart w:id="4607" w:name="_Toc329262532"/>
      <w:bookmarkStart w:id="4608" w:name="_Toc329852440"/>
      <w:bookmarkStart w:id="4609" w:name="_Toc331766355"/>
      <w:bookmarkStart w:id="4610" w:name="_Toc332119159"/>
      <w:bookmarkStart w:id="4611" w:name="_Toc334088827"/>
      <w:bookmarkStart w:id="4612" w:name="_Toc334089063"/>
      <w:bookmarkStart w:id="4613" w:name="_Toc334089222"/>
      <w:bookmarkStart w:id="4614" w:name="_Toc334089333"/>
      <w:bookmarkStart w:id="4615" w:name="_Toc334089497"/>
      <w:bookmarkStart w:id="4616" w:name="_Ref257391343"/>
      <w:bookmarkStart w:id="4617" w:name="_Toc261610809"/>
      <w:bookmarkStart w:id="4618" w:name="_Toc261858548"/>
      <w:bookmarkStart w:id="4619" w:name="_Toc262034353"/>
      <w:bookmarkStart w:id="4620" w:name="_Toc262034456"/>
      <w:bookmarkStart w:id="4621" w:name="_Toc271288496"/>
      <w:bookmarkStart w:id="4622" w:name="_Toc275518015"/>
      <w:bookmarkStart w:id="4623" w:name="_Toc275952455"/>
      <w:bookmarkStart w:id="4624" w:name="_Toc276121887"/>
      <w:bookmarkStart w:id="4625" w:name="_Toc276480723"/>
      <w:bookmarkStart w:id="4626" w:name="_Toc276741800"/>
      <w:bookmarkStart w:id="4627" w:name="_Toc277171564"/>
      <w:bookmarkStart w:id="4628" w:name="_Toc277864539"/>
      <w:bookmarkStart w:id="4629" w:name="_Toc277864755"/>
      <w:bookmarkEnd w:id="4447"/>
      <w:bookmarkEnd w:id="4448"/>
      <w:bookmarkEnd w:id="4449"/>
      <w:bookmarkEnd w:id="4450"/>
      <w:bookmarkEnd w:id="4451"/>
      <w:bookmarkEnd w:id="4452"/>
      <w:bookmarkEnd w:id="4453"/>
      <w:bookmarkEnd w:id="4454"/>
      <w:bookmarkEnd w:id="4455"/>
      <w:bookmarkEnd w:id="4456"/>
      <w:bookmarkEnd w:id="4457"/>
      <w:bookmarkEnd w:id="4458"/>
      <w:bookmarkEnd w:id="4459"/>
    </w:p>
    <w:p w:rsidR="004A147C" w:rsidRPr="00B53FFB" w:rsidRDefault="004A147C" w:rsidP="00CE5850">
      <w:pPr>
        <w:pStyle w:val="Heading1"/>
        <w:keepNext w:val="0"/>
        <w:numPr>
          <w:ilvl w:val="0"/>
          <w:numId w:val="26"/>
        </w:numPr>
        <w:tabs>
          <w:tab w:val="left" w:pos="720"/>
        </w:tabs>
        <w:suppressAutoHyphens w:val="0"/>
        <w:rPr>
          <w:sz w:val="22"/>
          <w:szCs w:val="22"/>
        </w:rPr>
      </w:pPr>
      <w:bookmarkStart w:id="4630" w:name="_Toc336268639"/>
      <w:bookmarkStart w:id="4631" w:name="_Toc336268747"/>
      <w:bookmarkStart w:id="4632" w:name="_Toc336268854"/>
      <w:bookmarkStart w:id="4633" w:name="_Toc336269068"/>
      <w:bookmarkStart w:id="4634" w:name="_Toc336269175"/>
      <w:bookmarkStart w:id="4635" w:name="_Toc336269543"/>
      <w:bookmarkStart w:id="4636" w:name="_Toc336269689"/>
      <w:bookmarkStart w:id="4637" w:name="_Toc336270102"/>
      <w:bookmarkStart w:id="4638" w:name="_Toc336271302"/>
      <w:bookmarkStart w:id="4639" w:name="_Toc337652008"/>
      <w:bookmarkStart w:id="4640" w:name="_Toc349577197"/>
      <w:bookmarkStart w:id="4641" w:name="_Toc349579289"/>
      <w:bookmarkStart w:id="4642" w:name="_Toc349580604"/>
      <w:bookmarkStart w:id="4643" w:name="_Toc349735012"/>
      <w:bookmarkStart w:id="4644" w:name="_Toc349742377"/>
      <w:r w:rsidRPr="00B53FFB">
        <w:rPr>
          <w:sz w:val="22"/>
          <w:szCs w:val="22"/>
        </w:rPr>
        <w:t>INPUT AND DOWNSTREAM SEGMENTS OF THE MOBILE WIRELESS ECOSYSTEM</w:t>
      </w:r>
      <w:bookmarkEnd w:id="4602"/>
      <w:bookmarkEnd w:id="4603"/>
      <w:bookmarkEnd w:id="4604"/>
      <w:bookmarkEnd w:id="4605"/>
      <w:bookmarkEnd w:id="4606"/>
      <w:bookmarkEnd w:id="4607"/>
      <w:bookmarkEnd w:id="4608"/>
      <w:bookmarkEnd w:id="4609"/>
      <w:bookmarkEnd w:id="4610"/>
      <w:bookmarkEnd w:id="4611"/>
      <w:bookmarkEnd w:id="4612"/>
      <w:bookmarkEnd w:id="4613"/>
      <w:bookmarkEnd w:id="4614"/>
      <w:bookmarkEnd w:id="4615"/>
      <w:bookmarkEnd w:id="4630"/>
      <w:bookmarkEnd w:id="4631"/>
      <w:bookmarkEnd w:id="4632"/>
      <w:bookmarkEnd w:id="4633"/>
      <w:bookmarkEnd w:id="4634"/>
      <w:bookmarkEnd w:id="4635"/>
      <w:bookmarkEnd w:id="4636"/>
      <w:bookmarkEnd w:id="4637"/>
      <w:bookmarkEnd w:id="4638"/>
      <w:bookmarkEnd w:id="4639"/>
      <w:bookmarkEnd w:id="4640"/>
      <w:bookmarkEnd w:id="4641"/>
      <w:bookmarkEnd w:id="4642"/>
      <w:bookmarkEnd w:id="4643"/>
      <w:bookmarkEnd w:id="4644"/>
    </w:p>
    <w:p w:rsidR="004A147C" w:rsidRPr="00B53FFB" w:rsidRDefault="004A147C" w:rsidP="00CE5850">
      <w:pPr>
        <w:pStyle w:val="Heading2"/>
        <w:keepNext w:val="0"/>
      </w:pPr>
      <w:bookmarkStart w:id="4645" w:name="_Toc285810437"/>
      <w:bookmarkStart w:id="4646" w:name="_Toc287257831"/>
      <w:bookmarkStart w:id="4647" w:name="_Toc291758710"/>
      <w:bookmarkStart w:id="4648" w:name="_Toc291758813"/>
      <w:bookmarkStart w:id="4649" w:name="_Toc295392993"/>
      <w:bookmarkStart w:id="4650" w:name="_Toc329262533"/>
      <w:bookmarkStart w:id="4651" w:name="_Toc329852441"/>
      <w:bookmarkStart w:id="4652" w:name="_Toc331766356"/>
      <w:bookmarkStart w:id="4653" w:name="_Toc332119160"/>
      <w:bookmarkStart w:id="4654" w:name="_Toc334088828"/>
      <w:bookmarkStart w:id="4655" w:name="_Toc334089064"/>
      <w:bookmarkStart w:id="4656" w:name="_Toc334089223"/>
      <w:bookmarkStart w:id="4657" w:name="_Toc334089334"/>
      <w:bookmarkStart w:id="4658" w:name="_Toc334089498"/>
      <w:bookmarkStart w:id="4659" w:name="_Toc336268640"/>
      <w:bookmarkStart w:id="4660" w:name="_Toc336268748"/>
      <w:bookmarkStart w:id="4661" w:name="_Toc336268855"/>
      <w:bookmarkStart w:id="4662" w:name="_Toc336269069"/>
      <w:bookmarkStart w:id="4663" w:name="_Toc336269176"/>
      <w:bookmarkStart w:id="4664" w:name="_Toc336269544"/>
      <w:bookmarkStart w:id="4665" w:name="_Toc336269690"/>
      <w:bookmarkStart w:id="4666" w:name="_Toc336270103"/>
      <w:bookmarkStart w:id="4667" w:name="_Toc336271303"/>
      <w:bookmarkStart w:id="4668" w:name="_Toc337652009"/>
      <w:bookmarkStart w:id="4669" w:name="_Toc349577198"/>
      <w:bookmarkStart w:id="4670" w:name="_Toc349579290"/>
      <w:bookmarkStart w:id="4671" w:name="_Toc349580605"/>
      <w:bookmarkStart w:id="4672" w:name="_Toc349735013"/>
      <w:bookmarkStart w:id="4673" w:name="_Toc349742378"/>
      <w:r w:rsidRPr="00B53FFB">
        <w:t>Non-Spectrum Input Segments</w:t>
      </w:r>
      <w:bookmarkEnd w:id="4645"/>
      <w:bookmarkEnd w:id="4646"/>
      <w:bookmarkEnd w:id="4647"/>
      <w:bookmarkEnd w:id="4648"/>
      <w:bookmarkEnd w:id="4649"/>
      <w:bookmarkEnd w:id="4650"/>
      <w:bookmarkEnd w:id="4651"/>
      <w:bookmarkEnd w:id="4652"/>
      <w:bookmarkEnd w:id="4653"/>
      <w:bookmarkEnd w:id="4654"/>
      <w:bookmarkEnd w:id="4655"/>
      <w:bookmarkEnd w:id="4656"/>
      <w:bookmarkEnd w:id="4657"/>
      <w:bookmarkEnd w:id="4658"/>
      <w:bookmarkEnd w:id="4659"/>
      <w:bookmarkEnd w:id="4660"/>
      <w:bookmarkEnd w:id="4661"/>
      <w:bookmarkEnd w:id="4662"/>
      <w:bookmarkEnd w:id="4663"/>
      <w:bookmarkEnd w:id="4664"/>
      <w:bookmarkEnd w:id="4665"/>
      <w:bookmarkEnd w:id="4666"/>
      <w:bookmarkEnd w:id="4667"/>
      <w:bookmarkEnd w:id="4668"/>
      <w:bookmarkEnd w:id="4669"/>
      <w:bookmarkEnd w:id="4670"/>
      <w:bookmarkEnd w:id="4671"/>
      <w:bookmarkEnd w:id="4672"/>
      <w:bookmarkEnd w:id="4673"/>
    </w:p>
    <w:p w:rsidR="004A147C" w:rsidRPr="00B53FFB" w:rsidRDefault="004A147C" w:rsidP="00CE5850">
      <w:pPr>
        <w:pStyle w:val="ParaNum"/>
        <w:numPr>
          <w:ilvl w:val="0"/>
          <w:numId w:val="28"/>
        </w:numPr>
        <w:rPr>
          <w:sz w:val="22"/>
          <w:szCs w:val="22"/>
        </w:rPr>
      </w:pPr>
      <w:r w:rsidRPr="00B53FFB">
        <w:rPr>
          <w:sz w:val="22"/>
          <w:szCs w:val="22"/>
        </w:rPr>
        <w:t xml:space="preserve">In </w:t>
      </w:r>
      <w:bookmarkStart w:id="4674" w:name="_Toc83547847"/>
      <w:bookmarkStart w:id="4675" w:name="_Toc112139267"/>
      <w:bookmarkStart w:id="4676" w:name="_Toc113257874"/>
      <w:bookmarkStart w:id="4677" w:name="_Toc113258071"/>
      <w:bookmarkStart w:id="4678" w:name="_Toc113258339"/>
      <w:bookmarkStart w:id="4679" w:name="_Toc113258665"/>
      <w:bookmarkStart w:id="4680" w:name="_Toc113272254"/>
      <w:bookmarkStart w:id="4681" w:name="_Toc115580939"/>
      <w:bookmarkStart w:id="4682" w:name="_Toc136318342"/>
      <w:bookmarkStart w:id="4683" w:name="_Toc136318691"/>
      <w:bookmarkStart w:id="4684" w:name="_Toc136318858"/>
      <w:bookmarkStart w:id="4685" w:name="_Toc138475834"/>
      <w:bookmarkStart w:id="4686" w:name="_Toc146684563"/>
      <w:bookmarkStart w:id="4687" w:name="_Toc147046321"/>
      <w:bookmarkStart w:id="4688" w:name="_Toc171415279"/>
      <w:bookmarkStart w:id="4689" w:name="_Toc173642170"/>
      <w:bookmarkStart w:id="4690" w:name="_Toc173813708"/>
      <w:bookmarkStart w:id="4691" w:name="_Toc175387878"/>
      <w:bookmarkStart w:id="4692" w:name="_Toc176254483"/>
      <w:bookmarkStart w:id="4693" w:name="_Toc176254772"/>
      <w:bookmarkStart w:id="4694" w:name="_Toc176254883"/>
      <w:bookmarkStart w:id="4695" w:name="_Toc176762517"/>
      <w:bookmarkStart w:id="4696" w:name="_Toc176843538"/>
      <w:bookmarkStart w:id="4697" w:name="_Toc176853340"/>
      <w:bookmarkStart w:id="4698" w:name="_Toc176853449"/>
      <w:bookmarkStart w:id="4699" w:name="_Toc176857498"/>
      <w:bookmarkStart w:id="4700" w:name="_Toc179108430"/>
      <w:bookmarkStart w:id="4701" w:name="_Toc179357689"/>
      <w:bookmarkStart w:id="4702" w:name="_Toc181781171"/>
      <w:bookmarkStart w:id="4703" w:name="_Toc182218757"/>
      <w:bookmarkStart w:id="4704" w:name="_Toc182909193"/>
      <w:bookmarkStart w:id="4705" w:name="_Toc182909623"/>
      <w:bookmarkStart w:id="4706" w:name="_Toc182987273"/>
      <w:bookmarkStart w:id="4707" w:name="_Toc183244108"/>
      <w:bookmarkStart w:id="4708" w:name="_Toc183244486"/>
      <w:bookmarkStart w:id="4709" w:name="_Toc183244897"/>
      <w:bookmarkStart w:id="4710" w:name="_Toc183245015"/>
      <w:bookmarkStart w:id="4711" w:name="_Toc183245673"/>
      <w:bookmarkStart w:id="4712" w:name="_Toc183246248"/>
      <w:bookmarkStart w:id="4713" w:name="_Toc183246347"/>
      <w:bookmarkStart w:id="4714" w:name="_Ref185318053"/>
      <w:bookmarkStart w:id="4715" w:name="_Ref185318059"/>
      <w:bookmarkStart w:id="4716" w:name="_Ref185318113"/>
      <w:bookmarkStart w:id="4717" w:name="_Toc185667957"/>
      <w:bookmarkStart w:id="4718" w:name="_Toc185839014"/>
      <w:bookmarkStart w:id="4719" w:name="_Toc185846986"/>
      <w:bookmarkStart w:id="4720" w:name="_Toc185848592"/>
      <w:bookmarkStart w:id="4721" w:name="_Toc188946950"/>
      <w:bookmarkStart w:id="4722" w:name="_Toc189302854"/>
      <w:bookmarkStart w:id="4723" w:name="_Toc209948521"/>
      <w:bookmarkStart w:id="4724" w:name="_Toc209948630"/>
      <w:bookmarkStart w:id="4725" w:name="_Toc209950072"/>
      <w:bookmarkStart w:id="4726" w:name="_Toc210211528"/>
      <w:bookmarkStart w:id="4727" w:name="_Toc210213095"/>
      <w:bookmarkStart w:id="4728" w:name="_Toc210213234"/>
      <w:bookmarkStart w:id="4729" w:name="_Toc210213795"/>
      <w:bookmarkStart w:id="4730" w:name="_Toc212968018"/>
      <w:bookmarkStart w:id="4731" w:name="_Toc215316420"/>
      <w:bookmarkStart w:id="4732" w:name="_Toc215384674"/>
      <w:bookmarkStart w:id="4733" w:name="_Toc217810540"/>
      <w:bookmarkStart w:id="4734" w:name="_Toc261610818"/>
      <w:bookmarkStart w:id="4735" w:name="_Toc261858570"/>
      <w:bookmarkStart w:id="4736" w:name="_Toc262034379"/>
      <w:bookmarkStart w:id="4737" w:name="_Toc262034482"/>
      <w:bookmarkStart w:id="4738" w:name="_Toc271288517"/>
      <w:bookmarkStart w:id="4739" w:name="_Toc275518036"/>
      <w:bookmarkStart w:id="4740" w:name="_Toc275952476"/>
      <w:bookmarkStart w:id="4741" w:name="_Toc276121908"/>
      <w:bookmarkStart w:id="4742" w:name="_Toc276480744"/>
      <w:bookmarkStart w:id="4743" w:name="_Toc276741822"/>
      <w:bookmarkStart w:id="4744" w:name="_Toc277171586"/>
      <w:bookmarkStart w:id="4745" w:name="_Toc277864561"/>
      <w:bookmarkStart w:id="4746" w:name="_Toc277864777"/>
      <w:bookmarkStart w:id="4747" w:name="_Toc285810458"/>
      <w:bookmarkStart w:id="4748" w:name="_Toc287257857"/>
      <w:bookmarkStart w:id="4749" w:name="_Toc291758732"/>
      <w:bookmarkStart w:id="4750" w:name="_Toc291758835"/>
      <w:bookmarkStart w:id="4751" w:name="_Toc295393015"/>
      <w:bookmarkStart w:id="4752" w:name="_Toc329262543"/>
      <w:bookmarkStart w:id="4753" w:name="_Toc329852450"/>
      <w:bookmarkStart w:id="4754" w:name="_Toc331766365"/>
      <w:bookmarkStart w:id="4755" w:name="_Toc332119169"/>
      <w:bookmarkStart w:id="4756" w:name="_Toc334088837"/>
      <w:bookmarkStart w:id="4757" w:name="_Toc334089073"/>
      <w:bookmarkStart w:id="4758" w:name="_Toc334089232"/>
      <w:bookmarkStart w:id="4759" w:name="_Toc334089343"/>
      <w:bookmarkStart w:id="4760" w:name="_Toc334089507"/>
      <w:bookmarkEnd w:id="4388"/>
      <w:bookmarkEnd w:id="4389"/>
      <w:bookmarkEnd w:id="4390"/>
      <w:bookmarkEnd w:id="4391"/>
      <w:bookmarkEnd w:id="4392"/>
      <w:bookmarkEnd w:id="4393"/>
      <w:bookmarkEnd w:id="4394"/>
      <w:bookmarkEnd w:id="4395"/>
      <w:bookmarkEnd w:id="4396"/>
      <w:bookmarkEnd w:id="4397"/>
      <w:bookmarkEnd w:id="4398"/>
      <w:bookmarkEnd w:id="4399"/>
      <w:bookmarkEnd w:id="4400"/>
      <w:bookmarkEnd w:id="4401"/>
      <w:bookmarkEnd w:id="4402"/>
      <w:bookmarkEnd w:id="4403"/>
      <w:bookmarkEnd w:id="4404"/>
      <w:bookmarkEnd w:id="4405"/>
      <w:bookmarkEnd w:id="4406"/>
      <w:bookmarkEnd w:id="4407"/>
      <w:bookmarkEnd w:id="4408"/>
      <w:bookmarkEnd w:id="4409"/>
      <w:bookmarkEnd w:id="4410"/>
      <w:bookmarkEnd w:id="4411"/>
      <w:bookmarkEnd w:id="4412"/>
      <w:bookmarkEnd w:id="4413"/>
      <w:bookmarkEnd w:id="4414"/>
      <w:bookmarkEnd w:id="4415"/>
      <w:bookmarkEnd w:id="4416"/>
      <w:bookmarkEnd w:id="4417"/>
      <w:bookmarkEnd w:id="4418"/>
      <w:bookmarkEnd w:id="4419"/>
      <w:bookmarkEnd w:id="4420"/>
      <w:bookmarkEnd w:id="4421"/>
      <w:bookmarkEnd w:id="4422"/>
      <w:bookmarkEnd w:id="4423"/>
      <w:bookmarkEnd w:id="4424"/>
      <w:bookmarkEnd w:id="4425"/>
      <w:bookmarkEnd w:id="4426"/>
      <w:bookmarkEnd w:id="4427"/>
      <w:bookmarkEnd w:id="4428"/>
      <w:bookmarkEnd w:id="4429"/>
      <w:bookmarkEnd w:id="4430"/>
      <w:bookmarkEnd w:id="4431"/>
      <w:bookmarkEnd w:id="4432"/>
      <w:bookmarkEnd w:id="4433"/>
      <w:bookmarkEnd w:id="4434"/>
      <w:bookmarkEnd w:id="4435"/>
      <w:bookmarkEnd w:id="4436"/>
      <w:bookmarkEnd w:id="4437"/>
      <w:bookmarkEnd w:id="4438"/>
      <w:bookmarkEnd w:id="4439"/>
      <w:bookmarkEnd w:id="4440"/>
      <w:bookmarkEnd w:id="4441"/>
      <w:bookmarkEnd w:id="4442"/>
      <w:bookmarkEnd w:id="4443"/>
      <w:bookmarkEnd w:id="4444"/>
      <w:bookmarkEnd w:id="4445"/>
      <w:bookmarkEnd w:id="4446"/>
      <w:bookmarkEnd w:id="4616"/>
      <w:bookmarkEnd w:id="4617"/>
      <w:bookmarkEnd w:id="4618"/>
      <w:bookmarkEnd w:id="4619"/>
      <w:bookmarkEnd w:id="4620"/>
      <w:bookmarkEnd w:id="4621"/>
      <w:bookmarkEnd w:id="4622"/>
      <w:bookmarkEnd w:id="4623"/>
      <w:bookmarkEnd w:id="4624"/>
      <w:bookmarkEnd w:id="4625"/>
      <w:bookmarkEnd w:id="4626"/>
      <w:bookmarkEnd w:id="4627"/>
      <w:bookmarkEnd w:id="4628"/>
      <w:bookmarkEnd w:id="4629"/>
      <w:r w:rsidRPr="00B53FFB">
        <w:rPr>
          <w:sz w:val="22"/>
          <w:szCs w:val="22"/>
        </w:rPr>
        <w:t xml:space="preserve">the following sections, </w:t>
      </w:r>
      <w:bookmarkEnd w:id="4674"/>
      <w:bookmarkEnd w:id="4675"/>
      <w:bookmarkEnd w:id="4676"/>
      <w:bookmarkEnd w:id="4677"/>
      <w:bookmarkEnd w:id="4678"/>
      <w:bookmarkEnd w:id="4679"/>
      <w:bookmarkEnd w:id="4680"/>
      <w:bookmarkEnd w:id="4681"/>
      <w:bookmarkEnd w:id="4682"/>
      <w:bookmarkEnd w:id="4683"/>
      <w:bookmarkEnd w:id="4684"/>
      <w:bookmarkEnd w:id="4685"/>
      <w:bookmarkEnd w:id="4686"/>
      <w:bookmarkEnd w:id="4687"/>
      <w:bookmarkEnd w:id="4688"/>
      <w:bookmarkEnd w:id="4689"/>
      <w:bookmarkEnd w:id="4690"/>
      <w:bookmarkEnd w:id="4691"/>
      <w:bookmarkEnd w:id="4692"/>
      <w:bookmarkEnd w:id="4693"/>
      <w:bookmarkEnd w:id="4694"/>
      <w:bookmarkEnd w:id="4695"/>
      <w:bookmarkEnd w:id="4696"/>
      <w:bookmarkEnd w:id="4697"/>
      <w:bookmarkEnd w:id="4698"/>
      <w:bookmarkEnd w:id="4699"/>
      <w:bookmarkEnd w:id="4700"/>
      <w:bookmarkEnd w:id="4701"/>
      <w:bookmarkEnd w:id="4702"/>
      <w:bookmarkEnd w:id="4703"/>
      <w:bookmarkEnd w:id="4704"/>
      <w:bookmarkEnd w:id="4705"/>
      <w:bookmarkEnd w:id="4706"/>
      <w:bookmarkEnd w:id="4707"/>
      <w:bookmarkEnd w:id="4708"/>
      <w:bookmarkEnd w:id="4709"/>
      <w:bookmarkEnd w:id="4710"/>
      <w:bookmarkEnd w:id="4711"/>
      <w:bookmarkEnd w:id="4712"/>
      <w:bookmarkEnd w:id="4713"/>
      <w:bookmarkEnd w:id="4714"/>
      <w:bookmarkEnd w:id="4715"/>
      <w:bookmarkEnd w:id="4716"/>
      <w:bookmarkEnd w:id="4717"/>
      <w:bookmarkEnd w:id="4718"/>
      <w:bookmarkEnd w:id="4719"/>
      <w:bookmarkEnd w:id="4720"/>
      <w:bookmarkEnd w:id="4721"/>
      <w:bookmarkEnd w:id="4722"/>
      <w:bookmarkEnd w:id="4723"/>
      <w:bookmarkEnd w:id="4724"/>
      <w:bookmarkEnd w:id="4725"/>
      <w:bookmarkEnd w:id="4726"/>
      <w:bookmarkEnd w:id="4727"/>
      <w:bookmarkEnd w:id="4728"/>
      <w:bookmarkEnd w:id="4729"/>
      <w:bookmarkEnd w:id="4730"/>
      <w:bookmarkEnd w:id="4731"/>
      <w:bookmarkEnd w:id="4732"/>
      <w:bookmarkEnd w:id="4733"/>
      <w:bookmarkEnd w:id="4734"/>
      <w:bookmarkEnd w:id="4735"/>
      <w:bookmarkEnd w:id="4736"/>
      <w:bookmarkEnd w:id="4737"/>
      <w:bookmarkEnd w:id="4738"/>
      <w:bookmarkEnd w:id="4739"/>
      <w:bookmarkEnd w:id="4740"/>
      <w:bookmarkEnd w:id="4741"/>
      <w:bookmarkEnd w:id="4742"/>
      <w:bookmarkEnd w:id="4743"/>
      <w:bookmarkEnd w:id="4744"/>
      <w:bookmarkEnd w:id="4745"/>
      <w:bookmarkEnd w:id="4746"/>
      <w:bookmarkEnd w:id="4747"/>
      <w:bookmarkEnd w:id="4748"/>
      <w:bookmarkEnd w:id="4749"/>
      <w:bookmarkEnd w:id="4750"/>
      <w:bookmarkEnd w:id="4751"/>
      <w:bookmarkEnd w:id="4752"/>
      <w:bookmarkEnd w:id="4753"/>
      <w:bookmarkEnd w:id="4754"/>
      <w:bookmarkEnd w:id="4755"/>
      <w:bookmarkEnd w:id="4756"/>
      <w:bookmarkEnd w:id="4757"/>
      <w:bookmarkEnd w:id="4758"/>
      <w:bookmarkEnd w:id="4759"/>
      <w:bookmarkEnd w:id="4760"/>
      <w:r w:rsidRPr="00B53FFB">
        <w:rPr>
          <w:sz w:val="22"/>
          <w:szCs w:val="22"/>
        </w:rPr>
        <w:t xml:space="preserve">we consider key factors in the production of mobile wireless services.  We examine whether and how such “upstream” or input segments, including spectrum, infrastructure and backhaul facilities, affect market performance.  As we observe below, these critical input segments may affect competition in the provision of mobile wireless services. </w:t>
      </w:r>
    </w:p>
    <w:p w:rsidR="004A147C" w:rsidRPr="00B53FFB" w:rsidRDefault="004A147C" w:rsidP="00CE5850">
      <w:pPr>
        <w:pStyle w:val="Heading3"/>
        <w:keepNext w:val="0"/>
        <w:numPr>
          <w:ilvl w:val="2"/>
          <w:numId w:val="26"/>
        </w:numPr>
        <w:tabs>
          <w:tab w:val="left" w:pos="2160"/>
        </w:tabs>
        <w:rPr>
          <w:sz w:val="22"/>
          <w:szCs w:val="22"/>
        </w:rPr>
      </w:pPr>
      <w:bookmarkStart w:id="4761" w:name="_Ref257728419"/>
      <w:bookmarkStart w:id="4762" w:name="_Ref257728421"/>
      <w:bookmarkStart w:id="4763" w:name="_Toc261610812"/>
      <w:bookmarkStart w:id="4764" w:name="_Toc261858555"/>
      <w:bookmarkStart w:id="4765" w:name="_Toc262034362"/>
      <w:bookmarkStart w:id="4766" w:name="_Toc262034465"/>
      <w:bookmarkStart w:id="4767" w:name="_Toc271288502"/>
      <w:bookmarkStart w:id="4768" w:name="_Toc275518021"/>
      <w:bookmarkStart w:id="4769" w:name="_Toc275952461"/>
      <w:bookmarkStart w:id="4770" w:name="_Toc276121893"/>
      <w:bookmarkStart w:id="4771" w:name="_Toc276480729"/>
      <w:bookmarkStart w:id="4772" w:name="_Toc276741807"/>
      <w:bookmarkStart w:id="4773" w:name="_Toc277171571"/>
      <w:bookmarkStart w:id="4774" w:name="_Toc277864546"/>
      <w:bookmarkStart w:id="4775" w:name="_Toc277864762"/>
      <w:bookmarkStart w:id="4776" w:name="_Toc285810443"/>
      <w:bookmarkStart w:id="4777" w:name="_Toc287257840"/>
      <w:bookmarkStart w:id="4778" w:name="_Toc291758717"/>
      <w:bookmarkStart w:id="4779" w:name="_Toc291758820"/>
      <w:bookmarkStart w:id="4780" w:name="_Toc295393000"/>
      <w:bookmarkStart w:id="4781" w:name="_Toc329262535"/>
      <w:bookmarkStart w:id="4782" w:name="_Toc329852442"/>
      <w:bookmarkStart w:id="4783" w:name="_Toc331766357"/>
      <w:bookmarkStart w:id="4784" w:name="_Toc332119161"/>
      <w:bookmarkStart w:id="4785" w:name="_Toc334088829"/>
      <w:bookmarkStart w:id="4786" w:name="_Toc334089065"/>
      <w:bookmarkStart w:id="4787" w:name="_Toc334089224"/>
      <w:bookmarkStart w:id="4788" w:name="_Toc334089335"/>
      <w:bookmarkStart w:id="4789" w:name="_Toc334089499"/>
      <w:bookmarkStart w:id="4790" w:name="_Toc336268641"/>
      <w:bookmarkStart w:id="4791" w:name="_Toc336268749"/>
      <w:bookmarkStart w:id="4792" w:name="_Toc336268856"/>
      <w:bookmarkStart w:id="4793" w:name="_Toc336269070"/>
      <w:bookmarkStart w:id="4794" w:name="_Toc336269177"/>
      <w:bookmarkStart w:id="4795" w:name="_Toc336269545"/>
      <w:bookmarkStart w:id="4796" w:name="_Toc336269691"/>
      <w:bookmarkStart w:id="4797" w:name="_Toc336270104"/>
      <w:bookmarkStart w:id="4798" w:name="_Toc336271304"/>
      <w:bookmarkStart w:id="4799" w:name="_Toc337652010"/>
      <w:bookmarkStart w:id="4800" w:name="_Toc349577199"/>
      <w:bookmarkStart w:id="4801" w:name="_Toc349579291"/>
      <w:bookmarkStart w:id="4802" w:name="_Toc349580606"/>
      <w:bookmarkStart w:id="4803" w:name="_Toc349735014"/>
      <w:bookmarkStart w:id="4804" w:name="_Toc349742379"/>
      <w:r w:rsidRPr="00B53FFB">
        <w:rPr>
          <w:sz w:val="22"/>
          <w:szCs w:val="22"/>
        </w:rPr>
        <w:t>Infrastructure Facilities</w:t>
      </w:r>
      <w:bookmarkEnd w:id="4761"/>
      <w:bookmarkEnd w:id="4762"/>
      <w:bookmarkEnd w:id="4763"/>
      <w:bookmarkEnd w:id="4764"/>
      <w:bookmarkEnd w:id="4765"/>
      <w:bookmarkEnd w:id="4766"/>
      <w:bookmarkEnd w:id="4767"/>
      <w:bookmarkEnd w:id="4768"/>
      <w:bookmarkEnd w:id="4769"/>
      <w:bookmarkEnd w:id="4770"/>
      <w:bookmarkEnd w:id="4771"/>
      <w:bookmarkEnd w:id="4772"/>
      <w:bookmarkEnd w:id="4773"/>
      <w:bookmarkEnd w:id="4774"/>
      <w:bookmarkEnd w:id="4775"/>
      <w:bookmarkEnd w:id="4776"/>
      <w:bookmarkEnd w:id="4777"/>
      <w:bookmarkEnd w:id="4778"/>
      <w:bookmarkEnd w:id="4779"/>
      <w:bookmarkEnd w:id="4780"/>
      <w:bookmarkEnd w:id="4781"/>
      <w:bookmarkEnd w:id="4782"/>
      <w:bookmarkEnd w:id="4783"/>
      <w:bookmarkEnd w:id="4784"/>
      <w:bookmarkEnd w:id="4785"/>
      <w:bookmarkEnd w:id="4786"/>
      <w:bookmarkEnd w:id="4787"/>
      <w:bookmarkEnd w:id="4788"/>
      <w:bookmarkEnd w:id="4789"/>
      <w:bookmarkEnd w:id="4790"/>
      <w:bookmarkEnd w:id="4791"/>
      <w:bookmarkEnd w:id="4792"/>
      <w:bookmarkEnd w:id="4793"/>
      <w:bookmarkEnd w:id="4794"/>
      <w:bookmarkEnd w:id="4795"/>
      <w:bookmarkEnd w:id="4796"/>
      <w:bookmarkEnd w:id="4797"/>
      <w:bookmarkEnd w:id="4798"/>
      <w:bookmarkEnd w:id="4799"/>
      <w:bookmarkEnd w:id="4800"/>
      <w:bookmarkEnd w:id="4801"/>
      <w:bookmarkEnd w:id="4802"/>
      <w:bookmarkEnd w:id="4803"/>
      <w:bookmarkEnd w:id="4804"/>
    </w:p>
    <w:p w:rsidR="004A147C" w:rsidRPr="00B53FFB" w:rsidRDefault="004A147C" w:rsidP="00CE5850">
      <w:pPr>
        <w:pStyle w:val="Heading4"/>
        <w:keepNext w:val="0"/>
        <w:numPr>
          <w:ilvl w:val="3"/>
          <w:numId w:val="26"/>
        </w:numPr>
        <w:tabs>
          <w:tab w:val="left" w:pos="2880"/>
        </w:tabs>
        <w:rPr>
          <w:sz w:val="22"/>
          <w:szCs w:val="22"/>
        </w:rPr>
      </w:pPr>
      <w:bookmarkStart w:id="4805" w:name="_Toc261858556"/>
      <w:bookmarkStart w:id="4806" w:name="_Toc262034363"/>
      <w:bookmarkStart w:id="4807" w:name="_Toc262034466"/>
      <w:bookmarkStart w:id="4808" w:name="_Toc271288503"/>
      <w:bookmarkStart w:id="4809" w:name="_Toc275518022"/>
      <w:bookmarkStart w:id="4810" w:name="_Toc275952462"/>
      <w:bookmarkStart w:id="4811" w:name="_Toc276121894"/>
      <w:bookmarkStart w:id="4812" w:name="_Toc276480730"/>
      <w:bookmarkStart w:id="4813" w:name="_Toc276741808"/>
      <w:bookmarkStart w:id="4814" w:name="_Toc277171572"/>
      <w:bookmarkStart w:id="4815" w:name="_Toc277864547"/>
      <w:bookmarkStart w:id="4816" w:name="_Toc277864763"/>
      <w:bookmarkStart w:id="4817" w:name="_Toc285810444"/>
      <w:bookmarkStart w:id="4818" w:name="_Toc287257841"/>
      <w:bookmarkStart w:id="4819" w:name="_Toc291758718"/>
      <w:bookmarkStart w:id="4820" w:name="_Toc291758821"/>
      <w:bookmarkStart w:id="4821" w:name="_Toc295393001"/>
      <w:bookmarkStart w:id="4822" w:name="_Toc337652011"/>
      <w:bookmarkStart w:id="4823" w:name="_Toc349577200"/>
      <w:bookmarkStart w:id="4824" w:name="_Toc349579292"/>
      <w:bookmarkStart w:id="4825" w:name="_Toc349580607"/>
      <w:bookmarkStart w:id="4826" w:name="_Toc349735015"/>
      <w:bookmarkStart w:id="4827" w:name="_Toc349742380"/>
      <w:r w:rsidRPr="00B53FFB">
        <w:rPr>
          <w:sz w:val="22"/>
          <w:szCs w:val="22"/>
        </w:rPr>
        <w:t>Background</w:t>
      </w:r>
      <w:bookmarkEnd w:id="4805"/>
      <w:bookmarkEnd w:id="4806"/>
      <w:bookmarkEnd w:id="4807"/>
      <w:bookmarkEnd w:id="4808"/>
      <w:bookmarkEnd w:id="4809"/>
      <w:bookmarkEnd w:id="4810"/>
      <w:bookmarkEnd w:id="4811"/>
      <w:bookmarkEnd w:id="4812"/>
      <w:bookmarkEnd w:id="4813"/>
      <w:bookmarkEnd w:id="4814"/>
      <w:bookmarkEnd w:id="4815"/>
      <w:bookmarkEnd w:id="4816"/>
      <w:bookmarkEnd w:id="4817"/>
      <w:bookmarkEnd w:id="4818"/>
      <w:bookmarkEnd w:id="4819"/>
      <w:bookmarkEnd w:id="4820"/>
      <w:bookmarkEnd w:id="4821"/>
      <w:bookmarkEnd w:id="4822"/>
      <w:bookmarkEnd w:id="4823"/>
      <w:bookmarkEnd w:id="4824"/>
      <w:bookmarkEnd w:id="4825"/>
      <w:bookmarkEnd w:id="4826"/>
      <w:bookmarkEnd w:id="4827"/>
      <w:r w:rsidRPr="00B53FFB">
        <w:rPr>
          <w:sz w:val="22"/>
          <w:szCs w:val="22"/>
        </w:rPr>
        <w:t xml:space="preserve">  </w:t>
      </w:r>
    </w:p>
    <w:p w:rsidR="004A147C" w:rsidRPr="00B53FFB" w:rsidRDefault="004A147C" w:rsidP="00CE5850">
      <w:pPr>
        <w:pStyle w:val="ParaNum"/>
        <w:numPr>
          <w:ilvl w:val="0"/>
          <w:numId w:val="28"/>
        </w:numPr>
        <w:rPr>
          <w:sz w:val="22"/>
          <w:szCs w:val="22"/>
        </w:rPr>
      </w:pPr>
      <w:r w:rsidRPr="00B53FFB">
        <w:rPr>
          <w:sz w:val="22"/>
          <w:szCs w:val="22"/>
        </w:rPr>
        <w:t>Infrastructure facilities are a major input into the provision of mobile wireless services.  These facilities are comprised mainly of cellular base stations and towers or other structures on which the base stations are situated.  A base station generally consists of radio transceivers,</w:t>
      </w:r>
      <w:r w:rsidRPr="00B53FFB" w:rsidDel="00014B41">
        <w:rPr>
          <w:sz w:val="22"/>
          <w:szCs w:val="22"/>
        </w:rPr>
        <w:t xml:space="preserve"> </w:t>
      </w:r>
      <w:r w:rsidRPr="00B53FFB">
        <w:rPr>
          <w:sz w:val="22"/>
          <w:szCs w:val="22"/>
        </w:rPr>
        <w:t xml:space="preserve">antennas, coaxial cable, a regular and backup power supply, and other associated electronics.  These base stations are generally placed atop a purpose-built communications tower, or on a tall building, water tower, church steeple, or other structure providing sufficient height above the surrounding area.  Some cell sites are located inside buildings to fill indoor coverage gaps.  In addition, cell sites may be located at the lower levels of taller towers built to support other communications services, such as broadcast or public safety services.  </w:t>
      </w:r>
    </w:p>
    <w:p w:rsidR="004A147C" w:rsidRPr="00B53FFB" w:rsidRDefault="004A147C" w:rsidP="00CE5850">
      <w:pPr>
        <w:pStyle w:val="ParaNum"/>
        <w:numPr>
          <w:ilvl w:val="0"/>
          <w:numId w:val="28"/>
        </w:numPr>
        <w:rPr>
          <w:sz w:val="22"/>
          <w:szCs w:val="22"/>
        </w:rPr>
      </w:pPr>
      <w:r w:rsidRPr="00B53FFB">
        <w:rPr>
          <w:sz w:val="22"/>
          <w:szCs w:val="22"/>
        </w:rPr>
        <w:t xml:space="preserve">An alternative to the use of tall structures for cell sites are distributed antenna systems (DAS).  DAS are comprised of a relatively dense network of small cells that are connected by fiber optic cable and can be placed on such locations as utility poles, buildings, or traffic signal poles.  DAS may have advantages in geographic areas where constructing towers is not feasible or wireless traffic demands are too great to be met with fewer, large cells.  Because DAS sites are less visible than tower structures, they may be particularly desirable in areas with stringent siting regulations, such as historic districts.  </w:t>
      </w:r>
    </w:p>
    <w:p w:rsidR="004A147C" w:rsidRPr="00B53FFB" w:rsidRDefault="004A147C" w:rsidP="00CE5850">
      <w:pPr>
        <w:pStyle w:val="ParaNum"/>
        <w:numPr>
          <w:ilvl w:val="0"/>
          <w:numId w:val="28"/>
        </w:numPr>
        <w:rPr>
          <w:sz w:val="22"/>
          <w:szCs w:val="22"/>
        </w:rPr>
      </w:pPr>
      <w:r w:rsidRPr="00B53FFB">
        <w:rPr>
          <w:sz w:val="22"/>
          <w:szCs w:val="22"/>
        </w:rPr>
        <w:t>The number of cell sites in use by wireless providers continues to grow in order to satisfy the increased demand for mobile wireless services, to expand geographic service area coverage, to improve coverage in existing service areas, and to accommodate newer technologies.  According to CTIA, the total number of cell sites in use by CTIA’s members was 283,385 as of year-end 2011.</w:t>
      </w:r>
      <w:r w:rsidRPr="00B53FFB">
        <w:rPr>
          <w:sz w:val="22"/>
          <w:szCs w:val="22"/>
          <w:vertAlign w:val="superscript"/>
        </w:rPr>
        <w:footnoteReference w:id="951"/>
      </w:r>
      <w:r w:rsidRPr="00B53FFB">
        <w:rPr>
          <w:sz w:val="22"/>
          <w:szCs w:val="22"/>
        </w:rPr>
        <w:t xml:space="preserve">  This represents an increase in the number of cell sites of 12 percent since December 31, 2010, of 15 percent since December 31, 2009, of 54 percent since December 31, 2005, and of 61 percent since December 31, 2004.</w:t>
      </w:r>
      <w:r w:rsidRPr="00B53FFB">
        <w:rPr>
          <w:sz w:val="22"/>
          <w:szCs w:val="22"/>
          <w:vertAlign w:val="superscript"/>
        </w:rPr>
        <w:footnoteReference w:id="952"/>
      </w:r>
      <w:r w:rsidRPr="00B53FFB">
        <w:rPr>
          <w:sz w:val="22"/>
          <w:szCs w:val="22"/>
        </w:rPr>
        <w:t xml:space="preserve">     </w:t>
      </w:r>
    </w:p>
    <w:p w:rsidR="004A147C" w:rsidRPr="00B53FFB" w:rsidRDefault="004A147C" w:rsidP="00CE5850">
      <w:pPr>
        <w:pStyle w:val="ParaNum"/>
        <w:numPr>
          <w:ilvl w:val="0"/>
          <w:numId w:val="28"/>
        </w:numPr>
        <w:rPr>
          <w:sz w:val="22"/>
          <w:szCs w:val="22"/>
        </w:rPr>
      </w:pPr>
      <w:r w:rsidRPr="00B53FFB">
        <w:rPr>
          <w:sz w:val="22"/>
          <w:szCs w:val="22"/>
        </w:rPr>
        <w:t xml:space="preserve">  A communications tower industry has developed to provide and support the cell sites required by mobile wireless service providers.  This industry includes companies that own large numbers of towers on which they lease space to mobile wireless service providers.  In recent years, tower companies have expanded their portfolio of service offerings to DAS.</w:t>
      </w:r>
      <w:r w:rsidRPr="00B53FFB">
        <w:rPr>
          <w:sz w:val="22"/>
          <w:szCs w:val="22"/>
          <w:vertAlign w:val="superscript"/>
        </w:rPr>
        <w:footnoteReference w:id="953"/>
      </w:r>
      <w:r w:rsidRPr="00B53FFB">
        <w:rPr>
          <w:sz w:val="22"/>
          <w:szCs w:val="22"/>
        </w:rPr>
        <w:t xml:space="preserve">  Providers of DAS in 2011 included most of the major tower companies, as well as companies specializing in DAS such as ExteNet.  There are also companies that help mobile wireless service providers identify available tower or building space in particular geographic areas and arrange the construction of new towers.</w:t>
      </w:r>
      <w:r w:rsidRPr="00B53FFB">
        <w:rPr>
          <w:sz w:val="22"/>
          <w:szCs w:val="22"/>
          <w:vertAlign w:val="superscript"/>
        </w:rPr>
        <w:footnoteReference w:id="954"/>
      </w:r>
      <w:r w:rsidRPr="00B53FFB">
        <w:rPr>
          <w:sz w:val="22"/>
          <w:szCs w:val="22"/>
        </w:rPr>
        <w:t xml:space="preserve">  </w:t>
      </w:r>
    </w:p>
    <w:p w:rsidR="004A147C" w:rsidRPr="00B53FFB" w:rsidRDefault="004A147C" w:rsidP="00CE5850">
      <w:pPr>
        <w:pStyle w:val="ParaNum"/>
        <w:numPr>
          <w:ilvl w:val="0"/>
          <w:numId w:val="28"/>
        </w:numPr>
        <w:rPr>
          <w:sz w:val="22"/>
          <w:szCs w:val="22"/>
        </w:rPr>
      </w:pPr>
      <w:r w:rsidRPr="00B53FFB">
        <w:rPr>
          <w:sz w:val="22"/>
          <w:szCs w:val="22"/>
        </w:rPr>
        <w:t xml:space="preserve">The ownership of communications towers by independent companies rather than mobile wireless service providers may facilitate entry of new or existing providers into new geographic markets.  Independent tower companies have an incentive to increase their business by leasing space to as many service providers as possible.  The availability of leased space on established towers may eliminate the need to build new towers and reduce the capital requirements of network deployments.  </w:t>
      </w:r>
    </w:p>
    <w:p w:rsidR="004A147C" w:rsidRPr="00B53FFB" w:rsidRDefault="004A147C" w:rsidP="00CE5850">
      <w:pPr>
        <w:pStyle w:val="Heading4"/>
        <w:keepNext w:val="0"/>
        <w:numPr>
          <w:ilvl w:val="3"/>
          <w:numId w:val="26"/>
        </w:numPr>
        <w:tabs>
          <w:tab w:val="left" w:pos="2880"/>
        </w:tabs>
        <w:rPr>
          <w:sz w:val="22"/>
          <w:szCs w:val="22"/>
        </w:rPr>
      </w:pPr>
      <w:bookmarkStart w:id="4828" w:name="_Toc337652012"/>
      <w:bookmarkStart w:id="4829" w:name="_Toc349577201"/>
      <w:bookmarkStart w:id="4830" w:name="_Toc349579293"/>
      <w:bookmarkStart w:id="4831" w:name="_Toc349580608"/>
      <w:bookmarkStart w:id="4832" w:name="_Toc349735016"/>
      <w:bookmarkStart w:id="4833" w:name="_Toc349742381"/>
      <w:r w:rsidRPr="00B53FFB">
        <w:rPr>
          <w:sz w:val="22"/>
          <w:szCs w:val="22"/>
        </w:rPr>
        <w:t>Demand for Infrastructure Facilities</w:t>
      </w:r>
      <w:bookmarkEnd w:id="4828"/>
      <w:bookmarkEnd w:id="4829"/>
      <w:bookmarkEnd w:id="4830"/>
      <w:bookmarkEnd w:id="4831"/>
      <w:bookmarkEnd w:id="4832"/>
      <w:bookmarkEnd w:id="4833"/>
    </w:p>
    <w:p w:rsidR="004A147C" w:rsidRPr="00B53FFB" w:rsidRDefault="004A147C" w:rsidP="00CE5850">
      <w:pPr>
        <w:pStyle w:val="ParaNum"/>
        <w:numPr>
          <w:ilvl w:val="0"/>
          <w:numId w:val="28"/>
        </w:numPr>
        <w:rPr>
          <w:sz w:val="22"/>
          <w:szCs w:val="22"/>
        </w:rPr>
      </w:pPr>
      <w:r w:rsidRPr="00B53FFB">
        <w:rPr>
          <w:sz w:val="22"/>
          <w:szCs w:val="22"/>
        </w:rPr>
        <w:t>Analyst reports about the communications tower industry indicate that the business of the tower industry is dependent to a large extent on business from wireless service providers, including whether they expand service to new geographic areas or enhance the quality of service in current service areas.  Continued growth in consumer demand for wireless data services</w:t>
      </w:r>
      <w:r w:rsidRPr="00B53FFB">
        <w:rPr>
          <w:sz w:val="22"/>
          <w:szCs w:val="22"/>
          <w:vertAlign w:val="superscript"/>
        </w:rPr>
        <w:footnoteReference w:id="955"/>
      </w:r>
      <w:r w:rsidRPr="00B53FFB">
        <w:rPr>
          <w:sz w:val="22"/>
          <w:szCs w:val="22"/>
        </w:rPr>
        <w:t xml:space="preserve"> is expected to create demand for tower space for the future cell-splitting plans of mobile wireless providers.</w:t>
      </w:r>
      <w:r w:rsidRPr="00B53FFB">
        <w:rPr>
          <w:sz w:val="22"/>
          <w:szCs w:val="22"/>
          <w:vertAlign w:val="superscript"/>
        </w:rPr>
        <w:footnoteReference w:id="956"/>
      </w:r>
      <w:r w:rsidRPr="00B53FFB">
        <w:rPr>
          <w:sz w:val="22"/>
          <w:szCs w:val="22"/>
        </w:rPr>
        <w:t xml:space="preserve">  </w:t>
      </w:r>
    </w:p>
    <w:p w:rsidR="004A147C" w:rsidRPr="00B53FFB" w:rsidRDefault="004A147C" w:rsidP="00CE5850">
      <w:pPr>
        <w:pStyle w:val="ParaNum"/>
        <w:numPr>
          <w:ilvl w:val="0"/>
          <w:numId w:val="28"/>
        </w:numPr>
        <w:rPr>
          <w:sz w:val="22"/>
          <w:szCs w:val="22"/>
        </w:rPr>
      </w:pPr>
      <w:r w:rsidRPr="00B53FFB">
        <w:rPr>
          <w:sz w:val="22"/>
          <w:szCs w:val="22"/>
        </w:rPr>
        <w:t>American Tower Corporation had an average of 2.1 tenants per tower as of December 31, 2011.</w:t>
      </w:r>
      <w:r w:rsidRPr="00B53FFB">
        <w:rPr>
          <w:sz w:val="22"/>
          <w:szCs w:val="22"/>
          <w:vertAlign w:val="superscript"/>
        </w:rPr>
        <w:footnoteReference w:id="957"/>
      </w:r>
      <w:r w:rsidRPr="00B53FFB">
        <w:rPr>
          <w:sz w:val="22"/>
          <w:szCs w:val="22"/>
        </w:rPr>
        <w:t xml:space="preserve">  As of June 2012, TowerCo’s sites had an average of 1.8 tenants, with the ability to add up to two additional tenants per site.</w:t>
      </w:r>
      <w:r w:rsidRPr="00B53FFB">
        <w:rPr>
          <w:sz w:val="22"/>
          <w:szCs w:val="22"/>
          <w:vertAlign w:val="superscript"/>
        </w:rPr>
        <w:footnoteReference w:id="958"/>
      </w:r>
      <w:r w:rsidRPr="00B53FFB">
        <w:rPr>
          <w:sz w:val="22"/>
          <w:szCs w:val="22"/>
        </w:rPr>
        <w:t xml:space="preserve">  Sprint Nextel is the largest tenant on TowerCo sites, followed by AT&amp;T.</w:t>
      </w:r>
      <w:r w:rsidRPr="00B53FFB">
        <w:rPr>
          <w:sz w:val="22"/>
          <w:szCs w:val="22"/>
          <w:vertAlign w:val="superscript"/>
        </w:rPr>
        <w:footnoteReference w:id="959"/>
      </w:r>
      <w:r w:rsidRPr="00B53FFB">
        <w:rPr>
          <w:sz w:val="22"/>
          <w:szCs w:val="22"/>
        </w:rPr>
        <w:t xml:space="preserve">  American Tower reported that its revenue increased 19.3 percent from December 31, 2010 to December 31, 2011;</w:t>
      </w:r>
      <w:r w:rsidRPr="00B53FFB">
        <w:rPr>
          <w:sz w:val="22"/>
          <w:szCs w:val="22"/>
          <w:vertAlign w:val="superscript"/>
        </w:rPr>
        <w:footnoteReference w:id="960"/>
      </w:r>
      <w:r w:rsidRPr="00B53FFB">
        <w:rPr>
          <w:sz w:val="22"/>
          <w:szCs w:val="22"/>
        </w:rPr>
        <w:t xml:space="preserve"> Crown Castle and SBA both reported increases in their revenues between December 31, 2010 and December 31, 2011 of 8 percent</w:t>
      </w:r>
      <w:r w:rsidRPr="00B53FFB">
        <w:rPr>
          <w:sz w:val="22"/>
          <w:szCs w:val="22"/>
          <w:vertAlign w:val="superscript"/>
        </w:rPr>
        <w:footnoteReference w:id="961"/>
      </w:r>
      <w:r w:rsidRPr="00B53FFB">
        <w:rPr>
          <w:sz w:val="22"/>
          <w:szCs w:val="22"/>
        </w:rPr>
        <w:t xml:space="preserve"> and 11 percent,</w:t>
      </w:r>
      <w:r w:rsidRPr="00B53FFB">
        <w:rPr>
          <w:sz w:val="22"/>
          <w:szCs w:val="22"/>
          <w:vertAlign w:val="superscript"/>
        </w:rPr>
        <w:footnoteReference w:id="962"/>
      </w:r>
      <w:r w:rsidRPr="00B53FFB">
        <w:rPr>
          <w:sz w:val="22"/>
          <w:szCs w:val="22"/>
        </w:rPr>
        <w:t xml:space="preserve"> respectively.  </w:t>
      </w:r>
    </w:p>
    <w:p w:rsidR="004A147C" w:rsidRPr="00B53FFB" w:rsidRDefault="004A147C" w:rsidP="00CE5850">
      <w:pPr>
        <w:pStyle w:val="ParaNum"/>
        <w:numPr>
          <w:ilvl w:val="0"/>
          <w:numId w:val="28"/>
        </w:numPr>
        <w:rPr>
          <w:sz w:val="22"/>
          <w:szCs w:val="22"/>
        </w:rPr>
      </w:pPr>
      <w:r w:rsidRPr="00B53FFB">
        <w:rPr>
          <w:sz w:val="22"/>
          <w:szCs w:val="22"/>
        </w:rPr>
        <w:t>T-Mobile is planning to raise $2 to $3 billion by selling the 7,000 towers that it owns.</w:t>
      </w:r>
      <w:r w:rsidRPr="00B53FFB">
        <w:rPr>
          <w:sz w:val="22"/>
          <w:szCs w:val="22"/>
          <w:vertAlign w:val="superscript"/>
        </w:rPr>
        <w:footnoteReference w:id="963"/>
      </w:r>
      <w:r w:rsidRPr="00B53FFB">
        <w:rPr>
          <w:sz w:val="22"/>
          <w:szCs w:val="22"/>
        </w:rPr>
        <w:t xml:space="preserve">    Crown Castle has been reported to be the leading bidder, and American Tower and Global Tower Partners are also interested parties.</w:t>
      </w:r>
      <w:r w:rsidRPr="00B53FFB">
        <w:rPr>
          <w:sz w:val="22"/>
          <w:szCs w:val="22"/>
          <w:vertAlign w:val="superscript"/>
        </w:rPr>
        <w:footnoteReference w:id="964"/>
      </w:r>
      <w:r w:rsidRPr="00B53FFB">
        <w:rPr>
          <w:sz w:val="22"/>
          <w:szCs w:val="22"/>
        </w:rPr>
        <w:t xml:space="preserve">  SBA Communications plans to acquire TowerCo for $1.45 billion.</w:t>
      </w:r>
      <w:r w:rsidRPr="00B53FFB">
        <w:rPr>
          <w:sz w:val="22"/>
          <w:szCs w:val="22"/>
          <w:vertAlign w:val="superscript"/>
        </w:rPr>
        <w:footnoteReference w:id="965"/>
      </w:r>
      <w:r w:rsidRPr="00B53FFB">
        <w:rPr>
          <w:sz w:val="22"/>
          <w:szCs w:val="22"/>
        </w:rPr>
        <w:t xml:space="preserve">  TowerCo owns 3,252 sites across 47 states and Puerto Rico, which will be added to SBA’s more than 12,000 owned and 5,000 managed sites.</w:t>
      </w:r>
      <w:r w:rsidRPr="00B53FFB">
        <w:rPr>
          <w:sz w:val="22"/>
          <w:szCs w:val="22"/>
          <w:vertAlign w:val="superscript"/>
        </w:rPr>
        <w:footnoteReference w:id="966"/>
      </w:r>
      <w:r w:rsidRPr="00B53FFB">
        <w:rPr>
          <w:sz w:val="22"/>
          <w:szCs w:val="22"/>
        </w:rPr>
        <w:t xml:space="preserve">  In 2012, SBA Communications paid $1.1 billion for select assets of Mobilite, including more than 2,300 tower sites in the United States.</w:t>
      </w:r>
      <w:r w:rsidRPr="00B53FFB">
        <w:rPr>
          <w:sz w:val="22"/>
          <w:szCs w:val="22"/>
          <w:vertAlign w:val="superscript"/>
        </w:rPr>
        <w:footnoteReference w:id="967"/>
      </w:r>
      <w:r w:rsidRPr="00B53FFB">
        <w:rPr>
          <w:sz w:val="22"/>
          <w:szCs w:val="22"/>
        </w:rPr>
        <w:t xml:space="preserve">    </w:t>
      </w:r>
    </w:p>
    <w:p w:rsidR="004A147C" w:rsidRPr="00B53FFB" w:rsidRDefault="004A147C" w:rsidP="00CE5850">
      <w:pPr>
        <w:pStyle w:val="Heading4"/>
        <w:keepNext w:val="0"/>
        <w:numPr>
          <w:ilvl w:val="3"/>
          <w:numId w:val="26"/>
        </w:numPr>
        <w:tabs>
          <w:tab w:val="left" w:pos="2880"/>
        </w:tabs>
        <w:rPr>
          <w:sz w:val="22"/>
          <w:szCs w:val="22"/>
        </w:rPr>
      </w:pPr>
      <w:bookmarkStart w:id="4834" w:name="_Toc337652013"/>
      <w:bookmarkStart w:id="4835" w:name="_Toc349577202"/>
      <w:bookmarkStart w:id="4836" w:name="_Toc349579294"/>
      <w:bookmarkStart w:id="4837" w:name="_Toc349580609"/>
      <w:bookmarkStart w:id="4838" w:name="_Toc349735017"/>
      <w:bookmarkStart w:id="4839" w:name="_Toc349742382"/>
      <w:r w:rsidRPr="00B53FFB">
        <w:rPr>
          <w:sz w:val="22"/>
          <w:szCs w:val="22"/>
        </w:rPr>
        <w:t>Infrastructure Costs</w:t>
      </w:r>
      <w:bookmarkEnd w:id="4834"/>
      <w:bookmarkEnd w:id="4835"/>
      <w:bookmarkEnd w:id="4836"/>
      <w:bookmarkEnd w:id="4837"/>
      <w:bookmarkEnd w:id="4838"/>
      <w:bookmarkEnd w:id="4839"/>
      <w:r w:rsidRPr="00B53FFB">
        <w:rPr>
          <w:sz w:val="22"/>
          <w:szCs w:val="22"/>
        </w:rPr>
        <w:t xml:space="preserve">  </w:t>
      </w:r>
    </w:p>
    <w:p w:rsidR="004A147C" w:rsidRPr="00B53FFB" w:rsidRDefault="004A147C" w:rsidP="00CE5850">
      <w:pPr>
        <w:pStyle w:val="ParaNum"/>
        <w:numPr>
          <w:ilvl w:val="0"/>
          <w:numId w:val="28"/>
        </w:numPr>
        <w:rPr>
          <w:sz w:val="22"/>
          <w:szCs w:val="22"/>
        </w:rPr>
      </w:pPr>
      <w:r w:rsidRPr="00B53FFB">
        <w:rPr>
          <w:sz w:val="22"/>
          <w:szCs w:val="22"/>
        </w:rPr>
        <w:t>Two significant constraints faced by wireless services providers that need to add or modify cell sites are obtaining the funds needed to finance the capital expenditure, and obtaining the necessary regulatory and zoning approvals from state and local authorities.</w:t>
      </w:r>
      <w:r w:rsidRPr="00B53FFB">
        <w:rPr>
          <w:sz w:val="22"/>
          <w:szCs w:val="22"/>
          <w:vertAlign w:val="superscript"/>
        </w:rPr>
        <w:footnoteReference w:id="968"/>
      </w:r>
      <w:r w:rsidRPr="00B53FFB">
        <w:rPr>
          <w:sz w:val="22"/>
          <w:szCs w:val="22"/>
        </w:rPr>
        <w:t xml:space="preserve">  </w:t>
      </w:r>
    </w:p>
    <w:p w:rsidR="004A147C" w:rsidRPr="00B53FFB" w:rsidRDefault="004A147C" w:rsidP="00CE5850">
      <w:pPr>
        <w:pStyle w:val="ParaNum"/>
        <w:numPr>
          <w:ilvl w:val="0"/>
          <w:numId w:val="28"/>
        </w:numPr>
        <w:rPr>
          <w:sz w:val="22"/>
          <w:szCs w:val="22"/>
        </w:rPr>
      </w:pPr>
      <w:r w:rsidRPr="00B53FFB">
        <w:rPr>
          <w:i/>
          <w:sz w:val="22"/>
          <w:szCs w:val="22"/>
        </w:rPr>
        <w:t>Facilities Siting Costs.</w:t>
      </w:r>
      <w:r w:rsidRPr="00B53FFB">
        <w:rPr>
          <w:sz w:val="22"/>
          <w:szCs w:val="22"/>
        </w:rPr>
        <w:t xml:space="preserve">  Excessive delays in the zoning approval process were the subject of a Petition for Declaratory Ruling filed by CTIA in 2008.  CTIA sought Commission assistance to alleviate unnecessary delays in the process of obtaining approval to construct a new cell site, or to modify an existing site.</w:t>
      </w:r>
      <w:r w:rsidRPr="00B53FFB">
        <w:rPr>
          <w:sz w:val="22"/>
          <w:szCs w:val="22"/>
          <w:vertAlign w:val="superscript"/>
        </w:rPr>
        <w:footnoteReference w:id="969"/>
      </w:r>
      <w:r w:rsidRPr="00B53FFB">
        <w:rPr>
          <w:sz w:val="22"/>
          <w:szCs w:val="22"/>
        </w:rPr>
        <w:t xml:space="preserve">  On November 18, 2009, the Commission adopted a Declaratory Ruling which, among other things, defined presumptively reasonable time parameters for state or local zoning authorities to decide whether or not to approve a cell site application.</w:t>
      </w:r>
      <w:r w:rsidRPr="00B53FFB">
        <w:rPr>
          <w:sz w:val="22"/>
          <w:szCs w:val="22"/>
          <w:vertAlign w:val="superscript"/>
        </w:rPr>
        <w:footnoteReference w:id="970"/>
      </w:r>
      <w:r w:rsidRPr="00B53FFB">
        <w:rPr>
          <w:sz w:val="22"/>
          <w:szCs w:val="22"/>
        </w:rPr>
        <w:t xml:space="preserve">  </w:t>
      </w:r>
    </w:p>
    <w:p w:rsidR="004A147C" w:rsidRPr="00B53FFB" w:rsidRDefault="004A147C" w:rsidP="00CE5850">
      <w:pPr>
        <w:pStyle w:val="ParaNum"/>
        <w:numPr>
          <w:ilvl w:val="0"/>
          <w:numId w:val="28"/>
        </w:numPr>
        <w:rPr>
          <w:sz w:val="22"/>
          <w:szCs w:val="22"/>
        </w:rPr>
      </w:pPr>
      <w:r w:rsidRPr="00B53FFB">
        <w:rPr>
          <w:sz w:val="22"/>
          <w:szCs w:val="22"/>
        </w:rPr>
        <w:t xml:space="preserve">In its comments to the Sixteenth Report </w:t>
      </w:r>
      <w:r w:rsidRPr="00B53FFB">
        <w:rPr>
          <w:i/>
          <w:sz w:val="22"/>
          <w:szCs w:val="22"/>
        </w:rPr>
        <w:t>Public Notice</w:t>
      </w:r>
      <w:r w:rsidRPr="00B53FFB">
        <w:rPr>
          <w:sz w:val="22"/>
          <w:szCs w:val="22"/>
        </w:rPr>
        <w:t>, PCIA argues that there continue to be significant burdens on wireless infrastructure deployment at the state and local levels.</w:t>
      </w:r>
      <w:r w:rsidRPr="00B53FFB">
        <w:rPr>
          <w:sz w:val="22"/>
          <w:szCs w:val="22"/>
          <w:vertAlign w:val="superscript"/>
        </w:rPr>
        <w:footnoteReference w:id="971"/>
      </w:r>
      <w:r w:rsidRPr="00B53FFB">
        <w:rPr>
          <w:sz w:val="22"/>
          <w:szCs w:val="22"/>
        </w:rPr>
        <w:t xml:space="preserve">  PCIA notes that some jurisdictions utilize a review process for collocations or modifications that requires the same amount of documentation and review as an entirely new tower.</w:t>
      </w:r>
      <w:r w:rsidRPr="00B53FFB">
        <w:rPr>
          <w:sz w:val="22"/>
          <w:szCs w:val="22"/>
          <w:vertAlign w:val="superscript"/>
        </w:rPr>
        <w:footnoteReference w:id="972"/>
      </w:r>
      <w:r w:rsidRPr="00B53FFB">
        <w:rPr>
          <w:sz w:val="22"/>
          <w:szCs w:val="22"/>
        </w:rPr>
        <w:t xml:space="preserve">  PCIA further notes that DAS deployments face particular delays in many areas due to a lack of familiarity with the nature and benefits of a DAS system as well as the fact that a single system may cross jurisdictional boundaries or utilize multiple rights of way with fragmented government responsibility, necessitating compliance with a patchwork of requirements.</w:t>
      </w:r>
      <w:r w:rsidRPr="00B53FFB">
        <w:rPr>
          <w:sz w:val="22"/>
          <w:szCs w:val="22"/>
          <w:vertAlign w:val="superscript"/>
        </w:rPr>
        <w:footnoteReference w:id="973"/>
      </w:r>
      <w:r w:rsidRPr="00B53FFB">
        <w:rPr>
          <w:sz w:val="22"/>
          <w:szCs w:val="22"/>
        </w:rPr>
        <w:t xml:space="preserve">  PCIA argues that, although the Commission has taken significant steps to reduce barriers to wireless infrastructure deployment and investment (including the Shot Clock Ruling</w:t>
      </w:r>
      <w:r w:rsidRPr="00B53FFB">
        <w:rPr>
          <w:sz w:val="22"/>
          <w:szCs w:val="22"/>
          <w:vertAlign w:val="superscript"/>
        </w:rPr>
        <w:footnoteReference w:id="974"/>
      </w:r>
      <w:r w:rsidRPr="00B53FFB">
        <w:rPr>
          <w:sz w:val="22"/>
          <w:szCs w:val="22"/>
        </w:rPr>
        <w:t xml:space="preserve"> and the Pole Attachment Order</w:t>
      </w:r>
      <w:r w:rsidRPr="00B53FFB">
        <w:rPr>
          <w:sz w:val="22"/>
          <w:szCs w:val="22"/>
          <w:vertAlign w:val="superscript"/>
        </w:rPr>
        <w:footnoteReference w:id="975"/>
      </w:r>
      <w:r w:rsidRPr="00B53FFB">
        <w:rPr>
          <w:sz w:val="22"/>
          <w:szCs w:val="22"/>
        </w:rPr>
        <w:t>), more needs to be done.</w:t>
      </w:r>
      <w:r w:rsidRPr="00B53FFB">
        <w:rPr>
          <w:sz w:val="22"/>
          <w:szCs w:val="22"/>
          <w:vertAlign w:val="superscript"/>
        </w:rPr>
        <w:footnoteReference w:id="976"/>
      </w:r>
      <w:r w:rsidRPr="00B53FFB">
        <w:rPr>
          <w:sz w:val="22"/>
          <w:szCs w:val="22"/>
        </w:rPr>
        <w:t xml:space="preserve">    </w:t>
      </w:r>
    </w:p>
    <w:p w:rsidR="004A147C" w:rsidRPr="00B53FFB" w:rsidRDefault="004A147C" w:rsidP="00CE5850">
      <w:pPr>
        <w:pStyle w:val="ParaNum"/>
        <w:numPr>
          <w:ilvl w:val="0"/>
          <w:numId w:val="28"/>
        </w:numPr>
        <w:rPr>
          <w:sz w:val="22"/>
          <w:szCs w:val="22"/>
        </w:rPr>
      </w:pPr>
      <w:r w:rsidRPr="00B53FFB">
        <w:rPr>
          <w:i/>
          <w:sz w:val="22"/>
          <w:szCs w:val="22"/>
        </w:rPr>
        <w:t>Tower Costs.</w:t>
      </w:r>
      <w:r w:rsidRPr="00B53FFB">
        <w:rPr>
          <w:sz w:val="22"/>
          <w:szCs w:val="22"/>
        </w:rPr>
        <w:t xml:space="preserve">  Collocating base station equipment on existing structures is often the most efficient and economical solution for mobile wireless service providers that need new cell sites, either to expand their existing coverage area, increase their capacity, or deploy 4G broadband services.  PCIA estimates that the average cost to build a new tower is between $250,000 and $300,000, whereas the average deployment cost for a collocation is between $25,000 and $30,000.</w:t>
      </w:r>
      <w:r w:rsidRPr="00B53FFB">
        <w:rPr>
          <w:sz w:val="22"/>
          <w:szCs w:val="22"/>
          <w:vertAlign w:val="superscript"/>
        </w:rPr>
        <w:footnoteReference w:id="977"/>
      </w:r>
      <w:r w:rsidRPr="00B53FFB">
        <w:rPr>
          <w:sz w:val="22"/>
          <w:szCs w:val="22"/>
        </w:rPr>
        <w:t xml:space="preserve">  Collocation is also commonly encouraged by zoning authorities to reduce the number of new communications towers.</w:t>
      </w:r>
      <w:r w:rsidRPr="00B53FFB">
        <w:rPr>
          <w:sz w:val="22"/>
          <w:szCs w:val="22"/>
          <w:vertAlign w:val="superscript"/>
        </w:rPr>
        <w:footnoteReference w:id="978"/>
      </w:r>
      <w:r w:rsidRPr="00B53FFB">
        <w:rPr>
          <w:sz w:val="22"/>
          <w:szCs w:val="22"/>
        </w:rPr>
        <w:t xml:space="preserve">  Due to the high cost of constructing new towers, and the often considerable delay in obtaining approvals from state and local authorities, wireless service providers will typically look first for existing towers or other suitable structures for new cell sites.  Collocation is particularly useful in areas in which it is difficult to find locations to construct new towers.  American Tower Corporation, a large independent tower owner, states that even for its towers that are currently at or near full structural capacity, the vast majority can be upgraded or augmented to meet future tenant demand with relatively modest capital investment.</w:t>
      </w:r>
      <w:r w:rsidRPr="00B53FFB">
        <w:rPr>
          <w:sz w:val="22"/>
          <w:szCs w:val="22"/>
          <w:vertAlign w:val="superscript"/>
        </w:rPr>
        <w:footnoteReference w:id="979"/>
      </w:r>
      <w:r w:rsidRPr="00B53FFB">
        <w:rPr>
          <w:sz w:val="22"/>
          <w:szCs w:val="22"/>
        </w:rPr>
        <w:t xml:space="preserve">  Recent legislation requiring state and local governments to approve eligible requests for modification of existing wireless towers or base stations may further enhance the advantages of collocation for wireless service providers.</w:t>
      </w:r>
      <w:r w:rsidRPr="00B53FFB">
        <w:rPr>
          <w:rStyle w:val="FootnoteReference"/>
          <w:szCs w:val="22"/>
        </w:rPr>
        <w:footnoteReference w:id="980"/>
      </w:r>
    </w:p>
    <w:p w:rsidR="004A147C" w:rsidRPr="00B53FFB" w:rsidRDefault="004A147C" w:rsidP="00CE5850">
      <w:pPr>
        <w:pStyle w:val="Heading3"/>
        <w:keepNext w:val="0"/>
        <w:numPr>
          <w:ilvl w:val="2"/>
          <w:numId w:val="26"/>
        </w:numPr>
        <w:rPr>
          <w:sz w:val="22"/>
          <w:szCs w:val="22"/>
        </w:rPr>
      </w:pPr>
      <w:bookmarkStart w:id="4840" w:name="_Toc337652014"/>
      <w:bookmarkStart w:id="4841" w:name="_Toc349577203"/>
      <w:bookmarkStart w:id="4842" w:name="_Toc349579295"/>
      <w:bookmarkStart w:id="4843" w:name="_Toc349580610"/>
      <w:bookmarkStart w:id="4844" w:name="_Toc349735018"/>
      <w:bookmarkStart w:id="4845" w:name="_Toc349742383"/>
      <w:bookmarkStart w:id="4846" w:name="_Toc255571782"/>
      <w:bookmarkStart w:id="4847" w:name="_Ref256587695"/>
      <w:bookmarkStart w:id="4848" w:name="_Ref256587697"/>
      <w:bookmarkStart w:id="4849" w:name="_Toc261610813"/>
      <w:bookmarkStart w:id="4850" w:name="_Toc261858560"/>
      <w:bookmarkStart w:id="4851" w:name="_Toc262034367"/>
      <w:bookmarkStart w:id="4852" w:name="_Toc262034470"/>
      <w:bookmarkStart w:id="4853" w:name="_Toc271288507"/>
      <w:bookmarkStart w:id="4854" w:name="_Toc275518026"/>
      <w:bookmarkStart w:id="4855" w:name="_Toc275952466"/>
      <w:bookmarkStart w:id="4856" w:name="_Toc276121898"/>
      <w:bookmarkStart w:id="4857" w:name="_Toc276480734"/>
      <w:bookmarkStart w:id="4858" w:name="_Toc276741812"/>
      <w:bookmarkStart w:id="4859" w:name="_Toc277171576"/>
      <w:bookmarkStart w:id="4860" w:name="_Toc277864551"/>
      <w:bookmarkStart w:id="4861" w:name="_Toc277864767"/>
      <w:bookmarkStart w:id="4862" w:name="_Toc285810448"/>
      <w:bookmarkStart w:id="4863" w:name="_Toc287257845"/>
      <w:bookmarkStart w:id="4864" w:name="_Toc291758722"/>
      <w:bookmarkStart w:id="4865" w:name="_Toc291758825"/>
      <w:bookmarkStart w:id="4866" w:name="_Toc295393005"/>
      <w:bookmarkStart w:id="4867" w:name="_Toc329262536"/>
      <w:bookmarkStart w:id="4868" w:name="_Toc329852443"/>
      <w:bookmarkStart w:id="4869" w:name="_Toc331766358"/>
      <w:bookmarkStart w:id="4870" w:name="_Toc332119162"/>
      <w:bookmarkStart w:id="4871" w:name="_Toc334088830"/>
      <w:bookmarkStart w:id="4872" w:name="_Toc334089066"/>
      <w:bookmarkStart w:id="4873" w:name="_Toc334089225"/>
      <w:bookmarkStart w:id="4874" w:name="_Toc334089336"/>
      <w:bookmarkStart w:id="4875" w:name="_Toc334089500"/>
      <w:bookmarkStart w:id="4876" w:name="_Toc336268642"/>
      <w:bookmarkStart w:id="4877" w:name="_Toc336268750"/>
      <w:bookmarkStart w:id="4878" w:name="_Toc336268857"/>
      <w:bookmarkStart w:id="4879" w:name="_Toc336269071"/>
      <w:bookmarkStart w:id="4880" w:name="_Toc336269178"/>
      <w:bookmarkStart w:id="4881" w:name="_Toc336269546"/>
      <w:bookmarkStart w:id="4882" w:name="_Toc336269692"/>
      <w:bookmarkStart w:id="4883" w:name="_Toc336270105"/>
      <w:bookmarkStart w:id="4884" w:name="_Toc336271305"/>
      <w:r w:rsidRPr="00B53FFB">
        <w:rPr>
          <w:sz w:val="22"/>
          <w:szCs w:val="22"/>
        </w:rPr>
        <w:t>Backhaul Facilities</w:t>
      </w:r>
      <w:bookmarkEnd w:id="4840"/>
      <w:bookmarkEnd w:id="4841"/>
      <w:bookmarkEnd w:id="4842"/>
      <w:bookmarkEnd w:id="4843"/>
      <w:bookmarkEnd w:id="4844"/>
      <w:bookmarkEnd w:id="4845"/>
      <w:r w:rsidRPr="00B53FFB">
        <w:rPr>
          <w:sz w:val="22"/>
          <w:szCs w:val="22"/>
        </w:rPr>
        <w:t xml:space="preserve"> </w:t>
      </w:r>
    </w:p>
    <w:p w:rsidR="004A147C" w:rsidRPr="00B53FFB" w:rsidRDefault="004A147C" w:rsidP="00CE5850">
      <w:pPr>
        <w:pStyle w:val="Heading4"/>
        <w:keepNext w:val="0"/>
        <w:numPr>
          <w:ilvl w:val="3"/>
          <w:numId w:val="26"/>
        </w:numPr>
        <w:tabs>
          <w:tab w:val="left" w:pos="2880"/>
        </w:tabs>
        <w:rPr>
          <w:sz w:val="22"/>
          <w:szCs w:val="22"/>
        </w:rPr>
      </w:pPr>
      <w:bookmarkStart w:id="4885" w:name="_Toc337652015"/>
      <w:bookmarkStart w:id="4886" w:name="_Toc349577204"/>
      <w:bookmarkStart w:id="4887" w:name="_Toc349579296"/>
      <w:bookmarkStart w:id="4888" w:name="_Toc349580611"/>
      <w:bookmarkStart w:id="4889" w:name="_Toc349735019"/>
      <w:bookmarkStart w:id="4890" w:name="_Toc349742384"/>
      <w:r w:rsidRPr="00B53FFB">
        <w:rPr>
          <w:sz w:val="22"/>
          <w:szCs w:val="22"/>
        </w:rPr>
        <w:t>Background</w:t>
      </w:r>
      <w:bookmarkEnd w:id="4885"/>
      <w:bookmarkEnd w:id="4886"/>
      <w:bookmarkEnd w:id="4887"/>
      <w:bookmarkEnd w:id="4888"/>
      <w:bookmarkEnd w:id="4889"/>
      <w:bookmarkEnd w:id="4890"/>
    </w:p>
    <w:p w:rsidR="004A147C" w:rsidRPr="00B53FFB" w:rsidRDefault="004A147C" w:rsidP="00CE5850">
      <w:pPr>
        <w:pStyle w:val="ParaNum"/>
        <w:numPr>
          <w:ilvl w:val="0"/>
          <w:numId w:val="28"/>
        </w:numPr>
        <w:rPr>
          <w:sz w:val="22"/>
          <w:szCs w:val="22"/>
        </w:rPr>
      </w:pPr>
      <w:r w:rsidRPr="00B53FFB">
        <w:rPr>
          <w:sz w:val="22"/>
          <w:szCs w:val="22"/>
        </w:rPr>
        <w:t>Backhaul connections are an integral component of a wireless service provider’s network.  Backhaul facilities link a mobile wireless service provider’s cell sites to the mobile switching centers that provide connections to the mobile wireless service provider’s core network, the public switched telephone network, or the Internet, carrying wireless voice and data traffic for routing and onward transmission.  Mobile backhaul needs will keep increasing as wireless carriers continue to deploy LTE technology in their networks.</w:t>
      </w:r>
      <w:r w:rsidRPr="00B53FFB">
        <w:rPr>
          <w:rStyle w:val="FootnoteReference"/>
          <w:szCs w:val="22"/>
        </w:rPr>
        <w:footnoteReference w:id="981"/>
      </w:r>
      <w:r w:rsidRPr="00B53FFB">
        <w:rPr>
          <w:sz w:val="22"/>
          <w:szCs w:val="22"/>
        </w:rPr>
        <w:t xml:space="preserve">  In addition, the growing use of small-cell technologies (e.g. microcells, picocells, and femtocells) will increase demand for mobile backhaul.</w:t>
      </w:r>
      <w:r w:rsidRPr="00B53FFB">
        <w:rPr>
          <w:rStyle w:val="FootnoteReference"/>
          <w:szCs w:val="22"/>
        </w:rPr>
        <w:footnoteReference w:id="982"/>
      </w:r>
      <w:r w:rsidRPr="00B53FFB">
        <w:rPr>
          <w:sz w:val="22"/>
          <w:szCs w:val="22"/>
        </w:rPr>
        <w:t xml:space="preserve">  Average macrocell backhaul requirements were 10 Mbps in 2008.  In less than three years, they have more than tripled to 35 Mbps in 2011, and by 2015 they will reach 100 Mbps.</w:t>
      </w:r>
      <w:r w:rsidRPr="00B53FFB">
        <w:rPr>
          <w:rStyle w:val="FootnoteReference"/>
          <w:szCs w:val="22"/>
        </w:rPr>
        <w:footnoteReference w:id="983"/>
      </w:r>
      <w:r w:rsidRPr="00B53FFB">
        <w:rPr>
          <w:sz w:val="22"/>
          <w:szCs w:val="22"/>
        </w:rPr>
        <w:t xml:space="preserve">  </w:t>
      </w:r>
      <w:r w:rsidRPr="00B53FFB">
        <w:rPr>
          <w:sz w:val="22"/>
          <w:szCs w:val="22"/>
          <w:lang w:eastAsia="zh-CN"/>
        </w:rPr>
        <w:t xml:space="preserve">The overall size </w:t>
      </w:r>
      <w:r w:rsidRPr="00B53FFB">
        <w:rPr>
          <w:sz w:val="22"/>
          <w:szCs w:val="22"/>
        </w:rPr>
        <w:t>for the backhaul market is expected to increase significantly.</w:t>
      </w:r>
      <w:r w:rsidRPr="00B53FFB">
        <w:rPr>
          <w:rStyle w:val="FootnoteReference"/>
          <w:szCs w:val="22"/>
        </w:rPr>
        <w:footnoteReference w:id="984"/>
      </w:r>
      <w:r w:rsidRPr="00B53FFB">
        <w:rPr>
          <w:sz w:val="22"/>
          <w:szCs w:val="22"/>
        </w:rPr>
        <w:t xml:space="preserve">  One study estimates that the size of the backhaul market will grow from $3 billion annually to $8 to $10 billion in the next three to five years, driven in large part by increases in wireless data traffic.  Infonetics Research projects that telecom service providers will collectively spend at least $8.2 billion annually to deploy backhaul infrastructure for mobile wireless networks by 2014.</w:t>
      </w:r>
      <w:r w:rsidRPr="00B53FFB">
        <w:rPr>
          <w:rStyle w:val="FootnoteReference"/>
          <w:szCs w:val="22"/>
        </w:rPr>
        <w:footnoteReference w:id="985"/>
      </w:r>
      <w:r w:rsidRPr="00B53FFB">
        <w:rPr>
          <w:sz w:val="22"/>
          <w:szCs w:val="22"/>
        </w:rPr>
        <w:t xml:space="preserve">  </w:t>
      </w:r>
    </w:p>
    <w:p w:rsidR="004A147C" w:rsidRPr="00B53FFB" w:rsidRDefault="004A147C" w:rsidP="00CE5850">
      <w:pPr>
        <w:pStyle w:val="ParaNum"/>
        <w:numPr>
          <w:ilvl w:val="0"/>
          <w:numId w:val="28"/>
        </w:numPr>
        <w:rPr>
          <w:sz w:val="22"/>
          <w:szCs w:val="22"/>
        </w:rPr>
      </w:pPr>
      <w:r w:rsidRPr="00B53FFB">
        <w:rPr>
          <w:sz w:val="22"/>
          <w:szCs w:val="22"/>
        </w:rPr>
        <w:t>Currently, there are three major physical mediums for backhaul transmission links: copper, microwave radio, and optical fiber links.</w:t>
      </w:r>
      <w:r w:rsidRPr="00B53FFB">
        <w:rPr>
          <w:rStyle w:val="FootnoteReference"/>
          <w:szCs w:val="22"/>
        </w:rPr>
        <w:footnoteReference w:id="986"/>
      </w:r>
      <w:r w:rsidRPr="00B53FFB">
        <w:rPr>
          <w:sz w:val="22"/>
          <w:szCs w:val="22"/>
        </w:rPr>
        <w:t xml:space="preserve">  Traditional copper-based T1</w:t>
      </w:r>
      <w:r w:rsidRPr="00B53FFB">
        <w:rPr>
          <w:rStyle w:val="FootnoteReference"/>
          <w:szCs w:val="22"/>
        </w:rPr>
        <w:footnoteReference w:id="987"/>
      </w:r>
      <w:r w:rsidRPr="00B53FFB">
        <w:rPr>
          <w:sz w:val="22"/>
          <w:szCs w:val="22"/>
        </w:rPr>
        <w:t xml:space="preserve"> or DS3</w:t>
      </w:r>
      <w:r w:rsidRPr="00B53FFB">
        <w:rPr>
          <w:rStyle w:val="FootnoteReference"/>
          <w:szCs w:val="22"/>
        </w:rPr>
        <w:footnoteReference w:id="988"/>
      </w:r>
      <w:r w:rsidRPr="00B53FFB">
        <w:rPr>
          <w:sz w:val="22"/>
          <w:szCs w:val="22"/>
        </w:rPr>
        <w:t xml:space="preserve"> backhaul facilities that were built for voice communications are increasingly strained and less efficient or cost-effective for packet-based data communications or video streaming.</w:t>
      </w:r>
      <w:r w:rsidRPr="00B53FFB">
        <w:rPr>
          <w:rStyle w:val="FootnoteReference"/>
          <w:szCs w:val="22"/>
        </w:rPr>
        <w:footnoteReference w:id="989"/>
      </w:r>
      <w:r w:rsidRPr="00B53FFB">
        <w:rPr>
          <w:sz w:val="22"/>
          <w:szCs w:val="22"/>
        </w:rPr>
        <w:t xml:space="preserve"> Although copper transmission remains critical to the operations of wireless carriers, reliance on copper is declining due to the growth in mobile subscribers, smartphones, and wireless broadband data services.</w:t>
      </w:r>
      <w:r w:rsidRPr="00B53FFB">
        <w:rPr>
          <w:rStyle w:val="FootnoteReference"/>
          <w:szCs w:val="22"/>
        </w:rPr>
        <w:footnoteReference w:id="990"/>
      </w:r>
      <w:r w:rsidRPr="00B53FFB">
        <w:rPr>
          <w:sz w:val="22"/>
          <w:szCs w:val="22"/>
        </w:rPr>
        <w:t xml:space="preserve"> Today’s data-centric wireless broadband services demand higher capacity, scalable, and cost-efficient backhaul links such as fiber and microwave links, where available.</w:t>
      </w:r>
      <w:r w:rsidRPr="00B53FFB">
        <w:rPr>
          <w:rStyle w:val="FootnoteReference"/>
          <w:szCs w:val="22"/>
        </w:rPr>
        <w:footnoteReference w:id="991"/>
      </w:r>
      <w:r w:rsidRPr="00B53FFB">
        <w:rPr>
          <w:sz w:val="22"/>
          <w:szCs w:val="22"/>
        </w:rPr>
        <w:t xml:space="preserve">  Optical fiber links may be deployed in urban and suburban locations characterized by high traffic density, whereas microwave radio (and even satellite) links may be used where fiber links are hard to deploy. </w:t>
      </w:r>
      <w:r>
        <w:rPr>
          <w:sz w:val="22"/>
          <w:szCs w:val="22"/>
        </w:rPr>
        <w:t xml:space="preserve"> </w:t>
      </w:r>
      <w:r w:rsidRPr="00B53FFB">
        <w:rPr>
          <w:sz w:val="22"/>
          <w:szCs w:val="22"/>
        </w:rPr>
        <w:t>The expected mass deployment of small cells will likely drive demand for new radio-based backhaul technologies.</w:t>
      </w:r>
      <w:r w:rsidRPr="00B53FFB">
        <w:rPr>
          <w:rStyle w:val="FootnoteReference"/>
          <w:szCs w:val="22"/>
        </w:rPr>
        <w:footnoteReference w:id="992"/>
      </w:r>
      <w:r w:rsidRPr="00B53FFB">
        <w:rPr>
          <w:sz w:val="22"/>
          <w:szCs w:val="22"/>
        </w:rPr>
        <w:t xml:space="preserve">  For example, one study estimated that 44 percent of backhaul traffic in 2012 would be carried via copper, 13 percent via fiber, and 40 percent via microwave.</w:t>
      </w:r>
      <w:r w:rsidRPr="00B53FFB">
        <w:rPr>
          <w:rStyle w:val="FootnoteReference"/>
          <w:szCs w:val="22"/>
        </w:rPr>
        <w:footnoteReference w:id="993"/>
      </w:r>
      <w:r w:rsidRPr="00B53FFB">
        <w:rPr>
          <w:sz w:val="22"/>
          <w:szCs w:val="22"/>
        </w:rPr>
        <w:t xml:space="preserve">  In comparison, in 2005, 85.5 percent of backhaul traffic was carried via copper, 5.8 percent via fiber, and 8.7 percent via fixed wireless.</w:t>
      </w:r>
      <w:r w:rsidRPr="00B53FFB">
        <w:rPr>
          <w:rStyle w:val="FootnoteReference"/>
          <w:szCs w:val="22"/>
        </w:rPr>
        <w:t xml:space="preserve"> </w:t>
      </w:r>
      <w:r w:rsidRPr="00B53FFB">
        <w:rPr>
          <w:rStyle w:val="FootnoteReference"/>
          <w:szCs w:val="22"/>
        </w:rPr>
        <w:footnoteReference w:id="994"/>
      </w:r>
      <w:r w:rsidRPr="00B53FFB">
        <w:rPr>
          <w:sz w:val="22"/>
          <w:szCs w:val="22"/>
        </w:rPr>
        <w:t xml:space="preserve">  Another study projects that in North America, microwave radio’s share of backhaul connections will increase from about 15 percent in 2011 to at least 25 percent in 2015.</w:t>
      </w:r>
      <w:r w:rsidRPr="00B53FFB">
        <w:rPr>
          <w:rStyle w:val="FootnoteReference"/>
          <w:szCs w:val="22"/>
        </w:rPr>
        <w:footnoteReference w:id="995"/>
      </w:r>
      <w:r w:rsidRPr="00B53FFB">
        <w:rPr>
          <w:sz w:val="22"/>
          <w:szCs w:val="22"/>
        </w:rPr>
        <w:t xml:space="preserve"> </w:t>
      </w:r>
    </w:p>
    <w:p w:rsidR="004A147C" w:rsidRPr="00B53FFB" w:rsidRDefault="004A147C" w:rsidP="00CE5850">
      <w:pPr>
        <w:pStyle w:val="Heading4"/>
        <w:keepNext w:val="0"/>
        <w:numPr>
          <w:ilvl w:val="3"/>
          <w:numId w:val="26"/>
        </w:numPr>
        <w:tabs>
          <w:tab w:val="left" w:pos="2880"/>
        </w:tabs>
        <w:rPr>
          <w:sz w:val="22"/>
          <w:szCs w:val="22"/>
        </w:rPr>
      </w:pPr>
      <w:bookmarkStart w:id="4891" w:name="_Toc337652016"/>
      <w:bookmarkStart w:id="4892" w:name="_Toc349577205"/>
      <w:bookmarkStart w:id="4893" w:name="_Toc349579297"/>
      <w:bookmarkStart w:id="4894" w:name="_Toc349580612"/>
      <w:bookmarkStart w:id="4895" w:name="_Toc349735020"/>
      <w:bookmarkStart w:id="4896" w:name="_Toc349742385"/>
      <w:r w:rsidRPr="00B53FFB">
        <w:rPr>
          <w:sz w:val="22"/>
          <w:szCs w:val="22"/>
        </w:rPr>
        <w:t>Demand for Backhaul</w:t>
      </w:r>
      <w:bookmarkEnd w:id="4891"/>
      <w:bookmarkEnd w:id="4892"/>
      <w:bookmarkEnd w:id="4893"/>
      <w:bookmarkEnd w:id="4894"/>
      <w:bookmarkEnd w:id="4895"/>
      <w:bookmarkEnd w:id="4896"/>
      <w:r w:rsidRPr="00B53FFB">
        <w:rPr>
          <w:sz w:val="22"/>
          <w:szCs w:val="22"/>
        </w:rPr>
        <w:t xml:space="preserve"> </w:t>
      </w:r>
    </w:p>
    <w:p w:rsidR="004A147C" w:rsidRPr="00B53FFB" w:rsidRDefault="004A147C" w:rsidP="00CE5850">
      <w:pPr>
        <w:pStyle w:val="ParaNum"/>
        <w:numPr>
          <w:ilvl w:val="0"/>
          <w:numId w:val="28"/>
        </w:numPr>
        <w:rPr>
          <w:sz w:val="22"/>
          <w:szCs w:val="22"/>
          <w:lang w:eastAsia="zh-CN"/>
        </w:rPr>
      </w:pPr>
      <w:r w:rsidRPr="00B53FFB">
        <w:rPr>
          <w:sz w:val="22"/>
          <w:szCs w:val="22"/>
        </w:rPr>
        <w:t>Several recent trends in the mobile wireless industry have led to increased demands on backhaul capacity, making access to sufficient backhaul an increasingly central component of a mobile wireless provider’s overall performance.  First, the increased adoption of Internet-connected mobile computing devices, incorporating such advanced functionalities as video and Internet browsing, is consuming greater amounts of bandwidth.  As the smartphone penetration rate increases, bandwidth-consuming data services are becoming an increasing percentage of a mobile wireless provider’s overall traffic.</w:t>
      </w:r>
      <w:r w:rsidRPr="00B53FFB">
        <w:rPr>
          <w:rStyle w:val="FootnoteReference"/>
          <w:szCs w:val="22"/>
        </w:rPr>
        <w:footnoteReference w:id="996"/>
      </w:r>
      <w:r w:rsidRPr="00B53FFB">
        <w:rPr>
          <w:sz w:val="22"/>
          <w:szCs w:val="22"/>
        </w:rPr>
        <w:t xml:space="preserve">  It is estimated that mobile data traffic more than doubled from 226.5 billion MB in the last six months of 2010 to 525.7 billion MB in the second half of 2011.</w:t>
      </w:r>
      <w:r w:rsidRPr="00B53FFB">
        <w:rPr>
          <w:rStyle w:val="FootnoteReference"/>
          <w:szCs w:val="22"/>
        </w:rPr>
        <w:footnoteReference w:id="997"/>
      </w:r>
      <w:r w:rsidRPr="00B53FFB">
        <w:rPr>
          <w:sz w:val="22"/>
          <w:szCs w:val="22"/>
        </w:rPr>
        <w:t xml:space="preserve">  Second, the proliferation of fixed-rate mobile Internet access plans facilitates increased consumption of services and bandwidth.</w:t>
      </w:r>
      <w:r w:rsidRPr="00B53FFB">
        <w:rPr>
          <w:rStyle w:val="FootnoteReference"/>
          <w:szCs w:val="22"/>
        </w:rPr>
        <w:footnoteReference w:id="998"/>
      </w:r>
      <w:r w:rsidRPr="00B53FFB">
        <w:rPr>
          <w:sz w:val="22"/>
          <w:szCs w:val="22"/>
        </w:rPr>
        <w:t xml:space="preserve">  AT&amp;T reported that its wireless data traffic doubled from 2010 to 2011 and that it has grown 20,000 percent over the past five years.</w:t>
      </w:r>
      <w:r w:rsidRPr="00B53FFB">
        <w:rPr>
          <w:rStyle w:val="FootnoteReference"/>
          <w:szCs w:val="22"/>
        </w:rPr>
        <w:footnoteReference w:id="999"/>
      </w:r>
      <w:r w:rsidRPr="00B53FFB">
        <w:rPr>
          <w:sz w:val="22"/>
          <w:szCs w:val="22"/>
        </w:rPr>
        <w:t xml:space="preserve">  Apple Inc. has doubled the sale of its iPhones each year since 2008.</w:t>
      </w:r>
      <w:r w:rsidRPr="00B53FFB">
        <w:rPr>
          <w:rStyle w:val="FootnoteReference"/>
          <w:szCs w:val="22"/>
        </w:rPr>
        <w:footnoteReference w:id="1000"/>
      </w:r>
      <w:r w:rsidRPr="00B53FFB">
        <w:rPr>
          <w:sz w:val="22"/>
          <w:szCs w:val="22"/>
        </w:rPr>
        <w:t xml:space="preserve">  Third, mobile wireless network data speeds have increased as new technologies have been deployed, with current and future launches of LTE networks supporting even higher data throughput rates and lower latencies. As wireless data traffic increases, it consumes greater bandwidth. </w:t>
      </w:r>
    </w:p>
    <w:p w:rsidR="004A147C" w:rsidRPr="00B53FFB" w:rsidRDefault="004A147C" w:rsidP="00CE5850">
      <w:pPr>
        <w:pStyle w:val="ParaNum"/>
        <w:numPr>
          <w:ilvl w:val="0"/>
          <w:numId w:val="28"/>
        </w:numPr>
        <w:rPr>
          <w:sz w:val="22"/>
          <w:szCs w:val="22"/>
          <w:lang w:eastAsia="zh-CN"/>
        </w:rPr>
      </w:pPr>
      <w:r w:rsidRPr="00B53FFB" w:rsidDel="00E80F8D">
        <w:rPr>
          <w:sz w:val="22"/>
          <w:szCs w:val="22"/>
          <w:lang w:eastAsia="zh-CN"/>
        </w:rPr>
        <w:t xml:space="preserve"> </w:t>
      </w:r>
      <w:r w:rsidRPr="00B53FFB">
        <w:rPr>
          <w:sz w:val="22"/>
          <w:szCs w:val="22"/>
        </w:rPr>
        <w:t>Mobile wireless providers must have access to sufficient backhaul, in terms of capacity and speed, to avoid creating communications bottlenecks.</w:t>
      </w:r>
      <w:r w:rsidRPr="00B53FFB">
        <w:rPr>
          <w:rStyle w:val="FootnoteReference"/>
          <w:szCs w:val="22"/>
        </w:rPr>
        <w:footnoteReference w:id="1001"/>
      </w:r>
      <w:r w:rsidRPr="00B53FFB">
        <w:rPr>
          <w:sz w:val="22"/>
          <w:szCs w:val="22"/>
        </w:rPr>
        <w:t xml:space="preserve"> Although copper transmission remains critical to the operations of wireless carriers, mobile wireless carriers are often supplementing or replacing traditional TDM-over-copper facilities with fiber and microwave links, where available.</w:t>
      </w:r>
      <w:r w:rsidRPr="00B53FFB">
        <w:rPr>
          <w:rStyle w:val="FootnoteReference"/>
          <w:szCs w:val="22"/>
        </w:rPr>
        <w:footnoteReference w:id="1002"/>
      </w:r>
      <w:r w:rsidRPr="00B53FFB">
        <w:rPr>
          <w:sz w:val="22"/>
          <w:szCs w:val="22"/>
        </w:rPr>
        <w:t xml:space="preserve"> For example, AT&amp;T has upgraded its backhaul from T1- or DS3-based facilities to Ethernet-based facilities and almost 90 percent of its data traffic is on enhanced backhaul as of the second quarter of 2012.</w:t>
      </w:r>
      <w:r w:rsidRPr="00B53FFB">
        <w:rPr>
          <w:rStyle w:val="FootnoteReference"/>
          <w:szCs w:val="22"/>
        </w:rPr>
        <w:footnoteReference w:id="1003"/>
      </w:r>
      <w:r w:rsidRPr="00B53FFB">
        <w:rPr>
          <w:sz w:val="22"/>
          <w:szCs w:val="22"/>
        </w:rPr>
        <w:t xml:space="preserve"> T-Mobile has enhanced backhaul covering 100 percent of its 4G network, 95 percent of which (over 32,000 cell sites) is fiber backhaul.</w:t>
      </w:r>
      <w:r w:rsidRPr="00B53FFB">
        <w:rPr>
          <w:rStyle w:val="FootnoteReference"/>
          <w:szCs w:val="22"/>
        </w:rPr>
        <w:footnoteReference w:id="1004"/>
      </w:r>
      <w:r w:rsidRPr="00B53FFB">
        <w:rPr>
          <w:sz w:val="22"/>
          <w:szCs w:val="22"/>
        </w:rPr>
        <w:t xml:space="preserve"> In connection with its Network Vision Plan, Sprint is changing its backhaul architecture from microwave to a more cost-effective fiber backhaul.</w:t>
      </w:r>
      <w:r w:rsidRPr="00B53FFB">
        <w:rPr>
          <w:rStyle w:val="FootnoteReference"/>
          <w:szCs w:val="22"/>
        </w:rPr>
        <w:footnoteReference w:id="1005"/>
      </w:r>
      <w:r w:rsidRPr="00B53FFB">
        <w:rPr>
          <w:sz w:val="22"/>
          <w:szCs w:val="22"/>
        </w:rPr>
        <w:t xml:space="preserve"> C Spire has integrated Ethernet backhaul at more than 70 percent of its 360 plus cell sites slated for 4G LTE service as of July 2012.</w:t>
      </w:r>
      <w:r w:rsidRPr="00B53FFB">
        <w:rPr>
          <w:rStyle w:val="FootnoteReference"/>
          <w:szCs w:val="22"/>
        </w:rPr>
        <w:footnoteReference w:id="1006"/>
      </w:r>
      <w:r w:rsidRPr="00B53FFB">
        <w:rPr>
          <w:sz w:val="22"/>
          <w:szCs w:val="22"/>
        </w:rPr>
        <w:t xml:space="preserve"> Clearwire uses primarily microwave backhaul that significantly reduces its overall backhaul expenses and improves the scalability of its backhaul network.</w:t>
      </w:r>
      <w:r w:rsidRPr="00B53FFB">
        <w:rPr>
          <w:rStyle w:val="FootnoteReference"/>
          <w:szCs w:val="22"/>
        </w:rPr>
        <w:footnoteReference w:id="1007"/>
      </w:r>
    </w:p>
    <w:p w:rsidR="004A147C" w:rsidRPr="00B53FFB" w:rsidRDefault="004A147C" w:rsidP="00CE5850">
      <w:pPr>
        <w:pStyle w:val="Heading4"/>
        <w:keepNext w:val="0"/>
        <w:numPr>
          <w:ilvl w:val="3"/>
          <w:numId w:val="26"/>
        </w:numPr>
        <w:tabs>
          <w:tab w:val="left" w:pos="2880"/>
        </w:tabs>
        <w:rPr>
          <w:sz w:val="22"/>
          <w:szCs w:val="22"/>
        </w:rPr>
      </w:pPr>
      <w:bookmarkStart w:id="4897" w:name="_Toc337652017"/>
      <w:bookmarkStart w:id="4898" w:name="_Toc349577206"/>
      <w:bookmarkStart w:id="4899" w:name="_Toc349579298"/>
      <w:bookmarkStart w:id="4900" w:name="_Toc349580613"/>
      <w:bookmarkStart w:id="4901" w:name="_Toc349735021"/>
      <w:bookmarkStart w:id="4902" w:name="_Toc349742386"/>
      <w:r w:rsidRPr="00B53FFB">
        <w:rPr>
          <w:sz w:val="22"/>
          <w:szCs w:val="22"/>
        </w:rPr>
        <w:t>Supply of Backhaul</w:t>
      </w:r>
      <w:bookmarkEnd w:id="4897"/>
      <w:bookmarkEnd w:id="4898"/>
      <w:bookmarkEnd w:id="4899"/>
      <w:bookmarkEnd w:id="4900"/>
      <w:bookmarkEnd w:id="4901"/>
      <w:bookmarkEnd w:id="4902"/>
      <w:r w:rsidRPr="00B53FFB">
        <w:rPr>
          <w:sz w:val="22"/>
          <w:szCs w:val="22"/>
        </w:rPr>
        <w:t xml:space="preserve">  </w:t>
      </w:r>
    </w:p>
    <w:p w:rsidR="004A147C" w:rsidRPr="00B53FFB" w:rsidRDefault="004A147C" w:rsidP="00CE5850">
      <w:pPr>
        <w:pStyle w:val="ParaNum"/>
        <w:numPr>
          <w:ilvl w:val="0"/>
          <w:numId w:val="28"/>
        </w:numPr>
        <w:rPr>
          <w:sz w:val="22"/>
          <w:szCs w:val="22"/>
        </w:rPr>
      </w:pPr>
      <w:r w:rsidRPr="00B53FFB">
        <w:rPr>
          <w:sz w:val="22"/>
          <w:szCs w:val="22"/>
        </w:rPr>
        <w:t xml:space="preserve">Providers of backhaul services include incumbent local exchange carriers (ILECs) such as AT&amp;T, Verizon, and CenturyLink; competitive local exchange carriers (CLECs) such as Level 3, tw telecom inc., Cbeyond, Inc., and XO Communications, LLC; competitive </w:t>
      </w:r>
      <w:r w:rsidRPr="00B53FFB">
        <w:rPr>
          <w:sz w:val="22"/>
          <w:szCs w:val="22"/>
          <w:lang w:eastAsia="zh-CN"/>
        </w:rPr>
        <w:t>fiber and microwave</w:t>
      </w:r>
      <w:r w:rsidRPr="00B53FFB">
        <w:rPr>
          <w:sz w:val="22"/>
          <w:szCs w:val="22"/>
        </w:rPr>
        <w:t xml:space="preserve"> wholesalers such as Level 3, FPL FiberNet, IP Networks, and Zayo; cable providers such as Charter Communications, Comcast Business, Cox Carrier Services, and Time Warner Cable Business Class; independent backhaul operators, including backhaul specialists such as Telecom Transport Management, and Tower Cloud, and potentially some tower operators.</w:t>
      </w:r>
      <w:r w:rsidRPr="00B53FFB">
        <w:rPr>
          <w:rStyle w:val="FootnoteReference"/>
          <w:szCs w:val="22"/>
        </w:rPr>
        <w:footnoteReference w:id="1008"/>
      </w:r>
      <w:r w:rsidRPr="00B53FFB">
        <w:rPr>
          <w:sz w:val="22"/>
          <w:szCs w:val="22"/>
        </w:rPr>
        <w:t xml:space="preserve">  </w:t>
      </w:r>
    </w:p>
    <w:p w:rsidR="004A147C" w:rsidRPr="00B53FFB" w:rsidRDefault="004A147C" w:rsidP="00CE5850">
      <w:pPr>
        <w:pStyle w:val="Heading4"/>
        <w:keepNext w:val="0"/>
        <w:numPr>
          <w:ilvl w:val="3"/>
          <w:numId w:val="26"/>
        </w:numPr>
        <w:tabs>
          <w:tab w:val="left" w:pos="2880"/>
        </w:tabs>
        <w:rPr>
          <w:sz w:val="22"/>
          <w:szCs w:val="22"/>
        </w:rPr>
      </w:pPr>
      <w:bookmarkStart w:id="4903" w:name="_Toc337652018"/>
      <w:bookmarkStart w:id="4904" w:name="_Toc349577207"/>
      <w:bookmarkStart w:id="4905" w:name="_Toc349579299"/>
      <w:bookmarkStart w:id="4906" w:name="_Toc349580614"/>
      <w:bookmarkStart w:id="4907" w:name="_Toc349735022"/>
      <w:bookmarkStart w:id="4908" w:name="_Toc349742387"/>
      <w:r w:rsidRPr="00B53FFB">
        <w:rPr>
          <w:sz w:val="22"/>
          <w:szCs w:val="22"/>
        </w:rPr>
        <w:t>Costs</w:t>
      </w:r>
      <w:bookmarkEnd w:id="4903"/>
      <w:bookmarkEnd w:id="4904"/>
      <w:bookmarkEnd w:id="4905"/>
      <w:bookmarkEnd w:id="4906"/>
      <w:bookmarkEnd w:id="4907"/>
      <w:bookmarkEnd w:id="4908"/>
      <w:r w:rsidRPr="00B53FFB" w:rsidDel="008F4608">
        <w:rPr>
          <w:sz w:val="22"/>
          <w:szCs w:val="22"/>
        </w:rPr>
        <w:t xml:space="preserve"> </w:t>
      </w:r>
    </w:p>
    <w:p w:rsidR="004A147C" w:rsidRPr="00B53FFB" w:rsidRDefault="004A147C" w:rsidP="00CE5850">
      <w:pPr>
        <w:pStyle w:val="ParaNum"/>
        <w:numPr>
          <w:ilvl w:val="0"/>
          <w:numId w:val="28"/>
        </w:numPr>
        <w:rPr>
          <w:sz w:val="22"/>
          <w:szCs w:val="22"/>
        </w:rPr>
      </w:pPr>
      <w:r w:rsidRPr="00B53FFB">
        <w:rPr>
          <w:sz w:val="22"/>
          <w:szCs w:val="22"/>
        </w:rPr>
        <w:t>Backhaul constitutes a significant cost to mobile wireless service providers.</w:t>
      </w:r>
      <w:r w:rsidRPr="00B53FFB">
        <w:rPr>
          <w:rStyle w:val="FootnoteReference"/>
          <w:szCs w:val="22"/>
        </w:rPr>
        <w:footnoteReference w:id="1009"/>
      </w:r>
      <w:r w:rsidRPr="00B53FFB">
        <w:rPr>
          <w:sz w:val="22"/>
          <w:szCs w:val="22"/>
        </w:rPr>
        <w:t xml:space="preserve">  Estimates of average </w:t>
      </w:r>
      <w:r w:rsidRPr="00B53FFB">
        <w:rPr>
          <w:sz w:val="22"/>
          <w:szCs w:val="22"/>
          <w:lang w:eastAsia="zh-CN"/>
        </w:rPr>
        <w:t>monthly backhaul costs range from hundreds of dollars (for a T1 line) to several thousand dollars per month.</w:t>
      </w:r>
      <w:r w:rsidRPr="00B53FFB">
        <w:rPr>
          <w:rStyle w:val="FootnoteReference"/>
          <w:szCs w:val="22"/>
          <w:lang w:eastAsia="zh-CN"/>
        </w:rPr>
        <w:footnoteReference w:id="1010"/>
      </w:r>
      <w:r w:rsidRPr="00B53FFB">
        <w:rPr>
          <w:sz w:val="22"/>
          <w:szCs w:val="22"/>
          <w:lang w:eastAsia="zh-CN"/>
        </w:rPr>
        <w:t xml:space="preserve">  </w:t>
      </w:r>
      <w:r w:rsidRPr="00B53FFB">
        <w:rPr>
          <w:sz w:val="22"/>
          <w:szCs w:val="22"/>
        </w:rPr>
        <w:t xml:space="preserve">Based on estimates from Exalt Communications, a microwave backhaul equipment manufacturer and application provider, T1/E1 circuits provide 1.544/2.048 Mbps in each direction, with typical leasing prices ranging from US$150 to US$750 per month, depending upon location, and with a one-time set-up charge averaging US$625 per T1. </w:t>
      </w:r>
      <w:r>
        <w:rPr>
          <w:sz w:val="22"/>
          <w:szCs w:val="22"/>
        </w:rPr>
        <w:t xml:space="preserve"> </w:t>
      </w:r>
      <w:r w:rsidRPr="00B53FFB">
        <w:rPr>
          <w:sz w:val="22"/>
          <w:szCs w:val="22"/>
        </w:rPr>
        <w:t>The North American average price per T1 was US$337 per month in 2008.</w:t>
      </w:r>
      <w:r w:rsidRPr="00B53FFB">
        <w:rPr>
          <w:rStyle w:val="FootnoteReference"/>
          <w:szCs w:val="22"/>
          <w:lang w:eastAsia="zh-CN"/>
        </w:rPr>
        <w:footnoteReference w:id="1011"/>
      </w:r>
      <w:r w:rsidRPr="00B53FFB">
        <w:rPr>
          <w:sz w:val="22"/>
          <w:szCs w:val="22"/>
        </w:rPr>
        <w:t xml:space="preserve"> A 10 Mbps Ethernet-over-copper link, at distances of up to ~1.5 miles from the central office, was typically priced from US$950 to US$1,100 per month in 2008, with higher prices for guaranteed 99.999 percent availability.</w:t>
      </w:r>
      <w:r w:rsidRPr="00B53FFB">
        <w:rPr>
          <w:rStyle w:val="FootnoteReference"/>
          <w:szCs w:val="22"/>
          <w:lang w:eastAsia="zh-CN"/>
        </w:rPr>
        <w:footnoteReference w:id="1012"/>
      </w:r>
      <w:r w:rsidRPr="00B53FFB">
        <w:rPr>
          <w:sz w:val="22"/>
          <w:szCs w:val="22"/>
        </w:rPr>
        <w:t xml:space="preserve"> Typical lease rates for fiber OC-3</w:t>
      </w:r>
      <w:r w:rsidRPr="00B53FFB">
        <w:rPr>
          <w:rStyle w:val="FootnoteReference"/>
          <w:szCs w:val="22"/>
        </w:rPr>
        <w:footnoteReference w:id="1013"/>
      </w:r>
      <w:r w:rsidRPr="00B53FFB">
        <w:rPr>
          <w:sz w:val="22"/>
          <w:szCs w:val="22"/>
        </w:rPr>
        <w:t xml:space="preserve"> are US$4,000 to US$7,500 per month, with a North American average of US$5,536 per month and one time set-up charges averaging US$7,300 per OC-3 in 2008. </w:t>
      </w:r>
      <w:r>
        <w:rPr>
          <w:sz w:val="22"/>
          <w:szCs w:val="22"/>
        </w:rPr>
        <w:t xml:space="preserve"> </w:t>
      </w:r>
      <w:r w:rsidRPr="00B53FFB">
        <w:rPr>
          <w:sz w:val="22"/>
          <w:szCs w:val="22"/>
        </w:rPr>
        <w:t>Fiber optical transmission links with a data rate between 20 Mbps and 50 Mbps can be purchased for about $1,000 per month, and microwave backhaul links can be even cheaper than fiber on a per-megabit basis,</w:t>
      </w:r>
      <w:r w:rsidRPr="00B53FFB">
        <w:rPr>
          <w:rStyle w:val="FootnoteReference"/>
          <w:szCs w:val="22"/>
        </w:rPr>
        <w:footnoteReference w:id="1014"/>
      </w:r>
    </w:p>
    <w:p w:rsidR="004A147C" w:rsidRPr="00B53FFB" w:rsidRDefault="004A147C" w:rsidP="00CE5850">
      <w:pPr>
        <w:pStyle w:val="ParaNum"/>
        <w:numPr>
          <w:ilvl w:val="0"/>
          <w:numId w:val="28"/>
        </w:numPr>
        <w:rPr>
          <w:sz w:val="22"/>
          <w:szCs w:val="22"/>
        </w:rPr>
      </w:pPr>
      <w:r w:rsidRPr="00B53FFB">
        <w:rPr>
          <w:sz w:val="22"/>
          <w:szCs w:val="22"/>
        </w:rPr>
        <w:t>The cost of owning fiber ranges from US$40,000 to more than US$250,000 per mile, depending upon geography, soil characteristics and whether it is buried underground or strung overhead.</w:t>
      </w:r>
      <w:r w:rsidRPr="00B53FFB">
        <w:rPr>
          <w:rStyle w:val="FootnoteReference"/>
          <w:szCs w:val="22"/>
          <w:lang w:eastAsia="zh-CN"/>
        </w:rPr>
        <w:footnoteReference w:id="1015"/>
      </w:r>
      <w:r w:rsidRPr="00B53FFB">
        <w:rPr>
          <w:sz w:val="22"/>
          <w:szCs w:val="22"/>
        </w:rPr>
        <w:t xml:space="preserve">  To reduce the deployment cost and speed up the deployment, fiber backhaul providers often partner with local power companies and use the power company’s infrastructure to deploy fiber</w:t>
      </w:r>
      <w:r w:rsidRPr="00B53FFB">
        <w:rPr>
          <w:sz w:val="22"/>
          <w:szCs w:val="22"/>
          <w:lang w:eastAsia="zh-CN"/>
        </w:rPr>
        <w:t>.</w:t>
      </w:r>
      <w:r w:rsidRPr="00B53FFB">
        <w:rPr>
          <w:rStyle w:val="FootnoteReference"/>
          <w:szCs w:val="22"/>
        </w:rPr>
        <w:footnoteReference w:id="1016"/>
      </w:r>
      <w:r w:rsidRPr="00B53FFB">
        <w:rPr>
          <w:sz w:val="22"/>
          <w:szCs w:val="22"/>
          <w:lang w:eastAsia="zh-CN"/>
        </w:rPr>
        <w:t xml:space="preserve"> Fiber deployed along a utility’s infrastructure provides a redundant path to the incumbent local phone company (ILEC) fiber.</w:t>
      </w:r>
      <w:r w:rsidRPr="00B53FFB">
        <w:rPr>
          <w:rStyle w:val="FootnoteReference"/>
          <w:szCs w:val="22"/>
        </w:rPr>
        <w:footnoteReference w:id="1017"/>
      </w:r>
      <w:r w:rsidRPr="00B53FFB">
        <w:rPr>
          <w:sz w:val="22"/>
          <w:szCs w:val="22"/>
          <w:lang w:eastAsia="zh-CN"/>
        </w:rPr>
        <w:t xml:space="preserve">  </w:t>
      </w:r>
      <w:r w:rsidRPr="00B53FFB">
        <w:rPr>
          <w:sz w:val="22"/>
          <w:szCs w:val="22"/>
        </w:rPr>
        <w:t>The cost for microwave backhaul ranges from $13,000 for single bridge applications to $73,000 for ultra-high capacity, redundant installations</w:t>
      </w:r>
      <w:r w:rsidRPr="00B53FFB">
        <w:rPr>
          <w:sz w:val="22"/>
          <w:szCs w:val="22"/>
          <w:lang w:eastAsia="zh-CN"/>
        </w:rPr>
        <w:t>.</w:t>
      </w:r>
      <w:r w:rsidRPr="00B53FFB">
        <w:rPr>
          <w:rStyle w:val="FootnoteReference"/>
          <w:szCs w:val="22"/>
          <w:lang w:eastAsia="zh-CN"/>
        </w:rPr>
        <w:footnoteReference w:id="1018"/>
      </w:r>
      <w:r w:rsidRPr="00B53FFB">
        <w:rPr>
          <w:sz w:val="22"/>
          <w:szCs w:val="22"/>
          <w:lang w:eastAsia="zh-CN"/>
        </w:rPr>
        <w:t xml:space="preserve">  Another study estimates that the average microwave backhaul cost ranges from $16,000 for a single link to $30,000 for dual links (one of which is backup) and to $40,000 for a trunk (long haul) microwave link.</w:t>
      </w:r>
      <w:r w:rsidRPr="00B53FFB">
        <w:rPr>
          <w:rStyle w:val="FootnoteReference"/>
          <w:szCs w:val="22"/>
          <w:lang w:eastAsia="zh-CN"/>
        </w:rPr>
        <w:footnoteReference w:id="1019"/>
      </w:r>
      <w:r w:rsidRPr="00B53FFB">
        <w:rPr>
          <w:sz w:val="22"/>
          <w:szCs w:val="22"/>
          <w:lang w:eastAsia="zh-CN"/>
        </w:rPr>
        <w:t xml:space="preserve">  </w:t>
      </w:r>
    </w:p>
    <w:p w:rsidR="004A147C" w:rsidRPr="00B53FFB" w:rsidRDefault="004A147C" w:rsidP="00CE5850">
      <w:pPr>
        <w:pStyle w:val="Heading4"/>
        <w:keepNext w:val="0"/>
        <w:numPr>
          <w:ilvl w:val="3"/>
          <w:numId w:val="26"/>
        </w:numPr>
        <w:tabs>
          <w:tab w:val="left" w:pos="2880"/>
        </w:tabs>
        <w:rPr>
          <w:sz w:val="22"/>
          <w:szCs w:val="22"/>
        </w:rPr>
      </w:pPr>
      <w:bookmarkStart w:id="4909" w:name="_Toc337652019"/>
      <w:bookmarkStart w:id="4910" w:name="_Toc349577208"/>
      <w:bookmarkStart w:id="4911" w:name="_Toc349579300"/>
      <w:bookmarkStart w:id="4912" w:name="_Toc349580615"/>
      <w:bookmarkStart w:id="4913" w:name="_Toc349735023"/>
      <w:bookmarkStart w:id="4914" w:name="_Toc349742388"/>
      <w:r w:rsidRPr="00B53FFB">
        <w:rPr>
          <w:sz w:val="22"/>
          <w:szCs w:val="22"/>
        </w:rPr>
        <w:t>Recent FCC Initiatives on Backhaul</w:t>
      </w:r>
      <w:bookmarkEnd w:id="4909"/>
      <w:bookmarkEnd w:id="4910"/>
      <w:bookmarkEnd w:id="4911"/>
      <w:bookmarkEnd w:id="4912"/>
      <w:bookmarkEnd w:id="4913"/>
      <w:bookmarkEnd w:id="4914"/>
      <w:r w:rsidRPr="00B53FFB">
        <w:rPr>
          <w:sz w:val="22"/>
          <w:szCs w:val="22"/>
          <w:lang w:eastAsia="zh-CN"/>
        </w:rPr>
        <w:t xml:space="preserve"> </w:t>
      </w:r>
    </w:p>
    <w:p w:rsidR="004A147C" w:rsidRPr="00B53FFB" w:rsidRDefault="004A147C" w:rsidP="00CE5850">
      <w:pPr>
        <w:pStyle w:val="ParaNum"/>
        <w:numPr>
          <w:ilvl w:val="0"/>
          <w:numId w:val="28"/>
        </w:numPr>
        <w:rPr>
          <w:sz w:val="22"/>
          <w:szCs w:val="22"/>
        </w:rPr>
      </w:pPr>
      <w:r w:rsidRPr="00B53FFB">
        <w:rPr>
          <w:sz w:val="22"/>
          <w:szCs w:val="22"/>
        </w:rPr>
        <w:t>The Commission has recently examined issues related to backhaul including special access services and the use of microwave spectrum for backhaul services.  Special access services employ dedicated facilities provided by incumbent local exchange carriers (ILECs), connecting directly between two discrete end user locations (such as a mobile wireless service provider’s cell site and its mobile switching center).</w:t>
      </w:r>
      <w:r w:rsidRPr="00B53FFB">
        <w:rPr>
          <w:rStyle w:val="FootnoteReference"/>
          <w:szCs w:val="22"/>
        </w:rPr>
        <w:footnoteReference w:id="1020"/>
      </w:r>
      <w:r w:rsidRPr="00B53FFB">
        <w:rPr>
          <w:sz w:val="22"/>
          <w:szCs w:val="22"/>
        </w:rPr>
        <w:t xml:space="preserve">  Wireless service providers often buy special access services from ILECs.</w:t>
      </w:r>
      <w:r w:rsidRPr="00B53FFB">
        <w:rPr>
          <w:rStyle w:val="FootnoteReference"/>
          <w:szCs w:val="22"/>
        </w:rPr>
        <w:footnoteReference w:id="1021"/>
      </w:r>
      <w:r w:rsidRPr="00B53FFB">
        <w:rPr>
          <w:sz w:val="22"/>
          <w:szCs w:val="22"/>
        </w:rPr>
        <w:t xml:space="preserve"> Very often, wireless service providers have to buy special access services from an ILEC against whose wireless affiliates they compete. </w:t>
      </w:r>
      <w:r>
        <w:rPr>
          <w:sz w:val="22"/>
          <w:szCs w:val="22"/>
        </w:rPr>
        <w:t xml:space="preserve"> </w:t>
      </w:r>
      <w:r w:rsidRPr="00B53FFB">
        <w:rPr>
          <w:sz w:val="22"/>
          <w:szCs w:val="22"/>
        </w:rPr>
        <w:t>One wireless service provider has claimed that over 98 percent of all T1 circuits are purchased from ILECs, as are the vast majority of DS3 connections.</w:t>
      </w:r>
      <w:r w:rsidRPr="00B53FFB">
        <w:rPr>
          <w:rStyle w:val="FootnoteReference"/>
          <w:szCs w:val="22"/>
        </w:rPr>
        <w:footnoteReference w:id="1022"/>
      </w:r>
      <w:r w:rsidRPr="00B53FFB">
        <w:rPr>
          <w:sz w:val="22"/>
          <w:szCs w:val="22"/>
        </w:rPr>
        <w:t xml:space="preserve"> Since 1991, special access services are generally governed by price cap regulation, which focuses primarily on the prices that an ILEC may charge and the revenues it may generate from interstate access services.</w:t>
      </w:r>
      <w:r w:rsidRPr="00B53FFB">
        <w:rPr>
          <w:rStyle w:val="FootnoteReference"/>
          <w:szCs w:val="22"/>
        </w:rPr>
        <w:footnoteReference w:id="1023"/>
      </w:r>
      <w:r w:rsidRPr="00B53FFB">
        <w:rPr>
          <w:sz w:val="22"/>
          <w:szCs w:val="22"/>
        </w:rPr>
        <w:t xml:space="preserve">  In January 2005, the Commission started a proceeding to broadly examine the regulatory framework for local exchange carriers’ (LECs) interstate special access services.</w:t>
      </w:r>
      <w:r w:rsidRPr="00B53FFB">
        <w:rPr>
          <w:rStyle w:val="FootnoteReference"/>
          <w:szCs w:val="22"/>
        </w:rPr>
        <w:footnoteReference w:id="1024"/>
      </w:r>
      <w:r w:rsidRPr="00B53FFB">
        <w:rPr>
          <w:sz w:val="22"/>
          <w:szCs w:val="22"/>
        </w:rPr>
        <w:t xml:space="preserve">     </w:t>
      </w:r>
    </w:p>
    <w:p w:rsidR="004A147C" w:rsidRPr="00B53FFB" w:rsidRDefault="004A147C" w:rsidP="00CE5850">
      <w:pPr>
        <w:pStyle w:val="ParaNum"/>
        <w:numPr>
          <w:ilvl w:val="0"/>
          <w:numId w:val="28"/>
        </w:numPr>
        <w:rPr>
          <w:sz w:val="22"/>
          <w:szCs w:val="22"/>
        </w:rPr>
      </w:pPr>
      <w:r w:rsidRPr="00B53FFB">
        <w:rPr>
          <w:sz w:val="22"/>
          <w:szCs w:val="22"/>
        </w:rPr>
        <w:t>The National Broadband Plan includes several recommendations to facilitate the more efficient and economic installation of fiber facilities that may be used to meet the rapidly increasing demand for additional backhaul capacity.</w:t>
      </w:r>
      <w:r w:rsidRPr="00B53FFB">
        <w:rPr>
          <w:rStyle w:val="FootnoteReference"/>
          <w:szCs w:val="22"/>
        </w:rPr>
        <w:footnoteReference w:id="1025"/>
      </w:r>
      <w:r w:rsidRPr="00B53FFB">
        <w:rPr>
          <w:sz w:val="22"/>
          <w:szCs w:val="22"/>
        </w:rPr>
        <w:t xml:space="preserve"> The National Broadband Plan, recognizing the importance of backhaul for providing wireless broadband services, also recommends that the Commission take action to ensure that sufficient microwave spectrum is available to meet current and future demand for backhaul, especially in the bands below 12 GHz.</w:t>
      </w:r>
      <w:r w:rsidRPr="00B53FFB">
        <w:rPr>
          <w:rStyle w:val="FootnoteReference"/>
          <w:szCs w:val="22"/>
        </w:rPr>
        <w:footnoteReference w:id="1026"/>
      </w:r>
      <w:r w:rsidRPr="00B53FFB">
        <w:rPr>
          <w:sz w:val="22"/>
          <w:szCs w:val="22"/>
        </w:rPr>
        <w:t xml:space="preserve">   The National Broadband Plan recommends that the Commission take further actions to enhance the flexibility and speed with which companies can obtain access to spectrum to use for backhaul, which is critical to the deployment of wireless broadband and other wireless services.</w:t>
      </w:r>
      <w:r w:rsidRPr="00B53FFB">
        <w:rPr>
          <w:rStyle w:val="FootnoteReference"/>
          <w:szCs w:val="22"/>
        </w:rPr>
        <w:footnoteReference w:id="1027"/>
      </w:r>
      <w:r w:rsidRPr="00B53FFB">
        <w:rPr>
          <w:sz w:val="22"/>
          <w:szCs w:val="22"/>
        </w:rPr>
        <w:t xml:space="preserve">  </w:t>
      </w:r>
    </w:p>
    <w:p w:rsidR="004A147C" w:rsidRPr="00B53FFB" w:rsidRDefault="004A147C" w:rsidP="00CE5850">
      <w:pPr>
        <w:pStyle w:val="ParaNum"/>
        <w:numPr>
          <w:ilvl w:val="0"/>
          <w:numId w:val="28"/>
        </w:numPr>
        <w:rPr>
          <w:sz w:val="22"/>
          <w:szCs w:val="22"/>
        </w:rPr>
      </w:pPr>
      <w:r w:rsidRPr="00B53FFB">
        <w:rPr>
          <w:sz w:val="22"/>
          <w:szCs w:val="22"/>
        </w:rPr>
        <w:t xml:space="preserve">On August 9, 2011, the Commission released a </w:t>
      </w:r>
      <w:r w:rsidRPr="00B53FFB">
        <w:rPr>
          <w:i/>
          <w:sz w:val="22"/>
          <w:szCs w:val="22"/>
        </w:rPr>
        <w:t>Report and Order</w:t>
      </w:r>
      <w:r w:rsidRPr="00B53FFB">
        <w:rPr>
          <w:sz w:val="22"/>
          <w:szCs w:val="22"/>
        </w:rPr>
        <w:t xml:space="preserve"> that addressed a number of the National Broadband Plan recommendations to remove regulatory barriers to the use of microwave spectrum for backhaul.</w:t>
      </w:r>
      <w:r w:rsidRPr="00B53FFB">
        <w:rPr>
          <w:rStyle w:val="FootnoteReference"/>
          <w:szCs w:val="22"/>
        </w:rPr>
        <w:footnoteReference w:id="1028"/>
      </w:r>
      <w:r w:rsidRPr="00B53FFB">
        <w:rPr>
          <w:sz w:val="22"/>
          <w:szCs w:val="22"/>
        </w:rPr>
        <w:t xml:space="preserve">  In particular, the </w:t>
      </w:r>
      <w:r w:rsidRPr="00B53FFB">
        <w:rPr>
          <w:i/>
          <w:sz w:val="22"/>
          <w:szCs w:val="22"/>
        </w:rPr>
        <w:t>Report and Order</w:t>
      </w:r>
      <w:r w:rsidRPr="00B53FFB">
        <w:rPr>
          <w:sz w:val="22"/>
          <w:szCs w:val="22"/>
        </w:rPr>
        <w:t xml:space="preserve"> allows FS operators to share, under certain circumstances, the 6875-7125 MHz and 12700-13100 MHz bands with Fixed and Mobile Broadcast Auxiliary Service (BAS) and Cable TV Relay Service (CARS).</w:t>
      </w:r>
      <w:r w:rsidRPr="00B53FFB">
        <w:rPr>
          <w:rStyle w:val="FootnoteReference"/>
          <w:szCs w:val="22"/>
        </w:rPr>
        <w:footnoteReference w:id="1029"/>
      </w:r>
      <w:r w:rsidRPr="00B53FFB">
        <w:rPr>
          <w:sz w:val="22"/>
          <w:szCs w:val="22"/>
        </w:rPr>
        <w:t xml:space="preserve"> </w:t>
      </w:r>
      <w:r>
        <w:rPr>
          <w:sz w:val="22"/>
          <w:szCs w:val="22"/>
        </w:rPr>
        <w:t xml:space="preserve"> </w:t>
      </w:r>
      <w:r w:rsidRPr="00B53FFB">
        <w:rPr>
          <w:sz w:val="22"/>
          <w:szCs w:val="22"/>
        </w:rPr>
        <w:t xml:space="preserve">In addition, the </w:t>
      </w:r>
      <w:r w:rsidRPr="00B53FFB">
        <w:rPr>
          <w:i/>
          <w:sz w:val="22"/>
          <w:szCs w:val="22"/>
        </w:rPr>
        <w:t>Second Report and Order</w:t>
      </w:r>
      <w:r w:rsidRPr="00B53FFB">
        <w:rPr>
          <w:sz w:val="22"/>
          <w:szCs w:val="22"/>
        </w:rPr>
        <w:t>, released on August 3, 2012, removed regulatory barriers to make better use of FS spectrum and provide additional flexibility to enable FS licensees to reduce operational costs and facilitate the use of backhaul in rural areas.</w:t>
      </w:r>
      <w:r w:rsidRPr="00B53FFB">
        <w:rPr>
          <w:rStyle w:val="FootnoteReference"/>
          <w:szCs w:val="22"/>
        </w:rPr>
        <w:footnoteReference w:id="1030"/>
      </w:r>
      <w:r w:rsidRPr="00B53FFB">
        <w:rPr>
          <w:sz w:val="22"/>
          <w:szCs w:val="22"/>
        </w:rPr>
        <w:t xml:space="preserve">  In particular, </w:t>
      </w:r>
      <w:r w:rsidRPr="00B53FFB">
        <w:rPr>
          <w:i/>
          <w:sz w:val="22"/>
          <w:szCs w:val="22"/>
        </w:rPr>
        <w:t>Second Report and Order</w:t>
      </w:r>
      <w:r w:rsidRPr="00B53FFB">
        <w:rPr>
          <w:sz w:val="22"/>
          <w:szCs w:val="22"/>
        </w:rPr>
        <w:t xml:space="preserve"> liberalized the Commission’s rules to allow smaller antennas in the 6, 18, and 23 GHz bands without materially increasing interference.</w:t>
      </w:r>
      <w:r w:rsidRPr="00B53FFB">
        <w:rPr>
          <w:rStyle w:val="FootnoteReference"/>
          <w:szCs w:val="22"/>
        </w:rPr>
        <w:footnoteReference w:id="1031"/>
      </w:r>
      <w:r w:rsidRPr="00B53FFB">
        <w:rPr>
          <w:sz w:val="22"/>
          <w:szCs w:val="22"/>
        </w:rPr>
        <w:t xml:space="preserve">  The Second Report and Order also updated efficiency standards to specify those rates in terms of bits/second/Hertz rather than outdated specifications from the circuit-switched era and defined payload capacity in Part 101 rules to account for Internet protocol radio systems.</w:t>
      </w:r>
      <w:r w:rsidRPr="00B53FFB">
        <w:rPr>
          <w:rStyle w:val="FootnoteReference"/>
          <w:szCs w:val="22"/>
        </w:rPr>
        <w:footnoteReference w:id="1032"/>
      </w:r>
      <w:r w:rsidRPr="00B53FFB">
        <w:rPr>
          <w:sz w:val="22"/>
          <w:szCs w:val="22"/>
        </w:rPr>
        <w:t xml:space="preserve">  Finally, the Second Report and Order allows microwave operators to create higher capacity links by licensing 60 and 80 megahertz channels in the 6 and 11 GHz microwave bands, respectively.</w:t>
      </w:r>
      <w:r w:rsidRPr="00B53FFB">
        <w:rPr>
          <w:rStyle w:val="FootnoteReference"/>
          <w:szCs w:val="22"/>
        </w:rPr>
        <w:footnoteReference w:id="1033"/>
      </w:r>
      <w:r w:rsidRPr="00B53FFB">
        <w:rPr>
          <w:sz w:val="22"/>
          <w:szCs w:val="22"/>
        </w:rPr>
        <w:t xml:space="preserve">  In October of 2012, the Commission </w:t>
      </w:r>
      <w:r>
        <w:rPr>
          <w:sz w:val="22"/>
          <w:szCs w:val="22"/>
        </w:rPr>
        <w:t>modified a</w:t>
      </w:r>
      <w:r w:rsidRPr="00B53FFB">
        <w:rPr>
          <w:sz w:val="22"/>
          <w:szCs w:val="22"/>
        </w:rPr>
        <w:t xml:space="preserve"> rule adopted in the Second Report and Order to align the center frequencies across various channel sizes and allow for more efficient channelization and utilization.</w:t>
      </w:r>
      <w:r w:rsidRPr="00B53FFB">
        <w:rPr>
          <w:rStyle w:val="FootnoteReference"/>
          <w:szCs w:val="22"/>
        </w:rPr>
        <w:footnoteReference w:id="1034"/>
      </w:r>
    </w:p>
    <w:p w:rsidR="004A147C" w:rsidRPr="00B53FFB" w:rsidRDefault="004A147C" w:rsidP="00CE5850">
      <w:pPr>
        <w:pStyle w:val="Heading2"/>
        <w:keepNext w:val="0"/>
      </w:pPr>
      <w:bookmarkStart w:id="4915" w:name="_Toc261610814"/>
      <w:bookmarkStart w:id="4916" w:name="_Toc261858564"/>
      <w:bookmarkStart w:id="4917" w:name="_Toc262034371"/>
      <w:bookmarkStart w:id="4918" w:name="_Toc262034474"/>
      <w:bookmarkStart w:id="4919" w:name="_Toc271288511"/>
      <w:bookmarkStart w:id="4920" w:name="_Toc275518030"/>
      <w:bookmarkStart w:id="4921" w:name="_Toc275952470"/>
      <w:bookmarkStart w:id="4922" w:name="_Toc276121902"/>
      <w:bookmarkStart w:id="4923" w:name="_Toc276480738"/>
      <w:bookmarkStart w:id="4924" w:name="_Toc276741816"/>
      <w:bookmarkStart w:id="4925" w:name="_Toc277171580"/>
      <w:bookmarkStart w:id="4926" w:name="_Toc277864555"/>
      <w:bookmarkStart w:id="4927" w:name="_Toc277864771"/>
      <w:bookmarkStart w:id="4928" w:name="_Toc285810452"/>
      <w:bookmarkStart w:id="4929" w:name="_Toc287257849"/>
      <w:bookmarkStart w:id="4930" w:name="_Toc291758726"/>
      <w:bookmarkStart w:id="4931" w:name="_Toc291758829"/>
      <w:bookmarkStart w:id="4932" w:name="_Toc295393009"/>
      <w:bookmarkStart w:id="4933" w:name="_Toc329262537"/>
      <w:bookmarkStart w:id="4934" w:name="_Toc329852444"/>
      <w:bookmarkStart w:id="4935" w:name="_Toc331766359"/>
      <w:bookmarkStart w:id="4936" w:name="_Toc332119163"/>
      <w:bookmarkStart w:id="4937" w:name="_Toc334088831"/>
      <w:bookmarkStart w:id="4938" w:name="_Toc334089067"/>
      <w:bookmarkStart w:id="4939" w:name="_Toc334089226"/>
      <w:bookmarkStart w:id="4940" w:name="_Toc334089337"/>
      <w:bookmarkStart w:id="4941" w:name="_Toc334089501"/>
      <w:bookmarkStart w:id="4942" w:name="_Toc336268643"/>
      <w:bookmarkStart w:id="4943" w:name="_Toc336268751"/>
      <w:bookmarkStart w:id="4944" w:name="_Toc336268858"/>
      <w:bookmarkStart w:id="4945" w:name="_Toc336269072"/>
      <w:bookmarkStart w:id="4946" w:name="_Toc336269179"/>
      <w:bookmarkStart w:id="4947" w:name="_Toc336269547"/>
      <w:bookmarkStart w:id="4948" w:name="_Toc336269693"/>
      <w:bookmarkStart w:id="4949" w:name="_Toc336270106"/>
      <w:bookmarkStart w:id="4950" w:name="_Toc336271306"/>
      <w:bookmarkStart w:id="4951" w:name="_Toc337652020"/>
      <w:bookmarkStart w:id="4952" w:name="_Toc349577209"/>
      <w:bookmarkStart w:id="4953" w:name="_Toc349579301"/>
      <w:bookmarkStart w:id="4954" w:name="_Toc349580616"/>
      <w:bookmarkStart w:id="4955" w:name="_Toc349735024"/>
      <w:bookmarkStart w:id="4956" w:name="_Toc349742389"/>
      <w:bookmarkEnd w:id="4846"/>
      <w:bookmarkEnd w:id="4847"/>
      <w:bookmarkEnd w:id="4848"/>
      <w:bookmarkEnd w:id="4849"/>
      <w:bookmarkEnd w:id="4850"/>
      <w:bookmarkEnd w:id="4851"/>
      <w:bookmarkEnd w:id="4852"/>
      <w:bookmarkEnd w:id="4853"/>
      <w:bookmarkEnd w:id="4854"/>
      <w:bookmarkEnd w:id="4855"/>
      <w:bookmarkEnd w:id="4856"/>
      <w:bookmarkEnd w:id="4857"/>
      <w:bookmarkEnd w:id="4858"/>
      <w:bookmarkEnd w:id="4859"/>
      <w:bookmarkEnd w:id="4860"/>
      <w:bookmarkEnd w:id="4861"/>
      <w:bookmarkEnd w:id="4862"/>
      <w:bookmarkEnd w:id="4863"/>
      <w:bookmarkEnd w:id="4864"/>
      <w:bookmarkEnd w:id="4865"/>
      <w:bookmarkEnd w:id="4866"/>
      <w:bookmarkEnd w:id="4867"/>
      <w:bookmarkEnd w:id="4868"/>
      <w:bookmarkEnd w:id="4869"/>
      <w:bookmarkEnd w:id="4870"/>
      <w:bookmarkEnd w:id="4871"/>
      <w:bookmarkEnd w:id="4872"/>
      <w:bookmarkEnd w:id="4873"/>
      <w:bookmarkEnd w:id="4874"/>
      <w:bookmarkEnd w:id="4875"/>
      <w:bookmarkEnd w:id="4876"/>
      <w:bookmarkEnd w:id="4877"/>
      <w:bookmarkEnd w:id="4878"/>
      <w:bookmarkEnd w:id="4879"/>
      <w:bookmarkEnd w:id="4880"/>
      <w:bookmarkEnd w:id="4881"/>
      <w:bookmarkEnd w:id="4882"/>
      <w:bookmarkEnd w:id="4883"/>
      <w:bookmarkEnd w:id="4884"/>
      <w:r w:rsidRPr="00B53FFB">
        <w:t>Downstream Segments</w:t>
      </w:r>
      <w:bookmarkEnd w:id="4915"/>
      <w:bookmarkEnd w:id="4916"/>
      <w:bookmarkEnd w:id="4917"/>
      <w:bookmarkEnd w:id="4918"/>
      <w:bookmarkEnd w:id="4919"/>
      <w:bookmarkEnd w:id="4920"/>
      <w:bookmarkEnd w:id="4921"/>
      <w:bookmarkEnd w:id="4922"/>
      <w:bookmarkEnd w:id="4923"/>
      <w:bookmarkEnd w:id="4924"/>
      <w:bookmarkEnd w:id="4925"/>
      <w:bookmarkEnd w:id="4926"/>
      <w:bookmarkEnd w:id="4927"/>
      <w:bookmarkEnd w:id="4928"/>
      <w:bookmarkEnd w:id="4929"/>
      <w:bookmarkEnd w:id="4930"/>
      <w:bookmarkEnd w:id="4931"/>
      <w:bookmarkEnd w:id="4932"/>
      <w:bookmarkEnd w:id="4933"/>
      <w:bookmarkEnd w:id="4934"/>
      <w:bookmarkEnd w:id="4935"/>
      <w:bookmarkEnd w:id="4936"/>
      <w:bookmarkEnd w:id="4937"/>
      <w:bookmarkEnd w:id="4938"/>
      <w:bookmarkEnd w:id="4939"/>
      <w:bookmarkEnd w:id="4940"/>
      <w:bookmarkEnd w:id="4941"/>
      <w:bookmarkEnd w:id="4942"/>
      <w:bookmarkEnd w:id="4943"/>
      <w:bookmarkEnd w:id="4944"/>
      <w:bookmarkEnd w:id="4945"/>
      <w:bookmarkEnd w:id="4946"/>
      <w:bookmarkEnd w:id="4947"/>
      <w:bookmarkEnd w:id="4948"/>
      <w:bookmarkEnd w:id="4949"/>
      <w:bookmarkEnd w:id="4950"/>
      <w:bookmarkEnd w:id="4951"/>
      <w:bookmarkEnd w:id="4952"/>
      <w:bookmarkEnd w:id="4953"/>
      <w:bookmarkEnd w:id="4954"/>
      <w:bookmarkEnd w:id="4955"/>
      <w:bookmarkEnd w:id="4956"/>
    </w:p>
    <w:p w:rsidR="004A147C" w:rsidRPr="00B53FFB" w:rsidRDefault="004A147C" w:rsidP="00CE5850">
      <w:pPr>
        <w:pStyle w:val="Heading3"/>
        <w:keepNext w:val="0"/>
        <w:numPr>
          <w:ilvl w:val="2"/>
          <w:numId w:val="26"/>
        </w:numPr>
        <w:tabs>
          <w:tab w:val="left" w:pos="2160"/>
        </w:tabs>
        <w:snapToGrid w:val="0"/>
        <w:rPr>
          <w:sz w:val="22"/>
          <w:szCs w:val="22"/>
        </w:rPr>
      </w:pPr>
      <w:bookmarkStart w:id="4957" w:name="_Ref326749032"/>
      <w:bookmarkStart w:id="4958" w:name="_Toc329262538"/>
      <w:bookmarkStart w:id="4959" w:name="_Toc329852445"/>
      <w:bookmarkStart w:id="4960" w:name="_Toc331766360"/>
      <w:bookmarkStart w:id="4961" w:name="_Toc332119164"/>
      <w:bookmarkStart w:id="4962" w:name="_Toc334088832"/>
      <w:bookmarkStart w:id="4963" w:name="_Toc334089068"/>
      <w:bookmarkStart w:id="4964" w:name="_Toc334089227"/>
      <w:bookmarkStart w:id="4965" w:name="_Toc334089338"/>
      <w:bookmarkStart w:id="4966" w:name="_Toc334089502"/>
      <w:bookmarkStart w:id="4967" w:name="_Toc336268644"/>
      <w:bookmarkStart w:id="4968" w:name="_Toc336268752"/>
      <w:bookmarkStart w:id="4969" w:name="_Toc336268859"/>
      <w:bookmarkStart w:id="4970" w:name="_Toc336269073"/>
      <w:bookmarkStart w:id="4971" w:name="_Toc336269180"/>
      <w:bookmarkStart w:id="4972" w:name="_Toc336269548"/>
      <w:bookmarkStart w:id="4973" w:name="_Toc336269694"/>
      <w:bookmarkStart w:id="4974" w:name="_Toc336270107"/>
      <w:bookmarkStart w:id="4975" w:name="_Toc336271307"/>
      <w:bookmarkStart w:id="4976" w:name="_Toc337652021"/>
      <w:bookmarkStart w:id="4977" w:name="_Toc349577210"/>
      <w:bookmarkStart w:id="4978" w:name="_Toc349579302"/>
      <w:bookmarkStart w:id="4979" w:name="_Toc349580617"/>
      <w:bookmarkStart w:id="4980" w:name="_Toc349735025"/>
      <w:bookmarkStart w:id="4981" w:name="_Toc349742390"/>
      <w:bookmarkStart w:id="4982" w:name="_Ref260322020"/>
      <w:bookmarkStart w:id="4983" w:name="_Toc261858567"/>
      <w:bookmarkStart w:id="4984" w:name="_Toc262034374"/>
      <w:bookmarkStart w:id="4985" w:name="_Toc262034477"/>
      <w:bookmarkStart w:id="4986" w:name="_Toc271288514"/>
      <w:bookmarkStart w:id="4987" w:name="_Toc275518033"/>
      <w:bookmarkStart w:id="4988" w:name="_Toc275952473"/>
      <w:bookmarkStart w:id="4989" w:name="_Toc276121905"/>
      <w:bookmarkStart w:id="4990" w:name="_Toc276480741"/>
      <w:bookmarkStart w:id="4991" w:name="_Toc276741819"/>
      <w:bookmarkStart w:id="4992" w:name="_Toc277171583"/>
      <w:bookmarkStart w:id="4993" w:name="_Toc277864558"/>
      <w:bookmarkStart w:id="4994" w:name="_Toc277864774"/>
      <w:bookmarkStart w:id="4995" w:name="_Toc285810455"/>
      <w:bookmarkStart w:id="4996" w:name="_Toc287257852"/>
      <w:bookmarkStart w:id="4997" w:name="_Toc291758729"/>
      <w:bookmarkStart w:id="4998" w:name="_Toc291758832"/>
      <w:bookmarkStart w:id="4999" w:name="_Toc295393012"/>
      <w:r w:rsidRPr="00B53FFB">
        <w:rPr>
          <w:sz w:val="22"/>
          <w:szCs w:val="22"/>
        </w:rPr>
        <w:t>Mobile Wireless Handsets/Devices and Operating Systems</w:t>
      </w:r>
      <w:bookmarkEnd w:id="4957"/>
      <w:bookmarkEnd w:id="4958"/>
      <w:bookmarkEnd w:id="4959"/>
      <w:bookmarkEnd w:id="4960"/>
      <w:bookmarkEnd w:id="4961"/>
      <w:bookmarkEnd w:id="4962"/>
      <w:bookmarkEnd w:id="4963"/>
      <w:bookmarkEnd w:id="4964"/>
      <w:bookmarkEnd w:id="4965"/>
      <w:bookmarkEnd w:id="4966"/>
      <w:bookmarkEnd w:id="4967"/>
      <w:bookmarkEnd w:id="4968"/>
      <w:bookmarkEnd w:id="4969"/>
      <w:bookmarkEnd w:id="4970"/>
      <w:bookmarkEnd w:id="4971"/>
      <w:bookmarkEnd w:id="4972"/>
      <w:bookmarkEnd w:id="4973"/>
      <w:bookmarkEnd w:id="4974"/>
      <w:bookmarkEnd w:id="4975"/>
      <w:bookmarkEnd w:id="4976"/>
      <w:bookmarkEnd w:id="4977"/>
      <w:bookmarkEnd w:id="4978"/>
      <w:bookmarkEnd w:id="4979"/>
      <w:bookmarkEnd w:id="4980"/>
      <w:bookmarkEnd w:id="4981"/>
    </w:p>
    <w:p w:rsidR="004A147C" w:rsidRPr="00F16FE9" w:rsidRDefault="004A147C" w:rsidP="00CE5850">
      <w:pPr>
        <w:pStyle w:val="ParaNum"/>
        <w:numPr>
          <w:ilvl w:val="0"/>
          <w:numId w:val="28"/>
        </w:numPr>
        <w:rPr>
          <w:sz w:val="22"/>
          <w:szCs w:val="22"/>
        </w:rPr>
      </w:pPr>
      <w:r w:rsidRPr="00F16FE9">
        <w:rPr>
          <w:sz w:val="22"/>
          <w:szCs w:val="22"/>
        </w:rPr>
        <w:t>Handsets</w:t>
      </w:r>
      <w:bookmarkEnd w:id="4982"/>
      <w:bookmarkEnd w:id="4983"/>
      <w:bookmarkEnd w:id="4984"/>
      <w:bookmarkEnd w:id="4985"/>
      <w:bookmarkEnd w:id="4986"/>
      <w:bookmarkEnd w:id="4987"/>
      <w:bookmarkEnd w:id="4988"/>
      <w:bookmarkEnd w:id="4989"/>
      <w:bookmarkEnd w:id="4990"/>
      <w:bookmarkEnd w:id="4991"/>
      <w:bookmarkEnd w:id="4992"/>
      <w:bookmarkEnd w:id="4993"/>
      <w:bookmarkEnd w:id="4994"/>
      <w:bookmarkEnd w:id="4995"/>
      <w:bookmarkEnd w:id="4996"/>
      <w:bookmarkEnd w:id="4997"/>
      <w:bookmarkEnd w:id="4998"/>
      <w:bookmarkEnd w:id="4999"/>
      <w:r w:rsidRPr="00F16FE9">
        <w:rPr>
          <w:sz w:val="22"/>
          <w:szCs w:val="22"/>
        </w:rPr>
        <w:t xml:space="preserve"> and devices are a central part of consumers’ mobile wireless experience.  In 2011, smartphone adoption increased, with 46 percent of mobile wireless consumers reported to have smartphones, and 60 percent of consumers who purchased a new mobile device during the fourth quarter selecting a smartphone over a feature phone.</w:t>
      </w:r>
      <w:r w:rsidRPr="00F16FE9">
        <w:rPr>
          <w:sz w:val="22"/>
          <w:szCs w:val="22"/>
          <w:vertAlign w:val="superscript"/>
        </w:rPr>
        <w:footnoteReference w:id="1035"/>
      </w:r>
      <w:r w:rsidRPr="00F16FE9">
        <w:rPr>
          <w:sz w:val="22"/>
          <w:szCs w:val="22"/>
        </w:rPr>
        <w:t xml:space="preserve">  By June, 2012, 55 percent of mobile wireless consumers reported using smartphones, and 67 percent of new phone purchases were smartphones</w:t>
      </w:r>
      <w:r w:rsidR="008D27D9">
        <w:rPr>
          <w:sz w:val="22"/>
          <w:szCs w:val="22"/>
        </w:rPr>
        <w:t>.</w:t>
      </w:r>
      <w:r w:rsidRPr="00F16FE9">
        <w:rPr>
          <w:sz w:val="22"/>
          <w:szCs w:val="22"/>
          <w:vertAlign w:val="superscript"/>
        </w:rPr>
        <w:footnoteReference w:id="1036"/>
      </w:r>
      <w:r w:rsidRPr="00F16FE9">
        <w:rPr>
          <w:sz w:val="22"/>
          <w:szCs w:val="22"/>
        </w:rPr>
        <w:t xml:space="preserve">  Since Apple entered the smartphone business with the iPhone in June 2007</w:t>
      </w:r>
      <w:r w:rsidRPr="00F16FE9">
        <w:rPr>
          <w:i/>
          <w:sz w:val="22"/>
          <w:szCs w:val="22"/>
        </w:rPr>
        <w:t>,</w:t>
      </w:r>
      <w:r w:rsidRPr="00F16FE9">
        <w:rPr>
          <w:sz w:val="22"/>
          <w:szCs w:val="22"/>
        </w:rPr>
        <w:t xml:space="preserve"> many handset manufacturers have introduced competing products with similar features such as touch screens, mobile web browsing capabilities, and current-generation operating systems.  During 2011, the iPhone exclusive handset arrangement between Apple and AT&amp;T ended, and multiple service providers began offering the iPhone on their networks.</w:t>
      </w:r>
      <w:r w:rsidRPr="00F16FE9">
        <w:rPr>
          <w:sz w:val="22"/>
          <w:szCs w:val="22"/>
          <w:vertAlign w:val="superscript"/>
        </w:rPr>
        <w:footnoteReference w:id="1037"/>
      </w:r>
      <w:r w:rsidRPr="00F16FE9">
        <w:rPr>
          <w:sz w:val="22"/>
          <w:szCs w:val="22"/>
        </w:rPr>
        <w:t xml:space="preserve">  In 2012, Verizon Wireless, Sprint and other providers are also selling the iPhone 4s and iPhone 5.  Innovative smartphones that are not subject to exclusive arrangements are widely available.  Popular smartphone operating systems such as the Android and the Apple iOS are available from multiple service providers, permitting consumers to pair their preferred operating systems with different service providers.  </w:t>
      </w:r>
    </w:p>
    <w:p w:rsidR="004A147C" w:rsidRPr="00045E8E" w:rsidRDefault="004A147C" w:rsidP="00CE5850">
      <w:pPr>
        <w:numPr>
          <w:ilvl w:val="3"/>
          <w:numId w:val="26"/>
        </w:numPr>
        <w:tabs>
          <w:tab w:val="left" w:pos="2880"/>
        </w:tabs>
        <w:spacing w:after="120"/>
        <w:outlineLvl w:val="3"/>
        <w:rPr>
          <w:b/>
          <w:szCs w:val="22"/>
        </w:rPr>
      </w:pPr>
      <w:bookmarkStart w:id="5000" w:name="_Toc261858566"/>
      <w:bookmarkStart w:id="5001" w:name="_Toc262034373"/>
      <w:bookmarkStart w:id="5002" w:name="_Toc262034476"/>
      <w:bookmarkStart w:id="5003" w:name="_Toc271288513"/>
      <w:bookmarkStart w:id="5004" w:name="_Toc275518032"/>
      <w:bookmarkStart w:id="5005" w:name="_Toc275952472"/>
      <w:bookmarkStart w:id="5006" w:name="_Toc276121904"/>
      <w:bookmarkStart w:id="5007" w:name="_Toc276480740"/>
      <w:bookmarkStart w:id="5008" w:name="_Toc276741818"/>
      <w:bookmarkStart w:id="5009" w:name="_Toc277171582"/>
      <w:bookmarkStart w:id="5010" w:name="_Toc277864557"/>
      <w:bookmarkStart w:id="5011" w:name="_Toc277864773"/>
      <w:bookmarkStart w:id="5012" w:name="_Ref283293333"/>
      <w:bookmarkStart w:id="5013" w:name="_Ref283293336"/>
      <w:bookmarkStart w:id="5014" w:name="_Toc285810454"/>
      <w:bookmarkStart w:id="5015" w:name="_Toc287257851"/>
      <w:bookmarkStart w:id="5016" w:name="_Toc291758728"/>
      <w:bookmarkStart w:id="5017" w:name="_Toc291758831"/>
      <w:bookmarkStart w:id="5018" w:name="_Toc295393011"/>
      <w:bookmarkStart w:id="5019" w:name="_Toc337652022"/>
      <w:r w:rsidRPr="00045E8E">
        <w:rPr>
          <w:b/>
          <w:szCs w:val="22"/>
        </w:rPr>
        <w:t>Handsets/Devices</w:t>
      </w:r>
      <w:bookmarkEnd w:id="5000"/>
      <w:bookmarkEnd w:id="5001"/>
      <w:bookmarkEnd w:id="5002"/>
      <w:bookmarkEnd w:id="5003"/>
      <w:bookmarkEnd w:id="5004"/>
      <w:bookmarkEnd w:id="5005"/>
      <w:bookmarkEnd w:id="5006"/>
      <w:bookmarkEnd w:id="5007"/>
      <w:bookmarkEnd w:id="5008"/>
      <w:bookmarkEnd w:id="5009"/>
      <w:bookmarkEnd w:id="5010"/>
      <w:bookmarkEnd w:id="5011"/>
      <w:bookmarkEnd w:id="5012"/>
      <w:bookmarkEnd w:id="5013"/>
      <w:bookmarkEnd w:id="5014"/>
      <w:bookmarkEnd w:id="5015"/>
      <w:bookmarkEnd w:id="5016"/>
      <w:bookmarkEnd w:id="5017"/>
      <w:bookmarkEnd w:id="5018"/>
      <w:r w:rsidRPr="00045E8E">
        <w:rPr>
          <w:b/>
          <w:szCs w:val="22"/>
        </w:rPr>
        <w:t xml:space="preserve"> and Operating Systems</w:t>
      </w:r>
      <w:bookmarkEnd w:id="5019"/>
      <w:r w:rsidRPr="00045E8E">
        <w:rPr>
          <w:b/>
          <w:szCs w:val="22"/>
        </w:rPr>
        <w:t xml:space="preserve">  </w:t>
      </w:r>
      <w:bookmarkStart w:id="5020" w:name="_Toc252806232"/>
    </w:p>
    <w:p w:rsidR="004A147C" w:rsidRDefault="004A147C" w:rsidP="00CE5850">
      <w:pPr>
        <w:pStyle w:val="ParaNum"/>
        <w:numPr>
          <w:ilvl w:val="0"/>
          <w:numId w:val="28"/>
        </w:numPr>
        <w:rPr>
          <w:sz w:val="22"/>
          <w:szCs w:val="22"/>
        </w:rPr>
      </w:pPr>
      <w:r w:rsidRPr="004E0F47">
        <w:rPr>
          <w:i/>
          <w:sz w:val="22"/>
          <w:szCs w:val="22"/>
        </w:rPr>
        <w:t>Number of Manufacturers</w:t>
      </w:r>
      <w:r w:rsidRPr="004E0F47">
        <w:rPr>
          <w:sz w:val="22"/>
          <w:szCs w:val="22"/>
        </w:rPr>
        <w:t xml:space="preserve">.  </w:t>
      </w:r>
      <w:bookmarkEnd w:id="5020"/>
      <w:r w:rsidRPr="004E0F47">
        <w:rPr>
          <w:sz w:val="22"/>
          <w:szCs w:val="22"/>
        </w:rPr>
        <w:t xml:space="preserve">From 2006 to 2012, the number of mobile wireless handset manufacturers that distribute in the U.S. market increased from eight to 23 (see </w:t>
      </w:r>
      <w:r w:rsidR="009836C0" w:rsidRPr="004E0F47">
        <w:rPr>
          <w:sz w:val="22"/>
          <w:szCs w:val="22"/>
        </w:rPr>
        <w:fldChar w:fldCharType="begin"/>
      </w:r>
      <w:r w:rsidR="009836C0" w:rsidRPr="004E0F47">
        <w:rPr>
          <w:sz w:val="22"/>
          <w:szCs w:val="22"/>
        </w:rPr>
        <w:instrText xml:space="preserve"> REF _Ref332109200  \* MERGEFORMAT </w:instrText>
      </w:r>
      <w:r w:rsidR="009836C0" w:rsidRPr="004E0F47">
        <w:rPr>
          <w:sz w:val="22"/>
          <w:szCs w:val="22"/>
        </w:rPr>
        <w:fldChar w:fldCharType="separate"/>
      </w:r>
      <w:r w:rsidR="00CA3AC6" w:rsidRPr="00CA3AC6">
        <w:rPr>
          <w:sz w:val="22"/>
          <w:szCs w:val="22"/>
        </w:rPr>
        <w:t xml:space="preserve">Table </w:t>
      </w:r>
      <w:r w:rsidR="00CA3AC6" w:rsidRPr="00CA3AC6">
        <w:rPr>
          <w:noProof/>
          <w:sz w:val="22"/>
          <w:szCs w:val="22"/>
        </w:rPr>
        <w:t>44</w:t>
      </w:r>
      <w:r w:rsidR="009836C0" w:rsidRPr="004E0F47">
        <w:rPr>
          <w:noProof/>
          <w:sz w:val="22"/>
          <w:szCs w:val="22"/>
        </w:rPr>
        <w:fldChar w:fldCharType="end"/>
      </w:r>
      <w:r w:rsidRPr="004E0F47">
        <w:rPr>
          <w:sz w:val="22"/>
          <w:szCs w:val="22"/>
        </w:rPr>
        <w:t>).  During June 2012, these 23 handset manufacturers offered a total of 266 handset models to mobile wireless service providers in the United States.</w:t>
      </w:r>
      <w:r w:rsidRPr="004E0F47">
        <w:rPr>
          <w:sz w:val="22"/>
          <w:szCs w:val="22"/>
          <w:vertAlign w:val="superscript"/>
        </w:rPr>
        <w:footnoteReference w:id="1038"/>
      </w:r>
      <w:r w:rsidRPr="004E0F47">
        <w:rPr>
          <w:sz w:val="22"/>
          <w:szCs w:val="22"/>
        </w:rPr>
        <w:t xml:space="preserve">  Nine of these handset manufacturers offered at least 10 handset models each. </w:t>
      </w:r>
      <w:bookmarkStart w:id="5021" w:name="_Ref250976614"/>
    </w:p>
    <w:p w:rsidR="00BE1C87" w:rsidRDefault="00BE1C87" w:rsidP="00BE1C87">
      <w:pPr>
        <w:pStyle w:val="ParaNum"/>
        <w:tabs>
          <w:tab w:val="clear" w:pos="1440"/>
        </w:tabs>
        <w:rPr>
          <w:sz w:val="22"/>
          <w:szCs w:val="22"/>
        </w:rPr>
      </w:pPr>
    </w:p>
    <w:p w:rsidR="00BE1C87" w:rsidRDefault="00BE1C87" w:rsidP="00BE1C87">
      <w:pPr>
        <w:pStyle w:val="ParaNum"/>
        <w:tabs>
          <w:tab w:val="clear" w:pos="1440"/>
        </w:tabs>
        <w:rPr>
          <w:sz w:val="22"/>
          <w:szCs w:val="22"/>
        </w:rPr>
      </w:pPr>
    </w:p>
    <w:p w:rsidR="00BE1C87" w:rsidRDefault="00BE1C87" w:rsidP="00BE1C87">
      <w:pPr>
        <w:pStyle w:val="ParaNum"/>
        <w:tabs>
          <w:tab w:val="clear" w:pos="1440"/>
        </w:tabs>
        <w:rPr>
          <w:sz w:val="22"/>
          <w:szCs w:val="22"/>
        </w:rPr>
      </w:pPr>
    </w:p>
    <w:p w:rsidR="00BE1C87" w:rsidRDefault="00BE1C87" w:rsidP="00BE1C87">
      <w:pPr>
        <w:pStyle w:val="ParaNum"/>
        <w:tabs>
          <w:tab w:val="clear" w:pos="1440"/>
        </w:tabs>
        <w:rPr>
          <w:sz w:val="22"/>
          <w:szCs w:val="22"/>
        </w:rPr>
      </w:pPr>
    </w:p>
    <w:p w:rsidR="00BE1C87" w:rsidRDefault="00BE1C87" w:rsidP="00BE1C87">
      <w:pPr>
        <w:pStyle w:val="ParaNum"/>
        <w:tabs>
          <w:tab w:val="clear" w:pos="1440"/>
        </w:tabs>
        <w:rPr>
          <w:sz w:val="22"/>
          <w:szCs w:val="22"/>
        </w:rPr>
      </w:pPr>
    </w:p>
    <w:p w:rsidR="00BE1C87" w:rsidRDefault="00BE1C87" w:rsidP="00BE1C87">
      <w:pPr>
        <w:pStyle w:val="ParaNum"/>
        <w:tabs>
          <w:tab w:val="clear" w:pos="1440"/>
        </w:tabs>
        <w:rPr>
          <w:sz w:val="22"/>
          <w:szCs w:val="22"/>
        </w:rPr>
      </w:pPr>
    </w:p>
    <w:p w:rsidR="00BE1C87" w:rsidRPr="004E0F47" w:rsidRDefault="00BE1C87" w:rsidP="00BE1C87">
      <w:pPr>
        <w:pStyle w:val="ParaNum"/>
        <w:tabs>
          <w:tab w:val="clear" w:pos="1440"/>
        </w:tabs>
        <w:rPr>
          <w:sz w:val="22"/>
          <w:szCs w:val="22"/>
        </w:rPr>
      </w:pPr>
    </w:p>
    <w:p w:rsidR="004A147C" w:rsidRPr="00F16FE9" w:rsidRDefault="004A147C" w:rsidP="00CE5850">
      <w:pPr>
        <w:spacing w:after="120"/>
        <w:ind w:left="720"/>
        <w:jc w:val="center"/>
        <w:rPr>
          <w:b/>
          <w:sz w:val="20"/>
        </w:rPr>
      </w:pPr>
      <w:bookmarkStart w:id="5022" w:name="_Ref332109200"/>
      <w:r w:rsidRPr="001402D3">
        <w:rPr>
          <w:b/>
          <w:szCs w:val="22"/>
        </w:rPr>
        <w:t xml:space="preserve">Table </w:t>
      </w:r>
      <w:r w:rsidR="0007014B" w:rsidRPr="001402D3">
        <w:rPr>
          <w:b/>
          <w:szCs w:val="22"/>
        </w:rPr>
        <w:fldChar w:fldCharType="begin"/>
      </w:r>
      <w:r w:rsidRPr="001402D3">
        <w:rPr>
          <w:b/>
          <w:szCs w:val="22"/>
        </w:rPr>
        <w:instrText xml:space="preserve"> SEQ Table \* ARABIC </w:instrText>
      </w:r>
      <w:r w:rsidR="0007014B" w:rsidRPr="001402D3">
        <w:rPr>
          <w:b/>
          <w:szCs w:val="22"/>
        </w:rPr>
        <w:fldChar w:fldCharType="separate"/>
      </w:r>
      <w:r w:rsidR="00CA3AC6">
        <w:rPr>
          <w:b/>
          <w:noProof/>
          <w:szCs w:val="22"/>
        </w:rPr>
        <w:t>44</w:t>
      </w:r>
      <w:r w:rsidR="0007014B" w:rsidRPr="001402D3">
        <w:rPr>
          <w:b/>
          <w:szCs w:val="22"/>
        </w:rPr>
        <w:fldChar w:fldCharType="end"/>
      </w:r>
      <w:bookmarkEnd w:id="5021"/>
      <w:bookmarkEnd w:id="5022"/>
      <w:r w:rsidRPr="001402D3">
        <w:rPr>
          <w:b/>
          <w:szCs w:val="22"/>
        </w:rPr>
        <w:br/>
        <w:t>Handset Manufacturers and Handset Models Offered, U.S., 2006-2012</w:t>
      </w:r>
      <w:r w:rsidRPr="00F16FE9">
        <w:rPr>
          <w:b/>
          <w:szCs w:val="22"/>
          <w:vertAlign w:val="superscript"/>
        </w:rPr>
        <w:footnoteReference w:id="1039"/>
      </w:r>
      <w:r w:rsidRPr="00F16FE9">
        <w:rPr>
          <w:b/>
          <w:sz w:val="20"/>
          <w:szCs w:val="22"/>
        </w:rPr>
        <w:t xml:space="preserve"> </w:t>
      </w:r>
    </w:p>
    <w:tbl>
      <w:tblPr>
        <w:tblW w:w="8858" w:type="dxa"/>
        <w:jc w:val="center"/>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ook w:val="01E0" w:firstRow="1" w:lastRow="1" w:firstColumn="1" w:lastColumn="1" w:noHBand="0" w:noVBand="0"/>
      </w:tblPr>
      <w:tblGrid>
        <w:gridCol w:w="2898"/>
        <w:gridCol w:w="1106"/>
        <w:gridCol w:w="797"/>
        <w:gridCol w:w="797"/>
        <w:gridCol w:w="815"/>
        <w:gridCol w:w="815"/>
        <w:gridCol w:w="815"/>
        <w:gridCol w:w="815"/>
      </w:tblGrid>
      <w:tr w:rsidR="004A147C" w:rsidRPr="00F16FE9" w:rsidTr="00F16FE9">
        <w:trPr>
          <w:jc w:val="center"/>
        </w:trPr>
        <w:tc>
          <w:tcPr>
            <w:tcW w:w="2898" w:type="dxa"/>
            <w:tcBorders>
              <w:top w:val="single" w:sz="4" w:space="0" w:color="auto"/>
            </w:tcBorders>
          </w:tcPr>
          <w:p w:rsidR="004A147C" w:rsidRPr="00F16FE9" w:rsidRDefault="004A147C" w:rsidP="00CE5850">
            <w:pPr>
              <w:jc w:val="center"/>
              <w:rPr>
                <w:b/>
              </w:rPr>
            </w:pPr>
            <w:r w:rsidRPr="00F16FE9">
              <w:rPr>
                <w:b/>
              </w:rPr>
              <w:t>Reporting Handset Manufacturers</w:t>
            </w:r>
          </w:p>
        </w:tc>
        <w:tc>
          <w:tcPr>
            <w:tcW w:w="1106" w:type="dxa"/>
            <w:tcBorders>
              <w:top w:val="single" w:sz="4" w:space="0" w:color="auto"/>
            </w:tcBorders>
            <w:vAlign w:val="bottom"/>
          </w:tcPr>
          <w:p w:rsidR="004A147C" w:rsidRPr="00F16FE9" w:rsidRDefault="004A147C" w:rsidP="00CE5850">
            <w:pPr>
              <w:jc w:val="center"/>
              <w:rPr>
                <w:b/>
                <w:bCs/>
              </w:rPr>
            </w:pPr>
            <w:r w:rsidRPr="00F16FE9">
              <w:rPr>
                <w:b/>
                <w:bCs/>
              </w:rPr>
              <w:t>2006 (Nov.)</w:t>
            </w:r>
          </w:p>
        </w:tc>
        <w:tc>
          <w:tcPr>
            <w:tcW w:w="797" w:type="dxa"/>
            <w:tcBorders>
              <w:top w:val="single" w:sz="4" w:space="0" w:color="auto"/>
            </w:tcBorders>
            <w:vAlign w:val="bottom"/>
          </w:tcPr>
          <w:p w:rsidR="004A147C" w:rsidRPr="00F16FE9" w:rsidRDefault="004A147C" w:rsidP="00CE5850">
            <w:pPr>
              <w:jc w:val="center"/>
              <w:rPr>
                <w:b/>
                <w:bCs/>
              </w:rPr>
            </w:pPr>
            <w:r w:rsidRPr="00F16FE9">
              <w:rPr>
                <w:b/>
                <w:bCs/>
              </w:rPr>
              <w:t>2007 (Nov.)</w:t>
            </w:r>
          </w:p>
        </w:tc>
        <w:tc>
          <w:tcPr>
            <w:tcW w:w="797" w:type="dxa"/>
            <w:tcBorders>
              <w:top w:val="single" w:sz="4" w:space="0" w:color="auto"/>
            </w:tcBorders>
            <w:vAlign w:val="bottom"/>
          </w:tcPr>
          <w:p w:rsidR="004A147C" w:rsidRPr="00F16FE9" w:rsidRDefault="004A147C" w:rsidP="00CE5850">
            <w:pPr>
              <w:jc w:val="center"/>
              <w:rPr>
                <w:b/>
                <w:bCs/>
              </w:rPr>
            </w:pPr>
            <w:r w:rsidRPr="00F16FE9">
              <w:rPr>
                <w:b/>
                <w:bCs/>
              </w:rPr>
              <w:t>2008 (Dec.)</w:t>
            </w:r>
          </w:p>
        </w:tc>
        <w:tc>
          <w:tcPr>
            <w:tcW w:w="815" w:type="dxa"/>
            <w:tcBorders>
              <w:top w:val="single" w:sz="4" w:space="0" w:color="auto"/>
            </w:tcBorders>
            <w:vAlign w:val="bottom"/>
          </w:tcPr>
          <w:p w:rsidR="004A147C" w:rsidRPr="00F16FE9" w:rsidRDefault="004A147C" w:rsidP="00CE5850">
            <w:pPr>
              <w:jc w:val="center"/>
              <w:rPr>
                <w:b/>
                <w:bCs/>
              </w:rPr>
            </w:pPr>
            <w:r w:rsidRPr="00F16FE9">
              <w:rPr>
                <w:b/>
                <w:bCs/>
              </w:rPr>
              <w:t>2009 (June)</w:t>
            </w:r>
          </w:p>
        </w:tc>
        <w:tc>
          <w:tcPr>
            <w:tcW w:w="815" w:type="dxa"/>
            <w:tcBorders>
              <w:top w:val="single" w:sz="4" w:space="0" w:color="auto"/>
              <w:right w:val="single" w:sz="4" w:space="0" w:color="auto"/>
            </w:tcBorders>
            <w:vAlign w:val="bottom"/>
          </w:tcPr>
          <w:p w:rsidR="004A147C" w:rsidRPr="00F16FE9" w:rsidRDefault="004A147C" w:rsidP="00CE5850">
            <w:pPr>
              <w:jc w:val="center"/>
              <w:rPr>
                <w:b/>
                <w:bCs/>
              </w:rPr>
            </w:pPr>
            <w:r w:rsidRPr="00F16FE9">
              <w:rPr>
                <w:b/>
                <w:bCs/>
              </w:rPr>
              <w:t>2010 (June)</w:t>
            </w:r>
          </w:p>
        </w:tc>
        <w:tc>
          <w:tcPr>
            <w:tcW w:w="815" w:type="dxa"/>
            <w:tcBorders>
              <w:top w:val="single" w:sz="4" w:space="0" w:color="auto"/>
              <w:right w:val="single" w:sz="4" w:space="0" w:color="auto"/>
            </w:tcBorders>
          </w:tcPr>
          <w:p w:rsidR="004A147C" w:rsidRPr="00F16FE9" w:rsidRDefault="004A147C" w:rsidP="00CE5850">
            <w:pPr>
              <w:jc w:val="center"/>
              <w:rPr>
                <w:b/>
                <w:bCs/>
              </w:rPr>
            </w:pPr>
            <w:r w:rsidRPr="00F16FE9">
              <w:rPr>
                <w:b/>
              </w:rPr>
              <w:t>2011 (June)</w:t>
            </w:r>
          </w:p>
        </w:tc>
        <w:tc>
          <w:tcPr>
            <w:tcW w:w="815" w:type="dxa"/>
            <w:tcBorders>
              <w:top w:val="single" w:sz="4" w:space="0" w:color="auto"/>
            </w:tcBorders>
          </w:tcPr>
          <w:p w:rsidR="004A147C" w:rsidRPr="00F16FE9" w:rsidRDefault="004A147C" w:rsidP="00CE5850">
            <w:pPr>
              <w:jc w:val="center"/>
              <w:rPr>
                <w:b/>
              </w:rPr>
            </w:pPr>
            <w:r w:rsidRPr="00F16FE9">
              <w:rPr>
                <w:b/>
              </w:rPr>
              <w:t>2012</w:t>
            </w:r>
          </w:p>
          <w:p w:rsidR="004A147C" w:rsidRPr="00F16FE9" w:rsidRDefault="004A147C" w:rsidP="00CE5850">
            <w:pPr>
              <w:jc w:val="center"/>
              <w:rPr>
                <w:b/>
              </w:rPr>
            </w:pPr>
            <w:r w:rsidRPr="00F16FE9">
              <w:rPr>
                <w:b/>
              </w:rPr>
              <w:t>(June)</w:t>
            </w:r>
          </w:p>
        </w:tc>
      </w:tr>
      <w:tr w:rsidR="004A147C" w:rsidRPr="00F16FE9" w:rsidTr="00F16FE9">
        <w:trPr>
          <w:jc w:val="center"/>
        </w:trPr>
        <w:tc>
          <w:tcPr>
            <w:tcW w:w="2898" w:type="dxa"/>
            <w:vAlign w:val="bottom"/>
          </w:tcPr>
          <w:p w:rsidR="004A147C" w:rsidRPr="00F16FE9" w:rsidRDefault="004A147C" w:rsidP="00CE5850">
            <w:pPr>
              <w:rPr>
                <w:i/>
              </w:rPr>
            </w:pPr>
            <w:r w:rsidRPr="00F16FE9">
              <w:rPr>
                <w:i/>
              </w:rPr>
              <w:t xml:space="preserve">Total Number </w:t>
            </w:r>
          </w:p>
        </w:tc>
        <w:tc>
          <w:tcPr>
            <w:tcW w:w="1106" w:type="dxa"/>
            <w:vAlign w:val="bottom"/>
          </w:tcPr>
          <w:p w:rsidR="004A147C" w:rsidRPr="00F16FE9" w:rsidRDefault="004A147C" w:rsidP="00CE5850">
            <w:pPr>
              <w:jc w:val="right"/>
              <w:rPr>
                <w:i/>
              </w:rPr>
            </w:pPr>
            <w:r w:rsidRPr="00F16FE9">
              <w:rPr>
                <w:i/>
              </w:rPr>
              <w:t>8</w:t>
            </w:r>
          </w:p>
        </w:tc>
        <w:tc>
          <w:tcPr>
            <w:tcW w:w="797" w:type="dxa"/>
            <w:vAlign w:val="bottom"/>
          </w:tcPr>
          <w:p w:rsidR="004A147C" w:rsidRPr="00F16FE9" w:rsidRDefault="004A147C" w:rsidP="00CE5850">
            <w:pPr>
              <w:jc w:val="right"/>
              <w:rPr>
                <w:i/>
              </w:rPr>
            </w:pPr>
            <w:r w:rsidRPr="00F16FE9">
              <w:rPr>
                <w:i/>
              </w:rPr>
              <w:t>12</w:t>
            </w:r>
          </w:p>
        </w:tc>
        <w:tc>
          <w:tcPr>
            <w:tcW w:w="797" w:type="dxa"/>
            <w:vAlign w:val="bottom"/>
          </w:tcPr>
          <w:p w:rsidR="004A147C" w:rsidRPr="00F16FE9" w:rsidRDefault="004A147C" w:rsidP="00CE5850">
            <w:pPr>
              <w:jc w:val="right"/>
              <w:rPr>
                <w:i/>
              </w:rPr>
            </w:pPr>
            <w:r w:rsidRPr="00F16FE9">
              <w:rPr>
                <w:i/>
              </w:rPr>
              <w:t>12</w:t>
            </w:r>
          </w:p>
        </w:tc>
        <w:tc>
          <w:tcPr>
            <w:tcW w:w="815" w:type="dxa"/>
            <w:vAlign w:val="bottom"/>
          </w:tcPr>
          <w:p w:rsidR="004A147C" w:rsidRPr="00F16FE9" w:rsidRDefault="004A147C" w:rsidP="00CE5850">
            <w:pPr>
              <w:jc w:val="right"/>
              <w:rPr>
                <w:i/>
              </w:rPr>
            </w:pPr>
            <w:r w:rsidRPr="00F16FE9">
              <w:rPr>
                <w:i/>
              </w:rPr>
              <w:t>16</w:t>
            </w:r>
          </w:p>
        </w:tc>
        <w:tc>
          <w:tcPr>
            <w:tcW w:w="815" w:type="dxa"/>
            <w:tcBorders>
              <w:right w:val="single" w:sz="4" w:space="0" w:color="auto"/>
            </w:tcBorders>
            <w:vAlign w:val="bottom"/>
          </w:tcPr>
          <w:p w:rsidR="004A147C" w:rsidRPr="00F16FE9" w:rsidRDefault="004A147C" w:rsidP="00CE5850">
            <w:pPr>
              <w:jc w:val="right"/>
              <w:rPr>
                <w:i/>
              </w:rPr>
            </w:pPr>
            <w:r w:rsidRPr="00F16FE9">
              <w:rPr>
                <w:i/>
              </w:rPr>
              <w:t>21</w:t>
            </w:r>
          </w:p>
        </w:tc>
        <w:tc>
          <w:tcPr>
            <w:tcW w:w="815" w:type="dxa"/>
            <w:tcBorders>
              <w:right w:val="single" w:sz="4" w:space="0" w:color="auto"/>
            </w:tcBorders>
          </w:tcPr>
          <w:p w:rsidR="004A147C" w:rsidRPr="00F16FE9" w:rsidRDefault="004A147C" w:rsidP="00CE5850">
            <w:pPr>
              <w:jc w:val="right"/>
              <w:rPr>
                <w:i/>
              </w:rPr>
            </w:pPr>
            <w:r w:rsidRPr="00F16FE9">
              <w:rPr>
                <w:i/>
              </w:rPr>
              <w:t>20</w:t>
            </w:r>
          </w:p>
        </w:tc>
        <w:tc>
          <w:tcPr>
            <w:tcW w:w="815" w:type="dxa"/>
          </w:tcPr>
          <w:p w:rsidR="004A147C" w:rsidRPr="00F16FE9" w:rsidRDefault="004A147C" w:rsidP="00CE5850">
            <w:pPr>
              <w:jc w:val="right"/>
              <w:rPr>
                <w:i/>
              </w:rPr>
            </w:pPr>
            <w:r w:rsidRPr="00F16FE9">
              <w:rPr>
                <w:i/>
              </w:rPr>
              <w:t>23</w:t>
            </w:r>
          </w:p>
        </w:tc>
      </w:tr>
      <w:tr w:rsidR="004A147C" w:rsidRPr="00F16FE9" w:rsidTr="00F16FE9">
        <w:trPr>
          <w:jc w:val="center"/>
        </w:trPr>
        <w:tc>
          <w:tcPr>
            <w:tcW w:w="2898" w:type="dxa"/>
            <w:vAlign w:val="bottom"/>
          </w:tcPr>
          <w:p w:rsidR="004A147C" w:rsidRPr="00F16FE9" w:rsidRDefault="004A147C" w:rsidP="00CE5850">
            <w:r w:rsidRPr="00F16FE9">
              <w:t>Total Number Offering Ten or More Handset Models</w:t>
            </w:r>
          </w:p>
        </w:tc>
        <w:tc>
          <w:tcPr>
            <w:tcW w:w="1106" w:type="dxa"/>
            <w:vAlign w:val="bottom"/>
          </w:tcPr>
          <w:p w:rsidR="004A147C" w:rsidRPr="00F16FE9" w:rsidRDefault="004A147C" w:rsidP="00CE5850">
            <w:pPr>
              <w:jc w:val="right"/>
            </w:pPr>
            <w:r w:rsidRPr="00F16FE9">
              <w:t>5</w:t>
            </w:r>
          </w:p>
        </w:tc>
        <w:tc>
          <w:tcPr>
            <w:tcW w:w="797" w:type="dxa"/>
            <w:vAlign w:val="bottom"/>
          </w:tcPr>
          <w:p w:rsidR="004A147C" w:rsidRPr="00F16FE9" w:rsidRDefault="004A147C" w:rsidP="00CE5850">
            <w:pPr>
              <w:jc w:val="right"/>
            </w:pPr>
            <w:r w:rsidRPr="00F16FE9">
              <w:t>8</w:t>
            </w:r>
          </w:p>
        </w:tc>
        <w:tc>
          <w:tcPr>
            <w:tcW w:w="797" w:type="dxa"/>
            <w:vAlign w:val="bottom"/>
          </w:tcPr>
          <w:p w:rsidR="004A147C" w:rsidRPr="00F16FE9" w:rsidRDefault="004A147C" w:rsidP="00CE5850">
            <w:pPr>
              <w:jc w:val="right"/>
            </w:pPr>
            <w:r w:rsidRPr="00F16FE9">
              <w:t>8</w:t>
            </w:r>
          </w:p>
        </w:tc>
        <w:tc>
          <w:tcPr>
            <w:tcW w:w="815" w:type="dxa"/>
            <w:vAlign w:val="bottom"/>
          </w:tcPr>
          <w:p w:rsidR="004A147C" w:rsidRPr="00F16FE9" w:rsidRDefault="004A147C" w:rsidP="00CE5850">
            <w:pPr>
              <w:jc w:val="right"/>
            </w:pPr>
            <w:r w:rsidRPr="00F16FE9">
              <w:t>9</w:t>
            </w:r>
          </w:p>
        </w:tc>
        <w:tc>
          <w:tcPr>
            <w:tcW w:w="815" w:type="dxa"/>
            <w:tcBorders>
              <w:right w:val="single" w:sz="4" w:space="0" w:color="auto"/>
            </w:tcBorders>
            <w:vAlign w:val="bottom"/>
          </w:tcPr>
          <w:p w:rsidR="004A147C" w:rsidRPr="00F16FE9" w:rsidRDefault="004A147C" w:rsidP="00CE5850">
            <w:pPr>
              <w:jc w:val="right"/>
            </w:pPr>
            <w:r w:rsidRPr="00F16FE9">
              <w:t>11</w:t>
            </w:r>
          </w:p>
        </w:tc>
        <w:tc>
          <w:tcPr>
            <w:tcW w:w="815" w:type="dxa"/>
            <w:tcBorders>
              <w:right w:val="single" w:sz="4" w:space="0" w:color="auto"/>
            </w:tcBorders>
            <w:vAlign w:val="bottom"/>
          </w:tcPr>
          <w:p w:rsidR="004A147C" w:rsidRPr="00F16FE9" w:rsidRDefault="004A147C" w:rsidP="00CE5850">
            <w:pPr>
              <w:jc w:val="right"/>
            </w:pPr>
            <w:r w:rsidRPr="00F16FE9">
              <w:t>8</w:t>
            </w:r>
          </w:p>
        </w:tc>
        <w:tc>
          <w:tcPr>
            <w:tcW w:w="815" w:type="dxa"/>
          </w:tcPr>
          <w:p w:rsidR="004A147C" w:rsidRPr="00F16FE9" w:rsidRDefault="004A147C" w:rsidP="00CE5850">
            <w:pPr>
              <w:jc w:val="right"/>
            </w:pPr>
          </w:p>
          <w:p w:rsidR="004A147C" w:rsidRPr="00F16FE9" w:rsidRDefault="004A147C" w:rsidP="00CE5850">
            <w:pPr>
              <w:jc w:val="right"/>
            </w:pPr>
            <w:r w:rsidRPr="00F16FE9">
              <w:t>9</w:t>
            </w:r>
          </w:p>
        </w:tc>
      </w:tr>
      <w:tr w:rsidR="004A147C" w:rsidRPr="00F16FE9" w:rsidTr="00F16FE9">
        <w:trPr>
          <w:jc w:val="center"/>
        </w:trPr>
        <w:tc>
          <w:tcPr>
            <w:tcW w:w="2898" w:type="dxa"/>
            <w:tcBorders>
              <w:bottom w:val="single" w:sz="4" w:space="0" w:color="auto"/>
            </w:tcBorders>
            <w:vAlign w:val="bottom"/>
          </w:tcPr>
          <w:p w:rsidR="004A147C" w:rsidRPr="00F16FE9" w:rsidRDefault="004A147C" w:rsidP="00CE5850">
            <w:r w:rsidRPr="00F16FE9">
              <w:t>Total Number of Handset Models Offered</w:t>
            </w:r>
          </w:p>
        </w:tc>
        <w:tc>
          <w:tcPr>
            <w:tcW w:w="1106" w:type="dxa"/>
            <w:tcBorders>
              <w:bottom w:val="single" w:sz="4" w:space="0" w:color="auto"/>
            </w:tcBorders>
            <w:vAlign w:val="bottom"/>
          </w:tcPr>
          <w:p w:rsidR="004A147C" w:rsidRPr="00F16FE9" w:rsidRDefault="004A147C" w:rsidP="00CE5850">
            <w:pPr>
              <w:jc w:val="right"/>
            </w:pPr>
            <w:r w:rsidRPr="00F16FE9">
              <w:t>124</w:t>
            </w:r>
          </w:p>
        </w:tc>
        <w:tc>
          <w:tcPr>
            <w:tcW w:w="797" w:type="dxa"/>
            <w:tcBorders>
              <w:bottom w:val="single" w:sz="4" w:space="0" w:color="auto"/>
            </w:tcBorders>
            <w:vAlign w:val="bottom"/>
          </w:tcPr>
          <w:p w:rsidR="004A147C" w:rsidRPr="00F16FE9" w:rsidRDefault="004A147C" w:rsidP="00CE5850">
            <w:pPr>
              <w:jc w:val="right"/>
            </w:pPr>
            <w:r w:rsidRPr="00F16FE9">
              <w:t>168</w:t>
            </w:r>
          </w:p>
        </w:tc>
        <w:tc>
          <w:tcPr>
            <w:tcW w:w="797" w:type="dxa"/>
            <w:tcBorders>
              <w:bottom w:val="single" w:sz="4" w:space="0" w:color="auto"/>
            </w:tcBorders>
            <w:vAlign w:val="bottom"/>
          </w:tcPr>
          <w:p w:rsidR="004A147C" w:rsidRPr="00F16FE9" w:rsidRDefault="004A147C" w:rsidP="00CE5850">
            <w:pPr>
              <w:jc w:val="right"/>
            </w:pPr>
            <w:r w:rsidRPr="00F16FE9">
              <w:t>346</w:t>
            </w:r>
          </w:p>
        </w:tc>
        <w:tc>
          <w:tcPr>
            <w:tcW w:w="815" w:type="dxa"/>
            <w:tcBorders>
              <w:bottom w:val="single" w:sz="4" w:space="0" w:color="auto"/>
            </w:tcBorders>
            <w:vAlign w:val="bottom"/>
          </w:tcPr>
          <w:p w:rsidR="004A147C" w:rsidRPr="00F16FE9" w:rsidRDefault="004A147C" w:rsidP="00CE5850">
            <w:pPr>
              <w:jc w:val="right"/>
            </w:pPr>
            <w:r w:rsidRPr="00F16FE9">
              <w:t>260</w:t>
            </w:r>
          </w:p>
        </w:tc>
        <w:tc>
          <w:tcPr>
            <w:tcW w:w="815" w:type="dxa"/>
            <w:tcBorders>
              <w:bottom w:val="single" w:sz="4" w:space="0" w:color="auto"/>
              <w:right w:val="single" w:sz="4" w:space="0" w:color="auto"/>
            </w:tcBorders>
            <w:vAlign w:val="bottom"/>
          </w:tcPr>
          <w:p w:rsidR="004A147C" w:rsidRPr="00F16FE9" w:rsidRDefault="004A147C" w:rsidP="00CE5850">
            <w:pPr>
              <w:jc w:val="right"/>
            </w:pPr>
            <w:r w:rsidRPr="00F16FE9">
              <w:t>302</w:t>
            </w:r>
          </w:p>
        </w:tc>
        <w:tc>
          <w:tcPr>
            <w:tcW w:w="815" w:type="dxa"/>
            <w:tcBorders>
              <w:bottom w:val="single" w:sz="4" w:space="0" w:color="auto"/>
              <w:right w:val="single" w:sz="4" w:space="0" w:color="auto"/>
            </w:tcBorders>
            <w:vAlign w:val="bottom"/>
          </w:tcPr>
          <w:p w:rsidR="004A147C" w:rsidRPr="00F16FE9" w:rsidRDefault="004A147C" w:rsidP="00CE5850">
            <w:pPr>
              <w:jc w:val="right"/>
            </w:pPr>
            <w:r w:rsidRPr="00F16FE9">
              <w:t>297</w:t>
            </w:r>
          </w:p>
        </w:tc>
        <w:tc>
          <w:tcPr>
            <w:tcW w:w="815" w:type="dxa"/>
            <w:tcBorders>
              <w:bottom w:val="single" w:sz="4" w:space="0" w:color="auto"/>
            </w:tcBorders>
          </w:tcPr>
          <w:p w:rsidR="004A147C" w:rsidRPr="00F16FE9" w:rsidRDefault="004A147C" w:rsidP="00CE5850">
            <w:pPr>
              <w:jc w:val="right"/>
            </w:pPr>
          </w:p>
          <w:p w:rsidR="004A147C" w:rsidRPr="00F16FE9" w:rsidRDefault="004A147C" w:rsidP="00CE5850">
            <w:pPr>
              <w:jc w:val="right"/>
            </w:pPr>
            <w:r w:rsidRPr="00F16FE9">
              <w:t>266</w:t>
            </w:r>
          </w:p>
        </w:tc>
      </w:tr>
    </w:tbl>
    <w:p w:rsidR="004A147C" w:rsidRPr="00F16FE9" w:rsidRDefault="004A147C" w:rsidP="00CE5850">
      <w:pPr>
        <w:rPr>
          <w:lang w:eastAsia="zh-CN"/>
        </w:rPr>
      </w:pPr>
    </w:p>
    <w:p w:rsidR="004A147C" w:rsidRPr="004E0F47" w:rsidRDefault="004A147C" w:rsidP="00CE5850">
      <w:pPr>
        <w:pStyle w:val="ParaNum"/>
        <w:numPr>
          <w:ilvl w:val="0"/>
          <w:numId w:val="28"/>
        </w:numPr>
        <w:rPr>
          <w:sz w:val="22"/>
          <w:szCs w:val="22"/>
        </w:rPr>
      </w:pPr>
      <w:r w:rsidRPr="004E0F47">
        <w:rPr>
          <w:sz w:val="22"/>
          <w:szCs w:val="22"/>
        </w:rPr>
        <w:t>Nineteen handset manufacturers offered a total of 160 smartphones in June 2012, compared to 166 in June 2011.</w:t>
      </w:r>
      <w:r w:rsidRPr="004E0F47">
        <w:rPr>
          <w:sz w:val="22"/>
          <w:szCs w:val="22"/>
          <w:vertAlign w:val="superscript"/>
        </w:rPr>
        <w:footnoteReference w:id="1040"/>
      </w:r>
      <w:r w:rsidRPr="004E0F47">
        <w:rPr>
          <w:sz w:val="22"/>
          <w:szCs w:val="22"/>
        </w:rPr>
        <w:t xml:space="preserve">  </w:t>
      </w:r>
      <w:r w:rsidR="005B380F" w:rsidRPr="004E0F47">
        <w:rPr>
          <w:sz w:val="22"/>
          <w:szCs w:val="22"/>
        </w:rPr>
        <w:fldChar w:fldCharType="begin"/>
      </w:r>
      <w:r w:rsidR="005B380F" w:rsidRPr="004E0F47">
        <w:rPr>
          <w:sz w:val="22"/>
          <w:szCs w:val="22"/>
        </w:rPr>
        <w:instrText xml:space="preserve"> REF _Ref257726635 \h  \* MERGEFORMAT </w:instrText>
      </w:r>
      <w:r w:rsidR="005B380F" w:rsidRPr="004E0F47">
        <w:rPr>
          <w:sz w:val="22"/>
          <w:szCs w:val="22"/>
        </w:rPr>
      </w:r>
      <w:r w:rsidR="005B380F" w:rsidRPr="004E0F47">
        <w:rPr>
          <w:sz w:val="22"/>
          <w:szCs w:val="22"/>
        </w:rPr>
        <w:fldChar w:fldCharType="separate"/>
      </w:r>
      <w:r w:rsidR="00CA3AC6" w:rsidRPr="00CA3AC6">
        <w:rPr>
          <w:sz w:val="22"/>
          <w:szCs w:val="22"/>
        </w:rPr>
        <w:t xml:space="preserve">Table </w:t>
      </w:r>
      <w:r w:rsidR="00CA3AC6" w:rsidRPr="00CA3AC6">
        <w:rPr>
          <w:noProof/>
          <w:sz w:val="22"/>
          <w:szCs w:val="22"/>
        </w:rPr>
        <w:t>45</w:t>
      </w:r>
      <w:r w:rsidR="005B380F" w:rsidRPr="004E0F47">
        <w:rPr>
          <w:sz w:val="22"/>
          <w:szCs w:val="22"/>
        </w:rPr>
        <w:fldChar w:fldCharType="end"/>
      </w:r>
      <w:r w:rsidRPr="004E0F47">
        <w:rPr>
          <w:sz w:val="22"/>
          <w:szCs w:val="22"/>
          <w:lang w:eastAsia="zh-CN"/>
        </w:rPr>
        <w:t xml:space="preserve"> </w:t>
      </w:r>
      <w:r w:rsidRPr="004E0F47">
        <w:rPr>
          <w:sz w:val="22"/>
          <w:szCs w:val="22"/>
        </w:rPr>
        <w:t>lists the top five smartphone and handset manufacturers, by number of models offered, that distributed in the United States in June 2011.  Tables 43 and 44 show that in June 2012, Samsung and LG offered the most smartphone models as well as the most handset models.</w:t>
      </w:r>
      <w:r w:rsidRPr="004E0F47">
        <w:rPr>
          <w:sz w:val="22"/>
          <w:szCs w:val="22"/>
          <w:vertAlign w:val="superscript"/>
        </w:rPr>
        <w:footnoteReference w:id="1041"/>
      </w:r>
      <w:r w:rsidRPr="004E0F47">
        <w:rPr>
          <w:sz w:val="22"/>
          <w:szCs w:val="22"/>
        </w:rPr>
        <w:t xml:space="preserve">  </w:t>
      </w:r>
    </w:p>
    <w:p w:rsidR="004A147C" w:rsidRPr="00F16FE9" w:rsidRDefault="004A147C" w:rsidP="00CE5850">
      <w:pPr>
        <w:spacing w:before="120" w:after="120"/>
        <w:jc w:val="center"/>
        <w:rPr>
          <w:b/>
          <w:bCs/>
          <w:kern w:val="0"/>
          <w:szCs w:val="22"/>
          <w:lang w:eastAsia="zh-CN"/>
        </w:rPr>
      </w:pPr>
      <w:bookmarkStart w:id="5023" w:name="_Ref257726635"/>
      <w:r w:rsidRPr="00F16FE9">
        <w:rPr>
          <w:b/>
          <w:bCs/>
          <w:kern w:val="0"/>
          <w:szCs w:val="22"/>
        </w:rPr>
        <w:t xml:space="preserve">Table </w:t>
      </w:r>
      <w:r w:rsidR="0007014B" w:rsidRPr="00F16FE9">
        <w:rPr>
          <w:b/>
          <w:bCs/>
          <w:kern w:val="0"/>
          <w:szCs w:val="22"/>
        </w:rPr>
        <w:fldChar w:fldCharType="begin"/>
      </w:r>
      <w:r w:rsidRPr="00F16FE9">
        <w:rPr>
          <w:b/>
          <w:bCs/>
          <w:kern w:val="0"/>
          <w:szCs w:val="22"/>
        </w:rPr>
        <w:instrText xml:space="preserve"> SEQ Table \* ARABIC </w:instrText>
      </w:r>
      <w:r w:rsidR="0007014B" w:rsidRPr="00F16FE9">
        <w:rPr>
          <w:b/>
          <w:bCs/>
          <w:kern w:val="0"/>
          <w:szCs w:val="22"/>
        </w:rPr>
        <w:fldChar w:fldCharType="separate"/>
      </w:r>
      <w:r w:rsidR="00CA3AC6">
        <w:rPr>
          <w:b/>
          <w:bCs/>
          <w:noProof/>
          <w:kern w:val="0"/>
          <w:szCs w:val="22"/>
        </w:rPr>
        <w:t>45</w:t>
      </w:r>
      <w:r w:rsidR="0007014B" w:rsidRPr="00F16FE9">
        <w:rPr>
          <w:b/>
          <w:bCs/>
          <w:kern w:val="0"/>
          <w:szCs w:val="22"/>
        </w:rPr>
        <w:fldChar w:fldCharType="end"/>
      </w:r>
      <w:bookmarkEnd w:id="5023"/>
      <w:r w:rsidRPr="00F16FE9">
        <w:rPr>
          <w:b/>
          <w:bCs/>
          <w:kern w:val="0"/>
          <w:szCs w:val="22"/>
        </w:rPr>
        <w:br/>
      </w:r>
      <w:r w:rsidRPr="00F16FE9">
        <w:rPr>
          <w:b/>
          <w:bCs/>
          <w:kern w:val="0"/>
          <w:szCs w:val="22"/>
          <w:lang w:eastAsia="zh-CN"/>
        </w:rPr>
        <w:t>Smartphone Manufacturers by Number of Smartphone Models U.S., June 2012</w:t>
      </w:r>
    </w:p>
    <w:tbl>
      <w:tblPr>
        <w:tblW w:w="0" w:type="auto"/>
        <w:jc w:val="center"/>
        <w:tblInd w:w="918" w:type="dxa"/>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ook w:val="01E0" w:firstRow="1" w:lastRow="1" w:firstColumn="1" w:lastColumn="1" w:noHBand="0" w:noVBand="0"/>
      </w:tblPr>
      <w:tblGrid>
        <w:gridCol w:w="2610"/>
        <w:gridCol w:w="2419"/>
      </w:tblGrid>
      <w:tr w:rsidR="004A147C" w:rsidRPr="00F16FE9" w:rsidTr="00F16FE9">
        <w:trPr>
          <w:jc w:val="center"/>
        </w:trPr>
        <w:tc>
          <w:tcPr>
            <w:tcW w:w="2610" w:type="dxa"/>
            <w:tcBorders>
              <w:top w:val="single" w:sz="4" w:space="0" w:color="auto"/>
            </w:tcBorders>
          </w:tcPr>
          <w:p w:rsidR="004A147C" w:rsidRPr="00F16FE9" w:rsidRDefault="004A147C" w:rsidP="00CE5850">
            <w:pPr>
              <w:jc w:val="center"/>
              <w:rPr>
                <w:b/>
              </w:rPr>
            </w:pPr>
            <w:r w:rsidRPr="00F16FE9">
              <w:rPr>
                <w:b/>
              </w:rPr>
              <w:t xml:space="preserve">Top Five Smartphone Manufacturers </w:t>
            </w:r>
          </w:p>
        </w:tc>
        <w:tc>
          <w:tcPr>
            <w:tcW w:w="2419" w:type="dxa"/>
            <w:tcBorders>
              <w:top w:val="single" w:sz="4" w:space="0" w:color="auto"/>
            </w:tcBorders>
          </w:tcPr>
          <w:p w:rsidR="004A147C" w:rsidRPr="00F16FE9" w:rsidRDefault="004A147C" w:rsidP="00CE5850">
            <w:pPr>
              <w:jc w:val="center"/>
              <w:rPr>
                <w:b/>
              </w:rPr>
            </w:pPr>
            <w:r w:rsidRPr="00F16FE9">
              <w:rPr>
                <w:b/>
              </w:rPr>
              <w:t>Number of Smartphone Models</w:t>
            </w:r>
          </w:p>
        </w:tc>
      </w:tr>
      <w:tr w:rsidR="004A147C" w:rsidRPr="00F16FE9" w:rsidTr="00F16FE9">
        <w:trPr>
          <w:jc w:val="center"/>
        </w:trPr>
        <w:tc>
          <w:tcPr>
            <w:tcW w:w="2610" w:type="dxa"/>
            <w:vAlign w:val="bottom"/>
          </w:tcPr>
          <w:p w:rsidR="004A147C" w:rsidRPr="00F16FE9" w:rsidRDefault="004A147C" w:rsidP="00CE5850">
            <w:r w:rsidRPr="00F16FE9">
              <w:t>Samsung</w:t>
            </w:r>
          </w:p>
        </w:tc>
        <w:tc>
          <w:tcPr>
            <w:tcW w:w="2419" w:type="dxa"/>
            <w:vAlign w:val="bottom"/>
          </w:tcPr>
          <w:p w:rsidR="004A147C" w:rsidRPr="00F16FE9" w:rsidRDefault="004A147C" w:rsidP="00CE5850">
            <w:pPr>
              <w:jc w:val="right"/>
            </w:pPr>
            <w:r w:rsidRPr="00F16FE9">
              <w:t>39</w:t>
            </w:r>
          </w:p>
        </w:tc>
      </w:tr>
      <w:tr w:rsidR="004A147C" w:rsidRPr="00F16FE9" w:rsidTr="00F16FE9">
        <w:trPr>
          <w:jc w:val="center"/>
        </w:trPr>
        <w:tc>
          <w:tcPr>
            <w:tcW w:w="2610" w:type="dxa"/>
            <w:vAlign w:val="bottom"/>
          </w:tcPr>
          <w:p w:rsidR="004A147C" w:rsidRPr="00F16FE9" w:rsidRDefault="004A147C" w:rsidP="00CE5850">
            <w:r w:rsidRPr="00F16FE9">
              <w:t>LG</w:t>
            </w:r>
          </w:p>
        </w:tc>
        <w:tc>
          <w:tcPr>
            <w:tcW w:w="2419" w:type="dxa"/>
            <w:vAlign w:val="bottom"/>
          </w:tcPr>
          <w:p w:rsidR="004A147C" w:rsidRPr="00F16FE9" w:rsidRDefault="004A147C" w:rsidP="00CE5850">
            <w:pPr>
              <w:jc w:val="right"/>
            </w:pPr>
            <w:r w:rsidRPr="00F16FE9">
              <w:t>34</w:t>
            </w:r>
          </w:p>
        </w:tc>
      </w:tr>
      <w:tr w:rsidR="004A147C" w:rsidRPr="00F16FE9" w:rsidTr="00F16FE9">
        <w:trPr>
          <w:jc w:val="center"/>
        </w:trPr>
        <w:tc>
          <w:tcPr>
            <w:tcW w:w="2610" w:type="dxa"/>
            <w:vAlign w:val="bottom"/>
          </w:tcPr>
          <w:p w:rsidR="004A147C" w:rsidRPr="00F16FE9" w:rsidRDefault="004A147C" w:rsidP="00CE5850">
            <w:r w:rsidRPr="00F16FE9">
              <w:t>Research in Motion</w:t>
            </w:r>
          </w:p>
        </w:tc>
        <w:tc>
          <w:tcPr>
            <w:tcW w:w="2419" w:type="dxa"/>
            <w:vAlign w:val="bottom"/>
          </w:tcPr>
          <w:p w:rsidR="004A147C" w:rsidRPr="00F16FE9" w:rsidRDefault="004A147C" w:rsidP="00CE5850">
            <w:pPr>
              <w:jc w:val="right"/>
            </w:pPr>
            <w:r w:rsidRPr="00F16FE9">
              <w:t>13</w:t>
            </w:r>
          </w:p>
        </w:tc>
      </w:tr>
      <w:tr w:rsidR="004A147C" w:rsidRPr="00F16FE9" w:rsidTr="00F16FE9">
        <w:trPr>
          <w:jc w:val="center"/>
        </w:trPr>
        <w:tc>
          <w:tcPr>
            <w:tcW w:w="2610" w:type="dxa"/>
            <w:vAlign w:val="bottom"/>
          </w:tcPr>
          <w:p w:rsidR="004A147C" w:rsidRPr="00F16FE9" w:rsidRDefault="004A147C" w:rsidP="00CE5850">
            <w:r w:rsidRPr="00F16FE9">
              <w:t>HTC</w:t>
            </w:r>
          </w:p>
        </w:tc>
        <w:tc>
          <w:tcPr>
            <w:tcW w:w="2419" w:type="dxa"/>
            <w:vAlign w:val="bottom"/>
          </w:tcPr>
          <w:p w:rsidR="004A147C" w:rsidRPr="00F16FE9" w:rsidRDefault="004A147C" w:rsidP="00CE5850">
            <w:pPr>
              <w:jc w:val="right"/>
            </w:pPr>
            <w:r w:rsidRPr="00F16FE9">
              <w:t>10</w:t>
            </w:r>
          </w:p>
        </w:tc>
      </w:tr>
      <w:tr w:rsidR="004A147C" w:rsidRPr="00F16FE9" w:rsidTr="00F16FE9">
        <w:trPr>
          <w:jc w:val="center"/>
        </w:trPr>
        <w:tc>
          <w:tcPr>
            <w:tcW w:w="2610" w:type="dxa"/>
            <w:vAlign w:val="bottom"/>
          </w:tcPr>
          <w:p w:rsidR="004A147C" w:rsidRPr="00F16FE9" w:rsidRDefault="004A147C" w:rsidP="00CE5850">
            <w:r w:rsidRPr="00F16FE9">
              <w:t>Huawei</w:t>
            </w:r>
          </w:p>
        </w:tc>
        <w:tc>
          <w:tcPr>
            <w:tcW w:w="2419" w:type="dxa"/>
            <w:vAlign w:val="bottom"/>
          </w:tcPr>
          <w:p w:rsidR="004A147C" w:rsidRPr="00F16FE9" w:rsidRDefault="004A147C" w:rsidP="00CE5850">
            <w:pPr>
              <w:jc w:val="right"/>
            </w:pPr>
            <w:r w:rsidRPr="00F16FE9">
              <w:t>10</w:t>
            </w:r>
          </w:p>
        </w:tc>
      </w:tr>
      <w:tr w:rsidR="004A147C" w:rsidRPr="00F16FE9" w:rsidTr="00F16FE9">
        <w:trPr>
          <w:jc w:val="center"/>
        </w:trPr>
        <w:tc>
          <w:tcPr>
            <w:tcW w:w="2610" w:type="dxa"/>
            <w:tcBorders>
              <w:bottom w:val="single" w:sz="4" w:space="0" w:color="auto"/>
            </w:tcBorders>
          </w:tcPr>
          <w:p w:rsidR="004A147C" w:rsidRPr="00F16FE9" w:rsidRDefault="004A147C" w:rsidP="00CE5850">
            <w:r w:rsidRPr="00F16FE9">
              <w:t>Total</w:t>
            </w:r>
          </w:p>
        </w:tc>
        <w:tc>
          <w:tcPr>
            <w:tcW w:w="2419" w:type="dxa"/>
            <w:tcBorders>
              <w:bottom w:val="single" w:sz="4" w:space="0" w:color="auto"/>
            </w:tcBorders>
          </w:tcPr>
          <w:p w:rsidR="004A147C" w:rsidRPr="00F16FE9" w:rsidRDefault="004A147C" w:rsidP="00CE5850">
            <w:pPr>
              <w:jc w:val="right"/>
            </w:pPr>
            <w:r w:rsidRPr="00F16FE9">
              <w:t>96</w:t>
            </w:r>
          </w:p>
          <w:p w:rsidR="004A147C" w:rsidRPr="00F16FE9" w:rsidRDefault="004A147C" w:rsidP="00CE5850">
            <w:pPr>
              <w:jc w:val="right"/>
              <w:rPr>
                <w:b/>
              </w:rPr>
            </w:pPr>
          </w:p>
        </w:tc>
      </w:tr>
    </w:tbl>
    <w:p w:rsidR="004A147C" w:rsidRPr="00F16FE9" w:rsidRDefault="004A147C" w:rsidP="00BE1C87">
      <w:pPr>
        <w:spacing w:before="120" w:after="120"/>
        <w:jc w:val="center"/>
        <w:rPr>
          <w:b/>
          <w:bCs/>
          <w:kern w:val="0"/>
          <w:szCs w:val="22"/>
          <w:lang w:eastAsia="zh-CN"/>
        </w:rPr>
      </w:pPr>
      <w:r w:rsidRPr="00F16FE9">
        <w:rPr>
          <w:b/>
          <w:bCs/>
          <w:kern w:val="0"/>
          <w:szCs w:val="22"/>
        </w:rPr>
        <w:t xml:space="preserve">Table </w:t>
      </w:r>
      <w:r w:rsidR="0007014B" w:rsidRPr="00F16FE9">
        <w:rPr>
          <w:b/>
          <w:bCs/>
          <w:kern w:val="0"/>
          <w:szCs w:val="22"/>
        </w:rPr>
        <w:fldChar w:fldCharType="begin"/>
      </w:r>
      <w:r w:rsidRPr="00F16FE9">
        <w:rPr>
          <w:b/>
          <w:bCs/>
          <w:kern w:val="0"/>
          <w:szCs w:val="22"/>
        </w:rPr>
        <w:instrText xml:space="preserve"> SEQ Table \* ARABIC </w:instrText>
      </w:r>
      <w:r w:rsidR="0007014B" w:rsidRPr="00F16FE9">
        <w:rPr>
          <w:b/>
          <w:bCs/>
          <w:kern w:val="0"/>
          <w:szCs w:val="22"/>
        </w:rPr>
        <w:fldChar w:fldCharType="separate"/>
      </w:r>
      <w:r w:rsidR="00CA3AC6">
        <w:rPr>
          <w:b/>
          <w:bCs/>
          <w:noProof/>
          <w:kern w:val="0"/>
          <w:szCs w:val="22"/>
        </w:rPr>
        <w:t>46</w:t>
      </w:r>
      <w:r w:rsidR="0007014B" w:rsidRPr="00F16FE9">
        <w:rPr>
          <w:b/>
          <w:bCs/>
          <w:kern w:val="0"/>
          <w:szCs w:val="22"/>
        </w:rPr>
        <w:fldChar w:fldCharType="end"/>
      </w:r>
      <w:r w:rsidRPr="00F16FE9">
        <w:rPr>
          <w:b/>
          <w:bCs/>
          <w:kern w:val="0"/>
          <w:szCs w:val="22"/>
        </w:rPr>
        <w:br/>
      </w:r>
      <w:r w:rsidRPr="00F16FE9">
        <w:rPr>
          <w:b/>
          <w:bCs/>
          <w:kern w:val="0"/>
          <w:szCs w:val="22"/>
          <w:lang w:eastAsia="zh-CN"/>
        </w:rPr>
        <w:t>Handset Manufacturers by Number of Handset Models U.S., June 2012</w:t>
      </w:r>
    </w:p>
    <w:tbl>
      <w:tblPr>
        <w:tblW w:w="0" w:type="auto"/>
        <w:jc w:val="center"/>
        <w:tblInd w:w="1008" w:type="dxa"/>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ook w:val="01E0" w:firstRow="1" w:lastRow="1" w:firstColumn="1" w:lastColumn="1" w:noHBand="0" w:noVBand="0"/>
      </w:tblPr>
      <w:tblGrid>
        <w:gridCol w:w="2471"/>
        <w:gridCol w:w="1738"/>
      </w:tblGrid>
      <w:tr w:rsidR="004A147C" w:rsidRPr="00F16FE9" w:rsidTr="00F16FE9">
        <w:trPr>
          <w:jc w:val="center"/>
        </w:trPr>
        <w:tc>
          <w:tcPr>
            <w:tcW w:w="0" w:type="auto"/>
            <w:tcBorders>
              <w:top w:val="single" w:sz="4" w:space="0" w:color="auto"/>
            </w:tcBorders>
          </w:tcPr>
          <w:p w:rsidR="004A147C" w:rsidRPr="00F16FE9" w:rsidRDefault="004A147C" w:rsidP="00CE5850">
            <w:pPr>
              <w:jc w:val="center"/>
              <w:rPr>
                <w:b/>
              </w:rPr>
            </w:pPr>
            <w:r w:rsidRPr="00F16FE9">
              <w:rPr>
                <w:b/>
              </w:rPr>
              <w:t xml:space="preserve">Top Five </w:t>
            </w:r>
          </w:p>
          <w:p w:rsidR="004A147C" w:rsidRPr="00F16FE9" w:rsidRDefault="004A147C" w:rsidP="00CE5850">
            <w:pPr>
              <w:jc w:val="center"/>
              <w:rPr>
                <w:b/>
              </w:rPr>
            </w:pPr>
            <w:r w:rsidRPr="00F16FE9">
              <w:rPr>
                <w:b/>
              </w:rPr>
              <w:t>Handset Manufacturers</w:t>
            </w:r>
          </w:p>
        </w:tc>
        <w:tc>
          <w:tcPr>
            <w:tcW w:w="0" w:type="auto"/>
            <w:tcBorders>
              <w:top w:val="single" w:sz="4" w:space="0" w:color="auto"/>
            </w:tcBorders>
          </w:tcPr>
          <w:p w:rsidR="004A147C" w:rsidRPr="00F16FE9" w:rsidRDefault="004A147C" w:rsidP="00CE5850">
            <w:pPr>
              <w:jc w:val="center"/>
              <w:rPr>
                <w:b/>
              </w:rPr>
            </w:pPr>
            <w:r w:rsidRPr="00F16FE9">
              <w:rPr>
                <w:b/>
              </w:rPr>
              <w:t xml:space="preserve">Number of  </w:t>
            </w:r>
          </w:p>
          <w:p w:rsidR="004A147C" w:rsidRPr="00F16FE9" w:rsidRDefault="004A147C" w:rsidP="00CE5850">
            <w:pPr>
              <w:jc w:val="center"/>
              <w:rPr>
                <w:b/>
              </w:rPr>
            </w:pPr>
            <w:r w:rsidRPr="00F16FE9">
              <w:rPr>
                <w:b/>
              </w:rPr>
              <w:t>Handset Models</w:t>
            </w:r>
          </w:p>
        </w:tc>
      </w:tr>
      <w:tr w:rsidR="004A147C" w:rsidRPr="00F16FE9" w:rsidTr="00F16FE9">
        <w:trPr>
          <w:jc w:val="center"/>
        </w:trPr>
        <w:tc>
          <w:tcPr>
            <w:tcW w:w="0" w:type="auto"/>
          </w:tcPr>
          <w:p w:rsidR="004A147C" w:rsidRPr="00F16FE9" w:rsidRDefault="004A147C" w:rsidP="00CE5850">
            <w:r w:rsidRPr="00F16FE9">
              <w:t>Samsung</w:t>
            </w:r>
          </w:p>
        </w:tc>
        <w:tc>
          <w:tcPr>
            <w:tcW w:w="0" w:type="auto"/>
          </w:tcPr>
          <w:p w:rsidR="004A147C" w:rsidRPr="00F16FE9" w:rsidRDefault="004A147C" w:rsidP="00CE5850">
            <w:pPr>
              <w:jc w:val="right"/>
            </w:pPr>
            <w:r w:rsidRPr="00F16FE9">
              <w:t>65</w:t>
            </w:r>
          </w:p>
        </w:tc>
      </w:tr>
      <w:tr w:rsidR="004A147C" w:rsidRPr="00F16FE9" w:rsidTr="00F16FE9">
        <w:trPr>
          <w:jc w:val="center"/>
        </w:trPr>
        <w:tc>
          <w:tcPr>
            <w:tcW w:w="0" w:type="auto"/>
          </w:tcPr>
          <w:p w:rsidR="004A147C" w:rsidRPr="00F16FE9" w:rsidRDefault="004A147C" w:rsidP="00CE5850">
            <w:r w:rsidRPr="00F16FE9">
              <w:t>LG</w:t>
            </w:r>
          </w:p>
        </w:tc>
        <w:tc>
          <w:tcPr>
            <w:tcW w:w="0" w:type="auto"/>
          </w:tcPr>
          <w:p w:rsidR="004A147C" w:rsidRPr="00F16FE9" w:rsidRDefault="004A147C" w:rsidP="00CE5850">
            <w:pPr>
              <w:jc w:val="right"/>
            </w:pPr>
            <w:r w:rsidRPr="00F16FE9">
              <w:t>35</w:t>
            </w:r>
          </w:p>
        </w:tc>
      </w:tr>
      <w:tr w:rsidR="004A147C" w:rsidRPr="00F16FE9" w:rsidTr="00F16FE9">
        <w:trPr>
          <w:jc w:val="center"/>
        </w:trPr>
        <w:tc>
          <w:tcPr>
            <w:tcW w:w="0" w:type="auto"/>
          </w:tcPr>
          <w:p w:rsidR="004A147C" w:rsidRPr="00F16FE9" w:rsidRDefault="004A147C" w:rsidP="00CE5850">
            <w:r w:rsidRPr="00F16FE9">
              <w:t>Motorola</w:t>
            </w:r>
          </w:p>
        </w:tc>
        <w:tc>
          <w:tcPr>
            <w:tcW w:w="0" w:type="auto"/>
          </w:tcPr>
          <w:p w:rsidR="004A147C" w:rsidRPr="00F16FE9" w:rsidRDefault="004A147C" w:rsidP="00CE5850">
            <w:pPr>
              <w:jc w:val="right"/>
            </w:pPr>
            <w:r w:rsidRPr="00F16FE9">
              <w:t>24</w:t>
            </w:r>
          </w:p>
        </w:tc>
      </w:tr>
      <w:tr w:rsidR="004A147C" w:rsidRPr="00F16FE9" w:rsidTr="00F16FE9">
        <w:trPr>
          <w:jc w:val="center"/>
        </w:trPr>
        <w:tc>
          <w:tcPr>
            <w:tcW w:w="0" w:type="auto"/>
          </w:tcPr>
          <w:p w:rsidR="004A147C" w:rsidRPr="00F16FE9" w:rsidRDefault="004A147C" w:rsidP="00CE5850">
            <w:r w:rsidRPr="00F16FE9">
              <w:t>Kyocera</w:t>
            </w:r>
          </w:p>
        </w:tc>
        <w:tc>
          <w:tcPr>
            <w:tcW w:w="0" w:type="auto"/>
          </w:tcPr>
          <w:p w:rsidR="004A147C" w:rsidRPr="00F16FE9" w:rsidRDefault="004A147C" w:rsidP="00CE5850">
            <w:pPr>
              <w:jc w:val="right"/>
            </w:pPr>
            <w:r w:rsidRPr="00F16FE9">
              <w:t>21</w:t>
            </w:r>
          </w:p>
        </w:tc>
      </w:tr>
      <w:tr w:rsidR="004A147C" w:rsidRPr="00F16FE9" w:rsidTr="00F16FE9">
        <w:trPr>
          <w:jc w:val="center"/>
        </w:trPr>
        <w:tc>
          <w:tcPr>
            <w:tcW w:w="0" w:type="auto"/>
          </w:tcPr>
          <w:p w:rsidR="004A147C" w:rsidRPr="00F16FE9" w:rsidRDefault="004A147C" w:rsidP="00CE5850">
            <w:r w:rsidRPr="00F16FE9">
              <w:t>Pantech</w:t>
            </w:r>
          </w:p>
        </w:tc>
        <w:tc>
          <w:tcPr>
            <w:tcW w:w="0" w:type="auto"/>
          </w:tcPr>
          <w:p w:rsidR="004A147C" w:rsidRPr="00F16FE9" w:rsidRDefault="004A147C" w:rsidP="00CE5850">
            <w:pPr>
              <w:jc w:val="right"/>
            </w:pPr>
            <w:r w:rsidRPr="00F16FE9">
              <w:t>17</w:t>
            </w:r>
          </w:p>
        </w:tc>
      </w:tr>
      <w:tr w:rsidR="004A147C" w:rsidRPr="00F16FE9" w:rsidTr="00F16FE9">
        <w:trPr>
          <w:jc w:val="center"/>
        </w:trPr>
        <w:tc>
          <w:tcPr>
            <w:tcW w:w="0" w:type="auto"/>
            <w:tcBorders>
              <w:bottom w:val="single" w:sz="4" w:space="0" w:color="auto"/>
            </w:tcBorders>
          </w:tcPr>
          <w:p w:rsidR="004A147C" w:rsidRPr="00F16FE9" w:rsidRDefault="004A147C" w:rsidP="00CE5850">
            <w:r w:rsidRPr="00F16FE9">
              <w:t>Total</w:t>
            </w:r>
          </w:p>
        </w:tc>
        <w:tc>
          <w:tcPr>
            <w:tcW w:w="0" w:type="auto"/>
            <w:tcBorders>
              <w:bottom w:val="single" w:sz="4" w:space="0" w:color="auto"/>
            </w:tcBorders>
          </w:tcPr>
          <w:p w:rsidR="004A147C" w:rsidRPr="00F16FE9" w:rsidRDefault="004A147C" w:rsidP="00CE5850">
            <w:pPr>
              <w:jc w:val="right"/>
            </w:pPr>
            <w:r w:rsidRPr="00F16FE9">
              <w:t>162</w:t>
            </w:r>
          </w:p>
        </w:tc>
      </w:tr>
    </w:tbl>
    <w:p w:rsidR="004A147C" w:rsidRPr="00F16FE9" w:rsidRDefault="004A147C" w:rsidP="00CE5850">
      <w:pPr>
        <w:rPr>
          <w:lang w:eastAsia="zh-CN"/>
        </w:rPr>
      </w:pPr>
    </w:p>
    <w:p w:rsidR="004A147C" w:rsidRPr="004E0F47" w:rsidRDefault="004A147C" w:rsidP="00CE5850">
      <w:pPr>
        <w:pStyle w:val="ParaNum"/>
        <w:numPr>
          <w:ilvl w:val="0"/>
          <w:numId w:val="28"/>
        </w:numPr>
        <w:rPr>
          <w:sz w:val="22"/>
          <w:szCs w:val="22"/>
          <w:lang w:eastAsia="zh-CN"/>
        </w:rPr>
      </w:pPr>
      <w:r w:rsidRPr="004E0F47">
        <w:rPr>
          <w:i/>
          <w:sz w:val="22"/>
          <w:szCs w:val="22"/>
          <w:lang w:eastAsia="zh-CN"/>
        </w:rPr>
        <w:t>Share of Mobile Devices by Manufacturer</w:t>
      </w:r>
      <w:r w:rsidRPr="004E0F47">
        <w:rPr>
          <w:sz w:val="22"/>
          <w:szCs w:val="22"/>
          <w:lang w:eastAsia="zh-CN"/>
        </w:rPr>
        <w:t>.  ComScore, a marketing information company, estimates that in September 2012 the top five handset manufacturers in the United States accounted for 78.3 percent of mobile devices currently in use, and all other manufacturers accounted for the remaining 21.7 percent (</w:t>
      </w:r>
      <w:r w:rsidR="009836C0" w:rsidRPr="004E0F47">
        <w:rPr>
          <w:sz w:val="22"/>
          <w:szCs w:val="22"/>
        </w:rPr>
        <w:fldChar w:fldCharType="begin"/>
      </w:r>
      <w:r w:rsidR="009836C0" w:rsidRPr="004E0F47">
        <w:rPr>
          <w:sz w:val="22"/>
          <w:szCs w:val="22"/>
        </w:rPr>
        <w:instrText xml:space="preserve"> REF _Ref332109357  \* MERGEFORMAT </w:instrText>
      </w:r>
      <w:r w:rsidR="009836C0" w:rsidRPr="004E0F47">
        <w:rPr>
          <w:sz w:val="22"/>
          <w:szCs w:val="22"/>
        </w:rPr>
        <w:fldChar w:fldCharType="separate"/>
      </w:r>
      <w:r w:rsidR="00CA3AC6" w:rsidRPr="00CA3AC6">
        <w:rPr>
          <w:sz w:val="22"/>
          <w:szCs w:val="22"/>
          <w:lang w:eastAsia="zh-CN"/>
        </w:rPr>
        <w:t xml:space="preserve">Table </w:t>
      </w:r>
      <w:r w:rsidR="00CA3AC6" w:rsidRPr="00CA3AC6">
        <w:rPr>
          <w:noProof/>
          <w:sz w:val="22"/>
          <w:szCs w:val="22"/>
          <w:lang w:eastAsia="zh-CN"/>
        </w:rPr>
        <w:t>47</w:t>
      </w:r>
      <w:r w:rsidR="009836C0" w:rsidRPr="004E0F47">
        <w:rPr>
          <w:noProof/>
          <w:sz w:val="22"/>
          <w:szCs w:val="22"/>
          <w:lang w:eastAsia="zh-CN"/>
        </w:rPr>
        <w:fldChar w:fldCharType="end"/>
      </w:r>
      <w:r w:rsidRPr="004E0F47">
        <w:rPr>
          <w:sz w:val="22"/>
          <w:szCs w:val="22"/>
          <w:lang w:eastAsia="zh-CN"/>
        </w:rPr>
        <w:t>).</w:t>
      </w:r>
      <w:r w:rsidRPr="004E0F47">
        <w:rPr>
          <w:sz w:val="22"/>
          <w:szCs w:val="22"/>
          <w:vertAlign w:val="superscript"/>
          <w:lang w:eastAsia="zh-CN"/>
        </w:rPr>
        <w:footnoteReference w:id="1042"/>
      </w:r>
      <w:r w:rsidRPr="004E0F47">
        <w:rPr>
          <w:sz w:val="22"/>
          <w:szCs w:val="22"/>
          <w:lang w:eastAsia="zh-CN"/>
        </w:rPr>
        <w:t xml:space="preserve">  </w:t>
      </w:r>
    </w:p>
    <w:p w:rsidR="004A147C" w:rsidRPr="00F16FE9" w:rsidRDefault="004A147C" w:rsidP="00CE5850">
      <w:pPr>
        <w:spacing w:before="120" w:after="120"/>
        <w:jc w:val="center"/>
        <w:rPr>
          <w:b/>
          <w:bCs/>
          <w:kern w:val="0"/>
          <w:sz w:val="24"/>
          <w:lang w:eastAsia="zh-CN"/>
        </w:rPr>
      </w:pPr>
      <w:bookmarkStart w:id="5024" w:name="_Ref332109357"/>
      <w:r w:rsidRPr="00F16FE9">
        <w:rPr>
          <w:b/>
          <w:bCs/>
          <w:kern w:val="0"/>
          <w:szCs w:val="22"/>
          <w:lang w:eastAsia="zh-CN"/>
        </w:rPr>
        <w:t xml:space="preserve">Table </w:t>
      </w:r>
      <w:r w:rsidR="0007014B" w:rsidRPr="00F16FE9">
        <w:rPr>
          <w:b/>
          <w:bCs/>
          <w:kern w:val="0"/>
          <w:szCs w:val="22"/>
          <w:lang w:eastAsia="zh-CN"/>
        </w:rPr>
        <w:fldChar w:fldCharType="begin"/>
      </w:r>
      <w:r w:rsidRPr="00F16FE9">
        <w:rPr>
          <w:b/>
          <w:bCs/>
          <w:kern w:val="0"/>
          <w:szCs w:val="22"/>
          <w:lang w:eastAsia="zh-CN"/>
        </w:rPr>
        <w:instrText xml:space="preserve"> SEQ Table \* ARABIC </w:instrText>
      </w:r>
      <w:r w:rsidR="0007014B" w:rsidRPr="00F16FE9">
        <w:rPr>
          <w:b/>
          <w:bCs/>
          <w:kern w:val="0"/>
          <w:szCs w:val="22"/>
          <w:lang w:eastAsia="zh-CN"/>
        </w:rPr>
        <w:fldChar w:fldCharType="separate"/>
      </w:r>
      <w:r w:rsidR="00CA3AC6">
        <w:rPr>
          <w:b/>
          <w:bCs/>
          <w:noProof/>
          <w:kern w:val="0"/>
          <w:szCs w:val="22"/>
          <w:lang w:eastAsia="zh-CN"/>
        </w:rPr>
        <w:t>47</w:t>
      </w:r>
      <w:r w:rsidR="0007014B" w:rsidRPr="00F16FE9">
        <w:rPr>
          <w:b/>
          <w:bCs/>
          <w:kern w:val="0"/>
          <w:szCs w:val="22"/>
          <w:lang w:eastAsia="zh-CN"/>
        </w:rPr>
        <w:fldChar w:fldCharType="end"/>
      </w:r>
      <w:bookmarkEnd w:id="5024"/>
      <w:r w:rsidRPr="00F16FE9">
        <w:rPr>
          <w:b/>
          <w:bCs/>
          <w:kern w:val="0"/>
          <w:szCs w:val="22"/>
          <w:lang w:eastAsia="zh-CN"/>
        </w:rPr>
        <w:br/>
        <w:t>Share of Mobile Devices in Use, U.S.</w:t>
      </w:r>
      <w:r w:rsidRPr="00F16FE9">
        <w:rPr>
          <w:b/>
          <w:bCs/>
          <w:kern w:val="0"/>
          <w:sz w:val="24"/>
          <w:lang w:eastAsia="zh-CN"/>
        </w:rPr>
        <w:t>, 2009-2012</w:t>
      </w:r>
    </w:p>
    <w:tbl>
      <w:tblPr>
        <w:tblW w:w="0" w:type="auto"/>
        <w:jc w:val="center"/>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ook w:val="01E0" w:firstRow="1" w:lastRow="1" w:firstColumn="1" w:lastColumn="1" w:noHBand="0" w:noVBand="0"/>
      </w:tblPr>
      <w:tblGrid>
        <w:gridCol w:w="2089"/>
        <w:gridCol w:w="1987"/>
        <w:gridCol w:w="1987"/>
        <w:gridCol w:w="1382"/>
        <w:gridCol w:w="1382"/>
      </w:tblGrid>
      <w:tr w:rsidR="004A147C" w:rsidRPr="00F16FE9" w:rsidTr="00F16FE9">
        <w:trPr>
          <w:jc w:val="center"/>
        </w:trPr>
        <w:tc>
          <w:tcPr>
            <w:tcW w:w="2089" w:type="dxa"/>
            <w:tcBorders>
              <w:top w:val="single" w:sz="4" w:space="0" w:color="auto"/>
            </w:tcBorders>
          </w:tcPr>
          <w:p w:rsidR="004A147C" w:rsidRPr="00F16FE9" w:rsidRDefault="004A147C" w:rsidP="00CE5850">
            <w:pPr>
              <w:rPr>
                <w:b/>
                <w:lang w:eastAsia="zh-CN"/>
              </w:rPr>
            </w:pPr>
            <w:r w:rsidRPr="00F16FE9">
              <w:rPr>
                <w:b/>
                <w:lang w:eastAsia="zh-CN"/>
              </w:rPr>
              <w:t>Handset Manufacturer</w:t>
            </w:r>
          </w:p>
        </w:tc>
        <w:tc>
          <w:tcPr>
            <w:tcW w:w="1987" w:type="dxa"/>
            <w:tcBorders>
              <w:top w:val="single" w:sz="4" w:space="0" w:color="auto"/>
            </w:tcBorders>
          </w:tcPr>
          <w:p w:rsidR="004A147C" w:rsidRPr="00F16FE9" w:rsidRDefault="004A147C" w:rsidP="00CE5850">
            <w:pPr>
              <w:rPr>
                <w:b/>
                <w:lang w:eastAsia="zh-CN"/>
              </w:rPr>
            </w:pPr>
            <w:r w:rsidRPr="00F16FE9">
              <w:rPr>
                <w:b/>
                <w:lang w:eastAsia="zh-CN"/>
              </w:rPr>
              <w:t xml:space="preserve">December </w:t>
            </w:r>
          </w:p>
          <w:p w:rsidR="004A147C" w:rsidRPr="00F16FE9" w:rsidRDefault="004A147C" w:rsidP="00CE5850">
            <w:pPr>
              <w:rPr>
                <w:b/>
                <w:lang w:eastAsia="zh-CN"/>
              </w:rPr>
            </w:pPr>
            <w:r w:rsidRPr="00F16FE9">
              <w:rPr>
                <w:b/>
                <w:lang w:eastAsia="zh-CN"/>
              </w:rPr>
              <w:t>2009</w:t>
            </w:r>
            <w:r w:rsidRPr="00F16FE9">
              <w:rPr>
                <w:vertAlign w:val="superscript"/>
                <w:lang w:eastAsia="zh-CN"/>
              </w:rPr>
              <w:footnoteReference w:id="1043"/>
            </w:r>
          </w:p>
        </w:tc>
        <w:tc>
          <w:tcPr>
            <w:tcW w:w="1987" w:type="dxa"/>
            <w:tcBorders>
              <w:top w:val="single" w:sz="4" w:space="0" w:color="auto"/>
              <w:right w:val="single" w:sz="4" w:space="0" w:color="auto"/>
            </w:tcBorders>
          </w:tcPr>
          <w:p w:rsidR="004A147C" w:rsidRPr="00F16FE9" w:rsidRDefault="004A147C" w:rsidP="00CE5850">
            <w:pPr>
              <w:rPr>
                <w:b/>
                <w:lang w:eastAsia="zh-CN"/>
              </w:rPr>
            </w:pPr>
            <w:r w:rsidRPr="00F16FE9">
              <w:rPr>
                <w:b/>
                <w:lang w:eastAsia="zh-CN"/>
              </w:rPr>
              <w:t xml:space="preserve">August </w:t>
            </w:r>
          </w:p>
          <w:p w:rsidR="004A147C" w:rsidRPr="00F16FE9" w:rsidRDefault="004A147C" w:rsidP="00CE5850">
            <w:pPr>
              <w:rPr>
                <w:b/>
                <w:lang w:eastAsia="zh-CN"/>
              </w:rPr>
            </w:pPr>
            <w:r w:rsidRPr="00F16FE9">
              <w:rPr>
                <w:b/>
                <w:lang w:eastAsia="zh-CN"/>
              </w:rPr>
              <w:t>2010</w:t>
            </w:r>
            <w:r w:rsidRPr="00F16FE9">
              <w:rPr>
                <w:vertAlign w:val="superscript"/>
                <w:lang w:eastAsia="zh-CN"/>
              </w:rPr>
              <w:footnoteReference w:id="1044"/>
            </w:r>
          </w:p>
        </w:tc>
        <w:tc>
          <w:tcPr>
            <w:tcW w:w="1382" w:type="dxa"/>
            <w:tcBorders>
              <w:top w:val="single" w:sz="4" w:space="0" w:color="auto"/>
              <w:right w:val="single" w:sz="4" w:space="0" w:color="auto"/>
            </w:tcBorders>
          </w:tcPr>
          <w:p w:rsidR="004A147C" w:rsidRPr="00F16FE9" w:rsidRDefault="004A147C" w:rsidP="00CE5850">
            <w:pPr>
              <w:rPr>
                <w:b/>
                <w:lang w:eastAsia="zh-CN"/>
              </w:rPr>
            </w:pPr>
            <w:r w:rsidRPr="00F16FE9">
              <w:rPr>
                <w:b/>
                <w:lang w:eastAsia="zh-CN"/>
              </w:rPr>
              <w:t xml:space="preserve">September </w:t>
            </w:r>
          </w:p>
          <w:p w:rsidR="004A147C" w:rsidRPr="00F16FE9" w:rsidRDefault="004A147C" w:rsidP="00CE5850">
            <w:pPr>
              <w:rPr>
                <w:b/>
                <w:lang w:eastAsia="zh-CN"/>
              </w:rPr>
            </w:pPr>
            <w:r w:rsidRPr="00F16FE9">
              <w:rPr>
                <w:b/>
                <w:lang w:eastAsia="zh-CN"/>
              </w:rPr>
              <w:t>2011</w:t>
            </w:r>
            <w:r w:rsidRPr="00F16FE9">
              <w:rPr>
                <w:vertAlign w:val="superscript"/>
                <w:lang w:eastAsia="zh-CN"/>
              </w:rPr>
              <w:footnoteReference w:id="1045"/>
            </w:r>
          </w:p>
        </w:tc>
        <w:tc>
          <w:tcPr>
            <w:tcW w:w="1382" w:type="dxa"/>
            <w:tcBorders>
              <w:top w:val="single" w:sz="4" w:space="0" w:color="auto"/>
            </w:tcBorders>
          </w:tcPr>
          <w:p w:rsidR="004A147C" w:rsidRPr="00F16FE9" w:rsidRDefault="004A147C" w:rsidP="00CE5850">
            <w:pPr>
              <w:rPr>
                <w:b/>
                <w:lang w:eastAsia="zh-CN"/>
              </w:rPr>
            </w:pPr>
            <w:r w:rsidRPr="00F16FE9">
              <w:rPr>
                <w:b/>
                <w:lang w:eastAsia="zh-CN"/>
              </w:rPr>
              <w:t>September</w:t>
            </w:r>
          </w:p>
          <w:p w:rsidR="004A147C" w:rsidRPr="00F16FE9" w:rsidRDefault="004A147C" w:rsidP="00CE5850">
            <w:pPr>
              <w:rPr>
                <w:b/>
                <w:lang w:eastAsia="zh-CN"/>
              </w:rPr>
            </w:pPr>
            <w:r w:rsidRPr="00F16FE9">
              <w:rPr>
                <w:b/>
                <w:lang w:eastAsia="zh-CN"/>
              </w:rPr>
              <w:t>2012</w:t>
            </w:r>
            <w:r w:rsidR="00CF0C13" w:rsidRPr="00CF0C13">
              <w:rPr>
                <w:rStyle w:val="FootnoteReference"/>
                <w:lang w:eastAsia="zh-CN"/>
              </w:rPr>
              <w:footnoteReference w:id="1046"/>
            </w:r>
          </w:p>
        </w:tc>
      </w:tr>
      <w:tr w:rsidR="004A147C" w:rsidRPr="00F16FE9" w:rsidTr="00F16FE9">
        <w:trPr>
          <w:jc w:val="center"/>
        </w:trPr>
        <w:tc>
          <w:tcPr>
            <w:tcW w:w="2089" w:type="dxa"/>
          </w:tcPr>
          <w:p w:rsidR="004A147C" w:rsidRPr="00F16FE9" w:rsidRDefault="004A147C" w:rsidP="00CE5850">
            <w:pPr>
              <w:rPr>
                <w:lang w:eastAsia="zh-CN"/>
              </w:rPr>
            </w:pPr>
            <w:r w:rsidRPr="00F16FE9">
              <w:rPr>
                <w:lang w:eastAsia="zh-CN"/>
              </w:rPr>
              <w:t>Samsung</w:t>
            </w:r>
          </w:p>
        </w:tc>
        <w:tc>
          <w:tcPr>
            <w:tcW w:w="1987" w:type="dxa"/>
          </w:tcPr>
          <w:p w:rsidR="004A147C" w:rsidRPr="00F16FE9" w:rsidRDefault="004A147C" w:rsidP="00CE5850">
            <w:pPr>
              <w:rPr>
                <w:lang w:eastAsia="zh-CN"/>
              </w:rPr>
            </w:pPr>
            <w:r w:rsidRPr="00F16FE9">
              <w:rPr>
                <w:lang w:eastAsia="zh-CN"/>
              </w:rPr>
              <w:t>21.2%</w:t>
            </w:r>
          </w:p>
        </w:tc>
        <w:tc>
          <w:tcPr>
            <w:tcW w:w="1987" w:type="dxa"/>
            <w:tcBorders>
              <w:right w:val="single" w:sz="4" w:space="0" w:color="auto"/>
            </w:tcBorders>
          </w:tcPr>
          <w:p w:rsidR="004A147C" w:rsidRPr="00F16FE9" w:rsidRDefault="004A147C" w:rsidP="00CE5850">
            <w:pPr>
              <w:rPr>
                <w:lang w:eastAsia="zh-CN"/>
              </w:rPr>
            </w:pPr>
            <w:r w:rsidRPr="00F16FE9">
              <w:rPr>
                <w:lang w:eastAsia="zh-CN"/>
              </w:rPr>
              <w:t>23.6%</w:t>
            </w:r>
          </w:p>
        </w:tc>
        <w:tc>
          <w:tcPr>
            <w:tcW w:w="1382" w:type="dxa"/>
            <w:tcBorders>
              <w:right w:val="single" w:sz="4" w:space="0" w:color="auto"/>
            </w:tcBorders>
          </w:tcPr>
          <w:p w:rsidR="004A147C" w:rsidRPr="00F16FE9" w:rsidRDefault="004A147C" w:rsidP="00CE5850">
            <w:pPr>
              <w:rPr>
                <w:lang w:eastAsia="zh-CN"/>
              </w:rPr>
            </w:pPr>
            <w:r w:rsidRPr="00F16FE9">
              <w:rPr>
                <w:lang w:eastAsia="zh-CN"/>
              </w:rPr>
              <w:t>25.3%</w:t>
            </w:r>
          </w:p>
        </w:tc>
        <w:tc>
          <w:tcPr>
            <w:tcW w:w="1382" w:type="dxa"/>
          </w:tcPr>
          <w:p w:rsidR="004A147C" w:rsidRPr="00F16FE9" w:rsidRDefault="004A147C" w:rsidP="00CE5850">
            <w:pPr>
              <w:rPr>
                <w:lang w:eastAsia="zh-CN"/>
              </w:rPr>
            </w:pPr>
            <w:r w:rsidRPr="00F16FE9">
              <w:rPr>
                <w:lang w:eastAsia="zh-CN"/>
              </w:rPr>
              <w:t>26.0%</w:t>
            </w:r>
          </w:p>
        </w:tc>
      </w:tr>
      <w:tr w:rsidR="004A147C" w:rsidRPr="00F16FE9" w:rsidTr="00F16FE9">
        <w:trPr>
          <w:jc w:val="center"/>
        </w:trPr>
        <w:tc>
          <w:tcPr>
            <w:tcW w:w="2089" w:type="dxa"/>
          </w:tcPr>
          <w:p w:rsidR="004A147C" w:rsidRPr="00F16FE9" w:rsidRDefault="004A147C" w:rsidP="00CE5850">
            <w:pPr>
              <w:rPr>
                <w:lang w:eastAsia="zh-CN"/>
              </w:rPr>
            </w:pPr>
            <w:r w:rsidRPr="00F16FE9">
              <w:rPr>
                <w:lang w:eastAsia="zh-CN"/>
              </w:rPr>
              <w:t>LG</w:t>
            </w:r>
          </w:p>
        </w:tc>
        <w:tc>
          <w:tcPr>
            <w:tcW w:w="1987" w:type="dxa"/>
          </w:tcPr>
          <w:p w:rsidR="004A147C" w:rsidRPr="00F16FE9" w:rsidRDefault="004A147C" w:rsidP="00CE5850">
            <w:pPr>
              <w:rPr>
                <w:lang w:eastAsia="zh-CN"/>
              </w:rPr>
            </w:pPr>
            <w:r w:rsidRPr="00F16FE9">
              <w:rPr>
                <w:lang w:eastAsia="zh-CN"/>
              </w:rPr>
              <w:t>21.9%</w:t>
            </w:r>
          </w:p>
        </w:tc>
        <w:tc>
          <w:tcPr>
            <w:tcW w:w="1987" w:type="dxa"/>
            <w:tcBorders>
              <w:right w:val="single" w:sz="4" w:space="0" w:color="auto"/>
            </w:tcBorders>
          </w:tcPr>
          <w:p w:rsidR="004A147C" w:rsidRPr="00F16FE9" w:rsidRDefault="004A147C" w:rsidP="00CE5850">
            <w:pPr>
              <w:rPr>
                <w:lang w:eastAsia="zh-CN"/>
              </w:rPr>
            </w:pPr>
            <w:r w:rsidRPr="00F16FE9">
              <w:rPr>
                <w:lang w:eastAsia="zh-CN"/>
              </w:rPr>
              <w:t>21.2%</w:t>
            </w:r>
          </w:p>
        </w:tc>
        <w:tc>
          <w:tcPr>
            <w:tcW w:w="1382" w:type="dxa"/>
            <w:tcBorders>
              <w:right w:val="single" w:sz="4" w:space="0" w:color="auto"/>
            </w:tcBorders>
          </w:tcPr>
          <w:p w:rsidR="004A147C" w:rsidRPr="00F16FE9" w:rsidRDefault="004A147C" w:rsidP="00CE5850">
            <w:pPr>
              <w:rPr>
                <w:lang w:eastAsia="zh-CN"/>
              </w:rPr>
            </w:pPr>
            <w:r w:rsidRPr="00F16FE9">
              <w:rPr>
                <w:lang w:eastAsia="zh-CN"/>
              </w:rPr>
              <w:t>20.6%</w:t>
            </w:r>
          </w:p>
        </w:tc>
        <w:tc>
          <w:tcPr>
            <w:tcW w:w="1382" w:type="dxa"/>
          </w:tcPr>
          <w:p w:rsidR="004A147C" w:rsidRPr="00F16FE9" w:rsidRDefault="004A147C" w:rsidP="00CE5850">
            <w:pPr>
              <w:rPr>
                <w:lang w:eastAsia="zh-CN"/>
              </w:rPr>
            </w:pPr>
            <w:r w:rsidRPr="00F16FE9">
              <w:rPr>
                <w:lang w:eastAsia="zh-CN"/>
              </w:rPr>
              <w:t>17.7%</w:t>
            </w:r>
          </w:p>
        </w:tc>
      </w:tr>
      <w:tr w:rsidR="004A147C" w:rsidRPr="00F16FE9" w:rsidTr="00F16FE9">
        <w:trPr>
          <w:jc w:val="center"/>
        </w:trPr>
        <w:tc>
          <w:tcPr>
            <w:tcW w:w="2089" w:type="dxa"/>
          </w:tcPr>
          <w:p w:rsidR="004A147C" w:rsidRPr="00F16FE9" w:rsidRDefault="004A147C" w:rsidP="00CE5850">
            <w:pPr>
              <w:rPr>
                <w:lang w:eastAsia="zh-CN"/>
              </w:rPr>
            </w:pPr>
            <w:r w:rsidRPr="00F16FE9">
              <w:rPr>
                <w:lang w:eastAsia="zh-CN"/>
              </w:rPr>
              <w:t>Motorola</w:t>
            </w:r>
          </w:p>
        </w:tc>
        <w:tc>
          <w:tcPr>
            <w:tcW w:w="1987" w:type="dxa"/>
          </w:tcPr>
          <w:p w:rsidR="004A147C" w:rsidRPr="00F16FE9" w:rsidRDefault="004A147C" w:rsidP="00CE5850">
            <w:pPr>
              <w:rPr>
                <w:lang w:eastAsia="zh-CN"/>
              </w:rPr>
            </w:pPr>
            <w:r w:rsidRPr="00F16FE9">
              <w:rPr>
                <w:lang w:eastAsia="zh-CN"/>
              </w:rPr>
              <w:t>23.5%</w:t>
            </w:r>
          </w:p>
        </w:tc>
        <w:tc>
          <w:tcPr>
            <w:tcW w:w="1987" w:type="dxa"/>
            <w:tcBorders>
              <w:right w:val="single" w:sz="4" w:space="0" w:color="auto"/>
            </w:tcBorders>
          </w:tcPr>
          <w:p w:rsidR="004A147C" w:rsidRPr="00F16FE9" w:rsidRDefault="004A147C" w:rsidP="00CE5850">
            <w:pPr>
              <w:rPr>
                <w:lang w:eastAsia="zh-CN"/>
              </w:rPr>
            </w:pPr>
            <w:r w:rsidRPr="00F16FE9">
              <w:rPr>
                <w:lang w:eastAsia="zh-CN"/>
              </w:rPr>
              <w:t>18.8%</w:t>
            </w:r>
          </w:p>
        </w:tc>
        <w:tc>
          <w:tcPr>
            <w:tcW w:w="1382" w:type="dxa"/>
            <w:tcBorders>
              <w:right w:val="single" w:sz="4" w:space="0" w:color="auto"/>
            </w:tcBorders>
          </w:tcPr>
          <w:p w:rsidR="004A147C" w:rsidRPr="00F16FE9" w:rsidRDefault="004A147C" w:rsidP="00CE5850">
            <w:pPr>
              <w:rPr>
                <w:lang w:eastAsia="zh-CN"/>
              </w:rPr>
            </w:pPr>
            <w:r w:rsidRPr="00F16FE9">
              <w:rPr>
                <w:lang w:eastAsia="zh-CN"/>
              </w:rPr>
              <w:t>13.8%</w:t>
            </w:r>
          </w:p>
        </w:tc>
        <w:tc>
          <w:tcPr>
            <w:tcW w:w="1382" w:type="dxa"/>
          </w:tcPr>
          <w:p w:rsidR="004A147C" w:rsidRPr="00F16FE9" w:rsidRDefault="004A147C" w:rsidP="00CE5850">
            <w:pPr>
              <w:rPr>
                <w:lang w:eastAsia="zh-CN"/>
              </w:rPr>
            </w:pPr>
            <w:r w:rsidRPr="00F16FE9">
              <w:rPr>
                <w:lang w:eastAsia="zh-CN"/>
              </w:rPr>
              <w:t>10.9%</w:t>
            </w:r>
          </w:p>
        </w:tc>
      </w:tr>
      <w:tr w:rsidR="004A147C" w:rsidRPr="00F16FE9" w:rsidTr="00F16FE9">
        <w:trPr>
          <w:jc w:val="center"/>
        </w:trPr>
        <w:tc>
          <w:tcPr>
            <w:tcW w:w="2089" w:type="dxa"/>
          </w:tcPr>
          <w:p w:rsidR="004A147C" w:rsidRPr="00F16FE9" w:rsidRDefault="004A147C" w:rsidP="00CE5850">
            <w:pPr>
              <w:rPr>
                <w:lang w:eastAsia="zh-CN"/>
              </w:rPr>
            </w:pPr>
            <w:r w:rsidRPr="00F16FE9">
              <w:rPr>
                <w:lang w:eastAsia="zh-CN"/>
              </w:rPr>
              <w:t>Apple</w:t>
            </w:r>
          </w:p>
        </w:tc>
        <w:tc>
          <w:tcPr>
            <w:tcW w:w="1987" w:type="dxa"/>
          </w:tcPr>
          <w:p w:rsidR="004A147C" w:rsidRPr="00F16FE9" w:rsidRDefault="004A147C" w:rsidP="00CE5850">
            <w:pPr>
              <w:rPr>
                <w:lang w:eastAsia="zh-CN"/>
              </w:rPr>
            </w:pPr>
            <w:r w:rsidRPr="00F16FE9">
              <w:rPr>
                <w:lang w:eastAsia="zh-CN"/>
              </w:rPr>
              <w:t>NA</w:t>
            </w:r>
          </w:p>
        </w:tc>
        <w:tc>
          <w:tcPr>
            <w:tcW w:w="1987" w:type="dxa"/>
            <w:tcBorders>
              <w:right w:val="single" w:sz="4" w:space="0" w:color="auto"/>
            </w:tcBorders>
          </w:tcPr>
          <w:p w:rsidR="004A147C" w:rsidRPr="00F16FE9" w:rsidRDefault="004A147C" w:rsidP="00CE5850">
            <w:pPr>
              <w:rPr>
                <w:lang w:eastAsia="zh-CN"/>
              </w:rPr>
            </w:pPr>
            <w:r w:rsidRPr="00F16FE9">
              <w:rPr>
                <w:lang w:eastAsia="zh-CN"/>
              </w:rPr>
              <w:t>NA</w:t>
            </w:r>
          </w:p>
        </w:tc>
        <w:tc>
          <w:tcPr>
            <w:tcW w:w="1382" w:type="dxa"/>
            <w:tcBorders>
              <w:right w:val="single" w:sz="4" w:space="0" w:color="auto"/>
            </w:tcBorders>
          </w:tcPr>
          <w:p w:rsidR="004A147C" w:rsidRPr="00F16FE9" w:rsidRDefault="004A147C" w:rsidP="00CE5850">
            <w:pPr>
              <w:rPr>
                <w:lang w:eastAsia="zh-CN"/>
              </w:rPr>
            </w:pPr>
            <w:r w:rsidRPr="00F16FE9">
              <w:rPr>
                <w:lang w:eastAsia="zh-CN"/>
              </w:rPr>
              <w:t>10.2%</w:t>
            </w:r>
          </w:p>
        </w:tc>
        <w:tc>
          <w:tcPr>
            <w:tcW w:w="1382" w:type="dxa"/>
          </w:tcPr>
          <w:p w:rsidR="004A147C" w:rsidRPr="00F16FE9" w:rsidRDefault="004A147C" w:rsidP="00CE5850">
            <w:pPr>
              <w:rPr>
                <w:lang w:eastAsia="zh-CN"/>
              </w:rPr>
            </w:pPr>
            <w:r w:rsidRPr="00F16FE9">
              <w:rPr>
                <w:lang w:eastAsia="zh-CN"/>
              </w:rPr>
              <w:t>17.5%</w:t>
            </w:r>
          </w:p>
        </w:tc>
      </w:tr>
      <w:tr w:rsidR="004A147C" w:rsidRPr="00F16FE9" w:rsidTr="00F16FE9">
        <w:trPr>
          <w:jc w:val="center"/>
        </w:trPr>
        <w:tc>
          <w:tcPr>
            <w:tcW w:w="2089" w:type="dxa"/>
          </w:tcPr>
          <w:p w:rsidR="004A147C" w:rsidRPr="00F16FE9" w:rsidRDefault="004A147C" w:rsidP="00CE5850">
            <w:pPr>
              <w:rPr>
                <w:lang w:eastAsia="zh-CN"/>
              </w:rPr>
            </w:pPr>
            <w:r w:rsidRPr="00F16FE9">
              <w:rPr>
                <w:lang w:eastAsia="zh-CN"/>
              </w:rPr>
              <w:t>RIM</w:t>
            </w:r>
          </w:p>
        </w:tc>
        <w:tc>
          <w:tcPr>
            <w:tcW w:w="1987" w:type="dxa"/>
          </w:tcPr>
          <w:p w:rsidR="004A147C" w:rsidRPr="00F16FE9" w:rsidRDefault="004A147C" w:rsidP="00CE5850">
            <w:pPr>
              <w:rPr>
                <w:lang w:eastAsia="zh-CN"/>
              </w:rPr>
            </w:pPr>
            <w:r w:rsidRPr="00F16FE9">
              <w:rPr>
                <w:lang w:eastAsia="zh-CN"/>
              </w:rPr>
              <w:t>7.0%</w:t>
            </w:r>
          </w:p>
        </w:tc>
        <w:tc>
          <w:tcPr>
            <w:tcW w:w="1987" w:type="dxa"/>
            <w:tcBorders>
              <w:right w:val="single" w:sz="4" w:space="0" w:color="auto"/>
            </w:tcBorders>
          </w:tcPr>
          <w:p w:rsidR="004A147C" w:rsidRPr="00F16FE9" w:rsidRDefault="004A147C" w:rsidP="00CE5850">
            <w:pPr>
              <w:rPr>
                <w:lang w:eastAsia="zh-CN"/>
              </w:rPr>
            </w:pPr>
            <w:r w:rsidRPr="00F16FE9">
              <w:rPr>
                <w:lang w:eastAsia="zh-CN"/>
              </w:rPr>
              <w:t>9.0%</w:t>
            </w:r>
          </w:p>
        </w:tc>
        <w:tc>
          <w:tcPr>
            <w:tcW w:w="1382" w:type="dxa"/>
            <w:tcBorders>
              <w:right w:val="single" w:sz="4" w:space="0" w:color="auto"/>
            </w:tcBorders>
          </w:tcPr>
          <w:p w:rsidR="004A147C" w:rsidRPr="00F16FE9" w:rsidRDefault="004A147C" w:rsidP="00CE5850">
            <w:pPr>
              <w:rPr>
                <w:lang w:eastAsia="zh-CN"/>
              </w:rPr>
            </w:pPr>
            <w:r w:rsidRPr="00F16FE9">
              <w:rPr>
                <w:lang w:eastAsia="zh-CN"/>
              </w:rPr>
              <w:t>7.1%</w:t>
            </w:r>
          </w:p>
        </w:tc>
        <w:tc>
          <w:tcPr>
            <w:tcW w:w="1382" w:type="dxa"/>
          </w:tcPr>
          <w:p w:rsidR="004A147C" w:rsidRPr="00F16FE9" w:rsidRDefault="004A147C" w:rsidP="00CE5850">
            <w:pPr>
              <w:rPr>
                <w:lang w:eastAsia="zh-CN"/>
              </w:rPr>
            </w:pPr>
            <w:r w:rsidRPr="00F16FE9">
              <w:rPr>
                <w:lang w:eastAsia="zh-CN"/>
              </w:rPr>
              <w:t>NA</w:t>
            </w:r>
          </w:p>
        </w:tc>
      </w:tr>
      <w:tr w:rsidR="004A147C" w:rsidRPr="00F16FE9" w:rsidTr="00F16FE9">
        <w:trPr>
          <w:jc w:val="center"/>
        </w:trPr>
        <w:tc>
          <w:tcPr>
            <w:tcW w:w="2089" w:type="dxa"/>
          </w:tcPr>
          <w:p w:rsidR="004A147C" w:rsidRPr="00F16FE9" w:rsidRDefault="004A147C" w:rsidP="00CE5850">
            <w:pPr>
              <w:rPr>
                <w:lang w:eastAsia="zh-CN"/>
              </w:rPr>
            </w:pPr>
            <w:r w:rsidRPr="00F16FE9">
              <w:rPr>
                <w:lang w:eastAsia="zh-CN"/>
              </w:rPr>
              <w:t>HTC</w:t>
            </w:r>
          </w:p>
        </w:tc>
        <w:tc>
          <w:tcPr>
            <w:tcW w:w="1987" w:type="dxa"/>
          </w:tcPr>
          <w:p w:rsidR="004A147C" w:rsidRPr="00F16FE9" w:rsidRDefault="004A147C" w:rsidP="00CE5850">
            <w:pPr>
              <w:rPr>
                <w:lang w:eastAsia="zh-CN"/>
              </w:rPr>
            </w:pPr>
            <w:r w:rsidRPr="00F16FE9">
              <w:rPr>
                <w:lang w:eastAsia="zh-CN"/>
              </w:rPr>
              <w:t>NA</w:t>
            </w:r>
          </w:p>
        </w:tc>
        <w:tc>
          <w:tcPr>
            <w:tcW w:w="1987" w:type="dxa"/>
            <w:tcBorders>
              <w:right w:val="single" w:sz="4" w:space="0" w:color="auto"/>
            </w:tcBorders>
          </w:tcPr>
          <w:p w:rsidR="004A147C" w:rsidRPr="00F16FE9" w:rsidRDefault="004A147C" w:rsidP="00CE5850">
            <w:pPr>
              <w:rPr>
                <w:lang w:eastAsia="zh-CN"/>
              </w:rPr>
            </w:pPr>
            <w:r w:rsidRPr="00F16FE9">
              <w:rPr>
                <w:lang w:eastAsia="zh-CN"/>
              </w:rPr>
              <w:t>NA</w:t>
            </w:r>
          </w:p>
        </w:tc>
        <w:tc>
          <w:tcPr>
            <w:tcW w:w="1382" w:type="dxa"/>
            <w:tcBorders>
              <w:right w:val="single" w:sz="4" w:space="0" w:color="auto"/>
            </w:tcBorders>
          </w:tcPr>
          <w:p w:rsidR="004A147C" w:rsidRPr="00F16FE9" w:rsidRDefault="004A147C" w:rsidP="00CE5850">
            <w:pPr>
              <w:rPr>
                <w:lang w:eastAsia="zh-CN"/>
              </w:rPr>
            </w:pPr>
            <w:r w:rsidRPr="00F16FE9">
              <w:rPr>
                <w:lang w:eastAsia="zh-CN"/>
              </w:rPr>
              <w:t>NA</w:t>
            </w:r>
          </w:p>
        </w:tc>
        <w:tc>
          <w:tcPr>
            <w:tcW w:w="1382" w:type="dxa"/>
          </w:tcPr>
          <w:p w:rsidR="004A147C" w:rsidRPr="00F16FE9" w:rsidRDefault="004A147C" w:rsidP="00CE5850">
            <w:pPr>
              <w:rPr>
                <w:lang w:eastAsia="zh-CN"/>
              </w:rPr>
            </w:pPr>
            <w:r w:rsidRPr="00F16FE9">
              <w:rPr>
                <w:lang w:eastAsia="zh-CN"/>
              </w:rPr>
              <w:t>6.2%</w:t>
            </w:r>
          </w:p>
        </w:tc>
      </w:tr>
      <w:tr w:rsidR="004A147C" w:rsidRPr="00F16FE9" w:rsidTr="00F16FE9">
        <w:trPr>
          <w:jc w:val="center"/>
        </w:trPr>
        <w:tc>
          <w:tcPr>
            <w:tcW w:w="2089" w:type="dxa"/>
          </w:tcPr>
          <w:p w:rsidR="004A147C" w:rsidRPr="00F16FE9" w:rsidRDefault="004A147C" w:rsidP="00CE5850">
            <w:pPr>
              <w:rPr>
                <w:lang w:eastAsia="zh-CN"/>
              </w:rPr>
            </w:pPr>
            <w:r w:rsidRPr="00F16FE9">
              <w:rPr>
                <w:lang w:eastAsia="zh-CN"/>
              </w:rPr>
              <w:t>Nokia</w:t>
            </w:r>
          </w:p>
        </w:tc>
        <w:tc>
          <w:tcPr>
            <w:tcW w:w="1987" w:type="dxa"/>
          </w:tcPr>
          <w:p w:rsidR="004A147C" w:rsidRPr="00F16FE9" w:rsidRDefault="004A147C" w:rsidP="00CE5850">
            <w:pPr>
              <w:rPr>
                <w:lang w:eastAsia="zh-CN"/>
              </w:rPr>
            </w:pPr>
            <w:r w:rsidRPr="00F16FE9">
              <w:rPr>
                <w:lang w:eastAsia="zh-CN"/>
              </w:rPr>
              <w:t>9.2%</w:t>
            </w:r>
          </w:p>
        </w:tc>
        <w:tc>
          <w:tcPr>
            <w:tcW w:w="1987" w:type="dxa"/>
            <w:tcBorders>
              <w:right w:val="single" w:sz="4" w:space="0" w:color="auto"/>
            </w:tcBorders>
          </w:tcPr>
          <w:p w:rsidR="004A147C" w:rsidRPr="00F16FE9" w:rsidRDefault="004A147C" w:rsidP="00CE5850">
            <w:pPr>
              <w:rPr>
                <w:lang w:eastAsia="zh-CN"/>
              </w:rPr>
            </w:pPr>
            <w:r w:rsidRPr="00F16FE9">
              <w:rPr>
                <w:lang w:eastAsia="zh-CN"/>
              </w:rPr>
              <w:t>7.6%</w:t>
            </w:r>
          </w:p>
        </w:tc>
        <w:tc>
          <w:tcPr>
            <w:tcW w:w="1382" w:type="dxa"/>
            <w:tcBorders>
              <w:right w:val="single" w:sz="4" w:space="0" w:color="auto"/>
            </w:tcBorders>
          </w:tcPr>
          <w:p w:rsidR="004A147C" w:rsidRPr="00F16FE9" w:rsidRDefault="004A147C" w:rsidP="00CE5850">
            <w:pPr>
              <w:rPr>
                <w:lang w:eastAsia="zh-CN"/>
              </w:rPr>
            </w:pPr>
            <w:r w:rsidRPr="00F16FE9">
              <w:rPr>
                <w:lang w:eastAsia="zh-CN"/>
              </w:rPr>
              <w:t>NA</w:t>
            </w:r>
          </w:p>
        </w:tc>
        <w:tc>
          <w:tcPr>
            <w:tcW w:w="1382" w:type="dxa"/>
          </w:tcPr>
          <w:p w:rsidR="004A147C" w:rsidRPr="00F16FE9" w:rsidRDefault="004A147C" w:rsidP="00CE5850">
            <w:pPr>
              <w:rPr>
                <w:lang w:eastAsia="zh-CN"/>
              </w:rPr>
            </w:pPr>
            <w:r w:rsidRPr="00F16FE9">
              <w:rPr>
                <w:lang w:eastAsia="zh-CN"/>
              </w:rPr>
              <w:t>NA</w:t>
            </w:r>
          </w:p>
        </w:tc>
      </w:tr>
      <w:tr w:rsidR="004A147C" w:rsidRPr="00F16FE9" w:rsidTr="00F16FE9">
        <w:trPr>
          <w:jc w:val="center"/>
        </w:trPr>
        <w:tc>
          <w:tcPr>
            <w:tcW w:w="2089" w:type="dxa"/>
            <w:tcBorders>
              <w:bottom w:val="single" w:sz="4" w:space="0" w:color="auto"/>
            </w:tcBorders>
          </w:tcPr>
          <w:p w:rsidR="004A147C" w:rsidRPr="00F16FE9" w:rsidRDefault="004A147C" w:rsidP="00CE5850">
            <w:pPr>
              <w:rPr>
                <w:lang w:eastAsia="zh-CN"/>
              </w:rPr>
            </w:pPr>
            <w:r w:rsidRPr="00F16FE9">
              <w:rPr>
                <w:lang w:eastAsia="zh-CN"/>
              </w:rPr>
              <w:t xml:space="preserve">All Others </w:t>
            </w:r>
          </w:p>
        </w:tc>
        <w:tc>
          <w:tcPr>
            <w:tcW w:w="1987" w:type="dxa"/>
            <w:tcBorders>
              <w:bottom w:val="single" w:sz="4" w:space="0" w:color="auto"/>
            </w:tcBorders>
          </w:tcPr>
          <w:p w:rsidR="004A147C" w:rsidRPr="00F16FE9" w:rsidRDefault="004A147C" w:rsidP="00CE5850">
            <w:pPr>
              <w:rPr>
                <w:lang w:eastAsia="zh-CN"/>
              </w:rPr>
            </w:pPr>
            <w:r w:rsidRPr="00F16FE9">
              <w:rPr>
                <w:lang w:eastAsia="zh-CN"/>
              </w:rPr>
              <w:t>17.2%</w:t>
            </w:r>
          </w:p>
        </w:tc>
        <w:tc>
          <w:tcPr>
            <w:tcW w:w="1987" w:type="dxa"/>
            <w:tcBorders>
              <w:bottom w:val="single" w:sz="4" w:space="0" w:color="auto"/>
              <w:right w:val="single" w:sz="4" w:space="0" w:color="auto"/>
            </w:tcBorders>
            <w:vAlign w:val="bottom"/>
          </w:tcPr>
          <w:p w:rsidR="004A147C" w:rsidRPr="00F16FE9" w:rsidRDefault="004A147C" w:rsidP="00CE5850">
            <w:pPr>
              <w:rPr>
                <w:lang w:eastAsia="zh-CN"/>
              </w:rPr>
            </w:pPr>
            <w:r w:rsidRPr="00F16FE9">
              <w:rPr>
                <w:lang w:eastAsia="zh-CN"/>
              </w:rPr>
              <w:t>19.8%</w:t>
            </w:r>
          </w:p>
        </w:tc>
        <w:tc>
          <w:tcPr>
            <w:tcW w:w="1382" w:type="dxa"/>
            <w:tcBorders>
              <w:bottom w:val="single" w:sz="4" w:space="0" w:color="auto"/>
              <w:right w:val="single" w:sz="4" w:space="0" w:color="auto"/>
            </w:tcBorders>
          </w:tcPr>
          <w:p w:rsidR="004A147C" w:rsidRPr="00F16FE9" w:rsidRDefault="004A147C" w:rsidP="00CE5850">
            <w:pPr>
              <w:rPr>
                <w:lang w:eastAsia="zh-CN"/>
              </w:rPr>
            </w:pPr>
            <w:r w:rsidRPr="00F16FE9">
              <w:rPr>
                <w:lang w:eastAsia="zh-CN"/>
              </w:rPr>
              <w:t>23%</w:t>
            </w:r>
          </w:p>
        </w:tc>
        <w:tc>
          <w:tcPr>
            <w:tcW w:w="1382" w:type="dxa"/>
            <w:tcBorders>
              <w:bottom w:val="single" w:sz="4" w:space="0" w:color="auto"/>
            </w:tcBorders>
          </w:tcPr>
          <w:p w:rsidR="004A147C" w:rsidRPr="00F16FE9" w:rsidRDefault="004A147C" w:rsidP="00CE5850">
            <w:pPr>
              <w:rPr>
                <w:lang w:eastAsia="zh-CN"/>
              </w:rPr>
            </w:pPr>
            <w:r w:rsidRPr="00F16FE9">
              <w:rPr>
                <w:lang w:eastAsia="zh-CN"/>
              </w:rPr>
              <w:t>21.7%</w:t>
            </w:r>
          </w:p>
        </w:tc>
      </w:tr>
    </w:tbl>
    <w:p w:rsidR="004A147C" w:rsidRPr="00F16FE9" w:rsidRDefault="004A147C" w:rsidP="00CE5850">
      <w:pPr>
        <w:rPr>
          <w:lang w:eastAsia="zh-CN"/>
        </w:rPr>
      </w:pPr>
    </w:p>
    <w:p w:rsidR="004A147C" w:rsidRPr="004E0F47" w:rsidRDefault="004A147C" w:rsidP="00CE5850">
      <w:pPr>
        <w:pStyle w:val="ParaNum"/>
        <w:numPr>
          <w:ilvl w:val="0"/>
          <w:numId w:val="28"/>
        </w:numPr>
        <w:rPr>
          <w:sz w:val="22"/>
          <w:szCs w:val="22"/>
        </w:rPr>
      </w:pPr>
      <w:r w:rsidRPr="004E0F47">
        <w:rPr>
          <w:i/>
          <w:sz w:val="22"/>
          <w:szCs w:val="22"/>
        </w:rPr>
        <w:t>Share of Smartphones by Operating System</w:t>
      </w:r>
      <w:r w:rsidRPr="004E0F47">
        <w:rPr>
          <w:sz w:val="22"/>
          <w:szCs w:val="22"/>
        </w:rPr>
        <w:t>.  The operating system of a smartphone is one of the major factors that determine the smartphone’s ability to support mobile applications and Internet-based services.  Apple’s iOS and Google’s Android have emerged as the two leading mobile operating systems.</w:t>
      </w:r>
      <w:r w:rsidRPr="004E0F47">
        <w:rPr>
          <w:sz w:val="22"/>
          <w:szCs w:val="22"/>
          <w:vertAlign w:val="superscript"/>
        </w:rPr>
        <w:footnoteReference w:id="1047"/>
      </w:r>
      <w:r w:rsidRPr="004E0F47">
        <w:rPr>
          <w:sz w:val="22"/>
          <w:szCs w:val="22"/>
        </w:rPr>
        <w:t xml:space="preserve">   According to comScore, Android’s share of the smartphone operating system grew from three percent in May 2009 to 51 percent in March 2012, while iOS’s market share increased from 20 percent to 32 percent over the same period.</w:t>
      </w:r>
      <w:r w:rsidRPr="004E0F47">
        <w:rPr>
          <w:sz w:val="22"/>
          <w:szCs w:val="22"/>
          <w:vertAlign w:val="superscript"/>
        </w:rPr>
        <w:footnoteReference w:id="1048"/>
      </w:r>
      <w:r w:rsidRPr="004E0F47">
        <w:rPr>
          <w:sz w:val="22"/>
          <w:szCs w:val="22"/>
        </w:rPr>
        <w:t xml:space="preserve">  Over essentially the same period, RIM’s market share has declined from the top position to one of less than ten percent of the market.  In September 2012, 99.4 percent of smartphones in use had an operating system from a top-five mobile operating system provider, while the remaining 0.6 percent of smartphones in use have other operating systems (</w:t>
      </w:r>
      <w:r w:rsidR="009836C0" w:rsidRPr="004E0F47">
        <w:rPr>
          <w:sz w:val="22"/>
          <w:szCs w:val="22"/>
        </w:rPr>
        <w:fldChar w:fldCharType="begin"/>
      </w:r>
      <w:r w:rsidR="009836C0" w:rsidRPr="004E0F47">
        <w:rPr>
          <w:sz w:val="22"/>
          <w:szCs w:val="22"/>
        </w:rPr>
        <w:instrText xml:space="preserve"> REF _Ref332109455  \* MERGEFORMAT </w:instrText>
      </w:r>
      <w:r w:rsidR="009836C0" w:rsidRPr="004E0F47">
        <w:rPr>
          <w:sz w:val="22"/>
          <w:szCs w:val="22"/>
        </w:rPr>
        <w:fldChar w:fldCharType="separate"/>
      </w:r>
      <w:r w:rsidR="00CA3AC6" w:rsidRPr="00CA3AC6">
        <w:rPr>
          <w:sz w:val="22"/>
          <w:szCs w:val="22"/>
        </w:rPr>
        <w:t xml:space="preserve">Table </w:t>
      </w:r>
      <w:r w:rsidR="00CA3AC6" w:rsidRPr="00CA3AC6">
        <w:rPr>
          <w:noProof/>
          <w:sz w:val="22"/>
          <w:szCs w:val="22"/>
        </w:rPr>
        <w:t>48</w:t>
      </w:r>
      <w:r w:rsidR="009836C0" w:rsidRPr="004E0F47">
        <w:rPr>
          <w:noProof/>
          <w:sz w:val="22"/>
          <w:szCs w:val="22"/>
        </w:rPr>
        <w:fldChar w:fldCharType="end"/>
      </w:r>
      <w:r w:rsidRPr="004E0F47">
        <w:rPr>
          <w:sz w:val="22"/>
          <w:szCs w:val="22"/>
        </w:rPr>
        <w:t>).</w:t>
      </w:r>
      <w:r w:rsidRPr="004E0F47">
        <w:rPr>
          <w:sz w:val="22"/>
          <w:szCs w:val="22"/>
          <w:vertAlign w:val="superscript"/>
          <w:lang w:eastAsia="zh-CN"/>
        </w:rPr>
        <w:t xml:space="preserve"> </w:t>
      </w:r>
      <w:r w:rsidRPr="004E0F47">
        <w:rPr>
          <w:sz w:val="22"/>
          <w:szCs w:val="22"/>
          <w:vertAlign w:val="superscript"/>
          <w:lang w:eastAsia="zh-CN"/>
        </w:rPr>
        <w:footnoteReference w:id="1049"/>
      </w:r>
      <w:r w:rsidRPr="004E0F47">
        <w:rPr>
          <w:sz w:val="22"/>
          <w:szCs w:val="22"/>
        </w:rPr>
        <w:t xml:space="preserve">  </w:t>
      </w:r>
    </w:p>
    <w:p w:rsidR="004A147C" w:rsidRPr="00F16FE9" w:rsidRDefault="004A147C" w:rsidP="00CE5850">
      <w:pPr>
        <w:spacing w:after="120"/>
        <w:jc w:val="center"/>
        <w:rPr>
          <w:sz w:val="20"/>
        </w:rPr>
      </w:pPr>
      <w:bookmarkStart w:id="5025" w:name="_Ref332109455"/>
      <w:r w:rsidRPr="001402D3">
        <w:rPr>
          <w:b/>
          <w:szCs w:val="22"/>
        </w:rPr>
        <w:t xml:space="preserve">Table </w:t>
      </w:r>
      <w:r w:rsidR="0007014B" w:rsidRPr="001402D3">
        <w:rPr>
          <w:b/>
          <w:szCs w:val="22"/>
        </w:rPr>
        <w:fldChar w:fldCharType="begin"/>
      </w:r>
      <w:r w:rsidRPr="001402D3">
        <w:rPr>
          <w:b/>
          <w:szCs w:val="22"/>
        </w:rPr>
        <w:instrText xml:space="preserve"> SEQ Table \* ARABIC </w:instrText>
      </w:r>
      <w:r w:rsidR="0007014B" w:rsidRPr="001402D3">
        <w:rPr>
          <w:b/>
          <w:szCs w:val="22"/>
        </w:rPr>
        <w:fldChar w:fldCharType="separate"/>
      </w:r>
      <w:r w:rsidR="00CA3AC6">
        <w:rPr>
          <w:b/>
          <w:noProof/>
          <w:szCs w:val="22"/>
        </w:rPr>
        <w:t>48</w:t>
      </w:r>
      <w:r w:rsidR="0007014B" w:rsidRPr="001402D3">
        <w:rPr>
          <w:b/>
          <w:szCs w:val="22"/>
        </w:rPr>
        <w:fldChar w:fldCharType="end"/>
      </w:r>
      <w:bookmarkEnd w:id="5025"/>
      <w:r w:rsidRPr="00F16FE9">
        <w:rPr>
          <w:b/>
          <w:sz w:val="20"/>
          <w:szCs w:val="22"/>
          <w:lang w:eastAsia="zh-CN"/>
        </w:rPr>
        <w:t xml:space="preserve"> </w:t>
      </w:r>
      <w:r w:rsidRPr="00F16FE9">
        <w:rPr>
          <w:b/>
          <w:sz w:val="20"/>
          <w:szCs w:val="22"/>
          <w:lang w:eastAsia="zh-CN"/>
        </w:rPr>
        <w:br/>
      </w:r>
      <w:r w:rsidRPr="001402D3">
        <w:rPr>
          <w:b/>
          <w:szCs w:val="22"/>
          <w:lang w:eastAsia="zh-CN"/>
        </w:rPr>
        <w:t>Share of Smartphones in Use by Operating System, 2009-2012</w:t>
      </w:r>
    </w:p>
    <w:tbl>
      <w:tblPr>
        <w:tblW w:w="0" w:type="auto"/>
        <w:jc w:val="center"/>
        <w:tblInd w:w="2439" w:type="dxa"/>
        <w:tblCellMar>
          <w:left w:w="0" w:type="dxa"/>
          <w:right w:w="0" w:type="dxa"/>
        </w:tblCellMar>
        <w:tblLook w:val="00A0" w:firstRow="1" w:lastRow="0" w:firstColumn="1" w:lastColumn="0" w:noHBand="0" w:noVBand="0"/>
      </w:tblPr>
      <w:tblGrid>
        <w:gridCol w:w="1300"/>
        <w:gridCol w:w="1255"/>
        <w:gridCol w:w="998"/>
        <w:gridCol w:w="1238"/>
        <w:gridCol w:w="1035"/>
      </w:tblGrid>
      <w:tr w:rsidR="004A147C" w:rsidRPr="00F16FE9" w:rsidTr="00F16FE9">
        <w:trPr>
          <w:trHeight w:val="383"/>
          <w:jc w:val="center"/>
        </w:trPr>
        <w:tc>
          <w:tcPr>
            <w:tcW w:w="1300" w:type="dxa"/>
            <w:vMerge w:val="restart"/>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tcPr>
          <w:p w:rsidR="004A147C" w:rsidRPr="00F16FE9" w:rsidRDefault="004A147C" w:rsidP="00CE5850">
            <w:pPr>
              <w:snapToGrid w:val="0"/>
              <w:jc w:val="center"/>
              <w:rPr>
                <w:rFonts w:eastAsia="Times New Roman"/>
                <w:b/>
                <w:bCs/>
                <w:kern w:val="0"/>
                <w:szCs w:val="22"/>
                <w:lang w:eastAsia="zh-CN"/>
              </w:rPr>
            </w:pPr>
            <w:r w:rsidRPr="00F16FE9">
              <w:rPr>
                <w:rFonts w:eastAsia="Times New Roman"/>
                <w:b/>
                <w:bCs/>
                <w:kern w:val="0"/>
                <w:szCs w:val="22"/>
                <w:lang w:eastAsia="zh-CN"/>
              </w:rPr>
              <w:t>Operating System Developer</w:t>
            </w:r>
          </w:p>
        </w:tc>
        <w:tc>
          <w:tcPr>
            <w:tcW w:w="4171" w:type="dxa"/>
            <w:gridSpan w:val="4"/>
            <w:tcBorders>
              <w:top w:val="single" w:sz="8" w:space="0" w:color="auto"/>
              <w:left w:val="nil"/>
              <w:bottom w:val="single" w:sz="8" w:space="0" w:color="auto"/>
              <w:right w:val="single" w:sz="8" w:space="0" w:color="auto"/>
            </w:tcBorders>
            <w:tcMar>
              <w:top w:w="0" w:type="dxa"/>
              <w:left w:w="108" w:type="dxa"/>
              <w:bottom w:w="0" w:type="dxa"/>
              <w:right w:w="108" w:type="dxa"/>
            </w:tcMar>
          </w:tcPr>
          <w:p w:rsidR="004A147C" w:rsidRPr="00F16FE9" w:rsidRDefault="004A147C" w:rsidP="00CE5850">
            <w:pPr>
              <w:snapToGrid w:val="0"/>
              <w:jc w:val="center"/>
              <w:rPr>
                <w:rFonts w:eastAsia="Times New Roman"/>
                <w:b/>
                <w:bCs/>
                <w:kern w:val="0"/>
                <w:szCs w:val="22"/>
                <w:lang w:eastAsia="zh-CN"/>
              </w:rPr>
            </w:pPr>
            <w:r w:rsidRPr="00F16FE9">
              <w:rPr>
                <w:rFonts w:eastAsia="Times New Roman"/>
                <w:b/>
                <w:bCs/>
                <w:kern w:val="0"/>
                <w:szCs w:val="22"/>
                <w:lang w:eastAsia="zh-CN"/>
              </w:rPr>
              <w:t xml:space="preserve">Share of Smartphones in Use </w:t>
            </w:r>
          </w:p>
        </w:tc>
      </w:tr>
      <w:tr w:rsidR="004A147C" w:rsidRPr="00F16FE9" w:rsidTr="00F16FE9">
        <w:trPr>
          <w:trHeight w:val="382"/>
          <w:jc w:val="center"/>
        </w:trPr>
        <w:tc>
          <w:tcPr>
            <w:tcW w:w="1300" w:type="dxa"/>
            <w:vMerge/>
            <w:tcBorders>
              <w:top w:val="single" w:sz="8" w:space="0" w:color="auto"/>
              <w:left w:val="single" w:sz="8" w:space="0" w:color="auto"/>
              <w:bottom w:val="single" w:sz="8" w:space="0" w:color="auto"/>
              <w:right w:val="single" w:sz="8" w:space="0" w:color="auto"/>
            </w:tcBorders>
            <w:vAlign w:val="center"/>
          </w:tcPr>
          <w:p w:rsidR="004A147C" w:rsidRPr="00F16FE9" w:rsidRDefault="004A147C" w:rsidP="00CE5850">
            <w:pPr>
              <w:rPr>
                <w:rFonts w:eastAsia="Times New Roman"/>
                <w:b/>
                <w:bCs/>
                <w:kern w:val="0"/>
                <w:szCs w:val="22"/>
                <w:lang w:eastAsia="zh-CN"/>
              </w:rPr>
            </w:pPr>
          </w:p>
        </w:tc>
        <w:tc>
          <w:tcPr>
            <w:tcW w:w="1255" w:type="dxa"/>
            <w:tcBorders>
              <w:top w:val="nil"/>
              <w:left w:val="nil"/>
              <w:bottom w:val="single" w:sz="8" w:space="0" w:color="auto"/>
              <w:right w:val="single" w:sz="8" w:space="0" w:color="auto"/>
            </w:tcBorders>
            <w:tcMar>
              <w:top w:w="0" w:type="dxa"/>
              <w:left w:w="108" w:type="dxa"/>
              <w:bottom w:w="0" w:type="dxa"/>
              <w:right w:w="108" w:type="dxa"/>
            </w:tcMar>
          </w:tcPr>
          <w:p w:rsidR="004A147C" w:rsidRPr="00F16FE9" w:rsidRDefault="004A147C" w:rsidP="00CE5850">
            <w:pPr>
              <w:snapToGrid w:val="0"/>
              <w:jc w:val="center"/>
              <w:rPr>
                <w:rFonts w:eastAsia="Times New Roman"/>
                <w:b/>
                <w:bCs/>
                <w:kern w:val="0"/>
                <w:szCs w:val="22"/>
                <w:lang w:eastAsia="zh-CN"/>
              </w:rPr>
            </w:pPr>
            <w:r w:rsidRPr="00F16FE9">
              <w:rPr>
                <w:rFonts w:eastAsia="Times New Roman"/>
                <w:b/>
                <w:bCs/>
                <w:kern w:val="0"/>
                <w:szCs w:val="22"/>
                <w:lang w:eastAsia="zh-CN"/>
              </w:rPr>
              <w:t>December 2009</w:t>
            </w:r>
            <w:r w:rsidRPr="00F16FE9">
              <w:rPr>
                <w:vertAlign w:val="superscript"/>
                <w:lang w:eastAsia="zh-CN"/>
              </w:rPr>
              <w:footnoteReference w:id="1050"/>
            </w:r>
          </w:p>
        </w:tc>
        <w:tc>
          <w:tcPr>
            <w:tcW w:w="998" w:type="dxa"/>
            <w:tcBorders>
              <w:top w:val="nil"/>
              <w:left w:val="nil"/>
              <w:bottom w:val="single" w:sz="8" w:space="0" w:color="auto"/>
              <w:right w:val="single" w:sz="8" w:space="0" w:color="auto"/>
            </w:tcBorders>
            <w:tcMar>
              <w:top w:w="0" w:type="dxa"/>
              <w:left w:w="108" w:type="dxa"/>
              <w:bottom w:w="0" w:type="dxa"/>
              <w:right w:w="108" w:type="dxa"/>
            </w:tcMar>
          </w:tcPr>
          <w:p w:rsidR="004A147C" w:rsidRPr="00F16FE9" w:rsidRDefault="004A147C" w:rsidP="00CE5850">
            <w:pPr>
              <w:snapToGrid w:val="0"/>
              <w:jc w:val="center"/>
              <w:rPr>
                <w:rFonts w:eastAsia="Times New Roman"/>
                <w:b/>
                <w:bCs/>
                <w:kern w:val="0"/>
                <w:szCs w:val="22"/>
                <w:lang w:eastAsia="zh-CN"/>
              </w:rPr>
            </w:pPr>
            <w:r w:rsidRPr="00F16FE9">
              <w:rPr>
                <w:rFonts w:eastAsia="Times New Roman"/>
                <w:b/>
                <w:bCs/>
                <w:kern w:val="0"/>
                <w:szCs w:val="22"/>
                <w:lang w:eastAsia="zh-CN"/>
              </w:rPr>
              <w:t>August 2010</w:t>
            </w:r>
            <w:r w:rsidRPr="00F16FE9">
              <w:rPr>
                <w:vertAlign w:val="superscript"/>
                <w:lang w:eastAsia="zh-CN"/>
              </w:rPr>
              <w:footnoteReference w:id="1051"/>
            </w:r>
          </w:p>
        </w:tc>
        <w:tc>
          <w:tcPr>
            <w:tcW w:w="1238" w:type="dxa"/>
            <w:tcBorders>
              <w:top w:val="nil"/>
              <w:left w:val="nil"/>
              <w:bottom w:val="single" w:sz="8" w:space="0" w:color="auto"/>
              <w:right w:val="single" w:sz="8" w:space="0" w:color="auto"/>
            </w:tcBorders>
            <w:tcMar>
              <w:top w:w="0" w:type="dxa"/>
              <w:left w:w="108" w:type="dxa"/>
              <w:bottom w:w="0" w:type="dxa"/>
              <w:right w:w="108" w:type="dxa"/>
            </w:tcMar>
          </w:tcPr>
          <w:p w:rsidR="004A147C" w:rsidRPr="00F16FE9" w:rsidRDefault="004A147C" w:rsidP="00CE5850">
            <w:pPr>
              <w:snapToGrid w:val="0"/>
              <w:jc w:val="center"/>
              <w:rPr>
                <w:rFonts w:eastAsia="Times New Roman"/>
                <w:b/>
                <w:bCs/>
                <w:kern w:val="0"/>
                <w:szCs w:val="22"/>
                <w:lang w:eastAsia="zh-CN"/>
              </w:rPr>
            </w:pPr>
            <w:r w:rsidRPr="00F16FE9">
              <w:rPr>
                <w:rFonts w:eastAsia="Times New Roman"/>
                <w:b/>
                <w:bCs/>
                <w:kern w:val="0"/>
                <w:szCs w:val="22"/>
                <w:lang w:eastAsia="zh-CN"/>
              </w:rPr>
              <w:t>September 2011</w:t>
            </w:r>
            <w:r w:rsidRPr="00F16FE9">
              <w:rPr>
                <w:vertAlign w:val="superscript"/>
                <w:lang w:eastAsia="zh-CN"/>
              </w:rPr>
              <w:footnoteReference w:id="1052"/>
            </w:r>
          </w:p>
        </w:tc>
        <w:tc>
          <w:tcPr>
            <w:tcW w:w="680" w:type="dxa"/>
            <w:tcBorders>
              <w:top w:val="nil"/>
              <w:left w:val="nil"/>
              <w:bottom w:val="single" w:sz="8" w:space="0" w:color="auto"/>
              <w:right w:val="single" w:sz="8" w:space="0" w:color="auto"/>
            </w:tcBorders>
          </w:tcPr>
          <w:p w:rsidR="004A147C" w:rsidRPr="00F16FE9" w:rsidRDefault="004A147C" w:rsidP="00CE5850">
            <w:pPr>
              <w:snapToGrid w:val="0"/>
              <w:jc w:val="center"/>
              <w:rPr>
                <w:rFonts w:eastAsia="Times New Roman"/>
                <w:b/>
                <w:bCs/>
                <w:kern w:val="0"/>
                <w:szCs w:val="22"/>
                <w:lang w:eastAsia="zh-CN"/>
              </w:rPr>
            </w:pPr>
            <w:r w:rsidRPr="00F16FE9">
              <w:rPr>
                <w:rFonts w:eastAsia="Times New Roman"/>
                <w:b/>
                <w:bCs/>
                <w:kern w:val="0"/>
                <w:szCs w:val="22"/>
                <w:lang w:eastAsia="zh-CN"/>
              </w:rPr>
              <w:t>September 2012</w:t>
            </w:r>
            <w:r w:rsidR="00867CB3" w:rsidRPr="00867CB3">
              <w:rPr>
                <w:rStyle w:val="FootnoteReference"/>
                <w:rFonts w:eastAsia="Times New Roman"/>
                <w:bCs/>
                <w:kern w:val="0"/>
                <w:szCs w:val="22"/>
                <w:lang w:eastAsia="zh-CN"/>
              </w:rPr>
              <w:footnoteReference w:id="1053"/>
            </w:r>
          </w:p>
        </w:tc>
      </w:tr>
      <w:tr w:rsidR="004A147C" w:rsidRPr="00F16FE9" w:rsidTr="00F16FE9">
        <w:trPr>
          <w:jc w:val="center"/>
        </w:trPr>
        <w:tc>
          <w:tcPr>
            <w:tcW w:w="1300" w:type="dxa"/>
            <w:tcBorders>
              <w:top w:val="nil"/>
              <w:left w:val="single" w:sz="8" w:space="0" w:color="auto"/>
              <w:bottom w:val="single" w:sz="8" w:space="0" w:color="auto"/>
              <w:right w:val="single" w:sz="8" w:space="0" w:color="auto"/>
            </w:tcBorders>
            <w:tcMar>
              <w:top w:w="0" w:type="dxa"/>
              <w:left w:w="108" w:type="dxa"/>
              <w:bottom w:w="0" w:type="dxa"/>
              <w:right w:w="108" w:type="dxa"/>
            </w:tcMar>
          </w:tcPr>
          <w:p w:rsidR="004A147C" w:rsidRPr="00F16FE9" w:rsidRDefault="004A147C" w:rsidP="00CE5850">
            <w:pPr>
              <w:snapToGrid w:val="0"/>
              <w:rPr>
                <w:rFonts w:eastAsia="Times New Roman"/>
                <w:kern w:val="0"/>
                <w:szCs w:val="22"/>
                <w:lang w:eastAsia="zh-CN"/>
              </w:rPr>
            </w:pPr>
            <w:r w:rsidRPr="00F16FE9">
              <w:rPr>
                <w:rFonts w:eastAsia="Times New Roman"/>
                <w:kern w:val="0"/>
                <w:szCs w:val="22"/>
              </w:rPr>
              <w:t>Google</w:t>
            </w:r>
          </w:p>
        </w:tc>
        <w:tc>
          <w:tcPr>
            <w:tcW w:w="1255" w:type="dxa"/>
            <w:tcBorders>
              <w:top w:val="nil"/>
              <w:left w:val="nil"/>
              <w:bottom w:val="single" w:sz="8" w:space="0" w:color="auto"/>
              <w:right w:val="single" w:sz="8" w:space="0" w:color="auto"/>
            </w:tcBorders>
            <w:tcMar>
              <w:top w:w="0" w:type="dxa"/>
              <w:left w:w="108" w:type="dxa"/>
              <w:bottom w:w="0" w:type="dxa"/>
              <w:right w:w="108" w:type="dxa"/>
            </w:tcMar>
          </w:tcPr>
          <w:p w:rsidR="004A147C" w:rsidRPr="00F16FE9" w:rsidRDefault="004A147C" w:rsidP="00CE5850">
            <w:pPr>
              <w:snapToGrid w:val="0"/>
              <w:jc w:val="center"/>
              <w:rPr>
                <w:rFonts w:eastAsia="Times New Roman"/>
                <w:kern w:val="0"/>
                <w:szCs w:val="22"/>
              </w:rPr>
            </w:pPr>
            <w:r w:rsidRPr="00F16FE9">
              <w:rPr>
                <w:rFonts w:eastAsia="Times New Roman"/>
                <w:kern w:val="0"/>
                <w:szCs w:val="22"/>
              </w:rPr>
              <w:t>5.2%</w:t>
            </w:r>
          </w:p>
        </w:tc>
        <w:tc>
          <w:tcPr>
            <w:tcW w:w="998" w:type="dxa"/>
            <w:tcBorders>
              <w:top w:val="nil"/>
              <w:left w:val="nil"/>
              <w:bottom w:val="single" w:sz="8" w:space="0" w:color="auto"/>
              <w:right w:val="single" w:sz="8" w:space="0" w:color="auto"/>
            </w:tcBorders>
            <w:tcMar>
              <w:top w:w="0" w:type="dxa"/>
              <w:left w:w="108" w:type="dxa"/>
              <w:bottom w:w="0" w:type="dxa"/>
              <w:right w:w="108" w:type="dxa"/>
            </w:tcMar>
          </w:tcPr>
          <w:p w:rsidR="004A147C" w:rsidRPr="00F16FE9" w:rsidRDefault="004A147C" w:rsidP="00CE5850">
            <w:pPr>
              <w:snapToGrid w:val="0"/>
              <w:jc w:val="center"/>
              <w:rPr>
                <w:rFonts w:eastAsia="Times New Roman"/>
                <w:kern w:val="0"/>
                <w:szCs w:val="22"/>
                <w:lang w:eastAsia="zh-CN"/>
              </w:rPr>
            </w:pPr>
            <w:r w:rsidRPr="00F16FE9">
              <w:rPr>
                <w:rFonts w:eastAsia="Times New Roman"/>
                <w:kern w:val="0"/>
                <w:szCs w:val="22"/>
              </w:rPr>
              <w:t>19.6%</w:t>
            </w:r>
          </w:p>
        </w:tc>
        <w:tc>
          <w:tcPr>
            <w:tcW w:w="1238" w:type="dxa"/>
            <w:tcBorders>
              <w:top w:val="nil"/>
              <w:left w:val="nil"/>
              <w:bottom w:val="single" w:sz="8" w:space="0" w:color="auto"/>
              <w:right w:val="single" w:sz="8" w:space="0" w:color="auto"/>
            </w:tcBorders>
            <w:tcMar>
              <w:top w:w="0" w:type="dxa"/>
              <w:left w:w="108" w:type="dxa"/>
              <w:bottom w:w="0" w:type="dxa"/>
              <w:right w:w="108" w:type="dxa"/>
            </w:tcMar>
          </w:tcPr>
          <w:p w:rsidR="004A147C" w:rsidRPr="00F16FE9" w:rsidRDefault="004A147C" w:rsidP="00CE5850">
            <w:pPr>
              <w:snapToGrid w:val="0"/>
              <w:jc w:val="center"/>
              <w:rPr>
                <w:rFonts w:eastAsia="Times New Roman"/>
                <w:kern w:val="0"/>
                <w:szCs w:val="22"/>
              </w:rPr>
            </w:pPr>
            <w:r w:rsidRPr="00F16FE9">
              <w:rPr>
                <w:rFonts w:eastAsia="Times New Roman"/>
                <w:kern w:val="0"/>
                <w:szCs w:val="22"/>
              </w:rPr>
              <w:t>44.8%</w:t>
            </w:r>
          </w:p>
        </w:tc>
        <w:tc>
          <w:tcPr>
            <w:tcW w:w="680" w:type="dxa"/>
            <w:tcBorders>
              <w:top w:val="nil"/>
              <w:left w:val="nil"/>
              <w:bottom w:val="single" w:sz="8" w:space="0" w:color="auto"/>
              <w:right w:val="single" w:sz="8" w:space="0" w:color="auto"/>
            </w:tcBorders>
          </w:tcPr>
          <w:p w:rsidR="004A147C" w:rsidRPr="00F16FE9" w:rsidRDefault="004A147C" w:rsidP="00CE5850">
            <w:pPr>
              <w:jc w:val="center"/>
              <w:rPr>
                <w:rFonts w:eastAsia="Times New Roman"/>
                <w:kern w:val="0"/>
                <w:szCs w:val="22"/>
              </w:rPr>
            </w:pPr>
            <w:r w:rsidRPr="00F16FE9">
              <w:rPr>
                <w:rFonts w:eastAsia="Times New Roman"/>
                <w:kern w:val="0"/>
                <w:szCs w:val="22"/>
              </w:rPr>
              <w:t>52.5%</w:t>
            </w:r>
          </w:p>
        </w:tc>
      </w:tr>
      <w:tr w:rsidR="004A147C" w:rsidRPr="00F16FE9" w:rsidTr="00F16FE9">
        <w:trPr>
          <w:jc w:val="center"/>
        </w:trPr>
        <w:tc>
          <w:tcPr>
            <w:tcW w:w="1300" w:type="dxa"/>
            <w:tcBorders>
              <w:top w:val="nil"/>
              <w:left w:val="single" w:sz="8" w:space="0" w:color="auto"/>
              <w:bottom w:val="single" w:sz="8" w:space="0" w:color="auto"/>
              <w:right w:val="single" w:sz="8" w:space="0" w:color="auto"/>
            </w:tcBorders>
            <w:tcMar>
              <w:top w:w="0" w:type="dxa"/>
              <w:left w:w="108" w:type="dxa"/>
              <w:bottom w:w="0" w:type="dxa"/>
              <w:right w:w="108" w:type="dxa"/>
            </w:tcMar>
          </w:tcPr>
          <w:p w:rsidR="004A147C" w:rsidRPr="00F16FE9" w:rsidRDefault="004A147C" w:rsidP="00CE5850">
            <w:pPr>
              <w:snapToGrid w:val="0"/>
              <w:rPr>
                <w:rFonts w:eastAsia="Times New Roman"/>
                <w:kern w:val="0"/>
                <w:szCs w:val="22"/>
                <w:lang w:eastAsia="zh-CN"/>
              </w:rPr>
            </w:pPr>
            <w:r w:rsidRPr="00F16FE9">
              <w:rPr>
                <w:rFonts w:eastAsia="Times New Roman"/>
                <w:kern w:val="0"/>
                <w:szCs w:val="22"/>
              </w:rPr>
              <w:t>Apple</w:t>
            </w:r>
          </w:p>
        </w:tc>
        <w:tc>
          <w:tcPr>
            <w:tcW w:w="1255" w:type="dxa"/>
            <w:tcBorders>
              <w:top w:val="nil"/>
              <w:left w:val="nil"/>
              <w:bottom w:val="single" w:sz="8" w:space="0" w:color="auto"/>
              <w:right w:val="single" w:sz="8" w:space="0" w:color="auto"/>
            </w:tcBorders>
            <w:tcMar>
              <w:top w:w="0" w:type="dxa"/>
              <w:left w:w="108" w:type="dxa"/>
              <w:bottom w:w="0" w:type="dxa"/>
              <w:right w:w="108" w:type="dxa"/>
            </w:tcMar>
          </w:tcPr>
          <w:p w:rsidR="004A147C" w:rsidRPr="00F16FE9" w:rsidRDefault="004A147C" w:rsidP="00CE5850">
            <w:pPr>
              <w:snapToGrid w:val="0"/>
              <w:jc w:val="center"/>
              <w:rPr>
                <w:rFonts w:eastAsia="Times New Roman"/>
                <w:kern w:val="0"/>
                <w:szCs w:val="22"/>
              </w:rPr>
            </w:pPr>
            <w:r w:rsidRPr="00F16FE9">
              <w:rPr>
                <w:rFonts w:eastAsia="Times New Roman"/>
                <w:kern w:val="0"/>
                <w:szCs w:val="22"/>
              </w:rPr>
              <w:t>25.3%</w:t>
            </w:r>
          </w:p>
        </w:tc>
        <w:tc>
          <w:tcPr>
            <w:tcW w:w="998" w:type="dxa"/>
            <w:tcBorders>
              <w:top w:val="nil"/>
              <w:left w:val="nil"/>
              <w:bottom w:val="single" w:sz="8" w:space="0" w:color="auto"/>
              <w:right w:val="single" w:sz="8" w:space="0" w:color="auto"/>
            </w:tcBorders>
            <w:tcMar>
              <w:top w:w="0" w:type="dxa"/>
              <w:left w:w="108" w:type="dxa"/>
              <w:bottom w:w="0" w:type="dxa"/>
              <w:right w:w="108" w:type="dxa"/>
            </w:tcMar>
          </w:tcPr>
          <w:p w:rsidR="004A147C" w:rsidRPr="00F16FE9" w:rsidRDefault="004A147C" w:rsidP="00CE5850">
            <w:pPr>
              <w:snapToGrid w:val="0"/>
              <w:jc w:val="center"/>
              <w:rPr>
                <w:rFonts w:eastAsia="Times New Roman"/>
                <w:kern w:val="0"/>
                <w:szCs w:val="22"/>
                <w:lang w:eastAsia="zh-CN"/>
              </w:rPr>
            </w:pPr>
            <w:r w:rsidRPr="00F16FE9">
              <w:rPr>
                <w:rFonts w:eastAsia="Times New Roman"/>
                <w:kern w:val="0"/>
                <w:szCs w:val="22"/>
              </w:rPr>
              <w:t>24.2%</w:t>
            </w:r>
          </w:p>
        </w:tc>
        <w:tc>
          <w:tcPr>
            <w:tcW w:w="1238" w:type="dxa"/>
            <w:tcBorders>
              <w:top w:val="nil"/>
              <w:left w:val="nil"/>
              <w:bottom w:val="single" w:sz="8" w:space="0" w:color="auto"/>
              <w:right w:val="single" w:sz="8" w:space="0" w:color="auto"/>
            </w:tcBorders>
            <w:tcMar>
              <w:top w:w="0" w:type="dxa"/>
              <w:left w:w="108" w:type="dxa"/>
              <w:bottom w:w="0" w:type="dxa"/>
              <w:right w:w="108" w:type="dxa"/>
            </w:tcMar>
          </w:tcPr>
          <w:p w:rsidR="004A147C" w:rsidRPr="00F16FE9" w:rsidRDefault="004A147C" w:rsidP="00CE5850">
            <w:pPr>
              <w:snapToGrid w:val="0"/>
              <w:jc w:val="center"/>
              <w:rPr>
                <w:rFonts w:eastAsia="Times New Roman"/>
                <w:kern w:val="0"/>
                <w:szCs w:val="22"/>
              </w:rPr>
            </w:pPr>
            <w:r w:rsidRPr="00F16FE9">
              <w:rPr>
                <w:rFonts w:eastAsia="Times New Roman"/>
                <w:kern w:val="0"/>
                <w:szCs w:val="22"/>
              </w:rPr>
              <w:t>27.4%</w:t>
            </w:r>
          </w:p>
        </w:tc>
        <w:tc>
          <w:tcPr>
            <w:tcW w:w="680" w:type="dxa"/>
            <w:tcBorders>
              <w:top w:val="nil"/>
              <w:left w:val="nil"/>
              <w:bottom w:val="single" w:sz="8" w:space="0" w:color="auto"/>
              <w:right w:val="single" w:sz="8" w:space="0" w:color="auto"/>
            </w:tcBorders>
          </w:tcPr>
          <w:p w:rsidR="004A147C" w:rsidRPr="00F16FE9" w:rsidRDefault="004A147C" w:rsidP="00CE5850">
            <w:pPr>
              <w:jc w:val="center"/>
              <w:rPr>
                <w:rFonts w:eastAsia="Times New Roman"/>
                <w:kern w:val="0"/>
                <w:szCs w:val="22"/>
              </w:rPr>
            </w:pPr>
            <w:r w:rsidRPr="00F16FE9">
              <w:rPr>
                <w:rFonts w:eastAsia="Times New Roman"/>
                <w:kern w:val="0"/>
                <w:szCs w:val="22"/>
              </w:rPr>
              <w:t>34.3%</w:t>
            </w:r>
          </w:p>
        </w:tc>
      </w:tr>
      <w:tr w:rsidR="004A147C" w:rsidRPr="00F16FE9" w:rsidTr="00F16FE9">
        <w:trPr>
          <w:jc w:val="center"/>
        </w:trPr>
        <w:tc>
          <w:tcPr>
            <w:tcW w:w="1300" w:type="dxa"/>
            <w:tcBorders>
              <w:top w:val="nil"/>
              <w:left w:val="single" w:sz="8" w:space="0" w:color="auto"/>
              <w:bottom w:val="single" w:sz="8" w:space="0" w:color="auto"/>
              <w:right w:val="single" w:sz="8" w:space="0" w:color="auto"/>
            </w:tcBorders>
            <w:tcMar>
              <w:top w:w="0" w:type="dxa"/>
              <w:left w:w="108" w:type="dxa"/>
              <w:bottom w:w="0" w:type="dxa"/>
              <w:right w:w="108" w:type="dxa"/>
            </w:tcMar>
          </w:tcPr>
          <w:p w:rsidR="004A147C" w:rsidRPr="00F16FE9" w:rsidRDefault="004A147C" w:rsidP="00CE5850">
            <w:pPr>
              <w:snapToGrid w:val="0"/>
              <w:rPr>
                <w:rFonts w:eastAsia="Times New Roman"/>
                <w:kern w:val="0"/>
                <w:szCs w:val="22"/>
              </w:rPr>
            </w:pPr>
            <w:r w:rsidRPr="00F16FE9">
              <w:rPr>
                <w:rFonts w:eastAsia="Times New Roman"/>
                <w:kern w:val="0"/>
                <w:szCs w:val="22"/>
              </w:rPr>
              <w:t>RIM</w:t>
            </w:r>
          </w:p>
        </w:tc>
        <w:tc>
          <w:tcPr>
            <w:tcW w:w="1255" w:type="dxa"/>
            <w:tcBorders>
              <w:top w:val="nil"/>
              <w:left w:val="nil"/>
              <w:bottom w:val="single" w:sz="8" w:space="0" w:color="auto"/>
              <w:right w:val="single" w:sz="8" w:space="0" w:color="auto"/>
            </w:tcBorders>
            <w:tcMar>
              <w:top w:w="0" w:type="dxa"/>
              <w:left w:w="108" w:type="dxa"/>
              <w:bottom w:w="0" w:type="dxa"/>
              <w:right w:w="108" w:type="dxa"/>
            </w:tcMar>
          </w:tcPr>
          <w:p w:rsidR="004A147C" w:rsidRPr="00F16FE9" w:rsidRDefault="004A147C" w:rsidP="00CE5850">
            <w:pPr>
              <w:snapToGrid w:val="0"/>
              <w:jc w:val="center"/>
              <w:rPr>
                <w:rFonts w:eastAsia="Times New Roman"/>
                <w:kern w:val="0"/>
                <w:szCs w:val="22"/>
              </w:rPr>
            </w:pPr>
            <w:r w:rsidRPr="00F16FE9">
              <w:rPr>
                <w:rFonts w:eastAsia="Times New Roman"/>
                <w:kern w:val="0"/>
                <w:szCs w:val="22"/>
              </w:rPr>
              <w:t>41.6%</w:t>
            </w:r>
          </w:p>
        </w:tc>
        <w:tc>
          <w:tcPr>
            <w:tcW w:w="998" w:type="dxa"/>
            <w:tcBorders>
              <w:top w:val="nil"/>
              <w:left w:val="nil"/>
              <w:bottom w:val="single" w:sz="8" w:space="0" w:color="auto"/>
              <w:right w:val="single" w:sz="8" w:space="0" w:color="auto"/>
            </w:tcBorders>
            <w:tcMar>
              <w:top w:w="0" w:type="dxa"/>
              <w:left w:w="108" w:type="dxa"/>
              <w:bottom w:w="0" w:type="dxa"/>
              <w:right w:w="108" w:type="dxa"/>
            </w:tcMar>
          </w:tcPr>
          <w:p w:rsidR="004A147C" w:rsidRPr="00F16FE9" w:rsidRDefault="004A147C" w:rsidP="00CE5850">
            <w:pPr>
              <w:snapToGrid w:val="0"/>
              <w:jc w:val="center"/>
              <w:rPr>
                <w:rFonts w:eastAsia="Times New Roman"/>
                <w:kern w:val="0"/>
                <w:szCs w:val="22"/>
              </w:rPr>
            </w:pPr>
            <w:r w:rsidRPr="00F16FE9">
              <w:rPr>
                <w:rFonts w:eastAsia="Times New Roman"/>
                <w:kern w:val="0"/>
                <w:szCs w:val="22"/>
              </w:rPr>
              <w:t>37.6%</w:t>
            </w:r>
          </w:p>
        </w:tc>
        <w:tc>
          <w:tcPr>
            <w:tcW w:w="1238" w:type="dxa"/>
            <w:tcBorders>
              <w:top w:val="nil"/>
              <w:left w:val="nil"/>
              <w:bottom w:val="single" w:sz="8" w:space="0" w:color="auto"/>
              <w:right w:val="single" w:sz="8" w:space="0" w:color="auto"/>
            </w:tcBorders>
            <w:tcMar>
              <w:top w:w="0" w:type="dxa"/>
              <w:left w:w="108" w:type="dxa"/>
              <w:bottom w:w="0" w:type="dxa"/>
              <w:right w:w="108" w:type="dxa"/>
            </w:tcMar>
          </w:tcPr>
          <w:p w:rsidR="004A147C" w:rsidRPr="00F16FE9" w:rsidRDefault="004A147C" w:rsidP="00CE5850">
            <w:pPr>
              <w:snapToGrid w:val="0"/>
              <w:jc w:val="center"/>
              <w:rPr>
                <w:rFonts w:eastAsia="Times New Roman"/>
                <w:kern w:val="0"/>
                <w:szCs w:val="22"/>
              </w:rPr>
            </w:pPr>
            <w:r w:rsidRPr="00F16FE9">
              <w:rPr>
                <w:rFonts w:eastAsia="Times New Roman"/>
                <w:kern w:val="0"/>
                <w:szCs w:val="22"/>
              </w:rPr>
              <w:t>18.9%</w:t>
            </w:r>
          </w:p>
        </w:tc>
        <w:tc>
          <w:tcPr>
            <w:tcW w:w="680" w:type="dxa"/>
            <w:tcBorders>
              <w:top w:val="nil"/>
              <w:left w:val="nil"/>
              <w:bottom w:val="single" w:sz="8" w:space="0" w:color="auto"/>
              <w:right w:val="single" w:sz="8" w:space="0" w:color="auto"/>
            </w:tcBorders>
          </w:tcPr>
          <w:p w:rsidR="004A147C" w:rsidRPr="00F16FE9" w:rsidRDefault="004A147C" w:rsidP="00CE5850">
            <w:pPr>
              <w:jc w:val="center"/>
              <w:rPr>
                <w:rFonts w:eastAsia="Times New Roman"/>
                <w:kern w:val="0"/>
                <w:szCs w:val="22"/>
              </w:rPr>
            </w:pPr>
            <w:r w:rsidRPr="00F16FE9">
              <w:rPr>
                <w:rFonts w:eastAsia="Times New Roman"/>
                <w:kern w:val="0"/>
                <w:szCs w:val="22"/>
              </w:rPr>
              <w:t>8.4%</w:t>
            </w:r>
          </w:p>
        </w:tc>
      </w:tr>
      <w:tr w:rsidR="004A147C" w:rsidRPr="00F16FE9" w:rsidTr="00F16FE9">
        <w:trPr>
          <w:jc w:val="center"/>
        </w:trPr>
        <w:tc>
          <w:tcPr>
            <w:tcW w:w="1300" w:type="dxa"/>
            <w:tcBorders>
              <w:top w:val="nil"/>
              <w:left w:val="single" w:sz="8" w:space="0" w:color="auto"/>
              <w:bottom w:val="single" w:sz="8" w:space="0" w:color="auto"/>
              <w:right w:val="single" w:sz="8" w:space="0" w:color="auto"/>
            </w:tcBorders>
            <w:tcMar>
              <w:top w:w="0" w:type="dxa"/>
              <w:left w:w="108" w:type="dxa"/>
              <w:bottom w:w="0" w:type="dxa"/>
              <w:right w:w="108" w:type="dxa"/>
            </w:tcMar>
          </w:tcPr>
          <w:p w:rsidR="004A147C" w:rsidRPr="00F16FE9" w:rsidRDefault="004A147C" w:rsidP="00CE5850">
            <w:pPr>
              <w:snapToGrid w:val="0"/>
              <w:rPr>
                <w:rFonts w:eastAsia="Times New Roman"/>
                <w:kern w:val="0"/>
                <w:szCs w:val="22"/>
                <w:lang w:eastAsia="zh-CN"/>
              </w:rPr>
            </w:pPr>
            <w:r w:rsidRPr="00F16FE9">
              <w:rPr>
                <w:rFonts w:eastAsia="Times New Roman"/>
                <w:kern w:val="0"/>
                <w:szCs w:val="22"/>
              </w:rPr>
              <w:t>Microsoft</w:t>
            </w:r>
          </w:p>
        </w:tc>
        <w:tc>
          <w:tcPr>
            <w:tcW w:w="1255" w:type="dxa"/>
            <w:tcBorders>
              <w:top w:val="nil"/>
              <w:left w:val="nil"/>
              <w:bottom w:val="single" w:sz="8" w:space="0" w:color="auto"/>
              <w:right w:val="single" w:sz="8" w:space="0" w:color="auto"/>
            </w:tcBorders>
            <w:tcMar>
              <w:top w:w="0" w:type="dxa"/>
              <w:left w:w="108" w:type="dxa"/>
              <w:bottom w:w="0" w:type="dxa"/>
              <w:right w:w="108" w:type="dxa"/>
            </w:tcMar>
          </w:tcPr>
          <w:p w:rsidR="004A147C" w:rsidRPr="00F16FE9" w:rsidRDefault="004A147C" w:rsidP="00CE5850">
            <w:pPr>
              <w:snapToGrid w:val="0"/>
              <w:jc w:val="center"/>
              <w:rPr>
                <w:rFonts w:eastAsia="Times New Roman"/>
                <w:kern w:val="0"/>
                <w:szCs w:val="22"/>
              </w:rPr>
            </w:pPr>
            <w:r w:rsidRPr="00F16FE9">
              <w:rPr>
                <w:rFonts w:eastAsia="Times New Roman"/>
                <w:kern w:val="0"/>
                <w:szCs w:val="22"/>
              </w:rPr>
              <w:t>18.0%</w:t>
            </w:r>
          </w:p>
        </w:tc>
        <w:tc>
          <w:tcPr>
            <w:tcW w:w="998" w:type="dxa"/>
            <w:tcBorders>
              <w:top w:val="nil"/>
              <w:left w:val="nil"/>
              <w:bottom w:val="single" w:sz="8" w:space="0" w:color="auto"/>
              <w:right w:val="single" w:sz="8" w:space="0" w:color="auto"/>
            </w:tcBorders>
            <w:tcMar>
              <w:top w:w="0" w:type="dxa"/>
              <w:left w:w="108" w:type="dxa"/>
              <w:bottom w:w="0" w:type="dxa"/>
              <w:right w:w="108" w:type="dxa"/>
            </w:tcMar>
          </w:tcPr>
          <w:p w:rsidR="004A147C" w:rsidRPr="00F16FE9" w:rsidRDefault="004A147C" w:rsidP="00CE5850">
            <w:pPr>
              <w:snapToGrid w:val="0"/>
              <w:jc w:val="center"/>
              <w:rPr>
                <w:rFonts w:eastAsia="Times New Roman"/>
                <w:kern w:val="0"/>
                <w:szCs w:val="22"/>
                <w:lang w:eastAsia="zh-CN"/>
              </w:rPr>
            </w:pPr>
            <w:r w:rsidRPr="00F16FE9">
              <w:rPr>
                <w:rFonts w:eastAsia="Times New Roman"/>
                <w:kern w:val="0"/>
                <w:szCs w:val="22"/>
              </w:rPr>
              <w:t>10.8%</w:t>
            </w:r>
          </w:p>
        </w:tc>
        <w:tc>
          <w:tcPr>
            <w:tcW w:w="1238" w:type="dxa"/>
            <w:tcBorders>
              <w:top w:val="nil"/>
              <w:left w:val="nil"/>
              <w:bottom w:val="single" w:sz="8" w:space="0" w:color="auto"/>
              <w:right w:val="single" w:sz="8" w:space="0" w:color="auto"/>
            </w:tcBorders>
            <w:tcMar>
              <w:top w:w="0" w:type="dxa"/>
              <w:left w:w="108" w:type="dxa"/>
              <w:bottom w:w="0" w:type="dxa"/>
              <w:right w:w="108" w:type="dxa"/>
            </w:tcMar>
          </w:tcPr>
          <w:p w:rsidR="004A147C" w:rsidRPr="00F16FE9" w:rsidRDefault="004A147C" w:rsidP="00CE5850">
            <w:pPr>
              <w:snapToGrid w:val="0"/>
              <w:jc w:val="center"/>
              <w:rPr>
                <w:rFonts w:eastAsia="Times New Roman"/>
                <w:kern w:val="0"/>
                <w:szCs w:val="22"/>
              </w:rPr>
            </w:pPr>
            <w:r w:rsidRPr="00F16FE9">
              <w:rPr>
                <w:rFonts w:eastAsia="Times New Roman"/>
                <w:kern w:val="0"/>
                <w:szCs w:val="22"/>
              </w:rPr>
              <w:t>5.6%</w:t>
            </w:r>
          </w:p>
        </w:tc>
        <w:tc>
          <w:tcPr>
            <w:tcW w:w="680" w:type="dxa"/>
            <w:tcBorders>
              <w:top w:val="nil"/>
              <w:left w:val="nil"/>
              <w:bottom w:val="single" w:sz="8" w:space="0" w:color="auto"/>
              <w:right w:val="single" w:sz="8" w:space="0" w:color="auto"/>
            </w:tcBorders>
          </w:tcPr>
          <w:p w:rsidR="004A147C" w:rsidRPr="00F16FE9" w:rsidRDefault="004A147C" w:rsidP="00CE5850">
            <w:pPr>
              <w:jc w:val="center"/>
              <w:rPr>
                <w:rFonts w:eastAsia="Times New Roman"/>
                <w:kern w:val="0"/>
                <w:szCs w:val="22"/>
              </w:rPr>
            </w:pPr>
            <w:r w:rsidRPr="00F16FE9">
              <w:rPr>
                <w:rFonts w:eastAsia="Times New Roman"/>
                <w:kern w:val="0"/>
                <w:szCs w:val="22"/>
              </w:rPr>
              <w:t>3.6%</w:t>
            </w:r>
          </w:p>
        </w:tc>
      </w:tr>
      <w:tr w:rsidR="004A147C" w:rsidRPr="00F16FE9" w:rsidTr="00F16FE9">
        <w:trPr>
          <w:jc w:val="center"/>
        </w:trPr>
        <w:tc>
          <w:tcPr>
            <w:tcW w:w="1300" w:type="dxa"/>
            <w:tcBorders>
              <w:top w:val="nil"/>
              <w:left w:val="single" w:sz="8" w:space="0" w:color="auto"/>
              <w:bottom w:val="single" w:sz="8" w:space="0" w:color="auto"/>
              <w:right w:val="single" w:sz="8" w:space="0" w:color="auto"/>
            </w:tcBorders>
            <w:tcMar>
              <w:top w:w="0" w:type="dxa"/>
              <w:left w:w="108" w:type="dxa"/>
              <w:bottom w:w="0" w:type="dxa"/>
              <w:right w:w="108" w:type="dxa"/>
            </w:tcMar>
          </w:tcPr>
          <w:p w:rsidR="004A147C" w:rsidRPr="00F16FE9" w:rsidRDefault="004A147C" w:rsidP="00CE5850">
            <w:pPr>
              <w:snapToGrid w:val="0"/>
              <w:rPr>
                <w:rFonts w:eastAsia="Times New Roman"/>
                <w:kern w:val="0"/>
                <w:szCs w:val="22"/>
                <w:lang w:eastAsia="zh-CN"/>
              </w:rPr>
            </w:pPr>
            <w:r w:rsidRPr="00F16FE9">
              <w:rPr>
                <w:rFonts w:eastAsia="Times New Roman"/>
                <w:kern w:val="0"/>
                <w:szCs w:val="22"/>
              </w:rPr>
              <w:t>Palm</w:t>
            </w:r>
          </w:p>
        </w:tc>
        <w:tc>
          <w:tcPr>
            <w:tcW w:w="1255" w:type="dxa"/>
            <w:tcBorders>
              <w:top w:val="nil"/>
              <w:left w:val="nil"/>
              <w:bottom w:val="single" w:sz="8" w:space="0" w:color="auto"/>
              <w:right w:val="single" w:sz="8" w:space="0" w:color="auto"/>
            </w:tcBorders>
            <w:tcMar>
              <w:top w:w="0" w:type="dxa"/>
              <w:left w:w="108" w:type="dxa"/>
              <w:bottom w:w="0" w:type="dxa"/>
              <w:right w:w="108" w:type="dxa"/>
            </w:tcMar>
          </w:tcPr>
          <w:p w:rsidR="004A147C" w:rsidRPr="00F16FE9" w:rsidRDefault="004A147C" w:rsidP="00CE5850">
            <w:pPr>
              <w:snapToGrid w:val="0"/>
              <w:jc w:val="center"/>
              <w:rPr>
                <w:rFonts w:eastAsia="Times New Roman"/>
                <w:kern w:val="0"/>
                <w:szCs w:val="22"/>
              </w:rPr>
            </w:pPr>
            <w:r w:rsidRPr="00F16FE9">
              <w:rPr>
                <w:rFonts w:eastAsia="Times New Roman"/>
                <w:kern w:val="0"/>
                <w:szCs w:val="22"/>
              </w:rPr>
              <w:t>6.1%</w:t>
            </w:r>
          </w:p>
        </w:tc>
        <w:tc>
          <w:tcPr>
            <w:tcW w:w="998" w:type="dxa"/>
            <w:tcBorders>
              <w:top w:val="nil"/>
              <w:left w:val="nil"/>
              <w:bottom w:val="single" w:sz="8" w:space="0" w:color="auto"/>
              <w:right w:val="single" w:sz="8" w:space="0" w:color="auto"/>
            </w:tcBorders>
            <w:tcMar>
              <w:top w:w="0" w:type="dxa"/>
              <w:left w:w="108" w:type="dxa"/>
              <w:bottom w:w="0" w:type="dxa"/>
              <w:right w:w="108" w:type="dxa"/>
            </w:tcMar>
          </w:tcPr>
          <w:p w:rsidR="004A147C" w:rsidRPr="00F16FE9" w:rsidRDefault="004A147C" w:rsidP="00CE5850">
            <w:pPr>
              <w:snapToGrid w:val="0"/>
              <w:jc w:val="center"/>
              <w:rPr>
                <w:rFonts w:eastAsia="Times New Roman"/>
                <w:kern w:val="0"/>
                <w:szCs w:val="22"/>
                <w:lang w:eastAsia="zh-CN"/>
              </w:rPr>
            </w:pPr>
            <w:r w:rsidRPr="00F16FE9">
              <w:rPr>
                <w:rFonts w:eastAsia="Times New Roman"/>
                <w:kern w:val="0"/>
                <w:szCs w:val="22"/>
              </w:rPr>
              <w:t>4.6%</w:t>
            </w:r>
          </w:p>
        </w:tc>
        <w:tc>
          <w:tcPr>
            <w:tcW w:w="1238" w:type="dxa"/>
            <w:tcBorders>
              <w:top w:val="nil"/>
              <w:left w:val="nil"/>
              <w:bottom w:val="single" w:sz="8" w:space="0" w:color="auto"/>
              <w:right w:val="single" w:sz="8" w:space="0" w:color="auto"/>
            </w:tcBorders>
            <w:tcMar>
              <w:top w:w="0" w:type="dxa"/>
              <w:left w:w="108" w:type="dxa"/>
              <w:bottom w:w="0" w:type="dxa"/>
              <w:right w:w="108" w:type="dxa"/>
            </w:tcMar>
          </w:tcPr>
          <w:p w:rsidR="004A147C" w:rsidRPr="00F16FE9" w:rsidRDefault="004A147C" w:rsidP="00CE5850">
            <w:pPr>
              <w:snapToGrid w:val="0"/>
              <w:jc w:val="center"/>
              <w:rPr>
                <w:rFonts w:eastAsia="Times New Roman"/>
                <w:kern w:val="0"/>
                <w:szCs w:val="22"/>
              </w:rPr>
            </w:pPr>
            <w:r w:rsidRPr="00F16FE9">
              <w:rPr>
                <w:rFonts w:eastAsia="Times New Roman"/>
                <w:kern w:val="0"/>
                <w:szCs w:val="22"/>
              </w:rPr>
              <w:t>N/A</w:t>
            </w:r>
          </w:p>
        </w:tc>
        <w:tc>
          <w:tcPr>
            <w:tcW w:w="680" w:type="dxa"/>
            <w:tcBorders>
              <w:top w:val="nil"/>
              <w:left w:val="nil"/>
              <w:bottom w:val="single" w:sz="8" w:space="0" w:color="auto"/>
              <w:right w:val="single" w:sz="8" w:space="0" w:color="auto"/>
            </w:tcBorders>
          </w:tcPr>
          <w:p w:rsidR="004A147C" w:rsidRPr="00F16FE9" w:rsidRDefault="004A147C" w:rsidP="00CE5850">
            <w:pPr>
              <w:jc w:val="center"/>
              <w:rPr>
                <w:rFonts w:eastAsia="Times New Roman"/>
                <w:kern w:val="0"/>
                <w:szCs w:val="22"/>
              </w:rPr>
            </w:pPr>
            <w:r w:rsidRPr="00F16FE9">
              <w:rPr>
                <w:rFonts w:eastAsia="Times New Roman"/>
                <w:kern w:val="0"/>
                <w:szCs w:val="22"/>
              </w:rPr>
              <w:t>N/A</w:t>
            </w:r>
          </w:p>
        </w:tc>
      </w:tr>
      <w:tr w:rsidR="004A147C" w:rsidRPr="00F16FE9" w:rsidTr="00F16FE9">
        <w:trPr>
          <w:jc w:val="center"/>
        </w:trPr>
        <w:tc>
          <w:tcPr>
            <w:tcW w:w="1300" w:type="dxa"/>
            <w:tcBorders>
              <w:top w:val="nil"/>
              <w:left w:val="single" w:sz="8" w:space="0" w:color="auto"/>
              <w:bottom w:val="single" w:sz="8" w:space="0" w:color="auto"/>
              <w:right w:val="single" w:sz="8" w:space="0" w:color="auto"/>
            </w:tcBorders>
            <w:tcMar>
              <w:top w:w="0" w:type="dxa"/>
              <w:left w:w="108" w:type="dxa"/>
              <w:bottom w:w="0" w:type="dxa"/>
              <w:right w:w="108" w:type="dxa"/>
            </w:tcMar>
          </w:tcPr>
          <w:p w:rsidR="004A147C" w:rsidRPr="00F16FE9" w:rsidRDefault="004A147C" w:rsidP="00CE5850">
            <w:pPr>
              <w:snapToGrid w:val="0"/>
              <w:rPr>
                <w:rFonts w:eastAsia="Times New Roman"/>
                <w:kern w:val="0"/>
                <w:szCs w:val="22"/>
              </w:rPr>
            </w:pPr>
            <w:r w:rsidRPr="00F16FE9">
              <w:rPr>
                <w:rFonts w:eastAsia="Times New Roman"/>
                <w:kern w:val="0"/>
                <w:szCs w:val="22"/>
              </w:rPr>
              <w:t>Symbian</w:t>
            </w:r>
          </w:p>
        </w:tc>
        <w:tc>
          <w:tcPr>
            <w:tcW w:w="1255" w:type="dxa"/>
            <w:tcBorders>
              <w:top w:val="nil"/>
              <w:left w:val="nil"/>
              <w:bottom w:val="single" w:sz="8" w:space="0" w:color="auto"/>
              <w:right w:val="single" w:sz="8" w:space="0" w:color="auto"/>
            </w:tcBorders>
            <w:tcMar>
              <w:top w:w="0" w:type="dxa"/>
              <w:left w:w="108" w:type="dxa"/>
              <w:bottom w:w="0" w:type="dxa"/>
              <w:right w:w="108" w:type="dxa"/>
            </w:tcMar>
          </w:tcPr>
          <w:p w:rsidR="004A147C" w:rsidRPr="00F16FE9" w:rsidRDefault="004A147C" w:rsidP="00CE5850">
            <w:pPr>
              <w:snapToGrid w:val="0"/>
              <w:jc w:val="center"/>
              <w:rPr>
                <w:rFonts w:eastAsia="Times New Roman"/>
                <w:kern w:val="0"/>
                <w:szCs w:val="22"/>
              </w:rPr>
            </w:pPr>
            <w:r w:rsidRPr="00F16FE9">
              <w:rPr>
                <w:rFonts w:eastAsia="Times New Roman"/>
                <w:kern w:val="0"/>
                <w:szCs w:val="22"/>
              </w:rPr>
              <w:t>N/A</w:t>
            </w:r>
          </w:p>
        </w:tc>
        <w:tc>
          <w:tcPr>
            <w:tcW w:w="998" w:type="dxa"/>
            <w:tcBorders>
              <w:top w:val="nil"/>
              <w:left w:val="nil"/>
              <w:bottom w:val="single" w:sz="8" w:space="0" w:color="auto"/>
              <w:right w:val="single" w:sz="8" w:space="0" w:color="auto"/>
            </w:tcBorders>
            <w:tcMar>
              <w:top w:w="0" w:type="dxa"/>
              <w:left w:w="108" w:type="dxa"/>
              <w:bottom w:w="0" w:type="dxa"/>
              <w:right w:w="108" w:type="dxa"/>
            </w:tcMar>
          </w:tcPr>
          <w:p w:rsidR="004A147C" w:rsidRPr="00F16FE9" w:rsidRDefault="004A147C" w:rsidP="00CE5850">
            <w:pPr>
              <w:snapToGrid w:val="0"/>
              <w:jc w:val="center"/>
              <w:rPr>
                <w:rFonts w:eastAsia="Times New Roman"/>
                <w:kern w:val="0"/>
                <w:szCs w:val="22"/>
              </w:rPr>
            </w:pPr>
            <w:r w:rsidRPr="00F16FE9">
              <w:rPr>
                <w:rFonts w:eastAsia="Times New Roman"/>
                <w:kern w:val="0"/>
                <w:szCs w:val="22"/>
              </w:rPr>
              <w:t>N/A</w:t>
            </w:r>
          </w:p>
        </w:tc>
        <w:tc>
          <w:tcPr>
            <w:tcW w:w="1238" w:type="dxa"/>
            <w:tcBorders>
              <w:top w:val="nil"/>
              <w:left w:val="nil"/>
              <w:bottom w:val="single" w:sz="8" w:space="0" w:color="auto"/>
              <w:right w:val="single" w:sz="8" w:space="0" w:color="auto"/>
            </w:tcBorders>
            <w:tcMar>
              <w:top w:w="0" w:type="dxa"/>
              <w:left w:w="108" w:type="dxa"/>
              <w:bottom w:w="0" w:type="dxa"/>
              <w:right w:w="108" w:type="dxa"/>
            </w:tcMar>
          </w:tcPr>
          <w:p w:rsidR="004A147C" w:rsidRPr="00F16FE9" w:rsidRDefault="004A147C" w:rsidP="00CE5850">
            <w:pPr>
              <w:snapToGrid w:val="0"/>
              <w:jc w:val="center"/>
              <w:rPr>
                <w:rFonts w:eastAsia="Times New Roman"/>
                <w:kern w:val="0"/>
                <w:szCs w:val="22"/>
              </w:rPr>
            </w:pPr>
            <w:r w:rsidRPr="00F16FE9">
              <w:rPr>
                <w:rFonts w:eastAsia="Times New Roman"/>
                <w:kern w:val="0"/>
                <w:szCs w:val="22"/>
              </w:rPr>
              <w:t>1.8%</w:t>
            </w:r>
          </w:p>
        </w:tc>
        <w:tc>
          <w:tcPr>
            <w:tcW w:w="680" w:type="dxa"/>
            <w:tcBorders>
              <w:top w:val="nil"/>
              <w:left w:val="nil"/>
              <w:bottom w:val="single" w:sz="8" w:space="0" w:color="auto"/>
              <w:right w:val="single" w:sz="8" w:space="0" w:color="auto"/>
            </w:tcBorders>
          </w:tcPr>
          <w:p w:rsidR="004A147C" w:rsidRPr="00F16FE9" w:rsidRDefault="004A147C" w:rsidP="00CE5850">
            <w:pPr>
              <w:jc w:val="center"/>
              <w:rPr>
                <w:rFonts w:eastAsia="Times New Roman"/>
                <w:kern w:val="0"/>
                <w:szCs w:val="22"/>
              </w:rPr>
            </w:pPr>
            <w:r w:rsidRPr="00F16FE9">
              <w:rPr>
                <w:rFonts w:eastAsia="Times New Roman"/>
                <w:kern w:val="0"/>
                <w:szCs w:val="22"/>
              </w:rPr>
              <w:t>0.6%</w:t>
            </w:r>
          </w:p>
        </w:tc>
      </w:tr>
      <w:tr w:rsidR="004A147C" w:rsidRPr="00F16FE9" w:rsidTr="00F16FE9">
        <w:trPr>
          <w:jc w:val="center"/>
        </w:trPr>
        <w:tc>
          <w:tcPr>
            <w:tcW w:w="1300" w:type="dxa"/>
            <w:tcBorders>
              <w:top w:val="nil"/>
              <w:left w:val="single" w:sz="8" w:space="0" w:color="auto"/>
              <w:bottom w:val="single" w:sz="8" w:space="0" w:color="auto"/>
              <w:right w:val="single" w:sz="8" w:space="0" w:color="auto"/>
            </w:tcBorders>
            <w:tcMar>
              <w:top w:w="0" w:type="dxa"/>
              <w:left w:w="108" w:type="dxa"/>
              <w:bottom w:w="0" w:type="dxa"/>
              <w:right w:w="108" w:type="dxa"/>
            </w:tcMar>
          </w:tcPr>
          <w:p w:rsidR="004A147C" w:rsidRPr="00F16FE9" w:rsidRDefault="004A147C" w:rsidP="00CE5850">
            <w:pPr>
              <w:snapToGrid w:val="0"/>
              <w:rPr>
                <w:rFonts w:eastAsia="Times New Roman"/>
                <w:kern w:val="0"/>
                <w:szCs w:val="22"/>
                <w:lang w:eastAsia="zh-CN"/>
              </w:rPr>
            </w:pPr>
            <w:r w:rsidRPr="00F16FE9">
              <w:rPr>
                <w:rFonts w:eastAsia="Times New Roman"/>
                <w:kern w:val="0"/>
                <w:szCs w:val="22"/>
                <w:lang w:eastAsia="zh-CN"/>
              </w:rPr>
              <w:t xml:space="preserve">All Others </w:t>
            </w:r>
          </w:p>
        </w:tc>
        <w:tc>
          <w:tcPr>
            <w:tcW w:w="1255" w:type="dxa"/>
            <w:tcBorders>
              <w:top w:val="nil"/>
              <w:left w:val="nil"/>
              <w:bottom w:val="single" w:sz="8" w:space="0" w:color="auto"/>
              <w:right w:val="single" w:sz="8" w:space="0" w:color="auto"/>
            </w:tcBorders>
            <w:tcMar>
              <w:top w:w="0" w:type="dxa"/>
              <w:left w:w="108" w:type="dxa"/>
              <w:bottom w:w="0" w:type="dxa"/>
              <w:right w:w="108" w:type="dxa"/>
            </w:tcMar>
          </w:tcPr>
          <w:p w:rsidR="004A147C" w:rsidRPr="00F16FE9" w:rsidRDefault="004A147C" w:rsidP="00CE5850">
            <w:pPr>
              <w:snapToGrid w:val="0"/>
              <w:jc w:val="center"/>
              <w:rPr>
                <w:rFonts w:eastAsia="Times New Roman"/>
                <w:kern w:val="0"/>
                <w:szCs w:val="22"/>
                <w:lang w:eastAsia="zh-CN"/>
              </w:rPr>
            </w:pPr>
            <w:r w:rsidRPr="00F16FE9">
              <w:rPr>
                <w:rFonts w:eastAsia="Times New Roman"/>
                <w:kern w:val="0"/>
                <w:szCs w:val="22"/>
                <w:lang w:eastAsia="zh-CN"/>
              </w:rPr>
              <w:t>3.8%</w:t>
            </w:r>
          </w:p>
        </w:tc>
        <w:tc>
          <w:tcPr>
            <w:tcW w:w="998" w:type="dxa"/>
            <w:tcBorders>
              <w:top w:val="nil"/>
              <w:left w:val="nil"/>
              <w:bottom w:val="single" w:sz="8" w:space="0" w:color="auto"/>
              <w:right w:val="single" w:sz="8" w:space="0" w:color="auto"/>
            </w:tcBorders>
            <w:tcMar>
              <w:top w:w="0" w:type="dxa"/>
              <w:left w:w="108" w:type="dxa"/>
              <w:bottom w:w="0" w:type="dxa"/>
              <w:right w:w="108" w:type="dxa"/>
            </w:tcMar>
            <w:vAlign w:val="bottom"/>
          </w:tcPr>
          <w:p w:rsidR="004A147C" w:rsidRPr="00F16FE9" w:rsidRDefault="004A147C" w:rsidP="00CE5850">
            <w:pPr>
              <w:snapToGrid w:val="0"/>
              <w:jc w:val="center"/>
              <w:rPr>
                <w:rFonts w:eastAsia="Times New Roman"/>
                <w:kern w:val="0"/>
                <w:szCs w:val="22"/>
                <w:lang w:eastAsia="zh-CN"/>
              </w:rPr>
            </w:pPr>
            <w:r w:rsidRPr="00F16FE9">
              <w:rPr>
                <w:rFonts w:eastAsia="Times New Roman"/>
                <w:kern w:val="0"/>
                <w:szCs w:val="22"/>
                <w:lang w:eastAsia="zh-CN"/>
              </w:rPr>
              <w:t>3.2%</w:t>
            </w:r>
          </w:p>
        </w:tc>
        <w:tc>
          <w:tcPr>
            <w:tcW w:w="1238" w:type="dxa"/>
            <w:tcBorders>
              <w:top w:val="nil"/>
              <w:left w:val="nil"/>
              <w:bottom w:val="single" w:sz="8" w:space="0" w:color="auto"/>
              <w:right w:val="single" w:sz="8" w:space="0" w:color="auto"/>
            </w:tcBorders>
            <w:tcMar>
              <w:top w:w="0" w:type="dxa"/>
              <w:left w:w="108" w:type="dxa"/>
              <w:bottom w:w="0" w:type="dxa"/>
              <w:right w:w="108" w:type="dxa"/>
            </w:tcMar>
          </w:tcPr>
          <w:p w:rsidR="004A147C" w:rsidRPr="00F16FE9" w:rsidRDefault="004A147C" w:rsidP="00CE5850">
            <w:pPr>
              <w:snapToGrid w:val="0"/>
              <w:jc w:val="center"/>
              <w:rPr>
                <w:rFonts w:eastAsia="Times New Roman"/>
                <w:kern w:val="0"/>
                <w:szCs w:val="22"/>
                <w:lang w:eastAsia="zh-CN"/>
              </w:rPr>
            </w:pPr>
            <w:r w:rsidRPr="00F16FE9">
              <w:rPr>
                <w:rFonts w:eastAsia="Times New Roman"/>
                <w:kern w:val="0"/>
                <w:szCs w:val="22"/>
                <w:lang w:eastAsia="zh-CN"/>
              </w:rPr>
              <w:t>1.5%</w:t>
            </w:r>
          </w:p>
        </w:tc>
        <w:tc>
          <w:tcPr>
            <w:tcW w:w="680" w:type="dxa"/>
            <w:tcBorders>
              <w:top w:val="nil"/>
              <w:left w:val="nil"/>
              <w:bottom w:val="single" w:sz="8" w:space="0" w:color="auto"/>
              <w:right w:val="single" w:sz="8" w:space="0" w:color="auto"/>
            </w:tcBorders>
          </w:tcPr>
          <w:p w:rsidR="004A147C" w:rsidRPr="00F16FE9" w:rsidRDefault="004A147C" w:rsidP="00CE5850">
            <w:pPr>
              <w:jc w:val="center"/>
              <w:rPr>
                <w:rFonts w:eastAsia="Times New Roman"/>
                <w:kern w:val="0"/>
                <w:szCs w:val="22"/>
              </w:rPr>
            </w:pPr>
            <w:r w:rsidRPr="00F16FE9">
              <w:rPr>
                <w:rFonts w:eastAsia="Times New Roman"/>
                <w:kern w:val="0"/>
                <w:szCs w:val="22"/>
              </w:rPr>
              <w:t>0.6%</w:t>
            </w:r>
          </w:p>
        </w:tc>
      </w:tr>
    </w:tbl>
    <w:p w:rsidR="004A147C" w:rsidRDefault="004A147C" w:rsidP="00CE5850">
      <w:pPr>
        <w:spacing w:after="120"/>
        <w:rPr>
          <w:sz w:val="20"/>
        </w:rPr>
      </w:pPr>
    </w:p>
    <w:p w:rsidR="00BE1C87" w:rsidRDefault="00BE1C87" w:rsidP="00CE5850">
      <w:pPr>
        <w:spacing w:after="120"/>
        <w:rPr>
          <w:sz w:val="20"/>
        </w:rPr>
      </w:pPr>
    </w:p>
    <w:p w:rsidR="00BE1C87" w:rsidRDefault="00BE1C87" w:rsidP="00CE5850">
      <w:pPr>
        <w:spacing w:after="120"/>
        <w:rPr>
          <w:sz w:val="20"/>
        </w:rPr>
      </w:pPr>
    </w:p>
    <w:p w:rsidR="00BE1C87" w:rsidRDefault="00BE1C87" w:rsidP="00CE5850">
      <w:pPr>
        <w:spacing w:after="120"/>
        <w:rPr>
          <w:sz w:val="20"/>
        </w:rPr>
      </w:pPr>
    </w:p>
    <w:p w:rsidR="00BE1C87" w:rsidRDefault="00BE1C87" w:rsidP="00CE5850">
      <w:pPr>
        <w:spacing w:after="120"/>
        <w:rPr>
          <w:sz w:val="20"/>
        </w:rPr>
      </w:pPr>
    </w:p>
    <w:p w:rsidR="00BE1C87" w:rsidRDefault="00BE1C87" w:rsidP="00CE5850">
      <w:pPr>
        <w:spacing w:after="120"/>
        <w:rPr>
          <w:sz w:val="20"/>
        </w:rPr>
      </w:pPr>
    </w:p>
    <w:p w:rsidR="00BE1C87" w:rsidRDefault="00BE1C87" w:rsidP="00CE5850">
      <w:pPr>
        <w:spacing w:after="120"/>
        <w:rPr>
          <w:sz w:val="20"/>
        </w:rPr>
      </w:pPr>
    </w:p>
    <w:p w:rsidR="00BE1C87" w:rsidRDefault="00BE1C87" w:rsidP="00CE5850">
      <w:pPr>
        <w:spacing w:after="120"/>
        <w:rPr>
          <w:sz w:val="20"/>
        </w:rPr>
      </w:pPr>
    </w:p>
    <w:p w:rsidR="00BE1C87" w:rsidRDefault="00BE1C87" w:rsidP="00CE5850">
      <w:pPr>
        <w:spacing w:after="120"/>
        <w:rPr>
          <w:sz w:val="20"/>
        </w:rPr>
      </w:pPr>
    </w:p>
    <w:p w:rsidR="00BE1C87" w:rsidRDefault="00BE1C87" w:rsidP="00CE5850">
      <w:pPr>
        <w:spacing w:after="120"/>
        <w:rPr>
          <w:sz w:val="20"/>
        </w:rPr>
      </w:pPr>
    </w:p>
    <w:p w:rsidR="00BE1C87" w:rsidRDefault="00BE1C87" w:rsidP="00CE5850">
      <w:pPr>
        <w:spacing w:after="120"/>
        <w:rPr>
          <w:sz w:val="20"/>
        </w:rPr>
      </w:pPr>
    </w:p>
    <w:p w:rsidR="00BE1C87" w:rsidRDefault="00BE1C87" w:rsidP="00CE5850">
      <w:pPr>
        <w:spacing w:after="120"/>
        <w:rPr>
          <w:sz w:val="20"/>
        </w:rPr>
      </w:pPr>
    </w:p>
    <w:p w:rsidR="00BE1C87" w:rsidRDefault="00BE1C87" w:rsidP="00CE5850">
      <w:pPr>
        <w:spacing w:after="120"/>
        <w:rPr>
          <w:sz w:val="20"/>
        </w:rPr>
      </w:pPr>
    </w:p>
    <w:p w:rsidR="00BE1C87" w:rsidRPr="00F16FE9" w:rsidRDefault="00BE1C87" w:rsidP="00CE5850">
      <w:pPr>
        <w:spacing w:after="120"/>
        <w:rPr>
          <w:sz w:val="20"/>
        </w:rPr>
      </w:pPr>
    </w:p>
    <w:p w:rsidR="004A147C" w:rsidRDefault="004A147C" w:rsidP="00CE5850">
      <w:pPr>
        <w:spacing w:before="120" w:after="120"/>
        <w:jc w:val="center"/>
        <w:rPr>
          <w:b/>
          <w:bCs/>
          <w:kern w:val="0"/>
          <w:szCs w:val="22"/>
        </w:rPr>
      </w:pPr>
      <w:r w:rsidRPr="00F16FE9">
        <w:rPr>
          <w:b/>
          <w:bCs/>
          <w:kern w:val="0"/>
          <w:szCs w:val="22"/>
        </w:rPr>
        <w:t xml:space="preserve">Chart </w:t>
      </w:r>
      <w:r w:rsidR="0007014B" w:rsidRPr="00F16FE9">
        <w:rPr>
          <w:b/>
          <w:bCs/>
          <w:kern w:val="0"/>
          <w:szCs w:val="22"/>
        </w:rPr>
        <w:fldChar w:fldCharType="begin"/>
      </w:r>
      <w:r w:rsidRPr="00F16FE9">
        <w:rPr>
          <w:b/>
          <w:bCs/>
          <w:kern w:val="0"/>
          <w:szCs w:val="22"/>
        </w:rPr>
        <w:instrText xml:space="preserve"> SEQ Chart \* ARABIC </w:instrText>
      </w:r>
      <w:r w:rsidR="0007014B" w:rsidRPr="00F16FE9">
        <w:rPr>
          <w:b/>
          <w:bCs/>
          <w:kern w:val="0"/>
          <w:szCs w:val="22"/>
        </w:rPr>
        <w:fldChar w:fldCharType="separate"/>
      </w:r>
      <w:r w:rsidR="00CA3AC6">
        <w:rPr>
          <w:b/>
          <w:bCs/>
          <w:noProof/>
          <w:kern w:val="0"/>
          <w:szCs w:val="22"/>
        </w:rPr>
        <w:t>42</w:t>
      </w:r>
      <w:r w:rsidR="0007014B" w:rsidRPr="00F16FE9">
        <w:rPr>
          <w:b/>
          <w:bCs/>
          <w:kern w:val="0"/>
          <w:szCs w:val="22"/>
        </w:rPr>
        <w:fldChar w:fldCharType="end"/>
      </w:r>
      <w:r w:rsidRPr="00F16FE9">
        <w:rPr>
          <w:bCs/>
          <w:kern w:val="0"/>
          <w:sz w:val="24"/>
        </w:rPr>
        <w:br/>
      </w:r>
      <w:r w:rsidRPr="00F16FE9">
        <w:rPr>
          <w:b/>
          <w:bCs/>
          <w:kern w:val="0"/>
          <w:szCs w:val="22"/>
        </w:rPr>
        <w:t xml:space="preserve">Smartphone Operating System </w:t>
      </w:r>
      <w:r>
        <w:rPr>
          <w:b/>
          <w:bCs/>
          <w:kern w:val="0"/>
          <w:szCs w:val="22"/>
        </w:rPr>
        <w:t xml:space="preserve">U.S. </w:t>
      </w:r>
      <w:r w:rsidRPr="00F16FE9">
        <w:rPr>
          <w:b/>
          <w:bCs/>
          <w:kern w:val="0"/>
          <w:szCs w:val="22"/>
        </w:rPr>
        <w:t>Market Share, 2009-2012</w:t>
      </w:r>
      <w:r w:rsidRPr="00F16FE9">
        <w:rPr>
          <w:bCs/>
          <w:kern w:val="0"/>
          <w:vertAlign w:val="superscript"/>
        </w:rPr>
        <w:footnoteReference w:id="1054"/>
      </w:r>
    </w:p>
    <w:p w:rsidR="004A147C" w:rsidRPr="00BE1C87" w:rsidRDefault="00C81B24" w:rsidP="00BE1C87">
      <w:pPr>
        <w:spacing w:before="120" w:after="120"/>
        <w:jc w:val="center"/>
        <w:rPr>
          <w:b/>
          <w:bCs/>
          <w:kern w:val="0"/>
          <w:sz w:val="24"/>
        </w:rPr>
      </w:pPr>
      <w:r>
        <w:rPr>
          <w:b/>
          <w:bCs/>
          <w:noProof/>
          <w:kern w:val="0"/>
          <w:sz w:val="24"/>
        </w:rPr>
        <w:drawing>
          <wp:inline distT="0" distB="0" distL="0" distR="0" wp14:anchorId="331D4B48" wp14:editId="05DDE7CB">
            <wp:extent cx="5800725" cy="4219575"/>
            <wp:effectExtent l="0" t="0" r="9525" b="9525"/>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800725" cy="4219575"/>
                    </a:xfrm>
                    <a:prstGeom prst="rect">
                      <a:avLst/>
                    </a:prstGeom>
                    <a:noFill/>
                    <a:ln>
                      <a:noFill/>
                    </a:ln>
                  </pic:spPr>
                </pic:pic>
              </a:graphicData>
            </a:graphic>
          </wp:inline>
        </w:drawing>
      </w:r>
    </w:p>
    <w:p w:rsidR="004A147C" w:rsidRPr="00F16FE9" w:rsidRDefault="004A147C" w:rsidP="00CE5850"/>
    <w:p w:rsidR="004A147C" w:rsidRPr="00BE1C87" w:rsidRDefault="004A147C" w:rsidP="00CE5850">
      <w:pPr>
        <w:pStyle w:val="ParaNum"/>
        <w:numPr>
          <w:ilvl w:val="0"/>
          <w:numId w:val="28"/>
        </w:numPr>
        <w:rPr>
          <w:sz w:val="22"/>
          <w:szCs w:val="22"/>
        </w:rPr>
      </w:pPr>
      <w:r w:rsidRPr="004E0F47">
        <w:rPr>
          <w:i/>
          <w:sz w:val="22"/>
          <w:szCs w:val="22"/>
        </w:rPr>
        <w:t>Technological Standards</w:t>
      </w:r>
      <w:r w:rsidRPr="004E0F47">
        <w:rPr>
          <w:sz w:val="22"/>
          <w:szCs w:val="22"/>
        </w:rPr>
        <w:t>.  As of June 2011, h</w:t>
      </w:r>
      <w:r w:rsidRPr="004E0F47">
        <w:rPr>
          <w:color w:val="000000"/>
          <w:sz w:val="22"/>
          <w:szCs w:val="22"/>
        </w:rPr>
        <w:t>andsets are manufactured for each of the commonly used wireless families of air interface standards, including the CDMA family (including 1xRTT and EV-DO) and the GSM/WCDMA family (including GSM, GPRS, EDGE, WCDMA, HSDPA, and HSUPA).  As the technical standards within each of these families progress, handsets are often built to support multiple air interfaces common to that family.  This facilitates backwards compatibility with older technologies and migration to more efficient air interfaces over time.  Handsets that are manufactured for one air interface family usually do not function on competing families of standards, although a few handsets have been designed to operate over more than one family.  As of June 2011, handset variety was greatest for the GSM/WCDMA family, immediately followed by the CDMA 1xRTT/EV-DO family.  Tables 47 and 48 show the number of handset and smartphone models, respectively, by air interface.  These tables do not have data for LTE handsets, because there were no reporting requirements for LTE handsets for the purpose of Hearing Aid Compatibility as of June 2011.</w:t>
      </w:r>
    </w:p>
    <w:p w:rsidR="00BE1C87" w:rsidRDefault="00BE1C87" w:rsidP="00BE1C87">
      <w:pPr>
        <w:pStyle w:val="ParaNum"/>
        <w:tabs>
          <w:tab w:val="clear" w:pos="1440"/>
        </w:tabs>
        <w:rPr>
          <w:sz w:val="22"/>
          <w:szCs w:val="22"/>
        </w:rPr>
      </w:pPr>
    </w:p>
    <w:p w:rsidR="00BE1C87" w:rsidRDefault="00BE1C87" w:rsidP="00BE1C87">
      <w:pPr>
        <w:pStyle w:val="ParaNum"/>
        <w:tabs>
          <w:tab w:val="clear" w:pos="1440"/>
        </w:tabs>
        <w:rPr>
          <w:sz w:val="22"/>
          <w:szCs w:val="22"/>
        </w:rPr>
      </w:pPr>
    </w:p>
    <w:p w:rsidR="00BE1C87" w:rsidRPr="004E0F47" w:rsidRDefault="00BE1C87" w:rsidP="00BE1C87">
      <w:pPr>
        <w:pStyle w:val="ParaNum"/>
        <w:tabs>
          <w:tab w:val="clear" w:pos="1440"/>
        </w:tabs>
        <w:rPr>
          <w:sz w:val="22"/>
          <w:szCs w:val="22"/>
        </w:rPr>
      </w:pPr>
    </w:p>
    <w:p w:rsidR="004A147C" w:rsidRPr="001402D3" w:rsidRDefault="004A147C" w:rsidP="00CE5850">
      <w:pPr>
        <w:tabs>
          <w:tab w:val="left" w:pos="720"/>
        </w:tabs>
        <w:spacing w:after="120"/>
        <w:jc w:val="center"/>
        <w:rPr>
          <w:b/>
          <w:szCs w:val="22"/>
        </w:rPr>
      </w:pPr>
      <w:r w:rsidRPr="001402D3">
        <w:rPr>
          <w:b/>
          <w:szCs w:val="22"/>
        </w:rPr>
        <w:t xml:space="preserve">Table </w:t>
      </w:r>
      <w:r w:rsidR="0007014B" w:rsidRPr="001402D3">
        <w:rPr>
          <w:b/>
          <w:szCs w:val="22"/>
        </w:rPr>
        <w:fldChar w:fldCharType="begin"/>
      </w:r>
      <w:r w:rsidRPr="001402D3">
        <w:rPr>
          <w:b/>
          <w:szCs w:val="22"/>
        </w:rPr>
        <w:instrText xml:space="preserve"> SEQ Table \* ARABIC </w:instrText>
      </w:r>
      <w:r w:rsidR="0007014B" w:rsidRPr="001402D3">
        <w:rPr>
          <w:b/>
          <w:szCs w:val="22"/>
        </w:rPr>
        <w:fldChar w:fldCharType="separate"/>
      </w:r>
      <w:r w:rsidR="00CA3AC6">
        <w:rPr>
          <w:b/>
          <w:noProof/>
          <w:szCs w:val="22"/>
        </w:rPr>
        <w:t>49</w:t>
      </w:r>
      <w:r w:rsidR="0007014B" w:rsidRPr="001402D3">
        <w:rPr>
          <w:b/>
          <w:szCs w:val="22"/>
        </w:rPr>
        <w:fldChar w:fldCharType="end"/>
      </w:r>
      <w:r w:rsidRPr="001402D3">
        <w:rPr>
          <w:b/>
          <w:szCs w:val="22"/>
        </w:rPr>
        <w:br/>
        <w:t>Handset Models Offered by Air Interface, U.S., 2007-2012</w:t>
      </w:r>
    </w:p>
    <w:tbl>
      <w:tblPr>
        <w:tblW w:w="9576" w:type="dxa"/>
        <w:jc w:val="center"/>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ook w:val="01E0" w:firstRow="1" w:lastRow="1" w:firstColumn="1" w:lastColumn="1" w:noHBand="0" w:noVBand="0"/>
      </w:tblPr>
      <w:tblGrid>
        <w:gridCol w:w="2343"/>
        <w:gridCol w:w="1191"/>
        <w:gridCol w:w="1211"/>
        <w:gridCol w:w="1226"/>
        <w:gridCol w:w="1152"/>
        <w:gridCol w:w="1276"/>
        <w:gridCol w:w="1177"/>
      </w:tblGrid>
      <w:tr w:rsidR="004A147C" w:rsidRPr="00F16FE9" w:rsidTr="00F16FE9">
        <w:trPr>
          <w:jc w:val="center"/>
        </w:trPr>
        <w:tc>
          <w:tcPr>
            <w:tcW w:w="1902" w:type="dxa"/>
            <w:tcBorders>
              <w:top w:val="single" w:sz="4" w:space="0" w:color="auto"/>
            </w:tcBorders>
          </w:tcPr>
          <w:p w:rsidR="004A147C" w:rsidRPr="00F16FE9" w:rsidRDefault="004A147C" w:rsidP="00CE5850">
            <w:pPr>
              <w:rPr>
                <w:szCs w:val="22"/>
              </w:rPr>
            </w:pPr>
          </w:p>
        </w:tc>
        <w:tc>
          <w:tcPr>
            <w:tcW w:w="6431" w:type="dxa"/>
            <w:gridSpan w:val="5"/>
            <w:tcBorders>
              <w:top w:val="single" w:sz="4" w:space="0" w:color="auto"/>
            </w:tcBorders>
          </w:tcPr>
          <w:p w:rsidR="004A147C" w:rsidRPr="00F16FE9" w:rsidRDefault="004A147C" w:rsidP="00CE5850">
            <w:pPr>
              <w:jc w:val="center"/>
              <w:rPr>
                <w:b/>
                <w:szCs w:val="22"/>
              </w:rPr>
            </w:pPr>
            <w:r w:rsidRPr="00F16FE9">
              <w:rPr>
                <w:b/>
                <w:szCs w:val="22"/>
              </w:rPr>
              <w:t>Total Handset Models Offered by Reporting Handset Manufacturers</w:t>
            </w:r>
          </w:p>
        </w:tc>
        <w:tc>
          <w:tcPr>
            <w:tcW w:w="1243" w:type="dxa"/>
            <w:tcBorders>
              <w:top w:val="single" w:sz="4" w:space="0" w:color="auto"/>
            </w:tcBorders>
          </w:tcPr>
          <w:p w:rsidR="004A147C" w:rsidRPr="00F16FE9" w:rsidRDefault="004A147C" w:rsidP="00CE5850">
            <w:pPr>
              <w:jc w:val="center"/>
              <w:rPr>
                <w:b/>
                <w:szCs w:val="22"/>
              </w:rPr>
            </w:pPr>
          </w:p>
        </w:tc>
      </w:tr>
      <w:tr w:rsidR="004A147C" w:rsidRPr="00F16FE9" w:rsidTr="00F16FE9">
        <w:trPr>
          <w:jc w:val="center"/>
        </w:trPr>
        <w:tc>
          <w:tcPr>
            <w:tcW w:w="1902" w:type="dxa"/>
          </w:tcPr>
          <w:p w:rsidR="004A147C" w:rsidRPr="00F16FE9" w:rsidRDefault="004A147C" w:rsidP="00CE5850">
            <w:pPr>
              <w:jc w:val="center"/>
              <w:rPr>
                <w:b/>
                <w:szCs w:val="22"/>
              </w:rPr>
            </w:pPr>
            <w:r w:rsidRPr="00F16FE9">
              <w:rPr>
                <w:b/>
                <w:szCs w:val="22"/>
              </w:rPr>
              <w:t>Air Interface</w:t>
            </w:r>
          </w:p>
        </w:tc>
        <w:tc>
          <w:tcPr>
            <w:tcW w:w="1265" w:type="dxa"/>
          </w:tcPr>
          <w:p w:rsidR="004A147C" w:rsidRPr="00F16FE9" w:rsidRDefault="004A147C" w:rsidP="00CE5850">
            <w:pPr>
              <w:jc w:val="center"/>
              <w:rPr>
                <w:b/>
                <w:bCs/>
                <w:szCs w:val="22"/>
              </w:rPr>
            </w:pPr>
            <w:r w:rsidRPr="00F16FE9">
              <w:rPr>
                <w:b/>
                <w:bCs/>
                <w:szCs w:val="22"/>
              </w:rPr>
              <w:t>2007 (Nov.)</w:t>
            </w:r>
          </w:p>
        </w:tc>
        <w:tc>
          <w:tcPr>
            <w:tcW w:w="1291" w:type="dxa"/>
          </w:tcPr>
          <w:p w:rsidR="004A147C" w:rsidRPr="00F16FE9" w:rsidRDefault="004A147C" w:rsidP="00CE5850">
            <w:pPr>
              <w:jc w:val="center"/>
              <w:rPr>
                <w:b/>
                <w:bCs/>
                <w:szCs w:val="22"/>
              </w:rPr>
            </w:pPr>
            <w:r w:rsidRPr="00F16FE9">
              <w:rPr>
                <w:b/>
                <w:bCs/>
                <w:szCs w:val="22"/>
              </w:rPr>
              <w:t xml:space="preserve">2008 </w:t>
            </w:r>
          </w:p>
          <w:p w:rsidR="004A147C" w:rsidRPr="00F16FE9" w:rsidRDefault="004A147C" w:rsidP="00CE5850">
            <w:pPr>
              <w:jc w:val="center"/>
              <w:rPr>
                <w:b/>
                <w:bCs/>
                <w:szCs w:val="22"/>
              </w:rPr>
            </w:pPr>
            <w:r w:rsidRPr="00F16FE9">
              <w:rPr>
                <w:b/>
                <w:bCs/>
                <w:szCs w:val="22"/>
              </w:rPr>
              <w:t>(Dec.)</w:t>
            </w:r>
          </w:p>
        </w:tc>
        <w:tc>
          <w:tcPr>
            <w:tcW w:w="1301" w:type="dxa"/>
          </w:tcPr>
          <w:p w:rsidR="004A147C" w:rsidRPr="00F16FE9" w:rsidRDefault="004A147C" w:rsidP="00CE5850">
            <w:pPr>
              <w:jc w:val="center"/>
              <w:rPr>
                <w:b/>
                <w:bCs/>
                <w:szCs w:val="22"/>
              </w:rPr>
            </w:pPr>
            <w:r w:rsidRPr="00F16FE9">
              <w:rPr>
                <w:b/>
                <w:bCs/>
                <w:szCs w:val="22"/>
              </w:rPr>
              <w:t>2009 (June)</w:t>
            </w:r>
          </w:p>
        </w:tc>
        <w:tc>
          <w:tcPr>
            <w:tcW w:w="1214" w:type="dxa"/>
          </w:tcPr>
          <w:p w:rsidR="004A147C" w:rsidRPr="00F16FE9" w:rsidRDefault="004A147C" w:rsidP="00CE5850">
            <w:pPr>
              <w:jc w:val="center"/>
              <w:rPr>
                <w:b/>
                <w:bCs/>
                <w:szCs w:val="22"/>
              </w:rPr>
            </w:pPr>
            <w:r w:rsidRPr="00F16FE9">
              <w:rPr>
                <w:b/>
                <w:bCs/>
                <w:szCs w:val="22"/>
              </w:rPr>
              <w:t>2010 (June)</w:t>
            </w:r>
          </w:p>
        </w:tc>
        <w:tc>
          <w:tcPr>
            <w:tcW w:w="1360" w:type="dxa"/>
          </w:tcPr>
          <w:p w:rsidR="004A147C" w:rsidRPr="00F16FE9" w:rsidRDefault="004A147C" w:rsidP="00CE5850">
            <w:pPr>
              <w:jc w:val="center"/>
              <w:rPr>
                <w:b/>
                <w:bCs/>
                <w:szCs w:val="22"/>
              </w:rPr>
            </w:pPr>
            <w:r w:rsidRPr="00F16FE9">
              <w:rPr>
                <w:b/>
                <w:bCs/>
                <w:szCs w:val="22"/>
              </w:rPr>
              <w:t xml:space="preserve">2011 </w:t>
            </w:r>
          </w:p>
          <w:p w:rsidR="004A147C" w:rsidRPr="00F16FE9" w:rsidRDefault="004A147C" w:rsidP="00CE5850">
            <w:pPr>
              <w:jc w:val="center"/>
              <w:rPr>
                <w:b/>
                <w:bCs/>
                <w:szCs w:val="22"/>
              </w:rPr>
            </w:pPr>
            <w:r w:rsidRPr="00F16FE9">
              <w:rPr>
                <w:b/>
                <w:bCs/>
                <w:szCs w:val="22"/>
              </w:rPr>
              <w:t>(June)</w:t>
            </w:r>
          </w:p>
        </w:tc>
        <w:tc>
          <w:tcPr>
            <w:tcW w:w="1243" w:type="dxa"/>
          </w:tcPr>
          <w:p w:rsidR="004A147C" w:rsidRPr="00F16FE9" w:rsidRDefault="004A147C" w:rsidP="00CE5850">
            <w:pPr>
              <w:jc w:val="center"/>
              <w:rPr>
                <w:b/>
                <w:bCs/>
                <w:szCs w:val="22"/>
              </w:rPr>
            </w:pPr>
            <w:r w:rsidRPr="00F16FE9">
              <w:rPr>
                <w:b/>
                <w:bCs/>
                <w:szCs w:val="22"/>
              </w:rPr>
              <w:t>2012</w:t>
            </w:r>
          </w:p>
          <w:p w:rsidR="004A147C" w:rsidRPr="00F16FE9" w:rsidRDefault="004A147C" w:rsidP="00CE5850">
            <w:pPr>
              <w:jc w:val="center"/>
              <w:rPr>
                <w:b/>
                <w:bCs/>
                <w:szCs w:val="22"/>
              </w:rPr>
            </w:pPr>
            <w:r w:rsidRPr="00F16FE9">
              <w:rPr>
                <w:b/>
                <w:bCs/>
                <w:szCs w:val="22"/>
              </w:rPr>
              <w:t>(June)</w:t>
            </w:r>
          </w:p>
        </w:tc>
      </w:tr>
      <w:tr w:rsidR="004A147C" w:rsidRPr="00F16FE9" w:rsidTr="005F18BB">
        <w:trPr>
          <w:jc w:val="center"/>
        </w:trPr>
        <w:tc>
          <w:tcPr>
            <w:tcW w:w="1902" w:type="dxa"/>
          </w:tcPr>
          <w:p w:rsidR="004A147C" w:rsidRPr="00F16FE9" w:rsidRDefault="004A147C" w:rsidP="00CE5850">
            <w:pPr>
              <w:rPr>
                <w:szCs w:val="22"/>
              </w:rPr>
            </w:pPr>
            <w:r w:rsidRPr="00F16FE9">
              <w:rPr>
                <w:szCs w:val="22"/>
              </w:rPr>
              <w:t>CDMA/1xRTT/</w:t>
            </w:r>
          </w:p>
          <w:p w:rsidR="004A147C" w:rsidRPr="00F16FE9" w:rsidRDefault="004A147C" w:rsidP="00CE5850">
            <w:pPr>
              <w:rPr>
                <w:szCs w:val="22"/>
              </w:rPr>
            </w:pPr>
            <w:r w:rsidRPr="00F16FE9">
              <w:rPr>
                <w:szCs w:val="22"/>
              </w:rPr>
              <w:t>EV-DO</w:t>
            </w:r>
            <w:r w:rsidRPr="00F16FE9">
              <w:rPr>
                <w:szCs w:val="22"/>
                <w:vertAlign w:val="superscript"/>
              </w:rPr>
              <w:footnoteReference w:id="1055"/>
            </w:r>
          </w:p>
        </w:tc>
        <w:tc>
          <w:tcPr>
            <w:tcW w:w="1265" w:type="dxa"/>
            <w:vAlign w:val="bottom"/>
          </w:tcPr>
          <w:p w:rsidR="004A147C" w:rsidRPr="00F16FE9" w:rsidRDefault="004A147C" w:rsidP="00CE5850">
            <w:pPr>
              <w:jc w:val="right"/>
              <w:rPr>
                <w:szCs w:val="22"/>
              </w:rPr>
            </w:pPr>
            <w:r w:rsidRPr="00F16FE9">
              <w:rPr>
                <w:szCs w:val="22"/>
              </w:rPr>
              <w:t>118</w:t>
            </w:r>
          </w:p>
        </w:tc>
        <w:tc>
          <w:tcPr>
            <w:tcW w:w="1291" w:type="dxa"/>
            <w:vAlign w:val="bottom"/>
          </w:tcPr>
          <w:p w:rsidR="004A147C" w:rsidRPr="00F16FE9" w:rsidRDefault="004A147C" w:rsidP="00CE5850">
            <w:pPr>
              <w:jc w:val="right"/>
              <w:rPr>
                <w:szCs w:val="22"/>
              </w:rPr>
            </w:pPr>
            <w:r w:rsidRPr="00F16FE9">
              <w:rPr>
                <w:szCs w:val="22"/>
              </w:rPr>
              <w:t>146</w:t>
            </w:r>
          </w:p>
        </w:tc>
        <w:tc>
          <w:tcPr>
            <w:tcW w:w="1301" w:type="dxa"/>
            <w:vAlign w:val="bottom"/>
          </w:tcPr>
          <w:p w:rsidR="004A147C" w:rsidRPr="00F16FE9" w:rsidRDefault="004A147C" w:rsidP="00CE5850">
            <w:pPr>
              <w:jc w:val="right"/>
              <w:rPr>
                <w:szCs w:val="22"/>
              </w:rPr>
            </w:pPr>
            <w:r w:rsidRPr="00F16FE9">
              <w:rPr>
                <w:szCs w:val="22"/>
              </w:rPr>
              <w:t>115</w:t>
            </w:r>
          </w:p>
        </w:tc>
        <w:tc>
          <w:tcPr>
            <w:tcW w:w="1214" w:type="dxa"/>
            <w:vAlign w:val="bottom"/>
          </w:tcPr>
          <w:p w:rsidR="004A147C" w:rsidRPr="00F16FE9" w:rsidRDefault="004A147C" w:rsidP="00CE5850">
            <w:pPr>
              <w:jc w:val="right"/>
              <w:rPr>
                <w:szCs w:val="22"/>
              </w:rPr>
            </w:pPr>
            <w:r w:rsidRPr="00F16FE9">
              <w:rPr>
                <w:szCs w:val="22"/>
              </w:rPr>
              <w:t>134</w:t>
            </w:r>
          </w:p>
        </w:tc>
        <w:tc>
          <w:tcPr>
            <w:tcW w:w="1360" w:type="dxa"/>
            <w:vAlign w:val="bottom"/>
          </w:tcPr>
          <w:p w:rsidR="004A147C" w:rsidRPr="00F16FE9" w:rsidRDefault="004A147C" w:rsidP="00CE5850">
            <w:pPr>
              <w:jc w:val="right"/>
              <w:rPr>
                <w:szCs w:val="22"/>
              </w:rPr>
            </w:pPr>
            <w:r w:rsidRPr="00F16FE9">
              <w:rPr>
                <w:szCs w:val="22"/>
              </w:rPr>
              <w:t>136</w:t>
            </w:r>
          </w:p>
        </w:tc>
        <w:tc>
          <w:tcPr>
            <w:tcW w:w="1243" w:type="dxa"/>
            <w:vAlign w:val="bottom"/>
          </w:tcPr>
          <w:p w:rsidR="004A147C" w:rsidRPr="00F16FE9" w:rsidRDefault="004A147C" w:rsidP="00CE5850">
            <w:pPr>
              <w:jc w:val="right"/>
              <w:rPr>
                <w:szCs w:val="22"/>
              </w:rPr>
            </w:pPr>
            <w:r w:rsidRPr="00F16FE9">
              <w:rPr>
                <w:szCs w:val="22"/>
              </w:rPr>
              <w:t>117</w:t>
            </w:r>
          </w:p>
        </w:tc>
      </w:tr>
      <w:tr w:rsidR="004A147C" w:rsidRPr="00F16FE9" w:rsidTr="00F16FE9">
        <w:trPr>
          <w:jc w:val="center"/>
        </w:trPr>
        <w:tc>
          <w:tcPr>
            <w:tcW w:w="1902" w:type="dxa"/>
          </w:tcPr>
          <w:p w:rsidR="004A147C" w:rsidRPr="00F16FE9" w:rsidRDefault="004A147C" w:rsidP="00CE5850">
            <w:pPr>
              <w:rPr>
                <w:szCs w:val="22"/>
              </w:rPr>
            </w:pPr>
            <w:r w:rsidRPr="00F16FE9">
              <w:rPr>
                <w:szCs w:val="22"/>
              </w:rPr>
              <w:t>CDMA/WCDMA</w:t>
            </w:r>
          </w:p>
        </w:tc>
        <w:tc>
          <w:tcPr>
            <w:tcW w:w="1265" w:type="dxa"/>
            <w:vAlign w:val="bottom"/>
          </w:tcPr>
          <w:p w:rsidR="004A147C" w:rsidRPr="00F16FE9" w:rsidRDefault="004A147C" w:rsidP="00CE5850">
            <w:pPr>
              <w:jc w:val="right"/>
              <w:rPr>
                <w:szCs w:val="22"/>
              </w:rPr>
            </w:pPr>
            <w:r w:rsidRPr="00F16FE9">
              <w:rPr>
                <w:szCs w:val="22"/>
              </w:rPr>
              <w:t>0</w:t>
            </w:r>
          </w:p>
        </w:tc>
        <w:tc>
          <w:tcPr>
            <w:tcW w:w="1291" w:type="dxa"/>
            <w:vAlign w:val="bottom"/>
          </w:tcPr>
          <w:p w:rsidR="004A147C" w:rsidRPr="00F16FE9" w:rsidRDefault="004A147C" w:rsidP="00CE5850">
            <w:pPr>
              <w:jc w:val="right"/>
              <w:rPr>
                <w:szCs w:val="22"/>
              </w:rPr>
            </w:pPr>
            <w:r w:rsidRPr="00F16FE9">
              <w:rPr>
                <w:szCs w:val="22"/>
              </w:rPr>
              <w:t>0</w:t>
            </w:r>
          </w:p>
        </w:tc>
        <w:tc>
          <w:tcPr>
            <w:tcW w:w="1301" w:type="dxa"/>
            <w:vAlign w:val="bottom"/>
          </w:tcPr>
          <w:p w:rsidR="004A147C" w:rsidRPr="00F16FE9" w:rsidRDefault="004A147C" w:rsidP="00CE5850">
            <w:pPr>
              <w:jc w:val="right"/>
              <w:rPr>
                <w:szCs w:val="22"/>
              </w:rPr>
            </w:pPr>
            <w:r w:rsidRPr="00F16FE9">
              <w:rPr>
                <w:szCs w:val="22"/>
              </w:rPr>
              <w:t>0</w:t>
            </w:r>
          </w:p>
        </w:tc>
        <w:tc>
          <w:tcPr>
            <w:tcW w:w="1214" w:type="dxa"/>
            <w:vAlign w:val="bottom"/>
          </w:tcPr>
          <w:p w:rsidR="004A147C" w:rsidRPr="00F16FE9" w:rsidRDefault="004A147C" w:rsidP="00CE5850">
            <w:pPr>
              <w:jc w:val="right"/>
              <w:rPr>
                <w:szCs w:val="22"/>
              </w:rPr>
            </w:pPr>
            <w:r w:rsidRPr="00F16FE9">
              <w:rPr>
                <w:szCs w:val="22"/>
              </w:rPr>
              <w:t>1</w:t>
            </w:r>
          </w:p>
        </w:tc>
        <w:tc>
          <w:tcPr>
            <w:tcW w:w="1360" w:type="dxa"/>
            <w:vAlign w:val="bottom"/>
          </w:tcPr>
          <w:p w:rsidR="004A147C" w:rsidRPr="00F16FE9" w:rsidRDefault="004A147C" w:rsidP="00CE5850">
            <w:pPr>
              <w:jc w:val="right"/>
              <w:rPr>
                <w:szCs w:val="22"/>
              </w:rPr>
            </w:pPr>
            <w:r w:rsidRPr="00F16FE9">
              <w:rPr>
                <w:szCs w:val="22"/>
              </w:rPr>
              <w:t>2</w:t>
            </w:r>
          </w:p>
        </w:tc>
        <w:tc>
          <w:tcPr>
            <w:tcW w:w="1243" w:type="dxa"/>
          </w:tcPr>
          <w:p w:rsidR="004A147C" w:rsidRPr="00F16FE9" w:rsidRDefault="004A147C" w:rsidP="00CE5850">
            <w:pPr>
              <w:jc w:val="right"/>
              <w:rPr>
                <w:szCs w:val="22"/>
              </w:rPr>
            </w:pPr>
            <w:r w:rsidRPr="00F16FE9">
              <w:rPr>
                <w:szCs w:val="22"/>
              </w:rPr>
              <w:t>0</w:t>
            </w:r>
          </w:p>
        </w:tc>
      </w:tr>
      <w:tr w:rsidR="004A147C" w:rsidRPr="00F16FE9" w:rsidTr="00F16FE9">
        <w:trPr>
          <w:jc w:val="center"/>
        </w:trPr>
        <w:tc>
          <w:tcPr>
            <w:tcW w:w="1902" w:type="dxa"/>
          </w:tcPr>
          <w:p w:rsidR="004A147C" w:rsidRPr="00F16FE9" w:rsidRDefault="004A147C" w:rsidP="00CE5850">
            <w:pPr>
              <w:rPr>
                <w:szCs w:val="22"/>
              </w:rPr>
            </w:pPr>
            <w:r w:rsidRPr="00F16FE9">
              <w:rPr>
                <w:szCs w:val="22"/>
              </w:rPr>
              <w:t>GSM/WCDMA</w:t>
            </w:r>
            <w:r w:rsidRPr="00F16FE9">
              <w:rPr>
                <w:szCs w:val="22"/>
                <w:vertAlign w:val="superscript"/>
              </w:rPr>
              <w:footnoteReference w:id="1056"/>
            </w:r>
          </w:p>
        </w:tc>
        <w:tc>
          <w:tcPr>
            <w:tcW w:w="1265" w:type="dxa"/>
            <w:vAlign w:val="bottom"/>
          </w:tcPr>
          <w:p w:rsidR="004A147C" w:rsidRPr="00F16FE9" w:rsidRDefault="004A147C" w:rsidP="00CE5850">
            <w:pPr>
              <w:jc w:val="right"/>
              <w:rPr>
                <w:szCs w:val="22"/>
              </w:rPr>
            </w:pPr>
            <w:r w:rsidRPr="00F16FE9">
              <w:rPr>
                <w:szCs w:val="22"/>
              </w:rPr>
              <w:t>42</w:t>
            </w:r>
          </w:p>
        </w:tc>
        <w:tc>
          <w:tcPr>
            <w:tcW w:w="1291" w:type="dxa"/>
            <w:vAlign w:val="bottom"/>
          </w:tcPr>
          <w:p w:rsidR="004A147C" w:rsidRPr="00F16FE9" w:rsidRDefault="004A147C" w:rsidP="00CE5850">
            <w:pPr>
              <w:jc w:val="right"/>
              <w:rPr>
                <w:szCs w:val="22"/>
              </w:rPr>
            </w:pPr>
            <w:r w:rsidRPr="00F16FE9">
              <w:rPr>
                <w:szCs w:val="22"/>
              </w:rPr>
              <w:t>177</w:t>
            </w:r>
          </w:p>
        </w:tc>
        <w:tc>
          <w:tcPr>
            <w:tcW w:w="1301" w:type="dxa"/>
            <w:vAlign w:val="bottom"/>
          </w:tcPr>
          <w:p w:rsidR="004A147C" w:rsidRPr="00F16FE9" w:rsidRDefault="004A147C" w:rsidP="00CE5850">
            <w:pPr>
              <w:jc w:val="right"/>
              <w:rPr>
                <w:szCs w:val="22"/>
              </w:rPr>
            </w:pPr>
            <w:r w:rsidRPr="00F16FE9">
              <w:rPr>
                <w:szCs w:val="22"/>
              </w:rPr>
              <w:t>129</w:t>
            </w:r>
          </w:p>
        </w:tc>
        <w:tc>
          <w:tcPr>
            <w:tcW w:w="1214" w:type="dxa"/>
            <w:vAlign w:val="bottom"/>
          </w:tcPr>
          <w:p w:rsidR="004A147C" w:rsidRPr="00F16FE9" w:rsidRDefault="004A147C" w:rsidP="00CE5850">
            <w:pPr>
              <w:jc w:val="right"/>
              <w:rPr>
                <w:szCs w:val="22"/>
              </w:rPr>
            </w:pPr>
            <w:r w:rsidRPr="00F16FE9">
              <w:rPr>
                <w:szCs w:val="22"/>
              </w:rPr>
              <w:t>148</w:t>
            </w:r>
          </w:p>
        </w:tc>
        <w:tc>
          <w:tcPr>
            <w:tcW w:w="1360" w:type="dxa"/>
            <w:vAlign w:val="bottom"/>
          </w:tcPr>
          <w:p w:rsidR="004A147C" w:rsidRPr="00F16FE9" w:rsidRDefault="004A147C" w:rsidP="00CE5850">
            <w:pPr>
              <w:jc w:val="right"/>
              <w:rPr>
                <w:szCs w:val="22"/>
              </w:rPr>
            </w:pPr>
            <w:r w:rsidRPr="00F16FE9">
              <w:rPr>
                <w:szCs w:val="22"/>
              </w:rPr>
              <w:t>137</w:t>
            </w:r>
          </w:p>
        </w:tc>
        <w:tc>
          <w:tcPr>
            <w:tcW w:w="1243" w:type="dxa"/>
          </w:tcPr>
          <w:p w:rsidR="004A147C" w:rsidRPr="00F16FE9" w:rsidRDefault="004A147C" w:rsidP="00CE5850">
            <w:pPr>
              <w:jc w:val="right"/>
              <w:rPr>
                <w:szCs w:val="22"/>
              </w:rPr>
            </w:pPr>
            <w:r w:rsidRPr="00F16FE9">
              <w:rPr>
                <w:szCs w:val="22"/>
              </w:rPr>
              <w:t>131</w:t>
            </w:r>
          </w:p>
        </w:tc>
      </w:tr>
      <w:tr w:rsidR="004A147C" w:rsidRPr="00F16FE9" w:rsidTr="00F16FE9">
        <w:trPr>
          <w:jc w:val="center"/>
        </w:trPr>
        <w:tc>
          <w:tcPr>
            <w:tcW w:w="1902" w:type="dxa"/>
          </w:tcPr>
          <w:p w:rsidR="004A147C" w:rsidRPr="00F16FE9" w:rsidRDefault="004A147C" w:rsidP="00CE5850">
            <w:pPr>
              <w:rPr>
                <w:szCs w:val="22"/>
              </w:rPr>
            </w:pPr>
            <w:r w:rsidRPr="00F16FE9">
              <w:rPr>
                <w:szCs w:val="22"/>
              </w:rPr>
              <w:t>GSM/CDMA</w:t>
            </w:r>
          </w:p>
        </w:tc>
        <w:tc>
          <w:tcPr>
            <w:tcW w:w="1265" w:type="dxa"/>
            <w:vAlign w:val="bottom"/>
          </w:tcPr>
          <w:p w:rsidR="004A147C" w:rsidRPr="00F16FE9" w:rsidRDefault="004A147C" w:rsidP="00CE5850">
            <w:pPr>
              <w:jc w:val="right"/>
              <w:rPr>
                <w:szCs w:val="22"/>
              </w:rPr>
            </w:pPr>
            <w:r w:rsidRPr="00F16FE9">
              <w:rPr>
                <w:szCs w:val="22"/>
              </w:rPr>
              <w:t>0</w:t>
            </w:r>
          </w:p>
        </w:tc>
        <w:tc>
          <w:tcPr>
            <w:tcW w:w="1291" w:type="dxa"/>
            <w:vAlign w:val="bottom"/>
          </w:tcPr>
          <w:p w:rsidR="004A147C" w:rsidRPr="00F16FE9" w:rsidRDefault="004A147C" w:rsidP="00CE5850">
            <w:pPr>
              <w:jc w:val="right"/>
              <w:rPr>
                <w:szCs w:val="22"/>
              </w:rPr>
            </w:pPr>
            <w:r w:rsidRPr="00F16FE9">
              <w:rPr>
                <w:szCs w:val="22"/>
              </w:rPr>
              <w:t>0</w:t>
            </w:r>
          </w:p>
        </w:tc>
        <w:tc>
          <w:tcPr>
            <w:tcW w:w="1301" w:type="dxa"/>
            <w:vAlign w:val="bottom"/>
          </w:tcPr>
          <w:p w:rsidR="004A147C" w:rsidRPr="00F16FE9" w:rsidRDefault="004A147C" w:rsidP="00CE5850">
            <w:pPr>
              <w:jc w:val="right"/>
              <w:rPr>
                <w:szCs w:val="22"/>
              </w:rPr>
            </w:pPr>
            <w:r w:rsidRPr="00F16FE9">
              <w:rPr>
                <w:szCs w:val="22"/>
              </w:rPr>
              <w:t>2</w:t>
            </w:r>
          </w:p>
        </w:tc>
        <w:tc>
          <w:tcPr>
            <w:tcW w:w="1214" w:type="dxa"/>
            <w:vAlign w:val="bottom"/>
          </w:tcPr>
          <w:p w:rsidR="004A147C" w:rsidRPr="00F16FE9" w:rsidRDefault="004A147C" w:rsidP="00CE5850">
            <w:pPr>
              <w:jc w:val="right"/>
              <w:rPr>
                <w:szCs w:val="22"/>
              </w:rPr>
            </w:pPr>
            <w:r w:rsidRPr="00F16FE9">
              <w:rPr>
                <w:szCs w:val="22"/>
              </w:rPr>
              <w:t>3</w:t>
            </w:r>
          </w:p>
        </w:tc>
        <w:tc>
          <w:tcPr>
            <w:tcW w:w="1360" w:type="dxa"/>
            <w:vAlign w:val="bottom"/>
          </w:tcPr>
          <w:p w:rsidR="004A147C" w:rsidRPr="00F16FE9" w:rsidRDefault="004A147C" w:rsidP="00CE5850">
            <w:pPr>
              <w:jc w:val="right"/>
              <w:rPr>
                <w:szCs w:val="22"/>
              </w:rPr>
            </w:pPr>
            <w:r w:rsidRPr="00F16FE9">
              <w:rPr>
                <w:szCs w:val="22"/>
              </w:rPr>
              <w:t>4</w:t>
            </w:r>
          </w:p>
        </w:tc>
        <w:tc>
          <w:tcPr>
            <w:tcW w:w="1243" w:type="dxa"/>
          </w:tcPr>
          <w:p w:rsidR="004A147C" w:rsidRPr="00F16FE9" w:rsidRDefault="004A147C" w:rsidP="00CE5850">
            <w:pPr>
              <w:jc w:val="right"/>
              <w:rPr>
                <w:szCs w:val="22"/>
              </w:rPr>
            </w:pPr>
            <w:r w:rsidRPr="00F16FE9">
              <w:rPr>
                <w:szCs w:val="22"/>
              </w:rPr>
              <w:t>2</w:t>
            </w:r>
          </w:p>
        </w:tc>
      </w:tr>
      <w:tr w:rsidR="004A147C" w:rsidRPr="00F16FE9" w:rsidTr="00F16FE9">
        <w:trPr>
          <w:jc w:val="center"/>
        </w:trPr>
        <w:tc>
          <w:tcPr>
            <w:tcW w:w="1902" w:type="dxa"/>
          </w:tcPr>
          <w:p w:rsidR="004A147C" w:rsidRPr="00F16FE9" w:rsidRDefault="004A147C" w:rsidP="00CE5850">
            <w:pPr>
              <w:rPr>
                <w:szCs w:val="22"/>
              </w:rPr>
            </w:pPr>
            <w:r w:rsidRPr="00F16FE9">
              <w:rPr>
                <w:szCs w:val="22"/>
              </w:rPr>
              <w:t>GSM/CDMA/WCDMA</w:t>
            </w:r>
          </w:p>
        </w:tc>
        <w:tc>
          <w:tcPr>
            <w:tcW w:w="1265" w:type="dxa"/>
            <w:vAlign w:val="bottom"/>
          </w:tcPr>
          <w:p w:rsidR="004A147C" w:rsidRPr="00F16FE9" w:rsidRDefault="004A147C" w:rsidP="00CE5850">
            <w:pPr>
              <w:jc w:val="right"/>
              <w:rPr>
                <w:szCs w:val="22"/>
              </w:rPr>
            </w:pPr>
            <w:r w:rsidRPr="00F16FE9">
              <w:rPr>
                <w:szCs w:val="22"/>
              </w:rPr>
              <w:t>0</w:t>
            </w:r>
          </w:p>
        </w:tc>
        <w:tc>
          <w:tcPr>
            <w:tcW w:w="1291" w:type="dxa"/>
            <w:vAlign w:val="bottom"/>
          </w:tcPr>
          <w:p w:rsidR="004A147C" w:rsidRPr="00F16FE9" w:rsidRDefault="004A147C" w:rsidP="00CE5850">
            <w:pPr>
              <w:jc w:val="right"/>
              <w:rPr>
                <w:szCs w:val="22"/>
              </w:rPr>
            </w:pPr>
            <w:r w:rsidRPr="00F16FE9">
              <w:rPr>
                <w:szCs w:val="22"/>
              </w:rPr>
              <w:t>0</w:t>
            </w:r>
          </w:p>
        </w:tc>
        <w:tc>
          <w:tcPr>
            <w:tcW w:w="1301" w:type="dxa"/>
            <w:vAlign w:val="bottom"/>
          </w:tcPr>
          <w:p w:rsidR="004A147C" w:rsidRPr="00F16FE9" w:rsidRDefault="004A147C" w:rsidP="00CE5850">
            <w:pPr>
              <w:jc w:val="right"/>
              <w:rPr>
                <w:szCs w:val="22"/>
              </w:rPr>
            </w:pPr>
            <w:r w:rsidRPr="00F16FE9">
              <w:rPr>
                <w:szCs w:val="22"/>
              </w:rPr>
              <w:t>0</w:t>
            </w:r>
          </w:p>
        </w:tc>
        <w:tc>
          <w:tcPr>
            <w:tcW w:w="1214" w:type="dxa"/>
            <w:vAlign w:val="bottom"/>
          </w:tcPr>
          <w:p w:rsidR="004A147C" w:rsidRPr="00F16FE9" w:rsidRDefault="004A147C" w:rsidP="00CE5850">
            <w:pPr>
              <w:jc w:val="right"/>
              <w:rPr>
                <w:szCs w:val="22"/>
              </w:rPr>
            </w:pPr>
            <w:r w:rsidRPr="00F16FE9">
              <w:rPr>
                <w:szCs w:val="22"/>
              </w:rPr>
              <w:t>0</w:t>
            </w:r>
          </w:p>
        </w:tc>
        <w:tc>
          <w:tcPr>
            <w:tcW w:w="1360" w:type="dxa"/>
            <w:vAlign w:val="bottom"/>
          </w:tcPr>
          <w:p w:rsidR="004A147C" w:rsidRPr="00F16FE9" w:rsidRDefault="004A147C" w:rsidP="00CE5850">
            <w:pPr>
              <w:jc w:val="right"/>
              <w:rPr>
                <w:szCs w:val="22"/>
              </w:rPr>
            </w:pPr>
            <w:r w:rsidRPr="00F16FE9">
              <w:rPr>
                <w:szCs w:val="22"/>
              </w:rPr>
              <w:t>0</w:t>
            </w:r>
          </w:p>
        </w:tc>
        <w:tc>
          <w:tcPr>
            <w:tcW w:w="1243" w:type="dxa"/>
          </w:tcPr>
          <w:p w:rsidR="004A147C" w:rsidRPr="00F16FE9" w:rsidRDefault="004A147C" w:rsidP="00CE5850">
            <w:pPr>
              <w:jc w:val="right"/>
              <w:rPr>
                <w:szCs w:val="22"/>
              </w:rPr>
            </w:pPr>
            <w:r w:rsidRPr="00F16FE9">
              <w:rPr>
                <w:szCs w:val="22"/>
              </w:rPr>
              <w:t>4</w:t>
            </w:r>
          </w:p>
        </w:tc>
      </w:tr>
      <w:tr w:rsidR="004A147C" w:rsidRPr="00F16FE9" w:rsidTr="00F16FE9">
        <w:trPr>
          <w:jc w:val="center"/>
        </w:trPr>
        <w:tc>
          <w:tcPr>
            <w:tcW w:w="1902" w:type="dxa"/>
          </w:tcPr>
          <w:p w:rsidR="004A147C" w:rsidRPr="00F16FE9" w:rsidRDefault="004A147C" w:rsidP="00CE5850">
            <w:pPr>
              <w:rPr>
                <w:szCs w:val="22"/>
              </w:rPr>
            </w:pPr>
            <w:r w:rsidRPr="00F16FE9">
              <w:rPr>
                <w:szCs w:val="22"/>
              </w:rPr>
              <w:t>iDEN</w:t>
            </w:r>
          </w:p>
        </w:tc>
        <w:tc>
          <w:tcPr>
            <w:tcW w:w="1265" w:type="dxa"/>
            <w:vAlign w:val="bottom"/>
          </w:tcPr>
          <w:p w:rsidR="004A147C" w:rsidRPr="00F16FE9" w:rsidRDefault="004A147C" w:rsidP="00CE5850">
            <w:pPr>
              <w:jc w:val="right"/>
              <w:rPr>
                <w:szCs w:val="22"/>
              </w:rPr>
            </w:pPr>
            <w:r w:rsidRPr="00F16FE9">
              <w:rPr>
                <w:szCs w:val="22"/>
              </w:rPr>
              <w:t>8</w:t>
            </w:r>
          </w:p>
        </w:tc>
        <w:tc>
          <w:tcPr>
            <w:tcW w:w="1291" w:type="dxa"/>
            <w:vAlign w:val="bottom"/>
          </w:tcPr>
          <w:p w:rsidR="004A147C" w:rsidRPr="00F16FE9" w:rsidRDefault="004A147C" w:rsidP="00CE5850">
            <w:pPr>
              <w:jc w:val="right"/>
              <w:rPr>
                <w:szCs w:val="22"/>
              </w:rPr>
            </w:pPr>
            <w:r w:rsidRPr="00F16FE9">
              <w:rPr>
                <w:szCs w:val="22"/>
              </w:rPr>
              <w:t>21</w:t>
            </w:r>
          </w:p>
        </w:tc>
        <w:tc>
          <w:tcPr>
            <w:tcW w:w="1301" w:type="dxa"/>
            <w:vAlign w:val="bottom"/>
          </w:tcPr>
          <w:p w:rsidR="004A147C" w:rsidRPr="00F16FE9" w:rsidRDefault="004A147C" w:rsidP="00CE5850">
            <w:pPr>
              <w:jc w:val="right"/>
              <w:rPr>
                <w:szCs w:val="22"/>
              </w:rPr>
            </w:pPr>
            <w:r w:rsidRPr="00F16FE9">
              <w:rPr>
                <w:szCs w:val="22"/>
              </w:rPr>
              <w:t>14</w:t>
            </w:r>
          </w:p>
        </w:tc>
        <w:tc>
          <w:tcPr>
            <w:tcW w:w="1214" w:type="dxa"/>
            <w:vAlign w:val="bottom"/>
          </w:tcPr>
          <w:p w:rsidR="004A147C" w:rsidRPr="00F16FE9" w:rsidRDefault="004A147C" w:rsidP="00CE5850">
            <w:pPr>
              <w:jc w:val="right"/>
              <w:rPr>
                <w:szCs w:val="22"/>
              </w:rPr>
            </w:pPr>
            <w:r w:rsidRPr="00F16FE9">
              <w:rPr>
                <w:szCs w:val="22"/>
              </w:rPr>
              <w:t>16</w:t>
            </w:r>
          </w:p>
        </w:tc>
        <w:tc>
          <w:tcPr>
            <w:tcW w:w="1360" w:type="dxa"/>
            <w:vAlign w:val="bottom"/>
          </w:tcPr>
          <w:p w:rsidR="004A147C" w:rsidRPr="00F16FE9" w:rsidRDefault="004A147C" w:rsidP="00CE5850">
            <w:pPr>
              <w:jc w:val="right"/>
              <w:rPr>
                <w:szCs w:val="22"/>
              </w:rPr>
            </w:pPr>
            <w:r w:rsidRPr="00F16FE9">
              <w:rPr>
                <w:szCs w:val="22"/>
              </w:rPr>
              <w:t>18</w:t>
            </w:r>
          </w:p>
        </w:tc>
        <w:tc>
          <w:tcPr>
            <w:tcW w:w="1243" w:type="dxa"/>
          </w:tcPr>
          <w:p w:rsidR="004A147C" w:rsidRPr="00F16FE9" w:rsidRDefault="004A147C" w:rsidP="00CE5850">
            <w:pPr>
              <w:jc w:val="right"/>
              <w:rPr>
                <w:szCs w:val="22"/>
              </w:rPr>
            </w:pPr>
            <w:r w:rsidRPr="00F16FE9">
              <w:rPr>
                <w:szCs w:val="22"/>
              </w:rPr>
              <w:t>12</w:t>
            </w:r>
          </w:p>
        </w:tc>
      </w:tr>
      <w:tr w:rsidR="004A147C" w:rsidRPr="00F16FE9" w:rsidTr="00F16FE9">
        <w:trPr>
          <w:jc w:val="center"/>
        </w:trPr>
        <w:tc>
          <w:tcPr>
            <w:tcW w:w="1902" w:type="dxa"/>
            <w:tcBorders>
              <w:bottom w:val="single" w:sz="4" w:space="0" w:color="auto"/>
            </w:tcBorders>
          </w:tcPr>
          <w:p w:rsidR="004A147C" w:rsidRPr="00F16FE9" w:rsidRDefault="004A147C" w:rsidP="00CE5850">
            <w:pPr>
              <w:rPr>
                <w:szCs w:val="22"/>
              </w:rPr>
            </w:pPr>
            <w:r w:rsidRPr="00F16FE9">
              <w:rPr>
                <w:szCs w:val="22"/>
              </w:rPr>
              <w:t>Total</w:t>
            </w:r>
          </w:p>
        </w:tc>
        <w:tc>
          <w:tcPr>
            <w:tcW w:w="1265" w:type="dxa"/>
            <w:tcBorders>
              <w:bottom w:val="single" w:sz="4" w:space="0" w:color="auto"/>
            </w:tcBorders>
            <w:vAlign w:val="bottom"/>
          </w:tcPr>
          <w:p w:rsidR="004A147C" w:rsidRPr="00F16FE9" w:rsidRDefault="004A147C" w:rsidP="00CE5850">
            <w:pPr>
              <w:jc w:val="right"/>
              <w:rPr>
                <w:bCs/>
                <w:szCs w:val="22"/>
              </w:rPr>
            </w:pPr>
            <w:r w:rsidRPr="00F16FE9">
              <w:rPr>
                <w:bCs/>
                <w:szCs w:val="22"/>
              </w:rPr>
              <w:t>168</w:t>
            </w:r>
          </w:p>
        </w:tc>
        <w:tc>
          <w:tcPr>
            <w:tcW w:w="1291" w:type="dxa"/>
            <w:tcBorders>
              <w:bottom w:val="single" w:sz="4" w:space="0" w:color="auto"/>
            </w:tcBorders>
            <w:vAlign w:val="bottom"/>
          </w:tcPr>
          <w:p w:rsidR="004A147C" w:rsidRPr="00F16FE9" w:rsidRDefault="004A147C" w:rsidP="00CE5850">
            <w:pPr>
              <w:jc w:val="right"/>
              <w:rPr>
                <w:bCs/>
                <w:szCs w:val="22"/>
              </w:rPr>
            </w:pPr>
            <w:r w:rsidRPr="00F16FE9">
              <w:rPr>
                <w:bCs/>
                <w:szCs w:val="22"/>
              </w:rPr>
              <w:t>346</w:t>
            </w:r>
          </w:p>
        </w:tc>
        <w:tc>
          <w:tcPr>
            <w:tcW w:w="1301" w:type="dxa"/>
            <w:tcBorders>
              <w:bottom w:val="single" w:sz="4" w:space="0" w:color="auto"/>
            </w:tcBorders>
            <w:vAlign w:val="bottom"/>
          </w:tcPr>
          <w:p w:rsidR="004A147C" w:rsidRPr="00F16FE9" w:rsidRDefault="004A147C" w:rsidP="00CE5850">
            <w:pPr>
              <w:jc w:val="right"/>
              <w:rPr>
                <w:bCs/>
                <w:szCs w:val="22"/>
              </w:rPr>
            </w:pPr>
            <w:r w:rsidRPr="00F16FE9">
              <w:rPr>
                <w:bCs/>
                <w:szCs w:val="22"/>
              </w:rPr>
              <w:t>260</w:t>
            </w:r>
          </w:p>
        </w:tc>
        <w:tc>
          <w:tcPr>
            <w:tcW w:w="1214" w:type="dxa"/>
            <w:tcBorders>
              <w:bottom w:val="single" w:sz="4" w:space="0" w:color="auto"/>
            </w:tcBorders>
            <w:vAlign w:val="bottom"/>
          </w:tcPr>
          <w:p w:rsidR="004A147C" w:rsidRPr="00F16FE9" w:rsidRDefault="004A147C" w:rsidP="00CE5850">
            <w:pPr>
              <w:jc w:val="right"/>
              <w:rPr>
                <w:bCs/>
                <w:szCs w:val="22"/>
              </w:rPr>
            </w:pPr>
            <w:r w:rsidRPr="00F16FE9">
              <w:rPr>
                <w:bCs/>
                <w:szCs w:val="22"/>
              </w:rPr>
              <w:t>302</w:t>
            </w:r>
          </w:p>
        </w:tc>
        <w:tc>
          <w:tcPr>
            <w:tcW w:w="1360" w:type="dxa"/>
            <w:tcBorders>
              <w:bottom w:val="single" w:sz="4" w:space="0" w:color="auto"/>
            </w:tcBorders>
            <w:vAlign w:val="bottom"/>
          </w:tcPr>
          <w:p w:rsidR="004A147C" w:rsidRPr="00F16FE9" w:rsidRDefault="004A147C" w:rsidP="00CE5850">
            <w:pPr>
              <w:jc w:val="right"/>
              <w:rPr>
                <w:bCs/>
                <w:szCs w:val="22"/>
              </w:rPr>
            </w:pPr>
            <w:r w:rsidRPr="00F16FE9">
              <w:rPr>
                <w:bCs/>
                <w:szCs w:val="22"/>
              </w:rPr>
              <w:t>297</w:t>
            </w:r>
          </w:p>
        </w:tc>
        <w:tc>
          <w:tcPr>
            <w:tcW w:w="1243" w:type="dxa"/>
            <w:tcBorders>
              <w:bottom w:val="single" w:sz="4" w:space="0" w:color="auto"/>
            </w:tcBorders>
          </w:tcPr>
          <w:p w:rsidR="004A147C" w:rsidRPr="00F16FE9" w:rsidRDefault="004A147C" w:rsidP="00CE5850">
            <w:pPr>
              <w:jc w:val="right"/>
              <w:rPr>
                <w:bCs/>
                <w:szCs w:val="22"/>
              </w:rPr>
            </w:pPr>
            <w:r w:rsidRPr="00F16FE9">
              <w:rPr>
                <w:bCs/>
                <w:szCs w:val="22"/>
              </w:rPr>
              <w:t>266</w:t>
            </w:r>
          </w:p>
        </w:tc>
      </w:tr>
    </w:tbl>
    <w:p w:rsidR="004A147C" w:rsidRPr="00F16FE9" w:rsidRDefault="004A147C" w:rsidP="00CE5850">
      <w:pPr>
        <w:spacing w:before="120" w:after="120"/>
        <w:jc w:val="center"/>
        <w:outlineLvl w:val="0"/>
        <w:rPr>
          <w:b/>
          <w:bCs/>
          <w:kern w:val="0"/>
          <w:szCs w:val="22"/>
        </w:rPr>
      </w:pPr>
    </w:p>
    <w:p w:rsidR="004A147C" w:rsidRPr="00F16FE9" w:rsidRDefault="004A147C" w:rsidP="00CE5850">
      <w:pPr>
        <w:spacing w:before="120" w:after="120"/>
        <w:jc w:val="center"/>
        <w:outlineLvl w:val="0"/>
        <w:rPr>
          <w:b/>
          <w:bCs/>
          <w:kern w:val="0"/>
          <w:szCs w:val="22"/>
        </w:rPr>
      </w:pPr>
      <w:bookmarkStart w:id="5026" w:name="_Toc329262539"/>
      <w:bookmarkStart w:id="5027" w:name="_Toc329852446"/>
      <w:bookmarkStart w:id="5028" w:name="_Toc331766361"/>
      <w:bookmarkStart w:id="5029" w:name="_Toc332119165"/>
      <w:bookmarkStart w:id="5030" w:name="_Toc334088833"/>
      <w:bookmarkStart w:id="5031" w:name="_Toc334089069"/>
      <w:bookmarkStart w:id="5032" w:name="_Toc334089228"/>
      <w:bookmarkStart w:id="5033" w:name="_Toc334089339"/>
      <w:bookmarkStart w:id="5034" w:name="_Toc334089503"/>
      <w:bookmarkStart w:id="5035" w:name="_Toc336268645"/>
      <w:bookmarkStart w:id="5036" w:name="_Toc336268753"/>
      <w:bookmarkStart w:id="5037" w:name="_Toc336268860"/>
      <w:bookmarkStart w:id="5038" w:name="_Toc336269074"/>
      <w:bookmarkStart w:id="5039" w:name="_Toc336269181"/>
      <w:bookmarkStart w:id="5040" w:name="_Toc336269549"/>
      <w:bookmarkStart w:id="5041" w:name="_Toc336269695"/>
      <w:bookmarkStart w:id="5042" w:name="_Toc336270108"/>
      <w:r w:rsidRPr="00F16FE9">
        <w:rPr>
          <w:b/>
          <w:bCs/>
          <w:kern w:val="0"/>
          <w:szCs w:val="22"/>
        </w:rPr>
        <w:t xml:space="preserve">Table </w:t>
      </w:r>
      <w:r w:rsidR="0007014B" w:rsidRPr="00F16FE9">
        <w:rPr>
          <w:b/>
          <w:bCs/>
          <w:kern w:val="0"/>
          <w:szCs w:val="22"/>
        </w:rPr>
        <w:fldChar w:fldCharType="begin"/>
      </w:r>
      <w:r w:rsidRPr="00F16FE9">
        <w:rPr>
          <w:b/>
          <w:bCs/>
          <w:kern w:val="0"/>
          <w:szCs w:val="22"/>
        </w:rPr>
        <w:instrText xml:space="preserve"> SEQ Table \* ARABIC </w:instrText>
      </w:r>
      <w:r w:rsidR="0007014B" w:rsidRPr="00F16FE9">
        <w:rPr>
          <w:b/>
          <w:bCs/>
          <w:kern w:val="0"/>
          <w:szCs w:val="22"/>
        </w:rPr>
        <w:fldChar w:fldCharType="separate"/>
      </w:r>
      <w:r w:rsidR="00CA3AC6">
        <w:rPr>
          <w:b/>
          <w:bCs/>
          <w:noProof/>
          <w:kern w:val="0"/>
          <w:szCs w:val="22"/>
        </w:rPr>
        <w:t>50</w:t>
      </w:r>
      <w:r w:rsidR="0007014B" w:rsidRPr="00F16FE9">
        <w:rPr>
          <w:b/>
          <w:bCs/>
          <w:kern w:val="0"/>
          <w:szCs w:val="22"/>
        </w:rPr>
        <w:fldChar w:fldCharType="end"/>
      </w:r>
      <w:r w:rsidRPr="00F16FE9">
        <w:rPr>
          <w:b/>
          <w:bCs/>
          <w:kern w:val="0"/>
          <w:szCs w:val="22"/>
        </w:rPr>
        <w:br/>
        <w:t>Smartphone Models Offered by Handset Manufacturers by Air Interface, U.S., 2009-2012</w:t>
      </w:r>
      <w:bookmarkEnd w:id="5026"/>
      <w:bookmarkEnd w:id="5027"/>
      <w:bookmarkEnd w:id="5028"/>
      <w:bookmarkEnd w:id="5029"/>
      <w:bookmarkEnd w:id="5030"/>
      <w:bookmarkEnd w:id="5031"/>
      <w:bookmarkEnd w:id="5032"/>
      <w:bookmarkEnd w:id="5033"/>
      <w:bookmarkEnd w:id="5034"/>
      <w:bookmarkEnd w:id="5035"/>
      <w:bookmarkEnd w:id="5036"/>
      <w:bookmarkEnd w:id="5037"/>
      <w:bookmarkEnd w:id="5038"/>
      <w:bookmarkEnd w:id="5039"/>
      <w:bookmarkEnd w:id="5040"/>
      <w:bookmarkEnd w:id="5041"/>
      <w:bookmarkEnd w:id="5042"/>
    </w:p>
    <w:tbl>
      <w:tblPr>
        <w:tblW w:w="0" w:type="auto"/>
        <w:jc w:val="center"/>
        <w:tblInd w:w="828" w:type="dxa"/>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ook w:val="01E0" w:firstRow="1" w:lastRow="1" w:firstColumn="1" w:lastColumn="1" w:noHBand="0" w:noVBand="0"/>
      </w:tblPr>
      <w:tblGrid>
        <w:gridCol w:w="2507"/>
        <w:gridCol w:w="1761"/>
        <w:gridCol w:w="1515"/>
        <w:gridCol w:w="1515"/>
        <w:gridCol w:w="1450"/>
      </w:tblGrid>
      <w:tr w:rsidR="004A147C" w:rsidRPr="00F16FE9" w:rsidTr="00F16FE9">
        <w:trPr>
          <w:trHeight w:val="255"/>
          <w:jc w:val="center"/>
        </w:trPr>
        <w:tc>
          <w:tcPr>
            <w:tcW w:w="2507" w:type="dxa"/>
            <w:vMerge w:val="restart"/>
            <w:tcBorders>
              <w:top w:val="single" w:sz="4" w:space="0" w:color="auto"/>
            </w:tcBorders>
          </w:tcPr>
          <w:p w:rsidR="004A147C" w:rsidRPr="00F16FE9" w:rsidRDefault="004A147C" w:rsidP="00CE5850">
            <w:pPr>
              <w:jc w:val="center"/>
              <w:rPr>
                <w:b/>
                <w:szCs w:val="22"/>
              </w:rPr>
            </w:pPr>
            <w:r w:rsidRPr="00F16FE9">
              <w:rPr>
                <w:b/>
                <w:szCs w:val="22"/>
              </w:rPr>
              <w:t>Air Interface Type</w:t>
            </w:r>
          </w:p>
        </w:tc>
        <w:tc>
          <w:tcPr>
            <w:tcW w:w="6241" w:type="dxa"/>
            <w:gridSpan w:val="4"/>
            <w:tcBorders>
              <w:top w:val="single" w:sz="4" w:space="0" w:color="auto"/>
            </w:tcBorders>
          </w:tcPr>
          <w:p w:rsidR="004A147C" w:rsidRPr="00F16FE9" w:rsidRDefault="004A147C" w:rsidP="00CE5850">
            <w:pPr>
              <w:jc w:val="center"/>
              <w:rPr>
                <w:b/>
                <w:szCs w:val="22"/>
              </w:rPr>
            </w:pPr>
            <w:r w:rsidRPr="00F16FE9">
              <w:rPr>
                <w:b/>
                <w:szCs w:val="22"/>
              </w:rPr>
              <w:t xml:space="preserve">Estimated Smartphone Models  </w:t>
            </w:r>
          </w:p>
        </w:tc>
      </w:tr>
      <w:tr w:rsidR="004A147C" w:rsidRPr="00F16FE9" w:rsidTr="00F16FE9">
        <w:trPr>
          <w:trHeight w:val="255"/>
          <w:jc w:val="center"/>
        </w:trPr>
        <w:tc>
          <w:tcPr>
            <w:tcW w:w="2507" w:type="dxa"/>
            <w:vMerge/>
            <w:tcBorders>
              <w:top w:val="single" w:sz="4" w:space="0" w:color="auto"/>
            </w:tcBorders>
            <w:vAlign w:val="center"/>
          </w:tcPr>
          <w:p w:rsidR="004A147C" w:rsidRPr="00F16FE9" w:rsidRDefault="004A147C" w:rsidP="00CE5850">
            <w:pPr>
              <w:rPr>
                <w:b/>
                <w:szCs w:val="22"/>
              </w:rPr>
            </w:pPr>
          </w:p>
        </w:tc>
        <w:tc>
          <w:tcPr>
            <w:tcW w:w="1761" w:type="dxa"/>
          </w:tcPr>
          <w:p w:rsidR="004A147C" w:rsidRPr="00F16FE9" w:rsidRDefault="004A147C" w:rsidP="00CE5850">
            <w:pPr>
              <w:jc w:val="center"/>
              <w:rPr>
                <w:b/>
                <w:szCs w:val="22"/>
              </w:rPr>
            </w:pPr>
            <w:r w:rsidRPr="00F16FE9">
              <w:rPr>
                <w:b/>
                <w:szCs w:val="22"/>
              </w:rPr>
              <w:t>June 2009</w:t>
            </w:r>
          </w:p>
        </w:tc>
        <w:tc>
          <w:tcPr>
            <w:tcW w:w="1515" w:type="dxa"/>
            <w:tcBorders>
              <w:right w:val="single" w:sz="4" w:space="0" w:color="auto"/>
            </w:tcBorders>
          </w:tcPr>
          <w:p w:rsidR="004A147C" w:rsidRPr="00F16FE9" w:rsidRDefault="004A147C" w:rsidP="00CE5850">
            <w:pPr>
              <w:jc w:val="center"/>
              <w:rPr>
                <w:b/>
                <w:szCs w:val="22"/>
              </w:rPr>
            </w:pPr>
            <w:r w:rsidRPr="00F16FE9">
              <w:rPr>
                <w:b/>
                <w:szCs w:val="22"/>
              </w:rPr>
              <w:t>June 2010</w:t>
            </w:r>
          </w:p>
        </w:tc>
        <w:tc>
          <w:tcPr>
            <w:tcW w:w="1515" w:type="dxa"/>
          </w:tcPr>
          <w:p w:rsidR="004A147C" w:rsidRPr="00F16FE9" w:rsidRDefault="004A147C" w:rsidP="00CE5850">
            <w:pPr>
              <w:jc w:val="center"/>
              <w:rPr>
                <w:b/>
                <w:szCs w:val="22"/>
              </w:rPr>
            </w:pPr>
            <w:r w:rsidRPr="00F16FE9">
              <w:rPr>
                <w:b/>
                <w:szCs w:val="22"/>
              </w:rPr>
              <w:t>June 2011</w:t>
            </w:r>
          </w:p>
        </w:tc>
        <w:tc>
          <w:tcPr>
            <w:tcW w:w="1450" w:type="dxa"/>
          </w:tcPr>
          <w:p w:rsidR="004A147C" w:rsidRPr="00F16FE9" w:rsidRDefault="004A147C" w:rsidP="00CE5850">
            <w:pPr>
              <w:jc w:val="center"/>
              <w:rPr>
                <w:b/>
                <w:szCs w:val="22"/>
              </w:rPr>
            </w:pPr>
            <w:r w:rsidRPr="00F16FE9">
              <w:rPr>
                <w:b/>
                <w:szCs w:val="22"/>
              </w:rPr>
              <w:t>June 2012</w:t>
            </w:r>
          </w:p>
        </w:tc>
      </w:tr>
      <w:tr w:rsidR="004A147C" w:rsidRPr="00F16FE9" w:rsidTr="00F16FE9">
        <w:trPr>
          <w:jc w:val="center"/>
        </w:trPr>
        <w:tc>
          <w:tcPr>
            <w:tcW w:w="2507" w:type="dxa"/>
          </w:tcPr>
          <w:p w:rsidR="004A147C" w:rsidRPr="00F16FE9" w:rsidRDefault="004A147C" w:rsidP="00CE5850">
            <w:pPr>
              <w:rPr>
                <w:szCs w:val="22"/>
              </w:rPr>
            </w:pPr>
            <w:r w:rsidRPr="00F16FE9">
              <w:rPr>
                <w:szCs w:val="22"/>
              </w:rPr>
              <w:t>CDMA/1xRTT/EV-DO</w:t>
            </w:r>
          </w:p>
        </w:tc>
        <w:tc>
          <w:tcPr>
            <w:tcW w:w="1761" w:type="dxa"/>
          </w:tcPr>
          <w:p w:rsidR="004A147C" w:rsidRPr="00F16FE9" w:rsidRDefault="004A147C" w:rsidP="00CE5850">
            <w:pPr>
              <w:jc w:val="right"/>
              <w:rPr>
                <w:szCs w:val="22"/>
              </w:rPr>
            </w:pPr>
            <w:r w:rsidRPr="00F16FE9">
              <w:rPr>
                <w:szCs w:val="22"/>
              </w:rPr>
              <w:t>19</w:t>
            </w:r>
          </w:p>
        </w:tc>
        <w:tc>
          <w:tcPr>
            <w:tcW w:w="1515" w:type="dxa"/>
            <w:tcBorders>
              <w:right w:val="single" w:sz="4" w:space="0" w:color="auto"/>
            </w:tcBorders>
          </w:tcPr>
          <w:p w:rsidR="004A147C" w:rsidRPr="00F16FE9" w:rsidRDefault="004A147C" w:rsidP="00CE5850">
            <w:pPr>
              <w:jc w:val="right"/>
              <w:rPr>
                <w:szCs w:val="22"/>
              </w:rPr>
            </w:pPr>
            <w:r w:rsidRPr="00F16FE9">
              <w:rPr>
                <w:szCs w:val="22"/>
              </w:rPr>
              <w:t>67</w:t>
            </w:r>
          </w:p>
        </w:tc>
        <w:tc>
          <w:tcPr>
            <w:tcW w:w="1515" w:type="dxa"/>
          </w:tcPr>
          <w:p w:rsidR="004A147C" w:rsidRPr="00F16FE9" w:rsidRDefault="004A147C" w:rsidP="00CE5850">
            <w:pPr>
              <w:jc w:val="right"/>
              <w:rPr>
                <w:szCs w:val="22"/>
              </w:rPr>
            </w:pPr>
            <w:r w:rsidRPr="00F16FE9">
              <w:rPr>
                <w:szCs w:val="22"/>
              </w:rPr>
              <w:t>76</w:t>
            </w:r>
          </w:p>
        </w:tc>
        <w:tc>
          <w:tcPr>
            <w:tcW w:w="1450" w:type="dxa"/>
          </w:tcPr>
          <w:p w:rsidR="004A147C" w:rsidRPr="00F16FE9" w:rsidRDefault="004A147C" w:rsidP="00CE5850">
            <w:pPr>
              <w:jc w:val="right"/>
              <w:rPr>
                <w:szCs w:val="22"/>
              </w:rPr>
            </w:pPr>
            <w:r w:rsidRPr="00F16FE9">
              <w:rPr>
                <w:szCs w:val="22"/>
              </w:rPr>
              <w:t>68</w:t>
            </w:r>
          </w:p>
        </w:tc>
      </w:tr>
      <w:tr w:rsidR="004A147C" w:rsidRPr="00F16FE9" w:rsidTr="00F16FE9">
        <w:trPr>
          <w:jc w:val="center"/>
        </w:trPr>
        <w:tc>
          <w:tcPr>
            <w:tcW w:w="2507" w:type="dxa"/>
          </w:tcPr>
          <w:p w:rsidR="004A147C" w:rsidRPr="00F16FE9" w:rsidRDefault="004A147C" w:rsidP="00CE5850">
            <w:pPr>
              <w:rPr>
                <w:szCs w:val="22"/>
              </w:rPr>
            </w:pPr>
            <w:r w:rsidRPr="00F16FE9">
              <w:rPr>
                <w:szCs w:val="22"/>
              </w:rPr>
              <w:t>GSM/WCDMA</w:t>
            </w:r>
            <w:r w:rsidRPr="00F16FE9">
              <w:rPr>
                <w:szCs w:val="22"/>
                <w:vertAlign w:val="superscript"/>
              </w:rPr>
              <w:footnoteReference w:id="1057"/>
            </w:r>
          </w:p>
        </w:tc>
        <w:tc>
          <w:tcPr>
            <w:tcW w:w="1761" w:type="dxa"/>
          </w:tcPr>
          <w:p w:rsidR="004A147C" w:rsidRPr="00F16FE9" w:rsidRDefault="004A147C" w:rsidP="00CE5850">
            <w:pPr>
              <w:jc w:val="right"/>
              <w:rPr>
                <w:szCs w:val="22"/>
              </w:rPr>
            </w:pPr>
            <w:r w:rsidRPr="00F16FE9">
              <w:rPr>
                <w:szCs w:val="22"/>
              </w:rPr>
              <w:t>35</w:t>
            </w:r>
          </w:p>
        </w:tc>
        <w:tc>
          <w:tcPr>
            <w:tcW w:w="1515" w:type="dxa"/>
            <w:tcBorders>
              <w:right w:val="single" w:sz="4" w:space="0" w:color="auto"/>
            </w:tcBorders>
          </w:tcPr>
          <w:p w:rsidR="004A147C" w:rsidRPr="00F16FE9" w:rsidRDefault="004A147C" w:rsidP="00CE5850">
            <w:pPr>
              <w:jc w:val="right"/>
              <w:rPr>
                <w:szCs w:val="22"/>
              </w:rPr>
            </w:pPr>
            <w:r w:rsidRPr="00F16FE9">
              <w:rPr>
                <w:szCs w:val="22"/>
              </w:rPr>
              <w:t>80</w:t>
            </w:r>
          </w:p>
        </w:tc>
        <w:tc>
          <w:tcPr>
            <w:tcW w:w="1515" w:type="dxa"/>
          </w:tcPr>
          <w:p w:rsidR="004A147C" w:rsidRPr="00F16FE9" w:rsidRDefault="004A147C" w:rsidP="00CE5850">
            <w:pPr>
              <w:jc w:val="right"/>
              <w:rPr>
                <w:szCs w:val="22"/>
              </w:rPr>
            </w:pPr>
            <w:r w:rsidRPr="00F16FE9">
              <w:rPr>
                <w:szCs w:val="22"/>
              </w:rPr>
              <w:t>86</w:t>
            </w:r>
          </w:p>
        </w:tc>
        <w:tc>
          <w:tcPr>
            <w:tcW w:w="1450" w:type="dxa"/>
          </w:tcPr>
          <w:p w:rsidR="004A147C" w:rsidRPr="00F16FE9" w:rsidRDefault="004A147C" w:rsidP="00CE5850">
            <w:pPr>
              <w:jc w:val="right"/>
              <w:rPr>
                <w:szCs w:val="22"/>
              </w:rPr>
            </w:pPr>
            <w:r w:rsidRPr="00F16FE9">
              <w:rPr>
                <w:szCs w:val="22"/>
              </w:rPr>
              <w:t>88</w:t>
            </w:r>
          </w:p>
        </w:tc>
      </w:tr>
      <w:tr w:rsidR="004A147C" w:rsidRPr="00F16FE9" w:rsidTr="00F16FE9">
        <w:trPr>
          <w:jc w:val="center"/>
        </w:trPr>
        <w:tc>
          <w:tcPr>
            <w:tcW w:w="2507" w:type="dxa"/>
          </w:tcPr>
          <w:p w:rsidR="004A147C" w:rsidRPr="00F16FE9" w:rsidRDefault="004A147C" w:rsidP="00CE5850">
            <w:pPr>
              <w:rPr>
                <w:szCs w:val="22"/>
              </w:rPr>
            </w:pPr>
            <w:r w:rsidRPr="00F16FE9">
              <w:rPr>
                <w:szCs w:val="22"/>
              </w:rPr>
              <w:t>GSM/CDMA</w:t>
            </w:r>
          </w:p>
        </w:tc>
        <w:tc>
          <w:tcPr>
            <w:tcW w:w="1761" w:type="dxa"/>
          </w:tcPr>
          <w:p w:rsidR="004A147C" w:rsidRPr="00F16FE9" w:rsidRDefault="004A147C" w:rsidP="00CE5850">
            <w:pPr>
              <w:jc w:val="right"/>
              <w:rPr>
                <w:szCs w:val="22"/>
              </w:rPr>
            </w:pPr>
            <w:r w:rsidRPr="00F16FE9">
              <w:rPr>
                <w:szCs w:val="22"/>
              </w:rPr>
              <w:t>0</w:t>
            </w:r>
          </w:p>
        </w:tc>
        <w:tc>
          <w:tcPr>
            <w:tcW w:w="1515" w:type="dxa"/>
            <w:tcBorders>
              <w:right w:val="single" w:sz="4" w:space="0" w:color="auto"/>
            </w:tcBorders>
          </w:tcPr>
          <w:p w:rsidR="004A147C" w:rsidRPr="00F16FE9" w:rsidRDefault="004A147C" w:rsidP="00CE5850">
            <w:pPr>
              <w:jc w:val="right"/>
              <w:rPr>
                <w:szCs w:val="22"/>
              </w:rPr>
            </w:pPr>
            <w:r w:rsidRPr="00F16FE9">
              <w:rPr>
                <w:szCs w:val="22"/>
              </w:rPr>
              <w:t>0</w:t>
            </w:r>
          </w:p>
        </w:tc>
        <w:tc>
          <w:tcPr>
            <w:tcW w:w="1515" w:type="dxa"/>
          </w:tcPr>
          <w:p w:rsidR="004A147C" w:rsidRPr="00F16FE9" w:rsidRDefault="004A147C" w:rsidP="00CE5850">
            <w:pPr>
              <w:jc w:val="right"/>
              <w:rPr>
                <w:szCs w:val="22"/>
              </w:rPr>
            </w:pPr>
            <w:r w:rsidRPr="00F16FE9">
              <w:rPr>
                <w:szCs w:val="22"/>
              </w:rPr>
              <w:t>0</w:t>
            </w:r>
          </w:p>
        </w:tc>
        <w:tc>
          <w:tcPr>
            <w:tcW w:w="1450" w:type="dxa"/>
          </w:tcPr>
          <w:p w:rsidR="004A147C" w:rsidRPr="00F16FE9" w:rsidRDefault="004A147C" w:rsidP="00CE5850">
            <w:pPr>
              <w:jc w:val="right"/>
              <w:rPr>
                <w:szCs w:val="22"/>
              </w:rPr>
            </w:pPr>
            <w:r w:rsidRPr="00F16FE9">
              <w:rPr>
                <w:szCs w:val="22"/>
              </w:rPr>
              <w:t>1</w:t>
            </w:r>
          </w:p>
        </w:tc>
      </w:tr>
      <w:tr w:rsidR="004A147C" w:rsidRPr="00F16FE9" w:rsidTr="00F16FE9">
        <w:trPr>
          <w:jc w:val="center"/>
        </w:trPr>
        <w:tc>
          <w:tcPr>
            <w:tcW w:w="2507" w:type="dxa"/>
          </w:tcPr>
          <w:p w:rsidR="004A147C" w:rsidRPr="00F16FE9" w:rsidRDefault="004A147C" w:rsidP="00CE5850">
            <w:pPr>
              <w:rPr>
                <w:szCs w:val="22"/>
              </w:rPr>
            </w:pPr>
            <w:r w:rsidRPr="00F16FE9">
              <w:rPr>
                <w:szCs w:val="22"/>
              </w:rPr>
              <w:t>GSM/CDMA/WCDMA</w:t>
            </w:r>
          </w:p>
        </w:tc>
        <w:tc>
          <w:tcPr>
            <w:tcW w:w="1761" w:type="dxa"/>
          </w:tcPr>
          <w:p w:rsidR="004A147C" w:rsidRPr="00F16FE9" w:rsidRDefault="004A147C" w:rsidP="00CE5850">
            <w:pPr>
              <w:jc w:val="right"/>
              <w:rPr>
                <w:szCs w:val="22"/>
              </w:rPr>
            </w:pPr>
            <w:r w:rsidRPr="00F16FE9">
              <w:rPr>
                <w:szCs w:val="22"/>
              </w:rPr>
              <w:t>0</w:t>
            </w:r>
          </w:p>
        </w:tc>
        <w:tc>
          <w:tcPr>
            <w:tcW w:w="1515" w:type="dxa"/>
            <w:tcBorders>
              <w:right w:val="single" w:sz="4" w:space="0" w:color="auto"/>
            </w:tcBorders>
          </w:tcPr>
          <w:p w:rsidR="004A147C" w:rsidRPr="00F16FE9" w:rsidRDefault="004A147C" w:rsidP="00CE5850">
            <w:pPr>
              <w:jc w:val="right"/>
              <w:rPr>
                <w:szCs w:val="22"/>
              </w:rPr>
            </w:pPr>
            <w:r w:rsidRPr="00F16FE9">
              <w:rPr>
                <w:szCs w:val="22"/>
              </w:rPr>
              <w:t>0</w:t>
            </w:r>
          </w:p>
        </w:tc>
        <w:tc>
          <w:tcPr>
            <w:tcW w:w="1515" w:type="dxa"/>
          </w:tcPr>
          <w:p w:rsidR="004A147C" w:rsidRPr="00F16FE9" w:rsidRDefault="004A147C" w:rsidP="00CE5850">
            <w:pPr>
              <w:jc w:val="right"/>
              <w:rPr>
                <w:szCs w:val="22"/>
              </w:rPr>
            </w:pPr>
            <w:r w:rsidRPr="00F16FE9">
              <w:rPr>
                <w:szCs w:val="22"/>
              </w:rPr>
              <w:t>0</w:t>
            </w:r>
          </w:p>
        </w:tc>
        <w:tc>
          <w:tcPr>
            <w:tcW w:w="1450" w:type="dxa"/>
          </w:tcPr>
          <w:p w:rsidR="004A147C" w:rsidRPr="00F16FE9" w:rsidRDefault="004A147C" w:rsidP="00CE5850">
            <w:pPr>
              <w:jc w:val="right"/>
              <w:rPr>
                <w:szCs w:val="22"/>
              </w:rPr>
            </w:pPr>
            <w:r w:rsidRPr="00F16FE9">
              <w:rPr>
                <w:szCs w:val="22"/>
              </w:rPr>
              <w:t>2</w:t>
            </w:r>
          </w:p>
        </w:tc>
      </w:tr>
      <w:tr w:rsidR="004A147C" w:rsidRPr="00F16FE9" w:rsidTr="00F16FE9">
        <w:trPr>
          <w:jc w:val="center"/>
        </w:trPr>
        <w:tc>
          <w:tcPr>
            <w:tcW w:w="2507" w:type="dxa"/>
          </w:tcPr>
          <w:p w:rsidR="004A147C" w:rsidRPr="00F16FE9" w:rsidRDefault="004A147C" w:rsidP="00CE5850">
            <w:pPr>
              <w:rPr>
                <w:szCs w:val="22"/>
              </w:rPr>
            </w:pPr>
            <w:r w:rsidRPr="00F16FE9">
              <w:rPr>
                <w:szCs w:val="22"/>
              </w:rPr>
              <w:t>iDEN</w:t>
            </w:r>
          </w:p>
        </w:tc>
        <w:tc>
          <w:tcPr>
            <w:tcW w:w="1761" w:type="dxa"/>
          </w:tcPr>
          <w:p w:rsidR="004A147C" w:rsidRPr="00F16FE9" w:rsidRDefault="004A147C" w:rsidP="00CE5850">
            <w:pPr>
              <w:jc w:val="right"/>
              <w:rPr>
                <w:szCs w:val="22"/>
              </w:rPr>
            </w:pPr>
            <w:r w:rsidRPr="00F16FE9">
              <w:rPr>
                <w:szCs w:val="22"/>
              </w:rPr>
              <w:t>1</w:t>
            </w:r>
          </w:p>
        </w:tc>
        <w:tc>
          <w:tcPr>
            <w:tcW w:w="1515" w:type="dxa"/>
            <w:tcBorders>
              <w:right w:val="single" w:sz="4" w:space="0" w:color="auto"/>
            </w:tcBorders>
          </w:tcPr>
          <w:p w:rsidR="004A147C" w:rsidRPr="00F16FE9" w:rsidRDefault="004A147C" w:rsidP="00CE5850">
            <w:pPr>
              <w:jc w:val="right"/>
              <w:rPr>
                <w:szCs w:val="22"/>
              </w:rPr>
            </w:pPr>
            <w:r w:rsidRPr="00F16FE9">
              <w:rPr>
                <w:szCs w:val="22"/>
              </w:rPr>
              <w:t>2</w:t>
            </w:r>
          </w:p>
        </w:tc>
        <w:tc>
          <w:tcPr>
            <w:tcW w:w="1515" w:type="dxa"/>
          </w:tcPr>
          <w:p w:rsidR="004A147C" w:rsidRPr="00F16FE9" w:rsidRDefault="004A147C" w:rsidP="00CE5850">
            <w:pPr>
              <w:jc w:val="right"/>
              <w:rPr>
                <w:szCs w:val="22"/>
              </w:rPr>
            </w:pPr>
            <w:r w:rsidRPr="00F16FE9">
              <w:rPr>
                <w:szCs w:val="22"/>
              </w:rPr>
              <w:t>3</w:t>
            </w:r>
          </w:p>
        </w:tc>
        <w:tc>
          <w:tcPr>
            <w:tcW w:w="1450" w:type="dxa"/>
          </w:tcPr>
          <w:p w:rsidR="004A147C" w:rsidRPr="00F16FE9" w:rsidRDefault="004A147C" w:rsidP="00CE5850">
            <w:pPr>
              <w:jc w:val="right"/>
              <w:rPr>
                <w:szCs w:val="22"/>
              </w:rPr>
            </w:pPr>
            <w:r w:rsidRPr="00F16FE9">
              <w:rPr>
                <w:szCs w:val="22"/>
              </w:rPr>
              <w:t>1</w:t>
            </w:r>
          </w:p>
        </w:tc>
      </w:tr>
      <w:tr w:rsidR="004A147C" w:rsidRPr="00F16FE9" w:rsidTr="00F16FE9">
        <w:trPr>
          <w:jc w:val="center"/>
        </w:trPr>
        <w:tc>
          <w:tcPr>
            <w:tcW w:w="2507" w:type="dxa"/>
            <w:tcBorders>
              <w:bottom w:val="single" w:sz="4" w:space="0" w:color="auto"/>
            </w:tcBorders>
          </w:tcPr>
          <w:p w:rsidR="004A147C" w:rsidRPr="00F16FE9" w:rsidRDefault="004A147C" w:rsidP="00CE5850">
            <w:pPr>
              <w:rPr>
                <w:szCs w:val="22"/>
              </w:rPr>
            </w:pPr>
            <w:r w:rsidRPr="00F16FE9">
              <w:rPr>
                <w:szCs w:val="22"/>
              </w:rPr>
              <w:t>Total</w:t>
            </w:r>
          </w:p>
        </w:tc>
        <w:tc>
          <w:tcPr>
            <w:tcW w:w="1761" w:type="dxa"/>
            <w:tcBorders>
              <w:bottom w:val="single" w:sz="4" w:space="0" w:color="auto"/>
            </w:tcBorders>
          </w:tcPr>
          <w:p w:rsidR="004A147C" w:rsidRPr="00F16FE9" w:rsidRDefault="004A147C" w:rsidP="00CE5850">
            <w:pPr>
              <w:jc w:val="right"/>
              <w:rPr>
                <w:szCs w:val="22"/>
              </w:rPr>
            </w:pPr>
            <w:r w:rsidRPr="00F16FE9">
              <w:rPr>
                <w:szCs w:val="22"/>
              </w:rPr>
              <w:t>55</w:t>
            </w:r>
          </w:p>
        </w:tc>
        <w:tc>
          <w:tcPr>
            <w:tcW w:w="1515" w:type="dxa"/>
            <w:tcBorders>
              <w:bottom w:val="single" w:sz="4" w:space="0" w:color="auto"/>
              <w:right w:val="single" w:sz="4" w:space="0" w:color="auto"/>
            </w:tcBorders>
          </w:tcPr>
          <w:p w:rsidR="004A147C" w:rsidRPr="00F16FE9" w:rsidRDefault="004A147C" w:rsidP="00CE5850">
            <w:pPr>
              <w:jc w:val="right"/>
              <w:rPr>
                <w:szCs w:val="22"/>
              </w:rPr>
            </w:pPr>
            <w:r w:rsidRPr="00F16FE9">
              <w:rPr>
                <w:szCs w:val="22"/>
              </w:rPr>
              <w:t>149</w:t>
            </w:r>
          </w:p>
        </w:tc>
        <w:tc>
          <w:tcPr>
            <w:tcW w:w="1515" w:type="dxa"/>
            <w:tcBorders>
              <w:bottom w:val="single" w:sz="4" w:space="0" w:color="auto"/>
            </w:tcBorders>
          </w:tcPr>
          <w:p w:rsidR="004A147C" w:rsidRPr="00F16FE9" w:rsidRDefault="004A147C" w:rsidP="00CE5850">
            <w:pPr>
              <w:jc w:val="right"/>
              <w:rPr>
                <w:szCs w:val="22"/>
              </w:rPr>
            </w:pPr>
            <w:r w:rsidRPr="00F16FE9">
              <w:rPr>
                <w:szCs w:val="22"/>
              </w:rPr>
              <w:t>165</w:t>
            </w:r>
          </w:p>
        </w:tc>
        <w:tc>
          <w:tcPr>
            <w:tcW w:w="1450" w:type="dxa"/>
            <w:tcBorders>
              <w:bottom w:val="single" w:sz="4" w:space="0" w:color="auto"/>
            </w:tcBorders>
          </w:tcPr>
          <w:p w:rsidR="004A147C" w:rsidRPr="00F16FE9" w:rsidRDefault="004A147C" w:rsidP="00CE5850">
            <w:pPr>
              <w:jc w:val="right"/>
              <w:rPr>
                <w:szCs w:val="22"/>
              </w:rPr>
            </w:pPr>
            <w:r w:rsidRPr="00F16FE9">
              <w:rPr>
                <w:szCs w:val="22"/>
              </w:rPr>
              <w:t>160</w:t>
            </w:r>
          </w:p>
        </w:tc>
      </w:tr>
    </w:tbl>
    <w:p w:rsidR="004A147C" w:rsidRPr="00F16FE9" w:rsidRDefault="004A147C" w:rsidP="00CE5850">
      <w:pPr>
        <w:spacing w:after="120"/>
        <w:rPr>
          <w:sz w:val="20"/>
          <w:lang w:eastAsia="zh-CN"/>
        </w:rPr>
      </w:pPr>
    </w:p>
    <w:p w:rsidR="004A147C" w:rsidRDefault="004A147C" w:rsidP="00CE5850">
      <w:pPr>
        <w:pStyle w:val="ParaNum"/>
        <w:numPr>
          <w:ilvl w:val="0"/>
          <w:numId w:val="28"/>
        </w:numPr>
        <w:rPr>
          <w:sz w:val="22"/>
          <w:szCs w:val="22"/>
        </w:rPr>
      </w:pPr>
      <w:r w:rsidRPr="004E0F47">
        <w:rPr>
          <w:i/>
          <w:sz w:val="22"/>
          <w:szCs w:val="22"/>
        </w:rPr>
        <w:t>Handset Availability by Service Providers.</w:t>
      </w:r>
      <w:r w:rsidRPr="004E0F47">
        <w:rPr>
          <w:sz w:val="22"/>
          <w:szCs w:val="22"/>
        </w:rPr>
        <w:t xml:space="preserve">  Service providers offer their customers a wide selection of handsets.  </w:t>
      </w:r>
      <w:r w:rsidR="009836C0" w:rsidRPr="004E0F47">
        <w:rPr>
          <w:sz w:val="22"/>
          <w:szCs w:val="22"/>
        </w:rPr>
        <w:fldChar w:fldCharType="begin"/>
      </w:r>
      <w:r w:rsidR="009836C0" w:rsidRPr="004E0F47">
        <w:rPr>
          <w:sz w:val="22"/>
          <w:szCs w:val="22"/>
        </w:rPr>
        <w:instrText xml:space="preserve"> REF _Ref285720325  \* MERGEFORMAT </w:instrText>
      </w:r>
      <w:r w:rsidR="009836C0" w:rsidRPr="004E0F47">
        <w:rPr>
          <w:sz w:val="22"/>
          <w:szCs w:val="22"/>
        </w:rPr>
        <w:fldChar w:fldCharType="separate"/>
      </w:r>
      <w:r w:rsidR="00CA3AC6" w:rsidRPr="00CA3AC6">
        <w:rPr>
          <w:sz w:val="22"/>
          <w:szCs w:val="22"/>
        </w:rPr>
        <w:t xml:space="preserve">Chart </w:t>
      </w:r>
      <w:r w:rsidR="00CA3AC6" w:rsidRPr="00CA3AC6">
        <w:rPr>
          <w:noProof/>
          <w:sz w:val="22"/>
          <w:szCs w:val="22"/>
        </w:rPr>
        <w:t>43</w:t>
      </w:r>
      <w:r w:rsidR="009836C0" w:rsidRPr="004E0F47">
        <w:rPr>
          <w:noProof/>
          <w:sz w:val="22"/>
          <w:szCs w:val="22"/>
        </w:rPr>
        <w:fldChar w:fldCharType="end"/>
      </w:r>
      <w:r w:rsidRPr="004E0F47">
        <w:rPr>
          <w:sz w:val="22"/>
          <w:szCs w:val="22"/>
        </w:rPr>
        <w:t xml:space="preserve"> shows the number of handset models and smartphone models offered by each of the top eight facilities-based service providers in December 2011.</w:t>
      </w:r>
      <w:r w:rsidRPr="004E0F47">
        <w:rPr>
          <w:sz w:val="22"/>
          <w:szCs w:val="22"/>
          <w:vertAlign w:val="superscript"/>
        </w:rPr>
        <w:footnoteReference w:id="1058"/>
      </w:r>
      <w:r w:rsidRPr="004E0F47">
        <w:rPr>
          <w:sz w:val="22"/>
          <w:szCs w:val="22"/>
        </w:rPr>
        <w:t xml:space="preserve">    </w:t>
      </w:r>
      <w:r w:rsidR="009836C0" w:rsidRPr="004E0F47">
        <w:rPr>
          <w:sz w:val="22"/>
          <w:szCs w:val="22"/>
        </w:rPr>
        <w:fldChar w:fldCharType="begin"/>
      </w:r>
      <w:r w:rsidR="009836C0" w:rsidRPr="004E0F47">
        <w:rPr>
          <w:sz w:val="22"/>
          <w:szCs w:val="22"/>
        </w:rPr>
        <w:instrText xml:space="preserve"> REF _Ref261426319  \* MERGEFORMAT </w:instrText>
      </w:r>
      <w:r w:rsidR="009836C0" w:rsidRPr="004E0F47">
        <w:rPr>
          <w:sz w:val="22"/>
          <w:szCs w:val="22"/>
        </w:rPr>
        <w:fldChar w:fldCharType="separate"/>
      </w:r>
      <w:r w:rsidR="00CA3AC6" w:rsidRPr="00CA3AC6">
        <w:rPr>
          <w:sz w:val="22"/>
          <w:szCs w:val="22"/>
        </w:rPr>
        <w:t xml:space="preserve">Table </w:t>
      </w:r>
      <w:r w:rsidR="00CA3AC6" w:rsidRPr="00CA3AC6">
        <w:rPr>
          <w:noProof/>
          <w:sz w:val="22"/>
          <w:szCs w:val="22"/>
        </w:rPr>
        <w:t>51</w:t>
      </w:r>
      <w:r w:rsidR="009836C0" w:rsidRPr="004E0F47">
        <w:rPr>
          <w:noProof/>
          <w:sz w:val="22"/>
          <w:szCs w:val="22"/>
        </w:rPr>
        <w:fldChar w:fldCharType="end"/>
      </w:r>
      <w:r w:rsidRPr="004E0F47">
        <w:rPr>
          <w:sz w:val="22"/>
          <w:szCs w:val="22"/>
        </w:rPr>
        <w:t xml:space="preserve"> shows the number of service providers (including resellers) offering a particular manufacturer’s smartphone models.  </w:t>
      </w:r>
    </w:p>
    <w:p w:rsidR="00BE1C87" w:rsidRDefault="00BE1C87" w:rsidP="00BE1C87">
      <w:pPr>
        <w:pStyle w:val="ParaNum"/>
        <w:tabs>
          <w:tab w:val="clear" w:pos="1440"/>
        </w:tabs>
        <w:rPr>
          <w:sz w:val="22"/>
          <w:szCs w:val="22"/>
        </w:rPr>
      </w:pPr>
    </w:p>
    <w:p w:rsidR="00BE1C87" w:rsidRDefault="00BE1C87" w:rsidP="00BE1C87">
      <w:pPr>
        <w:pStyle w:val="ParaNum"/>
        <w:tabs>
          <w:tab w:val="clear" w:pos="1440"/>
        </w:tabs>
        <w:rPr>
          <w:sz w:val="22"/>
          <w:szCs w:val="22"/>
        </w:rPr>
      </w:pPr>
    </w:p>
    <w:p w:rsidR="00BE1C87" w:rsidRPr="004E0F47" w:rsidRDefault="00BE1C87" w:rsidP="00BE1C87">
      <w:pPr>
        <w:pStyle w:val="ParaNum"/>
        <w:tabs>
          <w:tab w:val="clear" w:pos="1440"/>
        </w:tabs>
        <w:rPr>
          <w:sz w:val="22"/>
          <w:szCs w:val="22"/>
        </w:rPr>
      </w:pPr>
    </w:p>
    <w:p w:rsidR="004A147C" w:rsidRPr="00F16FE9" w:rsidRDefault="004A147C" w:rsidP="00CE5850">
      <w:pPr>
        <w:tabs>
          <w:tab w:val="left" w:pos="720"/>
        </w:tabs>
        <w:spacing w:after="120"/>
        <w:jc w:val="center"/>
        <w:rPr>
          <w:b/>
          <w:sz w:val="20"/>
        </w:rPr>
      </w:pPr>
      <w:bookmarkStart w:id="5043" w:name="_Ref285720325"/>
      <w:bookmarkStart w:id="5044" w:name="_Ref275515690"/>
      <w:bookmarkStart w:id="5045" w:name="_Ref261350019"/>
      <w:bookmarkStart w:id="5046" w:name="_Ref254688397"/>
      <w:r w:rsidRPr="001402D3">
        <w:rPr>
          <w:b/>
          <w:szCs w:val="22"/>
        </w:rPr>
        <w:t xml:space="preserve">Chart </w:t>
      </w:r>
      <w:r w:rsidR="0007014B" w:rsidRPr="001402D3">
        <w:rPr>
          <w:b/>
          <w:szCs w:val="22"/>
        </w:rPr>
        <w:fldChar w:fldCharType="begin"/>
      </w:r>
      <w:r w:rsidRPr="001402D3">
        <w:rPr>
          <w:b/>
          <w:szCs w:val="22"/>
        </w:rPr>
        <w:instrText xml:space="preserve"> SEQ Chart \* ARABIC </w:instrText>
      </w:r>
      <w:r w:rsidR="0007014B" w:rsidRPr="001402D3">
        <w:rPr>
          <w:b/>
          <w:szCs w:val="22"/>
        </w:rPr>
        <w:fldChar w:fldCharType="separate"/>
      </w:r>
      <w:r w:rsidR="00CA3AC6">
        <w:rPr>
          <w:b/>
          <w:noProof/>
          <w:szCs w:val="22"/>
        </w:rPr>
        <w:t>43</w:t>
      </w:r>
      <w:r w:rsidR="0007014B" w:rsidRPr="001402D3">
        <w:rPr>
          <w:b/>
          <w:szCs w:val="22"/>
        </w:rPr>
        <w:fldChar w:fldCharType="end"/>
      </w:r>
      <w:bookmarkEnd w:id="5043"/>
      <w:bookmarkEnd w:id="5044"/>
      <w:bookmarkEnd w:id="5045"/>
      <w:r w:rsidRPr="001402D3">
        <w:rPr>
          <w:b/>
          <w:szCs w:val="22"/>
        </w:rPr>
        <w:br/>
        <w:t>Total Handset and Smartphone Models Offered by the Top Eight</w:t>
      </w:r>
      <w:r w:rsidRPr="001402D3">
        <w:rPr>
          <w:b/>
          <w:szCs w:val="22"/>
        </w:rPr>
        <w:br/>
        <w:t>Facilities-Based Service Providers, December 2011</w:t>
      </w:r>
      <w:bookmarkEnd w:id="5046"/>
      <w:r w:rsidRPr="00F16FE9">
        <w:rPr>
          <w:vertAlign w:val="superscript"/>
        </w:rPr>
        <w:footnoteReference w:id="1059"/>
      </w:r>
    </w:p>
    <w:p w:rsidR="004A147C" w:rsidRPr="00F16FE9" w:rsidRDefault="00C81B24" w:rsidP="00BE1C87">
      <w:pPr>
        <w:tabs>
          <w:tab w:val="left" w:pos="720"/>
        </w:tabs>
        <w:spacing w:after="120"/>
        <w:jc w:val="center"/>
        <w:rPr>
          <w:b/>
          <w:sz w:val="20"/>
        </w:rPr>
      </w:pPr>
      <w:r>
        <w:rPr>
          <w:b/>
          <w:noProof/>
          <w:sz w:val="20"/>
        </w:rPr>
        <w:drawing>
          <wp:inline distT="0" distB="0" distL="0" distR="0" wp14:anchorId="2D121A08" wp14:editId="2A7D8318">
            <wp:extent cx="5772150" cy="3667125"/>
            <wp:effectExtent l="0" t="0" r="0" b="9525"/>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772150" cy="3667125"/>
                    </a:xfrm>
                    <a:prstGeom prst="rect">
                      <a:avLst/>
                    </a:prstGeom>
                    <a:noFill/>
                    <a:ln>
                      <a:noFill/>
                    </a:ln>
                  </pic:spPr>
                </pic:pic>
              </a:graphicData>
            </a:graphic>
          </wp:inline>
        </w:drawing>
      </w:r>
    </w:p>
    <w:p w:rsidR="004A147C" w:rsidRPr="00F16FE9" w:rsidRDefault="004A147C" w:rsidP="00CE5850"/>
    <w:p w:rsidR="004A147C" w:rsidRPr="00F16FE9" w:rsidRDefault="004A147C" w:rsidP="00CE5850">
      <w:pPr>
        <w:tabs>
          <w:tab w:val="left" w:pos="720"/>
        </w:tabs>
        <w:spacing w:after="120"/>
        <w:jc w:val="center"/>
        <w:rPr>
          <w:b/>
          <w:sz w:val="20"/>
        </w:rPr>
      </w:pPr>
      <w:bookmarkStart w:id="5047" w:name="_Ref261426319"/>
      <w:r w:rsidRPr="001402D3">
        <w:rPr>
          <w:b/>
          <w:szCs w:val="22"/>
        </w:rPr>
        <w:t xml:space="preserve">Table </w:t>
      </w:r>
      <w:r w:rsidR="0007014B" w:rsidRPr="001402D3">
        <w:rPr>
          <w:b/>
          <w:szCs w:val="22"/>
        </w:rPr>
        <w:fldChar w:fldCharType="begin"/>
      </w:r>
      <w:r w:rsidRPr="001402D3">
        <w:rPr>
          <w:b/>
          <w:szCs w:val="22"/>
        </w:rPr>
        <w:instrText xml:space="preserve"> SEQ Table \* ARABIC </w:instrText>
      </w:r>
      <w:r w:rsidR="0007014B" w:rsidRPr="001402D3">
        <w:rPr>
          <w:b/>
          <w:szCs w:val="22"/>
        </w:rPr>
        <w:fldChar w:fldCharType="separate"/>
      </w:r>
      <w:r w:rsidR="00CA3AC6">
        <w:rPr>
          <w:b/>
          <w:noProof/>
          <w:szCs w:val="22"/>
        </w:rPr>
        <w:t>51</w:t>
      </w:r>
      <w:r w:rsidR="0007014B" w:rsidRPr="001402D3">
        <w:rPr>
          <w:b/>
          <w:szCs w:val="22"/>
        </w:rPr>
        <w:fldChar w:fldCharType="end"/>
      </w:r>
      <w:bookmarkEnd w:id="5047"/>
      <w:r w:rsidRPr="001402D3">
        <w:rPr>
          <w:b/>
          <w:szCs w:val="22"/>
        </w:rPr>
        <w:br/>
        <w:t>Number of Service Providers (including Resellers) Offering a Manufacturer’s Smartphones in US, December 2011</w:t>
      </w:r>
      <w:r w:rsidRPr="00F16FE9">
        <w:rPr>
          <w:vertAlign w:val="superscript"/>
        </w:rPr>
        <w:footnoteReference w:id="1060"/>
      </w:r>
    </w:p>
    <w:tbl>
      <w:tblPr>
        <w:tblW w:w="5555" w:type="dxa"/>
        <w:jc w:val="center"/>
        <w:tblInd w:w="433" w:type="dxa"/>
        <w:tblLook w:val="00A0" w:firstRow="1" w:lastRow="0" w:firstColumn="1" w:lastColumn="0" w:noHBand="0" w:noVBand="0"/>
      </w:tblPr>
      <w:tblGrid>
        <w:gridCol w:w="2405"/>
        <w:gridCol w:w="3150"/>
      </w:tblGrid>
      <w:tr w:rsidR="004A147C" w:rsidRPr="00F16FE9" w:rsidTr="00F16FE9">
        <w:trPr>
          <w:trHeight w:val="780"/>
          <w:jc w:val="center"/>
        </w:trPr>
        <w:tc>
          <w:tcPr>
            <w:tcW w:w="2405" w:type="dxa"/>
            <w:tcBorders>
              <w:top w:val="single" w:sz="8" w:space="0" w:color="auto"/>
              <w:left w:val="single" w:sz="8" w:space="0" w:color="auto"/>
              <w:bottom w:val="single" w:sz="8" w:space="0" w:color="auto"/>
              <w:right w:val="single" w:sz="8" w:space="0" w:color="auto"/>
            </w:tcBorders>
            <w:vAlign w:val="bottom"/>
          </w:tcPr>
          <w:p w:rsidR="004A147C" w:rsidRPr="00F16FE9" w:rsidRDefault="004A147C" w:rsidP="00CE5850">
            <w:pPr>
              <w:jc w:val="center"/>
              <w:rPr>
                <w:b/>
                <w:bCs/>
                <w:kern w:val="0"/>
                <w:szCs w:val="22"/>
                <w:lang w:eastAsia="zh-CN"/>
              </w:rPr>
            </w:pPr>
            <w:r w:rsidRPr="00F16FE9">
              <w:rPr>
                <w:b/>
                <w:bCs/>
                <w:kern w:val="0"/>
                <w:szCs w:val="22"/>
                <w:lang w:eastAsia="zh-CN"/>
              </w:rPr>
              <w:t>Smartphone Manufacturer List</w:t>
            </w:r>
          </w:p>
        </w:tc>
        <w:tc>
          <w:tcPr>
            <w:tcW w:w="3150" w:type="dxa"/>
            <w:tcBorders>
              <w:top w:val="single" w:sz="8" w:space="0" w:color="auto"/>
              <w:left w:val="nil"/>
              <w:bottom w:val="single" w:sz="8" w:space="0" w:color="auto"/>
              <w:right w:val="single" w:sz="8" w:space="0" w:color="auto"/>
            </w:tcBorders>
            <w:vAlign w:val="bottom"/>
          </w:tcPr>
          <w:p w:rsidR="004A147C" w:rsidRPr="00F16FE9" w:rsidRDefault="004A147C" w:rsidP="00CE5850">
            <w:pPr>
              <w:jc w:val="center"/>
              <w:rPr>
                <w:b/>
                <w:bCs/>
                <w:kern w:val="0"/>
                <w:szCs w:val="22"/>
                <w:lang w:eastAsia="zh-CN"/>
              </w:rPr>
            </w:pPr>
            <w:r w:rsidRPr="00F16FE9">
              <w:rPr>
                <w:b/>
                <w:bCs/>
                <w:kern w:val="0"/>
                <w:szCs w:val="22"/>
                <w:lang w:eastAsia="zh-CN"/>
              </w:rPr>
              <w:t>Number of Service Providers (including Resellers)</w:t>
            </w:r>
          </w:p>
        </w:tc>
      </w:tr>
      <w:tr w:rsidR="004A147C" w:rsidRPr="00F16FE9" w:rsidTr="00F16FE9">
        <w:trPr>
          <w:trHeight w:val="255"/>
          <w:jc w:val="center"/>
        </w:trPr>
        <w:tc>
          <w:tcPr>
            <w:tcW w:w="2405" w:type="dxa"/>
            <w:tcBorders>
              <w:top w:val="nil"/>
              <w:left w:val="single" w:sz="8" w:space="0" w:color="auto"/>
              <w:bottom w:val="single" w:sz="4" w:space="0" w:color="auto"/>
              <w:right w:val="single" w:sz="4" w:space="0" w:color="auto"/>
            </w:tcBorders>
            <w:noWrap/>
            <w:vAlign w:val="bottom"/>
          </w:tcPr>
          <w:p w:rsidR="004A147C" w:rsidRPr="00F16FE9" w:rsidRDefault="004A147C" w:rsidP="00CE5850">
            <w:pPr>
              <w:rPr>
                <w:kern w:val="0"/>
                <w:szCs w:val="22"/>
                <w:lang w:eastAsia="zh-CN"/>
              </w:rPr>
            </w:pPr>
            <w:r w:rsidRPr="00F16FE9">
              <w:rPr>
                <w:kern w:val="0"/>
                <w:szCs w:val="22"/>
                <w:lang w:eastAsia="zh-CN"/>
              </w:rPr>
              <w:t>Research in Motion</w:t>
            </w:r>
          </w:p>
        </w:tc>
        <w:tc>
          <w:tcPr>
            <w:tcW w:w="3150" w:type="dxa"/>
            <w:tcBorders>
              <w:top w:val="nil"/>
              <w:left w:val="nil"/>
              <w:bottom w:val="single" w:sz="4" w:space="0" w:color="auto"/>
              <w:right w:val="single" w:sz="8" w:space="0" w:color="auto"/>
            </w:tcBorders>
            <w:noWrap/>
            <w:vAlign w:val="bottom"/>
          </w:tcPr>
          <w:p w:rsidR="004A147C" w:rsidRPr="00F16FE9" w:rsidRDefault="004A147C" w:rsidP="00CE5850">
            <w:pPr>
              <w:jc w:val="right"/>
              <w:rPr>
                <w:kern w:val="0"/>
                <w:szCs w:val="22"/>
                <w:lang w:eastAsia="zh-CN"/>
              </w:rPr>
            </w:pPr>
            <w:r w:rsidRPr="00F16FE9">
              <w:rPr>
                <w:kern w:val="0"/>
                <w:szCs w:val="22"/>
                <w:lang w:eastAsia="zh-CN"/>
              </w:rPr>
              <w:t>178</w:t>
            </w:r>
          </w:p>
        </w:tc>
      </w:tr>
      <w:tr w:rsidR="004A147C" w:rsidRPr="00F16FE9" w:rsidTr="00F16FE9">
        <w:trPr>
          <w:trHeight w:val="255"/>
          <w:jc w:val="center"/>
        </w:trPr>
        <w:tc>
          <w:tcPr>
            <w:tcW w:w="2405" w:type="dxa"/>
            <w:tcBorders>
              <w:top w:val="nil"/>
              <w:left w:val="single" w:sz="8" w:space="0" w:color="auto"/>
              <w:bottom w:val="single" w:sz="4" w:space="0" w:color="auto"/>
              <w:right w:val="single" w:sz="4" w:space="0" w:color="auto"/>
            </w:tcBorders>
            <w:noWrap/>
            <w:vAlign w:val="bottom"/>
          </w:tcPr>
          <w:p w:rsidR="004A147C" w:rsidRPr="00F16FE9" w:rsidRDefault="004A147C" w:rsidP="00CE5850">
            <w:pPr>
              <w:rPr>
                <w:kern w:val="0"/>
                <w:szCs w:val="22"/>
                <w:lang w:eastAsia="zh-CN"/>
              </w:rPr>
            </w:pPr>
            <w:r w:rsidRPr="00F16FE9">
              <w:rPr>
                <w:kern w:val="0"/>
                <w:szCs w:val="22"/>
                <w:lang w:eastAsia="zh-CN"/>
              </w:rPr>
              <w:t>Samsung</w:t>
            </w:r>
          </w:p>
        </w:tc>
        <w:tc>
          <w:tcPr>
            <w:tcW w:w="3150" w:type="dxa"/>
            <w:tcBorders>
              <w:top w:val="nil"/>
              <w:left w:val="nil"/>
              <w:bottom w:val="single" w:sz="4" w:space="0" w:color="auto"/>
              <w:right w:val="single" w:sz="8" w:space="0" w:color="auto"/>
            </w:tcBorders>
            <w:noWrap/>
            <w:vAlign w:val="bottom"/>
          </w:tcPr>
          <w:p w:rsidR="004A147C" w:rsidRPr="00F16FE9" w:rsidRDefault="004A147C" w:rsidP="00CE5850">
            <w:pPr>
              <w:jc w:val="right"/>
              <w:rPr>
                <w:kern w:val="0"/>
                <w:szCs w:val="22"/>
                <w:lang w:eastAsia="zh-CN"/>
              </w:rPr>
            </w:pPr>
            <w:r w:rsidRPr="00F16FE9">
              <w:rPr>
                <w:kern w:val="0"/>
                <w:szCs w:val="22"/>
                <w:lang w:eastAsia="zh-CN"/>
              </w:rPr>
              <w:t>170</w:t>
            </w:r>
          </w:p>
        </w:tc>
      </w:tr>
      <w:tr w:rsidR="004A147C" w:rsidRPr="00F16FE9" w:rsidTr="00F16FE9">
        <w:trPr>
          <w:trHeight w:val="255"/>
          <w:jc w:val="center"/>
        </w:trPr>
        <w:tc>
          <w:tcPr>
            <w:tcW w:w="2405" w:type="dxa"/>
            <w:tcBorders>
              <w:top w:val="nil"/>
              <w:left w:val="single" w:sz="8" w:space="0" w:color="auto"/>
              <w:bottom w:val="single" w:sz="4" w:space="0" w:color="auto"/>
              <w:right w:val="single" w:sz="4" w:space="0" w:color="auto"/>
            </w:tcBorders>
            <w:noWrap/>
            <w:vAlign w:val="bottom"/>
          </w:tcPr>
          <w:p w:rsidR="004A147C" w:rsidRPr="00F16FE9" w:rsidRDefault="004A147C" w:rsidP="00CE5850">
            <w:pPr>
              <w:rPr>
                <w:kern w:val="0"/>
                <w:szCs w:val="22"/>
                <w:lang w:eastAsia="zh-CN"/>
              </w:rPr>
            </w:pPr>
            <w:r w:rsidRPr="00F16FE9">
              <w:rPr>
                <w:kern w:val="0"/>
                <w:szCs w:val="22"/>
                <w:lang w:eastAsia="zh-CN"/>
              </w:rPr>
              <w:t>HTC</w:t>
            </w:r>
          </w:p>
        </w:tc>
        <w:tc>
          <w:tcPr>
            <w:tcW w:w="3150" w:type="dxa"/>
            <w:tcBorders>
              <w:top w:val="nil"/>
              <w:left w:val="nil"/>
              <w:bottom w:val="single" w:sz="4" w:space="0" w:color="auto"/>
              <w:right w:val="single" w:sz="8" w:space="0" w:color="auto"/>
            </w:tcBorders>
            <w:noWrap/>
            <w:vAlign w:val="bottom"/>
          </w:tcPr>
          <w:p w:rsidR="004A147C" w:rsidRPr="00F16FE9" w:rsidRDefault="004A147C" w:rsidP="00CE5850">
            <w:pPr>
              <w:jc w:val="right"/>
              <w:rPr>
                <w:kern w:val="0"/>
                <w:szCs w:val="22"/>
                <w:lang w:eastAsia="zh-CN"/>
              </w:rPr>
            </w:pPr>
            <w:r w:rsidRPr="00F16FE9">
              <w:rPr>
                <w:kern w:val="0"/>
                <w:szCs w:val="22"/>
                <w:lang w:eastAsia="zh-CN"/>
              </w:rPr>
              <w:t>162</w:t>
            </w:r>
          </w:p>
        </w:tc>
      </w:tr>
      <w:tr w:rsidR="004A147C" w:rsidRPr="00F16FE9" w:rsidTr="00F16FE9">
        <w:trPr>
          <w:trHeight w:val="255"/>
          <w:jc w:val="center"/>
        </w:trPr>
        <w:tc>
          <w:tcPr>
            <w:tcW w:w="2405" w:type="dxa"/>
            <w:tcBorders>
              <w:top w:val="nil"/>
              <w:left w:val="single" w:sz="8" w:space="0" w:color="auto"/>
              <w:bottom w:val="single" w:sz="4" w:space="0" w:color="auto"/>
              <w:right w:val="single" w:sz="4" w:space="0" w:color="auto"/>
            </w:tcBorders>
            <w:noWrap/>
            <w:vAlign w:val="bottom"/>
          </w:tcPr>
          <w:p w:rsidR="004A147C" w:rsidRPr="00F16FE9" w:rsidRDefault="004A147C" w:rsidP="00CE5850">
            <w:pPr>
              <w:rPr>
                <w:kern w:val="0"/>
                <w:szCs w:val="22"/>
                <w:lang w:eastAsia="zh-CN"/>
              </w:rPr>
            </w:pPr>
            <w:r w:rsidRPr="00F16FE9">
              <w:rPr>
                <w:kern w:val="0"/>
                <w:szCs w:val="22"/>
                <w:lang w:eastAsia="zh-CN"/>
              </w:rPr>
              <w:t>Motorola</w:t>
            </w:r>
          </w:p>
        </w:tc>
        <w:tc>
          <w:tcPr>
            <w:tcW w:w="3150" w:type="dxa"/>
            <w:tcBorders>
              <w:top w:val="nil"/>
              <w:left w:val="nil"/>
              <w:bottom w:val="single" w:sz="4" w:space="0" w:color="auto"/>
              <w:right w:val="single" w:sz="8" w:space="0" w:color="auto"/>
            </w:tcBorders>
            <w:noWrap/>
            <w:vAlign w:val="bottom"/>
          </w:tcPr>
          <w:p w:rsidR="004A147C" w:rsidRPr="00F16FE9" w:rsidRDefault="004A147C" w:rsidP="00CE5850">
            <w:pPr>
              <w:jc w:val="right"/>
              <w:rPr>
                <w:kern w:val="0"/>
                <w:szCs w:val="22"/>
                <w:lang w:eastAsia="zh-CN"/>
              </w:rPr>
            </w:pPr>
            <w:r w:rsidRPr="00F16FE9">
              <w:rPr>
                <w:kern w:val="0"/>
                <w:szCs w:val="22"/>
                <w:lang w:eastAsia="zh-CN"/>
              </w:rPr>
              <w:t>157</w:t>
            </w:r>
          </w:p>
        </w:tc>
      </w:tr>
      <w:tr w:rsidR="004A147C" w:rsidRPr="00F16FE9" w:rsidTr="00F16FE9">
        <w:trPr>
          <w:trHeight w:val="255"/>
          <w:jc w:val="center"/>
        </w:trPr>
        <w:tc>
          <w:tcPr>
            <w:tcW w:w="2405" w:type="dxa"/>
            <w:tcBorders>
              <w:top w:val="nil"/>
              <w:left w:val="single" w:sz="8" w:space="0" w:color="auto"/>
              <w:bottom w:val="single" w:sz="4" w:space="0" w:color="auto"/>
              <w:right w:val="single" w:sz="4" w:space="0" w:color="auto"/>
            </w:tcBorders>
            <w:noWrap/>
            <w:vAlign w:val="bottom"/>
          </w:tcPr>
          <w:p w:rsidR="004A147C" w:rsidRPr="00F16FE9" w:rsidRDefault="004A147C" w:rsidP="00CE5850">
            <w:pPr>
              <w:rPr>
                <w:kern w:val="0"/>
                <w:szCs w:val="22"/>
                <w:lang w:eastAsia="zh-CN"/>
              </w:rPr>
            </w:pPr>
            <w:r w:rsidRPr="00F16FE9">
              <w:rPr>
                <w:kern w:val="0"/>
                <w:szCs w:val="22"/>
                <w:lang w:eastAsia="zh-CN"/>
              </w:rPr>
              <w:t>LG</w:t>
            </w:r>
          </w:p>
        </w:tc>
        <w:tc>
          <w:tcPr>
            <w:tcW w:w="3150" w:type="dxa"/>
            <w:tcBorders>
              <w:top w:val="nil"/>
              <w:left w:val="nil"/>
              <w:bottom w:val="single" w:sz="4" w:space="0" w:color="auto"/>
              <w:right w:val="single" w:sz="8" w:space="0" w:color="auto"/>
            </w:tcBorders>
            <w:noWrap/>
            <w:vAlign w:val="bottom"/>
          </w:tcPr>
          <w:p w:rsidR="004A147C" w:rsidRPr="00F16FE9" w:rsidRDefault="004A147C" w:rsidP="00CE5850">
            <w:pPr>
              <w:jc w:val="right"/>
              <w:rPr>
                <w:kern w:val="0"/>
                <w:szCs w:val="22"/>
                <w:lang w:eastAsia="zh-CN"/>
              </w:rPr>
            </w:pPr>
            <w:r w:rsidRPr="00F16FE9">
              <w:rPr>
                <w:kern w:val="0"/>
                <w:szCs w:val="22"/>
                <w:lang w:eastAsia="zh-CN"/>
              </w:rPr>
              <w:t>102</w:t>
            </w:r>
          </w:p>
        </w:tc>
      </w:tr>
      <w:tr w:rsidR="004A147C" w:rsidRPr="00F16FE9" w:rsidTr="00F16FE9">
        <w:trPr>
          <w:trHeight w:val="255"/>
          <w:jc w:val="center"/>
        </w:trPr>
        <w:tc>
          <w:tcPr>
            <w:tcW w:w="2405" w:type="dxa"/>
            <w:tcBorders>
              <w:top w:val="nil"/>
              <w:left w:val="single" w:sz="8" w:space="0" w:color="auto"/>
              <w:bottom w:val="single" w:sz="4" w:space="0" w:color="auto"/>
              <w:right w:val="single" w:sz="4" w:space="0" w:color="auto"/>
            </w:tcBorders>
            <w:noWrap/>
            <w:vAlign w:val="bottom"/>
          </w:tcPr>
          <w:p w:rsidR="004A147C" w:rsidRPr="00F16FE9" w:rsidRDefault="004A147C" w:rsidP="00CE5850">
            <w:pPr>
              <w:rPr>
                <w:kern w:val="0"/>
                <w:szCs w:val="22"/>
                <w:lang w:eastAsia="zh-CN"/>
              </w:rPr>
            </w:pPr>
            <w:r w:rsidRPr="00F16FE9">
              <w:rPr>
                <w:kern w:val="0"/>
                <w:szCs w:val="22"/>
                <w:lang w:eastAsia="zh-CN"/>
              </w:rPr>
              <w:t>Kyocera</w:t>
            </w:r>
          </w:p>
        </w:tc>
        <w:tc>
          <w:tcPr>
            <w:tcW w:w="3150" w:type="dxa"/>
            <w:tcBorders>
              <w:top w:val="nil"/>
              <w:left w:val="nil"/>
              <w:bottom w:val="single" w:sz="4" w:space="0" w:color="auto"/>
              <w:right w:val="single" w:sz="8" w:space="0" w:color="auto"/>
            </w:tcBorders>
            <w:noWrap/>
            <w:vAlign w:val="bottom"/>
          </w:tcPr>
          <w:p w:rsidR="004A147C" w:rsidRPr="00F16FE9" w:rsidRDefault="004A147C" w:rsidP="00CE5850">
            <w:pPr>
              <w:jc w:val="right"/>
              <w:rPr>
                <w:kern w:val="0"/>
                <w:szCs w:val="22"/>
                <w:lang w:eastAsia="zh-CN"/>
              </w:rPr>
            </w:pPr>
            <w:r w:rsidRPr="00F16FE9">
              <w:rPr>
                <w:kern w:val="0"/>
                <w:szCs w:val="22"/>
                <w:lang w:eastAsia="zh-CN"/>
              </w:rPr>
              <w:t>50</w:t>
            </w:r>
          </w:p>
        </w:tc>
      </w:tr>
      <w:tr w:rsidR="004A147C" w:rsidRPr="00F16FE9" w:rsidTr="00F16FE9">
        <w:trPr>
          <w:trHeight w:val="255"/>
          <w:jc w:val="center"/>
        </w:trPr>
        <w:tc>
          <w:tcPr>
            <w:tcW w:w="2405" w:type="dxa"/>
            <w:tcBorders>
              <w:top w:val="nil"/>
              <w:left w:val="single" w:sz="8" w:space="0" w:color="auto"/>
              <w:bottom w:val="single" w:sz="4" w:space="0" w:color="auto"/>
              <w:right w:val="single" w:sz="4" w:space="0" w:color="auto"/>
            </w:tcBorders>
            <w:noWrap/>
            <w:vAlign w:val="bottom"/>
          </w:tcPr>
          <w:p w:rsidR="004A147C" w:rsidRPr="00F16FE9" w:rsidRDefault="004A147C" w:rsidP="00CE5850">
            <w:pPr>
              <w:rPr>
                <w:kern w:val="0"/>
                <w:szCs w:val="22"/>
                <w:lang w:eastAsia="zh-CN"/>
              </w:rPr>
            </w:pPr>
            <w:r w:rsidRPr="00F16FE9">
              <w:rPr>
                <w:kern w:val="0"/>
                <w:szCs w:val="22"/>
                <w:lang w:eastAsia="zh-CN"/>
              </w:rPr>
              <w:t>Sony Ericsson</w:t>
            </w:r>
          </w:p>
        </w:tc>
        <w:tc>
          <w:tcPr>
            <w:tcW w:w="3150" w:type="dxa"/>
            <w:tcBorders>
              <w:top w:val="nil"/>
              <w:left w:val="nil"/>
              <w:bottom w:val="single" w:sz="4" w:space="0" w:color="auto"/>
              <w:right w:val="single" w:sz="8" w:space="0" w:color="auto"/>
            </w:tcBorders>
            <w:noWrap/>
            <w:vAlign w:val="bottom"/>
          </w:tcPr>
          <w:p w:rsidR="004A147C" w:rsidRPr="00F16FE9" w:rsidRDefault="004A147C" w:rsidP="00CE5850">
            <w:pPr>
              <w:jc w:val="right"/>
              <w:rPr>
                <w:kern w:val="0"/>
                <w:szCs w:val="22"/>
                <w:lang w:eastAsia="zh-CN"/>
              </w:rPr>
            </w:pPr>
            <w:r w:rsidRPr="00F16FE9">
              <w:rPr>
                <w:kern w:val="0"/>
                <w:szCs w:val="22"/>
                <w:lang w:eastAsia="zh-CN"/>
              </w:rPr>
              <w:t>38</w:t>
            </w:r>
          </w:p>
        </w:tc>
      </w:tr>
      <w:tr w:rsidR="004A147C" w:rsidRPr="00F16FE9" w:rsidTr="00F16FE9">
        <w:trPr>
          <w:trHeight w:val="255"/>
          <w:jc w:val="center"/>
        </w:trPr>
        <w:tc>
          <w:tcPr>
            <w:tcW w:w="2405" w:type="dxa"/>
            <w:tcBorders>
              <w:top w:val="nil"/>
              <w:left w:val="single" w:sz="8" w:space="0" w:color="auto"/>
              <w:bottom w:val="single" w:sz="4" w:space="0" w:color="auto"/>
              <w:right w:val="single" w:sz="4" w:space="0" w:color="auto"/>
            </w:tcBorders>
            <w:noWrap/>
            <w:vAlign w:val="bottom"/>
          </w:tcPr>
          <w:p w:rsidR="004A147C" w:rsidRPr="00F16FE9" w:rsidRDefault="004A147C" w:rsidP="00CE5850">
            <w:pPr>
              <w:rPr>
                <w:kern w:val="0"/>
                <w:szCs w:val="22"/>
                <w:lang w:eastAsia="zh-CN"/>
              </w:rPr>
            </w:pPr>
            <w:r w:rsidRPr="00F16FE9">
              <w:rPr>
                <w:kern w:val="0"/>
                <w:szCs w:val="22"/>
                <w:lang w:eastAsia="zh-CN"/>
              </w:rPr>
              <w:t>Apple</w:t>
            </w:r>
          </w:p>
        </w:tc>
        <w:tc>
          <w:tcPr>
            <w:tcW w:w="3150" w:type="dxa"/>
            <w:tcBorders>
              <w:top w:val="nil"/>
              <w:left w:val="nil"/>
              <w:bottom w:val="single" w:sz="4" w:space="0" w:color="auto"/>
              <w:right w:val="single" w:sz="8" w:space="0" w:color="auto"/>
            </w:tcBorders>
            <w:noWrap/>
            <w:vAlign w:val="bottom"/>
          </w:tcPr>
          <w:p w:rsidR="004A147C" w:rsidRPr="00F16FE9" w:rsidRDefault="004A147C" w:rsidP="00CE5850">
            <w:pPr>
              <w:jc w:val="right"/>
              <w:rPr>
                <w:kern w:val="0"/>
                <w:szCs w:val="22"/>
                <w:lang w:eastAsia="zh-CN"/>
              </w:rPr>
            </w:pPr>
            <w:r w:rsidRPr="00F16FE9">
              <w:rPr>
                <w:kern w:val="0"/>
                <w:szCs w:val="22"/>
                <w:lang w:eastAsia="zh-CN"/>
              </w:rPr>
              <w:t>36</w:t>
            </w:r>
          </w:p>
        </w:tc>
      </w:tr>
      <w:tr w:rsidR="004A147C" w:rsidRPr="00F16FE9" w:rsidTr="00F16FE9">
        <w:trPr>
          <w:trHeight w:val="255"/>
          <w:jc w:val="center"/>
        </w:trPr>
        <w:tc>
          <w:tcPr>
            <w:tcW w:w="2405" w:type="dxa"/>
            <w:tcBorders>
              <w:top w:val="nil"/>
              <w:left w:val="single" w:sz="8" w:space="0" w:color="auto"/>
              <w:bottom w:val="single" w:sz="4" w:space="0" w:color="auto"/>
              <w:right w:val="single" w:sz="4" w:space="0" w:color="auto"/>
            </w:tcBorders>
            <w:noWrap/>
            <w:vAlign w:val="bottom"/>
          </w:tcPr>
          <w:p w:rsidR="004A147C" w:rsidRPr="00F16FE9" w:rsidRDefault="004A147C" w:rsidP="00CE5850">
            <w:pPr>
              <w:rPr>
                <w:kern w:val="0"/>
                <w:szCs w:val="22"/>
                <w:lang w:eastAsia="zh-CN"/>
              </w:rPr>
            </w:pPr>
            <w:r w:rsidRPr="00F16FE9">
              <w:rPr>
                <w:kern w:val="0"/>
                <w:szCs w:val="22"/>
                <w:lang w:eastAsia="zh-CN"/>
              </w:rPr>
              <w:t>Hewlett-Packard</w:t>
            </w:r>
          </w:p>
        </w:tc>
        <w:tc>
          <w:tcPr>
            <w:tcW w:w="3150" w:type="dxa"/>
            <w:tcBorders>
              <w:top w:val="nil"/>
              <w:left w:val="nil"/>
              <w:bottom w:val="single" w:sz="4" w:space="0" w:color="auto"/>
              <w:right w:val="single" w:sz="8" w:space="0" w:color="auto"/>
            </w:tcBorders>
            <w:noWrap/>
            <w:vAlign w:val="bottom"/>
          </w:tcPr>
          <w:p w:rsidR="004A147C" w:rsidRPr="00F16FE9" w:rsidRDefault="004A147C" w:rsidP="00CE5850">
            <w:pPr>
              <w:jc w:val="right"/>
              <w:rPr>
                <w:kern w:val="0"/>
                <w:szCs w:val="22"/>
                <w:lang w:eastAsia="zh-CN"/>
              </w:rPr>
            </w:pPr>
            <w:r w:rsidRPr="00F16FE9">
              <w:rPr>
                <w:kern w:val="0"/>
                <w:szCs w:val="22"/>
                <w:lang w:eastAsia="zh-CN"/>
              </w:rPr>
              <w:t>35</w:t>
            </w:r>
          </w:p>
        </w:tc>
      </w:tr>
      <w:tr w:rsidR="004A147C" w:rsidRPr="00F16FE9" w:rsidTr="00F16FE9">
        <w:trPr>
          <w:trHeight w:val="255"/>
          <w:jc w:val="center"/>
        </w:trPr>
        <w:tc>
          <w:tcPr>
            <w:tcW w:w="2405" w:type="dxa"/>
            <w:tcBorders>
              <w:top w:val="nil"/>
              <w:left w:val="single" w:sz="8" w:space="0" w:color="auto"/>
              <w:bottom w:val="single" w:sz="4" w:space="0" w:color="auto"/>
              <w:right w:val="single" w:sz="4" w:space="0" w:color="auto"/>
            </w:tcBorders>
            <w:noWrap/>
            <w:vAlign w:val="bottom"/>
          </w:tcPr>
          <w:p w:rsidR="004A147C" w:rsidRPr="00F16FE9" w:rsidRDefault="004A147C" w:rsidP="00CE5850">
            <w:pPr>
              <w:rPr>
                <w:kern w:val="0"/>
                <w:szCs w:val="22"/>
                <w:lang w:eastAsia="zh-CN"/>
              </w:rPr>
            </w:pPr>
            <w:r w:rsidRPr="00F16FE9">
              <w:rPr>
                <w:kern w:val="0"/>
                <w:szCs w:val="22"/>
                <w:lang w:eastAsia="zh-CN"/>
              </w:rPr>
              <w:t>Huawei</w:t>
            </w:r>
          </w:p>
        </w:tc>
        <w:tc>
          <w:tcPr>
            <w:tcW w:w="3150" w:type="dxa"/>
            <w:tcBorders>
              <w:top w:val="nil"/>
              <w:left w:val="nil"/>
              <w:bottom w:val="single" w:sz="4" w:space="0" w:color="auto"/>
              <w:right w:val="single" w:sz="8" w:space="0" w:color="auto"/>
            </w:tcBorders>
            <w:noWrap/>
            <w:vAlign w:val="bottom"/>
          </w:tcPr>
          <w:p w:rsidR="004A147C" w:rsidRPr="00F16FE9" w:rsidRDefault="004A147C" w:rsidP="00CE5850">
            <w:pPr>
              <w:jc w:val="right"/>
              <w:rPr>
                <w:kern w:val="0"/>
                <w:szCs w:val="22"/>
                <w:lang w:eastAsia="zh-CN"/>
              </w:rPr>
            </w:pPr>
            <w:r w:rsidRPr="00F16FE9">
              <w:rPr>
                <w:kern w:val="0"/>
                <w:szCs w:val="22"/>
                <w:lang w:eastAsia="zh-CN"/>
              </w:rPr>
              <w:t>22</w:t>
            </w:r>
          </w:p>
        </w:tc>
      </w:tr>
      <w:tr w:rsidR="004A147C" w:rsidRPr="00F16FE9" w:rsidTr="00F16FE9">
        <w:trPr>
          <w:trHeight w:val="255"/>
          <w:jc w:val="center"/>
        </w:trPr>
        <w:tc>
          <w:tcPr>
            <w:tcW w:w="2405" w:type="dxa"/>
            <w:tcBorders>
              <w:top w:val="nil"/>
              <w:left w:val="single" w:sz="8" w:space="0" w:color="auto"/>
              <w:bottom w:val="single" w:sz="4" w:space="0" w:color="auto"/>
              <w:right w:val="single" w:sz="4" w:space="0" w:color="auto"/>
            </w:tcBorders>
            <w:noWrap/>
            <w:vAlign w:val="bottom"/>
          </w:tcPr>
          <w:p w:rsidR="004A147C" w:rsidRPr="00F16FE9" w:rsidRDefault="004A147C" w:rsidP="00CE5850">
            <w:pPr>
              <w:rPr>
                <w:kern w:val="0"/>
                <w:szCs w:val="22"/>
                <w:lang w:eastAsia="zh-CN"/>
              </w:rPr>
            </w:pPr>
            <w:r w:rsidRPr="00F16FE9">
              <w:rPr>
                <w:kern w:val="0"/>
                <w:szCs w:val="22"/>
                <w:lang w:eastAsia="zh-CN"/>
              </w:rPr>
              <w:t>Pantech</w:t>
            </w:r>
          </w:p>
        </w:tc>
        <w:tc>
          <w:tcPr>
            <w:tcW w:w="3150" w:type="dxa"/>
            <w:tcBorders>
              <w:top w:val="nil"/>
              <w:left w:val="nil"/>
              <w:bottom w:val="single" w:sz="4" w:space="0" w:color="auto"/>
              <w:right w:val="single" w:sz="8" w:space="0" w:color="auto"/>
            </w:tcBorders>
            <w:noWrap/>
            <w:vAlign w:val="bottom"/>
          </w:tcPr>
          <w:p w:rsidR="004A147C" w:rsidRPr="00F16FE9" w:rsidRDefault="004A147C" w:rsidP="00CE5850">
            <w:pPr>
              <w:jc w:val="right"/>
              <w:rPr>
                <w:kern w:val="0"/>
                <w:szCs w:val="22"/>
                <w:lang w:eastAsia="zh-CN"/>
              </w:rPr>
            </w:pPr>
            <w:r w:rsidRPr="00F16FE9">
              <w:rPr>
                <w:kern w:val="0"/>
                <w:szCs w:val="22"/>
                <w:lang w:eastAsia="zh-CN"/>
              </w:rPr>
              <w:t>19</w:t>
            </w:r>
          </w:p>
        </w:tc>
      </w:tr>
      <w:tr w:rsidR="004A147C" w:rsidRPr="00F16FE9" w:rsidTr="00F16FE9">
        <w:trPr>
          <w:trHeight w:val="255"/>
          <w:jc w:val="center"/>
        </w:trPr>
        <w:tc>
          <w:tcPr>
            <w:tcW w:w="2405" w:type="dxa"/>
            <w:tcBorders>
              <w:top w:val="nil"/>
              <w:left w:val="single" w:sz="8" w:space="0" w:color="auto"/>
              <w:bottom w:val="single" w:sz="4" w:space="0" w:color="auto"/>
              <w:right w:val="single" w:sz="4" w:space="0" w:color="auto"/>
            </w:tcBorders>
            <w:noWrap/>
            <w:vAlign w:val="bottom"/>
          </w:tcPr>
          <w:p w:rsidR="004A147C" w:rsidRPr="00F16FE9" w:rsidRDefault="004A147C" w:rsidP="00CE5850">
            <w:pPr>
              <w:rPr>
                <w:kern w:val="0"/>
                <w:szCs w:val="22"/>
                <w:lang w:eastAsia="zh-CN"/>
              </w:rPr>
            </w:pPr>
            <w:r w:rsidRPr="00F16FE9">
              <w:rPr>
                <w:kern w:val="0"/>
                <w:szCs w:val="22"/>
                <w:lang w:eastAsia="zh-CN"/>
              </w:rPr>
              <w:t>Nokia</w:t>
            </w:r>
          </w:p>
        </w:tc>
        <w:tc>
          <w:tcPr>
            <w:tcW w:w="3150" w:type="dxa"/>
            <w:tcBorders>
              <w:top w:val="nil"/>
              <w:left w:val="nil"/>
              <w:bottom w:val="single" w:sz="4" w:space="0" w:color="auto"/>
              <w:right w:val="single" w:sz="8" w:space="0" w:color="auto"/>
            </w:tcBorders>
            <w:noWrap/>
            <w:vAlign w:val="bottom"/>
          </w:tcPr>
          <w:p w:rsidR="004A147C" w:rsidRPr="00F16FE9" w:rsidRDefault="004A147C" w:rsidP="00CE5850">
            <w:pPr>
              <w:jc w:val="right"/>
              <w:rPr>
                <w:kern w:val="0"/>
                <w:szCs w:val="22"/>
                <w:lang w:eastAsia="zh-CN"/>
              </w:rPr>
            </w:pPr>
            <w:r w:rsidRPr="00F16FE9">
              <w:rPr>
                <w:kern w:val="0"/>
                <w:szCs w:val="22"/>
                <w:lang w:eastAsia="zh-CN"/>
              </w:rPr>
              <w:t>17</w:t>
            </w:r>
          </w:p>
        </w:tc>
      </w:tr>
      <w:tr w:rsidR="004A147C" w:rsidRPr="00F16FE9" w:rsidTr="00F16FE9">
        <w:trPr>
          <w:trHeight w:val="255"/>
          <w:jc w:val="center"/>
        </w:trPr>
        <w:tc>
          <w:tcPr>
            <w:tcW w:w="2405" w:type="dxa"/>
            <w:tcBorders>
              <w:top w:val="single" w:sz="4" w:space="0" w:color="auto"/>
              <w:left w:val="single" w:sz="4" w:space="0" w:color="auto"/>
              <w:bottom w:val="single" w:sz="4" w:space="0" w:color="auto"/>
              <w:right w:val="single" w:sz="4" w:space="0" w:color="auto"/>
            </w:tcBorders>
            <w:noWrap/>
            <w:vAlign w:val="bottom"/>
          </w:tcPr>
          <w:p w:rsidR="004A147C" w:rsidRPr="00F16FE9" w:rsidRDefault="004A147C" w:rsidP="00CE5850">
            <w:pPr>
              <w:rPr>
                <w:kern w:val="0"/>
                <w:szCs w:val="22"/>
                <w:lang w:eastAsia="zh-CN"/>
              </w:rPr>
            </w:pPr>
            <w:r w:rsidRPr="00F16FE9">
              <w:rPr>
                <w:kern w:val="0"/>
                <w:szCs w:val="22"/>
                <w:lang w:eastAsia="zh-CN"/>
              </w:rPr>
              <w:t>NEC Casio</w:t>
            </w:r>
          </w:p>
        </w:tc>
        <w:tc>
          <w:tcPr>
            <w:tcW w:w="3150" w:type="dxa"/>
            <w:tcBorders>
              <w:top w:val="nil"/>
              <w:left w:val="nil"/>
              <w:bottom w:val="single" w:sz="4" w:space="0" w:color="auto"/>
              <w:right w:val="single" w:sz="8" w:space="0" w:color="auto"/>
            </w:tcBorders>
            <w:noWrap/>
            <w:vAlign w:val="bottom"/>
          </w:tcPr>
          <w:p w:rsidR="004A147C" w:rsidRPr="00F16FE9" w:rsidRDefault="004A147C" w:rsidP="00CE5850">
            <w:pPr>
              <w:jc w:val="right"/>
              <w:rPr>
                <w:kern w:val="0"/>
                <w:szCs w:val="22"/>
                <w:lang w:eastAsia="zh-CN"/>
              </w:rPr>
            </w:pPr>
            <w:r w:rsidRPr="00F16FE9">
              <w:rPr>
                <w:kern w:val="0"/>
                <w:szCs w:val="22"/>
                <w:lang w:eastAsia="zh-CN"/>
              </w:rPr>
              <w:t>11</w:t>
            </w:r>
          </w:p>
        </w:tc>
      </w:tr>
      <w:tr w:rsidR="004A147C" w:rsidRPr="00F16FE9" w:rsidTr="00F16FE9">
        <w:trPr>
          <w:trHeight w:val="255"/>
          <w:jc w:val="center"/>
        </w:trPr>
        <w:tc>
          <w:tcPr>
            <w:tcW w:w="2405" w:type="dxa"/>
            <w:tcBorders>
              <w:top w:val="single" w:sz="4" w:space="0" w:color="auto"/>
              <w:left w:val="single" w:sz="4" w:space="0" w:color="auto"/>
              <w:bottom w:val="single" w:sz="4" w:space="0" w:color="auto"/>
              <w:right w:val="single" w:sz="4" w:space="0" w:color="auto"/>
            </w:tcBorders>
            <w:noWrap/>
            <w:vAlign w:val="bottom"/>
          </w:tcPr>
          <w:p w:rsidR="004A147C" w:rsidRPr="00F16FE9" w:rsidRDefault="004A147C" w:rsidP="00CE5850">
            <w:pPr>
              <w:rPr>
                <w:kern w:val="0"/>
                <w:szCs w:val="22"/>
                <w:lang w:eastAsia="zh-CN"/>
              </w:rPr>
            </w:pPr>
            <w:r w:rsidRPr="00F16FE9">
              <w:rPr>
                <w:kern w:val="0"/>
                <w:szCs w:val="22"/>
                <w:lang w:eastAsia="zh-CN"/>
              </w:rPr>
              <w:t>Acer</w:t>
            </w:r>
          </w:p>
        </w:tc>
        <w:tc>
          <w:tcPr>
            <w:tcW w:w="3150" w:type="dxa"/>
            <w:tcBorders>
              <w:top w:val="nil"/>
              <w:left w:val="nil"/>
              <w:bottom w:val="single" w:sz="4" w:space="0" w:color="auto"/>
              <w:right w:val="single" w:sz="8" w:space="0" w:color="auto"/>
            </w:tcBorders>
            <w:noWrap/>
            <w:vAlign w:val="bottom"/>
          </w:tcPr>
          <w:p w:rsidR="004A147C" w:rsidRPr="00F16FE9" w:rsidRDefault="004A147C" w:rsidP="00CE5850">
            <w:pPr>
              <w:jc w:val="right"/>
              <w:rPr>
                <w:kern w:val="0"/>
                <w:szCs w:val="22"/>
                <w:lang w:eastAsia="zh-CN"/>
              </w:rPr>
            </w:pPr>
            <w:r w:rsidRPr="00F16FE9">
              <w:rPr>
                <w:kern w:val="0"/>
                <w:szCs w:val="22"/>
                <w:lang w:eastAsia="zh-CN"/>
              </w:rPr>
              <w:t>5</w:t>
            </w:r>
          </w:p>
        </w:tc>
      </w:tr>
      <w:tr w:rsidR="004A147C" w:rsidRPr="00F16FE9" w:rsidTr="00F16FE9">
        <w:trPr>
          <w:trHeight w:val="270"/>
          <w:jc w:val="center"/>
        </w:trPr>
        <w:tc>
          <w:tcPr>
            <w:tcW w:w="2405" w:type="dxa"/>
            <w:tcBorders>
              <w:top w:val="single" w:sz="4" w:space="0" w:color="auto"/>
              <w:left w:val="single" w:sz="4" w:space="0" w:color="auto"/>
              <w:bottom w:val="single" w:sz="4" w:space="0" w:color="auto"/>
              <w:right w:val="single" w:sz="4" w:space="0" w:color="auto"/>
            </w:tcBorders>
            <w:noWrap/>
            <w:vAlign w:val="bottom"/>
          </w:tcPr>
          <w:p w:rsidR="004A147C" w:rsidRPr="00F16FE9" w:rsidRDefault="004A147C" w:rsidP="00CE5850">
            <w:pPr>
              <w:rPr>
                <w:kern w:val="0"/>
                <w:szCs w:val="22"/>
                <w:lang w:eastAsia="zh-CN"/>
              </w:rPr>
            </w:pPr>
            <w:r w:rsidRPr="00F16FE9">
              <w:rPr>
                <w:kern w:val="0"/>
                <w:szCs w:val="22"/>
                <w:lang w:eastAsia="zh-CN"/>
              </w:rPr>
              <w:t>ZTE</w:t>
            </w:r>
          </w:p>
        </w:tc>
        <w:tc>
          <w:tcPr>
            <w:tcW w:w="3150" w:type="dxa"/>
            <w:tcBorders>
              <w:top w:val="single" w:sz="4" w:space="0" w:color="auto"/>
              <w:left w:val="nil"/>
              <w:bottom w:val="single" w:sz="4" w:space="0" w:color="auto"/>
              <w:right w:val="single" w:sz="4" w:space="0" w:color="auto"/>
            </w:tcBorders>
            <w:noWrap/>
            <w:vAlign w:val="bottom"/>
          </w:tcPr>
          <w:p w:rsidR="004A147C" w:rsidRPr="00F16FE9" w:rsidRDefault="004A147C" w:rsidP="00CE5850">
            <w:pPr>
              <w:jc w:val="right"/>
              <w:rPr>
                <w:kern w:val="0"/>
                <w:szCs w:val="22"/>
                <w:lang w:eastAsia="zh-CN"/>
              </w:rPr>
            </w:pPr>
            <w:r w:rsidRPr="00F16FE9">
              <w:rPr>
                <w:kern w:val="0"/>
                <w:szCs w:val="22"/>
                <w:lang w:eastAsia="zh-CN"/>
              </w:rPr>
              <w:t>5</w:t>
            </w:r>
          </w:p>
        </w:tc>
      </w:tr>
      <w:tr w:rsidR="004A147C" w:rsidRPr="00F16FE9" w:rsidTr="00F16FE9">
        <w:trPr>
          <w:trHeight w:val="270"/>
          <w:jc w:val="center"/>
        </w:trPr>
        <w:tc>
          <w:tcPr>
            <w:tcW w:w="2405" w:type="dxa"/>
            <w:tcBorders>
              <w:top w:val="single" w:sz="4" w:space="0" w:color="auto"/>
              <w:left w:val="single" w:sz="8" w:space="0" w:color="auto"/>
              <w:bottom w:val="single" w:sz="4" w:space="0" w:color="auto"/>
              <w:right w:val="single" w:sz="4" w:space="0" w:color="auto"/>
            </w:tcBorders>
            <w:noWrap/>
            <w:vAlign w:val="bottom"/>
          </w:tcPr>
          <w:p w:rsidR="004A147C" w:rsidRPr="00F16FE9" w:rsidRDefault="004A147C" w:rsidP="00CE5850">
            <w:pPr>
              <w:rPr>
                <w:kern w:val="0"/>
                <w:szCs w:val="22"/>
                <w:lang w:eastAsia="zh-CN"/>
              </w:rPr>
            </w:pPr>
            <w:r w:rsidRPr="00F16FE9">
              <w:rPr>
                <w:kern w:val="0"/>
                <w:szCs w:val="22"/>
                <w:lang w:eastAsia="zh-CN"/>
              </w:rPr>
              <w:t>Dell</w:t>
            </w:r>
          </w:p>
        </w:tc>
        <w:tc>
          <w:tcPr>
            <w:tcW w:w="3150" w:type="dxa"/>
            <w:tcBorders>
              <w:top w:val="single" w:sz="4" w:space="0" w:color="auto"/>
              <w:left w:val="nil"/>
              <w:bottom w:val="single" w:sz="4" w:space="0" w:color="auto"/>
              <w:right w:val="single" w:sz="4" w:space="0" w:color="auto"/>
            </w:tcBorders>
            <w:noWrap/>
            <w:vAlign w:val="bottom"/>
          </w:tcPr>
          <w:p w:rsidR="004A147C" w:rsidRPr="00F16FE9" w:rsidRDefault="004A147C" w:rsidP="00CE5850">
            <w:pPr>
              <w:jc w:val="right"/>
              <w:rPr>
                <w:kern w:val="0"/>
                <w:szCs w:val="22"/>
                <w:lang w:eastAsia="zh-CN"/>
              </w:rPr>
            </w:pPr>
            <w:r w:rsidRPr="00F16FE9">
              <w:rPr>
                <w:kern w:val="0"/>
                <w:szCs w:val="22"/>
                <w:lang w:eastAsia="zh-CN"/>
              </w:rPr>
              <w:t>4</w:t>
            </w:r>
          </w:p>
        </w:tc>
      </w:tr>
    </w:tbl>
    <w:p w:rsidR="004A147C" w:rsidRPr="00F16FE9" w:rsidRDefault="004A147C" w:rsidP="00CE5850"/>
    <w:p w:rsidR="004A147C" w:rsidRPr="00F16FE9" w:rsidRDefault="004A147C" w:rsidP="00CE5850"/>
    <w:p w:rsidR="007671D1" w:rsidRPr="004E0F47" w:rsidRDefault="004A147C" w:rsidP="00CE5850">
      <w:pPr>
        <w:pStyle w:val="ParaNum"/>
        <w:numPr>
          <w:ilvl w:val="0"/>
          <w:numId w:val="28"/>
        </w:numPr>
        <w:rPr>
          <w:sz w:val="22"/>
          <w:szCs w:val="22"/>
        </w:rPr>
      </w:pPr>
      <w:r w:rsidRPr="004E0F47">
        <w:rPr>
          <w:i/>
          <w:sz w:val="22"/>
          <w:szCs w:val="22"/>
        </w:rPr>
        <w:t>Smartphone Penetration</w:t>
      </w:r>
      <w:r w:rsidRPr="004E0F47">
        <w:rPr>
          <w:sz w:val="22"/>
          <w:szCs w:val="22"/>
        </w:rPr>
        <w:t xml:space="preserve">.  Smartphone penetration has accelerated in the last two years.  According to recent Nielson reports, among those who acquired a new cell phone in the second quarter of 2012, 67 percent opted for a smartphone, up from 30 percent in the fourth quarter of 2009.  As of the second quarter of 2012, 55 percent of U.S. mobile subscribers now own smartphones (see </w:t>
      </w:r>
      <w:r w:rsidR="005B380F" w:rsidRPr="004E0F47">
        <w:rPr>
          <w:sz w:val="22"/>
          <w:szCs w:val="22"/>
        </w:rPr>
        <w:fldChar w:fldCharType="begin"/>
      </w:r>
      <w:r w:rsidR="005B380F" w:rsidRPr="004E0F47">
        <w:rPr>
          <w:sz w:val="22"/>
          <w:szCs w:val="22"/>
        </w:rPr>
        <w:instrText xml:space="preserve"> REF _Ref276737660 \h  \* MERGEFORMAT </w:instrText>
      </w:r>
      <w:r w:rsidR="005B380F" w:rsidRPr="004E0F47">
        <w:rPr>
          <w:sz w:val="22"/>
          <w:szCs w:val="22"/>
        </w:rPr>
      </w:r>
      <w:r w:rsidR="005B380F" w:rsidRPr="004E0F47">
        <w:rPr>
          <w:sz w:val="22"/>
          <w:szCs w:val="22"/>
        </w:rPr>
        <w:fldChar w:fldCharType="separate"/>
      </w:r>
      <w:r w:rsidR="00CA3AC6" w:rsidRPr="00CA3AC6">
        <w:rPr>
          <w:sz w:val="22"/>
          <w:szCs w:val="22"/>
        </w:rPr>
        <w:t xml:space="preserve">Chart </w:t>
      </w:r>
      <w:r w:rsidR="00CA3AC6" w:rsidRPr="00CA3AC6">
        <w:rPr>
          <w:noProof/>
          <w:sz w:val="22"/>
          <w:szCs w:val="22"/>
        </w:rPr>
        <w:t>44</w:t>
      </w:r>
      <w:r w:rsidR="005B380F" w:rsidRPr="004E0F47">
        <w:rPr>
          <w:sz w:val="22"/>
          <w:szCs w:val="22"/>
        </w:rPr>
        <w:fldChar w:fldCharType="end"/>
      </w:r>
      <w:r w:rsidRPr="004E0F47">
        <w:rPr>
          <w:sz w:val="22"/>
          <w:szCs w:val="22"/>
        </w:rPr>
        <w:t>).</w:t>
      </w:r>
      <w:r w:rsidRPr="004E0F47">
        <w:rPr>
          <w:sz w:val="22"/>
          <w:szCs w:val="22"/>
          <w:vertAlign w:val="superscript"/>
        </w:rPr>
        <w:t xml:space="preserve"> </w:t>
      </w:r>
      <w:r w:rsidRPr="004E0F47">
        <w:rPr>
          <w:sz w:val="22"/>
          <w:szCs w:val="22"/>
          <w:vertAlign w:val="superscript"/>
        </w:rPr>
        <w:footnoteReference w:id="1061"/>
      </w:r>
      <w:r w:rsidR="007671D1" w:rsidRPr="004E0F47">
        <w:rPr>
          <w:sz w:val="22"/>
          <w:szCs w:val="22"/>
          <w:vertAlign w:val="superscript"/>
        </w:rPr>
        <w:t xml:space="preserve">  </w:t>
      </w:r>
      <w:r w:rsidR="007671D1" w:rsidRPr="004E0F47">
        <w:rPr>
          <w:sz w:val="22"/>
          <w:szCs w:val="22"/>
        </w:rPr>
        <w:t>A survey by Pew Research Center estimated that 46 percent of American adults owned a smartphone in February 2012, up from 35 percent in May 2011.</w:t>
      </w:r>
      <w:r w:rsidR="00271B85" w:rsidRPr="004E0F47">
        <w:rPr>
          <w:rStyle w:val="FootnoteReference"/>
          <w:szCs w:val="22"/>
        </w:rPr>
        <w:footnoteReference w:id="1062"/>
      </w:r>
      <w:r w:rsidR="005E4AE9">
        <w:rPr>
          <w:sz w:val="22"/>
          <w:szCs w:val="22"/>
        </w:rPr>
        <w:t xml:space="preserve">  </w:t>
      </w:r>
      <w:r w:rsidR="00945C11" w:rsidRPr="00945C11">
        <w:rPr>
          <w:sz w:val="22"/>
          <w:szCs w:val="22"/>
        </w:rPr>
        <w:t>The Pew study concludes that smartphone ownership has increased across many demographic groups in this time period, including race/ethnicity groups, household income groups, education attainment groups, and urban/rural groups.  For instance, by race/ethnicity, smartphone ownership increased from 30 to 45 percent for White-non-Hispanics, and from 44 to 49 percent for both Black-non-Hispanics and Hispanics.  By geographic groups, smartphone ownership increased from 38 to 50 percent in urban areas, from 38 to 46 percent in suburban areas, and from 21 to 34 percent in rural areas.</w:t>
      </w:r>
    </w:p>
    <w:p w:rsidR="004A147C" w:rsidRPr="00F16FE9" w:rsidRDefault="004A147C" w:rsidP="00CE5850">
      <w:pPr>
        <w:spacing w:after="120"/>
        <w:jc w:val="center"/>
        <w:rPr>
          <w:b/>
          <w:bCs/>
          <w:kern w:val="0"/>
          <w:szCs w:val="22"/>
        </w:rPr>
      </w:pPr>
      <w:bookmarkStart w:id="5048" w:name="_Ref276737660"/>
      <w:r w:rsidRPr="00F16FE9">
        <w:rPr>
          <w:b/>
          <w:bCs/>
          <w:kern w:val="0"/>
          <w:szCs w:val="22"/>
        </w:rPr>
        <w:t xml:space="preserve">Chart </w:t>
      </w:r>
      <w:r w:rsidR="0007014B" w:rsidRPr="00F16FE9">
        <w:rPr>
          <w:b/>
          <w:bCs/>
          <w:kern w:val="0"/>
          <w:szCs w:val="22"/>
        </w:rPr>
        <w:fldChar w:fldCharType="begin"/>
      </w:r>
      <w:r w:rsidRPr="00F16FE9">
        <w:rPr>
          <w:b/>
          <w:bCs/>
          <w:kern w:val="0"/>
          <w:szCs w:val="22"/>
        </w:rPr>
        <w:instrText xml:space="preserve"> SEQ Chart \* ARABIC </w:instrText>
      </w:r>
      <w:r w:rsidR="0007014B" w:rsidRPr="00F16FE9">
        <w:rPr>
          <w:b/>
          <w:bCs/>
          <w:kern w:val="0"/>
          <w:szCs w:val="22"/>
        </w:rPr>
        <w:fldChar w:fldCharType="separate"/>
      </w:r>
      <w:r w:rsidR="00CA3AC6">
        <w:rPr>
          <w:b/>
          <w:bCs/>
          <w:noProof/>
          <w:kern w:val="0"/>
          <w:szCs w:val="22"/>
        </w:rPr>
        <w:t>44</w:t>
      </w:r>
      <w:r w:rsidR="0007014B" w:rsidRPr="00F16FE9">
        <w:rPr>
          <w:b/>
          <w:bCs/>
          <w:kern w:val="0"/>
          <w:szCs w:val="22"/>
        </w:rPr>
        <w:fldChar w:fldCharType="end"/>
      </w:r>
      <w:bookmarkEnd w:id="5048"/>
      <w:r w:rsidRPr="00F16FE9">
        <w:rPr>
          <w:b/>
          <w:bCs/>
          <w:kern w:val="0"/>
          <w:szCs w:val="22"/>
        </w:rPr>
        <w:br/>
        <w:t>Smartphone Penetration Rates in the United States, Q4 2009 – Q2 2012</w:t>
      </w:r>
      <w:r w:rsidRPr="00F16FE9">
        <w:rPr>
          <w:bCs/>
          <w:kern w:val="0"/>
          <w:szCs w:val="22"/>
          <w:vertAlign w:val="superscript"/>
        </w:rPr>
        <w:footnoteReference w:id="1063"/>
      </w:r>
    </w:p>
    <w:p w:rsidR="004A147C" w:rsidRPr="00F16FE9" w:rsidRDefault="00C81B24" w:rsidP="00CE5850">
      <w:pPr>
        <w:jc w:val="center"/>
      </w:pPr>
      <w:r>
        <w:rPr>
          <w:noProof/>
        </w:rPr>
        <w:drawing>
          <wp:inline distT="0" distB="0" distL="0" distR="0" wp14:anchorId="2C1AEF8F" wp14:editId="20651180">
            <wp:extent cx="4686300" cy="3104982"/>
            <wp:effectExtent l="0" t="0" r="0" b="635"/>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4686300" cy="3104982"/>
                    </a:xfrm>
                    <a:prstGeom prst="rect">
                      <a:avLst/>
                    </a:prstGeom>
                    <a:noFill/>
                    <a:ln>
                      <a:noFill/>
                    </a:ln>
                  </pic:spPr>
                </pic:pic>
              </a:graphicData>
            </a:graphic>
          </wp:inline>
        </w:drawing>
      </w:r>
    </w:p>
    <w:p w:rsidR="004A147C" w:rsidRPr="00B53FFB" w:rsidRDefault="004A147C" w:rsidP="00CE5850">
      <w:pPr>
        <w:rPr>
          <w:szCs w:val="22"/>
        </w:rPr>
      </w:pPr>
    </w:p>
    <w:p w:rsidR="004A147C" w:rsidRPr="00B53FFB" w:rsidRDefault="004A147C" w:rsidP="00CE5850">
      <w:pPr>
        <w:pStyle w:val="Heading4"/>
        <w:keepNext w:val="0"/>
        <w:numPr>
          <w:ilvl w:val="3"/>
          <w:numId w:val="26"/>
        </w:numPr>
        <w:tabs>
          <w:tab w:val="left" w:pos="2880"/>
        </w:tabs>
        <w:rPr>
          <w:sz w:val="22"/>
          <w:szCs w:val="22"/>
        </w:rPr>
      </w:pPr>
      <w:bookmarkStart w:id="5049" w:name="_Toc337652023"/>
      <w:bookmarkStart w:id="5050" w:name="_Toc349577211"/>
      <w:bookmarkStart w:id="5051" w:name="_Toc349579303"/>
      <w:bookmarkStart w:id="5052" w:name="_Toc349580618"/>
      <w:bookmarkStart w:id="5053" w:name="_Toc349735026"/>
      <w:bookmarkStart w:id="5054" w:name="_Toc349742391"/>
      <w:r w:rsidRPr="00B53FFB">
        <w:rPr>
          <w:sz w:val="22"/>
          <w:szCs w:val="22"/>
        </w:rPr>
        <w:t>Factors Affecting Mobile Wireless Competition</w:t>
      </w:r>
      <w:bookmarkEnd w:id="5049"/>
      <w:bookmarkEnd w:id="5050"/>
      <w:bookmarkEnd w:id="5051"/>
      <w:bookmarkEnd w:id="5052"/>
      <w:bookmarkEnd w:id="5053"/>
      <w:bookmarkEnd w:id="5054"/>
    </w:p>
    <w:p w:rsidR="004A147C" w:rsidRPr="00B53FFB" w:rsidRDefault="004A147C" w:rsidP="00CE5850">
      <w:pPr>
        <w:pStyle w:val="Heading5"/>
        <w:keepNext w:val="0"/>
        <w:numPr>
          <w:ilvl w:val="4"/>
          <w:numId w:val="26"/>
        </w:numPr>
        <w:tabs>
          <w:tab w:val="left" w:pos="3600"/>
        </w:tabs>
        <w:suppressAutoHyphens w:val="0"/>
        <w:rPr>
          <w:sz w:val="22"/>
          <w:szCs w:val="22"/>
        </w:rPr>
      </w:pPr>
      <w:bookmarkStart w:id="5055" w:name="_Toc262034375"/>
      <w:bookmarkStart w:id="5056" w:name="_Toc262034478"/>
      <w:bookmarkStart w:id="5057" w:name="_Toc287257853"/>
      <w:bookmarkStart w:id="5058" w:name="_Toc337652024"/>
      <w:bookmarkStart w:id="5059" w:name="_Toc349577212"/>
      <w:bookmarkStart w:id="5060" w:name="_Toc349579304"/>
      <w:bookmarkStart w:id="5061" w:name="_Toc349580619"/>
      <w:bookmarkStart w:id="5062" w:name="_Toc349735027"/>
      <w:bookmarkStart w:id="5063" w:name="_Toc349742392"/>
      <w:r w:rsidRPr="00B53FFB">
        <w:rPr>
          <w:sz w:val="22"/>
          <w:szCs w:val="22"/>
        </w:rPr>
        <w:t>Bundling of Wireless Service Subscriptions with the Purchase of Handsets</w:t>
      </w:r>
      <w:bookmarkEnd w:id="5055"/>
      <w:bookmarkEnd w:id="5056"/>
      <w:bookmarkEnd w:id="5057"/>
      <w:bookmarkEnd w:id="5058"/>
      <w:bookmarkEnd w:id="5059"/>
      <w:bookmarkEnd w:id="5060"/>
      <w:bookmarkEnd w:id="5061"/>
      <w:bookmarkEnd w:id="5062"/>
      <w:bookmarkEnd w:id="5063"/>
    </w:p>
    <w:p w:rsidR="004A147C" w:rsidRPr="00B53FFB" w:rsidRDefault="004A147C" w:rsidP="00CE5850">
      <w:pPr>
        <w:pStyle w:val="ParaNum"/>
        <w:numPr>
          <w:ilvl w:val="0"/>
          <w:numId w:val="28"/>
        </w:numPr>
        <w:snapToGrid w:val="0"/>
        <w:rPr>
          <w:sz w:val="22"/>
          <w:szCs w:val="22"/>
        </w:rPr>
      </w:pPr>
      <w:r w:rsidRPr="00B53FFB">
        <w:rPr>
          <w:sz w:val="22"/>
          <w:szCs w:val="22"/>
        </w:rPr>
        <w:t>The prevailing model for the distribution of handsets to U.S. consumers is a provider-as-retailer model in which manufacturers sell handsets in bulk quantities to service providers and then service providers sell them to consumers in handset-service bundles, either in pre-paid service plans or post-paid subscription service plans.</w:t>
      </w:r>
      <w:r w:rsidRPr="00B53FFB">
        <w:rPr>
          <w:rStyle w:val="FootnoteReference"/>
          <w:szCs w:val="22"/>
        </w:rPr>
        <w:footnoteReference w:id="1064"/>
      </w:r>
      <w:r w:rsidRPr="00B53FFB">
        <w:rPr>
          <w:sz w:val="22"/>
          <w:szCs w:val="22"/>
          <w:lang w:eastAsia="zh-CN"/>
        </w:rPr>
        <w:t xml:space="preserve">  </w:t>
      </w:r>
      <w:r w:rsidRPr="00B53FFB">
        <w:rPr>
          <w:sz w:val="22"/>
          <w:szCs w:val="22"/>
        </w:rPr>
        <w:t>In a bundling contract a provider conditions the sale of a handset upon the consumer’s agreement to purchase a multi-month wireless service subscription, typically for a minimum of one or two years in a postpaid service plan.</w:t>
      </w:r>
      <w:r w:rsidRPr="00B53FFB">
        <w:rPr>
          <w:rStyle w:val="FootnoteReference"/>
          <w:szCs w:val="22"/>
        </w:rPr>
        <w:footnoteReference w:id="1065"/>
      </w:r>
      <w:r w:rsidRPr="00B53FFB">
        <w:rPr>
          <w:sz w:val="22"/>
          <w:szCs w:val="22"/>
        </w:rPr>
        <w:t xml:space="preserve">  Under this arrangement, the wireless handset and wireless service plan are effectively sold as a single bundled product, with the price distributed over the length of the subscription.  Service providers typically enforce these contracts by “locking” subsidized devices, so that they cannot be easily ported to a competitor’s network</w:t>
      </w:r>
      <w:r w:rsidR="00AB42CA">
        <w:rPr>
          <w:sz w:val="22"/>
          <w:szCs w:val="22"/>
        </w:rPr>
        <w:t xml:space="preserve"> during the contract period</w:t>
      </w:r>
      <w:r w:rsidRPr="00B53FFB">
        <w:rPr>
          <w:sz w:val="22"/>
          <w:szCs w:val="22"/>
        </w:rPr>
        <w:t>, and by charging early termination fees for subscribers who exit the contract early.</w:t>
      </w:r>
      <w:r w:rsidRPr="00B53FFB">
        <w:rPr>
          <w:rStyle w:val="FootnoteReference"/>
          <w:szCs w:val="22"/>
        </w:rPr>
        <w:footnoteReference w:id="1066"/>
      </w:r>
      <w:r w:rsidRPr="00B53FFB">
        <w:rPr>
          <w:sz w:val="22"/>
          <w:szCs w:val="22"/>
        </w:rPr>
        <w:t xml:space="preserve"> </w:t>
      </w:r>
    </w:p>
    <w:p w:rsidR="004A147C" w:rsidRPr="00B53FFB" w:rsidRDefault="004A147C" w:rsidP="00CE5850">
      <w:pPr>
        <w:pStyle w:val="ParaNum"/>
        <w:numPr>
          <w:ilvl w:val="0"/>
          <w:numId w:val="28"/>
        </w:numPr>
        <w:snapToGrid w:val="0"/>
        <w:rPr>
          <w:sz w:val="22"/>
          <w:szCs w:val="22"/>
        </w:rPr>
      </w:pPr>
      <w:r w:rsidRPr="00B53FFB">
        <w:rPr>
          <w:sz w:val="22"/>
          <w:szCs w:val="22"/>
        </w:rPr>
        <w:t>These bundles have both disadvantages and advantages for consumers.  Some of the disadvantages of buying a handset-service subscription bundle are “buyer’s remorse” at having entered a multi-month contract after the commitment was made, opaqueness surrounding how the handset price and the monthly subscription price are aggregated to obtain the price of the bundle, and monthly subscription prices that are seemingly independent of how long the customer has been paying off the initial discount on the handset price.</w:t>
      </w:r>
      <w:r w:rsidRPr="00B53FFB">
        <w:rPr>
          <w:rStyle w:val="FootnoteReference"/>
          <w:szCs w:val="22"/>
        </w:rPr>
        <w:footnoteReference w:id="1067"/>
      </w:r>
      <w:r w:rsidRPr="00B53FFB">
        <w:rPr>
          <w:sz w:val="22"/>
          <w:szCs w:val="22"/>
        </w:rPr>
        <w:t xml:space="preserve">  Some of the advantages of buying a handset-service subscription bundle are the conveniences of one-stop shopping, access to better technical support for handsets supported by the provider as compared to handsets that are not in the provider’s handset portfolio, obtaining a discount on the price of the handset, and distributing the price of expensive handsets over the course of the subscription.  </w:t>
      </w:r>
    </w:p>
    <w:p w:rsidR="004A147C" w:rsidRPr="00B53FFB" w:rsidRDefault="004A147C" w:rsidP="00CE5850">
      <w:pPr>
        <w:pStyle w:val="ParaNum"/>
        <w:numPr>
          <w:ilvl w:val="0"/>
          <w:numId w:val="28"/>
        </w:numPr>
        <w:snapToGrid w:val="0"/>
        <w:rPr>
          <w:sz w:val="22"/>
          <w:szCs w:val="22"/>
        </w:rPr>
      </w:pPr>
      <w:r w:rsidRPr="00B53FFB">
        <w:rPr>
          <w:sz w:val="22"/>
          <w:szCs w:val="22"/>
        </w:rPr>
        <w:t xml:space="preserve">Mobile wireless service plans are generally available without bundled contracts, but there are incentives to purchase devices bundled with service plans, and this is still the overwhelming U.S. industry practice, despite recent growth in the prepaid segment.  </w:t>
      </w:r>
      <w:r w:rsidR="00AB42CA">
        <w:rPr>
          <w:sz w:val="22"/>
          <w:szCs w:val="22"/>
        </w:rPr>
        <w:t>Many service providers generally unlock phones at the customer’s request when the service terms have been fulfilled, subject to a certain number of conditions, e.g., a limit on the number of devices that can be unlocked, a minimum number of days of activitation, and that the device has not been reported lost or stolen.</w:t>
      </w:r>
      <w:r w:rsidR="00AB42CA">
        <w:rPr>
          <w:rStyle w:val="FootnoteReference"/>
          <w:szCs w:val="22"/>
        </w:rPr>
        <w:footnoteReference w:id="1068"/>
      </w:r>
      <w:r w:rsidR="00AB42CA">
        <w:rPr>
          <w:sz w:val="22"/>
          <w:szCs w:val="22"/>
        </w:rPr>
        <w:t xml:space="preserve"> </w:t>
      </w:r>
      <w:r w:rsidRPr="00B53FFB">
        <w:rPr>
          <w:sz w:val="22"/>
          <w:szCs w:val="22"/>
        </w:rPr>
        <w:t>Unlocked devices are available in some stores and through some manufacturer websites (</w:t>
      </w:r>
      <w:r w:rsidRPr="00B53FFB">
        <w:rPr>
          <w:i/>
          <w:sz w:val="22"/>
          <w:szCs w:val="22"/>
        </w:rPr>
        <w:t>e.g.,</w:t>
      </w:r>
      <w:r w:rsidRPr="00B53FFB">
        <w:rPr>
          <w:sz w:val="22"/>
          <w:szCs w:val="22"/>
        </w:rPr>
        <w:t xml:space="preserve"> Motorola, Nokia, and Apple).</w:t>
      </w:r>
      <w:r w:rsidRPr="00B53FFB">
        <w:rPr>
          <w:rStyle w:val="FootnoteReference"/>
          <w:szCs w:val="22"/>
        </w:rPr>
        <w:footnoteReference w:id="1069"/>
      </w:r>
      <w:r w:rsidR="00DC2806">
        <w:t xml:space="preserve">  </w:t>
      </w:r>
      <w:r w:rsidRPr="00B53FFB">
        <w:rPr>
          <w:sz w:val="22"/>
          <w:szCs w:val="22"/>
        </w:rPr>
        <w:t>Increasingly most service providers will allow customers to bring an unlocked device to a postpaid plan, but customer may not receive a lower-priced service plan that would reflect the fact that the provider does not have to recoup the cost of the subsidy.  T-Mobile offers a discount on the monthly service charge of some plans to customers who bring their own unlocked handset.</w:t>
      </w:r>
      <w:r w:rsidRPr="00B53FFB">
        <w:rPr>
          <w:rStyle w:val="FootnoteReference"/>
          <w:szCs w:val="22"/>
        </w:rPr>
        <w:footnoteReference w:id="1070"/>
      </w:r>
    </w:p>
    <w:p w:rsidR="004A147C" w:rsidRPr="00B53FFB" w:rsidRDefault="004A147C" w:rsidP="00CE5850">
      <w:pPr>
        <w:pStyle w:val="Heading5"/>
        <w:keepNext w:val="0"/>
        <w:numPr>
          <w:ilvl w:val="4"/>
          <w:numId w:val="26"/>
        </w:numPr>
        <w:tabs>
          <w:tab w:val="left" w:pos="3600"/>
        </w:tabs>
        <w:suppressAutoHyphens w:val="0"/>
        <w:rPr>
          <w:sz w:val="22"/>
          <w:szCs w:val="22"/>
        </w:rPr>
      </w:pPr>
      <w:bookmarkStart w:id="5064" w:name="_Toc337652025"/>
      <w:bookmarkStart w:id="5065" w:name="_Toc349577213"/>
      <w:bookmarkStart w:id="5066" w:name="_Toc349579305"/>
      <w:bookmarkStart w:id="5067" w:name="_Toc349580620"/>
      <w:bookmarkStart w:id="5068" w:name="_Toc349735028"/>
      <w:bookmarkStart w:id="5069" w:name="_Toc349742393"/>
      <w:bookmarkStart w:id="5070" w:name="_Toc262034376"/>
      <w:bookmarkStart w:id="5071" w:name="_Toc262034479"/>
      <w:bookmarkStart w:id="5072" w:name="_Toc287257854"/>
      <w:r w:rsidRPr="00B53FFB">
        <w:rPr>
          <w:sz w:val="22"/>
          <w:szCs w:val="22"/>
        </w:rPr>
        <w:t>Handset Interoperability</w:t>
      </w:r>
      <w:bookmarkEnd w:id="5064"/>
      <w:bookmarkEnd w:id="5065"/>
      <w:bookmarkEnd w:id="5066"/>
      <w:bookmarkEnd w:id="5067"/>
      <w:bookmarkEnd w:id="5068"/>
      <w:bookmarkEnd w:id="5069"/>
    </w:p>
    <w:p w:rsidR="004A147C" w:rsidRPr="004E0F47" w:rsidRDefault="004A147C" w:rsidP="00CE5850">
      <w:pPr>
        <w:pStyle w:val="ParaNum"/>
        <w:numPr>
          <w:ilvl w:val="0"/>
          <w:numId w:val="28"/>
        </w:numPr>
        <w:snapToGrid w:val="0"/>
        <w:rPr>
          <w:sz w:val="22"/>
          <w:szCs w:val="22"/>
        </w:rPr>
      </w:pPr>
      <w:r w:rsidRPr="004E0F47">
        <w:rPr>
          <w:sz w:val="22"/>
          <w:szCs w:val="22"/>
        </w:rPr>
        <w:t xml:space="preserve">A handset that functions on one network </w:t>
      </w:r>
      <w:bookmarkEnd w:id="5070"/>
      <w:bookmarkEnd w:id="5071"/>
      <w:bookmarkEnd w:id="5072"/>
      <w:r w:rsidR="00E10980" w:rsidRPr="004E0F47">
        <w:rPr>
          <w:sz w:val="22"/>
          <w:szCs w:val="22"/>
        </w:rPr>
        <w:t xml:space="preserve">may not be compatible with a network using the same air interface technology if the networks operate on different spectrum bands.  For example, T-Mobile’s WCDMA handsets operate in the AWS-1 spectrum (1.7/2.1 GHz band) while AT&amp;T’s WCDMA handsets operate in the Cellular (850 MHz band) and PCS (1.9 GHz band) spectrum.  Similarly, service providers are deploying LTE on different spectrum bands. For example, AT&amp;T has launched LTE </w:t>
      </w:r>
      <w:r w:rsidR="007862D4" w:rsidRPr="004E0F47">
        <w:rPr>
          <w:sz w:val="22"/>
          <w:szCs w:val="22"/>
        </w:rPr>
        <w:t xml:space="preserve">using </w:t>
      </w:r>
      <w:r w:rsidR="00E10980" w:rsidRPr="004E0F47">
        <w:rPr>
          <w:sz w:val="22"/>
          <w:szCs w:val="22"/>
        </w:rPr>
        <w:t>Lower 700 MHz B and C block spectrum while Verizon Wireless has launched LTE using the Upper 700 MHz C block spectrum.</w:t>
      </w:r>
      <w:r w:rsidR="00E10980" w:rsidRPr="004E0F47">
        <w:rPr>
          <w:sz w:val="22"/>
          <w:szCs w:val="22"/>
          <w:vertAlign w:val="superscript"/>
        </w:rPr>
        <w:footnoteReference w:id="1071"/>
      </w:r>
      <w:r w:rsidR="00E10980" w:rsidRPr="004E0F47">
        <w:rPr>
          <w:sz w:val="22"/>
          <w:szCs w:val="22"/>
        </w:rPr>
        <w:t xml:space="preserve">  We note that in September 2009, an alliance comprised of four Lower 700 MHz Band A Block licensees filed a petition for rulemaking asking the Commission to require that all mobile units for the 700 MHz band be capable of operating over all frequencies in the band.</w:t>
      </w:r>
      <w:r w:rsidR="00E10980" w:rsidRPr="004E0F47">
        <w:rPr>
          <w:sz w:val="22"/>
          <w:szCs w:val="22"/>
          <w:vertAlign w:val="superscript"/>
        </w:rPr>
        <w:footnoteReference w:id="1072"/>
      </w:r>
      <w:r w:rsidR="00E10980" w:rsidRPr="004E0F47">
        <w:rPr>
          <w:sz w:val="22"/>
          <w:szCs w:val="22"/>
        </w:rPr>
        <w:t xml:space="preserve">  The licensees assert that the absence of such a requirement raises various competitive issues.</w:t>
      </w:r>
      <w:r w:rsidR="00E10980" w:rsidRPr="004E0F47">
        <w:rPr>
          <w:sz w:val="22"/>
          <w:szCs w:val="22"/>
          <w:vertAlign w:val="superscript"/>
        </w:rPr>
        <w:footnoteReference w:id="1073"/>
      </w:r>
      <w:r w:rsidR="00E10980" w:rsidRPr="004E0F47">
        <w:rPr>
          <w:sz w:val="22"/>
          <w:szCs w:val="22"/>
        </w:rPr>
        <w:t xml:space="preserve">  In recognition of the industry’s attention to this issue, in April 2011, the Commission held a workshop on the interoperability of mobile devices across commercial spectrum blocks of the</w:t>
      </w:r>
      <w:r w:rsidR="00E10980" w:rsidRPr="004E0F47">
        <w:rPr>
          <w:color w:val="000080"/>
          <w:sz w:val="22"/>
          <w:szCs w:val="22"/>
        </w:rPr>
        <w:t xml:space="preserve"> </w:t>
      </w:r>
      <w:r w:rsidR="00E10980" w:rsidRPr="004E0F47">
        <w:rPr>
          <w:sz w:val="22"/>
          <w:szCs w:val="22"/>
        </w:rPr>
        <w:t>700 MHz band.</w:t>
      </w:r>
      <w:r w:rsidR="00E10980" w:rsidRPr="004E0F47">
        <w:rPr>
          <w:sz w:val="22"/>
          <w:szCs w:val="22"/>
          <w:vertAlign w:val="superscript"/>
        </w:rPr>
        <w:footnoteReference w:id="1074"/>
      </w:r>
      <w:r w:rsidR="00E10980" w:rsidRPr="004E0F47">
        <w:rPr>
          <w:sz w:val="22"/>
          <w:szCs w:val="22"/>
        </w:rPr>
        <w:t>  Panelists at the workshop explored a number of topics related to promoting the development and availability of equipment for the 700 MHz band, including the technical feasibility of an interoperability condition and how an interoperability requirement might affect such factors as device cost and performance.</w:t>
      </w:r>
      <w:r w:rsidR="00E10980" w:rsidRPr="004E0F47">
        <w:rPr>
          <w:sz w:val="22"/>
          <w:szCs w:val="22"/>
          <w:vertAlign w:val="superscript"/>
        </w:rPr>
        <w:footnoteReference w:id="1075"/>
      </w:r>
      <w:r w:rsidR="00E10980" w:rsidRPr="004E0F47">
        <w:rPr>
          <w:sz w:val="22"/>
          <w:szCs w:val="22"/>
        </w:rPr>
        <w:t xml:space="preserve">  On March 21, 2012, the Commission released a Notice of Proposed Rulemaking </w:t>
      </w:r>
      <w:r w:rsidR="00B35AEA" w:rsidRPr="00B35AEA">
        <w:rPr>
          <w:sz w:val="22"/>
          <w:szCs w:val="22"/>
        </w:rPr>
        <w:t xml:space="preserve">to promote interoperability and encourage the efficient use of </w:t>
      </w:r>
      <w:r w:rsidR="00B35AEA">
        <w:rPr>
          <w:sz w:val="22"/>
          <w:szCs w:val="22"/>
        </w:rPr>
        <w:t>spectrum in the 700 MHz band</w:t>
      </w:r>
      <w:r w:rsidR="00FE3E39">
        <w:rPr>
          <w:sz w:val="22"/>
          <w:szCs w:val="22"/>
        </w:rPr>
        <w:t>.</w:t>
      </w:r>
      <w:r w:rsidR="0024349B">
        <w:rPr>
          <w:rStyle w:val="FootnoteReference"/>
          <w:szCs w:val="22"/>
        </w:rPr>
        <w:footnoteReference w:id="1076"/>
      </w:r>
      <w:r w:rsidR="00B35AEA">
        <w:rPr>
          <w:sz w:val="22"/>
          <w:szCs w:val="22"/>
        </w:rPr>
        <w:t xml:space="preserve">  </w:t>
      </w:r>
      <w:r w:rsidR="00B35AEA" w:rsidRPr="00B35AEA">
        <w:rPr>
          <w:sz w:val="22"/>
          <w:szCs w:val="22"/>
        </w:rPr>
        <w:t>The 700 MHz Interoperability NPRM noted that there is agreement that a unified band class across the Lower 700 MHz band has the potential to yield benefits for all licensees, but that parties dispute whether a unified band class would result in harmful interference to Lower 700 MHz licensees in the B and C Blocks and whether, if harmful interference exists, it</w:t>
      </w:r>
      <w:r w:rsidR="00B35AEA">
        <w:rPr>
          <w:sz w:val="22"/>
          <w:szCs w:val="22"/>
        </w:rPr>
        <w:t xml:space="preserve"> reasonably can be mitigated</w:t>
      </w:r>
      <w:r w:rsidR="00FE3E39">
        <w:rPr>
          <w:sz w:val="22"/>
          <w:szCs w:val="22"/>
        </w:rPr>
        <w:t>.</w:t>
      </w:r>
      <w:r w:rsidR="00FE3E39">
        <w:rPr>
          <w:rStyle w:val="FootnoteReference"/>
          <w:szCs w:val="22"/>
        </w:rPr>
        <w:footnoteReference w:id="1077"/>
      </w:r>
      <w:r w:rsidR="00B35AEA">
        <w:rPr>
          <w:sz w:val="22"/>
          <w:szCs w:val="22"/>
        </w:rPr>
        <w:t xml:space="preserve">  </w:t>
      </w:r>
      <w:r w:rsidR="00B35AEA" w:rsidRPr="00B35AEA">
        <w:rPr>
          <w:sz w:val="22"/>
          <w:szCs w:val="22"/>
        </w:rPr>
        <w:t>Accordingly, the 700 MHz Interoperability NPRM indicated that the Commission would evaluate the potential interference concerns and explore options to hel</w:t>
      </w:r>
      <w:r w:rsidR="00B35AEA">
        <w:rPr>
          <w:sz w:val="22"/>
          <w:szCs w:val="22"/>
        </w:rPr>
        <w:t>p promote interoperability.</w:t>
      </w:r>
      <w:r w:rsidR="00FE3E39">
        <w:rPr>
          <w:rStyle w:val="FootnoteReference"/>
          <w:szCs w:val="22"/>
        </w:rPr>
        <w:footnoteReference w:id="1078"/>
      </w:r>
      <w:r w:rsidR="00B35AEA">
        <w:rPr>
          <w:sz w:val="22"/>
          <w:szCs w:val="22"/>
        </w:rPr>
        <w:t xml:space="preserve">  </w:t>
      </w:r>
      <w:r w:rsidR="00B35AEA" w:rsidRPr="00B35AEA">
        <w:rPr>
          <w:sz w:val="22"/>
          <w:szCs w:val="22"/>
        </w:rPr>
        <w:t>Under applicable Commission rules, lower 700 MHz A Block licensees must provide signal coverage and offer service over at least 35 percent of their geographic license areas by June 13, 2013, or within four years of the initial license grant if granted after June 13, 2009.</w:t>
      </w:r>
      <w:r w:rsidR="00FE3E39">
        <w:rPr>
          <w:sz w:val="22"/>
          <w:szCs w:val="22"/>
        </w:rPr>
        <w:t xml:space="preserve">  </w:t>
      </w:r>
      <w:r w:rsidR="00B35AEA" w:rsidRPr="00B35AEA">
        <w:rPr>
          <w:sz w:val="22"/>
          <w:szCs w:val="22"/>
        </w:rPr>
        <w:t>A number of lower 700 MHz A Block licensees filed requests for waiver and pointed to the lack of interoperability as a major factor in support</w:t>
      </w:r>
      <w:r w:rsidR="00FE3E39">
        <w:rPr>
          <w:sz w:val="22"/>
          <w:szCs w:val="22"/>
        </w:rPr>
        <w:t xml:space="preserve"> of the requested extension.  </w:t>
      </w:r>
      <w:r w:rsidR="00B35AEA" w:rsidRPr="00B35AEA">
        <w:rPr>
          <w:sz w:val="22"/>
          <w:szCs w:val="22"/>
        </w:rPr>
        <w:t xml:space="preserve">On February 13, 2013, the Wireless Telecommunications Bureau granted a limited waiver, citing review of the issues raised in the 700 MHz </w:t>
      </w:r>
      <w:r w:rsidR="00B35AEA">
        <w:rPr>
          <w:sz w:val="22"/>
          <w:szCs w:val="22"/>
        </w:rPr>
        <w:t xml:space="preserve">interoperability proceeding.  </w:t>
      </w:r>
      <w:r w:rsidR="00B35AEA" w:rsidRPr="00B35AEA">
        <w:rPr>
          <w:sz w:val="22"/>
          <w:szCs w:val="22"/>
        </w:rPr>
        <w:t xml:space="preserve">The Bureau extended the interim construction benchmark deadline for the lower 700 MHz A Block licensees until December 13, 2013. </w:t>
      </w:r>
      <w:r w:rsidR="00D651B2">
        <w:rPr>
          <w:rStyle w:val="FootnoteReference"/>
          <w:szCs w:val="22"/>
        </w:rPr>
        <w:footnoteReference w:id="1079"/>
      </w:r>
      <w:r w:rsidR="00F47568">
        <w:rPr>
          <w:sz w:val="22"/>
        </w:rPr>
        <w:t xml:space="preserve"> </w:t>
      </w:r>
    </w:p>
    <w:p w:rsidR="004A147C" w:rsidRPr="00B53FFB" w:rsidRDefault="004A147C" w:rsidP="00CE5850">
      <w:pPr>
        <w:pStyle w:val="Heading3"/>
        <w:keepNext w:val="0"/>
        <w:numPr>
          <w:ilvl w:val="2"/>
          <w:numId w:val="26"/>
        </w:numPr>
        <w:tabs>
          <w:tab w:val="left" w:pos="2160"/>
        </w:tabs>
        <w:rPr>
          <w:sz w:val="22"/>
          <w:szCs w:val="22"/>
        </w:rPr>
      </w:pPr>
      <w:bookmarkStart w:id="5073" w:name="_Ref260224328"/>
      <w:bookmarkStart w:id="5074" w:name="_Ref260224330"/>
      <w:bookmarkStart w:id="5075" w:name="_Toc261610816"/>
      <w:bookmarkStart w:id="5076" w:name="_Toc261858568"/>
      <w:bookmarkStart w:id="5077" w:name="_Toc262034377"/>
      <w:bookmarkStart w:id="5078" w:name="_Toc262034480"/>
      <w:bookmarkStart w:id="5079" w:name="_Toc271288515"/>
      <w:bookmarkStart w:id="5080" w:name="_Toc275518034"/>
      <w:bookmarkStart w:id="5081" w:name="_Toc275952474"/>
      <w:bookmarkStart w:id="5082" w:name="_Toc276121906"/>
      <w:bookmarkStart w:id="5083" w:name="_Toc276480742"/>
      <w:bookmarkStart w:id="5084" w:name="_Toc276741820"/>
      <w:bookmarkStart w:id="5085" w:name="_Toc277171584"/>
      <w:bookmarkStart w:id="5086" w:name="_Toc277864559"/>
      <w:bookmarkStart w:id="5087" w:name="_Toc277864775"/>
      <w:bookmarkStart w:id="5088" w:name="_Toc285810456"/>
      <w:bookmarkStart w:id="5089" w:name="_Toc287257855"/>
      <w:bookmarkStart w:id="5090" w:name="_Toc291758730"/>
      <w:bookmarkStart w:id="5091" w:name="_Toc291758833"/>
      <w:bookmarkStart w:id="5092" w:name="_Toc295393013"/>
      <w:bookmarkStart w:id="5093" w:name="_Toc329262540"/>
      <w:bookmarkStart w:id="5094" w:name="_Toc329852447"/>
      <w:bookmarkStart w:id="5095" w:name="_Toc331766362"/>
      <w:bookmarkStart w:id="5096" w:name="_Toc332119166"/>
      <w:bookmarkStart w:id="5097" w:name="_Toc334088834"/>
      <w:bookmarkStart w:id="5098" w:name="_Toc334089070"/>
      <w:bookmarkStart w:id="5099" w:name="_Toc334089229"/>
      <w:bookmarkStart w:id="5100" w:name="_Toc334089340"/>
      <w:bookmarkStart w:id="5101" w:name="_Toc334089504"/>
      <w:bookmarkStart w:id="5102" w:name="_Toc336268646"/>
      <w:bookmarkStart w:id="5103" w:name="_Toc336268754"/>
      <w:bookmarkStart w:id="5104" w:name="_Toc336268861"/>
      <w:bookmarkStart w:id="5105" w:name="_Toc336269075"/>
      <w:bookmarkStart w:id="5106" w:name="_Toc336269182"/>
      <w:bookmarkStart w:id="5107" w:name="_Toc336269550"/>
      <w:bookmarkStart w:id="5108" w:name="_Toc336269696"/>
      <w:bookmarkStart w:id="5109" w:name="_Toc336270109"/>
      <w:bookmarkStart w:id="5110" w:name="_Toc336271308"/>
      <w:bookmarkStart w:id="5111" w:name="_Toc337652026"/>
      <w:bookmarkStart w:id="5112" w:name="_Toc349577214"/>
      <w:bookmarkStart w:id="5113" w:name="_Toc349579306"/>
      <w:bookmarkStart w:id="5114" w:name="_Toc349580621"/>
      <w:bookmarkStart w:id="5115" w:name="_Toc349735029"/>
      <w:bookmarkStart w:id="5116" w:name="_Toc349742394"/>
      <w:r w:rsidRPr="00B53FFB">
        <w:rPr>
          <w:sz w:val="22"/>
          <w:szCs w:val="22"/>
        </w:rPr>
        <w:t>Mobile Applications</w:t>
      </w:r>
      <w:bookmarkEnd w:id="5073"/>
      <w:bookmarkEnd w:id="5074"/>
      <w:bookmarkEnd w:id="5075"/>
      <w:bookmarkEnd w:id="5076"/>
      <w:bookmarkEnd w:id="5077"/>
      <w:bookmarkEnd w:id="5078"/>
      <w:bookmarkEnd w:id="5079"/>
      <w:bookmarkEnd w:id="5080"/>
      <w:bookmarkEnd w:id="5081"/>
      <w:bookmarkEnd w:id="5082"/>
      <w:bookmarkEnd w:id="5083"/>
      <w:bookmarkEnd w:id="5084"/>
      <w:bookmarkEnd w:id="5085"/>
      <w:bookmarkEnd w:id="5086"/>
      <w:bookmarkEnd w:id="5087"/>
      <w:bookmarkEnd w:id="5088"/>
      <w:bookmarkEnd w:id="5089"/>
      <w:bookmarkEnd w:id="5090"/>
      <w:bookmarkEnd w:id="5091"/>
      <w:bookmarkEnd w:id="5092"/>
      <w:bookmarkEnd w:id="5093"/>
      <w:bookmarkEnd w:id="5094"/>
      <w:bookmarkEnd w:id="5095"/>
      <w:bookmarkEnd w:id="5096"/>
      <w:bookmarkEnd w:id="5097"/>
      <w:bookmarkEnd w:id="5098"/>
      <w:bookmarkEnd w:id="5099"/>
      <w:bookmarkEnd w:id="5100"/>
      <w:bookmarkEnd w:id="5101"/>
      <w:bookmarkEnd w:id="5102"/>
      <w:bookmarkEnd w:id="5103"/>
      <w:bookmarkEnd w:id="5104"/>
      <w:bookmarkEnd w:id="5105"/>
      <w:bookmarkEnd w:id="5106"/>
      <w:bookmarkEnd w:id="5107"/>
      <w:bookmarkEnd w:id="5108"/>
      <w:bookmarkEnd w:id="5109"/>
      <w:bookmarkEnd w:id="5110"/>
      <w:bookmarkEnd w:id="5111"/>
      <w:bookmarkEnd w:id="5112"/>
      <w:bookmarkEnd w:id="5113"/>
      <w:bookmarkEnd w:id="5114"/>
      <w:bookmarkEnd w:id="5115"/>
      <w:bookmarkEnd w:id="5116"/>
    </w:p>
    <w:p w:rsidR="004A147C" w:rsidRPr="00B53FFB" w:rsidRDefault="004A147C" w:rsidP="00CE5850">
      <w:pPr>
        <w:pStyle w:val="ParaNum"/>
        <w:numPr>
          <w:ilvl w:val="0"/>
          <w:numId w:val="28"/>
        </w:numPr>
        <w:rPr>
          <w:sz w:val="22"/>
          <w:szCs w:val="22"/>
        </w:rPr>
      </w:pPr>
      <w:r w:rsidRPr="00B53FFB">
        <w:rPr>
          <w:sz w:val="22"/>
          <w:szCs w:val="22"/>
        </w:rPr>
        <w:t xml:space="preserve">Many applications for mobile smartphones and other mobile devices are available pre-installed on mobile operating systems, through the mobile Internet, and through mobile application stores.  Major categories of mobile applications include: web searching, news and information, e-mail and messaging, games, social networking, location-based services, photo sharing, music and video streaming, and VoIP.  Thousands of niche applications have been designed for specific uses, hobbies, interests, and industries by various third-party application developers.  The range of mobile applications is reflected in a recent survey by Pew Internet and American Life Project which found that 41 percent of cell phone users have used their phones to coordinate a meeting, 35 percent to solve an unexpected problem that they or someone else had, 30 percent to decide whether to visit a business, 27 percent to help settle an argument they were having, 23 percent to look up the score of a sporting event, 20 percent to get traffic or public transit information and 19 percent to get help for an emergency, all within the last 30 days. </w:t>
      </w:r>
      <w:r w:rsidRPr="00B53FFB">
        <w:rPr>
          <w:rStyle w:val="FootnoteReference"/>
          <w:szCs w:val="22"/>
        </w:rPr>
        <w:footnoteReference w:id="1080"/>
      </w:r>
      <w:r w:rsidRPr="00B53FFB">
        <w:rPr>
          <w:sz w:val="22"/>
          <w:szCs w:val="22"/>
        </w:rPr>
        <w:t xml:space="preserve">  </w:t>
      </w:r>
    </w:p>
    <w:p w:rsidR="004A147C" w:rsidRPr="00B53FFB" w:rsidRDefault="004A147C" w:rsidP="00CE5850">
      <w:pPr>
        <w:pStyle w:val="ParaNum"/>
        <w:numPr>
          <w:ilvl w:val="0"/>
          <w:numId w:val="28"/>
        </w:numPr>
        <w:rPr>
          <w:sz w:val="22"/>
          <w:szCs w:val="22"/>
        </w:rPr>
      </w:pPr>
      <w:r w:rsidRPr="00B53FFB">
        <w:rPr>
          <w:sz w:val="22"/>
          <w:szCs w:val="22"/>
        </w:rPr>
        <w:t xml:space="preserve">Most mobile applications are available for download through mobile web browsers and/or through one or multiple mobile application stores, such as the Apple App Store, </w:t>
      </w:r>
      <w:r>
        <w:rPr>
          <w:sz w:val="22"/>
          <w:szCs w:val="22"/>
        </w:rPr>
        <w:t>Google Play</w:t>
      </w:r>
      <w:r w:rsidRPr="00B53FFB">
        <w:rPr>
          <w:sz w:val="22"/>
          <w:szCs w:val="22"/>
        </w:rPr>
        <w:t>, or the Blackberry App World.</w:t>
      </w:r>
      <w:r w:rsidRPr="00B53FFB">
        <w:rPr>
          <w:rStyle w:val="FootnoteReference"/>
          <w:szCs w:val="22"/>
        </w:rPr>
        <w:footnoteReference w:id="1081"/>
      </w:r>
      <w:r w:rsidRPr="00B53FFB">
        <w:rPr>
          <w:sz w:val="22"/>
          <w:szCs w:val="22"/>
        </w:rPr>
        <w:t xml:space="preserve">   Many applications require a mobile Internet connection in order to be downloaded to a mobile device.  Once an application is installed on a mobile device, the application may or may not require a mobile broadband connection to function.  Application stores are specific to particular mobile operating systems, and, in many cases, the application stores may be available only on devices running more recent versions of an operating system or on devices with certain hardware features.  </w:t>
      </w:r>
    </w:p>
    <w:p w:rsidR="00BE1C87" w:rsidRDefault="004A147C" w:rsidP="00BE1C87">
      <w:pPr>
        <w:pStyle w:val="ParaNum"/>
        <w:numPr>
          <w:ilvl w:val="0"/>
          <w:numId w:val="28"/>
        </w:numPr>
        <w:rPr>
          <w:sz w:val="22"/>
          <w:szCs w:val="22"/>
        </w:rPr>
      </w:pPr>
      <w:r w:rsidRPr="00B53FFB">
        <w:rPr>
          <w:sz w:val="22"/>
          <w:szCs w:val="22"/>
        </w:rPr>
        <w:t>The number of mobile applications launched and the number of applications downloaded by consumers has grown significantly over the past three years.  According to BGR, a leading source for mobile news in the U.S., by the end of 2011 U.S. consumers had access to more than 989,863 applications, a number that has grown to over 1,000,000 by mid-2012.</w:t>
      </w:r>
      <w:r w:rsidRPr="00B53FFB">
        <w:rPr>
          <w:rStyle w:val="FootnoteReference"/>
          <w:szCs w:val="22"/>
        </w:rPr>
        <w:footnoteReference w:id="1082"/>
      </w:r>
      <w:r w:rsidRPr="00B53FFB">
        <w:rPr>
          <w:sz w:val="22"/>
          <w:szCs w:val="22"/>
        </w:rPr>
        <w:t xml:space="preserve">  Application stores offer thousands of applications that can be downloaded to mobile devices that have mobile broadband connections (</w:t>
      </w:r>
      <w:r w:rsidR="00951E9B">
        <w:fldChar w:fldCharType="begin"/>
      </w:r>
      <w:r w:rsidR="00951E9B">
        <w:instrText xml:space="preserve"> REF _Ref333138608  \* MERGEFORMAT </w:instrText>
      </w:r>
      <w:r w:rsidR="00951E9B">
        <w:fldChar w:fldCharType="separate"/>
      </w:r>
      <w:r w:rsidR="00CA3AC6" w:rsidRPr="00B53FFB">
        <w:rPr>
          <w:sz w:val="22"/>
          <w:szCs w:val="22"/>
        </w:rPr>
        <w:t xml:space="preserve">Table </w:t>
      </w:r>
      <w:r w:rsidR="00CA3AC6">
        <w:rPr>
          <w:noProof/>
          <w:sz w:val="22"/>
          <w:szCs w:val="22"/>
        </w:rPr>
        <w:t>52</w:t>
      </w:r>
      <w:r w:rsidR="00951E9B">
        <w:rPr>
          <w:noProof/>
          <w:sz w:val="22"/>
          <w:szCs w:val="22"/>
        </w:rPr>
        <w:fldChar w:fldCharType="end"/>
      </w:r>
      <w:r w:rsidRPr="00B53FFB">
        <w:rPr>
          <w:sz w:val="22"/>
          <w:szCs w:val="22"/>
        </w:rPr>
        <w:t xml:space="preserve">).  By </w:t>
      </w:r>
      <w:r>
        <w:rPr>
          <w:sz w:val="22"/>
          <w:szCs w:val="22"/>
        </w:rPr>
        <w:t>September</w:t>
      </w:r>
      <w:r w:rsidRPr="00B53FFB">
        <w:rPr>
          <w:sz w:val="22"/>
          <w:szCs w:val="22"/>
        </w:rPr>
        <w:t xml:space="preserve"> 2012, there were over </w:t>
      </w:r>
      <w:r>
        <w:rPr>
          <w:sz w:val="22"/>
          <w:szCs w:val="22"/>
        </w:rPr>
        <w:t>7</w:t>
      </w:r>
      <w:r w:rsidRPr="00B53FFB">
        <w:rPr>
          <w:sz w:val="22"/>
          <w:szCs w:val="22"/>
        </w:rPr>
        <w:t xml:space="preserve">00,000 applications available from the Apple App Store for the Apple iOS, a number that nearly doubled in less than a year.  The number of applications downloaded from Apple’s App Store grew from 100,000 in 2008 to 25 billion in 2012.  By </w:t>
      </w:r>
      <w:r>
        <w:rPr>
          <w:sz w:val="22"/>
          <w:szCs w:val="22"/>
        </w:rPr>
        <w:t>October</w:t>
      </w:r>
      <w:r w:rsidRPr="00B53FFB">
        <w:rPr>
          <w:sz w:val="22"/>
          <w:szCs w:val="22"/>
        </w:rPr>
        <w:t xml:space="preserve"> 2012, Google Play for the Android operating system offered over </w:t>
      </w:r>
      <w:r>
        <w:rPr>
          <w:sz w:val="22"/>
          <w:szCs w:val="22"/>
        </w:rPr>
        <w:t>675</w:t>
      </w:r>
      <w:r w:rsidRPr="00B53FFB">
        <w:rPr>
          <w:sz w:val="22"/>
          <w:szCs w:val="22"/>
        </w:rPr>
        <w:t xml:space="preserve">,000 applications and had over </w:t>
      </w:r>
      <w:r>
        <w:rPr>
          <w:sz w:val="22"/>
          <w:szCs w:val="22"/>
        </w:rPr>
        <w:t>25</w:t>
      </w:r>
      <w:r w:rsidRPr="00B53FFB">
        <w:rPr>
          <w:sz w:val="22"/>
          <w:szCs w:val="22"/>
        </w:rPr>
        <w:t xml:space="preserve"> billion total downloads.</w:t>
      </w:r>
      <w:bookmarkStart w:id="5117" w:name="_Ref275509561"/>
      <w:r w:rsidRPr="00B53FFB">
        <w:rPr>
          <w:sz w:val="22"/>
          <w:szCs w:val="22"/>
        </w:rPr>
        <w:t xml:space="preserve">  </w:t>
      </w:r>
      <w:r w:rsidR="00951E9B">
        <w:fldChar w:fldCharType="begin"/>
      </w:r>
      <w:r w:rsidR="00951E9B">
        <w:instrText xml:space="preserve"> REF _Ref333139228  \* MERGEFORMAT </w:instrText>
      </w:r>
      <w:r w:rsidR="00951E9B">
        <w:fldChar w:fldCharType="separate"/>
      </w:r>
      <w:r w:rsidR="00CA3AC6" w:rsidRPr="00B53FFB">
        <w:rPr>
          <w:sz w:val="22"/>
          <w:szCs w:val="22"/>
        </w:rPr>
        <w:t xml:space="preserve">Table </w:t>
      </w:r>
      <w:r w:rsidR="00CA3AC6">
        <w:rPr>
          <w:noProof/>
          <w:sz w:val="22"/>
          <w:szCs w:val="22"/>
        </w:rPr>
        <w:t>53</w:t>
      </w:r>
      <w:r w:rsidR="00951E9B">
        <w:rPr>
          <w:noProof/>
          <w:sz w:val="22"/>
          <w:szCs w:val="22"/>
        </w:rPr>
        <w:fldChar w:fldCharType="end"/>
      </w:r>
      <w:r w:rsidRPr="00B53FFB">
        <w:rPr>
          <w:sz w:val="22"/>
          <w:szCs w:val="22"/>
        </w:rPr>
        <w:t xml:space="preserve"> indicates that the top-5 downloaded applications are search, information, messaging, and social networking services.  </w:t>
      </w:r>
      <w:r w:rsidR="00951E9B">
        <w:fldChar w:fldCharType="begin"/>
      </w:r>
      <w:r w:rsidR="00951E9B">
        <w:instrText xml:space="preserve"> REF _Ref275509662  \* MERGEFORMAT </w:instrText>
      </w:r>
      <w:r w:rsidR="00951E9B">
        <w:fldChar w:fldCharType="separate"/>
      </w:r>
      <w:r w:rsidR="00CA3AC6" w:rsidRPr="00B53FFB">
        <w:rPr>
          <w:sz w:val="22"/>
          <w:szCs w:val="22"/>
        </w:rPr>
        <w:t xml:space="preserve">Table </w:t>
      </w:r>
      <w:r w:rsidR="00CA3AC6">
        <w:rPr>
          <w:noProof/>
          <w:sz w:val="22"/>
          <w:szCs w:val="22"/>
        </w:rPr>
        <w:t>54</w:t>
      </w:r>
      <w:r w:rsidR="00951E9B">
        <w:rPr>
          <w:noProof/>
          <w:sz w:val="22"/>
          <w:szCs w:val="22"/>
        </w:rPr>
        <w:fldChar w:fldCharType="end"/>
      </w:r>
      <w:r w:rsidRPr="00B53FFB">
        <w:rPr>
          <w:sz w:val="22"/>
          <w:szCs w:val="22"/>
        </w:rPr>
        <w:t xml:space="preserve"> shows the top categories of applications accessed by users.  </w:t>
      </w:r>
    </w:p>
    <w:p w:rsidR="008F0E05" w:rsidRDefault="008F0E05" w:rsidP="008F0E05">
      <w:pPr>
        <w:pStyle w:val="ParaNum"/>
        <w:tabs>
          <w:tab w:val="clear" w:pos="1440"/>
        </w:tabs>
        <w:rPr>
          <w:sz w:val="22"/>
          <w:szCs w:val="22"/>
        </w:rPr>
      </w:pPr>
    </w:p>
    <w:p w:rsidR="008F0E05" w:rsidRDefault="008F0E05" w:rsidP="008F0E05">
      <w:pPr>
        <w:pStyle w:val="ParaNum"/>
        <w:tabs>
          <w:tab w:val="clear" w:pos="1440"/>
        </w:tabs>
        <w:rPr>
          <w:sz w:val="22"/>
          <w:szCs w:val="22"/>
        </w:rPr>
      </w:pPr>
    </w:p>
    <w:p w:rsidR="008F0E05" w:rsidRDefault="008F0E05" w:rsidP="008F0E05">
      <w:pPr>
        <w:pStyle w:val="ParaNum"/>
        <w:tabs>
          <w:tab w:val="clear" w:pos="1440"/>
        </w:tabs>
        <w:rPr>
          <w:sz w:val="22"/>
          <w:szCs w:val="22"/>
        </w:rPr>
      </w:pPr>
    </w:p>
    <w:p w:rsidR="008F0E05" w:rsidRDefault="008F0E05" w:rsidP="008F0E05">
      <w:pPr>
        <w:pStyle w:val="ParaNum"/>
        <w:tabs>
          <w:tab w:val="clear" w:pos="1440"/>
        </w:tabs>
        <w:rPr>
          <w:sz w:val="22"/>
          <w:szCs w:val="22"/>
        </w:rPr>
      </w:pPr>
    </w:p>
    <w:p w:rsidR="008F0E05" w:rsidRDefault="008F0E05" w:rsidP="008F0E05">
      <w:pPr>
        <w:pStyle w:val="ParaNum"/>
        <w:tabs>
          <w:tab w:val="clear" w:pos="1440"/>
        </w:tabs>
        <w:rPr>
          <w:sz w:val="22"/>
          <w:szCs w:val="22"/>
        </w:rPr>
      </w:pPr>
    </w:p>
    <w:p w:rsidR="008F0E05" w:rsidRDefault="008F0E05" w:rsidP="008F0E05">
      <w:pPr>
        <w:pStyle w:val="ParaNum"/>
        <w:tabs>
          <w:tab w:val="clear" w:pos="1440"/>
        </w:tabs>
        <w:rPr>
          <w:sz w:val="22"/>
          <w:szCs w:val="22"/>
        </w:rPr>
      </w:pPr>
    </w:p>
    <w:p w:rsidR="008F0E05" w:rsidRDefault="008F0E05" w:rsidP="008F0E05">
      <w:pPr>
        <w:pStyle w:val="ParaNum"/>
        <w:tabs>
          <w:tab w:val="clear" w:pos="1440"/>
        </w:tabs>
        <w:rPr>
          <w:sz w:val="22"/>
          <w:szCs w:val="22"/>
        </w:rPr>
      </w:pPr>
    </w:p>
    <w:p w:rsidR="008F0E05" w:rsidRDefault="008F0E05" w:rsidP="008F0E05">
      <w:pPr>
        <w:pStyle w:val="ParaNum"/>
        <w:tabs>
          <w:tab w:val="clear" w:pos="1440"/>
        </w:tabs>
        <w:rPr>
          <w:sz w:val="22"/>
          <w:szCs w:val="22"/>
        </w:rPr>
      </w:pPr>
    </w:p>
    <w:p w:rsidR="008F0E05" w:rsidRDefault="008F0E05" w:rsidP="008F0E05">
      <w:pPr>
        <w:pStyle w:val="ParaNum"/>
        <w:tabs>
          <w:tab w:val="clear" w:pos="1440"/>
        </w:tabs>
        <w:rPr>
          <w:sz w:val="22"/>
          <w:szCs w:val="22"/>
        </w:rPr>
      </w:pPr>
    </w:p>
    <w:p w:rsidR="008F0E05" w:rsidRDefault="008F0E05" w:rsidP="008F0E05">
      <w:pPr>
        <w:pStyle w:val="ParaNum"/>
        <w:tabs>
          <w:tab w:val="clear" w:pos="1440"/>
        </w:tabs>
        <w:rPr>
          <w:sz w:val="22"/>
          <w:szCs w:val="22"/>
        </w:rPr>
      </w:pPr>
    </w:p>
    <w:p w:rsidR="008F0E05" w:rsidRDefault="008F0E05" w:rsidP="008F0E05">
      <w:pPr>
        <w:pStyle w:val="ParaNum"/>
        <w:tabs>
          <w:tab w:val="clear" w:pos="1440"/>
        </w:tabs>
        <w:rPr>
          <w:sz w:val="22"/>
          <w:szCs w:val="22"/>
        </w:rPr>
      </w:pPr>
    </w:p>
    <w:p w:rsidR="008F0E05" w:rsidRDefault="008F0E05" w:rsidP="008F0E05">
      <w:pPr>
        <w:pStyle w:val="ParaNum"/>
        <w:tabs>
          <w:tab w:val="clear" w:pos="1440"/>
        </w:tabs>
        <w:rPr>
          <w:sz w:val="22"/>
          <w:szCs w:val="22"/>
        </w:rPr>
      </w:pPr>
    </w:p>
    <w:p w:rsidR="008F0E05" w:rsidRDefault="008F0E05" w:rsidP="008F0E05">
      <w:pPr>
        <w:pStyle w:val="ParaNum"/>
        <w:tabs>
          <w:tab w:val="clear" w:pos="1440"/>
        </w:tabs>
        <w:rPr>
          <w:sz w:val="22"/>
          <w:szCs w:val="22"/>
        </w:rPr>
      </w:pPr>
    </w:p>
    <w:p w:rsidR="008F0E05" w:rsidRDefault="008F0E05" w:rsidP="008F0E05">
      <w:pPr>
        <w:pStyle w:val="ParaNum"/>
        <w:tabs>
          <w:tab w:val="clear" w:pos="1440"/>
        </w:tabs>
        <w:rPr>
          <w:sz w:val="22"/>
          <w:szCs w:val="22"/>
        </w:rPr>
      </w:pPr>
    </w:p>
    <w:p w:rsidR="008F0E05" w:rsidRDefault="008F0E05" w:rsidP="008F0E05">
      <w:pPr>
        <w:pStyle w:val="ParaNum"/>
        <w:tabs>
          <w:tab w:val="clear" w:pos="1440"/>
        </w:tabs>
        <w:rPr>
          <w:sz w:val="22"/>
          <w:szCs w:val="22"/>
        </w:rPr>
      </w:pPr>
    </w:p>
    <w:p w:rsidR="008F0E05" w:rsidRDefault="008F0E05" w:rsidP="008F0E05">
      <w:pPr>
        <w:pStyle w:val="ParaNum"/>
        <w:tabs>
          <w:tab w:val="clear" w:pos="1440"/>
        </w:tabs>
        <w:rPr>
          <w:sz w:val="22"/>
          <w:szCs w:val="22"/>
        </w:rPr>
      </w:pPr>
    </w:p>
    <w:p w:rsidR="008F0E05" w:rsidRDefault="008F0E05" w:rsidP="008F0E05">
      <w:pPr>
        <w:pStyle w:val="ParaNum"/>
        <w:tabs>
          <w:tab w:val="clear" w:pos="1440"/>
        </w:tabs>
        <w:rPr>
          <w:sz w:val="22"/>
          <w:szCs w:val="22"/>
        </w:rPr>
      </w:pPr>
    </w:p>
    <w:p w:rsidR="008F0E05" w:rsidRDefault="008F0E05" w:rsidP="008F0E05">
      <w:pPr>
        <w:pStyle w:val="ParaNum"/>
        <w:tabs>
          <w:tab w:val="clear" w:pos="1440"/>
        </w:tabs>
        <w:rPr>
          <w:sz w:val="22"/>
          <w:szCs w:val="22"/>
        </w:rPr>
      </w:pPr>
    </w:p>
    <w:p w:rsidR="008F0E05" w:rsidRDefault="008F0E05" w:rsidP="008F0E05">
      <w:pPr>
        <w:pStyle w:val="ParaNum"/>
        <w:tabs>
          <w:tab w:val="clear" w:pos="1440"/>
        </w:tabs>
        <w:rPr>
          <w:sz w:val="22"/>
          <w:szCs w:val="22"/>
        </w:rPr>
      </w:pPr>
    </w:p>
    <w:p w:rsidR="008F0E05" w:rsidRDefault="008F0E05" w:rsidP="008F0E05">
      <w:pPr>
        <w:pStyle w:val="ParaNum"/>
        <w:tabs>
          <w:tab w:val="clear" w:pos="1440"/>
        </w:tabs>
        <w:rPr>
          <w:sz w:val="22"/>
          <w:szCs w:val="22"/>
        </w:rPr>
      </w:pPr>
    </w:p>
    <w:p w:rsidR="008F0E05" w:rsidRDefault="008F0E05" w:rsidP="008F0E05">
      <w:pPr>
        <w:pStyle w:val="ParaNum"/>
        <w:tabs>
          <w:tab w:val="clear" w:pos="1440"/>
        </w:tabs>
        <w:rPr>
          <w:sz w:val="22"/>
          <w:szCs w:val="22"/>
        </w:rPr>
      </w:pPr>
    </w:p>
    <w:p w:rsidR="008F0E05" w:rsidRDefault="008F0E05" w:rsidP="008F0E05">
      <w:pPr>
        <w:pStyle w:val="ParaNum"/>
        <w:tabs>
          <w:tab w:val="clear" w:pos="1440"/>
        </w:tabs>
        <w:rPr>
          <w:sz w:val="22"/>
          <w:szCs w:val="22"/>
        </w:rPr>
      </w:pPr>
    </w:p>
    <w:p w:rsidR="008F0E05" w:rsidRDefault="008F0E05" w:rsidP="008F0E05">
      <w:pPr>
        <w:pStyle w:val="ParaNum"/>
        <w:tabs>
          <w:tab w:val="clear" w:pos="1440"/>
        </w:tabs>
        <w:rPr>
          <w:sz w:val="22"/>
          <w:szCs w:val="22"/>
        </w:rPr>
      </w:pPr>
    </w:p>
    <w:p w:rsidR="008F0E05" w:rsidRPr="00BE1C87" w:rsidRDefault="008F0E05" w:rsidP="008F0E05">
      <w:pPr>
        <w:pStyle w:val="ParaNum"/>
        <w:tabs>
          <w:tab w:val="clear" w:pos="1440"/>
        </w:tabs>
        <w:ind w:firstLine="0"/>
        <w:rPr>
          <w:sz w:val="22"/>
          <w:szCs w:val="22"/>
        </w:rPr>
      </w:pPr>
    </w:p>
    <w:p w:rsidR="004A147C" w:rsidRPr="00B53FFB" w:rsidRDefault="004A147C" w:rsidP="00CE5850">
      <w:pPr>
        <w:pStyle w:val="Caption"/>
        <w:widowControl w:val="0"/>
        <w:jc w:val="center"/>
        <w:rPr>
          <w:sz w:val="22"/>
          <w:szCs w:val="22"/>
        </w:rPr>
      </w:pPr>
      <w:bookmarkStart w:id="5118" w:name="_Ref333138608"/>
      <w:r w:rsidRPr="00B53FFB">
        <w:rPr>
          <w:sz w:val="22"/>
          <w:szCs w:val="22"/>
        </w:rPr>
        <w:t xml:space="preserve">Table </w:t>
      </w:r>
      <w:r w:rsidR="0007014B" w:rsidRPr="00B53FFB">
        <w:rPr>
          <w:sz w:val="22"/>
          <w:szCs w:val="22"/>
        </w:rPr>
        <w:fldChar w:fldCharType="begin"/>
      </w:r>
      <w:r w:rsidRPr="00B53FFB">
        <w:rPr>
          <w:sz w:val="22"/>
          <w:szCs w:val="22"/>
        </w:rPr>
        <w:instrText xml:space="preserve"> SEQ Table \* ARABIC </w:instrText>
      </w:r>
      <w:r w:rsidR="0007014B" w:rsidRPr="00B53FFB">
        <w:rPr>
          <w:sz w:val="22"/>
          <w:szCs w:val="22"/>
        </w:rPr>
        <w:fldChar w:fldCharType="separate"/>
      </w:r>
      <w:r w:rsidR="00CA3AC6">
        <w:rPr>
          <w:noProof/>
          <w:sz w:val="22"/>
          <w:szCs w:val="22"/>
        </w:rPr>
        <w:t>52</w:t>
      </w:r>
      <w:r w:rsidR="0007014B" w:rsidRPr="00B53FFB">
        <w:rPr>
          <w:sz w:val="22"/>
          <w:szCs w:val="22"/>
        </w:rPr>
        <w:fldChar w:fldCharType="end"/>
      </w:r>
      <w:bookmarkEnd w:id="5117"/>
      <w:bookmarkEnd w:id="5118"/>
      <w:r w:rsidRPr="00B53FFB">
        <w:rPr>
          <w:sz w:val="22"/>
          <w:szCs w:val="22"/>
        </w:rPr>
        <w:br/>
        <w:t xml:space="preserve">Estimated </w:t>
      </w:r>
      <w:r>
        <w:rPr>
          <w:sz w:val="22"/>
          <w:szCs w:val="22"/>
        </w:rPr>
        <w:t xml:space="preserve">Number of </w:t>
      </w:r>
      <w:r w:rsidRPr="00B53FFB">
        <w:rPr>
          <w:sz w:val="22"/>
          <w:szCs w:val="22"/>
        </w:rPr>
        <w:t>Applications Available</w:t>
      </w:r>
      <w:r w:rsidRPr="0078346C">
        <w:rPr>
          <w:rStyle w:val="FootnoteReference"/>
          <w:b w:val="0"/>
          <w:szCs w:val="22"/>
        </w:rPr>
        <w:footnoteReference w:id="1083"/>
      </w:r>
    </w:p>
    <w:tbl>
      <w:tblPr>
        <w:tblW w:w="8820" w:type="dxa"/>
        <w:tblInd w:w="1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196"/>
        <w:gridCol w:w="2034"/>
        <w:gridCol w:w="2610"/>
        <w:gridCol w:w="1980"/>
      </w:tblGrid>
      <w:tr w:rsidR="004A147C" w:rsidRPr="00B53FFB" w:rsidTr="00900D94">
        <w:tc>
          <w:tcPr>
            <w:tcW w:w="2196" w:type="dxa"/>
          </w:tcPr>
          <w:p w:rsidR="004A147C" w:rsidRPr="00B53FFB" w:rsidRDefault="004A147C" w:rsidP="00CE5850">
            <w:pPr>
              <w:jc w:val="center"/>
              <w:rPr>
                <w:b/>
                <w:szCs w:val="22"/>
              </w:rPr>
            </w:pPr>
            <w:r w:rsidRPr="00B53FFB">
              <w:rPr>
                <w:b/>
                <w:szCs w:val="22"/>
              </w:rPr>
              <w:t>Application Store</w:t>
            </w:r>
          </w:p>
        </w:tc>
        <w:tc>
          <w:tcPr>
            <w:tcW w:w="2034" w:type="dxa"/>
          </w:tcPr>
          <w:p w:rsidR="004A147C" w:rsidRPr="00B53FFB" w:rsidRDefault="004A147C" w:rsidP="00CE5850">
            <w:pPr>
              <w:jc w:val="center"/>
              <w:rPr>
                <w:b/>
                <w:szCs w:val="22"/>
              </w:rPr>
            </w:pPr>
            <w:r w:rsidRPr="00B53FFB">
              <w:rPr>
                <w:b/>
                <w:szCs w:val="22"/>
              </w:rPr>
              <w:t>2010</w:t>
            </w:r>
          </w:p>
        </w:tc>
        <w:tc>
          <w:tcPr>
            <w:tcW w:w="2610" w:type="dxa"/>
          </w:tcPr>
          <w:p w:rsidR="004A147C" w:rsidRPr="00B53FFB" w:rsidRDefault="004A147C" w:rsidP="00CE5850">
            <w:pPr>
              <w:jc w:val="center"/>
              <w:rPr>
                <w:b/>
                <w:szCs w:val="22"/>
              </w:rPr>
            </w:pPr>
            <w:r w:rsidRPr="00B53FFB">
              <w:rPr>
                <w:b/>
                <w:szCs w:val="22"/>
              </w:rPr>
              <w:t>2011</w:t>
            </w:r>
          </w:p>
        </w:tc>
        <w:tc>
          <w:tcPr>
            <w:tcW w:w="1980" w:type="dxa"/>
          </w:tcPr>
          <w:p w:rsidR="004A147C" w:rsidRPr="00B53FFB" w:rsidRDefault="004A147C" w:rsidP="00CE5850">
            <w:pPr>
              <w:jc w:val="center"/>
              <w:rPr>
                <w:b/>
                <w:szCs w:val="22"/>
              </w:rPr>
            </w:pPr>
            <w:r w:rsidRPr="00B53FFB">
              <w:rPr>
                <w:b/>
                <w:szCs w:val="22"/>
              </w:rPr>
              <w:t>2012</w:t>
            </w:r>
          </w:p>
        </w:tc>
      </w:tr>
      <w:tr w:rsidR="004A147C" w:rsidRPr="00B53FFB" w:rsidTr="00900D94">
        <w:tc>
          <w:tcPr>
            <w:tcW w:w="2196" w:type="dxa"/>
          </w:tcPr>
          <w:p w:rsidR="004A147C" w:rsidRPr="00B53FFB" w:rsidRDefault="004A147C" w:rsidP="00CE5850">
            <w:pPr>
              <w:jc w:val="center"/>
              <w:rPr>
                <w:szCs w:val="22"/>
              </w:rPr>
            </w:pPr>
            <w:r w:rsidRPr="00B53FFB">
              <w:rPr>
                <w:szCs w:val="22"/>
              </w:rPr>
              <w:t>Apple App Store</w:t>
            </w:r>
          </w:p>
        </w:tc>
        <w:tc>
          <w:tcPr>
            <w:tcW w:w="2034" w:type="dxa"/>
          </w:tcPr>
          <w:p w:rsidR="004A147C" w:rsidRPr="00B53FFB" w:rsidRDefault="004A147C" w:rsidP="00CE5850">
            <w:pPr>
              <w:jc w:val="center"/>
              <w:rPr>
                <w:szCs w:val="22"/>
              </w:rPr>
            </w:pPr>
            <w:r w:rsidRPr="00B53FFB">
              <w:rPr>
                <w:szCs w:val="22"/>
              </w:rPr>
              <w:t>250,000</w:t>
            </w:r>
          </w:p>
        </w:tc>
        <w:tc>
          <w:tcPr>
            <w:tcW w:w="2610" w:type="dxa"/>
          </w:tcPr>
          <w:p w:rsidR="004A147C" w:rsidRPr="00B53FFB" w:rsidRDefault="004A147C" w:rsidP="00CE5850">
            <w:pPr>
              <w:jc w:val="center"/>
              <w:rPr>
                <w:szCs w:val="22"/>
              </w:rPr>
            </w:pPr>
            <w:r w:rsidRPr="00B53FFB">
              <w:rPr>
                <w:szCs w:val="22"/>
              </w:rPr>
              <w:t>425,000</w:t>
            </w:r>
            <w:r w:rsidRPr="00B53FFB">
              <w:rPr>
                <w:rStyle w:val="FootnoteReference"/>
                <w:szCs w:val="22"/>
              </w:rPr>
              <w:footnoteReference w:id="1084"/>
            </w:r>
          </w:p>
        </w:tc>
        <w:tc>
          <w:tcPr>
            <w:tcW w:w="1980" w:type="dxa"/>
          </w:tcPr>
          <w:p w:rsidR="004A147C" w:rsidRPr="00B53FFB" w:rsidRDefault="004A147C" w:rsidP="00CE5850">
            <w:pPr>
              <w:jc w:val="center"/>
              <w:rPr>
                <w:szCs w:val="22"/>
              </w:rPr>
            </w:pPr>
            <w:r>
              <w:rPr>
                <w:szCs w:val="22"/>
              </w:rPr>
              <w:t>7</w:t>
            </w:r>
            <w:r w:rsidRPr="00B53FFB">
              <w:rPr>
                <w:szCs w:val="22"/>
              </w:rPr>
              <w:t>00,000</w:t>
            </w:r>
            <w:r w:rsidRPr="00B53FFB">
              <w:rPr>
                <w:rStyle w:val="FootnoteReference"/>
                <w:szCs w:val="22"/>
              </w:rPr>
              <w:footnoteReference w:id="1085"/>
            </w:r>
          </w:p>
        </w:tc>
      </w:tr>
      <w:tr w:rsidR="004A147C" w:rsidRPr="00B53FFB" w:rsidTr="00900D94">
        <w:tc>
          <w:tcPr>
            <w:tcW w:w="2196" w:type="dxa"/>
          </w:tcPr>
          <w:p w:rsidR="004A147C" w:rsidRPr="00B53FFB" w:rsidRDefault="004A147C" w:rsidP="00CE5850">
            <w:pPr>
              <w:jc w:val="center"/>
              <w:rPr>
                <w:szCs w:val="22"/>
              </w:rPr>
            </w:pPr>
            <w:r w:rsidRPr="00B53FFB">
              <w:rPr>
                <w:szCs w:val="22"/>
              </w:rPr>
              <w:t>Google Play</w:t>
            </w:r>
            <w:r w:rsidRPr="00B53FFB">
              <w:rPr>
                <w:rStyle w:val="FootnoteReference"/>
                <w:szCs w:val="22"/>
              </w:rPr>
              <w:footnoteReference w:id="1086"/>
            </w:r>
          </w:p>
        </w:tc>
        <w:tc>
          <w:tcPr>
            <w:tcW w:w="2034" w:type="dxa"/>
          </w:tcPr>
          <w:p w:rsidR="004A147C" w:rsidRPr="00B53FFB" w:rsidRDefault="004A147C" w:rsidP="00CE5850">
            <w:pPr>
              <w:jc w:val="center"/>
              <w:rPr>
                <w:szCs w:val="22"/>
              </w:rPr>
            </w:pPr>
            <w:r w:rsidRPr="00B53FFB">
              <w:rPr>
                <w:szCs w:val="22"/>
              </w:rPr>
              <w:t>80,000</w:t>
            </w:r>
          </w:p>
        </w:tc>
        <w:tc>
          <w:tcPr>
            <w:tcW w:w="2610" w:type="dxa"/>
          </w:tcPr>
          <w:p w:rsidR="004A147C" w:rsidRPr="00B53FFB" w:rsidRDefault="004A147C" w:rsidP="00CE5850">
            <w:pPr>
              <w:jc w:val="center"/>
              <w:rPr>
                <w:szCs w:val="22"/>
              </w:rPr>
            </w:pPr>
            <w:r w:rsidRPr="00B53FFB">
              <w:rPr>
                <w:szCs w:val="22"/>
              </w:rPr>
              <w:t>200,000</w:t>
            </w:r>
            <w:r w:rsidRPr="00B53FFB">
              <w:rPr>
                <w:rStyle w:val="FootnoteReference"/>
                <w:szCs w:val="22"/>
              </w:rPr>
              <w:footnoteReference w:id="1087"/>
            </w:r>
          </w:p>
        </w:tc>
        <w:tc>
          <w:tcPr>
            <w:tcW w:w="1980" w:type="dxa"/>
          </w:tcPr>
          <w:p w:rsidR="004A147C" w:rsidRPr="00B53FFB" w:rsidRDefault="004A147C" w:rsidP="00CE5850">
            <w:pPr>
              <w:jc w:val="center"/>
              <w:rPr>
                <w:szCs w:val="22"/>
              </w:rPr>
            </w:pPr>
            <w:r w:rsidRPr="00E1307D">
              <w:rPr>
                <w:szCs w:val="22"/>
              </w:rPr>
              <w:t>675,000</w:t>
            </w:r>
            <w:r w:rsidRPr="00B53FFB">
              <w:rPr>
                <w:rStyle w:val="FootnoteReference"/>
                <w:szCs w:val="22"/>
              </w:rPr>
              <w:footnoteReference w:id="1088"/>
            </w:r>
          </w:p>
        </w:tc>
      </w:tr>
      <w:tr w:rsidR="004A147C" w:rsidRPr="00B53FFB" w:rsidTr="00900D94">
        <w:tc>
          <w:tcPr>
            <w:tcW w:w="2196" w:type="dxa"/>
          </w:tcPr>
          <w:p w:rsidR="004A147C" w:rsidRPr="00B53FFB" w:rsidRDefault="004A147C" w:rsidP="00CE5850">
            <w:pPr>
              <w:jc w:val="center"/>
              <w:rPr>
                <w:szCs w:val="22"/>
              </w:rPr>
            </w:pPr>
            <w:r w:rsidRPr="00B53FFB">
              <w:rPr>
                <w:szCs w:val="22"/>
              </w:rPr>
              <w:t>Blackberry App World</w:t>
            </w:r>
          </w:p>
        </w:tc>
        <w:tc>
          <w:tcPr>
            <w:tcW w:w="2034" w:type="dxa"/>
          </w:tcPr>
          <w:p w:rsidR="004A147C" w:rsidRPr="00B53FFB" w:rsidRDefault="004A147C" w:rsidP="00CE5850">
            <w:pPr>
              <w:jc w:val="center"/>
              <w:rPr>
                <w:szCs w:val="22"/>
              </w:rPr>
            </w:pPr>
            <w:r w:rsidRPr="00B53FFB">
              <w:rPr>
                <w:szCs w:val="22"/>
              </w:rPr>
              <w:t>12,000</w:t>
            </w:r>
          </w:p>
        </w:tc>
        <w:tc>
          <w:tcPr>
            <w:tcW w:w="2610" w:type="dxa"/>
          </w:tcPr>
          <w:p w:rsidR="004A147C" w:rsidRPr="00B53FFB" w:rsidRDefault="004A147C" w:rsidP="00CE5850">
            <w:pPr>
              <w:jc w:val="center"/>
              <w:rPr>
                <w:szCs w:val="22"/>
              </w:rPr>
            </w:pPr>
            <w:r w:rsidRPr="00B53FFB">
              <w:rPr>
                <w:szCs w:val="22"/>
              </w:rPr>
              <w:t>50,000</w:t>
            </w:r>
            <w:r w:rsidRPr="00B53FFB">
              <w:rPr>
                <w:rStyle w:val="FootnoteReference"/>
                <w:szCs w:val="22"/>
              </w:rPr>
              <w:footnoteReference w:id="1089"/>
            </w:r>
          </w:p>
        </w:tc>
        <w:tc>
          <w:tcPr>
            <w:tcW w:w="1980" w:type="dxa"/>
          </w:tcPr>
          <w:p w:rsidR="004A147C" w:rsidRPr="00B53FFB" w:rsidRDefault="004A147C" w:rsidP="00CE5850">
            <w:pPr>
              <w:jc w:val="center"/>
              <w:rPr>
                <w:szCs w:val="22"/>
              </w:rPr>
            </w:pPr>
            <w:r w:rsidRPr="00B53FFB">
              <w:rPr>
                <w:szCs w:val="22"/>
              </w:rPr>
              <w:t>70,000</w:t>
            </w:r>
            <w:r w:rsidRPr="00B53FFB">
              <w:rPr>
                <w:rStyle w:val="FootnoteReference"/>
                <w:szCs w:val="22"/>
              </w:rPr>
              <w:footnoteReference w:id="1090"/>
            </w:r>
          </w:p>
        </w:tc>
      </w:tr>
      <w:tr w:rsidR="004A147C" w:rsidRPr="00B53FFB" w:rsidTr="00900D94">
        <w:tc>
          <w:tcPr>
            <w:tcW w:w="2196" w:type="dxa"/>
          </w:tcPr>
          <w:p w:rsidR="004A147C" w:rsidRPr="00B53FFB" w:rsidRDefault="004A147C" w:rsidP="00CE5850">
            <w:pPr>
              <w:jc w:val="center"/>
              <w:rPr>
                <w:szCs w:val="22"/>
              </w:rPr>
            </w:pPr>
            <w:r w:rsidRPr="00B53FFB">
              <w:rPr>
                <w:szCs w:val="22"/>
              </w:rPr>
              <w:t>Nokia Ovi Store</w:t>
            </w:r>
          </w:p>
        </w:tc>
        <w:tc>
          <w:tcPr>
            <w:tcW w:w="2034" w:type="dxa"/>
          </w:tcPr>
          <w:p w:rsidR="004A147C" w:rsidRPr="00B53FFB" w:rsidRDefault="004A147C" w:rsidP="00CE5850">
            <w:pPr>
              <w:jc w:val="center"/>
              <w:rPr>
                <w:szCs w:val="22"/>
              </w:rPr>
            </w:pPr>
            <w:r w:rsidRPr="00B53FFB">
              <w:rPr>
                <w:szCs w:val="22"/>
              </w:rPr>
              <w:t>13,000</w:t>
            </w:r>
          </w:p>
        </w:tc>
        <w:tc>
          <w:tcPr>
            <w:tcW w:w="2610" w:type="dxa"/>
          </w:tcPr>
          <w:p w:rsidR="004A147C" w:rsidRPr="00B53FFB" w:rsidRDefault="004A147C" w:rsidP="00CE5850">
            <w:pPr>
              <w:jc w:val="center"/>
              <w:rPr>
                <w:szCs w:val="22"/>
              </w:rPr>
            </w:pPr>
            <w:r w:rsidRPr="00B53FFB">
              <w:rPr>
                <w:szCs w:val="22"/>
              </w:rPr>
              <w:t>30,000</w:t>
            </w:r>
            <w:r w:rsidRPr="00B53FFB">
              <w:rPr>
                <w:rStyle w:val="FootnoteReference"/>
                <w:szCs w:val="22"/>
              </w:rPr>
              <w:footnoteReference w:id="1091"/>
            </w:r>
          </w:p>
        </w:tc>
        <w:tc>
          <w:tcPr>
            <w:tcW w:w="1980" w:type="dxa"/>
          </w:tcPr>
          <w:p w:rsidR="004A147C" w:rsidRPr="00B53FFB" w:rsidRDefault="004A147C" w:rsidP="00CE5850">
            <w:pPr>
              <w:jc w:val="center"/>
              <w:rPr>
                <w:szCs w:val="22"/>
              </w:rPr>
            </w:pPr>
            <w:r w:rsidRPr="00B53FFB">
              <w:rPr>
                <w:szCs w:val="22"/>
              </w:rPr>
              <w:t>50,000</w:t>
            </w:r>
            <w:r w:rsidRPr="00B53FFB">
              <w:rPr>
                <w:rStyle w:val="FootnoteReference"/>
                <w:szCs w:val="22"/>
              </w:rPr>
              <w:footnoteReference w:id="1092"/>
            </w:r>
          </w:p>
        </w:tc>
      </w:tr>
      <w:tr w:rsidR="004A147C" w:rsidRPr="00B53FFB" w:rsidTr="00900D94">
        <w:tc>
          <w:tcPr>
            <w:tcW w:w="2196" w:type="dxa"/>
          </w:tcPr>
          <w:p w:rsidR="004A147C" w:rsidRPr="00B53FFB" w:rsidRDefault="004A147C" w:rsidP="00CE5850">
            <w:pPr>
              <w:jc w:val="center"/>
              <w:rPr>
                <w:szCs w:val="22"/>
              </w:rPr>
            </w:pPr>
            <w:r w:rsidRPr="00B53FFB">
              <w:rPr>
                <w:szCs w:val="22"/>
              </w:rPr>
              <w:t>Windows Mobile Marketplace</w:t>
            </w:r>
          </w:p>
        </w:tc>
        <w:tc>
          <w:tcPr>
            <w:tcW w:w="2034" w:type="dxa"/>
          </w:tcPr>
          <w:p w:rsidR="004A147C" w:rsidRPr="00B53FFB" w:rsidRDefault="004A147C" w:rsidP="00CE5850">
            <w:pPr>
              <w:jc w:val="center"/>
              <w:rPr>
                <w:szCs w:val="22"/>
              </w:rPr>
            </w:pPr>
            <w:r w:rsidRPr="00B53FFB">
              <w:rPr>
                <w:szCs w:val="22"/>
              </w:rPr>
              <w:t>1,350</w:t>
            </w:r>
          </w:p>
        </w:tc>
        <w:tc>
          <w:tcPr>
            <w:tcW w:w="2610" w:type="dxa"/>
          </w:tcPr>
          <w:p w:rsidR="004A147C" w:rsidRPr="00B53FFB" w:rsidRDefault="004A147C" w:rsidP="00CE5850">
            <w:pPr>
              <w:jc w:val="center"/>
              <w:rPr>
                <w:szCs w:val="22"/>
              </w:rPr>
            </w:pPr>
            <w:r w:rsidRPr="00B53FFB">
              <w:rPr>
                <w:szCs w:val="22"/>
              </w:rPr>
              <w:t>20,000</w:t>
            </w:r>
            <w:r w:rsidRPr="00B53FFB">
              <w:rPr>
                <w:rStyle w:val="FootnoteReference"/>
                <w:szCs w:val="22"/>
              </w:rPr>
              <w:footnoteReference w:id="1093"/>
            </w:r>
          </w:p>
        </w:tc>
        <w:tc>
          <w:tcPr>
            <w:tcW w:w="1980" w:type="dxa"/>
          </w:tcPr>
          <w:p w:rsidR="004A147C" w:rsidRPr="00B53FFB" w:rsidRDefault="004A147C" w:rsidP="00CE5850">
            <w:pPr>
              <w:jc w:val="center"/>
              <w:rPr>
                <w:szCs w:val="22"/>
              </w:rPr>
            </w:pPr>
            <w:r w:rsidRPr="00B53FFB">
              <w:rPr>
                <w:szCs w:val="22"/>
              </w:rPr>
              <w:t>30,000</w:t>
            </w:r>
            <w:r w:rsidRPr="00B53FFB">
              <w:rPr>
                <w:rStyle w:val="FootnoteReference"/>
                <w:szCs w:val="22"/>
              </w:rPr>
              <w:footnoteReference w:id="1094"/>
            </w:r>
          </w:p>
        </w:tc>
      </w:tr>
    </w:tbl>
    <w:p w:rsidR="004A147C" w:rsidRPr="00B53FFB" w:rsidRDefault="004A147C" w:rsidP="00CE5850">
      <w:pPr>
        <w:pStyle w:val="ParaNum"/>
        <w:tabs>
          <w:tab w:val="clear" w:pos="1440"/>
        </w:tabs>
        <w:ind w:firstLine="0"/>
        <w:rPr>
          <w:sz w:val="22"/>
          <w:szCs w:val="22"/>
        </w:rPr>
      </w:pPr>
    </w:p>
    <w:p w:rsidR="004A147C" w:rsidRPr="00B53FFB" w:rsidRDefault="004A147C" w:rsidP="00CE5850">
      <w:pPr>
        <w:pStyle w:val="Caption"/>
        <w:widowControl w:val="0"/>
        <w:spacing w:after="0"/>
        <w:jc w:val="center"/>
        <w:rPr>
          <w:b w:val="0"/>
          <w:sz w:val="22"/>
          <w:szCs w:val="22"/>
        </w:rPr>
      </w:pPr>
      <w:bookmarkStart w:id="5119" w:name="_Ref333139228"/>
      <w:r w:rsidRPr="00B53FFB">
        <w:rPr>
          <w:sz w:val="22"/>
          <w:szCs w:val="22"/>
        </w:rPr>
        <w:t xml:space="preserve">Table </w:t>
      </w:r>
      <w:r w:rsidR="0007014B" w:rsidRPr="00B53FFB">
        <w:rPr>
          <w:sz w:val="22"/>
          <w:szCs w:val="22"/>
        </w:rPr>
        <w:fldChar w:fldCharType="begin"/>
      </w:r>
      <w:r w:rsidRPr="00B53FFB">
        <w:rPr>
          <w:sz w:val="22"/>
          <w:szCs w:val="22"/>
        </w:rPr>
        <w:instrText xml:space="preserve"> SEQ Table \* ARABIC </w:instrText>
      </w:r>
      <w:r w:rsidR="0007014B" w:rsidRPr="00B53FFB">
        <w:rPr>
          <w:sz w:val="22"/>
          <w:szCs w:val="22"/>
        </w:rPr>
        <w:fldChar w:fldCharType="separate"/>
      </w:r>
      <w:r w:rsidR="00CA3AC6">
        <w:rPr>
          <w:noProof/>
          <w:sz w:val="22"/>
          <w:szCs w:val="22"/>
        </w:rPr>
        <w:t>53</w:t>
      </w:r>
      <w:r w:rsidR="0007014B" w:rsidRPr="00B53FFB">
        <w:rPr>
          <w:sz w:val="22"/>
          <w:szCs w:val="22"/>
        </w:rPr>
        <w:fldChar w:fldCharType="end"/>
      </w:r>
      <w:bookmarkEnd w:id="5119"/>
    </w:p>
    <w:p w:rsidR="004A147C" w:rsidRPr="00642F9A" w:rsidRDefault="004A147C" w:rsidP="00CE5850">
      <w:pPr>
        <w:pStyle w:val="ParaNum"/>
        <w:tabs>
          <w:tab w:val="clear" w:pos="1440"/>
        </w:tabs>
        <w:ind w:left="720" w:firstLine="0"/>
        <w:jc w:val="center"/>
        <w:rPr>
          <w:b/>
          <w:sz w:val="22"/>
          <w:szCs w:val="22"/>
        </w:rPr>
      </w:pPr>
      <w:r w:rsidRPr="00B53FFB">
        <w:rPr>
          <w:b/>
          <w:sz w:val="22"/>
          <w:szCs w:val="22"/>
        </w:rPr>
        <w:t>Top-5 Applications Downloaded by Smartphone Users, May 2012</w:t>
      </w:r>
      <w:r w:rsidRPr="00B53FFB">
        <w:rPr>
          <w:rStyle w:val="FootnoteReference"/>
          <w:szCs w:val="22"/>
        </w:rPr>
        <w:footnoteReference w:id="1095"/>
      </w:r>
    </w:p>
    <w:tbl>
      <w:tblPr>
        <w:tblW w:w="0" w:type="auto"/>
        <w:jc w:val="center"/>
        <w:tblInd w:w="9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718"/>
        <w:gridCol w:w="2160"/>
      </w:tblGrid>
      <w:tr w:rsidR="004A147C" w:rsidRPr="00B53FFB" w:rsidTr="00D626F5">
        <w:trPr>
          <w:trHeight w:hRule="exact" w:val="288"/>
          <w:jc w:val="center"/>
        </w:trPr>
        <w:tc>
          <w:tcPr>
            <w:tcW w:w="2718" w:type="dxa"/>
          </w:tcPr>
          <w:p w:rsidR="004A147C" w:rsidRPr="004F14A8" w:rsidRDefault="004A147C" w:rsidP="00CE5850">
            <w:pPr>
              <w:pStyle w:val="ParaNum"/>
              <w:tabs>
                <w:tab w:val="clear" w:pos="1440"/>
              </w:tabs>
              <w:ind w:firstLine="0"/>
              <w:rPr>
                <w:b/>
                <w:sz w:val="22"/>
                <w:szCs w:val="22"/>
              </w:rPr>
            </w:pPr>
            <w:r w:rsidRPr="004F14A8">
              <w:rPr>
                <w:b/>
                <w:sz w:val="22"/>
                <w:szCs w:val="22"/>
              </w:rPr>
              <w:t>Application</w:t>
            </w:r>
          </w:p>
        </w:tc>
        <w:tc>
          <w:tcPr>
            <w:tcW w:w="2160" w:type="dxa"/>
          </w:tcPr>
          <w:p w:rsidR="004A147C" w:rsidRPr="004F14A8" w:rsidRDefault="004A147C" w:rsidP="00CE5850">
            <w:pPr>
              <w:pStyle w:val="ParaNum"/>
              <w:tabs>
                <w:tab w:val="clear" w:pos="1440"/>
              </w:tabs>
              <w:ind w:firstLine="0"/>
              <w:jc w:val="center"/>
              <w:rPr>
                <w:b/>
                <w:sz w:val="22"/>
                <w:szCs w:val="22"/>
              </w:rPr>
            </w:pPr>
            <w:r w:rsidRPr="004F14A8">
              <w:rPr>
                <w:b/>
                <w:sz w:val="22"/>
                <w:szCs w:val="22"/>
              </w:rPr>
              <w:t>Smartphone Users</w:t>
            </w:r>
          </w:p>
        </w:tc>
      </w:tr>
      <w:tr w:rsidR="004A147C" w:rsidRPr="00B53FFB" w:rsidTr="00D626F5">
        <w:trPr>
          <w:trHeight w:hRule="exact" w:val="288"/>
          <w:jc w:val="center"/>
        </w:trPr>
        <w:tc>
          <w:tcPr>
            <w:tcW w:w="2718" w:type="dxa"/>
          </w:tcPr>
          <w:p w:rsidR="004A147C" w:rsidRPr="004F14A8" w:rsidRDefault="004A147C" w:rsidP="00CE5850">
            <w:pPr>
              <w:pStyle w:val="ParaNum"/>
              <w:tabs>
                <w:tab w:val="clear" w:pos="1440"/>
              </w:tabs>
              <w:ind w:firstLine="0"/>
              <w:rPr>
                <w:sz w:val="22"/>
                <w:szCs w:val="22"/>
              </w:rPr>
            </w:pPr>
            <w:r w:rsidRPr="004F14A8">
              <w:rPr>
                <w:sz w:val="22"/>
                <w:szCs w:val="22"/>
              </w:rPr>
              <w:t>Google</w:t>
            </w:r>
          </w:p>
        </w:tc>
        <w:tc>
          <w:tcPr>
            <w:tcW w:w="2160" w:type="dxa"/>
          </w:tcPr>
          <w:p w:rsidR="004A147C" w:rsidRPr="004F14A8" w:rsidRDefault="004A147C" w:rsidP="00CE5850">
            <w:pPr>
              <w:pStyle w:val="ParaNum"/>
              <w:tabs>
                <w:tab w:val="clear" w:pos="1440"/>
              </w:tabs>
              <w:ind w:firstLine="0"/>
              <w:jc w:val="center"/>
              <w:rPr>
                <w:sz w:val="22"/>
                <w:szCs w:val="22"/>
              </w:rPr>
            </w:pPr>
            <w:r w:rsidRPr="004F14A8">
              <w:rPr>
                <w:sz w:val="22"/>
                <w:szCs w:val="22"/>
              </w:rPr>
              <w:t>41%</w:t>
            </w:r>
          </w:p>
        </w:tc>
      </w:tr>
      <w:tr w:rsidR="004A147C" w:rsidRPr="00B53FFB" w:rsidTr="00D626F5">
        <w:trPr>
          <w:trHeight w:hRule="exact" w:val="288"/>
          <w:jc w:val="center"/>
        </w:trPr>
        <w:tc>
          <w:tcPr>
            <w:tcW w:w="2718" w:type="dxa"/>
          </w:tcPr>
          <w:p w:rsidR="004A147C" w:rsidRPr="004F14A8" w:rsidRDefault="004A147C" w:rsidP="00CE5850">
            <w:pPr>
              <w:pStyle w:val="ParaNum"/>
              <w:tabs>
                <w:tab w:val="clear" w:pos="1440"/>
              </w:tabs>
              <w:ind w:firstLine="0"/>
              <w:rPr>
                <w:sz w:val="22"/>
                <w:szCs w:val="22"/>
              </w:rPr>
            </w:pPr>
            <w:r w:rsidRPr="004F14A8">
              <w:rPr>
                <w:sz w:val="22"/>
                <w:szCs w:val="22"/>
              </w:rPr>
              <w:t>Facebook</w:t>
            </w:r>
          </w:p>
        </w:tc>
        <w:tc>
          <w:tcPr>
            <w:tcW w:w="2160" w:type="dxa"/>
          </w:tcPr>
          <w:p w:rsidR="004A147C" w:rsidRPr="004F14A8" w:rsidRDefault="004A147C" w:rsidP="00CE5850">
            <w:pPr>
              <w:pStyle w:val="ParaNum"/>
              <w:tabs>
                <w:tab w:val="clear" w:pos="1440"/>
              </w:tabs>
              <w:ind w:firstLine="0"/>
              <w:jc w:val="center"/>
              <w:rPr>
                <w:sz w:val="22"/>
                <w:szCs w:val="22"/>
              </w:rPr>
            </w:pPr>
            <w:r w:rsidRPr="004F14A8">
              <w:rPr>
                <w:sz w:val="22"/>
                <w:szCs w:val="22"/>
              </w:rPr>
              <w:t>34%</w:t>
            </w:r>
          </w:p>
        </w:tc>
      </w:tr>
      <w:tr w:rsidR="004A147C" w:rsidRPr="00B53FFB" w:rsidTr="00D626F5">
        <w:trPr>
          <w:trHeight w:hRule="exact" w:val="288"/>
          <w:jc w:val="center"/>
        </w:trPr>
        <w:tc>
          <w:tcPr>
            <w:tcW w:w="2718" w:type="dxa"/>
          </w:tcPr>
          <w:p w:rsidR="004A147C" w:rsidRPr="004F14A8" w:rsidRDefault="004A147C" w:rsidP="00CE5850">
            <w:pPr>
              <w:pStyle w:val="ParaNum"/>
              <w:tabs>
                <w:tab w:val="clear" w:pos="1440"/>
              </w:tabs>
              <w:ind w:firstLine="0"/>
              <w:rPr>
                <w:sz w:val="22"/>
                <w:szCs w:val="22"/>
              </w:rPr>
            </w:pPr>
            <w:r w:rsidRPr="004F14A8">
              <w:rPr>
                <w:sz w:val="22"/>
                <w:szCs w:val="22"/>
              </w:rPr>
              <w:t>Yahoo!</w:t>
            </w:r>
          </w:p>
        </w:tc>
        <w:tc>
          <w:tcPr>
            <w:tcW w:w="2160" w:type="dxa"/>
          </w:tcPr>
          <w:p w:rsidR="004A147C" w:rsidRPr="004F14A8" w:rsidRDefault="004A147C" w:rsidP="00CE5850">
            <w:pPr>
              <w:pStyle w:val="ParaNum"/>
              <w:tabs>
                <w:tab w:val="clear" w:pos="1440"/>
              </w:tabs>
              <w:ind w:firstLine="0"/>
              <w:jc w:val="center"/>
              <w:rPr>
                <w:sz w:val="22"/>
                <w:szCs w:val="22"/>
              </w:rPr>
            </w:pPr>
            <w:r w:rsidRPr="004F14A8">
              <w:rPr>
                <w:sz w:val="22"/>
                <w:szCs w:val="22"/>
              </w:rPr>
              <w:t>30%</w:t>
            </w:r>
          </w:p>
        </w:tc>
      </w:tr>
      <w:tr w:rsidR="004A147C" w:rsidRPr="00B53FFB" w:rsidTr="00D626F5">
        <w:trPr>
          <w:trHeight w:hRule="exact" w:val="288"/>
          <w:jc w:val="center"/>
        </w:trPr>
        <w:tc>
          <w:tcPr>
            <w:tcW w:w="2718" w:type="dxa"/>
          </w:tcPr>
          <w:p w:rsidR="004A147C" w:rsidRPr="004F14A8" w:rsidRDefault="004A147C" w:rsidP="00CE5850">
            <w:pPr>
              <w:pStyle w:val="ParaNum"/>
              <w:tabs>
                <w:tab w:val="clear" w:pos="1440"/>
              </w:tabs>
              <w:ind w:firstLine="0"/>
              <w:rPr>
                <w:sz w:val="22"/>
                <w:szCs w:val="22"/>
              </w:rPr>
            </w:pPr>
            <w:r w:rsidRPr="004F14A8">
              <w:rPr>
                <w:sz w:val="22"/>
                <w:szCs w:val="22"/>
              </w:rPr>
              <w:t>MSN/Bing/Windows Live</w:t>
            </w:r>
          </w:p>
        </w:tc>
        <w:tc>
          <w:tcPr>
            <w:tcW w:w="2160" w:type="dxa"/>
          </w:tcPr>
          <w:p w:rsidR="004A147C" w:rsidRPr="004F14A8" w:rsidRDefault="004A147C" w:rsidP="00CE5850">
            <w:pPr>
              <w:pStyle w:val="ParaNum"/>
              <w:tabs>
                <w:tab w:val="clear" w:pos="1440"/>
              </w:tabs>
              <w:ind w:firstLine="0"/>
              <w:jc w:val="center"/>
              <w:rPr>
                <w:sz w:val="22"/>
                <w:szCs w:val="22"/>
              </w:rPr>
            </w:pPr>
            <w:r w:rsidRPr="004F14A8">
              <w:rPr>
                <w:sz w:val="22"/>
                <w:szCs w:val="22"/>
              </w:rPr>
              <w:t>16%</w:t>
            </w:r>
          </w:p>
        </w:tc>
      </w:tr>
      <w:tr w:rsidR="004A147C" w:rsidRPr="00B53FFB" w:rsidTr="00D626F5">
        <w:trPr>
          <w:trHeight w:hRule="exact" w:val="288"/>
          <w:jc w:val="center"/>
        </w:trPr>
        <w:tc>
          <w:tcPr>
            <w:tcW w:w="2718" w:type="dxa"/>
          </w:tcPr>
          <w:p w:rsidR="004A147C" w:rsidRPr="004F14A8" w:rsidRDefault="004A147C" w:rsidP="00CE5850">
            <w:pPr>
              <w:pStyle w:val="ParaNum"/>
              <w:tabs>
                <w:tab w:val="clear" w:pos="1440"/>
              </w:tabs>
              <w:ind w:firstLine="0"/>
              <w:rPr>
                <w:sz w:val="22"/>
                <w:szCs w:val="22"/>
              </w:rPr>
            </w:pPr>
            <w:r w:rsidRPr="004F14A8">
              <w:rPr>
                <w:sz w:val="22"/>
                <w:szCs w:val="22"/>
              </w:rPr>
              <w:t>Weather Channel</w:t>
            </w:r>
          </w:p>
        </w:tc>
        <w:tc>
          <w:tcPr>
            <w:tcW w:w="2160" w:type="dxa"/>
          </w:tcPr>
          <w:p w:rsidR="004A147C" w:rsidRPr="004F14A8" w:rsidRDefault="004A147C" w:rsidP="00CE5850">
            <w:pPr>
              <w:pStyle w:val="ParaNum"/>
              <w:tabs>
                <w:tab w:val="clear" w:pos="1440"/>
              </w:tabs>
              <w:ind w:firstLine="0"/>
              <w:jc w:val="center"/>
              <w:rPr>
                <w:sz w:val="22"/>
                <w:szCs w:val="22"/>
              </w:rPr>
            </w:pPr>
            <w:r w:rsidRPr="004F14A8">
              <w:rPr>
                <w:sz w:val="22"/>
                <w:szCs w:val="22"/>
              </w:rPr>
              <w:t>14%</w:t>
            </w:r>
          </w:p>
        </w:tc>
      </w:tr>
    </w:tbl>
    <w:p w:rsidR="004A147C" w:rsidRPr="00B53FFB" w:rsidRDefault="004A147C" w:rsidP="00CE5850">
      <w:pPr>
        <w:pStyle w:val="ParaNum"/>
        <w:tabs>
          <w:tab w:val="clear" w:pos="1440"/>
        </w:tabs>
        <w:ind w:firstLine="0"/>
        <w:rPr>
          <w:sz w:val="22"/>
          <w:szCs w:val="22"/>
        </w:rPr>
      </w:pPr>
    </w:p>
    <w:p w:rsidR="004A147C" w:rsidRPr="00B53FFB" w:rsidRDefault="004A147C" w:rsidP="00CE5850">
      <w:pPr>
        <w:pStyle w:val="Caption"/>
        <w:widowControl w:val="0"/>
        <w:jc w:val="center"/>
        <w:rPr>
          <w:sz w:val="22"/>
          <w:szCs w:val="22"/>
        </w:rPr>
      </w:pPr>
      <w:bookmarkStart w:id="5120" w:name="_Ref275509662"/>
      <w:r w:rsidRPr="00B53FFB">
        <w:rPr>
          <w:sz w:val="22"/>
          <w:szCs w:val="22"/>
        </w:rPr>
        <w:t xml:space="preserve">Table </w:t>
      </w:r>
      <w:r w:rsidR="0007014B" w:rsidRPr="00B53FFB">
        <w:rPr>
          <w:sz w:val="22"/>
          <w:szCs w:val="22"/>
        </w:rPr>
        <w:fldChar w:fldCharType="begin"/>
      </w:r>
      <w:r w:rsidRPr="00B53FFB">
        <w:rPr>
          <w:sz w:val="22"/>
          <w:szCs w:val="22"/>
        </w:rPr>
        <w:instrText xml:space="preserve"> SEQ Table \* ARABIC </w:instrText>
      </w:r>
      <w:r w:rsidR="0007014B" w:rsidRPr="00B53FFB">
        <w:rPr>
          <w:sz w:val="22"/>
          <w:szCs w:val="22"/>
        </w:rPr>
        <w:fldChar w:fldCharType="separate"/>
      </w:r>
      <w:r w:rsidR="00CA3AC6">
        <w:rPr>
          <w:noProof/>
          <w:sz w:val="22"/>
          <w:szCs w:val="22"/>
        </w:rPr>
        <w:t>54</w:t>
      </w:r>
      <w:r w:rsidR="0007014B" w:rsidRPr="00B53FFB">
        <w:rPr>
          <w:sz w:val="22"/>
          <w:szCs w:val="22"/>
        </w:rPr>
        <w:fldChar w:fldCharType="end"/>
      </w:r>
      <w:bookmarkEnd w:id="5120"/>
      <w:r w:rsidRPr="00B53FFB">
        <w:rPr>
          <w:sz w:val="22"/>
          <w:szCs w:val="22"/>
        </w:rPr>
        <w:br/>
        <w:t xml:space="preserve">Categories of Applications Accessed By Smartphone Users, May 2012 </w:t>
      </w:r>
      <w:r w:rsidRPr="00B53FFB">
        <w:rPr>
          <w:rStyle w:val="FootnoteReference"/>
          <w:b w:val="0"/>
          <w:szCs w:val="22"/>
        </w:rPr>
        <w:footnoteReference w:id="1096"/>
      </w:r>
    </w:p>
    <w:tbl>
      <w:tblPr>
        <w:tblW w:w="0" w:type="auto"/>
        <w:jc w:val="center"/>
        <w:tblInd w:w="9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718"/>
        <w:gridCol w:w="2160"/>
      </w:tblGrid>
      <w:tr w:rsidR="004A147C" w:rsidRPr="00B53FFB" w:rsidTr="00D626F5">
        <w:trPr>
          <w:trHeight w:hRule="exact" w:val="288"/>
          <w:jc w:val="center"/>
        </w:trPr>
        <w:tc>
          <w:tcPr>
            <w:tcW w:w="2718" w:type="dxa"/>
          </w:tcPr>
          <w:p w:rsidR="004A147C" w:rsidRPr="004F14A8" w:rsidRDefault="004A147C" w:rsidP="00CE5850">
            <w:pPr>
              <w:pStyle w:val="ParaNum"/>
              <w:tabs>
                <w:tab w:val="clear" w:pos="1440"/>
              </w:tabs>
              <w:ind w:firstLine="0"/>
              <w:rPr>
                <w:b/>
                <w:sz w:val="22"/>
                <w:szCs w:val="22"/>
              </w:rPr>
            </w:pPr>
            <w:r w:rsidRPr="004F14A8">
              <w:rPr>
                <w:b/>
                <w:sz w:val="22"/>
                <w:szCs w:val="22"/>
              </w:rPr>
              <w:t>Category of Application</w:t>
            </w:r>
          </w:p>
        </w:tc>
        <w:tc>
          <w:tcPr>
            <w:tcW w:w="2160" w:type="dxa"/>
          </w:tcPr>
          <w:p w:rsidR="004A147C" w:rsidRPr="004F14A8" w:rsidRDefault="004A147C" w:rsidP="00CE5850">
            <w:pPr>
              <w:pStyle w:val="ParaNum"/>
              <w:tabs>
                <w:tab w:val="clear" w:pos="1440"/>
              </w:tabs>
              <w:ind w:firstLine="0"/>
              <w:jc w:val="center"/>
              <w:rPr>
                <w:b/>
                <w:sz w:val="22"/>
                <w:szCs w:val="22"/>
              </w:rPr>
            </w:pPr>
            <w:r w:rsidRPr="004F14A8">
              <w:rPr>
                <w:b/>
                <w:sz w:val="22"/>
                <w:szCs w:val="22"/>
              </w:rPr>
              <w:t>Smartphone Users</w:t>
            </w:r>
          </w:p>
        </w:tc>
      </w:tr>
      <w:tr w:rsidR="004A147C" w:rsidRPr="00B53FFB" w:rsidTr="00D626F5">
        <w:trPr>
          <w:trHeight w:hRule="exact" w:val="288"/>
          <w:jc w:val="center"/>
        </w:trPr>
        <w:tc>
          <w:tcPr>
            <w:tcW w:w="2718" w:type="dxa"/>
          </w:tcPr>
          <w:p w:rsidR="004A147C" w:rsidRPr="004F14A8" w:rsidRDefault="004A147C" w:rsidP="00CE5850">
            <w:pPr>
              <w:pStyle w:val="ParaNum"/>
              <w:tabs>
                <w:tab w:val="clear" w:pos="1440"/>
              </w:tabs>
              <w:ind w:firstLine="0"/>
              <w:rPr>
                <w:sz w:val="22"/>
                <w:szCs w:val="22"/>
              </w:rPr>
            </w:pPr>
            <w:r w:rsidRPr="004F14A8">
              <w:rPr>
                <w:sz w:val="22"/>
                <w:szCs w:val="22"/>
              </w:rPr>
              <w:t>Social Networking</w:t>
            </w:r>
          </w:p>
        </w:tc>
        <w:tc>
          <w:tcPr>
            <w:tcW w:w="2160" w:type="dxa"/>
          </w:tcPr>
          <w:p w:rsidR="004A147C" w:rsidRPr="004F14A8" w:rsidRDefault="004A147C" w:rsidP="00CE5850">
            <w:pPr>
              <w:pStyle w:val="ParaNum"/>
              <w:tabs>
                <w:tab w:val="clear" w:pos="1440"/>
              </w:tabs>
              <w:ind w:firstLine="0"/>
              <w:jc w:val="center"/>
              <w:rPr>
                <w:sz w:val="22"/>
                <w:szCs w:val="22"/>
              </w:rPr>
            </w:pPr>
            <w:r w:rsidRPr="004F14A8">
              <w:rPr>
                <w:sz w:val="22"/>
                <w:szCs w:val="22"/>
              </w:rPr>
              <w:t>43%</w:t>
            </w:r>
          </w:p>
        </w:tc>
      </w:tr>
      <w:tr w:rsidR="004A147C" w:rsidRPr="00B53FFB" w:rsidTr="00D626F5">
        <w:trPr>
          <w:trHeight w:hRule="exact" w:val="288"/>
          <w:jc w:val="center"/>
        </w:trPr>
        <w:tc>
          <w:tcPr>
            <w:tcW w:w="2718" w:type="dxa"/>
          </w:tcPr>
          <w:p w:rsidR="004A147C" w:rsidRPr="004F14A8" w:rsidRDefault="004A147C" w:rsidP="00CE5850">
            <w:pPr>
              <w:pStyle w:val="ParaNum"/>
              <w:tabs>
                <w:tab w:val="clear" w:pos="1440"/>
              </w:tabs>
              <w:ind w:firstLine="0"/>
              <w:rPr>
                <w:sz w:val="22"/>
                <w:szCs w:val="22"/>
              </w:rPr>
            </w:pPr>
            <w:r w:rsidRPr="004F14A8">
              <w:rPr>
                <w:sz w:val="22"/>
                <w:szCs w:val="22"/>
              </w:rPr>
              <w:t>Weather</w:t>
            </w:r>
          </w:p>
        </w:tc>
        <w:tc>
          <w:tcPr>
            <w:tcW w:w="2160" w:type="dxa"/>
          </w:tcPr>
          <w:p w:rsidR="004A147C" w:rsidRPr="004F14A8" w:rsidRDefault="004A147C" w:rsidP="00CE5850">
            <w:pPr>
              <w:pStyle w:val="ParaNum"/>
              <w:tabs>
                <w:tab w:val="clear" w:pos="1440"/>
              </w:tabs>
              <w:ind w:firstLine="0"/>
              <w:jc w:val="center"/>
              <w:rPr>
                <w:sz w:val="22"/>
                <w:szCs w:val="22"/>
              </w:rPr>
            </w:pPr>
            <w:r w:rsidRPr="004F14A8">
              <w:rPr>
                <w:sz w:val="22"/>
                <w:szCs w:val="22"/>
              </w:rPr>
              <w:t>41%</w:t>
            </w:r>
          </w:p>
        </w:tc>
      </w:tr>
      <w:tr w:rsidR="004A147C" w:rsidRPr="00B53FFB" w:rsidTr="00D626F5">
        <w:trPr>
          <w:trHeight w:hRule="exact" w:val="288"/>
          <w:jc w:val="center"/>
        </w:trPr>
        <w:tc>
          <w:tcPr>
            <w:tcW w:w="2718" w:type="dxa"/>
          </w:tcPr>
          <w:p w:rsidR="004A147C" w:rsidRPr="004F14A8" w:rsidRDefault="004A147C" w:rsidP="00CE5850">
            <w:pPr>
              <w:pStyle w:val="ParaNum"/>
              <w:tabs>
                <w:tab w:val="clear" w:pos="1440"/>
              </w:tabs>
              <w:ind w:firstLine="0"/>
              <w:rPr>
                <w:sz w:val="22"/>
                <w:szCs w:val="22"/>
              </w:rPr>
            </w:pPr>
            <w:r w:rsidRPr="004F14A8">
              <w:rPr>
                <w:sz w:val="22"/>
                <w:szCs w:val="22"/>
              </w:rPr>
              <w:t>Maps</w:t>
            </w:r>
          </w:p>
        </w:tc>
        <w:tc>
          <w:tcPr>
            <w:tcW w:w="2160" w:type="dxa"/>
          </w:tcPr>
          <w:p w:rsidR="004A147C" w:rsidRPr="004F14A8" w:rsidRDefault="004A147C" w:rsidP="00CE5850">
            <w:pPr>
              <w:pStyle w:val="ParaNum"/>
              <w:tabs>
                <w:tab w:val="clear" w:pos="1440"/>
              </w:tabs>
              <w:ind w:firstLine="0"/>
              <w:jc w:val="center"/>
              <w:rPr>
                <w:sz w:val="22"/>
                <w:szCs w:val="22"/>
              </w:rPr>
            </w:pPr>
            <w:r w:rsidRPr="004F14A8">
              <w:rPr>
                <w:sz w:val="22"/>
                <w:szCs w:val="22"/>
              </w:rPr>
              <w:t>36%</w:t>
            </w:r>
          </w:p>
        </w:tc>
      </w:tr>
      <w:tr w:rsidR="004A147C" w:rsidRPr="00B53FFB" w:rsidTr="00D626F5">
        <w:trPr>
          <w:trHeight w:hRule="exact" w:val="288"/>
          <w:jc w:val="center"/>
        </w:trPr>
        <w:tc>
          <w:tcPr>
            <w:tcW w:w="2718" w:type="dxa"/>
          </w:tcPr>
          <w:p w:rsidR="004A147C" w:rsidRPr="004F14A8" w:rsidRDefault="004A147C" w:rsidP="00CE5850">
            <w:pPr>
              <w:pStyle w:val="ParaNum"/>
              <w:tabs>
                <w:tab w:val="clear" w:pos="1440"/>
              </w:tabs>
              <w:ind w:firstLine="0"/>
              <w:rPr>
                <w:sz w:val="22"/>
                <w:szCs w:val="22"/>
              </w:rPr>
            </w:pPr>
            <w:r w:rsidRPr="004F14A8">
              <w:rPr>
                <w:sz w:val="22"/>
                <w:szCs w:val="22"/>
              </w:rPr>
              <w:t>News</w:t>
            </w:r>
          </w:p>
        </w:tc>
        <w:tc>
          <w:tcPr>
            <w:tcW w:w="2160" w:type="dxa"/>
          </w:tcPr>
          <w:p w:rsidR="004A147C" w:rsidRPr="004F14A8" w:rsidRDefault="004A147C" w:rsidP="00CE5850">
            <w:pPr>
              <w:pStyle w:val="ParaNum"/>
              <w:tabs>
                <w:tab w:val="clear" w:pos="1440"/>
              </w:tabs>
              <w:ind w:firstLine="0"/>
              <w:jc w:val="center"/>
              <w:rPr>
                <w:sz w:val="22"/>
                <w:szCs w:val="22"/>
              </w:rPr>
            </w:pPr>
            <w:r w:rsidRPr="004F14A8">
              <w:rPr>
                <w:sz w:val="22"/>
                <w:szCs w:val="22"/>
              </w:rPr>
              <w:t>21%</w:t>
            </w:r>
          </w:p>
        </w:tc>
      </w:tr>
      <w:tr w:rsidR="004A147C" w:rsidRPr="00B53FFB" w:rsidTr="00D626F5">
        <w:trPr>
          <w:trHeight w:hRule="exact" w:val="288"/>
          <w:jc w:val="center"/>
        </w:trPr>
        <w:tc>
          <w:tcPr>
            <w:tcW w:w="2718" w:type="dxa"/>
          </w:tcPr>
          <w:p w:rsidR="004A147C" w:rsidRPr="004F14A8" w:rsidRDefault="004A147C" w:rsidP="00CE5850">
            <w:pPr>
              <w:pStyle w:val="ParaNum"/>
              <w:tabs>
                <w:tab w:val="clear" w:pos="1440"/>
              </w:tabs>
              <w:ind w:firstLine="0"/>
              <w:rPr>
                <w:sz w:val="22"/>
                <w:szCs w:val="22"/>
              </w:rPr>
            </w:pPr>
            <w:r w:rsidRPr="004F14A8">
              <w:rPr>
                <w:sz w:val="22"/>
                <w:szCs w:val="22"/>
              </w:rPr>
              <w:t>Search</w:t>
            </w:r>
          </w:p>
        </w:tc>
        <w:tc>
          <w:tcPr>
            <w:tcW w:w="2160" w:type="dxa"/>
          </w:tcPr>
          <w:p w:rsidR="004A147C" w:rsidRPr="004F14A8" w:rsidRDefault="004A147C" w:rsidP="00CE5850">
            <w:pPr>
              <w:pStyle w:val="ParaNum"/>
              <w:tabs>
                <w:tab w:val="clear" w:pos="1440"/>
              </w:tabs>
              <w:ind w:firstLine="0"/>
              <w:jc w:val="center"/>
              <w:rPr>
                <w:sz w:val="22"/>
                <w:szCs w:val="22"/>
              </w:rPr>
            </w:pPr>
            <w:r w:rsidRPr="004F14A8">
              <w:rPr>
                <w:sz w:val="22"/>
                <w:szCs w:val="22"/>
              </w:rPr>
              <w:t>21%</w:t>
            </w:r>
          </w:p>
        </w:tc>
      </w:tr>
      <w:tr w:rsidR="004A147C" w:rsidRPr="00B53FFB" w:rsidTr="00D626F5">
        <w:trPr>
          <w:trHeight w:hRule="exact" w:val="288"/>
          <w:jc w:val="center"/>
        </w:trPr>
        <w:tc>
          <w:tcPr>
            <w:tcW w:w="2718" w:type="dxa"/>
          </w:tcPr>
          <w:p w:rsidR="004A147C" w:rsidRPr="004F14A8" w:rsidRDefault="004A147C" w:rsidP="00CE5850">
            <w:pPr>
              <w:pStyle w:val="ParaNum"/>
              <w:tabs>
                <w:tab w:val="clear" w:pos="1440"/>
              </w:tabs>
              <w:ind w:firstLine="0"/>
              <w:rPr>
                <w:sz w:val="22"/>
                <w:szCs w:val="22"/>
              </w:rPr>
            </w:pPr>
            <w:r w:rsidRPr="004F14A8">
              <w:rPr>
                <w:sz w:val="22"/>
                <w:szCs w:val="22"/>
              </w:rPr>
              <w:t>Photo/Video Sharing</w:t>
            </w:r>
          </w:p>
        </w:tc>
        <w:tc>
          <w:tcPr>
            <w:tcW w:w="2160" w:type="dxa"/>
          </w:tcPr>
          <w:p w:rsidR="004A147C" w:rsidRPr="004F14A8" w:rsidRDefault="004A147C" w:rsidP="00CE5850">
            <w:pPr>
              <w:pStyle w:val="ParaNum"/>
              <w:tabs>
                <w:tab w:val="clear" w:pos="1440"/>
              </w:tabs>
              <w:ind w:firstLine="0"/>
              <w:jc w:val="center"/>
              <w:rPr>
                <w:sz w:val="22"/>
                <w:szCs w:val="22"/>
              </w:rPr>
            </w:pPr>
            <w:r w:rsidRPr="004F14A8">
              <w:rPr>
                <w:sz w:val="22"/>
                <w:szCs w:val="22"/>
              </w:rPr>
              <w:t>17%</w:t>
            </w:r>
          </w:p>
        </w:tc>
      </w:tr>
      <w:tr w:rsidR="004A147C" w:rsidRPr="00B53FFB" w:rsidTr="00D626F5">
        <w:trPr>
          <w:trHeight w:hRule="exact" w:val="288"/>
          <w:jc w:val="center"/>
        </w:trPr>
        <w:tc>
          <w:tcPr>
            <w:tcW w:w="2718" w:type="dxa"/>
          </w:tcPr>
          <w:p w:rsidR="004A147C" w:rsidRPr="004F14A8" w:rsidRDefault="004A147C" w:rsidP="00CE5850">
            <w:pPr>
              <w:pStyle w:val="ParaNum"/>
              <w:tabs>
                <w:tab w:val="clear" w:pos="1440"/>
              </w:tabs>
              <w:ind w:firstLine="0"/>
              <w:rPr>
                <w:sz w:val="22"/>
                <w:szCs w:val="22"/>
              </w:rPr>
            </w:pPr>
            <w:r w:rsidRPr="004F14A8">
              <w:rPr>
                <w:sz w:val="22"/>
                <w:szCs w:val="22"/>
              </w:rPr>
              <w:t>Restaurant Information</w:t>
            </w:r>
          </w:p>
        </w:tc>
        <w:tc>
          <w:tcPr>
            <w:tcW w:w="2160" w:type="dxa"/>
          </w:tcPr>
          <w:p w:rsidR="004A147C" w:rsidRPr="004F14A8" w:rsidRDefault="004A147C" w:rsidP="00CE5850">
            <w:pPr>
              <w:pStyle w:val="ParaNum"/>
              <w:tabs>
                <w:tab w:val="clear" w:pos="1440"/>
              </w:tabs>
              <w:ind w:firstLine="0"/>
              <w:jc w:val="center"/>
              <w:rPr>
                <w:sz w:val="22"/>
                <w:szCs w:val="22"/>
              </w:rPr>
            </w:pPr>
            <w:r w:rsidRPr="004F14A8">
              <w:rPr>
                <w:sz w:val="22"/>
                <w:szCs w:val="22"/>
              </w:rPr>
              <w:t>13%</w:t>
            </w:r>
          </w:p>
        </w:tc>
      </w:tr>
      <w:tr w:rsidR="004A147C" w:rsidRPr="00B53FFB" w:rsidTr="00D626F5">
        <w:trPr>
          <w:trHeight w:hRule="exact" w:val="288"/>
          <w:jc w:val="center"/>
        </w:trPr>
        <w:tc>
          <w:tcPr>
            <w:tcW w:w="2718" w:type="dxa"/>
          </w:tcPr>
          <w:p w:rsidR="004A147C" w:rsidRPr="004F14A8" w:rsidRDefault="004A147C" w:rsidP="00CE5850">
            <w:pPr>
              <w:pStyle w:val="ParaNum"/>
              <w:tabs>
                <w:tab w:val="clear" w:pos="1440"/>
              </w:tabs>
              <w:ind w:firstLine="0"/>
              <w:rPr>
                <w:sz w:val="22"/>
                <w:szCs w:val="22"/>
              </w:rPr>
            </w:pPr>
            <w:r w:rsidRPr="004F14A8">
              <w:rPr>
                <w:sz w:val="22"/>
                <w:szCs w:val="22"/>
              </w:rPr>
              <w:t>Online Retail</w:t>
            </w:r>
          </w:p>
        </w:tc>
        <w:tc>
          <w:tcPr>
            <w:tcW w:w="2160" w:type="dxa"/>
          </w:tcPr>
          <w:p w:rsidR="004A147C" w:rsidRPr="004F14A8" w:rsidRDefault="004A147C" w:rsidP="00CE5850">
            <w:pPr>
              <w:pStyle w:val="ParaNum"/>
              <w:tabs>
                <w:tab w:val="clear" w:pos="1440"/>
              </w:tabs>
              <w:ind w:firstLine="0"/>
              <w:jc w:val="center"/>
              <w:rPr>
                <w:sz w:val="22"/>
                <w:szCs w:val="22"/>
              </w:rPr>
            </w:pPr>
            <w:r w:rsidRPr="004F14A8">
              <w:rPr>
                <w:sz w:val="22"/>
                <w:szCs w:val="22"/>
              </w:rPr>
              <w:t>10%</w:t>
            </w:r>
          </w:p>
        </w:tc>
      </w:tr>
      <w:tr w:rsidR="004A147C" w:rsidRPr="00B53FFB" w:rsidTr="00D626F5">
        <w:trPr>
          <w:trHeight w:hRule="exact" w:val="288"/>
          <w:jc w:val="center"/>
        </w:trPr>
        <w:tc>
          <w:tcPr>
            <w:tcW w:w="2718" w:type="dxa"/>
          </w:tcPr>
          <w:p w:rsidR="004A147C" w:rsidRPr="004F14A8" w:rsidRDefault="004A147C" w:rsidP="00CE5850">
            <w:pPr>
              <w:pStyle w:val="ParaNum"/>
              <w:tabs>
                <w:tab w:val="clear" w:pos="1440"/>
              </w:tabs>
              <w:ind w:firstLine="0"/>
              <w:rPr>
                <w:sz w:val="22"/>
                <w:szCs w:val="22"/>
              </w:rPr>
            </w:pPr>
            <w:r w:rsidRPr="004F14A8">
              <w:rPr>
                <w:sz w:val="22"/>
                <w:szCs w:val="22"/>
              </w:rPr>
              <w:t>Traffic Reports</w:t>
            </w:r>
          </w:p>
        </w:tc>
        <w:tc>
          <w:tcPr>
            <w:tcW w:w="2160" w:type="dxa"/>
          </w:tcPr>
          <w:p w:rsidR="004A147C" w:rsidRPr="004F14A8" w:rsidRDefault="004A147C" w:rsidP="00CE5850">
            <w:pPr>
              <w:pStyle w:val="ParaNum"/>
              <w:tabs>
                <w:tab w:val="clear" w:pos="1440"/>
              </w:tabs>
              <w:ind w:firstLine="0"/>
              <w:jc w:val="center"/>
              <w:rPr>
                <w:sz w:val="22"/>
                <w:szCs w:val="22"/>
              </w:rPr>
            </w:pPr>
            <w:r w:rsidRPr="004F14A8">
              <w:rPr>
                <w:sz w:val="22"/>
                <w:szCs w:val="22"/>
              </w:rPr>
              <w:t>10%</w:t>
            </w:r>
          </w:p>
        </w:tc>
      </w:tr>
      <w:tr w:rsidR="004A147C" w:rsidRPr="00B53FFB" w:rsidTr="00D626F5">
        <w:trPr>
          <w:trHeight w:hRule="exact" w:val="288"/>
          <w:jc w:val="center"/>
        </w:trPr>
        <w:tc>
          <w:tcPr>
            <w:tcW w:w="2718" w:type="dxa"/>
          </w:tcPr>
          <w:p w:rsidR="004A147C" w:rsidRPr="004F14A8" w:rsidRDefault="004A147C" w:rsidP="00CE5850">
            <w:pPr>
              <w:pStyle w:val="ParaNum"/>
              <w:tabs>
                <w:tab w:val="clear" w:pos="1440"/>
              </w:tabs>
              <w:ind w:firstLine="0"/>
              <w:rPr>
                <w:sz w:val="22"/>
                <w:szCs w:val="22"/>
              </w:rPr>
            </w:pPr>
            <w:r w:rsidRPr="004F14A8">
              <w:rPr>
                <w:sz w:val="22"/>
                <w:szCs w:val="22"/>
              </w:rPr>
              <w:t>Gaming Information</w:t>
            </w:r>
          </w:p>
        </w:tc>
        <w:tc>
          <w:tcPr>
            <w:tcW w:w="2160" w:type="dxa"/>
          </w:tcPr>
          <w:p w:rsidR="004A147C" w:rsidRPr="004F14A8" w:rsidRDefault="004A147C" w:rsidP="00CE5850">
            <w:pPr>
              <w:pStyle w:val="ParaNum"/>
              <w:tabs>
                <w:tab w:val="clear" w:pos="1440"/>
              </w:tabs>
              <w:ind w:firstLine="0"/>
              <w:jc w:val="center"/>
              <w:rPr>
                <w:sz w:val="22"/>
                <w:szCs w:val="22"/>
              </w:rPr>
            </w:pPr>
            <w:r w:rsidRPr="004F14A8">
              <w:rPr>
                <w:sz w:val="22"/>
                <w:szCs w:val="22"/>
              </w:rPr>
              <w:t>8%</w:t>
            </w:r>
          </w:p>
        </w:tc>
      </w:tr>
    </w:tbl>
    <w:p w:rsidR="004A147C" w:rsidRPr="00B53FFB" w:rsidRDefault="004A147C" w:rsidP="00CE5850">
      <w:pPr>
        <w:pStyle w:val="ParaNum"/>
        <w:tabs>
          <w:tab w:val="clear" w:pos="1440"/>
        </w:tabs>
        <w:ind w:firstLine="0"/>
        <w:rPr>
          <w:sz w:val="22"/>
          <w:szCs w:val="22"/>
        </w:rPr>
      </w:pPr>
      <w:r w:rsidRPr="00B53FFB">
        <w:rPr>
          <w:sz w:val="22"/>
          <w:szCs w:val="22"/>
        </w:rPr>
        <w:t xml:space="preserve">  </w:t>
      </w:r>
    </w:p>
    <w:p w:rsidR="004A147C" w:rsidRPr="00B53FFB" w:rsidRDefault="004A147C" w:rsidP="00CE5850">
      <w:pPr>
        <w:pStyle w:val="Heading3"/>
        <w:keepNext w:val="0"/>
        <w:numPr>
          <w:ilvl w:val="2"/>
          <w:numId w:val="26"/>
        </w:numPr>
        <w:tabs>
          <w:tab w:val="left" w:pos="2160"/>
        </w:tabs>
        <w:rPr>
          <w:sz w:val="22"/>
          <w:szCs w:val="22"/>
        </w:rPr>
      </w:pPr>
      <w:bookmarkStart w:id="5121" w:name="_Toc261610817"/>
      <w:bookmarkStart w:id="5122" w:name="_Toc261858569"/>
      <w:bookmarkStart w:id="5123" w:name="_Toc262034378"/>
      <w:bookmarkStart w:id="5124" w:name="_Toc262034481"/>
      <w:bookmarkStart w:id="5125" w:name="_Toc271288516"/>
      <w:bookmarkStart w:id="5126" w:name="_Toc275518035"/>
      <w:bookmarkStart w:id="5127" w:name="_Toc275952475"/>
      <w:bookmarkStart w:id="5128" w:name="_Toc276121907"/>
      <w:bookmarkStart w:id="5129" w:name="_Toc276480743"/>
      <w:bookmarkStart w:id="5130" w:name="_Toc276741821"/>
      <w:bookmarkStart w:id="5131" w:name="_Toc277171585"/>
      <w:bookmarkStart w:id="5132" w:name="_Toc277864560"/>
      <w:bookmarkStart w:id="5133" w:name="_Toc277864776"/>
      <w:bookmarkStart w:id="5134" w:name="_Toc285810457"/>
      <w:bookmarkStart w:id="5135" w:name="_Toc287257856"/>
      <w:bookmarkStart w:id="5136" w:name="_Toc291758731"/>
      <w:bookmarkStart w:id="5137" w:name="_Toc291758834"/>
      <w:bookmarkStart w:id="5138" w:name="_Toc295393014"/>
      <w:bookmarkStart w:id="5139" w:name="_Toc329262541"/>
      <w:bookmarkStart w:id="5140" w:name="_Toc329852448"/>
      <w:bookmarkStart w:id="5141" w:name="_Toc331766363"/>
      <w:bookmarkStart w:id="5142" w:name="_Toc332119167"/>
      <w:bookmarkStart w:id="5143" w:name="_Toc334088835"/>
      <w:bookmarkStart w:id="5144" w:name="_Toc334089071"/>
      <w:bookmarkStart w:id="5145" w:name="_Toc334089230"/>
      <w:bookmarkStart w:id="5146" w:name="_Toc334089341"/>
      <w:bookmarkStart w:id="5147" w:name="_Toc334089505"/>
      <w:bookmarkStart w:id="5148" w:name="_Toc336268647"/>
      <w:bookmarkStart w:id="5149" w:name="_Toc336268755"/>
      <w:bookmarkStart w:id="5150" w:name="_Toc336268862"/>
      <w:bookmarkStart w:id="5151" w:name="_Toc336269076"/>
      <w:bookmarkStart w:id="5152" w:name="_Toc336269183"/>
      <w:bookmarkStart w:id="5153" w:name="_Toc336269551"/>
      <w:bookmarkStart w:id="5154" w:name="_Toc336269697"/>
      <w:bookmarkStart w:id="5155" w:name="_Toc336270110"/>
      <w:bookmarkStart w:id="5156" w:name="_Toc336271309"/>
      <w:bookmarkStart w:id="5157" w:name="_Toc337652027"/>
      <w:bookmarkStart w:id="5158" w:name="_Toc349577215"/>
      <w:bookmarkStart w:id="5159" w:name="_Toc349579307"/>
      <w:bookmarkStart w:id="5160" w:name="_Toc349580622"/>
      <w:bookmarkStart w:id="5161" w:name="_Toc349735030"/>
      <w:bookmarkStart w:id="5162" w:name="_Toc349742395"/>
      <w:r w:rsidRPr="00B53FFB">
        <w:rPr>
          <w:sz w:val="22"/>
          <w:szCs w:val="22"/>
        </w:rPr>
        <w:t>Mobile Commerce</w:t>
      </w:r>
      <w:bookmarkEnd w:id="5121"/>
      <w:bookmarkEnd w:id="5122"/>
      <w:bookmarkEnd w:id="5123"/>
      <w:bookmarkEnd w:id="5124"/>
      <w:bookmarkEnd w:id="5125"/>
      <w:bookmarkEnd w:id="5126"/>
      <w:bookmarkEnd w:id="5127"/>
      <w:bookmarkEnd w:id="5128"/>
      <w:bookmarkEnd w:id="5129"/>
      <w:bookmarkEnd w:id="5130"/>
      <w:bookmarkEnd w:id="5131"/>
      <w:bookmarkEnd w:id="5132"/>
      <w:bookmarkEnd w:id="5133"/>
      <w:bookmarkEnd w:id="5134"/>
      <w:bookmarkEnd w:id="5135"/>
      <w:bookmarkEnd w:id="5136"/>
      <w:bookmarkEnd w:id="5137"/>
      <w:bookmarkEnd w:id="5138"/>
      <w:bookmarkEnd w:id="5139"/>
      <w:bookmarkEnd w:id="5140"/>
      <w:bookmarkEnd w:id="5141"/>
      <w:bookmarkEnd w:id="5142"/>
      <w:bookmarkEnd w:id="5143"/>
      <w:bookmarkEnd w:id="5144"/>
      <w:bookmarkEnd w:id="5145"/>
      <w:bookmarkEnd w:id="5146"/>
      <w:bookmarkEnd w:id="5147"/>
      <w:bookmarkEnd w:id="5148"/>
      <w:bookmarkEnd w:id="5149"/>
      <w:bookmarkEnd w:id="5150"/>
      <w:bookmarkEnd w:id="5151"/>
      <w:bookmarkEnd w:id="5152"/>
      <w:bookmarkEnd w:id="5153"/>
      <w:bookmarkEnd w:id="5154"/>
      <w:bookmarkEnd w:id="5155"/>
      <w:bookmarkEnd w:id="5156"/>
      <w:bookmarkEnd w:id="5157"/>
      <w:bookmarkEnd w:id="5158"/>
      <w:bookmarkEnd w:id="5159"/>
      <w:bookmarkEnd w:id="5160"/>
      <w:bookmarkEnd w:id="5161"/>
      <w:bookmarkEnd w:id="5162"/>
    </w:p>
    <w:p w:rsidR="004A147C" w:rsidRPr="00B53FFB" w:rsidRDefault="004A147C" w:rsidP="00CE5850">
      <w:pPr>
        <w:pStyle w:val="ParaNum20"/>
        <w:widowControl w:val="0"/>
        <w:numPr>
          <w:ilvl w:val="0"/>
          <w:numId w:val="28"/>
        </w:numPr>
        <w:tabs>
          <w:tab w:val="clear" w:pos="1440"/>
        </w:tabs>
        <w:ind w:left="0"/>
        <w:rPr>
          <w:szCs w:val="22"/>
        </w:rPr>
      </w:pPr>
      <w:r w:rsidRPr="00B53FFB">
        <w:rPr>
          <w:i/>
          <w:szCs w:val="22"/>
        </w:rPr>
        <w:t xml:space="preserve"> </w:t>
      </w:r>
      <w:r w:rsidRPr="00B53FFB">
        <w:rPr>
          <w:szCs w:val="22"/>
        </w:rPr>
        <w:t xml:space="preserve">Mobile commerce refers to commercial transactions made using a mobile wireless device.  Examples of mobile commerce include mobile payments, mobile banking, and mobile shopping.      </w:t>
      </w:r>
    </w:p>
    <w:p w:rsidR="004A147C" w:rsidRPr="00B53FFB" w:rsidRDefault="004A147C" w:rsidP="00CE5850">
      <w:pPr>
        <w:pStyle w:val="ParaNum"/>
        <w:numPr>
          <w:ilvl w:val="0"/>
          <w:numId w:val="28"/>
        </w:numPr>
        <w:rPr>
          <w:sz w:val="22"/>
          <w:szCs w:val="22"/>
        </w:rPr>
      </w:pPr>
      <w:r w:rsidRPr="00B53FFB">
        <w:rPr>
          <w:i/>
          <w:sz w:val="22"/>
          <w:szCs w:val="22"/>
        </w:rPr>
        <w:t xml:space="preserve">Mobile Payments.  </w:t>
      </w:r>
      <w:r w:rsidRPr="00B53FFB">
        <w:rPr>
          <w:sz w:val="22"/>
          <w:szCs w:val="22"/>
        </w:rPr>
        <w:t>Many mobile wireless handsets and devices can be used to make on-the-spot payments at physical retail locations with a technology commonly known as “Tap and Pay.”  Paying-by-phone is playing a growing role in transactions made by U.S. consumers.</w:t>
      </w:r>
      <w:r w:rsidRPr="00B53FFB">
        <w:rPr>
          <w:rStyle w:val="FootnoteReference"/>
          <w:szCs w:val="22"/>
        </w:rPr>
        <w:footnoteReference w:id="1097"/>
      </w:r>
      <w:r w:rsidRPr="00B53FFB">
        <w:rPr>
          <w:sz w:val="22"/>
          <w:szCs w:val="22"/>
        </w:rPr>
        <w:t xml:space="preserve"> Making payments by mobile phone is not yet a mainstream payment method due to lack of awareness, skepticism of the benefits of mobile payments, and lack of consumer trust about the security and privacy of their personal and banking data.</w:t>
      </w:r>
      <w:r w:rsidRPr="00B53FFB">
        <w:rPr>
          <w:rStyle w:val="FootnoteReference"/>
          <w:szCs w:val="22"/>
        </w:rPr>
        <w:footnoteReference w:id="1098"/>
      </w:r>
      <w:r w:rsidRPr="00B53FFB">
        <w:rPr>
          <w:sz w:val="22"/>
          <w:szCs w:val="22"/>
        </w:rPr>
        <w:t xml:space="preserve">  The widespread use of mobile payment applications requires development, coordination, and adoption by application developers, financial institutions, merchants, mobile wireless provid</w:t>
      </w:r>
      <w:r w:rsidR="00577290">
        <w:rPr>
          <w:sz w:val="22"/>
          <w:szCs w:val="22"/>
        </w:rPr>
        <w:t>ers, and consumers in order to s</w:t>
      </w:r>
      <w:r w:rsidRPr="00B53FFB">
        <w:rPr>
          <w:sz w:val="22"/>
          <w:szCs w:val="22"/>
        </w:rPr>
        <w:t>upply devices that are capable of making contactless mobile payments and terminals that accept such payments.</w:t>
      </w:r>
      <w:r w:rsidRPr="00B53FFB">
        <w:rPr>
          <w:rStyle w:val="FootnoteReference"/>
          <w:szCs w:val="22"/>
        </w:rPr>
        <w:footnoteReference w:id="1099"/>
      </w:r>
      <w:r w:rsidRPr="00B53FFB">
        <w:rPr>
          <w:sz w:val="22"/>
          <w:szCs w:val="22"/>
        </w:rPr>
        <w:t xml:space="preserve">  Mobile payments technologies include SMS, operator billing, the mobile Internet, mobile wallets, and Near Field Communications (NFC).</w:t>
      </w:r>
      <w:r w:rsidRPr="00B53FFB">
        <w:rPr>
          <w:rStyle w:val="FootnoteReference"/>
          <w:szCs w:val="22"/>
        </w:rPr>
        <w:footnoteReference w:id="1100"/>
      </w:r>
      <w:r w:rsidRPr="00B53FFB">
        <w:rPr>
          <w:sz w:val="22"/>
          <w:szCs w:val="22"/>
        </w:rPr>
        <w:t xml:space="preserve">  Starbucks and McDonalds have launched mobile payments systems on a nationwide basis.</w:t>
      </w:r>
      <w:r w:rsidRPr="00B53FFB">
        <w:rPr>
          <w:rStyle w:val="FootnoteReference"/>
          <w:szCs w:val="22"/>
        </w:rPr>
        <w:footnoteReference w:id="1101"/>
      </w:r>
      <w:r w:rsidRPr="00B53FFB">
        <w:rPr>
          <w:sz w:val="22"/>
          <w:szCs w:val="22"/>
        </w:rPr>
        <w:t xml:space="preserve">   </w:t>
      </w:r>
    </w:p>
    <w:p w:rsidR="004A147C" w:rsidRPr="00B53FFB" w:rsidRDefault="004A147C" w:rsidP="00CE5850">
      <w:pPr>
        <w:pStyle w:val="ParaNum"/>
        <w:numPr>
          <w:ilvl w:val="0"/>
          <w:numId w:val="28"/>
        </w:numPr>
        <w:rPr>
          <w:sz w:val="22"/>
          <w:szCs w:val="22"/>
        </w:rPr>
      </w:pPr>
      <w:r w:rsidRPr="00B53FFB">
        <w:rPr>
          <w:i/>
          <w:sz w:val="22"/>
          <w:szCs w:val="22"/>
        </w:rPr>
        <w:t>Mobile Banking</w:t>
      </w:r>
      <w:r w:rsidRPr="00B53FFB">
        <w:rPr>
          <w:sz w:val="22"/>
          <w:szCs w:val="22"/>
        </w:rPr>
        <w:t>.  Mobile banking allows consumers to check account balances, pay bills, and transfer funds on a variety of mobile devices.  Many banks offer consumers text banking, access to accounts via the mobile web, mobile banking applications, and mobile deposits for use on several platforms and devices.</w:t>
      </w:r>
      <w:r w:rsidRPr="00B53FFB">
        <w:rPr>
          <w:rStyle w:val="FootnoteReference"/>
          <w:szCs w:val="22"/>
        </w:rPr>
        <w:footnoteReference w:id="1102"/>
      </w:r>
      <w:r w:rsidRPr="00B53FFB">
        <w:rPr>
          <w:sz w:val="22"/>
          <w:szCs w:val="22"/>
        </w:rPr>
        <w:t xml:space="preserve">  About 13 percent of U.S. bank account holders regularly use mobile banking services.</w:t>
      </w:r>
      <w:r w:rsidRPr="00B53FFB">
        <w:rPr>
          <w:rStyle w:val="FootnoteReference"/>
          <w:szCs w:val="22"/>
        </w:rPr>
        <w:footnoteReference w:id="1103"/>
      </w:r>
      <w:r w:rsidRPr="00B53FFB">
        <w:rPr>
          <w:sz w:val="22"/>
          <w:szCs w:val="22"/>
        </w:rPr>
        <w:t xml:space="preserve">  As of August 2012, 61 percent of these mobile banking customers used their mobile devices to check transaction histories, 45 percent to check balances, and 31 percent to transfer money between accounts.</w:t>
      </w:r>
      <w:r w:rsidRPr="00B53FFB">
        <w:rPr>
          <w:rStyle w:val="FootnoteReference"/>
          <w:szCs w:val="22"/>
        </w:rPr>
        <w:footnoteReference w:id="1104"/>
      </w:r>
    </w:p>
    <w:p w:rsidR="004A147C" w:rsidRPr="00B53FFB" w:rsidRDefault="004A147C" w:rsidP="00CE5850">
      <w:pPr>
        <w:pStyle w:val="ParaNum"/>
        <w:numPr>
          <w:ilvl w:val="0"/>
          <w:numId w:val="28"/>
        </w:numPr>
        <w:rPr>
          <w:sz w:val="22"/>
          <w:szCs w:val="22"/>
        </w:rPr>
      </w:pPr>
      <w:r w:rsidRPr="00B53FFB">
        <w:rPr>
          <w:i/>
          <w:sz w:val="22"/>
          <w:szCs w:val="22"/>
        </w:rPr>
        <w:t>Mobile Shopping</w:t>
      </w:r>
      <w:r w:rsidRPr="00B53FFB">
        <w:rPr>
          <w:sz w:val="22"/>
          <w:szCs w:val="22"/>
        </w:rPr>
        <w:t xml:space="preserve">.  According to research conducted by Nielsen in June 2012, 45 million smartphone owners accessed applications in the shopping and commerce category, an average of 17 times. </w:t>
      </w:r>
      <w:r>
        <w:rPr>
          <w:sz w:val="22"/>
          <w:szCs w:val="22"/>
        </w:rPr>
        <w:t xml:space="preserve"> </w:t>
      </w:r>
      <w:r w:rsidRPr="00B53FFB">
        <w:rPr>
          <w:sz w:val="22"/>
          <w:szCs w:val="22"/>
        </w:rPr>
        <w:t>During this same time period, the top applications in the shopping and commerce category were eBay and Amazon, attracting 13 million and 12 million unique users.  According to eBay’s Mobile Momentum analysis, eBay transacted $5 billion in 2011 through mobile devices, an overall increase of 150 percent from the previous year.</w:t>
      </w:r>
      <w:r w:rsidRPr="00B53FFB">
        <w:rPr>
          <w:rStyle w:val="FootnoteReference"/>
          <w:szCs w:val="22"/>
        </w:rPr>
        <w:footnoteReference w:id="1105"/>
      </w:r>
      <w:r w:rsidRPr="00B53FFB">
        <w:rPr>
          <w:sz w:val="22"/>
          <w:szCs w:val="22"/>
        </w:rPr>
        <w:t xml:space="preserve"> Additionally, eBay expects to transact $8 billion by the end of 2012.  Amazon’s quarterly earnings report indicates that spending via smartphone represented almost $2 billion in 2011. </w:t>
      </w:r>
      <w:r w:rsidRPr="00B53FFB">
        <w:rPr>
          <w:rStyle w:val="FootnoteReference"/>
          <w:szCs w:val="22"/>
        </w:rPr>
        <w:footnoteReference w:id="1106"/>
      </w:r>
    </w:p>
    <w:p w:rsidR="004A147C" w:rsidRPr="00B53FFB" w:rsidRDefault="004A147C" w:rsidP="00CE5850">
      <w:pPr>
        <w:pStyle w:val="Heading3"/>
        <w:keepNext w:val="0"/>
        <w:numPr>
          <w:ilvl w:val="2"/>
          <w:numId w:val="26"/>
        </w:numPr>
        <w:tabs>
          <w:tab w:val="left" w:pos="2160"/>
        </w:tabs>
        <w:rPr>
          <w:sz w:val="22"/>
          <w:szCs w:val="22"/>
        </w:rPr>
      </w:pPr>
      <w:bookmarkStart w:id="5163" w:name="_Toc261610801"/>
      <w:bookmarkStart w:id="5164" w:name="_Toc261858540"/>
      <w:bookmarkStart w:id="5165" w:name="_Toc262034345"/>
      <w:bookmarkStart w:id="5166" w:name="_Toc262034448"/>
      <w:bookmarkStart w:id="5167" w:name="_Toc271288488"/>
      <w:bookmarkStart w:id="5168" w:name="_Toc275518006"/>
      <w:bookmarkStart w:id="5169" w:name="_Toc275952446"/>
      <w:bookmarkStart w:id="5170" w:name="_Toc276121878"/>
      <w:bookmarkStart w:id="5171" w:name="_Toc276480714"/>
      <w:bookmarkStart w:id="5172" w:name="_Toc276741791"/>
      <w:bookmarkStart w:id="5173" w:name="_Toc277171556"/>
      <w:bookmarkStart w:id="5174" w:name="_Toc277864531"/>
      <w:bookmarkStart w:id="5175" w:name="_Toc277864747"/>
      <w:bookmarkStart w:id="5176" w:name="_Toc285810428"/>
      <w:bookmarkStart w:id="5177" w:name="_Toc287257822"/>
      <w:bookmarkStart w:id="5178" w:name="_Toc291758701"/>
      <w:bookmarkStart w:id="5179" w:name="_Toc291758804"/>
      <w:bookmarkStart w:id="5180" w:name="_Toc295392984"/>
      <w:bookmarkStart w:id="5181" w:name="_Toc329262542"/>
      <w:bookmarkStart w:id="5182" w:name="_Toc329852449"/>
      <w:bookmarkStart w:id="5183" w:name="_Toc331766364"/>
      <w:bookmarkStart w:id="5184" w:name="_Toc332119168"/>
      <w:bookmarkStart w:id="5185" w:name="_Toc334088836"/>
      <w:bookmarkStart w:id="5186" w:name="_Toc334089072"/>
      <w:bookmarkStart w:id="5187" w:name="_Toc334089231"/>
      <w:bookmarkStart w:id="5188" w:name="_Toc334089342"/>
      <w:bookmarkStart w:id="5189" w:name="_Toc334089506"/>
      <w:bookmarkStart w:id="5190" w:name="_Toc336268648"/>
      <w:bookmarkStart w:id="5191" w:name="_Toc336268756"/>
      <w:bookmarkStart w:id="5192" w:name="_Toc336268863"/>
      <w:bookmarkStart w:id="5193" w:name="_Toc336269077"/>
      <w:bookmarkStart w:id="5194" w:name="_Toc336269184"/>
      <w:bookmarkStart w:id="5195" w:name="_Toc336269552"/>
      <w:bookmarkStart w:id="5196" w:name="_Toc336269698"/>
      <w:bookmarkStart w:id="5197" w:name="_Toc336270111"/>
      <w:bookmarkStart w:id="5198" w:name="_Toc336271310"/>
      <w:bookmarkStart w:id="5199" w:name="_Toc337652028"/>
      <w:bookmarkStart w:id="5200" w:name="_Toc349577216"/>
      <w:bookmarkStart w:id="5201" w:name="_Toc349579308"/>
      <w:bookmarkStart w:id="5202" w:name="_Toc349580623"/>
      <w:bookmarkStart w:id="5203" w:name="_Toc349735031"/>
      <w:bookmarkStart w:id="5204" w:name="_Toc349742396"/>
      <w:r w:rsidRPr="00B53FFB">
        <w:rPr>
          <w:sz w:val="22"/>
          <w:szCs w:val="22"/>
        </w:rPr>
        <w:t>The Impact of Mobile Wireless Services</w:t>
      </w:r>
      <w:bookmarkEnd w:id="5163"/>
      <w:bookmarkEnd w:id="5164"/>
      <w:bookmarkEnd w:id="5165"/>
      <w:bookmarkEnd w:id="5166"/>
      <w:bookmarkEnd w:id="5167"/>
      <w:bookmarkEnd w:id="5168"/>
      <w:bookmarkEnd w:id="5169"/>
      <w:bookmarkEnd w:id="5170"/>
      <w:bookmarkEnd w:id="5171"/>
      <w:bookmarkEnd w:id="5172"/>
      <w:bookmarkEnd w:id="5173"/>
      <w:r w:rsidRPr="00B53FFB">
        <w:rPr>
          <w:sz w:val="22"/>
          <w:szCs w:val="22"/>
        </w:rPr>
        <w:t xml:space="preserve"> on the U.S. Economy</w:t>
      </w:r>
      <w:bookmarkEnd w:id="5174"/>
      <w:bookmarkEnd w:id="5175"/>
      <w:bookmarkEnd w:id="5176"/>
      <w:bookmarkEnd w:id="5177"/>
      <w:bookmarkEnd w:id="5178"/>
      <w:bookmarkEnd w:id="5179"/>
      <w:bookmarkEnd w:id="5180"/>
      <w:bookmarkEnd w:id="5181"/>
      <w:bookmarkEnd w:id="5182"/>
      <w:bookmarkEnd w:id="5183"/>
      <w:bookmarkEnd w:id="5184"/>
      <w:bookmarkEnd w:id="5185"/>
      <w:bookmarkEnd w:id="5186"/>
      <w:bookmarkEnd w:id="5187"/>
      <w:bookmarkEnd w:id="5188"/>
      <w:bookmarkEnd w:id="5189"/>
      <w:bookmarkEnd w:id="5190"/>
      <w:bookmarkEnd w:id="5191"/>
      <w:bookmarkEnd w:id="5192"/>
      <w:bookmarkEnd w:id="5193"/>
      <w:bookmarkEnd w:id="5194"/>
      <w:bookmarkEnd w:id="5195"/>
      <w:bookmarkEnd w:id="5196"/>
      <w:bookmarkEnd w:id="5197"/>
      <w:bookmarkEnd w:id="5198"/>
      <w:bookmarkEnd w:id="5199"/>
      <w:bookmarkEnd w:id="5200"/>
      <w:bookmarkEnd w:id="5201"/>
      <w:bookmarkEnd w:id="5202"/>
      <w:bookmarkEnd w:id="5203"/>
      <w:bookmarkEnd w:id="5204"/>
    </w:p>
    <w:p w:rsidR="004A147C" w:rsidRPr="00B53FFB" w:rsidRDefault="004A147C" w:rsidP="00CE5850">
      <w:pPr>
        <w:pStyle w:val="ParaNum"/>
        <w:numPr>
          <w:ilvl w:val="0"/>
          <w:numId w:val="28"/>
        </w:numPr>
        <w:rPr>
          <w:sz w:val="22"/>
          <w:szCs w:val="22"/>
        </w:rPr>
      </w:pPr>
      <w:r w:rsidRPr="00B53FFB">
        <w:rPr>
          <w:sz w:val="22"/>
          <w:szCs w:val="22"/>
        </w:rPr>
        <w:t>The mobile wireless sector and its complementary industries, such as handset manufacturers, operating system providers, and application developers, play a significant role in the U.S. economy.</w:t>
      </w:r>
      <w:r w:rsidRPr="00B53FFB">
        <w:rPr>
          <w:rStyle w:val="FootnoteReference"/>
          <w:szCs w:val="22"/>
        </w:rPr>
        <w:footnoteReference w:id="1107"/>
      </w:r>
      <w:r w:rsidRPr="00B53FFB">
        <w:rPr>
          <w:sz w:val="22"/>
          <w:szCs w:val="22"/>
        </w:rPr>
        <w:t xml:space="preserve">  These sectors create jobs, contribute to GDP, and improve productivity for firms in other industries outside telecommunications.  According to CTIA, U.S. wireless providers directly employed 238,071 workers at the end of 2011, up from 184,449 in 2000, yielding an average job creation rate of around three percent per year.</w:t>
      </w:r>
      <w:r w:rsidRPr="00B53FFB">
        <w:rPr>
          <w:rStyle w:val="FootnoteReference"/>
          <w:szCs w:val="22"/>
        </w:rPr>
        <w:footnoteReference w:id="1108"/>
      </w:r>
      <w:r w:rsidRPr="00B53FFB">
        <w:rPr>
          <w:sz w:val="22"/>
          <w:szCs w:val="22"/>
        </w:rPr>
        <w:t xml:space="preserve">  In addition, CTIA estimates that the mobile app economy employs an additional 466,000 workers.</w:t>
      </w:r>
      <w:r w:rsidRPr="00B53FFB">
        <w:rPr>
          <w:rStyle w:val="FootnoteReference"/>
          <w:szCs w:val="22"/>
        </w:rPr>
        <w:footnoteReference w:id="1109"/>
      </w:r>
      <w:r w:rsidRPr="00B53FFB">
        <w:rPr>
          <w:sz w:val="22"/>
          <w:szCs w:val="22"/>
        </w:rPr>
        <w:t xml:space="preserve">  Another source, Recon Analytics, estimates that the wireless industry was responsible for 3.8 million U.S. jobs in 2011, directly and indirectly, and accounted for 2.6 percent of all U.S. employment.</w:t>
      </w:r>
      <w:r w:rsidRPr="00B53FFB">
        <w:rPr>
          <w:rStyle w:val="FootnoteReference"/>
          <w:szCs w:val="22"/>
        </w:rPr>
        <w:footnoteReference w:id="1110"/>
      </w:r>
      <w:r w:rsidRPr="00B53FFB">
        <w:rPr>
          <w:sz w:val="22"/>
          <w:szCs w:val="22"/>
        </w:rPr>
        <w:t xml:space="preserve">  </w:t>
      </w:r>
    </w:p>
    <w:p w:rsidR="004A147C" w:rsidRPr="00B53FFB" w:rsidRDefault="004A147C" w:rsidP="00CE5850">
      <w:pPr>
        <w:pStyle w:val="ParaNum"/>
        <w:numPr>
          <w:ilvl w:val="0"/>
          <w:numId w:val="28"/>
        </w:numPr>
        <w:rPr>
          <w:sz w:val="22"/>
          <w:szCs w:val="22"/>
        </w:rPr>
      </w:pPr>
      <w:r w:rsidRPr="00B53FFB">
        <w:rPr>
          <w:sz w:val="22"/>
          <w:szCs w:val="22"/>
        </w:rPr>
        <w:t>Recon Analytics also estimates that the wireless industry generated $195.5 billion in economic activity globally in 2011, of which $146.2 billion was retained as U.S. GDP.</w:t>
      </w:r>
      <w:r w:rsidRPr="00B53FFB">
        <w:rPr>
          <w:rStyle w:val="FootnoteReference"/>
          <w:szCs w:val="22"/>
        </w:rPr>
        <w:footnoteReference w:id="1111"/>
      </w:r>
      <w:r w:rsidRPr="00B53FFB">
        <w:rPr>
          <w:sz w:val="22"/>
          <w:szCs w:val="22"/>
        </w:rPr>
        <w:t xml:space="preserve">  Wireless industry service revenues totaled $169.8 billion in 2011 (in nominal dollars), up from $52.5 billion in 2000, yielding an average annual growth rate of 20.4 percent.</w:t>
      </w:r>
      <w:r w:rsidRPr="00B53FFB">
        <w:rPr>
          <w:rStyle w:val="FootnoteReference"/>
          <w:szCs w:val="22"/>
        </w:rPr>
        <w:footnoteReference w:id="1112"/>
      </w:r>
      <w:r w:rsidRPr="00B53FFB">
        <w:rPr>
          <w:sz w:val="22"/>
          <w:szCs w:val="22"/>
        </w:rPr>
        <w:t xml:space="preserve">  The wireless industry, based on value of retained GDP, is now larger than the agriculture, hotels and lodging, air transportation, and motor vehicle manufacturing industries, and rivals the computer systems design services and oil and gas extraction industries.</w:t>
      </w:r>
      <w:r w:rsidRPr="00B53FFB">
        <w:rPr>
          <w:rStyle w:val="FootnoteReference"/>
          <w:szCs w:val="22"/>
        </w:rPr>
        <w:footnoteReference w:id="1113"/>
      </w:r>
    </w:p>
    <w:p w:rsidR="004A147C" w:rsidRPr="00B53FFB" w:rsidRDefault="004A147C" w:rsidP="00CE5850">
      <w:pPr>
        <w:pStyle w:val="ParaNum"/>
        <w:numPr>
          <w:ilvl w:val="0"/>
          <w:numId w:val="28"/>
        </w:numPr>
        <w:rPr>
          <w:sz w:val="22"/>
          <w:szCs w:val="22"/>
        </w:rPr>
      </w:pPr>
      <w:r w:rsidRPr="00B53FFB">
        <w:rPr>
          <w:sz w:val="22"/>
          <w:szCs w:val="22"/>
        </w:rPr>
        <w:t>As noted above, mobile wireless providers have invested heavily in building out and improving their broadband networks in recent years.</w:t>
      </w:r>
      <w:r w:rsidRPr="00B53FFB">
        <w:rPr>
          <w:rStyle w:val="FootnoteReference"/>
          <w:szCs w:val="22"/>
        </w:rPr>
        <w:footnoteReference w:id="1114"/>
      </w:r>
      <w:r w:rsidRPr="00B53FFB">
        <w:rPr>
          <w:sz w:val="22"/>
          <w:szCs w:val="22"/>
        </w:rPr>
        <w:t xml:space="preserve">  According to CTIA, total incremental capital investment was $25.3 billion in 2011 (15 percent of total industry revenue), and totaled $245.7 billion from 2001-2011.</w:t>
      </w:r>
      <w:r w:rsidRPr="00B53FFB">
        <w:rPr>
          <w:rStyle w:val="FootnoteReference"/>
          <w:szCs w:val="22"/>
        </w:rPr>
        <w:footnoteReference w:id="1115"/>
      </w:r>
      <w:r w:rsidRPr="00B53FFB">
        <w:rPr>
          <w:sz w:val="22"/>
          <w:szCs w:val="22"/>
        </w:rPr>
        <w:t xml:space="preserve">  The U.S. Census Bureau estimated total annual capital expenditures by wireless providers to be $23 billion for 2010 (33 percent of all capital expenditures in the telecommunications industry).</w:t>
      </w:r>
      <w:r w:rsidRPr="00B53FFB">
        <w:rPr>
          <w:rStyle w:val="FootnoteReference"/>
          <w:szCs w:val="22"/>
        </w:rPr>
        <w:footnoteReference w:id="1116"/>
      </w:r>
      <w:r w:rsidRPr="00B53FFB">
        <w:rPr>
          <w:sz w:val="22"/>
          <w:szCs w:val="22"/>
        </w:rPr>
        <w:t xml:space="preserve">  </w:t>
      </w:r>
    </w:p>
    <w:p w:rsidR="004A147C" w:rsidRPr="00B53FFB" w:rsidRDefault="004A147C" w:rsidP="00CE5850">
      <w:pPr>
        <w:pStyle w:val="ParaNum"/>
        <w:numPr>
          <w:ilvl w:val="0"/>
          <w:numId w:val="28"/>
        </w:numPr>
        <w:rPr>
          <w:sz w:val="22"/>
          <w:szCs w:val="22"/>
        </w:rPr>
      </w:pPr>
      <w:r w:rsidRPr="00B53FFB">
        <w:rPr>
          <w:sz w:val="22"/>
          <w:szCs w:val="22"/>
        </w:rPr>
        <w:t xml:space="preserve">As noted in the </w:t>
      </w:r>
      <w:r w:rsidRPr="00B53FFB">
        <w:rPr>
          <w:i/>
          <w:sz w:val="22"/>
          <w:szCs w:val="22"/>
        </w:rPr>
        <w:t xml:space="preserve">Fifteenth Report, </w:t>
      </w:r>
      <w:r w:rsidRPr="00B53FFB">
        <w:rPr>
          <w:sz w:val="22"/>
          <w:szCs w:val="22"/>
        </w:rPr>
        <w:t>investment in telecommunications infrastructure contributes positively to economic growth and labor productivity in the United States.  One study, which analyzed 21 OECD countries over the period 1970-1990, found a positive causal relationship between telecommunications infrastructure and aggregate output.  The authors found that the impact of increased investment in telecommunications infrastructure is a 0.6 percent increase in GDP, about a third of the average annual growth rate in industrialized nations.</w:t>
      </w:r>
      <w:r w:rsidRPr="00B53FFB">
        <w:rPr>
          <w:rStyle w:val="FootnoteReference"/>
          <w:szCs w:val="22"/>
        </w:rPr>
        <w:footnoteReference w:id="1117"/>
      </w:r>
      <w:r w:rsidRPr="00B53FFB">
        <w:rPr>
          <w:sz w:val="22"/>
          <w:szCs w:val="22"/>
        </w:rPr>
        <w:t xml:space="preserve">  </w:t>
      </w:r>
    </w:p>
    <w:p w:rsidR="004A147C" w:rsidRPr="00B53FFB" w:rsidRDefault="004A147C" w:rsidP="00CE5850">
      <w:pPr>
        <w:pStyle w:val="ParaNum"/>
        <w:numPr>
          <w:ilvl w:val="0"/>
          <w:numId w:val="28"/>
        </w:numPr>
        <w:rPr>
          <w:sz w:val="22"/>
          <w:szCs w:val="22"/>
        </w:rPr>
      </w:pPr>
      <w:r w:rsidRPr="00B53FFB">
        <w:rPr>
          <w:sz w:val="22"/>
          <w:szCs w:val="22"/>
        </w:rPr>
        <w:t>As infrastructure improves, transaction costs for businesses fall, including the costs of ordering, gathering information, and searching for services.  In addition, with a faster and more advanced digital infrastructure, employees and firms in all sectors are able to communicate more quickly and effectively, and to have better information about their suppliers and customers, thereby enabling them to anticipate and respond to changes and variations in consumer demand faster and at a lower cost.  Recon Analytics estimates that, in 2011, the wireless industry accounted for $33 billion in productivity gains for U.S. businesses.</w:t>
      </w:r>
      <w:r w:rsidRPr="00B53FFB">
        <w:rPr>
          <w:rStyle w:val="FootnoteReference"/>
          <w:szCs w:val="22"/>
        </w:rPr>
        <w:footnoteReference w:id="1118"/>
      </w:r>
    </w:p>
    <w:p w:rsidR="004A147C" w:rsidRPr="00B53FFB" w:rsidRDefault="004A147C" w:rsidP="00CE5850">
      <w:pPr>
        <w:pStyle w:val="ParaNum"/>
        <w:numPr>
          <w:ilvl w:val="0"/>
          <w:numId w:val="28"/>
        </w:numPr>
        <w:rPr>
          <w:sz w:val="22"/>
          <w:szCs w:val="22"/>
        </w:rPr>
      </w:pPr>
      <w:r w:rsidRPr="00B53FFB">
        <w:rPr>
          <w:sz w:val="22"/>
          <w:szCs w:val="22"/>
        </w:rPr>
        <w:t>Moreover, economists expect significant positive externalities to result from a strong telecommunications sector, whereby “society as a whole benefits from a nationwide wireless network.”</w:t>
      </w:r>
      <w:r w:rsidRPr="00B53FFB">
        <w:rPr>
          <w:rStyle w:val="FootnoteReference"/>
          <w:szCs w:val="22"/>
        </w:rPr>
        <w:footnoteReference w:id="1119"/>
      </w:r>
      <w:r w:rsidRPr="00B53FFB">
        <w:rPr>
          <w:sz w:val="22"/>
          <w:szCs w:val="22"/>
        </w:rPr>
        <w:t xml:space="preserve">  These additional indirect benefits include enhancing health care, education, energy, and public safety services; increasing opportunities for entrepreneurial activity; and helping U.S. consumers more efficiently gather information on goods, services, and employment opportunities.</w:t>
      </w:r>
      <w:r w:rsidRPr="00B53FFB">
        <w:rPr>
          <w:rStyle w:val="FootnoteReference"/>
          <w:szCs w:val="22"/>
        </w:rPr>
        <w:footnoteReference w:id="1120"/>
      </w:r>
      <w:r w:rsidRPr="00B53FFB">
        <w:rPr>
          <w:sz w:val="22"/>
          <w:szCs w:val="22"/>
        </w:rPr>
        <w:t xml:space="preserve">  In the education sector, for example, CTIA reports that access to mobile technology in classrooms has tripled over the past three years.</w:t>
      </w:r>
      <w:r w:rsidRPr="00B53FFB">
        <w:rPr>
          <w:rStyle w:val="FootnoteReference"/>
          <w:szCs w:val="22"/>
        </w:rPr>
        <w:footnoteReference w:id="1121"/>
      </w:r>
      <w:r w:rsidRPr="00B53FFB">
        <w:rPr>
          <w:sz w:val="22"/>
          <w:szCs w:val="22"/>
        </w:rPr>
        <w:t xml:space="preserve">  Examples of how mobile devices and network technologies improve education include student access to digital textbooks on tablets and e-readers, the development of numerous mobile learning apps covering a wide range of subject areas, and increased interaction and collaboration among students, parents, tutors, and teachers.</w:t>
      </w:r>
      <w:r w:rsidRPr="00B53FFB">
        <w:rPr>
          <w:rStyle w:val="FootnoteReference"/>
          <w:szCs w:val="22"/>
        </w:rPr>
        <w:footnoteReference w:id="1122"/>
      </w:r>
    </w:p>
    <w:p w:rsidR="004A147C" w:rsidRPr="00B53FFB" w:rsidRDefault="004A147C" w:rsidP="00CE5850">
      <w:pPr>
        <w:pStyle w:val="Heading1"/>
        <w:keepNext w:val="0"/>
        <w:numPr>
          <w:ilvl w:val="0"/>
          <w:numId w:val="26"/>
        </w:numPr>
        <w:tabs>
          <w:tab w:val="left" w:pos="720"/>
        </w:tabs>
        <w:suppressAutoHyphens w:val="0"/>
        <w:rPr>
          <w:sz w:val="22"/>
          <w:szCs w:val="22"/>
        </w:rPr>
      </w:pPr>
      <w:bookmarkStart w:id="5205" w:name="_Toc336268649"/>
      <w:bookmarkStart w:id="5206" w:name="_Toc336268757"/>
      <w:bookmarkStart w:id="5207" w:name="_Toc336268864"/>
      <w:bookmarkStart w:id="5208" w:name="_Toc336269078"/>
      <w:bookmarkStart w:id="5209" w:name="_Toc336269185"/>
      <w:bookmarkStart w:id="5210" w:name="_Toc336269553"/>
      <w:bookmarkStart w:id="5211" w:name="_Toc336269699"/>
      <w:bookmarkStart w:id="5212" w:name="_Toc336270112"/>
      <w:bookmarkStart w:id="5213" w:name="_Toc336271311"/>
      <w:bookmarkStart w:id="5214" w:name="_Toc337652029"/>
      <w:bookmarkStart w:id="5215" w:name="_Toc349577217"/>
      <w:bookmarkStart w:id="5216" w:name="_Toc349579309"/>
      <w:bookmarkStart w:id="5217" w:name="_Toc349580624"/>
      <w:bookmarkStart w:id="5218" w:name="_Toc349735032"/>
      <w:bookmarkStart w:id="5219" w:name="_Toc349742397"/>
      <w:r w:rsidRPr="00B53FFB">
        <w:rPr>
          <w:sz w:val="22"/>
          <w:szCs w:val="22"/>
        </w:rPr>
        <w:t>INTERMODAL DEVELOPMENTS</w:t>
      </w:r>
      <w:bookmarkEnd w:id="5205"/>
      <w:bookmarkEnd w:id="5206"/>
      <w:bookmarkEnd w:id="5207"/>
      <w:bookmarkEnd w:id="5208"/>
      <w:bookmarkEnd w:id="5209"/>
      <w:bookmarkEnd w:id="5210"/>
      <w:bookmarkEnd w:id="5211"/>
      <w:bookmarkEnd w:id="5212"/>
      <w:bookmarkEnd w:id="5213"/>
      <w:bookmarkEnd w:id="5214"/>
      <w:bookmarkEnd w:id="5215"/>
      <w:bookmarkEnd w:id="5216"/>
      <w:bookmarkEnd w:id="5217"/>
      <w:bookmarkEnd w:id="5218"/>
      <w:bookmarkEnd w:id="5219"/>
    </w:p>
    <w:p w:rsidR="004A147C" w:rsidRPr="00B53FFB" w:rsidRDefault="004A147C" w:rsidP="00CE5850">
      <w:pPr>
        <w:pStyle w:val="Heading2"/>
        <w:keepNext w:val="0"/>
      </w:pPr>
      <w:bookmarkStart w:id="5220" w:name="_Toc261610819"/>
      <w:bookmarkStart w:id="5221" w:name="_Toc261858571"/>
      <w:bookmarkStart w:id="5222" w:name="_Toc262034380"/>
      <w:bookmarkStart w:id="5223" w:name="_Toc262034483"/>
      <w:bookmarkStart w:id="5224" w:name="_Toc271288518"/>
      <w:bookmarkStart w:id="5225" w:name="_Toc275518037"/>
      <w:bookmarkStart w:id="5226" w:name="_Toc275952477"/>
      <w:bookmarkStart w:id="5227" w:name="_Toc276121909"/>
      <w:bookmarkStart w:id="5228" w:name="_Toc276480745"/>
      <w:bookmarkStart w:id="5229" w:name="_Toc276741823"/>
      <w:bookmarkStart w:id="5230" w:name="_Toc277171587"/>
      <w:bookmarkStart w:id="5231" w:name="_Toc277864562"/>
      <w:bookmarkStart w:id="5232" w:name="_Toc277864778"/>
      <w:bookmarkStart w:id="5233" w:name="_Toc285810459"/>
      <w:bookmarkStart w:id="5234" w:name="_Toc287257858"/>
      <w:bookmarkStart w:id="5235" w:name="_Toc291758733"/>
      <w:bookmarkStart w:id="5236" w:name="_Toc291758836"/>
      <w:bookmarkStart w:id="5237" w:name="_Toc295393016"/>
      <w:bookmarkStart w:id="5238" w:name="_Toc329262544"/>
      <w:bookmarkStart w:id="5239" w:name="_Toc329852451"/>
      <w:bookmarkStart w:id="5240" w:name="_Toc331766366"/>
      <w:bookmarkStart w:id="5241" w:name="_Toc332119170"/>
      <w:bookmarkStart w:id="5242" w:name="_Toc334088838"/>
      <w:bookmarkStart w:id="5243" w:name="_Toc334089074"/>
      <w:bookmarkStart w:id="5244" w:name="_Toc334089233"/>
      <w:bookmarkStart w:id="5245" w:name="_Toc334089344"/>
      <w:bookmarkStart w:id="5246" w:name="_Toc334089508"/>
      <w:bookmarkStart w:id="5247" w:name="_Toc336268650"/>
      <w:bookmarkStart w:id="5248" w:name="_Toc336268758"/>
      <w:bookmarkStart w:id="5249" w:name="_Toc336268865"/>
      <w:bookmarkStart w:id="5250" w:name="_Toc336269079"/>
      <w:bookmarkStart w:id="5251" w:name="_Toc336269186"/>
      <w:bookmarkStart w:id="5252" w:name="_Toc336269554"/>
      <w:bookmarkStart w:id="5253" w:name="_Toc336269700"/>
      <w:bookmarkStart w:id="5254" w:name="_Toc336270113"/>
      <w:bookmarkStart w:id="5255" w:name="_Toc336271312"/>
      <w:bookmarkStart w:id="5256" w:name="_Toc337652030"/>
      <w:bookmarkStart w:id="5257" w:name="_Toc349577218"/>
      <w:bookmarkStart w:id="5258" w:name="_Toc349579310"/>
      <w:bookmarkStart w:id="5259" w:name="_Toc349580625"/>
      <w:bookmarkStart w:id="5260" w:name="_Toc349735033"/>
      <w:bookmarkStart w:id="5261" w:name="_Toc349742398"/>
      <w:r w:rsidRPr="00B53FFB">
        <w:t>Voice Services</w:t>
      </w:r>
      <w:bookmarkStart w:id="5262" w:name="_Toc83547845"/>
      <w:bookmarkStart w:id="5263" w:name="_Toc112139265"/>
      <w:bookmarkStart w:id="5264" w:name="_Toc113257872"/>
      <w:bookmarkStart w:id="5265" w:name="_Toc113258069"/>
      <w:bookmarkStart w:id="5266" w:name="_Toc113258337"/>
      <w:bookmarkStart w:id="5267" w:name="_Toc113258663"/>
      <w:bookmarkStart w:id="5268" w:name="_Toc113272252"/>
      <w:bookmarkStart w:id="5269" w:name="_Toc115580937"/>
      <w:bookmarkStart w:id="5270" w:name="_Toc136318340"/>
      <w:bookmarkStart w:id="5271" w:name="_Toc136318689"/>
      <w:bookmarkStart w:id="5272" w:name="_Toc136318856"/>
      <w:bookmarkStart w:id="5273" w:name="_Toc138475832"/>
      <w:bookmarkStart w:id="5274" w:name="_Toc146684561"/>
      <w:bookmarkStart w:id="5275" w:name="_Toc147046319"/>
      <w:bookmarkStart w:id="5276" w:name="_Toc171415277"/>
      <w:bookmarkStart w:id="5277" w:name="_Toc173642168"/>
      <w:bookmarkStart w:id="5278" w:name="_Toc173813706"/>
      <w:bookmarkStart w:id="5279" w:name="_Toc175387876"/>
      <w:bookmarkStart w:id="5280" w:name="_Toc176254481"/>
      <w:bookmarkStart w:id="5281" w:name="_Toc176254770"/>
      <w:bookmarkStart w:id="5282" w:name="_Toc176254881"/>
      <w:bookmarkStart w:id="5283" w:name="_Toc176762515"/>
      <w:bookmarkStart w:id="5284" w:name="_Toc176843536"/>
      <w:bookmarkStart w:id="5285" w:name="_Toc176853338"/>
      <w:bookmarkStart w:id="5286" w:name="_Toc176853447"/>
      <w:bookmarkStart w:id="5287" w:name="_Toc176857496"/>
      <w:bookmarkStart w:id="5288" w:name="_Toc179108428"/>
      <w:bookmarkStart w:id="5289" w:name="_Toc179357687"/>
      <w:bookmarkStart w:id="5290" w:name="_Toc181781169"/>
      <w:bookmarkStart w:id="5291" w:name="_Toc182218755"/>
      <w:bookmarkStart w:id="5292" w:name="_Toc182909191"/>
      <w:bookmarkStart w:id="5293" w:name="_Toc182909621"/>
      <w:bookmarkStart w:id="5294" w:name="_Toc182987271"/>
      <w:bookmarkStart w:id="5295" w:name="_Toc183244106"/>
      <w:bookmarkStart w:id="5296" w:name="_Toc183244484"/>
      <w:bookmarkStart w:id="5297" w:name="_Toc183244895"/>
      <w:bookmarkStart w:id="5298" w:name="_Toc183245013"/>
      <w:bookmarkStart w:id="5299" w:name="_Toc183245671"/>
      <w:bookmarkStart w:id="5300" w:name="_Toc183246246"/>
      <w:bookmarkStart w:id="5301" w:name="_Toc183246345"/>
      <w:bookmarkStart w:id="5302" w:name="_Toc185667955"/>
      <w:bookmarkStart w:id="5303" w:name="_Toc185839012"/>
      <w:bookmarkStart w:id="5304" w:name="_Toc185846984"/>
      <w:bookmarkStart w:id="5305" w:name="_Toc185848590"/>
      <w:bookmarkStart w:id="5306" w:name="_Toc188946948"/>
      <w:bookmarkStart w:id="5307" w:name="_Toc189302852"/>
      <w:bookmarkEnd w:id="5220"/>
      <w:bookmarkEnd w:id="5221"/>
      <w:bookmarkEnd w:id="5222"/>
      <w:bookmarkEnd w:id="5223"/>
      <w:bookmarkEnd w:id="5224"/>
      <w:bookmarkEnd w:id="5225"/>
      <w:bookmarkEnd w:id="5226"/>
      <w:bookmarkEnd w:id="5227"/>
      <w:bookmarkEnd w:id="5228"/>
      <w:bookmarkEnd w:id="5229"/>
      <w:bookmarkEnd w:id="5230"/>
      <w:bookmarkEnd w:id="5231"/>
      <w:bookmarkEnd w:id="5232"/>
      <w:bookmarkEnd w:id="5233"/>
      <w:bookmarkEnd w:id="5234"/>
      <w:bookmarkEnd w:id="5235"/>
      <w:bookmarkEnd w:id="5236"/>
      <w:bookmarkEnd w:id="5237"/>
      <w:bookmarkEnd w:id="5238"/>
      <w:bookmarkEnd w:id="5239"/>
      <w:bookmarkEnd w:id="5240"/>
      <w:bookmarkEnd w:id="5241"/>
      <w:bookmarkEnd w:id="5242"/>
      <w:bookmarkEnd w:id="5243"/>
      <w:bookmarkEnd w:id="5244"/>
      <w:bookmarkEnd w:id="5245"/>
      <w:bookmarkEnd w:id="5246"/>
      <w:bookmarkEnd w:id="5247"/>
      <w:bookmarkEnd w:id="5248"/>
      <w:bookmarkEnd w:id="5249"/>
      <w:bookmarkEnd w:id="5250"/>
      <w:bookmarkEnd w:id="5251"/>
      <w:bookmarkEnd w:id="5252"/>
      <w:bookmarkEnd w:id="5253"/>
      <w:bookmarkEnd w:id="5254"/>
      <w:bookmarkEnd w:id="5255"/>
      <w:bookmarkEnd w:id="5256"/>
      <w:bookmarkEnd w:id="5257"/>
      <w:bookmarkEnd w:id="5258"/>
      <w:bookmarkEnd w:id="5259"/>
      <w:bookmarkEnd w:id="5260"/>
      <w:bookmarkEnd w:id="5261"/>
    </w:p>
    <w:bookmarkEnd w:id="5262"/>
    <w:bookmarkEnd w:id="5263"/>
    <w:bookmarkEnd w:id="5264"/>
    <w:bookmarkEnd w:id="5265"/>
    <w:bookmarkEnd w:id="5266"/>
    <w:bookmarkEnd w:id="5267"/>
    <w:bookmarkEnd w:id="5268"/>
    <w:bookmarkEnd w:id="5269"/>
    <w:bookmarkEnd w:id="5270"/>
    <w:bookmarkEnd w:id="5271"/>
    <w:bookmarkEnd w:id="5272"/>
    <w:bookmarkEnd w:id="5273"/>
    <w:bookmarkEnd w:id="5274"/>
    <w:bookmarkEnd w:id="5275"/>
    <w:bookmarkEnd w:id="5276"/>
    <w:bookmarkEnd w:id="5277"/>
    <w:bookmarkEnd w:id="5278"/>
    <w:bookmarkEnd w:id="5279"/>
    <w:bookmarkEnd w:id="5280"/>
    <w:bookmarkEnd w:id="5281"/>
    <w:bookmarkEnd w:id="5282"/>
    <w:bookmarkEnd w:id="5283"/>
    <w:bookmarkEnd w:id="5284"/>
    <w:bookmarkEnd w:id="5285"/>
    <w:bookmarkEnd w:id="5286"/>
    <w:bookmarkEnd w:id="5287"/>
    <w:bookmarkEnd w:id="5288"/>
    <w:bookmarkEnd w:id="5289"/>
    <w:bookmarkEnd w:id="5290"/>
    <w:bookmarkEnd w:id="5291"/>
    <w:bookmarkEnd w:id="5292"/>
    <w:bookmarkEnd w:id="5293"/>
    <w:bookmarkEnd w:id="5294"/>
    <w:bookmarkEnd w:id="5295"/>
    <w:bookmarkEnd w:id="5296"/>
    <w:bookmarkEnd w:id="5297"/>
    <w:bookmarkEnd w:id="5298"/>
    <w:bookmarkEnd w:id="5299"/>
    <w:bookmarkEnd w:id="5300"/>
    <w:bookmarkEnd w:id="5301"/>
    <w:bookmarkEnd w:id="5302"/>
    <w:bookmarkEnd w:id="5303"/>
    <w:bookmarkEnd w:id="5304"/>
    <w:bookmarkEnd w:id="5305"/>
    <w:bookmarkEnd w:id="5306"/>
    <w:bookmarkEnd w:id="5307"/>
    <w:p w:rsidR="001F2E26" w:rsidRPr="001F2E26" w:rsidRDefault="004A147C" w:rsidP="00CE5850">
      <w:pPr>
        <w:pStyle w:val="ParaNum"/>
        <w:numPr>
          <w:ilvl w:val="0"/>
          <w:numId w:val="28"/>
        </w:numPr>
        <w:rPr>
          <w:szCs w:val="22"/>
        </w:rPr>
      </w:pPr>
      <w:r w:rsidRPr="001F2E26">
        <w:rPr>
          <w:sz w:val="22"/>
          <w:szCs w:val="22"/>
        </w:rPr>
        <w:t>The</w:t>
      </w:r>
      <w:r w:rsidR="001F2E26" w:rsidRPr="001F2E26">
        <w:rPr>
          <w:sz w:val="22"/>
          <w:szCs w:val="22"/>
        </w:rPr>
        <w:t xml:space="preserve"> number of adults who rel</w:t>
      </w:r>
      <w:r w:rsidR="0018018F">
        <w:rPr>
          <w:sz w:val="22"/>
          <w:szCs w:val="22"/>
        </w:rPr>
        <w:t>y</w:t>
      </w:r>
      <w:r w:rsidR="001F2E26" w:rsidRPr="001F2E26">
        <w:rPr>
          <w:sz w:val="22"/>
          <w:szCs w:val="22"/>
        </w:rPr>
        <w:t xml:space="preserve"> exclusively on mobile wireless for voice service has increased significantly in recent years.  According to the National Health Interview Survey (NHIS), approximately 34.0 percent of all adults in the U.S. lived in wireless-only households during the first half of 2012 (see </w:t>
      </w:r>
      <w:r w:rsidR="00951E9B">
        <w:fldChar w:fldCharType="begin"/>
      </w:r>
      <w:r w:rsidR="00951E9B">
        <w:instrText xml:space="preserve"> REF _Ref256415650  \* MERGEFORMAT </w:instrText>
      </w:r>
      <w:r w:rsidR="00951E9B">
        <w:fldChar w:fldCharType="separate"/>
      </w:r>
      <w:r w:rsidR="00CA3AC6" w:rsidRPr="00B53FFB">
        <w:rPr>
          <w:sz w:val="22"/>
          <w:szCs w:val="22"/>
        </w:rPr>
        <w:t xml:space="preserve">Chart </w:t>
      </w:r>
      <w:r w:rsidR="00CA3AC6">
        <w:rPr>
          <w:sz w:val="22"/>
          <w:szCs w:val="22"/>
        </w:rPr>
        <w:t>45</w:t>
      </w:r>
      <w:r w:rsidR="00951E9B">
        <w:rPr>
          <w:sz w:val="22"/>
          <w:szCs w:val="22"/>
        </w:rPr>
        <w:fldChar w:fldCharType="end"/>
      </w:r>
      <w:r w:rsidR="001F2E26" w:rsidRPr="001F2E26">
        <w:rPr>
          <w:sz w:val="22"/>
          <w:szCs w:val="22"/>
        </w:rPr>
        <w:t xml:space="preserve"> below)</w:t>
      </w:r>
      <w:r w:rsidR="001F2E26" w:rsidRPr="001F2E26">
        <w:rPr>
          <w:szCs w:val="22"/>
        </w:rPr>
        <w:t>.</w:t>
      </w:r>
      <w:r w:rsidR="001F2E26" w:rsidRPr="001F2E26">
        <w:rPr>
          <w:szCs w:val="22"/>
          <w:vertAlign w:val="superscript"/>
        </w:rPr>
        <w:footnoteReference w:id="1123"/>
      </w:r>
      <w:r w:rsidR="001F2E26" w:rsidRPr="001F2E26">
        <w:rPr>
          <w:szCs w:val="22"/>
        </w:rPr>
        <w:t xml:space="preserve">  </w:t>
      </w:r>
      <w:r w:rsidR="001F2E26" w:rsidRPr="001F2E26">
        <w:rPr>
          <w:sz w:val="22"/>
          <w:szCs w:val="22"/>
        </w:rPr>
        <w:t>This compares to 27.8 percent of all adults in the second half of 2010 and 22.9 percent in the second half of 2009</w:t>
      </w:r>
      <w:r w:rsidR="001F2E26" w:rsidRPr="001F2E26">
        <w:rPr>
          <w:szCs w:val="22"/>
        </w:rPr>
        <w:t>.</w:t>
      </w:r>
      <w:r w:rsidR="001F2E26" w:rsidRPr="001F2E26">
        <w:rPr>
          <w:szCs w:val="22"/>
          <w:vertAlign w:val="superscript"/>
        </w:rPr>
        <w:footnoteReference w:id="1124"/>
      </w:r>
      <w:r w:rsidR="001F2E26" w:rsidRPr="001F2E26">
        <w:rPr>
          <w:szCs w:val="22"/>
        </w:rPr>
        <w:t xml:space="preserve">  </w:t>
      </w:r>
      <w:r w:rsidR="001F2E26" w:rsidRPr="001F2E26">
        <w:rPr>
          <w:sz w:val="22"/>
          <w:szCs w:val="22"/>
        </w:rPr>
        <w:t>The percentage of households that were wireless-only has been steadily increasing as well. In the first half of 2012, approximately 36 percent of all U.S. households were wireless only, up from 29.7 percent in the second of 2010 and 24.5 percent in the second half of 2009</w:t>
      </w:r>
      <w:r w:rsidR="001F2E26" w:rsidRPr="001F2E26">
        <w:rPr>
          <w:szCs w:val="22"/>
        </w:rPr>
        <w:t>.</w:t>
      </w:r>
      <w:r w:rsidR="001F2E26" w:rsidRPr="001F2E26">
        <w:rPr>
          <w:szCs w:val="22"/>
          <w:vertAlign w:val="superscript"/>
        </w:rPr>
        <w:footnoteReference w:id="1125"/>
      </w:r>
    </w:p>
    <w:p w:rsidR="001F2E26" w:rsidRPr="001F2E26" w:rsidRDefault="001F2E26" w:rsidP="00CE5850">
      <w:pPr>
        <w:pStyle w:val="ParaNum"/>
        <w:numPr>
          <w:ilvl w:val="0"/>
          <w:numId w:val="28"/>
        </w:numPr>
        <w:rPr>
          <w:szCs w:val="22"/>
        </w:rPr>
      </w:pPr>
      <w:r w:rsidRPr="001F2E26">
        <w:rPr>
          <w:sz w:val="22"/>
          <w:szCs w:val="22"/>
        </w:rPr>
        <w:t>Approximately 50 percent of all adults aged 18-24, and 55 percent of all adults aged 30-34 lived in wireless-only households in the first half of 2012, while 60 percent of adults aged 25-29 did so</w:t>
      </w:r>
      <w:r w:rsidRPr="001F2E26">
        <w:rPr>
          <w:szCs w:val="22"/>
        </w:rPr>
        <w:t>.</w:t>
      </w:r>
      <w:r w:rsidRPr="001F2E26">
        <w:rPr>
          <w:szCs w:val="22"/>
          <w:vertAlign w:val="superscript"/>
        </w:rPr>
        <w:footnoteReference w:id="1126"/>
      </w:r>
      <w:r w:rsidRPr="001F2E26">
        <w:rPr>
          <w:szCs w:val="22"/>
        </w:rPr>
        <w:t xml:space="preserve">  </w:t>
      </w:r>
      <w:r w:rsidRPr="001F2E26">
        <w:rPr>
          <w:sz w:val="22"/>
          <w:szCs w:val="22"/>
        </w:rPr>
        <w:t>The percentage of adults who lived in households with only wireless telephones decreased as age increased beyond 35 years.</w:t>
      </w:r>
      <w:r w:rsidRPr="001F2E26">
        <w:rPr>
          <w:szCs w:val="22"/>
          <w:vertAlign w:val="superscript"/>
        </w:rPr>
        <w:footnoteReference w:id="1127"/>
      </w:r>
      <w:r w:rsidRPr="001F2E26">
        <w:rPr>
          <w:szCs w:val="22"/>
        </w:rPr>
        <w:t xml:space="preserve">  </w:t>
      </w:r>
      <w:r w:rsidRPr="001F2E26">
        <w:rPr>
          <w:sz w:val="22"/>
          <w:szCs w:val="22"/>
        </w:rPr>
        <w:t>Nevertheless, the percentage of older adults living in wireless-only households has been gradually increasing over time.  The percentage of 35- to 44-year-olds that were wireless only rose from 23.9 percent in the second half of 2009 to 39.1 percent in the first half  of 2012, while the percentage of 45- to 64-year-olds that were wireless only rose from 14.9 percent to 25.8 percent during the same period</w:t>
      </w:r>
      <w:r w:rsidRPr="001F2E26">
        <w:rPr>
          <w:szCs w:val="22"/>
        </w:rPr>
        <w:t>.</w:t>
      </w:r>
      <w:r w:rsidRPr="001F2E26">
        <w:rPr>
          <w:szCs w:val="22"/>
          <w:vertAlign w:val="superscript"/>
        </w:rPr>
        <w:footnoteReference w:id="1128"/>
      </w:r>
      <w:r w:rsidRPr="001F2E26">
        <w:rPr>
          <w:szCs w:val="22"/>
        </w:rPr>
        <w:t xml:space="preserve">   </w:t>
      </w:r>
    </w:p>
    <w:p w:rsidR="004A147C" w:rsidRPr="001F2E26" w:rsidRDefault="001F2E26" w:rsidP="00CE5850">
      <w:pPr>
        <w:pStyle w:val="ParaNum"/>
        <w:numPr>
          <w:ilvl w:val="0"/>
          <w:numId w:val="28"/>
        </w:numPr>
        <w:rPr>
          <w:sz w:val="22"/>
          <w:szCs w:val="22"/>
        </w:rPr>
      </w:pPr>
      <w:r w:rsidRPr="001F2E26">
        <w:rPr>
          <w:sz w:val="22"/>
          <w:szCs w:val="22"/>
        </w:rPr>
        <w:t xml:space="preserve">Adults who </w:t>
      </w:r>
      <w:r w:rsidR="008C3B11" w:rsidRPr="008C3B11">
        <w:rPr>
          <w:sz w:val="22"/>
          <w:szCs w:val="22"/>
        </w:rPr>
        <w:t>the U.S. Census Bureau classified as poor were more likely to live in wireless-only household</w:t>
      </w:r>
      <w:r w:rsidR="006377FD">
        <w:rPr>
          <w:sz w:val="22"/>
          <w:szCs w:val="22"/>
        </w:rPr>
        <w:t>s</w:t>
      </w:r>
      <w:r w:rsidR="008C3B11" w:rsidRPr="008C3B11">
        <w:rPr>
          <w:sz w:val="22"/>
          <w:szCs w:val="22"/>
        </w:rPr>
        <w:t xml:space="preserve"> than adults who were near poor or no</w:t>
      </w:r>
      <w:r w:rsidR="008C3B11">
        <w:rPr>
          <w:sz w:val="22"/>
          <w:szCs w:val="22"/>
        </w:rPr>
        <w:t xml:space="preserve">t poor.  </w:t>
      </w:r>
      <w:r w:rsidR="008C3B11" w:rsidRPr="008C3B11">
        <w:rPr>
          <w:sz w:val="22"/>
          <w:szCs w:val="22"/>
        </w:rPr>
        <w:t>Approximately 52 percent of all adults who were poor, 42 percent who were near poor, and 31 percent who were not poor lived in wireless-only households in the first half of 2012</w:t>
      </w:r>
      <w:r w:rsidR="004D7D2E">
        <w:rPr>
          <w:sz w:val="22"/>
          <w:szCs w:val="22"/>
        </w:rPr>
        <w:t>.</w:t>
      </w:r>
      <w:r w:rsidR="00E251E8">
        <w:rPr>
          <w:rStyle w:val="FootnoteReference"/>
          <w:szCs w:val="22"/>
        </w:rPr>
        <w:footnoteReference w:id="1129"/>
      </w:r>
      <w:r w:rsidR="008C3B11" w:rsidRPr="008C3B11">
        <w:rPr>
          <w:sz w:val="22"/>
          <w:szCs w:val="22"/>
        </w:rPr>
        <w:t xml:space="preserve">  Adults who lived in metropolitan areas were more likely to live in wireless only household</w:t>
      </w:r>
      <w:r w:rsidR="006377FD">
        <w:rPr>
          <w:sz w:val="22"/>
          <w:szCs w:val="22"/>
        </w:rPr>
        <w:t>s</w:t>
      </w:r>
      <w:r w:rsidR="008C3B11" w:rsidRPr="008C3B11">
        <w:rPr>
          <w:sz w:val="22"/>
          <w:szCs w:val="22"/>
        </w:rPr>
        <w:t xml:space="preserve"> than adults who did no</w:t>
      </w:r>
      <w:r w:rsidR="008C3B11">
        <w:rPr>
          <w:sz w:val="22"/>
          <w:szCs w:val="22"/>
        </w:rPr>
        <w:t xml:space="preserve">t live in metropolitan areas.  </w:t>
      </w:r>
      <w:r w:rsidR="008C3B11" w:rsidRPr="008C3B11">
        <w:rPr>
          <w:sz w:val="22"/>
          <w:szCs w:val="22"/>
        </w:rPr>
        <w:t>Approximately 36 percent of adults who lived in metropolitan areas lived in wireless-only households, and 27 percent of adults who did not live in metropolitan areas did so</w:t>
      </w:r>
      <w:r w:rsidR="004D7D2E">
        <w:rPr>
          <w:sz w:val="22"/>
          <w:szCs w:val="22"/>
        </w:rPr>
        <w:t>.</w:t>
      </w:r>
      <w:r w:rsidR="004D7D2E">
        <w:rPr>
          <w:rStyle w:val="FootnoteReference"/>
          <w:szCs w:val="22"/>
        </w:rPr>
        <w:footnoteReference w:id="1130"/>
      </w:r>
    </w:p>
    <w:p w:rsidR="004A147C" w:rsidRPr="00B53FFB" w:rsidRDefault="004A147C" w:rsidP="00CE5850">
      <w:pPr>
        <w:pStyle w:val="Caption"/>
        <w:widowControl w:val="0"/>
        <w:jc w:val="center"/>
        <w:rPr>
          <w:sz w:val="22"/>
          <w:szCs w:val="22"/>
        </w:rPr>
      </w:pPr>
      <w:bookmarkStart w:id="5308" w:name="_Ref256415650"/>
      <w:r w:rsidRPr="00B53FFB">
        <w:rPr>
          <w:sz w:val="22"/>
          <w:szCs w:val="22"/>
        </w:rPr>
        <w:t xml:space="preserve">Chart </w:t>
      </w:r>
      <w:r w:rsidR="0007014B" w:rsidRPr="00B53FFB">
        <w:rPr>
          <w:sz w:val="22"/>
          <w:szCs w:val="22"/>
        </w:rPr>
        <w:fldChar w:fldCharType="begin"/>
      </w:r>
      <w:r w:rsidRPr="00B53FFB">
        <w:rPr>
          <w:sz w:val="22"/>
          <w:szCs w:val="22"/>
        </w:rPr>
        <w:instrText xml:space="preserve"> SEQ Chart \* ARABIC </w:instrText>
      </w:r>
      <w:r w:rsidR="0007014B" w:rsidRPr="00B53FFB">
        <w:rPr>
          <w:sz w:val="22"/>
          <w:szCs w:val="22"/>
        </w:rPr>
        <w:fldChar w:fldCharType="separate"/>
      </w:r>
      <w:r w:rsidR="00CA3AC6">
        <w:rPr>
          <w:noProof/>
          <w:sz w:val="22"/>
          <w:szCs w:val="22"/>
        </w:rPr>
        <w:t>45</w:t>
      </w:r>
      <w:r w:rsidR="0007014B" w:rsidRPr="00B53FFB">
        <w:rPr>
          <w:sz w:val="22"/>
          <w:szCs w:val="22"/>
        </w:rPr>
        <w:fldChar w:fldCharType="end"/>
      </w:r>
      <w:bookmarkEnd w:id="5308"/>
      <w:r w:rsidRPr="00B53FFB">
        <w:rPr>
          <w:sz w:val="22"/>
          <w:szCs w:val="22"/>
        </w:rPr>
        <w:br/>
        <w:t>Wireless-Only Households, 2003-201</w:t>
      </w:r>
      <w:r w:rsidR="001F2E26">
        <w:rPr>
          <w:sz w:val="22"/>
          <w:szCs w:val="22"/>
        </w:rPr>
        <w:t>2</w:t>
      </w:r>
      <w:r w:rsidRPr="00B53FFB">
        <w:rPr>
          <w:rStyle w:val="FootnoteReference"/>
          <w:b w:val="0"/>
          <w:szCs w:val="22"/>
        </w:rPr>
        <w:footnoteReference w:id="1131"/>
      </w:r>
    </w:p>
    <w:p w:rsidR="004A147C" w:rsidRPr="00B53FFB" w:rsidRDefault="00C81B24" w:rsidP="00CE5850">
      <w:pPr>
        <w:jc w:val="center"/>
        <w:rPr>
          <w:szCs w:val="22"/>
        </w:rPr>
      </w:pPr>
      <w:r>
        <w:rPr>
          <w:noProof/>
          <w:szCs w:val="22"/>
        </w:rPr>
        <w:drawing>
          <wp:inline distT="0" distB="0" distL="0" distR="0" wp14:anchorId="605D1917" wp14:editId="6E986D08">
            <wp:extent cx="4162425" cy="3048000"/>
            <wp:effectExtent l="0" t="0" r="9525"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162425" cy="3048000"/>
                    </a:xfrm>
                    <a:prstGeom prst="rect">
                      <a:avLst/>
                    </a:prstGeom>
                    <a:noFill/>
                    <a:ln>
                      <a:noFill/>
                    </a:ln>
                  </pic:spPr>
                </pic:pic>
              </a:graphicData>
            </a:graphic>
          </wp:inline>
        </w:drawing>
      </w:r>
    </w:p>
    <w:p w:rsidR="004A147C" w:rsidRPr="00B53FFB" w:rsidRDefault="004A147C" w:rsidP="00CE5850">
      <w:pPr>
        <w:rPr>
          <w:szCs w:val="22"/>
        </w:rPr>
      </w:pPr>
      <w:bookmarkStart w:id="5309" w:name="_Hlt38256047"/>
      <w:bookmarkEnd w:id="5309"/>
    </w:p>
    <w:p w:rsidR="004A147C" w:rsidRPr="00B53FFB" w:rsidRDefault="004A147C" w:rsidP="00CE5850">
      <w:pPr>
        <w:pStyle w:val="Heading2"/>
        <w:keepNext w:val="0"/>
      </w:pPr>
      <w:bookmarkStart w:id="5310" w:name="_Toc261610820"/>
      <w:bookmarkStart w:id="5311" w:name="_Toc261858572"/>
      <w:bookmarkStart w:id="5312" w:name="_Toc262034381"/>
      <w:bookmarkStart w:id="5313" w:name="_Toc262034484"/>
      <w:bookmarkStart w:id="5314" w:name="_Toc271288519"/>
      <w:bookmarkStart w:id="5315" w:name="_Toc275518038"/>
      <w:bookmarkStart w:id="5316" w:name="_Toc275952478"/>
      <w:bookmarkStart w:id="5317" w:name="_Toc276121910"/>
      <w:bookmarkStart w:id="5318" w:name="_Toc276480746"/>
      <w:bookmarkStart w:id="5319" w:name="_Toc276741824"/>
      <w:bookmarkStart w:id="5320" w:name="_Toc277171588"/>
      <w:bookmarkStart w:id="5321" w:name="_Toc277864563"/>
      <w:bookmarkStart w:id="5322" w:name="_Toc277864779"/>
      <w:bookmarkStart w:id="5323" w:name="_Toc285810460"/>
      <w:bookmarkStart w:id="5324" w:name="_Toc287257859"/>
      <w:bookmarkStart w:id="5325" w:name="_Toc291758734"/>
      <w:bookmarkStart w:id="5326" w:name="_Toc291758837"/>
      <w:bookmarkStart w:id="5327" w:name="_Toc295393017"/>
      <w:bookmarkStart w:id="5328" w:name="_Toc329262545"/>
      <w:bookmarkStart w:id="5329" w:name="_Toc329852452"/>
      <w:bookmarkStart w:id="5330" w:name="_Toc331766367"/>
      <w:bookmarkStart w:id="5331" w:name="_Toc332119171"/>
      <w:bookmarkStart w:id="5332" w:name="_Toc334088839"/>
      <w:bookmarkStart w:id="5333" w:name="_Toc334089075"/>
      <w:bookmarkStart w:id="5334" w:name="_Toc334089234"/>
      <w:bookmarkStart w:id="5335" w:name="_Toc334089345"/>
      <w:bookmarkStart w:id="5336" w:name="_Toc334089509"/>
      <w:bookmarkStart w:id="5337" w:name="_Toc336268651"/>
      <w:bookmarkStart w:id="5338" w:name="_Toc336268759"/>
      <w:bookmarkStart w:id="5339" w:name="_Toc336268866"/>
      <w:bookmarkStart w:id="5340" w:name="_Toc336269080"/>
      <w:bookmarkStart w:id="5341" w:name="_Toc336269187"/>
      <w:bookmarkStart w:id="5342" w:name="_Toc336269555"/>
      <w:bookmarkStart w:id="5343" w:name="_Toc336269701"/>
      <w:bookmarkStart w:id="5344" w:name="_Toc336270114"/>
      <w:bookmarkStart w:id="5345" w:name="_Toc336271313"/>
      <w:bookmarkStart w:id="5346" w:name="_Toc337652031"/>
      <w:bookmarkStart w:id="5347" w:name="_Toc349577219"/>
      <w:bookmarkStart w:id="5348" w:name="_Toc349579311"/>
      <w:bookmarkStart w:id="5349" w:name="_Toc349580626"/>
      <w:bookmarkStart w:id="5350" w:name="_Toc349735034"/>
      <w:bookmarkStart w:id="5351" w:name="_Toc349742399"/>
      <w:r w:rsidRPr="00B53FFB">
        <w:t>Broadband Services</w:t>
      </w:r>
      <w:bookmarkEnd w:id="5310"/>
      <w:bookmarkEnd w:id="5311"/>
      <w:bookmarkEnd w:id="5312"/>
      <w:bookmarkEnd w:id="5313"/>
      <w:bookmarkEnd w:id="5314"/>
      <w:bookmarkEnd w:id="5315"/>
      <w:bookmarkEnd w:id="5316"/>
      <w:bookmarkEnd w:id="5317"/>
      <w:bookmarkEnd w:id="5318"/>
      <w:bookmarkEnd w:id="5319"/>
      <w:bookmarkEnd w:id="5320"/>
      <w:bookmarkEnd w:id="5321"/>
      <w:bookmarkEnd w:id="5322"/>
      <w:bookmarkEnd w:id="5323"/>
      <w:bookmarkEnd w:id="5324"/>
      <w:bookmarkEnd w:id="5325"/>
      <w:bookmarkEnd w:id="5326"/>
      <w:bookmarkEnd w:id="5327"/>
      <w:bookmarkEnd w:id="5328"/>
      <w:bookmarkEnd w:id="5329"/>
      <w:bookmarkEnd w:id="5330"/>
      <w:bookmarkEnd w:id="5331"/>
      <w:bookmarkEnd w:id="5332"/>
      <w:bookmarkEnd w:id="5333"/>
      <w:bookmarkEnd w:id="5334"/>
      <w:bookmarkEnd w:id="5335"/>
      <w:bookmarkEnd w:id="5336"/>
      <w:bookmarkEnd w:id="5337"/>
      <w:bookmarkEnd w:id="5338"/>
      <w:bookmarkEnd w:id="5339"/>
      <w:bookmarkEnd w:id="5340"/>
      <w:bookmarkEnd w:id="5341"/>
      <w:bookmarkEnd w:id="5342"/>
      <w:bookmarkEnd w:id="5343"/>
      <w:bookmarkEnd w:id="5344"/>
      <w:bookmarkEnd w:id="5345"/>
      <w:bookmarkEnd w:id="5346"/>
      <w:bookmarkEnd w:id="5347"/>
      <w:bookmarkEnd w:id="5348"/>
      <w:bookmarkEnd w:id="5349"/>
      <w:bookmarkEnd w:id="5350"/>
      <w:bookmarkEnd w:id="5351"/>
      <w:r w:rsidRPr="00B53FFB">
        <w:t xml:space="preserve"> </w:t>
      </w:r>
    </w:p>
    <w:p w:rsidR="004A147C" w:rsidRPr="00B53FFB" w:rsidRDefault="004A147C" w:rsidP="00CE5850">
      <w:pPr>
        <w:pStyle w:val="ParaNum"/>
        <w:numPr>
          <w:ilvl w:val="0"/>
          <w:numId w:val="28"/>
        </w:numPr>
        <w:rPr>
          <w:sz w:val="22"/>
          <w:szCs w:val="22"/>
        </w:rPr>
      </w:pPr>
      <w:r w:rsidRPr="00B53FFB">
        <w:rPr>
          <w:sz w:val="22"/>
          <w:szCs w:val="22"/>
        </w:rPr>
        <w:t xml:space="preserve">As noted previously in this </w:t>
      </w:r>
      <w:r w:rsidRPr="00B53FFB">
        <w:rPr>
          <w:i/>
          <w:sz w:val="22"/>
          <w:szCs w:val="22"/>
        </w:rPr>
        <w:t>Report</w:t>
      </w:r>
      <w:r w:rsidRPr="00B53FFB">
        <w:rPr>
          <w:sz w:val="22"/>
          <w:szCs w:val="22"/>
        </w:rPr>
        <w:t>, the Commission estimates that there were approximately 142.1 million subscribers to terrestrial mobile wireless Internet access services with data speeds exceeding 200 kbps in at least one direction at the end of 2011.</w:t>
      </w:r>
      <w:r w:rsidRPr="00B53FFB">
        <w:rPr>
          <w:rStyle w:val="FootnoteReference"/>
          <w:szCs w:val="22"/>
        </w:rPr>
        <w:footnoteReference w:id="1132"/>
      </w:r>
      <w:r w:rsidRPr="00B53FFB">
        <w:rPr>
          <w:sz w:val="22"/>
          <w:szCs w:val="22"/>
        </w:rPr>
        <w:t xml:space="preserve">  Mobile wireless connections represented approximately 62 percent of the 230.4 million data connections with speeds exceeding 200 kbps in the U</w:t>
      </w:r>
      <w:r w:rsidR="004335E8">
        <w:rPr>
          <w:sz w:val="22"/>
          <w:szCs w:val="22"/>
        </w:rPr>
        <w:t xml:space="preserve">nited States in December 2011.  </w:t>
      </w:r>
      <w:r w:rsidRPr="00B53FFB">
        <w:rPr>
          <w:sz w:val="22"/>
          <w:szCs w:val="22"/>
        </w:rPr>
        <w:t xml:space="preserve">In addition, at the end of 2011, there were an estimated 184 million mobile devices in use capable of sending or receiving information at speeds exceeding 200 kbps in at least one direction, up from an estimated 152 million at the end of 2010.  </w:t>
      </w:r>
    </w:p>
    <w:p w:rsidR="004A147C" w:rsidRPr="00B53FFB" w:rsidRDefault="004A147C" w:rsidP="00CE5850">
      <w:pPr>
        <w:pStyle w:val="ParaNum"/>
        <w:numPr>
          <w:ilvl w:val="0"/>
          <w:numId w:val="28"/>
        </w:numPr>
        <w:rPr>
          <w:sz w:val="22"/>
          <w:szCs w:val="22"/>
        </w:rPr>
      </w:pPr>
      <w:r w:rsidRPr="00B53FFB">
        <w:rPr>
          <w:sz w:val="22"/>
          <w:szCs w:val="22"/>
        </w:rPr>
        <w:t xml:space="preserve">The Commission’s </w:t>
      </w:r>
      <w:r w:rsidRPr="00B53FFB">
        <w:rPr>
          <w:i/>
          <w:sz w:val="22"/>
          <w:szCs w:val="22"/>
        </w:rPr>
        <w:t>Eighth Broadband Progress Report</w:t>
      </w:r>
      <w:r w:rsidRPr="00B53FFB">
        <w:rPr>
          <w:sz w:val="22"/>
          <w:szCs w:val="22"/>
        </w:rPr>
        <w:t xml:space="preserve"> indicated that the efforts to bring broadband to all Americans are significant and wireless and wireline broadband providers have made progress.</w:t>
      </w:r>
      <w:r w:rsidRPr="00B53FFB">
        <w:rPr>
          <w:rStyle w:val="FootnoteReference"/>
          <w:szCs w:val="22"/>
        </w:rPr>
        <w:footnoteReference w:id="1133"/>
      </w:r>
      <w:r w:rsidRPr="00B53FFB">
        <w:rPr>
          <w:sz w:val="22"/>
          <w:szCs w:val="22"/>
        </w:rPr>
        <w:t xml:space="preserve">  The </w:t>
      </w:r>
      <w:r w:rsidRPr="00B53FFB">
        <w:rPr>
          <w:i/>
          <w:sz w:val="22"/>
          <w:szCs w:val="22"/>
        </w:rPr>
        <w:t>Eighth Broadband Progress Report</w:t>
      </w:r>
      <w:r w:rsidRPr="00B53FFB">
        <w:rPr>
          <w:sz w:val="22"/>
          <w:szCs w:val="22"/>
        </w:rPr>
        <w:t xml:space="preserve"> also noted that in addition to various wireline broadband providers offering faster speeds with new technologies, mobile wireless providers have made substantial progress in upgrading their networks with higher-speed technologies and expanding coverage with these technologies.</w:t>
      </w:r>
      <w:r w:rsidRPr="00B53FFB">
        <w:rPr>
          <w:sz w:val="22"/>
          <w:szCs w:val="22"/>
          <w:vertAlign w:val="superscript"/>
        </w:rPr>
        <w:footnoteReference w:id="1134"/>
      </w:r>
      <w:r w:rsidRPr="00B53FFB">
        <w:rPr>
          <w:sz w:val="22"/>
          <w:szCs w:val="22"/>
        </w:rPr>
        <w:t xml:space="preserve">  In some c</w:t>
      </w:r>
      <w:r>
        <w:rPr>
          <w:sz w:val="22"/>
          <w:szCs w:val="22"/>
        </w:rPr>
        <w:t xml:space="preserve">ases </w:t>
      </w:r>
      <w:r w:rsidRPr="00B53FFB">
        <w:rPr>
          <w:sz w:val="22"/>
          <w:szCs w:val="22"/>
        </w:rPr>
        <w:t xml:space="preserve">mobile broadband networks </w:t>
      </w:r>
      <w:r>
        <w:rPr>
          <w:sz w:val="22"/>
          <w:szCs w:val="22"/>
        </w:rPr>
        <w:t xml:space="preserve">are being </w:t>
      </w:r>
      <w:r w:rsidRPr="00B53FFB">
        <w:rPr>
          <w:sz w:val="22"/>
          <w:szCs w:val="22"/>
        </w:rPr>
        <w:t>used as a replacement for wireline last-mile solutions</w:t>
      </w:r>
      <w:r>
        <w:rPr>
          <w:sz w:val="22"/>
          <w:szCs w:val="22"/>
        </w:rPr>
        <w:t>, where location makes deployment of wireline facilities inefficient</w:t>
      </w:r>
      <w:r w:rsidRPr="00B53FFB">
        <w:rPr>
          <w:sz w:val="22"/>
          <w:szCs w:val="22"/>
        </w:rPr>
        <w:t>.  For example, Verizon began marketing its HomeFusion service using its 4G LTE mobile network to provide residential services that deliver average download speeds of 5-12 Mbps.</w:t>
      </w:r>
      <w:r w:rsidRPr="00B53FFB">
        <w:rPr>
          <w:rStyle w:val="FootnoteReference"/>
          <w:szCs w:val="22"/>
        </w:rPr>
        <w:footnoteReference w:id="1135"/>
      </w:r>
      <w:r w:rsidRPr="00B53FFB">
        <w:rPr>
          <w:sz w:val="22"/>
          <w:szCs w:val="22"/>
        </w:rPr>
        <w:t xml:space="preserve">  </w:t>
      </w:r>
    </w:p>
    <w:p w:rsidR="004A147C" w:rsidRPr="00B53FFB" w:rsidRDefault="004A147C" w:rsidP="00CE5850">
      <w:pPr>
        <w:pStyle w:val="Heading2"/>
        <w:keepNext w:val="0"/>
      </w:pPr>
      <w:bookmarkStart w:id="5352" w:name="_Toc261610821"/>
      <w:bookmarkStart w:id="5353" w:name="_Toc261858573"/>
      <w:bookmarkStart w:id="5354" w:name="_Toc262034382"/>
      <w:bookmarkStart w:id="5355" w:name="_Toc262034485"/>
      <w:bookmarkStart w:id="5356" w:name="_Toc271288520"/>
      <w:bookmarkStart w:id="5357" w:name="_Toc275518039"/>
      <w:bookmarkStart w:id="5358" w:name="_Toc275952479"/>
      <w:bookmarkStart w:id="5359" w:name="_Toc276121911"/>
      <w:bookmarkStart w:id="5360" w:name="_Toc276480747"/>
      <w:bookmarkStart w:id="5361" w:name="_Toc276741825"/>
      <w:bookmarkStart w:id="5362" w:name="_Toc277171589"/>
      <w:bookmarkStart w:id="5363" w:name="_Toc277864564"/>
      <w:bookmarkStart w:id="5364" w:name="_Toc277864780"/>
      <w:bookmarkStart w:id="5365" w:name="_Toc285810461"/>
      <w:bookmarkStart w:id="5366" w:name="_Toc287257860"/>
      <w:bookmarkStart w:id="5367" w:name="_Toc291758735"/>
      <w:bookmarkStart w:id="5368" w:name="_Toc291758838"/>
      <w:bookmarkStart w:id="5369" w:name="_Toc295393018"/>
      <w:bookmarkStart w:id="5370" w:name="_Toc329262546"/>
      <w:bookmarkStart w:id="5371" w:name="_Toc329852453"/>
      <w:bookmarkStart w:id="5372" w:name="_Toc331766368"/>
      <w:bookmarkStart w:id="5373" w:name="_Toc332119172"/>
      <w:bookmarkStart w:id="5374" w:name="_Toc334088840"/>
      <w:bookmarkStart w:id="5375" w:name="_Toc334089076"/>
      <w:bookmarkStart w:id="5376" w:name="_Toc334089235"/>
      <w:bookmarkStart w:id="5377" w:name="_Toc334089346"/>
      <w:bookmarkStart w:id="5378" w:name="_Toc334089510"/>
      <w:bookmarkStart w:id="5379" w:name="_Toc336268652"/>
      <w:bookmarkStart w:id="5380" w:name="_Toc336268760"/>
      <w:bookmarkStart w:id="5381" w:name="_Toc336268867"/>
      <w:bookmarkStart w:id="5382" w:name="_Toc336269081"/>
      <w:bookmarkStart w:id="5383" w:name="_Toc336269188"/>
      <w:bookmarkStart w:id="5384" w:name="_Toc336269556"/>
      <w:bookmarkStart w:id="5385" w:name="_Toc336269702"/>
      <w:bookmarkStart w:id="5386" w:name="_Toc336270115"/>
      <w:bookmarkStart w:id="5387" w:name="_Toc336271314"/>
      <w:bookmarkStart w:id="5388" w:name="_Toc337652032"/>
      <w:bookmarkStart w:id="5389" w:name="_Toc349577220"/>
      <w:bookmarkStart w:id="5390" w:name="_Toc349579312"/>
      <w:bookmarkStart w:id="5391" w:name="_Toc349580627"/>
      <w:bookmarkStart w:id="5392" w:name="_Toc349735035"/>
      <w:bookmarkStart w:id="5393" w:name="_Toc349742400"/>
      <w:r w:rsidRPr="00B53FFB">
        <w:t xml:space="preserve">Small Area Wireless Coverage </w:t>
      </w:r>
      <w:bookmarkEnd w:id="5352"/>
      <w:bookmarkEnd w:id="5353"/>
      <w:bookmarkEnd w:id="5354"/>
      <w:bookmarkEnd w:id="5355"/>
      <w:bookmarkEnd w:id="5356"/>
      <w:bookmarkEnd w:id="5357"/>
      <w:bookmarkEnd w:id="5358"/>
      <w:bookmarkEnd w:id="5359"/>
      <w:bookmarkEnd w:id="5360"/>
      <w:bookmarkEnd w:id="5361"/>
      <w:bookmarkEnd w:id="5362"/>
      <w:bookmarkEnd w:id="5363"/>
      <w:bookmarkEnd w:id="5364"/>
      <w:bookmarkEnd w:id="5365"/>
      <w:bookmarkEnd w:id="5366"/>
      <w:bookmarkEnd w:id="5367"/>
      <w:bookmarkEnd w:id="5368"/>
      <w:bookmarkEnd w:id="5369"/>
      <w:bookmarkEnd w:id="5370"/>
      <w:bookmarkEnd w:id="5371"/>
      <w:bookmarkEnd w:id="5372"/>
      <w:bookmarkEnd w:id="5373"/>
      <w:bookmarkEnd w:id="5374"/>
      <w:bookmarkEnd w:id="5375"/>
      <w:bookmarkEnd w:id="5376"/>
      <w:bookmarkEnd w:id="5377"/>
      <w:bookmarkEnd w:id="5378"/>
      <w:bookmarkEnd w:id="5379"/>
      <w:bookmarkEnd w:id="5380"/>
      <w:bookmarkEnd w:id="5381"/>
      <w:bookmarkEnd w:id="5382"/>
      <w:bookmarkEnd w:id="5383"/>
      <w:bookmarkEnd w:id="5384"/>
      <w:bookmarkEnd w:id="5385"/>
      <w:bookmarkEnd w:id="5386"/>
      <w:bookmarkEnd w:id="5387"/>
      <w:r w:rsidRPr="00B53FFB">
        <w:t>Technologies</w:t>
      </w:r>
      <w:bookmarkEnd w:id="5388"/>
      <w:bookmarkEnd w:id="5389"/>
      <w:bookmarkEnd w:id="5390"/>
      <w:bookmarkEnd w:id="5391"/>
      <w:bookmarkEnd w:id="5392"/>
      <w:bookmarkEnd w:id="5393"/>
    </w:p>
    <w:p w:rsidR="004A147C" w:rsidRPr="00B53FFB" w:rsidRDefault="004A147C" w:rsidP="00CE5850">
      <w:pPr>
        <w:pStyle w:val="ParaNum"/>
        <w:numPr>
          <w:ilvl w:val="0"/>
          <w:numId w:val="28"/>
        </w:numPr>
        <w:rPr>
          <w:sz w:val="22"/>
          <w:szCs w:val="22"/>
        </w:rPr>
      </w:pPr>
      <w:r w:rsidRPr="00B53FFB">
        <w:rPr>
          <w:sz w:val="22"/>
          <w:szCs w:val="22"/>
        </w:rPr>
        <w:t>Wireless coverage is being increased with the use of network technologies that create small or local wireless coverage areas.  These network technologies typically are designed to provide wireless coverage in a specific small or local area, such as a commercial or residential building, or a neighborhood.  They offer consumers and service providers a convenient means to extend or improve wireless coverage at targeted indoor and outdoor locations.  For example, some wireless network users can access primary voice and data networks through fixed broadband access points instead of mobile wireless networks.  Some of these technologies employ unlicensed spectrum (discussed below), that can operate independently of a mobile wireless service network, complement a mobile wireless service network’s coverage, or serve as capacity enhancements for a mobile wireless service network in areas with capacity constraints.</w:t>
      </w:r>
      <w:r>
        <w:rPr>
          <w:sz w:val="22"/>
          <w:szCs w:val="22"/>
        </w:rPr>
        <w:t xml:space="preserve"> </w:t>
      </w:r>
      <w:r w:rsidRPr="00B53FFB">
        <w:rPr>
          <w:sz w:val="22"/>
          <w:szCs w:val="22"/>
        </w:rPr>
        <w:t xml:space="preserve"> The networks created by these technologies may also be used by some customers as primary network choices for heavy data applications such as video streaming, and potentially create new competition to mobile wireless service providers.</w:t>
      </w:r>
    </w:p>
    <w:p w:rsidR="004A147C" w:rsidRPr="00B53FFB" w:rsidRDefault="004A147C" w:rsidP="00CE5850">
      <w:pPr>
        <w:pStyle w:val="ParaNum"/>
        <w:numPr>
          <w:ilvl w:val="0"/>
          <w:numId w:val="28"/>
        </w:numPr>
        <w:rPr>
          <w:sz w:val="22"/>
          <w:szCs w:val="22"/>
        </w:rPr>
      </w:pPr>
      <w:r w:rsidRPr="00B53FFB">
        <w:rPr>
          <w:sz w:val="22"/>
          <w:szCs w:val="22"/>
        </w:rPr>
        <w:t>When deployed to complement mobile wireless networks, these small area coverage technologies may offer solutions to network congestion problems that mobile wireless providers are facing with increasing frequency.  Rapid growth in mobile data traffic, an estimated 40 percent of mobile wireless usage occurring in the home,</w:t>
      </w:r>
      <w:r w:rsidRPr="00B53FFB">
        <w:rPr>
          <w:rStyle w:val="FootnoteReference"/>
          <w:szCs w:val="22"/>
        </w:rPr>
        <w:footnoteReference w:id="1136"/>
      </w:r>
      <w:r w:rsidRPr="00B53FFB">
        <w:rPr>
          <w:sz w:val="22"/>
          <w:szCs w:val="22"/>
        </w:rPr>
        <w:t xml:space="preserve"> and a large demand for wireless data by mobile users sojourning at public locations give incentives for service providers to find means, potentially intermodal, to reduce congestion on their mobile wireless networks.  Small area wireless coverage technologies that access data and voice through fixed broadband access points enable mobile wireless service providers to offload mobile traffic onto non-mobile wireless networks.  </w:t>
      </w:r>
    </w:p>
    <w:p w:rsidR="004A147C" w:rsidRPr="00B53FFB" w:rsidRDefault="004A147C" w:rsidP="00CE5850">
      <w:pPr>
        <w:pStyle w:val="ParaNum"/>
        <w:numPr>
          <w:ilvl w:val="0"/>
          <w:numId w:val="28"/>
        </w:numPr>
        <w:rPr>
          <w:sz w:val="22"/>
          <w:szCs w:val="22"/>
        </w:rPr>
      </w:pPr>
      <w:r w:rsidRPr="00B53FFB">
        <w:rPr>
          <w:sz w:val="22"/>
          <w:szCs w:val="22"/>
        </w:rPr>
        <w:t>In September, 2010, the Commission finalized rules to make unused spectrum in the TV bands (TV “white spaces”) available for unlicensed broadband wireless devices.  The Commission found that access to this spectrum could enable more powerful public Internet connections – “super Wi-Fi” hot spots – with extended range, fewer dead spots, and improved individual speeds resulting from reduced congestion on existing networks.  The Commission observed that many other applications are possible in the TV white spaces, such as broadband access to schools particularly in rural areas, campus networks that are better able to keep pace with user’s increasing demands for bandwidth, home networks that are better able to support real time streaming video applications, remote sensing of water supplies by municipalities and support for the smart grid.</w:t>
      </w:r>
      <w:r w:rsidRPr="00B53FFB">
        <w:rPr>
          <w:sz w:val="22"/>
          <w:szCs w:val="22"/>
          <w:vertAlign w:val="superscript"/>
        </w:rPr>
        <w:footnoteReference w:id="1137"/>
      </w:r>
      <w:r w:rsidRPr="00B53FFB">
        <w:rPr>
          <w:sz w:val="22"/>
          <w:szCs w:val="22"/>
        </w:rPr>
        <w:t xml:space="preserve">  Since finalizing the rules, the Commission has conditionally designated ten parties as TV White Space database administrators.</w:t>
      </w:r>
      <w:r w:rsidRPr="00B53FFB">
        <w:rPr>
          <w:rStyle w:val="FootnoteReference"/>
          <w:szCs w:val="22"/>
        </w:rPr>
        <w:footnoteReference w:id="1138"/>
      </w:r>
      <w:r w:rsidRPr="00B53FFB">
        <w:rPr>
          <w:sz w:val="22"/>
          <w:szCs w:val="22"/>
        </w:rPr>
        <w:t xml:space="preserve">  Two of those parties have received Commission approval to begin offering service to the public on a limited basis.  Spectrum Bridge, Inc. has been offering service since January 2012 in Wilmington, NC, and Telcordia Technologies, Inc. began offering service in Nottoway County, VA in April 2012.</w:t>
      </w:r>
      <w:r w:rsidRPr="00B53FFB">
        <w:rPr>
          <w:rStyle w:val="FootnoteReference"/>
          <w:szCs w:val="22"/>
        </w:rPr>
        <w:footnoteReference w:id="1139"/>
      </w:r>
      <w:r w:rsidRPr="00B53FFB">
        <w:rPr>
          <w:sz w:val="22"/>
          <w:szCs w:val="22"/>
        </w:rPr>
        <w:t xml:space="preserve">  In addition, Commission staff has certificated fixed TV bands devices from two manufacturers.  Finally, in September 2012, the Commission launched its Unlicensed Wireless Microphone Registration System in the U.S. East Coast Region with plans to expand the registration system nationwide soon thereafter.</w:t>
      </w:r>
      <w:r w:rsidRPr="00B53FFB">
        <w:rPr>
          <w:rStyle w:val="FootnoteReference"/>
          <w:szCs w:val="22"/>
        </w:rPr>
        <w:footnoteReference w:id="1140"/>
      </w:r>
      <w:r w:rsidRPr="00B53FFB">
        <w:rPr>
          <w:sz w:val="22"/>
          <w:szCs w:val="22"/>
        </w:rPr>
        <w:t xml:space="preserve">  </w:t>
      </w:r>
    </w:p>
    <w:p w:rsidR="004A147C" w:rsidRPr="00B53FFB" w:rsidRDefault="004A147C" w:rsidP="00CE5850">
      <w:pPr>
        <w:pStyle w:val="ParaNum"/>
        <w:numPr>
          <w:ilvl w:val="0"/>
          <w:numId w:val="28"/>
        </w:numPr>
        <w:rPr>
          <w:sz w:val="22"/>
          <w:szCs w:val="22"/>
        </w:rPr>
      </w:pPr>
      <w:r w:rsidRPr="00B53FFB">
        <w:rPr>
          <w:sz w:val="22"/>
          <w:szCs w:val="22"/>
        </w:rPr>
        <w:t>Two small and local wireless network technologies, wireless local area networks (WLANs) that use unlicensed devices and femtocells that use licensed spectrum, are discussed below.</w:t>
      </w:r>
    </w:p>
    <w:p w:rsidR="004A147C" w:rsidRPr="00B53FFB" w:rsidRDefault="004A147C" w:rsidP="00CE5850">
      <w:pPr>
        <w:pStyle w:val="ParaNum"/>
        <w:numPr>
          <w:ilvl w:val="0"/>
          <w:numId w:val="28"/>
        </w:numPr>
        <w:rPr>
          <w:sz w:val="22"/>
          <w:szCs w:val="22"/>
        </w:rPr>
      </w:pPr>
      <w:r w:rsidRPr="00B53FFB">
        <w:rPr>
          <w:i/>
          <w:sz w:val="22"/>
          <w:szCs w:val="22"/>
        </w:rPr>
        <w:t>WLANs</w:t>
      </w:r>
      <w:r w:rsidRPr="00B53FFB">
        <w:rPr>
          <w:sz w:val="22"/>
          <w:szCs w:val="22"/>
        </w:rPr>
        <w:t>.  WLANs operate on an unlicensed basis and provide high-speed (fixed) wireless Internet connections within a range of 150 to 250 feet from a wireless access point.</w:t>
      </w:r>
      <w:r w:rsidRPr="00B53FFB">
        <w:rPr>
          <w:sz w:val="22"/>
          <w:szCs w:val="22"/>
          <w:vertAlign w:val="superscript"/>
        </w:rPr>
        <w:t xml:space="preserve"> </w:t>
      </w:r>
      <w:r w:rsidRPr="00B53FFB">
        <w:rPr>
          <w:sz w:val="22"/>
          <w:szCs w:val="22"/>
        </w:rPr>
        <w:t xml:space="preserve">  Peak WLAN data transfer rates range from speeds of up to 11 Mbps for 802.11b, up to 54 Mbps for 802.11a and 802.11g, and up to 600 Mbps for 802.11n.  The most prevalent WLAN technology is equipment manufactured in accordance with the IEEE 802.11 family of standards, commonly known as “Wi-Fi”.  Wi-Fi networks can access the internet through telecommunication cables or cellular networks.  Users can access Wi-Fi networks with a wide variety of Wi-Fi enabled devices, such as wireless handsets, notebook and netbook computers, tablets, portable electronic games, media players, e-readers, televisions, and cameras.</w:t>
      </w:r>
    </w:p>
    <w:p w:rsidR="004A147C" w:rsidRPr="00B53FFB" w:rsidRDefault="004A147C" w:rsidP="00CE5850">
      <w:pPr>
        <w:pStyle w:val="ParaNum"/>
        <w:numPr>
          <w:ilvl w:val="0"/>
          <w:numId w:val="28"/>
        </w:numPr>
        <w:rPr>
          <w:sz w:val="22"/>
          <w:szCs w:val="22"/>
        </w:rPr>
      </w:pPr>
      <w:r w:rsidRPr="00B53FFB">
        <w:rPr>
          <w:sz w:val="22"/>
          <w:szCs w:val="22"/>
        </w:rPr>
        <w:t>WLAN networks are being deployed by mobile wireless companies, cable companies, businesses, universities, municipalities, households and other institutions.</w:t>
      </w:r>
      <w:r w:rsidRPr="00B53FFB">
        <w:rPr>
          <w:rStyle w:val="FootnoteReference"/>
          <w:szCs w:val="22"/>
        </w:rPr>
        <w:t xml:space="preserve"> </w:t>
      </w:r>
      <w:r w:rsidRPr="00B53FFB">
        <w:rPr>
          <w:sz w:val="22"/>
          <w:szCs w:val="22"/>
        </w:rPr>
        <w:t>WLAN networks, sometimes called “hotspots,” have proliferated in places accessible to the public such as restaurants, coffee shops, malls, train stations, hotels, airports, convention centers, and parks.</w:t>
      </w:r>
      <w:r w:rsidRPr="00B53FFB">
        <w:rPr>
          <w:sz w:val="22"/>
          <w:szCs w:val="22"/>
          <w:vertAlign w:val="superscript"/>
        </w:rPr>
        <w:footnoteReference w:id="1141"/>
      </w:r>
      <w:r w:rsidRPr="00B53FFB">
        <w:rPr>
          <w:sz w:val="22"/>
          <w:szCs w:val="22"/>
        </w:rPr>
        <w:t xml:space="preserve">  Many places of businesses offer Wi-Fi hotspots to their customers.</w:t>
      </w:r>
      <w:r w:rsidRPr="00B53FFB">
        <w:rPr>
          <w:rStyle w:val="FootnoteReference"/>
          <w:szCs w:val="22"/>
        </w:rPr>
        <w:footnoteReference w:id="1142"/>
      </w:r>
      <w:r w:rsidRPr="00B53FFB">
        <w:rPr>
          <w:sz w:val="22"/>
          <w:szCs w:val="22"/>
        </w:rPr>
        <w:t xml:space="preserve">  Amtrak offers free Wi-Fi access on all of its Acela Express trains between Washington, DC and Boston, as well as in a number of stations in the eastern U.S.</w:t>
      </w:r>
      <w:r w:rsidRPr="00B53FFB">
        <w:rPr>
          <w:rStyle w:val="FootnoteReference"/>
          <w:szCs w:val="22"/>
        </w:rPr>
        <w:footnoteReference w:id="1143"/>
      </w:r>
      <w:r>
        <w:rPr>
          <w:sz w:val="22"/>
          <w:szCs w:val="22"/>
        </w:rPr>
        <w:t xml:space="preserve"> </w:t>
      </w:r>
      <w:r w:rsidRPr="00B53FFB">
        <w:rPr>
          <w:sz w:val="22"/>
          <w:szCs w:val="22"/>
        </w:rPr>
        <w:t>In-flight Wi-Fi broadband deployments will surpass 6,100 planes worldwide in 2015, up from 1,835 planes in 2011.</w:t>
      </w:r>
      <w:r w:rsidRPr="00B53FFB">
        <w:rPr>
          <w:sz w:val="22"/>
          <w:szCs w:val="22"/>
          <w:vertAlign w:val="superscript"/>
        </w:rPr>
        <w:footnoteReference w:id="1144"/>
      </w:r>
      <w:r>
        <w:rPr>
          <w:sz w:val="22"/>
          <w:szCs w:val="22"/>
        </w:rPr>
        <w:t xml:space="preserve"> </w:t>
      </w:r>
      <w:r w:rsidRPr="00B53FFB">
        <w:rPr>
          <w:sz w:val="22"/>
          <w:szCs w:val="22"/>
        </w:rPr>
        <w:t xml:space="preserve"> Online Wi-Fi directories are available to help consumers find public Wi-Fi hot spots.</w:t>
      </w:r>
      <w:r w:rsidRPr="00B53FFB">
        <w:rPr>
          <w:sz w:val="22"/>
          <w:szCs w:val="22"/>
          <w:vertAlign w:val="superscript"/>
        </w:rPr>
        <w:footnoteReference w:id="1145"/>
      </w:r>
      <w:r w:rsidRPr="00B53FFB">
        <w:rPr>
          <w:sz w:val="22"/>
          <w:szCs w:val="22"/>
        </w:rPr>
        <w:t xml:space="preserve"> </w:t>
      </w:r>
    </w:p>
    <w:p w:rsidR="004A147C" w:rsidRPr="00B53FFB" w:rsidRDefault="004A147C" w:rsidP="00CE5850">
      <w:pPr>
        <w:pStyle w:val="ParaNum"/>
        <w:numPr>
          <w:ilvl w:val="0"/>
          <w:numId w:val="28"/>
        </w:numPr>
        <w:rPr>
          <w:sz w:val="22"/>
          <w:szCs w:val="22"/>
        </w:rPr>
      </w:pPr>
      <w:r w:rsidRPr="00B53FFB">
        <w:rPr>
          <w:kern w:val="0"/>
          <w:sz w:val="22"/>
          <w:szCs w:val="22"/>
        </w:rPr>
        <w:t>Many cable companies have deployed cable-owned hot spots in an increasing number of public locations, allowing their broadband subscribers to access the Internet through the use of a Wi-Fi enabled handset or other device.</w:t>
      </w:r>
      <w:r w:rsidRPr="00B53FFB">
        <w:rPr>
          <w:rStyle w:val="FootnoteReference"/>
          <w:kern w:val="0"/>
          <w:szCs w:val="22"/>
        </w:rPr>
        <w:footnoteReference w:id="1146"/>
      </w:r>
      <w:r w:rsidRPr="00B53FFB">
        <w:rPr>
          <w:kern w:val="0"/>
          <w:sz w:val="22"/>
          <w:szCs w:val="22"/>
        </w:rPr>
        <w:t xml:space="preserve">  In May 2012, Bright House Networks, Cablevision, Comcast, Cox Communications, and Time Warner Cable announced that they would create a unified and simplified system of Wi-Fi access called CableWiFi, under which the companies will provide Wi-Fi access to each other’s broadband subscribers.</w:t>
      </w:r>
      <w:r w:rsidRPr="00B53FFB">
        <w:rPr>
          <w:rStyle w:val="FootnoteReference"/>
          <w:kern w:val="0"/>
          <w:szCs w:val="22"/>
        </w:rPr>
        <w:footnoteReference w:id="1147"/>
      </w:r>
    </w:p>
    <w:p w:rsidR="004A147C" w:rsidRPr="00B53FFB" w:rsidRDefault="004A147C" w:rsidP="00CE5850">
      <w:pPr>
        <w:pStyle w:val="ParaNum"/>
        <w:numPr>
          <w:ilvl w:val="0"/>
          <w:numId w:val="28"/>
        </w:numPr>
        <w:rPr>
          <w:sz w:val="22"/>
          <w:szCs w:val="22"/>
        </w:rPr>
      </w:pPr>
      <w:r w:rsidRPr="00B53FFB">
        <w:rPr>
          <w:sz w:val="22"/>
          <w:szCs w:val="22"/>
        </w:rPr>
        <w:t>Some mobile wireless service providers use WLANs to complement the coverage of their mobile wireless networks.  AT&amp;T, T-Mobile, and Verizon Wireless each currently offer wireless internet access at thousands of publicly accessible Wi-Fi hotspot locations.</w:t>
      </w:r>
      <w:r w:rsidRPr="00B53FFB">
        <w:rPr>
          <w:rStyle w:val="FootnoteReference"/>
          <w:szCs w:val="22"/>
        </w:rPr>
        <w:footnoteReference w:id="1148"/>
      </w:r>
      <w:r w:rsidRPr="00B53FFB">
        <w:rPr>
          <w:sz w:val="22"/>
          <w:szCs w:val="22"/>
        </w:rPr>
        <w:t xml:space="preserve">  AT&amp;T owns more than 29,000 Wi-Fi hotspots</w:t>
      </w:r>
      <w:r w:rsidRPr="00B53FFB">
        <w:rPr>
          <w:rStyle w:val="FootnoteReference"/>
          <w:szCs w:val="22"/>
        </w:rPr>
        <w:footnoteReference w:id="1149"/>
      </w:r>
      <w:r w:rsidRPr="00B53FFB">
        <w:rPr>
          <w:sz w:val="22"/>
          <w:szCs w:val="22"/>
        </w:rPr>
        <w:t xml:space="preserve"> in the United States and reported that users made more than 20 million connections every four days using the AT&amp;T Wi-Fi network in 2011.</w:t>
      </w:r>
      <w:r w:rsidRPr="00B53FFB">
        <w:rPr>
          <w:rStyle w:val="FootnoteReference"/>
          <w:szCs w:val="22"/>
        </w:rPr>
        <w:footnoteReference w:id="1150"/>
      </w:r>
      <w:r w:rsidRPr="00B53FFB">
        <w:rPr>
          <w:sz w:val="22"/>
          <w:szCs w:val="22"/>
        </w:rPr>
        <w:t xml:space="preserve">  Through agreements with AT&amp;T, national chains such as Starbucks, McDonald’s, and Barnes &amp; Noble offer complimentary Wi-Fi access in their establishments.</w:t>
      </w:r>
      <w:r w:rsidRPr="00B53FFB">
        <w:rPr>
          <w:rStyle w:val="FootnoteReference"/>
          <w:szCs w:val="22"/>
        </w:rPr>
        <w:footnoteReference w:id="1151"/>
      </w:r>
      <w:r w:rsidRPr="00B53FFB">
        <w:rPr>
          <w:sz w:val="22"/>
          <w:szCs w:val="22"/>
        </w:rPr>
        <w:t xml:space="preserve">  AT&amp;T, T-Mobile, and Verizon Wireless include Wi-Fi hot spot access with some mobile wireless service plans.</w:t>
      </w:r>
      <w:r w:rsidRPr="00B53FFB">
        <w:rPr>
          <w:rStyle w:val="FootnoteReference"/>
          <w:szCs w:val="22"/>
        </w:rPr>
        <w:footnoteReference w:id="1152"/>
      </w:r>
      <w:r w:rsidRPr="00B53FFB">
        <w:rPr>
          <w:sz w:val="22"/>
          <w:szCs w:val="22"/>
        </w:rPr>
        <w:t xml:space="preserve">  Whereas Verizon Wireless’s free hot spot access requires a monthly broadband plan, AT&amp;T and T-Mobile offer Wi-Fi hot spot access on a per session or per day basis.</w:t>
      </w:r>
      <w:r w:rsidRPr="00B53FFB">
        <w:rPr>
          <w:rStyle w:val="FootnoteReference"/>
          <w:szCs w:val="22"/>
        </w:rPr>
        <w:footnoteReference w:id="1153"/>
      </w:r>
    </w:p>
    <w:p w:rsidR="004A147C" w:rsidRPr="00B53FFB" w:rsidRDefault="004A147C" w:rsidP="00CE5850">
      <w:pPr>
        <w:pStyle w:val="ParaNum"/>
        <w:numPr>
          <w:ilvl w:val="0"/>
          <w:numId w:val="28"/>
        </w:numPr>
        <w:rPr>
          <w:sz w:val="22"/>
          <w:szCs w:val="22"/>
        </w:rPr>
      </w:pPr>
      <w:r w:rsidRPr="00B53FFB">
        <w:rPr>
          <w:sz w:val="22"/>
          <w:szCs w:val="22"/>
        </w:rPr>
        <w:t xml:space="preserve">WLANs are also increasingly being used to off-load traffic from mobile wireless networks by mobile wireless service providers. </w:t>
      </w:r>
      <w:r>
        <w:rPr>
          <w:sz w:val="22"/>
          <w:szCs w:val="22"/>
        </w:rPr>
        <w:t xml:space="preserve"> </w:t>
      </w:r>
      <w:r w:rsidRPr="00B53FFB">
        <w:rPr>
          <w:sz w:val="22"/>
          <w:szCs w:val="22"/>
        </w:rPr>
        <w:t>One report estimates that total mobile data traffic offload from mobile wireless network to local networks will increase from 11 percent (72 petabytes/month) in 2011 to 22 percent (3.1 exabytes/month) in 2016.</w:t>
      </w:r>
      <w:r w:rsidRPr="00B53FFB">
        <w:rPr>
          <w:rStyle w:val="FootnoteReference"/>
          <w:szCs w:val="22"/>
        </w:rPr>
        <w:footnoteReference w:id="1154"/>
      </w:r>
      <w:r w:rsidRPr="00B53FFB">
        <w:rPr>
          <w:sz w:val="22"/>
          <w:szCs w:val="22"/>
        </w:rPr>
        <w:t xml:space="preserve">  </w:t>
      </w:r>
    </w:p>
    <w:p w:rsidR="004A147C" w:rsidRPr="00B53FFB" w:rsidRDefault="004A147C" w:rsidP="00CE5850">
      <w:pPr>
        <w:pStyle w:val="ParaNum"/>
        <w:numPr>
          <w:ilvl w:val="0"/>
          <w:numId w:val="28"/>
        </w:numPr>
        <w:rPr>
          <w:sz w:val="22"/>
          <w:szCs w:val="22"/>
        </w:rPr>
      </w:pPr>
      <w:r w:rsidRPr="00B53FFB">
        <w:rPr>
          <w:sz w:val="22"/>
          <w:szCs w:val="22"/>
        </w:rPr>
        <w:t>To facilitate access of mobile wireless users to their Wi-Fi hotspots, many mobile wireless providers now offer dual-mode handsets that operate on both cellular and Wi-Fi networks.</w:t>
      </w:r>
      <w:r w:rsidRPr="00B53FFB">
        <w:rPr>
          <w:rStyle w:val="FootnoteReference"/>
          <w:szCs w:val="22"/>
        </w:rPr>
        <w:footnoteReference w:id="1155"/>
      </w:r>
      <w:r w:rsidRPr="00B53FFB">
        <w:rPr>
          <w:sz w:val="22"/>
          <w:szCs w:val="22"/>
        </w:rPr>
        <w:t xml:space="preserve"> Nearly all smartphones will be Wi-Fi enabled by 2014.</w:t>
      </w:r>
      <w:r w:rsidRPr="00B53FFB">
        <w:rPr>
          <w:rStyle w:val="FootnoteReference"/>
          <w:szCs w:val="22"/>
        </w:rPr>
        <w:footnoteReference w:id="1156"/>
      </w:r>
      <w:r w:rsidRPr="00B53FFB">
        <w:rPr>
          <w:sz w:val="22"/>
          <w:szCs w:val="22"/>
        </w:rPr>
        <w:t xml:space="preserve"> Some service providers also encourage their subscribers to use Wi-Fi networks whenever possible </w:t>
      </w:r>
      <w:r>
        <w:rPr>
          <w:sz w:val="22"/>
          <w:szCs w:val="22"/>
        </w:rPr>
        <w:t xml:space="preserve">for </w:t>
      </w:r>
      <w:r w:rsidRPr="00B53FFB">
        <w:rPr>
          <w:sz w:val="22"/>
          <w:szCs w:val="22"/>
        </w:rPr>
        <w:t>data applications like streaming video, downloading files, or surfing the web.</w:t>
      </w:r>
      <w:r w:rsidRPr="00B53FFB">
        <w:rPr>
          <w:rStyle w:val="FootnoteReference"/>
          <w:szCs w:val="22"/>
        </w:rPr>
        <w:footnoteReference w:id="1157"/>
      </w:r>
      <w:r>
        <w:rPr>
          <w:sz w:val="22"/>
          <w:szCs w:val="22"/>
        </w:rPr>
        <w:t xml:space="preserve"> </w:t>
      </w:r>
      <w:r w:rsidRPr="00B53FFB">
        <w:rPr>
          <w:sz w:val="22"/>
          <w:szCs w:val="22"/>
        </w:rPr>
        <w:t xml:space="preserve"> In February 2012, 38 percent of smartphones accessed internet through both mobile and Wi-Fi networks.</w:t>
      </w:r>
      <w:r w:rsidRPr="00B53FFB">
        <w:rPr>
          <w:rStyle w:val="FootnoteReference"/>
          <w:szCs w:val="22"/>
        </w:rPr>
        <w:t xml:space="preserve"> </w:t>
      </w:r>
      <w:r w:rsidRPr="00B53FFB">
        <w:rPr>
          <w:rStyle w:val="FootnoteReference"/>
          <w:szCs w:val="22"/>
        </w:rPr>
        <w:footnoteReference w:id="1158"/>
      </w:r>
      <w:r w:rsidRPr="00B53FFB">
        <w:rPr>
          <w:sz w:val="22"/>
          <w:szCs w:val="22"/>
        </w:rPr>
        <w:t xml:space="preserve">  The wireless industry is currently developing standards and technologies to facilitate seamless roaming between Wi-Fi and 3G/4G networks.</w:t>
      </w:r>
      <w:r w:rsidRPr="00B53FFB">
        <w:rPr>
          <w:rStyle w:val="FootnoteReference"/>
          <w:szCs w:val="22"/>
        </w:rPr>
        <w:footnoteReference w:id="1159"/>
      </w:r>
      <w:r>
        <w:rPr>
          <w:sz w:val="22"/>
          <w:szCs w:val="22"/>
        </w:rPr>
        <w:t xml:space="preserve">  </w:t>
      </w:r>
      <w:r w:rsidRPr="00B53FFB">
        <w:rPr>
          <w:sz w:val="22"/>
          <w:szCs w:val="22"/>
        </w:rPr>
        <w:t>The initiative between GSMA and Wireless Broadband Alliance (WBA) aimed at simplifying Wi-Fi hotspot access for smartphones and tablets users is expected to be ready for commercial use by early 2013.</w:t>
      </w:r>
      <w:r w:rsidRPr="00B53FFB">
        <w:rPr>
          <w:rStyle w:val="FootnoteReference"/>
          <w:szCs w:val="22"/>
        </w:rPr>
        <w:footnoteReference w:id="1160"/>
      </w:r>
    </w:p>
    <w:p w:rsidR="004A147C" w:rsidRPr="00B53FFB" w:rsidRDefault="004A147C" w:rsidP="00CE5850">
      <w:pPr>
        <w:pStyle w:val="ParaNum"/>
        <w:numPr>
          <w:ilvl w:val="0"/>
          <w:numId w:val="28"/>
        </w:numPr>
        <w:rPr>
          <w:sz w:val="22"/>
          <w:szCs w:val="22"/>
        </w:rPr>
      </w:pPr>
      <w:r w:rsidRPr="00B53FFB">
        <w:rPr>
          <w:sz w:val="22"/>
          <w:szCs w:val="22"/>
        </w:rPr>
        <w:t xml:space="preserve">As Wi-Fi networks are deployed in more locations, especially in urban areas and public venues such as libraries, schools, shopping malls, office buildings, and residential homes, consumers are increasingly taking advantage of wide availability of free or low cost Wi-Fi networks for their data applications. </w:t>
      </w:r>
      <w:r>
        <w:rPr>
          <w:sz w:val="22"/>
          <w:szCs w:val="22"/>
        </w:rPr>
        <w:t xml:space="preserve"> </w:t>
      </w:r>
      <w:r w:rsidRPr="00B53FFB">
        <w:rPr>
          <w:sz w:val="22"/>
          <w:szCs w:val="22"/>
        </w:rPr>
        <w:t xml:space="preserve">One recent survey by Localytics shows that about 89.7 percent of all iPads sold can only connect to Wi-Fi networks, 8.8 percent can connect to 3G networks, and 1.5 percent can connect to LTE networks. </w:t>
      </w:r>
      <w:r>
        <w:rPr>
          <w:sz w:val="22"/>
          <w:szCs w:val="22"/>
        </w:rPr>
        <w:t xml:space="preserve"> </w:t>
      </w:r>
      <w:r w:rsidRPr="00B53FFB">
        <w:rPr>
          <w:sz w:val="22"/>
          <w:szCs w:val="22"/>
        </w:rPr>
        <w:t>The survey also found that, of all iPad data sessions, just 6 percent are transmitted over a cellular network.</w:t>
      </w:r>
      <w:r w:rsidRPr="00B53FFB">
        <w:rPr>
          <w:rStyle w:val="FootnoteReference"/>
          <w:szCs w:val="22"/>
        </w:rPr>
        <w:footnoteReference w:id="1161"/>
      </w:r>
      <w:r w:rsidRPr="00B53FFB">
        <w:rPr>
          <w:sz w:val="22"/>
          <w:szCs w:val="22"/>
        </w:rPr>
        <w:t xml:space="preserve"> Another recent report by NPD Group indicated that, 65 percent of U.S. tablet buyers only connect via Wi-Fi, up from 60 percent in April.</w:t>
      </w:r>
      <w:r w:rsidRPr="00B53FFB">
        <w:rPr>
          <w:rStyle w:val="FootnoteReference"/>
          <w:szCs w:val="22"/>
        </w:rPr>
        <w:footnoteReference w:id="1162"/>
      </w:r>
      <w:r w:rsidRPr="00B53FFB">
        <w:rPr>
          <w:sz w:val="22"/>
          <w:szCs w:val="22"/>
        </w:rPr>
        <w:t xml:space="preserve"> </w:t>
      </w:r>
      <w:r>
        <w:rPr>
          <w:sz w:val="22"/>
          <w:szCs w:val="22"/>
        </w:rPr>
        <w:t xml:space="preserve"> </w:t>
      </w:r>
      <w:r w:rsidRPr="00B53FFB">
        <w:rPr>
          <w:sz w:val="22"/>
          <w:szCs w:val="22"/>
        </w:rPr>
        <w:t>In January 2012, 88 percent of smartphone users were active Wi-Fi users.</w:t>
      </w:r>
      <w:r w:rsidRPr="00B53FFB">
        <w:rPr>
          <w:rStyle w:val="FootnoteReference"/>
          <w:szCs w:val="22"/>
        </w:rPr>
        <w:footnoteReference w:id="1163"/>
      </w:r>
    </w:p>
    <w:p w:rsidR="004A147C" w:rsidRPr="00B53FFB" w:rsidRDefault="004A147C" w:rsidP="00CE5850">
      <w:pPr>
        <w:pStyle w:val="ParaNum"/>
        <w:numPr>
          <w:ilvl w:val="0"/>
          <w:numId w:val="28"/>
        </w:numPr>
        <w:rPr>
          <w:sz w:val="22"/>
          <w:szCs w:val="22"/>
        </w:rPr>
      </w:pPr>
      <w:r w:rsidRPr="00B53FFB">
        <w:rPr>
          <w:sz w:val="22"/>
          <w:szCs w:val="22"/>
        </w:rPr>
        <w:t>Some mobile virtual network operators (MVNOs) are beginning to use Wi-Fi networks to provide wireless broadband services to their customers while relying on 3G/4G services to bridge the gap between local Wi-Fi networks.</w:t>
      </w:r>
      <w:r w:rsidRPr="00B53FFB">
        <w:rPr>
          <w:rStyle w:val="FootnoteReference"/>
          <w:szCs w:val="22"/>
        </w:rPr>
        <w:footnoteReference w:id="1164"/>
      </w:r>
      <w:r w:rsidRPr="00B53FFB">
        <w:rPr>
          <w:sz w:val="22"/>
          <w:szCs w:val="22"/>
        </w:rPr>
        <w:t xml:space="preserve"> </w:t>
      </w:r>
      <w:r>
        <w:rPr>
          <w:sz w:val="22"/>
          <w:szCs w:val="22"/>
        </w:rPr>
        <w:t xml:space="preserve"> </w:t>
      </w:r>
      <w:r w:rsidRPr="00B53FFB">
        <w:rPr>
          <w:sz w:val="22"/>
          <w:szCs w:val="22"/>
        </w:rPr>
        <w:t>This potentially disruptive business model may significantly reduce the MVNOs’ operating costs.</w:t>
      </w:r>
      <w:r w:rsidRPr="00B53FFB">
        <w:rPr>
          <w:rStyle w:val="FootnoteReference"/>
          <w:szCs w:val="22"/>
        </w:rPr>
        <w:footnoteReference w:id="1165"/>
      </w:r>
      <w:r>
        <w:rPr>
          <w:sz w:val="22"/>
          <w:szCs w:val="22"/>
        </w:rPr>
        <w:t xml:space="preserve"> </w:t>
      </w:r>
      <w:r w:rsidRPr="00B53FFB">
        <w:rPr>
          <w:sz w:val="22"/>
          <w:szCs w:val="22"/>
        </w:rPr>
        <w:t xml:space="preserve"> These MVNOs, primarily relying on local Wi-Fi networks for customers’ voice and data services, may bring significant competition to traditional mobile wireless operators.     </w:t>
      </w:r>
    </w:p>
    <w:p w:rsidR="004A147C" w:rsidRPr="00B53FFB" w:rsidRDefault="004A147C" w:rsidP="00CE5850">
      <w:pPr>
        <w:pStyle w:val="ParaNum"/>
        <w:numPr>
          <w:ilvl w:val="0"/>
          <w:numId w:val="28"/>
        </w:numPr>
        <w:rPr>
          <w:sz w:val="22"/>
          <w:szCs w:val="22"/>
        </w:rPr>
      </w:pPr>
      <w:r w:rsidRPr="00B53FFB">
        <w:rPr>
          <w:i/>
          <w:sz w:val="22"/>
          <w:szCs w:val="22"/>
        </w:rPr>
        <w:t xml:space="preserve">Small Cell Technologies.  </w:t>
      </w:r>
      <w:r w:rsidRPr="00B53FFB">
        <w:rPr>
          <w:sz w:val="22"/>
          <w:szCs w:val="22"/>
        </w:rPr>
        <w:t xml:space="preserve">Small cell technologies generally refer to femtocells, picocells, metrocells and microcells – broadly increasing in size from femtocells (the smallest) to microcells (the largest), A small cell is a small low-power wireless base station that functions like a cell in a mobile wireless network. </w:t>
      </w:r>
      <w:r>
        <w:rPr>
          <w:sz w:val="22"/>
          <w:szCs w:val="22"/>
        </w:rPr>
        <w:t xml:space="preserve"> </w:t>
      </w:r>
      <w:r w:rsidRPr="00B53FFB">
        <w:rPr>
          <w:sz w:val="22"/>
          <w:szCs w:val="22"/>
        </w:rPr>
        <w:t xml:space="preserve">Operating in licensed spectrum, it is operator-managed and feature edge-based intelligence. </w:t>
      </w:r>
      <w:r>
        <w:rPr>
          <w:sz w:val="22"/>
          <w:szCs w:val="22"/>
        </w:rPr>
        <w:t xml:space="preserve"> </w:t>
      </w:r>
      <w:r w:rsidRPr="00B53FFB">
        <w:rPr>
          <w:sz w:val="22"/>
          <w:szCs w:val="22"/>
        </w:rPr>
        <w:t>Small cells provide improved cellular coverage, capacity and applications for homes and enterprises as well as metropolitan and rural public spaces.</w:t>
      </w:r>
      <w:r w:rsidRPr="00B53FFB">
        <w:rPr>
          <w:sz w:val="22"/>
          <w:szCs w:val="22"/>
          <w:vertAlign w:val="superscript"/>
        </w:rPr>
        <w:footnoteReference w:id="1166"/>
      </w:r>
      <w:r w:rsidRPr="00B53FFB">
        <w:rPr>
          <w:sz w:val="22"/>
          <w:szCs w:val="22"/>
        </w:rPr>
        <w:t xml:space="preserve">  Small cells can be installed in a consumer’s premises.  They are compatible with the same mobile handsets and other wireless devices that consumers use on the service provider’s mobile wireless network.  Small cells are intended to improve coverage in buildings and areas that may experience service quality issues with the service provider’s existing mobile wireless network.  Three nationwide service providers distribute and support small cells in selected markets.  Sprint Nextel’s femtocell service, called Airave™, was introduced in 2008 and allows subscribers to make unlimited wireless calls from their femtocell network for a monthly service fee.</w:t>
      </w:r>
      <w:r w:rsidRPr="00B53FFB">
        <w:rPr>
          <w:sz w:val="22"/>
          <w:szCs w:val="22"/>
          <w:vertAlign w:val="superscript"/>
        </w:rPr>
        <w:footnoteReference w:id="1167"/>
      </w:r>
      <w:r w:rsidRPr="00B53FFB">
        <w:rPr>
          <w:sz w:val="22"/>
          <w:szCs w:val="22"/>
        </w:rPr>
        <w:t xml:space="preserve"> The Verizon Wireless Network Extender, unveiled in January 2009, is designed to enhance indoor coverage and be used with a customer’s existing service plan.</w:t>
      </w:r>
      <w:r w:rsidRPr="00B53FFB">
        <w:rPr>
          <w:sz w:val="22"/>
          <w:szCs w:val="22"/>
          <w:vertAlign w:val="superscript"/>
        </w:rPr>
        <w:footnoteReference w:id="1168"/>
      </w:r>
      <w:r w:rsidRPr="00B53FFB">
        <w:rPr>
          <w:sz w:val="22"/>
          <w:szCs w:val="22"/>
        </w:rPr>
        <w:t xml:space="preserve">  The AT&amp;T 3G MicroCell, introduced in late 2009, is also used with a customer’s existing service plan.</w:t>
      </w:r>
      <w:r w:rsidRPr="00B53FFB">
        <w:rPr>
          <w:sz w:val="22"/>
          <w:szCs w:val="22"/>
          <w:vertAlign w:val="superscript"/>
        </w:rPr>
        <w:footnoteReference w:id="1169"/>
      </w:r>
      <w:r w:rsidRPr="00B53FFB">
        <w:rPr>
          <w:sz w:val="22"/>
          <w:szCs w:val="22"/>
        </w:rPr>
        <w:t xml:space="preserve">  Growth in the use of small cells in the U.S. has been slower than expected by some industry analysts, but has been accelerating.</w:t>
      </w:r>
      <w:r w:rsidRPr="00B53FFB">
        <w:rPr>
          <w:sz w:val="22"/>
          <w:szCs w:val="22"/>
          <w:vertAlign w:val="superscript"/>
        </w:rPr>
        <w:footnoteReference w:id="1170"/>
      </w:r>
      <w:r w:rsidRPr="00B53FFB">
        <w:rPr>
          <w:sz w:val="22"/>
          <w:szCs w:val="22"/>
        </w:rPr>
        <w:t xml:space="preserve"> As of July 2012, Sprint has 950,000 femtocells operating on its network, up from 250,000 units in 2011.</w:t>
      </w:r>
      <w:r w:rsidRPr="00B53FFB">
        <w:rPr>
          <w:sz w:val="22"/>
          <w:szCs w:val="22"/>
          <w:vertAlign w:val="superscript"/>
        </w:rPr>
        <w:footnoteReference w:id="1171"/>
      </w:r>
    </w:p>
    <w:p w:rsidR="004A147C" w:rsidRPr="00BA3C93" w:rsidRDefault="004A147C" w:rsidP="00CE5850">
      <w:pPr>
        <w:pStyle w:val="ParaNum"/>
        <w:numPr>
          <w:ilvl w:val="0"/>
          <w:numId w:val="28"/>
        </w:numPr>
        <w:rPr>
          <w:sz w:val="22"/>
          <w:szCs w:val="22"/>
        </w:rPr>
      </w:pPr>
      <w:r w:rsidRPr="00B53FFB">
        <w:rPr>
          <w:sz w:val="22"/>
          <w:szCs w:val="22"/>
        </w:rPr>
        <w:t>In October 2011, the Commission hosted a workshop to explore the potential of small cells to expand coverage and increase capacity in order to address rising demand in the face of spectrum shortages.</w:t>
      </w:r>
      <w:r w:rsidRPr="00B53FFB">
        <w:rPr>
          <w:sz w:val="22"/>
          <w:szCs w:val="22"/>
          <w:vertAlign w:val="superscript"/>
        </w:rPr>
        <w:footnoteReference w:id="1172"/>
      </w:r>
      <w:r w:rsidRPr="00B53FFB">
        <w:rPr>
          <w:sz w:val="22"/>
          <w:szCs w:val="22"/>
        </w:rPr>
        <w:t xml:space="preserve">  The workshop presented an overview of small cell technologies and explored the business opportunities and challenges involved with expanding wireless data coverage.  The NTIA Fast-Track report’s</w:t>
      </w:r>
      <w:r w:rsidRPr="00B53FFB">
        <w:rPr>
          <w:rStyle w:val="FootnoteReference"/>
          <w:szCs w:val="22"/>
        </w:rPr>
        <w:footnoteReference w:id="1173"/>
      </w:r>
      <w:r w:rsidRPr="00B53FFB">
        <w:rPr>
          <w:sz w:val="22"/>
          <w:szCs w:val="22"/>
        </w:rPr>
        <w:t xml:space="preserve"> identification of the 3550-3600 MHz band for reallocation to non-federal use has spurred proposals for a dedicated small-cell band.  A report released by the President’s Council of Advisors on Science and Technology (PCAST), released in July 2012, noted that “[d]edicating the 3550-3650 MHz band to small cell, low power use could allow for significant reduction or even elimination of the exclusion zones.”</w:t>
      </w:r>
      <w:r w:rsidRPr="00B53FFB">
        <w:rPr>
          <w:sz w:val="22"/>
          <w:szCs w:val="22"/>
          <w:vertAlign w:val="superscript"/>
        </w:rPr>
        <w:footnoteReference w:id="1174"/>
      </w:r>
      <w:r w:rsidRPr="00B53FFB">
        <w:rPr>
          <w:sz w:val="22"/>
          <w:szCs w:val="22"/>
        </w:rPr>
        <w:t xml:space="preserve">  The PCAST Report observed that the use of small cells in this band could augment lower frequency spectrum used for wider area coverage.</w:t>
      </w:r>
      <w:r w:rsidRPr="00B53FFB">
        <w:rPr>
          <w:sz w:val="22"/>
          <w:szCs w:val="22"/>
          <w:vertAlign w:val="superscript"/>
        </w:rPr>
        <w:footnoteReference w:id="1175"/>
      </w:r>
      <w:r w:rsidRPr="00B53FFB">
        <w:rPr>
          <w:sz w:val="22"/>
          <w:szCs w:val="22"/>
        </w:rPr>
        <w:t xml:space="preserve">  </w:t>
      </w:r>
      <w:r w:rsidRPr="00BA3C93">
        <w:rPr>
          <w:sz w:val="22"/>
          <w:szCs w:val="22"/>
        </w:rPr>
        <w:t xml:space="preserve">In December 2012, the Commission </w:t>
      </w:r>
      <w:r w:rsidRPr="00AB5250">
        <w:rPr>
          <w:sz w:val="22"/>
          <w:szCs w:val="22"/>
        </w:rPr>
        <w:t>proposed to make available 100 megahertz of shared spectrum in the 3.5 GHz Band (3550-3650 MHz) using small cell and database technologies.</w:t>
      </w:r>
      <w:r>
        <w:rPr>
          <w:rStyle w:val="FootnoteReference"/>
          <w:szCs w:val="22"/>
        </w:rPr>
        <w:footnoteReference w:id="1176"/>
      </w:r>
      <w:r w:rsidRPr="00AB5250">
        <w:rPr>
          <w:sz w:val="22"/>
          <w:szCs w:val="22"/>
        </w:rPr>
        <w:t xml:space="preserve">  The</w:t>
      </w:r>
      <w:r>
        <w:rPr>
          <w:sz w:val="22"/>
          <w:szCs w:val="22"/>
        </w:rPr>
        <w:t xml:space="preserve"> </w:t>
      </w:r>
      <w:r w:rsidRPr="00AB5250">
        <w:rPr>
          <w:i/>
          <w:sz w:val="22"/>
          <w:szCs w:val="22"/>
        </w:rPr>
        <w:t>Small Cell NPRM</w:t>
      </w:r>
      <w:r>
        <w:rPr>
          <w:i/>
          <w:sz w:val="22"/>
          <w:szCs w:val="22"/>
        </w:rPr>
        <w:t xml:space="preserve"> </w:t>
      </w:r>
      <w:r w:rsidRPr="00AB5250">
        <w:rPr>
          <w:sz w:val="22"/>
          <w:szCs w:val="22"/>
        </w:rPr>
        <w:t xml:space="preserve"> broadly reflects the innovative thinking of the President</w:t>
      </w:r>
      <w:r w:rsidRPr="00BA3C93">
        <w:rPr>
          <w:sz w:val="22"/>
          <w:szCs w:val="22"/>
        </w:rPr>
        <w:t>’</w:t>
      </w:r>
      <w:r w:rsidRPr="00AB5250">
        <w:rPr>
          <w:sz w:val="22"/>
          <w:szCs w:val="22"/>
        </w:rPr>
        <w:t xml:space="preserve">s Council of Advisors on Science and Technology (PCAST), which issued a report this </w:t>
      </w:r>
      <w:r w:rsidR="0018018F">
        <w:rPr>
          <w:sz w:val="22"/>
          <w:szCs w:val="22"/>
        </w:rPr>
        <w:t xml:space="preserve">past </w:t>
      </w:r>
      <w:r w:rsidRPr="00AB5250">
        <w:rPr>
          <w:sz w:val="22"/>
          <w:szCs w:val="22"/>
        </w:rPr>
        <w:t>summer recommending spectrum sharing and small cell use in the 3.5 GHz Band.</w:t>
      </w:r>
    </w:p>
    <w:p w:rsidR="004A147C" w:rsidRPr="00B53FFB" w:rsidRDefault="004A147C" w:rsidP="00CE5850">
      <w:pPr>
        <w:pStyle w:val="Heading1"/>
        <w:keepNext w:val="0"/>
        <w:numPr>
          <w:ilvl w:val="0"/>
          <w:numId w:val="26"/>
        </w:numPr>
        <w:tabs>
          <w:tab w:val="left" w:pos="720"/>
        </w:tabs>
        <w:suppressAutoHyphens w:val="0"/>
        <w:rPr>
          <w:sz w:val="22"/>
          <w:szCs w:val="22"/>
        </w:rPr>
      </w:pPr>
      <w:bookmarkStart w:id="5394" w:name="_Toc261610822"/>
      <w:bookmarkStart w:id="5395" w:name="_Toc261858574"/>
      <w:bookmarkStart w:id="5396" w:name="_Toc262034383"/>
      <w:bookmarkStart w:id="5397" w:name="_Toc262034486"/>
      <w:bookmarkStart w:id="5398" w:name="_Toc276121912"/>
      <w:bookmarkStart w:id="5399" w:name="_Toc276480748"/>
      <w:bookmarkStart w:id="5400" w:name="_Toc276741826"/>
      <w:bookmarkStart w:id="5401" w:name="_Toc277171590"/>
      <w:bookmarkStart w:id="5402" w:name="_Toc277864565"/>
      <w:bookmarkStart w:id="5403" w:name="_Toc277864781"/>
      <w:bookmarkStart w:id="5404" w:name="_Toc285810462"/>
      <w:bookmarkStart w:id="5405" w:name="_Toc287257861"/>
      <w:bookmarkStart w:id="5406" w:name="_Toc291758736"/>
      <w:bookmarkStart w:id="5407" w:name="_Toc291758839"/>
      <w:bookmarkStart w:id="5408" w:name="_Toc295393019"/>
      <w:bookmarkStart w:id="5409" w:name="_Toc329262547"/>
      <w:bookmarkStart w:id="5410" w:name="_Toc329852454"/>
      <w:bookmarkStart w:id="5411" w:name="_Toc331766369"/>
      <w:bookmarkStart w:id="5412" w:name="_Toc332119173"/>
      <w:bookmarkStart w:id="5413" w:name="_Toc334088841"/>
      <w:bookmarkStart w:id="5414" w:name="_Toc334089077"/>
      <w:bookmarkStart w:id="5415" w:name="_Toc334089236"/>
      <w:bookmarkStart w:id="5416" w:name="_Toc334089347"/>
      <w:bookmarkStart w:id="5417" w:name="_Toc334089511"/>
      <w:bookmarkStart w:id="5418" w:name="_Toc336268653"/>
      <w:bookmarkStart w:id="5419" w:name="_Toc336268761"/>
      <w:bookmarkStart w:id="5420" w:name="_Toc336268868"/>
      <w:bookmarkStart w:id="5421" w:name="_Toc336269082"/>
      <w:bookmarkStart w:id="5422" w:name="_Toc336269189"/>
      <w:bookmarkStart w:id="5423" w:name="_Toc336269557"/>
      <w:bookmarkStart w:id="5424" w:name="_Toc336269703"/>
      <w:bookmarkStart w:id="5425" w:name="_Toc336270116"/>
      <w:bookmarkStart w:id="5426" w:name="_Toc336271315"/>
      <w:bookmarkStart w:id="5427" w:name="_Toc337652033"/>
      <w:bookmarkStart w:id="5428" w:name="_Toc349577221"/>
      <w:bookmarkStart w:id="5429" w:name="_Toc349579313"/>
      <w:bookmarkStart w:id="5430" w:name="_Toc349580628"/>
      <w:bookmarkStart w:id="5431" w:name="_Toc349735036"/>
      <w:bookmarkStart w:id="5432" w:name="_Toc349742401"/>
      <w:bookmarkStart w:id="5433" w:name="_Toc271288521"/>
      <w:bookmarkStart w:id="5434" w:name="_Toc275518040"/>
      <w:bookmarkStart w:id="5435" w:name="_Toc275952480"/>
      <w:bookmarkStart w:id="5436" w:name="_Toc176254507"/>
      <w:bookmarkStart w:id="5437" w:name="_Toc176254796"/>
      <w:bookmarkStart w:id="5438" w:name="_Toc176254907"/>
      <w:bookmarkStart w:id="5439" w:name="_Toc176762541"/>
      <w:bookmarkStart w:id="5440" w:name="_Toc176843562"/>
      <w:bookmarkStart w:id="5441" w:name="_Toc176853364"/>
      <w:bookmarkStart w:id="5442" w:name="_Toc176853473"/>
      <w:bookmarkStart w:id="5443" w:name="_Toc176857522"/>
      <w:bookmarkStart w:id="5444" w:name="_Toc179108450"/>
      <w:bookmarkStart w:id="5445" w:name="_Toc179357708"/>
      <w:bookmarkStart w:id="5446" w:name="_Toc181781190"/>
      <w:bookmarkStart w:id="5447" w:name="_Toc182218776"/>
      <w:bookmarkStart w:id="5448" w:name="_Toc182909212"/>
      <w:bookmarkStart w:id="5449" w:name="_Toc182909642"/>
      <w:bookmarkStart w:id="5450" w:name="_Toc182987291"/>
      <w:bookmarkStart w:id="5451" w:name="_Toc183244126"/>
      <w:bookmarkStart w:id="5452" w:name="_Toc183244504"/>
      <w:bookmarkStart w:id="5453" w:name="_Toc183244915"/>
      <w:bookmarkStart w:id="5454" w:name="_Toc183245033"/>
      <w:bookmarkStart w:id="5455" w:name="_Toc183245691"/>
      <w:bookmarkStart w:id="5456" w:name="_Toc183246266"/>
      <w:bookmarkStart w:id="5457" w:name="_Toc183246365"/>
      <w:bookmarkStart w:id="5458" w:name="_Toc185667975"/>
      <w:bookmarkStart w:id="5459" w:name="_Toc185839032"/>
      <w:bookmarkStart w:id="5460" w:name="_Toc185847004"/>
      <w:bookmarkStart w:id="5461" w:name="_Toc185848610"/>
      <w:bookmarkStart w:id="5462" w:name="_Toc188946968"/>
      <w:bookmarkStart w:id="5463" w:name="_Toc189302872"/>
      <w:bookmarkStart w:id="5464" w:name="_Toc209948539"/>
      <w:bookmarkStart w:id="5465" w:name="_Toc209948648"/>
      <w:bookmarkStart w:id="5466" w:name="_Toc209950088"/>
      <w:bookmarkStart w:id="5467" w:name="_Toc210211544"/>
      <w:bookmarkStart w:id="5468" w:name="_Toc210213111"/>
      <w:bookmarkStart w:id="5469" w:name="_Toc210213250"/>
      <w:bookmarkStart w:id="5470" w:name="_Toc210213811"/>
      <w:bookmarkStart w:id="5471" w:name="_Toc212968034"/>
      <w:bookmarkStart w:id="5472" w:name="_Toc215316436"/>
      <w:bookmarkStart w:id="5473" w:name="_Toc215384690"/>
      <w:bookmarkStart w:id="5474" w:name="_Toc217810556"/>
      <w:r w:rsidRPr="00B53FFB">
        <w:rPr>
          <w:sz w:val="22"/>
          <w:szCs w:val="22"/>
        </w:rPr>
        <w:t>Urban-Rural Comparisons</w:t>
      </w:r>
      <w:bookmarkEnd w:id="5394"/>
      <w:bookmarkEnd w:id="5395"/>
      <w:bookmarkEnd w:id="5396"/>
      <w:bookmarkEnd w:id="5397"/>
      <w:bookmarkEnd w:id="5398"/>
      <w:bookmarkEnd w:id="5399"/>
      <w:bookmarkEnd w:id="5400"/>
      <w:bookmarkEnd w:id="5401"/>
      <w:bookmarkEnd w:id="5402"/>
      <w:bookmarkEnd w:id="5403"/>
      <w:bookmarkEnd w:id="5404"/>
      <w:bookmarkEnd w:id="5405"/>
      <w:bookmarkEnd w:id="5406"/>
      <w:bookmarkEnd w:id="5407"/>
      <w:bookmarkEnd w:id="5408"/>
      <w:bookmarkEnd w:id="5409"/>
      <w:bookmarkEnd w:id="5410"/>
      <w:bookmarkEnd w:id="5411"/>
      <w:bookmarkEnd w:id="5412"/>
      <w:bookmarkEnd w:id="5413"/>
      <w:bookmarkEnd w:id="5414"/>
      <w:bookmarkEnd w:id="5415"/>
      <w:bookmarkEnd w:id="5416"/>
      <w:bookmarkEnd w:id="5417"/>
      <w:bookmarkEnd w:id="5418"/>
      <w:bookmarkEnd w:id="5419"/>
      <w:bookmarkEnd w:id="5420"/>
      <w:bookmarkEnd w:id="5421"/>
      <w:bookmarkEnd w:id="5422"/>
      <w:bookmarkEnd w:id="5423"/>
      <w:bookmarkEnd w:id="5424"/>
      <w:bookmarkEnd w:id="5425"/>
      <w:bookmarkEnd w:id="5426"/>
      <w:bookmarkEnd w:id="5427"/>
      <w:bookmarkEnd w:id="5428"/>
      <w:bookmarkEnd w:id="5429"/>
      <w:bookmarkEnd w:id="5430"/>
      <w:bookmarkEnd w:id="5431"/>
      <w:bookmarkEnd w:id="5432"/>
      <w:r w:rsidRPr="00B53FFB">
        <w:rPr>
          <w:sz w:val="22"/>
          <w:szCs w:val="22"/>
        </w:rPr>
        <w:t xml:space="preserve"> </w:t>
      </w:r>
      <w:bookmarkEnd w:id="5433"/>
      <w:bookmarkEnd w:id="5434"/>
      <w:bookmarkEnd w:id="5435"/>
    </w:p>
    <w:p w:rsidR="004A147C" w:rsidRPr="00B53FFB" w:rsidRDefault="004A147C" w:rsidP="00CE5850">
      <w:pPr>
        <w:pStyle w:val="ParaNum"/>
        <w:numPr>
          <w:ilvl w:val="0"/>
          <w:numId w:val="28"/>
        </w:numPr>
        <w:rPr>
          <w:sz w:val="22"/>
          <w:szCs w:val="22"/>
        </w:rPr>
      </w:pPr>
      <w:r w:rsidRPr="00B53FFB">
        <w:rPr>
          <w:sz w:val="22"/>
          <w:szCs w:val="22"/>
        </w:rPr>
        <w:t>Since</w:t>
      </w:r>
      <w:bookmarkEnd w:id="5436"/>
      <w:bookmarkEnd w:id="5437"/>
      <w:bookmarkEnd w:id="5438"/>
      <w:bookmarkEnd w:id="5439"/>
      <w:bookmarkEnd w:id="5440"/>
      <w:bookmarkEnd w:id="5441"/>
      <w:bookmarkEnd w:id="5442"/>
      <w:bookmarkEnd w:id="5443"/>
      <w:bookmarkEnd w:id="5444"/>
      <w:bookmarkEnd w:id="5445"/>
      <w:bookmarkEnd w:id="5446"/>
      <w:bookmarkEnd w:id="5447"/>
      <w:bookmarkEnd w:id="5448"/>
      <w:bookmarkEnd w:id="5449"/>
      <w:bookmarkEnd w:id="5450"/>
      <w:bookmarkEnd w:id="5451"/>
      <w:bookmarkEnd w:id="5452"/>
      <w:bookmarkEnd w:id="5453"/>
      <w:bookmarkEnd w:id="5454"/>
      <w:bookmarkEnd w:id="5455"/>
      <w:bookmarkEnd w:id="5456"/>
      <w:bookmarkEnd w:id="5457"/>
      <w:bookmarkEnd w:id="5458"/>
      <w:bookmarkEnd w:id="5459"/>
      <w:bookmarkEnd w:id="5460"/>
      <w:bookmarkEnd w:id="5461"/>
      <w:bookmarkEnd w:id="5462"/>
      <w:bookmarkEnd w:id="5463"/>
      <w:bookmarkEnd w:id="5464"/>
      <w:bookmarkEnd w:id="5465"/>
      <w:bookmarkEnd w:id="5466"/>
      <w:bookmarkEnd w:id="5467"/>
      <w:bookmarkEnd w:id="5468"/>
      <w:bookmarkEnd w:id="5469"/>
      <w:bookmarkEnd w:id="5470"/>
      <w:bookmarkEnd w:id="5471"/>
      <w:bookmarkEnd w:id="5472"/>
      <w:bookmarkEnd w:id="5473"/>
      <w:bookmarkEnd w:id="5474"/>
      <w:r w:rsidRPr="00B53FFB">
        <w:rPr>
          <w:sz w:val="22"/>
          <w:szCs w:val="22"/>
        </w:rPr>
        <w:t xml:space="preserve"> the release of the </w:t>
      </w:r>
      <w:r w:rsidRPr="00B53FFB">
        <w:rPr>
          <w:i/>
          <w:sz w:val="22"/>
          <w:szCs w:val="22"/>
        </w:rPr>
        <w:t>Sixth Report,</w:t>
      </w:r>
      <w:r w:rsidRPr="00B53FFB">
        <w:rPr>
          <w:rStyle w:val="FootnoteReference"/>
          <w:szCs w:val="22"/>
        </w:rPr>
        <w:footnoteReference w:id="1177"/>
      </w:r>
      <w:r w:rsidRPr="00B53FFB">
        <w:rPr>
          <w:sz w:val="22"/>
          <w:szCs w:val="22"/>
        </w:rPr>
        <w:t xml:space="preserve"> the Commission has attempted to obtain a better understanding of the state of competition below the national level, and particularly in rural areas.  The Communications Act does not include a statutory definition of what constitutes a rural area.</w:t>
      </w:r>
      <w:r w:rsidRPr="00B53FFB">
        <w:rPr>
          <w:rStyle w:val="FootnoteReference"/>
          <w:szCs w:val="22"/>
        </w:rPr>
        <w:footnoteReference w:id="1178"/>
      </w:r>
      <w:r w:rsidRPr="00B53FFB">
        <w:rPr>
          <w:sz w:val="22"/>
          <w:szCs w:val="22"/>
        </w:rPr>
        <w:t xml:space="preserve">  The Commission used Rural Services Areas (RSAs) as a proxy for rural areas for certain purposes, such as the former cellular cross-interest rule and the former CMRS spectrum cap, stating that “other market designations used by the Commission for CMRS, such as </w:t>
      </w:r>
      <w:r>
        <w:rPr>
          <w:sz w:val="22"/>
          <w:szCs w:val="22"/>
        </w:rPr>
        <w:t>[</w:t>
      </w:r>
      <w:r w:rsidRPr="00B53FFB">
        <w:rPr>
          <w:sz w:val="22"/>
          <w:szCs w:val="22"/>
        </w:rPr>
        <w:t>EAs</w:t>
      </w:r>
      <w:r>
        <w:rPr>
          <w:sz w:val="22"/>
          <w:szCs w:val="22"/>
        </w:rPr>
        <w:t>]</w:t>
      </w:r>
      <w:r w:rsidRPr="00B53FFB">
        <w:rPr>
          <w:sz w:val="22"/>
          <w:szCs w:val="22"/>
        </w:rPr>
        <w:t>, combine urbanized and rural areas, while MSAs and RSAs are defined expressly to distinguish between rural and urban areas.”</w:t>
      </w:r>
      <w:r w:rsidRPr="00B53FFB">
        <w:rPr>
          <w:sz w:val="22"/>
          <w:szCs w:val="22"/>
          <w:vertAlign w:val="superscript"/>
        </w:rPr>
        <w:footnoteReference w:id="1179"/>
      </w:r>
      <w:r w:rsidRPr="00B53FFB">
        <w:rPr>
          <w:sz w:val="22"/>
          <w:szCs w:val="22"/>
        </w:rPr>
        <w:t xml:space="preserve">  Since its 2004 </w:t>
      </w:r>
      <w:r w:rsidRPr="00B53FFB">
        <w:rPr>
          <w:i/>
          <w:sz w:val="22"/>
          <w:szCs w:val="22"/>
        </w:rPr>
        <w:t>Report and Order</w:t>
      </w:r>
      <w:r w:rsidRPr="00B53FFB">
        <w:rPr>
          <w:sz w:val="22"/>
          <w:szCs w:val="22"/>
        </w:rPr>
        <w:t xml:space="preserve"> concerning deployment of wireless services in rural areas, however, the Commission has adopted a “baseline” definition of rural as a county with a population density of 100 persons or fewer per square mile.</w:t>
      </w:r>
      <w:r w:rsidRPr="00B53FFB">
        <w:rPr>
          <w:rStyle w:val="FootnoteReference"/>
          <w:szCs w:val="22"/>
        </w:rPr>
        <w:footnoteReference w:id="1180"/>
      </w:r>
      <w:r w:rsidRPr="00B53FFB">
        <w:rPr>
          <w:sz w:val="22"/>
          <w:szCs w:val="22"/>
        </w:rPr>
        <w:t xml:space="preserve">  For this reason, we adopt this same definition to analyze service availability in rural areas in this </w:t>
      </w:r>
      <w:r w:rsidRPr="00B53FFB">
        <w:rPr>
          <w:i/>
          <w:sz w:val="22"/>
          <w:szCs w:val="22"/>
        </w:rPr>
        <w:t>Report</w:t>
      </w:r>
      <w:r w:rsidRPr="00B53FFB">
        <w:rPr>
          <w:sz w:val="22"/>
          <w:szCs w:val="22"/>
        </w:rPr>
        <w:t>.</w:t>
      </w:r>
    </w:p>
    <w:p w:rsidR="004A147C" w:rsidRDefault="004A147C" w:rsidP="00CE5850">
      <w:pPr>
        <w:pStyle w:val="ParaNum"/>
        <w:numPr>
          <w:ilvl w:val="0"/>
          <w:numId w:val="28"/>
        </w:numPr>
        <w:rPr>
          <w:sz w:val="22"/>
          <w:szCs w:val="22"/>
        </w:rPr>
      </w:pPr>
      <w:r w:rsidRPr="00B53FFB">
        <w:rPr>
          <w:sz w:val="22"/>
          <w:szCs w:val="22"/>
        </w:rPr>
        <w:t>By this definition, roughly 59 million people, or 19 percent of the U.S. population, live in rural counties.  These counties comprise 3.1 million square miles, or 86 percent of the geographic area of the United States.</w:t>
      </w:r>
      <w:r w:rsidRPr="00B53FFB">
        <w:rPr>
          <w:rStyle w:val="FootnoteReference"/>
          <w:bCs/>
          <w:szCs w:val="22"/>
        </w:rPr>
        <w:footnoteReference w:id="1181"/>
      </w:r>
      <w:r w:rsidRPr="00B53FFB">
        <w:rPr>
          <w:sz w:val="22"/>
          <w:szCs w:val="22"/>
        </w:rPr>
        <w:t xml:space="preserve">  The distribution of rural counties across the United States can be seen in </w:t>
      </w:r>
      <w:r w:rsidR="0007014B">
        <w:rPr>
          <w:sz w:val="22"/>
          <w:szCs w:val="22"/>
        </w:rPr>
        <w:fldChar w:fldCharType="begin"/>
      </w:r>
      <w:r>
        <w:rPr>
          <w:sz w:val="22"/>
          <w:szCs w:val="22"/>
        </w:rPr>
        <w:instrText xml:space="preserve"> REF _Ref256606961 </w:instrText>
      </w:r>
      <w:r w:rsidR="0007014B">
        <w:rPr>
          <w:sz w:val="22"/>
          <w:szCs w:val="22"/>
        </w:rPr>
        <w:fldChar w:fldCharType="separate"/>
      </w:r>
      <w:r w:rsidR="00CA3AC6" w:rsidRPr="00B53FFB">
        <w:rPr>
          <w:sz w:val="22"/>
          <w:szCs w:val="22"/>
        </w:rPr>
        <w:t xml:space="preserve">Map </w:t>
      </w:r>
      <w:r w:rsidR="00CA3AC6">
        <w:rPr>
          <w:noProof/>
          <w:sz w:val="22"/>
          <w:szCs w:val="22"/>
        </w:rPr>
        <w:t>5</w:t>
      </w:r>
      <w:r w:rsidR="0007014B">
        <w:rPr>
          <w:sz w:val="22"/>
          <w:szCs w:val="22"/>
        </w:rPr>
        <w:fldChar w:fldCharType="end"/>
      </w:r>
      <w:r>
        <w:rPr>
          <w:sz w:val="22"/>
          <w:szCs w:val="22"/>
        </w:rPr>
        <w:t xml:space="preserve"> </w:t>
      </w:r>
      <w:r w:rsidRPr="00B53FFB">
        <w:rPr>
          <w:sz w:val="22"/>
          <w:szCs w:val="22"/>
        </w:rPr>
        <w:t>below.  Approximately 81 percent of the U.S. population lives on 15 percent of the land, while 19 percent live on the remaining 85 percent of the land.</w:t>
      </w:r>
    </w:p>
    <w:p w:rsidR="008F0E05" w:rsidRDefault="008F0E05" w:rsidP="008F0E05">
      <w:pPr>
        <w:pStyle w:val="ParaNum"/>
        <w:tabs>
          <w:tab w:val="clear" w:pos="1440"/>
        </w:tabs>
        <w:rPr>
          <w:sz w:val="22"/>
          <w:szCs w:val="22"/>
        </w:rPr>
      </w:pPr>
    </w:p>
    <w:p w:rsidR="008F0E05" w:rsidRDefault="008F0E05" w:rsidP="008F0E05">
      <w:pPr>
        <w:pStyle w:val="ParaNum"/>
        <w:tabs>
          <w:tab w:val="clear" w:pos="1440"/>
        </w:tabs>
        <w:rPr>
          <w:sz w:val="22"/>
          <w:szCs w:val="22"/>
        </w:rPr>
      </w:pPr>
    </w:p>
    <w:p w:rsidR="008F0E05" w:rsidRDefault="008F0E05" w:rsidP="008F0E05">
      <w:pPr>
        <w:pStyle w:val="ParaNum"/>
        <w:tabs>
          <w:tab w:val="clear" w:pos="1440"/>
        </w:tabs>
        <w:rPr>
          <w:sz w:val="22"/>
          <w:szCs w:val="22"/>
        </w:rPr>
      </w:pPr>
    </w:p>
    <w:p w:rsidR="008F0E05" w:rsidRDefault="008F0E05" w:rsidP="008F0E05">
      <w:pPr>
        <w:pStyle w:val="ParaNum"/>
        <w:tabs>
          <w:tab w:val="clear" w:pos="1440"/>
        </w:tabs>
        <w:rPr>
          <w:sz w:val="22"/>
          <w:szCs w:val="22"/>
        </w:rPr>
      </w:pPr>
    </w:p>
    <w:p w:rsidR="008F0E05" w:rsidRDefault="008F0E05" w:rsidP="008F0E05">
      <w:pPr>
        <w:pStyle w:val="ParaNum"/>
        <w:tabs>
          <w:tab w:val="clear" w:pos="1440"/>
        </w:tabs>
        <w:rPr>
          <w:sz w:val="22"/>
          <w:szCs w:val="22"/>
        </w:rPr>
      </w:pPr>
    </w:p>
    <w:p w:rsidR="008F0E05" w:rsidRPr="00B53FFB" w:rsidRDefault="008F0E05" w:rsidP="008F0E05">
      <w:pPr>
        <w:pStyle w:val="ParaNum"/>
        <w:tabs>
          <w:tab w:val="clear" w:pos="1440"/>
        </w:tabs>
        <w:rPr>
          <w:sz w:val="22"/>
          <w:szCs w:val="22"/>
        </w:rPr>
      </w:pPr>
    </w:p>
    <w:p w:rsidR="004A147C" w:rsidRPr="00B53FFB" w:rsidRDefault="004A147C" w:rsidP="00CE5850">
      <w:pPr>
        <w:pStyle w:val="Caption"/>
        <w:widowControl w:val="0"/>
        <w:spacing w:after="0"/>
        <w:jc w:val="center"/>
        <w:rPr>
          <w:sz w:val="22"/>
          <w:szCs w:val="22"/>
        </w:rPr>
      </w:pPr>
      <w:bookmarkStart w:id="5475" w:name="_Ref256606961"/>
      <w:bookmarkStart w:id="5476" w:name="_Ref256606958"/>
      <w:bookmarkStart w:id="5477" w:name="_Toc257295913"/>
      <w:r w:rsidRPr="00B53FFB">
        <w:rPr>
          <w:sz w:val="22"/>
          <w:szCs w:val="22"/>
        </w:rPr>
        <w:t xml:space="preserve">Map </w:t>
      </w:r>
      <w:r w:rsidR="0007014B" w:rsidRPr="00B53FFB">
        <w:rPr>
          <w:sz w:val="22"/>
          <w:szCs w:val="22"/>
        </w:rPr>
        <w:fldChar w:fldCharType="begin"/>
      </w:r>
      <w:r w:rsidRPr="00B53FFB">
        <w:rPr>
          <w:sz w:val="22"/>
          <w:szCs w:val="22"/>
        </w:rPr>
        <w:instrText xml:space="preserve"> SEQ Map \* ARABIC </w:instrText>
      </w:r>
      <w:r w:rsidR="0007014B" w:rsidRPr="00B53FFB">
        <w:rPr>
          <w:sz w:val="22"/>
          <w:szCs w:val="22"/>
        </w:rPr>
        <w:fldChar w:fldCharType="separate"/>
      </w:r>
      <w:r w:rsidR="00CA3AC6">
        <w:rPr>
          <w:noProof/>
          <w:sz w:val="22"/>
          <w:szCs w:val="22"/>
        </w:rPr>
        <w:t>5</w:t>
      </w:r>
      <w:r w:rsidR="0007014B" w:rsidRPr="00B53FFB">
        <w:rPr>
          <w:sz w:val="22"/>
          <w:szCs w:val="22"/>
        </w:rPr>
        <w:fldChar w:fldCharType="end"/>
      </w:r>
      <w:bookmarkEnd w:id="5475"/>
      <w:r w:rsidRPr="00B53FFB">
        <w:rPr>
          <w:sz w:val="22"/>
          <w:szCs w:val="22"/>
        </w:rPr>
        <w:br/>
        <w:t>County Density in the United States, 2010</w:t>
      </w:r>
      <w:r w:rsidRPr="00B53FFB">
        <w:rPr>
          <w:rStyle w:val="FootnoteReference"/>
          <w:b w:val="0"/>
          <w:szCs w:val="22"/>
        </w:rPr>
        <w:footnoteReference w:id="1182"/>
      </w:r>
      <w:bookmarkEnd w:id="5476"/>
      <w:bookmarkEnd w:id="5477"/>
    </w:p>
    <w:p w:rsidR="004A147C" w:rsidRPr="00B53FFB" w:rsidRDefault="00C81B24" w:rsidP="00CE5850">
      <w:pPr>
        <w:pStyle w:val="ParaNum"/>
        <w:tabs>
          <w:tab w:val="clear" w:pos="1440"/>
        </w:tabs>
        <w:ind w:firstLine="0"/>
        <w:jc w:val="center"/>
        <w:rPr>
          <w:rFonts w:ascii="Times New Roman Bold" w:hAnsi="Times New Roman Bold"/>
          <w:b/>
          <w:bCs/>
          <w:sz w:val="22"/>
          <w:szCs w:val="22"/>
        </w:rPr>
      </w:pPr>
      <w:r>
        <w:rPr>
          <w:b/>
          <w:noProof/>
          <w:sz w:val="22"/>
          <w:szCs w:val="22"/>
        </w:rPr>
        <w:drawing>
          <wp:inline distT="0" distB="0" distL="0" distR="0" wp14:anchorId="689BB866" wp14:editId="38FE21DB">
            <wp:extent cx="5934075" cy="4514850"/>
            <wp:effectExtent l="0" t="0" r="9525" b="0"/>
            <wp:docPr id="71" name="Picture 71" descr="County_Density_2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County_Density_2010"/>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934075" cy="4514850"/>
                    </a:xfrm>
                    <a:prstGeom prst="rect">
                      <a:avLst/>
                    </a:prstGeom>
                    <a:noFill/>
                    <a:ln>
                      <a:noFill/>
                    </a:ln>
                  </pic:spPr>
                </pic:pic>
              </a:graphicData>
            </a:graphic>
          </wp:inline>
        </w:drawing>
      </w:r>
    </w:p>
    <w:p w:rsidR="004A147C" w:rsidRPr="0080536A" w:rsidRDefault="004A147C" w:rsidP="00CE5850">
      <w:pPr>
        <w:pStyle w:val="Heading2"/>
        <w:keepNext w:val="0"/>
        <w:rPr>
          <w:rStyle w:val="Heading1Char1"/>
          <w:rFonts w:ascii="Times New Roman" w:hAnsi="Times New Roman"/>
          <w:b/>
          <w:caps w:val="0"/>
          <w:sz w:val="22"/>
        </w:rPr>
      </w:pPr>
      <w:bookmarkStart w:id="5478" w:name="_Toc331766370"/>
      <w:bookmarkStart w:id="5479" w:name="_Toc332119174"/>
      <w:bookmarkStart w:id="5480" w:name="_Toc334088842"/>
      <w:bookmarkStart w:id="5481" w:name="_Toc334089078"/>
      <w:bookmarkStart w:id="5482" w:name="_Toc334089237"/>
      <w:bookmarkStart w:id="5483" w:name="_Toc334089348"/>
      <w:bookmarkStart w:id="5484" w:name="_Toc334089512"/>
      <w:bookmarkStart w:id="5485" w:name="_Toc336268654"/>
      <w:bookmarkStart w:id="5486" w:name="_Toc336268762"/>
      <w:bookmarkStart w:id="5487" w:name="_Toc336268869"/>
      <w:bookmarkStart w:id="5488" w:name="_Toc336269083"/>
      <w:bookmarkStart w:id="5489" w:name="_Toc336269190"/>
      <w:bookmarkStart w:id="5490" w:name="_Toc336269558"/>
      <w:bookmarkStart w:id="5491" w:name="_Toc336269704"/>
      <w:bookmarkStart w:id="5492" w:name="_Toc336270117"/>
      <w:bookmarkStart w:id="5493" w:name="_Toc336271316"/>
      <w:bookmarkStart w:id="5494" w:name="_Toc337652034"/>
      <w:bookmarkStart w:id="5495" w:name="_Toc349577222"/>
      <w:bookmarkStart w:id="5496" w:name="_Toc349579314"/>
      <w:bookmarkStart w:id="5497" w:name="_Toc349580629"/>
      <w:bookmarkStart w:id="5498" w:name="_Toc349735037"/>
      <w:bookmarkStart w:id="5499" w:name="_Toc349742402"/>
      <w:bookmarkStart w:id="5500" w:name="_Toc285810463"/>
      <w:bookmarkStart w:id="5501" w:name="_Toc287257862"/>
      <w:bookmarkStart w:id="5502" w:name="_Toc291758737"/>
      <w:bookmarkStart w:id="5503" w:name="_Toc291758840"/>
      <w:bookmarkStart w:id="5504" w:name="_Toc295393020"/>
      <w:bookmarkStart w:id="5505" w:name="_Toc277864566"/>
      <w:bookmarkStart w:id="5506" w:name="_Toc277864782"/>
      <w:r w:rsidRPr="0080536A">
        <w:rPr>
          <w:rStyle w:val="Heading1Char1"/>
          <w:rFonts w:ascii="Times New Roman" w:hAnsi="Times New Roman"/>
          <w:b/>
          <w:caps w:val="0"/>
          <w:sz w:val="22"/>
        </w:rPr>
        <w:t>Mobile Wireless Coverage and Service Provision in Rural Areas</w:t>
      </w:r>
      <w:bookmarkEnd w:id="5478"/>
      <w:bookmarkEnd w:id="5479"/>
      <w:bookmarkEnd w:id="5480"/>
      <w:bookmarkEnd w:id="5481"/>
      <w:bookmarkEnd w:id="5482"/>
      <w:bookmarkEnd w:id="5483"/>
      <w:bookmarkEnd w:id="5484"/>
      <w:bookmarkEnd w:id="5485"/>
      <w:bookmarkEnd w:id="5486"/>
      <w:bookmarkEnd w:id="5487"/>
      <w:bookmarkEnd w:id="5488"/>
      <w:bookmarkEnd w:id="5489"/>
      <w:bookmarkEnd w:id="5490"/>
      <w:bookmarkEnd w:id="5491"/>
      <w:bookmarkEnd w:id="5492"/>
      <w:bookmarkEnd w:id="5493"/>
      <w:bookmarkEnd w:id="5494"/>
      <w:bookmarkEnd w:id="5495"/>
      <w:bookmarkEnd w:id="5496"/>
      <w:bookmarkEnd w:id="5497"/>
      <w:bookmarkEnd w:id="5498"/>
      <w:bookmarkEnd w:id="5499"/>
    </w:p>
    <w:p w:rsidR="004A147C" w:rsidRPr="00B53FFB" w:rsidRDefault="004A147C" w:rsidP="00CE5850">
      <w:pPr>
        <w:pStyle w:val="Heading3"/>
        <w:keepNext w:val="0"/>
        <w:numPr>
          <w:ilvl w:val="2"/>
          <w:numId w:val="26"/>
        </w:numPr>
        <w:tabs>
          <w:tab w:val="left" w:pos="2160"/>
        </w:tabs>
        <w:rPr>
          <w:sz w:val="22"/>
          <w:szCs w:val="22"/>
        </w:rPr>
      </w:pPr>
      <w:bookmarkStart w:id="5507" w:name="_Toc331766371"/>
      <w:bookmarkStart w:id="5508" w:name="_Toc332119175"/>
      <w:bookmarkStart w:id="5509" w:name="_Toc334088843"/>
      <w:bookmarkStart w:id="5510" w:name="_Toc334089079"/>
      <w:bookmarkStart w:id="5511" w:name="_Toc334089238"/>
      <w:bookmarkStart w:id="5512" w:name="_Toc334089349"/>
      <w:bookmarkStart w:id="5513" w:name="_Toc334089513"/>
      <w:bookmarkStart w:id="5514" w:name="_Toc336268655"/>
      <w:bookmarkStart w:id="5515" w:name="_Toc336268763"/>
      <w:bookmarkStart w:id="5516" w:name="_Toc336268870"/>
      <w:bookmarkStart w:id="5517" w:name="_Toc336269084"/>
      <w:bookmarkStart w:id="5518" w:name="_Toc336269191"/>
      <w:bookmarkStart w:id="5519" w:name="_Toc336269559"/>
      <w:bookmarkStart w:id="5520" w:name="_Toc336269705"/>
      <w:bookmarkStart w:id="5521" w:name="_Toc336270118"/>
      <w:bookmarkStart w:id="5522" w:name="_Toc336271317"/>
      <w:bookmarkStart w:id="5523" w:name="_Toc337652035"/>
      <w:bookmarkStart w:id="5524" w:name="_Toc349577223"/>
      <w:bookmarkStart w:id="5525" w:name="_Toc349579315"/>
      <w:bookmarkStart w:id="5526" w:name="_Toc349580630"/>
      <w:bookmarkStart w:id="5527" w:name="_Toc349735038"/>
      <w:bookmarkStart w:id="5528" w:name="_Toc349742403"/>
      <w:bookmarkStart w:id="5529" w:name="start_from_here"/>
      <w:r w:rsidRPr="00B53FFB">
        <w:rPr>
          <w:sz w:val="22"/>
          <w:szCs w:val="22"/>
        </w:rPr>
        <w:t>Mobile Voice Network Coverage</w:t>
      </w:r>
      <w:bookmarkEnd w:id="5507"/>
      <w:bookmarkEnd w:id="5508"/>
      <w:bookmarkEnd w:id="5509"/>
      <w:bookmarkEnd w:id="5510"/>
      <w:bookmarkEnd w:id="5511"/>
      <w:bookmarkEnd w:id="5512"/>
      <w:bookmarkEnd w:id="5513"/>
      <w:bookmarkEnd w:id="5514"/>
      <w:bookmarkEnd w:id="5515"/>
      <w:bookmarkEnd w:id="5516"/>
      <w:bookmarkEnd w:id="5517"/>
      <w:bookmarkEnd w:id="5518"/>
      <w:bookmarkEnd w:id="5519"/>
      <w:bookmarkEnd w:id="5520"/>
      <w:bookmarkEnd w:id="5521"/>
      <w:bookmarkEnd w:id="5522"/>
      <w:bookmarkEnd w:id="5523"/>
      <w:bookmarkEnd w:id="5524"/>
      <w:bookmarkEnd w:id="5525"/>
      <w:bookmarkEnd w:id="5526"/>
      <w:bookmarkEnd w:id="5527"/>
      <w:bookmarkEnd w:id="5528"/>
      <w:bookmarkEnd w:id="5529"/>
    </w:p>
    <w:p w:rsidR="004A147C" w:rsidRPr="0082414E" w:rsidRDefault="004A147C" w:rsidP="00CE5850">
      <w:pPr>
        <w:pStyle w:val="ParaNum"/>
        <w:numPr>
          <w:ilvl w:val="0"/>
          <w:numId w:val="28"/>
        </w:numPr>
        <w:rPr>
          <w:rStyle w:val="Heading1Char1"/>
          <w:rFonts w:ascii="Times New Roman" w:hAnsi="Times New Roman"/>
          <w:b w:val="0"/>
          <w:iCs/>
          <w:caps w:val="0"/>
          <w:sz w:val="22"/>
          <w:szCs w:val="22"/>
        </w:rPr>
      </w:pPr>
      <w:bookmarkStart w:id="5530" w:name="_Toc331766372"/>
      <w:bookmarkStart w:id="5531" w:name="_Toc332119176"/>
      <w:bookmarkStart w:id="5532" w:name="_Toc334088844"/>
      <w:bookmarkStart w:id="5533" w:name="_Toc334089080"/>
      <w:bookmarkStart w:id="5534" w:name="_Toc334089239"/>
      <w:bookmarkStart w:id="5535" w:name="_Toc334089350"/>
      <w:bookmarkStart w:id="5536" w:name="_Toc334089514"/>
      <w:bookmarkStart w:id="5537" w:name="_Toc336268656"/>
      <w:bookmarkStart w:id="5538" w:name="_Toc336268764"/>
      <w:bookmarkStart w:id="5539" w:name="_Toc336268871"/>
      <w:bookmarkStart w:id="5540" w:name="_Toc336269085"/>
      <w:bookmarkStart w:id="5541" w:name="_Toc336269192"/>
      <w:bookmarkStart w:id="5542" w:name="_Toc336269560"/>
      <w:bookmarkStart w:id="5543" w:name="_Toc336269706"/>
      <w:bookmarkStart w:id="5544" w:name="_Toc336270119"/>
      <w:bookmarkStart w:id="5545" w:name="_Toc336271318"/>
      <w:bookmarkStart w:id="5546" w:name="_Toc337652036"/>
      <w:bookmarkStart w:id="5547" w:name="_Toc349577224"/>
      <w:bookmarkStart w:id="5548" w:name="_Toc349579316"/>
      <w:bookmarkStart w:id="5549" w:name="_Toc349580631"/>
      <w:bookmarkStart w:id="5550" w:name="_Toc349735039"/>
      <w:bookmarkStart w:id="5551" w:name="_Toc349742404"/>
      <w:r w:rsidRPr="00B53FFB">
        <w:rPr>
          <w:rStyle w:val="Heading1Char1"/>
          <w:rFonts w:ascii="Times New Roman" w:hAnsi="Times New Roman"/>
          <w:b w:val="0"/>
          <w:iCs/>
          <w:caps w:val="0"/>
          <w:sz w:val="22"/>
          <w:szCs w:val="22"/>
        </w:rPr>
        <w:t>Using Mosaik data, we have analyzed mobile wireless network coverage in rural and non-rural census blocks.</w:t>
      </w:r>
      <w:bookmarkEnd w:id="5500"/>
      <w:bookmarkEnd w:id="5501"/>
      <w:bookmarkEnd w:id="5502"/>
      <w:bookmarkEnd w:id="5503"/>
      <w:bookmarkEnd w:id="5504"/>
      <w:bookmarkEnd w:id="5530"/>
      <w:bookmarkEnd w:id="5531"/>
      <w:bookmarkEnd w:id="5532"/>
      <w:bookmarkEnd w:id="5533"/>
      <w:bookmarkEnd w:id="5534"/>
      <w:bookmarkEnd w:id="5535"/>
      <w:bookmarkEnd w:id="5536"/>
      <w:bookmarkEnd w:id="5537"/>
      <w:bookmarkEnd w:id="5538"/>
      <w:bookmarkEnd w:id="5539"/>
      <w:bookmarkEnd w:id="5540"/>
      <w:bookmarkEnd w:id="5541"/>
      <w:bookmarkEnd w:id="5542"/>
      <w:bookmarkEnd w:id="5543"/>
      <w:bookmarkEnd w:id="5544"/>
      <w:bookmarkEnd w:id="5545"/>
      <w:bookmarkEnd w:id="5546"/>
      <w:bookmarkEnd w:id="5547"/>
      <w:bookmarkEnd w:id="5548"/>
      <w:bookmarkEnd w:id="5549"/>
      <w:bookmarkEnd w:id="5550"/>
      <w:bookmarkEnd w:id="5551"/>
      <w:r w:rsidRPr="00B53FFB">
        <w:rPr>
          <w:rStyle w:val="FootnoteReference"/>
          <w:iCs/>
          <w:szCs w:val="22"/>
        </w:rPr>
        <w:footnoteReference w:id="1183"/>
      </w:r>
      <w:r w:rsidRPr="00B53FFB">
        <w:rPr>
          <w:rStyle w:val="Heading1Char1"/>
          <w:rFonts w:ascii="Times New Roman" w:hAnsi="Times New Roman"/>
          <w:b w:val="0"/>
          <w:iCs/>
          <w:caps w:val="0"/>
          <w:sz w:val="22"/>
          <w:szCs w:val="22"/>
        </w:rPr>
        <w:t xml:space="preserve">  </w:t>
      </w:r>
      <w:r w:rsidRPr="00B53FFB">
        <w:rPr>
          <w:iCs/>
          <w:sz w:val="22"/>
          <w:szCs w:val="22"/>
        </w:rPr>
        <w:t>T</w:t>
      </w:r>
      <w:r w:rsidRPr="00B53FFB">
        <w:rPr>
          <w:sz w:val="22"/>
          <w:szCs w:val="22"/>
        </w:rPr>
        <w:t xml:space="preserve">hese estimates of coverage represent mobile network deployment and may not indicate the extent to which providers actually offer service in the covered areas or have customers residing in those areas.  </w:t>
      </w:r>
      <w:r w:rsidRPr="00B53FFB">
        <w:rPr>
          <w:iCs/>
          <w:sz w:val="22"/>
          <w:szCs w:val="22"/>
        </w:rPr>
        <w:t xml:space="preserve">While recognizing that this analysis likely overstates the coverage actually experienced by consumers because of limitations of the Mosaik data, we find that this analysis is useful because it provides a general baseline that can be compared over time across network types, technologies, and providers.  We present estimated coverage in terms of road miles in addition to population and square miles. </w:t>
      </w:r>
      <w:bookmarkStart w:id="5552" w:name="OLE_LINK13"/>
    </w:p>
    <w:p w:rsidR="004A147C" w:rsidRPr="0082414E" w:rsidRDefault="004A147C" w:rsidP="00CE5850">
      <w:pPr>
        <w:pStyle w:val="ParaNum"/>
        <w:numPr>
          <w:ilvl w:val="0"/>
          <w:numId w:val="28"/>
        </w:numPr>
        <w:rPr>
          <w:iCs/>
          <w:sz w:val="22"/>
          <w:szCs w:val="22"/>
        </w:rPr>
      </w:pPr>
      <w:bookmarkStart w:id="5553" w:name="_Toc349577225"/>
      <w:bookmarkStart w:id="5554" w:name="_Toc349579317"/>
      <w:bookmarkStart w:id="5555" w:name="_Toc349580632"/>
      <w:bookmarkStart w:id="5556" w:name="_Toc349735040"/>
      <w:bookmarkStart w:id="5557" w:name="_Toc349742405"/>
      <w:r w:rsidRPr="0082414E">
        <w:rPr>
          <w:rStyle w:val="Heading1Char1"/>
          <w:rFonts w:ascii="Times New Roman" w:hAnsi="Times New Roman"/>
          <w:b w:val="0"/>
          <w:iCs/>
          <w:caps w:val="0"/>
          <w:sz w:val="22"/>
          <w:szCs w:val="22"/>
        </w:rPr>
        <w:t>Tables 55-58 and Charts 46-47 below show that a larger percentage of the non-rural population is covered by a greater number of providers than the rural population.  As of October 2012, 99.3 percent of the U.S. rural population has coverage by at least one mobile voice provider, compared to nearly 100 percent of the population in non-rural areas.</w:t>
      </w:r>
      <w:bookmarkEnd w:id="5553"/>
      <w:bookmarkEnd w:id="5554"/>
      <w:bookmarkEnd w:id="5555"/>
      <w:bookmarkEnd w:id="5556"/>
      <w:bookmarkEnd w:id="5557"/>
      <w:r w:rsidRPr="0082414E">
        <w:rPr>
          <w:rStyle w:val="Heading1Char1"/>
          <w:rFonts w:ascii="Times New Roman" w:hAnsi="Times New Roman"/>
          <w:b w:val="0"/>
          <w:iCs/>
          <w:caps w:val="0"/>
          <w:sz w:val="22"/>
          <w:szCs w:val="22"/>
        </w:rPr>
        <w:t xml:space="preserve">  </w:t>
      </w:r>
      <w:r w:rsidRPr="0082414E">
        <w:rPr>
          <w:iCs/>
          <w:sz w:val="22"/>
          <w:szCs w:val="22"/>
        </w:rPr>
        <w:t xml:space="preserve">This is slightly higher than the 99.2 percent of the rural population covered by at least one provider as of July 2010, according to the </w:t>
      </w:r>
      <w:r w:rsidR="00EC5BB7">
        <w:rPr>
          <w:i/>
          <w:iCs/>
          <w:sz w:val="22"/>
          <w:szCs w:val="22"/>
        </w:rPr>
        <w:t>Fifteenth</w:t>
      </w:r>
      <w:r w:rsidRPr="0082414E">
        <w:rPr>
          <w:i/>
          <w:iCs/>
          <w:sz w:val="22"/>
          <w:szCs w:val="22"/>
        </w:rPr>
        <w:t xml:space="preserve"> Report</w:t>
      </w:r>
      <w:r w:rsidRPr="0082414E">
        <w:rPr>
          <w:iCs/>
          <w:sz w:val="22"/>
          <w:szCs w:val="22"/>
        </w:rPr>
        <w:t>.</w:t>
      </w:r>
      <w:r w:rsidRPr="0080536A">
        <w:rPr>
          <w:iCs/>
          <w:sz w:val="22"/>
          <w:szCs w:val="22"/>
          <w:vertAlign w:val="superscript"/>
        </w:rPr>
        <w:footnoteReference w:id="1184"/>
      </w:r>
      <w:r w:rsidRPr="0082414E">
        <w:rPr>
          <w:iCs/>
          <w:sz w:val="22"/>
          <w:szCs w:val="22"/>
        </w:rPr>
        <w:t xml:space="preserve">  </w:t>
      </w:r>
      <w:r w:rsidRPr="0082414E">
        <w:rPr>
          <w:rStyle w:val="Heading1Char1"/>
          <w:rFonts w:ascii="Times New Roman" w:hAnsi="Times New Roman"/>
          <w:b w:val="0"/>
          <w:iCs/>
          <w:caps w:val="0"/>
          <w:sz w:val="22"/>
          <w:szCs w:val="22"/>
        </w:rPr>
        <w:t>We note that just over 400,000 people in rural areas had no mobile wireless coverage, while approximately 58,000 in non-rural areas had no mobile wireless coverage as of October 2012.  The percentage of the rural population covered by at least two providers remained flat at just over 96 percent from July 2010 to October 2012, and was lower than the 99.9 percent of the non-rural population covered by at least two providers.</w:t>
      </w:r>
      <w:r w:rsidRPr="00B53FFB">
        <w:rPr>
          <w:rStyle w:val="Heading1Char1"/>
          <w:rFonts w:ascii="Times New Roman" w:hAnsi="Times New Roman"/>
          <w:b w:val="0"/>
          <w:iCs/>
          <w:caps w:val="0"/>
          <w:sz w:val="22"/>
          <w:szCs w:val="22"/>
          <w:vertAlign w:val="superscript"/>
        </w:rPr>
        <w:footnoteReference w:id="1185"/>
      </w:r>
      <w:r w:rsidRPr="0082414E">
        <w:rPr>
          <w:rStyle w:val="Heading1Char1"/>
          <w:rFonts w:ascii="Times New Roman" w:hAnsi="Times New Roman"/>
          <w:b w:val="0"/>
          <w:iCs/>
          <w:caps w:val="0"/>
          <w:sz w:val="22"/>
          <w:szCs w:val="22"/>
        </w:rPr>
        <w:t xml:space="preserve">  Further, 87 percent of the rural population was covered by at least three providers and 69 percent by at least four providers, compared to 99.5 percent and 98 percent, respectively, of the non-rural population. </w:t>
      </w:r>
      <w:bookmarkEnd w:id="5505"/>
      <w:bookmarkEnd w:id="5506"/>
      <w:r w:rsidRPr="0082414E">
        <w:rPr>
          <w:sz w:val="22"/>
          <w:szCs w:val="22"/>
        </w:rPr>
        <w:t xml:space="preserve"> In comparison, t</w:t>
      </w:r>
      <w:r w:rsidRPr="0082414E">
        <w:rPr>
          <w:iCs/>
          <w:sz w:val="22"/>
          <w:szCs w:val="22"/>
        </w:rPr>
        <w:t xml:space="preserve">he </w:t>
      </w:r>
      <w:r w:rsidR="00EC5BB7">
        <w:rPr>
          <w:i/>
          <w:iCs/>
          <w:sz w:val="22"/>
          <w:szCs w:val="22"/>
        </w:rPr>
        <w:t>Fifteenth</w:t>
      </w:r>
      <w:r w:rsidRPr="0082414E">
        <w:rPr>
          <w:i/>
          <w:iCs/>
          <w:sz w:val="22"/>
          <w:szCs w:val="22"/>
        </w:rPr>
        <w:t xml:space="preserve"> Report</w:t>
      </w:r>
      <w:r w:rsidRPr="0082414E">
        <w:rPr>
          <w:iCs/>
          <w:sz w:val="22"/>
          <w:szCs w:val="22"/>
        </w:rPr>
        <w:t xml:space="preserve"> indicates that, as of July 2010, 88.4 percent of the rural population was covered by at least three providers, and 77.4 percent by at least four providers.</w:t>
      </w:r>
      <w:r w:rsidRPr="0080536A">
        <w:rPr>
          <w:iCs/>
          <w:sz w:val="22"/>
          <w:szCs w:val="22"/>
          <w:vertAlign w:val="superscript"/>
        </w:rPr>
        <w:footnoteReference w:id="1186"/>
      </w:r>
      <w:r w:rsidRPr="0082414E">
        <w:rPr>
          <w:iCs/>
          <w:sz w:val="22"/>
          <w:szCs w:val="22"/>
        </w:rPr>
        <w:t xml:space="preserve"> </w:t>
      </w:r>
      <w:r w:rsidRPr="0082414E">
        <w:rPr>
          <w:sz w:val="22"/>
          <w:szCs w:val="22"/>
        </w:rPr>
        <w:t xml:space="preserve">   </w:t>
      </w:r>
    </w:p>
    <w:p w:rsidR="004A147C" w:rsidRDefault="004A147C" w:rsidP="00CE5850">
      <w:pPr>
        <w:pStyle w:val="ParaNum"/>
        <w:numPr>
          <w:ilvl w:val="0"/>
          <w:numId w:val="28"/>
        </w:numPr>
        <w:rPr>
          <w:sz w:val="22"/>
          <w:szCs w:val="22"/>
        </w:rPr>
      </w:pPr>
      <w:r w:rsidRPr="00B53FFB">
        <w:rPr>
          <w:sz w:val="22"/>
          <w:szCs w:val="22"/>
        </w:rPr>
        <w:t xml:space="preserve">As of </w:t>
      </w:r>
      <w:r>
        <w:rPr>
          <w:sz w:val="22"/>
          <w:szCs w:val="22"/>
        </w:rPr>
        <w:t>October</w:t>
      </w:r>
      <w:r w:rsidRPr="00B53FFB">
        <w:rPr>
          <w:sz w:val="22"/>
          <w:szCs w:val="22"/>
        </w:rPr>
        <w:t xml:space="preserve"> 2012, one or more providers cover 92.</w:t>
      </w:r>
      <w:r>
        <w:rPr>
          <w:sz w:val="22"/>
          <w:szCs w:val="22"/>
        </w:rPr>
        <w:t>6</w:t>
      </w:r>
      <w:r w:rsidRPr="00B53FFB">
        <w:rPr>
          <w:sz w:val="22"/>
          <w:szCs w:val="22"/>
        </w:rPr>
        <w:t xml:space="preserve"> percent of the rural road miles and 99.</w:t>
      </w:r>
      <w:r>
        <w:rPr>
          <w:sz w:val="22"/>
          <w:szCs w:val="22"/>
        </w:rPr>
        <w:t>2</w:t>
      </w:r>
      <w:r w:rsidRPr="00B53FFB">
        <w:rPr>
          <w:sz w:val="22"/>
          <w:szCs w:val="22"/>
        </w:rPr>
        <w:t xml:space="preserve"> percent of the non-rural road miles.</w:t>
      </w:r>
      <w:r>
        <w:rPr>
          <w:rStyle w:val="FootnoteReference"/>
          <w:szCs w:val="22"/>
        </w:rPr>
        <w:footnoteReference w:id="1187"/>
      </w:r>
      <w:r w:rsidRPr="00B53FFB">
        <w:rPr>
          <w:sz w:val="22"/>
          <w:szCs w:val="22"/>
        </w:rPr>
        <w:t xml:space="preserve">  The percentage of rural road miles covered by at least two providers is 81.</w:t>
      </w:r>
      <w:r>
        <w:rPr>
          <w:sz w:val="22"/>
          <w:szCs w:val="22"/>
        </w:rPr>
        <w:t>9</w:t>
      </w:r>
      <w:r w:rsidRPr="00B53FFB">
        <w:rPr>
          <w:sz w:val="22"/>
          <w:szCs w:val="22"/>
        </w:rPr>
        <w:t xml:space="preserve"> percent, while </w:t>
      </w:r>
      <w:r>
        <w:rPr>
          <w:sz w:val="22"/>
          <w:szCs w:val="22"/>
        </w:rPr>
        <w:t xml:space="preserve">97.8 </w:t>
      </w:r>
      <w:r w:rsidRPr="00B53FFB">
        <w:rPr>
          <w:sz w:val="22"/>
          <w:szCs w:val="22"/>
        </w:rPr>
        <w:t>percent of non-rural road miles are covered by at least two providers.  Finally, 61.</w:t>
      </w:r>
      <w:r>
        <w:rPr>
          <w:sz w:val="22"/>
          <w:szCs w:val="22"/>
        </w:rPr>
        <w:t>3</w:t>
      </w:r>
      <w:r w:rsidRPr="00B53FFB">
        <w:rPr>
          <w:sz w:val="22"/>
          <w:szCs w:val="22"/>
        </w:rPr>
        <w:t xml:space="preserve"> percent of rural road miles are covered by at least three providers and 39.</w:t>
      </w:r>
      <w:r>
        <w:rPr>
          <w:sz w:val="22"/>
          <w:szCs w:val="22"/>
        </w:rPr>
        <w:t>6 percent</w:t>
      </w:r>
      <w:r w:rsidRPr="00B53FFB">
        <w:rPr>
          <w:sz w:val="22"/>
          <w:szCs w:val="22"/>
        </w:rPr>
        <w:t xml:space="preserve"> by at least four providers</w:t>
      </w:r>
      <w:r>
        <w:rPr>
          <w:sz w:val="22"/>
          <w:szCs w:val="22"/>
        </w:rPr>
        <w:t>,</w:t>
      </w:r>
      <w:r w:rsidRPr="00B53FFB">
        <w:rPr>
          <w:sz w:val="22"/>
          <w:szCs w:val="22"/>
        </w:rPr>
        <w:t xml:space="preserve"> compared to 94.9 a</w:t>
      </w:r>
      <w:r>
        <w:rPr>
          <w:sz w:val="22"/>
          <w:szCs w:val="22"/>
        </w:rPr>
        <w:t xml:space="preserve">nd 88.1 percent, respectively, </w:t>
      </w:r>
      <w:r w:rsidRPr="00B53FFB">
        <w:rPr>
          <w:sz w:val="22"/>
          <w:szCs w:val="22"/>
        </w:rPr>
        <w:t xml:space="preserve">of non-rural road miles.  </w:t>
      </w:r>
      <w:bookmarkStart w:id="5558" w:name="_Ref255915597"/>
      <w:bookmarkStart w:id="5559" w:name="_Ref255915593"/>
      <w:bookmarkEnd w:id="5552"/>
    </w:p>
    <w:p w:rsidR="008F0E05" w:rsidRDefault="008F0E05" w:rsidP="008F0E05">
      <w:pPr>
        <w:pStyle w:val="ParaNum"/>
        <w:tabs>
          <w:tab w:val="clear" w:pos="1440"/>
        </w:tabs>
        <w:rPr>
          <w:sz w:val="22"/>
          <w:szCs w:val="22"/>
        </w:rPr>
      </w:pPr>
    </w:p>
    <w:p w:rsidR="008F0E05" w:rsidRDefault="008F0E05" w:rsidP="008F0E05">
      <w:pPr>
        <w:pStyle w:val="ParaNum"/>
        <w:tabs>
          <w:tab w:val="clear" w:pos="1440"/>
        </w:tabs>
        <w:rPr>
          <w:sz w:val="22"/>
          <w:szCs w:val="22"/>
        </w:rPr>
      </w:pPr>
    </w:p>
    <w:p w:rsidR="008F0E05" w:rsidRDefault="008F0E05" w:rsidP="008F0E05">
      <w:pPr>
        <w:pStyle w:val="ParaNum"/>
        <w:tabs>
          <w:tab w:val="clear" w:pos="1440"/>
        </w:tabs>
        <w:rPr>
          <w:sz w:val="22"/>
          <w:szCs w:val="22"/>
        </w:rPr>
      </w:pPr>
    </w:p>
    <w:p w:rsidR="008F0E05" w:rsidRDefault="008F0E05" w:rsidP="008F0E05">
      <w:pPr>
        <w:pStyle w:val="ParaNum"/>
        <w:tabs>
          <w:tab w:val="clear" w:pos="1440"/>
        </w:tabs>
        <w:rPr>
          <w:sz w:val="22"/>
          <w:szCs w:val="22"/>
        </w:rPr>
      </w:pPr>
    </w:p>
    <w:p w:rsidR="008F0E05" w:rsidRDefault="008F0E05" w:rsidP="008F0E05">
      <w:pPr>
        <w:pStyle w:val="ParaNum"/>
        <w:tabs>
          <w:tab w:val="clear" w:pos="1440"/>
        </w:tabs>
        <w:rPr>
          <w:sz w:val="22"/>
          <w:szCs w:val="22"/>
        </w:rPr>
      </w:pPr>
    </w:p>
    <w:p w:rsidR="008F0E05" w:rsidRDefault="008F0E05" w:rsidP="008F0E05">
      <w:pPr>
        <w:pStyle w:val="ParaNum"/>
        <w:tabs>
          <w:tab w:val="clear" w:pos="1440"/>
        </w:tabs>
        <w:rPr>
          <w:sz w:val="22"/>
          <w:szCs w:val="22"/>
        </w:rPr>
      </w:pPr>
    </w:p>
    <w:p w:rsidR="008F0E05" w:rsidRDefault="008F0E05" w:rsidP="008F0E05">
      <w:pPr>
        <w:pStyle w:val="ParaNum"/>
        <w:tabs>
          <w:tab w:val="clear" w:pos="1440"/>
        </w:tabs>
        <w:rPr>
          <w:sz w:val="22"/>
          <w:szCs w:val="22"/>
        </w:rPr>
      </w:pPr>
    </w:p>
    <w:p w:rsidR="008F0E05" w:rsidRDefault="008F0E05" w:rsidP="008F0E05">
      <w:pPr>
        <w:pStyle w:val="ParaNum"/>
        <w:tabs>
          <w:tab w:val="clear" w:pos="1440"/>
        </w:tabs>
        <w:rPr>
          <w:sz w:val="22"/>
          <w:szCs w:val="22"/>
        </w:rPr>
      </w:pPr>
    </w:p>
    <w:p w:rsidR="008F0E05" w:rsidRDefault="008F0E05" w:rsidP="008F0E05">
      <w:pPr>
        <w:pStyle w:val="ParaNum"/>
        <w:tabs>
          <w:tab w:val="clear" w:pos="1440"/>
        </w:tabs>
        <w:rPr>
          <w:sz w:val="22"/>
          <w:szCs w:val="22"/>
        </w:rPr>
      </w:pPr>
    </w:p>
    <w:p w:rsidR="008F0E05" w:rsidRDefault="008F0E05" w:rsidP="008F0E05">
      <w:pPr>
        <w:pStyle w:val="ParaNum"/>
        <w:tabs>
          <w:tab w:val="clear" w:pos="1440"/>
        </w:tabs>
        <w:rPr>
          <w:sz w:val="22"/>
          <w:szCs w:val="22"/>
        </w:rPr>
      </w:pPr>
    </w:p>
    <w:p w:rsidR="008F0E05" w:rsidRDefault="008F0E05" w:rsidP="008F0E05">
      <w:pPr>
        <w:pStyle w:val="ParaNum"/>
        <w:tabs>
          <w:tab w:val="clear" w:pos="1440"/>
        </w:tabs>
        <w:rPr>
          <w:sz w:val="22"/>
          <w:szCs w:val="22"/>
        </w:rPr>
      </w:pPr>
    </w:p>
    <w:p w:rsidR="008F0E05" w:rsidRDefault="008F0E05" w:rsidP="008F0E05">
      <w:pPr>
        <w:pStyle w:val="ParaNum"/>
        <w:tabs>
          <w:tab w:val="clear" w:pos="1440"/>
        </w:tabs>
        <w:rPr>
          <w:sz w:val="22"/>
          <w:szCs w:val="22"/>
        </w:rPr>
      </w:pPr>
    </w:p>
    <w:p w:rsidR="008F0E05" w:rsidRPr="008F0E05" w:rsidRDefault="008F0E05" w:rsidP="008F0E05">
      <w:pPr>
        <w:pStyle w:val="ParaNum"/>
        <w:tabs>
          <w:tab w:val="clear" w:pos="1440"/>
        </w:tabs>
        <w:rPr>
          <w:sz w:val="22"/>
          <w:szCs w:val="22"/>
        </w:rPr>
      </w:pPr>
    </w:p>
    <w:p w:rsidR="004A147C" w:rsidRPr="00B53FFB" w:rsidRDefault="004A147C" w:rsidP="00CE5850">
      <w:pPr>
        <w:pStyle w:val="Caption"/>
        <w:widowControl w:val="0"/>
        <w:jc w:val="center"/>
        <w:rPr>
          <w:sz w:val="22"/>
          <w:szCs w:val="22"/>
        </w:rPr>
      </w:pPr>
      <w:r w:rsidRPr="00B53FFB">
        <w:rPr>
          <w:sz w:val="22"/>
          <w:szCs w:val="22"/>
        </w:rPr>
        <w:t xml:space="preserve">Table </w:t>
      </w:r>
      <w:r w:rsidR="0007014B" w:rsidRPr="00B53FFB">
        <w:rPr>
          <w:sz w:val="22"/>
          <w:szCs w:val="22"/>
        </w:rPr>
        <w:fldChar w:fldCharType="begin"/>
      </w:r>
      <w:r w:rsidRPr="00B53FFB">
        <w:rPr>
          <w:sz w:val="22"/>
          <w:szCs w:val="22"/>
        </w:rPr>
        <w:instrText xml:space="preserve"> SEQ Table \* ARABIC </w:instrText>
      </w:r>
      <w:r w:rsidR="0007014B" w:rsidRPr="00B53FFB">
        <w:rPr>
          <w:sz w:val="22"/>
          <w:szCs w:val="22"/>
        </w:rPr>
        <w:fldChar w:fldCharType="separate"/>
      </w:r>
      <w:r w:rsidR="00CA3AC6">
        <w:rPr>
          <w:noProof/>
          <w:sz w:val="22"/>
          <w:szCs w:val="22"/>
        </w:rPr>
        <w:t>55</w:t>
      </w:r>
      <w:r w:rsidR="0007014B" w:rsidRPr="00B53FFB">
        <w:rPr>
          <w:sz w:val="22"/>
          <w:szCs w:val="22"/>
        </w:rPr>
        <w:fldChar w:fldCharType="end"/>
      </w:r>
      <w:r w:rsidRPr="00B53FFB">
        <w:rPr>
          <w:sz w:val="22"/>
          <w:szCs w:val="22"/>
        </w:rPr>
        <w:t xml:space="preserve"> </w:t>
      </w:r>
      <w:r w:rsidRPr="00B53FFB">
        <w:rPr>
          <w:sz w:val="22"/>
          <w:szCs w:val="22"/>
        </w:rPr>
        <w:br/>
        <w:t xml:space="preserve">Estimated Mobile Voice Coverage in </w:t>
      </w:r>
      <w:r w:rsidRPr="00E775D5">
        <w:rPr>
          <w:i/>
          <w:sz w:val="22"/>
          <w:szCs w:val="22"/>
        </w:rPr>
        <w:t>Rural Areas</w:t>
      </w:r>
      <w:r w:rsidRPr="00B53FFB">
        <w:rPr>
          <w:sz w:val="22"/>
          <w:szCs w:val="22"/>
        </w:rPr>
        <w:t xml:space="preserve"> by Census Block, Jan. 2012</w:t>
      </w:r>
      <w:r w:rsidRPr="00B53FFB">
        <w:rPr>
          <w:rStyle w:val="FootnoteReference"/>
          <w:b w:val="0"/>
          <w:szCs w:val="22"/>
        </w:rPr>
        <w:footnoteReference w:id="1188"/>
      </w:r>
    </w:p>
    <w:tbl>
      <w:tblPr>
        <w:tblW w:w="0" w:type="auto"/>
        <w:jc w:val="center"/>
        <w:tblInd w:w="-888"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left w:w="0" w:type="dxa"/>
          <w:right w:w="0" w:type="dxa"/>
        </w:tblCellMar>
        <w:tblLook w:val="00A0" w:firstRow="1" w:lastRow="0" w:firstColumn="1" w:lastColumn="0" w:noHBand="0" w:noVBand="0"/>
      </w:tblPr>
      <w:tblGrid>
        <w:gridCol w:w="1175"/>
        <w:gridCol w:w="1155"/>
        <w:gridCol w:w="1578"/>
        <w:gridCol w:w="902"/>
        <w:gridCol w:w="1199"/>
        <w:gridCol w:w="1196"/>
        <w:gridCol w:w="1170"/>
        <w:gridCol w:w="994"/>
      </w:tblGrid>
      <w:tr w:rsidR="004A147C" w:rsidRPr="00B53FFB" w:rsidTr="00A0412A">
        <w:trPr>
          <w:trHeight w:val="728"/>
          <w:jc w:val="center"/>
        </w:trPr>
        <w:tc>
          <w:tcPr>
            <w:tcW w:w="1175" w:type="dxa"/>
            <w:shd w:val="clear" w:color="auto" w:fill="F2DBDB"/>
            <w:tcMar>
              <w:top w:w="0" w:type="dxa"/>
              <w:left w:w="30" w:type="dxa"/>
              <w:bottom w:w="0" w:type="dxa"/>
              <w:right w:w="30" w:type="dxa"/>
            </w:tcMar>
          </w:tcPr>
          <w:p w:rsidR="004A147C" w:rsidRPr="00B53FFB" w:rsidRDefault="004A147C" w:rsidP="00CE5850">
            <w:pPr>
              <w:snapToGrid w:val="0"/>
              <w:jc w:val="center"/>
              <w:rPr>
                <w:b/>
                <w:iCs/>
                <w:sz w:val="20"/>
              </w:rPr>
            </w:pPr>
            <w:r w:rsidRPr="00B53FFB">
              <w:rPr>
                <w:b/>
                <w:iCs/>
                <w:sz w:val="20"/>
              </w:rPr>
              <w:t>Total Number of Providers with Coverage in a Block</w:t>
            </w:r>
          </w:p>
        </w:tc>
        <w:tc>
          <w:tcPr>
            <w:tcW w:w="1155" w:type="dxa"/>
            <w:shd w:val="clear" w:color="auto" w:fill="F2DBDB"/>
            <w:tcMar>
              <w:top w:w="0" w:type="dxa"/>
              <w:left w:w="30" w:type="dxa"/>
              <w:bottom w:w="0" w:type="dxa"/>
              <w:right w:w="30" w:type="dxa"/>
            </w:tcMar>
          </w:tcPr>
          <w:p w:rsidR="004A147C" w:rsidRPr="00B53FFB" w:rsidRDefault="004A147C" w:rsidP="00CE5850">
            <w:pPr>
              <w:snapToGrid w:val="0"/>
              <w:jc w:val="center"/>
              <w:rPr>
                <w:b/>
                <w:iCs/>
                <w:sz w:val="20"/>
              </w:rPr>
            </w:pPr>
            <w:r w:rsidRPr="00B53FFB">
              <w:rPr>
                <w:b/>
                <w:iCs/>
                <w:sz w:val="20"/>
              </w:rPr>
              <w:t>Number of Rural Census Blocks</w:t>
            </w:r>
          </w:p>
          <w:p w:rsidR="004A147C" w:rsidRPr="00B53FFB" w:rsidRDefault="004A147C" w:rsidP="00CE5850">
            <w:pPr>
              <w:snapToGrid w:val="0"/>
              <w:jc w:val="center"/>
              <w:rPr>
                <w:b/>
                <w:iCs/>
                <w:sz w:val="20"/>
              </w:rPr>
            </w:pPr>
            <w:r w:rsidRPr="00B53FFB">
              <w:rPr>
                <w:b/>
                <w:iCs/>
                <w:sz w:val="20"/>
              </w:rPr>
              <w:t>(Thousands)</w:t>
            </w:r>
          </w:p>
        </w:tc>
        <w:tc>
          <w:tcPr>
            <w:tcW w:w="1578" w:type="dxa"/>
            <w:shd w:val="clear" w:color="auto" w:fill="F2DBDB"/>
            <w:tcMar>
              <w:top w:w="0" w:type="dxa"/>
              <w:left w:w="30" w:type="dxa"/>
              <w:bottom w:w="0" w:type="dxa"/>
              <w:right w:w="30" w:type="dxa"/>
            </w:tcMar>
          </w:tcPr>
          <w:p w:rsidR="004A147C" w:rsidRPr="00B53FFB" w:rsidRDefault="004A147C" w:rsidP="00CE5850">
            <w:pPr>
              <w:snapToGrid w:val="0"/>
              <w:jc w:val="center"/>
              <w:rPr>
                <w:b/>
                <w:iCs/>
                <w:sz w:val="20"/>
              </w:rPr>
            </w:pPr>
            <w:r w:rsidRPr="00B53FFB">
              <w:rPr>
                <w:b/>
                <w:iCs/>
                <w:sz w:val="20"/>
              </w:rPr>
              <w:t xml:space="preserve">POPs Contained in Rural Census Blocks </w:t>
            </w:r>
          </w:p>
          <w:p w:rsidR="004A147C" w:rsidRPr="00B53FFB" w:rsidRDefault="004A147C" w:rsidP="00CE5850">
            <w:pPr>
              <w:snapToGrid w:val="0"/>
              <w:jc w:val="center"/>
              <w:rPr>
                <w:b/>
                <w:iCs/>
                <w:sz w:val="20"/>
              </w:rPr>
            </w:pPr>
            <w:r w:rsidRPr="00B53FFB">
              <w:rPr>
                <w:b/>
                <w:iCs/>
                <w:sz w:val="20"/>
              </w:rPr>
              <w:t>(Thousands)</w:t>
            </w:r>
          </w:p>
        </w:tc>
        <w:tc>
          <w:tcPr>
            <w:tcW w:w="902" w:type="dxa"/>
            <w:shd w:val="clear" w:color="auto" w:fill="F2DBDB"/>
            <w:tcMar>
              <w:top w:w="0" w:type="dxa"/>
              <w:left w:w="30" w:type="dxa"/>
              <w:bottom w:w="0" w:type="dxa"/>
              <w:right w:w="30" w:type="dxa"/>
            </w:tcMar>
          </w:tcPr>
          <w:p w:rsidR="004A147C" w:rsidRPr="00B53FFB" w:rsidRDefault="004A147C" w:rsidP="00CE5850">
            <w:pPr>
              <w:snapToGrid w:val="0"/>
              <w:jc w:val="center"/>
              <w:rPr>
                <w:b/>
                <w:iCs/>
                <w:sz w:val="20"/>
              </w:rPr>
            </w:pPr>
            <w:r w:rsidRPr="00B53FFB">
              <w:rPr>
                <w:b/>
                <w:iCs/>
                <w:sz w:val="20"/>
              </w:rPr>
              <w:t>% of Total U.S. POPs</w:t>
            </w:r>
          </w:p>
        </w:tc>
        <w:tc>
          <w:tcPr>
            <w:tcW w:w="1199" w:type="dxa"/>
            <w:shd w:val="clear" w:color="auto" w:fill="F2DBDB"/>
            <w:tcMar>
              <w:top w:w="0" w:type="dxa"/>
              <w:left w:w="30" w:type="dxa"/>
              <w:bottom w:w="0" w:type="dxa"/>
              <w:right w:w="30" w:type="dxa"/>
            </w:tcMar>
          </w:tcPr>
          <w:p w:rsidR="004A147C" w:rsidRPr="00B53FFB" w:rsidRDefault="004A147C" w:rsidP="00CE5850">
            <w:pPr>
              <w:snapToGrid w:val="0"/>
              <w:jc w:val="center"/>
              <w:rPr>
                <w:b/>
                <w:iCs/>
                <w:sz w:val="20"/>
              </w:rPr>
            </w:pPr>
            <w:r w:rsidRPr="00B53FFB">
              <w:rPr>
                <w:b/>
                <w:iCs/>
                <w:sz w:val="20"/>
              </w:rPr>
              <w:t>Square Miles Contained in Those Blocks</w:t>
            </w:r>
          </w:p>
          <w:p w:rsidR="004A147C" w:rsidRPr="00B53FFB" w:rsidRDefault="004A147C" w:rsidP="00CE5850">
            <w:pPr>
              <w:snapToGrid w:val="0"/>
              <w:jc w:val="center"/>
              <w:rPr>
                <w:b/>
                <w:iCs/>
                <w:sz w:val="20"/>
              </w:rPr>
            </w:pPr>
            <w:r w:rsidRPr="00B53FFB">
              <w:rPr>
                <w:b/>
                <w:iCs/>
                <w:sz w:val="20"/>
              </w:rPr>
              <w:t xml:space="preserve">(Thousands) </w:t>
            </w:r>
          </w:p>
        </w:tc>
        <w:tc>
          <w:tcPr>
            <w:tcW w:w="1196" w:type="dxa"/>
            <w:shd w:val="clear" w:color="auto" w:fill="F2DBDB"/>
            <w:tcMar>
              <w:top w:w="0" w:type="dxa"/>
              <w:left w:w="30" w:type="dxa"/>
              <w:bottom w:w="0" w:type="dxa"/>
              <w:right w:w="30" w:type="dxa"/>
            </w:tcMar>
          </w:tcPr>
          <w:p w:rsidR="004A147C" w:rsidRPr="00B53FFB" w:rsidRDefault="004A147C" w:rsidP="00CE5850">
            <w:pPr>
              <w:snapToGrid w:val="0"/>
              <w:jc w:val="center"/>
              <w:rPr>
                <w:b/>
                <w:iCs/>
                <w:sz w:val="20"/>
              </w:rPr>
            </w:pPr>
            <w:r w:rsidRPr="00B53FFB">
              <w:rPr>
                <w:b/>
                <w:iCs/>
                <w:sz w:val="20"/>
              </w:rPr>
              <w:t>% of Total U.S. Square Miles</w:t>
            </w:r>
          </w:p>
          <w:p w:rsidR="004A147C" w:rsidRPr="00B53FFB" w:rsidRDefault="004A147C" w:rsidP="00CE5850">
            <w:pPr>
              <w:snapToGrid w:val="0"/>
              <w:jc w:val="center"/>
              <w:rPr>
                <w:b/>
                <w:iCs/>
                <w:sz w:val="20"/>
              </w:rPr>
            </w:pPr>
            <w:r w:rsidRPr="00B53FFB">
              <w:rPr>
                <w:b/>
                <w:iCs/>
                <w:sz w:val="20"/>
              </w:rPr>
              <w:t>(Thousands)</w:t>
            </w:r>
          </w:p>
        </w:tc>
        <w:tc>
          <w:tcPr>
            <w:tcW w:w="1170" w:type="dxa"/>
            <w:shd w:val="clear" w:color="auto" w:fill="F2DBDB"/>
          </w:tcPr>
          <w:p w:rsidR="004A147C" w:rsidRPr="00B53FFB" w:rsidRDefault="004A147C" w:rsidP="00CE5850">
            <w:pPr>
              <w:snapToGrid w:val="0"/>
              <w:jc w:val="center"/>
              <w:rPr>
                <w:b/>
                <w:iCs/>
                <w:sz w:val="20"/>
              </w:rPr>
            </w:pPr>
            <w:r w:rsidRPr="00B53FFB">
              <w:rPr>
                <w:b/>
                <w:iCs/>
                <w:sz w:val="20"/>
              </w:rPr>
              <w:t>Road Miles Contained in Those Blocks (Thousands)</w:t>
            </w:r>
          </w:p>
        </w:tc>
        <w:tc>
          <w:tcPr>
            <w:tcW w:w="994" w:type="dxa"/>
            <w:shd w:val="clear" w:color="auto" w:fill="F2DBDB"/>
          </w:tcPr>
          <w:p w:rsidR="004A147C" w:rsidRPr="00B53FFB" w:rsidRDefault="004A147C" w:rsidP="00CE5850">
            <w:pPr>
              <w:snapToGrid w:val="0"/>
              <w:jc w:val="center"/>
              <w:rPr>
                <w:b/>
                <w:iCs/>
                <w:sz w:val="20"/>
              </w:rPr>
            </w:pPr>
            <w:r w:rsidRPr="00B53FFB">
              <w:rPr>
                <w:b/>
                <w:iCs/>
                <w:sz w:val="20"/>
              </w:rPr>
              <w:t>% of Total U.S. Road Miles</w:t>
            </w:r>
          </w:p>
        </w:tc>
      </w:tr>
      <w:tr w:rsidR="004A147C" w:rsidRPr="00B53FFB" w:rsidTr="00A0412A">
        <w:trPr>
          <w:trHeight w:val="287"/>
          <w:jc w:val="center"/>
        </w:trPr>
        <w:tc>
          <w:tcPr>
            <w:tcW w:w="1175" w:type="dxa"/>
            <w:shd w:val="clear" w:color="auto" w:fill="F2DBDB"/>
            <w:tcMar>
              <w:top w:w="0" w:type="dxa"/>
              <w:left w:w="30" w:type="dxa"/>
              <w:bottom w:w="0" w:type="dxa"/>
              <w:right w:w="30" w:type="dxa"/>
            </w:tcMar>
            <w:vAlign w:val="bottom"/>
          </w:tcPr>
          <w:p w:rsidR="004A147C" w:rsidRPr="00B53FFB" w:rsidRDefault="004A147C" w:rsidP="00CE5850">
            <w:pPr>
              <w:snapToGrid w:val="0"/>
              <w:rPr>
                <w:b/>
                <w:iCs/>
                <w:sz w:val="20"/>
              </w:rPr>
            </w:pPr>
            <w:r w:rsidRPr="00B53FFB">
              <w:rPr>
                <w:b/>
                <w:iCs/>
                <w:sz w:val="20"/>
              </w:rPr>
              <w:t>Total for Rural U.S.</w:t>
            </w:r>
          </w:p>
        </w:tc>
        <w:tc>
          <w:tcPr>
            <w:tcW w:w="1155" w:type="dxa"/>
            <w:shd w:val="clear" w:color="auto" w:fill="F2DBDB"/>
            <w:tcMar>
              <w:top w:w="0" w:type="dxa"/>
              <w:left w:w="30" w:type="dxa"/>
              <w:bottom w:w="0" w:type="dxa"/>
              <w:right w:w="30" w:type="dxa"/>
            </w:tcMar>
            <w:vAlign w:val="bottom"/>
          </w:tcPr>
          <w:p w:rsidR="004A147C" w:rsidRPr="00590295" w:rsidRDefault="004A147C" w:rsidP="00CE5850">
            <w:pPr>
              <w:snapToGrid w:val="0"/>
              <w:jc w:val="right"/>
              <w:rPr>
                <w:b/>
                <w:sz w:val="20"/>
              </w:rPr>
            </w:pPr>
            <w:r w:rsidRPr="00590295">
              <w:rPr>
                <w:b/>
                <w:sz w:val="20"/>
              </w:rPr>
              <w:t xml:space="preserve">        5,387 </w:t>
            </w:r>
          </w:p>
        </w:tc>
        <w:tc>
          <w:tcPr>
            <w:tcW w:w="1578" w:type="dxa"/>
            <w:shd w:val="clear" w:color="auto" w:fill="F2DBDB"/>
            <w:tcMar>
              <w:top w:w="0" w:type="dxa"/>
              <w:left w:w="30" w:type="dxa"/>
              <w:bottom w:w="0" w:type="dxa"/>
              <w:right w:w="30" w:type="dxa"/>
            </w:tcMar>
            <w:vAlign w:val="bottom"/>
          </w:tcPr>
          <w:p w:rsidR="004A147C" w:rsidRPr="00590295" w:rsidRDefault="004A147C" w:rsidP="00CE5850">
            <w:pPr>
              <w:snapToGrid w:val="0"/>
              <w:jc w:val="right"/>
              <w:rPr>
                <w:b/>
                <w:sz w:val="20"/>
              </w:rPr>
            </w:pPr>
            <w:r w:rsidRPr="00590295">
              <w:rPr>
                <w:b/>
                <w:sz w:val="20"/>
              </w:rPr>
              <w:t xml:space="preserve">       59,152 </w:t>
            </w:r>
          </w:p>
        </w:tc>
        <w:tc>
          <w:tcPr>
            <w:tcW w:w="902" w:type="dxa"/>
            <w:shd w:val="clear" w:color="auto" w:fill="F2DBDB"/>
            <w:tcMar>
              <w:top w:w="0" w:type="dxa"/>
              <w:left w:w="30" w:type="dxa"/>
              <w:bottom w:w="0" w:type="dxa"/>
              <w:right w:w="30" w:type="dxa"/>
            </w:tcMar>
            <w:vAlign w:val="bottom"/>
          </w:tcPr>
          <w:p w:rsidR="004A147C" w:rsidRPr="00590295" w:rsidRDefault="004A147C" w:rsidP="00CE5850">
            <w:pPr>
              <w:snapToGrid w:val="0"/>
              <w:jc w:val="right"/>
              <w:rPr>
                <w:b/>
                <w:sz w:val="20"/>
              </w:rPr>
            </w:pPr>
            <w:r w:rsidRPr="00590295">
              <w:rPr>
                <w:b/>
                <w:sz w:val="20"/>
              </w:rPr>
              <w:t>18.9%</w:t>
            </w:r>
          </w:p>
        </w:tc>
        <w:tc>
          <w:tcPr>
            <w:tcW w:w="1199" w:type="dxa"/>
            <w:shd w:val="clear" w:color="auto" w:fill="F2DBDB"/>
            <w:tcMar>
              <w:top w:w="0" w:type="dxa"/>
              <w:left w:w="30" w:type="dxa"/>
              <w:bottom w:w="0" w:type="dxa"/>
              <w:right w:w="30" w:type="dxa"/>
            </w:tcMar>
            <w:vAlign w:val="bottom"/>
          </w:tcPr>
          <w:p w:rsidR="004A147C" w:rsidRPr="00590295" w:rsidRDefault="004A147C" w:rsidP="00CE5850">
            <w:pPr>
              <w:snapToGrid w:val="0"/>
              <w:jc w:val="right"/>
              <w:rPr>
                <w:b/>
                <w:sz w:val="20"/>
              </w:rPr>
            </w:pPr>
            <w:r w:rsidRPr="00590295">
              <w:rPr>
                <w:b/>
                <w:sz w:val="20"/>
              </w:rPr>
              <w:t xml:space="preserve">         3,214 </w:t>
            </w:r>
          </w:p>
        </w:tc>
        <w:tc>
          <w:tcPr>
            <w:tcW w:w="1196" w:type="dxa"/>
            <w:shd w:val="clear" w:color="auto" w:fill="F2DBDB"/>
            <w:tcMar>
              <w:top w:w="0" w:type="dxa"/>
              <w:left w:w="30" w:type="dxa"/>
              <w:bottom w:w="0" w:type="dxa"/>
              <w:right w:w="30" w:type="dxa"/>
            </w:tcMar>
            <w:vAlign w:val="bottom"/>
          </w:tcPr>
          <w:p w:rsidR="004A147C" w:rsidRPr="00590295" w:rsidRDefault="004A147C" w:rsidP="00CE5850">
            <w:pPr>
              <w:snapToGrid w:val="0"/>
              <w:jc w:val="right"/>
              <w:rPr>
                <w:b/>
                <w:sz w:val="20"/>
              </w:rPr>
            </w:pPr>
            <w:r w:rsidRPr="00590295">
              <w:rPr>
                <w:b/>
                <w:sz w:val="20"/>
              </w:rPr>
              <w:t>84.5%</w:t>
            </w:r>
          </w:p>
        </w:tc>
        <w:tc>
          <w:tcPr>
            <w:tcW w:w="1170" w:type="dxa"/>
            <w:shd w:val="clear" w:color="auto" w:fill="F2DBDB"/>
            <w:vAlign w:val="bottom"/>
          </w:tcPr>
          <w:p w:rsidR="004A147C" w:rsidRPr="00590295" w:rsidRDefault="004A147C" w:rsidP="00CE5850">
            <w:pPr>
              <w:jc w:val="right"/>
              <w:rPr>
                <w:b/>
                <w:sz w:val="20"/>
              </w:rPr>
            </w:pPr>
            <w:r w:rsidRPr="00590295">
              <w:rPr>
                <w:b/>
                <w:sz w:val="20"/>
              </w:rPr>
              <w:t>4,591</w:t>
            </w:r>
          </w:p>
        </w:tc>
        <w:tc>
          <w:tcPr>
            <w:tcW w:w="994" w:type="dxa"/>
            <w:shd w:val="clear" w:color="auto" w:fill="F2DBDB"/>
            <w:vAlign w:val="bottom"/>
          </w:tcPr>
          <w:p w:rsidR="004A147C" w:rsidRPr="00590295" w:rsidRDefault="004A147C" w:rsidP="00CE5850">
            <w:pPr>
              <w:jc w:val="right"/>
              <w:rPr>
                <w:b/>
                <w:sz w:val="20"/>
              </w:rPr>
            </w:pPr>
            <w:r w:rsidRPr="00590295">
              <w:rPr>
                <w:b/>
                <w:sz w:val="20"/>
              </w:rPr>
              <w:t>67.3%</w:t>
            </w:r>
          </w:p>
        </w:tc>
      </w:tr>
      <w:tr w:rsidR="004A147C" w:rsidRPr="00B53FFB" w:rsidTr="00A0412A">
        <w:trPr>
          <w:trHeight w:val="1465"/>
          <w:jc w:val="center"/>
        </w:trPr>
        <w:tc>
          <w:tcPr>
            <w:tcW w:w="1175" w:type="dxa"/>
            <w:shd w:val="clear" w:color="auto" w:fill="F2DBDB"/>
            <w:tcMar>
              <w:top w:w="0" w:type="dxa"/>
              <w:left w:w="30" w:type="dxa"/>
              <w:bottom w:w="0" w:type="dxa"/>
              <w:right w:w="30" w:type="dxa"/>
            </w:tcMar>
            <w:vAlign w:val="bottom"/>
          </w:tcPr>
          <w:p w:rsidR="004A147C" w:rsidRPr="00B53FFB" w:rsidRDefault="004A147C" w:rsidP="00CE5850">
            <w:pPr>
              <w:snapToGrid w:val="0"/>
              <w:rPr>
                <w:sz w:val="20"/>
              </w:rPr>
            </w:pPr>
          </w:p>
        </w:tc>
        <w:tc>
          <w:tcPr>
            <w:tcW w:w="1155" w:type="dxa"/>
            <w:shd w:val="clear" w:color="auto" w:fill="F2DBDB"/>
            <w:tcMar>
              <w:top w:w="0" w:type="dxa"/>
              <w:left w:w="30" w:type="dxa"/>
              <w:bottom w:w="0" w:type="dxa"/>
              <w:right w:w="30" w:type="dxa"/>
            </w:tcMar>
            <w:vAlign w:val="bottom"/>
          </w:tcPr>
          <w:p w:rsidR="004A147C" w:rsidRPr="00B53FFB" w:rsidRDefault="004A147C" w:rsidP="00CE5850">
            <w:pPr>
              <w:snapToGrid w:val="0"/>
              <w:jc w:val="right"/>
              <w:rPr>
                <w:sz w:val="20"/>
              </w:rPr>
            </w:pPr>
          </w:p>
        </w:tc>
        <w:tc>
          <w:tcPr>
            <w:tcW w:w="1578" w:type="dxa"/>
            <w:shd w:val="clear" w:color="auto" w:fill="F2DBDB"/>
            <w:tcMar>
              <w:top w:w="0" w:type="dxa"/>
              <w:left w:w="30" w:type="dxa"/>
              <w:bottom w:w="0" w:type="dxa"/>
              <w:right w:w="30" w:type="dxa"/>
            </w:tcMar>
            <w:vAlign w:val="bottom"/>
          </w:tcPr>
          <w:p w:rsidR="004A147C" w:rsidRPr="00B53FFB" w:rsidRDefault="004A147C" w:rsidP="00CE5850">
            <w:pPr>
              <w:snapToGrid w:val="0"/>
              <w:ind w:firstLine="200"/>
              <w:jc w:val="right"/>
              <w:rPr>
                <w:i/>
                <w:iCs/>
                <w:sz w:val="20"/>
              </w:rPr>
            </w:pPr>
          </w:p>
        </w:tc>
        <w:tc>
          <w:tcPr>
            <w:tcW w:w="902" w:type="dxa"/>
            <w:shd w:val="clear" w:color="auto" w:fill="F2DBDB"/>
            <w:tcMar>
              <w:top w:w="0" w:type="dxa"/>
              <w:left w:w="30" w:type="dxa"/>
              <w:bottom w:w="0" w:type="dxa"/>
              <w:right w:w="30" w:type="dxa"/>
            </w:tcMar>
          </w:tcPr>
          <w:p w:rsidR="004A147C" w:rsidRPr="00B53FFB" w:rsidRDefault="004A147C" w:rsidP="00CE5850">
            <w:pPr>
              <w:snapToGrid w:val="0"/>
              <w:spacing w:before="120"/>
              <w:jc w:val="center"/>
              <w:rPr>
                <w:b/>
                <w:iCs/>
                <w:sz w:val="20"/>
              </w:rPr>
            </w:pPr>
            <w:r w:rsidRPr="00B53FFB">
              <w:rPr>
                <w:b/>
                <w:iCs/>
                <w:sz w:val="20"/>
              </w:rPr>
              <w:t>% of Total Rural U.S. POPs</w:t>
            </w:r>
          </w:p>
        </w:tc>
        <w:tc>
          <w:tcPr>
            <w:tcW w:w="1199" w:type="dxa"/>
            <w:shd w:val="clear" w:color="auto" w:fill="F2DBDB"/>
            <w:tcMar>
              <w:top w:w="0" w:type="dxa"/>
              <w:left w:w="30" w:type="dxa"/>
              <w:bottom w:w="0" w:type="dxa"/>
              <w:right w:w="30" w:type="dxa"/>
            </w:tcMar>
            <w:vAlign w:val="bottom"/>
          </w:tcPr>
          <w:p w:rsidR="004A147C" w:rsidRPr="00B53FFB" w:rsidRDefault="004A147C" w:rsidP="00CE5850">
            <w:pPr>
              <w:snapToGrid w:val="0"/>
              <w:ind w:firstLine="400"/>
              <w:jc w:val="right"/>
              <w:rPr>
                <w:b/>
                <w:iCs/>
                <w:sz w:val="20"/>
              </w:rPr>
            </w:pPr>
          </w:p>
        </w:tc>
        <w:tc>
          <w:tcPr>
            <w:tcW w:w="1196" w:type="dxa"/>
            <w:shd w:val="clear" w:color="auto" w:fill="F2DBDB"/>
            <w:tcMar>
              <w:top w:w="0" w:type="dxa"/>
              <w:left w:w="30" w:type="dxa"/>
              <w:bottom w:w="0" w:type="dxa"/>
              <w:right w:w="30" w:type="dxa"/>
            </w:tcMar>
          </w:tcPr>
          <w:p w:rsidR="004A147C" w:rsidRPr="00B53FFB" w:rsidRDefault="004A147C" w:rsidP="00CE5850">
            <w:pPr>
              <w:snapToGrid w:val="0"/>
              <w:jc w:val="center"/>
              <w:rPr>
                <w:b/>
                <w:iCs/>
                <w:sz w:val="20"/>
              </w:rPr>
            </w:pPr>
            <w:r w:rsidRPr="00B53FFB">
              <w:rPr>
                <w:b/>
                <w:iCs/>
                <w:sz w:val="20"/>
              </w:rPr>
              <w:t>% of Total Rural U.S. Square Miles</w:t>
            </w:r>
          </w:p>
        </w:tc>
        <w:tc>
          <w:tcPr>
            <w:tcW w:w="1170" w:type="dxa"/>
            <w:shd w:val="clear" w:color="auto" w:fill="F2DBDB"/>
            <w:vAlign w:val="center"/>
          </w:tcPr>
          <w:p w:rsidR="004A147C" w:rsidRPr="00B53FFB" w:rsidRDefault="004A147C" w:rsidP="00CE5850">
            <w:pPr>
              <w:jc w:val="right"/>
              <w:rPr>
                <w:b/>
                <w:sz w:val="20"/>
              </w:rPr>
            </w:pPr>
          </w:p>
        </w:tc>
        <w:tc>
          <w:tcPr>
            <w:tcW w:w="994" w:type="dxa"/>
            <w:shd w:val="clear" w:color="auto" w:fill="F2DBDB"/>
          </w:tcPr>
          <w:p w:rsidR="004A147C" w:rsidRPr="00B53FFB" w:rsidRDefault="004A147C" w:rsidP="00CE5850">
            <w:pPr>
              <w:jc w:val="center"/>
              <w:rPr>
                <w:b/>
                <w:sz w:val="20"/>
              </w:rPr>
            </w:pPr>
            <w:r w:rsidRPr="00B53FFB">
              <w:rPr>
                <w:b/>
                <w:sz w:val="20"/>
              </w:rPr>
              <w:t>% of Total Rural U.S. Road Miles</w:t>
            </w:r>
          </w:p>
        </w:tc>
      </w:tr>
      <w:tr w:rsidR="004A147C" w:rsidRPr="00B53FFB" w:rsidTr="00A0412A">
        <w:trPr>
          <w:trHeight w:val="250"/>
          <w:jc w:val="center"/>
        </w:trPr>
        <w:tc>
          <w:tcPr>
            <w:tcW w:w="1175" w:type="dxa"/>
            <w:shd w:val="clear" w:color="auto" w:fill="F2DBDB"/>
            <w:tcMar>
              <w:top w:w="0" w:type="dxa"/>
              <w:left w:w="30" w:type="dxa"/>
              <w:bottom w:w="0" w:type="dxa"/>
              <w:right w:w="30" w:type="dxa"/>
            </w:tcMar>
            <w:vAlign w:val="bottom"/>
          </w:tcPr>
          <w:p w:rsidR="004A147C" w:rsidRPr="00B53FFB" w:rsidRDefault="004A147C" w:rsidP="00CE5850">
            <w:pPr>
              <w:snapToGrid w:val="0"/>
              <w:rPr>
                <w:sz w:val="20"/>
              </w:rPr>
            </w:pPr>
            <w:r w:rsidRPr="00B53FFB">
              <w:rPr>
                <w:sz w:val="20"/>
              </w:rPr>
              <w:t>1 or More</w:t>
            </w:r>
          </w:p>
        </w:tc>
        <w:tc>
          <w:tcPr>
            <w:tcW w:w="1155" w:type="dxa"/>
            <w:shd w:val="clear" w:color="auto" w:fill="F2DBDB"/>
            <w:tcMar>
              <w:top w:w="0" w:type="dxa"/>
              <w:left w:w="30" w:type="dxa"/>
              <w:bottom w:w="0" w:type="dxa"/>
              <w:right w:w="30" w:type="dxa"/>
            </w:tcMar>
            <w:vAlign w:val="bottom"/>
          </w:tcPr>
          <w:p w:rsidR="004A147C" w:rsidRPr="00B53FFB" w:rsidRDefault="004A147C" w:rsidP="00CE5850">
            <w:pPr>
              <w:snapToGrid w:val="0"/>
              <w:jc w:val="right"/>
              <w:rPr>
                <w:sz w:val="20"/>
              </w:rPr>
            </w:pPr>
            <w:r w:rsidRPr="00B53FFB">
              <w:rPr>
                <w:sz w:val="20"/>
              </w:rPr>
              <w:t xml:space="preserve">5,160 </w:t>
            </w:r>
          </w:p>
        </w:tc>
        <w:tc>
          <w:tcPr>
            <w:tcW w:w="1578" w:type="dxa"/>
            <w:shd w:val="clear" w:color="auto" w:fill="F2DBDB"/>
            <w:tcMar>
              <w:top w:w="0" w:type="dxa"/>
              <w:left w:w="30" w:type="dxa"/>
              <w:bottom w:w="0" w:type="dxa"/>
              <w:right w:w="30" w:type="dxa"/>
            </w:tcMar>
            <w:vAlign w:val="bottom"/>
          </w:tcPr>
          <w:p w:rsidR="004A147C" w:rsidRPr="00B53FFB" w:rsidRDefault="004A147C" w:rsidP="00CE5850">
            <w:pPr>
              <w:snapToGrid w:val="0"/>
              <w:jc w:val="right"/>
              <w:rPr>
                <w:sz w:val="20"/>
              </w:rPr>
            </w:pPr>
            <w:r w:rsidRPr="00B53FFB">
              <w:rPr>
                <w:sz w:val="20"/>
              </w:rPr>
              <w:t xml:space="preserve">58,717 </w:t>
            </w:r>
          </w:p>
        </w:tc>
        <w:tc>
          <w:tcPr>
            <w:tcW w:w="902" w:type="dxa"/>
            <w:shd w:val="clear" w:color="auto" w:fill="F2DBDB"/>
            <w:tcMar>
              <w:top w:w="0" w:type="dxa"/>
              <w:left w:w="30" w:type="dxa"/>
              <w:bottom w:w="0" w:type="dxa"/>
              <w:right w:w="30" w:type="dxa"/>
            </w:tcMar>
            <w:vAlign w:val="bottom"/>
          </w:tcPr>
          <w:p w:rsidR="004A147C" w:rsidRPr="00B53FFB" w:rsidRDefault="004A147C" w:rsidP="00CE5850">
            <w:pPr>
              <w:snapToGrid w:val="0"/>
              <w:jc w:val="right"/>
              <w:rPr>
                <w:sz w:val="20"/>
              </w:rPr>
            </w:pPr>
            <w:r w:rsidRPr="00B53FFB">
              <w:rPr>
                <w:sz w:val="20"/>
              </w:rPr>
              <w:t>99.3%</w:t>
            </w:r>
          </w:p>
        </w:tc>
        <w:tc>
          <w:tcPr>
            <w:tcW w:w="1199" w:type="dxa"/>
            <w:shd w:val="clear" w:color="auto" w:fill="F2DBDB"/>
            <w:tcMar>
              <w:top w:w="0" w:type="dxa"/>
              <w:left w:w="30" w:type="dxa"/>
              <w:bottom w:w="0" w:type="dxa"/>
              <w:right w:w="30" w:type="dxa"/>
            </w:tcMar>
            <w:vAlign w:val="bottom"/>
          </w:tcPr>
          <w:p w:rsidR="004A147C" w:rsidRPr="00B53FFB" w:rsidRDefault="004A147C" w:rsidP="00CE5850">
            <w:pPr>
              <w:snapToGrid w:val="0"/>
              <w:jc w:val="right"/>
              <w:rPr>
                <w:sz w:val="20"/>
              </w:rPr>
            </w:pPr>
            <w:r w:rsidRPr="00B53FFB">
              <w:rPr>
                <w:sz w:val="20"/>
              </w:rPr>
              <w:t xml:space="preserve">2,237 </w:t>
            </w:r>
          </w:p>
        </w:tc>
        <w:tc>
          <w:tcPr>
            <w:tcW w:w="1196" w:type="dxa"/>
            <w:shd w:val="clear" w:color="auto" w:fill="F2DBDB"/>
            <w:tcMar>
              <w:top w:w="0" w:type="dxa"/>
              <w:left w:w="30" w:type="dxa"/>
              <w:bottom w:w="0" w:type="dxa"/>
              <w:right w:w="30" w:type="dxa"/>
            </w:tcMar>
            <w:vAlign w:val="bottom"/>
          </w:tcPr>
          <w:p w:rsidR="004A147C" w:rsidRPr="00B53FFB" w:rsidRDefault="004A147C" w:rsidP="00CE5850">
            <w:pPr>
              <w:snapToGrid w:val="0"/>
              <w:jc w:val="right"/>
              <w:rPr>
                <w:sz w:val="20"/>
              </w:rPr>
            </w:pPr>
            <w:r w:rsidRPr="00B53FFB">
              <w:rPr>
                <w:sz w:val="20"/>
              </w:rPr>
              <w:t>69.6%</w:t>
            </w:r>
          </w:p>
        </w:tc>
        <w:tc>
          <w:tcPr>
            <w:tcW w:w="1170" w:type="dxa"/>
            <w:shd w:val="clear" w:color="auto" w:fill="F2DBDB"/>
            <w:vAlign w:val="center"/>
          </w:tcPr>
          <w:p w:rsidR="004A147C" w:rsidRPr="00B53FFB" w:rsidRDefault="004A147C" w:rsidP="00CE5850">
            <w:pPr>
              <w:jc w:val="right"/>
              <w:rPr>
                <w:sz w:val="20"/>
              </w:rPr>
            </w:pPr>
            <w:r w:rsidRPr="00B53FFB">
              <w:rPr>
                <w:sz w:val="20"/>
              </w:rPr>
              <w:t>4,248</w:t>
            </w:r>
          </w:p>
        </w:tc>
        <w:tc>
          <w:tcPr>
            <w:tcW w:w="994" w:type="dxa"/>
            <w:shd w:val="clear" w:color="auto" w:fill="F2DBDB"/>
            <w:vAlign w:val="center"/>
          </w:tcPr>
          <w:p w:rsidR="004A147C" w:rsidRPr="00B53FFB" w:rsidRDefault="004A147C" w:rsidP="00CE5850">
            <w:pPr>
              <w:jc w:val="right"/>
              <w:rPr>
                <w:sz w:val="20"/>
              </w:rPr>
            </w:pPr>
            <w:r w:rsidRPr="00B53FFB">
              <w:rPr>
                <w:sz w:val="20"/>
              </w:rPr>
              <w:t>92.5%</w:t>
            </w:r>
          </w:p>
        </w:tc>
      </w:tr>
      <w:tr w:rsidR="004A147C" w:rsidRPr="00B53FFB" w:rsidTr="00A0412A">
        <w:trPr>
          <w:trHeight w:val="250"/>
          <w:jc w:val="center"/>
        </w:trPr>
        <w:tc>
          <w:tcPr>
            <w:tcW w:w="1175" w:type="dxa"/>
            <w:shd w:val="clear" w:color="auto" w:fill="F2DBDB"/>
            <w:tcMar>
              <w:top w:w="0" w:type="dxa"/>
              <w:left w:w="30" w:type="dxa"/>
              <w:bottom w:w="0" w:type="dxa"/>
              <w:right w:w="30" w:type="dxa"/>
            </w:tcMar>
            <w:vAlign w:val="bottom"/>
          </w:tcPr>
          <w:p w:rsidR="004A147C" w:rsidRPr="00B53FFB" w:rsidRDefault="004A147C" w:rsidP="00CE5850">
            <w:pPr>
              <w:snapToGrid w:val="0"/>
              <w:rPr>
                <w:sz w:val="20"/>
              </w:rPr>
            </w:pPr>
            <w:r w:rsidRPr="00B53FFB">
              <w:rPr>
                <w:sz w:val="20"/>
              </w:rPr>
              <w:t>2 or More</w:t>
            </w:r>
          </w:p>
        </w:tc>
        <w:tc>
          <w:tcPr>
            <w:tcW w:w="1155" w:type="dxa"/>
            <w:shd w:val="clear" w:color="auto" w:fill="F2DBDB"/>
            <w:tcMar>
              <w:top w:w="0" w:type="dxa"/>
              <w:left w:w="30" w:type="dxa"/>
              <w:bottom w:w="0" w:type="dxa"/>
              <w:right w:w="30" w:type="dxa"/>
            </w:tcMar>
            <w:vAlign w:val="bottom"/>
          </w:tcPr>
          <w:p w:rsidR="004A147C" w:rsidRPr="00B53FFB" w:rsidRDefault="004A147C" w:rsidP="00CE5850">
            <w:pPr>
              <w:snapToGrid w:val="0"/>
              <w:jc w:val="right"/>
              <w:rPr>
                <w:sz w:val="20"/>
              </w:rPr>
            </w:pPr>
            <w:r w:rsidRPr="00B53FFB">
              <w:rPr>
                <w:sz w:val="20"/>
              </w:rPr>
              <w:t>        4,807</w:t>
            </w:r>
          </w:p>
        </w:tc>
        <w:tc>
          <w:tcPr>
            <w:tcW w:w="1578" w:type="dxa"/>
            <w:shd w:val="clear" w:color="auto" w:fill="F2DBDB"/>
            <w:tcMar>
              <w:top w:w="0" w:type="dxa"/>
              <w:left w:w="30" w:type="dxa"/>
              <w:bottom w:w="0" w:type="dxa"/>
              <w:right w:w="30" w:type="dxa"/>
            </w:tcMar>
            <w:vAlign w:val="bottom"/>
          </w:tcPr>
          <w:p w:rsidR="004A147C" w:rsidRPr="00B53FFB" w:rsidRDefault="004A147C" w:rsidP="00CE5850">
            <w:pPr>
              <w:snapToGrid w:val="0"/>
              <w:jc w:val="right"/>
              <w:rPr>
                <w:sz w:val="20"/>
              </w:rPr>
            </w:pPr>
            <w:r w:rsidRPr="00B53FFB">
              <w:rPr>
                <w:sz w:val="20"/>
              </w:rPr>
              <w:t>          57,187</w:t>
            </w:r>
          </w:p>
        </w:tc>
        <w:tc>
          <w:tcPr>
            <w:tcW w:w="902" w:type="dxa"/>
            <w:shd w:val="clear" w:color="auto" w:fill="F2DBDB"/>
            <w:tcMar>
              <w:top w:w="0" w:type="dxa"/>
              <w:left w:w="30" w:type="dxa"/>
              <w:bottom w:w="0" w:type="dxa"/>
              <w:right w:w="30" w:type="dxa"/>
            </w:tcMar>
            <w:vAlign w:val="bottom"/>
          </w:tcPr>
          <w:p w:rsidR="004A147C" w:rsidRPr="00B53FFB" w:rsidRDefault="004A147C" w:rsidP="00CE5850">
            <w:pPr>
              <w:snapToGrid w:val="0"/>
              <w:jc w:val="right"/>
              <w:rPr>
                <w:sz w:val="20"/>
              </w:rPr>
            </w:pPr>
            <w:r w:rsidRPr="00B53FFB">
              <w:rPr>
                <w:sz w:val="20"/>
              </w:rPr>
              <w:t>96.7%</w:t>
            </w:r>
          </w:p>
        </w:tc>
        <w:tc>
          <w:tcPr>
            <w:tcW w:w="1199" w:type="dxa"/>
            <w:shd w:val="clear" w:color="auto" w:fill="F2DBDB"/>
            <w:tcMar>
              <w:top w:w="0" w:type="dxa"/>
              <w:left w:w="30" w:type="dxa"/>
              <w:bottom w:w="0" w:type="dxa"/>
              <w:right w:w="30" w:type="dxa"/>
            </w:tcMar>
            <w:vAlign w:val="bottom"/>
          </w:tcPr>
          <w:p w:rsidR="004A147C" w:rsidRPr="00B53FFB" w:rsidRDefault="004A147C" w:rsidP="00CE5850">
            <w:pPr>
              <w:snapToGrid w:val="0"/>
              <w:jc w:val="right"/>
              <w:rPr>
                <w:sz w:val="20"/>
              </w:rPr>
            </w:pPr>
            <w:r w:rsidRPr="00B53FFB">
              <w:rPr>
                <w:sz w:val="20"/>
              </w:rPr>
              <w:t xml:space="preserve">            1,831 </w:t>
            </w:r>
          </w:p>
        </w:tc>
        <w:tc>
          <w:tcPr>
            <w:tcW w:w="1196" w:type="dxa"/>
            <w:shd w:val="clear" w:color="auto" w:fill="F2DBDB"/>
            <w:tcMar>
              <w:top w:w="0" w:type="dxa"/>
              <w:left w:w="30" w:type="dxa"/>
              <w:bottom w:w="0" w:type="dxa"/>
              <w:right w:w="30" w:type="dxa"/>
            </w:tcMar>
            <w:vAlign w:val="bottom"/>
          </w:tcPr>
          <w:p w:rsidR="004A147C" w:rsidRPr="00B53FFB" w:rsidRDefault="004A147C" w:rsidP="00CE5850">
            <w:pPr>
              <w:snapToGrid w:val="0"/>
              <w:jc w:val="right"/>
              <w:rPr>
                <w:sz w:val="20"/>
              </w:rPr>
            </w:pPr>
            <w:r w:rsidRPr="00B53FFB">
              <w:rPr>
                <w:sz w:val="20"/>
              </w:rPr>
              <w:t>57.0%</w:t>
            </w:r>
          </w:p>
        </w:tc>
        <w:tc>
          <w:tcPr>
            <w:tcW w:w="1170" w:type="dxa"/>
            <w:shd w:val="clear" w:color="auto" w:fill="F2DBDB"/>
            <w:vAlign w:val="center"/>
          </w:tcPr>
          <w:p w:rsidR="004A147C" w:rsidRPr="00B53FFB" w:rsidRDefault="004A147C" w:rsidP="00CE5850">
            <w:pPr>
              <w:jc w:val="right"/>
              <w:rPr>
                <w:sz w:val="20"/>
              </w:rPr>
            </w:pPr>
            <w:r w:rsidRPr="00B53FFB">
              <w:rPr>
                <w:sz w:val="20"/>
              </w:rPr>
              <w:t>3,748</w:t>
            </w:r>
          </w:p>
        </w:tc>
        <w:tc>
          <w:tcPr>
            <w:tcW w:w="994" w:type="dxa"/>
            <w:shd w:val="clear" w:color="auto" w:fill="F2DBDB"/>
            <w:vAlign w:val="center"/>
          </w:tcPr>
          <w:p w:rsidR="004A147C" w:rsidRPr="00B53FFB" w:rsidRDefault="004A147C" w:rsidP="00CE5850">
            <w:pPr>
              <w:jc w:val="right"/>
              <w:rPr>
                <w:sz w:val="20"/>
              </w:rPr>
            </w:pPr>
            <w:r w:rsidRPr="00B53FFB">
              <w:rPr>
                <w:sz w:val="20"/>
              </w:rPr>
              <w:t>81.7%</w:t>
            </w:r>
          </w:p>
        </w:tc>
      </w:tr>
      <w:tr w:rsidR="004A147C" w:rsidRPr="00B53FFB" w:rsidTr="00A0412A">
        <w:trPr>
          <w:trHeight w:val="245"/>
          <w:jc w:val="center"/>
        </w:trPr>
        <w:tc>
          <w:tcPr>
            <w:tcW w:w="1175" w:type="dxa"/>
            <w:shd w:val="clear" w:color="auto" w:fill="F2DBDB"/>
            <w:tcMar>
              <w:top w:w="0" w:type="dxa"/>
              <w:left w:w="30" w:type="dxa"/>
              <w:bottom w:w="0" w:type="dxa"/>
              <w:right w:w="30" w:type="dxa"/>
            </w:tcMar>
            <w:vAlign w:val="bottom"/>
          </w:tcPr>
          <w:p w:rsidR="004A147C" w:rsidRPr="00B53FFB" w:rsidRDefault="004A147C" w:rsidP="00CE5850">
            <w:pPr>
              <w:snapToGrid w:val="0"/>
              <w:rPr>
                <w:sz w:val="20"/>
              </w:rPr>
            </w:pPr>
            <w:r w:rsidRPr="00B53FFB">
              <w:rPr>
                <w:sz w:val="20"/>
              </w:rPr>
              <w:t>3 or More</w:t>
            </w:r>
          </w:p>
        </w:tc>
        <w:tc>
          <w:tcPr>
            <w:tcW w:w="1155" w:type="dxa"/>
            <w:shd w:val="clear" w:color="auto" w:fill="F2DBDB"/>
            <w:tcMar>
              <w:top w:w="0" w:type="dxa"/>
              <w:left w:w="30" w:type="dxa"/>
              <w:bottom w:w="0" w:type="dxa"/>
              <w:right w:w="30" w:type="dxa"/>
            </w:tcMar>
            <w:vAlign w:val="bottom"/>
          </w:tcPr>
          <w:p w:rsidR="004A147C" w:rsidRPr="00B53FFB" w:rsidRDefault="004A147C" w:rsidP="00CE5850">
            <w:pPr>
              <w:snapToGrid w:val="0"/>
              <w:jc w:val="right"/>
              <w:rPr>
                <w:sz w:val="20"/>
              </w:rPr>
            </w:pPr>
            <w:r w:rsidRPr="00B53FFB">
              <w:rPr>
                <w:sz w:val="20"/>
              </w:rPr>
              <w:t xml:space="preserve">        3,964 </w:t>
            </w:r>
          </w:p>
        </w:tc>
        <w:tc>
          <w:tcPr>
            <w:tcW w:w="1578" w:type="dxa"/>
            <w:shd w:val="clear" w:color="auto" w:fill="F2DBDB"/>
            <w:tcMar>
              <w:top w:w="0" w:type="dxa"/>
              <w:left w:w="30" w:type="dxa"/>
              <w:bottom w:w="0" w:type="dxa"/>
              <w:right w:w="30" w:type="dxa"/>
            </w:tcMar>
            <w:vAlign w:val="bottom"/>
          </w:tcPr>
          <w:p w:rsidR="004A147C" w:rsidRPr="00B53FFB" w:rsidRDefault="004A147C" w:rsidP="00CE5850">
            <w:pPr>
              <w:snapToGrid w:val="0"/>
              <w:jc w:val="right"/>
              <w:rPr>
                <w:sz w:val="20"/>
              </w:rPr>
            </w:pPr>
            <w:r w:rsidRPr="00B53FFB">
              <w:rPr>
                <w:sz w:val="20"/>
              </w:rPr>
              <w:t>          51,563</w:t>
            </w:r>
          </w:p>
        </w:tc>
        <w:tc>
          <w:tcPr>
            <w:tcW w:w="902" w:type="dxa"/>
            <w:shd w:val="clear" w:color="auto" w:fill="F2DBDB"/>
            <w:tcMar>
              <w:top w:w="0" w:type="dxa"/>
              <w:left w:w="30" w:type="dxa"/>
              <w:bottom w:w="0" w:type="dxa"/>
              <w:right w:w="30" w:type="dxa"/>
            </w:tcMar>
            <w:vAlign w:val="bottom"/>
          </w:tcPr>
          <w:p w:rsidR="004A147C" w:rsidRPr="00B53FFB" w:rsidRDefault="004A147C" w:rsidP="00CE5850">
            <w:pPr>
              <w:snapToGrid w:val="0"/>
              <w:jc w:val="right"/>
              <w:rPr>
                <w:sz w:val="20"/>
              </w:rPr>
            </w:pPr>
            <w:r w:rsidRPr="00B53FFB">
              <w:rPr>
                <w:sz w:val="20"/>
              </w:rPr>
              <w:t>87.2%</w:t>
            </w:r>
          </w:p>
        </w:tc>
        <w:tc>
          <w:tcPr>
            <w:tcW w:w="1199" w:type="dxa"/>
            <w:shd w:val="clear" w:color="auto" w:fill="F2DBDB"/>
            <w:tcMar>
              <w:top w:w="0" w:type="dxa"/>
              <w:left w:w="30" w:type="dxa"/>
              <w:bottom w:w="0" w:type="dxa"/>
              <w:right w:w="30" w:type="dxa"/>
            </w:tcMar>
            <w:vAlign w:val="bottom"/>
          </w:tcPr>
          <w:p w:rsidR="004A147C" w:rsidRPr="00B53FFB" w:rsidRDefault="004A147C" w:rsidP="00CE5850">
            <w:pPr>
              <w:snapToGrid w:val="0"/>
              <w:jc w:val="right"/>
              <w:rPr>
                <w:sz w:val="20"/>
              </w:rPr>
            </w:pPr>
            <w:r w:rsidRPr="00B53FFB">
              <w:rPr>
                <w:sz w:val="20"/>
              </w:rPr>
              <w:t xml:space="preserve">            1,251 </w:t>
            </w:r>
          </w:p>
        </w:tc>
        <w:tc>
          <w:tcPr>
            <w:tcW w:w="1196" w:type="dxa"/>
            <w:shd w:val="clear" w:color="auto" w:fill="F2DBDB"/>
            <w:tcMar>
              <w:top w:w="0" w:type="dxa"/>
              <w:left w:w="30" w:type="dxa"/>
              <w:bottom w:w="0" w:type="dxa"/>
              <w:right w:w="30" w:type="dxa"/>
            </w:tcMar>
            <w:vAlign w:val="bottom"/>
          </w:tcPr>
          <w:p w:rsidR="004A147C" w:rsidRPr="00B53FFB" w:rsidRDefault="004A147C" w:rsidP="00CE5850">
            <w:pPr>
              <w:snapToGrid w:val="0"/>
              <w:jc w:val="right"/>
              <w:rPr>
                <w:sz w:val="20"/>
              </w:rPr>
            </w:pPr>
            <w:r w:rsidRPr="00B53FFB">
              <w:rPr>
                <w:sz w:val="20"/>
              </w:rPr>
              <w:t>38.9%</w:t>
            </w:r>
          </w:p>
        </w:tc>
        <w:tc>
          <w:tcPr>
            <w:tcW w:w="1170" w:type="dxa"/>
            <w:shd w:val="clear" w:color="auto" w:fill="F2DBDB"/>
            <w:vAlign w:val="center"/>
          </w:tcPr>
          <w:p w:rsidR="004A147C" w:rsidRPr="00B53FFB" w:rsidRDefault="004A147C" w:rsidP="00CE5850">
            <w:pPr>
              <w:jc w:val="right"/>
              <w:rPr>
                <w:sz w:val="20"/>
              </w:rPr>
            </w:pPr>
            <w:r w:rsidRPr="00B53FFB">
              <w:rPr>
                <w:sz w:val="20"/>
              </w:rPr>
              <w:t>2,808</w:t>
            </w:r>
          </w:p>
        </w:tc>
        <w:tc>
          <w:tcPr>
            <w:tcW w:w="994" w:type="dxa"/>
            <w:shd w:val="clear" w:color="auto" w:fill="F2DBDB"/>
            <w:vAlign w:val="center"/>
          </w:tcPr>
          <w:p w:rsidR="004A147C" w:rsidRPr="00B53FFB" w:rsidRDefault="004A147C" w:rsidP="00CE5850">
            <w:pPr>
              <w:jc w:val="right"/>
              <w:rPr>
                <w:sz w:val="20"/>
              </w:rPr>
            </w:pPr>
            <w:r w:rsidRPr="00B53FFB">
              <w:rPr>
                <w:sz w:val="20"/>
              </w:rPr>
              <w:t>61.7%</w:t>
            </w:r>
          </w:p>
        </w:tc>
      </w:tr>
      <w:tr w:rsidR="004A147C" w:rsidRPr="00B53FFB" w:rsidTr="00A0412A">
        <w:trPr>
          <w:trHeight w:val="262"/>
          <w:jc w:val="center"/>
        </w:trPr>
        <w:tc>
          <w:tcPr>
            <w:tcW w:w="1175" w:type="dxa"/>
            <w:shd w:val="clear" w:color="auto" w:fill="F2DBDB"/>
            <w:tcMar>
              <w:top w:w="0" w:type="dxa"/>
              <w:left w:w="30" w:type="dxa"/>
              <w:bottom w:w="0" w:type="dxa"/>
              <w:right w:w="30" w:type="dxa"/>
            </w:tcMar>
            <w:vAlign w:val="bottom"/>
          </w:tcPr>
          <w:p w:rsidR="004A147C" w:rsidRPr="00B53FFB" w:rsidRDefault="004A147C" w:rsidP="00CE5850">
            <w:pPr>
              <w:snapToGrid w:val="0"/>
              <w:rPr>
                <w:sz w:val="20"/>
              </w:rPr>
            </w:pPr>
            <w:r w:rsidRPr="00B53FFB">
              <w:rPr>
                <w:sz w:val="20"/>
              </w:rPr>
              <w:t>4 or More</w:t>
            </w:r>
          </w:p>
        </w:tc>
        <w:tc>
          <w:tcPr>
            <w:tcW w:w="1155" w:type="dxa"/>
            <w:shd w:val="clear" w:color="auto" w:fill="F2DBDB"/>
            <w:tcMar>
              <w:top w:w="0" w:type="dxa"/>
              <w:left w:w="30" w:type="dxa"/>
              <w:bottom w:w="0" w:type="dxa"/>
              <w:right w:w="30" w:type="dxa"/>
            </w:tcMar>
            <w:vAlign w:val="bottom"/>
          </w:tcPr>
          <w:p w:rsidR="004A147C" w:rsidRPr="00B53FFB" w:rsidRDefault="004A147C" w:rsidP="00CE5850">
            <w:pPr>
              <w:snapToGrid w:val="0"/>
              <w:jc w:val="right"/>
              <w:rPr>
                <w:sz w:val="20"/>
              </w:rPr>
            </w:pPr>
            <w:r w:rsidRPr="00B53FFB">
              <w:rPr>
                <w:sz w:val="20"/>
              </w:rPr>
              <w:t>        2,828</w:t>
            </w:r>
          </w:p>
        </w:tc>
        <w:tc>
          <w:tcPr>
            <w:tcW w:w="1578" w:type="dxa"/>
            <w:shd w:val="clear" w:color="auto" w:fill="F2DBDB"/>
            <w:tcMar>
              <w:top w:w="0" w:type="dxa"/>
              <w:left w:w="30" w:type="dxa"/>
              <w:bottom w:w="0" w:type="dxa"/>
              <w:right w:w="30" w:type="dxa"/>
            </w:tcMar>
            <w:vAlign w:val="bottom"/>
          </w:tcPr>
          <w:p w:rsidR="004A147C" w:rsidRPr="00B53FFB" w:rsidRDefault="004A147C" w:rsidP="00CE5850">
            <w:pPr>
              <w:snapToGrid w:val="0"/>
              <w:jc w:val="right"/>
              <w:rPr>
                <w:sz w:val="20"/>
              </w:rPr>
            </w:pPr>
            <w:r w:rsidRPr="00B53FFB">
              <w:rPr>
                <w:sz w:val="20"/>
              </w:rPr>
              <w:t>         41,213</w:t>
            </w:r>
          </w:p>
        </w:tc>
        <w:tc>
          <w:tcPr>
            <w:tcW w:w="902" w:type="dxa"/>
            <w:shd w:val="clear" w:color="auto" w:fill="F2DBDB"/>
            <w:tcMar>
              <w:top w:w="0" w:type="dxa"/>
              <w:left w:w="30" w:type="dxa"/>
              <w:bottom w:w="0" w:type="dxa"/>
              <w:right w:w="30" w:type="dxa"/>
            </w:tcMar>
            <w:vAlign w:val="bottom"/>
          </w:tcPr>
          <w:p w:rsidR="004A147C" w:rsidRPr="00B53FFB" w:rsidRDefault="004A147C" w:rsidP="00CE5850">
            <w:pPr>
              <w:snapToGrid w:val="0"/>
              <w:jc w:val="right"/>
              <w:rPr>
                <w:sz w:val="20"/>
              </w:rPr>
            </w:pPr>
            <w:r w:rsidRPr="00B53FFB">
              <w:rPr>
                <w:sz w:val="20"/>
              </w:rPr>
              <w:t>69.7%</w:t>
            </w:r>
          </w:p>
        </w:tc>
        <w:tc>
          <w:tcPr>
            <w:tcW w:w="1199" w:type="dxa"/>
            <w:shd w:val="clear" w:color="auto" w:fill="F2DBDB"/>
            <w:tcMar>
              <w:top w:w="0" w:type="dxa"/>
              <w:left w:w="30" w:type="dxa"/>
              <w:bottom w:w="0" w:type="dxa"/>
              <w:right w:w="30" w:type="dxa"/>
            </w:tcMar>
            <w:vAlign w:val="bottom"/>
          </w:tcPr>
          <w:p w:rsidR="004A147C" w:rsidRPr="00B53FFB" w:rsidRDefault="004A147C" w:rsidP="00CE5850">
            <w:pPr>
              <w:snapToGrid w:val="0"/>
              <w:jc w:val="right"/>
              <w:rPr>
                <w:sz w:val="20"/>
              </w:rPr>
            </w:pPr>
            <w:r w:rsidRPr="00B53FFB">
              <w:rPr>
                <w:sz w:val="20"/>
              </w:rPr>
              <w:t xml:space="preserve">                729 </w:t>
            </w:r>
          </w:p>
        </w:tc>
        <w:tc>
          <w:tcPr>
            <w:tcW w:w="1196" w:type="dxa"/>
            <w:shd w:val="clear" w:color="auto" w:fill="F2DBDB"/>
            <w:tcMar>
              <w:top w:w="0" w:type="dxa"/>
              <w:left w:w="30" w:type="dxa"/>
              <w:bottom w:w="0" w:type="dxa"/>
              <w:right w:w="30" w:type="dxa"/>
            </w:tcMar>
            <w:vAlign w:val="bottom"/>
          </w:tcPr>
          <w:p w:rsidR="004A147C" w:rsidRPr="00B53FFB" w:rsidRDefault="004A147C" w:rsidP="00CE5850">
            <w:pPr>
              <w:snapToGrid w:val="0"/>
              <w:jc w:val="right"/>
              <w:rPr>
                <w:sz w:val="20"/>
              </w:rPr>
            </w:pPr>
            <w:r w:rsidRPr="00B53FFB">
              <w:rPr>
                <w:sz w:val="20"/>
              </w:rPr>
              <w:t>22.7%</w:t>
            </w:r>
          </w:p>
        </w:tc>
        <w:tc>
          <w:tcPr>
            <w:tcW w:w="1170" w:type="dxa"/>
            <w:shd w:val="clear" w:color="auto" w:fill="F2DBDB"/>
            <w:vAlign w:val="center"/>
          </w:tcPr>
          <w:p w:rsidR="004A147C" w:rsidRPr="00B53FFB" w:rsidRDefault="004A147C" w:rsidP="00CE5850">
            <w:pPr>
              <w:jc w:val="right"/>
              <w:rPr>
                <w:sz w:val="20"/>
              </w:rPr>
            </w:pPr>
            <w:r w:rsidRPr="00B53FFB">
              <w:rPr>
                <w:sz w:val="20"/>
              </w:rPr>
              <w:t>1,810</w:t>
            </w:r>
          </w:p>
        </w:tc>
        <w:tc>
          <w:tcPr>
            <w:tcW w:w="994" w:type="dxa"/>
            <w:shd w:val="clear" w:color="auto" w:fill="F2DBDB"/>
            <w:vAlign w:val="center"/>
          </w:tcPr>
          <w:p w:rsidR="004A147C" w:rsidRPr="00B53FFB" w:rsidRDefault="004A147C" w:rsidP="00CE5850">
            <w:pPr>
              <w:jc w:val="right"/>
              <w:rPr>
                <w:sz w:val="20"/>
              </w:rPr>
            </w:pPr>
            <w:r w:rsidRPr="00B53FFB">
              <w:rPr>
                <w:sz w:val="20"/>
              </w:rPr>
              <w:t>39.4%</w:t>
            </w:r>
          </w:p>
        </w:tc>
      </w:tr>
      <w:tr w:rsidR="004A147C" w:rsidRPr="00B53FFB" w:rsidTr="00A0412A">
        <w:trPr>
          <w:trHeight w:val="70"/>
          <w:jc w:val="center"/>
        </w:trPr>
        <w:tc>
          <w:tcPr>
            <w:tcW w:w="1175" w:type="dxa"/>
            <w:shd w:val="clear" w:color="auto" w:fill="F2DBDB"/>
            <w:tcMar>
              <w:top w:w="0" w:type="dxa"/>
              <w:left w:w="30" w:type="dxa"/>
              <w:bottom w:w="0" w:type="dxa"/>
              <w:right w:w="30" w:type="dxa"/>
            </w:tcMar>
            <w:vAlign w:val="bottom"/>
          </w:tcPr>
          <w:p w:rsidR="004A147C" w:rsidRPr="00B53FFB" w:rsidRDefault="004A147C" w:rsidP="00CE5850">
            <w:pPr>
              <w:snapToGrid w:val="0"/>
              <w:rPr>
                <w:sz w:val="20"/>
              </w:rPr>
            </w:pPr>
            <w:r w:rsidRPr="00B53FFB">
              <w:rPr>
                <w:sz w:val="20"/>
              </w:rPr>
              <w:t>5 or More</w:t>
            </w:r>
          </w:p>
        </w:tc>
        <w:tc>
          <w:tcPr>
            <w:tcW w:w="1155" w:type="dxa"/>
            <w:shd w:val="clear" w:color="auto" w:fill="F2DBDB"/>
            <w:tcMar>
              <w:top w:w="0" w:type="dxa"/>
              <w:left w:w="30" w:type="dxa"/>
              <w:bottom w:w="0" w:type="dxa"/>
              <w:right w:w="30" w:type="dxa"/>
            </w:tcMar>
            <w:vAlign w:val="bottom"/>
          </w:tcPr>
          <w:p w:rsidR="004A147C" w:rsidRPr="00B53FFB" w:rsidRDefault="004A147C" w:rsidP="00CE5850">
            <w:pPr>
              <w:snapToGrid w:val="0"/>
              <w:jc w:val="right"/>
              <w:rPr>
                <w:sz w:val="20"/>
              </w:rPr>
            </w:pPr>
            <w:r w:rsidRPr="00B53FFB">
              <w:rPr>
                <w:sz w:val="20"/>
              </w:rPr>
              <w:t>       1,462</w:t>
            </w:r>
          </w:p>
        </w:tc>
        <w:tc>
          <w:tcPr>
            <w:tcW w:w="1578" w:type="dxa"/>
            <w:shd w:val="clear" w:color="auto" w:fill="F2DBDB"/>
            <w:tcMar>
              <w:top w:w="0" w:type="dxa"/>
              <w:left w:w="30" w:type="dxa"/>
              <w:bottom w:w="0" w:type="dxa"/>
              <w:right w:w="30" w:type="dxa"/>
            </w:tcMar>
            <w:vAlign w:val="bottom"/>
          </w:tcPr>
          <w:p w:rsidR="004A147C" w:rsidRPr="00B53FFB" w:rsidRDefault="004A147C" w:rsidP="00CE5850">
            <w:pPr>
              <w:snapToGrid w:val="0"/>
              <w:jc w:val="right"/>
              <w:rPr>
                <w:sz w:val="20"/>
              </w:rPr>
            </w:pPr>
            <w:r w:rsidRPr="00B53FFB">
              <w:rPr>
                <w:sz w:val="20"/>
              </w:rPr>
              <w:t xml:space="preserve">          24,285 </w:t>
            </w:r>
          </w:p>
        </w:tc>
        <w:tc>
          <w:tcPr>
            <w:tcW w:w="902" w:type="dxa"/>
            <w:shd w:val="clear" w:color="auto" w:fill="F2DBDB"/>
            <w:tcMar>
              <w:top w:w="0" w:type="dxa"/>
              <w:left w:w="30" w:type="dxa"/>
              <w:bottom w:w="0" w:type="dxa"/>
              <w:right w:w="30" w:type="dxa"/>
            </w:tcMar>
            <w:vAlign w:val="bottom"/>
          </w:tcPr>
          <w:p w:rsidR="004A147C" w:rsidRPr="00B53FFB" w:rsidRDefault="004A147C" w:rsidP="00CE5850">
            <w:pPr>
              <w:snapToGrid w:val="0"/>
              <w:jc w:val="right"/>
              <w:rPr>
                <w:sz w:val="20"/>
              </w:rPr>
            </w:pPr>
            <w:r w:rsidRPr="00B53FFB">
              <w:rPr>
                <w:sz w:val="20"/>
              </w:rPr>
              <w:t>41.1%</w:t>
            </w:r>
          </w:p>
        </w:tc>
        <w:tc>
          <w:tcPr>
            <w:tcW w:w="1199" w:type="dxa"/>
            <w:shd w:val="clear" w:color="auto" w:fill="F2DBDB"/>
            <w:tcMar>
              <w:top w:w="0" w:type="dxa"/>
              <w:left w:w="30" w:type="dxa"/>
              <w:bottom w:w="0" w:type="dxa"/>
              <w:right w:w="30" w:type="dxa"/>
            </w:tcMar>
            <w:vAlign w:val="bottom"/>
          </w:tcPr>
          <w:p w:rsidR="004A147C" w:rsidRPr="00B53FFB" w:rsidRDefault="004A147C" w:rsidP="00CE5850">
            <w:pPr>
              <w:snapToGrid w:val="0"/>
              <w:jc w:val="right"/>
              <w:rPr>
                <w:sz w:val="20"/>
              </w:rPr>
            </w:pPr>
            <w:r w:rsidRPr="00B53FFB">
              <w:rPr>
                <w:sz w:val="20"/>
              </w:rPr>
              <w:t xml:space="preserve">                313 </w:t>
            </w:r>
          </w:p>
        </w:tc>
        <w:tc>
          <w:tcPr>
            <w:tcW w:w="1196" w:type="dxa"/>
            <w:shd w:val="clear" w:color="auto" w:fill="F2DBDB"/>
            <w:tcMar>
              <w:top w:w="0" w:type="dxa"/>
              <w:left w:w="30" w:type="dxa"/>
              <w:bottom w:w="0" w:type="dxa"/>
              <w:right w:w="30" w:type="dxa"/>
            </w:tcMar>
            <w:vAlign w:val="bottom"/>
          </w:tcPr>
          <w:p w:rsidR="004A147C" w:rsidRPr="00B53FFB" w:rsidRDefault="004A147C" w:rsidP="00CE5850">
            <w:pPr>
              <w:snapToGrid w:val="0"/>
              <w:jc w:val="right"/>
              <w:rPr>
                <w:sz w:val="20"/>
              </w:rPr>
            </w:pPr>
            <w:r w:rsidRPr="00B53FFB">
              <w:rPr>
                <w:sz w:val="20"/>
              </w:rPr>
              <w:t>9.7%</w:t>
            </w:r>
          </w:p>
        </w:tc>
        <w:tc>
          <w:tcPr>
            <w:tcW w:w="1170" w:type="dxa"/>
            <w:shd w:val="clear" w:color="auto" w:fill="F2DBDB"/>
            <w:vAlign w:val="center"/>
          </w:tcPr>
          <w:p w:rsidR="004A147C" w:rsidRPr="00B53FFB" w:rsidRDefault="004A147C" w:rsidP="00CE5850">
            <w:pPr>
              <w:jc w:val="right"/>
              <w:rPr>
                <w:sz w:val="20"/>
              </w:rPr>
            </w:pPr>
            <w:r w:rsidRPr="00B53FFB">
              <w:rPr>
                <w:sz w:val="20"/>
              </w:rPr>
              <w:t>846</w:t>
            </w:r>
          </w:p>
        </w:tc>
        <w:tc>
          <w:tcPr>
            <w:tcW w:w="994" w:type="dxa"/>
            <w:shd w:val="clear" w:color="auto" w:fill="F2DBDB"/>
            <w:vAlign w:val="center"/>
          </w:tcPr>
          <w:p w:rsidR="004A147C" w:rsidRPr="00B53FFB" w:rsidRDefault="004A147C" w:rsidP="00CE5850">
            <w:pPr>
              <w:jc w:val="right"/>
              <w:rPr>
                <w:sz w:val="20"/>
              </w:rPr>
            </w:pPr>
            <w:r w:rsidRPr="00B53FFB">
              <w:rPr>
                <w:sz w:val="20"/>
              </w:rPr>
              <w:t>18.4%</w:t>
            </w:r>
          </w:p>
        </w:tc>
      </w:tr>
    </w:tbl>
    <w:p w:rsidR="004A147C" w:rsidRDefault="004A147C" w:rsidP="008F0E05">
      <w:pPr>
        <w:pStyle w:val="Caption"/>
        <w:widowControl w:val="0"/>
        <w:rPr>
          <w:sz w:val="22"/>
          <w:szCs w:val="22"/>
        </w:rPr>
      </w:pPr>
    </w:p>
    <w:p w:rsidR="004A147C" w:rsidRDefault="004A147C" w:rsidP="00CE5850">
      <w:pPr>
        <w:pStyle w:val="Caption"/>
        <w:widowControl w:val="0"/>
        <w:spacing w:after="0"/>
        <w:jc w:val="center"/>
        <w:rPr>
          <w:sz w:val="22"/>
          <w:szCs w:val="22"/>
        </w:rPr>
      </w:pPr>
      <w:bookmarkStart w:id="5560" w:name="_Ref342488293"/>
      <w:r w:rsidRPr="00FE099D">
        <w:rPr>
          <w:sz w:val="22"/>
          <w:szCs w:val="22"/>
        </w:rPr>
        <w:t xml:space="preserve">Table </w:t>
      </w:r>
      <w:r w:rsidR="0007014B" w:rsidRPr="00FE099D">
        <w:rPr>
          <w:sz w:val="22"/>
          <w:szCs w:val="22"/>
        </w:rPr>
        <w:fldChar w:fldCharType="begin"/>
      </w:r>
      <w:r w:rsidRPr="00FE099D">
        <w:rPr>
          <w:sz w:val="22"/>
          <w:szCs w:val="22"/>
        </w:rPr>
        <w:instrText xml:space="preserve"> SEQ Table \* ARABIC </w:instrText>
      </w:r>
      <w:r w:rsidR="0007014B" w:rsidRPr="00FE099D">
        <w:rPr>
          <w:sz w:val="22"/>
          <w:szCs w:val="22"/>
        </w:rPr>
        <w:fldChar w:fldCharType="separate"/>
      </w:r>
      <w:r w:rsidR="00CA3AC6">
        <w:rPr>
          <w:noProof/>
          <w:sz w:val="22"/>
          <w:szCs w:val="22"/>
        </w:rPr>
        <w:t>56</w:t>
      </w:r>
      <w:r w:rsidR="0007014B" w:rsidRPr="00FE099D">
        <w:rPr>
          <w:sz w:val="22"/>
          <w:szCs w:val="22"/>
        </w:rPr>
        <w:fldChar w:fldCharType="end"/>
      </w:r>
      <w:bookmarkEnd w:id="5560"/>
    </w:p>
    <w:p w:rsidR="004A147C" w:rsidRDefault="004A147C" w:rsidP="00CE5850">
      <w:pPr>
        <w:pStyle w:val="Caption"/>
        <w:widowControl w:val="0"/>
        <w:spacing w:before="0"/>
        <w:jc w:val="center"/>
        <w:rPr>
          <w:sz w:val="22"/>
          <w:szCs w:val="22"/>
        </w:rPr>
      </w:pPr>
      <w:r w:rsidRPr="00B53FFB">
        <w:rPr>
          <w:sz w:val="22"/>
          <w:szCs w:val="22"/>
        </w:rPr>
        <w:t xml:space="preserve">Estimated Mobile Voice Coverage in </w:t>
      </w:r>
      <w:r w:rsidRPr="00E775D5">
        <w:rPr>
          <w:i/>
          <w:sz w:val="22"/>
          <w:szCs w:val="22"/>
        </w:rPr>
        <w:t>Rural Areas</w:t>
      </w:r>
      <w:r w:rsidRPr="00B53FFB">
        <w:rPr>
          <w:sz w:val="22"/>
          <w:szCs w:val="22"/>
        </w:rPr>
        <w:t xml:space="preserve"> by Census Block, </w:t>
      </w:r>
      <w:r>
        <w:rPr>
          <w:sz w:val="22"/>
          <w:szCs w:val="22"/>
        </w:rPr>
        <w:t>Oct</w:t>
      </w:r>
      <w:r w:rsidRPr="00B53FFB">
        <w:rPr>
          <w:sz w:val="22"/>
          <w:szCs w:val="22"/>
        </w:rPr>
        <w:t>. 2012</w:t>
      </w:r>
      <w:r w:rsidRPr="00B53FFB">
        <w:rPr>
          <w:rStyle w:val="FootnoteReference"/>
          <w:b w:val="0"/>
          <w:szCs w:val="22"/>
        </w:rPr>
        <w:footnoteReference w:id="1189"/>
      </w:r>
    </w:p>
    <w:tbl>
      <w:tblPr>
        <w:tblW w:w="0" w:type="auto"/>
        <w:jc w:val="center"/>
        <w:tblInd w:w="-888"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left w:w="0" w:type="dxa"/>
          <w:right w:w="0" w:type="dxa"/>
        </w:tblCellMar>
        <w:tblLook w:val="00A0" w:firstRow="1" w:lastRow="0" w:firstColumn="1" w:lastColumn="0" w:noHBand="0" w:noVBand="0"/>
      </w:tblPr>
      <w:tblGrid>
        <w:gridCol w:w="1175"/>
        <w:gridCol w:w="1155"/>
        <w:gridCol w:w="1578"/>
        <w:gridCol w:w="902"/>
        <w:gridCol w:w="1199"/>
        <w:gridCol w:w="1196"/>
        <w:gridCol w:w="1170"/>
        <w:gridCol w:w="994"/>
      </w:tblGrid>
      <w:tr w:rsidR="004A147C" w:rsidRPr="00B53FFB" w:rsidTr="003F13FC">
        <w:trPr>
          <w:trHeight w:val="728"/>
          <w:jc w:val="center"/>
        </w:trPr>
        <w:tc>
          <w:tcPr>
            <w:tcW w:w="1175" w:type="dxa"/>
            <w:shd w:val="clear" w:color="auto" w:fill="F2DBDB"/>
            <w:tcMar>
              <w:top w:w="0" w:type="dxa"/>
              <w:left w:w="30" w:type="dxa"/>
              <w:bottom w:w="0" w:type="dxa"/>
              <w:right w:w="30" w:type="dxa"/>
            </w:tcMar>
          </w:tcPr>
          <w:p w:rsidR="004A147C" w:rsidRPr="00B53FFB" w:rsidRDefault="004A147C" w:rsidP="00CE5850">
            <w:pPr>
              <w:snapToGrid w:val="0"/>
              <w:jc w:val="center"/>
              <w:rPr>
                <w:b/>
                <w:iCs/>
                <w:sz w:val="20"/>
              </w:rPr>
            </w:pPr>
            <w:r w:rsidRPr="00B53FFB">
              <w:rPr>
                <w:b/>
                <w:iCs/>
                <w:sz w:val="20"/>
              </w:rPr>
              <w:t>Total Number of Providers with Coverage in a Block</w:t>
            </w:r>
          </w:p>
        </w:tc>
        <w:tc>
          <w:tcPr>
            <w:tcW w:w="1155" w:type="dxa"/>
            <w:shd w:val="clear" w:color="auto" w:fill="F2DBDB"/>
            <w:tcMar>
              <w:top w:w="0" w:type="dxa"/>
              <w:left w:w="30" w:type="dxa"/>
              <w:bottom w:w="0" w:type="dxa"/>
              <w:right w:w="30" w:type="dxa"/>
            </w:tcMar>
          </w:tcPr>
          <w:p w:rsidR="004A147C" w:rsidRPr="00B53FFB" w:rsidRDefault="004A147C" w:rsidP="00CE5850">
            <w:pPr>
              <w:snapToGrid w:val="0"/>
              <w:jc w:val="center"/>
              <w:rPr>
                <w:b/>
                <w:iCs/>
                <w:sz w:val="20"/>
              </w:rPr>
            </w:pPr>
            <w:r w:rsidRPr="00B53FFB">
              <w:rPr>
                <w:b/>
                <w:iCs/>
                <w:sz w:val="20"/>
              </w:rPr>
              <w:t>Number of Rural Census Blocks</w:t>
            </w:r>
          </w:p>
          <w:p w:rsidR="004A147C" w:rsidRPr="00B53FFB" w:rsidRDefault="004A147C" w:rsidP="00CE5850">
            <w:pPr>
              <w:snapToGrid w:val="0"/>
              <w:jc w:val="center"/>
              <w:rPr>
                <w:b/>
                <w:iCs/>
                <w:sz w:val="20"/>
              </w:rPr>
            </w:pPr>
            <w:r w:rsidRPr="00B53FFB">
              <w:rPr>
                <w:b/>
                <w:iCs/>
                <w:sz w:val="20"/>
              </w:rPr>
              <w:t>(Thousands)</w:t>
            </w:r>
          </w:p>
        </w:tc>
        <w:tc>
          <w:tcPr>
            <w:tcW w:w="1578" w:type="dxa"/>
            <w:shd w:val="clear" w:color="auto" w:fill="F2DBDB"/>
            <w:tcMar>
              <w:top w:w="0" w:type="dxa"/>
              <w:left w:w="30" w:type="dxa"/>
              <w:bottom w:w="0" w:type="dxa"/>
              <w:right w:w="30" w:type="dxa"/>
            </w:tcMar>
          </w:tcPr>
          <w:p w:rsidR="004A147C" w:rsidRPr="00B53FFB" w:rsidRDefault="004A147C" w:rsidP="00CE5850">
            <w:pPr>
              <w:snapToGrid w:val="0"/>
              <w:jc w:val="center"/>
              <w:rPr>
                <w:b/>
                <w:iCs/>
                <w:sz w:val="20"/>
              </w:rPr>
            </w:pPr>
            <w:r w:rsidRPr="00B53FFB">
              <w:rPr>
                <w:b/>
                <w:iCs/>
                <w:sz w:val="20"/>
              </w:rPr>
              <w:t xml:space="preserve">POPs Contained in Rural Census Blocks </w:t>
            </w:r>
          </w:p>
          <w:p w:rsidR="004A147C" w:rsidRPr="00B53FFB" w:rsidRDefault="004A147C" w:rsidP="00CE5850">
            <w:pPr>
              <w:snapToGrid w:val="0"/>
              <w:jc w:val="center"/>
              <w:rPr>
                <w:b/>
                <w:iCs/>
                <w:sz w:val="20"/>
              </w:rPr>
            </w:pPr>
            <w:r w:rsidRPr="00B53FFB">
              <w:rPr>
                <w:b/>
                <w:iCs/>
                <w:sz w:val="20"/>
              </w:rPr>
              <w:t>(Thousands)</w:t>
            </w:r>
          </w:p>
        </w:tc>
        <w:tc>
          <w:tcPr>
            <w:tcW w:w="902" w:type="dxa"/>
            <w:shd w:val="clear" w:color="auto" w:fill="F2DBDB"/>
            <w:tcMar>
              <w:top w:w="0" w:type="dxa"/>
              <w:left w:w="30" w:type="dxa"/>
              <w:bottom w:w="0" w:type="dxa"/>
              <w:right w:w="30" w:type="dxa"/>
            </w:tcMar>
          </w:tcPr>
          <w:p w:rsidR="004A147C" w:rsidRPr="00B53FFB" w:rsidRDefault="004A147C" w:rsidP="00CE5850">
            <w:pPr>
              <w:snapToGrid w:val="0"/>
              <w:jc w:val="center"/>
              <w:rPr>
                <w:b/>
                <w:iCs/>
                <w:sz w:val="20"/>
              </w:rPr>
            </w:pPr>
            <w:r w:rsidRPr="00B53FFB">
              <w:rPr>
                <w:b/>
                <w:iCs/>
                <w:sz w:val="20"/>
              </w:rPr>
              <w:t>% of Total U.S. POPs</w:t>
            </w:r>
          </w:p>
        </w:tc>
        <w:tc>
          <w:tcPr>
            <w:tcW w:w="1199" w:type="dxa"/>
            <w:shd w:val="clear" w:color="auto" w:fill="F2DBDB"/>
            <w:tcMar>
              <w:top w:w="0" w:type="dxa"/>
              <w:left w:w="30" w:type="dxa"/>
              <w:bottom w:w="0" w:type="dxa"/>
              <w:right w:w="30" w:type="dxa"/>
            </w:tcMar>
          </w:tcPr>
          <w:p w:rsidR="004A147C" w:rsidRPr="00B53FFB" w:rsidRDefault="004A147C" w:rsidP="00CE5850">
            <w:pPr>
              <w:snapToGrid w:val="0"/>
              <w:jc w:val="center"/>
              <w:rPr>
                <w:b/>
                <w:iCs/>
                <w:sz w:val="20"/>
              </w:rPr>
            </w:pPr>
            <w:r w:rsidRPr="00B53FFB">
              <w:rPr>
                <w:b/>
                <w:iCs/>
                <w:sz w:val="20"/>
              </w:rPr>
              <w:t>Square Miles Contained in Those Blocks</w:t>
            </w:r>
          </w:p>
          <w:p w:rsidR="004A147C" w:rsidRPr="00B53FFB" w:rsidRDefault="004A147C" w:rsidP="00CE5850">
            <w:pPr>
              <w:snapToGrid w:val="0"/>
              <w:jc w:val="center"/>
              <w:rPr>
                <w:b/>
                <w:iCs/>
                <w:sz w:val="20"/>
              </w:rPr>
            </w:pPr>
            <w:r w:rsidRPr="00B53FFB">
              <w:rPr>
                <w:b/>
                <w:iCs/>
                <w:sz w:val="20"/>
              </w:rPr>
              <w:t xml:space="preserve">(Thousands) </w:t>
            </w:r>
          </w:p>
        </w:tc>
        <w:tc>
          <w:tcPr>
            <w:tcW w:w="1196" w:type="dxa"/>
            <w:shd w:val="clear" w:color="auto" w:fill="F2DBDB"/>
            <w:tcMar>
              <w:top w:w="0" w:type="dxa"/>
              <w:left w:w="30" w:type="dxa"/>
              <w:bottom w:w="0" w:type="dxa"/>
              <w:right w:w="30" w:type="dxa"/>
            </w:tcMar>
          </w:tcPr>
          <w:p w:rsidR="004A147C" w:rsidRPr="00B53FFB" w:rsidRDefault="004A147C" w:rsidP="00CE5850">
            <w:pPr>
              <w:snapToGrid w:val="0"/>
              <w:jc w:val="center"/>
              <w:rPr>
                <w:b/>
                <w:iCs/>
                <w:sz w:val="20"/>
              </w:rPr>
            </w:pPr>
            <w:r w:rsidRPr="00B53FFB">
              <w:rPr>
                <w:b/>
                <w:iCs/>
                <w:sz w:val="20"/>
              </w:rPr>
              <w:t>% of Total U.S. Square Miles</w:t>
            </w:r>
          </w:p>
          <w:p w:rsidR="004A147C" w:rsidRPr="00B53FFB" w:rsidRDefault="004A147C" w:rsidP="00CE5850">
            <w:pPr>
              <w:snapToGrid w:val="0"/>
              <w:jc w:val="center"/>
              <w:rPr>
                <w:b/>
                <w:iCs/>
                <w:sz w:val="20"/>
              </w:rPr>
            </w:pPr>
            <w:r w:rsidRPr="00B53FFB">
              <w:rPr>
                <w:b/>
                <w:iCs/>
                <w:sz w:val="20"/>
              </w:rPr>
              <w:t>(Thousands)</w:t>
            </w:r>
          </w:p>
        </w:tc>
        <w:tc>
          <w:tcPr>
            <w:tcW w:w="1170" w:type="dxa"/>
            <w:shd w:val="clear" w:color="auto" w:fill="F2DBDB"/>
          </w:tcPr>
          <w:p w:rsidR="004A147C" w:rsidRPr="00B53FFB" w:rsidRDefault="004A147C" w:rsidP="00CE5850">
            <w:pPr>
              <w:snapToGrid w:val="0"/>
              <w:jc w:val="center"/>
              <w:rPr>
                <w:b/>
                <w:iCs/>
                <w:sz w:val="20"/>
              </w:rPr>
            </w:pPr>
            <w:r w:rsidRPr="00B53FFB">
              <w:rPr>
                <w:b/>
                <w:iCs/>
                <w:sz w:val="20"/>
              </w:rPr>
              <w:t>Road Miles Contained in Those Blocks (Thousands)</w:t>
            </w:r>
          </w:p>
        </w:tc>
        <w:tc>
          <w:tcPr>
            <w:tcW w:w="994" w:type="dxa"/>
            <w:shd w:val="clear" w:color="auto" w:fill="F2DBDB"/>
          </w:tcPr>
          <w:p w:rsidR="004A147C" w:rsidRPr="00B53FFB" w:rsidRDefault="004A147C" w:rsidP="00CE5850">
            <w:pPr>
              <w:snapToGrid w:val="0"/>
              <w:jc w:val="center"/>
              <w:rPr>
                <w:b/>
                <w:iCs/>
                <w:sz w:val="20"/>
              </w:rPr>
            </w:pPr>
            <w:r w:rsidRPr="00B53FFB">
              <w:rPr>
                <w:b/>
                <w:iCs/>
                <w:sz w:val="20"/>
              </w:rPr>
              <w:t>% of Total U.S. Road Miles</w:t>
            </w:r>
          </w:p>
        </w:tc>
      </w:tr>
      <w:tr w:rsidR="004A147C" w:rsidRPr="00B53FFB" w:rsidTr="003F13FC">
        <w:trPr>
          <w:trHeight w:val="287"/>
          <w:jc w:val="center"/>
        </w:trPr>
        <w:tc>
          <w:tcPr>
            <w:tcW w:w="1175" w:type="dxa"/>
            <w:shd w:val="clear" w:color="auto" w:fill="F2DBDB"/>
            <w:tcMar>
              <w:top w:w="0" w:type="dxa"/>
              <w:left w:w="30" w:type="dxa"/>
              <w:bottom w:w="0" w:type="dxa"/>
              <w:right w:w="30" w:type="dxa"/>
            </w:tcMar>
            <w:vAlign w:val="bottom"/>
          </w:tcPr>
          <w:p w:rsidR="004A147C" w:rsidRPr="00B53FFB" w:rsidRDefault="004A147C" w:rsidP="00CE5850">
            <w:pPr>
              <w:snapToGrid w:val="0"/>
              <w:rPr>
                <w:b/>
                <w:iCs/>
                <w:sz w:val="20"/>
              </w:rPr>
            </w:pPr>
            <w:r w:rsidRPr="00B53FFB">
              <w:rPr>
                <w:b/>
                <w:iCs/>
                <w:sz w:val="20"/>
              </w:rPr>
              <w:t>Total for Rural U.S.</w:t>
            </w:r>
          </w:p>
        </w:tc>
        <w:tc>
          <w:tcPr>
            <w:tcW w:w="1155" w:type="dxa"/>
            <w:shd w:val="clear" w:color="auto" w:fill="F2DBDB"/>
            <w:tcMar>
              <w:top w:w="0" w:type="dxa"/>
              <w:left w:w="30" w:type="dxa"/>
              <w:bottom w:w="0" w:type="dxa"/>
              <w:right w:w="30" w:type="dxa"/>
            </w:tcMar>
            <w:vAlign w:val="bottom"/>
          </w:tcPr>
          <w:p w:rsidR="004A147C" w:rsidRPr="00590295" w:rsidRDefault="004A147C" w:rsidP="00CE5850">
            <w:pPr>
              <w:snapToGrid w:val="0"/>
              <w:jc w:val="right"/>
              <w:rPr>
                <w:b/>
                <w:sz w:val="20"/>
              </w:rPr>
            </w:pPr>
            <w:r w:rsidRPr="00590295">
              <w:rPr>
                <w:b/>
                <w:sz w:val="20"/>
              </w:rPr>
              <w:t xml:space="preserve">        5,387 </w:t>
            </w:r>
          </w:p>
        </w:tc>
        <w:tc>
          <w:tcPr>
            <w:tcW w:w="1578" w:type="dxa"/>
            <w:shd w:val="clear" w:color="auto" w:fill="F2DBDB"/>
            <w:tcMar>
              <w:top w:w="0" w:type="dxa"/>
              <w:left w:w="30" w:type="dxa"/>
              <w:bottom w:w="0" w:type="dxa"/>
              <w:right w:w="30" w:type="dxa"/>
            </w:tcMar>
            <w:vAlign w:val="bottom"/>
          </w:tcPr>
          <w:p w:rsidR="004A147C" w:rsidRPr="00590295" w:rsidRDefault="004A147C" w:rsidP="00CE5850">
            <w:pPr>
              <w:snapToGrid w:val="0"/>
              <w:jc w:val="right"/>
              <w:rPr>
                <w:b/>
                <w:sz w:val="20"/>
              </w:rPr>
            </w:pPr>
            <w:r w:rsidRPr="00590295">
              <w:rPr>
                <w:b/>
                <w:sz w:val="20"/>
              </w:rPr>
              <w:t xml:space="preserve">       59,152 </w:t>
            </w:r>
          </w:p>
        </w:tc>
        <w:tc>
          <w:tcPr>
            <w:tcW w:w="902" w:type="dxa"/>
            <w:shd w:val="clear" w:color="auto" w:fill="F2DBDB"/>
            <w:tcMar>
              <w:top w:w="0" w:type="dxa"/>
              <w:left w:w="30" w:type="dxa"/>
              <w:bottom w:w="0" w:type="dxa"/>
              <w:right w:w="30" w:type="dxa"/>
            </w:tcMar>
            <w:vAlign w:val="bottom"/>
          </w:tcPr>
          <w:p w:rsidR="004A147C" w:rsidRPr="00590295" w:rsidRDefault="004A147C" w:rsidP="00CE5850">
            <w:pPr>
              <w:snapToGrid w:val="0"/>
              <w:jc w:val="right"/>
              <w:rPr>
                <w:b/>
                <w:sz w:val="20"/>
              </w:rPr>
            </w:pPr>
            <w:r w:rsidRPr="00590295">
              <w:rPr>
                <w:b/>
                <w:sz w:val="20"/>
              </w:rPr>
              <w:t>18.9%</w:t>
            </w:r>
          </w:p>
        </w:tc>
        <w:tc>
          <w:tcPr>
            <w:tcW w:w="1199" w:type="dxa"/>
            <w:shd w:val="clear" w:color="auto" w:fill="F2DBDB"/>
            <w:tcMar>
              <w:top w:w="0" w:type="dxa"/>
              <w:left w:w="30" w:type="dxa"/>
              <w:bottom w:w="0" w:type="dxa"/>
              <w:right w:w="30" w:type="dxa"/>
            </w:tcMar>
            <w:vAlign w:val="bottom"/>
          </w:tcPr>
          <w:p w:rsidR="004A147C" w:rsidRPr="00590295" w:rsidRDefault="004A147C" w:rsidP="00CE5850">
            <w:pPr>
              <w:snapToGrid w:val="0"/>
              <w:jc w:val="right"/>
              <w:rPr>
                <w:b/>
                <w:sz w:val="20"/>
              </w:rPr>
            </w:pPr>
            <w:r w:rsidRPr="00590295">
              <w:rPr>
                <w:b/>
                <w:sz w:val="20"/>
              </w:rPr>
              <w:t xml:space="preserve">         3,214 </w:t>
            </w:r>
          </w:p>
        </w:tc>
        <w:tc>
          <w:tcPr>
            <w:tcW w:w="1196" w:type="dxa"/>
            <w:shd w:val="clear" w:color="auto" w:fill="F2DBDB"/>
            <w:tcMar>
              <w:top w:w="0" w:type="dxa"/>
              <w:left w:w="30" w:type="dxa"/>
              <w:bottom w:w="0" w:type="dxa"/>
              <w:right w:w="30" w:type="dxa"/>
            </w:tcMar>
            <w:vAlign w:val="bottom"/>
          </w:tcPr>
          <w:p w:rsidR="004A147C" w:rsidRPr="00590295" w:rsidRDefault="004A147C" w:rsidP="00CE5850">
            <w:pPr>
              <w:snapToGrid w:val="0"/>
              <w:jc w:val="right"/>
              <w:rPr>
                <w:b/>
                <w:sz w:val="20"/>
              </w:rPr>
            </w:pPr>
            <w:r w:rsidRPr="00590295">
              <w:rPr>
                <w:b/>
                <w:sz w:val="20"/>
              </w:rPr>
              <w:t>84.5%</w:t>
            </w:r>
          </w:p>
        </w:tc>
        <w:tc>
          <w:tcPr>
            <w:tcW w:w="1170" w:type="dxa"/>
            <w:shd w:val="clear" w:color="auto" w:fill="F2DBDB"/>
            <w:vAlign w:val="bottom"/>
          </w:tcPr>
          <w:p w:rsidR="004A147C" w:rsidRPr="00590295" w:rsidRDefault="004A147C" w:rsidP="00CE5850">
            <w:pPr>
              <w:jc w:val="right"/>
              <w:rPr>
                <w:b/>
                <w:sz w:val="20"/>
              </w:rPr>
            </w:pPr>
            <w:r w:rsidRPr="00590295">
              <w:rPr>
                <w:b/>
                <w:sz w:val="20"/>
              </w:rPr>
              <w:t>4,591</w:t>
            </w:r>
          </w:p>
        </w:tc>
        <w:tc>
          <w:tcPr>
            <w:tcW w:w="994" w:type="dxa"/>
            <w:shd w:val="clear" w:color="auto" w:fill="F2DBDB"/>
            <w:vAlign w:val="bottom"/>
          </w:tcPr>
          <w:p w:rsidR="004A147C" w:rsidRPr="00590295" w:rsidRDefault="004A147C" w:rsidP="00CE5850">
            <w:pPr>
              <w:jc w:val="right"/>
              <w:rPr>
                <w:b/>
                <w:sz w:val="20"/>
              </w:rPr>
            </w:pPr>
            <w:r w:rsidRPr="00590295">
              <w:rPr>
                <w:b/>
                <w:sz w:val="20"/>
              </w:rPr>
              <w:t>67.3%</w:t>
            </w:r>
          </w:p>
        </w:tc>
      </w:tr>
      <w:tr w:rsidR="004A147C" w:rsidRPr="00B53FFB" w:rsidTr="008F0E05">
        <w:trPr>
          <w:trHeight w:val="1312"/>
          <w:jc w:val="center"/>
        </w:trPr>
        <w:tc>
          <w:tcPr>
            <w:tcW w:w="1175" w:type="dxa"/>
            <w:shd w:val="clear" w:color="auto" w:fill="F2DBDB"/>
            <w:tcMar>
              <w:top w:w="0" w:type="dxa"/>
              <w:left w:w="30" w:type="dxa"/>
              <w:bottom w:w="0" w:type="dxa"/>
              <w:right w:w="30" w:type="dxa"/>
            </w:tcMar>
            <w:vAlign w:val="bottom"/>
          </w:tcPr>
          <w:p w:rsidR="004A147C" w:rsidRPr="00B53FFB" w:rsidRDefault="004A147C" w:rsidP="00CE5850">
            <w:pPr>
              <w:snapToGrid w:val="0"/>
              <w:rPr>
                <w:sz w:val="20"/>
              </w:rPr>
            </w:pPr>
          </w:p>
        </w:tc>
        <w:tc>
          <w:tcPr>
            <w:tcW w:w="1155" w:type="dxa"/>
            <w:shd w:val="clear" w:color="auto" w:fill="F2DBDB"/>
            <w:tcMar>
              <w:top w:w="0" w:type="dxa"/>
              <w:left w:w="30" w:type="dxa"/>
              <w:bottom w:w="0" w:type="dxa"/>
              <w:right w:w="30" w:type="dxa"/>
            </w:tcMar>
            <w:vAlign w:val="bottom"/>
          </w:tcPr>
          <w:p w:rsidR="004A147C" w:rsidRPr="00B53FFB" w:rsidRDefault="004A147C" w:rsidP="00CE5850">
            <w:pPr>
              <w:snapToGrid w:val="0"/>
              <w:jc w:val="right"/>
              <w:rPr>
                <w:sz w:val="20"/>
              </w:rPr>
            </w:pPr>
          </w:p>
        </w:tc>
        <w:tc>
          <w:tcPr>
            <w:tcW w:w="1578" w:type="dxa"/>
            <w:shd w:val="clear" w:color="auto" w:fill="F2DBDB"/>
            <w:tcMar>
              <w:top w:w="0" w:type="dxa"/>
              <w:left w:w="30" w:type="dxa"/>
              <w:bottom w:w="0" w:type="dxa"/>
              <w:right w:w="30" w:type="dxa"/>
            </w:tcMar>
            <w:vAlign w:val="bottom"/>
          </w:tcPr>
          <w:p w:rsidR="004A147C" w:rsidRPr="00B53FFB" w:rsidRDefault="004A147C" w:rsidP="00CE5850">
            <w:pPr>
              <w:snapToGrid w:val="0"/>
              <w:ind w:firstLine="200"/>
              <w:jc w:val="right"/>
              <w:rPr>
                <w:i/>
                <w:iCs/>
                <w:sz w:val="20"/>
              </w:rPr>
            </w:pPr>
          </w:p>
        </w:tc>
        <w:tc>
          <w:tcPr>
            <w:tcW w:w="902" w:type="dxa"/>
            <w:shd w:val="clear" w:color="auto" w:fill="F2DBDB"/>
            <w:tcMar>
              <w:top w:w="0" w:type="dxa"/>
              <w:left w:w="30" w:type="dxa"/>
              <w:bottom w:w="0" w:type="dxa"/>
              <w:right w:w="30" w:type="dxa"/>
            </w:tcMar>
          </w:tcPr>
          <w:p w:rsidR="004A147C" w:rsidRPr="00B53FFB" w:rsidRDefault="004A147C" w:rsidP="00CE5850">
            <w:pPr>
              <w:snapToGrid w:val="0"/>
              <w:spacing w:before="120"/>
              <w:jc w:val="center"/>
              <w:rPr>
                <w:b/>
                <w:iCs/>
                <w:sz w:val="20"/>
              </w:rPr>
            </w:pPr>
            <w:r w:rsidRPr="00B53FFB">
              <w:rPr>
                <w:b/>
                <w:iCs/>
                <w:sz w:val="20"/>
              </w:rPr>
              <w:t>% of Total Rural U.S. POPs</w:t>
            </w:r>
          </w:p>
        </w:tc>
        <w:tc>
          <w:tcPr>
            <w:tcW w:w="1199" w:type="dxa"/>
            <w:shd w:val="clear" w:color="auto" w:fill="F2DBDB"/>
            <w:tcMar>
              <w:top w:w="0" w:type="dxa"/>
              <w:left w:w="30" w:type="dxa"/>
              <w:bottom w:w="0" w:type="dxa"/>
              <w:right w:w="30" w:type="dxa"/>
            </w:tcMar>
            <w:vAlign w:val="bottom"/>
          </w:tcPr>
          <w:p w:rsidR="004A147C" w:rsidRPr="00B53FFB" w:rsidRDefault="004A147C" w:rsidP="00CE5850">
            <w:pPr>
              <w:snapToGrid w:val="0"/>
              <w:ind w:firstLine="400"/>
              <w:jc w:val="right"/>
              <w:rPr>
                <w:b/>
                <w:iCs/>
                <w:sz w:val="20"/>
              </w:rPr>
            </w:pPr>
          </w:p>
        </w:tc>
        <w:tc>
          <w:tcPr>
            <w:tcW w:w="1196" w:type="dxa"/>
            <w:shd w:val="clear" w:color="auto" w:fill="F2DBDB"/>
            <w:tcMar>
              <w:top w:w="0" w:type="dxa"/>
              <w:left w:w="30" w:type="dxa"/>
              <w:bottom w:w="0" w:type="dxa"/>
              <w:right w:w="30" w:type="dxa"/>
            </w:tcMar>
          </w:tcPr>
          <w:p w:rsidR="004A147C" w:rsidRPr="00B53FFB" w:rsidRDefault="004A147C" w:rsidP="00CE5850">
            <w:pPr>
              <w:snapToGrid w:val="0"/>
              <w:jc w:val="center"/>
              <w:rPr>
                <w:b/>
                <w:iCs/>
                <w:sz w:val="20"/>
              </w:rPr>
            </w:pPr>
            <w:r w:rsidRPr="00B53FFB">
              <w:rPr>
                <w:b/>
                <w:iCs/>
                <w:sz w:val="20"/>
              </w:rPr>
              <w:t>% of Total Rural U.S. Square Miles</w:t>
            </w:r>
          </w:p>
        </w:tc>
        <w:tc>
          <w:tcPr>
            <w:tcW w:w="1170" w:type="dxa"/>
            <w:shd w:val="clear" w:color="auto" w:fill="F2DBDB"/>
            <w:vAlign w:val="center"/>
          </w:tcPr>
          <w:p w:rsidR="004A147C" w:rsidRPr="00B53FFB" w:rsidRDefault="004A147C" w:rsidP="00CE5850">
            <w:pPr>
              <w:jc w:val="right"/>
              <w:rPr>
                <w:b/>
                <w:sz w:val="20"/>
              </w:rPr>
            </w:pPr>
          </w:p>
        </w:tc>
        <w:tc>
          <w:tcPr>
            <w:tcW w:w="994" w:type="dxa"/>
            <w:shd w:val="clear" w:color="auto" w:fill="F2DBDB"/>
          </w:tcPr>
          <w:p w:rsidR="004A147C" w:rsidRPr="00B53FFB" w:rsidRDefault="004A147C" w:rsidP="00CE5850">
            <w:pPr>
              <w:jc w:val="center"/>
              <w:rPr>
                <w:b/>
                <w:sz w:val="20"/>
              </w:rPr>
            </w:pPr>
            <w:r w:rsidRPr="00B53FFB">
              <w:rPr>
                <w:b/>
                <w:sz w:val="20"/>
              </w:rPr>
              <w:t>% of Total Rural U.S. Road Miles</w:t>
            </w:r>
          </w:p>
        </w:tc>
      </w:tr>
      <w:tr w:rsidR="004A147C" w:rsidRPr="00B53FFB" w:rsidTr="003F13FC">
        <w:trPr>
          <w:trHeight w:val="250"/>
          <w:jc w:val="center"/>
        </w:trPr>
        <w:tc>
          <w:tcPr>
            <w:tcW w:w="1175" w:type="dxa"/>
            <w:shd w:val="clear" w:color="auto" w:fill="F2DBDB"/>
            <w:tcMar>
              <w:top w:w="0" w:type="dxa"/>
              <w:left w:w="30" w:type="dxa"/>
              <w:bottom w:w="0" w:type="dxa"/>
              <w:right w:w="30" w:type="dxa"/>
            </w:tcMar>
            <w:vAlign w:val="bottom"/>
          </w:tcPr>
          <w:p w:rsidR="004A147C" w:rsidRPr="00B53FFB" w:rsidRDefault="004A147C" w:rsidP="00CE5850">
            <w:pPr>
              <w:snapToGrid w:val="0"/>
              <w:rPr>
                <w:sz w:val="20"/>
              </w:rPr>
            </w:pPr>
            <w:r w:rsidRPr="00B53FFB">
              <w:rPr>
                <w:sz w:val="20"/>
              </w:rPr>
              <w:t>1 or More</w:t>
            </w:r>
          </w:p>
        </w:tc>
        <w:tc>
          <w:tcPr>
            <w:tcW w:w="1155" w:type="dxa"/>
            <w:shd w:val="clear" w:color="auto" w:fill="F2DBDB"/>
            <w:tcMar>
              <w:top w:w="0" w:type="dxa"/>
              <w:left w:w="30" w:type="dxa"/>
              <w:bottom w:w="0" w:type="dxa"/>
              <w:right w:w="30" w:type="dxa"/>
            </w:tcMar>
          </w:tcPr>
          <w:p w:rsidR="004A147C" w:rsidRPr="00322150" w:rsidRDefault="004A147C" w:rsidP="00CE5850">
            <w:pPr>
              <w:jc w:val="right"/>
              <w:rPr>
                <w:sz w:val="20"/>
              </w:rPr>
            </w:pPr>
            <w:r w:rsidRPr="00322150">
              <w:rPr>
                <w:sz w:val="20"/>
              </w:rPr>
              <w:t>5,165</w:t>
            </w:r>
          </w:p>
        </w:tc>
        <w:tc>
          <w:tcPr>
            <w:tcW w:w="1578" w:type="dxa"/>
            <w:shd w:val="clear" w:color="auto" w:fill="F2DBDB"/>
            <w:tcMar>
              <w:top w:w="0" w:type="dxa"/>
              <w:left w:w="30" w:type="dxa"/>
              <w:bottom w:w="0" w:type="dxa"/>
              <w:right w:w="30" w:type="dxa"/>
            </w:tcMar>
          </w:tcPr>
          <w:p w:rsidR="004A147C" w:rsidRPr="006F393E" w:rsidRDefault="004A147C" w:rsidP="00CE5850">
            <w:pPr>
              <w:jc w:val="right"/>
              <w:rPr>
                <w:sz w:val="20"/>
              </w:rPr>
            </w:pPr>
            <w:r w:rsidRPr="006F393E">
              <w:rPr>
                <w:sz w:val="20"/>
              </w:rPr>
              <w:t>58,743</w:t>
            </w:r>
          </w:p>
        </w:tc>
        <w:tc>
          <w:tcPr>
            <w:tcW w:w="902" w:type="dxa"/>
            <w:shd w:val="clear" w:color="auto" w:fill="F2DBDB"/>
            <w:tcMar>
              <w:top w:w="0" w:type="dxa"/>
              <w:left w:w="30" w:type="dxa"/>
              <w:bottom w:w="0" w:type="dxa"/>
              <w:right w:w="30" w:type="dxa"/>
            </w:tcMar>
          </w:tcPr>
          <w:p w:rsidR="004A147C" w:rsidRPr="00D83469" w:rsidRDefault="004A147C" w:rsidP="00CE5850">
            <w:pPr>
              <w:jc w:val="right"/>
              <w:rPr>
                <w:sz w:val="20"/>
              </w:rPr>
            </w:pPr>
            <w:r w:rsidRPr="00D83469">
              <w:rPr>
                <w:sz w:val="20"/>
              </w:rPr>
              <w:t>99.3%</w:t>
            </w:r>
          </w:p>
        </w:tc>
        <w:tc>
          <w:tcPr>
            <w:tcW w:w="1199" w:type="dxa"/>
            <w:shd w:val="clear" w:color="auto" w:fill="F2DBDB"/>
            <w:tcMar>
              <w:top w:w="0" w:type="dxa"/>
              <w:left w:w="30" w:type="dxa"/>
              <w:bottom w:w="0" w:type="dxa"/>
              <w:right w:w="30" w:type="dxa"/>
            </w:tcMar>
          </w:tcPr>
          <w:p w:rsidR="004A147C" w:rsidRPr="00D83469" w:rsidRDefault="004A147C" w:rsidP="00CE5850">
            <w:pPr>
              <w:jc w:val="right"/>
              <w:rPr>
                <w:sz w:val="20"/>
              </w:rPr>
            </w:pPr>
            <w:r w:rsidRPr="00D83469">
              <w:rPr>
                <w:sz w:val="20"/>
              </w:rPr>
              <w:t>3,214</w:t>
            </w:r>
          </w:p>
        </w:tc>
        <w:tc>
          <w:tcPr>
            <w:tcW w:w="1196" w:type="dxa"/>
            <w:shd w:val="clear" w:color="auto" w:fill="F2DBDB"/>
            <w:tcMar>
              <w:top w:w="0" w:type="dxa"/>
              <w:left w:w="30" w:type="dxa"/>
              <w:bottom w:w="0" w:type="dxa"/>
              <w:right w:w="30" w:type="dxa"/>
            </w:tcMar>
          </w:tcPr>
          <w:p w:rsidR="004A147C" w:rsidRPr="00D83469" w:rsidRDefault="004A147C" w:rsidP="00CE5850">
            <w:pPr>
              <w:jc w:val="right"/>
              <w:rPr>
                <w:sz w:val="20"/>
              </w:rPr>
            </w:pPr>
            <w:r w:rsidRPr="00D83469">
              <w:rPr>
                <w:sz w:val="20"/>
              </w:rPr>
              <w:t>69.9%</w:t>
            </w:r>
          </w:p>
        </w:tc>
        <w:tc>
          <w:tcPr>
            <w:tcW w:w="1170" w:type="dxa"/>
            <w:shd w:val="clear" w:color="auto" w:fill="F2DBDB"/>
          </w:tcPr>
          <w:p w:rsidR="004A147C" w:rsidRPr="00D83469" w:rsidRDefault="004A147C" w:rsidP="00CE5850">
            <w:pPr>
              <w:jc w:val="right"/>
              <w:rPr>
                <w:sz w:val="20"/>
              </w:rPr>
            </w:pPr>
            <w:r w:rsidRPr="00D83469">
              <w:rPr>
                <w:sz w:val="20"/>
              </w:rPr>
              <w:t>4,252</w:t>
            </w:r>
          </w:p>
        </w:tc>
        <w:tc>
          <w:tcPr>
            <w:tcW w:w="994" w:type="dxa"/>
            <w:shd w:val="clear" w:color="auto" w:fill="F2DBDB"/>
          </w:tcPr>
          <w:p w:rsidR="004A147C" w:rsidRPr="00D83469" w:rsidRDefault="004A147C" w:rsidP="00CE5850">
            <w:pPr>
              <w:jc w:val="right"/>
              <w:rPr>
                <w:sz w:val="20"/>
              </w:rPr>
            </w:pPr>
            <w:r w:rsidRPr="00D83469">
              <w:rPr>
                <w:sz w:val="20"/>
              </w:rPr>
              <w:t>92.6%</w:t>
            </w:r>
          </w:p>
        </w:tc>
      </w:tr>
      <w:tr w:rsidR="004A147C" w:rsidRPr="00B53FFB" w:rsidTr="003F13FC">
        <w:trPr>
          <w:trHeight w:val="250"/>
          <w:jc w:val="center"/>
        </w:trPr>
        <w:tc>
          <w:tcPr>
            <w:tcW w:w="1175" w:type="dxa"/>
            <w:shd w:val="clear" w:color="auto" w:fill="F2DBDB"/>
            <w:tcMar>
              <w:top w:w="0" w:type="dxa"/>
              <w:left w:w="30" w:type="dxa"/>
              <w:bottom w:w="0" w:type="dxa"/>
              <w:right w:w="30" w:type="dxa"/>
            </w:tcMar>
            <w:vAlign w:val="bottom"/>
          </w:tcPr>
          <w:p w:rsidR="004A147C" w:rsidRPr="00B53FFB" w:rsidRDefault="004A147C" w:rsidP="00CE5850">
            <w:pPr>
              <w:snapToGrid w:val="0"/>
              <w:rPr>
                <w:sz w:val="20"/>
              </w:rPr>
            </w:pPr>
            <w:r w:rsidRPr="00B53FFB">
              <w:rPr>
                <w:sz w:val="20"/>
              </w:rPr>
              <w:t>2 or More</w:t>
            </w:r>
          </w:p>
        </w:tc>
        <w:tc>
          <w:tcPr>
            <w:tcW w:w="1155" w:type="dxa"/>
            <w:shd w:val="clear" w:color="auto" w:fill="F2DBDB"/>
            <w:tcMar>
              <w:top w:w="0" w:type="dxa"/>
              <w:left w:w="30" w:type="dxa"/>
              <w:bottom w:w="0" w:type="dxa"/>
              <w:right w:w="30" w:type="dxa"/>
            </w:tcMar>
          </w:tcPr>
          <w:p w:rsidR="004A147C" w:rsidRPr="00322150" w:rsidRDefault="004A147C" w:rsidP="00CE5850">
            <w:pPr>
              <w:jc w:val="right"/>
              <w:rPr>
                <w:sz w:val="20"/>
              </w:rPr>
            </w:pPr>
            <w:r w:rsidRPr="00322150">
              <w:rPr>
                <w:sz w:val="20"/>
              </w:rPr>
              <w:t>4,814</w:t>
            </w:r>
          </w:p>
        </w:tc>
        <w:tc>
          <w:tcPr>
            <w:tcW w:w="1578" w:type="dxa"/>
            <w:shd w:val="clear" w:color="auto" w:fill="F2DBDB"/>
            <w:tcMar>
              <w:top w:w="0" w:type="dxa"/>
              <w:left w:w="30" w:type="dxa"/>
              <w:bottom w:w="0" w:type="dxa"/>
              <w:right w:w="30" w:type="dxa"/>
            </w:tcMar>
          </w:tcPr>
          <w:p w:rsidR="004A147C" w:rsidRPr="006F393E" w:rsidRDefault="004A147C" w:rsidP="00CE5850">
            <w:pPr>
              <w:jc w:val="right"/>
              <w:rPr>
                <w:sz w:val="20"/>
              </w:rPr>
            </w:pPr>
            <w:r w:rsidRPr="006F393E">
              <w:rPr>
                <w:sz w:val="20"/>
              </w:rPr>
              <w:t>57,164</w:t>
            </w:r>
          </w:p>
        </w:tc>
        <w:tc>
          <w:tcPr>
            <w:tcW w:w="902" w:type="dxa"/>
            <w:shd w:val="clear" w:color="auto" w:fill="F2DBDB"/>
            <w:tcMar>
              <w:top w:w="0" w:type="dxa"/>
              <w:left w:w="30" w:type="dxa"/>
              <w:bottom w:w="0" w:type="dxa"/>
              <w:right w:w="30" w:type="dxa"/>
            </w:tcMar>
          </w:tcPr>
          <w:p w:rsidR="004A147C" w:rsidRPr="00D83469" w:rsidRDefault="004A147C" w:rsidP="00CE5850">
            <w:pPr>
              <w:jc w:val="right"/>
              <w:rPr>
                <w:sz w:val="20"/>
              </w:rPr>
            </w:pPr>
            <w:r w:rsidRPr="00D83469">
              <w:rPr>
                <w:sz w:val="20"/>
              </w:rPr>
              <w:t>96.6%</w:t>
            </w:r>
          </w:p>
        </w:tc>
        <w:tc>
          <w:tcPr>
            <w:tcW w:w="1199" w:type="dxa"/>
            <w:shd w:val="clear" w:color="auto" w:fill="F2DBDB"/>
            <w:tcMar>
              <w:top w:w="0" w:type="dxa"/>
              <w:left w:w="30" w:type="dxa"/>
              <w:bottom w:w="0" w:type="dxa"/>
              <w:right w:w="30" w:type="dxa"/>
            </w:tcMar>
          </w:tcPr>
          <w:p w:rsidR="004A147C" w:rsidRPr="00D83469" w:rsidRDefault="004A147C" w:rsidP="00CE5850">
            <w:pPr>
              <w:jc w:val="right"/>
              <w:rPr>
                <w:sz w:val="20"/>
              </w:rPr>
            </w:pPr>
            <w:r w:rsidRPr="00D83469">
              <w:rPr>
                <w:sz w:val="20"/>
              </w:rPr>
              <w:t>2,245</w:t>
            </w:r>
          </w:p>
        </w:tc>
        <w:tc>
          <w:tcPr>
            <w:tcW w:w="1196" w:type="dxa"/>
            <w:shd w:val="clear" w:color="auto" w:fill="F2DBDB"/>
            <w:tcMar>
              <w:top w:w="0" w:type="dxa"/>
              <w:left w:w="30" w:type="dxa"/>
              <w:bottom w:w="0" w:type="dxa"/>
              <w:right w:w="30" w:type="dxa"/>
            </w:tcMar>
          </w:tcPr>
          <w:p w:rsidR="004A147C" w:rsidRPr="00D83469" w:rsidRDefault="004A147C" w:rsidP="00CE5850">
            <w:pPr>
              <w:jc w:val="right"/>
              <w:rPr>
                <w:sz w:val="20"/>
              </w:rPr>
            </w:pPr>
            <w:r w:rsidRPr="00D83469">
              <w:rPr>
                <w:sz w:val="20"/>
              </w:rPr>
              <w:t>57.4%</w:t>
            </w:r>
          </w:p>
        </w:tc>
        <w:tc>
          <w:tcPr>
            <w:tcW w:w="1170" w:type="dxa"/>
            <w:shd w:val="clear" w:color="auto" w:fill="F2DBDB"/>
          </w:tcPr>
          <w:p w:rsidR="004A147C" w:rsidRPr="00D83469" w:rsidRDefault="004A147C" w:rsidP="00CE5850">
            <w:pPr>
              <w:jc w:val="right"/>
              <w:rPr>
                <w:sz w:val="20"/>
              </w:rPr>
            </w:pPr>
            <w:r w:rsidRPr="00D83469">
              <w:rPr>
                <w:sz w:val="20"/>
              </w:rPr>
              <w:t>3,762</w:t>
            </w:r>
          </w:p>
        </w:tc>
        <w:tc>
          <w:tcPr>
            <w:tcW w:w="994" w:type="dxa"/>
            <w:shd w:val="clear" w:color="auto" w:fill="F2DBDB"/>
          </w:tcPr>
          <w:p w:rsidR="004A147C" w:rsidRPr="00D83469" w:rsidRDefault="004A147C" w:rsidP="00CE5850">
            <w:pPr>
              <w:jc w:val="right"/>
              <w:rPr>
                <w:sz w:val="20"/>
              </w:rPr>
            </w:pPr>
            <w:r w:rsidRPr="00D83469">
              <w:rPr>
                <w:sz w:val="20"/>
              </w:rPr>
              <w:t>81.9%</w:t>
            </w:r>
          </w:p>
        </w:tc>
      </w:tr>
      <w:tr w:rsidR="004A147C" w:rsidRPr="00B53FFB" w:rsidTr="003F13FC">
        <w:trPr>
          <w:trHeight w:val="245"/>
          <w:jc w:val="center"/>
        </w:trPr>
        <w:tc>
          <w:tcPr>
            <w:tcW w:w="1175" w:type="dxa"/>
            <w:shd w:val="clear" w:color="auto" w:fill="F2DBDB"/>
            <w:tcMar>
              <w:top w:w="0" w:type="dxa"/>
              <w:left w:w="30" w:type="dxa"/>
              <w:bottom w:w="0" w:type="dxa"/>
              <w:right w:w="30" w:type="dxa"/>
            </w:tcMar>
            <w:vAlign w:val="bottom"/>
          </w:tcPr>
          <w:p w:rsidR="004A147C" w:rsidRPr="00B53FFB" w:rsidRDefault="004A147C" w:rsidP="00CE5850">
            <w:pPr>
              <w:snapToGrid w:val="0"/>
              <w:rPr>
                <w:sz w:val="20"/>
              </w:rPr>
            </w:pPr>
            <w:r w:rsidRPr="00B53FFB">
              <w:rPr>
                <w:sz w:val="20"/>
              </w:rPr>
              <w:t>3 or More</w:t>
            </w:r>
          </w:p>
        </w:tc>
        <w:tc>
          <w:tcPr>
            <w:tcW w:w="1155" w:type="dxa"/>
            <w:shd w:val="clear" w:color="auto" w:fill="F2DBDB"/>
            <w:tcMar>
              <w:top w:w="0" w:type="dxa"/>
              <w:left w:w="30" w:type="dxa"/>
              <w:bottom w:w="0" w:type="dxa"/>
              <w:right w:w="30" w:type="dxa"/>
            </w:tcMar>
          </w:tcPr>
          <w:p w:rsidR="004A147C" w:rsidRPr="00322150" w:rsidRDefault="004A147C" w:rsidP="00CE5850">
            <w:pPr>
              <w:jc w:val="right"/>
              <w:rPr>
                <w:sz w:val="20"/>
              </w:rPr>
            </w:pPr>
            <w:r w:rsidRPr="00322150">
              <w:rPr>
                <w:sz w:val="20"/>
              </w:rPr>
              <w:t>3,955</w:t>
            </w:r>
          </w:p>
        </w:tc>
        <w:tc>
          <w:tcPr>
            <w:tcW w:w="1578" w:type="dxa"/>
            <w:shd w:val="clear" w:color="auto" w:fill="F2DBDB"/>
            <w:tcMar>
              <w:top w:w="0" w:type="dxa"/>
              <w:left w:w="30" w:type="dxa"/>
              <w:bottom w:w="0" w:type="dxa"/>
              <w:right w:w="30" w:type="dxa"/>
            </w:tcMar>
          </w:tcPr>
          <w:p w:rsidR="004A147C" w:rsidRPr="006F393E" w:rsidRDefault="004A147C" w:rsidP="00CE5850">
            <w:pPr>
              <w:jc w:val="right"/>
              <w:rPr>
                <w:sz w:val="20"/>
              </w:rPr>
            </w:pPr>
            <w:r w:rsidRPr="006F393E">
              <w:rPr>
                <w:sz w:val="20"/>
              </w:rPr>
              <w:t>51,444</w:t>
            </w:r>
          </w:p>
        </w:tc>
        <w:tc>
          <w:tcPr>
            <w:tcW w:w="902" w:type="dxa"/>
            <w:shd w:val="clear" w:color="auto" w:fill="F2DBDB"/>
            <w:tcMar>
              <w:top w:w="0" w:type="dxa"/>
              <w:left w:w="30" w:type="dxa"/>
              <w:bottom w:w="0" w:type="dxa"/>
              <w:right w:w="30" w:type="dxa"/>
            </w:tcMar>
          </w:tcPr>
          <w:p w:rsidR="004A147C" w:rsidRPr="00D83469" w:rsidRDefault="004A147C" w:rsidP="00CE5850">
            <w:pPr>
              <w:jc w:val="right"/>
              <w:rPr>
                <w:sz w:val="20"/>
              </w:rPr>
            </w:pPr>
            <w:r w:rsidRPr="00D83469">
              <w:rPr>
                <w:sz w:val="20"/>
              </w:rPr>
              <w:t>87.0%</w:t>
            </w:r>
          </w:p>
        </w:tc>
        <w:tc>
          <w:tcPr>
            <w:tcW w:w="1199" w:type="dxa"/>
            <w:shd w:val="clear" w:color="auto" w:fill="F2DBDB"/>
            <w:tcMar>
              <w:top w:w="0" w:type="dxa"/>
              <w:left w:w="30" w:type="dxa"/>
              <w:bottom w:w="0" w:type="dxa"/>
              <w:right w:w="30" w:type="dxa"/>
            </w:tcMar>
          </w:tcPr>
          <w:p w:rsidR="004A147C" w:rsidRPr="00D83469" w:rsidRDefault="004A147C" w:rsidP="00CE5850">
            <w:pPr>
              <w:jc w:val="right"/>
              <w:rPr>
                <w:sz w:val="20"/>
              </w:rPr>
            </w:pPr>
            <w:r w:rsidRPr="00D83469">
              <w:rPr>
                <w:sz w:val="20"/>
              </w:rPr>
              <w:t>1,845</w:t>
            </w:r>
          </w:p>
        </w:tc>
        <w:tc>
          <w:tcPr>
            <w:tcW w:w="1196" w:type="dxa"/>
            <w:shd w:val="clear" w:color="auto" w:fill="F2DBDB"/>
            <w:tcMar>
              <w:top w:w="0" w:type="dxa"/>
              <w:left w:w="30" w:type="dxa"/>
              <w:bottom w:w="0" w:type="dxa"/>
              <w:right w:w="30" w:type="dxa"/>
            </w:tcMar>
          </w:tcPr>
          <w:p w:rsidR="004A147C" w:rsidRPr="00D83469" w:rsidRDefault="004A147C" w:rsidP="00CE5850">
            <w:pPr>
              <w:jc w:val="right"/>
              <w:rPr>
                <w:sz w:val="20"/>
              </w:rPr>
            </w:pPr>
            <w:r w:rsidRPr="00D83469">
              <w:rPr>
                <w:sz w:val="20"/>
              </w:rPr>
              <w:t>39.0%</w:t>
            </w:r>
          </w:p>
        </w:tc>
        <w:tc>
          <w:tcPr>
            <w:tcW w:w="1170" w:type="dxa"/>
            <w:shd w:val="clear" w:color="auto" w:fill="F2DBDB"/>
          </w:tcPr>
          <w:p w:rsidR="004A147C" w:rsidRPr="00D83469" w:rsidRDefault="004A147C" w:rsidP="00CE5850">
            <w:pPr>
              <w:jc w:val="right"/>
              <w:rPr>
                <w:sz w:val="20"/>
              </w:rPr>
            </w:pPr>
            <w:r w:rsidRPr="00D83469">
              <w:rPr>
                <w:sz w:val="20"/>
              </w:rPr>
              <w:t>2,813</w:t>
            </w:r>
          </w:p>
        </w:tc>
        <w:tc>
          <w:tcPr>
            <w:tcW w:w="994" w:type="dxa"/>
            <w:shd w:val="clear" w:color="auto" w:fill="F2DBDB"/>
          </w:tcPr>
          <w:p w:rsidR="004A147C" w:rsidRPr="00D83469" w:rsidRDefault="004A147C" w:rsidP="00CE5850">
            <w:pPr>
              <w:jc w:val="right"/>
              <w:rPr>
                <w:sz w:val="20"/>
              </w:rPr>
            </w:pPr>
            <w:r w:rsidRPr="00D83469">
              <w:rPr>
                <w:sz w:val="20"/>
              </w:rPr>
              <w:t>61.3%</w:t>
            </w:r>
          </w:p>
        </w:tc>
      </w:tr>
      <w:tr w:rsidR="004A147C" w:rsidRPr="00B53FFB" w:rsidTr="003F13FC">
        <w:trPr>
          <w:trHeight w:val="262"/>
          <w:jc w:val="center"/>
        </w:trPr>
        <w:tc>
          <w:tcPr>
            <w:tcW w:w="1175" w:type="dxa"/>
            <w:shd w:val="clear" w:color="auto" w:fill="F2DBDB"/>
            <w:tcMar>
              <w:top w:w="0" w:type="dxa"/>
              <w:left w:w="30" w:type="dxa"/>
              <w:bottom w:w="0" w:type="dxa"/>
              <w:right w:w="30" w:type="dxa"/>
            </w:tcMar>
            <w:vAlign w:val="bottom"/>
          </w:tcPr>
          <w:p w:rsidR="004A147C" w:rsidRPr="00B53FFB" w:rsidRDefault="004A147C" w:rsidP="00CE5850">
            <w:pPr>
              <w:snapToGrid w:val="0"/>
              <w:rPr>
                <w:sz w:val="20"/>
              </w:rPr>
            </w:pPr>
            <w:r w:rsidRPr="00B53FFB">
              <w:rPr>
                <w:sz w:val="20"/>
              </w:rPr>
              <w:t>4 or More</w:t>
            </w:r>
          </w:p>
        </w:tc>
        <w:tc>
          <w:tcPr>
            <w:tcW w:w="1155" w:type="dxa"/>
            <w:shd w:val="clear" w:color="auto" w:fill="F2DBDB"/>
            <w:tcMar>
              <w:top w:w="0" w:type="dxa"/>
              <w:left w:w="30" w:type="dxa"/>
              <w:bottom w:w="0" w:type="dxa"/>
              <w:right w:w="30" w:type="dxa"/>
            </w:tcMar>
          </w:tcPr>
          <w:p w:rsidR="004A147C" w:rsidRPr="00322150" w:rsidRDefault="004A147C" w:rsidP="00CE5850">
            <w:pPr>
              <w:jc w:val="right"/>
              <w:rPr>
                <w:sz w:val="20"/>
              </w:rPr>
            </w:pPr>
            <w:r w:rsidRPr="00322150">
              <w:rPr>
                <w:sz w:val="20"/>
              </w:rPr>
              <w:t>2,780</w:t>
            </w:r>
          </w:p>
        </w:tc>
        <w:tc>
          <w:tcPr>
            <w:tcW w:w="1578" w:type="dxa"/>
            <w:shd w:val="clear" w:color="auto" w:fill="F2DBDB"/>
            <w:tcMar>
              <w:top w:w="0" w:type="dxa"/>
              <w:left w:w="30" w:type="dxa"/>
              <w:bottom w:w="0" w:type="dxa"/>
              <w:right w:w="30" w:type="dxa"/>
            </w:tcMar>
          </w:tcPr>
          <w:p w:rsidR="004A147C" w:rsidRPr="006F393E" w:rsidRDefault="004A147C" w:rsidP="00CE5850">
            <w:pPr>
              <w:jc w:val="right"/>
              <w:rPr>
                <w:sz w:val="20"/>
              </w:rPr>
            </w:pPr>
            <w:r w:rsidRPr="006F393E">
              <w:rPr>
                <w:sz w:val="20"/>
              </w:rPr>
              <w:t>40,884</w:t>
            </w:r>
          </w:p>
        </w:tc>
        <w:tc>
          <w:tcPr>
            <w:tcW w:w="902" w:type="dxa"/>
            <w:shd w:val="clear" w:color="auto" w:fill="F2DBDB"/>
            <w:tcMar>
              <w:top w:w="0" w:type="dxa"/>
              <w:left w:w="30" w:type="dxa"/>
              <w:bottom w:w="0" w:type="dxa"/>
              <w:right w:w="30" w:type="dxa"/>
            </w:tcMar>
          </w:tcPr>
          <w:p w:rsidR="004A147C" w:rsidRPr="00D83469" w:rsidRDefault="004A147C" w:rsidP="00CE5850">
            <w:pPr>
              <w:jc w:val="right"/>
              <w:rPr>
                <w:sz w:val="20"/>
              </w:rPr>
            </w:pPr>
            <w:r w:rsidRPr="00D83469">
              <w:rPr>
                <w:sz w:val="20"/>
              </w:rPr>
              <w:t>69.1%</w:t>
            </w:r>
          </w:p>
        </w:tc>
        <w:tc>
          <w:tcPr>
            <w:tcW w:w="1199" w:type="dxa"/>
            <w:shd w:val="clear" w:color="auto" w:fill="F2DBDB"/>
            <w:tcMar>
              <w:top w:w="0" w:type="dxa"/>
              <w:left w:w="30" w:type="dxa"/>
              <w:bottom w:w="0" w:type="dxa"/>
              <w:right w:w="30" w:type="dxa"/>
            </w:tcMar>
          </w:tcPr>
          <w:p w:rsidR="004A147C" w:rsidRPr="00D83469" w:rsidRDefault="004A147C" w:rsidP="00CE5850">
            <w:pPr>
              <w:jc w:val="right"/>
              <w:rPr>
                <w:sz w:val="20"/>
              </w:rPr>
            </w:pPr>
            <w:r w:rsidRPr="00D83469">
              <w:rPr>
                <w:sz w:val="20"/>
              </w:rPr>
              <w:t>1,253</w:t>
            </w:r>
          </w:p>
        </w:tc>
        <w:tc>
          <w:tcPr>
            <w:tcW w:w="1196" w:type="dxa"/>
            <w:shd w:val="clear" w:color="auto" w:fill="F2DBDB"/>
            <w:tcMar>
              <w:top w:w="0" w:type="dxa"/>
              <w:left w:w="30" w:type="dxa"/>
              <w:bottom w:w="0" w:type="dxa"/>
              <w:right w:w="30" w:type="dxa"/>
            </w:tcMar>
          </w:tcPr>
          <w:p w:rsidR="004A147C" w:rsidRPr="00D83469" w:rsidRDefault="004A147C" w:rsidP="00CE5850">
            <w:pPr>
              <w:jc w:val="right"/>
              <w:rPr>
                <w:sz w:val="20"/>
              </w:rPr>
            </w:pPr>
            <w:r w:rsidRPr="00D83469">
              <w:rPr>
                <w:sz w:val="20"/>
              </w:rPr>
              <w:t>22.4%</w:t>
            </w:r>
          </w:p>
        </w:tc>
        <w:tc>
          <w:tcPr>
            <w:tcW w:w="1170" w:type="dxa"/>
            <w:shd w:val="clear" w:color="auto" w:fill="F2DBDB"/>
          </w:tcPr>
          <w:p w:rsidR="004A147C" w:rsidRPr="00D83469" w:rsidRDefault="004A147C" w:rsidP="00CE5850">
            <w:pPr>
              <w:jc w:val="right"/>
              <w:rPr>
                <w:sz w:val="20"/>
              </w:rPr>
            </w:pPr>
            <w:r w:rsidRPr="00D83469">
              <w:rPr>
                <w:sz w:val="20"/>
              </w:rPr>
              <w:t>1,790</w:t>
            </w:r>
          </w:p>
        </w:tc>
        <w:tc>
          <w:tcPr>
            <w:tcW w:w="994" w:type="dxa"/>
            <w:shd w:val="clear" w:color="auto" w:fill="F2DBDB"/>
          </w:tcPr>
          <w:p w:rsidR="004A147C" w:rsidRPr="00D83469" w:rsidRDefault="004A147C" w:rsidP="00CE5850">
            <w:pPr>
              <w:jc w:val="right"/>
              <w:rPr>
                <w:sz w:val="20"/>
              </w:rPr>
            </w:pPr>
            <w:r w:rsidRPr="00D83469">
              <w:rPr>
                <w:sz w:val="20"/>
              </w:rPr>
              <w:t>39.0%</w:t>
            </w:r>
          </w:p>
        </w:tc>
      </w:tr>
      <w:tr w:rsidR="004A147C" w:rsidRPr="00B53FFB" w:rsidTr="003F13FC">
        <w:trPr>
          <w:trHeight w:val="70"/>
          <w:jc w:val="center"/>
        </w:trPr>
        <w:tc>
          <w:tcPr>
            <w:tcW w:w="1175" w:type="dxa"/>
            <w:shd w:val="clear" w:color="auto" w:fill="F2DBDB"/>
            <w:tcMar>
              <w:top w:w="0" w:type="dxa"/>
              <w:left w:w="30" w:type="dxa"/>
              <w:bottom w:w="0" w:type="dxa"/>
              <w:right w:w="30" w:type="dxa"/>
            </w:tcMar>
            <w:vAlign w:val="bottom"/>
          </w:tcPr>
          <w:p w:rsidR="004A147C" w:rsidRPr="00B53FFB" w:rsidRDefault="004A147C" w:rsidP="00CE5850">
            <w:pPr>
              <w:snapToGrid w:val="0"/>
              <w:rPr>
                <w:sz w:val="20"/>
              </w:rPr>
            </w:pPr>
            <w:r w:rsidRPr="00B53FFB">
              <w:rPr>
                <w:sz w:val="20"/>
              </w:rPr>
              <w:t>5 or More</w:t>
            </w:r>
          </w:p>
        </w:tc>
        <w:tc>
          <w:tcPr>
            <w:tcW w:w="1155" w:type="dxa"/>
            <w:shd w:val="clear" w:color="auto" w:fill="F2DBDB"/>
            <w:tcMar>
              <w:top w:w="0" w:type="dxa"/>
              <w:left w:w="30" w:type="dxa"/>
              <w:bottom w:w="0" w:type="dxa"/>
              <w:right w:w="30" w:type="dxa"/>
            </w:tcMar>
          </w:tcPr>
          <w:p w:rsidR="004A147C" w:rsidRPr="00322150" w:rsidRDefault="004A147C" w:rsidP="00CE5850">
            <w:pPr>
              <w:jc w:val="right"/>
              <w:rPr>
                <w:sz w:val="20"/>
              </w:rPr>
            </w:pPr>
            <w:r w:rsidRPr="00322150">
              <w:rPr>
                <w:sz w:val="20"/>
              </w:rPr>
              <w:t>1,433</w:t>
            </w:r>
          </w:p>
        </w:tc>
        <w:tc>
          <w:tcPr>
            <w:tcW w:w="1578" w:type="dxa"/>
            <w:shd w:val="clear" w:color="auto" w:fill="F2DBDB"/>
            <w:tcMar>
              <w:top w:w="0" w:type="dxa"/>
              <w:left w:w="30" w:type="dxa"/>
              <w:bottom w:w="0" w:type="dxa"/>
              <w:right w:w="30" w:type="dxa"/>
            </w:tcMar>
          </w:tcPr>
          <w:p w:rsidR="004A147C" w:rsidRPr="006F393E" w:rsidRDefault="004A147C" w:rsidP="00CE5850">
            <w:pPr>
              <w:jc w:val="right"/>
              <w:rPr>
                <w:sz w:val="20"/>
              </w:rPr>
            </w:pPr>
            <w:r w:rsidRPr="006F393E">
              <w:rPr>
                <w:sz w:val="20"/>
              </w:rPr>
              <w:t>24,090</w:t>
            </w:r>
          </w:p>
        </w:tc>
        <w:tc>
          <w:tcPr>
            <w:tcW w:w="902" w:type="dxa"/>
            <w:shd w:val="clear" w:color="auto" w:fill="F2DBDB"/>
            <w:tcMar>
              <w:top w:w="0" w:type="dxa"/>
              <w:left w:w="30" w:type="dxa"/>
              <w:bottom w:w="0" w:type="dxa"/>
              <w:right w:w="30" w:type="dxa"/>
            </w:tcMar>
          </w:tcPr>
          <w:p w:rsidR="004A147C" w:rsidRPr="00D83469" w:rsidRDefault="004A147C" w:rsidP="00CE5850">
            <w:pPr>
              <w:jc w:val="right"/>
              <w:rPr>
                <w:sz w:val="20"/>
              </w:rPr>
            </w:pPr>
            <w:r w:rsidRPr="00D83469">
              <w:rPr>
                <w:sz w:val="20"/>
              </w:rPr>
              <w:t>40.7%</w:t>
            </w:r>
          </w:p>
        </w:tc>
        <w:tc>
          <w:tcPr>
            <w:tcW w:w="1199" w:type="dxa"/>
            <w:shd w:val="clear" w:color="auto" w:fill="F2DBDB"/>
            <w:tcMar>
              <w:top w:w="0" w:type="dxa"/>
              <w:left w:w="30" w:type="dxa"/>
              <w:bottom w:w="0" w:type="dxa"/>
              <w:right w:w="30" w:type="dxa"/>
            </w:tcMar>
          </w:tcPr>
          <w:p w:rsidR="004A147C" w:rsidRPr="00D83469" w:rsidRDefault="004A147C" w:rsidP="00CE5850">
            <w:pPr>
              <w:jc w:val="right"/>
              <w:rPr>
                <w:sz w:val="20"/>
              </w:rPr>
            </w:pPr>
            <w:r w:rsidRPr="00D83469">
              <w:rPr>
                <w:sz w:val="20"/>
              </w:rPr>
              <w:t>719</w:t>
            </w:r>
          </w:p>
        </w:tc>
        <w:tc>
          <w:tcPr>
            <w:tcW w:w="1196" w:type="dxa"/>
            <w:shd w:val="clear" w:color="auto" w:fill="F2DBDB"/>
            <w:tcMar>
              <w:top w:w="0" w:type="dxa"/>
              <w:left w:w="30" w:type="dxa"/>
              <w:bottom w:w="0" w:type="dxa"/>
              <w:right w:w="30" w:type="dxa"/>
            </w:tcMar>
          </w:tcPr>
          <w:p w:rsidR="004A147C" w:rsidRPr="00D83469" w:rsidRDefault="004A147C" w:rsidP="00CE5850">
            <w:pPr>
              <w:jc w:val="right"/>
              <w:rPr>
                <w:sz w:val="20"/>
              </w:rPr>
            </w:pPr>
            <w:r w:rsidRPr="00D83469">
              <w:rPr>
                <w:sz w:val="20"/>
              </w:rPr>
              <w:t>9.6%</w:t>
            </w:r>
          </w:p>
        </w:tc>
        <w:tc>
          <w:tcPr>
            <w:tcW w:w="1170" w:type="dxa"/>
            <w:shd w:val="clear" w:color="auto" w:fill="F2DBDB"/>
          </w:tcPr>
          <w:p w:rsidR="004A147C" w:rsidRPr="00D83469" w:rsidRDefault="004A147C" w:rsidP="00CE5850">
            <w:pPr>
              <w:jc w:val="right"/>
              <w:rPr>
                <w:sz w:val="20"/>
              </w:rPr>
            </w:pPr>
            <w:r w:rsidRPr="00D83469">
              <w:rPr>
                <w:sz w:val="20"/>
              </w:rPr>
              <w:t>839</w:t>
            </w:r>
          </w:p>
        </w:tc>
        <w:tc>
          <w:tcPr>
            <w:tcW w:w="994" w:type="dxa"/>
            <w:shd w:val="clear" w:color="auto" w:fill="F2DBDB"/>
          </w:tcPr>
          <w:p w:rsidR="004A147C" w:rsidRPr="00D83469" w:rsidRDefault="004A147C" w:rsidP="00CE5850">
            <w:pPr>
              <w:jc w:val="right"/>
              <w:rPr>
                <w:sz w:val="20"/>
              </w:rPr>
            </w:pPr>
            <w:r w:rsidRPr="00D83469">
              <w:rPr>
                <w:sz w:val="20"/>
              </w:rPr>
              <w:t>18.3%</w:t>
            </w:r>
          </w:p>
        </w:tc>
      </w:tr>
      <w:bookmarkEnd w:id="5558"/>
      <w:bookmarkEnd w:id="5559"/>
    </w:tbl>
    <w:p w:rsidR="004A147C" w:rsidRPr="004203F0" w:rsidRDefault="004A147C" w:rsidP="00CE5850">
      <w:pPr>
        <w:rPr>
          <w:b/>
        </w:rPr>
      </w:pPr>
    </w:p>
    <w:p w:rsidR="004A147C" w:rsidRPr="007B3B42" w:rsidRDefault="004A147C" w:rsidP="00CE5850">
      <w:pPr>
        <w:pStyle w:val="Caption"/>
        <w:widowControl w:val="0"/>
        <w:jc w:val="center"/>
        <w:rPr>
          <w:sz w:val="22"/>
          <w:szCs w:val="22"/>
        </w:rPr>
      </w:pPr>
      <w:r w:rsidRPr="007B3B42">
        <w:rPr>
          <w:sz w:val="22"/>
          <w:szCs w:val="22"/>
        </w:rPr>
        <w:t xml:space="preserve">Table </w:t>
      </w:r>
      <w:r w:rsidR="0007014B" w:rsidRPr="007B3B42">
        <w:rPr>
          <w:sz w:val="22"/>
          <w:szCs w:val="22"/>
        </w:rPr>
        <w:fldChar w:fldCharType="begin"/>
      </w:r>
      <w:r w:rsidRPr="007B3B42">
        <w:rPr>
          <w:sz w:val="22"/>
          <w:szCs w:val="22"/>
        </w:rPr>
        <w:instrText xml:space="preserve"> SEQ Table \* ARABIC </w:instrText>
      </w:r>
      <w:r w:rsidR="0007014B" w:rsidRPr="007B3B42">
        <w:rPr>
          <w:sz w:val="22"/>
          <w:szCs w:val="22"/>
        </w:rPr>
        <w:fldChar w:fldCharType="separate"/>
      </w:r>
      <w:r w:rsidR="00CA3AC6">
        <w:rPr>
          <w:noProof/>
          <w:sz w:val="22"/>
          <w:szCs w:val="22"/>
        </w:rPr>
        <w:t>57</w:t>
      </w:r>
      <w:r w:rsidR="0007014B" w:rsidRPr="007B3B42">
        <w:rPr>
          <w:sz w:val="22"/>
          <w:szCs w:val="22"/>
        </w:rPr>
        <w:fldChar w:fldCharType="end"/>
      </w:r>
      <w:r w:rsidRPr="007B3B42">
        <w:rPr>
          <w:sz w:val="22"/>
          <w:szCs w:val="22"/>
        </w:rPr>
        <w:t xml:space="preserve"> </w:t>
      </w:r>
      <w:r w:rsidRPr="007B3B42">
        <w:rPr>
          <w:sz w:val="22"/>
          <w:szCs w:val="22"/>
        </w:rPr>
        <w:br/>
        <w:t xml:space="preserve">Estimated Mobile Voice Coverage in </w:t>
      </w:r>
      <w:r w:rsidRPr="00E775D5">
        <w:rPr>
          <w:i/>
          <w:sz w:val="22"/>
          <w:szCs w:val="22"/>
        </w:rPr>
        <w:t>Non-Rural Areas</w:t>
      </w:r>
      <w:r w:rsidRPr="007B3B42">
        <w:rPr>
          <w:sz w:val="22"/>
          <w:szCs w:val="22"/>
        </w:rPr>
        <w:t xml:space="preserve"> by Census Block, Jan. 2012</w:t>
      </w:r>
      <w:r w:rsidRPr="007B3B42">
        <w:rPr>
          <w:rStyle w:val="FootnoteReference"/>
          <w:szCs w:val="22"/>
        </w:rPr>
        <w:footnoteReference w:id="1190"/>
      </w:r>
    </w:p>
    <w:tbl>
      <w:tblPr>
        <w:tblW w:w="0" w:type="auto"/>
        <w:jc w:val="center"/>
        <w:tblInd w:w="-1029"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0" w:type="dxa"/>
          <w:right w:w="0" w:type="dxa"/>
        </w:tblCellMar>
        <w:tblLook w:val="00A0" w:firstRow="1" w:lastRow="0" w:firstColumn="1" w:lastColumn="0" w:noHBand="0" w:noVBand="0"/>
      </w:tblPr>
      <w:tblGrid>
        <w:gridCol w:w="1257"/>
        <w:gridCol w:w="1128"/>
        <w:gridCol w:w="1546"/>
        <w:gridCol w:w="1244"/>
        <w:gridCol w:w="1128"/>
        <w:gridCol w:w="1153"/>
        <w:gridCol w:w="1088"/>
        <w:gridCol w:w="1066"/>
      </w:tblGrid>
      <w:tr w:rsidR="004A147C" w:rsidRPr="00B53FFB" w:rsidTr="003F13FC">
        <w:trPr>
          <w:trHeight w:val="728"/>
          <w:jc w:val="center"/>
        </w:trPr>
        <w:tc>
          <w:tcPr>
            <w:tcW w:w="1257" w:type="dxa"/>
            <w:shd w:val="clear" w:color="auto" w:fill="F2DBDB"/>
            <w:tcMar>
              <w:top w:w="0" w:type="dxa"/>
              <w:left w:w="30" w:type="dxa"/>
              <w:bottom w:w="0" w:type="dxa"/>
              <w:right w:w="30" w:type="dxa"/>
            </w:tcMar>
          </w:tcPr>
          <w:p w:rsidR="004A147C" w:rsidRPr="00B53FFB" w:rsidRDefault="004A147C" w:rsidP="00CE5850">
            <w:pPr>
              <w:snapToGrid w:val="0"/>
              <w:jc w:val="center"/>
              <w:rPr>
                <w:b/>
                <w:bCs/>
                <w:iCs/>
                <w:sz w:val="20"/>
              </w:rPr>
            </w:pPr>
            <w:r w:rsidRPr="00B53FFB">
              <w:rPr>
                <w:b/>
                <w:bCs/>
                <w:iCs/>
                <w:sz w:val="20"/>
              </w:rPr>
              <w:t>Total Number of Providers with Coverage in a Block</w:t>
            </w:r>
          </w:p>
        </w:tc>
        <w:tc>
          <w:tcPr>
            <w:tcW w:w="1128" w:type="dxa"/>
            <w:shd w:val="clear" w:color="auto" w:fill="F2DBDB"/>
            <w:tcMar>
              <w:top w:w="0" w:type="dxa"/>
              <w:left w:w="30" w:type="dxa"/>
              <w:bottom w:w="0" w:type="dxa"/>
              <w:right w:w="30" w:type="dxa"/>
            </w:tcMar>
          </w:tcPr>
          <w:p w:rsidR="004A147C" w:rsidRPr="00B53FFB" w:rsidRDefault="004A147C" w:rsidP="00CE5850">
            <w:pPr>
              <w:snapToGrid w:val="0"/>
              <w:jc w:val="center"/>
              <w:rPr>
                <w:b/>
                <w:bCs/>
                <w:iCs/>
                <w:sz w:val="20"/>
              </w:rPr>
            </w:pPr>
            <w:r w:rsidRPr="00B53FFB">
              <w:rPr>
                <w:b/>
                <w:bCs/>
                <w:iCs/>
                <w:sz w:val="20"/>
              </w:rPr>
              <w:t>Number of Non-Rural Census Blocks</w:t>
            </w:r>
          </w:p>
          <w:p w:rsidR="004A147C" w:rsidRPr="00B53FFB" w:rsidRDefault="004A147C" w:rsidP="00CE5850">
            <w:pPr>
              <w:snapToGrid w:val="0"/>
              <w:jc w:val="center"/>
              <w:rPr>
                <w:b/>
                <w:bCs/>
                <w:iCs/>
                <w:sz w:val="20"/>
              </w:rPr>
            </w:pPr>
            <w:r w:rsidRPr="00B53FFB">
              <w:rPr>
                <w:b/>
                <w:bCs/>
                <w:iCs/>
                <w:sz w:val="20"/>
              </w:rPr>
              <w:t>(Thousands)</w:t>
            </w:r>
          </w:p>
        </w:tc>
        <w:tc>
          <w:tcPr>
            <w:tcW w:w="1546" w:type="dxa"/>
            <w:shd w:val="clear" w:color="auto" w:fill="F2DBDB"/>
            <w:tcMar>
              <w:top w:w="0" w:type="dxa"/>
              <w:left w:w="30" w:type="dxa"/>
              <w:bottom w:w="0" w:type="dxa"/>
              <w:right w:w="30" w:type="dxa"/>
            </w:tcMar>
          </w:tcPr>
          <w:p w:rsidR="004A147C" w:rsidRPr="00B53FFB" w:rsidRDefault="004A147C" w:rsidP="00CE5850">
            <w:pPr>
              <w:snapToGrid w:val="0"/>
              <w:jc w:val="center"/>
              <w:rPr>
                <w:b/>
                <w:bCs/>
                <w:iCs/>
                <w:sz w:val="20"/>
              </w:rPr>
            </w:pPr>
            <w:r w:rsidRPr="00B53FFB">
              <w:rPr>
                <w:b/>
                <w:bCs/>
                <w:iCs/>
                <w:sz w:val="20"/>
              </w:rPr>
              <w:t>POPs Contained in Non-Rural Census Blocks</w:t>
            </w:r>
          </w:p>
          <w:p w:rsidR="004A147C" w:rsidRPr="00B53FFB" w:rsidRDefault="004A147C" w:rsidP="00CE5850">
            <w:pPr>
              <w:snapToGrid w:val="0"/>
              <w:jc w:val="center"/>
              <w:rPr>
                <w:b/>
                <w:bCs/>
                <w:iCs/>
                <w:sz w:val="20"/>
              </w:rPr>
            </w:pPr>
            <w:r w:rsidRPr="00B53FFB">
              <w:rPr>
                <w:b/>
                <w:bCs/>
                <w:iCs/>
                <w:sz w:val="20"/>
              </w:rPr>
              <w:t xml:space="preserve">(Thousands) </w:t>
            </w:r>
          </w:p>
        </w:tc>
        <w:tc>
          <w:tcPr>
            <w:tcW w:w="1244" w:type="dxa"/>
            <w:shd w:val="clear" w:color="auto" w:fill="F2DBDB"/>
            <w:tcMar>
              <w:top w:w="0" w:type="dxa"/>
              <w:left w:w="30" w:type="dxa"/>
              <w:bottom w:w="0" w:type="dxa"/>
              <w:right w:w="30" w:type="dxa"/>
            </w:tcMar>
          </w:tcPr>
          <w:p w:rsidR="004A147C" w:rsidRPr="00B53FFB" w:rsidRDefault="004A147C" w:rsidP="00CE5850">
            <w:pPr>
              <w:snapToGrid w:val="0"/>
              <w:jc w:val="center"/>
              <w:rPr>
                <w:b/>
                <w:bCs/>
                <w:iCs/>
                <w:sz w:val="20"/>
              </w:rPr>
            </w:pPr>
            <w:r w:rsidRPr="00B53FFB">
              <w:rPr>
                <w:b/>
                <w:bCs/>
                <w:iCs/>
                <w:sz w:val="20"/>
              </w:rPr>
              <w:t>% of Total U.S. POPs</w:t>
            </w:r>
          </w:p>
        </w:tc>
        <w:tc>
          <w:tcPr>
            <w:tcW w:w="1128" w:type="dxa"/>
            <w:shd w:val="clear" w:color="auto" w:fill="F2DBDB"/>
            <w:tcMar>
              <w:top w:w="0" w:type="dxa"/>
              <w:left w:w="30" w:type="dxa"/>
              <w:bottom w:w="0" w:type="dxa"/>
              <w:right w:w="30" w:type="dxa"/>
            </w:tcMar>
          </w:tcPr>
          <w:p w:rsidR="004A147C" w:rsidRPr="00B53FFB" w:rsidRDefault="004A147C" w:rsidP="00CE5850">
            <w:pPr>
              <w:snapToGrid w:val="0"/>
              <w:jc w:val="center"/>
              <w:rPr>
                <w:b/>
                <w:bCs/>
                <w:iCs/>
                <w:sz w:val="20"/>
              </w:rPr>
            </w:pPr>
            <w:r w:rsidRPr="00B53FFB">
              <w:rPr>
                <w:b/>
                <w:bCs/>
                <w:iCs/>
                <w:sz w:val="20"/>
              </w:rPr>
              <w:t xml:space="preserve">Square Miles Contained in Those Blocks </w:t>
            </w:r>
          </w:p>
          <w:p w:rsidR="004A147C" w:rsidRPr="00B53FFB" w:rsidRDefault="004A147C" w:rsidP="00CE5850">
            <w:pPr>
              <w:snapToGrid w:val="0"/>
              <w:jc w:val="center"/>
              <w:rPr>
                <w:b/>
                <w:bCs/>
                <w:iCs/>
                <w:sz w:val="20"/>
              </w:rPr>
            </w:pPr>
            <w:r w:rsidRPr="00B53FFB">
              <w:rPr>
                <w:b/>
                <w:bCs/>
                <w:iCs/>
                <w:sz w:val="20"/>
              </w:rPr>
              <w:t>(Thousands)</w:t>
            </w:r>
          </w:p>
        </w:tc>
        <w:tc>
          <w:tcPr>
            <w:tcW w:w="1153" w:type="dxa"/>
            <w:shd w:val="clear" w:color="auto" w:fill="F2DBDB"/>
            <w:tcMar>
              <w:top w:w="0" w:type="dxa"/>
              <w:left w:w="30" w:type="dxa"/>
              <w:bottom w:w="0" w:type="dxa"/>
              <w:right w:w="30" w:type="dxa"/>
            </w:tcMar>
          </w:tcPr>
          <w:p w:rsidR="004A147C" w:rsidRPr="00B53FFB" w:rsidRDefault="004A147C" w:rsidP="00CE5850">
            <w:pPr>
              <w:snapToGrid w:val="0"/>
              <w:jc w:val="center"/>
              <w:rPr>
                <w:b/>
                <w:bCs/>
                <w:iCs/>
                <w:sz w:val="20"/>
              </w:rPr>
            </w:pPr>
            <w:r w:rsidRPr="00B53FFB">
              <w:rPr>
                <w:b/>
                <w:bCs/>
                <w:iCs/>
                <w:sz w:val="20"/>
              </w:rPr>
              <w:t>% of Total U.S. Square Miles</w:t>
            </w:r>
          </w:p>
        </w:tc>
        <w:tc>
          <w:tcPr>
            <w:tcW w:w="1088" w:type="dxa"/>
            <w:shd w:val="clear" w:color="auto" w:fill="F2DBDB"/>
          </w:tcPr>
          <w:p w:rsidR="004A147C" w:rsidRPr="00B53FFB" w:rsidRDefault="004A147C" w:rsidP="00CE5850">
            <w:pPr>
              <w:snapToGrid w:val="0"/>
              <w:jc w:val="center"/>
              <w:rPr>
                <w:b/>
                <w:bCs/>
                <w:iCs/>
                <w:sz w:val="20"/>
              </w:rPr>
            </w:pPr>
            <w:r w:rsidRPr="00B53FFB">
              <w:rPr>
                <w:b/>
                <w:bCs/>
                <w:iCs/>
                <w:sz w:val="20"/>
              </w:rPr>
              <w:t>Road Miles Contained in Those Blocks (Thousands)</w:t>
            </w:r>
          </w:p>
        </w:tc>
        <w:tc>
          <w:tcPr>
            <w:tcW w:w="1066" w:type="dxa"/>
            <w:shd w:val="clear" w:color="auto" w:fill="F2DBDB"/>
          </w:tcPr>
          <w:p w:rsidR="004A147C" w:rsidRPr="00B53FFB" w:rsidRDefault="004A147C" w:rsidP="00CE5850">
            <w:pPr>
              <w:snapToGrid w:val="0"/>
              <w:jc w:val="center"/>
              <w:rPr>
                <w:b/>
                <w:bCs/>
                <w:iCs/>
                <w:sz w:val="20"/>
              </w:rPr>
            </w:pPr>
            <w:r w:rsidRPr="00B53FFB">
              <w:rPr>
                <w:b/>
                <w:bCs/>
                <w:iCs/>
                <w:sz w:val="20"/>
              </w:rPr>
              <w:t>% of Total U.S. Road Miles</w:t>
            </w:r>
          </w:p>
        </w:tc>
      </w:tr>
      <w:tr w:rsidR="004A147C" w:rsidRPr="00B53FFB" w:rsidTr="003F13FC">
        <w:trPr>
          <w:trHeight w:val="245"/>
          <w:jc w:val="center"/>
        </w:trPr>
        <w:tc>
          <w:tcPr>
            <w:tcW w:w="1257" w:type="dxa"/>
            <w:shd w:val="clear" w:color="auto" w:fill="F2DBDB"/>
            <w:tcMar>
              <w:top w:w="0" w:type="dxa"/>
              <w:left w:w="30" w:type="dxa"/>
              <w:bottom w:w="0" w:type="dxa"/>
              <w:right w:w="30" w:type="dxa"/>
            </w:tcMar>
            <w:vAlign w:val="bottom"/>
          </w:tcPr>
          <w:p w:rsidR="004A147C" w:rsidRPr="00B53FFB" w:rsidRDefault="004A147C" w:rsidP="00CE5850">
            <w:pPr>
              <w:snapToGrid w:val="0"/>
              <w:rPr>
                <w:b/>
                <w:bCs/>
                <w:iCs/>
                <w:sz w:val="20"/>
              </w:rPr>
            </w:pPr>
            <w:r w:rsidRPr="00B53FFB">
              <w:rPr>
                <w:b/>
                <w:bCs/>
                <w:iCs/>
                <w:sz w:val="20"/>
              </w:rPr>
              <w:t>Total for Non-Rural U.S.</w:t>
            </w:r>
          </w:p>
        </w:tc>
        <w:tc>
          <w:tcPr>
            <w:tcW w:w="1128" w:type="dxa"/>
            <w:shd w:val="clear" w:color="auto" w:fill="F2DBDB"/>
            <w:tcMar>
              <w:top w:w="0" w:type="dxa"/>
              <w:left w:w="30" w:type="dxa"/>
              <w:bottom w:w="0" w:type="dxa"/>
              <w:right w:w="30" w:type="dxa"/>
            </w:tcMar>
            <w:vAlign w:val="bottom"/>
          </w:tcPr>
          <w:p w:rsidR="004A147C" w:rsidRPr="00B53FFB" w:rsidRDefault="004A147C" w:rsidP="00CE5850">
            <w:pPr>
              <w:snapToGrid w:val="0"/>
              <w:jc w:val="right"/>
              <w:rPr>
                <w:b/>
                <w:bCs/>
                <w:sz w:val="20"/>
              </w:rPr>
            </w:pPr>
            <w:r w:rsidRPr="00B53FFB">
              <w:rPr>
                <w:b/>
                <w:bCs/>
                <w:sz w:val="20"/>
              </w:rPr>
              <w:t>5,768</w:t>
            </w:r>
          </w:p>
        </w:tc>
        <w:tc>
          <w:tcPr>
            <w:tcW w:w="1546" w:type="dxa"/>
            <w:shd w:val="clear" w:color="auto" w:fill="F2DBDB"/>
            <w:tcMar>
              <w:top w:w="0" w:type="dxa"/>
              <w:left w:w="30" w:type="dxa"/>
              <w:bottom w:w="0" w:type="dxa"/>
              <w:right w:w="30" w:type="dxa"/>
            </w:tcMar>
            <w:vAlign w:val="bottom"/>
          </w:tcPr>
          <w:p w:rsidR="004A147C" w:rsidRPr="00B53FFB" w:rsidRDefault="004A147C" w:rsidP="00CE5850">
            <w:pPr>
              <w:snapToGrid w:val="0"/>
              <w:jc w:val="right"/>
              <w:rPr>
                <w:b/>
                <w:bCs/>
                <w:sz w:val="20"/>
              </w:rPr>
            </w:pPr>
            <w:r w:rsidRPr="00B53FFB">
              <w:rPr>
                <w:b/>
                <w:bCs/>
                <w:sz w:val="20"/>
              </w:rPr>
              <w:t>253,319</w:t>
            </w:r>
          </w:p>
        </w:tc>
        <w:tc>
          <w:tcPr>
            <w:tcW w:w="1244" w:type="dxa"/>
            <w:shd w:val="clear" w:color="auto" w:fill="F2DBDB"/>
            <w:tcMar>
              <w:top w:w="0" w:type="dxa"/>
              <w:left w:w="30" w:type="dxa"/>
              <w:bottom w:w="0" w:type="dxa"/>
              <w:right w:w="30" w:type="dxa"/>
            </w:tcMar>
            <w:vAlign w:val="bottom"/>
          </w:tcPr>
          <w:p w:rsidR="004A147C" w:rsidRPr="00B53FFB" w:rsidRDefault="004A147C" w:rsidP="00CE5850">
            <w:pPr>
              <w:snapToGrid w:val="0"/>
              <w:jc w:val="right"/>
              <w:rPr>
                <w:b/>
                <w:bCs/>
                <w:sz w:val="20"/>
              </w:rPr>
            </w:pPr>
            <w:r w:rsidRPr="00B53FFB">
              <w:rPr>
                <w:b/>
                <w:bCs/>
                <w:sz w:val="20"/>
              </w:rPr>
              <w:t>81.1%</w:t>
            </w:r>
          </w:p>
        </w:tc>
        <w:tc>
          <w:tcPr>
            <w:tcW w:w="1128" w:type="dxa"/>
            <w:shd w:val="clear" w:color="auto" w:fill="F2DBDB"/>
            <w:tcMar>
              <w:top w:w="0" w:type="dxa"/>
              <w:left w:w="30" w:type="dxa"/>
              <w:bottom w:w="0" w:type="dxa"/>
              <w:right w:w="30" w:type="dxa"/>
            </w:tcMar>
            <w:vAlign w:val="bottom"/>
          </w:tcPr>
          <w:p w:rsidR="004A147C" w:rsidRPr="00B53FFB" w:rsidRDefault="004A147C" w:rsidP="00CE5850">
            <w:pPr>
              <w:snapToGrid w:val="0"/>
              <w:jc w:val="right"/>
              <w:rPr>
                <w:b/>
                <w:bCs/>
                <w:sz w:val="20"/>
              </w:rPr>
            </w:pPr>
            <w:r w:rsidRPr="00B53FFB">
              <w:rPr>
                <w:b/>
                <w:bCs/>
                <w:sz w:val="20"/>
              </w:rPr>
              <w:t>588</w:t>
            </w:r>
          </w:p>
        </w:tc>
        <w:tc>
          <w:tcPr>
            <w:tcW w:w="1153" w:type="dxa"/>
            <w:shd w:val="clear" w:color="auto" w:fill="F2DBDB"/>
            <w:tcMar>
              <w:top w:w="0" w:type="dxa"/>
              <w:left w:w="30" w:type="dxa"/>
              <w:bottom w:w="0" w:type="dxa"/>
              <w:right w:w="30" w:type="dxa"/>
            </w:tcMar>
            <w:vAlign w:val="bottom"/>
          </w:tcPr>
          <w:p w:rsidR="004A147C" w:rsidRPr="00B53FFB" w:rsidRDefault="004A147C" w:rsidP="00CE5850">
            <w:pPr>
              <w:snapToGrid w:val="0"/>
              <w:jc w:val="right"/>
              <w:rPr>
                <w:b/>
                <w:bCs/>
                <w:sz w:val="20"/>
              </w:rPr>
            </w:pPr>
            <w:r w:rsidRPr="00B53FFB">
              <w:rPr>
                <w:b/>
                <w:bCs/>
                <w:sz w:val="20"/>
              </w:rPr>
              <w:t>15.5%</w:t>
            </w:r>
          </w:p>
        </w:tc>
        <w:tc>
          <w:tcPr>
            <w:tcW w:w="1088" w:type="dxa"/>
            <w:shd w:val="clear" w:color="auto" w:fill="F2DBDB"/>
            <w:vAlign w:val="bottom"/>
          </w:tcPr>
          <w:p w:rsidR="004A147C" w:rsidRPr="00B53FFB" w:rsidRDefault="004A147C" w:rsidP="00CE5850">
            <w:pPr>
              <w:jc w:val="right"/>
              <w:rPr>
                <w:b/>
                <w:sz w:val="20"/>
              </w:rPr>
            </w:pPr>
            <w:r w:rsidRPr="00B53FFB">
              <w:rPr>
                <w:b/>
                <w:sz w:val="20"/>
              </w:rPr>
              <w:t>2,230</w:t>
            </w:r>
          </w:p>
        </w:tc>
        <w:tc>
          <w:tcPr>
            <w:tcW w:w="1066" w:type="dxa"/>
            <w:shd w:val="clear" w:color="auto" w:fill="F2DBDB"/>
            <w:vAlign w:val="bottom"/>
          </w:tcPr>
          <w:p w:rsidR="004A147C" w:rsidRPr="00B53FFB" w:rsidRDefault="004A147C" w:rsidP="00CE5850">
            <w:pPr>
              <w:jc w:val="right"/>
              <w:rPr>
                <w:b/>
                <w:sz w:val="20"/>
              </w:rPr>
            </w:pPr>
            <w:r w:rsidRPr="00B53FFB">
              <w:rPr>
                <w:b/>
                <w:sz w:val="20"/>
              </w:rPr>
              <w:t>32.</w:t>
            </w:r>
            <w:r>
              <w:rPr>
                <w:b/>
                <w:sz w:val="20"/>
              </w:rPr>
              <w:t>7</w:t>
            </w:r>
            <w:r w:rsidRPr="00B53FFB">
              <w:rPr>
                <w:b/>
                <w:sz w:val="20"/>
              </w:rPr>
              <w:t>%</w:t>
            </w:r>
          </w:p>
        </w:tc>
      </w:tr>
      <w:tr w:rsidR="004A147C" w:rsidRPr="00B53FFB" w:rsidTr="003F13FC">
        <w:trPr>
          <w:trHeight w:val="997"/>
          <w:jc w:val="center"/>
        </w:trPr>
        <w:tc>
          <w:tcPr>
            <w:tcW w:w="1257" w:type="dxa"/>
            <w:shd w:val="clear" w:color="auto" w:fill="F2DBDB"/>
            <w:tcMar>
              <w:top w:w="0" w:type="dxa"/>
              <w:left w:w="30" w:type="dxa"/>
              <w:bottom w:w="0" w:type="dxa"/>
              <w:right w:w="30" w:type="dxa"/>
            </w:tcMar>
            <w:vAlign w:val="bottom"/>
          </w:tcPr>
          <w:p w:rsidR="004A147C" w:rsidRPr="00B53FFB" w:rsidRDefault="004A147C" w:rsidP="00CE5850">
            <w:pPr>
              <w:snapToGrid w:val="0"/>
              <w:rPr>
                <w:b/>
                <w:bCs/>
                <w:sz w:val="20"/>
              </w:rPr>
            </w:pPr>
          </w:p>
        </w:tc>
        <w:tc>
          <w:tcPr>
            <w:tcW w:w="1128" w:type="dxa"/>
            <w:shd w:val="clear" w:color="auto" w:fill="F2DBDB"/>
            <w:tcMar>
              <w:top w:w="0" w:type="dxa"/>
              <w:left w:w="30" w:type="dxa"/>
              <w:bottom w:w="0" w:type="dxa"/>
              <w:right w:w="30" w:type="dxa"/>
            </w:tcMar>
            <w:vAlign w:val="bottom"/>
          </w:tcPr>
          <w:p w:rsidR="004A147C" w:rsidRPr="00B53FFB" w:rsidRDefault="004A147C" w:rsidP="00CE5850">
            <w:pPr>
              <w:snapToGrid w:val="0"/>
              <w:jc w:val="right"/>
              <w:rPr>
                <w:b/>
                <w:bCs/>
                <w:sz w:val="20"/>
              </w:rPr>
            </w:pPr>
          </w:p>
        </w:tc>
        <w:tc>
          <w:tcPr>
            <w:tcW w:w="1546" w:type="dxa"/>
            <w:shd w:val="clear" w:color="auto" w:fill="F2DBDB"/>
            <w:tcMar>
              <w:top w:w="0" w:type="dxa"/>
              <w:left w:w="30" w:type="dxa"/>
              <w:bottom w:w="0" w:type="dxa"/>
              <w:right w:w="30" w:type="dxa"/>
            </w:tcMar>
            <w:vAlign w:val="bottom"/>
          </w:tcPr>
          <w:p w:rsidR="004A147C" w:rsidRPr="00B53FFB" w:rsidRDefault="004A147C" w:rsidP="00CE5850">
            <w:pPr>
              <w:snapToGrid w:val="0"/>
              <w:ind w:firstLine="200"/>
              <w:jc w:val="right"/>
              <w:rPr>
                <w:b/>
                <w:bCs/>
                <w:i/>
                <w:iCs/>
                <w:sz w:val="20"/>
              </w:rPr>
            </w:pPr>
          </w:p>
        </w:tc>
        <w:tc>
          <w:tcPr>
            <w:tcW w:w="1244" w:type="dxa"/>
            <w:shd w:val="clear" w:color="auto" w:fill="F2DBDB"/>
            <w:tcMar>
              <w:top w:w="0" w:type="dxa"/>
              <w:left w:w="30" w:type="dxa"/>
              <w:bottom w:w="0" w:type="dxa"/>
              <w:right w:w="30" w:type="dxa"/>
            </w:tcMar>
          </w:tcPr>
          <w:p w:rsidR="004A147C" w:rsidRPr="00B53FFB" w:rsidRDefault="004A147C" w:rsidP="00CE5850">
            <w:pPr>
              <w:snapToGrid w:val="0"/>
              <w:jc w:val="center"/>
              <w:rPr>
                <w:b/>
                <w:bCs/>
                <w:iCs/>
                <w:sz w:val="20"/>
              </w:rPr>
            </w:pPr>
            <w:r w:rsidRPr="00B53FFB">
              <w:rPr>
                <w:b/>
                <w:bCs/>
                <w:iCs/>
                <w:sz w:val="20"/>
              </w:rPr>
              <w:t>% of Total Non-Rural U.S. POPs</w:t>
            </w:r>
          </w:p>
        </w:tc>
        <w:tc>
          <w:tcPr>
            <w:tcW w:w="1128" w:type="dxa"/>
            <w:shd w:val="clear" w:color="auto" w:fill="F2DBDB"/>
            <w:tcMar>
              <w:top w:w="0" w:type="dxa"/>
              <w:left w:w="30" w:type="dxa"/>
              <w:bottom w:w="0" w:type="dxa"/>
              <w:right w:w="30" w:type="dxa"/>
            </w:tcMar>
          </w:tcPr>
          <w:p w:rsidR="004A147C" w:rsidRPr="00B53FFB" w:rsidRDefault="004A147C" w:rsidP="00CE5850">
            <w:pPr>
              <w:snapToGrid w:val="0"/>
              <w:ind w:firstLine="400"/>
              <w:jc w:val="center"/>
              <w:rPr>
                <w:b/>
                <w:bCs/>
                <w:iCs/>
                <w:sz w:val="20"/>
              </w:rPr>
            </w:pPr>
          </w:p>
        </w:tc>
        <w:tc>
          <w:tcPr>
            <w:tcW w:w="1153" w:type="dxa"/>
            <w:shd w:val="clear" w:color="auto" w:fill="F2DBDB"/>
            <w:tcMar>
              <w:top w:w="0" w:type="dxa"/>
              <w:left w:w="30" w:type="dxa"/>
              <w:bottom w:w="0" w:type="dxa"/>
              <w:right w:w="30" w:type="dxa"/>
            </w:tcMar>
          </w:tcPr>
          <w:p w:rsidR="004A147C" w:rsidRPr="00B53FFB" w:rsidRDefault="004A147C" w:rsidP="00CE5850">
            <w:pPr>
              <w:snapToGrid w:val="0"/>
              <w:jc w:val="center"/>
              <w:rPr>
                <w:b/>
                <w:bCs/>
                <w:iCs/>
                <w:sz w:val="20"/>
              </w:rPr>
            </w:pPr>
            <w:r w:rsidRPr="00B53FFB">
              <w:rPr>
                <w:b/>
                <w:bCs/>
                <w:iCs/>
                <w:sz w:val="20"/>
              </w:rPr>
              <w:t>% of Total Non-Rural U.S. Square Miles</w:t>
            </w:r>
          </w:p>
        </w:tc>
        <w:tc>
          <w:tcPr>
            <w:tcW w:w="1088" w:type="dxa"/>
            <w:shd w:val="clear" w:color="auto" w:fill="F2DBDB"/>
          </w:tcPr>
          <w:p w:rsidR="004A147C" w:rsidRPr="00B53FFB" w:rsidRDefault="004A147C" w:rsidP="00CE5850">
            <w:pPr>
              <w:jc w:val="center"/>
              <w:rPr>
                <w:sz w:val="20"/>
              </w:rPr>
            </w:pPr>
          </w:p>
        </w:tc>
        <w:tc>
          <w:tcPr>
            <w:tcW w:w="1066" w:type="dxa"/>
            <w:shd w:val="clear" w:color="auto" w:fill="F2DBDB"/>
          </w:tcPr>
          <w:p w:rsidR="004A147C" w:rsidRPr="00B53FFB" w:rsidRDefault="004A147C" w:rsidP="00CE5850">
            <w:pPr>
              <w:jc w:val="center"/>
              <w:rPr>
                <w:b/>
                <w:sz w:val="20"/>
              </w:rPr>
            </w:pPr>
            <w:r w:rsidRPr="00B53FFB">
              <w:rPr>
                <w:b/>
                <w:sz w:val="20"/>
              </w:rPr>
              <w:t>% of Total Non-Rural U.S. Road Miles</w:t>
            </w:r>
          </w:p>
        </w:tc>
      </w:tr>
      <w:tr w:rsidR="004A147C" w:rsidRPr="00B53FFB" w:rsidTr="003F13FC">
        <w:trPr>
          <w:trHeight w:val="245"/>
          <w:jc w:val="center"/>
        </w:trPr>
        <w:tc>
          <w:tcPr>
            <w:tcW w:w="1257" w:type="dxa"/>
            <w:shd w:val="clear" w:color="auto" w:fill="F2DBDB"/>
            <w:tcMar>
              <w:top w:w="0" w:type="dxa"/>
              <w:left w:w="30" w:type="dxa"/>
              <w:bottom w:w="0" w:type="dxa"/>
              <w:right w:w="30" w:type="dxa"/>
            </w:tcMar>
            <w:vAlign w:val="bottom"/>
          </w:tcPr>
          <w:p w:rsidR="004A147C" w:rsidRPr="00B53FFB" w:rsidRDefault="004A147C" w:rsidP="00CE5850">
            <w:pPr>
              <w:snapToGrid w:val="0"/>
              <w:rPr>
                <w:sz w:val="20"/>
              </w:rPr>
            </w:pPr>
            <w:r w:rsidRPr="00B53FFB">
              <w:rPr>
                <w:sz w:val="20"/>
              </w:rPr>
              <w:t>1 or More</w:t>
            </w:r>
          </w:p>
        </w:tc>
        <w:tc>
          <w:tcPr>
            <w:tcW w:w="1128" w:type="dxa"/>
            <w:shd w:val="clear" w:color="auto" w:fill="F2DBDB"/>
            <w:tcMar>
              <w:top w:w="0" w:type="dxa"/>
              <w:left w:w="30" w:type="dxa"/>
              <w:bottom w:w="0" w:type="dxa"/>
              <w:right w:w="30" w:type="dxa"/>
            </w:tcMar>
            <w:vAlign w:val="bottom"/>
          </w:tcPr>
          <w:p w:rsidR="004A147C" w:rsidRPr="00B53FFB" w:rsidRDefault="004A147C" w:rsidP="00CE5850">
            <w:pPr>
              <w:snapToGrid w:val="0"/>
              <w:jc w:val="right"/>
              <w:rPr>
                <w:sz w:val="20"/>
              </w:rPr>
            </w:pPr>
            <w:r w:rsidRPr="00B53FFB">
              <w:rPr>
                <w:sz w:val="20"/>
              </w:rPr>
              <w:t>         5,752</w:t>
            </w:r>
          </w:p>
        </w:tc>
        <w:tc>
          <w:tcPr>
            <w:tcW w:w="1546" w:type="dxa"/>
            <w:shd w:val="clear" w:color="auto" w:fill="F2DBDB"/>
            <w:tcMar>
              <w:top w:w="0" w:type="dxa"/>
              <w:left w:w="30" w:type="dxa"/>
              <w:bottom w:w="0" w:type="dxa"/>
              <w:right w:w="30" w:type="dxa"/>
            </w:tcMar>
            <w:vAlign w:val="bottom"/>
          </w:tcPr>
          <w:p w:rsidR="004A147C" w:rsidRPr="00B53FFB" w:rsidRDefault="004A147C" w:rsidP="00CE5850">
            <w:pPr>
              <w:snapToGrid w:val="0"/>
              <w:jc w:val="right"/>
              <w:rPr>
                <w:sz w:val="20"/>
              </w:rPr>
            </w:pPr>
            <w:r w:rsidRPr="00B53FFB">
              <w:rPr>
                <w:sz w:val="20"/>
              </w:rPr>
              <w:t xml:space="preserve">         253,265 </w:t>
            </w:r>
          </w:p>
        </w:tc>
        <w:tc>
          <w:tcPr>
            <w:tcW w:w="1244" w:type="dxa"/>
            <w:shd w:val="clear" w:color="auto" w:fill="F2DBDB"/>
            <w:tcMar>
              <w:top w:w="0" w:type="dxa"/>
              <w:left w:w="30" w:type="dxa"/>
              <w:bottom w:w="0" w:type="dxa"/>
              <w:right w:w="30" w:type="dxa"/>
            </w:tcMar>
            <w:vAlign w:val="bottom"/>
          </w:tcPr>
          <w:p w:rsidR="004A147C" w:rsidRPr="00B53FFB" w:rsidRDefault="004A147C" w:rsidP="00CE5850">
            <w:pPr>
              <w:snapToGrid w:val="0"/>
              <w:jc w:val="right"/>
              <w:rPr>
                <w:sz w:val="20"/>
              </w:rPr>
            </w:pPr>
            <w:r w:rsidRPr="00B53FFB">
              <w:rPr>
                <w:sz w:val="20"/>
              </w:rPr>
              <w:t>100.0%</w:t>
            </w:r>
          </w:p>
        </w:tc>
        <w:tc>
          <w:tcPr>
            <w:tcW w:w="1128" w:type="dxa"/>
            <w:shd w:val="clear" w:color="auto" w:fill="F2DBDB"/>
            <w:tcMar>
              <w:top w:w="0" w:type="dxa"/>
              <w:left w:w="30" w:type="dxa"/>
              <w:bottom w:w="0" w:type="dxa"/>
              <w:right w:w="30" w:type="dxa"/>
            </w:tcMar>
            <w:vAlign w:val="bottom"/>
          </w:tcPr>
          <w:p w:rsidR="004A147C" w:rsidRPr="00B53FFB" w:rsidRDefault="004A147C" w:rsidP="00CE5850">
            <w:pPr>
              <w:snapToGrid w:val="0"/>
              <w:jc w:val="right"/>
              <w:rPr>
                <w:sz w:val="20"/>
              </w:rPr>
            </w:pPr>
            <w:r w:rsidRPr="00B53FFB">
              <w:rPr>
                <w:sz w:val="20"/>
              </w:rPr>
              <w:t>             547</w:t>
            </w:r>
          </w:p>
        </w:tc>
        <w:tc>
          <w:tcPr>
            <w:tcW w:w="1153" w:type="dxa"/>
            <w:shd w:val="clear" w:color="auto" w:fill="F2DBDB"/>
            <w:tcMar>
              <w:top w:w="0" w:type="dxa"/>
              <w:left w:w="30" w:type="dxa"/>
              <w:bottom w:w="0" w:type="dxa"/>
              <w:right w:w="30" w:type="dxa"/>
            </w:tcMar>
            <w:vAlign w:val="bottom"/>
          </w:tcPr>
          <w:p w:rsidR="004A147C" w:rsidRPr="00B53FFB" w:rsidRDefault="004A147C" w:rsidP="00CE5850">
            <w:pPr>
              <w:snapToGrid w:val="0"/>
              <w:jc w:val="right"/>
              <w:rPr>
                <w:sz w:val="20"/>
              </w:rPr>
            </w:pPr>
            <w:r w:rsidRPr="00B53FFB">
              <w:rPr>
                <w:sz w:val="20"/>
              </w:rPr>
              <w:t>92.9%</w:t>
            </w:r>
          </w:p>
        </w:tc>
        <w:tc>
          <w:tcPr>
            <w:tcW w:w="1088" w:type="dxa"/>
            <w:shd w:val="clear" w:color="auto" w:fill="F2DBDB"/>
          </w:tcPr>
          <w:p w:rsidR="004A147C" w:rsidRPr="00590295" w:rsidRDefault="004A147C" w:rsidP="00CE5850">
            <w:pPr>
              <w:jc w:val="right"/>
              <w:rPr>
                <w:sz w:val="20"/>
              </w:rPr>
            </w:pPr>
            <w:r w:rsidRPr="00590295">
              <w:rPr>
                <w:sz w:val="20"/>
              </w:rPr>
              <w:t>2,214</w:t>
            </w:r>
          </w:p>
        </w:tc>
        <w:tc>
          <w:tcPr>
            <w:tcW w:w="1066" w:type="dxa"/>
            <w:shd w:val="clear" w:color="auto" w:fill="F2DBDB"/>
          </w:tcPr>
          <w:p w:rsidR="004A147C" w:rsidRPr="00590295" w:rsidRDefault="004A147C" w:rsidP="00CE5850">
            <w:pPr>
              <w:jc w:val="right"/>
              <w:rPr>
                <w:sz w:val="20"/>
              </w:rPr>
            </w:pPr>
            <w:r w:rsidRPr="00590295">
              <w:rPr>
                <w:sz w:val="20"/>
              </w:rPr>
              <w:t>99.3%</w:t>
            </w:r>
          </w:p>
        </w:tc>
      </w:tr>
      <w:tr w:rsidR="004A147C" w:rsidRPr="00B53FFB" w:rsidTr="003F13FC">
        <w:trPr>
          <w:trHeight w:val="245"/>
          <w:jc w:val="center"/>
        </w:trPr>
        <w:tc>
          <w:tcPr>
            <w:tcW w:w="1257" w:type="dxa"/>
            <w:shd w:val="clear" w:color="auto" w:fill="F2DBDB"/>
            <w:tcMar>
              <w:top w:w="0" w:type="dxa"/>
              <w:left w:w="30" w:type="dxa"/>
              <w:bottom w:w="0" w:type="dxa"/>
              <w:right w:w="30" w:type="dxa"/>
            </w:tcMar>
            <w:vAlign w:val="bottom"/>
          </w:tcPr>
          <w:p w:rsidR="004A147C" w:rsidRPr="00B53FFB" w:rsidRDefault="004A147C" w:rsidP="00CE5850">
            <w:pPr>
              <w:snapToGrid w:val="0"/>
              <w:rPr>
                <w:sz w:val="20"/>
              </w:rPr>
            </w:pPr>
            <w:r w:rsidRPr="00B53FFB">
              <w:rPr>
                <w:sz w:val="20"/>
              </w:rPr>
              <w:t>2 or More</w:t>
            </w:r>
          </w:p>
        </w:tc>
        <w:tc>
          <w:tcPr>
            <w:tcW w:w="1128" w:type="dxa"/>
            <w:shd w:val="clear" w:color="auto" w:fill="F2DBDB"/>
            <w:tcMar>
              <w:top w:w="0" w:type="dxa"/>
              <w:left w:w="30" w:type="dxa"/>
              <w:bottom w:w="0" w:type="dxa"/>
              <w:right w:w="30" w:type="dxa"/>
            </w:tcMar>
            <w:vAlign w:val="bottom"/>
          </w:tcPr>
          <w:p w:rsidR="004A147C" w:rsidRPr="00B53FFB" w:rsidRDefault="004A147C" w:rsidP="00CE5850">
            <w:pPr>
              <w:snapToGrid w:val="0"/>
              <w:jc w:val="right"/>
              <w:rPr>
                <w:sz w:val="20"/>
              </w:rPr>
            </w:pPr>
            <w:r w:rsidRPr="00B53FFB">
              <w:rPr>
                <w:sz w:val="20"/>
              </w:rPr>
              <w:t xml:space="preserve">        5,723 </w:t>
            </w:r>
          </w:p>
        </w:tc>
        <w:tc>
          <w:tcPr>
            <w:tcW w:w="1546" w:type="dxa"/>
            <w:shd w:val="clear" w:color="auto" w:fill="F2DBDB"/>
            <w:tcMar>
              <w:top w:w="0" w:type="dxa"/>
              <w:left w:w="30" w:type="dxa"/>
              <w:bottom w:w="0" w:type="dxa"/>
              <w:right w:w="30" w:type="dxa"/>
            </w:tcMar>
            <w:vAlign w:val="bottom"/>
          </w:tcPr>
          <w:p w:rsidR="004A147C" w:rsidRPr="00B53FFB" w:rsidRDefault="004A147C" w:rsidP="00CE5850">
            <w:pPr>
              <w:snapToGrid w:val="0"/>
              <w:jc w:val="right"/>
              <w:rPr>
                <w:sz w:val="20"/>
              </w:rPr>
            </w:pPr>
            <w:r w:rsidRPr="00B53FFB">
              <w:rPr>
                <w:sz w:val="20"/>
              </w:rPr>
              <w:t xml:space="preserve">      253,050 </w:t>
            </w:r>
          </w:p>
        </w:tc>
        <w:tc>
          <w:tcPr>
            <w:tcW w:w="1244" w:type="dxa"/>
            <w:shd w:val="clear" w:color="auto" w:fill="F2DBDB"/>
            <w:tcMar>
              <w:top w:w="0" w:type="dxa"/>
              <w:left w:w="30" w:type="dxa"/>
              <w:bottom w:w="0" w:type="dxa"/>
              <w:right w:w="30" w:type="dxa"/>
            </w:tcMar>
            <w:vAlign w:val="bottom"/>
          </w:tcPr>
          <w:p w:rsidR="004A147C" w:rsidRPr="00B53FFB" w:rsidRDefault="004A147C" w:rsidP="00CE5850">
            <w:pPr>
              <w:snapToGrid w:val="0"/>
              <w:jc w:val="right"/>
              <w:rPr>
                <w:sz w:val="20"/>
              </w:rPr>
            </w:pPr>
            <w:r w:rsidRPr="00B53FFB">
              <w:rPr>
                <w:sz w:val="20"/>
              </w:rPr>
              <w:t>99.9%</w:t>
            </w:r>
          </w:p>
        </w:tc>
        <w:tc>
          <w:tcPr>
            <w:tcW w:w="1128" w:type="dxa"/>
            <w:shd w:val="clear" w:color="auto" w:fill="F2DBDB"/>
            <w:tcMar>
              <w:top w:w="0" w:type="dxa"/>
              <w:left w:w="30" w:type="dxa"/>
              <w:bottom w:w="0" w:type="dxa"/>
              <w:right w:w="30" w:type="dxa"/>
            </w:tcMar>
            <w:vAlign w:val="bottom"/>
          </w:tcPr>
          <w:p w:rsidR="004A147C" w:rsidRPr="00B53FFB" w:rsidRDefault="004A147C" w:rsidP="00CE5850">
            <w:pPr>
              <w:snapToGrid w:val="0"/>
              <w:jc w:val="right"/>
              <w:rPr>
                <w:sz w:val="20"/>
              </w:rPr>
            </w:pPr>
            <w:r w:rsidRPr="00B53FFB">
              <w:rPr>
                <w:sz w:val="20"/>
              </w:rPr>
              <w:t xml:space="preserve">             525 </w:t>
            </w:r>
          </w:p>
        </w:tc>
        <w:tc>
          <w:tcPr>
            <w:tcW w:w="1153" w:type="dxa"/>
            <w:shd w:val="clear" w:color="auto" w:fill="F2DBDB"/>
            <w:tcMar>
              <w:top w:w="0" w:type="dxa"/>
              <w:left w:w="30" w:type="dxa"/>
              <w:bottom w:w="0" w:type="dxa"/>
              <w:right w:w="30" w:type="dxa"/>
            </w:tcMar>
            <w:vAlign w:val="bottom"/>
          </w:tcPr>
          <w:p w:rsidR="004A147C" w:rsidRPr="00B53FFB" w:rsidRDefault="004A147C" w:rsidP="00CE5850">
            <w:pPr>
              <w:snapToGrid w:val="0"/>
              <w:jc w:val="right"/>
              <w:rPr>
                <w:sz w:val="20"/>
              </w:rPr>
            </w:pPr>
            <w:r w:rsidRPr="00B53FFB">
              <w:rPr>
                <w:sz w:val="20"/>
              </w:rPr>
              <w:t>16.3%</w:t>
            </w:r>
          </w:p>
        </w:tc>
        <w:tc>
          <w:tcPr>
            <w:tcW w:w="1088" w:type="dxa"/>
            <w:shd w:val="clear" w:color="auto" w:fill="F2DBDB"/>
          </w:tcPr>
          <w:p w:rsidR="004A147C" w:rsidRPr="00590295" w:rsidRDefault="004A147C" w:rsidP="00CE5850">
            <w:pPr>
              <w:jc w:val="right"/>
              <w:rPr>
                <w:sz w:val="20"/>
              </w:rPr>
            </w:pPr>
            <w:r w:rsidRPr="00590295">
              <w:rPr>
                <w:sz w:val="20"/>
              </w:rPr>
              <w:t>2,185</w:t>
            </w:r>
          </w:p>
        </w:tc>
        <w:tc>
          <w:tcPr>
            <w:tcW w:w="1066" w:type="dxa"/>
            <w:shd w:val="clear" w:color="auto" w:fill="F2DBDB"/>
          </w:tcPr>
          <w:p w:rsidR="004A147C" w:rsidRPr="00590295" w:rsidRDefault="004A147C" w:rsidP="00CE5850">
            <w:pPr>
              <w:jc w:val="right"/>
              <w:rPr>
                <w:sz w:val="20"/>
              </w:rPr>
            </w:pPr>
            <w:r w:rsidRPr="00590295">
              <w:rPr>
                <w:sz w:val="20"/>
              </w:rPr>
              <w:t>98.0%</w:t>
            </w:r>
          </w:p>
        </w:tc>
      </w:tr>
      <w:tr w:rsidR="004A147C" w:rsidRPr="00B53FFB" w:rsidTr="003F13FC">
        <w:trPr>
          <w:trHeight w:val="245"/>
          <w:jc w:val="center"/>
        </w:trPr>
        <w:tc>
          <w:tcPr>
            <w:tcW w:w="1257" w:type="dxa"/>
            <w:shd w:val="clear" w:color="auto" w:fill="F2DBDB"/>
            <w:tcMar>
              <w:top w:w="0" w:type="dxa"/>
              <w:left w:w="30" w:type="dxa"/>
              <w:bottom w:w="0" w:type="dxa"/>
              <w:right w:w="30" w:type="dxa"/>
            </w:tcMar>
            <w:vAlign w:val="bottom"/>
          </w:tcPr>
          <w:p w:rsidR="004A147C" w:rsidRPr="00B53FFB" w:rsidRDefault="004A147C" w:rsidP="00CE5850">
            <w:pPr>
              <w:snapToGrid w:val="0"/>
              <w:rPr>
                <w:sz w:val="20"/>
              </w:rPr>
            </w:pPr>
            <w:r w:rsidRPr="00B53FFB">
              <w:rPr>
                <w:sz w:val="20"/>
              </w:rPr>
              <w:t>3 or More</w:t>
            </w:r>
          </w:p>
        </w:tc>
        <w:tc>
          <w:tcPr>
            <w:tcW w:w="1128" w:type="dxa"/>
            <w:shd w:val="clear" w:color="auto" w:fill="F2DBDB"/>
            <w:tcMar>
              <w:top w:w="0" w:type="dxa"/>
              <w:left w:w="30" w:type="dxa"/>
              <w:bottom w:w="0" w:type="dxa"/>
              <w:right w:w="30" w:type="dxa"/>
            </w:tcMar>
            <w:vAlign w:val="bottom"/>
          </w:tcPr>
          <w:p w:rsidR="004A147C" w:rsidRPr="00B53FFB" w:rsidRDefault="004A147C" w:rsidP="00CE5850">
            <w:pPr>
              <w:snapToGrid w:val="0"/>
              <w:jc w:val="right"/>
              <w:rPr>
                <w:sz w:val="20"/>
              </w:rPr>
            </w:pPr>
            <w:r w:rsidRPr="00B53FFB">
              <w:rPr>
                <w:sz w:val="20"/>
              </w:rPr>
              <w:t xml:space="preserve">5,645 </w:t>
            </w:r>
          </w:p>
        </w:tc>
        <w:tc>
          <w:tcPr>
            <w:tcW w:w="1546" w:type="dxa"/>
            <w:shd w:val="clear" w:color="auto" w:fill="F2DBDB"/>
            <w:tcMar>
              <w:top w:w="0" w:type="dxa"/>
              <w:left w:w="30" w:type="dxa"/>
              <w:bottom w:w="0" w:type="dxa"/>
              <w:right w:w="30" w:type="dxa"/>
            </w:tcMar>
            <w:vAlign w:val="bottom"/>
          </w:tcPr>
          <w:p w:rsidR="004A147C" w:rsidRPr="00B53FFB" w:rsidRDefault="004A147C" w:rsidP="00CE5850">
            <w:pPr>
              <w:snapToGrid w:val="0"/>
              <w:jc w:val="right"/>
              <w:rPr>
                <w:sz w:val="20"/>
              </w:rPr>
            </w:pPr>
            <w:r w:rsidRPr="00B53FFB">
              <w:rPr>
                <w:sz w:val="20"/>
              </w:rPr>
              <w:t xml:space="preserve">       252,156 </w:t>
            </w:r>
          </w:p>
        </w:tc>
        <w:tc>
          <w:tcPr>
            <w:tcW w:w="1244" w:type="dxa"/>
            <w:shd w:val="clear" w:color="auto" w:fill="F2DBDB"/>
            <w:tcMar>
              <w:top w:w="0" w:type="dxa"/>
              <w:left w:w="30" w:type="dxa"/>
              <w:bottom w:w="0" w:type="dxa"/>
              <w:right w:w="30" w:type="dxa"/>
            </w:tcMar>
            <w:vAlign w:val="bottom"/>
          </w:tcPr>
          <w:p w:rsidR="004A147C" w:rsidRPr="00B53FFB" w:rsidRDefault="004A147C" w:rsidP="00CE5850">
            <w:pPr>
              <w:snapToGrid w:val="0"/>
              <w:jc w:val="right"/>
              <w:rPr>
                <w:sz w:val="20"/>
              </w:rPr>
            </w:pPr>
            <w:r w:rsidRPr="00B53FFB">
              <w:rPr>
                <w:sz w:val="20"/>
              </w:rPr>
              <w:t>99.5%</w:t>
            </w:r>
          </w:p>
        </w:tc>
        <w:tc>
          <w:tcPr>
            <w:tcW w:w="1128" w:type="dxa"/>
            <w:shd w:val="clear" w:color="auto" w:fill="F2DBDB"/>
            <w:tcMar>
              <w:top w:w="0" w:type="dxa"/>
              <w:left w:w="30" w:type="dxa"/>
              <w:bottom w:w="0" w:type="dxa"/>
              <w:right w:w="30" w:type="dxa"/>
            </w:tcMar>
            <w:vAlign w:val="bottom"/>
          </w:tcPr>
          <w:p w:rsidR="004A147C" w:rsidRPr="00B53FFB" w:rsidRDefault="004A147C" w:rsidP="00CE5850">
            <w:pPr>
              <w:snapToGrid w:val="0"/>
              <w:jc w:val="right"/>
              <w:rPr>
                <w:sz w:val="20"/>
              </w:rPr>
            </w:pPr>
            <w:r w:rsidRPr="00B53FFB">
              <w:rPr>
                <w:sz w:val="20"/>
              </w:rPr>
              <w:t xml:space="preserve">             485 </w:t>
            </w:r>
          </w:p>
        </w:tc>
        <w:tc>
          <w:tcPr>
            <w:tcW w:w="1153" w:type="dxa"/>
            <w:shd w:val="clear" w:color="auto" w:fill="F2DBDB"/>
            <w:tcMar>
              <w:top w:w="0" w:type="dxa"/>
              <w:left w:w="30" w:type="dxa"/>
              <w:bottom w:w="0" w:type="dxa"/>
              <w:right w:w="30" w:type="dxa"/>
            </w:tcMar>
            <w:vAlign w:val="bottom"/>
          </w:tcPr>
          <w:p w:rsidR="004A147C" w:rsidRPr="00B53FFB" w:rsidRDefault="004A147C" w:rsidP="00CE5850">
            <w:pPr>
              <w:snapToGrid w:val="0"/>
              <w:jc w:val="right"/>
              <w:rPr>
                <w:sz w:val="20"/>
              </w:rPr>
            </w:pPr>
            <w:r w:rsidRPr="00B53FFB">
              <w:rPr>
                <w:sz w:val="20"/>
              </w:rPr>
              <w:t>15.1%</w:t>
            </w:r>
          </w:p>
        </w:tc>
        <w:tc>
          <w:tcPr>
            <w:tcW w:w="1088" w:type="dxa"/>
            <w:shd w:val="clear" w:color="auto" w:fill="F2DBDB"/>
          </w:tcPr>
          <w:p w:rsidR="004A147C" w:rsidRPr="00590295" w:rsidRDefault="004A147C" w:rsidP="00CE5850">
            <w:pPr>
              <w:jc w:val="right"/>
              <w:rPr>
                <w:sz w:val="20"/>
              </w:rPr>
            </w:pPr>
            <w:r w:rsidRPr="00590295">
              <w:rPr>
                <w:sz w:val="20"/>
              </w:rPr>
              <w:t>2,116</w:t>
            </w:r>
          </w:p>
        </w:tc>
        <w:tc>
          <w:tcPr>
            <w:tcW w:w="1066" w:type="dxa"/>
            <w:shd w:val="clear" w:color="auto" w:fill="F2DBDB"/>
          </w:tcPr>
          <w:p w:rsidR="004A147C" w:rsidRPr="00590295" w:rsidRDefault="004A147C" w:rsidP="00CE5850">
            <w:pPr>
              <w:jc w:val="right"/>
              <w:rPr>
                <w:sz w:val="20"/>
              </w:rPr>
            </w:pPr>
            <w:r w:rsidRPr="00590295">
              <w:rPr>
                <w:sz w:val="20"/>
              </w:rPr>
              <w:t>94.9%</w:t>
            </w:r>
          </w:p>
        </w:tc>
      </w:tr>
      <w:tr w:rsidR="004A147C" w:rsidRPr="00B53FFB" w:rsidTr="003F13FC">
        <w:trPr>
          <w:trHeight w:val="262"/>
          <w:jc w:val="center"/>
        </w:trPr>
        <w:tc>
          <w:tcPr>
            <w:tcW w:w="1257" w:type="dxa"/>
            <w:shd w:val="clear" w:color="auto" w:fill="F2DBDB"/>
            <w:tcMar>
              <w:top w:w="0" w:type="dxa"/>
              <w:left w:w="30" w:type="dxa"/>
              <w:bottom w:w="0" w:type="dxa"/>
              <w:right w:w="30" w:type="dxa"/>
            </w:tcMar>
            <w:vAlign w:val="bottom"/>
          </w:tcPr>
          <w:p w:rsidR="004A147C" w:rsidRPr="00B53FFB" w:rsidRDefault="004A147C" w:rsidP="00CE5850">
            <w:pPr>
              <w:snapToGrid w:val="0"/>
              <w:rPr>
                <w:sz w:val="20"/>
              </w:rPr>
            </w:pPr>
            <w:r w:rsidRPr="00B53FFB">
              <w:rPr>
                <w:sz w:val="20"/>
              </w:rPr>
              <w:t>4 or More</w:t>
            </w:r>
          </w:p>
        </w:tc>
        <w:tc>
          <w:tcPr>
            <w:tcW w:w="1128" w:type="dxa"/>
            <w:shd w:val="clear" w:color="auto" w:fill="F2DBDB"/>
            <w:tcMar>
              <w:top w:w="0" w:type="dxa"/>
              <w:left w:w="30" w:type="dxa"/>
              <w:bottom w:w="0" w:type="dxa"/>
              <w:right w:w="30" w:type="dxa"/>
            </w:tcMar>
            <w:vAlign w:val="bottom"/>
          </w:tcPr>
          <w:p w:rsidR="004A147C" w:rsidRPr="00B53FFB" w:rsidRDefault="004A147C" w:rsidP="00CE5850">
            <w:pPr>
              <w:snapToGrid w:val="0"/>
              <w:jc w:val="right"/>
              <w:rPr>
                <w:sz w:val="20"/>
              </w:rPr>
            </w:pPr>
            <w:r w:rsidRPr="00B53FFB">
              <w:rPr>
                <w:sz w:val="20"/>
              </w:rPr>
              <w:t xml:space="preserve">        5,467 </w:t>
            </w:r>
          </w:p>
        </w:tc>
        <w:tc>
          <w:tcPr>
            <w:tcW w:w="1546" w:type="dxa"/>
            <w:shd w:val="clear" w:color="auto" w:fill="F2DBDB"/>
            <w:tcMar>
              <w:top w:w="0" w:type="dxa"/>
              <w:left w:w="30" w:type="dxa"/>
              <w:bottom w:w="0" w:type="dxa"/>
              <w:right w:w="30" w:type="dxa"/>
            </w:tcMar>
            <w:vAlign w:val="bottom"/>
          </w:tcPr>
          <w:p w:rsidR="004A147C" w:rsidRPr="00B53FFB" w:rsidRDefault="004A147C" w:rsidP="00CE5850">
            <w:pPr>
              <w:snapToGrid w:val="0"/>
              <w:jc w:val="right"/>
              <w:rPr>
                <w:sz w:val="20"/>
              </w:rPr>
            </w:pPr>
            <w:r w:rsidRPr="00B53FFB">
              <w:rPr>
                <w:sz w:val="20"/>
              </w:rPr>
              <w:t xml:space="preserve">         249,055 </w:t>
            </w:r>
          </w:p>
        </w:tc>
        <w:tc>
          <w:tcPr>
            <w:tcW w:w="1244" w:type="dxa"/>
            <w:shd w:val="clear" w:color="auto" w:fill="F2DBDB"/>
            <w:tcMar>
              <w:top w:w="0" w:type="dxa"/>
              <w:left w:w="30" w:type="dxa"/>
              <w:bottom w:w="0" w:type="dxa"/>
              <w:right w:w="30" w:type="dxa"/>
            </w:tcMar>
            <w:vAlign w:val="bottom"/>
          </w:tcPr>
          <w:p w:rsidR="004A147C" w:rsidRPr="00B53FFB" w:rsidRDefault="004A147C" w:rsidP="00CE5850">
            <w:pPr>
              <w:snapToGrid w:val="0"/>
              <w:jc w:val="right"/>
              <w:rPr>
                <w:sz w:val="20"/>
              </w:rPr>
            </w:pPr>
            <w:r w:rsidRPr="00B53FFB">
              <w:rPr>
                <w:sz w:val="20"/>
              </w:rPr>
              <w:t>98.3%</w:t>
            </w:r>
          </w:p>
        </w:tc>
        <w:tc>
          <w:tcPr>
            <w:tcW w:w="1128" w:type="dxa"/>
            <w:shd w:val="clear" w:color="auto" w:fill="F2DBDB"/>
            <w:tcMar>
              <w:top w:w="0" w:type="dxa"/>
              <w:left w:w="30" w:type="dxa"/>
              <w:bottom w:w="0" w:type="dxa"/>
              <w:right w:w="30" w:type="dxa"/>
            </w:tcMar>
            <w:vAlign w:val="bottom"/>
          </w:tcPr>
          <w:p w:rsidR="004A147C" w:rsidRPr="00B53FFB" w:rsidRDefault="004A147C" w:rsidP="00CE5850">
            <w:pPr>
              <w:snapToGrid w:val="0"/>
              <w:jc w:val="right"/>
              <w:rPr>
                <w:sz w:val="20"/>
              </w:rPr>
            </w:pPr>
            <w:r w:rsidRPr="00B53FFB">
              <w:rPr>
                <w:sz w:val="20"/>
              </w:rPr>
              <w:t xml:space="preserve">             423 </w:t>
            </w:r>
          </w:p>
        </w:tc>
        <w:tc>
          <w:tcPr>
            <w:tcW w:w="1153" w:type="dxa"/>
            <w:shd w:val="clear" w:color="auto" w:fill="F2DBDB"/>
            <w:tcMar>
              <w:top w:w="0" w:type="dxa"/>
              <w:left w:w="30" w:type="dxa"/>
              <w:bottom w:w="0" w:type="dxa"/>
              <w:right w:w="30" w:type="dxa"/>
            </w:tcMar>
            <w:vAlign w:val="bottom"/>
          </w:tcPr>
          <w:p w:rsidR="004A147C" w:rsidRPr="00B53FFB" w:rsidRDefault="004A147C" w:rsidP="00CE5850">
            <w:pPr>
              <w:snapToGrid w:val="0"/>
              <w:jc w:val="right"/>
              <w:rPr>
                <w:sz w:val="20"/>
              </w:rPr>
            </w:pPr>
            <w:r w:rsidRPr="00B53FFB">
              <w:rPr>
                <w:sz w:val="20"/>
              </w:rPr>
              <w:t>13.2%</w:t>
            </w:r>
          </w:p>
        </w:tc>
        <w:tc>
          <w:tcPr>
            <w:tcW w:w="1088" w:type="dxa"/>
            <w:shd w:val="clear" w:color="auto" w:fill="F2DBDB"/>
          </w:tcPr>
          <w:p w:rsidR="004A147C" w:rsidRPr="00590295" w:rsidRDefault="004A147C" w:rsidP="00CE5850">
            <w:pPr>
              <w:jc w:val="right"/>
              <w:rPr>
                <w:sz w:val="20"/>
              </w:rPr>
            </w:pPr>
            <w:r w:rsidRPr="00590295">
              <w:rPr>
                <w:sz w:val="20"/>
              </w:rPr>
              <w:t>1,986</w:t>
            </w:r>
          </w:p>
        </w:tc>
        <w:tc>
          <w:tcPr>
            <w:tcW w:w="1066" w:type="dxa"/>
            <w:shd w:val="clear" w:color="auto" w:fill="F2DBDB"/>
          </w:tcPr>
          <w:p w:rsidR="004A147C" w:rsidRPr="00590295" w:rsidRDefault="004A147C" w:rsidP="00CE5850">
            <w:pPr>
              <w:jc w:val="right"/>
              <w:rPr>
                <w:sz w:val="20"/>
              </w:rPr>
            </w:pPr>
            <w:r w:rsidRPr="00590295">
              <w:rPr>
                <w:sz w:val="20"/>
              </w:rPr>
              <w:t>89.1%</w:t>
            </w:r>
          </w:p>
        </w:tc>
      </w:tr>
      <w:tr w:rsidR="004A147C" w:rsidRPr="00B53FFB" w:rsidTr="003F13FC">
        <w:trPr>
          <w:trHeight w:val="262"/>
          <w:jc w:val="center"/>
        </w:trPr>
        <w:tc>
          <w:tcPr>
            <w:tcW w:w="1257" w:type="dxa"/>
            <w:shd w:val="clear" w:color="auto" w:fill="F2DBDB"/>
            <w:tcMar>
              <w:top w:w="0" w:type="dxa"/>
              <w:left w:w="30" w:type="dxa"/>
              <w:bottom w:w="0" w:type="dxa"/>
              <w:right w:w="30" w:type="dxa"/>
            </w:tcMar>
            <w:vAlign w:val="bottom"/>
          </w:tcPr>
          <w:p w:rsidR="004A147C" w:rsidRPr="00B53FFB" w:rsidRDefault="004A147C" w:rsidP="00CE5850">
            <w:pPr>
              <w:snapToGrid w:val="0"/>
              <w:rPr>
                <w:sz w:val="20"/>
              </w:rPr>
            </w:pPr>
            <w:r w:rsidRPr="00B53FFB">
              <w:rPr>
                <w:sz w:val="20"/>
              </w:rPr>
              <w:t>5 or More</w:t>
            </w:r>
          </w:p>
        </w:tc>
        <w:tc>
          <w:tcPr>
            <w:tcW w:w="1128" w:type="dxa"/>
            <w:shd w:val="clear" w:color="auto" w:fill="F2DBDB"/>
            <w:tcMar>
              <w:top w:w="0" w:type="dxa"/>
              <w:left w:w="30" w:type="dxa"/>
              <w:bottom w:w="0" w:type="dxa"/>
              <w:right w:w="30" w:type="dxa"/>
            </w:tcMar>
            <w:vAlign w:val="bottom"/>
          </w:tcPr>
          <w:p w:rsidR="004A147C" w:rsidRPr="00B53FFB" w:rsidRDefault="004A147C" w:rsidP="00CE5850">
            <w:pPr>
              <w:snapToGrid w:val="0"/>
              <w:jc w:val="right"/>
              <w:rPr>
                <w:sz w:val="20"/>
              </w:rPr>
            </w:pPr>
            <w:r w:rsidRPr="00B53FFB">
              <w:rPr>
                <w:sz w:val="20"/>
              </w:rPr>
              <w:t xml:space="preserve">        4,444 </w:t>
            </w:r>
          </w:p>
        </w:tc>
        <w:tc>
          <w:tcPr>
            <w:tcW w:w="1546" w:type="dxa"/>
            <w:shd w:val="clear" w:color="auto" w:fill="F2DBDB"/>
            <w:tcMar>
              <w:top w:w="0" w:type="dxa"/>
              <w:left w:w="30" w:type="dxa"/>
              <w:bottom w:w="0" w:type="dxa"/>
              <w:right w:w="30" w:type="dxa"/>
            </w:tcMar>
            <w:vAlign w:val="bottom"/>
          </w:tcPr>
          <w:p w:rsidR="004A147C" w:rsidRPr="00B53FFB" w:rsidRDefault="004A147C" w:rsidP="00CE5850">
            <w:pPr>
              <w:snapToGrid w:val="0"/>
              <w:jc w:val="right"/>
              <w:rPr>
                <w:sz w:val="20"/>
              </w:rPr>
            </w:pPr>
            <w:r w:rsidRPr="00B53FFB">
              <w:rPr>
                <w:sz w:val="20"/>
              </w:rPr>
              <w:t>        217,497</w:t>
            </w:r>
          </w:p>
        </w:tc>
        <w:tc>
          <w:tcPr>
            <w:tcW w:w="1244" w:type="dxa"/>
            <w:shd w:val="clear" w:color="auto" w:fill="F2DBDB"/>
            <w:tcMar>
              <w:top w:w="0" w:type="dxa"/>
              <w:left w:w="30" w:type="dxa"/>
              <w:bottom w:w="0" w:type="dxa"/>
              <w:right w:w="30" w:type="dxa"/>
            </w:tcMar>
            <w:vAlign w:val="bottom"/>
          </w:tcPr>
          <w:p w:rsidR="004A147C" w:rsidRPr="00B53FFB" w:rsidRDefault="004A147C" w:rsidP="00CE5850">
            <w:pPr>
              <w:snapToGrid w:val="0"/>
              <w:jc w:val="right"/>
              <w:rPr>
                <w:sz w:val="20"/>
              </w:rPr>
            </w:pPr>
            <w:r w:rsidRPr="00B53FFB">
              <w:rPr>
                <w:sz w:val="20"/>
              </w:rPr>
              <w:t>85.9%</w:t>
            </w:r>
          </w:p>
        </w:tc>
        <w:tc>
          <w:tcPr>
            <w:tcW w:w="1128" w:type="dxa"/>
            <w:shd w:val="clear" w:color="auto" w:fill="F2DBDB"/>
            <w:tcMar>
              <w:top w:w="0" w:type="dxa"/>
              <w:left w:w="30" w:type="dxa"/>
              <w:bottom w:w="0" w:type="dxa"/>
              <w:right w:w="30" w:type="dxa"/>
            </w:tcMar>
            <w:vAlign w:val="bottom"/>
          </w:tcPr>
          <w:p w:rsidR="004A147C" w:rsidRPr="00B53FFB" w:rsidRDefault="004A147C" w:rsidP="00CE5850">
            <w:pPr>
              <w:snapToGrid w:val="0"/>
              <w:jc w:val="right"/>
              <w:rPr>
                <w:sz w:val="20"/>
              </w:rPr>
            </w:pPr>
            <w:r w:rsidRPr="00B53FFB">
              <w:rPr>
                <w:sz w:val="20"/>
              </w:rPr>
              <w:t>             271</w:t>
            </w:r>
          </w:p>
        </w:tc>
        <w:tc>
          <w:tcPr>
            <w:tcW w:w="1153" w:type="dxa"/>
            <w:shd w:val="clear" w:color="auto" w:fill="F2DBDB"/>
            <w:tcMar>
              <w:top w:w="0" w:type="dxa"/>
              <w:left w:w="30" w:type="dxa"/>
              <w:bottom w:w="0" w:type="dxa"/>
              <w:right w:w="30" w:type="dxa"/>
            </w:tcMar>
            <w:vAlign w:val="bottom"/>
          </w:tcPr>
          <w:p w:rsidR="004A147C" w:rsidRPr="00B53FFB" w:rsidRDefault="004A147C" w:rsidP="00CE5850">
            <w:pPr>
              <w:snapToGrid w:val="0"/>
              <w:jc w:val="right"/>
              <w:rPr>
                <w:sz w:val="20"/>
              </w:rPr>
            </w:pPr>
            <w:r w:rsidRPr="00B53FFB">
              <w:rPr>
                <w:sz w:val="20"/>
              </w:rPr>
              <w:t>8.4%</w:t>
            </w:r>
          </w:p>
        </w:tc>
        <w:tc>
          <w:tcPr>
            <w:tcW w:w="1088" w:type="dxa"/>
            <w:shd w:val="clear" w:color="auto" w:fill="F2DBDB"/>
          </w:tcPr>
          <w:p w:rsidR="004A147C" w:rsidRPr="00590295" w:rsidRDefault="004A147C" w:rsidP="00CE5850">
            <w:pPr>
              <w:jc w:val="right"/>
              <w:rPr>
                <w:sz w:val="20"/>
              </w:rPr>
            </w:pPr>
            <w:r w:rsidRPr="00590295">
              <w:rPr>
                <w:sz w:val="20"/>
              </w:rPr>
              <w:t>1,482</w:t>
            </w:r>
          </w:p>
        </w:tc>
        <w:tc>
          <w:tcPr>
            <w:tcW w:w="1066" w:type="dxa"/>
            <w:shd w:val="clear" w:color="auto" w:fill="F2DBDB"/>
          </w:tcPr>
          <w:p w:rsidR="004A147C" w:rsidRPr="00590295" w:rsidRDefault="004A147C" w:rsidP="00CE5850">
            <w:pPr>
              <w:jc w:val="right"/>
              <w:rPr>
                <w:sz w:val="20"/>
              </w:rPr>
            </w:pPr>
            <w:r w:rsidRPr="00590295">
              <w:rPr>
                <w:sz w:val="20"/>
              </w:rPr>
              <w:t>66.5%</w:t>
            </w:r>
          </w:p>
        </w:tc>
      </w:tr>
    </w:tbl>
    <w:p w:rsidR="004A147C" w:rsidRDefault="004A147C" w:rsidP="00CE5850">
      <w:pPr>
        <w:spacing w:before="120"/>
        <w:jc w:val="center"/>
        <w:rPr>
          <w:b/>
          <w:bCs/>
          <w:kern w:val="0"/>
          <w:szCs w:val="22"/>
        </w:rPr>
      </w:pPr>
    </w:p>
    <w:p w:rsidR="004A147C" w:rsidRPr="007B3B42" w:rsidRDefault="004A147C" w:rsidP="00CE5850">
      <w:pPr>
        <w:spacing w:before="120"/>
        <w:jc w:val="center"/>
        <w:rPr>
          <w:b/>
          <w:bCs/>
          <w:kern w:val="0"/>
          <w:szCs w:val="22"/>
        </w:rPr>
      </w:pPr>
      <w:r w:rsidRPr="007B3B42">
        <w:rPr>
          <w:b/>
          <w:bCs/>
          <w:kern w:val="0"/>
          <w:szCs w:val="22"/>
        </w:rPr>
        <w:t xml:space="preserve">Table </w:t>
      </w:r>
      <w:r w:rsidR="0007014B" w:rsidRPr="007B3B42">
        <w:rPr>
          <w:b/>
          <w:bCs/>
          <w:kern w:val="0"/>
          <w:szCs w:val="22"/>
        </w:rPr>
        <w:fldChar w:fldCharType="begin"/>
      </w:r>
      <w:r w:rsidRPr="007B3B42">
        <w:rPr>
          <w:b/>
          <w:bCs/>
          <w:kern w:val="0"/>
          <w:szCs w:val="22"/>
        </w:rPr>
        <w:instrText xml:space="preserve"> SEQ Table \* ARABIC </w:instrText>
      </w:r>
      <w:r w:rsidR="0007014B" w:rsidRPr="007B3B42">
        <w:rPr>
          <w:b/>
          <w:bCs/>
          <w:kern w:val="0"/>
          <w:szCs w:val="22"/>
        </w:rPr>
        <w:fldChar w:fldCharType="separate"/>
      </w:r>
      <w:r w:rsidR="00CA3AC6">
        <w:rPr>
          <w:b/>
          <w:bCs/>
          <w:noProof/>
          <w:kern w:val="0"/>
          <w:szCs w:val="22"/>
        </w:rPr>
        <w:t>58</w:t>
      </w:r>
      <w:r w:rsidR="0007014B" w:rsidRPr="007B3B42">
        <w:rPr>
          <w:b/>
          <w:bCs/>
          <w:kern w:val="0"/>
          <w:szCs w:val="22"/>
        </w:rPr>
        <w:fldChar w:fldCharType="end"/>
      </w:r>
    </w:p>
    <w:p w:rsidR="004A147C" w:rsidRPr="007B3B42" w:rsidRDefault="004A147C" w:rsidP="00CE5850">
      <w:pPr>
        <w:spacing w:after="120"/>
        <w:jc w:val="center"/>
        <w:rPr>
          <w:b/>
          <w:bCs/>
          <w:kern w:val="0"/>
          <w:szCs w:val="22"/>
        </w:rPr>
      </w:pPr>
      <w:r w:rsidRPr="007B3B42">
        <w:rPr>
          <w:b/>
          <w:bCs/>
          <w:kern w:val="0"/>
          <w:sz w:val="24"/>
          <w:szCs w:val="22"/>
        </w:rPr>
        <w:t xml:space="preserve">Estimated Mobile Voice Coverage in </w:t>
      </w:r>
      <w:r w:rsidRPr="00E775D5">
        <w:rPr>
          <w:b/>
          <w:bCs/>
          <w:i/>
          <w:kern w:val="0"/>
          <w:sz w:val="24"/>
          <w:szCs w:val="22"/>
        </w:rPr>
        <w:t>Non-Rural</w:t>
      </w:r>
      <w:r w:rsidRPr="007B3B42">
        <w:rPr>
          <w:b/>
          <w:bCs/>
          <w:kern w:val="0"/>
          <w:sz w:val="24"/>
          <w:szCs w:val="22"/>
        </w:rPr>
        <w:t xml:space="preserve"> Areas by Census Block, Oct. 2012</w:t>
      </w:r>
      <w:r w:rsidRPr="007B3B42">
        <w:rPr>
          <w:b/>
          <w:bCs/>
          <w:kern w:val="0"/>
          <w:szCs w:val="22"/>
          <w:vertAlign w:val="superscript"/>
        </w:rPr>
        <w:footnoteReference w:id="1191"/>
      </w:r>
    </w:p>
    <w:tbl>
      <w:tblPr>
        <w:tblW w:w="0" w:type="auto"/>
        <w:jc w:val="center"/>
        <w:tblInd w:w="-1029"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0" w:type="dxa"/>
          <w:right w:w="0" w:type="dxa"/>
        </w:tblCellMar>
        <w:tblLook w:val="00A0" w:firstRow="1" w:lastRow="0" w:firstColumn="1" w:lastColumn="0" w:noHBand="0" w:noVBand="0"/>
      </w:tblPr>
      <w:tblGrid>
        <w:gridCol w:w="1257"/>
        <w:gridCol w:w="1128"/>
        <w:gridCol w:w="1546"/>
        <w:gridCol w:w="1244"/>
        <w:gridCol w:w="1128"/>
        <w:gridCol w:w="1153"/>
        <w:gridCol w:w="1088"/>
        <w:gridCol w:w="1066"/>
      </w:tblGrid>
      <w:tr w:rsidR="004A147C" w:rsidRPr="007B3B42" w:rsidTr="00A0412A">
        <w:trPr>
          <w:trHeight w:val="728"/>
          <w:jc w:val="center"/>
        </w:trPr>
        <w:tc>
          <w:tcPr>
            <w:tcW w:w="1257" w:type="dxa"/>
            <w:shd w:val="clear" w:color="auto" w:fill="F2DBDB"/>
            <w:tcMar>
              <w:top w:w="0" w:type="dxa"/>
              <w:left w:w="30" w:type="dxa"/>
              <w:bottom w:w="0" w:type="dxa"/>
              <w:right w:w="30" w:type="dxa"/>
            </w:tcMar>
          </w:tcPr>
          <w:p w:rsidR="004A147C" w:rsidRPr="007B3B42" w:rsidRDefault="004A147C" w:rsidP="00CE5850">
            <w:pPr>
              <w:snapToGrid w:val="0"/>
              <w:jc w:val="center"/>
              <w:rPr>
                <w:b/>
                <w:bCs/>
                <w:iCs/>
                <w:sz w:val="20"/>
              </w:rPr>
            </w:pPr>
            <w:r w:rsidRPr="007B3B42">
              <w:rPr>
                <w:b/>
                <w:bCs/>
                <w:iCs/>
                <w:sz w:val="20"/>
              </w:rPr>
              <w:t>Total Number of Providers with Coverage in a Block</w:t>
            </w:r>
          </w:p>
        </w:tc>
        <w:tc>
          <w:tcPr>
            <w:tcW w:w="1128" w:type="dxa"/>
            <w:shd w:val="clear" w:color="auto" w:fill="F2DBDB"/>
            <w:tcMar>
              <w:top w:w="0" w:type="dxa"/>
              <w:left w:w="30" w:type="dxa"/>
              <w:bottom w:w="0" w:type="dxa"/>
              <w:right w:w="30" w:type="dxa"/>
            </w:tcMar>
          </w:tcPr>
          <w:p w:rsidR="004A147C" w:rsidRPr="007B3B42" w:rsidRDefault="004A147C" w:rsidP="00CE5850">
            <w:pPr>
              <w:snapToGrid w:val="0"/>
              <w:jc w:val="center"/>
              <w:rPr>
                <w:b/>
                <w:bCs/>
                <w:iCs/>
                <w:sz w:val="20"/>
              </w:rPr>
            </w:pPr>
            <w:r w:rsidRPr="007B3B42">
              <w:rPr>
                <w:b/>
                <w:bCs/>
                <w:iCs/>
                <w:sz w:val="20"/>
              </w:rPr>
              <w:t>Number of Non-Rural Census Blocks</w:t>
            </w:r>
          </w:p>
          <w:p w:rsidR="004A147C" w:rsidRPr="007B3B42" w:rsidRDefault="004A147C" w:rsidP="00CE5850">
            <w:pPr>
              <w:snapToGrid w:val="0"/>
              <w:jc w:val="center"/>
              <w:rPr>
                <w:b/>
                <w:bCs/>
                <w:iCs/>
                <w:sz w:val="20"/>
              </w:rPr>
            </w:pPr>
            <w:r w:rsidRPr="007B3B42">
              <w:rPr>
                <w:b/>
                <w:bCs/>
                <w:iCs/>
                <w:sz w:val="20"/>
              </w:rPr>
              <w:t>(Thousands)</w:t>
            </w:r>
          </w:p>
        </w:tc>
        <w:tc>
          <w:tcPr>
            <w:tcW w:w="1546" w:type="dxa"/>
            <w:shd w:val="clear" w:color="auto" w:fill="F2DBDB"/>
            <w:tcMar>
              <w:top w:w="0" w:type="dxa"/>
              <w:left w:w="30" w:type="dxa"/>
              <w:bottom w:w="0" w:type="dxa"/>
              <w:right w:w="30" w:type="dxa"/>
            </w:tcMar>
          </w:tcPr>
          <w:p w:rsidR="004A147C" w:rsidRPr="007B3B42" w:rsidRDefault="004A147C" w:rsidP="00CE5850">
            <w:pPr>
              <w:snapToGrid w:val="0"/>
              <w:jc w:val="center"/>
              <w:rPr>
                <w:b/>
                <w:bCs/>
                <w:iCs/>
                <w:sz w:val="20"/>
              </w:rPr>
            </w:pPr>
            <w:r w:rsidRPr="007B3B42">
              <w:rPr>
                <w:b/>
                <w:bCs/>
                <w:iCs/>
                <w:sz w:val="20"/>
              </w:rPr>
              <w:t>POPs Contained in Non-Rural Census Blocks</w:t>
            </w:r>
          </w:p>
          <w:p w:rsidR="004A147C" w:rsidRPr="007B3B42" w:rsidRDefault="004A147C" w:rsidP="00CE5850">
            <w:pPr>
              <w:snapToGrid w:val="0"/>
              <w:jc w:val="center"/>
              <w:rPr>
                <w:b/>
                <w:bCs/>
                <w:iCs/>
                <w:sz w:val="20"/>
              </w:rPr>
            </w:pPr>
            <w:r w:rsidRPr="007B3B42">
              <w:rPr>
                <w:b/>
                <w:bCs/>
                <w:iCs/>
                <w:sz w:val="20"/>
              </w:rPr>
              <w:t xml:space="preserve">(Thousands) </w:t>
            </w:r>
          </w:p>
        </w:tc>
        <w:tc>
          <w:tcPr>
            <w:tcW w:w="1244" w:type="dxa"/>
            <w:shd w:val="clear" w:color="auto" w:fill="F2DBDB"/>
            <w:tcMar>
              <w:top w:w="0" w:type="dxa"/>
              <w:left w:w="30" w:type="dxa"/>
              <w:bottom w:w="0" w:type="dxa"/>
              <w:right w:w="30" w:type="dxa"/>
            </w:tcMar>
          </w:tcPr>
          <w:p w:rsidR="004A147C" w:rsidRPr="007B3B42" w:rsidRDefault="004A147C" w:rsidP="00CE5850">
            <w:pPr>
              <w:snapToGrid w:val="0"/>
              <w:jc w:val="center"/>
              <w:rPr>
                <w:b/>
                <w:bCs/>
                <w:iCs/>
                <w:sz w:val="20"/>
              </w:rPr>
            </w:pPr>
            <w:r w:rsidRPr="007B3B42">
              <w:rPr>
                <w:b/>
                <w:bCs/>
                <w:iCs/>
                <w:sz w:val="20"/>
              </w:rPr>
              <w:t>% of Total U.S. POPs</w:t>
            </w:r>
          </w:p>
        </w:tc>
        <w:tc>
          <w:tcPr>
            <w:tcW w:w="1128" w:type="dxa"/>
            <w:shd w:val="clear" w:color="auto" w:fill="F2DBDB"/>
            <w:tcMar>
              <w:top w:w="0" w:type="dxa"/>
              <w:left w:w="30" w:type="dxa"/>
              <w:bottom w:w="0" w:type="dxa"/>
              <w:right w:w="30" w:type="dxa"/>
            </w:tcMar>
          </w:tcPr>
          <w:p w:rsidR="004A147C" w:rsidRPr="007B3B42" w:rsidRDefault="004A147C" w:rsidP="00CE5850">
            <w:pPr>
              <w:snapToGrid w:val="0"/>
              <w:jc w:val="center"/>
              <w:rPr>
                <w:b/>
                <w:bCs/>
                <w:iCs/>
                <w:sz w:val="20"/>
              </w:rPr>
            </w:pPr>
            <w:r w:rsidRPr="007B3B42">
              <w:rPr>
                <w:b/>
                <w:bCs/>
                <w:iCs/>
                <w:sz w:val="20"/>
              </w:rPr>
              <w:t xml:space="preserve">Square Miles Contained in Those Blocks </w:t>
            </w:r>
          </w:p>
          <w:p w:rsidR="004A147C" w:rsidRPr="007B3B42" w:rsidRDefault="004A147C" w:rsidP="00CE5850">
            <w:pPr>
              <w:snapToGrid w:val="0"/>
              <w:jc w:val="center"/>
              <w:rPr>
                <w:b/>
                <w:bCs/>
                <w:iCs/>
                <w:sz w:val="20"/>
              </w:rPr>
            </w:pPr>
            <w:r w:rsidRPr="007B3B42">
              <w:rPr>
                <w:b/>
                <w:bCs/>
                <w:iCs/>
                <w:sz w:val="20"/>
              </w:rPr>
              <w:t>(Thousands)</w:t>
            </w:r>
          </w:p>
        </w:tc>
        <w:tc>
          <w:tcPr>
            <w:tcW w:w="1153" w:type="dxa"/>
            <w:shd w:val="clear" w:color="auto" w:fill="F2DBDB"/>
            <w:tcMar>
              <w:top w:w="0" w:type="dxa"/>
              <w:left w:w="30" w:type="dxa"/>
              <w:bottom w:w="0" w:type="dxa"/>
              <w:right w:w="30" w:type="dxa"/>
            </w:tcMar>
          </w:tcPr>
          <w:p w:rsidR="004A147C" w:rsidRPr="007B3B42" w:rsidRDefault="004A147C" w:rsidP="00CE5850">
            <w:pPr>
              <w:snapToGrid w:val="0"/>
              <w:jc w:val="center"/>
              <w:rPr>
                <w:b/>
                <w:bCs/>
                <w:iCs/>
                <w:sz w:val="20"/>
              </w:rPr>
            </w:pPr>
            <w:r w:rsidRPr="007B3B42">
              <w:rPr>
                <w:b/>
                <w:bCs/>
                <w:iCs/>
                <w:sz w:val="20"/>
              </w:rPr>
              <w:t>% of Total U.S. Square Miles</w:t>
            </w:r>
          </w:p>
        </w:tc>
        <w:tc>
          <w:tcPr>
            <w:tcW w:w="1088" w:type="dxa"/>
            <w:shd w:val="clear" w:color="auto" w:fill="F2DBDB"/>
          </w:tcPr>
          <w:p w:rsidR="004A147C" w:rsidRPr="007B3B42" w:rsidRDefault="004A147C" w:rsidP="00CE5850">
            <w:pPr>
              <w:snapToGrid w:val="0"/>
              <w:jc w:val="center"/>
              <w:rPr>
                <w:b/>
                <w:bCs/>
                <w:iCs/>
                <w:sz w:val="20"/>
              </w:rPr>
            </w:pPr>
            <w:r w:rsidRPr="007B3B42">
              <w:rPr>
                <w:b/>
                <w:bCs/>
                <w:iCs/>
                <w:sz w:val="20"/>
              </w:rPr>
              <w:t>Road Miles Contained in Those Blocks (Thousands)</w:t>
            </w:r>
          </w:p>
        </w:tc>
        <w:tc>
          <w:tcPr>
            <w:tcW w:w="1066" w:type="dxa"/>
            <w:shd w:val="clear" w:color="auto" w:fill="F2DBDB"/>
          </w:tcPr>
          <w:p w:rsidR="004A147C" w:rsidRPr="007B3B42" w:rsidRDefault="004A147C" w:rsidP="00CE5850">
            <w:pPr>
              <w:snapToGrid w:val="0"/>
              <w:jc w:val="center"/>
              <w:rPr>
                <w:b/>
                <w:bCs/>
                <w:iCs/>
                <w:sz w:val="20"/>
              </w:rPr>
            </w:pPr>
            <w:r w:rsidRPr="007B3B42">
              <w:rPr>
                <w:b/>
                <w:bCs/>
                <w:iCs/>
                <w:sz w:val="20"/>
              </w:rPr>
              <w:t>% of Total U.S. Road Miles</w:t>
            </w:r>
          </w:p>
        </w:tc>
      </w:tr>
      <w:tr w:rsidR="004A147C" w:rsidRPr="007B3B42" w:rsidTr="00A0412A">
        <w:trPr>
          <w:trHeight w:val="245"/>
          <w:jc w:val="center"/>
        </w:trPr>
        <w:tc>
          <w:tcPr>
            <w:tcW w:w="1257" w:type="dxa"/>
            <w:shd w:val="clear" w:color="auto" w:fill="F2DBDB"/>
            <w:tcMar>
              <w:top w:w="0" w:type="dxa"/>
              <w:left w:w="30" w:type="dxa"/>
              <w:bottom w:w="0" w:type="dxa"/>
              <w:right w:w="30" w:type="dxa"/>
            </w:tcMar>
            <w:vAlign w:val="bottom"/>
          </w:tcPr>
          <w:p w:rsidR="004A147C" w:rsidRPr="007B3B42" w:rsidRDefault="004A147C" w:rsidP="00CE5850">
            <w:pPr>
              <w:snapToGrid w:val="0"/>
              <w:rPr>
                <w:b/>
                <w:bCs/>
                <w:iCs/>
                <w:sz w:val="20"/>
              </w:rPr>
            </w:pPr>
            <w:r w:rsidRPr="007B3B42">
              <w:rPr>
                <w:b/>
                <w:bCs/>
                <w:iCs/>
                <w:sz w:val="20"/>
              </w:rPr>
              <w:t>Total for Non-Rural U.S.</w:t>
            </w:r>
          </w:p>
        </w:tc>
        <w:tc>
          <w:tcPr>
            <w:tcW w:w="1128" w:type="dxa"/>
            <w:shd w:val="clear" w:color="auto" w:fill="F2DBDB"/>
            <w:tcMar>
              <w:top w:w="0" w:type="dxa"/>
              <w:left w:w="30" w:type="dxa"/>
              <w:bottom w:w="0" w:type="dxa"/>
              <w:right w:w="30" w:type="dxa"/>
            </w:tcMar>
            <w:vAlign w:val="bottom"/>
          </w:tcPr>
          <w:p w:rsidR="004A147C" w:rsidRPr="007B3B42" w:rsidRDefault="004A147C" w:rsidP="00CE5850">
            <w:pPr>
              <w:snapToGrid w:val="0"/>
              <w:jc w:val="right"/>
              <w:rPr>
                <w:b/>
                <w:bCs/>
                <w:sz w:val="20"/>
              </w:rPr>
            </w:pPr>
            <w:r w:rsidRPr="007B3B42">
              <w:rPr>
                <w:b/>
                <w:bCs/>
                <w:sz w:val="20"/>
              </w:rPr>
              <w:t>5,768</w:t>
            </w:r>
          </w:p>
        </w:tc>
        <w:tc>
          <w:tcPr>
            <w:tcW w:w="1546" w:type="dxa"/>
            <w:shd w:val="clear" w:color="auto" w:fill="F2DBDB"/>
            <w:tcMar>
              <w:top w:w="0" w:type="dxa"/>
              <w:left w:w="30" w:type="dxa"/>
              <w:bottom w:w="0" w:type="dxa"/>
              <w:right w:w="30" w:type="dxa"/>
            </w:tcMar>
            <w:vAlign w:val="bottom"/>
          </w:tcPr>
          <w:p w:rsidR="004A147C" w:rsidRPr="007B3B42" w:rsidRDefault="004A147C" w:rsidP="00CE5850">
            <w:pPr>
              <w:snapToGrid w:val="0"/>
              <w:jc w:val="right"/>
              <w:rPr>
                <w:b/>
                <w:bCs/>
                <w:sz w:val="20"/>
              </w:rPr>
            </w:pPr>
            <w:r w:rsidRPr="007B3B42">
              <w:rPr>
                <w:b/>
                <w:bCs/>
                <w:sz w:val="20"/>
              </w:rPr>
              <w:t>253,319</w:t>
            </w:r>
          </w:p>
        </w:tc>
        <w:tc>
          <w:tcPr>
            <w:tcW w:w="1244" w:type="dxa"/>
            <w:shd w:val="clear" w:color="auto" w:fill="F2DBDB"/>
            <w:tcMar>
              <w:top w:w="0" w:type="dxa"/>
              <w:left w:w="30" w:type="dxa"/>
              <w:bottom w:w="0" w:type="dxa"/>
              <w:right w:w="30" w:type="dxa"/>
            </w:tcMar>
            <w:vAlign w:val="bottom"/>
          </w:tcPr>
          <w:p w:rsidR="004A147C" w:rsidRPr="007B3B42" w:rsidRDefault="004A147C" w:rsidP="00CE5850">
            <w:pPr>
              <w:snapToGrid w:val="0"/>
              <w:jc w:val="right"/>
              <w:rPr>
                <w:b/>
                <w:bCs/>
                <w:sz w:val="20"/>
              </w:rPr>
            </w:pPr>
            <w:r w:rsidRPr="007B3B42">
              <w:rPr>
                <w:b/>
                <w:bCs/>
                <w:sz w:val="20"/>
              </w:rPr>
              <w:t>81.8%</w:t>
            </w:r>
          </w:p>
        </w:tc>
        <w:tc>
          <w:tcPr>
            <w:tcW w:w="1128" w:type="dxa"/>
            <w:shd w:val="clear" w:color="auto" w:fill="F2DBDB"/>
            <w:tcMar>
              <w:top w:w="0" w:type="dxa"/>
              <w:left w:w="30" w:type="dxa"/>
              <w:bottom w:w="0" w:type="dxa"/>
              <w:right w:w="30" w:type="dxa"/>
            </w:tcMar>
            <w:vAlign w:val="bottom"/>
          </w:tcPr>
          <w:p w:rsidR="004A147C" w:rsidRPr="007B3B42" w:rsidRDefault="004A147C" w:rsidP="00CE5850">
            <w:pPr>
              <w:snapToGrid w:val="0"/>
              <w:jc w:val="right"/>
              <w:rPr>
                <w:b/>
                <w:bCs/>
                <w:sz w:val="20"/>
              </w:rPr>
            </w:pPr>
            <w:r w:rsidRPr="007B3B42">
              <w:rPr>
                <w:b/>
                <w:bCs/>
                <w:sz w:val="20"/>
              </w:rPr>
              <w:t>588</w:t>
            </w:r>
          </w:p>
        </w:tc>
        <w:tc>
          <w:tcPr>
            <w:tcW w:w="1153" w:type="dxa"/>
            <w:shd w:val="clear" w:color="auto" w:fill="F2DBDB"/>
            <w:tcMar>
              <w:top w:w="0" w:type="dxa"/>
              <w:left w:w="30" w:type="dxa"/>
              <w:bottom w:w="0" w:type="dxa"/>
              <w:right w:w="30" w:type="dxa"/>
            </w:tcMar>
            <w:vAlign w:val="bottom"/>
          </w:tcPr>
          <w:p w:rsidR="004A147C" w:rsidRPr="007B3B42" w:rsidRDefault="004A147C" w:rsidP="00CE5850">
            <w:pPr>
              <w:snapToGrid w:val="0"/>
              <w:jc w:val="right"/>
              <w:rPr>
                <w:b/>
                <w:bCs/>
                <w:sz w:val="20"/>
              </w:rPr>
            </w:pPr>
            <w:r w:rsidRPr="007B3B42">
              <w:rPr>
                <w:b/>
                <w:bCs/>
                <w:sz w:val="20"/>
              </w:rPr>
              <w:t>15.5%</w:t>
            </w:r>
          </w:p>
        </w:tc>
        <w:tc>
          <w:tcPr>
            <w:tcW w:w="1088" w:type="dxa"/>
            <w:shd w:val="clear" w:color="auto" w:fill="F2DBDB"/>
            <w:vAlign w:val="bottom"/>
          </w:tcPr>
          <w:p w:rsidR="004A147C" w:rsidRPr="007B3B42" w:rsidRDefault="004A147C" w:rsidP="00CE5850">
            <w:pPr>
              <w:jc w:val="right"/>
              <w:rPr>
                <w:b/>
                <w:sz w:val="20"/>
              </w:rPr>
            </w:pPr>
            <w:r w:rsidRPr="007B3B42">
              <w:rPr>
                <w:b/>
                <w:sz w:val="20"/>
              </w:rPr>
              <w:t>2,230</w:t>
            </w:r>
          </w:p>
        </w:tc>
        <w:tc>
          <w:tcPr>
            <w:tcW w:w="1066" w:type="dxa"/>
            <w:shd w:val="clear" w:color="auto" w:fill="F2DBDB"/>
            <w:vAlign w:val="bottom"/>
          </w:tcPr>
          <w:p w:rsidR="004A147C" w:rsidRPr="007B3B42" w:rsidRDefault="004A147C" w:rsidP="00CE5850">
            <w:pPr>
              <w:jc w:val="right"/>
              <w:rPr>
                <w:b/>
                <w:sz w:val="20"/>
              </w:rPr>
            </w:pPr>
          </w:p>
          <w:p w:rsidR="004A147C" w:rsidRPr="007B3B42" w:rsidRDefault="004A147C" w:rsidP="00CE5850">
            <w:pPr>
              <w:jc w:val="right"/>
              <w:rPr>
                <w:b/>
                <w:sz w:val="20"/>
              </w:rPr>
            </w:pPr>
            <w:r w:rsidRPr="007B3B42">
              <w:rPr>
                <w:b/>
                <w:sz w:val="20"/>
              </w:rPr>
              <w:t>32.7%</w:t>
            </w:r>
          </w:p>
        </w:tc>
      </w:tr>
      <w:tr w:rsidR="004A147C" w:rsidRPr="007B3B42" w:rsidTr="00A0412A">
        <w:trPr>
          <w:trHeight w:val="245"/>
          <w:jc w:val="center"/>
        </w:trPr>
        <w:tc>
          <w:tcPr>
            <w:tcW w:w="1257" w:type="dxa"/>
            <w:shd w:val="clear" w:color="auto" w:fill="F2DBDB"/>
            <w:tcMar>
              <w:top w:w="0" w:type="dxa"/>
              <w:left w:w="30" w:type="dxa"/>
              <w:bottom w:w="0" w:type="dxa"/>
              <w:right w:w="30" w:type="dxa"/>
            </w:tcMar>
            <w:vAlign w:val="bottom"/>
          </w:tcPr>
          <w:p w:rsidR="004A147C" w:rsidRPr="007B3B42" w:rsidRDefault="004A147C" w:rsidP="00CE5850">
            <w:pPr>
              <w:snapToGrid w:val="0"/>
              <w:rPr>
                <w:b/>
                <w:bCs/>
                <w:sz w:val="20"/>
              </w:rPr>
            </w:pPr>
          </w:p>
        </w:tc>
        <w:tc>
          <w:tcPr>
            <w:tcW w:w="1128" w:type="dxa"/>
            <w:shd w:val="clear" w:color="auto" w:fill="F2DBDB"/>
            <w:tcMar>
              <w:top w:w="0" w:type="dxa"/>
              <w:left w:w="30" w:type="dxa"/>
              <w:bottom w:w="0" w:type="dxa"/>
              <w:right w:w="30" w:type="dxa"/>
            </w:tcMar>
            <w:vAlign w:val="bottom"/>
          </w:tcPr>
          <w:p w:rsidR="004A147C" w:rsidRPr="007B3B42" w:rsidRDefault="004A147C" w:rsidP="00CE5850">
            <w:pPr>
              <w:snapToGrid w:val="0"/>
              <w:jc w:val="right"/>
              <w:rPr>
                <w:b/>
                <w:bCs/>
                <w:sz w:val="20"/>
              </w:rPr>
            </w:pPr>
          </w:p>
        </w:tc>
        <w:tc>
          <w:tcPr>
            <w:tcW w:w="1546" w:type="dxa"/>
            <w:shd w:val="clear" w:color="auto" w:fill="F2DBDB"/>
            <w:tcMar>
              <w:top w:w="0" w:type="dxa"/>
              <w:left w:w="30" w:type="dxa"/>
              <w:bottom w:w="0" w:type="dxa"/>
              <w:right w:w="30" w:type="dxa"/>
            </w:tcMar>
            <w:vAlign w:val="bottom"/>
          </w:tcPr>
          <w:p w:rsidR="004A147C" w:rsidRPr="007B3B42" w:rsidRDefault="004A147C" w:rsidP="00CE5850">
            <w:pPr>
              <w:snapToGrid w:val="0"/>
              <w:ind w:firstLine="200"/>
              <w:jc w:val="right"/>
              <w:rPr>
                <w:b/>
                <w:bCs/>
                <w:i/>
                <w:iCs/>
                <w:sz w:val="20"/>
              </w:rPr>
            </w:pPr>
          </w:p>
        </w:tc>
        <w:tc>
          <w:tcPr>
            <w:tcW w:w="1244" w:type="dxa"/>
            <w:shd w:val="clear" w:color="auto" w:fill="F2DBDB"/>
            <w:tcMar>
              <w:top w:w="0" w:type="dxa"/>
              <w:left w:w="30" w:type="dxa"/>
              <w:bottom w:w="0" w:type="dxa"/>
              <w:right w:w="30" w:type="dxa"/>
            </w:tcMar>
          </w:tcPr>
          <w:p w:rsidR="004A147C" w:rsidRPr="007B3B42" w:rsidRDefault="004A147C" w:rsidP="00CE5850">
            <w:pPr>
              <w:snapToGrid w:val="0"/>
              <w:jc w:val="center"/>
              <w:rPr>
                <w:b/>
                <w:bCs/>
                <w:iCs/>
                <w:sz w:val="20"/>
              </w:rPr>
            </w:pPr>
            <w:r w:rsidRPr="007B3B42">
              <w:rPr>
                <w:b/>
                <w:bCs/>
                <w:iCs/>
                <w:sz w:val="20"/>
              </w:rPr>
              <w:t>% of Total Non-Rural U.S. POPs</w:t>
            </w:r>
          </w:p>
        </w:tc>
        <w:tc>
          <w:tcPr>
            <w:tcW w:w="1128" w:type="dxa"/>
            <w:shd w:val="clear" w:color="auto" w:fill="F2DBDB"/>
            <w:tcMar>
              <w:top w:w="0" w:type="dxa"/>
              <w:left w:w="30" w:type="dxa"/>
              <w:bottom w:w="0" w:type="dxa"/>
              <w:right w:w="30" w:type="dxa"/>
            </w:tcMar>
          </w:tcPr>
          <w:p w:rsidR="004A147C" w:rsidRPr="007B3B42" w:rsidRDefault="004A147C" w:rsidP="00CE5850">
            <w:pPr>
              <w:snapToGrid w:val="0"/>
              <w:ind w:firstLine="400"/>
              <w:jc w:val="center"/>
              <w:rPr>
                <w:b/>
                <w:bCs/>
                <w:iCs/>
                <w:sz w:val="20"/>
              </w:rPr>
            </w:pPr>
          </w:p>
        </w:tc>
        <w:tc>
          <w:tcPr>
            <w:tcW w:w="1153" w:type="dxa"/>
            <w:shd w:val="clear" w:color="auto" w:fill="F2DBDB"/>
            <w:tcMar>
              <w:top w:w="0" w:type="dxa"/>
              <w:left w:w="30" w:type="dxa"/>
              <w:bottom w:w="0" w:type="dxa"/>
              <w:right w:w="30" w:type="dxa"/>
            </w:tcMar>
          </w:tcPr>
          <w:p w:rsidR="004A147C" w:rsidRPr="007B3B42" w:rsidRDefault="004A147C" w:rsidP="00CE5850">
            <w:pPr>
              <w:snapToGrid w:val="0"/>
              <w:jc w:val="center"/>
              <w:rPr>
                <w:b/>
                <w:bCs/>
                <w:iCs/>
                <w:sz w:val="20"/>
              </w:rPr>
            </w:pPr>
            <w:r w:rsidRPr="007B3B42">
              <w:rPr>
                <w:b/>
                <w:bCs/>
                <w:iCs/>
                <w:sz w:val="20"/>
              </w:rPr>
              <w:t>% of Total Non-Rural U.S. Square Miles</w:t>
            </w:r>
          </w:p>
        </w:tc>
        <w:tc>
          <w:tcPr>
            <w:tcW w:w="1088" w:type="dxa"/>
            <w:shd w:val="clear" w:color="auto" w:fill="F2DBDB"/>
          </w:tcPr>
          <w:p w:rsidR="004A147C" w:rsidRPr="007B3B42" w:rsidRDefault="004A147C" w:rsidP="00CE5850">
            <w:pPr>
              <w:jc w:val="center"/>
              <w:rPr>
                <w:sz w:val="20"/>
              </w:rPr>
            </w:pPr>
          </w:p>
        </w:tc>
        <w:tc>
          <w:tcPr>
            <w:tcW w:w="1066" w:type="dxa"/>
            <w:shd w:val="clear" w:color="auto" w:fill="F2DBDB"/>
          </w:tcPr>
          <w:p w:rsidR="004A147C" w:rsidRPr="007B3B42" w:rsidRDefault="004A147C" w:rsidP="00CE5850">
            <w:pPr>
              <w:jc w:val="center"/>
              <w:rPr>
                <w:b/>
                <w:sz w:val="20"/>
              </w:rPr>
            </w:pPr>
            <w:r w:rsidRPr="007B3B42">
              <w:rPr>
                <w:b/>
                <w:sz w:val="20"/>
              </w:rPr>
              <w:t>% of Total Non-Rural U.S. Road Miles</w:t>
            </w:r>
          </w:p>
        </w:tc>
      </w:tr>
      <w:tr w:rsidR="004A147C" w:rsidRPr="007B3B42" w:rsidTr="00A0412A">
        <w:trPr>
          <w:trHeight w:val="245"/>
          <w:jc w:val="center"/>
        </w:trPr>
        <w:tc>
          <w:tcPr>
            <w:tcW w:w="1257" w:type="dxa"/>
            <w:shd w:val="clear" w:color="auto" w:fill="F2DBDB"/>
            <w:tcMar>
              <w:top w:w="0" w:type="dxa"/>
              <w:left w:w="30" w:type="dxa"/>
              <w:bottom w:w="0" w:type="dxa"/>
              <w:right w:w="30" w:type="dxa"/>
            </w:tcMar>
            <w:vAlign w:val="bottom"/>
          </w:tcPr>
          <w:p w:rsidR="004A147C" w:rsidRPr="007B3B42" w:rsidRDefault="004A147C" w:rsidP="00CE5850">
            <w:pPr>
              <w:snapToGrid w:val="0"/>
              <w:rPr>
                <w:sz w:val="20"/>
              </w:rPr>
            </w:pPr>
            <w:r w:rsidRPr="007B3B42">
              <w:rPr>
                <w:sz w:val="20"/>
              </w:rPr>
              <w:t>1 or More</w:t>
            </w:r>
          </w:p>
        </w:tc>
        <w:tc>
          <w:tcPr>
            <w:tcW w:w="1128" w:type="dxa"/>
            <w:shd w:val="clear" w:color="auto" w:fill="F2DBDB"/>
            <w:tcMar>
              <w:top w:w="0" w:type="dxa"/>
              <w:left w:w="30" w:type="dxa"/>
              <w:bottom w:w="0" w:type="dxa"/>
              <w:right w:w="30" w:type="dxa"/>
            </w:tcMar>
          </w:tcPr>
          <w:p w:rsidR="004A147C" w:rsidRPr="007B3B42" w:rsidRDefault="004A147C" w:rsidP="00CE5850">
            <w:pPr>
              <w:jc w:val="right"/>
              <w:rPr>
                <w:sz w:val="20"/>
              </w:rPr>
            </w:pPr>
            <w:r w:rsidRPr="007B3B42">
              <w:rPr>
                <w:sz w:val="20"/>
              </w:rPr>
              <w:t>5,751</w:t>
            </w:r>
          </w:p>
        </w:tc>
        <w:tc>
          <w:tcPr>
            <w:tcW w:w="1546" w:type="dxa"/>
            <w:shd w:val="clear" w:color="auto" w:fill="F2DBDB"/>
            <w:tcMar>
              <w:top w:w="0" w:type="dxa"/>
              <w:left w:w="30" w:type="dxa"/>
              <w:bottom w:w="0" w:type="dxa"/>
              <w:right w:w="30" w:type="dxa"/>
            </w:tcMar>
          </w:tcPr>
          <w:p w:rsidR="004A147C" w:rsidRPr="007B3B42" w:rsidRDefault="004A147C" w:rsidP="00CE5850">
            <w:pPr>
              <w:jc w:val="right"/>
              <w:rPr>
                <w:sz w:val="20"/>
              </w:rPr>
            </w:pPr>
            <w:r w:rsidRPr="007B3B42">
              <w:rPr>
                <w:sz w:val="20"/>
              </w:rPr>
              <w:t>253,261</w:t>
            </w:r>
          </w:p>
        </w:tc>
        <w:tc>
          <w:tcPr>
            <w:tcW w:w="1244" w:type="dxa"/>
            <w:shd w:val="clear" w:color="auto" w:fill="F2DBDB"/>
            <w:tcMar>
              <w:top w:w="0" w:type="dxa"/>
              <w:left w:w="30" w:type="dxa"/>
              <w:bottom w:w="0" w:type="dxa"/>
              <w:right w:w="30" w:type="dxa"/>
            </w:tcMar>
          </w:tcPr>
          <w:p w:rsidR="004A147C" w:rsidRPr="007B3B42" w:rsidRDefault="004A147C" w:rsidP="00CE5850">
            <w:pPr>
              <w:jc w:val="right"/>
              <w:rPr>
                <w:sz w:val="20"/>
              </w:rPr>
            </w:pPr>
            <w:r w:rsidRPr="007B3B42">
              <w:rPr>
                <w:sz w:val="20"/>
              </w:rPr>
              <w:t>100.0%</w:t>
            </w:r>
          </w:p>
        </w:tc>
        <w:tc>
          <w:tcPr>
            <w:tcW w:w="1128" w:type="dxa"/>
            <w:shd w:val="clear" w:color="auto" w:fill="F2DBDB"/>
            <w:tcMar>
              <w:top w:w="0" w:type="dxa"/>
              <w:left w:w="30" w:type="dxa"/>
              <w:bottom w:w="0" w:type="dxa"/>
              <w:right w:w="30" w:type="dxa"/>
            </w:tcMar>
          </w:tcPr>
          <w:p w:rsidR="004A147C" w:rsidRPr="007B3B42" w:rsidRDefault="004A147C" w:rsidP="00CE5850">
            <w:pPr>
              <w:jc w:val="right"/>
              <w:rPr>
                <w:sz w:val="20"/>
              </w:rPr>
            </w:pPr>
            <w:r w:rsidRPr="007B3B42">
              <w:rPr>
                <w:sz w:val="20"/>
              </w:rPr>
              <w:t>546</w:t>
            </w:r>
          </w:p>
        </w:tc>
        <w:tc>
          <w:tcPr>
            <w:tcW w:w="1153" w:type="dxa"/>
            <w:shd w:val="clear" w:color="auto" w:fill="F2DBDB"/>
            <w:tcMar>
              <w:top w:w="0" w:type="dxa"/>
              <w:left w:w="30" w:type="dxa"/>
              <w:bottom w:w="0" w:type="dxa"/>
              <w:right w:w="30" w:type="dxa"/>
            </w:tcMar>
          </w:tcPr>
          <w:p w:rsidR="004A147C" w:rsidRPr="007B3B42" w:rsidRDefault="004A147C" w:rsidP="00CE5850">
            <w:pPr>
              <w:jc w:val="right"/>
              <w:rPr>
                <w:sz w:val="20"/>
              </w:rPr>
            </w:pPr>
            <w:r w:rsidRPr="007B3B42">
              <w:rPr>
                <w:sz w:val="20"/>
              </w:rPr>
              <w:t>92.8%</w:t>
            </w:r>
          </w:p>
        </w:tc>
        <w:tc>
          <w:tcPr>
            <w:tcW w:w="1088" w:type="dxa"/>
            <w:shd w:val="clear" w:color="auto" w:fill="F2DBDB"/>
          </w:tcPr>
          <w:p w:rsidR="004A147C" w:rsidRPr="007B3B42" w:rsidRDefault="004A147C" w:rsidP="00CE5850">
            <w:pPr>
              <w:jc w:val="right"/>
              <w:rPr>
                <w:sz w:val="20"/>
              </w:rPr>
            </w:pPr>
            <w:r w:rsidRPr="007B3B42">
              <w:rPr>
                <w:sz w:val="20"/>
              </w:rPr>
              <w:t>2,213</w:t>
            </w:r>
          </w:p>
        </w:tc>
        <w:tc>
          <w:tcPr>
            <w:tcW w:w="1066" w:type="dxa"/>
            <w:shd w:val="clear" w:color="auto" w:fill="F2DBDB"/>
          </w:tcPr>
          <w:p w:rsidR="004A147C" w:rsidRPr="007B3B42" w:rsidRDefault="004A147C" w:rsidP="00CE5850">
            <w:pPr>
              <w:jc w:val="right"/>
              <w:rPr>
                <w:sz w:val="20"/>
              </w:rPr>
            </w:pPr>
            <w:r w:rsidRPr="007B3B42">
              <w:rPr>
                <w:sz w:val="20"/>
              </w:rPr>
              <w:t>99.2%</w:t>
            </w:r>
          </w:p>
        </w:tc>
      </w:tr>
      <w:tr w:rsidR="004A147C" w:rsidRPr="007B3B42" w:rsidTr="00A0412A">
        <w:trPr>
          <w:trHeight w:val="245"/>
          <w:jc w:val="center"/>
        </w:trPr>
        <w:tc>
          <w:tcPr>
            <w:tcW w:w="1257" w:type="dxa"/>
            <w:shd w:val="clear" w:color="auto" w:fill="F2DBDB"/>
            <w:tcMar>
              <w:top w:w="0" w:type="dxa"/>
              <w:left w:w="30" w:type="dxa"/>
              <w:bottom w:w="0" w:type="dxa"/>
              <w:right w:w="30" w:type="dxa"/>
            </w:tcMar>
            <w:vAlign w:val="bottom"/>
          </w:tcPr>
          <w:p w:rsidR="004A147C" w:rsidRPr="007B3B42" w:rsidRDefault="004A147C" w:rsidP="00CE5850">
            <w:pPr>
              <w:snapToGrid w:val="0"/>
              <w:rPr>
                <w:sz w:val="20"/>
              </w:rPr>
            </w:pPr>
            <w:r w:rsidRPr="007B3B42">
              <w:rPr>
                <w:sz w:val="20"/>
              </w:rPr>
              <w:t>2 or More</w:t>
            </w:r>
          </w:p>
        </w:tc>
        <w:tc>
          <w:tcPr>
            <w:tcW w:w="1128" w:type="dxa"/>
            <w:shd w:val="clear" w:color="auto" w:fill="F2DBDB"/>
            <w:tcMar>
              <w:top w:w="0" w:type="dxa"/>
              <w:left w:w="30" w:type="dxa"/>
              <w:bottom w:w="0" w:type="dxa"/>
              <w:right w:w="30" w:type="dxa"/>
            </w:tcMar>
          </w:tcPr>
          <w:p w:rsidR="004A147C" w:rsidRPr="007B3B42" w:rsidRDefault="004A147C" w:rsidP="00CE5850">
            <w:pPr>
              <w:jc w:val="right"/>
              <w:rPr>
                <w:sz w:val="20"/>
              </w:rPr>
            </w:pPr>
            <w:r w:rsidRPr="007B3B42">
              <w:rPr>
                <w:sz w:val="20"/>
              </w:rPr>
              <w:t>5,719</w:t>
            </w:r>
          </w:p>
        </w:tc>
        <w:tc>
          <w:tcPr>
            <w:tcW w:w="1546" w:type="dxa"/>
            <w:shd w:val="clear" w:color="auto" w:fill="F2DBDB"/>
            <w:tcMar>
              <w:top w:w="0" w:type="dxa"/>
              <w:left w:w="30" w:type="dxa"/>
              <w:bottom w:w="0" w:type="dxa"/>
              <w:right w:w="30" w:type="dxa"/>
            </w:tcMar>
          </w:tcPr>
          <w:p w:rsidR="004A147C" w:rsidRPr="007B3B42" w:rsidRDefault="004A147C" w:rsidP="00CE5850">
            <w:pPr>
              <w:jc w:val="right"/>
              <w:rPr>
                <w:sz w:val="20"/>
              </w:rPr>
            </w:pPr>
            <w:r w:rsidRPr="007B3B42">
              <w:rPr>
                <w:sz w:val="20"/>
              </w:rPr>
              <w:t>253,017</w:t>
            </w:r>
          </w:p>
        </w:tc>
        <w:tc>
          <w:tcPr>
            <w:tcW w:w="1244" w:type="dxa"/>
            <w:shd w:val="clear" w:color="auto" w:fill="F2DBDB"/>
            <w:tcMar>
              <w:top w:w="0" w:type="dxa"/>
              <w:left w:w="30" w:type="dxa"/>
              <w:bottom w:w="0" w:type="dxa"/>
              <w:right w:w="30" w:type="dxa"/>
            </w:tcMar>
          </w:tcPr>
          <w:p w:rsidR="004A147C" w:rsidRPr="007B3B42" w:rsidRDefault="004A147C" w:rsidP="00CE5850">
            <w:pPr>
              <w:jc w:val="right"/>
              <w:rPr>
                <w:sz w:val="20"/>
              </w:rPr>
            </w:pPr>
            <w:r w:rsidRPr="007B3B42">
              <w:rPr>
                <w:sz w:val="20"/>
              </w:rPr>
              <w:t>99.9%</w:t>
            </w:r>
          </w:p>
        </w:tc>
        <w:tc>
          <w:tcPr>
            <w:tcW w:w="1128" w:type="dxa"/>
            <w:shd w:val="clear" w:color="auto" w:fill="F2DBDB"/>
            <w:tcMar>
              <w:top w:w="0" w:type="dxa"/>
              <w:left w:w="30" w:type="dxa"/>
              <w:bottom w:w="0" w:type="dxa"/>
              <w:right w:w="30" w:type="dxa"/>
            </w:tcMar>
          </w:tcPr>
          <w:p w:rsidR="004A147C" w:rsidRPr="007B3B42" w:rsidRDefault="004A147C" w:rsidP="00CE5850">
            <w:pPr>
              <w:jc w:val="right"/>
              <w:rPr>
                <w:sz w:val="20"/>
              </w:rPr>
            </w:pPr>
            <w:r w:rsidRPr="007B3B42">
              <w:rPr>
                <w:sz w:val="20"/>
              </w:rPr>
              <w:t>522</w:t>
            </w:r>
          </w:p>
        </w:tc>
        <w:tc>
          <w:tcPr>
            <w:tcW w:w="1153" w:type="dxa"/>
            <w:shd w:val="clear" w:color="auto" w:fill="F2DBDB"/>
            <w:tcMar>
              <w:top w:w="0" w:type="dxa"/>
              <w:left w:w="30" w:type="dxa"/>
              <w:bottom w:w="0" w:type="dxa"/>
              <w:right w:w="30" w:type="dxa"/>
            </w:tcMar>
          </w:tcPr>
          <w:p w:rsidR="004A147C" w:rsidRPr="007B3B42" w:rsidRDefault="004A147C" w:rsidP="00CE5850">
            <w:pPr>
              <w:jc w:val="right"/>
              <w:rPr>
                <w:sz w:val="20"/>
              </w:rPr>
            </w:pPr>
            <w:r w:rsidRPr="007B3B42">
              <w:rPr>
                <w:sz w:val="20"/>
              </w:rPr>
              <w:t>88.7%</w:t>
            </w:r>
          </w:p>
        </w:tc>
        <w:tc>
          <w:tcPr>
            <w:tcW w:w="1088" w:type="dxa"/>
            <w:shd w:val="clear" w:color="auto" w:fill="F2DBDB"/>
          </w:tcPr>
          <w:p w:rsidR="004A147C" w:rsidRPr="007B3B42" w:rsidRDefault="004A147C" w:rsidP="00CE5850">
            <w:pPr>
              <w:jc w:val="right"/>
              <w:rPr>
                <w:sz w:val="20"/>
              </w:rPr>
            </w:pPr>
            <w:r w:rsidRPr="007B3B42">
              <w:rPr>
                <w:sz w:val="20"/>
              </w:rPr>
              <w:t>2,181</w:t>
            </w:r>
          </w:p>
        </w:tc>
        <w:tc>
          <w:tcPr>
            <w:tcW w:w="1066" w:type="dxa"/>
            <w:shd w:val="clear" w:color="auto" w:fill="F2DBDB"/>
          </w:tcPr>
          <w:p w:rsidR="004A147C" w:rsidRPr="007B3B42" w:rsidRDefault="004A147C" w:rsidP="00CE5850">
            <w:pPr>
              <w:jc w:val="right"/>
              <w:rPr>
                <w:sz w:val="20"/>
              </w:rPr>
            </w:pPr>
            <w:r w:rsidRPr="007B3B42">
              <w:rPr>
                <w:sz w:val="20"/>
              </w:rPr>
              <w:t>97.8%</w:t>
            </w:r>
          </w:p>
        </w:tc>
      </w:tr>
      <w:tr w:rsidR="004A147C" w:rsidRPr="007B3B42" w:rsidTr="00A0412A">
        <w:trPr>
          <w:trHeight w:val="245"/>
          <w:jc w:val="center"/>
        </w:trPr>
        <w:tc>
          <w:tcPr>
            <w:tcW w:w="1257" w:type="dxa"/>
            <w:shd w:val="clear" w:color="auto" w:fill="F2DBDB"/>
            <w:tcMar>
              <w:top w:w="0" w:type="dxa"/>
              <w:left w:w="30" w:type="dxa"/>
              <w:bottom w:w="0" w:type="dxa"/>
              <w:right w:w="30" w:type="dxa"/>
            </w:tcMar>
            <w:vAlign w:val="bottom"/>
          </w:tcPr>
          <w:p w:rsidR="004A147C" w:rsidRPr="007B3B42" w:rsidRDefault="004A147C" w:rsidP="00CE5850">
            <w:pPr>
              <w:snapToGrid w:val="0"/>
              <w:rPr>
                <w:sz w:val="20"/>
              </w:rPr>
            </w:pPr>
            <w:r w:rsidRPr="007B3B42">
              <w:rPr>
                <w:sz w:val="20"/>
              </w:rPr>
              <w:t>3 or More</w:t>
            </w:r>
          </w:p>
        </w:tc>
        <w:tc>
          <w:tcPr>
            <w:tcW w:w="1128" w:type="dxa"/>
            <w:shd w:val="clear" w:color="auto" w:fill="F2DBDB"/>
            <w:tcMar>
              <w:top w:w="0" w:type="dxa"/>
              <w:left w:w="30" w:type="dxa"/>
              <w:bottom w:w="0" w:type="dxa"/>
              <w:right w:w="30" w:type="dxa"/>
            </w:tcMar>
          </w:tcPr>
          <w:p w:rsidR="004A147C" w:rsidRPr="007B3B42" w:rsidRDefault="004A147C" w:rsidP="00CE5850">
            <w:pPr>
              <w:jc w:val="right"/>
              <w:rPr>
                <w:sz w:val="20"/>
              </w:rPr>
            </w:pPr>
            <w:r w:rsidRPr="007B3B42">
              <w:rPr>
                <w:sz w:val="20"/>
              </w:rPr>
              <w:t>5,629</w:t>
            </w:r>
          </w:p>
        </w:tc>
        <w:tc>
          <w:tcPr>
            <w:tcW w:w="1546" w:type="dxa"/>
            <w:shd w:val="clear" w:color="auto" w:fill="F2DBDB"/>
            <w:tcMar>
              <w:top w:w="0" w:type="dxa"/>
              <w:left w:w="30" w:type="dxa"/>
              <w:bottom w:w="0" w:type="dxa"/>
              <w:right w:w="30" w:type="dxa"/>
            </w:tcMar>
          </w:tcPr>
          <w:p w:rsidR="004A147C" w:rsidRPr="007B3B42" w:rsidRDefault="004A147C" w:rsidP="00CE5850">
            <w:pPr>
              <w:jc w:val="right"/>
              <w:rPr>
                <w:sz w:val="20"/>
              </w:rPr>
            </w:pPr>
            <w:r w:rsidRPr="007B3B42">
              <w:rPr>
                <w:sz w:val="20"/>
              </w:rPr>
              <w:t>251,952</w:t>
            </w:r>
          </w:p>
        </w:tc>
        <w:tc>
          <w:tcPr>
            <w:tcW w:w="1244" w:type="dxa"/>
            <w:shd w:val="clear" w:color="auto" w:fill="F2DBDB"/>
            <w:tcMar>
              <w:top w:w="0" w:type="dxa"/>
              <w:left w:w="30" w:type="dxa"/>
              <w:bottom w:w="0" w:type="dxa"/>
              <w:right w:w="30" w:type="dxa"/>
            </w:tcMar>
          </w:tcPr>
          <w:p w:rsidR="004A147C" w:rsidRPr="007B3B42" w:rsidRDefault="004A147C" w:rsidP="00CE5850">
            <w:pPr>
              <w:jc w:val="right"/>
              <w:rPr>
                <w:sz w:val="20"/>
              </w:rPr>
            </w:pPr>
            <w:r w:rsidRPr="007B3B42">
              <w:rPr>
                <w:sz w:val="20"/>
              </w:rPr>
              <w:t>99.5%</w:t>
            </w:r>
          </w:p>
        </w:tc>
        <w:tc>
          <w:tcPr>
            <w:tcW w:w="1128" w:type="dxa"/>
            <w:shd w:val="clear" w:color="auto" w:fill="F2DBDB"/>
            <w:tcMar>
              <w:top w:w="0" w:type="dxa"/>
              <w:left w:w="30" w:type="dxa"/>
              <w:bottom w:w="0" w:type="dxa"/>
              <w:right w:w="30" w:type="dxa"/>
            </w:tcMar>
          </w:tcPr>
          <w:p w:rsidR="004A147C" w:rsidRPr="007B3B42" w:rsidRDefault="004A147C" w:rsidP="00CE5850">
            <w:pPr>
              <w:jc w:val="right"/>
              <w:rPr>
                <w:sz w:val="20"/>
              </w:rPr>
            </w:pPr>
            <w:r w:rsidRPr="007B3B42">
              <w:rPr>
                <w:sz w:val="20"/>
              </w:rPr>
              <w:t>479</w:t>
            </w:r>
          </w:p>
        </w:tc>
        <w:tc>
          <w:tcPr>
            <w:tcW w:w="1153" w:type="dxa"/>
            <w:shd w:val="clear" w:color="auto" w:fill="F2DBDB"/>
            <w:tcMar>
              <w:top w:w="0" w:type="dxa"/>
              <w:left w:w="30" w:type="dxa"/>
              <w:bottom w:w="0" w:type="dxa"/>
              <w:right w:w="30" w:type="dxa"/>
            </w:tcMar>
          </w:tcPr>
          <w:p w:rsidR="004A147C" w:rsidRPr="007B3B42" w:rsidRDefault="004A147C" w:rsidP="00CE5850">
            <w:pPr>
              <w:jc w:val="right"/>
              <w:rPr>
                <w:sz w:val="20"/>
              </w:rPr>
            </w:pPr>
            <w:r w:rsidRPr="007B3B42">
              <w:rPr>
                <w:sz w:val="20"/>
              </w:rPr>
              <w:t>81.4%</w:t>
            </w:r>
          </w:p>
        </w:tc>
        <w:tc>
          <w:tcPr>
            <w:tcW w:w="1088" w:type="dxa"/>
            <w:shd w:val="clear" w:color="auto" w:fill="F2DBDB"/>
          </w:tcPr>
          <w:p w:rsidR="004A147C" w:rsidRPr="007B3B42" w:rsidRDefault="004A147C" w:rsidP="00CE5850">
            <w:pPr>
              <w:jc w:val="right"/>
              <w:rPr>
                <w:sz w:val="20"/>
              </w:rPr>
            </w:pPr>
            <w:r w:rsidRPr="007B3B42">
              <w:rPr>
                <w:sz w:val="20"/>
              </w:rPr>
              <w:t>2,104</w:t>
            </w:r>
          </w:p>
        </w:tc>
        <w:tc>
          <w:tcPr>
            <w:tcW w:w="1066" w:type="dxa"/>
            <w:shd w:val="clear" w:color="auto" w:fill="F2DBDB"/>
          </w:tcPr>
          <w:p w:rsidR="004A147C" w:rsidRPr="007B3B42" w:rsidRDefault="004A147C" w:rsidP="00CE5850">
            <w:pPr>
              <w:jc w:val="right"/>
              <w:rPr>
                <w:sz w:val="20"/>
              </w:rPr>
            </w:pPr>
            <w:r w:rsidRPr="007B3B42">
              <w:rPr>
                <w:sz w:val="20"/>
              </w:rPr>
              <w:t>94.4%</w:t>
            </w:r>
          </w:p>
        </w:tc>
      </w:tr>
      <w:tr w:rsidR="004A147C" w:rsidRPr="007B3B42" w:rsidTr="00A0412A">
        <w:trPr>
          <w:trHeight w:val="262"/>
          <w:jc w:val="center"/>
        </w:trPr>
        <w:tc>
          <w:tcPr>
            <w:tcW w:w="1257" w:type="dxa"/>
            <w:shd w:val="clear" w:color="auto" w:fill="F2DBDB"/>
            <w:tcMar>
              <w:top w:w="0" w:type="dxa"/>
              <w:left w:w="30" w:type="dxa"/>
              <w:bottom w:w="0" w:type="dxa"/>
              <w:right w:w="30" w:type="dxa"/>
            </w:tcMar>
            <w:vAlign w:val="bottom"/>
          </w:tcPr>
          <w:p w:rsidR="004A147C" w:rsidRPr="007B3B42" w:rsidRDefault="004A147C" w:rsidP="00CE5850">
            <w:pPr>
              <w:snapToGrid w:val="0"/>
              <w:rPr>
                <w:sz w:val="20"/>
              </w:rPr>
            </w:pPr>
            <w:r w:rsidRPr="007B3B42">
              <w:rPr>
                <w:sz w:val="20"/>
              </w:rPr>
              <w:t>4 or More</w:t>
            </w:r>
          </w:p>
        </w:tc>
        <w:tc>
          <w:tcPr>
            <w:tcW w:w="1128" w:type="dxa"/>
            <w:shd w:val="clear" w:color="auto" w:fill="F2DBDB"/>
            <w:tcMar>
              <w:top w:w="0" w:type="dxa"/>
              <w:left w:w="30" w:type="dxa"/>
              <w:bottom w:w="0" w:type="dxa"/>
              <w:right w:w="30" w:type="dxa"/>
            </w:tcMar>
          </w:tcPr>
          <w:p w:rsidR="004A147C" w:rsidRPr="007B3B42" w:rsidRDefault="004A147C" w:rsidP="00CE5850">
            <w:pPr>
              <w:jc w:val="right"/>
              <w:rPr>
                <w:sz w:val="20"/>
              </w:rPr>
            </w:pPr>
            <w:r w:rsidRPr="007B3B42">
              <w:rPr>
                <w:sz w:val="20"/>
              </w:rPr>
              <w:t>5,427</w:t>
            </w:r>
          </w:p>
        </w:tc>
        <w:tc>
          <w:tcPr>
            <w:tcW w:w="1546" w:type="dxa"/>
            <w:shd w:val="clear" w:color="auto" w:fill="F2DBDB"/>
            <w:tcMar>
              <w:top w:w="0" w:type="dxa"/>
              <w:left w:w="30" w:type="dxa"/>
              <w:bottom w:w="0" w:type="dxa"/>
              <w:right w:w="30" w:type="dxa"/>
            </w:tcMar>
          </w:tcPr>
          <w:p w:rsidR="004A147C" w:rsidRPr="007B3B42" w:rsidRDefault="004A147C" w:rsidP="00CE5850">
            <w:pPr>
              <w:jc w:val="right"/>
              <w:rPr>
                <w:sz w:val="20"/>
              </w:rPr>
            </w:pPr>
            <w:r w:rsidRPr="007B3B42">
              <w:rPr>
                <w:sz w:val="20"/>
              </w:rPr>
              <w:t>248,357</w:t>
            </w:r>
          </w:p>
        </w:tc>
        <w:tc>
          <w:tcPr>
            <w:tcW w:w="1244" w:type="dxa"/>
            <w:shd w:val="clear" w:color="auto" w:fill="F2DBDB"/>
            <w:tcMar>
              <w:top w:w="0" w:type="dxa"/>
              <w:left w:w="30" w:type="dxa"/>
              <w:bottom w:w="0" w:type="dxa"/>
              <w:right w:w="30" w:type="dxa"/>
            </w:tcMar>
          </w:tcPr>
          <w:p w:rsidR="004A147C" w:rsidRPr="007B3B42" w:rsidRDefault="004A147C" w:rsidP="00CE5850">
            <w:pPr>
              <w:jc w:val="right"/>
              <w:rPr>
                <w:sz w:val="20"/>
              </w:rPr>
            </w:pPr>
            <w:r w:rsidRPr="007B3B42">
              <w:rPr>
                <w:sz w:val="20"/>
              </w:rPr>
              <w:t>98.0%</w:t>
            </w:r>
          </w:p>
        </w:tc>
        <w:tc>
          <w:tcPr>
            <w:tcW w:w="1128" w:type="dxa"/>
            <w:shd w:val="clear" w:color="auto" w:fill="F2DBDB"/>
            <w:tcMar>
              <w:top w:w="0" w:type="dxa"/>
              <w:left w:w="30" w:type="dxa"/>
              <w:bottom w:w="0" w:type="dxa"/>
              <w:right w:w="30" w:type="dxa"/>
            </w:tcMar>
          </w:tcPr>
          <w:p w:rsidR="004A147C" w:rsidRPr="007B3B42" w:rsidRDefault="004A147C" w:rsidP="00CE5850">
            <w:pPr>
              <w:jc w:val="right"/>
              <w:rPr>
                <w:sz w:val="20"/>
              </w:rPr>
            </w:pPr>
            <w:r w:rsidRPr="007B3B42">
              <w:rPr>
                <w:sz w:val="20"/>
              </w:rPr>
              <w:t>415</w:t>
            </w:r>
          </w:p>
        </w:tc>
        <w:tc>
          <w:tcPr>
            <w:tcW w:w="1153" w:type="dxa"/>
            <w:shd w:val="clear" w:color="auto" w:fill="F2DBDB"/>
            <w:tcMar>
              <w:top w:w="0" w:type="dxa"/>
              <w:left w:w="30" w:type="dxa"/>
              <w:bottom w:w="0" w:type="dxa"/>
              <w:right w:w="30" w:type="dxa"/>
            </w:tcMar>
          </w:tcPr>
          <w:p w:rsidR="004A147C" w:rsidRPr="007B3B42" w:rsidRDefault="004A147C" w:rsidP="00CE5850">
            <w:pPr>
              <w:jc w:val="right"/>
              <w:rPr>
                <w:sz w:val="20"/>
              </w:rPr>
            </w:pPr>
            <w:r w:rsidRPr="007B3B42">
              <w:rPr>
                <w:sz w:val="20"/>
              </w:rPr>
              <w:t>70.5%</w:t>
            </w:r>
          </w:p>
        </w:tc>
        <w:tc>
          <w:tcPr>
            <w:tcW w:w="1088" w:type="dxa"/>
            <w:shd w:val="clear" w:color="auto" w:fill="F2DBDB"/>
          </w:tcPr>
          <w:p w:rsidR="004A147C" w:rsidRPr="007B3B42" w:rsidRDefault="004A147C" w:rsidP="00CE5850">
            <w:pPr>
              <w:jc w:val="right"/>
              <w:rPr>
                <w:sz w:val="20"/>
              </w:rPr>
            </w:pPr>
            <w:r w:rsidRPr="007B3B42">
              <w:rPr>
                <w:sz w:val="20"/>
              </w:rPr>
              <w:t>1,965</w:t>
            </w:r>
          </w:p>
        </w:tc>
        <w:tc>
          <w:tcPr>
            <w:tcW w:w="1066" w:type="dxa"/>
            <w:shd w:val="clear" w:color="auto" w:fill="F2DBDB"/>
          </w:tcPr>
          <w:p w:rsidR="004A147C" w:rsidRPr="007B3B42" w:rsidRDefault="004A147C" w:rsidP="00CE5850">
            <w:pPr>
              <w:jc w:val="right"/>
              <w:rPr>
                <w:sz w:val="20"/>
              </w:rPr>
            </w:pPr>
            <w:r w:rsidRPr="007B3B42">
              <w:rPr>
                <w:sz w:val="20"/>
              </w:rPr>
              <w:t>88.1%</w:t>
            </w:r>
          </w:p>
        </w:tc>
      </w:tr>
      <w:tr w:rsidR="004A147C" w:rsidRPr="007B3B42" w:rsidTr="00A0412A">
        <w:trPr>
          <w:trHeight w:val="262"/>
          <w:jc w:val="center"/>
        </w:trPr>
        <w:tc>
          <w:tcPr>
            <w:tcW w:w="1257" w:type="dxa"/>
            <w:shd w:val="clear" w:color="auto" w:fill="F2DBDB"/>
            <w:tcMar>
              <w:top w:w="0" w:type="dxa"/>
              <w:left w:w="30" w:type="dxa"/>
              <w:bottom w:w="0" w:type="dxa"/>
              <w:right w:w="30" w:type="dxa"/>
            </w:tcMar>
            <w:vAlign w:val="bottom"/>
          </w:tcPr>
          <w:p w:rsidR="004A147C" w:rsidRPr="007B3B42" w:rsidRDefault="004A147C" w:rsidP="00CE5850">
            <w:pPr>
              <w:snapToGrid w:val="0"/>
              <w:rPr>
                <w:sz w:val="20"/>
              </w:rPr>
            </w:pPr>
            <w:r w:rsidRPr="007B3B42">
              <w:rPr>
                <w:sz w:val="20"/>
              </w:rPr>
              <w:t>5 or More</w:t>
            </w:r>
          </w:p>
        </w:tc>
        <w:tc>
          <w:tcPr>
            <w:tcW w:w="1128" w:type="dxa"/>
            <w:shd w:val="clear" w:color="auto" w:fill="F2DBDB"/>
            <w:tcMar>
              <w:top w:w="0" w:type="dxa"/>
              <w:left w:w="30" w:type="dxa"/>
              <w:bottom w:w="0" w:type="dxa"/>
              <w:right w:w="30" w:type="dxa"/>
            </w:tcMar>
          </w:tcPr>
          <w:p w:rsidR="004A147C" w:rsidRPr="007B3B42" w:rsidRDefault="004A147C" w:rsidP="00CE5850">
            <w:pPr>
              <w:jc w:val="right"/>
              <w:rPr>
                <w:sz w:val="20"/>
              </w:rPr>
            </w:pPr>
            <w:r w:rsidRPr="007B3B42">
              <w:rPr>
                <w:sz w:val="20"/>
              </w:rPr>
              <w:t>4,461</w:t>
            </w:r>
          </w:p>
        </w:tc>
        <w:tc>
          <w:tcPr>
            <w:tcW w:w="1546" w:type="dxa"/>
            <w:shd w:val="clear" w:color="auto" w:fill="F2DBDB"/>
            <w:tcMar>
              <w:top w:w="0" w:type="dxa"/>
              <w:left w:w="30" w:type="dxa"/>
              <w:bottom w:w="0" w:type="dxa"/>
              <w:right w:w="30" w:type="dxa"/>
            </w:tcMar>
          </w:tcPr>
          <w:p w:rsidR="004A147C" w:rsidRPr="007B3B42" w:rsidRDefault="004A147C" w:rsidP="00CE5850">
            <w:pPr>
              <w:jc w:val="right"/>
              <w:rPr>
                <w:sz w:val="20"/>
              </w:rPr>
            </w:pPr>
            <w:r w:rsidRPr="007B3B42">
              <w:rPr>
                <w:sz w:val="20"/>
              </w:rPr>
              <w:t>218,995</w:t>
            </w:r>
          </w:p>
        </w:tc>
        <w:tc>
          <w:tcPr>
            <w:tcW w:w="1244" w:type="dxa"/>
            <w:shd w:val="clear" w:color="auto" w:fill="F2DBDB"/>
            <w:tcMar>
              <w:top w:w="0" w:type="dxa"/>
              <w:left w:w="30" w:type="dxa"/>
              <w:bottom w:w="0" w:type="dxa"/>
              <w:right w:w="30" w:type="dxa"/>
            </w:tcMar>
          </w:tcPr>
          <w:p w:rsidR="004A147C" w:rsidRPr="007B3B42" w:rsidRDefault="004A147C" w:rsidP="00CE5850">
            <w:pPr>
              <w:jc w:val="right"/>
              <w:rPr>
                <w:sz w:val="20"/>
              </w:rPr>
            </w:pPr>
            <w:r w:rsidRPr="007B3B42">
              <w:rPr>
                <w:sz w:val="20"/>
              </w:rPr>
              <w:t>86.5%</w:t>
            </w:r>
          </w:p>
        </w:tc>
        <w:tc>
          <w:tcPr>
            <w:tcW w:w="1128" w:type="dxa"/>
            <w:shd w:val="clear" w:color="auto" w:fill="F2DBDB"/>
            <w:tcMar>
              <w:top w:w="0" w:type="dxa"/>
              <w:left w:w="30" w:type="dxa"/>
              <w:bottom w:w="0" w:type="dxa"/>
              <w:right w:w="30" w:type="dxa"/>
            </w:tcMar>
          </w:tcPr>
          <w:p w:rsidR="004A147C" w:rsidRPr="007B3B42" w:rsidRDefault="004A147C" w:rsidP="00CE5850">
            <w:pPr>
              <w:jc w:val="right"/>
              <w:rPr>
                <w:sz w:val="20"/>
              </w:rPr>
            </w:pPr>
            <w:r w:rsidRPr="007B3B42">
              <w:rPr>
                <w:sz w:val="20"/>
              </w:rPr>
              <w:t>273</w:t>
            </w:r>
          </w:p>
        </w:tc>
        <w:tc>
          <w:tcPr>
            <w:tcW w:w="1153" w:type="dxa"/>
            <w:shd w:val="clear" w:color="auto" w:fill="F2DBDB"/>
            <w:tcMar>
              <w:top w:w="0" w:type="dxa"/>
              <w:left w:w="30" w:type="dxa"/>
              <w:bottom w:w="0" w:type="dxa"/>
              <w:right w:w="30" w:type="dxa"/>
            </w:tcMar>
          </w:tcPr>
          <w:p w:rsidR="004A147C" w:rsidRPr="007B3B42" w:rsidRDefault="004A147C" w:rsidP="00CE5850">
            <w:pPr>
              <w:jc w:val="right"/>
              <w:rPr>
                <w:sz w:val="20"/>
              </w:rPr>
            </w:pPr>
            <w:r w:rsidRPr="007B3B42">
              <w:rPr>
                <w:sz w:val="20"/>
              </w:rPr>
              <w:t>46.4%</w:t>
            </w:r>
          </w:p>
        </w:tc>
        <w:tc>
          <w:tcPr>
            <w:tcW w:w="1088" w:type="dxa"/>
            <w:shd w:val="clear" w:color="auto" w:fill="F2DBDB"/>
          </w:tcPr>
          <w:p w:rsidR="004A147C" w:rsidRPr="007B3B42" w:rsidRDefault="004A147C" w:rsidP="00CE5850">
            <w:pPr>
              <w:jc w:val="right"/>
              <w:rPr>
                <w:sz w:val="20"/>
              </w:rPr>
            </w:pPr>
            <w:r w:rsidRPr="007B3B42">
              <w:rPr>
                <w:sz w:val="20"/>
              </w:rPr>
              <w:t>1,498</w:t>
            </w:r>
          </w:p>
        </w:tc>
        <w:tc>
          <w:tcPr>
            <w:tcW w:w="1066" w:type="dxa"/>
            <w:shd w:val="clear" w:color="auto" w:fill="F2DBDB"/>
          </w:tcPr>
          <w:p w:rsidR="004A147C" w:rsidRPr="007B3B42" w:rsidRDefault="004A147C" w:rsidP="00CE5850">
            <w:pPr>
              <w:jc w:val="right"/>
              <w:rPr>
                <w:sz w:val="20"/>
              </w:rPr>
            </w:pPr>
            <w:r w:rsidRPr="007B3B42">
              <w:rPr>
                <w:sz w:val="20"/>
              </w:rPr>
              <w:t>67.2%</w:t>
            </w:r>
          </w:p>
        </w:tc>
      </w:tr>
    </w:tbl>
    <w:p w:rsidR="004A147C" w:rsidRPr="00B53FFB" w:rsidRDefault="004A147C" w:rsidP="00CE5850">
      <w:pPr>
        <w:rPr>
          <w:szCs w:val="22"/>
        </w:rPr>
      </w:pPr>
    </w:p>
    <w:p w:rsidR="004A147C" w:rsidRPr="00915BF2" w:rsidRDefault="004A147C" w:rsidP="00CE5850">
      <w:pPr>
        <w:pStyle w:val="Caption"/>
        <w:widowControl w:val="0"/>
        <w:jc w:val="center"/>
        <w:rPr>
          <w:sz w:val="22"/>
          <w:szCs w:val="22"/>
        </w:rPr>
      </w:pPr>
      <w:bookmarkStart w:id="5561" w:name="_Ref290042640"/>
      <w:r w:rsidRPr="00B53FFB">
        <w:rPr>
          <w:sz w:val="22"/>
          <w:szCs w:val="22"/>
        </w:rPr>
        <w:t xml:space="preserve">Chart </w:t>
      </w:r>
      <w:r w:rsidR="0007014B" w:rsidRPr="00B53FFB">
        <w:rPr>
          <w:sz w:val="22"/>
          <w:szCs w:val="22"/>
        </w:rPr>
        <w:fldChar w:fldCharType="begin"/>
      </w:r>
      <w:r w:rsidRPr="00B53FFB">
        <w:rPr>
          <w:sz w:val="22"/>
          <w:szCs w:val="22"/>
        </w:rPr>
        <w:instrText xml:space="preserve"> SEQ Chart \* ARABIC </w:instrText>
      </w:r>
      <w:r w:rsidR="0007014B" w:rsidRPr="00B53FFB">
        <w:rPr>
          <w:sz w:val="22"/>
          <w:szCs w:val="22"/>
        </w:rPr>
        <w:fldChar w:fldCharType="separate"/>
      </w:r>
      <w:r w:rsidR="00CA3AC6">
        <w:rPr>
          <w:noProof/>
          <w:sz w:val="22"/>
          <w:szCs w:val="22"/>
        </w:rPr>
        <w:t>46</w:t>
      </w:r>
      <w:r w:rsidR="0007014B" w:rsidRPr="00B53FFB">
        <w:rPr>
          <w:sz w:val="22"/>
          <w:szCs w:val="22"/>
        </w:rPr>
        <w:fldChar w:fldCharType="end"/>
      </w:r>
      <w:bookmarkEnd w:id="5561"/>
      <w:r w:rsidRPr="00B53FFB">
        <w:rPr>
          <w:b w:val="0"/>
          <w:sz w:val="22"/>
          <w:szCs w:val="22"/>
        </w:rPr>
        <w:br/>
      </w:r>
      <w:r w:rsidRPr="00E775D5">
        <w:rPr>
          <w:i/>
          <w:sz w:val="22"/>
          <w:szCs w:val="22"/>
        </w:rPr>
        <w:t>Percentage of Population</w:t>
      </w:r>
      <w:r w:rsidRPr="00B53FFB">
        <w:rPr>
          <w:sz w:val="22"/>
          <w:szCs w:val="22"/>
        </w:rPr>
        <w:t xml:space="preserve"> Covered by Mobile Voice Providers in </w:t>
      </w:r>
      <w:r w:rsidRPr="00E775D5">
        <w:rPr>
          <w:sz w:val="22"/>
          <w:szCs w:val="22"/>
        </w:rPr>
        <w:t>Rural vs. Non-Rural Areas</w:t>
      </w:r>
      <w:r w:rsidRPr="00B53FFB">
        <w:rPr>
          <w:sz w:val="22"/>
          <w:szCs w:val="22"/>
        </w:rPr>
        <w:t xml:space="preserve">, </w:t>
      </w:r>
      <w:r>
        <w:rPr>
          <w:sz w:val="22"/>
          <w:szCs w:val="22"/>
        </w:rPr>
        <w:t>Oct</w:t>
      </w:r>
      <w:r w:rsidRPr="00B53FFB">
        <w:rPr>
          <w:sz w:val="22"/>
          <w:szCs w:val="22"/>
        </w:rPr>
        <w:t xml:space="preserve">. 2012 </w:t>
      </w:r>
    </w:p>
    <w:p w:rsidR="004A147C" w:rsidRPr="00B53FFB" w:rsidRDefault="00C81B24" w:rsidP="00CE5850">
      <w:pPr>
        <w:pStyle w:val="ParaNum"/>
        <w:tabs>
          <w:tab w:val="clear" w:pos="1440"/>
        </w:tabs>
        <w:ind w:firstLine="0"/>
        <w:jc w:val="center"/>
        <w:rPr>
          <w:rFonts w:ascii="Times New Roman Bold" w:hAnsi="Times New Roman Bold"/>
          <w:b/>
          <w:bCs/>
          <w:sz w:val="22"/>
          <w:szCs w:val="22"/>
        </w:rPr>
      </w:pPr>
      <w:r>
        <w:rPr>
          <w:rFonts w:ascii="Times New Roman Bold" w:hAnsi="Times New Roman Bold"/>
          <w:b/>
          <w:bCs/>
          <w:noProof/>
          <w:sz w:val="22"/>
          <w:szCs w:val="22"/>
        </w:rPr>
        <w:drawing>
          <wp:inline distT="0" distB="0" distL="0" distR="0" wp14:anchorId="0865B19E" wp14:editId="405BB2D2">
            <wp:extent cx="5572125" cy="3114675"/>
            <wp:effectExtent l="0" t="0" r="9525" b="9525"/>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572125" cy="3114675"/>
                    </a:xfrm>
                    <a:prstGeom prst="rect">
                      <a:avLst/>
                    </a:prstGeom>
                    <a:noFill/>
                    <a:ln>
                      <a:noFill/>
                    </a:ln>
                  </pic:spPr>
                </pic:pic>
              </a:graphicData>
            </a:graphic>
          </wp:inline>
        </w:drawing>
      </w:r>
    </w:p>
    <w:p w:rsidR="004A147C" w:rsidRDefault="004A147C" w:rsidP="00CE5850">
      <w:pPr>
        <w:pStyle w:val="Caption"/>
        <w:widowControl w:val="0"/>
        <w:jc w:val="center"/>
        <w:rPr>
          <w:sz w:val="22"/>
          <w:szCs w:val="22"/>
        </w:rPr>
      </w:pPr>
      <w:bookmarkStart w:id="5562" w:name="_Ref342488201"/>
      <w:r w:rsidRPr="00B53FFB">
        <w:rPr>
          <w:sz w:val="22"/>
          <w:szCs w:val="22"/>
        </w:rPr>
        <w:t xml:space="preserve">Chart </w:t>
      </w:r>
      <w:r w:rsidR="0007014B" w:rsidRPr="00B53FFB">
        <w:rPr>
          <w:sz w:val="22"/>
          <w:szCs w:val="22"/>
        </w:rPr>
        <w:fldChar w:fldCharType="begin"/>
      </w:r>
      <w:r w:rsidRPr="00B53FFB">
        <w:rPr>
          <w:sz w:val="22"/>
          <w:szCs w:val="22"/>
        </w:rPr>
        <w:instrText xml:space="preserve"> SEQ Chart \* ARABIC </w:instrText>
      </w:r>
      <w:r w:rsidR="0007014B" w:rsidRPr="00B53FFB">
        <w:rPr>
          <w:sz w:val="22"/>
          <w:szCs w:val="22"/>
        </w:rPr>
        <w:fldChar w:fldCharType="separate"/>
      </w:r>
      <w:r w:rsidR="00CA3AC6">
        <w:rPr>
          <w:noProof/>
          <w:sz w:val="22"/>
          <w:szCs w:val="22"/>
        </w:rPr>
        <w:t>47</w:t>
      </w:r>
      <w:r w:rsidR="0007014B" w:rsidRPr="00B53FFB">
        <w:rPr>
          <w:sz w:val="22"/>
          <w:szCs w:val="22"/>
        </w:rPr>
        <w:fldChar w:fldCharType="end"/>
      </w:r>
      <w:bookmarkEnd w:id="5562"/>
      <w:r w:rsidRPr="00B53FFB">
        <w:rPr>
          <w:b w:val="0"/>
          <w:sz w:val="22"/>
          <w:szCs w:val="22"/>
        </w:rPr>
        <w:br/>
      </w:r>
      <w:r w:rsidRPr="00E775D5">
        <w:rPr>
          <w:i/>
          <w:sz w:val="22"/>
          <w:szCs w:val="22"/>
        </w:rPr>
        <w:t>Percentage of Road Miles</w:t>
      </w:r>
      <w:r w:rsidRPr="00B53FFB">
        <w:rPr>
          <w:sz w:val="22"/>
          <w:szCs w:val="22"/>
        </w:rPr>
        <w:t xml:space="preserve"> Covered by Mobile Voice Providers in Rural vs. Non-Rural Areas, </w:t>
      </w:r>
      <w:r>
        <w:rPr>
          <w:sz w:val="22"/>
          <w:szCs w:val="22"/>
        </w:rPr>
        <w:t>Oct</w:t>
      </w:r>
      <w:r w:rsidRPr="00B53FFB">
        <w:rPr>
          <w:sz w:val="22"/>
          <w:szCs w:val="22"/>
        </w:rPr>
        <w:t>. 2012</w:t>
      </w:r>
    </w:p>
    <w:p w:rsidR="004A147C" w:rsidRPr="00377F64" w:rsidRDefault="004A147C" w:rsidP="00CE5850"/>
    <w:p w:rsidR="004A147C" w:rsidRPr="00B53FFB" w:rsidRDefault="00C81B24" w:rsidP="00CE5850">
      <w:pPr>
        <w:jc w:val="center"/>
        <w:rPr>
          <w:szCs w:val="22"/>
        </w:rPr>
      </w:pPr>
      <w:r>
        <w:rPr>
          <w:noProof/>
          <w:szCs w:val="22"/>
        </w:rPr>
        <w:drawing>
          <wp:inline distT="0" distB="0" distL="0" distR="0" wp14:anchorId="18E7F384" wp14:editId="1575BE89">
            <wp:extent cx="5972175" cy="3495675"/>
            <wp:effectExtent l="0" t="0" r="9525" b="9525"/>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972175" cy="3495675"/>
                    </a:xfrm>
                    <a:prstGeom prst="rect">
                      <a:avLst/>
                    </a:prstGeom>
                    <a:noFill/>
                    <a:ln>
                      <a:noFill/>
                    </a:ln>
                  </pic:spPr>
                </pic:pic>
              </a:graphicData>
            </a:graphic>
          </wp:inline>
        </w:drawing>
      </w:r>
    </w:p>
    <w:p w:rsidR="004A147C" w:rsidRPr="00B53FFB" w:rsidRDefault="004A147C" w:rsidP="00CE5850">
      <w:pPr>
        <w:pStyle w:val="ParaNum"/>
        <w:tabs>
          <w:tab w:val="clear" w:pos="1440"/>
        </w:tabs>
        <w:ind w:firstLine="0"/>
        <w:jc w:val="center"/>
        <w:rPr>
          <w:rFonts w:ascii="Times New Roman Bold" w:hAnsi="Times New Roman Bold"/>
          <w:b/>
          <w:bCs/>
          <w:sz w:val="22"/>
          <w:szCs w:val="22"/>
        </w:rPr>
      </w:pPr>
    </w:p>
    <w:p w:rsidR="004A147C" w:rsidRPr="00A4328E" w:rsidRDefault="004A147C" w:rsidP="00CE5850">
      <w:pPr>
        <w:pStyle w:val="Heading3"/>
        <w:keepNext w:val="0"/>
        <w:numPr>
          <w:ilvl w:val="2"/>
          <w:numId w:val="26"/>
        </w:numPr>
        <w:tabs>
          <w:tab w:val="left" w:pos="2160"/>
        </w:tabs>
        <w:rPr>
          <w:sz w:val="22"/>
          <w:szCs w:val="22"/>
        </w:rPr>
      </w:pPr>
      <w:bookmarkStart w:id="5563" w:name="_Toc331766374"/>
      <w:bookmarkStart w:id="5564" w:name="_Toc332119178"/>
      <w:bookmarkStart w:id="5565" w:name="_Toc334088846"/>
      <w:bookmarkStart w:id="5566" w:name="_Toc334089082"/>
      <w:bookmarkStart w:id="5567" w:name="_Toc334089241"/>
      <w:bookmarkStart w:id="5568" w:name="_Toc334089352"/>
      <w:bookmarkStart w:id="5569" w:name="_Toc334089516"/>
      <w:bookmarkStart w:id="5570" w:name="_Toc336268658"/>
      <w:bookmarkStart w:id="5571" w:name="_Toc336268766"/>
      <w:bookmarkStart w:id="5572" w:name="_Toc336268873"/>
      <w:bookmarkStart w:id="5573" w:name="_Toc336269087"/>
      <w:bookmarkStart w:id="5574" w:name="_Toc336269194"/>
      <w:bookmarkStart w:id="5575" w:name="_Toc336269562"/>
      <w:bookmarkStart w:id="5576" w:name="_Toc336269708"/>
      <w:bookmarkStart w:id="5577" w:name="_Toc336270121"/>
      <w:bookmarkStart w:id="5578" w:name="_Toc349735041"/>
      <w:bookmarkStart w:id="5579" w:name="_Toc349742406"/>
      <w:bookmarkStart w:id="5580" w:name="_Ref255915649"/>
      <w:bookmarkStart w:id="5581" w:name="_Ref277602851"/>
      <w:bookmarkStart w:id="5582" w:name="_Ref283292541"/>
      <w:r w:rsidRPr="00A4328E">
        <w:rPr>
          <w:sz w:val="22"/>
          <w:szCs w:val="22"/>
        </w:rPr>
        <w:t>Mobile Broadband Network Coverage</w:t>
      </w:r>
      <w:bookmarkEnd w:id="5563"/>
      <w:bookmarkEnd w:id="5564"/>
      <w:bookmarkEnd w:id="5565"/>
      <w:bookmarkEnd w:id="5566"/>
      <w:bookmarkEnd w:id="5567"/>
      <w:bookmarkEnd w:id="5568"/>
      <w:bookmarkEnd w:id="5569"/>
      <w:bookmarkEnd w:id="5570"/>
      <w:bookmarkEnd w:id="5571"/>
      <w:bookmarkEnd w:id="5572"/>
      <w:bookmarkEnd w:id="5573"/>
      <w:bookmarkEnd w:id="5574"/>
      <w:bookmarkEnd w:id="5575"/>
      <w:bookmarkEnd w:id="5576"/>
      <w:bookmarkEnd w:id="5577"/>
      <w:bookmarkEnd w:id="5578"/>
      <w:bookmarkEnd w:id="5579"/>
    </w:p>
    <w:p w:rsidR="004A147C" w:rsidRPr="00A81733" w:rsidRDefault="004A147C" w:rsidP="00CE5850">
      <w:pPr>
        <w:pStyle w:val="ParaNum"/>
        <w:numPr>
          <w:ilvl w:val="0"/>
          <w:numId w:val="28"/>
        </w:numPr>
        <w:rPr>
          <w:sz w:val="22"/>
          <w:szCs w:val="22"/>
        </w:rPr>
      </w:pPr>
      <w:r w:rsidRPr="00A81733">
        <w:rPr>
          <w:sz w:val="22"/>
          <w:szCs w:val="22"/>
        </w:rPr>
        <w:t xml:space="preserve">This </w:t>
      </w:r>
      <w:r w:rsidRPr="00A81733">
        <w:rPr>
          <w:i/>
          <w:sz w:val="22"/>
          <w:szCs w:val="22"/>
        </w:rPr>
        <w:t>Report</w:t>
      </w:r>
      <w:r w:rsidRPr="00A81733">
        <w:rPr>
          <w:sz w:val="22"/>
          <w:szCs w:val="22"/>
        </w:rPr>
        <w:t xml:space="preserve"> provides data from the Form 477 on the number of mobile wireless Internet access connections exceeding 200 kbps, and therefore using 3G or 4G technologies.</w:t>
      </w:r>
      <w:r w:rsidRPr="00A81733">
        <w:rPr>
          <w:rStyle w:val="FootnoteReference"/>
          <w:szCs w:val="22"/>
        </w:rPr>
        <w:footnoteReference w:id="1192"/>
      </w:r>
      <w:r w:rsidRPr="00A81733">
        <w:rPr>
          <w:sz w:val="22"/>
          <w:szCs w:val="22"/>
        </w:rPr>
        <w:t xml:space="preserve">  Tables 59-62 and Charts 48-49 below show the extent of mobile broadband network coverage in rural areas and the disparity between coverage in rural areas versus non-rural areas of the United States.</w:t>
      </w:r>
      <w:r w:rsidRPr="00A81733">
        <w:rPr>
          <w:sz w:val="22"/>
          <w:szCs w:val="22"/>
          <w:vertAlign w:val="superscript"/>
        </w:rPr>
        <w:footnoteReference w:id="1193"/>
      </w:r>
      <w:r w:rsidRPr="00A81733">
        <w:rPr>
          <w:sz w:val="22"/>
          <w:szCs w:val="22"/>
        </w:rPr>
        <w:t xml:space="preserve">  As stated above, although these estimates likely overstate the coverage actually experienced by consumers because of limitations of the Mosaik data, we find that this analysis is useful because it provides a general baseline that can be compared over time across network types, technologies, and providers.    </w:t>
      </w:r>
    </w:p>
    <w:p w:rsidR="004A147C" w:rsidRPr="00A81733" w:rsidRDefault="004A147C" w:rsidP="00CE5850">
      <w:pPr>
        <w:pStyle w:val="ParaNum"/>
        <w:numPr>
          <w:ilvl w:val="0"/>
          <w:numId w:val="28"/>
        </w:numPr>
        <w:rPr>
          <w:sz w:val="22"/>
          <w:szCs w:val="22"/>
        </w:rPr>
      </w:pPr>
      <w:r w:rsidRPr="00A81733">
        <w:rPr>
          <w:sz w:val="22"/>
          <w:szCs w:val="22"/>
        </w:rPr>
        <w:t xml:space="preserve">As shown below, the U.S. population in rural areas is not covered by as many mobile broadband providers as in non-rural areas of the country.  Based on October 2012 Mosaik data, 97 percent of the U.S. rural population has coverage by at least one mobile wireless broadband provider, up from 92 percent in November 2009.  In contrast, 99.9 percent of the non-rural population is covered by at least one mobile broadband provider.  While rural mobile broadband coverage has improved, 1.3 million people in rural areas have no mobile broadband access.  In addition, while 97.7 percent of the population in non-rural areas was covered by two or more mobile broadband providers, only 89.7 percent of the rural population was covered by two or more providers as of October 2012, up from 69.1 percent as of August 2010, according to the </w:t>
      </w:r>
      <w:r w:rsidRPr="00A81733">
        <w:rPr>
          <w:i/>
          <w:sz w:val="22"/>
          <w:szCs w:val="22"/>
        </w:rPr>
        <w:t>Fifteenth Report</w:t>
      </w:r>
      <w:r w:rsidRPr="00A81733">
        <w:rPr>
          <w:sz w:val="22"/>
          <w:szCs w:val="22"/>
        </w:rPr>
        <w:t>.</w:t>
      </w:r>
      <w:r w:rsidRPr="00A81733">
        <w:rPr>
          <w:rStyle w:val="FootnoteReference"/>
          <w:szCs w:val="22"/>
        </w:rPr>
        <w:footnoteReference w:id="1194"/>
      </w:r>
      <w:r w:rsidRPr="00A81733">
        <w:rPr>
          <w:sz w:val="22"/>
          <w:szCs w:val="22"/>
        </w:rPr>
        <w:t xml:space="preserve">  Furthermore, 65.4 percent of the rural population was covered by at least three providers and 37.4 percent by at least four providers, compared to 97.7 percent and 92.4 percent, respectively, for the non-rural population as of October 2012.  This represents an increase in coverage to the rural population since August 2010 when only 38.1 percent of the rural population was covered by three or more providers and only 17.1 percent was covered by four or more providers, according to the </w:t>
      </w:r>
      <w:r w:rsidRPr="00A81733">
        <w:rPr>
          <w:i/>
          <w:sz w:val="22"/>
          <w:szCs w:val="22"/>
        </w:rPr>
        <w:t>Fifteenth Report</w:t>
      </w:r>
      <w:r w:rsidRPr="00A81733">
        <w:rPr>
          <w:sz w:val="22"/>
          <w:szCs w:val="22"/>
        </w:rPr>
        <w:t>.</w:t>
      </w:r>
      <w:r w:rsidRPr="00A81733">
        <w:rPr>
          <w:rStyle w:val="FootnoteReference"/>
          <w:szCs w:val="22"/>
        </w:rPr>
        <w:footnoteReference w:id="1195"/>
      </w:r>
      <w:r w:rsidRPr="00A81733">
        <w:rPr>
          <w:sz w:val="22"/>
          <w:szCs w:val="22"/>
        </w:rPr>
        <w:t xml:space="preserve">  </w:t>
      </w:r>
    </w:p>
    <w:p w:rsidR="004A147C" w:rsidRDefault="004A147C" w:rsidP="00CE5850">
      <w:pPr>
        <w:pStyle w:val="ParaNum"/>
        <w:numPr>
          <w:ilvl w:val="0"/>
          <w:numId w:val="28"/>
        </w:numPr>
        <w:rPr>
          <w:szCs w:val="22"/>
        </w:rPr>
      </w:pPr>
      <w:r w:rsidRPr="00A81733">
        <w:rPr>
          <w:sz w:val="22"/>
          <w:szCs w:val="22"/>
        </w:rPr>
        <w:t>With regard to rural road miles, 87.3 percent are covered by at least one mobile broadband provider, compared to 98.7 percent of non-rural road miles.  In addition, while only 67.7 percent of rural road miles are covered by at least two mobile broadband providers, 95.8 percent of non-rural road miles are covered by at least two mobile broadband providers.  In addition, only 35.7 percent of rural road miles are covered by at least three mobile broadband providers and only 14.2 percent by four mobile broadband providers compared to 86.6 and 71.8 percent, respectively, of non-rural road miles.</w:t>
      </w:r>
    </w:p>
    <w:p w:rsidR="004A147C" w:rsidRDefault="004A147C" w:rsidP="00CE5850">
      <w:pPr>
        <w:spacing w:after="120"/>
        <w:rPr>
          <w:szCs w:val="22"/>
        </w:rPr>
      </w:pPr>
    </w:p>
    <w:p w:rsidR="00423B47" w:rsidRDefault="00423B47" w:rsidP="00CE5850">
      <w:pPr>
        <w:spacing w:after="120"/>
        <w:rPr>
          <w:szCs w:val="22"/>
        </w:rPr>
      </w:pPr>
    </w:p>
    <w:p w:rsidR="00423B47" w:rsidRDefault="00423B47" w:rsidP="00CE5850">
      <w:pPr>
        <w:spacing w:after="120"/>
        <w:rPr>
          <w:szCs w:val="22"/>
        </w:rPr>
      </w:pPr>
    </w:p>
    <w:p w:rsidR="00423B47" w:rsidRDefault="00423B47" w:rsidP="00CE5850">
      <w:pPr>
        <w:spacing w:after="120"/>
        <w:rPr>
          <w:szCs w:val="22"/>
        </w:rPr>
      </w:pPr>
    </w:p>
    <w:p w:rsidR="00423B47" w:rsidRDefault="00423B47" w:rsidP="00CE5850">
      <w:pPr>
        <w:spacing w:after="120"/>
        <w:rPr>
          <w:szCs w:val="22"/>
        </w:rPr>
      </w:pPr>
    </w:p>
    <w:p w:rsidR="00423B47" w:rsidRDefault="00423B47" w:rsidP="00CE5850">
      <w:pPr>
        <w:spacing w:after="120"/>
        <w:rPr>
          <w:szCs w:val="22"/>
        </w:rPr>
      </w:pPr>
    </w:p>
    <w:p w:rsidR="00423B47" w:rsidRDefault="00423B47" w:rsidP="00CE5850">
      <w:pPr>
        <w:spacing w:after="120"/>
        <w:rPr>
          <w:szCs w:val="22"/>
        </w:rPr>
      </w:pPr>
    </w:p>
    <w:p w:rsidR="004A147C" w:rsidRPr="007C3E48" w:rsidRDefault="004A147C" w:rsidP="00CE5850">
      <w:pPr>
        <w:pStyle w:val="Caption"/>
        <w:widowControl w:val="0"/>
        <w:jc w:val="center"/>
        <w:rPr>
          <w:bCs w:val="0"/>
          <w:sz w:val="22"/>
          <w:szCs w:val="22"/>
        </w:rPr>
      </w:pPr>
      <w:bookmarkStart w:id="5583" w:name="_Toc331766375"/>
      <w:bookmarkStart w:id="5584" w:name="_Toc332119179"/>
      <w:bookmarkStart w:id="5585" w:name="_Toc334088847"/>
      <w:bookmarkStart w:id="5586" w:name="_Toc334089083"/>
      <w:bookmarkStart w:id="5587" w:name="_Toc334089242"/>
      <w:bookmarkStart w:id="5588" w:name="_Toc334089353"/>
      <w:bookmarkStart w:id="5589" w:name="_Toc334089517"/>
      <w:bookmarkStart w:id="5590" w:name="_Toc336268659"/>
      <w:bookmarkStart w:id="5591" w:name="_Toc336268767"/>
      <w:bookmarkStart w:id="5592" w:name="_Toc336268874"/>
      <w:bookmarkStart w:id="5593" w:name="_Toc336269088"/>
      <w:bookmarkStart w:id="5594" w:name="_Toc336269195"/>
      <w:bookmarkStart w:id="5595" w:name="_Toc336269563"/>
      <w:bookmarkStart w:id="5596" w:name="_Toc336269709"/>
      <w:bookmarkStart w:id="5597" w:name="_Toc336270122"/>
      <w:r w:rsidRPr="007C3E48">
        <w:rPr>
          <w:sz w:val="22"/>
          <w:szCs w:val="22"/>
        </w:rPr>
        <w:t xml:space="preserve">Table </w:t>
      </w:r>
      <w:r w:rsidR="0007014B" w:rsidRPr="007C3E48">
        <w:rPr>
          <w:sz w:val="22"/>
          <w:szCs w:val="22"/>
        </w:rPr>
        <w:fldChar w:fldCharType="begin"/>
      </w:r>
      <w:r w:rsidRPr="007C3E48">
        <w:rPr>
          <w:sz w:val="22"/>
          <w:szCs w:val="22"/>
        </w:rPr>
        <w:instrText xml:space="preserve"> SEQ Table \* ARABIC </w:instrText>
      </w:r>
      <w:r w:rsidR="0007014B" w:rsidRPr="007C3E48">
        <w:rPr>
          <w:sz w:val="22"/>
          <w:szCs w:val="22"/>
        </w:rPr>
        <w:fldChar w:fldCharType="separate"/>
      </w:r>
      <w:r w:rsidR="00CA3AC6">
        <w:rPr>
          <w:noProof/>
          <w:sz w:val="22"/>
          <w:szCs w:val="22"/>
        </w:rPr>
        <w:t>59</w:t>
      </w:r>
      <w:r w:rsidR="0007014B" w:rsidRPr="007C3E48">
        <w:rPr>
          <w:sz w:val="22"/>
          <w:szCs w:val="22"/>
        </w:rPr>
        <w:fldChar w:fldCharType="end"/>
      </w:r>
      <w:r w:rsidRPr="007C3E48">
        <w:rPr>
          <w:bCs w:val="0"/>
          <w:sz w:val="22"/>
          <w:szCs w:val="22"/>
        </w:rPr>
        <w:br/>
        <w:t xml:space="preserve">Estimated Mobile Broadband Coverage in </w:t>
      </w:r>
      <w:r w:rsidRPr="0082414E">
        <w:rPr>
          <w:bCs w:val="0"/>
          <w:i/>
          <w:sz w:val="22"/>
          <w:szCs w:val="22"/>
        </w:rPr>
        <w:t>Rural Areas</w:t>
      </w:r>
      <w:r w:rsidRPr="007C3E48">
        <w:rPr>
          <w:bCs w:val="0"/>
          <w:sz w:val="22"/>
          <w:szCs w:val="22"/>
        </w:rPr>
        <w:t xml:space="preserve"> by Census Block, Jan. 2012</w:t>
      </w:r>
      <w:r w:rsidRPr="007C3E48">
        <w:rPr>
          <w:sz w:val="22"/>
          <w:szCs w:val="22"/>
          <w:vertAlign w:val="superscript"/>
        </w:rPr>
        <w:footnoteReference w:id="1196"/>
      </w:r>
      <w:bookmarkStart w:id="5598" w:name="_Ref256086079"/>
      <w:bookmarkStart w:id="5599" w:name="_Ref259117037"/>
      <w:bookmarkStart w:id="5600" w:name="_Ref256086076"/>
      <w:bookmarkEnd w:id="5583"/>
      <w:bookmarkEnd w:id="5584"/>
      <w:bookmarkEnd w:id="5585"/>
      <w:bookmarkEnd w:id="5586"/>
      <w:bookmarkEnd w:id="5587"/>
      <w:bookmarkEnd w:id="5588"/>
      <w:bookmarkEnd w:id="5589"/>
      <w:bookmarkEnd w:id="5590"/>
      <w:bookmarkEnd w:id="5591"/>
      <w:bookmarkEnd w:id="5592"/>
      <w:bookmarkEnd w:id="5593"/>
      <w:bookmarkEnd w:id="5594"/>
      <w:bookmarkEnd w:id="5595"/>
      <w:bookmarkEnd w:id="5596"/>
      <w:bookmarkEnd w:id="5597"/>
    </w:p>
    <w:tbl>
      <w:tblPr>
        <w:tblW w:w="0" w:type="auto"/>
        <w:jc w:val="center"/>
        <w:tblInd w:w="-1375"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0" w:type="dxa"/>
          <w:right w:w="0" w:type="dxa"/>
        </w:tblCellMar>
        <w:tblLook w:val="00A0" w:firstRow="1" w:lastRow="0" w:firstColumn="1" w:lastColumn="0" w:noHBand="0" w:noVBand="0"/>
      </w:tblPr>
      <w:tblGrid>
        <w:gridCol w:w="1280"/>
        <w:gridCol w:w="1518"/>
        <w:gridCol w:w="1761"/>
        <w:gridCol w:w="735"/>
        <w:gridCol w:w="1128"/>
        <w:gridCol w:w="867"/>
        <w:gridCol w:w="1088"/>
        <w:gridCol w:w="932"/>
      </w:tblGrid>
      <w:tr w:rsidR="004A147C" w:rsidRPr="00B53FFB" w:rsidTr="003E0BF1">
        <w:trPr>
          <w:trHeight w:val="692"/>
          <w:jc w:val="center"/>
        </w:trPr>
        <w:tc>
          <w:tcPr>
            <w:tcW w:w="1280" w:type="dxa"/>
            <w:shd w:val="clear" w:color="auto" w:fill="DAEEF3"/>
            <w:tcMar>
              <w:top w:w="0" w:type="dxa"/>
              <w:left w:w="30" w:type="dxa"/>
              <w:bottom w:w="0" w:type="dxa"/>
              <w:right w:w="30" w:type="dxa"/>
            </w:tcMar>
          </w:tcPr>
          <w:p w:rsidR="004A147C" w:rsidRPr="007D38C2" w:rsidRDefault="004A147C" w:rsidP="00CE5850">
            <w:pPr>
              <w:snapToGrid w:val="0"/>
              <w:jc w:val="center"/>
              <w:rPr>
                <w:b/>
                <w:bCs/>
                <w:iCs/>
                <w:sz w:val="20"/>
              </w:rPr>
            </w:pPr>
            <w:r w:rsidRPr="007D38C2">
              <w:rPr>
                <w:b/>
                <w:bCs/>
                <w:iCs/>
                <w:sz w:val="20"/>
              </w:rPr>
              <w:t>Total Number of Providers with Coverage in a Block</w:t>
            </w:r>
          </w:p>
        </w:tc>
        <w:tc>
          <w:tcPr>
            <w:tcW w:w="1518" w:type="dxa"/>
            <w:shd w:val="clear" w:color="auto" w:fill="DAEEF3"/>
            <w:tcMar>
              <w:top w:w="0" w:type="dxa"/>
              <w:left w:w="30" w:type="dxa"/>
              <w:bottom w:w="0" w:type="dxa"/>
              <w:right w:w="30" w:type="dxa"/>
            </w:tcMar>
          </w:tcPr>
          <w:p w:rsidR="004A147C" w:rsidRPr="007D38C2" w:rsidRDefault="004A147C" w:rsidP="00CE5850">
            <w:pPr>
              <w:snapToGrid w:val="0"/>
              <w:jc w:val="center"/>
              <w:rPr>
                <w:b/>
                <w:bCs/>
                <w:iCs/>
                <w:sz w:val="20"/>
              </w:rPr>
            </w:pPr>
            <w:r w:rsidRPr="007D38C2">
              <w:rPr>
                <w:b/>
                <w:bCs/>
                <w:iCs/>
                <w:sz w:val="20"/>
              </w:rPr>
              <w:t>Number of Rural Census Blocks</w:t>
            </w:r>
          </w:p>
          <w:p w:rsidR="004A147C" w:rsidRPr="007D38C2" w:rsidRDefault="004A147C" w:rsidP="00CE5850">
            <w:pPr>
              <w:snapToGrid w:val="0"/>
              <w:jc w:val="center"/>
              <w:rPr>
                <w:b/>
                <w:bCs/>
                <w:iCs/>
                <w:sz w:val="20"/>
              </w:rPr>
            </w:pPr>
            <w:r w:rsidRPr="007D38C2">
              <w:rPr>
                <w:b/>
                <w:bCs/>
                <w:iCs/>
                <w:sz w:val="20"/>
              </w:rPr>
              <w:t>(Thousands)</w:t>
            </w:r>
          </w:p>
        </w:tc>
        <w:tc>
          <w:tcPr>
            <w:tcW w:w="1761" w:type="dxa"/>
            <w:shd w:val="clear" w:color="auto" w:fill="DAEEF3"/>
            <w:tcMar>
              <w:top w:w="0" w:type="dxa"/>
              <w:left w:w="30" w:type="dxa"/>
              <w:bottom w:w="0" w:type="dxa"/>
              <w:right w:w="30" w:type="dxa"/>
            </w:tcMar>
          </w:tcPr>
          <w:p w:rsidR="004A147C" w:rsidRPr="007D38C2" w:rsidRDefault="004A147C" w:rsidP="00CE5850">
            <w:pPr>
              <w:snapToGrid w:val="0"/>
              <w:jc w:val="center"/>
              <w:rPr>
                <w:b/>
                <w:bCs/>
                <w:iCs/>
                <w:sz w:val="20"/>
              </w:rPr>
            </w:pPr>
            <w:r w:rsidRPr="007D38C2">
              <w:rPr>
                <w:b/>
                <w:bCs/>
                <w:iCs/>
                <w:sz w:val="20"/>
              </w:rPr>
              <w:t xml:space="preserve">POPs Contained in Rural Census Blocks </w:t>
            </w:r>
          </w:p>
          <w:p w:rsidR="004A147C" w:rsidRPr="007D38C2" w:rsidRDefault="004A147C" w:rsidP="00CE5850">
            <w:pPr>
              <w:snapToGrid w:val="0"/>
              <w:jc w:val="center"/>
              <w:rPr>
                <w:b/>
                <w:bCs/>
                <w:iCs/>
                <w:sz w:val="20"/>
              </w:rPr>
            </w:pPr>
            <w:r w:rsidRPr="007D38C2">
              <w:rPr>
                <w:b/>
                <w:bCs/>
                <w:iCs/>
                <w:sz w:val="20"/>
              </w:rPr>
              <w:t>(Thousands)</w:t>
            </w:r>
          </w:p>
        </w:tc>
        <w:tc>
          <w:tcPr>
            <w:tcW w:w="735" w:type="dxa"/>
            <w:shd w:val="clear" w:color="auto" w:fill="DAEEF3"/>
            <w:tcMar>
              <w:top w:w="0" w:type="dxa"/>
              <w:left w:w="30" w:type="dxa"/>
              <w:bottom w:w="0" w:type="dxa"/>
              <w:right w:w="30" w:type="dxa"/>
            </w:tcMar>
          </w:tcPr>
          <w:p w:rsidR="004A147C" w:rsidRPr="007D38C2" w:rsidRDefault="004A147C" w:rsidP="00CE5850">
            <w:pPr>
              <w:snapToGrid w:val="0"/>
              <w:jc w:val="center"/>
              <w:rPr>
                <w:b/>
                <w:bCs/>
                <w:iCs/>
                <w:sz w:val="20"/>
              </w:rPr>
            </w:pPr>
            <w:r w:rsidRPr="007D38C2">
              <w:rPr>
                <w:b/>
                <w:bCs/>
                <w:iCs/>
                <w:sz w:val="20"/>
              </w:rPr>
              <w:t>% of Total Rural U.S. POPs</w:t>
            </w:r>
          </w:p>
        </w:tc>
        <w:tc>
          <w:tcPr>
            <w:tcW w:w="1105" w:type="dxa"/>
            <w:shd w:val="clear" w:color="auto" w:fill="DAEEF3"/>
            <w:tcMar>
              <w:top w:w="0" w:type="dxa"/>
              <w:left w:w="30" w:type="dxa"/>
              <w:bottom w:w="0" w:type="dxa"/>
              <w:right w:w="30" w:type="dxa"/>
            </w:tcMar>
          </w:tcPr>
          <w:p w:rsidR="004A147C" w:rsidRPr="007D38C2" w:rsidRDefault="004A147C" w:rsidP="00CE5850">
            <w:pPr>
              <w:snapToGrid w:val="0"/>
              <w:jc w:val="center"/>
              <w:rPr>
                <w:b/>
                <w:bCs/>
                <w:iCs/>
                <w:sz w:val="20"/>
              </w:rPr>
            </w:pPr>
            <w:r w:rsidRPr="007D38C2">
              <w:rPr>
                <w:b/>
                <w:bCs/>
                <w:iCs/>
                <w:sz w:val="20"/>
              </w:rPr>
              <w:t xml:space="preserve">Square Miles Contained in Those Blocks </w:t>
            </w:r>
          </w:p>
          <w:p w:rsidR="004A147C" w:rsidRPr="007D38C2" w:rsidRDefault="004A147C" w:rsidP="00CE5850">
            <w:pPr>
              <w:snapToGrid w:val="0"/>
              <w:jc w:val="center"/>
              <w:rPr>
                <w:b/>
                <w:bCs/>
                <w:iCs/>
                <w:sz w:val="20"/>
              </w:rPr>
            </w:pPr>
            <w:r w:rsidRPr="007D38C2">
              <w:rPr>
                <w:b/>
                <w:bCs/>
                <w:iCs/>
                <w:sz w:val="20"/>
              </w:rPr>
              <w:t>(Thousands)</w:t>
            </w:r>
          </w:p>
        </w:tc>
        <w:tc>
          <w:tcPr>
            <w:tcW w:w="867" w:type="dxa"/>
            <w:shd w:val="clear" w:color="auto" w:fill="DAEEF3"/>
            <w:tcMar>
              <w:top w:w="0" w:type="dxa"/>
              <w:left w:w="30" w:type="dxa"/>
              <w:bottom w:w="0" w:type="dxa"/>
              <w:right w:w="30" w:type="dxa"/>
            </w:tcMar>
          </w:tcPr>
          <w:p w:rsidR="004A147C" w:rsidRPr="007D38C2" w:rsidRDefault="004A147C" w:rsidP="00CE5850">
            <w:pPr>
              <w:snapToGrid w:val="0"/>
              <w:jc w:val="center"/>
              <w:rPr>
                <w:b/>
                <w:bCs/>
                <w:iCs/>
                <w:sz w:val="20"/>
              </w:rPr>
            </w:pPr>
            <w:r w:rsidRPr="007D38C2">
              <w:rPr>
                <w:b/>
                <w:bCs/>
                <w:iCs/>
                <w:sz w:val="20"/>
              </w:rPr>
              <w:t>% of Total Rural U.S. Square Miles</w:t>
            </w:r>
          </w:p>
        </w:tc>
        <w:tc>
          <w:tcPr>
            <w:tcW w:w="1065" w:type="dxa"/>
            <w:shd w:val="clear" w:color="auto" w:fill="DAEEF3"/>
          </w:tcPr>
          <w:p w:rsidR="004A147C" w:rsidRPr="007D38C2" w:rsidRDefault="004A147C" w:rsidP="00CE5850">
            <w:pPr>
              <w:snapToGrid w:val="0"/>
              <w:jc w:val="center"/>
              <w:rPr>
                <w:b/>
                <w:bCs/>
                <w:iCs/>
                <w:sz w:val="20"/>
              </w:rPr>
            </w:pPr>
            <w:r w:rsidRPr="007D38C2">
              <w:rPr>
                <w:b/>
                <w:bCs/>
                <w:iCs/>
                <w:sz w:val="20"/>
              </w:rPr>
              <w:t>Road Miles Contained in Those Blocks (Thousands)</w:t>
            </w:r>
          </w:p>
        </w:tc>
        <w:tc>
          <w:tcPr>
            <w:tcW w:w="932" w:type="dxa"/>
            <w:shd w:val="clear" w:color="auto" w:fill="DAEEF3"/>
          </w:tcPr>
          <w:p w:rsidR="004A147C" w:rsidRPr="007D38C2" w:rsidRDefault="004A147C" w:rsidP="00CE5850">
            <w:pPr>
              <w:snapToGrid w:val="0"/>
              <w:jc w:val="center"/>
              <w:rPr>
                <w:b/>
                <w:bCs/>
                <w:iCs/>
                <w:sz w:val="20"/>
              </w:rPr>
            </w:pPr>
            <w:r w:rsidRPr="007D38C2">
              <w:rPr>
                <w:b/>
                <w:bCs/>
                <w:iCs/>
                <w:sz w:val="20"/>
              </w:rPr>
              <w:t>% of Total Rural U.S. Road Miles</w:t>
            </w:r>
          </w:p>
        </w:tc>
      </w:tr>
      <w:tr w:rsidR="004A147C" w:rsidRPr="00B53FFB" w:rsidTr="003E0BF1">
        <w:trPr>
          <w:trHeight w:val="245"/>
          <w:jc w:val="center"/>
        </w:trPr>
        <w:tc>
          <w:tcPr>
            <w:tcW w:w="1280" w:type="dxa"/>
            <w:shd w:val="clear" w:color="auto" w:fill="DAEEF3"/>
            <w:tcMar>
              <w:top w:w="0" w:type="dxa"/>
              <w:left w:w="30" w:type="dxa"/>
              <w:bottom w:w="0" w:type="dxa"/>
              <w:right w:w="30" w:type="dxa"/>
            </w:tcMar>
          </w:tcPr>
          <w:p w:rsidR="004A147C" w:rsidRPr="007D38C2" w:rsidRDefault="004A147C" w:rsidP="00CE5850">
            <w:pPr>
              <w:snapToGrid w:val="0"/>
              <w:rPr>
                <w:sz w:val="20"/>
              </w:rPr>
            </w:pPr>
            <w:r w:rsidRPr="007D38C2">
              <w:rPr>
                <w:sz w:val="20"/>
              </w:rPr>
              <w:t>1 or More</w:t>
            </w:r>
          </w:p>
        </w:tc>
        <w:tc>
          <w:tcPr>
            <w:tcW w:w="1518" w:type="dxa"/>
            <w:shd w:val="clear" w:color="auto" w:fill="DAEEF3"/>
            <w:tcMar>
              <w:top w:w="0" w:type="dxa"/>
              <w:left w:w="30" w:type="dxa"/>
              <w:bottom w:w="0" w:type="dxa"/>
              <w:right w:w="30" w:type="dxa"/>
            </w:tcMar>
            <w:vAlign w:val="bottom"/>
          </w:tcPr>
          <w:p w:rsidR="004A147C" w:rsidRPr="007D38C2" w:rsidRDefault="004A147C" w:rsidP="00CE5850">
            <w:pPr>
              <w:snapToGrid w:val="0"/>
              <w:jc w:val="right"/>
              <w:rPr>
                <w:sz w:val="20"/>
              </w:rPr>
            </w:pPr>
            <w:r w:rsidRPr="007D38C2">
              <w:rPr>
                <w:sz w:val="20"/>
              </w:rPr>
              <w:t xml:space="preserve">              4,891 </w:t>
            </w:r>
          </w:p>
        </w:tc>
        <w:tc>
          <w:tcPr>
            <w:tcW w:w="1761" w:type="dxa"/>
            <w:shd w:val="clear" w:color="auto" w:fill="DAEEF3"/>
            <w:tcMar>
              <w:top w:w="0" w:type="dxa"/>
              <w:left w:w="30" w:type="dxa"/>
              <w:bottom w:w="0" w:type="dxa"/>
              <w:right w:w="30" w:type="dxa"/>
            </w:tcMar>
            <w:vAlign w:val="bottom"/>
          </w:tcPr>
          <w:p w:rsidR="004A147C" w:rsidRPr="007D38C2" w:rsidRDefault="004A147C" w:rsidP="00CE5850">
            <w:pPr>
              <w:snapToGrid w:val="0"/>
              <w:jc w:val="right"/>
              <w:rPr>
                <w:sz w:val="20"/>
              </w:rPr>
            </w:pPr>
            <w:r w:rsidRPr="007D38C2">
              <w:rPr>
                <w:sz w:val="20"/>
              </w:rPr>
              <w:t xml:space="preserve">             57,424 </w:t>
            </w:r>
          </w:p>
        </w:tc>
        <w:tc>
          <w:tcPr>
            <w:tcW w:w="735" w:type="dxa"/>
            <w:shd w:val="clear" w:color="auto" w:fill="DAEEF3"/>
            <w:tcMar>
              <w:top w:w="0" w:type="dxa"/>
              <w:left w:w="30" w:type="dxa"/>
              <w:bottom w:w="0" w:type="dxa"/>
              <w:right w:w="30" w:type="dxa"/>
            </w:tcMar>
            <w:vAlign w:val="bottom"/>
          </w:tcPr>
          <w:p w:rsidR="004A147C" w:rsidRPr="007D38C2" w:rsidRDefault="004A147C" w:rsidP="00CE5850">
            <w:pPr>
              <w:snapToGrid w:val="0"/>
              <w:jc w:val="right"/>
              <w:rPr>
                <w:sz w:val="20"/>
              </w:rPr>
            </w:pPr>
            <w:r w:rsidRPr="007D38C2">
              <w:rPr>
                <w:sz w:val="20"/>
              </w:rPr>
              <w:t>97.1%</w:t>
            </w:r>
          </w:p>
        </w:tc>
        <w:tc>
          <w:tcPr>
            <w:tcW w:w="1105" w:type="dxa"/>
            <w:shd w:val="clear" w:color="auto" w:fill="DAEEF3"/>
            <w:tcMar>
              <w:top w:w="0" w:type="dxa"/>
              <w:left w:w="30" w:type="dxa"/>
              <w:bottom w:w="0" w:type="dxa"/>
              <w:right w:w="30" w:type="dxa"/>
            </w:tcMar>
            <w:vAlign w:val="bottom"/>
          </w:tcPr>
          <w:p w:rsidR="004A147C" w:rsidRPr="007D38C2" w:rsidRDefault="004A147C" w:rsidP="00CE5850">
            <w:pPr>
              <w:snapToGrid w:val="0"/>
              <w:jc w:val="right"/>
              <w:rPr>
                <w:sz w:val="20"/>
              </w:rPr>
            </w:pPr>
            <w:r w:rsidRPr="007D38C2">
              <w:rPr>
                <w:sz w:val="20"/>
              </w:rPr>
              <w:t>       1,986</w:t>
            </w:r>
          </w:p>
        </w:tc>
        <w:tc>
          <w:tcPr>
            <w:tcW w:w="867" w:type="dxa"/>
            <w:shd w:val="clear" w:color="auto" w:fill="DAEEF3"/>
            <w:tcMar>
              <w:top w:w="0" w:type="dxa"/>
              <w:left w:w="30" w:type="dxa"/>
              <w:bottom w:w="0" w:type="dxa"/>
              <w:right w:w="30" w:type="dxa"/>
            </w:tcMar>
            <w:vAlign w:val="bottom"/>
          </w:tcPr>
          <w:p w:rsidR="004A147C" w:rsidRPr="007D38C2" w:rsidRDefault="004A147C" w:rsidP="00CE5850">
            <w:pPr>
              <w:snapToGrid w:val="0"/>
              <w:jc w:val="right"/>
              <w:rPr>
                <w:sz w:val="20"/>
              </w:rPr>
            </w:pPr>
            <w:r w:rsidRPr="007D38C2">
              <w:rPr>
                <w:sz w:val="20"/>
              </w:rPr>
              <w:t>61.8%</w:t>
            </w:r>
          </w:p>
        </w:tc>
        <w:tc>
          <w:tcPr>
            <w:tcW w:w="1065" w:type="dxa"/>
            <w:shd w:val="clear" w:color="auto" w:fill="DAEEF3"/>
          </w:tcPr>
          <w:p w:rsidR="004A147C" w:rsidRPr="007D38C2" w:rsidRDefault="004A147C" w:rsidP="00CE5850">
            <w:pPr>
              <w:jc w:val="right"/>
              <w:rPr>
                <w:sz w:val="20"/>
              </w:rPr>
            </w:pPr>
            <w:r w:rsidRPr="007D38C2">
              <w:rPr>
                <w:sz w:val="20"/>
              </w:rPr>
              <w:t>3,922</w:t>
            </w:r>
          </w:p>
        </w:tc>
        <w:tc>
          <w:tcPr>
            <w:tcW w:w="932" w:type="dxa"/>
            <w:shd w:val="clear" w:color="auto" w:fill="DAEEF3"/>
          </w:tcPr>
          <w:p w:rsidR="004A147C" w:rsidRPr="007D38C2" w:rsidRDefault="004A147C" w:rsidP="00CE5850">
            <w:pPr>
              <w:jc w:val="right"/>
              <w:rPr>
                <w:sz w:val="20"/>
              </w:rPr>
            </w:pPr>
            <w:r w:rsidRPr="007D38C2">
              <w:rPr>
                <w:sz w:val="20"/>
              </w:rPr>
              <w:t>85.4%</w:t>
            </w:r>
          </w:p>
        </w:tc>
      </w:tr>
      <w:tr w:rsidR="004A147C" w:rsidRPr="00B53FFB" w:rsidTr="003E0BF1">
        <w:trPr>
          <w:trHeight w:val="262"/>
          <w:jc w:val="center"/>
        </w:trPr>
        <w:tc>
          <w:tcPr>
            <w:tcW w:w="1280" w:type="dxa"/>
            <w:shd w:val="clear" w:color="auto" w:fill="DAEEF3"/>
            <w:tcMar>
              <w:top w:w="0" w:type="dxa"/>
              <w:left w:w="30" w:type="dxa"/>
              <w:bottom w:w="0" w:type="dxa"/>
              <w:right w:w="30" w:type="dxa"/>
            </w:tcMar>
          </w:tcPr>
          <w:p w:rsidR="004A147C" w:rsidRPr="007D38C2" w:rsidRDefault="004A147C" w:rsidP="00CE5850">
            <w:pPr>
              <w:snapToGrid w:val="0"/>
              <w:rPr>
                <w:sz w:val="20"/>
              </w:rPr>
            </w:pPr>
            <w:r w:rsidRPr="007D38C2">
              <w:rPr>
                <w:sz w:val="20"/>
              </w:rPr>
              <w:t>2 or More</w:t>
            </w:r>
          </w:p>
        </w:tc>
        <w:tc>
          <w:tcPr>
            <w:tcW w:w="1518" w:type="dxa"/>
            <w:shd w:val="clear" w:color="auto" w:fill="DAEEF3"/>
            <w:tcMar>
              <w:top w:w="0" w:type="dxa"/>
              <w:left w:w="30" w:type="dxa"/>
              <w:bottom w:w="0" w:type="dxa"/>
              <w:right w:w="30" w:type="dxa"/>
            </w:tcMar>
            <w:vAlign w:val="bottom"/>
          </w:tcPr>
          <w:p w:rsidR="004A147C" w:rsidRPr="007D38C2" w:rsidRDefault="004A147C" w:rsidP="00CE5850">
            <w:pPr>
              <w:snapToGrid w:val="0"/>
              <w:jc w:val="right"/>
              <w:rPr>
                <w:sz w:val="20"/>
              </w:rPr>
            </w:pPr>
            <w:r w:rsidRPr="007D38C2">
              <w:rPr>
                <w:sz w:val="20"/>
              </w:rPr>
              <w:t xml:space="preserve">               3,948 </w:t>
            </w:r>
          </w:p>
        </w:tc>
        <w:tc>
          <w:tcPr>
            <w:tcW w:w="1761" w:type="dxa"/>
            <w:shd w:val="clear" w:color="auto" w:fill="DAEEF3"/>
            <w:tcMar>
              <w:top w:w="0" w:type="dxa"/>
              <w:left w:w="30" w:type="dxa"/>
              <w:bottom w:w="0" w:type="dxa"/>
              <w:right w:w="30" w:type="dxa"/>
            </w:tcMar>
            <w:vAlign w:val="bottom"/>
          </w:tcPr>
          <w:p w:rsidR="004A147C" w:rsidRPr="007D38C2" w:rsidRDefault="004A147C" w:rsidP="00CE5850">
            <w:pPr>
              <w:snapToGrid w:val="0"/>
              <w:jc w:val="right"/>
              <w:rPr>
                <w:sz w:val="20"/>
              </w:rPr>
            </w:pPr>
            <w:r w:rsidRPr="007D38C2">
              <w:rPr>
                <w:sz w:val="20"/>
              </w:rPr>
              <w:t xml:space="preserve">                50,876 </w:t>
            </w:r>
          </w:p>
        </w:tc>
        <w:tc>
          <w:tcPr>
            <w:tcW w:w="735" w:type="dxa"/>
            <w:shd w:val="clear" w:color="auto" w:fill="DAEEF3"/>
            <w:tcMar>
              <w:top w:w="0" w:type="dxa"/>
              <w:left w:w="30" w:type="dxa"/>
              <w:bottom w:w="0" w:type="dxa"/>
              <w:right w:w="30" w:type="dxa"/>
            </w:tcMar>
            <w:vAlign w:val="bottom"/>
          </w:tcPr>
          <w:p w:rsidR="004A147C" w:rsidRPr="007D38C2" w:rsidRDefault="004A147C" w:rsidP="00CE5850">
            <w:pPr>
              <w:snapToGrid w:val="0"/>
              <w:jc w:val="right"/>
              <w:rPr>
                <w:sz w:val="20"/>
              </w:rPr>
            </w:pPr>
            <w:r w:rsidRPr="007D38C2">
              <w:rPr>
                <w:sz w:val="20"/>
              </w:rPr>
              <w:t>86.0%</w:t>
            </w:r>
          </w:p>
        </w:tc>
        <w:tc>
          <w:tcPr>
            <w:tcW w:w="1105" w:type="dxa"/>
            <w:shd w:val="clear" w:color="auto" w:fill="DAEEF3"/>
            <w:tcMar>
              <w:top w:w="0" w:type="dxa"/>
              <w:left w:w="30" w:type="dxa"/>
              <w:bottom w:w="0" w:type="dxa"/>
              <w:right w:w="30" w:type="dxa"/>
            </w:tcMar>
            <w:vAlign w:val="bottom"/>
          </w:tcPr>
          <w:p w:rsidR="004A147C" w:rsidRPr="007D38C2" w:rsidRDefault="004A147C" w:rsidP="00CE5850">
            <w:pPr>
              <w:snapToGrid w:val="0"/>
              <w:jc w:val="right"/>
              <w:rPr>
                <w:sz w:val="20"/>
              </w:rPr>
            </w:pPr>
            <w:r w:rsidRPr="007D38C2">
              <w:rPr>
                <w:sz w:val="20"/>
              </w:rPr>
              <w:t xml:space="preserve">        1,303 </w:t>
            </w:r>
          </w:p>
        </w:tc>
        <w:tc>
          <w:tcPr>
            <w:tcW w:w="867" w:type="dxa"/>
            <w:shd w:val="clear" w:color="auto" w:fill="DAEEF3"/>
            <w:tcMar>
              <w:top w:w="0" w:type="dxa"/>
              <w:left w:w="30" w:type="dxa"/>
              <w:bottom w:w="0" w:type="dxa"/>
              <w:right w:w="30" w:type="dxa"/>
            </w:tcMar>
            <w:vAlign w:val="bottom"/>
          </w:tcPr>
          <w:p w:rsidR="004A147C" w:rsidRPr="007D38C2" w:rsidRDefault="004A147C" w:rsidP="00CE5850">
            <w:pPr>
              <w:snapToGrid w:val="0"/>
              <w:jc w:val="right"/>
              <w:rPr>
                <w:sz w:val="20"/>
              </w:rPr>
            </w:pPr>
            <w:r w:rsidRPr="007D38C2">
              <w:rPr>
                <w:sz w:val="20"/>
              </w:rPr>
              <w:t>40.5%</w:t>
            </w:r>
          </w:p>
        </w:tc>
        <w:tc>
          <w:tcPr>
            <w:tcW w:w="1065" w:type="dxa"/>
            <w:shd w:val="clear" w:color="auto" w:fill="DAEEF3"/>
          </w:tcPr>
          <w:p w:rsidR="004A147C" w:rsidRPr="007D38C2" w:rsidRDefault="004A147C" w:rsidP="00CE5850">
            <w:pPr>
              <w:jc w:val="right"/>
              <w:rPr>
                <w:sz w:val="20"/>
              </w:rPr>
            </w:pPr>
            <w:r w:rsidRPr="007D38C2">
              <w:rPr>
                <w:sz w:val="20"/>
              </w:rPr>
              <w:t>2,850</w:t>
            </w:r>
          </w:p>
        </w:tc>
        <w:tc>
          <w:tcPr>
            <w:tcW w:w="932" w:type="dxa"/>
            <w:shd w:val="clear" w:color="auto" w:fill="DAEEF3"/>
          </w:tcPr>
          <w:p w:rsidR="004A147C" w:rsidRPr="007D38C2" w:rsidRDefault="004A147C" w:rsidP="00CE5850">
            <w:pPr>
              <w:jc w:val="right"/>
              <w:rPr>
                <w:sz w:val="20"/>
              </w:rPr>
            </w:pPr>
            <w:r w:rsidRPr="007D38C2">
              <w:rPr>
                <w:sz w:val="20"/>
              </w:rPr>
              <w:t>62.1%</w:t>
            </w:r>
          </w:p>
        </w:tc>
      </w:tr>
      <w:tr w:rsidR="004A147C" w:rsidRPr="00B53FFB" w:rsidTr="003E0BF1">
        <w:trPr>
          <w:trHeight w:val="262"/>
          <w:jc w:val="center"/>
        </w:trPr>
        <w:tc>
          <w:tcPr>
            <w:tcW w:w="1280" w:type="dxa"/>
            <w:shd w:val="clear" w:color="auto" w:fill="DAEEF3"/>
            <w:tcMar>
              <w:top w:w="0" w:type="dxa"/>
              <w:left w:w="30" w:type="dxa"/>
              <w:bottom w:w="0" w:type="dxa"/>
              <w:right w:w="30" w:type="dxa"/>
            </w:tcMar>
          </w:tcPr>
          <w:p w:rsidR="004A147C" w:rsidRPr="007D38C2" w:rsidRDefault="004A147C" w:rsidP="00CE5850">
            <w:pPr>
              <w:snapToGrid w:val="0"/>
              <w:rPr>
                <w:sz w:val="20"/>
              </w:rPr>
            </w:pPr>
            <w:r w:rsidRPr="007D38C2">
              <w:rPr>
                <w:sz w:val="20"/>
              </w:rPr>
              <w:t>3 or More</w:t>
            </w:r>
          </w:p>
        </w:tc>
        <w:tc>
          <w:tcPr>
            <w:tcW w:w="1518" w:type="dxa"/>
            <w:shd w:val="clear" w:color="auto" w:fill="DAEEF3"/>
            <w:tcMar>
              <w:top w:w="0" w:type="dxa"/>
              <w:left w:w="30" w:type="dxa"/>
              <w:bottom w:w="0" w:type="dxa"/>
              <w:right w:w="30" w:type="dxa"/>
            </w:tcMar>
            <w:vAlign w:val="bottom"/>
          </w:tcPr>
          <w:p w:rsidR="004A147C" w:rsidRPr="007D38C2" w:rsidRDefault="004A147C" w:rsidP="00CE5850">
            <w:pPr>
              <w:snapToGrid w:val="0"/>
              <w:jc w:val="right"/>
              <w:rPr>
                <w:sz w:val="20"/>
              </w:rPr>
            </w:pPr>
            <w:r w:rsidRPr="007D38C2">
              <w:rPr>
                <w:sz w:val="20"/>
              </w:rPr>
              <w:t xml:space="preserve">               2,178 </w:t>
            </w:r>
          </w:p>
        </w:tc>
        <w:tc>
          <w:tcPr>
            <w:tcW w:w="1761" w:type="dxa"/>
            <w:shd w:val="clear" w:color="auto" w:fill="DAEEF3"/>
            <w:tcMar>
              <w:top w:w="0" w:type="dxa"/>
              <w:left w:w="30" w:type="dxa"/>
              <w:bottom w:w="0" w:type="dxa"/>
              <w:right w:w="30" w:type="dxa"/>
            </w:tcMar>
            <w:vAlign w:val="bottom"/>
          </w:tcPr>
          <w:p w:rsidR="004A147C" w:rsidRPr="007D38C2" w:rsidRDefault="004A147C" w:rsidP="00CE5850">
            <w:pPr>
              <w:snapToGrid w:val="0"/>
              <w:jc w:val="right"/>
              <w:rPr>
                <w:sz w:val="20"/>
              </w:rPr>
            </w:pPr>
            <w:r w:rsidRPr="007D38C2">
              <w:rPr>
                <w:sz w:val="20"/>
              </w:rPr>
              <w:t xml:space="preserve">               34,531 </w:t>
            </w:r>
          </w:p>
        </w:tc>
        <w:tc>
          <w:tcPr>
            <w:tcW w:w="735" w:type="dxa"/>
            <w:shd w:val="clear" w:color="auto" w:fill="DAEEF3"/>
            <w:tcMar>
              <w:top w:w="0" w:type="dxa"/>
              <w:left w:w="30" w:type="dxa"/>
              <w:bottom w:w="0" w:type="dxa"/>
              <w:right w:w="30" w:type="dxa"/>
            </w:tcMar>
            <w:vAlign w:val="bottom"/>
          </w:tcPr>
          <w:p w:rsidR="004A147C" w:rsidRPr="007D38C2" w:rsidRDefault="004A147C" w:rsidP="00CE5850">
            <w:pPr>
              <w:snapToGrid w:val="0"/>
              <w:jc w:val="right"/>
              <w:rPr>
                <w:sz w:val="20"/>
              </w:rPr>
            </w:pPr>
            <w:r w:rsidRPr="007D38C2">
              <w:rPr>
                <w:sz w:val="20"/>
              </w:rPr>
              <w:t>58.4%</w:t>
            </w:r>
          </w:p>
        </w:tc>
        <w:tc>
          <w:tcPr>
            <w:tcW w:w="1105" w:type="dxa"/>
            <w:shd w:val="clear" w:color="auto" w:fill="DAEEF3"/>
            <w:tcMar>
              <w:top w:w="0" w:type="dxa"/>
              <w:left w:w="30" w:type="dxa"/>
              <w:bottom w:w="0" w:type="dxa"/>
              <w:right w:w="30" w:type="dxa"/>
            </w:tcMar>
            <w:vAlign w:val="bottom"/>
          </w:tcPr>
          <w:p w:rsidR="004A147C" w:rsidRPr="007D38C2" w:rsidRDefault="004A147C" w:rsidP="00CE5850">
            <w:pPr>
              <w:snapToGrid w:val="0"/>
              <w:jc w:val="right"/>
              <w:rPr>
                <w:sz w:val="20"/>
              </w:rPr>
            </w:pPr>
            <w:r w:rsidRPr="007D38C2">
              <w:rPr>
                <w:sz w:val="20"/>
              </w:rPr>
              <w:t xml:space="preserve">           512 </w:t>
            </w:r>
          </w:p>
        </w:tc>
        <w:tc>
          <w:tcPr>
            <w:tcW w:w="867" w:type="dxa"/>
            <w:shd w:val="clear" w:color="auto" w:fill="DAEEF3"/>
            <w:tcMar>
              <w:top w:w="0" w:type="dxa"/>
              <w:left w:w="30" w:type="dxa"/>
              <w:bottom w:w="0" w:type="dxa"/>
              <w:right w:w="30" w:type="dxa"/>
            </w:tcMar>
            <w:vAlign w:val="bottom"/>
          </w:tcPr>
          <w:p w:rsidR="004A147C" w:rsidRPr="007D38C2" w:rsidRDefault="004A147C" w:rsidP="00CE5850">
            <w:pPr>
              <w:snapToGrid w:val="0"/>
              <w:jc w:val="right"/>
              <w:rPr>
                <w:sz w:val="20"/>
              </w:rPr>
            </w:pPr>
            <w:r w:rsidRPr="007D38C2">
              <w:rPr>
                <w:sz w:val="20"/>
              </w:rPr>
              <w:t>15.9%</w:t>
            </w:r>
          </w:p>
        </w:tc>
        <w:tc>
          <w:tcPr>
            <w:tcW w:w="1065" w:type="dxa"/>
            <w:shd w:val="clear" w:color="auto" w:fill="DAEEF3"/>
          </w:tcPr>
          <w:p w:rsidR="004A147C" w:rsidRPr="007D38C2" w:rsidRDefault="004A147C" w:rsidP="00CE5850">
            <w:pPr>
              <w:jc w:val="right"/>
              <w:rPr>
                <w:sz w:val="20"/>
              </w:rPr>
            </w:pPr>
            <w:r w:rsidRPr="007D38C2">
              <w:rPr>
                <w:sz w:val="20"/>
              </w:rPr>
              <w:t>1,315</w:t>
            </w:r>
          </w:p>
        </w:tc>
        <w:tc>
          <w:tcPr>
            <w:tcW w:w="932" w:type="dxa"/>
            <w:shd w:val="clear" w:color="auto" w:fill="DAEEF3"/>
          </w:tcPr>
          <w:p w:rsidR="004A147C" w:rsidRPr="007D38C2" w:rsidRDefault="004A147C" w:rsidP="00CE5850">
            <w:pPr>
              <w:jc w:val="right"/>
              <w:rPr>
                <w:sz w:val="20"/>
              </w:rPr>
            </w:pPr>
            <w:r w:rsidRPr="007D38C2">
              <w:rPr>
                <w:sz w:val="20"/>
              </w:rPr>
              <w:t>28.6%</w:t>
            </w:r>
          </w:p>
        </w:tc>
      </w:tr>
      <w:tr w:rsidR="004A147C" w:rsidRPr="00B53FFB" w:rsidTr="003E0BF1">
        <w:trPr>
          <w:trHeight w:val="262"/>
          <w:jc w:val="center"/>
        </w:trPr>
        <w:tc>
          <w:tcPr>
            <w:tcW w:w="1280" w:type="dxa"/>
            <w:shd w:val="clear" w:color="auto" w:fill="DAEEF3"/>
            <w:tcMar>
              <w:top w:w="0" w:type="dxa"/>
              <w:left w:w="30" w:type="dxa"/>
              <w:bottom w:w="0" w:type="dxa"/>
              <w:right w:w="30" w:type="dxa"/>
            </w:tcMar>
          </w:tcPr>
          <w:p w:rsidR="004A147C" w:rsidRPr="007D38C2" w:rsidRDefault="004A147C" w:rsidP="00CE5850">
            <w:pPr>
              <w:snapToGrid w:val="0"/>
              <w:rPr>
                <w:sz w:val="20"/>
              </w:rPr>
            </w:pPr>
            <w:r w:rsidRPr="007D38C2">
              <w:rPr>
                <w:sz w:val="20"/>
              </w:rPr>
              <w:t>4 or More</w:t>
            </w:r>
          </w:p>
        </w:tc>
        <w:tc>
          <w:tcPr>
            <w:tcW w:w="1518" w:type="dxa"/>
            <w:shd w:val="clear" w:color="auto" w:fill="DAEEF3"/>
            <w:tcMar>
              <w:top w:w="0" w:type="dxa"/>
              <w:left w:w="30" w:type="dxa"/>
              <w:bottom w:w="0" w:type="dxa"/>
              <w:right w:w="30" w:type="dxa"/>
            </w:tcMar>
            <w:vAlign w:val="bottom"/>
          </w:tcPr>
          <w:p w:rsidR="004A147C" w:rsidRPr="007D38C2" w:rsidRDefault="004A147C" w:rsidP="00CE5850">
            <w:pPr>
              <w:snapToGrid w:val="0"/>
              <w:jc w:val="right"/>
              <w:rPr>
                <w:sz w:val="20"/>
              </w:rPr>
            </w:pPr>
            <w:r w:rsidRPr="007D38C2">
              <w:rPr>
                <w:sz w:val="20"/>
              </w:rPr>
              <w:t xml:space="preserve">                 868 </w:t>
            </w:r>
          </w:p>
        </w:tc>
        <w:tc>
          <w:tcPr>
            <w:tcW w:w="1761" w:type="dxa"/>
            <w:shd w:val="clear" w:color="auto" w:fill="DAEEF3"/>
            <w:tcMar>
              <w:top w:w="0" w:type="dxa"/>
              <w:left w:w="30" w:type="dxa"/>
              <w:bottom w:w="0" w:type="dxa"/>
              <w:right w:w="30" w:type="dxa"/>
            </w:tcMar>
            <w:vAlign w:val="bottom"/>
          </w:tcPr>
          <w:p w:rsidR="004A147C" w:rsidRPr="007D38C2" w:rsidRDefault="004A147C" w:rsidP="00CE5850">
            <w:pPr>
              <w:snapToGrid w:val="0"/>
              <w:jc w:val="right"/>
              <w:rPr>
                <w:sz w:val="20"/>
              </w:rPr>
            </w:pPr>
            <w:r w:rsidRPr="007D38C2">
              <w:rPr>
                <w:sz w:val="20"/>
              </w:rPr>
              <w:t xml:space="preserve">               17,584 </w:t>
            </w:r>
          </w:p>
        </w:tc>
        <w:tc>
          <w:tcPr>
            <w:tcW w:w="735" w:type="dxa"/>
            <w:shd w:val="clear" w:color="auto" w:fill="DAEEF3"/>
            <w:tcMar>
              <w:top w:w="0" w:type="dxa"/>
              <w:left w:w="30" w:type="dxa"/>
              <w:bottom w:w="0" w:type="dxa"/>
              <w:right w:w="30" w:type="dxa"/>
            </w:tcMar>
            <w:vAlign w:val="bottom"/>
          </w:tcPr>
          <w:p w:rsidR="004A147C" w:rsidRPr="007D38C2" w:rsidRDefault="004A147C" w:rsidP="00CE5850">
            <w:pPr>
              <w:snapToGrid w:val="0"/>
              <w:jc w:val="right"/>
              <w:rPr>
                <w:sz w:val="20"/>
              </w:rPr>
            </w:pPr>
            <w:r w:rsidRPr="007D38C2">
              <w:rPr>
                <w:sz w:val="20"/>
              </w:rPr>
              <w:t>29.7%</w:t>
            </w:r>
          </w:p>
        </w:tc>
        <w:tc>
          <w:tcPr>
            <w:tcW w:w="1105" w:type="dxa"/>
            <w:shd w:val="clear" w:color="auto" w:fill="DAEEF3"/>
            <w:tcMar>
              <w:top w:w="0" w:type="dxa"/>
              <w:left w:w="30" w:type="dxa"/>
              <w:bottom w:w="0" w:type="dxa"/>
              <w:right w:w="30" w:type="dxa"/>
            </w:tcMar>
            <w:vAlign w:val="bottom"/>
          </w:tcPr>
          <w:p w:rsidR="004A147C" w:rsidRPr="007D38C2" w:rsidRDefault="004A147C" w:rsidP="00CE5850">
            <w:pPr>
              <w:snapToGrid w:val="0"/>
              <w:jc w:val="right"/>
              <w:rPr>
                <w:sz w:val="20"/>
              </w:rPr>
            </w:pPr>
            <w:r w:rsidRPr="007D38C2">
              <w:rPr>
                <w:sz w:val="20"/>
              </w:rPr>
              <w:t xml:space="preserve">           144 </w:t>
            </w:r>
          </w:p>
        </w:tc>
        <w:tc>
          <w:tcPr>
            <w:tcW w:w="867" w:type="dxa"/>
            <w:shd w:val="clear" w:color="auto" w:fill="DAEEF3"/>
            <w:tcMar>
              <w:top w:w="0" w:type="dxa"/>
              <w:left w:w="30" w:type="dxa"/>
              <w:bottom w:w="0" w:type="dxa"/>
              <w:right w:w="30" w:type="dxa"/>
            </w:tcMar>
            <w:vAlign w:val="bottom"/>
          </w:tcPr>
          <w:p w:rsidR="004A147C" w:rsidRPr="007D38C2" w:rsidRDefault="004A147C" w:rsidP="00CE5850">
            <w:pPr>
              <w:snapToGrid w:val="0"/>
              <w:jc w:val="right"/>
              <w:rPr>
                <w:sz w:val="20"/>
              </w:rPr>
            </w:pPr>
            <w:r w:rsidRPr="007D38C2">
              <w:rPr>
                <w:sz w:val="20"/>
              </w:rPr>
              <w:t>4.5%</w:t>
            </w:r>
          </w:p>
        </w:tc>
        <w:tc>
          <w:tcPr>
            <w:tcW w:w="1065" w:type="dxa"/>
            <w:shd w:val="clear" w:color="auto" w:fill="DAEEF3"/>
          </w:tcPr>
          <w:p w:rsidR="004A147C" w:rsidRPr="007D38C2" w:rsidRDefault="004A147C" w:rsidP="00CE5850">
            <w:pPr>
              <w:jc w:val="right"/>
              <w:rPr>
                <w:sz w:val="20"/>
              </w:rPr>
            </w:pPr>
            <w:r w:rsidRPr="007D38C2">
              <w:rPr>
                <w:sz w:val="20"/>
              </w:rPr>
              <w:t>438</w:t>
            </w:r>
          </w:p>
        </w:tc>
        <w:tc>
          <w:tcPr>
            <w:tcW w:w="932" w:type="dxa"/>
            <w:shd w:val="clear" w:color="auto" w:fill="DAEEF3"/>
          </w:tcPr>
          <w:p w:rsidR="004A147C" w:rsidRPr="007D38C2" w:rsidRDefault="004A147C" w:rsidP="00CE5850">
            <w:pPr>
              <w:jc w:val="right"/>
              <w:rPr>
                <w:sz w:val="20"/>
              </w:rPr>
            </w:pPr>
            <w:r w:rsidRPr="007D38C2">
              <w:rPr>
                <w:sz w:val="20"/>
              </w:rPr>
              <w:t>9.5%</w:t>
            </w:r>
          </w:p>
        </w:tc>
      </w:tr>
      <w:tr w:rsidR="004A147C" w:rsidRPr="00B53FFB" w:rsidTr="003E0BF1">
        <w:trPr>
          <w:trHeight w:val="262"/>
          <w:jc w:val="center"/>
        </w:trPr>
        <w:tc>
          <w:tcPr>
            <w:tcW w:w="1280" w:type="dxa"/>
            <w:shd w:val="clear" w:color="auto" w:fill="DAEEF3"/>
            <w:tcMar>
              <w:top w:w="0" w:type="dxa"/>
              <w:left w:w="30" w:type="dxa"/>
              <w:bottom w:w="0" w:type="dxa"/>
              <w:right w:w="30" w:type="dxa"/>
            </w:tcMar>
          </w:tcPr>
          <w:p w:rsidR="004A147C" w:rsidRPr="007D38C2" w:rsidRDefault="004A147C" w:rsidP="00CE5850">
            <w:pPr>
              <w:snapToGrid w:val="0"/>
              <w:rPr>
                <w:sz w:val="20"/>
              </w:rPr>
            </w:pPr>
            <w:r w:rsidRPr="007D38C2">
              <w:rPr>
                <w:sz w:val="20"/>
              </w:rPr>
              <w:t>5 or More</w:t>
            </w:r>
          </w:p>
        </w:tc>
        <w:tc>
          <w:tcPr>
            <w:tcW w:w="1518" w:type="dxa"/>
            <w:shd w:val="clear" w:color="auto" w:fill="DAEEF3"/>
            <w:tcMar>
              <w:top w:w="0" w:type="dxa"/>
              <w:left w:w="30" w:type="dxa"/>
              <w:bottom w:w="0" w:type="dxa"/>
              <w:right w:w="30" w:type="dxa"/>
            </w:tcMar>
            <w:vAlign w:val="bottom"/>
          </w:tcPr>
          <w:p w:rsidR="004A147C" w:rsidRPr="007D38C2" w:rsidRDefault="004A147C" w:rsidP="00CE5850">
            <w:pPr>
              <w:snapToGrid w:val="0"/>
              <w:jc w:val="right"/>
              <w:rPr>
                <w:sz w:val="20"/>
              </w:rPr>
            </w:pPr>
            <w:r w:rsidRPr="007D38C2">
              <w:rPr>
                <w:sz w:val="20"/>
              </w:rPr>
              <w:t xml:space="preserve">                 233 </w:t>
            </w:r>
          </w:p>
        </w:tc>
        <w:tc>
          <w:tcPr>
            <w:tcW w:w="1761" w:type="dxa"/>
            <w:shd w:val="clear" w:color="auto" w:fill="DAEEF3"/>
            <w:tcMar>
              <w:top w:w="0" w:type="dxa"/>
              <w:left w:w="30" w:type="dxa"/>
              <w:bottom w:w="0" w:type="dxa"/>
              <w:right w:w="30" w:type="dxa"/>
            </w:tcMar>
            <w:vAlign w:val="bottom"/>
          </w:tcPr>
          <w:p w:rsidR="004A147C" w:rsidRPr="007D38C2" w:rsidRDefault="004A147C" w:rsidP="00CE5850">
            <w:pPr>
              <w:snapToGrid w:val="0"/>
              <w:jc w:val="right"/>
              <w:rPr>
                <w:sz w:val="20"/>
              </w:rPr>
            </w:pPr>
            <w:r w:rsidRPr="007D38C2">
              <w:rPr>
                <w:sz w:val="20"/>
              </w:rPr>
              <w:t xml:space="preserve">                 6,110 </w:t>
            </w:r>
          </w:p>
        </w:tc>
        <w:tc>
          <w:tcPr>
            <w:tcW w:w="735" w:type="dxa"/>
            <w:shd w:val="clear" w:color="auto" w:fill="DAEEF3"/>
            <w:tcMar>
              <w:top w:w="0" w:type="dxa"/>
              <w:left w:w="30" w:type="dxa"/>
              <w:bottom w:w="0" w:type="dxa"/>
              <w:right w:w="30" w:type="dxa"/>
            </w:tcMar>
            <w:vAlign w:val="bottom"/>
          </w:tcPr>
          <w:p w:rsidR="004A147C" w:rsidRPr="007D38C2" w:rsidRDefault="004A147C" w:rsidP="00CE5850">
            <w:pPr>
              <w:snapToGrid w:val="0"/>
              <w:jc w:val="right"/>
              <w:rPr>
                <w:sz w:val="20"/>
              </w:rPr>
            </w:pPr>
            <w:r w:rsidRPr="007D38C2">
              <w:rPr>
                <w:sz w:val="20"/>
              </w:rPr>
              <w:t>10.3%</w:t>
            </w:r>
          </w:p>
        </w:tc>
        <w:tc>
          <w:tcPr>
            <w:tcW w:w="1105" w:type="dxa"/>
            <w:shd w:val="clear" w:color="auto" w:fill="DAEEF3"/>
            <w:tcMar>
              <w:top w:w="0" w:type="dxa"/>
              <w:left w:w="30" w:type="dxa"/>
              <w:bottom w:w="0" w:type="dxa"/>
              <w:right w:w="30" w:type="dxa"/>
            </w:tcMar>
            <w:vAlign w:val="bottom"/>
          </w:tcPr>
          <w:p w:rsidR="004A147C" w:rsidRPr="007D38C2" w:rsidRDefault="004A147C" w:rsidP="00CE5850">
            <w:pPr>
              <w:snapToGrid w:val="0"/>
              <w:jc w:val="right"/>
              <w:rPr>
                <w:sz w:val="20"/>
              </w:rPr>
            </w:pPr>
            <w:r w:rsidRPr="007D38C2">
              <w:rPr>
                <w:sz w:val="20"/>
              </w:rPr>
              <w:t xml:space="preserve">             28 </w:t>
            </w:r>
          </w:p>
        </w:tc>
        <w:tc>
          <w:tcPr>
            <w:tcW w:w="867" w:type="dxa"/>
            <w:shd w:val="clear" w:color="auto" w:fill="DAEEF3"/>
            <w:tcMar>
              <w:top w:w="0" w:type="dxa"/>
              <w:left w:w="30" w:type="dxa"/>
              <w:bottom w:w="0" w:type="dxa"/>
              <w:right w:w="30" w:type="dxa"/>
            </w:tcMar>
            <w:vAlign w:val="bottom"/>
          </w:tcPr>
          <w:p w:rsidR="004A147C" w:rsidRPr="007D38C2" w:rsidRDefault="004A147C" w:rsidP="00CE5850">
            <w:pPr>
              <w:snapToGrid w:val="0"/>
              <w:jc w:val="right"/>
              <w:rPr>
                <w:sz w:val="20"/>
              </w:rPr>
            </w:pPr>
            <w:r w:rsidRPr="007D38C2">
              <w:rPr>
                <w:sz w:val="20"/>
              </w:rPr>
              <w:t>0.9%</w:t>
            </w:r>
          </w:p>
        </w:tc>
        <w:tc>
          <w:tcPr>
            <w:tcW w:w="1065" w:type="dxa"/>
            <w:shd w:val="clear" w:color="auto" w:fill="DAEEF3"/>
          </w:tcPr>
          <w:p w:rsidR="004A147C" w:rsidRPr="007D38C2" w:rsidRDefault="004A147C" w:rsidP="00CE5850">
            <w:pPr>
              <w:jc w:val="right"/>
              <w:rPr>
                <w:sz w:val="20"/>
              </w:rPr>
            </w:pPr>
            <w:r w:rsidRPr="007D38C2">
              <w:rPr>
                <w:sz w:val="20"/>
              </w:rPr>
              <w:t>106</w:t>
            </w:r>
          </w:p>
        </w:tc>
        <w:tc>
          <w:tcPr>
            <w:tcW w:w="932" w:type="dxa"/>
            <w:shd w:val="clear" w:color="auto" w:fill="DAEEF3"/>
          </w:tcPr>
          <w:p w:rsidR="004A147C" w:rsidRPr="007D38C2" w:rsidRDefault="004A147C" w:rsidP="00CE5850">
            <w:pPr>
              <w:jc w:val="right"/>
              <w:rPr>
                <w:sz w:val="20"/>
              </w:rPr>
            </w:pPr>
            <w:r w:rsidRPr="007D38C2">
              <w:rPr>
                <w:sz w:val="20"/>
              </w:rPr>
              <w:t>2.3%</w:t>
            </w:r>
          </w:p>
        </w:tc>
      </w:tr>
    </w:tbl>
    <w:p w:rsidR="004A147C" w:rsidRDefault="004A147C" w:rsidP="00CE5850">
      <w:pPr>
        <w:rPr>
          <w:szCs w:val="22"/>
        </w:rPr>
      </w:pPr>
    </w:p>
    <w:p w:rsidR="004A147C" w:rsidRPr="000D5BCA" w:rsidRDefault="004A147C" w:rsidP="00CE5850">
      <w:pPr>
        <w:pStyle w:val="Caption"/>
        <w:widowControl w:val="0"/>
        <w:spacing w:after="0"/>
        <w:jc w:val="center"/>
        <w:rPr>
          <w:sz w:val="22"/>
          <w:szCs w:val="22"/>
        </w:rPr>
      </w:pPr>
      <w:r w:rsidRPr="000D5BCA">
        <w:rPr>
          <w:sz w:val="22"/>
          <w:szCs w:val="22"/>
        </w:rPr>
        <w:t xml:space="preserve">Table </w:t>
      </w:r>
      <w:r w:rsidR="0007014B" w:rsidRPr="000D5BCA">
        <w:rPr>
          <w:sz w:val="22"/>
          <w:szCs w:val="22"/>
        </w:rPr>
        <w:fldChar w:fldCharType="begin"/>
      </w:r>
      <w:r w:rsidRPr="000D5BCA">
        <w:rPr>
          <w:sz w:val="22"/>
          <w:szCs w:val="22"/>
        </w:rPr>
        <w:instrText xml:space="preserve"> SEQ Table \* ARABIC </w:instrText>
      </w:r>
      <w:r w:rsidR="0007014B" w:rsidRPr="000D5BCA">
        <w:rPr>
          <w:sz w:val="22"/>
          <w:szCs w:val="22"/>
        </w:rPr>
        <w:fldChar w:fldCharType="separate"/>
      </w:r>
      <w:r w:rsidR="00CA3AC6">
        <w:rPr>
          <w:noProof/>
          <w:sz w:val="22"/>
          <w:szCs w:val="22"/>
        </w:rPr>
        <w:t>60</w:t>
      </w:r>
      <w:r w:rsidR="0007014B" w:rsidRPr="000D5BCA">
        <w:rPr>
          <w:sz w:val="22"/>
          <w:szCs w:val="22"/>
        </w:rPr>
        <w:fldChar w:fldCharType="end"/>
      </w:r>
    </w:p>
    <w:p w:rsidR="004A147C" w:rsidRDefault="004A147C" w:rsidP="00CE5850">
      <w:pPr>
        <w:jc w:val="center"/>
        <w:rPr>
          <w:b/>
          <w:bCs/>
          <w:szCs w:val="22"/>
        </w:rPr>
      </w:pPr>
      <w:r w:rsidRPr="00B53FFB">
        <w:rPr>
          <w:b/>
          <w:bCs/>
          <w:szCs w:val="22"/>
        </w:rPr>
        <w:t xml:space="preserve">Estimated Mobile Broadband Coverage in </w:t>
      </w:r>
      <w:r w:rsidRPr="0082414E">
        <w:rPr>
          <w:b/>
          <w:bCs/>
          <w:i/>
          <w:szCs w:val="22"/>
        </w:rPr>
        <w:t>Rural Areas</w:t>
      </w:r>
      <w:r w:rsidRPr="00B53FFB">
        <w:rPr>
          <w:b/>
          <w:bCs/>
          <w:szCs w:val="22"/>
        </w:rPr>
        <w:t xml:space="preserve"> by Census Block, </w:t>
      </w:r>
      <w:r>
        <w:rPr>
          <w:b/>
          <w:bCs/>
          <w:szCs w:val="22"/>
        </w:rPr>
        <w:t>Oct</w:t>
      </w:r>
      <w:r w:rsidRPr="00B53FFB">
        <w:rPr>
          <w:b/>
          <w:bCs/>
          <w:szCs w:val="22"/>
        </w:rPr>
        <w:t>. 2012</w:t>
      </w:r>
      <w:r w:rsidRPr="00B53FFB">
        <w:rPr>
          <w:szCs w:val="22"/>
          <w:vertAlign w:val="superscript"/>
        </w:rPr>
        <w:footnoteReference w:id="1197"/>
      </w:r>
    </w:p>
    <w:tbl>
      <w:tblPr>
        <w:tblW w:w="0" w:type="auto"/>
        <w:jc w:val="center"/>
        <w:tblInd w:w="-1375"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0" w:type="dxa"/>
          <w:right w:w="0" w:type="dxa"/>
        </w:tblCellMar>
        <w:tblLook w:val="00A0" w:firstRow="1" w:lastRow="0" w:firstColumn="1" w:lastColumn="0" w:noHBand="0" w:noVBand="0"/>
      </w:tblPr>
      <w:tblGrid>
        <w:gridCol w:w="1280"/>
        <w:gridCol w:w="1518"/>
        <w:gridCol w:w="1761"/>
        <w:gridCol w:w="735"/>
        <w:gridCol w:w="1128"/>
        <w:gridCol w:w="867"/>
        <w:gridCol w:w="1088"/>
        <w:gridCol w:w="932"/>
      </w:tblGrid>
      <w:tr w:rsidR="004A147C" w:rsidRPr="00B53FFB" w:rsidTr="00A0412A">
        <w:trPr>
          <w:trHeight w:val="692"/>
          <w:jc w:val="center"/>
        </w:trPr>
        <w:tc>
          <w:tcPr>
            <w:tcW w:w="1280" w:type="dxa"/>
            <w:shd w:val="clear" w:color="auto" w:fill="DAEEF3"/>
            <w:tcMar>
              <w:top w:w="0" w:type="dxa"/>
              <w:left w:w="30" w:type="dxa"/>
              <w:bottom w:w="0" w:type="dxa"/>
              <w:right w:w="30" w:type="dxa"/>
            </w:tcMar>
          </w:tcPr>
          <w:p w:rsidR="004A147C" w:rsidRPr="007D38C2" w:rsidRDefault="004A147C" w:rsidP="00CE5850">
            <w:pPr>
              <w:snapToGrid w:val="0"/>
              <w:jc w:val="center"/>
              <w:rPr>
                <w:b/>
                <w:bCs/>
                <w:iCs/>
                <w:sz w:val="20"/>
              </w:rPr>
            </w:pPr>
            <w:r w:rsidRPr="007D38C2">
              <w:rPr>
                <w:b/>
                <w:bCs/>
                <w:iCs/>
                <w:sz w:val="20"/>
              </w:rPr>
              <w:t>Total Number of Providers with Coverage in a Block</w:t>
            </w:r>
          </w:p>
        </w:tc>
        <w:tc>
          <w:tcPr>
            <w:tcW w:w="1518" w:type="dxa"/>
            <w:shd w:val="clear" w:color="auto" w:fill="DAEEF3"/>
            <w:tcMar>
              <w:top w:w="0" w:type="dxa"/>
              <w:left w:w="30" w:type="dxa"/>
              <w:bottom w:w="0" w:type="dxa"/>
              <w:right w:w="30" w:type="dxa"/>
            </w:tcMar>
          </w:tcPr>
          <w:p w:rsidR="004A147C" w:rsidRPr="007D38C2" w:rsidRDefault="004A147C" w:rsidP="00CE5850">
            <w:pPr>
              <w:snapToGrid w:val="0"/>
              <w:jc w:val="center"/>
              <w:rPr>
                <w:b/>
                <w:bCs/>
                <w:iCs/>
                <w:sz w:val="20"/>
              </w:rPr>
            </w:pPr>
            <w:r w:rsidRPr="007D38C2">
              <w:rPr>
                <w:b/>
                <w:bCs/>
                <w:iCs/>
                <w:sz w:val="20"/>
              </w:rPr>
              <w:t>Number of Rural Census Blocks</w:t>
            </w:r>
          </w:p>
          <w:p w:rsidR="004A147C" w:rsidRPr="007D38C2" w:rsidRDefault="004A147C" w:rsidP="00CE5850">
            <w:pPr>
              <w:snapToGrid w:val="0"/>
              <w:jc w:val="center"/>
              <w:rPr>
                <w:b/>
                <w:bCs/>
                <w:iCs/>
                <w:sz w:val="20"/>
              </w:rPr>
            </w:pPr>
            <w:r w:rsidRPr="007D38C2">
              <w:rPr>
                <w:b/>
                <w:bCs/>
                <w:iCs/>
                <w:sz w:val="20"/>
              </w:rPr>
              <w:t>(Thousands)</w:t>
            </w:r>
          </w:p>
        </w:tc>
        <w:tc>
          <w:tcPr>
            <w:tcW w:w="1761" w:type="dxa"/>
            <w:shd w:val="clear" w:color="auto" w:fill="DAEEF3"/>
            <w:tcMar>
              <w:top w:w="0" w:type="dxa"/>
              <w:left w:w="30" w:type="dxa"/>
              <w:bottom w:w="0" w:type="dxa"/>
              <w:right w:w="30" w:type="dxa"/>
            </w:tcMar>
          </w:tcPr>
          <w:p w:rsidR="004A147C" w:rsidRPr="007D38C2" w:rsidRDefault="004A147C" w:rsidP="00CE5850">
            <w:pPr>
              <w:snapToGrid w:val="0"/>
              <w:jc w:val="center"/>
              <w:rPr>
                <w:b/>
                <w:bCs/>
                <w:iCs/>
                <w:sz w:val="20"/>
              </w:rPr>
            </w:pPr>
            <w:r w:rsidRPr="007D38C2">
              <w:rPr>
                <w:b/>
                <w:bCs/>
                <w:iCs/>
                <w:sz w:val="20"/>
              </w:rPr>
              <w:t xml:space="preserve">POPs Contained in Rural Census Blocks </w:t>
            </w:r>
          </w:p>
          <w:p w:rsidR="004A147C" w:rsidRPr="007D38C2" w:rsidRDefault="004A147C" w:rsidP="00CE5850">
            <w:pPr>
              <w:snapToGrid w:val="0"/>
              <w:jc w:val="center"/>
              <w:rPr>
                <w:b/>
                <w:bCs/>
                <w:iCs/>
                <w:sz w:val="20"/>
              </w:rPr>
            </w:pPr>
            <w:r w:rsidRPr="007D38C2">
              <w:rPr>
                <w:b/>
                <w:bCs/>
                <w:iCs/>
                <w:sz w:val="20"/>
              </w:rPr>
              <w:t>(Thousands)</w:t>
            </w:r>
          </w:p>
        </w:tc>
        <w:tc>
          <w:tcPr>
            <w:tcW w:w="735" w:type="dxa"/>
            <w:shd w:val="clear" w:color="auto" w:fill="DAEEF3"/>
            <w:tcMar>
              <w:top w:w="0" w:type="dxa"/>
              <w:left w:w="30" w:type="dxa"/>
              <w:bottom w:w="0" w:type="dxa"/>
              <w:right w:w="30" w:type="dxa"/>
            </w:tcMar>
          </w:tcPr>
          <w:p w:rsidR="004A147C" w:rsidRPr="007D38C2" w:rsidRDefault="004A147C" w:rsidP="00CE5850">
            <w:pPr>
              <w:snapToGrid w:val="0"/>
              <w:jc w:val="center"/>
              <w:rPr>
                <w:b/>
                <w:bCs/>
                <w:iCs/>
                <w:sz w:val="20"/>
              </w:rPr>
            </w:pPr>
            <w:r w:rsidRPr="007D38C2">
              <w:rPr>
                <w:b/>
                <w:bCs/>
                <w:iCs/>
                <w:sz w:val="20"/>
              </w:rPr>
              <w:t>% of Total Rural U.S. POPs</w:t>
            </w:r>
          </w:p>
        </w:tc>
        <w:tc>
          <w:tcPr>
            <w:tcW w:w="1128" w:type="dxa"/>
            <w:shd w:val="clear" w:color="auto" w:fill="DAEEF3"/>
            <w:tcMar>
              <w:top w:w="0" w:type="dxa"/>
              <w:left w:w="30" w:type="dxa"/>
              <w:bottom w:w="0" w:type="dxa"/>
              <w:right w:w="30" w:type="dxa"/>
            </w:tcMar>
          </w:tcPr>
          <w:p w:rsidR="004A147C" w:rsidRPr="007D38C2" w:rsidRDefault="004A147C" w:rsidP="00CE5850">
            <w:pPr>
              <w:snapToGrid w:val="0"/>
              <w:jc w:val="center"/>
              <w:rPr>
                <w:b/>
                <w:bCs/>
                <w:iCs/>
                <w:sz w:val="20"/>
              </w:rPr>
            </w:pPr>
            <w:r w:rsidRPr="007D38C2">
              <w:rPr>
                <w:b/>
                <w:bCs/>
                <w:iCs/>
                <w:sz w:val="20"/>
              </w:rPr>
              <w:t xml:space="preserve">Square Miles Contained in Those Blocks </w:t>
            </w:r>
          </w:p>
          <w:p w:rsidR="004A147C" w:rsidRPr="007D38C2" w:rsidRDefault="004A147C" w:rsidP="00CE5850">
            <w:pPr>
              <w:snapToGrid w:val="0"/>
              <w:jc w:val="center"/>
              <w:rPr>
                <w:b/>
                <w:bCs/>
                <w:iCs/>
                <w:sz w:val="20"/>
              </w:rPr>
            </w:pPr>
            <w:r w:rsidRPr="007D38C2">
              <w:rPr>
                <w:b/>
                <w:bCs/>
                <w:iCs/>
                <w:sz w:val="20"/>
              </w:rPr>
              <w:t>(Thousands)</w:t>
            </w:r>
          </w:p>
        </w:tc>
        <w:tc>
          <w:tcPr>
            <w:tcW w:w="867" w:type="dxa"/>
            <w:shd w:val="clear" w:color="auto" w:fill="DAEEF3"/>
            <w:tcMar>
              <w:top w:w="0" w:type="dxa"/>
              <w:left w:w="30" w:type="dxa"/>
              <w:bottom w:w="0" w:type="dxa"/>
              <w:right w:w="30" w:type="dxa"/>
            </w:tcMar>
          </w:tcPr>
          <w:p w:rsidR="004A147C" w:rsidRPr="007D38C2" w:rsidRDefault="004A147C" w:rsidP="00CE5850">
            <w:pPr>
              <w:snapToGrid w:val="0"/>
              <w:jc w:val="center"/>
              <w:rPr>
                <w:b/>
                <w:bCs/>
                <w:iCs/>
                <w:sz w:val="20"/>
              </w:rPr>
            </w:pPr>
            <w:r w:rsidRPr="007D38C2">
              <w:rPr>
                <w:b/>
                <w:bCs/>
                <w:iCs/>
                <w:sz w:val="20"/>
              </w:rPr>
              <w:t>% of Total Rural U.S. Square Miles</w:t>
            </w:r>
          </w:p>
        </w:tc>
        <w:tc>
          <w:tcPr>
            <w:tcW w:w="1088" w:type="dxa"/>
            <w:shd w:val="clear" w:color="auto" w:fill="DAEEF3"/>
          </w:tcPr>
          <w:p w:rsidR="004A147C" w:rsidRPr="007D38C2" w:rsidRDefault="004A147C" w:rsidP="00CE5850">
            <w:pPr>
              <w:snapToGrid w:val="0"/>
              <w:jc w:val="center"/>
              <w:rPr>
                <w:b/>
                <w:bCs/>
                <w:iCs/>
                <w:sz w:val="20"/>
              </w:rPr>
            </w:pPr>
            <w:r w:rsidRPr="007D38C2">
              <w:rPr>
                <w:b/>
                <w:bCs/>
                <w:iCs/>
                <w:sz w:val="20"/>
              </w:rPr>
              <w:t>Road Miles Contained in Those Blocks (Thousands)</w:t>
            </w:r>
          </w:p>
        </w:tc>
        <w:tc>
          <w:tcPr>
            <w:tcW w:w="932" w:type="dxa"/>
            <w:shd w:val="clear" w:color="auto" w:fill="DAEEF3"/>
          </w:tcPr>
          <w:p w:rsidR="004A147C" w:rsidRPr="007D38C2" w:rsidRDefault="004A147C" w:rsidP="00CE5850">
            <w:pPr>
              <w:snapToGrid w:val="0"/>
              <w:jc w:val="center"/>
              <w:rPr>
                <w:b/>
                <w:bCs/>
                <w:iCs/>
                <w:sz w:val="20"/>
              </w:rPr>
            </w:pPr>
            <w:r w:rsidRPr="007D38C2">
              <w:rPr>
                <w:b/>
                <w:bCs/>
                <w:iCs/>
                <w:sz w:val="20"/>
              </w:rPr>
              <w:t>% of Total Rural U.S. Road Miles</w:t>
            </w:r>
          </w:p>
        </w:tc>
      </w:tr>
      <w:tr w:rsidR="004A147C" w:rsidRPr="00B53FFB" w:rsidTr="00A0412A">
        <w:trPr>
          <w:trHeight w:val="245"/>
          <w:jc w:val="center"/>
        </w:trPr>
        <w:tc>
          <w:tcPr>
            <w:tcW w:w="1280" w:type="dxa"/>
            <w:shd w:val="clear" w:color="auto" w:fill="DAEEF3"/>
            <w:tcMar>
              <w:top w:w="0" w:type="dxa"/>
              <w:left w:w="30" w:type="dxa"/>
              <w:bottom w:w="0" w:type="dxa"/>
              <w:right w:w="30" w:type="dxa"/>
            </w:tcMar>
          </w:tcPr>
          <w:p w:rsidR="004A147C" w:rsidRPr="006876C6" w:rsidRDefault="004A147C" w:rsidP="00CE5850">
            <w:pPr>
              <w:snapToGrid w:val="0"/>
              <w:jc w:val="right"/>
              <w:rPr>
                <w:sz w:val="20"/>
              </w:rPr>
            </w:pPr>
            <w:r w:rsidRPr="006876C6">
              <w:rPr>
                <w:sz w:val="20"/>
              </w:rPr>
              <w:t>1 or More</w:t>
            </w:r>
          </w:p>
        </w:tc>
        <w:tc>
          <w:tcPr>
            <w:tcW w:w="1518" w:type="dxa"/>
            <w:shd w:val="clear" w:color="auto" w:fill="DAEEF3"/>
            <w:tcMar>
              <w:top w:w="0" w:type="dxa"/>
              <w:left w:w="30" w:type="dxa"/>
              <w:bottom w:w="0" w:type="dxa"/>
              <w:right w:w="30" w:type="dxa"/>
            </w:tcMar>
          </w:tcPr>
          <w:p w:rsidR="004A147C" w:rsidRPr="006876C6" w:rsidRDefault="004A147C" w:rsidP="00CE5850">
            <w:pPr>
              <w:jc w:val="right"/>
              <w:rPr>
                <w:sz w:val="20"/>
              </w:rPr>
            </w:pPr>
            <w:r w:rsidRPr="006876C6">
              <w:rPr>
                <w:sz w:val="20"/>
              </w:rPr>
              <w:t>4,970</w:t>
            </w:r>
          </w:p>
        </w:tc>
        <w:tc>
          <w:tcPr>
            <w:tcW w:w="1761" w:type="dxa"/>
            <w:shd w:val="clear" w:color="auto" w:fill="DAEEF3"/>
            <w:tcMar>
              <w:top w:w="0" w:type="dxa"/>
              <w:left w:w="30" w:type="dxa"/>
              <w:bottom w:w="0" w:type="dxa"/>
              <w:right w:w="30" w:type="dxa"/>
            </w:tcMar>
          </w:tcPr>
          <w:p w:rsidR="004A147C" w:rsidRPr="006876C6" w:rsidRDefault="004A147C" w:rsidP="00CE5850">
            <w:pPr>
              <w:jc w:val="right"/>
              <w:rPr>
                <w:sz w:val="20"/>
              </w:rPr>
            </w:pPr>
            <w:r w:rsidRPr="006876C6">
              <w:rPr>
                <w:sz w:val="20"/>
              </w:rPr>
              <w:t>57,850</w:t>
            </w:r>
          </w:p>
        </w:tc>
        <w:tc>
          <w:tcPr>
            <w:tcW w:w="735" w:type="dxa"/>
            <w:shd w:val="clear" w:color="auto" w:fill="DAEEF3"/>
            <w:tcMar>
              <w:top w:w="0" w:type="dxa"/>
              <w:left w:w="30" w:type="dxa"/>
              <w:bottom w:w="0" w:type="dxa"/>
              <w:right w:w="30" w:type="dxa"/>
            </w:tcMar>
          </w:tcPr>
          <w:p w:rsidR="004A147C" w:rsidRPr="006876C6" w:rsidRDefault="004A147C" w:rsidP="00CE5850">
            <w:pPr>
              <w:jc w:val="right"/>
              <w:rPr>
                <w:sz w:val="20"/>
              </w:rPr>
            </w:pPr>
            <w:r w:rsidRPr="006876C6">
              <w:rPr>
                <w:sz w:val="20"/>
              </w:rPr>
              <w:t>97.8%</w:t>
            </w:r>
          </w:p>
        </w:tc>
        <w:tc>
          <w:tcPr>
            <w:tcW w:w="1128" w:type="dxa"/>
            <w:shd w:val="clear" w:color="auto" w:fill="DAEEF3"/>
            <w:tcMar>
              <w:top w:w="0" w:type="dxa"/>
              <w:left w:w="30" w:type="dxa"/>
              <w:bottom w:w="0" w:type="dxa"/>
              <w:right w:w="30" w:type="dxa"/>
            </w:tcMar>
          </w:tcPr>
          <w:p w:rsidR="004A147C" w:rsidRPr="006876C6" w:rsidRDefault="004A147C" w:rsidP="00CE5850">
            <w:pPr>
              <w:jc w:val="right"/>
              <w:rPr>
                <w:sz w:val="20"/>
              </w:rPr>
            </w:pPr>
            <w:r w:rsidRPr="006876C6">
              <w:rPr>
                <w:sz w:val="20"/>
              </w:rPr>
              <w:t>2,043</w:t>
            </w:r>
          </w:p>
        </w:tc>
        <w:tc>
          <w:tcPr>
            <w:tcW w:w="867" w:type="dxa"/>
            <w:shd w:val="clear" w:color="auto" w:fill="DAEEF3"/>
            <w:tcMar>
              <w:top w:w="0" w:type="dxa"/>
              <w:left w:w="30" w:type="dxa"/>
              <w:bottom w:w="0" w:type="dxa"/>
              <w:right w:w="30" w:type="dxa"/>
            </w:tcMar>
          </w:tcPr>
          <w:p w:rsidR="004A147C" w:rsidRPr="006876C6" w:rsidRDefault="004A147C" w:rsidP="00CE5850">
            <w:pPr>
              <w:jc w:val="right"/>
              <w:rPr>
                <w:sz w:val="20"/>
              </w:rPr>
            </w:pPr>
            <w:r w:rsidRPr="006876C6">
              <w:rPr>
                <w:sz w:val="20"/>
              </w:rPr>
              <w:t>63.6%</w:t>
            </w:r>
          </w:p>
        </w:tc>
        <w:tc>
          <w:tcPr>
            <w:tcW w:w="1088" w:type="dxa"/>
            <w:shd w:val="clear" w:color="auto" w:fill="DAEEF3"/>
          </w:tcPr>
          <w:p w:rsidR="004A147C" w:rsidRPr="006876C6" w:rsidRDefault="004A147C" w:rsidP="00CE5850">
            <w:pPr>
              <w:jc w:val="right"/>
              <w:rPr>
                <w:sz w:val="20"/>
              </w:rPr>
            </w:pPr>
            <w:r w:rsidRPr="006876C6">
              <w:rPr>
                <w:sz w:val="20"/>
              </w:rPr>
              <w:t>4,009</w:t>
            </w:r>
          </w:p>
        </w:tc>
        <w:tc>
          <w:tcPr>
            <w:tcW w:w="932" w:type="dxa"/>
            <w:shd w:val="clear" w:color="auto" w:fill="DAEEF3"/>
          </w:tcPr>
          <w:p w:rsidR="004A147C" w:rsidRPr="006876C6" w:rsidRDefault="004A147C" w:rsidP="00CE5850">
            <w:pPr>
              <w:jc w:val="right"/>
              <w:rPr>
                <w:sz w:val="20"/>
              </w:rPr>
            </w:pPr>
            <w:r w:rsidRPr="006876C6">
              <w:rPr>
                <w:sz w:val="20"/>
              </w:rPr>
              <w:t>87.3%</w:t>
            </w:r>
          </w:p>
        </w:tc>
      </w:tr>
      <w:tr w:rsidR="004A147C" w:rsidRPr="00B53FFB" w:rsidTr="00A0412A">
        <w:trPr>
          <w:trHeight w:val="262"/>
          <w:jc w:val="center"/>
        </w:trPr>
        <w:tc>
          <w:tcPr>
            <w:tcW w:w="1280" w:type="dxa"/>
            <w:shd w:val="clear" w:color="auto" w:fill="DAEEF3"/>
            <w:tcMar>
              <w:top w:w="0" w:type="dxa"/>
              <w:left w:w="30" w:type="dxa"/>
              <w:bottom w:w="0" w:type="dxa"/>
              <w:right w:w="30" w:type="dxa"/>
            </w:tcMar>
          </w:tcPr>
          <w:p w:rsidR="004A147C" w:rsidRPr="006876C6" w:rsidRDefault="004A147C" w:rsidP="00CE5850">
            <w:pPr>
              <w:snapToGrid w:val="0"/>
              <w:jc w:val="right"/>
              <w:rPr>
                <w:sz w:val="20"/>
              </w:rPr>
            </w:pPr>
            <w:r w:rsidRPr="006876C6">
              <w:rPr>
                <w:sz w:val="20"/>
              </w:rPr>
              <w:t>2 or More</w:t>
            </w:r>
          </w:p>
        </w:tc>
        <w:tc>
          <w:tcPr>
            <w:tcW w:w="1518" w:type="dxa"/>
            <w:shd w:val="clear" w:color="auto" w:fill="DAEEF3"/>
            <w:tcMar>
              <w:top w:w="0" w:type="dxa"/>
              <w:left w:w="30" w:type="dxa"/>
              <w:bottom w:w="0" w:type="dxa"/>
              <w:right w:w="30" w:type="dxa"/>
            </w:tcMar>
          </w:tcPr>
          <w:p w:rsidR="004A147C" w:rsidRPr="006876C6" w:rsidRDefault="004A147C" w:rsidP="00CE5850">
            <w:pPr>
              <w:jc w:val="right"/>
              <w:rPr>
                <w:sz w:val="20"/>
              </w:rPr>
            </w:pPr>
            <w:r w:rsidRPr="006876C6">
              <w:rPr>
                <w:sz w:val="20"/>
              </w:rPr>
              <w:t>4,221</w:t>
            </w:r>
          </w:p>
        </w:tc>
        <w:tc>
          <w:tcPr>
            <w:tcW w:w="1761" w:type="dxa"/>
            <w:shd w:val="clear" w:color="auto" w:fill="DAEEF3"/>
            <w:tcMar>
              <w:top w:w="0" w:type="dxa"/>
              <w:left w:w="30" w:type="dxa"/>
              <w:bottom w:w="0" w:type="dxa"/>
              <w:right w:w="30" w:type="dxa"/>
            </w:tcMar>
          </w:tcPr>
          <w:p w:rsidR="004A147C" w:rsidRPr="006876C6" w:rsidRDefault="004A147C" w:rsidP="00CE5850">
            <w:pPr>
              <w:jc w:val="right"/>
              <w:rPr>
                <w:sz w:val="20"/>
              </w:rPr>
            </w:pPr>
            <w:r w:rsidRPr="006876C6">
              <w:rPr>
                <w:sz w:val="20"/>
              </w:rPr>
              <w:t>53,156</w:t>
            </w:r>
          </w:p>
        </w:tc>
        <w:tc>
          <w:tcPr>
            <w:tcW w:w="735" w:type="dxa"/>
            <w:shd w:val="clear" w:color="auto" w:fill="DAEEF3"/>
            <w:tcMar>
              <w:top w:w="0" w:type="dxa"/>
              <w:left w:w="30" w:type="dxa"/>
              <w:bottom w:w="0" w:type="dxa"/>
              <w:right w:w="30" w:type="dxa"/>
            </w:tcMar>
          </w:tcPr>
          <w:p w:rsidR="004A147C" w:rsidRPr="006876C6" w:rsidRDefault="004A147C" w:rsidP="00CE5850">
            <w:pPr>
              <w:jc w:val="right"/>
              <w:rPr>
                <w:sz w:val="20"/>
              </w:rPr>
            </w:pPr>
            <w:r w:rsidRPr="006876C6">
              <w:rPr>
                <w:sz w:val="20"/>
              </w:rPr>
              <w:t>89.9%</w:t>
            </w:r>
          </w:p>
        </w:tc>
        <w:tc>
          <w:tcPr>
            <w:tcW w:w="1128" w:type="dxa"/>
            <w:shd w:val="clear" w:color="auto" w:fill="DAEEF3"/>
            <w:tcMar>
              <w:top w:w="0" w:type="dxa"/>
              <w:left w:w="30" w:type="dxa"/>
              <w:bottom w:w="0" w:type="dxa"/>
              <w:right w:w="30" w:type="dxa"/>
            </w:tcMar>
          </w:tcPr>
          <w:p w:rsidR="004A147C" w:rsidRPr="006876C6" w:rsidRDefault="004A147C" w:rsidP="00CE5850">
            <w:pPr>
              <w:jc w:val="right"/>
              <w:rPr>
                <w:sz w:val="20"/>
              </w:rPr>
            </w:pPr>
            <w:r w:rsidRPr="006876C6">
              <w:rPr>
                <w:sz w:val="20"/>
              </w:rPr>
              <w:t>1,453</w:t>
            </w:r>
          </w:p>
        </w:tc>
        <w:tc>
          <w:tcPr>
            <w:tcW w:w="867" w:type="dxa"/>
            <w:shd w:val="clear" w:color="auto" w:fill="DAEEF3"/>
            <w:tcMar>
              <w:top w:w="0" w:type="dxa"/>
              <w:left w:w="30" w:type="dxa"/>
              <w:bottom w:w="0" w:type="dxa"/>
              <w:right w:w="30" w:type="dxa"/>
            </w:tcMar>
          </w:tcPr>
          <w:p w:rsidR="004A147C" w:rsidRPr="006876C6" w:rsidRDefault="004A147C" w:rsidP="00CE5850">
            <w:pPr>
              <w:jc w:val="right"/>
              <w:rPr>
                <w:sz w:val="20"/>
              </w:rPr>
            </w:pPr>
            <w:r w:rsidRPr="006876C6">
              <w:rPr>
                <w:sz w:val="20"/>
              </w:rPr>
              <w:t>45.2%</w:t>
            </w:r>
          </w:p>
        </w:tc>
        <w:tc>
          <w:tcPr>
            <w:tcW w:w="1088" w:type="dxa"/>
            <w:shd w:val="clear" w:color="auto" w:fill="DAEEF3"/>
          </w:tcPr>
          <w:p w:rsidR="004A147C" w:rsidRPr="006876C6" w:rsidRDefault="004A147C" w:rsidP="00CE5850">
            <w:pPr>
              <w:jc w:val="right"/>
              <w:rPr>
                <w:sz w:val="20"/>
              </w:rPr>
            </w:pPr>
            <w:r w:rsidRPr="006876C6">
              <w:rPr>
                <w:sz w:val="20"/>
              </w:rPr>
              <w:t>3,109</w:t>
            </w:r>
          </w:p>
        </w:tc>
        <w:tc>
          <w:tcPr>
            <w:tcW w:w="932" w:type="dxa"/>
            <w:shd w:val="clear" w:color="auto" w:fill="DAEEF3"/>
          </w:tcPr>
          <w:p w:rsidR="004A147C" w:rsidRPr="006876C6" w:rsidRDefault="004A147C" w:rsidP="00CE5850">
            <w:pPr>
              <w:jc w:val="right"/>
              <w:rPr>
                <w:sz w:val="20"/>
              </w:rPr>
            </w:pPr>
            <w:r w:rsidRPr="006876C6">
              <w:rPr>
                <w:sz w:val="20"/>
              </w:rPr>
              <w:t>67.7%</w:t>
            </w:r>
          </w:p>
        </w:tc>
      </w:tr>
      <w:tr w:rsidR="004A147C" w:rsidRPr="00B53FFB" w:rsidTr="00A0412A">
        <w:trPr>
          <w:trHeight w:val="262"/>
          <w:jc w:val="center"/>
        </w:trPr>
        <w:tc>
          <w:tcPr>
            <w:tcW w:w="1280" w:type="dxa"/>
            <w:shd w:val="clear" w:color="auto" w:fill="DAEEF3"/>
            <w:tcMar>
              <w:top w:w="0" w:type="dxa"/>
              <w:left w:w="30" w:type="dxa"/>
              <w:bottom w:w="0" w:type="dxa"/>
              <w:right w:w="30" w:type="dxa"/>
            </w:tcMar>
          </w:tcPr>
          <w:p w:rsidR="004A147C" w:rsidRPr="006876C6" w:rsidRDefault="004A147C" w:rsidP="00CE5850">
            <w:pPr>
              <w:snapToGrid w:val="0"/>
              <w:jc w:val="right"/>
              <w:rPr>
                <w:sz w:val="20"/>
              </w:rPr>
            </w:pPr>
            <w:r w:rsidRPr="006876C6">
              <w:rPr>
                <w:sz w:val="20"/>
              </w:rPr>
              <w:t>3 or More</w:t>
            </w:r>
          </w:p>
        </w:tc>
        <w:tc>
          <w:tcPr>
            <w:tcW w:w="1518" w:type="dxa"/>
            <w:shd w:val="clear" w:color="auto" w:fill="DAEEF3"/>
            <w:tcMar>
              <w:top w:w="0" w:type="dxa"/>
              <w:left w:w="30" w:type="dxa"/>
              <w:bottom w:w="0" w:type="dxa"/>
              <w:right w:w="30" w:type="dxa"/>
            </w:tcMar>
          </w:tcPr>
          <w:p w:rsidR="004A147C" w:rsidRPr="006876C6" w:rsidRDefault="004A147C" w:rsidP="00CE5850">
            <w:pPr>
              <w:jc w:val="right"/>
              <w:rPr>
                <w:sz w:val="20"/>
              </w:rPr>
            </w:pPr>
            <w:r w:rsidRPr="006876C6">
              <w:rPr>
                <w:sz w:val="20"/>
              </w:rPr>
              <w:t>2,581</w:t>
            </w:r>
          </w:p>
        </w:tc>
        <w:tc>
          <w:tcPr>
            <w:tcW w:w="1761" w:type="dxa"/>
            <w:shd w:val="clear" w:color="auto" w:fill="DAEEF3"/>
            <w:tcMar>
              <w:top w:w="0" w:type="dxa"/>
              <w:left w:w="30" w:type="dxa"/>
              <w:bottom w:w="0" w:type="dxa"/>
              <w:right w:w="30" w:type="dxa"/>
            </w:tcMar>
          </w:tcPr>
          <w:p w:rsidR="004A147C" w:rsidRPr="006876C6" w:rsidRDefault="004A147C" w:rsidP="00CE5850">
            <w:pPr>
              <w:jc w:val="right"/>
              <w:rPr>
                <w:sz w:val="20"/>
              </w:rPr>
            </w:pPr>
            <w:r w:rsidRPr="006876C6">
              <w:rPr>
                <w:sz w:val="20"/>
              </w:rPr>
              <w:t>38,656</w:t>
            </w:r>
          </w:p>
        </w:tc>
        <w:tc>
          <w:tcPr>
            <w:tcW w:w="735" w:type="dxa"/>
            <w:shd w:val="clear" w:color="auto" w:fill="DAEEF3"/>
            <w:tcMar>
              <w:top w:w="0" w:type="dxa"/>
              <w:left w:w="30" w:type="dxa"/>
              <w:bottom w:w="0" w:type="dxa"/>
              <w:right w:w="30" w:type="dxa"/>
            </w:tcMar>
          </w:tcPr>
          <w:p w:rsidR="004A147C" w:rsidRPr="006876C6" w:rsidRDefault="004A147C" w:rsidP="00CE5850">
            <w:pPr>
              <w:jc w:val="right"/>
              <w:rPr>
                <w:sz w:val="20"/>
              </w:rPr>
            </w:pPr>
            <w:r w:rsidRPr="006876C6">
              <w:rPr>
                <w:sz w:val="20"/>
              </w:rPr>
              <w:t>65.4%</w:t>
            </w:r>
          </w:p>
        </w:tc>
        <w:tc>
          <w:tcPr>
            <w:tcW w:w="1128" w:type="dxa"/>
            <w:shd w:val="clear" w:color="auto" w:fill="DAEEF3"/>
            <w:tcMar>
              <w:top w:w="0" w:type="dxa"/>
              <w:left w:w="30" w:type="dxa"/>
              <w:bottom w:w="0" w:type="dxa"/>
              <w:right w:w="30" w:type="dxa"/>
            </w:tcMar>
          </w:tcPr>
          <w:p w:rsidR="004A147C" w:rsidRPr="006876C6" w:rsidRDefault="004A147C" w:rsidP="00CE5850">
            <w:pPr>
              <w:jc w:val="right"/>
              <w:rPr>
                <w:sz w:val="20"/>
              </w:rPr>
            </w:pPr>
            <w:r w:rsidRPr="006876C6">
              <w:rPr>
                <w:sz w:val="20"/>
              </w:rPr>
              <w:t>662</w:t>
            </w:r>
          </w:p>
        </w:tc>
        <w:tc>
          <w:tcPr>
            <w:tcW w:w="867" w:type="dxa"/>
            <w:shd w:val="clear" w:color="auto" w:fill="DAEEF3"/>
            <w:tcMar>
              <w:top w:w="0" w:type="dxa"/>
              <w:left w:w="30" w:type="dxa"/>
              <w:bottom w:w="0" w:type="dxa"/>
              <w:right w:w="30" w:type="dxa"/>
            </w:tcMar>
          </w:tcPr>
          <w:p w:rsidR="004A147C" w:rsidRPr="006876C6" w:rsidRDefault="004A147C" w:rsidP="00CE5850">
            <w:pPr>
              <w:jc w:val="right"/>
              <w:rPr>
                <w:sz w:val="20"/>
              </w:rPr>
            </w:pPr>
            <w:r w:rsidRPr="006876C6">
              <w:rPr>
                <w:sz w:val="20"/>
              </w:rPr>
              <w:t>20.6%</w:t>
            </w:r>
          </w:p>
        </w:tc>
        <w:tc>
          <w:tcPr>
            <w:tcW w:w="1088" w:type="dxa"/>
            <w:shd w:val="clear" w:color="auto" w:fill="DAEEF3"/>
          </w:tcPr>
          <w:p w:rsidR="004A147C" w:rsidRPr="006876C6" w:rsidRDefault="004A147C" w:rsidP="00CE5850">
            <w:pPr>
              <w:jc w:val="right"/>
              <w:rPr>
                <w:sz w:val="20"/>
              </w:rPr>
            </w:pPr>
            <w:r w:rsidRPr="006876C6">
              <w:rPr>
                <w:sz w:val="20"/>
              </w:rPr>
              <w:t>1,638</w:t>
            </w:r>
          </w:p>
        </w:tc>
        <w:tc>
          <w:tcPr>
            <w:tcW w:w="932" w:type="dxa"/>
            <w:shd w:val="clear" w:color="auto" w:fill="DAEEF3"/>
          </w:tcPr>
          <w:p w:rsidR="004A147C" w:rsidRPr="006876C6" w:rsidRDefault="004A147C" w:rsidP="00CE5850">
            <w:pPr>
              <w:jc w:val="right"/>
              <w:rPr>
                <w:sz w:val="20"/>
              </w:rPr>
            </w:pPr>
            <w:r w:rsidRPr="006876C6">
              <w:rPr>
                <w:sz w:val="20"/>
              </w:rPr>
              <w:t>35.7%</w:t>
            </w:r>
          </w:p>
        </w:tc>
      </w:tr>
      <w:tr w:rsidR="004A147C" w:rsidRPr="00B53FFB" w:rsidTr="00A0412A">
        <w:trPr>
          <w:trHeight w:val="262"/>
          <w:jc w:val="center"/>
        </w:trPr>
        <w:tc>
          <w:tcPr>
            <w:tcW w:w="1280" w:type="dxa"/>
            <w:shd w:val="clear" w:color="auto" w:fill="DAEEF3"/>
            <w:tcMar>
              <w:top w:w="0" w:type="dxa"/>
              <w:left w:w="30" w:type="dxa"/>
              <w:bottom w:w="0" w:type="dxa"/>
              <w:right w:w="30" w:type="dxa"/>
            </w:tcMar>
          </w:tcPr>
          <w:p w:rsidR="004A147C" w:rsidRPr="006876C6" w:rsidRDefault="004A147C" w:rsidP="00CE5850">
            <w:pPr>
              <w:snapToGrid w:val="0"/>
              <w:jc w:val="right"/>
              <w:rPr>
                <w:sz w:val="20"/>
              </w:rPr>
            </w:pPr>
            <w:r w:rsidRPr="006876C6">
              <w:rPr>
                <w:sz w:val="20"/>
              </w:rPr>
              <w:t>4 or More</w:t>
            </w:r>
          </w:p>
        </w:tc>
        <w:tc>
          <w:tcPr>
            <w:tcW w:w="1518" w:type="dxa"/>
            <w:shd w:val="clear" w:color="auto" w:fill="DAEEF3"/>
            <w:tcMar>
              <w:top w:w="0" w:type="dxa"/>
              <w:left w:w="30" w:type="dxa"/>
              <w:bottom w:w="0" w:type="dxa"/>
              <w:right w:w="30" w:type="dxa"/>
            </w:tcMar>
          </w:tcPr>
          <w:p w:rsidR="004A147C" w:rsidRPr="006876C6" w:rsidRDefault="004A147C" w:rsidP="00CE5850">
            <w:pPr>
              <w:jc w:val="right"/>
              <w:rPr>
                <w:sz w:val="20"/>
              </w:rPr>
            </w:pPr>
            <w:r w:rsidRPr="006876C6">
              <w:rPr>
                <w:sz w:val="20"/>
              </w:rPr>
              <w:t>1,194</w:t>
            </w:r>
          </w:p>
        </w:tc>
        <w:tc>
          <w:tcPr>
            <w:tcW w:w="1761" w:type="dxa"/>
            <w:shd w:val="clear" w:color="auto" w:fill="DAEEF3"/>
            <w:tcMar>
              <w:top w:w="0" w:type="dxa"/>
              <w:left w:w="30" w:type="dxa"/>
              <w:bottom w:w="0" w:type="dxa"/>
              <w:right w:w="30" w:type="dxa"/>
            </w:tcMar>
          </w:tcPr>
          <w:p w:rsidR="004A147C" w:rsidRPr="006876C6" w:rsidRDefault="004A147C" w:rsidP="00CE5850">
            <w:pPr>
              <w:jc w:val="right"/>
              <w:rPr>
                <w:sz w:val="20"/>
              </w:rPr>
            </w:pPr>
            <w:r w:rsidRPr="006876C6">
              <w:rPr>
                <w:sz w:val="20"/>
              </w:rPr>
              <w:t>22,122</w:t>
            </w:r>
          </w:p>
        </w:tc>
        <w:tc>
          <w:tcPr>
            <w:tcW w:w="735" w:type="dxa"/>
            <w:shd w:val="clear" w:color="auto" w:fill="DAEEF3"/>
            <w:tcMar>
              <w:top w:w="0" w:type="dxa"/>
              <w:left w:w="30" w:type="dxa"/>
              <w:bottom w:w="0" w:type="dxa"/>
              <w:right w:w="30" w:type="dxa"/>
            </w:tcMar>
          </w:tcPr>
          <w:p w:rsidR="004A147C" w:rsidRPr="006876C6" w:rsidRDefault="004A147C" w:rsidP="00CE5850">
            <w:pPr>
              <w:jc w:val="right"/>
              <w:rPr>
                <w:sz w:val="20"/>
              </w:rPr>
            </w:pPr>
            <w:r w:rsidRPr="006876C6">
              <w:rPr>
                <w:sz w:val="20"/>
              </w:rPr>
              <w:t>37.4%</w:t>
            </w:r>
          </w:p>
        </w:tc>
        <w:tc>
          <w:tcPr>
            <w:tcW w:w="1128" w:type="dxa"/>
            <w:shd w:val="clear" w:color="auto" w:fill="DAEEF3"/>
            <w:tcMar>
              <w:top w:w="0" w:type="dxa"/>
              <w:left w:w="30" w:type="dxa"/>
              <w:bottom w:w="0" w:type="dxa"/>
              <w:right w:w="30" w:type="dxa"/>
            </w:tcMar>
          </w:tcPr>
          <w:p w:rsidR="004A147C" w:rsidRPr="006876C6" w:rsidRDefault="004A147C" w:rsidP="00CE5850">
            <w:pPr>
              <w:jc w:val="right"/>
              <w:rPr>
                <w:sz w:val="20"/>
              </w:rPr>
            </w:pPr>
            <w:r w:rsidRPr="006876C6">
              <w:rPr>
                <w:sz w:val="20"/>
              </w:rPr>
              <w:t>228</w:t>
            </w:r>
          </w:p>
        </w:tc>
        <w:tc>
          <w:tcPr>
            <w:tcW w:w="867" w:type="dxa"/>
            <w:shd w:val="clear" w:color="auto" w:fill="DAEEF3"/>
            <w:tcMar>
              <w:top w:w="0" w:type="dxa"/>
              <w:left w:w="30" w:type="dxa"/>
              <w:bottom w:w="0" w:type="dxa"/>
              <w:right w:w="30" w:type="dxa"/>
            </w:tcMar>
          </w:tcPr>
          <w:p w:rsidR="004A147C" w:rsidRPr="006876C6" w:rsidRDefault="004A147C" w:rsidP="00CE5850">
            <w:pPr>
              <w:jc w:val="right"/>
              <w:rPr>
                <w:sz w:val="20"/>
              </w:rPr>
            </w:pPr>
            <w:r w:rsidRPr="006876C6">
              <w:rPr>
                <w:sz w:val="20"/>
              </w:rPr>
              <w:t>7.1%</w:t>
            </w:r>
          </w:p>
        </w:tc>
        <w:tc>
          <w:tcPr>
            <w:tcW w:w="1088" w:type="dxa"/>
            <w:shd w:val="clear" w:color="auto" w:fill="DAEEF3"/>
          </w:tcPr>
          <w:p w:rsidR="004A147C" w:rsidRPr="006876C6" w:rsidRDefault="004A147C" w:rsidP="00CE5850">
            <w:pPr>
              <w:jc w:val="right"/>
              <w:rPr>
                <w:sz w:val="20"/>
              </w:rPr>
            </w:pPr>
            <w:r w:rsidRPr="006876C6">
              <w:rPr>
                <w:sz w:val="20"/>
              </w:rPr>
              <w:t>650</w:t>
            </w:r>
          </w:p>
        </w:tc>
        <w:tc>
          <w:tcPr>
            <w:tcW w:w="932" w:type="dxa"/>
            <w:shd w:val="clear" w:color="auto" w:fill="DAEEF3"/>
          </w:tcPr>
          <w:p w:rsidR="004A147C" w:rsidRPr="006876C6" w:rsidRDefault="004A147C" w:rsidP="00CE5850">
            <w:pPr>
              <w:jc w:val="right"/>
              <w:rPr>
                <w:sz w:val="20"/>
              </w:rPr>
            </w:pPr>
            <w:r w:rsidRPr="006876C6">
              <w:rPr>
                <w:sz w:val="20"/>
              </w:rPr>
              <w:t>14.2%</w:t>
            </w:r>
          </w:p>
        </w:tc>
      </w:tr>
      <w:tr w:rsidR="004A147C" w:rsidRPr="00B53FFB" w:rsidTr="00A0412A">
        <w:trPr>
          <w:trHeight w:val="262"/>
          <w:jc w:val="center"/>
        </w:trPr>
        <w:tc>
          <w:tcPr>
            <w:tcW w:w="1280" w:type="dxa"/>
            <w:shd w:val="clear" w:color="auto" w:fill="DAEEF3"/>
            <w:tcMar>
              <w:top w:w="0" w:type="dxa"/>
              <w:left w:w="30" w:type="dxa"/>
              <w:bottom w:w="0" w:type="dxa"/>
              <w:right w:w="30" w:type="dxa"/>
            </w:tcMar>
          </w:tcPr>
          <w:p w:rsidR="004A147C" w:rsidRPr="006876C6" w:rsidRDefault="004A147C" w:rsidP="00CE5850">
            <w:pPr>
              <w:snapToGrid w:val="0"/>
              <w:jc w:val="right"/>
              <w:rPr>
                <w:sz w:val="20"/>
              </w:rPr>
            </w:pPr>
            <w:r w:rsidRPr="006876C6">
              <w:rPr>
                <w:sz w:val="20"/>
              </w:rPr>
              <w:t>5 or More</w:t>
            </w:r>
          </w:p>
        </w:tc>
        <w:tc>
          <w:tcPr>
            <w:tcW w:w="1518" w:type="dxa"/>
            <w:shd w:val="clear" w:color="auto" w:fill="DAEEF3"/>
            <w:tcMar>
              <w:top w:w="0" w:type="dxa"/>
              <w:left w:w="30" w:type="dxa"/>
              <w:bottom w:w="0" w:type="dxa"/>
              <w:right w:w="30" w:type="dxa"/>
            </w:tcMar>
          </w:tcPr>
          <w:p w:rsidR="004A147C" w:rsidRPr="006876C6" w:rsidRDefault="004A147C" w:rsidP="00CE5850">
            <w:pPr>
              <w:jc w:val="right"/>
              <w:rPr>
                <w:sz w:val="20"/>
              </w:rPr>
            </w:pPr>
            <w:r w:rsidRPr="006876C6">
              <w:rPr>
                <w:sz w:val="20"/>
              </w:rPr>
              <w:t>389</w:t>
            </w:r>
          </w:p>
        </w:tc>
        <w:tc>
          <w:tcPr>
            <w:tcW w:w="1761" w:type="dxa"/>
            <w:shd w:val="clear" w:color="auto" w:fill="DAEEF3"/>
            <w:tcMar>
              <w:top w:w="0" w:type="dxa"/>
              <w:left w:w="30" w:type="dxa"/>
              <w:bottom w:w="0" w:type="dxa"/>
              <w:right w:w="30" w:type="dxa"/>
            </w:tcMar>
          </w:tcPr>
          <w:p w:rsidR="004A147C" w:rsidRPr="006876C6" w:rsidRDefault="004A147C" w:rsidP="00CE5850">
            <w:pPr>
              <w:jc w:val="right"/>
              <w:rPr>
                <w:sz w:val="20"/>
              </w:rPr>
            </w:pPr>
            <w:r w:rsidRPr="006876C6">
              <w:rPr>
                <w:sz w:val="20"/>
              </w:rPr>
              <w:t>9,370</w:t>
            </w:r>
          </w:p>
        </w:tc>
        <w:tc>
          <w:tcPr>
            <w:tcW w:w="735" w:type="dxa"/>
            <w:shd w:val="clear" w:color="auto" w:fill="DAEEF3"/>
            <w:tcMar>
              <w:top w:w="0" w:type="dxa"/>
              <w:left w:w="30" w:type="dxa"/>
              <w:bottom w:w="0" w:type="dxa"/>
              <w:right w:w="30" w:type="dxa"/>
            </w:tcMar>
          </w:tcPr>
          <w:p w:rsidR="004A147C" w:rsidRPr="006876C6" w:rsidRDefault="004A147C" w:rsidP="00CE5850">
            <w:pPr>
              <w:jc w:val="right"/>
              <w:rPr>
                <w:sz w:val="20"/>
              </w:rPr>
            </w:pPr>
            <w:r w:rsidRPr="006876C6">
              <w:rPr>
                <w:sz w:val="20"/>
              </w:rPr>
              <w:t>15.8%</w:t>
            </w:r>
          </w:p>
        </w:tc>
        <w:tc>
          <w:tcPr>
            <w:tcW w:w="1128" w:type="dxa"/>
            <w:shd w:val="clear" w:color="auto" w:fill="DAEEF3"/>
            <w:tcMar>
              <w:top w:w="0" w:type="dxa"/>
              <w:left w:w="30" w:type="dxa"/>
              <w:bottom w:w="0" w:type="dxa"/>
              <w:right w:w="30" w:type="dxa"/>
            </w:tcMar>
          </w:tcPr>
          <w:p w:rsidR="004A147C" w:rsidRPr="006876C6" w:rsidRDefault="004A147C" w:rsidP="00CE5850">
            <w:pPr>
              <w:jc w:val="right"/>
              <w:rPr>
                <w:sz w:val="20"/>
              </w:rPr>
            </w:pPr>
            <w:r w:rsidRPr="006876C6">
              <w:rPr>
                <w:sz w:val="20"/>
              </w:rPr>
              <w:t>56</w:t>
            </w:r>
          </w:p>
        </w:tc>
        <w:tc>
          <w:tcPr>
            <w:tcW w:w="867" w:type="dxa"/>
            <w:shd w:val="clear" w:color="auto" w:fill="DAEEF3"/>
            <w:tcMar>
              <w:top w:w="0" w:type="dxa"/>
              <w:left w:w="30" w:type="dxa"/>
              <w:bottom w:w="0" w:type="dxa"/>
              <w:right w:w="30" w:type="dxa"/>
            </w:tcMar>
          </w:tcPr>
          <w:p w:rsidR="004A147C" w:rsidRPr="006876C6" w:rsidRDefault="004A147C" w:rsidP="00CE5850">
            <w:pPr>
              <w:jc w:val="right"/>
              <w:rPr>
                <w:sz w:val="20"/>
              </w:rPr>
            </w:pPr>
            <w:r w:rsidRPr="006876C6">
              <w:rPr>
                <w:sz w:val="20"/>
              </w:rPr>
              <w:t>1.7%</w:t>
            </w:r>
          </w:p>
        </w:tc>
        <w:tc>
          <w:tcPr>
            <w:tcW w:w="1088" w:type="dxa"/>
            <w:shd w:val="clear" w:color="auto" w:fill="DAEEF3"/>
          </w:tcPr>
          <w:p w:rsidR="004A147C" w:rsidRPr="006876C6" w:rsidRDefault="004A147C" w:rsidP="00CE5850">
            <w:pPr>
              <w:jc w:val="right"/>
              <w:rPr>
                <w:sz w:val="20"/>
              </w:rPr>
            </w:pPr>
            <w:r w:rsidRPr="006876C6">
              <w:rPr>
                <w:sz w:val="20"/>
              </w:rPr>
              <w:t>184</w:t>
            </w:r>
          </w:p>
        </w:tc>
        <w:tc>
          <w:tcPr>
            <w:tcW w:w="932" w:type="dxa"/>
            <w:shd w:val="clear" w:color="auto" w:fill="DAEEF3"/>
          </w:tcPr>
          <w:p w:rsidR="004A147C" w:rsidRPr="006876C6" w:rsidRDefault="004A147C" w:rsidP="00CE5850">
            <w:pPr>
              <w:jc w:val="right"/>
              <w:rPr>
                <w:sz w:val="20"/>
              </w:rPr>
            </w:pPr>
            <w:r w:rsidRPr="006876C6">
              <w:rPr>
                <w:sz w:val="20"/>
              </w:rPr>
              <w:t>4.0%</w:t>
            </w:r>
          </w:p>
        </w:tc>
      </w:tr>
    </w:tbl>
    <w:p w:rsidR="00D05CB3" w:rsidRDefault="00D05CB3" w:rsidP="00CE5850">
      <w:pPr>
        <w:spacing w:after="120"/>
        <w:outlineLvl w:val="0"/>
      </w:pPr>
      <w:bookmarkStart w:id="5601" w:name="_Ref342489420"/>
      <w:bookmarkStart w:id="5602" w:name="_Toc331766376"/>
      <w:bookmarkStart w:id="5603" w:name="_Toc332119180"/>
      <w:bookmarkStart w:id="5604" w:name="_Toc334088848"/>
      <w:bookmarkStart w:id="5605" w:name="_Toc334089084"/>
      <w:bookmarkStart w:id="5606" w:name="_Toc334089243"/>
      <w:bookmarkStart w:id="5607" w:name="_Toc334089354"/>
      <w:bookmarkStart w:id="5608" w:name="_Toc334089518"/>
      <w:bookmarkStart w:id="5609" w:name="_Toc336268660"/>
      <w:bookmarkStart w:id="5610" w:name="_Toc336268768"/>
      <w:bookmarkStart w:id="5611" w:name="_Toc336268875"/>
      <w:bookmarkStart w:id="5612" w:name="_Toc336269089"/>
      <w:bookmarkStart w:id="5613" w:name="_Toc336269196"/>
      <w:bookmarkStart w:id="5614" w:name="_Toc336269564"/>
      <w:bookmarkStart w:id="5615" w:name="_Toc336269710"/>
      <w:bookmarkStart w:id="5616" w:name="_Toc336270123"/>
    </w:p>
    <w:bookmarkEnd w:id="5601"/>
    <w:bookmarkEnd w:id="5602"/>
    <w:bookmarkEnd w:id="5603"/>
    <w:bookmarkEnd w:id="5604"/>
    <w:bookmarkEnd w:id="5605"/>
    <w:bookmarkEnd w:id="5606"/>
    <w:bookmarkEnd w:id="5607"/>
    <w:bookmarkEnd w:id="5608"/>
    <w:bookmarkEnd w:id="5609"/>
    <w:bookmarkEnd w:id="5610"/>
    <w:bookmarkEnd w:id="5611"/>
    <w:bookmarkEnd w:id="5612"/>
    <w:bookmarkEnd w:id="5613"/>
    <w:bookmarkEnd w:id="5614"/>
    <w:bookmarkEnd w:id="5615"/>
    <w:bookmarkEnd w:id="5616"/>
    <w:p w:rsidR="00D05CB3" w:rsidRPr="00D05CB3" w:rsidRDefault="00D05CB3" w:rsidP="00CE5850">
      <w:pPr>
        <w:pStyle w:val="Caption"/>
        <w:widowControl w:val="0"/>
        <w:jc w:val="center"/>
        <w:rPr>
          <w:bCs w:val="0"/>
          <w:szCs w:val="22"/>
        </w:rPr>
      </w:pPr>
      <w:r w:rsidRPr="00D05CB3">
        <w:rPr>
          <w:sz w:val="22"/>
          <w:szCs w:val="22"/>
        </w:rPr>
        <w:t xml:space="preserve">Table </w:t>
      </w:r>
      <w:r w:rsidRPr="00D05CB3">
        <w:rPr>
          <w:sz w:val="22"/>
          <w:szCs w:val="22"/>
        </w:rPr>
        <w:fldChar w:fldCharType="begin"/>
      </w:r>
      <w:r w:rsidRPr="00D05CB3">
        <w:rPr>
          <w:sz w:val="22"/>
          <w:szCs w:val="22"/>
        </w:rPr>
        <w:instrText xml:space="preserve"> SEQ Table \* ARABIC </w:instrText>
      </w:r>
      <w:r w:rsidRPr="00D05CB3">
        <w:rPr>
          <w:sz w:val="22"/>
          <w:szCs w:val="22"/>
        </w:rPr>
        <w:fldChar w:fldCharType="separate"/>
      </w:r>
      <w:r w:rsidR="00CA3AC6">
        <w:rPr>
          <w:noProof/>
          <w:sz w:val="22"/>
          <w:szCs w:val="22"/>
        </w:rPr>
        <w:t>61</w:t>
      </w:r>
      <w:r w:rsidRPr="00D05CB3">
        <w:rPr>
          <w:sz w:val="22"/>
          <w:szCs w:val="22"/>
        </w:rPr>
        <w:fldChar w:fldCharType="end"/>
      </w:r>
      <w:r w:rsidRPr="00D05CB3">
        <w:rPr>
          <w:bCs w:val="0"/>
          <w:sz w:val="22"/>
          <w:szCs w:val="22"/>
        </w:rPr>
        <w:br/>
        <w:t>Estimated Mobile Broadband Coverage in Non-Rural Areas by Census Block, Jan. 2012</w:t>
      </w:r>
      <w:r w:rsidRPr="00D05CB3">
        <w:rPr>
          <w:szCs w:val="22"/>
          <w:vertAlign w:val="superscript"/>
        </w:rPr>
        <w:footnoteReference w:id="1198"/>
      </w:r>
    </w:p>
    <w:tbl>
      <w:tblPr>
        <w:tblW w:w="0" w:type="auto"/>
        <w:jc w:val="center"/>
        <w:tblInd w:w="-1375"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0" w:type="dxa"/>
          <w:right w:w="0" w:type="dxa"/>
        </w:tblCellMar>
        <w:tblLook w:val="00A0" w:firstRow="1" w:lastRow="0" w:firstColumn="1" w:lastColumn="0" w:noHBand="0" w:noVBand="0"/>
      </w:tblPr>
      <w:tblGrid>
        <w:gridCol w:w="1315"/>
        <w:gridCol w:w="1253"/>
        <w:gridCol w:w="1733"/>
        <w:gridCol w:w="748"/>
        <w:gridCol w:w="1128"/>
        <w:gridCol w:w="885"/>
        <w:gridCol w:w="1088"/>
        <w:gridCol w:w="963"/>
      </w:tblGrid>
      <w:tr w:rsidR="00D05CB3" w:rsidRPr="00B53FFB" w:rsidTr="005B380F">
        <w:trPr>
          <w:trHeight w:val="692"/>
          <w:jc w:val="center"/>
        </w:trPr>
        <w:tc>
          <w:tcPr>
            <w:tcW w:w="1315" w:type="dxa"/>
            <w:shd w:val="clear" w:color="auto" w:fill="DAEEF3"/>
            <w:tcMar>
              <w:top w:w="0" w:type="dxa"/>
              <w:left w:w="30" w:type="dxa"/>
              <w:bottom w:w="0" w:type="dxa"/>
              <w:right w:w="30" w:type="dxa"/>
            </w:tcMar>
          </w:tcPr>
          <w:p w:rsidR="00D05CB3" w:rsidRPr="007D38C2" w:rsidRDefault="00D05CB3" w:rsidP="00CE5850">
            <w:pPr>
              <w:snapToGrid w:val="0"/>
              <w:jc w:val="center"/>
              <w:rPr>
                <w:b/>
                <w:bCs/>
                <w:iCs/>
                <w:sz w:val="20"/>
              </w:rPr>
            </w:pPr>
            <w:r w:rsidRPr="007D38C2">
              <w:rPr>
                <w:b/>
                <w:bCs/>
                <w:iCs/>
                <w:sz w:val="20"/>
              </w:rPr>
              <w:t>Total Number of Providers with Coverage in a Block</w:t>
            </w:r>
          </w:p>
        </w:tc>
        <w:tc>
          <w:tcPr>
            <w:tcW w:w="1253" w:type="dxa"/>
            <w:shd w:val="clear" w:color="auto" w:fill="DAEEF3"/>
            <w:tcMar>
              <w:top w:w="0" w:type="dxa"/>
              <w:left w:w="30" w:type="dxa"/>
              <w:bottom w:w="0" w:type="dxa"/>
              <w:right w:w="30" w:type="dxa"/>
            </w:tcMar>
          </w:tcPr>
          <w:p w:rsidR="00D05CB3" w:rsidRPr="007D38C2" w:rsidRDefault="00D05CB3" w:rsidP="00CE5850">
            <w:pPr>
              <w:snapToGrid w:val="0"/>
              <w:jc w:val="center"/>
              <w:rPr>
                <w:b/>
                <w:bCs/>
                <w:iCs/>
                <w:sz w:val="20"/>
              </w:rPr>
            </w:pPr>
            <w:r w:rsidRPr="007D38C2">
              <w:rPr>
                <w:b/>
                <w:bCs/>
                <w:iCs/>
                <w:sz w:val="20"/>
              </w:rPr>
              <w:t>Number of Non-Rural Census Blocks</w:t>
            </w:r>
          </w:p>
          <w:p w:rsidR="00D05CB3" w:rsidRPr="007D38C2" w:rsidRDefault="00D05CB3" w:rsidP="00CE5850">
            <w:pPr>
              <w:snapToGrid w:val="0"/>
              <w:jc w:val="center"/>
              <w:rPr>
                <w:b/>
                <w:bCs/>
                <w:iCs/>
                <w:sz w:val="20"/>
              </w:rPr>
            </w:pPr>
            <w:r w:rsidRPr="007D38C2">
              <w:rPr>
                <w:b/>
                <w:bCs/>
                <w:iCs/>
                <w:sz w:val="20"/>
              </w:rPr>
              <w:t>(Thousands)</w:t>
            </w:r>
          </w:p>
        </w:tc>
        <w:tc>
          <w:tcPr>
            <w:tcW w:w="1733" w:type="dxa"/>
            <w:shd w:val="clear" w:color="auto" w:fill="DAEEF3"/>
            <w:tcMar>
              <w:top w:w="0" w:type="dxa"/>
              <w:left w:w="30" w:type="dxa"/>
              <w:bottom w:w="0" w:type="dxa"/>
              <w:right w:w="30" w:type="dxa"/>
            </w:tcMar>
          </w:tcPr>
          <w:p w:rsidR="00D05CB3" w:rsidRPr="007D38C2" w:rsidRDefault="00D05CB3" w:rsidP="00CE5850">
            <w:pPr>
              <w:snapToGrid w:val="0"/>
              <w:jc w:val="center"/>
              <w:rPr>
                <w:b/>
                <w:bCs/>
                <w:iCs/>
                <w:sz w:val="20"/>
              </w:rPr>
            </w:pPr>
            <w:r w:rsidRPr="007D38C2">
              <w:rPr>
                <w:b/>
                <w:bCs/>
                <w:iCs/>
                <w:sz w:val="20"/>
              </w:rPr>
              <w:t xml:space="preserve">POPs Contained in Non-Rural Census Blocks </w:t>
            </w:r>
          </w:p>
          <w:p w:rsidR="00D05CB3" w:rsidRPr="007D38C2" w:rsidRDefault="00D05CB3" w:rsidP="00CE5850">
            <w:pPr>
              <w:snapToGrid w:val="0"/>
              <w:jc w:val="center"/>
              <w:rPr>
                <w:b/>
                <w:bCs/>
                <w:iCs/>
                <w:sz w:val="20"/>
              </w:rPr>
            </w:pPr>
            <w:r w:rsidRPr="007D38C2">
              <w:rPr>
                <w:b/>
                <w:bCs/>
                <w:iCs/>
                <w:sz w:val="20"/>
              </w:rPr>
              <w:t>(Thousands)</w:t>
            </w:r>
          </w:p>
        </w:tc>
        <w:tc>
          <w:tcPr>
            <w:tcW w:w="748" w:type="dxa"/>
            <w:shd w:val="clear" w:color="auto" w:fill="DAEEF3"/>
            <w:tcMar>
              <w:top w:w="0" w:type="dxa"/>
              <w:left w:w="30" w:type="dxa"/>
              <w:bottom w:w="0" w:type="dxa"/>
              <w:right w:w="30" w:type="dxa"/>
            </w:tcMar>
          </w:tcPr>
          <w:p w:rsidR="00D05CB3" w:rsidRPr="007D38C2" w:rsidRDefault="00D05CB3" w:rsidP="00CE5850">
            <w:pPr>
              <w:snapToGrid w:val="0"/>
              <w:jc w:val="center"/>
              <w:rPr>
                <w:b/>
                <w:bCs/>
                <w:iCs/>
                <w:sz w:val="20"/>
              </w:rPr>
            </w:pPr>
            <w:r w:rsidRPr="007D38C2">
              <w:rPr>
                <w:b/>
                <w:bCs/>
                <w:iCs/>
                <w:sz w:val="20"/>
              </w:rPr>
              <w:t>% of Total Non-Rural U.S. POPs</w:t>
            </w:r>
          </w:p>
        </w:tc>
        <w:tc>
          <w:tcPr>
            <w:tcW w:w="1105" w:type="dxa"/>
            <w:shd w:val="clear" w:color="auto" w:fill="DAEEF3"/>
            <w:tcMar>
              <w:top w:w="0" w:type="dxa"/>
              <w:left w:w="30" w:type="dxa"/>
              <w:bottom w:w="0" w:type="dxa"/>
              <w:right w:w="30" w:type="dxa"/>
            </w:tcMar>
          </w:tcPr>
          <w:p w:rsidR="00D05CB3" w:rsidRPr="007D38C2" w:rsidRDefault="00D05CB3" w:rsidP="00CE5850">
            <w:pPr>
              <w:snapToGrid w:val="0"/>
              <w:jc w:val="center"/>
              <w:rPr>
                <w:b/>
                <w:bCs/>
                <w:iCs/>
                <w:sz w:val="20"/>
              </w:rPr>
            </w:pPr>
            <w:r w:rsidRPr="007D38C2">
              <w:rPr>
                <w:b/>
                <w:bCs/>
                <w:iCs/>
                <w:sz w:val="20"/>
              </w:rPr>
              <w:t xml:space="preserve">Square Miles Contained in Those Blocks </w:t>
            </w:r>
          </w:p>
          <w:p w:rsidR="00D05CB3" w:rsidRPr="007D38C2" w:rsidRDefault="00D05CB3" w:rsidP="00CE5850">
            <w:pPr>
              <w:snapToGrid w:val="0"/>
              <w:jc w:val="center"/>
              <w:rPr>
                <w:b/>
                <w:bCs/>
                <w:iCs/>
                <w:sz w:val="20"/>
              </w:rPr>
            </w:pPr>
            <w:r w:rsidRPr="007D38C2">
              <w:rPr>
                <w:b/>
                <w:bCs/>
                <w:iCs/>
                <w:sz w:val="20"/>
              </w:rPr>
              <w:t>(Thousands)</w:t>
            </w:r>
          </w:p>
        </w:tc>
        <w:tc>
          <w:tcPr>
            <w:tcW w:w="885" w:type="dxa"/>
            <w:shd w:val="clear" w:color="auto" w:fill="DAEEF3"/>
            <w:tcMar>
              <w:top w:w="0" w:type="dxa"/>
              <w:left w:w="30" w:type="dxa"/>
              <w:bottom w:w="0" w:type="dxa"/>
              <w:right w:w="30" w:type="dxa"/>
            </w:tcMar>
          </w:tcPr>
          <w:p w:rsidR="00D05CB3" w:rsidRPr="007D38C2" w:rsidRDefault="00D05CB3" w:rsidP="00CE5850">
            <w:pPr>
              <w:snapToGrid w:val="0"/>
              <w:jc w:val="center"/>
              <w:rPr>
                <w:b/>
                <w:bCs/>
                <w:iCs/>
                <w:sz w:val="20"/>
              </w:rPr>
            </w:pPr>
            <w:r w:rsidRPr="007D38C2">
              <w:rPr>
                <w:b/>
                <w:bCs/>
                <w:iCs/>
                <w:sz w:val="20"/>
              </w:rPr>
              <w:t>% of Total Non-Rural U.S. Square Miles</w:t>
            </w:r>
          </w:p>
        </w:tc>
        <w:tc>
          <w:tcPr>
            <w:tcW w:w="1065" w:type="dxa"/>
            <w:shd w:val="clear" w:color="auto" w:fill="DAEEF3"/>
          </w:tcPr>
          <w:p w:rsidR="00D05CB3" w:rsidRPr="007D38C2" w:rsidRDefault="00D05CB3" w:rsidP="00CE5850">
            <w:pPr>
              <w:snapToGrid w:val="0"/>
              <w:jc w:val="center"/>
              <w:rPr>
                <w:b/>
                <w:bCs/>
                <w:iCs/>
                <w:sz w:val="20"/>
              </w:rPr>
            </w:pPr>
            <w:r w:rsidRPr="007D38C2">
              <w:rPr>
                <w:b/>
                <w:bCs/>
                <w:iCs/>
                <w:sz w:val="20"/>
              </w:rPr>
              <w:t>Road Miles Contained in Those Blocks (Thousands)</w:t>
            </w:r>
          </w:p>
        </w:tc>
        <w:tc>
          <w:tcPr>
            <w:tcW w:w="963" w:type="dxa"/>
            <w:shd w:val="clear" w:color="auto" w:fill="DAEEF3"/>
          </w:tcPr>
          <w:p w:rsidR="00D05CB3" w:rsidRPr="007D38C2" w:rsidRDefault="00D05CB3" w:rsidP="00CE5850">
            <w:pPr>
              <w:snapToGrid w:val="0"/>
              <w:jc w:val="center"/>
              <w:rPr>
                <w:b/>
                <w:bCs/>
                <w:iCs/>
                <w:sz w:val="20"/>
              </w:rPr>
            </w:pPr>
            <w:r w:rsidRPr="007D38C2">
              <w:rPr>
                <w:b/>
                <w:bCs/>
                <w:iCs/>
                <w:sz w:val="20"/>
              </w:rPr>
              <w:t>% of Total Non-Rural U.S. Road Miles</w:t>
            </w:r>
          </w:p>
        </w:tc>
      </w:tr>
      <w:tr w:rsidR="00D05CB3" w:rsidRPr="00B53FFB" w:rsidTr="005B380F">
        <w:trPr>
          <w:trHeight w:val="245"/>
          <w:jc w:val="center"/>
        </w:trPr>
        <w:tc>
          <w:tcPr>
            <w:tcW w:w="1315" w:type="dxa"/>
            <w:shd w:val="clear" w:color="auto" w:fill="DAEEF3"/>
            <w:tcMar>
              <w:top w:w="0" w:type="dxa"/>
              <w:left w:w="30" w:type="dxa"/>
              <w:bottom w:w="0" w:type="dxa"/>
              <w:right w:w="30" w:type="dxa"/>
            </w:tcMar>
          </w:tcPr>
          <w:p w:rsidR="00D05CB3" w:rsidRPr="007D38C2" w:rsidRDefault="00D05CB3" w:rsidP="00CE5850">
            <w:pPr>
              <w:snapToGrid w:val="0"/>
              <w:rPr>
                <w:sz w:val="20"/>
              </w:rPr>
            </w:pPr>
            <w:r w:rsidRPr="007D38C2">
              <w:rPr>
                <w:sz w:val="20"/>
              </w:rPr>
              <w:t>1 or More</w:t>
            </w:r>
          </w:p>
        </w:tc>
        <w:tc>
          <w:tcPr>
            <w:tcW w:w="1253" w:type="dxa"/>
            <w:shd w:val="clear" w:color="auto" w:fill="DAEEF3"/>
            <w:tcMar>
              <w:top w:w="0" w:type="dxa"/>
              <w:left w:w="30" w:type="dxa"/>
              <w:bottom w:w="0" w:type="dxa"/>
              <w:right w:w="30" w:type="dxa"/>
            </w:tcMar>
            <w:vAlign w:val="bottom"/>
          </w:tcPr>
          <w:p w:rsidR="00D05CB3" w:rsidRPr="007D38C2" w:rsidRDefault="00D05CB3" w:rsidP="00CE5850">
            <w:pPr>
              <w:snapToGrid w:val="0"/>
              <w:jc w:val="right"/>
              <w:rPr>
                <w:sz w:val="20"/>
              </w:rPr>
            </w:pPr>
            <w:r w:rsidRPr="007D38C2">
              <w:rPr>
                <w:sz w:val="20"/>
              </w:rPr>
              <w:t xml:space="preserve">              5,730 </w:t>
            </w:r>
          </w:p>
        </w:tc>
        <w:tc>
          <w:tcPr>
            <w:tcW w:w="1733" w:type="dxa"/>
            <w:shd w:val="clear" w:color="auto" w:fill="DAEEF3"/>
            <w:tcMar>
              <w:top w:w="0" w:type="dxa"/>
              <w:left w:w="30" w:type="dxa"/>
              <w:bottom w:w="0" w:type="dxa"/>
              <w:right w:w="30" w:type="dxa"/>
            </w:tcMar>
            <w:vAlign w:val="bottom"/>
          </w:tcPr>
          <w:p w:rsidR="00D05CB3" w:rsidRPr="007D38C2" w:rsidRDefault="00D05CB3" w:rsidP="00CE5850">
            <w:pPr>
              <w:snapToGrid w:val="0"/>
              <w:jc w:val="right"/>
              <w:rPr>
                <w:sz w:val="20"/>
              </w:rPr>
            </w:pPr>
            <w:r w:rsidRPr="007D38C2">
              <w:rPr>
                <w:sz w:val="20"/>
              </w:rPr>
              <w:t xml:space="preserve">            253,095 </w:t>
            </w:r>
          </w:p>
        </w:tc>
        <w:tc>
          <w:tcPr>
            <w:tcW w:w="748" w:type="dxa"/>
            <w:shd w:val="clear" w:color="auto" w:fill="DAEEF3"/>
            <w:tcMar>
              <w:top w:w="0" w:type="dxa"/>
              <w:left w:w="30" w:type="dxa"/>
              <w:bottom w:w="0" w:type="dxa"/>
              <w:right w:w="30" w:type="dxa"/>
            </w:tcMar>
            <w:vAlign w:val="bottom"/>
          </w:tcPr>
          <w:p w:rsidR="00D05CB3" w:rsidRPr="007D38C2" w:rsidRDefault="00D05CB3" w:rsidP="00CE5850">
            <w:pPr>
              <w:snapToGrid w:val="0"/>
              <w:jc w:val="right"/>
              <w:rPr>
                <w:sz w:val="20"/>
              </w:rPr>
            </w:pPr>
            <w:r w:rsidRPr="007D38C2">
              <w:rPr>
                <w:sz w:val="20"/>
              </w:rPr>
              <w:t>99.9%</w:t>
            </w:r>
          </w:p>
        </w:tc>
        <w:tc>
          <w:tcPr>
            <w:tcW w:w="1105" w:type="dxa"/>
            <w:shd w:val="clear" w:color="auto" w:fill="DAEEF3"/>
            <w:tcMar>
              <w:top w:w="0" w:type="dxa"/>
              <w:left w:w="30" w:type="dxa"/>
              <w:bottom w:w="0" w:type="dxa"/>
              <w:right w:w="30" w:type="dxa"/>
            </w:tcMar>
            <w:vAlign w:val="bottom"/>
          </w:tcPr>
          <w:p w:rsidR="00D05CB3" w:rsidRPr="007D38C2" w:rsidRDefault="00D05CB3" w:rsidP="00CE5850">
            <w:pPr>
              <w:snapToGrid w:val="0"/>
              <w:jc w:val="right"/>
              <w:rPr>
                <w:sz w:val="20"/>
              </w:rPr>
            </w:pPr>
            <w:r w:rsidRPr="007D38C2">
              <w:rPr>
                <w:sz w:val="20"/>
              </w:rPr>
              <w:t xml:space="preserve">          531 </w:t>
            </w:r>
          </w:p>
        </w:tc>
        <w:tc>
          <w:tcPr>
            <w:tcW w:w="885" w:type="dxa"/>
            <w:shd w:val="clear" w:color="auto" w:fill="DAEEF3"/>
            <w:tcMar>
              <w:top w:w="0" w:type="dxa"/>
              <w:left w:w="30" w:type="dxa"/>
              <w:bottom w:w="0" w:type="dxa"/>
              <w:right w:w="30" w:type="dxa"/>
            </w:tcMar>
            <w:vAlign w:val="bottom"/>
          </w:tcPr>
          <w:p w:rsidR="00D05CB3" w:rsidRPr="007D38C2" w:rsidRDefault="00D05CB3" w:rsidP="00CE5850">
            <w:pPr>
              <w:snapToGrid w:val="0"/>
              <w:jc w:val="right"/>
              <w:rPr>
                <w:sz w:val="20"/>
              </w:rPr>
            </w:pPr>
            <w:r w:rsidRPr="007D38C2">
              <w:rPr>
                <w:sz w:val="20"/>
              </w:rPr>
              <w:t>90.2%</w:t>
            </w:r>
          </w:p>
        </w:tc>
        <w:tc>
          <w:tcPr>
            <w:tcW w:w="1065" w:type="dxa"/>
            <w:shd w:val="clear" w:color="auto" w:fill="DAEEF3"/>
          </w:tcPr>
          <w:p w:rsidR="00D05CB3" w:rsidRPr="007D38C2" w:rsidRDefault="00D05CB3" w:rsidP="00CE5850">
            <w:pPr>
              <w:jc w:val="right"/>
              <w:rPr>
                <w:sz w:val="20"/>
              </w:rPr>
            </w:pPr>
            <w:r w:rsidRPr="007D38C2">
              <w:rPr>
                <w:sz w:val="20"/>
              </w:rPr>
              <w:t>2,192</w:t>
            </w:r>
          </w:p>
        </w:tc>
        <w:tc>
          <w:tcPr>
            <w:tcW w:w="963" w:type="dxa"/>
            <w:shd w:val="clear" w:color="auto" w:fill="DAEEF3"/>
          </w:tcPr>
          <w:p w:rsidR="00D05CB3" w:rsidRPr="007D38C2" w:rsidRDefault="00D05CB3" w:rsidP="00CE5850">
            <w:pPr>
              <w:jc w:val="right"/>
              <w:rPr>
                <w:sz w:val="20"/>
              </w:rPr>
            </w:pPr>
            <w:r w:rsidRPr="007D38C2">
              <w:rPr>
                <w:sz w:val="20"/>
              </w:rPr>
              <w:t>98.3%</w:t>
            </w:r>
          </w:p>
        </w:tc>
      </w:tr>
      <w:tr w:rsidR="00D05CB3" w:rsidRPr="00B53FFB" w:rsidTr="005B380F">
        <w:trPr>
          <w:trHeight w:val="262"/>
          <w:jc w:val="center"/>
        </w:trPr>
        <w:tc>
          <w:tcPr>
            <w:tcW w:w="1315" w:type="dxa"/>
            <w:shd w:val="clear" w:color="auto" w:fill="DAEEF3"/>
            <w:tcMar>
              <w:top w:w="0" w:type="dxa"/>
              <w:left w:w="30" w:type="dxa"/>
              <w:bottom w:w="0" w:type="dxa"/>
              <w:right w:w="30" w:type="dxa"/>
            </w:tcMar>
          </w:tcPr>
          <w:p w:rsidR="00D05CB3" w:rsidRPr="007D38C2" w:rsidRDefault="00D05CB3" w:rsidP="00CE5850">
            <w:pPr>
              <w:snapToGrid w:val="0"/>
              <w:rPr>
                <w:sz w:val="20"/>
              </w:rPr>
            </w:pPr>
            <w:r w:rsidRPr="007D38C2">
              <w:rPr>
                <w:sz w:val="20"/>
              </w:rPr>
              <w:t>2 or More</w:t>
            </w:r>
          </w:p>
        </w:tc>
        <w:tc>
          <w:tcPr>
            <w:tcW w:w="1253" w:type="dxa"/>
            <w:shd w:val="clear" w:color="auto" w:fill="DAEEF3"/>
            <w:tcMar>
              <w:top w:w="0" w:type="dxa"/>
              <w:left w:w="30" w:type="dxa"/>
              <w:bottom w:w="0" w:type="dxa"/>
              <w:right w:w="30" w:type="dxa"/>
            </w:tcMar>
            <w:vAlign w:val="bottom"/>
          </w:tcPr>
          <w:p w:rsidR="00D05CB3" w:rsidRPr="007D38C2" w:rsidRDefault="00D05CB3" w:rsidP="00CE5850">
            <w:pPr>
              <w:snapToGrid w:val="0"/>
              <w:jc w:val="right"/>
              <w:rPr>
                <w:sz w:val="20"/>
              </w:rPr>
            </w:pPr>
            <w:r w:rsidRPr="007D38C2">
              <w:rPr>
                <w:sz w:val="20"/>
              </w:rPr>
              <w:t xml:space="preserve">              5,621 </w:t>
            </w:r>
          </w:p>
        </w:tc>
        <w:tc>
          <w:tcPr>
            <w:tcW w:w="1733" w:type="dxa"/>
            <w:shd w:val="clear" w:color="auto" w:fill="DAEEF3"/>
            <w:tcMar>
              <w:top w:w="0" w:type="dxa"/>
              <w:left w:w="30" w:type="dxa"/>
              <w:bottom w:w="0" w:type="dxa"/>
              <w:right w:w="30" w:type="dxa"/>
            </w:tcMar>
            <w:vAlign w:val="bottom"/>
          </w:tcPr>
          <w:p w:rsidR="00D05CB3" w:rsidRPr="007D38C2" w:rsidRDefault="00D05CB3" w:rsidP="00CE5850">
            <w:pPr>
              <w:snapToGrid w:val="0"/>
              <w:jc w:val="right"/>
              <w:rPr>
                <w:sz w:val="20"/>
              </w:rPr>
            </w:pPr>
            <w:r w:rsidRPr="007D38C2">
              <w:rPr>
                <w:sz w:val="20"/>
              </w:rPr>
              <w:t xml:space="preserve">            251,744 </w:t>
            </w:r>
          </w:p>
        </w:tc>
        <w:tc>
          <w:tcPr>
            <w:tcW w:w="748" w:type="dxa"/>
            <w:shd w:val="clear" w:color="auto" w:fill="DAEEF3"/>
            <w:tcMar>
              <w:top w:w="0" w:type="dxa"/>
              <w:left w:w="30" w:type="dxa"/>
              <w:bottom w:w="0" w:type="dxa"/>
              <w:right w:w="30" w:type="dxa"/>
            </w:tcMar>
            <w:vAlign w:val="bottom"/>
          </w:tcPr>
          <w:p w:rsidR="00D05CB3" w:rsidRPr="007D38C2" w:rsidRDefault="00D05CB3" w:rsidP="00CE5850">
            <w:pPr>
              <w:snapToGrid w:val="0"/>
              <w:jc w:val="right"/>
              <w:rPr>
                <w:sz w:val="20"/>
              </w:rPr>
            </w:pPr>
            <w:r w:rsidRPr="007D38C2">
              <w:rPr>
                <w:sz w:val="20"/>
              </w:rPr>
              <w:t>99.4%</w:t>
            </w:r>
          </w:p>
        </w:tc>
        <w:tc>
          <w:tcPr>
            <w:tcW w:w="1105" w:type="dxa"/>
            <w:shd w:val="clear" w:color="auto" w:fill="DAEEF3"/>
            <w:tcMar>
              <w:top w:w="0" w:type="dxa"/>
              <w:left w:w="30" w:type="dxa"/>
              <w:bottom w:w="0" w:type="dxa"/>
              <w:right w:w="30" w:type="dxa"/>
            </w:tcMar>
            <w:vAlign w:val="bottom"/>
          </w:tcPr>
          <w:p w:rsidR="00D05CB3" w:rsidRPr="007D38C2" w:rsidRDefault="00D05CB3" w:rsidP="00CE5850">
            <w:pPr>
              <w:snapToGrid w:val="0"/>
              <w:jc w:val="right"/>
              <w:rPr>
                <w:sz w:val="20"/>
              </w:rPr>
            </w:pPr>
            <w:r w:rsidRPr="007D38C2">
              <w:rPr>
                <w:sz w:val="20"/>
              </w:rPr>
              <w:t>          483</w:t>
            </w:r>
          </w:p>
        </w:tc>
        <w:tc>
          <w:tcPr>
            <w:tcW w:w="885" w:type="dxa"/>
            <w:shd w:val="clear" w:color="auto" w:fill="DAEEF3"/>
            <w:tcMar>
              <w:top w:w="0" w:type="dxa"/>
              <w:left w:w="30" w:type="dxa"/>
              <w:bottom w:w="0" w:type="dxa"/>
              <w:right w:w="30" w:type="dxa"/>
            </w:tcMar>
            <w:vAlign w:val="bottom"/>
          </w:tcPr>
          <w:p w:rsidR="00D05CB3" w:rsidRPr="007D38C2" w:rsidRDefault="00D05CB3" w:rsidP="00CE5850">
            <w:pPr>
              <w:snapToGrid w:val="0"/>
              <w:jc w:val="right"/>
              <w:rPr>
                <w:sz w:val="20"/>
              </w:rPr>
            </w:pPr>
            <w:r w:rsidRPr="007D38C2">
              <w:rPr>
                <w:sz w:val="20"/>
              </w:rPr>
              <w:t>82.0%</w:t>
            </w:r>
          </w:p>
        </w:tc>
        <w:tc>
          <w:tcPr>
            <w:tcW w:w="1065" w:type="dxa"/>
            <w:shd w:val="clear" w:color="auto" w:fill="DAEEF3"/>
          </w:tcPr>
          <w:p w:rsidR="00D05CB3" w:rsidRPr="007D38C2" w:rsidRDefault="00D05CB3" w:rsidP="00CE5850">
            <w:pPr>
              <w:jc w:val="right"/>
              <w:rPr>
                <w:sz w:val="20"/>
              </w:rPr>
            </w:pPr>
            <w:r w:rsidRPr="007D38C2">
              <w:rPr>
                <w:sz w:val="20"/>
              </w:rPr>
              <w:t>2,104</w:t>
            </w:r>
          </w:p>
        </w:tc>
        <w:tc>
          <w:tcPr>
            <w:tcW w:w="963" w:type="dxa"/>
            <w:shd w:val="clear" w:color="auto" w:fill="DAEEF3"/>
          </w:tcPr>
          <w:p w:rsidR="00D05CB3" w:rsidRPr="007D38C2" w:rsidRDefault="00D05CB3" w:rsidP="00CE5850">
            <w:pPr>
              <w:jc w:val="right"/>
              <w:rPr>
                <w:sz w:val="20"/>
              </w:rPr>
            </w:pPr>
            <w:r w:rsidRPr="007D38C2">
              <w:rPr>
                <w:sz w:val="20"/>
              </w:rPr>
              <w:t>94.3%</w:t>
            </w:r>
          </w:p>
        </w:tc>
      </w:tr>
      <w:tr w:rsidR="00D05CB3" w:rsidRPr="00B53FFB" w:rsidTr="005B380F">
        <w:trPr>
          <w:trHeight w:val="262"/>
          <w:jc w:val="center"/>
        </w:trPr>
        <w:tc>
          <w:tcPr>
            <w:tcW w:w="1315" w:type="dxa"/>
            <w:shd w:val="clear" w:color="auto" w:fill="DAEEF3"/>
            <w:tcMar>
              <w:top w:w="0" w:type="dxa"/>
              <w:left w:w="30" w:type="dxa"/>
              <w:bottom w:w="0" w:type="dxa"/>
              <w:right w:w="30" w:type="dxa"/>
            </w:tcMar>
          </w:tcPr>
          <w:p w:rsidR="00D05CB3" w:rsidRPr="007D38C2" w:rsidRDefault="00D05CB3" w:rsidP="00CE5850">
            <w:pPr>
              <w:snapToGrid w:val="0"/>
              <w:rPr>
                <w:sz w:val="20"/>
              </w:rPr>
            </w:pPr>
            <w:r w:rsidRPr="007D38C2">
              <w:rPr>
                <w:sz w:val="20"/>
              </w:rPr>
              <w:t>3 or More</w:t>
            </w:r>
          </w:p>
        </w:tc>
        <w:tc>
          <w:tcPr>
            <w:tcW w:w="1253" w:type="dxa"/>
            <w:shd w:val="clear" w:color="auto" w:fill="DAEEF3"/>
            <w:tcMar>
              <w:top w:w="0" w:type="dxa"/>
              <w:left w:w="30" w:type="dxa"/>
              <w:bottom w:w="0" w:type="dxa"/>
              <w:right w:w="30" w:type="dxa"/>
            </w:tcMar>
            <w:vAlign w:val="bottom"/>
          </w:tcPr>
          <w:p w:rsidR="00D05CB3" w:rsidRPr="007D38C2" w:rsidRDefault="00D05CB3" w:rsidP="00CE5850">
            <w:pPr>
              <w:snapToGrid w:val="0"/>
              <w:jc w:val="right"/>
              <w:rPr>
                <w:sz w:val="20"/>
              </w:rPr>
            </w:pPr>
            <w:r w:rsidRPr="007D38C2">
              <w:rPr>
                <w:sz w:val="20"/>
              </w:rPr>
              <w:t xml:space="preserve">              5,281 </w:t>
            </w:r>
          </w:p>
        </w:tc>
        <w:tc>
          <w:tcPr>
            <w:tcW w:w="1733" w:type="dxa"/>
            <w:shd w:val="clear" w:color="auto" w:fill="DAEEF3"/>
            <w:tcMar>
              <w:top w:w="0" w:type="dxa"/>
              <w:left w:w="30" w:type="dxa"/>
              <w:bottom w:w="0" w:type="dxa"/>
              <w:right w:w="30" w:type="dxa"/>
            </w:tcMar>
            <w:vAlign w:val="bottom"/>
          </w:tcPr>
          <w:p w:rsidR="00D05CB3" w:rsidRPr="007D38C2" w:rsidRDefault="00D05CB3" w:rsidP="00CE5850">
            <w:pPr>
              <w:snapToGrid w:val="0"/>
              <w:jc w:val="right"/>
              <w:rPr>
                <w:sz w:val="20"/>
              </w:rPr>
            </w:pPr>
            <w:r w:rsidRPr="007D38C2">
              <w:rPr>
                <w:sz w:val="20"/>
              </w:rPr>
              <w:t xml:space="preserve">             245,572 </w:t>
            </w:r>
          </w:p>
        </w:tc>
        <w:tc>
          <w:tcPr>
            <w:tcW w:w="748" w:type="dxa"/>
            <w:shd w:val="clear" w:color="auto" w:fill="DAEEF3"/>
            <w:tcMar>
              <w:top w:w="0" w:type="dxa"/>
              <w:left w:w="30" w:type="dxa"/>
              <w:bottom w:w="0" w:type="dxa"/>
              <w:right w:w="30" w:type="dxa"/>
            </w:tcMar>
            <w:vAlign w:val="bottom"/>
          </w:tcPr>
          <w:p w:rsidR="00D05CB3" w:rsidRPr="007D38C2" w:rsidRDefault="00D05CB3" w:rsidP="00CE5850">
            <w:pPr>
              <w:snapToGrid w:val="0"/>
              <w:jc w:val="right"/>
              <w:rPr>
                <w:sz w:val="20"/>
              </w:rPr>
            </w:pPr>
            <w:r w:rsidRPr="007D38C2">
              <w:rPr>
                <w:sz w:val="20"/>
              </w:rPr>
              <w:t>96.9%</w:t>
            </w:r>
          </w:p>
        </w:tc>
        <w:tc>
          <w:tcPr>
            <w:tcW w:w="1105" w:type="dxa"/>
            <w:shd w:val="clear" w:color="auto" w:fill="DAEEF3"/>
            <w:tcMar>
              <w:top w:w="0" w:type="dxa"/>
              <w:left w:w="30" w:type="dxa"/>
              <w:bottom w:w="0" w:type="dxa"/>
              <w:right w:w="30" w:type="dxa"/>
            </w:tcMar>
            <w:vAlign w:val="bottom"/>
          </w:tcPr>
          <w:p w:rsidR="00D05CB3" w:rsidRPr="007D38C2" w:rsidRDefault="00D05CB3" w:rsidP="00CE5850">
            <w:pPr>
              <w:snapToGrid w:val="0"/>
              <w:jc w:val="right"/>
              <w:rPr>
                <w:sz w:val="20"/>
              </w:rPr>
            </w:pPr>
            <w:r w:rsidRPr="007D38C2">
              <w:rPr>
                <w:sz w:val="20"/>
              </w:rPr>
              <w:t xml:space="preserve">          383 </w:t>
            </w:r>
          </w:p>
        </w:tc>
        <w:tc>
          <w:tcPr>
            <w:tcW w:w="885" w:type="dxa"/>
            <w:shd w:val="clear" w:color="auto" w:fill="DAEEF3"/>
            <w:tcMar>
              <w:top w:w="0" w:type="dxa"/>
              <w:left w:w="30" w:type="dxa"/>
              <w:bottom w:w="0" w:type="dxa"/>
              <w:right w:w="30" w:type="dxa"/>
            </w:tcMar>
            <w:vAlign w:val="bottom"/>
          </w:tcPr>
          <w:p w:rsidR="00D05CB3" w:rsidRPr="007D38C2" w:rsidRDefault="00D05CB3" w:rsidP="00CE5850">
            <w:pPr>
              <w:snapToGrid w:val="0"/>
              <w:jc w:val="right"/>
              <w:rPr>
                <w:sz w:val="20"/>
              </w:rPr>
            </w:pPr>
            <w:r w:rsidRPr="007D38C2">
              <w:rPr>
                <w:sz w:val="20"/>
              </w:rPr>
              <w:t>65.1%</w:t>
            </w:r>
          </w:p>
        </w:tc>
        <w:tc>
          <w:tcPr>
            <w:tcW w:w="1065" w:type="dxa"/>
            <w:shd w:val="clear" w:color="auto" w:fill="DAEEF3"/>
          </w:tcPr>
          <w:p w:rsidR="00D05CB3" w:rsidRPr="007D38C2" w:rsidRDefault="00D05CB3" w:rsidP="00CE5850">
            <w:pPr>
              <w:jc w:val="right"/>
              <w:rPr>
                <w:sz w:val="20"/>
              </w:rPr>
            </w:pPr>
            <w:r w:rsidRPr="007D38C2">
              <w:rPr>
                <w:sz w:val="20"/>
              </w:rPr>
              <w:t>1,871</w:t>
            </w:r>
          </w:p>
        </w:tc>
        <w:tc>
          <w:tcPr>
            <w:tcW w:w="963" w:type="dxa"/>
            <w:shd w:val="clear" w:color="auto" w:fill="DAEEF3"/>
          </w:tcPr>
          <w:p w:rsidR="00D05CB3" w:rsidRPr="007D38C2" w:rsidRDefault="00D05CB3" w:rsidP="00CE5850">
            <w:pPr>
              <w:jc w:val="right"/>
              <w:rPr>
                <w:sz w:val="20"/>
              </w:rPr>
            </w:pPr>
            <w:r w:rsidRPr="007D38C2">
              <w:rPr>
                <w:sz w:val="20"/>
              </w:rPr>
              <w:t>83.9%</w:t>
            </w:r>
          </w:p>
        </w:tc>
      </w:tr>
      <w:tr w:rsidR="00D05CB3" w:rsidRPr="00B53FFB" w:rsidTr="005B380F">
        <w:trPr>
          <w:trHeight w:val="262"/>
          <w:jc w:val="center"/>
        </w:trPr>
        <w:tc>
          <w:tcPr>
            <w:tcW w:w="1315" w:type="dxa"/>
            <w:shd w:val="clear" w:color="auto" w:fill="DAEEF3"/>
            <w:tcMar>
              <w:top w:w="0" w:type="dxa"/>
              <w:left w:w="30" w:type="dxa"/>
              <w:bottom w:w="0" w:type="dxa"/>
              <w:right w:w="30" w:type="dxa"/>
            </w:tcMar>
          </w:tcPr>
          <w:p w:rsidR="00D05CB3" w:rsidRPr="007D38C2" w:rsidRDefault="00D05CB3" w:rsidP="00CE5850">
            <w:pPr>
              <w:snapToGrid w:val="0"/>
              <w:rPr>
                <w:sz w:val="20"/>
              </w:rPr>
            </w:pPr>
            <w:r w:rsidRPr="007D38C2">
              <w:rPr>
                <w:sz w:val="20"/>
              </w:rPr>
              <w:t>4 or More</w:t>
            </w:r>
          </w:p>
        </w:tc>
        <w:tc>
          <w:tcPr>
            <w:tcW w:w="1253" w:type="dxa"/>
            <w:shd w:val="clear" w:color="auto" w:fill="DAEEF3"/>
            <w:tcMar>
              <w:top w:w="0" w:type="dxa"/>
              <w:left w:w="30" w:type="dxa"/>
              <w:bottom w:w="0" w:type="dxa"/>
              <w:right w:w="30" w:type="dxa"/>
            </w:tcMar>
            <w:vAlign w:val="bottom"/>
          </w:tcPr>
          <w:p w:rsidR="00D05CB3" w:rsidRPr="007D38C2" w:rsidRDefault="00D05CB3" w:rsidP="00CE5850">
            <w:pPr>
              <w:snapToGrid w:val="0"/>
              <w:jc w:val="right"/>
              <w:rPr>
                <w:sz w:val="20"/>
              </w:rPr>
            </w:pPr>
            <w:r w:rsidRPr="007D38C2">
              <w:rPr>
                <w:sz w:val="20"/>
              </w:rPr>
              <w:t xml:space="preserve">              4,576 </w:t>
            </w:r>
          </w:p>
        </w:tc>
        <w:tc>
          <w:tcPr>
            <w:tcW w:w="1733" w:type="dxa"/>
            <w:shd w:val="clear" w:color="auto" w:fill="DAEEF3"/>
            <w:tcMar>
              <w:top w:w="0" w:type="dxa"/>
              <w:left w:w="30" w:type="dxa"/>
              <w:bottom w:w="0" w:type="dxa"/>
              <w:right w:w="30" w:type="dxa"/>
            </w:tcMar>
            <w:vAlign w:val="bottom"/>
          </w:tcPr>
          <w:p w:rsidR="00D05CB3" w:rsidRPr="007D38C2" w:rsidRDefault="00D05CB3" w:rsidP="00CE5850">
            <w:pPr>
              <w:snapToGrid w:val="0"/>
              <w:jc w:val="right"/>
              <w:rPr>
                <w:sz w:val="20"/>
              </w:rPr>
            </w:pPr>
            <w:r w:rsidRPr="007D38C2">
              <w:rPr>
                <w:sz w:val="20"/>
              </w:rPr>
              <w:t xml:space="preserve">            228,595 </w:t>
            </w:r>
          </w:p>
        </w:tc>
        <w:tc>
          <w:tcPr>
            <w:tcW w:w="748" w:type="dxa"/>
            <w:shd w:val="clear" w:color="auto" w:fill="DAEEF3"/>
            <w:tcMar>
              <w:top w:w="0" w:type="dxa"/>
              <w:left w:w="30" w:type="dxa"/>
              <w:bottom w:w="0" w:type="dxa"/>
              <w:right w:w="30" w:type="dxa"/>
            </w:tcMar>
            <w:vAlign w:val="bottom"/>
          </w:tcPr>
          <w:p w:rsidR="00D05CB3" w:rsidRPr="007D38C2" w:rsidRDefault="00D05CB3" w:rsidP="00CE5850">
            <w:pPr>
              <w:snapToGrid w:val="0"/>
              <w:jc w:val="right"/>
              <w:rPr>
                <w:sz w:val="20"/>
              </w:rPr>
            </w:pPr>
            <w:r w:rsidRPr="007D38C2">
              <w:rPr>
                <w:sz w:val="20"/>
              </w:rPr>
              <w:t>90.2%</w:t>
            </w:r>
          </w:p>
        </w:tc>
        <w:tc>
          <w:tcPr>
            <w:tcW w:w="1105" w:type="dxa"/>
            <w:shd w:val="clear" w:color="auto" w:fill="DAEEF3"/>
            <w:tcMar>
              <w:top w:w="0" w:type="dxa"/>
              <w:left w:w="30" w:type="dxa"/>
              <w:bottom w:w="0" w:type="dxa"/>
              <w:right w:w="30" w:type="dxa"/>
            </w:tcMar>
            <w:vAlign w:val="bottom"/>
          </w:tcPr>
          <w:p w:rsidR="00D05CB3" w:rsidRPr="007D38C2" w:rsidRDefault="00D05CB3" w:rsidP="00CE5850">
            <w:pPr>
              <w:snapToGrid w:val="0"/>
              <w:jc w:val="right"/>
              <w:rPr>
                <w:sz w:val="20"/>
              </w:rPr>
            </w:pPr>
            <w:r w:rsidRPr="007D38C2">
              <w:rPr>
                <w:sz w:val="20"/>
              </w:rPr>
              <w:t xml:space="preserve">           252 </w:t>
            </w:r>
          </w:p>
        </w:tc>
        <w:tc>
          <w:tcPr>
            <w:tcW w:w="885" w:type="dxa"/>
            <w:shd w:val="clear" w:color="auto" w:fill="DAEEF3"/>
            <w:tcMar>
              <w:top w:w="0" w:type="dxa"/>
              <w:left w:w="30" w:type="dxa"/>
              <w:bottom w:w="0" w:type="dxa"/>
              <w:right w:w="30" w:type="dxa"/>
            </w:tcMar>
            <w:vAlign w:val="bottom"/>
          </w:tcPr>
          <w:p w:rsidR="00D05CB3" w:rsidRPr="007D38C2" w:rsidRDefault="00D05CB3" w:rsidP="00CE5850">
            <w:pPr>
              <w:snapToGrid w:val="0"/>
              <w:jc w:val="right"/>
              <w:rPr>
                <w:sz w:val="20"/>
              </w:rPr>
            </w:pPr>
            <w:r w:rsidRPr="007D38C2">
              <w:rPr>
                <w:sz w:val="20"/>
              </w:rPr>
              <w:t>42.8%</w:t>
            </w:r>
          </w:p>
        </w:tc>
        <w:tc>
          <w:tcPr>
            <w:tcW w:w="1065" w:type="dxa"/>
            <w:shd w:val="clear" w:color="auto" w:fill="DAEEF3"/>
          </w:tcPr>
          <w:p w:rsidR="00D05CB3" w:rsidRPr="007D38C2" w:rsidRDefault="00D05CB3" w:rsidP="00CE5850">
            <w:pPr>
              <w:jc w:val="right"/>
              <w:rPr>
                <w:sz w:val="20"/>
              </w:rPr>
            </w:pPr>
            <w:r w:rsidRPr="007D38C2">
              <w:rPr>
                <w:sz w:val="20"/>
              </w:rPr>
              <w:t>1,481</w:t>
            </w:r>
          </w:p>
        </w:tc>
        <w:tc>
          <w:tcPr>
            <w:tcW w:w="963" w:type="dxa"/>
            <w:shd w:val="clear" w:color="auto" w:fill="DAEEF3"/>
          </w:tcPr>
          <w:p w:rsidR="00D05CB3" w:rsidRPr="007D38C2" w:rsidRDefault="00D05CB3" w:rsidP="00CE5850">
            <w:pPr>
              <w:jc w:val="right"/>
              <w:rPr>
                <w:sz w:val="20"/>
              </w:rPr>
            </w:pPr>
            <w:r w:rsidRPr="007D38C2">
              <w:rPr>
                <w:sz w:val="20"/>
              </w:rPr>
              <w:t>66.4%</w:t>
            </w:r>
          </w:p>
        </w:tc>
      </w:tr>
      <w:tr w:rsidR="00D05CB3" w:rsidRPr="00B53FFB" w:rsidTr="005B380F">
        <w:trPr>
          <w:trHeight w:val="262"/>
          <w:jc w:val="center"/>
        </w:trPr>
        <w:tc>
          <w:tcPr>
            <w:tcW w:w="1315" w:type="dxa"/>
            <w:shd w:val="clear" w:color="auto" w:fill="DAEEF3"/>
            <w:tcMar>
              <w:top w:w="0" w:type="dxa"/>
              <w:left w:w="30" w:type="dxa"/>
              <w:bottom w:w="0" w:type="dxa"/>
              <w:right w:w="30" w:type="dxa"/>
            </w:tcMar>
          </w:tcPr>
          <w:p w:rsidR="00D05CB3" w:rsidRPr="007D38C2" w:rsidRDefault="00D05CB3" w:rsidP="00CE5850">
            <w:pPr>
              <w:snapToGrid w:val="0"/>
              <w:rPr>
                <w:sz w:val="20"/>
              </w:rPr>
            </w:pPr>
            <w:r w:rsidRPr="007D38C2">
              <w:rPr>
                <w:sz w:val="20"/>
              </w:rPr>
              <w:t>5 or More</w:t>
            </w:r>
          </w:p>
        </w:tc>
        <w:tc>
          <w:tcPr>
            <w:tcW w:w="1253" w:type="dxa"/>
            <w:shd w:val="clear" w:color="auto" w:fill="DAEEF3"/>
            <w:tcMar>
              <w:top w:w="0" w:type="dxa"/>
              <w:left w:w="30" w:type="dxa"/>
              <w:bottom w:w="0" w:type="dxa"/>
              <w:right w:w="30" w:type="dxa"/>
            </w:tcMar>
            <w:vAlign w:val="bottom"/>
          </w:tcPr>
          <w:p w:rsidR="00D05CB3" w:rsidRPr="007D38C2" w:rsidRDefault="00D05CB3" w:rsidP="00CE5850">
            <w:pPr>
              <w:snapToGrid w:val="0"/>
              <w:jc w:val="right"/>
              <w:rPr>
                <w:sz w:val="20"/>
              </w:rPr>
            </w:pPr>
            <w:r w:rsidRPr="007D38C2">
              <w:rPr>
                <w:sz w:val="20"/>
              </w:rPr>
              <w:t xml:space="preserve">              2,862 </w:t>
            </w:r>
          </w:p>
        </w:tc>
        <w:tc>
          <w:tcPr>
            <w:tcW w:w="1733" w:type="dxa"/>
            <w:shd w:val="clear" w:color="auto" w:fill="DAEEF3"/>
            <w:tcMar>
              <w:top w:w="0" w:type="dxa"/>
              <w:left w:w="30" w:type="dxa"/>
              <w:bottom w:w="0" w:type="dxa"/>
              <w:right w:w="30" w:type="dxa"/>
            </w:tcMar>
            <w:vAlign w:val="bottom"/>
          </w:tcPr>
          <w:p w:rsidR="00D05CB3" w:rsidRPr="007D38C2" w:rsidRDefault="00D05CB3" w:rsidP="00CE5850">
            <w:pPr>
              <w:snapToGrid w:val="0"/>
              <w:jc w:val="right"/>
              <w:rPr>
                <w:sz w:val="20"/>
              </w:rPr>
            </w:pPr>
            <w:r w:rsidRPr="007D38C2">
              <w:rPr>
                <w:sz w:val="20"/>
              </w:rPr>
              <w:t xml:space="preserve">            159,081 </w:t>
            </w:r>
          </w:p>
        </w:tc>
        <w:tc>
          <w:tcPr>
            <w:tcW w:w="748" w:type="dxa"/>
            <w:shd w:val="clear" w:color="auto" w:fill="DAEEF3"/>
            <w:tcMar>
              <w:top w:w="0" w:type="dxa"/>
              <w:left w:w="30" w:type="dxa"/>
              <w:bottom w:w="0" w:type="dxa"/>
              <w:right w:w="30" w:type="dxa"/>
            </w:tcMar>
            <w:vAlign w:val="bottom"/>
          </w:tcPr>
          <w:p w:rsidR="00D05CB3" w:rsidRPr="007D38C2" w:rsidRDefault="00D05CB3" w:rsidP="00CE5850">
            <w:pPr>
              <w:snapToGrid w:val="0"/>
              <w:jc w:val="right"/>
              <w:rPr>
                <w:sz w:val="20"/>
              </w:rPr>
            </w:pPr>
            <w:r w:rsidRPr="007D38C2">
              <w:rPr>
                <w:sz w:val="20"/>
              </w:rPr>
              <w:t>62.8%</w:t>
            </w:r>
          </w:p>
        </w:tc>
        <w:tc>
          <w:tcPr>
            <w:tcW w:w="1105" w:type="dxa"/>
            <w:shd w:val="clear" w:color="auto" w:fill="DAEEF3"/>
            <w:tcMar>
              <w:top w:w="0" w:type="dxa"/>
              <w:left w:w="30" w:type="dxa"/>
              <w:bottom w:w="0" w:type="dxa"/>
              <w:right w:w="30" w:type="dxa"/>
            </w:tcMar>
            <w:vAlign w:val="bottom"/>
          </w:tcPr>
          <w:p w:rsidR="00D05CB3" w:rsidRPr="007D38C2" w:rsidRDefault="00D05CB3" w:rsidP="00CE5850">
            <w:pPr>
              <w:snapToGrid w:val="0"/>
              <w:jc w:val="right"/>
              <w:rPr>
                <w:sz w:val="20"/>
              </w:rPr>
            </w:pPr>
            <w:r w:rsidRPr="007D38C2">
              <w:rPr>
                <w:sz w:val="20"/>
              </w:rPr>
              <w:t xml:space="preserve">           111 </w:t>
            </w:r>
          </w:p>
        </w:tc>
        <w:tc>
          <w:tcPr>
            <w:tcW w:w="885" w:type="dxa"/>
            <w:shd w:val="clear" w:color="auto" w:fill="DAEEF3"/>
            <w:tcMar>
              <w:top w:w="0" w:type="dxa"/>
              <w:left w:w="30" w:type="dxa"/>
              <w:bottom w:w="0" w:type="dxa"/>
              <w:right w:w="30" w:type="dxa"/>
            </w:tcMar>
            <w:vAlign w:val="bottom"/>
          </w:tcPr>
          <w:p w:rsidR="00D05CB3" w:rsidRPr="007D38C2" w:rsidRDefault="00D05CB3" w:rsidP="00CE5850">
            <w:pPr>
              <w:snapToGrid w:val="0"/>
              <w:jc w:val="right"/>
              <w:rPr>
                <w:sz w:val="20"/>
              </w:rPr>
            </w:pPr>
            <w:r w:rsidRPr="007D38C2">
              <w:rPr>
                <w:sz w:val="20"/>
              </w:rPr>
              <w:t>18.9%</w:t>
            </w:r>
          </w:p>
        </w:tc>
        <w:tc>
          <w:tcPr>
            <w:tcW w:w="1065" w:type="dxa"/>
            <w:shd w:val="clear" w:color="auto" w:fill="DAEEF3"/>
          </w:tcPr>
          <w:p w:rsidR="00D05CB3" w:rsidRPr="007D38C2" w:rsidRDefault="00D05CB3" w:rsidP="00CE5850">
            <w:pPr>
              <w:jc w:val="right"/>
              <w:rPr>
                <w:sz w:val="20"/>
              </w:rPr>
            </w:pPr>
            <w:r w:rsidRPr="007D38C2">
              <w:rPr>
                <w:sz w:val="20"/>
              </w:rPr>
              <w:t>904</w:t>
            </w:r>
          </w:p>
        </w:tc>
        <w:tc>
          <w:tcPr>
            <w:tcW w:w="963" w:type="dxa"/>
            <w:shd w:val="clear" w:color="auto" w:fill="DAEEF3"/>
          </w:tcPr>
          <w:p w:rsidR="00D05CB3" w:rsidRPr="007D38C2" w:rsidRDefault="00D05CB3" w:rsidP="00CE5850">
            <w:pPr>
              <w:jc w:val="right"/>
              <w:rPr>
                <w:sz w:val="20"/>
              </w:rPr>
            </w:pPr>
            <w:r w:rsidRPr="007D38C2">
              <w:rPr>
                <w:sz w:val="20"/>
              </w:rPr>
              <w:t>40.5%</w:t>
            </w:r>
          </w:p>
        </w:tc>
      </w:tr>
    </w:tbl>
    <w:p w:rsidR="004A147C" w:rsidRPr="00B53FFB" w:rsidRDefault="004A147C" w:rsidP="00CE5850">
      <w:pPr>
        <w:rPr>
          <w:szCs w:val="22"/>
        </w:rPr>
      </w:pPr>
    </w:p>
    <w:p w:rsidR="006932D2" w:rsidRPr="000D5BCA" w:rsidRDefault="006932D2" w:rsidP="00CE5850">
      <w:pPr>
        <w:pStyle w:val="Caption"/>
        <w:widowControl w:val="0"/>
        <w:spacing w:after="0"/>
        <w:jc w:val="center"/>
        <w:rPr>
          <w:sz w:val="22"/>
          <w:szCs w:val="22"/>
        </w:rPr>
      </w:pPr>
      <w:r w:rsidRPr="000D5BCA">
        <w:rPr>
          <w:sz w:val="22"/>
          <w:szCs w:val="22"/>
        </w:rPr>
        <w:t xml:space="preserve">Table </w:t>
      </w:r>
      <w:r w:rsidRPr="000D5BCA">
        <w:rPr>
          <w:sz w:val="22"/>
          <w:szCs w:val="22"/>
        </w:rPr>
        <w:fldChar w:fldCharType="begin"/>
      </w:r>
      <w:r w:rsidRPr="000D5BCA">
        <w:rPr>
          <w:sz w:val="22"/>
          <w:szCs w:val="22"/>
        </w:rPr>
        <w:instrText xml:space="preserve"> SEQ Table \* ARABIC </w:instrText>
      </w:r>
      <w:r w:rsidRPr="000D5BCA">
        <w:rPr>
          <w:sz w:val="22"/>
          <w:szCs w:val="22"/>
        </w:rPr>
        <w:fldChar w:fldCharType="separate"/>
      </w:r>
      <w:r w:rsidR="00CA3AC6">
        <w:rPr>
          <w:noProof/>
          <w:sz w:val="22"/>
          <w:szCs w:val="22"/>
        </w:rPr>
        <w:t>62</w:t>
      </w:r>
      <w:r w:rsidRPr="000D5BCA">
        <w:rPr>
          <w:sz w:val="22"/>
          <w:szCs w:val="22"/>
        </w:rPr>
        <w:fldChar w:fldCharType="end"/>
      </w:r>
    </w:p>
    <w:p w:rsidR="006932D2" w:rsidRPr="000D5BCA" w:rsidRDefault="006932D2" w:rsidP="00CE5850">
      <w:pPr>
        <w:spacing w:after="120"/>
        <w:jc w:val="center"/>
        <w:outlineLvl w:val="0"/>
        <w:rPr>
          <w:b/>
          <w:bCs/>
          <w:szCs w:val="22"/>
        </w:rPr>
      </w:pPr>
      <w:r w:rsidRPr="00B53FFB">
        <w:rPr>
          <w:b/>
          <w:bCs/>
          <w:szCs w:val="22"/>
        </w:rPr>
        <w:t xml:space="preserve">Estimated Mobile Broadband Coverage in </w:t>
      </w:r>
      <w:r w:rsidRPr="0082414E">
        <w:rPr>
          <w:b/>
          <w:bCs/>
          <w:i/>
          <w:szCs w:val="22"/>
        </w:rPr>
        <w:t>Non-Rural</w:t>
      </w:r>
      <w:r w:rsidRPr="00B53FFB">
        <w:rPr>
          <w:b/>
          <w:bCs/>
          <w:szCs w:val="22"/>
        </w:rPr>
        <w:t xml:space="preserve"> Areas by Census Block, </w:t>
      </w:r>
      <w:r>
        <w:rPr>
          <w:b/>
          <w:bCs/>
          <w:szCs w:val="22"/>
        </w:rPr>
        <w:t>Oct</w:t>
      </w:r>
      <w:r w:rsidRPr="00B53FFB">
        <w:rPr>
          <w:b/>
          <w:bCs/>
          <w:szCs w:val="22"/>
        </w:rPr>
        <w:t>. 2012</w:t>
      </w:r>
      <w:r w:rsidRPr="00B53FFB">
        <w:rPr>
          <w:szCs w:val="22"/>
          <w:vertAlign w:val="superscript"/>
        </w:rPr>
        <w:footnoteReference w:id="1199"/>
      </w:r>
    </w:p>
    <w:tbl>
      <w:tblPr>
        <w:tblW w:w="0" w:type="auto"/>
        <w:jc w:val="center"/>
        <w:tblInd w:w="-1375"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0" w:type="dxa"/>
          <w:right w:w="0" w:type="dxa"/>
        </w:tblCellMar>
        <w:tblLook w:val="00A0" w:firstRow="1" w:lastRow="0" w:firstColumn="1" w:lastColumn="0" w:noHBand="0" w:noVBand="0"/>
      </w:tblPr>
      <w:tblGrid>
        <w:gridCol w:w="1315"/>
        <w:gridCol w:w="1253"/>
        <w:gridCol w:w="1733"/>
        <w:gridCol w:w="748"/>
        <w:gridCol w:w="1128"/>
        <w:gridCol w:w="885"/>
        <w:gridCol w:w="1088"/>
        <w:gridCol w:w="963"/>
      </w:tblGrid>
      <w:tr w:rsidR="006932D2" w:rsidRPr="00B53FFB" w:rsidTr="00526AD9">
        <w:trPr>
          <w:trHeight w:val="692"/>
          <w:jc w:val="center"/>
        </w:trPr>
        <w:tc>
          <w:tcPr>
            <w:tcW w:w="1315" w:type="dxa"/>
            <w:shd w:val="clear" w:color="auto" w:fill="DAEEF3"/>
            <w:tcMar>
              <w:top w:w="0" w:type="dxa"/>
              <w:left w:w="30" w:type="dxa"/>
              <w:bottom w:w="0" w:type="dxa"/>
              <w:right w:w="30" w:type="dxa"/>
            </w:tcMar>
          </w:tcPr>
          <w:p w:rsidR="006932D2" w:rsidRPr="007D38C2" w:rsidRDefault="006932D2" w:rsidP="00CE5850">
            <w:pPr>
              <w:snapToGrid w:val="0"/>
              <w:jc w:val="center"/>
              <w:rPr>
                <w:b/>
                <w:bCs/>
                <w:iCs/>
                <w:sz w:val="20"/>
              </w:rPr>
            </w:pPr>
            <w:r w:rsidRPr="007D38C2">
              <w:rPr>
                <w:b/>
                <w:bCs/>
                <w:iCs/>
                <w:sz w:val="20"/>
              </w:rPr>
              <w:t>Total Number of Providers with Coverage in a Block</w:t>
            </w:r>
          </w:p>
        </w:tc>
        <w:tc>
          <w:tcPr>
            <w:tcW w:w="1253" w:type="dxa"/>
            <w:shd w:val="clear" w:color="auto" w:fill="DAEEF3"/>
            <w:tcMar>
              <w:top w:w="0" w:type="dxa"/>
              <w:left w:w="30" w:type="dxa"/>
              <w:bottom w:w="0" w:type="dxa"/>
              <w:right w:w="30" w:type="dxa"/>
            </w:tcMar>
          </w:tcPr>
          <w:p w:rsidR="006932D2" w:rsidRPr="007D38C2" w:rsidRDefault="006932D2" w:rsidP="00CE5850">
            <w:pPr>
              <w:snapToGrid w:val="0"/>
              <w:jc w:val="center"/>
              <w:rPr>
                <w:b/>
                <w:bCs/>
                <w:iCs/>
                <w:sz w:val="20"/>
              </w:rPr>
            </w:pPr>
            <w:r w:rsidRPr="007D38C2">
              <w:rPr>
                <w:b/>
                <w:bCs/>
                <w:iCs/>
                <w:sz w:val="20"/>
              </w:rPr>
              <w:t>Number of Non-Rural Census Blocks</w:t>
            </w:r>
          </w:p>
          <w:p w:rsidR="006932D2" w:rsidRPr="007D38C2" w:rsidRDefault="006932D2" w:rsidP="00CE5850">
            <w:pPr>
              <w:snapToGrid w:val="0"/>
              <w:jc w:val="center"/>
              <w:rPr>
                <w:b/>
                <w:bCs/>
                <w:iCs/>
                <w:sz w:val="20"/>
              </w:rPr>
            </w:pPr>
            <w:r w:rsidRPr="007D38C2">
              <w:rPr>
                <w:b/>
                <w:bCs/>
                <w:iCs/>
                <w:sz w:val="20"/>
              </w:rPr>
              <w:t>(Thousands)</w:t>
            </w:r>
          </w:p>
        </w:tc>
        <w:tc>
          <w:tcPr>
            <w:tcW w:w="1733" w:type="dxa"/>
            <w:shd w:val="clear" w:color="auto" w:fill="DAEEF3"/>
            <w:tcMar>
              <w:top w:w="0" w:type="dxa"/>
              <w:left w:w="30" w:type="dxa"/>
              <w:bottom w:w="0" w:type="dxa"/>
              <w:right w:w="30" w:type="dxa"/>
            </w:tcMar>
          </w:tcPr>
          <w:p w:rsidR="006932D2" w:rsidRPr="007D38C2" w:rsidRDefault="006932D2" w:rsidP="00CE5850">
            <w:pPr>
              <w:snapToGrid w:val="0"/>
              <w:jc w:val="center"/>
              <w:rPr>
                <w:b/>
                <w:bCs/>
                <w:iCs/>
                <w:sz w:val="20"/>
              </w:rPr>
            </w:pPr>
            <w:r w:rsidRPr="007D38C2">
              <w:rPr>
                <w:b/>
                <w:bCs/>
                <w:iCs/>
                <w:sz w:val="20"/>
              </w:rPr>
              <w:t xml:space="preserve">POPs Contained in Non-Rural Census Blocks </w:t>
            </w:r>
          </w:p>
          <w:p w:rsidR="006932D2" w:rsidRPr="007D38C2" w:rsidRDefault="006932D2" w:rsidP="00CE5850">
            <w:pPr>
              <w:snapToGrid w:val="0"/>
              <w:jc w:val="center"/>
              <w:rPr>
                <w:b/>
                <w:bCs/>
                <w:iCs/>
                <w:sz w:val="20"/>
              </w:rPr>
            </w:pPr>
            <w:r w:rsidRPr="007D38C2">
              <w:rPr>
                <w:b/>
                <w:bCs/>
                <w:iCs/>
                <w:sz w:val="20"/>
              </w:rPr>
              <w:t>(Thousands)</w:t>
            </w:r>
          </w:p>
        </w:tc>
        <w:tc>
          <w:tcPr>
            <w:tcW w:w="748" w:type="dxa"/>
            <w:shd w:val="clear" w:color="auto" w:fill="DAEEF3"/>
            <w:tcMar>
              <w:top w:w="0" w:type="dxa"/>
              <w:left w:w="30" w:type="dxa"/>
              <w:bottom w:w="0" w:type="dxa"/>
              <w:right w:w="30" w:type="dxa"/>
            </w:tcMar>
          </w:tcPr>
          <w:p w:rsidR="006932D2" w:rsidRPr="007D38C2" w:rsidRDefault="006932D2" w:rsidP="00CE5850">
            <w:pPr>
              <w:snapToGrid w:val="0"/>
              <w:jc w:val="center"/>
              <w:rPr>
                <w:b/>
                <w:bCs/>
                <w:iCs/>
                <w:sz w:val="20"/>
              </w:rPr>
            </w:pPr>
            <w:r w:rsidRPr="007D38C2">
              <w:rPr>
                <w:b/>
                <w:bCs/>
                <w:iCs/>
                <w:sz w:val="20"/>
              </w:rPr>
              <w:t>% of Total Non-Rural U.S. POPs</w:t>
            </w:r>
          </w:p>
        </w:tc>
        <w:tc>
          <w:tcPr>
            <w:tcW w:w="1128" w:type="dxa"/>
            <w:shd w:val="clear" w:color="auto" w:fill="DAEEF3"/>
            <w:tcMar>
              <w:top w:w="0" w:type="dxa"/>
              <w:left w:w="30" w:type="dxa"/>
              <w:bottom w:w="0" w:type="dxa"/>
              <w:right w:w="30" w:type="dxa"/>
            </w:tcMar>
          </w:tcPr>
          <w:p w:rsidR="006932D2" w:rsidRPr="007D38C2" w:rsidRDefault="006932D2" w:rsidP="00CE5850">
            <w:pPr>
              <w:snapToGrid w:val="0"/>
              <w:jc w:val="center"/>
              <w:rPr>
                <w:b/>
                <w:bCs/>
                <w:iCs/>
                <w:sz w:val="20"/>
              </w:rPr>
            </w:pPr>
            <w:r w:rsidRPr="007D38C2">
              <w:rPr>
                <w:b/>
                <w:bCs/>
                <w:iCs/>
                <w:sz w:val="20"/>
              </w:rPr>
              <w:t xml:space="preserve">Square Miles Contained in Those Blocks </w:t>
            </w:r>
          </w:p>
          <w:p w:rsidR="006932D2" w:rsidRPr="007D38C2" w:rsidRDefault="006932D2" w:rsidP="00CE5850">
            <w:pPr>
              <w:snapToGrid w:val="0"/>
              <w:jc w:val="center"/>
              <w:rPr>
                <w:b/>
                <w:bCs/>
                <w:iCs/>
                <w:sz w:val="20"/>
              </w:rPr>
            </w:pPr>
            <w:r w:rsidRPr="007D38C2">
              <w:rPr>
                <w:b/>
                <w:bCs/>
                <w:iCs/>
                <w:sz w:val="20"/>
              </w:rPr>
              <w:t>(Thousands)</w:t>
            </w:r>
          </w:p>
        </w:tc>
        <w:tc>
          <w:tcPr>
            <w:tcW w:w="885" w:type="dxa"/>
            <w:shd w:val="clear" w:color="auto" w:fill="DAEEF3"/>
            <w:tcMar>
              <w:top w:w="0" w:type="dxa"/>
              <w:left w:w="30" w:type="dxa"/>
              <w:bottom w:w="0" w:type="dxa"/>
              <w:right w:w="30" w:type="dxa"/>
            </w:tcMar>
          </w:tcPr>
          <w:p w:rsidR="006932D2" w:rsidRPr="007D38C2" w:rsidRDefault="006932D2" w:rsidP="00CE5850">
            <w:pPr>
              <w:snapToGrid w:val="0"/>
              <w:jc w:val="center"/>
              <w:rPr>
                <w:b/>
                <w:bCs/>
                <w:iCs/>
                <w:sz w:val="20"/>
              </w:rPr>
            </w:pPr>
            <w:r w:rsidRPr="007D38C2">
              <w:rPr>
                <w:b/>
                <w:bCs/>
                <w:iCs/>
                <w:sz w:val="20"/>
              </w:rPr>
              <w:t>% of Total Non-Rural U.S. Square Miles</w:t>
            </w:r>
          </w:p>
        </w:tc>
        <w:tc>
          <w:tcPr>
            <w:tcW w:w="1088" w:type="dxa"/>
            <w:shd w:val="clear" w:color="auto" w:fill="DAEEF3"/>
          </w:tcPr>
          <w:p w:rsidR="006932D2" w:rsidRPr="007D38C2" w:rsidRDefault="006932D2" w:rsidP="00CE5850">
            <w:pPr>
              <w:snapToGrid w:val="0"/>
              <w:jc w:val="center"/>
              <w:rPr>
                <w:b/>
                <w:bCs/>
                <w:iCs/>
                <w:sz w:val="20"/>
              </w:rPr>
            </w:pPr>
            <w:r w:rsidRPr="007D38C2">
              <w:rPr>
                <w:b/>
                <w:bCs/>
                <w:iCs/>
                <w:sz w:val="20"/>
              </w:rPr>
              <w:t>Road Miles Contained in Those Blocks (Thousands)</w:t>
            </w:r>
          </w:p>
        </w:tc>
        <w:tc>
          <w:tcPr>
            <w:tcW w:w="963" w:type="dxa"/>
            <w:shd w:val="clear" w:color="auto" w:fill="DAEEF3"/>
          </w:tcPr>
          <w:p w:rsidR="006932D2" w:rsidRPr="007D38C2" w:rsidRDefault="006932D2" w:rsidP="00CE5850">
            <w:pPr>
              <w:snapToGrid w:val="0"/>
              <w:jc w:val="center"/>
              <w:rPr>
                <w:b/>
                <w:bCs/>
                <w:iCs/>
                <w:sz w:val="20"/>
              </w:rPr>
            </w:pPr>
            <w:r w:rsidRPr="007D38C2">
              <w:rPr>
                <w:b/>
                <w:bCs/>
                <w:iCs/>
                <w:sz w:val="20"/>
              </w:rPr>
              <w:t>% of Total Non-Rural U.S. Road Miles</w:t>
            </w:r>
          </w:p>
        </w:tc>
      </w:tr>
      <w:tr w:rsidR="006932D2" w:rsidRPr="00B53FFB" w:rsidTr="00526AD9">
        <w:trPr>
          <w:trHeight w:val="245"/>
          <w:jc w:val="center"/>
        </w:trPr>
        <w:tc>
          <w:tcPr>
            <w:tcW w:w="1315" w:type="dxa"/>
            <w:shd w:val="clear" w:color="auto" w:fill="DAEEF3"/>
            <w:tcMar>
              <w:top w:w="0" w:type="dxa"/>
              <w:left w:w="30" w:type="dxa"/>
              <w:bottom w:w="0" w:type="dxa"/>
              <w:right w:w="30" w:type="dxa"/>
            </w:tcMar>
          </w:tcPr>
          <w:p w:rsidR="006932D2" w:rsidRPr="00224CEB" w:rsidRDefault="006932D2" w:rsidP="00CE5850">
            <w:pPr>
              <w:snapToGrid w:val="0"/>
              <w:jc w:val="right"/>
              <w:rPr>
                <w:sz w:val="20"/>
              </w:rPr>
            </w:pPr>
            <w:r w:rsidRPr="00224CEB">
              <w:rPr>
                <w:sz w:val="20"/>
              </w:rPr>
              <w:t>1 or More</w:t>
            </w:r>
          </w:p>
        </w:tc>
        <w:tc>
          <w:tcPr>
            <w:tcW w:w="1253" w:type="dxa"/>
            <w:shd w:val="clear" w:color="auto" w:fill="DAEEF3"/>
            <w:tcMar>
              <w:top w:w="0" w:type="dxa"/>
              <w:left w:w="30" w:type="dxa"/>
              <w:bottom w:w="0" w:type="dxa"/>
              <w:right w:w="30" w:type="dxa"/>
            </w:tcMar>
          </w:tcPr>
          <w:p w:rsidR="006932D2" w:rsidRPr="00224CEB" w:rsidRDefault="006932D2" w:rsidP="00CE5850">
            <w:pPr>
              <w:jc w:val="right"/>
              <w:rPr>
                <w:sz w:val="20"/>
              </w:rPr>
            </w:pPr>
            <w:r w:rsidRPr="00224CEB">
              <w:rPr>
                <w:sz w:val="20"/>
              </w:rPr>
              <w:t>5,738</w:t>
            </w:r>
          </w:p>
        </w:tc>
        <w:tc>
          <w:tcPr>
            <w:tcW w:w="1733" w:type="dxa"/>
            <w:shd w:val="clear" w:color="auto" w:fill="DAEEF3"/>
            <w:tcMar>
              <w:top w:w="0" w:type="dxa"/>
              <w:left w:w="30" w:type="dxa"/>
              <w:bottom w:w="0" w:type="dxa"/>
              <w:right w:w="30" w:type="dxa"/>
            </w:tcMar>
          </w:tcPr>
          <w:p w:rsidR="006932D2" w:rsidRPr="00224CEB" w:rsidRDefault="006932D2" w:rsidP="00CE5850">
            <w:pPr>
              <w:jc w:val="right"/>
              <w:rPr>
                <w:sz w:val="20"/>
              </w:rPr>
            </w:pPr>
            <w:r w:rsidRPr="00224CEB">
              <w:rPr>
                <w:sz w:val="20"/>
              </w:rPr>
              <w:t>253,175</w:t>
            </w:r>
          </w:p>
        </w:tc>
        <w:tc>
          <w:tcPr>
            <w:tcW w:w="748" w:type="dxa"/>
            <w:shd w:val="clear" w:color="auto" w:fill="DAEEF3"/>
            <w:tcMar>
              <w:top w:w="0" w:type="dxa"/>
              <w:left w:w="30" w:type="dxa"/>
              <w:bottom w:w="0" w:type="dxa"/>
              <w:right w:w="30" w:type="dxa"/>
            </w:tcMar>
          </w:tcPr>
          <w:p w:rsidR="006932D2" w:rsidRPr="00224CEB" w:rsidRDefault="006932D2" w:rsidP="00CE5850">
            <w:pPr>
              <w:jc w:val="right"/>
              <w:rPr>
                <w:sz w:val="20"/>
              </w:rPr>
            </w:pPr>
            <w:r w:rsidRPr="00224CEB">
              <w:rPr>
                <w:sz w:val="20"/>
              </w:rPr>
              <w:t>99.9%</w:t>
            </w:r>
          </w:p>
        </w:tc>
        <w:tc>
          <w:tcPr>
            <w:tcW w:w="1128" w:type="dxa"/>
            <w:shd w:val="clear" w:color="auto" w:fill="DAEEF3"/>
            <w:tcMar>
              <w:top w:w="0" w:type="dxa"/>
              <w:left w:w="30" w:type="dxa"/>
              <w:bottom w:w="0" w:type="dxa"/>
              <w:right w:w="30" w:type="dxa"/>
            </w:tcMar>
          </w:tcPr>
          <w:p w:rsidR="006932D2" w:rsidRPr="00224CEB" w:rsidRDefault="006932D2" w:rsidP="00CE5850">
            <w:pPr>
              <w:jc w:val="right"/>
              <w:rPr>
                <w:sz w:val="20"/>
              </w:rPr>
            </w:pPr>
            <w:r w:rsidRPr="00224CEB">
              <w:rPr>
                <w:sz w:val="20"/>
              </w:rPr>
              <w:t>535</w:t>
            </w:r>
          </w:p>
        </w:tc>
        <w:tc>
          <w:tcPr>
            <w:tcW w:w="885" w:type="dxa"/>
            <w:shd w:val="clear" w:color="auto" w:fill="DAEEF3"/>
            <w:tcMar>
              <w:top w:w="0" w:type="dxa"/>
              <w:left w:w="30" w:type="dxa"/>
              <w:bottom w:w="0" w:type="dxa"/>
              <w:right w:w="30" w:type="dxa"/>
            </w:tcMar>
          </w:tcPr>
          <w:p w:rsidR="006932D2" w:rsidRPr="00224CEB" w:rsidRDefault="006932D2" w:rsidP="00CE5850">
            <w:pPr>
              <w:jc w:val="right"/>
              <w:rPr>
                <w:sz w:val="20"/>
              </w:rPr>
            </w:pPr>
            <w:r w:rsidRPr="00224CEB">
              <w:rPr>
                <w:sz w:val="20"/>
              </w:rPr>
              <w:t>90.9%</w:t>
            </w:r>
          </w:p>
        </w:tc>
        <w:tc>
          <w:tcPr>
            <w:tcW w:w="1088" w:type="dxa"/>
            <w:shd w:val="clear" w:color="auto" w:fill="DAEEF3"/>
          </w:tcPr>
          <w:p w:rsidR="006932D2" w:rsidRPr="00224CEB" w:rsidRDefault="006932D2" w:rsidP="00CE5850">
            <w:pPr>
              <w:jc w:val="right"/>
              <w:rPr>
                <w:sz w:val="20"/>
              </w:rPr>
            </w:pPr>
            <w:r w:rsidRPr="00224CEB">
              <w:rPr>
                <w:sz w:val="20"/>
              </w:rPr>
              <w:t>2,200</w:t>
            </w:r>
          </w:p>
        </w:tc>
        <w:tc>
          <w:tcPr>
            <w:tcW w:w="963" w:type="dxa"/>
            <w:shd w:val="clear" w:color="auto" w:fill="DAEEF3"/>
          </w:tcPr>
          <w:p w:rsidR="006932D2" w:rsidRPr="00224CEB" w:rsidRDefault="006932D2" w:rsidP="00CE5850">
            <w:pPr>
              <w:jc w:val="right"/>
              <w:rPr>
                <w:sz w:val="20"/>
              </w:rPr>
            </w:pPr>
            <w:r w:rsidRPr="00224CEB">
              <w:rPr>
                <w:sz w:val="20"/>
              </w:rPr>
              <w:t>98.7%</w:t>
            </w:r>
          </w:p>
        </w:tc>
      </w:tr>
      <w:tr w:rsidR="006932D2" w:rsidRPr="00B53FFB" w:rsidTr="00526AD9">
        <w:trPr>
          <w:trHeight w:val="262"/>
          <w:jc w:val="center"/>
        </w:trPr>
        <w:tc>
          <w:tcPr>
            <w:tcW w:w="1315" w:type="dxa"/>
            <w:shd w:val="clear" w:color="auto" w:fill="DAEEF3"/>
            <w:tcMar>
              <w:top w:w="0" w:type="dxa"/>
              <w:left w:w="30" w:type="dxa"/>
              <w:bottom w:w="0" w:type="dxa"/>
              <w:right w:w="30" w:type="dxa"/>
            </w:tcMar>
          </w:tcPr>
          <w:p w:rsidR="006932D2" w:rsidRPr="00224CEB" w:rsidRDefault="006932D2" w:rsidP="00CE5850">
            <w:pPr>
              <w:snapToGrid w:val="0"/>
              <w:jc w:val="right"/>
              <w:rPr>
                <w:sz w:val="20"/>
              </w:rPr>
            </w:pPr>
            <w:r w:rsidRPr="00224CEB">
              <w:rPr>
                <w:sz w:val="20"/>
              </w:rPr>
              <w:t>2 or More</w:t>
            </w:r>
          </w:p>
        </w:tc>
        <w:tc>
          <w:tcPr>
            <w:tcW w:w="1253" w:type="dxa"/>
            <w:shd w:val="clear" w:color="auto" w:fill="DAEEF3"/>
            <w:tcMar>
              <w:top w:w="0" w:type="dxa"/>
              <w:left w:w="30" w:type="dxa"/>
              <w:bottom w:w="0" w:type="dxa"/>
              <w:right w:w="30" w:type="dxa"/>
            </w:tcMar>
          </w:tcPr>
          <w:p w:rsidR="006932D2" w:rsidRPr="00224CEB" w:rsidRDefault="006932D2" w:rsidP="00CE5850">
            <w:pPr>
              <w:jc w:val="right"/>
              <w:rPr>
                <w:sz w:val="20"/>
              </w:rPr>
            </w:pPr>
            <w:r w:rsidRPr="00224CEB">
              <w:rPr>
                <w:sz w:val="20"/>
              </w:rPr>
              <w:t>5,668</w:t>
            </w:r>
          </w:p>
        </w:tc>
        <w:tc>
          <w:tcPr>
            <w:tcW w:w="1733" w:type="dxa"/>
            <w:shd w:val="clear" w:color="auto" w:fill="DAEEF3"/>
            <w:tcMar>
              <w:top w:w="0" w:type="dxa"/>
              <w:left w:w="30" w:type="dxa"/>
              <w:bottom w:w="0" w:type="dxa"/>
              <w:right w:w="30" w:type="dxa"/>
            </w:tcMar>
          </w:tcPr>
          <w:p w:rsidR="006932D2" w:rsidRPr="00224CEB" w:rsidRDefault="006932D2" w:rsidP="00CE5850">
            <w:pPr>
              <w:jc w:val="right"/>
              <w:rPr>
                <w:sz w:val="20"/>
              </w:rPr>
            </w:pPr>
            <w:r w:rsidRPr="00224CEB">
              <w:rPr>
                <w:sz w:val="20"/>
              </w:rPr>
              <w:t>252,435</w:t>
            </w:r>
          </w:p>
        </w:tc>
        <w:tc>
          <w:tcPr>
            <w:tcW w:w="748" w:type="dxa"/>
            <w:shd w:val="clear" w:color="auto" w:fill="DAEEF3"/>
            <w:tcMar>
              <w:top w:w="0" w:type="dxa"/>
              <w:left w:w="30" w:type="dxa"/>
              <w:bottom w:w="0" w:type="dxa"/>
              <w:right w:w="30" w:type="dxa"/>
            </w:tcMar>
          </w:tcPr>
          <w:p w:rsidR="006932D2" w:rsidRPr="00224CEB" w:rsidRDefault="006932D2" w:rsidP="00CE5850">
            <w:pPr>
              <w:jc w:val="right"/>
              <w:rPr>
                <w:sz w:val="20"/>
              </w:rPr>
            </w:pPr>
            <w:r w:rsidRPr="00224CEB">
              <w:rPr>
                <w:sz w:val="20"/>
              </w:rPr>
              <w:t>99.7%</w:t>
            </w:r>
          </w:p>
        </w:tc>
        <w:tc>
          <w:tcPr>
            <w:tcW w:w="1128" w:type="dxa"/>
            <w:shd w:val="clear" w:color="auto" w:fill="DAEEF3"/>
            <w:tcMar>
              <w:top w:w="0" w:type="dxa"/>
              <w:left w:w="30" w:type="dxa"/>
              <w:bottom w:w="0" w:type="dxa"/>
              <w:right w:w="30" w:type="dxa"/>
            </w:tcMar>
          </w:tcPr>
          <w:p w:rsidR="006932D2" w:rsidRPr="00224CEB" w:rsidRDefault="006932D2" w:rsidP="00CE5850">
            <w:pPr>
              <w:jc w:val="right"/>
              <w:rPr>
                <w:sz w:val="20"/>
              </w:rPr>
            </w:pPr>
            <w:r w:rsidRPr="00224CEB">
              <w:rPr>
                <w:sz w:val="20"/>
              </w:rPr>
              <w:t>497</w:t>
            </w:r>
          </w:p>
        </w:tc>
        <w:tc>
          <w:tcPr>
            <w:tcW w:w="885" w:type="dxa"/>
            <w:shd w:val="clear" w:color="auto" w:fill="DAEEF3"/>
            <w:tcMar>
              <w:top w:w="0" w:type="dxa"/>
              <w:left w:w="30" w:type="dxa"/>
              <w:bottom w:w="0" w:type="dxa"/>
              <w:right w:w="30" w:type="dxa"/>
            </w:tcMar>
          </w:tcPr>
          <w:p w:rsidR="006932D2" w:rsidRPr="00224CEB" w:rsidRDefault="006932D2" w:rsidP="00CE5850">
            <w:pPr>
              <w:jc w:val="right"/>
              <w:rPr>
                <w:sz w:val="20"/>
              </w:rPr>
            </w:pPr>
            <w:r w:rsidRPr="00224CEB">
              <w:rPr>
                <w:sz w:val="20"/>
              </w:rPr>
              <w:t>84.4%</w:t>
            </w:r>
          </w:p>
        </w:tc>
        <w:tc>
          <w:tcPr>
            <w:tcW w:w="1088" w:type="dxa"/>
            <w:shd w:val="clear" w:color="auto" w:fill="DAEEF3"/>
          </w:tcPr>
          <w:p w:rsidR="006932D2" w:rsidRPr="00224CEB" w:rsidRDefault="006932D2" w:rsidP="00CE5850">
            <w:pPr>
              <w:jc w:val="right"/>
              <w:rPr>
                <w:sz w:val="20"/>
              </w:rPr>
            </w:pPr>
            <w:r w:rsidRPr="00224CEB">
              <w:rPr>
                <w:sz w:val="20"/>
              </w:rPr>
              <w:t>2,136</w:t>
            </w:r>
          </w:p>
        </w:tc>
        <w:tc>
          <w:tcPr>
            <w:tcW w:w="963" w:type="dxa"/>
            <w:shd w:val="clear" w:color="auto" w:fill="DAEEF3"/>
          </w:tcPr>
          <w:p w:rsidR="006932D2" w:rsidRPr="00224CEB" w:rsidRDefault="006932D2" w:rsidP="00CE5850">
            <w:pPr>
              <w:jc w:val="right"/>
              <w:rPr>
                <w:sz w:val="20"/>
              </w:rPr>
            </w:pPr>
            <w:r w:rsidRPr="00224CEB">
              <w:rPr>
                <w:sz w:val="20"/>
              </w:rPr>
              <w:t>95.8%</w:t>
            </w:r>
          </w:p>
        </w:tc>
      </w:tr>
      <w:tr w:rsidR="006932D2" w:rsidRPr="00B53FFB" w:rsidTr="00526AD9">
        <w:trPr>
          <w:trHeight w:val="262"/>
          <w:jc w:val="center"/>
        </w:trPr>
        <w:tc>
          <w:tcPr>
            <w:tcW w:w="1315" w:type="dxa"/>
            <w:shd w:val="clear" w:color="auto" w:fill="DAEEF3"/>
            <w:tcMar>
              <w:top w:w="0" w:type="dxa"/>
              <w:left w:w="30" w:type="dxa"/>
              <w:bottom w:w="0" w:type="dxa"/>
              <w:right w:w="30" w:type="dxa"/>
            </w:tcMar>
          </w:tcPr>
          <w:p w:rsidR="006932D2" w:rsidRPr="00224CEB" w:rsidRDefault="006932D2" w:rsidP="00CE5850">
            <w:pPr>
              <w:snapToGrid w:val="0"/>
              <w:jc w:val="right"/>
              <w:rPr>
                <w:sz w:val="20"/>
              </w:rPr>
            </w:pPr>
            <w:r w:rsidRPr="00224CEB">
              <w:rPr>
                <w:sz w:val="20"/>
              </w:rPr>
              <w:t>3 or More</w:t>
            </w:r>
          </w:p>
        </w:tc>
        <w:tc>
          <w:tcPr>
            <w:tcW w:w="1253" w:type="dxa"/>
            <w:shd w:val="clear" w:color="auto" w:fill="DAEEF3"/>
            <w:tcMar>
              <w:top w:w="0" w:type="dxa"/>
              <w:left w:w="30" w:type="dxa"/>
              <w:bottom w:w="0" w:type="dxa"/>
              <w:right w:w="30" w:type="dxa"/>
            </w:tcMar>
          </w:tcPr>
          <w:p w:rsidR="006932D2" w:rsidRPr="00224CEB" w:rsidRDefault="006932D2" w:rsidP="00CE5850">
            <w:pPr>
              <w:jc w:val="right"/>
              <w:rPr>
                <w:sz w:val="20"/>
              </w:rPr>
            </w:pPr>
            <w:r w:rsidRPr="00224CEB">
              <w:rPr>
                <w:sz w:val="20"/>
              </w:rPr>
              <w:t>5,373</w:t>
            </w:r>
          </w:p>
        </w:tc>
        <w:tc>
          <w:tcPr>
            <w:tcW w:w="1733" w:type="dxa"/>
            <w:shd w:val="clear" w:color="auto" w:fill="DAEEF3"/>
            <w:tcMar>
              <w:top w:w="0" w:type="dxa"/>
              <w:left w:w="30" w:type="dxa"/>
              <w:bottom w:w="0" w:type="dxa"/>
              <w:right w:w="30" w:type="dxa"/>
            </w:tcMar>
          </w:tcPr>
          <w:p w:rsidR="006932D2" w:rsidRPr="00224CEB" w:rsidRDefault="006932D2" w:rsidP="00CE5850">
            <w:pPr>
              <w:jc w:val="right"/>
              <w:rPr>
                <w:sz w:val="20"/>
              </w:rPr>
            </w:pPr>
            <w:r w:rsidRPr="00224CEB">
              <w:rPr>
                <w:sz w:val="20"/>
              </w:rPr>
              <w:t>247,465</w:t>
            </w:r>
          </w:p>
        </w:tc>
        <w:tc>
          <w:tcPr>
            <w:tcW w:w="748" w:type="dxa"/>
            <w:shd w:val="clear" w:color="auto" w:fill="DAEEF3"/>
            <w:tcMar>
              <w:top w:w="0" w:type="dxa"/>
              <w:left w:w="30" w:type="dxa"/>
              <w:bottom w:w="0" w:type="dxa"/>
              <w:right w:w="30" w:type="dxa"/>
            </w:tcMar>
          </w:tcPr>
          <w:p w:rsidR="006932D2" w:rsidRPr="00224CEB" w:rsidRDefault="006932D2" w:rsidP="00CE5850">
            <w:pPr>
              <w:jc w:val="right"/>
              <w:rPr>
                <w:sz w:val="20"/>
              </w:rPr>
            </w:pPr>
            <w:r w:rsidRPr="00224CEB">
              <w:rPr>
                <w:sz w:val="20"/>
              </w:rPr>
              <w:t>97.7%</w:t>
            </w:r>
          </w:p>
        </w:tc>
        <w:tc>
          <w:tcPr>
            <w:tcW w:w="1128" w:type="dxa"/>
            <w:shd w:val="clear" w:color="auto" w:fill="DAEEF3"/>
            <w:tcMar>
              <w:top w:w="0" w:type="dxa"/>
              <w:left w:w="30" w:type="dxa"/>
              <w:bottom w:w="0" w:type="dxa"/>
              <w:right w:w="30" w:type="dxa"/>
            </w:tcMar>
          </w:tcPr>
          <w:p w:rsidR="006932D2" w:rsidRPr="00224CEB" w:rsidRDefault="006932D2" w:rsidP="00CE5850">
            <w:pPr>
              <w:jc w:val="right"/>
              <w:rPr>
                <w:sz w:val="20"/>
              </w:rPr>
            </w:pPr>
            <w:r w:rsidRPr="00224CEB">
              <w:rPr>
                <w:sz w:val="20"/>
              </w:rPr>
              <w:t>408</w:t>
            </w:r>
          </w:p>
        </w:tc>
        <w:tc>
          <w:tcPr>
            <w:tcW w:w="885" w:type="dxa"/>
            <w:shd w:val="clear" w:color="auto" w:fill="DAEEF3"/>
            <w:tcMar>
              <w:top w:w="0" w:type="dxa"/>
              <w:left w:w="30" w:type="dxa"/>
              <w:bottom w:w="0" w:type="dxa"/>
              <w:right w:w="30" w:type="dxa"/>
            </w:tcMar>
          </w:tcPr>
          <w:p w:rsidR="006932D2" w:rsidRPr="00224CEB" w:rsidRDefault="006932D2" w:rsidP="00CE5850">
            <w:pPr>
              <w:jc w:val="right"/>
              <w:rPr>
                <w:sz w:val="20"/>
              </w:rPr>
            </w:pPr>
            <w:r w:rsidRPr="00224CEB">
              <w:rPr>
                <w:sz w:val="20"/>
              </w:rPr>
              <w:t>69.4%</w:t>
            </w:r>
          </w:p>
        </w:tc>
        <w:tc>
          <w:tcPr>
            <w:tcW w:w="1088" w:type="dxa"/>
            <w:shd w:val="clear" w:color="auto" w:fill="DAEEF3"/>
          </w:tcPr>
          <w:p w:rsidR="006932D2" w:rsidRPr="00224CEB" w:rsidRDefault="006932D2" w:rsidP="00CE5850">
            <w:pPr>
              <w:jc w:val="right"/>
              <w:rPr>
                <w:sz w:val="20"/>
              </w:rPr>
            </w:pPr>
            <w:r w:rsidRPr="00224CEB">
              <w:rPr>
                <w:sz w:val="20"/>
              </w:rPr>
              <w:t>1,932</w:t>
            </w:r>
          </w:p>
        </w:tc>
        <w:tc>
          <w:tcPr>
            <w:tcW w:w="963" w:type="dxa"/>
            <w:shd w:val="clear" w:color="auto" w:fill="DAEEF3"/>
          </w:tcPr>
          <w:p w:rsidR="006932D2" w:rsidRPr="00224CEB" w:rsidRDefault="006932D2" w:rsidP="00CE5850">
            <w:pPr>
              <w:jc w:val="right"/>
              <w:rPr>
                <w:sz w:val="20"/>
              </w:rPr>
            </w:pPr>
            <w:r w:rsidRPr="00224CEB">
              <w:rPr>
                <w:sz w:val="20"/>
              </w:rPr>
              <w:t>86.6%</w:t>
            </w:r>
          </w:p>
        </w:tc>
      </w:tr>
      <w:tr w:rsidR="006932D2" w:rsidRPr="00B53FFB" w:rsidTr="00526AD9">
        <w:trPr>
          <w:trHeight w:val="262"/>
          <w:jc w:val="center"/>
        </w:trPr>
        <w:tc>
          <w:tcPr>
            <w:tcW w:w="1315" w:type="dxa"/>
            <w:shd w:val="clear" w:color="auto" w:fill="DAEEF3"/>
            <w:tcMar>
              <w:top w:w="0" w:type="dxa"/>
              <w:left w:w="30" w:type="dxa"/>
              <w:bottom w:w="0" w:type="dxa"/>
              <w:right w:w="30" w:type="dxa"/>
            </w:tcMar>
          </w:tcPr>
          <w:p w:rsidR="006932D2" w:rsidRPr="00224CEB" w:rsidRDefault="006932D2" w:rsidP="00CE5850">
            <w:pPr>
              <w:snapToGrid w:val="0"/>
              <w:jc w:val="right"/>
              <w:rPr>
                <w:sz w:val="20"/>
              </w:rPr>
            </w:pPr>
            <w:r w:rsidRPr="00224CEB">
              <w:rPr>
                <w:sz w:val="20"/>
              </w:rPr>
              <w:t>4 or More</w:t>
            </w:r>
          </w:p>
        </w:tc>
        <w:tc>
          <w:tcPr>
            <w:tcW w:w="1253" w:type="dxa"/>
            <w:shd w:val="clear" w:color="auto" w:fill="DAEEF3"/>
            <w:tcMar>
              <w:top w:w="0" w:type="dxa"/>
              <w:left w:w="30" w:type="dxa"/>
              <w:bottom w:w="0" w:type="dxa"/>
              <w:right w:w="30" w:type="dxa"/>
            </w:tcMar>
          </w:tcPr>
          <w:p w:rsidR="006932D2" w:rsidRPr="00224CEB" w:rsidRDefault="006932D2" w:rsidP="00CE5850">
            <w:pPr>
              <w:jc w:val="right"/>
              <w:rPr>
                <w:sz w:val="20"/>
              </w:rPr>
            </w:pPr>
            <w:r w:rsidRPr="00224CEB">
              <w:rPr>
                <w:sz w:val="20"/>
              </w:rPr>
              <w:t>4,783</w:t>
            </w:r>
          </w:p>
        </w:tc>
        <w:tc>
          <w:tcPr>
            <w:tcW w:w="1733" w:type="dxa"/>
            <w:shd w:val="clear" w:color="auto" w:fill="DAEEF3"/>
            <w:tcMar>
              <w:top w:w="0" w:type="dxa"/>
              <w:left w:w="30" w:type="dxa"/>
              <w:bottom w:w="0" w:type="dxa"/>
              <w:right w:w="30" w:type="dxa"/>
            </w:tcMar>
          </w:tcPr>
          <w:p w:rsidR="006932D2" w:rsidRPr="00224CEB" w:rsidRDefault="006932D2" w:rsidP="00CE5850">
            <w:pPr>
              <w:jc w:val="right"/>
              <w:rPr>
                <w:sz w:val="20"/>
              </w:rPr>
            </w:pPr>
            <w:r w:rsidRPr="00224CEB">
              <w:rPr>
                <w:sz w:val="20"/>
              </w:rPr>
              <w:t>234,069</w:t>
            </w:r>
          </w:p>
        </w:tc>
        <w:tc>
          <w:tcPr>
            <w:tcW w:w="748" w:type="dxa"/>
            <w:shd w:val="clear" w:color="auto" w:fill="DAEEF3"/>
            <w:tcMar>
              <w:top w:w="0" w:type="dxa"/>
              <w:left w:w="30" w:type="dxa"/>
              <w:bottom w:w="0" w:type="dxa"/>
              <w:right w:w="30" w:type="dxa"/>
            </w:tcMar>
          </w:tcPr>
          <w:p w:rsidR="006932D2" w:rsidRPr="00224CEB" w:rsidRDefault="006932D2" w:rsidP="00CE5850">
            <w:pPr>
              <w:jc w:val="right"/>
              <w:rPr>
                <w:sz w:val="20"/>
              </w:rPr>
            </w:pPr>
            <w:r w:rsidRPr="00224CEB">
              <w:rPr>
                <w:sz w:val="20"/>
              </w:rPr>
              <w:t>92.4%</w:t>
            </w:r>
          </w:p>
        </w:tc>
        <w:tc>
          <w:tcPr>
            <w:tcW w:w="1128" w:type="dxa"/>
            <w:shd w:val="clear" w:color="auto" w:fill="DAEEF3"/>
            <w:tcMar>
              <w:top w:w="0" w:type="dxa"/>
              <w:left w:w="30" w:type="dxa"/>
              <w:bottom w:w="0" w:type="dxa"/>
              <w:right w:w="30" w:type="dxa"/>
            </w:tcMar>
          </w:tcPr>
          <w:p w:rsidR="006932D2" w:rsidRPr="00224CEB" w:rsidRDefault="006932D2" w:rsidP="00CE5850">
            <w:pPr>
              <w:jc w:val="right"/>
              <w:rPr>
                <w:sz w:val="20"/>
              </w:rPr>
            </w:pPr>
            <w:r w:rsidRPr="00224CEB">
              <w:rPr>
                <w:sz w:val="20"/>
              </w:rPr>
              <w:t>293</w:t>
            </w:r>
          </w:p>
        </w:tc>
        <w:tc>
          <w:tcPr>
            <w:tcW w:w="885" w:type="dxa"/>
            <w:shd w:val="clear" w:color="auto" w:fill="DAEEF3"/>
            <w:tcMar>
              <w:top w:w="0" w:type="dxa"/>
              <w:left w:w="30" w:type="dxa"/>
              <w:bottom w:w="0" w:type="dxa"/>
              <w:right w:w="30" w:type="dxa"/>
            </w:tcMar>
          </w:tcPr>
          <w:p w:rsidR="006932D2" w:rsidRPr="00224CEB" w:rsidRDefault="006932D2" w:rsidP="00CE5850">
            <w:pPr>
              <w:jc w:val="right"/>
              <w:rPr>
                <w:sz w:val="20"/>
              </w:rPr>
            </w:pPr>
            <w:r w:rsidRPr="00224CEB">
              <w:rPr>
                <w:sz w:val="20"/>
              </w:rPr>
              <w:t>49.7%</w:t>
            </w:r>
          </w:p>
        </w:tc>
        <w:tc>
          <w:tcPr>
            <w:tcW w:w="1088" w:type="dxa"/>
            <w:shd w:val="clear" w:color="auto" w:fill="DAEEF3"/>
          </w:tcPr>
          <w:p w:rsidR="006932D2" w:rsidRPr="00224CEB" w:rsidRDefault="006932D2" w:rsidP="00CE5850">
            <w:pPr>
              <w:jc w:val="right"/>
              <w:rPr>
                <w:sz w:val="20"/>
              </w:rPr>
            </w:pPr>
            <w:r w:rsidRPr="00224CEB">
              <w:rPr>
                <w:sz w:val="20"/>
              </w:rPr>
              <w:t>1,602</w:t>
            </w:r>
          </w:p>
        </w:tc>
        <w:tc>
          <w:tcPr>
            <w:tcW w:w="963" w:type="dxa"/>
            <w:shd w:val="clear" w:color="auto" w:fill="DAEEF3"/>
          </w:tcPr>
          <w:p w:rsidR="006932D2" w:rsidRPr="00224CEB" w:rsidRDefault="006932D2" w:rsidP="00CE5850">
            <w:pPr>
              <w:jc w:val="right"/>
              <w:rPr>
                <w:sz w:val="20"/>
              </w:rPr>
            </w:pPr>
            <w:r w:rsidRPr="00224CEB">
              <w:rPr>
                <w:sz w:val="20"/>
              </w:rPr>
              <w:t>71.8%</w:t>
            </w:r>
          </w:p>
        </w:tc>
      </w:tr>
      <w:tr w:rsidR="006932D2" w:rsidRPr="00B53FFB" w:rsidTr="00526AD9">
        <w:trPr>
          <w:trHeight w:val="262"/>
          <w:jc w:val="center"/>
        </w:trPr>
        <w:tc>
          <w:tcPr>
            <w:tcW w:w="1315" w:type="dxa"/>
            <w:shd w:val="clear" w:color="auto" w:fill="DAEEF3"/>
            <w:tcMar>
              <w:top w:w="0" w:type="dxa"/>
              <w:left w:w="30" w:type="dxa"/>
              <w:bottom w:w="0" w:type="dxa"/>
              <w:right w:w="30" w:type="dxa"/>
            </w:tcMar>
          </w:tcPr>
          <w:p w:rsidR="006932D2" w:rsidRPr="00224CEB" w:rsidRDefault="006932D2" w:rsidP="00CE5850">
            <w:pPr>
              <w:snapToGrid w:val="0"/>
              <w:jc w:val="right"/>
              <w:rPr>
                <w:sz w:val="20"/>
              </w:rPr>
            </w:pPr>
            <w:r w:rsidRPr="00224CEB">
              <w:rPr>
                <w:sz w:val="20"/>
              </w:rPr>
              <w:t>5 or More</w:t>
            </w:r>
          </w:p>
        </w:tc>
        <w:tc>
          <w:tcPr>
            <w:tcW w:w="1253" w:type="dxa"/>
            <w:shd w:val="clear" w:color="auto" w:fill="DAEEF3"/>
            <w:tcMar>
              <w:top w:w="0" w:type="dxa"/>
              <w:left w:w="30" w:type="dxa"/>
              <w:bottom w:w="0" w:type="dxa"/>
              <w:right w:w="30" w:type="dxa"/>
            </w:tcMar>
          </w:tcPr>
          <w:p w:rsidR="006932D2" w:rsidRPr="00224CEB" w:rsidRDefault="006932D2" w:rsidP="00CE5850">
            <w:pPr>
              <w:jc w:val="right"/>
              <w:rPr>
                <w:sz w:val="20"/>
              </w:rPr>
            </w:pPr>
            <w:r w:rsidRPr="00224CEB">
              <w:rPr>
                <w:sz w:val="20"/>
              </w:rPr>
              <w:t>3,833</w:t>
            </w:r>
          </w:p>
        </w:tc>
        <w:tc>
          <w:tcPr>
            <w:tcW w:w="1733" w:type="dxa"/>
            <w:shd w:val="clear" w:color="auto" w:fill="DAEEF3"/>
            <w:tcMar>
              <w:top w:w="0" w:type="dxa"/>
              <w:left w:w="30" w:type="dxa"/>
              <w:bottom w:w="0" w:type="dxa"/>
              <w:right w:w="30" w:type="dxa"/>
            </w:tcMar>
          </w:tcPr>
          <w:p w:rsidR="006932D2" w:rsidRPr="00224CEB" w:rsidRDefault="006932D2" w:rsidP="00CE5850">
            <w:pPr>
              <w:jc w:val="right"/>
              <w:rPr>
                <w:sz w:val="20"/>
              </w:rPr>
            </w:pPr>
            <w:r w:rsidRPr="00224CEB">
              <w:rPr>
                <w:sz w:val="20"/>
              </w:rPr>
              <w:t>206,005</w:t>
            </w:r>
          </w:p>
        </w:tc>
        <w:tc>
          <w:tcPr>
            <w:tcW w:w="748" w:type="dxa"/>
            <w:shd w:val="clear" w:color="auto" w:fill="DAEEF3"/>
            <w:tcMar>
              <w:top w:w="0" w:type="dxa"/>
              <w:left w:w="30" w:type="dxa"/>
              <w:bottom w:w="0" w:type="dxa"/>
              <w:right w:w="30" w:type="dxa"/>
            </w:tcMar>
          </w:tcPr>
          <w:p w:rsidR="006932D2" w:rsidRPr="00224CEB" w:rsidRDefault="006932D2" w:rsidP="00CE5850">
            <w:pPr>
              <w:jc w:val="right"/>
              <w:rPr>
                <w:sz w:val="20"/>
              </w:rPr>
            </w:pPr>
            <w:r w:rsidRPr="00224CEB">
              <w:rPr>
                <w:sz w:val="20"/>
              </w:rPr>
              <w:t>81.3%</w:t>
            </w:r>
          </w:p>
        </w:tc>
        <w:tc>
          <w:tcPr>
            <w:tcW w:w="1128" w:type="dxa"/>
            <w:shd w:val="clear" w:color="auto" w:fill="DAEEF3"/>
            <w:tcMar>
              <w:top w:w="0" w:type="dxa"/>
              <w:left w:w="30" w:type="dxa"/>
              <w:bottom w:w="0" w:type="dxa"/>
              <w:right w:w="30" w:type="dxa"/>
            </w:tcMar>
          </w:tcPr>
          <w:p w:rsidR="006932D2" w:rsidRPr="00224CEB" w:rsidRDefault="006932D2" w:rsidP="00CE5850">
            <w:pPr>
              <w:jc w:val="right"/>
              <w:rPr>
                <w:sz w:val="20"/>
              </w:rPr>
            </w:pPr>
            <w:r w:rsidRPr="00224CEB">
              <w:rPr>
                <w:sz w:val="20"/>
              </w:rPr>
              <w:t>172</w:t>
            </w:r>
          </w:p>
        </w:tc>
        <w:tc>
          <w:tcPr>
            <w:tcW w:w="885" w:type="dxa"/>
            <w:shd w:val="clear" w:color="auto" w:fill="DAEEF3"/>
            <w:tcMar>
              <w:top w:w="0" w:type="dxa"/>
              <w:left w:w="30" w:type="dxa"/>
              <w:bottom w:w="0" w:type="dxa"/>
              <w:right w:w="30" w:type="dxa"/>
            </w:tcMar>
          </w:tcPr>
          <w:p w:rsidR="006932D2" w:rsidRPr="00224CEB" w:rsidRDefault="006932D2" w:rsidP="00CE5850">
            <w:pPr>
              <w:jc w:val="right"/>
              <w:rPr>
                <w:sz w:val="20"/>
              </w:rPr>
            </w:pPr>
            <w:r w:rsidRPr="00224CEB">
              <w:rPr>
                <w:sz w:val="20"/>
              </w:rPr>
              <w:t>29.3%</w:t>
            </w:r>
          </w:p>
        </w:tc>
        <w:tc>
          <w:tcPr>
            <w:tcW w:w="1088" w:type="dxa"/>
            <w:shd w:val="clear" w:color="auto" w:fill="DAEEF3"/>
          </w:tcPr>
          <w:p w:rsidR="006932D2" w:rsidRPr="00224CEB" w:rsidRDefault="006932D2" w:rsidP="00CE5850">
            <w:pPr>
              <w:jc w:val="right"/>
              <w:rPr>
                <w:sz w:val="20"/>
              </w:rPr>
            </w:pPr>
            <w:r w:rsidRPr="00224CEB">
              <w:rPr>
                <w:sz w:val="20"/>
              </w:rPr>
              <w:t>1,168</w:t>
            </w:r>
          </w:p>
        </w:tc>
        <w:tc>
          <w:tcPr>
            <w:tcW w:w="963" w:type="dxa"/>
            <w:shd w:val="clear" w:color="auto" w:fill="DAEEF3"/>
          </w:tcPr>
          <w:p w:rsidR="006932D2" w:rsidRPr="00224CEB" w:rsidRDefault="006932D2" w:rsidP="00CE5850">
            <w:pPr>
              <w:jc w:val="right"/>
              <w:rPr>
                <w:sz w:val="20"/>
              </w:rPr>
            </w:pPr>
            <w:r w:rsidRPr="00224CEB">
              <w:rPr>
                <w:sz w:val="20"/>
              </w:rPr>
              <w:t>52.4%</w:t>
            </w:r>
          </w:p>
        </w:tc>
      </w:tr>
    </w:tbl>
    <w:p w:rsidR="004A147C" w:rsidRPr="00B53FFB" w:rsidRDefault="004A147C" w:rsidP="00423B47">
      <w:pPr>
        <w:rPr>
          <w:b/>
          <w:szCs w:val="22"/>
        </w:rPr>
      </w:pPr>
    </w:p>
    <w:p w:rsidR="004A147C" w:rsidRPr="00B53FFB" w:rsidRDefault="004A147C" w:rsidP="00CE5850">
      <w:pPr>
        <w:spacing w:before="120" w:after="120"/>
        <w:jc w:val="center"/>
        <w:rPr>
          <w:b/>
          <w:bCs/>
          <w:kern w:val="0"/>
          <w:szCs w:val="22"/>
        </w:rPr>
      </w:pPr>
      <w:bookmarkStart w:id="5617" w:name="_Ref283292574"/>
      <w:r w:rsidRPr="00B53FFB">
        <w:rPr>
          <w:b/>
          <w:bCs/>
          <w:kern w:val="0"/>
          <w:szCs w:val="22"/>
        </w:rPr>
        <w:t xml:space="preserve">Chart </w:t>
      </w:r>
      <w:r w:rsidR="0007014B" w:rsidRPr="00B53FFB">
        <w:rPr>
          <w:b/>
          <w:bCs/>
          <w:kern w:val="0"/>
          <w:szCs w:val="22"/>
        </w:rPr>
        <w:fldChar w:fldCharType="begin"/>
      </w:r>
      <w:r w:rsidRPr="00B53FFB">
        <w:rPr>
          <w:b/>
          <w:bCs/>
          <w:kern w:val="0"/>
          <w:szCs w:val="22"/>
        </w:rPr>
        <w:instrText xml:space="preserve"> SEQ Chart \* ARABIC </w:instrText>
      </w:r>
      <w:r w:rsidR="0007014B" w:rsidRPr="00B53FFB">
        <w:rPr>
          <w:b/>
          <w:bCs/>
          <w:kern w:val="0"/>
          <w:szCs w:val="22"/>
        </w:rPr>
        <w:fldChar w:fldCharType="separate"/>
      </w:r>
      <w:r w:rsidR="00CA3AC6">
        <w:rPr>
          <w:b/>
          <w:bCs/>
          <w:noProof/>
          <w:kern w:val="0"/>
          <w:szCs w:val="22"/>
        </w:rPr>
        <w:t>48</w:t>
      </w:r>
      <w:r w:rsidR="0007014B" w:rsidRPr="00B53FFB">
        <w:rPr>
          <w:b/>
          <w:bCs/>
          <w:kern w:val="0"/>
          <w:szCs w:val="22"/>
        </w:rPr>
        <w:fldChar w:fldCharType="end"/>
      </w:r>
      <w:bookmarkEnd w:id="5598"/>
      <w:bookmarkEnd w:id="5599"/>
      <w:bookmarkEnd w:id="5617"/>
      <w:r w:rsidRPr="00B53FFB">
        <w:rPr>
          <w:b/>
          <w:bCs/>
          <w:kern w:val="0"/>
          <w:szCs w:val="22"/>
        </w:rPr>
        <w:br/>
      </w:r>
      <w:bookmarkEnd w:id="5600"/>
      <w:r w:rsidRPr="00E775D5">
        <w:rPr>
          <w:b/>
          <w:bCs/>
          <w:i/>
          <w:kern w:val="0"/>
          <w:szCs w:val="22"/>
        </w:rPr>
        <w:t>Percentage of Population</w:t>
      </w:r>
      <w:r w:rsidRPr="00B53FFB">
        <w:rPr>
          <w:b/>
          <w:bCs/>
          <w:kern w:val="0"/>
          <w:szCs w:val="22"/>
        </w:rPr>
        <w:t xml:space="preserve"> Covered by Mobile Broadband Providers in Rural vs. Non-Rural Areas, </w:t>
      </w:r>
      <w:r>
        <w:rPr>
          <w:b/>
          <w:bCs/>
          <w:kern w:val="0"/>
          <w:szCs w:val="22"/>
        </w:rPr>
        <w:t>Oct</w:t>
      </w:r>
      <w:r w:rsidRPr="00B53FFB">
        <w:rPr>
          <w:b/>
          <w:bCs/>
          <w:kern w:val="0"/>
          <w:szCs w:val="22"/>
        </w:rPr>
        <w:t xml:space="preserve">. 2012 </w:t>
      </w:r>
    </w:p>
    <w:p w:rsidR="004A147C" w:rsidRPr="00B53FFB" w:rsidRDefault="004A147C" w:rsidP="00CE5850">
      <w:pPr>
        <w:jc w:val="center"/>
        <w:rPr>
          <w:szCs w:val="22"/>
        </w:rPr>
      </w:pPr>
    </w:p>
    <w:p w:rsidR="004A147C" w:rsidRPr="00B53FFB" w:rsidRDefault="00C81B24" w:rsidP="00CE5850">
      <w:pPr>
        <w:spacing w:after="120"/>
        <w:rPr>
          <w:szCs w:val="22"/>
        </w:rPr>
      </w:pPr>
      <w:r>
        <w:rPr>
          <w:noProof/>
          <w:szCs w:val="22"/>
        </w:rPr>
        <w:drawing>
          <wp:inline distT="0" distB="0" distL="0" distR="0" wp14:anchorId="611B4E5B" wp14:editId="6F99E8ED">
            <wp:extent cx="5848350" cy="3597466"/>
            <wp:effectExtent l="0" t="0" r="0" b="3175"/>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849674" cy="3598280"/>
                    </a:xfrm>
                    <a:prstGeom prst="rect">
                      <a:avLst/>
                    </a:prstGeom>
                    <a:noFill/>
                    <a:ln>
                      <a:noFill/>
                    </a:ln>
                  </pic:spPr>
                </pic:pic>
              </a:graphicData>
            </a:graphic>
          </wp:inline>
        </w:drawing>
      </w:r>
    </w:p>
    <w:p w:rsidR="004A147C" w:rsidRPr="00B53FFB" w:rsidRDefault="004A147C" w:rsidP="00CE5850">
      <w:pPr>
        <w:pStyle w:val="Caption"/>
        <w:widowControl w:val="0"/>
        <w:spacing w:after="0"/>
        <w:jc w:val="center"/>
        <w:rPr>
          <w:sz w:val="22"/>
          <w:szCs w:val="22"/>
        </w:rPr>
      </w:pPr>
      <w:bookmarkStart w:id="5618" w:name="_Ref342489467"/>
      <w:r w:rsidRPr="00B53FFB">
        <w:rPr>
          <w:sz w:val="22"/>
          <w:szCs w:val="22"/>
        </w:rPr>
        <w:t xml:space="preserve">Chart </w:t>
      </w:r>
      <w:r w:rsidR="0007014B" w:rsidRPr="00B53FFB">
        <w:rPr>
          <w:sz w:val="22"/>
          <w:szCs w:val="22"/>
        </w:rPr>
        <w:fldChar w:fldCharType="begin"/>
      </w:r>
      <w:r w:rsidRPr="00B53FFB">
        <w:rPr>
          <w:sz w:val="22"/>
          <w:szCs w:val="22"/>
        </w:rPr>
        <w:instrText xml:space="preserve"> SEQ Chart \* ARABIC </w:instrText>
      </w:r>
      <w:r w:rsidR="0007014B" w:rsidRPr="00B53FFB">
        <w:rPr>
          <w:sz w:val="22"/>
          <w:szCs w:val="22"/>
        </w:rPr>
        <w:fldChar w:fldCharType="separate"/>
      </w:r>
      <w:r w:rsidR="00CA3AC6">
        <w:rPr>
          <w:noProof/>
          <w:sz w:val="22"/>
          <w:szCs w:val="22"/>
        </w:rPr>
        <w:t>49</w:t>
      </w:r>
      <w:r w:rsidR="0007014B" w:rsidRPr="00B53FFB">
        <w:rPr>
          <w:sz w:val="22"/>
          <w:szCs w:val="22"/>
        </w:rPr>
        <w:fldChar w:fldCharType="end"/>
      </w:r>
      <w:bookmarkEnd w:id="5618"/>
    </w:p>
    <w:p w:rsidR="004A147C" w:rsidRDefault="004A147C" w:rsidP="00CE5850">
      <w:pPr>
        <w:spacing w:after="120"/>
        <w:jc w:val="center"/>
        <w:rPr>
          <w:b/>
          <w:bCs/>
          <w:kern w:val="0"/>
          <w:szCs w:val="22"/>
        </w:rPr>
      </w:pPr>
      <w:r w:rsidRPr="00E775D5">
        <w:rPr>
          <w:b/>
          <w:bCs/>
          <w:i/>
          <w:kern w:val="0"/>
          <w:szCs w:val="22"/>
        </w:rPr>
        <w:t>Percentage of Road Miles</w:t>
      </w:r>
      <w:r w:rsidRPr="00B53FFB">
        <w:rPr>
          <w:b/>
          <w:bCs/>
          <w:kern w:val="0"/>
          <w:szCs w:val="22"/>
        </w:rPr>
        <w:t xml:space="preserve"> Covered by Mobile Broadband Providers in Rural vs. Non-Rural Areas, </w:t>
      </w:r>
      <w:r>
        <w:rPr>
          <w:b/>
          <w:bCs/>
          <w:kern w:val="0"/>
          <w:szCs w:val="22"/>
        </w:rPr>
        <w:t>Oct</w:t>
      </w:r>
      <w:r w:rsidRPr="00B53FFB">
        <w:rPr>
          <w:b/>
          <w:bCs/>
          <w:kern w:val="0"/>
          <w:szCs w:val="22"/>
        </w:rPr>
        <w:t>. 2012</w:t>
      </w:r>
    </w:p>
    <w:p w:rsidR="001D3535" w:rsidRPr="00B53FFB" w:rsidRDefault="00C81B24" w:rsidP="00CE5850">
      <w:pPr>
        <w:spacing w:after="120"/>
        <w:jc w:val="center"/>
        <w:rPr>
          <w:b/>
          <w:bCs/>
          <w:kern w:val="0"/>
          <w:szCs w:val="22"/>
        </w:rPr>
      </w:pPr>
      <w:r>
        <w:rPr>
          <w:noProof/>
          <w:szCs w:val="22"/>
        </w:rPr>
        <w:drawing>
          <wp:inline distT="0" distB="0" distL="0" distR="0" wp14:anchorId="7E89AD34" wp14:editId="02C68D52">
            <wp:extent cx="5648325" cy="3971925"/>
            <wp:effectExtent l="0" t="0" r="9525" b="9525"/>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648325" cy="3971925"/>
                    </a:xfrm>
                    <a:prstGeom prst="rect">
                      <a:avLst/>
                    </a:prstGeom>
                    <a:noFill/>
                    <a:ln>
                      <a:noFill/>
                    </a:ln>
                  </pic:spPr>
                </pic:pic>
              </a:graphicData>
            </a:graphic>
          </wp:inline>
        </w:drawing>
      </w:r>
    </w:p>
    <w:p w:rsidR="004A147C" w:rsidRPr="00B53FFB" w:rsidRDefault="004A147C" w:rsidP="00CE5850">
      <w:pPr>
        <w:spacing w:after="120"/>
        <w:jc w:val="center"/>
        <w:rPr>
          <w:szCs w:val="22"/>
        </w:rPr>
      </w:pPr>
    </w:p>
    <w:p w:rsidR="004A147C" w:rsidRPr="00B53FFB" w:rsidRDefault="004A147C" w:rsidP="00CE5850">
      <w:pPr>
        <w:numPr>
          <w:ilvl w:val="3"/>
          <w:numId w:val="26"/>
        </w:numPr>
        <w:tabs>
          <w:tab w:val="left" w:pos="2880"/>
        </w:tabs>
        <w:spacing w:after="120"/>
        <w:outlineLvl w:val="3"/>
        <w:rPr>
          <w:b/>
          <w:szCs w:val="22"/>
        </w:rPr>
      </w:pPr>
      <w:r w:rsidRPr="00B53FFB">
        <w:rPr>
          <w:b/>
          <w:szCs w:val="22"/>
        </w:rPr>
        <w:t>Efforts to Improve Mobile Broadband Network Deployment</w:t>
      </w:r>
    </w:p>
    <w:p w:rsidR="004A147C" w:rsidRPr="00A81733" w:rsidRDefault="004A147C" w:rsidP="00CE5850">
      <w:pPr>
        <w:pStyle w:val="ParaNum"/>
        <w:numPr>
          <w:ilvl w:val="0"/>
          <w:numId w:val="28"/>
        </w:numPr>
        <w:rPr>
          <w:sz w:val="22"/>
          <w:szCs w:val="22"/>
        </w:rPr>
      </w:pPr>
      <w:r w:rsidRPr="00A81733">
        <w:rPr>
          <w:bCs/>
          <w:sz w:val="22"/>
          <w:szCs w:val="22"/>
        </w:rPr>
        <w:t xml:space="preserve">Mobile wireless providers and the Commission have taken steps over the past year to improve mobile broadband network coverage in rural areas.  </w:t>
      </w:r>
      <w:r w:rsidRPr="00A81733">
        <w:rPr>
          <w:sz w:val="22"/>
          <w:szCs w:val="22"/>
        </w:rPr>
        <w:t xml:space="preserve">As part of the </w:t>
      </w:r>
      <w:r w:rsidRPr="00A81733">
        <w:rPr>
          <w:i/>
          <w:sz w:val="22"/>
          <w:szCs w:val="22"/>
        </w:rPr>
        <w:t>USF/ICC Transformation Order</w:t>
      </w:r>
      <w:r w:rsidRPr="00A81733">
        <w:rPr>
          <w:sz w:val="22"/>
          <w:szCs w:val="22"/>
        </w:rPr>
        <w:t xml:space="preserve"> adopted in October 2011, the Commission created Mobility Fund Phase I, a universal service support mechanism dedicated to the deployment of mobile broadband networks.</w:t>
      </w:r>
      <w:r w:rsidRPr="00A81733">
        <w:rPr>
          <w:sz w:val="22"/>
          <w:szCs w:val="22"/>
          <w:vertAlign w:val="superscript"/>
        </w:rPr>
        <w:footnoteReference w:id="1200"/>
      </w:r>
      <w:r w:rsidRPr="00A81733">
        <w:rPr>
          <w:sz w:val="22"/>
          <w:szCs w:val="22"/>
        </w:rPr>
        <w:t xml:space="preserve">  Mobility Fund Phase I will accelerate new mobile infrastructure deployment by awarding up to $300 million in one-time support to recipients that commit to provide 3G or better mobile voice and broadband services in census blocks that currently lack such services.</w:t>
      </w:r>
      <w:r w:rsidRPr="00A81733">
        <w:rPr>
          <w:sz w:val="22"/>
          <w:szCs w:val="22"/>
          <w:vertAlign w:val="superscript"/>
        </w:rPr>
        <w:footnoteReference w:id="1201"/>
      </w:r>
      <w:r w:rsidRPr="00A81733">
        <w:rPr>
          <w:sz w:val="22"/>
          <w:szCs w:val="22"/>
        </w:rPr>
        <w:t xml:space="preserve">  Phase I of the Mobility Fund assigned support using a reverse</w:t>
      </w:r>
      <w:r w:rsidRPr="00A81733">
        <w:rPr>
          <w:rFonts w:ascii="TimesNewRoman" w:hAnsi="TimesNewRoman" w:cs="TimesNewRoman"/>
          <w:color w:val="010101"/>
          <w:sz w:val="22"/>
          <w:szCs w:val="22"/>
          <w:lang w:eastAsia="zh-CN"/>
        </w:rPr>
        <w:t xml:space="preserve"> </w:t>
      </w:r>
      <w:r w:rsidRPr="00A81733">
        <w:rPr>
          <w:sz w:val="22"/>
          <w:szCs w:val="22"/>
        </w:rPr>
        <w:t>auction, which took place on September 27, 2012.</w:t>
      </w:r>
      <w:r w:rsidRPr="00A81733">
        <w:rPr>
          <w:sz w:val="22"/>
          <w:szCs w:val="22"/>
          <w:vertAlign w:val="superscript"/>
        </w:rPr>
        <w:footnoteReference w:id="1202"/>
      </w:r>
      <w:r w:rsidRPr="00A81733">
        <w:rPr>
          <w:sz w:val="22"/>
          <w:szCs w:val="22"/>
        </w:rPr>
        <w:t xml:space="preserve">  In Phase II of the Mobility Fund, the Commission will provide up to $500 million per year in ongoing support to expand deployment and sustain mobile voice and broadband services in areas in which such service would be unavailable absent USF support.</w:t>
      </w:r>
      <w:r w:rsidRPr="00A81733">
        <w:rPr>
          <w:sz w:val="22"/>
          <w:szCs w:val="22"/>
          <w:vertAlign w:val="superscript"/>
        </w:rPr>
        <w:footnoteReference w:id="1203"/>
      </w:r>
      <w:r w:rsidRPr="00A81733">
        <w:rPr>
          <w:sz w:val="22"/>
          <w:szCs w:val="22"/>
        </w:rPr>
        <w:t xml:space="preserve">  The Commission’s proposed methodology and operational details for distributing ongoing support in Mobility Fund Phase II are the subject of an ongoing proceeding.</w:t>
      </w:r>
      <w:r w:rsidRPr="00A81733">
        <w:rPr>
          <w:rStyle w:val="FootnoteReference"/>
          <w:szCs w:val="22"/>
        </w:rPr>
        <w:footnoteReference w:id="1204"/>
      </w:r>
      <w:r w:rsidRPr="00A81733">
        <w:rPr>
          <w:sz w:val="22"/>
          <w:szCs w:val="22"/>
        </w:rPr>
        <w:t xml:space="preserve"> </w:t>
      </w:r>
    </w:p>
    <w:p w:rsidR="004A147C" w:rsidRPr="00A81733" w:rsidRDefault="004A147C" w:rsidP="00CE5850">
      <w:pPr>
        <w:pStyle w:val="ParaNum"/>
        <w:numPr>
          <w:ilvl w:val="0"/>
          <w:numId w:val="28"/>
        </w:numPr>
        <w:rPr>
          <w:sz w:val="22"/>
          <w:szCs w:val="22"/>
        </w:rPr>
      </w:pPr>
      <w:r w:rsidRPr="00A81733">
        <w:rPr>
          <w:bCs/>
          <w:sz w:val="22"/>
          <w:szCs w:val="22"/>
        </w:rPr>
        <w:t>As noted above, in 2010, Verizon Wireless launched the LTE in Rural America Program to expand LTE coverage in rural areas.  Under this program, Verizon Wireless leases portions of its 700 MHz Upper C Block spectrum licenses to facilities-based mobile wireless service providers in rural areas where Verizon Wireless currently lacks coverage and does not intend to build out.</w:t>
      </w:r>
      <w:r w:rsidRPr="00A81733">
        <w:rPr>
          <w:bCs/>
          <w:sz w:val="22"/>
          <w:szCs w:val="22"/>
          <w:vertAlign w:val="superscript"/>
        </w:rPr>
        <w:footnoteReference w:id="1205"/>
      </w:r>
      <w:r w:rsidRPr="00A81733">
        <w:rPr>
          <w:bCs/>
          <w:sz w:val="22"/>
          <w:szCs w:val="22"/>
        </w:rPr>
        <w:t xml:space="preserve">  The rural providers use this spectrum to build out an LTE network in those areas and market service under their own brand name and pricing plans.</w:t>
      </w:r>
      <w:r w:rsidRPr="00A81733">
        <w:rPr>
          <w:bCs/>
          <w:sz w:val="22"/>
          <w:szCs w:val="22"/>
          <w:vertAlign w:val="superscript"/>
        </w:rPr>
        <w:footnoteReference w:id="1206"/>
      </w:r>
      <w:r w:rsidRPr="00A81733">
        <w:rPr>
          <w:bCs/>
          <w:sz w:val="22"/>
          <w:szCs w:val="22"/>
        </w:rPr>
        <w:t xml:space="preserve">  The program includes reciprocal roaming rights; the LTE customers of the rural providers can roam on Verizon Wireless’s nationwide LTE network, while Verizon Wireless’s customers can roam on the rural providers’ LTE networks when traveling in such areas.</w:t>
      </w:r>
      <w:r w:rsidRPr="00A81733">
        <w:rPr>
          <w:bCs/>
          <w:sz w:val="22"/>
          <w:szCs w:val="22"/>
          <w:vertAlign w:val="superscript"/>
        </w:rPr>
        <w:footnoteReference w:id="1207"/>
      </w:r>
      <w:r w:rsidRPr="00A81733">
        <w:rPr>
          <w:bCs/>
          <w:sz w:val="22"/>
          <w:szCs w:val="22"/>
        </w:rPr>
        <w:t xml:space="preserve">  As of September 2012, the program included 18 small, rural providers that planned to launch LTE to areas covering 2.7 million people across 14 states.</w:t>
      </w:r>
      <w:r w:rsidRPr="00A81733">
        <w:rPr>
          <w:bCs/>
          <w:sz w:val="22"/>
          <w:szCs w:val="22"/>
          <w:vertAlign w:val="superscript"/>
        </w:rPr>
        <w:footnoteReference w:id="1208"/>
      </w:r>
      <w:r w:rsidRPr="00A81733">
        <w:rPr>
          <w:bCs/>
          <w:sz w:val="22"/>
          <w:szCs w:val="22"/>
        </w:rPr>
        <w:t xml:space="preserve">  In April 2012, Pioneer Cellular became the first rural provider to launch LTE service, to six counties in Oklahoma, as part of the program.</w:t>
      </w:r>
      <w:r w:rsidRPr="00A81733">
        <w:rPr>
          <w:bCs/>
          <w:sz w:val="22"/>
          <w:szCs w:val="22"/>
          <w:vertAlign w:val="superscript"/>
        </w:rPr>
        <w:footnoteReference w:id="1209"/>
      </w:r>
      <w:r w:rsidRPr="00A81733">
        <w:rPr>
          <w:sz w:val="22"/>
          <w:szCs w:val="22"/>
        </w:rPr>
        <w:t xml:space="preserve"> </w:t>
      </w:r>
    </w:p>
    <w:p w:rsidR="004A147C" w:rsidRPr="00B53FFB" w:rsidRDefault="004A147C" w:rsidP="00CE5850">
      <w:pPr>
        <w:numPr>
          <w:ilvl w:val="2"/>
          <w:numId w:val="26"/>
        </w:numPr>
        <w:tabs>
          <w:tab w:val="left" w:pos="2160"/>
        </w:tabs>
        <w:spacing w:after="120"/>
        <w:outlineLvl w:val="2"/>
        <w:rPr>
          <w:b/>
          <w:szCs w:val="22"/>
        </w:rPr>
      </w:pPr>
      <w:bookmarkStart w:id="5619" w:name="_Toc331766377"/>
      <w:bookmarkStart w:id="5620" w:name="_Toc332119181"/>
      <w:bookmarkStart w:id="5621" w:name="_Toc334088849"/>
      <w:bookmarkStart w:id="5622" w:name="_Toc334089085"/>
      <w:bookmarkStart w:id="5623" w:name="_Toc334089244"/>
      <w:bookmarkStart w:id="5624" w:name="_Toc334089355"/>
      <w:bookmarkStart w:id="5625" w:name="_Toc334089519"/>
      <w:bookmarkStart w:id="5626" w:name="_Toc336268661"/>
      <w:bookmarkStart w:id="5627" w:name="_Toc336268769"/>
      <w:bookmarkStart w:id="5628" w:name="_Toc336268876"/>
      <w:bookmarkStart w:id="5629" w:name="_Toc336269090"/>
      <w:bookmarkStart w:id="5630" w:name="_Toc336269197"/>
      <w:bookmarkStart w:id="5631" w:name="_Toc336269565"/>
      <w:bookmarkStart w:id="5632" w:name="_Toc336269711"/>
      <w:bookmarkStart w:id="5633" w:name="_Toc336270124"/>
      <w:r w:rsidRPr="00B53FFB">
        <w:rPr>
          <w:b/>
          <w:szCs w:val="22"/>
        </w:rPr>
        <w:t>Service Provision in Rural CMAs</w:t>
      </w:r>
      <w:bookmarkEnd w:id="5619"/>
      <w:bookmarkEnd w:id="5620"/>
      <w:bookmarkEnd w:id="5621"/>
      <w:bookmarkEnd w:id="5622"/>
      <w:bookmarkEnd w:id="5623"/>
      <w:bookmarkEnd w:id="5624"/>
      <w:bookmarkEnd w:id="5625"/>
      <w:bookmarkEnd w:id="5626"/>
      <w:bookmarkEnd w:id="5627"/>
      <w:bookmarkEnd w:id="5628"/>
      <w:bookmarkEnd w:id="5629"/>
      <w:bookmarkEnd w:id="5630"/>
      <w:bookmarkEnd w:id="5631"/>
      <w:bookmarkEnd w:id="5632"/>
      <w:bookmarkEnd w:id="5633"/>
    </w:p>
    <w:p w:rsidR="004A147C" w:rsidRPr="00A81733" w:rsidRDefault="004A147C" w:rsidP="00CE5850">
      <w:pPr>
        <w:pStyle w:val="ParaNum"/>
        <w:numPr>
          <w:ilvl w:val="0"/>
          <w:numId w:val="28"/>
        </w:numPr>
        <w:rPr>
          <w:sz w:val="22"/>
          <w:szCs w:val="22"/>
        </w:rPr>
      </w:pPr>
      <w:r w:rsidRPr="00A81733">
        <w:rPr>
          <w:sz w:val="22"/>
          <w:szCs w:val="22"/>
        </w:rPr>
        <w:t>As discussed above, we can examine mobile wireless service provision at the CMA level using NRUF data.</w:t>
      </w:r>
      <w:r w:rsidRPr="00A81733">
        <w:rPr>
          <w:rStyle w:val="FootnoteReference"/>
          <w:szCs w:val="22"/>
        </w:rPr>
        <w:footnoteReference w:id="1210"/>
      </w:r>
      <w:r w:rsidRPr="00A81733">
        <w:rPr>
          <w:sz w:val="22"/>
          <w:szCs w:val="22"/>
        </w:rPr>
        <w:t xml:space="preserve">  Using these data, we compare the number of wireless service providers offering service in rural and non-rural CMAs (see </w:t>
      </w:r>
      <w:r w:rsidR="009836C0" w:rsidRPr="00A81733">
        <w:rPr>
          <w:sz w:val="22"/>
          <w:szCs w:val="22"/>
        </w:rPr>
        <w:fldChar w:fldCharType="begin"/>
      </w:r>
      <w:r w:rsidR="009836C0" w:rsidRPr="00A81733">
        <w:rPr>
          <w:sz w:val="22"/>
          <w:szCs w:val="22"/>
        </w:rPr>
        <w:instrText xml:space="preserve"> REF _Ref278800725  \* MERGEFORMAT </w:instrText>
      </w:r>
      <w:r w:rsidR="009836C0" w:rsidRPr="00A81733">
        <w:rPr>
          <w:sz w:val="22"/>
          <w:szCs w:val="22"/>
        </w:rPr>
        <w:fldChar w:fldCharType="separate"/>
      </w:r>
      <w:r w:rsidR="00CA3AC6" w:rsidRPr="00CA3AC6">
        <w:rPr>
          <w:color w:val="000000"/>
          <w:kern w:val="0"/>
          <w:sz w:val="22"/>
          <w:szCs w:val="22"/>
        </w:rPr>
        <w:t xml:space="preserve">Table </w:t>
      </w:r>
      <w:r w:rsidR="00CA3AC6" w:rsidRPr="00CA3AC6">
        <w:rPr>
          <w:noProof/>
          <w:color w:val="000000"/>
          <w:kern w:val="0"/>
          <w:sz w:val="22"/>
          <w:szCs w:val="22"/>
        </w:rPr>
        <w:t>63</w:t>
      </w:r>
      <w:r w:rsidR="009836C0" w:rsidRPr="00A81733">
        <w:rPr>
          <w:noProof/>
          <w:color w:val="000000"/>
          <w:kern w:val="0"/>
          <w:sz w:val="22"/>
          <w:szCs w:val="22"/>
        </w:rPr>
        <w:fldChar w:fldCharType="end"/>
      </w:r>
      <w:r w:rsidR="006932D2">
        <w:rPr>
          <w:noProof/>
          <w:color w:val="000000"/>
          <w:kern w:val="0"/>
          <w:sz w:val="22"/>
          <w:szCs w:val="22"/>
        </w:rPr>
        <w:t xml:space="preserve"> and </w:t>
      </w:r>
      <w:r w:rsidR="0007014B" w:rsidRPr="00A81733">
        <w:rPr>
          <w:sz w:val="22"/>
          <w:szCs w:val="22"/>
        </w:rPr>
        <w:fldChar w:fldCharType="begin"/>
      </w:r>
      <w:r w:rsidRPr="00A81733">
        <w:rPr>
          <w:sz w:val="22"/>
          <w:szCs w:val="22"/>
        </w:rPr>
        <w:instrText xml:space="preserve"> REF _Ref342490153 </w:instrText>
      </w:r>
      <w:r w:rsidR="00A81733">
        <w:rPr>
          <w:sz w:val="22"/>
          <w:szCs w:val="22"/>
        </w:rPr>
        <w:instrText xml:space="preserve"> \* MERGEFORMAT </w:instrText>
      </w:r>
      <w:r w:rsidR="0007014B" w:rsidRPr="00A81733">
        <w:rPr>
          <w:sz w:val="22"/>
          <w:szCs w:val="22"/>
        </w:rPr>
        <w:fldChar w:fldCharType="separate"/>
      </w:r>
      <w:r w:rsidR="00CA3AC6" w:rsidRPr="00AB43CD">
        <w:rPr>
          <w:sz w:val="22"/>
          <w:szCs w:val="22"/>
        </w:rPr>
        <w:t xml:space="preserve">Table </w:t>
      </w:r>
      <w:r w:rsidR="00CA3AC6">
        <w:rPr>
          <w:noProof/>
          <w:sz w:val="22"/>
          <w:szCs w:val="22"/>
        </w:rPr>
        <w:t>64</w:t>
      </w:r>
      <w:r w:rsidR="0007014B" w:rsidRPr="00A81733">
        <w:rPr>
          <w:sz w:val="22"/>
          <w:szCs w:val="22"/>
        </w:rPr>
        <w:fldChar w:fldCharType="end"/>
      </w:r>
      <w:r w:rsidRPr="00A81733">
        <w:rPr>
          <w:sz w:val="22"/>
          <w:szCs w:val="22"/>
        </w:rPr>
        <w:t xml:space="preserve"> below).  For this purpose, we consider a CMA to be rural if it has a population density less than or equal to 100 persons per square mile.</w:t>
      </w:r>
      <w:r w:rsidRPr="00A81733">
        <w:rPr>
          <w:sz w:val="22"/>
          <w:szCs w:val="22"/>
          <w:vertAlign w:val="superscript"/>
        </w:rPr>
        <w:footnoteReference w:id="1211"/>
      </w:r>
      <w:r w:rsidRPr="00A81733">
        <w:rPr>
          <w:sz w:val="22"/>
          <w:szCs w:val="22"/>
        </w:rPr>
        <w:t xml:space="preserve">  Under this definition, 392 CMAs are rural and 324 CMAs are non-rural.  </w:t>
      </w:r>
    </w:p>
    <w:p w:rsidR="004A147C" w:rsidRPr="00A81733" w:rsidRDefault="004A147C" w:rsidP="00CE5850">
      <w:pPr>
        <w:pStyle w:val="ParaNum"/>
        <w:numPr>
          <w:ilvl w:val="0"/>
          <w:numId w:val="28"/>
        </w:numPr>
        <w:rPr>
          <w:sz w:val="22"/>
          <w:szCs w:val="22"/>
        </w:rPr>
      </w:pPr>
      <w:r w:rsidRPr="00A81733">
        <w:rPr>
          <w:bCs/>
          <w:sz w:val="22"/>
          <w:szCs w:val="22"/>
        </w:rPr>
        <w:t>We estimate the number of people living in a CMA with a certain number of mobile wireless providers offering service in that CMA, although these estimates are likely to overestimate the number of facilities-based providers available for selection by any individual customer living in that CMA.  Because many CMAs are made up of several counties and a facilities-based service provider may offer service in only part of a CMA,</w:t>
      </w:r>
      <w:r w:rsidRPr="00A81733">
        <w:rPr>
          <w:bCs/>
          <w:sz w:val="22"/>
          <w:szCs w:val="22"/>
          <w:vertAlign w:val="superscript"/>
        </w:rPr>
        <w:footnoteReference w:id="1212"/>
      </w:r>
      <w:r w:rsidRPr="00A81733">
        <w:rPr>
          <w:bCs/>
          <w:sz w:val="22"/>
          <w:szCs w:val="22"/>
        </w:rPr>
        <w:t xml:space="preserve"> many consumers, especially in rural areas, likely have fewer service provider choices where they live or work than the total number of providers offering service somewhere in their CMA.</w:t>
      </w:r>
      <w:r w:rsidRPr="00A81733">
        <w:rPr>
          <w:rStyle w:val="FootnoteReference"/>
          <w:bCs/>
          <w:szCs w:val="22"/>
        </w:rPr>
        <w:footnoteReference w:id="1213"/>
      </w:r>
    </w:p>
    <w:p w:rsidR="004A147C" w:rsidRPr="00A81733" w:rsidRDefault="004A147C" w:rsidP="00CE5850">
      <w:pPr>
        <w:pStyle w:val="ParaNum"/>
        <w:numPr>
          <w:ilvl w:val="0"/>
          <w:numId w:val="28"/>
        </w:numPr>
        <w:rPr>
          <w:sz w:val="22"/>
          <w:szCs w:val="22"/>
        </w:rPr>
      </w:pPr>
      <w:r w:rsidRPr="00A81733">
        <w:rPr>
          <w:bCs/>
          <w:sz w:val="22"/>
          <w:szCs w:val="22"/>
        </w:rPr>
        <w:t xml:space="preserve">We estimate the number of providers serving at least portions of each of the 716 CMA in the U.S. (excluding territories).   In this </w:t>
      </w:r>
      <w:r w:rsidRPr="00A81733">
        <w:rPr>
          <w:bCs/>
          <w:i/>
          <w:sz w:val="22"/>
          <w:szCs w:val="22"/>
        </w:rPr>
        <w:t>Report</w:t>
      </w:r>
      <w:r w:rsidRPr="00A81733">
        <w:rPr>
          <w:bCs/>
          <w:sz w:val="22"/>
          <w:szCs w:val="22"/>
        </w:rPr>
        <w:t xml:space="preserve">, we consider a provider to be a competitor if it has market share above a particular threshold, and have made estimates based on two alternative thresholds.  Specifically, to estimate the number of providers serving a CMA, we include a provider if it has a greater than two percent market share in </w:t>
      </w:r>
      <w:r w:rsidR="009836C0" w:rsidRPr="00A81733">
        <w:rPr>
          <w:sz w:val="22"/>
          <w:szCs w:val="22"/>
        </w:rPr>
        <w:fldChar w:fldCharType="begin"/>
      </w:r>
      <w:r w:rsidR="009836C0" w:rsidRPr="00A81733">
        <w:rPr>
          <w:sz w:val="22"/>
          <w:szCs w:val="22"/>
        </w:rPr>
        <w:instrText xml:space="preserve"> REF _Ref278800725  \* MERGEFORMAT </w:instrText>
      </w:r>
      <w:r w:rsidR="009836C0" w:rsidRPr="00A81733">
        <w:rPr>
          <w:sz w:val="22"/>
          <w:szCs w:val="22"/>
        </w:rPr>
        <w:fldChar w:fldCharType="separate"/>
      </w:r>
      <w:r w:rsidR="00CA3AC6" w:rsidRPr="00CA3AC6">
        <w:rPr>
          <w:color w:val="000000"/>
          <w:kern w:val="0"/>
          <w:sz w:val="22"/>
          <w:szCs w:val="22"/>
        </w:rPr>
        <w:t xml:space="preserve">Table </w:t>
      </w:r>
      <w:r w:rsidR="00CA3AC6" w:rsidRPr="00CA3AC6">
        <w:rPr>
          <w:noProof/>
          <w:color w:val="000000"/>
          <w:kern w:val="0"/>
          <w:sz w:val="22"/>
          <w:szCs w:val="22"/>
        </w:rPr>
        <w:t>63</w:t>
      </w:r>
      <w:r w:rsidR="009836C0" w:rsidRPr="00A81733">
        <w:rPr>
          <w:noProof/>
          <w:color w:val="000000"/>
          <w:kern w:val="0"/>
          <w:sz w:val="22"/>
          <w:szCs w:val="22"/>
        </w:rPr>
        <w:fldChar w:fldCharType="end"/>
      </w:r>
      <w:r w:rsidRPr="00A81733">
        <w:rPr>
          <w:bCs/>
          <w:sz w:val="22"/>
          <w:szCs w:val="22"/>
        </w:rPr>
        <w:t xml:space="preserve">.  Alternatively, we include providers with at least a five percent market share in </w:t>
      </w:r>
      <w:r w:rsidR="0007014B" w:rsidRPr="00A81733">
        <w:rPr>
          <w:bCs/>
          <w:sz w:val="22"/>
          <w:szCs w:val="22"/>
        </w:rPr>
        <w:fldChar w:fldCharType="begin"/>
      </w:r>
      <w:r w:rsidRPr="00A81733">
        <w:rPr>
          <w:bCs/>
          <w:sz w:val="22"/>
          <w:szCs w:val="22"/>
        </w:rPr>
        <w:instrText xml:space="preserve"> REF _Ref342490153 </w:instrText>
      </w:r>
      <w:r w:rsidR="00A81733">
        <w:rPr>
          <w:bCs/>
          <w:sz w:val="22"/>
          <w:szCs w:val="22"/>
        </w:rPr>
        <w:instrText xml:space="preserve"> \* MERGEFORMAT </w:instrText>
      </w:r>
      <w:r w:rsidR="0007014B" w:rsidRPr="00A81733">
        <w:rPr>
          <w:bCs/>
          <w:sz w:val="22"/>
          <w:szCs w:val="22"/>
        </w:rPr>
        <w:fldChar w:fldCharType="separate"/>
      </w:r>
      <w:r w:rsidR="00CA3AC6" w:rsidRPr="00AB43CD">
        <w:rPr>
          <w:sz w:val="22"/>
          <w:szCs w:val="22"/>
        </w:rPr>
        <w:t xml:space="preserve">Table </w:t>
      </w:r>
      <w:r w:rsidR="00CA3AC6">
        <w:rPr>
          <w:noProof/>
          <w:sz w:val="22"/>
          <w:szCs w:val="22"/>
        </w:rPr>
        <w:t>64</w:t>
      </w:r>
      <w:r w:rsidR="0007014B" w:rsidRPr="00A81733">
        <w:rPr>
          <w:bCs/>
          <w:sz w:val="22"/>
          <w:szCs w:val="22"/>
        </w:rPr>
        <w:fldChar w:fldCharType="end"/>
      </w:r>
      <w:r w:rsidRPr="00A81733">
        <w:rPr>
          <w:bCs/>
          <w:sz w:val="22"/>
          <w:szCs w:val="22"/>
        </w:rPr>
        <w:t>, which provides greater assurance of a meaningful choice for consumers of mobile wireless connections based on NRUF data within the CMA.</w:t>
      </w:r>
      <w:r w:rsidRPr="00A81733">
        <w:rPr>
          <w:rStyle w:val="FootnoteReference"/>
          <w:bCs/>
          <w:szCs w:val="22"/>
        </w:rPr>
        <w:footnoteReference w:id="1214"/>
      </w:r>
    </w:p>
    <w:p w:rsidR="004A147C" w:rsidRPr="00A81733" w:rsidRDefault="006932D2" w:rsidP="00CE5850">
      <w:pPr>
        <w:pStyle w:val="ParaNum"/>
        <w:numPr>
          <w:ilvl w:val="0"/>
          <w:numId w:val="28"/>
        </w:numPr>
        <w:rPr>
          <w:sz w:val="22"/>
          <w:szCs w:val="22"/>
        </w:rPr>
      </w:pPr>
      <w:r w:rsidRPr="006932D2">
        <w:rPr>
          <w:sz w:val="22"/>
          <w:szCs w:val="22"/>
        </w:rPr>
        <w:fldChar w:fldCharType="begin"/>
      </w:r>
      <w:r w:rsidRPr="006932D2">
        <w:rPr>
          <w:sz w:val="22"/>
          <w:szCs w:val="22"/>
        </w:rPr>
        <w:instrText xml:space="preserve"> REF _Ref278800725  \* MERGEFORMAT </w:instrText>
      </w:r>
      <w:r w:rsidRPr="006932D2">
        <w:rPr>
          <w:sz w:val="22"/>
          <w:szCs w:val="22"/>
        </w:rPr>
        <w:fldChar w:fldCharType="separate"/>
      </w:r>
      <w:r w:rsidR="00CA3AC6" w:rsidRPr="00CA3AC6">
        <w:rPr>
          <w:color w:val="000000"/>
          <w:kern w:val="0"/>
          <w:sz w:val="22"/>
          <w:szCs w:val="22"/>
        </w:rPr>
        <w:t xml:space="preserve">Table </w:t>
      </w:r>
      <w:r w:rsidR="00CA3AC6" w:rsidRPr="00CA3AC6">
        <w:rPr>
          <w:noProof/>
          <w:color w:val="000000"/>
          <w:kern w:val="0"/>
          <w:sz w:val="22"/>
          <w:szCs w:val="22"/>
        </w:rPr>
        <w:t>63</w:t>
      </w:r>
      <w:r w:rsidRPr="006932D2">
        <w:rPr>
          <w:sz w:val="22"/>
          <w:szCs w:val="22"/>
        </w:rPr>
        <w:fldChar w:fldCharType="end"/>
      </w:r>
      <w:r>
        <w:rPr>
          <w:sz w:val="22"/>
          <w:szCs w:val="22"/>
        </w:rPr>
        <w:t xml:space="preserve"> and </w:t>
      </w:r>
      <w:r>
        <w:rPr>
          <w:sz w:val="22"/>
          <w:szCs w:val="22"/>
        </w:rPr>
        <w:fldChar w:fldCharType="begin"/>
      </w:r>
      <w:r>
        <w:rPr>
          <w:sz w:val="22"/>
          <w:szCs w:val="22"/>
        </w:rPr>
        <w:instrText xml:space="preserve"> REF _Ref342490153 </w:instrText>
      </w:r>
      <w:r>
        <w:rPr>
          <w:sz w:val="22"/>
          <w:szCs w:val="22"/>
        </w:rPr>
        <w:fldChar w:fldCharType="separate"/>
      </w:r>
      <w:r w:rsidR="00CA3AC6" w:rsidRPr="00AB43CD">
        <w:rPr>
          <w:sz w:val="22"/>
          <w:szCs w:val="22"/>
        </w:rPr>
        <w:t xml:space="preserve">Table </w:t>
      </w:r>
      <w:r w:rsidR="00CA3AC6">
        <w:rPr>
          <w:noProof/>
          <w:sz w:val="22"/>
          <w:szCs w:val="22"/>
        </w:rPr>
        <w:t>64</w:t>
      </w:r>
      <w:r>
        <w:rPr>
          <w:sz w:val="22"/>
          <w:szCs w:val="22"/>
        </w:rPr>
        <w:fldChar w:fldCharType="end"/>
      </w:r>
      <w:r w:rsidR="004A147C" w:rsidRPr="00A81733">
        <w:rPr>
          <w:sz w:val="22"/>
          <w:szCs w:val="22"/>
        </w:rPr>
        <w:t xml:space="preserve"> show that non-rural CMAs generally have more providers offering service than rural CMAs.  One rural CMA is served by only one provider and 13 percent of rural CMAs are served by only two providers, whereas all non-rural CMAs have more than two providers.  Similarly, 31 percent of rural CMAs have three providers offering service somewhere in the CMA, as compared to only 9 percent of non-rural CMAs.  Thus, consumers in 45 percent of rural CMAs have a choice of at most three facilities-based service providers, compared to only 9 percent of non-rural CMAs.  Conversely, 91 percent of non-rural CMAs, as opposed to 55 percent of rural CMAs, have at least four providers offering service somewhere in the CMA.</w:t>
      </w:r>
    </w:p>
    <w:p w:rsidR="004A147C" w:rsidRDefault="004A147C" w:rsidP="00CE5850">
      <w:pPr>
        <w:tabs>
          <w:tab w:val="num" w:pos="1440"/>
        </w:tabs>
        <w:spacing w:after="120"/>
        <w:rPr>
          <w:szCs w:val="22"/>
        </w:rPr>
      </w:pPr>
    </w:p>
    <w:p w:rsidR="00A72236" w:rsidRDefault="00A72236" w:rsidP="00CE5850">
      <w:pPr>
        <w:tabs>
          <w:tab w:val="num" w:pos="1440"/>
        </w:tabs>
        <w:spacing w:after="120"/>
        <w:rPr>
          <w:szCs w:val="22"/>
        </w:rPr>
      </w:pPr>
    </w:p>
    <w:p w:rsidR="00A72236" w:rsidRDefault="00A72236" w:rsidP="00CE5850">
      <w:pPr>
        <w:tabs>
          <w:tab w:val="num" w:pos="1440"/>
        </w:tabs>
        <w:spacing w:after="120"/>
        <w:rPr>
          <w:szCs w:val="22"/>
        </w:rPr>
      </w:pPr>
    </w:p>
    <w:p w:rsidR="00A72236" w:rsidRDefault="00A72236" w:rsidP="00CE5850">
      <w:pPr>
        <w:tabs>
          <w:tab w:val="num" w:pos="1440"/>
        </w:tabs>
        <w:spacing w:after="120"/>
        <w:rPr>
          <w:szCs w:val="22"/>
        </w:rPr>
      </w:pPr>
    </w:p>
    <w:p w:rsidR="00A72236" w:rsidRPr="00B53FFB" w:rsidRDefault="00A72236" w:rsidP="00CE5850">
      <w:pPr>
        <w:tabs>
          <w:tab w:val="num" w:pos="1440"/>
        </w:tabs>
        <w:spacing w:after="120"/>
        <w:rPr>
          <w:szCs w:val="22"/>
        </w:rPr>
      </w:pPr>
    </w:p>
    <w:p w:rsidR="004A147C" w:rsidRPr="00B53FFB" w:rsidRDefault="004A147C" w:rsidP="00CE5850">
      <w:pPr>
        <w:spacing w:before="120" w:after="120"/>
        <w:jc w:val="center"/>
        <w:rPr>
          <w:b/>
          <w:color w:val="000000"/>
          <w:kern w:val="0"/>
          <w:szCs w:val="22"/>
        </w:rPr>
      </w:pPr>
      <w:bookmarkStart w:id="5634" w:name="_Ref278800725"/>
      <w:r w:rsidRPr="00B53FFB">
        <w:rPr>
          <w:b/>
          <w:color w:val="000000"/>
          <w:kern w:val="0"/>
          <w:szCs w:val="22"/>
        </w:rPr>
        <w:t xml:space="preserve">Table </w:t>
      </w:r>
      <w:r w:rsidR="0007014B" w:rsidRPr="00B53FFB">
        <w:rPr>
          <w:b/>
          <w:color w:val="000000"/>
          <w:kern w:val="0"/>
          <w:szCs w:val="22"/>
        </w:rPr>
        <w:fldChar w:fldCharType="begin"/>
      </w:r>
      <w:r w:rsidRPr="00B53FFB">
        <w:rPr>
          <w:b/>
          <w:color w:val="000000"/>
          <w:kern w:val="0"/>
          <w:szCs w:val="22"/>
        </w:rPr>
        <w:instrText xml:space="preserve"> SEQ Table \* ARABIC </w:instrText>
      </w:r>
      <w:r w:rsidR="0007014B" w:rsidRPr="00B53FFB">
        <w:rPr>
          <w:b/>
          <w:color w:val="000000"/>
          <w:kern w:val="0"/>
          <w:szCs w:val="22"/>
        </w:rPr>
        <w:fldChar w:fldCharType="separate"/>
      </w:r>
      <w:r w:rsidR="00CA3AC6">
        <w:rPr>
          <w:b/>
          <w:noProof/>
          <w:color w:val="000000"/>
          <w:kern w:val="0"/>
          <w:szCs w:val="22"/>
        </w:rPr>
        <w:t>63</w:t>
      </w:r>
      <w:r w:rsidR="0007014B" w:rsidRPr="00B53FFB">
        <w:rPr>
          <w:b/>
          <w:color w:val="000000"/>
          <w:kern w:val="0"/>
          <w:szCs w:val="22"/>
        </w:rPr>
        <w:fldChar w:fldCharType="end"/>
      </w:r>
      <w:bookmarkEnd w:id="5634"/>
      <w:r w:rsidRPr="00B53FFB">
        <w:rPr>
          <w:b/>
          <w:color w:val="000000"/>
          <w:kern w:val="0"/>
          <w:szCs w:val="22"/>
        </w:rPr>
        <w:br/>
        <w:t>Estimated Mobile Wireless Providers Offering Service Anywhere In Rural and Non-Rural CMAs, Excluding Territories, Jan. 2012</w:t>
      </w:r>
      <w:r>
        <w:rPr>
          <w:b/>
          <w:color w:val="000000"/>
          <w:kern w:val="0"/>
          <w:szCs w:val="22"/>
        </w:rPr>
        <w:t xml:space="preserve"> (</w:t>
      </w:r>
      <w:r w:rsidRPr="00AB43CD">
        <w:rPr>
          <w:b/>
          <w:bCs/>
          <w:color w:val="000000"/>
          <w:kern w:val="0"/>
          <w:szCs w:val="22"/>
        </w:rPr>
        <w:t>Two Percent Market Share Threshold</w:t>
      </w:r>
      <w:r>
        <w:rPr>
          <w:b/>
          <w:bCs/>
          <w:color w:val="000000"/>
          <w:kern w:val="0"/>
          <w:szCs w:val="22"/>
        </w:rPr>
        <w:t>)</w:t>
      </w:r>
      <w:r w:rsidRPr="00AB43CD">
        <w:rPr>
          <w:b/>
          <w:color w:val="000000"/>
          <w:kern w:val="0"/>
          <w:szCs w:val="22"/>
          <w:vertAlign w:val="superscript"/>
        </w:rPr>
        <w:t xml:space="preserve"> </w:t>
      </w:r>
      <w:r w:rsidRPr="00B53FFB">
        <w:rPr>
          <w:rStyle w:val="FootnoteReference"/>
          <w:b/>
          <w:kern w:val="0"/>
          <w:szCs w:val="22"/>
        </w:rPr>
        <w:footnoteReference w:id="1215"/>
      </w:r>
    </w:p>
    <w:tbl>
      <w:tblPr>
        <w:tblW w:w="8475" w:type="dxa"/>
        <w:jc w:val="center"/>
        <w:tblInd w:w="93" w:type="dxa"/>
        <w:tblLayout w:type="fixed"/>
        <w:tblLook w:val="0000" w:firstRow="0" w:lastRow="0" w:firstColumn="0" w:lastColumn="0" w:noHBand="0" w:noVBand="0"/>
      </w:tblPr>
      <w:tblGrid>
        <w:gridCol w:w="2180"/>
        <w:gridCol w:w="1435"/>
        <w:gridCol w:w="1440"/>
        <w:gridCol w:w="1800"/>
        <w:gridCol w:w="1620"/>
      </w:tblGrid>
      <w:tr w:rsidR="004A147C" w:rsidRPr="00B53FFB" w:rsidTr="003E0BF1">
        <w:trPr>
          <w:trHeight w:val="255"/>
          <w:jc w:val="center"/>
        </w:trPr>
        <w:tc>
          <w:tcPr>
            <w:tcW w:w="2180" w:type="dxa"/>
            <w:tcBorders>
              <w:top w:val="single" w:sz="4" w:space="0" w:color="auto"/>
              <w:left w:val="single" w:sz="4" w:space="0" w:color="auto"/>
              <w:bottom w:val="single" w:sz="4" w:space="0" w:color="auto"/>
              <w:right w:val="single" w:sz="4" w:space="0" w:color="auto"/>
            </w:tcBorders>
            <w:shd w:val="clear" w:color="auto" w:fill="F2DBDB"/>
            <w:noWrap/>
            <w:vAlign w:val="bottom"/>
          </w:tcPr>
          <w:p w:rsidR="004A147C" w:rsidRPr="00B53FFB" w:rsidRDefault="004A147C" w:rsidP="00CE5850">
            <w:pPr>
              <w:ind w:firstLine="720"/>
              <w:jc w:val="center"/>
              <w:rPr>
                <w:b/>
                <w:bCs/>
                <w:color w:val="000000"/>
                <w:kern w:val="0"/>
                <w:szCs w:val="22"/>
              </w:rPr>
            </w:pPr>
            <w:r w:rsidRPr="00B53FFB">
              <w:rPr>
                <w:b/>
                <w:bCs/>
                <w:color w:val="000000"/>
                <w:kern w:val="0"/>
                <w:szCs w:val="22"/>
              </w:rPr>
              <w:t> </w:t>
            </w:r>
          </w:p>
        </w:tc>
        <w:tc>
          <w:tcPr>
            <w:tcW w:w="2875" w:type="dxa"/>
            <w:gridSpan w:val="2"/>
            <w:tcBorders>
              <w:top w:val="single" w:sz="4" w:space="0" w:color="auto"/>
              <w:left w:val="nil"/>
              <w:bottom w:val="single" w:sz="4" w:space="0" w:color="auto"/>
              <w:right w:val="single" w:sz="4" w:space="0" w:color="000000"/>
            </w:tcBorders>
            <w:shd w:val="clear" w:color="auto" w:fill="F2DBDB"/>
            <w:noWrap/>
            <w:vAlign w:val="bottom"/>
          </w:tcPr>
          <w:p w:rsidR="004A147C" w:rsidRPr="00B53FFB" w:rsidRDefault="004A147C" w:rsidP="00CE5850">
            <w:pPr>
              <w:jc w:val="center"/>
              <w:rPr>
                <w:b/>
                <w:bCs/>
                <w:i/>
                <w:color w:val="000000"/>
                <w:kern w:val="0"/>
                <w:szCs w:val="22"/>
              </w:rPr>
            </w:pPr>
            <w:r w:rsidRPr="00B53FFB">
              <w:rPr>
                <w:b/>
                <w:bCs/>
                <w:i/>
                <w:color w:val="000000"/>
                <w:kern w:val="0"/>
                <w:szCs w:val="22"/>
              </w:rPr>
              <w:t>Non-Rural  CMAs</w:t>
            </w:r>
          </w:p>
        </w:tc>
        <w:tc>
          <w:tcPr>
            <w:tcW w:w="3420" w:type="dxa"/>
            <w:gridSpan w:val="2"/>
            <w:tcBorders>
              <w:top w:val="single" w:sz="4" w:space="0" w:color="auto"/>
              <w:left w:val="nil"/>
              <w:bottom w:val="single" w:sz="4" w:space="0" w:color="auto"/>
              <w:right w:val="single" w:sz="4" w:space="0" w:color="000000"/>
            </w:tcBorders>
            <w:shd w:val="clear" w:color="auto" w:fill="F2DBDB"/>
            <w:noWrap/>
            <w:vAlign w:val="bottom"/>
          </w:tcPr>
          <w:p w:rsidR="004A147C" w:rsidRPr="00B53FFB" w:rsidRDefault="004A147C" w:rsidP="00CE5850">
            <w:pPr>
              <w:ind w:firstLine="720"/>
              <w:rPr>
                <w:b/>
                <w:bCs/>
                <w:i/>
                <w:color w:val="000000"/>
                <w:kern w:val="0"/>
                <w:szCs w:val="22"/>
              </w:rPr>
            </w:pPr>
            <w:r w:rsidRPr="00B53FFB">
              <w:rPr>
                <w:b/>
                <w:bCs/>
                <w:i/>
                <w:color w:val="000000"/>
                <w:kern w:val="0"/>
                <w:szCs w:val="22"/>
              </w:rPr>
              <w:t>Rural CMAs</w:t>
            </w:r>
          </w:p>
        </w:tc>
      </w:tr>
      <w:tr w:rsidR="004A147C" w:rsidRPr="00B53FFB" w:rsidTr="003E0BF1">
        <w:trPr>
          <w:cantSplit/>
          <w:trHeight w:hRule="exact" w:val="820"/>
          <w:jc w:val="center"/>
        </w:trPr>
        <w:tc>
          <w:tcPr>
            <w:tcW w:w="2180" w:type="dxa"/>
            <w:tcBorders>
              <w:top w:val="nil"/>
              <w:left w:val="single" w:sz="4" w:space="0" w:color="auto"/>
              <w:bottom w:val="single" w:sz="4" w:space="0" w:color="auto"/>
              <w:right w:val="single" w:sz="4" w:space="0" w:color="auto"/>
            </w:tcBorders>
            <w:shd w:val="clear" w:color="auto" w:fill="F2DBDB"/>
          </w:tcPr>
          <w:p w:rsidR="004A147C" w:rsidRPr="00B53FFB" w:rsidRDefault="004A147C" w:rsidP="00CE5850">
            <w:pPr>
              <w:rPr>
                <w:b/>
                <w:bCs/>
                <w:i/>
                <w:color w:val="000000"/>
                <w:kern w:val="0"/>
                <w:szCs w:val="22"/>
              </w:rPr>
            </w:pPr>
            <w:r w:rsidRPr="00B53FFB">
              <w:rPr>
                <w:b/>
                <w:bCs/>
                <w:i/>
                <w:color w:val="000000"/>
                <w:kern w:val="0"/>
                <w:szCs w:val="22"/>
              </w:rPr>
              <w:t>Number of Providers Offering Service Anywhere in a CMA</w:t>
            </w:r>
          </w:p>
        </w:tc>
        <w:tc>
          <w:tcPr>
            <w:tcW w:w="1435" w:type="dxa"/>
            <w:tcBorders>
              <w:top w:val="nil"/>
              <w:left w:val="nil"/>
              <w:bottom w:val="single" w:sz="4" w:space="0" w:color="auto"/>
              <w:right w:val="single" w:sz="4" w:space="0" w:color="auto"/>
            </w:tcBorders>
            <w:shd w:val="clear" w:color="auto" w:fill="F2DBDB"/>
          </w:tcPr>
          <w:p w:rsidR="004A147C" w:rsidRPr="00B53FFB" w:rsidRDefault="004A147C" w:rsidP="00CE5850">
            <w:pPr>
              <w:rPr>
                <w:b/>
                <w:bCs/>
                <w:i/>
                <w:color w:val="000000"/>
                <w:kern w:val="0"/>
                <w:szCs w:val="22"/>
              </w:rPr>
            </w:pPr>
            <w:r w:rsidRPr="00B53FFB">
              <w:rPr>
                <w:b/>
                <w:bCs/>
                <w:i/>
                <w:color w:val="000000"/>
                <w:kern w:val="0"/>
                <w:szCs w:val="22"/>
              </w:rPr>
              <w:t>Number of CMAs</w:t>
            </w:r>
          </w:p>
        </w:tc>
        <w:tc>
          <w:tcPr>
            <w:tcW w:w="1440" w:type="dxa"/>
            <w:tcBorders>
              <w:top w:val="nil"/>
              <w:left w:val="nil"/>
              <w:bottom w:val="single" w:sz="4" w:space="0" w:color="auto"/>
              <w:right w:val="single" w:sz="4" w:space="0" w:color="auto"/>
            </w:tcBorders>
            <w:shd w:val="clear" w:color="auto" w:fill="F2DBDB"/>
          </w:tcPr>
          <w:p w:rsidR="004A147C" w:rsidRPr="00B53FFB" w:rsidRDefault="004A147C" w:rsidP="00CE5850">
            <w:pPr>
              <w:rPr>
                <w:b/>
                <w:bCs/>
                <w:i/>
                <w:color w:val="000000"/>
                <w:kern w:val="0"/>
                <w:szCs w:val="22"/>
              </w:rPr>
            </w:pPr>
            <w:r w:rsidRPr="00B53FFB">
              <w:rPr>
                <w:b/>
                <w:bCs/>
                <w:i/>
                <w:color w:val="000000"/>
                <w:kern w:val="0"/>
                <w:szCs w:val="22"/>
              </w:rPr>
              <w:t>Percent of Total CMAs</w:t>
            </w:r>
          </w:p>
        </w:tc>
        <w:tc>
          <w:tcPr>
            <w:tcW w:w="1800" w:type="dxa"/>
            <w:tcBorders>
              <w:top w:val="nil"/>
              <w:left w:val="nil"/>
              <w:bottom w:val="single" w:sz="4" w:space="0" w:color="auto"/>
              <w:right w:val="single" w:sz="4" w:space="0" w:color="auto"/>
            </w:tcBorders>
            <w:shd w:val="clear" w:color="auto" w:fill="F2DBDB"/>
          </w:tcPr>
          <w:p w:rsidR="004A147C" w:rsidRPr="00B53FFB" w:rsidRDefault="004A147C" w:rsidP="00CE5850">
            <w:pPr>
              <w:rPr>
                <w:b/>
                <w:bCs/>
                <w:i/>
                <w:color w:val="000000"/>
                <w:kern w:val="0"/>
                <w:szCs w:val="22"/>
              </w:rPr>
            </w:pPr>
            <w:r w:rsidRPr="00B53FFB">
              <w:rPr>
                <w:b/>
                <w:bCs/>
                <w:i/>
                <w:color w:val="000000"/>
                <w:kern w:val="0"/>
                <w:szCs w:val="22"/>
              </w:rPr>
              <w:t>Number of CMAs</w:t>
            </w:r>
          </w:p>
        </w:tc>
        <w:tc>
          <w:tcPr>
            <w:tcW w:w="1620" w:type="dxa"/>
            <w:tcBorders>
              <w:top w:val="nil"/>
              <w:left w:val="nil"/>
              <w:bottom w:val="single" w:sz="4" w:space="0" w:color="auto"/>
              <w:right w:val="single" w:sz="4" w:space="0" w:color="auto"/>
            </w:tcBorders>
            <w:shd w:val="clear" w:color="auto" w:fill="F2DBDB"/>
          </w:tcPr>
          <w:p w:rsidR="004A147C" w:rsidRPr="00B53FFB" w:rsidRDefault="004A147C" w:rsidP="00CE5850">
            <w:pPr>
              <w:rPr>
                <w:b/>
                <w:bCs/>
                <w:i/>
                <w:color w:val="000000"/>
                <w:kern w:val="0"/>
                <w:szCs w:val="22"/>
              </w:rPr>
            </w:pPr>
            <w:r w:rsidRPr="00B53FFB">
              <w:rPr>
                <w:b/>
                <w:bCs/>
                <w:i/>
                <w:color w:val="000000"/>
                <w:kern w:val="0"/>
                <w:szCs w:val="22"/>
              </w:rPr>
              <w:t>Percent of Total CMAs</w:t>
            </w:r>
          </w:p>
        </w:tc>
      </w:tr>
      <w:tr w:rsidR="004A147C" w:rsidRPr="00B53FFB" w:rsidTr="003E0BF1">
        <w:trPr>
          <w:cantSplit/>
          <w:trHeight w:hRule="exact" w:val="504"/>
          <w:jc w:val="center"/>
        </w:trPr>
        <w:tc>
          <w:tcPr>
            <w:tcW w:w="2180" w:type="dxa"/>
            <w:tcBorders>
              <w:top w:val="single" w:sz="4" w:space="0" w:color="auto"/>
              <w:left w:val="single" w:sz="4" w:space="0" w:color="auto"/>
              <w:bottom w:val="single" w:sz="4" w:space="0" w:color="auto"/>
              <w:right w:val="single" w:sz="4" w:space="0" w:color="auto"/>
            </w:tcBorders>
            <w:shd w:val="clear" w:color="auto" w:fill="F2DBDB"/>
            <w:vAlign w:val="bottom"/>
          </w:tcPr>
          <w:p w:rsidR="004A147C" w:rsidRPr="00B53FFB" w:rsidRDefault="004A147C" w:rsidP="00CE5850">
            <w:pPr>
              <w:spacing w:after="120"/>
              <w:ind w:firstLine="720"/>
              <w:jc w:val="center"/>
              <w:rPr>
                <w:bCs/>
                <w:i/>
                <w:color w:val="000000"/>
                <w:kern w:val="0"/>
                <w:szCs w:val="22"/>
              </w:rPr>
            </w:pPr>
            <w:r w:rsidRPr="00B53FFB">
              <w:rPr>
                <w:bCs/>
                <w:i/>
                <w:color w:val="000000"/>
                <w:kern w:val="0"/>
                <w:szCs w:val="22"/>
              </w:rPr>
              <w:t>Total for U.S. excluding territories</w:t>
            </w:r>
          </w:p>
        </w:tc>
        <w:tc>
          <w:tcPr>
            <w:tcW w:w="1435" w:type="dxa"/>
            <w:tcBorders>
              <w:top w:val="single" w:sz="4" w:space="0" w:color="auto"/>
              <w:left w:val="nil"/>
              <w:bottom w:val="single" w:sz="4" w:space="0" w:color="auto"/>
              <w:right w:val="single" w:sz="4" w:space="0" w:color="auto"/>
            </w:tcBorders>
            <w:shd w:val="clear" w:color="auto" w:fill="F2DBDB"/>
            <w:vAlign w:val="bottom"/>
          </w:tcPr>
          <w:p w:rsidR="004A147C" w:rsidRPr="00B53FFB" w:rsidRDefault="004A147C" w:rsidP="00CE5850">
            <w:pPr>
              <w:spacing w:after="120"/>
              <w:ind w:firstLine="720"/>
              <w:jc w:val="right"/>
              <w:rPr>
                <w:bCs/>
                <w:i/>
                <w:color w:val="000000"/>
                <w:kern w:val="0"/>
                <w:szCs w:val="22"/>
              </w:rPr>
            </w:pPr>
            <w:r w:rsidRPr="00B53FFB">
              <w:rPr>
                <w:i/>
                <w:color w:val="000000"/>
                <w:szCs w:val="22"/>
              </w:rPr>
              <w:t>324</w:t>
            </w:r>
          </w:p>
        </w:tc>
        <w:tc>
          <w:tcPr>
            <w:tcW w:w="1440" w:type="dxa"/>
            <w:tcBorders>
              <w:top w:val="single" w:sz="4" w:space="0" w:color="auto"/>
              <w:left w:val="nil"/>
              <w:bottom w:val="single" w:sz="4" w:space="0" w:color="auto"/>
              <w:right w:val="single" w:sz="4" w:space="0" w:color="auto"/>
            </w:tcBorders>
            <w:shd w:val="clear" w:color="auto" w:fill="F2DBDB"/>
            <w:vAlign w:val="bottom"/>
          </w:tcPr>
          <w:p w:rsidR="004A147C" w:rsidRPr="00B53FFB" w:rsidRDefault="004A147C" w:rsidP="00CE5850">
            <w:pPr>
              <w:spacing w:after="120"/>
              <w:jc w:val="right"/>
              <w:rPr>
                <w:bCs/>
                <w:i/>
                <w:color w:val="000000"/>
                <w:kern w:val="0"/>
                <w:szCs w:val="22"/>
              </w:rPr>
            </w:pPr>
            <w:r w:rsidRPr="00B53FFB">
              <w:rPr>
                <w:i/>
                <w:color w:val="000000"/>
                <w:szCs w:val="22"/>
              </w:rPr>
              <w:t>100%</w:t>
            </w:r>
          </w:p>
        </w:tc>
        <w:tc>
          <w:tcPr>
            <w:tcW w:w="1800" w:type="dxa"/>
            <w:tcBorders>
              <w:top w:val="single" w:sz="4" w:space="0" w:color="auto"/>
              <w:left w:val="nil"/>
              <w:bottom w:val="single" w:sz="4" w:space="0" w:color="auto"/>
              <w:right w:val="single" w:sz="4" w:space="0" w:color="auto"/>
            </w:tcBorders>
            <w:shd w:val="clear" w:color="auto" w:fill="F2DBDB"/>
            <w:vAlign w:val="bottom"/>
          </w:tcPr>
          <w:p w:rsidR="004A147C" w:rsidRPr="00B53FFB" w:rsidRDefault="004A147C" w:rsidP="00CE5850">
            <w:pPr>
              <w:spacing w:after="120"/>
              <w:ind w:firstLine="720"/>
              <w:jc w:val="right"/>
              <w:rPr>
                <w:bCs/>
                <w:i/>
                <w:color w:val="000000"/>
                <w:kern w:val="0"/>
                <w:szCs w:val="22"/>
              </w:rPr>
            </w:pPr>
            <w:r w:rsidRPr="00B53FFB">
              <w:rPr>
                <w:i/>
                <w:color w:val="000000"/>
                <w:szCs w:val="22"/>
              </w:rPr>
              <w:t>392</w:t>
            </w:r>
          </w:p>
        </w:tc>
        <w:tc>
          <w:tcPr>
            <w:tcW w:w="1620" w:type="dxa"/>
            <w:tcBorders>
              <w:top w:val="single" w:sz="4" w:space="0" w:color="auto"/>
              <w:left w:val="nil"/>
              <w:bottom w:val="single" w:sz="4" w:space="0" w:color="auto"/>
              <w:right w:val="single" w:sz="4" w:space="0" w:color="auto"/>
            </w:tcBorders>
            <w:shd w:val="clear" w:color="auto" w:fill="F2DBDB"/>
            <w:vAlign w:val="bottom"/>
          </w:tcPr>
          <w:p w:rsidR="004A147C" w:rsidRPr="00B53FFB" w:rsidRDefault="004A147C" w:rsidP="00CE5850">
            <w:pPr>
              <w:spacing w:after="120"/>
              <w:ind w:firstLine="720"/>
              <w:jc w:val="right"/>
              <w:rPr>
                <w:bCs/>
                <w:i/>
                <w:color w:val="000000"/>
                <w:kern w:val="0"/>
                <w:szCs w:val="22"/>
              </w:rPr>
            </w:pPr>
            <w:r w:rsidRPr="00B53FFB">
              <w:rPr>
                <w:i/>
                <w:color w:val="000000"/>
                <w:szCs w:val="22"/>
              </w:rPr>
              <w:t>100%</w:t>
            </w:r>
          </w:p>
        </w:tc>
      </w:tr>
      <w:tr w:rsidR="004A147C" w:rsidRPr="00B53FFB" w:rsidTr="003E0BF1">
        <w:trPr>
          <w:cantSplit/>
          <w:trHeight w:hRule="exact" w:val="288"/>
          <w:jc w:val="center"/>
        </w:trPr>
        <w:tc>
          <w:tcPr>
            <w:tcW w:w="2180" w:type="dxa"/>
            <w:tcBorders>
              <w:top w:val="nil"/>
              <w:left w:val="single" w:sz="4" w:space="0" w:color="auto"/>
              <w:bottom w:val="single" w:sz="4" w:space="0" w:color="auto"/>
              <w:right w:val="single" w:sz="4" w:space="0" w:color="auto"/>
            </w:tcBorders>
            <w:shd w:val="clear" w:color="auto" w:fill="F2DBDB"/>
            <w:noWrap/>
            <w:vAlign w:val="bottom"/>
          </w:tcPr>
          <w:p w:rsidR="004A147C" w:rsidRPr="00B53FFB" w:rsidRDefault="004A147C" w:rsidP="00CE5850">
            <w:pPr>
              <w:jc w:val="right"/>
              <w:rPr>
                <w:color w:val="000000"/>
                <w:kern w:val="0"/>
                <w:szCs w:val="22"/>
              </w:rPr>
            </w:pPr>
            <w:r w:rsidRPr="00B53FFB">
              <w:rPr>
                <w:color w:val="000000"/>
                <w:kern w:val="0"/>
                <w:szCs w:val="22"/>
              </w:rPr>
              <w:t>1 provider</w:t>
            </w:r>
          </w:p>
        </w:tc>
        <w:tc>
          <w:tcPr>
            <w:tcW w:w="1435" w:type="dxa"/>
            <w:tcBorders>
              <w:top w:val="nil"/>
              <w:left w:val="nil"/>
              <w:bottom w:val="single" w:sz="4" w:space="0" w:color="auto"/>
              <w:right w:val="single" w:sz="4" w:space="0" w:color="auto"/>
            </w:tcBorders>
            <w:shd w:val="clear" w:color="auto" w:fill="F2DBDB"/>
            <w:noWrap/>
            <w:vAlign w:val="bottom"/>
          </w:tcPr>
          <w:p w:rsidR="004A147C" w:rsidRPr="00B53FFB" w:rsidRDefault="004A147C" w:rsidP="00CE5850">
            <w:pPr>
              <w:spacing w:after="120"/>
              <w:ind w:firstLine="720"/>
              <w:jc w:val="right"/>
              <w:rPr>
                <w:bCs/>
                <w:color w:val="000000"/>
                <w:kern w:val="0"/>
                <w:szCs w:val="22"/>
              </w:rPr>
            </w:pPr>
            <w:r w:rsidRPr="00B53FFB">
              <w:rPr>
                <w:color w:val="000000"/>
                <w:szCs w:val="22"/>
              </w:rPr>
              <w:t>0</w:t>
            </w:r>
          </w:p>
        </w:tc>
        <w:tc>
          <w:tcPr>
            <w:tcW w:w="1440" w:type="dxa"/>
            <w:tcBorders>
              <w:top w:val="nil"/>
              <w:left w:val="nil"/>
              <w:bottom w:val="single" w:sz="4" w:space="0" w:color="auto"/>
              <w:right w:val="single" w:sz="4" w:space="0" w:color="auto"/>
            </w:tcBorders>
            <w:shd w:val="clear" w:color="auto" w:fill="F2DBDB"/>
            <w:noWrap/>
            <w:vAlign w:val="bottom"/>
          </w:tcPr>
          <w:p w:rsidR="004A147C" w:rsidRPr="00B53FFB" w:rsidRDefault="004A147C" w:rsidP="00CE5850">
            <w:pPr>
              <w:spacing w:after="120"/>
              <w:ind w:firstLine="720"/>
              <w:jc w:val="right"/>
              <w:rPr>
                <w:bCs/>
                <w:color w:val="000000"/>
                <w:kern w:val="0"/>
                <w:szCs w:val="22"/>
              </w:rPr>
            </w:pPr>
            <w:r w:rsidRPr="00B53FFB">
              <w:rPr>
                <w:bCs/>
                <w:color w:val="000000"/>
                <w:kern w:val="0"/>
                <w:szCs w:val="22"/>
              </w:rPr>
              <w:t>0%</w:t>
            </w:r>
          </w:p>
        </w:tc>
        <w:tc>
          <w:tcPr>
            <w:tcW w:w="1800" w:type="dxa"/>
            <w:tcBorders>
              <w:top w:val="nil"/>
              <w:left w:val="nil"/>
              <w:bottom w:val="single" w:sz="4" w:space="0" w:color="auto"/>
              <w:right w:val="single" w:sz="4" w:space="0" w:color="auto"/>
            </w:tcBorders>
            <w:shd w:val="clear" w:color="auto" w:fill="F2DBDB"/>
            <w:noWrap/>
            <w:vAlign w:val="bottom"/>
          </w:tcPr>
          <w:p w:rsidR="004A147C" w:rsidRPr="00B53FFB" w:rsidRDefault="004A147C" w:rsidP="00CE5850">
            <w:pPr>
              <w:spacing w:after="120"/>
              <w:ind w:firstLine="720"/>
              <w:jc w:val="right"/>
              <w:rPr>
                <w:bCs/>
                <w:color w:val="000000"/>
                <w:kern w:val="0"/>
                <w:szCs w:val="22"/>
              </w:rPr>
            </w:pPr>
            <w:r w:rsidRPr="00B53FFB">
              <w:rPr>
                <w:color w:val="000000"/>
                <w:szCs w:val="22"/>
              </w:rPr>
              <w:t>1</w:t>
            </w:r>
          </w:p>
        </w:tc>
        <w:tc>
          <w:tcPr>
            <w:tcW w:w="1620" w:type="dxa"/>
            <w:tcBorders>
              <w:top w:val="nil"/>
              <w:left w:val="nil"/>
              <w:bottom w:val="single" w:sz="4" w:space="0" w:color="auto"/>
              <w:right w:val="single" w:sz="4" w:space="0" w:color="auto"/>
            </w:tcBorders>
            <w:shd w:val="clear" w:color="auto" w:fill="F2DBDB"/>
            <w:noWrap/>
            <w:vAlign w:val="bottom"/>
          </w:tcPr>
          <w:p w:rsidR="004A147C" w:rsidRPr="00B53FFB" w:rsidRDefault="004A147C" w:rsidP="00CE5850">
            <w:pPr>
              <w:spacing w:after="120"/>
              <w:ind w:firstLine="720"/>
              <w:jc w:val="right"/>
              <w:rPr>
                <w:bCs/>
                <w:color w:val="000000"/>
                <w:kern w:val="0"/>
                <w:szCs w:val="22"/>
              </w:rPr>
            </w:pPr>
            <w:r w:rsidRPr="00B53FFB">
              <w:rPr>
                <w:bCs/>
                <w:color w:val="000000"/>
                <w:kern w:val="0"/>
                <w:szCs w:val="22"/>
              </w:rPr>
              <w:t>0.3%</w:t>
            </w:r>
          </w:p>
        </w:tc>
      </w:tr>
      <w:tr w:rsidR="004A147C" w:rsidRPr="00B53FFB" w:rsidTr="003E0BF1">
        <w:trPr>
          <w:cantSplit/>
          <w:trHeight w:hRule="exact" w:val="288"/>
          <w:jc w:val="center"/>
        </w:trPr>
        <w:tc>
          <w:tcPr>
            <w:tcW w:w="2180" w:type="dxa"/>
            <w:tcBorders>
              <w:top w:val="nil"/>
              <w:left w:val="single" w:sz="4" w:space="0" w:color="auto"/>
              <w:bottom w:val="single" w:sz="4" w:space="0" w:color="auto"/>
              <w:right w:val="single" w:sz="4" w:space="0" w:color="auto"/>
            </w:tcBorders>
            <w:shd w:val="clear" w:color="auto" w:fill="F2DBDB"/>
            <w:noWrap/>
            <w:vAlign w:val="bottom"/>
          </w:tcPr>
          <w:p w:rsidR="004A147C" w:rsidRPr="00B53FFB" w:rsidRDefault="004A147C" w:rsidP="00CE5850">
            <w:pPr>
              <w:jc w:val="right"/>
              <w:rPr>
                <w:color w:val="000000"/>
                <w:kern w:val="0"/>
                <w:szCs w:val="22"/>
              </w:rPr>
            </w:pPr>
            <w:r w:rsidRPr="00B53FFB">
              <w:rPr>
                <w:color w:val="000000"/>
                <w:kern w:val="0"/>
                <w:szCs w:val="22"/>
              </w:rPr>
              <w:t>2 providers</w:t>
            </w:r>
          </w:p>
        </w:tc>
        <w:tc>
          <w:tcPr>
            <w:tcW w:w="1435" w:type="dxa"/>
            <w:tcBorders>
              <w:top w:val="nil"/>
              <w:left w:val="nil"/>
              <w:bottom w:val="single" w:sz="4" w:space="0" w:color="auto"/>
              <w:right w:val="single" w:sz="4" w:space="0" w:color="auto"/>
            </w:tcBorders>
            <w:shd w:val="clear" w:color="auto" w:fill="F2DBDB"/>
            <w:noWrap/>
            <w:vAlign w:val="bottom"/>
          </w:tcPr>
          <w:p w:rsidR="004A147C" w:rsidRPr="00B53FFB" w:rsidRDefault="004A147C" w:rsidP="00CE5850">
            <w:pPr>
              <w:spacing w:after="120"/>
              <w:ind w:firstLine="720"/>
              <w:jc w:val="right"/>
              <w:rPr>
                <w:bCs/>
                <w:color w:val="000000"/>
                <w:kern w:val="0"/>
                <w:szCs w:val="22"/>
              </w:rPr>
            </w:pPr>
            <w:r>
              <w:rPr>
                <w:color w:val="000000"/>
                <w:szCs w:val="22"/>
              </w:rPr>
              <w:t>0</w:t>
            </w:r>
          </w:p>
        </w:tc>
        <w:tc>
          <w:tcPr>
            <w:tcW w:w="1440" w:type="dxa"/>
            <w:tcBorders>
              <w:top w:val="nil"/>
              <w:left w:val="nil"/>
              <w:bottom w:val="single" w:sz="4" w:space="0" w:color="auto"/>
              <w:right w:val="single" w:sz="4" w:space="0" w:color="auto"/>
            </w:tcBorders>
            <w:shd w:val="clear" w:color="auto" w:fill="F2DBDB"/>
            <w:noWrap/>
            <w:vAlign w:val="bottom"/>
          </w:tcPr>
          <w:p w:rsidR="004A147C" w:rsidRPr="00B53FFB" w:rsidRDefault="004A147C" w:rsidP="00CE5850">
            <w:pPr>
              <w:spacing w:after="120"/>
              <w:ind w:firstLine="720"/>
              <w:jc w:val="right"/>
              <w:rPr>
                <w:bCs/>
                <w:color w:val="000000"/>
                <w:kern w:val="0"/>
                <w:szCs w:val="22"/>
              </w:rPr>
            </w:pPr>
            <w:r w:rsidRPr="00B53FFB">
              <w:rPr>
                <w:bCs/>
                <w:color w:val="000000"/>
                <w:kern w:val="0"/>
                <w:szCs w:val="22"/>
              </w:rPr>
              <w:t>0%</w:t>
            </w:r>
          </w:p>
        </w:tc>
        <w:tc>
          <w:tcPr>
            <w:tcW w:w="1800" w:type="dxa"/>
            <w:tcBorders>
              <w:top w:val="nil"/>
              <w:left w:val="nil"/>
              <w:bottom w:val="single" w:sz="4" w:space="0" w:color="auto"/>
              <w:right w:val="single" w:sz="4" w:space="0" w:color="auto"/>
            </w:tcBorders>
            <w:shd w:val="clear" w:color="auto" w:fill="F2DBDB"/>
            <w:noWrap/>
            <w:vAlign w:val="bottom"/>
          </w:tcPr>
          <w:p w:rsidR="004A147C" w:rsidRPr="00B53FFB" w:rsidRDefault="004A147C" w:rsidP="00CE5850">
            <w:pPr>
              <w:spacing w:after="120"/>
              <w:ind w:firstLine="720"/>
              <w:jc w:val="right"/>
              <w:rPr>
                <w:bCs/>
                <w:color w:val="000000"/>
                <w:kern w:val="0"/>
                <w:szCs w:val="22"/>
              </w:rPr>
            </w:pPr>
            <w:r w:rsidRPr="00B53FFB">
              <w:rPr>
                <w:color w:val="000000"/>
                <w:szCs w:val="22"/>
              </w:rPr>
              <w:t>51</w:t>
            </w:r>
          </w:p>
        </w:tc>
        <w:tc>
          <w:tcPr>
            <w:tcW w:w="1620" w:type="dxa"/>
            <w:tcBorders>
              <w:top w:val="nil"/>
              <w:left w:val="nil"/>
              <w:bottom w:val="single" w:sz="4" w:space="0" w:color="auto"/>
              <w:right w:val="single" w:sz="4" w:space="0" w:color="auto"/>
            </w:tcBorders>
            <w:shd w:val="clear" w:color="auto" w:fill="F2DBDB"/>
            <w:noWrap/>
            <w:vAlign w:val="bottom"/>
          </w:tcPr>
          <w:p w:rsidR="004A147C" w:rsidRPr="00B53FFB" w:rsidRDefault="004A147C" w:rsidP="00CE5850">
            <w:pPr>
              <w:spacing w:after="120"/>
              <w:ind w:firstLine="720"/>
              <w:jc w:val="right"/>
              <w:rPr>
                <w:bCs/>
                <w:color w:val="000000"/>
                <w:kern w:val="0"/>
                <w:szCs w:val="22"/>
              </w:rPr>
            </w:pPr>
            <w:r w:rsidRPr="00B53FFB">
              <w:rPr>
                <w:bCs/>
                <w:color w:val="000000"/>
                <w:kern w:val="0"/>
                <w:szCs w:val="22"/>
              </w:rPr>
              <w:t>13.0%</w:t>
            </w:r>
          </w:p>
        </w:tc>
      </w:tr>
      <w:tr w:rsidR="004A147C" w:rsidRPr="00B53FFB" w:rsidTr="003E0BF1">
        <w:trPr>
          <w:cantSplit/>
          <w:trHeight w:hRule="exact" w:val="288"/>
          <w:jc w:val="center"/>
        </w:trPr>
        <w:tc>
          <w:tcPr>
            <w:tcW w:w="2180" w:type="dxa"/>
            <w:tcBorders>
              <w:top w:val="nil"/>
              <w:left w:val="single" w:sz="4" w:space="0" w:color="auto"/>
              <w:bottom w:val="single" w:sz="4" w:space="0" w:color="auto"/>
              <w:right w:val="single" w:sz="4" w:space="0" w:color="auto"/>
            </w:tcBorders>
            <w:shd w:val="clear" w:color="auto" w:fill="F2DBDB"/>
            <w:noWrap/>
            <w:vAlign w:val="bottom"/>
          </w:tcPr>
          <w:p w:rsidR="004A147C" w:rsidRPr="00B53FFB" w:rsidRDefault="004A147C" w:rsidP="00CE5850">
            <w:pPr>
              <w:jc w:val="right"/>
              <w:rPr>
                <w:color w:val="000000"/>
                <w:kern w:val="0"/>
                <w:szCs w:val="22"/>
              </w:rPr>
            </w:pPr>
            <w:r w:rsidRPr="00B53FFB">
              <w:rPr>
                <w:color w:val="000000"/>
                <w:kern w:val="0"/>
                <w:szCs w:val="22"/>
              </w:rPr>
              <w:t>3 providers</w:t>
            </w:r>
          </w:p>
        </w:tc>
        <w:tc>
          <w:tcPr>
            <w:tcW w:w="1435" w:type="dxa"/>
            <w:tcBorders>
              <w:top w:val="nil"/>
              <w:left w:val="nil"/>
              <w:bottom w:val="single" w:sz="4" w:space="0" w:color="auto"/>
              <w:right w:val="single" w:sz="4" w:space="0" w:color="auto"/>
            </w:tcBorders>
            <w:shd w:val="clear" w:color="auto" w:fill="F2DBDB"/>
            <w:noWrap/>
            <w:vAlign w:val="bottom"/>
          </w:tcPr>
          <w:p w:rsidR="004A147C" w:rsidRPr="00B53FFB" w:rsidRDefault="004A147C" w:rsidP="00CE5850">
            <w:pPr>
              <w:spacing w:after="120"/>
              <w:ind w:firstLine="720"/>
              <w:jc w:val="right"/>
              <w:rPr>
                <w:bCs/>
                <w:color w:val="000000"/>
                <w:kern w:val="0"/>
                <w:szCs w:val="22"/>
              </w:rPr>
            </w:pPr>
            <w:r w:rsidRPr="00B53FFB">
              <w:rPr>
                <w:color w:val="000000"/>
                <w:szCs w:val="22"/>
              </w:rPr>
              <w:t>29</w:t>
            </w:r>
          </w:p>
        </w:tc>
        <w:tc>
          <w:tcPr>
            <w:tcW w:w="1440" w:type="dxa"/>
            <w:tcBorders>
              <w:top w:val="nil"/>
              <w:left w:val="nil"/>
              <w:bottom w:val="single" w:sz="4" w:space="0" w:color="auto"/>
              <w:right w:val="single" w:sz="4" w:space="0" w:color="auto"/>
            </w:tcBorders>
            <w:shd w:val="clear" w:color="auto" w:fill="F2DBDB"/>
            <w:noWrap/>
            <w:vAlign w:val="bottom"/>
          </w:tcPr>
          <w:p w:rsidR="004A147C" w:rsidRPr="00B53FFB" w:rsidRDefault="004A147C" w:rsidP="00CE5850">
            <w:pPr>
              <w:spacing w:after="120"/>
              <w:ind w:firstLine="720"/>
              <w:jc w:val="right"/>
              <w:rPr>
                <w:bCs/>
                <w:color w:val="000000"/>
                <w:kern w:val="0"/>
                <w:szCs w:val="22"/>
              </w:rPr>
            </w:pPr>
            <w:r w:rsidRPr="00B53FFB">
              <w:rPr>
                <w:bCs/>
                <w:color w:val="000000"/>
                <w:kern w:val="0"/>
                <w:szCs w:val="22"/>
              </w:rPr>
              <w:t>9.0%</w:t>
            </w:r>
          </w:p>
        </w:tc>
        <w:tc>
          <w:tcPr>
            <w:tcW w:w="1800" w:type="dxa"/>
            <w:tcBorders>
              <w:top w:val="nil"/>
              <w:left w:val="nil"/>
              <w:bottom w:val="single" w:sz="4" w:space="0" w:color="auto"/>
              <w:right w:val="single" w:sz="4" w:space="0" w:color="auto"/>
            </w:tcBorders>
            <w:shd w:val="clear" w:color="auto" w:fill="F2DBDB"/>
            <w:noWrap/>
            <w:vAlign w:val="bottom"/>
          </w:tcPr>
          <w:p w:rsidR="004A147C" w:rsidRPr="00B53FFB" w:rsidRDefault="004A147C" w:rsidP="00CE5850">
            <w:pPr>
              <w:spacing w:after="120"/>
              <w:ind w:firstLine="720"/>
              <w:jc w:val="right"/>
              <w:rPr>
                <w:bCs/>
                <w:color w:val="000000"/>
                <w:kern w:val="0"/>
                <w:szCs w:val="22"/>
              </w:rPr>
            </w:pPr>
            <w:r w:rsidRPr="00B53FFB">
              <w:rPr>
                <w:color w:val="000000"/>
                <w:szCs w:val="22"/>
              </w:rPr>
              <w:t>123</w:t>
            </w:r>
          </w:p>
        </w:tc>
        <w:tc>
          <w:tcPr>
            <w:tcW w:w="1620" w:type="dxa"/>
            <w:tcBorders>
              <w:top w:val="nil"/>
              <w:left w:val="nil"/>
              <w:bottom w:val="single" w:sz="4" w:space="0" w:color="auto"/>
              <w:right w:val="single" w:sz="4" w:space="0" w:color="auto"/>
            </w:tcBorders>
            <w:shd w:val="clear" w:color="auto" w:fill="F2DBDB"/>
            <w:noWrap/>
            <w:vAlign w:val="bottom"/>
          </w:tcPr>
          <w:p w:rsidR="004A147C" w:rsidRPr="00B53FFB" w:rsidRDefault="004A147C" w:rsidP="00CE5850">
            <w:pPr>
              <w:spacing w:after="120"/>
              <w:ind w:firstLine="720"/>
              <w:jc w:val="right"/>
              <w:rPr>
                <w:bCs/>
                <w:color w:val="000000"/>
                <w:kern w:val="0"/>
                <w:szCs w:val="22"/>
              </w:rPr>
            </w:pPr>
            <w:r w:rsidRPr="00B53FFB">
              <w:rPr>
                <w:bCs/>
                <w:color w:val="000000"/>
                <w:kern w:val="0"/>
                <w:szCs w:val="22"/>
              </w:rPr>
              <w:t>31.4%</w:t>
            </w:r>
          </w:p>
        </w:tc>
      </w:tr>
      <w:tr w:rsidR="004A147C" w:rsidRPr="00B53FFB" w:rsidTr="003E0BF1">
        <w:trPr>
          <w:cantSplit/>
          <w:trHeight w:hRule="exact" w:val="288"/>
          <w:jc w:val="center"/>
        </w:trPr>
        <w:tc>
          <w:tcPr>
            <w:tcW w:w="2180" w:type="dxa"/>
            <w:tcBorders>
              <w:top w:val="nil"/>
              <w:left w:val="single" w:sz="4" w:space="0" w:color="auto"/>
              <w:bottom w:val="single" w:sz="4" w:space="0" w:color="auto"/>
              <w:right w:val="single" w:sz="4" w:space="0" w:color="auto"/>
            </w:tcBorders>
            <w:shd w:val="clear" w:color="auto" w:fill="F2DBDB"/>
            <w:noWrap/>
            <w:vAlign w:val="bottom"/>
          </w:tcPr>
          <w:p w:rsidR="004A147C" w:rsidRPr="00B53FFB" w:rsidRDefault="004A147C" w:rsidP="00CE5850">
            <w:pPr>
              <w:jc w:val="right"/>
              <w:rPr>
                <w:color w:val="000000"/>
                <w:kern w:val="0"/>
                <w:szCs w:val="22"/>
              </w:rPr>
            </w:pPr>
            <w:r w:rsidRPr="00B53FFB">
              <w:rPr>
                <w:color w:val="000000"/>
                <w:kern w:val="0"/>
                <w:szCs w:val="22"/>
              </w:rPr>
              <w:t>4 providers</w:t>
            </w:r>
          </w:p>
        </w:tc>
        <w:tc>
          <w:tcPr>
            <w:tcW w:w="1435" w:type="dxa"/>
            <w:tcBorders>
              <w:top w:val="nil"/>
              <w:left w:val="nil"/>
              <w:bottom w:val="single" w:sz="4" w:space="0" w:color="auto"/>
              <w:right w:val="single" w:sz="4" w:space="0" w:color="auto"/>
            </w:tcBorders>
            <w:shd w:val="clear" w:color="auto" w:fill="F2DBDB"/>
            <w:noWrap/>
            <w:vAlign w:val="bottom"/>
          </w:tcPr>
          <w:p w:rsidR="004A147C" w:rsidRPr="00B53FFB" w:rsidRDefault="004A147C" w:rsidP="00CE5850">
            <w:pPr>
              <w:spacing w:after="120"/>
              <w:ind w:firstLine="720"/>
              <w:jc w:val="right"/>
              <w:rPr>
                <w:bCs/>
                <w:color w:val="000000"/>
                <w:kern w:val="0"/>
                <w:szCs w:val="22"/>
              </w:rPr>
            </w:pPr>
            <w:r w:rsidRPr="00B53FFB">
              <w:rPr>
                <w:color w:val="000000"/>
                <w:szCs w:val="22"/>
              </w:rPr>
              <w:t>106</w:t>
            </w:r>
          </w:p>
        </w:tc>
        <w:tc>
          <w:tcPr>
            <w:tcW w:w="1440" w:type="dxa"/>
            <w:tcBorders>
              <w:top w:val="nil"/>
              <w:left w:val="nil"/>
              <w:bottom w:val="single" w:sz="4" w:space="0" w:color="auto"/>
              <w:right w:val="single" w:sz="4" w:space="0" w:color="auto"/>
            </w:tcBorders>
            <w:shd w:val="clear" w:color="auto" w:fill="F2DBDB"/>
            <w:noWrap/>
            <w:vAlign w:val="bottom"/>
          </w:tcPr>
          <w:p w:rsidR="004A147C" w:rsidRPr="00B53FFB" w:rsidRDefault="004A147C" w:rsidP="00CE5850">
            <w:pPr>
              <w:spacing w:after="120"/>
              <w:jc w:val="right"/>
              <w:rPr>
                <w:color w:val="000000"/>
                <w:szCs w:val="22"/>
              </w:rPr>
            </w:pPr>
            <w:r w:rsidRPr="00B53FFB">
              <w:rPr>
                <w:color w:val="000000"/>
                <w:szCs w:val="22"/>
              </w:rPr>
              <w:t>32.7%</w:t>
            </w:r>
          </w:p>
        </w:tc>
        <w:tc>
          <w:tcPr>
            <w:tcW w:w="1800" w:type="dxa"/>
            <w:tcBorders>
              <w:top w:val="nil"/>
              <w:left w:val="nil"/>
              <w:bottom w:val="single" w:sz="4" w:space="0" w:color="auto"/>
              <w:right w:val="single" w:sz="4" w:space="0" w:color="auto"/>
            </w:tcBorders>
            <w:shd w:val="clear" w:color="auto" w:fill="F2DBDB"/>
            <w:noWrap/>
            <w:vAlign w:val="bottom"/>
          </w:tcPr>
          <w:p w:rsidR="004A147C" w:rsidRPr="00B53FFB" w:rsidRDefault="004A147C" w:rsidP="00CE5850">
            <w:pPr>
              <w:spacing w:after="120"/>
              <w:ind w:firstLine="720"/>
              <w:jc w:val="right"/>
              <w:rPr>
                <w:bCs/>
                <w:color w:val="000000"/>
                <w:kern w:val="0"/>
                <w:szCs w:val="22"/>
              </w:rPr>
            </w:pPr>
            <w:r w:rsidRPr="00B53FFB">
              <w:rPr>
                <w:color w:val="000000"/>
                <w:szCs w:val="22"/>
              </w:rPr>
              <w:t>104</w:t>
            </w:r>
          </w:p>
        </w:tc>
        <w:tc>
          <w:tcPr>
            <w:tcW w:w="1620" w:type="dxa"/>
            <w:tcBorders>
              <w:top w:val="nil"/>
              <w:left w:val="nil"/>
              <w:bottom w:val="single" w:sz="4" w:space="0" w:color="auto"/>
              <w:right w:val="single" w:sz="4" w:space="0" w:color="auto"/>
            </w:tcBorders>
            <w:shd w:val="clear" w:color="auto" w:fill="F2DBDB"/>
            <w:noWrap/>
            <w:vAlign w:val="bottom"/>
          </w:tcPr>
          <w:p w:rsidR="004A147C" w:rsidRPr="00B53FFB" w:rsidRDefault="004A147C" w:rsidP="00CE5850">
            <w:pPr>
              <w:spacing w:after="120"/>
              <w:ind w:firstLine="720"/>
              <w:jc w:val="right"/>
              <w:rPr>
                <w:bCs/>
                <w:color w:val="000000"/>
                <w:kern w:val="0"/>
                <w:szCs w:val="22"/>
              </w:rPr>
            </w:pPr>
            <w:r w:rsidRPr="00B53FFB">
              <w:rPr>
                <w:bCs/>
                <w:color w:val="000000"/>
                <w:kern w:val="0"/>
                <w:szCs w:val="22"/>
              </w:rPr>
              <w:t>26.5%</w:t>
            </w:r>
          </w:p>
        </w:tc>
      </w:tr>
      <w:tr w:rsidR="004A147C" w:rsidRPr="00B53FFB" w:rsidTr="003E0BF1">
        <w:trPr>
          <w:cantSplit/>
          <w:trHeight w:hRule="exact" w:val="288"/>
          <w:jc w:val="center"/>
        </w:trPr>
        <w:tc>
          <w:tcPr>
            <w:tcW w:w="2180" w:type="dxa"/>
            <w:tcBorders>
              <w:top w:val="nil"/>
              <w:left w:val="single" w:sz="4" w:space="0" w:color="auto"/>
              <w:bottom w:val="single" w:sz="4" w:space="0" w:color="auto"/>
              <w:right w:val="single" w:sz="4" w:space="0" w:color="auto"/>
            </w:tcBorders>
            <w:shd w:val="clear" w:color="auto" w:fill="F2DBDB"/>
            <w:noWrap/>
            <w:vAlign w:val="bottom"/>
          </w:tcPr>
          <w:p w:rsidR="004A147C" w:rsidRPr="00B53FFB" w:rsidRDefault="004A147C" w:rsidP="00CE5850">
            <w:pPr>
              <w:jc w:val="right"/>
              <w:rPr>
                <w:color w:val="000000"/>
                <w:kern w:val="0"/>
                <w:szCs w:val="22"/>
              </w:rPr>
            </w:pPr>
            <w:r w:rsidRPr="00B53FFB">
              <w:rPr>
                <w:color w:val="000000"/>
                <w:kern w:val="0"/>
                <w:szCs w:val="22"/>
              </w:rPr>
              <w:t xml:space="preserve">5 providers </w:t>
            </w:r>
          </w:p>
        </w:tc>
        <w:tc>
          <w:tcPr>
            <w:tcW w:w="1435" w:type="dxa"/>
            <w:tcBorders>
              <w:top w:val="nil"/>
              <w:left w:val="nil"/>
              <w:bottom w:val="single" w:sz="4" w:space="0" w:color="auto"/>
              <w:right w:val="single" w:sz="4" w:space="0" w:color="auto"/>
            </w:tcBorders>
            <w:shd w:val="clear" w:color="auto" w:fill="F2DBDB"/>
            <w:noWrap/>
            <w:vAlign w:val="bottom"/>
          </w:tcPr>
          <w:p w:rsidR="004A147C" w:rsidRPr="00B53FFB" w:rsidRDefault="004A147C" w:rsidP="00CE5850">
            <w:pPr>
              <w:spacing w:after="120"/>
              <w:ind w:firstLine="720"/>
              <w:jc w:val="right"/>
              <w:rPr>
                <w:bCs/>
                <w:color w:val="000000"/>
                <w:kern w:val="0"/>
                <w:szCs w:val="22"/>
              </w:rPr>
            </w:pPr>
            <w:r w:rsidRPr="00B53FFB">
              <w:rPr>
                <w:color w:val="000000"/>
                <w:szCs w:val="22"/>
              </w:rPr>
              <w:t>1</w:t>
            </w:r>
            <w:r>
              <w:rPr>
                <w:color w:val="000000"/>
                <w:szCs w:val="22"/>
              </w:rPr>
              <w:t>8</w:t>
            </w:r>
            <w:r w:rsidRPr="00B53FFB">
              <w:rPr>
                <w:color w:val="000000"/>
                <w:szCs w:val="22"/>
              </w:rPr>
              <w:t>9</w:t>
            </w:r>
          </w:p>
        </w:tc>
        <w:tc>
          <w:tcPr>
            <w:tcW w:w="1440" w:type="dxa"/>
            <w:tcBorders>
              <w:top w:val="nil"/>
              <w:left w:val="nil"/>
              <w:bottom w:val="single" w:sz="4" w:space="0" w:color="auto"/>
              <w:right w:val="single" w:sz="4" w:space="0" w:color="auto"/>
            </w:tcBorders>
            <w:shd w:val="clear" w:color="auto" w:fill="F2DBDB"/>
            <w:noWrap/>
            <w:vAlign w:val="bottom"/>
          </w:tcPr>
          <w:p w:rsidR="004A147C" w:rsidRPr="00B53FFB" w:rsidRDefault="004A147C" w:rsidP="00CE5850">
            <w:pPr>
              <w:spacing w:after="120"/>
              <w:jc w:val="right"/>
              <w:rPr>
                <w:color w:val="000000"/>
                <w:szCs w:val="22"/>
              </w:rPr>
            </w:pPr>
            <w:r>
              <w:rPr>
                <w:color w:val="000000"/>
                <w:szCs w:val="22"/>
              </w:rPr>
              <w:t>58.3</w:t>
            </w:r>
            <w:r w:rsidRPr="00B53FFB">
              <w:rPr>
                <w:color w:val="000000"/>
                <w:szCs w:val="22"/>
              </w:rPr>
              <w:t>%</w:t>
            </w:r>
          </w:p>
        </w:tc>
        <w:tc>
          <w:tcPr>
            <w:tcW w:w="1800" w:type="dxa"/>
            <w:tcBorders>
              <w:top w:val="nil"/>
              <w:left w:val="nil"/>
              <w:bottom w:val="single" w:sz="4" w:space="0" w:color="auto"/>
              <w:right w:val="single" w:sz="4" w:space="0" w:color="auto"/>
            </w:tcBorders>
            <w:shd w:val="clear" w:color="auto" w:fill="F2DBDB"/>
            <w:noWrap/>
            <w:vAlign w:val="bottom"/>
          </w:tcPr>
          <w:p w:rsidR="004A147C" w:rsidRPr="00B53FFB" w:rsidRDefault="004A147C" w:rsidP="00CE5850">
            <w:pPr>
              <w:spacing w:after="120"/>
              <w:ind w:firstLine="720"/>
              <w:jc w:val="right"/>
              <w:rPr>
                <w:bCs/>
                <w:color w:val="000000"/>
                <w:kern w:val="0"/>
                <w:szCs w:val="22"/>
              </w:rPr>
            </w:pPr>
            <w:r w:rsidRPr="00B53FFB">
              <w:rPr>
                <w:color w:val="000000"/>
                <w:szCs w:val="22"/>
              </w:rPr>
              <w:t>1</w:t>
            </w:r>
            <w:r>
              <w:rPr>
                <w:color w:val="000000"/>
                <w:szCs w:val="22"/>
              </w:rPr>
              <w:t>13</w:t>
            </w:r>
          </w:p>
        </w:tc>
        <w:tc>
          <w:tcPr>
            <w:tcW w:w="1620" w:type="dxa"/>
            <w:tcBorders>
              <w:top w:val="nil"/>
              <w:left w:val="nil"/>
              <w:bottom w:val="single" w:sz="4" w:space="0" w:color="auto"/>
              <w:right w:val="single" w:sz="4" w:space="0" w:color="auto"/>
            </w:tcBorders>
            <w:shd w:val="clear" w:color="auto" w:fill="F2DBDB"/>
            <w:noWrap/>
            <w:vAlign w:val="bottom"/>
          </w:tcPr>
          <w:p w:rsidR="004A147C" w:rsidRPr="00B53FFB" w:rsidRDefault="004A147C" w:rsidP="00CE5850">
            <w:pPr>
              <w:spacing w:after="120"/>
              <w:ind w:firstLine="720"/>
              <w:jc w:val="right"/>
              <w:rPr>
                <w:bCs/>
                <w:color w:val="000000"/>
                <w:kern w:val="0"/>
                <w:szCs w:val="22"/>
              </w:rPr>
            </w:pPr>
            <w:r>
              <w:rPr>
                <w:bCs/>
                <w:color w:val="000000"/>
                <w:kern w:val="0"/>
                <w:szCs w:val="22"/>
              </w:rPr>
              <w:t>28.8</w:t>
            </w:r>
            <w:r w:rsidRPr="00B53FFB">
              <w:rPr>
                <w:bCs/>
                <w:color w:val="000000"/>
                <w:kern w:val="0"/>
                <w:szCs w:val="22"/>
              </w:rPr>
              <w:t>%</w:t>
            </w:r>
          </w:p>
        </w:tc>
      </w:tr>
    </w:tbl>
    <w:p w:rsidR="004A147C" w:rsidRDefault="004A147C" w:rsidP="00CE5850">
      <w:pPr>
        <w:rPr>
          <w:szCs w:val="22"/>
          <w:highlight w:val="yellow"/>
        </w:rPr>
      </w:pPr>
    </w:p>
    <w:p w:rsidR="004A147C" w:rsidRPr="00AB43CD" w:rsidRDefault="004A147C" w:rsidP="00CE5850">
      <w:pPr>
        <w:pStyle w:val="Caption"/>
        <w:widowControl w:val="0"/>
        <w:spacing w:after="0"/>
        <w:jc w:val="center"/>
        <w:rPr>
          <w:sz w:val="22"/>
          <w:szCs w:val="22"/>
        </w:rPr>
      </w:pPr>
      <w:bookmarkStart w:id="5635" w:name="_Ref342490153"/>
      <w:r w:rsidRPr="00AB43CD">
        <w:rPr>
          <w:sz w:val="22"/>
          <w:szCs w:val="22"/>
        </w:rPr>
        <w:t xml:space="preserve">Table </w:t>
      </w:r>
      <w:r w:rsidR="0007014B" w:rsidRPr="00AB43CD">
        <w:rPr>
          <w:sz w:val="22"/>
          <w:szCs w:val="22"/>
        </w:rPr>
        <w:fldChar w:fldCharType="begin"/>
      </w:r>
      <w:r w:rsidRPr="00AB43CD">
        <w:rPr>
          <w:sz w:val="22"/>
          <w:szCs w:val="22"/>
        </w:rPr>
        <w:instrText xml:space="preserve"> SEQ Table \* ARABIC </w:instrText>
      </w:r>
      <w:r w:rsidR="0007014B" w:rsidRPr="00AB43CD">
        <w:rPr>
          <w:sz w:val="22"/>
          <w:szCs w:val="22"/>
        </w:rPr>
        <w:fldChar w:fldCharType="separate"/>
      </w:r>
      <w:r w:rsidR="00CA3AC6">
        <w:rPr>
          <w:noProof/>
          <w:sz w:val="22"/>
          <w:szCs w:val="22"/>
        </w:rPr>
        <w:t>64</w:t>
      </w:r>
      <w:r w:rsidR="0007014B" w:rsidRPr="00AB43CD">
        <w:rPr>
          <w:sz w:val="22"/>
          <w:szCs w:val="22"/>
        </w:rPr>
        <w:fldChar w:fldCharType="end"/>
      </w:r>
      <w:bookmarkEnd w:id="5635"/>
    </w:p>
    <w:p w:rsidR="004A147C" w:rsidRPr="00AB43CD" w:rsidRDefault="004A147C" w:rsidP="00CE5850">
      <w:pPr>
        <w:jc w:val="center"/>
        <w:rPr>
          <w:highlight w:val="yellow"/>
        </w:rPr>
      </w:pPr>
      <w:r w:rsidRPr="00B53FFB">
        <w:rPr>
          <w:b/>
          <w:color w:val="000000"/>
          <w:kern w:val="0"/>
          <w:szCs w:val="22"/>
        </w:rPr>
        <w:t>Estimated Mobile Wireless Providers Offering Service Anywhere In Rural and Non-Rural CMAs, Excluding Territories, Jan. 2012</w:t>
      </w:r>
      <w:r>
        <w:rPr>
          <w:b/>
          <w:color w:val="000000"/>
          <w:kern w:val="0"/>
          <w:szCs w:val="22"/>
        </w:rPr>
        <w:t xml:space="preserve"> (Five</w:t>
      </w:r>
      <w:r w:rsidRPr="00AB43CD">
        <w:rPr>
          <w:b/>
          <w:bCs/>
          <w:color w:val="000000"/>
          <w:kern w:val="0"/>
          <w:szCs w:val="22"/>
        </w:rPr>
        <w:t xml:space="preserve"> Percent Market Share Threshold</w:t>
      </w:r>
      <w:r>
        <w:rPr>
          <w:b/>
          <w:bCs/>
          <w:color w:val="000000"/>
          <w:kern w:val="0"/>
          <w:szCs w:val="22"/>
        </w:rPr>
        <w:t>)</w:t>
      </w:r>
      <w:r w:rsidRPr="00AB43CD">
        <w:rPr>
          <w:b/>
          <w:color w:val="000000"/>
          <w:kern w:val="0"/>
          <w:szCs w:val="22"/>
          <w:vertAlign w:val="superscript"/>
        </w:rPr>
        <w:t xml:space="preserve"> </w:t>
      </w:r>
      <w:r w:rsidRPr="00B53FFB">
        <w:rPr>
          <w:rStyle w:val="FootnoteReference"/>
          <w:b/>
          <w:kern w:val="0"/>
          <w:szCs w:val="22"/>
        </w:rPr>
        <w:footnoteReference w:id="1216"/>
      </w:r>
    </w:p>
    <w:tbl>
      <w:tblPr>
        <w:tblW w:w="8050" w:type="dxa"/>
        <w:jc w:val="center"/>
        <w:tblInd w:w="-316" w:type="dxa"/>
        <w:tblLook w:val="00A0" w:firstRow="1" w:lastRow="0" w:firstColumn="1" w:lastColumn="0" w:noHBand="0" w:noVBand="0"/>
      </w:tblPr>
      <w:tblGrid>
        <w:gridCol w:w="2329"/>
        <w:gridCol w:w="1360"/>
        <w:gridCol w:w="1620"/>
        <w:gridCol w:w="962"/>
        <w:gridCol w:w="1779"/>
      </w:tblGrid>
      <w:tr w:rsidR="004A147C" w:rsidRPr="00B11487" w:rsidTr="003E0BF1">
        <w:trPr>
          <w:trHeight w:val="315"/>
          <w:jc w:val="center"/>
        </w:trPr>
        <w:tc>
          <w:tcPr>
            <w:tcW w:w="2329" w:type="dxa"/>
            <w:tcBorders>
              <w:top w:val="single" w:sz="8" w:space="0" w:color="auto"/>
              <w:left w:val="single" w:sz="8" w:space="0" w:color="auto"/>
              <w:bottom w:val="single" w:sz="8" w:space="0" w:color="auto"/>
              <w:right w:val="single" w:sz="8" w:space="0" w:color="auto"/>
            </w:tcBorders>
            <w:shd w:val="clear" w:color="auto" w:fill="F2DBDB"/>
            <w:noWrap/>
            <w:vAlign w:val="bottom"/>
          </w:tcPr>
          <w:p w:rsidR="004A147C" w:rsidRPr="00AB43CD" w:rsidRDefault="004A147C" w:rsidP="00CE5850">
            <w:pPr>
              <w:jc w:val="center"/>
              <w:rPr>
                <w:rFonts w:eastAsia="Times New Roman"/>
                <w:b/>
                <w:bCs/>
                <w:color w:val="000000"/>
                <w:kern w:val="0"/>
                <w:szCs w:val="22"/>
              </w:rPr>
            </w:pPr>
            <w:r w:rsidRPr="00AB43CD">
              <w:rPr>
                <w:rFonts w:eastAsia="Times New Roman"/>
                <w:b/>
                <w:bCs/>
                <w:color w:val="000000"/>
                <w:kern w:val="0"/>
                <w:szCs w:val="22"/>
              </w:rPr>
              <w:t> </w:t>
            </w:r>
          </w:p>
        </w:tc>
        <w:tc>
          <w:tcPr>
            <w:tcW w:w="2980" w:type="dxa"/>
            <w:gridSpan w:val="2"/>
            <w:tcBorders>
              <w:top w:val="single" w:sz="8" w:space="0" w:color="auto"/>
              <w:left w:val="nil"/>
              <w:bottom w:val="single" w:sz="8" w:space="0" w:color="auto"/>
              <w:right w:val="single" w:sz="8" w:space="0" w:color="000000"/>
            </w:tcBorders>
            <w:shd w:val="clear" w:color="auto" w:fill="F2DBDB"/>
            <w:noWrap/>
            <w:vAlign w:val="bottom"/>
          </w:tcPr>
          <w:p w:rsidR="004A147C" w:rsidRPr="00AB43CD" w:rsidRDefault="004A147C" w:rsidP="00CE5850">
            <w:pPr>
              <w:jc w:val="center"/>
              <w:rPr>
                <w:rFonts w:eastAsia="Times New Roman"/>
                <w:b/>
                <w:bCs/>
                <w:i/>
                <w:iCs/>
                <w:color w:val="000000"/>
                <w:kern w:val="0"/>
                <w:szCs w:val="22"/>
              </w:rPr>
            </w:pPr>
            <w:r w:rsidRPr="00AB43CD">
              <w:rPr>
                <w:rFonts w:eastAsia="Times New Roman"/>
                <w:b/>
                <w:bCs/>
                <w:i/>
                <w:iCs/>
                <w:color w:val="000000"/>
                <w:kern w:val="0"/>
                <w:szCs w:val="22"/>
              </w:rPr>
              <w:t>Non-Rural  CMAs</w:t>
            </w:r>
          </w:p>
        </w:tc>
        <w:tc>
          <w:tcPr>
            <w:tcW w:w="2741" w:type="dxa"/>
            <w:gridSpan w:val="2"/>
            <w:tcBorders>
              <w:top w:val="single" w:sz="8" w:space="0" w:color="auto"/>
              <w:left w:val="nil"/>
              <w:bottom w:val="single" w:sz="8" w:space="0" w:color="auto"/>
              <w:right w:val="single" w:sz="8" w:space="0" w:color="000000"/>
            </w:tcBorders>
            <w:shd w:val="clear" w:color="auto" w:fill="F2DBDB"/>
            <w:noWrap/>
            <w:vAlign w:val="bottom"/>
          </w:tcPr>
          <w:p w:rsidR="004A147C" w:rsidRPr="00AB43CD" w:rsidRDefault="004A147C" w:rsidP="00CE5850">
            <w:pPr>
              <w:rPr>
                <w:rFonts w:eastAsia="Times New Roman"/>
                <w:b/>
                <w:bCs/>
                <w:i/>
                <w:iCs/>
                <w:color w:val="000000"/>
                <w:kern w:val="0"/>
                <w:szCs w:val="22"/>
              </w:rPr>
            </w:pPr>
            <w:r w:rsidRPr="00AB43CD">
              <w:rPr>
                <w:rFonts w:eastAsia="Times New Roman"/>
                <w:b/>
                <w:bCs/>
                <w:i/>
                <w:iCs/>
                <w:color w:val="000000"/>
                <w:kern w:val="0"/>
                <w:szCs w:val="22"/>
              </w:rPr>
              <w:t>Rural CMAs</w:t>
            </w:r>
          </w:p>
        </w:tc>
      </w:tr>
      <w:tr w:rsidR="004A147C" w:rsidRPr="00B11487" w:rsidTr="00123D3A">
        <w:trPr>
          <w:trHeight w:val="790"/>
          <w:jc w:val="center"/>
        </w:trPr>
        <w:tc>
          <w:tcPr>
            <w:tcW w:w="2329" w:type="dxa"/>
            <w:tcBorders>
              <w:top w:val="nil"/>
              <w:left w:val="single" w:sz="8" w:space="0" w:color="auto"/>
              <w:bottom w:val="single" w:sz="8" w:space="0" w:color="auto"/>
              <w:right w:val="single" w:sz="8" w:space="0" w:color="auto"/>
            </w:tcBorders>
            <w:shd w:val="clear" w:color="auto" w:fill="F2DBDB"/>
          </w:tcPr>
          <w:p w:rsidR="004A147C" w:rsidRPr="00AB43CD" w:rsidRDefault="004A147C" w:rsidP="00CE5850">
            <w:pPr>
              <w:rPr>
                <w:rFonts w:eastAsia="Times New Roman"/>
                <w:b/>
                <w:bCs/>
                <w:i/>
                <w:iCs/>
                <w:color w:val="000000"/>
                <w:kern w:val="0"/>
                <w:szCs w:val="22"/>
              </w:rPr>
            </w:pPr>
            <w:r w:rsidRPr="00AB43CD">
              <w:rPr>
                <w:rFonts w:eastAsia="Times New Roman"/>
                <w:b/>
                <w:bCs/>
                <w:i/>
                <w:iCs/>
                <w:color w:val="000000"/>
                <w:kern w:val="0"/>
                <w:szCs w:val="22"/>
              </w:rPr>
              <w:t>Number of Providers Offering Service Anywhere in a CMA</w:t>
            </w:r>
          </w:p>
        </w:tc>
        <w:tc>
          <w:tcPr>
            <w:tcW w:w="1360" w:type="dxa"/>
            <w:tcBorders>
              <w:top w:val="nil"/>
              <w:left w:val="nil"/>
              <w:bottom w:val="single" w:sz="8" w:space="0" w:color="auto"/>
              <w:right w:val="single" w:sz="8" w:space="0" w:color="auto"/>
            </w:tcBorders>
            <w:shd w:val="clear" w:color="auto" w:fill="F2DBDB"/>
          </w:tcPr>
          <w:p w:rsidR="004A147C" w:rsidRPr="00AB43CD" w:rsidRDefault="004A147C" w:rsidP="00CE5850">
            <w:pPr>
              <w:rPr>
                <w:rFonts w:eastAsia="Times New Roman"/>
                <w:b/>
                <w:bCs/>
                <w:i/>
                <w:iCs/>
                <w:color w:val="000000"/>
                <w:kern w:val="0"/>
                <w:szCs w:val="22"/>
              </w:rPr>
            </w:pPr>
            <w:r w:rsidRPr="00AB43CD">
              <w:rPr>
                <w:rFonts w:eastAsia="Times New Roman"/>
                <w:b/>
                <w:bCs/>
                <w:i/>
                <w:iCs/>
                <w:color w:val="000000"/>
                <w:kern w:val="0"/>
                <w:szCs w:val="22"/>
              </w:rPr>
              <w:t>Number of CMAs</w:t>
            </w:r>
          </w:p>
        </w:tc>
        <w:tc>
          <w:tcPr>
            <w:tcW w:w="1620" w:type="dxa"/>
            <w:tcBorders>
              <w:top w:val="nil"/>
              <w:left w:val="nil"/>
              <w:bottom w:val="single" w:sz="8" w:space="0" w:color="auto"/>
              <w:right w:val="single" w:sz="8" w:space="0" w:color="auto"/>
            </w:tcBorders>
            <w:shd w:val="clear" w:color="auto" w:fill="F2DBDB"/>
          </w:tcPr>
          <w:p w:rsidR="004A147C" w:rsidRPr="00AB43CD" w:rsidRDefault="004A147C" w:rsidP="00CE5850">
            <w:pPr>
              <w:rPr>
                <w:rFonts w:eastAsia="Times New Roman"/>
                <w:b/>
                <w:bCs/>
                <w:i/>
                <w:iCs/>
                <w:color w:val="000000"/>
                <w:kern w:val="0"/>
                <w:szCs w:val="22"/>
              </w:rPr>
            </w:pPr>
            <w:r w:rsidRPr="00AB43CD">
              <w:rPr>
                <w:rFonts w:eastAsia="Times New Roman"/>
                <w:b/>
                <w:bCs/>
                <w:i/>
                <w:iCs/>
                <w:color w:val="000000"/>
                <w:kern w:val="0"/>
                <w:szCs w:val="22"/>
              </w:rPr>
              <w:t>Percent of Total CMAs</w:t>
            </w:r>
          </w:p>
        </w:tc>
        <w:tc>
          <w:tcPr>
            <w:tcW w:w="962" w:type="dxa"/>
            <w:tcBorders>
              <w:top w:val="nil"/>
              <w:left w:val="nil"/>
              <w:bottom w:val="single" w:sz="8" w:space="0" w:color="auto"/>
              <w:right w:val="single" w:sz="8" w:space="0" w:color="auto"/>
            </w:tcBorders>
            <w:shd w:val="clear" w:color="auto" w:fill="F2DBDB"/>
          </w:tcPr>
          <w:p w:rsidR="004A147C" w:rsidRPr="00AB43CD" w:rsidRDefault="004A147C" w:rsidP="00CE5850">
            <w:pPr>
              <w:rPr>
                <w:rFonts w:eastAsia="Times New Roman"/>
                <w:b/>
                <w:bCs/>
                <w:i/>
                <w:iCs/>
                <w:color w:val="000000"/>
                <w:kern w:val="0"/>
                <w:szCs w:val="22"/>
              </w:rPr>
            </w:pPr>
            <w:r>
              <w:rPr>
                <w:rFonts w:eastAsia="Times New Roman"/>
                <w:b/>
                <w:bCs/>
                <w:i/>
                <w:iCs/>
                <w:color w:val="000000"/>
                <w:kern w:val="0"/>
                <w:szCs w:val="22"/>
              </w:rPr>
              <w:t xml:space="preserve">Number </w:t>
            </w:r>
            <w:r w:rsidRPr="00AB43CD">
              <w:rPr>
                <w:rFonts w:eastAsia="Times New Roman"/>
                <w:b/>
                <w:bCs/>
                <w:i/>
                <w:iCs/>
                <w:color w:val="000000"/>
                <w:kern w:val="0"/>
                <w:szCs w:val="22"/>
              </w:rPr>
              <w:t>of CMAs</w:t>
            </w:r>
          </w:p>
        </w:tc>
        <w:tc>
          <w:tcPr>
            <w:tcW w:w="1779" w:type="dxa"/>
            <w:tcBorders>
              <w:top w:val="nil"/>
              <w:left w:val="nil"/>
              <w:bottom w:val="single" w:sz="8" w:space="0" w:color="auto"/>
              <w:right w:val="single" w:sz="8" w:space="0" w:color="auto"/>
            </w:tcBorders>
            <w:shd w:val="clear" w:color="auto" w:fill="F2DBDB"/>
          </w:tcPr>
          <w:p w:rsidR="004A147C" w:rsidRPr="00AB43CD" w:rsidRDefault="004A147C" w:rsidP="00CE5850">
            <w:pPr>
              <w:rPr>
                <w:rFonts w:eastAsia="Times New Roman"/>
                <w:b/>
                <w:bCs/>
                <w:i/>
                <w:iCs/>
                <w:color w:val="000000"/>
                <w:kern w:val="0"/>
                <w:szCs w:val="22"/>
              </w:rPr>
            </w:pPr>
            <w:r w:rsidRPr="00AB43CD">
              <w:rPr>
                <w:rFonts w:eastAsia="Times New Roman"/>
                <w:b/>
                <w:bCs/>
                <w:i/>
                <w:iCs/>
                <w:color w:val="000000"/>
                <w:kern w:val="0"/>
                <w:szCs w:val="22"/>
              </w:rPr>
              <w:t>Percent of Total CMAs</w:t>
            </w:r>
          </w:p>
        </w:tc>
      </w:tr>
      <w:tr w:rsidR="004A147C" w:rsidRPr="00B11487" w:rsidTr="00123D3A">
        <w:trPr>
          <w:trHeight w:val="430"/>
          <w:jc w:val="center"/>
        </w:trPr>
        <w:tc>
          <w:tcPr>
            <w:tcW w:w="2329" w:type="dxa"/>
            <w:tcBorders>
              <w:top w:val="nil"/>
              <w:left w:val="single" w:sz="8" w:space="0" w:color="auto"/>
              <w:bottom w:val="single" w:sz="8" w:space="0" w:color="auto"/>
              <w:right w:val="single" w:sz="8" w:space="0" w:color="auto"/>
            </w:tcBorders>
            <w:shd w:val="clear" w:color="auto" w:fill="F2DBDB"/>
            <w:vAlign w:val="bottom"/>
          </w:tcPr>
          <w:p w:rsidR="004A147C" w:rsidRPr="00AB43CD" w:rsidRDefault="004A147C" w:rsidP="00CE5850">
            <w:pPr>
              <w:jc w:val="right"/>
              <w:rPr>
                <w:rFonts w:eastAsia="Times New Roman"/>
                <w:i/>
                <w:iCs/>
                <w:color w:val="000000"/>
                <w:kern w:val="0"/>
                <w:szCs w:val="22"/>
              </w:rPr>
            </w:pPr>
            <w:r w:rsidRPr="00AB43CD">
              <w:rPr>
                <w:rFonts w:eastAsia="Times New Roman"/>
                <w:i/>
                <w:iCs/>
                <w:color w:val="000000"/>
                <w:kern w:val="0"/>
                <w:szCs w:val="22"/>
              </w:rPr>
              <w:t>Total for U.S. excluding territories</w:t>
            </w:r>
          </w:p>
        </w:tc>
        <w:tc>
          <w:tcPr>
            <w:tcW w:w="1360" w:type="dxa"/>
            <w:tcBorders>
              <w:top w:val="nil"/>
              <w:left w:val="nil"/>
              <w:bottom w:val="single" w:sz="8" w:space="0" w:color="auto"/>
              <w:right w:val="single" w:sz="8" w:space="0" w:color="auto"/>
            </w:tcBorders>
            <w:shd w:val="clear" w:color="auto" w:fill="F2DBDB"/>
            <w:vAlign w:val="bottom"/>
          </w:tcPr>
          <w:p w:rsidR="004A147C" w:rsidRPr="00AB43CD" w:rsidRDefault="004A147C" w:rsidP="00CE5850">
            <w:pPr>
              <w:jc w:val="right"/>
              <w:rPr>
                <w:rFonts w:eastAsia="Times New Roman"/>
                <w:i/>
                <w:iCs/>
                <w:color w:val="000000"/>
                <w:kern w:val="0"/>
                <w:szCs w:val="22"/>
              </w:rPr>
            </w:pPr>
            <w:r w:rsidRPr="00AB43CD">
              <w:rPr>
                <w:rFonts w:eastAsia="Times New Roman"/>
                <w:i/>
                <w:iCs/>
                <w:color w:val="000000"/>
                <w:kern w:val="0"/>
                <w:szCs w:val="22"/>
              </w:rPr>
              <w:t>324</w:t>
            </w:r>
          </w:p>
        </w:tc>
        <w:tc>
          <w:tcPr>
            <w:tcW w:w="1620" w:type="dxa"/>
            <w:tcBorders>
              <w:top w:val="nil"/>
              <w:left w:val="nil"/>
              <w:bottom w:val="single" w:sz="8" w:space="0" w:color="auto"/>
              <w:right w:val="single" w:sz="8" w:space="0" w:color="auto"/>
            </w:tcBorders>
            <w:shd w:val="clear" w:color="auto" w:fill="F2DBDB"/>
            <w:vAlign w:val="bottom"/>
          </w:tcPr>
          <w:p w:rsidR="004A147C" w:rsidRPr="00AB43CD" w:rsidRDefault="004A147C" w:rsidP="00CE5850">
            <w:pPr>
              <w:jc w:val="right"/>
              <w:rPr>
                <w:rFonts w:eastAsia="Times New Roman"/>
                <w:i/>
                <w:iCs/>
                <w:color w:val="000000"/>
                <w:kern w:val="0"/>
                <w:szCs w:val="22"/>
              </w:rPr>
            </w:pPr>
            <w:r w:rsidRPr="00AB43CD">
              <w:rPr>
                <w:rFonts w:eastAsia="Times New Roman"/>
                <w:i/>
                <w:iCs/>
                <w:color w:val="000000"/>
                <w:kern w:val="0"/>
                <w:szCs w:val="22"/>
              </w:rPr>
              <w:t>100%</w:t>
            </w:r>
          </w:p>
        </w:tc>
        <w:tc>
          <w:tcPr>
            <w:tcW w:w="962" w:type="dxa"/>
            <w:tcBorders>
              <w:top w:val="nil"/>
              <w:left w:val="nil"/>
              <w:bottom w:val="single" w:sz="8" w:space="0" w:color="auto"/>
              <w:right w:val="single" w:sz="8" w:space="0" w:color="auto"/>
            </w:tcBorders>
            <w:shd w:val="clear" w:color="auto" w:fill="F2DBDB"/>
            <w:vAlign w:val="bottom"/>
          </w:tcPr>
          <w:p w:rsidR="004A147C" w:rsidRPr="00AB43CD" w:rsidRDefault="004A147C" w:rsidP="00CE5850">
            <w:pPr>
              <w:jc w:val="right"/>
              <w:rPr>
                <w:rFonts w:eastAsia="Times New Roman"/>
                <w:i/>
                <w:iCs/>
                <w:color w:val="000000"/>
                <w:kern w:val="0"/>
                <w:szCs w:val="22"/>
              </w:rPr>
            </w:pPr>
            <w:r w:rsidRPr="00AB43CD">
              <w:rPr>
                <w:rFonts w:eastAsia="Times New Roman"/>
                <w:i/>
                <w:iCs/>
                <w:color w:val="000000"/>
                <w:kern w:val="0"/>
                <w:szCs w:val="22"/>
              </w:rPr>
              <w:t>392</w:t>
            </w:r>
          </w:p>
        </w:tc>
        <w:tc>
          <w:tcPr>
            <w:tcW w:w="1779" w:type="dxa"/>
            <w:tcBorders>
              <w:top w:val="nil"/>
              <w:left w:val="nil"/>
              <w:bottom w:val="single" w:sz="8" w:space="0" w:color="auto"/>
              <w:right w:val="single" w:sz="8" w:space="0" w:color="auto"/>
            </w:tcBorders>
            <w:shd w:val="clear" w:color="auto" w:fill="F2DBDB"/>
            <w:vAlign w:val="bottom"/>
          </w:tcPr>
          <w:p w:rsidR="004A147C" w:rsidRPr="00AB43CD" w:rsidRDefault="004A147C" w:rsidP="00CE5850">
            <w:pPr>
              <w:jc w:val="right"/>
              <w:rPr>
                <w:rFonts w:eastAsia="Times New Roman"/>
                <w:i/>
                <w:iCs/>
                <w:color w:val="000000"/>
                <w:kern w:val="0"/>
                <w:szCs w:val="22"/>
              </w:rPr>
            </w:pPr>
            <w:r w:rsidRPr="00AB43CD">
              <w:rPr>
                <w:rFonts w:eastAsia="Times New Roman"/>
                <w:i/>
                <w:iCs/>
                <w:color w:val="000000"/>
                <w:kern w:val="0"/>
                <w:szCs w:val="22"/>
              </w:rPr>
              <w:t>100%</w:t>
            </w:r>
          </w:p>
        </w:tc>
      </w:tr>
      <w:tr w:rsidR="004A147C" w:rsidRPr="00B11487" w:rsidTr="003E0BF1">
        <w:trPr>
          <w:trHeight w:val="315"/>
          <w:jc w:val="center"/>
        </w:trPr>
        <w:tc>
          <w:tcPr>
            <w:tcW w:w="2329" w:type="dxa"/>
            <w:tcBorders>
              <w:top w:val="nil"/>
              <w:left w:val="single" w:sz="8" w:space="0" w:color="auto"/>
              <w:bottom w:val="single" w:sz="8" w:space="0" w:color="auto"/>
              <w:right w:val="single" w:sz="8" w:space="0" w:color="auto"/>
            </w:tcBorders>
            <w:shd w:val="clear" w:color="auto" w:fill="F2DBDB"/>
            <w:noWrap/>
            <w:vAlign w:val="bottom"/>
          </w:tcPr>
          <w:p w:rsidR="004A147C" w:rsidRPr="00AB43CD" w:rsidRDefault="004A147C" w:rsidP="00CE5850">
            <w:pPr>
              <w:jc w:val="right"/>
              <w:rPr>
                <w:rFonts w:eastAsia="Times New Roman"/>
                <w:color w:val="000000"/>
                <w:kern w:val="0"/>
                <w:szCs w:val="22"/>
              </w:rPr>
            </w:pPr>
            <w:r w:rsidRPr="00AB43CD">
              <w:rPr>
                <w:rFonts w:eastAsia="Times New Roman"/>
                <w:color w:val="000000"/>
                <w:kern w:val="0"/>
                <w:szCs w:val="22"/>
              </w:rPr>
              <w:t>1 provider</w:t>
            </w:r>
          </w:p>
        </w:tc>
        <w:tc>
          <w:tcPr>
            <w:tcW w:w="1360" w:type="dxa"/>
            <w:tcBorders>
              <w:top w:val="nil"/>
              <w:left w:val="nil"/>
              <w:bottom w:val="single" w:sz="8" w:space="0" w:color="auto"/>
              <w:right w:val="single" w:sz="8" w:space="0" w:color="auto"/>
            </w:tcBorders>
            <w:shd w:val="clear" w:color="auto" w:fill="F2DBDB"/>
            <w:noWrap/>
            <w:vAlign w:val="bottom"/>
          </w:tcPr>
          <w:p w:rsidR="004A147C" w:rsidRPr="00AB43CD" w:rsidRDefault="004A147C" w:rsidP="00CE5850">
            <w:pPr>
              <w:jc w:val="right"/>
              <w:rPr>
                <w:rFonts w:eastAsia="Times New Roman"/>
                <w:color w:val="000000"/>
                <w:kern w:val="0"/>
                <w:szCs w:val="22"/>
              </w:rPr>
            </w:pPr>
            <w:r w:rsidRPr="00AB43CD">
              <w:rPr>
                <w:rFonts w:eastAsia="Times New Roman"/>
                <w:color w:val="000000"/>
                <w:kern w:val="0"/>
                <w:szCs w:val="22"/>
              </w:rPr>
              <w:t>0</w:t>
            </w:r>
          </w:p>
        </w:tc>
        <w:tc>
          <w:tcPr>
            <w:tcW w:w="1620" w:type="dxa"/>
            <w:tcBorders>
              <w:top w:val="nil"/>
              <w:left w:val="nil"/>
              <w:bottom w:val="single" w:sz="8" w:space="0" w:color="auto"/>
              <w:right w:val="single" w:sz="8" w:space="0" w:color="auto"/>
            </w:tcBorders>
            <w:shd w:val="clear" w:color="auto" w:fill="F2DBDB"/>
            <w:noWrap/>
            <w:vAlign w:val="bottom"/>
          </w:tcPr>
          <w:p w:rsidR="004A147C" w:rsidRPr="00AB43CD" w:rsidRDefault="004A147C" w:rsidP="00CE5850">
            <w:pPr>
              <w:jc w:val="right"/>
              <w:rPr>
                <w:rFonts w:eastAsia="Times New Roman"/>
                <w:color w:val="000000"/>
                <w:kern w:val="0"/>
                <w:szCs w:val="22"/>
              </w:rPr>
            </w:pPr>
            <w:r w:rsidRPr="00AB43CD">
              <w:rPr>
                <w:rFonts w:eastAsia="Times New Roman"/>
                <w:color w:val="000000"/>
                <w:kern w:val="0"/>
                <w:szCs w:val="22"/>
              </w:rPr>
              <w:t>0.0%</w:t>
            </w:r>
          </w:p>
        </w:tc>
        <w:tc>
          <w:tcPr>
            <w:tcW w:w="962" w:type="dxa"/>
            <w:tcBorders>
              <w:top w:val="nil"/>
              <w:left w:val="nil"/>
              <w:bottom w:val="single" w:sz="8" w:space="0" w:color="auto"/>
              <w:right w:val="single" w:sz="8" w:space="0" w:color="auto"/>
            </w:tcBorders>
            <w:shd w:val="clear" w:color="auto" w:fill="F2DBDB"/>
            <w:noWrap/>
            <w:vAlign w:val="bottom"/>
          </w:tcPr>
          <w:p w:rsidR="004A147C" w:rsidRPr="00AB43CD" w:rsidRDefault="004A147C" w:rsidP="00CE5850">
            <w:pPr>
              <w:jc w:val="right"/>
              <w:rPr>
                <w:rFonts w:eastAsia="Times New Roman"/>
                <w:color w:val="000000"/>
                <w:kern w:val="0"/>
                <w:szCs w:val="22"/>
              </w:rPr>
            </w:pPr>
            <w:r w:rsidRPr="00AB43CD">
              <w:rPr>
                <w:rFonts w:eastAsia="Times New Roman"/>
                <w:color w:val="000000"/>
                <w:kern w:val="0"/>
                <w:szCs w:val="22"/>
              </w:rPr>
              <w:t>2</w:t>
            </w:r>
          </w:p>
        </w:tc>
        <w:tc>
          <w:tcPr>
            <w:tcW w:w="1779" w:type="dxa"/>
            <w:tcBorders>
              <w:top w:val="nil"/>
              <w:left w:val="nil"/>
              <w:bottom w:val="single" w:sz="8" w:space="0" w:color="auto"/>
              <w:right w:val="single" w:sz="8" w:space="0" w:color="auto"/>
            </w:tcBorders>
            <w:shd w:val="clear" w:color="auto" w:fill="F2DBDB"/>
            <w:noWrap/>
            <w:vAlign w:val="bottom"/>
          </w:tcPr>
          <w:p w:rsidR="004A147C" w:rsidRPr="00AB43CD" w:rsidRDefault="004A147C" w:rsidP="00CE5850">
            <w:pPr>
              <w:jc w:val="right"/>
              <w:rPr>
                <w:rFonts w:eastAsia="Times New Roman"/>
                <w:color w:val="000000"/>
                <w:kern w:val="0"/>
                <w:szCs w:val="22"/>
              </w:rPr>
            </w:pPr>
            <w:r w:rsidRPr="00AB43CD">
              <w:rPr>
                <w:rFonts w:eastAsia="Times New Roman"/>
                <w:color w:val="000000"/>
                <w:kern w:val="0"/>
                <w:szCs w:val="22"/>
              </w:rPr>
              <w:t>0.5%</w:t>
            </w:r>
          </w:p>
        </w:tc>
      </w:tr>
      <w:tr w:rsidR="004A147C" w:rsidRPr="00B11487" w:rsidTr="003E0BF1">
        <w:trPr>
          <w:trHeight w:val="315"/>
          <w:jc w:val="center"/>
        </w:trPr>
        <w:tc>
          <w:tcPr>
            <w:tcW w:w="2329" w:type="dxa"/>
            <w:tcBorders>
              <w:top w:val="nil"/>
              <w:left w:val="single" w:sz="8" w:space="0" w:color="auto"/>
              <w:bottom w:val="single" w:sz="8" w:space="0" w:color="auto"/>
              <w:right w:val="single" w:sz="8" w:space="0" w:color="auto"/>
            </w:tcBorders>
            <w:shd w:val="clear" w:color="auto" w:fill="F2DBDB"/>
            <w:noWrap/>
            <w:vAlign w:val="bottom"/>
          </w:tcPr>
          <w:p w:rsidR="004A147C" w:rsidRPr="00AB43CD" w:rsidRDefault="004A147C" w:rsidP="00CE5850">
            <w:pPr>
              <w:jc w:val="right"/>
              <w:rPr>
                <w:rFonts w:eastAsia="Times New Roman"/>
                <w:color w:val="000000"/>
                <w:kern w:val="0"/>
                <w:szCs w:val="22"/>
              </w:rPr>
            </w:pPr>
            <w:r w:rsidRPr="00AB43CD">
              <w:rPr>
                <w:rFonts w:eastAsia="Times New Roman"/>
                <w:color w:val="000000"/>
                <w:kern w:val="0"/>
                <w:szCs w:val="22"/>
              </w:rPr>
              <w:t>2 providers</w:t>
            </w:r>
          </w:p>
        </w:tc>
        <w:tc>
          <w:tcPr>
            <w:tcW w:w="1360" w:type="dxa"/>
            <w:tcBorders>
              <w:top w:val="nil"/>
              <w:left w:val="nil"/>
              <w:bottom w:val="single" w:sz="8" w:space="0" w:color="auto"/>
              <w:right w:val="single" w:sz="8" w:space="0" w:color="auto"/>
            </w:tcBorders>
            <w:shd w:val="clear" w:color="auto" w:fill="F2DBDB"/>
            <w:noWrap/>
            <w:vAlign w:val="bottom"/>
          </w:tcPr>
          <w:p w:rsidR="004A147C" w:rsidRPr="00AB43CD" w:rsidRDefault="004A147C" w:rsidP="00CE5850">
            <w:pPr>
              <w:jc w:val="right"/>
              <w:rPr>
                <w:rFonts w:eastAsia="Times New Roman"/>
                <w:color w:val="000000"/>
                <w:kern w:val="0"/>
                <w:szCs w:val="22"/>
              </w:rPr>
            </w:pPr>
            <w:r w:rsidRPr="00AB43CD">
              <w:rPr>
                <w:rFonts w:eastAsia="Times New Roman"/>
                <w:color w:val="000000"/>
                <w:kern w:val="0"/>
                <w:szCs w:val="22"/>
              </w:rPr>
              <w:t>7</w:t>
            </w:r>
          </w:p>
        </w:tc>
        <w:tc>
          <w:tcPr>
            <w:tcW w:w="1620" w:type="dxa"/>
            <w:tcBorders>
              <w:top w:val="nil"/>
              <w:left w:val="nil"/>
              <w:bottom w:val="single" w:sz="8" w:space="0" w:color="auto"/>
              <w:right w:val="single" w:sz="8" w:space="0" w:color="auto"/>
            </w:tcBorders>
            <w:shd w:val="clear" w:color="auto" w:fill="F2DBDB"/>
            <w:noWrap/>
            <w:vAlign w:val="bottom"/>
          </w:tcPr>
          <w:p w:rsidR="004A147C" w:rsidRPr="00AB43CD" w:rsidRDefault="004A147C" w:rsidP="00CE5850">
            <w:pPr>
              <w:jc w:val="right"/>
              <w:rPr>
                <w:rFonts w:eastAsia="Times New Roman"/>
                <w:color w:val="000000"/>
                <w:kern w:val="0"/>
                <w:szCs w:val="22"/>
              </w:rPr>
            </w:pPr>
            <w:r w:rsidRPr="00AB43CD">
              <w:rPr>
                <w:rFonts w:eastAsia="Times New Roman"/>
                <w:color w:val="000000"/>
                <w:kern w:val="0"/>
                <w:szCs w:val="22"/>
              </w:rPr>
              <w:t>2.2%</w:t>
            </w:r>
          </w:p>
        </w:tc>
        <w:tc>
          <w:tcPr>
            <w:tcW w:w="962" w:type="dxa"/>
            <w:tcBorders>
              <w:top w:val="nil"/>
              <w:left w:val="nil"/>
              <w:bottom w:val="single" w:sz="8" w:space="0" w:color="auto"/>
              <w:right w:val="single" w:sz="8" w:space="0" w:color="auto"/>
            </w:tcBorders>
            <w:shd w:val="clear" w:color="auto" w:fill="F2DBDB"/>
            <w:noWrap/>
            <w:vAlign w:val="bottom"/>
          </w:tcPr>
          <w:p w:rsidR="004A147C" w:rsidRPr="00AB43CD" w:rsidRDefault="004A147C" w:rsidP="00CE5850">
            <w:pPr>
              <w:jc w:val="right"/>
              <w:rPr>
                <w:rFonts w:eastAsia="Times New Roman"/>
                <w:color w:val="000000"/>
                <w:kern w:val="0"/>
                <w:szCs w:val="22"/>
              </w:rPr>
            </w:pPr>
            <w:r w:rsidRPr="00AB43CD">
              <w:rPr>
                <w:rFonts w:eastAsia="Times New Roman"/>
                <w:color w:val="000000"/>
                <w:kern w:val="0"/>
                <w:szCs w:val="22"/>
              </w:rPr>
              <w:t>113</w:t>
            </w:r>
          </w:p>
        </w:tc>
        <w:tc>
          <w:tcPr>
            <w:tcW w:w="1779" w:type="dxa"/>
            <w:tcBorders>
              <w:top w:val="nil"/>
              <w:left w:val="nil"/>
              <w:bottom w:val="single" w:sz="8" w:space="0" w:color="auto"/>
              <w:right w:val="single" w:sz="8" w:space="0" w:color="auto"/>
            </w:tcBorders>
            <w:shd w:val="clear" w:color="auto" w:fill="F2DBDB"/>
            <w:noWrap/>
            <w:vAlign w:val="bottom"/>
          </w:tcPr>
          <w:p w:rsidR="004A147C" w:rsidRPr="00AB43CD" w:rsidRDefault="004A147C" w:rsidP="00CE5850">
            <w:pPr>
              <w:jc w:val="right"/>
              <w:rPr>
                <w:rFonts w:eastAsia="Times New Roman"/>
                <w:color w:val="000000"/>
                <w:kern w:val="0"/>
                <w:szCs w:val="22"/>
              </w:rPr>
            </w:pPr>
            <w:r w:rsidRPr="00AB43CD">
              <w:rPr>
                <w:rFonts w:eastAsia="Times New Roman"/>
                <w:color w:val="000000"/>
                <w:kern w:val="0"/>
                <w:szCs w:val="22"/>
              </w:rPr>
              <w:t>28.8%</w:t>
            </w:r>
          </w:p>
        </w:tc>
      </w:tr>
      <w:tr w:rsidR="004A147C" w:rsidRPr="00B11487" w:rsidTr="003E0BF1">
        <w:trPr>
          <w:trHeight w:val="315"/>
          <w:jc w:val="center"/>
        </w:trPr>
        <w:tc>
          <w:tcPr>
            <w:tcW w:w="2329" w:type="dxa"/>
            <w:tcBorders>
              <w:top w:val="nil"/>
              <w:left w:val="single" w:sz="8" w:space="0" w:color="auto"/>
              <w:bottom w:val="single" w:sz="8" w:space="0" w:color="auto"/>
              <w:right w:val="single" w:sz="8" w:space="0" w:color="auto"/>
            </w:tcBorders>
            <w:shd w:val="clear" w:color="auto" w:fill="F2DBDB"/>
            <w:noWrap/>
            <w:vAlign w:val="bottom"/>
          </w:tcPr>
          <w:p w:rsidR="004A147C" w:rsidRPr="00AB43CD" w:rsidRDefault="004A147C" w:rsidP="00CE5850">
            <w:pPr>
              <w:jc w:val="right"/>
              <w:rPr>
                <w:rFonts w:eastAsia="Times New Roman"/>
                <w:color w:val="000000"/>
                <w:kern w:val="0"/>
                <w:szCs w:val="22"/>
              </w:rPr>
            </w:pPr>
            <w:r w:rsidRPr="00AB43CD">
              <w:rPr>
                <w:rFonts w:eastAsia="Times New Roman"/>
                <w:color w:val="000000"/>
                <w:kern w:val="0"/>
                <w:szCs w:val="22"/>
              </w:rPr>
              <w:t>3 providers</w:t>
            </w:r>
          </w:p>
        </w:tc>
        <w:tc>
          <w:tcPr>
            <w:tcW w:w="1360" w:type="dxa"/>
            <w:tcBorders>
              <w:top w:val="nil"/>
              <w:left w:val="nil"/>
              <w:bottom w:val="single" w:sz="8" w:space="0" w:color="auto"/>
              <w:right w:val="single" w:sz="8" w:space="0" w:color="auto"/>
            </w:tcBorders>
            <w:shd w:val="clear" w:color="auto" w:fill="F2DBDB"/>
            <w:noWrap/>
            <w:vAlign w:val="bottom"/>
          </w:tcPr>
          <w:p w:rsidR="004A147C" w:rsidRPr="00AB43CD" w:rsidRDefault="004A147C" w:rsidP="00CE5850">
            <w:pPr>
              <w:jc w:val="right"/>
              <w:rPr>
                <w:rFonts w:eastAsia="Times New Roman"/>
                <w:color w:val="000000"/>
                <w:kern w:val="0"/>
                <w:szCs w:val="22"/>
              </w:rPr>
            </w:pPr>
            <w:r w:rsidRPr="00AB43CD">
              <w:rPr>
                <w:rFonts w:eastAsia="Times New Roman"/>
                <w:color w:val="000000"/>
                <w:kern w:val="0"/>
                <w:szCs w:val="22"/>
              </w:rPr>
              <w:t>73</w:t>
            </w:r>
          </w:p>
        </w:tc>
        <w:tc>
          <w:tcPr>
            <w:tcW w:w="1620" w:type="dxa"/>
            <w:tcBorders>
              <w:top w:val="nil"/>
              <w:left w:val="nil"/>
              <w:bottom w:val="single" w:sz="8" w:space="0" w:color="auto"/>
              <w:right w:val="single" w:sz="8" w:space="0" w:color="auto"/>
            </w:tcBorders>
            <w:shd w:val="clear" w:color="auto" w:fill="F2DBDB"/>
            <w:noWrap/>
            <w:vAlign w:val="bottom"/>
          </w:tcPr>
          <w:p w:rsidR="004A147C" w:rsidRPr="00AB43CD" w:rsidRDefault="004A147C" w:rsidP="00CE5850">
            <w:pPr>
              <w:jc w:val="right"/>
              <w:rPr>
                <w:rFonts w:eastAsia="Times New Roman"/>
                <w:color w:val="000000"/>
                <w:kern w:val="0"/>
                <w:szCs w:val="22"/>
              </w:rPr>
            </w:pPr>
            <w:r w:rsidRPr="00AB43CD">
              <w:rPr>
                <w:rFonts w:eastAsia="Times New Roman"/>
                <w:color w:val="000000"/>
                <w:kern w:val="0"/>
                <w:szCs w:val="22"/>
              </w:rPr>
              <w:t>22.5%</w:t>
            </w:r>
          </w:p>
        </w:tc>
        <w:tc>
          <w:tcPr>
            <w:tcW w:w="962" w:type="dxa"/>
            <w:tcBorders>
              <w:top w:val="nil"/>
              <w:left w:val="nil"/>
              <w:bottom w:val="single" w:sz="8" w:space="0" w:color="auto"/>
              <w:right w:val="single" w:sz="8" w:space="0" w:color="auto"/>
            </w:tcBorders>
            <w:shd w:val="clear" w:color="auto" w:fill="F2DBDB"/>
            <w:noWrap/>
            <w:vAlign w:val="bottom"/>
          </w:tcPr>
          <w:p w:rsidR="004A147C" w:rsidRPr="00AB43CD" w:rsidRDefault="004A147C" w:rsidP="00CE5850">
            <w:pPr>
              <w:jc w:val="right"/>
              <w:rPr>
                <w:rFonts w:eastAsia="Times New Roman"/>
                <w:color w:val="000000"/>
                <w:kern w:val="0"/>
                <w:szCs w:val="22"/>
              </w:rPr>
            </w:pPr>
            <w:r w:rsidRPr="00AB43CD">
              <w:rPr>
                <w:rFonts w:eastAsia="Times New Roman"/>
                <w:color w:val="000000"/>
                <w:kern w:val="0"/>
                <w:szCs w:val="22"/>
              </w:rPr>
              <w:t>140</w:t>
            </w:r>
          </w:p>
        </w:tc>
        <w:tc>
          <w:tcPr>
            <w:tcW w:w="1779" w:type="dxa"/>
            <w:tcBorders>
              <w:top w:val="nil"/>
              <w:left w:val="nil"/>
              <w:bottom w:val="single" w:sz="8" w:space="0" w:color="auto"/>
              <w:right w:val="single" w:sz="8" w:space="0" w:color="auto"/>
            </w:tcBorders>
            <w:shd w:val="clear" w:color="auto" w:fill="F2DBDB"/>
            <w:noWrap/>
            <w:vAlign w:val="bottom"/>
          </w:tcPr>
          <w:p w:rsidR="004A147C" w:rsidRPr="00AB43CD" w:rsidRDefault="004A147C" w:rsidP="00CE5850">
            <w:pPr>
              <w:jc w:val="right"/>
              <w:rPr>
                <w:rFonts w:eastAsia="Times New Roman"/>
                <w:color w:val="000000"/>
                <w:kern w:val="0"/>
                <w:szCs w:val="22"/>
              </w:rPr>
            </w:pPr>
            <w:r w:rsidRPr="00AB43CD">
              <w:rPr>
                <w:rFonts w:eastAsia="Times New Roman"/>
                <w:color w:val="000000"/>
                <w:kern w:val="0"/>
                <w:szCs w:val="22"/>
              </w:rPr>
              <w:t>35.7%</w:t>
            </w:r>
          </w:p>
        </w:tc>
      </w:tr>
      <w:tr w:rsidR="004A147C" w:rsidRPr="00B11487" w:rsidTr="003E0BF1">
        <w:trPr>
          <w:trHeight w:val="315"/>
          <w:jc w:val="center"/>
        </w:trPr>
        <w:tc>
          <w:tcPr>
            <w:tcW w:w="2329" w:type="dxa"/>
            <w:tcBorders>
              <w:top w:val="nil"/>
              <w:left w:val="single" w:sz="8" w:space="0" w:color="auto"/>
              <w:bottom w:val="single" w:sz="8" w:space="0" w:color="auto"/>
              <w:right w:val="single" w:sz="8" w:space="0" w:color="auto"/>
            </w:tcBorders>
            <w:shd w:val="clear" w:color="auto" w:fill="F2DBDB"/>
            <w:noWrap/>
            <w:vAlign w:val="bottom"/>
          </w:tcPr>
          <w:p w:rsidR="004A147C" w:rsidRPr="00AB43CD" w:rsidRDefault="004A147C" w:rsidP="00CE5850">
            <w:pPr>
              <w:jc w:val="right"/>
              <w:rPr>
                <w:rFonts w:eastAsia="Times New Roman"/>
                <w:color w:val="000000"/>
                <w:kern w:val="0"/>
                <w:szCs w:val="22"/>
              </w:rPr>
            </w:pPr>
            <w:r w:rsidRPr="00AB43CD">
              <w:rPr>
                <w:rFonts w:eastAsia="Times New Roman"/>
                <w:color w:val="000000"/>
                <w:kern w:val="0"/>
                <w:szCs w:val="22"/>
              </w:rPr>
              <w:t>4 providers</w:t>
            </w:r>
          </w:p>
        </w:tc>
        <w:tc>
          <w:tcPr>
            <w:tcW w:w="1360" w:type="dxa"/>
            <w:tcBorders>
              <w:top w:val="nil"/>
              <w:left w:val="nil"/>
              <w:bottom w:val="single" w:sz="8" w:space="0" w:color="auto"/>
              <w:right w:val="single" w:sz="8" w:space="0" w:color="auto"/>
            </w:tcBorders>
            <w:shd w:val="clear" w:color="auto" w:fill="F2DBDB"/>
            <w:noWrap/>
            <w:vAlign w:val="bottom"/>
          </w:tcPr>
          <w:p w:rsidR="004A147C" w:rsidRPr="00AB43CD" w:rsidRDefault="004A147C" w:rsidP="00CE5850">
            <w:pPr>
              <w:jc w:val="right"/>
              <w:rPr>
                <w:rFonts w:eastAsia="Times New Roman"/>
                <w:color w:val="000000"/>
                <w:kern w:val="0"/>
                <w:szCs w:val="22"/>
              </w:rPr>
            </w:pPr>
            <w:r w:rsidRPr="00AB43CD">
              <w:rPr>
                <w:rFonts w:eastAsia="Times New Roman"/>
                <w:color w:val="000000"/>
                <w:kern w:val="0"/>
                <w:szCs w:val="22"/>
              </w:rPr>
              <w:t>147</w:t>
            </w:r>
          </w:p>
        </w:tc>
        <w:tc>
          <w:tcPr>
            <w:tcW w:w="1620" w:type="dxa"/>
            <w:tcBorders>
              <w:top w:val="nil"/>
              <w:left w:val="nil"/>
              <w:bottom w:val="single" w:sz="8" w:space="0" w:color="auto"/>
              <w:right w:val="single" w:sz="8" w:space="0" w:color="auto"/>
            </w:tcBorders>
            <w:shd w:val="clear" w:color="auto" w:fill="F2DBDB"/>
            <w:noWrap/>
            <w:vAlign w:val="bottom"/>
          </w:tcPr>
          <w:p w:rsidR="004A147C" w:rsidRPr="00AB43CD" w:rsidRDefault="004A147C" w:rsidP="00CE5850">
            <w:pPr>
              <w:jc w:val="right"/>
              <w:rPr>
                <w:rFonts w:eastAsia="Times New Roman"/>
                <w:color w:val="000000"/>
                <w:kern w:val="0"/>
                <w:szCs w:val="22"/>
              </w:rPr>
            </w:pPr>
            <w:r w:rsidRPr="00AB43CD">
              <w:rPr>
                <w:rFonts w:eastAsia="Times New Roman"/>
                <w:color w:val="000000"/>
                <w:kern w:val="0"/>
                <w:szCs w:val="22"/>
              </w:rPr>
              <w:t>45.4%</w:t>
            </w:r>
          </w:p>
        </w:tc>
        <w:tc>
          <w:tcPr>
            <w:tcW w:w="962" w:type="dxa"/>
            <w:tcBorders>
              <w:top w:val="nil"/>
              <w:left w:val="nil"/>
              <w:bottom w:val="single" w:sz="8" w:space="0" w:color="auto"/>
              <w:right w:val="single" w:sz="8" w:space="0" w:color="auto"/>
            </w:tcBorders>
            <w:shd w:val="clear" w:color="auto" w:fill="F2DBDB"/>
            <w:noWrap/>
            <w:vAlign w:val="bottom"/>
          </w:tcPr>
          <w:p w:rsidR="004A147C" w:rsidRPr="00AB43CD" w:rsidRDefault="004A147C" w:rsidP="00CE5850">
            <w:pPr>
              <w:jc w:val="right"/>
              <w:rPr>
                <w:rFonts w:eastAsia="Times New Roman"/>
                <w:color w:val="000000"/>
                <w:kern w:val="0"/>
                <w:szCs w:val="22"/>
              </w:rPr>
            </w:pPr>
            <w:r w:rsidRPr="00AB43CD">
              <w:rPr>
                <w:rFonts w:eastAsia="Times New Roman"/>
                <w:color w:val="000000"/>
                <w:kern w:val="0"/>
                <w:szCs w:val="22"/>
              </w:rPr>
              <w:t>99</w:t>
            </w:r>
          </w:p>
        </w:tc>
        <w:tc>
          <w:tcPr>
            <w:tcW w:w="1779" w:type="dxa"/>
            <w:tcBorders>
              <w:top w:val="nil"/>
              <w:left w:val="nil"/>
              <w:bottom w:val="single" w:sz="8" w:space="0" w:color="auto"/>
              <w:right w:val="single" w:sz="8" w:space="0" w:color="auto"/>
            </w:tcBorders>
            <w:shd w:val="clear" w:color="auto" w:fill="F2DBDB"/>
            <w:noWrap/>
            <w:vAlign w:val="bottom"/>
          </w:tcPr>
          <w:p w:rsidR="004A147C" w:rsidRPr="00AB43CD" w:rsidRDefault="004A147C" w:rsidP="00CE5850">
            <w:pPr>
              <w:jc w:val="right"/>
              <w:rPr>
                <w:rFonts w:eastAsia="Times New Roman"/>
                <w:color w:val="000000"/>
                <w:kern w:val="0"/>
                <w:szCs w:val="22"/>
              </w:rPr>
            </w:pPr>
            <w:r w:rsidRPr="00AB43CD">
              <w:rPr>
                <w:rFonts w:eastAsia="Times New Roman"/>
                <w:color w:val="000000"/>
                <w:kern w:val="0"/>
                <w:szCs w:val="22"/>
              </w:rPr>
              <w:t>25.3%</w:t>
            </w:r>
          </w:p>
        </w:tc>
      </w:tr>
      <w:tr w:rsidR="004A147C" w:rsidRPr="00B11487" w:rsidTr="003E0BF1">
        <w:trPr>
          <w:trHeight w:val="315"/>
          <w:jc w:val="center"/>
        </w:trPr>
        <w:tc>
          <w:tcPr>
            <w:tcW w:w="2329" w:type="dxa"/>
            <w:tcBorders>
              <w:top w:val="nil"/>
              <w:left w:val="single" w:sz="8" w:space="0" w:color="auto"/>
              <w:bottom w:val="single" w:sz="8" w:space="0" w:color="auto"/>
              <w:right w:val="single" w:sz="8" w:space="0" w:color="auto"/>
            </w:tcBorders>
            <w:shd w:val="clear" w:color="auto" w:fill="F2DBDB"/>
            <w:noWrap/>
            <w:vAlign w:val="bottom"/>
          </w:tcPr>
          <w:p w:rsidR="004A147C" w:rsidRPr="00AB43CD" w:rsidRDefault="004A147C" w:rsidP="00CE5850">
            <w:pPr>
              <w:jc w:val="right"/>
              <w:rPr>
                <w:rFonts w:eastAsia="Times New Roman"/>
                <w:color w:val="000000"/>
                <w:kern w:val="0"/>
                <w:szCs w:val="22"/>
              </w:rPr>
            </w:pPr>
            <w:r w:rsidRPr="00AB43CD">
              <w:rPr>
                <w:rFonts w:eastAsia="Times New Roman"/>
                <w:color w:val="000000"/>
                <w:kern w:val="0"/>
                <w:szCs w:val="22"/>
              </w:rPr>
              <w:t xml:space="preserve">5 providers </w:t>
            </w:r>
          </w:p>
        </w:tc>
        <w:tc>
          <w:tcPr>
            <w:tcW w:w="1360" w:type="dxa"/>
            <w:tcBorders>
              <w:top w:val="nil"/>
              <w:left w:val="nil"/>
              <w:bottom w:val="single" w:sz="8" w:space="0" w:color="auto"/>
              <w:right w:val="single" w:sz="8" w:space="0" w:color="auto"/>
            </w:tcBorders>
            <w:shd w:val="clear" w:color="auto" w:fill="F2DBDB"/>
            <w:noWrap/>
            <w:vAlign w:val="bottom"/>
          </w:tcPr>
          <w:p w:rsidR="004A147C" w:rsidRPr="00AB43CD" w:rsidRDefault="004A147C" w:rsidP="00CE5850">
            <w:pPr>
              <w:jc w:val="right"/>
              <w:rPr>
                <w:rFonts w:eastAsia="Times New Roman"/>
                <w:color w:val="000000"/>
                <w:kern w:val="0"/>
                <w:szCs w:val="22"/>
              </w:rPr>
            </w:pPr>
            <w:r>
              <w:rPr>
                <w:rFonts w:eastAsia="Times New Roman"/>
                <w:color w:val="000000"/>
                <w:kern w:val="0"/>
                <w:szCs w:val="22"/>
              </w:rPr>
              <w:t>97</w:t>
            </w:r>
          </w:p>
        </w:tc>
        <w:tc>
          <w:tcPr>
            <w:tcW w:w="1620" w:type="dxa"/>
            <w:tcBorders>
              <w:top w:val="nil"/>
              <w:left w:val="nil"/>
              <w:bottom w:val="single" w:sz="8" w:space="0" w:color="auto"/>
              <w:right w:val="single" w:sz="8" w:space="0" w:color="auto"/>
            </w:tcBorders>
            <w:shd w:val="clear" w:color="auto" w:fill="F2DBDB"/>
            <w:noWrap/>
            <w:vAlign w:val="bottom"/>
          </w:tcPr>
          <w:p w:rsidR="004A147C" w:rsidRPr="00AB43CD" w:rsidRDefault="004A147C" w:rsidP="00CE5850">
            <w:pPr>
              <w:jc w:val="right"/>
              <w:rPr>
                <w:rFonts w:eastAsia="Times New Roman"/>
                <w:color w:val="000000"/>
                <w:kern w:val="0"/>
                <w:szCs w:val="22"/>
              </w:rPr>
            </w:pPr>
            <w:r>
              <w:rPr>
                <w:rFonts w:eastAsia="Times New Roman"/>
                <w:color w:val="000000"/>
                <w:kern w:val="0"/>
                <w:szCs w:val="22"/>
              </w:rPr>
              <w:t>30.0</w:t>
            </w:r>
            <w:r w:rsidRPr="00AB43CD">
              <w:rPr>
                <w:rFonts w:eastAsia="Times New Roman"/>
                <w:color w:val="000000"/>
                <w:kern w:val="0"/>
                <w:szCs w:val="22"/>
              </w:rPr>
              <w:t>%</w:t>
            </w:r>
          </w:p>
        </w:tc>
        <w:tc>
          <w:tcPr>
            <w:tcW w:w="962" w:type="dxa"/>
            <w:tcBorders>
              <w:top w:val="nil"/>
              <w:left w:val="nil"/>
              <w:bottom w:val="single" w:sz="8" w:space="0" w:color="auto"/>
              <w:right w:val="single" w:sz="8" w:space="0" w:color="auto"/>
            </w:tcBorders>
            <w:shd w:val="clear" w:color="auto" w:fill="F2DBDB"/>
            <w:noWrap/>
            <w:vAlign w:val="bottom"/>
          </w:tcPr>
          <w:p w:rsidR="004A147C" w:rsidRPr="00AB43CD" w:rsidRDefault="004A147C" w:rsidP="00CE5850">
            <w:pPr>
              <w:jc w:val="right"/>
              <w:rPr>
                <w:rFonts w:eastAsia="Times New Roman"/>
                <w:color w:val="000000"/>
                <w:kern w:val="0"/>
                <w:szCs w:val="22"/>
              </w:rPr>
            </w:pPr>
            <w:r w:rsidRPr="00AB43CD">
              <w:rPr>
                <w:rFonts w:eastAsia="Times New Roman"/>
                <w:color w:val="000000"/>
                <w:kern w:val="0"/>
                <w:szCs w:val="22"/>
              </w:rPr>
              <w:t>3</w:t>
            </w:r>
            <w:r>
              <w:rPr>
                <w:rFonts w:eastAsia="Times New Roman"/>
                <w:color w:val="000000"/>
                <w:kern w:val="0"/>
                <w:szCs w:val="22"/>
              </w:rPr>
              <w:t>8</w:t>
            </w:r>
          </w:p>
        </w:tc>
        <w:tc>
          <w:tcPr>
            <w:tcW w:w="1779" w:type="dxa"/>
            <w:tcBorders>
              <w:top w:val="nil"/>
              <w:left w:val="nil"/>
              <w:bottom w:val="single" w:sz="8" w:space="0" w:color="auto"/>
              <w:right w:val="single" w:sz="8" w:space="0" w:color="auto"/>
            </w:tcBorders>
            <w:shd w:val="clear" w:color="auto" w:fill="F2DBDB"/>
            <w:noWrap/>
            <w:vAlign w:val="bottom"/>
          </w:tcPr>
          <w:p w:rsidR="004A147C" w:rsidRPr="00AB43CD" w:rsidRDefault="004A147C" w:rsidP="00CE5850">
            <w:pPr>
              <w:jc w:val="right"/>
              <w:rPr>
                <w:rFonts w:eastAsia="Times New Roman"/>
                <w:color w:val="000000"/>
                <w:kern w:val="0"/>
                <w:szCs w:val="22"/>
              </w:rPr>
            </w:pPr>
            <w:r w:rsidRPr="00AB43CD">
              <w:rPr>
                <w:rFonts w:eastAsia="Times New Roman"/>
                <w:color w:val="000000"/>
                <w:kern w:val="0"/>
                <w:szCs w:val="22"/>
              </w:rPr>
              <w:t>9.</w:t>
            </w:r>
            <w:r>
              <w:rPr>
                <w:rFonts w:eastAsia="Times New Roman"/>
                <w:color w:val="000000"/>
                <w:kern w:val="0"/>
                <w:szCs w:val="22"/>
              </w:rPr>
              <w:t>7</w:t>
            </w:r>
            <w:r w:rsidRPr="00AB43CD">
              <w:rPr>
                <w:rFonts w:eastAsia="Times New Roman"/>
                <w:color w:val="000000"/>
                <w:kern w:val="0"/>
                <w:szCs w:val="22"/>
              </w:rPr>
              <w:t>%</w:t>
            </w:r>
          </w:p>
        </w:tc>
      </w:tr>
      <w:tr w:rsidR="004A147C" w:rsidRPr="00B11487" w:rsidTr="00AB43CD">
        <w:trPr>
          <w:trHeight w:val="255"/>
          <w:jc w:val="center"/>
        </w:trPr>
        <w:tc>
          <w:tcPr>
            <w:tcW w:w="2329" w:type="dxa"/>
            <w:tcBorders>
              <w:top w:val="nil"/>
              <w:left w:val="nil"/>
              <w:bottom w:val="nil"/>
              <w:right w:val="nil"/>
            </w:tcBorders>
            <w:noWrap/>
            <w:vAlign w:val="bottom"/>
          </w:tcPr>
          <w:p w:rsidR="004A147C" w:rsidRPr="00B11487" w:rsidRDefault="004A147C" w:rsidP="00CE5850">
            <w:pPr>
              <w:rPr>
                <w:rFonts w:ascii="Arial" w:hAnsi="Arial" w:cs="Arial"/>
                <w:kern w:val="0"/>
                <w:sz w:val="20"/>
              </w:rPr>
            </w:pPr>
          </w:p>
        </w:tc>
        <w:tc>
          <w:tcPr>
            <w:tcW w:w="1360" w:type="dxa"/>
            <w:tcBorders>
              <w:top w:val="nil"/>
              <w:left w:val="nil"/>
              <w:bottom w:val="nil"/>
              <w:right w:val="nil"/>
            </w:tcBorders>
            <w:noWrap/>
            <w:vAlign w:val="bottom"/>
          </w:tcPr>
          <w:p w:rsidR="004A147C" w:rsidRPr="00B11487" w:rsidRDefault="004A147C" w:rsidP="00CE5850">
            <w:pPr>
              <w:rPr>
                <w:rFonts w:ascii="Arial" w:hAnsi="Arial" w:cs="Arial"/>
                <w:kern w:val="0"/>
                <w:sz w:val="20"/>
              </w:rPr>
            </w:pPr>
          </w:p>
        </w:tc>
        <w:tc>
          <w:tcPr>
            <w:tcW w:w="1620" w:type="dxa"/>
            <w:tcBorders>
              <w:top w:val="nil"/>
              <w:left w:val="nil"/>
              <w:bottom w:val="nil"/>
              <w:right w:val="nil"/>
            </w:tcBorders>
            <w:noWrap/>
            <w:vAlign w:val="bottom"/>
          </w:tcPr>
          <w:p w:rsidR="004A147C" w:rsidRPr="00B11487" w:rsidRDefault="004A147C" w:rsidP="00CE5850">
            <w:pPr>
              <w:rPr>
                <w:rFonts w:ascii="Arial" w:hAnsi="Arial" w:cs="Arial"/>
                <w:kern w:val="0"/>
                <w:sz w:val="20"/>
              </w:rPr>
            </w:pPr>
          </w:p>
        </w:tc>
        <w:tc>
          <w:tcPr>
            <w:tcW w:w="962" w:type="dxa"/>
            <w:tcBorders>
              <w:top w:val="nil"/>
              <w:left w:val="nil"/>
              <w:bottom w:val="nil"/>
              <w:right w:val="nil"/>
            </w:tcBorders>
            <w:noWrap/>
            <w:vAlign w:val="bottom"/>
          </w:tcPr>
          <w:p w:rsidR="004A147C" w:rsidRPr="00B11487" w:rsidRDefault="004A147C" w:rsidP="00CE5850">
            <w:pPr>
              <w:rPr>
                <w:rFonts w:ascii="Arial" w:hAnsi="Arial" w:cs="Arial"/>
                <w:kern w:val="0"/>
                <w:sz w:val="20"/>
              </w:rPr>
            </w:pPr>
          </w:p>
        </w:tc>
        <w:tc>
          <w:tcPr>
            <w:tcW w:w="1779" w:type="dxa"/>
            <w:tcBorders>
              <w:top w:val="nil"/>
              <w:left w:val="nil"/>
              <w:bottom w:val="nil"/>
              <w:right w:val="nil"/>
            </w:tcBorders>
            <w:noWrap/>
            <w:vAlign w:val="bottom"/>
          </w:tcPr>
          <w:p w:rsidR="004A147C" w:rsidRPr="00B11487" w:rsidRDefault="004A147C" w:rsidP="00CE5850">
            <w:pPr>
              <w:rPr>
                <w:rFonts w:ascii="Arial" w:hAnsi="Arial" w:cs="Arial"/>
                <w:kern w:val="0"/>
                <w:sz w:val="20"/>
              </w:rPr>
            </w:pPr>
          </w:p>
        </w:tc>
      </w:tr>
    </w:tbl>
    <w:p w:rsidR="004A147C" w:rsidRDefault="004A147C" w:rsidP="00CE5850">
      <w:pPr>
        <w:rPr>
          <w:szCs w:val="22"/>
        </w:rPr>
      </w:pPr>
    </w:p>
    <w:p w:rsidR="00A72236" w:rsidRDefault="00A72236" w:rsidP="00CE5850">
      <w:pPr>
        <w:rPr>
          <w:szCs w:val="22"/>
        </w:rPr>
      </w:pPr>
    </w:p>
    <w:p w:rsidR="00A72236" w:rsidRDefault="00A72236" w:rsidP="00CE5850">
      <w:pPr>
        <w:rPr>
          <w:szCs w:val="22"/>
        </w:rPr>
      </w:pPr>
    </w:p>
    <w:p w:rsidR="00A72236" w:rsidRDefault="00A72236" w:rsidP="00CE5850">
      <w:pPr>
        <w:rPr>
          <w:szCs w:val="22"/>
        </w:rPr>
      </w:pPr>
    </w:p>
    <w:p w:rsidR="00A72236" w:rsidRDefault="00A72236" w:rsidP="00CE5850">
      <w:pPr>
        <w:rPr>
          <w:szCs w:val="22"/>
        </w:rPr>
      </w:pPr>
    </w:p>
    <w:p w:rsidR="00A72236" w:rsidRDefault="00A72236" w:rsidP="00CE5850">
      <w:pPr>
        <w:rPr>
          <w:szCs w:val="22"/>
        </w:rPr>
      </w:pPr>
    </w:p>
    <w:p w:rsidR="00A72236" w:rsidRDefault="00A72236" w:rsidP="00CE5850">
      <w:pPr>
        <w:rPr>
          <w:szCs w:val="22"/>
        </w:rPr>
      </w:pPr>
    </w:p>
    <w:p w:rsidR="00A72236" w:rsidRDefault="00A72236" w:rsidP="00CE5850">
      <w:pPr>
        <w:rPr>
          <w:szCs w:val="22"/>
        </w:rPr>
      </w:pPr>
    </w:p>
    <w:p w:rsidR="00A72236" w:rsidRDefault="00A72236" w:rsidP="00CE5850">
      <w:pPr>
        <w:rPr>
          <w:szCs w:val="22"/>
        </w:rPr>
      </w:pPr>
    </w:p>
    <w:p w:rsidR="00A72236" w:rsidRPr="00B53FFB" w:rsidRDefault="00A72236" w:rsidP="00CE5850">
      <w:pPr>
        <w:rPr>
          <w:szCs w:val="22"/>
        </w:rPr>
      </w:pPr>
    </w:p>
    <w:p w:rsidR="004A147C" w:rsidRPr="00B53FFB" w:rsidRDefault="004A147C" w:rsidP="00CE5850">
      <w:pPr>
        <w:pStyle w:val="Caption"/>
        <w:widowControl w:val="0"/>
        <w:jc w:val="center"/>
        <w:rPr>
          <w:sz w:val="22"/>
          <w:szCs w:val="22"/>
        </w:rPr>
      </w:pPr>
      <w:bookmarkStart w:id="5636" w:name="_Ref343169123"/>
      <w:r w:rsidRPr="00EF218B">
        <w:rPr>
          <w:sz w:val="22"/>
          <w:szCs w:val="22"/>
        </w:rPr>
        <w:t xml:space="preserve">Map </w:t>
      </w:r>
      <w:r w:rsidR="0007014B" w:rsidRPr="00EF218B">
        <w:rPr>
          <w:sz w:val="22"/>
          <w:szCs w:val="22"/>
        </w:rPr>
        <w:fldChar w:fldCharType="begin"/>
      </w:r>
      <w:r w:rsidRPr="00EF218B">
        <w:rPr>
          <w:sz w:val="22"/>
          <w:szCs w:val="22"/>
        </w:rPr>
        <w:instrText xml:space="preserve"> SEQ Map \* ARABIC </w:instrText>
      </w:r>
      <w:r w:rsidR="0007014B" w:rsidRPr="00EF218B">
        <w:rPr>
          <w:sz w:val="22"/>
          <w:szCs w:val="22"/>
        </w:rPr>
        <w:fldChar w:fldCharType="separate"/>
      </w:r>
      <w:r w:rsidR="00CA3AC6">
        <w:rPr>
          <w:noProof/>
          <w:sz w:val="22"/>
          <w:szCs w:val="22"/>
        </w:rPr>
        <w:t>6</w:t>
      </w:r>
      <w:r w:rsidR="0007014B" w:rsidRPr="00EF218B">
        <w:rPr>
          <w:sz w:val="22"/>
          <w:szCs w:val="22"/>
        </w:rPr>
        <w:fldChar w:fldCharType="end"/>
      </w:r>
      <w:bookmarkEnd w:id="5636"/>
      <w:r w:rsidRPr="00B53FFB">
        <w:rPr>
          <w:bCs w:val="0"/>
          <w:color w:val="000000"/>
          <w:sz w:val="22"/>
          <w:szCs w:val="22"/>
        </w:rPr>
        <w:br/>
        <w:t>Service Provider Coverage in an Illustrative Rural CMA, Jan. 2012</w:t>
      </w:r>
      <w:bookmarkEnd w:id="5580"/>
      <w:bookmarkEnd w:id="5581"/>
      <w:bookmarkEnd w:id="5582"/>
    </w:p>
    <w:p w:rsidR="004A147C" w:rsidRPr="00B53FFB" w:rsidRDefault="00C81B24" w:rsidP="00CE5850">
      <w:pPr>
        <w:jc w:val="center"/>
        <w:rPr>
          <w:szCs w:val="22"/>
        </w:rPr>
      </w:pPr>
      <w:r>
        <w:rPr>
          <w:noProof/>
          <w:szCs w:val="22"/>
        </w:rPr>
        <w:drawing>
          <wp:inline distT="0" distB="0" distL="0" distR="0" wp14:anchorId="162825C9" wp14:editId="1D3E3CD5">
            <wp:extent cx="5934075" cy="4667250"/>
            <wp:effectExtent l="0" t="0" r="9525" b="0"/>
            <wp:docPr id="76" name="Picture 76" descr="CMA_608_cover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CMA_608_coverage"/>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934075" cy="4667250"/>
                    </a:xfrm>
                    <a:prstGeom prst="rect">
                      <a:avLst/>
                    </a:prstGeom>
                    <a:noFill/>
                    <a:ln>
                      <a:noFill/>
                    </a:ln>
                  </pic:spPr>
                </pic:pic>
              </a:graphicData>
            </a:graphic>
          </wp:inline>
        </w:drawing>
      </w:r>
    </w:p>
    <w:p w:rsidR="004A147C" w:rsidRPr="00B53FFB" w:rsidRDefault="004A147C" w:rsidP="00CE5850">
      <w:pPr>
        <w:rPr>
          <w:szCs w:val="22"/>
        </w:rPr>
      </w:pPr>
    </w:p>
    <w:p w:rsidR="004A147C" w:rsidRPr="00B53FFB" w:rsidRDefault="004A147C" w:rsidP="00CE5850">
      <w:pPr>
        <w:pStyle w:val="Heading2"/>
        <w:keepNext w:val="0"/>
      </w:pPr>
      <w:bookmarkStart w:id="5637" w:name="_Toc331766378"/>
      <w:bookmarkStart w:id="5638" w:name="_Toc332119182"/>
      <w:bookmarkStart w:id="5639" w:name="_Toc334088850"/>
      <w:bookmarkStart w:id="5640" w:name="_Toc334089086"/>
      <w:bookmarkStart w:id="5641" w:name="_Toc334089245"/>
      <w:bookmarkStart w:id="5642" w:name="_Toc334089356"/>
      <w:bookmarkStart w:id="5643" w:name="_Toc334089520"/>
      <w:bookmarkStart w:id="5644" w:name="_Toc336268662"/>
      <w:bookmarkStart w:id="5645" w:name="_Toc336268770"/>
      <w:bookmarkStart w:id="5646" w:name="_Toc336268877"/>
      <w:bookmarkStart w:id="5647" w:name="_Toc336269091"/>
      <w:bookmarkStart w:id="5648" w:name="_Toc336269198"/>
      <w:bookmarkStart w:id="5649" w:name="_Toc336269566"/>
      <w:bookmarkStart w:id="5650" w:name="_Toc336269712"/>
      <w:bookmarkStart w:id="5651" w:name="_Toc336270125"/>
      <w:bookmarkStart w:id="5652" w:name="_Toc336271319"/>
      <w:bookmarkStart w:id="5653" w:name="_Toc337652037"/>
      <w:bookmarkStart w:id="5654" w:name="_Toc349577226"/>
      <w:bookmarkStart w:id="5655" w:name="_Toc349579318"/>
      <w:bookmarkStart w:id="5656" w:name="_Toc349580633"/>
      <w:bookmarkStart w:id="5657" w:name="_Toc349735042"/>
      <w:bookmarkStart w:id="5658" w:name="_Toc349742407"/>
      <w:r w:rsidRPr="00B53FFB">
        <w:t>Spectrum in Rural Areas</w:t>
      </w:r>
      <w:bookmarkEnd w:id="5637"/>
      <w:bookmarkEnd w:id="5638"/>
      <w:bookmarkEnd w:id="5639"/>
      <w:bookmarkEnd w:id="5640"/>
      <w:bookmarkEnd w:id="5641"/>
      <w:bookmarkEnd w:id="5642"/>
      <w:bookmarkEnd w:id="5643"/>
      <w:bookmarkEnd w:id="5644"/>
      <w:bookmarkEnd w:id="5645"/>
      <w:bookmarkEnd w:id="5646"/>
      <w:bookmarkEnd w:id="5647"/>
      <w:bookmarkEnd w:id="5648"/>
      <w:bookmarkEnd w:id="5649"/>
      <w:bookmarkEnd w:id="5650"/>
      <w:bookmarkEnd w:id="5651"/>
      <w:bookmarkEnd w:id="5652"/>
      <w:bookmarkEnd w:id="5653"/>
      <w:bookmarkEnd w:id="5654"/>
      <w:bookmarkEnd w:id="5655"/>
      <w:bookmarkEnd w:id="5656"/>
      <w:bookmarkEnd w:id="5657"/>
      <w:bookmarkEnd w:id="5658"/>
    </w:p>
    <w:p w:rsidR="004A147C" w:rsidRPr="00B53FFB" w:rsidRDefault="004A147C" w:rsidP="00CE5850">
      <w:pPr>
        <w:pStyle w:val="ParaNum2"/>
        <w:numPr>
          <w:ilvl w:val="0"/>
          <w:numId w:val="28"/>
        </w:numPr>
        <w:rPr>
          <w:szCs w:val="22"/>
        </w:rPr>
      </w:pPr>
      <w:r w:rsidRPr="00B53FFB">
        <w:rPr>
          <w:szCs w:val="22"/>
        </w:rPr>
        <w:t>As discussed above, key inputs for the provision of mobile wireless services include spectrum, infrastructure, and backhaul, and access to such inputs can affect entry into the mobile wireless services market in both urban and rural areas.</w:t>
      </w:r>
      <w:r w:rsidRPr="00B53FFB">
        <w:rPr>
          <w:rStyle w:val="FootnoteReference"/>
          <w:szCs w:val="22"/>
        </w:rPr>
        <w:footnoteReference w:id="1217"/>
      </w:r>
      <w:r w:rsidRPr="00B53FFB">
        <w:rPr>
          <w:szCs w:val="22"/>
        </w:rPr>
        <w:t xml:space="preserve">  Areas with low population density, such as rural areas, tend to have fewer facilities-based competitors than areas with higher population densities because t</w:t>
      </w:r>
      <w:r w:rsidR="002566E2">
        <w:rPr>
          <w:szCs w:val="22"/>
        </w:rPr>
        <w:t>he market may not be large enoug</w:t>
      </w:r>
      <w:r w:rsidRPr="00B53FFB">
        <w:rPr>
          <w:szCs w:val="22"/>
        </w:rPr>
        <w:t>h for a potential entrant to recoup its network deployment costs over time from service revenues.</w:t>
      </w:r>
      <w:r w:rsidRPr="00B53FFB">
        <w:rPr>
          <w:rStyle w:val="FootnoteReference"/>
          <w:szCs w:val="22"/>
        </w:rPr>
        <w:footnoteReference w:id="1218"/>
      </w:r>
      <w:r w:rsidRPr="00B53FFB">
        <w:rPr>
          <w:szCs w:val="22"/>
        </w:rPr>
        <w:t xml:space="preserve">  In the 2011 State of the Union address, President Obama detailed an initiative to expand wireless coverage to 98 percent of Americans within five years.  On Feb 10, 2011, the White House released a statement which proposed a one-time $5 billion investment supporting the 4G build out in rural areas.</w:t>
      </w:r>
      <w:r w:rsidRPr="00B53FFB">
        <w:rPr>
          <w:rStyle w:val="FootnoteReference"/>
          <w:szCs w:val="22"/>
        </w:rPr>
        <w:footnoteReference w:id="1219"/>
      </w:r>
    </w:p>
    <w:p w:rsidR="004A147C" w:rsidRPr="00B53FFB" w:rsidRDefault="004A147C" w:rsidP="00CE5850">
      <w:pPr>
        <w:pStyle w:val="ParaNum"/>
        <w:numPr>
          <w:ilvl w:val="0"/>
          <w:numId w:val="28"/>
        </w:numPr>
        <w:rPr>
          <w:bCs/>
          <w:sz w:val="22"/>
          <w:szCs w:val="22"/>
        </w:rPr>
      </w:pPr>
      <w:r w:rsidRPr="00B53FFB">
        <w:rPr>
          <w:bCs/>
          <w:sz w:val="22"/>
          <w:szCs w:val="22"/>
        </w:rPr>
        <w:t>Spectrum below 1 GHz can be crucial for the deployment of mobile wireless service in rural areas because its propagation characteristics allow providers to cover a relatively large geographic area with a relativ</w:t>
      </w:r>
      <w:r w:rsidR="006932D2">
        <w:rPr>
          <w:bCs/>
          <w:sz w:val="22"/>
          <w:szCs w:val="22"/>
        </w:rPr>
        <w:t>ely small number of cell sites.</w:t>
      </w:r>
      <w:r w:rsidRPr="00B53FFB">
        <w:rPr>
          <w:bCs/>
          <w:sz w:val="22"/>
          <w:szCs w:val="22"/>
        </w:rPr>
        <w:t xml:space="preserve">  Therefore, we have examined the current spectrum holdings of service providers in rural versus non-rural areas across the various frequency bands (700 MHz, Cellular, PCS, AWS, BRS, and EBS)).   </w:t>
      </w:r>
      <w:r w:rsidR="00C84D76">
        <w:rPr>
          <w:bCs/>
          <w:sz w:val="22"/>
          <w:szCs w:val="22"/>
        </w:rPr>
        <w:fldChar w:fldCharType="begin"/>
      </w:r>
      <w:r w:rsidR="00C84D76">
        <w:rPr>
          <w:bCs/>
          <w:sz w:val="22"/>
          <w:szCs w:val="22"/>
        </w:rPr>
        <w:instrText xml:space="preserve"> REF _Ref281995302 </w:instrText>
      </w:r>
      <w:r w:rsidR="00C84D76">
        <w:rPr>
          <w:bCs/>
          <w:sz w:val="22"/>
          <w:szCs w:val="22"/>
        </w:rPr>
        <w:fldChar w:fldCharType="separate"/>
      </w:r>
      <w:r w:rsidR="00CA3AC6" w:rsidRPr="00B53FFB">
        <w:rPr>
          <w:sz w:val="22"/>
          <w:szCs w:val="22"/>
        </w:rPr>
        <w:t xml:space="preserve">Table </w:t>
      </w:r>
      <w:r w:rsidR="00CA3AC6">
        <w:rPr>
          <w:noProof/>
          <w:sz w:val="22"/>
          <w:szCs w:val="22"/>
        </w:rPr>
        <w:t>65</w:t>
      </w:r>
      <w:r w:rsidR="00C84D76">
        <w:rPr>
          <w:bCs/>
          <w:sz w:val="22"/>
          <w:szCs w:val="22"/>
        </w:rPr>
        <w:fldChar w:fldCharType="end"/>
      </w:r>
      <w:r w:rsidR="00C84D76">
        <w:rPr>
          <w:bCs/>
          <w:sz w:val="22"/>
          <w:szCs w:val="22"/>
        </w:rPr>
        <w:t xml:space="preserve"> </w:t>
      </w:r>
      <w:r w:rsidRPr="00B53FFB">
        <w:rPr>
          <w:bCs/>
          <w:sz w:val="22"/>
          <w:szCs w:val="22"/>
        </w:rPr>
        <w:t>below shows that the two largest service providers combined hold more than half of the rural MHz-POPs in both the 700 MHz and the Cellular bands.  In the spectrum above 1 GHz (PCS, AWS, and 2.5 GHz), however, these two providers combined hold less than half of the MHz-POPs in both the PCS and AWS bands.  And in the 2.5 GHz BRS/EBS bands, the majority of the MHz-POPs currently suitable and available to provide mobile broadband service are held by Sprint/Clearwire.  In urban areas, the 700 MHz and Cellular holdings are even more concentrated among the top two providers.  Combined, they hold more than 80 percent of the MHz-POPs of both of these bands.</w:t>
      </w:r>
    </w:p>
    <w:p w:rsidR="004A147C" w:rsidRPr="00B53FFB" w:rsidRDefault="004A147C" w:rsidP="00CE5850">
      <w:pPr>
        <w:pStyle w:val="Caption"/>
        <w:widowControl w:val="0"/>
        <w:jc w:val="center"/>
        <w:rPr>
          <w:sz w:val="22"/>
          <w:szCs w:val="22"/>
        </w:rPr>
      </w:pPr>
      <w:bookmarkStart w:id="5659" w:name="_Ref281995302"/>
      <w:bookmarkStart w:id="5660" w:name="_Ref281995262"/>
      <w:r w:rsidRPr="00B53FFB">
        <w:rPr>
          <w:sz w:val="22"/>
          <w:szCs w:val="22"/>
        </w:rPr>
        <w:t xml:space="preserve">Table </w:t>
      </w:r>
      <w:r w:rsidR="0007014B" w:rsidRPr="00B53FFB">
        <w:rPr>
          <w:sz w:val="22"/>
          <w:szCs w:val="22"/>
        </w:rPr>
        <w:fldChar w:fldCharType="begin"/>
      </w:r>
      <w:r w:rsidRPr="00B53FFB">
        <w:rPr>
          <w:sz w:val="22"/>
          <w:szCs w:val="22"/>
        </w:rPr>
        <w:instrText xml:space="preserve"> SEQ Table \* ARABIC </w:instrText>
      </w:r>
      <w:r w:rsidR="0007014B" w:rsidRPr="00B53FFB">
        <w:rPr>
          <w:sz w:val="22"/>
          <w:szCs w:val="22"/>
        </w:rPr>
        <w:fldChar w:fldCharType="separate"/>
      </w:r>
      <w:r w:rsidR="00CA3AC6">
        <w:rPr>
          <w:noProof/>
          <w:sz w:val="22"/>
          <w:szCs w:val="22"/>
        </w:rPr>
        <w:t>65</w:t>
      </w:r>
      <w:r w:rsidR="0007014B" w:rsidRPr="00B53FFB">
        <w:rPr>
          <w:sz w:val="22"/>
          <w:szCs w:val="22"/>
        </w:rPr>
        <w:fldChar w:fldCharType="end"/>
      </w:r>
      <w:bookmarkEnd w:id="5659"/>
      <w:r w:rsidRPr="00B53FFB">
        <w:rPr>
          <w:sz w:val="22"/>
          <w:szCs w:val="22"/>
        </w:rPr>
        <w:br/>
        <w:t xml:space="preserve">Percentage Spectrum Holdings in Rural Areas on a MHz-POPs Basis </w:t>
      </w:r>
      <w:r w:rsidRPr="00B53FFB">
        <w:rPr>
          <w:sz w:val="22"/>
          <w:szCs w:val="22"/>
        </w:rPr>
        <w:br/>
        <w:t>by Provider and Frequency Band</w:t>
      </w:r>
      <w:bookmarkEnd w:id="5660"/>
      <w:r w:rsidRPr="00B53FFB">
        <w:rPr>
          <w:sz w:val="22"/>
          <w:szCs w:val="22"/>
        </w:rPr>
        <w:t xml:space="preserve">, Aug. </w:t>
      </w:r>
      <w:r>
        <w:rPr>
          <w:sz w:val="22"/>
          <w:szCs w:val="22"/>
        </w:rPr>
        <w:t xml:space="preserve">15, </w:t>
      </w:r>
      <w:r w:rsidRPr="00B53FFB">
        <w:rPr>
          <w:sz w:val="22"/>
          <w:szCs w:val="22"/>
        </w:rPr>
        <w:t>2012</w:t>
      </w:r>
    </w:p>
    <w:tbl>
      <w:tblPr>
        <w:tblW w:w="7764" w:type="dxa"/>
        <w:jc w:val="center"/>
        <w:tblLook w:val="00A0" w:firstRow="1" w:lastRow="0" w:firstColumn="1" w:lastColumn="0" w:noHBand="0" w:noVBand="0"/>
      </w:tblPr>
      <w:tblGrid>
        <w:gridCol w:w="1631"/>
        <w:gridCol w:w="1123"/>
        <w:gridCol w:w="1002"/>
        <w:gridCol w:w="1002"/>
        <w:gridCol w:w="1002"/>
        <w:gridCol w:w="1002"/>
        <w:gridCol w:w="1002"/>
      </w:tblGrid>
      <w:tr w:rsidR="004A147C" w:rsidRPr="00B53FFB" w:rsidTr="003876FA">
        <w:trPr>
          <w:trHeight w:val="682"/>
          <w:jc w:val="center"/>
        </w:trPr>
        <w:tc>
          <w:tcPr>
            <w:tcW w:w="1631" w:type="dxa"/>
            <w:tcBorders>
              <w:top w:val="single" w:sz="8" w:space="0" w:color="auto"/>
              <w:left w:val="single" w:sz="8" w:space="0" w:color="auto"/>
              <w:bottom w:val="single" w:sz="8" w:space="0" w:color="auto"/>
              <w:right w:val="single" w:sz="8" w:space="0" w:color="auto"/>
            </w:tcBorders>
            <w:noWrap/>
          </w:tcPr>
          <w:p w:rsidR="004A147C" w:rsidRPr="00B53FFB" w:rsidRDefault="004A147C" w:rsidP="00CE5850">
            <w:pPr>
              <w:jc w:val="center"/>
              <w:rPr>
                <w:b/>
                <w:bCs/>
                <w:szCs w:val="22"/>
              </w:rPr>
            </w:pPr>
          </w:p>
          <w:p w:rsidR="004A147C" w:rsidRPr="00B53FFB" w:rsidRDefault="004A147C" w:rsidP="00CE5850">
            <w:pPr>
              <w:jc w:val="center"/>
              <w:rPr>
                <w:b/>
                <w:bCs/>
                <w:szCs w:val="22"/>
              </w:rPr>
            </w:pPr>
            <w:r w:rsidRPr="00B53FFB">
              <w:rPr>
                <w:b/>
                <w:bCs/>
                <w:szCs w:val="22"/>
              </w:rPr>
              <w:t>Licensee</w:t>
            </w:r>
          </w:p>
          <w:p w:rsidR="004A147C" w:rsidRPr="00B53FFB" w:rsidRDefault="004A147C" w:rsidP="00CE5850">
            <w:pPr>
              <w:jc w:val="center"/>
              <w:rPr>
                <w:b/>
                <w:bCs/>
                <w:szCs w:val="22"/>
              </w:rPr>
            </w:pPr>
          </w:p>
        </w:tc>
        <w:tc>
          <w:tcPr>
            <w:tcW w:w="1123" w:type="dxa"/>
            <w:tcBorders>
              <w:top w:val="single" w:sz="8" w:space="0" w:color="auto"/>
              <w:left w:val="nil"/>
              <w:bottom w:val="nil"/>
              <w:right w:val="single" w:sz="8" w:space="0" w:color="auto"/>
            </w:tcBorders>
            <w:noWrap/>
          </w:tcPr>
          <w:p w:rsidR="004A147C" w:rsidRPr="00B53FFB" w:rsidRDefault="004A147C" w:rsidP="00CE5850">
            <w:pPr>
              <w:jc w:val="center"/>
              <w:rPr>
                <w:b/>
                <w:bCs/>
                <w:szCs w:val="22"/>
              </w:rPr>
            </w:pPr>
          </w:p>
          <w:p w:rsidR="004A147C" w:rsidRPr="00B53FFB" w:rsidRDefault="004A147C" w:rsidP="00CE5850">
            <w:pPr>
              <w:jc w:val="center"/>
              <w:rPr>
                <w:b/>
                <w:bCs/>
                <w:szCs w:val="22"/>
              </w:rPr>
            </w:pPr>
            <w:r w:rsidRPr="00B53FFB">
              <w:rPr>
                <w:b/>
                <w:bCs/>
                <w:szCs w:val="22"/>
              </w:rPr>
              <w:t>700 MHz</w:t>
            </w:r>
          </w:p>
          <w:p w:rsidR="004A147C" w:rsidRPr="00B53FFB" w:rsidRDefault="004A147C" w:rsidP="00CE5850">
            <w:pPr>
              <w:jc w:val="center"/>
              <w:rPr>
                <w:b/>
                <w:bCs/>
                <w:szCs w:val="22"/>
              </w:rPr>
            </w:pPr>
          </w:p>
        </w:tc>
        <w:tc>
          <w:tcPr>
            <w:tcW w:w="1002" w:type="dxa"/>
            <w:tcBorders>
              <w:top w:val="single" w:sz="8" w:space="0" w:color="auto"/>
              <w:left w:val="nil"/>
              <w:bottom w:val="nil"/>
              <w:right w:val="single" w:sz="8" w:space="0" w:color="auto"/>
            </w:tcBorders>
            <w:noWrap/>
          </w:tcPr>
          <w:p w:rsidR="004A147C" w:rsidRPr="00B53FFB" w:rsidRDefault="004A147C" w:rsidP="00CE5850">
            <w:pPr>
              <w:jc w:val="center"/>
              <w:rPr>
                <w:b/>
                <w:bCs/>
                <w:szCs w:val="22"/>
              </w:rPr>
            </w:pPr>
            <w:r w:rsidRPr="00B53FFB">
              <w:rPr>
                <w:b/>
                <w:bCs/>
                <w:szCs w:val="22"/>
              </w:rPr>
              <w:t>Cellular</w:t>
            </w:r>
          </w:p>
          <w:p w:rsidR="004A147C" w:rsidRPr="00B53FFB" w:rsidRDefault="004A147C" w:rsidP="00CE5850">
            <w:pPr>
              <w:jc w:val="center"/>
              <w:rPr>
                <w:b/>
                <w:bCs/>
                <w:szCs w:val="22"/>
              </w:rPr>
            </w:pPr>
            <w:r w:rsidRPr="00B53FFB">
              <w:rPr>
                <w:b/>
                <w:bCs/>
                <w:szCs w:val="22"/>
              </w:rPr>
              <w:t>(850 MHz)</w:t>
            </w:r>
          </w:p>
        </w:tc>
        <w:tc>
          <w:tcPr>
            <w:tcW w:w="1002" w:type="dxa"/>
            <w:tcBorders>
              <w:top w:val="single" w:sz="8" w:space="0" w:color="auto"/>
              <w:left w:val="nil"/>
              <w:bottom w:val="nil"/>
              <w:right w:val="single" w:sz="8" w:space="0" w:color="auto"/>
            </w:tcBorders>
            <w:noWrap/>
          </w:tcPr>
          <w:p w:rsidR="004A147C" w:rsidRPr="00B53FFB" w:rsidRDefault="004A147C" w:rsidP="00CE5850">
            <w:pPr>
              <w:jc w:val="center"/>
              <w:rPr>
                <w:b/>
                <w:bCs/>
                <w:szCs w:val="22"/>
              </w:rPr>
            </w:pPr>
            <w:r w:rsidRPr="00B53FFB">
              <w:rPr>
                <w:b/>
                <w:bCs/>
                <w:szCs w:val="22"/>
              </w:rPr>
              <w:t>PCS</w:t>
            </w:r>
          </w:p>
          <w:p w:rsidR="004A147C" w:rsidRPr="00B53FFB" w:rsidRDefault="004A147C" w:rsidP="00CE5850">
            <w:pPr>
              <w:jc w:val="center"/>
              <w:rPr>
                <w:b/>
                <w:bCs/>
                <w:szCs w:val="22"/>
              </w:rPr>
            </w:pPr>
            <w:r w:rsidRPr="00B53FFB">
              <w:rPr>
                <w:b/>
                <w:bCs/>
                <w:szCs w:val="22"/>
              </w:rPr>
              <w:t>(1.9 GHz)</w:t>
            </w:r>
          </w:p>
        </w:tc>
        <w:tc>
          <w:tcPr>
            <w:tcW w:w="1002" w:type="dxa"/>
            <w:tcBorders>
              <w:top w:val="single" w:sz="8" w:space="0" w:color="auto"/>
              <w:left w:val="nil"/>
              <w:bottom w:val="nil"/>
              <w:right w:val="single" w:sz="8" w:space="0" w:color="auto"/>
            </w:tcBorders>
            <w:noWrap/>
          </w:tcPr>
          <w:p w:rsidR="004A147C" w:rsidRPr="00B53FFB" w:rsidRDefault="004A147C" w:rsidP="00CE5850">
            <w:pPr>
              <w:jc w:val="center"/>
              <w:rPr>
                <w:b/>
                <w:bCs/>
                <w:szCs w:val="22"/>
              </w:rPr>
            </w:pPr>
            <w:r w:rsidRPr="00B53FFB">
              <w:rPr>
                <w:b/>
                <w:bCs/>
                <w:szCs w:val="22"/>
              </w:rPr>
              <w:t>AWS</w:t>
            </w:r>
            <w:r w:rsidRPr="00B53FFB">
              <w:rPr>
                <w:b/>
                <w:bCs/>
                <w:szCs w:val="22"/>
              </w:rPr>
              <w:br/>
              <w:t>(1.7/2.1 GHz)</w:t>
            </w:r>
          </w:p>
        </w:tc>
        <w:tc>
          <w:tcPr>
            <w:tcW w:w="1002" w:type="dxa"/>
            <w:tcBorders>
              <w:top w:val="single" w:sz="8" w:space="0" w:color="auto"/>
              <w:left w:val="nil"/>
              <w:bottom w:val="nil"/>
              <w:right w:val="single" w:sz="8" w:space="0" w:color="auto"/>
            </w:tcBorders>
            <w:noWrap/>
          </w:tcPr>
          <w:p w:rsidR="004A147C" w:rsidRPr="00B53FFB" w:rsidRDefault="004A147C" w:rsidP="00CE5850">
            <w:pPr>
              <w:jc w:val="center"/>
              <w:rPr>
                <w:b/>
                <w:bCs/>
                <w:szCs w:val="22"/>
              </w:rPr>
            </w:pPr>
            <w:r w:rsidRPr="00B53FFB">
              <w:rPr>
                <w:b/>
                <w:bCs/>
                <w:szCs w:val="22"/>
              </w:rPr>
              <w:t>BRS</w:t>
            </w:r>
          </w:p>
          <w:p w:rsidR="004A147C" w:rsidRPr="00B53FFB" w:rsidRDefault="004A147C" w:rsidP="00CE5850">
            <w:pPr>
              <w:jc w:val="center"/>
              <w:rPr>
                <w:b/>
                <w:kern w:val="0"/>
                <w:szCs w:val="22"/>
              </w:rPr>
            </w:pPr>
            <w:r w:rsidRPr="00B53FFB">
              <w:rPr>
                <w:b/>
                <w:bCs/>
                <w:szCs w:val="22"/>
              </w:rPr>
              <w:t>(2.5 GHz)</w:t>
            </w:r>
          </w:p>
        </w:tc>
        <w:tc>
          <w:tcPr>
            <w:tcW w:w="1002" w:type="dxa"/>
            <w:tcBorders>
              <w:top w:val="single" w:sz="8" w:space="0" w:color="auto"/>
              <w:left w:val="nil"/>
              <w:bottom w:val="nil"/>
              <w:right w:val="single" w:sz="8" w:space="0" w:color="auto"/>
            </w:tcBorders>
            <w:noWrap/>
          </w:tcPr>
          <w:p w:rsidR="004A147C" w:rsidRPr="00B53FFB" w:rsidRDefault="004A147C" w:rsidP="00CE5850">
            <w:pPr>
              <w:jc w:val="center"/>
              <w:rPr>
                <w:b/>
                <w:bCs/>
                <w:szCs w:val="22"/>
              </w:rPr>
            </w:pPr>
            <w:r w:rsidRPr="00B53FFB">
              <w:rPr>
                <w:b/>
                <w:bCs/>
                <w:szCs w:val="22"/>
              </w:rPr>
              <w:t>EBS</w:t>
            </w:r>
          </w:p>
          <w:p w:rsidR="004A147C" w:rsidRPr="00B53FFB" w:rsidRDefault="004A147C" w:rsidP="00CE5850">
            <w:pPr>
              <w:jc w:val="center"/>
              <w:rPr>
                <w:b/>
                <w:kern w:val="0"/>
                <w:szCs w:val="22"/>
              </w:rPr>
            </w:pPr>
            <w:r w:rsidRPr="00B53FFB">
              <w:rPr>
                <w:b/>
                <w:bCs/>
                <w:szCs w:val="22"/>
              </w:rPr>
              <w:t>(2.5 GHz)</w:t>
            </w:r>
          </w:p>
        </w:tc>
      </w:tr>
      <w:tr w:rsidR="004A147C" w:rsidRPr="00B53FFB" w:rsidTr="003876FA">
        <w:trPr>
          <w:trHeight w:val="315"/>
          <w:jc w:val="center"/>
        </w:trPr>
        <w:tc>
          <w:tcPr>
            <w:tcW w:w="1631" w:type="dxa"/>
            <w:tcBorders>
              <w:top w:val="nil"/>
              <w:left w:val="single" w:sz="8" w:space="0" w:color="auto"/>
              <w:bottom w:val="single" w:sz="8" w:space="0" w:color="auto"/>
              <w:right w:val="nil"/>
            </w:tcBorders>
            <w:noWrap/>
            <w:vAlign w:val="bottom"/>
          </w:tcPr>
          <w:p w:rsidR="004A147C" w:rsidRPr="00B53FFB" w:rsidRDefault="004A147C" w:rsidP="00CE5850">
            <w:pPr>
              <w:rPr>
                <w:kern w:val="0"/>
                <w:szCs w:val="22"/>
              </w:rPr>
            </w:pPr>
            <w:r w:rsidRPr="00B53FFB">
              <w:rPr>
                <w:kern w:val="0"/>
                <w:szCs w:val="22"/>
              </w:rPr>
              <w:t>Verizon Wireless</w:t>
            </w:r>
          </w:p>
        </w:tc>
        <w:tc>
          <w:tcPr>
            <w:tcW w:w="1123" w:type="dxa"/>
            <w:tcBorders>
              <w:top w:val="single" w:sz="4" w:space="0" w:color="auto"/>
              <w:left w:val="single" w:sz="4" w:space="0" w:color="auto"/>
              <w:bottom w:val="single" w:sz="4" w:space="0" w:color="auto"/>
              <w:right w:val="single" w:sz="4" w:space="0" w:color="auto"/>
            </w:tcBorders>
            <w:noWrap/>
            <w:vAlign w:val="bottom"/>
          </w:tcPr>
          <w:p w:rsidR="004A147C" w:rsidRPr="00B53FFB" w:rsidRDefault="004A147C" w:rsidP="00CE5850">
            <w:pPr>
              <w:jc w:val="right"/>
              <w:rPr>
                <w:kern w:val="0"/>
                <w:szCs w:val="22"/>
              </w:rPr>
            </w:pPr>
            <w:r w:rsidRPr="00B53FFB">
              <w:rPr>
                <w:kern w:val="0"/>
                <w:szCs w:val="22"/>
              </w:rPr>
              <w:t>36.3%</w:t>
            </w:r>
          </w:p>
        </w:tc>
        <w:tc>
          <w:tcPr>
            <w:tcW w:w="1002" w:type="dxa"/>
            <w:tcBorders>
              <w:top w:val="single" w:sz="4" w:space="0" w:color="auto"/>
              <w:left w:val="nil"/>
              <w:bottom w:val="single" w:sz="4" w:space="0" w:color="auto"/>
              <w:right w:val="single" w:sz="4" w:space="0" w:color="auto"/>
            </w:tcBorders>
            <w:noWrap/>
            <w:vAlign w:val="bottom"/>
          </w:tcPr>
          <w:p w:rsidR="004A147C" w:rsidRPr="00B53FFB" w:rsidRDefault="004A147C" w:rsidP="00CE5850">
            <w:pPr>
              <w:jc w:val="right"/>
              <w:rPr>
                <w:kern w:val="0"/>
                <w:szCs w:val="22"/>
              </w:rPr>
            </w:pPr>
            <w:r w:rsidRPr="00B53FFB">
              <w:rPr>
                <w:kern w:val="0"/>
                <w:szCs w:val="22"/>
              </w:rPr>
              <w:t>43.8%</w:t>
            </w:r>
          </w:p>
        </w:tc>
        <w:tc>
          <w:tcPr>
            <w:tcW w:w="1002" w:type="dxa"/>
            <w:tcBorders>
              <w:top w:val="single" w:sz="4" w:space="0" w:color="auto"/>
              <w:left w:val="nil"/>
              <w:bottom w:val="single" w:sz="4" w:space="0" w:color="auto"/>
              <w:right w:val="single" w:sz="4" w:space="0" w:color="auto"/>
            </w:tcBorders>
            <w:noWrap/>
            <w:vAlign w:val="bottom"/>
          </w:tcPr>
          <w:p w:rsidR="004A147C" w:rsidRPr="00B53FFB" w:rsidRDefault="004A147C" w:rsidP="00CE5850">
            <w:pPr>
              <w:jc w:val="right"/>
              <w:rPr>
                <w:kern w:val="0"/>
                <w:szCs w:val="22"/>
              </w:rPr>
            </w:pPr>
            <w:r w:rsidRPr="00B53FFB">
              <w:rPr>
                <w:kern w:val="0"/>
                <w:szCs w:val="22"/>
              </w:rPr>
              <w:t>13.8%</w:t>
            </w:r>
          </w:p>
        </w:tc>
        <w:tc>
          <w:tcPr>
            <w:tcW w:w="1002" w:type="dxa"/>
            <w:tcBorders>
              <w:top w:val="single" w:sz="4" w:space="0" w:color="auto"/>
              <w:left w:val="nil"/>
              <w:bottom w:val="single" w:sz="4" w:space="0" w:color="auto"/>
              <w:right w:val="single" w:sz="4" w:space="0" w:color="auto"/>
            </w:tcBorders>
            <w:noWrap/>
            <w:vAlign w:val="bottom"/>
          </w:tcPr>
          <w:p w:rsidR="004A147C" w:rsidRPr="00B53FFB" w:rsidRDefault="004A147C" w:rsidP="00CE5850">
            <w:pPr>
              <w:jc w:val="right"/>
              <w:rPr>
                <w:kern w:val="0"/>
                <w:szCs w:val="22"/>
              </w:rPr>
            </w:pPr>
            <w:r w:rsidRPr="00B53FFB">
              <w:rPr>
                <w:kern w:val="0"/>
                <w:szCs w:val="22"/>
              </w:rPr>
              <w:t>33.0%</w:t>
            </w:r>
          </w:p>
        </w:tc>
        <w:tc>
          <w:tcPr>
            <w:tcW w:w="1002" w:type="dxa"/>
            <w:tcBorders>
              <w:top w:val="single" w:sz="4" w:space="0" w:color="auto"/>
              <w:left w:val="nil"/>
              <w:bottom w:val="single" w:sz="4" w:space="0" w:color="auto"/>
              <w:right w:val="single" w:sz="4" w:space="0" w:color="auto"/>
            </w:tcBorders>
            <w:noWrap/>
            <w:vAlign w:val="bottom"/>
          </w:tcPr>
          <w:p w:rsidR="004A147C" w:rsidRPr="00B53FFB" w:rsidRDefault="004A147C" w:rsidP="00CE5850">
            <w:pPr>
              <w:jc w:val="right"/>
              <w:rPr>
                <w:kern w:val="0"/>
                <w:szCs w:val="22"/>
              </w:rPr>
            </w:pPr>
            <w:r w:rsidRPr="00B53FFB">
              <w:rPr>
                <w:kern w:val="0"/>
                <w:szCs w:val="22"/>
              </w:rPr>
              <w:t>0.0%</w:t>
            </w:r>
          </w:p>
        </w:tc>
        <w:tc>
          <w:tcPr>
            <w:tcW w:w="1002" w:type="dxa"/>
            <w:tcBorders>
              <w:top w:val="single" w:sz="4" w:space="0" w:color="auto"/>
              <w:left w:val="nil"/>
              <w:bottom w:val="single" w:sz="4" w:space="0" w:color="auto"/>
              <w:right w:val="single" w:sz="4" w:space="0" w:color="auto"/>
            </w:tcBorders>
            <w:noWrap/>
            <w:vAlign w:val="bottom"/>
          </w:tcPr>
          <w:p w:rsidR="004A147C" w:rsidRPr="00B53FFB" w:rsidRDefault="004A147C" w:rsidP="00CE5850">
            <w:pPr>
              <w:jc w:val="right"/>
              <w:rPr>
                <w:kern w:val="0"/>
                <w:szCs w:val="22"/>
              </w:rPr>
            </w:pPr>
            <w:r w:rsidRPr="00B53FFB">
              <w:rPr>
                <w:kern w:val="0"/>
                <w:szCs w:val="22"/>
              </w:rPr>
              <w:t>0.0%</w:t>
            </w:r>
          </w:p>
        </w:tc>
      </w:tr>
      <w:tr w:rsidR="004A147C" w:rsidRPr="00B53FFB" w:rsidTr="003876FA">
        <w:trPr>
          <w:trHeight w:val="315"/>
          <w:jc w:val="center"/>
        </w:trPr>
        <w:tc>
          <w:tcPr>
            <w:tcW w:w="1631" w:type="dxa"/>
            <w:tcBorders>
              <w:top w:val="nil"/>
              <w:left w:val="single" w:sz="8" w:space="0" w:color="auto"/>
              <w:bottom w:val="single" w:sz="8" w:space="0" w:color="auto"/>
              <w:right w:val="nil"/>
            </w:tcBorders>
            <w:noWrap/>
            <w:vAlign w:val="bottom"/>
          </w:tcPr>
          <w:p w:rsidR="004A147C" w:rsidRPr="00B53FFB" w:rsidRDefault="004A147C" w:rsidP="00CE5850">
            <w:pPr>
              <w:rPr>
                <w:kern w:val="0"/>
                <w:szCs w:val="22"/>
              </w:rPr>
            </w:pPr>
            <w:r w:rsidRPr="00B53FFB">
              <w:rPr>
                <w:kern w:val="0"/>
                <w:szCs w:val="22"/>
              </w:rPr>
              <w:t>AT&amp;T</w:t>
            </w:r>
          </w:p>
        </w:tc>
        <w:tc>
          <w:tcPr>
            <w:tcW w:w="1123" w:type="dxa"/>
            <w:tcBorders>
              <w:top w:val="nil"/>
              <w:left w:val="single" w:sz="4" w:space="0" w:color="auto"/>
              <w:bottom w:val="single" w:sz="4" w:space="0" w:color="auto"/>
              <w:right w:val="single" w:sz="4" w:space="0" w:color="auto"/>
            </w:tcBorders>
            <w:noWrap/>
            <w:vAlign w:val="bottom"/>
          </w:tcPr>
          <w:p w:rsidR="004A147C" w:rsidRPr="00B53FFB" w:rsidRDefault="004A147C" w:rsidP="00CE5850">
            <w:pPr>
              <w:jc w:val="right"/>
              <w:rPr>
                <w:kern w:val="0"/>
                <w:szCs w:val="22"/>
              </w:rPr>
            </w:pPr>
            <w:r w:rsidRPr="00B53FFB">
              <w:rPr>
                <w:kern w:val="0"/>
                <w:szCs w:val="22"/>
              </w:rPr>
              <w:t>22.1%</w:t>
            </w:r>
          </w:p>
        </w:tc>
        <w:tc>
          <w:tcPr>
            <w:tcW w:w="1002" w:type="dxa"/>
            <w:tcBorders>
              <w:top w:val="nil"/>
              <w:left w:val="nil"/>
              <w:bottom w:val="single" w:sz="4" w:space="0" w:color="auto"/>
              <w:right w:val="single" w:sz="4" w:space="0" w:color="auto"/>
            </w:tcBorders>
            <w:noWrap/>
            <w:vAlign w:val="bottom"/>
          </w:tcPr>
          <w:p w:rsidR="004A147C" w:rsidRPr="00B53FFB" w:rsidRDefault="004A147C" w:rsidP="00CE5850">
            <w:pPr>
              <w:jc w:val="right"/>
              <w:rPr>
                <w:kern w:val="0"/>
                <w:szCs w:val="22"/>
              </w:rPr>
            </w:pPr>
            <w:r w:rsidRPr="00B53FFB">
              <w:rPr>
                <w:kern w:val="0"/>
                <w:szCs w:val="22"/>
              </w:rPr>
              <w:t>34.6%</w:t>
            </w:r>
          </w:p>
        </w:tc>
        <w:tc>
          <w:tcPr>
            <w:tcW w:w="1002" w:type="dxa"/>
            <w:tcBorders>
              <w:top w:val="nil"/>
              <w:left w:val="nil"/>
              <w:bottom w:val="single" w:sz="4" w:space="0" w:color="auto"/>
              <w:right w:val="single" w:sz="4" w:space="0" w:color="auto"/>
            </w:tcBorders>
            <w:noWrap/>
            <w:vAlign w:val="bottom"/>
          </w:tcPr>
          <w:p w:rsidR="004A147C" w:rsidRPr="00B53FFB" w:rsidRDefault="004A147C" w:rsidP="00CE5850">
            <w:pPr>
              <w:jc w:val="right"/>
              <w:rPr>
                <w:kern w:val="0"/>
                <w:szCs w:val="22"/>
              </w:rPr>
            </w:pPr>
            <w:r w:rsidRPr="00B53FFB">
              <w:rPr>
                <w:kern w:val="0"/>
                <w:szCs w:val="22"/>
              </w:rPr>
              <w:t>25.6%</w:t>
            </w:r>
          </w:p>
        </w:tc>
        <w:tc>
          <w:tcPr>
            <w:tcW w:w="1002" w:type="dxa"/>
            <w:tcBorders>
              <w:top w:val="nil"/>
              <w:left w:val="nil"/>
              <w:bottom w:val="single" w:sz="4" w:space="0" w:color="auto"/>
              <w:right w:val="single" w:sz="4" w:space="0" w:color="auto"/>
            </w:tcBorders>
            <w:noWrap/>
            <w:vAlign w:val="bottom"/>
          </w:tcPr>
          <w:p w:rsidR="004A147C" w:rsidRPr="00B53FFB" w:rsidRDefault="004A147C" w:rsidP="00CE5850">
            <w:pPr>
              <w:jc w:val="right"/>
              <w:rPr>
                <w:kern w:val="0"/>
                <w:szCs w:val="22"/>
              </w:rPr>
            </w:pPr>
            <w:r w:rsidRPr="00B53FFB">
              <w:rPr>
                <w:kern w:val="0"/>
                <w:szCs w:val="22"/>
              </w:rPr>
              <w:t>9.4%</w:t>
            </w:r>
          </w:p>
        </w:tc>
        <w:tc>
          <w:tcPr>
            <w:tcW w:w="1002" w:type="dxa"/>
            <w:tcBorders>
              <w:top w:val="nil"/>
              <w:left w:val="nil"/>
              <w:bottom w:val="single" w:sz="4" w:space="0" w:color="auto"/>
              <w:right w:val="single" w:sz="4" w:space="0" w:color="auto"/>
            </w:tcBorders>
            <w:noWrap/>
            <w:vAlign w:val="bottom"/>
          </w:tcPr>
          <w:p w:rsidR="004A147C" w:rsidRPr="00B53FFB" w:rsidRDefault="004A147C" w:rsidP="00CE5850">
            <w:pPr>
              <w:jc w:val="right"/>
              <w:rPr>
                <w:kern w:val="0"/>
                <w:szCs w:val="22"/>
              </w:rPr>
            </w:pPr>
            <w:r w:rsidRPr="00B53FFB">
              <w:rPr>
                <w:kern w:val="0"/>
                <w:szCs w:val="22"/>
              </w:rPr>
              <w:t>0.0%</w:t>
            </w:r>
          </w:p>
        </w:tc>
        <w:tc>
          <w:tcPr>
            <w:tcW w:w="1002" w:type="dxa"/>
            <w:tcBorders>
              <w:top w:val="nil"/>
              <w:left w:val="nil"/>
              <w:bottom w:val="single" w:sz="4" w:space="0" w:color="auto"/>
              <w:right w:val="single" w:sz="4" w:space="0" w:color="auto"/>
            </w:tcBorders>
            <w:noWrap/>
            <w:vAlign w:val="bottom"/>
          </w:tcPr>
          <w:p w:rsidR="004A147C" w:rsidRPr="00B53FFB" w:rsidRDefault="004A147C" w:rsidP="00CE5850">
            <w:pPr>
              <w:jc w:val="right"/>
              <w:rPr>
                <w:kern w:val="0"/>
                <w:szCs w:val="22"/>
              </w:rPr>
            </w:pPr>
            <w:r w:rsidRPr="00B53FFB">
              <w:rPr>
                <w:kern w:val="0"/>
                <w:szCs w:val="22"/>
              </w:rPr>
              <w:t>0.0%</w:t>
            </w:r>
          </w:p>
        </w:tc>
      </w:tr>
      <w:tr w:rsidR="004A147C" w:rsidRPr="00B53FFB" w:rsidTr="003876FA">
        <w:trPr>
          <w:trHeight w:val="315"/>
          <w:jc w:val="center"/>
        </w:trPr>
        <w:tc>
          <w:tcPr>
            <w:tcW w:w="1631" w:type="dxa"/>
            <w:tcBorders>
              <w:top w:val="nil"/>
              <w:left w:val="single" w:sz="8" w:space="0" w:color="auto"/>
              <w:bottom w:val="single" w:sz="8" w:space="0" w:color="auto"/>
              <w:right w:val="nil"/>
            </w:tcBorders>
            <w:noWrap/>
            <w:vAlign w:val="bottom"/>
          </w:tcPr>
          <w:p w:rsidR="004A147C" w:rsidRPr="00B53FFB" w:rsidRDefault="004A147C" w:rsidP="00CE5850">
            <w:pPr>
              <w:rPr>
                <w:kern w:val="0"/>
                <w:szCs w:val="22"/>
              </w:rPr>
            </w:pPr>
            <w:r w:rsidRPr="00B53FFB">
              <w:rPr>
                <w:kern w:val="0"/>
                <w:szCs w:val="22"/>
              </w:rPr>
              <w:t>Sprint Nextel</w:t>
            </w:r>
          </w:p>
        </w:tc>
        <w:tc>
          <w:tcPr>
            <w:tcW w:w="1123" w:type="dxa"/>
            <w:tcBorders>
              <w:top w:val="nil"/>
              <w:left w:val="single" w:sz="4" w:space="0" w:color="auto"/>
              <w:bottom w:val="single" w:sz="4" w:space="0" w:color="auto"/>
              <w:right w:val="single" w:sz="4" w:space="0" w:color="auto"/>
            </w:tcBorders>
            <w:noWrap/>
            <w:vAlign w:val="bottom"/>
          </w:tcPr>
          <w:p w:rsidR="004A147C" w:rsidRPr="00B53FFB" w:rsidRDefault="004A147C" w:rsidP="00CE5850">
            <w:pPr>
              <w:jc w:val="right"/>
              <w:rPr>
                <w:kern w:val="0"/>
                <w:szCs w:val="22"/>
              </w:rPr>
            </w:pPr>
            <w:r w:rsidRPr="00B53FFB">
              <w:rPr>
                <w:kern w:val="0"/>
                <w:szCs w:val="22"/>
              </w:rPr>
              <w:t>0.0%</w:t>
            </w:r>
          </w:p>
        </w:tc>
        <w:tc>
          <w:tcPr>
            <w:tcW w:w="1002" w:type="dxa"/>
            <w:tcBorders>
              <w:top w:val="nil"/>
              <w:left w:val="nil"/>
              <w:bottom w:val="single" w:sz="4" w:space="0" w:color="auto"/>
              <w:right w:val="single" w:sz="4" w:space="0" w:color="auto"/>
            </w:tcBorders>
            <w:noWrap/>
            <w:vAlign w:val="bottom"/>
          </w:tcPr>
          <w:p w:rsidR="004A147C" w:rsidRPr="00B53FFB" w:rsidRDefault="004A147C" w:rsidP="00CE5850">
            <w:pPr>
              <w:jc w:val="right"/>
              <w:rPr>
                <w:kern w:val="0"/>
                <w:szCs w:val="22"/>
              </w:rPr>
            </w:pPr>
            <w:r w:rsidRPr="00B53FFB">
              <w:rPr>
                <w:kern w:val="0"/>
                <w:szCs w:val="22"/>
              </w:rPr>
              <w:t>0.0%</w:t>
            </w:r>
          </w:p>
        </w:tc>
        <w:tc>
          <w:tcPr>
            <w:tcW w:w="1002" w:type="dxa"/>
            <w:tcBorders>
              <w:top w:val="nil"/>
              <w:left w:val="nil"/>
              <w:bottom w:val="single" w:sz="4" w:space="0" w:color="auto"/>
              <w:right w:val="single" w:sz="4" w:space="0" w:color="auto"/>
            </w:tcBorders>
            <w:noWrap/>
            <w:vAlign w:val="bottom"/>
          </w:tcPr>
          <w:p w:rsidR="004A147C" w:rsidRPr="00B53FFB" w:rsidRDefault="004A147C" w:rsidP="00CE5850">
            <w:pPr>
              <w:jc w:val="right"/>
              <w:rPr>
                <w:kern w:val="0"/>
                <w:szCs w:val="22"/>
              </w:rPr>
            </w:pPr>
            <w:r w:rsidRPr="00B53FFB">
              <w:rPr>
                <w:kern w:val="0"/>
                <w:szCs w:val="22"/>
              </w:rPr>
              <w:t>26.7%</w:t>
            </w:r>
          </w:p>
        </w:tc>
        <w:tc>
          <w:tcPr>
            <w:tcW w:w="1002" w:type="dxa"/>
            <w:tcBorders>
              <w:top w:val="nil"/>
              <w:left w:val="nil"/>
              <w:bottom w:val="single" w:sz="4" w:space="0" w:color="auto"/>
              <w:right w:val="single" w:sz="4" w:space="0" w:color="auto"/>
            </w:tcBorders>
            <w:noWrap/>
            <w:vAlign w:val="bottom"/>
          </w:tcPr>
          <w:p w:rsidR="004A147C" w:rsidRPr="00B53FFB" w:rsidRDefault="004A147C" w:rsidP="00CE5850">
            <w:pPr>
              <w:jc w:val="right"/>
              <w:rPr>
                <w:kern w:val="0"/>
                <w:szCs w:val="22"/>
              </w:rPr>
            </w:pPr>
            <w:r w:rsidRPr="00B53FFB">
              <w:rPr>
                <w:kern w:val="0"/>
                <w:szCs w:val="22"/>
              </w:rPr>
              <w:t>0.0%</w:t>
            </w:r>
          </w:p>
        </w:tc>
        <w:tc>
          <w:tcPr>
            <w:tcW w:w="1002" w:type="dxa"/>
            <w:tcBorders>
              <w:top w:val="nil"/>
              <w:left w:val="nil"/>
              <w:bottom w:val="single" w:sz="4" w:space="0" w:color="auto"/>
              <w:right w:val="single" w:sz="4" w:space="0" w:color="auto"/>
            </w:tcBorders>
            <w:noWrap/>
            <w:vAlign w:val="bottom"/>
          </w:tcPr>
          <w:p w:rsidR="004A147C" w:rsidRPr="00B53FFB" w:rsidRDefault="004A147C" w:rsidP="00CE5850">
            <w:pPr>
              <w:jc w:val="right"/>
              <w:rPr>
                <w:kern w:val="0"/>
                <w:szCs w:val="22"/>
              </w:rPr>
            </w:pPr>
            <w:r w:rsidRPr="00B53FFB">
              <w:rPr>
                <w:kern w:val="0"/>
                <w:szCs w:val="22"/>
              </w:rPr>
              <w:t>0.0%</w:t>
            </w:r>
          </w:p>
        </w:tc>
        <w:tc>
          <w:tcPr>
            <w:tcW w:w="1002" w:type="dxa"/>
            <w:tcBorders>
              <w:top w:val="nil"/>
              <w:left w:val="nil"/>
              <w:bottom w:val="single" w:sz="4" w:space="0" w:color="auto"/>
              <w:right w:val="single" w:sz="4" w:space="0" w:color="auto"/>
            </w:tcBorders>
            <w:noWrap/>
            <w:vAlign w:val="bottom"/>
          </w:tcPr>
          <w:p w:rsidR="004A147C" w:rsidRPr="00B53FFB" w:rsidRDefault="004A147C" w:rsidP="00CE5850">
            <w:pPr>
              <w:jc w:val="right"/>
              <w:rPr>
                <w:kern w:val="0"/>
                <w:szCs w:val="22"/>
              </w:rPr>
            </w:pPr>
            <w:r w:rsidRPr="00B53FFB">
              <w:rPr>
                <w:kern w:val="0"/>
                <w:szCs w:val="22"/>
              </w:rPr>
              <w:t>0.0%</w:t>
            </w:r>
          </w:p>
        </w:tc>
      </w:tr>
      <w:tr w:rsidR="004A147C" w:rsidRPr="00B53FFB" w:rsidTr="003876FA">
        <w:trPr>
          <w:trHeight w:val="315"/>
          <w:jc w:val="center"/>
        </w:trPr>
        <w:tc>
          <w:tcPr>
            <w:tcW w:w="1631" w:type="dxa"/>
            <w:tcBorders>
              <w:top w:val="nil"/>
              <w:left w:val="single" w:sz="8" w:space="0" w:color="auto"/>
              <w:bottom w:val="single" w:sz="8" w:space="0" w:color="auto"/>
              <w:right w:val="nil"/>
            </w:tcBorders>
            <w:noWrap/>
            <w:vAlign w:val="bottom"/>
          </w:tcPr>
          <w:p w:rsidR="004A147C" w:rsidRPr="00B53FFB" w:rsidRDefault="004A147C" w:rsidP="00CE5850">
            <w:pPr>
              <w:rPr>
                <w:kern w:val="0"/>
                <w:szCs w:val="22"/>
              </w:rPr>
            </w:pPr>
            <w:r w:rsidRPr="00B53FFB">
              <w:rPr>
                <w:kern w:val="0"/>
                <w:szCs w:val="22"/>
              </w:rPr>
              <w:t>Clearwire</w:t>
            </w:r>
          </w:p>
        </w:tc>
        <w:tc>
          <w:tcPr>
            <w:tcW w:w="1123" w:type="dxa"/>
            <w:tcBorders>
              <w:top w:val="nil"/>
              <w:left w:val="single" w:sz="4" w:space="0" w:color="auto"/>
              <w:bottom w:val="single" w:sz="4" w:space="0" w:color="auto"/>
              <w:right w:val="single" w:sz="4" w:space="0" w:color="auto"/>
            </w:tcBorders>
            <w:noWrap/>
            <w:vAlign w:val="bottom"/>
          </w:tcPr>
          <w:p w:rsidR="004A147C" w:rsidRPr="00B53FFB" w:rsidRDefault="004A147C" w:rsidP="00CE5850">
            <w:pPr>
              <w:jc w:val="right"/>
              <w:rPr>
                <w:kern w:val="0"/>
                <w:szCs w:val="22"/>
              </w:rPr>
            </w:pPr>
            <w:r w:rsidRPr="00B53FFB">
              <w:rPr>
                <w:kern w:val="0"/>
                <w:szCs w:val="22"/>
              </w:rPr>
              <w:t>0.0%</w:t>
            </w:r>
          </w:p>
        </w:tc>
        <w:tc>
          <w:tcPr>
            <w:tcW w:w="1002" w:type="dxa"/>
            <w:tcBorders>
              <w:top w:val="nil"/>
              <w:left w:val="nil"/>
              <w:bottom w:val="single" w:sz="4" w:space="0" w:color="auto"/>
              <w:right w:val="single" w:sz="4" w:space="0" w:color="auto"/>
            </w:tcBorders>
            <w:noWrap/>
            <w:vAlign w:val="bottom"/>
          </w:tcPr>
          <w:p w:rsidR="004A147C" w:rsidRPr="00B53FFB" w:rsidRDefault="004A147C" w:rsidP="00CE5850">
            <w:pPr>
              <w:jc w:val="right"/>
              <w:rPr>
                <w:kern w:val="0"/>
                <w:szCs w:val="22"/>
              </w:rPr>
            </w:pPr>
            <w:r w:rsidRPr="00B53FFB">
              <w:rPr>
                <w:kern w:val="0"/>
                <w:szCs w:val="22"/>
              </w:rPr>
              <w:t>0.0%</w:t>
            </w:r>
          </w:p>
        </w:tc>
        <w:tc>
          <w:tcPr>
            <w:tcW w:w="1002" w:type="dxa"/>
            <w:tcBorders>
              <w:top w:val="nil"/>
              <w:left w:val="nil"/>
              <w:bottom w:val="single" w:sz="4" w:space="0" w:color="auto"/>
              <w:right w:val="single" w:sz="4" w:space="0" w:color="auto"/>
            </w:tcBorders>
            <w:noWrap/>
            <w:vAlign w:val="bottom"/>
          </w:tcPr>
          <w:p w:rsidR="004A147C" w:rsidRPr="00B53FFB" w:rsidRDefault="004A147C" w:rsidP="00CE5850">
            <w:pPr>
              <w:jc w:val="right"/>
              <w:rPr>
                <w:kern w:val="0"/>
                <w:szCs w:val="22"/>
              </w:rPr>
            </w:pPr>
            <w:r w:rsidRPr="00B53FFB">
              <w:rPr>
                <w:kern w:val="0"/>
                <w:szCs w:val="22"/>
              </w:rPr>
              <w:t>0.0%</w:t>
            </w:r>
          </w:p>
        </w:tc>
        <w:tc>
          <w:tcPr>
            <w:tcW w:w="1002" w:type="dxa"/>
            <w:tcBorders>
              <w:top w:val="nil"/>
              <w:left w:val="nil"/>
              <w:bottom w:val="single" w:sz="4" w:space="0" w:color="auto"/>
              <w:right w:val="single" w:sz="4" w:space="0" w:color="auto"/>
            </w:tcBorders>
            <w:noWrap/>
            <w:vAlign w:val="bottom"/>
          </w:tcPr>
          <w:p w:rsidR="004A147C" w:rsidRPr="00B53FFB" w:rsidRDefault="004A147C" w:rsidP="00CE5850">
            <w:pPr>
              <w:jc w:val="right"/>
              <w:rPr>
                <w:kern w:val="0"/>
                <w:szCs w:val="22"/>
              </w:rPr>
            </w:pPr>
            <w:r w:rsidRPr="00B53FFB">
              <w:rPr>
                <w:kern w:val="0"/>
                <w:szCs w:val="22"/>
              </w:rPr>
              <w:t>0.0%</w:t>
            </w:r>
          </w:p>
        </w:tc>
        <w:tc>
          <w:tcPr>
            <w:tcW w:w="1002" w:type="dxa"/>
            <w:tcBorders>
              <w:top w:val="nil"/>
              <w:left w:val="nil"/>
              <w:bottom w:val="single" w:sz="4" w:space="0" w:color="auto"/>
              <w:right w:val="single" w:sz="4" w:space="0" w:color="auto"/>
            </w:tcBorders>
            <w:noWrap/>
            <w:vAlign w:val="bottom"/>
          </w:tcPr>
          <w:p w:rsidR="004A147C" w:rsidRPr="00B53FFB" w:rsidRDefault="004A147C" w:rsidP="00CE5850">
            <w:pPr>
              <w:jc w:val="right"/>
              <w:rPr>
                <w:kern w:val="0"/>
                <w:szCs w:val="22"/>
              </w:rPr>
            </w:pPr>
            <w:r w:rsidRPr="00B53FFB">
              <w:rPr>
                <w:kern w:val="0"/>
                <w:szCs w:val="22"/>
              </w:rPr>
              <w:t>70.4%</w:t>
            </w:r>
          </w:p>
        </w:tc>
        <w:tc>
          <w:tcPr>
            <w:tcW w:w="1002" w:type="dxa"/>
            <w:tcBorders>
              <w:top w:val="nil"/>
              <w:left w:val="nil"/>
              <w:bottom w:val="single" w:sz="4" w:space="0" w:color="auto"/>
              <w:right w:val="single" w:sz="4" w:space="0" w:color="auto"/>
            </w:tcBorders>
            <w:noWrap/>
            <w:vAlign w:val="bottom"/>
          </w:tcPr>
          <w:p w:rsidR="004A147C" w:rsidRPr="00B53FFB" w:rsidRDefault="004A147C" w:rsidP="00CE5850">
            <w:pPr>
              <w:jc w:val="right"/>
              <w:rPr>
                <w:kern w:val="0"/>
                <w:szCs w:val="22"/>
              </w:rPr>
            </w:pPr>
            <w:r w:rsidRPr="00B53FFB">
              <w:rPr>
                <w:kern w:val="0"/>
                <w:szCs w:val="22"/>
              </w:rPr>
              <w:t>26.9%</w:t>
            </w:r>
          </w:p>
        </w:tc>
      </w:tr>
      <w:tr w:rsidR="004A147C" w:rsidRPr="00B53FFB" w:rsidTr="003876FA">
        <w:trPr>
          <w:trHeight w:val="315"/>
          <w:jc w:val="center"/>
        </w:trPr>
        <w:tc>
          <w:tcPr>
            <w:tcW w:w="1631" w:type="dxa"/>
            <w:tcBorders>
              <w:top w:val="nil"/>
              <w:left w:val="single" w:sz="8" w:space="0" w:color="auto"/>
              <w:bottom w:val="single" w:sz="8" w:space="0" w:color="auto"/>
              <w:right w:val="nil"/>
            </w:tcBorders>
            <w:noWrap/>
            <w:vAlign w:val="bottom"/>
          </w:tcPr>
          <w:p w:rsidR="004A147C" w:rsidRPr="00B53FFB" w:rsidRDefault="004A147C" w:rsidP="00CE5850">
            <w:pPr>
              <w:rPr>
                <w:kern w:val="0"/>
                <w:szCs w:val="22"/>
              </w:rPr>
            </w:pPr>
            <w:r w:rsidRPr="00B53FFB">
              <w:rPr>
                <w:kern w:val="0"/>
                <w:szCs w:val="22"/>
              </w:rPr>
              <w:t>T-Mobile</w:t>
            </w:r>
          </w:p>
        </w:tc>
        <w:tc>
          <w:tcPr>
            <w:tcW w:w="1123" w:type="dxa"/>
            <w:tcBorders>
              <w:top w:val="nil"/>
              <w:left w:val="single" w:sz="4" w:space="0" w:color="auto"/>
              <w:bottom w:val="single" w:sz="4" w:space="0" w:color="auto"/>
              <w:right w:val="single" w:sz="4" w:space="0" w:color="auto"/>
            </w:tcBorders>
            <w:noWrap/>
            <w:vAlign w:val="bottom"/>
          </w:tcPr>
          <w:p w:rsidR="004A147C" w:rsidRPr="00B53FFB" w:rsidRDefault="004A147C" w:rsidP="00CE5850">
            <w:pPr>
              <w:jc w:val="right"/>
              <w:rPr>
                <w:kern w:val="0"/>
                <w:szCs w:val="22"/>
              </w:rPr>
            </w:pPr>
            <w:r w:rsidRPr="00B53FFB">
              <w:rPr>
                <w:kern w:val="0"/>
                <w:szCs w:val="22"/>
              </w:rPr>
              <w:t>0.0%</w:t>
            </w:r>
          </w:p>
        </w:tc>
        <w:tc>
          <w:tcPr>
            <w:tcW w:w="1002" w:type="dxa"/>
            <w:tcBorders>
              <w:top w:val="nil"/>
              <w:left w:val="nil"/>
              <w:bottom w:val="single" w:sz="4" w:space="0" w:color="auto"/>
              <w:right w:val="single" w:sz="4" w:space="0" w:color="auto"/>
            </w:tcBorders>
            <w:noWrap/>
            <w:vAlign w:val="bottom"/>
          </w:tcPr>
          <w:p w:rsidR="004A147C" w:rsidRPr="00B53FFB" w:rsidRDefault="004A147C" w:rsidP="00CE5850">
            <w:pPr>
              <w:jc w:val="right"/>
              <w:rPr>
                <w:kern w:val="0"/>
                <w:szCs w:val="22"/>
              </w:rPr>
            </w:pPr>
            <w:r w:rsidRPr="00B53FFB">
              <w:rPr>
                <w:kern w:val="0"/>
                <w:szCs w:val="22"/>
              </w:rPr>
              <w:t>0.1%</w:t>
            </w:r>
          </w:p>
        </w:tc>
        <w:tc>
          <w:tcPr>
            <w:tcW w:w="1002" w:type="dxa"/>
            <w:tcBorders>
              <w:top w:val="nil"/>
              <w:left w:val="nil"/>
              <w:bottom w:val="single" w:sz="4" w:space="0" w:color="auto"/>
              <w:right w:val="single" w:sz="4" w:space="0" w:color="auto"/>
            </w:tcBorders>
            <w:noWrap/>
            <w:vAlign w:val="bottom"/>
          </w:tcPr>
          <w:p w:rsidR="004A147C" w:rsidRPr="00B53FFB" w:rsidRDefault="004A147C" w:rsidP="00CE5850">
            <w:pPr>
              <w:jc w:val="right"/>
              <w:rPr>
                <w:kern w:val="0"/>
                <w:szCs w:val="22"/>
              </w:rPr>
            </w:pPr>
            <w:r w:rsidRPr="00B53FFB">
              <w:rPr>
                <w:kern w:val="0"/>
                <w:szCs w:val="22"/>
              </w:rPr>
              <w:t>17.2%</w:t>
            </w:r>
          </w:p>
        </w:tc>
        <w:tc>
          <w:tcPr>
            <w:tcW w:w="1002" w:type="dxa"/>
            <w:tcBorders>
              <w:top w:val="nil"/>
              <w:left w:val="nil"/>
              <w:bottom w:val="single" w:sz="4" w:space="0" w:color="auto"/>
              <w:right w:val="single" w:sz="4" w:space="0" w:color="auto"/>
            </w:tcBorders>
            <w:noWrap/>
            <w:vAlign w:val="bottom"/>
          </w:tcPr>
          <w:p w:rsidR="004A147C" w:rsidRPr="00B53FFB" w:rsidRDefault="004A147C" w:rsidP="00CE5850">
            <w:pPr>
              <w:jc w:val="right"/>
              <w:rPr>
                <w:kern w:val="0"/>
                <w:szCs w:val="22"/>
              </w:rPr>
            </w:pPr>
            <w:r w:rsidRPr="00B53FFB">
              <w:rPr>
                <w:kern w:val="0"/>
                <w:szCs w:val="22"/>
              </w:rPr>
              <w:t>26.1%</w:t>
            </w:r>
          </w:p>
        </w:tc>
        <w:tc>
          <w:tcPr>
            <w:tcW w:w="1002" w:type="dxa"/>
            <w:tcBorders>
              <w:top w:val="nil"/>
              <w:left w:val="nil"/>
              <w:bottom w:val="single" w:sz="4" w:space="0" w:color="auto"/>
              <w:right w:val="single" w:sz="4" w:space="0" w:color="auto"/>
            </w:tcBorders>
            <w:noWrap/>
            <w:vAlign w:val="bottom"/>
          </w:tcPr>
          <w:p w:rsidR="004A147C" w:rsidRPr="00B53FFB" w:rsidRDefault="004A147C" w:rsidP="00CE5850">
            <w:pPr>
              <w:jc w:val="right"/>
              <w:rPr>
                <w:kern w:val="0"/>
                <w:szCs w:val="22"/>
              </w:rPr>
            </w:pPr>
            <w:r w:rsidRPr="00B53FFB">
              <w:rPr>
                <w:kern w:val="0"/>
                <w:szCs w:val="22"/>
              </w:rPr>
              <w:t>0.0%</w:t>
            </w:r>
          </w:p>
        </w:tc>
        <w:tc>
          <w:tcPr>
            <w:tcW w:w="1002" w:type="dxa"/>
            <w:tcBorders>
              <w:top w:val="nil"/>
              <w:left w:val="nil"/>
              <w:bottom w:val="single" w:sz="4" w:space="0" w:color="auto"/>
              <w:right w:val="single" w:sz="4" w:space="0" w:color="auto"/>
            </w:tcBorders>
            <w:noWrap/>
            <w:vAlign w:val="bottom"/>
          </w:tcPr>
          <w:p w:rsidR="004A147C" w:rsidRPr="00B53FFB" w:rsidRDefault="004A147C" w:rsidP="00CE5850">
            <w:pPr>
              <w:jc w:val="right"/>
              <w:rPr>
                <w:kern w:val="0"/>
                <w:szCs w:val="22"/>
              </w:rPr>
            </w:pPr>
            <w:r w:rsidRPr="00B53FFB">
              <w:rPr>
                <w:kern w:val="0"/>
                <w:szCs w:val="22"/>
              </w:rPr>
              <w:t>0.0%</w:t>
            </w:r>
          </w:p>
        </w:tc>
      </w:tr>
      <w:tr w:rsidR="004A147C" w:rsidRPr="00B53FFB" w:rsidTr="003876FA">
        <w:trPr>
          <w:trHeight w:val="315"/>
          <w:jc w:val="center"/>
        </w:trPr>
        <w:tc>
          <w:tcPr>
            <w:tcW w:w="1631" w:type="dxa"/>
            <w:tcBorders>
              <w:top w:val="nil"/>
              <w:left w:val="single" w:sz="8" w:space="0" w:color="auto"/>
              <w:bottom w:val="single" w:sz="8" w:space="0" w:color="auto"/>
              <w:right w:val="nil"/>
            </w:tcBorders>
            <w:noWrap/>
            <w:vAlign w:val="bottom"/>
          </w:tcPr>
          <w:p w:rsidR="004A147C" w:rsidRPr="00B53FFB" w:rsidRDefault="004A147C" w:rsidP="00CE5850">
            <w:pPr>
              <w:rPr>
                <w:kern w:val="0"/>
                <w:szCs w:val="22"/>
              </w:rPr>
            </w:pPr>
            <w:r w:rsidRPr="00B53FFB">
              <w:rPr>
                <w:kern w:val="0"/>
                <w:szCs w:val="22"/>
              </w:rPr>
              <w:t>MetroPCS</w:t>
            </w:r>
          </w:p>
        </w:tc>
        <w:tc>
          <w:tcPr>
            <w:tcW w:w="1123" w:type="dxa"/>
            <w:tcBorders>
              <w:top w:val="nil"/>
              <w:left w:val="single" w:sz="4" w:space="0" w:color="auto"/>
              <w:bottom w:val="single" w:sz="4" w:space="0" w:color="auto"/>
              <w:right w:val="single" w:sz="4" w:space="0" w:color="auto"/>
            </w:tcBorders>
            <w:noWrap/>
            <w:vAlign w:val="bottom"/>
          </w:tcPr>
          <w:p w:rsidR="004A147C" w:rsidRPr="00B53FFB" w:rsidRDefault="004A147C" w:rsidP="00CE5850">
            <w:pPr>
              <w:jc w:val="right"/>
              <w:rPr>
                <w:kern w:val="0"/>
                <w:szCs w:val="22"/>
              </w:rPr>
            </w:pPr>
            <w:r w:rsidRPr="00B53FFB">
              <w:rPr>
                <w:kern w:val="0"/>
                <w:szCs w:val="22"/>
              </w:rPr>
              <w:t>0.1%</w:t>
            </w:r>
          </w:p>
        </w:tc>
        <w:tc>
          <w:tcPr>
            <w:tcW w:w="1002" w:type="dxa"/>
            <w:tcBorders>
              <w:top w:val="nil"/>
              <w:left w:val="nil"/>
              <w:bottom w:val="single" w:sz="4" w:space="0" w:color="auto"/>
              <w:right w:val="single" w:sz="4" w:space="0" w:color="auto"/>
            </w:tcBorders>
            <w:noWrap/>
            <w:vAlign w:val="bottom"/>
          </w:tcPr>
          <w:p w:rsidR="004A147C" w:rsidRPr="00B53FFB" w:rsidRDefault="004A147C" w:rsidP="00CE5850">
            <w:pPr>
              <w:jc w:val="right"/>
              <w:rPr>
                <w:kern w:val="0"/>
                <w:szCs w:val="22"/>
              </w:rPr>
            </w:pPr>
            <w:r w:rsidRPr="00B53FFB">
              <w:rPr>
                <w:kern w:val="0"/>
                <w:szCs w:val="22"/>
              </w:rPr>
              <w:t>0.0%</w:t>
            </w:r>
          </w:p>
        </w:tc>
        <w:tc>
          <w:tcPr>
            <w:tcW w:w="1002" w:type="dxa"/>
            <w:tcBorders>
              <w:top w:val="nil"/>
              <w:left w:val="nil"/>
              <w:bottom w:val="single" w:sz="4" w:space="0" w:color="auto"/>
              <w:right w:val="single" w:sz="4" w:space="0" w:color="auto"/>
            </w:tcBorders>
            <w:noWrap/>
            <w:vAlign w:val="bottom"/>
          </w:tcPr>
          <w:p w:rsidR="004A147C" w:rsidRPr="00B53FFB" w:rsidRDefault="004A147C" w:rsidP="00CE5850">
            <w:pPr>
              <w:jc w:val="right"/>
              <w:rPr>
                <w:kern w:val="0"/>
                <w:szCs w:val="22"/>
              </w:rPr>
            </w:pPr>
            <w:r w:rsidRPr="00B53FFB">
              <w:rPr>
                <w:kern w:val="0"/>
                <w:szCs w:val="22"/>
              </w:rPr>
              <w:t>0.6%</w:t>
            </w:r>
          </w:p>
        </w:tc>
        <w:tc>
          <w:tcPr>
            <w:tcW w:w="1002" w:type="dxa"/>
            <w:tcBorders>
              <w:top w:val="nil"/>
              <w:left w:val="nil"/>
              <w:bottom w:val="single" w:sz="4" w:space="0" w:color="auto"/>
              <w:right w:val="single" w:sz="4" w:space="0" w:color="auto"/>
            </w:tcBorders>
            <w:noWrap/>
            <w:vAlign w:val="bottom"/>
          </w:tcPr>
          <w:p w:rsidR="004A147C" w:rsidRPr="00B53FFB" w:rsidRDefault="004A147C" w:rsidP="00CE5850">
            <w:pPr>
              <w:jc w:val="right"/>
              <w:rPr>
                <w:kern w:val="0"/>
                <w:szCs w:val="22"/>
              </w:rPr>
            </w:pPr>
            <w:r w:rsidRPr="00B53FFB">
              <w:rPr>
                <w:kern w:val="0"/>
                <w:szCs w:val="22"/>
              </w:rPr>
              <w:t>3.7%</w:t>
            </w:r>
          </w:p>
        </w:tc>
        <w:tc>
          <w:tcPr>
            <w:tcW w:w="1002" w:type="dxa"/>
            <w:tcBorders>
              <w:top w:val="nil"/>
              <w:left w:val="nil"/>
              <w:bottom w:val="single" w:sz="4" w:space="0" w:color="auto"/>
              <w:right w:val="single" w:sz="4" w:space="0" w:color="auto"/>
            </w:tcBorders>
            <w:noWrap/>
            <w:vAlign w:val="bottom"/>
          </w:tcPr>
          <w:p w:rsidR="004A147C" w:rsidRPr="00B53FFB" w:rsidRDefault="004A147C" w:rsidP="00CE5850">
            <w:pPr>
              <w:jc w:val="right"/>
              <w:rPr>
                <w:kern w:val="0"/>
                <w:szCs w:val="22"/>
              </w:rPr>
            </w:pPr>
            <w:r w:rsidRPr="00B53FFB">
              <w:rPr>
                <w:kern w:val="0"/>
                <w:szCs w:val="22"/>
              </w:rPr>
              <w:t>0.0%</w:t>
            </w:r>
          </w:p>
        </w:tc>
        <w:tc>
          <w:tcPr>
            <w:tcW w:w="1002" w:type="dxa"/>
            <w:tcBorders>
              <w:top w:val="nil"/>
              <w:left w:val="nil"/>
              <w:bottom w:val="single" w:sz="4" w:space="0" w:color="auto"/>
              <w:right w:val="single" w:sz="4" w:space="0" w:color="auto"/>
            </w:tcBorders>
            <w:noWrap/>
            <w:vAlign w:val="bottom"/>
          </w:tcPr>
          <w:p w:rsidR="004A147C" w:rsidRPr="00B53FFB" w:rsidRDefault="004A147C" w:rsidP="00CE5850">
            <w:pPr>
              <w:jc w:val="right"/>
              <w:rPr>
                <w:kern w:val="0"/>
                <w:szCs w:val="22"/>
              </w:rPr>
            </w:pPr>
            <w:r w:rsidRPr="00B53FFB">
              <w:rPr>
                <w:kern w:val="0"/>
                <w:szCs w:val="22"/>
              </w:rPr>
              <w:t>0.0%</w:t>
            </w:r>
          </w:p>
        </w:tc>
      </w:tr>
      <w:tr w:rsidR="004A147C" w:rsidRPr="00B53FFB" w:rsidTr="003876FA">
        <w:trPr>
          <w:trHeight w:val="315"/>
          <w:jc w:val="center"/>
        </w:trPr>
        <w:tc>
          <w:tcPr>
            <w:tcW w:w="1631" w:type="dxa"/>
            <w:tcBorders>
              <w:top w:val="nil"/>
              <w:left w:val="single" w:sz="8" w:space="0" w:color="auto"/>
              <w:bottom w:val="single" w:sz="8" w:space="0" w:color="auto"/>
              <w:right w:val="nil"/>
            </w:tcBorders>
            <w:noWrap/>
            <w:vAlign w:val="bottom"/>
          </w:tcPr>
          <w:p w:rsidR="004A147C" w:rsidRPr="00B53FFB" w:rsidRDefault="004A147C" w:rsidP="00CE5850">
            <w:pPr>
              <w:rPr>
                <w:kern w:val="0"/>
                <w:szCs w:val="22"/>
              </w:rPr>
            </w:pPr>
            <w:r w:rsidRPr="00B53FFB">
              <w:rPr>
                <w:kern w:val="0"/>
                <w:szCs w:val="22"/>
              </w:rPr>
              <w:t>US Cellular</w:t>
            </w:r>
          </w:p>
        </w:tc>
        <w:tc>
          <w:tcPr>
            <w:tcW w:w="1123" w:type="dxa"/>
            <w:tcBorders>
              <w:top w:val="nil"/>
              <w:left w:val="single" w:sz="4" w:space="0" w:color="auto"/>
              <w:bottom w:val="single" w:sz="4" w:space="0" w:color="auto"/>
              <w:right w:val="single" w:sz="4" w:space="0" w:color="auto"/>
            </w:tcBorders>
            <w:noWrap/>
            <w:vAlign w:val="bottom"/>
          </w:tcPr>
          <w:p w:rsidR="004A147C" w:rsidRPr="00B53FFB" w:rsidRDefault="004A147C" w:rsidP="00CE5850">
            <w:pPr>
              <w:jc w:val="right"/>
              <w:rPr>
                <w:kern w:val="0"/>
                <w:szCs w:val="22"/>
              </w:rPr>
            </w:pPr>
            <w:r w:rsidRPr="00B53FFB">
              <w:rPr>
                <w:kern w:val="0"/>
                <w:szCs w:val="22"/>
              </w:rPr>
              <w:t>7.7%</w:t>
            </w:r>
          </w:p>
        </w:tc>
        <w:tc>
          <w:tcPr>
            <w:tcW w:w="1002" w:type="dxa"/>
            <w:tcBorders>
              <w:top w:val="nil"/>
              <w:left w:val="nil"/>
              <w:bottom w:val="single" w:sz="4" w:space="0" w:color="auto"/>
              <w:right w:val="single" w:sz="4" w:space="0" w:color="auto"/>
            </w:tcBorders>
            <w:noWrap/>
            <w:vAlign w:val="bottom"/>
          </w:tcPr>
          <w:p w:rsidR="004A147C" w:rsidRPr="00B53FFB" w:rsidRDefault="004A147C" w:rsidP="00CE5850">
            <w:pPr>
              <w:jc w:val="right"/>
              <w:rPr>
                <w:kern w:val="0"/>
                <w:szCs w:val="22"/>
              </w:rPr>
            </w:pPr>
            <w:r w:rsidRPr="00B53FFB">
              <w:rPr>
                <w:kern w:val="0"/>
                <w:szCs w:val="22"/>
              </w:rPr>
              <w:t>10.2%</w:t>
            </w:r>
          </w:p>
        </w:tc>
        <w:tc>
          <w:tcPr>
            <w:tcW w:w="1002" w:type="dxa"/>
            <w:tcBorders>
              <w:top w:val="nil"/>
              <w:left w:val="nil"/>
              <w:bottom w:val="single" w:sz="4" w:space="0" w:color="auto"/>
              <w:right w:val="single" w:sz="4" w:space="0" w:color="auto"/>
            </w:tcBorders>
            <w:noWrap/>
            <w:vAlign w:val="bottom"/>
          </w:tcPr>
          <w:p w:rsidR="004A147C" w:rsidRPr="00B53FFB" w:rsidRDefault="004A147C" w:rsidP="00CE5850">
            <w:pPr>
              <w:jc w:val="right"/>
              <w:rPr>
                <w:kern w:val="0"/>
                <w:szCs w:val="22"/>
              </w:rPr>
            </w:pPr>
            <w:r w:rsidRPr="00B53FFB">
              <w:rPr>
                <w:kern w:val="0"/>
                <w:szCs w:val="22"/>
              </w:rPr>
              <w:t>2.8%</w:t>
            </w:r>
          </w:p>
        </w:tc>
        <w:tc>
          <w:tcPr>
            <w:tcW w:w="1002" w:type="dxa"/>
            <w:tcBorders>
              <w:top w:val="nil"/>
              <w:left w:val="nil"/>
              <w:bottom w:val="single" w:sz="4" w:space="0" w:color="auto"/>
              <w:right w:val="single" w:sz="4" w:space="0" w:color="auto"/>
            </w:tcBorders>
            <w:noWrap/>
            <w:vAlign w:val="bottom"/>
          </w:tcPr>
          <w:p w:rsidR="004A147C" w:rsidRPr="00B53FFB" w:rsidRDefault="004A147C" w:rsidP="00CE5850">
            <w:pPr>
              <w:jc w:val="right"/>
              <w:rPr>
                <w:kern w:val="0"/>
                <w:szCs w:val="22"/>
              </w:rPr>
            </w:pPr>
            <w:r w:rsidRPr="00B53FFB">
              <w:rPr>
                <w:kern w:val="0"/>
                <w:szCs w:val="22"/>
              </w:rPr>
              <w:t>3.2%</w:t>
            </w:r>
          </w:p>
        </w:tc>
        <w:tc>
          <w:tcPr>
            <w:tcW w:w="1002" w:type="dxa"/>
            <w:tcBorders>
              <w:top w:val="nil"/>
              <w:left w:val="nil"/>
              <w:bottom w:val="single" w:sz="4" w:space="0" w:color="auto"/>
              <w:right w:val="single" w:sz="4" w:space="0" w:color="auto"/>
            </w:tcBorders>
            <w:noWrap/>
            <w:vAlign w:val="bottom"/>
          </w:tcPr>
          <w:p w:rsidR="004A147C" w:rsidRPr="00B53FFB" w:rsidRDefault="004A147C" w:rsidP="00CE5850">
            <w:pPr>
              <w:jc w:val="right"/>
              <w:rPr>
                <w:kern w:val="0"/>
                <w:szCs w:val="22"/>
              </w:rPr>
            </w:pPr>
            <w:r w:rsidRPr="00B53FFB">
              <w:rPr>
                <w:kern w:val="0"/>
                <w:szCs w:val="22"/>
              </w:rPr>
              <w:t>0.0%</w:t>
            </w:r>
          </w:p>
        </w:tc>
        <w:tc>
          <w:tcPr>
            <w:tcW w:w="1002" w:type="dxa"/>
            <w:tcBorders>
              <w:top w:val="nil"/>
              <w:left w:val="nil"/>
              <w:bottom w:val="single" w:sz="4" w:space="0" w:color="auto"/>
              <w:right w:val="single" w:sz="4" w:space="0" w:color="auto"/>
            </w:tcBorders>
            <w:noWrap/>
            <w:vAlign w:val="bottom"/>
          </w:tcPr>
          <w:p w:rsidR="004A147C" w:rsidRPr="00B53FFB" w:rsidRDefault="004A147C" w:rsidP="00CE5850">
            <w:pPr>
              <w:jc w:val="right"/>
              <w:rPr>
                <w:kern w:val="0"/>
                <w:szCs w:val="22"/>
              </w:rPr>
            </w:pPr>
            <w:r w:rsidRPr="00B53FFB">
              <w:rPr>
                <w:kern w:val="0"/>
                <w:szCs w:val="22"/>
              </w:rPr>
              <w:t>0.0%</w:t>
            </w:r>
          </w:p>
        </w:tc>
      </w:tr>
      <w:tr w:rsidR="004A147C" w:rsidRPr="00B53FFB" w:rsidTr="003876FA">
        <w:trPr>
          <w:trHeight w:val="315"/>
          <w:jc w:val="center"/>
        </w:trPr>
        <w:tc>
          <w:tcPr>
            <w:tcW w:w="1631" w:type="dxa"/>
            <w:tcBorders>
              <w:top w:val="nil"/>
              <w:left w:val="single" w:sz="8" w:space="0" w:color="auto"/>
              <w:bottom w:val="single" w:sz="8" w:space="0" w:color="auto"/>
              <w:right w:val="nil"/>
            </w:tcBorders>
            <w:noWrap/>
            <w:vAlign w:val="bottom"/>
          </w:tcPr>
          <w:p w:rsidR="004A147C" w:rsidRPr="00B53FFB" w:rsidRDefault="004A147C" w:rsidP="00CE5850">
            <w:pPr>
              <w:rPr>
                <w:kern w:val="0"/>
                <w:szCs w:val="22"/>
              </w:rPr>
            </w:pPr>
            <w:r w:rsidRPr="00B53FFB">
              <w:rPr>
                <w:kern w:val="0"/>
                <w:szCs w:val="22"/>
              </w:rPr>
              <w:t>Leap</w:t>
            </w:r>
          </w:p>
        </w:tc>
        <w:tc>
          <w:tcPr>
            <w:tcW w:w="1123" w:type="dxa"/>
            <w:tcBorders>
              <w:top w:val="nil"/>
              <w:left w:val="single" w:sz="4" w:space="0" w:color="auto"/>
              <w:bottom w:val="single" w:sz="4" w:space="0" w:color="auto"/>
              <w:right w:val="single" w:sz="4" w:space="0" w:color="auto"/>
            </w:tcBorders>
            <w:noWrap/>
            <w:vAlign w:val="bottom"/>
          </w:tcPr>
          <w:p w:rsidR="004A147C" w:rsidRPr="00B53FFB" w:rsidRDefault="004A147C" w:rsidP="00CE5850">
            <w:pPr>
              <w:jc w:val="right"/>
              <w:rPr>
                <w:kern w:val="0"/>
                <w:szCs w:val="22"/>
              </w:rPr>
            </w:pPr>
            <w:r w:rsidRPr="00B53FFB">
              <w:rPr>
                <w:kern w:val="0"/>
                <w:szCs w:val="22"/>
              </w:rPr>
              <w:t>0.1%</w:t>
            </w:r>
          </w:p>
        </w:tc>
        <w:tc>
          <w:tcPr>
            <w:tcW w:w="1002" w:type="dxa"/>
            <w:tcBorders>
              <w:top w:val="nil"/>
              <w:left w:val="nil"/>
              <w:bottom w:val="single" w:sz="4" w:space="0" w:color="auto"/>
              <w:right w:val="single" w:sz="4" w:space="0" w:color="auto"/>
            </w:tcBorders>
            <w:noWrap/>
            <w:vAlign w:val="bottom"/>
          </w:tcPr>
          <w:p w:rsidR="004A147C" w:rsidRPr="00B53FFB" w:rsidRDefault="004A147C" w:rsidP="00CE5850">
            <w:pPr>
              <w:jc w:val="right"/>
              <w:rPr>
                <w:kern w:val="0"/>
                <w:szCs w:val="22"/>
              </w:rPr>
            </w:pPr>
            <w:r w:rsidRPr="00B53FFB">
              <w:rPr>
                <w:kern w:val="0"/>
                <w:szCs w:val="22"/>
              </w:rPr>
              <w:t>0.0%</w:t>
            </w:r>
          </w:p>
        </w:tc>
        <w:tc>
          <w:tcPr>
            <w:tcW w:w="1002" w:type="dxa"/>
            <w:tcBorders>
              <w:top w:val="nil"/>
              <w:left w:val="nil"/>
              <w:bottom w:val="single" w:sz="4" w:space="0" w:color="auto"/>
              <w:right w:val="single" w:sz="4" w:space="0" w:color="auto"/>
            </w:tcBorders>
            <w:noWrap/>
            <w:vAlign w:val="bottom"/>
          </w:tcPr>
          <w:p w:rsidR="004A147C" w:rsidRPr="00B53FFB" w:rsidRDefault="004A147C" w:rsidP="00CE5850">
            <w:pPr>
              <w:jc w:val="right"/>
              <w:rPr>
                <w:kern w:val="0"/>
                <w:szCs w:val="22"/>
              </w:rPr>
            </w:pPr>
            <w:r w:rsidRPr="00B53FFB">
              <w:rPr>
                <w:kern w:val="0"/>
                <w:szCs w:val="22"/>
              </w:rPr>
              <w:t>2.4%</w:t>
            </w:r>
          </w:p>
        </w:tc>
        <w:tc>
          <w:tcPr>
            <w:tcW w:w="1002" w:type="dxa"/>
            <w:tcBorders>
              <w:top w:val="nil"/>
              <w:left w:val="nil"/>
              <w:bottom w:val="single" w:sz="4" w:space="0" w:color="auto"/>
              <w:right w:val="single" w:sz="4" w:space="0" w:color="auto"/>
            </w:tcBorders>
            <w:noWrap/>
            <w:vAlign w:val="bottom"/>
          </w:tcPr>
          <w:p w:rsidR="004A147C" w:rsidRPr="00B53FFB" w:rsidRDefault="004A147C" w:rsidP="00CE5850">
            <w:pPr>
              <w:jc w:val="right"/>
              <w:rPr>
                <w:kern w:val="0"/>
                <w:szCs w:val="22"/>
              </w:rPr>
            </w:pPr>
            <w:r w:rsidRPr="00B53FFB">
              <w:rPr>
                <w:kern w:val="0"/>
                <w:szCs w:val="22"/>
              </w:rPr>
              <w:t>5.8%</w:t>
            </w:r>
          </w:p>
        </w:tc>
        <w:tc>
          <w:tcPr>
            <w:tcW w:w="1002" w:type="dxa"/>
            <w:tcBorders>
              <w:top w:val="nil"/>
              <w:left w:val="nil"/>
              <w:bottom w:val="single" w:sz="4" w:space="0" w:color="auto"/>
              <w:right w:val="single" w:sz="4" w:space="0" w:color="auto"/>
            </w:tcBorders>
            <w:noWrap/>
            <w:vAlign w:val="bottom"/>
          </w:tcPr>
          <w:p w:rsidR="004A147C" w:rsidRPr="00B53FFB" w:rsidRDefault="004A147C" w:rsidP="00CE5850">
            <w:pPr>
              <w:jc w:val="right"/>
              <w:rPr>
                <w:kern w:val="0"/>
                <w:szCs w:val="22"/>
              </w:rPr>
            </w:pPr>
            <w:r w:rsidRPr="00B53FFB">
              <w:rPr>
                <w:kern w:val="0"/>
                <w:szCs w:val="22"/>
              </w:rPr>
              <w:t>0.0%</w:t>
            </w:r>
          </w:p>
        </w:tc>
        <w:tc>
          <w:tcPr>
            <w:tcW w:w="1002" w:type="dxa"/>
            <w:tcBorders>
              <w:top w:val="nil"/>
              <w:left w:val="nil"/>
              <w:bottom w:val="single" w:sz="4" w:space="0" w:color="auto"/>
              <w:right w:val="single" w:sz="4" w:space="0" w:color="auto"/>
            </w:tcBorders>
            <w:noWrap/>
            <w:vAlign w:val="bottom"/>
          </w:tcPr>
          <w:p w:rsidR="004A147C" w:rsidRPr="00B53FFB" w:rsidRDefault="004A147C" w:rsidP="00CE5850">
            <w:pPr>
              <w:jc w:val="right"/>
              <w:rPr>
                <w:kern w:val="0"/>
                <w:szCs w:val="22"/>
              </w:rPr>
            </w:pPr>
            <w:r w:rsidRPr="00B53FFB">
              <w:rPr>
                <w:kern w:val="0"/>
                <w:szCs w:val="22"/>
              </w:rPr>
              <w:t>0.0%</w:t>
            </w:r>
          </w:p>
        </w:tc>
      </w:tr>
      <w:tr w:rsidR="004A147C" w:rsidRPr="00B53FFB" w:rsidTr="003876FA">
        <w:trPr>
          <w:trHeight w:val="315"/>
          <w:jc w:val="center"/>
        </w:trPr>
        <w:tc>
          <w:tcPr>
            <w:tcW w:w="1631" w:type="dxa"/>
            <w:tcBorders>
              <w:top w:val="nil"/>
              <w:left w:val="single" w:sz="8" w:space="0" w:color="auto"/>
              <w:bottom w:val="single" w:sz="8" w:space="0" w:color="auto"/>
              <w:right w:val="nil"/>
            </w:tcBorders>
            <w:noWrap/>
            <w:vAlign w:val="bottom"/>
          </w:tcPr>
          <w:p w:rsidR="004A147C" w:rsidRPr="00B53FFB" w:rsidRDefault="004A147C" w:rsidP="00CE5850">
            <w:pPr>
              <w:rPr>
                <w:kern w:val="0"/>
                <w:szCs w:val="22"/>
              </w:rPr>
            </w:pPr>
            <w:r w:rsidRPr="00B53FFB">
              <w:rPr>
                <w:kern w:val="0"/>
                <w:szCs w:val="22"/>
              </w:rPr>
              <w:t>Other</w:t>
            </w:r>
          </w:p>
        </w:tc>
        <w:tc>
          <w:tcPr>
            <w:tcW w:w="1123" w:type="dxa"/>
            <w:tcBorders>
              <w:top w:val="nil"/>
              <w:left w:val="single" w:sz="4" w:space="0" w:color="auto"/>
              <w:bottom w:val="single" w:sz="4" w:space="0" w:color="auto"/>
              <w:right w:val="single" w:sz="4" w:space="0" w:color="auto"/>
            </w:tcBorders>
            <w:noWrap/>
            <w:vAlign w:val="bottom"/>
          </w:tcPr>
          <w:p w:rsidR="004A147C" w:rsidRPr="00B53FFB" w:rsidRDefault="004A147C" w:rsidP="00CE5850">
            <w:pPr>
              <w:jc w:val="right"/>
              <w:rPr>
                <w:kern w:val="0"/>
                <w:szCs w:val="22"/>
              </w:rPr>
            </w:pPr>
            <w:r w:rsidRPr="00B53FFB">
              <w:rPr>
                <w:kern w:val="0"/>
                <w:szCs w:val="22"/>
              </w:rPr>
              <w:t>33.8%</w:t>
            </w:r>
          </w:p>
        </w:tc>
        <w:tc>
          <w:tcPr>
            <w:tcW w:w="1002" w:type="dxa"/>
            <w:tcBorders>
              <w:top w:val="nil"/>
              <w:left w:val="nil"/>
              <w:bottom w:val="single" w:sz="4" w:space="0" w:color="auto"/>
              <w:right w:val="single" w:sz="4" w:space="0" w:color="auto"/>
            </w:tcBorders>
            <w:noWrap/>
            <w:vAlign w:val="bottom"/>
          </w:tcPr>
          <w:p w:rsidR="004A147C" w:rsidRPr="00B53FFB" w:rsidRDefault="004A147C" w:rsidP="00CE5850">
            <w:pPr>
              <w:jc w:val="right"/>
              <w:rPr>
                <w:kern w:val="0"/>
                <w:szCs w:val="22"/>
              </w:rPr>
            </w:pPr>
            <w:r w:rsidRPr="00B53FFB">
              <w:rPr>
                <w:kern w:val="0"/>
                <w:szCs w:val="22"/>
              </w:rPr>
              <w:t>11.4%</w:t>
            </w:r>
          </w:p>
        </w:tc>
        <w:tc>
          <w:tcPr>
            <w:tcW w:w="1002" w:type="dxa"/>
            <w:tcBorders>
              <w:top w:val="nil"/>
              <w:left w:val="nil"/>
              <w:bottom w:val="single" w:sz="4" w:space="0" w:color="auto"/>
              <w:right w:val="single" w:sz="4" w:space="0" w:color="auto"/>
            </w:tcBorders>
            <w:noWrap/>
            <w:vAlign w:val="bottom"/>
          </w:tcPr>
          <w:p w:rsidR="004A147C" w:rsidRPr="00B53FFB" w:rsidRDefault="004A147C" w:rsidP="00CE5850">
            <w:pPr>
              <w:jc w:val="right"/>
              <w:rPr>
                <w:kern w:val="0"/>
                <w:szCs w:val="22"/>
              </w:rPr>
            </w:pPr>
            <w:r w:rsidRPr="00B53FFB">
              <w:rPr>
                <w:kern w:val="0"/>
                <w:szCs w:val="22"/>
              </w:rPr>
              <w:t>11.0%</w:t>
            </w:r>
          </w:p>
        </w:tc>
        <w:tc>
          <w:tcPr>
            <w:tcW w:w="1002" w:type="dxa"/>
            <w:tcBorders>
              <w:top w:val="nil"/>
              <w:left w:val="nil"/>
              <w:bottom w:val="single" w:sz="4" w:space="0" w:color="auto"/>
              <w:right w:val="single" w:sz="4" w:space="0" w:color="auto"/>
            </w:tcBorders>
            <w:noWrap/>
            <w:vAlign w:val="bottom"/>
          </w:tcPr>
          <w:p w:rsidR="004A147C" w:rsidRPr="00B53FFB" w:rsidRDefault="004A147C" w:rsidP="00CE5850">
            <w:pPr>
              <w:jc w:val="right"/>
              <w:rPr>
                <w:kern w:val="0"/>
                <w:szCs w:val="22"/>
              </w:rPr>
            </w:pPr>
            <w:r w:rsidRPr="00B53FFB">
              <w:rPr>
                <w:kern w:val="0"/>
                <w:szCs w:val="22"/>
              </w:rPr>
              <w:t>18.8%</w:t>
            </w:r>
          </w:p>
        </w:tc>
        <w:tc>
          <w:tcPr>
            <w:tcW w:w="1002" w:type="dxa"/>
            <w:tcBorders>
              <w:top w:val="nil"/>
              <w:left w:val="nil"/>
              <w:bottom w:val="single" w:sz="4" w:space="0" w:color="auto"/>
              <w:right w:val="single" w:sz="4" w:space="0" w:color="auto"/>
            </w:tcBorders>
            <w:noWrap/>
            <w:vAlign w:val="bottom"/>
          </w:tcPr>
          <w:p w:rsidR="004A147C" w:rsidRPr="00B53FFB" w:rsidRDefault="004A147C" w:rsidP="00CE5850">
            <w:pPr>
              <w:jc w:val="right"/>
              <w:rPr>
                <w:kern w:val="0"/>
                <w:szCs w:val="22"/>
              </w:rPr>
            </w:pPr>
            <w:r w:rsidRPr="00B53FFB">
              <w:rPr>
                <w:kern w:val="0"/>
                <w:szCs w:val="22"/>
              </w:rPr>
              <w:t>29.6%</w:t>
            </w:r>
          </w:p>
        </w:tc>
        <w:tc>
          <w:tcPr>
            <w:tcW w:w="1002" w:type="dxa"/>
            <w:tcBorders>
              <w:top w:val="nil"/>
              <w:left w:val="nil"/>
              <w:bottom w:val="single" w:sz="4" w:space="0" w:color="auto"/>
              <w:right w:val="single" w:sz="4" w:space="0" w:color="auto"/>
            </w:tcBorders>
            <w:noWrap/>
            <w:vAlign w:val="bottom"/>
          </w:tcPr>
          <w:p w:rsidR="004A147C" w:rsidRPr="00B53FFB" w:rsidRDefault="004A147C" w:rsidP="00CE5850">
            <w:pPr>
              <w:jc w:val="right"/>
              <w:rPr>
                <w:kern w:val="0"/>
                <w:szCs w:val="22"/>
              </w:rPr>
            </w:pPr>
            <w:r w:rsidRPr="00B53FFB">
              <w:rPr>
                <w:kern w:val="0"/>
                <w:szCs w:val="22"/>
              </w:rPr>
              <w:t>73.1%</w:t>
            </w:r>
          </w:p>
        </w:tc>
      </w:tr>
      <w:tr w:rsidR="004A147C" w:rsidRPr="00B53FFB" w:rsidTr="003876FA">
        <w:trPr>
          <w:trHeight w:val="315"/>
          <w:jc w:val="center"/>
        </w:trPr>
        <w:tc>
          <w:tcPr>
            <w:tcW w:w="1631" w:type="dxa"/>
            <w:tcBorders>
              <w:top w:val="nil"/>
              <w:left w:val="single" w:sz="8" w:space="0" w:color="auto"/>
              <w:bottom w:val="single" w:sz="8" w:space="0" w:color="auto"/>
              <w:right w:val="nil"/>
            </w:tcBorders>
            <w:noWrap/>
            <w:vAlign w:val="bottom"/>
          </w:tcPr>
          <w:p w:rsidR="004A147C" w:rsidRPr="00B53FFB" w:rsidRDefault="004A147C" w:rsidP="00CE5850">
            <w:pPr>
              <w:rPr>
                <w:kern w:val="0"/>
                <w:szCs w:val="22"/>
              </w:rPr>
            </w:pPr>
            <w:r w:rsidRPr="00B53FFB">
              <w:rPr>
                <w:kern w:val="0"/>
                <w:szCs w:val="22"/>
              </w:rPr>
              <w:t>Grand Total</w:t>
            </w:r>
          </w:p>
        </w:tc>
        <w:tc>
          <w:tcPr>
            <w:tcW w:w="1123" w:type="dxa"/>
            <w:tcBorders>
              <w:top w:val="nil"/>
              <w:left w:val="single" w:sz="4" w:space="0" w:color="auto"/>
              <w:bottom w:val="single" w:sz="4" w:space="0" w:color="auto"/>
              <w:right w:val="single" w:sz="4" w:space="0" w:color="auto"/>
            </w:tcBorders>
            <w:noWrap/>
            <w:vAlign w:val="bottom"/>
          </w:tcPr>
          <w:p w:rsidR="004A147C" w:rsidRPr="00B53FFB" w:rsidRDefault="004A147C" w:rsidP="00CE5850">
            <w:pPr>
              <w:jc w:val="right"/>
              <w:rPr>
                <w:kern w:val="0"/>
                <w:szCs w:val="22"/>
              </w:rPr>
            </w:pPr>
            <w:r w:rsidRPr="00B53FFB">
              <w:rPr>
                <w:kern w:val="0"/>
                <w:szCs w:val="22"/>
              </w:rPr>
              <w:t>100.0%</w:t>
            </w:r>
          </w:p>
        </w:tc>
        <w:tc>
          <w:tcPr>
            <w:tcW w:w="1002" w:type="dxa"/>
            <w:tcBorders>
              <w:top w:val="nil"/>
              <w:left w:val="nil"/>
              <w:bottom w:val="single" w:sz="4" w:space="0" w:color="auto"/>
              <w:right w:val="single" w:sz="4" w:space="0" w:color="auto"/>
            </w:tcBorders>
            <w:noWrap/>
            <w:vAlign w:val="bottom"/>
          </w:tcPr>
          <w:p w:rsidR="004A147C" w:rsidRPr="00B53FFB" w:rsidRDefault="004A147C" w:rsidP="00CE5850">
            <w:pPr>
              <w:jc w:val="right"/>
              <w:rPr>
                <w:kern w:val="0"/>
                <w:szCs w:val="22"/>
              </w:rPr>
            </w:pPr>
            <w:r w:rsidRPr="00B53FFB">
              <w:rPr>
                <w:kern w:val="0"/>
                <w:szCs w:val="22"/>
              </w:rPr>
              <w:t>100.0%</w:t>
            </w:r>
          </w:p>
        </w:tc>
        <w:tc>
          <w:tcPr>
            <w:tcW w:w="1002" w:type="dxa"/>
            <w:tcBorders>
              <w:top w:val="nil"/>
              <w:left w:val="nil"/>
              <w:bottom w:val="single" w:sz="4" w:space="0" w:color="auto"/>
              <w:right w:val="single" w:sz="4" w:space="0" w:color="auto"/>
            </w:tcBorders>
            <w:noWrap/>
            <w:vAlign w:val="bottom"/>
          </w:tcPr>
          <w:p w:rsidR="004A147C" w:rsidRPr="00B53FFB" w:rsidRDefault="004A147C" w:rsidP="00CE5850">
            <w:pPr>
              <w:jc w:val="right"/>
              <w:rPr>
                <w:kern w:val="0"/>
                <w:szCs w:val="22"/>
              </w:rPr>
            </w:pPr>
            <w:r w:rsidRPr="00B53FFB">
              <w:rPr>
                <w:kern w:val="0"/>
                <w:szCs w:val="22"/>
              </w:rPr>
              <w:t>100.0%</w:t>
            </w:r>
          </w:p>
        </w:tc>
        <w:tc>
          <w:tcPr>
            <w:tcW w:w="1002" w:type="dxa"/>
            <w:tcBorders>
              <w:top w:val="nil"/>
              <w:left w:val="nil"/>
              <w:bottom w:val="single" w:sz="4" w:space="0" w:color="auto"/>
              <w:right w:val="single" w:sz="4" w:space="0" w:color="auto"/>
            </w:tcBorders>
            <w:noWrap/>
            <w:vAlign w:val="bottom"/>
          </w:tcPr>
          <w:p w:rsidR="004A147C" w:rsidRPr="00B53FFB" w:rsidRDefault="004A147C" w:rsidP="00CE5850">
            <w:pPr>
              <w:jc w:val="right"/>
              <w:rPr>
                <w:kern w:val="0"/>
                <w:szCs w:val="22"/>
              </w:rPr>
            </w:pPr>
            <w:r w:rsidRPr="00B53FFB">
              <w:rPr>
                <w:kern w:val="0"/>
                <w:szCs w:val="22"/>
              </w:rPr>
              <w:t>100.0%</w:t>
            </w:r>
          </w:p>
        </w:tc>
        <w:tc>
          <w:tcPr>
            <w:tcW w:w="1002" w:type="dxa"/>
            <w:tcBorders>
              <w:top w:val="nil"/>
              <w:left w:val="nil"/>
              <w:bottom w:val="single" w:sz="4" w:space="0" w:color="auto"/>
              <w:right w:val="single" w:sz="4" w:space="0" w:color="auto"/>
            </w:tcBorders>
            <w:noWrap/>
            <w:vAlign w:val="bottom"/>
          </w:tcPr>
          <w:p w:rsidR="004A147C" w:rsidRPr="00B53FFB" w:rsidRDefault="004A147C" w:rsidP="00CE5850">
            <w:pPr>
              <w:jc w:val="right"/>
              <w:rPr>
                <w:kern w:val="0"/>
                <w:szCs w:val="22"/>
              </w:rPr>
            </w:pPr>
            <w:r w:rsidRPr="00B53FFB">
              <w:rPr>
                <w:kern w:val="0"/>
                <w:szCs w:val="22"/>
              </w:rPr>
              <w:t>100.0%</w:t>
            </w:r>
          </w:p>
        </w:tc>
        <w:tc>
          <w:tcPr>
            <w:tcW w:w="1002" w:type="dxa"/>
            <w:tcBorders>
              <w:top w:val="nil"/>
              <w:left w:val="nil"/>
              <w:bottom w:val="single" w:sz="4" w:space="0" w:color="auto"/>
              <w:right w:val="single" w:sz="4" w:space="0" w:color="auto"/>
            </w:tcBorders>
            <w:noWrap/>
            <w:vAlign w:val="bottom"/>
          </w:tcPr>
          <w:p w:rsidR="004A147C" w:rsidRPr="00B53FFB" w:rsidRDefault="004A147C" w:rsidP="00CE5850">
            <w:pPr>
              <w:jc w:val="right"/>
              <w:rPr>
                <w:kern w:val="0"/>
                <w:szCs w:val="22"/>
              </w:rPr>
            </w:pPr>
            <w:r w:rsidRPr="00B53FFB">
              <w:rPr>
                <w:kern w:val="0"/>
                <w:szCs w:val="22"/>
              </w:rPr>
              <w:t>100.0%</w:t>
            </w:r>
          </w:p>
        </w:tc>
      </w:tr>
    </w:tbl>
    <w:p w:rsidR="00C84D76" w:rsidRDefault="004A147C" w:rsidP="00CE5850">
      <w:pPr>
        <w:rPr>
          <w:sz w:val="20"/>
        </w:rPr>
      </w:pPr>
      <w:r w:rsidRPr="006D773A">
        <w:rPr>
          <w:sz w:val="20"/>
        </w:rPr>
        <w:t>* Estimates i</w:t>
      </w:r>
      <w:r w:rsidRPr="006D773A">
        <w:rPr>
          <w:spacing w:val="-2"/>
          <w:sz w:val="20"/>
        </w:rPr>
        <w:t>nclude all transactions consummated as of August 15</w:t>
      </w:r>
      <w:r>
        <w:rPr>
          <w:spacing w:val="-2"/>
          <w:sz w:val="20"/>
        </w:rPr>
        <w:t>, 2012</w:t>
      </w:r>
      <w:r w:rsidRPr="006D773A">
        <w:rPr>
          <w:spacing w:val="-2"/>
          <w:sz w:val="20"/>
        </w:rPr>
        <w:t xml:space="preserve">, as well as the transactions approved in the </w:t>
      </w:r>
      <w:r w:rsidRPr="006D773A">
        <w:rPr>
          <w:i/>
          <w:spacing w:val="-2"/>
          <w:sz w:val="20"/>
        </w:rPr>
        <w:t>Verizon Wireless-SpectrumCo Order</w:t>
      </w:r>
      <w:r w:rsidRPr="006D773A">
        <w:rPr>
          <w:sz w:val="20"/>
        </w:rPr>
        <w:t xml:space="preserve">.  </w:t>
      </w:r>
      <w:r w:rsidR="00C84D76" w:rsidRPr="00CF6FE7">
        <w:rPr>
          <w:sz w:val="20"/>
        </w:rPr>
        <w:t xml:space="preserve">Estimates </w:t>
      </w:r>
      <w:r w:rsidR="003E03B2">
        <w:rPr>
          <w:sz w:val="20"/>
        </w:rPr>
        <w:t>do not include</w:t>
      </w:r>
      <w:r w:rsidR="00C84D76" w:rsidRPr="00CF6FE7">
        <w:rPr>
          <w:sz w:val="20"/>
        </w:rPr>
        <w:t xml:space="preserve"> WCS spectrum that was </w:t>
      </w:r>
      <w:r w:rsidR="003E03B2">
        <w:rPr>
          <w:sz w:val="20"/>
        </w:rPr>
        <w:t>added</w:t>
      </w:r>
      <w:r w:rsidR="00C84D76" w:rsidRPr="00CF6FE7">
        <w:rPr>
          <w:sz w:val="20"/>
        </w:rPr>
        <w:t xml:space="preserve"> in the spectrum screen in December 2012.</w:t>
      </w:r>
    </w:p>
    <w:p w:rsidR="004A147C" w:rsidRPr="006D773A" w:rsidRDefault="004A147C" w:rsidP="00CE5850">
      <w:pPr>
        <w:ind w:left="720"/>
        <w:rPr>
          <w:sz w:val="20"/>
        </w:rPr>
      </w:pPr>
    </w:p>
    <w:p w:rsidR="004A147C" w:rsidRPr="00B53FFB" w:rsidRDefault="004A147C" w:rsidP="00CE5850">
      <w:pPr>
        <w:pStyle w:val="ParaNum2"/>
        <w:tabs>
          <w:tab w:val="clear" w:pos="1440"/>
        </w:tabs>
        <w:ind w:left="720" w:firstLine="0"/>
        <w:rPr>
          <w:szCs w:val="22"/>
        </w:rPr>
      </w:pPr>
    </w:p>
    <w:p w:rsidR="004A147C" w:rsidRPr="00B53FFB" w:rsidRDefault="004A147C" w:rsidP="00CE5850">
      <w:pPr>
        <w:pStyle w:val="Caption"/>
        <w:widowControl w:val="0"/>
        <w:jc w:val="center"/>
        <w:rPr>
          <w:sz w:val="22"/>
          <w:szCs w:val="22"/>
        </w:rPr>
      </w:pPr>
      <w:r w:rsidRPr="00B53FFB">
        <w:rPr>
          <w:sz w:val="22"/>
          <w:szCs w:val="22"/>
        </w:rPr>
        <w:t xml:space="preserve">Table </w:t>
      </w:r>
      <w:r w:rsidR="0007014B" w:rsidRPr="00B53FFB">
        <w:rPr>
          <w:sz w:val="22"/>
          <w:szCs w:val="22"/>
        </w:rPr>
        <w:fldChar w:fldCharType="begin"/>
      </w:r>
      <w:r w:rsidRPr="00B53FFB">
        <w:rPr>
          <w:sz w:val="22"/>
          <w:szCs w:val="22"/>
        </w:rPr>
        <w:instrText xml:space="preserve"> SEQ Table \* ARABIC </w:instrText>
      </w:r>
      <w:r w:rsidR="0007014B" w:rsidRPr="00B53FFB">
        <w:rPr>
          <w:sz w:val="22"/>
          <w:szCs w:val="22"/>
        </w:rPr>
        <w:fldChar w:fldCharType="separate"/>
      </w:r>
      <w:r w:rsidR="00CA3AC6">
        <w:rPr>
          <w:noProof/>
          <w:sz w:val="22"/>
          <w:szCs w:val="22"/>
        </w:rPr>
        <w:t>66</w:t>
      </w:r>
      <w:r w:rsidR="0007014B" w:rsidRPr="00B53FFB">
        <w:rPr>
          <w:sz w:val="22"/>
          <w:szCs w:val="22"/>
        </w:rPr>
        <w:fldChar w:fldCharType="end"/>
      </w:r>
      <w:r w:rsidRPr="00B53FFB">
        <w:rPr>
          <w:sz w:val="22"/>
          <w:szCs w:val="22"/>
        </w:rPr>
        <w:br/>
        <w:t xml:space="preserve">Percentage Spectrum Holdings in Non-Rural Areas on a MHz-POPs Basis </w:t>
      </w:r>
      <w:r w:rsidRPr="00B53FFB">
        <w:rPr>
          <w:sz w:val="22"/>
          <w:szCs w:val="22"/>
        </w:rPr>
        <w:br/>
        <w:t>by Provider and Frequency Band</w:t>
      </w:r>
    </w:p>
    <w:tbl>
      <w:tblPr>
        <w:tblW w:w="7764" w:type="dxa"/>
        <w:jc w:val="center"/>
        <w:tblInd w:w="93" w:type="dxa"/>
        <w:tblLook w:val="00A0" w:firstRow="1" w:lastRow="0" w:firstColumn="1" w:lastColumn="0" w:noHBand="0" w:noVBand="0"/>
      </w:tblPr>
      <w:tblGrid>
        <w:gridCol w:w="1631"/>
        <w:gridCol w:w="1123"/>
        <w:gridCol w:w="1002"/>
        <w:gridCol w:w="1002"/>
        <w:gridCol w:w="1002"/>
        <w:gridCol w:w="1002"/>
        <w:gridCol w:w="1002"/>
      </w:tblGrid>
      <w:tr w:rsidR="004A147C" w:rsidRPr="00B53FFB" w:rsidTr="003876FA">
        <w:trPr>
          <w:trHeight w:val="315"/>
          <w:jc w:val="center"/>
        </w:trPr>
        <w:tc>
          <w:tcPr>
            <w:tcW w:w="1631" w:type="dxa"/>
            <w:tcBorders>
              <w:top w:val="single" w:sz="8" w:space="0" w:color="auto"/>
              <w:left w:val="single" w:sz="8" w:space="0" w:color="auto"/>
              <w:bottom w:val="single" w:sz="8" w:space="0" w:color="auto"/>
              <w:right w:val="single" w:sz="8" w:space="0" w:color="auto"/>
            </w:tcBorders>
            <w:noWrap/>
          </w:tcPr>
          <w:p w:rsidR="004A147C" w:rsidRPr="00B53FFB" w:rsidRDefault="004A147C" w:rsidP="00CE5850">
            <w:pPr>
              <w:jc w:val="center"/>
              <w:rPr>
                <w:b/>
                <w:bCs/>
                <w:szCs w:val="22"/>
              </w:rPr>
            </w:pPr>
          </w:p>
          <w:p w:rsidR="004A147C" w:rsidRPr="00B53FFB" w:rsidRDefault="004A147C" w:rsidP="00CE5850">
            <w:pPr>
              <w:jc w:val="center"/>
              <w:rPr>
                <w:b/>
                <w:bCs/>
                <w:szCs w:val="22"/>
              </w:rPr>
            </w:pPr>
            <w:r w:rsidRPr="00B53FFB">
              <w:rPr>
                <w:b/>
                <w:bCs/>
                <w:szCs w:val="22"/>
              </w:rPr>
              <w:t>Licensee</w:t>
            </w:r>
          </w:p>
          <w:p w:rsidR="004A147C" w:rsidRPr="00B53FFB" w:rsidRDefault="004A147C" w:rsidP="00CE5850">
            <w:pPr>
              <w:jc w:val="center"/>
              <w:rPr>
                <w:b/>
                <w:bCs/>
                <w:szCs w:val="22"/>
              </w:rPr>
            </w:pPr>
          </w:p>
        </w:tc>
        <w:tc>
          <w:tcPr>
            <w:tcW w:w="1123" w:type="dxa"/>
            <w:tcBorders>
              <w:top w:val="single" w:sz="8" w:space="0" w:color="auto"/>
              <w:left w:val="nil"/>
              <w:bottom w:val="nil"/>
              <w:right w:val="single" w:sz="8" w:space="0" w:color="auto"/>
            </w:tcBorders>
            <w:noWrap/>
          </w:tcPr>
          <w:p w:rsidR="004A147C" w:rsidRPr="00B53FFB" w:rsidRDefault="004A147C" w:rsidP="00CE5850">
            <w:pPr>
              <w:jc w:val="center"/>
              <w:rPr>
                <w:b/>
                <w:bCs/>
                <w:szCs w:val="22"/>
              </w:rPr>
            </w:pPr>
          </w:p>
          <w:p w:rsidR="004A147C" w:rsidRPr="00B53FFB" w:rsidRDefault="004A147C" w:rsidP="00CE5850">
            <w:pPr>
              <w:jc w:val="center"/>
              <w:rPr>
                <w:b/>
                <w:bCs/>
                <w:szCs w:val="22"/>
              </w:rPr>
            </w:pPr>
            <w:r w:rsidRPr="00B53FFB">
              <w:rPr>
                <w:b/>
                <w:bCs/>
                <w:szCs w:val="22"/>
              </w:rPr>
              <w:t>700 MHz</w:t>
            </w:r>
          </w:p>
          <w:p w:rsidR="004A147C" w:rsidRPr="00B53FFB" w:rsidRDefault="004A147C" w:rsidP="00CE5850">
            <w:pPr>
              <w:jc w:val="center"/>
              <w:rPr>
                <w:b/>
                <w:bCs/>
                <w:szCs w:val="22"/>
              </w:rPr>
            </w:pPr>
          </w:p>
        </w:tc>
        <w:tc>
          <w:tcPr>
            <w:tcW w:w="1002" w:type="dxa"/>
            <w:tcBorders>
              <w:top w:val="single" w:sz="8" w:space="0" w:color="auto"/>
              <w:left w:val="nil"/>
              <w:bottom w:val="nil"/>
              <w:right w:val="single" w:sz="8" w:space="0" w:color="auto"/>
            </w:tcBorders>
            <w:noWrap/>
          </w:tcPr>
          <w:p w:rsidR="004A147C" w:rsidRPr="00B53FFB" w:rsidRDefault="004A147C" w:rsidP="00CE5850">
            <w:pPr>
              <w:jc w:val="center"/>
              <w:rPr>
                <w:b/>
                <w:bCs/>
                <w:szCs w:val="22"/>
              </w:rPr>
            </w:pPr>
            <w:r w:rsidRPr="00B53FFB">
              <w:rPr>
                <w:b/>
                <w:bCs/>
                <w:szCs w:val="22"/>
              </w:rPr>
              <w:t>Cellular</w:t>
            </w:r>
          </w:p>
          <w:p w:rsidR="004A147C" w:rsidRPr="00B53FFB" w:rsidRDefault="004A147C" w:rsidP="00CE5850">
            <w:pPr>
              <w:jc w:val="center"/>
              <w:rPr>
                <w:b/>
                <w:bCs/>
                <w:szCs w:val="22"/>
              </w:rPr>
            </w:pPr>
            <w:r w:rsidRPr="00B53FFB">
              <w:rPr>
                <w:b/>
                <w:bCs/>
                <w:szCs w:val="22"/>
              </w:rPr>
              <w:t>(850 MHz)</w:t>
            </w:r>
          </w:p>
        </w:tc>
        <w:tc>
          <w:tcPr>
            <w:tcW w:w="1002" w:type="dxa"/>
            <w:tcBorders>
              <w:top w:val="single" w:sz="8" w:space="0" w:color="auto"/>
              <w:left w:val="nil"/>
              <w:bottom w:val="nil"/>
              <w:right w:val="single" w:sz="8" w:space="0" w:color="auto"/>
            </w:tcBorders>
            <w:noWrap/>
          </w:tcPr>
          <w:p w:rsidR="004A147C" w:rsidRPr="00B53FFB" w:rsidRDefault="004A147C" w:rsidP="00CE5850">
            <w:pPr>
              <w:jc w:val="center"/>
              <w:rPr>
                <w:b/>
                <w:bCs/>
                <w:szCs w:val="22"/>
              </w:rPr>
            </w:pPr>
            <w:r w:rsidRPr="00B53FFB">
              <w:rPr>
                <w:b/>
                <w:bCs/>
                <w:szCs w:val="22"/>
              </w:rPr>
              <w:t>PCS</w:t>
            </w:r>
          </w:p>
          <w:p w:rsidR="004A147C" w:rsidRPr="00B53FFB" w:rsidRDefault="004A147C" w:rsidP="00CE5850">
            <w:pPr>
              <w:jc w:val="center"/>
              <w:rPr>
                <w:b/>
                <w:bCs/>
                <w:szCs w:val="22"/>
              </w:rPr>
            </w:pPr>
            <w:r w:rsidRPr="00B53FFB">
              <w:rPr>
                <w:b/>
                <w:bCs/>
                <w:szCs w:val="22"/>
              </w:rPr>
              <w:t>(1.9 GHz)</w:t>
            </w:r>
          </w:p>
        </w:tc>
        <w:tc>
          <w:tcPr>
            <w:tcW w:w="1002" w:type="dxa"/>
            <w:tcBorders>
              <w:top w:val="single" w:sz="8" w:space="0" w:color="auto"/>
              <w:left w:val="nil"/>
              <w:bottom w:val="nil"/>
              <w:right w:val="single" w:sz="8" w:space="0" w:color="auto"/>
            </w:tcBorders>
            <w:noWrap/>
          </w:tcPr>
          <w:p w:rsidR="004A147C" w:rsidRPr="00B53FFB" w:rsidRDefault="004A147C" w:rsidP="00CE5850">
            <w:pPr>
              <w:jc w:val="center"/>
              <w:rPr>
                <w:b/>
                <w:bCs/>
                <w:szCs w:val="22"/>
              </w:rPr>
            </w:pPr>
            <w:r w:rsidRPr="00B53FFB">
              <w:rPr>
                <w:b/>
                <w:bCs/>
                <w:szCs w:val="22"/>
              </w:rPr>
              <w:t>AWS</w:t>
            </w:r>
            <w:r w:rsidRPr="00B53FFB">
              <w:rPr>
                <w:b/>
                <w:bCs/>
                <w:szCs w:val="22"/>
              </w:rPr>
              <w:br/>
              <w:t>(1.7/2.1 GHz)</w:t>
            </w:r>
          </w:p>
        </w:tc>
        <w:tc>
          <w:tcPr>
            <w:tcW w:w="1002" w:type="dxa"/>
            <w:tcBorders>
              <w:top w:val="single" w:sz="8" w:space="0" w:color="auto"/>
              <w:left w:val="nil"/>
              <w:bottom w:val="nil"/>
              <w:right w:val="single" w:sz="8" w:space="0" w:color="auto"/>
            </w:tcBorders>
            <w:noWrap/>
          </w:tcPr>
          <w:p w:rsidR="004A147C" w:rsidRPr="00B53FFB" w:rsidRDefault="004A147C" w:rsidP="00CE5850">
            <w:pPr>
              <w:jc w:val="center"/>
              <w:rPr>
                <w:b/>
                <w:bCs/>
                <w:szCs w:val="22"/>
              </w:rPr>
            </w:pPr>
            <w:r w:rsidRPr="00B53FFB">
              <w:rPr>
                <w:b/>
                <w:bCs/>
                <w:szCs w:val="22"/>
              </w:rPr>
              <w:t>BRS</w:t>
            </w:r>
          </w:p>
          <w:p w:rsidR="004A147C" w:rsidRPr="00B53FFB" w:rsidRDefault="004A147C" w:rsidP="00CE5850">
            <w:pPr>
              <w:jc w:val="center"/>
              <w:rPr>
                <w:b/>
                <w:kern w:val="0"/>
                <w:szCs w:val="22"/>
              </w:rPr>
            </w:pPr>
            <w:r w:rsidRPr="00B53FFB">
              <w:rPr>
                <w:b/>
                <w:bCs/>
                <w:szCs w:val="22"/>
              </w:rPr>
              <w:t>(2.5 GHz)</w:t>
            </w:r>
          </w:p>
        </w:tc>
        <w:tc>
          <w:tcPr>
            <w:tcW w:w="1002" w:type="dxa"/>
            <w:tcBorders>
              <w:top w:val="single" w:sz="8" w:space="0" w:color="auto"/>
              <w:left w:val="nil"/>
              <w:bottom w:val="nil"/>
              <w:right w:val="single" w:sz="8" w:space="0" w:color="auto"/>
            </w:tcBorders>
            <w:noWrap/>
          </w:tcPr>
          <w:p w:rsidR="004A147C" w:rsidRPr="00B53FFB" w:rsidRDefault="004A147C" w:rsidP="00CE5850">
            <w:pPr>
              <w:jc w:val="center"/>
              <w:rPr>
                <w:b/>
                <w:bCs/>
                <w:szCs w:val="22"/>
              </w:rPr>
            </w:pPr>
            <w:r w:rsidRPr="00B53FFB">
              <w:rPr>
                <w:b/>
                <w:bCs/>
                <w:szCs w:val="22"/>
              </w:rPr>
              <w:t>EBS</w:t>
            </w:r>
          </w:p>
          <w:p w:rsidR="004A147C" w:rsidRPr="00B53FFB" w:rsidRDefault="004A147C" w:rsidP="00CE5850">
            <w:pPr>
              <w:jc w:val="center"/>
              <w:rPr>
                <w:b/>
                <w:kern w:val="0"/>
                <w:szCs w:val="22"/>
              </w:rPr>
            </w:pPr>
            <w:r w:rsidRPr="00B53FFB">
              <w:rPr>
                <w:b/>
                <w:bCs/>
                <w:szCs w:val="22"/>
              </w:rPr>
              <w:t>(2.5 GHz)</w:t>
            </w:r>
          </w:p>
        </w:tc>
      </w:tr>
      <w:tr w:rsidR="004A147C" w:rsidRPr="00B53FFB" w:rsidTr="003876FA">
        <w:trPr>
          <w:trHeight w:val="315"/>
          <w:jc w:val="center"/>
        </w:trPr>
        <w:tc>
          <w:tcPr>
            <w:tcW w:w="1631" w:type="dxa"/>
            <w:tcBorders>
              <w:top w:val="nil"/>
              <w:left w:val="single" w:sz="8" w:space="0" w:color="auto"/>
              <w:bottom w:val="single" w:sz="8" w:space="0" w:color="auto"/>
              <w:right w:val="nil"/>
            </w:tcBorders>
            <w:noWrap/>
            <w:vAlign w:val="bottom"/>
          </w:tcPr>
          <w:p w:rsidR="004A147C" w:rsidRPr="00B53FFB" w:rsidRDefault="004A147C" w:rsidP="00CE5850">
            <w:pPr>
              <w:rPr>
                <w:kern w:val="0"/>
                <w:szCs w:val="22"/>
              </w:rPr>
            </w:pPr>
            <w:r w:rsidRPr="00B53FFB">
              <w:rPr>
                <w:kern w:val="0"/>
                <w:szCs w:val="22"/>
              </w:rPr>
              <w:t>Verizon Wireless</w:t>
            </w:r>
          </w:p>
        </w:tc>
        <w:tc>
          <w:tcPr>
            <w:tcW w:w="1123" w:type="dxa"/>
            <w:tcBorders>
              <w:top w:val="single" w:sz="4" w:space="0" w:color="auto"/>
              <w:left w:val="single" w:sz="4" w:space="0" w:color="auto"/>
              <w:bottom w:val="single" w:sz="4" w:space="0" w:color="auto"/>
              <w:right w:val="single" w:sz="4" w:space="0" w:color="auto"/>
            </w:tcBorders>
            <w:noWrap/>
            <w:vAlign w:val="bottom"/>
          </w:tcPr>
          <w:p w:rsidR="004A147C" w:rsidRPr="00B53FFB" w:rsidRDefault="004A147C" w:rsidP="00CE5850">
            <w:pPr>
              <w:jc w:val="right"/>
              <w:rPr>
                <w:kern w:val="0"/>
                <w:szCs w:val="22"/>
              </w:rPr>
            </w:pPr>
            <w:r w:rsidRPr="00B53FFB">
              <w:rPr>
                <w:kern w:val="0"/>
                <w:szCs w:val="22"/>
              </w:rPr>
              <w:t>43.2%</w:t>
            </w:r>
          </w:p>
        </w:tc>
        <w:tc>
          <w:tcPr>
            <w:tcW w:w="1002" w:type="dxa"/>
            <w:tcBorders>
              <w:top w:val="single" w:sz="4" w:space="0" w:color="auto"/>
              <w:left w:val="nil"/>
              <w:bottom w:val="single" w:sz="4" w:space="0" w:color="auto"/>
              <w:right w:val="single" w:sz="4" w:space="0" w:color="auto"/>
            </w:tcBorders>
            <w:noWrap/>
            <w:vAlign w:val="bottom"/>
          </w:tcPr>
          <w:p w:rsidR="004A147C" w:rsidRPr="00B53FFB" w:rsidRDefault="004A147C" w:rsidP="00CE5850">
            <w:pPr>
              <w:jc w:val="right"/>
              <w:rPr>
                <w:kern w:val="0"/>
                <w:szCs w:val="22"/>
              </w:rPr>
            </w:pPr>
            <w:r w:rsidRPr="00B53FFB">
              <w:rPr>
                <w:kern w:val="0"/>
                <w:szCs w:val="22"/>
              </w:rPr>
              <w:t>49.2%</w:t>
            </w:r>
          </w:p>
        </w:tc>
        <w:tc>
          <w:tcPr>
            <w:tcW w:w="1002" w:type="dxa"/>
            <w:tcBorders>
              <w:top w:val="single" w:sz="4" w:space="0" w:color="auto"/>
              <w:left w:val="nil"/>
              <w:bottom w:val="single" w:sz="4" w:space="0" w:color="auto"/>
              <w:right w:val="single" w:sz="4" w:space="0" w:color="auto"/>
            </w:tcBorders>
            <w:noWrap/>
            <w:vAlign w:val="bottom"/>
          </w:tcPr>
          <w:p w:rsidR="004A147C" w:rsidRPr="00B53FFB" w:rsidRDefault="004A147C" w:rsidP="00CE5850">
            <w:pPr>
              <w:jc w:val="right"/>
              <w:rPr>
                <w:kern w:val="0"/>
                <w:szCs w:val="22"/>
              </w:rPr>
            </w:pPr>
            <w:r w:rsidRPr="00B53FFB">
              <w:rPr>
                <w:kern w:val="0"/>
                <w:szCs w:val="22"/>
              </w:rPr>
              <w:t>16.2%</w:t>
            </w:r>
          </w:p>
        </w:tc>
        <w:tc>
          <w:tcPr>
            <w:tcW w:w="1002" w:type="dxa"/>
            <w:tcBorders>
              <w:top w:val="single" w:sz="4" w:space="0" w:color="auto"/>
              <w:left w:val="nil"/>
              <w:bottom w:val="single" w:sz="4" w:space="0" w:color="auto"/>
              <w:right w:val="single" w:sz="4" w:space="0" w:color="auto"/>
            </w:tcBorders>
            <w:noWrap/>
            <w:vAlign w:val="bottom"/>
          </w:tcPr>
          <w:p w:rsidR="004A147C" w:rsidRPr="00B53FFB" w:rsidRDefault="004A147C" w:rsidP="00CE5850">
            <w:pPr>
              <w:jc w:val="right"/>
              <w:rPr>
                <w:kern w:val="0"/>
                <w:szCs w:val="22"/>
              </w:rPr>
            </w:pPr>
            <w:r w:rsidRPr="00B53FFB">
              <w:rPr>
                <w:kern w:val="0"/>
                <w:szCs w:val="22"/>
              </w:rPr>
              <w:t>36.0%</w:t>
            </w:r>
          </w:p>
        </w:tc>
        <w:tc>
          <w:tcPr>
            <w:tcW w:w="1002" w:type="dxa"/>
            <w:tcBorders>
              <w:top w:val="single" w:sz="4" w:space="0" w:color="auto"/>
              <w:left w:val="nil"/>
              <w:bottom w:val="single" w:sz="4" w:space="0" w:color="auto"/>
              <w:right w:val="single" w:sz="4" w:space="0" w:color="auto"/>
            </w:tcBorders>
            <w:noWrap/>
            <w:vAlign w:val="bottom"/>
          </w:tcPr>
          <w:p w:rsidR="004A147C" w:rsidRPr="00B53FFB" w:rsidRDefault="004A147C" w:rsidP="00CE5850">
            <w:pPr>
              <w:jc w:val="right"/>
              <w:rPr>
                <w:kern w:val="0"/>
                <w:szCs w:val="22"/>
              </w:rPr>
            </w:pPr>
            <w:r w:rsidRPr="00B53FFB">
              <w:rPr>
                <w:kern w:val="0"/>
                <w:szCs w:val="22"/>
              </w:rPr>
              <w:t>0.0%</w:t>
            </w:r>
          </w:p>
        </w:tc>
        <w:tc>
          <w:tcPr>
            <w:tcW w:w="1002" w:type="dxa"/>
            <w:tcBorders>
              <w:top w:val="single" w:sz="4" w:space="0" w:color="auto"/>
              <w:left w:val="nil"/>
              <w:bottom w:val="single" w:sz="4" w:space="0" w:color="auto"/>
              <w:right w:val="single" w:sz="4" w:space="0" w:color="auto"/>
            </w:tcBorders>
            <w:noWrap/>
            <w:vAlign w:val="bottom"/>
          </w:tcPr>
          <w:p w:rsidR="004A147C" w:rsidRPr="00B53FFB" w:rsidRDefault="004A147C" w:rsidP="00CE5850">
            <w:pPr>
              <w:jc w:val="right"/>
              <w:rPr>
                <w:kern w:val="0"/>
                <w:szCs w:val="22"/>
              </w:rPr>
            </w:pPr>
            <w:r w:rsidRPr="00B53FFB">
              <w:rPr>
                <w:kern w:val="0"/>
                <w:szCs w:val="22"/>
              </w:rPr>
              <w:t>0.0%</w:t>
            </w:r>
          </w:p>
        </w:tc>
      </w:tr>
      <w:tr w:rsidR="004A147C" w:rsidRPr="00B53FFB" w:rsidTr="003876FA">
        <w:trPr>
          <w:trHeight w:val="315"/>
          <w:jc w:val="center"/>
        </w:trPr>
        <w:tc>
          <w:tcPr>
            <w:tcW w:w="1631" w:type="dxa"/>
            <w:tcBorders>
              <w:top w:val="nil"/>
              <w:left w:val="single" w:sz="8" w:space="0" w:color="auto"/>
              <w:bottom w:val="single" w:sz="8" w:space="0" w:color="auto"/>
              <w:right w:val="nil"/>
            </w:tcBorders>
            <w:noWrap/>
            <w:vAlign w:val="bottom"/>
          </w:tcPr>
          <w:p w:rsidR="004A147C" w:rsidRPr="00B53FFB" w:rsidRDefault="004A147C" w:rsidP="00CE5850">
            <w:pPr>
              <w:rPr>
                <w:kern w:val="0"/>
                <w:szCs w:val="22"/>
              </w:rPr>
            </w:pPr>
            <w:r w:rsidRPr="00B53FFB">
              <w:rPr>
                <w:kern w:val="0"/>
                <w:szCs w:val="22"/>
              </w:rPr>
              <w:t>AT&amp;T</w:t>
            </w:r>
          </w:p>
        </w:tc>
        <w:tc>
          <w:tcPr>
            <w:tcW w:w="1123" w:type="dxa"/>
            <w:tcBorders>
              <w:top w:val="nil"/>
              <w:left w:val="single" w:sz="4" w:space="0" w:color="auto"/>
              <w:bottom w:val="single" w:sz="4" w:space="0" w:color="auto"/>
              <w:right w:val="single" w:sz="4" w:space="0" w:color="auto"/>
            </w:tcBorders>
            <w:noWrap/>
            <w:vAlign w:val="bottom"/>
          </w:tcPr>
          <w:p w:rsidR="004A147C" w:rsidRPr="00B53FFB" w:rsidRDefault="004A147C" w:rsidP="00CE5850">
            <w:pPr>
              <w:jc w:val="right"/>
              <w:rPr>
                <w:kern w:val="0"/>
                <w:szCs w:val="22"/>
              </w:rPr>
            </w:pPr>
            <w:r w:rsidRPr="00B53FFB">
              <w:rPr>
                <w:kern w:val="0"/>
                <w:szCs w:val="22"/>
              </w:rPr>
              <w:t>39.0%</w:t>
            </w:r>
          </w:p>
        </w:tc>
        <w:tc>
          <w:tcPr>
            <w:tcW w:w="1002" w:type="dxa"/>
            <w:tcBorders>
              <w:top w:val="nil"/>
              <w:left w:val="nil"/>
              <w:bottom w:val="single" w:sz="4" w:space="0" w:color="auto"/>
              <w:right w:val="single" w:sz="4" w:space="0" w:color="auto"/>
            </w:tcBorders>
            <w:noWrap/>
            <w:vAlign w:val="bottom"/>
          </w:tcPr>
          <w:p w:rsidR="004A147C" w:rsidRPr="00B53FFB" w:rsidRDefault="004A147C" w:rsidP="00CE5850">
            <w:pPr>
              <w:jc w:val="right"/>
              <w:rPr>
                <w:kern w:val="0"/>
                <w:szCs w:val="22"/>
              </w:rPr>
            </w:pPr>
            <w:r w:rsidRPr="00B53FFB">
              <w:rPr>
                <w:kern w:val="0"/>
                <w:szCs w:val="22"/>
              </w:rPr>
              <w:t>45.7%</w:t>
            </w:r>
          </w:p>
        </w:tc>
        <w:tc>
          <w:tcPr>
            <w:tcW w:w="1002" w:type="dxa"/>
            <w:tcBorders>
              <w:top w:val="nil"/>
              <w:left w:val="nil"/>
              <w:bottom w:val="single" w:sz="4" w:space="0" w:color="auto"/>
              <w:right w:val="single" w:sz="4" w:space="0" w:color="auto"/>
            </w:tcBorders>
            <w:noWrap/>
            <w:vAlign w:val="bottom"/>
          </w:tcPr>
          <w:p w:rsidR="004A147C" w:rsidRPr="00B53FFB" w:rsidRDefault="004A147C" w:rsidP="00CE5850">
            <w:pPr>
              <w:jc w:val="right"/>
              <w:rPr>
                <w:kern w:val="0"/>
                <w:szCs w:val="22"/>
              </w:rPr>
            </w:pPr>
            <w:r w:rsidRPr="00B53FFB">
              <w:rPr>
                <w:kern w:val="0"/>
                <w:szCs w:val="22"/>
              </w:rPr>
              <w:t>26.6%</w:t>
            </w:r>
          </w:p>
        </w:tc>
        <w:tc>
          <w:tcPr>
            <w:tcW w:w="1002" w:type="dxa"/>
            <w:tcBorders>
              <w:top w:val="nil"/>
              <w:left w:val="nil"/>
              <w:bottom w:val="single" w:sz="4" w:space="0" w:color="auto"/>
              <w:right w:val="single" w:sz="4" w:space="0" w:color="auto"/>
            </w:tcBorders>
            <w:noWrap/>
            <w:vAlign w:val="bottom"/>
          </w:tcPr>
          <w:p w:rsidR="004A147C" w:rsidRPr="00B53FFB" w:rsidRDefault="004A147C" w:rsidP="00CE5850">
            <w:pPr>
              <w:jc w:val="right"/>
              <w:rPr>
                <w:kern w:val="0"/>
                <w:szCs w:val="22"/>
              </w:rPr>
            </w:pPr>
            <w:r w:rsidRPr="00B53FFB">
              <w:rPr>
                <w:kern w:val="0"/>
                <w:szCs w:val="22"/>
              </w:rPr>
              <w:t>5.5%</w:t>
            </w:r>
          </w:p>
        </w:tc>
        <w:tc>
          <w:tcPr>
            <w:tcW w:w="1002" w:type="dxa"/>
            <w:tcBorders>
              <w:top w:val="nil"/>
              <w:left w:val="nil"/>
              <w:bottom w:val="single" w:sz="4" w:space="0" w:color="auto"/>
              <w:right w:val="single" w:sz="4" w:space="0" w:color="auto"/>
            </w:tcBorders>
            <w:noWrap/>
            <w:vAlign w:val="bottom"/>
          </w:tcPr>
          <w:p w:rsidR="004A147C" w:rsidRPr="00B53FFB" w:rsidRDefault="004A147C" w:rsidP="00CE5850">
            <w:pPr>
              <w:jc w:val="right"/>
              <w:rPr>
                <w:kern w:val="0"/>
                <w:szCs w:val="22"/>
              </w:rPr>
            </w:pPr>
            <w:r w:rsidRPr="00B53FFB">
              <w:rPr>
                <w:kern w:val="0"/>
                <w:szCs w:val="22"/>
              </w:rPr>
              <w:t>0.0%</w:t>
            </w:r>
          </w:p>
        </w:tc>
        <w:tc>
          <w:tcPr>
            <w:tcW w:w="1002" w:type="dxa"/>
            <w:tcBorders>
              <w:top w:val="nil"/>
              <w:left w:val="nil"/>
              <w:bottom w:val="single" w:sz="4" w:space="0" w:color="auto"/>
              <w:right w:val="single" w:sz="4" w:space="0" w:color="auto"/>
            </w:tcBorders>
            <w:noWrap/>
            <w:vAlign w:val="bottom"/>
          </w:tcPr>
          <w:p w:rsidR="004A147C" w:rsidRPr="00B53FFB" w:rsidRDefault="004A147C" w:rsidP="00CE5850">
            <w:pPr>
              <w:jc w:val="right"/>
              <w:rPr>
                <w:kern w:val="0"/>
                <w:szCs w:val="22"/>
              </w:rPr>
            </w:pPr>
            <w:r w:rsidRPr="00B53FFB">
              <w:rPr>
                <w:kern w:val="0"/>
                <w:szCs w:val="22"/>
              </w:rPr>
              <w:t>0.0%</w:t>
            </w:r>
          </w:p>
        </w:tc>
      </w:tr>
      <w:tr w:rsidR="004A147C" w:rsidRPr="00B53FFB" w:rsidTr="003876FA">
        <w:trPr>
          <w:trHeight w:val="315"/>
          <w:jc w:val="center"/>
        </w:trPr>
        <w:tc>
          <w:tcPr>
            <w:tcW w:w="1631" w:type="dxa"/>
            <w:tcBorders>
              <w:top w:val="nil"/>
              <w:left w:val="single" w:sz="8" w:space="0" w:color="auto"/>
              <w:bottom w:val="single" w:sz="8" w:space="0" w:color="auto"/>
              <w:right w:val="nil"/>
            </w:tcBorders>
            <w:noWrap/>
            <w:vAlign w:val="bottom"/>
          </w:tcPr>
          <w:p w:rsidR="004A147C" w:rsidRPr="00B53FFB" w:rsidRDefault="004A147C" w:rsidP="00CE5850">
            <w:pPr>
              <w:rPr>
                <w:kern w:val="0"/>
                <w:szCs w:val="22"/>
              </w:rPr>
            </w:pPr>
            <w:r w:rsidRPr="00B53FFB">
              <w:rPr>
                <w:kern w:val="0"/>
                <w:szCs w:val="22"/>
              </w:rPr>
              <w:t>Sprint Nextel</w:t>
            </w:r>
          </w:p>
        </w:tc>
        <w:tc>
          <w:tcPr>
            <w:tcW w:w="1123" w:type="dxa"/>
            <w:tcBorders>
              <w:top w:val="nil"/>
              <w:left w:val="single" w:sz="4" w:space="0" w:color="auto"/>
              <w:bottom w:val="single" w:sz="4" w:space="0" w:color="auto"/>
              <w:right w:val="single" w:sz="4" w:space="0" w:color="auto"/>
            </w:tcBorders>
            <w:noWrap/>
            <w:vAlign w:val="bottom"/>
          </w:tcPr>
          <w:p w:rsidR="004A147C" w:rsidRPr="00B53FFB" w:rsidRDefault="004A147C" w:rsidP="00CE5850">
            <w:pPr>
              <w:jc w:val="right"/>
              <w:rPr>
                <w:kern w:val="0"/>
                <w:szCs w:val="22"/>
              </w:rPr>
            </w:pPr>
            <w:r w:rsidRPr="00B53FFB">
              <w:rPr>
                <w:kern w:val="0"/>
                <w:szCs w:val="22"/>
              </w:rPr>
              <w:t>0.0%</w:t>
            </w:r>
          </w:p>
        </w:tc>
        <w:tc>
          <w:tcPr>
            <w:tcW w:w="1002" w:type="dxa"/>
            <w:tcBorders>
              <w:top w:val="nil"/>
              <w:left w:val="nil"/>
              <w:bottom w:val="single" w:sz="4" w:space="0" w:color="auto"/>
              <w:right w:val="single" w:sz="4" w:space="0" w:color="auto"/>
            </w:tcBorders>
            <w:noWrap/>
            <w:vAlign w:val="bottom"/>
          </w:tcPr>
          <w:p w:rsidR="004A147C" w:rsidRPr="00B53FFB" w:rsidRDefault="004A147C" w:rsidP="00CE5850">
            <w:pPr>
              <w:jc w:val="right"/>
              <w:rPr>
                <w:kern w:val="0"/>
                <w:szCs w:val="22"/>
              </w:rPr>
            </w:pPr>
            <w:r w:rsidRPr="00B53FFB">
              <w:rPr>
                <w:kern w:val="0"/>
                <w:szCs w:val="22"/>
              </w:rPr>
              <w:t>0.0%</w:t>
            </w:r>
          </w:p>
        </w:tc>
        <w:tc>
          <w:tcPr>
            <w:tcW w:w="1002" w:type="dxa"/>
            <w:tcBorders>
              <w:top w:val="nil"/>
              <w:left w:val="nil"/>
              <w:bottom w:val="single" w:sz="4" w:space="0" w:color="auto"/>
              <w:right w:val="single" w:sz="4" w:space="0" w:color="auto"/>
            </w:tcBorders>
            <w:noWrap/>
            <w:vAlign w:val="bottom"/>
          </w:tcPr>
          <w:p w:rsidR="004A147C" w:rsidRPr="00B53FFB" w:rsidRDefault="004A147C" w:rsidP="00CE5850">
            <w:pPr>
              <w:jc w:val="right"/>
              <w:rPr>
                <w:kern w:val="0"/>
                <w:szCs w:val="22"/>
              </w:rPr>
            </w:pPr>
            <w:r w:rsidRPr="00B53FFB">
              <w:rPr>
                <w:kern w:val="0"/>
                <w:szCs w:val="22"/>
              </w:rPr>
              <w:t>27.2%</w:t>
            </w:r>
          </w:p>
        </w:tc>
        <w:tc>
          <w:tcPr>
            <w:tcW w:w="1002" w:type="dxa"/>
            <w:tcBorders>
              <w:top w:val="nil"/>
              <w:left w:val="nil"/>
              <w:bottom w:val="single" w:sz="4" w:space="0" w:color="auto"/>
              <w:right w:val="single" w:sz="4" w:space="0" w:color="auto"/>
            </w:tcBorders>
            <w:noWrap/>
            <w:vAlign w:val="bottom"/>
          </w:tcPr>
          <w:p w:rsidR="004A147C" w:rsidRPr="00B53FFB" w:rsidRDefault="004A147C" w:rsidP="00CE5850">
            <w:pPr>
              <w:jc w:val="right"/>
              <w:rPr>
                <w:kern w:val="0"/>
                <w:szCs w:val="22"/>
              </w:rPr>
            </w:pPr>
            <w:r w:rsidRPr="00B53FFB">
              <w:rPr>
                <w:kern w:val="0"/>
                <w:szCs w:val="22"/>
              </w:rPr>
              <w:t>0.0%</w:t>
            </w:r>
          </w:p>
        </w:tc>
        <w:tc>
          <w:tcPr>
            <w:tcW w:w="1002" w:type="dxa"/>
            <w:tcBorders>
              <w:top w:val="nil"/>
              <w:left w:val="nil"/>
              <w:bottom w:val="single" w:sz="4" w:space="0" w:color="auto"/>
              <w:right w:val="single" w:sz="4" w:space="0" w:color="auto"/>
            </w:tcBorders>
            <w:noWrap/>
            <w:vAlign w:val="bottom"/>
          </w:tcPr>
          <w:p w:rsidR="004A147C" w:rsidRPr="00B53FFB" w:rsidRDefault="004A147C" w:rsidP="00CE5850">
            <w:pPr>
              <w:jc w:val="right"/>
              <w:rPr>
                <w:kern w:val="0"/>
                <w:szCs w:val="22"/>
              </w:rPr>
            </w:pPr>
            <w:r w:rsidRPr="00B53FFB">
              <w:rPr>
                <w:kern w:val="0"/>
                <w:szCs w:val="22"/>
              </w:rPr>
              <w:t>0.0%</w:t>
            </w:r>
          </w:p>
        </w:tc>
        <w:tc>
          <w:tcPr>
            <w:tcW w:w="1002" w:type="dxa"/>
            <w:tcBorders>
              <w:top w:val="nil"/>
              <w:left w:val="nil"/>
              <w:bottom w:val="single" w:sz="4" w:space="0" w:color="auto"/>
              <w:right w:val="single" w:sz="4" w:space="0" w:color="auto"/>
            </w:tcBorders>
            <w:noWrap/>
            <w:vAlign w:val="bottom"/>
          </w:tcPr>
          <w:p w:rsidR="004A147C" w:rsidRPr="00B53FFB" w:rsidRDefault="004A147C" w:rsidP="00CE5850">
            <w:pPr>
              <w:jc w:val="right"/>
              <w:rPr>
                <w:kern w:val="0"/>
                <w:szCs w:val="22"/>
              </w:rPr>
            </w:pPr>
            <w:r w:rsidRPr="00B53FFB">
              <w:rPr>
                <w:kern w:val="0"/>
                <w:szCs w:val="22"/>
              </w:rPr>
              <w:t>0.0%</w:t>
            </w:r>
          </w:p>
        </w:tc>
      </w:tr>
      <w:tr w:rsidR="004A147C" w:rsidRPr="00B53FFB" w:rsidTr="003876FA">
        <w:trPr>
          <w:trHeight w:val="315"/>
          <w:jc w:val="center"/>
        </w:trPr>
        <w:tc>
          <w:tcPr>
            <w:tcW w:w="1631" w:type="dxa"/>
            <w:tcBorders>
              <w:top w:val="nil"/>
              <w:left w:val="single" w:sz="8" w:space="0" w:color="auto"/>
              <w:bottom w:val="single" w:sz="8" w:space="0" w:color="auto"/>
              <w:right w:val="nil"/>
            </w:tcBorders>
            <w:noWrap/>
            <w:vAlign w:val="bottom"/>
          </w:tcPr>
          <w:p w:rsidR="004A147C" w:rsidRPr="00B53FFB" w:rsidRDefault="004A147C" w:rsidP="00CE5850">
            <w:pPr>
              <w:rPr>
                <w:kern w:val="0"/>
                <w:szCs w:val="22"/>
              </w:rPr>
            </w:pPr>
            <w:r w:rsidRPr="00B53FFB">
              <w:rPr>
                <w:kern w:val="0"/>
                <w:szCs w:val="22"/>
              </w:rPr>
              <w:t>Clearwire</w:t>
            </w:r>
          </w:p>
        </w:tc>
        <w:tc>
          <w:tcPr>
            <w:tcW w:w="1123" w:type="dxa"/>
            <w:tcBorders>
              <w:top w:val="nil"/>
              <w:left w:val="single" w:sz="4" w:space="0" w:color="auto"/>
              <w:bottom w:val="single" w:sz="4" w:space="0" w:color="auto"/>
              <w:right w:val="single" w:sz="4" w:space="0" w:color="auto"/>
            </w:tcBorders>
            <w:noWrap/>
            <w:vAlign w:val="bottom"/>
          </w:tcPr>
          <w:p w:rsidR="004A147C" w:rsidRPr="00B53FFB" w:rsidRDefault="004A147C" w:rsidP="00CE5850">
            <w:pPr>
              <w:jc w:val="right"/>
              <w:rPr>
                <w:kern w:val="0"/>
                <w:szCs w:val="22"/>
              </w:rPr>
            </w:pPr>
            <w:r w:rsidRPr="00B53FFB">
              <w:rPr>
                <w:kern w:val="0"/>
                <w:szCs w:val="22"/>
              </w:rPr>
              <w:t>0.0%</w:t>
            </w:r>
          </w:p>
        </w:tc>
        <w:tc>
          <w:tcPr>
            <w:tcW w:w="1002" w:type="dxa"/>
            <w:tcBorders>
              <w:top w:val="nil"/>
              <w:left w:val="nil"/>
              <w:bottom w:val="single" w:sz="4" w:space="0" w:color="auto"/>
              <w:right w:val="single" w:sz="4" w:space="0" w:color="auto"/>
            </w:tcBorders>
            <w:noWrap/>
            <w:vAlign w:val="bottom"/>
          </w:tcPr>
          <w:p w:rsidR="004A147C" w:rsidRPr="00B53FFB" w:rsidRDefault="004A147C" w:rsidP="00CE5850">
            <w:pPr>
              <w:jc w:val="right"/>
              <w:rPr>
                <w:kern w:val="0"/>
                <w:szCs w:val="22"/>
              </w:rPr>
            </w:pPr>
            <w:r w:rsidRPr="00B53FFB">
              <w:rPr>
                <w:kern w:val="0"/>
                <w:szCs w:val="22"/>
              </w:rPr>
              <w:t>0.0%</w:t>
            </w:r>
          </w:p>
        </w:tc>
        <w:tc>
          <w:tcPr>
            <w:tcW w:w="1002" w:type="dxa"/>
            <w:tcBorders>
              <w:top w:val="nil"/>
              <w:left w:val="nil"/>
              <w:bottom w:val="single" w:sz="4" w:space="0" w:color="auto"/>
              <w:right w:val="single" w:sz="4" w:space="0" w:color="auto"/>
            </w:tcBorders>
            <w:noWrap/>
            <w:vAlign w:val="bottom"/>
          </w:tcPr>
          <w:p w:rsidR="004A147C" w:rsidRPr="00B53FFB" w:rsidRDefault="004A147C" w:rsidP="00CE5850">
            <w:pPr>
              <w:jc w:val="right"/>
              <w:rPr>
                <w:kern w:val="0"/>
                <w:szCs w:val="22"/>
              </w:rPr>
            </w:pPr>
            <w:r w:rsidRPr="00B53FFB">
              <w:rPr>
                <w:kern w:val="0"/>
                <w:szCs w:val="22"/>
              </w:rPr>
              <w:t>0.0%</w:t>
            </w:r>
          </w:p>
        </w:tc>
        <w:tc>
          <w:tcPr>
            <w:tcW w:w="1002" w:type="dxa"/>
            <w:tcBorders>
              <w:top w:val="nil"/>
              <w:left w:val="nil"/>
              <w:bottom w:val="single" w:sz="4" w:space="0" w:color="auto"/>
              <w:right w:val="single" w:sz="4" w:space="0" w:color="auto"/>
            </w:tcBorders>
            <w:noWrap/>
            <w:vAlign w:val="bottom"/>
          </w:tcPr>
          <w:p w:rsidR="004A147C" w:rsidRPr="00B53FFB" w:rsidRDefault="004A147C" w:rsidP="00CE5850">
            <w:pPr>
              <w:jc w:val="right"/>
              <w:rPr>
                <w:kern w:val="0"/>
                <w:szCs w:val="22"/>
              </w:rPr>
            </w:pPr>
            <w:r w:rsidRPr="00B53FFB">
              <w:rPr>
                <w:kern w:val="0"/>
                <w:szCs w:val="22"/>
              </w:rPr>
              <w:t>0.0%</w:t>
            </w:r>
          </w:p>
        </w:tc>
        <w:tc>
          <w:tcPr>
            <w:tcW w:w="1002" w:type="dxa"/>
            <w:tcBorders>
              <w:top w:val="nil"/>
              <w:left w:val="nil"/>
              <w:bottom w:val="single" w:sz="4" w:space="0" w:color="auto"/>
              <w:right w:val="single" w:sz="4" w:space="0" w:color="auto"/>
            </w:tcBorders>
            <w:noWrap/>
            <w:vAlign w:val="bottom"/>
          </w:tcPr>
          <w:p w:rsidR="004A147C" w:rsidRPr="00B53FFB" w:rsidRDefault="004A147C" w:rsidP="00CE5850">
            <w:pPr>
              <w:jc w:val="right"/>
              <w:rPr>
                <w:kern w:val="0"/>
                <w:szCs w:val="22"/>
              </w:rPr>
            </w:pPr>
            <w:r w:rsidRPr="00B53FFB">
              <w:rPr>
                <w:kern w:val="0"/>
                <w:szCs w:val="22"/>
              </w:rPr>
              <w:t>88.7%</w:t>
            </w:r>
          </w:p>
        </w:tc>
        <w:tc>
          <w:tcPr>
            <w:tcW w:w="1002" w:type="dxa"/>
            <w:tcBorders>
              <w:top w:val="nil"/>
              <w:left w:val="nil"/>
              <w:bottom w:val="single" w:sz="4" w:space="0" w:color="auto"/>
              <w:right w:val="single" w:sz="4" w:space="0" w:color="auto"/>
            </w:tcBorders>
            <w:noWrap/>
            <w:vAlign w:val="bottom"/>
          </w:tcPr>
          <w:p w:rsidR="004A147C" w:rsidRPr="00B53FFB" w:rsidRDefault="004A147C" w:rsidP="00CE5850">
            <w:pPr>
              <w:jc w:val="right"/>
              <w:rPr>
                <w:kern w:val="0"/>
                <w:szCs w:val="22"/>
              </w:rPr>
            </w:pPr>
            <w:r w:rsidRPr="00B53FFB">
              <w:rPr>
                <w:kern w:val="0"/>
                <w:szCs w:val="22"/>
              </w:rPr>
              <w:t>68.5%</w:t>
            </w:r>
          </w:p>
        </w:tc>
      </w:tr>
      <w:tr w:rsidR="004A147C" w:rsidRPr="00B53FFB" w:rsidTr="003876FA">
        <w:trPr>
          <w:trHeight w:val="315"/>
          <w:jc w:val="center"/>
        </w:trPr>
        <w:tc>
          <w:tcPr>
            <w:tcW w:w="1631" w:type="dxa"/>
            <w:tcBorders>
              <w:top w:val="nil"/>
              <w:left w:val="single" w:sz="8" w:space="0" w:color="auto"/>
              <w:bottom w:val="single" w:sz="8" w:space="0" w:color="auto"/>
              <w:right w:val="nil"/>
            </w:tcBorders>
            <w:noWrap/>
            <w:vAlign w:val="bottom"/>
          </w:tcPr>
          <w:p w:rsidR="004A147C" w:rsidRPr="00B53FFB" w:rsidRDefault="004A147C" w:rsidP="00CE5850">
            <w:pPr>
              <w:rPr>
                <w:kern w:val="0"/>
                <w:szCs w:val="22"/>
              </w:rPr>
            </w:pPr>
            <w:r w:rsidRPr="00B53FFB">
              <w:rPr>
                <w:kern w:val="0"/>
                <w:szCs w:val="22"/>
              </w:rPr>
              <w:t>T-Mobile</w:t>
            </w:r>
          </w:p>
        </w:tc>
        <w:tc>
          <w:tcPr>
            <w:tcW w:w="1123" w:type="dxa"/>
            <w:tcBorders>
              <w:top w:val="nil"/>
              <w:left w:val="single" w:sz="4" w:space="0" w:color="auto"/>
              <w:bottom w:val="single" w:sz="4" w:space="0" w:color="auto"/>
              <w:right w:val="single" w:sz="4" w:space="0" w:color="auto"/>
            </w:tcBorders>
            <w:noWrap/>
            <w:vAlign w:val="bottom"/>
          </w:tcPr>
          <w:p w:rsidR="004A147C" w:rsidRPr="00B53FFB" w:rsidRDefault="004A147C" w:rsidP="00CE5850">
            <w:pPr>
              <w:jc w:val="right"/>
              <w:rPr>
                <w:kern w:val="0"/>
                <w:szCs w:val="22"/>
              </w:rPr>
            </w:pPr>
            <w:r w:rsidRPr="00B53FFB">
              <w:rPr>
                <w:kern w:val="0"/>
                <w:szCs w:val="22"/>
              </w:rPr>
              <w:t>0.0%</w:t>
            </w:r>
          </w:p>
        </w:tc>
        <w:tc>
          <w:tcPr>
            <w:tcW w:w="1002" w:type="dxa"/>
            <w:tcBorders>
              <w:top w:val="nil"/>
              <w:left w:val="nil"/>
              <w:bottom w:val="single" w:sz="4" w:space="0" w:color="auto"/>
              <w:right w:val="single" w:sz="4" w:space="0" w:color="auto"/>
            </w:tcBorders>
            <w:noWrap/>
            <w:vAlign w:val="bottom"/>
          </w:tcPr>
          <w:p w:rsidR="004A147C" w:rsidRPr="00B53FFB" w:rsidRDefault="004A147C" w:rsidP="00CE5850">
            <w:pPr>
              <w:jc w:val="right"/>
              <w:rPr>
                <w:kern w:val="0"/>
                <w:szCs w:val="22"/>
              </w:rPr>
            </w:pPr>
            <w:r w:rsidRPr="00B53FFB">
              <w:rPr>
                <w:kern w:val="0"/>
                <w:szCs w:val="22"/>
              </w:rPr>
              <w:t>0.1%</w:t>
            </w:r>
          </w:p>
        </w:tc>
        <w:tc>
          <w:tcPr>
            <w:tcW w:w="1002" w:type="dxa"/>
            <w:tcBorders>
              <w:top w:val="nil"/>
              <w:left w:val="nil"/>
              <w:bottom w:val="single" w:sz="4" w:space="0" w:color="auto"/>
              <w:right w:val="single" w:sz="4" w:space="0" w:color="auto"/>
            </w:tcBorders>
            <w:noWrap/>
            <w:vAlign w:val="bottom"/>
          </w:tcPr>
          <w:p w:rsidR="004A147C" w:rsidRPr="00B53FFB" w:rsidRDefault="004A147C" w:rsidP="00CE5850">
            <w:pPr>
              <w:jc w:val="right"/>
              <w:rPr>
                <w:kern w:val="0"/>
                <w:szCs w:val="22"/>
              </w:rPr>
            </w:pPr>
            <w:r w:rsidRPr="00B53FFB">
              <w:rPr>
                <w:kern w:val="0"/>
                <w:szCs w:val="22"/>
              </w:rPr>
              <w:t>20.0%</w:t>
            </w:r>
          </w:p>
        </w:tc>
        <w:tc>
          <w:tcPr>
            <w:tcW w:w="1002" w:type="dxa"/>
            <w:tcBorders>
              <w:top w:val="nil"/>
              <w:left w:val="nil"/>
              <w:bottom w:val="single" w:sz="4" w:space="0" w:color="auto"/>
              <w:right w:val="single" w:sz="4" w:space="0" w:color="auto"/>
            </w:tcBorders>
            <w:noWrap/>
            <w:vAlign w:val="bottom"/>
          </w:tcPr>
          <w:p w:rsidR="004A147C" w:rsidRPr="00B53FFB" w:rsidRDefault="004A147C" w:rsidP="00CE5850">
            <w:pPr>
              <w:jc w:val="right"/>
              <w:rPr>
                <w:kern w:val="0"/>
                <w:szCs w:val="22"/>
              </w:rPr>
            </w:pPr>
            <w:r w:rsidRPr="00B53FFB">
              <w:rPr>
                <w:kern w:val="0"/>
                <w:szCs w:val="22"/>
              </w:rPr>
              <w:t>36.4%</w:t>
            </w:r>
          </w:p>
        </w:tc>
        <w:tc>
          <w:tcPr>
            <w:tcW w:w="1002" w:type="dxa"/>
            <w:tcBorders>
              <w:top w:val="nil"/>
              <w:left w:val="nil"/>
              <w:bottom w:val="single" w:sz="4" w:space="0" w:color="auto"/>
              <w:right w:val="single" w:sz="4" w:space="0" w:color="auto"/>
            </w:tcBorders>
            <w:noWrap/>
            <w:vAlign w:val="bottom"/>
          </w:tcPr>
          <w:p w:rsidR="004A147C" w:rsidRPr="00B53FFB" w:rsidRDefault="004A147C" w:rsidP="00CE5850">
            <w:pPr>
              <w:jc w:val="right"/>
              <w:rPr>
                <w:kern w:val="0"/>
                <w:szCs w:val="22"/>
              </w:rPr>
            </w:pPr>
            <w:r w:rsidRPr="00B53FFB">
              <w:rPr>
                <w:kern w:val="0"/>
                <w:szCs w:val="22"/>
              </w:rPr>
              <w:t>0.0%</w:t>
            </w:r>
          </w:p>
        </w:tc>
        <w:tc>
          <w:tcPr>
            <w:tcW w:w="1002" w:type="dxa"/>
            <w:tcBorders>
              <w:top w:val="nil"/>
              <w:left w:val="nil"/>
              <w:bottom w:val="single" w:sz="4" w:space="0" w:color="auto"/>
              <w:right w:val="single" w:sz="4" w:space="0" w:color="auto"/>
            </w:tcBorders>
            <w:noWrap/>
            <w:vAlign w:val="bottom"/>
          </w:tcPr>
          <w:p w:rsidR="004A147C" w:rsidRPr="00B53FFB" w:rsidRDefault="004A147C" w:rsidP="00CE5850">
            <w:pPr>
              <w:jc w:val="right"/>
              <w:rPr>
                <w:kern w:val="0"/>
                <w:szCs w:val="22"/>
              </w:rPr>
            </w:pPr>
            <w:r w:rsidRPr="00B53FFB">
              <w:rPr>
                <w:kern w:val="0"/>
                <w:szCs w:val="22"/>
              </w:rPr>
              <w:t>0.0%</w:t>
            </w:r>
          </w:p>
        </w:tc>
      </w:tr>
      <w:tr w:rsidR="004A147C" w:rsidRPr="00B53FFB" w:rsidTr="003876FA">
        <w:trPr>
          <w:trHeight w:val="315"/>
          <w:jc w:val="center"/>
        </w:trPr>
        <w:tc>
          <w:tcPr>
            <w:tcW w:w="1631" w:type="dxa"/>
            <w:tcBorders>
              <w:top w:val="nil"/>
              <w:left w:val="single" w:sz="8" w:space="0" w:color="auto"/>
              <w:bottom w:val="single" w:sz="8" w:space="0" w:color="auto"/>
              <w:right w:val="nil"/>
            </w:tcBorders>
            <w:noWrap/>
            <w:vAlign w:val="bottom"/>
          </w:tcPr>
          <w:p w:rsidR="004A147C" w:rsidRPr="00B53FFB" w:rsidRDefault="004A147C" w:rsidP="00CE5850">
            <w:pPr>
              <w:rPr>
                <w:kern w:val="0"/>
                <w:szCs w:val="22"/>
              </w:rPr>
            </w:pPr>
            <w:r w:rsidRPr="00B53FFB">
              <w:rPr>
                <w:kern w:val="0"/>
                <w:szCs w:val="22"/>
              </w:rPr>
              <w:t>MetroPCS</w:t>
            </w:r>
          </w:p>
        </w:tc>
        <w:tc>
          <w:tcPr>
            <w:tcW w:w="1123" w:type="dxa"/>
            <w:tcBorders>
              <w:top w:val="nil"/>
              <w:left w:val="single" w:sz="4" w:space="0" w:color="auto"/>
              <w:bottom w:val="single" w:sz="4" w:space="0" w:color="auto"/>
              <w:right w:val="single" w:sz="4" w:space="0" w:color="auto"/>
            </w:tcBorders>
            <w:noWrap/>
            <w:vAlign w:val="bottom"/>
          </w:tcPr>
          <w:p w:rsidR="004A147C" w:rsidRPr="00B53FFB" w:rsidRDefault="004A147C" w:rsidP="00CE5850">
            <w:pPr>
              <w:jc w:val="right"/>
              <w:rPr>
                <w:kern w:val="0"/>
                <w:szCs w:val="22"/>
              </w:rPr>
            </w:pPr>
            <w:r w:rsidRPr="00B53FFB">
              <w:rPr>
                <w:kern w:val="0"/>
                <w:szCs w:val="22"/>
              </w:rPr>
              <w:t>0.5%</w:t>
            </w:r>
          </w:p>
        </w:tc>
        <w:tc>
          <w:tcPr>
            <w:tcW w:w="1002" w:type="dxa"/>
            <w:tcBorders>
              <w:top w:val="nil"/>
              <w:left w:val="nil"/>
              <w:bottom w:val="single" w:sz="4" w:space="0" w:color="auto"/>
              <w:right w:val="single" w:sz="4" w:space="0" w:color="auto"/>
            </w:tcBorders>
            <w:noWrap/>
            <w:vAlign w:val="bottom"/>
          </w:tcPr>
          <w:p w:rsidR="004A147C" w:rsidRPr="00B53FFB" w:rsidRDefault="004A147C" w:rsidP="00CE5850">
            <w:pPr>
              <w:jc w:val="right"/>
              <w:rPr>
                <w:kern w:val="0"/>
                <w:szCs w:val="22"/>
              </w:rPr>
            </w:pPr>
            <w:r w:rsidRPr="00B53FFB">
              <w:rPr>
                <w:kern w:val="0"/>
                <w:szCs w:val="22"/>
              </w:rPr>
              <w:t>0.0%</w:t>
            </w:r>
          </w:p>
        </w:tc>
        <w:tc>
          <w:tcPr>
            <w:tcW w:w="1002" w:type="dxa"/>
            <w:tcBorders>
              <w:top w:val="nil"/>
              <w:left w:val="nil"/>
              <w:bottom w:val="single" w:sz="4" w:space="0" w:color="auto"/>
              <w:right w:val="single" w:sz="4" w:space="0" w:color="auto"/>
            </w:tcBorders>
            <w:noWrap/>
            <w:vAlign w:val="bottom"/>
          </w:tcPr>
          <w:p w:rsidR="004A147C" w:rsidRPr="00B53FFB" w:rsidRDefault="004A147C" w:rsidP="00CE5850">
            <w:pPr>
              <w:jc w:val="right"/>
              <w:rPr>
                <w:kern w:val="0"/>
                <w:szCs w:val="22"/>
              </w:rPr>
            </w:pPr>
            <w:r w:rsidRPr="00B53FFB">
              <w:rPr>
                <w:kern w:val="0"/>
                <w:szCs w:val="22"/>
              </w:rPr>
              <w:t>3.1%</w:t>
            </w:r>
          </w:p>
        </w:tc>
        <w:tc>
          <w:tcPr>
            <w:tcW w:w="1002" w:type="dxa"/>
            <w:tcBorders>
              <w:top w:val="nil"/>
              <w:left w:val="nil"/>
              <w:bottom w:val="single" w:sz="4" w:space="0" w:color="auto"/>
              <w:right w:val="single" w:sz="4" w:space="0" w:color="auto"/>
            </w:tcBorders>
            <w:noWrap/>
            <w:vAlign w:val="bottom"/>
          </w:tcPr>
          <w:p w:rsidR="004A147C" w:rsidRPr="00B53FFB" w:rsidRDefault="004A147C" w:rsidP="00CE5850">
            <w:pPr>
              <w:jc w:val="right"/>
              <w:rPr>
                <w:kern w:val="0"/>
                <w:szCs w:val="22"/>
              </w:rPr>
            </w:pPr>
            <w:r w:rsidRPr="00B53FFB">
              <w:rPr>
                <w:kern w:val="0"/>
                <w:szCs w:val="22"/>
              </w:rPr>
              <w:t>6.6%</w:t>
            </w:r>
          </w:p>
        </w:tc>
        <w:tc>
          <w:tcPr>
            <w:tcW w:w="1002" w:type="dxa"/>
            <w:tcBorders>
              <w:top w:val="nil"/>
              <w:left w:val="nil"/>
              <w:bottom w:val="single" w:sz="4" w:space="0" w:color="auto"/>
              <w:right w:val="single" w:sz="4" w:space="0" w:color="auto"/>
            </w:tcBorders>
            <w:noWrap/>
            <w:vAlign w:val="bottom"/>
          </w:tcPr>
          <w:p w:rsidR="004A147C" w:rsidRPr="00B53FFB" w:rsidRDefault="004A147C" w:rsidP="00CE5850">
            <w:pPr>
              <w:jc w:val="right"/>
              <w:rPr>
                <w:kern w:val="0"/>
                <w:szCs w:val="22"/>
              </w:rPr>
            </w:pPr>
            <w:r w:rsidRPr="00B53FFB">
              <w:rPr>
                <w:kern w:val="0"/>
                <w:szCs w:val="22"/>
              </w:rPr>
              <w:t>0.0%</w:t>
            </w:r>
          </w:p>
        </w:tc>
        <w:tc>
          <w:tcPr>
            <w:tcW w:w="1002" w:type="dxa"/>
            <w:tcBorders>
              <w:top w:val="nil"/>
              <w:left w:val="nil"/>
              <w:bottom w:val="single" w:sz="4" w:space="0" w:color="auto"/>
              <w:right w:val="single" w:sz="4" w:space="0" w:color="auto"/>
            </w:tcBorders>
            <w:noWrap/>
            <w:vAlign w:val="bottom"/>
          </w:tcPr>
          <w:p w:rsidR="004A147C" w:rsidRPr="00B53FFB" w:rsidRDefault="004A147C" w:rsidP="00CE5850">
            <w:pPr>
              <w:jc w:val="right"/>
              <w:rPr>
                <w:kern w:val="0"/>
                <w:szCs w:val="22"/>
              </w:rPr>
            </w:pPr>
            <w:r w:rsidRPr="00B53FFB">
              <w:rPr>
                <w:kern w:val="0"/>
                <w:szCs w:val="22"/>
              </w:rPr>
              <w:t>0.0%</w:t>
            </w:r>
          </w:p>
        </w:tc>
      </w:tr>
      <w:tr w:rsidR="004A147C" w:rsidRPr="00B53FFB" w:rsidTr="003876FA">
        <w:trPr>
          <w:trHeight w:val="315"/>
          <w:jc w:val="center"/>
        </w:trPr>
        <w:tc>
          <w:tcPr>
            <w:tcW w:w="1631" w:type="dxa"/>
            <w:tcBorders>
              <w:top w:val="nil"/>
              <w:left w:val="single" w:sz="8" w:space="0" w:color="auto"/>
              <w:bottom w:val="single" w:sz="8" w:space="0" w:color="auto"/>
              <w:right w:val="nil"/>
            </w:tcBorders>
            <w:noWrap/>
            <w:vAlign w:val="bottom"/>
          </w:tcPr>
          <w:p w:rsidR="004A147C" w:rsidRPr="00B53FFB" w:rsidRDefault="004A147C" w:rsidP="00CE5850">
            <w:pPr>
              <w:rPr>
                <w:kern w:val="0"/>
                <w:szCs w:val="22"/>
              </w:rPr>
            </w:pPr>
            <w:r w:rsidRPr="00B53FFB">
              <w:rPr>
                <w:kern w:val="0"/>
                <w:szCs w:val="22"/>
              </w:rPr>
              <w:t>US Cellular</w:t>
            </w:r>
          </w:p>
        </w:tc>
        <w:tc>
          <w:tcPr>
            <w:tcW w:w="1123" w:type="dxa"/>
            <w:tcBorders>
              <w:top w:val="nil"/>
              <w:left w:val="single" w:sz="4" w:space="0" w:color="auto"/>
              <w:bottom w:val="single" w:sz="4" w:space="0" w:color="auto"/>
              <w:right w:val="single" w:sz="4" w:space="0" w:color="auto"/>
            </w:tcBorders>
            <w:noWrap/>
            <w:vAlign w:val="bottom"/>
          </w:tcPr>
          <w:p w:rsidR="004A147C" w:rsidRPr="00B53FFB" w:rsidRDefault="004A147C" w:rsidP="00CE5850">
            <w:pPr>
              <w:jc w:val="right"/>
              <w:rPr>
                <w:kern w:val="0"/>
                <w:szCs w:val="22"/>
              </w:rPr>
            </w:pPr>
            <w:r w:rsidRPr="00B53FFB">
              <w:rPr>
                <w:kern w:val="0"/>
                <w:szCs w:val="22"/>
              </w:rPr>
              <w:t>1.8%</w:t>
            </w:r>
          </w:p>
        </w:tc>
        <w:tc>
          <w:tcPr>
            <w:tcW w:w="1002" w:type="dxa"/>
            <w:tcBorders>
              <w:top w:val="nil"/>
              <w:left w:val="nil"/>
              <w:bottom w:val="single" w:sz="4" w:space="0" w:color="auto"/>
              <w:right w:val="single" w:sz="4" w:space="0" w:color="auto"/>
            </w:tcBorders>
            <w:noWrap/>
            <w:vAlign w:val="bottom"/>
          </w:tcPr>
          <w:p w:rsidR="004A147C" w:rsidRPr="00B53FFB" w:rsidRDefault="004A147C" w:rsidP="00CE5850">
            <w:pPr>
              <w:jc w:val="right"/>
              <w:rPr>
                <w:kern w:val="0"/>
                <w:szCs w:val="22"/>
              </w:rPr>
            </w:pPr>
            <w:r w:rsidRPr="00B53FFB">
              <w:rPr>
                <w:kern w:val="0"/>
                <w:szCs w:val="22"/>
              </w:rPr>
              <w:t>2.8%</w:t>
            </w:r>
          </w:p>
        </w:tc>
        <w:tc>
          <w:tcPr>
            <w:tcW w:w="1002" w:type="dxa"/>
            <w:tcBorders>
              <w:top w:val="nil"/>
              <w:left w:val="nil"/>
              <w:bottom w:val="single" w:sz="4" w:space="0" w:color="auto"/>
              <w:right w:val="single" w:sz="4" w:space="0" w:color="auto"/>
            </w:tcBorders>
            <w:noWrap/>
            <w:vAlign w:val="bottom"/>
          </w:tcPr>
          <w:p w:rsidR="004A147C" w:rsidRPr="00B53FFB" w:rsidRDefault="004A147C" w:rsidP="00CE5850">
            <w:pPr>
              <w:jc w:val="right"/>
              <w:rPr>
                <w:kern w:val="0"/>
                <w:szCs w:val="22"/>
              </w:rPr>
            </w:pPr>
            <w:r w:rsidRPr="00B53FFB">
              <w:rPr>
                <w:kern w:val="0"/>
                <w:szCs w:val="22"/>
              </w:rPr>
              <w:t>1.9%</w:t>
            </w:r>
          </w:p>
        </w:tc>
        <w:tc>
          <w:tcPr>
            <w:tcW w:w="1002" w:type="dxa"/>
            <w:tcBorders>
              <w:top w:val="nil"/>
              <w:left w:val="nil"/>
              <w:bottom w:val="single" w:sz="4" w:space="0" w:color="auto"/>
              <w:right w:val="single" w:sz="4" w:space="0" w:color="auto"/>
            </w:tcBorders>
            <w:noWrap/>
            <w:vAlign w:val="bottom"/>
          </w:tcPr>
          <w:p w:rsidR="004A147C" w:rsidRPr="00B53FFB" w:rsidRDefault="004A147C" w:rsidP="00CE5850">
            <w:pPr>
              <w:jc w:val="right"/>
              <w:rPr>
                <w:kern w:val="0"/>
                <w:szCs w:val="22"/>
              </w:rPr>
            </w:pPr>
            <w:r w:rsidRPr="00B53FFB">
              <w:rPr>
                <w:kern w:val="0"/>
                <w:szCs w:val="22"/>
              </w:rPr>
              <w:t>1.7%</w:t>
            </w:r>
          </w:p>
        </w:tc>
        <w:tc>
          <w:tcPr>
            <w:tcW w:w="1002" w:type="dxa"/>
            <w:tcBorders>
              <w:top w:val="nil"/>
              <w:left w:val="nil"/>
              <w:bottom w:val="single" w:sz="4" w:space="0" w:color="auto"/>
              <w:right w:val="single" w:sz="4" w:space="0" w:color="auto"/>
            </w:tcBorders>
            <w:noWrap/>
            <w:vAlign w:val="bottom"/>
          </w:tcPr>
          <w:p w:rsidR="004A147C" w:rsidRPr="00B53FFB" w:rsidRDefault="004A147C" w:rsidP="00CE5850">
            <w:pPr>
              <w:jc w:val="right"/>
              <w:rPr>
                <w:kern w:val="0"/>
                <w:szCs w:val="22"/>
              </w:rPr>
            </w:pPr>
            <w:r w:rsidRPr="00B53FFB">
              <w:rPr>
                <w:kern w:val="0"/>
                <w:szCs w:val="22"/>
              </w:rPr>
              <w:t>0.0%</w:t>
            </w:r>
          </w:p>
        </w:tc>
        <w:tc>
          <w:tcPr>
            <w:tcW w:w="1002" w:type="dxa"/>
            <w:tcBorders>
              <w:top w:val="nil"/>
              <w:left w:val="nil"/>
              <w:bottom w:val="single" w:sz="4" w:space="0" w:color="auto"/>
              <w:right w:val="single" w:sz="4" w:space="0" w:color="auto"/>
            </w:tcBorders>
            <w:noWrap/>
            <w:vAlign w:val="bottom"/>
          </w:tcPr>
          <w:p w:rsidR="004A147C" w:rsidRPr="00B53FFB" w:rsidRDefault="004A147C" w:rsidP="00CE5850">
            <w:pPr>
              <w:jc w:val="right"/>
              <w:rPr>
                <w:kern w:val="0"/>
                <w:szCs w:val="22"/>
              </w:rPr>
            </w:pPr>
            <w:r w:rsidRPr="00B53FFB">
              <w:rPr>
                <w:kern w:val="0"/>
                <w:szCs w:val="22"/>
              </w:rPr>
              <w:t>0.0%</w:t>
            </w:r>
          </w:p>
        </w:tc>
      </w:tr>
      <w:tr w:rsidR="004A147C" w:rsidRPr="00B53FFB" w:rsidTr="003876FA">
        <w:trPr>
          <w:trHeight w:val="315"/>
          <w:jc w:val="center"/>
        </w:trPr>
        <w:tc>
          <w:tcPr>
            <w:tcW w:w="1631" w:type="dxa"/>
            <w:tcBorders>
              <w:top w:val="nil"/>
              <w:left w:val="single" w:sz="8" w:space="0" w:color="auto"/>
              <w:bottom w:val="single" w:sz="8" w:space="0" w:color="auto"/>
              <w:right w:val="nil"/>
            </w:tcBorders>
            <w:noWrap/>
            <w:vAlign w:val="bottom"/>
          </w:tcPr>
          <w:p w:rsidR="004A147C" w:rsidRPr="00B53FFB" w:rsidRDefault="004A147C" w:rsidP="00CE5850">
            <w:pPr>
              <w:rPr>
                <w:kern w:val="0"/>
                <w:szCs w:val="22"/>
              </w:rPr>
            </w:pPr>
            <w:r w:rsidRPr="00B53FFB">
              <w:rPr>
                <w:kern w:val="0"/>
                <w:szCs w:val="22"/>
              </w:rPr>
              <w:t>Leap</w:t>
            </w:r>
          </w:p>
        </w:tc>
        <w:tc>
          <w:tcPr>
            <w:tcW w:w="1123" w:type="dxa"/>
            <w:tcBorders>
              <w:top w:val="nil"/>
              <w:left w:val="single" w:sz="4" w:space="0" w:color="auto"/>
              <w:bottom w:val="single" w:sz="4" w:space="0" w:color="auto"/>
              <w:right w:val="single" w:sz="4" w:space="0" w:color="auto"/>
            </w:tcBorders>
            <w:noWrap/>
            <w:vAlign w:val="bottom"/>
          </w:tcPr>
          <w:p w:rsidR="004A147C" w:rsidRPr="00B53FFB" w:rsidRDefault="004A147C" w:rsidP="00CE5850">
            <w:pPr>
              <w:jc w:val="right"/>
              <w:rPr>
                <w:kern w:val="0"/>
                <w:szCs w:val="22"/>
              </w:rPr>
            </w:pPr>
            <w:r w:rsidRPr="00B53FFB">
              <w:rPr>
                <w:kern w:val="0"/>
                <w:szCs w:val="22"/>
              </w:rPr>
              <w:t>0.7%</w:t>
            </w:r>
          </w:p>
        </w:tc>
        <w:tc>
          <w:tcPr>
            <w:tcW w:w="1002" w:type="dxa"/>
            <w:tcBorders>
              <w:top w:val="nil"/>
              <w:left w:val="nil"/>
              <w:bottom w:val="single" w:sz="4" w:space="0" w:color="auto"/>
              <w:right w:val="single" w:sz="4" w:space="0" w:color="auto"/>
            </w:tcBorders>
            <w:noWrap/>
            <w:vAlign w:val="bottom"/>
          </w:tcPr>
          <w:p w:rsidR="004A147C" w:rsidRPr="00B53FFB" w:rsidRDefault="004A147C" w:rsidP="00CE5850">
            <w:pPr>
              <w:jc w:val="right"/>
              <w:rPr>
                <w:kern w:val="0"/>
                <w:szCs w:val="22"/>
              </w:rPr>
            </w:pPr>
            <w:r w:rsidRPr="00B53FFB">
              <w:rPr>
                <w:kern w:val="0"/>
                <w:szCs w:val="22"/>
              </w:rPr>
              <w:t>0.0%</w:t>
            </w:r>
          </w:p>
        </w:tc>
        <w:tc>
          <w:tcPr>
            <w:tcW w:w="1002" w:type="dxa"/>
            <w:tcBorders>
              <w:top w:val="nil"/>
              <w:left w:val="nil"/>
              <w:bottom w:val="single" w:sz="4" w:space="0" w:color="auto"/>
              <w:right w:val="single" w:sz="4" w:space="0" w:color="auto"/>
            </w:tcBorders>
            <w:noWrap/>
            <w:vAlign w:val="bottom"/>
          </w:tcPr>
          <w:p w:rsidR="004A147C" w:rsidRPr="00B53FFB" w:rsidRDefault="004A147C" w:rsidP="00CE5850">
            <w:pPr>
              <w:jc w:val="right"/>
              <w:rPr>
                <w:kern w:val="0"/>
                <w:szCs w:val="22"/>
              </w:rPr>
            </w:pPr>
            <w:r w:rsidRPr="00B53FFB">
              <w:rPr>
                <w:kern w:val="0"/>
                <w:szCs w:val="22"/>
              </w:rPr>
              <w:t>2.3%</w:t>
            </w:r>
          </w:p>
        </w:tc>
        <w:tc>
          <w:tcPr>
            <w:tcW w:w="1002" w:type="dxa"/>
            <w:tcBorders>
              <w:top w:val="nil"/>
              <w:left w:val="nil"/>
              <w:bottom w:val="single" w:sz="4" w:space="0" w:color="auto"/>
              <w:right w:val="single" w:sz="4" w:space="0" w:color="auto"/>
            </w:tcBorders>
            <w:noWrap/>
            <w:vAlign w:val="bottom"/>
          </w:tcPr>
          <w:p w:rsidR="004A147C" w:rsidRPr="00B53FFB" w:rsidRDefault="004A147C" w:rsidP="00CE5850">
            <w:pPr>
              <w:jc w:val="right"/>
              <w:rPr>
                <w:kern w:val="0"/>
                <w:szCs w:val="22"/>
              </w:rPr>
            </w:pPr>
            <w:r w:rsidRPr="00B53FFB">
              <w:rPr>
                <w:kern w:val="0"/>
                <w:szCs w:val="22"/>
              </w:rPr>
              <w:t>6.8%</w:t>
            </w:r>
          </w:p>
        </w:tc>
        <w:tc>
          <w:tcPr>
            <w:tcW w:w="1002" w:type="dxa"/>
            <w:tcBorders>
              <w:top w:val="nil"/>
              <w:left w:val="nil"/>
              <w:bottom w:val="single" w:sz="4" w:space="0" w:color="auto"/>
              <w:right w:val="single" w:sz="4" w:space="0" w:color="auto"/>
            </w:tcBorders>
            <w:noWrap/>
            <w:vAlign w:val="bottom"/>
          </w:tcPr>
          <w:p w:rsidR="004A147C" w:rsidRPr="00B53FFB" w:rsidRDefault="004A147C" w:rsidP="00CE5850">
            <w:pPr>
              <w:jc w:val="right"/>
              <w:rPr>
                <w:kern w:val="0"/>
                <w:szCs w:val="22"/>
              </w:rPr>
            </w:pPr>
            <w:r w:rsidRPr="00B53FFB">
              <w:rPr>
                <w:kern w:val="0"/>
                <w:szCs w:val="22"/>
              </w:rPr>
              <w:t>0.0%</w:t>
            </w:r>
          </w:p>
        </w:tc>
        <w:tc>
          <w:tcPr>
            <w:tcW w:w="1002" w:type="dxa"/>
            <w:tcBorders>
              <w:top w:val="nil"/>
              <w:left w:val="nil"/>
              <w:bottom w:val="single" w:sz="4" w:space="0" w:color="auto"/>
              <w:right w:val="single" w:sz="4" w:space="0" w:color="auto"/>
            </w:tcBorders>
            <w:noWrap/>
            <w:vAlign w:val="bottom"/>
          </w:tcPr>
          <w:p w:rsidR="004A147C" w:rsidRPr="00B53FFB" w:rsidRDefault="004A147C" w:rsidP="00CE5850">
            <w:pPr>
              <w:jc w:val="right"/>
              <w:rPr>
                <w:kern w:val="0"/>
                <w:szCs w:val="22"/>
              </w:rPr>
            </w:pPr>
            <w:r w:rsidRPr="00B53FFB">
              <w:rPr>
                <w:kern w:val="0"/>
                <w:szCs w:val="22"/>
              </w:rPr>
              <w:t>0.0%</w:t>
            </w:r>
          </w:p>
        </w:tc>
      </w:tr>
      <w:tr w:rsidR="004A147C" w:rsidRPr="00B53FFB" w:rsidTr="003876FA">
        <w:trPr>
          <w:trHeight w:val="315"/>
          <w:jc w:val="center"/>
        </w:trPr>
        <w:tc>
          <w:tcPr>
            <w:tcW w:w="1631" w:type="dxa"/>
            <w:tcBorders>
              <w:top w:val="nil"/>
              <w:left w:val="single" w:sz="8" w:space="0" w:color="auto"/>
              <w:bottom w:val="single" w:sz="8" w:space="0" w:color="auto"/>
              <w:right w:val="nil"/>
            </w:tcBorders>
            <w:noWrap/>
            <w:vAlign w:val="bottom"/>
          </w:tcPr>
          <w:p w:rsidR="004A147C" w:rsidRPr="00B53FFB" w:rsidRDefault="004A147C" w:rsidP="00CE5850">
            <w:pPr>
              <w:rPr>
                <w:kern w:val="0"/>
                <w:szCs w:val="22"/>
              </w:rPr>
            </w:pPr>
            <w:r w:rsidRPr="00B53FFB">
              <w:rPr>
                <w:kern w:val="0"/>
                <w:szCs w:val="22"/>
              </w:rPr>
              <w:t>Other</w:t>
            </w:r>
          </w:p>
        </w:tc>
        <w:tc>
          <w:tcPr>
            <w:tcW w:w="1123" w:type="dxa"/>
            <w:tcBorders>
              <w:top w:val="nil"/>
              <w:left w:val="single" w:sz="4" w:space="0" w:color="auto"/>
              <w:bottom w:val="single" w:sz="4" w:space="0" w:color="auto"/>
              <w:right w:val="single" w:sz="4" w:space="0" w:color="auto"/>
            </w:tcBorders>
            <w:noWrap/>
            <w:vAlign w:val="bottom"/>
          </w:tcPr>
          <w:p w:rsidR="004A147C" w:rsidRPr="00B53FFB" w:rsidRDefault="004A147C" w:rsidP="00CE5850">
            <w:pPr>
              <w:jc w:val="right"/>
              <w:rPr>
                <w:kern w:val="0"/>
                <w:szCs w:val="22"/>
              </w:rPr>
            </w:pPr>
            <w:r w:rsidRPr="00B53FFB">
              <w:rPr>
                <w:kern w:val="0"/>
                <w:szCs w:val="22"/>
              </w:rPr>
              <w:t>14.7%</w:t>
            </w:r>
          </w:p>
        </w:tc>
        <w:tc>
          <w:tcPr>
            <w:tcW w:w="1002" w:type="dxa"/>
            <w:tcBorders>
              <w:top w:val="nil"/>
              <w:left w:val="nil"/>
              <w:bottom w:val="single" w:sz="4" w:space="0" w:color="auto"/>
              <w:right w:val="single" w:sz="4" w:space="0" w:color="auto"/>
            </w:tcBorders>
            <w:noWrap/>
            <w:vAlign w:val="bottom"/>
          </w:tcPr>
          <w:p w:rsidR="004A147C" w:rsidRPr="00B53FFB" w:rsidRDefault="004A147C" w:rsidP="00CE5850">
            <w:pPr>
              <w:jc w:val="right"/>
              <w:rPr>
                <w:kern w:val="0"/>
                <w:szCs w:val="22"/>
              </w:rPr>
            </w:pPr>
            <w:r w:rsidRPr="00B53FFB">
              <w:rPr>
                <w:kern w:val="0"/>
                <w:szCs w:val="22"/>
              </w:rPr>
              <w:t>2.3%</w:t>
            </w:r>
          </w:p>
        </w:tc>
        <w:tc>
          <w:tcPr>
            <w:tcW w:w="1002" w:type="dxa"/>
            <w:tcBorders>
              <w:top w:val="nil"/>
              <w:left w:val="nil"/>
              <w:bottom w:val="single" w:sz="4" w:space="0" w:color="auto"/>
              <w:right w:val="single" w:sz="4" w:space="0" w:color="auto"/>
            </w:tcBorders>
            <w:noWrap/>
            <w:vAlign w:val="bottom"/>
          </w:tcPr>
          <w:p w:rsidR="004A147C" w:rsidRPr="00B53FFB" w:rsidRDefault="004A147C" w:rsidP="00CE5850">
            <w:pPr>
              <w:jc w:val="right"/>
              <w:rPr>
                <w:kern w:val="0"/>
                <w:szCs w:val="22"/>
              </w:rPr>
            </w:pPr>
            <w:r w:rsidRPr="00B53FFB">
              <w:rPr>
                <w:kern w:val="0"/>
                <w:szCs w:val="22"/>
              </w:rPr>
              <w:t>2.8%</w:t>
            </w:r>
          </w:p>
        </w:tc>
        <w:tc>
          <w:tcPr>
            <w:tcW w:w="1002" w:type="dxa"/>
            <w:tcBorders>
              <w:top w:val="nil"/>
              <w:left w:val="nil"/>
              <w:bottom w:val="single" w:sz="4" w:space="0" w:color="auto"/>
              <w:right w:val="single" w:sz="4" w:space="0" w:color="auto"/>
            </w:tcBorders>
            <w:noWrap/>
            <w:vAlign w:val="bottom"/>
          </w:tcPr>
          <w:p w:rsidR="004A147C" w:rsidRPr="00B53FFB" w:rsidRDefault="004A147C" w:rsidP="00CE5850">
            <w:pPr>
              <w:jc w:val="right"/>
              <w:rPr>
                <w:kern w:val="0"/>
                <w:szCs w:val="22"/>
              </w:rPr>
            </w:pPr>
            <w:r w:rsidRPr="00B53FFB">
              <w:rPr>
                <w:kern w:val="0"/>
                <w:szCs w:val="22"/>
              </w:rPr>
              <w:t>7.0%</w:t>
            </w:r>
          </w:p>
        </w:tc>
        <w:tc>
          <w:tcPr>
            <w:tcW w:w="1002" w:type="dxa"/>
            <w:tcBorders>
              <w:top w:val="nil"/>
              <w:left w:val="nil"/>
              <w:bottom w:val="single" w:sz="4" w:space="0" w:color="auto"/>
              <w:right w:val="single" w:sz="4" w:space="0" w:color="auto"/>
            </w:tcBorders>
            <w:noWrap/>
            <w:vAlign w:val="bottom"/>
          </w:tcPr>
          <w:p w:rsidR="004A147C" w:rsidRPr="00B53FFB" w:rsidRDefault="004A147C" w:rsidP="00CE5850">
            <w:pPr>
              <w:jc w:val="right"/>
              <w:rPr>
                <w:kern w:val="0"/>
                <w:szCs w:val="22"/>
              </w:rPr>
            </w:pPr>
            <w:r w:rsidRPr="00B53FFB">
              <w:rPr>
                <w:kern w:val="0"/>
                <w:szCs w:val="22"/>
              </w:rPr>
              <w:t>11.3%</w:t>
            </w:r>
          </w:p>
        </w:tc>
        <w:tc>
          <w:tcPr>
            <w:tcW w:w="1002" w:type="dxa"/>
            <w:tcBorders>
              <w:top w:val="nil"/>
              <w:left w:val="nil"/>
              <w:bottom w:val="single" w:sz="4" w:space="0" w:color="auto"/>
              <w:right w:val="single" w:sz="4" w:space="0" w:color="auto"/>
            </w:tcBorders>
            <w:noWrap/>
            <w:vAlign w:val="bottom"/>
          </w:tcPr>
          <w:p w:rsidR="004A147C" w:rsidRPr="00B53FFB" w:rsidRDefault="004A147C" w:rsidP="00CE5850">
            <w:pPr>
              <w:jc w:val="right"/>
              <w:rPr>
                <w:kern w:val="0"/>
                <w:szCs w:val="22"/>
              </w:rPr>
            </w:pPr>
            <w:r w:rsidRPr="00B53FFB">
              <w:rPr>
                <w:kern w:val="0"/>
                <w:szCs w:val="22"/>
              </w:rPr>
              <w:t>31.5%</w:t>
            </w:r>
          </w:p>
        </w:tc>
      </w:tr>
      <w:tr w:rsidR="004A147C" w:rsidRPr="00B53FFB" w:rsidTr="003876FA">
        <w:trPr>
          <w:trHeight w:val="315"/>
          <w:jc w:val="center"/>
        </w:trPr>
        <w:tc>
          <w:tcPr>
            <w:tcW w:w="1631" w:type="dxa"/>
            <w:tcBorders>
              <w:top w:val="nil"/>
              <w:left w:val="single" w:sz="8" w:space="0" w:color="auto"/>
              <w:bottom w:val="single" w:sz="8" w:space="0" w:color="auto"/>
              <w:right w:val="nil"/>
            </w:tcBorders>
            <w:noWrap/>
            <w:vAlign w:val="bottom"/>
          </w:tcPr>
          <w:p w:rsidR="004A147C" w:rsidRPr="00B53FFB" w:rsidRDefault="004A147C" w:rsidP="00CE5850">
            <w:pPr>
              <w:rPr>
                <w:kern w:val="0"/>
                <w:szCs w:val="22"/>
              </w:rPr>
            </w:pPr>
            <w:r w:rsidRPr="00B53FFB">
              <w:rPr>
                <w:kern w:val="0"/>
                <w:szCs w:val="22"/>
              </w:rPr>
              <w:t>Grand Total</w:t>
            </w:r>
          </w:p>
        </w:tc>
        <w:tc>
          <w:tcPr>
            <w:tcW w:w="1123" w:type="dxa"/>
            <w:tcBorders>
              <w:top w:val="nil"/>
              <w:left w:val="single" w:sz="4" w:space="0" w:color="auto"/>
              <w:bottom w:val="single" w:sz="4" w:space="0" w:color="auto"/>
              <w:right w:val="single" w:sz="4" w:space="0" w:color="auto"/>
            </w:tcBorders>
            <w:noWrap/>
            <w:vAlign w:val="bottom"/>
          </w:tcPr>
          <w:p w:rsidR="004A147C" w:rsidRPr="00B53FFB" w:rsidRDefault="004A147C" w:rsidP="00CE5850">
            <w:pPr>
              <w:jc w:val="right"/>
              <w:rPr>
                <w:kern w:val="0"/>
                <w:szCs w:val="22"/>
              </w:rPr>
            </w:pPr>
            <w:r w:rsidRPr="00B53FFB">
              <w:rPr>
                <w:kern w:val="0"/>
                <w:szCs w:val="22"/>
              </w:rPr>
              <w:t>100.0%</w:t>
            </w:r>
          </w:p>
        </w:tc>
        <w:tc>
          <w:tcPr>
            <w:tcW w:w="1002" w:type="dxa"/>
            <w:tcBorders>
              <w:top w:val="nil"/>
              <w:left w:val="nil"/>
              <w:bottom w:val="single" w:sz="4" w:space="0" w:color="auto"/>
              <w:right w:val="single" w:sz="4" w:space="0" w:color="auto"/>
            </w:tcBorders>
            <w:noWrap/>
            <w:vAlign w:val="bottom"/>
          </w:tcPr>
          <w:p w:rsidR="004A147C" w:rsidRPr="00B53FFB" w:rsidRDefault="004A147C" w:rsidP="00CE5850">
            <w:pPr>
              <w:jc w:val="right"/>
              <w:rPr>
                <w:kern w:val="0"/>
                <w:szCs w:val="22"/>
              </w:rPr>
            </w:pPr>
            <w:r w:rsidRPr="00B53FFB">
              <w:rPr>
                <w:kern w:val="0"/>
                <w:szCs w:val="22"/>
              </w:rPr>
              <w:t>100.0%</w:t>
            </w:r>
          </w:p>
        </w:tc>
        <w:tc>
          <w:tcPr>
            <w:tcW w:w="1002" w:type="dxa"/>
            <w:tcBorders>
              <w:top w:val="nil"/>
              <w:left w:val="nil"/>
              <w:bottom w:val="single" w:sz="4" w:space="0" w:color="auto"/>
              <w:right w:val="single" w:sz="4" w:space="0" w:color="auto"/>
            </w:tcBorders>
            <w:noWrap/>
            <w:vAlign w:val="bottom"/>
          </w:tcPr>
          <w:p w:rsidR="004A147C" w:rsidRPr="00B53FFB" w:rsidRDefault="004A147C" w:rsidP="00CE5850">
            <w:pPr>
              <w:jc w:val="right"/>
              <w:rPr>
                <w:kern w:val="0"/>
                <w:szCs w:val="22"/>
              </w:rPr>
            </w:pPr>
            <w:r w:rsidRPr="00B53FFB">
              <w:rPr>
                <w:kern w:val="0"/>
                <w:szCs w:val="22"/>
              </w:rPr>
              <w:t>100.0%</w:t>
            </w:r>
          </w:p>
        </w:tc>
        <w:tc>
          <w:tcPr>
            <w:tcW w:w="1002" w:type="dxa"/>
            <w:tcBorders>
              <w:top w:val="nil"/>
              <w:left w:val="nil"/>
              <w:bottom w:val="single" w:sz="4" w:space="0" w:color="auto"/>
              <w:right w:val="single" w:sz="4" w:space="0" w:color="auto"/>
            </w:tcBorders>
            <w:noWrap/>
            <w:vAlign w:val="bottom"/>
          </w:tcPr>
          <w:p w:rsidR="004A147C" w:rsidRPr="00B53FFB" w:rsidRDefault="004A147C" w:rsidP="00CE5850">
            <w:pPr>
              <w:jc w:val="right"/>
              <w:rPr>
                <w:kern w:val="0"/>
                <w:szCs w:val="22"/>
              </w:rPr>
            </w:pPr>
            <w:r w:rsidRPr="00B53FFB">
              <w:rPr>
                <w:kern w:val="0"/>
                <w:szCs w:val="22"/>
              </w:rPr>
              <w:t>100.0%</w:t>
            </w:r>
          </w:p>
        </w:tc>
        <w:tc>
          <w:tcPr>
            <w:tcW w:w="1002" w:type="dxa"/>
            <w:tcBorders>
              <w:top w:val="nil"/>
              <w:left w:val="nil"/>
              <w:bottom w:val="single" w:sz="4" w:space="0" w:color="auto"/>
              <w:right w:val="single" w:sz="4" w:space="0" w:color="auto"/>
            </w:tcBorders>
            <w:noWrap/>
            <w:vAlign w:val="bottom"/>
          </w:tcPr>
          <w:p w:rsidR="004A147C" w:rsidRPr="00B53FFB" w:rsidRDefault="004A147C" w:rsidP="00CE5850">
            <w:pPr>
              <w:jc w:val="right"/>
              <w:rPr>
                <w:kern w:val="0"/>
                <w:szCs w:val="22"/>
              </w:rPr>
            </w:pPr>
            <w:r w:rsidRPr="00B53FFB">
              <w:rPr>
                <w:kern w:val="0"/>
                <w:szCs w:val="22"/>
              </w:rPr>
              <w:t>100.0%</w:t>
            </w:r>
          </w:p>
        </w:tc>
        <w:tc>
          <w:tcPr>
            <w:tcW w:w="1002" w:type="dxa"/>
            <w:tcBorders>
              <w:top w:val="nil"/>
              <w:left w:val="nil"/>
              <w:bottom w:val="single" w:sz="4" w:space="0" w:color="auto"/>
              <w:right w:val="single" w:sz="4" w:space="0" w:color="auto"/>
            </w:tcBorders>
            <w:noWrap/>
            <w:vAlign w:val="bottom"/>
          </w:tcPr>
          <w:p w:rsidR="004A147C" w:rsidRPr="00B53FFB" w:rsidRDefault="004A147C" w:rsidP="00CE5850">
            <w:pPr>
              <w:jc w:val="right"/>
              <w:rPr>
                <w:kern w:val="0"/>
                <w:szCs w:val="22"/>
              </w:rPr>
            </w:pPr>
            <w:r w:rsidRPr="00B53FFB">
              <w:rPr>
                <w:kern w:val="0"/>
                <w:szCs w:val="22"/>
              </w:rPr>
              <w:t>100.0%</w:t>
            </w:r>
          </w:p>
        </w:tc>
      </w:tr>
    </w:tbl>
    <w:p w:rsidR="004A147C" w:rsidRPr="006D773A" w:rsidRDefault="004A147C" w:rsidP="00CE5850">
      <w:pPr>
        <w:rPr>
          <w:sz w:val="20"/>
        </w:rPr>
      </w:pPr>
      <w:r w:rsidRPr="006D773A">
        <w:rPr>
          <w:sz w:val="20"/>
        </w:rPr>
        <w:t>* Estimates i</w:t>
      </w:r>
      <w:r w:rsidRPr="006D773A">
        <w:rPr>
          <w:spacing w:val="-2"/>
          <w:sz w:val="20"/>
        </w:rPr>
        <w:t>nclude all transactions consummated as of August 15</w:t>
      </w:r>
      <w:r>
        <w:rPr>
          <w:spacing w:val="-2"/>
          <w:sz w:val="20"/>
        </w:rPr>
        <w:t>, 2012</w:t>
      </w:r>
      <w:r w:rsidRPr="006D773A">
        <w:rPr>
          <w:spacing w:val="-2"/>
          <w:sz w:val="20"/>
        </w:rPr>
        <w:t xml:space="preserve">, as well as the transactions approved in the </w:t>
      </w:r>
      <w:r w:rsidRPr="006D773A">
        <w:rPr>
          <w:i/>
          <w:spacing w:val="-2"/>
          <w:sz w:val="20"/>
        </w:rPr>
        <w:t>Verizon Wireless-SpectrumCo Order</w:t>
      </w:r>
      <w:r w:rsidRPr="006D773A">
        <w:rPr>
          <w:sz w:val="20"/>
        </w:rPr>
        <w:t xml:space="preserve">.  </w:t>
      </w:r>
      <w:r w:rsidR="00C84D76" w:rsidRPr="00CF6FE7">
        <w:rPr>
          <w:sz w:val="20"/>
        </w:rPr>
        <w:t xml:space="preserve">Estimates </w:t>
      </w:r>
      <w:r w:rsidR="003E03B2">
        <w:rPr>
          <w:sz w:val="20"/>
        </w:rPr>
        <w:t>do not include</w:t>
      </w:r>
      <w:r w:rsidR="00C84D76" w:rsidRPr="00CF6FE7">
        <w:rPr>
          <w:sz w:val="20"/>
        </w:rPr>
        <w:t xml:space="preserve"> WCS spectrum that was </w:t>
      </w:r>
      <w:r w:rsidR="003E03B2">
        <w:rPr>
          <w:sz w:val="20"/>
        </w:rPr>
        <w:t>add</w:t>
      </w:r>
      <w:r w:rsidR="00C84D76" w:rsidRPr="00CF6FE7">
        <w:rPr>
          <w:sz w:val="20"/>
        </w:rPr>
        <w:t>ed in the spectrum screen in December 2012.</w:t>
      </w:r>
    </w:p>
    <w:p w:rsidR="004A147C" w:rsidRPr="00B53FFB" w:rsidRDefault="004A147C" w:rsidP="00CE5850">
      <w:pPr>
        <w:pStyle w:val="ParaNum2"/>
        <w:tabs>
          <w:tab w:val="clear" w:pos="1440"/>
        </w:tabs>
        <w:ind w:firstLine="0"/>
        <w:rPr>
          <w:szCs w:val="22"/>
        </w:rPr>
      </w:pPr>
    </w:p>
    <w:p w:rsidR="004A147C" w:rsidRPr="00B53FFB" w:rsidRDefault="004A147C" w:rsidP="00CE5850">
      <w:pPr>
        <w:pStyle w:val="ParaNum2"/>
        <w:numPr>
          <w:ilvl w:val="0"/>
          <w:numId w:val="28"/>
        </w:numPr>
        <w:rPr>
          <w:szCs w:val="22"/>
        </w:rPr>
      </w:pPr>
      <w:r w:rsidRPr="00B53FFB">
        <w:rPr>
          <w:i/>
          <w:szCs w:val="22"/>
        </w:rPr>
        <w:t>NTCA Survey of Rural Wireless Providers</w:t>
      </w:r>
      <w:r w:rsidR="002F524A">
        <w:rPr>
          <w:szCs w:val="22"/>
        </w:rPr>
        <w:t>.  In the s</w:t>
      </w:r>
      <w:r w:rsidRPr="00B53FFB">
        <w:rPr>
          <w:szCs w:val="22"/>
        </w:rPr>
        <w:t>pring of 2011, the National Telecommunications Cooperative Association (NTCA) surveyed its members regarding their provision of wireless services.</w:t>
      </w:r>
      <w:r w:rsidRPr="00B53FFB">
        <w:rPr>
          <w:rStyle w:val="FootnoteReference"/>
          <w:szCs w:val="22"/>
        </w:rPr>
        <w:footnoteReference w:id="1220"/>
      </w:r>
      <w:r w:rsidRPr="00B53FFB">
        <w:rPr>
          <w:szCs w:val="22"/>
        </w:rPr>
        <w:t xml:space="preserve">  Population density in most NTCA member service areas is extremely rural, between one and five persons per square mile.</w:t>
      </w:r>
      <w:r w:rsidRPr="00B53FFB">
        <w:rPr>
          <w:rStyle w:val="FootnoteReference"/>
          <w:szCs w:val="22"/>
        </w:rPr>
        <w:footnoteReference w:id="1221"/>
      </w:r>
      <w:r w:rsidRPr="00B53FFB">
        <w:rPr>
          <w:szCs w:val="22"/>
        </w:rPr>
        <w:t xml:space="preserve">  According to the survey report, 61 percent of survey respondents are offering wireless service to their customers.</w:t>
      </w:r>
      <w:r w:rsidRPr="00B53FFB">
        <w:rPr>
          <w:rStyle w:val="FootnoteReference"/>
          <w:szCs w:val="22"/>
        </w:rPr>
        <w:footnoteReference w:id="1222"/>
      </w:r>
      <w:r w:rsidRPr="00B53FFB">
        <w:rPr>
          <w:szCs w:val="22"/>
        </w:rPr>
        <w:t xml:space="preserve">  Among those respondents, 75 percent indicated that “competition from national carriers” was a major concern, and the average respondent indicated that their company competes with between two to five other providers.</w:t>
      </w:r>
      <w:r w:rsidRPr="00B53FFB">
        <w:rPr>
          <w:rStyle w:val="FootnoteReference"/>
          <w:szCs w:val="22"/>
        </w:rPr>
        <w:footnoteReference w:id="1223"/>
      </w:r>
      <w:r w:rsidRPr="00B53FFB">
        <w:rPr>
          <w:szCs w:val="22"/>
        </w:rPr>
        <w:t xml:space="preserve">  Over two-thirds of survey respondents reported that they plan to deploy a next generation network technology within the next one to three years, with 43 percent stating that they plan to deploy LTE.</w:t>
      </w:r>
      <w:r w:rsidRPr="00B53FFB">
        <w:rPr>
          <w:rStyle w:val="FootnoteReference"/>
          <w:szCs w:val="22"/>
        </w:rPr>
        <w:footnoteReference w:id="1224"/>
      </w:r>
      <w:r w:rsidRPr="00B53FFB">
        <w:rPr>
          <w:szCs w:val="22"/>
        </w:rPr>
        <w:t xml:space="preserve">  In addition, the percentage of respondents who claim that obtaining financing is “very difficult” or “virtually impossible” was 55 percent in 2011, compared to 33 percent in 2009.</w:t>
      </w:r>
      <w:r w:rsidRPr="00B53FFB">
        <w:rPr>
          <w:rStyle w:val="FootnoteReference"/>
          <w:szCs w:val="22"/>
        </w:rPr>
        <w:footnoteReference w:id="1225"/>
      </w:r>
      <w:r w:rsidRPr="00B53FFB">
        <w:rPr>
          <w:szCs w:val="22"/>
        </w:rPr>
        <w:t xml:space="preserve">  The percentage of respondents who reported that obtaining financing is “very easy” or “relatively easy” declined from 43 percent in 2009 to 18 percent in 2011.</w:t>
      </w:r>
      <w:r w:rsidRPr="00B53FFB">
        <w:rPr>
          <w:rStyle w:val="FootnoteReference"/>
          <w:szCs w:val="22"/>
        </w:rPr>
        <w:footnoteReference w:id="1226"/>
      </w:r>
      <w:r w:rsidRPr="00B53FFB">
        <w:rPr>
          <w:szCs w:val="22"/>
        </w:rPr>
        <w:t xml:space="preserve">  </w:t>
      </w:r>
    </w:p>
    <w:p w:rsidR="004A147C" w:rsidRPr="00B53FFB" w:rsidRDefault="004A147C" w:rsidP="00CE5850">
      <w:pPr>
        <w:pStyle w:val="ParaNum2"/>
        <w:numPr>
          <w:ilvl w:val="0"/>
          <w:numId w:val="28"/>
        </w:numPr>
        <w:rPr>
          <w:szCs w:val="22"/>
        </w:rPr>
      </w:pPr>
      <w:r w:rsidRPr="00B53FFB">
        <w:rPr>
          <w:szCs w:val="22"/>
        </w:rPr>
        <w:t>When looking at the features and services offered to wireless customers, the percentage of the NTCA survey respondents that offer Internet access rose from 73 percent to 74 percent from the winter of 2009 to the spring of 2011, the percentage that offer email rose from 63 percent to 68 percent, and the percentage offering unlimited local calling rose from 70 percent to 77 percent during the same period.</w:t>
      </w:r>
      <w:r w:rsidRPr="00B53FFB">
        <w:rPr>
          <w:rStyle w:val="FootnoteReference"/>
          <w:szCs w:val="22"/>
        </w:rPr>
        <w:footnoteReference w:id="1227"/>
      </w:r>
      <w:r w:rsidRPr="00B53FFB">
        <w:rPr>
          <w:szCs w:val="22"/>
        </w:rPr>
        <w:t xml:space="preserve">  On the other hand, the percentage offering family plans declined from 80 percent to 77 percent, while the percentage offering prepaid fell from 50 percent to 48 percent.</w:t>
      </w:r>
      <w:r w:rsidRPr="00B53FFB">
        <w:rPr>
          <w:rStyle w:val="FootnoteReference"/>
          <w:szCs w:val="22"/>
        </w:rPr>
        <w:footnoteReference w:id="1228"/>
      </w:r>
    </w:p>
    <w:p w:rsidR="004A147C" w:rsidRPr="00B53FFB" w:rsidRDefault="004A147C" w:rsidP="00CE5850">
      <w:pPr>
        <w:rPr>
          <w:szCs w:val="22"/>
        </w:rPr>
      </w:pPr>
    </w:p>
    <w:p w:rsidR="004A147C" w:rsidRPr="00B53FFB" w:rsidRDefault="004A147C" w:rsidP="00CE5850">
      <w:pPr>
        <w:pStyle w:val="Heading1"/>
        <w:keepNext w:val="0"/>
        <w:numPr>
          <w:ilvl w:val="0"/>
          <w:numId w:val="26"/>
        </w:numPr>
        <w:tabs>
          <w:tab w:val="left" w:pos="720"/>
        </w:tabs>
        <w:suppressAutoHyphens w:val="0"/>
        <w:rPr>
          <w:sz w:val="22"/>
          <w:szCs w:val="22"/>
        </w:rPr>
      </w:pPr>
      <w:bookmarkStart w:id="5661" w:name="_Toc261610823"/>
      <w:bookmarkStart w:id="5662" w:name="_Toc261858575"/>
      <w:bookmarkStart w:id="5663" w:name="_Toc262034384"/>
      <w:bookmarkStart w:id="5664" w:name="_Toc262034487"/>
      <w:bookmarkStart w:id="5665" w:name="_Toc271288522"/>
      <w:bookmarkStart w:id="5666" w:name="_Toc275518041"/>
      <w:bookmarkStart w:id="5667" w:name="_Toc275952481"/>
      <w:bookmarkStart w:id="5668" w:name="_Toc276121913"/>
      <w:bookmarkStart w:id="5669" w:name="_Toc276480749"/>
      <w:bookmarkStart w:id="5670" w:name="_Toc276741827"/>
      <w:bookmarkStart w:id="5671" w:name="_Toc277171591"/>
      <w:bookmarkStart w:id="5672" w:name="_Toc277864568"/>
      <w:bookmarkStart w:id="5673" w:name="_Toc277864784"/>
      <w:bookmarkStart w:id="5674" w:name="_Toc285810464"/>
      <w:bookmarkStart w:id="5675" w:name="_Toc287257863"/>
      <w:bookmarkStart w:id="5676" w:name="_Toc291758738"/>
      <w:bookmarkStart w:id="5677" w:name="_Toc291758841"/>
      <w:bookmarkStart w:id="5678" w:name="_Toc295393021"/>
      <w:bookmarkStart w:id="5679" w:name="_Toc329852457"/>
      <w:bookmarkStart w:id="5680" w:name="_Toc331766380"/>
      <w:bookmarkStart w:id="5681" w:name="_Toc332119184"/>
      <w:bookmarkStart w:id="5682" w:name="_Toc334088851"/>
      <w:bookmarkStart w:id="5683" w:name="_Toc334089087"/>
      <w:bookmarkStart w:id="5684" w:name="_Toc334089246"/>
      <w:bookmarkStart w:id="5685" w:name="_Toc334089357"/>
      <w:bookmarkStart w:id="5686" w:name="_Toc334089521"/>
      <w:bookmarkStart w:id="5687" w:name="_Toc336268663"/>
      <w:bookmarkStart w:id="5688" w:name="_Toc336268771"/>
      <w:bookmarkStart w:id="5689" w:name="_Toc336268878"/>
      <w:bookmarkStart w:id="5690" w:name="_Toc336269092"/>
      <w:bookmarkStart w:id="5691" w:name="_Toc336269199"/>
      <w:bookmarkStart w:id="5692" w:name="_Toc336269567"/>
      <w:bookmarkStart w:id="5693" w:name="_Toc336269713"/>
      <w:bookmarkStart w:id="5694" w:name="_Toc336270126"/>
      <w:bookmarkStart w:id="5695" w:name="_Toc336271320"/>
      <w:bookmarkStart w:id="5696" w:name="_Toc337652038"/>
      <w:bookmarkStart w:id="5697" w:name="_Toc349577227"/>
      <w:bookmarkStart w:id="5698" w:name="_Toc349579319"/>
      <w:bookmarkStart w:id="5699" w:name="_Toc349580634"/>
      <w:bookmarkStart w:id="5700" w:name="_Toc349735043"/>
      <w:bookmarkStart w:id="5701" w:name="_Toc349742408"/>
      <w:bookmarkStart w:id="5702" w:name="_Toc329262551"/>
      <w:r w:rsidRPr="00B53FFB">
        <w:rPr>
          <w:sz w:val="22"/>
          <w:szCs w:val="22"/>
        </w:rPr>
        <w:t>International Comparisons</w:t>
      </w:r>
      <w:bookmarkEnd w:id="5661"/>
      <w:bookmarkEnd w:id="5662"/>
      <w:bookmarkEnd w:id="5663"/>
      <w:bookmarkEnd w:id="5664"/>
      <w:bookmarkEnd w:id="5665"/>
      <w:bookmarkEnd w:id="5666"/>
      <w:bookmarkEnd w:id="5667"/>
      <w:bookmarkEnd w:id="5668"/>
      <w:bookmarkEnd w:id="5669"/>
      <w:bookmarkEnd w:id="5670"/>
      <w:bookmarkEnd w:id="5671"/>
      <w:bookmarkEnd w:id="5672"/>
      <w:bookmarkEnd w:id="5673"/>
      <w:bookmarkEnd w:id="5674"/>
      <w:bookmarkEnd w:id="5675"/>
      <w:bookmarkEnd w:id="5676"/>
      <w:bookmarkEnd w:id="5677"/>
      <w:bookmarkEnd w:id="5678"/>
      <w:bookmarkEnd w:id="5679"/>
      <w:bookmarkEnd w:id="5680"/>
      <w:bookmarkEnd w:id="5681"/>
      <w:bookmarkEnd w:id="5682"/>
      <w:bookmarkEnd w:id="5683"/>
      <w:bookmarkEnd w:id="5684"/>
      <w:bookmarkEnd w:id="5685"/>
      <w:bookmarkEnd w:id="5686"/>
      <w:bookmarkEnd w:id="5687"/>
      <w:bookmarkEnd w:id="5688"/>
      <w:bookmarkEnd w:id="5689"/>
      <w:bookmarkEnd w:id="5690"/>
      <w:bookmarkEnd w:id="5691"/>
      <w:bookmarkEnd w:id="5692"/>
      <w:bookmarkEnd w:id="5693"/>
      <w:bookmarkEnd w:id="5694"/>
      <w:bookmarkEnd w:id="5695"/>
      <w:bookmarkEnd w:id="5696"/>
      <w:bookmarkEnd w:id="5697"/>
      <w:bookmarkEnd w:id="5698"/>
      <w:bookmarkEnd w:id="5699"/>
      <w:bookmarkEnd w:id="5700"/>
      <w:bookmarkEnd w:id="5701"/>
      <w:r w:rsidRPr="00B53FFB">
        <w:rPr>
          <w:sz w:val="22"/>
          <w:szCs w:val="22"/>
        </w:rPr>
        <w:t xml:space="preserve">  </w:t>
      </w:r>
      <w:bookmarkEnd w:id="5702"/>
    </w:p>
    <w:p w:rsidR="004A147C" w:rsidRPr="00B53FFB" w:rsidRDefault="004A147C" w:rsidP="00CE5850">
      <w:pPr>
        <w:pStyle w:val="ParaNum"/>
        <w:numPr>
          <w:ilvl w:val="0"/>
          <w:numId w:val="28"/>
        </w:numPr>
        <w:rPr>
          <w:sz w:val="22"/>
          <w:szCs w:val="22"/>
        </w:rPr>
      </w:pPr>
      <w:r w:rsidRPr="00B53FFB">
        <w:rPr>
          <w:sz w:val="22"/>
          <w:szCs w:val="22"/>
        </w:rPr>
        <w:t>This section compares mobile market structure and performance in the United States, Western Europe, and Asia-Pacific countries of comparable income levels.</w:t>
      </w:r>
      <w:r w:rsidRPr="00B53FFB">
        <w:rPr>
          <w:sz w:val="22"/>
          <w:szCs w:val="22"/>
          <w:vertAlign w:val="superscript"/>
        </w:rPr>
        <w:footnoteReference w:id="1229"/>
      </w:r>
      <w:r w:rsidRPr="00B53FFB">
        <w:rPr>
          <w:sz w:val="22"/>
          <w:szCs w:val="22"/>
        </w:rPr>
        <w:t xml:space="preserve">  To ensure that a consistent methodology is used to compile the data for different countries, the comparison is based on international cross-section data compiled by Bank of America Merrill Lynch.</w:t>
      </w:r>
      <w:r w:rsidRPr="00B53FFB">
        <w:rPr>
          <w:rStyle w:val="FootnoteReference"/>
          <w:szCs w:val="22"/>
        </w:rPr>
        <w:footnoteReference w:id="1230"/>
      </w:r>
      <w:r w:rsidRPr="00B53FFB">
        <w:rPr>
          <w:sz w:val="22"/>
          <w:szCs w:val="22"/>
        </w:rPr>
        <w:t xml:space="preserve">  Consequently, the estimates of mobile penetration, minutes of use (MOUs), average revenue per minute (RPM), and concentration (as measured by HHI) for the U.S. mobile market cited in this section differ somewhat from estimates provided in previous sections of the </w:t>
      </w:r>
      <w:r w:rsidRPr="00B53FFB">
        <w:rPr>
          <w:i/>
          <w:sz w:val="22"/>
          <w:szCs w:val="22"/>
        </w:rPr>
        <w:t>Report</w:t>
      </w:r>
      <w:r w:rsidRPr="00B53FFB">
        <w:rPr>
          <w:sz w:val="22"/>
          <w:szCs w:val="22"/>
        </w:rPr>
        <w:t xml:space="preserve"> because they come from different sources.  In general, the comparison shows the following:  (1) market structure is converging to three or four national competitors per market in most countries; (2) the calling party pays system used in most other countries tends to result in lower average voice usage (MOUs) and higher revenue per minute of voice service than the receiving party pays system used in the United States;</w:t>
      </w:r>
      <w:r w:rsidRPr="00B53FFB">
        <w:rPr>
          <w:rStyle w:val="FootnoteReference"/>
          <w:szCs w:val="22"/>
        </w:rPr>
        <w:footnoteReference w:id="1231"/>
      </w:r>
      <w:r w:rsidRPr="00B53FFB">
        <w:rPr>
          <w:sz w:val="22"/>
          <w:szCs w:val="22"/>
        </w:rPr>
        <w:t xml:space="preserve"> and (3) international differences in regulatory policy and business environment have produced a wide variety of successful models for the mobile sector, with no one model dominating on all dimensions of market performance.</w:t>
      </w:r>
    </w:p>
    <w:p w:rsidR="004A147C" w:rsidRPr="00F54923" w:rsidRDefault="00F54923" w:rsidP="00CE5850">
      <w:pPr>
        <w:pStyle w:val="Caption"/>
        <w:widowControl w:val="0"/>
        <w:jc w:val="center"/>
        <w:rPr>
          <w:b w:val="0"/>
          <w:bCs w:val="0"/>
          <w:szCs w:val="22"/>
        </w:rPr>
      </w:pPr>
      <w:bookmarkStart w:id="5703" w:name="_Ref185316958"/>
      <w:bookmarkStart w:id="5704" w:name="_Ref217723362"/>
      <w:bookmarkStart w:id="5705" w:name="_Toc329262552"/>
      <w:bookmarkStart w:id="5706" w:name="_Toc329852458"/>
      <w:bookmarkStart w:id="5707" w:name="_Toc331766381"/>
      <w:bookmarkStart w:id="5708" w:name="_Toc332119185"/>
      <w:bookmarkStart w:id="5709" w:name="_Toc334088852"/>
      <w:bookmarkStart w:id="5710" w:name="_Toc334089088"/>
      <w:bookmarkStart w:id="5711" w:name="_Toc334089247"/>
      <w:bookmarkStart w:id="5712" w:name="_Toc334089358"/>
      <w:bookmarkStart w:id="5713" w:name="_Toc334089522"/>
      <w:bookmarkStart w:id="5714" w:name="_Toc336268664"/>
      <w:bookmarkStart w:id="5715" w:name="_Toc336268772"/>
      <w:bookmarkStart w:id="5716" w:name="_Toc336268879"/>
      <w:bookmarkStart w:id="5717" w:name="_Toc336269093"/>
      <w:bookmarkStart w:id="5718" w:name="_Toc336269200"/>
      <w:bookmarkStart w:id="5719" w:name="_Toc336269568"/>
      <w:bookmarkStart w:id="5720" w:name="_Toc336269714"/>
      <w:bookmarkStart w:id="5721" w:name="_Toc336270127"/>
      <w:r w:rsidRPr="00F54923">
        <w:rPr>
          <w:sz w:val="22"/>
          <w:szCs w:val="22"/>
        </w:rPr>
        <w:t xml:space="preserve">Table </w:t>
      </w:r>
      <w:r w:rsidRPr="00F54923">
        <w:rPr>
          <w:sz w:val="22"/>
          <w:szCs w:val="22"/>
        </w:rPr>
        <w:fldChar w:fldCharType="begin"/>
      </w:r>
      <w:r w:rsidRPr="00F54923">
        <w:rPr>
          <w:sz w:val="22"/>
          <w:szCs w:val="22"/>
        </w:rPr>
        <w:instrText xml:space="preserve"> SEQ Table \* ARABIC </w:instrText>
      </w:r>
      <w:r w:rsidRPr="00F54923">
        <w:rPr>
          <w:sz w:val="22"/>
          <w:szCs w:val="22"/>
        </w:rPr>
        <w:fldChar w:fldCharType="separate"/>
      </w:r>
      <w:r w:rsidR="00CA3AC6">
        <w:rPr>
          <w:noProof/>
          <w:sz w:val="22"/>
          <w:szCs w:val="22"/>
        </w:rPr>
        <w:t>67</w:t>
      </w:r>
      <w:r w:rsidRPr="00F54923">
        <w:rPr>
          <w:sz w:val="22"/>
          <w:szCs w:val="22"/>
        </w:rPr>
        <w:fldChar w:fldCharType="end"/>
      </w:r>
      <w:r w:rsidR="004A147C" w:rsidRPr="00F54923">
        <w:rPr>
          <w:bCs w:val="0"/>
          <w:sz w:val="22"/>
          <w:szCs w:val="22"/>
        </w:rPr>
        <w:br/>
      </w:r>
      <w:bookmarkEnd w:id="5703"/>
      <w:bookmarkEnd w:id="5704"/>
      <w:r w:rsidR="004A147C" w:rsidRPr="00F54923">
        <w:rPr>
          <w:bCs w:val="0"/>
          <w:sz w:val="22"/>
          <w:szCs w:val="22"/>
        </w:rPr>
        <w:t>Mobile Market Performance in Selected Countries, 2011</w:t>
      </w:r>
      <w:r w:rsidR="004A147C" w:rsidRPr="00B53FFB">
        <w:rPr>
          <w:rStyle w:val="FootnoteReference"/>
          <w:bCs w:val="0"/>
          <w:szCs w:val="22"/>
        </w:rPr>
        <w:footnoteReference w:id="1232"/>
      </w:r>
      <w:bookmarkEnd w:id="5705"/>
      <w:bookmarkEnd w:id="5706"/>
      <w:bookmarkEnd w:id="5707"/>
      <w:bookmarkEnd w:id="5708"/>
      <w:bookmarkEnd w:id="5709"/>
      <w:bookmarkEnd w:id="5710"/>
      <w:bookmarkEnd w:id="5711"/>
      <w:bookmarkEnd w:id="5712"/>
      <w:bookmarkEnd w:id="5713"/>
      <w:bookmarkEnd w:id="5714"/>
      <w:bookmarkEnd w:id="5715"/>
      <w:bookmarkEnd w:id="5716"/>
      <w:bookmarkEnd w:id="5717"/>
      <w:bookmarkEnd w:id="5718"/>
      <w:bookmarkEnd w:id="5719"/>
      <w:bookmarkEnd w:id="5720"/>
      <w:bookmarkEnd w:id="5721"/>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322"/>
        <w:gridCol w:w="1329"/>
        <w:gridCol w:w="1329"/>
        <w:gridCol w:w="840"/>
        <w:gridCol w:w="1261"/>
        <w:gridCol w:w="828"/>
        <w:gridCol w:w="1487"/>
      </w:tblGrid>
      <w:tr w:rsidR="004A147C" w:rsidRPr="00B53FFB" w:rsidTr="00D626F5">
        <w:trPr>
          <w:jc w:val="center"/>
        </w:trPr>
        <w:tc>
          <w:tcPr>
            <w:tcW w:w="0" w:type="auto"/>
          </w:tcPr>
          <w:p w:rsidR="004A147C" w:rsidRPr="00B53FFB" w:rsidRDefault="004A147C" w:rsidP="00CE5850">
            <w:pPr>
              <w:jc w:val="center"/>
              <w:rPr>
                <w:b/>
                <w:szCs w:val="22"/>
              </w:rPr>
            </w:pPr>
            <w:r w:rsidRPr="00B53FFB">
              <w:rPr>
                <w:b/>
                <w:szCs w:val="22"/>
              </w:rPr>
              <w:t>Country</w:t>
            </w:r>
          </w:p>
        </w:tc>
        <w:tc>
          <w:tcPr>
            <w:tcW w:w="0" w:type="auto"/>
          </w:tcPr>
          <w:p w:rsidR="004A147C" w:rsidRPr="00B53FFB" w:rsidRDefault="004A147C" w:rsidP="00CE5850">
            <w:pPr>
              <w:jc w:val="center"/>
              <w:rPr>
                <w:b/>
                <w:szCs w:val="22"/>
              </w:rPr>
            </w:pPr>
            <w:r w:rsidRPr="00B53FFB">
              <w:rPr>
                <w:b/>
                <w:szCs w:val="22"/>
              </w:rPr>
              <w:t>Penetration</w:t>
            </w:r>
          </w:p>
          <w:p w:rsidR="004A147C" w:rsidRPr="00B53FFB" w:rsidRDefault="004A147C" w:rsidP="00CE5850">
            <w:pPr>
              <w:jc w:val="center"/>
              <w:rPr>
                <w:b/>
                <w:szCs w:val="22"/>
              </w:rPr>
            </w:pPr>
            <w:r w:rsidRPr="00B53FFB">
              <w:rPr>
                <w:b/>
                <w:szCs w:val="22"/>
              </w:rPr>
              <w:t xml:space="preserve">(% of Pops) </w:t>
            </w:r>
          </w:p>
        </w:tc>
        <w:tc>
          <w:tcPr>
            <w:tcW w:w="0" w:type="auto"/>
          </w:tcPr>
          <w:p w:rsidR="004A147C" w:rsidRPr="00B53FFB" w:rsidRDefault="004A147C" w:rsidP="00CE5850">
            <w:pPr>
              <w:jc w:val="center"/>
              <w:rPr>
                <w:b/>
                <w:szCs w:val="22"/>
              </w:rPr>
            </w:pPr>
            <w:r w:rsidRPr="00B53FFB">
              <w:rPr>
                <w:b/>
                <w:szCs w:val="22"/>
              </w:rPr>
              <w:t>Prepaid</w:t>
            </w:r>
          </w:p>
          <w:p w:rsidR="004A147C" w:rsidRPr="00B53FFB" w:rsidRDefault="004A147C" w:rsidP="00CE5850">
            <w:pPr>
              <w:jc w:val="center"/>
              <w:rPr>
                <w:b/>
                <w:szCs w:val="22"/>
              </w:rPr>
            </w:pPr>
            <w:r w:rsidRPr="00B53FFB">
              <w:rPr>
                <w:b/>
                <w:szCs w:val="22"/>
              </w:rPr>
              <w:t>(% of Subs)</w:t>
            </w:r>
          </w:p>
        </w:tc>
        <w:tc>
          <w:tcPr>
            <w:tcW w:w="0" w:type="auto"/>
          </w:tcPr>
          <w:p w:rsidR="004A147C" w:rsidRPr="00B53FFB" w:rsidRDefault="004A147C" w:rsidP="00CE5850">
            <w:pPr>
              <w:jc w:val="center"/>
              <w:rPr>
                <w:b/>
                <w:szCs w:val="22"/>
              </w:rPr>
            </w:pPr>
            <w:r w:rsidRPr="00B53FFB">
              <w:rPr>
                <w:b/>
                <w:szCs w:val="22"/>
              </w:rPr>
              <w:t>MOUs</w:t>
            </w:r>
          </w:p>
        </w:tc>
        <w:tc>
          <w:tcPr>
            <w:tcW w:w="0" w:type="auto"/>
          </w:tcPr>
          <w:p w:rsidR="004A147C" w:rsidRPr="00B53FFB" w:rsidRDefault="004A147C" w:rsidP="00CE5850">
            <w:pPr>
              <w:jc w:val="center"/>
              <w:rPr>
                <w:b/>
                <w:szCs w:val="22"/>
              </w:rPr>
            </w:pPr>
            <w:r w:rsidRPr="00B53FFB">
              <w:rPr>
                <w:b/>
                <w:szCs w:val="22"/>
              </w:rPr>
              <w:t>RPM ($)</w:t>
            </w:r>
          </w:p>
          <w:p w:rsidR="004A147C" w:rsidRPr="00B53FFB" w:rsidRDefault="004A147C" w:rsidP="00CE5850">
            <w:pPr>
              <w:jc w:val="center"/>
              <w:rPr>
                <w:b/>
                <w:szCs w:val="22"/>
              </w:rPr>
            </w:pPr>
            <w:r w:rsidRPr="00B53FFB">
              <w:rPr>
                <w:b/>
                <w:szCs w:val="22"/>
              </w:rPr>
              <w:t>Voice Only</w:t>
            </w:r>
          </w:p>
        </w:tc>
        <w:tc>
          <w:tcPr>
            <w:tcW w:w="0" w:type="auto"/>
          </w:tcPr>
          <w:p w:rsidR="004A147C" w:rsidRPr="00B53FFB" w:rsidRDefault="004A147C" w:rsidP="00CE5850">
            <w:pPr>
              <w:jc w:val="center"/>
              <w:rPr>
                <w:b/>
                <w:szCs w:val="22"/>
              </w:rPr>
            </w:pPr>
            <w:r w:rsidRPr="00B53FFB">
              <w:rPr>
                <w:b/>
                <w:szCs w:val="22"/>
              </w:rPr>
              <w:t>ARPU</w:t>
            </w:r>
          </w:p>
          <w:p w:rsidR="004A147C" w:rsidRPr="00B53FFB" w:rsidRDefault="004A147C" w:rsidP="00CE5850">
            <w:pPr>
              <w:jc w:val="center"/>
              <w:rPr>
                <w:b/>
                <w:szCs w:val="22"/>
              </w:rPr>
            </w:pPr>
            <w:r w:rsidRPr="00B53FFB">
              <w:rPr>
                <w:b/>
                <w:szCs w:val="22"/>
              </w:rPr>
              <w:t>($)</w:t>
            </w:r>
          </w:p>
        </w:tc>
        <w:tc>
          <w:tcPr>
            <w:tcW w:w="0" w:type="auto"/>
          </w:tcPr>
          <w:p w:rsidR="004A147C" w:rsidRPr="00B53FFB" w:rsidRDefault="004A147C" w:rsidP="00CE5850">
            <w:pPr>
              <w:jc w:val="center"/>
              <w:rPr>
                <w:b/>
                <w:szCs w:val="22"/>
              </w:rPr>
            </w:pPr>
            <w:r w:rsidRPr="00B53FFB">
              <w:rPr>
                <w:b/>
                <w:szCs w:val="22"/>
              </w:rPr>
              <w:t xml:space="preserve">Data </w:t>
            </w:r>
          </w:p>
          <w:p w:rsidR="004A147C" w:rsidRPr="00B53FFB" w:rsidRDefault="004A147C" w:rsidP="00CE5850">
            <w:pPr>
              <w:jc w:val="center"/>
              <w:rPr>
                <w:b/>
                <w:szCs w:val="22"/>
              </w:rPr>
            </w:pPr>
            <w:r w:rsidRPr="00B53FFB">
              <w:rPr>
                <w:b/>
                <w:szCs w:val="22"/>
              </w:rPr>
              <w:t>(% of ARPU)</w:t>
            </w:r>
          </w:p>
        </w:tc>
      </w:tr>
      <w:tr w:rsidR="004A147C" w:rsidRPr="00B53FFB" w:rsidTr="00D626F5">
        <w:trPr>
          <w:jc w:val="center"/>
        </w:trPr>
        <w:tc>
          <w:tcPr>
            <w:tcW w:w="0" w:type="auto"/>
            <w:gridSpan w:val="7"/>
          </w:tcPr>
          <w:p w:rsidR="004A147C" w:rsidRPr="00B53FFB" w:rsidRDefault="004A147C" w:rsidP="00CE5850">
            <w:pPr>
              <w:rPr>
                <w:b/>
                <w:szCs w:val="22"/>
              </w:rPr>
            </w:pPr>
            <w:r w:rsidRPr="00B53FFB">
              <w:rPr>
                <w:b/>
                <w:szCs w:val="22"/>
              </w:rPr>
              <w:t>Receiving Party Pays</w:t>
            </w:r>
          </w:p>
        </w:tc>
      </w:tr>
      <w:tr w:rsidR="004A147C" w:rsidRPr="00B53FFB" w:rsidTr="00D626F5">
        <w:trPr>
          <w:jc w:val="center"/>
        </w:trPr>
        <w:tc>
          <w:tcPr>
            <w:tcW w:w="0" w:type="auto"/>
            <w:shd w:val="clear" w:color="auto" w:fill="FFFF99"/>
          </w:tcPr>
          <w:p w:rsidR="004A147C" w:rsidRPr="00B53FFB" w:rsidRDefault="004A147C" w:rsidP="00CE5850">
            <w:pPr>
              <w:rPr>
                <w:szCs w:val="22"/>
              </w:rPr>
            </w:pPr>
            <w:r w:rsidRPr="00B53FFB">
              <w:rPr>
                <w:szCs w:val="22"/>
              </w:rPr>
              <w:t>USA</w:t>
            </w:r>
          </w:p>
        </w:tc>
        <w:tc>
          <w:tcPr>
            <w:tcW w:w="0" w:type="auto"/>
            <w:shd w:val="clear" w:color="auto" w:fill="FFFF99"/>
          </w:tcPr>
          <w:p w:rsidR="004A147C" w:rsidRPr="00B53FFB" w:rsidRDefault="004A147C" w:rsidP="00CE5850">
            <w:pPr>
              <w:tabs>
                <w:tab w:val="left" w:pos="1160"/>
              </w:tabs>
              <w:rPr>
                <w:szCs w:val="22"/>
              </w:rPr>
            </w:pPr>
            <w:r w:rsidRPr="00B53FFB">
              <w:rPr>
                <w:szCs w:val="22"/>
              </w:rPr>
              <w:t xml:space="preserve">      106</w:t>
            </w:r>
          </w:p>
        </w:tc>
        <w:tc>
          <w:tcPr>
            <w:tcW w:w="0" w:type="auto"/>
            <w:shd w:val="clear" w:color="auto" w:fill="FFFF99"/>
          </w:tcPr>
          <w:p w:rsidR="004A147C" w:rsidRPr="00B53FFB" w:rsidRDefault="004A147C" w:rsidP="00CE5850">
            <w:pPr>
              <w:jc w:val="center"/>
              <w:rPr>
                <w:szCs w:val="22"/>
              </w:rPr>
            </w:pPr>
            <w:r w:rsidRPr="00B53FFB">
              <w:rPr>
                <w:szCs w:val="22"/>
              </w:rPr>
              <w:t>29</w:t>
            </w:r>
          </w:p>
        </w:tc>
        <w:tc>
          <w:tcPr>
            <w:tcW w:w="0" w:type="auto"/>
            <w:shd w:val="clear" w:color="auto" w:fill="FFFF99"/>
          </w:tcPr>
          <w:p w:rsidR="004A147C" w:rsidRPr="00B53FFB" w:rsidRDefault="004A147C" w:rsidP="00CE5850">
            <w:pPr>
              <w:jc w:val="center"/>
              <w:rPr>
                <w:szCs w:val="22"/>
              </w:rPr>
            </w:pPr>
            <w:r w:rsidRPr="00B53FFB">
              <w:rPr>
                <w:szCs w:val="22"/>
              </w:rPr>
              <w:t>945</w:t>
            </w:r>
          </w:p>
        </w:tc>
        <w:tc>
          <w:tcPr>
            <w:tcW w:w="0" w:type="auto"/>
            <w:shd w:val="clear" w:color="auto" w:fill="FFFF99"/>
          </w:tcPr>
          <w:p w:rsidR="004A147C" w:rsidRPr="00B53FFB" w:rsidRDefault="004A147C" w:rsidP="00CE5850">
            <w:pPr>
              <w:jc w:val="center"/>
              <w:rPr>
                <w:szCs w:val="22"/>
              </w:rPr>
            </w:pPr>
            <w:r w:rsidRPr="00B53FFB">
              <w:rPr>
                <w:szCs w:val="22"/>
              </w:rPr>
              <w:t>0.033</w:t>
            </w:r>
          </w:p>
        </w:tc>
        <w:tc>
          <w:tcPr>
            <w:tcW w:w="0" w:type="auto"/>
            <w:shd w:val="clear" w:color="auto" w:fill="FFFF99"/>
          </w:tcPr>
          <w:p w:rsidR="004A147C" w:rsidRPr="00B53FFB" w:rsidRDefault="004A147C" w:rsidP="00CE5850">
            <w:pPr>
              <w:jc w:val="center"/>
              <w:rPr>
                <w:szCs w:val="22"/>
              </w:rPr>
            </w:pPr>
            <w:r w:rsidRPr="00B53FFB">
              <w:rPr>
                <w:szCs w:val="22"/>
              </w:rPr>
              <w:t>50.88</w:t>
            </w:r>
          </w:p>
        </w:tc>
        <w:tc>
          <w:tcPr>
            <w:tcW w:w="0" w:type="auto"/>
            <w:shd w:val="clear" w:color="auto" w:fill="FFFF99"/>
          </w:tcPr>
          <w:p w:rsidR="004A147C" w:rsidRPr="00B53FFB" w:rsidRDefault="004A147C" w:rsidP="00CE5850">
            <w:pPr>
              <w:jc w:val="center"/>
              <w:rPr>
                <w:szCs w:val="22"/>
              </w:rPr>
            </w:pPr>
            <w:r w:rsidRPr="00B53FFB">
              <w:rPr>
                <w:szCs w:val="22"/>
              </w:rPr>
              <w:t>39.9</w:t>
            </w:r>
          </w:p>
        </w:tc>
      </w:tr>
      <w:tr w:rsidR="004A147C" w:rsidRPr="00B53FFB" w:rsidTr="00D626F5">
        <w:trPr>
          <w:jc w:val="center"/>
        </w:trPr>
        <w:tc>
          <w:tcPr>
            <w:tcW w:w="0" w:type="auto"/>
            <w:shd w:val="clear" w:color="auto" w:fill="FFFF99"/>
          </w:tcPr>
          <w:p w:rsidR="004A147C" w:rsidRPr="00B53FFB" w:rsidRDefault="004A147C" w:rsidP="00CE5850">
            <w:pPr>
              <w:rPr>
                <w:szCs w:val="22"/>
              </w:rPr>
            </w:pPr>
            <w:r w:rsidRPr="00B53FFB">
              <w:rPr>
                <w:szCs w:val="22"/>
              </w:rPr>
              <w:t>Canada</w:t>
            </w:r>
          </w:p>
        </w:tc>
        <w:tc>
          <w:tcPr>
            <w:tcW w:w="0" w:type="auto"/>
            <w:shd w:val="clear" w:color="auto" w:fill="FFFF99"/>
          </w:tcPr>
          <w:p w:rsidR="004A147C" w:rsidRPr="00B53FFB" w:rsidRDefault="004A147C" w:rsidP="00CE5850">
            <w:pPr>
              <w:rPr>
                <w:szCs w:val="22"/>
              </w:rPr>
            </w:pPr>
            <w:r w:rsidRPr="00B53FFB">
              <w:rPr>
                <w:szCs w:val="22"/>
              </w:rPr>
              <w:t xml:space="preserve">       77</w:t>
            </w:r>
          </w:p>
        </w:tc>
        <w:tc>
          <w:tcPr>
            <w:tcW w:w="0" w:type="auto"/>
            <w:shd w:val="clear" w:color="auto" w:fill="FFFF99"/>
          </w:tcPr>
          <w:p w:rsidR="004A147C" w:rsidRPr="00B53FFB" w:rsidRDefault="004A147C" w:rsidP="00CE5850">
            <w:pPr>
              <w:jc w:val="center"/>
              <w:rPr>
                <w:szCs w:val="22"/>
              </w:rPr>
            </w:pPr>
            <w:r w:rsidRPr="00B53FFB">
              <w:rPr>
                <w:szCs w:val="22"/>
              </w:rPr>
              <w:t>19</w:t>
            </w:r>
          </w:p>
        </w:tc>
        <w:tc>
          <w:tcPr>
            <w:tcW w:w="0" w:type="auto"/>
            <w:shd w:val="clear" w:color="auto" w:fill="FFFF99"/>
          </w:tcPr>
          <w:p w:rsidR="004A147C" w:rsidRPr="00B53FFB" w:rsidRDefault="004A147C" w:rsidP="00CE5850">
            <w:pPr>
              <w:jc w:val="center"/>
              <w:rPr>
                <w:szCs w:val="22"/>
              </w:rPr>
            </w:pPr>
            <w:r w:rsidRPr="00B53FFB">
              <w:rPr>
                <w:szCs w:val="22"/>
              </w:rPr>
              <w:t>372</w:t>
            </w:r>
          </w:p>
        </w:tc>
        <w:tc>
          <w:tcPr>
            <w:tcW w:w="0" w:type="auto"/>
            <w:shd w:val="clear" w:color="auto" w:fill="FFFF99"/>
          </w:tcPr>
          <w:p w:rsidR="004A147C" w:rsidRPr="00B53FFB" w:rsidRDefault="004A147C" w:rsidP="00CE5850">
            <w:pPr>
              <w:jc w:val="center"/>
              <w:rPr>
                <w:szCs w:val="22"/>
              </w:rPr>
            </w:pPr>
            <w:r w:rsidRPr="00B53FFB">
              <w:rPr>
                <w:szCs w:val="22"/>
              </w:rPr>
              <w:t>0.091</w:t>
            </w:r>
          </w:p>
        </w:tc>
        <w:tc>
          <w:tcPr>
            <w:tcW w:w="0" w:type="auto"/>
            <w:shd w:val="clear" w:color="auto" w:fill="FFFF99"/>
          </w:tcPr>
          <w:p w:rsidR="004A147C" w:rsidRPr="00B53FFB" w:rsidRDefault="004A147C" w:rsidP="00CE5850">
            <w:pPr>
              <w:jc w:val="center"/>
              <w:rPr>
                <w:szCs w:val="22"/>
              </w:rPr>
            </w:pPr>
            <w:r w:rsidRPr="00B53FFB">
              <w:rPr>
                <w:szCs w:val="22"/>
              </w:rPr>
              <w:t>56.32</w:t>
            </w:r>
          </w:p>
        </w:tc>
        <w:tc>
          <w:tcPr>
            <w:tcW w:w="0" w:type="auto"/>
            <w:shd w:val="clear" w:color="auto" w:fill="FFFF99"/>
          </w:tcPr>
          <w:p w:rsidR="004A147C" w:rsidRPr="00B53FFB" w:rsidRDefault="004A147C" w:rsidP="00CE5850">
            <w:pPr>
              <w:jc w:val="center"/>
              <w:rPr>
                <w:szCs w:val="22"/>
              </w:rPr>
            </w:pPr>
            <w:r w:rsidRPr="00B53FFB">
              <w:rPr>
                <w:szCs w:val="22"/>
              </w:rPr>
              <w:t>34.7</w:t>
            </w:r>
          </w:p>
        </w:tc>
      </w:tr>
      <w:tr w:rsidR="004A147C" w:rsidRPr="00B53FFB" w:rsidTr="00D626F5">
        <w:trPr>
          <w:jc w:val="center"/>
        </w:trPr>
        <w:tc>
          <w:tcPr>
            <w:tcW w:w="0" w:type="auto"/>
            <w:shd w:val="clear" w:color="auto" w:fill="FFFF99"/>
          </w:tcPr>
          <w:p w:rsidR="004A147C" w:rsidRPr="00B53FFB" w:rsidRDefault="004A147C" w:rsidP="00CE5850">
            <w:pPr>
              <w:rPr>
                <w:szCs w:val="22"/>
              </w:rPr>
            </w:pPr>
            <w:r w:rsidRPr="00B53FFB">
              <w:rPr>
                <w:szCs w:val="22"/>
              </w:rPr>
              <w:t>Singapore</w:t>
            </w:r>
          </w:p>
        </w:tc>
        <w:tc>
          <w:tcPr>
            <w:tcW w:w="0" w:type="auto"/>
            <w:shd w:val="clear" w:color="auto" w:fill="FFFF99"/>
          </w:tcPr>
          <w:p w:rsidR="004A147C" w:rsidRPr="00B53FFB" w:rsidRDefault="004A147C" w:rsidP="00CE5850">
            <w:pPr>
              <w:rPr>
                <w:szCs w:val="22"/>
              </w:rPr>
            </w:pPr>
            <w:r w:rsidRPr="00B53FFB">
              <w:rPr>
                <w:szCs w:val="22"/>
              </w:rPr>
              <w:t xml:space="preserve">     148</w:t>
            </w:r>
          </w:p>
        </w:tc>
        <w:tc>
          <w:tcPr>
            <w:tcW w:w="0" w:type="auto"/>
            <w:shd w:val="clear" w:color="auto" w:fill="FFFF99"/>
          </w:tcPr>
          <w:p w:rsidR="004A147C" w:rsidRPr="00B53FFB" w:rsidRDefault="004A147C" w:rsidP="00CE5850">
            <w:pPr>
              <w:jc w:val="center"/>
              <w:rPr>
                <w:szCs w:val="22"/>
              </w:rPr>
            </w:pPr>
            <w:r w:rsidRPr="00B53FFB">
              <w:rPr>
                <w:szCs w:val="22"/>
              </w:rPr>
              <w:t>48</w:t>
            </w:r>
          </w:p>
        </w:tc>
        <w:tc>
          <w:tcPr>
            <w:tcW w:w="0" w:type="auto"/>
            <w:shd w:val="clear" w:color="auto" w:fill="FFFF99"/>
          </w:tcPr>
          <w:p w:rsidR="004A147C" w:rsidRPr="00B53FFB" w:rsidRDefault="004A147C" w:rsidP="00CE5850">
            <w:pPr>
              <w:jc w:val="center"/>
              <w:rPr>
                <w:szCs w:val="22"/>
              </w:rPr>
            </w:pPr>
            <w:r w:rsidRPr="00B53FFB">
              <w:rPr>
                <w:szCs w:val="22"/>
              </w:rPr>
              <w:t>352</w:t>
            </w:r>
          </w:p>
        </w:tc>
        <w:tc>
          <w:tcPr>
            <w:tcW w:w="0" w:type="auto"/>
            <w:shd w:val="clear" w:color="auto" w:fill="FFFF99"/>
          </w:tcPr>
          <w:p w:rsidR="004A147C" w:rsidRPr="00B53FFB" w:rsidRDefault="004A147C" w:rsidP="00CE5850">
            <w:pPr>
              <w:jc w:val="center"/>
              <w:rPr>
                <w:szCs w:val="22"/>
              </w:rPr>
            </w:pPr>
            <w:r w:rsidRPr="00B53FFB">
              <w:rPr>
                <w:szCs w:val="22"/>
              </w:rPr>
              <w:t>0.064</w:t>
            </w:r>
          </w:p>
        </w:tc>
        <w:tc>
          <w:tcPr>
            <w:tcW w:w="0" w:type="auto"/>
            <w:shd w:val="clear" w:color="auto" w:fill="FFFF99"/>
          </w:tcPr>
          <w:p w:rsidR="004A147C" w:rsidRPr="00B53FFB" w:rsidRDefault="004A147C" w:rsidP="00CE5850">
            <w:pPr>
              <w:jc w:val="center"/>
              <w:rPr>
                <w:szCs w:val="22"/>
              </w:rPr>
            </w:pPr>
            <w:r w:rsidRPr="00B53FFB">
              <w:rPr>
                <w:szCs w:val="22"/>
              </w:rPr>
              <w:t>36.85</w:t>
            </w:r>
          </w:p>
        </w:tc>
        <w:tc>
          <w:tcPr>
            <w:tcW w:w="0" w:type="auto"/>
            <w:shd w:val="clear" w:color="auto" w:fill="FFFF99"/>
          </w:tcPr>
          <w:p w:rsidR="004A147C" w:rsidRPr="00B53FFB" w:rsidRDefault="004A147C" w:rsidP="00CE5850">
            <w:pPr>
              <w:jc w:val="center"/>
              <w:rPr>
                <w:szCs w:val="22"/>
              </w:rPr>
            </w:pPr>
            <w:r w:rsidRPr="00B53FFB">
              <w:rPr>
                <w:szCs w:val="22"/>
              </w:rPr>
              <w:t>39.1</w:t>
            </w:r>
          </w:p>
        </w:tc>
      </w:tr>
      <w:tr w:rsidR="004A147C" w:rsidRPr="00B53FFB" w:rsidTr="00D626F5">
        <w:trPr>
          <w:jc w:val="center"/>
        </w:trPr>
        <w:tc>
          <w:tcPr>
            <w:tcW w:w="0" w:type="auto"/>
            <w:gridSpan w:val="7"/>
          </w:tcPr>
          <w:p w:rsidR="004A147C" w:rsidRPr="00B53FFB" w:rsidRDefault="004A147C" w:rsidP="00CE5850">
            <w:pPr>
              <w:rPr>
                <w:b/>
                <w:szCs w:val="22"/>
              </w:rPr>
            </w:pPr>
            <w:r w:rsidRPr="00B53FFB">
              <w:rPr>
                <w:b/>
                <w:szCs w:val="22"/>
              </w:rPr>
              <w:t>Calling Party Pays</w:t>
            </w:r>
          </w:p>
        </w:tc>
      </w:tr>
      <w:tr w:rsidR="004A147C" w:rsidRPr="00B53FFB" w:rsidTr="00D626F5">
        <w:trPr>
          <w:jc w:val="center"/>
        </w:trPr>
        <w:tc>
          <w:tcPr>
            <w:tcW w:w="0" w:type="auto"/>
            <w:shd w:val="clear" w:color="auto" w:fill="CCFFFF"/>
          </w:tcPr>
          <w:p w:rsidR="004A147C" w:rsidRPr="00B53FFB" w:rsidRDefault="004A147C" w:rsidP="00CE5850">
            <w:pPr>
              <w:rPr>
                <w:szCs w:val="22"/>
              </w:rPr>
            </w:pPr>
            <w:r w:rsidRPr="00B53FFB">
              <w:rPr>
                <w:szCs w:val="22"/>
              </w:rPr>
              <w:t>UK</w:t>
            </w:r>
          </w:p>
        </w:tc>
        <w:tc>
          <w:tcPr>
            <w:tcW w:w="0" w:type="auto"/>
            <w:shd w:val="clear" w:color="auto" w:fill="CCFFFF"/>
          </w:tcPr>
          <w:p w:rsidR="004A147C" w:rsidRPr="00B53FFB" w:rsidRDefault="004A147C" w:rsidP="00CE5850">
            <w:pPr>
              <w:rPr>
                <w:szCs w:val="22"/>
              </w:rPr>
            </w:pPr>
            <w:r w:rsidRPr="00B53FFB">
              <w:rPr>
                <w:szCs w:val="22"/>
              </w:rPr>
              <w:t xml:space="preserve">     123</w:t>
            </w:r>
          </w:p>
        </w:tc>
        <w:tc>
          <w:tcPr>
            <w:tcW w:w="0" w:type="auto"/>
            <w:shd w:val="clear" w:color="auto" w:fill="CCFFFF"/>
          </w:tcPr>
          <w:p w:rsidR="004A147C" w:rsidRPr="00B53FFB" w:rsidRDefault="004A147C" w:rsidP="00CE5850">
            <w:pPr>
              <w:jc w:val="center"/>
              <w:rPr>
                <w:szCs w:val="22"/>
              </w:rPr>
            </w:pPr>
            <w:r w:rsidRPr="00B53FFB">
              <w:rPr>
                <w:szCs w:val="22"/>
              </w:rPr>
              <w:t>50</w:t>
            </w:r>
          </w:p>
        </w:tc>
        <w:tc>
          <w:tcPr>
            <w:tcW w:w="0" w:type="auto"/>
            <w:shd w:val="clear" w:color="auto" w:fill="CCFFFF"/>
          </w:tcPr>
          <w:p w:rsidR="004A147C" w:rsidRPr="00B53FFB" w:rsidRDefault="004A147C" w:rsidP="00CE5850">
            <w:pPr>
              <w:jc w:val="center"/>
              <w:rPr>
                <w:szCs w:val="22"/>
              </w:rPr>
            </w:pPr>
            <w:r w:rsidRPr="00B53FFB">
              <w:rPr>
                <w:szCs w:val="22"/>
              </w:rPr>
              <w:t>192</w:t>
            </w:r>
          </w:p>
        </w:tc>
        <w:tc>
          <w:tcPr>
            <w:tcW w:w="0" w:type="auto"/>
            <w:shd w:val="clear" w:color="auto" w:fill="CCFFFF"/>
          </w:tcPr>
          <w:p w:rsidR="004A147C" w:rsidRPr="00B53FFB" w:rsidRDefault="004A147C" w:rsidP="00CE5850">
            <w:pPr>
              <w:jc w:val="center"/>
              <w:rPr>
                <w:szCs w:val="22"/>
              </w:rPr>
            </w:pPr>
            <w:r w:rsidRPr="00B53FFB">
              <w:rPr>
                <w:szCs w:val="22"/>
              </w:rPr>
              <w:t>0.083</w:t>
            </w:r>
          </w:p>
        </w:tc>
        <w:tc>
          <w:tcPr>
            <w:tcW w:w="0" w:type="auto"/>
            <w:shd w:val="clear" w:color="auto" w:fill="CCFFFF"/>
          </w:tcPr>
          <w:p w:rsidR="004A147C" w:rsidRPr="00B53FFB" w:rsidRDefault="004A147C" w:rsidP="00CE5850">
            <w:pPr>
              <w:jc w:val="center"/>
              <w:rPr>
                <w:szCs w:val="22"/>
              </w:rPr>
            </w:pPr>
            <w:r w:rsidRPr="00B53FFB">
              <w:rPr>
                <w:szCs w:val="22"/>
              </w:rPr>
              <w:t>27.07</w:t>
            </w:r>
          </w:p>
        </w:tc>
        <w:tc>
          <w:tcPr>
            <w:tcW w:w="0" w:type="auto"/>
            <w:shd w:val="clear" w:color="auto" w:fill="CCFFFF"/>
          </w:tcPr>
          <w:p w:rsidR="004A147C" w:rsidRPr="00B53FFB" w:rsidRDefault="004A147C" w:rsidP="00CE5850">
            <w:pPr>
              <w:jc w:val="center"/>
              <w:rPr>
                <w:szCs w:val="22"/>
              </w:rPr>
            </w:pPr>
            <w:r w:rsidRPr="00B53FFB">
              <w:rPr>
                <w:szCs w:val="22"/>
              </w:rPr>
              <w:t>37.0</w:t>
            </w:r>
          </w:p>
        </w:tc>
      </w:tr>
      <w:tr w:rsidR="004A147C" w:rsidRPr="00B53FFB" w:rsidTr="00D626F5">
        <w:trPr>
          <w:jc w:val="center"/>
        </w:trPr>
        <w:tc>
          <w:tcPr>
            <w:tcW w:w="0" w:type="auto"/>
            <w:shd w:val="clear" w:color="auto" w:fill="CCFFFF"/>
          </w:tcPr>
          <w:p w:rsidR="004A147C" w:rsidRPr="00B53FFB" w:rsidRDefault="004A147C" w:rsidP="00CE5850">
            <w:pPr>
              <w:rPr>
                <w:szCs w:val="22"/>
              </w:rPr>
            </w:pPr>
            <w:r w:rsidRPr="00B53FFB">
              <w:rPr>
                <w:szCs w:val="22"/>
              </w:rPr>
              <w:t>Germany</w:t>
            </w:r>
          </w:p>
        </w:tc>
        <w:tc>
          <w:tcPr>
            <w:tcW w:w="0" w:type="auto"/>
            <w:shd w:val="clear" w:color="auto" w:fill="CCFFFF"/>
          </w:tcPr>
          <w:p w:rsidR="004A147C" w:rsidRPr="00B53FFB" w:rsidRDefault="004A147C" w:rsidP="00CE5850">
            <w:pPr>
              <w:rPr>
                <w:szCs w:val="22"/>
              </w:rPr>
            </w:pPr>
            <w:r w:rsidRPr="00B53FFB">
              <w:rPr>
                <w:szCs w:val="22"/>
              </w:rPr>
              <w:t xml:space="preserve">     139</w:t>
            </w:r>
          </w:p>
        </w:tc>
        <w:tc>
          <w:tcPr>
            <w:tcW w:w="0" w:type="auto"/>
            <w:shd w:val="clear" w:color="auto" w:fill="CCFFFF"/>
          </w:tcPr>
          <w:p w:rsidR="004A147C" w:rsidRPr="00B53FFB" w:rsidRDefault="004A147C" w:rsidP="00CE5850">
            <w:pPr>
              <w:jc w:val="center"/>
              <w:rPr>
                <w:szCs w:val="22"/>
              </w:rPr>
            </w:pPr>
            <w:r w:rsidRPr="00B53FFB">
              <w:rPr>
                <w:szCs w:val="22"/>
              </w:rPr>
              <w:t>56</w:t>
            </w:r>
          </w:p>
        </w:tc>
        <w:tc>
          <w:tcPr>
            <w:tcW w:w="0" w:type="auto"/>
            <w:shd w:val="clear" w:color="auto" w:fill="CCFFFF"/>
          </w:tcPr>
          <w:p w:rsidR="004A147C" w:rsidRPr="00B53FFB" w:rsidRDefault="004A147C" w:rsidP="00CE5850">
            <w:pPr>
              <w:jc w:val="center"/>
              <w:rPr>
                <w:szCs w:val="22"/>
              </w:rPr>
            </w:pPr>
            <w:r w:rsidRPr="00B53FFB">
              <w:rPr>
                <w:szCs w:val="22"/>
              </w:rPr>
              <w:t>130</w:t>
            </w:r>
          </w:p>
        </w:tc>
        <w:tc>
          <w:tcPr>
            <w:tcW w:w="0" w:type="auto"/>
            <w:shd w:val="clear" w:color="auto" w:fill="CCFFFF"/>
          </w:tcPr>
          <w:p w:rsidR="004A147C" w:rsidRPr="00B53FFB" w:rsidRDefault="004A147C" w:rsidP="00CE5850">
            <w:pPr>
              <w:jc w:val="center"/>
              <w:rPr>
                <w:szCs w:val="22"/>
              </w:rPr>
            </w:pPr>
            <w:r w:rsidRPr="00B53FFB">
              <w:rPr>
                <w:szCs w:val="22"/>
              </w:rPr>
              <w:t>0.092</w:t>
            </w:r>
          </w:p>
        </w:tc>
        <w:tc>
          <w:tcPr>
            <w:tcW w:w="0" w:type="auto"/>
            <w:shd w:val="clear" w:color="auto" w:fill="CCFFFF"/>
          </w:tcPr>
          <w:p w:rsidR="004A147C" w:rsidRPr="00B53FFB" w:rsidRDefault="004A147C" w:rsidP="00CE5850">
            <w:pPr>
              <w:jc w:val="center"/>
              <w:rPr>
                <w:szCs w:val="22"/>
              </w:rPr>
            </w:pPr>
            <w:r w:rsidRPr="00B53FFB">
              <w:rPr>
                <w:szCs w:val="22"/>
              </w:rPr>
              <w:t>19.81</w:t>
            </w:r>
          </w:p>
        </w:tc>
        <w:tc>
          <w:tcPr>
            <w:tcW w:w="0" w:type="auto"/>
            <w:shd w:val="clear" w:color="auto" w:fill="CCFFFF"/>
          </w:tcPr>
          <w:p w:rsidR="004A147C" w:rsidRPr="00B53FFB" w:rsidRDefault="004A147C" w:rsidP="00CE5850">
            <w:pPr>
              <w:jc w:val="center"/>
              <w:rPr>
                <w:szCs w:val="22"/>
              </w:rPr>
            </w:pPr>
            <w:r w:rsidRPr="00B53FFB">
              <w:rPr>
                <w:szCs w:val="22"/>
              </w:rPr>
              <w:t>40.4</w:t>
            </w:r>
          </w:p>
        </w:tc>
      </w:tr>
      <w:tr w:rsidR="004A147C" w:rsidRPr="00B53FFB" w:rsidTr="00D626F5">
        <w:trPr>
          <w:jc w:val="center"/>
        </w:trPr>
        <w:tc>
          <w:tcPr>
            <w:tcW w:w="0" w:type="auto"/>
            <w:shd w:val="clear" w:color="auto" w:fill="CCFFFF"/>
          </w:tcPr>
          <w:p w:rsidR="004A147C" w:rsidRPr="00B53FFB" w:rsidRDefault="004A147C" w:rsidP="00CE5850">
            <w:pPr>
              <w:rPr>
                <w:szCs w:val="22"/>
              </w:rPr>
            </w:pPr>
            <w:r w:rsidRPr="00B53FFB">
              <w:rPr>
                <w:szCs w:val="22"/>
              </w:rPr>
              <w:t>Italy</w:t>
            </w:r>
          </w:p>
        </w:tc>
        <w:tc>
          <w:tcPr>
            <w:tcW w:w="0" w:type="auto"/>
            <w:shd w:val="clear" w:color="auto" w:fill="CCFFFF"/>
          </w:tcPr>
          <w:p w:rsidR="004A147C" w:rsidRPr="00B53FFB" w:rsidRDefault="004A147C" w:rsidP="00CE5850">
            <w:pPr>
              <w:rPr>
                <w:szCs w:val="22"/>
              </w:rPr>
            </w:pPr>
            <w:r w:rsidRPr="00B53FFB">
              <w:rPr>
                <w:szCs w:val="22"/>
              </w:rPr>
              <w:t xml:space="preserve">     152</w:t>
            </w:r>
          </w:p>
        </w:tc>
        <w:tc>
          <w:tcPr>
            <w:tcW w:w="0" w:type="auto"/>
            <w:shd w:val="clear" w:color="auto" w:fill="CCFFFF"/>
          </w:tcPr>
          <w:p w:rsidR="004A147C" w:rsidRPr="00B53FFB" w:rsidRDefault="004A147C" w:rsidP="00CE5850">
            <w:pPr>
              <w:jc w:val="center"/>
              <w:rPr>
                <w:szCs w:val="22"/>
              </w:rPr>
            </w:pPr>
            <w:r w:rsidRPr="00B53FFB">
              <w:rPr>
                <w:szCs w:val="22"/>
              </w:rPr>
              <w:t>86</w:t>
            </w:r>
          </w:p>
        </w:tc>
        <w:tc>
          <w:tcPr>
            <w:tcW w:w="0" w:type="auto"/>
            <w:shd w:val="clear" w:color="auto" w:fill="CCFFFF"/>
          </w:tcPr>
          <w:p w:rsidR="004A147C" w:rsidRPr="00B53FFB" w:rsidRDefault="004A147C" w:rsidP="00CE5850">
            <w:pPr>
              <w:jc w:val="center"/>
              <w:rPr>
                <w:szCs w:val="22"/>
              </w:rPr>
            </w:pPr>
            <w:r w:rsidRPr="00B53FFB">
              <w:rPr>
                <w:szCs w:val="22"/>
              </w:rPr>
              <w:t>162</w:t>
            </w:r>
          </w:p>
        </w:tc>
        <w:tc>
          <w:tcPr>
            <w:tcW w:w="0" w:type="auto"/>
            <w:shd w:val="clear" w:color="auto" w:fill="CCFFFF"/>
          </w:tcPr>
          <w:p w:rsidR="004A147C" w:rsidRPr="00B53FFB" w:rsidRDefault="004A147C" w:rsidP="00CE5850">
            <w:pPr>
              <w:jc w:val="center"/>
              <w:rPr>
                <w:szCs w:val="22"/>
              </w:rPr>
            </w:pPr>
            <w:r w:rsidRPr="00B53FFB">
              <w:rPr>
                <w:szCs w:val="22"/>
              </w:rPr>
              <w:t>0.093</w:t>
            </w:r>
          </w:p>
        </w:tc>
        <w:tc>
          <w:tcPr>
            <w:tcW w:w="0" w:type="auto"/>
            <w:shd w:val="clear" w:color="auto" w:fill="CCFFFF"/>
          </w:tcPr>
          <w:p w:rsidR="004A147C" w:rsidRPr="00B53FFB" w:rsidRDefault="004A147C" w:rsidP="00CE5850">
            <w:pPr>
              <w:jc w:val="center"/>
              <w:rPr>
                <w:szCs w:val="22"/>
              </w:rPr>
            </w:pPr>
            <w:r w:rsidRPr="00B53FFB">
              <w:rPr>
                <w:szCs w:val="22"/>
              </w:rPr>
              <w:t>23.30</w:t>
            </w:r>
          </w:p>
        </w:tc>
        <w:tc>
          <w:tcPr>
            <w:tcW w:w="0" w:type="auto"/>
            <w:shd w:val="clear" w:color="auto" w:fill="CCFFFF"/>
          </w:tcPr>
          <w:p w:rsidR="004A147C" w:rsidRPr="00B53FFB" w:rsidRDefault="004A147C" w:rsidP="00CE5850">
            <w:pPr>
              <w:jc w:val="center"/>
              <w:rPr>
                <w:szCs w:val="22"/>
              </w:rPr>
            </w:pPr>
            <w:r w:rsidRPr="00B53FFB">
              <w:rPr>
                <w:szCs w:val="22"/>
              </w:rPr>
              <w:t>31.9</w:t>
            </w:r>
          </w:p>
        </w:tc>
      </w:tr>
      <w:tr w:rsidR="004A147C" w:rsidRPr="00B53FFB" w:rsidTr="00D626F5">
        <w:trPr>
          <w:jc w:val="center"/>
        </w:trPr>
        <w:tc>
          <w:tcPr>
            <w:tcW w:w="0" w:type="auto"/>
            <w:shd w:val="clear" w:color="auto" w:fill="CCFFFF"/>
          </w:tcPr>
          <w:p w:rsidR="004A147C" w:rsidRPr="00B53FFB" w:rsidRDefault="004A147C" w:rsidP="00CE5850">
            <w:pPr>
              <w:rPr>
                <w:szCs w:val="22"/>
              </w:rPr>
            </w:pPr>
            <w:r w:rsidRPr="00B53FFB">
              <w:rPr>
                <w:szCs w:val="22"/>
              </w:rPr>
              <w:t>Sweden</w:t>
            </w:r>
          </w:p>
        </w:tc>
        <w:tc>
          <w:tcPr>
            <w:tcW w:w="0" w:type="auto"/>
            <w:shd w:val="clear" w:color="auto" w:fill="CCFFFF"/>
          </w:tcPr>
          <w:p w:rsidR="004A147C" w:rsidRPr="00B53FFB" w:rsidRDefault="004A147C" w:rsidP="00CE5850">
            <w:pPr>
              <w:rPr>
                <w:szCs w:val="22"/>
              </w:rPr>
            </w:pPr>
            <w:r w:rsidRPr="00B53FFB">
              <w:rPr>
                <w:szCs w:val="22"/>
              </w:rPr>
              <w:t xml:space="preserve">     146</w:t>
            </w:r>
          </w:p>
        </w:tc>
        <w:tc>
          <w:tcPr>
            <w:tcW w:w="0" w:type="auto"/>
            <w:shd w:val="clear" w:color="auto" w:fill="CCFFFF"/>
          </w:tcPr>
          <w:p w:rsidR="004A147C" w:rsidRPr="00B53FFB" w:rsidRDefault="004A147C" w:rsidP="00CE5850">
            <w:pPr>
              <w:jc w:val="center"/>
              <w:rPr>
                <w:szCs w:val="22"/>
              </w:rPr>
            </w:pPr>
            <w:r w:rsidRPr="00B53FFB">
              <w:rPr>
                <w:szCs w:val="22"/>
              </w:rPr>
              <w:t>31</w:t>
            </w:r>
          </w:p>
        </w:tc>
        <w:tc>
          <w:tcPr>
            <w:tcW w:w="0" w:type="auto"/>
            <w:shd w:val="clear" w:color="auto" w:fill="CCFFFF"/>
          </w:tcPr>
          <w:p w:rsidR="004A147C" w:rsidRPr="00B53FFB" w:rsidRDefault="004A147C" w:rsidP="00CE5850">
            <w:pPr>
              <w:jc w:val="center"/>
              <w:rPr>
                <w:szCs w:val="22"/>
              </w:rPr>
            </w:pPr>
            <w:r w:rsidRPr="00B53FFB">
              <w:rPr>
                <w:szCs w:val="22"/>
              </w:rPr>
              <w:t>242</w:t>
            </w:r>
          </w:p>
        </w:tc>
        <w:tc>
          <w:tcPr>
            <w:tcW w:w="0" w:type="auto"/>
            <w:shd w:val="clear" w:color="auto" w:fill="CCFFFF"/>
          </w:tcPr>
          <w:p w:rsidR="004A147C" w:rsidRPr="00B53FFB" w:rsidRDefault="004A147C" w:rsidP="00CE5850">
            <w:pPr>
              <w:jc w:val="center"/>
              <w:rPr>
                <w:szCs w:val="22"/>
              </w:rPr>
            </w:pPr>
            <w:r w:rsidRPr="00B53FFB">
              <w:rPr>
                <w:szCs w:val="22"/>
              </w:rPr>
              <w:t>0.085</w:t>
            </w:r>
          </w:p>
        </w:tc>
        <w:tc>
          <w:tcPr>
            <w:tcW w:w="0" w:type="auto"/>
            <w:shd w:val="clear" w:color="auto" w:fill="CCFFFF"/>
          </w:tcPr>
          <w:p w:rsidR="004A147C" w:rsidRPr="00B53FFB" w:rsidRDefault="004A147C" w:rsidP="00CE5850">
            <w:pPr>
              <w:jc w:val="center"/>
              <w:rPr>
                <w:szCs w:val="22"/>
              </w:rPr>
            </w:pPr>
            <w:r w:rsidRPr="00B53FFB">
              <w:rPr>
                <w:szCs w:val="22"/>
              </w:rPr>
              <w:t>32.05</w:t>
            </w:r>
          </w:p>
        </w:tc>
        <w:tc>
          <w:tcPr>
            <w:tcW w:w="0" w:type="auto"/>
            <w:shd w:val="clear" w:color="auto" w:fill="CCFFFF"/>
          </w:tcPr>
          <w:p w:rsidR="004A147C" w:rsidRPr="00B53FFB" w:rsidRDefault="004A147C" w:rsidP="00CE5850">
            <w:pPr>
              <w:jc w:val="center"/>
              <w:rPr>
                <w:szCs w:val="22"/>
              </w:rPr>
            </w:pPr>
            <w:r w:rsidRPr="00B53FFB">
              <w:rPr>
                <w:szCs w:val="22"/>
              </w:rPr>
              <w:t>31.8</w:t>
            </w:r>
          </w:p>
        </w:tc>
      </w:tr>
      <w:tr w:rsidR="004A147C" w:rsidRPr="00B53FFB" w:rsidTr="00D626F5">
        <w:trPr>
          <w:jc w:val="center"/>
        </w:trPr>
        <w:tc>
          <w:tcPr>
            <w:tcW w:w="0" w:type="auto"/>
            <w:shd w:val="clear" w:color="auto" w:fill="CCFFFF"/>
          </w:tcPr>
          <w:p w:rsidR="004A147C" w:rsidRPr="00B53FFB" w:rsidRDefault="004A147C" w:rsidP="00CE5850">
            <w:pPr>
              <w:rPr>
                <w:szCs w:val="22"/>
              </w:rPr>
            </w:pPr>
            <w:r w:rsidRPr="00B53FFB">
              <w:rPr>
                <w:szCs w:val="22"/>
              </w:rPr>
              <w:t>France</w:t>
            </w:r>
          </w:p>
        </w:tc>
        <w:tc>
          <w:tcPr>
            <w:tcW w:w="0" w:type="auto"/>
            <w:shd w:val="clear" w:color="auto" w:fill="CCFFFF"/>
          </w:tcPr>
          <w:p w:rsidR="004A147C" w:rsidRPr="00B53FFB" w:rsidRDefault="004A147C" w:rsidP="00CE5850">
            <w:pPr>
              <w:rPr>
                <w:szCs w:val="22"/>
              </w:rPr>
            </w:pPr>
            <w:r w:rsidRPr="00B53FFB">
              <w:rPr>
                <w:szCs w:val="22"/>
              </w:rPr>
              <w:t xml:space="preserve">       99</w:t>
            </w:r>
          </w:p>
        </w:tc>
        <w:tc>
          <w:tcPr>
            <w:tcW w:w="0" w:type="auto"/>
            <w:shd w:val="clear" w:color="auto" w:fill="CCFFFF"/>
          </w:tcPr>
          <w:p w:rsidR="004A147C" w:rsidRPr="00B53FFB" w:rsidRDefault="004A147C" w:rsidP="00CE5850">
            <w:pPr>
              <w:jc w:val="center"/>
              <w:rPr>
                <w:szCs w:val="22"/>
              </w:rPr>
            </w:pPr>
            <w:r w:rsidRPr="00B53FFB">
              <w:rPr>
                <w:szCs w:val="22"/>
              </w:rPr>
              <w:t>30</w:t>
            </w:r>
          </w:p>
        </w:tc>
        <w:tc>
          <w:tcPr>
            <w:tcW w:w="0" w:type="auto"/>
            <w:shd w:val="clear" w:color="auto" w:fill="CCFFFF"/>
          </w:tcPr>
          <w:p w:rsidR="004A147C" w:rsidRPr="00B53FFB" w:rsidRDefault="004A147C" w:rsidP="00CE5850">
            <w:pPr>
              <w:jc w:val="center"/>
              <w:rPr>
                <w:szCs w:val="22"/>
              </w:rPr>
            </w:pPr>
            <w:r w:rsidRPr="00B53FFB">
              <w:rPr>
                <w:szCs w:val="22"/>
              </w:rPr>
              <w:t>235</w:t>
            </w:r>
          </w:p>
        </w:tc>
        <w:tc>
          <w:tcPr>
            <w:tcW w:w="0" w:type="auto"/>
            <w:shd w:val="clear" w:color="auto" w:fill="CCFFFF"/>
          </w:tcPr>
          <w:p w:rsidR="004A147C" w:rsidRPr="00B53FFB" w:rsidRDefault="004A147C" w:rsidP="00CE5850">
            <w:pPr>
              <w:jc w:val="center"/>
              <w:rPr>
                <w:szCs w:val="22"/>
              </w:rPr>
            </w:pPr>
            <w:r w:rsidRPr="00B53FFB">
              <w:rPr>
                <w:szCs w:val="22"/>
              </w:rPr>
              <w:t>0.101</w:t>
            </w:r>
          </w:p>
        </w:tc>
        <w:tc>
          <w:tcPr>
            <w:tcW w:w="0" w:type="auto"/>
            <w:shd w:val="clear" w:color="auto" w:fill="CCFFFF"/>
          </w:tcPr>
          <w:p w:rsidR="004A147C" w:rsidRPr="00B53FFB" w:rsidRDefault="004A147C" w:rsidP="00CE5850">
            <w:pPr>
              <w:jc w:val="center"/>
              <w:rPr>
                <w:szCs w:val="22"/>
              </w:rPr>
            </w:pPr>
            <w:r w:rsidRPr="00B53FFB">
              <w:rPr>
                <w:szCs w:val="22"/>
              </w:rPr>
              <w:t>35.23</w:t>
            </w:r>
          </w:p>
        </w:tc>
        <w:tc>
          <w:tcPr>
            <w:tcW w:w="0" w:type="auto"/>
            <w:shd w:val="clear" w:color="auto" w:fill="CCFFFF"/>
          </w:tcPr>
          <w:p w:rsidR="004A147C" w:rsidRPr="00B53FFB" w:rsidRDefault="004A147C" w:rsidP="00CE5850">
            <w:pPr>
              <w:jc w:val="center"/>
              <w:rPr>
                <w:szCs w:val="22"/>
              </w:rPr>
            </w:pPr>
            <w:r w:rsidRPr="00B53FFB">
              <w:rPr>
                <w:szCs w:val="22"/>
              </w:rPr>
              <w:t>28.0</w:t>
            </w:r>
          </w:p>
        </w:tc>
      </w:tr>
      <w:tr w:rsidR="004A147C" w:rsidRPr="00B53FFB" w:rsidTr="00D626F5">
        <w:trPr>
          <w:jc w:val="center"/>
        </w:trPr>
        <w:tc>
          <w:tcPr>
            <w:tcW w:w="0" w:type="auto"/>
            <w:shd w:val="clear" w:color="auto" w:fill="CCFFFF"/>
          </w:tcPr>
          <w:p w:rsidR="004A147C" w:rsidRPr="00B53FFB" w:rsidRDefault="004A147C" w:rsidP="00CE5850">
            <w:pPr>
              <w:rPr>
                <w:szCs w:val="22"/>
              </w:rPr>
            </w:pPr>
            <w:r w:rsidRPr="00B53FFB">
              <w:rPr>
                <w:szCs w:val="22"/>
              </w:rPr>
              <w:t>Finland</w:t>
            </w:r>
          </w:p>
        </w:tc>
        <w:tc>
          <w:tcPr>
            <w:tcW w:w="0" w:type="auto"/>
            <w:shd w:val="clear" w:color="auto" w:fill="CCFFFF"/>
          </w:tcPr>
          <w:p w:rsidR="004A147C" w:rsidRPr="00B53FFB" w:rsidRDefault="004A147C" w:rsidP="00CE5850">
            <w:pPr>
              <w:rPr>
                <w:szCs w:val="22"/>
              </w:rPr>
            </w:pPr>
            <w:r w:rsidRPr="00B53FFB">
              <w:rPr>
                <w:szCs w:val="22"/>
              </w:rPr>
              <w:t xml:space="preserve">     171</w:t>
            </w:r>
          </w:p>
        </w:tc>
        <w:tc>
          <w:tcPr>
            <w:tcW w:w="0" w:type="auto"/>
            <w:shd w:val="clear" w:color="auto" w:fill="CCFFFF"/>
          </w:tcPr>
          <w:p w:rsidR="004A147C" w:rsidRPr="00B53FFB" w:rsidRDefault="004A147C" w:rsidP="00CE5850">
            <w:pPr>
              <w:jc w:val="center"/>
              <w:rPr>
                <w:szCs w:val="22"/>
              </w:rPr>
            </w:pPr>
            <w:r w:rsidRPr="00B53FFB">
              <w:rPr>
                <w:szCs w:val="22"/>
              </w:rPr>
              <w:t>13</w:t>
            </w:r>
          </w:p>
        </w:tc>
        <w:tc>
          <w:tcPr>
            <w:tcW w:w="0" w:type="auto"/>
            <w:shd w:val="clear" w:color="auto" w:fill="CCFFFF"/>
          </w:tcPr>
          <w:p w:rsidR="004A147C" w:rsidRPr="00B53FFB" w:rsidRDefault="004A147C" w:rsidP="00CE5850">
            <w:pPr>
              <w:jc w:val="center"/>
              <w:rPr>
                <w:szCs w:val="22"/>
              </w:rPr>
            </w:pPr>
            <w:r w:rsidRPr="00B53FFB">
              <w:rPr>
                <w:szCs w:val="22"/>
              </w:rPr>
              <w:t>205</w:t>
            </w:r>
          </w:p>
        </w:tc>
        <w:tc>
          <w:tcPr>
            <w:tcW w:w="0" w:type="auto"/>
            <w:shd w:val="clear" w:color="auto" w:fill="CCFFFF"/>
          </w:tcPr>
          <w:p w:rsidR="004A147C" w:rsidRPr="00B53FFB" w:rsidRDefault="004A147C" w:rsidP="00CE5850">
            <w:pPr>
              <w:jc w:val="center"/>
              <w:rPr>
                <w:szCs w:val="22"/>
              </w:rPr>
            </w:pPr>
            <w:r w:rsidRPr="00B53FFB">
              <w:rPr>
                <w:szCs w:val="22"/>
              </w:rPr>
              <w:t>0.093</w:t>
            </w:r>
          </w:p>
        </w:tc>
        <w:tc>
          <w:tcPr>
            <w:tcW w:w="0" w:type="auto"/>
            <w:shd w:val="clear" w:color="auto" w:fill="CCFFFF"/>
          </w:tcPr>
          <w:p w:rsidR="004A147C" w:rsidRPr="00B53FFB" w:rsidRDefault="004A147C" w:rsidP="00CE5850">
            <w:pPr>
              <w:jc w:val="center"/>
              <w:rPr>
                <w:szCs w:val="22"/>
              </w:rPr>
            </w:pPr>
            <w:r w:rsidRPr="00B53FFB">
              <w:rPr>
                <w:szCs w:val="22"/>
              </w:rPr>
              <w:t>26.65</w:t>
            </w:r>
          </w:p>
        </w:tc>
        <w:tc>
          <w:tcPr>
            <w:tcW w:w="0" w:type="auto"/>
            <w:shd w:val="clear" w:color="auto" w:fill="CCFFFF"/>
          </w:tcPr>
          <w:p w:rsidR="004A147C" w:rsidRPr="00B53FFB" w:rsidRDefault="004A147C" w:rsidP="00CE5850">
            <w:pPr>
              <w:jc w:val="center"/>
              <w:rPr>
                <w:szCs w:val="22"/>
              </w:rPr>
            </w:pPr>
            <w:r w:rsidRPr="00B53FFB">
              <w:rPr>
                <w:szCs w:val="22"/>
              </w:rPr>
              <w:t>30.1</w:t>
            </w:r>
          </w:p>
        </w:tc>
      </w:tr>
      <w:tr w:rsidR="004A147C" w:rsidRPr="00B53FFB" w:rsidTr="00D626F5">
        <w:trPr>
          <w:jc w:val="center"/>
        </w:trPr>
        <w:tc>
          <w:tcPr>
            <w:tcW w:w="0" w:type="auto"/>
            <w:shd w:val="clear" w:color="auto" w:fill="CCFFFF"/>
          </w:tcPr>
          <w:p w:rsidR="004A147C" w:rsidRPr="00B53FFB" w:rsidRDefault="004A147C" w:rsidP="00CE5850">
            <w:pPr>
              <w:rPr>
                <w:szCs w:val="22"/>
              </w:rPr>
            </w:pPr>
            <w:r w:rsidRPr="00B53FFB">
              <w:rPr>
                <w:szCs w:val="22"/>
              </w:rPr>
              <w:t>Japan</w:t>
            </w:r>
          </w:p>
        </w:tc>
        <w:tc>
          <w:tcPr>
            <w:tcW w:w="0" w:type="auto"/>
            <w:shd w:val="clear" w:color="auto" w:fill="CCFFFF"/>
          </w:tcPr>
          <w:p w:rsidR="004A147C" w:rsidRPr="00B53FFB" w:rsidRDefault="004A147C" w:rsidP="00CE5850">
            <w:pPr>
              <w:rPr>
                <w:szCs w:val="22"/>
              </w:rPr>
            </w:pPr>
            <w:r w:rsidRPr="00B53FFB">
              <w:rPr>
                <w:szCs w:val="22"/>
              </w:rPr>
              <w:t xml:space="preserve">       99</w:t>
            </w:r>
          </w:p>
        </w:tc>
        <w:tc>
          <w:tcPr>
            <w:tcW w:w="0" w:type="auto"/>
            <w:shd w:val="clear" w:color="auto" w:fill="CCFFFF"/>
          </w:tcPr>
          <w:p w:rsidR="004A147C" w:rsidRPr="00B53FFB" w:rsidRDefault="004A147C" w:rsidP="00CE5850">
            <w:pPr>
              <w:jc w:val="center"/>
              <w:rPr>
                <w:szCs w:val="22"/>
              </w:rPr>
            </w:pPr>
            <w:r w:rsidRPr="00B53FFB">
              <w:rPr>
                <w:szCs w:val="22"/>
              </w:rPr>
              <w:t>1</w:t>
            </w:r>
          </w:p>
        </w:tc>
        <w:tc>
          <w:tcPr>
            <w:tcW w:w="0" w:type="auto"/>
            <w:shd w:val="clear" w:color="auto" w:fill="CCFFFF"/>
          </w:tcPr>
          <w:p w:rsidR="004A147C" w:rsidRPr="00B53FFB" w:rsidRDefault="004A147C" w:rsidP="00CE5850">
            <w:pPr>
              <w:jc w:val="center"/>
              <w:rPr>
                <w:szCs w:val="22"/>
              </w:rPr>
            </w:pPr>
            <w:r w:rsidRPr="00B53FFB">
              <w:rPr>
                <w:szCs w:val="22"/>
              </w:rPr>
              <w:t>134</w:t>
            </w:r>
          </w:p>
        </w:tc>
        <w:tc>
          <w:tcPr>
            <w:tcW w:w="0" w:type="auto"/>
            <w:shd w:val="clear" w:color="auto" w:fill="CCFFFF"/>
          </w:tcPr>
          <w:p w:rsidR="004A147C" w:rsidRPr="00B53FFB" w:rsidRDefault="004A147C" w:rsidP="00CE5850">
            <w:pPr>
              <w:jc w:val="center"/>
              <w:rPr>
                <w:szCs w:val="22"/>
              </w:rPr>
            </w:pPr>
            <w:r w:rsidRPr="00B53FFB">
              <w:rPr>
                <w:szCs w:val="22"/>
              </w:rPr>
              <w:t>0.205</w:t>
            </w:r>
          </w:p>
        </w:tc>
        <w:tc>
          <w:tcPr>
            <w:tcW w:w="0" w:type="auto"/>
            <w:shd w:val="clear" w:color="auto" w:fill="CCFFFF"/>
          </w:tcPr>
          <w:p w:rsidR="004A147C" w:rsidRPr="00B53FFB" w:rsidRDefault="004A147C" w:rsidP="00CE5850">
            <w:pPr>
              <w:jc w:val="center"/>
              <w:rPr>
                <w:szCs w:val="22"/>
              </w:rPr>
            </w:pPr>
            <w:r w:rsidRPr="00B53FFB">
              <w:rPr>
                <w:szCs w:val="22"/>
              </w:rPr>
              <w:t>59.70</w:t>
            </w:r>
          </w:p>
        </w:tc>
        <w:tc>
          <w:tcPr>
            <w:tcW w:w="0" w:type="auto"/>
            <w:shd w:val="clear" w:color="auto" w:fill="CCFFFF"/>
          </w:tcPr>
          <w:p w:rsidR="004A147C" w:rsidRPr="00B53FFB" w:rsidRDefault="004A147C" w:rsidP="00CE5850">
            <w:pPr>
              <w:jc w:val="center"/>
              <w:rPr>
                <w:szCs w:val="22"/>
              </w:rPr>
            </w:pPr>
            <w:r w:rsidRPr="00B53FFB">
              <w:rPr>
                <w:szCs w:val="22"/>
              </w:rPr>
              <w:t>56.5</w:t>
            </w:r>
          </w:p>
        </w:tc>
      </w:tr>
      <w:tr w:rsidR="004A147C" w:rsidRPr="00B53FFB" w:rsidTr="00D626F5">
        <w:trPr>
          <w:jc w:val="center"/>
        </w:trPr>
        <w:tc>
          <w:tcPr>
            <w:tcW w:w="0" w:type="auto"/>
            <w:shd w:val="clear" w:color="auto" w:fill="CCFFFF"/>
          </w:tcPr>
          <w:p w:rsidR="004A147C" w:rsidRPr="00B53FFB" w:rsidRDefault="004A147C" w:rsidP="00CE5850">
            <w:pPr>
              <w:rPr>
                <w:szCs w:val="22"/>
              </w:rPr>
            </w:pPr>
            <w:r w:rsidRPr="00B53FFB">
              <w:rPr>
                <w:szCs w:val="22"/>
              </w:rPr>
              <w:t>South Korea</w:t>
            </w:r>
          </w:p>
        </w:tc>
        <w:tc>
          <w:tcPr>
            <w:tcW w:w="0" w:type="auto"/>
            <w:shd w:val="clear" w:color="auto" w:fill="CCFFFF"/>
          </w:tcPr>
          <w:p w:rsidR="004A147C" w:rsidRPr="00B53FFB" w:rsidRDefault="004A147C" w:rsidP="00CE5850">
            <w:pPr>
              <w:rPr>
                <w:szCs w:val="22"/>
              </w:rPr>
            </w:pPr>
            <w:r w:rsidRPr="00B53FFB">
              <w:rPr>
                <w:szCs w:val="22"/>
              </w:rPr>
              <w:t xml:space="preserve">     107</w:t>
            </w:r>
          </w:p>
        </w:tc>
        <w:tc>
          <w:tcPr>
            <w:tcW w:w="0" w:type="auto"/>
            <w:shd w:val="clear" w:color="auto" w:fill="CCFFFF"/>
          </w:tcPr>
          <w:p w:rsidR="004A147C" w:rsidRPr="00B53FFB" w:rsidRDefault="004A147C" w:rsidP="00CE5850">
            <w:pPr>
              <w:jc w:val="center"/>
              <w:rPr>
                <w:szCs w:val="22"/>
              </w:rPr>
            </w:pPr>
            <w:r w:rsidRPr="00B53FFB">
              <w:rPr>
                <w:szCs w:val="22"/>
              </w:rPr>
              <w:t>0</w:t>
            </w:r>
          </w:p>
        </w:tc>
        <w:tc>
          <w:tcPr>
            <w:tcW w:w="0" w:type="auto"/>
            <w:shd w:val="clear" w:color="auto" w:fill="CCFFFF"/>
          </w:tcPr>
          <w:p w:rsidR="004A147C" w:rsidRPr="00B53FFB" w:rsidRDefault="004A147C" w:rsidP="00CE5850">
            <w:pPr>
              <w:jc w:val="center"/>
              <w:rPr>
                <w:szCs w:val="22"/>
              </w:rPr>
            </w:pPr>
            <w:r w:rsidRPr="00B53FFB">
              <w:rPr>
                <w:szCs w:val="22"/>
              </w:rPr>
              <w:t>303</w:t>
            </w:r>
          </w:p>
        </w:tc>
        <w:tc>
          <w:tcPr>
            <w:tcW w:w="0" w:type="auto"/>
            <w:shd w:val="clear" w:color="auto" w:fill="CCFFFF"/>
          </w:tcPr>
          <w:p w:rsidR="004A147C" w:rsidRPr="00B53FFB" w:rsidRDefault="004A147C" w:rsidP="00CE5850">
            <w:pPr>
              <w:jc w:val="center"/>
              <w:rPr>
                <w:szCs w:val="22"/>
              </w:rPr>
            </w:pPr>
            <w:r w:rsidRPr="00B53FFB">
              <w:rPr>
                <w:szCs w:val="22"/>
              </w:rPr>
              <w:t>0.069</w:t>
            </w:r>
          </w:p>
        </w:tc>
        <w:tc>
          <w:tcPr>
            <w:tcW w:w="0" w:type="auto"/>
            <w:shd w:val="clear" w:color="auto" w:fill="CCFFFF"/>
          </w:tcPr>
          <w:p w:rsidR="004A147C" w:rsidRPr="00B53FFB" w:rsidRDefault="004A147C" w:rsidP="00CE5850">
            <w:pPr>
              <w:jc w:val="center"/>
              <w:rPr>
                <w:szCs w:val="22"/>
              </w:rPr>
            </w:pPr>
            <w:r w:rsidRPr="00B53FFB">
              <w:rPr>
                <w:szCs w:val="22"/>
              </w:rPr>
              <w:t>30.81</w:t>
            </w:r>
          </w:p>
        </w:tc>
        <w:tc>
          <w:tcPr>
            <w:tcW w:w="0" w:type="auto"/>
            <w:shd w:val="clear" w:color="auto" w:fill="CCFFFF"/>
          </w:tcPr>
          <w:p w:rsidR="004A147C" w:rsidRPr="00B53FFB" w:rsidRDefault="004A147C" w:rsidP="00CE5850">
            <w:pPr>
              <w:rPr>
                <w:szCs w:val="22"/>
              </w:rPr>
            </w:pPr>
            <w:r w:rsidRPr="00B53FFB">
              <w:rPr>
                <w:szCs w:val="22"/>
              </w:rPr>
              <w:t xml:space="preserve">        32.3</w:t>
            </w:r>
          </w:p>
        </w:tc>
      </w:tr>
      <w:tr w:rsidR="004A147C" w:rsidRPr="00B53FFB" w:rsidTr="00D626F5">
        <w:trPr>
          <w:jc w:val="center"/>
        </w:trPr>
        <w:tc>
          <w:tcPr>
            <w:tcW w:w="0" w:type="auto"/>
            <w:shd w:val="clear" w:color="auto" w:fill="CCFFFF"/>
          </w:tcPr>
          <w:p w:rsidR="004A147C" w:rsidRPr="00B53FFB" w:rsidRDefault="004A147C" w:rsidP="00CE5850">
            <w:pPr>
              <w:rPr>
                <w:szCs w:val="22"/>
              </w:rPr>
            </w:pPr>
            <w:r w:rsidRPr="00B53FFB">
              <w:rPr>
                <w:szCs w:val="22"/>
              </w:rPr>
              <w:t>Australia</w:t>
            </w:r>
          </w:p>
        </w:tc>
        <w:tc>
          <w:tcPr>
            <w:tcW w:w="0" w:type="auto"/>
            <w:shd w:val="clear" w:color="auto" w:fill="CCFFFF"/>
          </w:tcPr>
          <w:p w:rsidR="004A147C" w:rsidRPr="00B53FFB" w:rsidRDefault="004A147C" w:rsidP="00CE5850">
            <w:pPr>
              <w:rPr>
                <w:szCs w:val="22"/>
              </w:rPr>
            </w:pPr>
            <w:r w:rsidRPr="00B53FFB">
              <w:rPr>
                <w:szCs w:val="22"/>
              </w:rPr>
              <w:t xml:space="preserve">     132</w:t>
            </w:r>
          </w:p>
        </w:tc>
        <w:tc>
          <w:tcPr>
            <w:tcW w:w="0" w:type="auto"/>
            <w:shd w:val="clear" w:color="auto" w:fill="CCFFFF"/>
          </w:tcPr>
          <w:p w:rsidR="004A147C" w:rsidRPr="00B53FFB" w:rsidRDefault="004A147C" w:rsidP="00CE5850">
            <w:pPr>
              <w:jc w:val="center"/>
              <w:rPr>
                <w:szCs w:val="22"/>
              </w:rPr>
            </w:pPr>
            <w:r w:rsidRPr="00B53FFB">
              <w:rPr>
                <w:szCs w:val="22"/>
              </w:rPr>
              <w:t>39</w:t>
            </w:r>
          </w:p>
        </w:tc>
        <w:tc>
          <w:tcPr>
            <w:tcW w:w="0" w:type="auto"/>
            <w:shd w:val="clear" w:color="auto" w:fill="CCFFFF"/>
          </w:tcPr>
          <w:p w:rsidR="004A147C" w:rsidRPr="00B53FFB" w:rsidRDefault="004A147C" w:rsidP="00CE5850">
            <w:pPr>
              <w:jc w:val="center"/>
              <w:rPr>
                <w:szCs w:val="22"/>
              </w:rPr>
            </w:pPr>
            <w:r w:rsidRPr="00B53FFB">
              <w:rPr>
                <w:szCs w:val="22"/>
              </w:rPr>
              <w:t>268</w:t>
            </w:r>
          </w:p>
        </w:tc>
        <w:tc>
          <w:tcPr>
            <w:tcW w:w="0" w:type="auto"/>
            <w:shd w:val="clear" w:color="auto" w:fill="CCFFFF"/>
          </w:tcPr>
          <w:p w:rsidR="004A147C" w:rsidRPr="00B53FFB" w:rsidRDefault="004A147C" w:rsidP="00CE5850">
            <w:pPr>
              <w:jc w:val="center"/>
              <w:rPr>
                <w:szCs w:val="22"/>
              </w:rPr>
            </w:pPr>
            <w:r w:rsidRPr="00B53FFB">
              <w:rPr>
                <w:szCs w:val="22"/>
              </w:rPr>
              <w:t>0.106</w:t>
            </w:r>
          </w:p>
        </w:tc>
        <w:tc>
          <w:tcPr>
            <w:tcW w:w="0" w:type="auto"/>
            <w:shd w:val="clear" w:color="auto" w:fill="CCFFFF"/>
          </w:tcPr>
          <w:p w:rsidR="004A147C" w:rsidRPr="00B53FFB" w:rsidRDefault="004A147C" w:rsidP="00CE5850">
            <w:pPr>
              <w:jc w:val="center"/>
              <w:rPr>
                <w:szCs w:val="22"/>
              </w:rPr>
            </w:pPr>
            <w:r w:rsidRPr="00B53FFB">
              <w:rPr>
                <w:szCs w:val="22"/>
              </w:rPr>
              <w:t>47.97</w:t>
            </w:r>
          </w:p>
        </w:tc>
        <w:tc>
          <w:tcPr>
            <w:tcW w:w="0" w:type="auto"/>
            <w:shd w:val="clear" w:color="auto" w:fill="CCFFFF"/>
          </w:tcPr>
          <w:p w:rsidR="004A147C" w:rsidRPr="00B53FFB" w:rsidRDefault="004A147C" w:rsidP="00CE5850">
            <w:pPr>
              <w:rPr>
                <w:szCs w:val="22"/>
              </w:rPr>
            </w:pPr>
            <w:r w:rsidRPr="00B53FFB">
              <w:rPr>
                <w:szCs w:val="22"/>
              </w:rPr>
              <w:t xml:space="preserve">        44.4</w:t>
            </w:r>
          </w:p>
        </w:tc>
      </w:tr>
    </w:tbl>
    <w:p w:rsidR="004A147C" w:rsidRPr="00B53FFB" w:rsidRDefault="004A147C" w:rsidP="00CE5850">
      <w:pPr>
        <w:pStyle w:val="ParaNum"/>
        <w:tabs>
          <w:tab w:val="clear" w:pos="1440"/>
        </w:tabs>
        <w:ind w:firstLine="0"/>
        <w:rPr>
          <w:sz w:val="22"/>
          <w:szCs w:val="22"/>
        </w:rPr>
      </w:pPr>
    </w:p>
    <w:p w:rsidR="004A147C" w:rsidRPr="00B53FFB" w:rsidRDefault="004A147C" w:rsidP="00CE5850">
      <w:pPr>
        <w:pStyle w:val="Heading2"/>
        <w:keepNext w:val="0"/>
      </w:pPr>
      <w:bookmarkStart w:id="5722" w:name="_Toc261610825"/>
      <w:bookmarkStart w:id="5723" w:name="_Toc261858577"/>
      <w:bookmarkStart w:id="5724" w:name="_Toc262034386"/>
      <w:bookmarkStart w:id="5725" w:name="_Toc262034489"/>
      <w:bookmarkStart w:id="5726" w:name="_Toc271288524"/>
      <w:bookmarkStart w:id="5727" w:name="_Toc275518043"/>
      <w:bookmarkStart w:id="5728" w:name="_Toc275952483"/>
      <w:bookmarkStart w:id="5729" w:name="_Toc276121915"/>
      <w:bookmarkStart w:id="5730" w:name="_Toc276480751"/>
      <w:bookmarkStart w:id="5731" w:name="_Toc276741829"/>
      <w:bookmarkStart w:id="5732" w:name="_Toc277171593"/>
      <w:bookmarkStart w:id="5733" w:name="_Toc277864570"/>
      <w:bookmarkStart w:id="5734" w:name="_Toc277864786"/>
      <w:bookmarkStart w:id="5735" w:name="_Toc285810466"/>
      <w:bookmarkStart w:id="5736" w:name="_Toc287257865"/>
      <w:bookmarkStart w:id="5737" w:name="_Toc291758740"/>
      <w:bookmarkStart w:id="5738" w:name="_Toc291758843"/>
      <w:bookmarkStart w:id="5739" w:name="_Toc295393023"/>
      <w:bookmarkStart w:id="5740" w:name="_Toc329262553"/>
      <w:bookmarkStart w:id="5741" w:name="_Toc329852459"/>
      <w:bookmarkStart w:id="5742" w:name="_Toc331766382"/>
      <w:bookmarkStart w:id="5743" w:name="_Toc332119186"/>
      <w:bookmarkStart w:id="5744" w:name="_Toc334088853"/>
      <w:bookmarkStart w:id="5745" w:name="_Toc334089089"/>
      <w:bookmarkStart w:id="5746" w:name="_Toc334089248"/>
      <w:bookmarkStart w:id="5747" w:name="_Toc334089359"/>
      <w:bookmarkStart w:id="5748" w:name="_Toc334089523"/>
      <w:bookmarkStart w:id="5749" w:name="_Toc336268665"/>
      <w:bookmarkStart w:id="5750" w:name="_Toc336268773"/>
      <w:bookmarkStart w:id="5751" w:name="_Toc336268880"/>
      <w:bookmarkStart w:id="5752" w:name="_Toc336269094"/>
      <w:bookmarkStart w:id="5753" w:name="_Toc336269201"/>
      <w:bookmarkStart w:id="5754" w:name="_Toc336269569"/>
      <w:bookmarkStart w:id="5755" w:name="_Toc336269715"/>
      <w:bookmarkStart w:id="5756" w:name="_Toc336270128"/>
      <w:bookmarkStart w:id="5757" w:name="_Toc336271321"/>
      <w:bookmarkStart w:id="5758" w:name="_Toc337652039"/>
      <w:bookmarkStart w:id="5759" w:name="_Toc349577228"/>
      <w:bookmarkStart w:id="5760" w:name="_Toc349579320"/>
      <w:bookmarkStart w:id="5761" w:name="_Toc349580635"/>
      <w:bookmarkStart w:id="5762" w:name="_Toc349735044"/>
      <w:bookmarkStart w:id="5763" w:name="_Toc349742409"/>
      <w:r w:rsidRPr="00B53FFB">
        <w:t>Average RPM</w:t>
      </w:r>
      <w:bookmarkEnd w:id="5722"/>
      <w:bookmarkEnd w:id="5723"/>
      <w:bookmarkEnd w:id="5724"/>
      <w:bookmarkEnd w:id="5725"/>
      <w:bookmarkEnd w:id="5726"/>
      <w:bookmarkEnd w:id="5727"/>
      <w:bookmarkEnd w:id="5728"/>
      <w:bookmarkEnd w:id="5729"/>
      <w:bookmarkEnd w:id="5730"/>
      <w:bookmarkEnd w:id="5731"/>
      <w:r w:rsidRPr="00B53FFB">
        <w:t xml:space="preserve"> (Voice Only)</w:t>
      </w:r>
      <w:bookmarkEnd w:id="5732"/>
      <w:bookmarkEnd w:id="5733"/>
      <w:bookmarkEnd w:id="5734"/>
      <w:bookmarkEnd w:id="5735"/>
      <w:bookmarkEnd w:id="5736"/>
      <w:bookmarkEnd w:id="5737"/>
      <w:bookmarkEnd w:id="5738"/>
      <w:bookmarkEnd w:id="5739"/>
      <w:bookmarkEnd w:id="5740"/>
      <w:bookmarkEnd w:id="5741"/>
      <w:bookmarkEnd w:id="5742"/>
      <w:bookmarkEnd w:id="5743"/>
      <w:bookmarkEnd w:id="5744"/>
      <w:bookmarkEnd w:id="5745"/>
      <w:bookmarkEnd w:id="5746"/>
      <w:bookmarkEnd w:id="5747"/>
      <w:bookmarkEnd w:id="5748"/>
      <w:bookmarkEnd w:id="5749"/>
      <w:bookmarkEnd w:id="5750"/>
      <w:bookmarkEnd w:id="5751"/>
      <w:bookmarkEnd w:id="5752"/>
      <w:bookmarkEnd w:id="5753"/>
      <w:bookmarkEnd w:id="5754"/>
      <w:bookmarkEnd w:id="5755"/>
      <w:bookmarkEnd w:id="5756"/>
      <w:bookmarkEnd w:id="5757"/>
      <w:bookmarkEnd w:id="5758"/>
      <w:bookmarkEnd w:id="5759"/>
      <w:bookmarkEnd w:id="5760"/>
      <w:bookmarkEnd w:id="5761"/>
      <w:bookmarkEnd w:id="5762"/>
      <w:bookmarkEnd w:id="5763"/>
    </w:p>
    <w:p w:rsidR="004A147C" w:rsidRPr="00B53FFB" w:rsidRDefault="00911EFC" w:rsidP="00CE5850">
      <w:pPr>
        <w:pStyle w:val="ParaNum"/>
        <w:numPr>
          <w:ilvl w:val="0"/>
          <w:numId w:val="28"/>
        </w:numPr>
        <w:rPr>
          <w:sz w:val="22"/>
          <w:szCs w:val="22"/>
        </w:rPr>
      </w:pPr>
      <w:r>
        <w:rPr>
          <w:sz w:val="22"/>
          <w:szCs w:val="22"/>
        </w:rPr>
        <w:t>As noted ab</w:t>
      </w:r>
      <w:r w:rsidR="004A147C" w:rsidRPr="00B53FFB">
        <w:rPr>
          <w:sz w:val="22"/>
          <w:szCs w:val="22"/>
        </w:rPr>
        <w:t>ove, some analysts regard voice RPM as a good proxy for mobile pricing.</w:t>
      </w:r>
      <w:r w:rsidR="004A147C" w:rsidRPr="00B53FFB">
        <w:rPr>
          <w:sz w:val="22"/>
          <w:szCs w:val="22"/>
          <w:vertAlign w:val="superscript"/>
        </w:rPr>
        <w:footnoteReference w:id="1233"/>
      </w:r>
      <w:r w:rsidR="004A147C" w:rsidRPr="00B53FFB">
        <w:rPr>
          <w:sz w:val="22"/>
          <w:szCs w:val="22"/>
        </w:rPr>
        <w:t xml:space="preserve">  RPM in Western Europe averaged about $0.11 in the fourth quarter of 2011, and ranged from a low of $0.08 (in Austria) to a high of $0.296 (Switzerland).</w:t>
      </w:r>
      <w:r w:rsidR="004A147C" w:rsidRPr="00B53FFB">
        <w:rPr>
          <w:sz w:val="22"/>
          <w:szCs w:val="22"/>
          <w:vertAlign w:val="superscript"/>
        </w:rPr>
        <w:footnoteReference w:id="1234"/>
      </w:r>
      <w:r w:rsidR="004A147C" w:rsidRPr="00B53FFB">
        <w:rPr>
          <w:sz w:val="22"/>
          <w:szCs w:val="22"/>
        </w:rPr>
        <w:t xml:space="preserve">  This compares with an estimated U.S. RPM of $0.033, or less than one third of the European average.</w:t>
      </w:r>
      <w:r w:rsidR="004A147C" w:rsidRPr="00B53FFB">
        <w:rPr>
          <w:sz w:val="22"/>
          <w:szCs w:val="22"/>
          <w:vertAlign w:val="superscript"/>
        </w:rPr>
        <w:footnoteReference w:id="1235"/>
      </w:r>
      <w:r w:rsidR="004A147C" w:rsidRPr="00B53FFB">
        <w:rPr>
          <w:sz w:val="22"/>
          <w:szCs w:val="22"/>
        </w:rPr>
        <w:t xml:space="preserve">  RPM in Japan, at $0.205, was more than five times the U.S. figure at the end of 2011.</w:t>
      </w:r>
      <w:r w:rsidR="004A147C" w:rsidRPr="00B53FFB">
        <w:rPr>
          <w:sz w:val="22"/>
          <w:szCs w:val="22"/>
          <w:vertAlign w:val="superscript"/>
        </w:rPr>
        <w:footnoteReference w:id="1236"/>
      </w:r>
    </w:p>
    <w:p w:rsidR="004A147C" w:rsidRPr="00B53FFB" w:rsidRDefault="004A147C" w:rsidP="00CE5850">
      <w:pPr>
        <w:pStyle w:val="Heading2"/>
        <w:keepNext w:val="0"/>
      </w:pPr>
      <w:bookmarkStart w:id="5764" w:name="_Toc261610826"/>
      <w:bookmarkStart w:id="5765" w:name="_Toc261858578"/>
      <w:bookmarkStart w:id="5766" w:name="_Toc262034387"/>
      <w:bookmarkStart w:id="5767" w:name="_Toc262034490"/>
      <w:bookmarkStart w:id="5768" w:name="_Toc271288525"/>
      <w:bookmarkStart w:id="5769" w:name="_Toc275518044"/>
      <w:bookmarkStart w:id="5770" w:name="_Toc275952484"/>
      <w:bookmarkStart w:id="5771" w:name="_Toc276121916"/>
      <w:bookmarkStart w:id="5772" w:name="_Toc276480752"/>
      <w:bookmarkStart w:id="5773" w:name="_Toc276741830"/>
      <w:bookmarkStart w:id="5774" w:name="_Toc277171594"/>
      <w:bookmarkStart w:id="5775" w:name="_Toc277864571"/>
      <w:bookmarkStart w:id="5776" w:name="_Toc277864787"/>
      <w:bookmarkStart w:id="5777" w:name="_Toc285810467"/>
      <w:bookmarkStart w:id="5778" w:name="_Toc287257866"/>
      <w:bookmarkStart w:id="5779" w:name="_Toc291758741"/>
      <w:bookmarkStart w:id="5780" w:name="_Toc291758844"/>
      <w:bookmarkStart w:id="5781" w:name="_Toc295393024"/>
      <w:bookmarkStart w:id="5782" w:name="_Toc329262554"/>
      <w:bookmarkStart w:id="5783" w:name="_Toc329852460"/>
      <w:bookmarkStart w:id="5784" w:name="_Toc331766383"/>
      <w:bookmarkStart w:id="5785" w:name="_Toc332119187"/>
      <w:bookmarkStart w:id="5786" w:name="_Toc334088854"/>
      <w:bookmarkStart w:id="5787" w:name="_Toc334089090"/>
      <w:bookmarkStart w:id="5788" w:name="_Toc334089249"/>
      <w:bookmarkStart w:id="5789" w:name="_Toc334089360"/>
      <w:bookmarkStart w:id="5790" w:name="_Toc334089524"/>
      <w:bookmarkStart w:id="5791" w:name="_Toc336268666"/>
      <w:bookmarkStart w:id="5792" w:name="_Toc336268774"/>
      <w:bookmarkStart w:id="5793" w:name="_Toc336268881"/>
      <w:bookmarkStart w:id="5794" w:name="_Toc336269095"/>
      <w:bookmarkStart w:id="5795" w:name="_Toc336269202"/>
      <w:bookmarkStart w:id="5796" w:name="_Toc336269570"/>
      <w:bookmarkStart w:id="5797" w:name="_Toc336269716"/>
      <w:bookmarkStart w:id="5798" w:name="_Toc336270129"/>
      <w:bookmarkStart w:id="5799" w:name="_Toc336271322"/>
      <w:bookmarkStart w:id="5800" w:name="_Toc337652040"/>
      <w:bookmarkStart w:id="5801" w:name="_Toc349577229"/>
      <w:bookmarkStart w:id="5802" w:name="_Toc349579321"/>
      <w:bookmarkStart w:id="5803" w:name="_Toc349580636"/>
      <w:bookmarkStart w:id="5804" w:name="_Toc349735045"/>
      <w:bookmarkStart w:id="5805" w:name="_Toc349742410"/>
      <w:r w:rsidRPr="00B53FFB">
        <w:t>Usage</w:t>
      </w:r>
      <w:bookmarkEnd w:id="5764"/>
      <w:bookmarkEnd w:id="5765"/>
      <w:bookmarkEnd w:id="5766"/>
      <w:bookmarkEnd w:id="5767"/>
      <w:bookmarkEnd w:id="5768"/>
      <w:bookmarkEnd w:id="5769"/>
      <w:bookmarkEnd w:id="5770"/>
      <w:bookmarkEnd w:id="5771"/>
      <w:bookmarkEnd w:id="5772"/>
      <w:bookmarkEnd w:id="5773"/>
      <w:bookmarkEnd w:id="5774"/>
      <w:bookmarkEnd w:id="5775"/>
      <w:bookmarkEnd w:id="5776"/>
      <w:bookmarkEnd w:id="5777"/>
      <w:bookmarkEnd w:id="5778"/>
      <w:bookmarkEnd w:id="5779"/>
      <w:bookmarkEnd w:id="5780"/>
      <w:bookmarkEnd w:id="5781"/>
      <w:bookmarkEnd w:id="5782"/>
      <w:bookmarkEnd w:id="5783"/>
      <w:bookmarkEnd w:id="5784"/>
      <w:bookmarkEnd w:id="5785"/>
      <w:bookmarkEnd w:id="5786"/>
      <w:bookmarkEnd w:id="5787"/>
      <w:bookmarkEnd w:id="5788"/>
      <w:bookmarkEnd w:id="5789"/>
      <w:bookmarkEnd w:id="5790"/>
      <w:bookmarkEnd w:id="5791"/>
      <w:bookmarkEnd w:id="5792"/>
      <w:bookmarkEnd w:id="5793"/>
      <w:bookmarkEnd w:id="5794"/>
      <w:bookmarkEnd w:id="5795"/>
      <w:bookmarkEnd w:id="5796"/>
      <w:bookmarkEnd w:id="5797"/>
      <w:bookmarkEnd w:id="5798"/>
      <w:bookmarkEnd w:id="5799"/>
      <w:bookmarkEnd w:id="5800"/>
      <w:bookmarkEnd w:id="5801"/>
      <w:bookmarkEnd w:id="5802"/>
      <w:bookmarkEnd w:id="5803"/>
      <w:bookmarkEnd w:id="5804"/>
      <w:bookmarkEnd w:id="5805"/>
    </w:p>
    <w:p w:rsidR="004A147C" w:rsidRPr="00B53FFB" w:rsidRDefault="004A147C" w:rsidP="00CE5850">
      <w:pPr>
        <w:pStyle w:val="ParaNum"/>
        <w:numPr>
          <w:ilvl w:val="0"/>
          <w:numId w:val="28"/>
        </w:numPr>
        <w:rPr>
          <w:sz w:val="22"/>
          <w:szCs w:val="22"/>
        </w:rPr>
      </w:pPr>
      <w:r w:rsidRPr="00B53FFB">
        <w:rPr>
          <w:sz w:val="22"/>
          <w:szCs w:val="22"/>
        </w:rPr>
        <w:t>Bank of America Merrill Lynch estimates that U.S. mobile subscribers talked an average of 945 minutes per month on their mobile phones in the fourth quarter of 2011.</w:t>
      </w:r>
      <w:r w:rsidRPr="00B53FFB">
        <w:rPr>
          <w:sz w:val="22"/>
          <w:szCs w:val="22"/>
          <w:vertAlign w:val="superscript"/>
        </w:rPr>
        <w:footnoteReference w:id="1237"/>
      </w:r>
      <w:r w:rsidRPr="00B53FFB">
        <w:rPr>
          <w:sz w:val="22"/>
          <w:szCs w:val="22"/>
        </w:rPr>
        <w:t xml:space="preserve">  This compares with 134 MOUs in Japan and an average across Western Europe of 170 MOUs, with estimated MOUs in individual European countries ranging from a low of 122 (Switzerland) to a high of 247 (Norway).</w:t>
      </w:r>
      <w:r w:rsidRPr="00B53FFB">
        <w:rPr>
          <w:sz w:val="22"/>
          <w:szCs w:val="22"/>
          <w:vertAlign w:val="superscript"/>
        </w:rPr>
        <w:footnoteReference w:id="1238"/>
      </w:r>
    </w:p>
    <w:p w:rsidR="004A147C" w:rsidRPr="00B53FFB" w:rsidRDefault="004A147C" w:rsidP="00CE5850">
      <w:pPr>
        <w:pStyle w:val="Heading2"/>
        <w:keepNext w:val="0"/>
      </w:pPr>
      <w:bookmarkStart w:id="5806" w:name="_Toc261610827"/>
      <w:bookmarkStart w:id="5807" w:name="_Toc261858579"/>
      <w:bookmarkStart w:id="5808" w:name="_Toc262034388"/>
      <w:bookmarkStart w:id="5809" w:name="_Toc262034491"/>
      <w:bookmarkStart w:id="5810" w:name="_Toc271288526"/>
      <w:bookmarkStart w:id="5811" w:name="_Toc275518045"/>
      <w:bookmarkStart w:id="5812" w:name="_Toc275952485"/>
      <w:bookmarkStart w:id="5813" w:name="_Toc276121917"/>
      <w:bookmarkStart w:id="5814" w:name="_Toc276480753"/>
      <w:bookmarkStart w:id="5815" w:name="_Toc276741831"/>
      <w:bookmarkStart w:id="5816" w:name="_Toc277171595"/>
      <w:bookmarkStart w:id="5817" w:name="_Toc277864572"/>
      <w:bookmarkStart w:id="5818" w:name="_Toc277864788"/>
      <w:bookmarkStart w:id="5819" w:name="_Toc285810468"/>
      <w:bookmarkStart w:id="5820" w:name="_Toc287257867"/>
      <w:bookmarkStart w:id="5821" w:name="_Toc291758742"/>
      <w:bookmarkStart w:id="5822" w:name="_Toc291758845"/>
      <w:bookmarkStart w:id="5823" w:name="_Toc295393025"/>
      <w:bookmarkStart w:id="5824" w:name="_Toc329262555"/>
      <w:bookmarkStart w:id="5825" w:name="_Toc329852461"/>
      <w:bookmarkStart w:id="5826" w:name="_Toc331766384"/>
      <w:bookmarkStart w:id="5827" w:name="_Toc332119188"/>
      <w:bookmarkStart w:id="5828" w:name="_Toc334088855"/>
      <w:bookmarkStart w:id="5829" w:name="_Toc334089091"/>
      <w:bookmarkStart w:id="5830" w:name="_Toc334089250"/>
      <w:bookmarkStart w:id="5831" w:name="_Toc334089361"/>
      <w:bookmarkStart w:id="5832" w:name="_Toc334089525"/>
      <w:bookmarkStart w:id="5833" w:name="_Toc336268667"/>
      <w:bookmarkStart w:id="5834" w:name="_Toc336268775"/>
      <w:bookmarkStart w:id="5835" w:name="_Toc336268882"/>
      <w:bookmarkStart w:id="5836" w:name="_Toc336269096"/>
      <w:bookmarkStart w:id="5837" w:name="_Toc336269203"/>
      <w:bookmarkStart w:id="5838" w:name="_Toc336269571"/>
      <w:bookmarkStart w:id="5839" w:name="_Toc336269717"/>
      <w:bookmarkStart w:id="5840" w:name="_Toc336270130"/>
      <w:bookmarkStart w:id="5841" w:name="_Toc336271323"/>
      <w:bookmarkStart w:id="5842" w:name="_Toc337652041"/>
      <w:bookmarkStart w:id="5843" w:name="_Toc349577230"/>
      <w:bookmarkStart w:id="5844" w:name="_Toc349579322"/>
      <w:bookmarkStart w:id="5845" w:name="_Toc349580637"/>
      <w:bookmarkStart w:id="5846" w:name="_Toc349735046"/>
      <w:bookmarkStart w:id="5847" w:name="_Toc349742411"/>
      <w:r w:rsidRPr="00B53FFB">
        <w:t>Penetration Rates</w:t>
      </w:r>
      <w:bookmarkEnd w:id="5806"/>
      <w:bookmarkEnd w:id="5807"/>
      <w:bookmarkEnd w:id="5808"/>
      <w:bookmarkEnd w:id="5809"/>
      <w:bookmarkEnd w:id="5810"/>
      <w:bookmarkEnd w:id="5811"/>
      <w:bookmarkEnd w:id="5812"/>
      <w:bookmarkEnd w:id="5813"/>
      <w:bookmarkEnd w:id="5814"/>
      <w:bookmarkEnd w:id="5815"/>
      <w:bookmarkEnd w:id="5816"/>
      <w:bookmarkEnd w:id="5817"/>
      <w:bookmarkEnd w:id="5818"/>
      <w:bookmarkEnd w:id="5819"/>
      <w:bookmarkEnd w:id="5820"/>
      <w:bookmarkEnd w:id="5821"/>
      <w:bookmarkEnd w:id="5822"/>
      <w:bookmarkEnd w:id="5823"/>
      <w:bookmarkEnd w:id="5824"/>
      <w:bookmarkEnd w:id="5825"/>
      <w:bookmarkEnd w:id="5826"/>
      <w:bookmarkEnd w:id="5827"/>
      <w:bookmarkEnd w:id="5828"/>
      <w:bookmarkEnd w:id="5829"/>
      <w:bookmarkEnd w:id="5830"/>
      <w:bookmarkEnd w:id="5831"/>
      <w:bookmarkEnd w:id="5832"/>
      <w:bookmarkEnd w:id="5833"/>
      <w:bookmarkEnd w:id="5834"/>
      <w:bookmarkEnd w:id="5835"/>
      <w:bookmarkEnd w:id="5836"/>
      <w:bookmarkEnd w:id="5837"/>
      <w:bookmarkEnd w:id="5838"/>
      <w:bookmarkEnd w:id="5839"/>
      <w:bookmarkEnd w:id="5840"/>
      <w:bookmarkEnd w:id="5841"/>
      <w:bookmarkEnd w:id="5842"/>
      <w:bookmarkEnd w:id="5843"/>
      <w:bookmarkEnd w:id="5844"/>
      <w:bookmarkEnd w:id="5845"/>
      <w:bookmarkEnd w:id="5846"/>
      <w:bookmarkEnd w:id="5847"/>
    </w:p>
    <w:p w:rsidR="004A147C" w:rsidRPr="00B53FFB" w:rsidRDefault="004A147C" w:rsidP="00CE5850">
      <w:pPr>
        <w:pStyle w:val="ParaNum"/>
        <w:numPr>
          <w:ilvl w:val="0"/>
          <w:numId w:val="28"/>
        </w:numPr>
        <w:rPr>
          <w:sz w:val="22"/>
          <w:szCs w:val="22"/>
        </w:rPr>
      </w:pPr>
      <w:r w:rsidRPr="00B53FFB">
        <w:rPr>
          <w:sz w:val="22"/>
          <w:szCs w:val="22"/>
        </w:rPr>
        <w:t>According to Bank of America Merrill Lynch, mobile penetration in the United States rose to 106 percent in the fourth quarter of 2011.</w:t>
      </w:r>
      <w:r w:rsidRPr="00B53FFB">
        <w:rPr>
          <w:sz w:val="22"/>
          <w:szCs w:val="22"/>
          <w:vertAlign w:val="superscript"/>
        </w:rPr>
        <w:footnoteReference w:id="1239"/>
      </w:r>
      <w:r w:rsidRPr="00B53FFB">
        <w:rPr>
          <w:sz w:val="22"/>
          <w:szCs w:val="22"/>
        </w:rPr>
        <w:t xml:space="preserve">  In comparison, Japan finished 2011 with mobile penetration at 99 percent, while mobile penetration averaged an estimated 130 percent in Western Europe at the end of 2011 and ranged from 99 percent in France to 171 percent in Finland.</w:t>
      </w:r>
      <w:r w:rsidRPr="00B53FFB">
        <w:rPr>
          <w:sz w:val="22"/>
          <w:szCs w:val="22"/>
          <w:vertAlign w:val="superscript"/>
        </w:rPr>
        <w:footnoteReference w:id="1240"/>
      </w:r>
      <w:r w:rsidRPr="00B53FFB">
        <w:rPr>
          <w:sz w:val="22"/>
          <w:szCs w:val="22"/>
        </w:rPr>
        <w:t xml:space="preserve">  Estimated mobile penetration continued to exceed 100 percent in most of Western Europe at the end of 2011, due in part to a high percentage of prepaid subscribers and ownership of multiple devices or subscriber identity module (SIM) cards.</w:t>
      </w:r>
      <w:r w:rsidRPr="00B53FFB">
        <w:rPr>
          <w:sz w:val="22"/>
          <w:szCs w:val="22"/>
          <w:vertAlign w:val="superscript"/>
        </w:rPr>
        <w:footnoteReference w:id="1241"/>
      </w:r>
    </w:p>
    <w:p w:rsidR="004A147C" w:rsidRPr="00B53FFB" w:rsidRDefault="004A147C" w:rsidP="00CE5850">
      <w:pPr>
        <w:pStyle w:val="Heading2"/>
        <w:keepNext w:val="0"/>
      </w:pPr>
      <w:bookmarkStart w:id="5848" w:name="_Ref261523033"/>
      <w:bookmarkStart w:id="5849" w:name="_Ref261523035"/>
      <w:bookmarkStart w:id="5850" w:name="_Toc261610828"/>
      <w:bookmarkStart w:id="5851" w:name="_Toc261858580"/>
      <w:bookmarkStart w:id="5852" w:name="_Toc262034389"/>
      <w:bookmarkStart w:id="5853" w:name="_Toc262034492"/>
      <w:bookmarkStart w:id="5854" w:name="_Toc271288527"/>
      <w:bookmarkStart w:id="5855" w:name="_Toc275518046"/>
      <w:bookmarkStart w:id="5856" w:name="_Toc275952486"/>
      <w:bookmarkStart w:id="5857" w:name="_Toc276121918"/>
      <w:bookmarkStart w:id="5858" w:name="_Toc276480754"/>
      <w:bookmarkStart w:id="5859" w:name="_Toc276741832"/>
      <w:bookmarkStart w:id="5860" w:name="_Toc277171596"/>
      <w:bookmarkStart w:id="5861" w:name="_Toc277864573"/>
      <w:bookmarkStart w:id="5862" w:name="_Toc277864789"/>
      <w:bookmarkStart w:id="5863" w:name="_Toc285810469"/>
      <w:bookmarkStart w:id="5864" w:name="_Toc287257868"/>
      <w:bookmarkStart w:id="5865" w:name="_Toc291758743"/>
      <w:bookmarkStart w:id="5866" w:name="_Toc291758846"/>
      <w:bookmarkStart w:id="5867" w:name="_Toc295393026"/>
      <w:bookmarkStart w:id="5868" w:name="_Toc329262556"/>
      <w:bookmarkStart w:id="5869" w:name="_Toc329852462"/>
      <w:bookmarkStart w:id="5870" w:name="_Toc331766385"/>
      <w:bookmarkStart w:id="5871" w:name="_Toc332119189"/>
      <w:bookmarkStart w:id="5872" w:name="_Toc334088856"/>
      <w:bookmarkStart w:id="5873" w:name="_Toc334089092"/>
      <w:bookmarkStart w:id="5874" w:name="_Toc334089251"/>
      <w:bookmarkStart w:id="5875" w:name="_Toc334089362"/>
      <w:bookmarkStart w:id="5876" w:name="_Toc334089526"/>
      <w:bookmarkStart w:id="5877" w:name="_Toc336268668"/>
      <w:bookmarkStart w:id="5878" w:name="_Toc336268776"/>
      <w:bookmarkStart w:id="5879" w:name="_Toc336268883"/>
      <w:bookmarkStart w:id="5880" w:name="_Toc336269097"/>
      <w:bookmarkStart w:id="5881" w:name="_Toc336269204"/>
      <w:bookmarkStart w:id="5882" w:name="_Toc336269572"/>
      <w:bookmarkStart w:id="5883" w:name="_Toc336269718"/>
      <w:bookmarkStart w:id="5884" w:name="_Toc336270131"/>
      <w:bookmarkStart w:id="5885" w:name="_Toc336271324"/>
      <w:bookmarkStart w:id="5886" w:name="_Toc337652042"/>
      <w:bookmarkStart w:id="5887" w:name="_Toc349577231"/>
      <w:bookmarkStart w:id="5888" w:name="_Toc349579323"/>
      <w:bookmarkStart w:id="5889" w:name="_Toc349580638"/>
      <w:bookmarkStart w:id="5890" w:name="_Toc349735047"/>
      <w:bookmarkStart w:id="5891" w:name="_Toc349742412"/>
      <w:r w:rsidRPr="00B53FFB">
        <w:t>Concentration</w:t>
      </w:r>
      <w:bookmarkEnd w:id="5848"/>
      <w:bookmarkEnd w:id="5849"/>
      <w:bookmarkEnd w:id="5850"/>
      <w:bookmarkEnd w:id="5851"/>
      <w:bookmarkEnd w:id="5852"/>
      <w:bookmarkEnd w:id="5853"/>
      <w:bookmarkEnd w:id="5854"/>
      <w:bookmarkEnd w:id="5855"/>
      <w:bookmarkEnd w:id="5856"/>
      <w:bookmarkEnd w:id="5857"/>
      <w:bookmarkEnd w:id="5858"/>
      <w:bookmarkEnd w:id="5859"/>
      <w:bookmarkEnd w:id="5860"/>
      <w:bookmarkEnd w:id="5861"/>
      <w:bookmarkEnd w:id="5862"/>
      <w:bookmarkEnd w:id="5863"/>
      <w:bookmarkEnd w:id="5864"/>
      <w:bookmarkEnd w:id="5865"/>
      <w:bookmarkEnd w:id="5866"/>
      <w:bookmarkEnd w:id="5867"/>
      <w:bookmarkEnd w:id="5868"/>
      <w:bookmarkEnd w:id="5869"/>
      <w:bookmarkEnd w:id="5870"/>
      <w:bookmarkEnd w:id="5871"/>
      <w:bookmarkEnd w:id="5872"/>
      <w:bookmarkEnd w:id="5873"/>
      <w:bookmarkEnd w:id="5874"/>
      <w:bookmarkEnd w:id="5875"/>
      <w:bookmarkEnd w:id="5876"/>
      <w:bookmarkEnd w:id="5877"/>
      <w:bookmarkEnd w:id="5878"/>
      <w:bookmarkEnd w:id="5879"/>
      <w:bookmarkEnd w:id="5880"/>
      <w:bookmarkEnd w:id="5881"/>
      <w:bookmarkEnd w:id="5882"/>
      <w:bookmarkEnd w:id="5883"/>
      <w:bookmarkEnd w:id="5884"/>
      <w:bookmarkEnd w:id="5885"/>
      <w:bookmarkEnd w:id="5886"/>
      <w:bookmarkEnd w:id="5887"/>
      <w:bookmarkEnd w:id="5888"/>
      <w:bookmarkEnd w:id="5889"/>
      <w:bookmarkEnd w:id="5890"/>
      <w:bookmarkEnd w:id="5891"/>
    </w:p>
    <w:p w:rsidR="004A147C" w:rsidRPr="00B53FFB" w:rsidRDefault="004A147C" w:rsidP="00CE5850">
      <w:pPr>
        <w:pStyle w:val="ParaNum"/>
        <w:numPr>
          <w:ilvl w:val="0"/>
          <w:numId w:val="28"/>
        </w:numPr>
        <w:rPr>
          <w:sz w:val="22"/>
          <w:szCs w:val="22"/>
        </w:rPr>
      </w:pPr>
      <w:r w:rsidRPr="00B53FFB">
        <w:rPr>
          <w:sz w:val="22"/>
          <w:szCs w:val="22"/>
        </w:rPr>
        <w:t xml:space="preserve">The Bank of America Merrill Lynch’s </w:t>
      </w:r>
      <w:r w:rsidRPr="00B53FFB">
        <w:rPr>
          <w:i/>
          <w:sz w:val="22"/>
          <w:szCs w:val="22"/>
        </w:rPr>
        <w:t>Global Wireless Matrix</w:t>
      </w:r>
      <w:r w:rsidRPr="00B53FFB">
        <w:rPr>
          <w:sz w:val="22"/>
          <w:szCs w:val="22"/>
        </w:rPr>
        <w:t xml:space="preserve"> provides a cross-country comparison of industry concentration using HHIs calculated at national level.</w:t>
      </w:r>
      <w:r w:rsidRPr="00B53FFB">
        <w:rPr>
          <w:rStyle w:val="FootnoteReference"/>
          <w:szCs w:val="22"/>
        </w:rPr>
        <w:footnoteReference w:id="1242"/>
      </w:r>
      <w:r w:rsidRPr="00B53FFB">
        <w:rPr>
          <w:sz w:val="22"/>
          <w:szCs w:val="22"/>
        </w:rPr>
        <w:t xml:space="preserve">  This methodology can produce estimates of concentration that differ from estimates obtained when the geographic market is assumed to be local and the number of local competing providers is not uniform throughout the country.  The U.S. mobile wireless services market, for instance, is characterized by significant regional variation in the choice of competing providers.  The United States uses exclusively regional spectrum licensing schemes, so that service providers must aggregate multiple regional licenses to build a nationwide footprint.  In contrast, the nationwide licensing scheme used in most Western European mobile service markets precludes the entry of strictly regional or multi-regional service providers.  The methodology used by Bank of America Merrill Lynch to calculate the U.S. national market HHI is different from the one implemented earlier in this </w:t>
      </w:r>
      <w:r w:rsidRPr="00B53FFB">
        <w:rPr>
          <w:i/>
          <w:sz w:val="22"/>
          <w:szCs w:val="22"/>
        </w:rPr>
        <w:t>Report</w:t>
      </w:r>
      <w:r w:rsidRPr="00B53FFB">
        <w:rPr>
          <w:sz w:val="22"/>
          <w:szCs w:val="22"/>
        </w:rPr>
        <w:t>.</w:t>
      </w:r>
      <w:r w:rsidRPr="00B53FFB">
        <w:rPr>
          <w:rStyle w:val="FootnoteReference"/>
          <w:szCs w:val="22"/>
        </w:rPr>
        <w:footnoteReference w:id="1243"/>
      </w:r>
    </w:p>
    <w:p w:rsidR="004A147C" w:rsidRPr="00B53FFB" w:rsidRDefault="004A147C" w:rsidP="00CE5850">
      <w:pPr>
        <w:pStyle w:val="ParaNum"/>
        <w:numPr>
          <w:ilvl w:val="0"/>
          <w:numId w:val="28"/>
        </w:numPr>
        <w:rPr>
          <w:sz w:val="22"/>
          <w:szCs w:val="22"/>
        </w:rPr>
      </w:pPr>
      <w:r w:rsidRPr="00B53FFB">
        <w:rPr>
          <w:sz w:val="22"/>
          <w:szCs w:val="22"/>
        </w:rPr>
        <w:t>As shown in</w:t>
      </w:r>
      <w:r w:rsidR="00956FC7">
        <w:rPr>
          <w:sz w:val="22"/>
          <w:szCs w:val="22"/>
        </w:rPr>
        <w:t xml:space="preserve"> </w:t>
      </w:r>
      <w:r w:rsidR="00956FC7">
        <w:rPr>
          <w:sz w:val="22"/>
          <w:szCs w:val="22"/>
        </w:rPr>
        <w:fldChar w:fldCharType="begin"/>
      </w:r>
      <w:r w:rsidR="00956FC7">
        <w:rPr>
          <w:sz w:val="22"/>
          <w:szCs w:val="22"/>
        </w:rPr>
        <w:instrText xml:space="preserve"> REF _Ref349894941 </w:instrText>
      </w:r>
      <w:r w:rsidR="00956FC7">
        <w:rPr>
          <w:sz w:val="22"/>
          <w:szCs w:val="22"/>
        </w:rPr>
        <w:fldChar w:fldCharType="separate"/>
      </w:r>
      <w:r w:rsidR="00CA3AC6" w:rsidRPr="00632601">
        <w:rPr>
          <w:sz w:val="22"/>
          <w:szCs w:val="22"/>
        </w:rPr>
        <w:t xml:space="preserve">Table </w:t>
      </w:r>
      <w:r w:rsidR="00CA3AC6">
        <w:rPr>
          <w:noProof/>
          <w:sz w:val="22"/>
          <w:szCs w:val="22"/>
        </w:rPr>
        <w:t>68</w:t>
      </w:r>
      <w:r w:rsidR="00956FC7">
        <w:rPr>
          <w:sz w:val="22"/>
          <w:szCs w:val="22"/>
        </w:rPr>
        <w:fldChar w:fldCharType="end"/>
      </w:r>
      <w:r w:rsidR="00956FC7">
        <w:rPr>
          <w:sz w:val="22"/>
          <w:szCs w:val="22"/>
        </w:rPr>
        <w:t xml:space="preserve"> </w:t>
      </w:r>
      <w:r w:rsidRPr="00B53FFB">
        <w:rPr>
          <w:sz w:val="22"/>
          <w:szCs w:val="22"/>
        </w:rPr>
        <w:t>below, Bank of America Merrill Lynch suggests that the United Kingdom had the least concentrated mobile market at the end of 2011, with an estimated HHI of 2210.</w:t>
      </w:r>
      <w:r w:rsidRPr="00B53FFB">
        <w:rPr>
          <w:rStyle w:val="FootnoteReference"/>
          <w:szCs w:val="22"/>
        </w:rPr>
        <w:footnoteReference w:id="1244"/>
      </w:r>
      <w:r w:rsidRPr="00B53FFB">
        <w:rPr>
          <w:sz w:val="22"/>
          <w:szCs w:val="22"/>
        </w:rPr>
        <w:t xml:space="preserve">  However, this estimate does not reflect that a merger between Orange UK and T-Mobile UK (the third and fourth largest UK providers) was approved by the European Commission in March 2010, and completed on April 1, 2010.</w:t>
      </w:r>
      <w:bookmarkStart w:id="5892" w:name="_Ref306361855"/>
      <w:r w:rsidRPr="00B53FFB">
        <w:rPr>
          <w:rStyle w:val="FootnoteReference"/>
          <w:szCs w:val="22"/>
        </w:rPr>
        <w:footnoteReference w:id="1245"/>
      </w:r>
      <w:bookmarkEnd w:id="5892"/>
      <w:r w:rsidRPr="00B53FFB">
        <w:rPr>
          <w:sz w:val="22"/>
          <w:szCs w:val="22"/>
        </w:rPr>
        <w:t xml:space="preserve">  Orange UK and T-Mobile UK became brands operated by a single parent company.</w:t>
      </w:r>
      <w:r w:rsidRPr="00B53FFB">
        <w:rPr>
          <w:rStyle w:val="FootnoteReference"/>
          <w:szCs w:val="22"/>
        </w:rPr>
        <w:footnoteReference w:id="1246"/>
      </w:r>
      <w:r w:rsidRPr="00B53FFB">
        <w:rPr>
          <w:sz w:val="22"/>
          <w:szCs w:val="22"/>
        </w:rPr>
        <w:t xml:space="preserve">  Nevertheless, the Bank of America Merrill Lynch estimate of the HHI for the UK continues to treat Orange UK and T-Mobile UK as two separate providers, with the subscribers of the merged entity divided equally between them.</w:t>
      </w:r>
      <w:r w:rsidRPr="00B53FFB">
        <w:rPr>
          <w:rStyle w:val="FootnoteReference"/>
          <w:szCs w:val="22"/>
        </w:rPr>
        <w:footnoteReference w:id="1247"/>
      </w:r>
      <w:r w:rsidRPr="00B53FFB">
        <w:rPr>
          <w:sz w:val="22"/>
          <w:szCs w:val="22"/>
        </w:rPr>
        <w:t xml:space="preserve">  The HHI for the UK increases to 2850 if it is re-estimated treating Orange UK and T-Mobile UK as a single provider, in which case the United States had the least concentrated mobile market at the end of 2011, with an estimated HHI of 2440.  As discussed above, we estimated an average HHI for the United States of 2873 at the end of 2011, based on EA subscriber market shares.</w:t>
      </w:r>
      <w:r w:rsidRPr="00B53FFB">
        <w:rPr>
          <w:rStyle w:val="FootnoteReference"/>
          <w:szCs w:val="22"/>
        </w:rPr>
        <w:footnoteReference w:id="1248"/>
      </w:r>
    </w:p>
    <w:p w:rsidR="004A147C" w:rsidRPr="00B53FFB" w:rsidRDefault="00632601" w:rsidP="00CE5850">
      <w:pPr>
        <w:pStyle w:val="Caption"/>
        <w:widowControl w:val="0"/>
        <w:jc w:val="center"/>
        <w:rPr>
          <w:b w:val="0"/>
          <w:sz w:val="22"/>
          <w:szCs w:val="22"/>
        </w:rPr>
      </w:pPr>
      <w:bookmarkStart w:id="5893" w:name="_Ref349894941"/>
      <w:bookmarkStart w:id="5894" w:name="_Toc329262557"/>
      <w:bookmarkStart w:id="5895" w:name="_Toc329852463"/>
      <w:bookmarkStart w:id="5896" w:name="_Toc331766386"/>
      <w:bookmarkStart w:id="5897" w:name="_Toc332119190"/>
      <w:bookmarkStart w:id="5898" w:name="_Toc334088857"/>
      <w:bookmarkStart w:id="5899" w:name="_Toc334089093"/>
      <w:bookmarkStart w:id="5900" w:name="_Toc334089252"/>
      <w:bookmarkStart w:id="5901" w:name="_Toc334089363"/>
      <w:bookmarkStart w:id="5902" w:name="_Toc334089527"/>
      <w:bookmarkStart w:id="5903" w:name="_Toc336268669"/>
      <w:bookmarkStart w:id="5904" w:name="_Toc336268777"/>
      <w:bookmarkStart w:id="5905" w:name="_Toc336268884"/>
      <w:bookmarkStart w:id="5906" w:name="_Toc336269098"/>
      <w:bookmarkStart w:id="5907" w:name="_Toc336269205"/>
      <w:bookmarkStart w:id="5908" w:name="_Toc336269573"/>
      <w:bookmarkStart w:id="5909" w:name="_Toc336269719"/>
      <w:bookmarkStart w:id="5910" w:name="_Toc336270132"/>
      <w:bookmarkStart w:id="5911" w:name="_Ref217723330"/>
      <w:r w:rsidRPr="00632601">
        <w:rPr>
          <w:sz w:val="22"/>
          <w:szCs w:val="22"/>
        </w:rPr>
        <w:t xml:space="preserve">Table </w:t>
      </w:r>
      <w:r w:rsidRPr="00632601">
        <w:rPr>
          <w:sz w:val="22"/>
          <w:szCs w:val="22"/>
        </w:rPr>
        <w:fldChar w:fldCharType="begin"/>
      </w:r>
      <w:r w:rsidRPr="00632601">
        <w:rPr>
          <w:sz w:val="22"/>
          <w:szCs w:val="22"/>
        </w:rPr>
        <w:instrText xml:space="preserve"> SEQ Table \* ARABIC </w:instrText>
      </w:r>
      <w:r w:rsidRPr="00632601">
        <w:rPr>
          <w:sz w:val="22"/>
          <w:szCs w:val="22"/>
        </w:rPr>
        <w:fldChar w:fldCharType="separate"/>
      </w:r>
      <w:r w:rsidR="00CA3AC6">
        <w:rPr>
          <w:noProof/>
          <w:sz w:val="22"/>
          <w:szCs w:val="22"/>
        </w:rPr>
        <w:t>68</w:t>
      </w:r>
      <w:r w:rsidRPr="00632601">
        <w:rPr>
          <w:sz w:val="22"/>
          <w:szCs w:val="22"/>
        </w:rPr>
        <w:fldChar w:fldCharType="end"/>
      </w:r>
      <w:bookmarkEnd w:id="5893"/>
      <w:r w:rsidR="004A147C" w:rsidRPr="00632601">
        <w:rPr>
          <w:sz w:val="22"/>
          <w:szCs w:val="22"/>
        </w:rPr>
        <w:br/>
        <w:t>Mobile Market Structure in Selected Countries (Merrill Lynch Calculation), Year-end 2011</w:t>
      </w:r>
      <w:r w:rsidR="004A147C" w:rsidRPr="00B53FFB">
        <w:rPr>
          <w:rStyle w:val="FootnoteReference"/>
          <w:szCs w:val="22"/>
        </w:rPr>
        <w:footnoteReference w:id="1249"/>
      </w:r>
      <w:bookmarkEnd w:id="5894"/>
      <w:bookmarkEnd w:id="5895"/>
      <w:bookmarkEnd w:id="5896"/>
      <w:bookmarkEnd w:id="5897"/>
      <w:bookmarkEnd w:id="5898"/>
      <w:bookmarkEnd w:id="5899"/>
      <w:bookmarkEnd w:id="5900"/>
      <w:bookmarkEnd w:id="5901"/>
      <w:bookmarkEnd w:id="5902"/>
      <w:bookmarkEnd w:id="5903"/>
      <w:bookmarkEnd w:id="5904"/>
      <w:bookmarkEnd w:id="5905"/>
      <w:bookmarkEnd w:id="5906"/>
      <w:bookmarkEnd w:id="5907"/>
      <w:bookmarkEnd w:id="5908"/>
      <w:bookmarkEnd w:id="5909"/>
      <w:bookmarkEnd w:id="5910"/>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035"/>
        <w:gridCol w:w="1775"/>
        <w:gridCol w:w="1670"/>
      </w:tblGrid>
      <w:tr w:rsidR="004A147C" w:rsidRPr="00B53FFB" w:rsidTr="00D626F5">
        <w:trPr>
          <w:jc w:val="center"/>
        </w:trPr>
        <w:tc>
          <w:tcPr>
            <w:tcW w:w="0" w:type="auto"/>
          </w:tcPr>
          <w:p w:rsidR="004A147C" w:rsidRPr="004F14A8" w:rsidRDefault="004A147C" w:rsidP="00CE5850">
            <w:pPr>
              <w:pStyle w:val="ParaNum"/>
              <w:tabs>
                <w:tab w:val="clear" w:pos="1440"/>
              </w:tabs>
              <w:spacing w:after="0"/>
              <w:ind w:firstLine="0"/>
              <w:jc w:val="center"/>
              <w:rPr>
                <w:b/>
                <w:sz w:val="22"/>
                <w:szCs w:val="22"/>
              </w:rPr>
            </w:pPr>
            <w:r w:rsidRPr="004F14A8">
              <w:rPr>
                <w:b/>
                <w:sz w:val="22"/>
                <w:szCs w:val="22"/>
              </w:rPr>
              <w:t>Country</w:t>
            </w:r>
          </w:p>
        </w:tc>
        <w:tc>
          <w:tcPr>
            <w:tcW w:w="0" w:type="auto"/>
          </w:tcPr>
          <w:p w:rsidR="004A147C" w:rsidRPr="004F14A8" w:rsidRDefault="004A147C" w:rsidP="00CE5850">
            <w:pPr>
              <w:pStyle w:val="ParaNum"/>
              <w:tabs>
                <w:tab w:val="clear" w:pos="1440"/>
              </w:tabs>
              <w:spacing w:after="0"/>
              <w:ind w:firstLine="0"/>
              <w:jc w:val="center"/>
              <w:rPr>
                <w:b/>
                <w:sz w:val="22"/>
                <w:szCs w:val="22"/>
              </w:rPr>
            </w:pPr>
            <w:r w:rsidRPr="004F14A8">
              <w:rPr>
                <w:b/>
                <w:sz w:val="22"/>
                <w:szCs w:val="22"/>
              </w:rPr>
              <w:t>Nationwide HHI</w:t>
            </w:r>
          </w:p>
        </w:tc>
        <w:tc>
          <w:tcPr>
            <w:tcW w:w="0" w:type="auto"/>
          </w:tcPr>
          <w:p w:rsidR="004A147C" w:rsidRPr="004F14A8" w:rsidRDefault="004A147C" w:rsidP="00CE5850">
            <w:pPr>
              <w:pStyle w:val="ParaNum"/>
              <w:tabs>
                <w:tab w:val="clear" w:pos="1440"/>
              </w:tabs>
              <w:spacing w:after="0"/>
              <w:ind w:firstLine="0"/>
              <w:jc w:val="center"/>
              <w:rPr>
                <w:b/>
                <w:sz w:val="22"/>
                <w:szCs w:val="22"/>
              </w:rPr>
            </w:pPr>
            <w:r w:rsidRPr="004F14A8">
              <w:rPr>
                <w:b/>
                <w:sz w:val="22"/>
                <w:szCs w:val="22"/>
              </w:rPr>
              <w:t>Number of</w:t>
            </w:r>
          </w:p>
          <w:p w:rsidR="004A147C" w:rsidRPr="004F14A8" w:rsidRDefault="004A147C" w:rsidP="00CE5850">
            <w:pPr>
              <w:pStyle w:val="ParaNum"/>
              <w:tabs>
                <w:tab w:val="clear" w:pos="1440"/>
              </w:tabs>
              <w:spacing w:after="0"/>
              <w:ind w:firstLine="0"/>
              <w:jc w:val="center"/>
              <w:rPr>
                <w:b/>
                <w:sz w:val="22"/>
                <w:szCs w:val="22"/>
              </w:rPr>
            </w:pPr>
            <w:r w:rsidRPr="004F14A8">
              <w:rPr>
                <w:b/>
                <w:sz w:val="22"/>
                <w:szCs w:val="22"/>
              </w:rPr>
              <w:t>Competitors</w:t>
            </w:r>
            <w:r w:rsidRPr="004F14A8">
              <w:rPr>
                <w:rStyle w:val="FootnoteReference"/>
                <w:szCs w:val="22"/>
              </w:rPr>
              <w:footnoteReference w:id="1250"/>
            </w:r>
          </w:p>
        </w:tc>
      </w:tr>
      <w:tr w:rsidR="004A147C" w:rsidRPr="00B53FFB" w:rsidTr="00D626F5">
        <w:trPr>
          <w:jc w:val="center"/>
        </w:trPr>
        <w:tc>
          <w:tcPr>
            <w:tcW w:w="0" w:type="auto"/>
          </w:tcPr>
          <w:p w:rsidR="004A147C" w:rsidRPr="004F14A8" w:rsidRDefault="004A147C" w:rsidP="00CE5850">
            <w:pPr>
              <w:pStyle w:val="ParaNum"/>
              <w:tabs>
                <w:tab w:val="clear" w:pos="1440"/>
              </w:tabs>
              <w:spacing w:after="0"/>
              <w:ind w:firstLine="0"/>
              <w:jc w:val="center"/>
              <w:rPr>
                <w:sz w:val="22"/>
                <w:szCs w:val="22"/>
              </w:rPr>
            </w:pPr>
            <w:r w:rsidRPr="004F14A8">
              <w:rPr>
                <w:sz w:val="22"/>
                <w:szCs w:val="22"/>
              </w:rPr>
              <w:t>UK</w:t>
            </w:r>
          </w:p>
        </w:tc>
        <w:tc>
          <w:tcPr>
            <w:tcW w:w="0" w:type="auto"/>
          </w:tcPr>
          <w:p w:rsidR="004A147C" w:rsidRPr="004F14A8" w:rsidRDefault="004A147C" w:rsidP="00CE5850">
            <w:pPr>
              <w:pStyle w:val="ParaNum"/>
              <w:tabs>
                <w:tab w:val="clear" w:pos="1440"/>
              </w:tabs>
              <w:spacing w:after="0"/>
              <w:ind w:firstLine="0"/>
              <w:jc w:val="center"/>
              <w:rPr>
                <w:sz w:val="22"/>
                <w:szCs w:val="22"/>
              </w:rPr>
            </w:pPr>
            <w:r w:rsidRPr="004F14A8">
              <w:rPr>
                <w:sz w:val="22"/>
                <w:szCs w:val="22"/>
              </w:rPr>
              <w:t>2210</w:t>
            </w:r>
          </w:p>
        </w:tc>
        <w:tc>
          <w:tcPr>
            <w:tcW w:w="0" w:type="auto"/>
          </w:tcPr>
          <w:p w:rsidR="004A147C" w:rsidRPr="004F14A8" w:rsidRDefault="004A147C" w:rsidP="00CE5850">
            <w:pPr>
              <w:pStyle w:val="ParaNum"/>
              <w:tabs>
                <w:tab w:val="clear" w:pos="1440"/>
              </w:tabs>
              <w:spacing w:after="0"/>
              <w:ind w:firstLine="0"/>
              <w:jc w:val="center"/>
              <w:rPr>
                <w:sz w:val="22"/>
                <w:szCs w:val="22"/>
              </w:rPr>
            </w:pPr>
            <w:r w:rsidRPr="004F14A8">
              <w:rPr>
                <w:sz w:val="22"/>
                <w:szCs w:val="22"/>
              </w:rPr>
              <w:t>4</w:t>
            </w:r>
          </w:p>
        </w:tc>
      </w:tr>
      <w:tr w:rsidR="004A147C" w:rsidRPr="00B53FFB" w:rsidTr="00D626F5">
        <w:trPr>
          <w:jc w:val="center"/>
        </w:trPr>
        <w:tc>
          <w:tcPr>
            <w:tcW w:w="0" w:type="auto"/>
          </w:tcPr>
          <w:p w:rsidR="004A147C" w:rsidRPr="004F14A8" w:rsidRDefault="004A147C" w:rsidP="00CE5850">
            <w:pPr>
              <w:pStyle w:val="ParaNum"/>
              <w:tabs>
                <w:tab w:val="clear" w:pos="1440"/>
              </w:tabs>
              <w:spacing w:after="0"/>
              <w:ind w:firstLine="0"/>
              <w:jc w:val="center"/>
              <w:rPr>
                <w:sz w:val="22"/>
                <w:szCs w:val="22"/>
              </w:rPr>
            </w:pPr>
            <w:r w:rsidRPr="004F14A8">
              <w:rPr>
                <w:sz w:val="22"/>
                <w:szCs w:val="22"/>
              </w:rPr>
              <w:t>USA</w:t>
            </w:r>
          </w:p>
        </w:tc>
        <w:tc>
          <w:tcPr>
            <w:tcW w:w="0" w:type="auto"/>
          </w:tcPr>
          <w:p w:rsidR="004A147C" w:rsidRPr="004F14A8" w:rsidRDefault="004A147C" w:rsidP="00CE5850">
            <w:pPr>
              <w:pStyle w:val="ParaNum"/>
              <w:tabs>
                <w:tab w:val="clear" w:pos="1440"/>
              </w:tabs>
              <w:spacing w:after="0"/>
              <w:ind w:firstLine="0"/>
              <w:jc w:val="center"/>
              <w:rPr>
                <w:sz w:val="22"/>
                <w:szCs w:val="22"/>
              </w:rPr>
            </w:pPr>
            <w:r w:rsidRPr="004F14A8">
              <w:rPr>
                <w:sz w:val="22"/>
                <w:szCs w:val="22"/>
              </w:rPr>
              <w:t>2440</w:t>
            </w:r>
          </w:p>
        </w:tc>
        <w:tc>
          <w:tcPr>
            <w:tcW w:w="0" w:type="auto"/>
          </w:tcPr>
          <w:p w:rsidR="004A147C" w:rsidRPr="004F14A8" w:rsidRDefault="004A147C" w:rsidP="00CE5850">
            <w:pPr>
              <w:pStyle w:val="ParaNum"/>
              <w:tabs>
                <w:tab w:val="clear" w:pos="1440"/>
              </w:tabs>
              <w:spacing w:after="0"/>
              <w:ind w:firstLine="0"/>
              <w:jc w:val="center"/>
              <w:rPr>
                <w:sz w:val="22"/>
                <w:szCs w:val="22"/>
              </w:rPr>
            </w:pPr>
            <w:r w:rsidRPr="004F14A8">
              <w:rPr>
                <w:sz w:val="22"/>
                <w:szCs w:val="22"/>
              </w:rPr>
              <w:t>5</w:t>
            </w:r>
          </w:p>
        </w:tc>
      </w:tr>
      <w:tr w:rsidR="004A147C" w:rsidRPr="00B53FFB" w:rsidTr="00D626F5">
        <w:trPr>
          <w:jc w:val="center"/>
        </w:trPr>
        <w:tc>
          <w:tcPr>
            <w:tcW w:w="0" w:type="auto"/>
          </w:tcPr>
          <w:p w:rsidR="004A147C" w:rsidRPr="004F14A8" w:rsidRDefault="004A147C" w:rsidP="00CE5850">
            <w:pPr>
              <w:pStyle w:val="ParaNum"/>
              <w:tabs>
                <w:tab w:val="clear" w:pos="1440"/>
              </w:tabs>
              <w:spacing w:after="0"/>
              <w:ind w:firstLine="0"/>
              <w:jc w:val="center"/>
              <w:rPr>
                <w:sz w:val="22"/>
                <w:szCs w:val="22"/>
              </w:rPr>
            </w:pPr>
            <w:r w:rsidRPr="004F14A8">
              <w:rPr>
                <w:sz w:val="22"/>
                <w:szCs w:val="22"/>
              </w:rPr>
              <w:t>Germany</w:t>
            </w:r>
          </w:p>
        </w:tc>
        <w:tc>
          <w:tcPr>
            <w:tcW w:w="0" w:type="auto"/>
          </w:tcPr>
          <w:p w:rsidR="004A147C" w:rsidRPr="004F14A8" w:rsidRDefault="004A147C" w:rsidP="00CE5850">
            <w:pPr>
              <w:pStyle w:val="ParaNum"/>
              <w:tabs>
                <w:tab w:val="clear" w:pos="1440"/>
              </w:tabs>
              <w:spacing w:after="0"/>
              <w:ind w:firstLine="0"/>
              <w:jc w:val="center"/>
              <w:rPr>
                <w:sz w:val="22"/>
                <w:szCs w:val="22"/>
              </w:rPr>
            </w:pPr>
            <w:r w:rsidRPr="004F14A8">
              <w:rPr>
                <w:sz w:val="22"/>
                <w:szCs w:val="22"/>
              </w:rPr>
              <w:t>2700</w:t>
            </w:r>
          </w:p>
        </w:tc>
        <w:tc>
          <w:tcPr>
            <w:tcW w:w="0" w:type="auto"/>
          </w:tcPr>
          <w:p w:rsidR="004A147C" w:rsidRPr="004F14A8" w:rsidRDefault="004A147C" w:rsidP="00CE5850">
            <w:pPr>
              <w:pStyle w:val="ParaNum"/>
              <w:tabs>
                <w:tab w:val="clear" w:pos="1440"/>
              </w:tabs>
              <w:spacing w:after="0"/>
              <w:ind w:firstLine="0"/>
              <w:jc w:val="center"/>
              <w:rPr>
                <w:sz w:val="22"/>
                <w:szCs w:val="22"/>
              </w:rPr>
            </w:pPr>
            <w:r w:rsidRPr="004F14A8">
              <w:rPr>
                <w:sz w:val="22"/>
                <w:szCs w:val="22"/>
              </w:rPr>
              <w:t>4</w:t>
            </w:r>
          </w:p>
        </w:tc>
      </w:tr>
      <w:tr w:rsidR="004A147C" w:rsidRPr="00B53FFB" w:rsidTr="00D626F5">
        <w:trPr>
          <w:jc w:val="center"/>
        </w:trPr>
        <w:tc>
          <w:tcPr>
            <w:tcW w:w="0" w:type="auto"/>
          </w:tcPr>
          <w:p w:rsidR="004A147C" w:rsidRPr="004F14A8" w:rsidRDefault="004A147C" w:rsidP="00CE5850">
            <w:pPr>
              <w:pStyle w:val="ParaNum"/>
              <w:tabs>
                <w:tab w:val="clear" w:pos="1440"/>
              </w:tabs>
              <w:spacing w:after="0"/>
              <w:ind w:firstLine="0"/>
              <w:jc w:val="center"/>
              <w:rPr>
                <w:sz w:val="22"/>
                <w:szCs w:val="22"/>
              </w:rPr>
            </w:pPr>
            <w:r w:rsidRPr="004F14A8">
              <w:rPr>
                <w:sz w:val="22"/>
                <w:szCs w:val="22"/>
              </w:rPr>
              <w:t>Canada</w:t>
            </w:r>
          </w:p>
        </w:tc>
        <w:tc>
          <w:tcPr>
            <w:tcW w:w="0" w:type="auto"/>
          </w:tcPr>
          <w:p w:rsidR="004A147C" w:rsidRPr="004F14A8" w:rsidRDefault="004A147C" w:rsidP="00CE5850">
            <w:pPr>
              <w:pStyle w:val="ParaNum"/>
              <w:tabs>
                <w:tab w:val="clear" w:pos="1440"/>
              </w:tabs>
              <w:spacing w:after="0"/>
              <w:ind w:firstLine="0"/>
              <w:jc w:val="center"/>
              <w:rPr>
                <w:sz w:val="22"/>
                <w:szCs w:val="22"/>
              </w:rPr>
            </w:pPr>
            <w:r w:rsidRPr="004F14A8">
              <w:rPr>
                <w:sz w:val="22"/>
                <w:szCs w:val="22"/>
              </w:rPr>
              <w:t>2840</w:t>
            </w:r>
          </w:p>
        </w:tc>
        <w:tc>
          <w:tcPr>
            <w:tcW w:w="0" w:type="auto"/>
          </w:tcPr>
          <w:p w:rsidR="004A147C" w:rsidRPr="004F14A8" w:rsidRDefault="004A147C" w:rsidP="00CE5850">
            <w:pPr>
              <w:pStyle w:val="ParaNum"/>
              <w:tabs>
                <w:tab w:val="clear" w:pos="1440"/>
              </w:tabs>
              <w:spacing w:after="0"/>
              <w:ind w:firstLine="0"/>
              <w:jc w:val="center"/>
              <w:rPr>
                <w:sz w:val="22"/>
                <w:szCs w:val="22"/>
              </w:rPr>
            </w:pPr>
            <w:r w:rsidRPr="004F14A8">
              <w:rPr>
                <w:sz w:val="22"/>
                <w:szCs w:val="22"/>
              </w:rPr>
              <w:t>5</w:t>
            </w:r>
          </w:p>
        </w:tc>
      </w:tr>
      <w:tr w:rsidR="004A147C" w:rsidRPr="00B53FFB" w:rsidTr="00D626F5">
        <w:trPr>
          <w:jc w:val="center"/>
        </w:trPr>
        <w:tc>
          <w:tcPr>
            <w:tcW w:w="0" w:type="auto"/>
          </w:tcPr>
          <w:p w:rsidR="004A147C" w:rsidRPr="004F14A8" w:rsidRDefault="004A147C" w:rsidP="00CE5850">
            <w:pPr>
              <w:pStyle w:val="ParaNum"/>
              <w:tabs>
                <w:tab w:val="clear" w:pos="1440"/>
              </w:tabs>
              <w:spacing w:after="0"/>
              <w:ind w:firstLine="0"/>
              <w:jc w:val="center"/>
              <w:rPr>
                <w:sz w:val="22"/>
                <w:szCs w:val="22"/>
              </w:rPr>
            </w:pPr>
            <w:r w:rsidRPr="004F14A8">
              <w:rPr>
                <w:sz w:val="22"/>
                <w:szCs w:val="22"/>
              </w:rPr>
              <w:t>Italy</w:t>
            </w:r>
          </w:p>
        </w:tc>
        <w:tc>
          <w:tcPr>
            <w:tcW w:w="0" w:type="auto"/>
          </w:tcPr>
          <w:p w:rsidR="004A147C" w:rsidRPr="004F14A8" w:rsidRDefault="004A147C" w:rsidP="00CE5850">
            <w:pPr>
              <w:pStyle w:val="ParaNum"/>
              <w:tabs>
                <w:tab w:val="clear" w:pos="1440"/>
              </w:tabs>
              <w:spacing w:after="0"/>
              <w:ind w:firstLine="0"/>
              <w:jc w:val="center"/>
              <w:rPr>
                <w:sz w:val="22"/>
                <w:szCs w:val="22"/>
              </w:rPr>
            </w:pPr>
            <w:r w:rsidRPr="004F14A8">
              <w:rPr>
                <w:sz w:val="22"/>
                <w:szCs w:val="22"/>
              </w:rPr>
              <w:t>2880</w:t>
            </w:r>
          </w:p>
        </w:tc>
        <w:tc>
          <w:tcPr>
            <w:tcW w:w="0" w:type="auto"/>
          </w:tcPr>
          <w:p w:rsidR="004A147C" w:rsidRPr="004F14A8" w:rsidRDefault="004A147C" w:rsidP="00CE5850">
            <w:pPr>
              <w:pStyle w:val="ParaNum"/>
              <w:tabs>
                <w:tab w:val="clear" w:pos="1440"/>
              </w:tabs>
              <w:spacing w:after="0"/>
              <w:ind w:firstLine="0"/>
              <w:jc w:val="center"/>
              <w:rPr>
                <w:sz w:val="22"/>
                <w:szCs w:val="22"/>
              </w:rPr>
            </w:pPr>
            <w:r w:rsidRPr="004F14A8">
              <w:rPr>
                <w:sz w:val="22"/>
                <w:szCs w:val="22"/>
              </w:rPr>
              <w:t>4</w:t>
            </w:r>
          </w:p>
        </w:tc>
      </w:tr>
      <w:tr w:rsidR="004A147C" w:rsidRPr="00B53FFB" w:rsidTr="00D626F5">
        <w:trPr>
          <w:jc w:val="center"/>
        </w:trPr>
        <w:tc>
          <w:tcPr>
            <w:tcW w:w="0" w:type="auto"/>
          </w:tcPr>
          <w:p w:rsidR="004A147C" w:rsidRPr="004F14A8" w:rsidRDefault="004A147C" w:rsidP="00CE5850">
            <w:pPr>
              <w:pStyle w:val="ParaNum"/>
              <w:tabs>
                <w:tab w:val="clear" w:pos="1440"/>
              </w:tabs>
              <w:spacing w:after="0"/>
              <w:ind w:firstLine="0"/>
              <w:jc w:val="center"/>
              <w:rPr>
                <w:sz w:val="22"/>
                <w:szCs w:val="22"/>
              </w:rPr>
            </w:pPr>
            <w:r w:rsidRPr="004F14A8">
              <w:rPr>
                <w:sz w:val="22"/>
                <w:szCs w:val="22"/>
              </w:rPr>
              <w:t>France</w:t>
            </w:r>
          </w:p>
        </w:tc>
        <w:tc>
          <w:tcPr>
            <w:tcW w:w="0" w:type="auto"/>
          </w:tcPr>
          <w:p w:rsidR="004A147C" w:rsidRPr="004F14A8" w:rsidRDefault="004A147C" w:rsidP="00CE5850">
            <w:pPr>
              <w:pStyle w:val="ParaNum"/>
              <w:tabs>
                <w:tab w:val="clear" w:pos="1440"/>
              </w:tabs>
              <w:spacing w:after="0"/>
              <w:ind w:firstLine="0"/>
              <w:jc w:val="center"/>
              <w:rPr>
                <w:sz w:val="22"/>
                <w:szCs w:val="22"/>
              </w:rPr>
            </w:pPr>
            <w:r w:rsidRPr="004F14A8">
              <w:rPr>
                <w:sz w:val="22"/>
                <w:szCs w:val="22"/>
              </w:rPr>
              <w:t>3230</w:t>
            </w:r>
          </w:p>
        </w:tc>
        <w:tc>
          <w:tcPr>
            <w:tcW w:w="0" w:type="auto"/>
          </w:tcPr>
          <w:p w:rsidR="004A147C" w:rsidRPr="004F14A8" w:rsidRDefault="004A147C" w:rsidP="00CE5850">
            <w:pPr>
              <w:pStyle w:val="ParaNum"/>
              <w:tabs>
                <w:tab w:val="clear" w:pos="1440"/>
              </w:tabs>
              <w:spacing w:after="0"/>
              <w:ind w:firstLine="0"/>
              <w:jc w:val="center"/>
              <w:rPr>
                <w:sz w:val="22"/>
                <w:szCs w:val="22"/>
              </w:rPr>
            </w:pPr>
            <w:r w:rsidRPr="004F14A8">
              <w:rPr>
                <w:sz w:val="22"/>
                <w:szCs w:val="22"/>
              </w:rPr>
              <w:t>4</w:t>
            </w:r>
          </w:p>
        </w:tc>
      </w:tr>
      <w:tr w:rsidR="004A147C" w:rsidRPr="00B53FFB" w:rsidTr="00D626F5">
        <w:trPr>
          <w:jc w:val="center"/>
        </w:trPr>
        <w:tc>
          <w:tcPr>
            <w:tcW w:w="0" w:type="auto"/>
          </w:tcPr>
          <w:p w:rsidR="004A147C" w:rsidRPr="004F14A8" w:rsidRDefault="004A147C" w:rsidP="00CE5850">
            <w:pPr>
              <w:pStyle w:val="ParaNum"/>
              <w:tabs>
                <w:tab w:val="clear" w:pos="1440"/>
              </w:tabs>
              <w:spacing w:after="0"/>
              <w:ind w:firstLine="0"/>
              <w:jc w:val="center"/>
              <w:rPr>
                <w:sz w:val="22"/>
                <w:szCs w:val="22"/>
              </w:rPr>
            </w:pPr>
            <w:r w:rsidRPr="004F14A8">
              <w:rPr>
                <w:sz w:val="22"/>
                <w:szCs w:val="22"/>
              </w:rPr>
              <w:t>Sweden</w:t>
            </w:r>
          </w:p>
        </w:tc>
        <w:tc>
          <w:tcPr>
            <w:tcW w:w="0" w:type="auto"/>
          </w:tcPr>
          <w:p w:rsidR="004A147C" w:rsidRPr="004F14A8" w:rsidRDefault="004A147C" w:rsidP="00CE5850">
            <w:pPr>
              <w:pStyle w:val="ParaNum"/>
              <w:tabs>
                <w:tab w:val="clear" w:pos="1440"/>
              </w:tabs>
              <w:spacing w:after="0"/>
              <w:ind w:firstLine="0"/>
              <w:jc w:val="center"/>
              <w:rPr>
                <w:sz w:val="22"/>
                <w:szCs w:val="22"/>
              </w:rPr>
            </w:pPr>
            <w:r w:rsidRPr="004F14A8">
              <w:rPr>
                <w:sz w:val="22"/>
                <w:szCs w:val="22"/>
              </w:rPr>
              <w:t>3260</w:t>
            </w:r>
          </w:p>
        </w:tc>
        <w:tc>
          <w:tcPr>
            <w:tcW w:w="0" w:type="auto"/>
          </w:tcPr>
          <w:p w:rsidR="004A147C" w:rsidRPr="004F14A8" w:rsidRDefault="004A147C" w:rsidP="00CE5850">
            <w:pPr>
              <w:pStyle w:val="ParaNum"/>
              <w:tabs>
                <w:tab w:val="clear" w:pos="1440"/>
              </w:tabs>
              <w:spacing w:after="0"/>
              <w:ind w:firstLine="0"/>
              <w:jc w:val="center"/>
              <w:rPr>
                <w:sz w:val="22"/>
                <w:szCs w:val="22"/>
              </w:rPr>
            </w:pPr>
            <w:r w:rsidRPr="004F14A8">
              <w:rPr>
                <w:sz w:val="22"/>
                <w:szCs w:val="22"/>
              </w:rPr>
              <w:t>3</w:t>
            </w:r>
          </w:p>
        </w:tc>
      </w:tr>
      <w:tr w:rsidR="004A147C" w:rsidRPr="00B53FFB" w:rsidTr="00D626F5">
        <w:trPr>
          <w:jc w:val="center"/>
        </w:trPr>
        <w:tc>
          <w:tcPr>
            <w:tcW w:w="0" w:type="auto"/>
          </w:tcPr>
          <w:p w:rsidR="004A147C" w:rsidRPr="004F14A8" w:rsidRDefault="004A147C" w:rsidP="00CE5850">
            <w:pPr>
              <w:pStyle w:val="ParaNum"/>
              <w:tabs>
                <w:tab w:val="clear" w:pos="1440"/>
              </w:tabs>
              <w:spacing w:after="0"/>
              <w:ind w:firstLine="0"/>
              <w:jc w:val="center"/>
              <w:rPr>
                <w:sz w:val="22"/>
                <w:szCs w:val="22"/>
              </w:rPr>
            </w:pPr>
            <w:r w:rsidRPr="004F14A8">
              <w:rPr>
                <w:sz w:val="22"/>
                <w:szCs w:val="22"/>
              </w:rPr>
              <w:t>Finland</w:t>
            </w:r>
          </w:p>
        </w:tc>
        <w:tc>
          <w:tcPr>
            <w:tcW w:w="0" w:type="auto"/>
          </w:tcPr>
          <w:p w:rsidR="004A147C" w:rsidRPr="004F14A8" w:rsidRDefault="004A147C" w:rsidP="00CE5850">
            <w:pPr>
              <w:pStyle w:val="ParaNum"/>
              <w:tabs>
                <w:tab w:val="clear" w:pos="1440"/>
              </w:tabs>
              <w:spacing w:after="0"/>
              <w:ind w:firstLine="0"/>
              <w:jc w:val="center"/>
              <w:rPr>
                <w:sz w:val="22"/>
                <w:szCs w:val="22"/>
              </w:rPr>
            </w:pPr>
            <w:r w:rsidRPr="004F14A8">
              <w:rPr>
                <w:sz w:val="22"/>
                <w:szCs w:val="22"/>
              </w:rPr>
              <w:t>3450</w:t>
            </w:r>
          </w:p>
        </w:tc>
        <w:tc>
          <w:tcPr>
            <w:tcW w:w="0" w:type="auto"/>
          </w:tcPr>
          <w:p w:rsidR="004A147C" w:rsidRPr="004F14A8" w:rsidRDefault="004A147C" w:rsidP="00CE5850">
            <w:pPr>
              <w:pStyle w:val="ParaNum"/>
              <w:tabs>
                <w:tab w:val="clear" w:pos="1440"/>
              </w:tabs>
              <w:spacing w:after="0"/>
              <w:ind w:firstLine="0"/>
              <w:jc w:val="center"/>
              <w:rPr>
                <w:sz w:val="22"/>
                <w:szCs w:val="22"/>
              </w:rPr>
            </w:pPr>
            <w:r w:rsidRPr="004F14A8">
              <w:rPr>
                <w:sz w:val="22"/>
                <w:szCs w:val="22"/>
              </w:rPr>
              <w:t>3</w:t>
            </w:r>
          </w:p>
        </w:tc>
      </w:tr>
      <w:tr w:rsidR="004A147C" w:rsidRPr="00B53FFB" w:rsidTr="00D626F5">
        <w:trPr>
          <w:jc w:val="center"/>
        </w:trPr>
        <w:tc>
          <w:tcPr>
            <w:tcW w:w="0" w:type="auto"/>
          </w:tcPr>
          <w:p w:rsidR="004A147C" w:rsidRPr="004F14A8" w:rsidRDefault="004A147C" w:rsidP="00CE5850">
            <w:pPr>
              <w:pStyle w:val="ParaNum"/>
              <w:tabs>
                <w:tab w:val="clear" w:pos="1440"/>
              </w:tabs>
              <w:spacing w:after="0"/>
              <w:ind w:firstLine="0"/>
              <w:jc w:val="center"/>
              <w:rPr>
                <w:sz w:val="22"/>
                <w:szCs w:val="22"/>
              </w:rPr>
            </w:pPr>
            <w:r w:rsidRPr="004F14A8">
              <w:rPr>
                <w:sz w:val="22"/>
                <w:szCs w:val="22"/>
              </w:rPr>
              <w:t>Japan</w:t>
            </w:r>
          </w:p>
        </w:tc>
        <w:tc>
          <w:tcPr>
            <w:tcW w:w="0" w:type="auto"/>
          </w:tcPr>
          <w:p w:rsidR="004A147C" w:rsidRPr="004F14A8" w:rsidRDefault="004A147C" w:rsidP="00CE5850">
            <w:pPr>
              <w:pStyle w:val="ParaNum"/>
              <w:tabs>
                <w:tab w:val="clear" w:pos="1440"/>
              </w:tabs>
              <w:spacing w:after="0"/>
              <w:ind w:firstLine="0"/>
              <w:jc w:val="center"/>
              <w:rPr>
                <w:sz w:val="22"/>
                <w:szCs w:val="22"/>
              </w:rPr>
            </w:pPr>
            <w:r w:rsidRPr="004F14A8">
              <w:rPr>
                <w:sz w:val="22"/>
                <w:szCs w:val="22"/>
              </w:rPr>
              <w:t>3480</w:t>
            </w:r>
          </w:p>
        </w:tc>
        <w:tc>
          <w:tcPr>
            <w:tcW w:w="0" w:type="auto"/>
          </w:tcPr>
          <w:p w:rsidR="004A147C" w:rsidRPr="004F14A8" w:rsidRDefault="004A147C" w:rsidP="00CE5850">
            <w:pPr>
              <w:pStyle w:val="ParaNum"/>
              <w:tabs>
                <w:tab w:val="clear" w:pos="1440"/>
              </w:tabs>
              <w:spacing w:after="0"/>
              <w:ind w:firstLine="0"/>
              <w:jc w:val="center"/>
              <w:rPr>
                <w:sz w:val="22"/>
                <w:szCs w:val="22"/>
              </w:rPr>
            </w:pPr>
            <w:r w:rsidRPr="004F14A8">
              <w:rPr>
                <w:sz w:val="22"/>
                <w:szCs w:val="22"/>
              </w:rPr>
              <w:t>4</w:t>
            </w:r>
          </w:p>
        </w:tc>
      </w:tr>
      <w:tr w:rsidR="004A147C" w:rsidRPr="00B53FFB" w:rsidTr="00D626F5">
        <w:trPr>
          <w:jc w:val="center"/>
        </w:trPr>
        <w:tc>
          <w:tcPr>
            <w:tcW w:w="0" w:type="auto"/>
          </w:tcPr>
          <w:p w:rsidR="004A147C" w:rsidRPr="004F14A8" w:rsidRDefault="004A147C" w:rsidP="00CE5850">
            <w:pPr>
              <w:pStyle w:val="ParaNum"/>
              <w:tabs>
                <w:tab w:val="clear" w:pos="1440"/>
              </w:tabs>
              <w:spacing w:after="0"/>
              <w:ind w:firstLine="0"/>
              <w:jc w:val="center"/>
              <w:rPr>
                <w:sz w:val="22"/>
                <w:szCs w:val="22"/>
              </w:rPr>
            </w:pPr>
            <w:r w:rsidRPr="004F14A8">
              <w:rPr>
                <w:sz w:val="22"/>
                <w:szCs w:val="22"/>
              </w:rPr>
              <w:t>Australia</w:t>
            </w:r>
          </w:p>
        </w:tc>
        <w:tc>
          <w:tcPr>
            <w:tcW w:w="0" w:type="auto"/>
          </w:tcPr>
          <w:p w:rsidR="004A147C" w:rsidRPr="004F14A8" w:rsidRDefault="004A147C" w:rsidP="00CE5850">
            <w:pPr>
              <w:pStyle w:val="ParaNum"/>
              <w:tabs>
                <w:tab w:val="clear" w:pos="1440"/>
              </w:tabs>
              <w:spacing w:after="0"/>
              <w:ind w:firstLine="0"/>
              <w:jc w:val="center"/>
              <w:rPr>
                <w:sz w:val="22"/>
                <w:szCs w:val="22"/>
              </w:rPr>
            </w:pPr>
            <w:r w:rsidRPr="004F14A8">
              <w:rPr>
                <w:sz w:val="22"/>
                <w:szCs w:val="22"/>
              </w:rPr>
              <w:t>3550</w:t>
            </w:r>
          </w:p>
        </w:tc>
        <w:tc>
          <w:tcPr>
            <w:tcW w:w="0" w:type="auto"/>
          </w:tcPr>
          <w:p w:rsidR="004A147C" w:rsidRPr="004F14A8" w:rsidRDefault="004A147C" w:rsidP="00CE5850">
            <w:pPr>
              <w:pStyle w:val="ParaNum"/>
              <w:tabs>
                <w:tab w:val="clear" w:pos="1440"/>
              </w:tabs>
              <w:spacing w:after="0"/>
              <w:ind w:firstLine="0"/>
              <w:jc w:val="center"/>
              <w:rPr>
                <w:sz w:val="22"/>
                <w:szCs w:val="22"/>
              </w:rPr>
            </w:pPr>
            <w:r w:rsidRPr="004F14A8">
              <w:rPr>
                <w:sz w:val="22"/>
                <w:szCs w:val="22"/>
              </w:rPr>
              <w:t>3</w:t>
            </w:r>
          </w:p>
        </w:tc>
      </w:tr>
      <w:bookmarkEnd w:id="5911"/>
    </w:tbl>
    <w:p w:rsidR="004A147C" w:rsidRPr="00B53FFB" w:rsidRDefault="004A147C" w:rsidP="00CE5850">
      <w:pPr>
        <w:pStyle w:val="ParaNum"/>
        <w:tabs>
          <w:tab w:val="clear" w:pos="1440"/>
        </w:tabs>
        <w:spacing w:after="0"/>
        <w:ind w:firstLine="0"/>
        <w:rPr>
          <w:sz w:val="22"/>
          <w:szCs w:val="22"/>
        </w:rPr>
      </w:pPr>
    </w:p>
    <w:p w:rsidR="004A147C" w:rsidRPr="00B53FFB" w:rsidRDefault="004A147C" w:rsidP="00CE5850">
      <w:pPr>
        <w:pStyle w:val="ParaNum"/>
        <w:tabs>
          <w:tab w:val="clear" w:pos="1440"/>
        </w:tabs>
        <w:spacing w:after="0"/>
        <w:ind w:firstLine="0"/>
        <w:rPr>
          <w:sz w:val="22"/>
          <w:szCs w:val="22"/>
        </w:rPr>
      </w:pPr>
    </w:p>
    <w:p w:rsidR="004A147C" w:rsidRPr="00B53FFB" w:rsidRDefault="004A147C" w:rsidP="00CE5850">
      <w:pPr>
        <w:pStyle w:val="Heading1"/>
        <w:keepNext w:val="0"/>
        <w:numPr>
          <w:ilvl w:val="0"/>
          <w:numId w:val="26"/>
        </w:numPr>
        <w:tabs>
          <w:tab w:val="left" w:pos="720"/>
        </w:tabs>
        <w:suppressAutoHyphens w:val="0"/>
        <w:rPr>
          <w:sz w:val="22"/>
          <w:szCs w:val="22"/>
        </w:rPr>
      </w:pPr>
      <w:bookmarkStart w:id="5912" w:name="_Toc261610829"/>
      <w:bookmarkStart w:id="5913" w:name="_Toc261858581"/>
      <w:bookmarkStart w:id="5914" w:name="_Toc262034390"/>
      <w:bookmarkStart w:id="5915" w:name="_Toc262034493"/>
      <w:bookmarkStart w:id="5916" w:name="_Toc271288528"/>
      <w:bookmarkStart w:id="5917" w:name="_Toc275518047"/>
      <w:bookmarkStart w:id="5918" w:name="_Toc275952487"/>
      <w:bookmarkStart w:id="5919" w:name="_Toc276121919"/>
      <w:bookmarkStart w:id="5920" w:name="_Toc276480755"/>
      <w:bookmarkStart w:id="5921" w:name="_Toc276741833"/>
      <w:bookmarkStart w:id="5922" w:name="_Toc277171597"/>
      <w:bookmarkStart w:id="5923" w:name="_Toc277864574"/>
      <w:bookmarkStart w:id="5924" w:name="_Toc277864790"/>
      <w:bookmarkStart w:id="5925" w:name="_Toc285810470"/>
      <w:bookmarkStart w:id="5926" w:name="_Toc287257869"/>
      <w:bookmarkStart w:id="5927" w:name="_Toc291758744"/>
      <w:bookmarkStart w:id="5928" w:name="_Toc291758847"/>
      <w:bookmarkStart w:id="5929" w:name="_Toc295393027"/>
      <w:bookmarkStart w:id="5930" w:name="_Toc329262558"/>
      <w:bookmarkStart w:id="5931" w:name="_Toc329852464"/>
      <w:bookmarkStart w:id="5932" w:name="_Toc331766387"/>
      <w:bookmarkStart w:id="5933" w:name="_Toc332119191"/>
      <w:bookmarkStart w:id="5934" w:name="_Toc334088858"/>
      <w:bookmarkStart w:id="5935" w:name="_Toc334089094"/>
      <w:bookmarkStart w:id="5936" w:name="_Toc334089253"/>
      <w:bookmarkStart w:id="5937" w:name="_Toc334089364"/>
      <w:bookmarkStart w:id="5938" w:name="_Toc334089528"/>
      <w:bookmarkStart w:id="5939" w:name="_Toc336268670"/>
      <w:bookmarkStart w:id="5940" w:name="_Toc336268778"/>
      <w:bookmarkStart w:id="5941" w:name="_Toc336268885"/>
      <w:bookmarkStart w:id="5942" w:name="_Toc336269099"/>
      <w:bookmarkStart w:id="5943" w:name="_Toc336269206"/>
      <w:bookmarkStart w:id="5944" w:name="_Toc336269574"/>
      <w:bookmarkStart w:id="5945" w:name="_Toc336269720"/>
      <w:bookmarkStart w:id="5946" w:name="_Toc336270133"/>
      <w:bookmarkStart w:id="5947" w:name="_Toc336271325"/>
      <w:bookmarkStart w:id="5948" w:name="_Toc337652043"/>
      <w:bookmarkStart w:id="5949" w:name="_Toc349577232"/>
      <w:bookmarkStart w:id="5950" w:name="_Toc349579324"/>
      <w:bookmarkStart w:id="5951" w:name="_Toc349580639"/>
      <w:bookmarkStart w:id="5952" w:name="_Toc349735048"/>
      <w:bookmarkStart w:id="5953" w:name="_Toc349742413"/>
      <w:r w:rsidRPr="00B53FFB">
        <w:rPr>
          <w:sz w:val="22"/>
          <w:szCs w:val="22"/>
        </w:rPr>
        <w:t>conclusion</w:t>
      </w:r>
      <w:bookmarkEnd w:id="5912"/>
      <w:bookmarkEnd w:id="5913"/>
      <w:bookmarkEnd w:id="5914"/>
      <w:bookmarkEnd w:id="5915"/>
      <w:bookmarkEnd w:id="5916"/>
      <w:bookmarkEnd w:id="5917"/>
      <w:bookmarkEnd w:id="5918"/>
      <w:bookmarkEnd w:id="5919"/>
      <w:bookmarkEnd w:id="5920"/>
      <w:bookmarkEnd w:id="5921"/>
      <w:bookmarkEnd w:id="5922"/>
      <w:bookmarkEnd w:id="5923"/>
      <w:bookmarkEnd w:id="5924"/>
      <w:bookmarkEnd w:id="5925"/>
      <w:bookmarkEnd w:id="5926"/>
      <w:bookmarkEnd w:id="5927"/>
      <w:bookmarkEnd w:id="5928"/>
      <w:bookmarkEnd w:id="5929"/>
      <w:bookmarkEnd w:id="5930"/>
      <w:bookmarkEnd w:id="5931"/>
      <w:bookmarkEnd w:id="5932"/>
      <w:bookmarkEnd w:id="5933"/>
      <w:bookmarkEnd w:id="5934"/>
      <w:bookmarkEnd w:id="5935"/>
      <w:bookmarkEnd w:id="5936"/>
      <w:bookmarkEnd w:id="5937"/>
      <w:bookmarkEnd w:id="5938"/>
      <w:bookmarkEnd w:id="5939"/>
      <w:bookmarkEnd w:id="5940"/>
      <w:bookmarkEnd w:id="5941"/>
      <w:bookmarkEnd w:id="5942"/>
      <w:bookmarkEnd w:id="5943"/>
      <w:bookmarkEnd w:id="5944"/>
      <w:bookmarkEnd w:id="5945"/>
      <w:bookmarkEnd w:id="5946"/>
      <w:bookmarkEnd w:id="5947"/>
      <w:bookmarkEnd w:id="5948"/>
      <w:bookmarkEnd w:id="5949"/>
      <w:bookmarkEnd w:id="5950"/>
      <w:bookmarkEnd w:id="5951"/>
      <w:bookmarkEnd w:id="5952"/>
      <w:bookmarkEnd w:id="5953"/>
    </w:p>
    <w:p w:rsidR="004A147C" w:rsidRDefault="004A147C" w:rsidP="00CE5850">
      <w:pPr>
        <w:pStyle w:val="ParaNum"/>
        <w:numPr>
          <w:ilvl w:val="0"/>
          <w:numId w:val="28"/>
        </w:numPr>
        <w:rPr>
          <w:sz w:val="22"/>
          <w:szCs w:val="22"/>
        </w:rPr>
      </w:pPr>
      <w:r w:rsidRPr="00B53FFB">
        <w:rPr>
          <w:sz w:val="22"/>
          <w:szCs w:val="22"/>
        </w:rPr>
        <w:t xml:space="preserve">Promoting competition is a fundamental goal of the Commission’s policymaking.  Competition has played and must continue to play an essential role in the mobile wireless industry – leading to lower prices and higher quality for American consumers, and producing innovation and investment in wireless networks, devices, and services. </w:t>
      </w:r>
      <w:r>
        <w:rPr>
          <w:sz w:val="22"/>
          <w:szCs w:val="22"/>
        </w:rPr>
        <w:t xml:space="preserve"> </w:t>
      </w:r>
      <w:r w:rsidRPr="00B53FFB">
        <w:rPr>
          <w:kern w:val="0"/>
          <w:sz w:val="22"/>
          <w:szCs w:val="22"/>
        </w:rPr>
        <w:t xml:space="preserve">This </w:t>
      </w:r>
      <w:r w:rsidRPr="00B53FFB">
        <w:rPr>
          <w:i/>
          <w:kern w:val="0"/>
          <w:sz w:val="22"/>
          <w:szCs w:val="22"/>
        </w:rPr>
        <w:t>Report</w:t>
      </w:r>
      <w:r w:rsidRPr="00B53FFB">
        <w:rPr>
          <w:kern w:val="0"/>
          <w:sz w:val="22"/>
          <w:szCs w:val="22"/>
        </w:rPr>
        <w:t xml:space="preserve"> analyzes competition in the mobile wireless industry </w:t>
      </w:r>
      <w:r w:rsidRPr="00B53FFB">
        <w:rPr>
          <w:sz w:val="22"/>
          <w:szCs w:val="22"/>
        </w:rPr>
        <w:t xml:space="preserve">pursuant to section 332(c)(1)(C) of the Communications Act and highlights several key trends in the industry.  As with past reports, this </w:t>
      </w:r>
      <w:r w:rsidRPr="00B53FFB">
        <w:rPr>
          <w:i/>
          <w:sz w:val="22"/>
          <w:szCs w:val="22"/>
        </w:rPr>
        <w:t xml:space="preserve">Report </w:t>
      </w:r>
      <w:r w:rsidRPr="00B53FFB">
        <w:rPr>
          <w:sz w:val="22"/>
          <w:szCs w:val="22"/>
        </w:rPr>
        <w:t xml:space="preserve">examines various facets of the mobile wireless industry including market concentration, the conduct and rivalry of service providers, industry performance and outcomes, and consumer responses to mobile wireless service offerings.  It also analyzes competition in other segments of the mobile wireless ecosystem, including spectrum, backhaul facilities, and handsets/devices and mobile applications.  </w:t>
      </w:r>
      <w:bookmarkEnd w:id="1772"/>
      <w:bookmarkEnd w:id="3015"/>
      <w:bookmarkEnd w:id="3016"/>
      <w:bookmarkEnd w:id="3017"/>
      <w:bookmarkEnd w:id="3018"/>
      <w:bookmarkEnd w:id="3019"/>
      <w:bookmarkEnd w:id="3020"/>
      <w:bookmarkEnd w:id="3021"/>
      <w:bookmarkEnd w:id="3022"/>
      <w:bookmarkEnd w:id="3023"/>
      <w:bookmarkEnd w:id="3024"/>
      <w:bookmarkEnd w:id="3025"/>
      <w:bookmarkEnd w:id="3026"/>
      <w:bookmarkEnd w:id="3027"/>
      <w:bookmarkEnd w:id="3028"/>
      <w:bookmarkEnd w:id="3029"/>
      <w:bookmarkEnd w:id="3030"/>
      <w:bookmarkEnd w:id="3031"/>
      <w:bookmarkEnd w:id="3032"/>
      <w:bookmarkEnd w:id="3033"/>
      <w:bookmarkEnd w:id="3034"/>
      <w:bookmarkEnd w:id="3035"/>
      <w:bookmarkEnd w:id="3036"/>
      <w:bookmarkEnd w:id="3037"/>
      <w:bookmarkEnd w:id="3038"/>
      <w:bookmarkEnd w:id="3039"/>
      <w:bookmarkEnd w:id="3040"/>
      <w:bookmarkEnd w:id="3041"/>
    </w:p>
    <w:p w:rsidR="00004BA4" w:rsidRDefault="00004BA4" w:rsidP="00CE5850">
      <w:pPr>
        <w:pStyle w:val="ParaNum"/>
        <w:tabs>
          <w:tab w:val="clear" w:pos="1440"/>
        </w:tabs>
        <w:rPr>
          <w:sz w:val="22"/>
          <w:szCs w:val="22"/>
        </w:rPr>
      </w:pPr>
    </w:p>
    <w:p w:rsidR="00004BA4" w:rsidRDefault="00004BA4" w:rsidP="00CE5850">
      <w:pPr>
        <w:pStyle w:val="ParaNum"/>
        <w:tabs>
          <w:tab w:val="clear" w:pos="1440"/>
        </w:tabs>
        <w:rPr>
          <w:sz w:val="22"/>
          <w:szCs w:val="22"/>
        </w:rPr>
      </w:pPr>
    </w:p>
    <w:p w:rsidR="00004BA4" w:rsidRDefault="00004BA4" w:rsidP="00CE5850">
      <w:pPr>
        <w:pStyle w:val="ParaNum"/>
        <w:tabs>
          <w:tab w:val="clear" w:pos="1440"/>
        </w:tabs>
        <w:rPr>
          <w:sz w:val="22"/>
          <w:szCs w:val="22"/>
        </w:rPr>
      </w:pPr>
    </w:p>
    <w:p w:rsidR="00004BA4" w:rsidRDefault="00004BA4" w:rsidP="00CE5850">
      <w:pPr>
        <w:pStyle w:val="ParaNum"/>
        <w:tabs>
          <w:tab w:val="clear" w:pos="1440"/>
        </w:tabs>
        <w:rPr>
          <w:sz w:val="22"/>
          <w:szCs w:val="22"/>
        </w:rPr>
      </w:pPr>
    </w:p>
    <w:p w:rsidR="00004BA4" w:rsidRDefault="00004BA4" w:rsidP="00CE5850">
      <w:pPr>
        <w:pStyle w:val="ParaNum"/>
        <w:tabs>
          <w:tab w:val="clear" w:pos="1440"/>
        </w:tabs>
        <w:rPr>
          <w:sz w:val="22"/>
          <w:szCs w:val="22"/>
        </w:rPr>
      </w:pPr>
    </w:p>
    <w:p w:rsidR="00004BA4" w:rsidRDefault="00004BA4" w:rsidP="00CE5850">
      <w:pPr>
        <w:pStyle w:val="ParaNum"/>
        <w:tabs>
          <w:tab w:val="clear" w:pos="1440"/>
        </w:tabs>
        <w:rPr>
          <w:sz w:val="22"/>
          <w:szCs w:val="22"/>
        </w:rPr>
      </w:pPr>
    </w:p>
    <w:p w:rsidR="00004BA4" w:rsidRDefault="00004BA4" w:rsidP="00CE5850">
      <w:pPr>
        <w:pStyle w:val="ParaNum"/>
        <w:tabs>
          <w:tab w:val="clear" w:pos="1440"/>
        </w:tabs>
        <w:rPr>
          <w:sz w:val="22"/>
          <w:szCs w:val="22"/>
        </w:rPr>
      </w:pPr>
    </w:p>
    <w:p w:rsidR="00A72236" w:rsidRPr="00B53FFB" w:rsidRDefault="00A72236" w:rsidP="00CE5850">
      <w:pPr>
        <w:pStyle w:val="ParaNum"/>
        <w:tabs>
          <w:tab w:val="clear" w:pos="1440"/>
        </w:tabs>
        <w:rPr>
          <w:sz w:val="22"/>
          <w:szCs w:val="22"/>
        </w:rPr>
      </w:pPr>
    </w:p>
    <w:p w:rsidR="004A147C" w:rsidRPr="00B53FFB" w:rsidRDefault="004A147C" w:rsidP="00CE5850">
      <w:pPr>
        <w:pStyle w:val="Heading1"/>
        <w:keepNext w:val="0"/>
        <w:numPr>
          <w:ilvl w:val="0"/>
          <w:numId w:val="26"/>
        </w:numPr>
        <w:tabs>
          <w:tab w:val="left" w:pos="720"/>
        </w:tabs>
        <w:suppressAutoHyphens w:val="0"/>
        <w:rPr>
          <w:sz w:val="22"/>
          <w:szCs w:val="22"/>
        </w:rPr>
      </w:pPr>
      <w:bookmarkStart w:id="5954" w:name="_Toc508445600"/>
      <w:bookmarkStart w:id="5955" w:name="_Toc83547849"/>
      <w:bookmarkStart w:id="5956" w:name="_Toc112139269"/>
      <w:bookmarkStart w:id="5957" w:name="_Toc113257876"/>
      <w:bookmarkStart w:id="5958" w:name="_Toc113258073"/>
      <w:bookmarkStart w:id="5959" w:name="_Toc113258341"/>
      <w:bookmarkStart w:id="5960" w:name="_Toc113258667"/>
      <w:bookmarkStart w:id="5961" w:name="_Toc113272256"/>
      <w:bookmarkStart w:id="5962" w:name="_Toc115580941"/>
      <w:bookmarkStart w:id="5963" w:name="_Toc136318344"/>
      <w:bookmarkStart w:id="5964" w:name="_Toc136318693"/>
      <w:bookmarkStart w:id="5965" w:name="_Toc136318860"/>
      <w:bookmarkStart w:id="5966" w:name="_Toc138475836"/>
      <w:bookmarkStart w:id="5967" w:name="_Toc146684565"/>
      <w:bookmarkStart w:id="5968" w:name="_Toc147046323"/>
      <w:bookmarkStart w:id="5969" w:name="_Toc171415283"/>
      <w:bookmarkStart w:id="5970" w:name="_Toc173642174"/>
      <w:bookmarkStart w:id="5971" w:name="_Toc173813712"/>
      <w:bookmarkStart w:id="5972" w:name="_Toc175387882"/>
      <w:bookmarkStart w:id="5973" w:name="_Toc176254508"/>
      <w:bookmarkStart w:id="5974" w:name="_Toc176254797"/>
      <w:bookmarkStart w:id="5975" w:name="_Toc176254908"/>
      <w:bookmarkStart w:id="5976" w:name="_Toc176762542"/>
      <w:bookmarkStart w:id="5977" w:name="_Toc176843563"/>
      <w:bookmarkStart w:id="5978" w:name="_Toc176853365"/>
      <w:bookmarkStart w:id="5979" w:name="_Toc176853474"/>
      <w:bookmarkStart w:id="5980" w:name="_Toc176857523"/>
      <w:bookmarkStart w:id="5981" w:name="_Toc179108451"/>
      <w:bookmarkStart w:id="5982" w:name="_Toc179357709"/>
      <w:bookmarkStart w:id="5983" w:name="_Toc181781191"/>
      <w:bookmarkStart w:id="5984" w:name="_Toc182218777"/>
      <w:bookmarkStart w:id="5985" w:name="_Toc182909213"/>
      <w:bookmarkStart w:id="5986" w:name="_Toc182909643"/>
      <w:bookmarkStart w:id="5987" w:name="_Toc182987292"/>
      <w:bookmarkStart w:id="5988" w:name="_Toc183244127"/>
      <w:bookmarkStart w:id="5989" w:name="_Toc183244505"/>
      <w:bookmarkStart w:id="5990" w:name="_Toc183244916"/>
      <w:bookmarkStart w:id="5991" w:name="_Toc183245034"/>
      <w:bookmarkStart w:id="5992" w:name="_Toc183245692"/>
      <w:bookmarkStart w:id="5993" w:name="_Toc183246267"/>
      <w:bookmarkStart w:id="5994" w:name="_Toc183246366"/>
      <w:bookmarkStart w:id="5995" w:name="_Toc185667976"/>
      <w:bookmarkStart w:id="5996" w:name="_Toc185839033"/>
      <w:bookmarkStart w:id="5997" w:name="_Toc185847005"/>
      <w:bookmarkStart w:id="5998" w:name="_Toc185848611"/>
      <w:bookmarkStart w:id="5999" w:name="_Toc188946969"/>
      <w:bookmarkStart w:id="6000" w:name="_Toc189302873"/>
      <w:bookmarkStart w:id="6001" w:name="_Toc209948540"/>
      <w:bookmarkStart w:id="6002" w:name="_Toc209948649"/>
      <w:bookmarkStart w:id="6003" w:name="_Toc209950089"/>
      <w:bookmarkStart w:id="6004" w:name="_Toc210211545"/>
      <w:bookmarkStart w:id="6005" w:name="_Toc210213112"/>
      <w:bookmarkStart w:id="6006" w:name="_Toc210213251"/>
      <w:bookmarkStart w:id="6007" w:name="_Toc210213812"/>
      <w:bookmarkStart w:id="6008" w:name="_Toc212968035"/>
      <w:bookmarkStart w:id="6009" w:name="_Toc215316437"/>
      <w:bookmarkStart w:id="6010" w:name="_Toc215384691"/>
      <w:bookmarkStart w:id="6011" w:name="_Toc217810557"/>
      <w:bookmarkStart w:id="6012" w:name="_Toc261610830"/>
      <w:bookmarkStart w:id="6013" w:name="_Toc261858582"/>
      <w:bookmarkStart w:id="6014" w:name="_Toc262034391"/>
      <w:bookmarkStart w:id="6015" w:name="_Toc262034494"/>
      <w:bookmarkStart w:id="6016" w:name="_Toc271288529"/>
      <w:bookmarkStart w:id="6017" w:name="_Toc275518048"/>
      <w:bookmarkStart w:id="6018" w:name="_Toc275952488"/>
      <w:bookmarkStart w:id="6019" w:name="_Toc276121920"/>
      <w:bookmarkStart w:id="6020" w:name="_Toc276480756"/>
      <w:bookmarkStart w:id="6021" w:name="_Toc276741834"/>
      <w:bookmarkStart w:id="6022" w:name="_Toc277171598"/>
      <w:bookmarkStart w:id="6023" w:name="_Toc277864575"/>
      <w:bookmarkStart w:id="6024" w:name="_Toc277864791"/>
      <w:bookmarkStart w:id="6025" w:name="_Toc285810471"/>
      <w:bookmarkStart w:id="6026" w:name="_Toc287257870"/>
      <w:bookmarkStart w:id="6027" w:name="_Toc291758745"/>
      <w:bookmarkStart w:id="6028" w:name="_Toc291758848"/>
      <w:bookmarkStart w:id="6029" w:name="_Toc295393028"/>
      <w:bookmarkStart w:id="6030" w:name="_Toc329262559"/>
      <w:bookmarkStart w:id="6031" w:name="_Toc329852465"/>
      <w:bookmarkStart w:id="6032" w:name="_Toc331766388"/>
      <w:bookmarkStart w:id="6033" w:name="_Toc332119192"/>
      <w:bookmarkStart w:id="6034" w:name="_Toc334088859"/>
      <w:bookmarkStart w:id="6035" w:name="_Toc334089095"/>
      <w:bookmarkStart w:id="6036" w:name="_Toc334089254"/>
      <w:bookmarkStart w:id="6037" w:name="_Toc334089365"/>
      <w:bookmarkStart w:id="6038" w:name="_Toc334089529"/>
      <w:bookmarkStart w:id="6039" w:name="_Toc335839108"/>
      <w:bookmarkStart w:id="6040" w:name="_Toc336268671"/>
      <w:bookmarkStart w:id="6041" w:name="_Toc336268779"/>
      <w:bookmarkStart w:id="6042" w:name="_Toc336268886"/>
      <w:bookmarkStart w:id="6043" w:name="_Toc336269100"/>
      <w:bookmarkStart w:id="6044" w:name="_Toc336269207"/>
      <w:bookmarkStart w:id="6045" w:name="_Toc336269575"/>
      <w:bookmarkStart w:id="6046" w:name="_Toc336269721"/>
      <w:bookmarkStart w:id="6047" w:name="_Toc336270134"/>
      <w:bookmarkStart w:id="6048" w:name="_Toc336271326"/>
      <w:bookmarkStart w:id="6049" w:name="_Toc337652044"/>
      <w:bookmarkStart w:id="6050" w:name="_Toc349577233"/>
      <w:bookmarkStart w:id="6051" w:name="_Toc349579325"/>
      <w:bookmarkStart w:id="6052" w:name="_Toc349580640"/>
      <w:bookmarkStart w:id="6053" w:name="_Toc349735049"/>
      <w:bookmarkStart w:id="6054" w:name="_Toc349742414"/>
      <w:r w:rsidRPr="00B53FFB">
        <w:rPr>
          <w:sz w:val="22"/>
          <w:szCs w:val="22"/>
        </w:rPr>
        <w:t>Procedural MATTERS</w:t>
      </w:r>
      <w:bookmarkEnd w:id="323"/>
      <w:bookmarkEnd w:id="324"/>
      <w:bookmarkEnd w:id="325"/>
      <w:bookmarkEnd w:id="5954"/>
      <w:bookmarkEnd w:id="5955"/>
      <w:bookmarkEnd w:id="5956"/>
      <w:bookmarkEnd w:id="5957"/>
      <w:bookmarkEnd w:id="5958"/>
      <w:bookmarkEnd w:id="5959"/>
      <w:bookmarkEnd w:id="5960"/>
      <w:bookmarkEnd w:id="5961"/>
      <w:bookmarkEnd w:id="5962"/>
      <w:bookmarkEnd w:id="5963"/>
      <w:bookmarkEnd w:id="5964"/>
      <w:bookmarkEnd w:id="5965"/>
      <w:bookmarkEnd w:id="5966"/>
      <w:bookmarkEnd w:id="5967"/>
      <w:bookmarkEnd w:id="5968"/>
      <w:bookmarkEnd w:id="5969"/>
      <w:bookmarkEnd w:id="5970"/>
      <w:bookmarkEnd w:id="5971"/>
      <w:bookmarkEnd w:id="5972"/>
      <w:bookmarkEnd w:id="5973"/>
      <w:bookmarkEnd w:id="5974"/>
      <w:bookmarkEnd w:id="5975"/>
      <w:bookmarkEnd w:id="5976"/>
      <w:bookmarkEnd w:id="5977"/>
      <w:bookmarkEnd w:id="5978"/>
      <w:bookmarkEnd w:id="5979"/>
      <w:bookmarkEnd w:id="5980"/>
      <w:bookmarkEnd w:id="5981"/>
      <w:bookmarkEnd w:id="5982"/>
      <w:bookmarkEnd w:id="5983"/>
      <w:bookmarkEnd w:id="5984"/>
      <w:bookmarkEnd w:id="5985"/>
      <w:bookmarkEnd w:id="5986"/>
      <w:bookmarkEnd w:id="5987"/>
      <w:bookmarkEnd w:id="5988"/>
      <w:bookmarkEnd w:id="5989"/>
      <w:bookmarkEnd w:id="5990"/>
      <w:bookmarkEnd w:id="5991"/>
      <w:bookmarkEnd w:id="5992"/>
      <w:bookmarkEnd w:id="5993"/>
      <w:bookmarkEnd w:id="5994"/>
      <w:bookmarkEnd w:id="5995"/>
      <w:bookmarkEnd w:id="5996"/>
      <w:bookmarkEnd w:id="5997"/>
      <w:bookmarkEnd w:id="5998"/>
      <w:bookmarkEnd w:id="5999"/>
      <w:bookmarkEnd w:id="6000"/>
      <w:bookmarkEnd w:id="6001"/>
      <w:bookmarkEnd w:id="6002"/>
      <w:bookmarkEnd w:id="6003"/>
      <w:bookmarkEnd w:id="6004"/>
      <w:bookmarkEnd w:id="6005"/>
      <w:bookmarkEnd w:id="6006"/>
      <w:bookmarkEnd w:id="6007"/>
      <w:bookmarkEnd w:id="6008"/>
      <w:bookmarkEnd w:id="6009"/>
      <w:bookmarkEnd w:id="6010"/>
      <w:bookmarkEnd w:id="6011"/>
      <w:bookmarkEnd w:id="6012"/>
      <w:bookmarkEnd w:id="6013"/>
      <w:bookmarkEnd w:id="6014"/>
      <w:bookmarkEnd w:id="6015"/>
      <w:bookmarkEnd w:id="6016"/>
      <w:bookmarkEnd w:id="6017"/>
      <w:bookmarkEnd w:id="6018"/>
      <w:bookmarkEnd w:id="6019"/>
      <w:bookmarkEnd w:id="6020"/>
      <w:bookmarkEnd w:id="6021"/>
      <w:bookmarkEnd w:id="6022"/>
      <w:bookmarkEnd w:id="6023"/>
      <w:bookmarkEnd w:id="6024"/>
      <w:bookmarkEnd w:id="6025"/>
      <w:bookmarkEnd w:id="6026"/>
      <w:bookmarkEnd w:id="6027"/>
      <w:bookmarkEnd w:id="6028"/>
      <w:bookmarkEnd w:id="6029"/>
      <w:bookmarkEnd w:id="6030"/>
      <w:bookmarkEnd w:id="6031"/>
      <w:bookmarkEnd w:id="6032"/>
      <w:bookmarkEnd w:id="6033"/>
      <w:bookmarkEnd w:id="6034"/>
      <w:bookmarkEnd w:id="6035"/>
      <w:bookmarkEnd w:id="6036"/>
      <w:bookmarkEnd w:id="6037"/>
      <w:bookmarkEnd w:id="6038"/>
      <w:bookmarkEnd w:id="6039"/>
      <w:bookmarkEnd w:id="6040"/>
      <w:bookmarkEnd w:id="6041"/>
      <w:bookmarkEnd w:id="6042"/>
      <w:bookmarkEnd w:id="6043"/>
      <w:bookmarkEnd w:id="6044"/>
      <w:bookmarkEnd w:id="6045"/>
      <w:bookmarkEnd w:id="6046"/>
      <w:bookmarkEnd w:id="6047"/>
      <w:bookmarkEnd w:id="6048"/>
      <w:bookmarkEnd w:id="6049"/>
      <w:bookmarkEnd w:id="6050"/>
      <w:bookmarkEnd w:id="6051"/>
      <w:bookmarkEnd w:id="6052"/>
      <w:bookmarkEnd w:id="6053"/>
      <w:bookmarkEnd w:id="6054"/>
    </w:p>
    <w:p w:rsidR="004A147C" w:rsidRPr="00B53FFB" w:rsidRDefault="004A147C" w:rsidP="00CE5850">
      <w:pPr>
        <w:pStyle w:val="ParaNum"/>
        <w:numPr>
          <w:ilvl w:val="0"/>
          <w:numId w:val="28"/>
        </w:numPr>
        <w:rPr>
          <w:sz w:val="22"/>
          <w:szCs w:val="22"/>
        </w:rPr>
      </w:pPr>
      <w:r w:rsidRPr="00B53FFB">
        <w:rPr>
          <w:sz w:val="22"/>
          <w:szCs w:val="22"/>
        </w:rPr>
        <w:t>This S</w:t>
      </w:r>
      <w:r w:rsidRPr="00B53FFB">
        <w:rPr>
          <w:i/>
          <w:sz w:val="22"/>
          <w:szCs w:val="22"/>
        </w:rPr>
        <w:t>ixteenth Report</w:t>
      </w:r>
      <w:r w:rsidRPr="00B53FFB">
        <w:rPr>
          <w:sz w:val="22"/>
          <w:szCs w:val="22"/>
        </w:rPr>
        <w:t xml:space="preserve"> is issued pursuant to authority contained in Section 332(c)(1)(C) of the Communications Act of 1934, as amended, 47 U.S.C. § 332(c)(1)(C).</w:t>
      </w:r>
    </w:p>
    <w:p w:rsidR="004A147C" w:rsidRPr="00B53FFB" w:rsidRDefault="004A147C" w:rsidP="00CE5850">
      <w:pPr>
        <w:pStyle w:val="ParaNum"/>
        <w:numPr>
          <w:ilvl w:val="0"/>
          <w:numId w:val="28"/>
        </w:numPr>
        <w:rPr>
          <w:sz w:val="22"/>
          <w:szCs w:val="22"/>
        </w:rPr>
      </w:pPr>
      <w:r w:rsidRPr="00B53FFB">
        <w:rPr>
          <w:sz w:val="22"/>
          <w:szCs w:val="22"/>
        </w:rPr>
        <w:t xml:space="preserve">It is ORDERED that copies of this </w:t>
      </w:r>
      <w:r w:rsidRPr="00B53FFB">
        <w:rPr>
          <w:i/>
          <w:sz w:val="22"/>
          <w:szCs w:val="22"/>
        </w:rPr>
        <w:t>Report</w:t>
      </w:r>
      <w:r w:rsidRPr="00B53FFB">
        <w:rPr>
          <w:sz w:val="22"/>
          <w:szCs w:val="22"/>
        </w:rPr>
        <w:t xml:space="preserve"> be sent to the appropriate committees and subcommittees of the United States House of Representatives and the United States Senate.</w:t>
      </w:r>
    </w:p>
    <w:p w:rsidR="004A147C" w:rsidRPr="00B53FFB" w:rsidRDefault="004A147C" w:rsidP="00CE5850">
      <w:pPr>
        <w:pStyle w:val="ParaNum"/>
        <w:numPr>
          <w:ilvl w:val="0"/>
          <w:numId w:val="28"/>
        </w:numPr>
        <w:rPr>
          <w:sz w:val="22"/>
          <w:szCs w:val="22"/>
        </w:rPr>
      </w:pPr>
      <w:r w:rsidRPr="00B53FFB">
        <w:rPr>
          <w:sz w:val="22"/>
          <w:szCs w:val="22"/>
        </w:rPr>
        <w:t>It is FURTHER ORDERED that the proceeding in the WT Docket No. 11-186 IS TERMINATED.</w:t>
      </w:r>
    </w:p>
    <w:p w:rsidR="004A147C" w:rsidRPr="00B53FFB" w:rsidRDefault="004A147C" w:rsidP="00CE5850">
      <w:pPr>
        <w:tabs>
          <w:tab w:val="left" w:pos="-1440"/>
        </w:tabs>
        <w:rPr>
          <w:szCs w:val="22"/>
        </w:rPr>
      </w:pPr>
    </w:p>
    <w:p w:rsidR="004A147C" w:rsidRPr="00B53FFB" w:rsidRDefault="004A147C" w:rsidP="00CE5850">
      <w:pPr>
        <w:tabs>
          <w:tab w:val="left" w:pos="-1440"/>
        </w:tabs>
        <w:rPr>
          <w:szCs w:val="22"/>
        </w:rPr>
      </w:pPr>
    </w:p>
    <w:p w:rsidR="004A147C" w:rsidRPr="00B53FFB" w:rsidRDefault="004A147C" w:rsidP="00CE5850">
      <w:pPr>
        <w:tabs>
          <w:tab w:val="left" w:pos="-1440"/>
          <w:tab w:val="left" w:pos="4770"/>
        </w:tabs>
        <w:ind w:firstLine="4680"/>
        <w:outlineLvl w:val="0"/>
        <w:rPr>
          <w:szCs w:val="22"/>
        </w:rPr>
      </w:pPr>
      <w:bookmarkStart w:id="6055" w:name="_Toc329262560"/>
      <w:bookmarkStart w:id="6056" w:name="_Toc329852466"/>
      <w:bookmarkStart w:id="6057" w:name="_Toc331766389"/>
      <w:bookmarkStart w:id="6058" w:name="_Toc332119193"/>
      <w:bookmarkStart w:id="6059" w:name="_Toc334088860"/>
      <w:bookmarkStart w:id="6060" w:name="_Toc334089096"/>
      <w:bookmarkStart w:id="6061" w:name="_Toc334089255"/>
      <w:bookmarkStart w:id="6062" w:name="_Toc334089366"/>
      <w:bookmarkStart w:id="6063" w:name="_Toc334089530"/>
      <w:bookmarkStart w:id="6064" w:name="_Toc335839109"/>
      <w:bookmarkStart w:id="6065" w:name="_Toc336268672"/>
      <w:bookmarkStart w:id="6066" w:name="_Toc336268780"/>
      <w:bookmarkStart w:id="6067" w:name="_Toc336268887"/>
      <w:bookmarkStart w:id="6068" w:name="_Toc336269101"/>
      <w:bookmarkStart w:id="6069" w:name="_Toc336269208"/>
      <w:bookmarkStart w:id="6070" w:name="_Toc336269576"/>
      <w:bookmarkStart w:id="6071" w:name="_Toc336269722"/>
      <w:bookmarkStart w:id="6072" w:name="_Toc336270135"/>
      <w:r w:rsidRPr="00B53FFB">
        <w:rPr>
          <w:szCs w:val="22"/>
        </w:rPr>
        <w:t>FEDERAL COMMUNICATIONS COMMISSION</w:t>
      </w:r>
      <w:bookmarkEnd w:id="6055"/>
      <w:bookmarkEnd w:id="6056"/>
      <w:bookmarkEnd w:id="6057"/>
      <w:bookmarkEnd w:id="6058"/>
      <w:bookmarkEnd w:id="6059"/>
      <w:bookmarkEnd w:id="6060"/>
      <w:bookmarkEnd w:id="6061"/>
      <w:bookmarkEnd w:id="6062"/>
      <w:bookmarkEnd w:id="6063"/>
      <w:bookmarkEnd w:id="6064"/>
      <w:bookmarkEnd w:id="6065"/>
      <w:bookmarkEnd w:id="6066"/>
      <w:bookmarkEnd w:id="6067"/>
      <w:bookmarkEnd w:id="6068"/>
      <w:bookmarkEnd w:id="6069"/>
      <w:bookmarkEnd w:id="6070"/>
      <w:bookmarkEnd w:id="6071"/>
      <w:bookmarkEnd w:id="6072"/>
      <w:r w:rsidRPr="00B53FFB">
        <w:rPr>
          <w:szCs w:val="22"/>
        </w:rPr>
        <w:br/>
      </w:r>
      <w:r w:rsidRPr="00B53FFB">
        <w:rPr>
          <w:szCs w:val="22"/>
        </w:rPr>
        <w:br/>
      </w:r>
      <w:r w:rsidRPr="00B53FFB">
        <w:rPr>
          <w:szCs w:val="22"/>
        </w:rPr>
        <w:br/>
      </w:r>
    </w:p>
    <w:p w:rsidR="004A147C" w:rsidRPr="00B53FFB" w:rsidRDefault="004A147C" w:rsidP="00CE5850">
      <w:pPr>
        <w:tabs>
          <w:tab w:val="left" w:pos="-1440"/>
          <w:tab w:val="left" w:pos="4770"/>
        </w:tabs>
        <w:ind w:left="4770" w:firstLine="4500"/>
        <w:outlineLvl w:val="0"/>
        <w:rPr>
          <w:szCs w:val="22"/>
        </w:rPr>
      </w:pPr>
    </w:p>
    <w:p w:rsidR="004A147C" w:rsidRDefault="004A147C" w:rsidP="00CE5850">
      <w:pPr>
        <w:tabs>
          <w:tab w:val="left" w:pos="-1440"/>
          <w:tab w:val="left" w:pos="4680"/>
        </w:tabs>
        <w:ind w:left="4680"/>
        <w:outlineLvl w:val="0"/>
        <w:rPr>
          <w:szCs w:val="22"/>
        </w:rPr>
      </w:pPr>
      <w:bookmarkStart w:id="6073" w:name="_Toc329262561"/>
      <w:bookmarkStart w:id="6074" w:name="_Toc329852467"/>
      <w:bookmarkStart w:id="6075" w:name="_Toc331766390"/>
      <w:bookmarkStart w:id="6076" w:name="_Toc332119194"/>
      <w:bookmarkStart w:id="6077" w:name="_Toc334088861"/>
      <w:bookmarkStart w:id="6078" w:name="_Toc334089097"/>
      <w:bookmarkStart w:id="6079" w:name="_Toc334089256"/>
      <w:bookmarkStart w:id="6080" w:name="_Toc334089367"/>
      <w:bookmarkStart w:id="6081" w:name="_Toc334089531"/>
      <w:bookmarkStart w:id="6082" w:name="_Toc335839110"/>
      <w:bookmarkStart w:id="6083" w:name="_Toc336268673"/>
      <w:bookmarkStart w:id="6084" w:name="_Toc336268781"/>
      <w:bookmarkStart w:id="6085" w:name="_Toc336268888"/>
      <w:bookmarkStart w:id="6086" w:name="_Toc336269102"/>
      <w:bookmarkStart w:id="6087" w:name="_Toc336269209"/>
      <w:bookmarkStart w:id="6088" w:name="_Toc336269577"/>
      <w:bookmarkStart w:id="6089" w:name="_Toc336269723"/>
      <w:bookmarkStart w:id="6090" w:name="_Toc336270136"/>
      <w:r w:rsidRPr="00B53FFB">
        <w:rPr>
          <w:szCs w:val="22"/>
        </w:rPr>
        <w:t>Marlene H. Dortch</w:t>
      </w:r>
      <w:r w:rsidRPr="00B53FFB">
        <w:rPr>
          <w:szCs w:val="22"/>
        </w:rPr>
        <w:br/>
        <w:t>Secretary</w:t>
      </w:r>
      <w:bookmarkEnd w:id="6073"/>
      <w:bookmarkEnd w:id="6074"/>
      <w:bookmarkEnd w:id="6075"/>
      <w:bookmarkEnd w:id="6076"/>
      <w:bookmarkEnd w:id="6077"/>
      <w:bookmarkEnd w:id="6078"/>
      <w:bookmarkEnd w:id="6079"/>
      <w:bookmarkEnd w:id="6080"/>
      <w:bookmarkEnd w:id="6081"/>
      <w:bookmarkEnd w:id="6082"/>
      <w:bookmarkEnd w:id="6083"/>
      <w:bookmarkEnd w:id="6084"/>
      <w:bookmarkEnd w:id="6085"/>
      <w:bookmarkEnd w:id="6086"/>
      <w:bookmarkEnd w:id="6087"/>
      <w:bookmarkEnd w:id="6088"/>
      <w:bookmarkEnd w:id="6089"/>
      <w:bookmarkEnd w:id="6090"/>
    </w:p>
    <w:p w:rsidR="00CE5850" w:rsidRDefault="00CE5850" w:rsidP="00CE5850">
      <w:pPr>
        <w:tabs>
          <w:tab w:val="left" w:pos="-1440"/>
          <w:tab w:val="left" w:pos="4680"/>
        </w:tabs>
        <w:ind w:left="4680"/>
        <w:outlineLvl w:val="0"/>
        <w:rPr>
          <w:szCs w:val="22"/>
        </w:rPr>
      </w:pPr>
    </w:p>
    <w:p w:rsidR="00CE5850" w:rsidRDefault="00CE5850" w:rsidP="00CE5850">
      <w:pPr>
        <w:tabs>
          <w:tab w:val="left" w:pos="-1440"/>
          <w:tab w:val="left" w:pos="4680"/>
        </w:tabs>
        <w:ind w:left="4680"/>
        <w:outlineLvl w:val="0"/>
        <w:rPr>
          <w:szCs w:val="22"/>
        </w:rPr>
      </w:pPr>
    </w:p>
    <w:p w:rsidR="00CE5850" w:rsidRPr="00B53FFB" w:rsidRDefault="00CE5850" w:rsidP="00CE5850">
      <w:pPr>
        <w:tabs>
          <w:tab w:val="left" w:pos="-1440"/>
          <w:tab w:val="left" w:pos="4680"/>
        </w:tabs>
        <w:ind w:left="4680"/>
        <w:outlineLvl w:val="0"/>
        <w:rPr>
          <w:szCs w:val="22"/>
        </w:rPr>
        <w:sectPr w:rsidR="00CE5850" w:rsidRPr="00B53FFB" w:rsidSect="00596081">
          <w:headerReference w:type="even" r:id="rId74"/>
          <w:headerReference w:type="default" r:id="rId75"/>
          <w:footerReference w:type="even" r:id="rId76"/>
          <w:footerReference w:type="default" r:id="rId77"/>
          <w:headerReference w:type="first" r:id="rId78"/>
          <w:footerReference w:type="first" r:id="rId79"/>
          <w:footnotePr>
            <w:numRestart w:val="eachSect"/>
          </w:footnotePr>
          <w:endnotePr>
            <w:numFmt w:val="decimal"/>
          </w:endnotePr>
          <w:pgSz w:w="12240" w:h="15840" w:code="1"/>
          <w:pgMar w:top="1080" w:right="1440" w:bottom="1080" w:left="1440" w:header="720" w:footer="720" w:gutter="0"/>
          <w:cols w:space="720"/>
          <w:titlePg/>
        </w:sectPr>
      </w:pPr>
    </w:p>
    <w:p w:rsidR="00CE5850" w:rsidRDefault="00CE5850" w:rsidP="00CE5850">
      <w:pPr>
        <w:pStyle w:val="Caption"/>
        <w:widowControl w:val="0"/>
        <w:spacing w:before="0" w:after="0"/>
        <w:rPr>
          <w:sz w:val="22"/>
          <w:szCs w:val="22"/>
        </w:rPr>
        <w:sectPr w:rsidR="00CE5850" w:rsidSect="00830A32">
          <w:headerReference w:type="default" r:id="rId80"/>
          <w:footerReference w:type="even" r:id="rId81"/>
          <w:footerReference w:type="default" r:id="rId82"/>
          <w:headerReference w:type="first" r:id="rId83"/>
          <w:footnotePr>
            <w:numRestart w:val="eachSect"/>
          </w:footnotePr>
          <w:endnotePr>
            <w:numFmt w:val="decimal"/>
          </w:endnotePr>
          <w:pgSz w:w="12240" w:h="15840" w:code="1"/>
          <w:pgMar w:top="1080" w:right="1440" w:bottom="1080" w:left="1440" w:header="720" w:footer="720" w:gutter="0"/>
          <w:cols w:space="720"/>
        </w:sectPr>
      </w:pPr>
    </w:p>
    <w:p w:rsidR="006D00DF" w:rsidRDefault="006D00DF" w:rsidP="00CE5850">
      <w:pPr>
        <w:pStyle w:val="Caption"/>
        <w:widowControl w:val="0"/>
        <w:spacing w:before="0" w:after="0"/>
        <w:rPr>
          <w:sz w:val="22"/>
          <w:szCs w:val="22"/>
        </w:rPr>
        <w:sectPr w:rsidR="006D00DF" w:rsidSect="00CE5850">
          <w:footnotePr>
            <w:numRestart w:val="eachSect"/>
          </w:footnotePr>
          <w:endnotePr>
            <w:numFmt w:val="decimal"/>
          </w:endnotePr>
          <w:type w:val="continuous"/>
          <w:pgSz w:w="12240" w:h="15840" w:code="1"/>
          <w:pgMar w:top="1080" w:right="1440" w:bottom="1080" w:left="1440" w:header="720" w:footer="720" w:gutter="0"/>
          <w:cols w:space="720"/>
        </w:sectPr>
      </w:pPr>
    </w:p>
    <w:p w:rsidR="00C81B24" w:rsidRDefault="00C81B24" w:rsidP="00CE5850">
      <w:pPr>
        <w:jc w:val="center"/>
        <w:rPr>
          <w:b/>
          <w:szCs w:val="22"/>
        </w:rPr>
      </w:pPr>
      <w:bookmarkStart w:id="6108" w:name="_Toc251320786"/>
      <w:bookmarkStart w:id="6109" w:name="_Toc251336890"/>
      <w:bookmarkStart w:id="6110" w:name="_Toc252283936"/>
      <w:bookmarkStart w:id="6111" w:name="_Toc252806253"/>
      <w:bookmarkStart w:id="6112" w:name="_Toc255568332"/>
      <w:bookmarkStart w:id="6113" w:name="_Toc255571694"/>
      <w:bookmarkStart w:id="6114" w:name="_Toc255571815"/>
      <w:bookmarkStart w:id="6115" w:name="_Toc256524376"/>
      <w:bookmarkStart w:id="6116" w:name="_Toc256612036"/>
      <w:bookmarkStart w:id="6117" w:name="_Toc271288530"/>
      <w:bookmarkStart w:id="6118" w:name="_Toc275518049"/>
      <w:bookmarkStart w:id="6119" w:name="_Toc275952489"/>
      <w:bookmarkStart w:id="6120" w:name="_Toc276121921"/>
      <w:bookmarkStart w:id="6121" w:name="_Toc276480757"/>
      <w:bookmarkStart w:id="6122" w:name="_Toc276741835"/>
      <w:bookmarkStart w:id="6123" w:name="_Toc277171599"/>
      <w:bookmarkStart w:id="6124" w:name="_Toc277864576"/>
      <w:bookmarkStart w:id="6125" w:name="_Toc277864792"/>
      <w:bookmarkStart w:id="6126" w:name="_Toc181781174"/>
      <w:bookmarkStart w:id="6127" w:name="_Toc182218760"/>
      <w:bookmarkStart w:id="6128" w:name="_Toc182909196"/>
      <w:bookmarkStart w:id="6129" w:name="_Toc182909626"/>
      <w:bookmarkStart w:id="6130" w:name="_Toc182987276"/>
      <w:bookmarkStart w:id="6131" w:name="_Toc183244111"/>
      <w:bookmarkStart w:id="6132" w:name="_Toc183244489"/>
      <w:bookmarkStart w:id="6133" w:name="_Toc183244900"/>
      <w:bookmarkStart w:id="6134" w:name="_Toc183245018"/>
      <w:bookmarkStart w:id="6135" w:name="_Toc183245676"/>
      <w:bookmarkStart w:id="6136" w:name="_Toc183246251"/>
      <w:bookmarkStart w:id="6137" w:name="_Toc183246350"/>
      <w:bookmarkStart w:id="6138" w:name="_Toc185667960"/>
      <w:bookmarkStart w:id="6139" w:name="_Ref185758635"/>
      <w:bookmarkStart w:id="6140" w:name="_Ref185758654"/>
      <w:bookmarkStart w:id="6141" w:name="_Toc185839017"/>
      <w:bookmarkStart w:id="6142" w:name="_Toc185846989"/>
      <w:bookmarkStart w:id="6143" w:name="_Toc185848595"/>
      <w:bookmarkStart w:id="6144" w:name="_Toc188946953"/>
      <w:bookmarkStart w:id="6145" w:name="_Toc189302857"/>
      <w:bookmarkStart w:id="6146" w:name="_Toc209948524"/>
      <w:bookmarkStart w:id="6147" w:name="_Toc209948633"/>
      <w:bookmarkStart w:id="6148" w:name="_Toc209950075"/>
      <w:bookmarkStart w:id="6149" w:name="_Toc210211531"/>
      <w:bookmarkStart w:id="6150" w:name="_Toc210213098"/>
      <w:bookmarkStart w:id="6151" w:name="_Toc210213237"/>
      <w:bookmarkStart w:id="6152" w:name="_Toc210213798"/>
      <w:bookmarkStart w:id="6153" w:name="_Toc212968021"/>
      <w:bookmarkStart w:id="6154" w:name="_Toc215316423"/>
      <w:bookmarkStart w:id="6155" w:name="_Toc215384677"/>
      <w:bookmarkStart w:id="6156" w:name="_Toc217810543"/>
      <w:r w:rsidRPr="00C81B24">
        <w:rPr>
          <w:b/>
          <w:szCs w:val="22"/>
        </w:rPr>
        <w:t>APPENDIX A</w:t>
      </w:r>
      <w:bookmarkEnd w:id="6108"/>
      <w:bookmarkEnd w:id="6109"/>
      <w:bookmarkEnd w:id="6110"/>
      <w:bookmarkEnd w:id="6111"/>
      <w:bookmarkEnd w:id="6112"/>
      <w:bookmarkEnd w:id="6113"/>
      <w:bookmarkEnd w:id="6114"/>
      <w:bookmarkEnd w:id="6115"/>
      <w:bookmarkEnd w:id="6116"/>
      <w:bookmarkEnd w:id="6117"/>
      <w:bookmarkEnd w:id="6118"/>
      <w:bookmarkEnd w:id="6119"/>
      <w:bookmarkEnd w:id="6120"/>
      <w:bookmarkEnd w:id="6121"/>
      <w:bookmarkEnd w:id="6122"/>
      <w:bookmarkEnd w:id="6123"/>
      <w:bookmarkEnd w:id="6124"/>
      <w:bookmarkEnd w:id="6125"/>
    </w:p>
    <w:p w:rsidR="006D00DF" w:rsidRPr="00C81B24" w:rsidRDefault="006D00DF" w:rsidP="00CE5850">
      <w:pPr>
        <w:jc w:val="center"/>
        <w:rPr>
          <w:b/>
          <w:szCs w:val="22"/>
        </w:rPr>
      </w:pPr>
    </w:p>
    <w:p w:rsidR="00C81B24" w:rsidRPr="00C81B24" w:rsidRDefault="00C81B24" w:rsidP="00CE5850">
      <w:pPr>
        <w:jc w:val="center"/>
        <w:outlineLvl w:val="0"/>
        <w:rPr>
          <w:rFonts w:ascii="Times New Roman Bold" w:hAnsi="Times New Roman Bold"/>
          <w:b/>
          <w:szCs w:val="22"/>
        </w:rPr>
      </w:pPr>
      <w:bookmarkStart w:id="6157" w:name="_Toc271288531"/>
      <w:bookmarkStart w:id="6158" w:name="_Toc275518050"/>
      <w:bookmarkStart w:id="6159" w:name="_Toc275952490"/>
      <w:bookmarkStart w:id="6160" w:name="_Toc276121922"/>
      <w:bookmarkStart w:id="6161" w:name="_Toc276480758"/>
      <w:bookmarkStart w:id="6162" w:name="_Toc276741836"/>
      <w:bookmarkStart w:id="6163" w:name="_Toc277171600"/>
      <w:bookmarkStart w:id="6164" w:name="_Toc277864577"/>
      <w:bookmarkStart w:id="6165" w:name="_Toc277864793"/>
      <w:bookmarkStart w:id="6166" w:name="_Toc329262562"/>
      <w:bookmarkStart w:id="6167" w:name="_Toc329852468"/>
      <w:bookmarkStart w:id="6168" w:name="_Toc331766391"/>
      <w:bookmarkStart w:id="6169" w:name="_Toc332119195"/>
      <w:bookmarkStart w:id="6170" w:name="_Toc334088862"/>
      <w:bookmarkStart w:id="6171" w:name="_Toc334089098"/>
      <w:bookmarkStart w:id="6172" w:name="_Toc334089257"/>
      <w:bookmarkStart w:id="6173" w:name="_Toc334089368"/>
      <w:bookmarkStart w:id="6174" w:name="_Toc334089532"/>
      <w:bookmarkStart w:id="6175" w:name="_Toc335839111"/>
      <w:bookmarkStart w:id="6176" w:name="_Toc336268674"/>
      <w:bookmarkStart w:id="6177" w:name="_Toc336268782"/>
      <w:bookmarkStart w:id="6178" w:name="_Toc336268889"/>
      <w:bookmarkStart w:id="6179" w:name="_Toc336269103"/>
      <w:bookmarkStart w:id="6180" w:name="_Toc336269210"/>
      <w:bookmarkStart w:id="6181" w:name="_Toc336269578"/>
      <w:bookmarkStart w:id="6182" w:name="_Toc336269724"/>
      <w:bookmarkStart w:id="6183" w:name="_Toc336270137"/>
      <w:bookmarkStart w:id="6184" w:name="_Toc336271327"/>
      <w:bookmarkStart w:id="6185" w:name="_Toc337652045"/>
      <w:bookmarkEnd w:id="6126"/>
      <w:bookmarkEnd w:id="6127"/>
      <w:bookmarkEnd w:id="6128"/>
      <w:bookmarkEnd w:id="6129"/>
      <w:bookmarkEnd w:id="6130"/>
      <w:bookmarkEnd w:id="6131"/>
      <w:bookmarkEnd w:id="6132"/>
      <w:bookmarkEnd w:id="6133"/>
      <w:bookmarkEnd w:id="6134"/>
      <w:bookmarkEnd w:id="6135"/>
      <w:bookmarkEnd w:id="6136"/>
      <w:bookmarkEnd w:id="6137"/>
      <w:bookmarkEnd w:id="6138"/>
      <w:bookmarkEnd w:id="6139"/>
      <w:bookmarkEnd w:id="6140"/>
      <w:bookmarkEnd w:id="6141"/>
      <w:bookmarkEnd w:id="6142"/>
      <w:bookmarkEnd w:id="6143"/>
      <w:bookmarkEnd w:id="6144"/>
      <w:bookmarkEnd w:id="6145"/>
      <w:bookmarkEnd w:id="6146"/>
      <w:bookmarkEnd w:id="6147"/>
      <w:bookmarkEnd w:id="6148"/>
      <w:bookmarkEnd w:id="6149"/>
      <w:bookmarkEnd w:id="6150"/>
      <w:bookmarkEnd w:id="6151"/>
      <w:bookmarkEnd w:id="6152"/>
      <w:bookmarkEnd w:id="6153"/>
      <w:bookmarkEnd w:id="6154"/>
      <w:bookmarkEnd w:id="6155"/>
      <w:bookmarkEnd w:id="6156"/>
      <w:r w:rsidRPr="00C81B24">
        <w:rPr>
          <w:rFonts w:ascii="Times New Roman Bold" w:hAnsi="Times New Roman Bold"/>
          <w:b/>
          <w:szCs w:val="22"/>
        </w:rPr>
        <w:t>Spectrum Bands Available for Mobile Wireless Service</w:t>
      </w:r>
      <w:bookmarkEnd w:id="6157"/>
      <w:bookmarkEnd w:id="6158"/>
      <w:bookmarkEnd w:id="6159"/>
      <w:bookmarkEnd w:id="6160"/>
      <w:bookmarkEnd w:id="6161"/>
      <w:bookmarkEnd w:id="6162"/>
      <w:bookmarkEnd w:id="6163"/>
      <w:bookmarkEnd w:id="6164"/>
      <w:bookmarkEnd w:id="6165"/>
      <w:bookmarkEnd w:id="6166"/>
      <w:bookmarkEnd w:id="6167"/>
      <w:bookmarkEnd w:id="6168"/>
      <w:bookmarkEnd w:id="6169"/>
      <w:bookmarkEnd w:id="6170"/>
      <w:bookmarkEnd w:id="6171"/>
      <w:bookmarkEnd w:id="6172"/>
      <w:bookmarkEnd w:id="6173"/>
      <w:bookmarkEnd w:id="6174"/>
      <w:bookmarkEnd w:id="6175"/>
      <w:bookmarkEnd w:id="6176"/>
      <w:bookmarkEnd w:id="6177"/>
      <w:bookmarkEnd w:id="6178"/>
      <w:bookmarkEnd w:id="6179"/>
      <w:bookmarkEnd w:id="6180"/>
      <w:bookmarkEnd w:id="6181"/>
      <w:bookmarkEnd w:id="6182"/>
      <w:bookmarkEnd w:id="6183"/>
      <w:bookmarkEnd w:id="6184"/>
      <w:bookmarkEnd w:id="6185"/>
    </w:p>
    <w:p w:rsidR="00C81B24" w:rsidRPr="00C81B24" w:rsidRDefault="00C81B24" w:rsidP="00CE5850">
      <w:pPr>
        <w:spacing w:after="120"/>
        <w:rPr>
          <w:szCs w:val="22"/>
        </w:rPr>
      </w:pPr>
    </w:p>
    <w:p w:rsidR="00C81B24" w:rsidRPr="00C81B24" w:rsidRDefault="00C81B24" w:rsidP="00CE5850">
      <w:pPr>
        <w:numPr>
          <w:ilvl w:val="0"/>
          <w:numId w:val="48"/>
        </w:numPr>
        <w:spacing w:after="120"/>
        <w:rPr>
          <w:szCs w:val="22"/>
        </w:rPr>
      </w:pPr>
      <w:r w:rsidRPr="00C81B24">
        <w:rPr>
          <w:szCs w:val="22"/>
        </w:rPr>
        <w:t>Currently, mobile wireless service providers primarily use spectrum licenses to provide mobile voice and data services.  These licenses are assigned using a competitive bidding process and configured for a range of predefined spectrum blocks (</w:t>
      </w:r>
      <w:r w:rsidRPr="00C81B24">
        <w:rPr>
          <w:i/>
          <w:szCs w:val="22"/>
        </w:rPr>
        <w:t>e.g</w:t>
      </w:r>
      <w:r w:rsidRPr="00C81B24">
        <w:rPr>
          <w:szCs w:val="22"/>
        </w:rPr>
        <w:t>., 10 megahertz, 20 megahertz or some other amount) over a defined geographic area (</w:t>
      </w:r>
      <w:r w:rsidRPr="00C81B24">
        <w:rPr>
          <w:i/>
          <w:szCs w:val="22"/>
        </w:rPr>
        <w:t>e.g</w:t>
      </w:r>
      <w:r w:rsidRPr="00C81B24">
        <w:rPr>
          <w:szCs w:val="22"/>
        </w:rPr>
        <w:t>., a Major Economic Area as outlined in section 27.6 of the Rules).  Initially, the Commission authorized two licenses in the 800 MHz Cellular Band in every geographical area of the country.</w:t>
      </w:r>
      <w:r w:rsidRPr="00C81B24">
        <w:rPr>
          <w:szCs w:val="22"/>
          <w:vertAlign w:val="superscript"/>
        </w:rPr>
        <w:footnoteReference w:id="1251"/>
      </w:r>
      <w:r w:rsidRPr="00C81B24">
        <w:rPr>
          <w:szCs w:val="22"/>
        </w:rPr>
        <w:t xml:space="preserve">  However, over time, additional services have been created that allow similar operations in different bands – including broadband PCS, SMR, 700 MHz, AWS-1, BRS/EBS, WCS, and 1670-1675 MHz – that are licensed under the Commission’s flexible Part 90, Part 27 or Part 24 rules and can be used to provide mobile wireless services.</w:t>
      </w:r>
      <w:r w:rsidRPr="00C81B24">
        <w:rPr>
          <w:szCs w:val="22"/>
          <w:vertAlign w:val="superscript"/>
        </w:rPr>
        <w:footnoteReference w:id="1252"/>
      </w:r>
      <w:r w:rsidRPr="00C81B24">
        <w:rPr>
          <w:szCs w:val="22"/>
        </w:rPr>
        <w:t xml:space="preserve">  Under Commission rules, licensees may lease spectrum resources to a third party for a period of time; or may disaggregate (divide the spectrum into smaller amounts of bandwidth) and/or partition (divide the license into smaller geographical areas) their licenses to other entities.</w:t>
      </w:r>
      <w:r w:rsidRPr="00C81B24">
        <w:rPr>
          <w:szCs w:val="22"/>
          <w:vertAlign w:val="superscript"/>
        </w:rPr>
        <w:footnoteReference w:id="1253"/>
      </w:r>
      <w:r w:rsidRPr="00C81B24">
        <w:rPr>
          <w:szCs w:val="22"/>
        </w:rPr>
        <w:t xml:space="preserve">  Many licensees hold more than one license in a particular market.</w:t>
      </w:r>
      <w:r w:rsidRPr="00C81B24">
        <w:rPr>
          <w:szCs w:val="22"/>
          <w:vertAlign w:val="superscript"/>
        </w:rPr>
        <w:footnoteReference w:id="1254"/>
      </w:r>
      <w:r w:rsidRPr="00C81B24">
        <w:rPr>
          <w:szCs w:val="22"/>
        </w:rPr>
        <w:t xml:space="preserve">  We discuss in more detail below spectrum bands potentially available for terrestrial CMRS.  Band plan diagrams for each spectrum band depict where the frequencies are located.  Spectrum described in this section may be used for a variety of mobile wireless services, including voice, broadband data, and video services.  In addition to the terrestrial spectrum described in this section, 157.7 megahertz of mobile satellite spectrum is available for mobile voice and data services. </w:t>
      </w:r>
      <w:bookmarkStart w:id="6186" w:name="_Toc179108368"/>
      <w:bookmarkStart w:id="6187" w:name="_Toc179357627"/>
      <w:bookmarkStart w:id="6188" w:name="_Toc181781111"/>
      <w:bookmarkStart w:id="6189" w:name="_Toc182218697"/>
      <w:bookmarkStart w:id="6190" w:name="_Toc182909132"/>
      <w:bookmarkStart w:id="6191" w:name="_Toc182909562"/>
      <w:bookmarkStart w:id="6192" w:name="_Toc182987212"/>
      <w:bookmarkStart w:id="6193" w:name="_Toc183244047"/>
      <w:bookmarkStart w:id="6194" w:name="_Toc183244425"/>
      <w:bookmarkStart w:id="6195" w:name="_Toc183244826"/>
      <w:bookmarkStart w:id="6196" w:name="_Toc183244944"/>
      <w:bookmarkStart w:id="6197" w:name="_Toc183245602"/>
      <w:bookmarkStart w:id="6198" w:name="_Toc183246177"/>
    </w:p>
    <w:p w:rsidR="00C81B24" w:rsidRPr="00C81B24" w:rsidRDefault="00C81B24" w:rsidP="00CE5850">
      <w:pPr>
        <w:numPr>
          <w:ilvl w:val="1"/>
          <w:numId w:val="26"/>
        </w:numPr>
        <w:spacing w:after="120"/>
        <w:outlineLvl w:val="1"/>
        <w:rPr>
          <w:b/>
          <w:szCs w:val="22"/>
        </w:rPr>
      </w:pPr>
      <w:bookmarkStart w:id="6199" w:name="_Toc185667896"/>
      <w:bookmarkStart w:id="6200" w:name="_Toc185838953"/>
      <w:bookmarkStart w:id="6201" w:name="_Toc185846925"/>
      <w:bookmarkStart w:id="6202" w:name="_Toc185848531"/>
      <w:bookmarkStart w:id="6203" w:name="_Toc188946889"/>
      <w:bookmarkStart w:id="6204" w:name="_Toc189302793"/>
      <w:bookmarkStart w:id="6205" w:name="_Toc209948460"/>
      <w:bookmarkStart w:id="6206" w:name="_Toc209948569"/>
      <w:bookmarkStart w:id="6207" w:name="_Toc209950011"/>
      <w:bookmarkStart w:id="6208" w:name="_Toc210211467"/>
      <w:bookmarkStart w:id="6209" w:name="_Toc210213034"/>
      <w:bookmarkStart w:id="6210" w:name="_Toc210213173"/>
      <w:bookmarkStart w:id="6211" w:name="_Toc210213734"/>
      <w:bookmarkStart w:id="6212" w:name="_Toc212967959"/>
      <w:bookmarkStart w:id="6213" w:name="_Toc215316360"/>
      <w:bookmarkStart w:id="6214" w:name="_Toc215384614"/>
      <w:bookmarkStart w:id="6215" w:name="_Toc217810480"/>
      <w:bookmarkStart w:id="6216" w:name="_Toc251320788"/>
      <w:bookmarkStart w:id="6217" w:name="_Toc251336892"/>
      <w:bookmarkStart w:id="6218" w:name="_Toc252283938"/>
      <w:bookmarkStart w:id="6219" w:name="_Toc252806255"/>
      <w:bookmarkStart w:id="6220" w:name="_Toc255568334"/>
      <w:bookmarkStart w:id="6221" w:name="_Toc255571696"/>
      <w:bookmarkStart w:id="6222" w:name="_Toc255571817"/>
      <w:bookmarkStart w:id="6223" w:name="_Toc271288532"/>
      <w:bookmarkStart w:id="6224" w:name="_Toc275518051"/>
      <w:bookmarkStart w:id="6225" w:name="_Toc275952491"/>
      <w:bookmarkStart w:id="6226" w:name="_Toc276121923"/>
      <w:bookmarkStart w:id="6227" w:name="_Toc276480759"/>
      <w:bookmarkStart w:id="6228" w:name="_Toc276741837"/>
      <w:bookmarkStart w:id="6229" w:name="_Toc277171601"/>
      <w:bookmarkStart w:id="6230" w:name="_Toc277864578"/>
      <w:bookmarkStart w:id="6231" w:name="_Toc277864794"/>
      <w:bookmarkStart w:id="6232" w:name="_Toc337652046"/>
      <w:r w:rsidRPr="00C81B24">
        <w:rPr>
          <w:b/>
          <w:szCs w:val="22"/>
        </w:rPr>
        <w:t>Cellular</w:t>
      </w:r>
      <w:bookmarkEnd w:id="6186"/>
      <w:bookmarkEnd w:id="6187"/>
      <w:bookmarkEnd w:id="6188"/>
      <w:bookmarkEnd w:id="6189"/>
      <w:bookmarkEnd w:id="6190"/>
      <w:bookmarkEnd w:id="6191"/>
      <w:bookmarkEnd w:id="6192"/>
      <w:bookmarkEnd w:id="6193"/>
      <w:bookmarkEnd w:id="6194"/>
      <w:bookmarkEnd w:id="6195"/>
      <w:bookmarkEnd w:id="6196"/>
      <w:bookmarkEnd w:id="6197"/>
      <w:bookmarkEnd w:id="6198"/>
      <w:bookmarkEnd w:id="6199"/>
      <w:bookmarkEnd w:id="6200"/>
      <w:bookmarkEnd w:id="6201"/>
      <w:bookmarkEnd w:id="6202"/>
      <w:bookmarkEnd w:id="6203"/>
      <w:bookmarkEnd w:id="6204"/>
      <w:bookmarkEnd w:id="6205"/>
      <w:bookmarkEnd w:id="6206"/>
      <w:bookmarkEnd w:id="6207"/>
      <w:bookmarkEnd w:id="6208"/>
      <w:bookmarkEnd w:id="6209"/>
      <w:bookmarkEnd w:id="6210"/>
      <w:bookmarkEnd w:id="6211"/>
      <w:bookmarkEnd w:id="6212"/>
      <w:bookmarkEnd w:id="6213"/>
      <w:bookmarkEnd w:id="6214"/>
      <w:bookmarkEnd w:id="6215"/>
      <w:bookmarkEnd w:id="6216"/>
      <w:bookmarkEnd w:id="6217"/>
      <w:bookmarkEnd w:id="6218"/>
      <w:bookmarkEnd w:id="6219"/>
      <w:bookmarkEnd w:id="6220"/>
      <w:bookmarkEnd w:id="6221"/>
      <w:bookmarkEnd w:id="6222"/>
      <w:bookmarkEnd w:id="6223"/>
      <w:bookmarkEnd w:id="6224"/>
      <w:bookmarkEnd w:id="6225"/>
      <w:bookmarkEnd w:id="6226"/>
      <w:bookmarkEnd w:id="6227"/>
      <w:bookmarkEnd w:id="6228"/>
      <w:bookmarkEnd w:id="6229"/>
      <w:bookmarkEnd w:id="6230"/>
      <w:bookmarkEnd w:id="6231"/>
      <w:bookmarkEnd w:id="6232"/>
      <w:r w:rsidRPr="00C81B24">
        <w:rPr>
          <w:b/>
          <w:szCs w:val="22"/>
        </w:rPr>
        <w:t xml:space="preserve"> </w:t>
      </w:r>
    </w:p>
    <w:p w:rsidR="00C81B24" w:rsidRPr="00C81B24" w:rsidRDefault="00C81B24" w:rsidP="00CE5850">
      <w:pPr>
        <w:numPr>
          <w:ilvl w:val="0"/>
          <w:numId w:val="48"/>
        </w:numPr>
        <w:spacing w:after="120"/>
        <w:rPr>
          <w:szCs w:val="22"/>
        </w:rPr>
      </w:pPr>
      <w:r w:rsidRPr="00C81B24">
        <w:rPr>
          <w:szCs w:val="22"/>
        </w:rPr>
        <w:t>The Commission began licensing commercial cellular providers in 1982 and completed licensing the majority of operators by 1991.  The Commission divided the United States and its possessions into 734 cellular market areas (CMAs), including 305 Metropolitan Statistical Areas (MSAs), 428 Rural Service Areas (RSAs), and a market for the Gulf of Mexico.</w:t>
      </w:r>
      <w:r w:rsidRPr="00C81B24">
        <w:rPr>
          <w:szCs w:val="22"/>
          <w:vertAlign w:val="superscript"/>
        </w:rPr>
        <w:footnoteReference w:id="1255"/>
      </w:r>
      <w:r w:rsidRPr="00C81B24">
        <w:rPr>
          <w:szCs w:val="22"/>
        </w:rPr>
        <w:t xml:space="preserve">  Two cellular systems were licensed in each market area.  The Commission designated 50 megahertz of spectrum in the 800 MHz frequency band for the two competing cellular systems in each market (25 megahertz for each system).  Initially, cellular systems offered service using analog technology, but today cellular systems use digital modulation technologies for increased capacity and service options.  On February 15, 2012, the Commission proposed to revise the licensing model for the cellular service from a site-based model to a geographic-based model to provide a more flexible licensing scheme.</w:t>
      </w:r>
      <w:r w:rsidRPr="00C81B24">
        <w:rPr>
          <w:szCs w:val="22"/>
          <w:vertAlign w:val="superscript"/>
        </w:rPr>
        <w:footnoteReference w:id="1256"/>
      </w:r>
    </w:p>
    <w:p w:rsidR="00C81B24" w:rsidRPr="00C81B24" w:rsidRDefault="00C81B24" w:rsidP="00CE5850">
      <w:pPr>
        <w:spacing w:after="120"/>
        <w:ind w:left="720"/>
        <w:jc w:val="center"/>
        <w:rPr>
          <w:szCs w:val="22"/>
        </w:rPr>
      </w:pPr>
      <w:r>
        <w:rPr>
          <w:noProof/>
          <w:szCs w:val="22"/>
        </w:rPr>
        <w:drawing>
          <wp:inline distT="0" distB="0" distL="0" distR="0" wp14:anchorId="130A183A" wp14:editId="05501AAD">
            <wp:extent cx="3676650" cy="1695450"/>
            <wp:effectExtent l="0" t="0" r="0" b="0"/>
            <wp:docPr id="77"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3676650" cy="1695450"/>
                    </a:xfrm>
                    <a:prstGeom prst="rect">
                      <a:avLst/>
                    </a:prstGeom>
                    <a:noFill/>
                    <a:ln>
                      <a:noFill/>
                    </a:ln>
                  </pic:spPr>
                </pic:pic>
              </a:graphicData>
            </a:graphic>
          </wp:inline>
        </w:drawing>
      </w:r>
    </w:p>
    <w:p w:rsidR="00C81B24" w:rsidRPr="00C81B24" w:rsidRDefault="00C81B24" w:rsidP="00CE5850">
      <w:pPr>
        <w:numPr>
          <w:ilvl w:val="1"/>
          <w:numId w:val="26"/>
        </w:numPr>
        <w:spacing w:after="120"/>
        <w:outlineLvl w:val="1"/>
        <w:rPr>
          <w:b/>
          <w:szCs w:val="22"/>
        </w:rPr>
      </w:pPr>
      <w:bookmarkStart w:id="6233" w:name="_Toc179108369"/>
      <w:bookmarkStart w:id="6234" w:name="_Toc179357628"/>
      <w:bookmarkStart w:id="6235" w:name="_Toc181781112"/>
      <w:bookmarkStart w:id="6236" w:name="_Toc182218698"/>
      <w:bookmarkStart w:id="6237" w:name="_Toc182909133"/>
      <w:bookmarkStart w:id="6238" w:name="_Toc182909563"/>
      <w:bookmarkStart w:id="6239" w:name="_Toc182987213"/>
      <w:bookmarkStart w:id="6240" w:name="_Toc183244048"/>
      <w:bookmarkStart w:id="6241" w:name="_Toc183244426"/>
      <w:bookmarkStart w:id="6242" w:name="_Toc183244827"/>
      <w:bookmarkStart w:id="6243" w:name="_Toc183244945"/>
      <w:bookmarkStart w:id="6244" w:name="_Toc183245603"/>
      <w:bookmarkStart w:id="6245" w:name="_Toc183246178"/>
      <w:bookmarkStart w:id="6246" w:name="_Toc185667897"/>
      <w:bookmarkStart w:id="6247" w:name="_Toc185838954"/>
      <w:bookmarkStart w:id="6248" w:name="_Toc185846926"/>
      <w:bookmarkStart w:id="6249" w:name="_Toc185848532"/>
      <w:bookmarkStart w:id="6250" w:name="_Toc188946890"/>
      <w:bookmarkStart w:id="6251" w:name="_Toc189302794"/>
      <w:bookmarkStart w:id="6252" w:name="_Toc209948461"/>
      <w:bookmarkStart w:id="6253" w:name="_Toc209948570"/>
      <w:bookmarkStart w:id="6254" w:name="_Toc209950012"/>
      <w:bookmarkStart w:id="6255" w:name="_Toc210211468"/>
      <w:bookmarkStart w:id="6256" w:name="_Toc210213035"/>
      <w:bookmarkStart w:id="6257" w:name="_Toc210213174"/>
      <w:bookmarkStart w:id="6258" w:name="_Toc210213735"/>
      <w:bookmarkStart w:id="6259" w:name="_Toc212967960"/>
      <w:bookmarkStart w:id="6260" w:name="_Toc215316361"/>
      <w:bookmarkStart w:id="6261" w:name="_Toc215384615"/>
      <w:bookmarkStart w:id="6262" w:name="_Toc217810481"/>
      <w:bookmarkStart w:id="6263" w:name="_Toc251320789"/>
      <w:bookmarkStart w:id="6264" w:name="_Toc251336893"/>
      <w:bookmarkStart w:id="6265" w:name="_Toc252283939"/>
      <w:bookmarkStart w:id="6266" w:name="_Toc252806256"/>
      <w:bookmarkStart w:id="6267" w:name="_Toc255568335"/>
      <w:bookmarkStart w:id="6268" w:name="_Toc255571697"/>
      <w:bookmarkStart w:id="6269" w:name="_Toc255571818"/>
      <w:bookmarkStart w:id="6270" w:name="_Toc271288533"/>
      <w:bookmarkStart w:id="6271" w:name="_Toc275518052"/>
      <w:bookmarkStart w:id="6272" w:name="_Toc275952492"/>
      <w:bookmarkStart w:id="6273" w:name="_Toc276121924"/>
      <w:bookmarkStart w:id="6274" w:name="_Toc276480760"/>
      <w:bookmarkStart w:id="6275" w:name="_Toc276741838"/>
      <w:bookmarkStart w:id="6276" w:name="_Toc277171602"/>
      <w:bookmarkStart w:id="6277" w:name="_Toc277864579"/>
      <w:bookmarkStart w:id="6278" w:name="_Toc277864795"/>
      <w:bookmarkStart w:id="6279" w:name="_Toc337652047"/>
      <w:r w:rsidRPr="00C81B24">
        <w:rPr>
          <w:b/>
          <w:szCs w:val="22"/>
        </w:rPr>
        <w:t>Broadband PCS</w:t>
      </w:r>
      <w:bookmarkStart w:id="6280" w:name="_Toc183244828"/>
      <w:bookmarkStart w:id="6281" w:name="_Toc183244946"/>
      <w:bookmarkStart w:id="6282" w:name="_Toc183245604"/>
      <w:bookmarkStart w:id="6283" w:name="_Toc183246179"/>
      <w:bookmarkEnd w:id="6233"/>
      <w:bookmarkEnd w:id="6234"/>
      <w:bookmarkEnd w:id="6235"/>
      <w:bookmarkEnd w:id="6236"/>
      <w:bookmarkEnd w:id="6237"/>
      <w:bookmarkEnd w:id="6238"/>
      <w:bookmarkEnd w:id="6239"/>
      <w:bookmarkEnd w:id="6240"/>
      <w:bookmarkEnd w:id="6241"/>
      <w:bookmarkEnd w:id="6242"/>
      <w:bookmarkEnd w:id="6243"/>
      <w:bookmarkEnd w:id="6244"/>
      <w:bookmarkEnd w:id="6245"/>
      <w:bookmarkEnd w:id="6246"/>
      <w:bookmarkEnd w:id="6247"/>
      <w:bookmarkEnd w:id="6248"/>
      <w:bookmarkEnd w:id="6249"/>
      <w:bookmarkEnd w:id="6250"/>
      <w:bookmarkEnd w:id="6251"/>
      <w:bookmarkEnd w:id="6252"/>
      <w:bookmarkEnd w:id="6253"/>
      <w:bookmarkEnd w:id="6254"/>
      <w:bookmarkEnd w:id="6255"/>
      <w:bookmarkEnd w:id="6256"/>
      <w:bookmarkEnd w:id="6257"/>
      <w:bookmarkEnd w:id="6258"/>
      <w:bookmarkEnd w:id="6259"/>
      <w:bookmarkEnd w:id="6260"/>
      <w:bookmarkEnd w:id="6261"/>
      <w:bookmarkEnd w:id="6262"/>
      <w:bookmarkEnd w:id="6263"/>
      <w:bookmarkEnd w:id="6264"/>
      <w:bookmarkEnd w:id="6265"/>
      <w:bookmarkEnd w:id="6266"/>
      <w:bookmarkEnd w:id="6267"/>
      <w:bookmarkEnd w:id="6268"/>
      <w:bookmarkEnd w:id="6269"/>
      <w:bookmarkEnd w:id="6270"/>
      <w:bookmarkEnd w:id="6271"/>
      <w:bookmarkEnd w:id="6272"/>
      <w:bookmarkEnd w:id="6273"/>
      <w:bookmarkEnd w:id="6274"/>
      <w:bookmarkEnd w:id="6275"/>
      <w:bookmarkEnd w:id="6276"/>
      <w:bookmarkEnd w:id="6277"/>
      <w:bookmarkEnd w:id="6278"/>
      <w:bookmarkEnd w:id="6279"/>
      <w:bookmarkEnd w:id="6280"/>
      <w:bookmarkEnd w:id="6281"/>
      <w:bookmarkEnd w:id="6282"/>
      <w:bookmarkEnd w:id="6283"/>
    </w:p>
    <w:p w:rsidR="00C81B24" w:rsidRPr="00C81B24" w:rsidRDefault="00C81B24" w:rsidP="00CE5850">
      <w:pPr>
        <w:numPr>
          <w:ilvl w:val="0"/>
          <w:numId w:val="48"/>
        </w:numPr>
        <w:spacing w:after="120"/>
        <w:rPr>
          <w:szCs w:val="22"/>
        </w:rPr>
      </w:pPr>
      <w:r w:rsidRPr="00C81B24">
        <w:rPr>
          <w:szCs w:val="22"/>
        </w:rPr>
        <w:t>The Broadband PCS was established in the mid-1990s to expand spectrum options and the competitive marketplace for mobile services beyond the Cellular service.  Broadband PCS systems operate in different spectrum bands and have been designed from the beginning to use a digital format.  Broadband PCS licenses have been assigned through auction, beginning in 1995.</w:t>
      </w:r>
      <w:r w:rsidRPr="00C81B24">
        <w:rPr>
          <w:szCs w:val="22"/>
          <w:vertAlign w:val="superscript"/>
        </w:rPr>
        <w:footnoteReference w:id="1257"/>
      </w:r>
      <w:r w:rsidRPr="00C81B24">
        <w:rPr>
          <w:szCs w:val="22"/>
        </w:rPr>
        <w:t xml:space="preserve">  The Commission has set aside spectrum between 1850 MHz and 1990 MHz for Broadband PCS.  While this spectrum (120 megahertz total) originally accommodated voice and limited messaging services, many licensees have evolved their networks to now provide mobile broadband services, which include applications such as Internet access and media applications.  </w:t>
      </w:r>
    </w:p>
    <w:p w:rsidR="00C81B24" w:rsidRPr="00C81B24" w:rsidRDefault="00C81B24" w:rsidP="00CE5850">
      <w:pPr>
        <w:numPr>
          <w:ilvl w:val="0"/>
          <w:numId w:val="48"/>
        </w:numPr>
        <w:spacing w:after="120"/>
        <w:rPr>
          <w:szCs w:val="22"/>
        </w:rPr>
      </w:pPr>
      <w:r w:rsidRPr="00C81B24">
        <w:rPr>
          <w:szCs w:val="22"/>
        </w:rPr>
        <w:t>This spectrum was originally divided into three blocks of 30 megahertz each (blocks A, B, and C) and three blocks of 10 megahertz each (blocks D, E, and F).</w:t>
      </w:r>
      <w:r w:rsidRPr="00C81B24">
        <w:rPr>
          <w:szCs w:val="22"/>
          <w:vertAlign w:val="superscript"/>
        </w:rPr>
        <w:footnoteReference w:id="1258"/>
      </w:r>
      <w:r w:rsidRPr="00C81B24">
        <w:rPr>
          <w:szCs w:val="22"/>
        </w:rPr>
        <w:t xml:space="preserve">  Two of the 30 megahertz blocks (A and B blocks) are assigned on the basis of 51 Major Trading Areas (MTAs).</w:t>
      </w:r>
      <w:r w:rsidRPr="00C81B24">
        <w:rPr>
          <w:szCs w:val="22"/>
          <w:vertAlign w:val="superscript"/>
        </w:rPr>
        <w:footnoteReference w:id="1259"/>
      </w:r>
      <w:r w:rsidRPr="00C81B24">
        <w:rPr>
          <w:szCs w:val="22"/>
        </w:rPr>
        <w:t xml:space="preserve">  One of the 30 megahertz blocks (C block)</w:t>
      </w:r>
      <w:r w:rsidRPr="00C81B24">
        <w:rPr>
          <w:szCs w:val="22"/>
          <w:vertAlign w:val="superscript"/>
        </w:rPr>
        <w:footnoteReference w:id="1260"/>
      </w:r>
      <w:r w:rsidRPr="00C81B24">
        <w:rPr>
          <w:szCs w:val="22"/>
        </w:rPr>
        <w:t xml:space="preserve"> and all three of the 10 megahertz blocks are assigned on the basis of 493 Basic Trading Areas (BTAs).</w:t>
      </w:r>
      <w:r w:rsidRPr="00C81B24">
        <w:rPr>
          <w:szCs w:val="22"/>
          <w:vertAlign w:val="superscript"/>
        </w:rPr>
        <w:footnoteReference w:id="1261"/>
      </w:r>
    </w:p>
    <w:p w:rsidR="00C81B24" w:rsidRPr="00C81B24" w:rsidRDefault="00C81B24" w:rsidP="00CE5850">
      <w:pPr>
        <w:spacing w:after="120"/>
        <w:ind w:left="720"/>
        <w:jc w:val="center"/>
        <w:rPr>
          <w:szCs w:val="22"/>
        </w:rPr>
      </w:pPr>
      <w:r>
        <w:rPr>
          <w:noProof/>
          <w:szCs w:val="22"/>
        </w:rPr>
        <w:drawing>
          <wp:inline distT="0" distB="0" distL="0" distR="0" wp14:anchorId="6D1C1BC3" wp14:editId="6A61FB87">
            <wp:extent cx="4648200" cy="1343025"/>
            <wp:effectExtent l="0" t="0" r="0" b="0"/>
            <wp:docPr id="78"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4648200" cy="1343025"/>
                    </a:xfrm>
                    <a:prstGeom prst="rect">
                      <a:avLst/>
                    </a:prstGeom>
                    <a:noFill/>
                    <a:ln>
                      <a:noFill/>
                    </a:ln>
                  </pic:spPr>
                </pic:pic>
              </a:graphicData>
            </a:graphic>
          </wp:inline>
        </w:drawing>
      </w:r>
    </w:p>
    <w:p w:rsidR="00C81B24" w:rsidRPr="00C81B24" w:rsidRDefault="00C81B24" w:rsidP="00CE5850">
      <w:pPr>
        <w:numPr>
          <w:ilvl w:val="1"/>
          <w:numId w:val="26"/>
        </w:numPr>
        <w:spacing w:after="120"/>
        <w:outlineLvl w:val="1"/>
        <w:rPr>
          <w:b/>
          <w:szCs w:val="22"/>
        </w:rPr>
      </w:pPr>
      <w:bookmarkStart w:id="6284" w:name="_Toc179108370"/>
      <w:bookmarkStart w:id="6285" w:name="_Toc179357629"/>
      <w:bookmarkStart w:id="6286" w:name="_Toc181781113"/>
      <w:bookmarkStart w:id="6287" w:name="_Toc182218699"/>
      <w:bookmarkStart w:id="6288" w:name="_Toc182909134"/>
      <w:bookmarkStart w:id="6289" w:name="_Toc182909564"/>
      <w:bookmarkStart w:id="6290" w:name="_Toc182987214"/>
      <w:bookmarkStart w:id="6291" w:name="_Toc183244049"/>
      <w:bookmarkStart w:id="6292" w:name="_Toc183244427"/>
      <w:bookmarkStart w:id="6293" w:name="_Toc183244829"/>
      <w:bookmarkStart w:id="6294" w:name="_Toc183244947"/>
      <w:bookmarkStart w:id="6295" w:name="_Toc183245605"/>
      <w:bookmarkStart w:id="6296" w:name="_Toc183246180"/>
      <w:bookmarkStart w:id="6297" w:name="_Toc185667898"/>
      <w:bookmarkStart w:id="6298" w:name="_Toc185838955"/>
      <w:bookmarkStart w:id="6299" w:name="_Toc185846927"/>
      <w:bookmarkStart w:id="6300" w:name="_Toc185848533"/>
      <w:bookmarkStart w:id="6301" w:name="_Toc188946891"/>
      <w:bookmarkStart w:id="6302" w:name="_Toc189302795"/>
      <w:bookmarkStart w:id="6303" w:name="_Toc209948462"/>
      <w:bookmarkStart w:id="6304" w:name="_Toc209948571"/>
      <w:bookmarkStart w:id="6305" w:name="_Toc209950013"/>
      <w:bookmarkStart w:id="6306" w:name="_Toc210211469"/>
      <w:bookmarkStart w:id="6307" w:name="_Toc210213036"/>
      <w:bookmarkStart w:id="6308" w:name="_Toc210213175"/>
      <w:bookmarkStart w:id="6309" w:name="_Toc210213736"/>
      <w:bookmarkStart w:id="6310" w:name="_Toc212967961"/>
      <w:bookmarkStart w:id="6311" w:name="_Toc215316362"/>
      <w:bookmarkStart w:id="6312" w:name="_Toc215384616"/>
      <w:bookmarkStart w:id="6313" w:name="_Toc217810482"/>
      <w:bookmarkStart w:id="6314" w:name="_Toc251320790"/>
      <w:bookmarkStart w:id="6315" w:name="_Toc251336894"/>
      <w:bookmarkStart w:id="6316" w:name="_Toc252283940"/>
      <w:bookmarkStart w:id="6317" w:name="_Toc252806257"/>
      <w:bookmarkStart w:id="6318" w:name="_Toc255568336"/>
      <w:bookmarkStart w:id="6319" w:name="_Toc255571698"/>
      <w:bookmarkStart w:id="6320" w:name="_Toc255571819"/>
      <w:bookmarkStart w:id="6321" w:name="_Toc271288534"/>
      <w:bookmarkStart w:id="6322" w:name="_Toc275518053"/>
      <w:bookmarkStart w:id="6323" w:name="_Toc275952493"/>
      <w:bookmarkStart w:id="6324" w:name="_Toc276121925"/>
      <w:bookmarkStart w:id="6325" w:name="_Toc276480761"/>
      <w:bookmarkStart w:id="6326" w:name="_Toc276741839"/>
      <w:bookmarkStart w:id="6327" w:name="_Toc277171603"/>
      <w:bookmarkStart w:id="6328" w:name="_Toc277864580"/>
      <w:bookmarkStart w:id="6329" w:name="_Toc277864796"/>
      <w:bookmarkStart w:id="6330" w:name="_Toc337652048"/>
      <w:r w:rsidRPr="00C81B24">
        <w:rPr>
          <w:b/>
          <w:szCs w:val="22"/>
        </w:rPr>
        <w:t>SMR</w:t>
      </w:r>
      <w:bookmarkStart w:id="6331" w:name="_Toc183244830"/>
      <w:bookmarkStart w:id="6332" w:name="_Toc183244948"/>
      <w:bookmarkStart w:id="6333" w:name="_Toc183245606"/>
      <w:bookmarkStart w:id="6334" w:name="_Toc183246181"/>
      <w:bookmarkEnd w:id="6284"/>
      <w:bookmarkEnd w:id="6285"/>
      <w:bookmarkEnd w:id="6286"/>
      <w:bookmarkEnd w:id="6287"/>
      <w:bookmarkEnd w:id="6288"/>
      <w:bookmarkEnd w:id="6289"/>
      <w:bookmarkEnd w:id="6290"/>
      <w:bookmarkEnd w:id="6291"/>
      <w:bookmarkEnd w:id="6292"/>
      <w:bookmarkEnd w:id="6293"/>
      <w:bookmarkEnd w:id="6294"/>
      <w:bookmarkEnd w:id="6295"/>
      <w:bookmarkEnd w:id="6296"/>
      <w:bookmarkEnd w:id="6297"/>
      <w:bookmarkEnd w:id="6298"/>
      <w:bookmarkEnd w:id="6299"/>
      <w:bookmarkEnd w:id="6300"/>
      <w:bookmarkEnd w:id="6301"/>
      <w:bookmarkEnd w:id="6302"/>
      <w:bookmarkEnd w:id="6303"/>
      <w:bookmarkEnd w:id="6304"/>
      <w:bookmarkEnd w:id="6305"/>
      <w:bookmarkEnd w:id="6306"/>
      <w:bookmarkEnd w:id="6307"/>
      <w:bookmarkEnd w:id="6308"/>
      <w:bookmarkEnd w:id="6309"/>
      <w:bookmarkEnd w:id="6310"/>
      <w:bookmarkEnd w:id="6311"/>
      <w:bookmarkEnd w:id="6312"/>
      <w:bookmarkEnd w:id="6313"/>
      <w:bookmarkEnd w:id="6314"/>
      <w:bookmarkEnd w:id="6315"/>
      <w:bookmarkEnd w:id="6316"/>
      <w:bookmarkEnd w:id="6317"/>
      <w:bookmarkEnd w:id="6318"/>
      <w:bookmarkEnd w:id="6319"/>
      <w:bookmarkEnd w:id="6320"/>
      <w:bookmarkEnd w:id="6321"/>
      <w:bookmarkEnd w:id="6322"/>
      <w:bookmarkEnd w:id="6323"/>
      <w:bookmarkEnd w:id="6324"/>
      <w:bookmarkEnd w:id="6325"/>
      <w:bookmarkEnd w:id="6326"/>
      <w:bookmarkEnd w:id="6327"/>
      <w:bookmarkEnd w:id="6328"/>
      <w:bookmarkEnd w:id="6329"/>
      <w:bookmarkEnd w:id="6330"/>
      <w:bookmarkEnd w:id="6331"/>
      <w:bookmarkEnd w:id="6332"/>
      <w:bookmarkEnd w:id="6333"/>
      <w:bookmarkEnd w:id="6334"/>
    </w:p>
    <w:p w:rsidR="00C81B24" w:rsidRPr="00C81B24" w:rsidRDefault="00C81B24" w:rsidP="00CE5850">
      <w:pPr>
        <w:numPr>
          <w:ilvl w:val="0"/>
          <w:numId w:val="48"/>
        </w:numPr>
        <w:spacing w:after="120"/>
        <w:rPr>
          <w:szCs w:val="22"/>
        </w:rPr>
      </w:pPr>
      <w:r w:rsidRPr="00C81B24">
        <w:rPr>
          <w:szCs w:val="22"/>
        </w:rPr>
        <w:t>The Commission first established SMR in 1979 to provide for land mobile communications on a commercial basis.  The Commission initially licensed spectrum in the 800 and 900 MHz bands for this service, in non-contiguous bands, on a site-by-site basis.</w:t>
      </w:r>
      <w:r w:rsidRPr="00C81B24">
        <w:rPr>
          <w:szCs w:val="22"/>
          <w:vertAlign w:val="superscript"/>
        </w:rPr>
        <w:footnoteReference w:id="1262"/>
      </w:r>
      <w:r w:rsidRPr="00C81B24">
        <w:rPr>
          <w:szCs w:val="22"/>
        </w:rPr>
        <w:t xml:space="preserve">  The Commission has since licensed additional SMR spectrum through auctions.</w:t>
      </w:r>
      <w:r w:rsidRPr="00C81B24">
        <w:rPr>
          <w:szCs w:val="22"/>
          <w:vertAlign w:val="superscript"/>
        </w:rPr>
        <w:footnoteReference w:id="1263"/>
      </w:r>
      <w:r w:rsidRPr="00C81B24">
        <w:rPr>
          <w:szCs w:val="22"/>
        </w:rPr>
        <w:t xml:space="preserve">  In total, the Commission has licensed 19 megahertz of SMR spectrum, plus an additional 7.5 megahertz of spectrum that is available for SMR as well as other services.</w:t>
      </w:r>
      <w:r w:rsidRPr="00C81B24">
        <w:rPr>
          <w:szCs w:val="22"/>
          <w:vertAlign w:val="superscript"/>
        </w:rPr>
        <w:footnoteReference w:id="1264"/>
      </w:r>
      <w:r w:rsidRPr="00C81B24">
        <w:rPr>
          <w:szCs w:val="22"/>
        </w:rPr>
        <w:t xml:space="preserve">  While Commission policy permits flexible use of this spectrum, including the provision of paging, dispatch, mobile voice, mobile data, facsimile, or combinations of these services,</w:t>
      </w:r>
      <w:r w:rsidRPr="00C81B24">
        <w:rPr>
          <w:szCs w:val="22"/>
          <w:vertAlign w:val="superscript"/>
        </w:rPr>
        <w:footnoteReference w:id="1265"/>
      </w:r>
      <w:r w:rsidRPr="00C81B24">
        <w:rPr>
          <w:szCs w:val="22"/>
        </w:rPr>
        <w:t xml:space="preserve"> the primary use for SMR traditionally was dispatch services.</w:t>
      </w:r>
      <w:r w:rsidRPr="00C81B24">
        <w:rPr>
          <w:szCs w:val="22"/>
          <w:vertAlign w:val="superscript"/>
        </w:rPr>
        <w:footnoteReference w:id="1266"/>
      </w:r>
      <w:r w:rsidRPr="00C81B24">
        <w:rPr>
          <w:szCs w:val="22"/>
        </w:rPr>
        <w:t xml:space="preserve">  With the development of digital technologies that increased spectral efficiency, SMR providers such as Sprint Nextel (on its iDEN network</w:t>
      </w:r>
      <w:r w:rsidRPr="00C81B24">
        <w:rPr>
          <w:szCs w:val="22"/>
          <w:vertAlign w:val="superscript"/>
        </w:rPr>
        <w:footnoteReference w:id="1267"/>
      </w:r>
      <w:r w:rsidRPr="00C81B24">
        <w:rPr>
          <w:szCs w:val="22"/>
        </w:rPr>
        <w:t xml:space="preserve">) and SouthernLINC Wireless, a unit of the energy firm Southern Company, became more significant competitors in mobile telephony, while also maintaining dispatch functionality as a part of their service offerings.  Furthermore, in apparent response to the dispatch functionality of SMR services, many cellular and broadband PCS providers now offer push-to-talk (PTT) functionality on their networks, including Verizon Wireless and AT&amp;T.  SMR spectrum is also used for certain data-only networks. </w:t>
      </w:r>
    </w:p>
    <w:p w:rsidR="00C81B24" w:rsidRPr="00C81B24" w:rsidRDefault="00C81B24" w:rsidP="00CE5850">
      <w:pPr>
        <w:spacing w:after="120"/>
        <w:ind w:left="720"/>
        <w:jc w:val="center"/>
        <w:rPr>
          <w:szCs w:val="22"/>
        </w:rPr>
      </w:pPr>
      <w:r>
        <w:rPr>
          <w:noProof/>
          <w:szCs w:val="22"/>
        </w:rPr>
        <w:drawing>
          <wp:inline distT="0" distB="0" distL="0" distR="0" wp14:anchorId="4BFB5544" wp14:editId="0402E8C6">
            <wp:extent cx="3848100" cy="1781175"/>
            <wp:effectExtent l="0" t="0" r="0" b="0"/>
            <wp:docPr id="79"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3848100" cy="1781175"/>
                    </a:xfrm>
                    <a:prstGeom prst="rect">
                      <a:avLst/>
                    </a:prstGeom>
                    <a:noFill/>
                    <a:ln>
                      <a:noFill/>
                    </a:ln>
                  </pic:spPr>
                </pic:pic>
              </a:graphicData>
            </a:graphic>
          </wp:inline>
        </w:drawing>
      </w:r>
    </w:p>
    <w:p w:rsidR="00C81B24" w:rsidRPr="00C81B24" w:rsidRDefault="00C81B24" w:rsidP="00CE5850">
      <w:pPr>
        <w:numPr>
          <w:ilvl w:val="0"/>
          <w:numId w:val="48"/>
        </w:numPr>
        <w:spacing w:after="120"/>
        <w:rPr>
          <w:szCs w:val="22"/>
        </w:rPr>
      </w:pPr>
      <w:bookmarkStart w:id="6335" w:name="_Toc83547791"/>
      <w:bookmarkStart w:id="6336" w:name="_Toc112139215"/>
      <w:bookmarkStart w:id="6337" w:name="_Toc113257822"/>
      <w:bookmarkStart w:id="6338" w:name="_Toc113258019"/>
      <w:bookmarkStart w:id="6339" w:name="_Toc113258287"/>
      <w:bookmarkStart w:id="6340" w:name="_Toc113258613"/>
      <w:bookmarkStart w:id="6341" w:name="_Toc113272202"/>
      <w:bookmarkStart w:id="6342" w:name="_Toc115580887"/>
      <w:bookmarkStart w:id="6343" w:name="_Toc136318290"/>
      <w:bookmarkStart w:id="6344" w:name="_Toc136318639"/>
      <w:bookmarkStart w:id="6345" w:name="_Toc136318806"/>
      <w:bookmarkStart w:id="6346" w:name="_Toc138475782"/>
      <w:bookmarkStart w:id="6347" w:name="_Toc146684511"/>
      <w:bookmarkStart w:id="6348" w:name="_Toc147046269"/>
      <w:bookmarkStart w:id="6349" w:name="_Toc171415226"/>
      <w:bookmarkStart w:id="6350" w:name="_Toc173642114"/>
      <w:bookmarkStart w:id="6351" w:name="_Toc173813652"/>
      <w:bookmarkStart w:id="6352" w:name="_Toc175387821"/>
      <w:bookmarkStart w:id="6353" w:name="_Toc176254425"/>
      <w:bookmarkStart w:id="6354" w:name="_Toc176254714"/>
      <w:bookmarkStart w:id="6355" w:name="_Toc176254825"/>
      <w:bookmarkStart w:id="6356" w:name="_Toc176762460"/>
      <w:bookmarkStart w:id="6357" w:name="_Toc176843481"/>
      <w:bookmarkStart w:id="6358" w:name="_Toc176853285"/>
      <w:bookmarkStart w:id="6359" w:name="_Toc176853394"/>
      <w:bookmarkStart w:id="6360" w:name="_Toc176857443"/>
      <w:bookmarkStart w:id="6361" w:name="_Toc215316363"/>
      <w:bookmarkStart w:id="6362" w:name="_Toc215384617"/>
      <w:bookmarkStart w:id="6363" w:name="_Ref217795416"/>
      <w:bookmarkStart w:id="6364" w:name="_Ref217795467"/>
      <w:bookmarkStart w:id="6365" w:name="_Toc217810483"/>
      <w:bookmarkStart w:id="6366" w:name="_Toc251320791"/>
      <w:bookmarkStart w:id="6367" w:name="_Toc251336895"/>
      <w:bookmarkStart w:id="6368" w:name="_Toc252283941"/>
      <w:bookmarkStart w:id="6369" w:name="_Toc252806258"/>
      <w:bookmarkStart w:id="6370" w:name="_Toc255568337"/>
      <w:bookmarkStart w:id="6371" w:name="_Toc255571699"/>
      <w:bookmarkStart w:id="6372" w:name="_Toc255571820"/>
      <w:bookmarkStart w:id="6373" w:name="_Toc271288535"/>
      <w:bookmarkStart w:id="6374" w:name="_Toc275518054"/>
      <w:bookmarkStart w:id="6375" w:name="_Toc275952494"/>
      <w:bookmarkStart w:id="6376" w:name="_Toc276121926"/>
      <w:bookmarkStart w:id="6377" w:name="_Toc276480762"/>
      <w:bookmarkStart w:id="6378" w:name="_Toc276741840"/>
      <w:bookmarkStart w:id="6379" w:name="_Toc277171604"/>
      <w:bookmarkStart w:id="6380" w:name="_Toc277864581"/>
      <w:bookmarkStart w:id="6381" w:name="_Toc277864797"/>
      <w:bookmarkStart w:id="6382" w:name="_Toc337652049"/>
      <w:r w:rsidRPr="00C81B24">
        <w:rPr>
          <w:i/>
          <w:szCs w:val="22"/>
        </w:rPr>
        <w:t>800 MHz Band Reconfiguration and 1.9 GHz Spectrum Exchange</w:t>
      </w:r>
      <w:bookmarkEnd w:id="6335"/>
      <w:bookmarkEnd w:id="6336"/>
      <w:bookmarkEnd w:id="6337"/>
      <w:bookmarkEnd w:id="6338"/>
      <w:bookmarkEnd w:id="6339"/>
      <w:bookmarkEnd w:id="6340"/>
      <w:bookmarkEnd w:id="6341"/>
      <w:bookmarkEnd w:id="6342"/>
      <w:bookmarkEnd w:id="6343"/>
      <w:bookmarkEnd w:id="6344"/>
      <w:bookmarkEnd w:id="6345"/>
      <w:bookmarkEnd w:id="6346"/>
      <w:bookmarkEnd w:id="6347"/>
      <w:bookmarkEnd w:id="6348"/>
      <w:bookmarkEnd w:id="6349"/>
      <w:bookmarkEnd w:id="6350"/>
      <w:bookmarkEnd w:id="6351"/>
      <w:bookmarkEnd w:id="6352"/>
      <w:bookmarkEnd w:id="6353"/>
      <w:bookmarkEnd w:id="6354"/>
      <w:bookmarkEnd w:id="6355"/>
      <w:bookmarkEnd w:id="6356"/>
      <w:bookmarkEnd w:id="6357"/>
      <w:bookmarkEnd w:id="6358"/>
      <w:bookmarkEnd w:id="6359"/>
      <w:bookmarkEnd w:id="6360"/>
      <w:bookmarkEnd w:id="6361"/>
      <w:bookmarkEnd w:id="6362"/>
      <w:bookmarkEnd w:id="6363"/>
      <w:bookmarkEnd w:id="6364"/>
      <w:bookmarkEnd w:id="6365"/>
      <w:bookmarkEnd w:id="6366"/>
      <w:bookmarkEnd w:id="6367"/>
      <w:bookmarkEnd w:id="6368"/>
      <w:bookmarkEnd w:id="6369"/>
      <w:bookmarkEnd w:id="6370"/>
      <w:bookmarkEnd w:id="6371"/>
      <w:bookmarkEnd w:id="6372"/>
      <w:bookmarkEnd w:id="6373"/>
      <w:bookmarkEnd w:id="6374"/>
      <w:bookmarkEnd w:id="6375"/>
      <w:bookmarkEnd w:id="6376"/>
      <w:bookmarkEnd w:id="6377"/>
      <w:bookmarkEnd w:id="6378"/>
      <w:bookmarkEnd w:id="6379"/>
      <w:bookmarkEnd w:id="6380"/>
      <w:bookmarkEnd w:id="6381"/>
      <w:bookmarkEnd w:id="6382"/>
      <w:r w:rsidRPr="00C81B24">
        <w:rPr>
          <w:szCs w:val="22"/>
        </w:rPr>
        <w:t>.  On July 8, 2004, the Commission adopted a new band plan for the 800 MHz band to resolve the problem of interference to public safety radio systems operating in the band from CMRS providers operating systems on channels in close proximity to those utilized by public safety entities.</w:t>
      </w:r>
      <w:r w:rsidRPr="00C81B24">
        <w:rPr>
          <w:szCs w:val="22"/>
          <w:vertAlign w:val="superscript"/>
        </w:rPr>
        <w:footnoteReference w:id="1268"/>
      </w:r>
      <w:r w:rsidRPr="00C81B24">
        <w:rPr>
          <w:szCs w:val="22"/>
        </w:rPr>
        <w:t xml:space="preserve">  The new band plan addresses the root cause of the interference problem by separating generally incompatible technologies, with the costs of relocating 800 MHz incumbents to be paid by Sprint Nextel.  To accomplish the reconfiguration, the Commission required Sprint Nextel to give up rights to certain of its licenses in the 800 MHz band and all of its licenses in the 700 MHz band.  In exchange, the Commission modified Sprint Nextel’s licenses to provide the right to operate on two five-megahertz blocks in the 1.9 GHz band – specifically 1910-1915 MHz and 1990-1995 MHz – conditioned on Sprint Nextel fulfilling certain obligations specified in the Commission’s decision.  As a new entrant in the 1.9 GHz band, Sprint Nextel is also obligated to fund the transition of incumbent users to comparable facilities.  The Commission determined that the overall value of the 1.9 GHz spectrum is $4.8 billion, less the cost of relocating incumbent users.  In addition, the Commission decided to credit to Sprint Nextel the value of the spectrum rights that Sprint Nextel is relinquishing and the actual costs Sprint Nextel incurs to relocate all incumbents in the 800 MHz and 1.9 GHz bands.  To the extent that the total of these combined credits is less than the assessed value of the 1.9 GHz spectrum rights, Sprint Nextel will make an anti-windfall payment equal to the difference to the United States Department of the Treasury at the conclusion of the relocation process.</w:t>
      </w:r>
    </w:p>
    <w:p w:rsidR="00C81B24" w:rsidRPr="00C81B24" w:rsidRDefault="00C81B24" w:rsidP="00CE5850">
      <w:pPr>
        <w:numPr>
          <w:ilvl w:val="0"/>
          <w:numId w:val="48"/>
        </w:numPr>
        <w:spacing w:after="120"/>
        <w:rPr>
          <w:szCs w:val="22"/>
        </w:rPr>
      </w:pPr>
      <w:r w:rsidRPr="00C81B24">
        <w:rPr>
          <w:szCs w:val="22"/>
        </w:rPr>
        <w:t xml:space="preserve"> In May 2012, the Commission amended a legacy regulatory requirement in its rules and provided certain spectrum licensees with increased flexibility to deploy advanced wireless services in portions of the 800 MHz band.</w:t>
      </w:r>
      <w:r w:rsidRPr="00C81B24">
        <w:rPr>
          <w:szCs w:val="22"/>
          <w:vertAlign w:val="superscript"/>
        </w:rPr>
        <w:footnoteReference w:id="1269"/>
      </w:r>
      <w:r w:rsidRPr="00C81B24">
        <w:rPr>
          <w:szCs w:val="22"/>
        </w:rPr>
        <w:t xml:space="preserve">  The revised rules allow geographically-based SMR licensees to operate across contiguous channels without a rigid channel spacing requirement or bandwidth limitation.  </w:t>
      </w:r>
    </w:p>
    <w:p w:rsidR="00C81B24" w:rsidRPr="00C81B24" w:rsidRDefault="00C81B24" w:rsidP="00CE5850">
      <w:pPr>
        <w:numPr>
          <w:ilvl w:val="0"/>
          <w:numId w:val="48"/>
        </w:numPr>
        <w:spacing w:after="120"/>
        <w:rPr>
          <w:szCs w:val="22"/>
        </w:rPr>
      </w:pPr>
      <w:r w:rsidRPr="00C81B24">
        <w:rPr>
          <w:szCs w:val="22"/>
        </w:rPr>
        <w:t>Significant progress has been made reconfiguring licensees to the new 800 MHz band plan in non-border regions of the country.  As of June 2012, 99.3 percent of Stage 1 non-border licensees and 80.6 percent of non-border public safety licensees have relocated to their new spectrum.</w:t>
      </w:r>
      <w:r w:rsidRPr="00C81B24">
        <w:rPr>
          <w:szCs w:val="22"/>
          <w:vertAlign w:val="superscript"/>
        </w:rPr>
        <w:footnoteReference w:id="1270"/>
      </w:r>
      <w:r w:rsidRPr="00C81B24">
        <w:rPr>
          <w:szCs w:val="22"/>
        </w:rPr>
        <w:t xml:space="preserve">  On June 8, 2012, the Commission announced that the United States and Mexico signed a new Protocol for sharing spectrum in the 800 MHz band plan along the U.S.-Mexico border.</w:t>
      </w:r>
      <w:r w:rsidRPr="00C81B24">
        <w:rPr>
          <w:szCs w:val="22"/>
          <w:vertAlign w:val="superscript"/>
        </w:rPr>
        <w:footnoteReference w:id="1271"/>
      </w:r>
      <w:r w:rsidRPr="00C81B24">
        <w:rPr>
          <w:szCs w:val="22"/>
        </w:rPr>
        <w:t xml:space="preserve">  In August 2012, the Public Safety and Homeland Security Bureau released a Notice of Proposed Rulemaking seeking comment on proposals for establishing and implementing the reconfigured 800 MHz channel plan along the U.S.-Mexico border.</w:t>
      </w:r>
      <w:r w:rsidRPr="00C81B24">
        <w:rPr>
          <w:szCs w:val="22"/>
          <w:vertAlign w:val="superscript"/>
        </w:rPr>
        <w:footnoteReference w:id="1272"/>
      </w:r>
      <w:r w:rsidRPr="00C81B24">
        <w:rPr>
          <w:szCs w:val="22"/>
        </w:rPr>
        <w:t xml:space="preserve">   </w:t>
      </w:r>
    </w:p>
    <w:p w:rsidR="00C81B24" w:rsidRPr="00C81B24" w:rsidRDefault="00C81B24" w:rsidP="00CE5850">
      <w:pPr>
        <w:numPr>
          <w:ilvl w:val="1"/>
          <w:numId w:val="26"/>
        </w:numPr>
        <w:spacing w:after="120"/>
        <w:outlineLvl w:val="1"/>
        <w:rPr>
          <w:b/>
          <w:szCs w:val="22"/>
        </w:rPr>
      </w:pPr>
      <w:bookmarkStart w:id="6383" w:name="_Toc183244831"/>
      <w:bookmarkStart w:id="6384" w:name="_Toc183244949"/>
      <w:bookmarkStart w:id="6385" w:name="_Toc183245607"/>
      <w:bookmarkStart w:id="6386" w:name="_Toc183246182"/>
      <w:bookmarkStart w:id="6387" w:name="_Toc183244832"/>
      <w:bookmarkStart w:id="6388" w:name="_Toc183244950"/>
      <w:bookmarkStart w:id="6389" w:name="_Toc183245608"/>
      <w:bookmarkStart w:id="6390" w:name="_Toc183246183"/>
      <w:bookmarkStart w:id="6391" w:name="_Ref37044447"/>
      <w:bookmarkStart w:id="6392" w:name="_Toc38438550"/>
      <w:bookmarkStart w:id="6393" w:name="_Toc83547793"/>
      <w:bookmarkStart w:id="6394" w:name="_Toc112139217"/>
      <w:bookmarkStart w:id="6395" w:name="_Toc113257824"/>
      <w:bookmarkStart w:id="6396" w:name="_Toc113258021"/>
      <w:bookmarkStart w:id="6397" w:name="_Toc113258289"/>
      <w:bookmarkStart w:id="6398" w:name="_Toc113258615"/>
      <w:bookmarkStart w:id="6399" w:name="_Toc113272204"/>
      <w:bookmarkStart w:id="6400" w:name="_Toc115580889"/>
      <w:bookmarkStart w:id="6401" w:name="_Toc136318292"/>
      <w:bookmarkStart w:id="6402" w:name="_Toc136318641"/>
      <w:bookmarkStart w:id="6403" w:name="_Toc136318808"/>
      <w:bookmarkStart w:id="6404" w:name="_Toc138475784"/>
      <w:bookmarkStart w:id="6405" w:name="_Toc146684513"/>
      <w:bookmarkStart w:id="6406" w:name="_Toc147046271"/>
      <w:bookmarkStart w:id="6407" w:name="_Toc171415228"/>
      <w:bookmarkStart w:id="6408" w:name="_Toc173642116"/>
      <w:bookmarkStart w:id="6409" w:name="_Toc173813654"/>
      <w:bookmarkStart w:id="6410" w:name="_Toc175387823"/>
      <w:bookmarkStart w:id="6411" w:name="_Toc176254427"/>
      <w:bookmarkStart w:id="6412" w:name="_Toc176254716"/>
      <w:bookmarkStart w:id="6413" w:name="_Toc176254827"/>
      <w:bookmarkStart w:id="6414" w:name="_Toc176762462"/>
      <w:bookmarkStart w:id="6415" w:name="_Toc176843483"/>
      <w:bookmarkStart w:id="6416" w:name="_Toc176853287"/>
      <w:bookmarkStart w:id="6417" w:name="_Toc176853396"/>
      <w:bookmarkStart w:id="6418" w:name="_Toc176857445"/>
      <w:bookmarkStart w:id="6419" w:name="_Toc179108372"/>
      <w:bookmarkStart w:id="6420" w:name="_Toc179357631"/>
      <w:bookmarkStart w:id="6421" w:name="_Toc181781114"/>
      <w:bookmarkStart w:id="6422" w:name="_Toc182218700"/>
      <w:bookmarkStart w:id="6423" w:name="_Toc182909135"/>
      <w:bookmarkStart w:id="6424" w:name="_Toc182909565"/>
      <w:bookmarkStart w:id="6425" w:name="_Toc182987215"/>
      <w:bookmarkStart w:id="6426" w:name="_Toc183244050"/>
      <w:bookmarkStart w:id="6427" w:name="_Toc183244428"/>
      <w:bookmarkStart w:id="6428" w:name="_Toc183244833"/>
      <w:bookmarkStart w:id="6429" w:name="_Toc183244951"/>
      <w:bookmarkStart w:id="6430" w:name="_Toc183245609"/>
      <w:bookmarkStart w:id="6431" w:name="_Toc183246184"/>
      <w:bookmarkStart w:id="6432" w:name="_Toc185667899"/>
      <w:bookmarkStart w:id="6433" w:name="_Toc185838956"/>
      <w:bookmarkStart w:id="6434" w:name="_Toc185846928"/>
      <w:bookmarkStart w:id="6435" w:name="_Toc185848534"/>
      <w:bookmarkStart w:id="6436" w:name="_Toc188946892"/>
      <w:bookmarkStart w:id="6437" w:name="_Toc189302796"/>
      <w:bookmarkStart w:id="6438" w:name="_Toc209948463"/>
      <w:bookmarkStart w:id="6439" w:name="_Toc209948572"/>
      <w:bookmarkStart w:id="6440" w:name="_Toc209950014"/>
      <w:bookmarkStart w:id="6441" w:name="_Toc210211470"/>
      <w:bookmarkStart w:id="6442" w:name="_Toc210213037"/>
      <w:bookmarkStart w:id="6443" w:name="_Toc210213176"/>
      <w:bookmarkStart w:id="6444" w:name="_Toc210213737"/>
      <w:bookmarkStart w:id="6445" w:name="_Toc212967962"/>
      <w:bookmarkStart w:id="6446" w:name="_Toc215316364"/>
      <w:bookmarkStart w:id="6447" w:name="_Toc215384618"/>
      <w:bookmarkStart w:id="6448" w:name="_Toc217810484"/>
      <w:bookmarkStart w:id="6449" w:name="_Toc251320792"/>
      <w:bookmarkStart w:id="6450" w:name="_Toc251336896"/>
      <w:bookmarkStart w:id="6451" w:name="_Toc252283942"/>
      <w:bookmarkStart w:id="6452" w:name="_Toc252806259"/>
      <w:bookmarkStart w:id="6453" w:name="_Toc255568338"/>
      <w:bookmarkStart w:id="6454" w:name="_Toc255571700"/>
      <w:bookmarkStart w:id="6455" w:name="_Toc255571821"/>
      <w:bookmarkStart w:id="6456" w:name="_Toc271288536"/>
      <w:bookmarkStart w:id="6457" w:name="_Toc275518055"/>
      <w:bookmarkStart w:id="6458" w:name="_Toc275952495"/>
      <w:bookmarkStart w:id="6459" w:name="_Toc276121927"/>
      <w:bookmarkStart w:id="6460" w:name="_Toc276480763"/>
      <w:bookmarkStart w:id="6461" w:name="_Toc276741841"/>
      <w:bookmarkStart w:id="6462" w:name="_Toc277171605"/>
      <w:bookmarkStart w:id="6463" w:name="_Toc277864582"/>
      <w:bookmarkStart w:id="6464" w:name="_Toc277864798"/>
      <w:bookmarkStart w:id="6465" w:name="_Toc337652050"/>
      <w:bookmarkEnd w:id="6383"/>
      <w:bookmarkEnd w:id="6384"/>
      <w:bookmarkEnd w:id="6385"/>
      <w:bookmarkEnd w:id="6386"/>
      <w:bookmarkEnd w:id="6387"/>
      <w:bookmarkEnd w:id="6388"/>
      <w:bookmarkEnd w:id="6389"/>
      <w:bookmarkEnd w:id="6390"/>
      <w:r w:rsidRPr="00C81B24">
        <w:rPr>
          <w:b/>
          <w:szCs w:val="22"/>
        </w:rPr>
        <w:t>700 MHz Band</w:t>
      </w:r>
      <w:bookmarkStart w:id="6466" w:name="_Toc183244834"/>
      <w:bookmarkStart w:id="6467" w:name="_Toc183244952"/>
      <w:bookmarkStart w:id="6468" w:name="_Toc183245610"/>
      <w:bookmarkStart w:id="6469" w:name="_Toc183246185"/>
      <w:bookmarkEnd w:id="6391"/>
      <w:bookmarkEnd w:id="6392"/>
      <w:bookmarkEnd w:id="6393"/>
      <w:bookmarkEnd w:id="6394"/>
      <w:bookmarkEnd w:id="6395"/>
      <w:bookmarkEnd w:id="6396"/>
      <w:bookmarkEnd w:id="6397"/>
      <w:bookmarkEnd w:id="6398"/>
      <w:bookmarkEnd w:id="6399"/>
      <w:bookmarkEnd w:id="6400"/>
      <w:bookmarkEnd w:id="6401"/>
      <w:bookmarkEnd w:id="6402"/>
      <w:bookmarkEnd w:id="6403"/>
      <w:bookmarkEnd w:id="6404"/>
      <w:bookmarkEnd w:id="6405"/>
      <w:bookmarkEnd w:id="6406"/>
      <w:bookmarkEnd w:id="6407"/>
      <w:bookmarkEnd w:id="6408"/>
      <w:bookmarkEnd w:id="6409"/>
      <w:bookmarkEnd w:id="6410"/>
      <w:bookmarkEnd w:id="6411"/>
      <w:bookmarkEnd w:id="6412"/>
      <w:bookmarkEnd w:id="6413"/>
      <w:bookmarkEnd w:id="6414"/>
      <w:bookmarkEnd w:id="6415"/>
      <w:bookmarkEnd w:id="6416"/>
      <w:bookmarkEnd w:id="6417"/>
      <w:bookmarkEnd w:id="6418"/>
      <w:bookmarkEnd w:id="6419"/>
      <w:bookmarkEnd w:id="6420"/>
      <w:bookmarkEnd w:id="6421"/>
      <w:bookmarkEnd w:id="6422"/>
      <w:bookmarkEnd w:id="6423"/>
      <w:bookmarkEnd w:id="6424"/>
      <w:bookmarkEnd w:id="6425"/>
      <w:bookmarkEnd w:id="6426"/>
      <w:bookmarkEnd w:id="6427"/>
      <w:bookmarkEnd w:id="6428"/>
      <w:bookmarkEnd w:id="6429"/>
      <w:bookmarkEnd w:id="6430"/>
      <w:bookmarkEnd w:id="6431"/>
      <w:bookmarkEnd w:id="6432"/>
      <w:bookmarkEnd w:id="6433"/>
      <w:bookmarkEnd w:id="6434"/>
      <w:bookmarkEnd w:id="6435"/>
      <w:bookmarkEnd w:id="6436"/>
      <w:bookmarkEnd w:id="6437"/>
      <w:bookmarkEnd w:id="6438"/>
      <w:bookmarkEnd w:id="6439"/>
      <w:bookmarkEnd w:id="6440"/>
      <w:bookmarkEnd w:id="6441"/>
      <w:bookmarkEnd w:id="6442"/>
      <w:bookmarkEnd w:id="6443"/>
      <w:bookmarkEnd w:id="6444"/>
      <w:bookmarkEnd w:id="6445"/>
      <w:bookmarkEnd w:id="6446"/>
      <w:bookmarkEnd w:id="6447"/>
      <w:bookmarkEnd w:id="6448"/>
      <w:bookmarkEnd w:id="6449"/>
      <w:bookmarkEnd w:id="6450"/>
      <w:bookmarkEnd w:id="6451"/>
      <w:bookmarkEnd w:id="6452"/>
      <w:bookmarkEnd w:id="6453"/>
      <w:bookmarkEnd w:id="6454"/>
      <w:bookmarkEnd w:id="6455"/>
      <w:bookmarkEnd w:id="6456"/>
      <w:bookmarkEnd w:id="6457"/>
      <w:bookmarkEnd w:id="6458"/>
      <w:bookmarkEnd w:id="6459"/>
      <w:bookmarkEnd w:id="6460"/>
      <w:bookmarkEnd w:id="6461"/>
      <w:bookmarkEnd w:id="6462"/>
      <w:bookmarkEnd w:id="6463"/>
      <w:bookmarkEnd w:id="6464"/>
      <w:bookmarkEnd w:id="6465"/>
      <w:bookmarkEnd w:id="6466"/>
      <w:bookmarkEnd w:id="6467"/>
      <w:bookmarkEnd w:id="6468"/>
      <w:bookmarkEnd w:id="6469"/>
    </w:p>
    <w:p w:rsidR="00C81B24" w:rsidRPr="00C81B24" w:rsidRDefault="00C81B24" w:rsidP="00CE5850">
      <w:pPr>
        <w:numPr>
          <w:ilvl w:val="0"/>
          <w:numId w:val="48"/>
        </w:numPr>
        <w:spacing w:after="120"/>
        <w:rPr>
          <w:szCs w:val="22"/>
        </w:rPr>
      </w:pPr>
      <w:bookmarkStart w:id="6470" w:name="_Toc83547794"/>
      <w:bookmarkStart w:id="6471" w:name="_Toc112139218"/>
      <w:bookmarkStart w:id="6472" w:name="_Toc113257825"/>
      <w:bookmarkStart w:id="6473" w:name="_Toc113258022"/>
      <w:bookmarkStart w:id="6474" w:name="_Toc113258290"/>
      <w:bookmarkStart w:id="6475" w:name="_Toc113258616"/>
      <w:bookmarkStart w:id="6476" w:name="_Toc113272205"/>
      <w:bookmarkStart w:id="6477" w:name="_Toc115580890"/>
      <w:bookmarkStart w:id="6478" w:name="_Toc136318293"/>
      <w:bookmarkStart w:id="6479" w:name="_Toc136318642"/>
      <w:bookmarkStart w:id="6480" w:name="_Toc136318809"/>
      <w:bookmarkStart w:id="6481" w:name="_Toc138475785"/>
      <w:bookmarkStart w:id="6482" w:name="_Toc146684514"/>
      <w:bookmarkStart w:id="6483" w:name="_Toc147046272"/>
      <w:bookmarkStart w:id="6484" w:name="_Toc171415229"/>
      <w:bookmarkStart w:id="6485" w:name="_Toc173642117"/>
      <w:bookmarkStart w:id="6486" w:name="_Toc173813655"/>
      <w:bookmarkStart w:id="6487" w:name="_Toc175387824"/>
      <w:bookmarkStart w:id="6488" w:name="_Toc176254428"/>
      <w:bookmarkStart w:id="6489" w:name="_Toc176254717"/>
      <w:bookmarkStart w:id="6490" w:name="_Toc176254828"/>
      <w:bookmarkStart w:id="6491" w:name="_Toc176762463"/>
      <w:bookmarkStart w:id="6492" w:name="_Toc176843484"/>
      <w:bookmarkStart w:id="6493" w:name="_Toc176853288"/>
      <w:bookmarkStart w:id="6494" w:name="_Toc176853397"/>
      <w:bookmarkStart w:id="6495" w:name="_Toc176857446"/>
      <w:bookmarkStart w:id="6496" w:name="_Toc179108373"/>
      <w:bookmarkStart w:id="6497" w:name="_Toc179357632"/>
      <w:bookmarkStart w:id="6498" w:name="_Toc181781115"/>
      <w:bookmarkStart w:id="6499" w:name="_Toc182218701"/>
      <w:bookmarkStart w:id="6500" w:name="_Toc182909136"/>
      <w:bookmarkStart w:id="6501" w:name="_Toc182909566"/>
      <w:bookmarkStart w:id="6502" w:name="_Toc182987216"/>
      <w:bookmarkStart w:id="6503" w:name="_Toc183244051"/>
      <w:bookmarkStart w:id="6504" w:name="_Toc183244429"/>
      <w:bookmarkStart w:id="6505" w:name="_Toc183244835"/>
      <w:bookmarkStart w:id="6506" w:name="_Toc183244953"/>
      <w:bookmarkStart w:id="6507" w:name="_Toc183245611"/>
      <w:bookmarkStart w:id="6508" w:name="_Toc183246186"/>
      <w:bookmarkStart w:id="6509" w:name="_Toc185667900"/>
      <w:bookmarkStart w:id="6510" w:name="_Toc185838957"/>
      <w:bookmarkStart w:id="6511" w:name="_Toc185846929"/>
      <w:bookmarkStart w:id="6512" w:name="_Toc185848535"/>
      <w:bookmarkStart w:id="6513" w:name="_Toc188946893"/>
      <w:bookmarkStart w:id="6514" w:name="_Toc189302797"/>
      <w:r w:rsidRPr="00C81B24">
        <w:rPr>
          <w:szCs w:val="22"/>
        </w:rPr>
        <w:t>The 698-806 MHz band (the “700 MHz band”) was reclaimed from use by broadcast services in connection with the transition of the analog television service to digital television (DTV).</w:t>
      </w:r>
      <w:r w:rsidRPr="00C81B24">
        <w:rPr>
          <w:szCs w:val="22"/>
          <w:vertAlign w:val="superscript"/>
        </w:rPr>
        <w:footnoteReference w:id="1273"/>
      </w:r>
      <w:r w:rsidRPr="00C81B24">
        <w:rPr>
          <w:szCs w:val="22"/>
        </w:rPr>
        <w:t xml:space="preserve">  The Digital Television Transition and Public Safety Act of 2005 (DTV Act)</w:t>
      </w:r>
      <w:r w:rsidRPr="00C81B24">
        <w:rPr>
          <w:szCs w:val="22"/>
          <w:vertAlign w:val="superscript"/>
        </w:rPr>
        <w:footnoteReference w:id="1274"/>
      </w:r>
      <w:r w:rsidRPr="00C81B24">
        <w:rPr>
          <w:szCs w:val="22"/>
        </w:rPr>
        <w:t xml:space="preserve"> set a deadline of February 17, 2009 for the 700 MHz band spectrum to be cleared of analog transmissions and made available for public safety and commercial services as part of the DTV transition.  This deadline subsequently was extended to June 12, 2009.</w:t>
      </w:r>
      <w:r w:rsidRPr="00C81B24">
        <w:rPr>
          <w:szCs w:val="22"/>
          <w:vertAlign w:val="superscript"/>
        </w:rPr>
        <w:footnoteReference w:id="1275"/>
      </w:r>
      <w:r w:rsidRPr="00C81B24">
        <w:rPr>
          <w:szCs w:val="22"/>
        </w:rPr>
        <w:t xml:space="preserve">  This spectrum was made available for wireless services, including public safety and commercial services.</w:t>
      </w:r>
      <w:r w:rsidRPr="00C81B24">
        <w:rPr>
          <w:szCs w:val="22"/>
          <w:vertAlign w:val="superscript"/>
        </w:rPr>
        <w:footnoteReference w:id="1276"/>
      </w:r>
      <w:r w:rsidRPr="00C81B24">
        <w:rPr>
          <w:szCs w:val="22"/>
        </w:rPr>
        <w:t xml:space="preserve">  </w:t>
      </w:r>
    </w:p>
    <w:p w:rsidR="00C81B24" w:rsidRPr="00C81B24" w:rsidRDefault="00C81B24" w:rsidP="00CE5850">
      <w:pPr>
        <w:numPr>
          <w:ilvl w:val="0"/>
          <w:numId w:val="48"/>
        </w:numPr>
        <w:spacing w:after="120"/>
        <w:rPr>
          <w:szCs w:val="22"/>
        </w:rPr>
      </w:pPr>
      <w:r w:rsidRPr="00C81B24">
        <w:rPr>
          <w:szCs w:val="22"/>
        </w:rPr>
        <w:t>The DTV Act also established two specific statutory deadlines for the auction of licenses for recovered spectrum in the 700 MHz band: (1) the auction was required to begin no later than January 28, 2008; and (2) the auction proceeds were required to be deposited in the Digital Television Transition and Public Safety Fund by June 30, 2008.</w:t>
      </w:r>
      <w:r w:rsidRPr="00C81B24">
        <w:rPr>
          <w:szCs w:val="22"/>
          <w:vertAlign w:val="superscript"/>
        </w:rPr>
        <w:footnoteReference w:id="1277"/>
      </w:r>
      <w:r w:rsidRPr="00C81B24">
        <w:rPr>
          <w:szCs w:val="22"/>
        </w:rPr>
        <w:t xml:space="preserve">  The Commission met both of these statutory deadlines.  </w:t>
      </w:r>
    </w:p>
    <w:p w:rsidR="00C81B24" w:rsidRPr="00C81B24" w:rsidRDefault="00C81B24" w:rsidP="00CE5850">
      <w:pPr>
        <w:spacing w:after="120"/>
        <w:ind w:left="720"/>
        <w:jc w:val="center"/>
        <w:rPr>
          <w:szCs w:val="22"/>
        </w:rPr>
      </w:pPr>
      <w:r>
        <w:rPr>
          <w:noProof/>
          <w:szCs w:val="22"/>
        </w:rPr>
        <w:drawing>
          <wp:inline distT="0" distB="0" distL="0" distR="0" wp14:anchorId="7EA8A9F3" wp14:editId="278CCE0F">
            <wp:extent cx="3848100" cy="1695450"/>
            <wp:effectExtent l="0" t="0" r="0"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3848100" cy="1695450"/>
                    </a:xfrm>
                    <a:prstGeom prst="rect">
                      <a:avLst/>
                    </a:prstGeom>
                    <a:noFill/>
                    <a:ln>
                      <a:noFill/>
                    </a:ln>
                  </pic:spPr>
                </pic:pic>
              </a:graphicData>
            </a:graphic>
          </wp:inline>
        </w:drawing>
      </w:r>
    </w:p>
    <w:p w:rsidR="00C81B24" w:rsidRPr="00C81B24" w:rsidRDefault="00C81B24" w:rsidP="00CE5850">
      <w:pPr>
        <w:spacing w:after="120"/>
        <w:rPr>
          <w:szCs w:val="22"/>
        </w:rPr>
      </w:pPr>
    </w:p>
    <w:p w:rsidR="00C81B24" w:rsidRPr="00C81B24" w:rsidRDefault="00C81B24" w:rsidP="00CE5850">
      <w:pPr>
        <w:numPr>
          <w:ilvl w:val="0"/>
          <w:numId w:val="48"/>
        </w:numPr>
        <w:spacing w:after="120"/>
        <w:rPr>
          <w:szCs w:val="22"/>
        </w:rPr>
      </w:pPr>
      <w:bookmarkStart w:id="6515" w:name="_Toc209948464"/>
      <w:bookmarkStart w:id="6516" w:name="_Toc209948573"/>
      <w:bookmarkStart w:id="6517" w:name="_Toc209950015"/>
      <w:r w:rsidRPr="00C81B24">
        <w:rPr>
          <w:szCs w:val="22"/>
        </w:rPr>
        <w:t>Prior to holding the auction, the Commission revisited the rules governing the 700 MHz band in light of the DTV Act, recent developments in the market for commercial wireless communications, and the evolving needs of the public safety community for advanced broadband communications.</w:t>
      </w:r>
      <w:r w:rsidRPr="00C81B24">
        <w:rPr>
          <w:szCs w:val="22"/>
          <w:vertAlign w:val="superscript"/>
        </w:rPr>
        <w:footnoteReference w:id="1278"/>
      </w:r>
      <w:r w:rsidRPr="00C81B24">
        <w:rPr>
          <w:szCs w:val="22"/>
        </w:rPr>
        <w:t xml:space="preserve">  Specifically, in the </w:t>
      </w:r>
      <w:r w:rsidRPr="00C81B24">
        <w:rPr>
          <w:i/>
          <w:szCs w:val="22"/>
        </w:rPr>
        <w:t>700 MHz Second Report and Order</w:t>
      </w:r>
      <w:r w:rsidRPr="00C81B24">
        <w:rPr>
          <w:szCs w:val="22"/>
        </w:rPr>
        <w:t>, the Commission adopted a new band plan and revised certain of the service rules relating to both the commercial and public safety spectrum in the 700 MHz band.</w:t>
      </w:r>
      <w:r w:rsidRPr="00C81B24">
        <w:rPr>
          <w:szCs w:val="22"/>
          <w:vertAlign w:val="superscript"/>
        </w:rPr>
        <w:footnoteReference w:id="1279"/>
      </w:r>
      <w:r w:rsidRPr="00C81B24">
        <w:rPr>
          <w:szCs w:val="22"/>
        </w:rPr>
        <w:t xml:space="preserve">  The new band plan provided a balanced mix of geographic service area licenses and spectrum blocks sizes for the commercial spectrum to be auctioned.</w:t>
      </w:r>
      <w:r w:rsidRPr="00C81B24">
        <w:rPr>
          <w:szCs w:val="22"/>
          <w:vertAlign w:val="superscript"/>
        </w:rPr>
        <w:footnoteReference w:id="1280"/>
      </w:r>
      <w:r w:rsidRPr="00C81B24">
        <w:rPr>
          <w:szCs w:val="22"/>
        </w:rPr>
        <w:t xml:space="preserve">  Among other service rules, the Commission provided that licensees for one of the commercial blocks of spectrum in the 700 MHz band, the Upper 700 MHz C Block would be subject to an “Open Platform” condition.</w:t>
      </w:r>
      <w:r w:rsidRPr="00C81B24">
        <w:rPr>
          <w:szCs w:val="22"/>
          <w:vertAlign w:val="superscript"/>
        </w:rPr>
        <w:footnoteReference w:id="1281"/>
      </w:r>
      <w:r w:rsidRPr="00C81B24">
        <w:rPr>
          <w:szCs w:val="22"/>
        </w:rPr>
        <w:t xml:space="preserve">  Accordingly, licensees must “allow customers, device manufacturers, third-party application developers, and others to use or develop the devices and applications of their choosing in C Block networks, so long as they meet all applicable regulatory requirements and comply with reasonable conditions related to management of the wireless network (</w:t>
      </w:r>
      <w:r w:rsidRPr="00C81B24">
        <w:rPr>
          <w:i/>
          <w:szCs w:val="22"/>
        </w:rPr>
        <w:t>i.e.</w:t>
      </w:r>
      <w:r w:rsidRPr="00C81B24">
        <w:rPr>
          <w:szCs w:val="22"/>
        </w:rPr>
        <w:t>, do not cause harm to the network).”</w:t>
      </w:r>
      <w:r w:rsidRPr="00C81B24">
        <w:rPr>
          <w:szCs w:val="22"/>
          <w:vertAlign w:val="superscript"/>
        </w:rPr>
        <w:t xml:space="preserve"> </w:t>
      </w:r>
      <w:r w:rsidRPr="00C81B24">
        <w:rPr>
          <w:szCs w:val="22"/>
          <w:vertAlign w:val="superscript"/>
        </w:rPr>
        <w:footnoteReference w:id="1282"/>
      </w:r>
      <w:r w:rsidRPr="00C81B24">
        <w:rPr>
          <w:szCs w:val="22"/>
        </w:rPr>
        <w:t xml:space="preserve">  In addition, C Block licensees “may not block, degrade, or interfere with the ability of end users to download and utilize applications of their choosing on the licensee’s C Block network, subject to reasonable network management.”</w:t>
      </w:r>
      <w:r w:rsidRPr="00C81B24">
        <w:rPr>
          <w:szCs w:val="22"/>
          <w:vertAlign w:val="superscript"/>
        </w:rPr>
        <w:footnoteReference w:id="1283"/>
      </w:r>
      <w:r w:rsidRPr="00C81B24">
        <w:rPr>
          <w:szCs w:val="22"/>
        </w:rPr>
        <w:t xml:space="preserve">  </w:t>
      </w:r>
    </w:p>
    <w:p w:rsidR="00C81B24" w:rsidRPr="00C81B24" w:rsidRDefault="00C81B24" w:rsidP="00CE5850">
      <w:pPr>
        <w:numPr>
          <w:ilvl w:val="0"/>
          <w:numId w:val="48"/>
        </w:numPr>
        <w:spacing w:after="120"/>
        <w:rPr>
          <w:szCs w:val="22"/>
        </w:rPr>
      </w:pPr>
      <w:r w:rsidRPr="00C81B24">
        <w:rPr>
          <w:szCs w:val="22"/>
        </w:rPr>
        <w:t>The Commission also established a block in the commercial spectrum, the Upper 700 MHz D Block (D Block), to be licensed on a nationwide basis to a single entity, and required the winning bidder for the D Block to enter into a public/private partnership with the Public Safety Broadband Licensee to enable the construction of a nationwide network operating over the spectrum associated with both licenses and providing broadband services to both commercial and public safety users.</w:t>
      </w:r>
      <w:r w:rsidRPr="00C81B24">
        <w:rPr>
          <w:szCs w:val="22"/>
          <w:vertAlign w:val="superscript"/>
        </w:rPr>
        <w:footnoteReference w:id="1284"/>
      </w:r>
    </w:p>
    <w:p w:rsidR="00C81B24" w:rsidRPr="00C81B24" w:rsidRDefault="00C81B24" w:rsidP="00CE5850">
      <w:pPr>
        <w:numPr>
          <w:ilvl w:val="0"/>
          <w:numId w:val="48"/>
        </w:numPr>
        <w:spacing w:after="120"/>
        <w:rPr>
          <w:szCs w:val="22"/>
        </w:rPr>
      </w:pPr>
      <w:r w:rsidRPr="00C81B24">
        <w:rPr>
          <w:szCs w:val="22"/>
        </w:rPr>
        <w:t>The auction of the 700 MHz Band licenses, designated Auction 73, closed on March 18, 2008.</w:t>
      </w:r>
      <w:r w:rsidRPr="00C81B24">
        <w:rPr>
          <w:szCs w:val="22"/>
          <w:vertAlign w:val="superscript"/>
        </w:rPr>
        <w:footnoteReference w:id="1285"/>
      </w:r>
      <w:r w:rsidRPr="00C81B24">
        <w:rPr>
          <w:szCs w:val="22"/>
        </w:rPr>
        <w:t xml:space="preserve">  The auction concluded with provisionally winning bids covering 1091 licenses.  While the bids for licenses associated with four of the five 700 MHz Band blocks (the A, B, C, and E Blocks) exceeded the applicable reserve prices, bids for the fifth block (the D Block) license did not meet the reserve price and thus, there was no winning bid in Auction 73 for that license.  Accordingly, the Auction 73 winning bids totaled $19,120,378,000 and the net winning bids (reflecting bidders’ claimed bidding credit eligibility) totaled $18,957,582,150.</w:t>
      </w:r>
      <w:r w:rsidRPr="00C81B24">
        <w:rPr>
          <w:szCs w:val="22"/>
          <w:vertAlign w:val="superscript"/>
        </w:rPr>
        <w:footnoteReference w:id="1286"/>
      </w:r>
      <w:r w:rsidRPr="00C81B24">
        <w:rPr>
          <w:szCs w:val="22"/>
        </w:rPr>
        <w:t xml:space="preserve">  </w:t>
      </w:r>
    </w:p>
    <w:p w:rsidR="00C81B24" w:rsidRPr="00C81B24" w:rsidRDefault="00C81B24" w:rsidP="00CE5850">
      <w:pPr>
        <w:numPr>
          <w:ilvl w:val="0"/>
          <w:numId w:val="48"/>
        </w:numPr>
        <w:spacing w:after="120"/>
        <w:rPr>
          <w:szCs w:val="22"/>
        </w:rPr>
      </w:pPr>
      <w:r w:rsidRPr="00C81B24">
        <w:rPr>
          <w:szCs w:val="22"/>
        </w:rPr>
        <w:t>The commercial spectrum in the 700 MHz band is generally available for a broad range of flexible uses.</w:t>
      </w:r>
      <w:r w:rsidRPr="00C81B24">
        <w:rPr>
          <w:szCs w:val="22"/>
          <w:vertAlign w:val="superscript"/>
        </w:rPr>
        <w:footnoteReference w:id="1287"/>
      </w:r>
      <w:r w:rsidRPr="00C81B24">
        <w:rPr>
          <w:szCs w:val="22"/>
        </w:rPr>
        <w:t xml:space="preserve">  This spectrum has many permissible uses:  Licensees may use the spectrum for fixed, mobile (including mobile wireless commercial services), and broadcast services.</w:t>
      </w:r>
      <w:r w:rsidRPr="00C81B24">
        <w:rPr>
          <w:szCs w:val="22"/>
          <w:vertAlign w:val="superscript"/>
        </w:rPr>
        <w:footnoteReference w:id="1288"/>
      </w:r>
      <w:r w:rsidRPr="00C81B24">
        <w:rPr>
          <w:szCs w:val="22"/>
        </w:rPr>
        <w:t xml:space="preserve">  Certain providers have begun rolling out advanced wireless networks, including LTE using 700 MHz Band.  Verizon Wireless first launched LTE services using its 700 MHz Upper C Block licenses in December 2010 and is leasing portions of this spectrum to wireless service providers in rural areas where Verizon does not intend to build out.</w:t>
      </w:r>
      <w:r w:rsidRPr="00C81B24">
        <w:rPr>
          <w:szCs w:val="22"/>
          <w:vertAlign w:val="superscript"/>
        </w:rPr>
        <w:footnoteReference w:id="1289"/>
      </w:r>
      <w:r w:rsidRPr="00C81B24">
        <w:rPr>
          <w:szCs w:val="22"/>
        </w:rPr>
        <w:t xml:space="preserve">  AT&amp;T launched its LTE network in September 2011 and has stated that it is using both 700 MHz and AWS spectrum for its LTE deployment.</w:t>
      </w:r>
      <w:r w:rsidRPr="00C81B24">
        <w:rPr>
          <w:szCs w:val="22"/>
          <w:vertAlign w:val="superscript"/>
        </w:rPr>
        <w:footnoteReference w:id="1290"/>
      </w:r>
      <w:r w:rsidRPr="00C81B24">
        <w:rPr>
          <w:szCs w:val="22"/>
        </w:rPr>
        <w:t xml:space="preserve">  AT&amp;T also has announced plans to use the unpaired 700 MHz Lower D and E block licenses it acquired from Qualcomm in December 2011 as early as 2014 as a supplemental downlink for mobile broadband services.</w:t>
      </w:r>
      <w:r w:rsidRPr="00C81B24">
        <w:rPr>
          <w:szCs w:val="22"/>
          <w:vertAlign w:val="superscript"/>
        </w:rPr>
        <w:footnoteReference w:id="1291"/>
      </w:r>
      <w:r w:rsidRPr="00C81B24">
        <w:rPr>
          <w:szCs w:val="22"/>
        </w:rPr>
        <w:t xml:space="preserve">   </w:t>
      </w:r>
    </w:p>
    <w:p w:rsidR="00C81B24" w:rsidRPr="00C81B24" w:rsidRDefault="00C81B24" w:rsidP="00CE5850">
      <w:pPr>
        <w:numPr>
          <w:ilvl w:val="0"/>
          <w:numId w:val="48"/>
        </w:numPr>
        <w:spacing w:after="120"/>
        <w:rPr>
          <w:szCs w:val="22"/>
        </w:rPr>
      </w:pPr>
      <w:r w:rsidRPr="00C81B24">
        <w:rPr>
          <w:szCs w:val="22"/>
        </w:rPr>
        <w:t>In early 2012, Congress enacted the Spectrum Act, which requires the Commission to reallocate the D block for use by public safety.</w:t>
      </w:r>
      <w:r w:rsidRPr="00C81B24">
        <w:rPr>
          <w:szCs w:val="22"/>
          <w:vertAlign w:val="superscript"/>
        </w:rPr>
        <w:footnoteReference w:id="1292"/>
      </w:r>
      <w:r w:rsidRPr="00C81B24">
        <w:rPr>
          <w:szCs w:val="22"/>
        </w:rPr>
        <w:t xml:space="preserve">  On September 7, 2012, the Public Safety and Homeland Security Bureau (PSHSB) implemented the directives of the Spectrum Act by reallocating the Upper 700 MHz D Block for public safety services, and adopting rules to license the D Block and the existing public safety broadband spectrum in the 700 MHz Band to FirstNet, an independent authority within NTIA, in order to establish “a nationwide, interoperable public safety broadband network.”</w:t>
      </w:r>
      <w:r w:rsidRPr="00C81B24">
        <w:rPr>
          <w:szCs w:val="22"/>
          <w:vertAlign w:val="superscript"/>
        </w:rPr>
        <w:footnoteReference w:id="1293"/>
      </w:r>
      <w:r w:rsidRPr="00C81B24">
        <w:rPr>
          <w:szCs w:val="22"/>
        </w:rPr>
        <w:t xml:space="preserve"> </w:t>
      </w:r>
    </w:p>
    <w:p w:rsidR="00C81B24" w:rsidRPr="00C81B24" w:rsidRDefault="00C81B24" w:rsidP="00CE5850">
      <w:pPr>
        <w:numPr>
          <w:ilvl w:val="1"/>
          <w:numId w:val="26"/>
        </w:numPr>
        <w:spacing w:after="120"/>
        <w:outlineLvl w:val="1"/>
        <w:rPr>
          <w:b/>
          <w:szCs w:val="22"/>
        </w:rPr>
      </w:pPr>
      <w:bookmarkStart w:id="6518" w:name="_Toc210211471"/>
      <w:bookmarkStart w:id="6519" w:name="_Toc210213038"/>
      <w:bookmarkStart w:id="6520" w:name="_Toc210213177"/>
      <w:bookmarkStart w:id="6521" w:name="_Toc210213738"/>
      <w:bookmarkStart w:id="6522" w:name="_Toc212967963"/>
      <w:bookmarkStart w:id="6523" w:name="_Toc215316365"/>
      <w:bookmarkStart w:id="6524" w:name="_Toc215384619"/>
      <w:bookmarkStart w:id="6525" w:name="_Toc217810485"/>
      <w:bookmarkStart w:id="6526" w:name="_Toc251320793"/>
      <w:bookmarkStart w:id="6527" w:name="_Toc251336897"/>
      <w:bookmarkStart w:id="6528" w:name="_Toc252283943"/>
      <w:bookmarkStart w:id="6529" w:name="_Toc252806260"/>
      <w:bookmarkStart w:id="6530" w:name="_Toc255568339"/>
      <w:bookmarkStart w:id="6531" w:name="_Toc255571822"/>
      <w:bookmarkStart w:id="6532" w:name="_Toc271288537"/>
      <w:bookmarkStart w:id="6533" w:name="_Toc275518056"/>
      <w:bookmarkStart w:id="6534" w:name="_Toc275952496"/>
      <w:bookmarkStart w:id="6535" w:name="_Toc276121928"/>
      <w:bookmarkStart w:id="6536" w:name="_Toc276480764"/>
      <w:bookmarkStart w:id="6537" w:name="_Toc276741842"/>
      <w:bookmarkStart w:id="6538" w:name="_Toc277171606"/>
      <w:bookmarkStart w:id="6539" w:name="_Toc277864583"/>
      <w:bookmarkStart w:id="6540" w:name="_Toc277864799"/>
      <w:bookmarkStart w:id="6541" w:name="_Toc337652051"/>
      <w:r w:rsidRPr="00C81B24">
        <w:rPr>
          <w:b/>
          <w:szCs w:val="22"/>
        </w:rPr>
        <w:t>1710 – 2180: Advanced Wireless Services</w:t>
      </w:r>
      <w:bookmarkStart w:id="6542" w:name="_Toc183244836"/>
      <w:bookmarkStart w:id="6543" w:name="_Toc183244954"/>
      <w:bookmarkStart w:id="6544" w:name="_Toc183245612"/>
      <w:bookmarkStart w:id="6545" w:name="_Toc183246187"/>
      <w:bookmarkEnd w:id="6470"/>
      <w:bookmarkEnd w:id="6471"/>
      <w:bookmarkEnd w:id="6472"/>
      <w:bookmarkEnd w:id="6473"/>
      <w:bookmarkEnd w:id="6474"/>
      <w:bookmarkEnd w:id="6475"/>
      <w:bookmarkEnd w:id="6476"/>
      <w:bookmarkEnd w:id="6477"/>
      <w:bookmarkEnd w:id="6478"/>
      <w:bookmarkEnd w:id="6479"/>
      <w:bookmarkEnd w:id="6480"/>
      <w:bookmarkEnd w:id="6481"/>
      <w:bookmarkEnd w:id="6482"/>
      <w:bookmarkEnd w:id="6483"/>
      <w:bookmarkEnd w:id="6484"/>
      <w:bookmarkEnd w:id="6485"/>
      <w:bookmarkEnd w:id="6486"/>
      <w:bookmarkEnd w:id="6487"/>
      <w:bookmarkEnd w:id="6488"/>
      <w:bookmarkEnd w:id="6489"/>
      <w:bookmarkEnd w:id="6490"/>
      <w:bookmarkEnd w:id="6491"/>
      <w:bookmarkEnd w:id="6492"/>
      <w:bookmarkEnd w:id="6493"/>
      <w:bookmarkEnd w:id="6494"/>
      <w:bookmarkEnd w:id="6495"/>
      <w:bookmarkEnd w:id="6496"/>
      <w:bookmarkEnd w:id="6497"/>
      <w:bookmarkEnd w:id="6498"/>
      <w:bookmarkEnd w:id="6499"/>
      <w:bookmarkEnd w:id="6500"/>
      <w:bookmarkEnd w:id="6501"/>
      <w:bookmarkEnd w:id="6502"/>
      <w:bookmarkEnd w:id="6503"/>
      <w:bookmarkEnd w:id="6504"/>
      <w:bookmarkEnd w:id="6505"/>
      <w:bookmarkEnd w:id="6506"/>
      <w:bookmarkEnd w:id="6507"/>
      <w:bookmarkEnd w:id="6508"/>
      <w:bookmarkEnd w:id="6509"/>
      <w:bookmarkEnd w:id="6510"/>
      <w:bookmarkEnd w:id="6511"/>
      <w:bookmarkEnd w:id="6512"/>
      <w:bookmarkEnd w:id="6513"/>
      <w:bookmarkEnd w:id="6514"/>
      <w:bookmarkEnd w:id="6515"/>
      <w:bookmarkEnd w:id="6516"/>
      <w:bookmarkEnd w:id="6517"/>
      <w:bookmarkEnd w:id="6518"/>
      <w:bookmarkEnd w:id="6519"/>
      <w:bookmarkEnd w:id="6520"/>
      <w:bookmarkEnd w:id="6521"/>
      <w:bookmarkEnd w:id="6522"/>
      <w:bookmarkEnd w:id="6523"/>
      <w:bookmarkEnd w:id="6524"/>
      <w:bookmarkEnd w:id="6525"/>
      <w:bookmarkEnd w:id="6526"/>
      <w:bookmarkEnd w:id="6527"/>
      <w:bookmarkEnd w:id="6528"/>
      <w:bookmarkEnd w:id="6529"/>
      <w:bookmarkEnd w:id="6530"/>
      <w:bookmarkEnd w:id="6531"/>
      <w:bookmarkEnd w:id="6532"/>
      <w:bookmarkEnd w:id="6533"/>
      <w:bookmarkEnd w:id="6534"/>
      <w:bookmarkEnd w:id="6535"/>
      <w:bookmarkEnd w:id="6536"/>
      <w:bookmarkEnd w:id="6537"/>
      <w:bookmarkEnd w:id="6538"/>
      <w:bookmarkEnd w:id="6539"/>
      <w:bookmarkEnd w:id="6540"/>
      <w:bookmarkEnd w:id="6541"/>
      <w:bookmarkEnd w:id="6542"/>
      <w:bookmarkEnd w:id="6543"/>
      <w:bookmarkEnd w:id="6544"/>
      <w:bookmarkEnd w:id="6545"/>
    </w:p>
    <w:p w:rsidR="00C81B24" w:rsidRPr="00C81B24" w:rsidRDefault="00C81B24" w:rsidP="00CE5850">
      <w:pPr>
        <w:numPr>
          <w:ilvl w:val="0"/>
          <w:numId w:val="48"/>
        </w:numPr>
        <w:spacing w:after="120"/>
        <w:rPr>
          <w:szCs w:val="22"/>
        </w:rPr>
      </w:pPr>
      <w:bookmarkStart w:id="6546" w:name="_Toc112139219"/>
      <w:bookmarkStart w:id="6547" w:name="_Toc113257826"/>
      <w:bookmarkStart w:id="6548" w:name="_Toc113258023"/>
      <w:bookmarkStart w:id="6549" w:name="_Toc113258291"/>
      <w:bookmarkStart w:id="6550" w:name="_Toc113258617"/>
      <w:bookmarkStart w:id="6551" w:name="_Toc113272206"/>
      <w:bookmarkStart w:id="6552" w:name="_Toc115580891"/>
      <w:bookmarkStart w:id="6553" w:name="_Toc136318294"/>
      <w:bookmarkStart w:id="6554" w:name="_Toc136318643"/>
      <w:bookmarkStart w:id="6555" w:name="_Toc136318810"/>
      <w:bookmarkStart w:id="6556" w:name="_Toc138475786"/>
      <w:bookmarkStart w:id="6557" w:name="_Toc146684515"/>
      <w:bookmarkStart w:id="6558" w:name="_Toc147046273"/>
      <w:bookmarkStart w:id="6559" w:name="_Toc171415230"/>
      <w:bookmarkStart w:id="6560" w:name="_Toc173642118"/>
      <w:bookmarkStart w:id="6561" w:name="_Toc173813656"/>
      <w:bookmarkStart w:id="6562" w:name="_Toc175387825"/>
      <w:bookmarkStart w:id="6563" w:name="_Toc176254429"/>
      <w:bookmarkStart w:id="6564" w:name="_Toc176254718"/>
      <w:bookmarkStart w:id="6565" w:name="_Toc176254829"/>
      <w:bookmarkStart w:id="6566" w:name="_Toc176762464"/>
      <w:bookmarkStart w:id="6567" w:name="_Toc176843485"/>
      <w:bookmarkStart w:id="6568" w:name="_Toc176853289"/>
      <w:bookmarkStart w:id="6569" w:name="_Toc176853398"/>
      <w:bookmarkStart w:id="6570" w:name="_Toc176857447"/>
      <w:bookmarkStart w:id="6571" w:name="_Toc179108374"/>
      <w:bookmarkStart w:id="6572" w:name="_Toc179357633"/>
      <w:bookmarkStart w:id="6573" w:name="_Toc181781116"/>
      <w:bookmarkStart w:id="6574" w:name="_Toc182218702"/>
      <w:bookmarkStart w:id="6575" w:name="_Toc182909137"/>
      <w:bookmarkStart w:id="6576" w:name="_Toc182909567"/>
      <w:bookmarkStart w:id="6577" w:name="_Toc182987217"/>
      <w:bookmarkStart w:id="6578" w:name="_Toc183244052"/>
      <w:bookmarkStart w:id="6579" w:name="_Toc183244430"/>
      <w:bookmarkStart w:id="6580" w:name="_Toc183244837"/>
      <w:bookmarkStart w:id="6581" w:name="_Toc183244955"/>
      <w:bookmarkStart w:id="6582" w:name="_Toc183245613"/>
      <w:bookmarkStart w:id="6583" w:name="_Toc183246188"/>
      <w:bookmarkStart w:id="6584" w:name="_Toc185667901"/>
      <w:bookmarkStart w:id="6585" w:name="_Toc185838958"/>
      <w:bookmarkStart w:id="6586" w:name="_Toc185846930"/>
      <w:bookmarkStart w:id="6587" w:name="_Toc185848536"/>
      <w:bookmarkStart w:id="6588" w:name="_Toc188946894"/>
      <w:bookmarkStart w:id="6589" w:name="_Toc189302798"/>
      <w:r w:rsidRPr="00C81B24">
        <w:rPr>
          <w:szCs w:val="22"/>
        </w:rPr>
        <w:t>To further the goal of promoting the deployment of advanced services, the Commission has made efforts to allocate and license additional spectrum suitable for offering AWS.</w:t>
      </w:r>
      <w:r w:rsidRPr="00C81B24">
        <w:rPr>
          <w:szCs w:val="22"/>
          <w:vertAlign w:val="superscript"/>
        </w:rPr>
        <w:footnoteReference w:id="1294"/>
      </w:r>
      <w:r w:rsidRPr="00C81B24">
        <w:rPr>
          <w:szCs w:val="22"/>
        </w:rPr>
        <w:t xml:space="preserve">  As noted in the </w:t>
      </w:r>
      <w:r w:rsidRPr="00C81B24">
        <w:rPr>
          <w:i/>
          <w:szCs w:val="22"/>
        </w:rPr>
        <w:t>Eleventh Report</w:t>
      </w:r>
      <w:r w:rsidRPr="00C81B24">
        <w:rPr>
          <w:szCs w:val="22"/>
        </w:rPr>
        <w:t>, in 2002 the Commission, together with the National Telecommunications and Information Administration (NTIA), allocated 90 megahertz of spectrum in the 1710-1755 MHz and 2110-2155 MHz (AWS-1) bands that can be used to offer advanced wireless services, including mobile broadband services.</w:t>
      </w:r>
      <w:r w:rsidRPr="00C81B24">
        <w:rPr>
          <w:szCs w:val="22"/>
          <w:vertAlign w:val="superscript"/>
        </w:rPr>
        <w:footnoteReference w:id="1295"/>
      </w:r>
      <w:r w:rsidRPr="00C81B24">
        <w:rPr>
          <w:szCs w:val="22"/>
        </w:rPr>
        <w:t xml:space="preserve">   </w:t>
      </w:r>
    </w:p>
    <w:p w:rsidR="00C81B24" w:rsidRPr="00C81B24" w:rsidRDefault="00C81B24" w:rsidP="00CE5850">
      <w:pPr>
        <w:spacing w:after="120"/>
        <w:ind w:left="720"/>
        <w:jc w:val="center"/>
        <w:rPr>
          <w:szCs w:val="22"/>
        </w:rPr>
      </w:pPr>
      <w:r>
        <w:rPr>
          <w:noProof/>
          <w:szCs w:val="22"/>
        </w:rPr>
        <w:drawing>
          <wp:inline distT="0" distB="0" distL="0" distR="0" wp14:anchorId="5FC9D5D0" wp14:editId="5D1C6786">
            <wp:extent cx="5553075" cy="1733550"/>
            <wp:effectExtent l="0" t="0" r="9525" b="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5553075" cy="1733550"/>
                    </a:xfrm>
                    <a:prstGeom prst="rect">
                      <a:avLst/>
                    </a:prstGeom>
                    <a:noFill/>
                    <a:ln>
                      <a:noFill/>
                    </a:ln>
                  </pic:spPr>
                </pic:pic>
              </a:graphicData>
            </a:graphic>
          </wp:inline>
        </w:drawing>
      </w:r>
    </w:p>
    <w:p w:rsidR="00C81B24" w:rsidRPr="00C81B24" w:rsidRDefault="00C81B24" w:rsidP="00CE5850">
      <w:pPr>
        <w:spacing w:after="120"/>
        <w:ind w:left="720"/>
        <w:rPr>
          <w:szCs w:val="22"/>
        </w:rPr>
      </w:pPr>
    </w:p>
    <w:p w:rsidR="00C81B24" w:rsidRPr="00C81B24" w:rsidRDefault="00C81B24" w:rsidP="00CE5850">
      <w:pPr>
        <w:numPr>
          <w:ilvl w:val="0"/>
          <w:numId w:val="48"/>
        </w:numPr>
        <w:spacing w:after="120"/>
        <w:rPr>
          <w:szCs w:val="22"/>
        </w:rPr>
      </w:pPr>
      <w:r w:rsidRPr="00C81B24">
        <w:rPr>
          <w:szCs w:val="22"/>
        </w:rPr>
        <w:t>Subsequently, the Commission completed the process of establishing service rules for the 1710-1755 MHz and 2110-2155 MHz bands.  The Commission determined that this spectrum could be used for any wireless service that is consistent with the spectrum’s fixed and mobile allocations and would be licensed under the Commission’s flexible, market-oriented Part 27 rules,</w:t>
      </w:r>
      <w:r w:rsidRPr="00C81B24">
        <w:rPr>
          <w:szCs w:val="22"/>
          <w:vertAlign w:val="superscript"/>
        </w:rPr>
        <w:footnoteReference w:id="1296"/>
      </w:r>
      <w:r w:rsidRPr="00C81B24">
        <w:rPr>
          <w:szCs w:val="22"/>
        </w:rPr>
        <w:t xml:space="preserve"> and also a band plan that provided for a significant amount of the spectrum to be licensed on a small geographic basis to encourage the participation of small and rural providers in the AWS auction.</w:t>
      </w:r>
      <w:r w:rsidRPr="00C81B24">
        <w:rPr>
          <w:szCs w:val="22"/>
          <w:vertAlign w:val="superscript"/>
        </w:rPr>
        <w:footnoteReference w:id="1297"/>
      </w:r>
      <w:r w:rsidRPr="00C81B24">
        <w:rPr>
          <w:szCs w:val="22"/>
        </w:rPr>
        <w:t xml:space="preserve">  </w:t>
      </w:r>
    </w:p>
    <w:p w:rsidR="00C81B24" w:rsidRPr="00C81B24" w:rsidRDefault="00C81B24" w:rsidP="00CE5850">
      <w:pPr>
        <w:numPr>
          <w:ilvl w:val="0"/>
          <w:numId w:val="48"/>
        </w:numPr>
        <w:spacing w:after="120"/>
        <w:rPr>
          <w:szCs w:val="22"/>
        </w:rPr>
      </w:pPr>
      <w:r w:rsidRPr="00C81B24">
        <w:rPr>
          <w:szCs w:val="22"/>
        </w:rPr>
        <w:t>The Commission held Auction 66 in 2006.</w:t>
      </w:r>
      <w:r w:rsidRPr="00C81B24">
        <w:rPr>
          <w:szCs w:val="22"/>
          <w:vertAlign w:val="superscript"/>
        </w:rPr>
        <w:footnoteReference w:id="1298"/>
      </w:r>
      <w:r w:rsidRPr="00C81B24">
        <w:rPr>
          <w:szCs w:val="22"/>
        </w:rPr>
        <w:t xml:space="preserve">  Of the 1,122 licenses offered, 104 winning bidders won 1,087 licenses, with net bids of more than $13.7 billion,</w:t>
      </w:r>
      <w:r w:rsidRPr="00C81B24">
        <w:rPr>
          <w:szCs w:val="22"/>
          <w:vertAlign w:val="superscript"/>
        </w:rPr>
        <w:footnoteReference w:id="1299"/>
      </w:r>
      <w:r w:rsidRPr="00C81B24">
        <w:rPr>
          <w:szCs w:val="22"/>
        </w:rPr>
        <w:t xml:space="preserve"> and all 1,087 licenses were awarded in 2007.  In August 2008 the Commission’s Auction 78 included the 35 AWS-1 licenses for which no winning bids were submitted in Auction 66.</w:t>
      </w:r>
      <w:r w:rsidRPr="00C81B24">
        <w:rPr>
          <w:szCs w:val="22"/>
          <w:vertAlign w:val="superscript"/>
        </w:rPr>
        <w:footnoteReference w:id="1300"/>
      </w:r>
      <w:r w:rsidRPr="00C81B24">
        <w:rPr>
          <w:szCs w:val="22"/>
        </w:rPr>
        <w:t xml:space="preserve">  Winning bids were submitted for all 35 AWS-1 licenses, with net winning bids for those licenses of $13,372,850.</w:t>
      </w:r>
      <w:r w:rsidRPr="00C81B24">
        <w:rPr>
          <w:szCs w:val="22"/>
          <w:vertAlign w:val="superscript"/>
        </w:rPr>
        <w:footnoteReference w:id="1301"/>
      </w:r>
      <w:r w:rsidRPr="00C81B24">
        <w:rPr>
          <w:szCs w:val="22"/>
        </w:rPr>
        <w:t xml:space="preserve">  As of early November 2010, the Commission has granted licenses to 9 out of 14 AWS applicants.</w:t>
      </w:r>
    </w:p>
    <w:p w:rsidR="00C81B24" w:rsidRPr="00C81B24" w:rsidRDefault="00C81B24" w:rsidP="00CE5850">
      <w:pPr>
        <w:numPr>
          <w:ilvl w:val="0"/>
          <w:numId w:val="48"/>
        </w:numPr>
        <w:spacing w:after="120"/>
        <w:rPr>
          <w:szCs w:val="22"/>
        </w:rPr>
      </w:pPr>
      <w:r w:rsidRPr="00C81B24">
        <w:rPr>
          <w:szCs w:val="22"/>
        </w:rPr>
        <w:t>The Commission also has taken steps toward licensing other bands of spectrum for use by AWS.  In 2004, the Commission allocated an additional 20 megahertz of spectrum in the 1915-1920 MHz, 1995-2000 MHz, 2020-2025 MHz and 2175-2180 MHz bands (“AWS-2”)</w:t>
      </w:r>
      <w:r w:rsidRPr="00C81B24">
        <w:rPr>
          <w:szCs w:val="22"/>
          <w:vertAlign w:val="superscript"/>
        </w:rPr>
        <w:footnoteReference w:id="1302"/>
      </w:r>
      <w:r w:rsidRPr="00C81B24">
        <w:rPr>
          <w:szCs w:val="22"/>
        </w:rPr>
        <w:t xml:space="preserve"> and sought comment on appropriate service rules for these bands.</w:t>
      </w:r>
      <w:r w:rsidRPr="00C81B24">
        <w:rPr>
          <w:szCs w:val="22"/>
          <w:vertAlign w:val="superscript"/>
        </w:rPr>
        <w:footnoteReference w:id="1303"/>
      </w:r>
    </w:p>
    <w:p w:rsidR="00C81B24" w:rsidRPr="00C81B24" w:rsidRDefault="00C81B24" w:rsidP="00CE5850">
      <w:pPr>
        <w:numPr>
          <w:ilvl w:val="0"/>
          <w:numId w:val="48"/>
        </w:numPr>
        <w:spacing w:after="120"/>
        <w:rPr>
          <w:szCs w:val="22"/>
        </w:rPr>
      </w:pPr>
      <w:r w:rsidRPr="00C81B24">
        <w:rPr>
          <w:szCs w:val="22"/>
        </w:rPr>
        <w:t>In 2005, the Commission designated  another 20 megahertz of spectrum for AWS, specifically the 2155-2175 MHz band (“AWS-3”).</w:t>
      </w:r>
      <w:r w:rsidRPr="00C81B24">
        <w:rPr>
          <w:szCs w:val="22"/>
          <w:vertAlign w:val="superscript"/>
        </w:rPr>
        <w:footnoteReference w:id="1304"/>
      </w:r>
      <w:r w:rsidRPr="00C81B24">
        <w:rPr>
          <w:szCs w:val="22"/>
          <w:vertAlign w:val="superscript"/>
        </w:rPr>
        <w:t xml:space="preserve"> </w:t>
      </w:r>
      <w:r w:rsidRPr="00C81B24">
        <w:rPr>
          <w:szCs w:val="22"/>
        </w:rPr>
        <w:t xml:space="preserve"> On September 19, 2007, the Commission sought comment on service rules for the AWS-3 spectrum.</w:t>
      </w:r>
      <w:r w:rsidRPr="00C81B24">
        <w:rPr>
          <w:szCs w:val="22"/>
          <w:vertAlign w:val="superscript"/>
        </w:rPr>
        <w:footnoteReference w:id="1305"/>
      </w:r>
      <w:r w:rsidRPr="00C81B24">
        <w:rPr>
          <w:szCs w:val="22"/>
        </w:rPr>
        <w:t xml:space="preserve">  On June 20, 2008, the Commission issued a Further Notice of Proposed Rulemaking (FNPRM), among other things proposing service rules that would apply to the 2155-2180 MHz band.</w:t>
      </w:r>
      <w:r w:rsidRPr="00C81B24">
        <w:rPr>
          <w:szCs w:val="22"/>
          <w:vertAlign w:val="superscript"/>
        </w:rPr>
        <w:footnoteReference w:id="1306"/>
      </w:r>
      <w:r w:rsidRPr="00C81B24">
        <w:rPr>
          <w:szCs w:val="22"/>
        </w:rPr>
        <w:t xml:space="preserve">  </w:t>
      </w:r>
    </w:p>
    <w:p w:rsidR="00C81B24" w:rsidRPr="00C81B24" w:rsidRDefault="00C81B24" w:rsidP="00CE5850">
      <w:pPr>
        <w:numPr>
          <w:ilvl w:val="0"/>
          <w:numId w:val="48"/>
        </w:numPr>
        <w:spacing w:after="120"/>
        <w:rPr>
          <w:szCs w:val="22"/>
        </w:rPr>
      </w:pPr>
      <w:r w:rsidRPr="00C81B24">
        <w:rPr>
          <w:szCs w:val="22"/>
        </w:rPr>
        <w:t>The Spectrum Act requires the Commission, within three years of enactment, to allocate certain spectrum for commercial use and to assign new initial licenses for its use subject to flexible use service rules.</w:t>
      </w:r>
      <w:r w:rsidRPr="00C81B24">
        <w:rPr>
          <w:szCs w:val="22"/>
          <w:vertAlign w:val="superscript"/>
        </w:rPr>
        <w:footnoteReference w:id="1307"/>
      </w:r>
      <w:r w:rsidRPr="00C81B24">
        <w:rPr>
          <w:szCs w:val="22"/>
          <w:vertAlign w:val="superscript"/>
        </w:rPr>
        <w:t xml:space="preserve"> </w:t>
      </w:r>
      <w:r w:rsidRPr="00C81B24">
        <w:rPr>
          <w:szCs w:val="22"/>
        </w:rPr>
        <w:t xml:space="preserve"> The spectrum subject to this requirement includes the frequencies between 1915-1920 MHz, 1995-2000 MHz, and 2155-2180 MHz, as well as an additional 15 megahertz between 1675-1710 MHz to be identified by NTIA, and another 15 megahertz of contiguous spectrum to be identified by the Commission.  The Commission cannot allocate or auction the spectrum at 1915-1920 MHz or 1995-2000 MHz if it finds there would be harmful interference to commercial mobile service licensees in the frequencies between 1930-1995 MHz.</w:t>
      </w:r>
      <w:r w:rsidRPr="00C81B24">
        <w:rPr>
          <w:szCs w:val="22"/>
          <w:vertAlign w:val="superscript"/>
        </w:rPr>
        <w:footnoteReference w:id="1308"/>
      </w:r>
    </w:p>
    <w:p w:rsidR="00C81B24" w:rsidRPr="00C81B24" w:rsidRDefault="00C81B24" w:rsidP="00CE5850">
      <w:pPr>
        <w:numPr>
          <w:ilvl w:val="0"/>
          <w:numId w:val="48"/>
        </w:numPr>
        <w:spacing w:after="120"/>
        <w:rPr>
          <w:szCs w:val="22"/>
        </w:rPr>
      </w:pPr>
      <w:r w:rsidRPr="00C81B24">
        <w:rPr>
          <w:szCs w:val="22"/>
        </w:rPr>
        <w:t>The Commission has proposed to make spectrum currently authorized for the provision of mobile satellite service (MSS), available for the provision of terrestrial mobile broadband, including the 2 GHz MSS band ( 2000-2020 MHz and 2180-2200 MHz).  In 2011, the Commission added co-primary Fixed and Mobile allocations to this spectrum, consistent with the International Table of Allocations.</w:t>
      </w:r>
      <w:r w:rsidRPr="00C81B24">
        <w:rPr>
          <w:szCs w:val="22"/>
          <w:vertAlign w:val="superscript"/>
        </w:rPr>
        <w:footnoteReference w:id="1309"/>
      </w:r>
      <w:r w:rsidRPr="00C81B24">
        <w:rPr>
          <w:szCs w:val="22"/>
        </w:rPr>
        <w:t xml:space="preserve">  In March 2012, the Commission proposed rules that would enable the provision of stand-alone terrestrial mobile broadband service in these frequencies, which it termed the “AWS-4” band and sought comment on a number of related issues.</w:t>
      </w:r>
      <w:r w:rsidRPr="00C81B24">
        <w:rPr>
          <w:szCs w:val="22"/>
          <w:vertAlign w:val="superscript"/>
        </w:rPr>
        <w:footnoteReference w:id="1310"/>
      </w:r>
      <w:r w:rsidRPr="00C81B24">
        <w:rPr>
          <w:szCs w:val="22"/>
        </w:rPr>
        <w:t xml:space="preserve">  On December 12, 2012, the Commission adopted the AWS-4 Report and Order that established terrestrial service, technical, and licensing rules that generally follow the Commission’s Part 27 flexible use rules, modified as necessary to account for issues unique to the AWS-4 bands</w:t>
      </w:r>
      <w:r w:rsidRPr="00C81B24">
        <w:rPr>
          <w:szCs w:val="22"/>
          <w:vertAlign w:val="superscript"/>
        </w:rPr>
        <w:footnoteReference w:id="1311"/>
      </w:r>
    </w:p>
    <w:p w:rsidR="00C81B24" w:rsidRPr="00C81B24" w:rsidRDefault="00C81B24" w:rsidP="00CE5850">
      <w:pPr>
        <w:numPr>
          <w:ilvl w:val="1"/>
          <w:numId w:val="26"/>
        </w:numPr>
        <w:spacing w:after="120"/>
        <w:outlineLvl w:val="1"/>
        <w:rPr>
          <w:b/>
          <w:szCs w:val="22"/>
        </w:rPr>
      </w:pPr>
      <w:bookmarkStart w:id="6590" w:name="_Toc209948465"/>
      <w:bookmarkStart w:id="6591" w:name="_Toc209948574"/>
      <w:bookmarkStart w:id="6592" w:name="_Toc209950016"/>
      <w:bookmarkStart w:id="6593" w:name="_Toc210211472"/>
      <w:bookmarkStart w:id="6594" w:name="_Toc210213039"/>
      <w:bookmarkStart w:id="6595" w:name="_Toc210213178"/>
      <w:bookmarkStart w:id="6596" w:name="_Toc210213739"/>
      <w:bookmarkStart w:id="6597" w:name="_Toc212967964"/>
      <w:bookmarkStart w:id="6598" w:name="_Toc215316366"/>
      <w:bookmarkStart w:id="6599" w:name="_Toc215384620"/>
      <w:bookmarkStart w:id="6600" w:name="_Toc217810486"/>
      <w:bookmarkStart w:id="6601" w:name="_Toc251320794"/>
      <w:bookmarkStart w:id="6602" w:name="_Toc251336898"/>
      <w:bookmarkStart w:id="6603" w:name="_Toc252283944"/>
      <w:bookmarkStart w:id="6604" w:name="_Toc252806261"/>
      <w:bookmarkStart w:id="6605" w:name="_Toc255568340"/>
      <w:bookmarkStart w:id="6606" w:name="_Toc255571823"/>
      <w:bookmarkStart w:id="6607" w:name="_Toc271288538"/>
      <w:bookmarkStart w:id="6608" w:name="_Toc275518057"/>
      <w:bookmarkStart w:id="6609" w:name="_Toc275952497"/>
      <w:bookmarkStart w:id="6610" w:name="_Toc276121929"/>
      <w:bookmarkStart w:id="6611" w:name="_Toc276480765"/>
      <w:bookmarkStart w:id="6612" w:name="_Toc276741843"/>
      <w:bookmarkStart w:id="6613" w:name="_Toc277171607"/>
      <w:bookmarkStart w:id="6614" w:name="_Toc277864584"/>
      <w:bookmarkStart w:id="6615" w:name="_Toc277864800"/>
      <w:bookmarkStart w:id="6616" w:name="_Toc337652052"/>
      <w:r w:rsidRPr="00C81B24">
        <w:rPr>
          <w:b/>
          <w:szCs w:val="22"/>
        </w:rPr>
        <w:t>Broadband Radio Service</w:t>
      </w:r>
      <w:bookmarkEnd w:id="6546"/>
      <w:bookmarkEnd w:id="6547"/>
      <w:bookmarkEnd w:id="6548"/>
      <w:bookmarkEnd w:id="6549"/>
      <w:bookmarkEnd w:id="6550"/>
      <w:bookmarkEnd w:id="6551"/>
      <w:bookmarkEnd w:id="6552"/>
      <w:bookmarkEnd w:id="6553"/>
      <w:bookmarkEnd w:id="6554"/>
      <w:bookmarkEnd w:id="6555"/>
      <w:bookmarkEnd w:id="6556"/>
      <w:bookmarkEnd w:id="6557"/>
      <w:bookmarkEnd w:id="6558"/>
      <w:bookmarkEnd w:id="6559"/>
      <w:bookmarkEnd w:id="6560"/>
      <w:bookmarkEnd w:id="6561"/>
      <w:bookmarkEnd w:id="6562"/>
      <w:bookmarkEnd w:id="6563"/>
      <w:bookmarkEnd w:id="6564"/>
      <w:bookmarkEnd w:id="6565"/>
      <w:bookmarkEnd w:id="6566"/>
      <w:bookmarkEnd w:id="6567"/>
      <w:bookmarkEnd w:id="6568"/>
      <w:bookmarkEnd w:id="6569"/>
      <w:bookmarkEnd w:id="6570"/>
      <w:bookmarkEnd w:id="6571"/>
      <w:bookmarkEnd w:id="6572"/>
      <w:bookmarkEnd w:id="6573"/>
      <w:bookmarkEnd w:id="6574"/>
      <w:bookmarkEnd w:id="6575"/>
      <w:bookmarkEnd w:id="6576"/>
      <w:bookmarkEnd w:id="6577"/>
      <w:bookmarkEnd w:id="6578"/>
      <w:bookmarkEnd w:id="6579"/>
      <w:bookmarkEnd w:id="6580"/>
      <w:bookmarkEnd w:id="6581"/>
      <w:bookmarkEnd w:id="6582"/>
      <w:bookmarkEnd w:id="6583"/>
      <w:bookmarkEnd w:id="6584"/>
      <w:bookmarkEnd w:id="6585"/>
      <w:bookmarkEnd w:id="6586"/>
      <w:bookmarkEnd w:id="6587"/>
      <w:bookmarkEnd w:id="6588"/>
      <w:bookmarkEnd w:id="6589"/>
      <w:bookmarkEnd w:id="6590"/>
      <w:bookmarkEnd w:id="6591"/>
      <w:bookmarkEnd w:id="6592"/>
      <w:bookmarkEnd w:id="6593"/>
      <w:bookmarkEnd w:id="6594"/>
      <w:bookmarkEnd w:id="6595"/>
      <w:bookmarkEnd w:id="6596"/>
      <w:bookmarkEnd w:id="6597"/>
      <w:bookmarkEnd w:id="6598"/>
      <w:bookmarkEnd w:id="6599"/>
      <w:bookmarkEnd w:id="6600"/>
      <w:bookmarkEnd w:id="6601"/>
      <w:bookmarkEnd w:id="6602"/>
      <w:bookmarkEnd w:id="6603"/>
      <w:bookmarkEnd w:id="6604"/>
      <w:bookmarkEnd w:id="6605"/>
      <w:bookmarkEnd w:id="6606"/>
      <w:bookmarkEnd w:id="6607"/>
      <w:bookmarkEnd w:id="6608"/>
      <w:bookmarkEnd w:id="6609"/>
      <w:bookmarkEnd w:id="6610"/>
      <w:bookmarkEnd w:id="6611"/>
      <w:bookmarkEnd w:id="6612"/>
      <w:bookmarkEnd w:id="6613"/>
      <w:bookmarkEnd w:id="6614"/>
      <w:bookmarkEnd w:id="6615"/>
      <w:r w:rsidRPr="00C81B24">
        <w:rPr>
          <w:b/>
          <w:szCs w:val="22"/>
        </w:rPr>
        <w:t xml:space="preserve"> and Educational Broadband Service</w:t>
      </w:r>
      <w:bookmarkEnd w:id="6616"/>
      <w:r w:rsidRPr="00C81B24">
        <w:rPr>
          <w:b/>
          <w:szCs w:val="22"/>
        </w:rPr>
        <w:t xml:space="preserve"> </w:t>
      </w:r>
      <w:bookmarkStart w:id="6617" w:name="_Toc183244838"/>
      <w:bookmarkStart w:id="6618" w:name="_Toc183244956"/>
      <w:bookmarkStart w:id="6619" w:name="_Toc183245614"/>
      <w:bookmarkStart w:id="6620" w:name="_Toc183246189"/>
      <w:bookmarkEnd w:id="6617"/>
      <w:bookmarkEnd w:id="6618"/>
      <w:bookmarkEnd w:id="6619"/>
      <w:bookmarkEnd w:id="6620"/>
    </w:p>
    <w:p w:rsidR="00C81B24" w:rsidRPr="00C81B24" w:rsidRDefault="00C81B24" w:rsidP="00CE5850">
      <w:pPr>
        <w:numPr>
          <w:ilvl w:val="0"/>
          <w:numId w:val="48"/>
        </w:numPr>
        <w:spacing w:after="120"/>
        <w:rPr>
          <w:szCs w:val="22"/>
        </w:rPr>
      </w:pPr>
      <w:bookmarkStart w:id="6621" w:name="_Toc175387826"/>
      <w:bookmarkStart w:id="6622" w:name="_Toc176254430"/>
      <w:bookmarkStart w:id="6623" w:name="_Toc176254719"/>
      <w:bookmarkStart w:id="6624" w:name="_Toc176254830"/>
      <w:bookmarkStart w:id="6625" w:name="_Toc176762465"/>
      <w:bookmarkStart w:id="6626" w:name="_Toc176843486"/>
      <w:bookmarkStart w:id="6627" w:name="_Toc176853290"/>
      <w:bookmarkStart w:id="6628" w:name="_Toc176853399"/>
      <w:bookmarkStart w:id="6629" w:name="_Toc176857448"/>
      <w:bookmarkStart w:id="6630" w:name="_Toc179108375"/>
      <w:bookmarkStart w:id="6631" w:name="_Toc179357634"/>
      <w:bookmarkStart w:id="6632" w:name="_Toc181781117"/>
      <w:bookmarkStart w:id="6633" w:name="_Toc182218703"/>
      <w:bookmarkStart w:id="6634" w:name="_Toc182909138"/>
      <w:bookmarkStart w:id="6635" w:name="_Toc182909568"/>
      <w:bookmarkStart w:id="6636" w:name="_Toc182987218"/>
      <w:bookmarkStart w:id="6637" w:name="_Toc183244053"/>
      <w:bookmarkStart w:id="6638" w:name="_Toc183244431"/>
      <w:bookmarkStart w:id="6639" w:name="_Toc183244839"/>
      <w:bookmarkStart w:id="6640" w:name="_Toc183244957"/>
      <w:bookmarkStart w:id="6641" w:name="_Toc183245615"/>
      <w:bookmarkStart w:id="6642" w:name="_Toc183246190"/>
      <w:bookmarkStart w:id="6643" w:name="_Toc185667902"/>
      <w:bookmarkStart w:id="6644" w:name="_Toc185838959"/>
      <w:bookmarkStart w:id="6645" w:name="_Toc185846931"/>
      <w:bookmarkStart w:id="6646" w:name="_Toc185848537"/>
      <w:bookmarkStart w:id="6647" w:name="_Toc188946895"/>
      <w:bookmarkStart w:id="6648" w:name="_Toc189302799"/>
      <w:bookmarkStart w:id="6649" w:name="_Toc209948466"/>
      <w:bookmarkStart w:id="6650" w:name="_Toc209948575"/>
      <w:bookmarkStart w:id="6651" w:name="_Toc209950017"/>
      <w:bookmarkStart w:id="6652" w:name="_Toc210211473"/>
      <w:bookmarkStart w:id="6653" w:name="_Toc210213040"/>
      <w:bookmarkStart w:id="6654" w:name="_Toc210213179"/>
      <w:bookmarkStart w:id="6655" w:name="_Toc210213740"/>
      <w:bookmarkStart w:id="6656" w:name="_Toc212967965"/>
      <w:bookmarkStart w:id="6657" w:name="_Toc83547795"/>
      <w:bookmarkStart w:id="6658" w:name="_Toc112139220"/>
      <w:bookmarkStart w:id="6659" w:name="_Toc113257827"/>
      <w:bookmarkStart w:id="6660" w:name="_Toc113258024"/>
      <w:bookmarkStart w:id="6661" w:name="_Toc113258292"/>
      <w:bookmarkStart w:id="6662" w:name="_Toc113258618"/>
      <w:bookmarkStart w:id="6663" w:name="_Toc113272207"/>
      <w:bookmarkStart w:id="6664" w:name="_Toc115580892"/>
      <w:bookmarkStart w:id="6665" w:name="_Toc136318295"/>
      <w:bookmarkStart w:id="6666" w:name="_Toc136318644"/>
      <w:bookmarkStart w:id="6667" w:name="_Toc136318811"/>
      <w:bookmarkStart w:id="6668" w:name="_Toc138475787"/>
      <w:bookmarkStart w:id="6669" w:name="_Toc146684516"/>
      <w:bookmarkStart w:id="6670" w:name="_Toc147046274"/>
      <w:bookmarkStart w:id="6671" w:name="_Toc171415231"/>
      <w:bookmarkStart w:id="6672" w:name="_Toc173642119"/>
      <w:bookmarkStart w:id="6673" w:name="_Toc173813657"/>
      <w:r w:rsidRPr="00C81B24">
        <w:rPr>
          <w:szCs w:val="22"/>
        </w:rPr>
        <w:t>In 2004, the Commission transformed the 2496-2690 MHz band by providing licensees with greater flexibility and establishing a more functional band plan.</w:t>
      </w:r>
      <w:r w:rsidRPr="00C81B24">
        <w:rPr>
          <w:szCs w:val="22"/>
          <w:vertAlign w:val="superscript"/>
        </w:rPr>
        <w:footnoteReference w:id="1312"/>
      </w:r>
      <w:r w:rsidRPr="00C81B24">
        <w:rPr>
          <w:szCs w:val="22"/>
          <w:vertAlign w:val="superscript"/>
        </w:rPr>
        <w:t xml:space="preserve">   </w:t>
      </w:r>
      <w:r w:rsidRPr="00C81B24">
        <w:rPr>
          <w:szCs w:val="22"/>
        </w:rPr>
        <w:t>The Commission has taken several steps to restructure the BRS/EBS band and facilitate more efficient use of the spectrum.  First, the Commission created a new BRS/EBS band plan for the 2496-2690 MHz band that eliminated the use of interleaved channels and created distinct band segments for high power operations, such as one-way video transmission, and low power operations, such as two-way fixed and mobile broadband applications.  By grouping high and low power users into separate portions of the band, the new band plan reduced the likelihood of interference caused by incompatible uses.  The new band plan also created incentives for the development of low-power, cellularized broadband operations, which were inhibited by the prior band plan.</w:t>
      </w:r>
    </w:p>
    <w:p w:rsidR="00C81B24" w:rsidRPr="00C81B24" w:rsidRDefault="00C81B24" w:rsidP="00CE5850">
      <w:pPr>
        <w:numPr>
          <w:ilvl w:val="0"/>
          <w:numId w:val="48"/>
        </w:numPr>
        <w:spacing w:after="120"/>
        <w:rPr>
          <w:szCs w:val="22"/>
        </w:rPr>
      </w:pPr>
      <w:r w:rsidRPr="00C81B24">
        <w:rPr>
          <w:szCs w:val="22"/>
        </w:rPr>
        <w:t>In addition, the Commission provided licensees with the flexibility to employ the technologies of their choice in the band and to lease spectrum under the Commission’s secondary market spectrum leasing policies and procedures.  The Commission also implemented geographic area licensing for all licensees in the band, which allow increased flexibility while reducing administrative burdens on both licensees and the Commission.</w:t>
      </w:r>
    </w:p>
    <w:p w:rsidR="00C81B24" w:rsidRPr="00C81B24" w:rsidRDefault="00C81B24" w:rsidP="00CE5850">
      <w:pPr>
        <w:numPr>
          <w:ilvl w:val="0"/>
          <w:numId w:val="48"/>
        </w:numPr>
        <w:spacing w:after="120"/>
        <w:rPr>
          <w:szCs w:val="22"/>
        </w:rPr>
      </w:pPr>
      <w:r w:rsidRPr="00C81B24">
        <w:rPr>
          <w:szCs w:val="22"/>
        </w:rPr>
        <w:t>In April 2006, the Commission continued its transformation of the rules governing BRS and EBS by revising the mechanism for transition from the existing band configuration to the new band plan.</w:t>
      </w:r>
      <w:r w:rsidRPr="00C81B24">
        <w:rPr>
          <w:szCs w:val="22"/>
          <w:vertAlign w:val="superscript"/>
        </w:rPr>
        <w:footnoteReference w:id="1313"/>
      </w:r>
      <w:r w:rsidRPr="00C81B24">
        <w:rPr>
          <w:szCs w:val="22"/>
        </w:rPr>
        <w:t xml:space="preserve">  BRS and EBS licensees have largely completed the process of transitioning the 2.5 GHz band to the new band plan.  As of June 20, 2012, the transition had been completed in 485 of the 493 BTAs.</w:t>
      </w:r>
      <w:r w:rsidRPr="00C81B24">
        <w:rPr>
          <w:szCs w:val="22"/>
          <w:vertAlign w:val="superscript"/>
        </w:rPr>
        <w:footnoteReference w:id="1314"/>
      </w:r>
      <w:r w:rsidRPr="00C81B24">
        <w:rPr>
          <w:szCs w:val="22"/>
        </w:rPr>
        <w:t xml:space="preserve">  In the remaining BTAs, virtually all other licensees are subject to a pending transition plan or have filed self-transition plans.</w:t>
      </w:r>
    </w:p>
    <w:p w:rsidR="00C81B24" w:rsidRPr="00C81B24" w:rsidRDefault="00C81B24" w:rsidP="00CE5850">
      <w:pPr>
        <w:numPr>
          <w:ilvl w:val="0"/>
          <w:numId w:val="48"/>
        </w:numPr>
        <w:spacing w:after="120"/>
        <w:rPr>
          <w:szCs w:val="22"/>
        </w:rPr>
      </w:pPr>
      <w:r w:rsidRPr="00C81B24">
        <w:rPr>
          <w:szCs w:val="22"/>
        </w:rPr>
        <w:t>The Commission has continued to revise the rules relating to the 2.5 GHz band in 2008 and 2009 by clarifying its policies concerning leasing of EBS stations, setting forth auction rules for unassigned BRS spectrum, seeking further comment on how to license the available and unassigned “white spaces” in the EBS spectrum band, and issuing a Declaratory Ruling clarifying the “splitting-the-football” methodology that licensees should use to divide overlapping geographic service areas for licenses that expired and are later reinstated.</w:t>
      </w:r>
      <w:r w:rsidRPr="00C81B24">
        <w:rPr>
          <w:szCs w:val="22"/>
          <w:vertAlign w:val="superscript"/>
        </w:rPr>
        <w:footnoteReference w:id="1315"/>
      </w:r>
      <w:r w:rsidRPr="00C81B24">
        <w:rPr>
          <w:szCs w:val="22"/>
        </w:rPr>
        <w:t xml:space="preserve">  In 2010, the Commission gave new BRS licensees four years from the date of initial license grant to demonstrate substantial service.</w:t>
      </w:r>
      <w:r w:rsidRPr="00C81B24">
        <w:rPr>
          <w:szCs w:val="22"/>
          <w:vertAlign w:val="superscript"/>
        </w:rPr>
        <w:footnoteReference w:id="1316"/>
      </w:r>
      <w:r w:rsidRPr="00C81B24">
        <w:rPr>
          <w:szCs w:val="22"/>
        </w:rPr>
        <w:t xml:space="preserve">  The Commission held Auction 86, the auction of available BRS licenses, in the fourth quarter of 2009.</w:t>
      </w:r>
      <w:r w:rsidRPr="00C81B24">
        <w:rPr>
          <w:szCs w:val="22"/>
          <w:vertAlign w:val="superscript"/>
        </w:rPr>
        <w:footnoteReference w:id="1317"/>
      </w:r>
      <w:r w:rsidRPr="00C81B24">
        <w:rPr>
          <w:szCs w:val="22"/>
        </w:rPr>
        <w:t xml:space="preserve">  Of the 78 licenses offered in Auction 86, ten winning bidders won 61 licenses, with net bids of $19,426,600.</w:t>
      </w:r>
      <w:r w:rsidRPr="00C81B24">
        <w:rPr>
          <w:szCs w:val="22"/>
          <w:vertAlign w:val="superscript"/>
        </w:rPr>
        <w:footnoteReference w:id="1318"/>
      </w:r>
    </w:p>
    <w:p w:rsidR="00C81B24" w:rsidRPr="00C81B24" w:rsidRDefault="00C81B24" w:rsidP="00CE5850">
      <w:pPr>
        <w:numPr>
          <w:ilvl w:val="0"/>
          <w:numId w:val="48"/>
        </w:numPr>
        <w:spacing w:after="120"/>
        <w:rPr>
          <w:szCs w:val="22"/>
        </w:rPr>
      </w:pPr>
      <w:r w:rsidRPr="00C81B24">
        <w:rPr>
          <w:szCs w:val="22"/>
        </w:rPr>
        <w:t>The changes made to the 2496-2690 MHz band are facilitating the deployment of mobile broadband networks by Clearwire.</w:t>
      </w:r>
      <w:r w:rsidRPr="00C81B24">
        <w:rPr>
          <w:szCs w:val="22"/>
          <w:vertAlign w:val="superscript"/>
        </w:rPr>
        <w:footnoteReference w:id="1319"/>
      </w:r>
      <w:r w:rsidRPr="00C81B24">
        <w:rPr>
          <w:szCs w:val="22"/>
        </w:rPr>
        <w:t xml:space="preserve">   Moreover, the changes to this band have enabled BRS/EBS providers to use this spectrum in a more technologically and economically efficient manner.</w:t>
      </w:r>
    </w:p>
    <w:p w:rsidR="00C81B24" w:rsidRPr="00C81B24" w:rsidRDefault="00C81B24" w:rsidP="00CE5850">
      <w:pPr>
        <w:spacing w:after="120"/>
        <w:ind w:left="720"/>
        <w:jc w:val="center"/>
        <w:rPr>
          <w:szCs w:val="22"/>
        </w:rPr>
      </w:pPr>
      <w:r>
        <w:rPr>
          <w:noProof/>
          <w:szCs w:val="22"/>
        </w:rPr>
        <w:drawing>
          <wp:inline distT="0" distB="0" distL="0" distR="0" wp14:anchorId="25BC6D27" wp14:editId="48B4331B">
            <wp:extent cx="5391150" cy="1285875"/>
            <wp:effectExtent l="0" t="0" r="0" b="0"/>
            <wp:docPr id="82"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5391150" cy="1285875"/>
                    </a:xfrm>
                    <a:prstGeom prst="rect">
                      <a:avLst/>
                    </a:prstGeom>
                    <a:noFill/>
                    <a:ln>
                      <a:noFill/>
                    </a:ln>
                  </pic:spPr>
                </pic:pic>
              </a:graphicData>
            </a:graphic>
          </wp:inline>
        </w:drawing>
      </w:r>
    </w:p>
    <w:p w:rsidR="00C81B24" w:rsidRPr="00C81B24" w:rsidRDefault="00C81B24" w:rsidP="00CE5850">
      <w:pPr>
        <w:spacing w:after="120"/>
        <w:rPr>
          <w:szCs w:val="22"/>
        </w:rPr>
      </w:pPr>
    </w:p>
    <w:p w:rsidR="00C81B24" w:rsidRPr="00C81B24" w:rsidRDefault="00C81B24" w:rsidP="00CE5850">
      <w:pPr>
        <w:numPr>
          <w:ilvl w:val="1"/>
          <w:numId w:val="26"/>
        </w:numPr>
        <w:spacing w:after="120"/>
        <w:outlineLvl w:val="1"/>
        <w:rPr>
          <w:b/>
          <w:szCs w:val="22"/>
        </w:rPr>
      </w:pPr>
      <w:bookmarkStart w:id="6674" w:name="_Toc215316367"/>
      <w:bookmarkStart w:id="6675" w:name="_Toc215384621"/>
      <w:bookmarkStart w:id="6676" w:name="_Toc217810487"/>
      <w:bookmarkStart w:id="6677" w:name="_Toc251320795"/>
      <w:bookmarkStart w:id="6678" w:name="_Toc251336899"/>
      <w:bookmarkStart w:id="6679" w:name="_Toc252283945"/>
      <w:bookmarkStart w:id="6680" w:name="_Toc252806262"/>
      <w:bookmarkStart w:id="6681" w:name="_Toc255568341"/>
      <w:bookmarkStart w:id="6682" w:name="_Toc255571824"/>
      <w:bookmarkStart w:id="6683" w:name="_Toc271288539"/>
      <w:bookmarkStart w:id="6684" w:name="_Toc275518058"/>
      <w:bookmarkStart w:id="6685" w:name="_Toc275952498"/>
      <w:bookmarkStart w:id="6686" w:name="_Toc276121930"/>
      <w:bookmarkStart w:id="6687" w:name="_Toc276480766"/>
      <w:bookmarkStart w:id="6688" w:name="_Toc276741844"/>
      <w:bookmarkStart w:id="6689" w:name="_Toc277171608"/>
      <w:bookmarkStart w:id="6690" w:name="_Toc277864585"/>
      <w:bookmarkStart w:id="6691" w:name="_Toc277864801"/>
      <w:bookmarkStart w:id="6692" w:name="_Toc337652053"/>
      <w:r w:rsidRPr="00C81B24">
        <w:rPr>
          <w:b/>
          <w:szCs w:val="22"/>
        </w:rPr>
        <w:t>Wireless Communications Service (WCS)</w:t>
      </w:r>
      <w:bookmarkStart w:id="6693" w:name="_Toc183244840"/>
      <w:bookmarkStart w:id="6694" w:name="_Toc183244958"/>
      <w:bookmarkStart w:id="6695" w:name="_Toc183245616"/>
      <w:bookmarkStart w:id="6696" w:name="_Toc183246191"/>
      <w:bookmarkEnd w:id="6621"/>
      <w:bookmarkEnd w:id="6622"/>
      <w:bookmarkEnd w:id="6623"/>
      <w:bookmarkEnd w:id="6624"/>
      <w:bookmarkEnd w:id="6625"/>
      <w:bookmarkEnd w:id="6626"/>
      <w:bookmarkEnd w:id="6627"/>
      <w:bookmarkEnd w:id="6628"/>
      <w:bookmarkEnd w:id="6629"/>
      <w:bookmarkEnd w:id="6630"/>
      <w:bookmarkEnd w:id="6631"/>
      <w:bookmarkEnd w:id="6632"/>
      <w:bookmarkEnd w:id="6633"/>
      <w:bookmarkEnd w:id="6634"/>
      <w:bookmarkEnd w:id="6635"/>
      <w:bookmarkEnd w:id="6636"/>
      <w:bookmarkEnd w:id="6637"/>
      <w:bookmarkEnd w:id="6638"/>
      <w:bookmarkEnd w:id="6639"/>
      <w:bookmarkEnd w:id="6640"/>
      <w:bookmarkEnd w:id="6641"/>
      <w:bookmarkEnd w:id="6642"/>
      <w:bookmarkEnd w:id="6643"/>
      <w:bookmarkEnd w:id="6644"/>
      <w:bookmarkEnd w:id="6645"/>
      <w:bookmarkEnd w:id="6646"/>
      <w:bookmarkEnd w:id="6647"/>
      <w:bookmarkEnd w:id="6648"/>
      <w:bookmarkEnd w:id="6649"/>
      <w:bookmarkEnd w:id="6650"/>
      <w:bookmarkEnd w:id="6651"/>
      <w:bookmarkEnd w:id="6652"/>
      <w:bookmarkEnd w:id="6653"/>
      <w:bookmarkEnd w:id="6654"/>
      <w:bookmarkEnd w:id="6655"/>
      <w:bookmarkEnd w:id="6656"/>
      <w:bookmarkEnd w:id="6674"/>
      <w:bookmarkEnd w:id="6675"/>
      <w:bookmarkEnd w:id="6676"/>
      <w:bookmarkEnd w:id="6677"/>
      <w:bookmarkEnd w:id="6678"/>
      <w:bookmarkEnd w:id="6679"/>
      <w:bookmarkEnd w:id="6680"/>
      <w:bookmarkEnd w:id="6681"/>
      <w:bookmarkEnd w:id="6682"/>
      <w:bookmarkEnd w:id="6683"/>
      <w:bookmarkEnd w:id="6684"/>
      <w:bookmarkEnd w:id="6685"/>
      <w:bookmarkEnd w:id="6686"/>
      <w:bookmarkEnd w:id="6687"/>
      <w:bookmarkEnd w:id="6688"/>
      <w:bookmarkEnd w:id="6689"/>
      <w:bookmarkEnd w:id="6690"/>
      <w:bookmarkEnd w:id="6691"/>
      <w:bookmarkEnd w:id="6692"/>
      <w:bookmarkEnd w:id="6693"/>
      <w:bookmarkEnd w:id="6694"/>
      <w:bookmarkEnd w:id="6695"/>
      <w:bookmarkEnd w:id="6696"/>
    </w:p>
    <w:p w:rsidR="00C81B24" w:rsidRPr="00C81B24" w:rsidRDefault="00C81B24" w:rsidP="00CE5850">
      <w:pPr>
        <w:numPr>
          <w:ilvl w:val="0"/>
          <w:numId w:val="48"/>
        </w:numPr>
        <w:spacing w:after="120"/>
        <w:rPr>
          <w:szCs w:val="22"/>
        </w:rPr>
      </w:pPr>
      <w:r w:rsidRPr="00C81B24">
        <w:rPr>
          <w:szCs w:val="22"/>
        </w:rPr>
        <w:t>The Commission has licensed 30 megahertz of spectrum in the 2.3 GHz band, at 2305-2320 MHz and 2345-2360 MHz, for the Wireless Communications Service (WCS).  The WCS spectrum was auctioned in 1997 and licensed on a Major Economic Area (MEA) and Regional Economic Area Grouping (REAG) basis.</w:t>
      </w:r>
      <w:r w:rsidRPr="00C81B24">
        <w:rPr>
          <w:szCs w:val="22"/>
          <w:vertAlign w:val="superscript"/>
        </w:rPr>
        <w:footnoteReference w:id="1320"/>
      </w:r>
      <w:r w:rsidRPr="00C81B24">
        <w:rPr>
          <w:szCs w:val="22"/>
        </w:rPr>
        <w:t>   The WCS spectrum is adjacent to and separated by the spectrum band for the Satellite Digital Audio Radio Service (SDARS), which is used by Sirius XM Radio Inc. to provide satellite radio service.  While the service rules governing WCS allow for both fixed and mobile applications, the technical limits imposed to protect adjacent SDARS operations had not permitted the development of mobile equipment for the band.  In May 2010, the Commission adopted final rules for WCS that modified the technical parameters governing the operation of WCS mobile and portable devices in 25 megahertz of spectrum in the 2.3 GHz band.</w:t>
      </w:r>
      <w:r w:rsidRPr="00C81B24">
        <w:rPr>
          <w:szCs w:val="22"/>
          <w:vertAlign w:val="superscript"/>
        </w:rPr>
        <w:footnoteReference w:id="1321"/>
      </w:r>
      <w:r w:rsidRPr="00C81B24">
        <w:rPr>
          <w:szCs w:val="22"/>
        </w:rPr>
        <w:t xml:space="preserve">  The revised rules were intended to enable WCS licensees to offer mobile broadband services, while limiting the potential for harmful interference to incumbent Satellite Digital Audio Radio Service licensees operating in adjacent bands.</w:t>
      </w:r>
      <w:r w:rsidRPr="00C81B24">
        <w:rPr>
          <w:szCs w:val="22"/>
          <w:vertAlign w:val="superscript"/>
        </w:rPr>
        <w:footnoteReference w:id="1322"/>
      </w:r>
      <w:r w:rsidRPr="00C81B24">
        <w:rPr>
          <w:szCs w:val="22"/>
        </w:rPr>
        <w:t xml:space="preserve">  In 2012 the Commission issued an Order on Reconsideration making further modifications to the technical and operating rules to enable LTE mobile broadband deployment in 20 megahertz of long-dormant WCS spectrum.  In addition, it made an additional 10 megahertz of spectrum available for fixed broadband.  It also provides greater certainty to Sirius XM by requiring WCS licensees to work cooperatively if WCS base or fixed stations cause harmful interference (</w:t>
      </w:r>
      <w:r w:rsidRPr="00C81B24">
        <w:rPr>
          <w:i/>
          <w:szCs w:val="22"/>
        </w:rPr>
        <w:t>i.e.</w:t>
      </w:r>
      <w:r w:rsidRPr="00C81B24">
        <w:rPr>
          <w:szCs w:val="22"/>
        </w:rPr>
        <w:t>, muting) to SDARS receivers on roadways, resolving longstanding interference concerns between the WCS and SDARS.</w:t>
      </w:r>
      <w:r w:rsidRPr="00C81B24">
        <w:rPr>
          <w:szCs w:val="22"/>
          <w:vertAlign w:val="superscript"/>
        </w:rPr>
        <w:footnoteReference w:id="1323"/>
      </w:r>
      <w:r w:rsidRPr="00C81B24">
        <w:rPr>
          <w:szCs w:val="22"/>
        </w:rPr>
        <w:t xml:space="preserve">      </w:t>
      </w:r>
    </w:p>
    <w:p w:rsidR="00C81B24" w:rsidRPr="00C81B24" w:rsidRDefault="00C81B24" w:rsidP="00CE5850">
      <w:pPr>
        <w:spacing w:after="120"/>
        <w:ind w:left="720"/>
        <w:rPr>
          <w:szCs w:val="22"/>
        </w:rPr>
      </w:pPr>
      <w:r>
        <w:rPr>
          <w:noProof/>
          <w:szCs w:val="22"/>
        </w:rPr>
        <w:drawing>
          <wp:inline distT="0" distB="0" distL="0" distR="0" wp14:anchorId="441966A7" wp14:editId="1D83F853">
            <wp:extent cx="5534025" cy="1876425"/>
            <wp:effectExtent l="0" t="0" r="0" b="0"/>
            <wp:docPr id="83"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534025" cy="1876425"/>
                    </a:xfrm>
                    <a:prstGeom prst="rect">
                      <a:avLst/>
                    </a:prstGeom>
                    <a:noFill/>
                    <a:ln>
                      <a:noFill/>
                    </a:ln>
                  </pic:spPr>
                </pic:pic>
              </a:graphicData>
            </a:graphic>
          </wp:inline>
        </w:drawing>
      </w:r>
    </w:p>
    <w:p w:rsidR="00C81B24" w:rsidRPr="00C81B24" w:rsidRDefault="00C81B24" w:rsidP="00CE5850">
      <w:pPr>
        <w:numPr>
          <w:ilvl w:val="1"/>
          <w:numId w:val="26"/>
        </w:numPr>
        <w:spacing w:after="120"/>
        <w:outlineLvl w:val="1"/>
        <w:rPr>
          <w:b/>
          <w:szCs w:val="22"/>
        </w:rPr>
      </w:pPr>
      <w:bookmarkStart w:id="6697" w:name="_Toc271288540"/>
      <w:bookmarkStart w:id="6698" w:name="_Toc275518059"/>
      <w:bookmarkStart w:id="6699" w:name="_Toc275952499"/>
      <w:bookmarkStart w:id="6700" w:name="_Toc276121931"/>
      <w:bookmarkStart w:id="6701" w:name="_Toc276480767"/>
      <w:bookmarkStart w:id="6702" w:name="_Toc276741845"/>
      <w:bookmarkStart w:id="6703" w:name="_Toc277171609"/>
      <w:bookmarkStart w:id="6704" w:name="_Toc277864586"/>
      <w:bookmarkStart w:id="6705" w:name="_Toc277864802"/>
      <w:bookmarkStart w:id="6706" w:name="_Toc337652054"/>
      <w:bookmarkStart w:id="6707" w:name="_Toc176254431"/>
      <w:bookmarkStart w:id="6708" w:name="_Toc176254720"/>
      <w:bookmarkStart w:id="6709" w:name="_Toc176254831"/>
      <w:bookmarkStart w:id="6710" w:name="_Toc176762466"/>
      <w:bookmarkStart w:id="6711" w:name="_Toc176843487"/>
      <w:bookmarkStart w:id="6712" w:name="_Toc176853291"/>
      <w:bookmarkStart w:id="6713" w:name="_Toc176853400"/>
      <w:bookmarkStart w:id="6714" w:name="_Toc176857449"/>
      <w:bookmarkStart w:id="6715" w:name="_Toc179108376"/>
      <w:bookmarkStart w:id="6716" w:name="_Toc179357635"/>
      <w:bookmarkStart w:id="6717" w:name="_Toc181781118"/>
      <w:bookmarkStart w:id="6718" w:name="_Toc182218704"/>
      <w:bookmarkStart w:id="6719" w:name="_Toc182909139"/>
      <w:bookmarkStart w:id="6720" w:name="_Toc182909569"/>
      <w:bookmarkStart w:id="6721" w:name="_Toc182987219"/>
      <w:bookmarkStart w:id="6722" w:name="_Toc183244054"/>
      <w:bookmarkStart w:id="6723" w:name="_Toc183244432"/>
      <w:bookmarkStart w:id="6724" w:name="_Toc183244841"/>
      <w:bookmarkStart w:id="6725" w:name="_Toc183244959"/>
      <w:bookmarkStart w:id="6726" w:name="_Toc183245617"/>
      <w:bookmarkStart w:id="6727" w:name="_Toc183246192"/>
      <w:bookmarkStart w:id="6728" w:name="_Toc185667903"/>
      <w:bookmarkStart w:id="6729" w:name="_Toc185838960"/>
      <w:bookmarkStart w:id="6730" w:name="_Toc185846932"/>
      <w:bookmarkStart w:id="6731" w:name="_Toc185848538"/>
      <w:bookmarkStart w:id="6732" w:name="_Toc188946896"/>
      <w:bookmarkStart w:id="6733" w:name="_Toc189302800"/>
      <w:bookmarkStart w:id="6734" w:name="_Toc209948467"/>
      <w:bookmarkStart w:id="6735" w:name="_Toc209948576"/>
      <w:bookmarkStart w:id="6736" w:name="_Toc209950018"/>
      <w:bookmarkStart w:id="6737" w:name="_Toc210211474"/>
      <w:bookmarkStart w:id="6738" w:name="_Toc210213041"/>
      <w:bookmarkStart w:id="6739" w:name="_Toc210213180"/>
      <w:bookmarkStart w:id="6740" w:name="_Toc210213741"/>
      <w:bookmarkStart w:id="6741" w:name="_Toc212967966"/>
      <w:bookmarkStart w:id="6742" w:name="_Toc215316368"/>
      <w:bookmarkStart w:id="6743" w:name="_Toc215384622"/>
      <w:bookmarkStart w:id="6744" w:name="_Toc217810488"/>
      <w:bookmarkStart w:id="6745" w:name="_Toc251320796"/>
      <w:bookmarkStart w:id="6746" w:name="_Toc251336900"/>
      <w:bookmarkStart w:id="6747" w:name="_Toc252283946"/>
      <w:bookmarkStart w:id="6748" w:name="_Toc252806263"/>
      <w:bookmarkStart w:id="6749" w:name="_Toc255568342"/>
      <w:bookmarkStart w:id="6750" w:name="_Toc255571825"/>
      <w:r w:rsidRPr="00C81B24">
        <w:rPr>
          <w:b/>
          <w:szCs w:val="22"/>
        </w:rPr>
        <w:t>1.4 GHz Bands</w:t>
      </w:r>
      <w:bookmarkEnd w:id="6697"/>
      <w:bookmarkEnd w:id="6698"/>
      <w:bookmarkEnd w:id="6699"/>
      <w:bookmarkEnd w:id="6700"/>
      <w:bookmarkEnd w:id="6701"/>
      <w:bookmarkEnd w:id="6702"/>
      <w:bookmarkEnd w:id="6703"/>
      <w:bookmarkEnd w:id="6704"/>
      <w:bookmarkEnd w:id="6705"/>
      <w:bookmarkEnd w:id="6706"/>
    </w:p>
    <w:p w:rsidR="00C81B24" w:rsidRPr="00C81B24" w:rsidRDefault="00C81B24" w:rsidP="00CE5850">
      <w:pPr>
        <w:numPr>
          <w:ilvl w:val="0"/>
          <w:numId w:val="48"/>
        </w:numPr>
        <w:spacing w:after="120"/>
        <w:rPr>
          <w:szCs w:val="22"/>
        </w:rPr>
      </w:pPr>
      <w:r w:rsidRPr="00C81B24">
        <w:rPr>
          <w:szCs w:val="22"/>
        </w:rPr>
        <w:t>The Commission completed the auction of licenses in the paired 1392-1395 MHz and 1432-1435 MHz bands and in the unpaired 1390-1392 MHz band.</w:t>
      </w:r>
      <w:r w:rsidRPr="00C81B24">
        <w:rPr>
          <w:szCs w:val="22"/>
          <w:vertAlign w:val="superscript"/>
        </w:rPr>
        <w:footnoteReference w:id="1324"/>
      </w:r>
      <w:r w:rsidRPr="00C81B24">
        <w:rPr>
          <w:szCs w:val="22"/>
        </w:rPr>
        <w:t xml:space="preserve">  The paired spectrum was offered as two 3-megahertz blocks in the six REAGs.</w:t>
      </w:r>
      <w:r w:rsidRPr="00C81B24">
        <w:rPr>
          <w:szCs w:val="22"/>
          <w:vertAlign w:val="superscript"/>
        </w:rPr>
        <w:footnoteReference w:id="1325"/>
      </w:r>
      <w:r w:rsidRPr="00C81B24">
        <w:rPr>
          <w:szCs w:val="22"/>
        </w:rPr>
        <w:t xml:space="preserve">  The unpaired spectrum was auctioned as one 2-meghertz block in each MEA.</w:t>
      </w:r>
      <w:r w:rsidRPr="00C81B24">
        <w:rPr>
          <w:szCs w:val="22"/>
          <w:vertAlign w:val="superscript"/>
        </w:rPr>
        <w:footnoteReference w:id="1326"/>
      </w:r>
      <w:r w:rsidRPr="00C81B24">
        <w:rPr>
          <w:szCs w:val="22"/>
        </w:rPr>
        <w:t xml:space="preserve">  Like other spectrum bands under Part 27 of the Commission’s rules, the service rules for the 1.4 GHz band are flexible.  In the auction, two winning bidders won a total of 64 licenses, raising a total of $123,599,000.</w:t>
      </w:r>
      <w:r w:rsidRPr="00C81B24">
        <w:rPr>
          <w:szCs w:val="22"/>
          <w:vertAlign w:val="superscript"/>
        </w:rPr>
        <w:footnoteReference w:id="1327"/>
      </w:r>
      <w:r w:rsidRPr="00C81B24">
        <w:rPr>
          <w:szCs w:val="22"/>
        </w:rPr>
        <w:t xml:space="preserve">  </w:t>
      </w:r>
    </w:p>
    <w:p w:rsidR="00C81B24" w:rsidRPr="00C81B24" w:rsidRDefault="00C81B24" w:rsidP="00CE5850">
      <w:pPr>
        <w:numPr>
          <w:ilvl w:val="1"/>
          <w:numId w:val="26"/>
        </w:numPr>
        <w:spacing w:after="120"/>
        <w:outlineLvl w:val="1"/>
        <w:rPr>
          <w:b/>
          <w:szCs w:val="22"/>
        </w:rPr>
      </w:pPr>
      <w:bookmarkStart w:id="6751" w:name="_Toc271288541"/>
      <w:bookmarkStart w:id="6752" w:name="_Toc275518060"/>
      <w:bookmarkStart w:id="6753" w:name="_Toc275952500"/>
      <w:bookmarkStart w:id="6754" w:name="_Toc276121932"/>
      <w:bookmarkStart w:id="6755" w:name="_Toc276480768"/>
      <w:bookmarkStart w:id="6756" w:name="_Toc276741846"/>
      <w:bookmarkStart w:id="6757" w:name="_Toc277171610"/>
      <w:bookmarkStart w:id="6758" w:name="_Toc277864587"/>
      <w:bookmarkStart w:id="6759" w:name="_Toc277864803"/>
      <w:bookmarkStart w:id="6760" w:name="_Toc337652055"/>
      <w:r w:rsidRPr="00C81B24">
        <w:rPr>
          <w:b/>
          <w:szCs w:val="22"/>
        </w:rPr>
        <w:t>1670-1675 MHz</w:t>
      </w:r>
      <w:bookmarkStart w:id="6761" w:name="_Toc183244842"/>
      <w:bookmarkStart w:id="6762" w:name="_Toc183244960"/>
      <w:bookmarkStart w:id="6763" w:name="_Toc183245618"/>
      <w:bookmarkStart w:id="6764" w:name="_Toc183246193"/>
      <w:bookmarkEnd w:id="6707"/>
      <w:bookmarkEnd w:id="6708"/>
      <w:bookmarkEnd w:id="6709"/>
      <w:bookmarkEnd w:id="6710"/>
      <w:bookmarkEnd w:id="6711"/>
      <w:bookmarkEnd w:id="6712"/>
      <w:bookmarkEnd w:id="6713"/>
      <w:bookmarkEnd w:id="6714"/>
      <w:bookmarkEnd w:id="6715"/>
      <w:bookmarkEnd w:id="6716"/>
      <w:bookmarkEnd w:id="6717"/>
      <w:bookmarkEnd w:id="6718"/>
      <w:bookmarkEnd w:id="6719"/>
      <w:bookmarkEnd w:id="6720"/>
      <w:bookmarkEnd w:id="6721"/>
      <w:bookmarkEnd w:id="6722"/>
      <w:bookmarkEnd w:id="6723"/>
      <w:bookmarkEnd w:id="6724"/>
      <w:bookmarkEnd w:id="6725"/>
      <w:bookmarkEnd w:id="6726"/>
      <w:bookmarkEnd w:id="6727"/>
      <w:bookmarkEnd w:id="6728"/>
      <w:bookmarkEnd w:id="6729"/>
      <w:bookmarkEnd w:id="6730"/>
      <w:bookmarkEnd w:id="6731"/>
      <w:bookmarkEnd w:id="6732"/>
      <w:bookmarkEnd w:id="6733"/>
      <w:bookmarkEnd w:id="6734"/>
      <w:bookmarkEnd w:id="6735"/>
      <w:bookmarkEnd w:id="6736"/>
      <w:bookmarkEnd w:id="6737"/>
      <w:bookmarkEnd w:id="6738"/>
      <w:bookmarkEnd w:id="6739"/>
      <w:bookmarkEnd w:id="6740"/>
      <w:bookmarkEnd w:id="6741"/>
      <w:bookmarkEnd w:id="6742"/>
      <w:bookmarkEnd w:id="6743"/>
      <w:bookmarkEnd w:id="6744"/>
      <w:bookmarkEnd w:id="6745"/>
      <w:bookmarkEnd w:id="6746"/>
      <w:bookmarkEnd w:id="6747"/>
      <w:bookmarkEnd w:id="6748"/>
      <w:bookmarkEnd w:id="6749"/>
      <w:bookmarkEnd w:id="6750"/>
      <w:bookmarkEnd w:id="6751"/>
      <w:bookmarkEnd w:id="6752"/>
      <w:bookmarkEnd w:id="6753"/>
      <w:bookmarkEnd w:id="6754"/>
      <w:bookmarkEnd w:id="6755"/>
      <w:bookmarkEnd w:id="6756"/>
      <w:bookmarkEnd w:id="6757"/>
      <w:bookmarkEnd w:id="6758"/>
      <w:bookmarkEnd w:id="6759"/>
      <w:bookmarkEnd w:id="6760"/>
      <w:bookmarkEnd w:id="6761"/>
      <w:bookmarkEnd w:id="6762"/>
      <w:bookmarkEnd w:id="6763"/>
      <w:bookmarkEnd w:id="6764"/>
    </w:p>
    <w:p w:rsidR="00C81B24" w:rsidRPr="00C81B24" w:rsidRDefault="00C81B24" w:rsidP="00CE5850">
      <w:pPr>
        <w:numPr>
          <w:ilvl w:val="0"/>
          <w:numId w:val="48"/>
        </w:numPr>
        <w:spacing w:after="120"/>
        <w:rPr>
          <w:szCs w:val="22"/>
        </w:rPr>
      </w:pPr>
      <w:r w:rsidRPr="00C81B24">
        <w:rPr>
          <w:szCs w:val="22"/>
        </w:rPr>
        <w:t>In April 2003, the FCC auctioned five megahertz of unpaired spectrum in the 1670-1675 MHz band as a single, nationwide license.  As with the other spectrum bands licensed under Part 27 of the Commission’s rules, such as AWS and WCS, the service rules for the 1670-1675 MHz band are flexible, and licensees can use the spectrum to deploy a variety of fixed or mobile wireless services.  The license was won at auction by Crown Castle.  In July 2007, Crown Castle entered into a long-term agreement to lease the spectrum to a wholly-owned subsidiary of TVCC Holding Company, LLC (TVCC Holding).</w:t>
      </w:r>
      <w:r w:rsidRPr="00C81B24">
        <w:rPr>
          <w:szCs w:val="22"/>
          <w:vertAlign w:val="superscript"/>
        </w:rPr>
        <w:footnoteReference w:id="1328"/>
      </w:r>
      <w:r w:rsidRPr="00C81B24">
        <w:rPr>
          <w:szCs w:val="22"/>
        </w:rPr>
        <w:t xml:space="preserve">  In late 2008, control of TVCC Holding was transferred, so that 13.13 percent was held by a company wholly owned by Rajendra Singh and the Singh family; 11.86 percent by Columbia Capital IV, LLC, subsidiaries; and 75 percent by Harbinger-related entities.</w:t>
      </w:r>
      <w:r w:rsidRPr="00C81B24">
        <w:rPr>
          <w:szCs w:val="22"/>
          <w:vertAlign w:val="superscript"/>
        </w:rPr>
        <w:footnoteReference w:id="1329"/>
      </w:r>
      <w:r w:rsidRPr="00C81B24">
        <w:rPr>
          <w:szCs w:val="22"/>
        </w:rPr>
        <w:t xml:space="preserve">  On October 9, 2012, the licensee filed a request for an extension or waiver of the construction deadline.  On November 5, 2012 the Commission issued a PN seeking comment on that request.</w:t>
      </w:r>
      <w:r w:rsidRPr="00C81B24">
        <w:rPr>
          <w:szCs w:val="22"/>
          <w:vertAlign w:val="superscript"/>
        </w:rPr>
        <w:footnoteReference w:id="1330"/>
      </w:r>
      <w:r w:rsidRPr="00C81B24">
        <w:rPr>
          <w:szCs w:val="22"/>
        </w:rPr>
        <w:t xml:space="preserve"> </w:t>
      </w:r>
    </w:p>
    <w:p w:rsidR="00C81B24" w:rsidRPr="00C81B24" w:rsidRDefault="00C81B24" w:rsidP="00CE5850">
      <w:pPr>
        <w:spacing w:after="120"/>
        <w:ind w:left="720"/>
        <w:jc w:val="center"/>
        <w:rPr>
          <w:szCs w:val="22"/>
        </w:rPr>
      </w:pPr>
      <w:r>
        <w:rPr>
          <w:noProof/>
          <w:szCs w:val="22"/>
        </w:rPr>
        <w:drawing>
          <wp:inline distT="0" distB="0" distL="0" distR="0" wp14:anchorId="6ADA51F4" wp14:editId="5486FA9F">
            <wp:extent cx="2657475" cy="1162050"/>
            <wp:effectExtent l="0" t="0" r="0" b="0"/>
            <wp:docPr id="8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2657475" cy="1162050"/>
                    </a:xfrm>
                    <a:prstGeom prst="rect">
                      <a:avLst/>
                    </a:prstGeom>
                    <a:noFill/>
                    <a:ln>
                      <a:noFill/>
                    </a:ln>
                  </pic:spPr>
                </pic:pic>
              </a:graphicData>
            </a:graphic>
          </wp:inline>
        </w:drawing>
      </w:r>
    </w:p>
    <w:p w:rsidR="00C81B24" w:rsidRPr="00C81B24" w:rsidRDefault="00C81B24" w:rsidP="00CE5850">
      <w:pPr>
        <w:numPr>
          <w:ilvl w:val="1"/>
          <w:numId w:val="26"/>
        </w:numPr>
        <w:spacing w:after="120"/>
        <w:outlineLvl w:val="1"/>
        <w:rPr>
          <w:b/>
          <w:szCs w:val="22"/>
        </w:rPr>
      </w:pPr>
      <w:bookmarkStart w:id="6765" w:name="_Toc271288542"/>
      <w:bookmarkStart w:id="6766" w:name="_Toc275518061"/>
      <w:bookmarkStart w:id="6767" w:name="_Toc275952501"/>
      <w:bookmarkStart w:id="6768" w:name="_Toc276121933"/>
      <w:bookmarkStart w:id="6769" w:name="_Toc276480769"/>
      <w:bookmarkStart w:id="6770" w:name="_Toc276741847"/>
      <w:bookmarkStart w:id="6771" w:name="_Toc277171611"/>
      <w:bookmarkStart w:id="6772" w:name="_Toc277864588"/>
      <w:bookmarkStart w:id="6773" w:name="_Toc277864804"/>
      <w:bookmarkStart w:id="6774" w:name="_Toc337652056"/>
      <w:bookmarkStart w:id="6775" w:name="_Toc112139216"/>
      <w:bookmarkStart w:id="6776" w:name="_Toc113257823"/>
      <w:bookmarkStart w:id="6777" w:name="_Toc113258020"/>
      <w:bookmarkStart w:id="6778" w:name="_Toc113258288"/>
      <w:bookmarkStart w:id="6779" w:name="_Toc113258614"/>
      <w:bookmarkStart w:id="6780" w:name="_Toc113272203"/>
      <w:bookmarkStart w:id="6781" w:name="_Toc115580888"/>
      <w:bookmarkStart w:id="6782" w:name="_Toc136318291"/>
      <w:bookmarkStart w:id="6783" w:name="_Toc136318640"/>
      <w:bookmarkStart w:id="6784" w:name="_Toc136318807"/>
      <w:bookmarkStart w:id="6785" w:name="_Toc138475783"/>
      <w:bookmarkStart w:id="6786" w:name="_Toc146684512"/>
      <w:bookmarkStart w:id="6787" w:name="_Toc147046270"/>
      <w:bookmarkStart w:id="6788" w:name="_Toc171415227"/>
      <w:bookmarkStart w:id="6789" w:name="_Toc173642115"/>
      <w:bookmarkStart w:id="6790" w:name="_Toc173813653"/>
      <w:bookmarkStart w:id="6791" w:name="_Toc175387822"/>
      <w:bookmarkStart w:id="6792" w:name="_Toc176254426"/>
      <w:bookmarkStart w:id="6793" w:name="_Toc176254715"/>
      <w:bookmarkStart w:id="6794" w:name="_Toc176254826"/>
      <w:bookmarkStart w:id="6795" w:name="_Toc176762461"/>
      <w:bookmarkStart w:id="6796" w:name="_Toc176843482"/>
      <w:bookmarkStart w:id="6797" w:name="_Toc176853286"/>
      <w:bookmarkStart w:id="6798" w:name="_Toc176853395"/>
      <w:bookmarkStart w:id="6799" w:name="_Toc176857444"/>
      <w:bookmarkStart w:id="6800" w:name="_Toc179108371"/>
      <w:bookmarkStart w:id="6801" w:name="_Toc179357630"/>
      <w:bookmarkStart w:id="6802" w:name="_Toc181781119"/>
      <w:bookmarkStart w:id="6803" w:name="_Toc182218705"/>
      <w:bookmarkStart w:id="6804" w:name="_Toc182909140"/>
      <w:bookmarkStart w:id="6805" w:name="_Toc182909570"/>
      <w:bookmarkStart w:id="6806" w:name="_Toc182987220"/>
      <w:bookmarkStart w:id="6807" w:name="_Toc183244055"/>
      <w:bookmarkStart w:id="6808" w:name="_Toc183244433"/>
      <w:bookmarkStart w:id="6809" w:name="_Toc183244843"/>
      <w:bookmarkStart w:id="6810" w:name="_Toc183244961"/>
      <w:bookmarkStart w:id="6811" w:name="_Toc183245619"/>
      <w:bookmarkStart w:id="6812" w:name="_Toc183246194"/>
      <w:bookmarkStart w:id="6813" w:name="_Toc185667904"/>
      <w:bookmarkStart w:id="6814" w:name="_Toc185838961"/>
      <w:bookmarkStart w:id="6815" w:name="_Toc185846933"/>
      <w:bookmarkStart w:id="6816" w:name="_Toc185848539"/>
      <w:bookmarkStart w:id="6817" w:name="_Toc188946897"/>
      <w:bookmarkStart w:id="6818" w:name="_Toc189302801"/>
      <w:bookmarkStart w:id="6819" w:name="_Toc209948468"/>
      <w:bookmarkStart w:id="6820" w:name="_Toc209948577"/>
      <w:bookmarkStart w:id="6821" w:name="_Toc209950019"/>
      <w:bookmarkStart w:id="6822" w:name="_Toc210211475"/>
      <w:bookmarkStart w:id="6823" w:name="_Toc210213042"/>
      <w:bookmarkStart w:id="6824" w:name="_Toc210213181"/>
      <w:bookmarkStart w:id="6825" w:name="_Toc210213742"/>
      <w:bookmarkStart w:id="6826" w:name="_Toc212967967"/>
      <w:bookmarkStart w:id="6827" w:name="_Toc215316369"/>
      <w:bookmarkStart w:id="6828" w:name="_Toc215384623"/>
      <w:bookmarkStart w:id="6829" w:name="_Toc217810489"/>
      <w:bookmarkStart w:id="6830" w:name="_Toc251320797"/>
      <w:bookmarkStart w:id="6831" w:name="_Toc251336901"/>
      <w:bookmarkStart w:id="6832" w:name="_Toc252283947"/>
      <w:bookmarkStart w:id="6833" w:name="_Toc252806264"/>
      <w:bookmarkStart w:id="6834" w:name="_Toc255568343"/>
      <w:bookmarkStart w:id="6835" w:name="_Toc255571826"/>
      <w:r w:rsidRPr="00C81B24">
        <w:rPr>
          <w:b/>
          <w:szCs w:val="22"/>
        </w:rPr>
        <w:t>3650-3700 MHz</w:t>
      </w:r>
      <w:bookmarkEnd w:id="6765"/>
      <w:bookmarkEnd w:id="6766"/>
      <w:bookmarkEnd w:id="6767"/>
      <w:bookmarkEnd w:id="6768"/>
      <w:bookmarkEnd w:id="6769"/>
      <w:bookmarkEnd w:id="6770"/>
      <w:bookmarkEnd w:id="6771"/>
      <w:bookmarkEnd w:id="6772"/>
      <w:bookmarkEnd w:id="6773"/>
      <w:bookmarkEnd w:id="6774"/>
    </w:p>
    <w:p w:rsidR="00C81B24" w:rsidRPr="00C81B24" w:rsidRDefault="00C81B24" w:rsidP="00CE5850">
      <w:pPr>
        <w:numPr>
          <w:ilvl w:val="0"/>
          <w:numId w:val="48"/>
        </w:numPr>
        <w:spacing w:after="120"/>
        <w:rPr>
          <w:szCs w:val="22"/>
        </w:rPr>
      </w:pPr>
      <w:r w:rsidRPr="00C81B24">
        <w:rPr>
          <w:szCs w:val="22"/>
        </w:rPr>
        <w:t>The Commission adopted service rules for the 3650 – 3700 MHz band in June 2007</w:t>
      </w:r>
      <w:r w:rsidRPr="00C81B24">
        <w:rPr>
          <w:szCs w:val="22"/>
          <w:vertAlign w:val="superscript"/>
        </w:rPr>
        <w:footnoteReference w:id="1331"/>
      </w:r>
      <w:r w:rsidRPr="00C81B24">
        <w:rPr>
          <w:szCs w:val="22"/>
        </w:rPr>
        <w:t xml:space="preserve"> and began accepting applications licenses in the service in November 2007.</w:t>
      </w:r>
      <w:r w:rsidRPr="00C81B24">
        <w:rPr>
          <w:szCs w:val="22"/>
          <w:vertAlign w:val="superscript"/>
        </w:rPr>
        <w:footnoteReference w:id="1332"/>
      </w:r>
      <w:r w:rsidRPr="00C81B24">
        <w:rPr>
          <w:szCs w:val="22"/>
        </w:rPr>
        <w:t xml:space="preserve">  Terrestrial operations in the band are licensed on a nationwide, non-exclusive basis, with all licensees registering their fixed and base stations in a common data base (ULS) prior to operation.  Licensees are subject to restrictions on their operations in geographic areas occupied by grandfathered Fixed Satellite Service (FSS) and Federal Government stations.  The rules also provide that terrestrial licensees have the mutual obligation to cooperate and avoid harmful interference to one another, and are required to use one of two types of “contention-based” technologies (restricted or unrestricted) that accommodate shared use of the band by multiple users.  Equipment using “restricted” contention-based protocols (i.e., equipment capable of avoiding interference only to other devices using the same protocol) is allowed to operate only on the lower 25 megahertz portion of the band (3650 – 3675 MHz).  Unrestricted equipment (i.e., equipment capable of avoiding interference to other devices, even those that use a different protocol) is allowed to operate within the entire 50 megahertz of the band.  Mobile stations are required to positively receive and decode an enabling signal transmitted by a base station.  Devices certified by the FCC as mobiles or portables do not require a separate license or registration.</w:t>
      </w:r>
      <w:r w:rsidRPr="00C81B24">
        <w:rPr>
          <w:szCs w:val="22"/>
          <w:vertAlign w:val="superscript"/>
        </w:rPr>
        <w:footnoteReference w:id="1333"/>
      </w:r>
      <w:r w:rsidRPr="00C81B24">
        <w:rPr>
          <w:szCs w:val="22"/>
        </w:rPr>
        <w:t xml:space="preserve">  </w:t>
      </w:r>
    </w:p>
    <w:p w:rsidR="00C81B24" w:rsidRPr="00C81B24" w:rsidRDefault="00C81B24" w:rsidP="00CE5850">
      <w:pPr>
        <w:spacing w:after="120"/>
        <w:ind w:left="720"/>
        <w:rPr>
          <w:szCs w:val="22"/>
        </w:rPr>
      </w:pPr>
      <w:r w:rsidRPr="00C81B24">
        <w:rPr>
          <w:szCs w:val="22"/>
        </w:rPr>
        <w:object w:dxaOrig="7147" w:dyaOrig="536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92.35pt;height:218.35pt" o:ole="">
            <v:imagedata r:id="rId92" o:title="" croptop="4923f" cropbottom="19313f" cropleft="-101f" cropright="-202f"/>
          </v:shape>
          <o:OLEObject Type="Embed" ProgID="PowerPoint.Show.8" ShapeID="_x0000_i1025" DrawAspect="Content" ObjectID="_1425471692" r:id="rId93"/>
        </w:object>
      </w:r>
      <w:bookmarkEnd w:id="6657"/>
      <w:bookmarkEnd w:id="6658"/>
      <w:bookmarkEnd w:id="6659"/>
      <w:bookmarkEnd w:id="6660"/>
      <w:bookmarkEnd w:id="6661"/>
      <w:bookmarkEnd w:id="6662"/>
      <w:bookmarkEnd w:id="6663"/>
      <w:bookmarkEnd w:id="6664"/>
      <w:bookmarkEnd w:id="6665"/>
      <w:bookmarkEnd w:id="6666"/>
      <w:bookmarkEnd w:id="6667"/>
      <w:bookmarkEnd w:id="6668"/>
      <w:bookmarkEnd w:id="6669"/>
      <w:bookmarkEnd w:id="6670"/>
      <w:bookmarkEnd w:id="6671"/>
      <w:bookmarkEnd w:id="6672"/>
      <w:bookmarkEnd w:id="6673"/>
      <w:bookmarkEnd w:id="6775"/>
      <w:bookmarkEnd w:id="6776"/>
      <w:bookmarkEnd w:id="6777"/>
      <w:bookmarkEnd w:id="6778"/>
      <w:bookmarkEnd w:id="6779"/>
      <w:bookmarkEnd w:id="6780"/>
      <w:bookmarkEnd w:id="6781"/>
      <w:bookmarkEnd w:id="6782"/>
      <w:bookmarkEnd w:id="6783"/>
      <w:bookmarkEnd w:id="6784"/>
      <w:bookmarkEnd w:id="6785"/>
      <w:bookmarkEnd w:id="6786"/>
      <w:bookmarkEnd w:id="6787"/>
      <w:bookmarkEnd w:id="6788"/>
      <w:bookmarkEnd w:id="6789"/>
      <w:bookmarkEnd w:id="6790"/>
      <w:bookmarkEnd w:id="6791"/>
      <w:bookmarkEnd w:id="6792"/>
      <w:bookmarkEnd w:id="6793"/>
      <w:bookmarkEnd w:id="6794"/>
      <w:bookmarkEnd w:id="6795"/>
      <w:bookmarkEnd w:id="6796"/>
      <w:bookmarkEnd w:id="6797"/>
      <w:bookmarkEnd w:id="6798"/>
      <w:bookmarkEnd w:id="6799"/>
      <w:bookmarkEnd w:id="6800"/>
      <w:bookmarkEnd w:id="6801"/>
      <w:bookmarkEnd w:id="6802"/>
      <w:bookmarkEnd w:id="6803"/>
      <w:bookmarkEnd w:id="6804"/>
      <w:bookmarkEnd w:id="6805"/>
      <w:bookmarkEnd w:id="6806"/>
      <w:bookmarkEnd w:id="6807"/>
      <w:bookmarkEnd w:id="6808"/>
      <w:bookmarkEnd w:id="6809"/>
      <w:bookmarkEnd w:id="6810"/>
      <w:bookmarkEnd w:id="6811"/>
      <w:bookmarkEnd w:id="6812"/>
      <w:bookmarkEnd w:id="6813"/>
      <w:bookmarkEnd w:id="6814"/>
      <w:bookmarkEnd w:id="6815"/>
      <w:bookmarkEnd w:id="6816"/>
      <w:bookmarkEnd w:id="6817"/>
      <w:bookmarkEnd w:id="6818"/>
      <w:bookmarkEnd w:id="6819"/>
      <w:bookmarkEnd w:id="6820"/>
      <w:bookmarkEnd w:id="6821"/>
      <w:bookmarkEnd w:id="6822"/>
      <w:bookmarkEnd w:id="6823"/>
      <w:bookmarkEnd w:id="6824"/>
      <w:bookmarkEnd w:id="6825"/>
      <w:bookmarkEnd w:id="6826"/>
      <w:bookmarkEnd w:id="6827"/>
      <w:bookmarkEnd w:id="6828"/>
      <w:bookmarkEnd w:id="6829"/>
      <w:bookmarkEnd w:id="6830"/>
      <w:bookmarkEnd w:id="6831"/>
      <w:bookmarkEnd w:id="6832"/>
      <w:bookmarkEnd w:id="6833"/>
      <w:bookmarkEnd w:id="6834"/>
      <w:bookmarkEnd w:id="6835"/>
    </w:p>
    <w:p w:rsidR="00C81B24" w:rsidRPr="00C81B24" w:rsidRDefault="00C81B24" w:rsidP="00CE5850">
      <w:pPr>
        <w:numPr>
          <w:ilvl w:val="1"/>
          <w:numId w:val="26"/>
        </w:numPr>
        <w:spacing w:after="120"/>
        <w:outlineLvl w:val="1"/>
        <w:rPr>
          <w:b/>
          <w:szCs w:val="22"/>
        </w:rPr>
      </w:pPr>
      <w:bookmarkStart w:id="6836" w:name="_Toc337652057"/>
      <w:r w:rsidRPr="00C81B24">
        <w:rPr>
          <w:b/>
          <w:szCs w:val="22"/>
        </w:rPr>
        <w:t>MSS Spectrum Bands</w:t>
      </w:r>
      <w:bookmarkEnd w:id="6836"/>
      <w:r w:rsidRPr="00C81B24">
        <w:rPr>
          <w:b/>
          <w:szCs w:val="22"/>
        </w:rPr>
        <w:t xml:space="preserve"> </w:t>
      </w:r>
    </w:p>
    <w:p w:rsidR="00C81B24" w:rsidRPr="00C81B24" w:rsidRDefault="00C81B24" w:rsidP="00CE5850">
      <w:pPr>
        <w:numPr>
          <w:ilvl w:val="0"/>
          <w:numId w:val="48"/>
        </w:numPr>
        <w:spacing w:after="120"/>
        <w:rPr>
          <w:szCs w:val="22"/>
        </w:rPr>
      </w:pPr>
      <w:r w:rsidRPr="00C81B24">
        <w:rPr>
          <w:szCs w:val="22"/>
        </w:rPr>
        <w:t>The Commission has approved mobile satellite systems for operation in four MSS spectrum bands—the L-Band, Big LEO,</w:t>
      </w:r>
      <w:r w:rsidRPr="00C81B24">
        <w:rPr>
          <w:szCs w:val="22"/>
          <w:vertAlign w:val="superscript"/>
        </w:rPr>
        <w:footnoteReference w:id="1334"/>
      </w:r>
      <w:r w:rsidRPr="00C81B24">
        <w:rPr>
          <w:szCs w:val="22"/>
        </w:rPr>
        <w:t xml:space="preserve"> Little LEO, and 2 GHz bands—totaling 157.7 megahertz of spectrum.  Voice and data services are permitted in the L-band, Big LEO and 2 GHz bands.  The Little LEO band is limited to non-voice services only (and is not depicted in the band plans below).  As explained elsewhere in this Appendix A, in December 2012, the Commission adopted the AWS-4 Report and Order that established terrestrial service, technical, and licensing rules that generally follow the Commission’s Part 27 flexible use rules, modified as necessary to account for issues unique to the AWS-4 bands</w:t>
      </w:r>
      <w:r w:rsidRPr="00C81B24">
        <w:rPr>
          <w:szCs w:val="22"/>
          <w:vertAlign w:val="superscript"/>
        </w:rPr>
        <w:footnoteReference w:id="1335"/>
      </w:r>
    </w:p>
    <w:p w:rsidR="00C81B24" w:rsidRPr="00C81B24" w:rsidRDefault="00C81B24" w:rsidP="00CE5850">
      <w:pPr>
        <w:spacing w:after="120"/>
        <w:ind w:left="720"/>
        <w:rPr>
          <w:b/>
          <w:bCs/>
          <w:szCs w:val="22"/>
        </w:rPr>
      </w:pPr>
    </w:p>
    <w:p w:rsidR="00C81B24" w:rsidRPr="00C81B24" w:rsidRDefault="00C81B24" w:rsidP="00CE5850">
      <w:pPr>
        <w:spacing w:after="120"/>
        <w:ind w:left="720"/>
        <w:jc w:val="center"/>
        <w:rPr>
          <w:b/>
          <w:bCs/>
          <w:szCs w:val="22"/>
        </w:rPr>
      </w:pPr>
      <w:r w:rsidRPr="00C81B24">
        <w:rPr>
          <w:b/>
          <w:bCs/>
          <w:szCs w:val="22"/>
        </w:rPr>
        <w:t>Table A-1</w:t>
      </w:r>
    </w:p>
    <w:p w:rsidR="00C81B24" w:rsidRPr="00C81B24" w:rsidRDefault="00C81B24" w:rsidP="00CE5850">
      <w:pPr>
        <w:spacing w:after="120"/>
        <w:ind w:left="720"/>
        <w:jc w:val="center"/>
        <w:rPr>
          <w:b/>
          <w:bCs/>
          <w:szCs w:val="22"/>
        </w:rPr>
      </w:pPr>
      <w:r w:rsidRPr="00C81B24">
        <w:rPr>
          <w:b/>
          <w:bCs/>
          <w:szCs w:val="22"/>
        </w:rPr>
        <w:t>Spectrum Bands Available for MSS</w:t>
      </w:r>
    </w:p>
    <w:tbl>
      <w:tblPr>
        <w:tblW w:w="0" w:type="auto"/>
        <w:jc w:val="center"/>
        <w:tblInd w:w="18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430"/>
        <w:gridCol w:w="1350"/>
      </w:tblGrid>
      <w:tr w:rsidR="00C81B24" w:rsidRPr="00C81B24" w:rsidTr="00526AD9">
        <w:trPr>
          <w:jc w:val="center"/>
        </w:trPr>
        <w:tc>
          <w:tcPr>
            <w:tcW w:w="2430" w:type="dxa"/>
          </w:tcPr>
          <w:p w:rsidR="00C81B24" w:rsidRPr="00C81B24" w:rsidRDefault="00C81B24" w:rsidP="00CE5850">
            <w:pPr>
              <w:jc w:val="center"/>
              <w:rPr>
                <w:szCs w:val="22"/>
              </w:rPr>
            </w:pPr>
            <w:r w:rsidRPr="00C81B24">
              <w:rPr>
                <w:szCs w:val="22"/>
              </w:rPr>
              <w:t>Spectrum Band</w:t>
            </w:r>
          </w:p>
        </w:tc>
        <w:tc>
          <w:tcPr>
            <w:tcW w:w="1350" w:type="dxa"/>
          </w:tcPr>
          <w:p w:rsidR="00C81B24" w:rsidRPr="00C81B24" w:rsidRDefault="00C81B24" w:rsidP="00CE5850">
            <w:pPr>
              <w:jc w:val="center"/>
              <w:rPr>
                <w:szCs w:val="22"/>
              </w:rPr>
            </w:pPr>
            <w:r w:rsidRPr="00C81B24">
              <w:rPr>
                <w:szCs w:val="22"/>
              </w:rPr>
              <w:t>Megahertz</w:t>
            </w:r>
          </w:p>
        </w:tc>
      </w:tr>
      <w:tr w:rsidR="00C81B24" w:rsidRPr="00C81B24" w:rsidTr="00526AD9">
        <w:trPr>
          <w:jc w:val="center"/>
        </w:trPr>
        <w:tc>
          <w:tcPr>
            <w:tcW w:w="2430" w:type="dxa"/>
          </w:tcPr>
          <w:p w:rsidR="00C81B24" w:rsidRPr="00C81B24" w:rsidRDefault="00C81B24" w:rsidP="00CE5850">
            <w:pPr>
              <w:rPr>
                <w:szCs w:val="22"/>
              </w:rPr>
            </w:pPr>
            <w:r w:rsidRPr="00C81B24">
              <w:rPr>
                <w:szCs w:val="22"/>
              </w:rPr>
              <w:t>L-Band</w:t>
            </w:r>
          </w:p>
        </w:tc>
        <w:tc>
          <w:tcPr>
            <w:tcW w:w="1350" w:type="dxa"/>
          </w:tcPr>
          <w:p w:rsidR="00C81B24" w:rsidRPr="00C81B24" w:rsidRDefault="00C81B24" w:rsidP="00CE5850">
            <w:pPr>
              <w:jc w:val="right"/>
              <w:rPr>
                <w:szCs w:val="22"/>
              </w:rPr>
            </w:pPr>
            <w:r w:rsidRPr="00C81B24">
              <w:rPr>
                <w:szCs w:val="22"/>
              </w:rPr>
              <w:t>68.0</w:t>
            </w:r>
          </w:p>
        </w:tc>
      </w:tr>
      <w:tr w:rsidR="00C81B24" w:rsidRPr="00C81B24" w:rsidTr="00526AD9">
        <w:trPr>
          <w:jc w:val="center"/>
        </w:trPr>
        <w:tc>
          <w:tcPr>
            <w:tcW w:w="2430" w:type="dxa"/>
          </w:tcPr>
          <w:p w:rsidR="00C81B24" w:rsidRPr="00C81B24" w:rsidRDefault="00C81B24" w:rsidP="00CE5850">
            <w:pPr>
              <w:rPr>
                <w:szCs w:val="22"/>
              </w:rPr>
            </w:pPr>
            <w:r w:rsidRPr="00C81B24">
              <w:rPr>
                <w:szCs w:val="22"/>
              </w:rPr>
              <w:t>Big LEO</w:t>
            </w:r>
          </w:p>
        </w:tc>
        <w:tc>
          <w:tcPr>
            <w:tcW w:w="1350" w:type="dxa"/>
          </w:tcPr>
          <w:p w:rsidR="00C81B24" w:rsidRPr="00C81B24" w:rsidRDefault="00C81B24" w:rsidP="00CE5850">
            <w:pPr>
              <w:jc w:val="right"/>
              <w:rPr>
                <w:szCs w:val="22"/>
              </w:rPr>
            </w:pPr>
            <w:r w:rsidRPr="00C81B24">
              <w:rPr>
                <w:szCs w:val="22"/>
              </w:rPr>
              <w:t>45.7</w:t>
            </w:r>
          </w:p>
        </w:tc>
      </w:tr>
      <w:tr w:rsidR="00C81B24" w:rsidRPr="00C81B24" w:rsidTr="00526AD9">
        <w:trPr>
          <w:jc w:val="center"/>
        </w:trPr>
        <w:tc>
          <w:tcPr>
            <w:tcW w:w="2430" w:type="dxa"/>
          </w:tcPr>
          <w:p w:rsidR="00C81B24" w:rsidRPr="00C81B24" w:rsidRDefault="00C81B24" w:rsidP="00CE5850">
            <w:pPr>
              <w:rPr>
                <w:szCs w:val="22"/>
              </w:rPr>
            </w:pPr>
            <w:r w:rsidRPr="00C81B24">
              <w:rPr>
                <w:szCs w:val="22"/>
              </w:rPr>
              <w:t>Little LEO</w:t>
            </w:r>
          </w:p>
        </w:tc>
        <w:tc>
          <w:tcPr>
            <w:tcW w:w="1350" w:type="dxa"/>
          </w:tcPr>
          <w:p w:rsidR="00C81B24" w:rsidRPr="00C81B24" w:rsidRDefault="00C81B24" w:rsidP="00CE5850">
            <w:pPr>
              <w:jc w:val="right"/>
              <w:rPr>
                <w:szCs w:val="22"/>
              </w:rPr>
            </w:pPr>
            <w:r w:rsidRPr="00C81B24">
              <w:rPr>
                <w:szCs w:val="22"/>
              </w:rPr>
              <w:t>4.0</w:t>
            </w:r>
          </w:p>
        </w:tc>
      </w:tr>
      <w:tr w:rsidR="00C81B24" w:rsidRPr="00C81B24" w:rsidTr="00526AD9">
        <w:trPr>
          <w:jc w:val="center"/>
        </w:trPr>
        <w:tc>
          <w:tcPr>
            <w:tcW w:w="2430" w:type="dxa"/>
          </w:tcPr>
          <w:p w:rsidR="00C81B24" w:rsidRPr="00C81B24" w:rsidRDefault="00C81B24" w:rsidP="00CE5850">
            <w:pPr>
              <w:rPr>
                <w:szCs w:val="22"/>
              </w:rPr>
            </w:pPr>
            <w:r w:rsidRPr="00C81B24">
              <w:rPr>
                <w:szCs w:val="22"/>
              </w:rPr>
              <w:t>2 GHz</w:t>
            </w:r>
          </w:p>
        </w:tc>
        <w:tc>
          <w:tcPr>
            <w:tcW w:w="1350" w:type="dxa"/>
          </w:tcPr>
          <w:p w:rsidR="00C81B24" w:rsidRPr="00C81B24" w:rsidRDefault="00C81B24" w:rsidP="00CE5850">
            <w:pPr>
              <w:jc w:val="right"/>
              <w:rPr>
                <w:szCs w:val="22"/>
              </w:rPr>
            </w:pPr>
            <w:r w:rsidRPr="00C81B24">
              <w:rPr>
                <w:szCs w:val="22"/>
              </w:rPr>
              <w:t>40.0</w:t>
            </w:r>
          </w:p>
        </w:tc>
      </w:tr>
      <w:tr w:rsidR="00C81B24" w:rsidRPr="00C81B24" w:rsidTr="00526AD9">
        <w:trPr>
          <w:jc w:val="center"/>
        </w:trPr>
        <w:tc>
          <w:tcPr>
            <w:tcW w:w="2430" w:type="dxa"/>
          </w:tcPr>
          <w:p w:rsidR="00C81B24" w:rsidRPr="00C81B24" w:rsidRDefault="00C81B24" w:rsidP="00CE5850">
            <w:pPr>
              <w:rPr>
                <w:szCs w:val="22"/>
              </w:rPr>
            </w:pPr>
            <w:r w:rsidRPr="00C81B24">
              <w:rPr>
                <w:szCs w:val="22"/>
              </w:rPr>
              <w:t>Total</w:t>
            </w:r>
          </w:p>
        </w:tc>
        <w:tc>
          <w:tcPr>
            <w:tcW w:w="1350" w:type="dxa"/>
          </w:tcPr>
          <w:p w:rsidR="00C81B24" w:rsidRPr="00C81B24" w:rsidRDefault="00C81B24" w:rsidP="00CE5850">
            <w:pPr>
              <w:jc w:val="right"/>
              <w:rPr>
                <w:szCs w:val="22"/>
              </w:rPr>
            </w:pPr>
            <w:r w:rsidRPr="00C81B24">
              <w:rPr>
                <w:szCs w:val="22"/>
              </w:rPr>
              <w:t>157.7</w:t>
            </w:r>
          </w:p>
        </w:tc>
      </w:tr>
    </w:tbl>
    <w:p w:rsidR="00C81B24" w:rsidRPr="00C81B24" w:rsidRDefault="00C81B24" w:rsidP="00CE5850">
      <w:pPr>
        <w:spacing w:after="120"/>
        <w:rPr>
          <w:szCs w:val="22"/>
        </w:rPr>
      </w:pPr>
    </w:p>
    <w:p w:rsidR="00C81B24" w:rsidRPr="00C81B24" w:rsidRDefault="00C81B24" w:rsidP="00CE5850">
      <w:pPr>
        <w:numPr>
          <w:ilvl w:val="0"/>
          <w:numId w:val="48"/>
        </w:numPr>
        <w:spacing w:after="120"/>
        <w:rPr>
          <w:szCs w:val="22"/>
        </w:rPr>
      </w:pPr>
      <w:r w:rsidRPr="00C81B24">
        <w:rPr>
          <w:i/>
          <w:szCs w:val="22"/>
        </w:rPr>
        <w:t>MSS Allocations</w:t>
      </w:r>
      <w:r w:rsidRPr="00C81B24">
        <w:rPr>
          <w:szCs w:val="22"/>
        </w:rPr>
        <w:t>.  In the United States, MSS L-Band allocation consists of downlinks in the 1525-1559 MHz bands and uplinks in the 1626.5-1660.5 MHz bands.</w:t>
      </w:r>
      <w:r w:rsidRPr="00C81B24">
        <w:rPr>
          <w:szCs w:val="22"/>
          <w:vertAlign w:val="superscript"/>
        </w:rPr>
        <w:footnoteReference w:id="1336"/>
      </w:r>
      <w:r w:rsidRPr="00C81B24">
        <w:rPr>
          <w:szCs w:val="22"/>
        </w:rPr>
        <w:t xml:space="preserve">  The L-Band was the first MSS band that was used for extensive commercial MSS offerings.  The MSS Big LEO band refers to the 1.6/2.4 GHz bands, consisting of an uplink at 1610-1626.5 MHz and downlinks at 1613.8-1626.5 and 2483.5-2500 MHz.</w:t>
      </w:r>
      <w:r w:rsidRPr="00C81B24">
        <w:rPr>
          <w:szCs w:val="22"/>
          <w:vertAlign w:val="superscript"/>
        </w:rPr>
        <w:footnoteReference w:id="1337"/>
      </w:r>
      <w:r w:rsidRPr="00C81B24">
        <w:rPr>
          <w:szCs w:val="22"/>
        </w:rPr>
        <w:t xml:space="preserve">  The Commission allocated this spectrum in 1993 to permit two-way voice and data communications anywhere in the world.  The MSS 2 GHz band allocation consists of an uplink at 2000-2020 MHz and a downlink at 2180-2200 MHz.</w:t>
      </w:r>
      <w:r w:rsidRPr="00C81B24">
        <w:rPr>
          <w:szCs w:val="22"/>
          <w:vertAlign w:val="superscript"/>
        </w:rPr>
        <w:footnoteReference w:id="1338"/>
      </w:r>
      <w:r w:rsidRPr="00C81B24">
        <w:rPr>
          <w:szCs w:val="22"/>
        </w:rPr>
        <w:t xml:space="preserve">  The Commission allocated this spectrum in 1997 for the provision of new and expanded regional and global data, voice and messaging MSS,</w:t>
      </w:r>
      <w:r w:rsidRPr="00C81B24">
        <w:rPr>
          <w:szCs w:val="22"/>
          <w:vertAlign w:val="superscript"/>
        </w:rPr>
        <w:footnoteReference w:id="1339"/>
      </w:r>
      <w:r w:rsidRPr="00C81B24">
        <w:rPr>
          <w:szCs w:val="22"/>
        </w:rPr>
        <w:t xml:space="preserve"> and in 2011 it added Fixed and Mobile as co-primary allocations in the band.</w:t>
      </w:r>
      <w:r w:rsidRPr="00C81B24">
        <w:rPr>
          <w:szCs w:val="22"/>
          <w:vertAlign w:val="superscript"/>
        </w:rPr>
        <w:footnoteReference w:id="1340"/>
      </w:r>
      <w:r w:rsidRPr="00C81B24">
        <w:rPr>
          <w:szCs w:val="22"/>
        </w:rPr>
        <w:t xml:space="preserve">  As discussed elsewhere in this Appendix A concerning Advanced Wireless Services, the Commission has established rules enabling the provision of terrestrial service in an additional 40 megahertz of spectrum for use by AWS, comprised of the spectrum at 2000-2020 MHz and 2180-2200 MHz bands (AWS-4).</w:t>
      </w:r>
      <w:r w:rsidRPr="00C81B24">
        <w:rPr>
          <w:szCs w:val="22"/>
          <w:vertAlign w:val="superscript"/>
        </w:rPr>
        <w:footnoteReference w:id="1341"/>
      </w:r>
      <w:r w:rsidRPr="00C81B24">
        <w:rPr>
          <w:szCs w:val="22"/>
        </w:rPr>
        <w:t xml:space="preserve">   </w:t>
      </w:r>
    </w:p>
    <w:p w:rsidR="00C81B24" w:rsidRPr="00C81B24" w:rsidRDefault="00C81B24" w:rsidP="00CE5850">
      <w:pPr>
        <w:spacing w:after="120"/>
        <w:ind w:left="720"/>
        <w:rPr>
          <w:szCs w:val="22"/>
        </w:rPr>
      </w:pPr>
    </w:p>
    <w:p w:rsidR="00C81B24" w:rsidRPr="00C81B24" w:rsidRDefault="00C81B24" w:rsidP="00CE5850">
      <w:pPr>
        <w:numPr>
          <w:ilvl w:val="0"/>
          <w:numId w:val="48"/>
        </w:numPr>
        <w:spacing w:after="120"/>
        <w:jc w:val="center"/>
        <w:rPr>
          <w:szCs w:val="22"/>
        </w:rPr>
      </w:pPr>
      <w:r>
        <w:rPr>
          <w:noProof/>
          <w:szCs w:val="22"/>
        </w:rPr>
        <w:drawing>
          <wp:inline distT="0" distB="0" distL="0" distR="0" wp14:anchorId="59497EB3" wp14:editId="738E8A2B">
            <wp:extent cx="2209800" cy="1162050"/>
            <wp:effectExtent l="0" t="0" r="0" b="0"/>
            <wp:docPr id="8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2209800" cy="1162050"/>
                    </a:xfrm>
                    <a:prstGeom prst="rect">
                      <a:avLst/>
                    </a:prstGeom>
                    <a:noFill/>
                    <a:ln>
                      <a:noFill/>
                    </a:ln>
                  </pic:spPr>
                </pic:pic>
              </a:graphicData>
            </a:graphic>
          </wp:inline>
        </w:drawing>
      </w:r>
    </w:p>
    <w:p w:rsidR="00C81B24" w:rsidRPr="00C81B24" w:rsidRDefault="00C81B24" w:rsidP="00CE5850">
      <w:pPr>
        <w:numPr>
          <w:ilvl w:val="0"/>
          <w:numId w:val="48"/>
        </w:numPr>
        <w:spacing w:after="120"/>
        <w:rPr>
          <w:szCs w:val="22"/>
        </w:rPr>
      </w:pPr>
      <w:r>
        <w:rPr>
          <w:noProof/>
          <w:szCs w:val="22"/>
        </w:rPr>
        <w:drawing>
          <wp:inline distT="0" distB="0" distL="0" distR="0" wp14:anchorId="3E57781A" wp14:editId="3CA74740">
            <wp:extent cx="5372100" cy="1581150"/>
            <wp:effectExtent l="0" t="0" r="0" b="0"/>
            <wp:docPr id="8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5372100" cy="1581150"/>
                    </a:xfrm>
                    <a:prstGeom prst="rect">
                      <a:avLst/>
                    </a:prstGeom>
                    <a:noFill/>
                    <a:ln>
                      <a:noFill/>
                    </a:ln>
                  </pic:spPr>
                </pic:pic>
              </a:graphicData>
            </a:graphic>
          </wp:inline>
        </w:drawing>
      </w:r>
    </w:p>
    <w:p w:rsidR="00C81B24" w:rsidRPr="00C81B24" w:rsidRDefault="00C81B24" w:rsidP="00CE5850">
      <w:pPr>
        <w:spacing w:after="120"/>
        <w:ind w:left="720"/>
        <w:jc w:val="center"/>
        <w:rPr>
          <w:szCs w:val="22"/>
        </w:rPr>
      </w:pPr>
      <w:r>
        <w:rPr>
          <w:noProof/>
          <w:szCs w:val="22"/>
        </w:rPr>
        <w:drawing>
          <wp:inline distT="0" distB="0" distL="0" distR="0" wp14:anchorId="786538DD" wp14:editId="5E437596">
            <wp:extent cx="4695825" cy="1123950"/>
            <wp:effectExtent l="0" t="0" r="9525" b="0"/>
            <wp:docPr id="8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4695825" cy="1123950"/>
                    </a:xfrm>
                    <a:prstGeom prst="rect">
                      <a:avLst/>
                    </a:prstGeom>
                    <a:noFill/>
                    <a:ln>
                      <a:noFill/>
                    </a:ln>
                  </pic:spPr>
                </pic:pic>
              </a:graphicData>
            </a:graphic>
          </wp:inline>
        </w:drawing>
      </w:r>
    </w:p>
    <w:p w:rsidR="00C81B24" w:rsidRPr="00C81B24" w:rsidRDefault="00C81B24" w:rsidP="00CE5850">
      <w:pPr>
        <w:numPr>
          <w:ilvl w:val="0"/>
          <w:numId w:val="48"/>
        </w:numPr>
        <w:spacing w:after="120"/>
        <w:rPr>
          <w:szCs w:val="22"/>
        </w:rPr>
        <w:sectPr w:rsidR="00C81B24" w:rsidRPr="00C81B24" w:rsidSect="006D00DF">
          <w:footnotePr>
            <w:numRestart w:val="eachSect"/>
          </w:footnotePr>
          <w:endnotePr>
            <w:numFmt w:val="decimal"/>
          </w:endnotePr>
          <w:type w:val="continuous"/>
          <w:pgSz w:w="12240" w:h="15840" w:code="1"/>
          <w:pgMar w:top="1080" w:right="1440" w:bottom="1080" w:left="1440" w:header="720" w:footer="720" w:gutter="0"/>
          <w:cols w:space="720"/>
        </w:sectPr>
      </w:pPr>
      <w:r w:rsidRPr="00C81B24">
        <w:rPr>
          <w:i/>
          <w:szCs w:val="22"/>
        </w:rPr>
        <w:t>Ancillary Terrestrial Component (ATC) and Terrestrial Broadband</w:t>
      </w:r>
      <w:r w:rsidRPr="00C81B24">
        <w:rPr>
          <w:szCs w:val="22"/>
        </w:rPr>
        <w:t>.  In 2003, the Commission adopted a Report and Order that permits MSS licensees (except in the Little LEO band) to provide ATC to their mobile satellite systems using spectrum in certain portions of the MSS bands.</w:t>
      </w:r>
      <w:r w:rsidRPr="00C81B24">
        <w:rPr>
          <w:szCs w:val="22"/>
          <w:vertAlign w:val="superscript"/>
        </w:rPr>
        <w:footnoteReference w:id="1342"/>
      </w:r>
      <w:r w:rsidRPr="00C81B24">
        <w:rPr>
          <w:szCs w:val="22"/>
          <w:vertAlign w:val="superscript"/>
        </w:rPr>
        <w:t xml:space="preserve"> </w:t>
      </w:r>
      <w:r w:rsidRPr="00C81B24">
        <w:rPr>
          <w:szCs w:val="22"/>
        </w:rPr>
        <w:t xml:space="preserve"> ATC consists of terrestrial base stations and mobile terminals that re-use frequencies assigned for MSS operations.  To obtain ATC authority, an MSS operator must first satisfy certain gating criteria.</w:t>
      </w:r>
      <w:r w:rsidRPr="00C81B24">
        <w:rPr>
          <w:szCs w:val="22"/>
          <w:vertAlign w:val="superscript"/>
        </w:rPr>
        <w:footnoteReference w:id="1343"/>
      </w:r>
      <w:r w:rsidRPr="00C81B24">
        <w:rPr>
          <w:szCs w:val="22"/>
          <w:vertAlign w:val="superscript"/>
        </w:rPr>
        <w:t xml:space="preserve"> </w:t>
      </w:r>
      <w:r w:rsidRPr="00C81B24">
        <w:rPr>
          <w:szCs w:val="22"/>
        </w:rPr>
        <w:t xml:space="preserve"> To date, four MSS operators have obtained ATC authority.</w:t>
      </w:r>
      <w:r w:rsidRPr="00C81B24">
        <w:rPr>
          <w:szCs w:val="22"/>
          <w:vertAlign w:val="superscript"/>
        </w:rPr>
        <w:footnoteReference w:id="1344"/>
      </w:r>
      <w:r w:rsidRPr="00C81B24">
        <w:rPr>
          <w:szCs w:val="22"/>
        </w:rPr>
        <w:t xml:space="preserve">  Ninety (90) megahertz of MSS spectrum was identified as potentially available for terrestrial broadband use via ATC authority.</w:t>
      </w:r>
      <w:r w:rsidRPr="00C81B24">
        <w:rPr>
          <w:szCs w:val="22"/>
          <w:vertAlign w:val="superscript"/>
        </w:rPr>
        <w:footnoteReference w:id="1345"/>
      </w:r>
      <w:r w:rsidRPr="00C81B24">
        <w:rPr>
          <w:szCs w:val="22"/>
        </w:rPr>
        <w:t xml:space="preserve">  </w:t>
      </w:r>
      <w:r w:rsidRPr="00C81B24">
        <w:rPr>
          <w:color w:val="000000"/>
          <w:szCs w:val="22"/>
        </w:rPr>
        <w:t xml:space="preserve">In the </w:t>
      </w:r>
      <w:r w:rsidRPr="00C81B24">
        <w:rPr>
          <w:i/>
          <w:color w:val="000000"/>
          <w:szCs w:val="22"/>
        </w:rPr>
        <w:t>AWS-4 NPRM</w:t>
      </w:r>
      <w:r w:rsidRPr="00C81B24">
        <w:rPr>
          <w:color w:val="000000"/>
          <w:szCs w:val="22"/>
        </w:rPr>
        <w:t>, the Commission proposed eliminating the ATC rules for the 2 GHz band.</w:t>
      </w:r>
      <w:r w:rsidRPr="00C81B24">
        <w:rPr>
          <w:szCs w:val="22"/>
          <w:vertAlign w:val="superscript"/>
        </w:rPr>
        <w:footnoteReference w:id="1346"/>
      </w:r>
      <w:r w:rsidRPr="00C81B24">
        <w:rPr>
          <w:color w:val="000000"/>
          <w:szCs w:val="22"/>
        </w:rPr>
        <w:t xml:space="preserve">  </w:t>
      </w:r>
      <w:r w:rsidRPr="00C81B24">
        <w:rPr>
          <w:szCs w:val="22"/>
        </w:rPr>
        <w:t>In December 2012, the Commission eliminated the ATC rules for the 2 GHz band, granted terrestrial authority to the existing MSS licensee, and adopted service and licensing rules for the AWS-4 band that generally follow the Commission’s Part 27 flexible rules, modified as necessary to account for issues unique to that band.</w:t>
      </w:r>
      <w:r w:rsidRPr="00C81B24">
        <w:rPr>
          <w:szCs w:val="22"/>
          <w:vertAlign w:val="superscript"/>
        </w:rPr>
        <w:footnoteReference w:id="1347"/>
      </w:r>
      <w:bookmarkStart w:id="6837" w:name="_Toc183244844"/>
      <w:bookmarkStart w:id="6838" w:name="_Toc183244962"/>
      <w:bookmarkStart w:id="6839" w:name="_Toc183245620"/>
      <w:bookmarkStart w:id="6840" w:name="_Toc183246195"/>
      <w:bookmarkEnd w:id="6837"/>
      <w:bookmarkEnd w:id="6838"/>
      <w:bookmarkEnd w:id="6839"/>
      <w:bookmarkEnd w:id="6840"/>
    </w:p>
    <w:p w:rsidR="00EA514E" w:rsidRDefault="00EA514E" w:rsidP="00CE5850">
      <w:pPr>
        <w:jc w:val="center"/>
        <w:outlineLvl w:val="0"/>
        <w:rPr>
          <w:b/>
          <w:bCs/>
          <w:szCs w:val="22"/>
        </w:rPr>
        <w:sectPr w:rsidR="00EA514E" w:rsidSect="006D00DF">
          <w:headerReference w:type="default" r:id="rId97"/>
          <w:headerReference w:type="first" r:id="rId98"/>
          <w:footerReference w:type="first" r:id="rId99"/>
          <w:footnotePr>
            <w:numRestart w:val="eachSect"/>
          </w:footnotePr>
          <w:endnotePr>
            <w:numFmt w:val="decimal"/>
          </w:endnotePr>
          <w:pgSz w:w="12240" w:h="15840" w:code="1"/>
          <w:pgMar w:top="1080" w:right="1440" w:bottom="1080" w:left="1440" w:header="720" w:footer="720" w:gutter="0"/>
          <w:cols w:space="720"/>
          <w:docGrid w:linePitch="299"/>
        </w:sectPr>
      </w:pPr>
      <w:bookmarkStart w:id="6841" w:name="_Toc329262576"/>
      <w:bookmarkStart w:id="6842" w:name="_Toc329852482"/>
      <w:bookmarkStart w:id="6843" w:name="_Toc331766405"/>
      <w:bookmarkStart w:id="6844" w:name="_Toc332119209"/>
      <w:bookmarkStart w:id="6845" w:name="_Toc334088864"/>
      <w:bookmarkStart w:id="6846" w:name="_Toc334089100"/>
      <w:bookmarkStart w:id="6847" w:name="_Toc334089259"/>
      <w:bookmarkStart w:id="6848" w:name="_Toc334089370"/>
      <w:bookmarkStart w:id="6849" w:name="_Toc334089534"/>
      <w:bookmarkStart w:id="6850" w:name="_Toc335839112"/>
      <w:bookmarkStart w:id="6851" w:name="_Toc336268675"/>
      <w:bookmarkStart w:id="6852" w:name="_Toc336268783"/>
      <w:bookmarkStart w:id="6853" w:name="_Toc336268890"/>
      <w:bookmarkStart w:id="6854" w:name="_Toc336269104"/>
      <w:bookmarkStart w:id="6855" w:name="_Toc336269211"/>
      <w:bookmarkStart w:id="6856" w:name="_Toc336269579"/>
      <w:bookmarkStart w:id="6857" w:name="_Toc336269725"/>
      <w:bookmarkStart w:id="6858" w:name="_Toc336270138"/>
      <w:bookmarkStart w:id="6859" w:name="_Toc112139281"/>
    </w:p>
    <w:p w:rsidR="00EA514E" w:rsidRDefault="00EA514E" w:rsidP="00CE5850">
      <w:pPr>
        <w:jc w:val="center"/>
        <w:outlineLvl w:val="0"/>
        <w:rPr>
          <w:b/>
          <w:bCs/>
          <w:szCs w:val="22"/>
        </w:rPr>
      </w:pPr>
    </w:p>
    <w:p w:rsidR="00B32C43" w:rsidRDefault="00C81B24" w:rsidP="00CE5850">
      <w:pPr>
        <w:jc w:val="center"/>
        <w:outlineLvl w:val="0"/>
        <w:rPr>
          <w:b/>
          <w:bCs/>
          <w:szCs w:val="22"/>
        </w:rPr>
      </w:pPr>
      <w:r w:rsidRPr="00C81B24">
        <w:rPr>
          <w:b/>
          <w:bCs/>
          <w:szCs w:val="22"/>
        </w:rPr>
        <w:t xml:space="preserve">APPENDIX </w:t>
      </w:r>
      <w:bookmarkEnd w:id="6841"/>
      <w:bookmarkEnd w:id="6842"/>
      <w:bookmarkEnd w:id="6843"/>
      <w:bookmarkEnd w:id="6844"/>
      <w:bookmarkEnd w:id="6845"/>
      <w:bookmarkEnd w:id="6846"/>
      <w:bookmarkEnd w:id="6847"/>
      <w:bookmarkEnd w:id="6848"/>
      <w:bookmarkEnd w:id="6849"/>
      <w:bookmarkEnd w:id="6850"/>
      <w:r w:rsidRPr="00C81B24">
        <w:rPr>
          <w:b/>
          <w:bCs/>
          <w:szCs w:val="22"/>
        </w:rPr>
        <w:t>B</w:t>
      </w:r>
      <w:r w:rsidRPr="00C81B24">
        <w:rPr>
          <w:b/>
          <w:bCs/>
          <w:szCs w:val="22"/>
        </w:rPr>
        <w:br/>
      </w:r>
      <w:bookmarkStart w:id="6860" w:name="_Toc329262577"/>
      <w:bookmarkStart w:id="6861" w:name="_Toc329852483"/>
      <w:bookmarkStart w:id="6862" w:name="_Toc331766406"/>
      <w:bookmarkStart w:id="6863" w:name="_Toc332119210"/>
      <w:bookmarkStart w:id="6864" w:name="_Toc334088865"/>
      <w:bookmarkStart w:id="6865" w:name="_Toc334089101"/>
      <w:bookmarkStart w:id="6866" w:name="_Toc334089260"/>
      <w:bookmarkStart w:id="6867" w:name="_Toc334089371"/>
      <w:bookmarkStart w:id="6868" w:name="_Toc334089535"/>
      <w:bookmarkStart w:id="6869" w:name="_Toc335839113"/>
    </w:p>
    <w:p w:rsidR="00C81B24" w:rsidRPr="00C81B24" w:rsidRDefault="00C81B24" w:rsidP="00CE5850">
      <w:pPr>
        <w:jc w:val="center"/>
        <w:outlineLvl w:val="0"/>
        <w:rPr>
          <w:b/>
          <w:bCs/>
          <w:szCs w:val="22"/>
        </w:rPr>
      </w:pPr>
      <w:r w:rsidRPr="00C81B24">
        <w:rPr>
          <w:b/>
          <w:bCs/>
          <w:szCs w:val="22"/>
        </w:rPr>
        <w:t>Tables</w:t>
      </w:r>
      <w:bookmarkEnd w:id="6851"/>
      <w:bookmarkEnd w:id="6852"/>
      <w:bookmarkEnd w:id="6853"/>
      <w:bookmarkEnd w:id="6854"/>
      <w:bookmarkEnd w:id="6855"/>
      <w:bookmarkEnd w:id="6856"/>
      <w:bookmarkEnd w:id="6857"/>
      <w:bookmarkEnd w:id="6858"/>
      <w:bookmarkEnd w:id="6860"/>
      <w:bookmarkEnd w:id="6861"/>
      <w:bookmarkEnd w:id="6862"/>
      <w:bookmarkEnd w:id="6863"/>
      <w:bookmarkEnd w:id="6864"/>
      <w:bookmarkEnd w:id="6865"/>
      <w:bookmarkEnd w:id="6866"/>
      <w:bookmarkEnd w:id="6867"/>
      <w:bookmarkEnd w:id="6868"/>
      <w:bookmarkEnd w:id="6869"/>
    </w:p>
    <w:p w:rsidR="00C81B24" w:rsidRPr="00C81B24" w:rsidRDefault="00C81B24" w:rsidP="00CE5850">
      <w:pPr>
        <w:rPr>
          <w:szCs w:val="22"/>
        </w:rPr>
      </w:pPr>
    </w:p>
    <w:p w:rsidR="00C81B24" w:rsidRPr="00C81B24" w:rsidRDefault="00C81B24" w:rsidP="00CE5850">
      <w:pPr>
        <w:jc w:val="center"/>
        <w:outlineLvl w:val="0"/>
        <w:rPr>
          <w:b/>
          <w:bCs/>
          <w:szCs w:val="22"/>
        </w:rPr>
      </w:pPr>
      <w:bookmarkStart w:id="6870" w:name="_Toc329262578"/>
      <w:bookmarkStart w:id="6871" w:name="_Toc329852484"/>
      <w:bookmarkStart w:id="6872" w:name="_Toc331766407"/>
      <w:bookmarkStart w:id="6873" w:name="_Toc332119211"/>
      <w:bookmarkStart w:id="6874" w:name="_Toc334088866"/>
      <w:bookmarkStart w:id="6875" w:name="_Toc334089102"/>
      <w:bookmarkStart w:id="6876" w:name="_Toc334089261"/>
      <w:bookmarkStart w:id="6877" w:name="_Toc334089372"/>
      <w:bookmarkStart w:id="6878" w:name="_Toc334089536"/>
      <w:bookmarkStart w:id="6879" w:name="_Toc335839114"/>
      <w:bookmarkStart w:id="6880" w:name="_Toc336268676"/>
      <w:bookmarkStart w:id="6881" w:name="_Toc336268784"/>
      <w:bookmarkStart w:id="6882" w:name="_Toc336268891"/>
      <w:bookmarkStart w:id="6883" w:name="_Toc336269105"/>
      <w:bookmarkStart w:id="6884" w:name="_Toc336269212"/>
      <w:bookmarkStart w:id="6885" w:name="_Toc336269580"/>
      <w:bookmarkStart w:id="6886" w:name="_Toc336269726"/>
      <w:bookmarkStart w:id="6887" w:name="_Toc336270139"/>
      <w:r w:rsidRPr="00C81B24">
        <w:rPr>
          <w:b/>
          <w:bCs/>
          <w:szCs w:val="22"/>
        </w:rPr>
        <w:t>Table of Contents</w:t>
      </w:r>
      <w:bookmarkEnd w:id="6870"/>
      <w:bookmarkEnd w:id="6871"/>
      <w:bookmarkEnd w:id="6872"/>
      <w:bookmarkEnd w:id="6873"/>
      <w:bookmarkEnd w:id="6874"/>
      <w:bookmarkEnd w:id="6875"/>
      <w:bookmarkEnd w:id="6876"/>
      <w:bookmarkEnd w:id="6877"/>
      <w:bookmarkEnd w:id="6878"/>
      <w:bookmarkEnd w:id="6879"/>
      <w:bookmarkEnd w:id="6880"/>
      <w:bookmarkEnd w:id="6881"/>
      <w:bookmarkEnd w:id="6882"/>
      <w:bookmarkEnd w:id="6883"/>
      <w:bookmarkEnd w:id="6884"/>
      <w:bookmarkEnd w:id="6885"/>
      <w:bookmarkEnd w:id="6886"/>
      <w:bookmarkEnd w:id="6887"/>
    </w:p>
    <w:p w:rsidR="00C81B24" w:rsidRPr="00C81B24" w:rsidRDefault="00C81B24" w:rsidP="00CE5850">
      <w:pPr>
        <w:rPr>
          <w:szCs w:val="22"/>
        </w:rPr>
      </w:pPr>
    </w:p>
    <w:p w:rsidR="00C81B24" w:rsidRPr="00C81B24" w:rsidRDefault="00951E9B" w:rsidP="00CE5850">
      <w:pPr>
        <w:tabs>
          <w:tab w:val="right" w:leader="dot" w:pos="9350"/>
        </w:tabs>
        <w:rPr>
          <w:noProof/>
          <w:kern w:val="0"/>
          <w:szCs w:val="22"/>
          <w:lang w:eastAsia="zh-CN"/>
        </w:rPr>
      </w:pPr>
      <w:hyperlink w:anchor="_Toc278893121" w:history="1">
        <w:r w:rsidR="00C81B24" w:rsidRPr="00C81B24">
          <w:rPr>
            <w:noProof/>
            <w:szCs w:val="22"/>
          </w:rPr>
          <w:t>Table B-1: CTIA’s Semi-Annual Mobile Wireless Industry Survey</w:t>
        </w:r>
        <w:r w:rsidR="00C81B24" w:rsidRPr="00C81B24">
          <w:rPr>
            <w:noProof/>
            <w:webHidden/>
            <w:szCs w:val="22"/>
          </w:rPr>
          <w:tab/>
        </w:r>
      </w:hyperlink>
    </w:p>
    <w:p w:rsidR="00C81B24" w:rsidRPr="00C81B24" w:rsidRDefault="00C81B24" w:rsidP="00CE5850">
      <w:pPr>
        <w:tabs>
          <w:tab w:val="right" w:leader="dot" w:pos="9350"/>
        </w:tabs>
        <w:rPr>
          <w:noProof/>
          <w:szCs w:val="22"/>
        </w:rPr>
      </w:pPr>
    </w:p>
    <w:p w:rsidR="00C81B24" w:rsidRPr="00C81B24" w:rsidRDefault="00951E9B" w:rsidP="00CE5850">
      <w:pPr>
        <w:tabs>
          <w:tab w:val="right" w:leader="dot" w:pos="9350"/>
        </w:tabs>
        <w:rPr>
          <w:noProof/>
          <w:kern w:val="0"/>
          <w:szCs w:val="22"/>
          <w:lang w:eastAsia="zh-CN"/>
        </w:rPr>
      </w:pPr>
      <w:hyperlink w:anchor="_Toc278893122" w:history="1">
        <w:r w:rsidR="00C81B24" w:rsidRPr="00C81B24">
          <w:rPr>
            <w:noProof/>
            <w:szCs w:val="22"/>
          </w:rPr>
          <w:t>Table B-2: FCC’s Semi-Annual Local Telephone Competition Data Collection: Mobile Telephone Subscribership</w:t>
        </w:r>
        <w:r w:rsidR="00C81B24" w:rsidRPr="00C81B24">
          <w:rPr>
            <w:noProof/>
            <w:webHidden/>
            <w:szCs w:val="22"/>
          </w:rPr>
          <w:tab/>
        </w:r>
      </w:hyperlink>
    </w:p>
    <w:p w:rsidR="00C81B24" w:rsidRPr="00C81B24" w:rsidRDefault="00C81B24" w:rsidP="00CE5850">
      <w:pPr>
        <w:tabs>
          <w:tab w:val="right" w:leader="dot" w:pos="9350"/>
        </w:tabs>
        <w:rPr>
          <w:noProof/>
          <w:szCs w:val="22"/>
        </w:rPr>
      </w:pPr>
    </w:p>
    <w:p w:rsidR="00C81B24" w:rsidRPr="00C81B24" w:rsidRDefault="00951E9B" w:rsidP="00CE5850">
      <w:pPr>
        <w:tabs>
          <w:tab w:val="right" w:leader="dot" w:pos="9350"/>
        </w:tabs>
        <w:rPr>
          <w:noProof/>
          <w:kern w:val="0"/>
          <w:szCs w:val="22"/>
          <w:lang w:eastAsia="zh-CN"/>
        </w:rPr>
      </w:pPr>
      <w:hyperlink w:anchor="_Toc278893123" w:history="1">
        <w:r w:rsidR="00C81B24" w:rsidRPr="00C81B24">
          <w:rPr>
            <w:noProof/>
            <w:szCs w:val="22"/>
          </w:rPr>
          <w:t>Table B-3: Economic Area Penetration Rates, 2010</w:t>
        </w:r>
        <w:r w:rsidR="00C81B24" w:rsidRPr="00C81B24">
          <w:rPr>
            <w:noProof/>
            <w:webHidden/>
            <w:szCs w:val="22"/>
          </w:rPr>
          <w:tab/>
        </w:r>
      </w:hyperlink>
    </w:p>
    <w:p w:rsidR="00C81B24" w:rsidRPr="00C81B24" w:rsidRDefault="00C81B24" w:rsidP="00CE5850">
      <w:pPr>
        <w:rPr>
          <w:szCs w:val="22"/>
          <w:lang w:eastAsia="zh-CN"/>
        </w:rPr>
      </w:pPr>
    </w:p>
    <w:p w:rsidR="00C81B24" w:rsidRPr="00C81B24" w:rsidRDefault="00C81B24" w:rsidP="00CE5850">
      <w:pPr>
        <w:rPr>
          <w:szCs w:val="22"/>
          <w:lang w:eastAsia="zh-CN"/>
        </w:rPr>
      </w:pPr>
      <w:r w:rsidRPr="00C81B24">
        <w:rPr>
          <w:szCs w:val="22"/>
          <w:lang w:eastAsia="zh-CN"/>
        </w:rPr>
        <w:t>Table B-4: Economic Area Penetration Rates, 2011………………………………………………………...</w:t>
      </w:r>
    </w:p>
    <w:p w:rsidR="00C81B24" w:rsidRPr="00C81B24" w:rsidRDefault="00C81B24" w:rsidP="00CE5850">
      <w:pPr>
        <w:rPr>
          <w:szCs w:val="22"/>
        </w:rPr>
      </w:pPr>
    </w:p>
    <w:p w:rsidR="00C81B24" w:rsidRPr="00C81B24" w:rsidRDefault="00951E9B" w:rsidP="00CE5850">
      <w:pPr>
        <w:tabs>
          <w:tab w:val="right" w:leader="dot" w:pos="9350"/>
        </w:tabs>
        <w:rPr>
          <w:noProof/>
          <w:kern w:val="0"/>
          <w:szCs w:val="22"/>
          <w:lang w:eastAsia="zh-CN"/>
        </w:rPr>
      </w:pPr>
      <w:hyperlink w:anchor="_Toc278893125" w:history="1">
        <w:r w:rsidR="00C81B24" w:rsidRPr="00C81B24">
          <w:rPr>
            <w:noProof/>
            <w:szCs w:val="22"/>
          </w:rPr>
          <w:t>Table B-5: Mobile Wireless Devices Capable of Sending or Receiving Data at Speeds Above  200 kbps and Subscribers with Data Plans for Full Internet Access  as of December 31, 2011</w:t>
        </w:r>
        <w:r w:rsidR="00C81B24" w:rsidRPr="00C81B24">
          <w:rPr>
            <w:noProof/>
            <w:webHidden/>
            <w:szCs w:val="22"/>
          </w:rPr>
          <w:tab/>
        </w:r>
      </w:hyperlink>
    </w:p>
    <w:p w:rsidR="00C81B24" w:rsidRPr="00C81B24" w:rsidRDefault="00C81B24" w:rsidP="00CE5850">
      <w:pPr>
        <w:tabs>
          <w:tab w:val="right" w:leader="dot" w:pos="9350"/>
        </w:tabs>
        <w:rPr>
          <w:noProof/>
          <w:szCs w:val="22"/>
        </w:rPr>
      </w:pPr>
    </w:p>
    <w:p w:rsidR="00C81B24" w:rsidRPr="00C81B24" w:rsidRDefault="00951E9B" w:rsidP="00CE5850">
      <w:pPr>
        <w:tabs>
          <w:tab w:val="right" w:leader="dot" w:pos="9350"/>
        </w:tabs>
        <w:rPr>
          <w:szCs w:val="22"/>
        </w:rPr>
      </w:pPr>
      <w:hyperlink w:anchor="_Toc278893127" w:history="1">
        <w:r w:rsidR="00C81B24" w:rsidRPr="00C81B24">
          <w:rPr>
            <w:noProof/>
            <w:szCs w:val="22"/>
          </w:rPr>
          <w:t>Table B-6:  Network Performance Results, Average Data Speeds for Laptops and Smartphones, PCWorld, March 2011</w:t>
        </w:r>
        <w:r w:rsidR="00C81B24" w:rsidRPr="00C81B24">
          <w:rPr>
            <w:noProof/>
            <w:webHidden/>
            <w:szCs w:val="22"/>
          </w:rPr>
          <w:tab/>
        </w:r>
      </w:hyperlink>
    </w:p>
    <w:p w:rsidR="00C81B24" w:rsidRPr="00C81B24" w:rsidRDefault="00C81B24" w:rsidP="00CE5850">
      <w:pPr>
        <w:tabs>
          <w:tab w:val="right" w:leader="dot" w:pos="9350"/>
        </w:tabs>
        <w:rPr>
          <w:noProof/>
          <w:szCs w:val="22"/>
        </w:rPr>
      </w:pPr>
    </w:p>
    <w:p w:rsidR="00C81B24" w:rsidRPr="00C81B24" w:rsidRDefault="00951E9B" w:rsidP="00CE5850">
      <w:pPr>
        <w:tabs>
          <w:tab w:val="right" w:leader="dot" w:pos="9350"/>
        </w:tabs>
        <w:rPr>
          <w:szCs w:val="22"/>
        </w:rPr>
      </w:pPr>
      <w:hyperlink w:anchor="_Toc278893128" w:history="1">
        <w:r w:rsidR="00C81B24" w:rsidRPr="00C81B24">
          <w:rPr>
            <w:noProof/>
            <w:szCs w:val="22"/>
          </w:rPr>
          <w:t>Table B-7:  Network Performance Results, Average Data Speeds for 3G and 4G Networks, PCWorld, April 2012</w:t>
        </w:r>
        <w:r w:rsidR="00C81B24" w:rsidRPr="00C81B24">
          <w:rPr>
            <w:noProof/>
            <w:webHidden/>
            <w:szCs w:val="22"/>
          </w:rPr>
          <w:tab/>
        </w:r>
      </w:hyperlink>
    </w:p>
    <w:p w:rsidR="00C81B24" w:rsidRPr="00C81B24" w:rsidRDefault="00C81B24" w:rsidP="00CE5850">
      <w:pPr>
        <w:tabs>
          <w:tab w:val="right" w:leader="dot" w:pos="9350"/>
        </w:tabs>
        <w:rPr>
          <w:noProof/>
          <w:szCs w:val="22"/>
        </w:rPr>
      </w:pPr>
    </w:p>
    <w:p w:rsidR="00C81B24" w:rsidRPr="00C81B24" w:rsidRDefault="00951E9B" w:rsidP="00CE5850">
      <w:pPr>
        <w:tabs>
          <w:tab w:val="right" w:leader="dot" w:pos="9350"/>
        </w:tabs>
        <w:rPr>
          <w:noProof/>
          <w:szCs w:val="22"/>
        </w:rPr>
      </w:pPr>
      <w:hyperlink w:anchor="_Toc278893128" w:history="1">
        <w:r w:rsidR="00C81B24" w:rsidRPr="00C81B24">
          <w:rPr>
            <w:noProof/>
            <w:szCs w:val="22"/>
          </w:rPr>
          <w:t>Table B-8:  Network Performance Results, Average Data Speeds, PCMag, June 2011</w:t>
        </w:r>
        <w:r w:rsidR="00C81B24" w:rsidRPr="00C81B24">
          <w:rPr>
            <w:noProof/>
            <w:webHidden/>
            <w:szCs w:val="22"/>
          </w:rPr>
          <w:tab/>
        </w:r>
      </w:hyperlink>
    </w:p>
    <w:p w:rsidR="00C81B24" w:rsidRPr="00C81B24" w:rsidRDefault="00C81B24" w:rsidP="00CE5850">
      <w:pPr>
        <w:tabs>
          <w:tab w:val="right" w:leader="dot" w:pos="9350"/>
        </w:tabs>
        <w:rPr>
          <w:noProof/>
          <w:szCs w:val="22"/>
        </w:rPr>
      </w:pPr>
    </w:p>
    <w:p w:rsidR="00C81B24" w:rsidRPr="00C81B24" w:rsidRDefault="00951E9B" w:rsidP="00CE5850">
      <w:pPr>
        <w:tabs>
          <w:tab w:val="right" w:leader="dot" w:pos="9350"/>
        </w:tabs>
        <w:rPr>
          <w:szCs w:val="22"/>
        </w:rPr>
      </w:pPr>
      <w:hyperlink w:anchor="_Toc278893128" w:history="1">
        <w:r w:rsidR="00C81B24" w:rsidRPr="00C81B24">
          <w:rPr>
            <w:noProof/>
            <w:szCs w:val="22"/>
          </w:rPr>
          <w:t>Table B-9:  Network Performance Results, Average Data Speeds, PCMag, June 2012</w:t>
        </w:r>
        <w:r w:rsidR="00C81B24" w:rsidRPr="00C81B24">
          <w:rPr>
            <w:noProof/>
            <w:webHidden/>
            <w:szCs w:val="22"/>
          </w:rPr>
          <w:tab/>
        </w:r>
      </w:hyperlink>
    </w:p>
    <w:p w:rsidR="00C81B24" w:rsidRPr="00C81B24" w:rsidRDefault="00C81B24" w:rsidP="00CE5850">
      <w:pPr>
        <w:tabs>
          <w:tab w:val="right" w:leader="dot" w:pos="9350"/>
        </w:tabs>
        <w:rPr>
          <w:noProof/>
          <w:szCs w:val="22"/>
        </w:rPr>
      </w:pPr>
    </w:p>
    <w:p w:rsidR="00C81B24" w:rsidRPr="00C81B24" w:rsidRDefault="00951E9B" w:rsidP="00CE5850">
      <w:pPr>
        <w:tabs>
          <w:tab w:val="right" w:leader="dot" w:pos="9350"/>
        </w:tabs>
        <w:rPr>
          <w:szCs w:val="22"/>
        </w:rPr>
      </w:pPr>
      <w:hyperlink w:anchor="_Toc278893129" w:history="1">
        <w:r w:rsidR="00C81B24" w:rsidRPr="00C81B24">
          <w:rPr>
            <w:noProof/>
            <w:szCs w:val="22"/>
          </w:rPr>
          <w:t>Table B-10: Network Performance Results, Average Data Speeds, RootMetrics, 2012</w:t>
        </w:r>
        <w:r w:rsidR="00C81B24" w:rsidRPr="00C81B24">
          <w:rPr>
            <w:noProof/>
            <w:webHidden/>
            <w:szCs w:val="22"/>
          </w:rPr>
          <w:tab/>
        </w:r>
      </w:hyperlink>
    </w:p>
    <w:p w:rsidR="00C81B24" w:rsidRPr="00C81B24" w:rsidRDefault="00C81B24" w:rsidP="00CE5850">
      <w:pPr>
        <w:tabs>
          <w:tab w:val="left" w:leader="dot" w:pos="8827"/>
          <w:tab w:val="left" w:leader="dot" w:pos="9360"/>
        </w:tabs>
        <w:rPr>
          <w:szCs w:val="22"/>
        </w:rPr>
      </w:pPr>
    </w:p>
    <w:p w:rsidR="00C81B24" w:rsidRPr="00C81B24" w:rsidRDefault="00C81B24" w:rsidP="00CE5850">
      <w:pPr>
        <w:tabs>
          <w:tab w:val="left" w:leader="dot" w:pos="8827"/>
          <w:tab w:val="left" w:leader="dot" w:pos="9360"/>
        </w:tabs>
        <w:rPr>
          <w:szCs w:val="22"/>
        </w:rPr>
      </w:pPr>
    </w:p>
    <w:p w:rsidR="00C81B24" w:rsidRPr="00C81B24" w:rsidRDefault="00C81B24" w:rsidP="00CE5850">
      <w:pPr>
        <w:rPr>
          <w:szCs w:val="22"/>
        </w:rPr>
      </w:pPr>
    </w:p>
    <w:p w:rsidR="00C81B24" w:rsidRPr="00C81B24" w:rsidRDefault="00C81B24" w:rsidP="00CE5850">
      <w:pPr>
        <w:tabs>
          <w:tab w:val="left" w:pos="8820"/>
        </w:tabs>
        <w:rPr>
          <w:sz w:val="20"/>
        </w:rPr>
      </w:pPr>
      <w:r w:rsidRPr="00C81B24">
        <w:rPr>
          <w:szCs w:val="22"/>
        </w:rPr>
        <w:br w:type="page"/>
      </w:r>
    </w:p>
    <w:p w:rsidR="00C81B24" w:rsidRPr="00C81B24" w:rsidRDefault="00C81B24" w:rsidP="00CE5850">
      <w:pPr>
        <w:jc w:val="center"/>
        <w:rPr>
          <w:b/>
          <w:bCs/>
          <w:kern w:val="0"/>
          <w:szCs w:val="22"/>
        </w:rPr>
      </w:pPr>
      <w:bookmarkStart w:id="6888" w:name="_Toc112139273"/>
      <w:bookmarkStart w:id="6889" w:name="_Ref256157691"/>
      <w:bookmarkStart w:id="6890" w:name="_Ref256157736"/>
      <w:bookmarkStart w:id="6891" w:name="_Ref256157748"/>
      <w:bookmarkStart w:id="6892" w:name="_Ref260141347"/>
      <w:bookmarkStart w:id="6893" w:name="_Ref278892811"/>
      <w:bookmarkStart w:id="6894" w:name="_Toc278893121"/>
      <w:r w:rsidRPr="00C81B24">
        <w:rPr>
          <w:b/>
          <w:bCs/>
          <w:kern w:val="0"/>
          <w:szCs w:val="22"/>
        </w:rPr>
        <w:t>Table B-1</w:t>
      </w:r>
    </w:p>
    <w:p w:rsidR="00C81B24" w:rsidRPr="00C81B24" w:rsidRDefault="00C81B24" w:rsidP="00CE5850">
      <w:pPr>
        <w:spacing w:after="120"/>
        <w:jc w:val="center"/>
        <w:rPr>
          <w:b/>
          <w:bCs/>
          <w:kern w:val="0"/>
          <w:szCs w:val="22"/>
        </w:rPr>
      </w:pPr>
      <w:r w:rsidRPr="00C81B24">
        <w:rPr>
          <w:b/>
          <w:bCs/>
          <w:kern w:val="0"/>
          <w:szCs w:val="22"/>
        </w:rPr>
        <w:t>CTIA’s Semi-Annual Mobile Wireless Industry Survey</w:t>
      </w:r>
      <w:bookmarkEnd w:id="6888"/>
      <w:bookmarkEnd w:id="6889"/>
      <w:bookmarkEnd w:id="6890"/>
      <w:bookmarkEnd w:id="6891"/>
      <w:bookmarkEnd w:id="6892"/>
      <w:bookmarkEnd w:id="6893"/>
      <w:bookmarkEnd w:id="6894"/>
      <w:r w:rsidRPr="00C81B24">
        <w:rPr>
          <w:b/>
          <w:bCs/>
          <w:kern w:val="0"/>
          <w:szCs w:val="22"/>
        </w:rPr>
        <w:t>, 1985-2011</w:t>
      </w:r>
    </w:p>
    <w:tbl>
      <w:tblPr>
        <w:tblW w:w="0" w:type="auto"/>
        <w:jc w:val="center"/>
        <w:tblLayout w:type="fixed"/>
        <w:tblCellMar>
          <w:left w:w="30" w:type="dxa"/>
          <w:right w:w="30" w:type="dxa"/>
        </w:tblCellMar>
        <w:tblLook w:val="0000" w:firstRow="0" w:lastRow="0" w:firstColumn="0" w:lastColumn="0" w:noHBand="0" w:noVBand="0"/>
      </w:tblPr>
      <w:tblGrid>
        <w:gridCol w:w="661"/>
        <w:gridCol w:w="1006"/>
        <w:gridCol w:w="1077"/>
        <w:gridCol w:w="1292"/>
        <w:gridCol w:w="1080"/>
        <w:gridCol w:w="720"/>
        <w:gridCol w:w="990"/>
        <w:gridCol w:w="1246"/>
      </w:tblGrid>
      <w:tr w:rsidR="00C81B24" w:rsidRPr="00C81B24" w:rsidTr="00526AD9">
        <w:trPr>
          <w:jc w:val="center"/>
        </w:trPr>
        <w:tc>
          <w:tcPr>
            <w:tcW w:w="661" w:type="dxa"/>
            <w:tcBorders>
              <w:top w:val="single" w:sz="6" w:space="0" w:color="auto"/>
              <w:left w:val="single" w:sz="6" w:space="0" w:color="auto"/>
              <w:right w:val="single" w:sz="6" w:space="0" w:color="auto"/>
            </w:tcBorders>
          </w:tcPr>
          <w:p w:rsidR="00C81B24" w:rsidRPr="00C81B24" w:rsidRDefault="00C81B24" w:rsidP="00CE5850">
            <w:pPr>
              <w:jc w:val="center"/>
              <w:rPr>
                <w:sz w:val="18"/>
                <w:szCs w:val="18"/>
              </w:rPr>
            </w:pPr>
            <w:r w:rsidRPr="00C81B24">
              <w:rPr>
                <w:sz w:val="18"/>
                <w:szCs w:val="18"/>
              </w:rPr>
              <w:t>Date</w:t>
            </w:r>
          </w:p>
        </w:tc>
        <w:tc>
          <w:tcPr>
            <w:tcW w:w="1006" w:type="dxa"/>
            <w:tcBorders>
              <w:top w:val="single" w:sz="6" w:space="0" w:color="auto"/>
            </w:tcBorders>
          </w:tcPr>
          <w:p w:rsidR="00C81B24" w:rsidRPr="00C81B24" w:rsidRDefault="00C81B24" w:rsidP="00CE5850">
            <w:pPr>
              <w:jc w:val="center"/>
              <w:rPr>
                <w:sz w:val="18"/>
                <w:szCs w:val="18"/>
              </w:rPr>
            </w:pPr>
            <w:r w:rsidRPr="00C81B24">
              <w:rPr>
                <w:sz w:val="18"/>
                <w:szCs w:val="18"/>
              </w:rPr>
              <w:t>Estimated  Connections</w:t>
            </w:r>
          </w:p>
        </w:tc>
        <w:tc>
          <w:tcPr>
            <w:tcW w:w="1077" w:type="dxa"/>
            <w:tcBorders>
              <w:top w:val="single" w:sz="6" w:space="0" w:color="auto"/>
            </w:tcBorders>
          </w:tcPr>
          <w:p w:rsidR="00C81B24" w:rsidRPr="00C81B24" w:rsidRDefault="00C81B24" w:rsidP="00CE5850">
            <w:pPr>
              <w:jc w:val="center"/>
              <w:rPr>
                <w:sz w:val="18"/>
                <w:szCs w:val="18"/>
              </w:rPr>
            </w:pPr>
            <w:r w:rsidRPr="00C81B24">
              <w:rPr>
                <w:sz w:val="18"/>
                <w:szCs w:val="18"/>
              </w:rPr>
              <w:t>Year End over Year End Connections Increase</w:t>
            </w:r>
          </w:p>
        </w:tc>
        <w:tc>
          <w:tcPr>
            <w:tcW w:w="1292" w:type="dxa"/>
            <w:tcBorders>
              <w:top w:val="single" w:sz="6" w:space="0" w:color="auto"/>
            </w:tcBorders>
          </w:tcPr>
          <w:p w:rsidR="00C81B24" w:rsidRPr="00C81B24" w:rsidRDefault="00C81B24" w:rsidP="00CE5850">
            <w:pPr>
              <w:jc w:val="center"/>
              <w:rPr>
                <w:sz w:val="18"/>
                <w:szCs w:val="18"/>
              </w:rPr>
            </w:pPr>
            <w:r w:rsidRPr="00C81B24">
              <w:rPr>
                <w:sz w:val="18"/>
                <w:szCs w:val="18"/>
              </w:rPr>
              <w:t>12-Month Total Service Revenues (in $000s)</w:t>
            </w:r>
          </w:p>
        </w:tc>
        <w:tc>
          <w:tcPr>
            <w:tcW w:w="1080" w:type="dxa"/>
            <w:tcBorders>
              <w:top w:val="single" w:sz="6" w:space="0" w:color="auto"/>
            </w:tcBorders>
          </w:tcPr>
          <w:p w:rsidR="00C81B24" w:rsidRPr="00C81B24" w:rsidRDefault="00C81B24" w:rsidP="00CE5850">
            <w:pPr>
              <w:jc w:val="center"/>
              <w:rPr>
                <w:sz w:val="18"/>
                <w:szCs w:val="18"/>
              </w:rPr>
            </w:pPr>
            <w:r w:rsidRPr="00C81B24">
              <w:rPr>
                <w:sz w:val="18"/>
                <w:szCs w:val="18"/>
              </w:rPr>
              <w:t>12-Month  Roamer Services Revenues (in $000s)</w:t>
            </w:r>
          </w:p>
        </w:tc>
        <w:tc>
          <w:tcPr>
            <w:tcW w:w="720" w:type="dxa"/>
            <w:tcBorders>
              <w:top w:val="single" w:sz="6" w:space="0" w:color="auto"/>
            </w:tcBorders>
          </w:tcPr>
          <w:p w:rsidR="00C81B24" w:rsidRPr="00C81B24" w:rsidRDefault="00C81B24" w:rsidP="00CE5850">
            <w:pPr>
              <w:jc w:val="center"/>
              <w:rPr>
                <w:sz w:val="18"/>
                <w:szCs w:val="18"/>
              </w:rPr>
            </w:pPr>
            <w:r w:rsidRPr="00C81B24">
              <w:rPr>
                <w:sz w:val="18"/>
                <w:szCs w:val="18"/>
              </w:rPr>
              <w:t>Cell Sites</w:t>
            </w:r>
          </w:p>
        </w:tc>
        <w:tc>
          <w:tcPr>
            <w:tcW w:w="990" w:type="dxa"/>
            <w:tcBorders>
              <w:top w:val="single" w:sz="6" w:space="0" w:color="auto"/>
            </w:tcBorders>
          </w:tcPr>
          <w:p w:rsidR="00C81B24" w:rsidRPr="00C81B24" w:rsidRDefault="00C81B24" w:rsidP="00CE5850">
            <w:pPr>
              <w:jc w:val="center"/>
              <w:rPr>
                <w:sz w:val="18"/>
                <w:szCs w:val="18"/>
              </w:rPr>
            </w:pPr>
            <w:r w:rsidRPr="00C81B24">
              <w:rPr>
                <w:sz w:val="18"/>
                <w:szCs w:val="18"/>
              </w:rPr>
              <w:t>Direct Service Provider Employees</w:t>
            </w:r>
          </w:p>
        </w:tc>
        <w:tc>
          <w:tcPr>
            <w:tcW w:w="1246" w:type="dxa"/>
            <w:tcBorders>
              <w:top w:val="single" w:sz="6" w:space="0" w:color="auto"/>
              <w:right w:val="single" w:sz="6" w:space="0" w:color="auto"/>
            </w:tcBorders>
          </w:tcPr>
          <w:p w:rsidR="00C81B24" w:rsidRPr="00C81B24" w:rsidRDefault="00C81B24" w:rsidP="00CE5850">
            <w:pPr>
              <w:jc w:val="center"/>
              <w:rPr>
                <w:bCs/>
                <w:sz w:val="18"/>
                <w:szCs w:val="18"/>
              </w:rPr>
            </w:pPr>
            <w:r w:rsidRPr="00C81B24">
              <w:rPr>
                <w:sz w:val="18"/>
                <w:szCs w:val="18"/>
              </w:rPr>
              <w:t>Average Local Monthly Bill</w:t>
            </w:r>
            <w:r w:rsidRPr="00C81B24">
              <w:rPr>
                <w:sz w:val="18"/>
                <w:szCs w:val="18"/>
              </w:rPr>
              <w:br/>
            </w:r>
            <w:r w:rsidRPr="00C81B24">
              <w:rPr>
                <w:bCs/>
                <w:sz w:val="18"/>
                <w:szCs w:val="18"/>
              </w:rPr>
              <w:t>(Dec. Survey</w:t>
            </w:r>
          </w:p>
          <w:p w:rsidR="00C81B24" w:rsidRPr="00C81B24" w:rsidRDefault="00C81B24" w:rsidP="00CE5850">
            <w:pPr>
              <w:jc w:val="center"/>
              <w:rPr>
                <w:sz w:val="18"/>
                <w:szCs w:val="18"/>
              </w:rPr>
            </w:pPr>
            <w:r w:rsidRPr="00C81B24">
              <w:rPr>
                <w:bCs/>
                <w:sz w:val="18"/>
                <w:szCs w:val="18"/>
              </w:rPr>
              <w:t>Periods)</w:t>
            </w:r>
          </w:p>
          <w:p w:rsidR="00C81B24" w:rsidRPr="00C81B24" w:rsidRDefault="00C81B24" w:rsidP="00CE5850">
            <w:pPr>
              <w:jc w:val="center"/>
              <w:rPr>
                <w:sz w:val="18"/>
                <w:szCs w:val="18"/>
              </w:rPr>
            </w:pPr>
          </w:p>
        </w:tc>
      </w:tr>
      <w:tr w:rsidR="00C81B24" w:rsidRPr="00C81B24" w:rsidTr="00526AD9">
        <w:trPr>
          <w:trHeight w:val="285"/>
          <w:jc w:val="center"/>
        </w:trPr>
        <w:tc>
          <w:tcPr>
            <w:tcW w:w="661" w:type="dxa"/>
            <w:tcBorders>
              <w:left w:val="single" w:sz="6" w:space="0" w:color="auto"/>
              <w:right w:val="single" w:sz="6" w:space="0" w:color="auto"/>
            </w:tcBorders>
          </w:tcPr>
          <w:p w:rsidR="00C81B24" w:rsidRPr="00C81B24" w:rsidRDefault="00C81B24" w:rsidP="00CE5850">
            <w:pPr>
              <w:rPr>
                <w:sz w:val="18"/>
                <w:szCs w:val="18"/>
              </w:rPr>
            </w:pPr>
            <w:bookmarkStart w:id="6895" w:name="_Hlk5679939"/>
            <w:bookmarkStart w:id="6896" w:name="_Hlk133382235"/>
            <w:r w:rsidRPr="00C81B24">
              <w:rPr>
                <w:sz w:val="18"/>
                <w:szCs w:val="18"/>
              </w:rPr>
              <w:t>1985</w:t>
            </w:r>
          </w:p>
        </w:tc>
        <w:tc>
          <w:tcPr>
            <w:tcW w:w="1006" w:type="dxa"/>
          </w:tcPr>
          <w:p w:rsidR="00C81B24" w:rsidRPr="00C81B24" w:rsidRDefault="00C81B24" w:rsidP="00CE5850">
            <w:pPr>
              <w:rPr>
                <w:sz w:val="18"/>
                <w:szCs w:val="18"/>
              </w:rPr>
            </w:pPr>
            <w:r w:rsidRPr="00C81B24">
              <w:rPr>
                <w:sz w:val="18"/>
                <w:szCs w:val="18"/>
              </w:rPr>
              <w:t>340,213</w:t>
            </w:r>
          </w:p>
        </w:tc>
        <w:tc>
          <w:tcPr>
            <w:tcW w:w="1077" w:type="dxa"/>
          </w:tcPr>
          <w:p w:rsidR="00C81B24" w:rsidRPr="00C81B24" w:rsidRDefault="00C81B24" w:rsidP="00CE5850">
            <w:pPr>
              <w:rPr>
                <w:sz w:val="18"/>
                <w:szCs w:val="18"/>
              </w:rPr>
            </w:pPr>
            <w:r w:rsidRPr="00C81B24">
              <w:rPr>
                <w:sz w:val="18"/>
                <w:szCs w:val="18"/>
              </w:rPr>
              <w:t>248,613</w:t>
            </w:r>
          </w:p>
        </w:tc>
        <w:tc>
          <w:tcPr>
            <w:tcW w:w="1292" w:type="dxa"/>
          </w:tcPr>
          <w:p w:rsidR="00C81B24" w:rsidRPr="00C81B24" w:rsidRDefault="00C81B24" w:rsidP="00CE5850">
            <w:pPr>
              <w:rPr>
                <w:sz w:val="18"/>
                <w:szCs w:val="18"/>
              </w:rPr>
            </w:pPr>
            <w:r w:rsidRPr="00C81B24">
              <w:rPr>
                <w:sz w:val="18"/>
                <w:szCs w:val="18"/>
              </w:rPr>
              <w:t xml:space="preserve">$482,428 </w:t>
            </w:r>
          </w:p>
        </w:tc>
        <w:tc>
          <w:tcPr>
            <w:tcW w:w="1080" w:type="dxa"/>
          </w:tcPr>
          <w:p w:rsidR="00C81B24" w:rsidRPr="00C81B24" w:rsidRDefault="00C81B24" w:rsidP="00CE5850">
            <w:pPr>
              <w:rPr>
                <w:sz w:val="18"/>
                <w:szCs w:val="18"/>
              </w:rPr>
            </w:pPr>
            <w:r w:rsidRPr="00C81B24">
              <w:rPr>
                <w:sz w:val="18"/>
                <w:szCs w:val="18"/>
              </w:rPr>
              <w:t>N/A</w:t>
            </w:r>
          </w:p>
        </w:tc>
        <w:tc>
          <w:tcPr>
            <w:tcW w:w="720" w:type="dxa"/>
          </w:tcPr>
          <w:p w:rsidR="00C81B24" w:rsidRPr="00C81B24" w:rsidRDefault="00C81B24" w:rsidP="00CE5850">
            <w:pPr>
              <w:rPr>
                <w:sz w:val="18"/>
                <w:szCs w:val="18"/>
              </w:rPr>
            </w:pPr>
            <w:r w:rsidRPr="00C81B24">
              <w:rPr>
                <w:sz w:val="18"/>
                <w:szCs w:val="18"/>
              </w:rPr>
              <w:t>913</w:t>
            </w:r>
          </w:p>
        </w:tc>
        <w:tc>
          <w:tcPr>
            <w:tcW w:w="990" w:type="dxa"/>
          </w:tcPr>
          <w:p w:rsidR="00C81B24" w:rsidRPr="00C81B24" w:rsidRDefault="00C81B24" w:rsidP="00CE5850">
            <w:pPr>
              <w:rPr>
                <w:sz w:val="18"/>
                <w:szCs w:val="18"/>
              </w:rPr>
            </w:pPr>
            <w:r w:rsidRPr="00C81B24">
              <w:rPr>
                <w:sz w:val="18"/>
                <w:szCs w:val="18"/>
              </w:rPr>
              <w:t>2,727</w:t>
            </w:r>
          </w:p>
        </w:tc>
        <w:tc>
          <w:tcPr>
            <w:tcW w:w="1246" w:type="dxa"/>
            <w:tcBorders>
              <w:right w:val="single" w:sz="6" w:space="0" w:color="auto"/>
            </w:tcBorders>
          </w:tcPr>
          <w:p w:rsidR="00C81B24" w:rsidRPr="00C81B24" w:rsidRDefault="00C81B24" w:rsidP="00CE5850">
            <w:pPr>
              <w:rPr>
                <w:sz w:val="18"/>
                <w:szCs w:val="18"/>
              </w:rPr>
            </w:pPr>
            <w:r w:rsidRPr="00C81B24">
              <w:rPr>
                <w:sz w:val="18"/>
                <w:szCs w:val="18"/>
              </w:rPr>
              <w:t>N/A</w:t>
            </w:r>
          </w:p>
        </w:tc>
      </w:tr>
      <w:tr w:rsidR="00C81B24" w:rsidRPr="00C81B24" w:rsidTr="00526AD9">
        <w:trPr>
          <w:trHeight w:val="285"/>
          <w:jc w:val="center"/>
        </w:trPr>
        <w:tc>
          <w:tcPr>
            <w:tcW w:w="661" w:type="dxa"/>
            <w:tcBorders>
              <w:left w:val="single" w:sz="6" w:space="0" w:color="auto"/>
              <w:right w:val="single" w:sz="6" w:space="0" w:color="auto"/>
            </w:tcBorders>
          </w:tcPr>
          <w:p w:rsidR="00C81B24" w:rsidRPr="00C81B24" w:rsidRDefault="00C81B24" w:rsidP="00CE5850">
            <w:pPr>
              <w:rPr>
                <w:sz w:val="18"/>
                <w:szCs w:val="18"/>
              </w:rPr>
            </w:pPr>
            <w:r w:rsidRPr="00C81B24">
              <w:rPr>
                <w:sz w:val="18"/>
                <w:szCs w:val="18"/>
              </w:rPr>
              <w:t>1986</w:t>
            </w:r>
          </w:p>
        </w:tc>
        <w:tc>
          <w:tcPr>
            <w:tcW w:w="1006" w:type="dxa"/>
          </w:tcPr>
          <w:p w:rsidR="00C81B24" w:rsidRPr="00C81B24" w:rsidRDefault="00C81B24" w:rsidP="00CE5850">
            <w:pPr>
              <w:rPr>
                <w:sz w:val="18"/>
                <w:szCs w:val="18"/>
              </w:rPr>
            </w:pPr>
            <w:r w:rsidRPr="00C81B24">
              <w:rPr>
                <w:sz w:val="18"/>
                <w:szCs w:val="18"/>
              </w:rPr>
              <w:t>681,825</w:t>
            </w:r>
          </w:p>
        </w:tc>
        <w:tc>
          <w:tcPr>
            <w:tcW w:w="1077" w:type="dxa"/>
          </w:tcPr>
          <w:p w:rsidR="00C81B24" w:rsidRPr="00C81B24" w:rsidRDefault="00C81B24" w:rsidP="00CE5850">
            <w:pPr>
              <w:rPr>
                <w:sz w:val="18"/>
                <w:szCs w:val="18"/>
              </w:rPr>
            </w:pPr>
            <w:r w:rsidRPr="00C81B24">
              <w:rPr>
                <w:sz w:val="18"/>
                <w:szCs w:val="18"/>
              </w:rPr>
              <w:t>341,612</w:t>
            </w:r>
          </w:p>
        </w:tc>
        <w:tc>
          <w:tcPr>
            <w:tcW w:w="1292" w:type="dxa"/>
          </w:tcPr>
          <w:p w:rsidR="00C81B24" w:rsidRPr="00C81B24" w:rsidRDefault="00C81B24" w:rsidP="00CE5850">
            <w:pPr>
              <w:rPr>
                <w:sz w:val="18"/>
                <w:szCs w:val="18"/>
              </w:rPr>
            </w:pPr>
            <w:r w:rsidRPr="00C81B24">
              <w:rPr>
                <w:sz w:val="18"/>
                <w:szCs w:val="18"/>
              </w:rPr>
              <w:t xml:space="preserve">$823,052 </w:t>
            </w:r>
          </w:p>
        </w:tc>
        <w:tc>
          <w:tcPr>
            <w:tcW w:w="1080" w:type="dxa"/>
          </w:tcPr>
          <w:p w:rsidR="00C81B24" w:rsidRPr="00C81B24" w:rsidRDefault="00C81B24" w:rsidP="00CE5850">
            <w:pPr>
              <w:rPr>
                <w:sz w:val="18"/>
                <w:szCs w:val="18"/>
              </w:rPr>
            </w:pPr>
            <w:r w:rsidRPr="00C81B24">
              <w:rPr>
                <w:sz w:val="18"/>
                <w:szCs w:val="18"/>
              </w:rPr>
              <w:t>N/A</w:t>
            </w:r>
          </w:p>
        </w:tc>
        <w:tc>
          <w:tcPr>
            <w:tcW w:w="720" w:type="dxa"/>
          </w:tcPr>
          <w:p w:rsidR="00C81B24" w:rsidRPr="00C81B24" w:rsidRDefault="00C81B24" w:rsidP="00CE5850">
            <w:pPr>
              <w:rPr>
                <w:sz w:val="18"/>
                <w:szCs w:val="18"/>
              </w:rPr>
            </w:pPr>
            <w:r w:rsidRPr="00C81B24">
              <w:rPr>
                <w:sz w:val="18"/>
                <w:szCs w:val="18"/>
              </w:rPr>
              <w:t>1,531</w:t>
            </w:r>
          </w:p>
        </w:tc>
        <w:tc>
          <w:tcPr>
            <w:tcW w:w="990" w:type="dxa"/>
          </w:tcPr>
          <w:p w:rsidR="00C81B24" w:rsidRPr="00C81B24" w:rsidRDefault="00C81B24" w:rsidP="00CE5850">
            <w:pPr>
              <w:rPr>
                <w:sz w:val="18"/>
                <w:szCs w:val="18"/>
              </w:rPr>
            </w:pPr>
            <w:r w:rsidRPr="00C81B24">
              <w:rPr>
                <w:sz w:val="18"/>
                <w:szCs w:val="18"/>
              </w:rPr>
              <w:t>4,334</w:t>
            </w:r>
          </w:p>
        </w:tc>
        <w:tc>
          <w:tcPr>
            <w:tcW w:w="1246" w:type="dxa"/>
            <w:tcBorders>
              <w:right w:val="single" w:sz="6" w:space="0" w:color="auto"/>
            </w:tcBorders>
          </w:tcPr>
          <w:p w:rsidR="00C81B24" w:rsidRPr="00C81B24" w:rsidRDefault="00C81B24" w:rsidP="00CE5850">
            <w:pPr>
              <w:rPr>
                <w:sz w:val="18"/>
                <w:szCs w:val="18"/>
              </w:rPr>
            </w:pPr>
            <w:r w:rsidRPr="00C81B24">
              <w:rPr>
                <w:sz w:val="18"/>
                <w:szCs w:val="18"/>
              </w:rPr>
              <w:t>N/A</w:t>
            </w:r>
          </w:p>
        </w:tc>
      </w:tr>
      <w:tr w:rsidR="00C81B24" w:rsidRPr="00C81B24" w:rsidTr="00526AD9">
        <w:trPr>
          <w:trHeight w:val="285"/>
          <w:jc w:val="center"/>
        </w:trPr>
        <w:tc>
          <w:tcPr>
            <w:tcW w:w="661" w:type="dxa"/>
            <w:tcBorders>
              <w:left w:val="single" w:sz="6" w:space="0" w:color="auto"/>
              <w:right w:val="single" w:sz="6" w:space="0" w:color="auto"/>
            </w:tcBorders>
          </w:tcPr>
          <w:p w:rsidR="00C81B24" w:rsidRPr="00C81B24" w:rsidRDefault="00C81B24" w:rsidP="00CE5850">
            <w:pPr>
              <w:rPr>
                <w:sz w:val="18"/>
                <w:szCs w:val="18"/>
              </w:rPr>
            </w:pPr>
            <w:r w:rsidRPr="00C81B24">
              <w:rPr>
                <w:sz w:val="18"/>
                <w:szCs w:val="18"/>
              </w:rPr>
              <w:t>1987</w:t>
            </w:r>
          </w:p>
        </w:tc>
        <w:tc>
          <w:tcPr>
            <w:tcW w:w="1006" w:type="dxa"/>
          </w:tcPr>
          <w:p w:rsidR="00C81B24" w:rsidRPr="00C81B24" w:rsidRDefault="00C81B24" w:rsidP="00CE5850">
            <w:pPr>
              <w:rPr>
                <w:sz w:val="18"/>
                <w:szCs w:val="18"/>
              </w:rPr>
            </w:pPr>
            <w:r w:rsidRPr="00C81B24">
              <w:rPr>
                <w:sz w:val="18"/>
                <w:szCs w:val="18"/>
              </w:rPr>
              <w:t>1,230,855</w:t>
            </w:r>
          </w:p>
        </w:tc>
        <w:tc>
          <w:tcPr>
            <w:tcW w:w="1077" w:type="dxa"/>
          </w:tcPr>
          <w:p w:rsidR="00C81B24" w:rsidRPr="00C81B24" w:rsidRDefault="00C81B24" w:rsidP="00CE5850">
            <w:pPr>
              <w:rPr>
                <w:sz w:val="18"/>
                <w:szCs w:val="18"/>
              </w:rPr>
            </w:pPr>
            <w:r w:rsidRPr="00C81B24">
              <w:rPr>
                <w:sz w:val="18"/>
                <w:szCs w:val="18"/>
              </w:rPr>
              <w:t>549,030</w:t>
            </w:r>
          </w:p>
        </w:tc>
        <w:tc>
          <w:tcPr>
            <w:tcW w:w="1292" w:type="dxa"/>
          </w:tcPr>
          <w:p w:rsidR="00C81B24" w:rsidRPr="00C81B24" w:rsidRDefault="00C81B24" w:rsidP="00CE5850">
            <w:pPr>
              <w:rPr>
                <w:sz w:val="18"/>
                <w:szCs w:val="18"/>
              </w:rPr>
            </w:pPr>
            <w:r w:rsidRPr="00C81B24">
              <w:rPr>
                <w:sz w:val="18"/>
                <w:szCs w:val="18"/>
              </w:rPr>
              <w:t xml:space="preserve">$1,151,519 </w:t>
            </w:r>
          </w:p>
        </w:tc>
        <w:tc>
          <w:tcPr>
            <w:tcW w:w="1080" w:type="dxa"/>
          </w:tcPr>
          <w:p w:rsidR="00C81B24" w:rsidRPr="00C81B24" w:rsidRDefault="00C81B24" w:rsidP="00CE5850">
            <w:pPr>
              <w:rPr>
                <w:sz w:val="18"/>
                <w:szCs w:val="18"/>
              </w:rPr>
            </w:pPr>
            <w:r w:rsidRPr="00C81B24">
              <w:rPr>
                <w:sz w:val="18"/>
                <w:szCs w:val="18"/>
              </w:rPr>
              <w:t>N/A</w:t>
            </w:r>
          </w:p>
        </w:tc>
        <w:tc>
          <w:tcPr>
            <w:tcW w:w="720" w:type="dxa"/>
          </w:tcPr>
          <w:p w:rsidR="00C81B24" w:rsidRPr="00C81B24" w:rsidRDefault="00C81B24" w:rsidP="00CE5850">
            <w:pPr>
              <w:rPr>
                <w:sz w:val="18"/>
                <w:szCs w:val="18"/>
              </w:rPr>
            </w:pPr>
            <w:r w:rsidRPr="00C81B24">
              <w:rPr>
                <w:sz w:val="18"/>
                <w:szCs w:val="18"/>
              </w:rPr>
              <w:t>2,305</w:t>
            </w:r>
          </w:p>
        </w:tc>
        <w:tc>
          <w:tcPr>
            <w:tcW w:w="990" w:type="dxa"/>
          </w:tcPr>
          <w:p w:rsidR="00C81B24" w:rsidRPr="00C81B24" w:rsidRDefault="00C81B24" w:rsidP="00CE5850">
            <w:pPr>
              <w:rPr>
                <w:sz w:val="18"/>
                <w:szCs w:val="18"/>
              </w:rPr>
            </w:pPr>
            <w:r w:rsidRPr="00C81B24">
              <w:rPr>
                <w:sz w:val="18"/>
                <w:szCs w:val="18"/>
              </w:rPr>
              <w:t>7,147</w:t>
            </w:r>
          </w:p>
        </w:tc>
        <w:tc>
          <w:tcPr>
            <w:tcW w:w="1246" w:type="dxa"/>
            <w:tcBorders>
              <w:right w:val="single" w:sz="6" w:space="0" w:color="auto"/>
            </w:tcBorders>
          </w:tcPr>
          <w:p w:rsidR="00C81B24" w:rsidRPr="00C81B24" w:rsidRDefault="00C81B24" w:rsidP="00CE5850">
            <w:pPr>
              <w:rPr>
                <w:sz w:val="18"/>
                <w:szCs w:val="18"/>
              </w:rPr>
            </w:pPr>
            <w:r w:rsidRPr="00C81B24">
              <w:rPr>
                <w:sz w:val="18"/>
                <w:szCs w:val="18"/>
              </w:rPr>
              <w:t xml:space="preserve">$96.83 </w:t>
            </w:r>
          </w:p>
        </w:tc>
      </w:tr>
      <w:tr w:rsidR="00C81B24" w:rsidRPr="00C81B24" w:rsidTr="00526AD9">
        <w:trPr>
          <w:trHeight w:val="285"/>
          <w:jc w:val="center"/>
        </w:trPr>
        <w:tc>
          <w:tcPr>
            <w:tcW w:w="661" w:type="dxa"/>
            <w:tcBorders>
              <w:left w:val="single" w:sz="6" w:space="0" w:color="auto"/>
              <w:right w:val="single" w:sz="6" w:space="0" w:color="auto"/>
            </w:tcBorders>
          </w:tcPr>
          <w:p w:rsidR="00C81B24" w:rsidRPr="00C81B24" w:rsidRDefault="00C81B24" w:rsidP="00CE5850">
            <w:pPr>
              <w:rPr>
                <w:sz w:val="18"/>
                <w:szCs w:val="18"/>
              </w:rPr>
            </w:pPr>
            <w:r w:rsidRPr="00C81B24">
              <w:rPr>
                <w:sz w:val="18"/>
                <w:szCs w:val="18"/>
              </w:rPr>
              <w:t>1988</w:t>
            </w:r>
          </w:p>
        </w:tc>
        <w:tc>
          <w:tcPr>
            <w:tcW w:w="1006" w:type="dxa"/>
          </w:tcPr>
          <w:p w:rsidR="00C81B24" w:rsidRPr="00C81B24" w:rsidRDefault="00C81B24" w:rsidP="00CE5850">
            <w:pPr>
              <w:rPr>
                <w:sz w:val="18"/>
                <w:szCs w:val="18"/>
              </w:rPr>
            </w:pPr>
            <w:r w:rsidRPr="00C81B24">
              <w:rPr>
                <w:sz w:val="18"/>
                <w:szCs w:val="18"/>
              </w:rPr>
              <w:t>2,069,441</w:t>
            </w:r>
          </w:p>
        </w:tc>
        <w:tc>
          <w:tcPr>
            <w:tcW w:w="1077" w:type="dxa"/>
          </w:tcPr>
          <w:p w:rsidR="00C81B24" w:rsidRPr="00C81B24" w:rsidRDefault="00C81B24" w:rsidP="00CE5850">
            <w:pPr>
              <w:rPr>
                <w:sz w:val="18"/>
                <w:szCs w:val="18"/>
              </w:rPr>
            </w:pPr>
            <w:r w:rsidRPr="00C81B24">
              <w:rPr>
                <w:sz w:val="18"/>
                <w:szCs w:val="18"/>
              </w:rPr>
              <w:t>838,586</w:t>
            </w:r>
          </w:p>
        </w:tc>
        <w:tc>
          <w:tcPr>
            <w:tcW w:w="1292" w:type="dxa"/>
          </w:tcPr>
          <w:p w:rsidR="00C81B24" w:rsidRPr="00C81B24" w:rsidRDefault="00C81B24" w:rsidP="00CE5850">
            <w:pPr>
              <w:rPr>
                <w:sz w:val="18"/>
                <w:szCs w:val="18"/>
              </w:rPr>
            </w:pPr>
            <w:r w:rsidRPr="00C81B24">
              <w:rPr>
                <w:sz w:val="18"/>
                <w:szCs w:val="18"/>
              </w:rPr>
              <w:t xml:space="preserve">$1,959,548 </w:t>
            </w:r>
          </w:p>
        </w:tc>
        <w:tc>
          <w:tcPr>
            <w:tcW w:w="1080" w:type="dxa"/>
          </w:tcPr>
          <w:p w:rsidR="00C81B24" w:rsidRPr="00C81B24" w:rsidRDefault="00C81B24" w:rsidP="00CE5850">
            <w:pPr>
              <w:rPr>
                <w:sz w:val="18"/>
                <w:szCs w:val="18"/>
              </w:rPr>
            </w:pPr>
            <w:r w:rsidRPr="00C81B24">
              <w:rPr>
                <w:sz w:val="18"/>
                <w:szCs w:val="18"/>
              </w:rPr>
              <w:t>N/A</w:t>
            </w:r>
          </w:p>
        </w:tc>
        <w:tc>
          <w:tcPr>
            <w:tcW w:w="720" w:type="dxa"/>
          </w:tcPr>
          <w:p w:rsidR="00C81B24" w:rsidRPr="00C81B24" w:rsidRDefault="00C81B24" w:rsidP="00CE5850">
            <w:pPr>
              <w:rPr>
                <w:sz w:val="18"/>
                <w:szCs w:val="18"/>
              </w:rPr>
            </w:pPr>
            <w:r w:rsidRPr="00C81B24">
              <w:rPr>
                <w:sz w:val="18"/>
                <w:szCs w:val="18"/>
              </w:rPr>
              <w:t>3,209</w:t>
            </w:r>
          </w:p>
        </w:tc>
        <w:tc>
          <w:tcPr>
            <w:tcW w:w="990" w:type="dxa"/>
          </w:tcPr>
          <w:p w:rsidR="00C81B24" w:rsidRPr="00C81B24" w:rsidRDefault="00C81B24" w:rsidP="00CE5850">
            <w:pPr>
              <w:rPr>
                <w:sz w:val="18"/>
                <w:szCs w:val="18"/>
              </w:rPr>
            </w:pPr>
            <w:r w:rsidRPr="00C81B24">
              <w:rPr>
                <w:sz w:val="18"/>
                <w:szCs w:val="18"/>
              </w:rPr>
              <w:t>11,400</w:t>
            </w:r>
          </w:p>
        </w:tc>
        <w:tc>
          <w:tcPr>
            <w:tcW w:w="1246" w:type="dxa"/>
            <w:tcBorders>
              <w:right w:val="single" w:sz="6" w:space="0" w:color="auto"/>
            </w:tcBorders>
          </w:tcPr>
          <w:p w:rsidR="00C81B24" w:rsidRPr="00C81B24" w:rsidRDefault="00C81B24" w:rsidP="00CE5850">
            <w:pPr>
              <w:rPr>
                <w:sz w:val="18"/>
                <w:szCs w:val="18"/>
              </w:rPr>
            </w:pPr>
            <w:r w:rsidRPr="00C81B24">
              <w:rPr>
                <w:sz w:val="18"/>
                <w:szCs w:val="18"/>
              </w:rPr>
              <w:t xml:space="preserve">$98.02 </w:t>
            </w:r>
          </w:p>
        </w:tc>
      </w:tr>
      <w:tr w:rsidR="00C81B24" w:rsidRPr="00C81B24" w:rsidTr="00526AD9">
        <w:trPr>
          <w:trHeight w:val="285"/>
          <w:jc w:val="center"/>
        </w:trPr>
        <w:tc>
          <w:tcPr>
            <w:tcW w:w="661" w:type="dxa"/>
            <w:tcBorders>
              <w:left w:val="single" w:sz="6" w:space="0" w:color="auto"/>
              <w:right w:val="single" w:sz="6" w:space="0" w:color="auto"/>
            </w:tcBorders>
          </w:tcPr>
          <w:p w:rsidR="00C81B24" w:rsidRPr="00C81B24" w:rsidRDefault="00C81B24" w:rsidP="00CE5850">
            <w:pPr>
              <w:rPr>
                <w:sz w:val="18"/>
                <w:szCs w:val="18"/>
              </w:rPr>
            </w:pPr>
            <w:r w:rsidRPr="00C81B24">
              <w:rPr>
                <w:sz w:val="18"/>
                <w:szCs w:val="18"/>
              </w:rPr>
              <w:t>1989</w:t>
            </w:r>
          </w:p>
        </w:tc>
        <w:tc>
          <w:tcPr>
            <w:tcW w:w="1006" w:type="dxa"/>
          </w:tcPr>
          <w:p w:rsidR="00C81B24" w:rsidRPr="00C81B24" w:rsidRDefault="00C81B24" w:rsidP="00CE5850">
            <w:pPr>
              <w:rPr>
                <w:sz w:val="18"/>
                <w:szCs w:val="18"/>
              </w:rPr>
            </w:pPr>
            <w:r w:rsidRPr="00C81B24">
              <w:rPr>
                <w:sz w:val="18"/>
                <w:szCs w:val="18"/>
              </w:rPr>
              <w:t>3,508,944</w:t>
            </w:r>
          </w:p>
        </w:tc>
        <w:tc>
          <w:tcPr>
            <w:tcW w:w="1077" w:type="dxa"/>
          </w:tcPr>
          <w:p w:rsidR="00C81B24" w:rsidRPr="00C81B24" w:rsidRDefault="00C81B24" w:rsidP="00CE5850">
            <w:pPr>
              <w:rPr>
                <w:sz w:val="18"/>
                <w:szCs w:val="18"/>
              </w:rPr>
            </w:pPr>
            <w:r w:rsidRPr="00C81B24">
              <w:rPr>
                <w:sz w:val="18"/>
                <w:szCs w:val="18"/>
              </w:rPr>
              <w:t>1,439,503</w:t>
            </w:r>
          </w:p>
        </w:tc>
        <w:tc>
          <w:tcPr>
            <w:tcW w:w="1292" w:type="dxa"/>
          </w:tcPr>
          <w:p w:rsidR="00C81B24" w:rsidRPr="00C81B24" w:rsidRDefault="00C81B24" w:rsidP="00CE5850">
            <w:pPr>
              <w:rPr>
                <w:sz w:val="18"/>
                <w:szCs w:val="18"/>
              </w:rPr>
            </w:pPr>
            <w:r w:rsidRPr="00C81B24">
              <w:rPr>
                <w:sz w:val="18"/>
                <w:szCs w:val="18"/>
              </w:rPr>
              <w:t xml:space="preserve">$3,340,595 </w:t>
            </w:r>
          </w:p>
        </w:tc>
        <w:tc>
          <w:tcPr>
            <w:tcW w:w="1080" w:type="dxa"/>
          </w:tcPr>
          <w:p w:rsidR="00C81B24" w:rsidRPr="00C81B24" w:rsidRDefault="00C81B24" w:rsidP="00CE5850">
            <w:pPr>
              <w:rPr>
                <w:sz w:val="18"/>
                <w:szCs w:val="18"/>
              </w:rPr>
            </w:pPr>
            <w:r w:rsidRPr="00C81B24">
              <w:rPr>
                <w:sz w:val="18"/>
                <w:szCs w:val="18"/>
              </w:rPr>
              <w:t xml:space="preserve">$294,567 </w:t>
            </w:r>
          </w:p>
        </w:tc>
        <w:tc>
          <w:tcPr>
            <w:tcW w:w="720" w:type="dxa"/>
          </w:tcPr>
          <w:p w:rsidR="00C81B24" w:rsidRPr="00C81B24" w:rsidRDefault="00C81B24" w:rsidP="00CE5850">
            <w:pPr>
              <w:rPr>
                <w:sz w:val="18"/>
                <w:szCs w:val="18"/>
              </w:rPr>
            </w:pPr>
            <w:r w:rsidRPr="00C81B24">
              <w:rPr>
                <w:sz w:val="18"/>
                <w:szCs w:val="18"/>
              </w:rPr>
              <w:t>4,169</w:t>
            </w:r>
          </w:p>
        </w:tc>
        <w:tc>
          <w:tcPr>
            <w:tcW w:w="990" w:type="dxa"/>
          </w:tcPr>
          <w:p w:rsidR="00C81B24" w:rsidRPr="00C81B24" w:rsidRDefault="00C81B24" w:rsidP="00CE5850">
            <w:pPr>
              <w:rPr>
                <w:sz w:val="18"/>
                <w:szCs w:val="18"/>
              </w:rPr>
            </w:pPr>
            <w:r w:rsidRPr="00C81B24">
              <w:rPr>
                <w:sz w:val="18"/>
                <w:szCs w:val="18"/>
              </w:rPr>
              <w:t>15,927</w:t>
            </w:r>
          </w:p>
        </w:tc>
        <w:tc>
          <w:tcPr>
            <w:tcW w:w="1246" w:type="dxa"/>
            <w:tcBorders>
              <w:right w:val="single" w:sz="6" w:space="0" w:color="auto"/>
            </w:tcBorders>
          </w:tcPr>
          <w:p w:rsidR="00C81B24" w:rsidRPr="00C81B24" w:rsidRDefault="00C81B24" w:rsidP="00CE5850">
            <w:pPr>
              <w:rPr>
                <w:sz w:val="18"/>
                <w:szCs w:val="18"/>
              </w:rPr>
            </w:pPr>
            <w:r w:rsidRPr="00C81B24">
              <w:rPr>
                <w:sz w:val="18"/>
                <w:szCs w:val="18"/>
              </w:rPr>
              <w:t xml:space="preserve">$83.94 </w:t>
            </w:r>
          </w:p>
        </w:tc>
      </w:tr>
      <w:tr w:rsidR="00C81B24" w:rsidRPr="00C81B24" w:rsidTr="00526AD9">
        <w:trPr>
          <w:trHeight w:val="285"/>
          <w:jc w:val="center"/>
        </w:trPr>
        <w:tc>
          <w:tcPr>
            <w:tcW w:w="661" w:type="dxa"/>
            <w:tcBorders>
              <w:left w:val="single" w:sz="6" w:space="0" w:color="auto"/>
              <w:right w:val="single" w:sz="6" w:space="0" w:color="auto"/>
            </w:tcBorders>
          </w:tcPr>
          <w:p w:rsidR="00C81B24" w:rsidRPr="00C81B24" w:rsidRDefault="00C81B24" w:rsidP="00CE5850">
            <w:pPr>
              <w:rPr>
                <w:sz w:val="18"/>
                <w:szCs w:val="18"/>
              </w:rPr>
            </w:pPr>
            <w:r w:rsidRPr="00C81B24">
              <w:rPr>
                <w:sz w:val="18"/>
                <w:szCs w:val="18"/>
              </w:rPr>
              <w:t>1990</w:t>
            </w:r>
          </w:p>
        </w:tc>
        <w:tc>
          <w:tcPr>
            <w:tcW w:w="1006" w:type="dxa"/>
          </w:tcPr>
          <w:p w:rsidR="00C81B24" w:rsidRPr="00C81B24" w:rsidRDefault="00C81B24" w:rsidP="00CE5850">
            <w:pPr>
              <w:rPr>
                <w:sz w:val="18"/>
                <w:szCs w:val="18"/>
              </w:rPr>
            </w:pPr>
            <w:r w:rsidRPr="00C81B24">
              <w:rPr>
                <w:sz w:val="18"/>
                <w:szCs w:val="18"/>
              </w:rPr>
              <w:t>5,283,055</w:t>
            </w:r>
          </w:p>
        </w:tc>
        <w:tc>
          <w:tcPr>
            <w:tcW w:w="1077" w:type="dxa"/>
          </w:tcPr>
          <w:p w:rsidR="00C81B24" w:rsidRPr="00C81B24" w:rsidRDefault="00C81B24" w:rsidP="00CE5850">
            <w:pPr>
              <w:rPr>
                <w:sz w:val="18"/>
                <w:szCs w:val="18"/>
              </w:rPr>
            </w:pPr>
            <w:r w:rsidRPr="00C81B24">
              <w:rPr>
                <w:sz w:val="18"/>
                <w:szCs w:val="18"/>
              </w:rPr>
              <w:t>1,774,111</w:t>
            </w:r>
          </w:p>
        </w:tc>
        <w:tc>
          <w:tcPr>
            <w:tcW w:w="1292" w:type="dxa"/>
          </w:tcPr>
          <w:p w:rsidR="00C81B24" w:rsidRPr="00C81B24" w:rsidRDefault="00C81B24" w:rsidP="00CE5850">
            <w:pPr>
              <w:rPr>
                <w:sz w:val="18"/>
                <w:szCs w:val="18"/>
              </w:rPr>
            </w:pPr>
            <w:r w:rsidRPr="00C81B24">
              <w:rPr>
                <w:sz w:val="18"/>
                <w:szCs w:val="18"/>
              </w:rPr>
              <w:t xml:space="preserve">$4,548,820 </w:t>
            </w:r>
          </w:p>
        </w:tc>
        <w:tc>
          <w:tcPr>
            <w:tcW w:w="1080" w:type="dxa"/>
          </w:tcPr>
          <w:p w:rsidR="00C81B24" w:rsidRPr="00C81B24" w:rsidRDefault="00C81B24" w:rsidP="00CE5850">
            <w:pPr>
              <w:rPr>
                <w:sz w:val="18"/>
                <w:szCs w:val="18"/>
              </w:rPr>
            </w:pPr>
            <w:r w:rsidRPr="00C81B24">
              <w:rPr>
                <w:sz w:val="18"/>
                <w:szCs w:val="18"/>
              </w:rPr>
              <w:t xml:space="preserve">$456,010 </w:t>
            </w:r>
          </w:p>
        </w:tc>
        <w:tc>
          <w:tcPr>
            <w:tcW w:w="720" w:type="dxa"/>
          </w:tcPr>
          <w:p w:rsidR="00C81B24" w:rsidRPr="00C81B24" w:rsidRDefault="00C81B24" w:rsidP="00CE5850">
            <w:pPr>
              <w:rPr>
                <w:sz w:val="18"/>
                <w:szCs w:val="18"/>
              </w:rPr>
            </w:pPr>
            <w:r w:rsidRPr="00C81B24">
              <w:rPr>
                <w:sz w:val="18"/>
                <w:szCs w:val="18"/>
              </w:rPr>
              <w:t>5,616</w:t>
            </w:r>
          </w:p>
        </w:tc>
        <w:tc>
          <w:tcPr>
            <w:tcW w:w="990" w:type="dxa"/>
          </w:tcPr>
          <w:p w:rsidR="00C81B24" w:rsidRPr="00C81B24" w:rsidRDefault="00C81B24" w:rsidP="00CE5850">
            <w:pPr>
              <w:rPr>
                <w:sz w:val="18"/>
                <w:szCs w:val="18"/>
              </w:rPr>
            </w:pPr>
            <w:r w:rsidRPr="00C81B24">
              <w:rPr>
                <w:sz w:val="18"/>
                <w:szCs w:val="18"/>
              </w:rPr>
              <w:t>21,382</w:t>
            </w:r>
          </w:p>
        </w:tc>
        <w:tc>
          <w:tcPr>
            <w:tcW w:w="1246" w:type="dxa"/>
            <w:tcBorders>
              <w:right w:val="single" w:sz="6" w:space="0" w:color="auto"/>
            </w:tcBorders>
          </w:tcPr>
          <w:p w:rsidR="00C81B24" w:rsidRPr="00C81B24" w:rsidRDefault="00C81B24" w:rsidP="00CE5850">
            <w:pPr>
              <w:rPr>
                <w:sz w:val="18"/>
                <w:szCs w:val="18"/>
              </w:rPr>
            </w:pPr>
            <w:r w:rsidRPr="00C81B24">
              <w:rPr>
                <w:sz w:val="18"/>
                <w:szCs w:val="18"/>
              </w:rPr>
              <w:t xml:space="preserve">$80.90 </w:t>
            </w:r>
          </w:p>
        </w:tc>
      </w:tr>
      <w:tr w:rsidR="00C81B24" w:rsidRPr="00C81B24" w:rsidTr="00526AD9">
        <w:trPr>
          <w:trHeight w:val="285"/>
          <w:jc w:val="center"/>
        </w:trPr>
        <w:tc>
          <w:tcPr>
            <w:tcW w:w="661" w:type="dxa"/>
            <w:tcBorders>
              <w:left w:val="single" w:sz="6" w:space="0" w:color="auto"/>
              <w:right w:val="single" w:sz="6" w:space="0" w:color="auto"/>
            </w:tcBorders>
          </w:tcPr>
          <w:p w:rsidR="00C81B24" w:rsidRPr="00C81B24" w:rsidRDefault="00C81B24" w:rsidP="00CE5850">
            <w:pPr>
              <w:rPr>
                <w:sz w:val="18"/>
                <w:szCs w:val="18"/>
              </w:rPr>
            </w:pPr>
            <w:r w:rsidRPr="00C81B24">
              <w:rPr>
                <w:sz w:val="18"/>
                <w:szCs w:val="18"/>
              </w:rPr>
              <w:t>1991</w:t>
            </w:r>
          </w:p>
        </w:tc>
        <w:tc>
          <w:tcPr>
            <w:tcW w:w="1006" w:type="dxa"/>
          </w:tcPr>
          <w:p w:rsidR="00C81B24" w:rsidRPr="00C81B24" w:rsidRDefault="00C81B24" w:rsidP="00CE5850">
            <w:pPr>
              <w:rPr>
                <w:sz w:val="18"/>
                <w:szCs w:val="18"/>
              </w:rPr>
            </w:pPr>
            <w:r w:rsidRPr="00C81B24">
              <w:rPr>
                <w:sz w:val="18"/>
                <w:szCs w:val="18"/>
              </w:rPr>
              <w:t>7,557,148</w:t>
            </w:r>
          </w:p>
        </w:tc>
        <w:tc>
          <w:tcPr>
            <w:tcW w:w="1077" w:type="dxa"/>
          </w:tcPr>
          <w:p w:rsidR="00C81B24" w:rsidRPr="00C81B24" w:rsidRDefault="00C81B24" w:rsidP="00CE5850">
            <w:pPr>
              <w:rPr>
                <w:sz w:val="18"/>
                <w:szCs w:val="18"/>
              </w:rPr>
            </w:pPr>
            <w:r w:rsidRPr="00C81B24">
              <w:rPr>
                <w:sz w:val="18"/>
                <w:szCs w:val="18"/>
              </w:rPr>
              <w:t>2,274,093</w:t>
            </w:r>
          </w:p>
        </w:tc>
        <w:tc>
          <w:tcPr>
            <w:tcW w:w="1292" w:type="dxa"/>
          </w:tcPr>
          <w:p w:rsidR="00C81B24" w:rsidRPr="00C81B24" w:rsidRDefault="00C81B24" w:rsidP="00CE5850">
            <w:pPr>
              <w:rPr>
                <w:sz w:val="18"/>
                <w:szCs w:val="18"/>
              </w:rPr>
            </w:pPr>
            <w:r w:rsidRPr="00C81B24">
              <w:rPr>
                <w:sz w:val="18"/>
                <w:szCs w:val="18"/>
              </w:rPr>
              <w:t xml:space="preserve">$5,708,522 </w:t>
            </w:r>
          </w:p>
        </w:tc>
        <w:tc>
          <w:tcPr>
            <w:tcW w:w="1080" w:type="dxa"/>
          </w:tcPr>
          <w:p w:rsidR="00C81B24" w:rsidRPr="00C81B24" w:rsidRDefault="00C81B24" w:rsidP="00CE5850">
            <w:pPr>
              <w:rPr>
                <w:sz w:val="18"/>
                <w:szCs w:val="18"/>
              </w:rPr>
            </w:pPr>
            <w:r w:rsidRPr="00C81B24">
              <w:rPr>
                <w:sz w:val="18"/>
                <w:szCs w:val="18"/>
              </w:rPr>
              <w:t xml:space="preserve">$703,651 </w:t>
            </w:r>
          </w:p>
        </w:tc>
        <w:tc>
          <w:tcPr>
            <w:tcW w:w="720" w:type="dxa"/>
          </w:tcPr>
          <w:p w:rsidR="00C81B24" w:rsidRPr="00C81B24" w:rsidRDefault="00C81B24" w:rsidP="00CE5850">
            <w:pPr>
              <w:rPr>
                <w:sz w:val="18"/>
                <w:szCs w:val="18"/>
              </w:rPr>
            </w:pPr>
            <w:r w:rsidRPr="00C81B24">
              <w:rPr>
                <w:sz w:val="18"/>
                <w:szCs w:val="18"/>
              </w:rPr>
              <w:t>7,847</w:t>
            </w:r>
          </w:p>
        </w:tc>
        <w:tc>
          <w:tcPr>
            <w:tcW w:w="990" w:type="dxa"/>
          </w:tcPr>
          <w:p w:rsidR="00C81B24" w:rsidRPr="00C81B24" w:rsidRDefault="00C81B24" w:rsidP="00CE5850">
            <w:pPr>
              <w:rPr>
                <w:sz w:val="18"/>
                <w:szCs w:val="18"/>
              </w:rPr>
            </w:pPr>
            <w:r w:rsidRPr="00C81B24">
              <w:rPr>
                <w:sz w:val="18"/>
                <w:szCs w:val="18"/>
              </w:rPr>
              <w:t>26,327</w:t>
            </w:r>
          </w:p>
        </w:tc>
        <w:tc>
          <w:tcPr>
            <w:tcW w:w="1246" w:type="dxa"/>
            <w:tcBorders>
              <w:right w:val="single" w:sz="6" w:space="0" w:color="auto"/>
            </w:tcBorders>
          </w:tcPr>
          <w:p w:rsidR="00C81B24" w:rsidRPr="00C81B24" w:rsidRDefault="00C81B24" w:rsidP="00CE5850">
            <w:pPr>
              <w:rPr>
                <w:sz w:val="18"/>
                <w:szCs w:val="18"/>
              </w:rPr>
            </w:pPr>
            <w:r w:rsidRPr="00C81B24">
              <w:rPr>
                <w:sz w:val="18"/>
                <w:szCs w:val="18"/>
              </w:rPr>
              <w:t xml:space="preserve">$72.74 </w:t>
            </w:r>
          </w:p>
        </w:tc>
      </w:tr>
      <w:tr w:rsidR="00C81B24" w:rsidRPr="00C81B24" w:rsidTr="00526AD9">
        <w:trPr>
          <w:trHeight w:val="285"/>
          <w:jc w:val="center"/>
        </w:trPr>
        <w:tc>
          <w:tcPr>
            <w:tcW w:w="661" w:type="dxa"/>
            <w:tcBorders>
              <w:left w:val="single" w:sz="6" w:space="0" w:color="auto"/>
              <w:right w:val="single" w:sz="6" w:space="0" w:color="auto"/>
            </w:tcBorders>
          </w:tcPr>
          <w:p w:rsidR="00C81B24" w:rsidRPr="00C81B24" w:rsidRDefault="00C81B24" w:rsidP="00CE5850">
            <w:pPr>
              <w:rPr>
                <w:sz w:val="18"/>
                <w:szCs w:val="18"/>
              </w:rPr>
            </w:pPr>
            <w:r w:rsidRPr="00C81B24">
              <w:rPr>
                <w:sz w:val="18"/>
                <w:szCs w:val="18"/>
              </w:rPr>
              <w:t>1992</w:t>
            </w:r>
          </w:p>
        </w:tc>
        <w:tc>
          <w:tcPr>
            <w:tcW w:w="1006" w:type="dxa"/>
          </w:tcPr>
          <w:p w:rsidR="00C81B24" w:rsidRPr="00C81B24" w:rsidRDefault="00C81B24" w:rsidP="00CE5850">
            <w:pPr>
              <w:rPr>
                <w:sz w:val="18"/>
                <w:szCs w:val="18"/>
              </w:rPr>
            </w:pPr>
            <w:r w:rsidRPr="00C81B24">
              <w:rPr>
                <w:sz w:val="18"/>
                <w:szCs w:val="18"/>
              </w:rPr>
              <w:t>11,032,753</w:t>
            </w:r>
          </w:p>
        </w:tc>
        <w:tc>
          <w:tcPr>
            <w:tcW w:w="1077" w:type="dxa"/>
          </w:tcPr>
          <w:p w:rsidR="00C81B24" w:rsidRPr="00C81B24" w:rsidRDefault="00C81B24" w:rsidP="00CE5850">
            <w:pPr>
              <w:rPr>
                <w:sz w:val="18"/>
                <w:szCs w:val="18"/>
              </w:rPr>
            </w:pPr>
            <w:r w:rsidRPr="00C81B24">
              <w:rPr>
                <w:sz w:val="18"/>
                <w:szCs w:val="18"/>
              </w:rPr>
              <w:t>3,475,605</w:t>
            </w:r>
          </w:p>
        </w:tc>
        <w:tc>
          <w:tcPr>
            <w:tcW w:w="1292" w:type="dxa"/>
          </w:tcPr>
          <w:p w:rsidR="00C81B24" w:rsidRPr="00C81B24" w:rsidRDefault="00C81B24" w:rsidP="00CE5850">
            <w:pPr>
              <w:rPr>
                <w:sz w:val="18"/>
                <w:szCs w:val="18"/>
              </w:rPr>
            </w:pPr>
            <w:r w:rsidRPr="00C81B24">
              <w:rPr>
                <w:sz w:val="18"/>
                <w:szCs w:val="18"/>
              </w:rPr>
              <w:t xml:space="preserve">$7,822,726 </w:t>
            </w:r>
          </w:p>
        </w:tc>
        <w:tc>
          <w:tcPr>
            <w:tcW w:w="1080" w:type="dxa"/>
          </w:tcPr>
          <w:p w:rsidR="00C81B24" w:rsidRPr="00C81B24" w:rsidRDefault="00C81B24" w:rsidP="00CE5850">
            <w:pPr>
              <w:rPr>
                <w:sz w:val="18"/>
                <w:szCs w:val="18"/>
              </w:rPr>
            </w:pPr>
            <w:r w:rsidRPr="00C81B24">
              <w:rPr>
                <w:sz w:val="18"/>
                <w:szCs w:val="18"/>
              </w:rPr>
              <w:t xml:space="preserve">$973,871 </w:t>
            </w:r>
          </w:p>
        </w:tc>
        <w:tc>
          <w:tcPr>
            <w:tcW w:w="720" w:type="dxa"/>
          </w:tcPr>
          <w:p w:rsidR="00C81B24" w:rsidRPr="00C81B24" w:rsidRDefault="00C81B24" w:rsidP="00CE5850">
            <w:pPr>
              <w:rPr>
                <w:sz w:val="18"/>
                <w:szCs w:val="18"/>
              </w:rPr>
            </w:pPr>
            <w:r w:rsidRPr="00C81B24">
              <w:rPr>
                <w:sz w:val="18"/>
                <w:szCs w:val="18"/>
              </w:rPr>
              <w:t>10,307</w:t>
            </w:r>
          </w:p>
        </w:tc>
        <w:tc>
          <w:tcPr>
            <w:tcW w:w="990" w:type="dxa"/>
          </w:tcPr>
          <w:p w:rsidR="00C81B24" w:rsidRPr="00C81B24" w:rsidRDefault="00C81B24" w:rsidP="00CE5850">
            <w:pPr>
              <w:rPr>
                <w:sz w:val="18"/>
                <w:szCs w:val="18"/>
              </w:rPr>
            </w:pPr>
            <w:r w:rsidRPr="00C81B24">
              <w:rPr>
                <w:sz w:val="18"/>
                <w:szCs w:val="18"/>
              </w:rPr>
              <w:t>34,348</w:t>
            </w:r>
          </w:p>
        </w:tc>
        <w:tc>
          <w:tcPr>
            <w:tcW w:w="1246" w:type="dxa"/>
            <w:tcBorders>
              <w:right w:val="single" w:sz="6" w:space="0" w:color="auto"/>
            </w:tcBorders>
          </w:tcPr>
          <w:p w:rsidR="00C81B24" w:rsidRPr="00C81B24" w:rsidRDefault="00C81B24" w:rsidP="00CE5850">
            <w:pPr>
              <w:rPr>
                <w:sz w:val="18"/>
                <w:szCs w:val="18"/>
              </w:rPr>
            </w:pPr>
            <w:r w:rsidRPr="00C81B24">
              <w:rPr>
                <w:sz w:val="18"/>
                <w:szCs w:val="18"/>
              </w:rPr>
              <w:t xml:space="preserve">$68.68 </w:t>
            </w:r>
          </w:p>
        </w:tc>
      </w:tr>
      <w:tr w:rsidR="00C81B24" w:rsidRPr="00C81B24" w:rsidTr="00526AD9">
        <w:trPr>
          <w:trHeight w:val="285"/>
          <w:jc w:val="center"/>
        </w:trPr>
        <w:tc>
          <w:tcPr>
            <w:tcW w:w="661" w:type="dxa"/>
            <w:tcBorders>
              <w:left w:val="single" w:sz="6" w:space="0" w:color="auto"/>
              <w:right w:val="single" w:sz="6" w:space="0" w:color="auto"/>
            </w:tcBorders>
          </w:tcPr>
          <w:p w:rsidR="00C81B24" w:rsidRPr="00C81B24" w:rsidRDefault="00C81B24" w:rsidP="00CE5850">
            <w:pPr>
              <w:rPr>
                <w:sz w:val="18"/>
                <w:szCs w:val="18"/>
              </w:rPr>
            </w:pPr>
            <w:r w:rsidRPr="00C81B24">
              <w:rPr>
                <w:sz w:val="18"/>
                <w:szCs w:val="18"/>
              </w:rPr>
              <w:t>1993</w:t>
            </w:r>
          </w:p>
        </w:tc>
        <w:tc>
          <w:tcPr>
            <w:tcW w:w="1006" w:type="dxa"/>
          </w:tcPr>
          <w:p w:rsidR="00C81B24" w:rsidRPr="00C81B24" w:rsidRDefault="00C81B24" w:rsidP="00CE5850">
            <w:pPr>
              <w:rPr>
                <w:sz w:val="18"/>
                <w:szCs w:val="18"/>
              </w:rPr>
            </w:pPr>
            <w:r w:rsidRPr="00C81B24">
              <w:rPr>
                <w:sz w:val="18"/>
                <w:szCs w:val="18"/>
              </w:rPr>
              <w:t>16,009,461</w:t>
            </w:r>
          </w:p>
        </w:tc>
        <w:tc>
          <w:tcPr>
            <w:tcW w:w="1077" w:type="dxa"/>
          </w:tcPr>
          <w:p w:rsidR="00C81B24" w:rsidRPr="00C81B24" w:rsidRDefault="00C81B24" w:rsidP="00CE5850">
            <w:pPr>
              <w:rPr>
                <w:sz w:val="18"/>
                <w:szCs w:val="18"/>
              </w:rPr>
            </w:pPr>
            <w:r w:rsidRPr="00C81B24">
              <w:rPr>
                <w:sz w:val="18"/>
                <w:szCs w:val="18"/>
              </w:rPr>
              <w:t>4,976,708</w:t>
            </w:r>
          </w:p>
        </w:tc>
        <w:tc>
          <w:tcPr>
            <w:tcW w:w="1292" w:type="dxa"/>
          </w:tcPr>
          <w:p w:rsidR="00C81B24" w:rsidRPr="00C81B24" w:rsidRDefault="00C81B24" w:rsidP="00CE5850">
            <w:pPr>
              <w:rPr>
                <w:sz w:val="18"/>
                <w:szCs w:val="18"/>
              </w:rPr>
            </w:pPr>
            <w:r w:rsidRPr="00C81B24">
              <w:rPr>
                <w:sz w:val="18"/>
                <w:szCs w:val="18"/>
              </w:rPr>
              <w:t xml:space="preserve">$10,892,175 </w:t>
            </w:r>
          </w:p>
        </w:tc>
        <w:tc>
          <w:tcPr>
            <w:tcW w:w="1080" w:type="dxa"/>
          </w:tcPr>
          <w:p w:rsidR="00C81B24" w:rsidRPr="00C81B24" w:rsidRDefault="00C81B24" w:rsidP="00CE5850">
            <w:pPr>
              <w:rPr>
                <w:sz w:val="18"/>
                <w:szCs w:val="18"/>
              </w:rPr>
            </w:pPr>
            <w:r w:rsidRPr="00C81B24">
              <w:rPr>
                <w:sz w:val="18"/>
                <w:szCs w:val="18"/>
              </w:rPr>
              <w:t xml:space="preserve">$1,361,613 </w:t>
            </w:r>
          </w:p>
        </w:tc>
        <w:tc>
          <w:tcPr>
            <w:tcW w:w="720" w:type="dxa"/>
          </w:tcPr>
          <w:p w:rsidR="00C81B24" w:rsidRPr="00C81B24" w:rsidRDefault="00C81B24" w:rsidP="00CE5850">
            <w:pPr>
              <w:rPr>
                <w:sz w:val="18"/>
                <w:szCs w:val="18"/>
              </w:rPr>
            </w:pPr>
            <w:r w:rsidRPr="00C81B24">
              <w:rPr>
                <w:sz w:val="18"/>
                <w:szCs w:val="18"/>
              </w:rPr>
              <w:t>12,805</w:t>
            </w:r>
          </w:p>
        </w:tc>
        <w:tc>
          <w:tcPr>
            <w:tcW w:w="990" w:type="dxa"/>
          </w:tcPr>
          <w:p w:rsidR="00C81B24" w:rsidRPr="00C81B24" w:rsidRDefault="00C81B24" w:rsidP="00CE5850">
            <w:pPr>
              <w:rPr>
                <w:sz w:val="18"/>
                <w:szCs w:val="18"/>
              </w:rPr>
            </w:pPr>
            <w:r w:rsidRPr="00C81B24">
              <w:rPr>
                <w:sz w:val="18"/>
                <w:szCs w:val="18"/>
              </w:rPr>
              <w:t>39,775</w:t>
            </w:r>
          </w:p>
        </w:tc>
        <w:tc>
          <w:tcPr>
            <w:tcW w:w="1246" w:type="dxa"/>
            <w:tcBorders>
              <w:right w:val="single" w:sz="6" w:space="0" w:color="auto"/>
            </w:tcBorders>
          </w:tcPr>
          <w:p w:rsidR="00C81B24" w:rsidRPr="00C81B24" w:rsidRDefault="00C81B24" w:rsidP="00CE5850">
            <w:pPr>
              <w:rPr>
                <w:sz w:val="18"/>
                <w:szCs w:val="18"/>
              </w:rPr>
            </w:pPr>
            <w:r w:rsidRPr="00C81B24">
              <w:rPr>
                <w:sz w:val="18"/>
                <w:szCs w:val="18"/>
              </w:rPr>
              <w:t xml:space="preserve">$61.48 </w:t>
            </w:r>
          </w:p>
        </w:tc>
      </w:tr>
      <w:tr w:rsidR="00C81B24" w:rsidRPr="00C81B24" w:rsidTr="00526AD9">
        <w:trPr>
          <w:trHeight w:val="285"/>
          <w:jc w:val="center"/>
        </w:trPr>
        <w:tc>
          <w:tcPr>
            <w:tcW w:w="661" w:type="dxa"/>
            <w:tcBorders>
              <w:left w:val="single" w:sz="6" w:space="0" w:color="auto"/>
              <w:right w:val="single" w:sz="6" w:space="0" w:color="auto"/>
            </w:tcBorders>
          </w:tcPr>
          <w:p w:rsidR="00C81B24" w:rsidRPr="00C81B24" w:rsidRDefault="00C81B24" w:rsidP="00CE5850">
            <w:pPr>
              <w:rPr>
                <w:sz w:val="18"/>
                <w:szCs w:val="18"/>
              </w:rPr>
            </w:pPr>
            <w:r w:rsidRPr="00C81B24">
              <w:rPr>
                <w:sz w:val="18"/>
                <w:szCs w:val="18"/>
              </w:rPr>
              <w:t>1994</w:t>
            </w:r>
          </w:p>
        </w:tc>
        <w:tc>
          <w:tcPr>
            <w:tcW w:w="1006" w:type="dxa"/>
          </w:tcPr>
          <w:p w:rsidR="00C81B24" w:rsidRPr="00C81B24" w:rsidRDefault="00C81B24" w:rsidP="00CE5850">
            <w:pPr>
              <w:rPr>
                <w:sz w:val="18"/>
                <w:szCs w:val="18"/>
              </w:rPr>
            </w:pPr>
            <w:r w:rsidRPr="00C81B24">
              <w:rPr>
                <w:sz w:val="18"/>
                <w:szCs w:val="18"/>
              </w:rPr>
              <w:t>24,134,421</w:t>
            </w:r>
          </w:p>
        </w:tc>
        <w:tc>
          <w:tcPr>
            <w:tcW w:w="1077" w:type="dxa"/>
          </w:tcPr>
          <w:p w:rsidR="00C81B24" w:rsidRPr="00C81B24" w:rsidRDefault="00C81B24" w:rsidP="00CE5850">
            <w:pPr>
              <w:rPr>
                <w:sz w:val="18"/>
                <w:szCs w:val="18"/>
              </w:rPr>
            </w:pPr>
            <w:r w:rsidRPr="00C81B24">
              <w:rPr>
                <w:sz w:val="18"/>
                <w:szCs w:val="18"/>
              </w:rPr>
              <w:t>8,124,960</w:t>
            </w:r>
          </w:p>
        </w:tc>
        <w:tc>
          <w:tcPr>
            <w:tcW w:w="1292" w:type="dxa"/>
          </w:tcPr>
          <w:p w:rsidR="00C81B24" w:rsidRPr="00C81B24" w:rsidRDefault="00C81B24" w:rsidP="00CE5850">
            <w:pPr>
              <w:rPr>
                <w:sz w:val="18"/>
                <w:szCs w:val="18"/>
              </w:rPr>
            </w:pPr>
            <w:r w:rsidRPr="00C81B24">
              <w:rPr>
                <w:sz w:val="18"/>
                <w:szCs w:val="18"/>
              </w:rPr>
              <w:t xml:space="preserve">$14,229,922 </w:t>
            </w:r>
          </w:p>
        </w:tc>
        <w:tc>
          <w:tcPr>
            <w:tcW w:w="1080" w:type="dxa"/>
          </w:tcPr>
          <w:p w:rsidR="00C81B24" w:rsidRPr="00C81B24" w:rsidRDefault="00C81B24" w:rsidP="00CE5850">
            <w:pPr>
              <w:rPr>
                <w:sz w:val="18"/>
                <w:szCs w:val="18"/>
              </w:rPr>
            </w:pPr>
            <w:r w:rsidRPr="00C81B24">
              <w:rPr>
                <w:sz w:val="18"/>
                <w:szCs w:val="18"/>
              </w:rPr>
              <w:t xml:space="preserve">$1,830,782 </w:t>
            </w:r>
          </w:p>
        </w:tc>
        <w:tc>
          <w:tcPr>
            <w:tcW w:w="720" w:type="dxa"/>
          </w:tcPr>
          <w:p w:rsidR="00C81B24" w:rsidRPr="00C81B24" w:rsidRDefault="00C81B24" w:rsidP="00CE5850">
            <w:pPr>
              <w:rPr>
                <w:sz w:val="18"/>
                <w:szCs w:val="18"/>
              </w:rPr>
            </w:pPr>
            <w:r w:rsidRPr="00C81B24">
              <w:rPr>
                <w:sz w:val="18"/>
                <w:szCs w:val="18"/>
              </w:rPr>
              <w:t>17,920</w:t>
            </w:r>
          </w:p>
        </w:tc>
        <w:tc>
          <w:tcPr>
            <w:tcW w:w="990" w:type="dxa"/>
          </w:tcPr>
          <w:p w:rsidR="00C81B24" w:rsidRPr="00C81B24" w:rsidRDefault="00C81B24" w:rsidP="00CE5850">
            <w:pPr>
              <w:rPr>
                <w:sz w:val="18"/>
                <w:szCs w:val="18"/>
              </w:rPr>
            </w:pPr>
            <w:r w:rsidRPr="00C81B24">
              <w:rPr>
                <w:sz w:val="18"/>
                <w:szCs w:val="18"/>
              </w:rPr>
              <w:t>53,902</w:t>
            </w:r>
          </w:p>
        </w:tc>
        <w:tc>
          <w:tcPr>
            <w:tcW w:w="1246" w:type="dxa"/>
            <w:tcBorders>
              <w:right w:val="single" w:sz="6" w:space="0" w:color="auto"/>
            </w:tcBorders>
          </w:tcPr>
          <w:p w:rsidR="00C81B24" w:rsidRPr="00C81B24" w:rsidRDefault="00C81B24" w:rsidP="00CE5850">
            <w:pPr>
              <w:rPr>
                <w:sz w:val="18"/>
                <w:szCs w:val="18"/>
              </w:rPr>
            </w:pPr>
            <w:r w:rsidRPr="00C81B24">
              <w:rPr>
                <w:sz w:val="18"/>
                <w:szCs w:val="18"/>
              </w:rPr>
              <w:t xml:space="preserve">$56.21 </w:t>
            </w:r>
          </w:p>
        </w:tc>
      </w:tr>
      <w:tr w:rsidR="00C81B24" w:rsidRPr="00C81B24" w:rsidTr="00526AD9">
        <w:trPr>
          <w:trHeight w:val="285"/>
          <w:jc w:val="center"/>
        </w:trPr>
        <w:tc>
          <w:tcPr>
            <w:tcW w:w="661" w:type="dxa"/>
            <w:tcBorders>
              <w:left w:val="single" w:sz="6" w:space="0" w:color="auto"/>
              <w:right w:val="single" w:sz="6" w:space="0" w:color="auto"/>
            </w:tcBorders>
          </w:tcPr>
          <w:p w:rsidR="00C81B24" w:rsidRPr="00C81B24" w:rsidRDefault="00C81B24" w:rsidP="00CE5850">
            <w:pPr>
              <w:rPr>
                <w:sz w:val="18"/>
                <w:szCs w:val="18"/>
              </w:rPr>
            </w:pPr>
            <w:r w:rsidRPr="00C81B24">
              <w:rPr>
                <w:sz w:val="18"/>
                <w:szCs w:val="18"/>
              </w:rPr>
              <w:t>1995</w:t>
            </w:r>
          </w:p>
        </w:tc>
        <w:tc>
          <w:tcPr>
            <w:tcW w:w="1006" w:type="dxa"/>
          </w:tcPr>
          <w:p w:rsidR="00C81B24" w:rsidRPr="00C81B24" w:rsidRDefault="00C81B24" w:rsidP="00CE5850">
            <w:pPr>
              <w:rPr>
                <w:sz w:val="18"/>
                <w:szCs w:val="18"/>
              </w:rPr>
            </w:pPr>
            <w:r w:rsidRPr="00C81B24">
              <w:rPr>
                <w:sz w:val="18"/>
                <w:szCs w:val="18"/>
              </w:rPr>
              <w:t>33,785,661</w:t>
            </w:r>
          </w:p>
        </w:tc>
        <w:tc>
          <w:tcPr>
            <w:tcW w:w="1077" w:type="dxa"/>
          </w:tcPr>
          <w:p w:rsidR="00C81B24" w:rsidRPr="00C81B24" w:rsidRDefault="00C81B24" w:rsidP="00CE5850">
            <w:pPr>
              <w:rPr>
                <w:sz w:val="18"/>
                <w:szCs w:val="18"/>
              </w:rPr>
            </w:pPr>
            <w:r w:rsidRPr="00C81B24">
              <w:rPr>
                <w:sz w:val="18"/>
                <w:szCs w:val="18"/>
              </w:rPr>
              <w:t>9,651,240</w:t>
            </w:r>
          </w:p>
        </w:tc>
        <w:tc>
          <w:tcPr>
            <w:tcW w:w="1292" w:type="dxa"/>
          </w:tcPr>
          <w:p w:rsidR="00C81B24" w:rsidRPr="00C81B24" w:rsidRDefault="00C81B24" w:rsidP="00CE5850">
            <w:pPr>
              <w:rPr>
                <w:sz w:val="18"/>
                <w:szCs w:val="18"/>
              </w:rPr>
            </w:pPr>
            <w:r w:rsidRPr="00C81B24">
              <w:rPr>
                <w:sz w:val="18"/>
                <w:szCs w:val="18"/>
              </w:rPr>
              <w:t xml:space="preserve">$19,081,239 </w:t>
            </w:r>
          </w:p>
        </w:tc>
        <w:tc>
          <w:tcPr>
            <w:tcW w:w="1080" w:type="dxa"/>
          </w:tcPr>
          <w:p w:rsidR="00C81B24" w:rsidRPr="00C81B24" w:rsidRDefault="00C81B24" w:rsidP="00CE5850">
            <w:pPr>
              <w:rPr>
                <w:sz w:val="18"/>
                <w:szCs w:val="18"/>
              </w:rPr>
            </w:pPr>
            <w:r w:rsidRPr="00C81B24">
              <w:rPr>
                <w:sz w:val="18"/>
                <w:szCs w:val="18"/>
              </w:rPr>
              <w:t xml:space="preserve">$2,542,570 </w:t>
            </w:r>
          </w:p>
        </w:tc>
        <w:tc>
          <w:tcPr>
            <w:tcW w:w="720" w:type="dxa"/>
          </w:tcPr>
          <w:p w:rsidR="00C81B24" w:rsidRPr="00C81B24" w:rsidRDefault="00C81B24" w:rsidP="00CE5850">
            <w:pPr>
              <w:rPr>
                <w:sz w:val="18"/>
                <w:szCs w:val="18"/>
              </w:rPr>
            </w:pPr>
            <w:r w:rsidRPr="00C81B24">
              <w:rPr>
                <w:sz w:val="18"/>
                <w:szCs w:val="18"/>
              </w:rPr>
              <w:t>22,663</w:t>
            </w:r>
          </w:p>
        </w:tc>
        <w:tc>
          <w:tcPr>
            <w:tcW w:w="990" w:type="dxa"/>
          </w:tcPr>
          <w:p w:rsidR="00C81B24" w:rsidRPr="00C81B24" w:rsidRDefault="00C81B24" w:rsidP="00CE5850">
            <w:pPr>
              <w:rPr>
                <w:sz w:val="18"/>
                <w:szCs w:val="18"/>
              </w:rPr>
            </w:pPr>
            <w:r w:rsidRPr="00C81B24">
              <w:rPr>
                <w:sz w:val="18"/>
                <w:szCs w:val="18"/>
              </w:rPr>
              <w:t>68,165</w:t>
            </w:r>
          </w:p>
        </w:tc>
        <w:tc>
          <w:tcPr>
            <w:tcW w:w="1246" w:type="dxa"/>
            <w:tcBorders>
              <w:right w:val="single" w:sz="6" w:space="0" w:color="auto"/>
            </w:tcBorders>
          </w:tcPr>
          <w:p w:rsidR="00C81B24" w:rsidRPr="00C81B24" w:rsidRDefault="00C81B24" w:rsidP="00CE5850">
            <w:pPr>
              <w:rPr>
                <w:sz w:val="18"/>
                <w:szCs w:val="18"/>
              </w:rPr>
            </w:pPr>
            <w:r w:rsidRPr="00C81B24">
              <w:rPr>
                <w:sz w:val="18"/>
                <w:szCs w:val="18"/>
              </w:rPr>
              <w:t xml:space="preserve">$51.00 </w:t>
            </w:r>
          </w:p>
        </w:tc>
      </w:tr>
      <w:tr w:rsidR="00C81B24" w:rsidRPr="00C81B24" w:rsidTr="00526AD9">
        <w:trPr>
          <w:trHeight w:val="285"/>
          <w:jc w:val="center"/>
        </w:trPr>
        <w:tc>
          <w:tcPr>
            <w:tcW w:w="661" w:type="dxa"/>
            <w:tcBorders>
              <w:left w:val="single" w:sz="6" w:space="0" w:color="auto"/>
              <w:right w:val="single" w:sz="6" w:space="0" w:color="auto"/>
            </w:tcBorders>
          </w:tcPr>
          <w:p w:rsidR="00C81B24" w:rsidRPr="00C81B24" w:rsidRDefault="00C81B24" w:rsidP="00CE5850">
            <w:pPr>
              <w:rPr>
                <w:sz w:val="18"/>
                <w:szCs w:val="18"/>
              </w:rPr>
            </w:pPr>
            <w:r w:rsidRPr="00C81B24">
              <w:rPr>
                <w:sz w:val="18"/>
                <w:szCs w:val="18"/>
              </w:rPr>
              <w:t>1996</w:t>
            </w:r>
          </w:p>
        </w:tc>
        <w:tc>
          <w:tcPr>
            <w:tcW w:w="1006" w:type="dxa"/>
          </w:tcPr>
          <w:p w:rsidR="00C81B24" w:rsidRPr="00C81B24" w:rsidRDefault="00C81B24" w:rsidP="00CE5850">
            <w:pPr>
              <w:rPr>
                <w:sz w:val="18"/>
                <w:szCs w:val="18"/>
              </w:rPr>
            </w:pPr>
            <w:r w:rsidRPr="00C81B24">
              <w:rPr>
                <w:sz w:val="18"/>
                <w:szCs w:val="18"/>
              </w:rPr>
              <w:t>44,042,992</w:t>
            </w:r>
          </w:p>
        </w:tc>
        <w:tc>
          <w:tcPr>
            <w:tcW w:w="1077" w:type="dxa"/>
          </w:tcPr>
          <w:p w:rsidR="00C81B24" w:rsidRPr="00C81B24" w:rsidRDefault="00C81B24" w:rsidP="00CE5850">
            <w:pPr>
              <w:rPr>
                <w:sz w:val="18"/>
                <w:szCs w:val="18"/>
              </w:rPr>
            </w:pPr>
            <w:r w:rsidRPr="00C81B24">
              <w:rPr>
                <w:sz w:val="18"/>
                <w:szCs w:val="18"/>
              </w:rPr>
              <w:t>10,257,331</w:t>
            </w:r>
          </w:p>
        </w:tc>
        <w:tc>
          <w:tcPr>
            <w:tcW w:w="1292" w:type="dxa"/>
          </w:tcPr>
          <w:p w:rsidR="00C81B24" w:rsidRPr="00C81B24" w:rsidRDefault="00C81B24" w:rsidP="00CE5850">
            <w:pPr>
              <w:rPr>
                <w:sz w:val="18"/>
                <w:szCs w:val="18"/>
              </w:rPr>
            </w:pPr>
            <w:r w:rsidRPr="00C81B24">
              <w:rPr>
                <w:sz w:val="18"/>
                <w:szCs w:val="18"/>
              </w:rPr>
              <w:t xml:space="preserve">$23,634,971 </w:t>
            </w:r>
          </w:p>
        </w:tc>
        <w:tc>
          <w:tcPr>
            <w:tcW w:w="1080" w:type="dxa"/>
          </w:tcPr>
          <w:p w:rsidR="00C81B24" w:rsidRPr="00C81B24" w:rsidRDefault="00C81B24" w:rsidP="00CE5850">
            <w:pPr>
              <w:rPr>
                <w:sz w:val="18"/>
                <w:szCs w:val="18"/>
              </w:rPr>
            </w:pPr>
            <w:r w:rsidRPr="00C81B24">
              <w:rPr>
                <w:sz w:val="18"/>
                <w:szCs w:val="18"/>
              </w:rPr>
              <w:t xml:space="preserve">$2,780,935 </w:t>
            </w:r>
          </w:p>
        </w:tc>
        <w:tc>
          <w:tcPr>
            <w:tcW w:w="720" w:type="dxa"/>
          </w:tcPr>
          <w:p w:rsidR="00C81B24" w:rsidRPr="00C81B24" w:rsidRDefault="00C81B24" w:rsidP="00CE5850">
            <w:pPr>
              <w:rPr>
                <w:sz w:val="18"/>
                <w:szCs w:val="18"/>
              </w:rPr>
            </w:pPr>
            <w:r w:rsidRPr="00C81B24">
              <w:rPr>
                <w:sz w:val="18"/>
                <w:szCs w:val="18"/>
              </w:rPr>
              <w:t>30,045</w:t>
            </w:r>
          </w:p>
        </w:tc>
        <w:tc>
          <w:tcPr>
            <w:tcW w:w="990" w:type="dxa"/>
          </w:tcPr>
          <w:p w:rsidR="00C81B24" w:rsidRPr="00C81B24" w:rsidRDefault="00C81B24" w:rsidP="00CE5850">
            <w:pPr>
              <w:rPr>
                <w:sz w:val="18"/>
                <w:szCs w:val="18"/>
              </w:rPr>
            </w:pPr>
            <w:r w:rsidRPr="00C81B24">
              <w:rPr>
                <w:sz w:val="18"/>
                <w:szCs w:val="18"/>
              </w:rPr>
              <w:t>84,161</w:t>
            </w:r>
          </w:p>
        </w:tc>
        <w:tc>
          <w:tcPr>
            <w:tcW w:w="1246" w:type="dxa"/>
            <w:tcBorders>
              <w:right w:val="single" w:sz="6" w:space="0" w:color="auto"/>
            </w:tcBorders>
          </w:tcPr>
          <w:p w:rsidR="00C81B24" w:rsidRPr="00C81B24" w:rsidRDefault="00C81B24" w:rsidP="00CE5850">
            <w:pPr>
              <w:rPr>
                <w:sz w:val="18"/>
                <w:szCs w:val="18"/>
              </w:rPr>
            </w:pPr>
            <w:r w:rsidRPr="00C81B24">
              <w:rPr>
                <w:sz w:val="18"/>
                <w:szCs w:val="18"/>
              </w:rPr>
              <w:t xml:space="preserve">$47.70 </w:t>
            </w:r>
          </w:p>
        </w:tc>
      </w:tr>
      <w:tr w:rsidR="00C81B24" w:rsidRPr="00C81B24" w:rsidTr="00526AD9">
        <w:trPr>
          <w:trHeight w:val="285"/>
          <w:jc w:val="center"/>
        </w:trPr>
        <w:tc>
          <w:tcPr>
            <w:tcW w:w="661" w:type="dxa"/>
            <w:tcBorders>
              <w:left w:val="single" w:sz="6" w:space="0" w:color="auto"/>
              <w:right w:val="single" w:sz="6" w:space="0" w:color="auto"/>
            </w:tcBorders>
          </w:tcPr>
          <w:p w:rsidR="00C81B24" w:rsidRPr="00C81B24" w:rsidRDefault="00C81B24" w:rsidP="00CE5850">
            <w:pPr>
              <w:rPr>
                <w:sz w:val="18"/>
                <w:szCs w:val="18"/>
              </w:rPr>
            </w:pPr>
            <w:r w:rsidRPr="00C81B24">
              <w:rPr>
                <w:sz w:val="18"/>
                <w:szCs w:val="18"/>
              </w:rPr>
              <w:t>1997</w:t>
            </w:r>
          </w:p>
        </w:tc>
        <w:tc>
          <w:tcPr>
            <w:tcW w:w="1006" w:type="dxa"/>
          </w:tcPr>
          <w:p w:rsidR="00C81B24" w:rsidRPr="00C81B24" w:rsidRDefault="00C81B24" w:rsidP="00CE5850">
            <w:pPr>
              <w:rPr>
                <w:sz w:val="18"/>
                <w:szCs w:val="18"/>
              </w:rPr>
            </w:pPr>
            <w:r w:rsidRPr="00C81B24">
              <w:rPr>
                <w:sz w:val="18"/>
                <w:szCs w:val="18"/>
              </w:rPr>
              <w:t>55,312,293</w:t>
            </w:r>
          </w:p>
        </w:tc>
        <w:tc>
          <w:tcPr>
            <w:tcW w:w="1077" w:type="dxa"/>
          </w:tcPr>
          <w:p w:rsidR="00C81B24" w:rsidRPr="00C81B24" w:rsidRDefault="00C81B24" w:rsidP="00CE5850">
            <w:pPr>
              <w:rPr>
                <w:sz w:val="18"/>
                <w:szCs w:val="18"/>
              </w:rPr>
            </w:pPr>
            <w:r w:rsidRPr="00C81B24">
              <w:rPr>
                <w:sz w:val="18"/>
                <w:szCs w:val="18"/>
              </w:rPr>
              <w:t>11,269,301</w:t>
            </w:r>
          </w:p>
        </w:tc>
        <w:tc>
          <w:tcPr>
            <w:tcW w:w="1292" w:type="dxa"/>
          </w:tcPr>
          <w:p w:rsidR="00C81B24" w:rsidRPr="00C81B24" w:rsidRDefault="00C81B24" w:rsidP="00CE5850">
            <w:pPr>
              <w:rPr>
                <w:sz w:val="18"/>
                <w:szCs w:val="18"/>
              </w:rPr>
            </w:pPr>
            <w:r w:rsidRPr="00C81B24">
              <w:rPr>
                <w:sz w:val="18"/>
                <w:szCs w:val="18"/>
              </w:rPr>
              <w:t xml:space="preserve">$27,485,633 </w:t>
            </w:r>
          </w:p>
        </w:tc>
        <w:tc>
          <w:tcPr>
            <w:tcW w:w="1080" w:type="dxa"/>
          </w:tcPr>
          <w:p w:rsidR="00C81B24" w:rsidRPr="00C81B24" w:rsidRDefault="00C81B24" w:rsidP="00CE5850">
            <w:pPr>
              <w:rPr>
                <w:sz w:val="18"/>
                <w:szCs w:val="18"/>
              </w:rPr>
            </w:pPr>
            <w:r w:rsidRPr="00C81B24">
              <w:rPr>
                <w:sz w:val="18"/>
                <w:szCs w:val="18"/>
              </w:rPr>
              <w:t xml:space="preserve">$2,974,205 </w:t>
            </w:r>
          </w:p>
        </w:tc>
        <w:tc>
          <w:tcPr>
            <w:tcW w:w="720" w:type="dxa"/>
          </w:tcPr>
          <w:p w:rsidR="00C81B24" w:rsidRPr="00C81B24" w:rsidRDefault="00C81B24" w:rsidP="00CE5850">
            <w:pPr>
              <w:rPr>
                <w:sz w:val="18"/>
                <w:szCs w:val="18"/>
              </w:rPr>
            </w:pPr>
            <w:r w:rsidRPr="00C81B24">
              <w:rPr>
                <w:sz w:val="18"/>
                <w:szCs w:val="18"/>
              </w:rPr>
              <w:t>51,600</w:t>
            </w:r>
          </w:p>
        </w:tc>
        <w:tc>
          <w:tcPr>
            <w:tcW w:w="990" w:type="dxa"/>
          </w:tcPr>
          <w:p w:rsidR="00C81B24" w:rsidRPr="00C81B24" w:rsidRDefault="00C81B24" w:rsidP="00CE5850">
            <w:pPr>
              <w:rPr>
                <w:sz w:val="18"/>
                <w:szCs w:val="18"/>
              </w:rPr>
            </w:pPr>
            <w:r w:rsidRPr="00C81B24">
              <w:rPr>
                <w:sz w:val="18"/>
                <w:szCs w:val="18"/>
              </w:rPr>
              <w:t>109,387</w:t>
            </w:r>
          </w:p>
        </w:tc>
        <w:tc>
          <w:tcPr>
            <w:tcW w:w="1246" w:type="dxa"/>
            <w:tcBorders>
              <w:right w:val="single" w:sz="6" w:space="0" w:color="auto"/>
            </w:tcBorders>
          </w:tcPr>
          <w:p w:rsidR="00C81B24" w:rsidRPr="00C81B24" w:rsidRDefault="00C81B24" w:rsidP="00CE5850">
            <w:pPr>
              <w:rPr>
                <w:sz w:val="18"/>
                <w:szCs w:val="18"/>
              </w:rPr>
            </w:pPr>
            <w:r w:rsidRPr="00C81B24">
              <w:rPr>
                <w:sz w:val="18"/>
                <w:szCs w:val="18"/>
              </w:rPr>
              <w:t xml:space="preserve">$42.78 </w:t>
            </w:r>
          </w:p>
        </w:tc>
      </w:tr>
      <w:tr w:rsidR="00C81B24" w:rsidRPr="00C81B24" w:rsidTr="00526AD9">
        <w:trPr>
          <w:trHeight w:val="285"/>
          <w:jc w:val="center"/>
        </w:trPr>
        <w:tc>
          <w:tcPr>
            <w:tcW w:w="661" w:type="dxa"/>
            <w:tcBorders>
              <w:left w:val="single" w:sz="6" w:space="0" w:color="auto"/>
              <w:right w:val="single" w:sz="6" w:space="0" w:color="auto"/>
            </w:tcBorders>
          </w:tcPr>
          <w:p w:rsidR="00C81B24" w:rsidRPr="00C81B24" w:rsidRDefault="00C81B24" w:rsidP="00CE5850">
            <w:pPr>
              <w:rPr>
                <w:sz w:val="18"/>
                <w:szCs w:val="18"/>
              </w:rPr>
            </w:pPr>
            <w:r w:rsidRPr="00C81B24">
              <w:rPr>
                <w:sz w:val="18"/>
                <w:szCs w:val="18"/>
              </w:rPr>
              <w:t>1998</w:t>
            </w:r>
          </w:p>
        </w:tc>
        <w:tc>
          <w:tcPr>
            <w:tcW w:w="1006" w:type="dxa"/>
          </w:tcPr>
          <w:p w:rsidR="00C81B24" w:rsidRPr="00C81B24" w:rsidRDefault="00C81B24" w:rsidP="00CE5850">
            <w:pPr>
              <w:rPr>
                <w:sz w:val="18"/>
                <w:szCs w:val="18"/>
              </w:rPr>
            </w:pPr>
            <w:r w:rsidRPr="00C81B24">
              <w:rPr>
                <w:sz w:val="18"/>
                <w:szCs w:val="18"/>
              </w:rPr>
              <w:t>69,209,321</w:t>
            </w:r>
          </w:p>
        </w:tc>
        <w:tc>
          <w:tcPr>
            <w:tcW w:w="1077" w:type="dxa"/>
          </w:tcPr>
          <w:p w:rsidR="00C81B24" w:rsidRPr="00C81B24" w:rsidRDefault="00C81B24" w:rsidP="00CE5850">
            <w:pPr>
              <w:rPr>
                <w:sz w:val="18"/>
                <w:szCs w:val="18"/>
              </w:rPr>
            </w:pPr>
            <w:r w:rsidRPr="00C81B24">
              <w:rPr>
                <w:sz w:val="18"/>
                <w:szCs w:val="18"/>
              </w:rPr>
              <w:t>13,897,028</w:t>
            </w:r>
          </w:p>
        </w:tc>
        <w:tc>
          <w:tcPr>
            <w:tcW w:w="1292" w:type="dxa"/>
          </w:tcPr>
          <w:p w:rsidR="00C81B24" w:rsidRPr="00C81B24" w:rsidRDefault="00C81B24" w:rsidP="00CE5850">
            <w:pPr>
              <w:rPr>
                <w:sz w:val="18"/>
                <w:szCs w:val="18"/>
              </w:rPr>
            </w:pPr>
            <w:r w:rsidRPr="00C81B24">
              <w:rPr>
                <w:sz w:val="18"/>
                <w:szCs w:val="18"/>
              </w:rPr>
              <w:t xml:space="preserve">$33,133,175 </w:t>
            </w:r>
          </w:p>
        </w:tc>
        <w:tc>
          <w:tcPr>
            <w:tcW w:w="1080" w:type="dxa"/>
          </w:tcPr>
          <w:p w:rsidR="00C81B24" w:rsidRPr="00C81B24" w:rsidRDefault="00C81B24" w:rsidP="00CE5850">
            <w:pPr>
              <w:rPr>
                <w:sz w:val="18"/>
                <w:szCs w:val="18"/>
              </w:rPr>
            </w:pPr>
            <w:r w:rsidRPr="00C81B24">
              <w:rPr>
                <w:sz w:val="18"/>
                <w:szCs w:val="18"/>
              </w:rPr>
              <w:t xml:space="preserve">$3,500,469 </w:t>
            </w:r>
          </w:p>
        </w:tc>
        <w:tc>
          <w:tcPr>
            <w:tcW w:w="720" w:type="dxa"/>
          </w:tcPr>
          <w:p w:rsidR="00C81B24" w:rsidRPr="00C81B24" w:rsidRDefault="00C81B24" w:rsidP="00CE5850">
            <w:pPr>
              <w:rPr>
                <w:sz w:val="18"/>
                <w:szCs w:val="18"/>
              </w:rPr>
            </w:pPr>
            <w:r w:rsidRPr="00C81B24">
              <w:rPr>
                <w:sz w:val="18"/>
                <w:szCs w:val="18"/>
              </w:rPr>
              <w:t>65,887</w:t>
            </w:r>
          </w:p>
        </w:tc>
        <w:tc>
          <w:tcPr>
            <w:tcW w:w="990" w:type="dxa"/>
          </w:tcPr>
          <w:p w:rsidR="00C81B24" w:rsidRPr="00C81B24" w:rsidRDefault="00C81B24" w:rsidP="00CE5850">
            <w:pPr>
              <w:rPr>
                <w:sz w:val="18"/>
                <w:szCs w:val="18"/>
              </w:rPr>
            </w:pPr>
            <w:r w:rsidRPr="00C81B24">
              <w:rPr>
                <w:sz w:val="18"/>
                <w:szCs w:val="18"/>
              </w:rPr>
              <w:t>134,754</w:t>
            </w:r>
          </w:p>
        </w:tc>
        <w:tc>
          <w:tcPr>
            <w:tcW w:w="1246" w:type="dxa"/>
            <w:tcBorders>
              <w:right w:val="single" w:sz="6" w:space="0" w:color="auto"/>
            </w:tcBorders>
          </w:tcPr>
          <w:p w:rsidR="00C81B24" w:rsidRPr="00C81B24" w:rsidRDefault="00C81B24" w:rsidP="00CE5850">
            <w:pPr>
              <w:rPr>
                <w:sz w:val="18"/>
                <w:szCs w:val="18"/>
              </w:rPr>
            </w:pPr>
            <w:r w:rsidRPr="00C81B24">
              <w:rPr>
                <w:sz w:val="18"/>
                <w:szCs w:val="18"/>
              </w:rPr>
              <w:t xml:space="preserve">$39.43 </w:t>
            </w:r>
          </w:p>
        </w:tc>
      </w:tr>
      <w:tr w:rsidR="00C81B24" w:rsidRPr="00C81B24" w:rsidTr="00526AD9">
        <w:trPr>
          <w:trHeight w:val="285"/>
          <w:jc w:val="center"/>
        </w:trPr>
        <w:tc>
          <w:tcPr>
            <w:tcW w:w="661" w:type="dxa"/>
            <w:tcBorders>
              <w:left w:val="single" w:sz="6" w:space="0" w:color="auto"/>
              <w:right w:val="single" w:sz="6" w:space="0" w:color="auto"/>
            </w:tcBorders>
          </w:tcPr>
          <w:p w:rsidR="00C81B24" w:rsidRPr="00C81B24" w:rsidRDefault="00C81B24" w:rsidP="00CE5850">
            <w:pPr>
              <w:rPr>
                <w:sz w:val="18"/>
                <w:szCs w:val="18"/>
              </w:rPr>
            </w:pPr>
            <w:r w:rsidRPr="00C81B24">
              <w:rPr>
                <w:sz w:val="18"/>
                <w:szCs w:val="18"/>
              </w:rPr>
              <w:t>1999</w:t>
            </w:r>
          </w:p>
        </w:tc>
        <w:tc>
          <w:tcPr>
            <w:tcW w:w="1006" w:type="dxa"/>
          </w:tcPr>
          <w:p w:rsidR="00C81B24" w:rsidRPr="00C81B24" w:rsidRDefault="00C81B24" w:rsidP="00CE5850">
            <w:pPr>
              <w:rPr>
                <w:sz w:val="18"/>
                <w:szCs w:val="18"/>
              </w:rPr>
            </w:pPr>
            <w:r w:rsidRPr="00C81B24">
              <w:rPr>
                <w:sz w:val="18"/>
                <w:szCs w:val="18"/>
              </w:rPr>
              <w:t>86,047,003</w:t>
            </w:r>
          </w:p>
        </w:tc>
        <w:tc>
          <w:tcPr>
            <w:tcW w:w="1077" w:type="dxa"/>
          </w:tcPr>
          <w:p w:rsidR="00C81B24" w:rsidRPr="00C81B24" w:rsidRDefault="00C81B24" w:rsidP="00CE5850">
            <w:pPr>
              <w:rPr>
                <w:sz w:val="18"/>
                <w:szCs w:val="18"/>
              </w:rPr>
            </w:pPr>
            <w:r w:rsidRPr="00C81B24">
              <w:rPr>
                <w:sz w:val="18"/>
                <w:szCs w:val="18"/>
              </w:rPr>
              <w:t>16,837,682</w:t>
            </w:r>
          </w:p>
        </w:tc>
        <w:tc>
          <w:tcPr>
            <w:tcW w:w="1292" w:type="dxa"/>
          </w:tcPr>
          <w:p w:rsidR="00C81B24" w:rsidRPr="00C81B24" w:rsidRDefault="00C81B24" w:rsidP="00CE5850">
            <w:pPr>
              <w:rPr>
                <w:sz w:val="18"/>
                <w:szCs w:val="18"/>
              </w:rPr>
            </w:pPr>
            <w:r w:rsidRPr="00C81B24">
              <w:rPr>
                <w:sz w:val="18"/>
                <w:szCs w:val="18"/>
              </w:rPr>
              <w:t xml:space="preserve">$40,018,489 </w:t>
            </w:r>
          </w:p>
        </w:tc>
        <w:tc>
          <w:tcPr>
            <w:tcW w:w="1080" w:type="dxa"/>
          </w:tcPr>
          <w:p w:rsidR="00C81B24" w:rsidRPr="00C81B24" w:rsidRDefault="00C81B24" w:rsidP="00CE5850">
            <w:pPr>
              <w:rPr>
                <w:sz w:val="18"/>
                <w:szCs w:val="18"/>
              </w:rPr>
            </w:pPr>
            <w:r w:rsidRPr="00C81B24">
              <w:rPr>
                <w:sz w:val="18"/>
                <w:szCs w:val="18"/>
              </w:rPr>
              <w:t xml:space="preserve">$4,085,417 </w:t>
            </w:r>
          </w:p>
        </w:tc>
        <w:tc>
          <w:tcPr>
            <w:tcW w:w="720" w:type="dxa"/>
          </w:tcPr>
          <w:p w:rsidR="00C81B24" w:rsidRPr="00C81B24" w:rsidRDefault="00C81B24" w:rsidP="00CE5850">
            <w:pPr>
              <w:rPr>
                <w:sz w:val="18"/>
                <w:szCs w:val="18"/>
              </w:rPr>
            </w:pPr>
            <w:r w:rsidRPr="00C81B24">
              <w:rPr>
                <w:sz w:val="18"/>
                <w:szCs w:val="18"/>
              </w:rPr>
              <w:t>81,698</w:t>
            </w:r>
          </w:p>
        </w:tc>
        <w:tc>
          <w:tcPr>
            <w:tcW w:w="990" w:type="dxa"/>
          </w:tcPr>
          <w:p w:rsidR="00C81B24" w:rsidRPr="00C81B24" w:rsidRDefault="00C81B24" w:rsidP="00CE5850">
            <w:pPr>
              <w:rPr>
                <w:sz w:val="18"/>
                <w:szCs w:val="18"/>
              </w:rPr>
            </w:pPr>
            <w:r w:rsidRPr="00C81B24">
              <w:rPr>
                <w:sz w:val="18"/>
                <w:szCs w:val="18"/>
              </w:rPr>
              <w:t>155,817</w:t>
            </w:r>
          </w:p>
        </w:tc>
        <w:tc>
          <w:tcPr>
            <w:tcW w:w="1246" w:type="dxa"/>
            <w:tcBorders>
              <w:right w:val="single" w:sz="6" w:space="0" w:color="auto"/>
            </w:tcBorders>
          </w:tcPr>
          <w:p w:rsidR="00C81B24" w:rsidRPr="00C81B24" w:rsidRDefault="00C81B24" w:rsidP="00CE5850">
            <w:pPr>
              <w:rPr>
                <w:sz w:val="18"/>
                <w:szCs w:val="18"/>
              </w:rPr>
            </w:pPr>
            <w:r w:rsidRPr="00C81B24">
              <w:rPr>
                <w:sz w:val="18"/>
                <w:szCs w:val="18"/>
              </w:rPr>
              <w:t xml:space="preserve">$41.24 </w:t>
            </w:r>
          </w:p>
        </w:tc>
      </w:tr>
      <w:tr w:rsidR="00C81B24" w:rsidRPr="00C81B24" w:rsidTr="00526AD9">
        <w:trPr>
          <w:trHeight w:val="285"/>
          <w:jc w:val="center"/>
        </w:trPr>
        <w:tc>
          <w:tcPr>
            <w:tcW w:w="661" w:type="dxa"/>
            <w:tcBorders>
              <w:left w:val="single" w:sz="6" w:space="0" w:color="auto"/>
              <w:right w:val="single" w:sz="6" w:space="0" w:color="auto"/>
            </w:tcBorders>
          </w:tcPr>
          <w:p w:rsidR="00C81B24" w:rsidRPr="00C81B24" w:rsidRDefault="00C81B24" w:rsidP="00CE5850">
            <w:pPr>
              <w:rPr>
                <w:sz w:val="18"/>
                <w:szCs w:val="18"/>
              </w:rPr>
            </w:pPr>
            <w:r w:rsidRPr="00C81B24">
              <w:rPr>
                <w:sz w:val="18"/>
                <w:szCs w:val="18"/>
              </w:rPr>
              <w:t>2000</w:t>
            </w:r>
          </w:p>
        </w:tc>
        <w:tc>
          <w:tcPr>
            <w:tcW w:w="1006" w:type="dxa"/>
          </w:tcPr>
          <w:p w:rsidR="00C81B24" w:rsidRPr="00C81B24" w:rsidRDefault="00C81B24" w:rsidP="00CE5850">
            <w:pPr>
              <w:rPr>
                <w:sz w:val="18"/>
                <w:szCs w:val="18"/>
              </w:rPr>
            </w:pPr>
            <w:r w:rsidRPr="00C81B24">
              <w:rPr>
                <w:sz w:val="18"/>
                <w:szCs w:val="18"/>
              </w:rPr>
              <w:t xml:space="preserve">109,478,031 </w:t>
            </w:r>
          </w:p>
        </w:tc>
        <w:tc>
          <w:tcPr>
            <w:tcW w:w="1077" w:type="dxa"/>
          </w:tcPr>
          <w:p w:rsidR="00C81B24" w:rsidRPr="00C81B24" w:rsidRDefault="00C81B24" w:rsidP="00CE5850">
            <w:pPr>
              <w:rPr>
                <w:sz w:val="18"/>
                <w:szCs w:val="18"/>
              </w:rPr>
            </w:pPr>
            <w:r w:rsidRPr="00C81B24">
              <w:rPr>
                <w:sz w:val="18"/>
                <w:szCs w:val="18"/>
              </w:rPr>
              <w:t>23,431,028</w:t>
            </w:r>
          </w:p>
        </w:tc>
        <w:tc>
          <w:tcPr>
            <w:tcW w:w="1292" w:type="dxa"/>
          </w:tcPr>
          <w:p w:rsidR="00C81B24" w:rsidRPr="00C81B24" w:rsidRDefault="00C81B24" w:rsidP="00CE5850">
            <w:pPr>
              <w:rPr>
                <w:sz w:val="18"/>
                <w:szCs w:val="18"/>
              </w:rPr>
            </w:pPr>
            <w:r w:rsidRPr="00C81B24">
              <w:rPr>
                <w:sz w:val="18"/>
                <w:szCs w:val="18"/>
              </w:rPr>
              <w:t xml:space="preserve">$52,466,020 </w:t>
            </w:r>
          </w:p>
        </w:tc>
        <w:tc>
          <w:tcPr>
            <w:tcW w:w="1080" w:type="dxa"/>
          </w:tcPr>
          <w:p w:rsidR="00C81B24" w:rsidRPr="00C81B24" w:rsidRDefault="00C81B24" w:rsidP="00CE5850">
            <w:pPr>
              <w:rPr>
                <w:sz w:val="18"/>
                <w:szCs w:val="18"/>
              </w:rPr>
            </w:pPr>
            <w:r w:rsidRPr="00C81B24">
              <w:rPr>
                <w:sz w:val="18"/>
                <w:szCs w:val="18"/>
              </w:rPr>
              <w:t xml:space="preserve">$3,882,981 </w:t>
            </w:r>
          </w:p>
        </w:tc>
        <w:tc>
          <w:tcPr>
            <w:tcW w:w="720" w:type="dxa"/>
          </w:tcPr>
          <w:p w:rsidR="00C81B24" w:rsidRPr="00C81B24" w:rsidRDefault="00C81B24" w:rsidP="00CE5850">
            <w:pPr>
              <w:rPr>
                <w:sz w:val="18"/>
                <w:szCs w:val="18"/>
              </w:rPr>
            </w:pPr>
            <w:r w:rsidRPr="00C81B24">
              <w:rPr>
                <w:sz w:val="18"/>
                <w:szCs w:val="18"/>
              </w:rPr>
              <w:t>104,288</w:t>
            </w:r>
          </w:p>
        </w:tc>
        <w:tc>
          <w:tcPr>
            <w:tcW w:w="990" w:type="dxa"/>
          </w:tcPr>
          <w:p w:rsidR="00C81B24" w:rsidRPr="00C81B24" w:rsidRDefault="00C81B24" w:rsidP="00CE5850">
            <w:pPr>
              <w:rPr>
                <w:sz w:val="18"/>
                <w:szCs w:val="18"/>
              </w:rPr>
            </w:pPr>
            <w:r w:rsidRPr="00C81B24">
              <w:rPr>
                <w:sz w:val="18"/>
                <w:szCs w:val="18"/>
              </w:rPr>
              <w:t>184,449</w:t>
            </w:r>
          </w:p>
        </w:tc>
        <w:tc>
          <w:tcPr>
            <w:tcW w:w="1246" w:type="dxa"/>
            <w:tcBorders>
              <w:right w:val="single" w:sz="6" w:space="0" w:color="auto"/>
            </w:tcBorders>
          </w:tcPr>
          <w:p w:rsidR="00C81B24" w:rsidRPr="00C81B24" w:rsidRDefault="00C81B24" w:rsidP="00CE5850">
            <w:pPr>
              <w:rPr>
                <w:sz w:val="18"/>
                <w:szCs w:val="18"/>
              </w:rPr>
            </w:pPr>
            <w:r w:rsidRPr="00C81B24">
              <w:rPr>
                <w:sz w:val="18"/>
                <w:szCs w:val="18"/>
              </w:rPr>
              <w:t xml:space="preserve">$45.27 </w:t>
            </w:r>
          </w:p>
        </w:tc>
      </w:tr>
      <w:bookmarkEnd w:id="6895"/>
      <w:tr w:rsidR="00C81B24" w:rsidRPr="00C81B24" w:rsidTr="00526AD9">
        <w:trPr>
          <w:trHeight w:val="285"/>
          <w:jc w:val="center"/>
        </w:trPr>
        <w:tc>
          <w:tcPr>
            <w:tcW w:w="661" w:type="dxa"/>
            <w:tcBorders>
              <w:left w:val="single" w:sz="6" w:space="0" w:color="auto"/>
              <w:right w:val="single" w:sz="6" w:space="0" w:color="auto"/>
            </w:tcBorders>
          </w:tcPr>
          <w:p w:rsidR="00C81B24" w:rsidRPr="00C81B24" w:rsidRDefault="00C81B24" w:rsidP="00CE5850">
            <w:pPr>
              <w:rPr>
                <w:sz w:val="18"/>
                <w:szCs w:val="18"/>
              </w:rPr>
            </w:pPr>
            <w:r w:rsidRPr="00C81B24">
              <w:rPr>
                <w:sz w:val="18"/>
                <w:szCs w:val="18"/>
              </w:rPr>
              <w:t>2001</w:t>
            </w:r>
          </w:p>
        </w:tc>
        <w:tc>
          <w:tcPr>
            <w:tcW w:w="1006" w:type="dxa"/>
          </w:tcPr>
          <w:p w:rsidR="00C81B24" w:rsidRPr="00C81B24" w:rsidRDefault="00C81B24" w:rsidP="00CE5850">
            <w:pPr>
              <w:rPr>
                <w:sz w:val="18"/>
                <w:szCs w:val="18"/>
              </w:rPr>
            </w:pPr>
            <w:r w:rsidRPr="00C81B24">
              <w:rPr>
                <w:sz w:val="18"/>
                <w:szCs w:val="18"/>
              </w:rPr>
              <w:t>128,374,512</w:t>
            </w:r>
          </w:p>
        </w:tc>
        <w:tc>
          <w:tcPr>
            <w:tcW w:w="1077" w:type="dxa"/>
          </w:tcPr>
          <w:p w:rsidR="00C81B24" w:rsidRPr="00C81B24" w:rsidRDefault="00C81B24" w:rsidP="00CE5850">
            <w:pPr>
              <w:rPr>
                <w:sz w:val="18"/>
                <w:szCs w:val="18"/>
              </w:rPr>
            </w:pPr>
            <w:r w:rsidRPr="00C81B24">
              <w:rPr>
                <w:sz w:val="18"/>
                <w:szCs w:val="18"/>
              </w:rPr>
              <w:t>18,896,481</w:t>
            </w:r>
          </w:p>
        </w:tc>
        <w:tc>
          <w:tcPr>
            <w:tcW w:w="1292" w:type="dxa"/>
          </w:tcPr>
          <w:p w:rsidR="00C81B24" w:rsidRPr="00C81B24" w:rsidRDefault="00C81B24" w:rsidP="00CE5850">
            <w:pPr>
              <w:rPr>
                <w:sz w:val="18"/>
                <w:szCs w:val="18"/>
              </w:rPr>
            </w:pPr>
            <w:r w:rsidRPr="00C81B24">
              <w:rPr>
                <w:sz w:val="18"/>
                <w:szCs w:val="18"/>
              </w:rPr>
              <w:t xml:space="preserve">$65,316,235 </w:t>
            </w:r>
          </w:p>
        </w:tc>
        <w:tc>
          <w:tcPr>
            <w:tcW w:w="1080" w:type="dxa"/>
          </w:tcPr>
          <w:p w:rsidR="00C81B24" w:rsidRPr="00C81B24" w:rsidRDefault="00C81B24" w:rsidP="00CE5850">
            <w:pPr>
              <w:rPr>
                <w:sz w:val="18"/>
                <w:szCs w:val="18"/>
              </w:rPr>
            </w:pPr>
            <w:r w:rsidRPr="00C81B24">
              <w:rPr>
                <w:sz w:val="18"/>
                <w:szCs w:val="18"/>
              </w:rPr>
              <w:t xml:space="preserve">$3,752,826 </w:t>
            </w:r>
          </w:p>
        </w:tc>
        <w:tc>
          <w:tcPr>
            <w:tcW w:w="720" w:type="dxa"/>
          </w:tcPr>
          <w:p w:rsidR="00C81B24" w:rsidRPr="00C81B24" w:rsidRDefault="00C81B24" w:rsidP="00CE5850">
            <w:pPr>
              <w:rPr>
                <w:sz w:val="18"/>
                <w:szCs w:val="18"/>
              </w:rPr>
            </w:pPr>
            <w:r w:rsidRPr="00C81B24">
              <w:rPr>
                <w:sz w:val="18"/>
                <w:szCs w:val="18"/>
              </w:rPr>
              <w:t>127,540</w:t>
            </w:r>
          </w:p>
        </w:tc>
        <w:tc>
          <w:tcPr>
            <w:tcW w:w="990" w:type="dxa"/>
          </w:tcPr>
          <w:p w:rsidR="00C81B24" w:rsidRPr="00C81B24" w:rsidRDefault="00C81B24" w:rsidP="00CE5850">
            <w:pPr>
              <w:rPr>
                <w:sz w:val="18"/>
                <w:szCs w:val="18"/>
              </w:rPr>
            </w:pPr>
            <w:r w:rsidRPr="00C81B24">
              <w:rPr>
                <w:sz w:val="18"/>
                <w:szCs w:val="18"/>
              </w:rPr>
              <w:t>203,580</w:t>
            </w:r>
          </w:p>
        </w:tc>
        <w:tc>
          <w:tcPr>
            <w:tcW w:w="1246" w:type="dxa"/>
            <w:tcBorders>
              <w:right w:val="single" w:sz="6" w:space="0" w:color="auto"/>
            </w:tcBorders>
          </w:tcPr>
          <w:p w:rsidR="00C81B24" w:rsidRPr="00C81B24" w:rsidRDefault="00C81B24" w:rsidP="00CE5850">
            <w:pPr>
              <w:rPr>
                <w:sz w:val="18"/>
                <w:szCs w:val="18"/>
              </w:rPr>
            </w:pPr>
            <w:r w:rsidRPr="00C81B24">
              <w:rPr>
                <w:sz w:val="18"/>
                <w:szCs w:val="18"/>
              </w:rPr>
              <w:t>$47.37</w:t>
            </w:r>
          </w:p>
        </w:tc>
      </w:tr>
      <w:tr w:rsidR="00C81B24" w:rsidRPr="00C81B24" w:rsidTr="00526AD9">
        <w:trPr>
          <w:trHeight w:val="285"/>
          <w:jc w:val="center"/>
        </w:trPr>
        <w:tc>
          <w:tcPr>
            <w:tcW w:w="661" w:type="dxa"/>
            <w:tcBorders>
              <w:left w:val="single" w:sz="6" w:space="0" w:color="auto"/>
              <w:right w:val="single" w:sz="6" w:space="0" w:color="auto"/>
            </w:tcBorders>
          </w:tcPr>
          <w:p w:rsidR="00C81B24" w:rsidRPr="00C81B24" w:rsidRDefault="00C81B24" w:rsidP="00CE5850">
            <w:pPr>
              <w:rPr>
                <w:sz w:val="18"/>
                <w:szCs w:val="18"/>
              </w:rPr>
            </w:pPr>
            <w:r w:rsidRPr="00C81B24">
              <w:rPr>
                <w:sz w:val="18"/>
                <w:szCs w:val="18"/>
              </w:rPr>
              <w:t>2002</w:t>
            </w:r>
          </w:p>
        </w:tc>
        <w:tc>
          <w:tcPr>
            <w:tcW w:w="1006" w:type="dxa"/>
          </w:tcPr>
          <w:p w:rsidR="00C81B24" w:rsidRPr="00C81B24" w:rsidRDefault="00C81B24" w:rsidP="00CE5850">
            <w:pPr>
              <w:rPr>
                <w:sz w:val="18"/>
                <w:szCs w:val="18"/>
              </w:rPr>
            </w:pPr>
            <w:r w:rsidRPr="00C81B24">
              <w:rPr>
                <w:sz w:val="18"/>
                <w:szCs w:val="18"/>
              </w:rPr>
              <w:t>140,766,842</w:t>
            </w:r>
          </w:p>
        </w:tc>
        <w:tc>
          <w:tcPr>
            <w:tcW w:w="1077" w:type="dxa"/>
          </w:tcPr>
          <w:p w:rsidR="00C81B24" w:rsidRPr="00C81B24" w:rsidRDefault="00C81B24" w:rsidP="00CE5850">
            <w:pPr>
              <w:rPr>
                <w:sz w:val="18"/>
                <w:szCs w:val="18"/>
              </w:rPr>
            </w:pPr>
            <w:r w:rsidRPr="00C81B24">
              <w:rPr>
                <w:sz w:val="18"/>
                <w:szCs w:val="18"/>
              </w:rPr>
              <w:t>12,392,330</w:t>
            </w:r>
          </w:p>
        </w:tc>
        <w:tc>
          <w:tcPr>
            <w:tcW w:w="1292" w:type="dxa"/>
          </w:tcPr>
          <w:p w:rsidR="00C81B24" w:rsidRPr="00C81B24" w:rsidRDefault="00C81B24" w:rsidP="00CE5850">
            <w:pPr>
              <w:rPr>
                <w:sz w:val="18"/>
                <w:szCs w:val="18"/>
              </w:rPr>
            </w:pPr>
            <w:r w:rsidRPr="00C81B24">
              <w:rPr>
                <w:sz w:val="18"/>
                <w:szCs w:val="18"/>
              </w:rPr>
              <w:t xml:space="preserve">$76,508,187 </w:t>
            </w:r>
          </w:p>
        </w:tc>
        <w:tc>
          <w:tcPr>
            <w:tcW w:w="1080" w:type="dxa"/>
          </w:tcPr>
          <w:p w:rsidR="00C81B24" w:rsidRPr="00C81B24" w:rsidRDefault="00C81B24" w:rsidP="00CE5850">
            <w:pPr>
              <w:rPr>
                <w:sz w:val="18"/>
                <w:szCs w:val="18"/>
              </w:rPr>
            </w:pPr>
            <w:r w:rsidRPr="00C81B24">
              <w:rPr>
                <w:sz w:val="18"/>
                <w:szCs w:val="18"/>
              </w:rPr>
              <w:t xml:space="preserve">$3,895,512 </w:t>
            </w:r>
          </w:p>
        </w:tc>
        <w:tc>
          <w:tcPr>
            <w:tcW w:w="720" w:type="dxa"/>
          </w:tcPr>
          <w:p w:rsidR="00C81B24" w:rsidRPr="00C81B24" w:rsidRDefault="00C81B24" w:rsidP="00CE5850">
            <w:pPr>
              <w:rPr>
                <w:sz w:val="18"/>
                <w:szCs w:val="18"/>
              </w:rPr>
            </w:pPr>
            <w:r w:rsidRPr="00C81B24">
              <w:rPr>
                <w:sz w:val="18"/>
                <w:szCs w:val="18"/>
              </w:rPr>
              <w:t>139,338</w:t>
            </w:r>
          </w:p>
        </w:tc>
        <w:tc>
          <w:tcPr>
            <w:tcW w:w="990" w:type="dxa"/>
          </w:tcPr>
          <w:p w:rsidR="00C81B24" w:rsidRPr="00C81B24" w:rsidRDefault="00C81B24" w:rsidP="00CE5850">
            <w:pPr>
              <w:rPr>
                <w:sz w:val="18"/>
                <w:szCs w:val="18"/>
              </w:rPr>
            </w:pPr>
            <w:r w:rsidRPr="00C81B24">
              <w:rPr>
                <w:sz w:val="18"/>
                <w:szCs w:val="18"/>
              </w:rPr>
              <w:t>192,410</w:t>
            </w:r>
          </w:p>
        </w:tc>
        <w:tc>
          <w:tcPr>
            <w:tcW w:w="1246" w:type="dxa"/>
            <w:tcBorders>
              <w:right w:val="single" w:sz="6" w:space="0" w:color="auto"/>
            </w:tcBorders>
          </w:tcPr>
          <w:p w:rsidR="00C81B24" w:rsidRPr="00C81B24" w:rsidRDefault="00C81B24" w:rsidP="00CE5850">
            <w:pPr>
              <w:rPr>
                <w:sz w:val="18"/>
                <w:szCs w:val="18"/>
              </w:rPr>
            </w:pPr>
            <w:r w:rsidRPr="00C81B24">
              <w:rPr>
                <w:sz w:val="18"/>
                <w:szCs w:val="18"/>
              </w:rPr>
              <w:t>$48.40</w:t>
            </w:r>
          </w:p>
        </w:tc>
      </w:tr>
      <w:tr w:rsidR="00C81B24" w:rsidRPr="00C81B24" w:rsidTr="00526AD9">
        <w:trPr>
          <w:trHeight w:val="285"/>
          <w:jc w:val="center"/>
        </w:trPr>
        <w:tc>
          <w:tcPr>
            <w:tcW w:w="661" w:type="dxa"/>
            <w:tcBorders>
              <w:left w:val="single" w:sz="6" w:space="0" w:color="auto"/>
              <w:right w:val="single" w:sz="6" w:space="0" w:color="auto"/>
            </w:tcBorders>
          </w:tcPr>
          <w:p w:rsidR="00C81B24" w:rsidRPr="00C81B24" w:rsidRDefault="00C81B24" w:rsidP="00CE5850">
            <w:pPr>
              <w:rPr>
                <w:sz w:val="18"/>
                <w:szCs w:val="18"/>
              </w:rPr>
            </w:pPr>
            <w:r w:rsidRPr="00C81B24">
              <w:rPr>
                <w:sz w:val="18"/>
                <w:szCs w:val="18"/>
              </w:rPr>
              <w:t>2003</w:t>
            </w:r>
          </w:p>
        </w:tc>
        <w:tc>
          <w:tcPr>
            <w:tcW w:w="1006" w:type="dxa"/>
          </w:tcPr>
          <w:p w:rsidR="00C81B24" w:rsidRPr="00C81B24" w:rsidRDefault="00C81B24" w:rsidP="00CE5850">
            <w:pPr>
              <w:rPr>
                <w:sz w:val="18"/>
                <w:szCs w:val="18"/>
              </w:rPr>
            </w:pPr>
            <w:r w:rsidRPr="00C81B24">
              <w:rPr>
                <w:sz w:val="18"/>
                <w:szCs w:val="18"/>
              </w:rPr>
              <w:t>158,721,981</w:t>
            </w:r>
          </w:p>
        </w:tc>
        <w:tc>
          <w:tcPr>
            <w:tcW w:w="1077" w:type="dxa"/>
          </w:tcPr>
          <w:p w:rsidR="00C81B24" w:rsidRPr="00C81B24" w:rsidRDefault="00C81B24" w:rsidP="00CE5850">
            <w:pPr>
              <w:rPr>
                <w:sz w:val="18"/>
                <w:szCs w:val="18"/>
              </w:rPr>
            </w:pPr>
            <w:r w:rsidRPr="00C81B24">
              <w:rPr>
                <w:sz w:val="18"/>
                <w:szCs w:val="18"/>
              </w:rPr>
              <w:t>17,955,139</w:t>
            </w:r>
          </w:p>
        </w:tc>
        <w:tc>
          <w:tcPr>
            <w:tcW w:w="1292" w:type="dxa"/>
          </w:tcPr>
          <w:p w:rsidR="00C81B24" w:rsidRPr="00C81B24" w:rsidRDefault="00C81B24" w:rsidP="00CE5850">
            <w:pPr>
              <w:rPr>
                <w:sz w:val="18"/>
                <w:szCs w:val="18"/>
              </w:rPr>
            </w:pPr>
            <w:r w:rsidRPr="00C81B24">
              <w:rPr>
                <w:sz w:val="18"/>
                <w:szCs w:val="18"/>
              </w:rPr>
              <w:t xml:space="preserve">$87,624,093 </w:t>
            </w:r>
          </w:p>
        </w:tc>
        <w:tc>
          <w:tcPr>
            <w:tcW w:w="1080" w:type="dxa"/>
          </w:tcPr>
          <w:p w:rsidR="00C81B24" w:rsidRPr="00C81B24" w:rsidRDefault="00C81B24" w:rsidP="00CE5850">
            <w:pPr>
              <w:rPr>
                <w:sz w:val="18"/>
                <w:szCs w:val="18"/>
              </w:rPr>
            </w:pPr>
            <w:r w:rsidRPr="00C81B24">
              <w:rPr>
                <w:sz w:val="18"/>
                <w:szCs w:val="18"/>
              </w:rPr>
              <w:t xml:space="preserve">$3,766,267 </w:t>
            </w:r>
          </w:p>
        </w:tc>
        <w:tc>
          <w:tcPr>
            <w:tcW w:w="720" w:type="dxa"/>
          </w:tcPr>
          <w:p w:rsidR="00C81B24" w:rsidRPr="00C81B24" w:rsidRDefault="00C81B24" w:rsidP="00CE5850">
            <w:pPr>
              <w:rPr>
                <w:sz w:val="18"/>
                <w:szCs w:val="18"/>
              </w:rPr>
            </w:pPr>
            <w:r w:rsidRPr="00C81B24">
              <w:rPr>
                <w:sz w:val="18"/>
                <w:szCs w:val="18"/>
              </w:rPr>
              <w:t>162,986</w:t>
            </w:r>
          </w:p>
        </w:tc>
        <w:tc>
          <w:tcPr>
            <w:tcW w:w="990" w:type="dxa"/>
          </w:tcPr>
          <w:p w:rsidR="00C81B24" w:rsidRPr="00C81B24" w:rsidRDefault="00C81B24" w:rsidP="00CE5850">
            <w:pPr>
              <w:rPr>
                <w:sz w:val="18"/>
                <w:szCs w:val="18"/>
              </w:rPr>
            </w:pPr>
            <w:r w:rsidRPr="00C81B24">
              <w:rPr>
                <w:sz w:val="18"/>
                <w:szCs w:val="18"/>
              </w:rPr>
              <w:t>205,629</w:t>
            </w:r>
          </w:p>
        </w:tc>
        <w:tc>
          <w:tcPr>
            <w:tcW w:w="1246" w:type="dxa"/>
            <w:tcBorders>
              <w:right w:val="single" w:sz="6" w:space="0" w:color="auto"/>
            </w:tcBorders>
          </w:tcPr>
          <w:p w:rsidR="00C81B24" w:rsidRPr="00C81B24" w:rsidRDefault="00C81B24" w:rsidP="00CE5850">
            <w:pPr>
              <w:rPr>
                <w:sz w:val="18"/>
                <w:szCs w:val="18"/>
              </w:rPr>
            </w:pPr>
            <w:r w:rsidRPr="00C81B24">
              <w:rPr>
                <w:sz w:val="18"/>
                <w:szCs w:val="18"/>
              </w:rPr>
              <w:t>$49.91</w:t>
            </w:r>
          </w:p>
        </w:tc>
      </w:tr>
      <w:tr w:rsidR="00C81B24" w:rsidRPr="00C81B24" w:rsidTr="00526AD9">
        <w:trPr>
          <w:trHeight w:val="285"/>
          <w:jc w:val="center"/>
        </w:trPr>
        <w:tc>
          <w:tcPr>
            <w:tcW w:w="661" w:type="dxa"/>
            <w:tcBorders>
              <w:left w:val="single" w:sz="6" w:space="0" w:color="auto"/>
              <w:right w:val="single" w:sz="6" w:space="0" w:color="auto"/>
            </w:tcBorders>
          </w:tcPr>
          <w:p w:rsidR="00C81B24" w:rsidRPr="00C81B24" w:rsidRDefault="00C81B24" w:rsidP="00CE5850">
            <w:pPr>
              <w:rPr>
                <w:sz w:val="18"/>
                <w:szCs w:val="18"/>
              </w:rPr>
            </w:pPr>
            <w:r w:rsidRPr="00C81B24">
              <w:rPr>
                <w:sz w:val="18"/>
                <w:szCs w:val="18"/>
              </w:rPr>
              <w:t>2004</w:t>
            </w:r>
          </w:p>
        </w:tc>
        <w:tc>
          <w:tcPr>
            <w:tcW w:w="1006" w:type="dxa"/>
          </w:tcPr>
          <w:p w:rsidR="00C81B24" w:rsidRPr="00C81B24" w:rsidRDefault="00C81B24" w:rsidP="00CE5850">
            <w:pPr>
              <w:rPr>
                <w:sz w:val="18"/>
                <w:szCs w:val="18"/>
              </w:rPr>
            </w:pPr>
            <w:r w:rsidRPr="00C81B24">
              <w:rPr>
                <w:sz w:val="18"/>
                <w:szCs w:val="18"/>
              </w:rPr>
              <w:t>182,140,362</w:t>
            </w:r>
          </w:p>
        </w:tc>
        <w:tc>
          <w:tcPr>
            <w:tcW w:w="1077" w:type="dxa"/>
          </w:tcPr>
          <w:p w:rsidR="00C81B24" w:rsidRPr="00C81B24" w:rsidRDefault="00C81B24" w:rsidP="00CE5850">
            <w:pPr>
              <w:rPr>
                <w:sz w:val="18"/>
                <w:szCs w:val="18"/>
              </w:rPr>
            </w:pPr>
            <w:r w:rsidRPr="00C81B24">
              <w:rPr>
                <w:sz w:val="18"/>
                <w:szCs w:val="18"/>
              </w:rPr>
              <w:t>23,418,381</w:t>
            </w:r>
          </w:p>
        </w:tc>
        <w:tc>
          <w:tcPr>
            <w:tcW w:w="1292" w:type="dxa"/>
          </w:tcPr>
          <w:p w:rsidR="00C81B24" w:rsidRPr="00C81B24" w:rsidRDefault="00C81B24" w:rsidP="00CE5850">
            <w:pPr>
              <w:rPr>
                <w:sz w:val="18"/>
                <w:szCs w:val="18"/>
              </w:rPr>
            </w:pPr>
            <w:r w:rsidRPr="00C81B24">
              <w:rPr>
                <w:sz w:val="18"/>
                <w:szCs w:val="18"/>
              </w:rPr>
              <w:t xml:space="preserve">$102,121,210 </w:t>
            </w:r>
          </w:p>
        </w:tc>
        <w:tc>
          <w:tcPr>
            <w:tcW w:w="1080" w:type="dxa"/>
          </w:tcPr>
          <w:p w:rsidR="00C81B24" w:rsidRPr="00C81B24" w:rsidRDefault="00C81B24" w:rsidP="00CE5850">
            <w:pPr>
              <w:rPr>
                <w:sz w:val="18"/>
                <w:szCs w:val="18"/>
              </w:rPr>
            </w:pPr>
            <w:r w:rsidRPr="00C81B24">
              <w:rPr>
                <w:sz w:val="18"/>
                <w:szCs w:val="18"/>
              </w:rPr>
              <w:t xml:space="preserve">$4,210,331 </w:t>
            </w:r>
          </w:p>
        </w:tc>
        <w:tc>
          <w:tcPr>
            <w:tcW w:w="720" w:type="dxa"/>
          </w:tcPr>
          <w:p w:rsidR="00C81B24" w:rsidRPr="00C81B24" w:rsidRDefault="00C81B24" w:rsidP="00CE5850">
            <w:pPr>
              <w:rPr>
                <w:sz w:val="18"/>
                <w:szCs w:val="18"/>
              </w:rPr>
            </w:pPr>
            <w:r w:rsidRPr="00C81B24">
              <w:rPr>
                <w:sz w:val="18"/>
                <w:szCs w:val="18"/>
              </w:rPr>
              <w:t>175,725</w:t>
            </w:r>
          </w:p>
        </w:tc>
        <w:tc>
          <w:tcPr>
            <w:tcW w:w="990" w:type="dxa"/>
          </w:tcPr>
          <w:p w:rsidR="00C81B24" w:rsidRPr="00C81B24" w:rsidRDefault="00C81B24" w:rsidP="00CE5850">
            <w:pPr>
              <w:rPr>
                <w:sz w:val="18"/>
                <w:szCs w:val="18"/>
              </w:rPr>
            </w:pPr>
            <w:r w:rsidRPr="00C81B24">
              <w:rPr>
                <w:sz w:val="18"/>
                <w:szCs w:val="18"/>
              </w:rPr>
              <w:t>226,016</w:t>
            </w:r>
          </w:p>
        </w:tc>
        <w:tc>
          <w:tcPr>
            <w:tcW w:w="1246" w:type="dxa"/>
            <w:tcBorders>
              <w:right w:val="single" w:sz="6" w:space="0" w:color="auto"/>
            </w:tcBorders>
          </w:tcPr>
          <w:p w:rsidR="00C81B24" w:rsidRPr="00C81B24" w:rsidRDefault="00C81B24" w:rsidP="00CE5850">
            <w:pPr>
              <w:rPr>
                <w:sz w:val="18"/>
                <w:szCs w:val="18"/>
              </w:rPr>
            </w:pPr>
            <w:r w:rsidRPr="00C81B24">
              <w:rPr>
                <w:sz w:val="18"/>
                <w:szCs w:val="18"/>
              </w:rPr>
              <w:t>$50.64</w:t>
            </w:r>
          </w:p>
        </w:tc>
      </w:tr>
      <w:tr w:rsidR="00C81B24" w:rsidRPr="00C81B24" w:rsidTr="00526AD9">
        <w:trPr>
          <w:trHeight w:val="285"/>
          <w:jc w:val="center"/>
        </w:trPr>
        <w:tc>
          <w:tcPr>
            <w:tcW w:w="661" w:type="dxa"/>
            <w:tcBorders>
              <w:left w:val="single" w:sz="6" w:space="0" w:color="auto"/>
              <w:right w:val="single" w:sz="6" w:space="0" w:color="auto"/>
            </w:tcBorders>
          </w:tcPr>
          <w:p w:rsidR="00C81B24" w:rsidRPr="00C81B24" w:rsidRDefault="00C81B24" w:rsidP="00CE5850">
            <w:pPr>
              <w:rPr>
                <w:sz w:val="18"/>
                <w:szCs w:val="18"/>
              </w:rPr>
            </w:pPr>
            <w:r w:rsidRPr="00C81B24">
              <w:rPr>
                <w:sz w:val="18"/>
                <w:szCs w:val="18"/>
              </w:rPr>
              <w:t>2005</w:t>
            </w:r>
          </w:p>
        </w:tc>
        <w:tc>
          <w:tcPr>
            <w:tcW w:w="1006" w:type="dxa"/>
          </w:tcPr>
          <w:p w:rsidR="00C81B24" w:rsidRPr="00C81B24" w:rsidRDefault="00C81B24" w:rsidP="00CE5850">
            <w:pPr>
              <w:rPr>
                <w:sz w:val="18"/>
                <w:szCs w:val="18"/>
              </w:rPr>
            </w:pPr>
            <w:r w:rsidRPr="00C81B24">
              <w:rPr>
                <w:sz w:val="18"/>
                <w:szCs w:val="18"/>
              </w:rPr>
              <w:t>207,896,198</w:t>
            </w:r>
          </w:p>
        </w:tc>
        <w:tc>
          <w:tcPr>
            <w:tcW w:w="1077" w:type="dxa"/>
          </w:tcPr>
          <w:p w:rsidR="00C81B24" w:rsidRPr="00C81B24" w:rsidRDefault="00C81B24" w:rsidP="00CE5850">
            <w:pPr>
              <w:rPr>
                <w:sz w:val="18"/>
                <w:szCs w:val="18"/>
              </w:rPr>
            </w:pPr>
            <w:r w:rsidRPr="00C81B24">
              <w:rPr>
                <w:sz w:val="18"/>
                <w:szCs w:val="18"/>
              </w:rPr>
              <w:t>25,755,836</w:t>
            </w:r>
          </w:p>
        </w:tc>
        <w:tc>
          <w:tcPr>
            <w:tcW w:w="1292" w:type="dxa"/>
          </w:tcPr>
          <w:p w:rsidR="00C81B24" w:rsidRPr="00C81B24" w:rsidRDefault="00C81B24" w:rsidP="00CE5850">
            <w:pPr>
              <w:rPr>
                <w:sz w:val="18"/>
                <w:szCs w:val="18"/>
              </w:rPr>
            </w:pPr>
            <w:r w:rsidRPr="00C81B24">
              <w:rPr>
                <w:sz w:val="18"/>
                <w:szCs w:val="18"/>
              </w:rPr>
              <w:t xml:space="preserve">$113,538,221 </w:t>
            </w:r>
          </w:p>
        </w:tc>
        <w:tc>
          <w:tcPr>
            <w:tcW w:w="1080" w:type="dxa"/>
          </w:tcPr>
          <w:p w:rsidR="00C81B24" w:rsidRPr="00C81B24" w:rsidRDefault="00C81B24" w:rsidP="00CE5850">
            <w:pPr>
              <w:rPr>
                <w:sz w:val="18"/>
                <w:szCs w:val="18"/>
              </w:rPr>
            </w:pPr>
            <w:r w:rsidRPr="00C81B24">
              <w:rPr>
                <w:sz w:val="18"/>
                <w:szCs w:val="18"/>
              </w:rPr>
              <w:t xml:space="preserve">$3,786,331 </w:t>
            </w:r>
          </w:p>
        </w:tc>
        <w:tc>
          <w:tcPr>
            <w:tcW w:w="720" w:type="dxa"/>
          </w:tcPr>
          <w:p w:rsidR="00C81B24" w:rsidRPr="00C81B24" w:rsidRDefault="00C81B24" w:rsidP="00CE5850">
            <w:pPr>
              <w:rPr>
                <w:sz w:val="18"/>
                <w:szCs w:val="18"/>
              </w:rPr>
            </w:pPr>
            <w:r w:rsidRPr="00C81B24">
              <w:rPr>
                <w:sz w:val="18"/>
                <w:szCs w:val="18"/>
              </w:rPr>
              <w:t>183,689</w:t>
            </w:r>
          </w:p>
        </w:tc>
        <w:tc>
          <w:tcPr>
            <w:tcW w:w="990" w:type="dxa"/>
          </w:tcPr>
          <w:p w:rsidR="00C81B24" w:rsidRPr="00C81B24" w:rsidRDefault="00C81B24" w:rsidP="00CE5850">
            <w:pPr>
              <w:rPr>
                <w:sz w:val="18"/>
                <w:szCs w:val="18"/>
              </w:rPr>
            </w:pPr>
            <w:r w:rsidRPr="00C81B24">
              <w:rPr>
                <w:sz w:val="18"/>
                <w:szCs w:val="18"/>
              </w:rPr>
              <w:t>233,067</w:t>
            </w:r>
          </w:p>
        </w:tc>
        <w:tc>
          <w:tcPr>
            <w:tcW w:w="1246" w:type="dxa"/>
            <w:tcBorders>
              <w:right w:val="single" w:sz="6" w:space="0" w:color="auto"/>
            </w:tcBorders>
          </w:tcPr>
          <w:p w:rsidR="00C81B24" w:rsidRPr="00C81B24" w:rsidRDefault="00C81B24" w:rsidP="00CE5850">
            <w:pPr>
              <w:rPr>
                <w:sz w:val="18"/>
                <w:szCs w:val="18"/>
              </w:rPr>
            </w:pPr>
            <w:r w:rsidRPr="00C81B24">
              <w:rPr>
                <w:sz w:val="18"/>
                <w:szCs w:val="18"/>
              </w:rPr>
              <w:t xml:space="preserve">$49.98 </w:t>
            </w:r>
          </w:p>
        </w:tc>
      </w:tr>
      <w:tr w:rsidR="00C81B24" w:rsidRPr="00C81B24" w:rsidTr="00526AD9">
        <w:trPr>
          <w:trHeight w:val="285"/>
          <w:jc w:val="center"/>
        </w:trPr>
        <w:tc>
          <w:tcPr>
            <w:tcW w:w="661" w:type="dxa"/>
            <w:tcBorders>
              <w:left w:val="single" w:sz="6" w:space="0" w:color="auto"/>
              <w:right w:val="single" w:sz="6" w:space="0" w:color="auto"/>
            </w:tcBorders>
          </w:tcPr>
          <w:p w:rsidR="00C81B24" w:rsidRPr="00C81B24" w:rsidRDefault="00C81B24" w:rsidP="00CE5850">
            <w:pPr>
              <w:rPr>
                <w:sz w:val="18"/>
                <w:szCs w:val="18"/>
              </w:rPr>
            </w:pPr>
            <w:r w:rsidRPr="00C81B24">
              <w:rPr>
                <w:sz w:val="18"/>
                <w:szCs w:val="18"/>
              </w:rPr>
              <w:t>2006</w:t>
            </w:r>
          </w:p>
        </w:tc>
        <w:tc>
          <w:tcPr>
            <w:tcW w:w="1006" w:type="dxa"/>
          </w:tcPr>
          <w:p w:rsidR="00C81B24" w:rsidRPr="00C81B24" w:rsidRDefault="00C81B24" w:rsidP="00CE5850">
            <w:pPr>
              <w:rPr>
                <w:sz w:val="18"/>
                <w:szCs w:val="18"/>
              </w:rPr>
            </w:pPr>
            <w:r w:rsidRPr="00C81B24">
              <w:rPr>
                <w:sz w:val="18"/>
                <w:szCs w:val="18"/>
              </w:rPr>
              <w:t>233,040,781</w:t>
            </w:r>
          </w:p>
        </w:tc>
        <w:tc>
          <w:tcPr>
            <w:tcW w:w="1077" w:type="dxa"/>
          </w:tcPr>
          <w:p w:rsidR="00C81B24" w:rsidRPr="00C81B24" w:rsidRDefault="00C81B24" w:rsidP="00CE5850">
            <w:pPr>
              <w:rPr>
                <w:sz w:val="18"/>
                <w:szCs w:val="18"/>
              </w:rPr>
            </w:pPr>
            <w:r w:rsidRPr="00C81B24">
              <w:rPr>
                <w:sz w:val="18"/>
                <w:szCs w:val="18"/>
              </w:rPr>
              <w:t>25,144,583</w:t>
            </w:r>
          </w:p>
        </w:tc>
        <w:tc>
          <w:tcPr>
            <w:tcW w:w="1292" w:type="dxa"/>
          </w:tcPr>
          <w:p w:rsidR="00C81B24" w:rsidRPr="00C81B24" w:rsidRDefault="00C81B24" w:rsidP="00CE5850">
            <w:pPr>
              <w:rPr>
                <w:sz w:val="18"/>
                <w:szCs w:val="18"/>
              </w:rPr>
            </w:pPr>
            <w:r w:rsidRPr="00C81B24">
              <w:rPr>
                <w:sz w:val="18"/>
                <w:szCs w:val="18"/>
              </w:rPr>
              <w:t>$125,456,825</w:t>
            </w:r>
          </w:p>
        </w:tc>
        <w:tc>
          <w:tcPr>
            <w:tcW w:w="1080" w:type="dxa"/>
          </w:tcPr>
          <w:p w:rsidR="00C81B24" w:rsidRPr="00C81B24" w:rsidRDefault="00C81B24" w:rsidP="00CE5850">
            <w:pPr>
              <w:rPr>
                <w:sz w:val="18"/>
                <w:szCs w:val="18"/>
              </w:rPr>
            </w:pPr>
            <w:r w:rsidRPr="00C81B24">
              <w:rPr>
                <w:sz w:val="18"/>
                <w:szCs w:val="18"/>
              </w:rPr>
              <w:t>$3,494,294</w:t>
            </w:r>
          </w:p>
        </w:tc>
        <w:tc>
          <w:tcPr>
            <w:tcW w:w="720" w:type="dxa"/>
          </w:tcPr>
          <w:p w:rsidR="00C81B24" w:rsidRPr="00C81B24" w:rsidRDefault="00C81B24" w:rsidP="00CE5850">
            <w:pPr>
              <w:rPr>
                <w:sz w:val="18"/>
                <w:szCs w:val="18"/>
              </w:rPr>
            </w:pPr>
            <w:r w:rsidRPr="00C81B24">
              <w:rPr>
                <w:sz w:val="18"/>
                <w:szCs w:val="18"/>
              </w:rPr>
              <w:t>195,613</w:t>
            </w:r>
          </w:p>
        </w:tc>
        <w:tc>
          <w:tcPr>
            <w:tcW w:w="990" w:type="dxa"/>
          </w:tcPr>
          <w:p w:rsidR="00C81B24" w:rsidRPr="00C81B24" w:rsidRDefault="00C81B24" w:rsidP="00CE5850">
            <w:pPr>
              <w:rPr>
                <w:sz w:val="18"/>
                <w:szCs w:val="18"/>
              </w:rPr>
            </w:pPr>
            <w:r w:rsidRPr="00C81B24">
              <w:rPr>
                <w:sz w:val="18"/>
                <w:szCs w:val="18"/>
              </w:rPr>
              <w:t>253,793</w:t>
            </w:r>
          </w:p>
        </w:tc>
        <w:tc>
          <w:tcPr>
            <w:tcW w:w="1246" w:type="dxa"/>
            <w:tcBorders>
              <w:right w:val="single" w:sz="6" w:space="0" w:color="auto"/>
            </w:tcBorders>
          </w:tcPr>
          <w:p w:rsidR="00C81B24" w:rsidRPr="00C81B24" w:rsidRDefault="00C81B24" w:rsidP="00CE5850">
            <w:pPr>
              <w:rPr>
                <w:sz w:val="18"/>
                <w:szCs w:val="18"/>
              </w:rPr>
            </w:pPr>
            <w:r w:rsidRPr="00C81B24">
              <w:rPr>
                <w:sz w:val="18"/>
                <w:szCs w:val="18"/>
              </w:rPr>
              <w:t>$50.56</w:t>
            </w:r>
          </w:p>
        </w:tc>
      </w:tr>
      <w:tr w:rsidR="00C81B24" w:rsidRPr="00C81B24" w:rsidTr="00526AD9">
        <w:trPr>
          <w:trHeight w:val="285"/>
          <w:jc w:val="center"/>
        </w:trPr>
        <w:tc>
          <w:tcPr>
            <w:tcW w:w="661" w:type="dxa"/>
            <w:tcBorders>
              <w:left w:val="single" w:sz="6" w:space="0" w:color="auto"/>
              <w:right w:val="single" w:sz="6" w:space="0" w:color="auto"/>
            </w:tcBorders>
          </w:tcPr>
          <w:p w:rsidR="00C81B24" w:rsidRPr="00C81B24" w:rsidRDefault="00C81B24" w:rsidP="00CE5850">
            <w:pPr>
              <w:rPr>
                <w:sz w:val="18"/>
                <w:szCs w:val="18"/>
              </w:rPr>
            </w:pPr>
            <w:r w:rsidRPr="00C81B24">
              <w:rPr>
                <w:sz w:val="18"/>
                <w:szCs w:val="18"/>
              </w:rPr>
              <w:t>2007</w:t>
            </w:r>
          </w:p>
        </w:tc>
        <w:tc>
          <w:tcPr>
            <w:tcW w:w="1006" w:type="dxa"/>
          </w:tcPr>
          <w:p w:rsidR="00C81B24" w:rsidRPr="00C81B24" w:rsidRDefault="00C81B24" w:rsidP="00CE5850">
            <w:pPr>
              <w:rPr>
                <w:sz w:val="18"/>
                <w:szCs w:val="18"/>
              </w:rPr>
            </w:pPr>
            <w:r w:rsidRPr="00C81B24">
              <w:rPr>
                <w:sz w:val="18"/>
                <w:szCs w:val="18"/>
              </w:rPr>
              <w:t>255,395,599</w:t>
            </w:r>
          </w:p>
        </w:tc>
        <w:tc>
          <w:tcPr>
            <w:tcW w:w="1077" w:type="dxa"/>
          </w:tcPr>
          <w:p w:rsidR="00C81B24" w:rsidRPr="00C81B24" w:rsidRDefault="00C81B24" w:rsidP="00CE5850">
            <w:pPr>
              <w:rPr>
                <w:sz w:val="18"/>
                <w:szCs w:val="18"/>
              </w:rPr>
            </w:pPr>
            <w:r w:rsidRPr="00C81B24">
              <w:rPr>
                <w:sz w:val="18"/>
                <w:szCs w:val="18"/>
              </w:rPr>
              <w:t>22,354,818</w:t>
            </w:r>
          </w:p>
        </w:tc>
        <w:tc>
          <w:tcPr>
            <w:tcW w:w="1292" w:type="dxa"/>
          </w:tcPr>
          <w:p w:rsidR="00C81B24" w:rsidRPr="00C81B24" w:rsidRDefault="00C81B24" w:rsidP="00CE5850">
            <w:pPr>
              <w:rPr>
                <w:sz w:val="18"/>
                <w:szCs w:val="18"/>
              </w:rPr>
            </w:pPr>
            <w:r w:rsidRPr="00C81B24">
              <w:rPr>
                <w:sz w:val="18"/>
                <w:szCs w:val="18"/>
              </w:rPr>
              <w:t>$138,869,304</w:t>
            </w:r>
          </w:p>
        </w:tc>
        <w:tc>
          <w:tcPr>
            <w:tcW w:w="1080" w:type="dxa"/>
          </w:tcPr>
          <w:p w:rsidR="00C81B24" w:rsidRPr="00C81B24" w:rsidRDefault="00C81B24" w:rsidP="00CE5850">
            <w:pPr>
              <w:rPr>
                <w:sz w:val="18"/>
                <w:szCs w:val="18"/>
              </w:rPr>
            </w:pPr>
            <w:r w:rsidRPr="00C81B24">
              <w:rPr>
                <w:sz w:val="18"/>
                <w:szCs w:val="18"/>
              </w:rPr>
              <w:t>$3,742,014</w:t>
            </w:r>
          </w:p>
        </w:tc>
        <w:tc>
          <w:tcPr>
            <w:tcW w:w="720" w:type="dxa"/>
          </w:tcPr>
          <w:p w:rsidR="00C81B24" w:rsidRPr="00C81B24" w:rsidRDefault="00C81B24" w:rsidP="00CE5850">
            <w:pPr>
              <w:rPr>
                <w:sz w:val="18"/>
                <w:szCs w:val="18"/>
              </w:rPr>
            </w:pPr>
            <w:r w:rsidRPr="00C81B24">
              <w:rPr>
                <w:sz w:val="18"/>
                <w:szCs w:val="18"/>
              </w:rPr>
              <w:t>213,299</w:t>
            </w:r>
          </w:p>
        </w:tc>
        <w:tc>
          <w:tcPr>
            <w:tcW w:w="990" w:type="dxa"/>
          </w:tcPr>
          <w:p w:rsidR="00C81B24" w:rsidRPr="00C81B24" w:rsidRDefault="00C81B24" w:rsidP="00CE5850">
            <w:pPr>
              <w:rPr>
                <w:sz w:val="18"/>
                <w:szCs w:val="18"/>
              </w:rPr>
            </w:pPr>
            <w:r w:rsidRPr="00C81B24">
              <w:rPr>
                <w:sz w:val="18"/>
                <w:szCs w:val="18"/>
              </w:rPr>
              <w:t>266,782</w:t>
            </w:r>
          </w:p>
        </w:tc>
        <w:tc>
          <w:tcPr>
            <w:tcW w:w="1246" w:type="dxa"/>
            <w:tcBorders>
              <w:right w:val="single" w:sz="6" w:space="0" w:color="auto"/>
            </w:tcBorders>
          </w:tcPr>
          <w:p w:rsidR="00C81B24" w:rsidRPr="00C81B24" w:rsidRDefault="00C81B24" w:rsidP="00CE5850">
            <w:pPr>
              <w:rPr>
                <w:sz w:val="18"/>
                <w:szCs w:val="18"/>
              </w:rPr>
            </w:pPr>
            <w:r w:rsidRPr="00C81B24">
              <w:rPr>
                <w:sz w:val="18"/>
                <w:szCs w:val="18"/>
              </w:rPr>
              <w:t>$49.79</w:t>
            </w:r>
          </w:p>
        </w:tc>
      </w:tr>
      <w:tr w:rsidR="00C81B24" w:rsidRPr="00C81B24" w:rsidTr="00526AD9">
        <w:trPr>
          <w:trHeight w:val="285"/>
          <w:jc w:val="center"/>
        </w:trPr>
        <w:tc>
          <w:tcPr>
            <w:tcW w:w="661" w:type="dxa"/>
            <w:tcBorders>
              <w:left w:val="single" w:sz="6" w:space="0" w:color="auto"/>
              <w:right w:val="single" w:sz="6" w:space="0" w:color="auto"/>
            </w:tcBorders>
          </w:tcPr>
          <w:p w:rsidR="00C81B24" w:rsidRPr="00C81B24" w:rsidRDefault="00C81B24" w:rsidP="00CE5850">
            <w:pPr>
              <w:rPr>
                <w:sz w:val="18"/>
                <w:szCs w:val="18"/>
              </w:rPr>
            </w:pPr>
            <w:r w:rsidRPr="00C81B24">
              <w:rPr>
                <w:sz w:val="18"/>
                <w:szCs w:val="18"/>
              </w:rPr>
              <w:t>2008</w:t>
            </w:r>
          </w:p>
        </w:tc>
        <w:tc>
          <w:tcPr>
            <w:tcW w:w="1006" w:type="dxa"/>
          </w:tcPr>
          <w:p w:rsidR="00C81B24" w:rsidRPr="00C81B24" w:rsidRDefault="00C81B24" w:rsidP="00CE5850">
            <w:pPr>
              <w:rPr>
                <w:sz w:val="18"/>
                <w:szCs w:val="18"/>
              </w:rPr>
            </w:pPr>
            <w:r w:rsidRPr="00C81B24">
              <w:rPr>
                <w:sz w:val="18"/>
                <w:szCs w:val="18"/>
              </w:rPr>
              <w:t>270,333,881</w:t>
            </w:r>
          </w:p>
        </w:tc>
        <w:tc>
          <w:tcPr>
            <w:tcW w:w="1077" w:type="dxa"/>
          </w:tcPr>
          <w:p w:rsidR="00C81B24" w:rsidRPr="00C81B24" w:rsidRDefault="00C81B24" w:rsidP="00CE5850">
            <w:pPr>
              <w:rPr>
                <w:sz w:val="18"/>
                <w:szCs w:val="18"/>
              </w:rPr>
            </w:pPr>
            <w:r w:rsidRPr="00C81B24">
              <w:rPr>
                <w:sz w:val="18"/>
                <w:szCs w:val="18"/>
              </w:rPr>
              <w:t>14,938,282</w:t>
            </w:r>
          </w:p>
        </w:tc>
        <w:tc>
          <w:tcPr>
            <w:tcW w:w="1292" w:type="dxa"/>
          </w:tcPr>
          <w:p w:rsidR="00C81B24" w:rsidRPr="00C81B24" w:rsidRDefault="00C81B24" w:rsidP="00CE5850">
            <w:pPr>
              <w:rPr>
                <w:sz w:val="18"/>
                <w:szCs w:val="18"/>
              </w:rPr>
            </w:pPr>
            <w:r w:rsidRPr="00C81B24">
              <w:rPr>
                <w:sz w:val="18"/>
                <w:szCs w:val="18"/>
              </w:rPr>
              <w:t>$148,084,170</w:t>
            </w:r>
          </w:p>
        </w:tc>
        <w:tc>
          <w:tcPr>
            <w:tcW w:w="1080" w:type="dxa"/>
          </w:tcPr>
          <w:p w:rsidR="00C81B24" w:rsidRPr="00C81B24" w:rsidRDefault="00C81B24" w:rsidP="00CE5850">
            <w:pPr>
              <w:rPr>
                <w:sz w:val="18"/>
                <w:szCs w:val="18"/>
              </w:rPr>
            </w:pPr>
            <w:r w:rsidRPr="00C81B24">
              <w:rPr>
                <w:sz w:val="18"/>
                <w:szCs w:val="18"/>
              </w:rPr>
              <w:t>$3,739,274</w:t>
            </w:r>
          </w:p>
        </w:tc>
        <w:tc>
          <w:tcPr>
            <w:tcW w:w="720" w:type="dxa"/>
          </w:tcPr>
          <w:p w:rsidR="00C81B24" w:rsidRPr="00C81B24" w:rsidRDefault="00C81B24" w:rsidP="00CE5850">
            <w:pPr>
              <w:rPr>
                <w:sz w:val="18"/>
                <w:szCs w:val="18"/>
              </w:rPr>
            </w:pPr>
            <w:r w:rsidRPr="00C81B24">
              <w:rPr>
                <w:sz w:val="18"/>
                <w:szCs w:val="18"/>
              </w:rPr>
              <w:t>242,130</w:t>
            </w:r>
          </w:p>
        </w:tc>
        <w:tc>
          <w:tcPr>
            <w:tcW w:w="990" w:type="dxa"/>
          </w:tcPr>
          <w:p w:rsidR="00C81B24" w:rsidRPr="00C81B24" w:rsidRDefault="00C81B24" w:rsidP="00CE5850">
            <w:pPr>
              <w:rPr>
                <w:sz w:val="18"/>
                <w:szCs w:val="18"/>
              </w:rPr>
            </w:pPr>
            <w:r w:rsidRPr="00C81B24">
              <w:rPr>
                <w:sz w:val="18"/>
                <w:szCs w:val="18"/>
              </w:rPr>
              <w:t>268,528</w:t>
            </w:r>
          </w:p>
        </w:tc>
        <w:tc>
          <w:tcPr>
            <w:tcW w:w="1246" w:type="dxa"/>
            <w:tcBorders>
              <w:right w:val="single" w:sz="6" w:space="0" w:color="auto"/>
            </w:tcBorders>
          </w:tcPr>
          <w:p w:rsidR="00C81B24" w:rsidRPr="00C81B24" w:rsidRDefault="00C81B24" w:rsidP="00CE5850">
            <w:pPr>
              <w:rPr>
                <w:sz w:val="18"/>
                <w:szCs w:val="18"/>
              </w:rPr>
            </w:pPr>
            <w:r w:rsidRPr="00C81B24">
              <w:rPr>
                <w:sz w:val="18"/>
                <w:szCs w:val="18"/>
              </w:rPr>
              <w:t>$50.07</w:t>
            </w:r>
          </w:p>
        </w:tc>
      </w:tr>
      <w:tr w:rsidR="00C81B24" w:rsidRPr="00C81B24" w:rsidTr="00526AD9">
        <w:trPr>
          <w:trHeight w:val="285"/>
          <w:jc w:val="center"/>
        </w:trPr>
        <w:tc>
          <w:tcPr>
            <w:tcW w:w="661" w:type="dxa"/>
            <w:tcBorders>
              <w:left w:val="single" w:sz="6" w:space="0" w:color="auto"/>
              <w:right w:val="single" w:sz="6" w:space="0" w:color="auto"/>
            </w:tcBorders>
          </w:tcPr>
          <w:p w:rsidR="00C81B24" w:rsidRPr="00C81B24" w:rsidRDefault="00C81B24" w:rsidP="00CE5850">
            <w:pPr>
              <w:rPr>
                <w:sz w:val="18"/>
                <w:szCs w:val="18"/>
              </w:rPr>
            </w:pPr>
            <w:r w:rsidRPr="00C81B24">
              <w:rPr>
                <w:sz w:val="18"/>
                <w:szCs w:val="18"/>
              </w:rPr>
              <w:t>2009</w:t>
            </w:r>
          </w:p>
        </w:tc>
        <w:tc>
          <w:tcPr>
            <w:tcW w:w="1006" w:type="dxa"/>
          </w:tcPr>
          <w:p w:rsidR="00C81B24" w:rsidRPr="00C81B24" w:rsidRDefault="00C81B24" w:rsidP="00CE5850">
            <w:pPr>
              <w:rPr>
                <w:sz w:val="18"/>
                <w:szCs w:val="18"/>
              </w:rPr>
            </w:pPr>
            <w:r w:rsidRPr="00C81B24">
              <w:rPr>
                <w:sz w:val="18"/>
                <w:szCs w:val="18"/>
              </w:rPr>
              <w:t>285,646,191</w:t>
            </w:r>
          </w:p>
        </w:tc>
        <w:tc>
          <w:tcPr>
            <w:tcW w:w="1077" w:type="dxa"/>
          </w:tcPr>
          <w:p w:rsidR="00C81B24" w:rsidRPr="00C81B24" w:rsidRDefault="00C81B24" w:rsidP="00CE5850">
            <w:pPr>
              <w:rPr>
                <w:sz w:val="18"/>
                <w:szCs w:val="18"/>
              </w:rPr>
            </w:pPr>
            <w:r w:rsidRPr="00C81B24">
              <w:rPr>
                <w:sz w:val="18"/>
                <w:szCs w:val="18"/>
              </w:rPr>
              <w:t>15,312,310</w:t>
            </w:r>
          </w:p>
        </w:tc>
        <w:tc>
          <w:tcPr>
            <w:tcW w:w="1292" w:type="dxa"/>
          </w:tcPr>
          <w:p w:rsidR="00C81B24" w:rsidRPr="00C81B24" w:rsidRDefault="00C81B24" w:rsidP="00CE5850">
            <w:pPr>
              <w:rPr>
                <w:sz w:val="18"/>
                <w:szCs w:val="18"/>
              </w:rPr>
            </w:pPr>
            <w:r w:rsidRPr="00C81B24">
              <w:rPr>
                <w:sz w:val="18"/>
                <w:szCs w:val="18"/>
              </w:rPr>
              <w:t>$152,551,854</w:t>
            </w:r>
          </w:p>
        </w:tc>
        <w:tc>
          <w:tcPr>
            <w:tcW w:w="1080" w:type="dxa"/>
          </w:tcPr>
          <w:p w:rsidR="00C81B24" w:rsidRPr="00C81B24" w:rsidRDefault="00C81B24" w:rsidP="00CE5850">
            <w:pPr>
              <w:rPr>
                <w:sz w:val="18"/>
                <w:szCs w:val="18"/>
              </w:rPr>
            </w:pPr>
            <w:r w:rsidRPr="00C81B24">
              <w:rPr>
                <w:sz w:val="18"/>
                <w:szCs w:val="18"/>
              </w:rPr>
              <w:t>$3,061,344</w:t>
            </w:r>
          </w:p>
        </w:tc>
        <w:tc>
          <w:tcPr>
            <w:tcW w:w="720" w:type="dxa"/>
          </w:tcPr>
          <w:p w:rsidR="00C81B24" w:rsidRPr="00C81B24" w:rsidRDefault="00C81B24" w:rsidP="00CE5850">
            <w:pPr>
              <w:rPr>
                <w:sz w:val="18"/>
                <w:szCs w:val="18"/>
              </w:rPr>
            </w:pPr>
            <w:r w:rsidRPr="00C81B24">
              <w:rPr>
                <w:sz w:val="18"/>
                <w:szCs w:val="18"/>
              </w:rPr>
              <w:t>247,081</w:t>
            </w:r>
          </w:p>
        </w:tc>
        <w:tc>
          <w:tcPr>
            <w:tcW w:w="990" w:type="dxa"/>
          </w:tcPr>
          <w:p w:rsidR="00C81B24" w:rsidRPr="00C81B24" w:rsidRDefault="00C81B24" w:rsidP="00CE5850">
            <w:pPr>
              <w:rPr>
                <w:sz w:val="18"/>
                <w:szCs w:val="18"/>
              </w:rPr>
            </w:pPr>
            <w:r w:rsidRPr="00C81B24">
              <w:rPr>
                <w:sz w:val="18"/>
                <w:szCs w:val="18"/>
              </w:rPr>
              <w:t>249,247</w:t>
            </w:r>
          </w:p>
        </w:tc>
        <w:tc>
          <w:tcPr>
            <w:tcW w:w="1246" w:type="dxa"/>
            <w:tcBorders>
              <w:right w:val="single" w:sz="6" w:space="0" w:color="auto"/>
            </w:tcBorders>
          </w:tcPr>
          <w:p w:rsidR="00C81B24" w:rsidRPr="00C81B24" w:rsidRDefault="00C81B24" w:rsidP="00CE5850">
            <w:pPr>
              <w:rPr>
                <w:sz w:val="18"/>
                <w:szCs w:val="18"/>
              </w:rPr>
            </w:pPr>
            <w:r w:rsidRPr="00C81B24">
              <w:rPr>
                <w:sz w:val="18"/>
                <w:szCs w:val="18"/>
              </w:rPr>
              <w:t>$48.16</w:t>
            </w:r>
          </w:p>
        </w:tc>
      </w:tr>
      <w:tr w:rsidR="00C81B24" w:rsidRPr="00C81B24" w:rsidTr="00526AD9">
        <w:trPr>
          <w:trHeight w:val="285"/>
          <w:jc w:val="center"/>
        </w:trPr>
        <w:tc>
          <w:tcPr>
            <w:tcW w:w="661" w:type="dxa"/>
            <w:tcBorders>
              <w:left w:val="single" w:sz="6" w:space="0" w:color="auto"/>
              <w:right w:val="single" w:sz="6" w:space="0" w:color="auto"/>
            </w:tcBorders>
          </w:tcPr>
          <w:p w:rsidR="00C81B24" w:rsidRPr="00C81B24" w:rsidRDefault="00C81B24" w:rsidP="00CE5850">
            <w:pPr>
              <w:rPr>
                <w:sz w:val="18"/>
                <w:szCs w:val="18"/>
              </w:rPr>
            </w:pPr>
            <w:r w:rsidRPr="00C81B24">
              <w:rPr>
                <w:sz w:val="18"/>
                <w:szCs w:val="18"/>
              </w:rPr>
              <w:t>2010</w:t>
            </w:r>
          </w:p>
        </w:tc>
        <w:tc>
          <w:tcPr>
            <w:tcW w:w="1006" w:type="dxa"/>
          </w:tcPr>
          <w:p w:rsidR="00C81B24" w:rsidRPr="00C81B24" w:rsidRDefault="00C81B24" w:rsidP="00CE5850">
            <w:pPr>
              <w:rPr>
                <w:sz w:val="18"/>
                <w:szCs w:val="18"/>
              </w:rPr>
            </w:pPr>
            <w:r w:rsidRPr="00C81B24">
              <w:rPr>
                <w:sz w:val="18"/>
                <w:szCs w:val="18"/>
              </w:rPr>
              <w:t>296,285,629</w:t>
            </w:r>
          </w:p>
        </w:tc>
        <w:tc>
          <w:tcPr>
            <w:tcW w:w="1077" w:type="dxa"/>
          </w:tcPr>
          <w:p w:rsidR="00C81B24" w:rsidRPr="00C81B24" w:rsidRDefault="00C81B24" w:rsidP="00CE5850">
            <w:pPr>
              <w:rPr>
                <w:sz w:val="18"/>
                <w:szCs w:val="18"/>
              </w:rPr>
            </w:pPr>
            <w:r w:rsidRPr="00C81B24">
              <w:rPr>
                <w:sz w:val="18"/>
                <w:szCs w:val="18"/>
              </w:rPr>
              <w:t>10,639,438</w:t>
            </w:r>
          </w:p>
        </w:tc>
        <w:tc>
          <w:tcPr>
            <w:tcW w:w="1292" w:type="dxa"/>
          </w:tcPr>
          <w:p w:rsidR="00C81B24" w:rsidRPr="00C81B24" w:rsidRDefault="00C81B24" w:rsidP="00CE5850">
            <w:pPr>
              <w:rPr>
                <w:sz w:val="18"/>
                <w:szCs w:val="18"/>
              </w:rPr>
            </w:pPr>
            <w:r w:rsidRPr="00C81B24">
              <w:rPr>
                <w:sz w:val="18"/>
                <w:szCs w:val="18"/>
              </w:rPr>
              <w:t>$159,929,649</w:t>
            </w:r>
          </w:p>
        </w:tc>
        <w:tc>
          <w:tcPr>
            <w:tcW w:w="1080" w:type="dxa"/>
          </w:tcPr>
          <w:p w:rsidR="00C81B24" w:rsidRPr="00C81B24" w:rsidRDefault="00C81B24" w:rsidP="00CE5850">
            <w:pPr>
              <w:rPr>
                <w:sz w:val="18"/>
                <w:szCs w:val="18"/>
              </w:rPr>
            </w:pPr>
            <w:r w:rsidRPr="00C81B24">
              <w:rPr>
                <w:sz w:val="18"/>
                <w:szCs w:val="18"/>
              </w:rPr>
              <w:t>$3,026,009</w:t>
            </w:r>
          </w:p>
        </w:tc>
        <w:tc>
          <w:tcPr>
            <w:tcW w:w="720" w:type="dxa"/>
          </w:tcPr>
          <w:p w:rsidR="00C81B24" w:rsidRPr="00C81B24" w:rsidRDefault="00C81B24" w:rsidP="00CE5850">
            <w:pPr>
              <w:rPr>
                <w:sz w:val="18"/>
                <w:szCs w:val="18"/>
              </w:rPr>
            </w:pPr>
            <w:r w:rsidRPr="00C81B24">
              <w:rPr>
                <w:sz w:val="18"/>
                <w:szCs w:val="18"/>
              </w:rPr>
              <w:t>253,086</w:t>
            </w:r>
          </w:p>
        </w:tc>
        <w:tc>
          <w:tcPr>
            <w:tcW w:w="990" w:type="dxa"/>
          </w:tcPr>
          <w:p w:rsidR="00C81B24" w:rsidRPr="00C81B24" w:rsidRDefault="00C81B24" w:rsidP="00CE5850">
            <w:pPr>
              <w:rPr>
                <w:sz w:val="18"/>
                <w:szCs w:val="18"/>
              </w:rPr>
            </w:pPr>
            <w:r w:rsidRPr="00C81B24">
              <w:rPr>
                <w:sz w:val="18"/>
                <w:szCs w:val="18"/>
              </w:rPr>
              <w:t>250,393</w:t>
            </w:r>
          </w:p>
        </w:tc>
        <w:tc>
          <w:tcPr>
            <w:tcW w:w="1246" w:type="dxa"/>
            <w:tcBorders>
              <w:right w:val="single" w:sz="6" w:space="0" w:color="auto"/>
            </w:tcBorders>
          </w:tcPr>
          <w:p w:rsidR="00C81B24" w:rsidRPr="00C81B24" w:rsidRDefault="00C81B24" w:rsidP="00CE5850">
            <w:pPr>
              <w:rPr>
                <w:sz w:val="18"/>
                <w:szCs w:val="18"/>
              </w:rPr>
            </w:pPr>
            <w:r w:rsidRPr="00C81B24">
              <w:rPr>
                <w:sz w:val="18"/>
                <w:szCs w:val="18"/>
              </w:rPr>
              <w:t>$47.21</w:t>
            </w:r>
          </w:p>
        </w:tc>
      </w:tr>
      <w:tr w:rsidR="00C81B24" w:rsidRPr="00C81B24" w:rsidTr="00526AD9">
        <w:trPr>
          <w:trHeight w:val="285"/>
          <w:jc w:val="center"/>
        </w:trPr>
        <w:tc>
          <w:tcPr>
            <w:tcW w:w="661" w:type="dxa"/>
            <w:tcBorders>
              <w:left w:val="single" w:sz="6" w:space="0" w:color="auto"/>
              <w:bottom w:val="single" w:sz="6" w:space="0" w:color="auto"/>
              <w:right w:val="single" w:sz="6" w:space="0" w:color="auto"/>
            </w:tcBorders>
          </w:tcPr>
          <w:p w:rsidR="00C81B24" w:rsidRPr="00C81B24" w:rsidRDefault="00C81B24" w:rsidP="00CE5850">
            <w:pPr>
              <w:rPr>
                <w:sz w:val="18"/>
                <w:szCs w:val="18"/>
              </w:rPr>
            </w:pPr>
            <w:r w:rsidRPr="00C81B24">
              <w:rPr>
                <w:sz w:val="18"/>
                <w:szCs w:val="18"/>
              </w:rPr>
              <w:t>2011</w:t>
            </w:r>
          </w:p>
        </w:tc>
        <w:tc>
          <w:tcPr>
            <w:tcW w:w="1006" w:type="dxa"/>
            <w:tcBorders>
              <w:bottom w:val="single" w:sz="6" w:space="0" w:color="auto"/>
            </w:tcBorders>
          </w:tcPr>
          <w:p w:rsidR="00C81B24" w:rsidRPr="00C81B24" w:rsidRDefault="00C81B24" w:rsidP="00CE5850">
            <w:pPr>
              <w:rPr>
                <w:sz w:val="18"/>
                <w:szCs w:val="18"/>
              </w:rPr>
            </w:pPr>
            <w:r w:rsidRPr="00C81B24">
              <w:rPr>
                <w:sz w:val="18"/>
                <w:szCs w:val="18"/>
              </w:rPr>
              <w:t>315,963,848</w:t>
            </w:r>
          </w:p>
        </w:tc>
        <w:tc>
          <w:tcPr>
            <w:tcW w:w="1077" w:type="dxa"/>
            <w:tcBorders>
              <w:bottom w:val="single" w:sz="6" w:space="0" w:color="auto"/>
            </w:tcBorders>
          </w:tcPr>
          <w:p w:rsidR="00C81B24" w:rsidRPr="00C81B24" w:rsidRDefault="00C81B24" w:rsidP="00CE5850">
            <w:pPr>
              <w:rPr>
                <w:sz w:val="18"/>
                <w:szCs w:val="18"/>
              </w:rPr>
            </w:pPr>
            <w:r w:rsidRPr="00C81B24">
              <w:rPr>
                <w:sz w:val="18"/>
                <w:szCs w:val="18"/>
              </w:rPr>
              <w:t>19,678,219</w:t>
            </w:r>
          </w:p>
        </w:tc>
        <w:tc>
          <w:tcPr>
            <w:tcW w:w="1292" w:type="dxa"/>
            <w:tcBorders>
              <w:bottom w:val="single" w:sz="6" w:space="0" w:color="auto"/>
            </w:tcBorders>
          </w:tcPr>
          <w:p w:rsidR="00C81B24" w:rsidRPr="00C81B24" w:rsidRDefault="00C81B24" w:rsidP="00CE5850">
            <w:pPr>
              <w:rPr>
                <w:sz w:val="18"/>
                <w:szCs w:val="18"/>
              </w:rPr>
            </w:pPr>
            <w:r w:rsidRPr="00C81B24">
              <w:rPr>
                <w:sz w:val="18"/>
                <w:szCs w:val="18"/>
              </w:rPr>
              <w:t>$169,767,314</w:t>
            </w:r>
          </w:p>
        </w:tc>
        <w:tc>
          <w:tcPr>
            <w:tcW w:w="1080" w:type="dxa"/>
            <w:tcBorders>
              <w:bottom w:val="single" w:sz="6" w:space="0" w:color="auto"/>
            </w:tcBorders>
          </w:tcPr>
          <w:p w:rsidR="00C81B24" w:rsidRPr="00C81B24" w:rsidRDefault="00C81B24" w:rsidP="00CE5850">
            <w:pPr>
              <w:rPr>
                <w:sz w:val="18"/>
                <w:szCs w:val="18"/>
              </w:rPr>
            </w:pPr>
            <w:r w:rsidRPr="00C81B24">
              <w:rPr>
                <w:sz w:val="18"/>
                <w:szCs w:val="18"/>
              </w:rPr>
              <w:t>$3,314,895</w:t>
            </w:r>
          </w:p>
        </w:tc>
        <w:tc>
          <w:tcPr>
            <w:tcW w:w="720" w:type="dxa"/>
            <w:tcBorders>
              <w:bottom w:val="single" w:sz="6" w:space="0" w:color="auto"/>
            </w:tcBorders>
          </w:tcPr>
          <w:p w:rsidR="00C81B24" w:rsidRPr="00C81B24" w:rsidRDefault="00C81B24" w:rsidP="00CE5850">
            <w:pPr>
              <w:rPr>
                <w:sz w:val="18"/>
                <w:szCs w:val="18"/>
              </w:rPr>
            </w:pPr>
            <w:r w:rsidRPr="00C81B24">
              <w:rPr>
                <w:sz w:val="18"/>
                <w:szCs w:val="18"/>
              </w:rPr>
              <w:t>385,071</w:t>
            </w:r>
          </w:p>
        </w:tc>
        <w:tc>
          <w:tcPr>
            <w:tcW w:w="990" w:type="dxa"/>
            <w:tcBorders>
              <w:bottom w:val="single" w:sz="6" w:space="0" w:color="auto"/>
            </w:tcBorders>
          </w:tcPr>
          <w:p w:rsidR="00C81B24" w:rsidRPr="00C81B24" w:rsidRDefault="00C81B24" w:rsidP="00CE5850">
            <w:pPr>
              <w:rPr>
                <w:sz w:val="18"/>
                <w:szCs w:val="18"/>
              </w:rPr>
            </w:pPr>
            <w:r w:rsidRPr="00C81B24">
              <w:rPr>
                <w:sz w:val="18"/>
                <w:szCs w:val="18"/>
              </w:rPr>
              <w:t>238,071</w:t>
            </w:r>
          </w:p>
        </w:tc>
        <w:tc>
          <w:tcPr>
            <w:tcW w:w="1246" w:type="dxa"/>
            <w:tcBorders>
              <w:bottom w:val="single" w:sz="6" w:space="0" w:color="auto"/>
              <w:right w:val="single" w:sz="6" w:space="0" w:color="auto"/>
            </w:tcBorders>
          </w:tcPr>
          <w:p w:rsidR="00C81B24" w:rsidRPr="00C81B24" w:rsidRDefault="00C81B24" w:rsidP="00CE5850">
            <w:pPr>
              <w:rPr>
                <w:sz w:val="18"/>
                <w:szCs w:val="18"/>
              </w:rPr>
            </w:pPr>
            <w:r w:rsidRPr="00C81B24">
              <w:rPr>
                <w:sz w:val="18"/>
                <w:szCs w:val="18"/>
              </w:rPr>
              <w:t>$47.00</w:t>
            </w:r>
          </w:p>
        </w:tc>
      </w:tr>
      <w:bookmarkEnd w:id="6896"/>
    </w:tbl>
    <w:p w:rsidR="00C81B24" w:rsidRPr="00C81B24" w:rsidRDefault="00C81B24" w:rsidP="00CE5850">
      <w:pPr>
        <w:rPr>
          <w:sz w:val="20"/>
        </w:rPr>
      </w:pPr>
    </w:p>
    <w:p w:rsidR="00C81B24" w:rsidRPr="00C81B24" w:rsidRDefault="00C81B24" w:rsidP="00CE5850">
      <w:pPr>
        <w:ind w:firstLine="720"/>
        <w:rPr>
          <w:sz w:val="20"/>
        </w:rPr>
      </w:pPr>
      <w:r w:rsidRPr="00C81B24">
        <w:rPr>
          <w:sz w:val="20"/>
        </w:rPr>
        <w:t>Source</w:t>
      </w:r>
      <w:r w:rsidRPr="00C81B24">
        <w:rPr>
          <w:b/>
          <w:sz w:val="20"/>
        </w:rPr>
        <w:t xml:space="preserve">: </w:t>
      </w:r>
      <w:r w:rsidRPr="00C81B24">
        <w:rPr>
          <w:sz w:val="20"/>
        </w:rPr>
        <w:t>CTIA</w:t>
      </w:r>
      <w:r w:rsidRPr="00C81B24">
        <w:rPr>
          <w:i/>
          <w:sz w:val="20"/>
        </w:rPr>
        <w:t xml:space="preserve">   </w:t>
      </w:r>
    </w:p>
    <w:p w:rsidR="00C81B24" w:rsidRPr="00C81B24" w:rsidRDefault="00C81B24" w:rsidP="00CE5850">
      <w:pPr>
        <w:jc w:val="center"/>
        <w:rPr>
          <w:sz w:val="20"/>
        </w:rPr>
      </w:pPr>
      <w:r w:rsidRPr="00C81B24">
        <w:rPr>
          <w:sz w:val="20"/>
        </w:rPr>
        <w:br w:type="page"/>
      </w:r>
      <w:bookmarkStart w:id="6897" w:name="_Toc112139274"/>
    </w:p>
    <w:p w:rsidR="00C81B24" w:rsidRPr="00C81B24" w:rsidRDefault="00C81B24" w:rsidP="00CE5850">
      <w:pPr>
        <w:jc w:val="center"/>
        <w:rPr>
          <w:b/>
          <w:bCs/>
          <w:kern w:val="0"/>
          <w:szCs w:val="22"/>
          <w:highlight w:val="yellow"/>
        </w:rPr>
      </w:pPr>
      <w:bookmarkStart w:id="6898" w:name="_Ref256157761"/>
      <w:bookmarkStart w:id="6899" w:name="_Toc278893122"/>
      <w:r w:rsidRPr="00C81B24">
        <w:rPr>
          <w:b/>
          <w:bCs/>
          <w:kern w:val="0"/>
          <w:szCs w:val="22"/>
        </w:rPr>
        <w:t>Table B-2</w:t>
      </w:r>
    </w:p>
    <w:p w:rsidR="00C81B24" w:rsidRPr="00C81B24" w:rsidRDefault="00C81B24" w:rsidP="00CE5850">
      <w:pPr>
        <w:spacing w:after="120"/>
        <w:jc w:val="center"/>
        <w:rPr>
          <w:b/>
          <w:bCs/>
          <w:kern w:val="0"/>
          <w:szCs w:val="22"/>
        </w:rPr>
      </w:pPr>
      <w:r w:rsidRPr="00C81B24">
        <w:rPr>
          <w:b/>
          <w:bCs/>
          <w:kern w:val="0"/>
          <w:szCs w:val="22"/>
        </w:rPr>
        <w:t xml:space="preserve">FCC’s Semi-Annual Local Telephone Competition </w:t>
      </w:r>
      <w:bookmarkEnd w:id="6897"/>
      <w:r w:rsidRPr="00C81B24">
        <w:rPr>
          <w:b/>
          <w:bCs/>
          <w:kern w:val="0"/>
          <w:szCs w:val="22"/>
        </w:rPr>
        <w:t>Data Collection: Mobile Telephone Subscribership</w:t>
      </w:r>
      <w:bookmarkEnd w:id="6898"/>
      <w:r w:rsidRPr="00C81B24">
        <w:rPr>
          <w:b/>
          <w:bCs/>
          <w:kern w:val="0"/>
          <w:szCs w:val="22"/>
        </w:rPr>
        <w:t>, 2008-2011 (In thousands</w:t>
      </w:r>
      <w:bookmarkEnd w:id="6899"/>
      <w:r w:rsidRPr="00C81B24">
        <w:rPr>
          <w:b/>
          <w:bCs/>
          <w:kern w:val="0"/>
          <w:szCs w:val="22"/>
        </w:rPr>
        <w:t>)</w:t>
      </w:r>
    </w:p>
    <w:p w:rsidR="00C81B24" w:rsidRPr="00C81B24" w:rsidRDefault="00E65B99" w:rsidP="00CE5850">
      <w:pPr>
        <w:jc w:val="center"/>
        <w:rPr>
          <w:sz w:val="20"/>
        </w:rPr>
      </w:pPr>
      <w:r>
        <w:rPr>
          <w:noProof/>
          <w:sz w:val="20"/>
        </w:rPr>
        <mc:AlternateContent>
          <mc:Choice Requires="wps">
            <w:drawing>
              <wp:anchor distT="0" distB="0" distL="114300" distR="114300" simplePos="0" relativeHeight="251660288" behindDoc="0" locked="0" layoutInCell="1" allowOverlap="1" wp14:anchorId="4BBB92DB" wp14:editId="75FDC62E">
                <wp:simplePos x="0" y="0"/>
                <wp:positionH relativeFrom="column">
                  <wp:posOffset>5946775</wp:posOffset>
                </wp:positionH>
                <wp:positionV relativeFrom="paragraph">
                  <wp:posOffset>7078345</wp:posOffset>
                </wp:positionV>
                <wp:extent cx="0" cy="647700"/>
                <wp:effectExtent l="0" t="0" r="19050" b="19050"/>
                <wp:wrapNone/>
                <wp:docPr id="31" name="AutoShape 11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647700"/>
                        </a:xfrm>
                        <a:prstGeom prst="straightConnector1">
                          <a:avLst/>
                        </a:prstGeom>
                        <a:noFill/>
                        <a:ln w="63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id="_x0000_t32" coordsize="21600,21600" o:spt="32" o:oned="t" path="m,l21600,21600e" filled="f">
                <v:path arrowok="t" fillok="f" o:connecttype="none"/>
                <o:lock v:ext="edit" shapetype="t"/>
              </v:shapetype>
              <v:shape id="AutoShape 119" o:spid="_x0000_s1026" type="#_x0000_t32" style="position:absolute;margin-left:468.25pt;margin-top:557.35pt;width:0;height:51pt;flip:y;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" strokeweight=".5pt"/>
            </w:pict>
          </mc:Fallback>
        </mc:AlternateContent>
      </w:r>
      <w:r w:rsidR="00C81B24">
        <w:rPr>
          <w:noProof/>
        </w:rPr>
        <mc:AlternateContent>
          <mc:Choice Requires="wps">
            <w:drawing>
              <wp:anchor distT="0" distB="0" distL="114300" distR="114300" simplePos="0" relativeHeight="251659264" behindDoc="0" locked="0" layoutInCell="1" allowOverlap="1" wp14:anchorId="23A8BEC2" wp14:editId="1BAAEF79">
                <wp:simplePos x="0" y="0"/>
                <wp:positionH relativeFrom="column">
                  <wp:posOffset>5943600</wp:posOffset>
                </wp:positionH>
                <wp:positionV relativeFrom="paragraph">
                  <wp:posOffset>0</wp:posOffset>
                </wp:positionV>
                <wp:extent cx="0" cy="7077075"/>
                <wp:effectExtent l="9525" t="6350" r="9525" b="12700"/>
                <wp:wrapNone/>
                <wp:docPr id="85" name="AutoShape 11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7077075"/>
                        </a:xfrm>
                        <a:prstGeom prst="straightConnector1">
                          <a:avLst/>
                        </a:prstGeom>
                        <a:noFill/>
                        <a:ln w="63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18" o:spid="_x0000_s1026" type="#_x0000_t32" style="position:absolute;margin-left:468pt;margin-top:0;width:0;height:557.2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" strokeweight=".5pt"/>
            </w:pict>
          </mc:Fallback>
        </mc:AlternateContent>
      </w:r>
      <w:r w:rsidR="00C81B24">
        <w:rPr>
          <w:noProof/>
          <w:sz w:val="20"/>
        </w:rPr>
        <w:drawing>
          <wp:inline distT="0" distB="0" distL="0" distR="0" wp14:anchorId="07B1A404" wp14:editId="44EDE3A0">
            <wp:extent cx="5924550" cy="7077075"/>
            <wp:effectExtent l="0" t="0" r="0" b="9525"/>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5924550" cy="7077075"/>
                    </a:xfrm>
                    <a:prstGeom prst="rect">
                      <a:avLst/>
                    </a:prstGeom>
                    <a:noFill/>
                    <a:ln>
                      <a:noFill/>
                    </a:ln>
                  </pic:spPr>
                </pic:pic>
              </a:graphicData>
            </a:graphic>
          </wp:inline>
        </w:drawing>
      </w:r>
      <w:r w:rsidR="00C81B24" w:rsidRPr="00C81B24">
        <w:rPr>
          <w:sz w:val="20"/>
        </w:rPr>
        <w:t xml:space="preserve"> </w:t>
      </w:r>
      <w:r w:rsidR="00C81B24">
        <w:rPr>
          <w:noProof/>
        </w:rPr>
        <w:drawing>
          <wp:inline distT="0" distB="0" distL="0" distR="0" wp14:anchorId="75425779" wp14:editId="0D22C1CF">
            <wp:extent cx="5924550" cy="885825"/>
            <wp:effectExtent l="0" t="0" r="0" b="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5924550" cy="885825"/>
                    </a:xfrm>
                    <a:prstGeom prst="rect">
                      <a:avLst/>
                    </a:prstGeom>
                    <a:noFill/>
                    <a:ln>
                      <a:noFill/>
                    </a:ln>
                  </pic:spPr>
                </pic:pic>
              </a:graphicData>
            </a:graphic>
          </wp:inline>
        </w:drawing>
      </w:r>
    </w:p>
    <w:p w:rsidR="00C81B24" w:rsidRPr="00C81B24" w:rsidRDefault="00C81B24" w:rsidP="00CE5850">
      <w:pPr>
        <w:rPr>
          <w:sz w:val="20"/>
        </w:rPr>
      </w:pPr>
      <w:r w:rsidRPr="00C81B24">
        <w:rPr>
          <w:sz w:val="20"/>
        </w:rPr>
        <w:t xml:space="preserve">Source:  FCC Form 477.  </w:t>
      </w:r>
    </w:p>
    <w:p w:rsidR="00C81B24" w:rsidRPr="00C81B24" w:rsidRDefault="00C81B24" w:rsidP="00CE5850">
      <w:pPr>
        <w:rPr>
          <w:sz w:val="20"/>
        </w:rPr>
      </w:pPr>
    </w:p>
    <w:p w:rsidR="00C81B24" w:rsidRPr="00C81B24" w:rsidRDefault="00C81B24" w:rsidP="00CE5850">
      <w:pPr>
        <w:tabs>
          <w:tab w:val="center" w:pos="4680"/>
        </w:tabs>
        <w:rPr>
          <w:sz w:val="20"/>
        </w:rPr>
      </w:pPr>
      <w:r w:rsidRPr="00C81B24">
        <w:rPr>
          <w:sz w:val="20"/>
        </w:rPr>
        <w:t>* = Data withheld to maintain firm confidentiality.  Some previously published data for June 2011 have been revised.</w:t>
      </w:r>
      <w:r w:rsidRPr="00C81B24">
        <w:rPr>
          <w:sz w:val="20"/>
        </w:rPr>
        <w:tab/>
      </w:r>
    </w:p>
    <w:p w:rsidR="00C81B24" w:rsidRPr="00C81B24" w:rsidRDefault="00C81B24" w:rsidP="00CE5850">
      <w:pPr>
        <w:rPr>
          <w:sz w:val="20"/>
        </w:rPr>
      </w:pPr>
    </w:p>
    <w:p w:rsidR="00C81B24" w:rsidRPr="00C81B24" w:rsidRDefault="00C81B24" w:rsidP="00CE5850">
      <w:pPr>
        <w:rPr>
          <w:sz w:val="20"/>
        </w:rPr>
      </w:pPr>
      <w:r w:rsidRPr="00C81B24">
        <w:rPr>
          <w:i/>
          <w:sz w:val="20"/>
        </w:rPr>
        <w:t>% Resold</w:t>
      </w:r>
      <w:r w:rsidRPr="00C81B24">
        <w:rPr>
          <w:sz w:val="20"/>
        </w:rPr>
        <w:t xml:space="preserve"> is the percentage of mobile telephony subscribers purchasing their service subscriptions from a mobile wireless reseller.</w:t>
      </w:r>
    </w:p>
    <w:p w:rsidR="00C81B24" w:rsidRPr="00C81B24" w:rsidRDefault="00C81B24" w:rsidP="00CE5850">
      <w:pPr>
        <w:rPr>
          <w:sz w:val="20"/>
        </w:rPr>
      </w:pPr>
    </w:p>
    <w:p w:rsidR="00C81B24" w:rsidRPr="00C81B24" w:rsidRDefault="00C81B24" w:rsidP="00CE5850">
      <w:pPr>
        <w:jc w:val="center"/>
        <w:rPr>
          <w:sz w:val="20"/>
        </w:rPr>
      </w:pPr>
      <w:r w:rsidRPr="00C81B24">
        <w:rPr>
          <w:sz w:val="20"/>
        </w:rPr>
        <w:br w:type="page"/>
      </w:r>
    </w:p>
    <w:p w:rsidR="00C81B24" w:rsidRPr="00C81B24" w:rsidRDefault="00C81B24" w:rsidP="00CE5850">
      <w:pPr>
        <w:jc w:val="center"/>
        <w:rPr>
          <w:b/>
          <w:bCs/>
          <w:kern w:val="0"/>
          <w:szCs w:val="22"/>
        </w:rPr>
      </w:pPr>
      <w:bookmarkStart w:id="6900" w:name="_Ref256157787"/>
      <w:bookmarkStart w:id="6901" w:name="_Toc278893123"/>
      <w:r w:rsidRPr="00C81B24">
        <w:rPr>
          <w:b/>
          <w:bCs/>
          <w:snapToGrid w:val="0"/>
          <w:szCs w:val="22"/>
        </w:rPr>
        <w:t>Table B-3</w:t>
      </w:r>
      <w:r w:rsidRPr="00C81B24">
        <w:rPr>
          <w:b/>
          <w:bCs/>
          <w:kern w:val="0"/>
          <w:szCs w:val="22"/>
        </w:rPr>
        <w:t xml:space="preserve"> </w:t>
      </w:r>
    </w:p>
    <w:p w:rsidR="00C81B24" w:rsidRPr="00C81B24" w:rsidRDefault="00C81B24" w:rsidP="00CE5850">
      <w:pPr>
        <w:spacing w:after="120"/>
        <w:jc w:val="center"/>
        <w:rPr>
          <w:b/>
          <w:bCs/>
          <w:kern w:val="0"/>
          <w:szCs w:val="22"/>
        </w:rPr>
      </w:pPr>
      <w:r w:rsidRPr="00C81B24">
        <w:rPr>
          <w:b/>
          <w:bCs/>
          <w:kern w:val="0"/>
          <w:szCs w:val="22"/>
        </w:rPr>
        <w:t>Economic Area Penetration Rates</w:t>
      </w:r>
      <w:bookmarkEnd w:id="6900"/>
      <w:bookmarkEnd w:id="6901"/>
      <w:r w:rsidRPr="00C81B24">
        <w:rPr>
          <w:b/>
          <w:bCs/>
          <w:kern w:val="0"/>
          <w:szCs w:val="22"/>
        </w:rPr>
        <w:t>, 2010</w:t>
      </w:r>
    </w:p>
    <w:tbl>
      <w:tblPr>
        <w:tblW w:w="10165" w:type="dxa"/>
        <w:jc w:val="center"/>
        <w:tblLook w:val="0000" w:firstRow="0" w:lastRow="0" w:firstColumn="0" w:lastColumn="0" w:noHBand="0" w:noVBand="0"/>
      </w:tblPr>
      <w:tblGrid>
        <w:gridCol w:w="639"/>
        <w:gridCol w:w="516"/>
        <w:gridCol w:w="3469"/>
        <w:gridCol w:w="1150"/>
        <w:gridCol w:w="1147"/>
        <w:gridCol w:w="1127"/>
        <w:gridCol w:w="635"/>
        <w:gridCol w:w="616"/>
        <w:gridCol w:w="866"/>
      </w:tblGrid>
      <w:tr w:rsidR="00C81B24" w:rsidRPr="00C81B24" w:rsidTr="00526AD9">
        <w:trPr>
          <w:trHeight w:val="818"/>
          <w:tblHeader/>
          <w:jc w:val="center"/>
        </w:trPr>
        <w:tc>
          <w:tcPr>
            <w:tcW w:w="554" w:type="dxa"/>
            <w:tcBorders>
              <w:top w:val="single" w:sz="4" w:space="0" w:color="auto"/>
              <w:left w:val="single" w:sz="4" w:space="0" w:color="auto"/>
              <w:bottom w:val="single" w:sz="4" w:space="0" w:color="auto"/>
              <w:right w:val="single" w:sz="4" w:space="0" w:color="auto"/>
            </w:tcBorders>
            <w:vAlign w:val="center"/>
          </w:tcPr>
          <w:p w:rsidR="00C81B24" w:rsidRPr="00C81B24" w:rsidRDefault="00C81B24" w:rsidP="00CE5850">
            <w:pPr>
              <w:rPr>
                <w:sz w:val="20"/>
              </w:rPr>
            </w:pPr>
            <w:r w:rsidRPr="00C81B24">
              <w:rPr>
                <w:sz w:val="20"/>
              </w:rPr>
              <w:t>Rank</w:t>
            </w:r>
          </w:p>
        </w:tc>
        <w:tc>
          <w:tcPr>
            <w:tcW w:w="456" w:type="dxa"/>
            <w:tcBorders>
              <w:top w:val="single" w:sz="4" w:space="0" w:color="auto"/>
              <w:left w:val="single" w:sz="4" w:space="0" w:color="auto"/>
              <w:bottom w:val="single" w:sz="4" w:space="0" w:color="auto"/>
              <w:right w:val="single" w:sz="4" w:space="0" w:color="auto"/>
            </w:tcBorders>
            <w:vAlign w:val="center"/>
          </w:tcPr>
          <w:p w:rsidR="00C81B24" w:rsidRPr="00C81B24" w:rsidRDefault="00C81B24" w:rsidP="00CE5850">
            <w:pPr>
              <w:rPr>
                <w:sz w:val="20"/>
              </w:rPr>
            </w:pPr>
            <w:r w:rsidRPr="00C81B24">
              <w:rPr>
                <w:sz w:val="20"/>
              </w:rPr>
              <w:t>EA</w:t>
            </w:r>
          </w:p>
        </w:tc>
        <w:tc>
          <w:tcPr>
            <w:tcW w:w="4012" w:type="dxa"/>
            <w:tcBorders>
              <w:top w:val="single" w:sz="4" w:space="0" w:color="auto"/>
              <w:left w:val="nil"/>
              <w:bottom w:val="single" w:sz="4" w:space="0" w:color="auto"/>
              <w:right w:val="single" w:sz="4" w:space="0" w:color="auto"/>
            </w:tcBorders>
            <w:vAlign w:val="center"/>
          </w:tcPr>
          <w:p w:rsidR="00C81B24" w:rsidRPr="00C81B24" w:rsidRDefault="00C81B24" w:rsidP="00CE5850">
            <w:pPr>
              <w:rPr>
                <w:sz w:val="20"/>
              </w:rPr>
            </w:pPr>
            <w:r w:rsidRPr="00C81B24">
              <w:rPr>
                <w:sz w:val="20"/>
              </w:rPr>
              <w:t>EA Name</w:t>
            </w:r>
          </w:p>
        </w:tc>
        <w:tc>
          <w:tcPr>
            <w:tcW w:w="1102" w:type="dxa"/>
            <w:tcBorders>
              <w:top w:val="single" w:sz="4" w:space="0" w:color="auto"/>
              <w:left w:val="nil"/>
              <w:bottom w:val="single" w:sz="4" w:space="0" w:color="auto"/>
              <w:right w:val="single" w:sz="4" w:space="0" w:color="auto"/>
            </w:tcBorders>
            <w:vAlign w:val="center"/>
          </w:tcPr>
          <w:p w:rsidR="00C81B24" w:rsidRPr="00C81B24" w:rsidRDefault="00C81B24" w:rsidP="00CE5850">
            <w:pPr>
              <w:rPr>
                <w:sz w:val="20"/>
              </w:rPr>
            </w:pPr>
            <w:r w:rsidRPr="00C81B24">
              <w:rPr>
                <w:sz w:val="20"/>
              </w:rPr>
              <w:t>2010 Subscribers</w:t>
            </w:r>
          </w:p>
        </w:tc>
        <w:tc>
          <w:tcPr>
            <w:tcW w:w="1155" w:type="dxa"/>
            <w:tcBorders>
              <w:top w:val="single" w:sz="4" w:space="0" w:color="auto"/>
              <w:left w:val="nil"/>
              <w:bottom w:val="single" w:sz="4" w:space="0" w:color="auto"/>
              <w:right w:val="single" w:sz="4" w:space="0" w:color="auto"/>
            </w:tcBorders>
            <w:vAlign w:val="center"/>
          </w:tcPr>
          <w:p w:rsidR="00C81B24" w:rsidRPr="00C81B24" w:rsidRDefault="00C81B24" w:rsidP="00CE5850">
            <w:pPr>
              <w:rPr>
                <w:sz w:val="20"/>
              </w:rPr>
            </w:pPr>
            <w:r w:rsidRPr="00C81B24">
              <w:rPr>
                <w:sz w:val="20"/>
              </w:rPr>
              <w:t>2010 Estimated EA Population</w:t>
            </w:r>
          </w:p>
        </w:tc>
        <w:tc>
          <w:tcPr>
            <w:tcW w:w="979" w:type="dxa"/>
            <w:tcBorders>
              <w:top w:val="single" w:sz="4" w:space="0" w:color="auto"/>
              <w:left w:val="nil"/>
              <w:bottom w:val="single" w:sz="4" w:space="0" w:color="auto"/>
              <w:right w:val="single" w:sz="4" w:space="0" w:color="auto"/>
            </w:tcBorders>
            <w:vAlign w:val="center"/>
          </w:tcPr>
          <w:p w:rsidR="00C81B24" w:rsidRPr="00C81B24" w:rsidRDefault="00C81B24" w:rsidP="00CE5850">
            <w:pPr>
              <w:rPr>
                <w:sz w:val="20"/>
              </w:rPr>
            </w:pPr>
            <w:r w:rsidRPr="00C81B24">
              <w:rPr>
                <w:sz w:val="20"/>
              </w:rPr>
              <w:t>2010 Penetration Rate</w:t>
            </w:r>
          </w:p>
        </w:tc>
        <w:tc>
          <w:tcPr>
            <w:tcW w:w="635" w:type="dxa"/>
            <w:tcBorders>
              <w:top w:val="single" w:sz="4" w:space="0" w:color="auto"/>
              <w:left w:val="nil"/>
              <w:bottom w:val="single" w:sz="4" w:space="0" w:color="auto"/>
              <w:right w:val="single" w:sz="4" w:space="0" w:color="auto"/>
            </w:tcBorders>
            <w:vAlign w:val="center"/>
          </w:tcPr>
          <w:p w:rsidR="00C81B24" w:rsidRPr="00C81B24" w:rsidRDefault="00C81B24" w:rsidP="00CE5850">
            <w:pPr>
              <w:rPr>
                <w:sz w:val="20"/>
              </w:rPr>
            </w:pPr>
            <w:r w:rsidRPr="00C81B24">
              <w:rPr>
                <w:sz w:val="20"/>
              </w:rPr>
              <w:t>2010 HHI</w:t>
            </w:r>
          </w:p>
        </w:tc>
        <w:tc>
          <w:tcPr>
            <w:tcW w:w="536" w:type="dxa"/>
            <w:tcBorders>
              <w:top w:val="single" w:sz="4" w:space="0" w:color="auto"/>
              <w:left w:val="nil"/>
              <w:bottom w:val="single" w:sz="4" w:space="0" w:color="auto"/>
              <w:right w:val="single" w:sz="4" w:space="0" w:color="auto"/>
            </w:tcBorders>
            <w:vAlign w:val="center"/>
          </w:tcPr>
          <w:p w:rsidR="00C81B24" w:rsidRPr="00C81B24" w:rsidRDefault="00C81B24" w:rsidP="00CE5850">
            <w:pPr>
              <w:rPr>
                <w:sz w:val="20"/>
              </w:rPr>
            </w:pPr>
            <w:r w:rsidRPr="00C81B24">
              <w:rPr>
                <w:sz w:val="20"/>
              </w:rPr>
              <w:t>2009 HHI</w:t>
            </w:r>
          </w:p>
        </w:tc>
        <w:tc>
          <w:tcPr>
            <w:tcW w:w="736" w:type="dxa"/>
            <w:tcBorders>
              <w:top w:val="single" w:sz="4" w:space="0" w:color="auto"/>
              <w:left w:val="nil"/>
              <w:bottom w:val="single" w:sz="4" w:space="0" w:color="auto"/>
              <w:right w:val="single" w:sz="4" w:space="0" w:color="auto"/>
            </w:tcBorders>
            <w:vAlign w:val="center"/>
          </w:tcPr>
          <w:p w:rsidR="00C81B24" w:rsidRPr="00C81B24" w:rsidRDefault="00C81B24" w:rsidP="00CE5850">
            <w:pPr>
              <w:rPr>
                <w:sz w:val="20"/>
              </w:rPr>
            </w:pPr>
            <w:r w:rsidRPr="00C81B24">
              <w:rPr>
                <w:sz w:val="20"/>
              </w:rPr>
              <w:t>2010 EA Density</w:t>
            </w:r>
          </w:p>
        </w:tc>
      </w:tr>
      <w:tr w:rsidR="00C81B24" w:rsidRPr="00C81B24" w:rsidTr="00526AD9">
        <w:trPr>
          <w:trHeight w:val="255"/>
          <w:jc w:val="center"/>
        </w:trPr>
        <w:tc>
          <w:tcPr>
            <w:tcW w:w="554" w:type="dxa"/>
            <w:tcBorders>
              <w:top w:val="nil"/>
              <w:left w:val="single" w:sz="4" w:space="0" w:color="auto"/>
              <w:bottom w:val="single" w:sz="4" w:space="0" w:color="auto"/>
              <w:right w:val="single" w:sz="4" w:space="0" w:color="auto"/>
            </w:tcBorders>
            <w:vAlign w:val="bottom"/>
          </w:tcPr>
          <w:p w:rsidR="00C81B24" w:rsidRPr="00C81B24" w:rsidRDefault="00C81B24" w:rsidP="00CE5850">
            <w:pPr>
              <w:rPr>
                <w:sz w:val="20"/>
              </w:rPr>
            </w:pPr>
            <w:r w:rsidRPr="00C81B24">
              <w:rPr>
                <w:sz w:val="20"/>
              </w:rPr>
              <w:t>1</w:t>
            </w:r>
          </w:p>
        </w:tc>
        <w:tc>
          <w:tcPr>
            <w:tcW w:w="456" w:type="dxa"/>
            <w:tcBorders>
              <w:top w:val="nil"/>
              <w:left w:val="single" w:sz="4" w:space="0" w:color="auto"/>
              <w:bottom w:val="single" w:sz="4" w:space="0" w:color="auto"/>
              <w:right w:val="single" w:sz="4" w:space="0" w:color="auto"/>
            </w:tcBorders>
            <w:vAlign w:val="center"/>
          </w:tcPr>
          <w:p w:rsidR="00C81B24" w:rsidRPr="00C81B24" w:rsidRDefault="00C81B24" w:rsidP="00CE5850">
            <w:pPr>
              <w:rPr>
                <w:sz w:val="20"/>
              </w:rPr>
            </w:pPr>
            <w:r w:rsidRPr="00C81B24">
              <w:rPr>
                <w:sz w:val="20"/>
              </w:rPr>
              <w:t>57</w:t>
            </w:r>
          </w:p>
        </w:tc>
        <w:tc>
          <w:tcPr>
            <w:tcW w:w="4012" w:type="dxa"/>
            <w:tcBorders>
              <w:top w:val="nil"/>
              <w:left w:val="nil"/>
              <w:bottom w:val="single" w:sz="4" w:space="0" w:color="auto"/>
              <w:right w:val="single" w:sz="4" w:space="0" w:color="auto"/>
            </w:tcBorders>
            <w:vAlign w:val="center"/>
          </w:tcPr>
          <w:p w:rsidR="00C81B24" w:rsidRPr="00C81B24" w:rsidRDefault="00C81B24" w:rsidP="00CE5850">
            <w:pPr>
              <w:rPr>
                <w:sz w:val="20"/>
                <w:lang w:val="sv-SE"/>
              </w:rPr>
            </w:pPr>
            <w:r w:rsidRPr="00C81B24">
              <w:rPr>
                <w:sz w:val="20"/>
                <w:lang w:val="de-DE"/>
              </w:rPr>
              <w:t>Detroit-Ann Arbor-Flint, MI</w:t>
            </w:r>
          </w:p>
        </w:tc>
        <w:tc>
          <w:tcPr>
            <w:tcW w:w="1102"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8,144,570</w:t>
            </w:r>
          </w:p>
        </w:tc>
        <w:tc>
          <w:tcPr>
            <w:tcW w:w="1155"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6,827,726</w:t>
            </w:r>
          </w:p>
        </w:tc>
        <w:tc>
          <w:tcPr>
            <w:tcW w:w="979"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119%</w:t>
            </w:r>
          </w:p>
        </w:tc>
        <w:tc>
          <w:tcPr>
            <w:tcW w:w="635" w:type="dxa"/>
            <w:tcBorders>
              <w:top w:val="nil"/>
              <w:left w:val="nil"/>
              <w:bottom w:val="single" w:sz="4" w:space="0" w:color="auto"/>
              <w:right w:val="single" w:sz="4" w:space="0" w:color="auto"/>
            </w:tcBorders>
            <w:noWrap/>
            <w:vAlign w:val="bottom"/>
          </w:tcPr>
          <w:p w:rsidR="00C81B24" w:rsidRPr="00C81B24" w:rsidRDefault="00C81B24" w:rsidP="00CE5850">
            <w:pPr>
              <w:rPr>
                <w:sz w:val="20"/>
              </w:rPr>
            </w:pPr>
            <w:r w:rsidRPr="00C81B24">
              <w:rPr>
                <w:sz w:val="20"/>
              </w:rPr>
              <w:t>2797</w:t>
            </w:r>
          </w:p>
        </w:tc>
        <w:tc>
          <w:tcPr>
            <w:tcW w:w="536"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2815</w:t>
            </w:r>
          </w:p>
        </w:tc>
        <w:tc>
          <w:tcPr>
            <w:tcW w:w="736"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363.64</w:t>
            </w:r>
          </w:p>
        </w:tc>
      </w:tr>
      <w:tr w:rsidR="00C81B24" w:rsidRPr="00C81B24" w:rsidTr="00526AD9">
        <w:trPr>
          <w:trHeight w:val="255"/>
          <w:jc w:val="center"/>
        </w:trPr>
        <w:tc>
          <w:tcPr>
            <w:tcW w:w="554" w:type="dxa"/>
            <w:tcBorders>
              <w:top w:val="nil"/>
              <w:left w:val="single" w:sz="4" w:space="0" w:color="auto"/>
              <w:bottom w:val="single" w:sz="4" w:space="0" w:color="auto"/>
              <w:right w:val="single" w:sz="4" w:space="0" w:color="auto"/>
            </w:tcBorders>
            <w:vAlign w:val="bottom"/>
          </w:tcPr>
          <w:p w:rsidR="00C81B24" w:rsidRPr="00C81B24" w:rsidRDefault="00C81B24" w:rsidP="00CE5850">
            <w:pPr>
              <w:rPr>
                <w:sz w:val="20"/>
              </w:rPr>
            </w:pPr>
            <w:r w:rsidRPr="00C81B24">
              <w:rPr>
                <w:sz w:val="20"/>
              </w:rPr>
              <w:t>2</w:t>
            </w:r>
          </w:p>
        </w:tc>
        <w:tc>
          <w:tcPr>
            <w:tcW w:w="456" w:type="dxa"/>
            <w:tcBorders>
              <w:top w:val="nil"/>
              <w:left w:val="single" w:sz="4" w:space="0" w:color="auto"/>
              <w:bottom w:val="single" w:sz="4" w:space="0" w:color="auto"/>
              <w:right w:val="single" w:sz="4" w:space="0" w:color="auto"/>
            </w:tcBorders>
            <w:vAlign w:val="center"/>
          </w:tcPr>
          <w:p w:rsidR="00C81B24" w:rsidRPr="00C81B24" w:rsidRDefault="00C81B24" w:rsidP="00CE5850">
            <w:pPr>
              <w:rPr>
                <w:sz w:val="20"/>
              </w:rPr>
            </w:pPr>
            <w:r w:rsidRPr="00C81B24">
              <w:rPr>
                <w:sz w:val="20"/>
              </w:rPr>
              <w:t>155</w:t>
            </w:r>
          </w:p>
        </w:tc>
        <w:tc>
          <w:tcPr>
            <w:tcW w:w="4012" w:type="dxa"/>
            <w:tcBorders>
              <w:top w:val="nil"/>
              <w:left w:val="nil"/>
              <w:bottom w:val="single" w:sz="4" w:space="0" w:color="auto"/>
              <w:right w:val="single" w:sz="4" w:space="0" w:color="auto"/>
            </w:tcBorders>
            <w:vAlign w:val="center"/>
          </w:tcPr>
          <w:p w:rsidR="00C81B24" w:rsidRPr="00C81B24" w:rsidRDefault="00C81B24" w:rsidP="00CE5850">
            <w:pPr>
              <w:rPr>
                <w:sz w:val="20"/>
              </w:rPr>
            </w:pPr>
            <w:r w:rsidRPr="00C81B24">
              <w:rPr>
                <w:sz w:val="20"/>
              </w:rPr>
              <w:t>Farmington, NM-CO</w:t>
            </w:r>
          </w:p>
        </w:tc>
        <w:tc>
          <w:tcPr>
            <w:tcW w:w="1102"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243,546</w:t>
            </w:r>
          </w:p>
        </w:tc>
        <w:tc>
          <w:tcPr>
            <w:tcW w:w="1155"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221,760</w:t>
            </w:r>
          </w:p>
        </w:tc>
        <w:tc>
          <w:tcPr>
            <w:tcW w:w="979"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110%</w:t>
            </w:r>
          </w:p>
        </w:tc>
        <w:tc>
          <w:tcPr>
            <w:tcW w:w="635" w:type="dxa"/>
            <w:tcBorders>
              <w:top w:val="nil"/>
              <w:left w:val="nil"/>
              <w:bottom w:val="single" w:sz="4" w:space="0" w:color="auto"/>
              <w:right w:val="single" w:sz="4" w:space="0" w:color="auto"/>
            </w:tcBorders>
            <w:noWrap/>
            <w:vAlign w:val="bottom"/>
          </w:tcPr>
          <w:p w:rsidR="00C81B24" w:rsidRPr="00C81B24" w:rsidRDefault="00C81B24" w:rsidP="00CE5850">
            <w:pPr>
              <w:rPr>
                <w:sz w:val="20"/>
              </w:rPr>
            </w:pPr>
            <w:r w:rsidRPr="00C81B24">
              <w:rPr>
                <w:sz w:val="20"/>
              </w:rPr>
              <w:t>3968</w:t>
            </w:r>
          </w:p>
        </w:tc>
        <w:tc>
          <w:tcPr>
            <w:tcW w:w="536"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4008</w:t>
            </w:r>
          </w:p>
        </w:tc>
        <w:tc>
          <w:tcPr>
            <w:tcW w:w="736"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18.42</w:t>
            </w:r>
          </w:p>
        </w:tc>
      </w:tr>
      <w:tr w:rsidR="00C81B24" w:rsidRPr="00C81B24" w:rsidTr="00526AD9">
        <w:trPr>
          <w:trHeight w:val="255"/>
          <w:jc w:val="center"/>
        </w:trPr>
        <w:tc>
          <w:tcPr>
            <w:tcW w:w="554" w:type="dxa"/>
            <w:tcBorders>
              <w:top w:val="nil"/>
              <w:left w:val="single" w:sz="4" w:space="0" w:color="auto"/>
              <w:bottom w:val="single" w:sz="4" w:space="0" w:color="auto"/>
              <w:right w:val="single" w:sz="4" w:space="0" w:color="auto"/>
            </w:tcBorders>
            <w:vAlign w:val="bottom"/>
          </w:tcPr>
          <w:p w:rsidR="00C81B24" w:rsidRPr="00C81B24" w:rsidRDefault="00C81B24" w:rsidP="00CE5850">
            <w:pPr>
              <w:rPr>
                <w:sz w:val="20"/>
              </w:rPr>
            </w:pPr>
            <w:r w:rsidRPr="00C81B24">
              <w:rPr>
                <w:sz w:val="20"/>
              </w:rPr>
              <w:t>3</w:t>
            </w:r>
          </w:p>
        </w:tc>
        <w:tc>
          <w:tcPr>
            <w:tcW w:w="456" w:type="dxa"/>
            <w:tcBorders>
              <w:top w:val="nil"/>
              <w:left w:val="single" w:sz="4" w:space="0" w:color="auto"/>
              <w:bottom w:val="single" w:sz="4" w:space="0" w:color="auto"/>
              <w:right w:val="single" w:sz="4" w:space="0" w:color="auto"/>
            </w:tcBorders>
            <w:vAlign w:val="center"/>
          </w:tcPr>
          <w:p w:rsidR="00C81B24" w:rsidRPr="00C81B24" w:rsidRDefault="00C81B24" w:rsidP="00CE5850">
            <w:pPr>
              <w:rPr>
                <w:sz w:val="20"/>
              </w:rPr>
            </w:pPr>
            <w:r w:rsidRPr="00C81B24">
              <w:rPr>
                <w:sz w:val="20"/>
              </w:rPr>
              <w:t>71</w:t>
            </w:r>
          </w:p>
        </w:tc>
        <w:tc>
          <w:tcPr>
            <w:tcW w:w="4012" w:type="dxa"/>
            <w:tcBorders>
              <w:top w:val="nil"/>
              <w:left w:val="nil"/>
              <w:bottom w:val="single" w:sz="4" w:space="0" w:color="auto"/>
              <w:right w:val="single" w:sz="4" w:space="0" w:color="auto"/>
            </w:tcBorders>
            <w:vAlign w:val="center"/>
          </w:tcPr>
          <w:p w:rsidR="00C81B24" w:rsidRPr="00C81B24" w:rsidRDefault="00C81B24" w:rsidP="00CE5850">
            <w:pPr>
              <w:rPr>
                <w:sz w:val="20"/>
              </w:rPr>
            </w:pPr>
            <w:r w:rsidRPr="00C81B24">
              <w:rPr>
                <w:sz w:val="20"/>
              </w:rPr>
              <w:t>Nashville, TN-KY</w:t>
            </w:r>
          </w:p>
        </w:tc>
        <w:tc>
          <w:tcPr>
            <w:tcW w:w="1102"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3,086,681</w:t>
            </w:r>
          </w:p>
        </w:tc>
        <w:tc>
          <w:tcPr>
            <w:tcW w:w="1155"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2,856,296</w:t>
            </w:r>
          </w:p>
        </w:tc>
        <w:tc>
          <w:tcPr>
            <w:tcW w:w="979"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108%</w:t>
            </w:r>
          </w:p>
        </w:tc>
        <w:tc>
          <w:tcPr>
            <w:tcW w:w="635" w:type="dxa"/>
            <w:tcBorders>
              <w:top w:val="nil"/>
              <w:left w:val="nil"/>
              <w:bottom w:val="single" w:sz="4" w:space="0" w:color="auto"/>
              <w:right w:val="single" w:sz="4" w:space="0" w:color="auto"/>
            </w:tcBorders>
            <w:noWrap/>
            <w:vAlign w:val="bottom"/>
          </w:tcPr>
          <w:p w:rsidR="00C81B24" w:rsidRPr="00C81B24" w:rsidRDefault="00C81B24" w:rsidP="00CE5850">
            <w:pPr>
              <w:rPr>
                <w:sz w:val="20"/>
              </w:rPr>
            </w:pPr>
            <w:r w:rsidRPr="00C81B24">
              <w:rPr>
                <w:sz w:val="20"/>
              </w:rPr>
              <w:t>2543</w:t>
            </w:r>
          </w:p>
        </w:tc>
        <w:tc>
          <w:tcPr>
            <w:tcW w:w="536"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2562</w:t>
            </w:r>
          </w:p>
        </w:tc>
        <w:tc>
          <w:tcPr>
            <w:tcW w:w="736"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124.84</w:t>
            </w:r>
          </w:p>
        </w:tc>
      </w:tr>
      <w:tr w:rsidR="00C81B24" w:rsidRPr="00C81B24" w:rsidTr="00526AD9">
        <w:trPr>
          <w:trHeight w:val="255"/>
          <w:jc w:val="center"/>
        </w:trPr>
        <w:tc>
          <w:tcPr>
            <w:tcW w:w="554" w:type="dxa"/>
            <w:tcBorders>
              <w:top w:val="nil"/>
              <w:left w:val="single" w:sz="4" w:space="0" w:color="auto"/>
              <w:bottom w:val="single" w:sz="4" w:space="0" w:color="auto"/>
              <w:right w:val="single" w:sz="4" w:space="0" w:color="auto"/>
            </w:tcBorders>
            <w:vAlign w:val="bottom"/>
          </w:tcPr>
          <w:p w:rsidR="00C81B24" w:rsidRPr="00C81B24" w:rsidRDefault="00C81B24" w:rsidP="00CE5850">
            <w:pPr>
              <w:rPr>
                <w:sz w:val="20"/>
              </w:rPr>
            </w:pPr>
            <w:r w:rsidRPr="00C81B24">
              <w:rPr>
                <w:sz w:val="20"/>
              </w:rPr>
              <w:t>4</w:t>
            </w:r>
          </w:p>
        </w:tc>
        <w:tc>
          <w:tcPr>
            <w:tcW w:w="456" w:type="dxa"/>
            <w:tcBorders>
              <w:top w:val="nil"/>
              <w:left w:val="single" w:sz="4" w:space="0" w:color="auto"/>
              <w:bottom w:val="single" w:sz="4" w:space="0" w:color="auto"/>
              <w:right w:val="single" w:sz="4" w:space="0" w:color="auto"/>
            </w:tcBorders>
            <w:vAlign w:val="center"/>
          </w:tcPr>
          <w:p w:rsidR="00C81B24" w:rsidRPr="00C81B24" w:rsidRDefault="00C81B24" w:rsidP="00CE5850">
            <w:pPr>
              <w:rPr>
                <w:sz w:val="20"/>
              </w:rPr>
            </w:pPr>
            <w:r w:rsidRPr="00C81B24">
              <w:rPr>
                <w:sz w:val="20"/>
              </w:rPr>
              <w:t>83</w:t>
            </w:r>
          </w:p>
        </w:tc>
        <w:tc>
          <w:tcPr>
            <w:tcW w:w="4012" w:type="dxa"/>
            <w:tcBorders>
              <w:top w:val="nil"/>
              <w:left w:val="nil"/>
              <w:bottom w:val="single" w:sz="4" w:space="0" w:color="auto"/>
              <w:right w:val="single" w:sz="4" w:space="0" w:color="auto"/>
            </w:tcBorders>
            <w:vAlign w:val="center"/>
          </w:tcPr>
          <w:p w:rsidR="00C81B24" w:rsidRPr="00C81B24" w:rsidRDefault="00C81B24" w:rsidP="00CE5850">
            <w:pPr>
              <w:rPr>
                <w:sz w:val="20"/>
              </w:rPr>
            </w:pPr>
            <w:r w:rsidRPr="00C81B24">
              <w:rPr>
                <w:sz w:val="20"/>
              </w:rPr>
              <w:t>New Orleans, LA-MS (see note 1)</w:t>
            </w:r>
          </w:p>
        </w:tc>
        <w:tc>
          <w:tcPr>
            <w:tcW w:w="1102"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1,754,176</w:t>
            </w:r>
          </w:p>
        </w:tc>
        <w:tc>
          <w:tcPr>
            <w:tcW w:w="1155"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1,622,143</w:t>
            </w:r>
          </w:p>
        </w:tc>
        <w:tc>
          <w:tcPr>
            <w:tcW w:w="979"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108%</w:t>
            </w:r>
          </w:p>
        </w:tc>
        <w:tc>
          <w:tcPr>
            <w:tcW w:w="635" w:type="dxa"/>
            <w:tcBorders>
              <w:top w:val="nil"/>
              <w:left w:val="nil"/>
              <w:bottom w:val="single" w:sz="4" w:space="0" w:color="auto"/>
              <w:right w:val="single" w:sz="4" w:space="0" w:color="auto"/>
            </w:tcBorders>
            <w:noWrap/>
            <w:vAlign w:val="bottom"/>
          </w:tcPr>
          <w:p w:rsidR="00C81B24" w:rsidRPr="00C81B24" w:rsidRDefault="00C81B24" w:rsidP="00CE5850">
            <w:pPr>
              <w:rPr>
                <w:sz w:val="20"/>
              </w:rPr>
            </w:pPr>
            <w:r w:rsidRPr="00C81B24">
              <w:rPr>
                <w:sz w:val="20"/>
              </w:rPr>
              <w:t>3161</w:t>
            </w:r>
          </w:p>
        </w:tc>
        <w:tc>
          <w:tcPr>
            <w:tcW w:w="536"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3188</w:t>
            </w:r>
          </w:p>
        </w:tc>
        <w:tc>
          <w:tcPr>
            <w:tcW w:w="736"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208.68</w:t>
            </w:r>
          </w:p>
        </w:tc>
      </w:tr>
      <w:tr w:rsidR="00C81B24" w:rsidRPr="00C81B24" w:rsidTr="00526AD9">
        <w:trPr>
          <w:trHeight w:val="255"/>
          <w:jc w:val="center"/>
        </w:trPr>
        <w:tc>
          <w:tcPr>
            <w:tcW w:w="554" w:type="dxa"/>
            <w:tcBorders>
              <w:top w:val="nil"/>
              <w:left w:val="single" w:sz="4" w:space="0" w:color="auto"/>
              <w:bottom w:val="single" w:sz="4" w:space="0" w:color="auto"/>
              <w:right w:val="single" w:sz="4" w:space="0" w:color="auto"/>
            </w:tcBorders>
            <w:vAlign w:val="bottom"/>
          </w:tcPr>
          <w:p w:rsidR="00C81B24" w:rsidRPr="00C81B24" w:rsidRDefault="00C81B24" w:rsidP="00CE5850">
            <w:pPr>
              <w:rPr>
                <w:sz w:val="20"/>
              </w:rPr>
            </w:pPr>
            <w:r w:rsidRPr="00C81B24">
              <w:rPr>
                <w:sz w:val="20"/>
              </w:rPr>
              <w:t>5</w:t>
            </w:r>
          </w:p>
        </w:tc>
        <w:tc>
          <w:tcPr>
            <w:tcW w:w="456" w:type="dxa"/>
            <w:tcBorders>
              <w:top w:val="nil"/>
              <w:left w:val="single" w:sz="4" w:space="0" w:color="auto"/>
              <w:bottom w:val="single" w:sz="4" w:space="0" w:color="auto"/>
              <w:right w:val="single" w:sz="4" w:space="0" w:color="auto"/>
            </w:tcBorders>
            <w:vAlign w:val="center"/>
          </w:tcPr>
          <w:p w:rsidR="00C81B24" w:rsidRPr="00C81B24" w:rsidRDefault="00C81B24" w:rsidP="00CE5850">
            <w:pPr>
              <w:rPr>
                <w:sz w:val="20"/>
              </w:rPr>
            </w:pPr>
            <w:r w:rsidRPr="00C81B24">
              <w:rPr>
                <w:sz w:val="20"/>
              </w:rPr>
              <w:t>89</w:t>
            </w:r>
          </w:p>
        </w:tc>
        <w:tc>
          <w:tcPr>
            <w:tcW w:w="4012" w:type="dxa"/>
            <w:tcBorders>
              <w:top w:val="nil"/>
              <w:left w:val="nil"/>
              <w:bottom w:val="single" w:sz="4" w:space="0" w:color="auto"/>
              <w:right w:val="single" w:sz="4" w:space="0" w:color="auto"/>
            </w:tcBorders>
            <w:vAlign w:val="center"/>
          </w:tcPr>
          <w:p w:rsidR="00C81B24" w:rsidRPr="00C81B24" w:rsidRDefault="00C81B24" w:rsidP="00CE5850">
            <w:pPr>
              <w:rPr>
                <w:sz w:val="20"/>
              </w:rPr>
            </w:pPr>
            <w:r w:rsidRPr="00C81B24">
              <w:rPr>
                <w:sz w:val="20"/>
              </w:rPr>
              <w:t>Monroe, LA</w:t>
            </w:r>
          </w:p>
        </w:tc>
        <w:tc>
          <w:tcPr>
            <w:tcW w:w="1102"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364,766</w:t>
            </w:r>
          </w:p>
        </w:tc>
        <w:tc>
          <w:tcPr>
            <w:tcW w:w="1155"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338,416</w:t>
            </w:r>
          </w:p>
        </w:tc>
        <w:tc>
          <w:tcPr>
            <w:tcW w:w="979"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108%</w:t>
            </w:r>
          </w:p>
        </w:tc>
        <w:tc>
          <w:tcPr>
            <w:tcW w:w="635" w:type="dxa"/>
            <w:tcBorders>
              <w:top w:val="nil"/>
              <w:left w:val="nil"/>
              <w:bottom w:val="single" w:sz="4" w:space="0" w:color="auto"/>
              <w:right w:val="single" w:sz="4" w:space="0" w:color="auto"/>
            </w:tcBorders>
            <w:noWrap/>
            <w:vAlign w:val="bottom"/>
          </w:tcPr>
          <w:p w:rsidR="00C81B24" w:rsidRPr="00C81B24" w:rsidRDefault="00C81B24" w:rsidP="00CE5850">
            <w:pPr>
              <w:rPr>
                <w:sz w:val="20"/>
              </w:rPr>
            </w:pPr>
            <w:r w:rsidRPr="00C81B24">
              <w:rPr>
                <w:sz w:val="20"/>
              </w:rPr>
              <w:t>3962</w:t>
            </w:r>
          </w:p>
        </w:tc>
        <w:tc>
          <w:tcPr>
            <w:tcW w:w="536"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4386</w:t>
            </w:r>
          </w:p>
        </w:tc>
        <w:tc>
          <w:tcPr>
            <w:tcW w:w="736"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58.18</w:t>
            </w:r>
          </w:p>
        </w:tc>
      </w:tr>
      <w:tr w:rsidR="00C81B24" w:rsidRPr="00C81B24" w:rsidTr="00526AD9">
        <w:trPr>
          <w:trHeight w:val="255"/>
          <w:jc w:val="center"/>
        </w:trPr>
        <w:tc>
          <w:tcPr>
            <w:tcW w:w="554" w:type="dxa"/>
            <w:tcBorders>
              <w:top w:val="nil"/>
              <w:left w:val="single" w:sz="4" w:space="0" w:color="auto"/>
              <w:bottom w:val="single" w:sz="4" w:space="0" w:color="auto"/>
              <w:right w:val="single" w:sz="4" w:space="0" w:color="auto"/>
            </w:tcBorders>
            <w:vAlign w:val="bottom"/>
          </w:tcPr>
          <w:p w:rsidR="00C81B24" w:rsidRPr="00C81B24" w:rsidRDefault="00C81B24" w:rsidP="00CE5850">
            <w:pPr>
              <w:rPr>
                <w:sz w:val="20"/>
              </w:rPr>
            </w:pPr>
            <w:r w:rsidRPr="00C81B24">
              <w:rPr>
                <w:sz w:val="20"/>
              </w:rPr>
              <w:t>6</w:t>
            </w:r>
          </w:p>
        </w:tc>
        <w:tc>
          <w:tcPr>
            <w:tcW w:w="456" w:type="dxa"/>
            <w:tcBorders>
              <w:top w:val="nil"/>
              <w:left w:val="single" w:sz="4" w:space="0" w:color="auto"/>
              <w:bottom w:val="single" w:sz="4" w:space="0" w:color="auto"/>
              <w:right w:val="single" w:sz="4" w:space="0" w:color="auto"/>
            </w:tcBorders>
            <w:vAlign w:val="center"/>
          </w:tcPr>
          <w:p w:rsidR="00C81B24" w:rsidRPr="00C81B24" w:rsidRDefault="00C81B24" w:rsidP="00CE5850">
            <w:pPr>
              <w:rPr>
                <w:sz w:val="20"/>
              </w:rPr>
            </w:pPr>
            <w:r w:rsidRPr="00C81B24">
              <w:rPr>
                <w:sz w:val="20"/>
              </w:rPr>
              <w:t>13</w:t>
            </w:r>
          </w:p>
        </w:tc>
        <w:tc>
          <w:tcPr>
            <w:tcW w:w="4012" w:type="dxa"/>
            <w:tcBorders>
              <w:top w:val="nil"/>
              <w:left w:val="nil"/>
              <w:bottom w:val="single" w:sz="4" w:space="0" w:color="auto"/>
              <w:right w:val="single" w:sz="4" w:space="0" w:color="auto"/>
            </w:tcBorders>
            <w:vAlign w:val="center"/>
          </w:tcPr>
          <w:p w:rsidR="00C81B24" w:rsidRPr="00C81B24" w:rsidRDefault="00C81B24" w:rsidP="00CE5850">
            <w:pPr>
              <w:rPr>
                <w:sz w:val="20"/>
                <w:lang w:val="it-IT"/>
              </w:rPr>
            </w:pPr>
            <w:r w:rsidRPr="00C81B24">
              <w:rPr>
                <w:sz w:val="20"/>
                <w:lang w:val="it-IT"/>
              </w:rPr>
              <w:t>Washington-Baltimore, DC-MD-VA-WV-PA</w:t>
            </w:r>
          </w:p>
        </w:tc>
        <w:tc>
          <w:tcPr>
            <w:tcW w:w="1102"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10,169,094</w:t>
            </w:r>
          </w:p>
        </w:tc>
        <w:tc>
          <w:tcPr>
            <w:tcW w:w="1155"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9,515,921</w:t>
            </w:r>
          </w:p>
        </w:tc>
        <w:tc>
          <w:tcPr>
            <w:tcW w:w="979"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107%</w:t>
            </w:r>
          </w:p>
        </w:tc>
        <w:tc>
          <w:tcPr>
            <w:tcW w:w="635" w:type="dxa"/>
            <w:tcBorders>
              <w:top w:val="nil"/>
              <w:left w:val="nil"/>
              <w:bottom w:val="single" w:sz="4" w:space="0" w:color="auto"/>
              <w:right w:val="single" w:sz="4" w:space="0" w:color="auto"/>
            </w:tcBorders>
            <w:noWrap/>
            <w:vAlign w:val="bottom"/>
          </w:tcPr>
          <w:p w:rsidR="00C81B24" w:rsidRPr="00C81B24" w:rsidRDefault="00C81B24" w:rsidP="00CE5850">
            <w:pPr>
              <w:rPr>
                <w:sz w:val="20"/>
              </w:rPr>
            </w:pPr>
            <w:r w:rsidRPr="00C81B24">
              <w:rPr>
                <w:sz w:val="20"/>
              </w:rPr>
              <w:t>2695</w:t>
            </w:r>
          </w:p>
        </w:tc>
        <w:tc>
          <w:tcPr>
            <w:tcW w:w="536"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2683</w:t>
            </w:r>
          </w:p>
        </w:tc>
        <w:tc>
          <w:tcPr>
            <w:tcW w:w="736"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470.53</w:t>
            </w:r>
          </w:p>
        </w:tc>
      </w:tr>
      <w:tr w:rsidR="00C81B24" w:rsidRPr="00C81B24" w:rsidTr="00526AD9">
        <w:trPr>
          <w:trHeight w:val="255"/>
          <w:jc w:val="center"/>
        </w:trPr>
        <w:tc>
          <w:tcPr>
            <w:tcW w:w="554" w:type="dxa"/>
            <w:tcBorders>
              <w:top w:val="nil"/>
              <w:left w:val="single" w:sz="4" w:space="0" w:color="auto"/>
              <w:bottom w:val="single" w:sz="4" w:space="0" w:color="auto"/>
              <w:right w:val="single" w:sz="4" w:space="0" w:color="auto"/>
            </w:tcBorders>
            <w:vAlign w:val="bottom"/>
          </w:tcPr>
          <w:p w:rsidR="00C81B24" w:rsidRPr="00C81B24" w:rsidRDefault="00C81B24" w:rsidP="00CE5850">
            <w:pPr>
              <w:rPr>
                <w:sz w:val="20"/>
              </w:rPr>
            </w:pPr>
            <w:r w:rsidRPr="00C81B24">
              <w:rPr>
                <w:sz w:val="20"/>
              </w:rPr>
              <w:t>7</w:t>
            </w:r>
          </w:p>
        </w:tc>
        <w:tc>
          <w:tcPr>
            <w:tcW w:w="456" w:type="dxa"/>
            <w:tcBorders>
              <w:top w:val="nil"/>
              <w:left w:val="single" w:sz="4" w:space="0" w:color="auto"/>
              <w:bottom w:val="single" w:sz="4" w:space="0" w:color="auto"/>
              <w:right w:val="single" w:sz="4" w:space="0" w:color="auto"/>
            </w:tcBorders>
            <w:vAlign w:val="center"/>
          </w:tcPr>
          <w:p w:rsidR="00C81B24" w:rsidRPr="00C81B24" w:rsidRDefault="00C81B24" w:rsidP="00CE5850">
            <w:pPr>
              <w:rPr>
                <w:sz w:val="20"/>
              </w:rPr>
            </w:pPr>
            <w:r w:rsidRPr="00C81B24">
              <w:rPr>
                <w:sz w:val="20"/>
              </w:rPr>
              <w:t>22</w:t>
            </w:r>
          </w:p>
        </w:tc>
        <w:tc>
          <w:tcPr>
            <w:tcW w:w="4012" w:type="dxa"/>
            <w:tcBorders>
              <w:top w:val="nil"/>
              <w:left w:val="nil"/>
              <w:bottom w:val="single" w:sz="4" w:space="0" w:color="auto"/>
              <w:right w:val="single" w:sz="4" w:space="0" w:color="auto"/>
            </w:tcBorders>
            <w:vAlign w:val="center"/>
          </w:tcPr>
          <w:p w:rsidR="00C81B24" w:rsidRPr="00C81B24" w:rsidRDefault="00C81B24" w:rsidP="00CE5850">
            <w:pPr>
              <w:rPr>
                <w:sz w:val="20"/>
              </w:rPr>
            </w:pPr>
            <w:r w:rsidRPr="00C81B24">
              <w:rPr>
                <w:sz w:val="20"/>
              </w:rPr>
              <w:t>Fayetteville, NC</w:t>
            </w:r>
          </w:p>
        </w:tc>
        <w:tc>
          <w:tcPr>
            <w:tcW w:w="1102"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609,724</w:t>
            </w:r>
          </w:p>
        </w:tc>
        <w:tc>
          <w:tcPr>
            <w:tcW w:w="1155"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571,898</w:t>
            </w:r>
          </w:p>
        </w:tc>
        <w:tc>
          <w:tcPr>
            <w:tcW w:w="979"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107%</w:t>
            </w:r>
          </w:p>
        </w:tc>
        <w:tc>
          <w:tcPr>
            <w:tcW w:w="635" w:type="dxa"/>
            <w:tcBorders>
              <w:top w:val="nil"/>
              <w:left w:val="nil"/>
              <w:bottom w:val="single" w:sz="4" w:space="0" w:color="auto"/>
              <w:right w:val="single" w:sz="4" w:space="0" w:color="auto"/>
            </w:tcBorders>
            <w:noWrap/>
            <w:vAlign w:val="bottom"/>
          </w:tcPr>
          <w:p w:rsidR="00C81B24" w:rsidRPr="00C81B24" w:rsidRDefault="00C81B24" w:rsidP="00CE5850">
            <w:pPr>
              <w:rPr>
                <w:sz w:val="20"/>
              </w:rPr>
            </w:pPr>
            <w:r w:rsidRPr="00C81B24">
              <w:rPr>
                <w:sz w:val="20"/>
              </w:rPr>
              <w:t>2882</w:t>
            </w:r>
          </w:p>
        </w:tc>
        <w:tc>
          <w:tcPr>
            <w:tcW w:w="536"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2826</w:t>
            </w:r>
          </w:p>
        </w:tc>
        <w:tc>
          <w:tcPr>
            <w:tcW w:w="736"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179.53</w:t>
            </w:r>
          </w:p>
        </w:tc>
      </w:tr>
      <w:tr w:rsidR="00C81B24" w:rsidRPr="00C81B24" w:rsidTr="00526AD9">
        <w:trPr>
          <w:trHeight w:val="255"/>
          <w:jc w:val="center"/>
        </w:trPr>
        <w:tc>
          <w:tcPr>
            <w:tcW w:w="554" w:type="dxa"/>
            <w:tcBorders>
              <w:top w:val="nil"/>
              <w:left w:val="single" w:sz="4" w:space="0" w:color="auto"/>
              <w:bottom w:val="single" w:sz="4" w:space="0" w:color="auto"/>
              <w:right w:val="single" w:sz="4" w:space="0" w:color="auto"/>
            </w:tcBorders>
            <w:vAlign w:val="bottom"/>
          </w:tcPr>
          <w:p w:rsidR="00C81B24" w:rsidRPr="00C81B24" w:rsidRDefault="00C81B24" w:rsidP="00CE5850">
            <w:pPr>
              <w:rPr>
                <w:sz w:val="20"/>
              </w:rPr>
            </w:pPr>
            <w:r w:rsidRPr="00C81B24">
              <w:rPr>
                <w:sz w:val="20"/>
              </w:rPr>
              <w:t>8</w:t>
            </w:r>
          </w:p>
        </w:tc>
        <w:tc>
          <w:tcPr>
            <w:tcW w:w="456" w:type="dxa"/>
            <w:tcBorders>
              <w:top w:val="nil"/>
              <w:left w:val="single" w:sz="4" w:space="0" w:color="auto"/>
              <w:bottom w:val="single" w:sz="4" w:space="0" w:color="auto"/>
              <w:right w:val="single" w:sz="4" w:space="0" w:color="auto"/>
            </w:tcBorders>
            <w:vAlign w:val="center"/>
          </w:tcPr>
          <w:p w:rsidR="00C81B24" w:rsidRPr="00C81B24" w:rsidRDefault="00C81B24" w:rsidP="00CE5850">
            <w:pPr>
              <w:rPr>
                <w:sz w:val="20"/>
              </w:rPr>
            </w:pPr>
            <w:r w:rsidRPr="00C81B24">
              <w:rPr>
                <w:sz w:val="20"/>
              </w:rPr>
              <w:t>20</w:t>
            </w:r>
          </w:p>
        </w:tc>
        <w:tc>
          <w:tcPr>
            <w:tcW w:w="4012" w:type="dxa"/>
            <w:tcBorders>
              <w:top w:val="nil"/>
              <w:left w:val="nil"/>
              <w:bottom w:val="single" w:sz="4" w:space="0" w:color="auto"/>
              <w:right w:val="single" w:sz="4" w:space="0" w:color="auto"/>
            </w:tcBorders>
            <w:vAlign w:val="center"/>
          </w:tcPr>
          <w:p w:rsidR="00C81B24" w:rsidRPr="00C81B24" w:rsidRDefault="00C81B24" w:rsidP="00CE5850">
            <w:pPr>
              <w:rPr>
                <w:sz w:val="20"/>
              </w:rPr>
            </w:pPr>
            <w:r w:rsidRPr="00C81B24">
              <w:rPr>
                <w:sz w:val="20"/>
              </w:rPr>
              <w:t>Norfolk-Virginia Beach-Newport News, VA-NC</w:t>
            </w:r>
          </w:p>
        </w:tc>
        <w:tc>
          <w:tcPr>
            <w:tcW w:w="1102"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1,935,635</w:t>
            </w:r>
          </w:p>
        </w:tc>
        <w:tc>
          <w:tcPr>
            <w:tcW w:w="1155"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1,835,870</w:t>
            </w:r>
          </w:p>
        </w:tc>
        <w:tc>
          <w:tcPr>
            <w:tcW w:w="979"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105%</w:t>
            </w:r>
          </w:p>
        </w:tc>
        <w:tc>
          <w:tcPr>
            <w:tcW w:w="635" w:type="dxa"/>
            <w:tcBorders>
              <w:top w:val="nil"/>
              <w:left w:val="nil"/>
              <w:bottom w:val="single" w:sz="4" w:space="0" w:color="auto"/>
              <w:right w:val="single" w:sz="4" w:space="0" w:color="auto"/>
            </w:tcBorders>
            <w:noWrap/>
            <w:vAlign w:val="bottom"/>
          </w:tcPr>
          <w:p w:rsidR="00C81B24" w:rsidRPr="00C81B24" w:rsidRDefault="00C81B24" w:rsidP="00CE5850">
            <w:pPr>
              <w:rPr>
                <w:sz w:val="20"/>
              </w:rPr>
            </w:pPr>
            <w:r w:rsidRPr="00C81B24">
              <w:rPr>
                <w:sz w:val="20"/>
              </w:rPr>
              <w:t>2795</w:t>
            </w:r>
          </w:p>
        </w:tc>
        <w:tc>
          <w:tcPr>
            <w:tcW w:w="536"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2760</w:t>
            </w:r>
          </w:p>
        </w:tc>
        <w:tc>
          <w:tcPr>
            <w:tcW w:w="736"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332.78</w:t>
            </w:r>
          </w:p>
        </w:tc>
      </w:tr>
      <w:tr w:rsidR="00C81B24" w:rsidRPr="00C81B24" w:rsidTr="00526AD9">
        <w:trPr>
          <w:trHeight w:val="255"/>
          <w:jc w:val="center"/>
        </w:trPr>
        <w:tc>
          <w:tcPr>
            <w:tcW w:w="554" w:type="dxa"/>
            <w:tcBorders>
              <w:top w:val="nil"/>
              <w:left w:val="single" w:sz="4" w:space="0" w:color="auto"/>
              <w:bottom w:val="single" w:sz="4" w:space="0" w:color="auto"/>
              <w:right w:val="single" w:sz="4" w:space="0" w:color="auto"/>
            </w:tcBorders>
            <w:vAlign w:val="bottom"/>
          </w:tcPr>
          <w:p w:rsidR="00C81B24" w:rsidRPr="00C81B24" w:rsidRDefault="00C81B24" w:rsidP="00CE5850">
            <w:pPr>
              <w:rPr>
                <w:sz w:val="20"/>
              </w:rPr>
            </w:pPr>
            <w:r w:rsidRPr="00C81B24">
              <w:rPr>
                <w:sz w:val="20"/>
              </w:rPr>
              <w:t>9</w:t>
            </w:r>
          </w:p>
        </w:tc>
        <w:tc>
          <w:tcPr>
            <w:tcW w:w="456" w:type="dxa"/>
            <w:tcBorders>
              <w:top w:val="nil"/>
              <w:left w:val="single" w:sz="4" w:space="0" w:color="auto"/>
              <w:bottom w:val="single" w:sz="4" w:space="0" w:color="auto"/>
              <w:right w:val="single" w:sz="4" w:space="0" w:color="auto"/>
            </w:tcBorders>
            <w:vAlign w:val="center"/>
          </w:tcPr>
          <w:p w:rsidR="00C81B24" w:rsidRPr="00C81B24" w:rsidRDefault="00C81B24" w:rsidP="00CE5850">
            <w:pPr>
              <w:rPr>
                <w:sz w:val="20"/>
              </w:rPr>
            </w:pPr>
            <w:r w:rsidRPr="00C81B24">
              <w:rPr>
                <w:sz w:val="20"/>
              </w:rPr>
              <w:t>10</w:t>
            </w:r>
          </w:p>
        </w:tc>
        <w:tc>
          <w:tcPr>
            <w:tcW w:w="4012" w:type="dxa"/>
            <w:tcBorders>
              <w:top w:val="nil"/>
              <w:left w:val="nil"/>
              <w:bottom w:val="single" w:sz="4" w:space="0" w:color="auto"/>
              <w:right w:val="single" w:sz="4" w:space="0" w:color="auto"/>
            </w:tcBorders>
            <w:vAlign w:val="center"/>
          </w:tcPr>
          <w:p w:rsidR="00C81B24" w:rsidRPr="00C81B24" w:rsidRDefault="00C81B24" w:rsidP="00CE5850">
            <w:pPr>
              <w:rPr>
                <w:sz w:val="20"/>
              </w:rPr>
            </w:pPr>
            <w:r w:rsidRPr="00C81B24">
              <w:rPr>
                <w:sz w:val="20"/>
              </w:rPr>
              <w:t>New York-North New Jersey-Long Island, NY-NJ-CT-PA</w:t>
            </w:r>
          </w:p>
        </w:tc>
        <w:tc>
          <w:tcPr>
            <w:tcW w:w="1102"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27,618,277</w:t>
            </w:r>
          </w:p>
        </w:tc>
        <w:tc>
          <w:tcPr>
            <w:tcW w:w="1155"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26,663,330</w:t>
            </w:r>
          </w:p>
        </w:tc>
        <w:tc>
          <w:tcPr>
            <w:tcW w:w="979"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104%</w:t>
            </w:r>
          </w:p>
        </w:tc>
        <w:tc>
          <w:tcPr>
            <w:tcW w:w="635" w:type="dxa"/>
            <w:tcBorders>
              <w:top w:val="nil"/>
              <w:left w:val="nil"/>
              <w:bottom w:val="single" w:sz="4" w:space="0" w:color="auto"/>
              <w:right w:val="single" w:sz="4" w:space="0" w:color="auto"/>
            </w:tcBorders>
            <w:noWrap/>
            <w:vAlign w:val="bottom"/>
          </w:tcPr>
          <w:p w:rsidR="00C81B24" w:rsidRPr="00C81B24" w:rsidRDefault="00C81B24" w:rsidP="00CE5850">
            <w:pPr>
              <w:rPr>
                <w:sz w:val="20"/>
              </w:rPr>
            </w:pPr>
            <w:r w:rsidRPr="00C81B24">
              <w:rPr>
                <w:sz w:val="20"/>
              </w:rPr>
              <w:t>2549</w:t>
            </w:r>
          </w:p>
        </w:tc>
        <w:tc>
          <w:tcPr>
            <w:tcW w:w="536"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2556</w:t>
            </w:r>
          </w:p>
        </w:tc>
        <w:tc>
          <w:tcPr>
            <w:tcW w:w="736"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962.03</w:t>
            </w:r>
          </w:p>
        </w:tc>
      </w:tr>
      <w:tr w:rsidR="00C81B24" w:rsidRPr="00C81B24" w:rsidTr="00526AD9">
        <w:trPr>
          <w:trHeight w:val="255"/>
          <w:jc w:val="center"/>
        </w:trPr>
        <w:tc>
          <w:tcPr>
            <w:tcW w:w="554" w:type="dxa"/>
            <w:tcBorders>
              <w:top w:val="nil"/>
              <w:left w:val="single" w:sz="4" w:space="0" w:color="auto"/>
              <w:bottom w:val="single" w:sz="4" w:space="0" w:color="auto"/>
              <w:right w:val="single" w:sz="4" w:space="0" w:color="auto"/>
            </w:tcBorders>
            <w:vAlign w:val="bottom"/>
          </w:tcPr>
          <w:p w:rsidR="00C81B24" w:rsidRPr="00C81B24" w:rsidRDefault="00C81B24" w:rsidP="00CE5850">
            <w:pPr>
              <w:rPr>
                <w:sz w:val="20"/>
              </w:rPr>
            </w:pPr>
            <w:r w:rsidRPr="00C81B24">
              <w:rPr>
                <w:sz w:val="20"/>
              </w:rPr>
              <w:t>10</w:t>
            </w:r>
          </w:p>
        </w:tc>
        <w:tc>
          <w:tcPr>
            <w:tcW w:w="456" w:type="dxa"/>
            <w:tcBorders>
              <w:top w:val="nil"/>
              <w:left w:val="single" w:sz="4" w:space="0" w:color="auto"/>
              <w:bottom w:val="single" w:sz="4" w:space="0" w:color="auto"/>
              <w:right w:val="single" w:sz="4" w:space="0" w:color="auto"/>
            </w:tcBorders>
            <w:vAlign w:val="center"/>
          </w:tcPr>
          <w:p w:rsidR="00C81B24" w:rsidRPr="00C81B24" w:rsidRDefault="00C81B24" w:rsidP="00CE5850">
            <w:pPr>
              <w:rPr>
                <w:sz w:val="20"/>
              </w:rPr>
            </w:pPr>
            <w:r w:rsidRPr="00C81B24">
              <w:rPr>
                <w:sz w:val="20"/>
              </w:rPr>
              <w:t>44</w:t>
            </w:r>
          </w:p>
        </w:tc>
        <w:tc>
          <w:tcPr>
            <w:tcW w:w="4012" w:type="dxa"/>
            <w:tcBorders>
              <w:top w:val="nil"/>
              <w:left w:val="nil"/>
              <w:bottom w:val="single" w:sz="4" w:space="0" w:color="auto"/>
              <w:right w:val="single" w:sz="4" w:space="0" w:color="auto"/>
            </w:tcBorders>
            <w:vAlign w:val="center"/>
          </w:tcPr>
          <w:p w:rsidR="00C81B24" w:rsidRPr="00C81B24" w:rsidRDefault="00C81B24" w:rsidP="00CE5850">
            <w:pPr>
              <w:rPr>
                <w:sz w:val="20"/>
              </w:rPr>
            </w:pPr>
            <w:r w:rsidRPr="00C81B24">
              <w:rPr>
                <w:sz w:val="20"/>
              </w:rPr>
              <w:t>Knoxville, TN</w:t>
            </w:r>
          </w:p>
        </w:tc>
        <w:tc>
          <w:tcPr>
            <w:tcW w:w="1102"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1,155,704</w:t>
            </w:r>
          </w:p>
        </w:tc>
        <w:tc>
          <w:tcPr>
            <w:tcW w:w="1155"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1,106,120</w:t>
            </w:r>
          </w:p>
        </w:tc>
        <w:tc>
          <w:tcPr>
            <w:tcW w:w="979"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104%</w:t>
            </w:r>
          </w:p>
        </w:tc>
        <w:tc>
          <w:tcPr>
            <w:tcW w:w="635" w:type="dxa"/>
            <w:tcBorders>
              <w:top w:val="nil"/>
              <w:left w:val="nil"/>
              <w:bottom w:val="single" w:sz="4" w:space="0" w:color="auto"/>
              <w:right w:val="single" w:sz="4" w:space="0" w:color="auto"/>
            </w:tcBorders>
            <w:noWrap/>
            <w:vAlign w:val="bottom"/>
          </w:tcPr>
          <w:p w:rsidR="00C81B24" w:rsidRPr="00C81B24" w:rsidRDefault="00C81B24" w:rsidP="00CE5850">
            <w:pPr>
              <w:rPr>
                <w:sz w:val="20"/>
              </w:rPr>
            </w:pPr>
            <w:r w:rsidRPr="00C81B24">
              <w:rPr>
                <w:sz w:val="20"/>
              </w:rPr>
              <w:t>2681</w:t>
            </w:r>
          </w:p>
        </w:tc>
        <w:tc>
          <w:tcPr>
            <w:tcW w:w="536"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2713</w:t>
            </w:r>
          </w:p>
        </w:tc>
        <w:tc>
          <w:tcPr>
            <w:tcW w:w="736"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193.46</w:t>
            </w:r>
          </w:p>
        </w:tc>
      </w:tr>
      <w:tr w:rsidR="00C81B24" w:rsidRPr="00C81B24" w:rsidTr="00526AD9">
        <w:trPr>
          <w:trHeight w:val="255"/>
          <w:jc w:val="center"/>
        </w:trPr>
        <w:tc>
          <w:tcPr>
            <w:tcW w:w="554" w:type="dxa"/>
            <w:tcBorders>
              <w:top w:val="nil"/>
              <w:left w:val="single" w:sz="4" w:space="0" w:color="auto"/>
              <w:bottom w:val="single" w:sz="4" w:space="0" w:color="auto"/>
              <w:right w:val="single" w:sz="4" w:space="0" w:color="auto"/>
            </w:tcBorders>
            <w:vAlign w:val="bottom"/>
          </w:tcPr>
          <w:p w:rsidR="00C81B24" w:rsidRPr="00C81B24" w:rsidRDefault="00C81B24" w:rsidP="00CE5850">
            <w:pPr>
              <w:rPr>
                <w:sz w:val="20"/>
              </w:rPr>
            </w:pPr>
            <w:r w:rsidRPr="00C81B24">
              <w:rPr>
                <w:sz w:val="20"/>
              </w:rPr>
              <w:t>11</w:t>
            </w:r>
          </w:p>
        </w:tc>
        <w:tc>
          <w:tcPr>
            <w:tcW w:w="456" w:type="dxa"/>
            <w:tcBorders>
              <w:top w:val="nil"/>
              <w:left w:val="single" w:sz="4" w:space="0" w:color="auto"/>
              <w:bottom w:val="single" w:sz="4" w:space="0" w:color="auto"/>
              <w:right w:val="single" w:sz="4" w:space="0" w:color="auto"/>
            </w:tcBorders>
            <w:vAlign w:val="center"/>
          </w:tcPr>
          <w:p w:rsidR="00C81B24" w:rsidRPr="00C81B24" w:rsidRDefault="00C81B24" w:rsidP="00CE5850">
            <w:pPr>
              <w:rPr>
                <w:sz w:val="20"/>
              </w:rPr>
            </w:pPr>
            <w:r w:rsidRPr="00C81B24">
              <w:rPr>
                <w:sz w:val="20"/>
              </w:rPr>
              <w:t>85</w:t>
            </w:r>
          </w:p>
        </w:tc>
        <w:tc>
          <w:tcPr>
            <w:tcW w:w="4012" w:type="dxa"/>
            <w:tcBorders>
              <w:top w:val="nil"/>
              <w:left w:val="nil"/>
              <w:bottom w:val="single" w:sz="4" w:space="0" w:color="auto"/>
              <w:right w:val="single" w:sz="4" w:space="0" w:color="auto"/>
            </w:tcBorders>
            <w:vAlign w:val="center"/>
          </w:tcPr>
          <w:p w:rsidR="00C81B24" w:rsidRPr="00C81B24" w:rsidRDefault="00C81B24" w:rsidP="00CE5850">
            <w:pPr>
              <w:rPr>
                <w:sz w:val="20"/>
              </w:rPr>
            </w:pPr>
            <w:r w:rsidRPr="00C81B24">
              <w:rPr>
                <w:sz w:val="20"/>
              </w:rPr>
              <w:t>Lafayette, LA</w:t>
            </w:r>
          </w:p>
        </w:tc>
        <w:tc>
          <w:tcPr>
            <w:tcW w:w="1102"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663,359</w:t>
            </w:r>
          </w:p>
        </w:tc>
        <w:tc>
          <w:tcPr>
            <w:tcW w:w="1155"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638,768</w:t>
            </w:r>
          </w:p>
        </w:tc>
        <w:tc>
          <w:tcPr>
            <w:tcW w:w="979"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104%</w:t>
            </w:r>
          </w:p>
        </w:tc>
        <w:tc>
          <w:tcPr>
            <w:tcW w:w="635" w:type="dxa"/>
            <w:tcBorders>
              <w:top w:val="nil"/>
              <w:left w:val="nil"/>
              <w:bottom w:val="single" w:sz="4" w:space="0" w:color="auto"/>
              <w:right w:val="single" w:sz="4" w:space="0" w:color="auto"/>
            </w:tcBorders>
            <w:noWrap/>
            <w:vAlign w:val="bottom"/>
          </w:tcPr>
          <w:p w:rsidR="00C81B24" w:rsidRPr="00C81B24" w:rsidRDefault="00C81B24" w:rsidP="00CE5850">
            <w:pPr>
              <w:rPr>
                <w:sz w:val="20"/>
              </w:rPr>
            </w:pPr>
            <w:r w:rsidRPr="00C81B24">
              <w:rPr>
                <w:sz w:val="20"/>
              </w:rPr>
              <w:t>5230</w:t>
            </w:r>
          </w:p>
        </w:tc>
        <w:tc>
          <w:tcPr>
            <w:tcW w:w="536"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4703</w:t>
            </w:r>
          </w:p>
        </w:tc>
        <w:tc>
          <w:tcPr>
            <w:tcW w:w="736"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115.08</w:t>
            </w:r>
          </w:p>
        </w:tc>
      </w:tr>
      <w:tr w:rsidR="00C81B24" w:rsidRPr="00C81B24" w:rsidTr="00526AD9">
        <w:trPr>
          <w:trHeight w:val="255"/>
          <w:jc w:val="center"/>
        </w:trPr>
        <w:tc>
          <w:tcPr>
            <w:tcW w:w="554" w:type="dxa"/>
            <w:tcBorders>
              <w:top w:val="nil"/>
              <w:left w:val="single" w:sz="4" w:space="0" w:color="auto"/>
              <w:bottom w:val="single" w:sz="4" w:space="0" w:color="auto"/>
              <w:right w:val="single" w:sz="4" w:space="0" w:color="auto"/>
            </w:tcBorders>
            <w:vAlign w:val="bottom"/>
          </w:tcPr>
          <w:p w:rsidR="00C81B24" w:rsidRPr="00C81B24" w:rsidRDefault="00C81B24" w:rsidP="00CE5850">
            <w:pPr>
              <w:rPr>
                <w:sz w:val="20"/>
              </w:rPr>
            </w:pPr>
            <w:r w:rsidRPr="00C81B24">
              <w:rPr>
                <w:sz w:val="20"/>
              </w:rPr>
              <w:t>12</w:t>
            </w:r>
          </w:p>
        </w:tc>
        <w:tc>
          <w:tcPr>
            <w:tcW w:w="456" w:type="dxa"/>
            <w:tcBorders>
              <w:top w:val="nil"/>
              <w:left w:val="single" w:sz="4" w:space="0" w:color="auto"/>
              <w:bottom w:val="single" w:sz="4" w:space="0" w:color="auto"/>
              <w:right w:val="single" w:sz="4" w:space="0" w:color="auto"/>
            </w:tcBorders>
            <w:vAlign w:val="center"/>
          </w:tcPr>
          <w:p w:rsidR="00C81B24" w:rsidRPr="00C81B24" w:rsidRDefault="00C81B24" w:rsidP="00CE5850">
            <w:pPr>
              <w:rPr>
                <w:sz w:val="20"/>
              </w:rPr>
            </w:pPr>
            <w:r w:rsidRPr="00C81B24">
              <w:rPr>
                <w:sz w:val="20"/>
              </w:rPr>
              <w:t>90</w:t>
            </w:r>
          </w:p>
        </w:tc>
        <w:tc>
          <w:tcPr>
            <w:tcW w:w="4012" w:type="dxa"/>
            <w:tcBorders>
              <w:top w:val="nil"/>
              <w:left w:val="nil"/>
              <w:bottom w:val="single" w:sz="4" w:space="0" w:color="auto"/>
              <w:right w:val="single" w:sz="4" w:space="0" w:color="auto"/>
            </w:tcBorders>
            <w:vAlign w:val="center"/>
          </w:tcPr>
          <w:p w:rsidR="00C81B24" w:rsidRPr="00C81B24" w:rsidRDefault="00C81B24" w:rsidP="00CE5850">
            <w:pPr>
              <w:rPr>
                <w:sz w:val="20"/>
              </w:rPr>
            </w:pPr>
            <w:r w:rsidRPr="00C81B24">
              <w:rPr>
                <w:sz w:val="20"/>
              </w:rPr>
              <w:t>Little Rock-North Little Rock, AR</w:t>
            </w:r>
          </w:p>
        </w:tc>
        <w:tc>
          <w:tcPr>
            <w:tcW w:w="1102"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1,788,778</w:t>
            </w:r>
          </w:p>
        </w:tc>
        <w:tc>
          <w:tcPr>
            <w:tcW w:w="1155"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1,719,570</w:t>
            </w:r>
          </w:p>
        </w:tc>
        <w:tc>
          <w:tcPr>
            <w:tcW w:w="979"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104%</w:t>
            </w:r>
          </w:p>
        </w:tc>
        <w:tc>
          <w:tcPr>
            <w:tcW w:w="635" w:type="dxa"/>
            <w:tcBorders>
              <w:top w:val="nil"/>
              <w:left w:val="nil"/>
              <w:bottom w:val="single" w:sz="4" w:space="0" w:color="auto"/>
              <w:right w:val="single" w:sz="4" w:space="0" w:color="auto"/>
            </w:tcBorders>
            <w:noWrap/>
            <w:vAlign w:val="bottom"/>
          </w:tcPr>
          <w:p w:rsidR="00C81B24" w:rsidRPr="00C81B24" w:rsidRDefault="00C81B24" w:rsidP="00CE5850">
            <w:pPr>
              <w:rPr>
                <w:sz w:val="20"/>
              </w:rPr>
            </w:pPr>
            <w:r w:rsidRPr="00C81B24">
              <w:rPr>
                <w:sz w:val="20"/>
              </w:rPr>
              <w:t>4002</w:t>
            </w:r>
          </w:p>
        </w:tc>
        <w:tc>
          <w:tcPr>
            <w:tcW w:w="536"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4174</w:t>
            </w:r>
          </w:p>
        </w:tc>
        <w:tc>
          <w:tcPr>
            <w:tcW w:w="736"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50.25</w:t>
            </w:r>
          </w:p>
        </w:tc>
      </w:tr>
      <w:tr w:rsidR="00C81B24" w:rsidRPr="00C81B24" w:rsidTr="00526AD9">
        <w:trPr>
          <w:trHeight w:val="255"/>
          <w:jc w:val="center"/>
        </w:trPr>
        <w:tc>
          <w:tcPr>
            <w:tcW w:w="554" w:type="dxa"/>
            <w:tcBorders>
              <w:top w:val="nil"/>
              <w:left w:val="single" w:sz="4" w:space="0" w:color="auto"/>
              <w:bottom w:val="single" w:sz="4" w:space="0" w:color="auto"/>
              <w:right w:val="single" w:sz="4" w:space="0" w:color="auto"/>
            </w:tcBorders>
            <w:vAlign w:val="bottom"/>
          </w:tcPr>
          <w:p w:rsidR="00C81B24" w:rsidRPr="00C81B24" w:rsidRDefault="00C81B24" w:rsidP="00CE5850">
            <w:pPr>
              <w:rPr>
                <w:sz w:val="20"/>
              </w:rPr>
            </w:pPr>
            <w:r w:rsidRPr="00C81B24">
              <w:rPr>
                <w:sz w:val="20"/>
              </w:rPr>
              <w:t>13</w:t>
            </w:r>
          </w:p>
        </w:tc>
        <w:tc>
          <w:tcPr>
            <w:tcW w:w="456" w:type="dxa"/>
            <w:tcBorders>
              <w:top w:val="nil"/>
              <w:left w:val="single" w:sz="4" w:space="0" w:color="auto"/>
              <w:bottom w:val="single" w:sz="4" w:space="0" w:color="auto"/>
              <w:right w:val="single" w:sz="4" w:space="0" w:color="auto"/>
            </w:tcBorders>
            <w:vAlign w:val="center"/>
          </w:tcPr>
          <w:p w:rsidR="00C81B24" w:rsidRPr="00C81B24" w:rsidRDefault="00C81B24" w:rsidP="00CE5850">
            <w:pPr>
              <w:rPr>
                <w:sz w:val="20"/>
              </w:rPr>
            </w:pPr>
            <w:r w:rsidRPr="00C81B24">
              <w:rPr>
                <w:sz w:val="20"/>
              </w:rPr>
              <w:t>97</w:t>
            </w:r>
          </w:p>
        </w:tc>
        <w:tc>
          <w:tcPr>
            <w:tcW w:w="4012" w:type="dxa"/>
            <w:tcBorders>
              <w:top w:val="nil"/>
              <w:left w:val="nil"/>
              <w:bottom w:val="single" w:sz="4" w:space="0" w:color="auto"/>
              <w:right w:val="single" w:sz="4" w:space="0" w:color="auto"/>
            </w:tcBorders>
            <w:vAlign w:val="center"/>
          </w:tcPr>
          <w:p w:rsidR="00C81B24" w:rsidRPr="00C81B24" w:rsidRDefault="00C81B24" w:rsidP="00CE5850">
            <w:pPr>
              <w:rPr>
                <w:sz w:val="20"/>
              </w:rPr>
            </w:pPr>
            <w:r w:rsidRPr="00C81B24">
              <w:rPr>
                <w:sz w:val="20"/>
              </w:rPr>
              <w:t>Springfield, IL-MO</w:t>
            </w:r>
          </w:p>
        </w:tc>
        <w:tc>
          <w:tcPr>
            <w:tcW w:w="1102"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539,422</w:t>
            </w:r>
          </w:p>
        </w:tc>
        <w:tc>
          <w:tcPr>
            <w:tcW w:w="1155"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520,982</w:t>
            </w:r>
          </w:p>
        </w:tc>
        <w:tc>
          <w:tcPr>
            <w:tcW w:w="979"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104%</w:t>
            </w:r>
          </w:p>
        </w:tc>
        <w:tc>
          <w:tcPr>
            <w:tcW w:w="635" w:type="dxa"/>
            <w:tcBorders>
              <w:top w:val="nil"/>
              <w:left w:val="nil"/>
              <w:bottom w:val="single" w:sz="4" w:space="0" w:color="auto"/>
              <w:right w:val="single" w:sz="4" w:space="0" w:color="auto"/>
            </w:tcBorders>
            <w:noWrap/>
            <w:vAlign w:val="bottom"/>
          </w:tcPr>
          <w:p w:rsidR="00C81B24" w:rsidRPr="00C81B24" w:rsidRDefault="00C81B24" w:rsidP="00CE5850">
            <w:pPr>
              <w:rPr>
                <w:sz w:val="20"/>
              </w:rPr>
            </w:pPr>
            <w:r w:rsidRPr="00C81B24">
              <w:rPr>
                <w:sz w:val="20"/>
              </w:rPr>
              <w:t>3754</w:t>
            </w:r>
          </w:p>
        </w:tc>
        <w:tc>
          <w:tcPr>
            <w:tcW w:w="536"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3824</w:t>
            </w:r>
          </w:p>
        </w:tc>
        <w:tc>
          <w:tcPr>
            <w:tcW w:w="736"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59.25</w:t>
            </w:r>
          </w:p>
        </w:tc>
      </w:tr>
      <w:tr w:rsidR="00C81B24" w:rsidRPr="00C81B24" w:rsidTr="00526AD9">
        <w:trPr>
          <w:trHeight w:val="255"/>
          <w:jc w:val="center"/>
        </w:trPr>
        <w:tc>
          <w:tcPr>
            <w:tcW w:w="554" w:type="dxa"/>
            <w:tcBorders>
              <w:top w:val="nil"/>
              <w:left w:val="single" w:sz="4" w:space="0" w:color="auto"/>
              <w:bottom w:val="single" w:sz="4" w:space="0" w:color="auto"/>
              <w:right w:val="single" w:sz="4" w:space="0" w:color="auto"/>
            </w:tcBorders>
            <w:vAlign w:val="bottom"/>
          </w:tcPr>
          <w:p w:rsidR="00C81B24" w:rsidRPr="00C81B24" w:rsidRDefault="00C81B24" w:rsidP="00CE5850">
            <w:pPr>
              <w:rPr>
                <w:sz w:val="20"/>
              </w:rPr>
            </w:pPr>
            <w:r w:rsidRPr="00C81B24">
              <w:rPr>
                <w:sz w:val="20"/>
              </w:rPr>
              <w:t>14</w:t>
            </w:r>
          </w:p>
        </w:tc>
        <w:tc>
          <w:tcPr>
            <w:tcW w:w="456" w:type="dxa"/>
            <w:tcBorders>
              <w:top w:val="nil"/>
              <w:left w:val="single" w:sz="4" w:space="0" w:color="auto"/>
              <w:bottom w:val="single" w:sz="4" w:space="0" w:color="auto"/>
              <w:right w:val="single" w:sz="4" w:space="0" w:color="auto"/>
            </w:tcBorders>
            <w:vAlign w:val="center"/>
          </w:tcPr>
          <w:p w:rsidR="00C81B24" w:rsidRPr="00C81B24" w:rsidRDefault="00C81B24" w:rsidP="00CE5850">
            <w:pPr>
              <w:rPr>
                <w:sz w:val="20"/>
              </w:rPr>
            </w:pPr>
            <w:r w:rsidRPr="00C81B24">
              <w:rPr>
                <w:sz w:val="20"/>
              </w:rPr>
              <w:t>55</w:t>
            </w:r>
          </w:p>
        </w:tc>
        <w:tc>
          <w:tcPr>
            <w:tcW w:w="4012" w:type="dxa"/>
            <w:tcBorders>
              <w:top w:val="nil"/>
              <w:left w:val="nil"/>
              <w:bottom w:val="single" w:sz="4" w:space="0" w:color="auto"/>
              <w:right w:val="single" w:sz="4" w:space="0" w:color="auto"/>
            </w:tcBorders>
            <w:vAlign w:val="center"/>
          </w:tcPr>
          <w:p w:rsidR="00C81B24" w:rsidRPr="00C81B24" w:rsidRDefault="00C81B24" w:rsidP="00CE5850">
            <w:pPr>
              <w:rPr>
                <w:sz w:val="20"/>
              </w:rPr>
            </w:pPr>
            <w:r w:rsidRPr="00C81B24">
              <w:rPr>
                <w:sz w:val="20"/>
              </w:rPr>
              <w:t>Cleveland-Akron, OH-PA</w:t>
            </w:r>
          </w:p>
        </w:tc>
        <w:tc>
          <w:tcPr>
            <w:tcW w:w="1102"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4,715,781</w:t>
            </w:r>
          </w:p>
        </w:tc>
        <w:tc>
          <w:tcPr>
            <w:tcW w:w="1155"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4,583,408</w:t>
            </w:r>
          </w:p>
        </w:tc>
        <w:tc>
          <w:tcPr>
            <w:tcW w:w="979"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103%</w:t>
            </w:r>
          </w:p>
        </w:tc>
        <w:tc>
          <w:tcPr>
            <w:tcW w:w="635" w:type="dxa"/>
            <w:tcBorders>
              <w:top w:val="nil"/>
              <w:left w:val="nil"/>
              <w:bottom w:val="single" w:sz="4" w:space="0" w:color="auto"/>
              <w:right w:val="single" w:sz="4" w:space="0" w:color="auto"/>
            </w:tcBorders>
            <w:noWrap/>
            <w:vAlign w:val="bottom"/>
          </w:tcPr>
          <w:p w:rsidR="00C81B24" w:rsidRPr="00C81B24" w:rsidRDefault="00C81B24" w:rsidP="00CE5850">
            <w:pPr>
              <w:rPr>
                <w:sz w:val="20"/>
              </w:rPr>
            </w:pPr>
            <w:r w:rsidRPr="00C81B24">
              <w:rPr>
                <w:sz w:val="20"/>
              </w:rPr>
              <w:t>3905</w:t>
            </w:r>
          </w:p>
        </w:tc>
        <w:tc>
          <w:tcPr>
            <w:tcW w:w="536"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3763</w:t>
            </w:r>
          </w:p>
        </w:tc>
        <w:tc>
          <w:tcPr>
            <w:tcW w:w="736"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423.84</w:t>
            </w:r>
          </w:p>
        </w:tc>
      </w:tr>
      <w:tr w:rsidR="00C81B24" w:rsidRPr="00C81B24" w:rsidTr="00526AD9">
        <w:trPr>
          <w:trHeight w:val="255"/>
          <w:jc w:val="center"/>
        </w:trPr>
        <w:tc>
          <w:tcPr>
            <w:tcW w:w="554" w:type="dxa"/>
            <w:tcBorders>
              <w:top w:val="nil"/>
              <w:left w:val="single" w:sz="4" w:space="0" w:color="auto"/>
              <w:bottom w:val="single" w:sz="4" w:space="0" w:color="auto"/>
              <w:right w:val="single" w:sz="4" w:space="0" w:color="auto"/>
            </w:tcBorders>
            <w:vAlign w:val="bottom"/>
          </w:tcPr>
          <w:p w:rsidR="00C81B24" w:rsidRPr="00C81B24" w:rsidRDefault="00C81B24" w:rsidP="00CE5850">
            <w:pPr>
              <w:rPr>
                <w:sz w:val="20"/>
              </w:rPr>
            </w:pPr>
            <w:r w:rsidRPr="00C81B24">
              <w:rPr>
                <w:sz w:val="20"/>
              </w:rPr>
              <w:t>15</w:t>
            </w:r>
          </w:p>
        </w:tc>
        <w:tc>
          <w:tcPr>
            <w:tcW w:w="456" w:type="dxa"/>
            <w:tcBorders>
              <w:top w:val="nil"/>
              <w:left w:val="single" w:sz="4" w:space="0" w:color="auto"/>
              <w:bottom w:val="single" w:sz="4" w:space="0" w:color="auto"/>
              <w:right w:val="single" w:sz="4" w:space="0" w:color="auto"/>
            </w:tcBorders>
            <w:vAlign w:val="center"/>
          </w:tcPr>
          <w:p w:rsidR="00C81B24" w:rsidRPr="00C81B24" w:rsidRDefault="00C81B24" w:rsidP="00CE5850">
            <w:pPr>
              <w:rPr>
                <w:sz w:val="20"/>
              </w:rPr>
            </w:pPr>
            <w:r w:rsidRPr="00C81B24">
              <w:rPr>
                <w:sz w:val="20"/>
              </w:rPr>
              <w:t>74</w:t>
            </w:r>
          </w:p>
        </w:tc>
        <w:tc>
          <w:tcPr>
            <w:tcW w:w="4012" w:type="dxa"/>
            <w:tcBorders>
              <w:top w:val="nil"/>
              <w:left w:val="nil"/>
              <w:bottom w:val="single" w:sz="4" w:space="0" w:color="auto"/>
              <w:right w:val="single" w:sz="4" w:space="0" w:color="auto"/>
            </w:tcBorders>
            <w:vAlign w:val="center"/>
          </w:tcPr>
          <w:p w:rsidR="00C81B24" w:rsidRPr="00C81B24" w:rsidRDefault="00C81B24" w:rsidP="00CE5850">
            <w:pPr>
              <w:rPr>
                <w:sz w:val="20"/>
              </w:rPr>
            </w:pPr>
            <w:r w:rsidRPr="00C81B24">
              <w:rPr>
                <w:sz w:val="20"/>
              </w:rPr>
              <w:t>Huntsville, AL-TN (see note 2)</w:t>
            </w:r>
          </w:p>
        </w:tc>
        <w:tc>
          <w:tcPr>
            <w:tcW w:w="1102"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1,136,200</w:t>
            </w:r>
          </w:p>
        </w:tc>
        <w:tc>
          <w:tcPr>
            <w:tcW w:w="1155"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1,105,409</w:t>
            </w:r>
          </w:p>
        </w:tc>
        <w:tc>
          <w:tcPr>
            <w:tcW w:w="979"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103%</w:t>
            </w:r>
          </w:p>
        </w:tc>
        <w:tc>
          <w:tcPr>
            <w:tcW w:w="635" w:type="dxa"/>
            <w:tcBorders>
              <w:top w:val="nil"/>
              <w:left w:val="nil"/>
              <w:bottom w:val="single" w:sz="4" w:space="0" w:color="auto"/>
              <w:right w:val="single" w:sz="4" w:space="0" w:color="auto"/>
            </w:tcBorders>
            <w:noWrap/>
            <w:vAlign w:val="bottom"/>
          </w:tcPr>
          <w:p w:rsidR="00C81B24" w:rsidRPr="00C81B24" w:rsidRDefault="00C81B24" w:rsidP="00CE5850">
            <w:pPr>
              <w:rPr>
                <w:sz w:val="20"/>
              </w:rPr>
            </w:pPr>
            <w:r w:rsidRPr="00C81B24">
              <w:rPr>
                <w:sz w:val="20"/>
              </w:rPr>
              <w:t>3298</w:t>
            </w:r>
          </w:p>
        </w:tc>
        <w:tc>
          <w:tcPr>
            <w:tcW w:w="536"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w:t>
            </w:r>
          </w:p>
        </w:tc>
        <w:tc>
          <w:tcPr>
            <w:tcW w:w="736"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137.29</w:t>
            </w:r>
          </w:p>
        </w:tc>
      </w:tr>
      <w:tr w:rsidR="00C81B24" w:rsidRPr="00C81B24" w:rsidTr="00526AD9">
        <w:trPr>
          <w:trHeight w:val="255"/>
          <w:jc w:val="center"/>
        </w:trPr>
        <w:tc>
          <w:tcPr>
            <w:tcW w:w="554" w:type="dxa"/>
            <w:tcBorders>
              <w:top w:val="nil"/>
              <w:left w:val="single" w:sz="4" w:space="0" w:color="auto"/>
              <w:bottom w:val="single" w:sz="4" w:space="0" w:color="auto"/>
              <w:right w:val="single" w:sz="4" w:space="0" w:color="auto"/>
            </w:tcBorders>
            <w:vAlign w:val="bottom"/>
          </w:tcPr>
          <w:p w:rsidR="00C81B24" w:rsidRPr="00C81B24" w:rsidRDefault="00C81B24" w:rsidP="00CE5850">
            <w:pPr>
              <w:rPr>
                <w:sz w:val="20"/>
              </w:rPr>
            </w:pPr>
            <w:r w:rsidRPr="00C81B24">
              <w:rPr>
                <w:sz w:val="20"/>
              </w:rPr>
              <w:t>16</w:t>
            </w:r>
          </w:p>
        </w:tc>
        <w:tc>
          <w:tcPr>
            <w:tcW w:w="456" w:type="dxa"/>
            <w:tcBorders>
              <w:top w:val="nil"/>
              <w:left w:val="single" w:sz="4" w:space="0" w:color="auto"/>
              <w:bottom w:val="single" w:sz="4" w:space="0" w:color="auto"/>
              <w:right w:val="single" w:sz="4" w:space="0" w:color="auto"/>
            </w:tcBorders>
            <w:vAlign w:val="center"/>
          </w:tcPr>
          <w:p w:rsidR="00C81B24" w:rsidRPr="00C81B24" w:rsidRDefault="00C81B24" w:rsidP="00CE5850">
            <w:pPr>
              <w:rPr>
                <w:sz w:val="20"/>
              </w:rPr>
            </w:pPr>
            <w:r w:rsidRPr="00C81B24">
              <w:rPr>
                <w:sz w:val="20"/>
              </w:rPr>
              <w:t>122</w:t>
            </w:r>
          </w:p>
        </w:tc>
        <w:tc>
          <w:tcPr>
            <w:tcW w:w="4012" w:type="dxa"/>
            <w:tcBorders>
              <w:top w:val="nil"/>
              <w:left w:val="nil"/>
              <w:bottom w:val="single" w:sz="4" w:space="0" w:color="auto"/>
              <w:right w:val="single" w:sz="4" w:space="0" w:color="auto"/>
            </w:tcBorders>
            <w:vAlign w:val="center"/>
          </w:tcPr>
          <w:p w:rsidR="00C81B24" w:rsidRPr="00C81B24" w:rsidRDefault="00C81B24" w:rsidP="00CE5850">
            <w:pPr>
              <w:rPr>
                <w:sz w:val="20"/>
              </w:rPr>
            </w:pPr>
            <w:r w:rsidRPr="00C81B24">
              <w:rPr>
                <w:sz w:val="20"/>
              </w:rPr>
              <w:t>Wichita, KS-OK</w:t>
            </w:r>
          </w:p>
        </w:tc>
        <w:tc>
          <w:tcPr>
            <w:tcW w:w="1102"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1,241,722</w:t>
            </w:r>
          </w:p>
        </w:tc>
        <w:tc>
          <w:tcPr>
            <w:tcW w:w="1155"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1,210,018</w:t>
            </w:r>
          </w:p>
        </w:tc>
        <w:tc>
          <w:tcPr>
            <w:tcW w:w="979"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103%</w:t>
            </w:r>
          </w:p>
        </w:tc>
        <w:tc>
          <w:tcPr>
            <w:tcW w:w="635" w:type="dxa"/>
            <w:tcBorders>
              <w:top w:val="nil"/>
              <w:left w:val="nil"/>
              <w:bottom w:val="single" w:sz="4" w:space="0" w:color="auto"/>
              <w:right w:val="single" w:sz="4" w:space="0" w:color="auto"/>
            </w:tcBorders>
            <w:noWrap/>
            <w:vAlign w:val="bottom"/>
          </w:tcPr>
          <w:p w:rsidR="00C81B24" w:rsidRPr="00C81B24" w:rsidRDefault="00C81B24" w:rsidP="00CE5850">
            <w:pPr>
              <w:rPr>
                <w:sz w:val="20"/>
              </w:rPr>
            </w:pPr>
            <w:r w:rsidRPr="00C81B24">
              <w:rPr>
                <w:sz w:val="20"/>
              </w:rPr>
              <w:t>2837</w:t>
            </w:r>
          </w:p>
        </w:tc>
        <w:tc>
          <w:tcPr>
            <w:tcW w:w="536"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2943</w:t>
            </w:r>
          </w:p>
        </w:tc>
        <w:tc>
          <w:tcPr>
            <w:tcW w:w="736"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21.16</w:t>
            </w:r>
          </w:p>
        </w:tc>
      </w:tr>
      <w:tr w:rsidR="00C81B24" w:rsidRPr="00C81B24" w:rsidTr="00526AD9">
        <w:trPr>
          <w:trHeight w:val="255"/>
          <w:jc w:val="center"/>
        </w:trPr>
        <w:tc>
          <w:tcPr>
            <w:tcW w:w="554" w:type="dxa"/>
            <w:tcBorders>
              <w:top w:val="nil"/>
              <w:left w:val="single" w:sz="4" w:space="0" w:color="auto"/>
              <w:bottom w:val="single" w:sz="4" w:space="0" w:color="auto"/>
              <w:right w:val="single" w:sz="4" w:space="0" w:color="auto"/>
            </w:tcBorders>
            <w:vAlign w:val="bottom"/>
          </w:tcPr>
          <w:p w:rsidR="00C81B24" w:rsidRPr="00C81B24" w:rsidRDefault="00C81B24" w:rsidP="00CE5850">
            <w:pPr>
              <w:rPr>
                <w:sz w:val="20"/>
              </w:rPr>
            </w:pPr>
            <w:r w:rsidRPr="00C81B24">
              <w:rPr>
                <w:sz w:val="20"/>
              </w:rPr>
              <w:t>17</w:t>
            </w:r>
          </w:p>
        </w:tc>
        <w:tc>
          <w:tcPr>
            <w:tcW w:w="456" w:type="dxa"/>
            <w:tcBorders>
              <w:top w:val="nil"/>
              <w:left w:val="single" w:sz="4" w:space="0" w:color="auto"/>
              <w:bottom w:val="single" w:sz="4" w:space="0" w:color="auto"/>
              <w:right w:val="single" w:sz="4" w:space="0" w:color="auto"/>
            </w:tcBorders>
            <w:vAlign w:val="center"/>
          </w:tcPr>
          <w:p w:rsidR="00C81B24" w:rsidRPr="00C81B24" w:rsidRDefault="00C81B24" w:rsidP="00CE5850">
            <w:pPr>
              <w:rPr>
                <w:sz w:val="20"/>
              </w:rPr>
            </w:pPr>
            <w:r w:rsidRPr="00C81B24">
              <w:rPr>
                <w:sz w:val="20"/>
              </w:rPr>
              <w:t>87</w:t>
            </w:r>
          </w:p>
        </w:tc>
        <w:tc>
          <w:tcPr>
            <w:tcW w:w="4012" w:type="dxa"/>
            <w:tcBorders>
              <w:top w:val="nil"/>
              <w:left w:val="nil"/>
              <w:bottom w:val="single" w:sz="4" w:space="0" w:color="auto"/>
              <w:right w:val="single" w:sz="4" w:space="0" w:color="auto"/>
            </w:tcBorders>
            <w:vAlign w:val="center"/>
          </w:tcPr>
          <w:p w:rsidR="00C81B24" w:rsidRPr="00C81B24" w:rsidRDefault="00C81B24" w:rsidP="00CE5850">
            <w:pPr>
              <w:rPr>
                <w:sz w:val="20"/>
              </w:rPr>
            </w:pPr>
            <w:r w:rsidRPr="00C81B24">
              <w:rPr>
                <w:sz w:val="20"/>
              </w:rPr>
              <w:t>Beaumont-Port Arthur, TX</w:t>
            </w:r>
          </w:p>
        </w:tc>
        <w:tc>
          <w:tcPr>
            <w:tcW w:w="1102"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472,148</w:t>
            </w:r>
          </w:p>
        </w:tc>
        <w:tc>
          <w:tcPr>
            <w:tcW w:w="1155"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460,666</w:t>
            </w:r>
          </w:p>
        </w:tc>
        <w:tc>
          <w:tcPr>
            <w:tcW w:w="979"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102%</w:t>
            </w:r>
          </w:p>
        </w:tc>
        <w:tc>
          <w:tcPr>
            <w:tcW w:w="635" w:type="dxa"/>
            <w:tcBorders>
              <w:top w:val="nil"/>
              <w:left w:val="nil"/>
              <w:bottom w:val="single" w:sz="4" w:space="0" w:color="auto"/>
              <w:right w:val="single" w:sz="4" w:space="0" w:color="auto"/>
            </w:tcBorders>
            <w:noWrap/>
            <w:vAlign w:val="bottom"/>
          </w:tcPr>
          <w:p w:rsidR="00C81B24" w:rsidRPr="00C81B24" w:rsidRDefault="00C81B24" w:rsidP="00CE5850">
            <w:pPr>
              <w:rPr>
                <w:sz w:val="20"/>
              </w:rPr>
            </w:pPr>
            <w:r w:rsidRPr="00C81B24">
              <w:rPr>
                <w:sz w:val="20"/>
              </w:rPr>
              <w:t>3383</w:t>
            </w:r>
          </w:p>
        </w:tc>
        <w:tc>
          <w:tcPr>
            <w:tcW w:w="536"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3303</w:t>
            </w:r>
          </w:p>
        </w:tc>
        <w:tc>
          <w:tcPr>
            <w:tcW w:w="736"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94.06</w:t>
            </w:r>
          </w:p>
        </w:tc>
      </w:tr>
      <w:tr w:rsidR="00C81B24" w:rsidRPr="00C81B24" w:rsidTr="00526AD9">
        <w:trPr>
          <w:trHeight w:val="255"/>
          <w:jc w:val="center"/>
        </w:trPr>
        <w:tc>
          <w:tcPr>
            <w:tcW w:w="554" w:type="dxa"/>
            <w:tcBorders>
              <w:top w:val="nil"/>
              <w:left w:val="single" w:sz="4" w:space="0" w:color="auto"/>
              <w:bottom w:val="single" w:sz="4" w:space="0" w:color="auto"/>
              <w:right w:val="single" w:sz="4" w:space="0" w:color="auto"/>
            </w:tcBorders>
            <w:vAlign w:val="bottom"/>
          </w:tcPr>
          <w:p w:rsidR="00C81B24" w:rsidRPr="00C81B24" w:rsidRDefault="00C81B24" w:rsidP="00CE5850">
            <w:pPr>
              <w:rPr>
                <w:sz w:val="20"/>
              </w:rPr>
            </w:pPr>
            <w:r w:rsidRPr="00C81B24">
              <w:rPr>
                <w:sz w:val="20"/>
              </w:rPr>
              <w:t>18</w:t>
            </w:r>
          </w:p>
        </w:tc>
        <w:tc>
          <w:tcPr>
            <w:tcW w:w="456" w:type="dxa"/>
            <w:tcBorders>
              <w:top w:val="nil"/>
              <w:left w:val="single" w:sz="4" w:space="0" w:color="auto"/>
              <w:bottom w:val="single" w:sz="4" w:space="0" w:color="auto"/>
              <w:right w:val="single" w:sz="4" w:space="0" w:color="auto"/>
            </w:tcBorders>
            <w:vAlign w:val="center"/>
          </w:tcPr>
          <w:p w:rsidR="00C81B24" w:rsidRPr="00C81B24" w:rsidRDefault="00C81B24" w:rsidP="00CE5850">
            <w:pPr>
              <w:rPr>
                <w:sz w:val="20"/>
              </w:rPr>
            </w:pPr>
            <w:r w:rsidRPr="00C81B24">
              <w:rPr>
                <w:sz w:val="20"/>
              </w:rPr>
              <w:t>141</w:t>
            </w:r>
          </w:p>
        </w:tc>
        <w:tc>
          <w:tcPr>
            <w:tcW w:w="4012" w:type="dxa"/>
            <w:tcBorders>
              <w:top w:val="nil"/>
              <w:left w:val="nil"/>
              <w:bottom w:val="single" w:sz="4" w:space="0" w:color="auto"/>
              <w:right w:val="single" w:sz="4" w:space="0" w:color="auto"/>
            </w:tcBorders>
            <w:vAlign w:val="center"/>
          </w:tcPr>
          <w:p w:rsidR="00C81B24" w:rsidRPr="00C81B24" w:rsidRDefault="00C81B24" w:rsidP="00CE5850">
            <w:pPr>
              <w:rPr>
                <w:sz w:val="20"/>
              </w:rPr>
            </w:pPr>
            <w:r w:rsidRPr="00C81B24">
              <w:rPr>
                <w:sz w:val="20"/>
              </w:rPr>
              <w:t>Denver-Boulder-Greeley, CO-KS-NE</w:t>
            </w:r>
          </w:p>
        </w:tc>
        <w:tc>
          <w:tcPr>
            <w:tcW w:w="1102"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4,730,036</w:t>
            </w:r>
          </w:p>
        </w:tc>
        <w:tc>
          <w:tcPr>
            <w:tcW w:w="1155"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4,629,314</w:t>
            </w:r>
          </w:p>
        </w:tc>
        <w:tc>
          <w:tcPr>
            <w:tcW w:w="979"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102%</w:t>
            </w:r>
          </w:p>
        </w:tc>
        <w:tc>
          <w:tcPr>
            <w:tcW w:w="635" w:type="dxa"/>
            <w:tcBorders>
              <w:top w:val="nil"/>
              <w:left w:val="nil"/>
              <w:bottom w:val="single" w:sz="4" w:space="0" w:color="auto"/>
              <w:right w:val="single" w:sz="4" w:space="0" w:color="auto"/>
            </w:tcBorders>
            <w:noWrap/>
            <w:vAlign w:val="bottom"/>
          </w:tcPr>
          <w:p w:rsidR="00C81B24" w:rsidRPr="00C81B24" w:rsidRDefault="00C81B24" w:rsidP="00CE5850">
            <w:pPr>
              <w:rPr>
                <w:sz w:val="20"/>
              </w:rPr>
            </w:pPr>
            <w:r w:rsidRPr="00C81B24">
              <w:rPr>
                <w:sz w:val="20"/>
              </w:rPr>
              <w:t>2435</w:t>
            </w:r>
          </w:p>
        </w:tc>
        <w:tc>
          <w:tcPr>
            <w:tcW w:w="536"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2387</w:t>
            </w:r>
          </w:p>
        </w:tc>
        <w:tc>
          <w:tcPr>
            <w:tcW w:w="736"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61.37</w:t>
            </w:r>
          </w:p>
        </w:tc>
      </w:tr>
      <w:tr w:rsidR="00C81B24" w:rsidRPr="00C81B24" w:rsidTr="00526AD9">
        <w:trPr>
          <w:trHeight w:val="255"/>
          <w:jc w:val="center"/>
        </w:trPr>
        <w:tc>
          <w:tcPr>
            <w:tcW w:w="554" w:type="dxa"/>
            <w:tcBorders>
              <w:top w:val="nil"/>
              <w:left w:val="single" w:sz="4" w:space="0" w:color="auto"/>
              <w:bottom w:val="single" w:sz="4" w:space="0" w:color="auto"/>
              <w:right w:val="single" w:sz="4" w:space="0" w:color="auto"/>
            </w:tcBorders>
            <w:vAlign w:val="bottom"/>
          </w:tcPr>
          <w:p w:rsidR="00C81B24" w:rsidRPr="00C81B24" w:rsidRDefault="00C81B24" w:rsidP="00CE5850">
            <w:pPr>
              <w:rPr>
                <w:sz w:val="20"/>
              </w:rPr>
            </w:pPr>
            <w:r w:rsidRPr="00C81B24">
              <w:rPr>
                <w:sz w:val="20"/>
              </w:rPr>
              <w:t>19</w:t>
            </w:r>
          </w:p>
        </w:tc>
        <w:tc>
          <w:tcPr>
            <w:tcW w:w="456" w:type="dxa"/>
            <w:tcBorders>
              <w:top w:val="nil"/>
              <w:left w:val="single" w:sz="4" w:space="0" w:color="auto"/>
              <w:bottom w:val="single" w:sz="4" w:space="0" w:color="auto"/>
              <w:right w:val="single" w:sz="4" w:space="0" w:color="auto"/>
            </w:tcBorders>
            <w:vAlign w:val="center"/>
          </w:tcPr>
          <w:p w:rsidR="00C81B24" w:rsidRPr="00C81B24" w:rsidRDefault="00C81B24" w:rsidP="00CE5850">
            <w:pPr>
              <w:rPr>
                <w:sz w:val="20"/>
              </w:rPr>
            </w:pPr>
            <w:r w:rsidRPr="00C81B24">
              <w:rPr>
                <w:sz w:val="20"/>
              </w:rPr>
              <w:t>31</w:t>
            </w:r>
          </w:p>
        </w:tc>
        <w:tc>
          <w:tcPr>
            <w:tcW w:w="4012" w:type="dxa"/>
            <w:tcBorders>
              <w:top w:val="nil"/>
              <w:left w:val="nil"/>
              <w:bottom w:val="single" w:sz="4" w:space="0" w:color="auto"/>
              <w:right w:val="single" w:sz="4" w:space="0" w:color="auto"/>
            </w:tcBorders>
            <w:vAlign w:val="center"/>
          </w:tcPr>
          <w:p w:rsidR="00C81B24" w:rsidRPr="00C81B24" w:rsidRDefault="00C81B24" w:rsidP="00CE5850">
            <w:pPr>
              <w:rPr>
                <w:sz w:val="20"/>
              </w:rPr>
            </w:pPr>
            <w:r w:rsidRPr="00C81B24">
              <w:rPr>
                <w:sz w:val="20"/>
              </w:rPr>
              <w:t>Miami-Fort Lauderdale, FL</w:t>
            </w:r>
          </w:p>
        </w:tc>
        <w:tc>
          <w:tcPr>
            <w:tcW w:w="1102"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6,386,042</w:t>
            </w:r>
          </w:p>
        </w:tc>
        <w:tc>
          <w:tcPr>
            <w:tcW w:w="1155"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6,291,880</w:t>
            </w:r>
          </w:p>
        </w:tc>
        <w:tc>
          <w:tcPr>
            <w:tcW w:w="979"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101%</w:t>
            </w:r>
          </w:p>
        </w:tc>
        <w:tc>
          <w:tcPr>
            <w:tcW w:w="635" w:type="dxa"/>
            <w:tcBorders>
              <w:top w:val="nil"/>
              <w:left w:val="nil"/>
              <w:bottom w:val="single" w:sz="4" w:space="0" w:color="auto"/>
              <w:right w:val="single" w:sz="4" w:space="0" w:color="auto"/>
            </w:tcBorders>
            <w:noWrap/>
            <w:vAlign w:val="bottom"/>
          </w:tcPr>
          <w:p w:rsidR="00C81B24" w:rsidRPr="00C81B24" w:rsidRDefault="00C81B24" w:rsidP="00CE5850">
            <w:pPr>
              <w:rPr>
                <w:sz w:val="20"/>
              </w:rPr>
            </w:pPr>
            <w:r w:rsidRPr="00C81B24">
              <w:rPr>
                <w:sz w:val="20"/>
              </w:rPr>
              <w:t>2278</w:t>
            </w:r>
          </w:p>
        </w:tc>
        <w:tc>
          <w:tcPr>
            <w:tcW w:w="536"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2238</w:t>
            </w:r>
          </w:p>
        </w:tc>
        <w:tc>
          <w:tcPr>
            <w:tcW w:w="736"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604.61</w:t>
            </w:r>
          </w:p>
        </w:tc>
      </w:tr>
      <w:tr w:rsidR="00C81B24" w:rsidRPr="00C81B24" w:rsidTr="00526AD9">
        <w:trPr>
          <w:trHeight w:val="255"/>
          <w:jc w:val="center"/>
        </w:trPr>
        <w:tc>
          <w:tcPr>
            <w:tcW w:w="554" w:type="dxa"/>
            <w:tcBorders>
              <w:top w:val="nil"/>
              <w:left w:val="single" w:sz="4" w:space="0" w:color="auto"/>
              <w:bottom w:val="single" w:sz="4" w:space="0" w:color="auto"/>
              <w:right w:val="single" w:sz="4" w:space="0" w:color="auto"/>
            </w:tcBorders>
            <w:vAlign w:val="bottom"/>
          </w:tcPr>
          <w:p w:rsidR="00C81B24" w:rsidRPr="00C81B24" w:rsidRDefault="00C81B24" w:rsidP="00CE5850">
            <w:pPr>
              <w:rPr>
                <w:sz w:val="20"/>
              </w:rPr>
            </w:pPr>
            <w:r w:rsidRPr="00C81B24">
              <w:rPr>
                <w:sz w:val="20"/>
              </w:rPr>
              <w:t>20</w:t>
            </w:r>
          </w:p>
        </w:tc>
        <w:tc>
          <w:tcPr>
            <w:tcW w:w="456" w:type="dxa"/>
            <w:tcBorders>
              <w:top w:val="nil"/>
              <w:left w:val="single" w:sz="4" w:space="0" w:color="auto"/>
              <w:bottom w:val="single" w:sz="4" w:space="0" w:color="auto"/>
              <w:right w:val="single" w:sz="4" w:space="0" w:color="auto"/>
            </w:tcBorders>
            <w:vAlign w:val="center"/>
          </w:tcPr>
          <w:p w:rsidR="00C81B24" w:rsidRPr="00C81B24" w:rsidRDefault="00C81B24" w:rsidP="00CE5850">
            <w:pPr>
              <w:rPr>
                <w:sz w:val="20"/>
              </w:rPr>
            </w:pPr>
            <w:r w:rsidRPr="00C81B24">
              <w:rPr>
                <w:sz w:val="20"/>
              </w:rPr>
              <w:t>73</w:t>
            </w:r>
          </w:p>
        </w:tc>
        <w:tc>
          <w:tcPr>
            <w:tcW w:w="4012" w:type="dxa"/>
            <w:tcBorders>
              <w:top w:val="nil"/>
              <w:left w:val="nil"/>
              <w:bottom w:val="single" w:sz="4" w:space="0" w:color="auto"/>
              <w:right w:val="single" w:sz="4" w:space="0" w:color="auto"/>
            </w:tcBorders>
            <w:vAlign w:val="center"/>
          </w:tcPr>
          <w:p w:rsidR="00C81B24" w:rsidRPr="00C81B24" w:rsidRDefault="00C81B24" w:rsidP="00CE5850">
            <w:pPr>
              <w:rPr>
                <w:sz w:val="20"/>
              </w:rPr>
            </w:pPr>
            <w:r w:rsidRPr="00C81B24">
              <w:rPr>
                <w:sz w:val="20"/>
              </w:rPr>
              <w:t>Memphis, TN-AR-MS-KY</w:t>
            </w:r>
          </w:p>
        </w:tc>
        <w:tc>
          <w:tcPr>
            <w:tcW w:w="1102"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2,016,120</w:t>
            </w:r>
          </w:p>
        </w:tc>
        <w:tc>
          <w:tcPr>
            <w:tcW w:w="1155"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2,001,223</w:t>
            </w:r>
          </w:p>
        </w:tc>
        <w:tc>
          <w:tcPr>
            <w:tcW w:w="979"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101%</w:t>
            </w:r>
          </w:p>
        </w:tc>
        <w:tc>
          <w:tcPr>
            <w:tcW w:w="635" w:type="dxa"/>
            <w:tcBorders>
              <w:top w:val="nil"/>
              <w:left w:val="nil"/>
              <w:bottom w:val="single" w:sz="4" w:space="0" w:color="auto"/>
              <w:right w:val="single" w:sz="4" w:space="0" w:color="auto"/>
            </w:tcBorders>
            <w:noWrap/>
            <w:vAlign w:val="bottom"/>
          </w:tcPr>
          <w:p w:rsidR="00C81B24" w:rsidRPr="00C81B24" w:rsidRDefault="00C81B24" w:rsidP="00CE5850">
            <w:pPr>
              <w:rPr>
                <w:sz w:val="20"/>
              </w:rPr>
            </w:pPr>
            <w:r w:rsidRPr="00C81B24">
              <w:rPr>
                <w:sz w:val="20"/>
              </w:rPr>
              <w:t>2503</w:t>
            </w:r>
          </w:p>
        </w:tc>
        <w:tc>
          <w:tcPr>
            <w:tcW w:w="536"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2585</w:t>
            </w:r>
          </w:p>
        </w:tc>
        <w:tc>
          <w:tcPr>
            <w:tcW w:w="736"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112.64</w:t>
            </w:r>
          </w:p>
        </w:tc>
      </w:tr>
      <w:tr w:rsidR="00C81B24" w:rsidRPr="00C81B24" w:rsidTr="00526AD9">
        <w:trPr>
          <w:trHeight w:val="255"/>
          <w:jc w:val="center"/>
        </w:trPr>
        <w:tc>
          <w:tcPr>
            <w:tcW w:w="554" w:type="dxa"/>
            <w:tcBorders>
              <w:top w:val="nil"/>
              <w:left w:val="single" w:sz="4" w:space="0" w:color="auto"/>
              <w:bottom w:val="single" w:sz="4" w:space="0" w:color="auto"/>
              <w:right w:val="single" w:sz="4" w:space="0" w:color="auto"/>
            </w:tcBorders>
            <w:vAlign w:val="bottom"/>
          </w:tcPr>
          <w:p w:rsidR="00C81B24" w:rsidRPr="00C81B24" w:rsidRDefault="00C81B24" w:rsidP="00CE5850">
            <w:pPr>
              <w:rPr>
                <w:sz w:val="20"/>
              </w:rPr>
            </w:pPr>
            <w:r w:rsidRPr="00C81B24">
              <w:rPr>
                <w:sz w:val="20"/>
              </w:rPr>
              <w:t>21</w:t>
            </w:r>
          </w:p>
        </w:tc>
        <w:tc>
          <w:tcPr>
            <w:tcW w:w="456" w:type="dxa"/>
            <w:tcBorders>
              <w:top w:val="nil"/>
              <w:left w:val="single" w:sz="4" w:space="0" w:color="auto"/>
              <w:bottom w:val="single" w:sz="4" w:space="0" w:color="auto"/>
              <w:right w:val="single" w:sz="4" w:space="0" w:color="auto"/>
            </w:tcBorders>
            <w:vAlign w:val="center"/>
          </w:tcPr>
          <w:p w:rsidR="00C81B24" w:rsidRPr="00C81B24" w:rsidRDefault="00C81B24" w:rsidP="00CE5850">
            <w:pPr>
              <w:rPr>
                <w:sz w:val="20"/>
              </w:rPr>
            </w:pPr>
            <w:r w:rsidRPr="00C81B24">
              <w:rPr>
                <w:sz w:val="20"/>
              </w:rPr>
              <w:t>161</w:t>
            </w:r>
          </w:p>
        </w:tc>
        <w:tc>
          <w:tcPr>
            <w:tcW w:w="4012" w:type="dxa"/>
            <w:tcBorders>
              <w:top w:val="nil"/>
              <w:left w:val="nil"/>
              <w:bottom w:val="single" w:sz="4" w:space="0" w:color="auto"/>
              <w:right w:val="single" w:sz="4" w:space="0" w:color="auto"/>
            </w:tcBorders>
            <w:vAlign w:val="center"/>
          </w:tcPr>
          <w:p w:rsidR="00C81B24" w:rsidRPr="00C81B24" w:rsidRDefault="00C81B24" w:rsidP="00CE5850">
            <w:pPr>
              <w:rPr>
                <w:sz w:val="20"/>
              </w:rPr>
            </w:pPr>
            <w:r w:rsidRPr="00C81B24">
              <w:rPr>
                <w:sz w:val="20"/>
              </w:rPr>
              <w:t>San Diego, CA</w:t>
            </w:r>
          </w:p>
        </w:tc>
        <w:tc>
          <w:tcPr>
            <w:tcW w:w="1102"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3,120,589</w:t>
            </w:r>
          </w:p>
        </w:tc>
        <w:tc>
          <w:tcPr>
            <w:tcW w:w="1155"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3,095,313</w:t>
            </w:r>
          </w:p>
        </w:tc>
        <w:tc>
          <w:tcPr>
            <w:tcW w:w="979"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101%</w:t>
            </w:r>
          </w:p>
        </w:tc>
        <w:tc>
          <w:tcPr>
            <w:tcW w:w="635" w:type="dxa"/>
            <w:tcBorders>
              <w:top w:val="nil"/>
              <w:left w:val="nil"/>
              <w:bottom w:val="single" w:sz="4" w:space="0" w:color="auto"/>
              <w:right w:val="single" w:sz="4" w:space="0" w:color="auto"/>
            </w:tcBorders>
            <w:noWrap/>
            <w:vAlign w:val="bottom"/>
          </w:tcPr>
          <w:p w:rsidR="00C81B24" w:rsidRPr="00C81B24" w:rsidRDefault="00C81B24" w:rsidP="00CE5850">
            <w:pPr>
              <w:rPr>
                <w:sz w:val="20"/>
              </w:rPr>
            </w:pPr>
            <w:r w:rsidRPr="00C81B24">
              <w:rPr>
                <w:sz w:val="20"/>
              </w:rPr>
              <w:t>2545</w:t>
            </w:r>
          </w:p>
        </w:tc>
        <w:tc>
          <w:tcPr>
            <w:tcW w:w="536"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2543</w:t>
            </w:r>
          </w:p>
        </w:tc>
        <w:tc>
          <w:tcPr>
            <w:tcW w:w="736"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735.82</w:t>
            </w:r>
          </w:p>
        </w:tc>
      </w:tr>
      <w:tr w:rsidR="00C81B24" w:rsidRPr="00C81B24" w:rsidTr="00526AD9">
        <w:trPr>
          <w:trHeight w:val="255"/>
          <w:jc w:val="center"/>
        </w:trPr>
        <w:tc>
          <w:tcPr>
            <w:tcW w:w="554" w:type="dxa"/>
            <w:tcBorders>
              <w:top w:val="nil"/>
              <w:left w:val="single" w:sz="4" w:space="0" w:color="auto"/>
              <w:bottom w:val="single" w:sz="4" w:space="0" w:color="auto"/>
              <w:right w:val="single" w:sz="4" w:space="0" w:color="auto"/>
            </w:tcBorders>
            <w:vAlign w:val="bottom"/>
          </w:tcPr>
          <w:p w:rsidR="00C81B24" w:rsidRPr="00C81B24" w:rsidRDefault="00C81B24" w:rsidP="00CE5850">
            <w:pPr>
              <w:rPr>
                <w:sz w:val="20"/>
              </w:rPr>
            </w:pPr>
            <w:r w:rsidRPr="00C81B24">
              <w:rPr>
                <w:sz w:val="20"/>
              </w:rPr>
              <w:t>22</w:t>
            </w:r>
          </w:p>
        </w:tc>
        <w:tc>
          <w:tcPr>
            <w:tcW w:w="456" w:type="dxa"/>
            <w:tcBorders>
              <w:top w:val="nil"/>
              <w:left w:val="single" w:sz="4" w:space="0" w:color="auto"/>
              <w:bottom w:val="single" w:sz="4" w:space="0" w:color="auto"/>
              <w:right w:val="single" w:sz="4" w:space="0" w:color="auto"/>
            </w:tcBorders>
            <w:vAlign w:val="center"/>
          </w:tcPr>
          <w:p w:rsidR="00C81B24" w:rsidRPr="00C81B24" w:rsidRDefault="00C81B24" w:rsidP="00CE5850">
            <w:pPr>
              <w:rPr>
                <w:sz w:val="20"/>
              </w:rPr>
            </w:pPr>
            <w:r w:rsidRPr="00C81B24">
              <w:rPr>
                <w:sz w:val="20"/>
              </w:rPr>
              <w:t>15</w:t>
            </w:r>
          </w:p>
        </w:tc>
        <w:tc>
          <w:tcPr>
            <w:tcW w:w="4012" w:type="dxa"/>
            <w:tcBorders>
              <w:top w:val="nil"/>
              <w:left w:val="nil"/>
              <w:bottom w:val="single" w:sz="4" w:space="0" w:color="auto"/>
              <w:right w:val="single" w:sz="4" w:space="0" w:color="auto"/>
            </w:tcBorders>
            <w:vAlign w:val="center"/>
          </w:tcPr>
          <w:p w:rsidR="00C81B24" w:rsidRPr="00C81B24" w:rsidRDefault="00C81B24" w:rsidP="00CE5850">
            <w:pPr>
              <w:rPr>
                <w:sz w:val="20"/>
              </w:rPr>
            </w:pPr>
            <w:r w:rsidRPr="00C81B24">
              <w:rPr>
                <w:sz w:val="20"/>
              </w:rPr>
              <w:t>Richmond-Petersburg, VA</w:t>
            </w:r>
          </w:p>
        </w:tc>
        <w:tc>
          <w:tcPr>
            <w:tcW w:w="1102"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1,638,381</w:t>
            </w:r>
          </w:p>
        </w:tc>
        <w:tc>
          <w:tcPr>
            <w:tcW w:w="1155"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1,636,548</w:t>
            </w:r>
          </w:p>
        </w:tc>
        <w:tc>
          <w:tcPr>
            <w:tcW w:w="979"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100%</w:t>
            </w:r>
          </w:p>
        </w:tc>
        <w:tc>
          <w:tcPr>
            <w:tcW w:w="635" w:type="dxa"/>
            <w:tcBorders>
              <w:top w:val="nil"/>
              <w:left w:val="nil"/>
              <w:bottom w:val="single" w:sz="4" w:space="0" w:color="auto"/>
              <w:right w:val="single" w:sz="4" w:space="0" w:color="auto"/>
            </w:tcBorders>
            <w:noWrap/>
            <w:vAlign w:val="bottom"/>
          </w:tcPr>
          <w:p w:rsidR="00C81B24" w:rsidRPr="00C81B24" w:rsidRDefault="00C81B24" w:rsidP="00CE5850">
            <w:pPr>
              <w:rPr>
                <w:sz w:val="20"/>
              </w:rPr>
            </w:pPr>
            <w:r w:rsidRPr="00C81B24">
              <w:rPr>
                <w:sz w:val="20"/>
              </w:rPr>
              <w:t>3305</w:t>
            </w:r>
          </w:p>
        </w:tc>
        <w:tc>
          <w:tcPr>
            <w:tcW w:w="536"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3216</w:t>
            </w:r>
          </w:p>
        </w:tc>
        <w:tc>
          <w:tcPr>
            <w:tcW w:w="736"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144.19</w:t>
            </w:r>
          </w:p>
        </w:tc>
      </w:tr>
      <w:tr w:rsidR="00C81B24" w:rsidRPr="00C81B24" w:rsidTr="00526AD9">
        <w:trPr>
          <w:trHeight w:val="255"/>
          <w:jc w:val="center"/>
        </w:trPr>
        <w:tc>
          <w:tcPr>
            <w:tcW w:w="554" w:type="dxa"/>
            <w:tcBorders>
              <w:top w:val="nil"/>
              <w:left w:val="single" w:sz="4" w:space="0" w:color="auto"/>
              <w:bottom w:val="single" w:sz="4" w:space="0" w:color="auto"/>
              <w:right w:val="single" w:sz="4" w:space="0" w:color="auto"/>
            </w:tcBorders>
            <w:vAlign w:val="bottom"/>
          </w:tcPr>
          <w:p w:rsidR="00C81B24" w:rsidRPr="00C81B24" w:rsidRDefault="00C81B24" w:rsidP="00CE5850">
            <w:pPr>
              <w:rPr>
                <w:sz w:val="20"/>
              </w:rPr>
            </w:pPr>
            <w:r w:rsidRPr="00C81B24">
              <w:rPr>
                <w:sz w:val="20"/>
              </w:rPr>
              <w:t>23</w:t>
            </w:r>
          </w:p>
        </w:tc>
        <w:tc>
          <w:tcPr>
            <w:tcW w:w="456" w:type="dxa"/>
            <w:tcBorders>
              <w:top w:val="nil"/>
              <w:left w:val="single" w:sz="4" w:space="0" w:color="auto"/>
              <w:bottom w:val="single" w:sz="4" w:space="0" w:color="auto"/>
              <w:right w:val="single" w:sz="4" w:space="0" w:color="auto"/>
            </w:tcBorders>
            <w:vAlign w:val="center"/>
          </w:tcPr>
          <w:p w:rsidR="00C81B24" w:rsidRPr="00C81B24" w:rsidRDefault="00C81B24" w:rsidP="00CE5850">
            <w:pPr>
              <w:rPr>
                <w:sz w:val="20"/>
              </w:rPr>
            </w:pPr>
            <w:r w:rsidRPr="00C81B24">
              <w:rPr>
                <w:sz w:val="20"/>
              </w:rPr>
              <w:t>40</w:t>
            </w:r>
          </w:p>
        </w:tc>
        <w:tc>
          <w:tcPr>
            <w:tcW w:w="4012" w:type="dxa"/>
            <w:tcBorders>
              <w:top w:val="nil"/>
              <w:left w:val="nil"/>
              <w:bottom w:val="single" w:sz="4" w:space="0" w:color="auto"/>
              <w:right w:val="single" w:sz="4" w:space="0" w:color="auto"/>
            </w:tcBorders>
            <w:vAlign w:val="center"/>
          </w:tcPr>
          <w:p w:rsidR="00C81B24" w:rsidRPr="00C81B24" w:rsidRDefault="00C81B24" w:rsidP="00CE5850">
            <w:pPr>
              <w:rPr>
                <w:sz w:val="20"/>
              </w:rPr>
            </w:pPr>
            <w:r w:rsidRPr="00C81B24">
              <w:rPr>
                <w:sz w:val="20"/>
              </w:rPr>
              <w:t>Atlanta, GA-AL-NC</w:t>
            </w:r>
          </w:p>
        </w:tc>
        <w:tc>
          <w:tcPr>
            <w:tcW w:w="1102"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6,665,242</w:t>
            </w:r>
          </w:p>
        </w:tc>
        <w:tc>
          <w:tcPr>
            <w:tcW w:w="1155"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6,690,595</w:t>
            </w:r>
          </w:p>
        </w:tc>
        <w:tc>
          <w:tcPr>
            <w:tcW w:w="979"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100%</w:t>
            </w:r>
          </w:p>
        </w:tc>
        <w:tc>
          <w:tcPr>
            <w:tcW w:w="635" w:type="dxa"/>
            <w:tcBorders>
              <w:top w:val="nil"/>
              <w:left w:val="nil"/>
              <w:bottom w:val="single" w:sz="4" w:space="0" w:color="auto"/>
              <w:right w:val="single" w:sz="4" w:space="0" w:color="auto"/>
            </w:tcBorders>
            <w:noWrap/>
            <w:vAlign w:val="bottom"/>
          </w:tcPr>
          <w:p w:rsidR="00C81B24" w:rsidRPr="00C81B24" w:rsidRDefault="00C81B24" w:rsidP="00CE5850">
            <w:pPr>
              <w:rPr>
                <w:sz w:val="20"/>
              </w:rPr>
            </w:pPr>
            <w:r w:rsidRPr="00C81B24">
              <w:rPr>
                <w:sz w:val="20"/>
              </w:rPr>
              <w:t>2534</w:t>
            </w:r>
          </w:p>
        </w:tc>
        <w:tc>
          <w:tcPr>
            <w:tcW w:w="536"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2452</w:t>
            </w:r>
          </w:p>
        </w:tc>
        <w:tc>
          <w:tcPr>
            <w:tcW w:w="736"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307.26</w:t>
            </w:r>
          </w:p>
        </w:tc>
      </w:tr>
      <w:tr w:rsidR="00C81B24" w:rsidRPr="00C81B24" w:rsidTr="00526AD9">
        <w:trPr>
          <w:trHeight w:val="255"/>
          <w:jc w:val="center"/>
        </w:trPr>
        <w:tc>
          <w:tcPr>
            <w:tcW w:w="554" w:type="dxa"/>
            <w:tcBorders>
              <w:top w:val="nil"/>
              <w:left w:val="single" w:sz="4" w:space="0" w:color="auto"/>
              <w:bottom w:val="single" w:sz="4" w:space="0" w:color="auto"/>
              <w:right w:val="single" w:sz="4" w:space="0" w:color="auto"/>
            </w:tcBorders>
            <w:vAlign w:val="bottom"/>
          </w:tcPr>
          <w:p w:rsidR="00C81B24" w:rsidRPr="00C81B24" w:rsidRDefault="00C81B24" w:rsidP="00CE5850">
            <w:pPr>
              <w:rPr>
                <w:sz w:val="20"/>
              </w:rPr>
            </w:pPr>
            <w:r w:rsidRPr="00C81B24">
              <w:rPr>
                <w:sz w:val="20"/>
              </w:rPr>
              <w:t>24</w:t>
            </w:r>
          </w:p>
        </w:tc>
        <w:tc>
          <w:tcPr>
            <w:tcW w:w="456" w:type="dxa"/>
            <w:tcBorders>
              <w:top w:val="nil"/>
              <w:left w:val="single" w:sz="4" w:space="0" w:color="auto"/>
              <w:bottom w:val="single" w:sz="4" w:space="0" w:color="auto"/>
              <w:right w:val="single" w:sz="4" w:space="0" w:color="auto"/>
            </w:tcBorders>
            <w:vAlign w:val="center"/>
          </w:tcPr>
          <w:p w:rsidR="00C81B24" w:rsidRPr="00C81B24" w:rsidRDefault="00C81B24" w:rsidP="00CE5850">
            <w:pPr>
              <w:rPr>
                <w:sz w:val="20"/>
              </w:rPr>
            </w:pPr>
            <w:r w:rsidRPr="00C81B24">
              <w:rPr>
                <w:sz w:val="20"/>
              </w:rPr>
              <w:t>78</w:t>
            </w:r>
          </w:p>
        </w:tc>
        <w:tc>
          <w:tcPr>
            <w:tcW w:w="4012" w:type="dxa"/>
            <w:tcBorders>
              <w:top w:val="nil"/>
              <w:left w:val="nil"/>
              <w:bottom w:val="single" w:sz="4" w:space="0" w:color="auto"/>
              <w:right w:val="single" w:sz="4" w:space="0" w:color="auto"/>
            </w:tcBorders>
            <w:vAlign w:val="center"/>
          </w:tcPr>
          <w:p w:rsidR="00C81B24" w:rsidRPr="00C81B24" w:rsidRDefault="00C81B24" w:rsidP="00CE5850">
            <w:pPr>
              <w:rPr>
                <w:sz w:val="20"/>
              </w:rPr>
            </w:pPr>
            <w:r w:rsidRPr="00C81B24">
              <w:rPr>
                <w:sz w:val="20"/>
              </w:rPr>
              <w:t>Birmingham, AL</w:t>
            </w:r>
          </w:p>
        </w:tc>
        <w:tc>
          <w:tcPr>
            <w:tcW w:w="1102"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1,689,579</w:t>
            </w:r>
          </w:p>
        </w:tc>
        <w:tc>
          <w:tcPr>
            <w:tcW w:w="1155"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1,692,233</w:t>
            </w:r>
          </w:p>
        </w:tc>
        <w:tc>
          <w:tcPr>
            <w:tcW w:w="979"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100%</w:t>
            </w:r>
          </w:p>
        </w:tc>
        <w:tc>
          <w:tcPr>
            <w:tcW w:w="635" w:type="dxa"/>
            <w:tcBorders>
              <w:top w:val="nil"/>
              <w:left w:val="nil"/>
              <w:bottom w:val="single" w:sz="4" w:space="0" w:color="auto"/>
              <w:right w:val="single" w:sz="4" w:space="0" w:color="auto"/>
            </w:tcBorders>
            <w:noWrap/>
            <w:vAlign w:val="bottom"/>
          </w:tcPr>
          <w:p w:rsidR="00C81B24" w:rsidRPr="00C81B24" w:rsidRDefault="00C81B24" w:rsidP="00CE5850">
            <w:pPr>
              <w:rPr>
                <w:sz w:val="20"/>
              </w:rPr>
            </w:pPr>
            <w:r w:rsidRPr="00C81B24">
              <w:rPr>
                <w:sz w:val="20"/>
              </w:rPr>
              <w:t>3112</w:t>
            </w:r>
          </w:p>
        </w:tc>
        <w:tc>
          <w:tcPr>
            <w:tcW w:w="536"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2568</w:t>
            </w:r>
          </w:p>
        </w:tc>
        <w:tc>
          <w:tcPr>
            <w:tcW w:w="736"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149.68</w:t>
            </w:r>
          </w:p>
        </w:tc>
      </w:tr>
      <w:tr w:rsidR="00C81B24" w:rsidRPr="00C81B24" w:rsidTr="00526AD9">
        <w:trPr>
          <w:trHeight w:val="255"/>
          <w:jc w:val="center"/>
        </w:trPr>
        <w:tc>
          <w:tcPr>
            <w:tcW w:w="554" w:type="dxa"/>
            <w:tcBorders>
              <w:top w:val="nil"/>
              <w:left w:val="single" w:sz="4" w:space="0" w:color="auto"/>
              <w:bottom w:val="single" w:sz="4" w:space="0" w:color="auto"/>
              <w:right w:val="single" w:sz="4" w:space="0" w:color="auto"/>
            </w:tcBorders>
            <w:vAlign w:val="bottom"/>
          </w:tcPr>
          <w:p w:rsidR="00C81B24" w:rsidRPr="00C81B24" w:rsidRDefault="00C81B24" w:rsidP="00CE5850">
            <w:pPr>
              <w:rPr>
                <w:sz w:val="20"/>
              </w:rPr>
            </w:pPr>
            <w:r w:rsidRPr="00C81B24">
              <w:rPr>
                <w:sz w:val="20"/>
              </w:rPr>
              <w:t>25</w:t>
            </w:r>
          </w:p>
        </w:tc>
        <w:tc>
          <w:tcPr>
            <w:tcW w:w="456" w:type="dxa"/>
            <w:tcBorders>
              <w:top w:val="nil"/>
              <w:left w:val="single" w:sz="4" w:space="0" w:color="auto"/>
              <w:bottom w:val="single" w:sz="4" w:space="0" w:color="auto"/>
              <w:right w:val="single" w:sz="4" w:space="0" w:color="auto"/>
            </w:tcBorders>
            <w:vAlign w:val="center"/>
          </w:tcPr>
          <w:p w:rsidR="00C81B24" w:rsidRPr="00C81B24" w:rsidRDefault="00C81B24" w:rsidP="00CE5850">
            <w:pPr>
              <w:rPr>
                <w:sz w:val="20"/>
              </w:rPr>
            </w:pPr>
            <w:r w:rsidRPr="00C81B24">
              <w:rPr>
                <w:sz w:val="20"/>
              </w:rPr>
              <w:t>79</w:t>
            </w:r>
          </w:p>
        </w:tc>
        <w:tc>
          <w:tcPr>
            <w:tcW w:w="4012" w:type="dxa"/>
            <w:tcBorders>
              <w:top w:val="nil"/>
              <w:left w:val="nil"/>
              <w:bottom w:val="single" w:sz="4" w:space="0" w:color="auto"/>
              <w:right w:val="single" w:sz="4" w:space="0" w:color="auto"/>
            </w:tcBorders>
            <w:vAlign w:val="center"/>
          </w:tcPr>
          <w:p w:rsidR="00C81B24" w:rsidRPr="00C81B24" w:rsidRDefault="00C81B24" w:rsidP="00CE5850">
            <w:pPr>
              <w:rPr>
                <w:sz w:val="20"/>
              </w:rPr>
            </w:pPr>
            <w:r w:rsidRPr="00C81B24">
              <w:rPr>
                <w:sz w:val="20"/>
              </w:rPr>
              <w:t>Montgomery, AL</w:t>
            </w:r>
          </w:p>
        </w:tc>
        <w:tc>
          <w:tcPr>
            <w:tcW w:w="1102"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506,294</w:t>
            </w:r>
          </w:p>
        </w:tc>
        <w:tc>
          <w:tcPr>
            <w:tcW w:w="1155"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507,613</w:t>
            </w:r>
          </w:p>
        </w:tc>
        <w:tc>
          <w:tcPr>
            <w:tcW w:w="979"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100%</w:t>
            </w:r>
          </w:p>
        </w:tc>
        <w:tc>
          <w:tcPr>
            <w:tcW w:w="635" w:type="dxa"/>
            <w:tcBorders>
              <w:top w:val="nil"/>
              <w:left w:val="nil"/>
              <w:bottom w:val="single" w:sz="4" w:space="0" w:color="auto"/>
              <w:right w:val="single" w:sz="4" w:space="0" w:color="auto"/>
            </w:tcBorders>
            <w:noWrap/>
            <w:vAlign w:val="bottom"/>
          </w:tcPr>
          <w:p w:rsidR="00C81B24" w:rsidRPr="00C81B24" w:rsidRDefault="00C81B24" w:rsidP="00CE5850">
            <w:pPr>
              <w:rPr>
                <w:sz w:val="20"/>
              </w:rPr>
            </w:pPr>
            <w:r w:rsidRPr="00C81B24">
              <w:rPr>
                <w:sz w:val="20"/>
              </w:rPr>
              <w:t>3218</w:t>
            </w:r>
          </w:p>
        </w:tc>
        <w:tc>
          <w:tcPr>
            <w:tcW w:w="536"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2654</w:t>
            </w:r>
          </w:p>
        </w:tc>
        <w:tc>
          <w:tcPr>
            <w:tcW w:w="736"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71.58</w:t>
            </w:r>
          </w:p>
        </w:tc>
      </w:tr>
      <w:tr w:rsidR="00C81B24" w:rsidRPr="00C81B24" w:rsidTr="00526AD9">
        <w:trPr>
          <w:trHeight w:val="255"/>
          <w:jc w:val="center"/>
        </w:trPr>
        <w:tc>
          <w:tcPr>
            <w:tcW w:w="554" w:type="dxa"/>
            <w:tcBorders>
              <w:top w:val="nil"/>
              <w:left w:val="single" w:sz="4" w:space="0" w:color="auto"/>
              <w:bottom w:val="single" w:sz="4" w:space="0" w:color="auto"/>
              <w:right w:val="single" w:sz="4" w:space="0" w:color="auto"/>
            </w:tcBorders>
            <w:vAlign w:val="bottom"/>
          </w:tcPr>
          <w:p w:rsidR="00C81B24" w:rsidRPr="00C81B24" w:rsidRDefault="00C81B24" w:rsidP="00CE5850">
            <w:pPr>
              <w:rPr>
                <w:sz w:val="20"/>
              </w:rPr>
            </w:pPr>
            <w:r w:rsidRPr="00C81B24">
              <w:rPr>
                <w:sz w:val="20"/>
              </w:rPr>
              <w:t>26</w:t>
            </w:r>
          </w:p>
        </w:tc>
        <w:tc>
          <w:tcPr>
            <w:tcW w:w="456" w:type="dxa"/>
            <w:tcBorders>
              <w:top w:val="nil"/>
              <w:left w:val="single" w:sz="4" w:space="0" w:color="auto"/>
              <w:bottom w:val="single" w:sz="4" w:space="0" w:color="auto"/>
              <w:right w:val="single" w:sz="4" w:space="0" w:color="auto"/>
            </w:tcBorders>
            <w:vAlign w:val="center"/>
          </w:tcPr>
          <w:p w:rsidR="00C81B24" w:rsidRPr="00C81B24" w:rsidRDefault="00C81B24" w:rsidP="00CE5850">
            <w:pPr>
              <w:rPr>
                <w:sz w:val="20"/>
              </w:rPr>
            </w:pPr>
            <w:r w:rsidRPr="00C81B24">
              <w:rPr>
                <w:sz w:val="20"/>
              </w:rPr>
              <w:t>80</w:t>
            </w:r>
          </w:p>
        </w:tc>
        <w:tc>
          <w:tcPr>
            <w:tcW w:w="4012" w:type="dxa"/>
            <w:tcBorders>
              <w:top w:val="nil"/>
              <w:left w:val="nil"/>
              <w:bottom w:val="single" w:sz="4" w:space="0" w:color="auto"/>
              <w:right w:val="single" w:sz="4" w:space="0" w:color="auto"/>
            </w:tcBorders>
            <w:vAlign w:val="center"/>
          </w:tcPr>
          <w:p w:rsidR="00C81B24" w:rsidRPr="00C81B24" w:rsidRDefault="00C81B24" w:rsidP="00CE5850">
            <w:pPr>
              <w:rPr>
                <w:sz w:val="20"/>
              </w:rPr>
            </w:pPr>
            <w:r w:rsidRPr="00C81B24">
              <w:rPr>
                <w:sz w:val="20"/>
              </w:rPr>
              <w:t>Mobile, AL</w:t>
            </w:r>
          </w:p>
        </w:tc>
        <w:tc>
          <w:tcPr>
            <w:tcW w:w="1102"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723,113</w:t>
            </w:r>
          </w:p>
        </w:tc>
        <w:tc>
          <w:tcPr>
            <w:tcW w:w="1155"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724,956</w:t>
            </w:r>
          </w:p>
        </w:tc>
        <w:tc>
          <w:tcPr>
            <w:tcW w:w="979"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100%</w:t>
            </w:r>
          </w:p>
        </w:tc>
        <w:tc>
          <w:tcPr>
            <w:tcW w:w="635" w:type="dxa"/>
            <w:tcBorders>
              <w:top w:val="nil"/>
              <w:left w:val="nil"/>
              <w:bottom w:val="single" w:sz="4" w:space="0" w:color="auto"/>
              <w:right w:val="single" w:sz="4" w:space="0" w:color="auto"/>
            </w:tcBorders>
            <w:noWrap/>
            <w:vAlign w:val="bottom"/>
          </w:tcPr>
          <w:p w:rsidR="00C81B24" w:rsidRPr="00C81B24" w:rsidRDefault="00C81B24" w:rsidP="00CE5850">
            <w:pPr>
              <w:rPr>
                <w:sz w:val="20"/>
              </w:rPr>
            </w:pPr>
            <w:r w:rsidRPr="00C81B24">
              <w:rPr>
                <w:sz w:val="20"/>
              </w:rPr>
              <w:t>3217</w:t>
            </w:r>
          </w:p>
        </w:tc>
        <w:tc>
          <w:tcPr>
            <w:tcW w:w="536"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3148</w:t>
            </w:r>
          </w:p>
        </w:tc>
        <w:tc>
          <w:tcPr>
            <w:tcW w:w="736"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81.94</w:t>
            </w:r>
          </w:p>
        </w:tc>
      </w:tr>
      <w:tr w:rsidR="00C81B24" w:rsidRPr="00C81B24" w:rsidTr="00526AD9">
        <w:trPr>
          <w:trHeight w:val="255"/>
          <w:jc w:val="center"/>
        </w:trPr>
        <w:tc>
          <w:tcPr>
            <w:tcW w:w="554" w:type="dxa"/>
            <w:tcBorders>
              <w:top w:val="nil"/>
              <w:left w:val="single" w:sz="4" w:space="0" w:color="auto"/>
              <w:bottom w:val="single" w:sz="4" w:space="0" w:color="auto"/>
              <w:right w:val="single" w:sz="4" w:space="0" w:color="auto"/>
            </w:tcBorders>
            <w:vAlign w:val="bottom"/>
          </w:tcPr>
          <w:p w:rsidR="00C81B24" w:rsidRPr="00C81B24" w:rsidRDefault="00C81B24" w:rsidP="00CE5850">
            <w:pPr>
              <w:rPr>
                <w:sz w:val="20"/>
              </w:rPr>
            </w:pPr>
            <w:r w:rsidRPr="00C81B24">
              <w:rPr>
                <w:sz w:val="20"/>
              </w:rPr>
              <w:t>27</w:t>
            </w:r>
          </w:p>
        </w:tc>
        <w:tc>
          <w:tcPr>
            <w:tcW w:w="456" w:type="dxa"/>
            <w:tcBorders>
              <w:top w:val="nil"/>
              <w:left w:val="single" w:sz="4" w:space="0" w:color="auto"/>
              <w:bottom w:val="single" w:sz="4" w:space="0" w:color="auto"/>
              <w:right w:val="single" w:sz="4" w:space="0" w:color="auto"/>
            </w:tcBorders>
            <w:vAlign w:val="center"/>
          </w:tcPr>
          <w:p w:rsidR="00C81B24" w:rsidRPr="00C81B24" w:rsidRDefault="00C81B24" w:rsidP="00CE5850">
            <w:pPr>
              <w:rPr>
                <w:sz w:val="20"/>
              </w:rPr>
            </w:pPr>
            <w:r w:rsidRPr="00C81B24">
              <w:rPr>
                <w:sz w:val="20"/>
              </w:rPr>
              <w:t>86</w:t>
            </w:r>
          </w:p>
        </w:tc>
        <w:tc>
          <w:tcPr>
            <w:tcW w:w="4012" w:type="dxa"/>
            <w:tcBorders>
              <w:top w:val="nil"/>
              <w:left w:val="nil"/>
              <w:bottom w:val="single" w:sz="4" w:space="0" w:color="auto"/>
              <w:right w:val="single" w:sz="4" w:space="0" w:color="auto"/>
            </w:tcBorders>
            <w:vAlign w:val="center"/>
          </w:tcPr>
          <w:p w:rsidR="00C81B24" w:rsidRPr="00C81B24" w:rsidRDefault="00C81B24" w:rsidP="00CE5850">
            <w:pPr>
              <w:rPr>
                <w:sz w:val="20"/>
              </w:rPr>
            </w:pPr>
            <w:r w:rsidRPr="00C81B24">
              <w:rPr>
                <w:sz w:val="20"/>
              </w:rPr>
              <w:t>Lake Charles, LA</w:t>
            </w:r>
          </w:p>
        </w:tc>
        <w:tc>
          <w:tcPr>
            <w:tcW w:w="1102"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554,261</w:t>
            </w:r>
          </w:p>
        </w:tc>
        <w:tc>
          <w:tcPr>
            <w:tcW w:w="1155"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555,838</w:t>
            </w:r>
          </w:p>
        </w:tc>
        <w:tc>
          <w:tcPr>
            <w:tcW w:w="979"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100%</w:t>
            </w:r>
          </w:p>
        </w:tc>
        <w:tc>
          <w:tcPr>
            <w:tcW w:w="635" w:type="dxa"/>
            <w:tcBorders>
              <w:top w:val="nil"/>
              <w:left w:val="nil"/>
              <w:bottom w:val="single" w:sz="4" w:space="0" w:color="auto"/>
              <w:right w:val="single" w:sz="4" w:space="0" w:color="auto"/>
            </w:tcBorders>
            <w:noWrap/>
            <w:vAlign w:val="bottom"/>
          </w:tcPr>
          <w:p w:rsidR="00C81B24" w:rsidRPr="00C81B24" w:rsidRDefault="00C81B24" w:rsidP="00CE5850">
            <w:pPr>
              <w:rPr>
                <w:sz w:val="20"/>
              </w:rPr>
            </w:pPr>
            <w:r w:rsidRPr="00C81B24">
              <w:rPr>
                <w:sz w:val="20"/>
              </w:rPr>
              <w:t>4008</w:t>
            </w:r>
          </w:p>
        </w:tc>
        <w:tc>
          <w:tcPr>
            <w:tcW w:w="536"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3397</w:t>
            </w:r>
          </w:p>
        </w:tc>
        <w:tc>
          <w:tcPr>
            <w:tcW w:w="736"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57.51</w:t>
            </w:r>
          </w:p>
        </w:tc>
      </w:tr>
      <w:tr w:rsidR="00C81B24" w:rsidRPr="00C81B24" w:rsidTr="00526AD9">
        <w:trPr>
          <w:trHeight w:val="255"/>
          <w:jc w:val="center"/>
        </w:trPr>
        <w:tc>
          <w:tcPr>
            <w:tcW w:w="554" w:type="dxa"/>
            <w:tcBorders>
              <w:top w:val="nil"/>
              <w:left w:val="single" w:sz="4" w:space="0" w:color="auto"/>
              <w:bottom w:val="single" w:sz="4" w:space="0" w:color="auto"/>
              <w:right w:val="single" w:sz="4" w:space="0" w:color="auto"/>
            </w:tcBorders>
            <w:vAlign w:val="bottom"/>
          </w:tcPr>
          <w:p w:rsidR="00C81B24" w:rsidRPr="00C81B24" w:rsidRDefault="00C81B24" w:rsidP="00CE5850">
            <w:pPr>
              <w:rPr>
                <w:sz w:val="20"/>
              </w:rPr>
            </w:pPr>
            <w:r w:rsidRPr="00C81B24">
              <w:rPr>
                <w:sz w:val="20"/>
              </w:rPr>
              <w:t>28</w:t>
            </w:r>
          </w:p>
        </w:tc>
        <w:tc>
          <w:tcPr>
            <w:tcW w:w="456" w:type="dxa"/>
            <w:tcBorders>
              <w:top w:val="nil"/>
              <w:left w:val="single" w:sz="4" w:space="0" w:color="auto"/>
              <w:bottom w:val="single" w:sz="4" w:space="0" w:color="auto"/>
              <w:right w:val="single" w:sz="4" w:space="0" w:color="auto"/>
            </w:tcBorders>
            <w:vAlign w:val="center"/>
          </w:tcPr>
          <w:p w:rsidR="00C81B24" w:rsidRPr="00C81B24" w:rsidRDefault="00C81B24" w:rsidP="00CE5850">
            <w:pPr>
              <w:rPr>
                <w:sz w:val="20"/>
              </w:rPr>
            </w:pPr>
            <w:r w:rsidRPr="00C81B24">
              <w:rPr>
                <w:sz w:val="20"/>
              </w:rPr>
              <w:t>88</w:t>
            </w:r>
          </w:p>
        </w:tc>
        <w:tc>
          <w:tcPr>
            <w:tcW w:w="4012" w:type="dxa"/>
            <w:tcBorders>
              <w:top w:val="nil"/>
              <w:left w:val="nil"/>
              <w:bottom w:val="single" w:sz="4" w:space="0" w:color="auto"/>
              <w:right w:val="single" w:sz="4" w:space="0" w:color="auto"/>
            </w:tcBorders>
            <w:vAlign w:val="center"/>
          </w:tcPr>
          <w:p w:rsidR="00C81B24" w:rsidRPr="00C81B24" w:rsidRDefault="00C81B24" w:rsidP="00CE5850">
            <w:pPr>
              <w:rPr>
                <w:sz w:val="20"/>
              </w:rPr>
            </w:pPr>
            <w:r w:rsidRPr="00C81B24">
              <w:rPr>
                <w:sz w:val="20"/>
              </w:rPr>
              <w:t>Shreveport-Bossier City, LA-AR</w:t>
            </w:r>
          </w:p>
        </w:tc>
        <w:tc>
          <w:tcPr>
            <w:tcW w:w="1102"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591,037</w:t>
            </w:r>
          </w:p>
        </w:tc>
        <w:tc>
          <w:tcPr>
            <w:tcW w:w="1155"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591,759</w:t>
            </w:r>
          </w:p>
        </w:tc>
        <w:tc>
          <w:tcPr>
            <w:tcW w:w="979"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100%</w:t>
            </w:r>
          </w:p>
        </w:tc>
        <w:tc>
          <w:tcPr>
            <w:tcW w:w="635" w:type="dxa"/>
            <w:tcBorders>
              <w:top w:val="nil"/>
              <w:left w:val="nil"/>
              <w:bottom w:val="single" w:sz="4" w:space="0" w:color="auto"/>
              <w:right w:val="single" w:sz="4" w:space="0" w:color="auto"/>
            </w:tcBorders>
            <w:noWrap/>
            <w:vAlign w:val="bottom"/>
          </w:tcPr>
          <w:p w:rsidR="00C81B24" w:rsidRPr="00C81B24" w:rsidRDefault="00C81B24" w:rsidP="00CE5850">
            <w:pPr>
              <w:rPr>
                <w:sz w:val="20"/>
              </w:rPr>
            </w:pPr>
            <w:r w:rsidRPr="00C81B24">
              <w:rPr>
                <w:sz w:val="20"/>
              </w:rPr>
              <w:t>3578</w:t>
            </w:r>
          </w:p>
        </w:tc>
        <w:tc>
          <w:tcPr>
            <w:tcW w:w="536"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3871</w:t>
            </w:r>
          </w:p>
        </w:tc>
        <w:tc>
          <w:tcPr>
            <w:tcW w:w="736"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62.25</w:t>
            </w:r>
          </w:p>
        </w:tc>
      </w:tr>
      <w:tr w:rsidR="00C81B24" w:rsidRPr="00C81B24" w:rsidTr="00526AD9">
        <w:trPr>
          <w:trHeight w:val="255"/>
          <w:jc w:val="center"/>
        </w:trPr>
        <w:tc>
          <w:tcPr>
            <w:tcW w:w="554" w:type="dxa"/>
            <w:tcBorders>
              <w:top w:val="nil"/>
              <w:left w:val="single" w:sz="4" w:space="0" w:color="auto"/>
              <w:bottom w:val="single" w:sz="4" w:space="0" w:color="auto"/>
              <w:right w:val="single" w:sz="4" w:space="0" w:color="auto"/>
            </w:tcBorders>
            <w:vAlign w:val="bottom"/>
          </w:tcPr>
          <w:p w:rsidR="00C81B24" w:rsidRPr="00C81B24" w:rsidRDefault="00C81B24" w:rsidP="00CE5850">
            <w:pPr>
              <w:rPr>
                <w:sz w:val="20"/>
              </w:rPr>
            </w:pPr>
            <w:r w:rsidRPr="00C81B24">
              <w:rPr>
                <w:sz w:val="20"/>
              </w:rPr>
              <w:t>29</w:t>
            </w:r>
          </w:p>
        </w:tc>
        <w:tc>
          <w:tcPr>
            <w:tcW w:w="456" w:type="dxa"/>
            <w:tcBorders>
              <w:top w:val="nil"/>
              <w:left w:val="single" w:sz="4" w:space="0" w:color="auto"/>
              <w:bottom w:val="single" w:sz="4" w:space="0" w:color="auto"/>
              <w:right w:val="single" w:sz="4" w:space="0" w:color="auto"/>
            </w:tcBorders>
            <w:vAlign w:val="center"/>
          </w:tcPr>
          <w:p w:rsidR="00C81B24" w:rsidRPr="00C81B24" w:rsidRDefault="00C81B24" w:rsidP="00CE5850">
            <w:pPr>
              <w:rPr>
                <w:sz w:val="20"/>
              </w:rPr>
            </w:pPr>
            <w:r w:rsidRPr="00C81B24">
              <w:rPr>
                <w:sz w:val="20"/>
              </w:rPr>
              <w:t>111</w:t>
            </w:r>
          </w:p>
        </w:tc>
        <w:tc>
          <w:tcPr>
            <w:tcW w:w="4012" w:type="dxa"/>
            <w:tcBorders>
              <w:top w:val="nil"/>
              <w:left w:val="nil"/>
              <w:bottom w:val="single" w:sz="4" w:space="0" w:color="auto"/>
              <w:right w:val="single" w:sz="4" w:space="0" w:color="auto"/>
            </w:tcBorders>
            <w:vAlign w:val="center"/>
          </w:tcPr>
          <w:p w:rsidR="00C81B24" w:rsidRPr="00C81B24" w:rsidRDefault="00C81B24" w:rsidP="00CE5850">
            <w:pPr>
              <w:rPr>
                <w:sz w:val="20"/>
              </w:rPr>
            </w:pPr>
            <w:r w:rsidRPr="00C81B24">
              <w:rPr>
                <w:sz w:val="20"/>
              </w:rPr>
              <w:t>Minot, ND</w:t>
            </w:r>
          </w:p>
        </w:tc>
        <w:tc>
          <w:tcPr>
            <w:tcW w:w="1102"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115,956</w:t>
            </w:r>
          </w:p>
        </w:tc>
        <w:tc>
          <w:tcPr>
            <w:tcW w:w="1155"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116,439</w:t>
            </w:r>
          </w:p>
        </w:tc>
        <w:tc>
          <w:tcPr>
            <w:tcW w:w="979"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100%</w:t>
            </w:r>
          </w:p>
        </w:tc>
        <w:tc>
          <w:tcPr>
            <w:tcW w:w="635" w:type="dxa"/>
            <w:tcBorders>
              <w:top w:val="nil"/>
              <w:left w:val="nil"/>
              <w:bottom w:val="single" w:sz="4" w:space="0" w:color="auto"/>
              <w:right w:val="single" w:sz="4" w:space="0" w:color="auto"/>
            </w:tcBorders>
            <w:noWrap/>
            <w:vAlign w:val="bottom"/>
          </w:tcPr>
          <w:p w:rsidR="00C81B24" w:rsidRPr="00C81B24" w:rsidRDefault="00C81B24" w:rsidP="00CE5850">
            <w:pPr>
              <w:rPr>
                <w:sz w:val="20"/>
              </w:rPr>
            </w:pPr>
            <w:r w:rsidRPr="00C81B24">
              <w:rPr>
                <w:sz w:val="20"/>
              </w:rPr>
              <w:t>4611</w:t>
            </w:r>
          </w:p>
        </w:tc>
        <w:tc>
          <w:tcPr>
            <w:tcW w:w="536"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4360</w:t>
            </w:r>
          </w:p>
        </w:tc>
        <w:tc>
          <w:tcPr>
            <w:tcW w:w="736"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7.53</w:t>
            </w:r>
          </w:p>
        </w:tc>
      </w:tr>
      <w:tr w:rsidR="00C81B24" w:rsidRPr="00C81B24" w:rsidTr="00526AD9">
        <w:trPr>
          <w:trHeight w:val="255"/>
          <w:jc w:val="center"/>
        </w:trPr>
        <w:tc>
          <w:tcPr>
            <w:tcW w:w="554" w:type="dxa"/>
            <w:tcBorders>
              <w:top w:val="nil"/>
              <w:left w:val="single" w:sz="4" w:space="0" w:color="auto"/>
              <w:bottom w:val="single" w:sz="4" w:space="0" w:color="auto"/>
              <w:right w:val="single" w:sz="4" w:space="0" w:color="auto"/>
            </w:tcBorders>
            <w:vAlign w:val="bottom"/>
          </w:tcPr>
          <w:p w:rsidR="00C81B24" w:rsidRPr="00C81B24" w:rsidRDefault="00C81B24" w:rsidP="00CE5850">
            <w:pPr>
              <w:rPr>
                <w:sz w:val="20"/>
              </w:rPr>
            </w:pPr>
            <w:r w:rsidRPr="00C81B24">
              <w:rPr>
                <w:sz w:val="20"/>
              </w:rPr>
              <w:t>30</w:t>
            </w:r>
          </w:p>
        </w:tc>
        <w:tc>
          <w:tcPr>
            <w:tcW w:w="456" w:type="dxa"/>
            <w:tcBorders>
              <w:top w:val="nil"/>
              <w:left w:val="single" w:sz="4" w:space="0" w:color="auto"/>
              <w:bottom w:val="single" w:sz="4" w:space="0" w:color="auto"/>
              <w:right w:val="single" w:sz="4" w:space="0" w:color="auto"/>
            </w:tcBorders>
            <w:vAlign w:val="center"/>
          </w:tcPr>
          <w:p w:rsidR="00C81B24" w:rsidRPr="00C81B24" w:rsidRDefault="00C81B24" w:rsidP="00CE5850">
            <w:pPr>
              <w:rPr>
                <w:sz w:val="20"/>
              </w:rPr>
            </w:pPr>
            <w:r w:rsidRPr="00C81B24">
              <w:rPr>
                <w:sz w:val="20"/>
              </w:rPr>
              <w:t>135</w:t>
            </w:r>
          </w:p>
        </w:tc>
        <w:tc>
          <w:tcPr>
            <w:tcW w:w="4012" w:type="dxa"/>
            <w:tcBorders>
              <w:top w:val="nil"/>
              <w:left w:val="nil"/>
              <w:bottom w:val="single" w:sz="4" w:space="0" w:color="auto"/>
              <w:right w:val="single" w:sz="4" w:space="0" w:color="auto"/>
            </w:tcBorders>
            <w:vAlign w:val="center"/>
          </w:tcPr>
          <w:p w:rsidR="00C81B24" w:rsidRPr="00C81B24" w:rsidRDefault="00C81B24" w:rsidP="00CE5850">
            <w:pPr>
              <w:rPr>
                <w:sz w:val="20"/>
              </w:rPr>
            </w:pPr>
            <w:r w:rsidRPr="00C81B24">
              <w:rPr>
                <w:sz w:val="20"/>
              </w:rPr>
              <w:t>Odessa-Midland, TX</w:t>
            </w:r>
          </w:p>
        </w:tc>
        <w:tc>
          <w:tcPr>
            <w:tcW w:w="1102"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424,740</w:t>
            </w:r>
          </w:p>
        </w:tc>
        <w:tc>
          <w:tcPr>
            <w:tcW w:w="1155"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426,631</w:t>
            </w:r>
          </w:p>
        </w:tc>
        <w:tc>
          <w:tcPr>
            <w:tcW w:w="979"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100%</w:t>
            </w:r>
          </w:p>
        </w:tc>
        <w:tc>
          <w:tcPr>
            <w:tcW w:w="635" w:type="dxa"/>
            <w:tcBorders>
              <w:top w:val="nil"/>
              <w:left w:val="nil"/>
              <w:bottom w:val="single" w:sz="4" w:space="0" w:color="auto"/>
              <w:right w:val="single" w:sz="4" w:space="0" w:color="auto"/>
            </w:tcBorders>
            <w:noWrap/>
            <w:vAlign w:val="bottom"/>
          </w:tcPr>
          <w:p w:rsidR="00C81B24" w:rsidRPr="00C81B24" w:rsidRDefault="00C81B24" w:rsidP="00CE5850">
            <w:pPr>
              <w:rPr>
                <w:sz w:val="20"/>
              </w:rPr>
            </w:pPr>
            <w:r w:rsidRPr="00C81B24">
              <w:rPr>
                <w:sz w:val="20"/>
              </w:rPr>
              <w:t>3492</w:t>
            </w:r>
          </w:p>
        </w:tc>
        <w:tc>
          <w:tcPr>
            <w:tcW w:w="536"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3521</w:t>
            </w:r>
          </w:p>
        </w:tc>
        <w:tc>
          <w:tcPr>
            <w:tcW w:w="736"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11.16</w:t>
            </w:r>
          </w:p>
        </w:tc>
      </w:tr>
      <w:tr w:rsidR="00C81B24" w:rsidRPr="00C81B24" w:rsidTr="00526AD9">
        <w:trPr>
          <w:trHeight w:val="255"/>
          <w:jc w:val="center"/>
        </w:trPr>
        <w:tc>
          <w:tcPr>
            <w:tcW w:w="554" w:type="dxa"/>
            <w:tcBorders>
              <w:top w:val="nil"/>
              <w:left w:val="single" w:sz="4" w:space="0" w:color="auto"/>
              <w:bottom w:val="single" w:sz="4" w:space="0" w:color="auto"/>
              <w:right w:val="single" w:sz="4" w:space="0" w:color="auto"/>
            </w:tcBorders>
            <w:vAlign w:val="bottom"/>
          </w:tcPr>
          <w:p w:rsidR="00C81B24" w:rsidRPr="00C81B24" w:rsidRDefault="00C81B24" w:rsidP="00CE5850">
            <w:pPr>
              <w:rPr>
                <w:sz w:val="20"/>
              </w:rPr>
            </w:pPr>
            <w:r w:rsidRPr="00C81B24">
              <w:rPr>
                <w:sz w:val="20"/>
              </w:rPr>
              <w:t>31</w:t>
            </w:r>
          </w:p>
        </w:tc>
        <w:tc>
          <w:tcPr>
            <w:tcW w:w="456" w:type="dxa"/>
            <w:tcBorders>
              <w:top w:val="nil"/>
              <w:left w:val="single" w:sz="4" w:space="0" w:color="auto"/>
              <w:bottom w:val="single" w:sz="4" w:space="0" w:color="auto"/>
              <w:right w:val="single" w:sz="4" w:space="0" w:color="auto"/>
            </w:tcBorders>
            <w:vAlign w:val="center"/>
          </w:tcPr>
          <w:p w:rsidR="00C81B24" w:rsidRPr="00C81B24" w:rsidRDefault="00C81B24" w:rsidP="00CE5850">
            <w:pPr>
              <w:rPr>
                <w:sz w:val="20"/>
              </w:rPr>
            </w:pPr>
            <w:r w:rsidRPr="00C81B24">
              <w:rPr>
                <w:sz w:val="20"/>
              </w:rPr>
              <w:t>12</w:t>
            </w:r>
          </w:p>
        </w:tc>
        <w:tc>
          <w:tcPr>
            <w:tcW w:w="4012" w:type="dxa"/>
            <w:tcBorders>
              <w:top w:val="nil"/>
              <w:left w:val="nil"/>
              <w:bottom w:val="single" w:sz="4" w:space="0" w:color="auto"/>
              <w:right w:val="single" w:sz="4" w:space="0" w:color="auto"/>
            </w:tcBorders>
            <w:vAlign w:val="center"/>
          </w:tcPr>
          <w:p w:rsidR="00C81B24" w:rsidRPr="00C81B24" w:rsidRDefault="00C81B24" w:rsidP="00CE5850">
            <w:pPr>
              <w:rPr>
                <w:sz w:val="20"/>
              </w:rPr>
            </w:pPr>
            <w:r w:rsidRPr="00C81B24">
              <w:rPr>
                <w:sz w:val="20"/>
              </w:rPr>
              <w:t>Philadelphia-Wilmington-Atlantic City, PA-NJ-DE-MD</w:t>
            </w:r>
          </w:p>
        </w:tc>
        <w:tc>
          <w:tcPr>
            <w:tcW w:w="1102"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7,631,271</w:t>
            </w:r>
          </w:p>
        </w:tc>
        <w:tc>
          <w:tcPr>
            <w:tcW w:w="1155"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7,735,541</w:t>
            </w:r>
          </w:p>
        </w:tc>
        <w:tc>
          <w:tcPr>
            <w:tcW w:w="979"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99%</w:t>
            </w:r>
          </w:p>
        </w:tc>
        <w:tc>
          <w:tcPr>
            <w:tcW w:w="635" w:type="dxa"/>
            <w:tcBorders>
              <w:top w:val="nil"/>
              <w:left w:val="nil"/>
              <w:bottom w:val="single" w:sz="4" w:space="0" w:color="auto"/>
              <w:right w:val="single" w:sz="4" w:space="0" w:color="auto"/>
            </w:tcBorders>
            <w:noWrap/>
            <w:vAlign w:val="bottom"/>
          </w:tcPr>
          <w:p w:rsidR="00C81B24" w:rsidRPr="00C81B24" w:rsidRDefault="00C81B24" w:rsidP="00CE5850">
            <w:pPr>
              <w:rPr>
                <w:sz w:val="20"/>
              </w:rPr>
            </w:pPr>
            <w:r w:rsidRPr="00C81B24">
              <w:rPr>
                <w:sz w:val="20"/>
              </w:rPr>
              <w:t>2541</w:t>
            </w:r>
          </w:p>
        </w:tc>
        <w:tc>
          <w:tcPr>
            <w:tcW w:w="536"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2498</w:t>
            </w:r>
          </w:p>
        </w:tc>
        <w:tc>
          <w:tcPr>
            <w:tcW w:w="736"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854.00</w:t>
            </w:r>
          </w:p>
        </w:tc>
      </w:tr>
      <w:tr w:rsidR="00C81B24" w:rsidRPr="00C81B24" w:rsidTr="00526AD9">
        <w:trPr>
          <w:trHeight w:val="255"/>
          <w:jc w:val="center"/>
        </w:trPr>
        <w:tc>
          <w:tcPr>
            <w:tcW w:w="554" w:type="dxa"/>
            <w:tcBorders>
              <w:top w:val="nil"/>
              <w:left w:val="single" w:sz="4" w:space="0" w:color="auto"/>
              <w:bottom w:val="single" w:sz="4" w:space="0" w:color="auto"/>
              <w:right w:val="single" w:sz="4" w:space="0" w:color="auto"/>
            </w:tcBorders>
            <w:vAlign w:val="bottom"/>
          </w:tcPr>
          <w:p w:rsidR="00C81B24" w:rsidRPr="00C81B24" w:rsidRDefault="00C81B24" w:rsidP="00CE5850">
            <w:pPr>
              <w:rPr>
                <w:sz w:val="20"/>
              </w:rPr>
            </w:pPr>
            <w:r w:rsidRPr="00C81B24">
              <w:rPr>
                <w:sz w:val="20"/>
              </w:rPr>
              <w:t>32</w:t>
            </w:r>
          </w:p>
        </w:tc>
        <w:tc>
          <w:tcPr>
            <w:tcW w:w="456" w:type="dxa"/>
            <w:tcBorders>
              <w:top w:val="nil"/>
              <w:left w:val="single" w:sz="4" w:space="0" w:color="auto"/>
              <w:bottom w:val="single" w:sz="4" w:space="0" w:color="auto"/>
              <w:right w:val="single" w:sz="4" w:space="0" w:color="auto"/>
            </w:tcBorders>
            <w:vAlign w:val="center"/>
          </w:tcPr>
          <w:p w:rsidR="00C81B24" w:rsidRPr="00C81B24" w:rsidRDefault="00C81B24" w:rsidP="00CE5850">
            <w:pPr>
              <w:rPr>
                <w:sz w:val="20"/>
              </w:rPr>
            </w:pPr>
            <w:r w:rsidRPr="00C81B24">
              <w:rPr>
                <w:sz w:val="20"/>
              </w:rPr>
              <w:t>45</w:t>
            </w:r>
          </w:p>
        </w:tc>
        <w:tc>
          <w:tcPr>
            <w:tcW w:w="4012" w:type="dxa"/>
            <w:tcBorders>
              <w:top w:val="nil"/>
              <w:left w:val="nil"/>
              <w:bottom w:val="single" w:sz="4" w:space="0" w:color="auto"/>
              <w:right w:val="single" w:sz="4" w:space="0" w:color="auto"/>
            </w:tcBorders>
            <w:vAlign w:val="center"/>
          </w:tcPr>
          <w:p w:rsidR="00C81B24" w:rsidRPr="00C81B24" w:rsidRDefault="00C81B24" w:rsidP="00CE5850">
            <w:pPr>
              <w:rPr>
                <w:sz w:val="20"/>
              </w:rPr>
            </w:pPr>
            <w:r w:rsidRPr="00C81B24">
              <w:rPr>
                <w:sz w:val="20"/>
              </w:rPr>
              <w:t>Johnson City-Kingsport-Bristol, TN-VA</w:t>
            </w:r>
          </w:p>
        </w:tc>
        <w:tc>
          <w:tcPr>
            <w:tcW w:w="1102"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604,444</w:t>
            </w:r>
          </w:p>
        </w:tc>
        <w:tc>
          <w:tcPr>
            <w:tcW w:w="1155"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609,299</w:t>
            </w:r>
          </w:p>
        </w:tc>
        <w:tc>
          <w:tcPr>
            <w:tcW w:w="979"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99%</w:t>
            </w:r>
          </w:p>
        </w:tc>
        <w:tc>
          <w:tcPr>
            <w:tcW w:w="635" w:type="dxa"/>
            <w:tcBorders>
              <w:top w:val="nil"/>
              <w:left w:val="nil"/>
              <w:bottom w:val="single" w:sz="4" w:space="0" w:color="auto"/>
              <w:right w:val="single" w:sz="4" w:space="0" w:color="auto"/>
            </w:tcBorders>
            <w:noWrap/>
            <w:vAlign w:val="bottom"/>
          </w:tcPr>
          <w:p w:rsidR="00C81B24" w:rsidRPr="00C81B24" w:rsidRDefault="00C81B24" w:rsidP="00CE5850">
            <w:pPr>
              <w:rPr>
                <w:sz w:val="20"/>
              </w:rPr>
            </w:pPr>
            <w:r w:rsidRPr="00C81B24">
              <w:rPr>
                <w:sz w:val="20"/>
              </w:rPr>
              <w:t>3985</w:t>
            </w:r>
          </w:p>
        </w:tc>
        <w:tc>
          <w:tcPr>
            <w:tcW w:w="536"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3801</w:t>
            </w:r>
          </w:p>
        </w:tc>
        <w:tc>
          <w:tcPr>
            <w:tcW w:w="736"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154.77</w:t>
            </w:r>
          </w:p>
        </w:tc>
      </w:tr>
      <w:tr w:rsidR="00C81B24" w:rsidRPr="00C81B24" w:rsidTr="00526AD9">
        <w:trPr>
          <w:trHeight w:val="255"/>
          <w:jc w:val="center"/>
        </w:trPr>
        <w:tc>
          <w:tcPr>
            <w:tcW w:w="554" w:type="dxa"/>
            <w:tcBorders>
              <w:top w:val="nil"/>
              <w:left w:val="single" w:sz="4" w:space="0" w:color="auto"/>
              <w:bottom w:val="single" w:sz="4" w:space="0" w:color="auto"/>
              <w:right w:val="single" w:sz="4" w:space="0" w:color="auto"/>
            </w:tcBorders>
            <w:vAlign w:val="bottom"/>
          </w:tcPr>
          <w:p w:rsidR="00C81B24" w:rsidRPr="00C81B24" w:rsidRDefault="00C81B24" w:rsidP="00CE5850">
            <w:pPr>
              <w:rPr>
                <w:sz w:val="20"/>
              </w:rPr>
            </w:pPr>
            <w:r w:rsidRPr="00C81B24">
              <w:rPr>
                <w:sz w:val="20"/>
              </w:rPr>
              <w:t>33</w:t>
            </w:r>
          </w:p>
        </w:tc>
        <w:tc>
          <w:tcPr>
            <w:tcW w:w="456" w:type="dxa"/>
            <w:tcBorders>
              <w:top w:val="nil"/>
              <w:left w:val="single" w:sz="4" w:space="0" w:color="auto"/>
              <w:bottom w:val="single" w:sz="4" w:space="0" w:color="auto"/>
              <w:right w:val="single" w:sz="4" w:space="0" w:color="auto"/>
            </w:tcBorders>
            <w:vAlign w:val="center"/>
          </w:tcPr>
          <w:p w:rsidR="00C81B24" w:rsidRPr="00C81B24" w:rsidRDefault="00C81B24" w:rsidP="00CE5850">
            <w:pPr>
              <w:rPr>
                <w:sz w:val="20"/>
              </w:rPr>
            </w:pPr>
            <w:r w:rsidRPr="00C81B24">
              <w:rPr>
                <w:sz w:val="20"/>
              </w:rPr>
              <w:t>51</w:t>
            </w:r>
          </w:p>
        </w:tc>
        <w:tc>
          <w:tcPr>
            <w:tcW w:w="4012" w:type="dxa"/>
            <w:tcBorders>
              <w:top w:val="nil"/>
              <w:left w:val="nil"/>
              <w:bottom w:val="single" w:sz="4" w:space="0" w:color="auto"/>
              <w:right w:val="single" w:sz="4" w:space="0" w:color="auto"/>
            </w:tcBorders>
            <w:vAlign w:val="center"/>
          </w:tcPr>
          <w:p w:rsidR="00C81B24" w:rsidRPr="00C81B24" w:rsidRDefault="00C81B24" w:rsidP="00CE5850">
            <w:pPr>
              <w:rPr>
                <w:sz w:val="20"/>
              </w:rPr>
            </w:pPr>
            <w:r w:rsidRPr="00C81B24">
              <w:rPr>
                <w:sz w:val="20"/>
              </w:rPr>
              <w:t>Columbus, OH</w:t>
            </w:r>
          </w:p>
        </w:tc>
        <w:tc>
          <w:tcPr>
            <w:tcW w:w="1102"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2,570,369</w:t>
            </w:r>
          </w:p>
        </w:tc>
        <w:tc>
          <w:tcPr>
            <w:tcW w:w="1155"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2,594,734</w:t>
            </w:r>
          </w:p>
        </w:tc>
        <w:tc>
          <w:tcPr>
            <w:tcW w:w="979"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99%</w:t>
            </w:r>
          </w:p>
        </w:tc>
        <w:tc>
          <w:tcPr>
            <w:tcW w:w="635" w:type="dxa"/>
            <w:tcBorders>
              <w:top w:val="nil"/>
              <w:left w:val="nil"/>
              <w:bottom w:val="single" w:sz="4" w:space="0" w:color="auto"/>
              <w:right w:val="single" w:sz="4" w:space="0" w:color="auto"/>
            </w:tcBorders>
            <w:noWrap/>
            <w:vAlign w:val="bottom"/>
          </w:tcPr>
          <w:p w:rsidR="00C81B24" w:rsidRPr="00C81B24" w:rsidRDefault="00C81B24" w:rsidP="00CE5850">
            <w:pPr>
              <w:rPr>
                <w:sz w:val="20"/>
              </w:rPr>
            </w:pPr>
            <w:r w:rsidRPr="00C81B24">
              <w:rPr>
                <w:sz w:val="20"/>
              </w:rPr>
              <w:t>3334</w:t>
            </w:r>
          </w:p>
        </w:tc>
        <w:tc>
          <w:tcPr>
            <w:tcW w:w="536"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3157</w:t>
            </w:r>
          </w:p>
        </w:tc>
        <w:tc>
          <w:tcPr>
            <w:tcW w:w="736"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212.13</w:t>
            </w:r>
          </w:p>
        </w:tc>
      </w:tr>
      <w:tr w:rsidR="00C81B24" w:rsidRPr="00C81B24" w:rsidTr="00526AD9">
        <w:trPr>
          <w:trHeight w:val="255"/>
          <w:jc w:val="center"/>
        </w:trPr>
        <w:tc>
          <w:tcPr>
            <w:tcW w:w="554" w:type="dxa"/>
            <w:tcBorders>
              <w:top w:val="nil"/>
              <w:left w:val="single" w:sz="4" w:space="0" w:color="auto"/>
              <w:bottom w:val="single" w:sz="4" w:space="0" w:color="auto"/>
              <w:right w:val="single" w:sz="4" w:space="0" w:color="auto"/>
            </w:tcBorders>
            <w:vAlign w:val="bottom"/>
          </w:tcPr>
          <w:p w:rsidR="00C81B24" w:rsidRPr="00C81B24" w:rsidRDefault="00C81B24" w:rsidP="00CE5850">
            <w:pPr>
              <w:rPr>
                <w:sz w:val="20"/>
              </w:rPr>
            </w:pPr>
            <w:r w:rsidRPr="00C81B24">
              <w:rPr>
                <w:sz w:val="20"/>
              </w:rPr>
              <w:t>34</w:t>
            </w:r>
          </w:p>
        </w:tc>
        <w:tc>
          <w:tcPr>
            <w:tcW w:w="456" w:type="dxa"/>
            <w:tcBorders>
              <w:top w:val="nil"/>
              <w:left w:val="single" w:sz="4" w:space="0" w:color="auto"/>
              <w:bottom w:val="single" w:sz="4" w:space="0" w:color="auto"/>
              <w:right w:val="single" w:sz="4" w:space="0" w:color="auto"/>
            </w:tcBorders>
            <w:vAlign w:val="center"/>
          </w:tcPr>
          <w:p w:rsidR="00C81B24" w:rsidRPr="00C81B24" w:rsidRDefault="00C81B24" w:rsidP="00CE5850">
            <w:pPr>
              <w:rPr>
                <w:sz w:val="20"/>
              </w:rPr>
            </w:pPr>
            <w:r w:rsidRPr="00C81B24">
              <w:rPr>
                <w:sz w:val="20"/>
              </w:rPr>
              <w:t>64</w:t>
            </w:r>
          </w:p>
        </w:tc>
        <w:tc>
          <w:tcPr>
            <w:tcW w:w="4012" w:type="dxa"/>
            <w:tcBorders>
              <w:top w:val="nil"/>
              <w:left w:val="nil"/>
              <w:bottom w:val="single" w:sz="4" w:space="0" w:color="auto"/>
              <w:right w:val="single" w:sz="4" w:space="0" w:color="auto"/>
            </w:tcBorders>
            <w:vAlign w:val="center"/>
          </w:tcPr>
          <w:p w:rsidR="00C81B24" w:rsidRPr="00C81B24" w:rsidRDefault="00C81B24" w:rsidP="00CE5850">
            <w:pPr>
              <w:rPr>
                <w:sz w:val="20"/>
              </w:rPr>
            </w:pPr>
            <w:r w:rsidRPr="00C81B24">
              <w:rPr>
                <w:sz w:val="20"/>
              </w:rPr>
              <w:t>Chicago-Gary-Kenosha, IL-IN-WI</w:t>
            </w:r>
          </w:p>
        </w:tc>
        <w:tc>
          <w:tcPr>
            <w:tcW w:w="1102"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10,605,086</w:t>
            </w:r>
          </w:p>
        </w:tc>
        <w:tc>
          <w:tcPr>
            <w:tcW w:w="1155"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10,758,118</w:t>
            </w:r>
          </w:p>
        </w:tc>
        <w:tc>
          <w:tcPr>
            <w:tcW w:w="979"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99%</w:t>
            </w:r>
          </w:p>
        </w:tc>
        <w:tc>
          <w:tcPr>
            <w:tcW w:w="635" w:type="dxa"/>
            <w:tcBorders>
              <w:top w:val="nil"/>
              <w:left w:val="nil"/>
              <w:bottom w:val="single" w:sz="4" w:space="0" w:color="auto"/>
              <w:right w:val="single" w:sz="4" w:space="0" w:color="auto"/>
            </w:tcBorders>
            <w:noWrap/>
            <w:vAlign w:val="bottom"/>
          </w:tcPr>
          <w:p w:rsidR="00C81B24" w:rsidRPr="00C81B24" w:rsidRDefault="00C81B24" w:rsidP="00CE5850">
            <w:pPr>
              <w:rPr>
                <w:sz w:val="20"/>
              </w:rPr>
            </w:pPr>
            <w:r w:rsidRPr="00C81B24">
              <w:rPr>
                <w:sz w:val="20"/>
              </w:rPr>
              <w:t>2092</w:t>
            </w:r>
          </w:p>
        </w:tc>
        <w:tc>
          <w:tcPr>
            <w:tcW w:w="536"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2070</w:t>
            </w:r>
          </w:p>
        </w:tc>
        <w:tc>
          <w:tcPr>
            <w:tcW w:w="736"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585.21</w:t>
            </w:r>
          </w:p>
        </w:tc>
      </w:tr>
      <w:tr w:rsidR="00C81B24" w:rsidRPr="00C81B24" w:rsidTr="00526AD9">
        <w:trPr>
          <w:trHeight w:val="255"/>
          <w:jc w:val="center"/>
        </w:trPr>
        <w:tc>
          <w:tcPr>
            <w:tcW w:w="554" w:type="dxa"/>
            <w:tcBorders>
              <w:top w:val="nil"/>
              <w:left w:val="single" w:sz="4" w:space="0" w:color="auto"/>
              <w:bottom w:val="single" w:sz="4" w:space="0" w:color="auto"/>
              <w:right w:val="single" w:sz="4" w:space="0" w:color="auto"/>
            </w:tcBorders>
            <w:vAlign w:val="bottom"/>
          </w:tcPr>
          <w:p w:rsidR="00C81B24" w:rsidRPr="00C81B24" w:rsidRDefault="00C81B24" w:rsidP="00CE5850">
            <w:pPr>
              <w:rPr>
                <w:sz w:val="20"/>
              </w:rPr>
            </w:pPr>
            <w:r w:rsidRPr="00C81B24">
              <w:rPr>
                <w:sz w:val="20"/>
              </w:rPr>
              <w:t>35</w:t>
            </w:r>
          </w:p>
        </w:tc>
        <w:tc>
          <w:tcPr>
            <w:tcW w:w="456" w:type="dxa"/>
            <w:tcBorders>
              <w:top w:val="nil"/>
              <w:left w:val="single" w:sz="4" w:space="0" w:color="auto"/>
              <w:bottom w:val="single" w:sz="4" w:space="0" w:color="auto"/>
              <w:right w:val="single" w:sz="4" w:space="0" w:color="auto"/>
            </w:tcBorders>
            <w:vAlign w:val="center"/>
          </w:tcPr>
          <w:p w:rsidR="00C81B24" w:rsidRPr="00C81B24" w:rsidRDefault="00C81B24" w:rsidP="00CE5850">
            <w:pPr>
              <w:rPr>
                <w:sz w:val="20"/>
              </w:rPr>
            </w:pPr>
            <w:r w:rsidRPr="00C81B24">
              <w:rPr>
                <w:sz w:val="20"/>
              </w:rPr>
              <w:t>81</w:t>
            </w:r>
          </w:p>
        </w:tc>
        <w:tc>
          <w:tcPr>
            <w:tcW w:w="4012" w:type="dxa"/>
            <w:tcBorders>
              <w:top w:val="nil"/>
              <w:left w:val="nil"/>
              <w:bottom w:val="single" w:sz="4" w:space="0" w:color="auto"/>
              <w:right w:val="single" w:sz="4" w:space="0" w:color="auto"/>
            </w:tcBorders>
            <w:vAlign w:val="center"/>
          </w:tcPr>
          <w:p w:rsidR="00C81B24" w:rsidRPr="00C81B24" w:rsidRDefault="00C81B24" w:rsidP="00CE5850">
            <w:pPr>
              <w:rPr>
                <w:sz w:val="20"/>
              </w:rPr>
            </w:pPr>
            <w:r w:rsidRPr="00C81B24">
              <w:rPr>
                <w:sz w:val="20"/>
              </w:rPr>
              <w:t>Pensacola, FL</w:t>
            </w:r>
          </w:p>
        </w:tc>
        <w:tc>
          <w:tcPr>
            <w:tcW w:w="1102"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679,176</w:t>
            </w:r>
          </w:p>
        </w:tc>
        <w:tc>
          <w:tcPr>
            <w:tcW w:w="1155"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684,856</w:t>
            </w:r>
          </w:p>
        </w:tc>
        <w:tc>
          <w:tcPr>
            <w:tcW w:w="979"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99%</w:t>
            </w:r>
          </w:p>
        </w:tc>
        <w:tc>
          <w:tcPr>
            <w:tcW w:w="635" w:type="dxa"/>
            <w:tcBorders>
              <w:top w:val="nil"/>
              <w:left w:val="nil"/>
              <w:bottom w:val="single" w:sz="4" w:space="0" w:color="auto"/>
              <w:right w:val="single" w:sz="4" w:space="0" w:color="auto"/>
            </w:tcBorders>
            <w:noWrap/>
            <w:vAlign w:val="bottom"/>
          </w:tcPr>
          <w:p w:rsidR="00C81B24" w:rsidRPr="00C81B24" w:rsidRDefault="00C81B24" w:rsidP="00CE5850">
            <w:pPr>
              <w:rPr>
                <w:sz w:val="20"/>
              </w:rPr>
            </w:pPr>
            <w:r w:rsidRPr="00C81B24">
              <w:rPr>
                <w:sz w:val="20"/>
              </w:rPr>
              <w:t>2944</w:t>
            </w:r>
          </w:p>
        </w:tc>
        <w:tc>
          <w:tcPr>
            <w:tcW w:w="536"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2732</w:t>
            </w:r>
          </w:p>
        </w:tc>
        <w:tc>
          <w:tcPr>
            <w:tcW w:w="736"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188.36</w:t>
            </w:r>
          </w:p>
        </w:tc>
      </w:tr>
      <w:tr w:rsidR="00C81B24" w:rsidRPr="00C81B24" w:rsidTr="00526AD9">
        <w:trPr>
          <w:trHeight w:val="255"/>
          <w:jc w:val="center"/>
        </w:trPr>
        <w:tc>
          <w:tcPr>
            <w:tcW w:w="554" w:type="dxa"/>
            <w:tcBorders>
              <w:top w:val="nil"/>
              <w:left w:val="single" w:sz="4" w:space="0" w:color="auto"/>
              <w:bottom w:val="single" w:sz="4" w:space="0" w:color="auto"/>
              <w:right w:val="single" w:sz="4" w:space="0" w:color="auto"/>
            </w:tcBorders>
            <w:vAlign w:val="bottom"/>
          </w:tcPr>
          <w:p w:rsidR="00C81B24" w:rsidRPr="00C81B24" w:rsidRDefault="00C81B24" w:rsidP="00CE5850">
            <w:pPr>
              <w:rPr>
                <w:sz w:val="20"/>
              </w:rPr>
            </w:pPr>
            <w:r w:rsidRPr="00C81B24">
              <w:rPr>
                <w:sz w:val="20"/>
              </w:rPr>
              <w:t>36</w:t>
            </w:r>
          </w:p>
        </w:tc>
        <w:tc>
          <w:tcPr>
            <w:tcW w:w="456" w:type="dxa"/>
            <w:tcBorders>
              <w:top w:val="nil"/>
              <w:left w:val="single" w:sz="4" w:space="0" w:color="auto"/>
              <w:bottom w:val="single" w:sz="4" w:space="0" w:color="auto"/>
              <w:right w:val="single" w:sz="4" w:space="0" w:color="auto"/>
            </w:tcBorders>
            <w:vAlign w:val="center"/>
          </w:tcPr>
          <w:p w:rsidR="00C81B24" w:rsidRPr="00C81B24" w:rsidRDefault="00C81B24" w:rsidP="00CE5850">
            <w:pPr>
              <w:rPr>
                <w:sz w:val="20"/>
              </w:rPr>
            </w:pPr>
            <w:r w:rsidRPr="00C81B24">
              <w:rPr>
                <w:sz w:val="20"/>
              </w:rPr>
              <w:t>82</w:t>
            </w:r>
          </w:p>
        </w:tc>
        <w:tc>
          <w:tcPr>
            <w:tcW w:w="4012" w:type="dxa"/>
            <w:tcBorders>
              <w:top w:val="nil"/>
              <w:left w:val="nil"/>
              <w:bottom w:val="single" w:sz="4" w:space="0" w:color="auto"/>
              <w:right w:val="single" w:sz="4" w:space="0" w:color="auto"/>
            </w:tcBorders>
            <w:vAlign w:val="center"/>
          </w:tcPr>
          <w:p w:rsidR="00C81B24" w:rsidRPr="00C81B24" w:rsidRDefault="00C81B24" w:rsidP="00CE5850">
            <w:pPr>
              <w:rPr>
                <w:sz w:val="20"/>
              </w:rPr>
            </w:pPr>
            <w:r w:rsidRPr="00C81B24">
              <w:rPr>
                <w:sz w:val="20"/>
              </w:rPr>
              <w:t>Biloxi-Gulfport-Pascagoula, MS</w:t>
            </w:r>
          </w:p>
        </w:tc>
        <w:tc>
          <w:tcPr>
            <w:tcW w:w="1102"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408,698</w:t>
            </w:r>
          </w:p>
        </w:tc>
        <w:tc>
          <w:tcPr>
            <w:tcW w:w="1155"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411,066</w:t>
            </w:r>
          </w:p>
        </w:tc>
        <w:tc>
          <w:tcPr>
            <w:tcW w:w="979"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99%</w:t>
            </w:r>
          </w:p>
        </w:tc>
        <w:tc>
          <w:tcPr>
            <w:tcW w:w="635" w:type="dxa"/>
            <w:tcBorders>
              <w:top w:val="nil"/>
              <w:left w:val="nil"/>
              <w:bottom w:val="single" w:sz="4" w:space="0" w:color="auto"/>
              <w:right w:val="single" w:sz="4" w:space="0" w:color="auto"/>
            </w:tcBorders>
            <w:noWrap/>
            <w:vAlign w:val="bottom"/>
          </w:tcPr>
          <w:p w:rsidR="00C81B24" w:rsidRPr="00C81B24" w:rsidRDefault="00C81B24" w:rsidP="00CE5850">
            <w:pPr>
              <w:rPr>
                <w:sz w:val="20"/>
              </w:rPr>
            </w:pPr>
            <w:r w:rsidRPr="00C81B24">
              <w:rPr>
                <w:sz w:val="20"/>
              </w:rPr>
              <w:t>2611</w:t>
            </w:r>
          </w:p>
        </w:tc>
        <w:tc>
          <w:tcPr>
            <w:tcW w:w="536"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2545</w:t>
            </w:r>
          </w:p>
        </w:tc>
        <w:tc>
          <w:tcPr>
            <w:tcW w:w="736"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152.55</w:t>
            </w:r>
          </w:p>
        </w:tc>
      </w:tr>
      <w:tr w:rsidR="00C81B24" w:rsidRPr="00C81B24" w:rsidTr="00526AD9">
        <w:trPr>
          <w:trHeight w:val="255"/>
          <w:jc w:val="center"/>
        </w:trPr>
        <w:tc>
          <w:tcPr>
            <w:tcW w:w="554" w:type="dxa"/>
            <w:tcBorders>
              <w:top w:val="nil"/>
              <w:left w:val="single" w:sz="4" w:space="0" w:color="auto"/>
              <w:bottom w:val="single" w:sz="4" w:space="0" w:color="auto"/>
              <w:right w:val="single" w:sz="4" w:space="0" w:color="auto"/>
            </w:tcBorders>
            <w:vAlign w:val="bottom"/>
          </w:tcPr>
          <w:p w:rsidR="00C81B24" w:rsidRPr="00C81B24" w:rsidRDefault="00C81B24" w:rsidP="00CE5850">
            <w:pPr>
              <w:rPr>
                <w:sz w:val="20"/>
              </w:rPr>
            </w:pPr>
            <w:r w:rsidRPr="00C81B24">
              <w:rPr>
                <w:sz w:val="20"/>
              </w:rPr>
              <w:t>37</w:t>
            </w:r>
          </w:p>
        </w:tc>
        <w:tc>
          <w:tcPr>
            <w:tcW w:w="456" w:type="dxa"/>
            <w:tcBorders>
              <w:top w:val="nil"/>
              <w:left w:val="single" w:sz="4" w:space="0" w:color="auto"/>
              <w:bottom w:val="single" w:sz="4" w:space="0" w:color="auto"/>
              <w:right w:val="single" w:sz="4" w:space="0" w:color="auto"/>
            </w:tcBorders>
            <w:vAlign w:val="center"/>
          </w:tcPr>
          <w:p w:rsidR="00C81B24" w:rsidRPr="00C81B24" w:rsidRDefault="00C81B24" w:rsidP="00CE5850">
            <w:pPr>
              <w:rPr>
                <w:sz w:val="20"/>
              </w:rPr>
            </w:pPr>
            <w:r w:rsidRPr="00C81B24">
              <w:rPr>
                <w:sz w:val="20"/>
              </w:rPr>
              <w:t>3</w:t>
            </w:r>
          </w:p>
        </w:tc>
        <w:tc>
          <w:tcPr>
            <w:tcW w:w="4012" w:type="dxa"/>
            <w:tcBorders>
              <w:top w:val="nil"/>
              <w:left w:val="nil"/>
              <w:bottom w:val="single" w:sz="4" w:space="0" w:color="auto"/>
              <w:right w:val="single" w:sz="4" w:space="0" w:color="auto"/>
            </w:tcBorders>
            <w:vAlign w:val="center"/>
          </w:tcPr>
          <w:p w:rsidR="00C81B24" w:rsidRPr="00C81B24" w:rsidRDefault="00C81B24" w:rsidP="00CE5850">
            <w:pPr>
              <w:rPr>
                <w:sz w:val="20"/>
              </w:rPr>
            </w:pPr>
            <w:r w:rsidRPr="00C81B24">
              <w:rPr>
                <w:sz w:val="20"/>
              </w:rPr>
              <w:t>Boston-Worcester-Lawrence-Lowewell-Brockton, MA-NH</w:t>
            </w:r>
          </w:p>
        </w:tc>
        <w:tc>
          <w:tcPr>
            <w:tcW w:w="1102"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8,042,440</w:t>
            </w:r>
          </w:p>
        </w:tc>
        <w:tc>
          <w:tcPr>
            <w:tcW w:w="1155"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8,228,930</w:t>
            </w:r>
          </w:p>
        </w:tc>
        <w:tc>
          <w:tcPr>
            <w:tcW w:w="979"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98%</w:t>
            </w:r>
          </w:p>
        </w:tc>
        <w:tc>
          <w:tcPr>
            <w:tcW w:w="635" w:type="dxa"/>
            <w:tcBorders>
              <w:top w:val="nil"/>
              <w:left w:val="nil"/>
              <w:bottom w:val="single" w:sz="4" w:space="0" w:color="auto"/>
              <w:right w:val="single" w:sz="4" w:space="0" w:color="auto"/>
            </w:tcBorders>
            <w:noWrap/>
            <w:vAlign w:val="bottom"/>
          </w:tcPr>
          <w:p w:rsidR="00C81B24" w:rsidRPr="00C81B24" w:rsidRDefault="00C81B24" w:rsidP="00CE5850">
            <w:pPr>
              <w:rPr>
                <w:sz w:val="20"/>
              </w:rPr>
            </w:pPr>
            <w:r w:rsidRPr="00C81B24">
              <w:rPr>
                <w:sz w:val="20"/>
              </w:rPr>
              <w:t>2819</w:t>
            </w:r>
          </w:p>
        </w:tc>
        <w:tc>
          <w:tcPr>
            <w:tcW w:w="536"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2752</w:t>
            </w:r>
          </w:p>
        </w:tc>
        <w:tc>
          <w:tcPr>
            <w:tcW w:w="736"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454.10</w:t>
            </w:r>
          </w:p>
        </w:tc>
      </w:tr>
      <w:tr w:rsidR="00C81B24" w:rsidRPr="00C81B24" w:rsidTr="00526AD9">
        <w:trPr>
          <w:trHeight w:val="255"/>
          <w:jc w:val="center"/>
        </w:trPr>
        <w:tc>
          <w:tcPr>
            <w:tcW w:w="554" w:type="dxa"/>
            <w:tcBorders>
              <w:top w:val="nil"/>
              <w:left w:val="single" w:sz="4" w:space="0" w:color="auto"/>
              <w:bottom w:val="single" w:sz="4" w:space="0" w:color="auto"/>
              <w:right w:val="single" w:sz="4" w:space="0" w:color="auto"/>
            </w:tcBorders>
            <w:vAlign w:val="bottom"/>
          </w:tcPr>
          <w:p w:rsidR="00C81B24" w:rsidRPr="00C81B24" w:rsidRDefault="00C81B24" w:rsidP="00CE5850">
            <w:pPr>
              <w:rPr>
                <w:sz w:val="20"/>
              </w:rPr>
            </w:pPr>
            <w:r w:rsidRPr="00C81B24">
              <w:rPr>
                <w:sz w:val="20"/>
              </w:rPr>
              <w:t>38</w:t>
            </w:r>
          </w:p>
        </w:tc>
        <w:tc>
          <w:tcPr>
            <w:tcW w:w="456" w:type="dxa"/>
            <w:tcBorders>
              <w:top w:val="nil"/>
              <w:left w:val="single" w:sz="4" w:space="0" w:color="auto"/>
              <w:bottom w:val="single" w:sz="4" w:space="0" w:color="auto"/>
              <w:right w:val="single" w:sz="4" w:space="0" w:color="auto"/>
            </w:tcBorders>
            <w:vAlign w:val="center"/>
          </w:tcPr>
          <w:p w:rsidR="00C81B24" w:rsidRPr="00C81B24" w:rsidRDefault="00C81B24" w:rsidP="00CE5850">
            <w:pPr>
              <w:rPr>
                <w:sz w:val="20"/>
              </w:rPr>
            </w:pPr>
            <w:r w:rsidRPr="00C81B24">
              <w:rPr>
                <w:sz w:val="20"/>
              </w:rPr>
              <w:t>50</w:t>
            </w:r>
          </w:p>
        </w:tc>
        <w:tc>
          <w:tcPr>
            <w:tcW w:w="4012" w:type="dxa"/>
            <w:tcBorders>
              <w:top w:val="nil"/>
              <w:left w:val="nil"/>
              <w:bottom w:val="single" w:sz="4" w:space="0" w:color="auto"/>
              <w:right w:val="single" w:sz="4" w:space="0" w:color="auto"/>
            </w:tcBorders>
            <w:vAlign w:val="center"/>
          </w:tcPr>
          <w:p w:rsidR="00C81B24" w:rsidRPr="00C81B24" w:rsidRDefault="00C81B24" w:rsidP="00CE5850">
            <w:pPr>
              <w:rPr>
                <w:sz w:val="20"/>
              </w:rPr>
            </w:pPr>
            <w:r w:rsidRPr="00C81B24">
              <w:rPr>
                <w:sz w:val="20"/>
              </w:rPr>
              <w:t>Dayton-Springfield, OH</w:t>
            </w:r>
          </w:p>
        </w:tc>
        <w:tc>
          <w:tcPr>
            <w:tcW w:w="1102"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1,098,598</w:t>
            </w:r>
          </w:p>
        </w:tc>
        <w:tc>
          <w:tcPr>
            <w:tcW w:w="1155"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1,122,314</w:t>
            </w:r>
          </w:p>
        </w:tc>
        <w:tc>
          <w:tcPr>
            <w:tcW w:w="979"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98%</w:t>
            </w:r>
          </w:p>
        </w:tc>
        <w:tc>
          <w:tcPr>
            <w:tcW w:w="635" w:type="dxa"/>
            <w:tcBorders>
              <w:top w:val="nil"/>
              <w:left w:val="nil"/>
              <w:bottom w:val="single" w:sz="4" w:space="0" w:color="auto"/>
              <w:right w:val="single" w:sz="4" w:space="0" w:color="auto"/>
            </w:tcBorders>
            <w:noWrap/>
            <w:vAlign w:val="bottom"/>
          </w:tcPr>
          <w:p w:rsidR="00C81B24" w:rsidRPr="00C81B24" w:rsidRDefault="00C81B24" w:rsidP="00CE5850">
            <w:pPr>
              <w:rPr>
                <w:sz w:val="20"/>
              </w:rPr>
            </w:pPr>
            <w:r w:rsidRPr="00C81B24">
              <w:rPr>
                <w:sz w:val="20"/>
              </w:rPr>
              <w:t>2716</w:t>
            </w:r>
          </w:p>
        </w:tc>
        <w:tc>
          <w:tcPr>
            <w:tcW w:w="536"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2607</w:t>
            </w:r>
          </w:p>
        </w:tc>
        <w:tc>
          <w:tcPr>
            <w:tcW w:w="736"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317.23</w:t>
            </w:r>
          </w:p>
        </w:tc>
      </w:tr>
      <w:tr w:rsidR="00C81B24" w:rsidRPr="00C81B24" w:rsidTr="00526AD9">
        <w:trPr>
          <w:trHeight w:val="255"/>
          <w:jc w:val="center"/>
        </w:trPr>
        <w:tc>
          <w:tcPr>
            <w:tcW w:w="554" w:type="dxa"/>
            <w:tcBorders>
              <w:top w:val="nil"/>
              <w:left w:val="single" w:sz="4" w:space="0" w:color="auto"/>
              <w:bottom w:val="single" w:sz="4" w:space="0" w:color="auto"/>
              <w:right w:val="single" w:sz="4" w:space="0" w:color="auto"/>
            </w:tcBorders>
            <w:vAlign w:val="bottom"/>
          </w:tcPr>
          <w:p w:rsidR="00C81B24" w:rsidRPr="00C81B24" w:rsidRDefault="00C81B24" w:rsidP="00CE5850">
            <w:pPr>
              <w:rPr>
                <w:sz w:val="20"/>
              </w:rPr>
            </w:pPr>
            <w:r w:rsidRPr="00C81B24">
              <w:rPr>
                <w:sz w:val="20"/>
              </w:rPr>
              <w:t>39</w:t>
            </w:r>
          </w:p>
        </w:tc>
        <w:tc>
          <w:tcPr>
            <w:tcW w:w="456" w:type="dxa"/>
            <w:tcBorders>
              <w:top w:val="nil"/>
              <w:left w:val="single" w:sz="4" w:space="0" w:color="auto"/>
              <w:bottom w:val="single" w:sz="4" w:space="0" w:color="auto"/>
              <w:right w:val="single" w:sz="4" w:space="0" w:color="auto"/>
            </w:tcBorders>
            <w:vAlign w:val="center"/>
          </w:tcPr>
          <w:p w:rsidR="00C81B24" w:rsidRPr="00C81B24" w:rsidRDefault="00C81B24" w:rsidP="00CE5850">
            <w:pPr>
              <w:rPr>
                <w:sz w:val="20"/>
              </w:rPr>
            </w:pPr>
            <w:r w:rsidRPr="00C81B24">
              <w:rPr>
                <w:sz w:val="20"/>
              </w:rPr>
              <w:t>127</w:t>
            </w:r>
          </w:p>
        </w:tc>
        <w:tc>
          <w:tcPr>
            <w:tcW w:w="4012" w:type="dxa"/>
            <w:tcBorders>
              <w:top w:val="nil"/>
              <w:left w:val="nil"/>
              <w:bottom w:val="single" w:sz="4" w:space="0" w:color="auto"/>
              <w:right w:val="single" w:sz="4" w:space="0" w:color="auto"/>
            </w:tcBorders>
            <w:vAlign w:val="center"/>
          </w:tcPr>
          <w:p w:rsidR="00C81B24" w:rsidRPr="00C81B24" w:rsidRDefault="00C81B24" w:rsidP="00CE5850">
            <w:pPr>
              <w:rPr>
                <w:sz w:val="20"/>
              </w:rPr>
            </w:pPr>
            <w:r w:rsidRPr="00C81B24">
              <w:rPr>
                <w:sz w:val="20"/>
              </w:rPr>
              <w:t>Dallas-Fort Worth, TX-AR-OK</w:t>
            </w:r>
          </w:p>
        </w:tc>
        <w:tc>
          <w:tcPr>
            <w:tcW w:w="1102"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8,916,433</w:t>
            </w:r>
          </w:p>
        </w:tc>
        <w:tc>
          <w:tcPr>
            <w:tcW w:w="1155"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9,092,705</w:t>
            </w:r>
          </w:p>
        </w:tc>
        <w:tc>
          <w:tcPr>
            <w:tcW w:w="979"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98%</w:t>
            </w:r>
          </w:p>
        </w:tc>
        <w:tc>
          <w:tcPr>
            <w:tcW w:w="635" w:type="dxa"/>
            <w:tcBorders>
              <w:top w:val="nil"/>
              <w:left w:val="nil"/>
              <w:bottom w:val="single" w:sz="4" w:space="0" w:color="auto"/>
              <w:right w:val="single" w:sz="4" w:space="0" w:color="auto"/>
            </w:tcBorders>
            <w:noWrap/>
            <w:vAlign w:val="bottom"/>
          </w:tcPr>
          <w:p w:rsidR="00C81B24" w:rsidRPr="00C81B24" w:rsidRDefault="00C81B24" w:rsidP="00CE5850">
            <w:pPr>
              <w:rPr>
                <w:sz w:val="20"/>
              </w:rPr>
            </w:pPr>
            <w:r w:rsidRPr="00C81B24">
              <w:rPr>
                <w:sz w:val="20"/>
              </w:rPr>
              <w:t>2639</w:t>
            </w:r>
          </w:p>
        </w:tc>
        <w:tc>
          <w:tcPr>
            <w:tcW w:w="536"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2614</w:t>
            </w:r>
          </w:p>
        </w:tc>
        <w:tc>
          <w:tcPr>
            <w:tcW w:w="736"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145.29</w:t>
            </w:r>
          </w:p>
        </w:tc>
      </w:tr>
      <w:tr w:rsidR="00C81B24" w:rsidRPr="00C81B24" w:rsidTr="00526AD9">
        <w:trPr>
          <w:trHeight w:val="255"/>
          <w:jc w:val="center"/>
        </w:trPr>
        <w:tc>
          <w:tcPr>
            <w:tcW w:w="554" w:type="dxa"/>
            <w:tcBorders>
              <w:top w:val="nil"/>
              <w:left w:val="single" w:sz="4" w:space="0" w:color="auto"/>
              <w:bottom w:val="single" w:sz="4" w:space="0" w:color="auto"/>
              <w:right w:val="single" w:sz="4" w:space="0" w:color="auto"/>
            </w:tcBorders>
            <w:vAlign w:val="bottom"/>
          </w:tcPr>
          <w:p w:rsidR="00C81B24" w:rsidRPr="00C81B24" w:rsidRDefault="00C81B24" w:rsidP="00CE5850">
            <w:pPr>
              <w:rPr>
                <w:sz w:val="20"/>
              </w:rPr>
            </w:pPr>
            <w:r w:rsidRPr="00C81B24">
              <w:rPr>
                <w:sz w:val="20"/>
              </w:rPr>
              <w:t>40</w:t>
            </w:r>
          </w:p>
        </w:tc>
        <w:tc>
          <w:tcPr>
            <w:tcW w:w="456" w:type="dxa"/>
            <w:tcBorders>
              <w:top w:val="nil"/>
              <w:left w:val="single" w:sz="4" w:space="0" w:color="auto"/>
              <w:bottom w:val="single" w:sz="4" w:space="0" w:color="auto"/>
              <w:right w:val="single" w:sz="4" w:space="0" w:color="auto"/>
            </w:tcBorders>
            <w:vAlign w:val="center"/>
          </w:tcPr>
          <w:p w:rsidR="00C81B24" w:rsidRPr="00C81B24" w:rsidRDefault="00C81B24" w:rsidP="00CE5850">
            <w:pPr>
              <w:rPr>
                <w:sz w:val="20"/>
              </w:rPr>
            </w:pPr>
            <w:r w:rsidRPr="00C81B24">
              <w:rPr>
                <w:sz w:val="20"/>
              </w:rPr>
              <w:t>131</w:t>
            </w:r>
          </w:p>
        </w:tc>
        <w:tc>
          <w:tcPr>
            <w:tcW w:w="4012" w:type="dxa"/>
            <w:tcBorders>
              <w:top w:val="nil"/>
              <w:left w:val="nil"/>
              <w:bottom w:val="single" w:sz="4" w:space="0" w:color="auto"/>
              <w:right w:val="single" w:sz="4" w:space="0" w:color="auto"/>
            </w:tcBorders>
            <w:vAlign w:val="center"/>
          </w:tcPr>
          <w:p w:rsidR="00C81B24" w:rsidRPr="00C81B24" w:rsidRDefault="00C81B24" w:rsidP="00CE5850">
            <w:pPr>
              <w:rPr>
                <w:sz w:val="20"/>
              </w:rPr>
            </w:pPr>
            <w:r w:rsidRPr="00C81B24">
              <w:rPr>
                <w:sz w:val="20"/>
              </w:rPr>
              <w:t>Houston-Galveston-Brazoria, TX</w:t>
            </w:r>
          </w:p>
        </w:tc>
        <w:tc>
          <w:tcPr>
            <w:tcW w:w="1102"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6,817,107</w:t>
            </w:r>
          </w:p>
        </w:tc>
        <w:tc>
          <w:tcPr>
            <w:tcW w:w="1155"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6,949,709</w:t>
            </w:r>
          </w:p>
        </w:tc>
        <w:tc>
          <w:tcPr>
            <w:tcW w:w="979"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98%</w:t>
            </w:r>
          </w:p>
        </w:tc>
        <w:tc>
          <w:tcPr>
            <w:tcW w:w="635" w:type="dxa"/>
            <w:tcBorders>
              <w:top w:val="nil"/>
              <w:left w:val="nil"/>
              <w:bottom w:val="single" w:sz="4" w:space="0" w:color="auto"/>
              <w:right w:val="single" w:sz="4" w:space="0" w:color="auto"/>
            </w:tcBorders>
            <w:noWrap/>
            <w:vAlign w:val="bottom"/>
          </w:tcPr>
          <w:p w:rsidR="00C81B24" w:rsidRPr="00C81B24" w:rsidRDefault="00C81B24" w:rsidP="00CE5850">
            <w:pPr>
              <w:rPr>
                <w:sz w:val="20"/>
              </w:rPr>
            </w:pPr>
            <w:r w:rsidRPr="00C81B24">
              <w:rPr>
                <w:sz w:val="20"/>
              </w:rPr>
              <w:t>2311</w:t>
            </w:r>
          </w:p>
        </w:tc>
        <w:tc>
          <w:tcPr>
            <w:tcW w:w="536"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2268</w:t>
            </w:r>
          </w:p>
        </w:tc>
        <w:tc>
          <w:tcPr>
            <w:tcW w:w="736"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217.08</w:t>
            </w:r>
          </w:p>
        </w:tc>
      </w:tr>
      <w:tr w:rsidR="00C81B24" w:rsidRPr="00C81B24" w:rsidTr="00526AD9">
        <w:trPr>
          <w:trHeight w:val="255"/>
          <w:jc w:val="center"/>
        </w:trPr>
        <w:tc>
          <w:tcPr>
            <w:tcW w:w="554" w:type="dxa"/>
            <w:tcBorders>
              <w:top w:val="nil"/>
              <w:left w:val="single" w:sz="4" w:space="0" w:color="auto"/>
              <w:bottom w:val="single" w:sz="4" w:space="0" w:color="auto"/>
              <w:right w:val="single" w:sz="4" w:space="0" w:color="auto"/>
            </w:tcBorders>
            <w:vAlign w:val="bottom"/>
          </w:tcPr>
          <w:p w:rsidR="00C81B24" w:rsidRPr="00C81B24" w:rsidRDefault="00C81B24" w:rsidP="00CE5850">
            <w:pPr>
              <w:rPr>
                <w:sz w:val="20"/>
              </w:rPr>
            </w:pPr>
            <w:r w:rsidRPr="00C81B24">
              <w:rPr>
                <w:sz w:val="20"/>
              </w:rPr>
              <w:t>41</w:t>
            </w:r>
          </w:p>
        </w:tc>
        <w:tc>
          <w:tcPr>
            <w:tcW w:w="456" w:type="dxa"/>
            <w:tcBorders>
              <w:top w:val="nil"/>
              <w:left w:val="single" w:sz="4" w:space="0" w:color="auto"/>
              <w:bottom w:val="single" w:sz="4" w:space="0" w:color="auto"/>
              <w:right w:val="single" w:sz="4" w:space="0" w:color="auto"/>
            </w:tcBorders>
            <w:vAlign w:val="center"/>
          </w:tcPr>
          <w:p w:rsidR="00C81B24" w:rsidRPr="00C81B24" w:rsidRDefault="00C81B24" w:rsidP="00CE5850">
            <w:pPr>
              <w:rPr>
                <w:sz w:val="20"/>
              </w:rPr>
            </w:pPr>
            <w:r w:rsidRPr="00C81B24">
              <w:rPr>
                <w:sz w:val="20"/>
              </w:rPr>
              <w:t>17</w:t>
            </w:r>
          </w:p>
        </w:tc>
        <w:tc>
          <w:tcPr>
            <w:tcW w:w="4012" w:type="dxa"/>
            <w:tcBorders>
              <w:top w:val="nil"/>
              <w:left w:val="nil"/>
              <w:bottom w:val="single" w:sz="4" w:space="0" w:color="auto"/>
              <w:right w:val="single" w:sz="4" w:space="0" w:color="auto"/>
            </w:tcBorders>
            <w:vAlign w:val="center"/>
          </w:tcPr>
          <w:p w:rsidR="00C81B24" w:rsidRPr="00C81B24" w:rsidRDefault="00C81B24" w:rsidP="00CE5850">
            <w:pPr>
              <w:rPr>
                <w:sz w:val="20"/>
              </w:rPr>
            </w:pPr>
            <w:r w:rsidRPr="00C81B24">
              <w:rPr>
                <w:sz w:val="20"/>
              </w:rPr>
              <w:t>Roanoke, VA-NC-WV</w:t>
            </w:r>
          </w:p>
        </w:tc>
        <w:tc>
          <w:tcPr>
            <w:tcW w:w="1102"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853,591</w:t>
            </w:r>
          </w:p>
        </w:tc>
        <w:tc>
          <w:tcPr>
            <w:tcW w:w="1155"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882,328</w:t>
            </w:r>
          </w:p>
        </w:tc>
        <w:tc>
          <w:tcPr>
            <w:tcW w:w="979"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97%</w:t>
            </w:r>
          </w:p>
        </w:tc>
        <w:tc>
          <w:tcPr>
            <w:tcW w:w="635" w:type="dxa"/>
            <w:tcBorders>
              <w:top w:val="nil"/>
              <w:left w:val="nil"/>
              <w:bottom w:val="single" w:sz="4" w:space="0" w:color="auto"/>
              <w:right w:val="single" w:sz="4" w:space="0" w:color="auto"/>
            </w:tcBorders>
            <w:noWrap/>
            <w:vAlign w:val="bottom"/>
          </w:tcPr>
          <w:p w:rsidR="00C81B24" w:rsidRPr="00C81B24" w:rsidRDefault="00C81B24" w:rsidP="00CE5850">
            <w:pPr>
              <w:rPr>
                <w:sz w:val="20"/>
              </w:rPr>
            </w:pPr>
            <w:r w:rsidRPr="00C81B24">
              <w:rPr>
                <w:sz w:val="20"/>
              </w:rPr>
              <w:t>2406</w:t>
            </w:r>
          </w:p>
        </w:tc>
        <w:tc>
          <w:tcPr>
            <w:tcW w:w="536"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2384</w:t>
            </w:r>
          </w:p>
        </w:tc>
        <w:tc>
          <w:tcPr>
            <w:tcW w:w="736"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105.61</w:t>
            </w:r>
          </w:p>
        </w:tc>
      </w:tr>
      <w:tr w:rsidR="00C81B24" w:rsidRPr="00C81B24" w:rsidTr="00526AD9">
        <w:trPr>
          <w:trHeight w:val="255"/>
          <w:jc w:val="center"/>
        </w:trPr>
        <w:tc>
          <w:tcPr>
            <w:tcW w:w="554" w:type="dxa"/>
            <w:tcBorders>
              <w:top w:val="nil"/>
              <w:left w:val="single" w:sz="4" w:space="0" w:color="auto"/>
              <w:bottom w:val="single" w:sz="4" w:space="0" w:color="auto"/>
              <w:right w:val="single" w:sz="4" w:space="0" w:color="auto"/>
            </w:tcBorders>
            <w:vAlign w:val="bottom"/>
          </w:tcPr>
          <w:p w:rsidR="00C81B24" w:rsidRPr="00C81B24" w:rsidRDefault="00C81B24" w:rsidP="00CE5850">
            <w:pPr>
              <w:rPr>
                <w:sz w:val="20"/>
              </w:rPr>
            </w:pPr>
            <w:r w:rsidRPr="00C81B24">
              <w:rPr>
                <w:sz w:val="20"/>
              </w:rPr>
              <w:t>42</w:t>
            </w:r>
          </w:p>
        </w:tc>
        <w:tc>
          <w:tcPr>
            <w:tcW w:w="456" w:type="dxa"/>
            <w:tcBorders>
              <w:top w:val="nil"/>
              <w:left w:val="single" w:sz="4" w:space="0" w:color="auto"/>
              <w:bottom w:val="single" w:sz="4" w:space="0" w:color="auto"/>
              <w:right w:val="single" w:sz="4" w:space="0" w:color="auto"/>
            </w:tcBorders>
            <w:vAlign w:val="center"/>
          </w:tcPr>
          <w:p w:rsidR="00C81B24" w:rsidRPr="00C81B24" w:rsidRDefault="00C81B24" w:rsidP="00CE5850">
            <w:pPr>
              <w:rPr>
                <w:sz w:val="20"/>
              </w:rPr>
            </w:pPr>
            <w:r w:rsidRPr="00C81B24">
              <w:rPr>
                <w:sz w:val="20"/>
              </w:rPr>
              <w:t>34</w:t>
            </w:r>
          </w:p>
        </w:tc>
        <w:tc>
          <w:tcPr>
            <w:tcW w:w="4012" w:type="dxa"/>
            <w:tcBorders>
              <w:top w:val="nil"/>
              <w:left w:val="nil"/>
              <w:bottom w:val="single" w:sz="4" w:space="0" w:color="auto"/>
              <w:right w:val="single" w:sz="4" w:space="0" w:color="auto"/>
            </w:tcBorders>
            <w:vAlign w:val="center"/>
          </w:tcPr>
          <w:p w:rsidR="00C81B24" w:rsidRPr="00C81B24" w:rsidRDefault="00C81B24" w:rsidP="00CE5850">
            <w:pPr>
              <w:rPr>
                <w:sz w:val="20"/>
              </w:rPr>
            </w:pPr>
            <w:r w:rsidRPr="00C81B24">
              <w:rPr>
                <w:sz w:val="20"/>
              </w:rPr>
              <w:t>Tampa-St. Petersburg-Clearwater, FL</w:t>
            </w:r>
          </w:p>
        </w:tc>
        <w:tc>
          <w:tcPr>
            <w:tcW w:w="1102"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2,703,053</w:t>
            </w:r>
          </w:p>
        </w:tc>
        <w:tc>
          <w:tcPr>
            <w:tcW w:w="1155"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2,783,243</w:t>
            </w:r>
          </w:p>
        </w:tc>
        <w:tc>
          <w:tcPr>
            <w:tcW w:w="979"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97%</w:t>
            </w:r>
          </w:p>
        </w:tc>
        <w:tc>
          <w:tcPr>
            <w:tcW w:w="635" w:type="dxa"/>
            <w:tcBorders>
              <w:top w:val="nil"/>
              <w:left w:val="nil"/>
              <w:bottom w:val="single" w:sz="4" w:space="0" w:color="auto"/>
              <w:right w:val="single" w:sz="4" w:space="0" w:color="auto"/>
            </w:tcBorders>
            <w:noWrap/>
            <w:vAlign w:val="bottom"/>
          </w:tcPr>
          <w:p w:rsidR="00C81B24" w:rsidRPr="00C81B24" w:rsidRDefault="00C81B24" w:rsidP="00CE5850">
            <w:pPr>
              <w:rPr>
                <w:sz w:val="20"/>
              </w:rPr>
            </w:pPr>
            <w:r w:rsidRPr="00C81B24">
              <w:rPr>
                <w:sz w:val="20"/>
              </w:rPr>
              <w:t>2255</w:t>
            </w:r>
          </w:p>
        </w:tc>
        <w:tc>
          <w:tcPr>
            <w:tcW w:w="536"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2257</w:t>
            </w:r>
          </w:p>
        </w:tc>
        <w:tc>
          <w:tcPr>
            <w:tcW w:w="736"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1107.35</w:t>
            </w:r>
          </w:p>
        </w:tc>
      </w:tr>
      <w:tr w:rsidR="00C81B24" w:rsidRPr="00C81B24" w:rsidTr="00526AD9">
        <w:trPr>
          <w:trHeight w:val="255"/>
          <w:jc w:val="center"/>
        </w:trPr>
        <w:tc>
          <w:tcPr>
            <w:tcW w:w="554" w:type="dxa"/>
            <w:tcBorders>
              <w:top w:val="nil"/>
              <w:left w:val="single" w:sz="4" w:space="0" w:color="auto"/>
              <w:bottom w:val="single" w:sz="4" w:space="0" w:color="auto"/>
              <w:right w:val="single" w:sz="4" w:space="0" w:color="auto"/>
            </w:tcBorders>
            <w:vAlign w:val="bottom"/>
          </w:tcPr>
          <w:p w:rsidR="00C81B24" w:rsidRPr="00C81B24" w:rsidRDefault="00C81B24" w:rsidP="00CE5850">
            <w:pPr>
              <w:rPr>
                <w:sz w:val="20"/>
              </w:rPr>
            </w:pPr>
            <w:r w:rsidRPr="00C81B24">
              <w:rPr>
                <w:sz w:val="20"/>
              </w:rPr>
              <w:t>43</w:t>
            </w:r>
          </w:p>
        </w:tc>
        <w:tc>
          <w:tcPr>
            <w:tcW w:w="456" w:type="dxa"/>
            <w:tcBorders>
              <w:top w:val="nil"/>
              <w:left w:val="single" w:sz="4" w:space="0" w:color="auto"/>
              <w:bottom w:val="single" w:sz="4" w:space="0" w:color="auto"/>
              <w:right w:val="single" w:sz="4" w:space="0" w:color="auto"/>
            </w:tcBorders>
            <w:vAlign w:val="center"/>
          </w:tcPr>
          <w:p w:rsidR="00C81B24" w:rsidRPr="00C81B24" w:rsidRDefault="00C81B24" w:rsidP="00CE5850">
            <w:pPr>
              <w:rPr>
                <w:sz w:val="20"/>
              </w:rPr>
            </w:pPr>
            <w:r w:rsidRPr="00C81B24">
              <w:rPr>
                <w:sz w:val="20"/>
              </w:rPr>
              <w:t>37</w:t>
            </w:r>
          </w:p>
        </w:tc>
        <w:tc>
          <w:tcPr>
            <w:tcW w:w="4012" w:type="dxa"/>
            <w:tcBorders>
              <w:top w:val="nil"/>
              <w:left w:val="nil"/>
              <w:bottom w:val="single" w:sz="4" w:space="0" w:color="auto"/>
              <w:right w:val="single" w:sz="4" w:space="0" w:color="auto"/>
            </w:tcBorders>
            <w:vAlign w:val="center"/>
          </w:tcPr>
          <w:p w:rsidR="00C81B24" w:rsidRPr="00C81B24" w:rsidRDefault="00C81B24" w:rsidP="00CE5850">
            <w:pPr>
              <w:rPr>
                <w:sz w:val="20"/>
              </w:rPr>
            </w:pPr>
            <w:r w:rsidRPr="00C81B24">
              <w:rPr>
                <w:sz w:val="20"/>
              </w:rPr>
              <w:t>Albany, GA</w:t>
            </w:r>
          </w:p>
        </w:tc>
        <w:tc>
          <w:tcPr>
            <w:tcW w:w="1102"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479,234</w:t>
            </w:r>
          </w:p>
        </w:tc>
        <w:tc>
          <w:tcPr>
            <w:tcW w:w="1155"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496,206</w:t>
            </w:r>
          </w:p>
        </w:tc>
        <w:tc>
          <w:tcPr>
            <w:tcW w:w="979"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97%</w:t>
            </w:r>
          </w:p>
        </w:tc>
        <w:tc>
          <w:tcPr>
            <w:tcW w:w="635" w:type="dxa"/>
            <w:tcBorders>
              <w:top w:val="nil"/>
              <w:left w:val="nil"/>
              <w:bottom w:val="single" w:sz="4" w:space="0" w:color="auto"/>
              <w:right w:val="single" w:sz="4" w:space="0" w:color="auto"/>
            </w:tcBorders>
            <w:noWrap/>
            <w:vAlign w:val="bottom"/>
          </w:tcPr>
          <w:p w:rsidR="00C81B24" w:rsidRPr="00C81B24" w:rsidRDefault="00C81B24" w:rsidP="00CE5850">
            <w:pPr>
              <w:rPr>
                <w:sz w:val="20"/>
              </w:rPr>
            </w:pPr>
            <w:r w:rsidRPr="00C81B24">
              <w:rPr>
                <w:sz w:val="20"/>
              </w:rPr>
              <w:t>3651</w:t>
            </w:r>
          </w:p>
        </w:tc>
        <w:tc>
          <w:tcPr>
            <w:tcW w:w="536"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2985</w:t>
            </w:r>
          </w:p>
        </w:tc>
        <w:tc>
          <w:tcPr>
            <w:tcW w:w="736"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67.88</w:t>
            </w:r>
          </w:p>
        </w:tc>
      </w:tr>
      <w:tr w:rsidR="00C81B24" w:rsidRPr="00C81B24" w:rsidTr="00526AD9">
        <w:trPr>
          <w:trHeight w:val="255"/>
          <w:jc w:val="center"/>
        </w:trPr>
        <w:tc>
          <w:tcPr>
            <w:tcW w:w="554" w:type="dxa"/>
            <w:tcBorders>
              <w:top w:val="nil"/>
              <w:left w:val="single" w:sz="4" w:space="0" w:color="auto"/>
              <w:bottom w:val="single" w:sz="4" w:space="0" w:color="auto"/>
              <w:right w:val="single" w:sz="4" w:space="0" w:color="auto"/>
            </w:tcBorders>
            <w:vAlign w:val="bottom"/>
          </w:tcPr>
          <w:p w:rsidR="00C81B24" w:rsidRPr="00C81B24" w:rsidRDefault="00C81B24" w:rsidP="00CE5850">
            <w:pPr>
              <w:rPr>
                <w:sz w:val="20"/>
              </w:rPr>
            </w:pPr>
            <w:r w:rsidRPr="00C81B24">
              <w:rPr>
                <w:sz w:val="20"/>
              </w:rPr>
              <w:t>44</w:t>
            </w:r>
          </w:p>
        </w:tc>
        <w:tc>
          <w:tcPr>
            <w:tcW w:w="456" w:type="dxa"/>
            <w:tcBorders>
              <w:top w:val="nil"/>
              <w:left w:val="single" w:sz="4" w:space="0" w:color="auto"/>
              <w:bottom w:val="single" w:sz="4" w:space="0" w:color="auto"/>
              <w:right w:val="single" w:sz="4" w:space="0" w:color="auto"/>
            </w:tcBorders>
            <w:vAlign w:val="center"/>
          </w:tcPr>
          <w:p w:rsidR="00C81B24" w:rsidRPr="00C81B24" w:rsidRDefault="00C81B24" w:rsidP="00CE5850">
            <w:pPr>
              <w:rPr>
                <w:sz w:val="20"/>
              </w:rPr>
            </w:pPr>
            <w:r w:rsidRPr="00C81B24">
              <w:rPr>
                <w:sz w:val="20"/>
              </w:rPr>
              <w:t>49</w:t>
            </w:r>
          </w:p>
        </w:tc>
        <w:tc>
          <w:tcPr>
            <w:tcW w:w="4012" w:type="dxa"/>
            <w:tcBorders>
              <w:top w:val="nil"/>
              <w:left w:val="nil"/>
              <w:bottom w:val="single" w:sz="4" w:space="0" w:color="auto"/>
              <w:right w:val="single" w:sz="4" w:space="0" w:color="auto"/>
            </w:tcBorders>
            <w:vAlign w:val="center"/>
          </w:tcPr>
          <w:p w:rsidR="00C81B24" w:rsidRPr="00C81B24" w:rsidRDefault="00C81B24" w:rsidP="00CE5850">
            <w:pPr>
              <w:rPr>
                <w:sz w:val="20"/>
              </w:rPr>
            </w:pPr>
            <w:r w:rsidRPr="00C81B24">
              <w:rPr>
                <w:sz w:val="20"/>
                <w:lang w:val="it-IT"/>
              </w:rPr>
              <w:t>Cincinnati-Hamilton, OH-KY-IN</w:t>
            </w:r>
          </w:p>
        </w:tc>
        <w:tc>
          <w:tcPr>
            <w:tcW w:w="1102"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2,236,449</w:t>
            </w:r>
          </w:p>
        </w:tc>
        <w:tc>
          <w:tcPr>
            <w:tcW w:w="1155"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2,315,121</w:t>
            </w:r>
          </w:p>
        </w:tc>
        <w:tc>
          <w:tcPr>
            <w:tcW w:w="979"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97%</w:t>
            </w:r>
          </w:p>
        </w:tc>
        <w:tc>
          <w:tcPr>
            <w:tcW w:w="635" w:type="dxa"/>
            <w:tcBorders>
              <w:top w:val="nil"/>
              <w:left w:val="nil"/>
              <w:bottom w:val="single" w:sz="4" w:space="0" w:color="auto"/>
              <w:right w:val="single" w:sz="4" w:space="0" w:color="auto"/>
            </w:tcBorders>
            <w:noWrap/>
            <w:vAlign w:val="bottom"/>
          </w:tcPr>
          <w:p w:rsidR="00C81B24" w:rsidRPr="00C81B24" w:rsidRDefault="00C81B24" w:rsidP="00CE5850">
            <w:pPr>
              <w:rPr>
                <w:sz w:val="20"/>
              </w:rPr>
            </w:pPr>
            <w:r w:rsidRPr="00C81B24">
              <w:rPr>
                <w:sz w:val="20"/>
              </w:rPr>
              <w:t>2376</w:t>
            </w:r>
          </w:p>
        </w:tc>
        <w:tc>
          <w:tcPr>
            <w:tcW w:w="536"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2287</w:t>
            </w:r>
          </w:p>
        </w:tc>
        <w:tc>
          <w:tcPr>
            <w:tcW w:w="736"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315.95</w:t>
            </w:r>
          </w:p>
        </w:tc>
      </w:tr>
      <w:tr w:rsidR="00C81B24" w:rsidRPr="00C81B24" w:rsidTr="00526AD9">
        <w:trPr>
          <w:trHeight w:val="255"/>
          <w:jc w:val="center"/>
        </w:trPr>
        <w:tc>
          <w:tcPr>
            <w:tcW w:w="554" w:type="dxa"/>
            <w:tcBorders>
              <w:top w:val="nil"/>
              <w:left w:val="single" w:sz="4" w:space="0" w:color="auto"/>
              <w:bottom w:val="single" w:sz="4" w:space="0" w:color="auto"/>
              <w:right w:val="single" w:sz="4" w:space="0" w:color="auto"/>
            </w:tcBorders>
            <w:vAlign w:val="bottom"/>
          </w:tcPr>
          <w:p w:rsidR="00C81B24" w:rsidRPr="00C81B24" w:rsidRDefault="00C81B24" w:rsidP="00CE5850">
            <w:pPr>
              <w:rPr>
                <w:sz w:val="20"/>
              </w:rPr>
            </w:pPr>
            <w:r w:rsidRPr="00C81B24">
              <w:rPr>
                <w:sz w:val="20"/>
              </w:rPr>
              <w:t>45</w:t>
            </w:r>
          </w:p>
        </w:tc>
        <w:tc>
          <w:tcPr>
            <w:tcW w:w="456" w:type="dxa"/>
            <w:tcBorders>
              <w:top w:val="nil"/>
              <w:left w:val="single" w:sz="4" w:space="0" w:color="auto"/>
              <w:bottom w:val="single" w:sz="4" w:space="0" w:color="auto"/>
              <w:right w:val="single" w:sz="4" w:space="0" w:color="auto"/>
            </w:tcBorders>
            <w:vAlign w:val="center"/>
          </w:tcPr>
          <w:p w:rsidR="00C81B24" w:rsidRPr="00C81B24" w:rsidRDefault="00C81B24" w:rsidP="00CE5850">
            <w:pPr>
              <w:rPr>
                <w:sz w:val="20"/>
              </w:rPr>
            </w:pPr>
            <w:r w:rsidRPr="00C81B24">
              <w:rPr>
                <w:sz w:val="20"/>
              </w:rPr>
              <w:t>93</w:t>
            </w:r>
          </w:p>
        </w:tc>
        <w:tc>
          <w:tcPr>
            <w:tcW w:w="4012" w:type="dxa"/>
            <w:tcBorders>
              <w:top w:val="nil"/>
              <w:left w:val="nil"/>
              <w:bottom w:val="single" w:sz="4" w:space="0" w:color="auto"/>
              <w:right w:val="single" w:sz="4" w:space="0" w:color="auto"/>
            </w:tcBorders>
            <w:vAlign w:val="center"/>
          </w:tcPr>
          <w:p w:rsidR="00C81B24" w:rsidRPr="00C81B24" w:rsidRDefault="00C81B24" w:rsidP="00CE5850">
            <w:pPr>
              <w:rPr>
                <w:sz w:val="20"/>
              </w:rPr>
            </w:pPr>
            <w:r w:rsidRPr="00C81B24">
              <w:rPr>
                <w:sz w:val="20"/>
              </w:rPr>
              <w:t>Joplin, MO-KS-OK</w:t>
            </w:r>
          </w:p>
        </w:tc>
        <w:tc>
          <w:tcPr>
            <w:tcW w:w="1102"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272,286</w:t>
            </w:r>
          </w:p>
        </w:tc>
        <w:tc>
          <w:tcPr>
            <w:tcW w:w="1155"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280,505</w:t>
            </w:r>
          </w:p>
        </w:tc>
        <w:tc>
          <w:tcPr>
            <w:tcW w:w="979"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97%</w:t>
            </w:r>
          </w:p>
        </w:tc>
        <w:tc>
          <w:tcPr>
            <w:tcW w:w="635" w:type="dxa"/>
            <w:tcBorders>
              <w:top w:val="nil"/>
              <w:left w:val="nil"/>
              <w:bottom w:val="single" w:sz="4" w:space="0" w:color="auto"/>
              <w:right w:val="single" w:sz="4" w:space="0" w:color="auto"/>
            </w:tcBorders>
            <w:noWrap/>
            <w:vAlign w:val="bottom"/>
          </w:tcPr>
          <w:p w:rsidR="00C81B24" w:rsidRPr="00C81B24" w:rsidRDefault="00C81B24" w:rsidP="00CE5850">
            <w:pPr>
              <w:rPr>
                <w:sz w:val="20"/>
              </w:rPr>
            </w:pPr>
            <w:r w:rsidRPr="00C81B24">
              <w:rPr>
                <w:sz w:val="20"/>
              </w:rPr>
              <w:t>3404</w:t>
            </w:r>
          </w:p>
        </w:tc>
        <w:tc>
          <w:tcPr>
            <w:tcW w:w="536"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3464</w:t>
            </w:r>
          </w:p>
        </w:tc>
        <w:tc>
          <w:tcPr>
            <w:tcW w:w="736"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80.07</w:t>
            </w:r>
          </w:p>
        </w:tc>
      </w:tr>
      <w:tr w:rsidR="00C81B24" w:rsidRPr="00C81B24" w:rsidTr="00526AD9">
        <w:trPr>
          <w:trHeight w:val="255"/>
          <w:jc w:val="center"/>
        </w:trPr>
        <w:tc>
          <w:tcPr>
            <w:tcW w:w="554" w:type="dxa"/>
            <w:tcBorders>
              <w:top w:val="nil"/>
              <w:left w:val="single" w:sz="4" w:space="0" w:color="auto"/>
              <w:bottom w:val="single" w:sz="4" w:space="0" w:color="auto"/>
              <w:right w:val="single" w:sz="4" w:space="0" w:color="auto"/>
            </w:tcBorders>
            <w:vAlign w:val="bottom"/>
          </w:tcPr>
          <w:p w:rsidR="00C81B24" w:rsidRPr="00C81B24" w:rsidRDefault="00C81B24" w:rsidP="00CE5850">
            <w:pPr>
              <w:rPr>
                <w:sz w:val="20"/>
              </w:rPr>
            </w:pPr>
            <w:r w:rsidRPr="00C81B24">
              <w:rPr>
                <w:sz w:val="20"/>
              </w:rPr>
              <w:t>46</w:t>
            </w:r>
          </w:p>
        </w:tc>
        <w:tc>
          <w:tcPr>
            <w:tcW w:w="456" w:type="dxa"/>
            <w:tcBorders>
              <w:top w:val="nil"/>
              <w:left w:val="single" w:sz="4" w:space="0" w:color="auto"/>
              <w:bottom w:val="single" w:sz="4" w:space="0" w:color="auto"/>
              <w:right w:val="single" w:sz="4" w:space="0" w:color="auto"/>
            </w:tcBorders>
            <w:vAlign w:val="center"/>
          </w:tcPr>
          <w:p w:rsidR="00C81B24" w:rsidRPr="00C81B24" w:rsidRDefault="00C81B24" w:rsidP="00CE5850">
            <w:pPr>
              <w:rPr>
                <w:sz w:val="20"/>
              </w:rPr>
            </w:pPr>
            <w:r w:rsidRPr="00C81B24">
              <w:rPr>
                <w:sz w:val="20"/>
              </w:rPr>
              <w:t>170</w:t>
            </w:r>
          </w:p>
        </w:tc>
        <w:tc>
          <w:tcPr>
            <w:tcW w:w="4012" w:type="dxa"/>
            <w:tcBorders>
              <w:top w:val="nil"/>
              <w:left w:val="nil"/>
              <w:bottom w:val="single" w:sz="4" w:space="0" w:color="auto"/>
              <w:right w:val="single" w:sz="4" w:space="0" w:color="auto"/>
            </w:tcBorders>
            <w:vAlign w:val="center"/>
          </w:tcPr>
          <w:p w:rsidR="00C81B24" w:rsidRPr="00C81B24" w:rsidRDefault="00C81B24" w:rsidP="00CE5850">
            <w:pPr>
              <w:rPr>
                <w:sz w:val="20"/>
              </w:rPr>
            </w:pPr>
            <w:r w:rsidRPr="00C81B24">
              <w:rPr>
                <w:sz w:val="20"/>
              </w:rPr>
              <w:t>Seattle-Tacoma-Bremerton, WA</w:t>
            </w:r>
          </w:p>
        </w:tc>
        <w:tc>
          <w:tcPr>
            <w:tcW w:w="1102"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4,546,071</w:t>
            </w:r>
          </w:p>
        </w:tc>
        <w:tc>
          <w:tcPr>
            <w:tcW w:w="1155"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4,686,669</w:t>
            </w:r>
          </w:p>
        </w:tc>
        <w:tc>
          <w:tcPr>
            <w:tcW w:w="979"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97%</w:t>
            </w:r>
          </w:p>
        </w:tc>
        <w:tc>
          <w:tcPr>
            <w:tcW w:w="635" w:type="dxa"/>
            <w:tcBorders>
              <w:top w:val="nil"/>
              <w:left w:val="nil"/>
              <w:bottom w:val="single" w:sz="4" w:space="0" w:color="auto"/>
              <w:right w:val="single" w:sz="4" w:space="0" w:color="auto"/>
            </w:tcBorders>
            <w:noWrap/>
            <w:vAlign w:val="bottom"/>
          </w:tcPr>
          <w:p w:rsidR="00C81B24" w:rsidRPr="00C81B24" w:rsidRDefault="00C81B24" w:rsidP="00CE5850">
            <w:pPr>
              <w:rPr>
                <w:sz w:val="20"/>
              </w:rPr>
            </w:pPr>
            <w:r w:rsidRPr="00C81B24">
              <w:rPr>
                <w:sz w:val="20"/>
              </w:rPr>
              <w:t>2746</w:t>
            </w:r>
          </w:p>
        </w:tc>
        <w:tc>
          <w:tcPr>
            <w:tcW w:w="536"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2702</w:t>
            </w:r>
          </w:p>
        </w:tc>
        <w:tc>
          <w:tcPr>
            <w:tcW w:w="736"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223.72</w:t>
            </w:r>
          </w:p>
        </w:tc>
      </w:tr>
      <w:tr w:rsidR="00C81B24" w:rsidRPr="00C81B24" w:rsidTr="00526AD9">
        <w:trPr>
          <w:trHeight w:val="255"/>
          <w:jc w:val="center"/>
        </w:trPr>
        <w:tc>
          <w:tcPr>
            <w:tcW w:w="554" w:type="dxa"/>
            <w:tcBorders>
              <w:top w:val="nil"/>
              <w:left w:val="single" w:sz="4" w:space="0" w:color="auto"/>
              <w:bottom w:val="single" w:sz="4" w:space="0" w:color="auto"/>
              <w:right w:val="single" w:sz="4" w:space="0" w:color="auto"/>
            </w:tcBorders>
            <w:vAlign w:val="bottom"/>
          </w:tcPr>
          <w:p w:rsidR="00C81B24" w:rsidRPr="00C81B24" w:rsidRDefault="00C81B24" w:rsidP="00CE5850">
            <w:pPr>
              <w:rPr>
                <w:sz w:val="20"/>
              </w:rPr>
            </w:pPr>
            <w:r w:rsidRPr="00C81B24">
              <w:rPr>
                <w:sz w:val="20"/>
              </w:rPr>
              <w:t>47</w:t>
            </w:r>
          </w:p>
        </w:tc>
        <w:tc>
          <w:tcPr>
            <w:tcW w:w="456" w:type="dxa"/>
            <w:tcBorders>
              <w:top w:val="nil"/>
              <w:left w:val="single" w:sz="4" w:space="0" w:color="auto"/>
              <w:bottom w:val="single" w:sz="4" w:space="0" w:color="auto"/>
              <w:right w:val="single" w:sz="4" w:space="0" w:color="auto"/>
            </w:tcBorders>
            <w:vAlign w:val="center"/>
          </w:tcPr>
          <w:p w:rsidR="00C81B24" w:rsidRPr="00C81B24" w:rsidRDefault="00C81B24" w:rsidP="00CE5850">
            <w:pPr>
              <w:rPr>
                <w:sz w:val="20"/>
              </w:rPr>
            </w:pPr>
            <w:r w:rsidRPr="00C81B24">
              <w:rPr>
                <w:sz w:val="20"/>
              </w:rPr>
              <w:t>29</w:t>
            </w:r>
          </w:p>
        </w:tc>
        <w:tc>
          <w:tcPr>
            <w:tcW w:w="4012" w:type="dxa"/>
            <w:tcBorders>
              <w:top w:val="nil"/>
              <w:left w:val="nil"/>
              <w:bottom w:val="single" w:sz="4" w:space="0" w:color="auto"/>
              <w:right w:val="single" w:sz="4" w:space="0" w:color="auto"/>
            </w:tcBorders>
            <w:vAlign w:val="center"/>
          </w:tcPr>
          <w:p w:rsidR="00C81B24" w:rsidRPr="00C81B24" w:rsidRDefault="00C81B24" w:rsidP="00CE5850">
            <w:pPr>
              <w:rPr>
                <w:sz w:val="20"/>
              </w:rPr>
            </w:pPr>
            <w:r w:rsidRPr="00C81B24">
              <w:rPr>
                <w:sz w:val="20"/>
              </w:rPr>
              <w:t>Jacksonville, FL-GA</w:t>
            </w:r>
          </w:p>
        </w:tc>
        <w:tc>
          <w:tcPr>
            <w:tcW w:w="1102"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2,118,267</w:t>
            </w:r>
          </w:p>
        </w:tc>
        <w:tc>
          <w:tcPr>
            <w:tcW w:w="1155"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2,217,013</w:t>
            </w:r>
          </w:p>
        </w:tc>
        <w:tc>
          <w:tcPr>
            <w:tcW w:w="979"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96%</w:t>
            </w:r>
          </w:p>
        </w:tc>
        <w:tc>
          <w:tcPr>
            <w:tcW w:w="635" w:type="dxa"/>
            <w:tcBorders>
              <w:top w:val="nil"/>
              <w:left w:val="nil"/>
              <w:bottom w:val="single" w:sz="4" w:space="0" w:color="auto"/>
              <w:right w:val="single" w:sz="4" w:space="0" w:color="auto"/>
            </w:tcBorders>
            <w:noWrap/>
            <w:vAlign w:val="bottom"/>
          </w:tcPr>
          <w:p w:rsidR="00C81B24" w:rsidRPr="00C81B24" w:rsidRDefault="00C81B24" w:rsidP="00CE5850">
            <w:pPr>
              <w:rPr>
                <w:sz w:val="20"/>
              </w:rPr>
            </w:pPr>
            <w:r w:rsidRPr="00C81B24">
              <w:rPr>
                <w:sz w:val="20"/>
              </w:rPr>
              <w:t>2395</w:t>
            </w:r>
          </w:p>
        </w:tc>
        <w:tc>
          <w:tcPr>
            <w:tcW w:w="536"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2342</w:t>
            </w:r>
          </w:p>
        </w:tc>
        <w:tc>
          <w:tcPr>
            <w:tcW w:w="736"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139.32</w:t>
            </w:r>
          </w:p>
        </w:tc>
      </w:tr>
      <w:tr w:rsidR="00C81B24" w:rsidRPr="00C81B24" w:rsidTr="00526AD9">
        <w:trPr>
          <w:trHeight w:val="255"/>
          <w:jc w:val="center"/>
        </w:trPr>
        <w:tc>
          <w:tcPr>
            <w:tcW w:w="554" w:type="dxa"/>
            <w:tcBorders>
              <w:top w:val="nil"/>
              <w:left w:val="single" w:sz="4" w:space="0" w:color="auto"/>
              <w:bottom w:val="single" w:sz="4" w:space="0" w:color="auto"/>
              <w:right w:val="single" w:sz="4" w:space="0" w:color="auto"/>
            </w:tcBorders>
            <w:vAlign w:val="bottom"/>
          </w:tcPr>
          <w:p w:rsidR="00C81B24" w:rsidRPr="00C81B24" w:rsidRDefault="00C81B24" w:rsidP="00CE5850">
            <w:pPr>
              <w:rPr>
                <w:sz w:val="20"/>
              </w:rPr>
            </w:pPr>
            <w:r w:rsidRPr="00C81B24">
              <w:rPr>
                <w:sz w:val="20"/>
              </w:rPr>
              <w:t>48</w:t>
            </w:r>
          </w:p>
        </w:tc>
        <w:tc>
          <w:tcPr>
            <w:tcW w:w="456" w:type="dxa"/>
            <w:tcBorders>
              <w:top w:val="nil"/>
              <w:left w:val="single" w:sz="4" w:space="0" w:color="auto"/>
              <w:bottom w:val="single" w:sz="4" w:space="0" w:color="auto"/>
              <w:right w:val="single" w:sz="4" w:space="0" w:color="auto"/>
            </w:tcBorders>
            <w:vAlign w:val="center"/>
          </w:tcPr>
          <w:p w:rsidR="00C81B24" w:rsidRPr="00C81B24" w:rsidRDefault="00C81B24" w:rsidP="00CE5850">
            <w:pPr>
              <w:rPr>
                <w:sz w:val="20"/>
              </w:rPr>
            </w:pPr>
            <w:r w:rsidRPr="00C81B24">
              <w:rPr>
                <w:sz w:val="20"/>
              </w:rPr>
              <w:t>53</w:t>
            </w:r>
          </w:p>
        </w:tc>
        <w:tc>
          <w:tcPr>
            <w:tcW w:w="4012" w:type="dxa"/>
            <w:tcBorders>
              <w:top w:val="nil"/>
              <w:left w:val="nil"/>
              <w:bottom w:val="single" w:sz="4" w:space="0" w:color="auto"/>
              <w:right w:val="single" w:sz="4" w:space="0" w:color="auto"/>
            </w:tcBorders>
            <w:vAlign w:val="center"/>
          </w:tcPr>
          <w:p w:rsidR="00C81B24" w:rsidRPr="00C81B24" w:rsidRDefault="00C81B24" w:rsidP="00CE5850">
            <w:pPr>
              <w:rPr>
                <w:sz w:val="20"/>
              </w:rPr>
            </w:pPr>
            <w:r w:rsidRPr="00C81B24">
              <w:rPr>
                <w:sz w:val="20"/>
              </w:rPr>
              <w:t>Pittsburgh, PA-WV</w:t>
            </w:r>
          </w:p>
        </w:tc>
        <w:tc>
          <w:tcPr>
            <w:tcW w:w="1102"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2,793,348</w:t>
            </w:r>
          </w:p>
        </w:tc>
        <w:tc>
          <w:tcPr>
            <w:tcW w:w="1155"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2,912,497</w:t>
            </w:r>
          </w:p>
        </w:tc>
        <w:tc>
          <w:tcPr>
            <w:tcW w:w="979"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96%</w:t>
            </w:r>
          </w:p>
        </w:tc>
        <w:tc>
          <w:tcPr>
            <w:tcW w:w="635" w:type="dxa"/>
            <w:tcBorders>
              <w:top w:val="nil"/>
              <w:left w:val="nil"/>
              <w:bottom w:val="single" w:sz="4" w:space="0" w:color="auto"/>
              <w:right w:val="single" w:sz="4" w:space="0" w:color="auto"/>
            </w:tcBorders>
            <w:noWrap/>
            <w:vAlign w:val="bottom"/>
          </w:tcPr>
          <w:p w:rsidR="00C81B24" w:rsidRPr="00C81B24" w:rsidRDefault="00C81B24" w:rsidP="00CE5850">
            <w:pPr>
              <w:rPr>
                <w:sz w:val="20"/>
              </w:rPr>
            </w:pPr>
            <w:r w:rsidRPr="00C81B24">
              <w:rPr>
                <w:sz w:val="20"/>
              </w:rPr>
              <w:t>3273</w:t>
            </w:r>
          </w:p>
        </w:tc>
        <w:tc>
          <w:tcPr>
            <w:tcW w:w="536"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3185</w:t>
            </w:r>
          </w:p>
        </w:tc>
        <w:tc>
          <w:tcPr>
            <w:tcW w:w="736"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281.42</w:t>
            </w:r>
          </w:p>
        </w:tc>
      </w:tr>
      <w:tr w:rsidR="00C81B24" w:rsidRPr="00C81B24" w:rsidTr="00526AD9">
        <w:trPr>
          <w:trHeight w:val="255"/>
          <w:jc w:val="center"/>
        </w:trPr>
        <w:tc>
          <w:tcPr>
            <w:tcW w:w="554" w:type="dxa"/>
            <w:tcBorders>
              <w:top w:val="nil"/>
              <w:left w:val="single" w:sz="4" w:space="0" w:color="auto"/>
              <w:bottom w:val="single" w:sz="4" w:space="0" w:color="auto"/>
              <w:right w:val="single" w:sz="4" w:space="0" w:color="auto"/>
            </w:tcBorders>
            <w:vAlign w:val="bottom"/>
          </w:tcPr>
          <w:p w:rsidR="00C81B24" w:rsidRPr="00C81B24" w:rsidRDefault="00C81B24" w:rsidP="00CE5850">
            <w:pPr>
              <w:rPr>
                <w:sz w:val="20"/>
              </w:rPr>
            </w:pPr>
            <w:r w:rsidRPr="00C81B24">
              <w:rPr>
                <w:sz w:val="20"/>
              </w:rPr>
              <w:t>49</w:t>
            </w:r>
          </w:p>
        </w:tc>
        <w:tc>
          <w:tcPr>
            <w:tcW w:w="456" w:type="dxa"/>
            <w:tcBorders>
              <w:top w:val="nil"/>
              <w:left w:val="single" w:sz="4" w:space="0" w:color="auto"/>
              <w:bottom w:val="single" w:sz="4" w:space="0" w:color="auto"/>
              <w:right w:val="single" w:sz="4" w:space="0" w:color="auto"/>
            </w:tcBorders>
            <w:vAlign w:val="center"/>
          </w:tcPr>
          <w:p w:rsidR="00C81B24" w:rsidRPr="00C81B24" w:rsidRDefault="00C81B24" w:rsidP="00CE5850">
            <w:pPr>
              <w:rPr>
                <w:sz w:val="20"/>
              </w:rPr>
            </w:pPr>
            <w:r w:rsidRPr="00C81B24">
              <w:rPr>
                <w:sz w:val="20"/>
              </w:rPr>
              <w:t>84</w:t>
            </w:r>
          </w:p>
        </w:tc>
        <w:tc>
          <w:tcPr>
            <w:tcW w:w="4012" w:type="dxa"/>
            <w:tcBorders>
              <w:top w:val="nil"/>
              <w:left w:val="nil"/>
              <w:bottom w:val="single" w:sz="4" w:space="0" w:color="auto"/>
              <w:right w:val="single" w:sz="4" w:space="0" w:color="auto"/>
            </w:tcBorders>
            <w:vAlign w:val="center"/>
          </w:tcPr>
          <w:p w:rsidR="00C81B24" w:rsidRPr="00C81B24" w:rsidRDefault="00C81B24" w:rsidP="00CE5850">
            <w:pPr>
              <w:rPr>
                <w:sz w:val="20"/>
              </w:rPr>
            </w:pPr>
            <w:r w:rsidRPr="00C81B24">
              <w:rPr>
                <w:sz w:val="20"/>
              </w:rPr>
              <w:t>Baton Rouge, LA-MS</w:t>
            </w:r>
          </w:p>
        </w:tc>
        <w:tc>
          <w:tcPr>
            <w:tcW w:w="1102"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805,711</w:t>
            </w:r>
          </w:p>
        </w:tc>
        <w:tc>
          <w:tcPr>
            <w:tcW w:w="1155"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835,783</w:t>
            </w:r>
          </w:p>
        </w:tc>
        <w:tc>
          <w:tcPr>
            <w:tcW w:w="979"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96%</w:t>
            </w:r>
          </w:p>
        </w:tc>
        <w:tc>
          <w:tcPr>
            <w:tcW w:w="635" w:type="dxa"/>
            <w:tcBorders>
              <w:top w:val="nil"/>
              <w:left w:val="nil"/>
              <w:bottom w:val="single" w:sz="4" w:space="0" w:color="auto"/>
              <w:right w:val="single" w:sz="4" w:space="0" w:color="auto"/>
            </w:tcBorders>
            <w:noWrap/>
            <w:vAlign w:val="bottom"/>
          </w:tcPr>
          <w:p w:rsidR="00C81B24" w:rsidRPr="00C81B24" w:rsidRDefault="00C81B24" w:rsidP="00CE5850">
            <w:pPr>
              <w:rPr>
                <w:sz w:val="20"/>
              </w:rPr>
            </w:pPr>
            <w:r w:rsidRPr="00C81B24">
              <w:rPr>
                <w:sz w:val="20"/>
              </w:rPr>
              <w:t>4757</w:t>
            </w:r>
          </w:p>
        </w:tc>
        <w:tc>
          <w:tcPr>
            <w:tcW w:w="536"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4896</w:t>
            </w:r>
          </w:p>
        </w:tc>
        <w:tc>
          <w:tcPr>
            <w:tcW w:w="736"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165.71</w:t>
            </w:r>
          </w:p>
        </w:tc>
      </w:tr>
      <w:tr w:rsidR="00C81B24" w:rsidRPr="00C81B24" w:rsidTr="00526AD9">
        <w:trPr>
          <w:trHeight w:val="255"/>
          <w:jc w:val="center"/>
        </w:trPr>
        <w:tc>
          <w:tcPr>
            <w:tcW w:w="554" w:type="dxa"/>
            <w:tcBorders>
              <w:top w:val="nil"/>
              <w:left w:val="single" w:sz="4" w:space="0" w:color="auto"/>
              <w:bottom w:val="single" w:sz="4" w:space="0" w:color="auto"/>
              <w:right w:val="single" w:sz="4" w:space="0" w:color="auto"/>
            </w:tcBorders>
            <w:vAlign w:val="bottom"/>
          </w:tcPr>
          <w:p w:rsidR="00C81B24" w:rsidRPr="00C81B24" w:rsidRDefault="00C81B24" w:rsidP="00CE5850">
            <w:pPr>
              <w:rPr>
                <w:sz w:val="20"/>
              </w:rPr>
            </w:pPr>
            <w:r w:rsidRPr="00C81B24">
              <w:rPr>
                <w:sz w:val="20"/>
              </w:rPr>
              <w:t>50</w:t>
            </w:r>
          </w:p>
        </w:tc>
        <w:tc>
          <w:tcPr>
            <w:tcW w:w="456" w:type="dxa"/>
            <w:tcBorders>
              <w:top w:val="nil"/>
              <w:left w:val="single" w:sz="4" w:space="0" w:color="auto"/>
              <w:bottom w:val="single" w:sz="4" w:space="0" w:color="auto"/>
              <w:right w:val="single" w:sz="4" w:space="0" w:color="auto"/>
            </w:tcBorders>
            <w:vAlign w:val="center"/>
          </w:tcPr>
          <w:p w:rsidR="00C81B24" w:rsidRPr="00C81B24" w:rsidRDefault="00C81B24" w:rsidP="00CE5850">
            <w:pPr>
              <w:rPr>
                <w:sz w:val="20"/>
              </w:rPr>
            </w:pPr>
            <w:r w:rsidRPr="00C81B24">
              <w:rPr>
                <w:sz w:val="20"/>
              </w:rPr>
              <w:t>99</w:t>
            </w:r>
          </w:p>
        </w:tc>
        <w:tc>
          <w:tcPr>
            <w:tcW w:w="4012" w:type="dxa"/>
            <w:tcBorders>
              <w:top w:val="nil"/>
              <w:left w:val="nil"/>
              <w:bottom w:val="single" w:sz="4" w:space="0" w:color="auto"/>
              <w:right w:val="single" w:sz="4" w:space="0" w:color="auto"/>
            </w:tcBorders>
            <w:vAlign w:val="center"/>
          </w:tcPr>
          <w:p w:rsidR="00C81B24" w:rsidRPr="00C81B24" w:rsidRDefault="00C81B24" w:rsidP="00CE5850">
            <w:pPr>
              <w:rPr>
                <w:sz w:val="20"/>
              </w:rPr>
            </w:pPr>
            <w:r w:rsidRPr="00C81B24">
              <w:rPr>
                <w:sz w:val="20"/>
              </w:rPr>
              <w:t>Kansas City, MO-KS</w:t>
            </w:r>
          </w:p>
        </w:tc>
        <w:tc>
          <w:tcPr>
            <w:tcW w:w="1102"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2,590,795</w:t>
            </w:r>
          </w:p>
        </w:tc>
        <w:tc>
          <w:tcPr>
            <w:tcW w:w="1155"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2,693,265</w:t>
            </w:r>
          </w:p>
        </w:tc>
        <w:tc>
          <w:tcPr>
            <w:tcW w:w="979"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96%</w:t>
            </w:r>
          </w:p>
        </w:tc>
        <w:tc>
          <w:tcPr>
            <w:tcW w:w="635" w:type="dxa"/>
            <w:tcBorders>
              <w:top w:val="nil"/>
              <w:left w:val="nil"/>
              <w:bottom w:val="single" w:sz="4" w:space="0" w:color="auto"/>
              <w:right w:val="single" w:sz="4" w:space="0" w:color="auto"/>
            </w:tcBorders>
            <w:noWrap/>
            <w:vAlign w:val="bottom"/>
          </w:tcPr>
          <w:p w:rsidR="00C81B24" w:rsidRPr="00C81B24" w:rsidRDefault="00C81B24" w:rsidP="00CE5850">
            <w:pPr>
              <w:rPr>
                <w:sz w:val="20"/>
              </w:rPr>
            </w:pPr>
            <w:r w:rsidRPr="00C81B24">
              <w:rPr>
                <w:sz w:val="20"/>
              </w:rPr>
              <w:t>2297</w:t>
            </w:r>
          </w:p>
        </w:tc>
        <w:tc>
          <w:tcPr>
            <w:tcW w:w="536"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2289</w:t>
            </w:r>
          </w:p>
        </w:tc>
        <w:tc>
          <w:tcPr>
            <w:tcW w:w="736"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98.17</w:t>
            </w:r>
          </w:p>
        </w:tc>
      </w:tr>
      <w:tr w:rsidR="00C81B24" w:rsidRPr="00C81B24" w:rsidTr="00526AD9">
        <w:trPr>
          <w:trHeight w:val="255"/>
          <w:jc w:val="center"/>
        </w:trPr>
        <w:tc>
          <w:tcPr>
            <w:tcW w:w="554" w:type="dxa"/>
            <w:tcBorders>
              <w:top w:val="nil"/>
              <w:left w:val="single" w:sz="4" w:space="0" w:color="auto"/>
              <w:bottom w:val="single" w:sz="4" w:space="0" w:color="auto"/>
              <w:right w:val="single" w:sz="4" w:space="0" w:color="auto"/>
            </w:tcBorders>
            <w:vAlign w:val="bottom"/>
          </w:tcPr>
          <w:p w:rsidR="00C81B24" w:rsidRPr="00C81B24" w:rsidRDefault="00C81B24" w:rsidP="00CE5850">
            <w:pPr>
              <w:rPr>
                <w:sz w:val="20"/>
              </w:rPr>
            </w:pPr>
            <w:r w:rsidRPr="00C81B24">
              <w:rPr>
                <w:sz w:val="20"/>
              </w:rPr>
              <w:t>51</w:t>
            </w:r>
          </w:p>
        </w:tc>
        <w:tc>
          <w:tcPr>
            <w:tcW w:w="456" w:type="dxa"/>
            <w:tcBorders>
              <w:top w:val="nil"/>
              <w:left w:val="single" w:sz="4" w:space="0" w:color="auto"/>
              <w:bottom w:val="single" w:sz="4" w:space="0" w:color="auto"/>
              <w:right w:val="single" w:sz="4" w:space="0" w:color="auto"/>
            </w:tcBorders>
            <w:vAlign w:val="center"/>
          </w:tcPr>
          <w:p w:rsidR="00C81B24" w:rsidRPr="00C81B24" w:rsidRDefault="00C81B24" w:rsidP="00CE5850">
            <w:pPr>
              <w:rPr>
                <w:sz w:val="20"/>
              </w:rPr>
            </w:pPr>
            <w:r w:rsidRPr="00C81B24">
              <w:rPr>
                <w:sz w:val="20"/>
              </w:rPr>
              <w:t>121</w:t>
            </w:r>
          </w:p>
        </w:tc>
        <w:tc>
          <w:tcPr>
            <w:tcW w:w="4012" w:type="dxa"/>
            <w:tcBorders>
              <w:top w:val="nil"/>
              <w:left w:val="nil"/>
              <w:bottom w:val="single" w:sz="4" w:space="0" w:color="auto"/>
              <w:right w:val="single" w:sz="4" w:space="0" w:color="auto"/>
            </w:tcBorders>
            <w:vAlign w:val="center"/>
          </w:tcPr>
          <w:p w:rsidR="00C81B24" w:rsidRPr="00C81B24" w:rsidRDefault="00C81B24" w:rsidP="00CE5850">
            <w:pPr>
              <w:rPr>
                <w:sz w:val="20"/>
              </w:rPr>
            </w:pPr>
            <w:r w:rsidRPr="00C81B24">
              <w:rPr>
                <w:sz w:val="20"/>
              </w:rPr>
              <w:t>North Platte, NE-CO</w:t>
            </w:r>
          </w:p>
        </w:tc>
        <w:tc>
          <w:tcPr>
            <w:tcW w:w="1102"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59,377</w:t>
            </w:r>
          </w:p>
        </w:tc>
        <w:tc>
          <w:tcPr>
            <w:tcW w:w="1155"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61,592</w:t>
            </w:r>
          </w:p>
        </w:tc>
        <w:tc>
          <w:tcPr>
            <w:tcW w:w="979"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96%</w:t>
            </w:r>
          </w:p>
        </w:tc>
        <w:tc>
          <w:tcPr>
            <w:tcW w:w="635" w:type="dxa"/>
            <w:tcBorders>
              <w:top w:val="nil"/>
              <w:left w:val="nil"/>
              <w:bottom w:val="single" w:sz="4" w:space="0" w:color="auto"/>
              <w:right w:val="single" w:sz="4" w:space="0" w:color="auto"/>
            </w:tcBorders>
            <w:noWrap/>
            <w:vAlign w:val="bottom"/>
          </w:tcPr>
          <w:p w:rsidR="00C81B24" w:rsidRPr="00C81B24" w:rsidRDefault="00C81B24" w:rsidP="00CE5850">
            <w:pPr>
              <w:rPr>
                <w:sz w:val="20"/>
              </w:rPr>
            </w:pPr>
            <w:r w:rsidRPr="00C81B24">
              <w:rPr>
                <w:sz w:val="20"/>
              </w:rPr>
              <w:t>5232</w:t>
            </w:r>
          </w:p>
        </w:tc>
        <w:tc>
          <w:tcPr>
            <w:tcW w:w="536"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5304</w:t>
            </w:r>
          </w:p>
        </w:tc>
        <w:tc>
          <w:tcPr>
            <w:tcW w:w="736"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4.97</w:t>
            </w:r>
          </w:p>
        </w:tc>
      </w:tr>
      <w:tr w:rsidR="00C81B24" w:rsidRPr="00C81B24" w:rsidTr="00526AD9">
        <w:trPr>
          <w:trHeight w:val="255"/>
          <w:jc w:val="center"/>
        </w:trPr>
        <w:tc>
          <w:tcPr>
            <w:tcW w:w="554" w:type="dxa"/>
            <w:tcBorders>
              <w:top w:val="nil"/>
              <w:left w:val="single" w:sz="4" w:space="0" w:color="auto"/>
              <w:bottom w:val="single" w:sz="4" w:space="0" w:color="auto"/>
              <w:right w:val="single" w:sz="4" w:space="0" w:color="auto"/>
            </w:tcBorders>
            <w:vAlign w:val="bottom"/>
          </w:tcPr>
          <w:p w:rsidR="00C81B24" w:rsidRPr="00C81B24" w:rsidRDefault="00C81B24" w:rsidP="00CE5850">
            <w:pPr>
              <w:rPr>
                <w:sz w:val="20"/>
              </w:rPr>
            </w:pPr>
            <w:r w:rsidRPr="00C81B24">
              <w:rPr>
                <w:sz w:val="20"/>
              </w:rPr>
              <w:t>52</w:t>
            </w:r>
          </w:p>
        </w:tc>
        <w:tc>
          <w:tcPr>
            <w:tcW w:w="456" w:type="dxa"/>
            <w:tcBorders>
              <w:top w:val="nil"/>
              <w:left w:val="single" w:sz="4" w:space="0" w:color="auto"/>
              <w:bottom w:val="single" w:sz="4" w:space="0" w:color="auto"/>
              <w:right w:val="single" w:sz="4" w:space="0" w:color="auto"/>
            </w:tcBorders>
            <w:vAlign w:val="center"/>
          </w:tcPr>
          <w:p w:rsidR="00C81B24" w:rsidRPr="00C81B24" w:rsidRDefault="00C81B24" w:rsidP="00CE5850">
            <w:pPr>
              <w:rPr>
                <w:sz w:val="20"/>
              </w:rPr>
            </w:pPr>
            <w:r w:rsidRPr="00C81B24">
              <w:rPr>
                <w:sz w:val="20"/>
              </w:rPr>
              <w:t>132</w:t>
            </w:r>
          </w:p>
        </w:tc>
        <w:tc>
          <w:tcPr>
            <w:tcW w:w="4012" w:type="dxa"/>
            <w:tcBorders>
              <w:top w:val="nil"/>
              <w:left w:val="nil"/>
              <w:bottom w:val="single" w:sz="4" w:space="0" w:color="auto"/>
              <w:right w:val="single" w:sz="4" w:space="0" w:color="auto"/>
            </w:tcBorders>
            <w:vAlign w:val="center"/>
          </w:tcPr>
          <w:p w:rsidR="00C81B24" w:rsidRPr="00C81B24" w:rsidRDefault="00C81B24" w:rsidP="00CE5850">
            <w:pPr>
              <w:rPr>
                <w:sz w:val="20"/>
              </w:rPr>
            </w:pPr>
            <w:r w:rsidRPr="00C81B24">
              <w:rPr>
                <w:sz w:val="20"/>
              </w:rPr>
              <w:t>Corpus Christi, TX</w:t>
            </w:r>
          </w:p>
        </w:tc>
        <w:tc>
          <w:tcPr>
            <w:tcW w:w="1102"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551,484</w:t>
            </w:r>
          </w:p>
        </w:tc>
        <w:tc>
          <w:tcPr>
            <w:tcW w:w="1155"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571,987</w:t>
            </w:r>
          </w:p>
        </w:tc>
        <w:tc>
          <w:tcPr>
            <w:tcW w:w="979"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96%</w:t>
            </w:r>
          </w:p>
        </w:tc>
        <w:tc>
          <w:tcPr>
            <w:tcW w:w="635" w:type="dxa"/>
            <w:tcBorders>
              <w:top w:val="nil"/>
              <w:left w:val="nil"/>
              <w:bottom w:val="single" w:sz="4" w:space="0" w:color="auto"/>
              <w:right w:val="single" w:sz="4" w:space="0" w:color="auto"/>
            </w:tcBorders>
            <w:noWrap/>
            <w:vAlign w:val="bottom"/>
          </w:tcPr>
          <w:p w:rsidR="00C81B24" w:rsidRPr="00C81B24" w:rsidRDefault="00C81B24" w:rsidP="00CE5850">
            <w:pPr>
              <w:rPr>
                <w:sz w:val="20"/>
              </w:rPr>
            </w:pPr>
            <w:r w:rsidRPr="00C81B24">
              <w:rPr>
                <w:sz w:val="20"/>
              </w:rPr>
              <w:t>2259</w:t>
            </w:r>
          </w:p>
        </w:tc>
        <w:tc>
          <w:tcPr>
            <w:tcW w:w="536"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2144</w:t>
            </w:r>
          </w:p>
        </w:tc>
        <w:tc>
          <w:tcPr>
            <w:tcW w:w="736"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49.50</w:t>
            </w:r>
          </w:p>
        </w:tc>
      </w:tr>
      <w:tr w:rsidR="00C81B24" w:rsidRPr="00C81B24" w:rsidTr="00526AD9">
        <w:trPr>
          <w:trHeight w:val="255"/>
          <w:jc w:val="center"/>
        </w:trPr>
        <w:tc>
          <w:tcPr>
            <w:tcW w:w="554" w:type="dxa"/>
            <w:tcBorders>
              <w:top w:val="nil"/>
              <w:left w:val="single" w:sz="4" w:space="0" w:color="auto"/>
              <w:bottom w:val="single" w:sz="4" w:space="0" w:color="auto"/>
              <w:right w:val="single" w:sz="4" w:space="0" w:color="auto"/>
            </w:tcBorders>
            <w:vAlign w:val="bottom"/>
          </w:tcPr>
          <w:p w:rsidR="00C81B24" w:rsidRPr="00C81B24" w:rsidRDefault="00C81B24" w:rsidP="00CE5850">
            <w:pPr>
              <w:rPr>
                <w:sz w:val="20"/>
              </w:rPr>
            </w:pPr>
            <w:r w:rsidRPr="00C81B24">
              <w:rPr>
                <w:sz w:val="20"/>
              </w:rPr>
              <w:t>53</w:t>
            </w:r>
          </w:p>
        </w:tc>
        <w:tc>
          <w:tcPr>
            <w:tcW w:w="456" w:type="dxa"/>
            <w:tcBorders>
              <w:top w:val="nil"/>
              <w:left w:val="single" w:sz="4" w:space="0" w:color="auto"/>
              <w:bottom w:val="single" w:sz="4" w:space="0" w:color="auto"/>
              <w:right w:val="single" w:sz="4" w:space="0" w:color="auto"/>
            </w:tcBorders>
            <w:vAlign w:val="center"/>
          </w:tcPr>
          <w:p w:rsidR="00C81B24" w:rsidRPr="00C81B24" w:rsidRDefault="00C81B24" w:rsidP="00CE5850">
            <w:pPr>
              <w:rPr>
                <w:sz w:val="20"/>
              </w:rPr>
            </w:pPr>
            <w:r w:rsidRPr="00C81B24">
              <w:rPr>
                <w:sz w:val="20"/>
              </w:rPr>
              <w:t>143</w:t>
            </w:r>
          </w:p>
        </w:tc>
        <w:tc>
          <w:tcPr>
            <w:tcW w:w="4012" w:type="dxa"/>
            <w:tcBorders>
              <w:top w:val="nil"/>
              <w:left w:val="nil"/>
              <w:bottom w:val="single" w:sz="4" w:space="0" w:color="auto"/>
              <w:right w:val="single" w:sz="4" w:space="0" w:color="auto"/>
            </w:tcBorders>
            <w:vAlign w:val="center"/>
          </w:tcPr>
          <w:p w:rsidR="00C81B24" w:rsidRPr="00C81B24" w:rsidRDefault="00C81B24" w:rsidP="00CE5850">
            <w:pPr>
              <w:rPr>
                <w:sz w:val="20"/>
              </w:rPr>
            </w:pPr>
            <w:r w:rsidRPr="00C81B24">
              <w:rPr>
                <w:sz w:val="20"/>
              </w:rPr>
              <w:t>Casper, WY-ID-UT</w:t>
            </w:r>
          </w:p>
        </w:tc>
        <w:tc>
          <w:tcPr>
            <w:tcW w:w="1102"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451,160</w:t>
            </w:r>
          </w:p>
        </w:tc>
        <w:tc>
          <w:tcPr>
            <w:tcW w:w="1155"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467,797</w:t>
            </w:r>
          </w:p>
        </w:tc>
        <w:tc>
          <w:tcPr>
            <w:tcW w:w="979"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96%</w:t>
            </w:r>
          </w:p>
        </w:tc>
        <w:tc>
          <w:tcPr>
            <w:tcW w:w="635" w:type="dxa"/>
            <w:tcBorders>
              <w:top w:val="nil"/>
              <w:left w:val="nil"/>
              <w:bottom w:val="single" w:sz="4" w:space="0" w:color="auto"/>
              <w:right w:val="single" w:sz="4" w:space="0" w:color="auto"/>
            </w:tcBorders>
            <w:noWrap/>
            <w:vAlign w:val="bottom"/>
          </w:tcPr>
          <w:p w:rsidR="00C81B24" w:rsidRPr="00C81B24" w:rsidRDefault="00C81B24" w:rsidP="00CE5850">
            <w:pPr>
              <w:rPr>
                <w:sz w:val="20"/>
              </w:rPr>
            </w:pPr>
            <w:r w:rsidRPr="00C81B24">
              <w:rPr>
                <w:sz w:val="20"/>
              </w:rPr>
              <w:t>5362</w:t>
            </w:r>
          </w:p>
        </w:tc>
        <w:tc>
          <w:tcPr>
            <w:tcW w:w="536"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5350</w:t>
            </w:r>
          </w:p>
        </w:tc>
        <w:tc>
          <w:tcPr>
            <w:tcW w:w="736"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5.95</w:t>
            </w:r>
          </w:p>
        </w:tc>
      </w:tr>
      <w:tr w:rsidR="00C81B24" w:rsidRPr="00C81B24" w:rsidTr="00526AD9">
        <w:trPr>
          <w:trHeight w:val="255"/>
          <w:jc w:val="center"/>
        </w:trPr>
        <w:tc>
          <w:tcPr>
            <w:tcW w:w="554" w:type="dxa"/>
            <w:tcBorders>
              <w:top w:val="nil"/>
              <w:left w:val="single" w:sz="4" w:space="0" w:color="auto"/>
              <w:bottom w:val="single" w:sz="4" w:space="0" w:color="auto"/>
              <w:right w:val="single" w:sz="4" w:space="0" w:color="auto"/>
            </w:tcBorders>
            <w:vAlign w:val="bottom"/>
          </w:tcPr>
          <w:p w:rsidR="00C81B24" w:rsidRPr="00C81B24" w:rsidRDefault="00C81B24" w:rsidP="00CE5850">
            <w:pPr>
              <w:rPr>
                <w:sz w:val="20"/>
              </w:rPr>
            </w:pPr>
            <w:r w:rsidRPr="00C81B24">
              <w:rPr>
                <w:sz w:val="20"/>
              </w:rPr>
              <w:t>54</w:t>
            </w:r>
          </w:p>
        </w:tc>
        <w:tc>
          <w:tcPr>
            <w:tcW w:w="456" w:type="dxa"/>
            <w:tcBorders>
              <w:top w:val="nil"/>
              <w:left w:val="single" w:sz="4" w:space="0" w:color="auto"/>
              <w:bottom w:val="single" w:sz="4" w:space="0" w:color="auto"/>
              <w:right w:val="single" w:sz="4" w:space="0" w:color="auto"/>
            </w:tcBorders>
            <w:vAlign w:val="center"/>
          </w:tcPr>
          <w:p w:rsidR="00C81B24" w:rsidRPr="00C81B24" w:rsidRDefault="00C81B24" w:rsidP="00CE5850">
            <w:pPr>
              <w:rPr>
                <w:sz w:val="20"/>
              </w:rPr>
            </w:pPr>
            <w:r w:rsidRPr="00C81B24">
              <w:rPr>
                <w:sz w:val="20"/>
              </w:rPr>
              <w:t>172</w:t>
            </w:r>
          </w:p>
        </w:tc>
        <w:tc>
          <w:tcPr>
            <w:tcW w:w="4012" w:type="dxa"/>
            <w:tcBorders>
              <w:top w:val="nil"/>
              <w:left w:val="nil"/>
              <w:bottom w:val="single" w:sz="4" w:space="0" w:color="auto"/>
              <w:right w:val="single" w:sz="4" w:space="0" w:color="auto"/>
            </w:tcBorders>
            <w:vAlign w:val="center"/>
          </w:tcPr>
          <w:p w:rsidR="00C81B24" w:rsidRPr="00C81B24" w:rsidRDefault="00C81B24" w:rsidP="00CE5850">
            <w:pPr>
              <w:rPr>
                <w:sz w:val="20"/>
              </w:rPr>
            </w:pPr>
            <w:r w:rsidRPr="00C81B24">
              <w:rPr>
                <w:sz w:val="20"/>
              </w:rPr>
              <w:t>Honolulu, HI</w:t>
            </w:r>
          </w:p>
        </w:tc>
        <w:tc>
          <w:tcPr>
            <w:tcW w:w="1102"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1,305,368</w:t>
            </w:r>
          </w:p>
        </w:tc>
        <w:tc>
          <w:tcPr>
            <w:tcW w:w="1155"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1,360,301</w:t>
            </w:r>
          </w:p>
        </w:tc>
        <w:tc>
          <w:tcPr>
            <w:tcW w:w="979"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96%</w:t>
            </w:r>
          </w:p>
        </w:tc>
        <w:tc>
          <w:tcPr>
            <w:tcW w:w="635" w:type="dxa"/>
            <w:tcBorders>
              <w:top w:val="nil"/>
              <w:left w:val="nil"/>
              <w:bottom w:val="single" w:sz="4" w:space="0" w:color="auto"/>
              <w:right w:val="single" w:sz="4" w:space="0" w:color="auto"/>
            </w:tcBorders>
            <w:noWrap/>
            <w:vAlign w:val="bottom"/>
          </w:tcPr>
          <w:p w:rsidR="00C81B24" w:rsidRPr="00C81B24" w:rsidRDefault="00C81B24" w:rsidP="00CE5850">
            <w:pPr>
              <w:rPr>
                <w:sz w:val="20"/>
              </w:rPr>
            </w:pPr>
            <w:r w:rsidRPr="00C81B24">
              <w:rPr>
                <w:sz w:val="20"/>
              </w:rPr>
              <w:t>2435</w:t>
            </w:r>
          </w:p>
        </w:tc>
        <w:tc>
          <w:tcPr>
            <w:tcW w:w="536"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2372</w:t>
            </w:r>
          </w:p>
        </w:tc>
        <w:tc>
          <w:tcPr>
            <w:tcW w:w="736"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211.80</w:t>
            </w:r>
          </w:p>
        </w:tc>
      </w:tr>
      <w:tr w:rsidR="00C81B24" w:rsidRPr="00C81B24" w:rsidTr="00526AD9">
        <w:trPr>
          <w:trHeight w:val="255"/>
          <w:jc w:val="center"/>
        </w:trPr>
        <w:tc>
          <w:tcPr>
            <w:tcW w:w="554" w:type="dxa"/>
            <w:tcBorders>
              <w:top w:val="nil"/>
              <w:left w:val="single" w:sz="4" w:space="0" w:color="auto"/>
              <w:bottom w:val="single" w:sz="4" w:space="0" w:color="auto"/>
              <w:right w:val="single" w:sz="4" w:space="0" w:color="auto"/>
            </w:tcBorders>
            <w:vAlign w:val="bottom"/>
          </w:tcPr>
          <w:p w:rsidR="00C81B24" w:rsidRPr="00C81B24" w:rsidRDefault="00C81B24" w:rsidP="00CE5850">
            <w:pPr>
              <w:rPr>
                <w:sz w:val="20"/>
              </w:rPr>
            </w:pPr>
            <w:r w:rsidRPr="00C81B24">
              <w:rPr>
                <w:sz w:val="20"/>
              </w:rPr>
              <w:t>55</w:t>
            </w:r>
          </w:p>
        </w:tc>
        <w:tc>
          <w:tcPr>
            <w:tcW w:w="456" w:type="dxa"/>
            <w:tcBorders>
              <w:top w:val="nil"/>
              <w:left w:val="single" w:sz="4" w:space="0" w:color="auto"/>
              <w:bottom w:val="single" w:sz="4" w:space="0" w:color="auto"/>
              <w:right w:val="single" w:sz="4" w:space="0" w:color="auto"/>
            </w:tcBorders>
            <w:vAlign w:val="center"/>
          </w:tcPr>
          <w:p w:rsidR="00C81B24" w:rsidRPr="00C81B24" w:rsidRDefault="00C81B24" w:rsidP="00CE5850">
            <w:pPr>
              <w:rPr>
                <w:sz w:val="20"/>
              </w:rPr>
            </w:pPr>
            <w:r w:rsidRPr="00C81B24">
              <w:rPr>
                <w:sz w:val="20"/>
              </w:rPr>
              <w:t>8</w:t>
            </w:r>
          </w:p>
        </w:tc>
        <w:tc>
          <w:tcPr>
            <w:tcW w:w="4012" w:type="dxa"/>
            <w:tcBorders>
              <w:top w:val="nil"/>
              <w:left w:val="nil"/>
              <w:bottom w:val="single" w:sz="4" w:space="0" w:color="auto"/>
              <w:right w:val="single" w:sz="4" w:space="0" w:color="auto"/>
            </w:tcBorders>
            <w:vAlign w:val="center"/>
          </w:tcPr>
          <w:p w:rsidR="00C81B24" w:rsidRPr="00C81B24" w:rsidRDefault="00C81B24" w:rsidP="00CE5850">
            <w:pPr>
              <w:rPr>
                <w:sz w:val="20"/>
                <w:lang w:val="sv-SE"/>
              </w:rPr>
            </w:pPr>
            <w:r w:rsidRPr="00C81B24">
              <w:rPr>
                <w:sz w:val="20"/>
                <w:lang w:val="sv-SE"/>
              </w:rPr>
              <w:t>Buffalo-Niagara Falls, NY-PA</w:t>
            </w:r>
          </w:p>
        </w:tc>
        <w:tc>
          <w:tcPr>
            <w:tcW w:w="1102"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1,393,168</w:t>
            </w:r>
          </w:p>
        </w:tc>
        <w:tc>
          <w:tcPr>
            <w:tcW w:w="1155"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1,460,584</w:t>
            </w:r>
          </w:p>
        </w:tc>
        <w:tc>
          <w:tcPr>
            <w:tcW w:w="979"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95%</w:t>
            </w:r>
          </w:p>
        </w:tc>
        <w:tc>
          <w:tcPr>
            <w:tcW w:w="635" w:type="dxa"/>
            <w:tcBorders>
              <w:top w:val="nil"/>
              <w:left w:val="nil"/>
              <w:bottom w:val="single" w:sz="4" w:space="0" w:color="auto"/>
              <w:right w:val="single" w:sz="4" w:space="0" w:color="auto"/>
            </w:tcBorders>
            <w:noWrap/>
            <w:vAlign w:val="bottom"/>
          </w:tcPr>
          <w:p w:rsidR="00C81B24" w:rsidRPr="00C81B24" w:rsidRDefault="00C81B24" w:rsidP="00CE5850">
            <w:pPr>
              <w:rPr>
                <w:sz w:val="20"/>
              </w:rPr>
            </w:pPr>
            <w:r w:rsidRPr="00C81B24">
              <w:rPr>
                <w:sz w:val="20"/>
              </w:rPr>
              <w:t>3237</w:t>
            </w:r>
          </w:p>
        </w:tc>
        <w:tc>
          <w:tcPr>
            <w:tcW w:w="536"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3240</w:t>
            </w:r>
          </w:p>
        </w:tc>
        <w:tc>
          <w:tcPr>
            <w:tcW w:w="736"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207.96</w:t>
            </w:r>
          </w:p>
        </w:tc>
      </w:tr>
      <w:tr w:rsidR="00C81B24" w:rsidRPr="00C81B24" w:rsidTr="00526AD9">
        <w:trPr>
          <w:trHeight w:val="255"/>
          <w:jc w:val="center"/>
        </w:trPr>
        <w:tc>
          <w:tcPr>
            <w:tcW w:w="554" w:type="dxa"/>
            <w:tcBorders>
              <w:top w:val="nil"/>
              <w:left w:val="single" w:sz="4" w:space="0" w:color="auto"/>
              <w:bottom w:val="single" w:sz="4" w:space="0" w:color="auto"/>
              <w:right w:val="single" w:sz="4" w:space="0" w:color="auto"/>
            </w:tcBorders>
            <w:vAlign w:val="bottom"/>
          </w:tcPr>
          <w:p w:rsidR="00C81B24" w:rsidRPr="00C81B24" w:rsidRDefault="00C81B24" w:rsidP="00CE5850">
            <w:pPr>
              <w:rPr>
                <w:sz w:val="20"/>
              </w:rPr>
            </w:pPr>
            <w:r w:rsidRPr="00C81B24">
              <w:rPr>
                <w:sz w:val="20"/>
              </w:rPr>
              <w:t>56</w:t>
            </w:r>
          </w:p>
        </w:tc>
        <w:tc>
          <w:tcPr>
            <w:tcW w:w="456" w:type="dxa"/>
            <w:tcBorders>
              <w:top w:val="nil"/>
              <w:left w:val="single" w:sz="4" w:space="0" w:color="auto"/>
              <w:bottom w:val="single" w:sz="4" w:space="0" w:color="auto"/>
              <w:right w:val="single" w:sz="4" w:space="0" w:color="auto"/>
            </w:tcBorders>
            <w:vAlign w:val="center"/>
          </w:tcPr>
          <w:p w:rsidR="00C81B24" w:rsidRPr="00C81B24" w:rsidRDefault="00C81B24" w:rsidP="00CE5850">
            <w:pPr>
              <w:rPr>
                <w:sz w:val="20"/>
              </w:rPr>
            </w:pPr>
            <w:r w:rsidRPr="00C81B24">
              <w:rPr>
                <w:sz w:val="20"/>
              </w:rPr>
              <w:t>23</w:t>
            </w:r>
          </w:p>
        </w:tc>
        <w:tc>
          <w:tcPr>
            <w:tcW w:w="4012" w:type="dxa"/>
            <w:tcBorders>
              <w:top w:val="nil"/>
              <w:left w:val="nil"/>
              <w:bottom w:val="single" w:sz="4" w:space="0" w:color="auto"/>
              <w:right w:val="single" w:sz="4" w:space="0" w:color="auto"/>
            </w:tcBorders>
            <w:vAlign w:val="center"/>
          </w:tcPr>
          <w:p w:rsidR="00C81B24" w:rsidRPr="00C81B24" w:rsidRDefault="00C81B24" w:rsidP="00CE5850">
            <w:pPr>
              <w:rPr>
                <w:sz w:val="20"/>
              </w:rPr>
            </w:pPr>
            <w:r w:rsidRPr="00C81B24">
              <w:rPr>
                <w:sz w:val="20"/>
              </w:rPr>
              <w:t>Charlotte-Gastonia-Rock Hill, NC-SC</w:t>
            </w:r>
          </w:p>
        </w:tc>
        <w:tc>
          <w:tcPr>
            <w:tcW w:w="1102"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2,425,206</w:t>
            </w:r>
          </w:p>
        </w:tc>
        <w:tc>
          <w:tcPr>
            <w:tcW w:w="1155"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2,546,100</w:t>
            </w:r>
          </w:p>
        </w:tc>
        <w:tc>
          <w:tcPr>
            <w:tcW w:w="979"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95%</w:t>
            </w:r>
          </w:p>
        </w:tc>
        <w:tc>
          <w:tcPr>
            <w:tcW w:w="635" w:type="dxa"/>
            <w:tcBorders>
              <w:top w:val="nil"/>
              <w:left w:val="nil"/>
              <w:bottom w:val="single" w:sz="4" w:space="0" w:color="auto"/>
              <w:right w:val="single" w:sz="4" w:space="0" w:color="auto"/>
            </w:tcBorders>
            <w:noWrap/>
            <w:vAlign w:val="bottom"/>
          </w:tcPr>
          <w:p w:rsidR="00C81B24" w:rsidRPr="00C81B24" w:rsidRDefault="00C81B24" w:rsidP="00CE5850">
            <w:pPr>
              <w:rPr>
                <w:sz w:val="20"/>
              </w:rPr>
            </w:pPr>
            <w:r w:rsidRPr="00C81B24">
              <w:rPr>
                <w:sz w:val="20"/>
              </w:rPr>
              <w:t>3067</w:t>
            </w:r>
          </w:p>
        </w:tc>
        <w:tc>
          <w:tcPr>
            <w:tcW w:w="536"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3044</w:t>
            </w:r>
          </w:p>
        </w:tc>
        <w:tc>
          <w:tcPr>
            <w:tcW w:w="736"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306.74</w:t>
            </w:r>
          </w:p>
        </w:tc>
      </w:tr>
      <w:tr w:rsidR="00C81B24" w:rsidRPr="00C81B24" w:rsidTr="00526AD9">
        <w:trPr>
          <w:trHeight w:val="255"/>
          <w:jc w:val="center"/>
        </w:trPr>
        <w:tc>
          <w:tcPr>
            <w:tcW w:w="554" w:type="dxa"/>
            <w:tcBorders>
              <w:top w:val="nil"/>
              <w:left w:val="single" w:sz="4" w:space="0" w:color="auto"/>
              <w:bottom w:val="single" w:sz="4" w:space="0" w:color="auto"/>
              <w:right w:val="single" w:sz="4" w:space="0" w:color="auto"/>
            </w:tcBorders>
            <w:vAlign w:val="bottom"/>
          </w:tcPr>
          <w:p w:rsidR="00C81B24" w:rsidRPr="00C81B24" w:rsidRDefault="00C81B24" w:rsidP="00CE5850">
            <w:pPr>
              <w:rPr>
                <w:sz w:val="20"/>
              </w:rPr>
            </w:pPr>
            <w:r w:rsidRPr="00C81B24">
              <w:rPr>
                <w:sz w:val="20"/>
              </w:rPr>
              <w:t>57</w:t>
            </w:r>
          </w:p>
        </w:tc>
        <w:tc>
          <w:tcPr>
            <w:tcW w:w="456" w:type="dxa"/>
            <w:tcBorders>
              <w:top w:val="nil"/>
              <w:left w:val="single" w:sz="4" w:space="0" w:color="auto"/>
              <w:bottom w:val="single" w:sz="4" w:space="0" w:color="auto"/>
              <w:right w:val="single" w:sz="4" w:space="0" w:color="auto"/>
            </w:tcBorders>
            <w:vAlign w:val="center"/>
          </w:tcPr>
          <w:p w:rsidR="00C81B24" w:rsidRPr="00C81B24" w:rsidRDefault="00C81B24" w:rsidP="00CE5850">
            <w:pPr>
              <w:rPr>
                <w:sz w:val="20"/>
              </w:rPr>
            </w:pPr>
            <w:r w:rsidRPr="00C81B24">
              <w:rPr>
                <w:sz w:val="20"/>
              </w:rPr>
              <w:t>35</w:t>
            </w:r>
          </w:p>
        </w:tc>
        <w:tc>
          <w:tcPr>
            <w:tcW w:w="4012" w:type="dxa"/>
            <w:tcBorders>
              <w:top w:val="nil"/>
              <w:left w:val="nil"/>
              <w:bottom w:val="single" w:sz="4" w:space="0" w:color="auto"/>
              <w:right w:val="single" w:sz="4" w:space="0" w:color="auto"/>
            </w:tcBorders>
            <w:vAlign w:val="center"/>
          </w:tcPr>
          <w:p w:rsidR="00C81B24" w:rsidRPr="00C81B24" w:rsidRDefault="00C81B24" w:rsidP="00CE5850">
            <w:pPr>
              <w:rPr>
                <w:sz w:val="20"/>
              </w:rPr>
            </w:pPr>
            <w:r w:rsidRPr="00C81B24">
              <w:rPr>
                <w:sz w:val="20"/>
              </w:rPr>
              <w:t>Tallahassee, FL-GA</w:t>
            </w:r>
          </w:p>
        </w:tc>
        <w:tc>
          <w:tcPr>
            <w:tcW w:w="1102"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760,482</w:t>
            </w:r>
          </w:p>
        </w:tc>
        <w:tc>
          <w:tcPr>
            <w:tcW w:w="1155"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801,642</w:t>
            </w:r>
          </w:p>
        </w:tc>
        <w:tc>
          <w:tcPr>
            <w:tcW w:w="979"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95%</w:t>
            </w:r>
          </w:p>
        </w:tc>
        <w:tc>
          <w:tcPr>
            <w:tcW w:w="635" w:type="dxa"/>
            <w:tcBorders>
              <w:top w:val="nil"/>
              <w:left w:val="nil"/>
              <w:bottom w:val="single" w:sz="4" w:space="0" w:color="auto"/>
              <w:right w:val="single" w:sz="4" w:space="0" w:color="auto"/>
            </w:tcBorders>
            <w:noWrap/>
            <w:vAlign w:val="bottom"/>
          </w:tcPr>
          <w:p w:rsidR="00C81B24" w:rsidRPr="00C81B24" w:rsidRDefault="00C81B24" w:rsidP="00CE5850">
            <w:pPr>
              <w:rPr>
                <w:sz w:val="20"/>
              </w:rPr>
            </w:pPr>
            <w:r w:rsidRPr="00C81B24">
              <w:rPr>
                <w:sz w:val="20"/>
              </w:rPr>
              <w:t>3377</w:t>
            </w:r>
          </w:p>
        </w:tc>
        <w:tc>
          <w:tcPr>
            <w:tcW w:w="536"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3116</w:t>
            </w:r>
          </w:p>
        </w:tc>
        <w:tc>
          <w:tcPr>
            <w:tcW w:w="736"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73.33</w:t>
            </w:r>
          </w:p>
        </w:tc>
      </w:tr>
      <w:tr w:rsidR="00C81B24" w:rsidRPr="00C81B24" w:rsidTr="00526AD9">
        <w:trPr>
          <w:trHeight w:val="255"/>
          <w:jc w:val="center"/>
        </w:trPr>
        <w:tc>
          <w:tcPr>
            <w:tcW w:w="554" w:type="dxa"/>
            <w:tcBorders>
              <w:top w:val="nil"/>
              <w:left w:val="single" w:sz="4" w:space="0" w:color="auto"/>
              <w:bottom w:val="single" w:sz="4" w:space="0" w:color="auto"/>
              <w:right w:val="single" w:sz="4" w:space="0" w:color="auto"/>
            </w:tcBorders>
            <w:vAlign w:val="bottom"/>
          </w:tcPr>
          <w:p w:rsidR="00C81B24" w:rsidRPr="00C81B24" w:rsidRDefault="00C81B24" w:rsidP="00CE5850">
            <w:pPr>
              <w:rPr>
                <w:sz w:val="20"/>
              </w:rPr>
            </w:pPr>
            <w:r w:rsidRPr="00C81B24">
              <w:rPr>
                <w:sz w:val="20"/>
              </w:rPr>
              <w:t>58</w:t>
            </w:r>
          </w:p>
        </w:tc>
        <w:tc>
          <w:tcPr>
            <w:tcW w:w="456" w:type="dxa"/>
            <w:tcBorders>
              <w:top w:val="nil"/>
              <w:left w:val="single" w:sz="4" w:space="0" w:color="auto"/>
              <w:bottom w:val="single" w:sz="4" w:space="0" w:color="auto"/>
              <w:right w:val="single" w:sz="4" w:space="0" w:color="auto"/>
            </w:tcBorders>
            <w:vAlign w:val="center"/>
          </w:tcPr>
          <w:p w:rsidR="00C81B24" w:rsidRPr="00C81B24" w:rsidRDefault="00C81B24" w:rsidP="00CE5850">
            <w:pPr>
              <w:rPr>
                <w:sz w:val="20"/>
              </w:rPr>
            </w:pPr>
            <w:r w:rsidRPr="00C81B24">
              <w:rPr>
                <w:sz w:val="20"/>
              </w:rPr>
              <w:t>42</w:t>
            </w:r>
          </w:p>
        </w:tc>
        <w:tc>
          <w:tcPr>
            <w:tcW w:w="4012" w:type="dxa"/>
            <w:tcBorders>
              <w:top w:val="nil"/>
              <w:left w:val="nil"/>
              <w:bottom w:val="single" w:sz="4" w:space="0" w:color="auto"/>
              <w:right w:val="single" w:sz="4" w:space="0" w:color="auto"/>
            </w:tcBorders>
            <w:vAlign w:val="center"/>
          </w:tcPr>
          <w:p w:rsidR="00C81B24" w:rsidRPr="00C81B24" w:rsidRDefault="00C81B24" w:rsidP="00CE5850">
            <w:pPr>
              <w:rPr>
                <w:sz w:val="20"/>
              </w:rPr>
            </w:pPr>
            <w:r w:rsidRPr="00C81B24">
              <w:rPr>
                <w:sz w:val="20"/>
              </w:rPr>
              <w:t>Asheville, NC</w:t>
            </w:r>
          </w:p>
        </w:tc>
        <w:tc>
          <w:tcPr>
            <w:tcW w:w="1102"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486,196</w:t>
            </w:r>
          </w:p>
        </w:tc>
        <w:tc>
          <w:tcPr>
            <w:tcW w:w="1155"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512,200</w:t>
            </w:r>
          </w:p>
        </w:tc>
        <w:tc>
          <w:tcPr>
            <w:tcW w:w="979"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95%</w:t>
            </w:r>
          </w:p>
        </w:tc>
        <w:tc>
          <w:tcPr>
            <w:tcW w:w="635" w:type="dxa"/>
            <w:tcBorders>
              <w:top w:val="nil"/>
              <w:left w:val="nil"/>
              <w:bottom w:val="single" w:sz="4" w:space="0" w:color="auto"/>
              <w:right w:val="single" w:sz="4" w:space="0" w:color="auto"/>
            </w:tcBorders>
            <w:noWrap/>
            <w:vAlign w:val="bottom"/>
          </w:tcPr>
          <w:p w:rsidR="00C81B24" w:rsidRPr="00C81B24" w:rsidRDefault="00C81B24" w:rsidP="00CE5850">
            <w:pPr>
              <w:rPr>
                <w:sz w:val="20"/>
              </w:rPr>
            </w:pPr>
            <w:r w:rsidRPr="00C81B24">
              <w:rPr>
                <w:sz w:val="20"/>
              </w:rPr>
              <w:t>4337</w:t>
            </w:r>
          </w:p>
        </w:tc>
        <w:tc>
          <w:tcPr>
            <w:tcW w:w="536"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4273</w:t>
            </w:r>
          </w:p>
        </w:tc>
        <w:tc>
          <w:tcPr>
            <w:tcW w:w="736"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149.32</w:t>
            </w:r>
          </w:p>
        </w:tc>
      </w:tr>
      <w:tr w:rsidR="00C81B24" w:rsidRPr="00C81B24" w:rsidTr="00526AD9">
        <w:trPr>
          <w:trHeight w:val="255"/>
          <w:jc w:val="center"/>
        </w:trPr>
        <w:tc>
          <w:tcPr>
            <w:tcW w:w="554" w:type="dxa"/>
            <w:tcBorders>
              <w:top w:val="nil"/>
              <w:left w:val="single" w:sz="4" w:space="0" w:color="auto"/>
              <w:bottom w:val="single" w:sz="4" w:space="0" w:color="auto"/>
              <w:right w:val="single" w:sz="4" w:space="0" w:color="auto"/>
            </w:tcBorders>
            <w:vAlign w:val="bottom"/>
          </w:tcPr>
          <w:p w:rsidR="00C81B24" w:rsidRPr="00C81B24" w:rsidRDefault="00C81B24" w:rsidP="00CE5850">
            <w:pPr>
              <w:rPr>
                <w:sz w:val="20"/>
              </w:rPr>
            </w:pPr>
            <w:r w:rsidRPr="00C81B24">
              <w:rPr>
                <w:sz w:val="20"/>
              </w:rPr>
              <w:t>59</w:t>
            </w:r>
          </w:p>
        </w:tc>
        <w:tc>
          <w:tcPr>
            <w:tcW w:w="456" w:type="dxa"/>
            <w:tcBorders>
              <w:top w:val="nil"/>
              <w:left w:val="single" w:sz="4" w:space="0" w:color="auto"/>
              <w:bottom w:val="single" w:sz="4" w:space="0" w:color="auto"/>
              <w:right w:val="single" w:sz="4" w:space="0" w:color="auto"/>
            </w:tcBorders>
            <w:vAlign w:val="center"/>
          </w:tcPr>
          <w:p w:rsidR="00C81B24" w:rsidRPr="00C81B24" w:rsidRDefault="00C81B24" w:rsidP="00CE5850">
            <w:pPr>
              <w:rPr>
                <w:sz w:val="20"/>
              </w:rPr>
            </w:pPr>
            <w:r w:rsidRPr="00C81B24">
              <w:rPr>
                <w:sz w:val="20"/>
              </w:rPr>
              <w:t>43</w:t>
            </w:r>
          </w:p>
        </w:tc>
        <w:tc>
          <w:tcPr>
            <w:tcW w:w="4012" w:type="dxa"/>
            <w:tcBorders>
              <w:top w:val="nil"/>
              <w:left w:val="nil"/>
              <w:bottom w:val="single" w:sz="4" w:space="0" w:color="auto"/>
              <w:right w:val="single" w:sz="4" w:space="0" w:color="auto"/>
            </w:tcBorders>
            <w:vAlign w:val="center"/>
          </w:tcPr>
          <w:p w:rsidR="00C81B24" w:rsidRPr="00C81B24" w:rsidRDefault="00C81B24" w:rsidP="00CE5850">
            <w:pPr>
              <w:rPr>
                <w:sz w:val="20"/>
              </w:rPr>
            </w:pPr>
            <w:r w:rsidRPr="00C81B24">
              <w:rPr>
                <w:sz w:val="20"/>
              </w:rPr>
              <w:t>Chattanooga, TN-GA</w:t>
            </w:r>
          </w:p>
        </w:tc>
        <w:tc>
          <w:tcPr>
            <w:tcW w:w="1102"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759,055</w:t>
            </w:r>
          </w:p>
        </w:tc>
        <w:tc>
          <w:tcPr>
            <w:tcW w:w="1155"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797,154</w:t>
            </w:r>
          </w:p>
        </w:tc>
        <w:tc>
          <w:tcPr>
            <w:tcW w:w="979"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95%</w:t>
            </w:r>
          </w:p>
        </w:tc>
        <w:tc>
          <w:tcPr>
            <w:tcW w:w="635" w:type="dxa"/>
            <w:tcBorders>
              <w:top w:val="nil"/>
              <w:left w:val="nil"/>
              <w:bottom w:val="single" w:sz="4" w:space="0" w:color="auto"/>
              <w:right w:val="single" w:sz="4" w:space="0" w:color="auto"/>
            </w:tcBorders>
            <w:noWrap/>
            <w:vAlign w:val="bottom"/>
          </w:tcPr>
          <w:p w:rsidR="00C81B24" w:rsidRPr="00C81B24" w:rsidRDefault="00C81B24" w:rsidP="00CE5850">
            <w:pPr>
              <w:rPr>
                <w:sz w:val="20"/>
              </w:rPr>
            </w:pPr>
            <w:r w:rsidRPr="00C81B24">
              <w:rPr>
                <w:sz w:val="20"/>
              </w:rPr>
              <w:t>3765</w:t>
            </w:r>
          </w:p>
        </w:tc>
        <w:tc>
          <w:tcPr>
            <w:tcW w:w="536"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3719</w:t>
            </w:r>
          </w:p>
        </w:tc>
        <w:tc>
          <w:tcPr>
            <w:tcW w:w="736"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164.87</w:t>
            </w:r>
          </w:p>
        </w:tc>
      </w:tr>
      <w:tr w:rsidR="00C81B24" w:rsidRPr="00C81B24" w:rsidTr="00526AD9">
        <w:trPr>
          <w:trHeight w:val="255"/>
          <w:jc w:val="center"/>
        </w:trPr>
        <w:tc>
          <w:tcPr>
            <w:tcW w:w="554" w:type="dxa"/>
            <w:tcBorders>
              <w:top w:val="nil"/>
              <w:left w:val="single" w:sz="4" w:space="0" w:color="auto"/>
              <w:bottom w:val="single" w:sz="4" w:space="0" w:color="auto"/>
              <w:right w:val="single" w:sz="4" w:space="0" w:color="auto"/>
            </w:tcBorders>
            <w:vAlign w:val="bottom"/>
          </w:tcPr>
          <w:p w:rsidR="00C81B24" w:rsidRPr="00C81B24" w:rsidRDefault="00C81B24" w:rsidP="00CE5850">
            <w:pPr>
              <w:rPr>
                <w:sz w:val="20"/>
              </w:rPr>
            </w:pPr>
            <w:r w:rsidRPr="00C81B24">
              <w:rPr>
                <w:sz w:val="20"/>
              </w:rPr>
              <w:t>60</w:t>
            </w:r>
          </w:p>
        </w:tc>
        <w:tc>
          <w:tcPr>
            <w:tcW w:w="456" w:type="dxa"/>
            <w:tcBorders>
              <w:top w:val="nil"/>
              <w:left w:val="single" w:sz="4" w:space="0" w:color="auto"/>
              <w:bottom w:val="single" w:sz="4" w:space="0" w:color="auto"/>
              <w:right w:val="single" w:sz="4" w:space="0" w:color="auto"/>
            </w:tcBorders>
            <w:vAlign w:val="center"/>
          </w:tcPr>
          <w:p w:rsidR="00C81B24" w:rsidRPr="00C81B24" w:rsidRDefault="00C81B24" w:rsidP="00CE5850">
            <w:pPr>
              <w:rPr>
                <w:sz w:val="20"/>
              </w:rPr>
            </w:pPr>
            <w:r w:rsidRPr="00C81B24">
              <w:rPr>
                <w:sz w:val="20"/>
              </w:rPr>
              <w:t>96</w:t>
            </w:r>
          </w:p>
        </w:tc>
        <w:tc>
          <w:tcPr>
            <w:tcW w:w="4012" w:type="dxa"/>
            <w:tcBorders>
              <w:top w:val="nil"/>
              <w:left w:val="nil"/>
              <w:bottom w:val="single" w:sz="4" w:space="0" w:color="auto"/>
              <w:right w:val="single" w:sz="4" w:space="0" w:color="auto"/>
            </w:tcBorders>
            <w:vAlign w:val="center"/>
          </w:tcPr>
          <w:p w:rsidR="00C81B24" w:rsidRPr="00C81B24" w:rsidRDefault="00C81B24" w:rsidP="00CE5850">
            <w:pPr>
              <w:rPr>
                <w:sz w:val="20"/>
              </w:rPr>
            </w:pPr>
            <w:r w:rsidRPr="00C81B24">
              <w:rPr>
                <w:sz w:val="20"/>
              </w:rPr>
              <w:t>St. Louis, MO-IL</w:t>
            </w:r>
          </w:p>
        </w:tc>
        <w:tc>
          <w:tcPr>
            <w:tcW w:w="1102"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3,495,178</w:t>
            </w:r>
          </w:p>
        </w:tc>
        <w:tc>
          <w:tcPr>
            <w:tcW w:w="1155"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3,690,263</w:t>
            </w:r>
          </w:p>
        </w:tc>
        <w:tc>
          <w:tcPr>
            <w:tcW w:w="979"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95%</w:t>
            </w:r>
          </w:p>
        </w:tc>
        <w:tc>
          <w:tcPr>
            <w:tcW w:w="635" w:type="dxa"/>
            <w:tcBorders>
              <w:top w:val="nil"/>
              <w:left w:val="nil"/>
              <w:bottom w:val="single" w:sz="4" w:space="0" w:color="auto"/>
              <w:right w:val="single" w:sz="4" w:space="0" w:color="auto"/>
            </w:tcBorders>
            <w:noWrap/>
            <w:vAlign w:val="bottom"/>
          </w:tcPr>
          <w:p w:rsidR="00C81B24" w:rsidRPr="00C81B24" w:rsidRDefault="00C81B24" w:rsidP="00CE5850">
            <w:pPr>
              <w:rPr>
                <w:sz w:val="20"/>
              </w:rPr>
            </w:pPr>
            <w:r w:rsidRPr="00C81B24">
              <w:rPr>
                <w:sz w:val="20"/>
              </w:rPr>
              <w:t>2715</w:t>
            </w:r>
          </w:p>
        </w:tc>
        <w:tc>
          <w:tcPr>
            <w:tcW w:w="536"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2669</w:t>
            </w:r>
          </w:p>
        </w:tc>
        <w:tc>
          <w:tcPr>
            <w:tcW w:w="736"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134.20</w:t>
            </w:r>
          </w:p>
        </w:tc>
      </w:tr>
      <w:tr w:rsidR="00C81B24" w:rsidRPr="00C81B24" w:rsidTr="00526AD9">
        <w:trPr>
          <w:trHeight w:val="255"/>
          <w:jc w:val="center"/>
        </w:trPr>
        <w:tc>
          <w:tcPr>
            <w:tcW w:w="554" w:type="dxa"/>
            <w:tcBorders>
              <w:top w:val="nil"/>
              <w:left w:val="single" w:sz="4" w:space="0" w:color="auto"/>
              <w:bottom w:val="single" w:sz="4" w:space="0" w:color="auto"/>
              <w:right w:val="single" w:sz="4" w:space="0" w:color="auto"/>
            </w:tcBorders>
            <w:vAlign w:val="bottom"/>
          </w:tcPr>
          <w:p w:rsidR="00C81B24" w:rsidRPr="00C81B24" w:rsidRDefault="00C81B24" w:rsidP="00CE5850">
            <w:pPr>
              <w:rPr>
                <w:sz w:val="20"/>
              </w:rPr>
            </w:pPr>
            <w:r w:rsidRPr="00C81B24">
              <w:rPr>
                <w:sz w:val="20"/>
              </w:rPr>
              <w:t>61</w:t>
            </w:r>
          </w:p>
        </w:tc>
        <w:tc>
          <w:tcPr>
            <w:tcW w:w="456" w:type="dxa"/>
            <w:tcBorders>
              <w:top w:val="nil"/>
              <w:left w:val="single" w:sz="4" w:space="0" w:color="auto"/>
              <w:bottom w:val="single" w:sz="4" w:space="0" w:color="auto"/>
              <w:right w:val="single" w:sz="4" w:space="0" w:color="auto"/>
            </w:tcBorders>
            <w:vAlign w:val="center"/>
          </w:tcPr>
          <w:p w:rsidR="00C81B24" w:rsidRPr="00C81B24" w:rsidRDefault="00C81B24" w:rsidP="00CE5850">
            <w:pPr>
              <w:rPr>
                <w:sz w:val="20"/>
              </w:rPr>
            </w:pPr>
            <w:r w:rsidRPr="00C81B24">
              <w:rPr>
                <w:sz w:val="20"/>
              </w:rPr>
              <w:t>130</w:t>
            </w:r>
          </w:p>
        </w:tc>
        <w:tc>
          <w:tcPr>
            <w:tcW w:w="4012" w:type="dxa"/>
            <w:tcBorders>
              <w:top w:val="nil"/>
              <w:left w:val="nil"/>
              <w:bottom w:val="single" w:sz="4" w:space="0" w:color="auto"/>
              <w:right w:val="single" w:sz="4" w:space="0" w:color="auto"/>
            </w:tcBorders>
            <w:vAlign w:val="center"/>
          </w:tcPr>
          <w:p w:rsidR="00C81B24" w:rsidRPr="00C81B24" w:rsidRDefault="00C81B24" w:rsidP="00CE5850">
            <w:pPr>
              <w:rPr>
                <w:sz w:val="20"/>
              </w:rPr>
            </w:pPr>
            <w:r w:rsidRPr="00C81B24">
              <w:rPr>
                <w:sz w:val="20"/>
              </w:rPr>
              <w:t>Austin-San Marcos, TX</w:t>
            </w:r>
          </w:p>
        </w:tc>
        <w:tc>
          <w:tcPr>
            <w:tcW w:w="1102"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1,731,603</w:t>
            </w:r>
          </w:p>
        </w:tc>
        <w:tc>
          <w:tcPr>
            <w:tcW w:w="1155"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1,830,206</w:t>
            </w:r>
          </w:p>
        </w:tc>
        <w:tc>
          <w:tcPr>
            <w:tcW w:w="979"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95%</w:t>
            </w:r>
          </w:p>
        </w:tc>
        <w:tc>
          <w:tcPr>
            <w:tcW w:w="635" w:type="dxa"/>
            <w:tcBorders>
              <w:top w:val="nil"/>
              <w:left w:val="nil"/>
              <w:bottom w:val="single" w:sz="4" w:space="0" w:color="auto"/>
              <w:right w:val="single" w:sz="4" w:space="0" w:color="auto"/>
            </w:tcBorders>
            <w:noWrap/>
            <w:vAlign w:val="bottom"/>
          </w:tcPr>
          <w:p w:rsidR="00C81B24" w:rsidRPr="00C81B24" w:rsidRDefault="00C81B24" w:rsidP="00CE5850">
            <w:pPr>
              <w:rPr>
                <w:sz w:val="20"/>
              </w:rPr>
            </w:pPr>
            <w:r w:rsidRPr="00C81B24">
              <w:rPr>
                <w:sz w:val="20"/>
              </w:rPr>
              <w:t>2685</w:t>
            </w:r>
          </w:p>
        </w:tc>
        <w:tc>
          <w:tcPr>
            <w:tcW w:w="536"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2633</w:t>
            </w:r>
          </w:p>
        </w:tc>
        <w:tc>
          <w:tcPr>
            <w:tcW w:w="736"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215.23</w:t>
            </w:r>
          </w:p>
        </w:tc>
      </w:tr>
      <w:tr w:rsidR="00C81B24" w:rsidRPr="00C81B24" w:rsidTr="00526AD9">
        <w:trPr>
          <w:trHeight w:val="255"/>
          <w:jc w:val="center"/>
        </w:trPr>
        <w:tc>
          <w:tcPr>
            <w:tcW w:w="554" w:type="dxa"/>
            <w:tcBorders>
              <w:top w:val="nil"/>
              <w:left w:val="single" w:sz="4" w:space="0" w:color="auto"/>
              <w:bottom w:val="single" w:sz="4" w:space="0" w:color="auto"/>
              <w:right w:val="single" w:sz="4" w:space="0" w:color="auto"/>
            </w:tcBorders>
            <w:vAlign w:val="bottom"/>
          </w:tcPr>
          <w:p w:rsidR="00C81B24" w:rsidRPr="00C81B24" w:rsidRDefault="00C81B24" w:rsidP="00CE5850">
            <w:pPr>
              <w:rPr>
                <w:sz w:val="20"/>
              </w:rPr>
            </w:pPr>
            <w:r w:rsidRPr="00C81B24">
              <w:rPr>
                <w:sz w:val="20"/>
              </w:rPr>
              <w:t>62</w:t>
            </w:r>
          </w:p>
        </w:tc>
        <w:tc>
          <w:tcPr>
            <w:tcW w:w="456" w:type="dxa"/>
            <w:tcBorders>
              <w:top w:val="nil"/>
              <w:left w:val="single" w:sz="4" w:space="0" w:color="auto"/>
              <w:bottom w:val="single" w:sz="4" w:space="0" w:color="auto"/>
              <w:right w:val="single" w:sz="4" w:space="0" w:color="auto"/>
            </w:tcBorders>
            <w:vAlign w:val="center"/>
          </w:tcPr>
          <w:p w:rsidR="00C81B24" w:rsidRPr="00C81B24" w:rsidRDefault="00C81B24" w:rsidP="00CE5850">
            <w:pPr>
              <w:rPr>
                <w:sz w:val="20"/>
              </w:rPr>
            </w:pPr>
            <w:r w:rsidRPr="00C81B24">
              <w:rPr>
                <w:sz w:val="20"/>
              </w:rPr>
              <w:t>133</w:t>
            </w:r>
          </w:p>
        </w:tc>
        <w:tc>
          <w:tcPr>
            <w:tcW w:w="4012" w:type="dxa"/>
            <w:tcBorders>
              <w:top w:val="nil"/>
              <w:left w:val="nil"/>
              <w:bottom w:val="single" w:sz="4" w:space="0" w:color="auto"/>
              <w:right w:val="single" w:sz="4" w:space="0" w:color="auto"/>
            </w:tcBorders>
            <w:vAlign w:val="center"/>
          </w:tcPr>
          <w:p w:rsidR="00C81B24" w:rsidRPr="00C81B24" w:rsidRDefault="00C81B24" w:rsidP="00CE5850">
            <w:pPr>
              <w:rPr>
                <w:sz w:val="20"/>
              </w:rPr>
            </w:pPr>
            <w:r w:rsidRPr="00C81B24">
              <w:rPr>
                <w:sz w:val="20"/>
              </w:rPr>
              <w:t>McAllen-Edinburg-Mission, TX</w:t>
            </w:r>
          </w:p>
        </w:tc>
        <w:tc>
          <w:tcPr>
            <w:tcW w:w="1102"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1,207,080</w:t>
            </w:r>
          </w:p>
        </w:tc>
        <w:tc>
          <w:tcPr>
            <w:tcW w:w="1155"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1,264,091</w:t>
            </w:r>
          </w:p>
        </w:tc>
        <w:tc>
          <w:tcPr>
            <w:tcW w:w="979"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95%</w:t>
            </w:r>
          </w:p>
        </w:tc>
        <w:tc>
          <w:tcPr>
            <w:tcW w:w="635" w:type="dxa"/>
            <w:tcBorders>
              <w:top w:val="nil"/>
              <w:left w:val="nil"/>
              <w:bottom w:val="single" w:sz="4" w:space="0" w:color="auto"/>
              <w:right w:val="single" w:sz="4" w:space="0" w:color="auto"/>
            </w:tcBorders>
            <w:noWrap/>
            <w:vAlign w:val="bottom"/>
          </w:tcPr>
          <w:p w:rsidR="00C81B24" w:rsidRPr="00C81B24" w:rsidRDefault="00C81B24" w:rsidP="00CE5850">
            <w:pPr>
              <w:rPr>
                <w:sz w:val="20"/>
              </w:rPr>
            </w:pPr>
            <w:r w:rsidRPr="00C81B24">
              <w:rPr>
                <w:sz w:val="20"/>
              </w:rPr>
              <w:t>2947</w:t>
            </w:r>
          </w:p>
        </w:tc>
        <w:tc>
          <w:tcPr>
            <w:tcW w:w="536"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2758</w:t>
            </w:r>
          </w:p>
        </w:tc>
        <w:tc>
          <w:tcPr>
            <w:tcW w:w="736"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295.66</w:t>
            </w:r>
          </w:p>
        </w:tc>
      </w:tr>
      <w:tr w:rsidR="00C81B24" w:rsidRPr="00C81B24" w:rsidTr="00526AD9">
        <w:trPr>
          <w:trHeight w:val="255"/>
          <w:jc w:val="center"/>
        </w:trPr>
        <w:tc>
          <w:tcPr>
            <w:tcW w:w="554" w:type="dxa"/>
            <w:tcBorders>
              <w:top w:val="nil"/>
              <w:left w:val="single" w:sz="4" w:space="0" w:color="auto"/>
              <w:bottom w:val="single" w:sz="4" w:space="0" w:color="auto"/>
              <w:right w:val="single" w:sz="4" w:space="0" w:color="auto"/>
            </w:tcBorders>
            <w:vAlign w:val="bottom"/>
          </w:tcPr>
          <w:p w:rsidR="00C81B24" w:rsidRPr="00C81B24" w:rsidRDefault="00C81B24" w:rsidP="00CE5850">
            <w:pPr>
              <w:rPr>
                <w:sz w:val="20"/>
              </w:rPr>
            </w:pPr>
            <w:r w:rsidRPr="00C81B24">
              <w:rPr>
                <w:sz w:val="20"/>
              </w:rPr>
              <w:t>63</w:t>
            </w:r>
          </w:p>
        </w:tc>
        <w:tc>
          <w:tcPr>
            <w:tcW w:w="456" w:type="dxa"/>
            <w:tcBorders>
              <w:top w:val="nil"/>
              <w:left w:val="single" w:sz="4" w:space="0" w:color="auto"/>
              <w:bottom w:val="single" w:sz="4" w:space="0" w:color="auto"/>
              <w:right w:val="single" w:sz="4" w:space="0" w:color="auto"/>
            </w:tcBorders>
            <w:vAlign w:val="center"/>
          </w:tcPr>
          <w:p w:rsidR="00C81B24" w:rsidRPr="00C81B24" w:rsidRDefault="00C81B24" w:rsidP="00CE5850">
            <w:pPr>
              <w:rPr>
                <w:sz w:val="20"/>
              </w:rPr>
            </w:pPr>
            <w:r w:rsidRPr="00C81B24">
              <w:rPr>
                <w:sz w:val="20"/>
              </w:rPr>
              <w:t>160</w:t>
            </w:r>
          </w:p>
        </w:tc>
        <w:tc>
          <w:tcPr>
            <w:tcW w:w="4012" w:type="dxa"/>
            <w:tcBorders>
              <w:top w:val="nil"/>
              <w:left w:val="nil"/>
              <w:bottom w:val="single" w:sz="4" w:space="0" w:color="auto"/>
              <w:right w:val="single" w:sz="4" w:space="0" w:color="auto"/>
            </w:tcBorders>
            <w:vAlign w:val="center"/>
          </w:tcPr>
          <w:p w:rsidR="00C81B24" w:rsidRPr="00C81B24" w:rsidRDefault="00C81B24" w:rsidP="00CE5850">
            <w:pPr>
              <w:rPr>
                <w:sz w:val="20"/>
              </w:rPr>
            </w:pPr>
            <w:r w:rsidRPr="00C81B24">
              <w:rPr>
                <w:sz w:val="20"/>
              </w:rPr>
              <w:t>Los Angeles-Riverside-Orange County, CA-AZ</w:t>
            </w:r>
          </w:p>
        </w:tc>
        <w:tc>
          <w:tcPr>
            <w:tcW w:w="1102"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18,795,215</w:t>
            </w:r>
          </w:p>
        </w:tc>
        <w:tc>
          <w:tcPr>
            <w:tcW w:w="1155"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19,800,937</w:t>
            </w:r>
          </w:p>
        </w:tc>
        <w:tc>
          <w:tcPr>
            <w:tcW w:w="979"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95%</w:t>
            </w:r>
          </w:p>
        </w:tc>
        <w:tc>
          <w:tcPr>
            <w:tcW w:w="635" w:type="dxa"/>
            <w:tcBorders>
              <w:top w:val="nil"/>
              <w:left w:val="nil"/>
              <w:bottom w:val="single" w:sz="4" w:space="0" w:color="auto"/>
              <w:right w:val="single" w:sz="4" w:space="0" w:color="auto"/>
            </w:tcBorders>
            <w:noWrap/>
            <w:vAlign w:val="bottom"/>
          </w:tcPr>
          <w:p w:rsidR="00C81B24" w:rsidRPr="00C81B24" w:rsidRDefault="00C81B24" w:rsidP="00CE5850">
            <w:pPr>
              <w:rPr>
                <w:sz w:val="20"/>
              </w:rPr>
            </w:pPr>
            <w:r w:rsidRPr="00C81B24">
              <w:rPr>
                <w:sz w:val="20"/>
              </w:rPr>
              <w:t>2423</w:t>
            </w:r>
          </w:p>
        </w:tc>
        <w:tc>
          <w:tcPr>
            <w:tcW w:w="536"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2365</w:t>
            </w:r>
          </w:p>
        </w:tc>
        <w:tc>
          <w:tcPr>
            <w:tcW w:w="736"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317.78</w:t>
            </w:r>
          </w:p>
        </w:tc>
      </w:tr>
      <w:tr w:rsidR="00C81B24" w:rsidRPr="00C81B24" w:rsidTr="00526AD9">
        <w:trPr>
          <w:trHeight w:val="255"/>
          <w:jc w:val="center"/>
        </w:trPr>
        <w:tc>
          <w:tcPr>
            <w:tcW w:w="554" w:type="dxa"/>
            <w:tcBorders>
              <w:top w:val="nil"/>
              <w:left w:val="single" w:sz="4" w:space="0" w:color="auto"/>
              <w:bottom w:val="single" w:sz="4" w:space="0" w:color="auto"/>
              <w:right w:val="single" w:sz="4" w:space="0" w:color="auto"/>
            </w:tcBorders>
            <w:vAlign w:val="bottom"/>
          </w:tcPr>
          <w:p w:rsidR="00C81B24" w:rsidRPr="00C81B24" w:rsidRDefault="00C81B24" w:rsidP="00CE5850">
            <w:pPr>
              <w:rPr>
                <w:sz w:val="20"/>
              </w:rPr>
            </w:pPr>
            <w:r w:rsidRPr="00C81B24">
              <w:rPr>
                <w:sz w:val="20"/>
              </w:rPr>
              <w:t>64</w:t>
            </w:r>
          </w:p>
        </w:tc>
        <w:tc>
          <w:tcPr>
            <w:tcW w:w="456" w:type="dxa"/>
            <w:tcBorders>
              <w:top w:val="nil"/>
              <w:left w:val="single" w:sz="4" w:space="0" w:color="auto"/>
              <w:bottom w:val="single" w:sz="4" w:space="0" w:color="auto"/>
              <w:right w:val="single" w:sz="4" w:space="0" w:color="auto"/>
            </w:tcBorders>
            <w:vAlign w:val="center"/>
          </w:tcPr>
          <w:p w:rsidR="00C81B24" w:rsidRPr="00C81B24" w:rsidRDefault="00C81B24" w:rsidP="00CE5850">
            <w:pPr>
              <w:rPr>
                <w:sz w:val="20"/>
              </w:rPr>
            </w:pPr>
            <w:r w:rsidRPr="00C81B24">
              <w:rPr>
                <w:sz w:val="20"/>
              </w:rPr>
              <w:t>163</w:t>
            </w:r>
          </w:p>
        </w:tc>
        <w:tc>
          <w:tcPr>
            <w:tcW w:w="4012" w:type="dxa"/>
            <w:tcBorders>
              <w:top w:val="nil"/>
              <w:left w:val="nil"/>
              <w:bottom w:val="single" w:sz="4" w:space="0" w:color="auto"/>
              <w:right w:val="single" w:sz="4" w:space="0" w:color="auto"/>
            </w:tcBorders>
            <w:vAlign w:val="center"/>
          </w:tcPr>
          <w:p w:rsidR="00C81B24" w:rsidRPr="00C81B24" w:rsidRDefault="00C81B24" w:rsidP="00CE5850">
            <w:pPr>
              <w:rPr>
                <w:sz w:val="20"/>
              </w:rPr>
            </w:pPr>
            <w:r w:rsidRPr="00C81B24">
              <w:rPr>
                <w:sz w:val="20"/>
              </w:rPr>
              <w:t>San Francisco-Oakland-San Jose, CA</w:t>
            </w:r>
          </w:p>
        </w:tc>
        <w:tc>
          <w:tcPr>
            <w:tcW w:w="1102"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9,256,899</w:t>
            </w:r>
          </w:p>
        </w:tc>
        <w:tc>
          <w:tcPr>
            <w:tcW w:w="1155"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9,759,108</w:t>
            </w:r>
          </w:p>
        </w:tc>
        <w:tc>
          <w:tcPr>
            <w:tcW w:w="979"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95%</w:t>
            </w:r>
          </w:p>
        </w:tc>
        <w:tc>
          <w:tcPr>
            <w:tcW w:w="635" w:type="dxa"/>
            <w:tcBorders>
              <w:top w:val="nil"/>
              <w:left w:val="nil"/>
              <w:bottom w:val="single" w:sz="4" w:space="0" w:color="auto"/>
              <w:right w:val="single" w:sz="4" w:space="0" w:color="auto"/>
            </w:tcBorders>
            <w:noWrap/>
            <w:vAlign w:val="bottom"/>
          </w:tcPr>
          <w:p w:rsidR="00C81B24" w:rsidRPr="00C81B24" w:rsidRDefault="00C81B24" w:rsidP="00CE5850">
            <w:pPr>
              <w:rPr>
                <w:sz w:val="20"/>
              </w:rPr>
            </w:pPr>
            <w:r w:rsidRPr="00C81B24">
              <w:rPr>
                <w:sz w:val="20"/>
              </w:rPr>
              <w:t>2706</w:t>
            </w:r>
          </w:p>
        </w:tc>
        <w:tc>
          <w:tcPr>
            <w:tcW w:w="536"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2662</w:t>
            </w:r>
          </w:p>
        </w:tc>
        <w:tc>
          <w:tcPr>
            <w:tcW w:w="736"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295.35</w:t>
            </w:r>
          </w:p>
        </w:tc>
      </w:tr>
      <w:tr w:rsidR="00C81B24" w:rsidRPr="00C81B24" w:rsidTr="00526AD9">
        <w:trPr>
          <w:trHeight w:val="255"/>
          <w:jc w:val="center"/>
        </w:trPr>
        <w:tc>
          <w:tcPr>
            <w:tcW w:w="554" w:type="dxa"/>
            <w:tcBorders>
              <w:top w:val="nil"/>
              <w:left w:val="single" w:sz="4" w:space="0" w:color="auto"/>
              <w:bottom w:val="single" w:sz="4" w:space="0" w:color="auto"/>
              <w:right w:val="single" w:sz="4" w:space="0" w:color="auto"/>
            </w:tcBorders>
            <w:vAlign w:val="bottom"/>
          </w:tcPr>
          <w:p w:rsidR="00C81B24" w:rsidRPr="00C81B24" w:rsidRDefault="00C81B24" w:rsidP="00CE5850">
            <w:pPr>
              <w:rPr>
                <w:sz w:val="20"/>
              </w:rPr>
            </w:pPr>
            <w:r w:rsidRPr="00C81B24">
              <w:rPr>
                <w:sz w:val="20"/>
              </w:rPr>
              <w:t>65</w:t>
            </w:r>
          </w:p>
        </w:tc>
        <w:tc>
          <w:tcPr>
            <w:tcW w:w="456" w:type="dxa"/>
            <w:tcBorders>
              <w:top w:val="nil"/>
              <w:left w:val="single" w:sz="4" w:space="0" w:color="auto"/>
              <w:bottom w:val="single" w:sz="4" w:space="0" w:color="auto"/>
              <w:right w:val="single" w:sz="4" w:space="0" w:color="auto"/>
            </w:tcBorders>
            <w:vAlign w:val="center"/>
          </w:tcPr>
          <w:p w:rsidR="00C81B24" w:rsidRPr="00C81B24" w:rsidRDefault="00C81B24" w:rsidP="00CE5850">
            <w:pPr>
              <w:rPr>
                <w:sz w:val="20"/>
              </w:rPr>
            </w:pPr>
            <w:r w:rsidRPr="00C81B24">
              <w:rPr>
                <w:sz w:val="20"/>
              </w:rPr>
              <w:t>27</w:t>
            </w:r>
          </w:p>
        </w:tc>
        <w:tc>
          <w:tcPr>
            <w:tcW w:w="4012" w:type="dxa"/>
            <w:tcBorders>
              <w:top w:val="nil"/>
              <w:left w:val="nil"/>
              <w:bottom w:val="single" w:sz="4" w:space="0" w:color="auto"/>
              <w:right w:val="single" w:sz="4" w:space="0" w:color="auto"/>
            </w:tcBorders>
            <w:vAlign w:val="center"/>
          </w:tcPr>
          <w:p w:rsidR="00C81B24" w:rsidRPr="00C81B24" w:rsidRDefault="00C81B24" w:rsidP="00CE5850">
            <w:pPr>
              <w:rPr>
                <w:sz w:val="20"/>
              </w:rPr>
            </w:pPr>
            <w:r w:rsidRPr="00C81B24">
              <w:rPr>
                <w:sz w:val="20"/>
              </w:rPr>
              <w:t>Augusta-Aiken, GA-SC</w:t>
            </w:r>
          </w:p>
        </w:tc>
        <w:tc>
          <w:tcPr>
            <w:tcW w:w="1102"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616,354</w:t>
            </w:r>
          </w:p>
        </w:tc>
        <w:tc>
          <w:tcPr>
            <w:tcW w:w="1155"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658,679</w:t>
            </w:r>
          </w:p>
        </w:tc>
        <w:tc>
          <w:tcPr>
            <w:tcW w:w="979"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94%</w:t>
            </w:r>
          </w:p>
        </w:tc>
        <w:tc>
          <w:tcPr>
            <w:tcW w:w="635" w:type="dxa"/>
            <w:tcBorders>
              <w:top w:val="nil"/>
              <w:left w:val="nil"/>
              <w:bottom w:val="single" w:sz="4" w:space="0" w:color="auto"/>
              <w:right w:val="single" w:sz="4" w:space="0" w:color="auto"/>
            </w:tcBorders>
            <w:noWrap/>
            <w:vAlign w:val="bottom"/>
          </w:tcPr>
          <w:p w:rsidR="00C81B24" w:rsidRPr="00C81B24" w:rsidRDefault="00C81B24" w:rsidP="00CE5850">
            <w:pPr>
              <w:rPr>
                <w:sz w:val="20"/>
              </w:rPr>
            </w:pPr>
            <w:r w:rsidRPr="00C81B24">
              <w:rPr>
                <w:sz w:val="20"/>
              </w:rPr>
              <w:t>3394</w:t>
            </w:r>
          </w:p>
        </w:tc>
        <w:tc>
          <w:tcPr>
            <w:tcW w:w="536"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3249</w:t>
            </w:r>
          </w:p>
        </w:tc>
        <w:tc>
          <w:tcPr>
            <w:tcW w:w="736"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99.77</w:t>
            </w:r>
          </w:p>
        </w:tc>
      </w:tr>
      <w:tr w:rsidR="00C81B24" w:rsidRPr="00C81B24" w:rsidTr="00526AD9">
        <w:trPr>
          <w:trHeight w:val="255"/>
          <w:jc w:val="center"/>
        </w:trPr>
        <w:tc>
          <w:tcPr>
            <w:tcW w:w="554" w:type="dxa"/>
            <w:tcBorders>
              <w:top w:val="nil"/>
              <w:left w:val="single" w:sz="4" w:space="0" w:color="auto"/>
              <w:bottom w:val="single" w:sz="4" w:space="0" w:color="auto"/>
              <w:right w:val="single" w:sz="4" w:space="0" w:color="auto"/>
            </w:tcBorders>
            <w:vAlign w:val="bottom"/>
          </w:tcPr>
          <w:p w:rsidR="00C81B24" w:rsidRPr="00C81B24" w:rsidRDefault="00C81B24" w:rsidP="00CE5850">
            <w:pPr>
              <w:rPr>
                <w:sz w:val="20"/>
              </w:rPr>
            </w:pPr>
            <w:r w:rsidRPr="00C81B24">
              <w:rPr>
                <w:sz w:val="20"/>
              </w:rPr>
              <w:t>66</w:t>
            </w:r>
          </w:p>
        </w:tc>
        <w:tc>
          <w:tcPr>
            <w:tcW w:w="456" w:type="dxa"/>
            <w:tcBorders>
              <w:top w:val="nil"/>
              <w:left w:val="single" w:sz="4" w:space="0" w:color="auto"/>
              <w:bottom w:val="single" w:sz="4" w:space="0" w:color="auto"/>
              <w:right w:val="single" w:sz="4" w:space="0" w:color="auto"/>
            </w:tcBorders>
            <w:vAlign w:val="center"/>
          </w:tcPr>
          <w:p w:rsidR="00C81B24" w:rsidRPr="00C81B24" w:rsidRDefault="00C81B24" w:rsidP="00CE5850">
            <w:pPr>
              <w:rPr>
                <w:sz w:val="20"/>
              </w:rPr>
            </w:pPr>
            <w:r w:rsidRPr="00C81B24">
              <w:rPr>
                <w:sz w:val="20"/>
              </w:rPr>
              <w:t>39</w:t>
            </w:r>
          </w:p>
        </w:tc>
        <w:tc>
          <w:tcPr>
            <w:tcW w:w="4012" w:type="dxa"/>
            <w:tcBorders>
              <w:top w:val="nil"/>
              <w:left w:val="nil"/>
              <w:bottom w:val="single" w:sz="4" w:space="0" w:color="auto"/>
              <w:right w:val="single" w:sz="4" w:space="0" w:color="auto"/>
            </w:tcBorders>
            <w:vAlign w:val="center"/>
          </w:tcPr>
          <w:p w:rsidR="00C81B24" w:rsidRPr="00C81B24" w:rsidRDefault="00C81B24" w:rsidP="00CE5850">
            <w:pPr>
              <w:rPr>
                <w:sz w:val="20"/>
              </w:rPr>
            </w:pPr>
            <w:r w:rsidRPr="00C81B24">
              <w:rPr>
                <w:sz w:val="20"/>
              </w:rPr>
              <w:t>Columbus, GA-AL</w:t>
            </w:r>
          </w:p>
        </w:tc>
        <w:tc>
          <w:tcPr>
            <w:tcW w:w="1102"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501,769</w:t>
            </w:r>
          </w:p>
        </w:tc>
        <w:tc>
          <w:tcPr>
            <w:tcW w:w="1155"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532,508</w:t>
            </w:r>
          </w:p>
        </w:tc>
        <w:tc>
          <w:tcPr>
            <w:tcW w:w="979"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94%</w:t>
            </w:r>
          </w:p>
        </w:tc>
        <w:tc>
          <w:tcPr>
            <w:tcW w:w="635" w:type="dxa"/>
            <w:tcBorders>
              <w:top w:val="nil"/>
              <w:left w:val="nil"/>
              <w:bottom w:val="single" w:sz="4" w:space="0" w:color="auto"/>
              <w:right w:val="single" w:sz="4" w:space="0" w:color="auto"/>
            </w:tcBorders>
            <w:noWrap/>
            <w:vAlign w:val="bottom"/>
          </w:tcPr>
          <w:p w:rsidR="00C81B24" w:rsidRPr="00C81B24" w:rsidRDefault="00C81B24" w:rsidP="00CE5850">
            <w:pPr>
              <w:rPr>
                <w:sz w:val="20"/>
              </w:rPr>
            </w:pPr>
            <w:r w:rsidRPr="00C81B24">
              <w:rPr>
                <w:sz w:val="20"/>
              </w:rPr>
              <w:t>3453</w:t>
            </w:r>
          </w:p>
        </w:tc>
        <w:tc>
          <w:tcPr>
            <w:tcW w:w="536"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3063</w:t>
            </w:r>
          </w:p>
        </w:tc>
        <w:tc>
          <w:tcPr>
            <w:tcW w:w="736"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91.94</w:t>
            </w:r>
          </w:p>
        </w:tc>
      </w:tr>
      <w:tr w:rsidR="00C81B24" w:rsidRPr="00C81B24" w:rsidTr="00526AD9">
        <w:trPr>
          <w:trHeight w:val="255"/>
          <w:jc w:val="center"/>
        </w:trPr>
        <w:tc>
          <w:tcPr>
            <w:tcW w:w="554" w:type="dxa"/>
            <w:tcBorders>
              <w:top w:val="nil"/>
              <w:left w:val="single" w:sz="4" w:space="0" w:color="auto"/>
              <w:bottom w:val="single" w:sz="4" w:space="0" w:color="auto"/>
              <w:right w:val="single" w:sz="4" w:space="0" w:color="auto"/>
            </w:tcBorders>
            <w:vAlign w:val="bottom"/>
          </w:tcPr>
          <w:p w:rsidR="00C81B24" w:rsidRPr="00C81B24" w:rsidRDefault="00C81B24" w:rsidP="00CE5850">
            <w:pPr>
              <w:rPr>
                <w:sz w:val="20"/>
              </w:rPr>
            </w:pPr>
            <w:r w:rsidRPr="00C81B24">
              <w:rPr>
                <w:sz w:val="20"/>
              </w:rPr>
              <w:t>67</w:t>
            </w:r>
          </w:p>
        </w:tc>
        <w:tc>
          <w:tcPr>
            <w:tcW w:w="456" w:type="dxa"/>
            <w:tcBorders>
              <w:top w:val="nil"/>
              <w:left w:val="single" w:sz="4" w:space="0" w:color="auto"/>
              <w:bottom w:val="single" w:sz="4" w:space="0" w:color="auto"/>
              <w:right w:val="single" w:sz="4" w:space="0" w:color="auto"/>
            </w:tcBorders>
            <w:vAlign w:val="center"/>
          </w:tcPr>
          <w:p w:rsidR="00C81B24" w:rsidRPr="00C81B24" w:rsidRDefault="00C81B24" w:rsidP="00CE5850">
            <w:pPr>
              <w:rPr>
                <w:sz w:val="20"/>
              </w:rPr>
            </w:pPr>
            <w:r w:rsidRPr="00C81B24">
              <w:rPr>
                <w:sz w:val="20"/>
              </w:rPr>
              <w:t>77</w:t>
            </w:r>
          </w:p>
        </w:tc>
        <w:tc>
          <w:tcPr>
            <w:tcW w:w="4012" w:type="dxa"/>
            <w:tcBorders>
              <w:top w:val="nil"/>
              <w:left w:val="nil"/>
              <w:bottom w:val="single" w:sz="4" w:space="0" w:color="auto"/>
              <w:right w:val="single" w:sz="4" w:space="0" w:color="auto"/>
            </w:tcBorders>
            <w:vAlign w:val="center"/>
          </w:tcPr>
          <w:p w:rsidR="00C81B24" w:rsidRPr="00C81B24" w:rsidRDefault="00C81B24" w:rsidP="00CE5850">
            <w:pPr>
              <w:rPr>
                <w:sz w:val="20"/>
              </w:rPr>
            </w:pPr>
            <w:r w:rsidRPr="00C81B24">
              <w:rPr>
                <w:sz w:val="20"/>
              </w:rPr>
              <w:t>Jackson, MS-AL-LA</w:t>
            </w:r>
          </w:p>
        </w:tc>
        <w:tc>
          <w:tcPr>
            <w:tcW w:w="1102"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1,392,896</w:t>
            </w:r>
          </w:p>
        </w:tc>
        <w:tc>
          <w:tcPr>
            <w:tcW w:w="1155"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1,484,806</w:t>
            </w:r>
          </w:p>
        </w:tc>
        <w:tc>
          <w:tcPr>
            <w:tcW w:w="979"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94%</w:t>
            </w:r>
          </w:p>
        </w:tc>
        <w:tc>
          <w:tcPr>
            <w:tcW w:w="635" w:type="dxa"/>
            <w:tcBorders>
              <w:top w:val="nil"/>
              <w:left w:val="nil"/>
              <w:bottom w:val="single" w:sz="4" w:space="0" w:color="auto"/>
              <w:right w:val="single" w:sz="4" w:space="0" w:color="auto"/>
            </w:tcBorders>
            <w:noWrap/>
            <w:vAlign w:val="bottom"/>
          </w:tcPr>
          <w:p w:rsidR="00C81B24" w:rsidRPr="00C81B24" w:rsidRDefault="00C81B24" w:rsidP="00CE5850">
            <w:pPr>
              <w:rPr>
                <w:sz w:val="20"/>
              </w:rPr>
            </w:pPr>
            <w:r w:rsidRPr="00C81B24">
              <w:rPr>
                <w:sz w:val="20"/>
              </w:rPr>
              <w:t>3272</w:t>
            </w:r>
          </w:p>
        </w:tc>
        <w:tc>
          <w:tcPr>
            <w:tcW w:w="536"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3451</w:t>
            </w:r>
          </w:p>
        </w:tc>
        <w:tc>
          <w:tcPr>
            <w:tcW w:w="736"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52.27</w:t>
            </w:r>
          </w:p>
        </w:tc>
      </w:tr>
      <w:tr w:rsidR="00C81B24" w:rsidRPr="00C81B24" w:rsidTr="00526AD9">
        <w:trPr>
          <w:trHeight w:val="255"/>
          <w:jc w:val="center"/>
        </w:trPr>
        <w:tc>
          <w:tcPr>
            <w:tcW w:w="554" w:type="dxa"/>
            <w:tcBorders>
              <w:top w:val="nil"/>
              <w:left w:val="single" w:sz="4" w:space="0" w:color="auto"/>
              <w:bottom w:val="single" w:sz="4" w:space="0" w:color="auto"/>
              <w:right w:val="single" w:sz="4" w:space="0" w:color="auto"/>
            </w:tcBorders>
            <w:vAlign w:val="bottom"/>
          </w:tcPr>
          <w:p w:rsidR="00C81B24" w:rsidRPr="00C81B24" w:rsidRDefault="00C81B24" w:rsidP="00CE5850">
            <w:pPr>
              <w:rPr>
                <w:sz w:val="20"/>
              </w:rPr>
            </w:pPr>
            <w:r w:rsidRPr="00C81B24">
              <w:rPr>
                <w:sz w:val="20"/>
              </w:rPr>
              <w:t>68</w:t>
            </w:r>
          </w:p>
        </w:tc>
        <w:tc>
          <w:tcPr>
            <w:tcW w:w="456" w:type="dxa"/>
            <w:tcBorders>
              <w:top w:val="nil"/>
              <w:left w:val="single" w:sz="4" w:space="0" w:color="auto"/>
              <w:bottom w:val="single" w:sz="4" w:space="0" w:color="auto"/>
              <w:right w:val="single" w:sz="4" w:space="0" w:color="auto"/>
            </w:tcBorders>
            <w:vAlign w:val="center"/>
          </w:tcPr>
          <w:p w:rsidR="00C81B24" w:rsidRPr="00C81B24" w:rsidRDefault="00C81B24" w:rsidP="00CE5850">
            <w:pPr>
              <w:rPr>
                <w:sz w:val="20"/>
              </w:rPr>
            </w:pPr>
            <w:r w:rsidRPr="00C81B24">
              <w:rPr>
                <w:sz w:val="20"/>
              </w:rPr>
              <w:t>95</w:t>
            </w:r>
          </w:p>
        </w:tc>
        <w:tc>
          <w:tcPr>
            <w:tcW w:w="4012" w:type="dxa"/>
            <w:tcBorders>
              <w:top w:val="nil"/>
              <w:left w:val="nil"/>
              <w:bottom w:val="single" w:sz="4" w:space="0" w:color="auto"/>
              <w:right w:val="single" w:sz="4" w:space="0" w:color="auto"/>
            </w:tcBorders>
            <w:vAlign w:val="center"/>
          </w:tcPr>
          <w:p w:rsidR="00C81B24" w:rsidRPr="00C81B24" w:rsidRDefault="00C81B24" w:rsidP="00CE5850">
            <w:pPr>
              <w:rPr>
                <w:sz w:val="20"/>
              </w:rPr>
            </w:pPr>
            <w:r w:rsidRPr="00C81B24">
              <w:rPr>
                <w:sz w:val="20"/>
              </w:rPr>
              <w:t>Jonesboro, AR-MO</w:t>
            </w:r>
          </w:p>
        </w:tc>
        <w:tc>
          <w:tcPr>
            <w:tcW w:w="1102"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292,042</w:t>
            </w:r>
          </w:p>
        </w:tc>
        <w:tc>
          <w:tcPr>
            <w:tcW w:w="1155"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311,312</w:t>
            </w:r>
          </w:p>
        </w:tc>
        <w:tc>
          <w:tcPr>
            <w:tcW w:w="979"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94%</w:t>
            </w:r>
          </w:p>
        </w:tc>
        <w:tc>
          <w:tcPr>
            <w:tcW w:w="635" w:type="dxa"/>
            <w:tcBorders>
              <w:top w:val="nil"/>
              <w:left w:val="nil"/>
              <w:bottom w:val="single" w:sz="4" w:space="0" w:color="auto"/>
              <w:right w:val="single" w:sz="4" w:space="0" w:color="auto"/>
            </w:tcBorders>
            <w:noWrap/>
            <w:vAlign w:val="bottom"/>
          </w:tcPr>
          <w:p w:rsidR="00C81B24" w:rsidRPr="00C81B24" w:rsidRDefault="00C81B24" w:rsidP="00CE5850">
            <w:pPr>
              <w:rPr>
                <w:sz w:val="20"/>
              </w:rPr>
            </w:pPr>
            <w:r w:rsidRPr="00C81B24">
              <w:rPr>
                <w:sz w:val="20"/>
              </w:rPr>
              <w:t>4956</w:t>
            </w:r>
          </w:p>
        </w:tc>
        <w:tc>
          <w:tcPr>
            <w:tcW w:w="536"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5041</w:t>
            </w:r>
          </w:p>
        </w:tc>
        <w:tc>
          <w:tcPr>
            <w:tcW w:w="736"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53.15</w:t>
            </w:r>
          </w:p>
        </w:tc>
      </w:tr>
      <w:tr w:rsidR="00C81B24" w:rsidRPr="00C81B24" w:rsidTr="00526AD9">
        <w:trPr>
          <w:trHeight w:val="255"/>
          <w:jc w:val="center"/>
        </w:trPr>
        <w:tc>
          <w:tcPr>
            <w:tcW w:w="554" w:type="dxa"/>
            <w:tcBorders>
              <w:top w:val="nil"/>
              <w:left w:val="single" w:sz="4" w:space="0" w:color="auto"/>
              <w:bottom w:val="single" w:sz="4" w:space="0" w:color="auto"/>
              <w:right w:val="single" w:sz="4" w:space="0" w:color="auto"/>
            </w:tcBorders>
            <w:vAlign w:val="bottom"/>
          </w:tcPr>
          <w:p w:rsidR="00C81B24" w:rsidRPr="00C81B24" w:rsidRDefault="00C81B24" w:rsidP="00CE5850">
            <w:pPr>
              <w:rPr>
                <w:sz w:val="20"/>
              </w:rPr>
            </w:pPr>
            <w:r w:rsidRPr="00C81B24">
              <w:rPr>
                <w:sz w:val="20"/>
              </w:rPr>
              <w:t>69</w:t>
            </w:r>
          </w:p>
        </w:tc>
        <w:tc>
          <w:tcPr>
            <w:tcW w:w="456" w:type="dxa"/>
            <w:tcBorders>
              <w:top w:val="nil"/>
              <w:left w:val="single" w:sz="4" w:space="0" w:color="auto"/>
              <w:bottom w:val="single" w:sz="4" w:space="0" w:color="auto"/>
              <w:right w:val="single" w:sz="4" w:space="0" w:color="auto"/>
            </w:tcBorders>
            <w:vAlign w:val="center"/>
          </w:tcPr>
          <w:p w:rsidR="00C81B24" w:rsidRPr="00C81B24" w:rsidRDefault="00C81B24" w:rsidP="00CE5850">
            <w:pPr>
              <w:rPr>
                <w:sz w:val="20"/>
              </w:rPr>
            </w:pPr>
            <w:r w:rsidRPr="00C81B24">
              <w:rPr>
                <w:sz w:val="20"/>
              </w:rPr>
              <w:t>107</w:t>
            </w:r>
          </w:p>
        </w:tc>
        <w:tc>
          <w:tcPr>
            <w:tcW w:w="4012" w:type="dxa"/>
            <w:tcBorders>
              <w:top w:val="nil"/>
              <w:left w:val="nil"/>
              <w:bottom w:val="single" w:sz="4" w:space="0" w:color="auto"/>
              <w:right w:val="single" w:sz="4" w:space="0" w:color="auto"/>
            </w:tcBorders>
            <w:vAlign w:val="center"/>
          </w:tcPr>
          <w:p w:rsidR="00C81B24" w:rsidRPr="00C81B24" w:rsidRDefault="00C81B24" w:rsidP="00CE5850">
            <w:pPr>
              <w:rPr>
                <w:sz w:val="20"/>
              </w:rPr>
            </w:pPr>
            <w:r w:rsidRPr="00C81B24">
              <w:rPr>
                <w:sz w:val="20"/>
              </w:rPr>
              <w:t>Minneapolis-St. Paul, MN-WI-IA</w:t>
            </w:r>
          </w:p>
        </w:tc>
        <w:tc>
          <w:tcPr>
            <w:tcW w:w="1102"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4,600,520</w:t>
            </w:r>
          </w:p>
        </w:tc>
        <w:tc>
          <w:tcPr>
            <w:tcW w:w="1155"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4,895,391</w:t>
            </w:r>
          </w:p>
        </w:tc>
        <w:tc>
          <w:tcPr>
            <w:tcW w:w="979"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94%</w:t>
            </w:r>
          </w:p>
        </w:tc>
        <w:tc>
          <w:tcPr>
            <w:tcW w:w="635" w:type="dxa"/>
            <w:tcBorders>
              <w:top w:val="nil"/>
              <w:left w:val="nil"/>
              <w:bottom w:val="single" w:sz="4" w:space="0" w:color="auto"/>
              <w:right w:val="single" w:sz="4" w:space="0" w:color="auto"/>
            </w:tcBorders>
            <w:noWrap/>
            <w:vAlign w:val="bottom"/>
          </w:tcPr>
          <w:p w:rsidR="00C81B24" w:rsidRPr="00C81B24" w:rsidRDefault="00C81B24" w:rsidP="00CE5850">
            <w:pPr>
              <w:rPr>
                <w:sz w:val="20"/>
              </w:rPr>
            </w:pPr>
            <w:r w:rsidRPr="00C81B24">
              <w:rPr>
                <w:sz w:val="20"/>
              </w:rPr>
              <w:t>2776</w:t>
            </w:r>
          </w:p>
        </w:tc>
        <w:tc>
          <w:tcPr>
            <w:tcW w:w="536"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2689</w:t>
            </w:r>
          </w:p>
        </w:tc>
        <w:tc>
          <w:tcPr>
            <w:tcW w:w="736"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95.22</w:t>
            </w:r>
          </w:p>
        </w:tc>
      </w:tr>
      <w:tr w:rsidR="00C81B24" w:rsidRPr="00C81B24" w:rsidTr="00526AD9">
        <w:trPr>
          <w:trHeight w:val="255"/>
          <w:jc w:val="center"/>
        </w:trPr>
        <w:tc>
          <w:tcPr>
            <w:tcW w:w="554" w:type="dxa"/>
            <w:tcBorders>
              <w:top w:val="nil"/>
              <w:left w:val="single" w:sz="4" w:space="0" w:color="auto"/>
              <w:bottom w:val="single" w:sz="4" w:space="0" w:color="auto"/>
              <w:right w:val="single" w:sz="4" w:space="0" w:color="auto"/>
            </w:tcBorders>
            <w:vAlign w:val="bottom"/>
          </w:tcPr>
          <w:p w:rsidR="00C81B24" w:rsidRPr="00C81B24" w:rsidRDefault="00C81B24" w:rsidP="00CE5850">
            <w:pPr>
              <w:rPr>
                <w:sz w:val="20"/>
              </w:rPr>
            </w:pPr>
            <w:r w:rsidRPr="00C81B24">
              <w:rPr>
                <w:sz w:val="20"/>
              </w:rPr>
              <w:t>70</w:t>
            </w:r>
          </w:p>
        </w:tc>
        <w:tc>
          <w:tcPr>
            <w:tcW w:w="456" w:type="dxa"/>
            <w:tcBorders>
              <w:top w:val="nil"/>
              <w:left w:val="single" w:sz="4" w:space="0" w:color="auto"/>
              <w:bottom w:val="single" w:sz="4" w:space="0" w:color="auto"/>
              <w:right w:val="single" w:sz="4" w:space="0" w:color="auto"/>
            </w:tcBorders>
            <w:vAlign w:val="center"/>
          </w:tcPr>
          <w:p w:rsidR="00C81B24" w:rsidRPr="00C81B24" w:rsidRDefault="00C81B24" w:rsidP="00CE5850">
            <w:pPr>
              <w:rPr>
                <w:sz w:val="20"/>
              </w:rPr>
            </w:pPr>
            <w:r w:rsidRPr="00C81B24">
              <w:rPr>
                <w:sz w:val="20"/>
              </w:rPr>
              <w:t>125</w:t>
            </w:r>
          </w:p>
        </w:tc>
        <w:tc>
          <w:tcPr>
            <w:tcW w:w="4012" w:type="dxa"/>
            <w:tcBorders>
              <w:top w:val="nil"/>
              <w:left w:val="nil"/>
              <w:bottom w:val="single" w:sz="4" w:space="0" w:color="auto"/>
              <w:right w:val="single" w:sz="4" w:space="0" w:color="auto"/>
            </w:tcBorders>
            <w:vAlign w:val="center"/>
          </w:tcPr>
          <w:p w:rsidR="00C81B24" w:rsidRPr="00C81B24" w:rsidRDefault="00C81B24" w:rsidP="00CE5850">
            <w:pPr>
              <w:rPr>
                <w:sz w:val="20"/>
              </w:rPr>
            </w:pPr>
            <w:r w:rsidRPr="00C81B24">
              <w:rPr>
                <w:sz w:val="20"/>
              </w:rPr>
              <w:t>Oklahoma City, OK</w:t>
            </w:r>
          </w:p>
        </w:tc>
        <w:tc>
          <w:tcPr>
            <w:tcW w:w="1102"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1,774,072</w:t>
            </w:r>
          </w:p>
        </w:tc>
        <w:tc>
          <w:tcPr>
            <w:tcW w:w="1155"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1,882,087</w:t>
            </w:r>
          </w:p>
        </w:tc>
        <w:tc>
          <w:tcPr>
            <w:tcW w:w="979"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94%</w:t>
            </w:r>
          </w:p>
        </w:tc>
        <w:tc>
          <w:tcPr>
            <w:tcW w:w="635" w:type="dxa"/>
            <w:tcBorders>
              <w:top w:val="nil"/>
              <w:left w:val="nil"/>
              <w:bottom w:val="single" w:sz="4" w:space="0" w:color="auto"/>
              <w:right w:val="single" w:sz="4" w:space="0" w:color="auto"/>
            </w:tcBorders>
            <w:noWrap/>
            <w:vAlign w:val="bottom"/>
          </w:tcPr>
          <w:p w:rsidR="00C81B24" w:rsidRPr="00C81B24" w:rsidRDefault="00C81B24" w:rsidP="00CE5850">
            <w:pPr>
              <w:rPr>
                <w:sz w:val="20"/>
              </w:rPr>
            </w:pPr>
            <w:r w:rsidRPr="00C81B24">
              <w:rPr>
                <w:sz w:val="20"/>
              </w:rPr>
              <w:t>3170</w:t>
            </w:r>
          </w:p>
        </w:tc>
        <w:tc>
          <w:tcPr>
            <w:tcW w:w="536"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3100</w:t>
            </w:r>
          </w:p>
        </w:tc>
        <w:tc>
          <w:tcPr>
            <w:tcW w:w="736"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73.12</w:t>
            </w:r>
          </w:p>
        </w:tc>
      </w:tr>
      <w:tr w:rsidR="00C81B24" w:rsidRPr="00C81B24" w:rsidTr="00526AD9">
        <w:trPr>
          <w:trHeight w:val="255"/>
          <w:jc w:val="center"/>
        </w:trPr>
        <w:tc>
          <w:tcPr>
            <w:tcW w:w="554" w:type="dxa"/>
            <w:tcBorders>
              <w:top w:val="nil"/>
              <w:left w:val="single" w:sz="4" w:space="0" w:color="auto"/>
              <w:bottom w:val="single" w:sz="4" w:space="0" w:color="auto"/>
              <w:right w:val="single" w:sz="4" w:space="0" w:color="auto"/>
            </w:tcBorders>
            <w:vAlign w:val="bottom"/>
          </w:tcPr>
          <w:p w:rsidR="00C81B24" w:rsidRPr="00C81B24" w:rsidRDefault="00C81B24" w:rsidP="00CE5850">
            <w:pPr>
              <w:rPr>
                <w:sz w:val="20"/>
              </w:rPr>
            </w:pPr>
            <w:r w:rsidRPr="00C81B24">
              <w:rPr>
                <w:sz w:val="20"/>
              </w:rPr>
              <w:t>71</w:t>
            </w:r>
          </w:p>
        </w:tc>
        <w:tc>
          <w:tcPr>
            <w:tcW w:w="456" w:type="dxa"/>
            <w:tcBorders>
              <w:top w:val="nil"/>
              <w:left w:val="single" w:sz="4" w:space="0" w:color="auto"/>
              <w:bottom w:val="single" w:sz="4" w:space="0" w:color="auto"/>
              <w:right w:val="single" w:sz="4" w:space="0" w:color="auto"/>
            </w:tcBorders>
            <w:vAlign w:val="center"/>
          </w:tcPr>
          <w:p w:rsidR="00C81B24" w:rsidRPr="00C81B24" w:rsidRDefault="00C81B24" w:rsidP="00CE5850">
            <w:pPr>
              <w:rPr>
                <w:sz w:val="20"/>
              </w:rPr>
            </w:pPr>
            <w:r w:rsidRPr="00C81B24">
              <w:rPr>
                <w:sz w:val="20"/>
              </w:rPr>
              <w:t>153</w:t>
            </w:r>
          </w:p>
        </w:tc>
        <w:tc>
          <w:tcPr>
            <w:tcW w:w="4012" w:type="dxa"/>
            <w:tcBorders>
              <w:top w:val="nil"/>
              <w:left w:val="nil"/>
              <w:bottom w:val="single" w:sz="4" w:space="0" w:color="auto"/>
              <w:right w:val="single" w:sz="4" w:space="0" w:color="auto"/>
            </w:tcBorders>
            <w:vAlign w:val="center"/>
          </w:tcPr>
          <w:p w:rsidR="00C81B24" w:rsidRPr="00C81B24" w:rsidRDefault="00C81B24" w:rsidP="00CE5850">
            <w:pPr>
              <w:rPr>
                <w:sz w:val="20"/>
                <w:lang w:val="es-ES_tradnl"/>
              </w:rPr>
            </w:pPr>
            <w:r w:rsidRPr="00C81B24">
              <w:rPr>
                <w:sz w:val="20"/>
                <w:lang w:val="es-ES_tradnl"/>
              </w:rPr>
              <w:t>Las Vegas, NV-AZ-UT</w:t>
            </w:r>
          </w:p>
        </w:tc>
        <w:tc>
          <w:tcPr>
            <w:tcW w:w="1102"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2,257,403</w:t>
            </w:r>
          </w:p>
        </w:tc>
        <w:tc>
          <w:tcPr>
            <w:tcW w:w="1155"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2,403,936</w:t>
            </w:r>
          </w:p>
        </w:tc>
        <w:tc>
          <w:tcPr>
            <w:tcW w:w="979"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94%</w:t>
            </w:r>
          </w:p>
        </w:tc>
        <w:tc>
          <w:tcPr>
            <w:tcW w:w="635" w:type="dxa"/>
            <w:tcBorders>
              <w:top w:val="nil"/>
              <w:left w:val="nil"/>
              <w:bottom w:val="single" w:sz="4" w:space="0" w:color="auto"/>
              <w:right w:val="single" w:sz="4" w:space="0" w:color="auto"/>
            </w:tcBorders>
            <w:noWrap/>
            <w:vAlign w:val="bottom"/>
          </w:tcPr>
          <w:p w:rsidR="00C81B24" w:rsidRPr="00C81B24" w:rsidRDefault="00C81B24" w:rsidP="00CE5850">
            <w:pPr>
              <w:rPr>
                <w:sz w:val="20"/>
              </w:rPr>
            </w:pPr>
            <w:r w:rsidRPr="00C81B24">
              <w:rPr>
                <w:sz w:val="20"/>
              </w:rPr>
              <w:t>2139</w:t>
            </w:r>
          </w:p>
        </w:tc>
        <w:tc>
          <w:tcPr>
            <w:tcW w:w="536"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2137</w:t>
            </w:r>
          </w:p>
        </w:tc>
        <w:tc>
          <w:tcPr>
            <w:tcW w:w="736"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33.58</w:t>
            </w:r>
          </w:p>
        </w:tc>
      </w:tr>
      <w:tr w:rsidR="00C81B24" w:rsidRPr="00C81B24" w:rsidTr="00526AD9">
        <w:trPr>
          <w:trHeight w:val="255"/>
          <w:jc w:val="center"/>
        </w:trPr>
        <w:tc>
          <w:tcPr>
            <w:tcW w:w="554" w:type="dxa"/>
            <w:tcBorders>
              <w:top w:val="nil"/>
              <w:left w:val="single" w:sz="4" w:space="0" w:color="auto"/>
              <w:bottom w:val="single" w:sz="4" w:space="0" w:color="auto"/>
              <w:right w:val="single" w:sz="4" w:space="0" w:color="auto"/>
            </w:tcBorders>
            <w:vAlign w:val="bottom"/>
          </w:tcPr>
          <w:p w:rsidR="00C81B24" w:rsidRPr="00C81B24" w:rsidRDefault="00C81B24" w:rsidP="00CE5850">
            <w:pPr>
              <w:rPr>
                <w:sz w:val="20"/>
              </w:rPr>
            </w:pPr>
            <w:r w:rsidRPr="00C81B24">
              <w:rPr>
                <w:sz w:val="20"/>
              </w:rPr>
              <w:t>72</w:t>
            </w:r>
          </w:p>
        </w:tc>
        <w:tc>
          <w:tcPr>
            <w:tcW w:w="456" w:type="dxa"/>
            <w:tcBorders>
              <w:top w:val="nil"/>
              <w:left w:val="single" w:sz="4" w:space="0" w:color="auto"/>
              <w:bottom w:val="single" w:sz="4" w:space="0" w:color="auto"/>
              <w:right w:val="single" w:sz="4" w:space="0" w:color="auto"/>
            </w:tcBorders>
            <w:vAlign w:val="center"/>
          </w:tcPr>
          <w:p w:rsidR="00C81B24" w:rsidRPr="00C81B24" w:rsidRDefault="00C81B24" w:rsidP="00CE5850">
            <w:pPr>
              <w:rPr>
                <w:sz w:val="20"/>
              </w:rPr>
            </w:pPr>
            <w:r w:rsidRPr="00C81B24">
              <w:rPr>
                <w:sz w:val="20"/>
              </w:rPr>
              <w:t>18</w:t>
            </w:r>
          </w:p>
        </w:tc>
        <w:tc>
          <w:tcPr>
            <w:tcW w:w="4012" w:type="dxa"/>
            <w:tcBorders>
              <w:top w:val="nil"/>
              <w:left w:val="nil"/>
              <w:bottom w:val="single" w:sz="4" w:space="0" w:color="auto"/>
              <w:right w:val="single" w:sz="4" w:space="0" w:color="auto"/>
            </w:tcBorders>
            <w:vAlign w:val="center"/>
          </w:tcPr>
          <w:p w:rsidR="00C81B24" w:rsidRPr="00C81B24" w:rsidRDefault="00C81B24" w:rsidP="00CE5850">
            <w:pPr>
              <w:rPr>
                <w:sz w:val="20"/>
              </w:rPr>
            </w:pPr>
            <w:r w:rsidRPr="00C81B24">
              <w:rPr>
                <w:sz w:val="20"/>
              </w:rPr>
              <w:t>Greensboro-Winston-Salem-High Point, NC-VA</w:t>
            </w:r>
          </w:p>
        </w:tc>
        <w:tc>
          <w:tcPr>
            <w:tcW w:w="1102"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1,902,306</w:t>
            </w:r>
          </w:p>
        </w:tc>
        <w:tc>
          <w:tcPr>
            <w:tcW w:w="1155"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2,037,966</w:t>
            </w:r>
          </w:p>
        </w:tc>
        <w:tc>
          <w:tcPr>
            <w:tcW w:w="979"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93%</w:t>
            </w:r>
          </w:p>
        </w:tc>
        <w:tc>
          <w:tcPr>
            <w:tcW w:w="635" w:type="dxa"/>
            <w:tcBorders>
              <w:top w:val="nil"/>
              <w:left w:val="nil"/>
              <w:bottom w:val="single" w:sz="4" w:space="0" w:color="auto"/>
              <w:right w:val="single" w:sz="4" w:space="0" w:color="auto"/>
            </w:tcBorders>
            <w:noWrap/>
            <w:vAlign w:val="bottom"/>
          </w:tcPr>
          <w:p w:rsidR="00C81B24" w:rsidRPr="00C81B24" w:rsidRDefault="00C81B24" w:rsidP="00CE5850">
            <w:pPr>
              <w:rPr>
                <w:sz w:val="20"/>
              </w:rPr>
            </w:pPr>
            <w:r w:rsidRPr="00C81B24">
              <w:rPr>
                <w:sz w:val="20"/>
              </w:rPr>
              <w:t>2839</w:t>
            </w:r>
          </w:p>
        </w:tc>
        <w:tc>
          <w:tcPr>
            <w:tcW w:w="536"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2751</w:t>
            </w:r>
          </w:p>
        </w:tc>
        <w:tc>
          <w:tcPr>
            <w:tcW w:w="736"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210.33</w:t>
            </w:r>
          </w:p>
        </w:tc>
      </w:tr>
      <w:tr w:rsidR="00C81B24" w:rsidRPr="00C81B24" w:rsidTr="00526AD9">
        <w:trPr>
          <w:trHeight w:val="255"/>
          <w:jc w:val="center"/>
        </w:trPr>
        <w:tc>
          <w:tcPr>
            <w:tcW w:w="554" w:type="dxa"/>
            <w:tcBorders>
              <w:top w:val="nil"/>
              <w:left w:val="single" w:sz="4" w:space="0" w:color="auto"/>
              <w:bottom w:val="single" w:sz="4" w:space="0" w:color="auto"/>
              <w:right w:val="single" w:sz="4" w:space="0" w:color="auto"/>
            </w:tcBorders>
            <w:vAlign w:val="bottom"/>
          </w:tcPr>
          <w:p w:rsidR="00C81B24" w:rsidRPr="00C81B24" w:rsidRDefault="00C81B24" w:rsidP="00CE5850">
            <w:pPr>
              <w:rPr>
                <w:sz w:val="20"/>
              </w:rPr>
            </w:pPr>
            <w:r w:rsidRPr="00C81B24">
              <w:rPr>
                <w:sz w:val="20"/>
              </w:rPr>
              <w:t>73</w:t>
            </w:r>
          </w:p>
        </w:tc>
        <w:tc>
          <w:tcPr>
            <w:tcW w:w="456" w:type="dxa"/>
            <w:tcBorders>
              <w:top w:val="nil"/>
              <w:left w:val="single" w:sz="4" w:space="0" w:color="auto"/>
              <w:bottom w:val="single" w:sz="4" w:space="0" w:color="auto"/>
              <w:right w:val="single" w:sz="4" w:space="0" w:color="auto"/>
            </w:tcBorders>
            <w:vAlign w:val="center"/>
          </w:tcPr>
          <w:p w:rsidR="00C81B24" w:rsidRPr="00C81B24" w:rsidRDefault="00C81B24" w:rsidP="00CE5850">
            <w:pPr>
              <w:rPr>
                <w:sz w:val="20"/>
              </w:rPr>
            </w:pPr>
            <w:r w:rsidRPr="00C81B24">
              <w:rPr>
                <w:sz w:val="20"/>
              </w:rPr>
              <w:t>26</w:t>
            </w:r>
          </w:p>
        </w:tc>
        <w:tc>
          <w:tcPr>
            <w:tcW w:w="4012" w:type="dxa"/>
            <w:tcBorders>
              <w:top w:val="nil"/>
              <w:left w:val="nil"/>
              <w:bottom w:val="single" w:sz="4" w:space="0" w:color="auto"/>
              <w:right w:val="single" w:sz="4" w:space="0" w:color="auto"/>
            </w:tcBorders>
            <w:vAlign w:val="center"/>
          </w:tcPr>
          <w:p w:rsidR="00C81B24" w:rsidRPr="00C81B24" w:rsidRDefault="00C81B24" w:rsidP="00CE5850">
            <w:pPr>
              <w:rPr>
                <w:sz w:val="20"/>
              </w:rPr>
            </w:pPr>
            <w:r w:rsidRPr="00C81B24">
              <w:rPr>
                <w:sz w:val="20"/>
              </w:rPr>
              <w:t>Charleston-North Charleston, SC</w:t>
            </w:r>
          </w:p>
        </w:tc>
        <w:tc>
          <w:tcPr>
            <w:tcW w:w="1102"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651,296</w:t>
            </w:r>
          </w:p>
        </w:tc>
        <w:tc>
          <w:tcPr>
            <w:tcW w:w="1155"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703,499</w:t>
            </w:r>
          </w:p>
        </w:tc>
        <w:tc>
          <w:tcPr>
            <w:tcW w:w="979"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93%</w:t>
            </w:r>
          </w:p>
        </w:tc>
        <w:tc>
          <w:tcPr>
            <w:tcW w:w="635" w:type="dxa"/>
            <w:tcBorders>
              <w:top w:val="nil"/>
              <w:left w:val="nil"/>
              <w:bottom w:val="single" w:sz="4" w:space="0" w:color="auto"/>
              <w:right w:val="single" w:sz="4" w:space="0" w:color="auto"/>
            </w:tcBorders>
            <w:noWrap/>
            <w:vAlign w:val="bottom"/>
          </w:tcPr>
          <w:p w:rsidR="00C81B24" w:rsidRPr="00C81B24" w:rsidRDefault="00C81B24" w:rsidP="00CE5850">
            <w:pPr>
              <w:rPr>
                <w:sz w:val="20"/>
              </w:rPr>
            </w:pPr>
            <w:r w:rsidRPr="00C81B24">
              <w:rPr>
                <w:sz w:val="20"/>
              </w:rPr>
              <w:t>3048</w:t>
            </w:r>
          </w:p>
        </w:tc>
        <w:tc>
          <w:tcPr>
            <w:tcW w:w="536"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3011</w:t>
            </w:r>
          </w:p>
        </w:tc>
        <w:tc>
          <w:tcPr>
            <w:tcW w:w="736"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193.02</w:t>
            </w:r>
          </w:p>
        </w:tc>
      </w:tr>
      <w:tr w:rsidR="00C81B24" w:rsidRPr="00C81B24" w:rsidTr="00526AD9">
        <w:trPr>
          <w:trHeight w:val="255"/>
          <w:jc w:val="center"/>
        </w:trPr>
        <w:tc>
          <w:tcPr>
            <w:tcW w:w="554" w:type="dxa"/>
            <w:tcBorders>
              <w:top w:val="nil"/>
              <w:left w:val="single" w:sz="4" w:space="0" w:color="auto"/>
              <w:bottom w:val="single" w:sz="4" w:space="0" w:color="auto"/>
              <w:right w:val="single" w:sz="4" w:space="0" w:color="auto"/>
            </w:tcBorders>
            <w:vAlign w:val="bottom"/>
          </w:tcPr>
          <w:p w:rsidR="00C81B24" w:rsidRPr="00C81B24" w:rsidRDefault="00C81B24" w:rsidP="00CE5850">
            <w:pPr>
              <w:rPr>
                <w:sz w:val="20"/>
              </w:rPr>
            </w:pPr>
            <w:r w:rsidRPr="00C81B24">
              <w:rPr>
                <w:sz w:val="20"/>
              </w:rPr>
              <w:t>74</w:t>
            </w:r>
          </w:p>
        </w:tc>
        <w:tc>
          <w:tcPr>
            <w:tcW w:w="456" w:type="dxa"/>
            <w:tcBorders>
              <w:top w:val="nil"/>
              <w:left w:val="single" w:sz="4" w:space="0" w:color="auto"/>
              <w:bottom w:val="single" w:sz="4" w:space="0" w:color="auto"/>
              <w:right w:val="single" w:sz="4" w:space="0" w:color="auto"/>
            </w:tcBorders>
            <w:vAlign w:val="center"/>
          </w:tcPr>
          <w:p w:rsidR="00C81B24" w:rsidRPr="00C81B24" w:rsidRDefault="00C81B24" w:rsidP="00CE5850">
            <w:pPr>
              <w:rPr>
                <w:sz w:val="20"/>
              </w:rPr>
            </w:pPr>
            <w:r w:rsidRPr="00C81B24">
              <w:rPr>
                <w:sz w:val="20"/>
              </w:rPr>
              <w:t>36</w:t>
            </w:r>
          </w:p>
        </w:tc>
        <w:tc>
          <w:tcPr>
            <w:tcW w:w="4012" w:type="dxa"/>
            <w:tcBorders>
              <w:top w:val="nil"/>
              <w:left w:val="nil"/>
              <w:bottom w:val="single" w:sz="4" w:space="0" w:color="auto"/>
              <w:right w:val="single" w:sz="4" w:space="0" w:color="auto"/>
            </w:tcBorders>
            <w:vAlign w:val="center"/>
          </w:tcPr>
          <w:p w:rsidR="00C81B24" w:rsidRPr="00C81B24" w:rsidRDefault="00C81B24" w:rsidP="00CE5850">
            <w:pPr>
              <w:rPr>
                <w:sz w:val="20"/>
              </w:rPr>
            </w:pPr>
            <w:r w:rsidRPr="00C81B24">
              <w:rPr>
                <w:sz w:val="20"/>
              </w:rPr>
              <w:t>Dothan, AL-FL-GA</w:t>
            </w:r>
          </w:p>
        </w:tc>
        <w:tc>
          <w:tcPr>
            <w:tcW w:w="1102"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334,103</w:t>
            </w:r>
          </w:p>
        </w:tc>
        <w:tc>
          <w:tcPr>
            <w:tcW w:w="1155"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358,396</w:t>
            </w:r>
          </w:p>
        </w:tc>
        <w:tc>
          <w:tcPr>
            <w:tcW w:w="979"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93%</w:t>
            </w:r>
          </w:p>
        </w:tc>
        <w:tc>
          <w:tcPr>
            <w:tcW w:w="635" w:type="dxa"/>
            <w:tcBorders>
              <w:top w:val="nil"/>
              <w:left w:val="nil"/>
              <w:bottom w:val="single" w:sz="4" w:space="0" w:color="auto"/>
              <w:right w:val="single" w:sz="4" w:space="0" w:color="auto"/>
            </w:tcBorders>
            <w:noWrap/>
            <w:vAlign w:val="bottom"/>
          </w:tcPr>
          <w:p w:rsidR="00C81B24" w:rsidRPr="00C81B24" w:rsidRDefault="00C81B24" w:rsidP="00CE5850">
            <w:pPr>
              <w:rPr>
                <w:sz w:val="20"/>
              </w:rPr>
            </w:pPr>
            <w:r w:rsidRPr="00C81B24">
              <w:rPr>
                <w:sz w:val="20"/>
              </w:rPr>
              <w:t>3697</w:t>
            </w:r>
          </w:p>
        </w:tc>
        <w:tc>
          <w:tcPr>
            <w:tcW w:w="536"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2709</w:t>
            </w:r>
          </w:p>
        </w:tc>
        <w:tc>
          <w:tcPr>
            <w:tcW w:w="736"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58.91</w:t>
            </w:r>
          </w:p>
        </w:tc>
      </w:tr>
      <w:tr w:rsidR="00C81B24" w:rsidRPr="00C81B24" w:rsidTr="00526AD9">
        <w:trPr>
          <w:trHeight w:val="255"/>
          <w:jc w:val="center"/>
        </w:trPr>
        <w:tc>
          <w:tcPr>
            <w:tcW w:w="554" w:type="dxa"/>
            <w:tcBorders>
              <w:top w:val="nil"/>
              <w:left w:val="single" w:sz="4" w:space="0" w:color="auto"/>
              <w:bottom w:val="single" w:sz="4" w:space="0" w:color="auto"/>
              <w:right w:val="single" w:sz="4" w:space="0" w:color="auto"/>
            </w:tcBorders>
            <w:vAlign w:val="bottom"/>
          </w:tcPr>
          <w:p w:rsidR="00C81B24" w:rsidRPr="00C81B24" w:rsidRDefault="00C81B24" w:rsidP="00CE5850">
            <w:pPr>
              <w:rPr>
                <w:sz w:val="20"/>
              </w:rPr>
            </w:pPr>
            <w:r w:rsidRPr="00C81B24">
              <w:rPr>
                <w:sz w:val="20"/>
              </w:rPr>
              <w:t>75</w:t>
            </w:r>
          </w:p>
        </w:tc>
        <w:tc>
          <w:tcPr>
            <w:tcW w:w="456" w:type="dxa"/>
            <w:tcBorders>
              <w:top w:val="nil"/>
              <w:left w:val="single" w:sz="4" w:space="0" w:color="auto"/>
              <w:bottom w:val="single" w:sz="4" w:space="0" w:color="auto"/>
              <w:right w:val="single" w:sz="4" w:space="0" w:color="auto"/>
            </w:tcBorders>
            <w:vAlign w:val="center"/>
          </w:tcPr>
          <w:p w:rsidR="00C81B24" w:rsidRPr="00C81B24" w:rsidRDefault="00C81B24" w:rsidP="00CE5850">
            <w:pPr>
              <w:rPr>
                <w:sz w:val="20"/>
              </w:rPr>
            </w:pPr>
            <w:r w:rsidRPr="00C81B24">
              <w:rPr>
                <w:sz w:val="20"/>
              </w:rPr>
              <w:t>38</w:t>
            </w:r>
          </w:p>
        </w:tc>
        <w:tc>
          <w:tcPr>
            <w:tcW w:w="4012" w:type="dxa"/>
            <w:tcBorders>
              <w:top w:val="nil"/>
              <w:left w:val="nil"/>
              <w:bottom w:val="single" w:sz="4" w:space="0" w:color="auto"/>
              <w:right w:val="single" w:sz="4" w:space="0" w:color="auto"/>
            </w:tcBorders>
            <w:vAlign w:val="center"/>
          </w:tcPr>
          <w:p w:rsidR="00C81B24" w:rsidRPr="00C81B24" w:rsidRDefault="00C81B24" w:rsidP="00CE5850">
            <w:pPr>
              <w:rPr>
                <w:sz w:val="20"/>
              </w:rPr>
            </w:pPr>
            <w:r w:rsidRPr="00C81B24">
              <w:rPr>
                <w:sz w:val="20"/>
              </w:rPr>
              <w:t>Macon, GA</w:t>
            </w:r>
          </w:p>
        </w:tc>
        <w:tc>
          <w:tcPr>
            <w:tcW w:w="1102"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785,242</w:t>
            </w:r>
          </w:p>
        </w:tc>
        <w:tc>
          <w:tcPr>
            <w:tcW w:w="1155"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844,429</w:t>
            </w:r>
          </w:p>
        </w:tc>
        <w:tc>
          <w:tcPr>
            <w:tcW w:w="979"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93%</w:t>
            </w:r>
          </w:p>
        </w:tc>
        <w:tc>
          <w:tcPr>
            <w:tcW w:w="635" w:type="dxa"/>
            <w:tcBorders>
              <w:top w:val="nil"/>
              <w:left w:val="nil"/>
              <w:bottom w:val="single" w:sz="4" w:space="0" w:color="auto"/>
              <w:right w:val="single" w:sz="4" w:space="0" w:color="auto"/>
            </w:tcBorders>
            <w:noWrap/>
            <w:vAlign w:val="bottom"/>
          </w:tcPr>
          <w:p w:rsidR="00C81B24" w:rsidRPr="00C81B24" w:rsidRDefault="00C81B24" w:rsidP="00CE5850">
            <w:pPr>
              <w:rPr>
                <w:sz w:val="20"/>
              </w:rPr>
            </w:pPr>
            <w:r w:rsidRPr="00C81B24">
              <w:rPr>
                <w:sz w:val="20"/>
              </w:rPr>
              <w:t>4420</w:t>
            </w:r>
          </w:p>
        </w:tc>
        <w:tc>
          <w:tcPr>
            <w:tcW w:w="536"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3884</w:t>
            </w:r>
          </w:p>
        </w:tc>
        <w:tc>
          <w:tcPr>
            <w:tcW w:w="736"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70.12</w:t>
            </w:r>
          </w:p>
        </w:tc>
      </w:tr>
      <w:tr w:rsidR="00C81B24" w:rsidRPr="00C81B24" w:rsidTr="00526AD9">
        <w:trPr>
          <w:trHeight w:val="255"/>
          <w:jc w:val="center"/>
        </w:trPr>
        <w:tc>
          <w:tcPr>
            <w:tcW w:w="554" w:type="dxa"/>
            <w:tcBorders>
              <w:top w:val="nil"/>
              <w:left w:val="single" w:sz="4" w:space="0" w:color="auto"/>
              <w:bottom w:val="single" w:sz="4" w:space="0" w:color="auto"/>
              <w:right w:val="single" w:sz="4" w:space="0" w:color="auto"/>
            </w:tcBorders>
            <w:vAlign w:val="bottom"/>
          </w:tcPr>
          <w:p w:rsidR="00C81B24" w:rsidRPr="00C81B24" w:rsidRDefault="00C81B24" w:rsidP="00CE5850">
            <w:pPr>
              <w:rPr>
                <w:sz w:val="20"/>
              </w:rPr>
            </w:pPr>
            <w:r w:rsidRPr="00C81B24">
              <w:rPr>
                <w:sz w:val="20"/>
              </w:rPr>
              <w:t>76</w:t>
            </w:r>
          </w:p>
        </w:tc>
        <w:tc>
          <w:tcPr>
            <w:tcW w:w="456" w:type="dxa"/>
            <w:tcBorders>
              <w:top w:val="nil"/>
              <w:left w:val="single" w:sz="4" w:space="0" w:color="auto"/>
              <w:bottom w:val="single" w:sz="4" w:space="0" w:color="auto"/>
              <w:right w:val="single" w:sz="4" w:space="0" w:color="auto"/>
            </w:tcBorders>
            <w:vAlign w:val="center"/>
          </w:tcPr>
          <w:p w:rsidR="00C81B24" w:rsidRPr="00C81B24" w:rsidRDefault="00C81B24" w:rsidP="00CE5850">
            <w:pPr>
              <w:rPr>
                <w:sz w:val="20"/>
              </w:rPr>
            </w:pPr>
            <w:r w:rsidRPr="00C81B24">
              <w:rPr>
                <w:sz w:val="20"/>
              </w:rPr>
              <w:t>56</w:t>
            </w:r>
          </w:p>
        </w:tc>
        <w:tc>
          <w:tcPr>
            <w:tcW w:w="4012" w:type="dxa"/>
            <w:tcBorders>
              <w:top w:val="nil"/>
              <w:left w:val="nil"/>
              <w:bottom w:val="single" w:sz="4" w:space="0" w:color="auto"/>
              <w:right w:val="single" w:sz="4" w:space="0" w:color="auto"/>
            </w:tcBorders>
            <w:vAlign w:val="center"/>
          </w:tcPr>
          <w:p w:rsidR="00C81B24" w:rsidRPr="00C81B24" w:rsidRDefault="00C81B24" w:rsidP="00CE5850">
            <w:pPr>
              <w:rPr>
                <w:sz w:val="20"/>
              </w:rPr>
            </w:pPr>
            <w:r w:rsidRPr="00C81B24">
              <w:rPr>
                <w:sz w:val="20"/>
              </w:rPr>
              <w:t>Toledo, OH</w:t>
            </w:r>
          </w:p>
        </w:tc>
        <w:tc>
          <w:tcPr>
            <w:tcW w:w="1102"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1,192,460</w:t>
            </w:r>
          </w:p>
        </w:tc>
        <w:tc>
          <w:tcPr>
            <w:tcW w:w="1155"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1,279,418</w:t>
            </w:r>
          </w:p>
        </w:tc>
        <w:tc>
          <w:tcPr>
            <w:tcW w:w="979"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93%</w:t>
            </w:r>
          </w:p>
        </w:tc>
        <w:tc>
          <w:tcPr>
            <w:tcW w:w="635" w:type="dxa"/>
            <w:tcBorders>
              <w:top w:val="nil"/>
              <w:left w:val="nil"/>
              <w:bottom w:val="single" w:sz="4" w:space="0" w:color="auto"/>
              <w:right w:val="single" w:sz="4" w:space="0" w:color="auto"/>
            </w:tcBorders>
            <w:noWrap/>
            <w:vAlign w:val="bottom"/>
          </w:tcPr>
          <w:p w:rsidR="00C81B24" w:rsidRPr="00C81B24" w:rsidRDefault="00C81B24" w:rsidP="00CE5850">
            <w:pPr>
              <w:rPr>
                <w:sz w:val="20"/>
              </w:rPr>
            </w:pPr>
            <w:r w:rsidRPr="00C81B24">
              <w:rPr>
                <w:sz w:val="20"/>
              </w:rPr>
              <w:t>4833</w:t>
            </w:r>
          </w:p>
        </w:tc>
        <w:tc>
          <w:tcPr>
            <w:tcW w:w="536"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4739</w:t>
            </w:r>
          </w:p>
        </w:tc>
        <w:tc>
          <w:tcPr>
            <w:tcW w:w="736"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163.83</w:t>
            </w:r>
          </w:p>
        </w:tc>
      </w:tr>
      <w:tr w:rsidR="00C81B24" w:rsidRPr="00C81B24" w:rsidTr="00526AD9">
        <w:trPr>
          <w:trHeight w:val="255"/>
          <w:jc w:val="center"/>
        </w:trPr>
        <w:tc>
          <w:tcPr>
            <w:tcW w:w="554" w:type="dxa"/>
            <w:tcBorders>
              <w:top w:val="nil"/>
              <w:left w:val="single" w:sz="4" w:space="0" w:color="auto"/>
              <w:bottom w:val="single" w:sz="4" w:space="0" w:color="auto"/>
              <w:right w:val="single" w:sz="4" w:space="0" w:color="auto"/>
            </w:tcBorders>
            <w:vAlign w:val="bottom"/>
          </w:tcPr>
          <w:p w:rsidR="00C81B24" w:rsidRPr="00C81B24" w:rsidRDefault="00C81B24" w:rsidP="00CE5850">
            <w:pPr>
              <w:rPr>
                <w:sz w:val="20"/>
              </w:rPr>
            </w:pPr>
            <w:r w:rsidRPr="00C81B24">
              <w:rPr>
                <w:sz w:val="20"/>
              </w:rPr>
              <w:t>77</w:t>
            </w:r>
          </w:p>
        </w:tc>
        <w:tc>
          <w:tcPr>
            <w:tcW w:w="456" w:type="dxa"/>
            <w:tcBorders>
              <w:top w:val="nil"/>
              <w:left w:val="single" w:sz="4" w:space="0" w:color="auto"/>
              <w:bottom w:val="single" w:sz="4" w:space="0" w:color="auto"/>
              <w:right w:val="single" w:sz="4" w:space="0" w:color="auto"/>
            </w:tcBorders>
            <w:vAlign w:val="center"/>
          </w:tcPr>
          <w:p w:rsidR="00C81B24" w:rsidRPr="00C81B24" w:rsidRDefault="00C81B24" w:rsidP="00CE5850">
            <w:pPr>
              <w:rPr>
                <w:sz w:val="20"/>
              </w:rPr>
            </w:pPr>
            <w:r w:rsidRPr="00C81B24">
              <w:rPr>
                <w:sz w:val="20"/>
              </w:rPr>
              <w:t>69</w:t>
            </w:r>
          </w:p>
        </w:tc>
        <w:tc>
          <w:tcPr>
            <w:tcW w:w="4012" w:type="dxa"/>
            <w:tcBorders>
              <w:top w:val="nil"/>
              <w:left w:val="nil"/>
              <w:bottom w:val="single" w:sz="4" w:space="0" w:color="auto"/>
              <w:right w:val="single" w:sz="4" w:space="0" w:color="auto"/>
            </w:tcBorders>
            <w:vAlign w:val="center"/>
          </w:tcPr>
          <w:p w:rsidR="00C81B24" w:rsidRPr="00C81B24" w:rsidRDefault="00C81B24" w:rsidP="00CE5850">
            <w:pPr>
              <w:rPr>
                <w:sz w:val="20"/>
                <w:lang w:val="sv-SE"/>
              </w:rPr>
            </w:pPr>
            <w:r w:rsidRPr="00C81B24">
              <w:rPr>
                <w:sz w:val="20"/>
                <w:lang w:val="sv-SE"/>
              </w:rPr>
              <w:t>Evansville-Henderson, IN-KY-IL</w:t>
            </w:r>
          </w:p>
        </w:tc>
        <w:tc>
          <w:tcPr>
            <w:tcW w:w="1102"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819,557</w:t>
            </w:r>
          </w:p>
        </w:tc>
        <w:tc>
          <w:tcPr>
            <w:tcW w:w="1155"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878,433</w:t>
            </w:r>
          </w:p>
        </w:tc>
        <w:tc>
          <w:tcPr>
            <w:tcW w:w="979"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93%</w:t>
            </w:r>
          </w:p>
        </w:tc>
        <w:tc>
          <w:tcPr>
            <w:tcW w:w="635" w:type="dxa"/>
            <w:tcBorders>
              <w:top w:val="nil"/>
              <w:left w:val="nil"/>
              <w:bottom w:val="single" w:sz="4" w:space="0" w:color="auto"/>
              <w:right w:val="single" w:sz="4" w:space="0" w:color="auto"/>
            </w:tcBorders>
            <w:noWrap/>
            <w:vAlign w:val="bottom"/>
          </w:tcPr>
          <w:p w:rsidR="00C81B24" w:rsidRPr="00C81B24" w:rsidRDefault="00C81B24" w:rsidP="00CE5850">
            <w:pPr>
              <w:rPr>
                <w:sz w:val="20"/>
              </w:rPr>
            </w:pPr>
            <w:r w:rsidRPr="00C81B24">
              <w:rPr>
                <w:sz w:val="20"/>
              </w:rPr>
              <w:t>4265</w:t>
            </w:r>
          </w:p>
        </w:tc>
        <w:tc>
          <w:tcPr>
            <w:tcW w:w="536"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4380</w:t>
            </w:r>
          </w:p>
        </w:tc>
        <w:tc>
          <w:tcPr>
            <w:tcW w:w="736"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78.90</w:t>
            </w:r>
          </w:p>
        </w:tc>
      </w:tr>
      <w:tr w:rsidR="00C81B24" w:rsidRPr="00C81B24" w:rsidTr="00526AD9">
        <w:trPr>
          <w:trHeight w:val="255"/>
          <w:jc w:val="center"/>
        </w:trPr>
        <w:tc>
          <w:tcPr>
            <w:tcW w:w="554" w:type="dxa"/>
            <w:tcBorders>
              <w:top w:val="nil"/>
              <w:left w:val="single" w:sz="4" w:space="0" w:color="auto"/>
              <w:bottom w:val="single" w:sz="4" w:space="0" w:color="auto"/>
              <w:right w:val="single" w:sz="4" w:space="0" w:color="auto"/>
            </w:tcBorders>
            <w:vAlign w:val="bottom"/>
          </w:tcPr>
          <w:p w:rsidR="00C81B24" w:rsidRPr="00C81B24" w:rsidRDefault="00C81B24" w:rsidP="00CE5850">
            <w:pPr>
              <w:rPr>
                <w:sz w:val="20"/>
              </w:rPr>
            </w:pPr>
            <w:r w:rsidRPr="00C81B24">
              <w:rPr>
                <w:sz w:val="20"/>
              </w:rPr>
              <w:t>78</w:t>
            </w:r>
          </w:p>
        </w:tc>
        <w:tc>
          <w:tcPr>
            <w:tcW w:w="456" w:type="dxa"/>
            <w:tcBorders>
              <w:top w:val="nil"/>
              <w:left w:val="single" w:sz="4" w:space="0" w:color="auto"/>
              <w:bottom w:val="single" w:sz="4" w:space="0" w:color="auto"/>
              <w:right w:val="single" w:sz="4" w:space="0" w:color="auto"/>
            </w:tcBorders>
            <w:vAlign w:val="center"/>
          </w:tcPr>
          <w:p w:rsidR="00C81B24" w:rsidRPr="00C81B24" w:rsidRDefault="00C81B24" w:rsidP="00CE5850">
            <w:pPr>
              <w:rPr>
                <w:sz w:val="20"/>
              </w:rPr>
            </w:pPr>
            <w:r w:rsidRPr="00C81B24">
              <w:rPr>
                <w:sz w:val="20"/>
              </w:rPr>
              <w:t>70</w:t>
            </w:r>
          </w:p>
        </w:tc>
        <w:tc>
          <w:tcPr>
            <w:tcW w:w="4012" w:type="dxa"/>
            <w:tcBorders>
              <w:top w:val="nil"/>
              <w:left w:val="nil"/>
              <w:bottom w:val="single" w:sz="4" w:space="0" w:color="auto"/>
              <w:right w:val="single" w:sz="4" w:space="0" w:color="auto"/>
            </w:tcBorders>
            <w:vAlign w:val="center"/>
          </w:tcPr>
          <w:p w:rsidR="00C81B24" w:rsidRPr="00C81B24" w:rsidRDefault="00C81B24" w:rsidP="00CE5850">
            <w:pPr>
              <w:rPr>
                <w:sz w:val="20"/>
              </w:rPr>
            </w:pPr>
            <w:r w:rsidRPr="00C81B24">
              <w:rPr>
                <w:sz w:val="20"/>
              </w:rPr>
              <w:t>Louisville, KY-IN</w:t>
            </w:r>
          </w:p>
        </w:tc>
        <w:tc>
          <w:tcPr>
            <w:tcW w:w="1102"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1,444,207</w:t>
            </w:r>
          </w:p>
        </w:tc>
        <w:tc>
          <w:tcPr>
            <w:tcW w:w="1155"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1,558,777</w:t>
            </w:r>
          </w:p>
        </w:tc>
        <w:tc>
          <w:tcPr>
            <w:tcW w:w="979"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93%</w:t>
            </w:r>
          </w:p>
        </w:tc>
        <w:tc>
          <w:tcPr>
            <w:tcW w:w="635" w:type="dxa"/>
            <w:tcBorders>
              <w:top w:val="nil"/>
              <w:left w:val="nil"/>
              <w:bottom w:val="single" w:sz="4" w:space="0" w:color="auto"/>
              <w:right w:val="single" w:sz="4" w:space="0" w:color="auto"/>
            </w:tcBorders>
            <w:noWrap/>
            <w:vAlign w:val="bottom"/>
          </w:tcPr>
          <w:p w:rsidR="00C81B24" w:rsidRPr="00C81B24" w:rsidRDefault="00C81B24" w:rsidP="00CE5850">
            <w:pPr>
              <w:rPr>
                <w:sz w:val="20"/>
              </w:rPr>
            </w:pPr>
            <w:r w:rsidRPr="00C81B24">
              <w:rPr>
                <w:sz w:val="20"/>
              </w:rPr>
              <w:t>2505</w:t>
            </w:r>
          </w:p>
        </w:tc>
        <w:tc>
          <w:tcPr>
            <w:tcW w:w="536"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2471</w:t>
            </w:r>
          </w:p>
        </w:tc>
        <w:tc>
          <w:tcPr>
            <w:tcW w:w="736"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202.83</w:t>
            </w:r>
          </w:p>
        </w:tc>
      </w:tr>
      <w:tr w:rsidR="00C81B24" w:rsidRPr="00C81B24" w:rsidTr="00526AD9">
        <w:trPr>
          <w:trHeight w:val="255"/>
          <w:jc w:val="center"/>
        </w:trPr>
        <w:tc>
          <w:tcPr>
            <w:tcW w:w="554" w:type="dxa"/>
            <w:tcBorders>
              <w:top w:val="nil"/>
              <w:left w:val="single" w:sz="4" w:space="0" w:color="auto"/>
              <w:bottom w:val="single" w:sz="4" w:space="0" w:color="auto"/>
              <w:right w:val="single" w:sz="4" w:space="0" w:color="auto"/>
            </w:tcBorders>
            <w:vAlign w:val="bottom"/>
          </w:tcPr>
          <w:p w:rsidR="00C81B24" w:rsidRPr="00C81B24" w:rsidRDefault="00C81B24" w:rsidP="00CE5850">
            <w:pPr>
              <w:rPr>
                <w:sz w:val="20"/>
              </w:rPr>
            </w:pPr>
            <w:r w:rsidRPr="00C81B24">
              <w:rPr>
                <w:sz w:val="20"/>
              </w:rPr>
              <w:t>79</w:t>
            </w:r>
          </w:p>
        </w:tc>
        <w:tc>
          <w:tcPr>
            <w:tcW w:w="456" w:type="dxa"/>
            <w:tcBorders>
              <w:top w:val="nil"/>
              <w:left w:val="single" w:sz="4" w:space="0" w:color="auto"/>
              <w:bottom w:val="single" w:sz="4" w:space="0" w:color="auto"/>
              <w:right w:val="single" w:sz="4" w:space="0" w:color="auto"/>
            </w:tcBorders>
            <w:vAlign w:val="center"/>
          </w:tcPr>
          <w:p w:rsidR="00C81B24" w:rsidRPr="00C81B24" w:rsidRDefault="00C81B24" w:rsidP="00CE5850">
            <w:pPr>
              <w:rPr>
                <w:sz w:val="20"/>
              </w:rPr>
            </w:pPr>
            <w:r w:rsidRPr="00C81B24">
              <w:rPr>
                <w:sz w:val="20"/>
              </w:rPr>
              <w:t>110</w:t>
            </w:r>
          </w:p>
        </w:tc>
        <w:tc>
          <w:tcPr>
            <w:tcW w:w="4012" w:type="dxa"/>
            <w:tcBorders>
              <w:top w:val="nil"/>
              <w:left w:val="nil"/>
              <w:bottom w:val="single" w:sz="4" w:space="0" w:color="auto"/>
              <w:right w:val="single" w:sz="4" w:space="0" w:color="auto"/>
            </w:tcBorders>
            <w:vAlign w:val="center"/>
          </w:tcPr>
          <w:p w:rsidR="00C81B24" w:rsidRPr="00C81B24" w:rsidRDefault="00C81B24" w:rsidP="00CE5850">
            <w:pPr>
              <w:rPr>
                <w:sz w:val="20"/>
              </w:rPr>
            </w:pPr>
            <w:r w:rsidRPr="00C81B24">
              <w:rPr>
                <w:sz w:val="20"/>
              </w:rPr>
              <w:t>Grand Forks, ND-MN</w:t>
            </w:r>
          </w:p>
        </w:tc>
        <w:tc>
          <w:tcPr>
            <w:tcW w:w="1102"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207,425</w:t>
            </w:r>
          </w:p>
        </w:tc>
        <w:tc>
          <w:tcPr>
            <w:tcW w:w="1155"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222,571</w:t>
            </w:r>
          </w:p>
        </w:tc>
        <w:tc>
          <w:tcPr>
            <w:tcW w:w="979"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93%</w:t>
            </w:r>
          </w:p>
        </w:tc>
        <w:tc>
          <w:tcPr>
            <w:tcW w:w="635" w:type="dxa"/>
            <w:tcBorders>
              <w:top w:val="nil"/>
              <w:left w:val="nil"/>
              <w:bottom w:val="single" w:sz="4" w:space="0" w:color="auto"/>
              <w:right w:val="single" w:sz="4" w:space="0" w:color="auto"/>
            </w:tcBorders>
            <w:noWrap/>
            <w:vAlign w:val="bottom"/>
          </w:tcPr>
          <w:p w:rsidR="00C81B24" w:rsidRPr="00C81B24" w:rsidRDefault="00C81B24" w:rsidP="00CE5850">
            <w:pPr>
              <w:rPr>
                <w:sz w:val="20"/>
              </w:rPr>
            </w:pPr>
            <w:r w:rsidRPr="00C81B24">
              <w:rPr>
                <w:sz w:val="20"/>
              </w:rPr>
              <w:t>4872</w:t>
            </w:r>
          </w:p>
        </w:tc>
        <w:tc>
          <w:tcPr>
            <w:tcW w:w="536"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4824</w:t>
            </w:r>
          </w:p>
        </w:tc>
        <w:tc>
          <w:tcPr>
            <w:tcW w:w="736"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10.17</w:t>
            </w:r>
          </w:p>
        </w:tc>
      </w:tr>
      <w:tr w:rsidR="00C81B24" w:rsidRPr="00C81B24" w:rsidTr="00526AD9">
        <w:trPr>
          <w:trHeight w:val="255"/>
          <w:jc w:val="center"/>
        </w:trPr>
        <w:tc>
          <w:tcPr>
            <w:tcW w:w="554" w:type="dxa"/>
            <w:tcBorders>
              <w:top w:val="nil"/>
              <w:left w:val="single" w:sz="4" w:space="0" w:color="auto"/>
              <w:bottom w:val="single" w:sz="4" w:space="0" w:color="auto"/>
              <w:right w:val="single" w:sz="4" w:space="0" w:color="auto"/>
            </w:tcBorders>
            <w:vAlign w:val="bottom"/>
          </w:tcPr>
          <w:p w:rsidR="00C81B24" w:rsidRPr="00C81B24" w:rsidRDefault="00C81B24" w:rsidP="00CE5850">
            <w:pPr>
              <w:rPr>
                <w:sz w:val="20"/>
              </w:rPr>
            </w:pPr>
            <w:r w:rsidRPr="00C81B24">
              <w:rPr>
                <w:sz w:val="20"/>
              </w:rPr>
              <w:t>80</w:t>
            </w:r>
          </w:p>
        </w:tc>
        <w:tc>
          <w:tcPr>
            <w:tcW w:w="456" w:type="dxa"/>
            <w:tcBorders>
              <w:top w:val="nil"/>
              <w:left w:val="single" w:sz="4" w:space="0" w:color="auto"/>
              <w:bottom w:val="single" w:sz="4" w:space="0" w:color="auto"/>
              <w:right w:val="single" w:sz="4" w:space="0" w:color="auto"/>
            </w:tcBorders>
            <w:vAlign w:val="center"/>
          </w:tcPr>
          <w:p w:rsidR="00C81B24" w:rsidRPr="00C81B24" w:rsidRDefault="00C81B24" w:rsidP="00CE5850">
            <w:pPr>
              <w:rPr>
                <w:sz w:val="20"/>
              </w:rPr>
            </w:pPr>
            <w:r w:rsidRPr="00C81B24">
              <w:rPr>
                <w:sz w:val="20"/>
              </w:rPr>
              <w:t>115</w:t>
            </w:r>
          </w:p>
        </w:tc>
        <w:tc>
          <w:tcPr>
            <w:tcW w:w="4012" w:type="dxa"/>
            <w:tcBorders>
              <w:top w:val="nil"/>
              <w:left w:val="nil"/>
              <w:bottom w:val="single" w:sz="4" w:space="0" w:color="auto"/>
              <w:right w:val="single" w:sz="4" w:space="0" w:color="auto"/>
            </w:tcBorders>
            <w:vAlign w:val="center"/>
          </w:tcPr>
          <w:p w:rsidR="00C81B24" w:rsidRPr="00C81B24" w:rsidRDefault="00C81B24" w:rsidP="00CE5850">
            <w:pPr>
              <w:rPr>
                <w:sz w:val="20"/>
              </w:rPr>
            </w:pPr>
            <w:r w:rsidRPr="00C81B24">
              <w:rPr>
                <w:sz w:val="20"/>
              </w:rPr>
              <w:t>Rapid City, SD-MT-ND-NE</w:t>
            </w:r>
          </w:p>
        </w:tc>
        <w:tc>
          <w:tcPr>
            <w:tcW w:w="1102"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213,980</w:t>
            </w:r>
          </w:p>
        </w:tc>
        <w:tc>
          <w:tcPr>
            <w:tcW w:w="1155"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230,086</w:t>
            </w:r>
          </w:p>
        </w:tc>
        <w:tc>
          <w:tcPr>
            <w:tcW w:w="979"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93%</w:t>
            </w:r>
          </w:p>
        </w:tc>
        <w:tc>
          <w:tcPr>
            <w:tcW w:w="635" w:type="dxa"/>
            <w:tcBorders>
              <w:top w:val="nil"/>
              <w:left w:val="nil"/>
              <w:bottom w:val="single" w:sz="4" w:space="0" w:color="auto"/>
              <w:right w:val="single" w:sz="4" w:space="0" w:color="auto"/>
            </w:tcBorders>
            <w:noWrap/>
            <w:vAlign w:val="bottom"/>
          </w:tcPr>
          <w:p w:rsidR="00C81B24" w:rsidRPr="00C81B24" w:rsidRDefault="00C81B24" w:rsidP="00CE5850">
            <w:pPr>
              <w:rPr>
                <w:sz w:val="20"/>
              </w:rPr>
            </w:pPr>
            <w:r w:rsidRPr="00C81B24">
              <w:rPr>
                <w:sz w:val="20"/>
              </w:rPr>
              <w:t>4982</w:t>
            </w:r>
          </w:p>
        </w:tc>
        <w:tc>
          <w:tcPr>
            <w:tcW w:w="536"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4954</w:t>
            </w:r>
          </w:p>
        </w:tc>
        <w:tc>
          <w:tcPr>
            <w:tcW w:w="736"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5.44</w:t>
            </w:r>
          </w:p>
        </w:tc>
      </w:tr>
      <w:tr w:rsidR="00C81B24" w:rsidRPr="00C81B24" w:rsidTr="00526AD9">
        <w:trPr>
          <w:trHeight w:val="255"/>
          <w:jc w:val="center"/>
        </w:trPr>
        <w:tc>
          <w:tcPr>
            <w:tcW w:w="554" w:type="dxa"/>
            <w:tcBorders>
              <w:top w:val="nil"/>
              <w:left w:val="single" w:sz="4" w:space="0" w:color="auto"/>
              <w:bottom w:val="single" w:sz="4" w:space="0" w:color="auto"/>
              <w:right w:val="single" w:sz="4" w:space="0" w:color="auto"/>
            </w:tcBorders>
            <w:vAlign w:val="bottom"/>
          </w:tcPr>
          <w:p w:rsidR="00C81B24" w:rsidRPr="00C81B24" w:rsidRDefault="00C81B24" w:rsidP="00CE5850">
            <w:pPr>
              <w:rPr>
                <w:sz w:val="20"/>
              </w:rPr>
            </w:pPr>
            <w:r w:rsidRPr="00C81B24">
              <w:rPr>
                <w:sz w:val="20"/>
              </w:rPr>
              <w:t>81</w:t>
            </w:r>
          </w:p>
        </w:tc>
        <w:tc>
          <w:tcPr>
            <w:tcW w:w="456" w:type="dxa"/>
            <w:tcBorders>
              <w:top w:val="nil"/>
              <w:left w:val="single" w:sz="4" w:space="0" w:color="auto"/>
              <w:bottom w:val="single" w:sz="4" w:space="0" w:color="auto"/>
              <w:right w:val="single" w:sz="4" w:space="0" w:color="auto"/>
            </w:tcBorders>
            <w:vAlign w:val="center"/>
          </w:tcPr>
          <w:p w:rsidR="00C81B24" w:rsidRPr="00C81B24" w:rsidRDefault="00C81B24" w:rsidP="00CE5850">
            <w:pPr>
              <w:rPr>
                <w:sz w:val="20"/>
              </w:rPr>
            </w:pPr>
            <w:r w:rsidRPr="00C81B24">
              <w:rPr>
                <w:sz w:val="20"/>
              </w:rPr>
              <w:t>124</w:t>
            </w:r>
          </w:p>
        </w:tc>
        <w:tc>
          <w:tcPr>
            <w:tcW w:w="4012" w:type="dxa"/>
            <w:tcBorders>
              <w:top w:val="nil"/>
              <w:left w:val="nil"/>
              <w:bottom w:val="single" w:sz="4" w:space="0" w:color="auto"/>
              <w:right w:val="single" w:sz="4" w:space="0" w:color="auto"/>
            </w:tcBorders>
            <w:vAlign w:val="center"/>
          </w:tcPr>
          <w:p w:rsidR="00C81B24" w:rsidRPr="00C81B24" w:rsidRDefault="00C81B24" w:rsidP="00CE5850">
            <w:pPr>
              <w:rPr>
                <w:sz w:val="20"/>
              </w:rPr>
            </w:pPr>
            <w:r w:rsidRPr="00C81B24">
              <w:rPr>
                <w:sz w:val="20"/>
              </w:rPr>
              <w:t>Tulsa, OK-KS</w:t>
            </w:r>
          </w:p>
        </w:tc>
        <w:tc>
          <w:tcPr>
            <w:tcW w:w="1102"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1,380,839</w:t>
            </w:r>
          </w:p>
        </w:tc>
        <w:tc>
          <w:tcPr>
            <w:tcW w:w="1155"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1,478,165</w:t>
            </w:r>
          </w:p>
        </w:tc>
        <w:tc>
          <w:tcPr>
            <w:tcW w:w="979"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93%</w:t>
            </w:r>
          </w:p>
        </w:tc>
        <w:tc>
          <w:tcPr>
            <w:tcW w:w="635" w:type="dxa"/>
            <w:tcBorders>
              <w:top w:val="nil"/>
              <w:left w:val="nil"/>
              <w:bottom w:val="single" w:sz="4" w:space="0" w:color="auto"/>
              <w:right w:val="single" w:sz="4" w:space="0" w:color="auto"/>
            </w:tcBorders>
            <w:noWrap/>
            <w:vAlign w:val="bottom"/>
          </w:tcPr>
          <w:p w:rsidR="00C81B24" w:rsidRPr="00C81B24" w:rsidRDefault="00C81B24" w:rsidP="00CE5850">
            <w:pPr>
              <w:rPr>
                <w:sz w:val="20"/>
              </w:rPr>
            </w:pPr>
            <w:r w:rsidRPr="00C81B24">
              <w:rPr>
                <w:sz w:val="20"/>
              </w:rPr>
              <w:t>3124</w:t>
            </w:r>
          </w:p>
        </w:tc>
        <w:tc>
          <w:tcPr>
            <w:tcW w:w="536"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3080</w:t>
            </w:r>
          </w:p>
        </w:tc>
        <w:tc>
          <w:tcPr>
            <w:tcW w:w="736"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79.66</w:t>
            </w:r>
          </w:p>
        </w:tc>
      </w:tr>
      <w:tr w:rsidR="00C81B24" w:rsidRPr="00C81B24" w:rsidTr="00526AD9">
        <w:trPr>
          <w:trHeight w:val="255"/>
          <w:jc w:val="center"/>
        </w:trPr>
        <w:tc>
          <w:tcPr>
            <w:tcW w:w="554" w:type="dxa"/>
            <w:tcBorders>
              <w:top w:val="nil"/>
              <w:left w:val="single" w:sz="4" w:space="0" w:color="auto"/>
              <w:bottom w:val="single" w:sz="4" w:space="0" w:color="auto"/>
              <w:right w:val="single" w:sz="4" w:space="0" w:color="auto"/>
            </w:tcBorders>
            <w:vAlign w:val="bottom"/>
          </w:tcPr>
          <w:p w:rsidR="00C81B24" w:rsidRPr="00C81B24" w:rsidRDefault="00C81B24" w:rsidP="00CE5850">
            <w:pPr>
              <w:rPr>
                <w:sz w:val="20"/>
              </w:rPr>
            </w:pPr>
            <w:r w:rsidRPr="00C81B24">
              <w:rPr>
                <w:sz w:val="20"/>
              </w:rPr>
              <w:t>82</w:t>
            </w:r>
          </w:p>
        </w:tc>
        <w:tc>
          <w:tcPr>
            <w:tcW w:w="456" w:type="dxa"/>
            <w:tcBorders>
              <w:top w:val="nil"/>
              <w:left w:val="single" w:sz="4" w:space="0" w:color="auto"/>
              <w:bottom w:val="single" w:sz="4" w:space="0" w:color="auto"/>
              <w:right w:val="single" w:sz="4" w:space="0" w:color="auto"/>
            </w:tcBorders>
            <w:vAlign w:val="center"/>
          </w:tcPr>
          <w:p w:rsidR="00C81B24" w:rsidRPr="00C81B24" w:rsidRDefault="00C81B24" w:rsidP="00CE5850">
            <w:pPr>
              <w:rPr>
                <w:sz w:val="20"/>
              </w:rPr>
            </w:pPr>
            <w:r w:rsidRPr="00C81B24">
              <w:rPr>
                <w:sz w:val="20"/>
              </w:rPr>
              <w:t>128</w:t>
            </w:r>
          </w:p>
        </w:tc>
        <w:tc>
          <w:tcPr>
            <w:tcW w:w="4012" w:type="dxa"/>
            <w:tcBorders>
              <w:top w:val="nil"/>
              <w:left w:val="nil"/>
              <w:bottom w:val="single" w:sz="4" w:space="0" w:color="auto"/>
              <w:right w:val="single" w:sz="4" w:space="0" w:color="auto"/>
            </w:tcBorders>
            <w:vAlign w:val="center"/>
          </w:tcPr>
          <w:p w:rsidR="00C81B24" w:rsidRPr="00C81B24" w:rsidRDefault="00C81B24" w:rsidP="00CE5850">
            <w:pPr>
              <w:rPr>
                <w:sz w:val="20"/>
              </w:rPr>
            </w:pPr>
            <w:r w:rsidRPr="00C81B24">
              <w:rPr>
                <w:sz w:val="20"/>
              </w:rPr>
              <w:t>Abilene, TX</w:t>
            </w:r>
          </w:p>
        </w:tc>
        <w:tc>
          <w:tcPr>
            <w:tcW w:w="1102"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209,065</w:t>
            </w:r>
          </w:p>
        </w:tc>
        <w:tc>
          <w:tcPr>
            <w:tcW w:w="1155"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225,538</w:t>
            </w:r>
          </w:p>
        </w:tc>
        <w:tc>
          <w:tcPr>
            <w:tcW w:w="979"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93%</w:t>
            </w:r>
          </w:p>
        </w:tc>
        <w:tc>
          <w:tcPr>
            <w:tcW w:w="635" w:type="dxa"/>
            <w:tcBorders>
              <w:top w:val="nil"/>
              <w:left w:val="nil"/>
              <w:bottom w:val="single" w:sz="4" w:space="0" w:color="auto"/>
              <w:right w:val="single" w:sz="4" w:space="0" w:color="auto"/>
            </w:tcBorders>
            <w:noWrap/>
            <w:vAlign w:val="bottom"/>
          </w:tcPr>
          <w:p w:rsidR="00C81B24" w:rsidRPr="00C81B24" w:rsidRDefault="00C81B24" w:rsidP="00CE5850">
            <w:pPr>
              <w:rPr>
                <w:sz w:val="20"/>
              </w:rPr>
            </w:pPr>
            <w:r w:rsidRPr="00C81B24">
              <w:rPr>
                <w:sz w:val="20"/>
              </w:rPr>
              <w:t>3628</w:t>
            </w:r>
          </w:p>
        </w:tc>
        <w:tc>
          <w:tcPr>
            <w:tcW w:w="536"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3539</w:t>
            </w:r>
          </w:p>
        </w:tc>
        <w:tc>
          <w:tcPr>
            <w:tcW w:w="736"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20.76</w:t>
            </w:r>
          </w:p>
        </w:tc>
      </w:tr>
      <w:tr w:rsidR="00C81B24" w:rsidRPr="00C81B24" w:rsidTr="00526AD9">
        <w:trPr>
          <w:trHeight w:val="255"/>
          <w:jc w:val="center"/>
        </w:trPr>
        <w:tc>
          <w:tcPr>
            <w:tcW w:w="554" w:type="dxa"/>
            <w:tcBorders>
              <w:top w:val="nil"/>
              <w:left w:val="single" w:sz="4" w:space="0" w:color="auto"/>
              <w:bottom w:val="single" w:sz="4" w:space="0" w:color="auto"/>
              <w:right w:val="single" w:sz="4" w:space="0" w:color="auto"/>
            </w:tcBorders>
            <w:vAlign w:val="bottom"/>
          </w:tcPr>
          <w:p w:rsidR="00C81B24" w:rsidRPr="00C81B24" w:rsidRDefault="00C81B24" w:rsidP="00CE5850">
            <w:pPr>
              <w:rPr>
                <w:sz w:val="20"/>
              </w:rPr>
            </w:pPr>
            <w:r w:rsidRPr="00C81B24">
              <w:rPr>
                <w:sz w:val="20"/>
              </w:rPr>
              <w:t>83</w:t>
            </w:r>
          </w:p>
        </w:tc>
        <w:tc>
          <w:tcPr>
            <w:tcW w:w="456" w:type="dxa"/>
            <w:tcBorders>
              <w:top w:val="nil"/>
              <w:left w:val="single" w:sz="4" w:space="0" w:color="auto"/>
              <w:bottom w:val="single" w:sz="4" w:space="0" w:color="auto"/>
              <w:right w:val="single" w:sz="4" w:space="0" w:color="auto"/>
            </w:tcBorders>
            <w:vAlign w:val="center"/>
          </w:tcPr>
          <w:p w:rsidR="00C81B24" w:rsidRPr="00C81B24" w:rsidRDefault="00C81B24" w:rsidP="00CE5850">
            <w:pPr>
              <w:rPr>
                <w:sz w:val="20"/>
              </w:rPr>
            </w:pPr>
            <w:r w:rsidRPr="00C81B24">
              <w:rPr>
                <w:sz w:val="20"/>
              </w:rPr>
              <w:t>134</w:t>
            </w:r>
          </w:p>
        </w:tc>
        <w:tc>
          <w:tcPr>
            <w:tcW w:w="4012" w:type="dxa"/>
            <w:tcBorders>
              <w:top w:val="nil"/>
              <w:left w:val="nil"/>
              <w:bottom w:val="single" w:sz="4" w:space="0" w:color="auto"/>
              <w:right w:val="single" w:sz="4" w:space="0" w:color="auto"/>
            </w:tcBorders>
            <w:vAlign w:val="center"/>
          </w:tcPr>
          <w:p w:rsidR="00C81B24" w:rsidRPr="00C81B24" w:rsidRDefault="00C81B24" w:rsidP="00CE5850">
            <w:pPr>
              <w:rPr>
                <w:sz w:val="20"/>
              </w:rPr>
            </w:pPr>
            <w:r w:rsidRPr="00C81B24">
              <w:rPr>
                <w:sz w:val="20"/>
              </w:rPr>
              <w:t>San Antonio, TX</w:t>
            </w:r>
          </w:p>
        </w:tc>
        <w:tc>
          <w:tcPr>
            <w:tcW w:w="1102"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2,467,182</w:t>
            </w:r>
          </w:p>
        </w:tc>
        <w:tc>
          <w:tcPr>
            <w:tcW w:w="1155"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2,650,971</w:t>
            </w:r>
          </w:p>
        </w:tc>
        <w:tc>
          <w:tcPr>
            <w:tcW w:w="979"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93%</w:t>
            </w:r>
          </w:p>
        </w:tc>
        <w:tc>
          <w:tcPr>
            <w:tcW w:w="635" w:type="dxa"/>
            <w:tcBorders>
              <w:top w:val="nil"/>
              <w:left w:val="nil"/>
              <w:bottom w:val="single" w:sz="4" w:space="0" w:color="auto"/>
              <w:right w:val="single" w:sz="4" w:space="0" w:color="auto"/>
            </w:tcBorders>
            <w:noWrap/>
            <w:vAlign w:val="bottom"/>
          </w:tcPr>
          <w:p w:rsidR="00C81B24" w:rsidRPr="00C81B24" w:rsidRDefault="00C81B24" w:rsidP="00CE5850">
            <w:pPr>
              <w:rPr>
                <w:sz w:val="20"/>
              </w:rPr>
            </w:pPr>
            <w:r w:rsidRPr="00C81B24">
              <w:rPr>
                <w:sz w:val="20"/>
              </w:rPr>
              <w:t>2349</w:t>
            </w:r>
          </w:p>
        </w:tc>
        <w:tc>
          <w:tcPr>
            <w:tcW w:w="536"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2162</w:t>
            </w:r>
          </w:p>
        </w:tc>
        <w:tc>
          <w:tcPr>
            <w:tcW w:w="736"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103.71</w:t>
            </w:r>
          </w:p>
        </w:tc>
      </w:tr>
      <w:tr w:rsidR="00C81B24" w:rsidRPr="00C81B24" w:rsidTr="00526AD9">
        <w:trPr>
          <w:trHeight w:val="255"/>
          <w:jc w:val="center"/>
        </w:trPr>
        <w:tc>
          <w:tcPr>
            <w:tcW w:w="554" w:type="dxa"/>
            <w:tcBorders>
              <w:top w:val="nil"/>
              <w:left w:val="single" w:sz="4" w:space="0" w:color="auto"/>
              <w:bottom w:val="single" w:sz="4" w:space="0" w:color="auto"/>
              <w:right w:val="single" w:sz="4" w:space="0" w:color="auto"/>
            </w:tcBorders>
            <w:vAlign w:val="bottom"/>
          </w:tcPr>
          <w:p w:rsidR="00C81B24" w:rsidRPr="00C81B24" w:rsidRDefault="00C81B24" w:rsidP="00CE5850">
            <w:pPr>
              <w:rPr>
                <w:sz w:val="20"/>
              </w:rPr>
            </w:pPr>
            <w:r w:rsidRPr="00C81B24">
              <w:rPr>
                <w:sz w:val="20"/>
              </w:rPr>
              <w:t>84</w:t>
            </w:r>
          </w:p>
        </w:tc>
        <w:tc>
          <w:tcPr>
            <w:tcW w:w="456" w:type="dxa"/>
            <w:tcBorders>
              <w:top w:val="nil"/>
              <w:left w:val="single" w:sz="4" w:space="0" w:color="auto"/>
              <w:bottom w:val="single" w:sz="4" w:space="0" w:color="auto"/>
              <w:right w:val="single" w:sz="4" w:space="0" w:color="auto"/>
            </w:tcBorders>
            <w:vAlign w:val="center"/>
          </w:tcPr>
          <w:p w:rsidR="00C81B24" w:rsidRPr="00C81B24" w:rsidRDefault="00C81B24" w:rsidP="00CE5850">
            <w:pPr>
              <w:rPr>
                <w:sz w:val="20"/>
              </w:rPr>
            </w:pPr>
            <w:r w:rsidRPr="00C81B24">
              <w:rPr>
                <w:sz w:val="20"/>
              </w:rPr>
              <w:t>142</w:t>
            </w:r>
          </w:p>
        </w:tc>
        <w:tc>
          <w:tcPr>
            <w:tcW w:w="4012" w:type="dxa"/>
            <w:tcBorders>
              <w:top w:val="nil"/>
              <w:left w:val="nil"/>
              <w:bottom w:val="single" w:sz="4" w:space="0" w:color="auto"/>
              <w:right w:val="single" w:sz="4" w:space="0" w:color="auto"/>
            </w:tcBorders>
            <w:vAlign w:val="center"/>
          </w:tcPr>
          <w:p w:rsidR="00C81B24" w:rsidRPr="00C81B24" w:rsidRDefault="00C81B24" w:rsidP="00CE5850">
            <w:pPr>
              <w:rPr>
                <w:sz w:val="20"/>
              </w:rPr>
            </w:pPr>
            <w:r w:rsidRPr="00C81B24">
              <w:rPr>
                <w:sz w:val="20"/>
              </w:rPr>
              <w:t>Scottsbluff, NE-WY</w:t>
            </w:r>
          </w:p>
        </w:tc>
        <w:tc>
          <w:tcPr>
            <w:tcW w:w="1102"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85,300</w:t>
            </w:r>
          </w:p>
        </w:tc>
        <w:tc>
          <w:tcPr>
            <w:tcW w:w="1155"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91,571</w:t>
            </w:r>
          </w:p>
        </w:tc>
        <w:tc>
          <w:tcPr>
            <w:tcW w:w="979"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93%</w:t>
            </w:r>
          </w:p>
        </w:tc>
        <w:tc>
          <w:tcPr>
            <w:tcW w:w="635" w:type="dxa"/>
            <w:tcBorders>
              <w:top w:val="nil"/>
              <w:left w:val="nil"/>
              <w:bottom w:val="single" w:sz="4" w:space="0" w:color="auto"/>
              <w:right w:val="single" w:sz="4" w:space="0" w:color="auto"/>
            </w:tcBorders>
            <w:noWrap/>
            <w:vAlign w:val="bottom"/>
          </w:tcPr>
          <w:p w:rsidR="00C81B24" w:rsidRPr="00C81B24" w:rsidRDefault="00C81B24" w:rsidP="00CE5850">
            <w:pPr>
              <w:rPr>
                <w:sz w:val="20"/>
              </w:rPr>
            </w:pPr>
            <w:r w:rsidRPr="00C81B24">
              <w:rPr>
                <w:sz w:val="20"/>
              </w:rPr>
              <w:t>6512</w:t>
            </w:r>
          </w:p>
        </w:tc>
        <w:tc>
          <w:tcPr>
            <w:tcW w:w="536"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6572</w:t>
            </w:r>
          </w:p>
        </w:tc>
        <w:tc>
          <w:tcPr>
            <w:tcW w:w="736"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7.75</w:t>
            </w:r>
          </w:p>
        </w:tc>
      </w:tr>
      <w:tr w:rsidR="00C81B24" w:rsidRPr="00C81B24" w:rsidTr="00526AD9">
        <w:trPr>
          <w:trHeight w:val="255"/>
          <w:jc w:val="center"/>
        </w:trPr>
        <w:tc>
          <w:tcPr>
            <w:tcW w:w="554" w:type="dxa"/>
            <w:tcBorders>
              <w:top w:val="nil"/>
              <w:left w:val="single" w:sz="4" w:space="0" w:color="auto"/>
              <w:bottom w:val="single" w:sz="4" w:space="0" w:color="auto"/>
              <w:right w:val="single" w:sz="4" w:space="0" w:color="auto"/>
            </w:tcBorders>
            <w:vAlign w:val="bottom"/>
          </w:tcPr>
          <w:p w:rsidR="00C81B24" w:rsidRPr="00C81B24" w:rsidRDefault="00C81B24" w:rsidP="00CE5850">
            <w:pPr>
              <w:rPr>
                <w:sz w:val="20"/>
              </w:rPr>
            </w:pPr>
            <w:r w:rsidRPr="00C81B24">
              <w:rPr>
                <w:sz w:val="20"/>
              </w:rPr>
              <w:t>85</w:t>
            </w:r>
          </w:p>
        </w:tc>
        <w:tc>
          <w:tcPr>
            <w:tcW w:w="456" w:type="dxa"/>
            <w:tcBorders>
              <w:top w:val="nil"/>
              <w:left w:val="single" w:sz="4" w:space="0" w:color="auto"/>
              <w:bottom w:val="single" w:sz="4" w:space="0" w:color="auto"/>
              <w:right w:val="single" w:sz="4" w:space="0" w:color="auto"/>
            </w:tcBorders>
            <w:vAlign w:val="center"/>
          </w:tcPr>
          <w:p w:rsidR="00C81B24" w:rsidRPr="00C81B24" w:rsidRDefault="00C81B24" w:rsidP="00CE5850">
            <w:pPr>
              <w:rPr>
                <w:sz w:val="20"/>
              </w:rPr>
            </w:pPr>
            <w:r w:rsidRPr="00C81B24">
              <w:rPr>
                <w:sz w:val="20"/>
              </w:rPr>
              <w:t>5</w:t>
            </w:r>
          </w:p>
        </w:tc>
        <w:tc>
          <w:tcPr>
            <w:tcW w:w="4012" w:type="dxa"/>
            <w:tcBorders>
              <w:top w:val="nil"/>
              <w:left w:val="nil"/>
              <w:bottom w:val="single" w:sz="4" w:space="0" w:color="auto"/>
              <w:right w:val="single" w:sz="4" w:space="0" w:color="auto"/>
            </w:tcBorders>
            <w:vAlign w:val="center"/>
          </w:tcPr>
          <w:p w:rsidR="00C81B24" w:rsidRPr="00C81B24" w:rsidRDefault="00C81B24" w:rsidP="00CE5850">
            <w:pPr>
              <w:rPr>
                <w:sz w:val="20"/>
              </w:rPr>
            </w:pPr>
            <w:r w:rsidRPr="00C81B24">
              <w:rPr>
                <w:sz w:val="20"/>
              </w:rPr>
              <w:t>Albany-Schenectady-Troy, NY</w:t>
            </w:r>
          </w:p>
        </w:tc>
        <w:tc>
          <w:tcPr>
            <w:tcW w:w="1102"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1,127,732</w:t>
            </w:r>
          </w:p>
        </w:tc>
        <w:tc>
          <w:tcPr>
            <w:tcW w:w="1155"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1,222,542</w:t>
            </w:r>
          </w:p>
        </w:tc>
        <w:tc>
          <w:tcPr>
            <w:tcW w:w="979"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92%</w:t>
            </w:r>
          </w:p>
        </w:tc>
        <w:tc>
          <w:tcPr>
            <w:tcW w:w="635" w:type="dxa"/>
            <w:tcBorders>
              <w:top w:val="nil"/>
              <w:left w:val="nil"/>
              <w:bottom w:val="single" w:sz="4" w:space="0" w:color="auto"/>
              <w:right w:val="single" w:sz="4" w:space="0" w:color="auto"/>
            </w:tcBorders>
            <w:noWrap/>
            <w:vAlign w:val="bottom"/>
          </w:tcPr>
          <w:p w:rsidR="00C81B24" w:rsidRPr="00C81B24" w:rsidRDefault="00C81B24" w:rsidP="00CE5850">
            <w:pPr>
              <w:rPr>
                <w:sz w:val="20"/>
              </w:rPr>
            </w:pPr>
            <w:r w:rsidRPr="00C81B24">
              <w:rPr>
                <w:sz w:val="20"/>
              </w:rPr>
              <w:t>3505</w:t>
            </w:r>
          </w:p>
        </w:tc>
        <w:tc>
          <w:tcPr>
            <w:tcW w:w="536"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3435</w:t>
            </w:r>
          </w:p>
        </w:tc>
        <w:tc>
          <w:tcPr>
            <w:tcW w:w="736"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145.41</w:t>
            </w:r>
          </w:p>
        </w:tc>
      </w:tr>
      <w:tr w:rsidR="00C81B24" w:rsidRPr="00C81B24" w:rsidTr="00526AD9">
        <w:trPr>
          <w:trHeight w:val="255"/>
          <w:jc w:val="center"/>
        </w:trPr>
        <w:tc>
          <w:tcPr>
            <w:tcW w:w="554" w:type="dxa"/>
            <w:tcBorders>
              <w:top w:val="nil"/>
              <w:left w:val="single" w:sz="4" w:space="0" w:color="auto"/>
              <w:bottom w:val="single" w:sz="4" w:space="0" w:color="auto"/>
              <w:right w:val="single" w:sz="4" w:space="0" w:color="auto"/>
            </w:tcBorders>
            <w:vAlign w:val="bottom"/>
          </w:tcPr>
          <w:p w:rsidR="00C81B24" w:rsidRPr="00C81B24" w:rsidRDefault="00C81B24" w:rsidP="00CE5850">
            <w:pPr>
              <w:rPr>
                <w:sz w:val="20"/>
              </w:rPr>
            </w:pPr>
            <w:r w:rsidRPr="00C81B24">
              <w:rPr>
                <w:sz w:val="20"/>
              </w:rPr>
              <w:t>86</w:t>
            </w:r>
          </w:p>
        </w:tc>
        <w:tc>
          <w:tcPr>
            <w:tcW w:w="456" w:type="dxa"/>
            <w:tcBorders>
              <w:top w:val="nil"/>
              <w:left w:val="single" w:sz="4" w:space="0" w:color="auto"/>
              <w:bottom w:val="single" w:sz="4" w:space="0" w:color="auto"/>
              <w:right w:val="single" w:sz="4" w:space="0" w:color="auto"/>
            </w:tcBorders>
            <w:vAlign w:val="center"/>
          </w:tcPr>
          <w:p w:rsidR="00C81B24" w:rsidRPr="00C81B24" w:rsidRDefault="00C81B24" w:rsidP="00CE5850">
            <w:pPr>
              <w:rPr>
                <w:sz w:val="20"/>
              </w:rPr>
            </w:pPr>
            <w:r w:rsidRPr="00C81B24">
              <w:rPr>
                <w:sz w:val="20"/>
              </w:rPr>
              <w:t>28</w:t>
            </w:r>
          </w:p>
        </w:tc>
        <w:tc>
          <w:tcPr>
            <w:tcW w:w="4012" w:type="dxa"/>
            <w:tcBorders>
              <w:top w:val="nil"/>
              <w:left w:val="nil"/>
              <w:bottom w:val="single" w:sz="4" w:space="0" w:color="auto"/>
              <w:right w:val="single" w:sz="4" w:space="0" w:color="auto"/>
            </w:tcBorders>
            <w:vAlign w:val="center"/>
          </w:tcPr>
          <w:p w:rsidR="00C81B24" w:rsidRPr="00C81B24" w:rsidRDefault="00C81B24" w:rsidP="00CE5850">
            <w:pPr>
              <w:rPr>
                <w:sz w:val="20"/>
              </w:rPr>
            </w:pPr>
            <w:r w:rsidRPr="00C81B24">
              <w:rPr>
                <w:sz w:val="20"/>
              </w:rPr>
              <w:t>Savannah, GA-SC</w:t>
            </w:r>
          </w:p>
        </w:tc>
        <w:tc>
          <w:tcPr>
            <w:tcW w:w="1102"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730,792</w:t>
            </w:r>
          </w:p>
        </w:tc>
        <w:tc>
          <w:tcPr>
            <w:tcW w:w="1155"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796,055</w:t>
            </w:r>
          </w:p>
        </w:tc>
        <w:tc>
          <w:tcPr>
            <w:tcW w:w="979"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92%</w:t>
            </w:r>
          </w:p>
        </w:tc>
        <w:tc>
          <w:tcPr>
            <w:tcW w:w="635" w:type="dxa"/>
            <w:tcBorders>
              <w:top w:val="nil"/>
              <w:left w:val="nil"/>
              <w:bottom w:val="single" w:sz="4" w:space="0" w:color="auto"/>
              <w:right w:val="single" w:sz="4" w:space="0" w:color="auto"/>
            </w:tcBorders>
            <w:noWrap/>
            <w:vAlign w:val="bottom"/>
          </w:tcPr>
          <w:p w:rsidR="00C81B24" w:rsidRPr="00C81B24" w:rsidRDefault="00C81B24" w:rsidP="00CE5850">
            <w:pPr>
              <w:rPr>
                <w:sz w:val="20"/>
              </w:rPr>
            </w:pPr>
            <w:r w:rsidRPr="00C81B24">
              <w:rPr>
                <w:sz w:val="20"/>
              </w:rPr>
              <w:t>2650</w:t>
            </w:r>
          </w:p>
        </w:tc>
        <w:tc>
          <w:tcPr>
            <w:tcW w:w="536"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2450</w:t>
            </w:r>
          </w:p>
        </w:tc>
        <w:tc>
          <w:tcPr>
            <w:tcW w:w="736"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115.59</w:t>
            </w:r>
          </w:p>
        </w:tc>
      </w:tr>
      <w:tr w:rsidR="00C81B24" w:rsidRPr="00C81B24" w:rsidTr="00526AD9">
        <w:trPr>
          <w:trHeight w:val="255"/>
          <w:jc w:val="center"/>
        </w:trPr>
        <w:tc>
          <w:tcPr>
            <w:tcW w:w="554" w:type="dxa"/>
            <w:tcBorders>
              <w:top w:val="nil"/>
              <w:left w:val="single" w:sz="4" w:space="0" w:color="auto"/>
              <w:bottom w:val="single" w:sz="4" w:space="0" w:color="auto"/>
              <w:right w:val="single" w:sz="4" w:space="0" w:color="auto"/>
            </w:tcBorders>
            <w:vAlign w:val="bottom"/>
          </w:tcPr>
          <w:p w:rsidR="00C81B24" w:rsidRPr="00C81B24" w:rsidRDefault="00C81B24" w:rsidP="00CE5850">
            <w:pPr>
              <w:rPr>
                <w:sz w:val="20"/>
              </w:rPr>
            </w:pPr>
            <w:r w:rsidRPr="00C81B24">
              <w:rPr>
                <w:sz w:val="20"/>
              </w:rPr>
              <w:t>87</w:t>
            </w:r>
          </w:p>
        </w:tc>
        <w:tc>
          <w:tcPr>
            <w:tcW w:w="456" w:type="dxa"/>
            <w:tcBorders>
              <w:top w:val="nil"/>
              <w:left w:val="single" w:sz="4" w:space="0" w:color="auto"/>
              <w:bottom w:val="single" w:sz="4" w:space="0" w:color="auto"/>
              <w:right w:val="single" w:sz="4" w:space="0" w:color="auto"/>
            </w:tcBorders>
            <w:vAlign w:val="center"/>
          </w:tcPr>
          <w:p w:rsidR="00C81B24" w:rsidRPr="00C81B24" w:rsidRDefault="00C81B24" w:rsidP="00CE5850">
            <w:pPr>
              <w:rPr>
                <w:sz w:val="20"/>
              </w:rPr>
            </w:pPr>
            <w:r w:rsidRPr="00C81B24">
              <w:rPr>
                <w:sz w:val="20"/>
              </w:rPr>
              <w:t>63</w:t>
            </w:r>
          </w:p>
        </w:tc>
        <w:tc>
          <w:tcPr>
            <w:tcW w:w="4012" w:type="dxa"/>
            <w:tcBorders>
              <w:top w:val="nil"/>
              <w:left w:val="nil"/>
              <w:bottom w:val="single" w:sz="4" w:space="0" w:color="auto"/>
              <w:right w:val="single" w:sz="4" w:space="0" w:color="auto"/>
            </w:tcBorders>
            <w:vAlign w:val="center"/>
          </w:tcPr>
          <w:p w:rsidR="00C81B24" w:rsidRPr="00C81B24" w:rsidRDefault="00C81B24" w:rsidP="00CE5850">
            <w:pPr>
              <w:rPr>
                <w:sz w:val="20"/>
              </w:rPr>
            </w:pPr>
            <w:r w:rsidRPr="00C81B24">
              <w:rPr>
                <w:sz w:val="20"/>
              </w:rPr>
              <w:t>Milwaukee-Racine, WI</w:t>
            </w:r>
          </w:p>
        </w:tc>
        <w:tc>
          <w:tcPr>
            <w:tcW w:w="1102"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2,158,667</w:t>
            </w:r>
          </w:p>
        </w:tc>
        <w:tc>
          <w:tcPr>
            <w:tcW w:w="1155"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2,343,622</w:t>
            </w:r>
          </w:p>
        </w:tc>
        <w:tc>
          <w:tcPr>
            <w:tcW w:w="979"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92%</w:t>
            </w:r>
          </w:p>
        </w:tc>
        <w:tc>
          <w:tcPr>
            <w:tcW w:w="635" w:type="dxa"/>
            <w:tcBorders>
              <w:top w:val="nil"/>
              <w:left w:val="nil"/>
              <w:bottom w:val="single" w:sz="4" w:space="0" w:color="auto"/>
              <w:right w:val="single" w:sz="4" w:space="0" w:color="auto"/>
            </w:tcBorders>
            <w:noWrap/>
            <w:vAlign w:val="bottom"/>
          </w:tcPr>
          <w:p w:rsidR="00C81B24" w:rsidRPr="00C81B24" w:rsidRDefault="00C81B24" w:rsidP="00CE5850">
            <w:pPr>
              <w:rPr>
                <w:sz w:val="20"/>
              </w:rPr>
            </w:pPr>
            <w:r w:rsidRPr="00C81B24">
              <w:rPr>
                <w:sz w:val="20"/>
              </w:rPr>
              <w:t>2115</w:t>
            </w:r>
          </w:p>
        </w:tc>
        <w:tc>
          <w:tcPr>
            <w:tcW w:w="536"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2100</w:t>
            </w:r>
          </w:p>
        </w:tc>
        <w:tc>
          <w:tcPr>
            <w:tcW w:w="736"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394.30</w:t>
            </w:r>
          </w:p>
        </w:tc>
      </w:tr>
      <w:tr w:rsidR="00C81B24" w:rsidRPr="00C81B24" w:rsidTr="00526AD9">
        <w:trPr>
          <w:trHeight w:val="255"/>
          <w:jc w:val="center"/>
        </w:trPr>
        <w:tc>
          <w:tcPr>
            <w:tcW w:w="554" w:type="dxa"/>
            <w:tcBorders>
              <w:top w:val="nil"/>
              <w:left w:val="single" w:sz="4" w:space="0" w:color="auto"/>
              <w:bottom w:val="single" w:sz="4" w:space="0" w:color="auto"/>
              <w:right w:val="single" w:sz="4" w:space="0" w:color="auto"/>
            </w:tcBorders>
            <w:vAlign w:val="bottom"/>
          </w:tcPr>
          <w:p w:rsidR="00C81B24" w:rsidRPr="00C81B24" w:rsidRDefault="00C81B24" w:rsidP="00CE5850">
            <w:pPr>
              <w:rPr>
                <w:sz w:val="20"/>
              </w:rPr>
            </w:pPr>
            <w:r w:rsidRPr="00C81B24">
              <w:rPr>
                <w:sz w:val="20"/>
              </w:rPr>
              <w:t>88</w:t>
            </w:r>
          </w:p>
        </w:tc>
        <w:tc>
          <w:tcPr>
            <w:tcW w:w="456" w:type="dxa"/>
            <w:tcBorders>
              <w:top w:val="nil"/>
              <w:left w:val="single" w:sz="4" w:space="0" w:color="auto"/>
              <w:bottom w:val="single" w:sz="4" w:space="0" w:color="auto"/>
              <w:right w:val="single" w:sz="4" w:space="0" w:color="auto"/>
            </w:tcBorders>
            <w:vAlign w:val="center"/>
          </w:tcPr>
          <w:p w:rsidR="00C81B24" w:rsidRPr="00C81B24" w:rsidRDefault="00C81B24" w:rsidP="00CE5850">
            <w:pPr>
              <w:rPr>
                <w:sz w:val="20"/>
              </w:rPr>
            </w:pPr>
            <w:r w:rsidRPr="00C81B24">
              <w:rPr>
                <w:sz w:val="20"/>
              </w:rPr>
              <w:t>101</w:t>
            </w:r>
          </w:p>
        </w:tc>
        <w:tc>
          <w:tcPr>
            <w:tcW w:w="4012" w:type="dxa"/>
            <w:tcBorders>
              <w:top w:val="nil"/>
              <w:left w:val="nil"/>
              <w:bottom w:val="single" w:sz="4" w:space="0" w:color="auto"/>
              <w:right w:val="single" w:sz="4" w:space="0" w:color="auto"/>
            </w:tcBorders>
            <w:vAlign w:val="center"/>
          </w:tcPr>
          <w:p w:rsidR="00C81B24" w:rsidRPr="00C81B24" w:rsidRDefault="00C81B24" w:rsidP="00CE5850">
            <w:pPr>
              <w:rPr>
                <w:sz w:val="20"/>
              </w:rPr>
            </w:pPr>
            <w:r w:rsidRPr="00C81B24">
              <w:rPr>
                <w:sz w:val="20"/>
              </w:rPr>
              <w:t>Peoria-Pekin, IL</w:t>
            </w:r>
          </w:p>
        </w:tc>
        <w:tc>
          <w:tcPr>
            <w:tcW w:w="1102"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491,551</w:t>
            </w:r>
          </w:p>
        </w:tc>
        <w:tc>
          <w:tcPr>
            <w:tcW w:w="1155"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534,159</w:t>
            </w:r>
          </w:p>
        </w:tc>
        <w:tc>
          <w:tcPr>
            <w:tcW w:w="979"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92%</w:t>
            </w:r>
          </w:p>
        </w:tc>
        <w:tc>
          <w:tcPr>
            <w:tcW w:w="635" w:type="dxa"/>
            <w:tcBorders>
              <w:top w:val="nil"/>
              <w:left w:val="nil"/>
              <w:bottom w:val="single" w:sz="4" w:space="0" w:color="auto"/>
              <w:right w:val="single" w:sz="4" w:space="0" w:color="auto"/>
            </w:tcBorders>
            <w:noWrap/>
            <w:vAlign w:val="bottom"/>
          </w:tcPr>
          <w:p w:rsidR="00C81B24" w:rsidRPr="00C81B24" w:rsidRDefault="00C81B24" w:rsidP="00CE5850">
            <w:pPr>
              <w:rPr>
                <w:sz w:val="20"/>
              </w:rPr>
            </w:pPr>
            <w:r w:rsidRPr="00C81B24">
              <w:rPr>
                <w:sz w:val="20"/>
              </w:rPr>
              <w:t>3510</w:t>
            </w:r>
          </w:p>
        </w:tc>
        <w:tc>
          <w:tcPr>
            <w:tcW w:w="536"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3512</w:t>
            </w:r>
          </w:p>
        </w:tc>
        <w:tc>
          <w:tcPr>
            <w:tcW w:w="736"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93.32</w:t>
            </w:r>
          </w:p>
        </w:tc>
      </w:tr>
      <w:tr w:rsidR="00C81B24" w:rsidRPr="00C81B24" w:rsidTr="00526AD9">
        <w:trPr>
          <w:trHeight w:val="255"/>
          <w:jc w:val="center"/>
        </w:trPr>
        <w:tc>
          <w:tcPr>
            <w:tcW w:w="554" w:type="dxa"/>
            <w:tcBorders>
              <w:top w:val="nil"/>
              <w:left w:val="single" w:sz="4" w:space="0" w:color="auto"/>
              <w:bottom w:val="single" w:sz="4" w:space="0" w:color="auto"/>
              <w:right w:val="single" w:sz="4" w:space="0" w:color="auto"/>
            </w:tcBorders>
            <w:vAlign w:val="bottom"/>
          </w:tcPr>
          <w:p w:rsidR="00C81B24" w:rsidRPr="00C81B24" w:rsidRDefault="00C81B24" w:rsidP="00CE5850">
            <w:pPr>
              <w:rPr>
                <w:sz w:val="20"/>
              </w:rPr>
            </w:pPr>
            <w:r w:rsidRPr="00C81B24">
              <w:rPr>
                <w:sz w:val="20"/>
              </w:rPr>
              <w:t>89</w:t>
            </w:r>
          </w:p>
        </w:tc>
        <w:tc>
          <w:tcPr>
            <w:tcW w:w="456" w:type="dxa"/>
            <w:tcBorders>
              <w:top w:val="nil"/>
              <w:left w:val="single" w:sz="4" w:space="0" w:color="auto"/>
              <w:bottom w:val="single" w:sz="4" w:space="0" w:color="auto"/>
              <w:right w:val="single" w:sz="4" w:space="0" w:color="auto"/>
            </w:tcBorders>
            <w:vAlign w:val="center"/>
          </w:tcPr>
          <w:p w:rsidR="00C81B24" w:rsidRPr="00C81B24" w:rsidRDefault="00C81B24" w:rsidP="00CE5850">
            <w:pPr>
              <w:rPr>
                <w:sz w:val="20"/>
              </w:rPr>
            </w:pPr>
            <w:r w:rsidRPr="00C81B24">
              <w:rPr>
                <w:sz w:val="20"/>
              </w:rPr>
              <w:t>103</w:t>
            </w:r>
          </w:p>
        </w:tc>
        <w:tc>
          <w:tcPr>
            <w:tcW w:w="4012" w:type="dxa"/>
            <w:tcBorders>
              <w:top w:val="nil"/>
              <w:left w:val="nil"/>
              <w:bottom w:val="single" w:sz="4" w:space="0" w:color="auto"/>
              <w:right w:val="single" w:sz="4" w:space="0" w:color="auto"/>
            </w:tcBorders>
            <w:vAlign w:val="center"/>
          </w:tcPr>
          <w:p w:rsidR="00C81B24" w:rsidRPr="00C81B24" w:rsidRDefault="00C81B24" w:rsidP="00CE5850">
            <w:pPr>
              <w:rPr>
                <w:sz w:val="20"/>
              </w:rPr>
            </w:pPr>
            <w:r w:rsidRPr="00C81B24">
              <w:rPr>
                <w:sz w:val="20"/>
              </w:rPr>
              <w:t>Cedar Rapids, IA</w:t>
            </w:r>
          </w:p>
        </w:tc>
        <w:tc>
          <w:tcPr>
            <w:tcW w:w="1102"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392,928</w:t>
            </w:r>
          </w:p>
        </w:tc>
        <w:tc>
          <w:tcPr>
            <w:tcW w:w="1155"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426,881</w:t>
            </w:r>
          </w:p>
        </w:tc>
        <w:tc>
          <w:tcPr>
            <w:tcW w:w="979"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92%</w:t>
            </w:r>
          </w:p>
        </w:tc>
        <w:tc>
          <w:tcPr>
            <w:tcW w:w="635" w:type="dxa"/>
            <w:tcBorders>
              <w:top w:val="nil"/>
              <w:left w:val="nil"/>
              <w:bottom w:val="single" w:sz="4" w:space="0" w:color="auto"/>
              <w:right w:val="single" w:sz="4" w:space="0" w:color="auto"/>
            </w:tcBorders>
            <w:noWrap/>
            <w:vAlign w:val="bottom"/>
          </w:tcPr>
          <w:p w:rsidR="00C81B24" w:rsidRPr="00C81B24" w:rsidRDefault="00C81B24" w:rsidP="00CE5850">
            <w:pPr>
              <w:rPr>
                <w:sz w:val="20"/>
              </w:rPr>
            </w:pPr>
            <w:r w:rsidRPr="00C81B24">
              <w:rPr>
                <w:sz w:val="20"/>
              </w:rPr>
              <w:t>2624</w:t>
            </w:r>
          </w:p>
        </w:tc>
        <w:tc>
          <w:tcPr>
            <w:tcW w:w="536"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2588</w:t>
            </w:r>
          </w:p>
        </w:tc>
        <w:tc>
          <w:tcPr>
            <w:tcW w:w="736"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112.99</w:t>
            </w:r>
          </w:p>
        </w:tc>
      </w:tr>
      <w:tr w:rsidR="00C81B24" w:rsidRPr="00C81B24" w:rsidTr="00526AD9">
        <w:trPr>
          <w:trHeight w:val="255"/>
          <w:jc w:val="center"/>
        </w:trPr>
        <w:tc>
          <w:tcPr>
            <w:tcW w:w="554" w:type="dxa"/>
            <w:tcBorders>
              <w:top w:val="nil"/>
              <w:left w:val="single" w:sz="4" w:space="0" w:color="auto"/>
              <w:bottom w:val="single" w:sz="4" w:space="0" w:color="auto"/>
              <w:right w:val="single" w:sz="4" w:space="0" w:color="auto"/>
            </w:tcBorders>
            <w:vAlign w:val="bottom"/>
          </w:tcPr>
          <w:p w:rsidR="00C81B24" w:rsidRPr="00C81B24" w:rsidRDefault="00C81B24" w:rsidP="00CE5850">
            <w:pPr>
              <w:rPr>
                <w:sz w:val="20"/>
              </w:rPr>
            </w:pPr>
            <w:r w:rsidRPr="00C81B24">
              <w:rPr>
                <w:sz w:val="20"/>
              </w:rPr>
              <w:t>90</w:t>
            </w:r>
          </w:p>
        </w:tc>
        <w:tc>
          <w:tcPr>
            <w:tcW w:w="456" w:type="dxa"/>
            <w:tcBorders>
              <w:top w:val="nil"/>
              <w:left w:val="single" w:sz="4" w:space="0" w:color="auto"/>
              <w:bottom w:val="single" w:sz="4" w:space="0" w:color="auto"/>
              <w:right w:val="single" w:sz="4" w:space="0" w:color="auto"/>
            </w:tcBorders>
            <w:vAlign w:val="center"/>
          </w:tcPr>
          <w:p w:rsidR="00C81B24" w:rsidRPr="00C81B24" w:rsidRDefault="00C81B24" w:rsidP="00CE5850">
            <w:pPr>
              <w:rPr>
                <w:sz w:val="20"/>
              </w:rPr>
            </w:pPr>
            <w:r w:rsidRPr="00C81B24">
              <w:rPr>
                <w:sz w:val="20"/>
              </w:rPr>
              <w:t>144</w:t>
            </w:r>
          </w:p>
        </w:tc>
        <w:tc>
          <w:tcPr>
            <w:tcW w:w="4012" w:type="dxa"/>
            <w:tcBorders>
              <w:top w:val="nil"/>
              <w:left w:val="nil"/>
              <w:bottom w:val="single" w:sz="4" w:space="0" w:color="auto"/>
              <w:right w:val="single" w:sz="4" w:space="0" w:color="auto"/>
            </w:tcBorders>
            <w:vAlign w:val="center"/>
          </w:tcPr>
          <w:p w:rsidR="00C81B24" w:rsidRPr="00C81B24" w:rsidRDefault="00C81B24" w:rsidP="00CE5850">
            <w:pPr>
              <w:rPr>
                <w:sz w:val="20"/>
              </w:rPr>
            </w:pPr>
            <w:r w:rsidRPr="00C81B24">
              <w:rPr>
                <w:sz w:val="20"/>
              </w:rPr>
              <w:t>Billings, MT-WY</w:t>
            </w:r>
          </w:p>
        </w:tc>
        <w:tc>
          <w:tcPr>
            <w:tcW w:w="1102"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417,317</w:t>
            </w:r>
          </w:p>
        </w:tc>
        <w:tc>
          <w:tcPr>
            <w:tcW w:w="1155"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452,040</w:t>
            </w:r>
          </w:p>
        </w:tc>
        <w:tc>
          <w:tcPr>
            <w:tcW w:w="979"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92%</w:t>
            </w:r>
          </w:p>
        </w:tc>
        <w:tc>
          <w:tcPr>
            <w:tcW w:w="635" w:type="dxa"/>
            <w:tcBorders>
              <w:top w:val="nil"/>
              <w:left w:val="nil"/>
              <w:bottom w:val="single" w:sz="4" w:space="0" w:color="auto"/>
              <w:right w:val="single" w:sz="4" w:space="0" w:color="auto"/>
            </w:tcBorders>
            <w:noWrap/>
            <w:vAlign w:val="bottom"/>
          </w:tcPr>
          <w:p w:rsidR="00C81B24" w:rsidRPr="00C81B24" w:rsidRDefault="00C81B24" w:rsidP="00CE5850">
            <w:pPr>
              <w:rPr>
                <w:sz w:val="20"/>
              </w:rPr>
            </w:pPr>
            <w:r w:rsidRPr="00C81B24">
              <w:rPr>
                <w:sz w:val="20"/>
              </w:rPr>
              <w:t>5378</w:t>
            </w:r>
          </w:p>
        </w:tc>
        <w:tc>
          <w:tcPr>
            <w:tcW w:w="536"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5408</w:t>
            </w:r>
          </w:p>
        </w:tc>
        <w:tc>
          <w:tcPr>
            <w:tcW w:w="736"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5.49</w:t>
            </w:r>
          </w:p>
        </w:tc>
      </w:tr>
      <w:tr w:rsidR="00C81B24" w:rsidRPr="00C81B24" w:rsidTr="00526AD9">
        <w:trPr>
          <w:trHeight w:val="255"/>
          <w:jc w:val="center"/>
        </w:trPr>
        <w:tc>
          <w:tcPr>
            <w:tcW w:w="554" w:type="dxa"/>
            <w:tcBorders>
              <w:top w:val="nil"/>
              <w:left w:val="single" w:sz="4" w:space="0" w:color="auto"/>
              <w:bottom w:val="single" w:sz="4" w:space="0" w:color="auto"/>
              <w:right w:val="single" w:sz="4" w:space="0" w:color="auto"/>
            </w:tcBorders>
            <w:vAlign w:val="bottom"/>
          </w:tcPr>
          <w:p w:rsidR="00C81B24" w:rsidRPr="00C81B24" w:rsidRDefault="00C81B24" w:rsidP="00CE5850">
            <w:pPr>
              <w:rPr>
                <w:sz w:val="20"/>
              </w:rPr>
            </w:pPr>
            <w:r w:rsidRPr="00C81B24">
              <w:rPr>
                <w:sz w:val="20"/>
              </w:rPr>
              <w:t>91</w:t>
            </w:r>
          </w:p>
        </w:tc>
        <w:tc>
          <w:tcPr>
            <w:tcW w:w="456" w:type="dxa"/>
            <w:tcBorders>
              <w:top w:val="nil"/>
              <w:left w:val="single" w:sz="4" w:space="0" w:color="auto"/>
              <w:bottom w:val="single" w:sz="4" w:space="0" w:color="auto"/>
              <w:right w:val="single" w:sz="4" w:space="0" w:color="auto"/>
            </w:tcBorders>
            <w:vAlign w:val="center"/>
          </w:tcPr>
          <w:p w:rsidR="00C81B24" w:rsidRPr="00C81B24" w:rsidRDefault="00C81B24" w:rsidP="00CE5850">
            <w:pPr>
              <w:rPr>
                <w:sz w:val="20"/>
              </w:rPr>
            </w:pPr>
            <w:r w:rsidRPr="00C81B24">
              <w:rPr>
                <w:sz w:val="20"/>
              </w:rPr>
              <w:t>171</w:t>
            </w:r>
          </w:p>
        </w:tc>
        <w:tc>
          <w:tcPr>
            <w:tcW w:w="4012" w:type="dxa"/>
            <w:tcBorders>
              <w:top w:val="nil"/>
              <w:left w:val="nil"/>
              <w:bottom w:val="single" w:sz="4" w:space="0" w:color="auto"/>
              <w:right w:val="single" w:sz="4" w:space="0" w:color="auto"/>
            </w:tcBorders>
            <w:vAlign w:val="center"/>
          </w:tcPr>
          <w:p w:rsidR="00C81B24" w:rsidRPr="00C81B24" w:rsidRDefault="00C81B24" w:rsidP="00CE5850">
            <w:pPr>
              <w:rPr>
                <w:sz w:val="20"/>
              </w:rPr>
            </w:pPr>
            <w:r w:rsidRPr="00C81B24">
              <w:rPr>
                <w:sz w:val="20"/>
              </w:rPr>
              <w:t>Anchorage, AK</w:t>
            </w:r>
          </w:p>
        </w:tc>
        <w:tc>
          <w:tcPr>
            <w:tcW w:w="1102"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637,654</w:t>
            </w:r>
          </w:p>
        </w:tc>
        <w:tc>
          <w:tcPr>
            <w:tcW w:w="1155"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695,370</w:t>
            </w:r>
          </w:p>
        </w:tc>
        <w:tc>
          <w:tcPr>
            <w:tcW w:w="979"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92%</w:t>
            </w:r>
          </w:p>
        </w:tc>
        <w:tc>
          <w:tcPr>
            <w:tcW w:w="635" w:type="dxa"/>
            <w:tcBorders>
              <w:top w:val="nil"/>
              <w:left w:val="nil"/>
              <w:bottom w:val="single" w:sz="4" w:space="0" w:color="auto"/>
              <w:right w:val="single" w:sz="4" w:space="0" w:color="auto"/>
            </w:tcBorders>
            <w:noWrap/>
            <w:vAlign w:val="bottom"/>
          </w:tcPr>
          <w:p w:rsidR="00C81B24" w:rsidRPr="00C81B24" w:rsidRDefault="00C81B24" w:rsidP="00CE5850">
            <w:pPr>
              <w:rPr>
                <w:sz w:val="20"/>
              </w:rPr>
            </w:pPr>
            <w:r w:rsidRPr="00C81B24">
              <w:rPr>
                <w:sz w:val="20"/>
              </w:rPr>
              <w:t>3860</w:t>
            </w:r>
          </w:p>
        </w:tc>
        <w:tc>
          <w:tcPr>
            <w:tcW w:w="536"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3604</w:t>
            </w:r>
          </w:p>
        </w:tc>
        <w:tc>
          <w:tcPr>
            <w:tcW w:w="736"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1.24</w:t>
            </w:r>
          </w:p>
        </w:tc>
      </w:tr>
      <w:tr w:rsidR="00C81B24" w:rsidRPr="00C81B24" w:rsidTr="00526AD9">
        <w:trPr>
          <w:trHeight w:val="255"/>
          <w:jc w:val="center"/>
        </w:trPr>
        <w:tc>
          <w:tcPr>
            <w:tcW w:w="554" w:type="dxa"/>
            <w:tcBorders>
              <w:top w:val="nil"/>
              <w:left w:val="single" w:sz="4" w:space="0" w:color="auto"/>
              <w:bottom w:val="single" w:sz="4" w:space="0" w:color="auto"/>
              <w:right w:val="single" w:sz="4" w:space="0" w:color="auto"/>
            </w:tcBorders>
            <w:vAlign w:val="bottom"/>
          </w:tcPr>
          <w:p w:rsidR="00C81B24" w:rsidRPr="00C81B24" w:rsidRDefault="00C81B24" w:rsidP="00CE5850">
            <w:pPr>
              <w:rPr>
                <w:sz w:val="20"/>
              </w:rPr>
            </w:pPr>
            <w:r w:rsidRPr="00C81B24">
              <w:rPr>
                <w:sz w:val="20"/>
              </w:rPr>
              <w:t>92</w:t>
            </w:r>
          </w:p>
        </w:tc>
        <w:tc>
          <w:tcPr>
            <w:tcW w:w="456" w:type="dxa"/>
            <w:tcBorders>
              <w:top w:val="nil"/>
              <w:left w:val="single" w:sz="4" w:space="0" w:color="auto"/>
              <w:bottom w:val="single" w:sz="4" w:space="0" w:color="auto"/>
              <w:right w:val="single" w:sz="4" w:space="0" w:color="auto"/>
            </w:tcBorders>
            <w:vAlign w:val="center"/>
          </w:tcPr>
          <w:p w:rsidR="00C81B24" w:rsidRPr="00C81B24" w:rsidRDefault="00C81B24" w:rsidP="00CE5850">
            <w:pPr>
              <w:rPr>
                <w:sz w:val="20"/>
              </w:rPr>
            </w:pPr>
            <w:r w:rsidRPr="00C81B24">
              <w:rPr>
                <w:sz w:val="20"/>
              </w:rPr>
              <w:t>2</w:t>
            </w:r>
          </w:p>
        </w:tc>
        <w:tc>
          <w:tcPr>
            <w:tcW w:w="4012" w:type="dxa"/>
            <w:tcBorders>
              <w:top w:val="nil"/>
              <w:left w:val="nil"/>
              <w:bottom w:val="single" w:sz="4" w:space="0" w:color="auto"/>
              <w:right w:val="single" w:sz="4" w:space="0" w:color="auto"/>
            </w:tcBorders>
            <w:vAlign w:val="center"/>
          </w:tcPr>
          <w:p w:rsidR="00C81B24" w:rsidRPr="00C81B24" w:rsidRDefault="00C81B24" w:rsidP="00CE5850">
            <w:pPr>
              <w:rPr>
                <w:sz w:val="20"/>
              </w:rPr>
            </w:pPr>
            <w:r w:rsidRPr="00C81B24">
              <w:rPr>
                <w:sz w:val="20"/>
              </w:rPr>
              <w:t>Portland, ME</w:t>
            </w:r>
          </w:p>
        </w:tc>
        <w:tc>
          <w:tcPr>
            <w:tcW w:w="1102"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717,366</w:t>
            </w:r>
          </w:p>
        </w:tc>
        <w:tc>
          <w:tcPr>
            <w:tcW w:w="1155"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784,594</w:t>
            </w:r>
          </w:p>
        </w:tc>
        <w:tc>
          <w:tcPr>
            <w:tcW w:w="979"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91%</w:t>
            </w:r>
          </w:p>
        </w:tc>
        <w:tc>
          <w:tcPr>
            <w:tcW w:w="635" w:type="dxa"/>
            <w:tcBorders>
              <w:top w:val="nil"/>
              <w:left w:val="nil"/>
              <w:bottom w:val="single" w:sz="4" w:space="0" w:color="auto"/>
              <w:right w:val="single" w:sz="4" w:space="0" w:color="auto"/>
            </w:tcBorders>
            <w:noWrap/>
            <w:vAlign w:val="bottom"/>
          </w:tcPr>
          <w:p w:rsidR="00C81B24" w:rsidRPr="00C81B24" w:rsidRDefault="00C81B24" w:rsidP="00CE5850">
            <w:pPr>
              <w:rPr>
                <w:sz w:val="20"/>
              </w:rPr>
            </w:pPr>
            <w:r w:rsidRPr="00C81B24">
              <w:rPr>
                <w:sz w:val="20"/>
              </w:rPr>
              <w:t>2987</w:t>
            </w:r>
          </w:p>
        </w:tc>
        <w:tc>
          <w:tcPr>
            <w:tcW w:w="536"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2852</w:t>
            </w:r>
          </w:p>
        </w:tc>
        <w:tc>
          <w:tcPr>
            <w:tcW w:w="736"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109.86</w:t>
            </w:r>
          </w:p>
        </w:tc>
      </w:tr>
      <w:tr w:rsidR="00C81B24" w:rsidRPr="00C81B24" w:rsidTr="00526AD9">
        <w:trPr>
          <w:trHeight w:val="255"/>
          <w:jc w:val="center"/>
        </w:trPr>
        <w:tc>
          <w:tcPr>
            <w:tcW w:w="554" w:type="dxa"/>
            <w:tcBorders>
              <w:top w:val="nil"/>
              <w:left w:val="single" w:sz="4" w:space="0" w:color="auto"/>
              <w:bottom w:val="single" w:sz="4" w:space="0" w:color="auto"/>
              <w:right w:val="single" w:sz="4" w:space="0" w:color="auto"/>
            </w:tcBorders>
            <w:vAlign w:val="bottom"/>
          </w:tcPr>
          <w:p w:rsidR="00C81B24" w:rsidRPr="00C81B24" w:rsidRDefault="00C81B24" w:rsidP="00CE5850">
            <w:pPr>
              <w:rPr>
                <w:sz w:val="20"/>
              </w:rPr>
            </w:pPr>
            <w:r w:rsidRPr="00C81B24">
              <w:rPr>
                <w:sz w:val="20"/>
              </w:rPr>
              <w:t>93</w:t>
            </w:r>
          </w:p>
        </w:tc>
        <w:tc>
          <w:tcPr>
            <w:tcW w:w="456" w:type="dxa"/>
            <w:tcBorders>
              <w:top w:val="nil"/>
              <w:left w:val="single" w:sz="4" w:space="0" w:color="auto"/>
              <w:bottom w:val="single" w:sz="4" w:space="0" w:color="auto"/>
              <w:right w:val="single" w:sz="4" w:space="0" w:color="auto"/>
            </w:tcBorders>
            <w:vAlign w:val="center"/>
          </w:tcPr>
          <w:p w:rsidR="00C81B24" w:rsidRPr="00C81B24" w:rsidRDefault="00C81B24" w:rsidP="00CE5850">
            <w:pPr>
              <w:rPr>
                <w:sz w:val="20"/>
              </w:rPr>
            </w:pPr>
            <w:r w:rsidRPr="00C81B24">
              <w:rPr>
                <w:sz w:val="20"/>
              </w:rPr>
              <w:t>6</w:t>
            </w:r>
          </w:p>
        </w:tc>
        <w:tc>
          <w:tcPr>
            <w:tcW w:w="4012" w:type="dxa"/>
            <w:tcBorders>
              <w:top w:val="nil"/>
              <w:left w:val="nil"/>
              <w:bottom w:val="single" w:sz="4" w:space="0" w:color="auto"/>
              <w:right w:val="single" w:sz="4" w:space="0" w:color="auto"/>
            </w:tcBorders>
            <w:vAlign w:val="center"/>
          </w:tcPr>
          <w:p w:rsidR="00C81B24" w:rsidRPr="00C81B24" w:rsidRDefault="00C81B24" w:rsidP="00CE5850">
            <w:pPr>
              <w:rPr>
                <w:sz w:val="20"/>
              </w:rPr>
            </w:pPr>
            <w:r w:rsidRPr="00C81B24">
              <w:rPr>
                <w:sz w:val="20"/>
              </w:rPr>
              <w:t>Syracuse, NY-PA</w:t>
            </w:r>
          </w:p>
        </w:tc>
        <w:tc>
          <w:tcPr>
            <w:tcW w:w="1102"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1,756,216</w:t>
            </w:r>
          </w:p>
        </w:tc>
        <w:tc>
          <w:tcPr>
            <w:tcW w:w="1155"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1,922,300</w:t>
            </w:r>
          </w:p>
        </w:tc>
        <w:tc>
          <w:tcPr>
            <w:tcW w:w="979"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91%</w:t>
            </w:r>
          </w:p>
        </w:tc>
        <w:tc>
          <w:tcPr>
            <w:tcW w:w="635" w:type="dxa"/>
            <w:tcBorders>
              <w:top w:val="nil"/>
              <w:left w:val="nil"/>
              <w:bottom w:val="single" w:sz="4" w:space="0" w:color="auto"/>
              <w:right w:val="single" w:sz="4" w:space="0" w:color="auto"/>
            </w:tcBorders>
            <w:noWrap/>
            <w:vAlign w:val="bottom"/>
          </w:tcPr>
          <w:p w:rsidR="00C81B24" w:rsidRPr="00C81B24" w:rsidRDefault="00C81B24" w:rsidP="00CE5850">
            <w:pPr>
              <w:rPr>
                <w:sz w:val="20"/>
              </w:rPr>
            </w:pPr>
            <w:r w:rsidRPr="00C81B24">
              <w:rPr>
                <w:sz w:val="20"/>
              </w:rPr>
              <w:t>4048</w:t>
            </w:r>
          </w:p>
        </w:tc>
        <w:tc>
          <w:tcPr>
            <w:tcW w:w="536"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4033</w:t>
            </w:r>
          </w:p>
        </w:tc>
        <w:tc>
          <w:tcPr>
            <w:tcW w:w="736"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109.15</w:t>
            </w:r>
          </w:p>
        </w:tc>
      </w:tr>
      <w:tr w:rsidR="00C81B24" w:rsidRPr="00C81B24" w:rsidTr="00526AD9">
        <w:trPr>
          <w:trHeight w:val="255"/>
          <w:jc w:val="center"/>
        </w:trPr>
        <w:tc>
          <w:tcPr>
            <w:tcW w:w="554" w:type="dxa"/>
            <w:tcBorders>
              <w:top w:val="nil"/>
              <w:left w:val="single" w:sz="4" w:space="0" w:color="auto"/>
              <w:bottom w:val="single" w:sz="4" w:space="0" w:color="auto"/>
              <w:right w:val="single" w:sz="4" w:space="0" w:color="auto"/>
            </w:tcBorders>
            <w:vAlign w:val="bottom"/>
          </w:tcPr>
          <w:p w:rsidR="00C81B24" w:rsidRPr="00C81B24" w:rsidRDefault="00C81B24" w:rsidP="00CE5850">
            <w:pPr>
              <w:rPr>
                <w:sz w:val="20"/>
              </w:rPr>
            </w:pPr>
            <w:r w:rsidRPr="00C81B24">
              <w:rPr>
                <w:sz w:val="20"/>
              </w:rPr>
              <w:t>94</w:t>
            </w:r>
          </w:p>
        </w:tc>
        <w:tc>
          <w:tcPr>
            <w:tcW w:w="456" w:type="dxa"/>
            <w:tcBorders>
              <w:top w:val="nil"/>
              <w:left w:val="single" w:sz="4" w:space="0" w:color="auto"/>
              <w:bottom w:val="single" w:sz="4" w:space="0" w:color="auto"/>
              <w:right w:val="single" w:sz="4" w:space="0" w:color="auto"/>
            </w:tcBorders>
            <w:vAlign w:val="center"/>
          </w:tcPr>
          <w:p w:rsidR="00C81B24" w:rsidRPr="00C81B24" w:rsidRDefault="00C81B24" w:rsidP="00CE5850">
            <w:pPr>
              <w:rPr>
                <w:sz w:val="20"/>
              </w:rPr>
            </w:pPr>
            <w:r w:rsidRPr="00C81B24">
              <w:rPr>
                <w:sz w:val="20"/>
              </w:rPr>
              <w:t>7</w:t>
            </w:r>
          </w:p>
        </w:tc>
        <w:tc>
          <w:tcPr>
            <w:tcW w:w="4012" w:type="dxa"/>
            <w:tcBorders>
              <w:top w:val="nil"/>
              <w:left w:val="nil"/>
              <w:bottom w:val="single" w:sz="4" w:space="0" w:color="auto"/>
              <w:right w:val="single" w:sz="4" w:space="0" w:color="auto"/>
            </w:tcBorders>
            <w:vAlign w:val="center"/>
          </w:tcPr>
          <w:p w:rsidR="00C81B24" w:rsidRPr="00C81B24" w:rsidRDefault="00C81B24" w:rsidP="00CE5850">
            <w:pPr>
              <w:rPr>
                <w:sz w:val="20"/>
              </w:rPr>
            </w:pPr>
            <w:r w:rsidRPr="00C81B24">
              <w:rPr>
                <w:sz w:val="20"/>
              </w:rPr>
              <w:t>Rochester, NY-PA</w:t>
            </w:r>
          </w:p>
        </w:tc>
        <w:tc>
          <w:tcPr>
            <w:tcW w:w="1102"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1,379,028</w:t>
            </w:r>
          </w:p>
        </w:tc>
        <w:tc>
          <w:tcPr>
            <w:tcW w:w="1155"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1,509,579</w:t>
            </w:r>
          </w:p>
        </w:tc>
        <w:tc>
          <w:tcPr>
            <w:tcW w:w="979"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91%</w:t>
            </w:r>
          </w:p>
        </w:tc>
        <w:tc>
          <w:tcPr>
            <w:tcW w:w="635" w:type="dxa"/>
            <w:tcBorders>
              <w:top w:val="nil"/>
              <w:left w:val="nil"/>
              <w:bottom w:val="single" w:sz="4" w:space="0" w:color="auto"/>
              <w:right w:val="single" w:sz="4" w:space="0" w:color="auto"/>
            </w:tcBorders>
            <w:noWrap/>
            <w:vAlign w:val="bottom"/>
          </w:tcPr>
          <w:p w:rsidR="00C81B24" w:rsidRPr="00C81B24" w:rsidRDefault="00C81B24" w:rsidP="00CE5850">
            <w:pPr>
              <w:rPr>
                <w:sz w:val="20"/>
              </w:rPr>
            </w:pPr>
            <w:r w:rsidRPr="00C81B24">
              <w:rPr>
                <w:sz w:val="20"/>
              </w:rPr>
              <w:t>4348</w:t>
            </w:r>
          </w:p>
        </w:tc>
        <w:tc>
          <w:tcPr>
            <w:tcW w:w="536"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4368</w:t>
            </w:r>
          </w:p>
        </w:tc>
        <w:tc>
          <w:tcPr>
            <w:tcW w:w="736"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172.43</w:t>
            </w:r>
          </w:p>
        </w:tc>
      </w:tr>
      <w:tr w:rsidR="00C81B24" w:rsidRPr="00C81B24" w:rsidTr="00526AD9">
        <w:trPr>
          <w:trHeight w:val="255"/>
          <w:jc w:val="center"/>
        </w:trPr>
        <w:tc>
          <w:tcPr>
            <w:tcW w:w="554" w:type="dxa"/>
            <w:tcBorders>
              <w:top w:val="nil"/>
              <w:left w:val="single" w:sz="4" w:space="0" w:color="auto"/>
              <w:bottom w:val="single" w:sz="4" w:space="0" w:color="auto"/>
              <w:right w:val="single" w:sz="4" w:space="0" w:color="auto"/>
            </w:tcBorders>
            <w:vAlign w:val="bottom"/>
          </w:tcPr>
          <w:p w:rsidR="00C81B24" w:rsidRPr="00C81B24" w:rsidRDefault="00C81B24" w:rsidP="00CE5850">
            <w:pPr>
              <w:rPr>
                <w:sz w:val="20"/>
              </w:rPr>
            </w:pPr>
            <w:r w:rsidRPr="00C81B24">
              <w:rPr>
                <w:sz w:val="20"/>
              </w:rPr>
              <w:t>95</w:t>
            </w:r>
          </w:p>
        </w:tc>
        <w:tc>
          <w:tcPr>
            <w:tcW w:w="456" w:type="dxa"/>
            <w:tcBorders>
              <w:top w:val="nil"/>
              <w:left w:val="single" w:sz="4" w:space="0" w:color="auto"/>
              <w:bottom w:val="single" w:sz="4" w:space="0" w:color="auto"/>
              <w:right w:val="single" w:sz="4" w:space="0" w:color="auto"/>
            </w:tcBorders>
            <w:vAlign w:val="center"/>
          </w:tcPr>
          <w:p w:rsidR="00C81B24" w:rsidRPr="00C81B24" w:rsidRDefault="00C81B24" w:rsidP="00CE5850">
            <w:pPr>
              <w:rPr>
                <w:sz w:val="20"/>
              </w:rPr>
            </w:pPr>
            <w:r w:rsidRPr="00C81B24">
              <w:rPr>
                <w:sz w:val="20"/>
              </w:rPr>
              <w:t>19</w:t>
            </w:r>
          </w:p>
        </w:tc>
        <w:tc>
          <w:tcPr>
            <w:tcW w:w="4012" w:type="dxa"/>
            <w:tcBorders>
              <w:top w:val="nil"/>
              <w:left w:val="nil"/>
              <w:bottom w:val="single" w:sz="4" w:space="0" w:color="auto"/>
              <w:right w:val="single" w:sz="4" w:space="0" w:color="auto"/>
            </w:tcBorders>
            <w:vAlign w:val="center"/>
          </w:tcPr>
          <w:p w:rsidR="00C81B24" w:rsidRPr="00C81B24" w:rsidRDefault="00C81B24" w:rsidP="00CE5850">
            <w:pPr>
              <w:rPr>
                <w:sz w:val="20"/>
              </w:rPr>
            </w:pPr>
            <w:r w:rsidRPr="00C81B24">
              <w:rPr>
                <w:sz w:val="20"/>
              </w:rPr>
              <w:t>Raleigh-Durham-Chapel Hill, NC</w:t>
            </w:r>
          </w:p>
        </w:tc>
        <w:tc>
          <w:tcPr>
            <w:tcW w:w="1102"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2,106,083</w:t>
            </w:r>
          </w:p>
        </w:tc>
        <w:tc>
          <w:tcPr>
            <w:tcW w:w="1155"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2,307,548</w:t>
            </w:r>
          </w:p>
        </w:tc>
        <w:tc>
          <w:tcPr>
            <w:tcW w:w="979"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91%</w:t>
            </w:r>
          </w:p>
        </w:tc>
        <w:tc>
          <w:tcPr>
            <w:tcW w:w="635" w:type="dxa"/>
            <w:tcBorders>
              <w:top w:val="nil"/>
              <w:left w:val="nil"/>
              <w:bottom w:val="single" w:sz="4" w:space="0" w:color="auto"/>
              <w:right w:val="single" w:sz="4" w:space="0" w:color="auto"/>
            </w:tcBorders>
            <w:noWrap/>
            <w:vAlign w:val="bottom"/>
          </w:tcPr>
          <w:p w:rsidR="00C81B24" w:rsidRPr="00C81B24" w:rsidRDefault="00C81B24" w:rsidP="00CE5850">
            <w:pPr>
              <w:rPr>
                <w:sz w:val="20"/>
              </w:rPr>
            </w:pPr>
            <w:r w:rsidRPr="00C81B24">
              <w:rPr>
                <w:sz w:val="20"/>
              </w:rPr>
              <w:t>2868</w:t>
            </w:r>
          </w:p>
        </w:tc>
        <w:tc>
          <w:tcPr>
            <w:tcW w:w="536"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2859</w:t>
            </w:r>
          </w:p>
        </w:tc>
        <w:tc>
          <w:tcPr>
            <w:tcW w:w="736"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241.39</w:t>
            </w:r>
          </w:p>
        </w:tc>
      </w:tr>
      <w:tr w:rsidR="00C81B24" w:rsidRPr="00C81B24" w:rsidTr="00526AD9">
        <w:trPr>
          <w:trHeight w:val="255"/>
          <w:jc w:val="center"/>
        </w:trPr>
        <w:tc>
          <w:tcPr>
            <w:tcW w:w="554" w:type="dxa"/>
            <w:tcBorders>
              <w:top w:val="nil"/>
              <w:left w:val="single" w:sz="4" w:space="0" w:color="auto"/>
              <w:bottom w:val="single" w:sz="4" w:space="0" w:color="auto"/>
              <w:right w:val="single" w:sz="4" w:space="0" w:color="auto"/>
            </w:tcBorders>
            <w:vAlign w:val="bottom"/>
          </w:tcPr>
          <w:p w:rsidR="00C81B24" w:rsidRPr="00C81B24" w:rsidRDefault="00C81B24" w:rsidP="00CE5850">
            <w:pPr>
              <w:rPr>
                <w:sz w:val="20"/>
              </w:rPr>
            </w:pPr>
            <w:r w:rsidRPr="00C81B24">
              <w:rPr>
                <w:sz w:val="20"/>
              </w:rPr>
              <w:t>96</w:t>
            </w:r>
          </w:p>
        </w:tc>
        <w:tc>
          <w:tcPr>
            <w:tcW w:w="456" w:type="dxa"/>
            <w:tcBorders>
              <w:top w:val="nil"/>
              <w:left w:val="single" w:sz="4" w:space="0" w:color="auto"/>
              <w:bottom w:val="single" w:sz="4" w:space="0" w:color="auto"/>
              <w:right w:val="single" w:sz="4" w:space="0" w:color="auto"/>
            </w:tcBorders>
            <w:vAlign w:val="center"/>
          </w:tcPr>
          <w:p w:rsidR="00C81B24" w:rsidRPr="00C81B24" w:rsidRDefault="00C81B24" w:rsidP="00CE5850">
            <w:pPr>
              <w:rPr>
                <w:sz w:val="20"/>
              </w:rPr>
            </w:pPr>
            <w:r w:rsidRPr="00C81B24">
              <w:rPr>
                <w:sz w:val="20"/>
              </w:rPr>
              <w:t>24</w:t>
            </w:r>
          </w:p>
        </w:tc>
        <w:tc>
          <w:tcPr>
            <w:tcW w:w="4012" w:type="dxa"/>
            <w:tcBorders>
              <w:top w:val="nil"/>
              <w:left w:val="nil"/>
              <w:bottom w:val="single" w:sz="4" w:space="0" w:color="auto"/>
              <w:right w:val="single" w:sz="4" w:space="0" w:color="auto"/>
            </w:tcBorders>
            <w:vAlign w:val="center"/>
          </w:tcPr>
          <w:p w:rsidR="00C81B24" w:rsidRPr="00C81B24" w:rsidRDefault="00C81B24" w:rsidP="00CE5850">
            <w:pPr>
              <w:rPr>
                <w:sz w:val="20"/>
              </w:rPr>
            </w:pPr>
            <w:r w:rsidRPr="00C81B24">
              <w:rPr>
                <w:sz w:val="20"/>
              </w:rPr>
              <w:t>Columbia, SC</w:t>
            </w:r>
          </w:p>
        </w:tc>
        <w:tc>
          <w:tcPr>
            <w:tcW w:w="1102"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966,939</w:t>
            </w:r>
          </w:p>
        </w:tc>
        <w:tc>
          <w:tcPr>
            <w:tcW w:w="1155"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1,059,254</w:t>
            </w:r>
          </w:p>
        </w:tc>
        <w:tc>
          <w:tcPr>
            <w:tcW w:w="979"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91%</w:t>
            </w:r>
          </w:p>
        </w:tc>
        <w:tc>
          <w:tcPr>
            <w:tcW w:w="635" w:type="dxa"/>
            <w:tcBorders>
              <w:top w:val="nil"/>
              <w:left w:val="nil"/>
              <w:bottom w:val="single" w:sz="4" w:space="0" w:color="auto"/>
              <w:right w:val="single" w:sz="4" w:space="0" w:color="auto"/>
            </w:tcBorders>
            <w:noWrap/>
            <w:vAlign w:val="bottom"/>
          </w:tcPr>
          <w:p w:rsidR="00C81B24" w:rsidRPr="00C81B24" w:rsidRDefault="00C81B24" w:rsidP="00CE5850">
            <w:pPr>
              <w:rPr>
                <w:sz w:val="20"/>
              </w:rPr>
            </w:pPr>
            <w:r w:rsidRPr="00C81B24">
              <w:rPr>
                <w:sz w:val="20"/>
              </w:rPr>
              <w:t>3301</w:t>
            </w:r>
          </w:p>
        </w:tc>
        <w:tc>
          <w:tcPr>
            <w:tcW w:w="536"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3218</w:t>
            </w:r>
          </w:p>
        </w:tc>
        <w:tc>
          <w:tcPr>
            <w:tcW w:w="736"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148.75</w:t>
            </w:r>
          </w:p>
        </w:tc>
      </w:tr>
      <w:tr w:rsidR="00C81B24" w:rsidRPr="00C81B24" w:rsidTr="00526AD9">
        <w:trPr>
          <w:trHeight w:val="255"/>
          <w:jc w:val="center"/>
        </w:trPr>
        <w:tc>
          <w:tcPr>
            <w:tcW w:w="554" w:type="dxa"/>
            <w:tcBorders>
              <w:top w:val="nil"/>
              <w:left w:val="single" w:sz="4" w:space="0" w:color="auto"/>
              <w:bottom w:val="single" w:sz="4" w:space="0" w:color="auto"/>
              <w:right w:val="single" w:sz="4" w:space="0" w:color="auto"/>
            </w:tcBorders>
            <w:vAlign w:val="bottom"/>
          </w:tcPr>
          <w:p w:rsidR="00C81B24" w:rsidRPr="00C81B24" w:rsidRDefault="00C81B24" w:rsidP="00CE5850">
            <w:pPr>
              <w:rPr>
                <w:sz w:val="20"/>
              </w:rPr>
            </w:pPr>
            <w:r w:rsidRPr="00C81B24">
              <w:rPr>
                <w:sz w:val="20"/>
              </w:rPr>
              <w:t>97</w:t>
            </w:r>
          </w:p>
        </w:tc>
        <w:tc>
          <w:tcPr>
            <w:tcW w:w="456" w:type="dxa"/>
            <w:tcBorders>
              <w:top w:val="nil"/>
              <w:left w:val="single" w:sz="4" w:space="0" w:color="auto"/>
              <w:bottom w:val="single" w:sz="4" w:space="0" w:color="auto"/>
              <w:right w:val="single" w:sz="4" w:space="0" w:color="auto"/>
            </w:tcBorders>
            <w:vAlign w:val="center"/>
          </w:tcPr>
          <w:p w:rsidR="00C81B24" w:rsidRPr="00C81B24" w:rsidRDefault="00C81B24" w:rsidP="00CE5850">
            <w:pPr>
              <w:rPr>
                <w:sz w:val="20"/>
              </w:rPr>
            </w:pPr>
            <w:r w:rsidRPr="00C81B24">
              <w:rPr>
                <w:sz w:val="20"/>
              </w:rPr>
              <w:t>25</w:t>
            </w:r>
          </w:p>
        </w:tc>
        <w:tc>
          <w:tcPr>
            <w:tcW w:w="4012" w:type="dxa"/>
            <w:tcBorders>
              <w:top w:val="nil"/>
              <w:left w:val="nil"/>
              <w:bottom w:val="single" w:sz="4" w:space="0" w:color="auto"/>
              <w:right w:val="single" w:sz="4" w:space="0" w:color="auto"/>
            </w:tcBorders>
            <w:vAlign w:val="center"/>
          </w:tcPr>
          <w:p w:rsidR="00C81B24" w:rsidRPr="00C81B24" w:rsidRDefault="00C81B24" w:rsidP="00CE5850">
            <w:pPr>
              <w:rPr>
                <w:sz w:val="20"/>
              </w:rPr>
            </w:pPr>
            <w:r w:rsidRPr="00C81B24">
              <w:rPr>
                <w:sz w:val="20"/>
              </w:rPr>
              <w:t>Wilmington, NC-SC</w:t>
            </w:r>
          </w:p>
        </w:tc>
        <w:tc>
          <w:tcPr>
            <w:tcW w:w="1102"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955,950</w:t>
            </w:r>
          </w:p>
        </w:tc>
        <w:tc>
          <w:tcPr>
            <w:tcW w:w="1155"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1,054,975</w:t>
            </w:r>
          </w:p>
        </w:tc>
        <w:tc>
          <w:tcPr>
            <w:tcW w:w="979"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91%</w:t>
            </w:r>
          </w:p>
        </w:tc>
        <w:tc>
          <w:tcPr>
            <w:tcW w:w="635" w:type="dxa"/>
            <w:tcBorders>
              <w:top w:val="nil"/>
              <w:left w:val="nil"/>
              <w:bottom w:val="single" w:sz="4" w:space="0" w:color="auto"/>
              <w:right w:val="single" w:sz="4" w:space="0" w:color="auto"/>
            </w:tcBorders>
            <w:noWrap/>
            <w:vAlign w:val="bottom"/>
          </w:tcPr>
          <w:p w:rsidR="00C81B24" w:rsidRPr="00C81B24" w:rsidRDefault="00C81B24" w:rsidP="00CE5850">
            <w:pPr>
              <w:rPr>
                <w:sz w:val="20"/>
              </w:rPr>
            </w:pPr>
            <w:r w:rsidRPr="00C81B24">
              <w:rPr>
                <w:sz w:val="20"/>
              </w:rPr>
              <w:t>2958</w:t>
            </w:r>
          </w:p>
        </w:tc>
        <w:tc>
          <w:tcPr>
            <w:tcW w:w="536"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2837</w:t>
            </w:r>
          </w:p>
        </w:tc>
        <w:tc>
          <w:tcPr>
            <w:tcW w:w="736"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132.16</w:t>
            </w:r>
          </w:p>
        </w:tc>
      </w:tr>
      <w:tr w:rsidR="00C81B24" w:rsidRPr="00C81B24" w:rsidTr="00526AD9">
        <w:trPr>
          <w:trHeight w:val="255"/>
          <w:jc w:val="center"/>
        </w:trPr>
        <w:tc>
          <w:tcPr>
            <w:tcW w:w="554" w:type="dxa"/>
            <w:tcBorders>
              <w:top w:val="nil"/>
              <w:left w:val="single" w:sz="4" w:space="0" w:color="auto"/>
              <w:bottom w:val="single" w:sz="4" w:space="0" w:color="auto"/>
              <w:right w:val="single" w:sz="4" w:space="0" w:color="auto"/>
            </w:tcBorders>
            <w:vAlign w:val="bottom"/>
          </w:tcPr>
          <w:p w:rsidR="00C81B24" w:rsidRPr="00C81B24" w:rsidRDefault="00C81B24" w:rsidP="00CE5850">
            <w:pPr>
              <w:rPr>
                <w:sz w:val="20"/>
              </w:rPr>
            </w:pPr>
            <w:r w:rsidRPr="00C81B24">
              <w:rPr>
                <w:sz w:val="20"/>
              </w:rPr>
              <w:t>98</w:t>
            </w:r>
          </w:p>
        </w:tc>
        <w:tc>
          <w:tcPr>
            <w:tcW w:w="456" w:type="dxa"/>
            <w:tcBorders>
              <w:top w:val="nil"/>
              <w:left w:val="single" w:sz="4" w:space="0" w:color="auto"/>
              <w:bottom w:val="single" w:sz="4" w:space="0" w:color="auto"/>
              <w:right w:val="single" w:sz="4" w:space="0" w:color="auto"/>
            </w:tcBorders>
            <w:vAlign w:val="center"/>
          </w:tcPr>
          <w:p w:rsidR="00C81B24" w:rsidRPr="00C81B24" w:rsidRDefault="00C81B24" w:rsidP="00CE5850">
            <w:pPr>
              <w:rPr>
                <w:sz w:val="20"/>
              </w:rPr>
            </w:pPr>
            <w:r w:rsidRPr="00C81B24">
              <w:rPr>
                <w:sz w:val="20"/>
              </w:rPr>
              <w:t>30</w:t>
            </w:r>
          </w:p>
        </w:tc>
        <w:tc>
          <w:tcPr>
            <w:tcW w:w="4012" w:type="dxa"/>
            <w:tcBorders>
              <w:top w:val="nil"/>
              <w:left w:val="nil"/>
              <w:bottom w:val="single" w:sz="4" w:space="0" w:color="auto"/>
              <w:right w:val="single" w:sz="4" w:space="0" w:color="auto"/>
            </w:tcBorders>
            <w:vAlign w:val="center"/>
          </w:tcPr>
          <w:p w:rsidR="00C81B24" w:rsidRPr="00C81B24" w:rsidRDefault="00C81B24" w:rsidP="00CE5850">
            <w:pPr>
              <w:rPr>
                <w:sz w:val="20"/>
              </w:rPr>
            </w:pPr>
            <w:r w:rsidRPr="00C81B24">
              <w:rPr>
                <w:sz w:val="20"/>
              </w:rPr>
              <w:t>Orlando, FL</w:t>
            </w:r>
          </w:p>
        </w:tc>
        <w:tc>
          <w:tcPr>
            <w:tcW w:w="1102"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4,152,448</w:t>
            </w:r>
          </w:p>
        </w:tc>
        <w:tc>
          <w:tcPr>
            <w:tcW w:w="1155"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4,562,642</w:t>
            </w:r>
          </w:p>
        </w:tc>
        <w:tc>
          <w:tcPr>
            <w:tcW w:w="979"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91%</w:t>
            </w:r>
          </w:p>
        </w:tc>
        <w:tc>
          <w:tcPr>
            <w:tcW w:w="635" w:type="dxa"/>
            <w:tcBorders>
              <w:top w:val="nil"/>
              <w:left w:val="nil"/>
              <w:bottom w:val="single" w:sz="4" w:space="0" w:color="auto"/>
              <w:right w:val="single" w:sz="4" w:space="0" w:color="auto"/>
            </w:tcBorders>
            <w:noWrap/>
            <w:vAlign w:val="bottom"/>
          </w:tcPr>
          <w:p w:rsidR="00C81B24" w:rsidRPr="00C81B24" w:rsidRDefault="00C81B24" w:rsidP="00CE5850">
            <w:pPr>
              <w:rPr>
                <w:sz w:val="20"/>
              </w:rPr>
            </w:pPr>
            <w:r w:rsidRPr="00C81B24">
              <w:rPr>
                <w:sz w:val="20"/>
              </w:rPr>
              <w:t>2402</w:t>
            </w:r>
          </w:p>
        </w:tc>
        <w:tc>
          <w:tcPr>
            <w:tcW w:w="536"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2426</w:t>
            </w:r>
          </w:p>
        </w:tc>
        <w:tc>
          <w:tcPr>
            <w:tcW w:w="736"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372.58</w:t>
            </w:r>
          </w:p>
        </w:tc>
      </w:tr>
      <w:tr w:rsidR="00C81B24" w:rsidRPr="00C81B24" w:rsidTr="00526AD9">
        <w:trPr>
          <w:trHeight w:val="255"/>
          <w:jc w:val="center"/>
        </w:trPr>
        <w:tc>
          <w:tcPr>
            <w:tcW w:w="554" w:type="dxa"/>
            <w:tcBorders>
              <w:top w:val="nil"/>
              <w:left w:val="single" w:sz="4" w:space="0" w:color="auto"/>
              <w:bottom w:val="single" w:sz="4" w:space="0" w:color="auto"/>
              <w:right w:val="single" w:sz="4" w:space="0" w:color="auto"/>
            </w:tcBorders>
            <w:vAlign w:val="bottom"/>
          </w:tcPr>
          <w:p w:rsidR="00C81B24" w:rsidRPr="00C81B24" w:rsidRDefault="00C81B24" w:rsidP="00CE5850">
            <w:pPr>
              <w:rPr>
                <w:sz w:val="20"/>
              </w:rPr>
            </w:pPr>
            <w:r w:rsidRPr="00C81B24">
              <w:rPr>
                <w:sz w:val="20"/>
              </w:rPr>
              <w:t>99</w:t>
            </w:r>
          </w:p>
        </w:tc>
        <w:tc>
          <w:tcPr>
            <w:tcW w:w="456" w:type="dxa"/>
            <w:tcBorders>
              <w:top w:val="nil"/>
              <w:left w:val="single" w:sz="4" w:space="0" w:color="auto"/>
              <w:bottom w:val="single" w:sz="4" w:space="0" w:color="auto"/>
              <w:right w:val="single" w:sz="4" w:space="0" w:color="auto"/>
            </w:tcBorders>
            <w:vAlign w:val="center"/>
          </w:tcPr>
          <w:p w:rsidR="00C81B24" w:rsidRPr="00C81B24" w:rsidRDefault="00C81B24" w:rsidP="00CE5850">
            <w:pPr>
              <w:rPr>
                <w:sz w:val="20"/>
              </w:rPr>
            </w:pPr>
            <w:r w:rsidRPr="00C81B24">
              <w:rPr>
                <w:sz w:val="20"/>
              </w:rPr>
              <w:t>41</w:t>
            </w:r>
          </w:p>
        </w:tc>
        <w:tc>
          <w:tcPr>
            <w:tcW w:w="4012" w:type="dxa"/>
            <w:tcBorders>
              <w:top w:val="nil"/>
              <w:left w:val="nil"/>
              <w:bottom w:val="single" w:sz="4" w:space="0" w:color="auto"/>
              <w:right w:val="single" w:sz="4" w:space="0" w:color="auto"/>
            </w:tcBorders>
            <w:vAlign w:val="center"/>
          </w:tcPr>
          <w:p w:rsidR="00C81B24" w:rsidRPr="00C81B24" w:rsidRDefault="00C81B24" w:rsidP="00CE5850">
            <w:pPr>
              <w:rPr>
                <w:sz w:val="20"/>
              </w:rPr>
            </w:pPr>
            <w:r w:rsidRPr="00C81B24">
              <w:rPr>
                <w:sz w:val="20"/>
              </w:rPr>
              <w:t>Greenville-Spartanburg-Anderson, SC-NC</w:t>
            </w:r>
          </w:p>
        </w:tc>
        <w:tc>
          <w:tcPr>
            <w:tcW w:w="1102"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1,272,075</w:t>
            </w:r>
          </w:p>
        </w:tc>
        <w:tc>
          <w:tcPr>
            <w:tcW w:w="1155"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1,392,816</w:t>
            </w:r>
          </w:p>
        </w:tc>
        <w:tc>
          <w:tcPr>
            <w:tcW w:w="979"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91%</w:t>
            </w:r>
          </w:p>
        </w:tc>
        <w:tc>
          <w:tcPr>
            <w:tcW w:w="635" w:type="dxa"/>
            <w:tcBorders>
              <w:top w:val="nil"/>
              <w:left w:val="nil"/>
              <w:bottom w:val="single" w:sz="4" w:space="0" w:color="auto"/>
              <w:right w:val="single" w:sz="4" w:space="0" w:color="auto"/>
            </w:tcBorders>
            <w:noWrap/>
            <w:vAlign w:val="bottom"/>
          </w:tcPr>
          <w:p w:rsidR="00C81B24" w:rsidRPr="00C81B24" w:rsidRDefault="00C81B24" w:rsidP="00CE5850">
            <w:pPr>
              <w:rPr>
                <w:sz w:val="20"/>
              </w:rPr>
            </w:pPr>
            <w:r w:rsidRPr="00C81B24">
              <w:rPr>
                <w:sz w:val="20"/>
              </w:rPr>
              <w:t>3536</w:t>
            </w:r>
          </w:p>
        </w:tc>
        <w:tc>
          <w:tcPr>
            <w:tcW w:w="536"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3367</w:t>
            </w:r>
          </w:p>
        </w:tc>
        <w:tc>
          <w:tcPr>
            <w:tcW w:w="736"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211.23</w:t>
            </w:r>
          </w:p>
        </w:tc>
      </w:tr>
      <w:tr w:rsidR="00C81B24" w:rsidRPr="00C81B24" w:rsidTr="00526AD9">
        <w:trPr>
          <w:trHeight w:val="255"/>
          <w:jc w:val="center"/>
        </w:trPr>
        <w:tc>
          <w:tcPr>
            <w:tcW w:w="554" w:type="dxa"/>
            <w:tcBorders>
              <w:top w:val="nil"/>
              <w:left w:val="single" w:sz="4" w:space="0" w:color="auto"/>
              <w:bottom w:val="single" w:sz="4" w:space="0" w:color="auto"/>
              <w:right w:val="single" w:sz="4" w:space="0" w:color="auto"/>
            </w:tcBorders>
            <w:vAlign w:val="bottom"/>
          </w:tcPr>
          <w:p w:rsidR="00C81B24" w:rsidRPr="00C81B24" w:rsidRDefault="00C81B24" w:rsidP="00CE5850">
            <w:pPr>
              <w:rPr>
                <w:sz w:val="20"/>
              </w:rPr>
            </w:pPr>
            <w:r w:rsidRPr="00C81B24">
              <w:rPr>
                <w:sz w:val="20"/>
              </w:rPr>
              <w:t>100</w:t>
            </w:r>
          </w:p>
        </w:tc>
        <w:tc>
          <w:tcPr>
            <w:tcW w:w="456" w:type="dxa"/>
            <w:tcBorders>
              <w:top w:val="nil"/>
              <w:left w:val="single" w:sz="4" w:space="0" w:color="auto"/>
              <w:bottom w:val="single" w:sz="4" w:space="0" w:color="auto"/>
              <w:right w:val="single" w:sz="4" w:space="0" w:color="auto"/>
            </w:tcBorders>
            <w:vAlign w:val="center"/>
          </w:tcPr>
          <w:p w:rsidR="00C81B24" w:rsidRPr="00C81B24" w:rsidRDefault="00C81B24" w:rsidP="00CE5850">
            <w:pPr>
              <w:rPr>
                <w:sz w:val="20"/>
              </w:rPr>
            </w:pPr>
            <w:r w:rsidRPr="00C81B24">
              <w:rPr>
                <w:sz w:val="20"/>
              </w:rPr>
              <w:t>67</w:t>
            </w:r>
          </w:p>
        </w:tc>
        <w:tc>
          <w:tcPr>
            <w:tcW w:w="4012" w:type="dxa"/>
            <w:tcBorders>
              <w:top w:val="nil"/>
              <w:left w:val="nil"/>
              <w:bottom w:val="single" w:sz="4" w:space="0" w:color="auto"/>
              <w:right w:val="single" w:sz="4" w:space="0" w:color="auto"/>
            </w:tcBorders>
            <w:vAlign w:val="center"/>
          </w:tcPr>
          <w:p w:rsidR="00C81B24" w:rsidRPr="00C81B24" w:rsidRDefault="00C81B24" w:rsidP="00CE5850">
            <w:pPr>
              <w:rPr>
                <w:sz w:val="20"/>
              </w:rPr>
            </w:pPr>
            <w:r w:rsidRPr="00C81B24">
              <w:rPr>
                <w:sz w:val="20"/>
              </w:rPr>
              <w:t>Indianapolis, IN-IL</w:t>
            </w:r>
          </w:p>
        </w:tc>
        <w:tc>
          <w:tcPr>
            <w:tcW w:w="1102"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3,049,092</w:t>
            </w:r>
          </w:p>
        </w:tc>
        <w:tc>
          <w:tcPr>
            <w:tcW w:w="1155"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3,335,590</w:t>
            </w:r>
          </w:p>
        </w:tc>
        <w:tc>
          <w:tcPr>
            <w:tcW w:w="979"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91%</w:t>
            </w:r>
          </w:p>
        </w:tc>
        <w:tc>
          <w:tcPr>
            <w:tcW w:w="635" w:type="dxa"/>
            <w:tcBorders>
              <w:top w:val="nil"/>
              <w:left w:val="nil"/>
              <w:bottom w:val="single" w:sz="4" w:space="0" w:color="auto"/>
              <w:right w:val="single" w:sz="4" w:space="0" w:color="auto"/>
            </w:tcBorders>
            <w:noWrap/>
            <w:vAlign w:val="bottom"/>
          </w:tcPr>
          <w:p w:rsidR="00C81B24" w:rsidRPr="00C81B24" w:rsidRDefault="00C81B24" w:rsidP="00CE5850">
            <w:pPr>
              <w:rPr>
                <w:sz w:val="20"/>
              </w:rPr>
            </w:pPr>
            <w:r w:rsidRPr="00C81B24">
              <w:rPr>
                <w:sz w:val="20"/>
              </w:rPr>
              <w:t>3221</w:t>
            </w:r>
          </w:p>
        </w:tc>
        <w:tc>
          <w:tcPr>
            <w:tcW w:w="536"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3135</w:t>
            </w:r>
          </w:p>
        </w:tc>
        <w:tc>
          <w:tcPr>
            <w:tcW w:w="736"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187.73</w:t>
            </w:r>
          </w:p>
        </w:tc>
      </w:tr>
      <w:tr w:rsidR="00C81B24" w:rsidRPr="00C81B24" w:rsidTr="00526AD9">
        <w:trPr>
          <w:trHeight w:val="255"/>
          <w:jc w:val="center"/>
        </w:trPr>
        <w:tc>
          <w:tcPr>
            <w:tcW w:w="554" w:type="dxa"/>
            <w:tcBorders>
              <w:top w:val="nil"/>
              <w:left w:val="single" w:sz="4" w:space="0" w:color="auto"/>
              <w:bottom w:val="single" w:sz="4" w:space="0" w:color="auto"/>
              <w:right w:val="single" w:sz="4" w:space="0" w:color="auto"/>
            </w:tcBorders>
            <w:vAlign w:val="bottom"/>
          </w:tcPr>
          <w:p w:rsidR="00C81B24" w:rsidRPr="00C81B24" w:rsidRDefault="00C81B24" w:rsidP="00CE5850">
            <w:pPr>
              <w:rPr>
                <w:sz w:val="20"/>
              </w:rPr>
            </w:pPr>
            <w:r w:rsidRPr="00C81B24">
              <w:rPr>
                <w:sz w:val="20"/>
              </w:rPr>
              <w:t>101</w:t>
            </w:r>
          </w:p>
        </w:tc>
        <w:tc>
          <w:tcPr>
            <w:tcW w:w="456" w:type="dxa"/>
            <w:tcBorders>
              <w:top w:val="nil"/>
              <w:left w:val="single" w:sz="4" w:space="0" w:color="auto"/>
              <w:bottom w:val="single" w:sz="4" w:space="0" w:color="auto"/>
              <w:right w:val="single" w:sz="4" w:space="0" w:color="auto"/>
            </w:tcBorders>
            <w:vAlign w:val="center"/>
          </w:tcPr>
          <w:p w:rsidR="00C81B24" w:rsidRPr="00C81B24" w:rsidRDefault="00C81B24" w:rsidP="00CE5850">
            <w:pPr>
              <w:rPr>
                <w:sz w:val="20"/>
              </w:rPr>
            </w:pPr>
            <w:r w:rsidRPr="00C81B24">
              <w:rPr>
                <w:sz w:val="20"/>
              </w:rPr>
              <w:t>116</w:t>
            </w:r>
          </w:p>
        </w:tc>
        <w:tc>
          <w:tcPr>
            <w:tcW w:w="4012" w:type="dxa"/>
            <w:tcBorders>
              <w:top w:val="nil"/>
              <w:left w:val="nil"/>
              <w:bottom w:val="single" w:sz="4" w:space="0" w:color="auto"/>
              <w:right w:val="single" w:sz="4" w:space="0" w:color="auto"/>
            </w:tcBorders>
            <w:vAlign w:val="center"/>
          </w:tcPr>
          <w:p w:rsidR="00C81B24" w:rsidRPr="00C81B24" w:rsidRDefault="00C81B24" w:rsidP="00CE5850">
            <w:pPr>
              <w:rPr>
                <w:sz w:val="20"/>
              </w:rPr>
            </w:pPr>
            <w:r w:rsidRPr="00C81B24">
              <w:rPr>
                <w:sz w:val="20"/>
                <w:lang w:val="fr-FR"/>
              </w:rPr>
              <w:t>Sioux Falls, SD-IA-MN-NE</w:t>
            </w:r>
          </w:p>
        </w:tc>
        <w:tc>
          <w:tcPr>
            <w:tcW w:w="1102"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506,574</w:t>
            </w:r>
          </w:p>
        </w:tc>
        <w:tc>
          <w:tcPr>
            <w:tcW w:w="1155"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558,647</w:t>
            </w:r>
          </w:p>
        </w:tc>
        <w:tc>
          <w:tcPr>
            <w:tcW w:w="979"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91%</w:t>
            </w:r>
          </w:p>
        </w:tc>
        <w:tc>
          <w:tcPr>
            <w:tcW w:w="635" w:type="dxa"/>
            <w:tcBorders>
              <w:top w:val="nil"/>
              <w:left w:val="nil"/>
              <w:bottom w:val="single" w:sz="4" w:space="0" w:color="auto"/>
              <w:right w:val="single" w:sz="4" w:space="0" w:color="auto"/>
            </w:tcBorders>
            <w:noWrap/>
            <w:vAlign w:val="bottom"/>
          </w:tcPr>
          <w:p w:rsidR="00C81B24" w:rsidRPr="00C81B24" w:rsidRDefault="00C81B24" w:rsidP="00CE5850">
            <w:pPr>
              <w:rPr>
                <w:sz w:val="20"/>
              </w:rPr>
            </w:pPr>
            <w:r w:rsidRPr="00C81B24">
              <w:rPr>
                <w:sz w:val="20"/>
              </w:rPr>
              <w:t>5275</w:t>
            </w:r>
          </w:p>
        </w:tc>
        <w:tc>
          <w:tcPr>
            <w:tcW w:w="536"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5160</w:t>
            </w:r>
          </w:p>
        </w:tc>
        <w:tc>
          <w:tcPr>
            <w:tcW w:w="736"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16.58</w:t>
            </w:r>
          </w:p>
        </w:tc>
      </w:tr>
      <w:tr w:rsidR="00C81B24" w:rsidRPr="00C81B24" w:rsidTr="00526AD9">
        <w:trPr>
          <w:trHeight w:val="255"/>
          <w:jc w:val="center"/>
        </w:trPr>
        <w:tc>
          <w:tcPr>
            <w:tcW w:w="554" w:type="dxa"/>
            <w:tcBorders>
              <w:top w:val="nil"/>
              <w:left w:val="single" w:sz="4" w:space="0" w:color="auto"/>
              <w:bottom w:val="single" w:sz="4" w:space="0" w:color="auto"/>
              <w:right w:val="single" w:sz="4" w:space="0" w:color="auto"/>
            </w:tcBorders>
            <w:vAlign w:val="bottom"/>
          </w:tcPr>
          <w:p w:rsidR="00C81B24" w:rsidRPr="00C81B24" w:rsidRDefault="00C81B24" w:rsidP="00CE5850">
            <w:pPr>
              <w:rPr>
                <w:sz w:val="20"/>
              </w:rPr>
            </w:pPr>
            <w:r w:rsidRPr="00C81B24">
              <w:rPr>
                <w:sz w:val="20"/>
              </w:rPr>
              <w:t>102</w:t>
            </w:r>
          </w:p>
        </w:tc>
        <w:tc>
          <w:tcPr>
            <w:tcW w:w="456" w:type="dxa"/>
            <w:tcBorders>
              <w:top w:val="nil"/>
              <w:left w:val="single" w:sz="4" w:space="0" w:color="auto"/>
              <w:bottom w:val="single" w:sz="4" w:space="0" w:color="auto"/>
              <w:right w:val="single" w:sz="4" w:space="0" w:color="auto"/>
            </w:tcBorders>
            <w:vAlign w:val="center"/>
          </w:tcPr>
          <w:p w:rsidR="00C81B24" w:rsidRPr="00C81B24" w:rsidRDefault="00C81B24" w:rsidP="00CE5850">
            <w:pPr>
              <w:rPr>
                <w:sz w:val="20"/>
              </w:rPr>
            </w:pPr>
            <w:r w:rsidRPr="00C81B24">
              <w:rPr>
                <w:sz w:val="20"/>
              </w:rPr>
              <w:t>152</w:t>
            </w:r>
          </w:p>
        </w:tc>
        <w:tc>
          <w:tcPr>
            <w:tcW w:w="4012" w:type="dxa"/>
            <w:tcBorders>
              <w:top w:val="nil"/>
              <w:left w:val="nil"/>
              <w:bottom w:val="single" w:sz="4" w:space="0" w:color="auto"/>
              <w:right w:val="single" w:sz="4" w:space="0" w:color="auto"/>
            </w:tcBorders>
            <w:vAlign w:val="center"/>
          </w:tcPr>
          <w:p w:rsidR="00C81B24" w:rsidRPr="00C81B24" w:rsidRDefault="00C81B24" w:rsidP="00CE5850">
            <w:pPr>
              <w:rPr>
                <w:sz w:val="20"/>
                <w:lang w:val="sv-SE"/>
              </w:rPr>
            </w:pPr>
            <w:r w:rsidRPr="00C81B24">
              <w:rPr>
                <w:sz w:val="20"/>
                <w:lang w:val="sv-SE"/>
              </w:rPr>
              <w:t>Salt Lake City-Ogden, UT-ID</w:t>
            </w:r>
          </w:p>
        </w:tc>
        <w:tc>
          <w:tcPr>
            <w:tcW w:w="1102"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2,316,352</w:t>
            </w:r>
          </w:p>
        </w:tc>
        <w:tc>
          <w:tcPr>
            <w:tcW w:w="1155"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2,558,128</w:t>
            </w:r>
          </w:p>
        </w:tc>
        <w:tc>
          <w:tcPr>
            <w:tcW w:w="979"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91%</w:t>
            </w:r>
          </w:p>
        </w:tc>
        <w:tc>
          <w:tcPr>
            <w:tcW w:w="635" w:type="dxa"/>
            <w:tcBorders>
              <w:top w:val="nil"/>
              <w:left w:val="nil"/>
              <w:bottom w:val="single" w:sz="4" w:space="0" w:color="auto"/>
              <w:right w:val="single" w:sz="4" w:space="0" w:color="auto"/>
            </w:tcBorders>
            <w:noWrap/>
            <w:vAlign w:val="bottom"/>
          </w:tcPr>
          <w:p w:rsidR="00C81B24" w:rsidRPr="00C81B24" w:rsidRDefault="00C81B24" w:rsidP="00CE5850">
            <w:pPr>
              <w:rPr>
                <w:sz w:val="20"/>
              </w:rPr>
            </w:pPr>
            <w:r w:rsidRPr="00C81B24">
              <w:rPr>
                <w:sz w:val="20"/>
              </w:rPr>
              <w:t>2453</w:t>
            </w:r>
          </w:p>
        </w:tc>
        <w:tc>
          <w:tcPr>
            <w:tcW w:w="536"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2333</w:t>
            </w:r>
          </w:p>
        </w:tc>
        <w:tc>
          <w:tcPr>
            <w:tcW w:w="736"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45.48</w:t>
            </w:r>
          </w:p>
        </w:tc>
      </w:tr>
      <w:tr w:rsidR="00C81B24" w:rsidRPr="00C81B24" w:rsidTr="00526AD9">
        <w:trPr>
          <w:trHeight w:val="255"/>
          <w:jc w:val="center"/>
        </w:trPr>
        <w:tc>
          <w:tcPr>
            <w:tcW w:w="554" w:type="dxa"/>
            <w:tcBorders>
              <w:top w:val="nil"/>
              <w:left w:val="single" w:sz="4" w:space="0" w:color="auto"/>
              <w:bottom w:val="single" w:sz="4" w:space="0" w:color="auto"/>
              <w:right w:val="single" w:sz="4" w:space="0" w:color="auto"/>
            </w:tcBorders>
            <w:vAlign w:val="bottom"/>
          </w:tcPr>
          <w:p w:rsidR="00C81B24" w:rsidRPr="00C81B24" w:rsidRDefault="00C81B24" w:rsidP="00CE5850">
            <w:pPr>
              <w:rPr>
                <w:sz w:val="20"/>
              </w:rPr>
            </w:pPr>
            <w:r w:rsidRPr="00C81B24">
              <w:rPr>
                <w:sz w:val="20"/>
              </w:rPr>
              <w:t>103</w:t>
            </w:r>
          </w:p>
        </w:tc>
        <w:tc>
          <w:tcPr>
            <w:tcW w:w="456" w:type="dxa"/>
            <w:tcBorders>
              <w:top w:val="nil"/>
              <w:left w:val="single" w:sz="4" w:space="0" w:color="auto"/>
              <w:bottom w:val="single" w:sz="4" w:space="0" w:color="auto"/>
              <w:right w:val="single" w:sz="4" w:space="0" w:color="auto"/>
            </w:tcBorders>
            <w:vAlign w:val="center"/>
          </w:tcPr>
          <w:p w:rsidR="00C81B24" w:rsidRPr="00C81B24" w:rsidRDefault="00C81B24" w:rsidP="00CE5850">
            <w:pPr>
              <w:rPr>
                <w:sz w:val="20"/>
              </w:rPr>
            </w:pPr>
            <w:r w:rsidRPr="00C81B24">
              <w:rPr>
                <w:sz w:val="20"/>
              </w:rPr>
              <w:t>167</w:t>
            </w:r>
          </w:p>
        </w:tc>
        <w:tc>
          <w:tcPr>
            <w:tcW w:w="4012" w:type="dxa"/>
            <w:tcBorders>
              <w:top w:val="nil"/>
              <w:left w:val="nil"/>
              <w:bottom w:val="single" w:sz="4" w:space="0" w:color="auto"/>
              <w:right w:val="single" w:sz="4" w:space="0" w:color="auto"/>
            </w:tcBorders>
            <w:vAlign w:val="center"/>
          </w:tcPr>
          <w:p w:rsidR="00C81B24" w:rsidRPr="00C81B24" w:rsidRDefault="00C81B24" w:rsidP="00CE5850">
            <w:pPr>
              <w:rPr>
                <w:sz w:val="20"/>
              </w:rPr>
            </w:pPr>
            <w:r w:rsidRPr="00C81B24">
              <w:rPr>
                <w:sz w:val="20"/>
              </w:rPr>
              <w:t>Portland-Salem, OR-WA</w:t>
            </w:r>
          </w:p>
        </w:tc>
        <w:tc>
          <w:tcPr>
            <w:tcW w:w="1102"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3,012,676</w:t>
            </w:r>
          </w:p>
        </w:tc>
        <w:tc>
          <w:tcPr>
            <w:tcW w:w="1155"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3,311,677</w:t>
            </w:r>
          </w:p>
        </w:tc>
        <w:tc>
          <w:tcPr>
            <w:tcW w:w="979"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91%</w:t>
            </w:r>
          </w:p>
        </w:tc>
        <w:tc>
          <w:tcPr>
            <w:tcW w:w="635" w:type="dxa"/>
            <w:tcBorders>
              <w:top w:val="nil"/>
              <w:left w:val="nil"/>
              <w:bottom w:val="single" w:sz="4" w:space="0" w:color="auto"/>
              <w:right w:val="single" w:sz="4" w:space="0" w:color="auto"/>
            </w:tcBorders>
            <w:noWrap/>
            <w:vAlign w:val="bottom"/>
          </w:tcPr>
          <w:p w:rsidR="00C81B24" w:rsidRPr="00C81B24" w:rsidRDefault="00C81B24" w:rsidP="00CE5850">
            <w:pPr>
              <w:rPr>
                <w:sz w:val="20"/>
              </w:rPr>
            </w:pPr>
            <w:r w:rsidRPr="00C81B24">
              <w:rPr>
                <w:sz w:val="20"/>
              </w:rPr>
              <w:t>2631</w:t>
            </w:r>
          </w:p>
        </w:tc>
        <w:tc>
          <w:tcPr>
            <w:tcW w:w="536"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2546</w:t>
            </w:r>
          </w:p>
        </w:tc>
        <w:tc>
          <w:tcPr>
            <w:tcW w:w="736"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88.54</w:t>
            </w:r>
          </w:p>
        </w:tc>
      </w:tr>
      <w:tr w:rsidR="00C81B24" w:rsidRPr="00C81B24" w:rsidTr="00526AD9">
        <w:trPr>
          <w:trHeight w:val="255"/>
          <w:jc w:val="center"/>
        </w:trPr>
        <w:tc>
          <w:tcPr>
            <w:tcW w:w="554" w:type="dxa"/>
            <w:tcBorders>
              <w:top w:val="nil"/>
              <w:left w:val="single" w:sz="4" w:space="0" w:color="auto"/>
              <w:bottom w:val="single" w:sz="4" w:space="0" w:color="auto"/>
              <w:right w:val="single" w:sz="4" w:space="0" w:color="auto"/>
            </w:tcBorders>
            <w:vAlign w:val="bottom"/>
          </w:tcPr>
          <w:p w:rsidR="00C81B24" w:rsidRPr="00C81B24" w:rsidRDefault="00C81B24" w:rsidP="00CE5850">
            <w:pPr>
              <w:rPr>
                <w:sz w:val="20"/>
              </w:rPr>
            </w:pPr>
            <w:r w:rsidRPr="00C81B24">
              <w:rPr>
                <w:sz w:val="20"/>
              </w:rPr>
              <w:t>104</w:t>
            </w:r>
          </w:p>
        </w:tc>
        <w:tc>
          <w:tcPr>
            <w:tcW w:w="456" w:type="dxa"/>
            <w:tcBorders>
              <w:top w:val="nil"/>
              <w:left w:val="single" w:sz="4" w:space="0" w:color="auto"/>
              <w:bottom w:val="single" w:sz="4" w:space="0" w:color="auto"/>
              <w:right w:val="single" w:sz="4" w:space="0" w:color="auto"/>
            </w:tcBorders>
            <w:vAlign w:val="center"/>
          </w:tcPr>
          <w:p w:rsidR="00C81B24" w:rsidRPr="00C81B24" w:rsidRDefault="00C81B24" w:rsidP="00CE5850">
            <w:pPr>
              <w:rPr>
                <w:sz w:val="20"/>
              </w:rPr>
            </w:pPr>
            <w:r w:rsidRPr="00C81B24">
              <w:rPr>
                <w:sz w:val="20"/>
              </w:rPr>
              <w:t>9</w:t>
            </w:r>
          </w:p>
        </w:tc>
        <w:tc>
          <w:tcPr>
            <w:tcW w:w="4012" w:type="dxa"/>
            <w:tcBorders>
              <w:top w:val="nil"/>
              <w:left w:val="nil"/>
              <w:bottom w:val="single" w:sz="4" w:space="0" w:color="auto"/>
              <w:right w:val="single" w:sz="4" w:space="0" w:color="auto"/>
            </w:tcBorders>
            <w:vAlign w:val="center"/>
          </w:tcPr>
          <w:p w:rsidR="00C81B24" w:rsidRPr="00C81B24" w:rsidRDefault="00C81B24" w:rsidP="00CE5850">
            <w:pPr>
              <w:rPr>
                <w:sz w:val="20"/>
              </w:rPr>
            </w:pPr>
            <w:r w:rsidRPr="00C81B24">
              <w:rPr>
                <w:sz w:val="20"/>
              </w:rPr>
              <w:t>State College, PA</w:t>
            </w:r>
          </w:p>
        </w:tc>
        <w:tc>
          <w:tcPr>
            <w:tcW w:w="1102"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731,279</w:t>
            </w:r>
          </w:p>
        </w:tc>
        <w:tc>
          <w:tcPr>
            <w:tcW w:w="1155"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808,730</w:t>
            </w:r>
          </w:p>
        </w:tc>
        <w:tc>
          <w:tcPr>
            <w:tcW w:w="979"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90%</w:t>
            </w:r>
          </w:p>
        </w:tc>
        <w:tc>
          <w:tcPr>
            <w:tcW w:w="635" w:type="dxa"/>
            <w:tcBorders>
              <w:top w:val="nil"/>
              <w:left w:val="nil"/>
              <w:bottom w:val="single" w:sz="4" w:space="0" w:color="auto"/>
              <w:right w:val="single" w:sz="4" w:space="0" w:color="auto"/>
            </w:tcBorders>
            <w:noWrap/>
            <w:vAlign w:val="bottom"/>
          </w:tcPr>
          <w:p w:rsidR="00C81B24" w:rsidRPr="00C81B24" w:rsidRDefault="00C81B24" w:rsidP="00CE5850">
            <w:pPr>
              <w:rPr>
                <w:sz w:val="20"/>
              </w:rPr>
            </w:pPr>
            <w:r w:rsidRPr="00C81B24">
              <w:rPr>
                <w:sz w:val="20"/>
              </w:rPr>
              <w:t>4202</w:t>
            </w:r>
          </w:p>
        </w:tc>
        <w:tc>
          <w:tcPr>
            <w:tcW w:w="536"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4116</w:t>
            </w:r>
          </w:p>
        </w:tc>
        <w:tc>
          <w:tcPr>
            <w:tcW w:w="736"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92.77</w:t>
            </w:r>
          </w:p>
        </w:tc>
      </w:tr>
      <w:tr w:rsidR="00C81B24" w:rsidRPr="00C81B24" w:rsidTr="00526AD9">
        <w:trPr>
          <w:trHeight w:val="255"/>
          <w:jc w:val="center"/>
        </w:trPr>
        <w:tc>
          <w:tcPr>
            <w:tcW w:w="554" w:type="dxa"/>
            <w:tcBorders>
              <w:top w:val="nil"/>
              <w:left w:val="single" w:sz="4" w:space="0" w:color="auto"/>
              <w:bottom w:val="single" w:sz="4" w:space="0" w:color="auto"/>
              <w:right w:val="single" w:sz="4" w:space="0" w:color="auto"/>
            </w:tcBorders>
            <w:vAlign w:val="bottom"/>
          </w:tcPr>
          <w:p w:rsidR="00C81B24" w:rsidRPr="00C81B24" w:rsidRDefault="00C81B24" w:rsidP="00CE5850">
            <w:pPr>
              <w:rPr>
                <w:sz w:val="20"/>
              </w:rPr>
            </w:pPr>
            <w:r w:rsidRPr="00C81B24">
              <w:rPr>
                <w:sz w:val="20"/>
              </w:rPr>
              <w:t>105</w:t>
            </w:r>
          </w:p>
        </w:tc>
        <w:tc>
          <w:tcPr>
            <w:tcW w:w="456" w:type="dxa"/>
            <w:tcBorders>
              <w:top w:val="nil"/>
              <w:left w:val="single" w:sz="4" w:space="0" w:color="auto"/>
              <w:bottom w:val="single" w:sz="4" w:space="0" w:color="auto"/>
              <w:right w:val="single" w:sz="4" w:space="0" w:color="auto"/>
            </w:tcBorders>
            <w:vAlign w:val="center"/>
          </w:tcPr>
          <w:p w:rsidR="00C81B24" w:rsidRPr="00C81B24" w:rsidRDefault="00C81B24" w:rsidP="00CE5850">
            <w:pPr>
              <w:rPr>
                <w:sz w:val="20"/>
              </w:rPr>
            </w:pPr>
            <w:r w:rsidRPr="00C81B24">
              <w:rPr>
                <w:sz w:val="20"/>
              </w:rPr>
              <w:t>16</w:t>
            </w:r>
          </w:p>
        </w:tc>
        <w:tc>
          <w:tcPr>
            <w:tcW w:w="4012" w:type="dxa"/>
            <w:tcBorders>
              <w:top w:val="nil"/>
              <w:left w:val="nil"/>
              <w:bottom w:val="single" w:sz="4" w:space="0" w:color="auto"/>
              <w:right w:val="single" w:sz="4" w:space="0" w:color="auto"/>
            </w:tcBorders>
            <w:vAlign w:val="center"/>
          </w:tcPr>
          <w:p w:rsidR="00C81B24" w:rsidRPr="00C81B24" w:rsidRDefault="00C81B24" w:rsidP="00CE5850">
            <w:pPr>
              <w:rPr>
                <w:sz w:val="20"/>
              </w:rPr>
            </w:pPr>
            <w:r w:rsidRPr="00C81B24">
              <w:rPr>
                <w:sz w:val="20"/>
              </w:rPr>
              <w:t>Staunton, VA-WV</w:t>
            </w:r>
          </w:p>
        </w:tc>
        <w:tc>
          <w:tcPr>
            <w:tcW w:w="1102"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324,384</w:t>
            </w:r>
          </w:p>
        </w:tc>
        <w:tc>
          <w:tcPr>
            <w:tcW w:w="1155"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360,886</w:t>
            </w:r>
          </w:p>
        </w:tc>
        <w:tc>
          <w:tcPr>
            <w:tcW w:w="979"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90%</w:t>
            </w:r>
          </w:p>
        </w:tc>
        <w:tc>
          <w:tcPr>
            <w:tcW w:w="635" w:type="dxa"/>
            <w:tcBorders>
              <w:top w:val="nil"/>
              <w:left w:val="nil"/>
              <w:bottom w:val="single" w:sz="4" w:space="0" w:color="auto"/>
              <w:right w:val="single" w:sz="4" w:space="0" w:color="auto"/>
            </w:tcBorders>
            <w:noWrap/>
            <w:vAlign w:val="bottom"/>
          </w:tcPr>
          <w:p w:rsidR="00C81B24" w:rsidRPr="00C81B24" w:rsidRDefault="00C81B24" w:rsidP="00CE5850">
            <w:pPr>
              <w:rPr>
                <w:sz w:val="20"/>
              </w:rPr>
            </w:pPr>
            <w:r w:rsidRPr="00C81B24">
              <w:rPr>
                <w:sz w:val="20"/>
              </w:rPr>
              <w:t>2833</w:t>
            </w:r>
          </w:p>
        </w:tc>
        <w:tc>
          <w:tcPr>
            <w:tcW w:w="536"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2886</w:t>
            </w:r>
          </w:p>
        </w:tc>
        <w:tc>
          <w:tcPr>
            <w:tcW w:w="736"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55.30</w:t>
            </w:r>
          </w:p>
        </w:tc>
      </w:tr>
      <w:tr w:rsidR="00C81B24" w:rsidRPr="00C81B24" w:rsidTr="00526AD9">
        <w:trPr>
          <w:trHeight w:val="255"/>
          <w:jc w:val="center"/>
        </w:trPr>
        <w:tc>
          <w:tcPr>
            <w:tcW w:w="554" w:type="dxa"/>
            <w:tcBorders>
              <w:top w:val="nil"/>
              <w:left w:val="single" w:sz="4" w:space="0" w:color="auto"/>
              <w:bottom w:val="single" w:sz="4" w:space="0" w:color="auto"/>
              <w:right w:val="single" w:sz="4" w:space="0" w:color="auto"/>
            </w:tcBorders>
            <w:vAlign w:val="bottom"/>
          </w:tcPr>
          <w:p w:rsidR="00C81B24" w:rsidRPr="00C81B24" w:rsidRDefault="00C81B24" w:rsidP="00CE5850">
            <w:pPr>
              <w:rPr>
                <w:sz w:val="20"/>
              </w:rPr>
            </w:pPr>
            <w:r w:rsidRPr="00C81B24">
              <w:rPr>
                <w:sz w:val="20"/>
              </w:rPr>
              <w:t>106</w:t>
            </w:r>
          </w:p>
        </w:tc>
        <w:tc>
          <w:tcPr>
            <w:tcW w:w="456" w:type="dxa"/>
            <w:tcBorders>
              <w:top w:val="nil"/>
              <w:left w:val="single" w:sz="4" w:space="0" w:color="auto"/>
              <w:bottom w:val="single" w:sz="4" w:space="0" w:color="auto"/>
              <w:right w:val="single" w:sz="4" w:space="0" w:color="auto"/>
            </w:tcBorders>
            <w:vAlign w:val="center"/>
          </w:tcPr>
          <w:p w:rsidR="00C81B24" w:rsidRPr="00C81B24" w:rsidRDefault="00C81B24" w:rsidP="00CE5850">
            <w:pPr>
              <w:rPr>
                <w:sz w:val="20"/>
              </w:rPr>
            </w:pPr>
            <w:r w:rsidRPr="00C81B24">
              <w:rPr>
                <w:sz w:val="20"/>
              </w:rPr>
              <w:t>66</w:t>
            </w:r>
          </w:p>
        </w:tc>
        <w:tc>
          <w:tcPr>
            <w:tcW w:w="4012" w:type="dxa"/>
            <w:tcBorders>
              <w:top w:val="nil"/>
              <w:left w:val="nil"/>
              <w:bottom w:val="single" w:sz="4" w:space="0" w:color="auto"/>
              <w:right w:val="single" w:sz="4" w:space="0" w:color="auto"/>
            </w:tcBorders>
            <w:vAlign w:val="center"/>
          </w:tcPr>
          <w:p w:rsidR="00C81B24" w:rsidRPr="00C81B24" w:rsidRDefault="00C81B24" w:rsidP="00CE5850">
            <w:pPr>
              <w:rPr>
                <w:sz w:val="20"/>
              </w:rPr>
            </w:pPr>
            <w:r w:rsidRPr="00C81B24">
              <w:rPr>
                <w:sz w:val="20"/>
              </w:rPr>
              <w:t>Fort Wayne, IN</w:t>
            </w:r>
          </w:p>
        </w:tc>
        <w:tc>
          <w:tcPr>
            <w:tcW w:w="1102"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673,186</w:t>
            </w:r>
          </w:p>
        </w:tc>
        <w:tc>
          <w:tcPr>
            <w:tcW w:w="1155"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748,680</w:t>
            </w:r>
          </w:p>
        </w:tc>
        <w:tc>
          <w:tcPr>
            <w:tcW w:w="979"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90%</w:t>
            </w:r>
          </w:p>
        </w:tc>
        <w:tc>
          <w:tcPr>
            <w:tcW w:w="635" w:type="dxa"/>
            <w:tcBorders>
              <w:top w:val="nil"/>
              <w:left w:val="nil"/>
              <w:bottom w:val="single" w:sz="4" w:space="0" w:color="auto"/>
              <w:right w:val="single" w:sz="4" w:space="0" w:color="auto"/>
            </w:tcBorders>
            <w:noWrap/>
            <w:vAlign w:val="bottom"/>
          </w:tcPr>
          <w:p w:rsidR="00C81B24" w:rsidRPr="00C81B24" w:rsidRDefault="00C81B24" w:rsidP="00CE5850">
            <w:pPr>
              <w:rPr>
                <w:sz w:val="20"/>
              </w:rPr>
            </w:pPr>
            <w:r w:rsidRPr="00C81B24">
              <w:rPr>
                <w:sz w:val="20"/>
              </w:rPr>
              <w:t>3653</w:t>
            </w:r>
          </w:p>
        </w:tc>
        <w:tc>
          <w:tcPr>
            <w:tcW w:w="536"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3563</w:t>
            </w:r>
          </w:p>
        </w:tc>
        <w:tc>
          <w:tcPr>
            <w:tcW w:w="736"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164.88</w:t>
            </w:r>
          </w:p>
        </w:tc>
      </w:tr>
      <w:tr w:rsidR="00C81B24" w:rsidRPr="00C81B24" w:rsidTr="00526AD9">
        <w:trPr>
          <w:trHeight w:val="255"/>
          <w:jc w:val="center"/>
        </w:trPr>
        <w:tc>
          <w:tcPr>
            <w:tcW w:w="554" w:type="dxa"/>
            <w:tcBorders>
              <w:top w:val="nil"/>
              <w:left w:val="single" w:sz="4" w:space="0" w:color="auto"/>
              <w:bottom w:val="single" w:sz="4" w:space="0" w:color="auto"/>
              <w:right w:val="single" w:sz="4" w:space="0" w:color="auto"/>
            </w:tcBorders>
            <w:vAlign w:val="bottom"/>
          </w:tcPr>
          <w:p w:rsidR="00C81B24" w:rsidRPr="00C81B24" w:rsidRDefault="00C81B24" w:rsidP="00CE5850">
            <w:pPr>
              <w:rPr>
                <w:sz w:val="20"/>
              </w:rPr>
            </w:pPr>
            <w:r w:rsidRPr="00C81B24">
              <w:rPr>
                <w:sz w:val="20"/>
              </w:rPr>
              <w:t>107</w:t>
            </w:r>
          </w:p>
        </w:tc>
        <w:tc>
          <w:tcPr>
            <w:tcW w:w="456" w:type="dxa"/>
            <w:tcBorders>
              <w:top w:val="nil"/>
              <w:left w:val="single" w:sz="4" w:space="0" w:color="auto"/>
              <w:bottom w:val="single" w:sz="4" w:space="0" w:color="auto"/>
              <w:right w:val="single" w:sz="4" w:space="0" w:color="auto"/>
            </w:tcBorders>
            <w:vAlign w:val="center"/>
          </w:tcPr>
          <w:p w:rsidR="00C81B24" w:rsidRPr="00C81B24" w:rsidRDefault="00C81B24" w:rsidP="00CE5850">
            <w:pPr>
              <w:rPr>
                <w:sz w:val="20"/>
              </w:rPr>
            </w:pPr>
            <w:r w:rsidRPr="00C81B24">
              <w:rPr>
                <w:sz w:val="20"/>
              </w:rPr>
              <w:t>98</w:t>
            </w:r>
          </w:p>
        </w:tc>
        <w:tc>
          <w:tcPr>
            <w:tcW w:w="4012" w:type="dxa"/>
            <w:tcBorders>
              <w:top w:val="nil"/>
              <w:left w:val="nil"/>
              <w:bottom w:val="single" w:sz="4" w:space="0" w:color="auto"/>
              <w:right w:val="single" w:sz="4" w:space="0" w:color="auto"/>
            </w:tcBorders>
            <w:vAlign w:val="center"/>
          </w:tcPr>
          <w:p w:rsidR="00C81B24" w:rsidRPr="00C81B24" w:rsidRDefault="00C81B24" w:rsidP="00CE5850">
            <w:pPr>
              <w:rPr>
                <w:sz w:val="20"/>
              </w:rPr>
            </w:pPr>
            <w:r w:rsidRPr="00C81B24">
              <w:rPr>
                <w:sz w:val="20"/>
              </w:rPr>
              <w:t>Columbia, MO</w:t>
            </w:r>
          </w:p>
        </w:tc>
        <w:tc>
          <w:tcPr>
            <w:tcW w:w="1102"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366,130</w:t>
            </w:r>
          </w:p>
        </w:tc>
        <w:tc>
          <w:tcPr>
            <w:tcW w:w="1155"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406,350</w:t>
            </w:r>
          </w:p>
        </w:tc>
        <w:tc>
          <w:tcPr>
            <w:tcW w:w="979"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90%</w:t>
            </w:r>
          </w:p>
        </w:tc>
        <w:tc>
          <w:tcPr>
            <w:tcW w:w="635" w:type="dxa"/>
            <w:tcBorders>
              <w:top w:val="nil"/>
              <w:left w:val="nil"/>
              <w:bottom w:val="single" w:sz="4" w:space="0" w:color="auto"/>
              <w:right w:val="single" w:sz="4" w:space="0" w:color="auto"/>
            </w:tcBorders>
            <w:noWrap/>
            <w:vAlign w:val="bottom"/>
          </w:tcPr>
          <w:p w:rsidR="00C81B24" w:rsidRPr="00C81B24" w:rsidRDefault="00C81B24" w:rsidP="00CE5850">
            <w:pPr>
              <w:rPr>
                <w:sz w:val="20"/>
              </w:rPr>
            </w:pPr>
            <w:r w:rsidRPr="00C81B24">
              <w:rPr>
                <w:sz w:val="20"/>
              </w:rPr>
              <w:t>3900</w:t>
            </w:r>
          </w:p>
        </w:tc>
        <w:tc>
          <w:tcPr>
            <w:tcW w:w="536"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3991</w:t>
            </w:r>
          </w:p>
        </w:tc>
        <w:tc>
          <w:tcPr>
            <w:tcW w:w="736"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64.65</w:t>
            </w:r>
          </w:p>
        </w:tc>
      </w:tr>
      <w:tr w:rsidR="00C81B24" w:rsidRPr="00C81B24" w:rsidTr="00526AD9">
        <w:trPr>
          <w:trHeight w:val="255"/>
          <w:jc w:val="center"/>
        </w:trPr>
        <w:tc>
          <w:tcPr>
            <w:tcW w:w="554" w:type="dxa"/>
            <w:tcBorders>
              <w:top w:val="nil"/>
              <w:left w:val="single" w:sz="4" w:space="0" w:color="auto"/>
              <w:bottom w:val="single" w:sz="4" w:space="0" w:color="auto"/>
              <w:right w:val="single" w:sz="4" w:space="0" w:color="auto"/>
            </w:tcBorders>
            <w:vAlign w:val="bottom"/>
          </w:tcPr>
          <w:p w:rsidR="00C81B24" w:rsidRPr="00C81B24" w:rsidRDefault="00C81B24" w:rsidP="00CE5850">
            <w:pPr>
              <w:rPr>
                <w:sz w:val="20"/>
              </w:rPr>
            </w:pPr>
            <w:r w:rsidRPr="00C81B24">
              <w:rPr>
                <w:sz w:val="20"/>
              </w:rPr>
              <w:t>108</w:t>
            </w:r>
          </w:p>
        </w:tc>
        <w:tc>
          <w:tcPr>
            <w:tcW w:w="456" w:type="dxa"/>
            <w:tcBorders>
              <w:top w:val="nil"/>
              <w:left w:val="single" w:sz="4" w:space="0" w:color="auto"/>
              <w:bottom w:val="single" w:sz="4" w:space="0" w:color="auto"/>
              <w:right w:val="single" w:sz="4" w:space="0" w:color="auto"/>
            </w:tcBorders>
            <w:vAlign w:val="center"/>
          </w:tcPr>
          <w:p w:rsidR="00C81B24" w:rsidRPr="00C81B24" w:rsidRDefault="00C81B24" w:rsidP="00CE5850">
            <w:pPr>
              <w:rPr>
                <w:sz w:val="20"/>
              </w:rPr>
            </w:pPr>
            <w:r w:rsidRPr="00C81B24">
              <w:rPr>
                <w:sz w:val="20"/>
              </w:rPr>
              <w:t>102</w:t>
            </w:r>
          </w:p>
        </w:tc>
        <w:tc>
          <w:tcPr>
            <w:tcW w:w="4012" w:type="dxa"/>
            <w:tcBorders>
              <w:top w:val="nil"/>
              <w:left w:val="nil"/>
              <w:bottom w:val="single" w:sz="4" w:space="0" w:color="auto"/>
              <w:right w:val="single" w:sz="4" w:space="0" w:color="auto"/>
            </w:tcBorders>
            <w:vAlign w:val="center"/>
          </w:tcPr>
          <w:p w:rsidR="00C81B24" w:rsidRPr="00C81B24" w:rsidRDefault="00C81B24" w:rsidP="00CE5850">
            <w:pPr>
              <w:rPr>
                <w:sz w:val="20"/>
              </w:rPr>
            </w:pPr>
            <w:r w:rsidRPr="00C81B24">
              <w:rPr>
                <w:sz w:val="20"/>
              </w:rPr>
              <w:t>Davenport-Moline-Rock Island, IA-IL</w:t>
            </w:r>
          </w:p>
        </w:tc>
        <w:tc>
          <w:tcPr>
            <w:tcW w:w="1102"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506,016</w:t>
            </w:r>
          </w:p>
        </w:tc>
        <w:tc>
          <w:tcPr>
            <w:tcW w:w="1155"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559,935</w:t>
            </w:r>
          </w:p>
        </w:tc>
        <w:tc>
          <w:tcPr>
            <w:tcW w:w="979"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90%</w:t>
            </w:r>
          </w:p>
        </w:tc>
        <w:tc>
          <w:tcPr>
            <w:tcW w:w="635" w:type="dxa"/>
            <w:tcBorders>
              <w:top w:val="nil"/>
              <w:left w:val="nil"/>
              <w:bottom w:val="single" w:sz="4" w:space="0" w:color="auto"/>
              <w:right w:val="single" w:sz="4" w:space="0" w:color="auto"/>
            </w:tcBorders>
            <w:noWrap/>
            <w:vAlign w:val="bottom"/>
          </w:tcPr>
          <w:p w:rsidR="00C81B24" w:rsidRPr="00C81B24" w:rsidRDefault="00C81B24" w:rsidP="00CE5850">
            <w:pPr>
              <w:rPr>
                <w:sz w:val="20"/>
              </w:rPr>
            </w:pPr>
            <w:r w:rsidRPr="00C81B24">
              <w:rPr>
                <w:sz w:val="20"/>
              </w:rPr>
              <w:t>2708</w:t>
            </w:r>
          </w:p>
        </w:tc>
        <w:tc>
          <w:tcPr>
            <w:tcW w:w="536"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2640</w:t>
            </w:r>
          </w:p>
        </w:tc>
        <w:tc>
          <w:tcPr>
            <w:tcW w:w="736"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110.49</w:t>
            </w:r>
          </w:p>
        </w:tc>
      </w:tr>
      <w:tr w:rsidR="00C81B24" w:rsidRPr="00C81B24" w:rsidTr="00526AD9">
        <w:trPr>
          <w:trHeight w:val="255"/>
          <w:jc w:val="center"/>
        </w:trPr>
        <w:tc>
          <w:tcPr>
            <w:tcW w:w="554" w:type="dxa"/>
            <w:tcBorders>
              <w:top w:val="nil"/>
              <w:left w:val="single" w:sz="4" w:space="0" w:color="auto"/>
              <w:bottom w:val="single" w:sz="4" w:space="0" w:color="auto"/>
              <w:right w:val="single" w:sz="4" w:space="0" w:color="auto"/>
            </w:tcBorders>
            <w:vAlign w:val="bottom"/>
          </w:tcPr>
          <w:p w:rsidR="00C81B24" w:rsidRPr="00C81B24" w:rsidRDefault="00C81B24" w:rsidP="00CE5850">
            <w:pPr>
              <w:rPr>
                <w:sz w:val="20"/>
              </w:rPr>
            </w:pPr>
            <w:r w:rsidRPr="00C81B24">
              <w:rPr>
                <w:sz w:val="20"/>
              </w:rPr>
              <w:t>109</w:t>
            </w:r>
          </w:p>
        </w:tc>
        <w:tc>
          <w:tcPr>
            <w:tcW w:w="456" w:type="dxa"/>
            <w:tcBorders>
              <w:top w:val="nil"/>
              <w:left w:val="single" w:sz="4" w:space="0" w:color="auto"/>
              <w:bottom w:val="single" w:sz="4" w:space="0" w:color="auto"/>
              <w:right w:val="single" w:sz="4" w:space="0" w:color="auto"/>
            </w:tcBorders>
            <w:vAlign w:val="center"/>
          </w:tcPr>
          <w:p w:rsidR="00C81B24" w:rsidRPr="00C81B24" w:rsidRDefault="00C81B24" w:rsidP="00CE5850">
            <w:pPr>
              <w:rPr>
                <w:sz w:val="20"/>
              </w:rPr>
            </w:pPr>
            <w:r w:rsidRPr="00C81B24">
              <w:rPr>
                <w:sz w:val="20"/>
              </w:rPr>
              <w:t>106</w:t>
            </w:r>
          </w:p>
        </w:tc>
        <w:tc>
          <w:tcPr>
            <w:tcW w:w="4012" w:type="dxa"/>
            <w:tcBorders>
              <w:top w:val="nil"/>
              <w:left w:val="nil"/>
              <w:bottom w:val="single" w:sz="4" w:space="0" w:color="auto"/>
              <w:right w:val="single" w:sz="4" w:space="0" w:color="auto"/>
            </w:tcBorders>
            <w:vAlign w:val="center"/>
          </w:tcPr>
          <w:p w:rsidR="00C81B24" w:rsidRPr="00C81B24" w:rsidRDefault="00C81B24" w:rsidP="00CE5850">
            <w:pPr>
              <w:rPr>
                <w:sz w:val="20"/>
              </w:rPr>
            </w:pPr>
            <w:r w:rsidRPr="00C81B24">
              <w:rPr>
                <w:sz w:val="20"/>
              </w:rPr>
              <w:t>Rochester, MN-IA-WI</w:t>
            </w:r>
          </w:p>
        </w:tc>
        <w:tc>
          <w:tcPr>
            <w:tcW w:w="1102"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307,686</w:t>
            </w:r>
          </w:p>
        </w:tc>
        <w:tc>
          <w:tcPr>
            <w:tcW w:w="1155"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341,710</w:t>
            </w:r>
          </w:p>
        </w:tc>
        <w:tc>
          <w:tcPr>
            <w:tcW w:w="979"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90%</w:t>
            </w:r>
          </w:p>
        </w:tc>
        <w:tc>
          <w:tcPr>
            <w:tcW w:w="635" w:type="dxa"/>
            <w:tcBorders>
              <w:top w:val="nil"/>
              <w:left w:val="nil"/>
              <w:bottom w:val="single" w:sz="4" w:space="0" w:color="auto"/>
              <w:right w:val="single" w:sz="4" w:space="0" w:color="auto"/>
            </w:tcBorders>
            <w:noWrap/>
            <w:vAlign w:val="bottom"/>
          </w:tcPr>
          <w:p w:rsidR="00C81B24" w:rsidRPr="00C81B24" w:rsidRDefault="00C81B24" w:rsidP="00CE5850">
            <w:pPr>
              <w:rPr>
                <w:sz w:val="20"/>
              </w:rPr>
            </w:pPr>
            <w:r w:rsidRPr="00C81B24">
              <w:rPr>
                <w:sz w:val="20"/>
              </w:rPr>
              <w:t>3550</w:t>
            </w:r>
          </w:p>
        </w:tc>
        <w:tc>
          <w:tcPr>
            <w:tcW w:w="536"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3528</w:t>
            </w:r>
          </w:p>
        </w:tc>
        <w:tc>
          <w:tcPr>
            <w:tcW w:w="736"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60.49</w:t>
            </w:r>
          </w:p>
        </w:tc>
      </w:tr>
      <w:tr w:rsidR="00C81B24" w:rsidRPr="00C81B24" w:rsidTr="00526AD9">
        <w:trPr>
          <w:trHeight w:val="255"/>
          <w:jc w:val="center"/>
        </w:trPr>
        <w:tc>
          <w:tcPr>
            <w:tcW w:w="554" w:type="dxa"/>
            <w:tcBorders>
              <w:top w:val="nil"/>
              <w:left w:val="single" w:sz="4" w:space="0" w:color="auto"/>
              <w:bottom w:val="single" w:sz="4" w:space="0" w:color="auto"/>
              <w:right w:val="single" w:sz="4" w:space="0" w:color="auto"/>
            </w:tcBorders>
            <w:vAlign w:val="bottom"/>
          </w:tcPr>
          <w:p w:rsidR="00C81B24" w:rsidRPr="00C81B24" w:rsidRDefault="00C81B24" w:rsidP="00CE5850">
            <w:pPr>
              <w:rPr>
                <w:sz w:val="20"/>
              </w:rPr>
            </w:pPr>
            <w:r w:rsidRPr="00C81B24">
              <w:rPr>
                <w:sz w:val="20"/>
              </w:rPr>
              <w:t>110</w:t>
            </w:r>
          </w:p>
        </w:tc>
        <w:tc>
          <w:tcPr>
            <w:tcW w:w="456" w:type="dxa"/>
            <w:tcBorders>
              <w:top w:val="nil"/>
              <w:left w:val="single" w:sz="4" w:space="0" w:color="auto"/>
              <w:bottom w:val="single" w:sz="4" w:space="0" w:color="auto"/>
              <w:right w:val="single" w:sz="4" w:space="0" w:color="auto"/>
            </w:tcBorders>
            <w:vAlign w:val="center"/>
          </w:tcPr>
          <w:p w:rsidR="00C81B24" w:rsidRPr="00C81B24" w:rsidRDefault="00C81B24" w:rsidP="00CE5850">
            <w:pPr>
              <w:rPr>
                <w:sz w:val="20"/>
              </w:rPr>
            </w:pPr>
            <w:r w:rsidRPr="00C81B24">
              <w:rPr>
                <w:sz w:val="20"/>
              </w:rPr>
              <w:t>118</w:t>
            </w:r>
          </w:p>
        </w:tc>
        <w:tc>
          <w:tcPr>
            <w:tcW w:w="4012" w:type="dxa"/>
            <w:tcBorders>
              <w:top w:val="nil"/>
              <w:left w:val="nil"/>
              <w:bottom w:val="single" w:sz="4" w:space="0" w:color="auto"/>
              <w:right w:val="single" w:sz="4" w:space="0" w:color="auto"/>
            </w:tcBorders>
            <w:vAlign w:val="center"/>
          </w:tcPr>
          <w:p w:rsidR="00C81B24" w:rsidRPr="00C81B24" w:rsidRDefault="00C81B24" w:rsidP="00CE5850">
            <w:pPr>
              <w:rPr>
                <w:sz w:val="20"/>
              </w:rPr>
            </w:pPr>
            <w:r w:rsidRPr="00C81B24">
              <w:rPr>
                <w:sz w:val="20"/>
              </w:rPr>
              <w:t>Omaha, NE-IA-MO</w:t>
            </w:r>
          </w:p>
        </w:tc>
        <w:tc>
          <w:tcPr>
            <w:tcW w:w="1102"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1,022,611</w:t>
            </w:r>
          </w:p>
        </w:tc>
        <w:tc>
          <w:tcPr>
            <w:tcW w:w="1155"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1,130,768</w:t>
            </w:r>
          </w:p>
        </w:tc>
        <w:tc>
          <w:tcPr>
            <w:tcW w:w="979"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90%</w:t>
            </w:r>
          </w:p>
        </w:tc>
        <w:tc>
          <w:tcPr>
            <w:tcW w:w="635" w:type="dxa"/>
            <w:tcBorders>
              <w:top w:val="nil"/>
              <w:left w:val="nil"/>
              <w:bottom w:val="single" w:sz="4" w:space="0" w:color="auto"/>
              <w:right w:val="single" w:sz="4" w:space="0" w:color="auto"/>
            </w:tcBorders>
            <w:noWrap/>
            <w:vAlign w:val="bottom"/>
          </w:tcPr>
          <w:p w:rsidR="00C81B24" w:rsidRPr="00C81B24" w:rsidRDefault="00C81B24" w:rsidP="00CE5850">
            <w:pPr>
              <w:rPr>
                <w:sz w:val="20"/>
              </w:rPr>
            </w:pPr>
            <w:r w:rsidRPr="00C81B24">
              <w:rPr>
                <w:sz w:val="20"/>
              </w:rPr>
              <w:t>3125</w:t>
            </w:r>
          </w:p>
        </w:tc>
        <w:tc>
          <w:tcPr>
            <w:tcW w:w="536"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2950</w:t>
            </w:r>
          </w:p>
        </w:tc>
        <w:tc>
          <w:tcPr>
            <w:tcW w:w="736"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68.03</w:t>
            </w:r>
          </w:p>
        </w:tc>
      </w:tr>
      <w:tr w:rsidR="00C81B24" w:rsidRPr="00C81B24" w:rsidTr="00526AD9">
        <w:trPr>
          <w:trHeight w:val="255"/>
          <w:jc w:val="center"/>
        </w:trPr>
        <w:tc>
          <w:tcPr>
            <w:tcW w:w="554" w:type="dxa"/>
            <w:tcBorders>
              <w:top w:val="nil"/>
              <w:left w:val="single" w:sz="4" w:space="0" w:color="auto"/>
              <w:bottom w:val="single" w:sz="4" w:space="0" w:color="auto"/>
              <w:right w:val="single" w:sz="4" w:space="0" w:color="auto"/>
            </w:tcBorders>
            <w:vAlign w:val="bottom"/>
          </w:tcPr>
          <w:p w:rsidR="00C81B24" w:rsidRPr="00C81B24" w:rsidRDefault="00C81B24" w:rsidP="00CE5850">
            <w:pPr>
              <w:rPr>
                <w:sz w:val="20"/>
              </w:rPr>
            </w:pPr>
            <w:r w:rsidRPr="00C81B24">
              <w:rPr>
                <w:sz w:val="20"/>
              </w:rPr>
              <w:t>111</w:t>
            </w:r>
          </w:p>
        </w:tc>
        <w:tc>
          <w:tcPr>
            <w:tcW w:w="456" w:type="dxa"/>
            <w:tcBorders>
              <w:top w:val="nil"/>
              <w:left w:val="single" w:sz="4" w:space="0" w:color="auto"/>
              <w:bottom w:val="single" w:sz="4" w:space="0" w:color="auto"/>
              <w:right w:val="single" w:sz="4" w:space="0" w:color="auto"/>
            </w:tcBorders>
            <w:vAlign w:val="center"/>
          </w:tcPr>
          <w:p w:rsidR="00C81B24" w:rsidRPr="00C81B24" w:rsidRDefault="00C81B24" w:rsidP="00CE5850">
            <w:pPr>
              <w:rPr>
                <w:sz w:val="20"/>
              </w:rPr>
            </w:pPr>
            <w:r w:rsidRPr="00C81B24">
              <w:rPr>
                <w:sz w:val="20"/>
              </w:rPr>
              <w:t>137</w:t>
            </w:r>
          </w:p>
        </w:tc>
        <w:tc>
          <w:tcPr>
            <w:tcW w:w="4012" w:type="dxa"/>
            <w:tcBorders>
              <w:top w:val="nil"/>
              <w:left w:val="nil"/>
              <w:bottom w:val="single" w:sz="4" w:space="0" w:color="auto"/>
              <w:right w:val="single" w:sz="4" w:space="0" w:color="auto"/>
            </w:tcBorders>
            <w:vAlign w:val="center"/>
          </w:tcPr>
          <w:p w:rsidR="00C81B24" w:rsidRPr="00C81B24" w:rsidRDefault="00C81B24" w:rsidP="00CE5850">
            <w:pPr>
              <w:rPr>
                <w:sz w:val="20"/>
              </w:rPr>
            </w:pPr>
            <w:r w:rsidRPr="00C81B24">
              <w:rPr>
                <w:sz w:val="20"/>
              </w:rPr>
              <w:t>Lubbock, TX</w:t>
            </w:r>
          </w:p>
        </w:tc>
        <w:tc>
          <w:tcPr>
            <w:tcW w:w="1102"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365,108</w:t>
            </w:r>
          </w:p>
        </w:tc>
        <w:tc>
          <w:tcPr>
            <w:tcW w:w="1155"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406,628</w:t>
            </w:r>
          </w:p>
        </w:tc>
        <w:tc>
          <w:tcPr>
            <w:tcW w:w="979"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90%</w:t>
            </w:r>
          </w:p>
        </w:tc>
        <w:tc>
          <w:tcPr>
            <w:tcW w:w="635" w:type="dxa"/>
            <w:tcBorders>
              <w:top w:val="nil"/>
              <w:left w:val="nil"/>
              <w:bottom w:val="single" w:sz="4" w:space="0" w:color="auto"/>
              <w:right w:val="single" w:sz="4" w:space="0" w:color="auto"/>
            </w:tcBorders>
            <w:noWrap/>
            <w:vAlign w:val="bottom"/>
          </w:tcPr>
          <w:p w:rsidR="00C81B24" w:rsidRPr="00C81B24" w:rsidRDefault="00C81B24" w:rsidP="00CE5850">
            <w:pPr>
              <w:rPr>
                <w:sz w:val="20"/>
              </w:rPr>
            </w:pPr>
            <w:r w:rsidRPr="00C81B24">
              <w:rPr>
                <w:sz w:val="20"/>
              </w:rPr>
              <w:t>2756</w:t>
            </w:r>
          </w:p>
        </w:tc>
        <w:tc>
          <w:tcPr>
            <w:tcW w:w="536"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2750</w:t>
            </w:r>
          </w:p>
        </w:tc>
        <w:tc>
          <w:tcPr>
            <w:tcW w:w="736"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29.57</w:t>
            </w:r>
          </w:p>
        </w:tc>
      </w:tr>
      <w:tr w:rsidR="00C81B24" w:rsidRPr="00C81B24" w:rsidTr="00526AD9">
        <w:trPr>
          <w:trHeight w:val="255"/>
          <w:jc w:val="center"/>
        </w:trPr>
        <w:tc>
          <w:tcPr>
            <w:tcW w:w="554" w:type="dxa"/>
            <w:tcBorders>
              <w:top w:val="nil"/>
              <w:left w:val="single" w:sz="4" w:space="0" w:color="auto"/>
              <w:bottom w:val="single" w:sz="4" w:space="0" w:color="auto"/>
              <w:right w:val="single" w:sz="4" w:space="0" w:color="auto"/>
            </w:tcBorders>
            <w:vAlign w:val="bottom"/>
          </w:tcPr>
          <w:p w:rsidR="00C81B24" w:rsidRPr="00C81B24" w:rsidRDefault="00C81B24" w:rsidP="00CE5850">
            <w:pPr>
              <w:rPr>
                <w:sz w:val="20"/>
              </w:rPr>
            </w:pPr>
            <w:r w:rsidRPr="00C81B24">
              <w:rPr>
                <w:sz w:val="20"/>
              </w:rPr>
              <w:t>112</w:t>
            </w:r>
          </w:p>
        </w:tc>
        <w:tc>
          <w:tcPr>
            <w:tcW w:w="456" w:type="dxa"/>
            <w:tcBorders>
              <w:top w:val="nil"/>
              <w:left w:val="single" w:sz="4" w:space="0" w:color="auto"/>
              <w:bottom w:val="single" w:sz="4" w:space="0" w:color="auto"/>
              <w:right w:val="single" w:sz="4" w:space="0" w:color="auto"/>
            </w:tcBorders>
            <w:vAlign w:val="center"/>
          </w:tcPr>
          <w:p w:rsidR="00C81B24" w:rsidRPr="00C81B24" w:rsidRDefault="00C81B24" w:rsidP="00CE5850">
            <w:pPr>
              <w:rPr>
                <w:sz w:val="20"/>
              </w:rPr>
            </w:pPr>
            <w:r w:rsidRPr="00C81B24">
              <w:rPr>
                <w:sz w:val="20"/>
              </w:rPr>
              <w:t>154</w:t>
            </w:r>
          </w:p>
        </w:tc>
        <w:tc>
          <w:tcPr>
            <w:tcW w:w="4012" w:type="dxa"/>
            <w:tcBorders>
              <w:top w:val="nil"/>
              <w:left w:val="nil"/>
              <w:bottom w:val="single" w:sz="4" w:space="0" w:color="auto"/>
              <w:right w:val="single" w:sz="4" w:space="0" w:color="auto"/>
            </w:tcBorders>
            <w:vAlign w:val="center"/>
          </w:tcPr>
          <w:p w:rsidR="00C81B24" w:rsidRPr="00C81B24" w:rsidRDefault="00C81B24" w:rsidP="00CE5850">
            <w:pPr>
              <w:rPr>
                <w:sz w:val="20"/>
              </w:rPr>
            </w:pPr>
            <w:r w:rsidRPr="00C81B24">
              <w:rPr>
                <w:sz w:val="20"/>
              </w:rPr>
              <w:t>Flagstaff, AZ-UT</w:t>
            </w:r>
          </w:p>
        </w:tc>
        <w:tc>
          <w:tcPr>
            <w:tcW w:w="1102"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426,658</w:t>
            </w:r>
          </w:p>
        </w:tc>
        <w:tc>
          <w:tcPr>
            <w:tcW w:w="1155"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474,774</w:t>
            </w:r>
          </w:p>
        </w:tc>
        <w:tc>
          <w:tcPr>
            <w:tcW w:w="979"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90%</w:t>
            </w:r>
          </w:p>
        </w:tc>
        <w:tc>
          <w:tcPr>
            <w:tcW w:w="635" w:type="dxa"/>
            <w:tcBorders>
              <w:top w:val="nil"/>
              <w:left w:val="nil"/>
              <w:bottom w:val="single" w:sz="4" w:space="0" w:color="auto"/>
              <w:right w:val="single" w:sz="4" w:space="0" w:color="auto"/>
            </w:tcBorders>
            <w:noWrap/>
            <w:vAlign w:val="bottom"/>
          </w:tcPr>
          <w:p w:rsidR="00C81B24" w:rsidRPr="00C81B24" w:rsidRDefault="00C81B24" w:rsidP="00CE5850">
            <w:pPr>
              <w:rPr>
                <w:sz w:val="20"/>
              </w:rPr>
            </w:pPr>
            <w:r w:rsidRPr="00C81B24">
              <w:rPr>
                <w:sz w:val="20"/>
              </w:rPr>
              <w:t>4317</w:t>
            </w:r>
          </w:p>
        </w:tc>
        <w:tc>
          <w:tcPr>
            <w:tcW w:w="536"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4202</w:t>
            </w:r>
          </w:p>
        </w:tc>
        <w:tc>
          <w:tcPr>
            <w:tcW w:w="736"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9.79</w:t>
            </w:r>
          </w:p>
        </w:tc>
      </w:tr>
      <w:tr w:rsidR="00C81B24" w:rsidRPr="00C81B24" w:rsidTr="00526AD9">
        <w:trPr>
          <w:trHeight w:val="255"/>
          <w:jc w:val="center"/>
        </w:trPr>
        <w:tc>
          <w:tcPr>
            <w:tcW w:w="554" w:type="dxa"/>
            <w:tcBorders>
              <w:top w:val="nil"/>
              <w:left w:val="single" w:sz="4" w:space="0" w:color="auto"/>
              <w:bottom w:val="single" w:sz="4" w:space="0" w:color="auto"/>
              <w:right w:val="single" w:sz="4" w:space="0" w:color="auto"/>
            </w:tcBorders>
            <w:vAlign w:val="bottom"/>
          </w:tcPr>
          <w:p w:rsidR="00C81B24" w:rsidRPr="00C81B24" w:rsidRDefault="00C81B24" w:rsidP="00CE5850">
            <w:pPr>
              <w:rPr>
                <w:sz w:val="20"/>
              </w:rPr>
            </w:pPr>
            <w:r w:rsidRPr="00C81B24">
              <w:rPr>
                <w:sz w:val="20"/>
              </w:rPr>
              <w:t>113</w:t>
            </w:r>
          </w:p>
        </w:tc>
        <w:tc>
          <w:tcPr>
            <w:tcW w:w="456" w:type="dxa"/>
            <w:tcBorders>
              <w:top w:val="nil"/>
              <w:left w:val="single" w:sz="4" w:space="0" w:color="auto"/>
              <w:bottom w:val="single" w:sz="4" w:space="0" w:color="auto"/>
              <w:right w:val="single" w:sz="4" w:space="0" w:color="auto"/>
            </w:tcBorders>
            <w:vAlign w:val="center"/>
          </w:tcPr>
          <w:p w:rsidR="00C81B24" w:rsidRPr="00C81B24" w:rsidRDefault="00C81B24" w:rsidP="00CE5850">
            <w:pPr>
              <w:rPr>
                <w:sz w:val="20"/>
              </w:rPr>
            </w:pPr>
            <w:r w:rsidRPr="00C81B24">
              <w:rPr>
                <w:sz w:val="20"/>
              </w:rPr>
              <w:t>72</w:t>
            </w:r>
          </w:p>
        </w:tc>
        <w:tc>
          <w:tcPr>
            <w:tcW w:w="4012" w:type="dxa"/>
            <w:tcBorders>
              <w:top w:val="nil"/>
              <w:left w:val="nil"/>
              <w:bottom w:val="single" w:sz="4" w:space="0" w:color="auto"/>
              <w:right w:val="single" w:sz="4" w:space="0" w:color="auto"/>
            </w:tcBorders>
            <w:vAlign w:val="center"/>
          </w:tcPr>
          <w:p w:rsidR="00C81B24" w:rsidRPr="00C81B24" w:rsidRDefault="00C81B24" w:rsidP="00CE5850">
            <w:pPr>
              <w:rPr>
                <w:sz w:val="20"/>
              </w:rPr>
            </w:pPr>
            <w:r w:rsidRPr="00C81B24">
              <w:rPr>
                <w:sz w:val="20"/>
              </w:rPr>
              <w:t>Paducah, KY-IL</w:t>
            </w:r>
          </w:p>
        </w:tc>
        <w:tc>
          <w:tcPr>
            <w:tcW w:w="1102"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204,419</w:t>
            </w:r>
          </w:p>
        </w:tc>
        <w:tc>
          <w:tcPr>
            <w:tcW w:w="1155"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230,924</w:t>
            </w:r>
          </w:p>
        </w:tc>
        <w:tc>
          <w:tcPr>
            <w:tcW w:w="979"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89%</w:t>
            </w:r>
          </w:p>
        </w:tc>
        <w:tc>
          <w:tcPr>
            <w:tcW w:w="635" w:type="dxa"/>
            <w:tcBorders>
              <w:top w:val="nil"/>
              <w:left w:val="nil"/>
              <w:bottom w:val="single" w:sz="4" w:space="0" w:color="auto"/>
              <w:right w:val="single" w:sz="4" w:space="0" w:color="auto"/>
            </w:tcBorders>
            <w:noWrap/>
            <w:vAlign w:val="bottom"/>
          </w:tcPr>
          <w:p w:rsidR="00C81B24" w:rsidRPr="00C81B24" w:rsidRDefault="00C81B24" w:rsidP="00CE5850">
            <w:pPr>
              <w:rPr>
                <w:sz w:val="20"/>
              </w:rPr>
            </w:pPr>
            <w:r w:rsidRPr="00C81B24">
              <w:rPr>
                <w:sz w:val="20"/>
              </w:rPr>
              <w:t>5235</w:t>
            </w:r>
          </w:p>
        </w:tc>
        <w:tc>
          <w:tcPr>
            <w:tcW w:w="536"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5457</w:t>
            </w:r>
          </w:p>
        </w:tc>
        <w:tc>
          <w:tcPr>
            <w:tcW w:w="736"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76.17</w:t>
            </w:r>
          </w:p>
        </w:tc>
      </w:tr>
      <w:tr w:rsidR="00C81B24" w:rsidRPr="00C81B24" w:rsidTr="00526AD9">
        <w:trPr>
          <w:trHeight w:val="255"/>
          <w:jc w:val="center"/>
        </w:trPr>
        <w:tc>
          <w:tcPr>
            <w:tcW w:w="554" w:type="dxa"/>
            <w:tcBorders>
              <w:top w:val="nil"/>
              <w:left w:val="single" w:sz="4" w:space="0" w:color="auto"/>
              <w:bottom w:val="single" w:sz="4" w:space="0" w:color="auto"/>
              <w:right w:val="single" w:sz="4" w:space="0" w:color="auto"/>
            </w:tcBorders>
            <w:vAlign w:val="bottom"/>
          </w:tcPr>
          <w:p w:rsidR="00C81B24" w:rsidRPr="00C81B24" w:rsidRDefault="00C81B24" w:rsidP="00CE5850">
            <w:pPr>
              <w:rPr>
                <w:sz w:val="20"/>
              </w:rPr>
            </w:pPr>
            <w:r w:rsidRPr="00C81B24">
              <w:rPr>
                <w:sz w:val="20"/>
              </w:rPr>
              <w:t>114</w:t>
            </w:r>
          </w:p>
        </w:tc>
        <w:tc>
          <w:tcPr>
            <w:tcW w:w="456" w:type="dxa"/>
            <w:tcBorders>
              <w:top w:val="nil"/>
              <w:left w:val="single" w:sz="4" w:space="0" w:color="auto"/>
              <w:bottom w:val="single" w:sz="4" w:space="0" w:color="auto"/>
              <w:right w:val="single" w:sz="4" w:space="0" w:color="auto"/>
            </w:tcBorders>
            <w:vAlign w:val="center"/>
          </w:tcPr>
          <w:p w:rsidR="00C81B24" w:rsidRPr="00C81B24" w:rsidRDefault="00C81B24" w:rsidP="00CE5850">
            <w:pPr>
              <w:rPr>
                <w:sz w:val="20"/>
              </w:rPr>
            </w:pPr>
            <w:r w:rsidRPr="00C81B24">
              <w:rPr>
                <w:sz w:val="20"/>
              </w:rPr>
              <w:t>75</w:t>
            </w:r>
          </w:p>
        </w:tc>
        <w:tc>
          <w:tcPr>
            <w:tcW w:w="4012" w:type="dxa"/>
            <w:tcBorders>
              <w:top w:val="nil"/>
              <w:left w:val="nil"/>
              <w:bottom w:val="single" w:sz="4" w:space="0" w:color="auto"/>
              <w:right w:val="single" w:sz="4" w:space="0" w:color="auto"/>
            </w:tcBorders>
            <w:vAlign w:val="center"/>
          </w:tcPr>
          <w:p w:rsidR="00C81B24" w:rsidRPr="00C81B24" w:rsidRDefault="00C81B24" w:rsidP="00CE5850">
            <w:pPr>
              <w:rPr>
                <w:sz w:val="20"/>
              </w:rPr>
            </w:pPr>
            <w:r w:rsidRPr="00C81B24">
              <w:rPr>
                <w:sz w:val="20"/>
              </w:rPr>
              <w:t>Tupelo, MS-AL-TN</w:t>
            </w:r>
          </w:p>
        </w:tc>
        <w:tc>
          <w:tcPr>
            <w:tcW w:w="1102"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565,813</w:t>
            </w:r>
          </w:p>
        </w:tc>
        <w:tc>
          <w:tcPr>
            <w:tcW w:w="1155"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633,772</w:t>
            </w:r>
          </w:p>
        </w:tc>
        <w:tc>
          <w:tcPr>
            <w:tcW w:w="979"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89%</w:t>
            </w:r>
          </w:p>
        </w:tc>
        <w:tc>
          <w:tcPr>
            <w:tcW w:w="635" w:type="dxa"/>
            <w:tcBorders>
              <w:top w:val="nil"/>
              <w:left w:val="nil"/>
              <w:bottom w:val="single" w:sz="4" w:space="0" w:color="auto"/>
              <w:right w:val="single" w:sz="4" w:space="0" w:color="auto"/>
            </w:tcBorders>
            <w:noWrap/>
            <w:vAlign w:val="bottom"/>
          </w:tcPr>
          <w:p w:rsidR="00C81B24" w:rsidRPr="00C81B24" w:rsidRDefault="00C81B24" w:rsidP="00CE5850">
            <w:pPr>
              <w:rPr>
                <w:sz w:val="20"/>
              </w:rPr>
            </w:pPr>
            <w:r w:rsidRPr="00C81B24">
              <w:rPr>
                <w:sz w:val="20"/>
              </w:rPr>
              <w:t>4923</w:t>
            </w:r>
          </w:p>
        </w:tc>
        <w:tc>
          <w:tcPr>
            <w:tcW w:w="536"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5319</w:t>
            </w:r>
          </w:p>
        </w:tc>
        <w:tc>
          <w:tcPr>
            <w:tcW w:w="736"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51.04</w:t>
            </w:r>
          </w:p>
        </w:tc>
      </w:tr>
      <w:tr w:rsidR="00C81B24" w:rsidRPr="00C81B24" w:rsidTr="00526AD9">
        <w:trPr>
          <w:trHeight w:val="255"/>
          <w:jc w:val="center"/>
        </w:trPr>
        <w:tc>
          <w:tcPr>
            <w:tcW w:w="554" w:type="dxa"/>
            <w:tcBorders>
              <w:top w:val="nil"/>
              <w:left w:val="single" w:sz="4" w:space="0" w:color="auto"/>
              <w:bottom w:val="single" w:sz="4" w:space="0" w:color="auto"/>
              <w:right w:val="single" w:sz="4" w:space="0" w:color="auto"/>
            </w:tcBorders>
            <w:vAlign w:val="bottom"/>
          </w:tcPr>
          <w:p w:rsidR="00C81B24" w:rsidRPr="00C81B24" w:rsidRDefault="00C81B24" w:rsidP="00CE5850">
            <w:pPr>
              <w:rPr>
                <w:sz w:val="20"/>
              </w:rPr>
            </w:pPr>
            <w:r w:rsidRPr="00C81B24">
              <w:rPr>
                <w:sz w:val="20"/>
              </w:rPr>
              <w:t>115</w:t>
            </w:r>
          </w:p>
        </w:tc>
        <w:tc>
          <w:tcPr>
            <w:tcW w:w="456" w:type="dxa"/>
            <w:tcBorders>
              <w:top w:val="nil"/>
              <w:left w:val="single" w:sz="4" w:space="0" w:color="auto"/>
              <w:bottom w:val="single" w:sz="4" w:space="0" w:color="auto"/>
              <w:right w:val="single" w:sz="4" w:space="0" w:color="auto"/>
            </w:tcBorders>
            <w:vAlign w:val="center"/>
          </w:tcPr>
          <w:p w:rsidR="00C81B24" w:rsidRPr="00C81B24" w:rsidRDefault="00C81B24" w:rsidP="00CE5850">
            <w:pPr>
              <w:rPr>
                <w:sz w:val="20"/>
              </w:rPr>
            </w:pPr>
            <w:r w:rsidRPr="00C81B24">
              <w:rPr>
                <w:sz w:val="20"/>
              </w:rPr>
              <w:t>112</w:t>
            </w:r>
          </w:p>
        </w:tc>
        <w:tc>
          <w:tcPr>
            <w:tcW w:w="4012" w:type="dxa"/>
            <w:tcBorders>
              <w:top w:val="nil"/>
              <w:left w:val="nil"/>
              <w:bottom w:val="single" w:sz="4" w:space="0" w:color="auto"/>
              <w:right w:val="single" w:sz="4" w:space="0" w:color="auto"/>
            </w:tcBorders>
            <w:vAlign w:val="center"/>
          </w:tcPr>
          <w:p w:rsidR="00C81B24" w:rsidRPr="00C81B24" w:rsidRDefault="00C81B24" w:rsidP="00CE5850">
            <w:pPr>
              <w:rPr>
                <w:sz w:val="20"/>
              </w:rPr>
            </w:pPr>
            <w:r w:rsidRPr="00C81B24">
              <w:rPr>
                <w:sz w:val="20"/>
              </w:rPr>
              <w:t>Bismarck, ND-MT-SD</w:t>
            </w:r>
          </w:p>
        </w:tc>
        <w:tc>
          <w:tcPr>
            <w:tcW w:w="1102"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166,270</w:t>
            </w:r>
          </w:p>
        </w:tc>
        <w:tc>
          <w:tcPr>
            <w:tcW w:w="1155"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186,962</w:t>
            </w:r>
          </w:p>
        </w:tc>
        <w:tc>
          <w:tcPr>
            <w:tcW w:w="979"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89%</w:t>
            </w:r>
          </w:p>
        </w:tc>
        <w:tc>
          <w:tcPr>
            <w:tcW w:w="635" w:type="dxa"/>
            <w:tcBorders>
              <w:top w:val="nil"/>
              <w:left w:val="nil"/>
              <w:bottom w:val="single" w:sz="4" w:space="0" w:color="auto"/>
              <w:right w:val="single" w:sz="4" w:space="0" w:color="auto"/>
            </w:tcBorders>
            <w:noWrap/>
            <w:vAlign w:val="bottom"/>
          </w:tcPr>
          <w:p w:rsidR="00C81B24" w:rsidRPr="00C81B24" w:rsidRDefault="00C81B24" w:rsidP="00CE5850">
            <w:pPr>
              <w:rPr>
                <w:sz w:val="20"/>
              </w:rPr>
            </w:pPr>
            <w:r w:rsidRPr="00C81B24">
              <w:rPr>
                <w:sz w:val="20"/>
              </w:rPr>
              <w:t>5058</w:t>
            </w:r>
          </w:p>
        </w:tc>
        <w:tc>
          <w:tcPr>
            <w:tcW w:w="536"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5047</w:t>
            </w:r>
          </w:p>
        </w:tc>
        <w:tc>
          <w:tcPr>
            <w:tcW w:w="736"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6.83</w:t>
            </w:r>
          </w:p>
        </w:tc>
      </w:tr>
      <w:tr w:rsidR="00C81B24" w:rsidRPr="00C81B24" w:rsidTr="00526AD9">
        <w:trPr>
          <w:trHeight w:val="255"/>
          <w:jc w:val="center"/>
        </w:trPr>
        <w:tc>
          <w:tcPr>
            <w:tcW w:w="554" w:type="dxa"/>
            <w:tcBorders>
              <w:top w:val="nil"/>
              <w:left w:val="single" w:sz="4" w:space="0" w:color="auto"/>
              <w:bottom w:val="single" w:sz="4" w:space="0" w:color="auto"/>
              <w:right w:val="single" w:sz="4" w:space="0" w:color="auto"/>
            </w:tcBorders>
            <w:vAlign w:val="bottom"/>
          </w:tcPr>
          <w:p w:rsidR="00C81B24" w:rsidRPr="00C81B24" w:rsidRDefault="00C81B24" w:rsidP="00CE5850">
            <w:pPr>
              <w:rPr>
                <w:sz w:val="20"/>
              </w:rPr>
            </w:pPr>
            <w:r w:rsidRPr="00C81B24">
              <w:rPr>
                <w:sz w:val="20"/>
              </w:rPr>
              <w:t>116</w:t>
            </w:r>
          </w:p>
        </w:tc>
        <w:tc>
          <w:tcPr>
            <w:tcW w:w="456" w:type="dxa"/>
            <w:tcBorders>
              <w:top w:val="nil"/>
              <w:left w:val="single" w:sz="4" w:space="0" w:color="auto"/>
              <w:bottom w:val="single" w:sz="4" w:space="0" w:color="auto"/>
              <w:right w:val="single" w:sz="4" w:space="0" w:color="auto"/>
            </w:tcBorders>
            <w:vAlign w:val="center"/>
          </w:tcPr>
          <w:p w:rsidR="00C81B24" w:rsidRPr="00C81B24" w:rsidRDefault="00C81B24" w:rsidP="00CE5850">
            <w:pPr>
              <w:rPr>
                <w:sz w:val="20"/>
              </w:rPr>
            </w:pPr>
            <w:r w:rsidRPr="00C81B24">
              <w:rPr>
                <w:sz w:val="20"/>
              </w:rPr>
              <w:t>119</w:t>
            </w:r>
          </w:p>
        </w:tc>
        <w:tc>
          <w:tcPr>
            <w:tcW w:w="4012" w:type="dxa"/>
            <w:tcBorders>
              <w:top w:val="nil"/>
              <w:left w:val="nil"/>
              <w:bottom w:val="single" w:sz="4" w:space="0" w:color="auto"/>
              <w:right w:val="single" w:sz="4" w:space="0" w:color="auto"/>
            </w:tcBorders>
            <w:vAlign w:val="center"/>
          </w:tcPr>
          <w:p w:rsidR="00C81B24" w:rsidRPr="00C81B24" w:rsidRDefault="00C81B24" w:rsidP="00CE5850">
            <w:pPr>
              <w:rPr>
                <w:sz w:val="20"/>
              </w:rPr>
            </w:pPr>
            <w:r w:rsidRPr="00C81B24">
              <w:rPr>
                <w:sz w:val="20"/>
              </w:rPr>
              <w:t>Lincoln, NE</w:t>
            </w:r>
          </w:p>
        </w:tc>
        <w:tc>
          <w:tcPr>
            <w:tcW w:w="1102"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363,816</w:t>
            </w:r>
          </w:p>
        </w:tc>
        <w:tc>
          <w:tcPr>
            <w:tcW w:w="1155"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410,339</w:t>
            </w:r>
          </w:p>
        </w:tc>
        <w:tc>
          <w:tcPr>
            <w:tcW w:w="979"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89%</w:t>
            </w:r>
          </w:p>
        </w:tc>
        <w:tc>
          <w:tcPr>
            <w:tcW w:w="635" w:type="dxa"/>
            <w:tcBorders>
              <w:top w:val="nil"/>
              <w:left w:val="nil"/>
              <w:bottom w:val="single" w:sz="4" w:space="0" w:color="auto"/>
              <w:right w:val="single" w:sz="4" w:space="0" w:color="auto"/>
            </w:tcBorders>
            <w:noWrap/>
            <w:vAlign w:val="bottom"/>
          </w:tcPr>
          <w:p w:rsidR="00C81B24" w:rsidRPr="00C81B24" w:rsidRDefault="00C81B24" w:rsidP="00CE5850">
            <w:pPr>
              <w:rPr>
                <w:sz w:val="20"/>
              </w:rPr>
            </w:pPr>
            <w:r w:rsidRPr="00C81B24">
              <w:rPr>
                <w:sz w:val="20"/>
              </w:rPr>
              <w:t>4985</w:t>
            </w:r>
          </w:p>
        </w:tc>
        <w:tc>
          <w:tcPr>
            <w:tcW w:w="536"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4825</w:t>
            </w:r>
          </w:p>
        </w:tc>
        <w:tc>
          <w:tcPr>
            <w:tcW w:w="736"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54.65</w:t>
            </w:r>
          </w:p>
        </w:tc>
      </w:tr>
      <w:tr w:rsidR="00C81B24" w:rsidRPr="00C81B24" w:rsidTr="00526AD9">
        <w:trPr>
          <w:trHeight w:val="255"/>
          <w:jc w:val="center"/>
        </w:trPr>
        <w:tc>
          <w:tcPr>
            <w:tcW w:w="554" w:type="dxa"/>
            <w:tcBorders>
              <w:top w:val="nil"/>
              <w:left w:val="single" w:sz="4" w:space="0" w:color="auto"/>
              <w:bottom w:val="single" w:sz="4" w:space="0" w:color="auto"/>
              <w:right w:val="single" w:sz="4" w:space="0" w:color="auto"/>
            </w:tcBorders>
            <w:vAlign w:val="bottom"/>
          </w:tcPr>
          <w:p w:rsidR="00C81B24" w:rsidRPr="00C81B24" w:rsidRDefault="00C81B24" w:rsidP="00CE5850">
            <w:pPr>
              <w:rPr>
                <w:sz w:val="20"/>
              </w:rPr>
            </w:pPr>
            <w:r w:rsidRPr="00C81B24">
              <w:rPr>
                <w:sz w:val="20"/>
              </w:rPr>
              <w:t>117</w:t>
            </w:r>
          </w:p>
        </w:tc>
        <w:tc>
          <w:tcPr>
            <w:tcW w:w="456" w:type="dxa"/>
            <w:tcBorders>
              <w:top w:val="nil"/>
              <w:left w:val="single" w:sz="4" w:space="0" w:color="auto"/>
              <w:bottom w:val="single" w:sz="4" w:space="0" w:color="auto"/>
              <w:right w:val="single" w:sz="4" w:space="0" w:color="auto"/>
            </w:tcBorders>
            <w:vAlign w:val="center"/>
          </w:tcPr>
          <w:p w:rsidR="00C81B24" w:rsidRPr="00C81B24" w:rsidRDefault="00C81B24" w:rsidP="00CE5850">
            <w:pPr>
              <w:rPr>
                <w:sz w:val="20"/>
              </w:rPr>
            </w:pPr>
            <w:r w:rsidRPr="00C81B24">
              <w:rPr>
                <w:sz w:val="20"/>
              </w:rPr>
              <w:t>120</w:t>
            </w:r>
          </w:p>
        </w:tc>
        <w:tc>
          <w:tcPr>
            <w:tcW w:w="4012" w:type="dxa"/>
            <w:tcBorders>
              <w:top w:val="nil"/>
              <w:left w:val="nil"/>
              <w:bottom w:val="single" w:sz="4" w:space="0" w:color="auto"/>
              <w:right w:val="single" w:sz="4" w:space="0" w:color="auto"/>
            </w:tcBorders>
            <w:vAlign w:val="center"/>
          </w:tcPr>
          <w:p w:rsidR="00C81B24" w:rsidRPr="00C81B24" w:rsidRDefault="00C81B24" w:rsidP="00CE5850">
            <w:pPr>
              <w:rPr>
                <w:sz w:val="20"/>
              </w:rPr>
            </w:pPr>
            <w:r w:rsidRPr="00C81B24">
              <w:rPr>
                <w:sz w:val="20"/>
              </w:rPr>
              <w:t>Grand Island, NE</w:t>
            </w:r>
          </w:p>
        </w:tc>
        <w:tc>
          <w:tcPr>
            <w:tcW w:w="1102"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256,147</w:t>
            </w:r>
          </w:p>
        </w:tc>
        <w:tc>
          <w:tcPr>
            <w:tcW w:w="1155"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287,927</w:t>
            </w:r>
          </w:p>
        </w:tc>
        <w:tc>
          <w:tcPr>
            <w:tcW w:w="979"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89%</w:t>
            </w:r>
          </w:p>
        </w:tc>
        <w:tc>
          <w:tcPr>
            <w:tcW w:w="635" w:type="dxa"/>
            <w:tcBorders>
              <w:top w:val="nil"/>
              <w:left w:val="nil"/>
              <w:bottom w:val="single" w:sz="4" w:space="0" w:color="auto"/>
              <w:right w:val="single" w:sz="4" w:space="0" w:color="auto"/>
            </w:tcBorders>
            <w:noWrap/>
            <w:vAlign w:val="bottom"/>
          </w:tcPr>
          <w:p w:rsidR="00C81B24" w:rsidRPr="00C81B24" w:rsidRDefault="00C81B24" w:rsidP="00CE5850">
            <w:pPr>
              <w:rPr>
                <w:sz w:val="20"/>
              </w:rPr>
            </w:pPr>
            <w:r w:rsidRPr="00C81B24">
              <w:rPr>
                <w:sz w:val="20"/>
              </w:rPr>
              <w:t>6182</w:t>
            </w:r>
          </w:p>
        </w:tc>
        <w:tc>
          <w:tcPr>
            <w:tcW w:w="536"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6209</w:t>
            </w:r>
          </w:p>
        </w:tc>
        <w:tc>
          <w:tcPr>
            <w:tcW w:w="736"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11.59</w:t>
            </w:r>
          </w:p>
        </w:tc>
      </w:tr>
      <w:tr w:rsidR="00C81B24" w:rsidRPr="00C81B24" w:rsidTr="00526AD9">
        <w:trPr>
          <w:trHeight w:val="255"/>
          <w:jc w:val="center"/>
        </w:trPr>
        <w:tc>
          <w:tcPr>
            <w:tcW w:w="554" w:type="dxa"/>
            <w:tcBorders>
              <w:top w:val="nil"/>
              <w:left w:val="single" w:sz="4" w:space="0" w:color="auto"/>
              <w:bottom w:val="single" w:sz="4" w:space="0" w:color="auto"/>
              <w:right w:val="single" w:sz="4" w:space="0" w:color="auto"/>
            </w:tcBorders>
            <w:vAlign w:val="bottom"/>
          </w:tcPr>
          <w:p w:rsidR="00C81B24" w:rsidRPr="00C81B24" w:rsidRDefault="00C81B24" w:rsidP="00CE5850">
            <w:pPr>
              <w:rPr>
                <w:sz w:val="20"/>
              </w:rPr>
            </w:pPr>
            <w:r w:rsidRPr="00C81B24">
              <w:rPr>
                <w:sz w:val="20"/>
              </w:rPr>
              <w:t>118</w:t>
            </w:r>
          </w:p>
        </w:tc>
        <w:tc>
          <w:tcPr>
            <w:tcW w:w="456" w:type="dxa"/>
            <w:tcBorders>
              <w:top w:val="nil"/>
              <w:left w:val="single" w:sz="4" w:space="0" w:color="auto"/>
              <w:bottom w:val="single" w:sz="4" w:space="0" w:color="auto"/>
              <w:right w:val="single" w:sz="4" w:space="0" w:color="auto"/>
            </w:tcBorders>
            <w:vAlign w:val="center"/>
          </w:tcPr>
          <w:p w:rsidR="00C81B24" w:rsidRPr="00C81B24" w:rsidRDefault="00C81B24" w:rsidP="00CE5850">
            <w:pPr>
              <w:rPr>
                <w:sz w:val="20"/>
              </w:rPr>
            </w:pPr>
            <w:r w:rsidRPr="00C81B24">
              <w:rPr>
                <w:sz w:val="20"/>
              </w:rPr>
              <w:t>126</w:t>
            </w:r>
          </w:p>
        </w:tc>
        <w:tc>
          <w:tcPr>
            <w:tcW w:w="4012" w:type="dxa"/>
            <w:tcBorders>
              <w:top w:val="nil"/>
              <w:left w:val="nil"/>
              <w:bottom w:val="single" w:sz="4" w:space="0" w:color="auto"/>
              <w:right w:val="single" w:sz="4" w:space="0" w:color="auto"/>
            </w:tcBorders>
            <w:vAlign w:val="center"/>
          </w:tcPr>
          <w:p w:rsidR="00C81B24" w:rsidRPr="00C81B24" w:rsidRDefault="00C81B24" w:rsidP="00CE5850">
            <w:pPr>
              <w:rPr>
                <w:sz w:val="20"/>
              </w:rPr>
            </w:pPr>
            <w:r w:rsidRPr="00C81B24">
              <w:rPr>
                <w:sz w:val="20"/>
              </w:rPr>
              <w:t>Western Oklahoma, OK</w:t>
            </w:r>
          </w:p>
        </w:tc>
        <w:tc>
          <w:tcPr>
            <w:tcW w:w="1102"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126,903</w:t>
            </w:r>
          </w:p>
        </w:tc>
        <w:tc>
          <w:tcPr>
            <w:tcW w:w="1155"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142,644</w:t>
            </w:r>
          </w:p>
        </w:tc>
        <w:tc>
          <w:tcPr>
            <w:tcW w:w="979"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89%</w:t>
            </w:r>
          </w:p>
        </w:tc>
        <w:tc>
          <w:tcPr>
            <w:tcW w:w="635" w:type="dxa"/>
            <w:tcBorders>
              <w:top w:val="nil"/>
              <w:left w:val="nil"/>
              <w:bottom w:val="single" w:sz="4" w:space="0" w:color="auto"/>
              <w:right w:val="single" w:sz="4" w:space="0" w:color="auto"/>
            </w:tcBorders>
            <w:noWrap/>
            <w:vAlign w:val="bottom"/>
          </w:tcPr>
          <w:p w:rsidR="00C81B24" w:rsidRPr="00C81B24" w:rsidRDefault="00C81B24" w:rsidP="00CE5850">
            <w:pPr>
              <w:rPr>
                <w:sz w:val="20"/>
              </w:rPr>
            </w:pPr>
            <w:r w:rsidRPr="00C81B24">
              <w:rPr>
                <w:sz w:val="20"/>
              </w:rPr>
              <w:t>2389</w:t>
            </w:r>
          </w:p>
        </w:tc>
        <w:tc>
          <w:tcPr>
            <w:tcW w:w="536"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2306</w:t>
            </w:r>
          </w:p>
        </w:tc>
        <w:tc>
          <w:tcPr>
            <w:tcW w:w="736"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12.36</w:t>
            </w:r>
          </w:p>
        </w:tc>
      </w:tr>
      <w:tr w:rsidR="00C81B24" w:rsidRPr="00C81B24" w:rsidTr="00526AD9">
        <w:trPr>
          <w:trHeight w:val="255"/>
          <w:jc w:val="center"/>
        </w:trPr>
        <w:tc>
          <w:tcPr>
            <w:tcW w:w="554" w:type="dxa"/>
            <w:tcBorders>
              <w:top w:val="nil"/>
              <w:left w:val="single" w:sz="4" w:space="0" w:color="auto"/>
              <w:bottom w:val="single" w:sz="4" w:space="0" w:color="auto"/>
              <w:right w:val="single" w:sz="4" w:space="0" w:color="auto"/>
            </w:tcBorders>
            <w:vAlign w:val="bottom"/>
          </w:tcPr>
          <w:p w:rsidR="00C81B24" w:rsidRPr="00C81B24" w:rsidRDefault="00C81B24" w:rsidP="00CE5850">
            <w:pPr>
              <w:rPr>
                <w:sz w:val="20"/>
              </w:rPr>
            </w:pPr>
            <w:r w:rsidRPr="00C81B24">
              <w:rPr>
                <w:sz w:val="20"/>
              </w:rPr>
              <w:t>119</w:t>
            </w:r>
          </w:p>
        </w:tc>
        <w:tc>
          <w:tcPr>
            <w:tcW w:w="456" w:type="dxa"/>
            <w:tcBorders>
              <w:top w:val="nil"/>
              <w:left w:val="single" w:sz="4" w:space="0" w:color="auto"/>
              <w:bottom w:val="single" w:sz="4" w:space="0" w:color="auto"/>
              <w:right w:val="single" w:sz="4" w:space="0" w:color="auto"/>
            </w:tcBorders>
            <w:vAlign w:val="center"/>
          </w:tcPr>
          <w:p w:rsidR="00C81B24" w:rsidRPr="00C81B24" w:rsidRDefault="00C81B24" w:rsidP="00CE5850">
            <w:pPr>
              <w:rPr>
                <w:sz w:val="20"/>
              </w:rPr>
            </w:pPr>
            <w:r w:rsidRPr="00C81B24">
              <w:rPr>
                <w:sz w:val="20"/>
              </w:rPr>
              <w:t>138</w:t>
            </w:r>
          </w:p>
        </w:tc>
        <w:tc>
          <w:tcPr>
            <w:tcW w:w="4012" w:type="dxa"/>
            <w:tcBorders>
              <w:top w:val="nil"/>
              <w:left w:val="nil"/>
              <w:bottom w:val="single" w:sz="4" w:space="0" w:color="auto"/>
              <w:right w:val="single" w:sz="4" w:space="0" w:color="auto"/>
            </w:tcBorders>
            <w:vAlign w:val="center"/>
          </w:tcPr>
          <w:p w:rsidR="00C81B24" w:rsidRPr="00C81B24" w:rsidRDefault="00C81B24" w:rsidP="00CE5850">
            <w:pPr>
              <w:rPr>
                <w:sz w:val="20"/>
              </w:rPr>
            </w:pPr>
            <w:r w:rsidRPr="00C81B24">
              <w:rPr>
                <w:sz w:val="20"/>
              </w:rPr>
              <w:t>Amarillo, TX-NM</w:t>
            </w:r>
          </w:p>
        </w:tc>
        <w:tc>
          <w:tcPr>
            <w:tcW w:w="1102"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453,408</w:t>
            </w:r>
          </w:p>
        </w:tc>
        <w:tc>
          <w:tcPr>
            <w:tcW w:w="1155"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511,635</w:t>
            </w:r>
          </w:p>
        </w:tc>
        <w:tc>
          <w:tcPr>
            <w:tcW w:w="979"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89%</w:t>
            </w:r>
          </w:p>
        </w:tc>
        <w:tc>
          <w:tcPr>
            <w:tcW w:w="635" w:type="dxa"/>
            <w:tcBorders>
              <w:top w:val="nil"/>
              <w:left w:val="nil"/>
              <w:bottom w:val="single" w:sz="4" w:space="0" w:color="auto"/>
              <w:right w:val="single" w:sz="4" w:space="0" w:color="auto"/>
            </w:tcBorders>
            <w:noWrap/>
            <w:vAlign w:val="bottom"/>
          </w:tcPr>
          <w:p w:rsidR="00C81B24" w:rsidRPr="00C81B24" w:rsidRDefault="00C81B24" w:rsidP="00CE5850">
            <w:pPr>
              <w:rPr>
                <w:sz w:val="20"/>
              </w:rPr>
            </w:pPr>
            <w:r w:rsidRPr="00C81B24">
              <w:rPr>
                <w:sz w:val="20"/>
              </w:rPr>
              <w:t>2705</w:t>
            </w:r>
          </w:p>
        </w:tc>
        <w:tc>
          <w:tcPr>
            <w:tcW w:w="536"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2681</w:t>
            </w:r>
          </w:p>
        </w:tc>
        <w:tc>
          <w:tcPr>
            <w:tcW w:w="736"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12.57</w:t>
            </w:r>
          </w:p>
        </w:tc>
      </w:tr>
      <w:tr w:rsidR="00C81B24" w:rsidRPr="00C81B24" w:rsidTr="00526AD9">
        <w:trPr>
          <w:trHeight w:val="255"/>
          <w:jc w:val="center"/>
        </w:trPr>
        <w:tc>
          <w:tcPr>
            <w:tcW w:w="554" w:type="dxa"/>
            <w:tcBorders>
              <w:top w:val="nil"/>
              <w:left w:val="single" w:sz="4" w:space="0" w:color="auto"/>
              <w:bottom w:val="single" w:sz="4" w:space="0" w:color="auto"/>
              <w:right w:val="single" w:sz="4" w:space="0" w:color="auto"/>
            </w:tcBorders>
            <w:vAlign w:val="bottom"/>
          </w:tcPr>
          <w:p w:rsidR="00C81B24" w:rsidRPr="00C81B24" w:rsidRDefault="00C81B24" w:rsidP="00CE5850">
            <w:pPr>
              <w:rPr>
                <w:sz w:val="20"/>
              </w:rPr>
            </w:pPr>
            <w:r w:rsidRPr="00C81B24">
              <w:rPr>
                <w:sz w:val="20"/>
              </w:rPr>
              <w:t>120</w:t>
            </w:r>
          </w:p>
        </w:tc>
        <w:tc>
          <w:tcPr>
            <w:tcW w:w="456" w:type="dxa"/>
            <w:tcBorders>
              <w:top w:val="nil"/>
              <w:left w:val="single" w:sz="4" w:space="0" w:color="auto"/>
              <w:bottom w:val="single" w:sz="4" w:space="0" w:color="auto"/>
              <w:right w:val="single" w:sz="4" w:space="0" w:color="auto"/>
            </w:tcBorders>
            <w:vAlign w:val="center"/>
          </w:tcPr>
          <w:p w:rsidR="00C81B24" w:rsidRPr="00C81B24" w:rsidRDefault="00C81B24" w:rsidP="00CE5850">
            <w:pPr>
              <w:rPr>
                <w:sz w:val="20"/>
              </w:rPr>
            </w:pPr>
            <w:r w:rsidRPr="00C81B24">
              <w:rPr>
                <w:sz w:val="20"/>
              </w:rPr>
              <w:t>146</w:t>
            </w:r>
          </w:p>
        </w:tc>
        <w:tc>
          <w:tcPr>
            <w:tcW w:w="4012" w:type="dxa"/>
            <w:tcBorders>
              <w:top w:val="nil"/>
              <w:left w:val="nil"/>
              <w:bottom w:val="single" w:sz="4" w:space="0" w:color="auto"/>
              <w:right w:val="single" w:sz="4" w:space="0" w:color="auto"/>
            </w:tcBorders>
            <w:vAlign w:val="center"/>
          </w:tcPr>
          <w:p w:rsidR="00C81B24" w:rsidRPr="00C81B24" w:rsidRDefault="00C81B24" w:rsidP="00CE5850">
            <w:pPr>
              <w:rPr>
                <w:sz w:val="20"/>
              </w:rPr>
            </w:pPr>
            <w:r w:rsidRPr="00C81B24">
              <w:rPr>
                <w:sz w:val="20"/>
              </w:rPr>
              <w:t>Missoula, MT</w:t>
            </w:r>
          </w:p>
        </w:tc>
        <w:tc>
          <w:tcPr>
            <w:tcW w:w="1102"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400,732</w:t>
            </w:r>
          </w:p>
        </w:tc>
        <w:tc>
          <w:tcPr>
            <w:tcW w:w="1155"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447,771</w:t>
            </w:r>
          </w:p>
        </w:tc>
        <w:tc>
          <w:tcPr>
            <w:tcW w:w="979"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89%</w:t>
            </w:r>
          </w:p>
        </w:tc>
        <w:tc>
          <w:tcPr>
            <w:tcW w:w="635" w:type="dxa"/>
            <w:tcBorders>
              <w:top w:val="nil"/>
              <w:left w:val="nil"/>
              <w:bottom w:val="single" w:sz="4" w:space="0" w:color="auto"/>
              <w:right w:val="single" w:sz="4" w:space="0" w:color="auto"/>
            </w:tcBorders>
            <w:noWrap/>
            <w:vAlign w:val="bottom"/>
          </w:tcPr>
          <w:p w:rsidR="00C81B24" w:rsidRPr="00C81B24" w:rsidRDefault="00C81B24" w:rsidP="00CE5850">
            <w:pPr>
              <w:rPr>
                <w:sz w:val="20"/>
              </w:rPr>
            </w:pPr>
            <w:r w:rsidRPr="00C81B24">
              <w:rPr>
                <w:sz w:val="20"/>
              </w:rPr>
              <w:t>6244</w:t>
            </w:r>
          </w:p>
        </w:tc>
        <w:tc>
          <w:tcPr>
            <w:tcW w:w="536"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6359</w:t>
            </w:r>
          </w:p>
        </w:tc>
        <w:tc>
          <w:tcPr>
            <w:tcW w:w="736"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12.26</w:t>
            </w:r>
          </w:p>
        </w:tc>
      </w:tr>
      <w:tr w:rsidR="00C81B24" w:rsidRPr="00C81B24" w:rsidTr="00526AD9">
        <w:trPr>
          <w:trHeight w:val="323"/>
          <w:jc w:val="center"/>
        </w:trPr>
        <w:tc>
          <w:tcPr>
            <w:tcW w:w="554" w:type="dxa"/>
            <w:tcBorders>
              <w:top w:val="nil"/>
              <w:left w:val="single" w:sz="4" w:space="0" w:color="auto"/>
              <w:bottom w:val="single" w:sz="4" w:space="0" w:color="auto"/>
              <w:right w:val="single" w:sz="4" w:space="0" w:color="auto"/>
            </w:tcBorders>
            <w:vAlign w:val="bottom"/>
          </w:tcPr>
          <w:p w:rsidR="00C81B24" w:rsidRPr="00C81B24" w:rsidRDefault="00C81B24" w:rsidP="00CE5850">
            <w:pPr>
              <w:rPr>
                <w:sz w:val="20"/>
              </w:rPr>
            </w:pPr>
            <w:r w:rsidRPr="00C81B24">
              <w:rPr>
                <w:sz w:val="20"/>
              </w:rPr>
              <w:t>121</w:t>
            </w:r>
          </w:p>
        </w:tc>
        <w:tc>
          <w:tcPr>
            <w:tcW w:w="456" w:type="dxa"/>
            <w:tcBorders>
              <w:top w:val="nil"/>
              <w:left w:val="single" w:sz="4" w:space="0" w:color="auto"/>
              <w:bottom w:val="single" w:sz="4" w:space="0" w:color="auto"/>
              <w:right w:val="single" w:sz="4" w:space="0" w:color="auto"/>
            </w:tcBorders>
            <w:vAlign w:val="center"/>
          </w:tcPr>
          <w:p w:rsidR="00C81B24" w:rsidRPr="00C81B24" w:rsidRDefault="00C81B24" w:rsidP="00CE5850">
            <w:pPr>
              <w:rPr>
                <w:sz w:val="20"/>
              </w:rPr>
            </w:pPr>
            <w:r w:rsidRPr="00C81B24">
              <w:rPr>
                <w:sz w:val="20"/>
              </w:rPr>
              <w:t>156</w:t>
            </w:r>
          </w:p>
        </w:tc>
        <w:tc>
          <w:tcPr>
            <w:tcW w:w="4012" w:type="dxa"/>
            <w:tcBorders>
              <w:top w:val="nil"/>
              <w:left w:val="nil"/>
              <w:bottom w:val="single" w:sz="4" w:space="0" w:color="auto"/>
              <w:right w:val="single" w:sz="4" w:space="0" w:color="auto"/>
            </w:tcBorders>
            <w:vAlign w:val="center"/>
          </w:tcPr>
          <w:p w:rsidR="00C81B24" w:rsidRPr="00C81B24" w:rsidRDefault="00C81B24" w:rsidP="00CE5850">
            <w:pPr>
              <w:rPr>
                <w:sz w:val="20"/>
              </w:rPr>
            </w:pPr>
            <w:r w:rsidRPr="00C81B24">
              <w:rPr>
                <w:sz w:val="20"/>
              </w:rPr>
              <w:t>Albuquerque, NM-AZ</w:t>
            </w:r>
          </w:p>
        </w:tc>
        <w:tc>
          <w:tcPr>
            <w:tcW w:w="1102"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956,395</w:t>
            </w:r>
          </w:p>
        </w:tc>
        <w:tc>
          <w:tcPr>
            <w:tcW w:w="1155"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1,078,891</w:t>
            </w:r>
          </w:p>
        </w:tc>
        <w:tc>
          <w:tcPr>
            <w:tcW w:w="979"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89%</w:t>
            </w:r>
          </w:p>
        </w:tc>
        <w:tc>
          <w:tcPr>
            <w:tcW w:w="635" w:type="dxa"/>
            <w:tcBorders>
              <w:top w:val="nil"/>
              <w:left w:val="nil"/>
              <w:bottom w:val="single" w:sz="4" w:space="0" w:color="auto"/>
              <w:right w:val="single" w:sz="4" w:space="0" w:color="auto"/>
            </w:tcBorders>
            <w:noWrap/>
            <w:vAlign w:val="bottom"/>
          </w:tcPr>
          <w:p w:rsidR="00C81B24" w:rsidRPr="00C81B24" w:rsidRDefault="00C81B24" w:rsidP="00CE5850">
            <w:pPr>
              <w:rPr>
                <w:sz w:val="20"/>
              </w:rPr>
            </w:pPr>
            <w:r w:rsidRPr="00C81B24">
              <w:rPr>
                <w:sz w:val="20"/>
              </w:rPr>
              <w:t>3016</w:t>
            </w:r>
          </w:p>
        </w:tc>
        <w:tc>
          <w:tcPr>
            <w:tcW w:w="536"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2943</w:t>
            </w:r>
          </w:p>
        </w:tc>
        <w:tc>
          <w:tcPr>
            <w:tcW w:w="736"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24.50</w:t>
            </w:r>
          </w:p>
        </w:tc>
      </w:tr>
      <w:tr w:rsidR="00C81B24" w:rsidRPr="00C81B24" w:rsidTr="00526AD9">
        <w:trPr>
          <w:trHeight w:val="255"/>
          <w:jc w:val="center"/>
        </w:trPr>
        <w:tc>
          <w:tcPr>
            <w:tcW w:w="554" w:type="dxa"/>
            <w:tcBorders>
              <w:top w:val="nil"/>
              <w:left w:val="single" w:sz="4" w:space="0" w:color="auto"/>
              <w:bottom w:val="single" w:sz="4" w:space="0" w:color="auto"/>
              <w:right w:val="single" w:sz="4" w:space="0" w:color="auto"/>
            </w:tcBorders>
            <w:vAlign w:val="bottom"/>
          </w:tcPr>
          <w:p w:rsidR="00C81B24" w:rsidRPr="00C81B24" w:rsidRDefault="00C81B24" w:rsidP="00CE5850">
            <w:pPr>
              <w:rPr>
                <w:sz w:val="20"/>
              </w:rPr>
            </w:pPr>
            <w:r w:rsidRPr="00C81B24">
              <w:rPr>
                <w:sz w:val="20"/>
              </w:rPr>
              <w:t>122</w:t>
            </w:r>
          </w:p>
        </w:tc>
        <w:tc>
          <w:tcPr>
            <w:tcW w:w="456" w:type="dxa"/>
            <w:tcBorders>
              <w:top w:val="nil"/>
              <w:left w:val="single" w:sz="4" w:space="0" w:color="auto"/>
              <w:bottom w:val="single" w:sz="4" w:space="0" w:color="auto"/>
              <w:right w:val="single" w:sz="4" w:space="0" w:color="auto"/>
            </w:tcBorders>
            <w:vAlign w:val="center"/>
          </w:tcPr>
          <w:p w:rsidR="00C81B24" w:rsidRPr="00C81B24" w:rsidRDefault="00C81B24" w:rsidP="00CE5850">
            <w:pPr>
              <w:rPr>
                <w:sz w:val="20"/>
              </w:rPr>
            </w:pPr>
            <w:r w:rsidRPr="00C81B24">
              <w:rPr>
                <w:sz w:val="20"/>
              </w:rPr>
              <w:t>48</w:t>
            </w:r>
          </w:p>
        </w:tc>
        <w:tc>
          <w:tcPr>
            <w:tcW w:w="4012" w:type="dxa"/>
            <w:tcBorders>
              <w:top w:val="nil"/>
              <w:left w:val="nil"/>
              <w:bottom w:val="single" w:sz="4" w:space="0" w:color="auto"/>
              <w:right w:val="single" w:sz="4" w:space="0" w:color="auto"/>
            </w:tcBorders>
            <w:vAlign w:val="center"/>
          </w:tcPr>
          <w:p w:rsidR="00C81B24" w:rsidRPr="00C81B24" w:rsidRDefault="00C81B24" w:rsidP="00CE5850">
            <w:pPr>
              <w:rPr>
                <w:sz w:val="20"/>
              </w:rPr>
            </w:pPr>
            <w:r w:rsidRPr="00C81B24">
              <w:rPr>
                <w:sz w:val="20"/>
              </w:rPr>
              <w:t>Charleston, WV-KY-OH</w:t>
            </w:r>
          </w:p>
        </w:tc>
        <w:tc>
          <w:tcPr>
            <w:tcW w:w="1102"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1,054,362</w:t>
            </w:r>
          </w:p>
        </w:tc>
        <w:tc>
          <w:tcPr>
            <w:tcW w:w="1155"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1,191,822</w:t>
            </w:r>
          </w:p>
        </w:tc>
        <w:tc>
          <w:tcPr>
            <w:tcW w:w="979"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88%</w:t>
            </w:r>
          </w:p>
        </w:tc>
        <w:tc>
          <w:tcPr>
            <w:tcW w:w="635" w:type="dxa"/>
            <w:tcBorders>
              <w:top w:val="nil"/>
              <w:left w:val="nil"/>
              <w:bottom w:val="single" w:sz="4" w:space="0" w:color="auto"/>
              <w:right w:val="single" w:sz="4" w:space="0" w:color="auto"/>
            </w:tcBorders>
            <w:noWrap/>
            <w:vAlign w:val="bottom"/>
          </w:tcPr>
          <w:p w:rsidR="00C81B24" w:rsidRPr="00C81B24" w:rsidRDefault="00C81B24" w:rsidP="00CE5850">
            <w:pPr>
              <w:rPr>
                <w:sz w:val="20"/>
              </w:rPr>
            </w:pPr>
            <w:r w:rsidRPr="00C81B24">
              <w:rPr>
                <w:sz w:val="20"/>
              </w:rPr>
              <w:t>3675</w:t>
            </w:r>
          </w:p>
        </w:tc>
        <w:tc>
          <w:tcPr>
            <w:tcW w:w="536"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3575</w:t>
            </w:r>
          </w:p>
        </w:tc>
        <w:tc>
          <w:tcPr>
            <w:tcW w:w="736"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85.66</w:t>
            </w:r>
          </w:p>
        </w:tc>
      </w:tr>
      <w:tr w:rsidR="00C81B24" w:rsidRPr="00C81B24" w:rsidTr="00526AD9">
        <w:trPr>
          <w:trHeight w:val="255"/>
          <w:jc w:val="center"/>
        </w:trPr>
        <w:tc>
          <w:tcPr>
            <w:tcW w:w="554" w:type="dxa"/>
            <w:tcBorders>
              <w:top w:val="nil"/>
              <w:left w:val="single" w:sz="4" w:space="0" w:color="auto"/>
              <w:bottom w:val="single" w:sz="4" w:space="0" w:color="auto"/>
              <w:right w:val="single" w:sz="4" w:space="0" w:color="auto"/>
            </w:tcBorders>
            <w:vAlign w:val="bottom"/>
          </w:tcPr>
          <w:p w:rsidR="00C81B24" w:rsidRPr="00C81B24" w:rsidRDefault="00C81B24" w:rsidP="00CE5850">
            <w:pPr>
              <w:rPr>
                <w:sz w:val="20"/>
              </w:rPr>
            </w:pPr>
            <w:r w:rsidRPr="00C81B24">
              <w:rPr>
                <w:sz w:val="20"/>
              </w:rPr>
              <w:t>123</w:t>
            </w:r>
          </w:p>
        </w:tc>
        <w:tc>
          <w:tcPr>
            <w:tcW w:w="456" w:type="dxa"/>
            <w:tcBorders>
              <w:top w:val="nil"/>
              <w:left w:val="single" w:sz="4" w:space="0" w:color="auto"/>
              <w:bottom w:val="single" w:sz="4" w:space="0" w:color="auto"/>
              <w:right w:val="single" w:sz="4" w:space="0" w:color="auto"/>
            </w:tcBorders>
            <w:vAlign w:val="center"/>
          </w:tcPr>
          <w:p w:rsidR="00C81B24" w:rsidRPr="00C81B24" w:rsidRDefault="00C81B24" w:rsidP="00CE5850">
            <w:pPr>
              <w:rPr>
                <w:sz w:val="20"/>
              </w:rPr>
            </w:pPr>
            <w:r w:rsidRPr="00C81B24">
              <w:rPr>
                <w:sz w:val="20"/>
              </w:rPr>
              <w:t>61</w:t>
            </w:r>
          </w:p>
        </w:tc>
        <w:tc>
          <w:tcPr>
            <w:tcW w:w="4012" w:type="dxa"/>
            <w:tcBorders>
              <w:top w:val="nil"/>
              <w:left w:val="nil"/>
              <w:bottom w:val="single" w:sz="4" w:space="0" w:color="auto"/>
              <w:right w:val="single" w:sz="4" w:space="0" w:color="auto"/>
            </w:tcBorders>
            <w:vAlign w:val="center"/>
          </w:tcPr>
          <w:p w:rsidR="00C81B24" w:rsidRPr="00C81B24" w:rsidRDefault="00C81B24" w:rsidP="00CE5850">
            <w:pPr>
              <w:rPr>
                <w:sz w:val="20"/>
              </w:rPr>
            </w:pPr>
            <w:r w:rsidRPr="00C81B24">
              <w:rPr>
                <w:sz w:val="20"/>
              </w:rPr>
              <w:t>Traverse City, MI</w:t>
            </w:r>
          </w:p>
        </w:tc>
        <w:tc>
          <w:tcPr>
            <w:tcW w:w="1102"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267,689</w:t>
            </w:r>
          </w:p>
        </w:tc>
        <w:tc>
          <w:tcPr>
            <w:tcW w:w="1155"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303,041</w:t>
            </w:r>
          </w:p>
        </w:tc>
        <w:tc>
          <w:tcPr>
            <w:tcW w:w="979"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88%</w:t>
            </w:r>
          </w:p>
        </w:tc>
        <w:tc>
          <w:tcPr>
            <w:tcW w:w="635" w:type="dxa"/>
            <w:tcBorders>
              <w:top w:val="nil"/>
              <w:left w:val="nil"/>
              <w:bottom w:val="single" w:sz="4" w:space="0" w:color="auto"/>
              <w:right w:val="single" w:sz="4" w:space="0" w:color="auto"/>
            </w:tcBorders>
            <w:noWrap/>
            <w:vAlign w:val="bottom"/>
          </w:tcPr>
          <w:p w:rsidR="00C81B24" w:rsidRPr="00C81B24" w:rsidRDefault="00C81B24" w:rsidP="00CE5850">
            <w:pPr>
              <w:rPr>
                <w:sz w:val="20"/>
              </w:rPr>
            </w:pPr>
            <w:r w:rsidRPr="00C81B24">
              <w:rPr>
                <w:sz w:val="20"/>
              </w:rPr>
              <w:t>4516</w:t>
            </w:r>
          </w:p>
        </w:tc>
        <w:tc>
          <w:tcPr>
            <w:tcW w:w="536"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2951</w:t>
            </w:r>
          </w:p>
        </w:tc>
        <w:tc>
          <w:tcPr>
            <w:tcW w:w="736"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55.43</w:t>
            </w:r>
          </w:p>
        </w:tc>
      </w:tr>
      <w:tr w:rsidR="00C81B24" w:rsidRPr="00C81B24" w:rsidTr="00526AD9">
        <w:trPr>
          <w:trHeight w:val="255"/>
          <w:jc w:val="center"/>
        </w:trPr>
        <w:tc>
          <w:tcPr>
            <w:tcW w:w="554" w:type="dxa"/>
            <w:tcBorders>
              <w:top w:val="nil"/>
              <w:left w:val="single" w:sz="4" w:space="0" w:color="auto"/>
              <w:bottom w:val="single" w:sz="4" w:space="0" w:color="auto"/>
              <w:right w:val="single" w:sz="4" w:space="0" w:color="auto"/>
            </w:tcBorders>
            <w:vAlign w:val="bottom"/>
          </w:tcPr>
          <w:p w:rsidR="00C81B24" w:rsidRPr="00C81B24" w:rsidRDefault="00C81B24" w:rsidP="00CE5850">
            <w:pPr>
              <w:rPr>
                <w:sz w:val="20"/>
              </w:rPr>
            </w:pPr>
            <w:r w:rsidRPr="00C81B24">
              <w:rPr>
                <w:sz w:val="20"/>
              </w:rPr>
              <w:t>124</w:t>
            </w:r>
          </w:p>
        </w:tc>
        <w:tc>
          <w:tcPr>
            <w:tcW w:w="456" w:type="dxa"/>
            <w:tcBorders>
              <w:top w:val="nil"/>
              <w:left w:val="single" w:sz="4" w:space="0" w:color="auto"/>
              <w:bottom w:val="single" w:sz="4" w:space="0" w:color="auto"/>
              <w:right w:val="single" w:sz="4" w:space="0" w:color="auto"/>
            </w:tcBorders>
            <w:vAlign w:val="center"/>
          </w:tcPr>
          <w:p w:rsidR="00C81B24" w:rsidRPr="00C81B24" w:rsidRDefault="00C81B24" w:rsidP="00CE5850">
            <w:pPr>
              <w:rPr>
                <w:sz w:val="20"/>
              </w:rPr>
            </w:pPr>
            <w:r w:rsidRPr="00C81B24">
              <w:rPr>
                <w:sz w:val="20"/>
              </w:rPr>
              <w:t>139</w:t>
            </w:r>
          </w:p>
        </w:tc>
        <w:tc>
          <w:tcPr>
            <w:tcW w:w="4012" w:type="dxa"/>
            <w:tcBorders>
              <w:top w:val="nil"/>
              <w:left w:val="nil"/>
              <w:bottom w:val="single" w:sz="4" w:space="0" w:color="auto"/>
              <w:right w:val="single" w:sz="4" w:space="0" w:color="auto"/>
            </w:tcBorders>
            <w:vAlign w:val="center"/>
          </w:tcPr>
          <w:p w:rsidR="00C81B24" w:rsidRPr="00C81B24" w:rsidRDefault="00C81B24" w:rsidP="00CE5850">
            <w:pPr>
              <w:rPr>
                <w:sz w:val="20"/>
              </w:rPr>
            </w:pPr>
            <w:r w:rsidRPr="00C81B24">
              <w:rPr>
                <w:sz w:val="20"/>
              </w:rPr>
              <w:t>Santa Fe, NM</w:t>
            </w:r>
          </w:p>
        </w:tc>
        <w:tc>
          <w:tcPr>
            <w:tcW w:w="1102"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240,530</w:t>
            </w:r>
          </w:p>
        </w:tc>
        <w:tc>
          <w:tcPr>
            <w:tcW w:w="1155"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274,264</w:t>
            </w:r>
          </w:p>
        </w:tc>
        <w:tc>
          <w:tcPr>
            <w:tcW w:w="979"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88%</w:t>
            </w:r>
          </w:p>
        </w:tc>
        <w:tc>
          <w:tcPr>
            <w:tcW w:w="635" w:type="dxa"/>
            <w:tcBorders>
              <w:top w:val="nil"/>
              <w:left w:val="nil"/>
              <w:bottom w:val="single" w:sz="4" w:space="0" w:color="auto"/>
              <w:right w:val="single" w:sz="4" w:space="0" w:color="auto"/>
            </w:tcBorders>
            <w:noWrap/>
            <w:vAlign w:val="bottom"/>
          </w:tcPr>
          <w:p w:rsidR="00C81B24" w:rsidRPr="00C81B24" w:rsidRDefault="00C81B24" w:rsidP="00CE5850">
            <w:pPr>
              <w:rPr>
                <w:sz w:val="20"/>
              </w:rPr>
            </w:pPr>
            <w:r w:rsidRPr="00C81B24">
              <w:rPr>
                <w:sz w:val="20"/>
              </w:rPr>
              <w:t>4388</w:t>
            </w:r>
          </w:p>
        </w:tc>
        <w:tc>
          <w:tcPr>
            <w:tcW w:w="536"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4258</w:t>
            </w:r>
          </w:p>
        </w:tc>
        <w:tc>
          <w:tcPr>
            <w:tcW w:w="736"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13.88</w:t>
            </w:r>
          </w:p>
        </w:tc>
      </w:tr>
      <w:tr w:rsidR="00C81B24" w:rsidRPr="00C81B24" w:rsidTr="00526AD9">
        <w:trPr>
          <w:trHeight w:val="255"/>
          <w:jc w:val="center"/>
        </w:trPr>
        <w:tc>
          <w:tcPr>
            <w:tcW w:w="554" w:type="dxa"/>
            <w:tcBorders>
              <w:top w:val="nil"/>
              <w:left w:val="single" w:sz="4" w:space="0" w:color="auto"/>
              <w:bottom w:val="single" w:sz="4" w:space="0" w:color="auto"/>
              <w:right w:val="single" w:sz="4" w:space="0" w:color="auto"/>
            </w:tcBorders>
            <w:vAlign w:val="bottom"/>
          </w:tcPr>
          <w:p w:rsidR="00C81B24" w:rsidRPr="00C81B24" w:rsidRDefault="00C81B24" w:rsidP="00CE5850">
            <w:pPr>
              <w:rPr>
                <w:sz w:val="20"/>
              </w:rPr>
            </w:pPr>
            <w:r w:rsidRPr="00C81B24">
              <w:rPr>
                <w:sz w:val="20"/>
              </w:rPr>
              <w:t>125</w:t>
            </w:r>
          </w:p>
        </w:tc>
        <w:tc>
          <w:tcPr>
            <w:tcW w:w="456" w:type="dxa"/>
            <w:tcBorders>
              <w:top w:val="nil"/>
              <w:left w:val="single" w:sz="4" w:space="0" w:color="auto"/>
              <w:bottom w:val="single" w:sz="4" w:space="0" w:color="auto"/>
              <w:right w:val="single" w:sz="4" w:space="0" w:color="auto"/>
            </w:tcBorders>
            <w:vAlign w:val="center"/>
          </w:tcPr>
          <w:p w:rsidR="00C81B24" w:rsidRPr="00C81B24" w:rsidRDefault="00C81B24" w:rsidP="00CE5850">
            <w:pPr>
              <w:rPr>
                <w:sz w:val="20"/>
              </w:rPr>
            </w:pPr>
            <w:r w:rsidRPr="00C81B24">
              <w:rPr>
                <w:sz w:val="20"/>
              </w:rPr>
              <w:t>140</w:t>
            </w:r>
          </w:p>
        </w:tc>
        <w:tc>
          <w:tcPr>
            <w:tcW w:w="4012" w:type="dxa"/>
            <w:tcBorders>
              <w:top w:val="nil"/>
              <w:left w:val="nil"/>
              <w:bottom w:val="single" w:sz="4" w:space="0" w:color="auto"/>
              <w:right w:val="single" w:sz="4" w:space="0" w:color="auto"/>
            </w:tcBorders>
            <w:vAlign w:val="center"/>
          </w:tcPr>
          <w:p w:rsidR="00C81B24" w:rsidRPr="00C81B24" w:rsidRDefault="00C81B24" w:rsidP="00CE5850">
            <w:pPr>
              <w:rPr>
                <w:sz w:val="20"/>
              </w:rPr>
            </w:pPr>
            <w:r w:rsidRPr="00C81B24">
              <w:rPr>
                <w:sz w:val="20"/>
              </w:rPr>
              <w:t>Pueblo, CO-NM</w:t>
            </w:r>
          </w:p>
        </w:tc>
        <w:tc>
          <w:tcPr>
            <w:tcW w:w="1102"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257,116</w:t>
            </w:r>
          </w:p>
        </w:tc>
        <w:tc>
          <w:tcPr>
            <w:tcW w:w="1155"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291,784</w:t>
            </w:r>
          </w:p>
        </w:tc>
        <w:tc>
          <w:tcPr>
            <w:tcW w:w="979"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88%</w:t>
            </w:r>
          </w:p>
        </w:tc>
        <w:tc>
          <w:tcPr>
            <w:tcW w:w="635" w:type="dxa"/>
            <w:tcBorders>
              <w:top w:val="nil"/>
              <w:left w:val="nil"/>
              <w:bottom w:val="single" w:sz="4" w:space="0" w:color="auto"/>
              <w:right w:val="single" w:sz="4" w:space="0" w:color="auto"/>
            </w:tcBorders>
            <w:noWrap/>
            <w:vAlign w:val="bottom"/>
          </w:tcPr>
          <w:p w:rsidR="00C81B24" w:rsidRPr="00C81B24" w:rsidRDefault="00C81B24" w:rsidP="00CE5850">
            <w:pPr>
              <w:rPr>
                <w:sz w:val="20"/>
              </w:rPr>
            </w:pPr>
            <w:r w:rsidRPr="00C81B24">
              <w:rPr>
                <w:sz w:val="20"/>
              </w:rPr>
              <w:t>3372</w:t>
            </w:r>
          </w:p>
        </w:tc>
        <w:tc>
          <w:tcPr>
            <w:tcW w:w="536"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3202</w:t>
            </w:r>
          </w:p>
        </w:tc>
        <w:tc>
          <w:tcPr>
            <w:tcW w:w="736"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9.12</w:t>
            </w:r>
          </w:p>
        </w:tc>
      </w:tr>
      <w:tr w:rsidR="00C81B24" w:rsidRPr="00C81B24" w:rsidTr="00526AD9">
        <w:trPr>
          <w:trHeight w:val="255"/>
          <w:jc w:val="center"/>
        </w:trPr>
        <w:tc>
          <w:tcPr>
            <w:tcW w:w="554" w:type="dxa"/>
            <w:tcBorders>
              <w:top w:val="nil"/>
              <w:left w:val="single" w:sz="4" w:space="0" w:color="auto"/>
              <w:bottom w:val="single" w:sz="4" w:space="0" w:color="auto"/>
              <w:right w:val="single" w:sz="4" w:space="0" w:color="auto"/>
            </w:tcBorders>
            <w:vAlign w:val="bottom"/>
          </w:tcPr>
          <w:p w:rsidR="00C81B24" w:rsidRPr="00C81B24" w:rsidRDefault="00C81B24" w:rsidP="00CE5850">
            <w:pPr>
              <w:rPr>
                <w:sz w:val="20"/>
              </w:rPr>
            </w:pPr>
            <w:r w:rsidRPr="00C81B24">
              <w:rPr>
                <w:sz w:val="20"/>
              </w:rPr>
              <w:t>126</w:t>
            </w:r>
          </w:p>
        </w:tc>
        <w:tc>
          <w:tcPr>
            <w:tcW w:w="456" w:type="dxa"/>
            <w:tcBorders>
              <w:top w:val="nil"/>
              <w:left w:val="single" w:sz="4" w:space="0" w:color="auto"/>
              <w:bottom w:val="single" w:sz="4" w:space="0" w:color="auto"/>
              <w:right w:val="single" w:sz="4" w:space="0" w:color="auto"/>
            </w:tcBorders>
            <w:vAlign w:val="center"/>
          </w:tcPr>
          <w:p w:rsidR="00C81B24" w:rsidRPr="00C81B24" w:rsidRDefault="00C81B24" w:rsidP="00CE5850">
            <w:pPr>
              <w:rPr>
                <w:sz w:val="20"/>
              </w:rPr>
            </w:pPr>
            <w:r w:rsidRPr="00C81B24">
              <w:rPr>
                <w:sz w:val="20"/>
              </w:rPr>
              <w:t>148</w:t>
            </w:r>
          </w:p>
        </w:tc>
        <w:tc>
          <w:tcPr>
            <w:tcW w:w="4012" w:type="dxa"/>
            <w:tcBorders>
              <w:top w:val="nil"/>
              <w:left w:val="nil"/>
              <w:bottom w:val="single" w:sz="4" w:space="0" w:color="auto"/>
              <w:right w:val="single" w:sz="4" w:space="0" w:color="auto"/>
            </w:tcBorders>
            <w:vAlign w:val="center"/>
          </w:tcPr>
          <w:p w:rsidR="00C81B24" w:rsidRPr="00C81B24" w:rsidRDefault="00C81B24" w:rsidP="00CE5850">
            <w:pPr>
              <w:rPr>
                <w:sz w:val="20"/>
              </w:rPr>
            </w:pPr>
            <w:r w:rsidRPr="00C81B24">
              <w:rPr>
                <w:sz w:val="20"/>
              </w:rPr>
              <w:t>Idaho Falls, ID-WY</w:t>
            </w:r>
          </w:p>
        </w:tc>
        <w:tc>
          <w:tcPr>
            <w:tcW w:w="1102"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320,730</w:t>
            </w:r>
          </w:p>
        </w:tc>
        <w:tc>
          <w:tcPr>
            <w:tcW w:w="1155"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365,056</w:t>
            </w:r>
          </w:p>
        </w:tc>
        <w:tc>
          <w:tcPr>
            <w:tcW w:w="979"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88%</w:t>
            </w:r>
          </w:p>
        </w:tc>
        <w:tc>
          <w:tcPr>
            <w:tcW w:w="635" w:type="dxa"/>
            <w:tcBorders>
              <w:top w:val="nil"/>
              <w:left w:val="nil"/>
              <w:bottom w:val="single" w:sz="4" w:space="0" w:color="auto"/>
              <w:right w:val="single" w:sz="4" w:space="0" w:color="auto"/>
            </w:tcBorders>
            <w:noWrap/>
            <w:vAlign w:val="bottom"/>
          </w:tcPr>
          <w:p w:rsidR="00C81B24" w:rsidRPr="00C81B24" w:rsidRDefault="00C81B24" w:rsidP="00CE5850">
            <w:pPr>
              <w:rPr>
                <w:sz w:val="20"/>
              </w:rPr>
            </w:pPr>
            <w:r w:rsidRPr="00C81B24">
              <w:rPr>
                <w:sz w:val="20"/>
              </w:rPr>
              <w:t>4546</w:t>
            </w:r>
          </w:p>
        </w:tc>
        <w:tc>
          <w:tcPr>
            <w:tcW w:w="536"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4512</w:t>
            </w:r>
          </w:p>
        </w:tc>
        <w:tc>
          <w:tcPr>
            <w:tcW w:w="736"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13.12</w:t>
            </w:r>
          </w:p>
        </w:tc>
      </w:tr>
      <w:tr w:rsidR="00C81B24" w:rsidRPr="00C81B24" w:rsidTr="00526AD9">
        <w:trPr>
          <w:trHeight w:val="255"/>
          <w:jc w:val="center"/>
        </w:trPr>
        <w:tc>
          <w:tcPr>
            <w:tcW w:w="554" w:type="dxa"/>
            <w:tcBorders>
              <w:top w:val="nil"/>
              <w:left w:val="single" w:sz="4" w:space="0" w:color="auto"/>
              <w:bottom w:val="single" w:sz="4" w:space="0" w:color="auto"/>
              <w:right w:val="single" w:sz="4" w:space="0" w:color="auto"/>
            </w:tcBorders>
            <w:vAlign w:val="bottom"/>
          </w:tcPr>
          <w:p w:rsidR="00C81B24" w:rsidRPr="00C81B24" w:rsidRDefault="00C81B24" w:rsidP="00CE5850">
            <w:pPr>
              <w:rPr>
                <w:sz w:val="20"/>
              </w:rPr>
            </w:pPr>
            <w:r w:rsidRPr="00C81B24">
              <w:rPr>
                <w:sz w:val="20"/>
              </w:rPr>
              <w:t>127</w:t>
            </w:r>
          </w:p>
        </w:tc>
        <w:tc>
          <w:tcPr>
            <w:tcW w:w="456" w:type="dxa"/>
            <w:tcBorders>
              <w:top w:val="nil"/>
              <w:left w:val="single" w:sz="4" w:space="0" w:color="auto"/>
              <w:bottom w:val="single" w:sz="4" w:space="0" w:color="auto"/>
              <w:right w:val="single" w:sz="4" w:space="0" w:color="auto"/>
            </w:tcBorders>
            <w:vAlign w:val="center"/>
          </w:tcPr>
          <w:p w:rsidR="00C81B24" w:rsidRPr="00C81B24" w:rsidRDefault="00C81B24" w:rsidP="00CE5850">
            <w:pPr>
              <w:rPr>
                <w:sz w:val="20"/>
              </w:rPr>
            </w:pPr>
            <w:r w:rsidRPr="00C81B24">
              <w:rPr>
                <w:sz w:val="20"/>
              </w:rPr>
              <w:t>157</w:t>
            </w:r>
          </w:p>
        </w:tc>
        <w:tc>
          <w:tcPr>
            <w:tcW w:w="4012" w:type="dxa"/>
            <w:tcBorders>
              <w:top w:val="nil"/>
              <w:left w:val="nil"/>
              <w:bottom w:val="single" w:sz="4" w:space="0" w:color="auto"/>
              <w:right w:val="single" w:sz="4" w:space="0" w:color="auto"/>
            </w:tcBorders>
            <w:vAlign w:val="center"/>
          </w:tcPr>
          <w:p w:rsidR="00C81B24" w:rsidRPr="00C81B24" w:rsidRDefault="00C81B24" w:rsidP="00CE5850">
            <w:pPr>
              <w:rPr>
                <w:sz w:val="20"/>
              </w:rPr>
            </w:pPr>
            <w:r w:rsidRPr="00C81B24">
              <w:rPr>
                <w:sz w:val="20"/>
              </w:rPr>
              <w:t>El Paso, TX-NM</w:t>
            </w:r>
          </w:p>
        </w:tc>
        <w:tc>
          <w:tcPr>
            <w:tcW w:w="1102"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983,351</w:t>
            </w:r>
          </w:p>
        </w:tc>
        <w:tc>
          <w:tcPr>
            <w:tcW w:w="1155"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1,112,036</w:t>
            </w:r>
          </w:p>
        </w:tc>
        <w:tc>
          <w:tcPr>
            <w:tcW w:w="979"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88%</w:t>
            </w:r>
          </w:p>
        </w:tc>
        <w:tc>
          <w:tcPr>
            <w:tcW w:w="635" w:type="dxa"/>
            <w:tcBorders>
              <w:top w:val="nil"/>
              <w:left w:val="nil"/>
              <w:bottom w:val="single" w:sz="4" w:space="0" w:color="auto"/>
              <w:right w:val="single" w:sz="4" w:space="0" w:color="auto"/>
            </w:tcBorders>
            <w:noWrap/>
            <w:vAlign w:val="bottom"/>
          </w:tcPr>
          <w:p w:rsidR="00C81B24" w:rsidRPr="00C81B24" w:rsidRDefault="00C81B24" w:rsidP="00CE5850">
            <w:pPr>
              <w:rPr>
                <w:sz w:val="20"/>
              </w:rPr>
            </w:pPr>
            <w:r w:rsidRPr="00C81B24">
              <w:rPr>
                <w:sz w:val="20"/>
              </w:rPr>
              <w:t>2303</w:t>
            </w:r>
          </w:p>
        </w:tc>
        <w:tc>
          <w:tcPr>
            <w:tcW w:w="536"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2278</w:t>
            </w:r>
          </w:p>
        </w:tc>
        <w:tc>
          <w:tcPr>
            <w:tcW w:w="736"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38.58</w:t>
            </w:r>
          </w:p>
        </w:tc>
      </w:tr>
      <w:tr w:rsidR="00C81B24" w:rsidRPr="00C81B24" w:rsidTr="00526AD9">
        <w:trPr>
          <w:trHeight w:val="255"/>
          <w:jc w:val="center"/>
        </w:trPr>
        <w:tc>
          <w:tcPr>
            <w:tcW w:w="554" w:type="dxa"/>
            <w:tcBorders>
              <w:top w:val="nil"/>
              <w:left w:val="single" w:sz="4" w:space="0" w:color="auto"/>
              <w:bottom w:val="single" w:sz="4" w:space="0" w:color="auto"/>
              <w:right w:val="single" w:sz="4" w:space="0" w:color="auto"/>
            </w:tcBorders>
            <w:vAlign w:val="bottom"/>
          </w:tcPr>
          <w:p w:rsidR="00C81B24" w:rsidRPr="00C81B24" w:rsidRDefault="00C81B24" w:rsidP="00CE5850">
            <w:pPr>
              <w:rPr>
                <w:sz w:val="20"/>
              </w:rPr>
            </w:pPr>
            <w:r w:rsidRPr="00C81B24">
              <w:rPr>
                <w:sz w:val="20"/>
              </w:rPr>
              <w:t>128</w:t>
            </w:r>
          </w:p>
        </w:tc>
        <w:tc>
          <w:tcPr>
            <w:tcW w:w="456" w:type="dxa"/>
            <w:tcBorders>
              <w:top w:val="nil"/>
              <w:left w:val="single" w:sz="4" w:space="0" w:color="auto"/>
              <w:bottom w:val="single" w:sz="4" w:space="0" w:color="auto"/>
              <w:right w:val="single" w:sz="4" w:space="0" w:color="auto"/>
            </w:tcBorders>
            <w:vAlign w:val="center"/>
          </w:tcPr>
          <w:p w:rsidR="00C81B24" w:rsidRPr="00C81B24" w:rsidRDefault="00C81B24" w:rsidP="00CE5850">
            <w:pPr>
              <w:rPr>
                <w:sz w:val="20"/>
              </w:rPr>
            </w:pPr>
            <w:r w:rsidRPr="00C81B24">
              <w:rPr>
                <w:sz w:val="20"/>
              </w:rPr>
              <w:t>158</w:t>
            </w:r>
          </w:p>
        </w:tc>
        <w:tc>
          <w:tcPr>
            <w:tcW w:w="4012" w:type="dxa"/>
            <w:tcBorders>
              <w:top w:val="nil"/>
              <w:left w:val="nil"/>
              <w:bottom w:val="single" w:sz="4" w:space="0" w:color="auto"/>
              <w:right w:val="single" w:sz="4" w:space="0" w:color="auto"/>
            </w:tcBorders>
            <w:vAlign w:val="center"/>
          </w:tcPr>
          <w:p w:rsidR="00C81B24" w:rsidRPr="00C81B24" w:rsidRDefault="00C81B24" w:rsidP="00CE5850">
            <w:pPr>
              <w:rPr>
                <w:sz w:val="20"/>
              </w:rPr>
            </w:pPr>
            <w:r w:rsidRPr="00C81B24">
              <w:rPr>
                <w:sz w:val="20"/>
              </w:rPr>
              <w:t>Phoenix-Mesa, AZ-NM</w:t>
            </w:r>
          </w:p>
        </w:tc>
        <w:tc>
          <w:tcPr>
            <w:tcW w:w="1102"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3,817,971</w:t>
            </w:r>
          </w:p>
        </w:tc>
        <w:tc>
          <w:tcPr>
            <w:tcW w:w="1155"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4,351,644</w:t>
            </w:r>
          </w:p>
        </w:tc>
        <w:tc>
          <w:tcPr>
            <w:tcW w:w="979"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88%</w:t>
            </w:r>
          </w:p>
        </w:tc>
        <w:tc>
          <w:tcPr>
            <w:tcW w:w="635" w:type="dxa"/>
            <w:tcBorders>
              <w:top w:val="nil"/>
              <w:left w:val="nil"/>
              <w:bottom w:val="single" w:sz="4" w:space="0" w:color="auto"/>
              <w:right w:val="single" w:sz="4" w:space="0" w:color="auto"/>
            </w:tcBorders>
            <w:noWrap/>
            <w:vAlign w:val="bottom"/>
          </w:tcPr>
          <w:p w:rsidR="00C81B24" w:rsidRPr="00C81B24" w:rsidRDefault="00C81B24" w:rsidP="00CE5850">
            <w:pPr>
              <w:rPr>
                <w:sz w:val="20"/>
              </w:rPr>
            </w:pPr>
            <w:r w:rsidRPr="00C81B24">
              <w:rPr>
                <w:sz w:val="20"/>
              </w:rPr>
              <w:t>2814</w:t>
            </w:r>
          </w:p>
        </w:tc>
        <w:tc>
          <w:tcPr>
            <w:tcW w:w="536"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2792</w:t>
            </w:r>
          </w:p>
        </w:tc>
        <w:tc>
          <w:tcPr>
            <w:tcW w:w="736"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120.37</w:t>
            </w:r>
          </w:p>
        </w:tc>
      </w:tr>
      <w:tr w:rsidR="00C81B24" w:rsidRPr="00C81B24" w:rsidTr="00526AD9">
        <w:trPr>
          <w:trHeight w:val="255"/>
          <w:jc w:val="center"/>
        </w:trPr>
        <w:tc>
          <w:tcPr>
            <w:tcW w:w="554" w:type="dxa"/>
            <w:tcBorders>
              <w:top w:val="nil"/>
              <w:left w:val="single" w:sz="4" w:space="0" w:color="auto"/>
              <w:bottom w:val="single" w:sz="4" w:space="0" w:color="auto"/>
              <w:right w:val="single" w:sz="4" w:space="0" w:color="auto"/>
            </w:tcBorders>
            <w:vAlign w:val="bottom"/>
          </w:tcPr>
          <w:p w:rsidR="00C81B24" w:rsidRPr="00C81B24" w:rsidRDefault="00C81B24" w:rsidP="00CE5850">
            <w:pPr>
              <w:rPr>
                <w:sz w:val="20"/>
              </w:rPr>
            </w:pPr>
            <w:r w:rsidRPr="00C81B24">
              <w:rPr>
                <w:sz w:val="20"/>
              </w:rPr>
              <w:t>129</w:t>
            </w:r>
          </w:p>
        </w:tc>
        <w:tc>
          <w:tcPr>
            <w:tcW w:w="456" w:type="dxa"/>
            <w:tcBorders>
              <w:top w:val="nil"/>
              <w:left w:val="single" w:sz="4" w:space="0" w:color="auto"/>
              <w:bottom w:val="single" w:sz="4" w:space="0" w:color="auto"/>
              <w:right w:val="single" w:sz="4" w:space="0" w:color="auto"/>
            </w:tcBorders>
            <w:vAlign w:val="center"/>
          </w:tcPr>
          <w:p w:rsidR="00C81B24" w:rsidRPr="00C81B24" w:rsidRDefault="00C81B24" w:rsidP="00CE5850">
            <w:pPr>
              <w:rPr>
                <w:sz w:val="20"/>
              </w:rPr>
            </w:pPr>
            <w:r w:rsidRPr="00C81B24">
              <w:rPr>
                <w:sz w:val="20"/>
              </w:rPr>
              <w:t>159</w:t>
            </w:r>
          </w:p>
        </w:tc>
        <w:tc>
          <w:tcPr>
            <w:tcW w:w="4012" w:type="dxa"/>
            <w:tcBorders>
              <w:top w:val="nil"/>
              <w:left w:val="nil"/>
              <w:bottom w:val="single" w:sz="4" w:space="0" w:color="auto"/>
              <w:right w:val="single" w:sz="4" w:space="0" w:color="auto"/>
            </w:tcBorders>
            <w:vAlign w:val="center"/>
          </w:tcPr>
          <w:p w:rsidR="00C81B24" w:rsidRPr="00C81B24" w:rsidRDefault="00C81B24" w:rsidP="00CE5850">
            <w:pPr>
              <w:rPr>
                <w:sz w:val="20"/>
              </w:rPr>
            </w:pPr>
            <w:r w:rsidRPr="00C81B24">
              <w:rPr>
                <w:sz w:val="20"/>
              </w:rPr>
              <w:t>Tucson, AZ</w:t>
            </w:r>
          </w:p>
        </w:tc>
        <w:tc>
          <w:tcPr>
            <w:tcW w:w="1102"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1,017,410</w:t>
            </w:r>
          </w:p>
        </w:tc>
        <w:tc>
          <w:tcPr>
            <w:tcW w:w="1155"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1,159,029</w:t>
            </w:r>
          </w:p>
        </w:tc>
        <w:tc>
          <w:tcPr>
            <w:tcW w:w="979"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88%</w:t>
            </w:r>
          </w:p>
        </w:tc>
        <w:tc>
          <w:tcPr>
            <w:tcW w:w="635" w:type="dxa"/>
            <w:tcBorders>
              <w:top w:val="nil"/>
              <w:left w:val="nil"/>
              <w:bottom w:val="single" w:sz="4" w:space="0" w:color="auto"/>
              <w:right w:val="single" w:sz="4" w:space="0" w:color="auto"/>
            </w:tcBorders>
            <w:noWrap/>
            <w:vAlign w:val="bottom"/>
          </w:tcPr>
          <w:p w:rsidR="00C81B24" w:rsidRPr="00C81B24" w:rsidRDefault="00C81B24" w:rsidP="00CE5850">
            <w:pPr>
              <w:rPr>
                <w:sz w:val="20"/>
              </w:rPr>
            </w:pPr>
            <w:r w:rsidRPr="00C81B24">
              <w:rPr>
                <w:sz w:val="20"/>
              </w:rPr>
              <w:t>2765</w:t>
            </w:r>
          </w:p>
        </w:tc>
        <w:tc>
          <w:tcPr>
            <w:tcW w:w="536"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2732</w:t>
            </w:r>
          </w:p>
        </w:tc>
        <w:tc>
          <w:tcPr>
            <w:tcW w:w="736"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69.86</w:t>
            </w:r>
          </w:p>
        </w:tc>
      </w:tr>
      <w:tr w:rsidR="00C81B24" w:rsidRPr="00C81B24" w:rsidTr="00526AD9">
        <w:trPr>
          <w:trHeight w:val="255"/>
          <w:jc w:val="center"/>
        </w:trPr>
        <w:tc>
          <w:tcPr>
            <w:tcW w:w="554" w:type="dxa"/>
            <w:tcBorders>
              <w:top w:val="nil"/>
              <w:left w:val="single" w:sz="4" w:space="0" w:color="auto"/>
              <w:bottom w:val="single" w:sz="4" w:space="0" w:color="auto"/>
              <w:right w:val="single" w:sz="4" w:space="0" w:color="auto"/>
            </w:tcBorders>
            <w:vAlign w:val="bottom"/>
          </w:tcPr>
          <w:p w:rsidR="00C81B24" w:rsidRPr="00C81B24" w:rsidRDefault="00C81B24" w:rsidP="00CE5850">
            <w:pPr>
              <w:rPr>
                <w:sz w:val="20"/>
              </w:rPr>
            </w:pPr>
            <w:r w:rsidRPr="00C81B24">
              <w:rPr>
                <w:sz w:val="20"/>
              </w:rPr>
              <w:t>130</w:t>
            </w:r>
          </w:p>
        </w:tc>
        <w:tc>
          <w:tcPr>
            <w:tcW w:w="456" w:type="dxa"/>
            <w:tcBorders>
              <w:top w:val="nil"/>
              <w:left w:val="single" w:sz="4" w:space="0" w:color="auto"/>
              <w:bottom w:val="single" w:sz="4" w:space="0" w:color="auto"/>
              <w:right w:val="single" w:sz="4" w:space="0" w:color="auto"/>
            </w:tcBorders>
            <w:vAlign w:val="center"/>
          </w:tcPr>
          <w:p w:rsidR="00C81B24" w:rsidRPr="00C81B24" w:rsidRDefault="00C81B24" w:rsidP="00CE5850">
            <w:pPr>
              <w:rPr>
                <w:sz w:val="20"/>
              </w:rPr>
            </w:pPr>
            <w:r w:rsidRPr="00C81B24">
              <w:rPr>
                <w:sz w:val="20"/>
              </w:rPr>
              <w:t>164</w:t>
            </w:r>
          </w:p>
        </w:tc>
        <w:tc>
          <w:tcPr>
            <w:tcW w:w="4012" w:type="dxa"/>
            <w:tcBorders>
              <w:top w:val="nil"/>
              <w:left w:val="nil"/>
              <w:bottom w:val="single" w:sz="4" w:space="0" w:color="auto"/>
              <w:right w:val="single" w:sz="4" w:space="0" w:color="auto"/>
            </w:tcBorders>
            <w:vAlign w:val="center"/>
          </w:tcPr>
          <w:p w:rsidR="00C81B24" w:rsidRPr="00C81B24" w:rsidRDefault="00C81B24" w:rsidP="00CE5850">
            <w:pPr>
              <w:rPr>
                <w:sz w:val="20"/>
              </w:rPr>
            </w:pPr>
            <w:r w:rsidRPr="00C81B24">
              <w:rPr>
                <w:sz w:val="20"/>
              </w:rPr>
              <w:t>Sacramento-Yolo, CA</w:t>
            </w:r>
          </w:p>
        </w:tc>
        <w:tc>
          <w:tcPr>
            <w:tcW w:w="1102"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2,382,826</w:t>
            </w:r>
          </w:p>
        </w:tc>
        <w:tc>
          <w:tcPr>
            <w:tcW w:w="1155"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2,722,415</w:t>
            </w:r>
          </w:p>
        </w:tc>
        <w:tc>
          <w:tcPr>
            <w:tcW w:w="979"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88%</w:t>
            </w:r>
          </w:p>
        </w:tc>
        <w:tc>
          <w:tcPr>
            <w:tcW w:w="635" w:type="dxa"/>
            <w:tcBorders>
              <w:top w:val="nil"/>
              <w:left w:val="nil"/>
              <w:bottom w:val="single" w:sz="4" w:space="0" w:color="auto"/>
              <w:right w:val="single" w:sz="4" w:space="0" w:color="auto"/>
            </w:tcBorders>
            <w:noWrap/>
            <w:vAlign w:val="bottom"/>
          </w:tcPr>
          <w:p w:rsidR="00C81B24" w:rsidRPr="00C81B24" w:rsidRDefault="00C81B24" w:rsidP="00CE5850">
            <w:pPr>
              <w:rPr>
                <w:sz w:val="20"/>
              </w:rPr>
            </w:pPr>
            <w:r w:rsidRPr="00C81B24">
              <w:rPr>
                <w:sz w:val="20"/>
              </w:rPr>
              <w:t>2706</w:t>
            </w:r>
          </w:p>
        </w:tc>
        <w:tc>
          <w:tcPr>
            <w:tcW w:w="536"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2831</w:t>
            </w:r>
          </w:p>
        </w:tc>
        <w:tc>
          <w:tcPr>
            <w:tcW w:w="736"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227.21</w:t>
            </w:r>
          </w:p>
        </w:tc>
      </w:tr>
      <w:tr w:rsidR="00C81B24" w:rsidRPr="00C81B24" w:rsidTr="00526AD9">
        <w:trPr>
          <w:trHeight w:val="255"/>
          <w:jc w:val="center"/>
        </w:trPr>
        <w:tc>
          <w:tcPr>
            <w:tcW w:w="554" w:type="dxa"/>
            <w:tcBorders>
              <w:top w:val="nil"/>
              <w:left w:val="single" w:sz="4" w:space="0" w:color="auto"/>
              <w:bottom w:val="single" w:sz="4" w:space="0" w:color="auto"/>
              <w:right w:val="single" w:sz="4" w:space="0" w:color="auto"/>
            </w:tcBorders>
            <w:vAlign w:val="bottom"/>
          </w:tcPr>
          <w:p w:rsidR="00C81B24" w:rsidRPr="00C81B24" w:rsidRDefault="00C81B24" w:rsidP="00CE5850">
            <w:pPr>
              <w:rPr>
                <w:sz w:val="20"/>
              </w:rPr>
            </w:pPr>
            <w:r w:rsidRPr="00C81B24">
              <w:rPr>
                <w:sz w:val="20"/>
              </w:rPr>
              <w:t>131</w:t>
            </w:r>
          </w:p>
        </w:tc>
        <w:tc>
          <w:tcPr>
            <w:tcW w:w="456" w:type="dxa"/>
            <w:tcBorders>
              <w:top w:val="nil"/>
              <w:left w:val="single" w:sz="4" w:space="0" w:color="auto"/>
              <w:bottom w:val="single" w:sz="4" w:space="0" w:color="auto"/>
              <w:right w:val="single" w:sz="4" w:space="0" w:color="auto"/>
            </w:tcBorders>
            <w:vAlign w:val="center"/>
          </w:tcPr>
          <w:p w:rsidR="00C81B24" w:rsidRPr="00C81B24" w:rsidRDefault="00C81B24" w:rsidP="00CE5850">
            <w:pPr>
              <w:rPr>
                <w:sz w:val="20"/>
              </w:rPr>
            </w:pPr>
            <w:r w:rsidRPr="00C81B24">
              <w:rPr>
                <w:sz w:val="20"/>
              </w:rPr>
              <w:t>21</w:t>
            </w:r>
          </w:p>
        </w:tc>
        <w:tc>
          <w:tcPr>
            <w:tcW w:w="4012" w:type="dxa"/>
            <w:tcBorders>
              <w:top w:val="nil"/>
              <w:left w:val="nil"/>
              <w:bottom w:val="single" w:sz="4" w:space="0" w:color="auto"/>
              <w:right w:val="single" w:sz="4" w:space="0" w:color="auto"/>
            </w:tcBorders>
            <w:vAlign w:val="center"/>
          </w:tcPr>
          <w:p w:rsidR="00C81B24" w:rsidRPr="00C81B24" w:rsidRDefault="00C81B24" w:rsidP="00CE5850">
            <w:pPr>
              <w:rPr>
                <w:sz w:val="20"/>
              </w:rPr>
            </w:pPr>
            <w:r w:rsidRPr="00C81B24">
              <w:rPr>
                <w:sz w:val="20"/>
              </w:rPr>
              <w:t>Greenville, NC</w:t>
            </w:r>
          </w:p>
        </w:tc>
        <w:tc>
          <w:tcPr>
            <w:tcW w:w="1102"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814,190</w:t>
            </w:r>
          </w:p>
        </w:tc>
        <w:tc>
          <w:tcPr>
            <w:tcW w:w="1155"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930,805</w:t>
            </w:r>
          </w:p>
        </w:tc>
        <w:tc>
          <w:tcPr>
            <w:tcW w:w="979"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87%</w:t>
            </w:r>
          </w:p>
        </w:tc>
        <w:tc>
          <w:tcPr>
            <w:tcW w:w="635" w:type="dxa"/>
            <w:tcBorders>
              <w:top w:val="nil"/>
              <w:left w:val="nil"/>
              <w:bottom w:val="single" w:sz="4" w:space="0" w:color="auto"/>
              <w:right w:val="single" w:sz="4" w:space="0" w:color="auto"/>
            </w:tcBorders>
            <w:noWrap/>
            <w:vAlign w:val="bottom"/>
          </w:tcPr>
          <w:p w:rsidR="00C81B24" w:rsidRPr="00C81B24" w:rsidRDefault="00C81B24" w:rsidP="00CE5850">
            <w:pPr>
              <w:rPr>
                <w:sz w:val="20"/>
              </w:rPr>
            </w:pPr>
            <w:r w:rsidRPr="00C81B24">
              <w:rPr>
                <w:sz w:val="20"/>
              </w:rPr>
              <w:t>2617</w:t>
            </w:r>
          </w:p>
        </w:tc>
        <w:tc>
          <w:tcPr>
            <w:tcW w:w="536"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2599</w:t>
            </w:r>
          </w:p>
        </w:tc>
        <w:tc>
          <w:tcPr>
            <w:tcW w:w="736"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109.57</w:t>
            </w:r>
          </w:p>
        </w:tc>
      </w:tr>
      <w:tr w:rsidR="00C81B24" w:rsidRPr="00C81B24" w:rsidTr="00526AD9">
        <w:trPr>
          <w:trHeight w:val="255"/>
          <w:jc w:val="center"/>
        </w:trPr>
        <w:tc>
          <w:tcPr>
            <w:tcW w:w="554" w:type="dxa"/>
            <w:tcBorders>
              <w:top w:val="nil"/>
              <w:left w:val="single" w:sz="4" w:space="0" w:color="auto"/>
              <w:bottom w:val="single" w:sz="4" w:space="0" w:color="auto"/>
              <w:right w:val="single" w:sz="4" w:space="0" w:color="auto"/>
            </w:tcBorders>
            <w:vAlign w:val="bottom"/>
          </w:tcPr>
          <w:p w:rsidR="00C81B24" w:rsidRPr="00C81B24" w:rsidRDefault="00C81B24" w:rsidP="00CE5850">
            <w:pPr>
              <w:rPr>
                <w:sz w:val="20"/>
              </w:rPr>
            </w:pPr>
            <w:r w:rsidRPr="00C81B24">
              <w:rPr>
                <w:sz w:val="20"/>
              </w:rPr>
              <w:t>132</w:t>
            </w:r>
          </w:p>
        </w:tc>
        <w:tc>
          <w:tcPr>
            <w:tcW w:w="456" w:type="dxa"/>
            <w:tcBorders>
              <w:top w:val="nil"/>
              <w:left w:val="single" w:sz="4" w:space="0" w:color="auto"/>
              <w:bottom w:val="single" w:sz="4" w:space="0" w:color="auto"/>
              <w:right w:val="single" w:sz="4" w:space="0" w:color="auto"/>
            </w:tcBorders>
            <w:vAlign w:val="center"/>
          </w:tcPr>
          <w:p w:rsidR="00C81B24" w:rsidRPr="00C81B24" w:rsidRDefault="00C81B24" w:rsidP="00CE5850">
            <w:pPr>
              <w:rPr>
                <w:sz w:val="20"/>
              </w:rPr>
            </w:pPr>
            <w:r w:rsidRPr="00C81B24">
              <w:rPr>
                <w:sz w:val="20"/>
              </w:rPr>
              <w:t>59</w:t>
            </w:r>
          </w:p>
        </w:tc>
        <w:tc>
          <w:tcPr>
            <w:tcW w:w="4012" w:type="dxa"/>
            <w:tcBorders>
              <w:top w:val="nil"/>
              <w:left w:val="nil"/>
              <w:bottom w:val="single" w:sz="4" w:space="0" w:color="auto"/>
              <w:right w:val="single" w:sz="4" w:space="0" w:color="auto"/>
            </w:tcBorders>
            <w:vAlign w:val="center"/>
          </w:tcPr>
          <w:p w:rsidR="00C81B24" w:rsidRPr="00C81B24" w:rsidRDefault="00C81B24" w:rsidP="00CE5850">
            <w:pPr>
              <w:rPr>
                <w:sz w:val="20"/>
              </w:rPr>
            </w:pPr>
            <w:r w:rsidRPr="00C81B24">
              <w:rPr>
                <w:sz w:val="20"/>
              </w:rPr>
              <w:t>Green Bay, WI-MI</w:t>
            </w:r>
          </w:p>
        </w:tc>
        <w:tc>
          <w:tcPr>
            <w:tcW w:w="1102"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597,505</w:t>
            </w:r>
          </w:p>
        </w:tc>
        <w:tc>
          <w:tcPr>
            <w:tcW w:w="1155"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687,392</w:t>
            </w:r>
          </w:p>
        </w:tc>
        <w:tc>
          <w:tcPr>
            <w:tcW w:w="979"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87%</w:t>
            </w:r>
          </w:p>
        </w:tc>
        <w:tc>
          <w:tcPr>
            <w:tcW w:w="635" w:type="dxa"/>
            <w:tcBorders>
              <w:top w:val="nil"/>
              <w:left w:val="nil"/>
              <w:bottom w:val="single" w:sz="4" w:space="0" w:color="auto"/>
              <w:right w:val="single" w:sz="4" w:space="0" w:color="auto"/>
            </w:tcBorders>
            <w:noWrap/>
            <w:vAlign w:val="bottom"/>
          </w:tcPr>
          <w:p w:rsidR="00C81B24" w:rsidRPr="00C81B24" w:rsidRDefault="00C81B24" w:rsidP="00CE5850">
            <w:pPr>
              <w:rPr>
                <w:sz w:val="20"/>
              </w:rPr>
            </w:pPr>
            <w:r w:rsidRPr="00C81B24">
              <w:rPr>
                <w:sz w:val="20"/>
              </w:rPr>
              <w:t>2496</w:t>
            </w:r>
          </w:p>
        </w:tc>
        <w:tc>
          <w:tcPr>
            <w:tcW w:w="536"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2476</w:t>
            </w:r>
          </w:p>
        </w:tc>
        <w:tc>
          <w:tcPr>
            <w:tcW w:w="736"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35.90</w:t>
            </w:r>
          </w:p>
        </w:tc>
      </w:tr>
      <w:tr w:rsidR="00C81B24" w:rsidRPr="00C81B24" w:rsidTr="00526AD9">
        <w:trPr>
          <w:trHeight w:val="255"/>
          <w:jc w:val="center"/>
        </w:trPr>
        <w:tc>
          <w:tcPr>
            <w:tcW w:w="554" w:type="dxa"/>
            <w:tcBorders>
              <w:top w:val="nil"/>
              <w:left w:val="single" w:sz="4" w:space="0" w:color="auto"/>
              <w:bottom w:val="single" w:sz="4" w:space="0" w:color="auto"/>
              <w:right w:val="single" w:sz="4" w:space="0" w:color="auto"/>
            </w:tcBorders>
            <w:vAlign w:val="bottom"/>
          </w:tcPr>
          <w:p w:rsidR="00C81B24" w:rsidRPr="00C81B24" w:rsidRDefault="00C81B24" w:rsidP="00CE5850">
            <w:pPr>
              <w:rPr>
                <w:sz w:val="20"/>
              </w:rPr>
            </w:pPr>
            <w:r w:rsidRPr="00C81B24">
              <w:rPr>
                <w:sz w:val="20"/>
              </w:rPr>
              <w:t>133</w:t>
            </w:r>
          </w:p>
        </w:tc>
        <w:tc>
          <w:tcPr>
            <w:tcW w:w="456" w:type="dxa"/>
            <w:tcBorders>
              <w:top w:val="nil"/>
              <w:left w:val="single" w:sz="4" w:space="0" w:color="auto"/>
              <w:bottom w:val="single" w:sz="4" w:space="0" w:color="auto"/>
              <w:right w:val="single" w:sz="4" w:space="0" w:color="auto"/>
            </w:tcBorders>
            <w:vAlign w:val="center"/>
          </w:tcPr>
          <w:p w:rsidR="00C81B24" w:rsidRPr="00C81B24" w:rsidRDefault="00C81B24" w:rsidP="00CE5850">
            <w:pPr>
              <w:rPr>
                <w:sz w:val="20"/>
              </w:rPr>
            </w:pPr>
            <w:r w:rsidRPr="00C81B24">
              <w:rPr>
                <w:sz w:val="20"/>
              </w:rPr>
              <w:t>68</w:t>
            </w:r>
          </w:p>
        </w:tc>
        <w:tc>
          <w:tcPr>
            <w:tcW w:w="4012" w:type="dxa"/>
            <w:tcBorders>
              <w:top w:val="nil"/>
              <w:left w:val="nil"/>
              <w:bottom w:val="single" w:sz="4" w:space="0" w:color="auto"/>
              <w:right w:val="single" w:sz="4" w:space="0" w:color="auto"/>
            </w:tcBorders>
            <w:vAlign w:val="center"/>
          </w:tcPr>
          <w:p w:rsidR="00C81B24" w:rsidRPr="00C81B24" w:rsidRDefault="00C81B24" w:rsidP="00CE5850">
            <w:pPr>
              <w:rPr>
                <w:sz w:val="20"/>
              </w:rPr>
            </w:pPr>
            <w:r w:rsidRPr="00C81B24">
              <w:rPr>
                <w:sz w:val="20"/>
              </w:rPr>
              <w:t>Champaign-Urbana, IL</w:t>
            </w:r>
          </w:p>
        </w:tc>
        <w:tc>
          <w:tcPr>
            <w:tcW w:w="1102"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558,652</w:t>
            </w:r>
          </w:p>
        </w:tc>
        <w:tc>
          <w:tcPr>
            <w:tcW w:w="1155"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644,865</w:t>
            </w:r>
          </w:p>
        </w:tc>
        <w:tc>
          <w:tcPr>
            <w:tcW w:w="979"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87%</w:t>
            </w:r>
          </w:p>
        </w:tc>
        <w:tc>
          <w:tcPr>
            <w:tcW w:w="635" w:type="dxa"/>
            <w:tcBorders>
              <w:top w:val="nil"/>
              <w:left w:val="nil"/>
              <w:bottom w:val="single" w:sz="4" w:space="0" w:color="auto"/>
              <w:right w:val="single" w:sz="4" w:space="0" w:color="auto"/>
            </w:tcBorders>
            <w:noWrap/>
            <w:vAlign w:val="bottom"/>
          </w:tcPr>
          <w:p w:rsidR="00C81B24" w:rsidRPr="00C81B24" w:rsidRDefault="00C81B24" w:rsidP="00CE5850">
            <w:pPr>
              <w:rPr>
                <w:sz w:val="20"/>
              </w:rPr>
            </w:pPr>
            <w:r w:rsidRPr="00C81B24">
              <w:rPr>
                <w:sz w:val="20"/>
              </w:rPr>
              <w:t>3634</w:t>
            </w:r>
          </w:p>
        </w:tc>
        <w:tc>
          <w:tcPr>
            <w:tcW w:w="536"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3546</w:t>
            </w:r>
          </w:p>
        </w:tc>
        <w:tc>
          <w:tcPr>
            <w:tcW w:w="736"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75.45</w:t>
            </w:r>
          </w:p>
        </w:tc>
      </w:tr>
      <w:tr w:rsidR="00C81B24" w:rsidRPr="00C81B24" w:rsidTr="00526AD9">
        <w:trPr>
          <w:trHeight w:val="255"/>
          <w:jc w:val="center"/>
        </w:trPr>
        <w:tc>
          <w:tcPr>
            <w:tcW w:w="554" w:type="dxa"/>
            <w:tcBorders>
              <w:top w:val="nil"/>
              <w:left w:val="single" w:sz="4" w:space="0" w:color="auto"/>
              <w:bottom w:val="single" w:sz="4" w:space="0" w:color="auto"/>
              <w:right w:val="single" w:sz="4" w:space="0" w:color="auto"/>
            </w:tcBorders>
            <w:vAlign w:val="bottom"/>
          </w:tcPr>
          <w:p w:rsidR="00C81B24" w:rsidRPr="00C81B24" w:rsidRDefault="00C81B24" w:rsidP="00CE5850">
            <w:pPr>
              <w:rPr>
                <w:sz w:val="20"/>
              </w:rPr>
            </w:pPr>
            <w:r w:rsidRPr="00C81B24">
              <w:rPr>
                <w:sz w:val="20"/>
              </w:rPr>
              <w:t>134</w:t>
            </w:r>
          </w:p>
        </w:tc>
        <w:tc>
          <w:tcPr>
            <w:tcW w:w="456" w:type="dxa"/>
            <w:tcBorders>
              <w:top w:val="nil"/>
              <w:left w:val="single" w:sz="4" w:space="0" w:color="auto"/>
              <w:bottom w:val="single" w:sz="4" w:space="0" w:color="auto"/>
              <w:right w:val="single" w:sz="4" w:space="0" w:color="auto"/>
            </w:tcBorders>
            <w:vAlign w:val="center"/>
          </w:tcPr>
          <w:p w:rsidR="00C81B24" w:rsidRPr="00C81B24" w:rsidRDefault="00C81B24" w:rsidP="00CE5850">
            <w:pPr>
              <w:rPr>
                <w:sz w:val="20"/>
              </w:rPr>
            </w:pPr>
            <w:r w:rsidRPr="00C81B24">
              <w:rPr>
                <w:sz w:val="20"/>
              </w:rPr>
              <w:t>91</w:t>
            </w:r>
          </w:p>
        </w:tc>
        <w:tc>
          <w:tcPr>
            <w:tcW w:w="4012" w:type="dxa"/>
            <w:tcBorders>
              <w:top w:val="nil"/>
              <w:left w:val="nil"/>
              <w:bottom w:val="single" w:sz="4" w:space="0" w:color="auto"/>
              <w:right w:val="single" w:sz="4" w:space="0" w:color="auto"/>
            </w:tcBorders>
            <w:vAlign w:val="center"/>
          </w:tcPr>
          <w:p w:rsidR="00C81B24" w:rsidRPr="00C81B24" w:rsidRDefault="00C81B24" w:rsidP="00CE5850">
            <w:pPr>
              <w:rPr>
                <w:sz w:val="20"/>
              </w:rPr>
            </w:pPr>
            <w:r w:rsidRPr="00C81B24">
              <w:rPr>
                <w:sz w:val="20"/>
              </w:rPr>
              <w:t>Fort Smith, AR-OK</w:t>
            </w:r>
          </w:p>
        </w:tc>
        <w:tc>
          <w:tcPr>
            <w:tcW w:w="1102"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309,357</w:t>
            </w:r>
          </w:p>
        </w:tc>
        <w:tc>
          <w:tcPr>
            <w:tcW w:w="1155"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356,101</w:t>
            </w:r>
          </w:p>
        </w:tc>
        <w:tc>
          <w:tcPr>
            <w:tcW w:w="979"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87%</w:t>
            </w:r>
          </w:p>
        </w:tc>
        <w:tc>
          <w:tcPr>
            <w:tcW w:w="635" w:type="dxa"/>
            <w:tcBorders>
              <w:top w:val="nil"/>
              <w:left w:val="nil"/>
              <w:bottom w:val="single" w:sz="4" w:space="0" w:color="auto"/>
              <w:right w:val="single" w:sz="4" w:space="0" w:color="auto"/>
            </w:tcBorders>
            <w:noWrap/>
            <w:vAlign w:val="bottom"/>
          </w:tcPr>
          <w:p w:rsidR="00C81B24" w:rsidRPr="00C81B24" w:rsidRDefault="00C81B24" w:rsidP="00CE5850">
            <w:pPr>
              <w:rPr>
                <w:sz w:val="20"/>
              </w:rPr>
            </w:pPr>
            <w:r w:rsidRPr="00C81B24">
              <w:rPr>
                <w:sz w:val="20"/>
              </w:rPr>
              <w:t>4091</w:t>
            </w:r>
          </w:p>
        </w:tc>
        <w:tc>
          <w:tcPr>
            <w:tcW w:w="536"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4084</w:t>
            </w:r>
          </w:p>
        </w:tc>
        <w:tc>
          <w:tcPr>
            <w:tcW w:w="736"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51.64</w:t>
            </w:r>
          </w:p>
        </w:tc>
      </w:tr>
      <w:tr w:rsidR="00C81B24" w:rsidRPr="00C81B24" w:rsidTr="00526AD9">
        <w:trPr>
          <w:trHeight w:val="255"/>
          <w:jc w:val="center"/>
        </w:trPr>
        <w:tc>
          <w:tcPr>
            <w:tcW w:w="554" w:type="dxa"/>
            <w:tcBorders>
              <w:top w:val="nil"/>
              <w:left w:val="single" w:sz="4" w:space="0" w:color="auto"/>
              <w:bottom w:val="single" w:sz="4" w:space="0" w:color="auto"/>
              <w:right w:val="single" w:sz="4" w:space="0" w:color="auto"/>
            </w:tcBorders>
            <w:vAlign w:val="bottom"/>
          </w:tcPr>
          <w:p w:rsidR="00C81B24" w:rsidRPr="00C81B24" w:rsidRDefault="00C81B24" w:rsidP="00CE5850">
            <w:pPr>
              <w:rPr>
                <w:sz w:val="20"/>
              </w:rPr>
            </w:pPr>
            <w:r w:rsidRPr="00C81B24">
              <w:rPr>
                <w:sz w:val="20"/>
              </w:rPr>
              <w:t>135</w:t>
            </w:r>
          </w:p>
        </w:tc>
        <w:tc>
          <w:tcPr>
            <w:tcW w:w="456" w:type="dxa"/>
            <w:tcBorders>
              <w:top w:val="nil"/>
              <w:left w:val="single" w:sz="4" w:space="0" w:color="auto"/>
              <w:bottom w:val="single" w:sz="4" w:space="0" w:color="auto"/>
              <w:right w:val="single" w:sz="4" w:space="0" w:color="auto"/>
            </w:tcBorders>
            <w:vAlign w:val="center"/>
          </w:tcPr>
          <w:p w:rsidR="00C81B24" w:rsidRPr="00C81B24" w:rsidRDefault="00C81B24" w:rsidP="00CE5850">
            <w:pPr>
              <w:rPr>
                <w:sz w:val="20"/>
              </w:rPr>
            </w:pPr>
            <w:r w:rsidRPr="00C81B24">
              <w:rPr>
                <w:sz w:val="20"/>
              </w:rPr>
              <w:t>100</w:t>
            </w:r>
          </w:p>
        </w:tc>
        <w:tc>
          <w:tcPr>
            <w:tcW w:w="4012" w:type="dxa"/>
            <w:tcBorders>
              <w:top w:val="nil"/>
              <w:left w:val="nil"/>
              <w:bottom w:val="single" w:sz="4" w:space="0" w:color="auto"/>
              <w:right w:val="single" w:sz="4" w:space="0" w:color="auto"/>
            </w:tcBorders>
            <w:vAlign w:val="center"/>
          </w:tcPr>
          <w:p w:rsidR="00C81B24" w:rsidRPr="00C81B24" w:rsidRDefault="00C81B24" w:rsidP="00CE5850">
            <w:pPr>
              <w:rPr>
                <w:sz w:val="20"/>
                <w:lang w:val="es-ES_tradnl"/>
              </w:rPr>
            </w:pPr>
            <w:r w:rsidRPr="00C81B24">
              <w:rPr>
                <w:sz w:val="20"/>
                <w:lang w:val="fr-FR"/>
              </w:rPr>
              <w:t>Des Moines, IA-IL-MO</w:t>
            </w:r>
          </w:p>
        </w:tc>
        <w:tc>
          <w:tcPr>
            <w:tcW w:w="1102"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1,526,765</w:t>
            </w:r>
          </w:p>
        </w:tc>
        <w:tc>
          <w:tcPr>
            <w:tcW w:w="1155"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1,755,021</w:t>
            </w:r>
          </w:p>
        </w:tc>
        <w:tc>
          <w:tcPr>
            <w:tcW w:w="979"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87%</w:t>
            </w:r>
          </w:p>
        </w:tc>
        <w:tc>
          <w:tcPr>
            <w:tcW w:w="635" w:type="dxa"/>
            <w:tcBorders>
              <w:top w:val="nil"/>
              <w:left w:val="nil"/>
              <w:bottom w:val="single" w:sz="4" w:space="0" w:color="auto"/>
              <w:right w:val="single" w:sz="4" w:space="0" w:color="auto"/>
            </w:tcBorders>
            <w:noWrap/>
            <w:vAlign w:val="bottom"/>
          </w:tcPr>
          <w:p w:rsidR="00C81B24" w:rsidRPr="00C81B24" w:rsidRDefault="00C81B24" w:rsidP="00CE5850">
            <w:pPr>
              <w:rPr>
                <w:sz w:val="20"/>
              </w:rPr>
            </w:pPr>
            <w:r w:rsidRPr="00C81B24">
              <w:rPr>
                <w:sz w:val="20"/>
              </w:rPr>
              <w:t>3070</w:t>
            </w:r>
          </w:p>
        </w:tc>
        <w:tc>
          <w:tcPr>
            <w:tcW w:w="536"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2998</w:t>
            </w:r>
          </w:p>
        </w:tc>
        <w:tc>
          <w:tcPr>
            <w:tcW w:w="736"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49.65</w:t>
            </w:r>
          </w:p>
        </w:tc>
      </w:tr>
      <w:tr w:rsidR="00C81B24" w:rsidRPr="00C81B24" w:rsidTr="00526AD9">
        <w:trPr>
          <w:trHeight w:val="255"/>
          <w:jc w:val="center"/>
        </w:trPr>
        <w:tc>
          <w:tcPr>
            <w:tcW w:w="554" w:type="dxa"/>
            <w:tcBorders>
              <w:top w:val="nil"/>
              <w:left w:val="single" w:sz="4" w:space="0" w:color="auto"/>
              <w:bottom w:val="single" w:sz="4" w:space="0" w:color="auto"/>
              <w:right w:val="single" w:sz="4" w:space="0" w:color="auto"/>
            </w:tcBorders>
            <w:vAlign w:val="bottom"/>
          </w:tcPr>
          <w:p w:rsidR="00C81B24" w:rsidRPr="00C81B24" w:rsidRDefault="00C81B24" w:rsidP="00CE5850">
            <w:pPr>
              <w:rPr>
                <w:sz w:val="20"/>
              </w:rPr>
            </w:pPr>
            <w:r w:rsidRPr="00C81B24">
              <w:rPr>
                <w:sz w:val="20"/>
              </w:rPr>
              <w:t>136</w:t>
            </w:r>
          </w:p>
        </w:tc>
        <w:tc>
          <w:tcPr>
            <w:tcW w:w="456" w:type="dxa"/>
            <w:tcBorders>
              <w:top w:val="nil"/>
              <w:left w:val="single" w:sz="4" w:space="0" w:color="auto"/>
              <w:bottom w:val="single" w:sz="4" w:space="0" w:color="auto"/>
              <w:right w:val="single" w:sz="4" w:space="0" w:color="auto"/>
            </w:tcBorders>
            <w:vAlign w:val="center"/>
          </w:tcPr>
          <w:p w:rsidR="00C81B24" w:rsidRPr="00C81B24" w:rsidRDefault="00C81B24" w:rsidP="00CE5850">
            <w:pPr>
              <w:rPr>
                <w:sz w:val="20"/>
              </w:rPr>
            </w:pPr>
            <w:r w:rsidRPr="00C81B24">
              <w:rPr>
                <w:sz w:val="20"/>
              </w:rPr>
              <w:t>117</w:t>
            </w:r>
          </w:p>
        </w:tc>
        <w:tc>
          <w:tcPr>
            <w:tcW w:w="4012" w:type="dxa"/>
            <w:tcBorders>
              <w:top w:val="nil"/>
              <w:left w:val="nil"/>
              <w:bottom w:val="single" w:sz="4" w:space="0" w:color="auto"/>
              <w:right w:val="single" w:sz="4" w:space="0" w:color="auto"/>
            </w:tcBorders>
            <w:vAlign w:val="center"/>
          </w:tcPr>
          <w:p w:rsidR="00C81B24" w:rsidRPr="00C81B24" w:rsidRDefault="00C81B24" w:rsidP="00CE5850">
            <w:pPr>
              <w:rPr>
                <w:sz w:val="20"/>
              </w:rPr>
            </w:pPr>
            <w:r w:rsidRPr="00C81B24">
              <w:rPr>
                <w:sz w:val="20"/>
              </w:rPr>
              <w:t>Sioux City, IA-NE-SD</w:t>
            </w:r>
          </w:p>
        </w:tc>
        <w:tc>
          <w:tcPr>
            <w:tcW w:w="1102"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220,132</w:t>
            </w:r>
          </w:p>
        </w:tc>
        <w:tc>
          <w:tcPr>
            <w:tcW w:w="1155"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252,009</w:t>
            </w:r>
          </w:p>
        </w:tc>
        <w:tc>
          <w:tcPr>
            <w:tcW w:w="979"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87%</w:t>
            </w:r>
          </w:p>
        </w:tc>
        <w:tc>
          <w:tcPr>
            <w:tcW w:w="635" w:type="dxa"/>
            <w:tcBorders>
              <w:top w:val="nil"/>
              <w:left w:val="nil"/>
              <w:bottom w:val="single" w:sz="4" w:space="0" w:color="auto"/>
              <w:right w:val="single" w:sz="4" w:space="0" w:color="auto"/>
            </w:tcBorders>
            <w:noWrap/>
            <w:vAlign w:val="bottom"/>
          </w:tcPr>
          <w:p w:rsidR="00C81B24" w:rsidRPr="00C81B24" w:rsidRDefault="00C81B24" w:rsidP="00CE5850">
            <w:pPr>
              <w:rPr>
                <w:sz w:val="20"/>
              </w:rPr>
            </w:pPr>
            <w:r w:rsidRPr="00C81B24">
              <w:rPr>
                <w:sz w:val="20"/>
              </w:rPr>
              <w:t>4332</w:t>
            </w:r>
          </w:p>
        </w:tc>
        <w:tc>
          <w:tcPr>
            <w:tcW w:w="536"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4209</w:t>
            </w:r>
          </w:p>
        </w:tc>
        <w:tc>
          <w:tcPr>
            <w:tcW w:w="736"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39.54</w:t>
            </w:r>
          </w:p>
        </w:tc>
      </w:tr>
      <w:tr w:rsidR="00C81B24" w:rsidRPr="00C81B24" w:rsidTr="00526AD9">
        <w:trPr>
          <w:trHeight w:val="255"/>
          <w:jc w:val="center"/>
        </w:trPr>
        <w:tc>
          <w:tcPr>
            <w:tcW w:w="554" w:type="dxa"/>
            <w:tcBorders>
              <w:top w:val="nil"/>
              <w:left w:val="single" w:sz="4" w:space="0" w:color="auto"/>
              <w:bottom w:val="single" w:sz="4" w:space="0" w:color="auto"/>
              <w:right w:val="single" w:sz="4" w:space="0" w:color="auto"/>
            </w:tcBorders>
            <w:vAlign w:val="bottom"/>
          </w:tcPr>
          <w:p w:rsidR="00C81B24" w:rsidRPr="00C81B24" w:rsidRDefault="00C81B24" w:rsidP="00CE5850">
            <w:pPr>
              <w:rPr>
                <w:sz w:val="20"/>
              </w:rPr>
            </w:pPr>
            <w:r w:rsidRPr="00C81B24">
              <w:rPr>
                <w:sz w:val="20"/>
              </w:rPr>
              <w:t>137</w:t>
            </w:r>
          </w:p>
        </w:tc>
        <w:tc>
          <w:tcPr>
            <w:tcW w:w="456" w:type="dxa"/>
            <w:tcBorders>
              <w:top w:val="nil"/>
              <w:left w:val="single" w:sz="4" w:space="0" w:color="auto"/>
              <w:bottom w:val="single" w:sz="4" w:space="0" w:color="auto"/>
              <w:right w:val="single" w:sz="4" w:space="0" w:color="auto"/>
            </w:tcBorders>
            <w:vAlign w:val="center"/>
          </w:tcPr>
          <w:p w:rsidR="00C81B24" w:rsidRPr="00C81B24" w:rsidRDefault="00C81B24" w:rsidP="00CE5850">
            <w:pPr>
              <w:rPr>
                <w:sz w:val="20"/>
              </w:rPr>
            </w:pPr>
            <w:r w:rsidRPr="00C81B24">
              <w:rPr>
                <w:sz w:val="20"/>
              </w:rPr>
              <w:t>166</w:t>
            </w:r>
          </w:p>
        </w:tc>
        <w:tc>
          <w:tcPr>
            <w:tcW w:w="4012" w:type="dxa"/>
            <w:tcBorders>
              <w:top w:val="nil"/>
              <w:left w:val="nil"/>
              <w:bottom w:val="single" w:sz="4" w:space="0" w:color="auto"/>
              <w:right w:val="single" w:sz="4" w:space="0" w:color="auto"/>
            </w:tcBorders>
            <w:vAlign w:val="center"/>
          </w:tcPr>
          <w:p w:rsidR="00C81B24" w:rsidRPr="00C81B24" w:rsidRDefault="00C81B24" w:rsidP="00CE5850">
            <w:pPr>
              <w:rPr>
                <w:sz w:val="20"/>
              </w:rPr>
            </w:pPr>
            <w:r w:rsidRPr="00C81B24">
              <w:rPr>
                <w:sz w:val="20"/>
              </w:rPr>
              <w:t>Eugene-Springfield, OR-CA</w:t>
            </w:r>
          </w:p>
        </w:tc>
        <w:tc>
          <w:tcPr>
            <w:tcW w:w="1102"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745,059</w:t>
            </w:r>
          </w:p>
        </w:tc>
        <w:tc>
          <w:tcPr>
            <w:tcW w:w="1155"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859,318</w:t>
            </w:r>
          </w:p>
        </w:tc>
        <w:tc>
          <w:tcPr>
            <w:tcW w:w="979"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87%</w:t>
            </w:r>
          </w:p>
        </w:tc>
        <w:tc>
          <w:tcPr>
            <w:tcW w:w="635" w:type="dxa"/>
            <w:tcBorders>
              <w:top w:val="nil"/>
              <w:left w:val="nil"/>
              <w:bottom w:val="single" w:sz="4" w:space="0" w:color="auto"/>
              <w:right w:val="single" w:sz="4" w:space="0" w:color="auto"/>
            </w:tcBorders>
            <w:noWrap/>
            <w:vAlign w:val="bottom"/>
          </w:tcPr>
          <w:p w:rsidR="00C81B24" w:rsidRPr="00C81B24" w:rsidRDefault="00C81B24" w:rsidP="00CE5850">
            <w:pPr>
              <w:rPr>
                <w:sz w:val="20"/>
              </w:rPr>
            </w:pPr>
            <w:r w:rsidRPr="00C81B24">
              <w:rPr>
                <w:sz w:val="20"/>
              </w:rPr>
              <w:t>2569</w:t>
            </w:r>
          </w:p>
        </w:tc>
        <w:tc>
          <w:tcPr>
            <w:tcW w:w="536"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2454</w:t>
            </w:r>
          </w:p>
        </w:tc>
        <w:tc>
          <w:tcPr>
            <w:tcW w:w="736"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47.11</w:t>
            </w:r>
          </w:p>
        </w:tc>
      </w:tr>
      <w:tr w:rsidR="00C81B24" w:rsidRPr="00C81B24" w:rsidTr="00526AD9">
        <w:trPr>
          <w:trHeight w:val="255"/>
          <w:jc w:val="center"/>
        </w:trPr>
        <w:tc>
          <w:tcPr>
            <w:tcW w:w="554" w:type="dxa"/>
            <w:tcBorders>
              <w:top w:val="nil"/>
              <w:left w:val="single" w:sz="4" w:space="0" w:color="auto"/>
              <w:bottom w:val="single" w:sz="4" w:space="0" w:color="auto"/>
              <w:right w:val="single" w:sz="4" w:space="0" w:color="auto"/>
            </w:tcBorders>
            <w:vAlign w:val="bottom"/>
          </w:tcPr>
          <w:p w:rsidR="00C81B24" w:rsidRPr="00C81B24" w:rsidRDefault="00C81B24" w:rsidP="00CE5850">
            <w:pPr>
              <w:rPr>
                <w:sz w:val="20"/>
              </w:rPr>
            </w:pPr>
            <w:r w:rsidRPr="00C81B24">
              <w:rPr>
                <w:sz w:val="20"/>
              </w:rPr>
              <w:t>138</w:t>
            </w:r>
          </w:p>
        </w:tc>
        <w:tc>
          <w:tcPr>
            <w:tcW w:w="456" w:type="dxa"/>
            <w:tcBorders>
              <w:top w:val="nil"/>
              <w:left w:val="single" w:sz="4" w:space="0" w:color="auto"/>
              <w:bottom w:val="single" w:sz="4" w:space="0" w:color="auto"/>
              <w:right w:val="single" w:sz="4" w:space="0" w:color="auto"/>
            </w:tcBorders>
            <w:vAlign w:val="center"/>
          </w:tcPr>
          <w:p w:rsidR="00C81B24" w:rsidRPr="00C81B24" w:rsidRDefault="00C81B24" w:rsidP="00CE5850">
            <w:pPr>
              <w:rPr>
                <w:sz w:val="20"/>
              </w:rPr>
            </w:pPr>
            <w:r w:rsidRPr="00C81B24">
              <w:rPr>
                <w:sz w:val="20"/>
              </w:rPr>
              <w:t>1</w:t>
            </w:r>
          </w:p>
        </w:tc>
        <w:tc>
          <w:tcPr>
            <w:tcW w:w="4012" w:type="dxa"/>
            <w:tcBorders>
              <w:top w:val="nil"/>
              <w:left w:val="nil"/>
              <w:bottom w:val="single" w:sz="4" w:space="0" w:color="auto"/>
              <w:right w:val="single" w:sz="4" w:space="0" w:color="auto"/>
            </w:tcBorders>
            <w:vAlign w:val="center"/>
          </w:tcPr>
          <w:p w:rsidR="00C81B24" w:rsidRPr="00C81B24" w:rsidRDefault="00C81B24" w:rsidP="00CE5850">
            <w:pPr>
              <w:rPr>
                <w:sz w:val="20"/>
              </w:rPr>
            </w:pPr>
            <w:r w:rsidRPr="00C81B24">
              <w:rPr>
                <w:sz w:val="20"/>
              </w:rPr>
              <w:t>Bangor, ME</w:t>
            </w:r>
          </w:p>
        </w:tc>
        <w:tc>
          <w:tcPr>
            <w:tcW w:w="1102"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467,927</w:t>
            </w:r>
          </w:p>
        </w:tc>
        <w:tc>
          <w:tcPr>
            <w:tcW w:w="1155"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543,767</w:t>
            </w:r>
          </w:p>
        </w:tc>
        <w:tc>
          <w:tcPr>
            <w:tcW w:w="979"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86%</w:t>
            </w:r>
          </w:p>
        </w:tc>
        <w:tc>
          <w:tcPr>
            <w:tcW w:w="635" w:type="dxa"/>
            <w:tcBorders>
              <w:top w:val="nil"/>
              <w:left w:val="nil"/>
              <w:bottom w:val="single" w:sz="4" w:space="0" w:color="auto"/>
              <w:right w:val="single" w:sz="4" w:space="0" w:color="auto"/>
            </w:tcBorders>
            <w:noWrap/>
            <w:vAlign w:val="bottom"/>
          </w:tcPr>
          <w:p w:rsidR="00C81B24" w:rsidRPr="00C81B24" w:rsidRDefault="00C81B24" w:rsidP="00CE5850">
            <w:pPr>
              <w:rPr>
                <w:sz w:val="20"/>
              </w:rPr>
            </w:pPr>
            <w:r w:rsidRPr="00C81B24">
              <w:rPr>
                <w:sz w:val="20"/>
              </w:rPr>
              <w:t>3816</w:t>
            </w:r>
          </w:p>
        </w:tc>
        <w:tc>
          <w:tcPr>
            <w:tcW w:w="536"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4015</w:t>
            </w:r>
          </w:p>
        </w:tc>
        <w:tc>
          <w:tcPr>
            <w:tcW w:w="736"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22.94</w:t>
            </w:r>
          </w:p>
        </w:tc>
      </w:tr>
      <w:tr w:rsidR="00C81B24" w:rsidRPr="00C81B24" w:rsidTr="00526AD9">
        <w:trPr>
          <w:trHeight w:val="255"/>
          <w:jc w:val="center"/>
        </w:trPr>
        <w:tc>
          <w:tcPr>
            <w:tcW w:w="554" w:type="dxa"/>
            <w:tcBorders>
              <w:top w:val="nil"/>
              <w:left w:val="single" w:sz="4" w:space="0" w:color="auto"/>
              <w:bottom w:val="single" w:sz="4" w:space="0" w:color="auto"/>
              <w:right w:val="single" w:sz="4" w:space="0" w:color="auto"/>
            </w:tcBorders>
            <w:vAlign w:val="bottom"/>
          </w:tcPr>
          <w:p w:rsidR="00C81B24" w:rsidRPr="00C81B24" w:rsidRDefault="00C81B24" w:rsidP="00CE5850">
            <w:pPr>
              <w:rPr>
                <w:sz w:val="20"/>
              </w:rPr>
            </w:pPr>
            <w:r w:rsidRPr="00C81B24">
              <w:rPr>
                <w:sz w:val="20"/>
              </w:rPr>
              <w:t>139</w:t>
            </w:r>
          </w:p>
        </w:tc>
        <w:tc>
          <w:tcPr>
            <w:tcW w:w="456" w:type="dxa"/>
            <w:tcBorders>
              <w:top w:val="nil"/>
              <w:left w:val="single" w:sz="4" w:space="0" w:color="auto"/>
              <w:bottom w:val="single" w:sz="4" w:space="0" w:color="auto"/>
              <w:right w:val="single" w:sz="4" w:space="0" w:color="auto"/>
            </w:tcBorders>
            <w:vAlign w:val="center"/>
          </w:tcPr>
          <w:p w:rsidR="00C81B24" w:rsidRPr="00C81B24" w:rsidRDefault="00C81B24" w:rsidP="00CE5850">
            <w:pPr>
              <w:rPr>
                <w:sz w:val="20"/>
              </w:rPr>
            </w:pPr>
            <w:r w:rsidRPr="00C81B24">
              <w:rPr>
                <w:sz w:val="20"/>
              </w:rPr>
              <w:t>11</w:t>
            </w:r>
          </w:p>
        </w:tc>
        <w:tc>
          <w:tcPr>
            <w:tcW w:w="4012" w:type="dxa"/>
            <w:tcBorders>
              <w:top w:val="nil"/>
              <w:left w:val="nil"/>
              <w:bottom w:val="single" w:sz="4" w:space="0" w:color="auto"/>
              <w:right w:val="single" w:sz="4" w:space="0" w:color="auto"/>
            </w:tcBorders>
            <w:vAlign w:val="center"/>
          </w:tcPr>
          <w:p w:rsidR="00C81B24" w:rsidRPr="00C81B24" w:rsidRDefault="00C81B24" w:rsidP="00CE5850">
            <w:pPr>
              <w:rPr>
                <w:sz w:val="20"/>
              </w:rPr>
            </w:pPr>
            <w:r w:rsidRPr="00C81B24">
              <w:rPr>
                <w:sz w:val="20"/>
              </w:rPr>
              <w:t>Harrisburg-Lebanon-Carlisle, PA</w:t>
            </w:r>
          </w:p>
        </w:tc>
        <w:tc>
          <w:tcPr>
            <w:tcW w:w="1102"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1,076,009</w:t>
            </w:r>
          </w:p>
        </w:tc>
        <w:tc>
          <w:tcPr>
            <w:tcW w:w="1155"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1,244,058</w:t>
            </w:r>
          </w:p>
        </w:tc>
        <w:tc>
          <w:tcPr>
            <w:tcW w:w="979"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86%</w:t>
            </w:r>
          </w:p>
        </w:tc>
        <w:tc>
          <w:tcPr>
            <w:tcW w:w="635" w:type="dxa"/>
            <w:tcBorders>
              <w:top w:val="nil"/>
              <w:left w:val="nil"/>
              <w:bottom w:val="single" w:sz="4" w:space="0" w:color="auto"/>
              <w:right w:val="single" w:sz="4" w:space="0" w:color="auto"/>
            </w:tcBorders>
            <w:noWrap/>
            <w:vAlign w:val="bottom"/>
          </w:tcPr>
          <w:p w:rsidR="00C81B24" w:rsidRPr="00C81B24" w:rsidRDefault="00C81B24" w:rsidP="00CE5850">
            <w:pPr>
              <w:rPr>
                <w:sz w:val="20"/>
              </w:rPr>
            </w:pPr>
            <w:r w:rsidRPr="00C81B24">
              <w:rPr>
                <w:sz w:val="20"/>
              </w:rPr>
              <w:t>3426</w:t>
            </w:r>
          </w:p>
        </w:tc>
        <w:tc>
          <w:tcPr>
            <w:tcW w:w="536"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3297</w:t>
            </w:r>
          </w:p>
        </w:tc>
        <w:tc>
          <w:tcPr>
            <w:tcW w:w="736"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327.56</w:t>
            </w:r>
          </w:p>
        </w:tc>
      </w:tr>
      <w:tr w:rsidR="00C81B24" w:rsidRPr="00C81B24" w:rsidTr="00526AD9">
        <w:trPr>
          <w:trHeight w:val="255"/>
          <w:jc w:val="center"/>
        </w:trPr>
        <w:tc>
          <w:tcPr>
            <w:tcW w:w="554" w:type="dxa"/>
            <w:tcBorders>
              <w:top w:val="nil"/>
              <w:left w:val="single" w:sz="4" w:space="0" w:color="auto"/>
              <w:bottom w:val="single" w:sz="4" w:space="0" w:color="auto"/>
              <w:right w:val="single" w:sz="4" w:space="0" w:color="auto"/>
            </w:tcBorders>
            <w:vAlign w:val="bottom"/>
          </w:tcPr>
          <w:p w:rsidR="00C81B24" w:rsidRPr="00C81B24" w:rsidRDefault="00C81B24" w:rsidP="00CE5850">
            <w:pPr>
              <w:rPr>
                <w:sz w:val="20"/>
              </w:rPr>
            </w:pPr>
            <w:r w:rsidRPr="00C81B24">
              <w:rPr>
                <w:sz w:val="20"/>
              </w:rPr>
              <w:t>140</w:t>
            </w:r>
          </w:p>
        </w:tc>
        <w:tc>
          <w:tcPr>
            <w:tcW w:w="456" w:type="dxa"/>
            <w:tcBorders>
              <w:top w:val="nil"/>
              <w:left w:val="single" w:sz="4" w:space="0" w:color="auto"/>
              <w:bottom w:val="single" w:sz="4" w:space="0" w:color="auto"/>
              <w:right w:val="single" w:sz="4" w:space="0" w:color="auto"/>
            </w:tcBorders>
            <w:vAlign w:val="center"/>
          </w:tcPr>
          <w:p w:rsidR="00C81B24" w:rsidRPr="00C81B24" w:rsidRDefault="00C81B24" w:rsidP="00CE5850">
            <w:pPr>
              <w:rPr>
                <w:sz w:val="20"/>
              </w:rPr>
            </w:pPr>
            <w:r w:rsidRPr="00C81B24">
              <w:rPr>
                <w:sz w:val="20"/>
              </w:rPr>
              <w:t>52</w:t>
            </w:r>
          </w:p>
        </w:tc>
        <w:tc>
          <w:tcPr>
            <w:tcW w:w="4012" w:type="dxa"/>
            <w:tcBorders>
              <w:top w:val="nil"/>
              <w:left w:val="nil"/>
              <w:bottom w:val="single" w:sz="4" w:space="0" w:color="auto"/>
              <w:right w:val="single" w:sz="4" w:space="0" w:color="auto"/>
            </w:tcBorders>
            <w:vAlign w:val="center"/>
          </w:tcPr>
          <w:p w:rsidR="00C81B24" w:rsidRPr="00C81B24" w:rsidRDefault="00C81B24" w:rsidP="00CE5850">
            <w:pPr>
              <w:rPr>
                <w:sz w:val="20"/>
              </w:rPr>
            </w:pPr>
            <w:r w:rsidRPr="00C81B24">
              <w:rPr>
                <w:sz w:val="20"/>
              </w:rPr>
              <w:t>Wheeling, WV-OH</w:t>
            </w:r>
          </w:p>
        </w:tc>
        <w:tc>
          <w:tcPr>
            <w:tcW w:w="1102"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268,549</w:t>
            </w:r>
          </w:p>
        </w:tc>
        <w:tc>
          <w:tcPr>
            <w:tcW w:w="1155"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312,837</w:t>
            </w:r>
          </w:p>
        </w:tc>
        <w:tc>
          <w:tcPr>
            <w:tcW w:w="979"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86%</w:t>
            </w:r>
          </w:p>
        </w:tc>
        <w:tc>
          <w:tcPr>
            <w:tcW w:w="635" w:type="dxa"/>
            <w:tcBorders>
              <w:top w:val="nil"/>
              <w:left w:val="nil"/>
              <w:bottom w:val="single" w:sz="4" w:space="0" w:color="auto"/>
              <w:right w:val="single" w:sz="4" w:space="0" w:color="auto"/>
            </w:tcBorders>
            <w:noWrap/>
            <w:vAlign w:val="bottom"/>
          </w:tcPr>
          <w:p w:rsidR="00C81B24" w:rsidRPr="00C81B24" w:rsidRDefault="00C81B24" w:rsidP="00CE5850">
            <w:pPr>
              <w:rPr>
                <w:sz w:val="20"/>
              </w:rPr>
            </w:pPr>
            <w:r w:rsidRPr="00C81B24">
              <w:rPr>
                <w:sz w:val="20"/>
              </w:rPr>
              <w:t>4465</w:t>
            </w:r>
          </w:p>
        </w:tc>
        <w:tc>
          <w:tcPr>
            <w:tcW w:w="536"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4446</w:t>
            </w:r>
          </w:p>
        </w:tc>
        <w:tc>
          <w:tcPr>
            <w:tcW w:w="736"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120.62</w:t>
            </w:r>
          </w:p>
        </w:tc>
      </w:tr>
      <w:tr w:rsidR="00C81B24" w:rsidRPr="00C81B24" w:rsidTr="00526AD9">
        <w:trPr>
          <w:trHeight w:val="255"/>
          <w:jc w:val="center"/>
        </w:trPr>
        <w:tc>
          <w:tcPr>
            <w:tcW w:w="554" w:type="dxa"/>
            <w:tcBorders>
              <w:top w:val="nil"/>
              <w:left w:val="single" w:sz="4" w:space="0" w:color="auto"/>
              <w:bottom w:val="single" w:sz="4" w:space="0" w:color="auto"/>
              <w:right w:val="single" w:sz="4" w:space="0" w:color="auto"/>
            </w:tcBorders>
            <w:vAlign w:val="bottom"/>
          </w:tcPr>
          <w:p w:rsidR="00C81B24" w:rsidRPr="00C81B24" w:rsidRDefault="00C81B24" w:rsidP="00CE5850">
            <w:pPr>
              <w:rPr>
                <w:sz w:val="20"/>
              </w:rPr>
            </w:pPr>
            <w:r w:rsidRPr="00C81B24">
              <w:rPr>
                <w:sz w:val="20"/>
              </w:rPr>
              <w:t>141</w:t>
            </w:r>
          </w:p>
        </w:tc>
        <w:tc>
          <w:tcPr>
            <w:tcW w:w="456" w:type="dxa"/>
            <w:tcBorders>
              <w:top w:val="nil"/>
              <w:left w:val="single" w:sz="4" w:space="0" w:color="auto"/>
              <w:bottom w:val="single" w:sz="4" w:space="0" w:color="auto"/>
              <w:right w:val="single" w:sz="4" w:space="0" w:color="auto"/>
            </w:tcBorders>
            <w:vAlign w:val="center"/>
          </w:tcPr>
          <w:p w:rsidR="00C81B24" w:rsidRPr="00C81B24" w:rsidRDefault="00C81B24" w:rsidP="00CE5850">
            <w:pPr>
              <w:rPr>
                <w:sz w:val="20"/>
              </w:rPr>
            </w:pPr>
            <w:r w:rsidRPr="00C81B24">
              <w:rPr>
                <w:sz w:val="20"/>
              </w:rPr>
              <w:t>108</w:t>
            </w:r>
          </w:p>
        </w:tc>
        <w:tc>
          <w:tcPr>
            <w:tcW w:w="4012" w:type="dxa"/>
            <w:tcBorders>
              <w:top w:val="nil"/>
              <w:left w:val="nil"/>
              <w:bottom w:val="single" w:sz="4" w:space="0" w:color="auto"/>
              <w:right w:val="single" w:sz="4" w:space="0" w:color="auto"/>
            </w:tcBorders>
            <w:vAlign w:val="center"/>
          </w:tcPr>
          <w:p w:rsidR="00C81B24" w:rsidRPr="00C81B24" w:rsidRDefault="00C81B24" w:rsidP="00CE5850">
            <w:pPr>
              <w:rPr>
                <w:sz w:val="20"/>
              </w:rPr>
            </w:pPr>
            <w:r w:rsidRPr="00C81B24">
              <w:rPr>
                <w:sz w:val="20"/>
              </w:rPr>
              <w:t>Wausau, WI</w:t>
            </w:r>
          </w:p>
        </w:tc>
        <w:tc>
          <w:tcPr>
            <w:tcW w:w="1102"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426,580</w:t>
            </w:r>
          </w:p>
        </w:tc>
        <w:tc>
          <w:tcPr>
            <w:tcW w:w="1155"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494,992</w:t>
            </w:r>
          </w:p>
        </w:tc>
        <w:tc>
          <w:tcPr>
            <w:tcW w:w="979"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86%</w:t>
            </w:r>
          </w:p>
        </w:tc>
        <w:tc>
          <w:tcPr>
            <w:tcW w:w="635" w:type="dxa"/>
            <w:tcBorders>
              <w:top w:val="nil"/>
              <w:left w:val="nil"/>
              <w:bottom w:val="single" w:sz="4" w:space="0" w:color="auto"/>
              <w:right w:val="single" w:sz="4" w:space="0" w:color="auto"/>
            </w:tcBorders>
            <w:noWrap/>
            <w:vAlign w:val="bottom"/>
          </w:tcPr>
          <w:p w:rsidR="00C81B24" w:rsidRPr="00C81B24" w:rsidRDefault="00C81B24" w:rsidP="00CE5850">
            <w:pPr>
              <w:rPr>
                <w:sz w:val="20"/>
              </w:rPr>
            </w:pPr>
            <w:r w:rsidRPr="00C81B24">
              <w:rPr>
                <w:sz w:val="20"/>
              </w:rPr>
              <w:t>1878</w:t>
            </w:r>
          </w:p>
        </w:tc>
        <w:tc>
          <w:tcPr>
            <w:tcW w:w="536"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1903</w:t>
            </w:r>
          </w:p>
        </w:tc>
        <w:tc>
          <w:tcPr>
            <w:tcW w:w="736"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35.78</w:t>
            </w:r>
          </w:p>
        </w:tc>
      </w:tr>
      <w:tr w:rsidR="00C81B24" w:rsidRPr="00C81B24" w:rsidTr="00526AD9">
        <w:trPr>
          <w:trHeight w:val="255"/>
          <w:jc w:val="center"/>
        </w:trPr>
        <w:tc>
          <w:tcPr>
            <w:tcW w:w="554" w:type="dxa"/>
            <w:tcBorders>
              <w:top w:val="nil"/>
              <w:left w:val="single" w:sz="4" w:space="0" w:color="auto"/>
              <w:bottom w:val="single" w:sz="4" w:space="0" w:color="auto"/>
              <w:right w:val="single" w:sz="4" w:space="0" w:color="auto"/>
            </w:tcBorders>
            <w:vAlign w:val="bottom"/>
          </w:tcPr>
          <w:p w:rsidR="00C81B24" w:rsidRPr="00C81B24" w:rsidRDefault="00C81B24" w:rsidP="00CE5850">
            <w:pPr>
              <w:rPr>
                <w:sz w:val="20"/>
              </w:rPr>
            </w:pPr>
            <w:r w:rsidRPr="00C81B24">
              <w:rPr>
                <w:sz w:val="20"/>
              </w:rPr>
              <w:t>142</w:t>
            </w:r>
          </w:p>
        </w:tc>
        <w:tc>
          <w:tcPr>
            <w:tcW w:w="456" w:type="dxa"/>
            <w:tcBorders>
              <w:top w:val="nil"/>
              <w:left w:val="single" w:sz="4" w:space="0" w:color="auto"/>
              <w:bottom w:val="single" w:sz="4" w:space="0" w:color="auto"/>
              <w:right w:val="single" w:sz="4" w:space="0" w:color="auto"/>
            </w:tcBorders>
            <w:vAlign w:val="center"/>
          </w:tcPr>
          <w:p w:rsidR="00C81B24" w:rsidRPr="00C81B24" w:rsidRDefault="00C81B24" w:rsidP="00CE5850">
            <w:pPr>
              <w:rPr>
                <w:sz w:val="20"/>
              </w:rPr>
            </w:pPr>
            <w:r w:rsidRPr="00C81B24">
              <w:rPr>
                <w:sz w:val="20"/>
              </w:rPr>
              <w:t>109</w:t>
            </w:r>
          </w:p>
        </w:tc>
        <w:tc>
          <w:tcPr>
            <w:tcW w:w="4012" w:type="dxa"/>
            <w:tcBorders>
              <w:top w:val="nil"/>
              <w:left w:val="nil"/>
              <w:bottom w:val="single" w:sz="4" w:space="0" w:color="auto"/>
              <w:right w:val="single" w:sz="4" w:space="0" w:color="auto"/>
            </w:tcBorders>
            <w:vAlign w:val="center"/>
          </w:tcPr>
          <w:p w:rsidR="00C81B24" w:rsidRPr="00C81B24" w:rsidRDefault="00C81B24" w:rsidP="00CE5850">
            <w:pPr>
              <w:rPr>
                <w:sz w:val="20"/>
              </w:rPr>
            </w:pPr>
            <w:r w:rsidRPr="00C81B24">
              <w:rPr>
                <w:sz w:val="20"/>
              </w:rPr>
              <w:t>Duluth-Superior, MN-WI</w:t>
            </w:r>
          </w:p>
        </w:tc>
        <w:tc>
          <w:tcPr>
            <w:tcW w:w="1102"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303,022</w:t>
            </w:r>
          </w:p>
        </w:tc>
        <w:tc>
          <w:tcPr>
            <w:tcW w:w="1155"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354,182</w:t>
            </w:r>
          </w:p>
        </w:tc>
        <w:tc>
          <w:tcPr>
            <w:tcW w:w="979"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86%</w:t>
            </w:r>
          </w:p>
        </w:tc>
        <w:tc>
          <w:tcPr>
            <w:tcW w:w="635" w:type="dxa"/>
            <w:tcBorders>
              <w:top w:val="nil"/>
              <w:left w:val="nil"/>
              <w:bottom w:val="single" w:sz="4" w:space="0" w:color="auto"/>
              <w:right w:val="single" w:sz="4" w:space="0" w:color="auto"/>
            </w:tcBorders>
            <w:noWrap/>
            <w:vAlign w:val="bottom"/>
          </w:tcPr>
          <w:p w:rsidR="00C81B24" w:rsidRPr="00C81B24" w:rsidRDefault="00C81B24" w:rsidP="00CE5850">
            <w:pPr>
              <w:rPr>
                <w:sz w:val="20"/>
              </w:rPr>
            </w:pPr>
            <w:r w:rsidRPr="00C81B24">
              <w:rPr>
                <w:sz w:val="20"/>
              </w:rPr>
              <w:t>4331</w:t>
            </w:r>
          </w:p>
        </w:tc>
        <w:tc>
          <w:tcPr>
            <w:tcW w:w="536"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4179</w:t>
            </w:r>
          </w:p>
        </w:tc>
        <w:tc>
          <w:tcPr>
            <w:tcW w:w="736"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19.96</w:t>
            </w:r>
          </w:p>
        </w:tc>
      </w:tr>
      <w:tr w:rsidR="00C81B24" w:rsidRPr="00C81B24" w:rsidTr="00526AD9">
        <w:trPr>
          <w:trHeight w:val="255"/>
          <w:jc w:val="center"/>
        </w:trPr>
        <w:tc>
          <w:tcPr>
            <w:tcW w:w="554" w:type="dxa"/>
            <w:tcBorders>
              <w:top w:val="nil"/>
              <w:left w:val="single" w:sz="4" w:space="0" w:color="auto"/>
              <w:bottom w:val="single" w:sz="4" w:space="0" w:color="auto"/>
              <w:right w:val="single" w:sz="4" w:space="0" w:color="auto"/>
            </w:tcBorders>
            <w:vAlign w:val="bottom"/>
          </w:tcPr>
          <w:p w:rsidR="00C81B24" w:rsidRPr="00C81B24" w:rsidRDefault="00C81B24" w:rsidP="00CE5850">
            <w:pPr>
              <w:rPr>
                <w:sz w:val="20"/>
              </w:rPr>
            </w:pPr>
            <w:r w:rsidRPr="00C81B24">
              <w:rPr>
                <w:sz w:val="20"/>
              </w:rPr>
              <w:t>143</w:t>
            </w:r>
          </w:p>
        </w:tc>
        <w:tc>
          <w:tcPr>
            <w:tcW w:w="456" w:type="dxa"/>
            <w:tcBorders>
              <w:top w:val="nil"/>
              <w:left w:val="single" w:sz="4" w:space="0" w:color="auto"/>
              <w:bottom w:val="single" w:sz="4" w:space="0" w:color="auto"/>
              <w:right w:val="single" w:sz="4" w:space="0" w:color="auto"/>
            </w:tcBorders>
            <w:vAlign w:val="center"/>
          </w:tcPr>
          <w:p w:rsidR="00C81B24" w:rsidRPr="00C81B24" w:rsidRDefault="00C81B24" w:rsidP="00CE5850">
            <w:pPr>
              <w:rPr>
                <w:sz w:val="20"/>
              </w:rPr>
            </w:pPr>
            <w:r w:rsidRPr="00C81B24">
              <w:rPr>
                <w:sz w:val="20"/>
              </w:rPr>
              <w:t>113</w:t>
            </w:r>
          </w:p>
        </w:tc>
        <w:tc>
          <w:tcPr>
            <w:tcW w:w="4012" w:type="dxa"/>
            <w:tcBorders>
              <w:top w:val="nil"/>
              <w:left w:val="nil"/>
              <w:bottom w:val="single" w:sz="4" w:space="0" w:color="auto"/>
              <w:right w:val="single" w:sz="4" w:space="0" w:color="auto"/>
            </w:tcBorders>
            <w:vAlign w:val="center"/>
          </w:tcPr>
          <w:p w:rsidR="00C81B24" w:rsidRPr="00C81B24" w:rsidRDefault="00C81B24" w:rsidP="00CE5850">
            <w:pPr>
              <w:rPr>
                <w:sz w:val="20"/>
              </w:rPr>
            </w:pPr>
            <w:r w:rsidRPr="00C81B24">
              <w:rPr>
                <w:sz w:val="20"/>
              </w:rPr>
              <w:t>Fargo-Moorhead, ND-MN</w:t>
            </w:r>
          </w:p>
        </w:tc>
        <w:tc>
          <w:tcPr>
            <w:tcW w:w="1102"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343,232</w:t>
            </w:r>
          </w:p>
        </w:tc>
        <w:tc>
          <w:tcPr>
            <w:tcW w:w="1155"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400,274</w:t>
            </w:r>
          </w:p>
        </w:tc>
        <w:tc>
          <w:tcPr>
            <w:tcW w:w="979"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86%</w:t>
            </w:r>
          </w:p>
        </w:tc>
        <w:tc>
          <w:tcPr>
            <w:tcW w:w="635" w:type="dxa"/>
            <w:tcBorders>
              <w:top w:val="nil"/>
              <w:left w:val="nil"/>
              <w:bottom w:val="single" w:sz="4" w:space="0" w:color="auto"/>
              <w:right w:val="single" w:sz="4" w:space="0" w:color="auto"/>
            </w:tcBorders>
            <w:noWrap/>
            <w:vAlign w:val="bottom"/>
          </w:tcPr>
          <w:p w:rsidR="00C81B24" w:rsidRPr="00C81B24" w:rsidRDefault="00C81B24" w:rsidP="00CE5850">
            <w:pPr>
              <w:rPr>
                <w:sz w:val="20"/>
              </w:rPr>
            </w:pPr>
            <w:r w:rsidRPr="00C81B24">
              <w:rPr>
                <w:sz w:val="20"/>
              </w:rPr>
              <w:t>4814</w:t>
            </w:r>
          </w:p>
        </w:tc>
        <w:tc>
          <w:tcPr>
            <w:tcW w:w="536"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4470</w:t>
            </w:r>
          </w:p>
        </w:tc>
        <w:tc>
          <w:tcPr>
            <w:tcW w:w="736"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18.17</w:t>
            </w:r>
          </w:p>
        </w:tc>
      </w:tr>
      <w:tr w:rsidR="00C81B24" w:rsidRPr="00C81B24" w:rsidTr="00526AD9">
        <w:trPr>
          <w:trHeight w:val="255"/>
          <w:jc w:val="center"/>
        </w:trPr>
        <w:tc>
          <w:tcPr>
            <w:tcW w:w="554" w:type="dxa"/>
            <w:tcBorders>
              <w:top w:val="nil"/>
              <w:left w:val="single" w:sz="4" w:space="0" w:color="auto"/>
              <w:bottom w:val="single" w:sz="4" w:space="0" w:color="auto"/>
              <w:right w:val="single" w:sz="4" w:space="0" w:color="auto"/>
            </w:tcBorders>
            <w:vAlign w:val="bottom"/>
          </w:tcPr>
          <w:p w:rsidR="00C81B24" w:rsidRPr="00C81B24" w:rsidRDefault="00C81B24" w:rsidP="00CE5850">
            <w:pPr>
              <w:rPr>
                <w:sz w:val="20"/>
              </w:rPr>
            </w:pPr>
            <w:r w:rsidRPr="00C81B24">
              <w:rPr>
                <w:sz w:val="20"/>
              </w:rPr>
              <w:t>144</w:t>
            </w:r>
          </w:p>
        </w:tc>
        <w:tc>
          <w:tcPr>
            <w:tcW w:w="456" w:type="dxa"/>
            <w:tcBorders>
              <w:top w:val="nil"/>
              <w:left w:val="single" w:sz="4" w:space="0" w:color="auto"/>
              <w:bottom w:val="single" w:sz="4" w:space="0" w:color="auto"/>
              <w:right w:val="single" w:sz="4" w:space="0" w:color="auto"/>
            </w:tcBorders>
            <w:vAlign w:val="center"/>
          </w:tcPr>
          <w:p w:rsidR="00C81B24" w:rsidRPr="00C81B24" w:rsidRDefault="00C81B24" w:rsidP="00CE5850">
            <w:pPr>
              <w:rPr>
                <w:sz w:val="20"/>
              </w:rPr>
            </w:pPr>
            <w:r w:rsidRPr="00C81B24">
              <w:rPr>
                <w:sz w:val="20"/>
              </w:rPr>
              <w:t>123</w:t>
            </w:r>
          </w:p>
        </w:tc>
        <w:tc>
          <w:tcPr>
            <w:tcW w:w="4012" w:type="dxa"/>
            <w:tcBorders>
              <w:top w:val="nil"/>
              <w:left w:val="nil"/>
              <w:bottom w:val="single" w:sz="4" w:space="0" w:color="auto"/>
              <w:right w:val="single" w:sz="4" w:space="0" w:color="auto"/>
            </w:tcBorders>
            <w:vAlign w:val="center"/>
          </w:tcPr>
          <w:p w:rsidR="00C81B24" w:rsidRPr="00C81B24" w:rsidRDefault="00C81B24" w:rsidP="00CE5850">
            <w:pPr>
              <w:rPr>
                <w:sz w:val="20"/>
              </w:rPr>
            </w:pPr>
            <w:r w:rsidRPr="00C81B24">
              <w:rPr>
                <w:sz w:val="20"/>
              </w:rPr>
              <w:t>Topeka, KS</w:t>
            </w:r>
          </w:p>
        </w:tc>
        <w:tc>
          <w:tcPr>
            <w:tcW w:w="1102"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411,462</w:t>
            </w:r>
          </w:p>
        </w:tc>
        <w:tc>
          <w:tcPr>
            <w:tcW w:w="1155"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476,322</w:t>
            </w:r>
          </w:p>
        </w:tc>
        <w:tc>
          <w:tcPr>
            <w:tcW w:w="979"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86%</w:t>
            </w:r>
          </w:p>
        </w:tc>
        <w:tc>
          <w:tcPr>
            <w:tcW w:w="635" w:type="dxa"/>
            <w:tcBorders>
              <w:top w:val="nil"/>
              <w:left w:val="nil"/>
              <w:bottom w:val="single" w:sz="4" w:space="0" w:color="auto"/>
              <w:right w:val="single" w:sz="4" w:space="0" w:color="auto"/>
            </w:tcBorders>
            <w:noWrap/>
            <w:vAlign w:val="bottom"/>
          </w:tcPr>
          <w:p w:rsidR="00C81B24" w:rsidRPr="00C81B24" w:rsidRDefault="00C81B24" w:rsidP="00CE5850">
            <w:pPr>
              <w:rPr>
                <w:sz w:val="20"/>
              </w:rPr>
            </w:pPr>
            <w:r w:rsidRPr="00C81B24">
              <w:rPr>
                <w:sz w:val="20"/>
              </w:rPr>
              <w:t>2775</w:t>
            </w:r>
          </w:p>
        </w:tc>
        <w:tc>
          <w:tcPr>
            <w:tcW w:w="536"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2665</w:t>
            </w:r>
          </w:p>
        </w:tc>
        <w:tc>
          <w:tcPr>
            <w:tcW w:w="736"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37.84</w:t>
            </w:r>
          </w:p>
        </w:tc>
      </w:tr>
      <w:tr w:rsidR="00C81B24" w:rsidRPr="00C81B24" w:rsidTr="00526AD9">
        <w:trPr>
          <w:trHeight w:val="255"/>
          <w:jc w:val="center"/>
        </w:trPr>
        <w:tc>
          <w:tcPr>
            <w:tcW w:w="554" w:type="dxa"/>
            <w:tcBorders>
              <w:top w:val="nil"/>
              <w:left w:val="single" w:sz="4" w:space="0" w:color="auto"/>
              <w:bottom w:val="single" w:sz="4" w:space="0" w:color="auto"/>
              <w:right w:val="single" w:sz="4" w:space="0" w:color="auto"/>
            </w:tcBorders>
            <w:vAlign w:val="bottom"/>
          </w:tcPr>
          <w:p w:rsidR="00C81B24" w:rsidRPr="00C81B24" w:rsidRDefault="00C81B24" w:rsidP="00CE5850">
            <w:pPr>
              <w:rPr>
                <w:sz w:val="20"/>
              </w:rPr>
            </w:pPr>
            <w:r w:rsidRPr="00C81B24">
              <w:rPr>
                <w:sz w:val="20"/>
              </w:rPr>
              <w:t>145</w:t>
            </w:r>
          </w:p>
        </w:tc>
        <w:tc>
          <w:tcPr>
            <w:tcW w:w="456" w:type="dxa"/>
            <w:tcBorders>
              <w:top w:val="nil"/>
              <w:left w:val="single" w:sz="4" w:space="0" w:color="auto"/>
              <w:bottom w:val="single" w:sz="4" w:space="0" w:color="auto"/>
              <w:right w:val="single" w:sz="4" w:space="0" w:color="auto"/>
            </w:tcBorders>
            <w:vAlign w:val="center"/>
          </w:tcPr>
          <w:p w:rsidR="00C81B24" w:rsidRPr="00C81B24" w:rsidRDefault="00C81B24" w:rsidP="00CE5850">
            <w:pPr>
              <w:rPr>
                <w:sz w:val="20"/>
              </w:rPr>
            </w:pPr>
            <w:r w:rsidRPr="00C81B24">
              <w:rPr>
                <w:sz w:val="20"/>
              </w:rPr>
              <w:t>129</w:t>
            </w:r>
          </w:p>
        </w:tc>
        <w:tc>
          <w:tcPr>
            <w:tcW w:w="4012" w:type="dxa"/>
            <w:tcBorders>
              <w:top w:val="nil"/>
              <w:left w:val="nil"/>
              <w:bottom w:val="single" w:sz="4" w:space="0" w:color="auto"/>
              <w:right w:val="single" w:sz="4" w:space="0" w:color="auto"/>
            </w:tcBorders>
            <w:vAlign w:val="center"/>
          </w:tcPr>
          <w:p w:rsidR="00C81B24" w:rsidRPr="00C81B24" w:rsidRDefault="00C81B24" w:rsidP="00CE5850">
            <w:pPr>
              <w:rPr>
                <w:sz w:val="20"/>
              </w:rPr>
            </w:pPr>
            <w:r w:rsidRPr="00C81B24">
              <w:rPr>
                <w:sz w:val="20"/>
              </w:rPr>
              <w:t>San Angelo, TX</w:t>
            </w:r>
          </w:p>
        </w:tc>
        <w:tc>
          <w:tcPr>
            <w:tcW w:w="1102"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183,002</w:t>
            </w:r>
          </w:p>
        </w:tc>
        <w:tc>
          <w:tcPr>
            <w:tcW w:w="1155"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212,086</w:t>
            </w:r>
          </w:p>
        </w:tc>
        <w:tc>
          <w:tcPr>
            <w:tcW w:w="979"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86%</w:t>
            </w:r>
          </w:p>
        </w:tc>
        <w:tc>
          <w:tcPr>
            <w:tcW w:w="635" w:type="dxa"/>
            <w:tcBorders>
              <w:top w:val="nil"/>
              <w:left w:val="nil"/>
              <w:bottom w:val="single" w:sz="4" w:space="0" w:color="auto"/>
              <w:right w:val="single" w:sz="4" w:space="0" w:color="auto"/>
            </w:tcBorders>
            <w:noWrap/>
            <w:vAlign w:val="bottom"/>
          </w:tcPr>
          <w:p w:rsidR="00C81B24" w:rsidRPr="00C81B24" w:rsidRDefault="00C81B24" w:rsidP="00CE5850">
            <w:pPr>
              <w:rPr>
                <w:sz w:val="20"/>
              </w:rPr>
            </w:pPr>
            <w:r w:rsidRPr="00C81B24">
              <w:rPr>
                <w:sz w:val="20"/>
              </w:rPr>
              <w:t>2018</w:t>
            </w:r>
          </w:p>
        </w:tc>
        <w:tc>
          <w:tcPr>
            <w:tcW w:w="536"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2049</w:t>
            </w:r>
          </w:p>
        </w:tc>
        <w:tc>
          <w:tcPr>
            <w:tcW w:w="736"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10.62</w:t>
            </w:r>
          </w:p>
        </w:tc>
      </w:tr>
      <w:tr w:rsidR="00C81B24" w:rsidRPr="00C81B24" w:rsidTr="00526AD9">
        <w:trPr>
          <w:trHeight w:val="255"/>
          <w:jc w:val="center"/>
        </w:trPr>
        <w:tc>
          <w:tcPr>
            <w:tcW w:w="554" w:type="dxa"/>
            <w:tcBorders>
              <w:top w:val="nil"/>
              <w:left w:val="single" w:sz="4" w:space="0" w:color="auto"/>
              <w:bottom w:val="single" w:sz="4" w:space="0" w:color="auto"/>
              <w:right w:val="single" w:sz="4" w:space="0" w:color="auto"/>
            </w:tcBorders>
            <w:vAlign w:val="bottom"/>
          </w:tcPr>
          <w:p w:rsidR="00C81B24" w:rsidRPr="00C81B24" w:rsidRDefault="00C81B24" w:rsidP="00CE5850">
            <w:pPr>
              <w:rPr>
                <w:sz w:val="20"/>
              </w:rPr>
            </w:pPr>
            <w:r w:rsidRPr="00C81B24">
              <w:rPr>
                <w:sz w:val="20"/>
              </w:rPr>
              <w:t>146</w:t>
            </w:r>
          </w:p>
        </w:tc>
        <w:tc>
          <w:tcPr>
            <w:tcW w:w="456" w:type="dxa"/>
            <w:tcBorders>
              <w:top w:val="nil"/>
              <w:left w:val="single" w:sz="4" w:space="0" w:color="auto"/>
              <w:bottom w:val="single" w:sz="4" w:space="0" w:color="auto"/>
              <w:right w:val="single" w:sz="4" w:space="0" w:color="auto"/>
            </w:tcBorders>
            <w:vAlign w:val="center"/>
          </w:tcPr>
          <w:p w:rsidR="00C81B24" w:rsidRPr="00C81B24" w:rsidRDefault="00C81B24" w:rsidP="00CE5850">
            <w:pPr>
              <w:rPr>
                <w:sz w:val="20"/>
              </w:rPr>
            </w:pPr>
            <w:r w:rsidRPr="00C81B24">
              <w:rPr>
                <w:sz w:val="20"/>
              </w:rPr>
              <w:t>136</w:t>
            </w:r>
          </w:p>
        </w:tc>
        <w:tc>
          <w:tcPr>
            <w:tcW w:w="4012" w:type="dxa"/>
            <w:tcBorders>
              <w:top w:val="nil"/>
              <w:left w:val="nil"/>
              <w:bottom w:val="single" w:sz="4" w:space="0" w:color="auto"/>
              <w:right w:val="single" w:sz="4" w:space="0" w:color="auto"/>
            </w:tcBorders>
            <w:vAlign w:val="center"/>
          </w:tcPr>
          <w:p w:rsidR="00C81B24" w:rsidRPr="00C81B24" w:rsidRDefault="00C81B24" w:rsidP="00CE5850">
            <w:pPr>
              <w:rPr>
                <w:sz w:val="20"/>
              </w:rPr>
            </w:pPr>
            <w:r w:rsidRPr="00C81B24">
              <w:rPr>
                <w:sz w:val="20"/>
              </w:rPr>
              <w:t>Hobbs, NM-TX</w:t>
            </w:r>
          </w:p>
        </w:tc>
        <w:tc>
          <w:tcPr>
            <w:tcW w:w="1102"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180,055</w:t>
            </w:r>
          </w:p>
        </w:tc>
        <w:tc>
          <w:tcPr>
            <w:tcW w:w="1155"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209,606</w:t>
            </w:r>
          </w:p>
        </w:tc>
        <w:tc>
          <w:tcPr>
            <w:tcW w:w="979"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86%</w:t>
            </w:r>
          </w:p>
        </w:tc>
        <w:tc>
          <w:tcPr>
            <w:tcW w:w="635" w:type="dxa"/>
            <w:tcBorders>
              <w:top w:val="nil"/>
              <w:left w:val="nil"/>
              <w:bottom w:val="single" w:sz="4" w:space="0" w:color="auto"/>
              <w:right w:val="single" w:sz="4" w:space="0" w:color="auto"/>
            </w:tcBorders>
            <w:noWrap/>
            <w:vAlign w:val="bottom"/>
          </w:tcPr>
          <w:p w:rsidR="00C81B24" w:rsidRPr="00C81B24" w:rsidRDefault="00C81B24" w:rsidP="00CE5850">
            <w:pPr>
              <w:rPr>
                <w:sz w:val="20"/>
              </w:rPr>
            </w:pPr>
            <w:r w:rsidRPr="00C81B24">
              <w:rPr>
                <w:sz w:val="20"/>
              </w:rPr>
              <w:t>3217</w:t>
            </w:r>
          </w:p>
        </w:tc>
        <w:tc>
          <w:tcPr>
            <w:tcW w:w="536"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3144</w:t>
            </w:r>
          </w:p>
        </w:tc>
        <w:tc>
          <w:tcPr>
            <w:tcW w:w="736"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12.38</w:t>
            </w:r>
          </w:p>
        </w:tc>
      </w:tr>
      <w:tr w:rsidR="00C81B24" w:rsidRPr="00C81B24" w:rsidTr="00526AD9">
        <w:trPr>
          <w:trHeight w:val="255"/>
          <w:jc w:val="center"/>
        </w:trPr>
        <w:tc>
          <w:tcPr>
            <w:tcW w:w="554" w:type="dxa"/>
            <w:tcBorders>
              <w:top w:val="nil"/>
              <w:left w:val="single" w:sz="4" w:space="0" w:color="auto"/>
              <w:bottom w:val="single" w:sz="4" w:space="0" w:color="auto"/>
              <w:right w:val="single" w:sz="4" w:space="0" w:color="auto"/>
            </w:tcBorders>
            <w:vAlign w:val="bottom"/>
          </w:tcPr>
          <w:p w:rsidR="00C81B24" w:rsidRPr="00C81B24" w:rsidRDefault="00C81B24" w:rsidP="00CE5850">
            <w:pPr>
              <w:rPr>
                <w:sz w:val="20"/>
              </w:rPr>
            </w:pPr>
            <w:r w:rsidRPr="00C81B24">
              <w:rPr>
                <w:sz w:val="20"/>
              </w:rPr>
              <w:t>147</w:t>
            </w:r>
          </w:p>
        </w:tc>
        <w:tc>
          <w:tcPr>
            <w:tcW w:w="456" w:type="dxa"/>
            <w:tcBorders>
              <w:top w:val="nil"/>
              <w:left w:val="single" w:sz="4" w:space="0" w:color="auto"/>
              <w:bottom w:val="single" w:sz="4" w:space="0" w:color="auto"/>
              <w:right w:val="single" w:sz="4" w:space="0" w:color="auto"/>
            </w:tcBorders>
            <w:vAlign w:val="center"/>
          </w:tcPr>
          <w:p w:rsidR="00C81B24" w:rsidRPr="00C81B24" w:rsidRDefault="00C81B24" w:rsidP="00CE5850">
            <w:pPr>
              <w:rPr>
                <w:sz w:val="20"/>
              </w:rPr>
            </w:pPr>
            <w:r w:rsidRPr="00C81B24">
              <w:rPr>
                <w:sz w:val="20"/>
              </w:rPr>
              <w:t>145</w:t>
            </w:r>
          </w:p>
        </w:tc>
        <w:tc>
          <w:tcPr>
            <w:tcW w:w="4012" w:type="dxa"/>
            <w:tcBorders>
              <w:top w:val="nil"/>
              <w:left w:val="nil"/>
              <w:bottom w:val="single" w:sz="4" w:space="0" w:color="auto"/>
              <w:right w:val="single" w:sz="4" w:space="0" w:color="auto"/>
            </w:tcBorders>
            <w:vAlign w:val="center"/>
          </w:tcPr>
          <w:p w:rsidR="00C81B24" w:rsidRPr="00C81B24" w:rsidRDefault="00C81B24" w:rsidP="00CE5850">
            <w:pPr>
              <w:rPr>
                <w:sz w:val="20"/>
              </w:rPr>
            </w:pPr>
            <w:r w:rsidRPr="00C81B24">
              <w:rPr>
                <w:sz w:val="20"/>
              </w:rPr>
              <w:t>Great Falls, MT</w:t>
            </w:r>
          </w:p>
        </w:tc>
        <w:tc>
          <w:tcPr>
            <w:tcW w:w="1102"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141,562</w:t>
            </w:r>
          </w:p>
        </w:tc>
        <w:tc>
          <w:tcPr>
            <w:tcW w:w="1155"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164,985</w:t>
            </w:r>
          </w:p>
        </w:tc>
        <w:tc>
          <w:tcPr>
            <w:tcW w:w="979"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86%</w:t>
            </w:r>
          </w:p>
        </w:tc>
        <w:tc>
          <w:tcPr>
            <w:tcW w:w="635" w:type="dxa"/>
            <w:tcBorders>
              <w:top w:val="nil"/>
              <w:left w:val="nil"/>
              <w:bottom w:val="single" w:sz="4" w:space="0" w:color="auto"/>
              <w:right w:val="single" w:sz="4" w:space="0" w:color="auto"/>
            </w:tcBorders>
            <w:noWrap/>
            <w:vAlign w:val="bottom"/>
          </w:tcPr>
          <w:p w:rsidR="00C81B24" w:rsidRPr="00C81B24" w:rsidRDefault="00C81B24" w:rsidP="00CE5850">
            <w:pPr>
              <w:rPr>
                <w:sz w:val="20"/>
              </w:rPr>
            </w:pPr>
            <w:r w:rsidRPr="00C81B24">
              <w:rPr>
                <w:sz w:val="20"/>
              </w:rPr>
              <w:t>5262</w:t>
            </w:r>
          </w:p>
        </w:tc>
        <w:tc>
          <w:tcPr>
            <w:tcW w:w="536"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5104</w:t>
            </w:r>
          </w:p>
        </w:tc>
        <w:tc>
          <w:tcPr>
            <w:tcW w:w="736"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4.21</w:t>
            </w:r>
          </w:p>
        </w:tc>
      </w:tr>
      <w:tr w:rsidR="00C81B24" w:rsidRPr="00C81B24" w:rsidTr="00526AD9">
        <w:trPr>
          <w:trHeight w:val="255"/>
          <w:jc w:val="center"/>
        </w:trPr>
        <w:tc>
          <w:tcPr>
            <w:tcW w:w="554" w:type="dxa"/>
            <w:tcBorders>
              <w:top w:val="nil"/>
              <w:left w:val="single" w:sz="4" w:space="0" w:color="auto"/>
              <w:bottom w:val="single" w:sz="4" w:space="0" w:color="auto"/>
              <w:right w:val="single" w:sz="4" w:space="0" w:color="auto"/>
            </w:tcBorders>
            <w:vAlign w:val="bottom"/>
          </w:tcPr>
          <w:p w:rsidR="00C81B24" w:rsidRPr="00C81B24" w:rsidRDefault="00C81B24" w:rsidP="00CE5850">
            <w:pPr>
              <w:rPr>
                <w:sz w:val="20"/>
              </w:rPr>
            </w:pPr>
            <w:r w:rsidRPr="00C81B24">
              <w:rPr>
                <w:sz w:val="20"/>
              </w:rPr>
              <w:t>148</w:t>
            </w:r>
          </w:p>
        </w:tc>
        <w:tc>
          <w:tcPr>
            <w:tcW w:w="456" w:type="dxa"/>
            <w:tcBorders>
              <w:top w:val="nil"/>
              <w:left w:val="single" w:sz="4" w:space="0" w:color="auto"/>
              <w:bottom w:val="single" w:sz="4" w:space="0" w:color="auto"/>
              <w:right w:val="single" w:sz="4" w:space="0" w:color="auto"/>
            </w:tcBorders>
            <w:vAlign w:val="center"/>
          </w:tcPr>
          <w:p w:rsidR="00C81B24" w:rsidRPr="00C81B24" w:rsidRDefault="00C81B24" w:rsidP="00CE5850">
            <w:pPr>
              <w:rPr>
                <w:sz w:val="20"/>
              </w:rPr>
            </w:pPr>
            <w:r w:rsidRPr="00C81B24">
              <w:rPr>
                <w:sz w:val="20"/>
              </w:rPr>
              <w:t>147</w:t>
            </w:r>
          </w:p>
        </w:tc>
        <w:tc>
          <w:tcPr>
            <w:tcW w:w="4012" w:type="dxa"/>
            <w:tcBorders>
              <w:top w:val="nil"/>
              <w:left w:val="nil"/>
              <w:bottom w:val="single" w:sz="4" w:space="0" w:color="auto"/>
              <w:right w:val="single" w:sz="4" w:space="0" w:color="auto"/>
            </w:tcBorders>
            <w:vAlign w:val="center"/>
          </w:tcPr>
          <w:p w:rsidR="00C81B24" w:rsidRPr="00C81B24" w:rsidRDefault="00C81B24" w:rsidP="00CE5850">
            <w:pPr>
              <w:rPr>
                <w:sz w:val="20"/>
              </w:rPr>
            </w:pPr>
            <w:r w:rsidRPr="00C81B24">
              <w:rPr>
                <w:sz w:val="20"/>
              </w:rPr>
              <w:t>Spokane, WA-ID</w:t>
            </w:r>
          </w:p>
        </w:tc>
        <w:tc>
          <w:tcPr>
            <w:tcW w:w="1102"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803,337</w:t>
            </w:r>
          </w:p>
        </w:tc>
        <w:tc>
          <w:tcPr>
            <w:tcW w:w="1155"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932,290</w:t>
            </w:r>
          </w:p>
        </w:tc>
        <w:tc>
          <w:tcPr>
            <w:tcW w:w="979"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86%</w:t>
            </w:r>
          </w:p>
        </w:tc>
        <w:tc>
          <w:tcPr>
            <w:tcW w:w="635" w:type="dxa"/>
            <w:tcBorders>
              <w:top w:val="nil"/>
              <w:left w:val="nil"/>
              <w:bottom w:val="single" w:sz="4" w:space="0" w:color="auto"/>
              <w:right w:val="single" w:sz="4" w:space="0" w:color="auto"/>
            </w:tcBorders>
            <w:noWrap/>
            <w:vAlign w:val="bottom"/>
          </w:tcPr>
          <w:p w:rsidR="00C81B24" w:rsidRPr="00C81B24" w:rsidRDefault="00C81B24" w:rsidP="00CE5850">
            <w:pPr>
              <w:rPr>
                <w:sz w:val="20"/>
              </w:rPr>
            </w:pPr>
            <w:r w:rsidRPr="00C81B24">
              <w:rPr>
                <w:sz w:val="20"/>
              </w:rPr>
              <w:t>3613</w:t>
            </w:r>
          </w:p>
        </w:tc>
        <w:tc>
          <w:tcPr>
            <w:tcW w:w="536"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3553</w:t>
            </w:r>
          </w:p>
        </w:tc>
        <w:tc>
          <w:tcPr>
            <w:tcW w:w="736"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26.90</w:t>
            </w:r>
          </w:p>
        </w:tc>
      </w:tr>
      <w:tr w:rsidR="00C81B24" w:rsidRPr="00C81B24" w:rsidTr="00526AD9">
        <w:trPr>
          <w:trHeight w:val="255"/>
          <w:jc w:val="center"/>
        </w:trPr>
        <w:tc>
          <w:tcPr>
            <w:tcW w:w="554" w:type="dxa"/>
            <w:tcBorders>
              <w:top w:val="nil"/>
              <w:left w:val="single" w:sz="4" w:space="0" w:color="auto"/>
              <w:bottom w:val="single" w:sz="4" w:space="0" w:color="auto"/>
              <w:right w:val="single" w:sz="4" w:space="0" w:color="auto"/>
            </w:tcBorders>
            <w:vAlign w:val="bottom"/>
          </w:tcPr>
          <w:p w:rsidR="00C81B24" w:rsidRPr="00C81B24" w:rsidRDefault="00C81B24" w:rsidP="00CE5850">
            <w:pPr>
              <w:rPr>
                <w:sz w:val="20"/>
              </w:rPr>
            </w:pPr>
            <w:r w:rsidRPr="00C81B24">
              <w:rPr>
                <w:sz w:val="20"/>
              </w:rPr>
              <w:t>149</w:t>
            </w:r>
          </w:p>
        </w:tc>
        <w:tc>
          <w:tcPr>
            <w:tcW w:w="456" w:type="dxa"/>
            <w:tcBorders>
              <w:top w:val="nil"/>
              <w:left w:val="single" w:sz="4" w:space="0" w:color="auto"/>
              <w:bottom w:val="single" w:sz="4" w:space="0" w:color="auto"/>
              <w:right w:val="single" w:sz="4" w:space="0" w:color="auto"/>
            </w:tcBorders>
            <w:vAlign w:val="center"/>
          </w:tcPr>
          <w:p w:rsidR="00C81B24" w:rsidRPr="00C81B24" w:rsidRDefault="00C81B24" w:rsidP="00CE5850">
            <w:pPr>
              <w:rPr>
                <w:sz w:val="20"/>
              </w:rPr>
            </w:pPr>
            <w:r w:rsidRPr="00C81B24">
              <w:rPr>
                <w:sz w:val="20"/>
              </w:rPr>
              <w:t>151</w:t>
            </w:r>
          </w:p>
        </w:tc>
        <w:tc>
          <w:tcPr>
            <w:tcW w:w="4012" w:type="dxa"/>
            <w:tcBorders>
              <w:top w:val="nil"/>
              <w:left w:val="nil"/>
              <w:bottom w:val="single" w:sz="4" w:space="0" w:color="auto"/>
              <w:right w:val="single" w:sz="4" w:space="0" w:color="auto"/>
            </w:tcBorders>
            <w:vAlign w:val="center"/>
          </w:tcPr>
          <w:p w:rsidR="00C81B24" w:rsidRPr="00C81B24" w:rsidRDefault="00C81B24" w:rsidP="00CE5850">
            <w:pPr>
              <w:rPr>
                <w:sz w:val="20"/>
              </w:rPr>
            </w:pPr>
            <w:r w:rsidRPr="00C81B24">
              <w:rPr>
                <w:sz w:val="20"/>
              </w:rPr>
              <w:t>Reno, NV-CA</w:t>
            </w:r>
          </w:p>
        </w:tc>
        <w:tc>
          <w:tcPr>
            <w:tcW w:w="1102"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680,074</w:t>
            </w:r>
          </w:p>
        </w:tc>
        <w:tc>
          <w:tcPr>
            <w:tcW w:w="1155"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786,501</w:t>
            </w:r>
          </w:p>
        </w:tc>
        <w:tc>
          <w:tcPr>
            <w:tcW w:w="979"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86%</w:t>
            </w:r>
          </w:p>
        </w:tc>
        <w:tc>
          <w:tcPr>
            <w:tcW w:w="635" w:type="dxa"/>
            <w:tcBorders>
              <w:top w:val="nil"/>
              <w:left w:val="nil"/>
              <w:bottom w:val="single" w:sz="4" w:space="0" w:color="auto"/>
              <w:right w:val="single" w:sz="4" w:space="0" w:color="auto"/>
            </w:tcBorders>
            <w:noWrap/>
            <w:vAlign w:val="bottom"/>
          </w:tcPr>
          <w:p w:rsidR="00C81B24" w:rsidRPr="00C81B24" w:rsidRDefault="00C81B24" w:rsidP="00CE5850">
            <w:pPr>
              <w:rPr>
                <w:sz w:val="20"/>
              </w:rPr>
            </w:pPr>
            <w:r w:rsidRPr="00C81B24">
              <w:rPr>
                <w:sz w:val="20"/>
              </w:rPr>
              <w:t>3131</w:t>
            </w:r>
          </w:p>
        </w:tc>
        <w:tc>
          <w:tcPr>
            <w:tcW w:w="536"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2624</w:t>
            </w:r>
          </w:p>
        </w:tc>
        <w:tc>
          <w:tcPr>
            <w:tcW w:w="736"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8.96</w:t>
            </w:r>
          </w:p>
        </w:tc>
      </w:tr>
      <w:tr w:rsidR="00C81B24" w:rsidRPr="00C81B24" w:rsidTr="00526AD9">
        <w:trPr>
          <w:trHeight w:val="255"/>
          <w:jc w:val="center"/>
        </w:trPr>
        <w:tc>
          <w:tcPr>
            <w:tcW w:w="554" w:type="dxa"/>
            <w:tcBorders>
              <w:top w:val="nil"/>
              <w:left w:val="single" w:sz="4" w:space="0" w:color="auto"/>
              <w:bottom w:val="single" w:sz="4" w:space="0" w:color="auto"/>
              <w:right w:val="single" w:sz="4" w:space="0" w:color="auto"/>
            </w:tcBorders>
            <w:vAlign w:val="bottom"/>
          </w:tcPr>
          <w:p w:rsidR="00C81B24" w:rsidRPr="00C81B24" w:rsidRDefault="00C81B24" w:rsidP="00CE5850">
            <w:pPr>
              <w:rPr>
                <w:sz w:val="20"/>
              </w:rPr>
            </w:pPr>
            <w:r w:rsidRPr="00C81B24">
              <w:rPr>
                <w:sz w:val="20"/>
              </w:rPr>
              <w:t>150</w:t>
            </w:r>
          </w:p>
        </w:tc>
        <w:tc>
          <w:tcPr>
            <w:tcW w:w="456" w:type="dxa"/>
            <w:tcBorders>
              <w:top w:val="nil"/>
              <w:left w:val="single" w:sz="4" w:space="0" w:color="auto"/>
              <w:bottom w:val="single" w:sz="4" w:space="0" w:color="auto"/>
              <w:right w:val="single" w:sz="4" w:space="0" w:color="auto"/>
            </w:tcBorders>
            <w:vAlign w:val="center"/>
          </w:tcPr>
          <w:p w:rsidR="00C81B24" w:rsidRPr="00C81B24" w:rsidRDefault="00C81B24" w:rsidP="00CE5850">
            <w:pPr>
              <w:rPr>
                <w:sz w:val="20"/>
              </w:rPr>
            </w:pPr>
            <w:r w:rsidRPr="00C81B24">
              <w:rPr>
                <w:sz w:val="20"/>
              </w:rPr>
              <w:t>169</w:t>
            </w:r>
          </w:p>
        </w:tc>
        <w:tc>
          <w:tcPr>
            <w:tcW w:w="4012" w:type="dxa"/>
            <w:tcBorders>
              <w:top w:val="nil"/>
              <w:left w:val="nil"/>
              <w:bottom w:val="single" w:sz="4" w:space="0" w:color="auto"/>
              <w:right w:val="single" w:sz="4" w:space="0" w:color="auto"/>
            </w:tcBorders>
            <w:vAlign w:val="center"/>
          </w:tcPr>
          <w:p w:rsidR="00C81B24" w:rsidRPr="00C81B24" w:rsidRDefault="00C81B24" w:rsidP="00CE5850">
            <w:pPr>
              <w:rPr>
                <w:sz w:val="20"/>
              </w:rPr>
            </w:pPr>
            <w:r w:rsidRPr="00C81B24">
              <w:rPr>
                <w:sz w:val="20"/>
              </w:rPr>
              <w:t>Richland-Kennewick-Pasco, WA</w:t>
            </w:r>
          </w:p>
        </w:tc>
        <w:tc>
          <w:tcPr>
            <w:tcW w:w="1102"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688,204</w:t>
            </w:r>
          </w:p>
        </w:tc>
        <w:tc>
          <w:tcPr>
            <w:tcW w:w="1155"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797,338</w:t>
            </w:r>
          </w:p>
        </w:tc>
        <w:tc>
          <w:tcPr>
            <w:tcW w:w="979"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86%</w:t>
            </w:r>
          </w:p>
        </w:tc>
        <w:tc>
          <w:tcPr>
            <w:tcW w:w="635" w:type="dxa"/>
            <w:tcBorders>
              <w:top w:val="nil"/>
              <w:left w:val="nil"/>
              <w:bottom w:val="single" w:sz="4" w:space="0" w:color="auto"/>
              <w:right w:val="single" w:sz="4" w:space="0" w:color="auto"/>
            </w:tcBorders>
            <w:noWrap/>
            <w:vAlign w:val="bottom"/>
          </w:tcPr>
          <w:p w:rsidR="00C81B24" w:rsidRPr="00C81B24" w:rsidRDefault="00C81B24" w:rsidP="00CE5850">
            <w:pPr>
              <w:rPr>
                <w:sz w:val="20"/>
              </w:rPr>
            </w:pPr>
            <w:r w:rsidRPr="00C81B24">
              <w:rPr>
                <w:sz w:val="20"/>
              </w:rPr>
              <w:t>2812</w:t>
            </w:r>
          </w:p>
        </w:tc>
        <w:tc>
          <w:tcPr>
            <w:tcW w:w="536"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2757</w:t>
            </w:r>
          </w:p>
        </w:tc>
        <w:tc>
          <w:tcPr>
            <w:tcW w:w="736"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33.02</w:t>
            </w:r>
          </w:p>
        </w:tc>
      </w:tr>
      <w:tr w:rsidR="00C81B24" w:rsidRPr="00C81B24" w:rsidTr="00526AD9">
        <w:trPr>
          <w:trHeight w:val="255"/>
          <w:jc w:val="center"/>
        </w:trPr>
        <w:tc>
          <w:tcPr>
            <w:tcW w:w="554" w:type="dxa"/>
            <w:tcBorders>
              <w:top w:val="nil"/>
              <w:left w:val="single" w:sz="4" w:space="0" w:color="auto"/>
              <w:bottom w:val="single" w:sz="4" w:space="0" w:color="auto"/>
              <w:right w:val="single" w:sz="4" w:space="0" w:color="auto"/>
            </w:tcBorders>
            <w:vAlign w:val="bottom"/>
          </w:tcPr>
          <w:p w:rsidR="00C81B24" w:rsidRPr="00C81B24" w:rsidRDefault="00C81B24" w:rsidP="00CE5850">
            <w:pPr>
              <w:rPr>
                <w:sz w:val="20"/>
              </w:rPr>
            </w:pPr>
            <w:r w:rsidRPr="00C81B24">
              <w:rPr>
                <w:sz w:val="20"/>
              </w:rPr>
              <w:t>151</w:t>
            </w:r>
          </w:p>
        </w:tc>
        <w:tc>
          <w:tcPr>
            <w:tcW w:w="456" w:type="dxa"/>
            <w:tcBorders>
              <w:top w:val="nil"/>
              <w:left w:val="single" w:sz="4" w:space="0" w:color="auto"/>
              <w:bottom w:val="single" w:sz="4" w:space="0" w:color="auto"/>
              <w:right w:val="single" w:sz="4" w:space="0" w:color="auto"/>
            </w:tcBorders>
            <w:vAlign w:val="center"/>
          </w:tcPr>
          <w:p w:rsidR="00C81B24" w:rsidRPr="00C81B24" w:rsidRDefault="00C81B24" w:rsidP="00CE5850">
            <w:pPr>
              <w:rPr>
                <w:sz w:val="20"/>
              </w:rPr>
            </w:pPr>
            <w:r w:rsidRPr="00C81B24">
              <w:rPr>
                <w:sz w:val="20"/>
              </w:rPr>
              <w:t>4</w:t>
            </w:r>
          </w:p>
        </w:tc>
        <w:tc>
          <w:tcPr>
            <w:tcW w:w="4012" w:type="dxa"/>
            <w:tcBorders>
              <w:top w:val="nil"/>
              <w:left w:val="nil"/>
              <w:bottom w:val="single" w:sz="4" w:space="0" w:color="auto"/>
              <w:right w:val="single" w:sz="4" w:space="0" w:color="auto"/>
            </w:tcBorders>
            <w:vAlign w:val="center"/>
          </w:tcPr>
          <w:p w:rsidR="00C81B24" w:rsidRPr="00C81B24" w:rsidRDefault="00C81B24" w:rsidP="00CE5850">
            <w:pPr>
              <w:rPr>
                <w:sz w:val="20"/>
              </w:rPr>
            </w:pPr>
            <w:r w:rsidRPr="00C81B24">
              <w:rPr>
                <w:sz w:val="20"/>
              </w:rPr>
              <w:t>Burlington, VT-NY</w:t>
            </w:r>
          </w:p>
        </w:tc>
        <w:tc>
          <w:tcPr>
            <w:tcW w:w="1102"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534,186</w:t>
            </w:r>
          </w:p>
        </w:tc>
        <w:tc>
          <w:tcPr>
            <w:tcW w:w="1155"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625,288</w:t>
            </w:r>
          </w:p>
        </w:tc>
        <w:tc>
          <w:tcPr>
            <w:tcW w:w="979"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85%</w:t>
            </w:r>
          </w:p>
        </w:tc>
        <w:tc>
          <w:tcPr>
            <w:tcW w:w="635" w:type="dxa"/>
            <w:tcBorders>
              <w:top w:val="nil"/>
              <w:left w:val="nil"/>
              <w:bottom w:val="single" w:sz="4" w:space="0" w:color="auto"/>
              <w:right w:val="single" w:sz="4" w:space="0" w:color="auto"/>
            </w:tcBorders>
            <w:noWrap/>
            <w:vAlign w:val="bottom"/>
          </w:tcPr>
          <w:p w:rsidR="00C81B24" w:rsidRPr="00C81B24" w:rsidRDefault="00C81B24" w:rsidP="00CE5850">
            <w:pPr>
              <w:rPr>
                <w:sz w:val="20"/>
              </w:rPr>
            </w:pPr>
            <w:r w:rsidRPr="00C81B24">
              <w:rPr>
                <w:sz w:val="20"/>
              </w:rPr>
              <w:t>4741</w:t>
            </w:r>
          </w:p>
        </w:tc>
        <w:tc>
          <w:tcPr>
            <w:tcW w:w="536"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5443</w:t>
            </w:r>
          </w:p>
        </w:tc>
        <w:tc>
          <w:tcPr>
            <w:tcW w:w="736"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63.18</w:t>
            </w:r>
          </w:p>
        </w:tc>
      </w:tr>
      <w:tr w:rsidR="00C81B24" w:rsidRPr="00C81B24" w:rsidTr="00526AD9">
        <w:trPr>
          <w:trHeight w:val="255"/>
          <w:jc w:val="center"/>
        </w:trPr>
        <w:tc>
          <w:tcPr>
            <w:tcW w:w="554" w:type="dxa"/>
            <w:tcBorders>
              <w:top w:val="nil"/>
              <w:left w:val="single" w:sz="4" w:space="0" w:color="auto"/>
              <w:bottom w:val="single" w:sz="4" w:space="0" w:color="auto"/>
              <w:right w:val="single" w:sz="4" w:space="0" w:color="auto"/>
            </w:tcBorders>
            <w:vAlign w:val="bottom"/>
          </w:tcPr>
          <w:p w:rsidR="00C81B24" w:rsidRPr="00C81B24" w:rsidRDefault="00C81B24" w:rsidP="00CE5850">
            <w:pPr>
              <w:rPr>
                <w:sz w:val="20"/>
              </w:rPr>
            </w:pPr>
            <w:r w:rsidRPr="00C81B24">
              <w:rPr>
                <w:sz w:val="20"/>
              </w:rPr>
              <w:t>152</w:t>
            </w:r>
          </w:p>
        </w:tc>
        <w:tc>
          <w:tcPr>
            <w:tcW w:w="456" w:type="dxa"/>
            <w:tcBorders>
              <w:top w:val="nil"/>
              <w:left w:val="single" w:sz="4" w:space="0" w:color="auto"/>
              <w:bottom w:val="single" w:sz="4" w:space="0" w:color="auto"/>
              <w:right w:val="single" w:sz="4" w:space="0" w:color="auto"/>
            </w:tcBorders>
            <w:vAlign w:val="center"/>
          </w:tcPr>
          <w:p w:rsidR="00C81B24" w:rsidRPr="00C81B24" w:rsidRDefault="00C81B24" w:rsidP="00CE5850">
            <w:pPr>
              <w:rPr>
                <w:sz w:val="20"/>
              </w:rPr>
            </w:pPr>
            <w:r w:rsidRPr="00C81B24">
              <w:rPr>
                <w:sz w:val="20"/>
              </w:rPr>
              <w:t>14</w:t>
            </w:r>
          </w:p>
        </w:tc>
        <w:tc>
          <w:tcPr>
            <w:tcW w:w="4012" w:type="dxa"/>
            <w:tcBorders>
              <w:top w:val="nil"/>
              <w:left w:val="nil"/>
              <w:bottom w:val="single" w:sz="4" w:space="0" w:color="auto"/>
              <w:right w:val="single" w:sz="4" w:space="0" w:color="auto"/>
            </w:tcBorders>
            <w:vAlign w:val="center"/>
          </w:tcPr>
          <w:p w:rsidR="00C81B24" w:rsidRPr="00C81B24" w:rsidRDefault="00C81B24" w:rsidP="00CE5850">
            <w:pPr>
              <w:rPr>
                <w:sz w:val="20"/>
              </w:rPr>
            </w:pPr>
            <w:r w:rsidRPr="00C81B24">
              <w:rPr>
                <w:sz w:val="20"/>
              </w:rPr>
              <w:t>Salisbury, MD-DE-VA</w:t>
            </w:r>
          </w:p>
        </w:tc>
        <w:tc>
          <w:tcPr>
            <w:tcW w:w="1102"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354,971</w:t>
            </w:r>
          </w:p>
        </w:tc>
        <w:tc>
          <w:tcPr>
            <w:tcW w:w="1155"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419,355</w:t>
            </w:r>
          </w:p>
        </w:tc>
        <w:tc>
          <w:tcPr>
            <w:tcW w:w="979"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85%</w:t>
            </w:r>
          </w:p>
        </w:tc>
        <w:tc>
          <w:tcPr>
            <w:tcW w:w="635" w:type="dxa"/>
            <w:tcBorders>
              <w:top w:val="nil"/>
              <w:left w:val="nil"/>
              <w:bottom w:val="single" w:sz="4" w:space="0" w:color="auto"/>
              <w:right w:val="single" w:sz="4" w:space="0" w:color="auto"/>
            </w:tcBorders>
            <w:noWrap/>
            <w:vAlign w:val="bottom"/>
          </w:tcPr>
          <w:p w:rsidR="00C81B24" w:rsidRPr="00C81B24" w:rsidRDefault="00C81B24" w:rsidP="00CE5850">
            <w:pPr>
              <w:rPr>
                <w:sz w:val="20"/>
              </w:rPr>
            </w:pPr>
            <w:r w:rsidRPr="00C81B24">
              <w:rPr>
                <w:sz w:val="20"/>
              </w:rPr>
              <w:t>5624</w:t>
            </w:r>
          </w:p>
        </w:tc>
        <w:tc>
          <w:tcPr>
            <w:tcW w:w="536"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5769</w:t>
            </w:r>
          </w:p>
        </w:tc>
        <w:tc>
          <w:tcPr>
            <w:tcW w:w="736"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151.96</w:t>
            </w:r>
          </w:p>
        </w:tc>
      </w:tr>
      <w:tr w:rsidR="00C81B24" w:rsidRPr="00C81B24" w:rsidTr="00526AD9">
        <w:trPr>
          <w:trHeight w:val="255"/>
          <w:jc w:val="center"/>
        </w:trPr>
        <w:tc>
          <w:tcPr>
            <w:tcW w:w="554" w:type="dxa"/>
            <w:tcBorders>
              <w:top w:val="nil"/>
              <w:left w:val="single" w:sz="4" w:space="0" w:color="auto"/>
              <w:bottom w:val="single" w:sz="4" w:space="0" w:color="auto"/>
              <w:right w:val="single" w:sz="4" w:space="0" w:color="auto"/>
            </w:tcBorders>
            <w:vAlign w:val="bottom"/>
          </w:tcPr>
          <w:p w:rsidR="00C81B24" w:rsidRPr="00C81B24" w:rsidRDefault="00C81B24" w:rsidP="00CE5850">
            <w:pPr>
              <w:rPr>
                <w:sz w:val="20"/>
              </w:rPr>
            </w:pPr>
            <w:r w:rsidRPr="00C81B24">
              <w:rPr>
                <w:sz w:val="20"/>
              </w:rPr>
              <w:t>153</w:t>
            </w:r>
          </w:p>
        </w:tc>
        <w:tc>
          <w:tcPr>
            <w:tcW w:w="456" w:type="dxa"/>
            <w:tcBorders>
              <w:top w:val="nil"/>
              <w:left w:val="single" w:sz="4" w:space="0" w:color="auto"/>
              <w:bottom w:val="single" w:sz="4" w:space="0" w:color="auto"/>
              <w:right w:val="single" w:sz="4" w:space="0" w:color="auto"/>
            </w:tcBorders>
            <w:vAlign w:val="center"/>
          </w:tcPr>
          <w:p w:rsidR="00C81B24" w:rsidRPr="00C81B24" w:rsidRDefault="00C81B24" w:rsidP="00CE5850">
            <w:pPr>
              <w:rPr>
                <w:sz w:val="20"/>
              </w:rPr>
            </w:pPr>
            <w:r w:rsidRPr="00C81B24">
              <w:rPr>
                <w:sz w:val="20"/>
              </w:rPr>
              <w:t>32</w:t>
            </w:r>
          </w:p>
        </w:tc>
        <w:tc>
          <w:tcPr>
            <w:tcW w:w="4012" w:type="dxa"/>
            <w:tcBorders>
              <w:top w:val="nil"/>
              <w:left w:val="nil"/>
              <w:bottom w:val="single" w:sz="4" w:space="0" w:color="auto"/>
              <w:right w:val="single" w:sz="4" w:space="0" w:color="auto"/>
            </w:tcBorders>
            <w:vAlign w:val="center"/>
          </w:tcPr>
          <w:p w:rsidR="00C81B24" w:rsidRPr="00C81B24" w:rsidRDefault="00C81B24" w:rsidP="00CE5850">
            <w:pPr>
              <w:rPr>
                <w:sz w:val="20"/>
              </w:rPr>
            </w:pPr>
            <w:r w:rsidRPr="00C81B24">
              <w:rPr>
                <w:sz w:val="20"/>
              </w:rPr>
              <w:t>FortMyers-Cape Coral, FL</w:t>
            </w:r>
          </w:p>
        </w:tc>
        <w:tc>
          <w:tcPr>
            <w:tcW w:w="1102"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801,899</w:t>
            </w:r>
          </w:p>
        </w:tc>
        <w:tc>
          <w:tcPr>
            <w:tcW w:w="1155"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940,274</w:t>
            </w:r>
          </w:p>
        </w:tc>
        <w:tc>
          <w:tcPr>
            <w:tcW w:w="979"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85%</w:t>
            </w:r>
          </w:p>
        </w:tc>
        <w:tc>
          <w:tcPr>
            <w:tcW w:w="635" w:type="dxa"/>
            <w:tcBorders>
              <w:top w:val="nil"/>
              <w:left w:val="nil"/>
              <w:bottom w:val="single" w:sz="4" w:space="0" w:color="auto"/>
              <w:right w:val="single" w:sz="4" w:space="0" w:color="auto"/>
            </w:tcBorders>
            <w:noWrap/>
            <w:vAlign w:val="bottom"/>
          </w:tcPr>
          <w:p w:rsidR="00C81B24" w:rsidRPr="00C81B24" w:rsidRDefault="00C81B24" w:rsidP="00CE5850">
            <w:pPr>
              <w:rPr>
                <w:sz w:val="20"/>
              </w:rPr>
            </w:pPr>
            <w:r w:rsidRPr="00C81B24">
              <w:rPr>
                <w:sz w:val="20"/>
              </w:rPr>
              <w:t>2407</w:t>
            </w:r>
          </w:p>
        </w:tc>
        <w:tc>
          <w:tcPr>
            <w:tcW w:w="536"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2403</w:t>
            </w:r>
          </w:p>
        </w:tc>
        <w:tc>
          <w:tcPr>
            <w:tcW w:w="736"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337.88</w:t>
            </w:r>
          </w:p>
        </w:tc>
      </w:tr>
      <w:tr w:rsidR="00C81B24" w:rsidRPr="00C81B24" w:rsidTr="00526AD9">
        <w:trPr>
          <w:trHeight w:val="255"/>
          <w:jc w:val="center"/>
        </w:trPr>
        <w:tc>
          <w:tcPr>
            <w:tcW w:w="554" w:type="dxa"/>
            <w:tcBorders>
              <w:top w:val="nil"/>
              <w:left w:val="single" w:sz="4" w:space="0" w:color="auto"/>
              <w:bottom w:val="single" w:sz="4" w:space="0" w:color="auto"/>
              <w:right w:val="single" w:sz="4" w:space="0" w:color="auto"/>
            </w:tcBorders>
            <w:vAlign w:val="bottom"/>
          </w:tcPr>
          <w:p w:rsidR="00C81B24" w:rsidRPr="00C81B24" w:rsidRDefault="00C81B24" w:rsidP="00CE5850">
            <w:pPr>
              <w:rPr>
                <w:sz w:val="20"/>
              </w:rPr>
            </w:pPr>
            <w:r w:rsidRPr="00C81B24">
              <w:rPr>
                <w:sz w:val="20"/>
              </w:rPr>
              <w:t>154</w:t>
            </w:r>
          </w:p>
        </w:tc>
        <w:tc>
          <w:tcPr>
            <w:tcW w:w="456" w:type="dxa"/>
            <w:tcBorders>
              <w:top w:val="nil"/>
              <w:left w:val="single" w:sz="4" w:space="0" w:color="auto"/>
              <w:bottom w:val="single" w:sz="4" w:space="0" w:color="auto"/>
              <w:right w:val="single" w:sz="4" w:space="0" w:color="auto"/>
            </w:tcBorders>
            <w:vAlign w:val="center"/>
          </w:tcPr>
          <w:p w:rsidR="00C81B24" w:rsidRPr="00C81B24" w:rsidRDefault="00C81B24" w:rsidP="00CE5850">
            <w:pPr>
              <w:rPr>
                <w:sz w:val="20"/>
              </w:rPr>
            </w:pPr>
            <w:r w:rsidRPr="00C81B24">
              <w:rPr>
                <w:sz w:val="20"/>
              </w:rPr>
              <w:t>46</w:t>
            </w:r>
          </w:p>
        </w:tc>
        <w:tc>
          <w:tcPr>
            <w:tcW w:w="4012" w:type="dxa"/>
            <w:tcBorders>
              <w:top w:val="nil"/>
              <w:left w:val="nil"/>
              <w:bottom w:val="single" w:sz="4" w:space="0" w:color="auto"/>
              <w:right w:val="single" w:sz="4" w:space="0" w:color="auto"/>
            </w:tcBorders>
            <w:vAlign w:val="center"/>
          </w:tcPr>
          <w:p w:rsidR="00C81B24" w:rsidRPr="00C81B24" w:rsidRDefault="00C81B24" w:rsidP="00CE5850">
            <w:pPr>
              <w:rPr>
                <w:sz w:val="20"/>
              </w:rPr>
            </w:pPr>
            <w:r w:rsidRPr="00C81B24">
              <w:rPr>
                <w:sz w:val="20"/>
              </w:rPr>
              <w:t>Hickory-Morganton, NC-TN</w:t>
            </w:r>
          </w:p>
        </w:tc>
        <w:tc>
          <w:tcPr>
            <w:tcW w:w="1102"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477,304</w:t>
            </w:r>
          </w:p>
        </w:tc>
        <w:tc>
          <w:tcPr>
            <w:tcW w:w="1155"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558,291</w:t>
            </w:r>
          </w:p>
        </w:tc>
        <w:tc>
          <w:tcPr>
            <w:tcW w:w="979"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85%</w:t>
            </w:r>
          </w:p>
        </w:tc>
        <w:tc>
          <w:tcPr>
            <w:tcW w:w="635" w:type="dxa"/>
            <w:tcBorders>
              <w:top w:val="nil"/>
              <w:left w:val="nil"/>
              <w:bottom w:val="single" w:sz="4" w:space="0" w:color="auto"/>
              <w:right w:val="single" w:sz="4" w:space="0" w:color="auto"/>
            </w:tcBorders>
            <w:noWrap/>
            <w:vAlign w:val="bottom"/>
          </w:tcPr>
          <w:p w:rsidR="00C81B24" w:rsidRPr="00C81B24" w:rsidRDefault="00C81B24" w:rsidP="00CE5850">
            <w:pPr>
              <w:rPr>
                <w:sz w:val="20"/>
              </w:rPr>
            </w:pPr>
            <w:r w:rsidRPr="00C81B24">
              <w:rPr>
                <w:sz w:val="20"/>
              </w:rPr>
              <w:t>2833</w:t>
            </w:r>
          </w:p>
        </w:tc>
        <w:tc>
          <w:tcPr>
            <w:tcW w:w="536"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2795</w:t>
            </w:r>
          </w:p>
        </w:tc>
        <w:tc>
          <w:tcPr>
            <w:tcW w:w="736"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143.29</w:t>
            </w:r>
          </w:p>
        </w:tc>
      </w:tr>
      <w:tr w:rsidR="00C81B24" w:rsidRPr="00C81B24" w:rsidTr="00526AD9">
        <w:trPr>
          <w:trHeight w:val="255"/>
          <w:jc w:val="center"/>
        </w:trPr>
        <w:tc>
          <w:tcPr>
            <w:tcW w:w="554" w:type="dxa"/>
            <w:tcBorders>
              <w:top w:val="nil"/>
              <w:left w:val="single" w:sz="4" w:space="0" w:color="auto"/>
              <w:bottom w:val="single" w:sz="4" w:space="0" w:color="auto"/>
              <w:right w:val="single" w:sz="4" w:space="0" w:color="auto"/>
            </w:tcBorders>
            <w:vAlign w:val="bottom"/>
          </w:tcPr>
          <w:p w:rsidR="00C81B24" w:rsidRPr="00C81B24" w:rsidRDefault="00C81B24" w:rsidP="00CE5850">
            <w:pPr>
              <w:rPr>
                <w:sz w:val="20"/>
              </w:rPr>
            </w:pPr>
            <w:r w:rsidRPr="00C81B24">
              <w:rPr>
                <w:sz w:val="20"/>
              </w:rPr>
              <w:t>155</w:t>
            </w:r>
          </w:p>
        </w:tc>
        <w:tc>
          <w:tcPr>
            <w:tcW w:w="456" w:type="dxa"/>
            <w:tcBorders>
              <w:top w:val="nil"/>
              <w:left w:val="single" w:sz="4" w:space="0" w:color="auto"/>
              <w:bottom w:val="single" w:sz="4" w:space="0" w:color="auto"/>
              <w:right w:val="single" w:sz="4" w:space="0" w:color="auto"/>
            </w:tcBorders>
            <w:vAlign w:val="center"/>
          </w:tcPr>
          <w:p w:rsidR="00C81B24" w:rsidRPr="00C81B24" w:rsidRDefault="00C81B24" w:rsidP="00CE5850">
            <w:pPr>
              <w:rPr>
                <w:sz w:val="20"/>
              </w:rPr>
            </w:pPr>
            <w:r w:rsidRPr="00C81B24">
              <w:rPr>
                <w:sz w:val="20"/>
              </w:rPr>
              <w:t>60</w:t>
            </w:r>
          </w:p>
        </w:tc>
        <w:tc>
          <w:tcPr>
            <w:tcW w:w="4012" w:type="dxa"/>
            <w:tcBorders>
              <w:top w:val="nil"/>
              <w:left w:val="nil"/>
              <w:bottom w:val="single" w:sz="4" w:space="0" w:color="auto"/>
              <w:right w:val="single" w:sz="4" w:space="0" w:color="auto"/>
            </w:tcBorders>
            <w:vAlign w:val="center"/>
          </w:tcPr>
          <w:p w:rsidR="00C81B24" w:rsidRPr="00C81B24" w:rsidRDefault="00C81B24" w:rsidP="00CE5850">
            <w:pPr>
              <w:rPr>
                <w:sz w:val="20"/>
              </w:rPr>
            </w:pPr>
            <w:r w:rsidRPr="00C81B24">
              <w:rPr>
                <w:sz w:val="20"/>
              </w:rPr>
              <w:t>Appleton-Oshkosh-Neenah, WI</w:t>
            </w:r>
          </w:p>
        </w:tc>
        <w:tc>
          <w:tcPr>
            <w:tcW w:w="1102"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400,503</w:t>
            </w:r>
          </w:p>
        </w:tc>
        <w:tc>
          <w:tcPr>
            <w:tcW w:w="1155"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469,566</w:t>
            </w:r>
          </w:p>
        </w:tc>
        <w:tc>
          <w:tcPr>
            <w:tcW w:w="979"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85%</w:t>
            </w:r>
          </w:p>
        </w:tc>
        <w:tc>
          <w:tcPr>
            <w:tcW w:w="635" w:type="dxa"/>
            <w:tcBorders>
              <w:top w:val="nil"/>
              <w:left w:val="nil"/>
              <w:bottom w:val="single" w:sz="4" w:space="0" w:color="auto"/>
              <w:right w:val="single" w:sz="4" w:space="0" w:color="auto"/>
            </w:tcBorders>
            <w:noWrap/>
            <w:vAlign w:val="bottom"/>
          </w:tcPr>
          <w:p w:rsidR="00C81B24" w:rsidRPr="00C81B24" w:rsidRDefault="00C81B24" w:rsidP="00CE5850">
            <w:pPr>
              <w:rPr>
                <w:sz w:val="20"/>
              </w:rPr>
            </w:pPr>
            <w:r w:rsidRPr="00C81B24">
              <w:rPr>
                <w:sz w:val="20"/>
              </w:rPr>
              <w:t>2473</w:t>
            </w:r>
          </w:p>
        </w:tc>
        <w:tc>
          <w:tcPr>
            <w:tcW w:w="536"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2545</w:t>
            </w:r>
          </w:p>
        </w:tc>
        <w:tc>
          <w:tcPr>
            <w:tcW w:w="736"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169.88</w:t>
            </w:r>
          </w:p>
        </w:tc>
      </w:tr>
      <w:tr w:rsidR="00C81B24" w:rsidRPr="00C81B24" w:rsidTr="00526AD9">
        <w:trPr>
          <w:trHeight w:val="255"/>
          <w:jc w:val="center"/>
        </w:trPr>
        <w:tc>
          <w:tcPr>
            <w:tcW w:w="554" w:type="dxa"/>
            <w:tcBorders>
              <w:top w:val="nil"/>
              <w:left w:val="single" w:sz="4" w:space="0" w:color="auto"/>
              <w:bottom w:val="single" w:sz="4" w:space="0" w:color="auto"/>
              <w:right w:val="single" w:sz="4" w:space="0" w:color="auto"/>
            </w:tcBorders>
            <w:vAlign w:val="bottom"/>
          </w:tcPr>
          <w:p w:rsidR="00C81B24" w:rsidRPr="00C81B24" w:rsidRDefault="00C81B24" w:rsidP="00CE5850">
            <w:pPr>
              <w:rPr>
                <w:sz w:val="20"/>
              </w:rPr>
            </w:pPr>
            <w:r w:rsidRPr="00C81B24">
              <w:rPr>
                <w:sz w:val="20"/>
              </w:rPr>
              <w:t>156</w:t>
            </w:r>
          </w:p>
        </w:tc>
        <w:tc>
          <w:tcPr>
            <w:tcW w:w="456" w:type="dxa"/>
            <w:tcBorders>
              <w:top w:val="nil"/>
              <w:left w:val="single" w:sz="4" w:space="0" w:color="auto"/>
              <w:bottom w:val="single" w:sz="4" w:space="0" w:color="auto"/>
              <w:right w:val="single" w:sz="4" w:space="0" w:color="auto"/>
            </w:tcBorders>
            <w:vAlign w:val="center"/>
          </w:tcPr>
          <w:p w:rsidR="00C81B24" w:rsidRPr="00C81B24" w:rsidRDefault="00C81B24" w:rsidP="00CE5850">
            <w:pPr>
              <w:rPr>
                <w:sz w:val="20"/>
              </w:rPr>
            </w:pPr>
            <w:r w:rsidRPr="00C81B24">
              <w:rPr>
                <w:sz w:val="20"/>
              </w:rPr>
              <w:t>62</w:t>
            </w:r>
          </w:p>
        </w:tc>
        <w:tc>
          <w:tcPr>
            <w:tcW w:w="4012" w:type="dxa"/>
            <w:tcBorders>
              <w:top w:val="nil"/>
              <w:left w:val="nil"/>
              <w:bottom w:val="single" w:sz="4" w:space="0" w:color="auto"/>
              <w:right w:val="single" w:sz="4" w:space="0" w:color="auto"/>
            </w:tcBorders>
            <w:vAlign w:val="center"/>
          </w:tcPr>
          <w:p w:rsidR="00C81B24" w:rsidRPr="00C81B24" w:rsidRDefault="00C81B24" w:rsidP="00CE5850">
            <w:pPr>
              <w:rPr>
                <w:sz w:val="20"/>
              </w:rPr>
            </w:pPr>
            <w:r w:rsidRPr="00C81B24">
              <w:rPr>
                <w:sz w:val="20"/>
              </w:rPr>
              <w:t>Grand Rapids-Muskegon-Holland, MI</w:t>
            </w:r>
          </w:p>
        </w:tc>
        <w:tc>
          <w:tcPr>
            <w:tcW w:w="1102"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1,670,535</w:t>
            </w:r>
          </w:p>
        </w:tc>
        <w:tc>
          <w:tcPr>
            <w:tcW w:w="1155"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1,962,250</w:t>
            </w:r>
          </w:p>
        </w:tc>
        <w:tc>
          <w:tcPr>
            <w:tcW w:w="979"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85%</w:t>
            </w:r>
          </w:p>
        </w:tc>
        <w:tc>
          <w:tcPr>
            <w:tcW w:w="635" w:type="dxa"/>
            <w:tcBorders>
              <w:top w:val="nil"/>
              <w:left w:val="nil"/>
              <w:bottom w:val="single" w:sz="4" w:space="0" w:color="auto"/>
              <w:right w:val="single" w:sz="4" w:space="0" w:color="auto"/>
            </w:tcBorders>
            <w:noWrap/>
            <w:vAlign w:val="bottom"/>
          </w:tcPr>
          <w:p w:rsidR="00C81B24" w:rsidRPr="00C81B24" w:rsidRDefault="00C81B24" w:rsidP="00CE5850">
            <w:pPr>
              <w:rPr>
                <w:sz w:val="20"/>
              </w:rPr>
            </w:pPr>
            <w:r w:rsidRPr="00C81B24">
              <w:rPr>
                <w:sz w:val="20"/>
              </w:rPr>
              <w:t>3017</w:t>
            </w:r>
          </w:p>
        </w:tc>
        <w:tc>
          <w:tcPr>
            <w:tcW w:w="536"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2817</w:t>
            </w:r>
          </w:p>
        </w:tc>
        <w:tc>
          <w:tcPr>
            <w:tcW w:w="736"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222.31</w:t>
            </w:r>
          </w:p>
        </w:tc>
      </w:tr>
      <w:tr w:rsidR="00C81B24" w:rsidRPr="00C81B24" w:rsidTr="00526AD9">
        <w:trPr>
          <w:trHeight w:val="255"/>
          <w:jc w:val="center"/>
        </w:trPr>
        <w:tc>
          <w:tcPr>
            <w:tcW w:w="554" w:type="dxa"/>
            <w:tcBorders>
              <w:top w:val="nil"/>
              <w:left w:val="single" w:sz="4" w:space="0" w:color="auto"/>
              <w:bottom w:val="single" w:sz="4" w:space="0" w:color="auto"/>
              <w:right w:val="single" w:sz="4" w:space="0" w:color="auto"/>
            </w:tcBorders>
            <w:vAlign w:val="bottom"/>
          </w:tcPr>
          <w:p w:rsidR="00C81B24" w:rsidRPr="00C81B24" w:rsidRDefault="00C81B24" w:rsidP="00CE5850">
            <w:pPr>
              <w:rPr>
                <w:sz w:val="20"/>
              </w:rPr>
            </w:pPr>
            <w:r w:rsidRPr="00C81B24">
              <w:rPr>
                <w:sz w:val="20"/>
              </w:rPr>
              <w:t>157</w:t>
            </w:r>
          </w:p>
        </w:tc>
        <w:tc>
          <w:tcPr>
            <w:tcW w:w="456" w:type="dxa"/>
            <w:tcBorders>
              <w:top w:val="nil"/>
              <w:left w:val="single" w:sz="4" w:space="0" w:color="auto"/>
              <w:bottom w:val="single" w:sz="4" w:space="0" w:color="auto"/>
              <w:right w:val="single" w:sz="4" w:space="0" w:color="auto"/>
            </w:tcBorders>
            <w:vAlign w:val="center"/>
          </w:tcPr>
          <w:p w:rsidR="00C81B24" w:rsidRPr="00C81B24" w:rsidRDefault="00C81B24" w:rsidP="00CE5850">
            <w:pPr>
              <w:rPr>
                <w:sz w:val="20"/>
              </w:rPr>
            </w:pPr>
            <w:r w:rsidRPr="00C81B24">
              <w:rPr>
                <w:sz w:val="20"/>
              </w:rPr>
              <w:t>76</w:t>
            </w:r>
          </w:p>
        </w:tc>
        <w:tc>
          <w:tcPr>
            <w:tcW w:w="4012" w:type="dxa"/>
            <w:tcBorders>
              <w:top w:val="nil"/>
              <w:left w:val="nil"/>
              <w:bottom w:val="single" w:sz="4" w:space="0" w:color="auto"/>
              <w:right w:val="single" w:sz="4" w:space="0" w:color="auto"/>
            </w:tcBorders>
            <w:vAlign w:val="center"/>
          </w:tcPr>
          <w:p w:rsidR="00C81B24" w:rsidRPr="00C81B24" w:rsidRDefault="00C81B24" w:rsidP="00CE5850">
            <w:pPr>
              <w:rPr>
                <w:sz w:val="20"/>
              </w:rPr>
            </w:pPr>
            <w:r w:rsidRPr="00C81B24">
              <w:rPr>
                <w:sz w:val="20"/>
              </w:rPr>
              <w:t>Greenville, MS</w:t>
            </w:r>
          </w:p>
        </w:tc>
        <w:tc>
          <w:tcPr>
            <w:tcW w:w="1102"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183,553</w:t>
            </w:r>
          </w:p>
        </w:tc>
        <w:tc>
          <w:tcPr>
            <w:tcW w:w="1155"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214,872</w:t>
            </w:r>
          </w:p>
        </w:tc>
        <w:tc>
          <w:tcPr>
            <w:tcW w:w="979"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85%</w:t>
            </w:r>
          </w:p>
        </w:tc>
        <w:tc>
          <w:tcPr>
            <w:tcW w:w="635" w:type="dxa"/>
            <w:tcBorders>
              <w:top w:val="nil"/>
              <w:left w:val="nil"/>
              <w:bottom w:val="single" w:sz="4" w:space="0" w:color="auto"/>
              <w:right w:val="single" w:sz="4" w:space="0" w:color="auto"/>
            </w:tcBorders>
            <w:noWrap/>
            <w:vAlign w:val="bottom"/>
          </w:tcPr>
          <w:p w:rsidR="00C81B24" w:rsidRPr="00C81B24" w:rsidRDefault="00C81B24" w:rsidP="00CE5850">
            <w:pPr>
              <w:rPr>
                <w:sz w:val="20"/>
              </w:rPr>
            </w:pPr>
            <w:r w:rsidRPr="00C81B24">
              <w:rPr>
                <w:sz w:val="20"/>
              </w:rPr>
              <w:t>3570</w:t>
            </w:r>
          </w:p>
        </w:tc>
        <w:tc>
          <w:tcPr>
            <w:tcW w:w="536"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3941</w:t>
            </w:r>
          </w:p>
        </w:tc>
        <w:tc>
          <w:tcPr>
            <w:tcW w:w="736"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35.93</w:t>
            </w:r>
          </w:p>
        </w:tc>
      </w:tr>
      <w:tr w:rsidR="00C81B24" w:rsidRPr="00C81B24" w:rsidTr="00526AD9">
        <w:trPr>
          <w:trHeight w:val="255"/>
          <w:jc w:val="center"/>
        </w:trPr>
        <w:tc>
          <w:tcPr>
            <w:tcW w:w="554" w:type="dxa"/>
            <w:tcBorders>
              <w:top w:val="nil"/>
              <w:left w:val="single" w:sz="4" w:space="0" w:color="auto"/>
              <w:bottom w:val="single" w:sz="4" w:space="0" w:color="auto"/>
              <w:right w:val="single" w:sz="4" w:space="0" w:color="auto"/>
            </w:tcBorders>
            <w:vAlign w:val="bottom"/>
          </w:tcPr>
          <w:p w:rsidR="00C81B24" w:rsidRPr="00C81B24" w:rsidRDefault="00C81B24" w:rsidP="00CE5850">
            <w:pPr>
              <w:rPr>
                <w:sz w:val="20"/>
              </w:rPr>
            </w:pPr>
            <w:r w:rsidRPr="00C81B24">
              <w:rPr>
                <w:sz w:val="20"/>
              </w:rPr>
              <w:t>158</w:t>
            </w:r>
          </w:p>
        </w:tc>
        <w:tc>
          <w:tcPr>
            <w:tcW w:w="456" w:type="dxa"/>
            <w:tcBorders>
              <w:top w:val="nil"/>
              <w:left w:val="single" w:sz="4" w:space="0" w:color="auto"/>
              <w:bottom w:val="single" w:sz="4" w:space="0" w:color="auto"/>
              <w:right w:val="single" w:sz="4" w:space="0" w:color="auto"/>
            </w:tcBorders>
            <w:vAlign w:val="center"/>
          </w:tcPr>
          <w:p w:rsidR="00C81B24" w:rsidRPr="00C81B24" w:rsidRDefault="00C81B24" w:rsidP="00CE5850">
            <w:pPr>
              <w:rPr>
                <w:sz w:val="20"/>
              </w:rPr>
            </w:pPr>
            <w:r w:rsidRPr="00C81B24">
              <w:rPr>
                <w:sz w:val="20"/>
              </w:rPr>
              <w:t>94</w:t>
            </w:r>
          </w:p>
        </w:tc>
        <w:tc>
          <w:tcPr>
            <w:tcW w:w="4012" w:type="dxa"/>
            <w:tcBorders>
              <w:top w:val="nil"/>
              <w:left w:val="nil"/>
              <w:bottom w:val="single" w:sz="4" w:space="0" w:color="auto"/>
              <w:right w:val="single" w:sz="4" w:space="0" w:color="auto"/>
            </w:tcBorders>
            <w:vAlign w:val="center"/>
          </w:tcPr>
          <w:p w:rsidR="00C81B24" w:rsidRPr="00C81B24" w:rsidRDefault="00C81B24" w:rsidP="00CE5850">
            <w:pPr>
              <w:rPr>
                <w:sz w:val="20"/>
              </w:rPr>
            </w:pPr>
            <w:r w:rsidRPr="00C81B24">
              <w:rPr>
                <w:sz w:val="20"/>
              </w:rPr>
              <w:t>Springfield, MO</w:t>
            </w:r>
          </w:p>
        </w:tc>
        <w:tc>
          <w:tcPr>
            <w:tcW w:w="1102"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840,787</w:t>
            </w:r>
          </w:p>
        </w:tc>
        <w:tc>
          <w:tcPr>
            <w:tcW w:w="1155"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987,431</w:t>
            </w:r>
          </w:p>
        </w:tc>
        <w:tc>
          <w:tcPr>
            <w:tcW w:w="979"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85%</w:t>
            </w:r>
          </w:p>
        </w:tc>
        <w:tc>
          <w:tcPr>
            <w:tcW w:w="635" w:type="dxa"/>
            <w:tcBorders>
              <w:top w:val="nil"/>
              <w:left w:val="nil"/>
              <w:bottom w:val="single" w:sz="4" w:space="0" w:color="auto"/>
              <w:right w:val="single" w:sz="4" w:space="0" w:color="auto"/>
            </w:tcBorders>
            <w:noWrap/>
            <w:vAlign w:val="bottom"/>
          </w:tcPr>
          <w:p w:rsidR="00C81B24" w:rsidRPr="00C81B24" w:rsidRDefault="00C81B24" w:rsidP="00CE5850">
            <w:pPr>
              <w:rPr>
                <w:sz w:val="20"/>
              </w:rPr>
            </w:pPr>
            <w:r w:rsidRPr="00C81B24">
              <w:rPr>
                <w:sz w:val="20"/>
              </w:rPr>
              <w:t>3677</w:t>
            </w:r>
          </w:p>
        </w:tc>
        <w:tc>
          <w:tcPr>
            <w:tcW w:w="536"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3662</w:t>
            </w:r>
          </w:p>
        </w:tc>
        <w:tc>
          <w:tcPr>
            <w:tcW w:w="736"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56.01</w:t>
            </w:r>
          </w:p>
        </w:tc>
      </w:tr>
      <w:tr w:rsidR="00C81B24" w:rsidRPr="00C81B24" w:rsidTr="00526AD9">
        <w:trPr>
          <w:trHeight w:val="255"/>
          <w:jc w:val="center"/>
        </w:trPr>
        <w:tc>
          <w:tcPr>
            <w:tcW w:w="554" w:type="dxa"/>
            <w:tcBorders>
              <w:top w:val="nil"/>
              <w:left w:val="single" w:sz="4" w:space="0" w:color="auto"/>
              <w:bottom w:val="single" w:sz="4" w:space="0" w:color="auto"/>
              <w:right w:val="single" w:sz="4" w:space="0" w:color="auto"/>
            </w:tcBorders>
            <w:vAlign w:val="bottom"/>
          </w:tcPr>
          <w:p w:rsidR="00C81B24" w:rsidRPr="00C81B24" w:rsidRDefault="00C81B24" w:rsidP="00CE5850">
            <w:pPr>
              <w:rPr>
                <w:sz w:val="20"/>
              </w:rPr>
            </w:pPr>
            <w:r w:rsidRPr="00C81B24">
              <w:rPr>
                <w:sz w:val="20"/>
              </w:rPr>
              <w:t>159</w:t>
            </w:r>
          </w:p>
        </w:tc>
        <w:tc>
          <w:tcPr>
            <w:tcW w:w="456" w:type="dxa"/>
            <w:tcBorders>
              <w:top w:val="nil"/>
              <w:left w:val="single" w:sz="4" w:space="0" w:color="auto"/>
              <w:bottom w:val="single" w:sz="4" w:space="0" w:color="auto"/>
              <w:right w:val="single" w:sz="4" w:space="0" w:color="auto"/>
            </w:tcBorders>
            <w:vAlign w:val="center"/>
          </w:tcPr>
          <w:p w:rsidR="00C81B24" w:rsidRPr="00C81B24" w:rsidRDefault="00C81B24" w:rsidP="00CE5850">
            <w:pPr>
              <w:rPr>
                <w:sz w:val="20"/>
              </w:rPr>
            </w:pPr>
            <w:r w:rsidRPr="00C81B24">
              <w:rPr>
                <w:sz w:val="20"/>
              </w:rPr>
              <w:t>104</w:t>
            </w:r>
          </w:p>
        </w:tc>
        <w:tc>
          <w:tcPr>
            <w:tcW w:w="4012" w:type="dxa"/>
            <w:tcBorders>
              <w:top w:val="nil"/>
              <w:left w:val="nil"/>
              <w:bottom w:val="single" w:sz="4" w:space="0" w:color="auto"/>
              <w:right w:val="single" w:sz="4" w:space="0" w:color="auto"/>
            </w:tcBorders>
            <w:vAlign w:val="center"/>
          </w:tcPr>
          <w:p w:rsidR="00C81B24" w:rsidRPr="00C81B24" w:rsidRDefault="00C81B24" w:rsidP="00CE5850">
            <w:pPr>
              <w:rPr>
                <w:sz w:val="20"/>
              </w:rPr>
            </w:pPr>
            <w:r w:rsidRPr="00C81B24">
              <w:rPr>
                <w:sz w:val="20"/>
              </w:rPr>
              <w:t>Madison, WI-IA-IL</w:t>
            </w:r>
          </w:p>
        </w:tc>
        <w:tc>
          <w:tcPr>
            <w:tcW w:w="1102"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867,440</w:t>
            </w:r>
          </w:p>
        </w:tc>
        <w:tc>
          <w:tcPr>
            <w:tcW w:w="1155"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1,019,465</w:t>
            </w:r>
          </w:p>
        </w:tc>
        <w:tc>
          <w:tcPr>
            <w:tcW w:w="979"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85%</w:t>
            </w:r>
          </w:p>
        </w:tc>
        <w:tc>
          <w:tcPr>
            <w:tcW w:w="635" w:type="dxa"/>
            <w:tcBorders>
              <w:top w:val="nil"/>
              <w:left w:val="nil"/>
              <w:bottom w:val="single" w:sz="4" w:space="0" w:color="auto"/>
              <w:right w:val="single" w:sz="4" w:space="0" w:color="auto"/>
            </w:tcBorders>
            <w:noWrap/>
            <w:vAlign w:val="bottom"/>
          </w:tcPr>
          <w:p w:rsidR="00C81B24" w:rsidRPr="00C81B24" w:rsidRDefault="00C81B24" w:rsidP="00CE5850">
            <w:pPr>
              <w:rPr>
                <w:sz w:val="20"/>
              </w:rPr>
            </w:pPr>
            <w:r w:rsidRPr="00C81B24">
              <w:rPr>
                <w:sz w:val="20"/>
              </w:rPr>
              <w:t>3262</w:t>
            </w:r>
          </w:p>
        </w:tc>
        <w:tc>
          <w:tcPr>
            <w:tcW w:w="536"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3316</w:t>
            </w:r>
          </w:p>
        </w:tc>
        <w:tc>
          <w:tcPr>
            <w:tcW w:w="736"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79.73</w:t>
            </w:r>
          </w:p>
        </w:tc>
      </w:tr>
      <w:tr w:rsidR="00C81B24" w:rsidRPr="00C81B24" w:rsidTr="00526AD9">
        <w:trPr>
          <w:trHeight w:val="255"/>
          <w:jc w:val="center"/>
        </w:trPr>
        <w:tc>
          <w:tcPr>
            <w:tcW w:w="554" w:type="dxa"/>
            <w:tcBorders>
              <w:top w:val="nil"/>
              <w:left w:val="single" w:sz="4" w:space="0" w:color="auto"/>
              <w:bottom w:val="single" w:sz="4" w:space="0" w:color="auto"/>
              <w:right w:val="single" w:sz="4" w:space="0" w:color="auto"/>
            </w:tcBorders>
            <w:vAlign w:val="bottom"/>
          </w:tcPr>
          <w:p w:rsidR="00C81B24" w:rsidRPr="00C81B24" w:rsidRDefault="00C81B24" w:rsidP="00CE5850">
            <w:pPr>
              <w:rPr>
                <w:sz w:val="20"/>
              </w:rPr>
            </w:pPr>
            <w:r w:rsidRPr="00C81B24">
              <w:rPr>
                <w:sz w:val="20"/>
              </w:rPr>
              <w:t>160</w:t>
            </w:r>
          </w:p>
        </w:tc>
        <w:tc>
          <w:tcPr>
            <w:tcW w:w="456" w:type="dxa"/>
            <w:tcBorders>
              <w:top w:val="nil"/>
              <w:left w:val="single" w:sz="4" w:space="0" w:color="auto"/>
              <w:bottom w:val="single" w:sz="4" w:space="0" w:color="auto"/>
              <w:right w:val="single" w:sz="4" w:space="0" w:color="auto"/>
            </w:tcBorders>
            <w:vAlign w:val="center"/>
          </w:tcPr>
          <w:p w:rsidR="00C81B24" w:rsidRPr="00C81B24" w:rsidRDefault="00C81B24" w:rsidP="00CE5850">
            <w:pPr>
              <w:rPr>
                <w:sz w:val="20"/>
              </w:rPr>
            </w:pPr>
            <w:r w:rsidRPr="00C81B24">
              <w:rPr>
                <w:sz w:val="20"/>
              </w:rPr>
              <w:t>149</w:t>
            </w:r>
          </w:p>
        </w:tc>
        <w:tc>
          <w:tcPr>
            <w:tcW w:w="4012" w:type="dxa"/>
            <w:tcBorders>
              <w:top w:val="nil"/>
              <w:left w:val="nil"/>
              <w:bottom w:val="single" w:sz="4" w:space="0" w:color="auto"/>
              <w:right w:val="single" w:sz="4" w:space="0" w:color="auto"/>
            </w:tcBorders>
            <w:vAlign w:val="center"/>
          </w:tcPr>
          <w:p w:rsidR="00C81B24" w:rsidRPr="00C81B24" w:rsidRDefault="00C81B24" w:rsidP="00CE5850">
            <w:pPr>
              <w:rPr>
                <w:sz w:val="20"/>
              </w:rPr>
            </w:pPr>
            <w:r w:rsidRPr="00C81B24">
              <w:rPr>
                <w:sz w:val="20"/>
              </w:rPr>
              <w:t>Twin Falls, ID</w:t>
            </w:r>
          </w:p>
        </w:tc>
        <w:tc>
          <w:tcPr>
            <w:tcW w:w="1102"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157,373</w:t>
            </w:r>
          </w:p>
        </w:tc>
        <w:tc>
          <w:tcPr>
            <w:tcW w:w="1155"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185,790</w:t>
            </w:r>
          </w:p>
        </w:tc>
        <w:tc>
          <w:tcPr>
            <w:tcW w:w="979"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85%</w:t>
            </w:r>
          </w:p>
        </w:tc>
        <w:tc>
          <w:tcPr>
            <w:tcW w:w="635" w:type="dxa"/>
            <w:tcBorders>
              <w:top w:val="nil"/>
              <w:left w:val="nil"/>
              <w:bottom w:val="single" w:sz="4" w:space="0" w:color="auto"/>
              <w:right w:val="single" w:sz="4" w:space="0" w:color="auto"/>
            </w:tcBorders>
            <w:noWrap/>
            <w:vAlign w:val="bottom"/>
          </w:tcPr>
          <w:p w:rsidR="00C81B24" w:rsidRPr="00C81B24" w:rsidRDefault="00C81B24" w:rsidP="00CE5850">
            <w:pPr>
              <w:rPr>
                <w:sz w:val="20"/>
              </w:rPr>
            </w:pPr>
            <w:r w:rsidRPr="00C81B24">
              <w:rPr>
                <w:sz w:val="20"/>
              </w:rPr>
              <w:t>4553</w:t>
            </w:r>
          </w:p>
        </w:tc>
        <w:tc>
          <w:tcPr>
            <w:tcW w:w="536"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4400</w:t>
            </w:r>
          </w:p>
        </w:tc>
        <w:tc>
          <w:tcPr>
            <w:tcW w:w="736"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16.17</w:t>
            </w:r>
          </w:p>
        </w:tc>
      </w:tr>
      <w:tr w:rsidR="00C81B24" w:rsidRPr="00C81B24" w:rsidTr="00526AD9">
        <w:trPr>
          <w:trHeight w:val="255"/>
          <w:jc w:val="center"/>
        </w:trPr>
        <w:tc>
          <w:tcPr>
            <w:tcW w:w="554" w:type="dxa"/>
            <w:tcBorders>
              <w:top w:val="nil"/>
              <w:left w:val="single" w:sz="4" w:space="0" w:color="auto"/>
              <w:bottom w:val="single" w:sz="4" w:space="0" w:color="auto"/>
              <w:right w:val="single" w:sz="4" w:space="0" w:color="auto"/>
            </w:tcBorders>
            <w:vAlign w:val="bottom"/>
          </w:tcPr>
          <w:p w:rsidR="00C81B24" w:rsidRPr="00C81B24" w:rsidRDefault="00C81B24" w:rsidP="00CE5850">
            <w:pPr>
              <w:rPr>
                <w:sz w:val="20"/>
              </w:rPr>
            </w:pPr>
            <w:r w:rsidRPr="00C81B24">
              <w:rPr>
                <w:sz w:val="20"/>
              </w:rPr>
              <w:t>161</w:t>
            </w:r>
          </w:p>
        </w:tc>
        <w:tc>
          <w:tcPr>
            <w:tcW w:w="456" w:type="dxa"/>
            <w:tcBorders>
              <w:top w:val="nil"/>
              <w:left w:val="single" w:sz="4" w:space="0" w:color="auto"/>
              <w:bottom w:val="single" w:sz="4" w:space="0" w:color="auto"/>
              <w:right w:val="single" w:sz="4" w:space="0" w:color="auto"/>
            </w:tcBorders>
            <w:vAlign w:val="center"/>
          </w:tcPr>
          <w:p w:rsidR="00C81B24" w:rsidRPr="00C81B24" w:rsidRDefault="00C81B24" w:rsidP="00CE5850">
            <w:pPr>
              <w:rPr>
                <w:sz w:val="20"/>
              </w:rPr>
            </w:pPr>
            <w:r w:rsidRPr="00C81B24">
              <w:rPr>
                <w:sz w:val="20"/>
              </w:rPr>
              <w:t>65</w:t>
            </w:r>
          </w:p>
        </w:tc>
        <w:tc>
          <w:tcPr>
            <w:tcW w:w="4012" w:type="dxa"/>
            <w:tcBorders>
              <w:top w:val="nil"/>
              <w:left w:val="nil"/>
              <w:bottom w:val="single" w:sz="4" w:space="0" w:color="auto"/>
              <w:right w:val="single" w:sz="4" w:space="0" w:color="auto"/>
            </w:tcBorders>
            <w:vAlign w:val="center"/>
          </w:tcPr>
          <w:p w:rsidR="00C81B24" w:rsidRPr="00C81B24" w:rsidRDefault="00C81B24" w:rsidP="00CE5850">
            <w:pPr>
              <w:rPr>
                <w:sz w:val="20"/>
              </w:rPr>
            </w:pPr>
            <w:r w:rsidRPr="00C81B24">
              <w:rPr>
                <w:sz w:val="20"/>
              </w:rPr>
              <w:t>Elkhart-Goshen, IN-MI</w:t>
            </w:r>
          </w:p>
        </w:tc>
        <w:tc>
          <w:tcPr>
            <w:tcW w:w="1102"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805,952</w:t>
            </w:r>
          </w:p>
        </w:tc>
        <w:tc>
          <w:tcPr>
            <w:tcW w:w="1155"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954,029</w:t>
            </w:r>
          </w:p>
        </w:tc>
        <w:tc>
          <w:tcPr>
            <w:tcW w:w="979"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84%</w:t>
            </w:r>
          </w:p>
        </w:tc>
        <w:tc>
          <w:tcPr>
            <w:tcW w:w="635" w:type="dxa"/>
            <w:tcBorders>
              <w:top w:val="nil"/>
              <w:left w:val="nil"/>
              <w:bottom w:val="single" w:sz="4" w:space="0" w:color="auto"/>
              <w:right w:val="single" w:sz="4" w:space="0" w:color="auto"/>
            </w:tcBorders>
            <w:noWrap/>
            <w:vAlign w:val="bottom"/>
          </w:tcPr>
          <w:p w:rsidR="00C81B24" w:rsidRPr="00C81B24" w:rsidRDefault="00C81B24" w:rsidP="00CE5850">
            <w:pPr>
              <w:rPr>
                <w:sz w:val="20"/>
              </w:rPr>
            </w:pPr>
            <w:r w:rsidRPr="00C81B24">
              <w:rPr>
                <w:sz w:val="20"/>
              </w:rPr>
              <w:t>3186</w:t>
            </w:r>
          </w:p>
        </w:tc>
        <w:tc>
          <w:tcPr>
            <w:tcW w:w="536"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3022</w:t>
            </w:r>
          </w:p>
        </w:tc>
        <w:tc>
          <w:tcPr>
            <w:tcW w:w="736"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192.92</w:t>
            </w:r>
          </w:p>
        </w:tc>
      </w:tr>
      <w:tr w:rsidR="00C81B24" w:rsidRPr="00C81B24" w:rsidTr="00526AD9">
        <w:trPr>
          <w:trHeight w:val="255"/>
          <w:jc w:val="center"/>
        </w:trPr>
        <w:tc>
          <w:tcPr>
            <w:tcW w:w="554" w:type="dxa"/>
            <w:tcBorders>
              <w:top w:val="nil"/>
              <w:left w:val="single" w:sz="4" w:space="0" w:color="auto"/>
              <w:bottom w:val="single" w:sz="4" w:space="0" w:color="auto"/>
              <w:right w:val="single" w:sz="4" w:space="0" w:color="auto"/>
            </w:tcBorders>
            <w:vAlign w:val="bottom"/>
          </w:tcPr>
          <w:p w:rsidR="00C81B24" w:rsidRPr="00C81B24" w:rsidRDefault="00C81B24" w:rsidP="00CE5850">
            <w:pPr>
              <w:rPr>
                <w:sz w:val="20"/>
              </w:rPr>
            </w:pPr>
            <w:r w:rsidRPr="00C81B24">
              <w:rPr>
                <w:sz w:val="20"/>
              </w:rPr>
              <w:t>162</w:t>
            </w:r>
          </w:p>
        </w:tc>
        <w:tc>
          <w:tcPr>
            <w:tcW w:w="456" w:type="dxa"/>
            <w:tcBorders>
              <w:top w:val="nil"/>
              <w:left w:val="single" w:sz="4" w:space="0" w:color="auto"/>
              <w:bottom w:val="single" w:sz="4" w:space="0" w:color="auto"/>
              <w:right w:val="single" w:sz="4" w:space="0" w:color="auto"/>
            </w:tcBorders>
            <w:vAlign w:val="center"/>
          </w:tcPr>
          <w:p w:rsidR="00C81B24" w:rsidRPr="00C81B24" w:rsidRDefault="00C81B24" w:rsidP="00CE5850">
            <w:pPr>
              <w:rPr>
                <w:sz w:val="20"/>
              </w:rPr>
            </w:pPr>
            <w:r w:rsidRPr="00C81B24">
              <w:rPr>
                <w:sz w:val="20"/>
              </w:rPr>
              <w:t>150</w:t>
            </w:r>
          </w:p>
        </w:tc>
        <w:tc>
          <w:tcPr>
            <w:tcW w:w="4012" w:type="dxa"/>
            <w:tcBorders>
              <w:top w:val="nil"/>
              <w:left w:val="nil"/>
              <w:bottom w:val="single" w:sz="4" w:space="0" w:color="auto"/>
              <w:right w:val="single" w:sz="4" w:space="0" w:color="auto"/>
            </w:tcBorders>
            <w:vAlign w:val="center"/>
          </w:tcPr>
          <w:p w:rsidR="00C81B24" w:rsidRPr="00C81B24" w:rsidRDefault="00C81B24" w:rsidP="00CE5850">
            <w:pPr>
              <w:rPr>
                <w:sz w:val="20"/>
              </w:rPr>
            </w:pPr>
            <w:r w:rsidRPr="00C81B24">
              <w:rPr>
                <w:sz w:val="20"/>
              </w:rPr>
              <w:t>Boise City, ID-OR</w:t>
            </w:r>
          </w:p>
        </w:tc>
        <w:tc>
          <w:tcPr>
            <w:tcW w:w="1102"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615,273</w:t>
            </w:r>
          </w:p>
        </w:tc>
        <w:tc>
          <w:tcPr>
            <w:tcW w:w="1155"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728,993</w:t>
            </w:r>
          </w:p>
        </w:tc>
        <w:tc>
          <w:tcPr>
            <w:tcW w:w="979"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84%</w:t>
            </w:r>
          </w:p>
        </w:tc>
        <w:tc>
          <w:tcPr>
            <w:tcW w:w="635" w:type="dxa"/>
            <w:tcBorders>
              <w:top w:val="nil"/>
              <w:left w:val="nil"/>
              <w:bottom w:val="single" w:sz="4" w:space="0" w:color="auto"/>
              <w:right w:val="single" w:sz="4" w:space="0" w:color="auto"/>
            </w:tcBorders>
            <w:noWrap/>
            <w:vAlign w:val="bottom"/>
          </w:tcPr>
          <w:p w:rsidR="00C81B24" w:rsidRPr="00C81B24" w:rsidRDefault="00C81B24" w:rsidP="00CE5850">
            <w:pPr>
              <w:rPr>
                <w:sz w:val="20"/>
              </w:rPr>
            </w:pPr>
            <w:r w:rsidRPr="00C81B24">
              <w:rPr>
                <w:sz w:val="20"/>
              </w:rPr>
              <w:t>3158</w:t>
            </w:r>
          </w:p>
        </w:tc>
        <w:tc>
          <w:tcPr>
            <w:tcW w:w="536"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3050</w:t>
            </w:r>
          </w:p>
        </w:tc>
        <w:tc>
          <w:tcPr>
            <w:tcW w:w="736"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17.46</w:t>
            </w:r>
          </w:p>
        </w:tc>
      </w:tr>
      <w:tr w:rsidR="00C81B24" w:rsidRPr="00C81B24" w:rsidTr="00526AD9">
        <w:trPr>
          <w:trHeight w:val="255"/>
          <w:jc w:val="center"/>
        </w:trPr>
        <w:tc>
          <w:tcPr>
            <w:tcW w:w="554" w:type="dxa"/>
            <w:tcBorders>
              <w:top w:val="nil"/>
              <w:left w:val="single" w:sz="4" w:space="0" w:color="auto"/>
              <w:bottom w:val="single" w:sz="4" w:space="0" w:color="auto"/>
              <w:right w:val="single" w:sz="4" w:space="0" w:color="auto"/>
            </w:tcBorders>
            <w:vAlign w:val="bottom"/>
          </w:tcPr>
          <w:p w:rsidR="00C81B24" w:rsidRPr="00C81B24" w:rsidRDefault="00C81B24" w:rsidP="00CE5850">
            <w:pPr>
              <w:rPr>
                <w:sz w:val="20"/>
              </w:rPr>
            </w:pPr>
            <w:r w:rsidRPr="00C81B24">
              <w:rPr>
                <w:sz w:val="20"/>
              </w:rPr>
              <w:t>163</w:t>
            </w:r>
          </w:p>
        </w:tc>
        <w:tc>
          <w:tcPr>
            <w:tcW w:w="456" w:type="dxa"/>
            <w:tcBorders>
              <w:top w:val="nil"/>
              <w:left w:val="single" w:sz="4" w:space="0" w:color="auto"/>
              <w:bottom w:val="single" w:sz="4" w:space="0" w:color="auto"/>
              <w:right w:val="single" w:sz="4" w:space="0" w:color="auto"/>
            </w:tcBorders>
            <w:vAlign w:val="center"/>
          </w:tcPr>
          <w:p w:rsidR="00C81B24" w:rsidRPr="00C81B24" w:rsidRDefault="00C81B24" w:rsidP="00CE5850">
            <w:pPr>
              <w:rPr>
                <w:sz w:val="20"/>
              </w:rPr>
            </w:pPr>
            <w:r w:rsidRPr="00C81B24">
              <w:rPr>
                <w:sz w:val="20"/>
              </w:rPr>
              <w:t>165</w:t>
            </w:r>
          </w:p>
        </w:tc>
        <w:tc>
          <w:tcPr>
            <w:tcW w:w="4012" w:type="dxa"/>
            <w:tcBorders>
              <w:top w:val="nil"/>
              <w:left w:val="nil"/>
              <w:bottom w:val="single" w:sz="4" w:space="0" w:color="auto"/>
              <w:right w:val="single" w:sz="4" w:space="0" w:color="auto"/>
            </w:tcBorders>
            <w:vAlign w:val="center"/>
          </w:tcPr>
          <w:p w:rsidR="00C81B24" w:rsidRPr="00C81B24" w:rsidRDefault="00C81B24" w:rsidP="00CE5850">
            <w:pPr>
              <w:rPr>
                <w:sz w:val="20"/>
              </w:rPr>
            </w:pPr>
            <w:r w:rsidRPr="00C81B24">
              <w:rPr>
                <w:sz w:val="20"/>
              </w:rPr>
              <w:t>Redding, CA-OR</w:t>
            </w:r>
          </w:p>
        </w:tc>
        <w:tc>
          <w:tcPr>
            <w:tcW w:w="1102"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303,630</w:t>
            </w:r>
          </w:p>
        </w:tc>
        <w:tc>
          <w:tcPr>
            <w:tcW w:w="1155"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361,652</w:t>
            </w:r>
          </w:p>
        </w:tc>
        <w:tc>
          <w:tcPr>
            <w:tcW w:w="979"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84%</w:t>
            </w:r>
          </w:p>
        </w:tc>
        <w:tc>
          <w:tcPr>
            <w:tcW w:w="635" w:type="dxa"/>
            <w:tcBorders>
              <w:top w:val="nil"/>
              <w:left w:val="nil"/>
              <w:bottom w:val="single" w:sz="4" w:space="0" w:color="auto"/>
              <w:right w:val="single" w:sz="4" w:space="0" w:color="auto"/>
            </w:tcBorders>
            <w:noWrap/>
            <w:vAlign w:val="bottom"/>
          </w:tcPr>
          <w:p w:rsidR="00C81B24" w:rsidRPr="00C81B24" w:rsidRDefault="00C81B24" w:rsidP="00CE5850">
            <w:pPr>
              <w:rPr>
                <w:sz w:val="20"/>
              </w:rPr>
            </w:pPr>
            <w:r w:rsidRPr="00C81B24">
              <w:rPr>
                <w:sz w:val="20"/>
              </w:rPr>
              <w:t>3171</w:t>
            </w:r>
          </w:p>
        </w:tc>
        <w:tc>
          <w:tcPr>
            <w:tcW w:w="536"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3036</w:t>
            </w:r>
          </w:p>
        </w:tc>
        <w:tc>
          <w:tcPr>
            <w:tcW w:w="736"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15.82</w:t>
            </w:r>
          </w:p>
        </w:tc>
      </w:tr>
      <w:tr w:rsidR="00C81B24" w:rsidRPr="00C81B24" w:rsidTr="00526AD9">
        <w:trPr>
          <w:trHeight w:val="255"/>
          <w:jc w:val="center"/>
        </w:trPr>
        <w:tc>
          <w:tcPr>
            <w:tcW w:w="554" w:type="dxa"/>
            <w:tcBorders>
              <w:top w:val="nil"/>
              <w:left w:val="single" w:sz="4" w:space="0" w:color="auto"/>
              <w:bottom w:val="single" w:sz="4" w:space="0" w:color="auto"/>
              <w:right w:val="single" w:sz="4" w:space="0" w:color="auto"/>
            </w:tcBorders>
            <w:vAlign w:val="bottom"/>
          </w:tcPr>
          <w:p w:rsidR="00C81B24" w:rsidRPr="00C81B24" w:rsidRDefault="00C81B24" w:rsidP="00CE5850">
            <w:pPr>
              <w:rPr>
                <w:sz w:val="20"/>
              </w:rPr>
            </w:pPr>
            <w:r w:rsidRPr="00C81B24">
              <w:rPr>
                <w:sz w:val="20"/>
              </w:rPr>
              <w:t>164</w:t>
            </w:r>
          </w:p>
        </w:tc>
        <w:tc>
          <w:tcPr>
            <w:tcW w:w="456" w:type="dxa"/>
            <w:tcBorders>
              <w:top w:val="nil"/>
              <w:left w:val="single" w:sz="4" w:space="0" w:color="auto"/>
              <w:bottom w:val="single" w:sz="4" w:space="0" w:color="auto"/>
              <w:right w:val="single" w:sz="4" w:space="0" w:color="auto"/>
            </w:tcBorders>
            <w:vAlign w:val="center"/>
          </w:tcPr>
          <w:p w:rsidR="00C81B24" w:rsidRPr="00C81B24" w:rsidRDefault="00C81B24" w:rsidP="00CE5850">
            <w:pPr>
              <w:rPr>
                <w:sz w:val="20"/>
              </w:rPr>
            </w:pPr>
            <w:r w:rsidRPr="00C81B24">
              <w:rPr>
                <w:sz w:val="20"/>
              </w:rPr>
              <w:t>33</w:t>
            </w:r>
          </w:p>
        </w:tc>
        <w:tc>
          <w:tcPr>
            <w:tcW w:w="4012" w:type="dxa"/>
            <w:tcBorders>
              <w:top w:val="nil"/>
              <w:left w:val="nil"/>
              <w:bottom w:val="single" w:sz="4" w:space="0" w:color="auto"/>
              <w:right w:val="single" w:sz="4" w:space="0" w:color="auto"/>
            </w:tcBorders>
            <w:vAlign w:val="center"/>
          </w:tcPr>
          <w:p w:rsidR="00C81B24" w:rsidRPr="00C81B24" w:rsidRDefault="00C81B24" w:rsidP="00CE5850">
            <w:pPr>
              <w:rPr>
                <w:sz w:val="20"/>
              </w:rPr>
            </w:pPr>
            <w:r w:rsidRPr="00C81B24">
              <w:rPr>
                <w:sz w:val="20"/>
              </w:rPr>
              <w:t>Sarasota-Bradenton, FL</w:t>
            </w:r>
          </w:p>
        </w:tc>
        <w:tc>
          <w:tcPr>
            <w:tcW w:w="1102"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747,214</w:t>
            </w:r>
          </w:p>
        </w:tc>
        <w:tc>
          <w:tcPr>
            <w:tcW w:w="1155"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897,121</w:t>
            </w:r>
          </w:p>
        </w:tc>
        <w:tc>
          <w:tcPr>
            <w:tcW w:w="979"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83%</w:t>
            </w:r>
          </w:p>
        </w:tc>
        <w:tc>
          <w:tcPr>
            <w:tcW w:w="635" w:type="dxa"/>
            <w:tcBorders>
              <w:top w:val="nil"/>
              <w:left w:val="nil"/>
              <w:bottom w:val="single" w:sz="4" w:space="0" w:color="auto"/>
              <w:right w:val="single" w:sz="4" w:space="0" w:color="auto"/>
            </w:tcBorders>
            <w:noWrap/>
            <w:vAlign w:val="bottom"/>
          </w:tcPr>
          <w:p w:rsidR="00C81B24" w:rsidRPr="00C81B24" w:rsidRDefault="00C81B24" w:rsidP="00CE5850">
            <w:pPr>
              <w:rPr>
                <w:sz w:val="20"/>
              </w:rPr>
            </w:pPr>
            <w:r w:rsidRPr="00C81B24">
              <w:rPr>
                <w:sz w:val="20"/>
              </w:rPr>
              <w:t>2667</w:t>
            </w:r>
          </w:p>
        </w:tc>
        <w:tc>
          <w:tcPr>
            <w:tcW w:w="536"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2676</w:t>
            </w:r>
          </w:p>
        </w:tc>
        <w:tc>
          <w:tcPr>
            <w:tcW w:w="736"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342.92</w:t>
            </w:r>
          </w:p>
        </w:tc>
      </w:tr>
      <w:tr w:rsidR="00C81B24" w:rsidRPr="00C81B24" w:rsidTr="00526AD9">
        <w:trPr>
          <w:trHeight w:val="255"/>
          <w:jc w:val="center"/>
        </w:trPr>
        <w:tc>
          <w:tcPr>
            <w:tcW w:w="554" w:type="dxa"/>
            <w:tcBorders>
              <w:top w:val="nil"/>
              <w:left w:val="single" w:sz="4" w:space="0" w:color="auto"/>
              <w:bottom w:val="single" w:sz="4" w:space="0" w:color="auto"/>
              <w:right w:val="single" w:sz="4" w:space="0" w:color="auto"/>
            </w:tcBorders>
            <w:vAlign w:val="bottom"/>
          </w:tcPr>
          <w:p w:rsidR="00C81B24" w:rsidRPr="00C81B24" w:rsidRDefault="00C81B24" w:rsidP="00CE5850">
            <w:pPr>
              <w:rPr>
                <w:sz w:val="20"/>
              </w:rPr>
            </w:pPr>
            <w:r w:rsidRPr="00C81B24">
              <w:rPr>
                <w:sz w:val="20"/>
              </w:rPr>
              <w:t>165</w:t>
            </w:r>
          </w:p>
        </w:tc>
        <w:tc>
          <w:tcPr>
            <w:tcW w:w="456" w:type="dxa"/>
            <w:tcBorders>
              <w:top w:val="nil"/>
              <w:left w:val="single" w:sz="4" w:space="0" w:color="auto"/>
              <w:bottom w:val="single" w:sz="4" w:space="0" w:color="auto"/>
              <w:right w:val="single" w:sz="4" w:space="0" w:color="auto"/>
            </w:tcBorders>
            <w:vAlign w:val="center"/>
          </w:tcPr>
          <w:p w:rsidR="00C81B24" w:rsidRPr="00C81B24" w:rsidRDefault="00C81B24" w:rsidP="00CE5850">
            <w:pPr>
              <w:rPr>
                <w:sz w:val="20"/>
              </w:rPr>
            </w:pPr>
            <w:r w:rsidRPr="00C81B24">
              <w:rPr>
                <w:sz w:val="20"/>
              </w:rPr>
              <w:t>47</w:t>
            </w:r>
          </w:p>
        </w:tc>
        <w:tc>
          <w:tcPr>
            <w:tcW w:w="4012" w:type="dxa"/>
            <w:tcBorders>
              <w:top w:val="nil"/>
              <w:left w:val="nil"/>
              <w:bottom w:val="single" w:sz="4" w:space="0" w:color="auto"/>
              <w:right w:val="single" w:sz="4" w:space="0" w:color="auto"/>
            </w:tcBorders>
            <w:vAlign w:val="center"/>
          </w:tcPr>
          <w:p w:rsidR="00C81B24" w:rsidRPr="00C81B24" w:rsidRDefault="00C81B24" w:rsidP="00CE5850">
            <w:pPr>
              <w:rPr>
                <w:sz w:val="20"/>
                <w:lang w:val="es-ES_tradnl"/>
              </w:rPr>
            </w:pPr>
            <w:r w:rsidRPr="00C81B24">
              <w:rPr>
                <w:sz w:val="20"/>
                <w:lang w:val="es-ES_tradnl"/>
              </w:rPr>
              <w:t>Lexington, KY-TN-VA-WV</w:t>
            </w:r>
          </w:p>
        </w:tc>
        <w:tc>
          <w:tcPr>
            <w:tcW w:w="1102"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1,603,636</w:t>
            </w:r>
          </w:p>
        </w:tc>
        <w:tc>
          <w:tcPr>
            <w:tcW w:w="1155"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1,936,486</w:t>
            </w:r>
          </w:p>
        </w:tc>
        <w:tc>
          <w:tcPr>
            <w:tcW w:w="979"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83%</w:t>
            </w:r>
          </w:p>
        </w:tc>
        <w:tc>
          <w:tcPr>
            <w:tcW w:w="635" w:type="dxa"/>
            <w:tcBorders>
              <w:top w:val="nil"/>
              <w:left w:val="nil"/>
              <w:bottom w:val="single" w:sz="4" w:space="0" w:color="auto"/>
              <w:right w:val="single" w:sz="4" w:space="0" w:color="auto"/>
            </w:tcBorders>
            <w:noWrap/>
            <w:vAlign w:val="bottom"/>
          </w:tcPr>
          <w:p w:rsidR="00C81B24" w:rsidRPr="00C81B24" w:rsidRDefault="00C81B24" w:rsidP="00CE5850">
            <w:pPr>
              <w:rPr>
                <w:sz w:val="20"/>
              </w:rPr>
            </w:pPr>
            <w:r w:rsidRPr="00C81B24">
              <w:rPr>
                <w:sz w:val="20"/>
              </w:rPr>
              <w:t>3678</w:t>
            </w:r>
          </w:p>
        </w:tc>
        <w:tc>
          <w:tcPr>
            <w:tcW w:w="536"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3406</w:t>
            </w:r>
          </w:p>
        </w:tc>
        <w:tc>
          <w:tcPr>
            <w:tcW w:w="736"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85.01</w:t>
            </w:r>
          </w:p>
        </w:tc>
      </w:tr>
      <w:tr w:rsidR="00C81B24" w:rsidRPr="00C81B24" w:rsidTr="00526AD9">
        <w:trPr>
          <w:trHeight w:val="255"/>
          <w:jc w:val="center"/>
        </w:trPr>
        <w:tc>
          <w:tcPr>
            <w:tcW w:w="554" w:type="dxa"/>
            <w:tcBorders>
              <w:top w:val="nil"/>
              <w:left w:val="single" w:sz="4" w:space="0" w:color="auto"/>
              <w:bottom w:val="single" w:sz="4" w:space="0" w:color="auto"/>
              <w:right w:val="single" w:sz="4" w:space="0" w:color="auto"/>
            </w:tcBorders>
            <w:vAlign w:val="bottom"/>
          </w:tcPr>
          <w:p w:rsidR="00C81B24" w:rsidRPr="00C81B24" w:rsidRDefault="00C81B24" w:rsidP="00CE5850">
            <w:pPr>
              <w:rPr>
                <w:sz w:val="20"/>
              </w:rPr>
            </w:pPr>
            <w:r w:rsidRPr="00C81B24">
              <w:rPr>
                <w:sz w:val="20"/>
              </w:rPr>
              <w:t>166</w:t>
            </w:r>
          </w:p>
        </w:tc>
        <w:tc>
          <w:tcPr>
            <w:tcW w:w="456" w:type="dxa"/>
            <w:tcBorders>
              <w:top w:val="nil"/>
              <w:left w:val="single" w:sz="4" w:space="0" w:color="auto"/>
              <w:bottom w:val="single" w:sz="4" w:space="0" w:color="auto"/>
              <w:right w:val="single" w:sz="4" w:space="0" w:color="auto"/>
            </w:tcBorders>
            <w:vAlign w:val="center"/>
          </w:tcPr>
          <w:p w:rsidR="00C81B24" w:rsidRPr="00C81B24" w:rsidRDefault="00C81B24" w:rsidP="00CE5850">
            <w:pPr>
              <w:rPr>
                <w:sz w:val="20"/>
              </w:rPr>
            </w:pPr>
            <w:r w:rsidRPr="00C81B24">
              <w:rPr>
                <w:sz w:val="20"/>
              </w:rPr>
              <w:t>54</w:t>
            </w:r>
          </w:p>
        </w:tc>
        <w:tc>
          <w:tcPr>
            <w:tcW w:w="4012" w:type="dxa"/>
            <w:tcBorders>
              <w:top w:val="nil"/>
              <w:left w:val="nil"/>
              <w:bottom w:val="single" w:sz="4" w:space="0" w:color="auto"/>
              <w:right w:val="single" w:sz="4" w:space="0" w:color="auto"/>
            </w:tcBorders>
            <w:vAlign w:val="center"/>
          </w:tcPr>
          <w:p w:rsidR="00C81B24" w:rsidRPr="00C81B24" w:rsidRDefault="00C81B24" w:rsidP="00CE5850">
            <w:pPr>
              <w:rPr>
                <w:sz w:val="20"/>
              </w:rPr>
            </w:pPr>
            <w:r w:rsidRPr="00C81B24">
              <w:rPr>
                <w:sz w:val="20"/>
              </w:rPr>
              <w:t>Erie, PA</w:t>
            </w:r>
          </w:p>
        </w:tc>
        <w:tc>
          <w:tcPr>
            <w:tcW w:w="1102"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425,121</w:t>
            </w:r>
          </w:p>
        </w:tc>
        <w:tc>
          <w:tcPr>
            <w:tcW w:w="1155"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513,834</w:t>
            </w:r>
          </w:p>
        </w:tc>
        <w:tc>
          <w:tcPr>
            <w:tcW w:w="979"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83%</w:t>
            </w:r>
          </w:p>
        </w:tc>
        <w:tc>
          <w:tcPr>
            <w:tcW w:w="635" w:type="dxa"/>
            <w:tcBorders>
              <w:top w:val="nil"/>
              <w:left w:val="nil"/>
              <w:bottom w:val="single" w:sz="4" w:space="0" w:color="auto"/>
              <w:right w:val="single" w:sz="4" w:space="0" w:color="auto"/>
            </w:tcBorders>
            <w:noWrap/>
            <w:vAlign w:val="bottom"/>
          </w:tcPr>
          <w:p w:rsidR="00C81B24" w:rsidRPr="00C81B24" w:rsidRDefault="00C81B24" w:rsidP="00CE5850">
            <w:pPr>
              <w:rPr>
                <w:sz w:val="20"/>
              </w:rPr>
            </w:pPr>
            <w:r w:rsidRPr="00C81B24">
              <w:rPr>
                <w:sz w:val="20"/>
              </w:rPr>
              <w:t>4280</w:t>
            </w:r>
          </w:p>
        </w:tc>
        <w:tc>
          <w:tcPr>
            <w:tcW w:w="536"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4196</w:t>
            </w:r>
          </w:p>
        </w:tc>
        <w:tc>
          <w:tcPr>
            <w:tcW w:w="736"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116.84</w:t>
            </w:r>
          </w:p>
        </w:tc>
      </w:tr>
      <w:tr w:rsidR="00C81B24" w:rsidRPr="00C81B24" w:rsidTr="00526AD9">
        <w:trPr>
          <w:trHeight w:val="255"/>
          <w:jc w:val="center"/>
        </w:trPr>
        <w:tc>
          <w:tcPr>
            <w:tcW w:w="554" w:type="dxa"/>
            <w:tcBorders>
              <w:top w:val="nil"/>
              <w:left w:val="single" w:sz="4" w:space="0" w:color="auto"/>
              <w:bottom w:val="single" w:sz="4" w:space="0" w:color="auto"/>
              <w:right w:val="single" w:sz="4" w:space="0" w:color="auto"/>
            </w:tcBorders>
            <w:vAlign w:val="bottom"/>
          </w:tcPr>
          <w:p w:rsidR="00C81B24" w:rsidRPr="00C81B24" w:rsidRDefault="00C81B24" w:rsidP="00CE5850">
            <w:pPr>
              <w:rPr>
                <w:sz w:val="20"/>
              </w:rPr>
            </w:pPr>
            <w:r w:rsidRPr="00C81B24">
              <w:rPr>
                <w:sz w:val="20"/>
              </w:rPr>
              <w:t>167</w:t>
            </w:r>
          </w:p>
        </w:tc>
        <w:tc>
          <w:tcPr>
            <w:tcW w:w="456" w:type="dxa"/>
            <w:tcBorders>
              <w:top w:val="nil"/>
              <w:left w:val="single" w:sz="4" w:space="0" w:color="auto"/>
              <w:bottom w:val="single" w:sz="4" w:space="0" w:color="auto"/>
              <w:right w:val="single" w:sz="4" w:space="0" w:color="auto"/>
            </w:tcBorders>
            <w:vAlign w:val="center"/>
          </w:tcPr>
          <w:p w:rsidR="00C81B24" w:rsidRPr="00C81B24" w:rsidRDefault="00C81B24" w:rsidP="00CE5850">
            <w:pPr>
              <w:rPr>
                <w:sz w:val="20"/>
              </w:rPr>
            </w:pPr>
            <w:r w:rsidRPr="00C81B24">
              <w:rPr>
                <w:sz w:val="20"/>
              </w:rPr>
              <w:t>114</w:t>
            </w:r>
          </w:p>
        </w:tc>
        <w:tc>
          <w:tcPr>
            <w:tcW w:w="4012" w:type="dxa"/>
            <w:tcBorders>
              <w:top w:val="nil"/>
              <w:left w:val="nil"/>
              <w:bottom w:val="single" w:sz="4" w:space="0" w:color="auto"/>
              <w:right w:val="single" w:sz="4" w:space="0" w:color="auto"/>
            </w:tcBorders>
            <w:vAlign w:val="center"/>
          </w:tcPr>
          <w:p w:rsidR="00C81B24" w:rsidRPr="00C81B24" w:rsidRDefault="00C81B24" w:rsidP="00CE5850">
            <w:pPr>
              <w:rPr>
                <w:sz w:val="20"/>
              </w:rPr>
            </w:pPr>
            <w:r w:rsidRPr="00C81B24">
              <w:rPr>
                <w:sz w:val="20"/>
              </w:rPr>
              <w:t>Aberdeen, SD</w:t>
            </w:r>
          </w:p>
        </w:tc>
        <w:tc>
          <w:tcPr>
            <w:tcW w:w="1102"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64,371</w:t>
            </w:r>
          </w:p>
        </w:tc>
        <w:tc>
          <w:tcPr>
            <w:tcW w:w="1155"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79,541</w:t>
            </w:r>
          </w:p>
        </w:tc>
        <w:tc>
          <w:tcPr>
            <w:tcW w:w="979"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81%</w:t>
            </w:r>
          </w:p>
        </w:tc>
        <w:tc>
          <w:tcPr>
            <w:tcW w:w="635" w:type="dxa"/>
            <w:tcBorders>
              <w:top w:val="nil"/>
              <w:left w:val="nil"/>
              <w:bottom w:val="single" w:sz="4" w:space="0" w:color="auto"/>
              <w:right w:val="single" w:sz="4" w:space="0" w:color="auto"/>
            </w:tcBorders>
            <w:noWrap/>
            <w:vAlign w:val="bottom"/>
          </w:tcPr>
          <w:p w:rsidR="00C81B24" w:rsidRPr="00C81B24" w:rsidRDefault="00C81B24" w:rsidP="00CE5850">
            <w:pPr>
              <w:rPr>
                <w:sz w:val="20"/>
              </w:rPr>
            </w:pPr>
            <w:r w:rsidRPr="00C81B24">
              <w:rPr>
                <w:sz w:val="20"/>
              </w:rPr>
              <w:t>4916</w:t>
            </w:r>
          </w:p>
        </w:tc>
        <w:tc>
          <w:tcPr>
            <w:tcW w:w="536"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4914</w:t>
            </w:r>
          </w:p>
        </w:tc>
        <w:tc>
          <w:tcPr>
            <w:tcW w:w="736"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5.34</w:t>
            </w:r>
          </w:p>
        </w:tc>
      </w:tr>
      <w:tr w:rsidR="00C81B24" w:rsidRPr="00C81B24" w:rsidTr="00526AD9">
        <w:trPr>
          <w:trHeight w:val="255"/>
          <w:jc w:val="center"/>
        </w:trPr>
        <w:tc>
          <w:tcPr>
            <w:tcW w:w="554" w:type="dxa"/>
            <w:tcBorders>
              <w:top w:val="nil"/>
              <w:left w:val="single" w:sz="4" w:space="0" w:color="auto"/>
              <w:bottom w:val="single" w:sz="4" w:space="0" w:color="auto"/>
              <w:right w:val="single" w:sz="4" w:space="0" w:color="auto"/>
            </w:tcBorders>
            <w:vAlign w:val="bottom"/>
          </w:tcPr>
          <w:p w:rsidR="00C81B24" w:rsidRPr="00C81B24" w:rsidRDefault="00C81B24" w:rsidP="00CE5850">
            <w:pPr>
              <w:rPr>
                <w:sz w:val="20"/>
              </w:rPr>
            </w:pPr>
            <w:r w:rsidRPr="00C81B24">
              <w:rPr>
                <w:sz w:val="20"/>
              </w:rPr>
              <w:t>168</w:t>
            </w:r>
          </w:p>
        </w:tc>
        <w:tc>
          <w:tcPr>
            <w:tcW w:w="456" w:type="dxa"/>
            <w:tcBorders>
              <w:top w:val="nil"/>
              <w:left w:val="single" w:sz="4" w:space="0" w:color="auto"/>
              <w:bottom w:val="single" w:sz="4" w:space="0" w:color="auto"/>
              <w:right w:val="single" w:sz="4" w:space="0" w:color="auto"/>
            </w:tcBorders>
            <w:vAlign w:val="center"/>
          </w:tcPr>
          <w:p w:rsidR="00C81B24" w:rsidRPr="00C81B24" w:rsidRDefault="00C81B24" w:rsidP="00CE5850">
            <w:pPr>
              <w:rPr>
                <w:sz w:val="20"/>
              </w:rPr>
            </w:pPr>
            <w:r w:rsidRPr="00C81B24">
              <w:rPr>
                <w:sz w:val="20"/>
              </w:rPr>
              <w:t>92</w:t>
            </w:r>
          </w:p>
        </w:tc>
        <w:tc>
          <w:tcPr>
            <w:tcW w:w="4012" w:type="dxa"/>
            <w:tcBorders>
              <w:top w:val="nil"/>
              <w:left w:val="nil"/>
              <w:bottom w:val="single" w:sz="4" w:space="0" w:color="auto"/>
              <w:right w:val="single" w:sz="4" w:space="0" w:color="auto"/>
            </w:tcBorders>
            <w:vAlign w:val="center"/>
          </w:tcPr>
          <w:p w:rsidR="00C81B24" w:rsidRPr="00C81B24" w:rsidRDefault="00C81B24" w:rsidP="00CE5850">
            <w:pPr>
              <w:rPr>
                <w:sz w:val="20"/>
              </w:rPr>
            </w:pPr>
            <w:r w:rsidRPr="00C81B24">
              <w:rPr>
                <w:sz w:val="20"/>
              </w:rPr>
              <w:t>Fayetteville-Springdale-Rogers, AR-MO-OK</w:t>
            </w:r>
          </w:p>
        </w:tc>
        <w:tc>
          <w:tcPr>
            <w:tcW w:w="1102"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423,161</w:t>
            </w:r>
          </w:p>
        </w:tc>
        <w:tc>
          <w:tcPr>
            <w:tcW w:w="1155"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527,374</w:t>
            </w:r>
          </w:p>
        </w:tc>
        <w:tc>
          <w:tcPr>
            <w:tcW w:w="979"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80%</w:t>
            </w:r>
          </w:p>
        </w:tc>
        <w:tc>
          <w:tcPr>
            <w:tcW w:w="635" w:type="dxa"/>
            <w:tcBorders>
              <w:top w:val="nil"/>
              <w:left w:val="nil"/>
              <w:bottom w:val="single" w:sz="4" w:space="0" w:color="auto"/>
              <w:right w:val="single" w:sz="4" w:space="0" w:color="auto"/>
            </w:tcBorders>
            <w:noWrap/>
            <w:vAlign w:val="bottom"/>
          </w:tcPr>
          <w:p w:rsidR="00C81B24" w:rsidRPr="00C81B24" w:rsidRDefault="00C81B24" w:rsidP="00CE5850">
            <w:pPr>
              <w:rPr>
                <w:sz w:val="20"/>
              </w:rPr>
            </w:pPr>
            <w:r w:rsidRPr="00C81B24">
              <w:rPr>
                <w:sz w:val="20"/>
              </w:rPr>
              <w:t>4621</w:t>
            </w:r>
          </w:p>
        </w:tc>
        <w:tc>
          <w:tcPr>
            <w:tcW w:w="536"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4654</w:t>
            </w:r>
          </w:p>
        </w:tc>
        <w:tc>
          <w:tcPr>
            <w:tcW w:w="736"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117.86</w:t>
            </w:r>
          </w:p>
        </w:tc>
      </w:tr>
      <w:tr w:rsidR="00C81B24" w:rsidRPr="00C81B24" w:rsidTr="00526AD9">
        <w:trPr>
          <w:trHeight w:val="255"/>
          <w:jc w:val="center"/>
        </w:trPr>
        <w:tc>
          <w:tcPr>
            <w:tcW w:w="554" w:type="dxa"/>
            <w:tcBorders>
              <w:top w:val="nil"/>
              <w:left w:val="single" w:sz="4" w:space="0" w:color="auto"/>
              <w:bottom w:val="single" w:sz="4" w:space="0" w:color="auto"/>
              <w:right w:val="single" w:sz="4" w:space="0" w:color="auto"/>
            </w:tcBorders>
            <w:vAlign w:val="bottom"/>
          </w:tcPr>
          <w:p w:rsidR="00C81B24" w:rsidRPr="00C81B24" w:rsidRDefault="00C81B24" w:rsidP="00CE5850">
            <w:pPr>
              <w:rPr>
                <w:sz w:val="20"/>
              </w:rPr>
            </w:pPr>
            <w:r w:rsidRPr="00C81B24">
              <w:rPr>
                <w:sz w:val="20"/>
              </w:rPr>
              <w:t>169</w:t>
            </w:r>
          </w:p>
        </w:tc>
        <w:tc>
          <w:tcPr>
            <w:tcW w:w="456" w:type="dxa"/>
            <w:tcBorders>
              <w:top w:val="nil"/>
              <w:left w:val="single" w:sz="4" w:space="0" w:color="auto"/>
              <w:bottom w:val="single" w:sz="4" w:space="0" w:color="auto"/>
              <w:right w:val="single" w:sz="4" w:space="0" w:color="auto"/>
            </w:tcBorders>
            <w:vAlign w:val="center"/>
          </w:tcPr>
          <w:p w:rsidR="00C81B24" w:rsidRPr="00C81B24" w:rsidRDefault="00C81B24" w:rsidP="00CE5850">
            <w:pPr>
              <w:rPr>
                <w:sz w:val="20"/>
              </w:rPr>
            </w:pPr>
            <w:r w:rsidRPr="00C81B24">
              <w:rPr>
                <w:sz w:val="20"/>
              </w:rPr>
              <w:t>162</w:t>
            </w:r>
          </w:p>
        </w:tc>
        <w:tc>
          <w:tcPr>
            <w:tcW w:w="4012" w:type="dxa"/>
            <w:tcBorders>
              <w:top w:val="nil"/>
              <w:left w:val="nil"/>
              <w:bottom w:val="single" w:sz="4" w:space="0" w:color="auto"/>
              <w:right w:val="single" w:sz="4" w:space="0" w:color="auto"/>
            </w:tcBorders>
            <w:vAlign w:val="center"/>
          </w:tcPr>
          <w:p w:rsidR="00C81B24" w:rsidRPr="00C81B24" w:rsidRDefault="00C81B24" w:rsidP="00CE5850">
            <w:pPr>
              <w:rPr>
                <w:sz w:val="20"/>
              </w:rPr>
            </w:pPr>
            <w:r w:rsidRPr="00C81B24">
              <w:rPr>
                <w:sz w:val="20"/>
              </w:rPr>
              <w:t>Fresno, CA</w:t>
            </w:r>
          </w:p>
        </w:tc>
        <w:tc>
          <w:tcPr>
            <w:tcW w:w="1102"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1,329,176</w:t>
            </w:r>
          </w:p>
        </w:tc>
        <w:tc>
          <w:tcPr>
            <w:tcW w:w="1155"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1,676,476</w:t>
            </w:r>
          </w:p>
        </w:tc>
        <w:tc>
          <w:tcPr>
            <w:tcW w:w="979"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79%</w:t>
            </w:r>
          </w:p>
        </w:tc>
        <w:tc>
          <w:tcPr>
            <w:tcW w:w="635" w:type="dxa"/>
            <w:tcBorders>
              <w:top w:val="nil"/>
              <w:left w:val="nil"/>
              <w:bottom w:val="single" w:sz="4" w:space="0" w:color="auto"/>
              <w:right w:val="single" w:sz="4" w:space="0" w:color="auto"/>
            </w:tcBorders>
            <w:noWrap/>
            <w:vAlign w:val="bottom"/>
          </w:tcPr>
          <w:p w:rsidR="00C81B24" w:rsidRPr="00C81B24" w:rsidRDefault="00C81B24" w:rsidP="00CE5850">
            <w:pPr>
              <w:rPr>
                <w:sz w:val="20"/>
              </w:rPr>
            </w:pPr>
            <w:r w:rsidRPr="00C81B24">
              <w:rPr>
                <w:sz w:val="20"/>
              </w:rPr>
              <w:t>2929</w:t>
            </w:r>
          </w:p>
        </w:tc>
        <w:tc>
          <w:tcPr>
            <w:tcW w:w="536"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2926</w:t>
            </w:r>
          </w:p>
        </w:tc>
        <w:tc>
          <w:tcPr>
            <w:tcW w:w="736"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117.16</w:t>
            </w:r>
          </w:p>
        </w:tc>
      </w:tr>
      <w:tr w:rsidR="00C81B24" w:rsidRPr="00C81B24" w:rsidTr="00526AD9">
        <w:trPr>
          <w:trHeight w:val="255"/>
          <w:jc w:val="center"/>
        </w:trPr>
        <w:tc>
          <w:tcPr>
            <w:tcW w:w="554" w:type="dxa"/>
            <w:tcBorders>
              <w:top w:val="nil"/>
              <w:left w:val="single" w:sz="4" w:space="0" w:color="auto"/>
              <w:bottom w:val="single" w:sz="4" w:space="0" w:color="auto"/>
              <w:right w:val="single" w:sz="4" w:space="0" w:color="auto"/>
            </w:tcBorders>
            <w:vAlign w:val="bottom"/>
          </w:tcPr>
          <w:p w:rsidR="00C81B24" w:rsidRPr="00C81B24" w:rsidRDefault="00C81B24" w:rsidP="00CE5850">
            <w:pPr>
              <w:rPr>
                <w:sz w:val="20"/>
              </w:rPr>
            </w:pPr>
            <w:r w:rsidRPr="00C81B24">
              <w:rPr>
                <w:sz w:val="20"/>
              </w:rPr>
              <w:t>170</w:t>
            </w:r>
          </w:p>
        </w:tc>
        <w:tc>
          <w:tcPr>
            <w:tcW w:w="456" w:type="dxa"/>
            <w:tcBorders>
              <w:top w:val="nil"/>
              <w:left w:val="single" w:sz="4" w:space="0" w:color="auto"/>
              <w:bottom w:val="single" w:sz="4" w:space="0" w:color="auto"/>
              <w:right w:val="single" w:sz="4" w:space="0" w:color="auto"/>
            </w:tcBorders>
            <w:vAlign w:val="center"/>
          </w:tcPr>
          <w:p w:rsidR="00C81B24" w:rsidRPr="00C81B24" w:rsidRDefault="00C81B24" w:rsidP="00CE5850">
            <w:pPr>
              <w:rPr>
                <w:sz w:val="20"/>
              </w:rPr>
            </w:pPr>
            <w:r w:rsidRPr="00C81B24">
              <w:rPr>
                <w:sz w:val="20"/>
              </w:rPr>
              <w:t>105</w:t>
            </w:r>
          </w:p>
        </w:tc>
        <w:tc>
          <w:tcPr>
            <w:tcW w:w="4012" w:type="dxa"/>
            <w:tcBorders>
              <w:top w:val="nil"/>
              <w:left w:val="nil"/>
              <w:bottom w:val="single" w:sz="4" w:space="0" w:color="auto"/>
              <w:right w:val="single" w:sz="4" w:space="0" w:color="auto"/>
            </w:tcBorders>
            <w:vAlign w:val="center"/>
          </w:tcPr>
          <w:p w:rsidR="00C81B24" w:rsidRPr="00C81B24" w:rsidRDefault="00C81B24" w:rsidP="00CE5850">
            <w:pPr>
              <w:rPr>
                <w:sz w:val="20"/>
              </w:rPr>
            </w:pPr>
            <w:r w:rsidRPr="00C81B24">
              <w:rPr>
                <w:sz w:val="20"/>
              </w:rPr>
              <w:t>La Crosse, WI-MN</w:t>
            </w:r>
          </w:p>
        </w:tc>
        <w:tc>
          <w:tcPr>
            <w:tcW w:w="1102"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197,899</w:t>
            </w:r>
          </w:p>
        </w:tc>
        <w:tc>
          <w:tcPr>
            <w:tcW w:w="1155"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257,376</w:t>
            </w:r>
          </w:p>
        </w:tc>
        <w:tc>
          <w:tcPr>
            <w:tcW w:w="979"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77%</w:t>
            </w:r>
          </w:p>
        </w:tc>
        <w:tc>
          <w:tcPr>
            <w:tcW w:w="635" w:type="dxa"/>
            <w:tcBorders>
              <w:top w:val="nil"/>
              <w:left w:val="nil"/>
              <w:bottom w:val="single" w:sz="4" w:space="0" w:color="auto"/>
              <w:right w:val="single" w:sz="4" w:space="0" w:color="auto"/>
            </w:tcBorders>
            <w:noWrap/>
            <w:vAlign w:val="bottom"/>
          </w:tcPr>
          <w:p w:rsidR="00C81B24" w:rsidRPr="00C81B24" w:rsidRDefault="00C81B24" w:rsidP="00CE5850">
            <w:pPr>
              <w:rPr>
                <w:sz w:val="20"/>
              </w:rPr>
            </w:pPr>
            <w:r w:rsidRPr="00C81B24">
              <w:rPr>
                <w:sz w:val="20"/>
              </w:rPr>
              <w:t>3955</w:t>
            </w:r>
          </w:p>
        </w:tc>
        <w:tc>
          <w:tcPr>
            <w:tcW w:w="536"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3863</w:t>
            </w:r>
          </w:p>
        </w:tc>
        <w:tc>
          <w:tcPr>
            <w:tcW w:w="736"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58.27</w:t>
            </w:r>
          </w:p>
        </w:tc>
      </w:tr>
      <w:tr w:rsidR="00C81B24" w:rsidRPr="00C81B24" w:rsidTr="00526AD9">
        <w:trPr>
          <w:trHeight w:val="255"/>
          <w:jc w:val="center"/>
        </w:trPr>
        <w:tc>
          <w:tcPr>
            <w:tcW w:w="554" w:type="dxa"/>
            <w:tcBorders>
              <w:top w:val="nil"/>
              <w:left w:val="single" w:sz="4" w:space="0" w:color="auto"/>
              <w:bottom w:val="single" w:sz="4" w:space="0" w:color="auto"/>
              <w:right w:val="single" w:sz="4" w:space="0" w:color="auto"/>
            </w:tcBorders>
            <w:vAlign w:val="bottom"/>
          </w:tcPr>
          <w:p w:rsidR="00C81B24" w:rsidRPr="00C81B24" w:rsidRDefault="00C81B24" w:rsidP="00CE5850">
            <w:pPr>
              <w:rPr>
                <w:sz w:val="20"/>
              </w:rPr>
            </w:pPr>
            <w:r w:rsidRPr="00C81B24">
              <w:rPr>
                <w:sz w:val="20"/>
              </w:rPr>
              <w:t>171</w:t>
            </w:r>
          </w:p>
        </w:tc>
        <w:tc>
          <w:tcPr>
            <w:tcW w:w="456" w:type="dxa"/>
            <w:tcBorders>
              <w:top w:val="nil"/>
              <w:left w:val="single" w:sz="4" w:space="0" w:color="auto"/>
              <w:bottom w:val="single" w:sz="4" w:space="0" w:color="auto"/>
              <w:right w:val="single" w:sz="4" w:space="0" w:color="auto"/>
            </w:tcBorders>
            <w:vAlign w:val="center"/>
          </w:tcPr>
          <w:p w:rsidR="00C81B24" w:rsidRPr="00C81B24" w:rsidRDefault="00C81B24" w:rsidP="00CE5850">
            <w:pPr>
              <w:rPr>
                <w:sz w:val="20"/>
              </w:rPr>
            </w:pPr>
            <w:r w:rsidRPr="00C81B24">
              <w:rPr>
                <w:sz w:val="20"/>
              </w:rPr>
              <w:t>168</w:t>
            </w:r>
          </w:p>
        </w:tc>
        <w:tc>
          <w:tcPr>
            <w:tcW w:w="4012" w:type="dxa"/>
            <w:tcBorders>
              <w:top w:val="nil"/>
              <w:left w:val="nil"/>
              <w:bottom w:val="single" w:sz="4" w:space="0" w:color="auto"/>
              <w:right w:val="single" w:sz="4" w:space="0" w:color="auto"/>
            </w:tcBorders>
            <w:vAlign w:val="center"/>
          </w:tcPr>
          <w:p w:rsidR="00C81B24" w:rsidRPr="00C81B24" w:rsidRDefault="00C81B24" w:rsidP="00CE5850">
            <w:pPr>
              <w:rPr>
                <w:sz w:val="20"/>
              </w:rPr>
            </w:pPr>
            <w:r w:rsidRPr="00C81B24">
              <w:rPr>
                <w:sz w:val="20"/>
              </w:rPr>
              <w:t>Pendleton, OR-WA</w:t>
            </w:r>
          </w:p>
        </w:tc>
        <w:tc>
          <w:tcPr>
            <w:tcW w:w="1102"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161,844</w:t>
            </w:r>
          </w:p>
        </w:tc>
        <w:tc>
          <w:tcPr>
            <w:tcW w:w="1155"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209,568</w:t>
            </w:r>
          </w:p>
        </w:tc>
        <w:tc>
          <w:tcPr>
            <w:tcW w:w="979"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77%</w:t>
            </w:r>
          </w:p>
        </w:tc>
        <w:tc>
          <w:tcPr>
            <w:tcW w:w="635" w:type="dxa"/>
            <w:tcBorders>
              <w:top w:val="nil"/>
              <w:left w:val="nil"/>
              <w:bottom w:val="single" w:sz="4" w:space="0" w:color="auto"/>
              <w:right w:val="single" w:sz="4" w:space="0" w:color="auto"/>
            </w:tcBorders>
            <w:noWrap/>
            <w:vAlign w:val="bottom"/>
          </w:tcPr>
          <w:p w:rsidR="00C81B24" w:rsidRPr="00C81B24" w:rsidRDefault="00C81B24" w:rsidP="00CE5850">
            <w:pPr>
              <w:rPr>
                <w:sz w:val="20"/>
              </w:rPr>
            </w:pPr>
            <w:r w:rsidRPr="00C81B24">
              <w:rPr>
                <w:sz w:val="20"/>
              </w:rPr>
              <w:t>3292</w:t>
            </w:r>
          </w:p>
        </w:tc>
        <w:tc>
          <w:tcPr>
            <w:tcW w:w="536"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3068</w:t>
            </w:r>
          </w:p>
        </w:tc>
        <w:tc>
          <w:tcPr>
            <w:tcW w:w="736"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9.08</w:t>
            </w:r>
          </w:p>
        </w:tc>
      </w:tr>
      <w:tr w:rsidR="00C81B24" w:rsidRPr="00C81B24" w:rsidTr="00526AD9">
        <w:trPr>
          <w:trHeight w:val="255"/>
          <w:jc w:val="center"/>
        </w:trPr>
        <w:tc>
          <w:tcPr>
            <w:tcW w:w="554" w:type="dxa"/>
            <w:tcBorders>
              <w:top w:val="nil"/>
              <w:left w:val="single" w:sz="4" w:space="0" w:color="auto"/>
              <w:bottom w:val="single" w:sz="4" w:space="0" w:color="auto"/>
              <w:right w:val="single" w:sz="4" w:space="0" w:color="auto"/>
            </w:tcBorders>
            <w:vAlign w:val="bottom"/>
          </w:tcPr>
          <w:p w:rsidR="00C81B24" w:rsidRPr="00C81B24" w:rsidRDefault="00C81B24" w:rsidP="00CE5850">
            <w:pPr>
              <w:rPr>
                <w:sz w:val="20"/>
              </w:rPr>
            </w:pPr>
            <w:r w:rsidRPr="00C81B24">
              <w:rPr>
                <w:sz w:val="20"/>
              </w:rPr>
              <w:t>172</w:t>
            </w:r>
          </w:p>
        </w:tc>
        <w:tc>
          <w:tcPr>
            <w:tcW w:w="456" w:type="dxa"/>
            <w:tcBorders>
              <w:top w:val="nil"/>
              <w:left w:val="single" w:sz="4" w:space="0" w:color="auto"/>
              <w:bottom w:val="single" w:sz="4" w:space="0" w:color="auto"/>
              <w:right w:val="single" w:sz="4" w:space="0" w:color="auto"/>
            </w:tcBorders>
            <w:vAlign w:val="center"/>
          </w:tcPr>
          <w:p w:rsidR="00C81B24" w:rsidRPr="00C81B24" w:rsidRDefault="00C81B24" w:rsidP="00CE5850">
            <w:pPr>
              <w:rPr>
                <w:sz w:val="20"/>
              </w:rPr>
            </w:pPr>
            <w:r w:rsidRPr="00C81B24">
              <w:rPr>
                <w:sz w:val="20"/>
              </w:rPr>
              <w:t>58</w:t>
            </w:r>
          </w:p>
        </w:tc>
        <w:tc>
          <w:tcPr>
            <w:tcW w:w="4012" w:type="dxa"/>
            <w:tcBorders>
              <w:top w:val="nil"/>
              <w:left w:val="nil"/>
              <w:bottom w:val="single" w:sz="4" w:space="0" w:color="auto"/>
              <w:right w:val="single" w:sz="4" w:space="0" w:color="auto"/>
            </w:tcBorders>
            <w:vAlign w:val="center"/>
          </w:tcPr>
          <w:p w:rsidR="00C81B24" w:rsidRPr="00C81B24" w:rsidRDefault="00C81B24" w:rsidP="00CE5850">
            <w:pPr>
              <w:rPr>
                <w:sz w:val="20"/>
              </w:rPr>
            </w:pPr>
            <w:r w:rsidRPr="00C81B24">
              <w:rPr>
                <w:sz w:val="20"/>
              </w:rPr>
              <w:t>Northern Michigan, MI</w:t>
            </w:r>
          </w:p>
        </w:tc>
        <w:tc>
          <w:tcPr>
            <w:tcW w:w="1102"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w:t>
            </w:r>
          </w:p>
        </w:tc>
        <w:tc>
          <w:tcPr>
            <w:tcW w:w="1155"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265,125</w:t>
            </w:r>
          </w:p>
        </w:tc>
        <w:tc>
          <w:tcPr>
            <w:tcW w:w="979"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w:t>
            </w:r>
          </w:p>
        </w:tc>
        <w:tc>
          <w:tcPr>
            <w:tcW w:w="635" w:type="dxa"/>
            <w:tcBorders>
              <w:top w:val="nil"/>
              <w:left w:val="nil"/>
              <w:bottom w:val="single" w:sz="4" w:space="0" w:color="auto"/>
              <w:right w:val="single" w:sz="4" w:space="0" w:color="auto"/>
            </w:tcBorders>
            <w:noWrap/>
            <w:vAlign w:val="bottom"/>
          </w:tcPr>
          <w:p w:rsidR="00C81B24" w:rsidRPr="00C81B24" w:rsidRDefault="00C81B24" w:rsidP="00CE5850">
            <w:pPr>
              <w:rPr>
                <w:sz w:val="20"/>
              </w:rPr>
            </w:pPr>
            <w:r w:rsidRPr="00C81B24">
              <w:rPr>
                <w:sz w:val="20"/>
              </w:rPr>
              <w:t>*</w:t>
            </w:r>
          </w:p>
        </w:tc>
        <w:tc>
          <w:tcPr>
            <w:tcW w:w="536"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4229</w:t>
            </w:r>
          </w:p>
        </w:tc>
        <w:tc>
          <w:tcPr>
            <w:tcW w:w="736" w:type="dxa"/>
            <w:tcBorders>
              <w:top w:val="nil"/>
              <w:left w:val="nil"/>
              <w:bottom w:val="single" w:sz="4" w:space="0" w:color="auto"/>
              <w:right w:val="single" w:sz="4" w:space="0" w:color="auto"/>
            </w:tcBorders>
            <w:vAlign w:val="bottom"/>
          </w:tcPr>
          <w:p w:rsidR="00C81B24" w:rsidRPr="00C81B24" w:rsidRDefault="00C81B24" w:rsidP="00CE5850">
            <w:pPr>
              <w:rPr>
                <w:sz w:val="20"/>
              </w:rPr>
            </w:pPr>
            <w:r w:rsidRPr="00C81B24">
              <w:rPr>
                <w:sz w:val="20"/>
              </w:rPr>
              <w:t>29.42</w:t>
            </w:r>
          </w:p>
        </w:tc>
      </w:tr>
    </w:tbl>
    <w:p w:rsidR="00C81B24" w:rsidRPr="00C81B24" w:rsidRDefault="00C81B24" w:rsidP="00CE5850">
      <w:pPr>
        <w:rPr>
          <w:sz w:val="20"/>
        </w:rPr>
      </w:pPr>
    </w:p>
    <w:p w:rsidR="00C81B24" w:rsidRPr="00C81B24" w:rsidRDefault="00C81B24" w:rsidP="00CE5850">
      <w:pPr>
        <w:rPr>
          <w:sz w:val="20"/>
        </w:rPr>
      </w:pPr>
    </w:p>
    <w:p w:rsidR="00C81B24" w:rsidRPr="00C81B24" w:rsidRDefault="00C81B24" w:rsidP="00CE5850">
      <w:pPr>
        <w:rPr>
          <w:sz w:val="20"/>
        </w:rPr>
      </w:pPr>
    </w:p>
    <w:p w:rsidR="00C81B24" w:rsidRPr="00C81B24" w:rsidRDefault="00C81B24" w:rsidP="00CE5850">
      <w:pPr>
        <w:rPr>
          <w:sz w:val="20"/>
        </w:rPr>
      </w:pPr>
    </w:p>
    <w:p w:rsidR="00C81B24" w:rsidRPr="00C81B24" w:rsidRDefault="00C81B24" w:rsidP="00CE5850">
      <w:pPr>
        <w:rPr>
          <w:sz w:val="20"/>
        </w:rPr>
      </w:pPr>
    </w:p>
    <w:p w:rsidR="00C81B24" w:rsidRDefault="00C81B24" w:rsidP="00CE5850">
      <w:pPr>
        <w:rPr>
          <w:sz w:val="20"/>
        </w:rPr>
      </w:pPr>
    </w:p>
    <w:p w:rsidR="00526AD9" w:rsidRPr="00C81B24" w:rsidRDefault="00526AD9" w:rsidP="00CE5850">
      <w:pPr>
        <w:rPr>
          <w:sz w:val="20"/>
        </w:rPr>
      </w:pPr>
    </w:p>
    <w:p w:rsidR="00C81B24" w:rsidRPr="00C81B24" w:rsidRDefault="00C81B24" w:rsidP="00CE5850">
      <w:pPr>
        <w:jc w:val="center"/>
        <w:rPr>
          <w:b/>
          <w:bCs/>
          <w:kern w:val="0"/>
          <w:szCs w:val="22"/>
        </w:rPr>
      </w:pPr>
      <w:r w:rsidRPr="00C81B24">
        <w:rPr>
          <w:b/>
          <w:bCs/>
          <w:snapToGrid w:val="0"/>
          <w:szCs w:val="22"/>
        </w:rPr>
        <w:t>Table B-4</w:t>
      </w:r>
      <w:r w:rsidRPr="00C81B24">
        <w:rPr>
          <w:b/>
          <w:bCs/>
          <w:kern w:val="0"/>
          <w:szCs w:val="22"/>
        </w:rPr>
        <w:t xml:space="preserve"> </w:t>
      </w:r>
    </w:p>
    <w:p w:rsidR="00C81B24" w:rsidRPr="00C81B24" w:rsidRDefault="00C81B24" w:rsidP="00CE5850">
      <w:pPr>
        <w:jc w:val="center"/>
        <w:rPr>
          <w:b/>
          <w:szCs w:val="22"/>
        </w:rPr>
      </w:pPr>
      <w:r w:rsidRPr="00C81B24">
        <w:rPr>
          <w:b/>
          <w:szCs w:val="22"/>
        </w:rPr>
        <w:t>Economic Area Penetration Rates, 2011</w:t>
      </w:r>
    </w:p>
    <w:p w:rsidR="00C81B24" w:rsidRPr="00C81B24" w:rsidRDefault="00C81B24" w:rsidP="00CE5850">
      <w:pPr>
        <w:jc w:val="center"/>
        <w:rPr>
          <w:sz w:val="20"/>
        </w:rPr>
      </w:pPr>
    </w:p>
    <w:tbl>
      <w:tblPr>
        <w:tblW w:w="10165" w:type="dxa"/>
        <w:jc w:val="center"/>
        <w:tblLook w:val="0000" w:firstRow="0" w:lastRow="0" w:firstColumn="0" w:lastColumn="0" w:noHBand="0" w:noVBand="0"/>
      </w:tblPr>
      <w:tblGrid>
        <w:gridCol w:w="639"/>
        <w:gridCol w:w="516"/>
        <w:gridCol w:w="3469"/>
        <w:gridCol w:w="1150"/>
        <w:gridCol w:w="1147"/>
        <w:gridCol w:w="1127"/>
        <w:gridCol w:w="635"/>
        <w:gridCol w:w="616"/>
        <w:gridCol w:w="866"/>
      </w:tblGrid>
      <w:tr w:rsidR="00C81B24" w:rsidRPr="00C81B24" w:rsidTr="00526AD9">
        <w:trPr>
          <w:trHeight w:val="818"/>
          <w:tblHeader/>
          <w:jc w:val="center"/>
        </w:trPr>
        <w:tc>
          <w:tcPr>
            <w:tcW w:w="554" w:type="dxa"/>
            <w:tcBorders>
              <w:top w:val="single" w:sz="4" w:space="0" w:color="auto"/>
              <w:left w:val="single" w:sz="4" w:space="0" w:color="auto"/>
              <w:bottom w:val="single" w:sz="4" w:space="0" w:color="auto"/>
              <w:right w:val="single" w:sz="4" w:space="0" w:color="auto"/>
            </w:tcBorders>
            <w:vAlign w:val="center"/>
          </w:tcPr>
          <w:p w:rsidR="00C81B24" w:rsidRPr="00C81B24" w:rsidRDefault="00C81B24" w:rsidP="00CE5850">
            <w:pPr>
              <w:jc w:val="center"/>
              <w:rPr>
                <w:sz w:val="20"/>
              </w:rPr>
            </w:pPr>
            <w:r w:rsidRPr="00C81B24">
              <w:rPr>
                <w:sz w:val="20"/>
              </w:rPr>
              <w:t>Rank</w:t>
            </w:r>
          </w:p>
        </w:tc>
        <w:tc>
          <w:tcPr>
            <w:tcW w:w="456" w:type="dxa"/>
            <w:tcBorders>
              <w:top w:val="single" w:sz="4" w:space="0" w:color="auto"/>
              <w:left w:val="single" w:sz="4" w:space="0" w:color="auto"/>
              <w:bottom w:val="single" w:sz="4" w:space="0" w:color="auto"/>
              <w:right w:val="single" w:sz="4" w:space="0" w:color="auto"/>
            </w:tcBorders>
            <w:vAlign w:val="center"/>
          </w:tcPr>
          <w:p w:rsidR="00C81B24" w:rsidRPr="00C81B24" w:rsidRDefault="00C81B24" w:rsidP="00CE5850">
            <w:pPr>
              <w:rPr>
                <w:sz w:val="20"/>
              </w:rPr>
            </w:pPr>
            <w:r w:rsidRPr="00C81B24">
              <w:rPr>
                <w:sz w:val="20"/>
              </w:rPr>
              <w:t>EA</w:t>
            </w:r>
          </w:p>
        </w:tc>
        <w:tc>
          <w:tcPr>
            <w:tcW w:w="4012" w:type="dxa"/>
            <w:tcBorders>
              <w:top w:val="single" w:sz="4" w:space="0" w:color="auto"/>
              <w:left w:val="nil"/>
              <w:bottom w:val="single" w:sz="4" w:space="0" w:color="auto"/>
              <w:right w:val="single" w:sz="4" w:space="0" w:color="auto"/>
            </w:tcBorders>
            <w:vAlign w:val="center"/>
          </w:tcPr>
          <w:p w:rsidR="00C81B24" w:rsidRPr="00C81B24" w:rsidRDefault="00C81B24" w:rsidP="00CE5850">
            <w:pPr>
              <w:rPr>
                <w:sz w:val="20"/>
              </w:rPr>
            </w:pPr>
            <w:r w:rsidRPr="00C81B24">
              <w:rPr>
                <w:sz w:val="20"/>
              </w:rPr>
              <w:t>EA Name</w:t>
            </w:r>
          </w:p>
        </w:tc>
        <w:tc>
          <w:tcPr>
            <w:tcW w:w="1102" w:type="dxa"/>
            <w:tcBorders>
              <w:top w:val="single" w:sz="4" w:space="0" w:color="auto"/>
              <w:left w:val="nil"/>
              <w:bottom w:val="single" w:sz="4" w:space="0" w:color="auto"/>
              <w:right w:val="single" w:sz="4" w:space="0" w:color="auto"/>
            </w:tcBorders>
            <w:vAlign w:val="center"/>
          </w:tcPr>
          <w:p w:rsidR="00C81B24" w:rsidRPr="00C81B24" w:rsidRDefault="00C81B24" w:rsidP="00CE5850">
            <w:pPr>
              <w:jc w:val="center"/>
              <w:rPr>
                <w:sz w:val="20"/>
              </w:rPr>
            </w:pPr>
            <w:r w:rsidRPr="00C81B24">
              <w:rPr>
                <w:sz w:val="20"/>
              </w:rPr>
              <w:t>2011 Subscribers</w:t>
            </w:r>
          </w:p>
        </w:tc>
        <w:tc>
          <w:tcPr>
            <w:tcW w:w="1155" w:type="dxa"/>
            <w:tcBorders>
              <w:top w:val="single" w:sz="4" w:space="0" w:color="auto"/>
              <w:left w:val="nil"/>
              <w:bottom w:val="single" w:sz="4" w:space="0" w:color="auto"/>
              <w:right w:val="single" w:sz="4" w:space="0" w:color="auto"/>
            </w:tcBorders>
            <w:vAlign w:val="center"/>
          </w:tcPr>
          <w:p w:rsidR="00C81B24" w:rsidRPr="00C81B24" w:rsidRDefault="00C81B24" w:rsidP="00CE5850">
            <w:pPr>
              <w:jc w:val="center"/>
              <w:rPr>
                <w:sz w:val="20"/>
              </w:rPr>
            </w:pPr>
            <w:r w:rsidRPr="00C81B24">
              <w:rPr>
                <w:sz w:val="20"/>
              </w:rPr>
              <w:t>2011 Estimated EA Population</w:t>
            </w:r>
          </w:p>
        </w:tc>
        <w:tc>
          <w:tcPr>
            <w:tcW w:w="979" w:type="dxa"/>
            <w:tcBorders>
              <w:top w:val="single" w:sz="4" w:space="0" w:color="auto"/>
              <w:left w:val="nil"/>
              <w:bottom w:val="single" w:sz="4" w:space="0" w:color="auto"/>
              <w:right w:val="single" w:sz="4" w:space="0" w:color="auto"/>
            </w:tcBorders>
            <w:vAlign w:val="center"/>
          </w:tcPr>
          <w:p w:rsidR="00C81B24" w:rsidRPr="00C81B24" w:rsidRDefault="00C81B24" w:rsidP="00CE5850">
            <w:pPr>
              <w:jc w:val="center"/>
              <w:rPr>
                <w:sz w:val="20"/>
              </w:rPr>
            </w:pPr>
            <w:r w:rsidRPr="00C81B24">
              <w:rPr>
                <w:sz w:val="20"/>
              </w:rPr>
              <w:t>2011 Penetration Rate</w:t>
            </w:r>
          </w:p>
        </w:tc>
        <w:tc>
          <w:tcPr>
            <w:tcW w:w="635" w:type="dxa"/>
            <w:tcBorders>
              <w:top w:val="single" w:sz="4" w:space="0" w:color="auto"/>
              <w:left w:val="nil"/>
              <w:bottom w:val="single" w:sz="4" w:space="0" w:color="auto"/>
              <w:right w:val="single" w:sz="4" w:space="0" w:color="auto"/>
            </w:tcBorders>
            <w:vAlign w:val="center"/>
          </w:tcPr>
          <w:p w:rsidR="00C81B24" w:rsidRPr="00C81B24" w:rsidRDefault="00C81B24" w:rsidP="00CE5850">
            <w:pPr>
              <w:jc w:val="center"/>
              <w:rPr>
                <w:sz w:val="20"/>
              </w:rPr>
            </w:pPr>
            <w:r w:rsidRPr="00C81B24">
              <w:rPr>
                <w:sz w:val="20"/>
              </w:rPr>
              <w:t>2011 HHI</w:t>
            </w:r>
          </w:p>
        </w:tc>
        <w:tc>
          <w:tcPr>
            <w:tcW w:w="536" w:type="dxa"/>
            <w:tcBorders>
              <w:top w:val="single" w:sz="4" w:space="0" w:color="auto"/>
              <w:left w:val="nil"/>
              <w:bottom w:val="single" w:sz="4" w:space="0" w:color="auto"/>
              <w:right w:val="single" w:sz="4" w:space="0" w:color="auto"/>
            </w:tcBorders>
            <w:vAlign w:val="center"/>
          </w:tcPr>
          <w:p w:rsidR="00C81B24" w:rsidRPr="00C81B24" w:rsidRDefault="00C81B24" w:rsidP="00CE5850">
            <w:pPr>
              <w:jc w:val="center"/>
              <w:rPr>
                <w:sz w:val="20"/>
              </w:rPr>
            </w:pPr>
            <w:r w:rsidRPr="00C81B24">
              <w:rPr>
                <w:sz w:val="20"/>
              </w:rPr>
              <w:t>2010 HHI</w:t>
            </w:r>
          </w:p>
        </w:tc>
        <w:tc>
          <w:tcPr>
            <w:tcW w:w="736" w:type="dxa"/>
            <w:tcBorders>
              <w:top w:val="single" w:sz="4" w:space="0" w:color="auto"/>
              <w:left w:val="nil"/>
              <w:bottom w:val="single" w:sz="4" w:space="0" w:color="auto"/>
              <w:right w:val="single" w:sz="4" w:space="0" w:color="auto"/>
            </w:tcBorders>
            <w:vAlign w:val="center"/>
          </w:tcPr>
          <w:p w:rsidR="00C81B24" w:rsidRPr="00C81B24" w:rsidRDefault="00C81B24" w:rsidP="00CE5850">
            <w:pPr>
              <w:jc w:val="center"/>
              <w:rPr>
                <w:sz w:val="20"/>
              </w:rPr>
            </w:pPr>
            <w:r w:rsidRPr="00C81B24">
              <w:rPr>
                <w:sz w:val="20"/>
              </w:rPr>
              <w:t>2010 EA Density</w:t>
            </w:r>
          </w:p>
        </w:tc>
      </w:tr>
      <w:tr w:rsidR="00C81B24" w:rsidRPr="00C81B24" w:rsidTr="00526AD9">
        <w:trPr>
          <w:trHeight w:val="255"/>
          <w:jc w:val="center"/>
        </w:trPr>
        <w:tc>
          <w:tcPr>
            <w:tcW w:w="554" w:type="dxa"/>
            <w:tcBorders>
              <w:top w:val="nil"/>
              <w:left w:val="single" w:sz="4" w:space="0" w:color="auto"/>
              <w:bottom w:val="single" w:sz="4" w:space="0" w:color="auto"/>
              <w:right w:val="single" w:sz="4" w:space="0" w:color="auto"/>
            </w:tcBorders>
            <w:vAlign w:val="bottom"/>
          </w:tcPr>
          <w:p w:rsidR="00C81B24" w:rsidRPr="00C81B24" w:rsidRDefault="00C81B24" w:rsidP="00CE5850">
            <w:pPr>
              <w:jc w:val="right"/>
              <w:rPr>
                <w:kern w:val="0"/>
                <w:sz w:val="20"/>
                <w:lang w:eastAsia="ja-JP"/>
              </w:rPr>
            </w:pPr>
            <w:r w:rsidRPr="00C81B24">
              <w:rPr>
                <w:kern w:val="0"/>
                <w:sz w:val="20"/>
                <w:lang w:eastAsia="ja-JP"/>
              </w:rPr>
              <w:t>1</w:t>
            </w:r>
          </w:p>
        </w:tc>
        <w:tc>
          <w:tcPr>
            <w:tcW w:w="456" w:type="dxa"/>
            <w:tcBorders>
              <w:top w:val="nil"/>
              <w:left w:val="single" w:sz="4" w:space="0" w:color="auto"/>
              <w:bottom w:val="single" w:sz="4" w:space="0" w:color="auto"/>
              <w:right w:val="single" w:sz="4" w:space="0" w:color="auto"/>
            </w:tcBorders>
            <w:vAlign w:val="center"/>
          </w:tcPr>
          <w:p w:rsidR="00C81B24" w:rsidRPr="00C81B24" w:rsidRDefault="00C81B24" w:rsidP="00CE5850">
            <w:pPr>
              <w:jc w:val="right"/>
              <w:rPr>
                <w:sz w:val="20"/>
              </w:rPr>
            </w:pPr>
            <w:r w:rsidRPr="00C81B24">
              <w:rPr>
                <w:sz w:val="20"/>
              </w:rPr>
              <w:t>89</w:t>
            </w:r>
          </w:p>
        </w:tc>
        <w:tc>
          <w:tcPr>
            <w:tcW w:w="4012" w:type="dxa"/>
            <w:tcBorders>
              <w:top w:val="nil"/>
              <w:left w:val="nil"/>
              <w:bottom w:val="single" w:sz="4" w:space="0" w:color="auto"/>
              <w:right w:val="single" w:sz="4" w:space="0" w:color="auto"/>
            </w:tcBorders>
            <w:vAlign w:val="center"/>
          </w:tcPr>
          <w:p w:rsidR="00C81B24" w:rsidRPr="00C81B24" w:rsidRDefault="00C81B24" w:rsidP="00CE5850">
            <w:pPr>
              <w:rPr>
                <w:sz w:val="20"/>
              </w:rPr>
            </w:pPr>
            <w:r w:rsidRPr="00C81B24">
              <w:rPr>
                <w:sz w:val="20"/>
              </w:rPr>
              <w:t>Monroe, LA</w:t>
            </w:r>
          </w:p>
        </w:tc>
        <w:tc>
          <w:tcPr>
            <w:tcW w:w="1102" w:type="dxa"/>
            <w:tcBorders>
              <w:top w:val="nil"/>
              <w:left w:val="nil"/>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 xml:space="preserve"> 458,053 </w:t>
            </w:r>
          </w:p>
        </w:tc>
        <w:tc>
          <w:tcPr>
            <w:tcW w:w="1155" w:type="dxa"/>
            <w:tcBorders>
              <w:top w:val="nil"/>
              <w:left w:val="nil"/>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 xml:space="preserve"> 339,417 </w:t>
            </w:r>
          </w:p>
        </w:tc>
        <w:tc>
          <w:tcPr>
            <w:tcW w:w="979" w:type="dxa"/>
            <w:tcBorders>
              <w:top w:val="nil"/>
              <w:left w:val="nil"/>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135%</w:t>
            </w:r>
          </w:p>
        </w:tc>
        <w:tc>
          <w:tcPr>
            <w:tcW w:w="635" w:type="dxa"/>
            <w:tcBorders>
              <w:top w:val="nil"/>
              <w:left w:val="nil"/>
              <w:bottom w:val="single" w:sz="4" w:space="0" w:color="auto"/>
              <w:right w:val="single" w:sz="4" w:space="0" w:color="auto"/>
            </w:tcBorders>
            <w:noWrap/>
            <w:vAlign w:val="bottom"/>
          </w:tcPr>
          <w:p w:rsidR="00C81B24" w:rsidRPr="00C81B24" w:rsidRDefault="00C81B24" w:rsidP="00CE5850">
            <w:pPr>
              <w:jc w:val="right"/>
              <w:rPr>
                <w:sz w:val="20"/>
              </w:rPr>
            </w:pPr>
            <w:r w:rsidRPr="00C81B24">
              <w:rPr>
                <w:sz w:val="20"/>
              </w:rPr>
              <w:t>3482</w:t>
            </w:r>
          </w:p>
        </w:tc>
        <w:tc>
          <w:tcPr>
            <w:tcW w:w="536" w:type="dxa"/>
            <w:tcBorders>
              <w:top w:val="nil"/>
              <w:left w:val="nil"/>
              <w:bottom w:val="single" w:sz="4" w:space="0" w:color="auto"/>
              <w:right w:val="single" w:sz="4" w:space="0" w:color="auto"/>
            </w:tcBorders>
            <w:vAlign w:val="bottom"/>
          </w:tcPr>
          <w:p w:rsidR="00C81B24" w:rsidRPr="00C81B24" w:rsidRDefault="00C81B24" w:rsidP="00CE5850">
            <w:pPr>
              <w:autoSpaceDE w:val="0"/>
              <w:autoSpaceDN w:val="0"/>
              <w:adjustRightInd w:val="0"/>
              <w:jc w:val="right"/>
              <w:rPr>
                <w:color w:val="000000"/>
                <w:kern w:val="0"/>
                <w:sz w:val="20"/>
              </w:rPr>
            </w:pPr>
            <w:r w:rsidRPr="00C81B24">
              <w:rPr>
                <w:color w:val="000000"/>
                <w:kern w:val="0"/>
                <w:sz w:val="20"/>
              </w:rPr>
              <w:t>3962</w:t>
            </w:r>
          </w:p>
        </w:tc>
        <w:tc>
          <w:tcPr>
            <w:tcW w:w="736" w:type="dxa"/>
            <w:tcBorders>
              <w:top w:val="nil"/>
              <w:left w:val="nil"/>
              <w:bottom w:val="single" w:sz="4" w:space="0" w:color="auto"/>
              <w:right w:val="single" w:sz="4" w:space="0" w:color="auto"/>
            </w:tcBorders>
            <w:vAlign w:val="bottom"/>
          </w:tcPr>
          <w:p w:rsidR="00C81B24" w:rsidRPr="00C81B24" w:rsidRDefault="00C81B24" w:rsidP="00CE5850">
            <w:pPr>
              <w:jc w:val="right"/>
              <w:rPr>
                <w:color w:val="000000"/>
                <w:sz w:val="20"/>
              </w:rPr>
            </w:pPr>
            <w:r w:rsidRPr="00C81B24">
              <w:rPr>
                <w:color w:val="000000"/>
                <w:sz w:val="20"/>
              </w:rPr>
              <w:t>58.18</w:t>
            </w:r>
          </w:p>
        </w:tc>
      </w:tr>
      <w:tr w:rsidR="00C81B24" w:rsidRPr="00C81B24" w:rsidTr="00526AD9">
        <w:trPr>
          <w:trHeight w:val="255"/>
          <w:jc w:val="center"/>
        </w:trPr>
        <w:tc>
          <w:tcPr>
            <w:tcW w:w="554" w:type="dxa"/>
            <w:tcBorders>
              <w:top w:val="nil"/>
              <w:left w:val="single" w:sz="4" w:space="0" w:color="auto"/>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2</w:t>
            </w:r>
          </w:p>
        </w:tc>
        <w:tc>
          <w:tcPr>
            <w:tcW w:w="456" w:type="dxa"/>
            <w:tcBorders>
              <w:top w:val="nil"/>
              <w:left w:val="single" w:sz="4" w:space="0" w:color="auto"/>
              <w:bottom w:val="single" w:sz="4" w:space="0" w:color="auto"/>
              <w:right w:val="single" w:sz="4" w:space="0" w:color="auto"/>
            </w:tcBorders>
            <w:vAlign w:val="center"/>
          </w:tcPr>
          <w:p w:rsidR="00C81B24" w:rsidRPr="00C81B24" w:rsidRDefault="00C81B24" w:rsidP="00CE5850">
            <w:pPr>
              <w:jc w:val="right"/>
              <w:rPr>
                <w:sz w:val="20"/>
              </w:rPr>
            </w:pPr>
            <w:r w:rsidRPr="00C81B24">
              <w:rPr>
                <w:sz w:val="20"/>
              </w:rPr>
              <w:t>83</w:t>
            </w:r>
          </w:p>
        </w:tc>
        <w:tc>
          <w:tcPr>
            <w:tcW w:w="4012" w:type="dxa"/>
            <w:tcBorders>
              <w:top w:val="nil"/>
              <w:left w:val="nil"/>
              <w:bottom w:val="single" w:sz="4" w:space="0" w:color="auto"/>
              <w:right w:val="single" w:sz="4" w:space="0" w:color="auto"/>
            </w:tcBorders>
            <w:vAlign w:val="center"/>
          </w:tcPr>
          <w:p w:rsidR="00C81B24" w:rsidRPr="00C81B24" w:rsidRDefault="00C81B24" w:rsidP="00CE5850">
            <w:pPr>
              <w:rPr>
                <w:sz w:val="20"/>
              </w:rPr>
            </w:pPr>
            <w:r w:rsidRPr="00C81B24">
              <w:rPr>
                <w:sz w:val="20"/>
              </w:rPr>
              <w:t>New Orleans, LA-MS (see note 1)</w:t>
            </w:r>
          </w:p>
        </w:tc>
        <w:tc>
          <w:tcPr>
            <w:tcW w:w="1102" w:type="dxa"/>
            <w:tcBorders>
              <w:top w:val="nil"/>
              <w:left w:val="nil"/>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 xml:space="preserve"> 2,075,641 </w:t>
            </w:r>
          </w:p>
        </w:tc>
        <w:tc>
          <w:tcPr>
            <w:tcW w:w="1155" w:type="dxa"/>
            <w:tcBorders>
              <w:top w:val="nil"/>
              <w:left w:val="nil"/>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 xml:space="preserve"> 1,646,884 </w:t>
            </w:r>
          </w:p>
        </w:tc>
        <w:tc>
          <w:tcPr>
            <w:tcW w:w="979" w:type="dxa"/>
            <w:tcBorders>
              <w:top w:val="nil"/>
              <w:left w:val="nil"/>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126%</w:t>
            </w:r>
          </w:p>
        </w:tc>
        <w:tc>
          <w:tcPr>
            <w:tcW w:w="635" w:type="dxa"/>
            <w:tcBorders>
              <w:top w:val="nil"/>
              <w:left w:val="nil"/>
              <w:bottom w:val="single" w:sz="4" w:space="0" w:color="auto"/>
              <w:right w:val="single" w:sz="4" w:space="0" w:color="auto"/>
            </w:tcBorders>
            <w:noWrap/>
            <w:vAlign w:val="bottom"/>
          </w:tcPr>
          <w:p w:rsidR="00C81B24" w:rsidRPr="00C81B24" w:rsidRDefault="00C81B24" w:rsidP="00CE5850">
            <w:pPr>
              <w:jc w:val="right"/>
              <w:rPr>
                <w:sz w:val="20"/>
              </w:rPr>
            </w:pPr>
            <w:r w:rsidRPr="00C81B24">
              <w:rPr>
                <w:sz w:val="20"/>
              </w:rPr>
              <w:t>3189</w:t>
            </w:r>
          </w:p>
        </w:tc>
        <w:tc>
          <w:tcPr>
            <w:tcW w:w="536" w:type="dxa"/>
            <w:tcBorders>
              <w:top w:val="nil"/>
              <w:left w:val="nil"/>
              <w:bottom w:val="single" w:sz="4" w:space="0" w:color="auto"/>
              <w:right w:val="single" w:sz="4" w:space="0" w:color="auto"/>
            </w:tcBorders>
            <w:vAlign w:val="bottom"/>
          </w:tcPr>
          <w:p w:rsidR="00C81B24" w:rsidRPr="00C81B24" w:rsidRDefault="00C81B24" w:rsidP="00CE5850">
            <w:pPr>
              <w:autoSpaceDE w:val="0"/>
              <w:autoSpaceDN w:val="0"/>
              <w:adjustRightInd w:val="0"/>
              <w:jc w:val="right"/>
              <w:rPr>
                <w:color w:val="000000"/>
                <w:kern w:val="0"/>
                <w:sz w:val="20"/>
              </w:rPr>
            </w:pPr>
            <w:r w:rsidRPr="00C81B24">
              <w:rPr>
                <w:color w:val="000000"/>
                <w:kern w:val="0"/>
                <w:sz w:val="20"/>
              </w:rPr>
              <w:t>3161</w:t>
            </w:r>
          </w:p>
        </w:tc>
        <w:tc>
          <w:tcPr>
            <w:tcW w:w="736" w:type="dxa"/>
            <w:tcBorders>
              <w:top w:val="nil"/>
              <w:left w:val="nil"/>
              <w:bottom w:val="single" w:sz="4" w:space="0" w:color="auto"/>
              <w:right w:val="single" w:sz="4" w:space="0" w:color="auto"/>
            </w:tcBorders>
            <w:vAlign w:val="bottom"/>
          </w:tcPr>
          <w:p w:rsidR="00C81B24" w:rsidRPr="00C81B24" w:rsidRDefault="00C81B24" w:rsidP="00CE5850">
            <w:pPr>
              <w:jc w:val="right"/>
              <w:rPr>
                <w:color w:val="000000"/>
                <w:sz w:val="20"/>
              </w:rPr>
            </w:pPr>
            <w:r w:rsidRPr="00C81B24">
              <w:rPr>
                <w:color w:val="000000"/>
                <w:sz w:val="20"/>
              </w:rPr>
              <w:t>208.68</w:t>
            </w:r>
          </w:p>
        </w:tc>
      </w:tr>
      <w:tr w:rsidR="00C81B24" w:rsidRPr="00C81B24" w:rsidTr="00526AD9">
        <w:trPr>
          <w:trHeight w:val="255"/>
          <w:jc w:val="center"/>
        </w:trPr>
        <w:tc>
          <w:tcPr>
            <w:tcW w:w="554" w:type="dxa"/>
            <w:tcBorders>
              <w:top w:val="nil"/>
              <w:left w:val="single" w:sz="4" w:space="0" w:color="auto"/>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3</w:t>
            </w:r>
          </w:p>
        </w:tc>
        <w:tc>
          <w:tcPr>
            <w:tcW w:w="456" w:type="dxa"/>
            <w:tcBorders>
              <w:top w:val="nil"/>
              <w:left w:val="single" w:sz="4" w:space="0" w:color="auto"/>
              <w:bottom w:val="single" w:sz="4" w:space="0" w:color="auto"/>
              <w:right w:val="single" w:sz="4" w:space="0" w:color="auto"/>
            </w:tcBorders>
            <w:vAlign w:val="center"/>
          </w:tcPr>
          <w:p w:rsidR="00C81B24" w:rsidRPr="00C81B24" w:rsidRDefault="00C81B24" w:rsidP="00CE5850">
            <w:pPr>
              <w:jc w:val="right"/>
              <w:rPr>
                <w:sz w:val="20"/>
              </w:rPr>
            </w:pPr>
            <w:r w:rsidRPr="00C81B24">
              <w:rPr>
                <w:sz w:val="20"/>
              </w:rPr>
              <w:t>90</w:t>
            </w:r>
          </w:p>
        </w:tc>
        <w:tc>
          <w:tcPr>
            <w:tcW w:w="4012" w:type="dxa"/>
            <w:tcBorders>
              <w:top w:val="nil"/>
              <w:left w:val="nil"/>
              <w:bottom w:val="single" w:sz="4" w:space="0" w:color="auto"/>
              <w:right w:val="single" w:sz="4" w:space="0" w:color="auto"/>
            </w:tcBorders>
            <w:vAlign w:val="center"/>
          </w:tcPr>
          <w:p w:rsidR="00C81B24" w:rsidRPr="00C81B24" w:rsidRDefault="00C81B24" w:rsidP="00CE5850">
            <w:pPr>
              <w:rPr>
                <w:sz w:val="20"/>
              </w:rPr>
            </w:pPr>
            <w:r w:rsidRPr="00C81B24">
              <w:rPr>
                <w:sz w:val="20"/>
              </w:rPr>
              <w:t>Little Rock-North Little Rock, AR</w:t>
            </w:r>
          </w:p>
        </w:tc>
        <w:tc>
          <w:tcPr>
            <w:tcW w:w="1102" w:type="dxa"/>
            <w:tcBorders>
              <w:top w:val="nil"/>
              <w:left w:val="nil"/>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 xml:space="preserve"> 2,155,453 </w:t>
            </w:r>
          </w:p>
        </w:tc>
        <w:tc>
          <w:tcPr>
            <w:tcW w:w="1155" w:type="dxa"/>
            <w:tcBorders>
              <w:top w:val="nil"/>
              <w:left w:val="nil"/>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 xml:space="preserve"> 1,729,237 </w:t>
            </w:r>
          </w:p>
        </w:tc>
        <w:tc>
          <w:tcPr>
            <w:tcW w:w="979" w:type="dxa"/>
            <w:tcBorders>
              <w:top w:val="nil"/>
              <w:left w:val="nil"/>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125%</w:t>
            </w:r>
          </w:p>
        </w:tc>
        <w:tc>
          <w:tcPr>
            <w:tcW w:w="635" w:type="dxa"/>
            <w:tcBorders>
              <w:top w:val="nil"/>
              <w:left w:val="nil"/>
              <w:bottom w:val="single" w:sz="4" w:space="0" w:color="auto"/>
              <w:right w:val="single" w:sz="4" w:space="0" w:color="auto"/>
            </w:tcBorders>
            <w:noWrap/>
            <w:vAlign w:val="bottom"/>
          </w:tcPr>
          <w:p w:rsidR="00C81B24" w:rsidRPr="00C81B24" w:rsidRDefault="00C81B24" w:rsidP="00CE5850">
            <w:pPr>
              <w:jc w:val="right"/>
              <w:rPr>
                <w:sz w:val="20"/>
              </w:rPr>
            </w:pPr>
            <w:r w:rsidRPr="00C81B24">
              <w:rPr>
                <w:sz w:val="20"/>
              </w:rPr>
              <w:t>3526</w:t>
            </w:r>
          </w:p>
        </w:tc>
        <w:tc>
          <w:tcPr>
            <w:tcW w:w="536" w:type="dxa"/>
            <w:tcBorders>
              <w:top w:val="nil"/>
              <w:left w:val="nil"/>
              <w:bottom w:val="single" w:sz="4" w:space="0" w:color="auto"/>
              <w:right w:val="single" w:sz="4" w:space="0" w:color="auto"/>
            </w:tcBorders>
            <w:vAlign w:val="bottom"/>
          </w:tcPr>
          <w:p w:rsidR="00C81B24" w:rsidRPr="00C81B24" w:rsidRDefault="00C81B24" w:rsidP="00CE5850">
            <w:pPr>
              <w:autoSpaceDE w:val="0"/>
              <w:autoSpaceDN w:val="0"/>
              <w:adjustRightInd w:val="0"/>
              <w:jc w:val="right"/>
              <w:rPr>
                <w:color w:val="000000"/>
                <w:kern w:val="0"/>
                <w:sz w:val="20"/>
              </w:rPr>
            </w:pPr>
            <w:r w:rsidRPr="00C81B24">
              <w:rPr>
                <w:color w:val="000000"/>
                <w:kern w:val="0"/>
                <w:sz w:val="20"/>
              </w:rPr>
              <w:t>4002</w:t>
            </w:r>
          </w:p>
        </w:tc>
        <w:tc>
          <w:tcPr>
            <w:tcW w:w="736" w:type="dxa"/>
            <w:tcBorders>
              <w:top w:val="nil"/>
              <w:left w:val="nil"/>
              <w:bottom w:val="single" w:sz="4" w:space="0" w:color="auto"/>
              <w:right w:val="single" w:sz="4" w:space="0" w:color="auto"/>
            </w:tcBorders>
            <w:vAlign w:val="bottom"/>
          </w:tcPr>
          <w:p w:rsidR="00C81B24" w:rsidRPr="00C81B24" w:rsidRDefault="00C81B24" w:rsidP="00CE5850">
            <w:pPr>
              <w:jc w:val="right"/>
              <w:rPr>
                <w:color w:val="000000"/>
                <w:sz w:val="20"/>
              </w:rPr>
            </w:pPr>
            <w:r w:rsidRPr="00C81B24">
              <w:rPr>
                <w:color w:val="000000"/>
                <w:sz w:val="20"/>
              </w:rPr>
              <w:t>50.25</w:t>
            </w:r>
          </w:p>
        </w:tc>
      </w:tr>
      <w:tr w:rsidR="00C81B24" w:rsidRPr="00C81B24" w:rsidTr="00526AD9">
        <w:trPr>
          <w:trHeight w:val="255"/>
          <w:jc w:val="center"/>
        </w:trPr>
        <w:tc>
          <w:tcPr>
            <w:tcW w:w="554" w:type="dxa"/>
            <w:tcBorders>
              <w:top w:val="nil"/>
              <w:left w:val="single" w:sz="4" w:space="0" w:color="auto"/>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4</w:t>
            </w:r>
          </w:p>
        </w:tc>
        <w:tc>
          <w:tcPr>
            <w:tcW w:w="456" w:type="dxa"/>
            <w:tcBorders>
              <w:top w:val="nil"/>
              <w:left w:val="single" w:sz="4" w:space="0" w:color="auto"/>
              <w:bottom w:val="single" w:sz="4" w:space="0" w:color="auto"/>
              <w:right w:val="single" w:sz="4" w:space="0" w:color="auto"/>
            </w:tcBorders>
            <w:vAlign w:val="center"/>
          </w:tcPr>
          <w:p w:rsidR="00C81B24" w:rsidRPr="00C81B24" w:rsidRDefault="00C81B24" w:rsidP="00CE5850">
            <w:pPr>
              <w:jc w:val="right"/>
              <w:rPr>
                <w:sz w:val="20"/>
              </w:rPr>
            </w:pPr>
            <w:r w:rsidRPr="00C81B24">
              <w:rPr>
                <w:sz w:val="20"/>
              </w:rPr>
              <w:t>57</w:t>
            </w:r>
          </w:p>
        </w:tc>
        <w:tc>
          <w:tcPr>
            <w:tcW w:w="4012" w:type="dxa"/>
            <w:tcBorders>
              <w:top w:val="nil"/>
              <w:left w:val="nil"/>
              <w:bottom w:val="single" w:sz="4" w:space="0" w:color="auto"/>
              <w:right w:val="single" w:sz="4" w:space="0" w:color="auto"/>
            </w:tcBorders>
            <w:vAlign w:val="center"/>
          </w:tcPr>
          <w:p w:rsidR="00C81B24" w:rsidRPr="00C81B24" w:rsidRDefault="00C81B24" w:rsidP="00CE5850">
            <w:pPr>
              <w:rPr>
                <w:sz w:val="20"/>
                <w:lang w:val="sv-SE"/>
              </w:rPr>
            </w:pPr>
            <w:r w:rsidRPr="00C81B24">
              <w:rPr>
                <w:sz w:val="20"/>
                <w:lang w:val="de-DE"/>
              </w:rPr>
              <w:t>Detroit-Ann Arbor-Flint, MI</w:t>
            </w:r>
          </w:p>
        </w:tc>
        <w:tc>
          <w:tcPr>
            <w:tcW w:w="1102" w:type="dxa"/>
            <w:tcBorders>
              <w:top w:val="nil"/>
              <w:left w:val="nil"/>
              <w:bottom w:val="single" w:sz="4" w:space="0" w:color="auto"/>
              <w:right w:val="single" w:sz="4" w:space="0" w:color="auto"/>
            </w:tcBorders>
            <w:vAlign w:val="bottom"/>
          </w:tcPr>
          <w:p w:rsidR="00C81B24" w:rsidRPr="00C81B24" w:rsidRDefault="00C81B24" w:rsidP="00CE5850">
            <w:pPr>
              <w:jc w:val="right"/>
              <w:rPr>
                <w:sz w:val="20"/>
              </w:rPr>
            </w:pPr>
            <w:r w:rsidRPr="00C81B24">
              <w:rPr>
                <w:sz w:val="20"/>
                <w:lang w:val="sv-SE"/>
              </w:rPr>
              <w:t xml:space="preserve"> </w:t>
            </w:r>
            <w:r w:rsidRPr="00C81B24">
              <w:rPr>
                <w:sz w:val="20"/>
              </w:rPr>
              <w:t xml:space="preserve">8,274,351 </w:t>
            </w:r>
          </w:p>
        </w:tc>
        <w:tc>
          <w:tcPr>
            <w:tcW w:w="1155" w:type="dxa"/>
            <w:tcBorders>
              <w:top w:val="nil"/>
              <w:left w:val="nil"/>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 xml:space="preserve"> 6,812,289 </w:t>
            </w:r>
          </w:p>
        </w:tc>
        <w:tc>
          <w:tcPr>
            <w:tcW w:w="979" w:type="dxa"/>
            <w:tcBorders>
              <w:top w:val="nil"/>
              <w:left w:val="nil"/>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121%</w:t>
            </w:r>
          </w:p>
        </w:tc>
        <w:tc>
          <w:tcPr>
            <w:tcW w:w="635" w:type="dxa"/>
            <w:tcBorders>
              <w:top w:val="nil"/>
              <w:left w:val="nil"/>
              <w:bottom w:val="single" w:sz="4" w:space="0" w:color="auto"/>
              <w:right w:val="single" w:sz="4" w:space="0" w:color="auto"/>
            </w:tcBorders>
            <w:noWrap/>
            <w:vAlign w:val="bottom"/>
          </w:tcPr>
          <w:p w:rsidR="00C81B24" w:rsidRPr="00C81B24" w:rsidRDefault="00C81B24" w:rsidP="00CE5850">
            <w:pPr>
              <w:jc w:val="right"/>
              <w:rPr>
                <w:sz w:val="20"/>
              </w:rPr>
            </w:pPr>
            <w:r w:rsidRPr="00C81B24">
              <w:rPr>
                <w:sz w:val="20"/>
              </w:rPr>
              <w:t>2800</w:t>
            </w:r>
          </w:p>
        </w:tc>
        <w:tc>
          <w:tcPr>
            <w:tcW w:w="536" w:type="dxa"/>
            <w:tcBorders>
              <w:top w:val="nil"/>
              <w:left w:val="nil"/>
              <w:bottom w:val="single" w:sz="4" w:space="0" w:color="auto"/>
              <w:right w:val="single" w:sz="4" w:space="0" w:color="auto"/>
            </w:tcBorders>
            <w:vAlign w:val="bottom"/>
          </w:tcPr>
          <w:p w:rsidR="00C81B24" w:rsidRPr="00C81B24" w:rsidRDefault="00C81B24" w:rsidP="00CE5850">
            <w:pPr>
              <w:autoSpaceDE w:val="0"/>
              <w:autoSpaceDN w:val="0"/>
              <w:adjustRightInd w:val="0"/>
              <w:jc w:val="right"/>
              <w:rPr>
                <w:color w:val="000000"/>
                <w:kern w:val="0"/>
                <w:sz w:val="20"/>
              </w:rPr>
            </w:pPr>
            <w:r w:rsidRPr="00C81B24">
              <w:rPr>
                <w:color w:val="000000"/>
                <w:kern w:val="0"/>
                <w:sz w:val="20"/>
              </w:rPr>
              <w:t>2797</w:t>
            </w:r>
          </w:p>
        </w:tc>
        <w:tc>
          <w:tcPr>
            <w:tcW w:w="736" w:type="dxa"/>
            <w:tcBorders>
              <w:top w:val="nil"/>
              <w:left w:val="nil"/>
              <w:bottom w:val="single" w:sz="4" w:space="0" w:color="auto"/>
              <w:right w:val="single" w:sz="4" w:space="0" w:color="auto"/>
            </w:tcBorders>
            <w:vAlign w:val="bottom"/>
          </w:tcPr>
          <w:p w:rsidR="00C81B24" w:rsidRPr="00C81B24" w:rsidRDefault="00C81B24" w:rsidP="00CE5850">
            <w:pPr>
              <w:jc w:val="right"/>
              <w:rPr>
                <w:color w:val="000000"/>
                <w:sz w:val="20"/>
              </w:rPr>
            </w:pPr>
            <w:r w:rsidRPr="00C81B24">
              <w:rPr>
                <w:color w:val="000000"/>
                <w:sz w:val="20"/>
              </w:rPr>
              <w:t>363.64</w:t>
            </w:r>
          </w:p>
        </w:tc>
      </w:tr>
      <w:tr w:rsidR="00C81B24" w:rsidRPr="00C81B24" w:rsidTr="00526AD9">
        <w:trPr>
          <w:trHeight w:val="255"/>
          <w:jc w:val="center"/>
        </w:trPr>
        <w:tc>
          <w:tcPr>
            <w:tcW w:w="554" w:type="dxa"/>
            <w:tcBorders>
              <w:top w:val="nil"/>
              <w:left w:val="single" w:sz="4" w:space="0" w:color="auto"/>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5</w:t>
            </w:r>
          </w:p>
        </w:tc>
        <w:tc>
          <w:tcPr>
            <w:tcW w:w="456" w:type="dxa"/>
            <w:tcBorders>
              <w:top w:val="nil"/>
              <w:left w:val="single" w:sz="4" w:space="0" w:color="auto"/>
              <w:bottom w:val="single" w:sz="4" w:space="0" w:color="auto"/>
              <w:right w:val="single" w:sz="4" w:space="0" w:color="auto"/>
            </w:tcBorders>
            <w:vAlign w:val="center"/>
          </w:tcPr>
          <w:p w:rsidR="00C81B24" w:rsidRPr="00C81B24" w:rsidRDefault="00C81B24" w:rsidP="00CE5850">
            <w:pPr>
              <w:jc w:val="right"/>
              <w:rPr>
                <w:sz w:val="20"/>
              </w:rPr>
            </w:pPr>
            <w:r w:rsidRPr="00C81B24">
              <w:rPr>
                <w:sz w:val="20"/>
              </w:rPr>
              <w:t>88</w:t>
            </w:r>
          </w:p>
        </w:tc>
        <w:tc>
          <w:tcPr>
            <w:tcW w:w="4012" w:type="dxa"/>
            <w:tcBorders>
              <w:top w:val="nil"/>
              <w:left w:val="nil"/>
              <w:bottom w:val="single" w:sz="4" w:space="0" w:color="auto"/>
              <w:right w:val="single" w:sz="4" w:space="0" w:color="auto"/>
            </w:tcBorders>
            <w:vAlign w:val="center"/>
          </w:tcPr>
          <w:p w:rsidR="00C81B24" w:rsidRPr="00C81B24" w:rsidRDefault="00C81B24" w:rsidP="00CE5850">
            <w:pPr>
              <w:rPr>
                <w:sz w:val="20"/>
              </w:rPr>
            </w:pPr>
            <w:r w:rsidRPr="00C81B24">
              <w:rPr>
                <w:sz w:val="20"/>
              </w:rPr>
              <w:t>Shreveport-Bossier City, LA-AR</w:t>
            </w:r>
          </w:p>
        </w:tc>
        <w:tc>
          <w:tcPr>
            <w:tcW w:w="1102" w:type="dxa"/>
            <w:tcBorders>
              <w:top w:val="nil"/>
              <w:left w:val="nil"/>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 xml:space="preserve"> 723,249 </w:t>
            </w:r>
          </w:p>
        </w:tc>
        <w:tc>
          <w:tcPr>
            <w:tcW w:w="1155" w:type="dxa"/>
            <w:tcBorders>
              <w:top w:val="nil"/>
              <w:left w:val="nil"/>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 xml:space="preserve"> 595,987 </w:t>
            </w:r>
          </w:p>
        </w:tc>
        <w:tc>
          <w:tcPr>
            <w:tcW w:w="979" w:type="dxa"/>
            <w:tcBorders>
              <w:top w:val="nil"/>
              <w:left w:val="nil"/>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121%</w:t>
            </w:r>
          </w:p>
        </w:tc>
        <w:tc>
          <w:tcPr>
            <w:tcW w:w="635" w:type="dxa"/>
            <w:tcBorders>
              <w:top w:val="nil"/>
              <w:left w:val="nil"/>
              <w:bottom w:val="single" w:sz="4" w:space="0" w:color="auto"/>
              <w:right w:val="single" w:sz="4" w:space="0" w:color="auto"/>
            </w:tcBorders>
            <w:noWrap/>
            <w:vAlign w:val="bottom"/>
          </w:tcPr>
          <w:p w:rsidR="00C81B24" w:rsidRPr="00C81B24" w:rsidRDefault="00C81B24" w:rsidP="00CE5850">
            <w:pPr>
              <w:jc w:val="right"/>
              <w:rPr>
                <w:sz w:val="20"/>
              </w:rPr>
            </w:pPr>
            <w:r w:rsidRPr="00C81B24">
              <w:rPr>
                <w:sz w:val="20"/>
              </w:rPr>
              <w:t>3263</w:t>
            </w:r>
          </w:p>
        </w:tc>
        <w:tc>
          <w:tcPr>
            <w:tcW w:w="536" w:type="dxa"/>
            <w:tcBorders>
              <w:top w:val="nil"/>
              <w:left w:val="nil"/>
              <w:bottom w:val="single" w:sz="4" w:space="0" w:color="auto"/>
              <w:right w:val="single" w:sz="4" w:space="0" w:color="auto"/>
            </w:tcBorders>
            <w:vAlign w:val="bottom"/>
          </w:tcPr>
          <w:p w:rsidR="00C81B24" w:rsidRPr="00C81B24" w:rsidRDefault="00C81B24" w:rsidP="00CE5850">
            <w:pPr>
              <w:autoSpaceDE w:val="0"/>
              <w:autoSpaceDN w:val="0"/>
              <w:adjustRightInd w:val="0"/>
              <w:jc w:val="right"/>
              <w:rPr>
                <w:color w:val="000000"/>
                <w:kern w:val="0"/>
                <w:sz w:val="20"/>
              </w:rPr>
            </w:pPr>
            <w:r w:rsidRPr="00C81B24">
              <w:rPr>
                <w:color w:val="000000"/>
                <w:kern w:val="0"/>
                <w:sz w:val="20"/>
              </w:rPr>
              <w:t>3578</w:t>
            </w:r>
          </w:p>
        </w:tc>
        <w:tc>
          <w:tcPr>
            <w:tcW w:w="736" w:type="dxa"/>
            <w:tcBorders>
              <w:top w:val="nil"/>
              <w:left w:val="nil"/>
              <w:bottom w:val="single" w:sz="4" w:space="0" w:color="auto"/>
              <w:right w:val="single" w:sz="4" w:space="0" w:color="auto"/>
            </w:tcBorders>
            <w:vAlign w:val="bottom"/>
          </w:tcPr>
          <w:p w:rsidR="00C81B24" w:rsidRPr="00C81B24" w:rsidRDefault="00C81B24" w:rsidP="00CE5850">
            <w:pPr>
              <w:jc w:val="right"/>
              <w:rPr>
                <w:color w:val="000000"/>
                <w:sz w:val="20"/>
              </w:rPr>
            </w:pPr>
            <w:r w:rsidRPr="00C81B24">
              <w:rPr>
                <w:color w:val="000000"/>
                <w:sz w:val="20"/>
              </w:rPr>
              <w:t>62.25</w:t>
            </w:r>
          </w:p>
        </w:tc>
      </w:tr>
      <w:tr w:rsidR="00C81B24" w:rsidRPr="00C81B24" w:rsidTr="00526AD9">
        <w:trPr>
          <w:trHeight w:val="255"/>
          <w:jc w:val="center"/>
        </w:trPr>
        <w:tc>
          <w:tcPr>
            <w:tcW w:w="554" w:type="dxa"/>
            <w:tcBorders>
              <w:top w:val="nil"/>
              <w:left w:val="single" w:sz="4" w:space="0" w:color="auto"/>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6</w:t>
            </w:r>
          </w:p>
        </w:tc>
        <w:tc>
          <w:tcPr>
            <w:tcW w:w="456" w:type="dxa"/>
            <w:tcBorders>
              <w:top w:val="nil"/>
              <w:left w:val="single" w:sz="4" w:space="0" w:color="auto"/>
              <w:bottom w:val="single" w:sz="4" w:space="0" w:color="auto"/>
              <w:right w:val="single" w:sz="4" w:space="0" w:color="auto"/>
            </w:tcBorders>
            <w:vAlign w:val="center"/>
          </w:tcPr>
          <w:p w:rsidR="00C81B24" w:rsidRPr="00C81B24" w:rsidRDefault="00C81B24" w:rsidP="00CE5850">
            <w:pPr>
              <w:jc w:val="right"/>
              <w:rPr>
                <w:sz w:val="20"/>
              </w:rPr>
            </w:pPr>
            <w:r w:rsidRPr="00C81B24">
              <w:rPr>
                <w:sz w:val="20"/>
              </w:rPr>
              <w:t>84</w:t>
            </w:r>
          </w:p>
        </w:tc>
        <w:tc>
          <w:tcPr>
            <w:tcW w:w="4012" w:type="dxa"/>
            <w:tcBorders>
              <w:top w:val="nil"/>
              <w:left w:val="nil"/>
              <w:bottom w:val="single" w:sz="4" w:space="0" w:color="auto"/>
              <w:right w:val="single" w:sz="4" w:space="0" w:color="auto"/>
            </w:tcBorders>
            <w:vAlign w:val="center"/>
          </w:tcPr>
          <w:p w:rsidR="00C81B24" w:rsidRPr="00C81B24" w:rsidRDefault="00C81B24" w:rsidP="00CE5850">
            <w:pPr>
              <w:rPr>
                <w:sz w:val="20"/>
              </w:rPr>
            </w:pPr>
            <w:r w:rsidRPr="00C81B24">
              <w:rPr>
                <w:sz w:val="20"/>
              </w:rPr>
              <w:t>Baton Rouge, LA-MS</w:t>
            </w:r>
          </w:p>
        </w:tc>
        <w:tc>
          <w:tcPr>
            <w:tcW w:w="1102" w:type="dxa"/>
            <w:tcBorders>
              <w:top w:val="nil"/>
              <w:left w:val="nil"/>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 xml:space="preserve"> 968,574 </w:t>
            </w:r>
          </w:p>
        </w:tc>
        <w:tc>
          <w:tcPr>
            <w:tcW w:w="1155" w:type="dxa"/>
            <w:tcBorders>
              <w:top w:val="nil"/>
              <w:left w:val="nil"/>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 xml:space="preserve"> 841,074 </w:t>
            </w:r>
          </w:p>
        </w:tc>
        <w:tc>
          <w:tcPr>
            <w:tcW w:w="979" w:type="dxa"/>
            <w:tcBorders>
              <w:top w:val="nil"/>
              <w:left w:val="nil"/>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115%</w:t>
            </w:r>
          </w:p>
        </w:tc>
        <w:tc>
          <w:tcPr>
            <w:tcW w:w="635" w:type="dxa"/>
            <w:tcBorders>
              <w:top w:val="nil"/>
              <w:left w:val="nil"/>
              <w:bottom w:val="single" w:sz="4" w:space="0" w:color="auto"/>
              <w:right w:val="single" w:sz="4" w:space="0" w:color="auto"/>
            </w:tcBorders>
            <w:noWrap/>
            <w:vAlign w:val="bottom"/>
          </w:tcPr>
          <w:p w:rsidR="00C81B24" w:rsidRPr="00C81B24" w:rsidRDefault="00C81B24" w:rsidP="00CE5850">
            <w:pPr>
              <w:jc w:val="right"/>
              <w:rPr>
                <w:sz w:val="20"/>
              </w:rPr>
            </w:pPr>
            <w:r w:rsidRPr="00C81B24">
              <w:rPr>
                <w:sz w:val="20"/>
              </w:rPr>
              <w:t>4114</w:t>
            </w:r>
          </w:p>
        </w:tc>
        <w:tc>
          <w:tcPr>
            <w:tcW w:w="536" w:type="dxa"/>
            <w:tcBorders>
              <w:top w:val="nil"/>
              <w:left w:val="nil"/>
              <w:bottom w:val="single" w:sz="4" w:space="0" w:color="auto"/>
              <w:right w:val="single" w:sz="4" w:space="0" w:color="auto"/>
            </w:tcBorders>
            <w:vAlign w:val="bottom"/>
          </w:tcPr>
          <w:p w:rsidR="00C81B24" w:rsidRPr="00C81B24" w:rsidRDefault="00C81B24" w:rsidP="00CE5850">
            <w:pPr>
              <w:autoSpaceDE w:val="0"/>
              <w:autoSpaceDN w:val="0"/>
              <w:adjustRightInd w:val="0"/>
              <w:jc w:val="right"/>
              <w:rPr>
                <w:color w:val="000000"/>
                <w:kern w:val="0"/>
                <w:sz w:val="20"/>
              </w:rPr>
            </w:pPr>
            <w:r w:rsidRPr="00C81B24">
              <w:rPr>
                <w:color w:val="000000"/>
                <w:kern w:val="0"/>
                <w:sz w:val="20"/>
              </w:rPr>
              <w:t>4757</w:t>
            </w:r>
          </w:p>
        </w:tc>
        <w:tc>
          <w:tcPr>
            <w:tcW w:w="736" w:type="dxa"/>
            <w:tcBorders>
              <w:top w:val="nil"/>
              <w:left w:val="nil"/>
              <w:bottom w:val="single" w:sz="4" w:space="0" w:color="auto"/>
              <w:right w:val="single" w:sz="4" w:space="0" w:color="auto"/>
            </w:tcBorders>
            <w:vAlign w:val="bottom"/>
          </w:tcPr>
          <w:p w:rsidR="00C81B24" w:rsidRPr="00C81B24" w:rsidRDefault="00C81B24" w:rsidP="00CE5850">
            <w:pPr>
              <w:jc w:val="right"/>
              <w:rPr>
                <w:color w:val="000000"/>
                <w:sz w:val="20"/>
              </w:rPr>
            </w:pPr>
            <w:r w:rsidRPr="00C81B24">
              <w:rPr>
                <w:color w:val="000000"/>
                <w:sz w:val="20"/>
              </w:rPr>
              <w:t>165.71</w:t>
            </w:r>
          </w:p>
        </w:tc>
      </w:tr>
      <w:tr w:rsidR="00C81B24" w:rsidRPr="00C81B24" w:rsidTr="00526AD9">
        <w:trPr>
          <w:trHeight w:val="255"/>
          <w:jc w:val="center"/>
        </w:trPr>
        <w:tc>
          <w:tcPr>
            <w:tcW w:w="554" w:type="dxa"/>
            <w:tcBorders>
              <w:top w:val="nil"/>
              <w:left w:val="single" w:sz="4" w:space="0" w:color="auto"/>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7</w:t>
            </w:r>
          </w:p>
        </w:tc>
        <w:tc>
          <w:tcPr>
            <w:tcW w:w="456" w:type="dxa"/>
            <w:tcBorders>
              <w:top w:val="nil"/>
              <w:left w:val="single" w:sz="4" w:space="0" w:color="auto"/>
              <w:bottom w:val="single" w:sz="4" w:space="0" w:color="auto"/>
              <w:right w:val="single" w:sz="4" w:space="0" w:color="auto"/>
            </w:tcBorders>
            <w:vAlign w:val="center"/>
          </w:tcPr>
          <w:p w:rsidR="00C81B24" w:rsidRPr="00C81B24" w:rsidRDefault="00C81B24" w:rsidP="00CE5850">
            <w:pPr>
              <w:jc w:val="right"/>
              <w:rPr>
                <w:sz w:val="20"/>
              </w:rPr>
            </w:pPr>
            <w:r w:rsidRPr="00C81B24">
              <w:rPr>
                <w:sz w:val="20"/>
              </w:rPr>
              <w:t>85</w:t>
            </w:r>
          </w:p>
        </w:tc>
        <w:tc>
          <w:tcPr>
            <w:tcW w:w="4012" w:type="dxa"/>
            <w:tcBorders>
              <w:top w:val="nil"/>
              <w:left w:val="nil"/>
              <w:bottom w:val="single" w:sz="4" w:space="0" w:color="auto"/>
              <w:right w:val="single" w:sz="4" w:space="0" w:color="auto"/>
            </w:tcBorders>
            <w:vAlign w:val="center"/>
          </w:tcPr>
          <w:p w:rsidR="00C81B24" w:rsidRPr="00C81B24" w:rsidRDefault="00C81B24" w:rsidP="00CE5850">
            <w:pPr>
              <w:rPr>
                <w:sz w:val="20"/>
              </w:rPr>
            </w:pPr>
            <w:r w:rsidRPr="00C81B24">
              <w:rPr>
                <w:sz w:val="20"/>
              </w:rPr>
              <w:t>Lafayette, LA</w:t>
            </w:r>
          </w:p>
        </w:tc>
        <w:tc>
          <w:tcPr>
            <w:tcW w:w="1102" w:type="dxa"/>
            <w:tcBorders>
              <w:top w:val="nil"/>
              <w:left w:val="nil"/>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 xml:space="preserve"> 738,132 </w:t>
            </w:r>
          </w:p>
        </w:tc>
        <w:tc>
          <w:tcPr>
            <w:tcW w:w="1155" w:type="dxa"/>
            <w:tcBorders>
              <w:top w:val="nil"/>
              <w:left w:val="nil"/>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 xml:space="preserve"> 642,623 </w:t>
            </w:r>
          </w:p>
        </w:tc>
        <w:tc>
          <w:tcPr>
            <w:tcW w:w="979" w:type="dxa"/>
            <w:tcBorders>
              <w:top w:val="nil"/>
              <w:left w:val="nil"/>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115%</w:t>
            </w:r>
          </w:p>
        </w:tc>
        <w:tc>
          <w:tcPr>
            <w:tcW w:w="635" w:type="dxa"/>
            <w:tcBorders>
              <w:top w:val="nil"/>
              <w:left w:val="nil"/>
              <w:bottom w:val="single" w:sz="4" w:space="0" w:color="auto"/>
              <w:right w:val="single" w:sz="4" w:space="0" w:color="auto"/>
            </w:tcBorders>
            <w:noWrap/>
            <w:vAlign w:val="bottom"/>
          </w:tcPr>
          <w:p w:rsidR="00C81B24" w:rsidRPr="00C81B24" w:rsidRDefault="00C81B24" w:rsidP="00CE5850">
            <w:pPr>
              <w:jc w:val="right"/>
              <w:rPr>
                <w:sz w:val="20"/>
              </w:rPr>
            </w:pPr>
            <w:r w:rsidRPr="00C81B24">
              <w:rPr>
                <w:sz w:val="20"/>
              </w:rPr>
              <w:t>4512</w:t>
            </w:r>
          </w:p>
        </w:tc>
        <w:tc>
          <w:tcPr>
            <w:tcW w:w="536" w:type="dxa"/>
            <w:tcBorders>
              <w:top w:val="nil"/>
              <w:left w:val="nil"/>
              <w:bottom w:val="single" w:sz="4" w:space="0" w:color="auto"/>
              <w:right w:val="single" w:sz="4" w:space="0" w:color="auto"/>
            </w:tcBorders>
            <w:vAlign w:val="bottom"/>
          </w:tcPr>
          <w:p w:rsidR="00C81B24" w:rsidRPr="00C81B24" w:rsidRDefault="00C81B24" w:rsidP="00CE5850">
            <w:pPr>
              <w:autoSpaceDE w:val="0"/>
              <w:autoSpaceDN w:val="0"/>
              <w:adjustRightInd w:val="0"/>
              <w:jc w:val="right"/>
              <w:rPr>
                <w:color w:val="000000"/>
                <w:kern w:val="0"/>
                <w:sz w:val="20"/>
              </w:rPr>
            </w:pPr>
            <w:r w:rsidRPr="00C81B24">
              <w:rPr>
                <w:color w:val="000000"/>
                <w:kern w:val="0"/>
                <w:sz w:val="20"/>
              </w:rPr>
              <w:t>5230</w:t>
            </w:r>
          </w:p>
        </w:tc>
        <w:tc>
          <w:tcPr>
            <w:tcW w:w="736" w:type="dxa"/>
            <w:tcBorders>
              <w:top w:val="nil"/>
              <w:left w:val="nil"/>
              <w:bottom w:val="single" w:sz="4" w:space="0" w:color="auto"/>
              <w:right w:val="single" w:sz="4" w:space="0" w:color="auto"/>
            </w:tcBorders>
            <w:vAlign w:val="bottom"/>
          </w:tcPr>
          <w:p w:rsidR="00C81B24" w:rsidRPr="00C81B24" w:rsidRDefault="00C81B24" w:rsidP="00CE5850">
            <w:pPr>
              <w:jc w:val="right"/>
              <w:rPr>
                <w:color w:val="000000"/>
                <w:sz w:val="20"/>
              </w:rPr>
            </w:pPr>
            <w:r w:rsidRPr="00C81B24">
              <w:rPr>
                <w:color w:val="000000"/>
                <w:sz w:val="20"/>
              </w:rPr>
              <w:t>115.08</w:t>
            </w:r>
          </w:p>
        </w:tc>
      </w:tr>
      <w:tr w:rsidR="00C81B24" w:rsidRPr="00C81B24" w:rsidTr="00526AD9">
        <w:trPr>
          <w:trHeight w:val="255"/>
          <w:jc w:val="center"/>
        </w:trPr>
        <w:tc>
          <w:tcPr>
            <w:tcW w:w="554" w:type="dxa"/>
            <w:tcBorders>
              <w:top w:val="nil"/>
              <w:left w:val="single" w:sz="4" w:space="0" w:color="auto"/>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8</w:t>
            </w:r>
          </w:p>
        </w:tc>
        <w:tc>
          <w:tcPr>
            <w:tcW w:w="456" w:type="dxa"/>
            <w:tcBorders>
              <w:top w:val="nil"/>
              <w:left w:val="single" w:sz="4" w:space="0" w:color="auto"/>
              <w:bottom w:val="single" w:sz="4" w:space="0" w:color="auto"/>
              <w:right w:val="single" w:sz="4" w:space="0" w:color="auto"/>
            </w:tcBorders>
            <w:vAlign w:val="center"/>
          </w:tcPr>
          <w:p w:rsidR="00C81B24" w:rsidRPr="00C81B24" w:rsidRDefault="00C81B24" w:rsidP="00CE5850">
            <w:pPr>
              <w:jc w:val="right"/>
              <w:rPr>
                <w:sz w:val="20"/>
              </w:rPr>
            </w:pPr>
            <w:r w:rsidRPr="00C81B24">
              <w:rPr>
                <w:sz w:val="20"/>
              </w:rPr>
              <w:t>86</w:t>
            </w:r>
          </w:p>
        </w:tc>
        <w:tc>
          <w:tcPr>
            <w:tcW w:w="4012" w:type="dxa"/>
            <w:tcBorders>
              <w:top w:val="nil"/>
              <w:left w:val="nil"/>
              <w:bottom w:val="single" w:sz="4" w:space="0" w:color="auto"/>
              <w:right w:val="single" w:sz="4" w:space="0" w:color="auto"/>
            </w:tcBorders>
            <w:vAlign w:val="center"/>
          </w:tcPr>
          <w:p w:rsidR="00C81B24" w:rsidRPr="00C81B24" w:rsidRDefault="00C81B24" w:rsidP="00CE5850">
            <w:pPr>
              <w:rPr>
                <w:sz w:val="20"/>
              </w:rPr>
            </w:pPr>
            <w:r w:rsidRPr="00C81B24">
              <w:rPr>
                <w:sz w:val="20"/>
              </w:rPr>
              <w:t>Lake Charles, LA</w:t>
            </w:r>
          </w:p>
        </w:tc>
        <w:tc>
          <w:tcPr>
            <w:tcW w:w="1102" w:type="dxa"/>
            <w:tcBorders>
              <w:top w:val="nil"/>
              <w:left w:val="nil"/>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 xml:space="preserve"> 638,486 </w:t>
            </w:r>
          </w:p>
        </w:tc>
        <w:tc>
          <w:tcPr>
            <w:tcW w:w="1155" w:type="dxa"/>
            <w:tcBorders>
              <w:top w:val="nil"/>
              <w:left w:val="nil"/>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 xml:space="preserve"> 557,894 </w:t>
            </w:r>
          </w:p>
        </w:tc>
        <w:tc>
          <w:tcPr>
            <w:tcW w:w="979" w:type="dxa"/>
            <w:tcBorders>
              <w:top w:val="nil"/>
              <w:left w:val="nil"/>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114%</w:t>
            </w:r>
          </w:p>
        </w:tc>
        <w:tc>
          <w:tcPr>
            <w:tcW w:w="635" w:type="dxa"/>
            <w:tcBorders>
              <w:top w:val="nil"/>
              <w:left w:val="nil"/>
              <w:bottom w:val="single" w:sz="4" w:space="0" w:color="auto"/>
              <w:right w:val="single" w:sz="4" w:space="0" w:color="auto"/>
            </w:tcBorders>
            <w:noWrap/>
            <w:vAlign w:val="bottom"/>
          </w:tcPr>
          <w:p w:rsidR="00C81B24" w:rsidRPr="00C81B24" w:rsidRDefault="00C81B24" w:rsidP="00CE5850">
            <w:pPr>
              <w:jc w:val="right"/>
              <w:rPr>
                <w:sz w:val="20"/>
              </w:rPr>
            </w:pPr>
            <w:r w:rsidRPr="00C81B24">
              <w:rPr>
                <w:sz w:val="20"/>
              </w:rPr>
              <w:t>3487</w:t>
            </w:r>
          </w:p>
        </w:tc>
        <w:tc>
          <w:tcPr>
            <w:tcW w:w="536" w:type="dxa"/>
            <w:tcBorders>
              <w:top w:val="nil"/>
              <w:left w:val="nil"/>
              <w:bottom w:val="single" w:sz="4" w:space="0" w:color="auto"/>
              <w:right w:val="single" w:sz="4" w:space="0" w:color="auto"/>
            </w:tcBorders>
            <w:vAlign w:val="bottom"/>
          </w:tcPr>
          <w:p w:rsidR="00C81B24" w:rsidRPr="00C81B24" w:rsidRDefault="00C81B24" w:rsidP="00CE5850">
            <w:pPr>
              <w:autoSpaceDE w:val="0"/>
              <w:autoSpaceDN w:val="0"/>
              <w:adjustRightInd w:val="0"/>
              <w:jc w:val="right"/>
              <w:rPr>
                <w:color w:val="000000"/>
                <w:kern w:val="0"/>
                <w:sz w:val="20"/>
              </w:rPr>
            </w:pPr>
            <w:r w:rsidRPr="00C81B24">
              <w:rPr>
                <w:color w:val="000000"/>
                <w:kern w:val="0"/>
                <w:sz w:val="20"/>
              </w:rPr>
              <w:t>4008</w:t>
            </w:r>
          </w:p>
        </w:tc>
        <w:tc>
          <w:tcPr>
            <w:tcW w:w="736" w:type="dxa"/>
            <w:tcBorders>
              <w:top w:val="nil"/>
              <w:left w:val="nil"/>
              <w:bottom w:val="single" w:sz="4" w:space="0" w:color="auto"/>
              <w:right w:val="single" w:sz="4" w:space="0" w:color="auto"/>
            </w:tcBorders>
            <w:vAlign w:val="bottom"/>
          </w:tcPr>
          <w:p w:rsidR="00C81B24" w:rsidRPr="00C81B24" w:rsidRDefault="00C81B24" w:rsidP="00CE5850">
            <w:pPr>
              <w:jc w:val="right"/>
              <w:rPr>
                <w:color w:val="000000"/>
                <w:sz w:val="20"/>
              </w:rPr>
            </w:pPr>
            <w:r w:rsidRPr="00C81B24">
              <w:rPr>
                <w:color w:val="000000"/>
                <w:sz w:val="20"/>
              </w:rPr>
              <w:t>57.51</w:t>
            </w:r>
          </w:p>
        </w:tc>
      </w:tr>
      <w:tr w:rsidR="00C81B24" w:rsidRPr="00C81B24" w:rsidTr="00526AD9">
        <w:trPr>
          <w:trHeight w:val="255"/>
          <w:jc w:val="center"/>
        </w:trPr>
        <w:tc>
          <w:tcPr>
            <w:tcW w:w="554" w:type="dxa"/>
            <w:tcBorders>
              <w:top w:val="nil"/>
              <w:left w:val="single" w:sz="4" w:space="0" w:color="auto"/>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9</w:t>
            </w:r>
          </w:p>
        </w:tc>
        <w:tc>
          <w:tcPr>
            <w:tcW w:w="456" w:type="dxa"/>
            <w:tcBorders>
              <w:top w:val="nil"/>
              <w:left w:val="single" w:sz="4" w:space="0" w:color="auto"/>
              <w:bottom w:val="single" w:sz="4" w:space="0" w:color="auto"/>
              <w:right w:val="single" w:sz="4" w:space="0" w:color="auto"/>
            </w:tcBorders>
            <w:vAlign w:val="center"/>
          </w:tcPr>
          <w:p w:rsidR="00C81B24" w:rsidRPr="00C81B24" w:rsidRDefault="00C81B24" w:rsidP="00CE5850">
            <w:pPr>
              <w:jc w:val="right"/>
              <w:rPr>
                <w:sz w:val="20"/>
              </w:rPr>
            </w:pPr>
            <w:r w:rsidRPr="00C81B24">
              <w:rPr>
                <w:sz w:val="20"/>
              </w:rPr>
              <w:t>13</w:t>
            </w:r>
          </w:p>
        </w:tc>
        <w:tc>
          <w:tcPr>
            <w:tcW w:w="4012" w:type="dxa"/>
            <w:tcBorders>
              <w:top w:val="nil"/>
              <w:left w:val="nil"/>
              <w:bottom w:val="single" w:sz="4" w:space="0" w:color="auto"/>
              <w:right w:val="single" w:sz="4" w:space="0" w:color="auto"/>
            </w:tcBorders>
            <w:vAlign w:val="center"/>
          </w:tcPr>
          <w:p w:rsidR="00C81B24" w:rsidRPr="00C81B24" w:rsidRDefault="00C81B24" w:rsidP="00CE5850">
            <w:pPr>
              <w:rPr>
                <w:sz w:val="20"/>
                <w:lang w:val="it-IT"/>
              </w:rPr>
            </w:pPr>
            <w:r w:rsidRPr="00C81B24">
              <w:rPr>
                <w:sz w:val="20"/>
                <w:lang w:val="it-IT"/>
              </w:rPr>
              <w:t>Washington-Baltimore, DC-MD-VA-WV-PA</w:t>
            </w:r>
          </w:p>
        </w:tc>
        <w:tc>
          <w:tcPr>
            <w:tcW w:w="1102" w:type="dxa"/>
            <w:tcBorders>
              <w:top w:val="nil"/>
              <w:left w:val="nil"/>
              <w:bottom w:val="single" w:sz="4" w:space="0" w:color="auto"/>
              <w:right w:val="single" w:sz="4" w:space="0" w:color="auto"/>
            </w:tcBorders>
            <w:vAlign w:val="bottom"/>
          </w:tcPr>
          <w:p w:rsidR="00C81B24" w:rsidRPr="00C81B24" w:rsidRDefault="00C81B24" w:rsidP="00CE5850">
            <w:pPr>
              <w:jc w:val="right"/>
              <w:rPr>
                <w:sz w:val="20"/>
              </w:rPr>
            </w:pPr>
            <w:r w:rsidRPr="00C81B24">
              <w:rPr>
                <w:sz w:val="20"/>
                <w:lang w:val="it-IT"/>
              </w:rPr>
              <w:t xml:space="preserve"> </w:t>
            </w:r>
            <w:r w:rsidRPr="00C81B24">
              <w:rPr>
                <w:sz w:val="20"/>
              </w:rPr>
              <w:t xml:space="preserve">10,969,440 </w:t>
            </w:r>
          </w:p>
        </w:tc>
        <w:tc>
          <w:tcPr>
            <w:tcW w:w="1155" w:type="dxa"/>
            <w:tcBorders>
              <w:top w:val="nil"/>
              <w:left w:val="nil"/>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 xml:space="preserve"> 9,665,489 </w:t>
            </w:r>
          </w:p>
        </w:tc>
        <w:tc>
          <w:tcPr>
            <w:tcW w:w="979" w:type="dxa"/>
            <w:tcBorders>
              <w:top w:val="nil"/>
              <w:left w:val="nil"/>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113%</w:t>
            </w:r>
          </w:p>
        </w:tc>
        <w:tc>
          <w:tcPr>
            <w:tcW w:w="635" w:type="dxa"/>
            <w:tcBorders>
              <w:top w:val="nil"/>
              <w:left w:val="nil"/>
              <w:bottom w:val="single" w:sz="4" w:space="0" w:color="auto"/>
              <w:right w:val="single" w:sz="4" w:space="0" w:color="auto"/>
            </w:tcBorders>
            <w:noWrap/>
            <w:vAlign w:val="bottom"/>
          </w:tcPr>
          <w:p w:rsidR="00C81B24" w:rsidRPr="00C81B24" w:rsidRDefault="00C81B24" w:rsidP="00CE5850">
            <w:pPr>
              <w:jc w:val="right"/>
              <w:rPr>
                <w:sz w:val="20"/>
              </w:rPr>
            </w:pPr>
            <w:r w:rsidRPr="00C81B24">
              <w:rPr>
                <w:sz w:val="20"/>
              </w:rPr>
              <w:t>2695</w:t>
            </w:r>
          </w:p>
        </w:tc>
        <w:tc>
          <w:tcPr>
            <w:tcW w:w="536" w:type="dxa"/>
            <w:tcBorders>
              <w:top w:val="nil"/>
              <w:left w:val="nil"/>
              <w:bottom w:val="single" w:sz="4" w:space="0" w:color="auto"/>
              <w:right w:val="single" w:sz="4" w:space="0" w:color="auto"/>
            </w:tcBorders>
            <w:vAlign w:val="bottom"/>
          </w:tcPr>
          <w:p w:rsidR="00C81B24" w:rsidRPr="00C81B24" w:rsidRDefault="00C81B24" w:rsidP="00CE5850">
            <w:pPr>
              <w:autoSpaceDE w:val="0"/>
              <w:autoSpaceDN w:val="0"/>
              <w:adjustRightInd w:val="0"/>
              <w:jc w:val="right"/>
              <w:rPr>
                <w:color w:val="000000"/>
                <w:kern w:val="0"/>
                <w:sz w:val="20"/>
              </w:rPr>
            </w:pPr>
            <w:r w:rsidRPr="00C81B24">
              <w:rPr>
                <w:color w:val="000000"/>
                <w:kern w:val="0"/>
                <w:sz w:val="20"/>
              </w:rPr>
              <w:t>2695</w:t>
            </w:r>
          </w:p>
        </w:tc>
        <w:tc>
          <w:tcPr>
            <w:tcW w:w="736" w:type="dxa"/>
            <w:tcBorders>
              <w:top w:val="nil"/>
              <w:left w:val="nil"/>
              <w:bottom w:val="single" w:sz="4" w:space="0" w:color="auto"/>
              <w:right w:val="single" w:sz="4" w:space="0" w:color="auto"/>
            </w:tcBorders>
            <w:vAlign w:val="bottom"/>
          </w:tcPr>
          <w:p w:rsidR="00C81B24" w:rsidRPr="00C81B24" w:rsidRDefault="00C81B24" w:rsidP="00CE5850">
            <w:pPr>
              <w:jc w:val="right"/>
              <w:rPr>
                <w:color w:val="000000"/>
                <w:sz w:val="20"/>
              </w:rPr>
            </w:pPr>
            <w:r w:rsidRPr="00C81B24">
              <w:rPr>
                <w:color w:val="000000"/>
                <w:sz w:val="20"/>
              </w:rPr>
              <w:t>470.53</w:t>
            </w:r>
          </w:p>
        </w:tc>
      </w:tr>
      <w:tr w:rsidR="00C81B24" w:rsidRPr="00C81B24" w:rsidTr="00526AD9">
        <w:trPr>
          <w:trHeight w:val="255"/>
          <w:jc w:val="center"/>
        </w:trPr>
        <w:tc>
          <w:tcPr>
            <w:tcW w:w="554" w:type="dxa"/>
            <w:tcBorders>
              <w:top w:val="nil"/>
              <w:left w:val="single" w:sz="4" w:space="0" w:color="auto"/>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10</w:t>
            </w:r>
          </w:p>
        </w:tc>
        <w:tc>
          <w:tcPr>
            <w:tcW w:w="456" w:type="dxa"/>
            <w:tcBorders>
              <w:top w:val="nil"/>
              <w:left w:val="single" w:sz="4" w:space="0" w:color="auto"/>
              <w:bottom w:val="single" w:sz="4" w:space="0" w:color="auto"/>
              <w:right w:val="single" w:sz="4" w:space="0" w:color="auto"/>
            </w:tcBorders>
            <w:vAlign w:val="center"/>
          </w:tcPr>
          <w:p w:rsidR="00C81B24" w:rsidRPr="00C81B24" w:rsidRDefault="00C81B24" w:rsidP="00CE5850">
            <w:pPr>
              <w:jc w:val="right"/>
              <w:rPr>
                <w:sz w:val="20"/>
              </w:rPr>
            </w:pPr>
            <w:r w:rsidRPr="00C81B24">
              <w:rPr>
                <w:sz w:val="20"/>
              </w:rPr>
              <w:t>55</w:t>
            </w:r>
          </w:p>
        </w:tc>
        <w:tc>
          <w:tcPr>
            <w:tcW w:w="4012" w:type="dxa"/>
            <w:tcBorders>
              <w:top w:val="nil"/>
              <w:left w:val="nil"/>
              <w:bottom w:val="single" w:sz="4" w:space="0" w:color="auto"/>
              <w:right w:val="single" w:sz="4" w:space="0" w:color="auto"/>
            </w:tcBorders>
            <w:vAlign w:val="center"/>
          </w:tcPr>
          <w:p w:rsidR="00C81B24" w:rsidRPr="00C81B24" w:rsidRDefault="00C81B24" w:rsidP="00CE5850">
            <w:pPr>
              <w:rPr>
                <w:sz w:val="20"/>
              </w:rPr>
            </w:pPr>
            <w:r w:rsidRPr="00C81B24">
              <w:rPr>
                <w:sz w:val="20"/>
              </w:rPr>
              <w:t>Cleveland-Akron, OH-PA</w:t>
            </w:r>
          </w:p>
        </w:tc>
        <w:tc>
          <w:tcPr>
            <w:tcW w:w="1102" w:type="dxa"/>
            <w:tcBorders>
              <w:top w:val="nil"/>
              <w:left w:val="nil"/>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 xml:space="preserve"> 5,137,545 </w:t>
            </w:r>
          </w:p>
        </w:tc>
        <w:tc>
          <w:tcPr>
            <w:tcW w:w="1155" w:type="dxa"/>
            <w:tcBorders>
              <w:top w:val="nil"/>
              <w:left w:val="nil"/>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 xml:space="preserve"> 4,567,276 </w:t>
            </w:r>
          </w:p>
        </w:tc>
        <w:tc>
          <w:tcPr>
            <w:tcW w:w="979" w:type="dxa"/>
            <w:tcBorders>
              <w:top w:val="nil"/>
              <w:left w:val="nil"/>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112%</w:t>
            </w:r>
          </w:p>
        </w:tc>
        <w:tc>
          <w:tcPr>
            <w:tcW w:w="635" w:type="dxa"/>
            <w:tcBorders>
              <w:top w:val="nil"/>
              <w:left w:val="nil"/>
              <w:bottom w:val="single" w:sz="4" w:space="0" w:color="auto"/>
              <w:right w:val="single" w:sz="4" w:space="0" w:color="auto"/>
            </w:tcBorders>
            <w:noWrap/>
            <w:vAlign w:val="bottom"/>
          </w:tcPr>
          <w:p w:rsidR="00C81B24" w:rsidRPr="00C81B24" w:rsidRDefault="00C81B24" w:rsidP="00CE5850">
            <w:pPr>
              <w:jc w:val="right"/>
              <w:rPr>
                <w:sz w:val="20"/>
              </w:rPr>
            </w:pPr>
            <w:r w:rsidRPr="00C81B24">
              <w:rPr>
                <w:sz w:val="20"/>
              </w:rPr>
              <w:t>3948</w:t>
            </w:r>
          </w:p>
        </w:tc>
        <w:tc>
          <w:tcPr>
            <w:tcW w:w="536" w:type="dxa"/>
            <w:tcBorders>
              <w:top w:val="nil"/>
              <w:left w:val="nil"/>
              <w:bottom w:val="single" w:sz="4" w:space="0" w:color="auto"/>
              <w:right w:val="single" w:sz="4" w:space="0" w:color="auto"/>
            </w:tcBorders>
            <w:vAlign w:val="bottom"/>
          </w:tcPr>
          <w:p w:rsidR="00C81B24" w:rsidRPr="00C81B24" w:rsidRDefault="00C81B24" w:rsidP="00CE5850">
            <w:pPr>
              <w:autoSpaceDE w:val="0"/>
              <w:autoSpaceDN w:val="0"/>
              <w:adjustRightInd w:val="0"/>
              <w:jc w:val="right"/>
              <w:rPr>
                <w:color w:val="000000"/>
                <w:kern w:val="0"/>
                <w:sz w:val="20"/>
              </w:rPr>
            </w:pPr>
            <w:r w:rsidRPr="00C81B24">
              <w:rPr>
                <w:color w:val="000000"/>
                <w:kern w:val="0"/>
                <w:sz w:val="20"/>
              </w:rPr>
              <w:t>3905</w:t>
            </w:r>
          </w:p>
        </w:tc>
        <w:tc>
          <w:tcPr>
            <w:tcW w:w="736" w:type="dxa"/>
            <w:tcBorders>
              <w:top w:val="nil"/>
              <w:left w:val="nil"/>
              <w:bottom w:val="single" w:sz="4" w:space="0" w:color="auto"/>
              <w:right w:val="single" w:sz="4" w:space="0" w:color="auto"/>
            </w:tcBorders>
            <w:vAlign w:val="bottom"/>
          </w:tcPr>
          <w:p w:rsidR="00C81B24" w:rsidRPr="00C81B24" w:rsidRDefault="00C81B24" w:rsidP="00CE5850">
            <w:pPr>
              <w:jc w:val="right"/>
              <w:rPr>
                <w:color w:val="000000"/>
                <w:sz w:val="20"/>
              </w:rPr>
            </w:pPr>
            <w:r w:rsidRPr="00C81B24">
              <w:rPr>
                <w:color w:val="000000"/>
                <w:sz w:val="20"/>
              </w:rPr>
              <w:t>423.84</w:t>
            </w:r>
          </w:p>
        </w:tc>
      </w:tr>
      <w:tr w:rsidR="00C81B24" w:rsidRPr="00C81B24" w:rsidTr="00526AD9">
        <w:trPr>
          <w:trHeight w:val="255"/>
          <w:jc w:val="center"/>
        </w:trPr>
        <w:tc>
          <w:tcPr>
            <w:tcW w:w="554" w:type="dxa"/>
            <w:tcBorders>
              <w:top w:val="nil"/>
              <w:left w:val="single" w:sz="4" w:space="0" w:color="auto"/>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11</w:t>
            </w:r>
          </w:p>
        </w:tc>
        <w:tc>
          <w:tcPr>
            <w:tcW w:w="456" w:type="dxa"/>
            <w:tcBorders>
              <w:top w:val="nil"/>
              <w:left w:val="single" w:sz="4" w:space="0" w:color="auto"/>
              <w:bottom w:val="single" w:sz="4" w:space="0" w:color="auto"/>
              <w:right w:val="single" w:sz="4" w:space="0" w:color="auto"/>
            </w:tcBorders>
            <w:vAlign w:val="center"/>
          </w:tcPr>
          <w:p w:rsidR="00C81B24" w:rsidRPr="00C81B24" w:rsidRDefault="00C81B24" w:rsidP="00CE5850">
            <w:pPr>
              <w:jc w:val="right"/>
              <w:rPr>
                <w:sz w:val="20"/>
              </w:rPr>
            </w:pPr>
            <w:r w:rsidRPr="00C81B24">
              <w:rPr>
                <w:sz w:val="20"/>
              </w:rPr>
              <w:t>71</w:t>
            </w:r>
          </w:p>
        </w:tc>
        <w:tc>
          <w:tcPr>
            <w:tcW w:w="4012" w:type="dxa"/>
            <w:tcBorders>
              <w:top w:val="nil"/>
              <w:left w:val="nil"/>
              <w:bottom w:val="single" w:sz="4" w:space="0" w:color="auto"/>
              <w:right w:val="single" w:sz="4" w:space="0" w:color="auto"/>
            </w:tcBorders>
            <w:vAlign w:val="center"/>
          </w:tcPr>
          <w:p w:rsidR="00C81B24" w:rsidRPr="00C81B24" w:rsidRDefault="00C81B24" w:rsidP="00CE5850">
            <w:pPr>
              <w:rPr>
                <w:sz w:val="20"/>
              </w:rPr>
            </w:pPr>
            <w:r w:rsidRPr="00C81B24">
              <w:rPr>
                <w:sz w:val="20"/>
              </w:rPr>
              <w:t>Nashville, TN-KY</w:t>
            </w:r>
          </w:p>
        </w:tc>
        <w:tc>
          <w:tcPr>
            <w:tcW w:w="1102" w:type="dxa"/>
            <w:tcBorders>
              <w:top w:val="nil"/>
              <w:left w:val="nil"/>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 xml:space="preserve"> 3,187,570 </w:t>
            </w:r>
          </w:p>
        </w:tc>
        <w:tc>
          <w:tcPr>
            <w:tcW w:w="1155" w:type="dxa"/>
            <w:tcBorders>
              <w:top w:val="nil"/>
              <w:left w:val="nil"/>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 xml:space="preserve"> 2,891,926 </w:t>
            </w:r>
          </w:p>
        </w:tc>
        <w:tc>
          <w:tcPr>
            <w:tcW w:w="979" w:type="dxa"/>
            <w:tcBorders>
              <w:top w:val="nil"/>
              <w:left w:val="nil"/>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110%</w:t>
            </w:r>
          </w:p>
        </w:tc>
        <w:tc>
          <w:tcPr>
            <w:tcW w:w="635" w:type="dxa"/>
            <w:tcBorders>
              <w:top w:val="nil"/>
              <w:left w:val="nil"/>
              <w:bottom w:val="single" w:sz="4" w:space="0" w:color="auto"/>
              <w:right w:val="single" w:sz="4" w:space="0" w:color="auto"/>
            </w:tcBorders>
            <w:noWrap/>
            <w:vAlign w:val="bottom"/>
          </w:tcPr>
          <w:p w:rsidR="00C81B24" w:rsidRPr="00C81B24" w:rsidRDefault="00C81B24" w:rsidP="00CE5850">
            <w:pPr>
              <w:jc w:val="right"/>
              <w:rPr>
                <w:sz w:val="20"/>
              </w:rPr>
            </w:pPr>
            <w:r w:rsidRPr="00C81B24">
              <w:rPr>
                <w:sz w:val="20"/>
              </w:rPr>
              <w:t>2584</w:t>
            </w:r>
          </w:p>
        </w:tc>
        <w:tc>
          <w:tcPr>
            <w:tcW w:w="536" w:type="dxa"/>
            <w:tcBorders>
              <w:top w:val="nil"/>
              <w:left w:val="nil"/>
              <w:bottom w:val="single" w:sz="4" w:space="0" w:color="auto"/>
              <w:right w:val="single" w:sz="4" w:space="0" w:color="auto"/>
            </w:tcBorders>
            <w:vAlign w:val="bottom"/>
          </w:tcPr>
          <w:p w:rsidR="00C81B24" w:rsidRPr="00C81B24" w:rsidRDefault="00C81B24" w:rsidP="00CE5850">
            <w:pPr>
              <w:autoSpaceDE w:val="0"/>
              <w:autoSpaceDN w:val="0"/>
              <w:adjustRightInd w:val="0"/>
              <w:jc w:val="right"/>
              <w:rPr>
                <w:color w:val="000000"/>
                <w:kern w:val="0"/>
                <w:sz w:val="20"/>
              </w:rPr>
            </w:pPr>
            <w:r w:rsidRPr="00C81B24">
              <w:rPr>
                <w:color w:val="000000"/>
                <w:kern w:val="0"/>
                <w:sz w:val="20"/>
              </w:rPr>
              <w:t>2543</w:t>
            </w:r>
          </w:p>
        </w:tc>
        <w:tc>
          <w:tcPr>
            <w:tcW w:w="736" w:type="dxa"/>
            <w:tcBorders>
              <w:top w:val="nil"/>
              <w:left w:val="nil"/>
              <w:bottom w:val="single" w:sz="4" w:space="0" w:color="auto"/>
              <w:right w:val="single" w:sz="4" w:space="0" w:color="auto"/>
            </w:tcBorders>
            <w:vAlign w:val="bottom"/>
          </w:tcPr>
          <w:p w:rsidR="00C81B24" w:rsidRPr="00C81B24" w:rsidRDefault="00C81B24" w:rsidP="00CE5850">
            <w:pPr>
              <w:jc w:val="right"/>
              <w:rPr>
                <w:color w:val="000000"/>
                <w:sz w:val="20"/>
              </w:rPr>
            </w:pPr>
            <w:r w:rsidRPr="00C81B24">
              <w:rPr>
                <w:color w:val="000000"/>
                <w:sz w:val="20"/>
              </w:rPr>
              <w:t>124.84</w:t>
            </w:r>
          </w:p>
        </w:tc>
      </w:tr>
      <w:tr w:rsidR="00C81B24" w:rsidRPr="00C81B24" w:rsidTr="00526AD9">
        <w:trPr>
          <w:trHeight w:val="255"/>
          <w:jc w:val="center"/>
        </w:trPr>
        <w:tc>
          <w:tcPr>
            <w:tcW w:w="554" w:type="dxa"/>
            <w:tcBorders>
              <w:top w:val="nil"/>
              <w:left w:val="single" w:sz="4" w:space="0" w:color="auto"/>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12</w:t>
            </w:r>
          </w:p>
        </w:tc>
        <w:tc>
          <w:tcPr>
            <w:tcW w:w="456" w:type="dxa"/>
            <w:tcBorders>
              <w:top w:val="nil"/>
              <w:left w:val="single" w:sz="4" w:space="0" w:color="auto"/>
              <w:bottom w:val="single" w:sz="4" w:space="0" w:color="auto"/>
              <w:right w:val="single" w:sz="4" w:space="0" w:color="auto"/>
            </w:tcBorders>
            <w:vAlign w:val="center"/>
          </w:tcPr>
          <w:p w:rsidR="00C81B24" w:rsidRPr="00C81B24" w:rsidRDefault="00C81B24" w:rsidP="00CE5850">
            <w:pPr>
              <w:jc w:val="right"/>
              <w:rPr>
                <w:sz w:val="20"/>
              </w:rPr>
            </w:pPr>
            <w:r w:rsidRPr="00C81B24">
              <w:rPr>
                <w:sz w:val="20"/>
              </w:rPr>
              <w:t>20</w:t>
            </w:r>
          </w:p>
        </w:tc>
        <w:tc>
          <w:tcPr>
            <w:tcW w:w="4012" w:type="dxa"/>
            <w:tcBorders>
              <w:top w:val="nil"/>
              <w:left w:val="nil"/>
              <w:bottom w:val="single" w:sz="4" w:space="0" w:color="auto"/>
              <w:right w:val="single" w:sz="4" w:space="0" w:color="auto"/>
            </w:tcBorders>
            <w:vAlign w:val="center"/>
          </w:tcPr>
          <w:p w:rsidR="00C81B24" w:rsidRPr="00C81B24" w:rsidRDefault="00C81B24" w:rsidP="00CE5850">
            <w:pPr>
              <w:rPr>
                <w:sz w:val="20"/>
              </w:rPr>
            </w:pPr>
            <w:r w:rsidRPr="00C81B24">
              <w:rPr>
                <w:sz w:val="20"/>
              </w:rPr>
              <w:t>Norfolk-Virginia Beach-Newport News, VA-NC</w:t>
            </w:r>
          </w:p>
        </w:tc>
        <w:tc>
          <w:tcPr>
            <w:tcW w:w="1102" w:type="dxa"/>
            <w:tcBorders>
              <w:top w:val="nil"/>
              <w:left w:val="nil"/>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 xml:space="preserve"> 2,002,123 </w:t>
            </w:r>
          </w:p>
        </w:tc>
        <w:tc>
          <w:tcPr>
            <w:tcW w:w="1155" w:type="dxa"/>
            <w:tcBorders>
              <w:top w:val="nil"/>
              <w:left w:val="nil"/>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 xml:space="preserve"> 1,843,290 </w:t>
            </w:r>
          </w:p>
        </w:tc>
        <w:tc>
          <w:tcPr>
            <w:tcW w:w="979" w:type="dxa"/>
            <w:tcBorders>
              <w:top w:val="nil"/>
              <w:left w:val="nil"/>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109%</w:t>
            </w:r>
          </w:p>
        </w:tc>
        <w:tc>
          <w:tcPr>
            <w:tcW w:w="635" w:type="dxa"/>
            <w:tcBorders>
              <w:top w:val="nil"/>
              <w:left w:val="nil"/>
              <w:bottom w:val="single" w:sz="4" w:space="0" w:color="auto"/>
              <w:right w:val="single" w:sz="4" w:space="0" w:color="auto"/>
            </w:tcBorders>
            <w:noWrap/>
            <w:vAlign w:val="bottom"/>
          </w:tcPr>
          <w:p w:rsidR="00C81B24" w:rsidRPr="00C81B24" w:rsidRDefault="00C81B24" w:rsidP="00CE5850">
            <w:pPr>
              <w:jc w:val="right"/>
              <w:rPr>
                <w:sz w:val="20"/>
              </w:rPr>
            </w:pPr>
            <w:r w:rsidRPr="00C81B24">
              <w:rPr>
                <w:sz w:val="20"/>
              </w:rPr>
              <w:t>2823</w:t>
            </w:r>
          </w:p>
        </w:tc>
        <w:tc>
          <w:tcPr>
            <w:tcW w:w="536" w:type="dxa"/>
            <w:tcBorders>
              <w:top w:val="nil"/>
              <w:left w:val="nil"/>
              <w:bottom w:val="single" w:sz="4" w:space="0" w:color="auto"/>
              <w:right w:val="single" w:sz="4" w:space="0" w:color="auto"/>
            </w:tcBorders>
            <w:vAlign w:val="bottom"/>
          </w:tcPr>
          <w:p w:rsidR="00C81B24" w:rsidRPr="00C81B24" w:rsidRDefault="00C81B24" w:rsidP="00CE5850">
            <w:pPr>
              <w:autoSpaceDE w:val="0"/>
              <w:autoSpaceDN w:val="0"/>
              <w:adjustRightInd w:val="0"/>
              <w:jc w:val="right"/>
              <w:rPr>
                <w:color w:val="000000"/>
                <w:kern w:val="0"/>
                <w:sz w:val="20"/>
              </w:rPr>
            </w:pPr>
            <w:r w:rsidRPr="00C81B24">
              <w:rPr>
                <w:color w:val="000000"/>
                <w:kern w:val="0"/>
                <w:sz w:val="20"/>
              </w:rPr>
              <w:t>2795</w:t>
            </w:r>
          </w:p>
        </w:tc>
        <w:tc>
          <w:tcPr>
            <w:tcW w:w="736" w:type="dxa"/>
            <w:tcBorders>
              <w:top w:val="nil"/>
              <w:left w:val="nil"/>
              <w:bottom w:val="single" w:sz="4" w:space="0" w:color="auto"/>
              <w:right w:val="single" w:sz="4" w:space="0" w:color="auto"/>
            </w:tcBorders>
            <w:vAlign w:val="bottom"/>
          </w:tcPr>
          <w:p w:rsidR="00C81B24" w:rsidRPr="00C81B24" w:rsidRDefault="00C81B24" w:rsidP="00CE5850">
            <w:pPr>
              <w:jc w:val="right"/>
              <w:rPr>
                <w:color w:val="000000"/>
                <w:sz w:val="20"/>
              </w:rPr>
            </w:pPr>
            <w:r w:rsidRPr="00C81B24">
              <w:rPr>
                <w:color w:val="000000"/>
                <w:sz w:val="20"/>
              </w:rPr>
              <w:t>332.78</w:t>
            </w:r>
          </w:p>
        </w:tc>
      </w:tr>
      <w:tr w:rsidR="00C81B24" w:rsidRPr="00C81B24" w:rsidTr="00526AD9">
        <w:trPr>
          <w:trHeight w:val="255"/>
          <w:jc w:val="center"/>
        </w:trPr>
        <w:tc>
          <w:tcPr>
            <w:tcW w:w="554" w:type="dxa"/>
            <w:tcBorders>
              <w:top w:val="nil"/>
              <w:left w:val="single" w:sz="4" w:space="0" w:color="auto"/>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13</w:t>
            </w:r>
          </w:p>
        </w:tc>
        <w:tc>
          <w:tcPr>
            <w:tcW w:w="456" w:type="dxa"/>
            <w:tcBorders>
              <w:top w:val="nil"/>
              <w:left w:val="single" w:sz="4" w:space="0" w:color="auto"/>
              <w:bottom w:val="single" w:sz="4" w:space="0" w:color="auto"/>
              <w:right w:val="single" w:sz="4" w:space="0" w:color="auto"/>
            </w:tcBorders>
            <w:vAlign w:val="center"/>
          </w:tcPr>
          <w:p w:rsidR="00C81B24" w:rsidRPr="00C81B24" w:rsidRDefault="00C81B24" w:rsidP="00CE5850">
            <w:pPr>
              <w:jc w:val="right"/>
              <w:rPr>
                <w:sz w:val="20"/>
              </w:rPr>
            </w:pPr>
            <w:r w:rsidRPr="00C81B24">
              <w:rPr>
                <w:sz w:val="20"/>
              </w:rPr>
              <w:t>22</w:t>
            </w:r>
          </w:p>
        </w:tc>
        <w:tc>
          <w:tcPr>
            <w:tcW w:w="4012" w:type="dxa"/>
            <w:tcBorders>
              <w:top w:val="nil"/>
              <w:left w:val="nil"/>
              <w:bottom w:val="single" w:sz="4" w:space="0" w:color="auto"/>
              <w:right w:val="single" w:sz="4" w:space="0" w:color="auto"/>
            </w:tcBorders>
            <w:vAlign w:val="center"/>
          </w:tcPr>
          <w:p w:rsidR="00C81B24" w:rsidRPr="00C81B24" w:rsidRDefault="00C81B24" w:rsidP="00CE5850">
            <w:pPr>
              <w:rPr>
                <w:sz w:val="20"/>
              </w:rPr>
            </w:pPr>
            <w:r w:rsidRPr="00C81B24">
              <w:rPr>
                <w:sz w:val="20"/>
              </w:rPr>
              <w:t>Fayetteville, NC</w:t>
            </w:r>
          </w:p>
        </w:tc>
        <w:tc>
          <w:tcPr>
            <w:tcW w:w="1102" w:type="dxa"/>
            <w:tcBorders>
              <w:top w:val="nil"/>
              <w:left w:val="nil"/>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 xml:space="preserve"> 630,082 </w:t>
            </w:r>
          </w:p>
        </w:tc>
        <w:tc>
          <w:tcPr>
            <w:tcW w:w="1155" w:type="dxa"/>
            <w:tcBorders>
              <w:top w:val="nil"/>
              <w:left w:val="nil"/>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 xml:space="preserve"> 580,463 </w:t>
            </w:r>
          </w:p>
        </w:tc>
        <w:tc>
          <w:tcPr>
            <w:tcW w:w="979" w:type="dxa"/>
            <w:tcBorders>
              <w:top w:val="nil"/>
              <w:left w:val="nil"/>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109%</w:t>
            </w:r>
          </w:p>
        </w:tc>
        <w:tc>
          <w:tcPr>
            <w:tcW w:w="635" w:type="dxa"/>
            <w:tcBorders>
              <w:top w:val="nil"/>
              <w:left w:val="nil"/>
              <w:bottom w:val="single" w:sz="4" w:space="0" w:color="auto"/>
              <w:right w:val="single" w:sz="4" w:space="0" w:color="auto"/>
            </w:tcBorders>
            <w:noWrap/>
            <w:vAlign w:val="bottom"/>
          </w:tcPr>
          <w:p w:rsidR="00C81B24" w:rsidRPr="00C81B24" w:rsidRDefault="00C81B24" w:rsidP="00CE5850">
            <w:pPr>
              <w:jc w:val="right"/>
              <w:rPr>
                <w:sz w:val="20"/>
              </w:rPr>
            </w:pPr>
            <w:r w:rsidRPr="00C81B24">
              <w:rPr>
                <w:sz w:val="20"/>
              </w:rPr>
              <w:t>2885</w:t>
            </w:r>
          </w:p>
        </w:tc>
        <w:tc>
          <w:tcPr>
            <w:tcW w:w="536" w:type="dxa"/>
            <w:tcBorders>
              <w:top w:val="nil"/>
              <w:left w:val="nil"/>
              <w:bottom w:val="single" w:sz="4" w:space="0" w:color="auto"/>
              <w:right w:val="single" w:sz="4" w:space="0" w:color="auto"/>
            </w:tcBorders>
            <w:vAlign w:val="bottom"/>
          </w:tcPr>
          <w:p w:rsidR="00C81B24" w:rsidRPr="00C81B24" w:rsidRDefault="00C81B24" w:rsidP="00CE5850">
            <w:pPr>
              <w:autoSpaceDE w:val="0"/>
              <w:autoSpaceDN w:val="0"/>
              <w:adjustRightInd w:val="0"/>
              <w:jc w:val="right"/>
              <w:rPr>
                <w:color w:val="000000"/>
                <w:kern w:val="0"/>
                <w:sz w:val="20"/>
              </w:rPr>
            </w:pPr>
            <w:r w:rsidRPr="00C81B24">
              <w:rPr>
                <w:color w:val="000000"/>
                <w:kern w:val="0"/>
                <w:sz w:val="20"/>
              </w:rPr>
              <w:t>2882</w:t>
            </w:r>
          </w:p>
        </w:tc>
        <w:tc>
          <w:tcPr>
            <w:tcW w:w="736" w:type="dxa"/>
            <w:tcBorders>
              <w:top w:val="nil"/>
              <w:left w:val="nil"/>
              <w:bottom w:val="single" w:sz="4" w:space="0" w:color="auto"/>
              <w:right w:val="single" w:sz="4" w:space="0" w:color="auto"/>
            </w:tcBorders>
            <w:vAlign w:val="bottom"/>
          </w:tcPr>
          <w:p w:rsidR="00C81B24" w:rsidRPr="00C81B24" w:rsidRDefault="00C81B24" w:rsidP="00CE5850">
            <w:pPr>
              <w:jc w:val="right"/>
              <w:rPr>
                <w:color w:val="000000"/>
                <w:sz w:val="20"/>
              </w:rPr>
            </w:pPr>
            <w:r w:rsidRPr="00C81B24">
              <w:rPr>
                <w:color w:val="000000"/>
                <w:sz w:val="20"/>
              </w:rPr>
              <w:t>179.53</w:t>
            </w:r>
          </w:p>
        </w:tc>
      </w:tr>
      <w:tr w:rsidR="00C81B24" w:rsidRPr="00C81B24" w:rsidTr="00526AD9">
        <w:trPr>
          <w:trHeight w:val="255"/>
          <w:jc w:val="center"/>
        </w:trPr>
        <w:tc>
          <w:tcPr>
            <w:tcW w:w="554" w:type="dxa"/>
            <w:tcBorders>
              <w:top w:val="nil"/>
              <w:left w:val="single" w:sz="4" w:space="0" w:color="auto"/>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14</w:t>
            </w:r>
          </w:p>
        </w:tc>
        <w:tc>
          <w:tcPr>
            <w:tcW w:w="456" w:type="dxa"/>
            <w:tcBorders>
              <w:top w:val="nil"/>
              <w:left w:val="single" w:sz="4" w:space="0" w:color="auto"/>
              <w:bottom w:val="single" w:sz="4" w:space="0" w:color="auto"/>
              <w:right w:val="single" w:sz="4" w:space="0" w:color="auto"/>
            </w:tcBorders>
            <w:vAlign w:val="center"/>
          </w:tcPr>
          <w:p w:rsidR="00C81B24" w:rsidRPr="00C81B24" w:rsidRDefault="00C81B24" w:rsidP="00CE5850">
            <w:pPr>
              <w:jc w:val="right"/>
              <w:rPr>
                <w:sz w:val="20"/>
              </w:rPr>
            </w:pPr>
            <w:r w:rsidRPr="00C81B24">
              <w:rPr>
                <w:sz w:val="20"/>
              </w:rPr>
              <w:t>44</w:t>
            </w:r>
          </w:p>
        </w:tc>
        <w:tc>
          <w:tcPr>
            <w:tcW w:w="4012" w:type="dxa"/>
            <w:tcBorders>
              <w:top w:val="nil"/>
              <w:left w:val="nil"/>
              <w:bottom w:val="single" w:sz="4" w:space="0" w:color="auto"/>
              <w:right w:val="single" w:sz="4" w:space="0" w:color="auto"/>
            </w:tcBorders>
            <w:vAlign w:val="center"/>
          </w:tcPr>
          <w:p w:rsidR="00C81B24" w:rsidRPr="00C81B24" w:rsidRDefault="00C81B24" w:rsidP="00CE5850">
            <w:pPr>
              <w:rPr>
                <w:sz w:val="20"/>
              </w:rPr>
            </w:pPr>
            <w:r w:rsidRPr="00C81B24">
              <w:rPr>
                <w:sz w:val="20"/>
              </w:rPr>
              <w:t>Knoxville, TN</w:t>
            </w:r>
          </w:p>
        </w:tc>
        <w:tc>
          <w:tcPr>
            <w:tcW w:w="1102" w:type="dxa"/>
            <w:tcBorders>
              <w:top w:val="nil"/>
              <w:left w:val="nil"/>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 xml:space="preserve"> 1,198,147 </w:t>
            </w:r>
          </w:p>
        </w:tc>
        <w:tc>
          <w:tcPr>
            <w:tcW w:w="1155" w:type="dxa"/>
            <w:tcBorders>
              <w:top w:val="nil"/>
              <w:left w:val="nil"/>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 xml:space="preserve"> 1,114,089 </w:t>
            </w:r>
          </w:p>
        </w:tc>
        <w:tc>
          <w:tcPr>
            <w:tcW w:w="979" w:type="dxa"/>
            <w:tcBorders>
              <w:top w:val="nil"/>
              <w:left w:val="nil"/>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108%</w:t>
            </w:r>
          </w:p>
        </w:tc>
        <w:tc>
          <w:tcPr>
            <w:tcW w:w="635" w:type="dxa"/>
            <w:tcBorders>
              <w:top w:val="nil"/>
              <w:left w:val="nil"/>
              <w:bottom w:val="single" w:sz="4" w:space="0" w:color="auto"/>
              <w:right w:val="single" w:sz="4" w:space="0" w:color="auto"/>
            </w:tcBorders>
            <w:noWrap/>
            <w:vAlign w:val="bottom"/>
          </w:tcPr>
          <w:p w:rsidR="00C81B24" w:rsidRPr="00C81B24" w:rsidRDefault="00C81B24" w:rsidP="00CE5850">
            <w:pPr>
              <w:jc w:val="right"/>
              <w:rPr>
                <w:sz w:val="20"/>
              </w:rPr>
            </w:pPr>
            <w:r w:rsidRPr="00C81B24">
              <w:rPr>
                <w:sz w:val="20"/>
              </w:rPr>
              <w:t>2714</w:t>
            </w:r>
          </w:p>
        </w:tc>
        <w:tc>
          <w:tcPr>
            <w:tcW w:w="536" w:type="dxa"/>
            <w:tcBorders>
              <w:top w:val="nil"/>
              <w:left w:val="nil"/>
              <w:bottom w:val="single" w:sz="4" w:space="0" w:color="auto"/>
              <w:right w:val="single" w:sz="4" w:space="0" w:color="auto"/>
            </w:tcBorders>
            <w:vAlign w:val="bottom"/>
          </w:tcPr>
          <w:p w:rsidR="00C81B24" w:rsidRPr="00C81B24" w:rsidRDefault="00C81B24" w:rsidP="00CE5850">
            <w:pPr>
              <w:autoSpaceDE w:val="0"/>
              <w:autoSpaceDN w:val="0"/>
              <w:adjustRightInd w:val="0"/>
              <w:jc w:val="right"/>
              <w:rPr>
                <w:color w:val="000000"/>
                <w:kern w:val="0"/>
                <w:sz w:val="20"/>
              </w:rPr>
            </w:pPr>
            <w:r w:rsidRPr="00C81B24">
              <w:rPr>
                <w:color w:val="000000"/>
                <w:kern w:val="0"/>
                <w:sz w:val="20"/>
              </w:rPr>
              <w:t>2681</w:t>
            </w:r>
          </w:p>
        </w:tc>
        <w:tc>
          <w:tcPr>
            <w:tcW w:w="736" w:type="dxa"/>
            <w:tcBorders>
              <w:top w:val="nil"/>
              <w:left w:val="nil"/>
              <w:bottom w:val="single" w:sz="4" w:space="0" w:color="auto"/>
              <w:right w:val="single" w:sz="4" w:space="0" w:color="auto"/>
            </w:tcBorders>
            <w:vAlign w:val="bottom"/>
          </w:tcPr>
          <w:p w:rsidR="00C81B24" w:rsidRPr="00C81B24" w:rsidRDefault="00C81B24" w:rsidP="00CE5850">
            <w:pPr>
              <w:jc w:val="right"/>
              <w:rPr>
                <w:color w:val="000000"/>
                <w:sz w:val="20"/>
              </w:rPr>
            </w:pPr>
            <w:r w:rsidRPr="00C81B24">
              <w:rPr>
                <w:color w:val="000000"/>
                <w:sz w:val="20"/>
              </w:rPr>
              <w:t>193.46</w:t>
            </w:r>
          </w:p>
        </w:tc>
      </w:tr>
      <w:tr w:rsidR="00C81B24" w:rsidRPr="00C81B24" w:rsidTr="00526AD9">
        <w:trPr>
          <w:trHeight w:val="255"/>
          <w:jc w:val="center"/>
        </w:trPr>
        <w:tc>
          <w:tcPr>
            <w:tcW w:w="554" w:type="dxa"/>
            <w:tcBorders>
              <w:top w:val="nil"/>
              <w:left w:val="single" w:sz="4" w:space="0" w:color="auto"/>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15</w:t>
            </w:r>
          </w:p>
        </w:tc>
        <w:tc>
          <w:tcPr>
            <w:tcW w:w="456" w:type="dxa"/>
            <w:tcBorders>
              <w:top w:val="nil"/>
              <w:left w:val="single" w:sz="4" w:space="0" w:color="auto"/>
              <w:bottom w:val="single" w:sz="4" w:space="0" w:color="auto"/>
              <w:right w:val="single" w:sz="4" w:space="0" w:color="auto"/>
            </w:tcBorders>
            <w:vAlign w:val="center"/>
          </w:tcPr>
          <w:p w:rsidR="00C81B24" w:rsidRPr="00C81B24" w:rsidRDefault="00C81B24" w:rsidP="00CE5850">
            <w:pPr>
              <w:jc w:val="right"/>
              <w:rPr>
                <w:sz w:val="20"/>
              </w:rPr>
            </w:pPr>
            <w:r w:rsidRPr="00C81B24">
              <w:rPr>
                <w:sz w:val="20"/>
              </w:rPr>
              <w:t>95</w:t>
            </w:r>
          </w:p>
        </w:tc>
        <w:tc>
          <w:tcPr>
            <w:tcW w:w="4012" w:type="dxa"/>
            <w:tcBorders>
              <w:top w:val="nil"/>
              <w:left w:val="nil"/>
              <w:bottom w:val="single" w:sz="4" w:space="0" w:color="auto"/>
              <w:right w:val="single" w:sz="4" w:space="0" w:color="auto"/>
            </w:tcBorders>
            <w:vAlign w:val="center"/>
          </w:tcPr>
          <w:p w:rsidR="00C81B24" w:rsidRPr="00C81B24" w:rsidRDefault="00C81B24" w:rsidP="00CE5850">
            <w:pPr>
              <w:rPr>
                <w:sz w:val="20"/>
              </w:rPr>
            </w:pPr>
            <w:r w:rsidRPr="00C81B24">
              <w:rPr>
                <w:sz w:val="20"/>
              </w:rPr>
              <w:t>Jonesboro, AR-MO</w:t>
            </w:r>
          </w:p>
        </w:tc>
        <w:tc>
          <w:tcPr>
            <w:tcW w:w="1102" w:type="dxa"/>
            <w:tcBorders>
              <w:top w:val="nil"/>
              <w:left w:val="nil"/>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 xml:space="preserve"> 336,485 </w:t>
            </w:r>
          </w:p>
        </w:tc>
        <w:tc>
          <w:tcPr>
            <w:tcW w:w="1155" w:type="dxa"/>
            <w:tcBorders>
              <w:top w:val="nil"/>
              <w:left w:val="nil"/>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 xml:space="preserve"> 312,738 </w:t>
            </w:r>
          </w:p>
        </w:tc>
        <w:tc>
          <w:tcPr>
            <w:tcW w:w="979" w:type="dxa"/>
            <w:tcBorders>
              <w:top w:val="nil"/>
              <w:left w:val="nil"/>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108%</w:t>
            </w:r>
          </w:p>
        </w:tc>
        <w:tc>
          <w:tcPr>
            <w:tcW w:w="635" w:type="dxa"/>
            <w:tcBorders>
              <w:top w:val="nil"/>
              <w:left w:val="nil"/>
              <w:bottom w:val="single" w:sz="4" w:space="0" w:color="auto"/>
              <w:right w:val="single" w:sz="4" w:space="0" w:color="auto"/>
            </w:tcBorders>
            <w:noWrap/>
            <w:vAlign w:val="bottom"/>
          </w:tcPr>
          <w:p w:rsidR="00C81B24" w:rsidRPr="00C81B24" w:rsidRDefault="00C81B24" w:rsidP="00CE5850">
            <w:pPr>
              <w:jc w:val="right"/>
              <w:rPr>
                <w:sz w:val="20"/>
              </w:rPr>
            </w:pPr>
            <w:r w:rsidRPr="00C81B24">
              <w:rPr>
                <w:sz w:val="20"/>
              </w:rPr>
              <w:t>4376</w:t>
            </w:r>
          </w:p>
        </w:tc>
        <w:tc>
          <w:tcPr>
            <w:tcW w:w="536" w:type="dxa"/>
            <w:tcBorders>
              <w:top w:val="nil"/>
              <w:left w:val="nil"/>
              <w:bottom w:val="single" w:sz="4" w:space="0" w:color="auto"/>
              <w:right w:val="single" w:sz="4" w:space="0" w:color="auto"/>
            </w:tcBorders>
            <w:vAlign w:val="bottom"/>
          </w:tcPr>
          <w:p w:rsidR="00C81B24" w:rsidRPr="00C81B24" w:rsidRDefault="00C81B24" w:rsidP="00CE5850">
            <w:pPr>
              <w:autoSpaceDE w:val="0"/>
              <w:autoSpaceDN w:val="0"/>
              <w:adjustRightInd w:val="0"/>
              <w:jc w:val="right"/>
              <w:rPr>
                <w:color w:val="000000"/>
                <w:kern w:val="0"/>
                <w:sz w:val="20"/>
              </w:rPr>
            </w:pPr>
            <w:r w:rsidRPr="00C81B24">
              <w:rPr>
                <w:color w:val="000000"/>
                <w:kern w:val="0"/>
                <w:sz w:val="20"/>
              </w:rPr>
              <w:t>4956</w:t>
            </w:r>
          </w:p>
        </w:tc>
        <w:tc>
          <w:tcPr>
            <w:tcW w:w="736" w:type="dxa"/>
            <w:tcBorders>
              <w:top w:val="nil"/>
              <w:left w:val="nil"/>
              <w:bottom w:val="single" w:sz="4" w:space="0" w:color="auto"/>
              <w:right w:val="single" w:sz="4" w:space="0" w:color="auto"/>
            </w:tcBorders>
            <w:vAlign w:val="bottom"/>
          </w:tcPr>
          <w:p w:rsidR="00C81B24" w:rsidRPr="00C81B24" w:rsidRDefault="00C81B24" w:rsidP="00CE5850">
            <w:pPr>
              <w:jc w:val="right"/>
              <w:rPr>
                <w:color w:val="000000"/>
                <w:sz w:val="20"/>
              </w:rPr>
            </w:pPr>
            <w:r w:rsidRPr="00C81B24">
              <w:rPr>
                <w:color w:val="000000"/>
                <w:sz w:val="20"/>
              </w:rPr>
              <w:t>53.15</w:t>
            </w:r>
          </w:p>
        </w:tc>
      </w:tr>
      <w:tr w:rsidR="00C81B24" w:rsidRPr="00C81B24" w:rsidTr="00526AD9">
        <w:trPr>
          <w:trHeight w:val="255"/>
          <w:jc w:val="center"/>
        </w:trPr>
        <w:tc>
          <w:tcPr>
            <w:tcW w:w="554" w:type="dxa"/>
            <w:tcBorders>
              <w:top w:val="nil"/>
              <w:left w:val="single" w:sz="4" w:space="0" w:color="auto"/>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16</w:t>
            </w:r>
          </w:p>
        </w:tc>
        <w:tc>
          <w:tcPr>
            <w:tcW w:w="456" w:type="dxa"/>
            <w:tcBorders>
              <w:top w:val="nil"/>
              <w:left w:val="single" w:sz="4" w:space="0" w:color="auto"/>
              <w:bottom w:val="single" w:sz="4" w:space="0" w:color="auto"/>
              <w:right w:val="single" w:sz="4" w:space="0" w:color="auto"/>
            </w:tcBorders>
            <w:vAlign w:val="center"/>
          </w:tcPr>
          <w:p w:rsidR="00C81B24" w:rsidRPr="00C81B24" w:rsidRDefault="00C81B24" w:rsidP="00CE5850">
            <w:pPr>
              <w:jc w:val="right"/>
              <w:rPr>
                <w:sz w:val="20"/>
              </w:rPr>
            </w:pPr>
            <w:r w:rsidRPr="00C81B24">
              <w:rPr>
                <w:sz w:val="20"/>
              </w:rPr>
              <w:t>97</w:t>
            </w:r>
          </w:p>
        </w:tc>
        <w:tc>
          <w:tcPr>
            <w:tcW w:w="4012" w:type="dxa"/>
            <w:tcBorders>
              <w:top w:val="nil"/>
              <w:left w:val="nil"/>
              <w:bottom w:val="single" w:sz="4" w:space="0" w:color="auto"/>
              <w:right w:val="single" w:sz="4" w:space="0" w:color="auto"/>
            </w:tcBorders>
            <w:vAlign w:val="center"/>
          </w:tcPr>
          <w:p w:rsidR="00C81B24" w:rsidRPr="00C81B24" w:rsidRDefault="00C81B24" w:rsidP="00CE5850">
            <w:pPr>
              <w:rPr>
                <w:sz w:val="20"/>
              </w:rPr>
            </w:pPr>
            <w:r w:rsidRPr="00C81B24">
              <w:rPr>
                <w:sz w:val="20"/>
              </w:rPr>
              <w:t>Springfield, IL-MO</w:t>
            </w:r>
          </w:p>
        </w:tc>
        <w:tc>
          <w:tcPr>
            <w:tcW w:w="1102" w:type="dxa"/>
            <w:tcBorders>
              <w:top w:val="nil"/>
              <w:left w:val="nil"/>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 xml:space="preserve"> 564,493 </w:t>
            </w:r>
          </w:p>
        </w:tc>
        <w:tc>
          <w:tcPr>
            <w:tcW w:w="1155" w:type="dxa"/>
            <w:tcBorders>
              <w:top w:val="nil"/>
              <w:left w:val="nil"/>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 xml:space="preserve"> 521,658 </w:t>
            </w:r>
          </w:p>
        </w:tc>
        <w:tc>
          <w:tcPr>
            <w:tcW w:w="979" w:type="dxa"/>
            <w:tcBorders>
              <w:top w:val="nil"/>
              <w:left w:val="nil"/>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108%</w:t>
            </w:r>
          </w:p>
        </w:tc>
        <w:tc>
          <w:tcPr>
            <w:tcW w:w="635" w:type="dxa"/>
            <w:tcBorders>
              <w:top w:val="nil"/>
              <w:left w:val="nil"/>
              <w:bottom w:val="single" w:sz="4" w:space="0" w:color="auto"/>
              <w:right w:val="single" w:sz="4" w:space="0" w:color="auto"/>
            </w:tcBorders>
            <w:noWrap/>
            <w:vAlign w:val="bottom"/>
          </w:tcPr>
          <w:p w:rsidR="00C81B24" w:rsidRPr="00C81B24" w:rsidRDefault="00C81B24" w:rsidP="00CE5850">
            <w:pPr>
              <w:jc w:val="right"/>
              <w:rPr>
                <w:sz w:val="20"/>
              </w:rPr>
            </w:pPr>
            <w:r w:rsidRPr="00C81B24">
              <w:rPr>
                <w:sz w:val="20"/>
              </w:rPr>
              <w:t>3713</w:t>
            </w:r>
          </w:p>
        </w:tc>
        <w:tc>
          <w:tcPr>
            <w:tcW w:w="536" w:type="dxa"/>
            <w:tcBorders>
              <w:top w:val="nil"/>
              <w:left w:val="nil"/>
              <w:bottom w:val="single" w:sz="4" w:space="0" w:color="auto"/>
              <w:right w:val="single" w:sz="4" w:space="0" w:color="auto"/>
            </w:tcBorders>
            <w:vAlign w:val="bottom"/>
          </w:tcPr>
          <w:p w:rsidR="00C81B24" w:rsidRPr="00C81B24" w:rsidRDefault="00C81B24" w:rsidP="00CE5850">
            <w:pPr>
              <w:autoSpaceDE w:val="0"/>
              <w:autoSpaceDN w:val="0"/>
              <w:adjustRightInd w:val="0"/>
              <w:jc w:val="right"/>
              <w:rPr>
                <w:color w:val="000000"/>
                <w:kern w:val="0"/>
                <w:sz w:val="20"/>
              </w:rPr>
            </w:pPr>
            <w:r w:rsidRPr="00C81B24">
              <w:rPr>
                <w:color w:val="000000"/>
                <w:kern w:val="0"/>
                <w:sz w:val="20"/>
              </w:rPr>
              <w:t>3754</w:t>
            </w:r>
          </w:p>
        </w:tc>
        <w:tc>
          <w:tcPr>
            <w:tcW w:w="736" w:type="dxa"/>
            <w:tcBorders>
              <w:top w:val="nil"/>
              <w:left w:val="nil"/>
              <w:bottom w:val="single" w:sz="4" w:space="0" w:color="auto"/>
              <w:right w:val="single" w:sz="4" w:space="0" w:color="auto"/>
            </w:tcBorders>
            <w:vAlign w:val="bottom"/>
          </w:tcPr>
          <w:p w:rsidR="00C81B24" w:rsidRPr="00C81B24" w:rsidRDefault="00C81B24" w:rsidP="00CE5850">
            <w:pPr>
              <w:jc w:val="right"/>
              <w:rPr>
                <w:color w:val="000000"/>
                <w:sz w:val="20"/>
              </w:rPr>
            </w:pPr>
            <w:r w:rsidRPr="00C81B24">
              <w:rPr>
                <w:color w:val="000000"/>
                <w:sz w:val="20"/>
              </w:rPr>
              <w:t>59.25</w:t>
            </w:r>
          </w:p>
        </w:tc>
      </w:tr>
      <w:tr w:rsidR="00C81B24" w:rsidRPr="00C81B24" w:rsidTr="00526AD9">
        <w:trPr>
          <w:trHeight w:val="255"/>
          <w:jc w:val="center"/>
        </w:trPr>
        <w:tc>
          <w:tcPr>
            <w:tcW w:w="554" w:type="dxa"/>
            <w:tcBorders>
              <w:top w:val="nil"/>
              <w:left w:val="single" w:sz="4" w:space="0" w:color="auto"/>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17</w:t>
            </w:r>
          </w:p>
        </w:tc>
        <w:tc>
          <w:tcPr>
            <w:tcW w:w="456" w:type="dxa"/>
            <w:tcBorders>
              <w:top w:val="nil"/>
              <w:left w:val="single" w:sz="4" w:space="0" w:color="auto"/>
              <w:bottom w:val="single" w:sz="4" w:space="0" w:color="auto"/>
              <w:right w:val="single" w:sz="4" w:space="0" w:color="auto"/>
            </w:tcBorders>
            <w:vAlign w:val="center"/>
          </w:tcPr>
          <w:p w:rsidR="00C81B24" w:rsidRPr="00C81B24" w:rsidRDefault="00C81B24" w:rsidP="00CE5850">
            <w:pPr>
              <w:jc w:val="right"/>
              <w:rPr>
                <w:sz w:val="20"/>
              </w:rPr>
            </w:pPr>
            <w:r w:rsidRPr="00C81B24">
              <w:rPr>
                <w:sz w:val="20"/>
              </w:rPr>
              <w:t>10</w:t>
            </w:r>
          </w:p>
        </w:tc>
        <w:tc>
          <w:tcPr>
            <w:tcW w:w="4012" w:type="dxa"/>
            <w:tcBorders>
              <w:top w:val="nil"/>
              <w:left w:val="nil"/>
              <w:bottom w:val="single" w:sz="4" w:space="0" w:color="auto"/>
              <w:right w:val="single" w:sz="4" w:space="0" w:color="auto"/>
            </w:tcBorders>
            <w:vAlign w:val="center"/>
          </w:tcPr>
          <w:p w:rsidR="00C81B24" w:rsidRPr="00C81B24" w:rsidRDefault="00C81B24" w:rsidP="00CE5850">
            <w:pPr>
              <w:rPr>
                <w:sz w:val="20"/>
              </w:rPr>
            </w:pPr>
            <w:r w:rsidRPr="00C81B24">
              <w:rPr>
                <w:sz w:val="20"/>
              </w:rPr>
              <w:t>New York-North New Jersey-Long Island, NY-NJ-CT-PA</w:t>
            </w:r>
          </w:p>
        </w:tc>
        <w:tc>
          <w:tcPr>
            <w:tcW w:w="1102" w:type="dxa"/>
            <w:tcBorders>
              <w:top w:val="nil"/>
              <w:left w:val="nil"/>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 xml:space="preserve"> 28,714,909 </w:t>
            </w:r>
          </w:p>
        </w:tc>
        <w:tc>
          <w:tcPr>
            <w:tcW w:w="1155" w:type="dxa"/>
            <w:tcBorders>
              <w:top w:val="nil"/>
              <w:left w:val="nil"/>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 xml:space="preserve"> 26,794,978 </w:t>
            </w:r>
          </w:p>
        </w:tc>
        <w:tc>
          <w:tcPr>
            <w:tcW w:w="979" w:type="dxa"/>
            <w:tcBorders>
              <w:top w:val="nil"/>
              <w:left w:val="nil"/>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107%</w:t>
            </w:r>
          </w:p>
        </w:tc>
        <w:tc>
          <w:tcPr>
            <w:tcW w:w="635" w:type="dxa"/>
            <w:tcBorders>
              <w:top w:val="nil"/>
              <w:left w:val="nil"/>
              <w:bottom w:val="single" w:sz="4" w:space="0" w:color="auto"/>
              <w:right w:val="single" w:sz="4" w:space="0" w:color="auto"/>
            </w:tcBorders>
            <w:noWrap/>
            <w:vAlign w:val="bottom"/>
          </w:tcPr>
          <w:p w:rsidR="00C81B24" w:rsidRPr="00C81B24" w:rsidRDefault="00C81B24" w:rsidP="00CE5850">
            <w:pPr>
              <w:jc w:val="right"/>
              <w:rPr>
                <w:sz w:val="20"/>
              </w:rPr>
            </w:pPr>
            <w:r w:rsidRPr="00C81B24">
              <w:rPr>
                <w:sz w:val="20"/>
              </w:rPr>
              <w:t>2582</w:t>
            </w:r>
          </w:p>
        </w:tc>
        <w:tc>
          <w:tcPr>
            <w:tcW w:w="536" w:type="dxa"/>
            <w:tcBorders>
              <w:top w:val="nil"/>
              <w:left w:val="nil"/>
              <w:bottom w:val="single" w:sz="4" w:space="0" w:color="auto"/>
              <w:right w:val="single" w:sz="4" w:space="0" w:color="auto"/>
            </w:tcBorders>
            <w:vAlign w:val="bottom"/>
          </w:tcPr>
          <w:p w:rsidR="00C81B24" w:rsidRPr="00C81B24" w:rsidRDefault="00C81B24" w:rsidP="00CE5850">
            <w:pPr>
              <w:autoSpaceDE w:val="0"/>
              <w:autoSpaceDN w:val="0"/>
              <w:adjustRightInd w:val="0"/>
              <w:jc w:val="right"/>
              <w:rPr>
                <w:color w:val="000000"/>
                <w:kern w:val="0"/>
                <w:sz w:val="20"/>
              </w:rPr>
            </w:pPr>
            <w:r w:rsidRPr="00C81B24">
              <w:rPr>
                <w:color w:val="000000"/>
                <w:kern w:val="0"/>
                <w:sz w:val="20"/>
              </w:rPr>
              <w:t>2549</w:t>
            </w:r>
          </w:p>
        </w:tc>
        <w:tc>
          <w:tcPr>
            <w:tcW w:w="736" w:type="dxa"/>
            <w:tcBorders>
              <w:top w:val="nil"/>
              <w:left w:val="nil"/>
              <w:bottom w:val="single" w:sz="4" w:space="0" w:color="auto"/>
              <w:right w:val="single" w:sz="4" w:space="0" w:color="auto"/>
            </w:tcBorders>
            <w:vAlign w:val="bottom"/>
          </w:tcPr>
          <w:p w:rsidR="00C81B24" w:rsidRPr="00C81B24" w:rsidRDefault="00C81B24" w:rsidP="00CE5850">
            <w:pPr>
              <w:jc w:val="right"/>
              <w:rPr>
                <w:color w:val="000000"/>
                <w:sz w:val="20"/>
              </w:rPr>
            </w:pPr>
            <w:r w:rsidRPr="00C81B24">
              <w:rPr>
                <w:color w:val="000000"/>
                <w:sz w:val="20"/>
              </w:rPr>
              <w:t>962.03</w:t>
            </w:r>
          </w:p>
        </w:tc>
      </w:tr>
      <w:tr w:rsidR="00C81B24" w:rsidRPr="00C81B24" w:rsidTr="00526AD9">
        <w:trPr>
          <w:trHeight w:val="255"/>
          <w:jc w:val="center"/>
        </w:trPr>
        <w:tc>
          <w:tcPr>
            <w:tcW w:w="554" w:type="dxa"/>
            <w:tcBorders>
              <w:top w:val="nil"/>
              <w:left w:val="single" w:sz="4" w:space="0" w:color="auto"/>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18</w:t>
            </w:r>
          </w:p>
        </w:tc>
        <w:tc>
          <w:tcPr>
            <w:tcW w:w="456" w:type="dxa"/>
            <w:tcBorders>
              <w:top w:val="nil"/>
              <w:left w:val="single" w:sz="4" w:space="0" w:color="auto"/>
              <w:bottom w:val="single" w:sz="4" w:space="0" w:color="auto"/>
              <w:right w:val="single" w:sz="4" w:space="0" w:color="auto"/>
            </w:tcBorders>
            <w:vAlign w:val="center"/>
          </w:tcPr>
          <w:p w:rsidR="00C81B24" w:rsidRPr="00C81B24" w:rsidRDefault="00C81B24" w:rsidP="00CE5850">
            <w:pPr>
              <w:jc w:val="right"/>
              <w:rPr>
                <w:sz w:val="20"/>
              </w:rPr>
            </w:pPr>
            <w:r w:rsidRPr="00C81B24">
              <w:rPr>
                <w:sz w:val="20"/>
              </w:rPr>
              <w:t>73</w:t>
            </w:r>
          </w:p>
        </w:tc>
        <w:tc>
          <w:tcPr>
            <w:tcW w:w="4012" w:type="dxa"/>
            <w:tcBorders>
              <w:top w:val="nil"/>
              <w:left w:val="nil"/>
              <w:bottom w:val="single" w:sz="4" w:space="0" w:color="auto"/>
              <w:right w:val="single" w:sz="4" w:space="0" w:color="auto"/>
            </w:tcBorders>
            <w:vAlign w:val="center"/>
          </w:tcPr>
          <w:p w:rsidR="00C81B24" w:rsidRPr="00C81B24" w:rsidRDefault="00C81B24" w:rsidP="00CE5850">
            <w:pPr>
              <w:rPr>
                <w:sz w:val="20"/>
              </w:rPr>
            </w:pPr>
            <w:r w:rsidRPr="00C81B24">
              <w:rPr>
                <w:sz w:val="20"/>
              </w:rPr>
              <w:t>Memphis, TN-AR-MS-KY</w:t>
            </w:r>
          </w:p>
        </w:tc>
        <w:tc>
          <w:tcPr>
            <w:tcW w:w="1102" w:type="dxa"/>
            <w:tcBorders>
              <w:top w:val="nil"/>
              <w:left w:val="nil"/>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 xml:space="preserve"> 2,147,974 </w:t>
            </w:r>
          </w:p>
        </w:tc>
        <w:tc>
          <w:tcPr>
            <w:tcW w:w="1155" w:type="dxa"/>
            <w:tcBorders>
              <w:top w:val="nil"/>
              <w:left w:val="nil"/>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 xml:space="preserve"> 2,009,670 </w:t>
            </w:r>
          </w:p>
        </w:tc>
        <w:tc>
          <w:tcPr>
            <w:tcW w:w="979" w:type="dxa"/>
            <w:tcBorders>
              <w:top w:val="nil"/>
              <w:left w:val="nil"/>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107%</w:t>
            </w:r>
          </w:p>
        </w:tc>
        <w:tc>
          <w:tcPr>
            <w:tcW w:w="635" w:type="dxa"/>
            <w:tcBorders>
              <w:top w:val="nil"/>
              <w:left w:val="nil"/>
              <w:bottom w:val="single" w:sz="4" w:space="0" w:color="auto"/>
              <w:right w:val="single" w:sz="4" w:space="0" w:color="auto"/>
            </w:tcBorders>
            <w:noWrap/>
            <w:vAlign w:val="bottom"/>
          </w:tcPr>
          <w:p w:rsidR="00C81B24" w:rsidRPr="00C81B24" w:rsidRDefault="00C81B24" w:rsidP="00CE5850">
            <w:pPr>
              <w:jc w:val="right"/>
              <w:rPr>
                <w:sz w:val="20"/>
              </w:rPr>
            </w:pPr>
            <w:r w:rsidRPr="00C81B24">
              <w:rPr>
                <w:sz w:val="20"/>
              </w:rPr>
              <w:t>2507</w:t>
            </w:r>
          </w:p>
        </w:tc>
        <w:tc>
          <w:tcPr>
            <w:tcW w:w="536" w:type="dxa"/>
            <w:tcBorders>
              <w:top w:val="nil"/>
              <w:left w:val="nil"/>
              <w:bottom w:val="single" w:sz="4" w:space="0" w:color="auto"/>
              <w:right w:val="single" w:sz="4" w:space="0" w:color="auto"/>
            </w:tcBorders>
            <w:vAlign w:val="bottom"/>
          </w:tcPr>
          <w:p w:rsidR="00C81B24" w:rsidRPr="00C81B24" w:rsidRDefault="00C81B24" w:rsidP="00CE5850">
            <w:pPr>
              <w:autoSpaceDE w:val="0"/>
              <w:autoSpaceDN w:val="0"/>
              <w:adjustRightInd w:val="0"/>
              <w:jc w:val="right"/>
              <w:rPr>
                <w:color w:val="000000"/>
                <w:kern w:val="0"/>
                <w:sz w:val="20"/>
              </w:rPr>
            </w:pPr>
            <w:r w:rsidRPr="00C81B24">
              <w:rPr>
                <w:color w:val="000000"/>
                <w:kern w:val="0"/>
                <w:sz w:val="20"/>
              </w:rPr>
              <w:t>2503</w:t>
            </w:r>
          </w:p>
        </w:tc>
        <w:tc>
          <w:tcPr>
            <w:tcW w:w="736" w:type="dxa"/>
            <w:tcBorders>
              <w:top w:val="nil"/>
              <w:left w:val="nil"/>
              <w:bottom w:val="single" w:sz="4" w:space="0" w:color="auto"/>
              <w:right w:val="single" w:sz="4" w:space="0" w:color="auto"/>
            </w:tcBorders>
            <w:vAlign w:val="bottom"/>
          </w:tcPr>
          <w:p w:rsidR="00C81B24" w:rsidRPr="00C81B24" w:rsidRDefault="00C81B24" w:rsidP="00CE5850">
            <w:pPr>
              <w:jc w:val="right"/>
              <w:rPr>
                <w:color w:val="000000"/>
                <w:sz w:val="20"/>
              </w:rPr>
            </w:pPr>
            <w:r w:rsidRPr="00C81B24">
              <w:rPr>
                <w:color w:val="000000"/>
                <w:sz w:val="20"/>
              </w:rPr>
              <w:t>112.64</w:t>
            </w:r>
          </w:p>
        </w:tc>
      </w:tr>
      <w:tr w:rsidR="00C81B24" w:rsidRPr="00C81B24" w:rsidTr="00526AD9">
        <w:trPr>
          <w:trHeight w:val="255"/>
          <w:jc w:val="center"/>
        </w:trPr>
        <w:tc>
          <w:tcPr>
            <w:tcW w:w="554" w:type="dxa"/>
            <w:tcBorders>
              <w:top w:val="nil"/>
              <w:left w:val="single" w:sz="4" w:space="0" w:color="auto"/>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19</w:t>
            </w:r>
          </w:p>
        </w:tc>
        <w:tc>
          <w:tcPr>
            <w:tcW w:w="456" w:type="dxa"/>
            <w:tcBorders>
              <w:top w:val="nil"/>
              <w:left w:val="single" w:sz="4" w:space="0" w:color="auto"/>
              <w:bottom w:val="single" w:sz="4" w:space="0" w:color="auto"/>
              <w:right w:val="single" w:sz="4" w:space="0" w:color="auto"/>
            </w:tcBorders>
            <w:vAlign w:val="center"/>
          </w:tcPr>
          <w:p w:rsidR="00C81B24" w:rsidRPr="00C81B24" w:rsidRDefault="00C81B24" w:rsidP="00CE5850">
            <w:pPr>
              <w:jc w:val="right"/>
              <w:rPr>
                <w:sz w:val="20"/>
              </w:rPr>
            </w:pPr>
            <w:r w:rsidRPr="00C81B24">
              <w:rPr>
                <w:sz w:val="20"/>
              </w:rPr>
              <w:t>40</w:t>
            </w:r>
          </w:p>
        </w:tc>
        <w:tc>
          <w:tcPr>
            <w:tcW w:w="4012" w:type="dxa"/>
            <w:tcBorders>
              <w:top w:val="nil"/>
              <w:left w:val="nil"/>
              <w:bottom w:val="single" w:sz="4" w:space="0" w:color="auto"/>
              <w:right w:val="single" w:sz="4" w:space="0" w:color="auto"/>
            </w:tcBorders>
            <w:vAlign w:val="center"/>
          </w:tcPr>
          <w:p w:rsidR="00C81B24" w:rsidRPr="00C81B24" w:rsidRDefault="00C81B24" w:rsidP="00CE5850">
            <w:pPr>
              <w:rPr>
                <w:sz w:val="20"/>
              </w:rPr>
            </w:pPr>
            <w:r w:rsidRPr="00C81B24">
              <w:rPr>
                <w:sz w:val="20"/>
              </w:rPr>
              <w:t>Atlanta, GA-AL-NC</w:t>
            </w:r>
          </w:p>
        </w:tc>
        <w:tc>
          <w:tcPr>
            <w:tcW w:w="1102" w:type="dxa"/>
            <w:tcBorders>
              <w:top w:val="nil"/>
              <w:left w:val="nil"/>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 xml:space="preserve"> 7,167,905 </w:t>
            </w:r>
          </w:p>
        </w:tc>
        <w:tc>
          <w:tcPr>
            <w:tcW w:w="1155" w:type="dxa"/>
            <w:tcBorders>
              <w:top w:val="nil"/>
              <w:left w:val="nil"/>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 xml:space="preserve"> 6,785,467 </w:t>
            </w:r>
          </w:p>
        </w:tc>
        <w:tc>
          <w:tcPr>
            <w:tcW w:w="979" w:type="dxa"/>
            <w:tcBorders>
              <w:top w:val="nil"/>
              <w:left w:val="nil"/>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106%</w:t>
            </w:r>
          </w:p>
        </w:tc>
        <w:tc>
          <w:tcPr>
            <w:tcW w:w="635" w:type="dxa"/>
            <w:tcBorders>
              <w:top w:val="nil"/>
              <w:left w:val="nil"/>
              <w:bottom w:val="single" w:sz="4" w:space="0" w:color="auto"/>
              <w:right w:val="single" w:sz="4" w:space="0" w:color="auto"/>
            </w:tcBorders>
            <w:noWrap/>
            <w:vAlign w:val="bottom"/>
          </w:tcPr>
          <w:p w:rsidR="00C81B24" w:rsidRPr="00C81B24" w:rsidRDefault="00C81B24" w:rsidP="00CE5850">
            <w:pPr>
              <w:jc w:val="right"/>
              <w:rPr>
                <w:sz w:val="20"/>
              </w:rPr>
            </w:pPr>
            <w:r w:rsidRPr="00C81B24">
              <w:rPr>
                <w:sz w:val="20"/>
              </w:rPr>
              <w:t>2570</w:t>
            </w:r>
          </w:p>
        </w:tc>
        <w:tc>
          <w:tcPr>
            <w:tcW w:w="536" w:type="dxa"/>
            <w:tcBorders>
              <w:top w:val="nil"/>
              <w:left w:val="nil"/>
              <w:bottom w:val="single" w:sz="4" w:space="0" w:color="auto"/>
              <w:right w:val="single" w:sz="4" w:space="0" w:color="auto"/>
            </w:tcBorders>
            <w:vAlign w:val="bottom"/>
          </w:tcPr>
          <w:p w:rsidR="00C81B24" w:rsidRPr="00C81B24" w:rsidRDefault="00C81B24" w:rsidP="00CE5850">
            <w:pPr>
              <w:autoSpaceDE w:val="0"/>
              <w:autoSpaceDN w:val="0"/>
              <w:adjustRightInd w:val="0"/>
              <w:jc w:val="right"/>
              <w:rPr>
                <w:color w:val="000000"/>
                <w:kern w:val="0"/>
                <w:sz w:val="20"/>
              </w:rPr>
            </w:pPr>
            <w:r w:rsidRPr="00C81B24">
              <w:rPr>
                <w:color w:val="000000"/>
                <w:kern w:val="0"/>
                <w:sz w:val="20"/>
              </w:rPr>
              <w:t>2534</w:t>
            </w:r>
          </w:p>
        </w:tc>
        <w:tc>
          <w:tcPr>
            <w:tcW w:w="736" w:type="dxa"/>
            <w:tcBorders>
              <w:top w:val="nil"/>
              <w:left w:val="nil"/>
              <w:bottom w:val="single" w:sz="4" w:space="0" w:color="auto"/>
              <w:right w:val="single" w:sz="4" w:space="0" w:color="auto"/>
            </w:tcBorders>
            <w:vAlign w:val="bottom"/>
          </w:tcPr>
          <w:p w:rsidR="00C81B24" w:rsidRPr="00C81B24" w:rsidRDefault="00C81B24" w:rsidP="00CE5850">
            <w:pPr>
              <w:jc w:val="right"/>
              <w:rPr>
                <w:color w:val="000000"/>
                <w:sz w:val="20"/>
              </w:rPr>
            </w:pPr>
            <w:r w:rsidRPr="00C81B24">
              <w:rPr>
                <w:color w:val="000000"/>
                <w:sz w:val="20"/>
              </w:rPr>
              <w:t>307.26</w:t>
            </w:r>
          </w:p>
        </w:tc>
      </w:tr>
      <w:tr w:rsidR="00C81B24" w:rsidRPr="00C81B24" w:rsidTr="00526AD9">
        <w:trPr>
          <w:trHeight w:val="255"/>
          <w:jc w:val="center"/>
        </w:trPr>
        <w:tc>
          <w:tcPr>
            <w:tcW w:w="554" w:type="dxa"/>
            <w:tcBorders>
              <w:top w:val="nil"/>
              <w:left w:val="single" w:sz="4" w:space="0" w:color="auto"/>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20</w:t>
            </w:r>
          </w:p>
        </w:tc>
        <w:tc>
          <w:tcPr>
            <w:tcW w:w="456" w:type="dxa"/>
            <w:tcBorders>
              <w:top w:val="nil"/>
              <w:left w:val="single" w:sz="4" w:space="0" w:color="auto"/>
              <w:bottom w:val="single" w:sz="4" w:space="0" w:color="auto"/>
              <w:right w:val="single" w:sz="4" w:space="0" w:color="auto"/>
            </w:tcBorders>
            <w:vAlign w:val="center"/>
          </w:tcPr>
          <w:p w:rsidR="00C81B24" w:rsidRPr="00C81B24" w:rsidRDefault="00C81B24" w:rsidP="00CE5850">
            <w:pPr>
              <w:jc w:val="right"/>
              <w:rPr>
                <w:sz w:val="20"/>
              </w:rPr>
            </w:pPr>
            <w:r w:rsidRPr="00C81B24">
              <w:rPr>
                <w:sz w:val="20"/>
              </w:rPr>
              <w:t>74</w:t>
            </w:r>
          </w:p>
        </w:tc>
        <w:tc>
          <w:tcPr>
            <w:tcW w:w="4012" w:type="dxa"/>
            <w:tcBorders>
              <w:top w:val="nil"/>
              <w:left w:val="nil"/>
              <w:bottom w:val="single" w:sz="4" w:space="0" w:color="auto"/>
              <w:right w:val="single" w:sz="4" w:space="0" w:color="auto"/>
            </w:tcBorders>
            <w:vAlign w:val="center"/>
          </w:tcPr>
          <w:p w:rsidR="00C81B24" w:rsidRPr="00C81B24" w:rsidRDefault="00C81B24" w:rsidP="00CE5850">
            <w:pPr>
              <w:rPr>
                <w:sz w:val="20"/>
              </w:rPr>
            </w:pPr>
            <w:r w:rsidRPr="00C81B24">
              <w:rPr>
                <w:sz w:val="20"/>
              </w:rPr>
              <w:t>Huntsville, AL-TN</w:t>
            </w:r>
          </w:p>
        </w:tc>
        <w:tc>
          <w:tcPr>
            <w:tcW w:w="1102" w:type="dxa"/>
            <w:tcBorders>
              <w:top w:val="nil"/>
              <w:left w:val="nil"/>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 xml:space="preserve"> 1,178,260 </w:t>
            </w:r>
          </w:p>
        </w:tc>
        <w:tc>
          <w:tcPr>
            <w:tcW w:w="1155" w:type="dxa"/>
            <w:tcBorders>
              <w:top w:val="nil"/>
              <w:left w:val="nil"/>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 xml:space="preserve"> 1,115,293 </w:t>
            </w:r>
          </w:p>
        </w:tc>
        <w:tc>
          <w:tcPr>
            <w:tcW w:w="979" w:type="dxa"/>
            <w:tcBorders>
              <w:top w:val="nil"/>
              <w:left w:val="nil"/>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106%</w:t>
            </w:r>
          </w:p>
        </w:tc>
        <w:tc>
          <w:tcPr>
            <w:tcW w:w="635" w:type="dxa"/>
            <w:tcBorders>
              <w:top w:val="nil"/>
              <w:left w:val="nil"/>
              <w:bottom w:val="single" w:sz="4" w:space="0" w:color="auto"/>
              <w:right w:val="single" w:sz="4" w:space="0" w:color="auto"/>
            </w:tcBorders>
            <w:noWrap/>
            <w:vAlign w:val="bottom"/>
          </w:tcPr>
          <w:p w:rsidR="00C81B24" w:rsidRPr="00C81B24" w:rsidRDefault="00C81B24" w:rsidP="00CE5850">
            <w:pPr>
              <w:jc w:val="right"/>
              <w:rPr>
                <w:sz w:val="20"/>
              </w:rPr>
            </w:pPr>
            <w:r w:rsidRPr="00C81B24">
              <w:rPr>
                <w:sz w:val="20"/>
              </w:rPr>
              <w:t>3329</w:t>
            </w:r>
          </w:p>
        </w:tc>
        <w:tc>
          <w:tcPr>
            <w:tcW w:w="536" w:type="dxa"/>
            <w:tcBorders>
              <w:top w:val="nil"/>
              <w:left w:val="nil"/>
              <w:bottom w:val="single" w:sz="4" w:space="0" w:color="auto"/>
              <w:right w:val="single" w:sz="4" w:space="0" w:color="auto"/>
            </w:tcBorders>
            <w:vAlign w:val="bottom"/>
          </w:tcPr>
          <w:p w:rsidR="00C81B24" w:rsidRPr="00C81B24" w:rsidRDefault="00C81B24" w:rsidP="00CE5850">
            <w:pPr>
              <w:autoSpaceDE w:val="0"/>
              <w:autoSpaceDN w:val="0"/>
              <w:adjustRightInd w:val="0"/>
              <w:jc w:val="right"/>
              <w:rPr>
                <w:color w:val="000000"/>
                <w:kern w:val="0"/>
                <w:sz w:val="20"/>
              </w:rPr>
            </w:pPr>
            <w:r w:rsidRPr="00C81B24">
              <w:rPr>
                <w:color w:val="000000"/>
                <w:kern w:val="0"/>
                <w:sz w:val="20"/>
              </w:rPr>
              <w:t>3298</w:t>
            </w:r>
          </w:p>
        </w:tc>
        <w:tc>
          <w:tcPr>
            <w:tcW w:w="736" w:type="dxa"/>
            <w:tcBorders>
              <w:top w:val="nil"/>
              <w:left w:val="nil"/>
              <w:bottom w:val="single" w:sz="4" w:space="0" w:color="auto"/>
              <w:right w:val="single" w:sz="4" w:space="0" w:color="auto"/>
            </w:tcBorders>
            <w:vAlign w:val="bottom"/>
          </w:tcPr>
          <w:p w:rsidR="00C81B24" w:rsidRPr="00C81B24" w:rsidRDefault="00C81B24" w:rsidP="00CE5850">
            <w:pPr>
              <w:jc w:val="right"/>
              <w:rPr>
                <w:color w:val="000000"/>
                <w:sz w:val="20"/>
              </w:rPr>
            </w:pPr>
            <w:r w:rsidRPr="00C81B24">
              <w:rPr>
                <w:color w:val="000000"/>
                <w:sz w:val="20"/>
              </w:rPr>
              <w:t>137.29</w:t>
            </w:r>
          </w:p>
        </w:tc>
      </w:tr>
      <w:tr w:rsidR="00C81B24" w:rsidRPr="00C81B24" w:rsidTr="00526AD9">
        <w:trPr>
          <w:trHeight w:val="255"/>
          <w:jc w:val="center"/>
        </w:trPr>
        <w:tc>
          <w:tcPr>
            <w:tcW w:w="554" w:type="dxa"/>
            <w:tcBorders>
              <w:top w:val="nil"/>
              <w:left w:val="single" w:sz="4" w:space="0" w:color="auto"/>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21</w:t>
            </w:r>
          </w:p>
        </w:tc>
        <w:tc>
          <w:tcPr>
            <w:tcW w:w="456" w:type="dxa"/>
            <w:tcBorders>
              <w:top w:val="nil"/>
              <w:left w:val="single" w:sz="4" w:space="0" w:color="auto"/>
              <w:bottom w:val="single" w:sz="4" w:space="0" w:color="auto"/>
              <w:right w:val="single" w:sz="4" w:space="0" w:color="auto"/>
            </w:tcBorders>
            <w:vAlign w:val="center"/>
          </w:tcPr>
          <w:p w:rsidR="00C81B24" w:rsidRPr="00C81B24" w:rsidRDefault="00C81B24" w:rsidP="00CE5850">
            <w:pPr>
              <w:jc w:val="right"/>
              <w:rPr>
                <w:sz w:val="20"/>
              </w:rPr>
            </w:pPr>
            <w:r w:rsidRPr="00C81B24">
              <w:rPr>
                <w:sz w:val="20"/>
              </w:rPr>
              <w:t>135</w:t>
            </w:r>
          </w:p>
        </w:tc>
        <w:tc>
          <w:tcPr>
            <w:tcW w:w="4012" w:type="dxa"/>
            <w:tcBorders>
              <w:top w:val="nil"/>
              <w:left w:val="nil"/>
              <w:bottom w:val="single" w:sz="4" w:space="0" w:color="auto"/>
              <w:right w:val="single" w:sz="4" w:space="0" w:color="auto"/>
            </w:tcBorders>
            <w:vAlign w:val="center"/>
          </w:tcPr>
          <w:p w:rsidR="00C81B24" w:rsidRPr="00C81B24" w:rsidRDefault="00C81B24" w:rsidP="00CE5850">
            <w:pPr>
              <w:rPr>
                <w:sz w:val="20"/>
              </w:rPr>
            </w:pPr>
            <w:r w:rsidRPr="00C81B24">
              <w:rPr>
                <w:sz w:val="20"/>
              </w:rPr>
              <w:t>Odessa-Midland, TX</w:t>
            </w:r>
          </w:p>
        </w:tc>
        <w:tc>
          <w:tcPr>
            <w:tcW w:w="1102" w:type="dxa"/>
            <w:tcBorders>
              <w:top w:val="nil"/>
              <w:left w:val="nil"/>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 xml:space="preserve"> 459,810 </w:t>
            </w:r>
          </w:p>
        </w:tc>
        <w:tc>
          <w:tcPr>
            <w:tcW w:w="1155" w:type="dxa"/>
            <w:tcBorders>
              <w:top w:val="nil"/>
              <w:left w:val="nil"/>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 xml:space="preserve"> 434,245 </w:t>
            </w:r>
          </w:p>
        </w:tc>
        <w:tc>
          <w:tcPr>
            <w:tcW w:w="979" w:type="dxa"/>
            <w:tcBorders>
              <w:top w:val="nil"/>
              <w:left w:val="nil"/>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106%</w:t>
            </w:r>
          </w:p>
        </w:tc>
        <w:tc>
          <w:tcPr>
            <w:tcW w:w="635" w:type="dxa"/>
            <w:tcBorders>
              <w:top w:val="nil"/>
              <w:left w:val="nil"/>
              <w:bottom w:val="single" w:sz="4" w:space="0" w:color="auto"/>
              <w:right w:val="single" w:sz="4" w:space="0" w:color="auto"/>
            </w:tcBorders>
            <w:noWrap/>
            <w:vAlign w:val="bottom"/>
          </w:tcPr>
          <w:p w:rsidR="00C81B24" w:rsidRPr="00C81B24" w:rsidRDefault="00C81B24" w:rsidP="00CE5850">
            <w:pPr>
              <w:jc w:val="right"/>
              <w:rPr>
                <w:sz w:val="20"/>
              </w:rPr>
            </w:pPr>
            <w:r w:rsidRPr="00C81B24">
              <w:rPr>
                <w:sz w:val="20"/>
              </w:rPr>
              <w:t>3474</w:t>
            </w:r>
          </w:p>
        </w:tc>
        <w:tc>
          <w:tcPr>
            <w:tcW w:w="536" w:type="dxa"/>
            <w:tcBorders>
              <w:top w:val="nil"/>
              <w:left w:val="nil"/>
              <w:bottom w:val="single" w:sz="4" w:space="0" w:color="auto"/>
              <w:right w:val="single" w:sz="4" w:space="0" w:color="auto"/>
            </w:tcBorders>
            <w:vAlign w:val="bottom"/>
          </w:tcPr>
          <w:p w:rsidR="00C81B24" w:rsidRPr="00C81B24" w:rsidRDefault="00C81B24" w:rsidP="00CE5850">
            <w:pPr>
              <w:autoSpaceDE w:val="0"/>
              <w:autoSpaceDN w:val="0"/>
              <w:adjustRightInd w:val="0"/>
              <w:jc w:val="right"/>
              <w:rPr>
                <w:color w:val="000000"/>
                <w:kern w:val="0"/>
                <w:sz w:val="20"/>
              </w:rPr>
            </w:pPr>
            <w:r w:rsidRPr="00C81B24">
              <w:rPr>
                <w:color w:val="000000"/>
                <w:kern w:val="0"/>
                <w:sz w:val="20"/>
              </w:rPr>
              <w:t>3492</w:t>
            </w:r>
          </w:p>
        </w:tc>
        <w:tc>
          <w:tcPr>
            <w:tcW w:w="736" w:type="dxa"/>
            <w:tcBorders>
              <w:top w:val="nil"/>
              <w:left w:val="nil"/>
              <w:bottom w:val="single" w:sz="4" w:space="0" w:color="auto"/>
              <w:right w:val="single" w:sz="4" w:space="0" w:color="auto"/>
            </w:tcBorders>
            <w:vAlign w:val="bottom"/>
          </w:tcPr>
          <w:p w:rsidR="00C81B24" w:rsidRPr="00C81B24" w:rsidRDefault="00C81B24" w:rsidP="00CE5850">
            <w:pPr>
              <w:jc w:val="right"/>
              <w:rPr>
                <w:color w:val="000000"/>
                <w:sz w:val="20"/>
              </w:rPr>
            </w:pPr>
            <w:r w:rsidRPr="00C81B24">
              <w:rPr>
                <w:color w:val="000000"/>
                <w:sz w:val="20"/>
              </w:rPr>
              <w:t>11.16</w:t>
            </w:r>
          </w:p>
        </w:tc>
      </w:tr>
      <w:tr w:rsidR="00C81B24" w:rsidRPr="00C81B24" w:rsidTr="00526AD9">
        <w:trPr>
          <w:trHeight w:val="255"/>
          <w:jc w:val="center"/>
        </w:trPr>
        <w:tc>
          <w:tcPr>
            <w:tcW w:w="554" w:type="dxa"/>
            <w:tcBorders>
              <w:top w:val="nil"/>
              <w:left w:val="single" w:sz="4" w:space="0" w:color="auto"/>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22</w:t>
            </w:r>
          </w:p>
        </w:tc>
        <w:tc>
          <w:tcPr>
            <w:tcW w:w="456" w:type="dxa"/>
            <w:tcBorders>
              <w:top w:val="nil"/>
              <w:left w:val="single" w:sz="4" w:space="0" w:color="auto"/>
              <w:bottom w:val="single" w:sz="4" w:space="0" w:color="auto"/>
              <w:right w:val="single" w:sz="4" w:space="0" w:color="auto"/>
            </w:tcBorders>
            <w:vAlign w:val="center"/>
          </w:tcPr>
          <w:p w:rsidR="00C81B24" w:rsidRPr="00C81B24" w:rsidRDefault="00C81B24" w:rsidP="00CE5850">
            <w:pPr>
              <w:jc w:val="right"/>
              <w:rPr>
                <w:sz w:val="20"/>
              </w:rPr>
            </w:pPr>
            <w:r w:rsidRPr="00C81B24">
              <w:rPr>
                <w:sz w:val="20"/>
              </w:rPr>
              <w:t>17</w:t>
            </w:r>
          </w:p>
        </w:tc>
        <w:tc>
          <w:tcPr>
            <w:tcW w:w="4012" w:type="dxa"/>
            <w:tcBorders>
              <w:top w:val="nil"/>
              <w:left w:val="nil"/>
              <w:bottom w:val="single" w:sz="4" w:space="0" w:color="auto"/>
              <w:right w:val="single" w:sz="4" w:space="0" w:color="auto"/>
            </w:tcBorders>
            <w:vAlign w:val="center"/>
          </w:tcPr>
          <w:p w:rsidR="00C81B24" w:rsidRPr="00C81B24" w:rsidRDefault="00C81B24" w:rsidP="00CE5850">
            <w:pPr>
              <w:rPr>
                <w:sz w:val="20"/>
              </w:rPr>
            </w:pPr>
            <w:r w:rsidRPr="00C81B24">
              <w:rPr>
                <w:sz w:val="20"/>
              </w:rPr>
              <w:t>Roanoke, VA-NC-WV</w:t>
            </w:r>
          </w:p>
        </w:tc>
        <w:tc>
          <w:tcPr>
            <w:tcW w:w="1102" w:type="dxa"/>
            <w:tcBorders>
              <w:top w:val="nil"/>
              <w:left w:val="nil"/>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 xml:space="preserve"> 927,256 </w:t>
            </w:r>
          </w:p>
        </w:tc>
        <w:tc>
          <w:tcPr>
            <w:tcW w:w="1155" w:type="dxa"/>
            <w:tcBorders>
              <w:top w:val="nil"/>
              <w:left w:val="nil"/>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 xml:space="preserve"> 883,035 </w:t>
            </w:r>
          </w:p>
        </w:tc>
        <w:tc>
          <w:tcPr>
            <w:tcW w:w="979" w:type="dxa"/>
            <w:tcBorders>
              <w:top w:val="nil"/>
              <w:left w:val="nil"/>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105%</w:t>
            </w:r>
          </w:p>
        </w:tc>
        <w:tc>
          <w:tcPr>
            <w:tcW w:w="635" w:type="dxa"/>
            <w:tcBorders>
              <w:top w:val="nil"/>
              <w:left w:val="nil"/>
              <w:bottom w:val="single" w:sz="4" w:space="0" w:color="auto"/>
              <w:right w:val="single" w:sz="4" w:space="0" w:color="auto"/>
            </w:tcBorders>
            <w:noWrap/>
            <w:vAlign w:val="bottom"/>
          </w:tcPr>
          <w:p w:rsidR="00C81B24" w:rsidRPr="00C81B24" w:rsidRDefault="00C81B24" w:rsidP="00CE5850">
            <w:pPr>
              <w:jc w:val="right"/>
              <w:rPr>
                <w:sz w:val="20"/>
              </w:rPr>
            </w:pPr>
            <w:r w:rsidRPr="00C81B24">
              <w:rPr>
                <w:sz w:val="20"/>
              </w:rPr>
              <w:t>2375</w:t>
            </w:r>
          </w:p>
        </w:tc>
        <w:tc>
          <w:tcPr>
            <w:tcW w:w="536" w:type="dxa"/>
            <w:tcBorders>
              <w:top w:val="nil"/>
              <w:left w:val="nil"/>
              <w:bottom w:val="single" w:sz="4" w:space="0" w:color="auto"/>
              <w:right w:val="single" w:sz="4" w:space="0" w:color="auto"/>
            </w:tcBorders>
            <w:vAlign w:val="bottom"/>
          </w:tcPr>
          <w:p w:rsidR="00C81B24" w:rsidRPr="00C81B24" w:rsidRDefault="00C81B24" w:rsidP="00CE5850">
            <w:pPr>
              <w:autoSpaceDE w:val="0"/>
              <w:autoSpaceDN w:val="0"/>
              <w:adjustRightInd w:val="0"/>
              <w:jc w:val="right"/>
              <w:rPr>
                <w:color w:val="000000"/>
                <w:kern w:val="0"/>
                <w:sz w:val="20"/>
              </w:rPr>
            </w:pPr>
            <w:r w:rsidRPr="00C81B24">
              <w:rPr>
                <w:color w:val="000000"/>
                <w:kern w:val="0"/>
                <w:sz w:val="20"/>
              </w:rPr>
              <w:t>2406</w:t>
            </w:r>
          </w:p>
        </w:tc>
        <w:tc>
          <w:tcPr>
            <w:tcW w:w="736" w:type="dxa"/>
            <w:tcBorders>
              <w:top w:val="nil"/>
              <w:left w:val="nil"/>
              <w:bottom w:val="single" w:sz="4" w:space="0" w:color="auto"/>
              <w:right w:val="single" w:sz="4" w:space="0" w:color="auto"/>
            </w:tcBorders>
            <w:vAlign w:val="bottom"/>
          </w:tcPr>
          <w:p w:rsidR="00C81B24" w:rsidRPr="00C81B24" w:rsidRDefault="00C81B24" w:rsidP="00CE5850">
            <w:pPr>
              <w:jc w:val="right"/>
              <w:rPr>
                <w:color w:val="000000"/>
                <w:sz w:val="20"/>
              </w:rPr>
            </w:pPr>
            <w:r w:rsidRPr="00C81B24">
              <w:rPr>
                <w:color w:val="000000"/>
                <w:sz w:val="20"/>
              </w:rPr>
              <w:t>105.61</w:t>
            </w:r>
          </w:p>
        </w:tc>
      </w:tr>
      <w:tr w:rsidR="00C81B24" w:rsidRPr="00C81B24" w:rsidTr="00526AD9">
        <w:trPr>
          <w:trHeight w:val="255"/>
          <w:jc w:val="center"/>
        </w:trPr>
        <w:tc>
          <w:tcPr>
            <w:tcW w:w="554" w:type="dxa"/>
            <w:tcBorders>
              <w:top w:val="nil"/>
              <w:left w:val="single" w:sz="4" w:space="0" w:color="auto"/>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23</w:t>
            </w:r>
          </w:p>
        </w:tc>
        <w:tc>
          <w:tcPr>
            <w:tcW w:w="456" w:type="dxa"/>
            <w:tcBorders>
              <w:top w:val="nil"/>
              <w:left w:val="single" w:sz="4" w:space="0" w:color="auto"/>
              <w:bottom w:val="single" w:sz="4" w:space="0" w:color="auto"/>
              <w:right w:val="single" w:sz="4" w:space="0" w:color="auto"/>
            </w:tcBorders>
            <w:vAlign w:val="center"/>
          </w:tcPr>
          <w:p w:rsidR="00C81B24" w:rsidRPr="00C81B24" w:rsidRDefault="00C81B24" w:rsidP="00CE5850">
            <w:pPr>
              <w:jc w:val="right"/>
              <w:rPr>
                <w:sz w:val="20"/>
              </w:rPr>
            </w:pPr>
            <w:r w:rsidRPr="00C81B24">
              <w:rPr>
                <w:sz w:val="20"/>
              </w:rPr>
              <w:t>31</w:t>
            </w:r>
          </w:p>
        </w:tc>
        <w:tc>
          <w:tcPr>
            <w:tcW w:w="4012" w:type="dxa"/>
            <w:tcBorders>
              <w:top w:val="nil"/>
              <w:left w:val="nil"/>
              <w:bottom w:val="single" w:sz="4" w:space="0" w:color="auto"/>
              <w:right w:val="single" w:sz="4" w:space="0" w:color="auto"/>
            </w:tcBorders>
            <w:vAlign w:val="center"/>
          </w:tcPr>
          <w:p w:rsidR="00C81B24" w:rsidRPr="00C81B24" w:rsidRDefault="00C81B24" w:rsidP="00CE5850">
            <w:pPr>
              <w:rPr>
                <w:sz w:val="20"/>
              </w:rPr>
            </w:pPr>
            <w:r w:rsidRPr="00C81B24">
              <w:rPr>
                <w:sz w:val="20"/>
              </w:rPr>
              <w:t>Miami-Fort Lauderdale, FL</w:t>
            </w:r>
          </w:p>
        </w:tc>
        <w:tc>
          <w:tcPr>
            <w:tcW w:w="1102" w:type="dxa"/>
            <w:tcBorders>
              <w:top w:val="nil"/>
              <w:left w:val="nil"/>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 xml:space="preserve"> 6,717,750 </w:t>
            </w:r>
          </w:p>
        </w:tc>
        <w:tc>
          <w:tcPr>
            <w:tcW w:w="1155" w:type="dxa"/>
            <w:tcBorders>
              <w:top w:val="nil"/>
              <w:left w:val="nil"/>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 xml:space="preserve"> 6,402,630 </w:t>
            </w:r>
          </w:p>
        </w:tc>
        <w:tc>
          <w:tcPr>
            <w:tcW w:w="979" w:type="dxa"/>
            <w:tcBorders>
              <w:top w:val="nil"/>
              <w:left w:val="nil"/>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105%</w:t>
            </w:r>
          </w:p>
        </w:tc>
        <w:tc>
          <w:tcPr>
            <w:tcW w:w="635" w:type="dxa"/>
            <w:tcBorders>
              <w:top w:val="nil"/>
              <w:left w:val="nil"/>
              <w:bottom w:val="single" w:sz="4" w:space="0" w:color="auto"/>
              <w:right w:val="single" w:sz="4" w:space="0" w:color="auto"/>
            </w:tcBorders>
            <w:noWrap/>
            <w:vAlign w:val="bottom"/>
          </w:tcPr>
          <w:p w:rsidR="00C81B24" w:rsidRPr="00C81B24" w:rsidRDefault="00C81B24" w:rsidP="00CE5850">
            <w:pPr>
              <w:jc w:val="right"/>
              <w:rPr>
                <w:sz w:val="20"/>
              </w:rPr>
            </w:pPr>
            <w:r w:rsidRPr="00C81B24">
              <w:rPr>
                <w:sz w:val="20"/>
              </w:rPr>
              <w:t>2286</w:t>
            </w:r>
          </w:p>
        </w:tc>
        <w:tc>
          <w:tcPr>
            <w:tcW w:w="536" w:type="dxa"/>
            <w:tcBorders>
              <w:top w:val="nil"/>
              <w:left w:val="nil"/>
              <w:bottom w:val="single" w:sz="4" w:space="0" w:color="auto"/>
              <w:right w:val="single" w:sz="4" w:space="0" w:color="auto"/>
            </w:tcBorders>
            <w:vAlign w:val="bottom"/>
          </w:tcPr>
          <w:p w:rsidR="00C81B24" w:rsidRPr="00C81B24" w:rsidRDefault="00C81B24" w:rsidP="00CE5850">
            <w:pPr>
              <w:autoSpaceDE w:val="0"/>
              <w:autoSpaceDN w:val="0"/>
              <w:adjustRightInd w:val="0"/>
              <w:jc w:val="right"/>
              <w:rPr>
                <w:color w:val="000000"/>
                <w:kern w:val="0"/>
                <w:sz w:val="20"/>
              </w:rPr>
            </w:pPr>
            <w:r w:rsidRPr="00C81B24">
              <w:rPr>
                <w:color w:val="000000"/>
                <w:kern w:val="0"/>
                <w:sz w:val="20"/>
              </w:rPr>
              <w:t>2278</w:t>
            </w:r>
          </w:p>
        </w:tc>
        <w:tc>
          <w:tcPr>
            <w:tcW w:w="736" w:type="dxa"/>
            <w:tcBorders>
              <w:top w:val="nil"/>
              <w:left w:val="nil"/>
              <w:bottom w:val="single" w:sz="4" w:space="0" w:color="auto"/>
              <w:right w:val="single" w:sz="4" w:space="0" w:color="auto"/>
            </w:tcBorders>
            <w:vAlign w:val="bottom"/>
          </w:tcPr>
          <w:p w:rsidR="00C81B24" w:rsidRPr="00C81B24" w:rsidRDefault="00C81B24" w:rsidP="00CE5850">
            <w:pPr>
              <w:jc w:val="right"/>
              <w:rPr>
                <w:color w:val="000000"/>
                <w:sz w:val="20"/>
              </w:rPr>
            </w:pPr>
            <w:r w:rsidRPr="00C81B24">
              <w:rPr>
                <w:color w:val="000000"/>
                <w:sz w:val="20"/>
              </w:rPr>
              <w:t>604.61</w:t>
            </w:r>
          </w:p>
        </w:tc>
      </w:tr>
      <w:tr w:rsidR="00C81B24" w:rsidRPr="00C81B24" w:rsidTr="00526AD9">
        <w:trPr>
          <w:trHeight w:val="255"/>
          <w:jc w:val="center"/>
        </w:trPr>
        <w:tc>
          <w:tcPr>
            <w:tcW w:w="554" w:type="dxa"/>
            <w:tcBorders>
              <w:top w:val="nil"/>
              <w:left w:val="single" w:sz="4" w:space="0" w:color="auto"/>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24</w:t>
            </w:r>
          </w:p>
        </w:tc>
        <w:tc>
          <w:tcPr>
            <w:tcW w:w="456" w:type="dxa"/>
            <w:tcBorders>
              <w:top w:val="nil"/>
              <w:left w:val="single" w:sz="4" w:space="0" w:color="auto"/>
              <w:bottom w:val="single" w:sz="4" w:space="0" w:color="auto"/>
              <w:right w:val="single" w:sz="4" w:space="0" w:color="auto"/>
            </w:tcBorders>
            <w:vAlign w:val="center"/>
          </w:tcPr>
          <w:p w:rsidR="00C81B24" w:rsidRPr="00C81B24" w:rsidRDefault="00C81B24" w:rsidP="00CE5850">
            <w:pPr>
              <w:jc w:val="right"/>
              <w:rPr>
                <w:sz w:val="20"/>
              </w:rPr>
            </w:pPr>
            <w:r w:rsidRPr="00C81B24">
              <w:rPr>
                <w:sz w:val="20"/>
              </w:rPr>
              <w:t>49</w:t>
            </w:r>
          </w:p>
        </w:tc>
        <w:tc>
          <w:tcPr>
            <w:tcW w:w="4012" w:type="dxa"/>
            <w:tcBorders>
              <w:top w:val="nil"/>
              <w:left w:val="nil"/>
              <w:bottom w:val="single" w:sz="4" w:space="0" w:color="auto"/>
              <w:right w:val="single" w:sz="4" w:space="0" w:color="auto"/>
            </w:tcBorders>
            <w:vAlign w:val="center"/>
          </w:tcPr>
          <w:p w:rsidR="00C81B24" w:rsidRPr="00C81B24" w:rsidRDefault="00C81B24" w:rsidP="00CE5850">
            <w:pPr>
              <w:rPr>
                <w:sz w:val="20"/>
              </w:rPr>
            </w:pPr>
            <w:r w:rsidRPr="00C81B24">
              <w:rPr>
                <w:sz w:val="20"/>
                <w:lang w:val="it-IT"/>
              </w:rPr>
              <w:t>Cincinnati-Hamilton, OH-KY-IN</w:t>
            </w:r>
          </w:p>
        </w:tc>
        <w:tc>
          <w:tcPr>
            <w:tcW w:w="1102" w:type="dxa"/>
            <w:tcBorders>
              <w:top w:val="nil"/>
              <w:left w:val="nil"/>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 xml:space="preserve"> 2,448,002 </w:t>
            </w:r>
          </w:p>
        </w:tc>
        <w:tc>
          <w:tcPr>
            <w:tcW w:w="1155" w:type="dxa"/>
            <w:tcBorders>
              <w:top w:val="nil"/>
              <w:left w:val="nil"/>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 xml:space="preserve"> 2,322,713 </w:t>
            </w:r>
          </w:p>
        </w:tc>
        <w:tc>
          <w:tcPr>
            <w:tcW w:w="979" w:type="dxa"/>
            <w:tcBorders>
              <w:top w:val="nil"/>
              <w:left w:val="nil"/>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105%</w:t>
            </w:r>
          </w:p>
        </w:tc>
        <w:tc>
          <w:tcPr>
            <w:tcW w:w="635" w:type="dxa"/>
            <w:tcBorders>
              <w:top w:val="nil"/>
              <w:left w:val="nil"/>
              <w:bottom w:val="single" w:sz="4" w:space="0" w:color="auto"/>
              <w:right w:val="single" w:sz="4" w:space="0" w:color="auto"/>
            </w:tcBorders>
            <w:noWrap/>
            <w:vAlign w:val="bottom"/>
          </w:tcPr>
          <w:p w:rsidR="00C81B24" w:rsidRPr="00C81B24" w:rsidRDefault="00C81B24" w:rsidP="00CE5850">
            <w:pPr>
              <w:jc w:val="right"/>
              <w:rPr>
                <w:sz w:val="20"/>
              </w:rPr>
            </w:pPr>
            <w:r w:rsidRPr="00C81B24">
              <w:rPr>
                <w:sz w:val="20"/>
              </w:rPr>
              <w:t>2437</w:t>
            </w:r>
          </w:p>
        </w:tc>
        <w:tc>
          <w:tcPr>
            <w:tcW w:w="536" w:type="dxa"/>
            <w:tcBorders>
              <w:top w:val="nil"/>
              <w:left w:val="nil"/>
              <w:bottom w:val="single" w:sz="4" w:space="0" w:color="auto"/>
              <w:right w:val="single" w:sz="4" w:space="0" w:color="auto"/>
            </w:tcBorders>
            <w:vAlign w:val="bottom"/>
          </w:tcPr>
          <w:p w:rsidR="00C81B24" w:rsidRPr="00C81B24" w:rsidRDefault="00C81B24" w:rsidP="00CE5850">
            <w:pPr>
              <w:autoSpaceDE w:val="0"/>
              <w:autoSpaceDN w:val="0"/>
              <w:adjustRightInd w:val="0"/>
              <w:jc w:val="right"/>
              <w:rPr>
                <w:color w:val="000000"/>
                <w:kern w:val="0"/>
                <w:sz w:val="20"/>
              </w:rPr>
            </w:pPr>
            <w:r w:rsidRPr="00C81B24">
              <w:rPr>
                <w:color w:val="000000"/>
                <w:kern w:val="0"/>
                <w:sz w:val="20"/>
              </w:rPr>
              <w:t>2376</w:t>
            </w:r>
          </w:p>
        </w:tc>
        <w:tc>
          <w:tcPr>
            <w:tcW w:w="736" w:type="dxa"/>
            <w:tcBorders>
              <w:top w:val="nil"/>
              <w:left w:val="nil"/>
              <w:bottom w:val="single" w:sz="4" w:space="0" w:color="auto"/>
              <w:right w:val="single" w:sz="4" w:space="0" w:color="auto"/>
            </w:tcBorders>
            <w:vAlign w:val="bottom"/>
          </w:tcPr>
          <w:p w:rsidR="00C81B24" w:rsidRPr="00C81B24" w:rsidRDefault="00C81B24" w:rsidP="00CE5850">
            <w:pPr>
              <w:jc w:val="right"/>
              <w:rPr>
                <w:color w:val="000000"/>
                <w:sz w:val="20"/>
              </w:rPr>
            </w:pPr>
            <w:r w:rsidRPr="00C81B24">
              <w:rPr>
                <w:color w:val="000000"/>
                <w:sz w:val="20"/>
              </w:rPr>
              <w:t>315.95</w:t>
            </w:r>
          </w:p>
        </w:tc>
      </w:tr>
      <w:tr w:rsidR="00C81B24" w:rsidRPr="00C81B24" w:rsidTr="00526AD9">
        <w:trPr>
          <w:trHeight w:val="255"/>
          <w:jc w:val="center"/>
        </w:trPr>
        <w:tc>
          <w:tcPr>
            <w:tcW w:w="554" w:type="dxa"/>
            <w:tcBorders>
              <w:top w:val="nil"/>
              <w:left w:val="single" w:sz="4" w:space="0" w:color="auto"/>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25</w:t>
            </w:r>
          </w:p>
        </w:tc>
        <w:tc>
          <w:tcPr>
            <w:tcW w:w="456" w:type="dxa"/>
            <w:tcBorders>
              <w:top w:val="nil"/>
              <w:left w:val="single" w:sz="4" w:space="0" w:color="auto"/>
              <w:bottom w:val="single" w:sz="4" w:space="0" w:color="auto"/>
              <w:right w:val="single" w:sz="4" w:space="0" w:color="auto"/>
            </w:tcBorders>
            <w:vAlign w:val="center"/>
          </w:tcPr>
          <w:p w:rsidR="00C81B24" w:rsidRPr="00C81B24" w:rsidRDefault="00C81B24" w:rsidP="00CE5850">
            <w:pPr>
              <w:jc w:val="right"/>
              <w:rPr>
                <w:sz w:val="20"/>
              </w:rPr>
            </w:pPr>
            <w:r w:rsidRPr="00C81B24">
              <w:rPr>
                <w:sz w:val="20"/>
              </w:rPr>
              <w:t>64</w:t>
            </w:r>
          </w:p>
        </w:tc>
        <w:tc>
          <w:tcPr>
            <w:tcW w:w="4012" w:type="dxa"/>
            <w:tcBorders>
              <w:top w:val="nil"/>
              <w:left w:val="nil"/>
              <w:bottom w:val="single" w:sz="4" w:space="0" w:color="auto"/>
              <w:right w:val="single" w:sz="4" w:space="0" w:color="auto"/>
            </w:tcBorders>
            <w:vAlign w:val="center"/>
          </w:tcPr>
          <w:p w:rsidR="00C81B24" w:rsidRPr="00C81B24" w:rsidRDefault="00C81B24" w:rsidP="00CE5850">
            <w:pPr>
              <w:rPr>
                <w:sz w:val="20"/>
              </w:rPr>
            </w:pPr>
            <w:r w:rsidRPr="00C81B24">
              <w:rPr>
                <w:sz w:val="20"/>
              </w:rPr>
              <w:t>Chicago-Gary-Kenosha, IL-IN-WI</w:t>
            </w:r>
          </w:p>
        </w:tc>
        <w:tc>
          <w:tcPr>
            <w:tcW w:w="1102" w:type="dxa"/>
            <w:tcBorders>
              <w:top w:val="nil"/>
              <w:left w:val="nil"/>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 xml:space="preserve"> 11,289,855 </w:t>
            </w:r>
          </w:p>
        </w:tc>
        <w:tc>
          <w:tcPr>
            <w:tcW w:w="1155" w:type="dxa"/>
            <w:tcBorders>
              <w:top w:val="nil"/>
              <w:left w:val="nil"/>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 xml:space="preserve"> 10,799,171 </w:t>
            </w:r>
          </w:p>
        </w:tc>
        <w:tc>
          <w:tcPr>
            <w:tcW w:w="979" w:type="dxa"/>
            <w:tcBorders>
              <w:top w:val="nil"/>
              <w:left w:val="nil"/>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105%</w:t>
            </w:r>
          </w:p>
        </w:tc>
        <w:tc>
          <w:tcPr>
            <w:tcW w:w="635" w:type="dxa"/>
            <w:tcBorders>
              <w:top w:val="nil"/>
              <w:left w:val="nil"/>
              <w:bottom w:val="single" w:sz="4" w:space="0" w:color="auto"/>
              <w:right w:val="single" w:sz="4" w:space="0" w:color="auto"/>
            </w:tcBorders>
            <w:noWrap/>
            <w:vAlign w:val="bottom"/>
          </w:tcPr>
          <w:p w:rsidR="00C81B24" w:rsidRPr="00C81B24" w:rsidRDefault="00C81B24" w:rsidP="00CE5850">
            <w:pPr>
              <w:jc w:val="right"/>
              <w:rPr>
                <w:sz w:val="20"/>
              </w:rPr>
            </w:pPr>
            <w:r w:rsidRPr="00C81B24">
              <w:rPr>
                <w:sz w:val="20"/>
              </w:rPr>
              <w:t>2120</w:t>
            </w:r>
          </w:p>
        </w:tc>
        <w:tc>
          <w:tcPr>
            <w:tcW w:w="536" w:type="dxa"/>
            <w:tcBorders>
              <w:top w:val="nil"/>
              <w:left w:val="nil"/>
              <w:bottom w:val="single" w:sz="4" w:space="0" w:color="auto"/>
              <w:right w:val="single" w:sz="4" w:space="0" w:color="auto"/>
            </w:tcBorders>
            <w:vAlign w:val="bottom"/>
          </w:tcPr>
          <w:p w:rsidR="00C81B24" w:rsidRPr="00C81B24" w:rsidRDefault="00C81B24" w:rsidP="00CE5850">
            <w:pPr>
              <w:autoSpaceDE w:val="0"/>
              <w:autoSpaceDN w:val="0"/>
              <w:adjustRightInd w:val="0"/>
              <w:jc w:val="right"/>
              <w:rPr>
                <w:color w:val="000000"/>
                <w:kern w:val="0"/>
                <w:sz w:val="20"/>
              </w:rPr>
            </w:pPr>
            <w:r w:rsidRPr="00C81B24">
              <w:rPr>
                <w:color w:val="000000"/>
                <w:kern w:val="0"/>
                <w:sz w:val="20"/>
              </w:rPr>
              <w:t>2092</w:t>
            </w:r>
          </w:p>
        </w:tc>
        <w:tc>
          <w:tcPr>
            <w:tcW w:w="736" w:type="dxa"/>
            <w:tcBorders>
              <w:top w:val="nil"/>
              <w:left w:val="nil"/>
              <w:bottom w:val="single" w:sz="4" w:space="0" w:color="auto"/>
              <w:right w:val="single" w:sz="4" w:space="0" w:color="auto"/>
            </w:tcBorders>
            <w:vAlign w:val="bottom"/>
          </w:tcPr>
          <w:p w:rsidR="00C81B24" w:rsidRPr="00C81B24" w:rsidRDefault="00C81B24" w:rsidP="00CE5850">
            <w:pPr>
              <w:jc w:val="right"/>
              <w:rPr>
                <w:color w:val="000000"/>
                <w:sz w:val="20"/>
              </w:rPr>
            </w:pPr>
            <w:r w:rsidRPr="00C81B24">
              <w:rPr>
                <w:color w:val="000000"/>
                <w:sz w:val="20"/>
              </w:rPr>
              <w:t>585.21</w:t>
            </w:r>
          </w:p>
        </w:tc>
      </w:tr>
      <w:tr w:rsidR="00C81B24" w:rsidRPr="00C81B24" w:rsidTr="00526AD9">
        <w:trPr>
          <w:trHeight w:val="255"/>
          <w:jc w:val="center"/>
        </w:trPr>
        <w:tc>
          <w:tcPr>
            <w:tcW w:w="554" w:type="dxa"/>
            <w:tcBorders>
              <w:top w:val="nil"/>
              <w:left w:val="single" w:sz="4" w:space="0" w:color="auto"/>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26</w:t>
            </w:r>
          </w:p>
        </w:tc>
        <w:tc>
          <w:tcPr>
            <w:tcW w:w="456" w:type="dxa"/>
            <w:tcBorders>
              <w:top w:val="nil"/>
              <w:left w:val="single" w:sz="4" w:space="0" w:color="auto"/>
              <w:bottom w:val="single" w:sz="4" w:space="0" w:color="auto"/>
              <w:right w:val="single" w:sz="4" w:space="0" w:color="auto"/>
            </w:tcBorders>
            <w:vAlign w:val="center"/>
          </w:tcPr>
          <w:p w:rsidR="00C81B24" w:rsidRPr="00C81B24" w:rsidRDefault="00C81B24" w:rsidP="00CE5850">
            <w:pPr>
              <w:jc w:val="right"/>
              <w:rPr>
                <w:sz w:val="20"/>
              </w:rPr>
            </w:pPr>
            <w:r w:rsidRPr="00C81B24">
              <w:rPr>
                <w:sz w:val="20"/>
              </w:rPr>
              <w:t>78</w:t>
            </w:r>
          </w:p>
        </w:tc>
        <w:tc>
          <w:tcPr>
            <w:tcW w:w="4012" w:type="dxa"/>
            <w:tcBorders>
              <w:top w:val="nil"/>
              <w:left w:val="nil"/>
              <w:bottom w:val="single" w:sz="4" w:space="0" w:color="auto"/>
              <w:right w:val="single" w:sz="4" w:space="0" w:color="auto"/>
            </w:tcBorders>
            <w:vAlign w:val="center"/>
          </w:tcPr>
          <w:p w:rsidR="00C81B24" w:rsidRPr="00C81B24" w:rsidRDefault="00C81B24" w:rsidP="00CE5850">
            <w:pPr>
              <w:rPr>
                <w:sz w:val="20"/>
              </w:rPr>
            </w:pPr>
            <w:r w:rsidRPr="00C81B24">
              <w:rPr>
                <w:sz w:val="20"/>
              </w:rPr>
              <w:t>Birmingham, AL</w:t>
            </w:r>
          </w:p>
        </w:tc>
        <w:tc>
          <w:tcPr>
            <w:tcW w:w="1102" w:type="dxa"/>
            <w:tcBorders>
              <w:top w:val="nil"/>
              <w:left w:val="nil"/>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 xml:space="preserve"> 1,776,279 </w:t>
            </w:r>
          </w:p>
        </w:tc>
        <w:tc>
          <w:tcPr>
            <w:tcW w:w="1155" w:type="dxa"/>
            <w:tcBorders>
              <w:top w:val="nil"/>
              <w:left w:val="nil"/>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 xml:space="preserve"> 1,697,065 </w:t>
            </w:r>
          </w:p>
        </w:tc>
        <w:tc>
          <w:tcPr>
            <w:tcW w:w="979" w:type="dxa"/>
            <w:tcBorders>
              <w:top w:val="nil"/>
              <w:left w:val="nil"/>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105%</w:t>
            </w:r>
          </w:p>
        </w:tc>
        <w:tc>
          <w:tcPr>
            <w:tcW w:w="635" w:type="dxa"/>
            <w:tcBorders>
              <w:top w:val="nil"/>
              <w:left w:val="nil"/>
              <w:bottom w:val="single" w:sz="4" w:space="0" w:color="auto"/>
              <w:right w:val="single" w:sz="4" w:space="0" w:color="auto"/>
            </w:tcBorders>
            <w:noWrap/>
            <w:vAlign w:val="bottom"/>
          </w:tcPr>
          <w:p w:rsidR="00C81B24" w:rsidRPr="00C81B24" w:rsidRDefault="00C81B24" w:rsidP="00CE5850">
            <w:pPr>
              <w:jc w:val="right"/>
              <w:rPr>
                <w:sz w:val="20"/>
              </w:rPr>
            </w:pPr>
            <w:r w:rsidRPr="00C81B24">
              <w:rPr>
                <w:sz w:val="20"/>
              </w:rPr>
              <w:t>3035</w:t>
            </w:r>
          </w:p>
        </w:tc>
        <w:tc>
          <w:tcPr>
            <w:tcW w:w="536" w:type="dxa"/>
            <w:tcBorders>
              <w:top w:val="nil"/>
              <w:left w:val="nil"/>
              <w:bottom w:val="single" w:sz="4" w:space="0" w:color="auto"/>
              <w:right w:val="single" w:sz="4" w:space="0" w:color="auto"/>
            </w:tcBorders>
            <w:vAlign w:val="bottom"/>
          </w:tcPr>
          <w:p w:rsidR="00C81B24" w:rsidRPr="00C81B24" w:rsidRDefault="00C81B24" w:rsidP="00CE5850">
            <w:pPr>
              <w:autoSpaceDE w:val="0"/>
              <w:autoSpaceDN w:val="0"/>
              <w:adjustRightInd w:val="0"/>
              <w:jc w:val="right"/>
              <w:rPr>
                <w:color w:val="000000"/>
                <w:kern w:val="0"/>
                <w:sz w:val="20"/>
              </w:rPr>
            </w:pPr>
            <w:r w:rsidRPr="00C81B24">
              <w:rPr>
                <w:color w:val="000000"/>
                <w:kern w:val="0"/>
                <w:sz w:val="20"/>
              </w:rPr>
              <w:t>3112</w:t>
            </w:r>
          </w:p>
        </w:tc>
        <w:tc>
          <w:tcPr>
            <w:tcW w:w="736" w:type="dxa"/>
            <w:tcBorders>
              <w:top w:val="nil"/>
              <w:left w:val="nil"/>
              <w:bottom w:val="single" w:sz="4" w:space="0" w:color="auto"/>
              <w:right w:val="single" w:sz="4" w:space="0" w:color="auto"/>
            </w:tcBorders>
            <w:vAlign w:val="bottom"/>
          </w:tcPr>
          <w:p w:rsidR="00C81B24" w:rsidRPr="00C81B24" w:rsidRDefault="00C81B24" w:rsidP="00CE5850">
            <w:pPr>
              <w:jc w:val="right"/>
              <w:rPr>
                <w:color w:val="000000"/>
                <w:sz w:val="20"/>
              </w:rPr>
            </w:pPr>
            <w:r w:rsidRPr="00C81B24">
              <w:rPr>
                <w:color w:val="000000"/>
                <w:sz w:val="20"/>
              </w:rPr>
              <w:t>149.68</w:t>
            </w:r>
          </w:p>
        </w:tc>
      </w:tr>
      <w:tr w:rsidR="00C81B24" w:rsidRPr="00C81B24" w:rsidTr="00526AD9">
        <w:trPr>
          <w:trHeight w:val="255"/>
          <w:jc w:val="center"/>
        </w:trPr>
        <w:tc>
          <w:tcPr>
            <w:tcW w:w="554" w:type="dxa"/>
            <w:tcBorders>
              <w:top w:val="nil"/>
              <w:left w:val="single" w:sz="4" w:space="0" w:color="auto"/>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27</w:t>
            </w:r>
          </w:p>
        </w:tc>
        <w:tc>
          <w:tcPr>
            <w:tcW w:w="456" w:type="dxa"/>
            <w:tcBorders>
              <w:top w:val="nil"/>
              <w:left w:val="single" w:sz="4" w:space="0" w:color="auto"/>
              <w:bottom w:val="single" w:sz="4" w:space="0" w:color="auto"/>
              <w:right w:val="single" w:sz="4" w:space="0" w:color="auto"/>
            </w:tcBorders>
            <w:vAlign w:val="center"/>
          </w:tcPr>
          <w:p w:rsidR="00C81B24" w:rsidRPr="00C81B24" w:rsidRDefault="00C81B24" w:rsidP="00CE5850">
            <w:pPr>
              <w:jc w:val="right"/>
              <w:rPr>
                <w:sz w:val="20"/>
              </w:rPr>
            </w:pPr>
            <w:r w:rsidRPr="00C81B24">
              <w:rPr>
                <w:sz w:val="20"/>
              </w:rPr>
              <w:t>87</w:t>
            </w:r>
          </w:p>
        </w:tc>
        <w:tc>
          <w:tcPr>
            <w:tcW w:w="4012" w:type="dxa"/>
            <w:tcBorders>
              <w:top w:val="nil"/>
              <w:left w:val="nil"/>
              <w:bottom w:val="single" w:sz="4" w:space="0" w:color="auto"/>
              <w:right w:val="single" w:sz="4" w:space="0" w:color="auto"/>
            </w:tcBorders>
            <w:vAlign w:val="center"/>
          </w:tcPr>
          <w:p w:rsidR="00C81B24" w:rsidRPr="00C81B24" w:rsidRDefault="00C81B24" w:rsidP="00CE5850">
            <w:pPr>
              <w:rPr>
                <w:sz w:val="20"/>
              </w:rPr>
            </w:pPr>
            <w:r w:rsidRPr="00C81B24">
              <w:rPr>
                <w:sz w:val="20"/>
              </w:rPr>
              <w:t>Beaumont-Port Arthur, TX</w:t>
            </w:r>
          </w:p>
        </w:tc>
        <w:tc>
          <w:tcPr>
            <w:tcW w:w="1102" w:type="dxa"/>
            <w:tcBorders>
              <w:top w:val="nil"/>
              <w:left w:val="nil"/>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 xml:space="preserve"> 484,569 </w:t>
            </w:r>
          </w:p>
        </w:tc>
        <w:tc>
          <w:tcPr>
            <w:tcW w:w="1155" w:type="dxa"/>
            <w:tcBorders>
              <w:top w:val="nil"/>
              <w:left w:val="nil"/>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 xml:space="preserve"> 462,951 </w:t>
            </w:r>
          </w:p>
        </w:tc>
        <w:tc>
          <w:tcPr>
            <w:tcW w:w="979" w:type="dxa"/>
            <w:tcBorders>
              <w:top w:val="nil"/>
              <w:left w:val="nil"/>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105%</w:t>
            </w:r>
          </w:p>
        </w:tc>
        <w:tc>
          <w:tcPr>
            <w:tcW w:w="635" w:type="dxa"/>
            <w:tcBorders>
              <w:top w:val="nil"/>
              <w:left w:val="nil"/>
              <w:bottom w:val="single" w:sz="4" w:space="0" w:color="auto"/>
              <w:right w:val="single" w:sz="4" w:space="0" w:color="auto"/>
            </w:tcBorders>
            <w:noWrap/>
            <w:vAlign w:val="bottom"/>
          </w:tcPr>
          <w:p w:rsidR="00C81B24" w:rsidRPr="00C81B24" w:rsidRDefault="00C81B24" w:rsidP="00CE5850">
            <w:pPr>
              <w:jc w:val="right"/>
              <w:rPr>
                <w:sz w:val="20"/>
              </w:rPr>
            </w:pPr>
            <w:r w:rsidRPr="00C81B24">
              <w:rPr>
                <w:sz w:val="20"/>
              </w:rPr>
              <w:t>3383</w:t>
            </w:r>
          </w:p>
        </w:tc>
        <w:tc>
          <w:tcPr>
            <w:tcW w:w="536" w:type="dxa"/>
            <w:tcBorders>
              <w:top w:val="nil"/>
              <w:left w:val="nil"/>
              <w:bottom w:val="single" w:sz="4" w:space="0" w:color="auto"/>
              <w:right w:val="single" w:sz="4" w:space="0" w:color="auto"/>
            </w:tcBorders>
            <w:vAlign w:val="bottom"/>
          </w:tcPr>
          <w:p w:rsidR="00C81B24" w:rsidRPr="00C81B24" w:rsidRDefault="00C81B24" w:rsidP="00CE5850">
            <w:pPr>
              <w:autoSpaceDE w:val="0"/>
              <w:autoSpaceDN w:val="0"/>
              <w:adjustRightInd w:val="0"/>
              <w:jc w:val="right"/>
              <w:rPr>
                <w:color w:val="000000"/>
                <w:kern w:val="0"/>
                <w:sz w:val="20"/>
              </w:rPr>
            </w:pPr>
            <w:r w:rsidRPr="00C81B24">
              <w:rPr>
                <w:color w:val="000000"/>
                <w:kern w:val="0"/>
                <w:sz w:val="20"/>
              </w:rPr>
              <w:t>3383</w:t>
            </w:r>
          </w:p>
        </w:tc>
        <w:tc>
          <w:tcPr>
            <w:tcW w:w="736" w:type="dxa"/>
            <w:tcBorders>
              <w:top w:val="nil"/>
              <w:left w:val="nil"/>
              <w:bottom w:val="single" w:sz="4" w:space="0" w:color="auto"/>
              <w:right w:val="single" w:sz="4" w:space="0" w:color="auto"/>
            </w:tcBorders>
            <w:vAlign w:val="bottom"/>
          </w:tcPr>
          <w:p w:rsidR="00C81B24" w:rsidRPr="00C81B24" w:rsidRDefault="00C81B24" w:rsidP="00CE5850">
            <w:pPr>
              <w:jc w:val="right"/>
              <w:rPr>
                <w:color w:val="000000"/>
                <w:sz w:val="20"/>
              </w:rPr>
            </w:pPr>
            <w:r w:rsidRPr="00C81B24">
              <w:rPr>
                <w:color w:val="000000"/>
                <w:sz w:val="20"/>
              </w:rPr>
              <w:t>94.06</w:t>
            </w:r>
          </w:p>
        </w:tc>
      </w:tr>
      <w:tr w:rsidR="00C81B24" w:rsidRPr="00C81B24" w:rsidTr="00526AD9">
        <w:trPr>
          <w:trHeight w:val="255"/>
          <w:jc w:val="center"/>
        </w:trPr>
        <w:tc>
          <w:tcPr>
            <w:tcW w:w="554" w:type="dxa"/>
            <w:tcBorders>
              <w:top w:val="nil"/>
              <w:left w:val="single" w:sz="4" w:space="0" w:color="auto"/>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28</w:t>
            </w:r>
          </w:p>
        </w:tc>
        <w:tc>
          <w:tcPr>
            <w:tcW w:w="456" w:type="dxa"/>
            <w:tcBorders>
              <w:top w:val="nil"/>
              <w:left w:val="single" w:sz="4" w:space="0" w:color="auto"/>
              <w:bottom w:val="single" w:sz="4" w:space="0" w:color="auto"/>
              <w:right w:val="single" w:sz="4" w:space="0" w:color="auto"/>
            </w:tcBorders>
            <w:vAlign w:val="center"/>
          </w:tcPr>
          <w:p w:rsidR="00C81B24" w:rsidRPr="00C81B24" w:rsidRDefault="00C81B24" w:rsidP="00CE5850">
            <w:pPr>
              <w:jc w:val="right"/>
              <w:rPr>
                <w:sz w:val="20"/>
              </w:rPr>
            </w:pPr>
            <w:r w:rsidRPr="00C81B24">
              <w:rPr>
                <w:sz w:val="20"/>
              </w:rPr>
              <w:t>111</w:t>
            </w:r>
          </w:p>
        </w:tc>
        <w:tc>
          <w:tcPr>
            <w:tcW w:w="4012" w:type="dxa"/>
            <w:tcBorders>
              <w:top w:val="nil"/>
              <w:left w:val="nil"/>
              <w:bottom w:val="single" w:sz="4" w:space="0" w:color="auto"/>
              <w:right w:val="single" w:sz="4" w:space="0" w:color="auto"/>
            </w:tcBorders>
            <w:vAlign w:val="center"/>
          </w:tcPr>
          <w:p w:rsidR="00C81B24" w:rsidRPr="00C81B24" w:rsidRDefault="00C81B24" w:rsidP="00CE5850">
            <w:pPr>
              <w:rPr>
                <w:sz w:val="20"/>
              </w:rPr>
            </w:pPr>
            <w:r w:rsidRPr="00C81B24">
              <w:rPr>
                <w:sz w:val="20"/>
              </w:rPr>
              <w:t>Minot, ND</w:t>
            </w:r>
          </w:p>
        </w:tc>
        <w:tc>
          <w:tcPr>
            <w:tcW w:w="1102" w:type="dxa"/>
            <w:tcBorders>
              <w:top w:val="nil"/>
              <w:left w:val="nil"/>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 xml:space="preserve"> 128,558 </w:t>
            </w:r>
          </w:p>
        </w:tc>
        <w:tc>
          <w:tcPr>
            <w:tcW w:w="1155" w:type="dxa"/>
            <w:tcBorders>
              <w:top w:val="nil"/>
              <w:left w:val="nil"/>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 xml:space="preserve"> 122,158 </w:t>
            </w:r>
          </w:p>
        </w:tc>
        <w:tc>
          <w:tcPr>
            <w:tcW w:w="979" w:type="dxa"/>
            <w:tcBorders>
              <w:top w:val="nil"/>
              <w:left w:val="nil"/>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105%</w:t>
            </w:r>
          </w:p>
        </w:tc>
        <w:tc>
          <w:tcPr>
            <w:tcW w:w="635" w:type="dxa"/>
            <w:tcBorders>
              <w:top w:val="nil"/>
              <w:left w:val="nil"/>
              <w:bottom w:val="single" w:sz="4" w:space="0" w:color="auto"/>
              <w:right w:val="single" w:sz="4" w:space="0" w:color="auto"/>
            </w:tcBorders>
            <w:noWrap/>
            <w:vAlign w:val="bottom"/>
          </w:tcPr>
          <w:p w:rsidR="00C81B24" w:rsidRPr="00C81B24" w:rsidRDefault="00C81B24" w:rsidP="00CE5850">
            <w:pPr>
              <w:jc w:val="right"/>
              <w:rPr>
                <w:sz w:val="20"/>
              </w:rPr>
            </w:pPr>
            <w:r w:rsidRPr="00C81B24">
              <w:rPr>
                <w:sz w:val="20"/>
              </w:rPr>
              <w:t>5542</w:t>
            </w:r>
          </w:p>
        </w:tc>
        <w:tc>
          <w:tcPr>
            <w:tcW w:w="536" w:type="dxa"/>
            <w:tcBorders>
              <w:top w:val="nil"/>
              <w:left w:val="nil"/>
              <w:bottom w:val="single" w:sz="4" w:space="0" w:color="auto"/>
              <w:right w:val="single" w:sz="4" w:space="0" w:color="auto"/>
            </w:tcBorders>
            <w:vAlign w:val="bottom"/>
          </w:tcPr>
          <w:p w:rsidR="00C81B24" w:rsidRPr="00C81B24" w:rsidRDefault="00C81B24" w:rsidP="00CE5850">
            <w:pPr>
              <w:autoSpaceDE w:val="0"/>
              <w:autoSpaceDN w:val="0"/>
              <w:adjustRightInd w:val="0"/>
              <w:jc w:val="right"/>
              <w:rPr>
                <w:color w:val="000000"/>
                <w:kern w:val="0"/>
                <w:sz w:val="20"/>
              </w:rPr>
            </w:pPr>
            <w:r w:rsidRPr="00C81B24">
              <w:rPr>
                <w:color w:val="000000"/>
                <w:kern w:val="0"/>
                <w:sz w:val="20"/>
              </w:rPr>
              <w:t>4611</w:t>
            </w:r>
          </w:p>
        </w:tc>
        <w:tc>
          <w:tcPr>
            <w:tcW w:w="736" w:type="dxa"/>
            <w:tcBorders>
              <w:top w:val="nil"/>
              <w:left w:val="nil"/>
              <w:bottom w:val="single" w:sz="4" w:space="0" w:color="auto"/>
              <w:right w:val="single" w:sz="4" w:space="0" w:color="auto"/>
            </w:tcBorders>
            <w:vAlign w:val="bottom"/>
          </w:tcPr>
          <w:p w:rsidR="00C81B24" w:rsidRPr="00C81B24" w:rsidRDefault="00C81B24" w:rsidP="00CE5850">
            <w:pPr>
              <w:jc w:val="right"/>
              <w:rPr>
                <w:color w:val="000000"/>
                <w:sz w:val="20"/>
              </w:rPr>
            </w:pPr>
            <w:r w:rsidRPr="00C81B24">
              <w:rPr>
                <w:color w:val="000000"/>
                <w:sz w:val="20"/>
              </w:rPr>
              <w:t>7.53</w:t>
            </w:r>
          </w:p>
        </w:tc>
      </w:tr>
      <w:tr w:rsidR="00C81B24" w:rsidRPr="00C81B24" w:rsidTr="00526AD9">
        <w:trPr>
          <w:trHeight w:val="255"/>
          <w:jc w:val="center"/>
        </w:trPr>
        <w:tc>
          <w:tcPr>
            <w:tcW w:w="554" w:type="dxa"/>
            <w:tcBorders>
              <w:top w:val="nil"/>
              <w:left w:val="single" w:sz="4" w:space="0" w:color="auto"/>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29</w:t>
            </w:r>
          </w:p>
        </w:tc>
        <w:tc>
          <w:tcPr>
            <w:tcW w:w="456" w:type="dxa"/>
            <w:tcBorders>
              <w:top w:val="nil"/>
              <w:left w:val="single" w:sz="4" w:space="0" w:color="auto"/>
              <w:bottom w:val="single" w:sz="4" w:space="0" w:color="auto"/>
              <w:right w:val="single" w:sz="4" w:space="0" w:color="auto"/>
            </w:tcBorders>
            <w:vAlign w:val="center"/>
          </w:tcPr>
          <w:p w:rsidR="00C81B24" w:rsidRPr="00C81B24" w:rsidRDefault="00C81B24" w:rsidP="00CE5850">
            <w:pPr>
              <w:jc w:val="right"/>
              <w:rPr>
                <w:sz w:val="20"/>
              </w:rPr>
            </w:pPr>
            <w:r w:rsidRPr="00C81B24">
              <w:rPr>
                <w:sz w:val="20"/>
              </w:rPr>
              <w:t>122</w:t>
            </w:r>
          </w:p>
        </w:tc>
        <w:tc>
          <w:tcPr>
            <w:tcW w:w="4012" w:type="dxa"/>
            <w:tcBorders>
              <w:top w:val="nil"/>
              <w:left w:val="nil"/>
              <w:bottom w:val="single" w:sz="4" w:space="0" w:color="auto"/>
              <w:right w:val="single" w:sz="4" w:space="0" w:color="auto"/>
            </w:tcBorders>
            <w:vAlign w:val="center"/>
          </w:tcPr>
          <w:p w:rsidR="00C81B24" w:rsidRPr="00C81B24" w:rsidRDefault="00C81B24" w:rsidP="00CE5850">
            <w:pPr>
              <w:rPr>
                <w:sz w:val="20"/>
              </w:rPr>
            </w:pPr>
            <w:r w:rsidRPr="00C81B24">
              <w:rPr>
                <w:sz w:val="20"/>
              </w:rPr>
              <w:t>Wichita, KS-OK</w:t>
            </w:r>
          </w:p>
        </w:tc>
        <w:tc>
          <w:tcPr>
            <w:tcW w:w="1102" w:type="dxa"/>
            <w:tcBorders>
              <w:top w:val="nil"/>
              <w:left w:val="nil"/>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 xml:space="preserve"> 1,276,168 </w:t>
            </w:r>
          </w:p>
        </w:tc>
        <w:tc>
          <w:tcPr>
            <w:tcW w:w="1155" w:type="dxa"/>
            <w:tcBorders>
              <w:top w:val="nil"/>
              <w:left w:val="nil"/>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 xml:space="preserve"> 1,214,543 </w:t>
            </w:r>
          </w:p>
        </w:tc>
        <w:tc>
          <w:tcPr>
            <w:tcW w:w="979" w:type="dxa"/>
            <w:tcBorders>
              <w:top w:val="nil"/>
              <w:left w:val="nil"/>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105%</w:t>
            </w:r>
          </w:p>
        </w:tc>
        <w:tc>
          <w:tcPr>
            <w:tcW w:w="635" w:type="dxa"/>
            <w:tcBorders>
              <w:top w:val="nil"/>
              <w:left w:val="nil"/>
              <w:bottom w:val="single" w:sz="4" w:space="0" w:color="auto"/>
              <w:right w:val="single" w:sz="4" w:space="0" w:color="auto"/>
            </w:tcBorders>
            <w:noWrap/>
            <w:vAlign w:val="bottom"/>
          </w:tcPr>
          <w:p w:rsidR="00C81B24" w:rsidRPr="00C81B24" w:rsidRDefault="00C81B24" w:rsidP="00CE5850">
            <w:pPr>
              <w:jc w:val="right"/>
              <w:rPr>
                <w:sz w:val="20"/>
              </w:rPr>
            </w:pPr>
            <w:r w:rsidRPr="00C81B24">
              <w:rPr>
                <w:sz w:val="20"/>
              </w:rPr>
              <w:t>2821</w:t>
            </w:r>
          </w:p>
        </w:tc>
        <w:tc>
          <w:tcPr>
            <w:tcW w:w="536" w:type="dxa"/>
            <w:tcBorders>
              <w:top w:val="nil"/>
              <w:left w:val="nil"/>
              <w:bottom w:val="single" w:sz="4" w:space="0" w:color="auto"/>
              <w:right w:val="single" w:sz="4" w:space="0" w:color="auto"/>
            </w:tcBorders>
            <w:vAlign w:val="bottom"/>
          </w:tcPr>
          <w:p w:rsidR="00C81B24" w:rsidRPr="00C81B24" w:rsidRDefault="00C81B24" w:rsidP="00CE5850">
            <w:pPr>
              <w:autoSpaceDE w:val="0"/>
              <w:autoSpaceDN w:val="0"/>
              <w:adjustRightInd w:val="0"/>
              <w:jc w:val="right"/>
              <w:rPr>
                <w:color w:val="000000"/>
                <w:kern w:val="0"/>
                <w:sz w:val="20"/>
              </w:rPr>
            </w:pPr>
            <w:r w:rsidRPr="00C81B24">
              <w:rPr>
                <w:color w:val="000000"/>
                <w:kern w:val="0"/>
                <w:sz w:val="20"/>
              </w:rPr>
              <w:t>2837</w:t>
            </w:r>
          </w:p>
        </w:tc>
        <w:tc>
          <w:tcPr>
            <w:tcW w:w="736" w:type="dxa"/>
            <w:tcBorders>
              <w:top w:val="nil"/>
              <w:left w:val="nil"/>
              <w:bottom w:val="single" w:sz="4" w:space="0" w:color="auto"/>
              <w:right w:val="single" w:sz="4" w:space="0" w:color="auto"/>
            </w:tcBorders>
            <w:vAlign w:val="bottom"/>
          </w:tcPr>
          <w:p w:rsidR="00C81B24" w:rsidRPr="00C81B24" w:rsidRDefault="00C81B24" w:rsidP="00CE5850">
            <w:pPr>
              <w:jc w:val="right"/>
              <w:rPr>
                <w:color w:val="000000"/>
                <w:sz w:val="20"/>
              </w:rPr>
            </w:pPr>
            <w:r w:rsidRPr="00C81B24">
              <w:rPr>
                <w:color w:val="000000"/>
                <w:sz w:val="20"/>
              </w:rPr>
              <w:t>21.16</w:t>
            </w:r>
          </w:p>
        </w:tc>
      </w:tr>
      <w:tr w:rsidR="00C81B24" w:rsidRPr="00C81B24" w:rsidTr="00526AD9">
        <w:trPr>
          <w:trHeight w:val="255"/>
          <w:jc w:val="center"/>
        </w:trPr>
        <w:tc>
          <w:tcPr>
            <w:tcW w:w="554" w:type="dxa"/>
            <w:tcBorders>
              <w:top w:val="nil"/>
              <w:left w:val="single" w:sz="4" w:space="0" w:color="auto"/>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30</w:t>
            </w:r>
          </w:p>
        </w:tc>
        <w:tc>
          <w:tcPr>
            <w:tcW w:w="456" w:type="dxa"/>
            <w:tcBorders>
              <w:top w:val="nil"/>
              <w:left w:val="single" w:sz="4" w:space="0" w:color="auto"/>
              <w:bottom w:val="single" w:sz="4" w:space="0" w:color="auto"/>
              <w:right w:val="single" w:sz="4" w:space="0" w:color="auto"/>
            </w:tcBorders>
            <w:vAlign w:val="center"/>
          </w:tcPr>
          <w:p w:rsidR="00C81B24" w:rsidRPr="00C81B24" w:rsidRDefault="00C81B24" w:rsidP="00CE5850">
            <w:pPr>
              <w:jc w:val="right"/>
              <w:rPr>
                <w:sz w:val="20"/>
              </w:rPr>
            </w:pPr>
            <w:r w:rsidRPr="00C81B24">
              <w:rPr>
                <w:sz w:val="20"/>
              </w:rPr>
              <w:t>15</w:t>
            </w:r>
          </w:p>
        </w:tc>
        <w:tc>
          <w:tcPr>
            <w:tcW w:w="4012" w:type="dxa"/>
            <w:tcBorders>
              <w:top w:val="nil"/>
              <w:left w:val="nil"/>
              <w:bottom w:val="single" w:sz="4" w:space="0" w:color="auto"/>
              <w:right w:val="single" w:sz="4" w:space="0" w:color="auto"/>
            </w:tcBorders>
            <w:vAlign w:val="center"/>
          </w:tcPr>
          <w:p w:rsidR="00C81B24" w:rsidRPr="00C81B24" w:rsidRDefault="00C81B24" w:rsidP="00CE5850">
            <w:pPr>
              <w:rPr>
                <w:sz w:val="20"/>
              </w:rPr>
            </w:pPr>
            <w:r w:rsidRPr="00C81B24">
              <w:rPr>
                <w:sz w:val="20"/>
              </w:rPr>
              <w:t>Richmond-Petersburg, VA</w:t>
            </w:r>
          </w:p>
        </w:tc>
        <w:tc>
          <w:tcPr>
            <w:tcW w:w="1102" w:type="dxa"/>
            <w:tcBorders>
              <w:top w:val="nil"/>
              <w:left w:val="nil"/>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 xml:space="preserve"> 1,718,120 </w:t>
            </w:r>
          </w:p>
        </w:tc>
        <w:tc>
          <w:tcPr>
            <w:tcW w:w="1155" w:type="dxa"/>
            <w:tcBorders>
              <w:top w:val="nil"/>
              <w:left w:val="nil"/>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 xml:space="preserve"> 1,649,259 </w:t>
            </w:r>
          </w:p>
        </w:tc>
        <w:tc>
          <w:tcPr>
            <w:tcW w:w="979" w:type="dxa"/>
            <w:tcBorders>
              <w:top w:val="nil"/>
              <w:left w:val="nil"/>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104%</w:t>
            </w:r>
          </w:p>
        </w:tc>
        <w:tc>
          <w:tcPr>
            <w:tcW w:w="635" w:type="dxa"/>
            <w:tcBorders>
              <w:top w:val="nil"/>
              <w:left w:val="nil"/>
              <w:bottom w:val="single" w:sz="4" w:space="0" w:color="auto"/>
              <w:right w:val="single" w:sz="4" w:space="0" w:color="auto"/>
            </w:tcBorders>
            <w:noWrap/>
            <w:vAlign w:val="bottom"/>
          </w:tcPr>
          <w:p w:rsidR="00C81B24" w:rsidRPr="00C81B24" w:rsidRDefault="00C81B24" w:rsidP="00CE5850">
            <w:pPr>
              <w:jc w:val="right"/>
              <w:rPr>
                <w:sz w:val="20"/>
              </w:rPr>
            </w:pPr>
            <w:r w:rsidRPr="00C81B24">
              <w:rPr>
                <w:sz w:val="20"/>
              </w:rPr>
              <w:t>3338</w:t>
            </w:r>
          </w:p>
        </w:tc>
        <w:tc>
          <w:tcPr>
            <w:tcW w:w="536" w:type="dxa"/>
            <w:tcBorders>
              <w:top w:val="nil"/>
              <w:left w:val="nil"/>
              <w:bottom w:val="single" w:sz="4" w:space="0" w:color="auto"/>
              <w:right w:val="single" w:sz="4" w:space="0" w:color="auto"/>
            </w:tcBorders>
            <w:vAlign w:val="bottom"/>
          </w:tcPr>
          <w:p w:rsidR="00C81B24" w:rsidRPr="00C81B24" w:rsidRDefault="00C81B24" w:rsidP="00CE5850">
            <w:pPr>
              <w:autoSpaceDE w:val="0"/>
              <w:autoSpaceDN w:val="0"/>
              <w:adjustRightInd w:val="0"/>
              <w:jc w:val="right"/>
              <w:rPr>
                <w:color w:val="000000"/>
                <w:kern w:val="0"/>
                <w:sz w:val="20"/>
              </w:rPr>
            </w:pPr>
            <w:r w:rsidRPr="00C81B24">
              <w:rPr>
                <w:color w:val="000000"/>
                <w:kern w:val="0"/>
                <w:sz w:val="20"/>
              </w:rPr>
              <w:t>3305</w:t>
            </w:r>
          </w:p>
        </w:tc>
        <w:tc>
          <w:tcPr>
            <w:tcW w:w="736" w:type="dxa"/>
            <w:tcBorders>
              <w:top w:val="nil"/>
              <w:left w:val="nil"/>
              <w:bottom w:val="single" w:sz="4" w:space="0" w:color="auto"/>
              <w:right w:val="single" w:sz="4" w:space="0" w:color="auto"/>
            </w:tcBorders>
            <w:vAlign w:val="bottom"/>
          </w:tcPr>
          <w:p w:rsidR="00C81B24" w:rsidRPr="00C81B24" w:rsidRDefault="00C81B24" w:rsidP="00CE5850">
            <w:pPr>
              <w:jc w:val="right"/>
              <w:rPr>
                <w:color w:val="000000"/>
                <w:sz w:val="20"/>
              </w:rPr>
            </w:pPr>
            <w:r w:rsidRPr="00C81B24">
              <w:rPr>
                <w:color w:val="000000"/>
                <w:sz w:val="20"/>
              </w:rPr>
              <w:t>144.19</w:t>
            </w:r>
          </w:p>
        </w:tc>
      </w:tr>
      <w:tr w:rsidR="00C81B24" w:rsidRPr="00C81B24" w:rsidTr="00526AD9">
        <w:trPr>
          <w:trHeight w:val="255"/>
          <w:jc w:val="center"/>
        </w:trPr>
        <w:tc>
          <w:tcPr>
            <w:tcW w:w="554" w:type="dxa"/>
            <w:tcBorders>
              <w:top w:val="nil"/>
              <w:left w:val="single" w:sz="4" w:space="0" w:color="auto"/>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31</w:t>
            </w:r>
          </w:p>
        </w:tc>
        <w:tc>
          <w:tcPr>
            <w:tcW w:w="456" w:type="dxa"/>
            <w:tcBorders>
              <w:top w:val="nil"/>
              <w:left w:val="single" w:sz="4" w:space="0" w:color="auto"/>
              <w:bottom w:val="single" w:sz="4" w:space="0" w:color="auto"/>
              <w:right w:val="single" w:sz="4" w:space="0" w:color="auto"/>
            </w:tcBorders>
            <w:vAlign w:val="center"/>
          </w:tcPr>
          <w:p w:rsidR="00C81B24" w:rsidRPr="00C81B24" w:rsidRDefault="00C81B24" w:rsidP="00CE5850">
            <w:pPr>
              <w:jc w:val="right"/>
              <w:rPr>
                <w:sz w:val="20"/>
              </w:rPr>
            </w:pPr>
            <w:r w:rsidRPr="00C81B24">
              <w:rPr>
                <w:sz w:val="20"/>
              </w:rPr>
              <w:t>50</w:t>
            </w:r>
          </w:p>
        </w:tc>
        <w:tc>
          <w:tcPr>
            <w:tcW w:w="4012" w:type="dxa"/>
            <w:tcBorders>
              <w:top w:val="nil"/>
              <w:left w:val="nil"/>
              <w:bottom w:val="single" w:sz="4" w:space="0" w:color="auto"/>
              <w:right w:val="single" w:sz="4" w:space="0" w:color="auto"/>
            </w:tcBorders>
            <w:vAlign w:val="center"/>
          </w:tcPr>
          <w:p w:rsidR="00C81B24" w:rsidRPr="00C81B24" w:rsidRDefault="00C81B24" w:rsidP="00CE5850">
            <w:pPr>
              <w:rPr>
                <w:sz w:val="20"/>
              </w:rPr>
            </w:pPr>
            <w:r w:rsidRPr="00C81B24">
              <w:rPr>
                <w:sz w:val="20"/>
              </w:rPr>
              <w:t>Dayton-Springfield, OH</w:t>
            </w:r>
          </w:p>
        </w:tc>
        <w:tc>
          <w:tcPr>
            <w:tcW w:w="1102" w:type="dxa"/>
            <w:tcBorders>
              <w:top w:val="nil"/>
              <w:left w:val="nil"/>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 xml:space="preserve"> 1,165,155 </w:t>
            </w:r>
          </w:p>
        </w:tc>
        <w:tc>
          <w:tcPr>
            <w:tcW w:w="1155" w:type="dxa"/>
            <w:tcBorders>
              <w:top w:val="nil"/>
              <w:left w:val="nil"/>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 xml:space="preserve"> 1,124,990 </w:t>
            </w:r>
          </w:p>
        </w:tc>
        <w:tc>
          <w:tcPr>
            <w:tcW w:w="979" w:type="dxa"/>
            <w:tcBorders>
              <w:top w:val="nil"/>
              <w:left w:val="nil"/>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104%</w:t>
            </w:r>
          </w:p>
        </w:tc>
        <w:tc>
          <w:tcPr>
            <w:tcW w:w="635" w:type="dxa"/>
            <w:tcBorders>
              <w:top w:val="nil"/>
              <w:left w:val="nil"/>
              <w:bottom w:val="single" w:sz="4" w:space="0" w:color="auto"/>
              <w:right w:val="single" w:sz="4" w:space="0" w:color="auto"/>
            </w:tcBorders>
            <w:noWrap/>
            <w:vAlign w:val="bottom"/>
          </w:tcPr>
          <w:p w:rsidR="00C81B24" w:rsidRPr="00C81B24" w:rsidRDefault="00C81B24" w:rsidP="00CE5850">
            <w:pPr>
              <w:jc w:val="right"/>
              <w:rPr>
                <w:sz w:val="20"/>
              </w:rPr>
            </w:pPr>
            <w:r w:rsidRPr="00C81B24">
              <w:rPr>
                <w:sz w:val="20"/>
              </w:rPr>
              <w:t>2722</w:t>
            </w:r>
          </w:p>
        </w:tc>
        <w:tc>
          <w:tcPr>
            <w:tcW w:w="536" w:type="dxa"/>
            <w:tcBorders>
              <w:top w:val="nil"/>
              <w:left w:val="nil"/>
              <w:bottom w:val="single" w:sz="4" w:space="0" w:color="auto"/>
              <w:right w:val="single" w:sz="4" w:space="0" w:color="auto"/>
            </w:tcBorders>
            <w:vAlign w:val="bottom"/>
          </w:tcPr>
          <w:p w:rsidR="00C81B24" w:rsidRPr="00C81B24" w:rsidRDefault="00C81B24" w:rsidP="00CE5850">
            <w:pPr>
              <w:autoSpaceDE w:val="0"/>
              <w:autoSpaceDN w:val="0"/>
              <w:adjustRightInd w:val="0"/>
              <w:jc w:val="right"/>
              <w:rPr>
                <w:color w:val="000000"/>
                <w:kern w:val="0"/>
                <w:sz w:val="20"/>
              </w:rPr>
            </w:pPr>
            <w:r w:rsidRPr="00C81B24">
              <w:rPr>
                <w:color w:val="000000"/>
                <w:kern w:val="0"/>
                <w:sz w:val="20"/>
              </w:rPr>
              <w:t>2716</w:t>
            </w:r>
          </w:p>
        </w:tc>
        <w:tc>
          <w:tcPr>
            <w:tcW w:w="736" w:type="dxa"/>
            <w:tcBorders>
              <w:top w:val="nil"/>
              <w:left w:val="nil"/>
              <w:bottom w:val="single" w:sz="4" w:space="0" w:color="auto"/>
              <w:right w:val="single" w:sz="4" w:space="0" w:color="auto"/>
            </w:tcBorders>
            <w:vAlign w:val="bottom"/>
          </w:tcPr>
          <w:p w:rsidR="00C81B24" w:rsidRPr="00C81B24" w:rsidRDefault="00C81B24" w:rsidP="00CE5850">
            <w:pPr>
              <w:jc w:val="right"/>
              <w:rPr>
                <w:color w:val="000000"/>
                <w:sz w:val="20"/>
              </w:rPr>
            </w:pPr>
            <w:r w:rsidRPr="00C81B24">
              <w:rPr>
                <w:color w:val="000000"/>
                <w:sz w:val="20"/>
              </w:rPr>
              <w:t>317.23</w:t>
            </w:r>
          </w:p>
        </w:tc>
      </w:tr>
      <w:tr w:rsidR="00C81B24" w:rsidRPr="00C81B24" w:rsidTr="00526AD9">
        <w:trPr>
          <w:trHeight w:val="255"/>
          <w:jc w:val="center"/>
        </w:trPr>
        <w:tc>
          <w:tcPr>
            <w:tcW w:w="554" w:type="dxa"/>
            <w:tcBorders>
              <w:top w:val="nil"/>
              <w:left w:val="single" w:sz="4" w:space="0" w:color="auto"/>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32</w:t>
            </w:r>
          </w:p>
        </w:tc>
        <w:tc>
          <w:tcPr>
            <w:tcW w:w="456" w:type="dxa"/>
            <w:tcBorders>
              <w:top w:val="nil"/>
              <w:left w:val="single" w:sz="4" w:space="0" w:color="auto"/>
              <w:bottom w:val="single" w:sz="4" w:space="0" w:color="auto"/>
              <w:right w:val="single" w:sz="4" w:space="0" w:color="auto"/>
            </w:tcBorders>
            <w:vAlign w:val="center"/>
          </w:tcPr>
          <w:p w:rsidR="00C81B24" w:rsidRPr="00C81B24" w:rsidRDefault="00C81B24" w:rsidP="00CE5850">
            <w:pPr>
              <w:jc w:val="right"/>
              <w:rPr>
                <w:sz w:val="20"/>
              </w:rPr>
            </w:pPr>
            <w:r w:rsidRPr="00C81B24">
              <w:rPr>
                <w:sz w:val="20"/>
              </w:rPr>
              <w:t>51</w:t>
            </w:r>
          </w:p>
        </w:tc>
        <w:tc>
          <w:tcPr>
            <w:tcW w:w="4012" w:type="dxa"/>
            <w:tcBorders>
              <w:top w:val="nil"/>
              <w:left w:val="nil"/>
              <w:bottom w:val="single" w:sz="4" w:space="0" w:color="auto"/>
              <w:right w:val="single" w:sz="4" w:space="0" w:color="auto"/>
            </w:tcBorders>
            <w:vAlign w:val="center"/>
          </w:tcPr>
          <w:p w:rsidR="00C81B24" w:rsidRPr="00C81B24" w:rsidRDefault="00C81B24" w:rsidP="00CE5850">
            <w:pPr>
              <w:rPr>
                <w:sz w:val="20"/>
              </w:rPr>
            </w:pPr>
            <w:r w:rsidRPr="00C81B24">
              <w:rPr>
                <w:sz w:val="20"/>
              </w:rPr>
              <w:t>Columbus, OH</w:t>
            </w:r>
          </w:p>
        </w:tc>
        <w:tc>
          <w:tcPr>
            <w:tcW w:w="1102" w:type="dxa"/>
            <w:tcBorders>
              <w:top w:val="nil"/>
              <w:left w:val="nil"/>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 xml:space="preserve"> 2,731,253 </w:t>
            </w:r>
          </w:p>
        </w:tc>
        <w:tc>
          <w:tcPr>
            <w:tcW w:w="1155" w:type="dxa"/>
            <w:tcBorders>
              <w:top w:val="nil"/>
              <w:left w:val="nil"/>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 xml:space="preserve"> 2,616,652 </w:t>
            </w:r>
          </w:p>
        </w:tc>
        <w:tc>
          <w:tcPr>
            <w:tcW w:w="979" w:type="dxa"/>
            <w:tcBorders>
              <w:top w:val="nil"/>
              <w:left w:val="nil"/>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104%</w:t>
            </w:r>
          </w:p>
        </w:tc>
        <w:tc>
          <w:tcPr>
            <w:tcW w:w="635" w:type="dxa"/>
            <w:tcBorders>
              <w:top w:val="nil"/>
              <w:left w:val="nil"/>
              <w:bottom w:val="single" w:sz="4" w:space="0" w:color="auto"/>
              <w:right w:val="single" w:sz="4" w:space="0" w:color="auto"/>
            </w:tcBorders>
            <w:noWrap/>
            <w:vAlign w:val="bottom"/>
          </w:tcPr>
          <w:p w:rsidR="00C81B24" w:rsidRPr="00C81B24" w:rsidRDefault="00C81B24" w:rsidP="00CE5850">
            <w:pPr>
              <w:jc w:val="right"/>
              <w:rPr>
                <w:sz w:val="20"/>
              </w:rPr>
            </w:pPr>
            <w:r w:rsidRPr="00C81B24">
              <w:rPr>
                <w:sz w:val="20"/>
              </w:rPr>
              <w:t>3417</w:t>
            </w:r>
          </w:p>
        </w:tc>
        <w:tc>
          <w:tcPr>
            <w:tcW w:w="536" w:type="dxa"/>
            <w:tcBorders>
              <w:top w:val="nil"/>
              <w:left w:val="nil"/>
              <w:bottom w:val="single" w:sz="4" w:space="0" w:color="auto"/>
              <w:right w:val="single" w:sz="4" w:space="0" w:color="auto"/>
            </w:tcBorders>
            <w:vAlign w:val="bottom"/>
          </w:tcPr>
          <w:p w:rsidR="00C81B24" w:rsidRPr="00C81B24" w:rsidRDefault="00C81B24" w:rsidP="00CE5850">
            <w:pPr>
              <w:autoSpaceDE w:val="0"/>
              <w:autoSpaceDN w:val="0"/>
              <w:adjustRightInd w:val="0"/>
              <w:jc w:val="right"/>
              <w:rPr>
                <w:color w:val="000000"/>
                <w:kern w:val="0"/>
                <w:sz w:val="20"/>
              </w:rPr>
            </w:pPr>
            <w:r w:rsidRPr="00C81B24">
              <w:rPr>
                <w:color w:val="000000"/>
                <w:kern w:val="0"/>
                <w:sz w:val="20"/>
              </w:rPr>
              <w:t>3334</w:t>
            </w:r>
          </w:p>
        </w:tc>
        <w:tc>
          <w:tcPr>
            <w:tcW w:w="736" w:type="dxa"/>
            <w:tcBorders>
              <w:top w:val="nil"/>
              <w:left w:val="nil"/>
              <w:bottom w:val="single" w:sz="4" w:space="0" w:color="auto"/>
              <w:right w:val="single" w:sz="4" w:space="0" w:color="auto"/>
            </w:tcBorders>
            <w:vAlign w:val="bottom"/>
          </w:tcPr>
          <w:p w:rsidR="00C81B24" w:rsidRPr="00C81B24" w:rsidRDefault="00C81B24" w:rsidP="00CE5850">
            <w:pPr>
              <w:jc w:val="right"/>
              <w:rPr>
                <w:color w:val="000000"/>
                <w:sz w:val="20"/>
              </w:rPr>
            </w:pPr>
            <w:r w:rsidRPr="00C81B24">
              <w:rPr>
                <w:color w:val="000000"/>
                <w:sz w:val="20"/>
              </w:rPr>
              <w:t>212.13</w:t>
            </w:r>
          </w:p>
        </w:tc>
      </w:tr>
      <w:tr w:rsidR="00C81B24" w:rsidRPr="00C81B24" w:rsidTr="00526AD9">
        <w:trPr>
          <w:trHeight w:val="255"/>
          <w:jc w:val="center"/>
        </w:trPr>
        <w:tc>
          <w:tcPr>
            <w:tcW w:w="554" w:type="dxa"/>
            <w:tcBorders>
              <w:top w:val="nil"/>
              <w:left w:val="single" w:sz="4" w:space="0" w:color="auto"/>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33</w:t>
            </w:r>
          </w:p>
        </w:tc>
        <w:tc>
          <w:tcPr>
            <w:tcW w:w="456" w:type="dxa"/>
            <w:tcBorders>
              <w:top w:val="nil"/>
              <w:left w:val="single" w:sz="4" w:space="0" w:color="auto"/>
              <w:bottom w:val="single" w:sz="4" w:space="0" w:color="auto"/>
              <w:right w:val="single" w:sz="4" w:space="0" w:color="auto"/>
            </w:tcBorders>
            <w:vAlign w:val="center"/>
          </w:tcPr>
          <w:p w:rsidR="00C81B24" w:rsidRPr="00C81B24" w:rsidRDefault="00C81B24" w:rsidP="00CE5850">
            <w:pPr>
              <w:jc w:val="right"/>
              <w:rPr>
                <w:sz w:val="20"/>
              </w:rPr>
            </w:pPr>
            <w:r w:rsidRPr="00C81B24">
              <w:rPr>
                <w:sz w:val="20"/>
              </w:rPr>
              <w:t>80</w:t>
            </w:r>
          </w:p>
        </w:tc>
        <w:tc>
          <w:tcPr>
            <w:tcW w:w="4012" w:type="dxa"/>
            <w:tcBorders>
              <w:top w:val="nil"/>
              <w:left w:val="nil"/>
              <w:bottom w:val="single" w:sz="4" w:space="0" w:color="auto"/>
              <w:right w:val="single" w:sz="4" w:space="0" w:color="auto"/>
            </w:tcBorders>
            <w:vAlign w:val="center"/>
          </w:tcPr>
          <w:p w:rsidR="00C81B24" w:rsidRPr="00C81B24" w:rsidRDefault="00C81B24" w:rsidP="00CE5850">
            <w:pPr>
              <w:rPr>
                <w:sz w:val="20"/>
              </w:rPr>
            </w:pPr>
            <w:r w:rsidRPr="00C81B24">
              <w:rPr>
                <w:sz w:val="20"/>
              </w:rPr>
              <w:t>Mobile, AL</w:t>
            </w:r>
          </w:p>
        </w:tc>
        <w:tc>
          <w:tcPr>
            <w:tcW w:w="1102" w:type="dxa"/>
            <w:tcBorders>
              <w:top w:val="nil"/>
              <w:left w:val="nil"/>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 xml:space="preserve"> 756,410 </w:t>
            </w:r>
          </w:p>
        </w:tc>
        <w:tc>
          <w:tcPr>
            <w:tcW w:w="1155" w:type="dxa"/>
            <w:tcBorders>
              <w:top w:val="nil"/>
              <w:left w:val="nil"/>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 xml:space="preserve"> 727,775 </w:t>
            </w:r>
          </w:p>
        </w:tc>
        <w:tc>
          <w:tcPr>
            <w:tcW w:w="979" w:type="dxa"/>
            <w:tcBorders>
              <w:top w:val="nil"/>
              <w:left w:val="nil"/>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104%</w:t>
            </w:r>
          </w:p>
        </w:tc>
        <w:tc>
          <w:tcPr>
            <w:tcW w:w="635" w:type="dxa"/>
            <w:tcBorders>
              <w:top w:val="nil"/>
              <w:left w:val="nil"/>
              <w:bottom w:val="single" w:sz="4" w:space="0" w:color="auto"/>
              <w:right w:val="single" w:sz="4" w:space="0" w:color="auto"/>
            </w:tcBorders>
            <w:noWrap/>
            <w:vAlign w:val="bottom"/>
          </w:tcPr>
          <w:p w:rsidR="00C81B24" w:rsidRPr="00C81B24" w:rsidRDefault="00C81B24" w:rsidP="00CE5850">
            <w:pPr>
              <w:jc w:val="right"/>
              <w:rPr>
                <w:sz w:val="20"/>
              </w:rPr>
            </w:pPr>
            <w:r w:rsidRPr="00C81B24">
              <w:rPr>
                <w:sz w:val="20"/>
              </w:rPr>
              <w:t>3150</w:t>
            </w:r>
          </w:p>
        </w:tc>
        <w:tc>
          <w:tcPr>
            <w:tcW w:w="536" w:type="dxa"/>
            <w:tcBorders>
              <w:top w:val="nil"/>
              <w:left w:val="nil"/>
              <w:bottom w:val="single" w:sz="4" w:space="0" w:color="auto"/>
              <w:right w:val="single" w:sz="4" w:space="0" w:color="auto"/>
            </w:tcBorders>
            <w:vAlign w:val="bottom"/>
          </w:tcPr>
          <w:p w:rsidR="00C81B24" w:rsidRPr="00C81B24" w:rsidRDefault="00C81B24" w:rsidP="00CE5850">
            <w:pPr>
              <w:autoSpaceDE w:val="0"/>
              <w:autoSpaceDN w:val="0"/>
              <w:adjustRightInd w:val="0"/>
              <w:jc w:val="right"/>
              <w:rPr>
                <w:color w:val="000000"/>
                <w:kern w:val="0"/>
                <w:sz w:val="20"/>
              </w:rPr>
            </w:pPr>
            <w:r w:rsidRPr="00C81B24">
              <w:rPr>
                <w:color w:val="000000"/>
                <w:kern w:val="0"/>
                <w:sz w:val="20"/>
              </w:rPr>
              <w:t>3217</w:t>
            </w:r>
          </w:p>
        </w:tc>
        <w:tc>
          <w:tcPr>
            <w:tcW w:w="736" w:type="dxa"/>
            <w:tcBorders>
              <w:top w:val="nil"/>
              <w:left w:val="nil"/>
              <w:bottom w:val="single" w:sz="4" w:space="0" w:color="auto"/>
              <w:right w:val="single" w:sz="4" w:space="0" w:color="auto"/>
            </w:tcBorders>
            <w:vAlign w:val="bottom"/>
          </w:tcPr>
          <w:p w:rsidR="00C81B24" w:rsidRPr="00C81B24" w:rsidRDefault="00C81B24" w:rsidP="00CE5850">
            <w:pPr>
              <w:jc w:val="right"/>
              <w:rPr>
                <w:color w:val="000000"/>
                <w:sz w:val="20"/>
              </w:rPr>
            </w:pPr>
            <w:r w:rsidRPr="00C81B24">
              <w:rPr>
                <w:color w:val="000000"/>
                <w:sz w:val="20"/>
              </w:rPr>
              <w:t>81.94</w:t>
            </w:r>
          </w:p>
        </w:tc>
      </w:tr>
      <w:tr w:rsidR="00C81B24" w:rsidRPr="00C81B24" w:rsidTr="00526AD9">
        <w:trPr>
          <w:trHeight w:val="255"/>
          <w:jc w:val="center"/>
        </w:trPr>
        <w:tc>
          <w:tcPr>
            <w:tcW w:w="554" w:type="dxa"/>
            <w:tcBorders>
              <w:top w:val="nil"/>
              <w:left w:val="single" w:sz="4" w:space="0" w:color="auto"/>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34</w:t>
            </w:r>
          </w:p>
        </w:tc>
        <w:tc>
          <w:tcPr>
            <w:tcW w:w="456" w:type="dxa"/>
            <w:tcBorders>
              <w:top w:val="nil"/>
              <w:left w:val="single" w:sz="4" w:space="0" w:color="auto"/>
              <w:bottom w:val="single" w:sz="4" w:space="0" w:color="auto"/>
              <w:right w:val="single" w:sz="4" w:space="0" w:color="auto"/>
            </w:tcBorders>
            <w:vAlign w:val="center"/>
          </w:tcPr>
          <w:p w:rsidR="00C81B24" w:rsidRPr="00C81B24" w:rsidRDefault="00C81B24" w:rsidP="00CE5850">
            <w:pPr>
              <w:jc w:val="right"/>
              <w:rPr>
                <w:sz w:val="20"/>
              </w:rPr>
            </w:pPr>
            <w:r w:rsidRPr="00C81B24">
              <w:rPr>
                <w:sz w:val="20"/>
              </w:rPr>
              <w:t>91</w:t>
            </w:r>
          </w:p>
        </w:tc>
        <w:tc>
          <w:tcPr>
            <w:tcW w:w="4012" w:type="dxa"/>
            <w:tcBorders>
              <w:top w:val="nil"/>
              <w:left w:val="nil"/>
              <w:bottom w:val="single" w:sz="4" w:space="0" w:color="auto"/>
              <w:right w:val="single" w:sz="4" w:space="0" w:color="auto"/>
            </w:tcBorders>
            <w:vAlign w:val="center"/>
          </w:tcPr>
          <w:p w:rsidR="00C81B24" w:rsidRPr="00C81B24" w:rsidRDefault="00C81B24" w:rsidP="00CE5850">
            <w:pPr>
              <w:rPr>
                <w:sz w:val="20"/>
              </w:rPr>
            </w:pPr>
            <w:r w:rsidRPr="00C81B24">
              <w:rPr>
                <w:sz w:val="20"/>
              </w:rPr>
              <w:t>Fort Smith, AR-OK</w:t>
            </w:r>
          </w:p>
        </w:tc>
        <w:tc>
          <w:tcPr>
            <w:tcW w:w="1102" w:type="dxa"/>
            <w:tcBorders>
              <w:top w:val="nil"/>
              <w:left w:val="nil"/>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 xml:space="preserve"> 373,264 </w:t>
            </w:r>
          </w:p>
        </w:tc>
        <w:tc>
          <w:tcPr>
            <w:tcW w:w="1155" w:type="dxa"/>
            <w:tcBorders>
              <w:top w:val="nil"/>
              <w:left w:val="nil"/>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 xml:space="preserve"> 357,614 </w:t>
            </w:r>
          </w:p>
        </w:tc>
        <w:tc>
          <w:tcPr>
            <w:tcW w:w="979" w:type="dxa"/>
            <w:tcBorders>
              <w:top w:val="nil"/>
              <w:left w:val="nil"/>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104%</w:t>
            </w:r>
          </w:p>
        </w:tc>
        <w:tc>
          <w:tcPr>
            <w:tcW w:w="635" w:type="dxa"/>
            <w:tcBorders>
              <w:top w:val="nil"/>
              <w:left w:val="nil"/>
              <w:bottom w:val="single" w:sz="4" w:space="0" w:color="auto"/>
              <w:right w:val="single" w:sz="4" w:space="0" w:color="auto"/>
            </w:tcBorders>
            <w:noWrap/>
            <w:vAlign w:val="bottom"/>
          </w:tcPr>
          <w:p w:rsidR="00C81B24" w:rsidRPr="00C81B24" w:rsidRDefault="00C81B24" w:rsidP="00CE5850">
            <w:pPr>
              <w:jc w:val="right"/>
              <w:rPr>
                <w:sz w:val="20"/>
              </w:rPr>
            </w:pPr>
            <w:r w:rsidRPr="00C81B24">
              <w:rPr>
                <w:sz w:val="20"/>
              </w:rPr>
              <w:t>3628</w:t>
            </w:r>
          </w:p>
        </w:tc>
        <w:tc>
          <w:tcPr>
            <w:tcW w:w="536" w:type="dxa"/>
            <w:tcBorders>
              <w:top w:val="nil"/>
              <w:left w:val="nil"/>
              <w:bottom w:val="single" w:sz="4" w:space="0" w:color="auto"/>
              <w:right w:val="single" w:sz="4" w:space="0" w:color="auto"/>
            </w:tcBorders>
            <w:vAlign w:val="bottom"/>
          </w:tcPr>
          <w:p w:rsidR="00C81B24" w:rsidRPr="00C81B24" w:rsidRDefault="00C81B24" w:rsidP="00CE5850">
            <w:pPr>
              <w:autoSpaceDE w:val="0"/>
              <w:autoSpaceDN w:val="0"/>
              <w:adjustRightInd w:val="0"/>
              <w:jc w:val="right"/>
              <w:rPr>
                <w:color w:val="000000"/>
                <w:kern w:val="0"/>
                <w:sz w:val="20"/>
              </w:rPr>
            </w:pPr>
            <w:r w:rsidRPr="00C81B24">
              <w:rPr>
                <w:color w:val="000000"/>
                <w:kern w:val="0"/>
                <w:sz w:val="20"/>
              </w:rPr>
              <w:t>4091</w:t>
            </w:r>
          </w:p>
        </w:tc>
        <w:tc>
          <w:tcPr>
            <w:tcW w:w="736" w:type="dxa"/>
            <w:tcBorders>
              <w:top w:val="nil"/>
              <w:left w:val="nil"/>
              <w:bottom w:val="single" w:sz="4" w:space="0" w:color="auto"/>
              <w:right w:val="single" w:sz="4" w:space="0" w:color="auto"/>
            </w:tcBorders>
            <w:vAlign w:val="bottom"/>
          </w:tcPr>
          <w:p w:rsidR="00C81B24" w:rsidRPr="00C81B24" w:rsidRDefault="00C81B24" w:rsidP="00CE5850">
            <w:pPr>
              <w:jc w:val="right"/>
              <w:rPr>
                <w:color w:val="000000"/>
                <w:sz w:val="20"/>
              </w:rPr>
            </w:pPr>
            <w:r w:rsidRPr="00C81B24">
              <w:rPr>
                <w:color w:val="000000"/>
                <w:sz w:val="20"/>
              </w:rPr>
              <w:t>51.64</w:t>
            </w:r>
          </w:p>
        </w:tc>
      </w:tr>
      <w:tr w:rsidR="00C81B24" w:rsidRPr="00C81B24" w:rsidTr="00526AD9">
        <w:trPr>
          <w:trHeight w:val="255"/>
          <w:jc w:val="center"/>
        </w:trPr>
        <w:tc>
          <w:tcPr>
            <w:tcW w:w="554" w:type="dxa"/>
            <w:tcBorders>
              <w:top w:val="nil"/>
              <w:left w:val="single" w:sz="4" w:space="0" w:color="auto"/>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35</w:t>
            </w:r>
          </w:p>
        </w:tc>
        <w:tc>
          <w:tcPr>
            <w:tcW w:w="456" w:type="dxa"/>
            <w:tcBorders>
              <w:top w:val="nil"/>
              <w:left w:val="single" w:sz="4" w:space="0" w:color="auto"/>
              <w:bottom w:val="single" w:sz="4" w:space="0" w:color="auto"/>
              <w:right w:val="single" w:sz="4" w:space="0" w:color="auto"/>
            </w:tcBorders>
            <w:vAlign w:val="center"/>
          </w:tcPr>
          <w:p w:rsidR="00C81B24" w:rsidRPr="00C81B24" w:rsidRDefault="00C81B24" w:rsidP="00CE5850">
            <w:pPr>
              <w:jc w:val="right"/>
              <w:rPr>
                <w:sz w:val="20"/>
              </w:rPr>
            </w:pPr>
            <w:r w:rsidRPr="00C81B24">
              <w:rPr>
                <w:sz w:val="20"/>
              </w:rPr>
              <w:t>93</w:t>
            </w:r>
          </w:p>
        </w:tc>
        <w:tc>
          <w:tcPr>
            <w:tcW w:w="4012" w:type="dxa"/>
            <w:tcBorders>
              <w:top w:val="nil"/>
              <w:left w:val="nil"/>
              <w:bottom w:val="single" w:sz="4" w:space="0" w:color="auto"/>
              <w:right w:val="single" w:sz="4" w:space="0" w:color="auto"/>
            </w:tcBorders>
            <w:vAlign w:val="center"/>
          </w:tcPr>
          <w:p w:rsidR="00C81B24" w:rsidRPr="00C81B24" w:rsidRDefault="00C81B24" w:rsidP="00CE5850">
            <w:pPr>
              <w:rPr>
                <w:sz w:val="20"/>
              </w:rPr>
            </w:pPr>
            <w:r w:rsidRPr="00C81B24">
              <w:rPr>
                <w:sz w:val="20"/>
              </w:rPr>
              <w:t>Joplin, MO-KS-OK</w:t>
            </w:r>
          </w:p>
        </w:tc>
        <w:tc>
          <w:tcPr>
            <w:tcW w:w="1102" w:type="dxa"/>
            <w:tcBorders>
              <w:top w:val="nil"/>
              <w:left w:val="nil"/>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 xml:space="preserve"> 291,808 </w:t>
            </w:r>
          </w:p>
        </w:tc>
        <w:tc>
          <w:tcPr>
            <w:tcW w:w="1155" w:type="dxa"/>
            <w:tcBorders>
              <w:top w:val="nil"/>
              <w:left w:val="nil"/>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 xml:space="preserve"> 281,641 </w:t>
            </w:r>
          </w:p>
        </w:tc>
        <w:tc>
          <w:tcPr>
            <w:tcW w:w="979" w:type="dxa"/>
            <w:tcBorders>
              <w:top w:val="nil"/>
              <w:left w:val="nil"/>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104%</w:t>
            </w:r>
          </w:p>
        </w:tc>
        <w:tc>
          <w:tcPr>
            <w:tcW w:w="635" w:type="dxa"/>
            <w:tcBorders>
              <w:top w:val="nil"/>
              <w:left w:val="nil"/>
              <w:bottom w:val="single" w:sz="4" w:space="0" w:color="auto"/>
              <w:right w:val="single" w:sz="4" w:space="0" w:color="auto"/>
            </w:tcBorders>
            <w:noWrap/>
            <w:vAlign w:val="bottom"/>
          </w:tcPr>
          <w:p w:rsidR="00C81B24" w:rsidRPr="00C81B24" w:rsidRDefault="00C81B24" w:rsidP="00CE5850">
            <w:pPr>
              <w:jc w:val="right"/>
              <w:rPr>
                <w:sz w:val="20"/>
              </w:rPr>
            </w:pPr>
            <w:r w:rsidRPr="00C81B24">
              <w:rPr>
                <w:sz w:val="20"/>
              </w:rPr>
              <w:t>3270</w:t>
            </w:r>
          </w:p>
        </w:tc>
        <w:tc>
          <w:tcPr>
            <w:tcW w:w="536" w:type="dxa"/>
            <w:tcBorders>
              <w:top w:val="nil"/>
              <w:left w:val="nil"/>
              <w:bottom w:val="single" w:sz="4" w:space="0" w:color="auto"/>
              <w:right w:val="single" w:sz="4" w:space="0" w:color="auto"/>
            </w:tcBorders>
            <w:vAlign w:val="bottom"/>
          </w:tcPr>
          <w:p w:rsidR="00C81B24" w:rsidRPr="00C81B24" w:rsidRDefault="00C81B24" w:rsidP="00CE5850">
            <w:pPr>
              <w:autoSpaceDE w:val="0"/>
              <w:autoSpaceDN w:val="0"/>
              <w:adjustRightInd w:val="0"/>
              <w:jc w:val="right"/>
              <w:rPr>
                <w:color w:val="000000"/>
                <w:kern w:val="0"/>
                <w:sz w:val="20"/>
              </w:rPr>
            </w:pPr>
            <w:r w:rsidRPr="00C81B24">
              <w:rPr>
                <w:color w:val="000000"/>
                <w:kern w:val="0"/>
                <w:sz w:val="20"/>
              </w:rPr>
              <w:t>3404</w:t>
            </w:r>
          </w:p>
        </w:tc>
        <w:tc>
          <w:tcPr>
            <w:tcW w:w="736" w:type="dxa"/>
            <w:tcBorders>
              <w:top w:val="nil"/>
              <w:left w:val="nil"/>
              <w:bottom w:val="single" w:sz="4" w:space="0" w:color="auto"/>
              <w:right w:val="single" w:sz="4" w:space="0" w:color="auto"/>
            </w:tcBorders>
            <w:vAlign w:val="bottom"/>
          </w:tcPr>
          <w:p w:rsidR="00C81B24" w:rsidRPr="00C81B24" w:rsidRDefault="00C81B24" w:rsidP="00CE5850">
            <w:pPr>
              <w:jc w:val="right"/>
              <w:rPr>
                <w:color w:val="000000"/>
                <w:sz w:val="20"/>
              </w:rPr>
            </w:pPr>
            <w:r w:rsidRPr="00C81B24">
              <w:rPr>
                <w:color w:val="000000"/>
                <w:sz w:val="20"/>
              </w:rPr>
              <w:t>80.07</w:t>
            </w:r>
          </w:p>
        </w:tc>
      </w:tr>
      <w:tr w:rsidR="00C81B24" w:rsidRPr="00C81B24" w:rsidTr="00526AD9">
        <w:trPr>
          <w:trHeight w:val="255"/>
          <w:jc w:val="center"/>
        </w:trPr>
        <w:tc>
          <w:tcPr>
            <w:tcW w:w="554" w:type="dxa"/>
            <w:tcBorders>
              <w:top w:val="nil"/>
              <w:left w:val="single" w:sz="4" w:space="0" w:color="auto"/>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36</w:t>
            </w:r>
          </w:p>
        </w:tc>
        <w:tc>
          <w:tcPr>
            <w:tcW w:w="456" w:type="dxa"/>
            <w:tcBorders>
              <w:top w:val="nil"/>
              <w:left w:val="single" w:sz="4" w:space="0" w:color="auto"/>
              <w:bottom w:val="single" w:sz="4" w:space="0" w:color="auto"/>
              <w:right w:val="single" w:sz="4" w:space="0" w:color="auto"/>
            </w:tcBorders>
            <w:vAlign w:val="center"/>
          </w:tcPr>
          <w:p w:rsidR="00C81B24" w:rsidRPr="00C81B24" w:rsidRDefault="00C81B24" w:rsidP="00CE5850">
            <w:pPr>
              <w:jc w:val="right"/>
              <w:rPr>
                <w:sz w:val="20"/>
              </w:rPr>
            </w:pPr>
            <w:r w:rsidRPr="00C81B24">
              <w:rPr>
                <w:sz w:val="20"/>
              </w:rPr>
              <w:t>155</w:t>
            </w:r>
          </w:p>
        </w:tc>
        <w:tc>
          <w:tcPr>
            <w:tcW w:w="4012" w:type="dxa"/>
            <w:tcBorders>
              <w:top w:val="nil"/>
              <w:left w:val="nil"/>
              <w:bottom w:val="single" w:sz="4" w:space="0" w:color="auto"/>
              <w:right w:val="single" w:sz="4" w:space="0" w:color="auto"/>
            </w:tcBorders>
            <w:vAlign w:val="center"/>
          </w:tcPr>
          <w:p w:rsidR="00C81B24" w:rsidRPr="00C81B24" w:rsidRDefault="00C81B24" w:rsidP="00CE5850">
            <w:pPr>
              <w:rPr>
                <w:sz w:val="20"/>
              </w:rPr>
            </w:pPr>
            <w:r w:rsidRPr="00C81B24">
              <w:rPr>
                <w:sz w:val="20"/>
              </w:rPr>
              <w:t>Farmington, NM-CO</w:t>
            </w:r>
          </w:p>
        </w:tc>
        <w:tc>
          <w:tcPr>
            <w:tcW w:w="1102" w:type="dxa"/>
            <w:tcBorders>
              <w:top w:val="nil"/>
              <w:left w:val="nil"/>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 xml:space="preserve"> 228,188 </w:t>
            </w:r>
          </w:p>
        </w:tc>
        <w:tc>
          <w:tcPr>
            <w:tcW w:w="1155" w:type="dxa"/>
            <w:tcBorders>
              <w:top w:val="nil"/>
              <w:left w:val="nil"/>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 xml:space="preserve"> 220,320 </w:t>
            </w:r>
          </w:p>
        </w:tc>
        <w:tc>
          <w:tcPr>
            <w:tcW w:w="979" w:type="dxa"/>
            <w:tcBorders>
              <w:top w:val="nil"/>
              <w:left w:val="nil"/>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104%</w:t>
            </w:r>
          </w:p>
        </w:tc>
        <w:tc>
          <w:tcPr>
            <w:tcW w:w="635" w:type="dxa"/>
            <w:tcBorders>
              <w:top w:val="nil"/>
              <w:left w:val="nil"/>
              <w:bottom w:val="single" w:sz="4" w:space="0" w:color="auto"/>
              <w:right w:val="single" w:sz="4" w:space="0" w:color="auto"/>
            </w:tcBorders>
            <w:noWrap/>
            <w:vAlign w:val="bottom"/>
          </w:tcPr>
          <w:p w:rsidR="00C81B24" w:rsidRPr="00C81B24" w:rsidRDefault="00C81B24" w:rsidP="00CE5850">
            <w:pPr>
              <w:jc w:val="right"/>
              <w:rPr>
                <w:sz w:val="20"/>
              </w:rPr>
            </w:pPr>
            <w:r w:rsidRPr="00C81B24">
              <w:rPr>
                <w:sz w:val="20"/>
              </w:rPr>
              <w:t>3276</w:t>
            </w:r>
          </w:p>
        </w:tc>
        <w:tc>
          <w:tcPr>
            <w:tcW w:w="536" w:type="dxa"/>
            <w:tcBorders>
              <w:top w:val="nil"/>
              <w:left w:val="nil"/>
              <w:bottom w:val="single" w:sz="4" w:space="0" w:color="auto"/>
              <w:right w:val="single" w:sz="4" w:space="0" w:color="auto"/>
            </w:tcBorders>
            <w:vAlign w:val="bottom"/>
          </w:tcPr>
          <w:p w:rsidR="00C81B24" w:rsidRPr="00C81B24" w:rsidRDefault="00C81B24" w:rsidP="00CE5850">
            <w:pPr>
              <w:autoSpaceDE w:val="0"/>
              <w:autoSpaceDN w:val="0"/>
              <w:adjustRightInd w:val="0"/>
              <w:jc w:val="right"/>
              <w:rPr>
                <w:color w:val="000000"/>
                <w:kern w:val="0"/>
                <w:sz w:val="20"/>
              </w:rPr>
            </w:pPr>
            <w:r w:rsidRPr="00C81B24">
              <w:rPr>
                <w:color w:val="000000"/>
                <w:kern w:val="0"/>
                <w:sz w:val="20"/>
              </w:rPr>
              <w:t>3968</w:t>
            </w:r>
          </w:p>
        </w:tc>
        <w:tc>
          <w:tcPr>
            <w:tcW w:w="736" w:type="dxa"/>
            <w:tcBorders>
              <w:top w:val="nil"/>
              <w:left w:val="nil"/>
              <w:bottom w:val="single" w:sz="4" w:space="0" w:color="auto"/>
              <w:right w:val="single" w:sz="4" w:space="0" w:color="auto"/>
            </w:tcBorders>
            <w:vAlign w:val="bottom"/>
          </w:tcPr>
          <w:p w:rsidR="00C81B24" w:rsidRPr="00C81B24" w:rsidRDefault="00C81B24" w:rsidP="00CE5850">
            <w:pPr>
              <w:jc w:val="right"/>
              <w:rPr>
                <w:color w:val="000000"/>
                <w:sz w:val="20"/>
              </w:rPr>
            </w:pPr>
            <w:r w:rsidRPr="00C81B24">
              <w:rPr>
                <w:color w:val="000000"/>
                <w:sz w:val="20"/>
              </w:rPr>
              <w:t>18.42</w:t>
            </w:r>
          </w:p>
        </w:tc>
      </w:tr>
      <w:tr w:rsidR="00C81B24" w:rsidRPr="00C81B24" w:rsidTr="00526AD9">
        <w:trPr>
          <w:trHeight w:val="255"/>
          <w:jc w:val="center"/>
        </w:trPr>
        <w:tc>
          <w:tcPr>
            <w:tcW w:w="554" w:type="dxa"/>
            <w:tcBorders>
              <w:top w:val="nil"/>
              <w:left w:val="single" w:sz="4" w:space="0" w:color="auto"/>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37</w:t>
            </w:r>
          </w:p>
        </w:tc>
        <w:tc>
          <w:tcPr>
            <w:tcW w:w="456" w:type="dxa"/>
            <w:tcBorders>
              <w:top w:val="nil"/>
              <w:left w:val="single" w:sz="4" w:space="0" w:color="auto"/>
              <w:bottom w:val="single" w:sz="4" w:space="0" w:color="auto"/>
              <w:right w:val="single" w:sz="4" w:space="0" w:color="auto"/>
            </w:tcBorders>
            <w:vAlign w:val="center"/>
          </w:tcPr>
          <w:p w:rsidR="00C81B24" w:rsidRPr="00C81B24" w:rsidRDefault="00C81B24" w:rsidP="00CE5850">
            <w:pPr>
              <w:jc w:val="right"/>
              <w:rPr>
                <w:sz w:val="20"/>
              </w:rPr>
            </w:pPr>
            <w:r w:rsidRPr="00C81B24">
              <w:rPr>
                <w:sz w:val="20"/>
              </w:rPr>
              <w:t>81</w:t>
            </w:r>
          </w:p>
        </w:tc>
        <w:tc>
          <w:tcPr>
            <w:tcW w:w="4012" w:type="dxa"/>
            <w:tcBorders>
              <w:top w:val="nil"/>
              <w:left w:val="nil"/>
              <w:bottom w:val="single" w:sz="4" w:space="0" w:color="auto"/>
              <w:right w:val="single" w:sz="4" w:space="0" w:color="auto"/>
            </w:tcBorders>
            <w:vAlign w:val="center"/>
          </w:tcPr>
          <w:p w:rsidR="00C81B24" w:rsidRPr="00C81B24" w:rsidRDefault="00C81B24" w:rsidP="00CE5850">
            <w:pPr>
              <w:rPr>
                <w:sz w:val="20"/>
              </w:rPr>
            </w:pPr>
            <w:r w:rsidRPr="00C81B24">
              <w:rPr>
                <w:sz w:val="20"/>
              </w:rPr>
              <w:t>Pensacola, FL</w:t>
            </w:r>
          </w:p>
        </w:tc>
        <w:tc>
          <w:tcPr>
            <w:tcW w:w="1102" w:type="dxa"/>
            <w:tcBorders>
              <w:top w:val="nil"/>
              <w:left w:val="nil"/>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 xml:space="preserve"> 710,648 </w:t>
            </w:r>
          </w:p>
        </w:tc>
        <w:tc>
          <w:tcPr>
            <w:tcW w:w="1155" w:type="dxa"/>
            <w:tcBorders>
              <w:top w:val="nil"/>
              <w:left w:val="nil"/>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 xml:space="preserve"> 692,493 </w:t>
            </w:r>
          </w:p>
        </w:tc>
        <w:tc>
          <w:tcPr>
            <w:tcW w:w="979" w:type="dxa"/>
            <w:tcBorders>
              <w:top w:val="nil"/>
              <w:left w:val="nil"/>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103%</w:t>
            </w:r>
          </w:p>
        </w:tc>
        <w:tc>
          <w:tcPr>
            <w:tcW w:w="635" w:type="dxa"/>
            <w:tcBorders>
              <w:top w:val="nil"/>
              <w:left w:val="nil"/>
              <w:bottom w:val="single" w:sz="4" w:space="0" w:color="auto"/>
              <w:right w:val="single" w:sz="4" w:space="0" w:color="auto"/>
            </w:tcBorders>
            <w:noWrap/>
            <w:vAlign w:val="bottom"/>
          </w:tcPr>
          <w:p w:rsidR="00C81B24" w:rsidRPr="00C81B24" w:rsidRDefault="00C81B24" w:rsidP="00CE5850">
            <w:pPr>
              <w:jc w:val="right"/>
              <w:rPr>
                <w:sz w:val="20"/>
              </w:rPr>
            </w:pPr>
            <w:r w:rsidRPr="00C81B24">
              <w:rPr>
                <w:sz w:val="20"/>
              </w:rPr>
              <w:t>2979</w:t>
            </w:r>
          </w:p>
        </w:tc>
        <w:tc>
          <w:tcPr>
            <w:tcW w:w="536" w:type="dxa"/>
            <w:tcBorders>
              <w:top w:val="nil"/>
              <w:left w:val="nil"/>
              <w:bottom w:val="single" w:sz="4" w:space="0" w:color="auto"/>
              <w:right w:val="single" w:sz="4" w:space="0" w:color="auto"/>
            </w:tcBorders>
            <w:vAlign w:val="bottom"/>
          </w:tcPr>
          <w:p w:rsidR="00C81B24" w:rsidRPr="00C81B24" w:rsidRDefault="00C81B24" w:rsidP="00CE5850">
            <w:pPr>
              <w:autoSpaceDE w:val="0"/>
              <w:autoSpaceDN w:val="0"/>
              <w:adjustRightInd w:val="0"/>
              <w:jc w:val="right"/>
              <w:rPr>
                <w:color w:val="000000"/>
                <w:kern w:val="0"/>
                <w:sz w:val="20"/>
              </w:rPr>
            </w:pPr>
            <w:r w:rsidRPr="00C81B24">
              <w:rPr>
                <w:color w:val="000000"/>
                <w:kern w:val="0"/>
                <w:sz w:val="20"/>
              </w:rPr>
              <w:t>2944</w:t>
            </w:r>
          </w:p>
        </w:tc>
        <w:tc>
          <w:tcPr>
            <w:tcW w:w="736" w:type="dxa"/>
            <w:tcBorders>
              <w:top w:val="nil"/>
              <w:left w:val="nil"/>
              <w:bottom w:val="single" w:sz="4" w:space="0" w:color="auto"/>
              <w:right w:val="single" w:sz="4" w:space="0" w:color="auto"/>
            </w:tcBorders>
            <w:vAlign w:val="bottom"/>
          </w:tcPr>
          <w:p w:rsidR="00C81B24" w:rsidRPr="00C81B24" w:rsidRDefault="00C81B24" w:rsidP="00CE5850">
            <w:pPr>
              <w:jc w:val="right"/>
              <w:rPr>
                <w:color w:val="000000"/>
                <w:sz w:val="20"/>
              </w:rPr>
            </w:pPr>
            <w:r w:rsidRPr="00C81B24">
              <w:rPr>
                <w:color w:val="000000"/>
                <w:sz w:val="20"/>
              </w:rPr>
              <w:t>188.36</w:t>
            </w:r>
          </w:p>
        </w:tc>
      </w:tr>
      <w:tr w:rsidR="00C81B24" w:rsidRPr="00C81B24" w:rsidTr="00526AD9">
        <w:trPr>
          <w:trHeight w:val="255"/>
          <w:jc w:val="center"/>
        </w:trPr>
        <w:tc>
          <w:tcPr>
            <w:tcW w:w="554" w:type="dxa"/>
            <w:tcBorders>
              <w:top w:val="nil"/>
              <w:left w:val="single" w:sz="4" w:space="0" w:color="auto"/>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38</w:t>
            </w:r>
          </w:p>
        </w:tc>
        <w:tc>
          <w:tcPr>
            <w:tcW w:w="456" w:type="dxa"/>
            <w:tcBorders>
              <w:top w:val="nil"/>
              <w:left w:val="single" w:sz="4" w:space="0" w:color="auto"/>
              <w:bottom w:val="single" w:sz="4" w:space="0" w:color="auto"/>
              <w:right w:val="single" w:sz="4" w:space="0" w:color="auto"/>
            </w:tcBorders>
            <w:vAlign w:val="center"/>
          </w:tcPr>
          <w:p w:rsidR="00C81B24" w:rsidRPr="00C81B24" w:rsidRDefault="00C81B24" w:rsidP="00CE5850">
            <w:pPr>
              <w:jc w:val="right"/>
              <w:rPr>
                <w:sz w:val="20"/>
              </w:rPr>
            </w:pPr>
            <w:r w:rsidRPr="00C81B24">
              <w:rPr>
                <w:sz w:val="20"/>
              </w:rPr>
              <w:t>82</w:t>
            </w:r>
          </w:p>
        </w:tc>
        <w:tc>
          <w:tcPr>
            <w:tcW w:w="4012" w:type="dxa"/>
            <w:tcBorders>
              <w:top w:val="nil"/>
              <w:left w:val="nil"/>
              <w:bottom w:val="single" w:sz="4" w:space="0" w:color="auto"/>
              <w:right w:val="single" w:sz="4" w:space="0" w:color="auto"/>
            </w:tcBorders>
            <w:vAlign w:val="center"/>
          </w:tcPr>
          <w:p w:rsidR="00C81B24" w:rsidRPr="00C81B24" w:rsidRDefault="00C81B24" w:rsidP="00CE5850">
            <w:pPr>
              <w:rPr>
                <w:sz w:val="20"/>
              </w:rPr>
            </w:pPr>
            <w:r w:rsidRPr="00C81B24">
              <w:rPr>
                <w:sz w:val="20"/>
              </w:rPr>
              <w:t>Biloxi-Gulfport-Pascagoula, MS</w:t>
            </w:r>
          </w:p>
        </w:tc>
        <w:tc>
          <w:tcPr>
            <w:tcW w:w="1102" w:type="dxa"/>
            <w:tcBorders>
              <w:top w:val="nil"/>
              <w:left w:val="nil"/>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 xml:space="preserve"> 430,428 </w:t>
            </w:r>
          </w:p>
        </w:tc>
        <w:tc>
          <w:tcPr>
            <w:tcW w:w="1155" w:type="dxa"/>
            <w:tcBorders>
              <w:top w:val="nil"/>
              <w:left w:val="nil"/>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 xml:space="preserve"> 416,301 </w:t>
            </w:r>
          </w:p>
        </w:tc>
        <w:tc>
          <w:tcPr>
            <w:tcW w:w="979" w:type="dxa"/>
            <w:tcBorders>
              <w:top w:val="nil"/>
              <w:left w:val="nil"/>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103%</w:t>
            </w:r>
          </w:p>
        </w:tc>
        <w:tc>
          <w:tcPr>
            <w:tcW w:w="635" w:type="dxa"/>
            <w:tcBorders>
              <w:top w:val="nil"/>
              <w:left w:val="nil"/>
              <w:bottom w:val="single" w:sz="4" w:space="0" w:color="auto"/>
              <w:right w:val="single" w:sz="4" w:space="0" w:color="auto"/>
            </w:tcBorders>
            <w:noWrap/>
            <w:vAlign w:val="bottom"/>
          </w:tcPr>
          <w:p w:rsidR="00C81B24" w:rsidRPr="00C81B24" w:rsidRDefault="00C81B24" w:rsidP="00CE5850">
            <w:pPr>
              <w:jc w:val="right"/>
              <w:rPr>
                <w:sz w:val="20"/>
              </w:rPr>
            </w:pPr>
            <w:r w:rsidRPr="00C81B24">
              <w:rPr>
                <w:sz w:val="20"/>
              </w:rPr>
              <w:t>2491</w:t>
            </w:r>
          </w:p>
        </w:tc>
        <w:tc>
          <w:tcPr>
            <w:tcW w:w="536" w:type="dxa"/>
            <w:tcBorders>
              <w:top w:val="nil"/>
              <w:left w:val="nil"/>
              <w:bottom w:val="single" w:sz="4" w:space="0" w:color="auto"/>
              <w:right w:val="single" w:sz="4" w:space="0" w:color="auto"/>
            </w:tcBorders>
            <w:vAlign w:val="bottom"/>
          </w:tcPr>
          <w:p w:rsidR="00C81B24" w:rsidRPr="00C81B24" w:rsidRDefault="00C81B24" w:rsidP="00CE5850">
            <w:pPr>
              <w:autoSpaceDE w:val="0"/>
              <w:autoSpaceDN w:val="0"/>
              <w:adjustRightInd w:val="0"/>
              <w:jc w:val="right"/>
              <w:rPr>
                <w:color w:val="000000"/>
                <w:kern w:val="0"/>
                <w:sz w:val="20"/>
              </w:rPr>
            </w:pPr>
            <w:r w:rsidRPr="00C81B24">
              <w:rPr>
                <w:color w:val="000000"/>
                <w:kern w:val="0"/>
                <w:sz w:val="20"/>
              </w:rPr>
              <w:t>2611</w:t>
            </w:r>
          </w:p>
        </w:tc>
        <w:tc>
          <w:tcPr>
            <w:tcW w:w="736" w:type="dxa"/>
            <w:tcBorders>
              <w:top w:val="nil"/>
              <w:left w:val="nil"/>
              <w:bottom w:val="single" w:sz="4" w:space="0" w:color="auto"/>
              <w:right w:val="single" w:sz="4" w:space="0" w:color="auto"/>
            </w:tcBorders>
            <w:vAlign w:val="bottom"/>
          </w:tcPr>
          <w:p w:rsidR="00C81B24" w:rsidRPr="00C81B24" w:rsidRDefault="00C81B24" w:rsidP="00CE5850">
            <w:pPr>
              <w:jc w:val="right"/>
              <w:rPr>
                <w:color w:val="000000"/>
                <w:sz w:val="20"/>
              </w:rPr>
            </w:pPr>
            <w:r w:rsidRPr="00C81B24">
              <w:rPr>
                <w:color w:val="000000"/>
                <w:sz w:val="20"/>
              </w:rPr>
              <w:t>152.55</w:t>
            </w:r>
          </w:p>
        </w:tc>
      </w:tr>
      <w:tr w:rsidR="00C81B24" w:rsidRPr="00C81B24" w:rsidTr="00526AD9">
        <w:trPr>
          <w:trHeight w:val="255"/>
          <w:jc w:val="center"/>
        </w:trPr>
        <w:tc>
          <w:tcPr>
            <w:tcW w:w="554" w:type="dxa"/>
            <w:tcBorders>
              <w:top w:val="nil"/>
              <w:left w:val="single" w:sz="4" w:space="0" w:color="auto"/>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39</w:t>
            </w:r>
          </w:p>
        </w:tc>
        <w:tc>
          <w:tcPr>
            <w:tcW w:w="456" w:type="dxa"/>
            <w:tcBorders>
              <w:top w:val="nil"/>
              <w:left w:val="single" w:sz="4" w:space="0" w:color="auto"/>
              <w:bottom w:val="single" w:sz="4" w:space="0" w:color="auto"/>
              <w:right w:val="single" w:sz="4" w:space="0" w:color="auto"/>
            </w:tcBorders>
            <w:vAlign w:val="center"/>
          </w:tcPr>
          <w:p w:rsidR="00C81B24" w:rsidRPr="00C81B24" w:rsidRDefault="00C81B24" w:rsidP="00CE5850">
            <w:pPr>
              <w:jc w:val="right"/>
              <w:rPr>
                <w:sz w:val="20"/>
              </w:rPr>
            </w:pPr>
            <w:r w:rsidRPr="00C81B24">
              <w:rPr>
                <w:sz w:val="20"/>
              </w:rPr>
              <w:t>161</w:t>
            </w:r>
          </w:p>
        </w:tc>
        <w:tc>
          <w:tcPr>
            <w:tcW w:w="4012" w:type="dxa"/>
            <w:tcBorders>
              <w:top w:val="nil"/>
              <w:left w:val="nil"/>
              <w:bottom w:val="single" w:sz="4" w:space="0" w:color="auto"/>
              <w:right w:val="single" w:sz="4" w:space="0" w:color="auto"/>
            </w:tcBorders>
            <w:vAlign w:val="center"/>
          </w:tcPr>
          <w:p w:rsidR="00C81B24" w:rsidRPr="00C81B24" w:rsidRDefault="00C81B24" w:rsidP="00CE5850">
            <w:pPr>
              <w:rPr>
                <w:sz w:val="20"/>
              </w:rPr>
            </w:pPr>
            <w:r w:rsidRPr="00C81B24">
              <w:rPr>
                <w:sz w:val="20"/>
              </w:rPr>
              <w:t>San Diego, CA</w:t>
            </w:r>
          </w:p>
        </w:tc>
        <w:tc>
          <w:tcPr>
            <w:tcW w:w="1102" w:type="dxa"/>
            <w:tcBorders>
              <w:top w:val="nil"/>
              <w:left w:val="nil"/>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 xml:space="preserve"> 3,222,397 </w:t>
            </w:r>
          </w:p>
        </w:tc>
        <w:tc>
          <w:tcPr>
            <w:tcW w:w="1155" w:type="dxa"/>
            <w:tcBorders>
              <w:top w:val="nil"/>
              <w:left w:val="nil"/>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 xml:space="preserve"> 3,140,069 </w:t>
            </w:r>
          </w:p>
        </w:tc>
        <w:tc>
          <w:tcPr>
            <w:tcW w:w="979" w:type="dxa"/>
            <w:tcBorders>
              <w:top w:val="nil"/>
              <w:left w:val="nil"/>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103%</w:t>
            </w:r>
          </w:p>
        </w:tc>
        <w:tc>
          <w:tcPr>
            <w:tcW w:w="635" w:type="dxa"/>
            <w:tcBorders>
              <w:top w:val="nil"/>
              <w:left w:val="nil"/>
              <w:bottom w:val="single" w:sz="4" w:space="0" w:color="auto"/>
              <w:right w:val="single" w:sz="4" w:space="0" w:color="auto"/>
            </w:tcBorders>
            <w:noWrap/>
            <w:vAlign w:val="bottom"/>
          </w:tcPr>
          <w:p w:rsidR="00C81B24" w:rsidRPr="00C81B24" w:rsidRDefault="00C81B24" w:rsidP="00CE5850">
            <w:pPr>
              <w:jc w:val="right"/>
              <w:rPr>
                <w:sz w:val="20"/>
              </w:rPr>
            </w:pPr>
            <w:r w:rsidRPr="00C81B24">
              <w:rPr>
                <w:sz w:val="20"/>
              </w:rPr>
              <w:t>2581</w:t>
            </w:r>
          </w:p>
        </w:tc>
        <w:tc>
          <w:tcPr>
            <w:tcW w:w="536" w:type="dxa"/>
            <w:tcBorders>
              <w:top w:val="nil"/>
              <w:left w:val="nil"/>
              <w:bottom w:val="single" w:sz="4" w:space="0" w:color="auto"/>
              <w:right w:val="single" w:sz="4" w:space="0" w:color="auto"/>
            </w:tcBorders>
            <w:vAlign w:val="bottom"/>
          </w:tcPr>
          <w:p w:rsidR="00C81B24" w:rsidRPr="00C81B24" w:rsidRDefault="00C81B24" w:rsidP="00CE5850">
            <w:pPr>
              <w:autoSpaceDE w:val="0"/>
              <w:autoSpaceDN w:val="0"/>
              <w:adjustRightInd w:val="0"/>
              <w:jc w:val="right"/>
              <w:rPr>
                <w:color w:val="000000"/>
                <w:kern w:val="0"/>
                <w:sz w:val="20"/>
              </w:rPr>
            </w:pPr>
            <w:r w:rsidRPr="00C81B24">
              <w:rPr>
                <w:color w:val="000000"/>
                <w:kern w:val="0"/>
                <w:sz w:val="20"/>
              </w:rPr>
              <w:t>2545</w:t>
            </w:r>
          </w:p>
        </w:tc>
        <w:tc>
          <w:tcPr>
            <w:tcW w:w="736" w:type="dxa"/>
            <w:tcBorders>
              <w:top w:val="nil"/>
              <w:left w:val="nil"/>
              <w:bottom w:val="single" w:sz="4" w:space="0" w:color="auto"/>
              <w:right w:val="single" w:sz="4" w:space="0" w:color="auto"/>
            </w:tcBorders>
            <w:vAlign w:val="bottom"/>
          </w:tcPr>
          <w:p w:rsidR="00C81B24" w:rsidRPr="00C81B24" w:rsidRDefault="00C81B24" w:rsidP="00CE5850">
            <w:pPr>
              <w:jc w:val="right"/>
              <w:rPr>
                <w:color w:val="000000"/>
                <w:sz w:val="20"/>
              </w:rPr>
            </w:pPr>
            <w:r w:rsidRPr="00C81B24">
              <w:rPr>
                <w:color w:val="000000"/>
                <w:sz w:val="20"/>
              </w:rPr>
              <w:t>735.82</w:t>
            </w:r>
          </w:p>
        </w:tc>
      </w:tr>
      <w:tr w:rsidR="00C81B24" w:rsidRPr="00C81B24" w:rsidTr="00526AD9">
        <w:trPr>
          <w:trHeight w:val="255"/>
          <w:jc w:val="center"/>
        </w:trPr>
        <w:tc>
          <w:tcPr>
            <w:tcW w:w="554" w:type="dxa"/>
            <w:tcBorders>
              <w:top w:val="nil"/>
              <w:left w:val="single" w:sz="4" w:space="0" w:color="auto"/>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40</w:t>
            </w:r>
          </w:p>
        </w:tc>
        <w:tc>
          <w:tcPr>
            <w:tcW w:w="456" w:type="dxa"/>
            <w:tcBorders>
              <w:top w:val="nil"/>
              <w:left w:val="single" w:sz="4" w:space="0" w:color="auto"/>
              <w:bottom w:val="single" w:sz="4" w:space="0" w:color="auto"/>
              <w:right w:val="single" w:sz="4" w:space="0" w:color="auto"/>
            </w:tcBorders>
            <w:vAlign w:val="center"/>
          </w:tcPr>
          <w:p w:rsidR="00C81B24" w:rsidRPr="00C81B24" w:rsidRDefault="00C81B24" w:rsidP="00CE5850">
            <w:pPr>
              <w:jc w:val="right"/>
              <w:rPr>
                <w:sz w:val="20"/>
              </w:rPr>
            </w:pPr>
            <w:r w:rsidRPr="00C81B24">
              <w:rPr>
                <w:sz w:val="20"/>
              </w:rPr>
              <w:t>3</w:t>
            </w:r>
          </w:p>
        </w:tc>
        <w:tc>
          <w:tcPr>
            <w:tcW w:w="4012" w:type="dxa"/>
            <w:tcBorders>
              <w:top w:val="nil"/>
              <w:left w:val="nil"/>
              <w:bottom w:val="single" w:sz="4" w:space="0" w:color="auto"/>
              <w:right w:val="single" w:sz="4" w:space="0" w:color="auto"/>
            </w:tcBorders>
            <w:vAlign w:val="center"/>
          </w:tcPr>
          <w:p w:rsidR="00C81B24" w:rsidRPr="00C81B24" w:rsidRDefault="00C81B24" w:rsidP="00CE5850">
            <w:pPr>
              <w:rPr>
                <w:sz w:val="20"/>
              </w:rPr>
            </w:pPr>
            <w:r w:rsidRPr="00C81B24">
              <w:rPr>
                <w:sz w:val="20"/>
              </w:rPr>
              <w:t>Boston-Worcester-Lawrence-Lowewell-Brockton, MA-NH</w:t>
            </w:r>
          </w:p>
        </w:tc>
        <w:tc>
          <w:tcPr>
            <w:tcW w:w="1102" w:type="dxa"/>
            <w:tcBorders>
              <w:top w:val="nil"/>
              <w:left w:val="nil"/>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 xml:space="preserve"> 8,425,112 </w:t>
            </w:r>
          </w:p>
        </w:tc>
        <w:tc>
          <w:tcPr>
            <w:tcW w:w="1155" w:type="dxa"/>
            <w:tcBorders>
              <w:top w:val="nil"/>
              <w:left w:val="nil"/>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 xml:space="preserve"> 8,269,599 </w:t>
            </w:r>
          </w:p>
        </w:tc>
        <w:tc>
          <w:tcPr>
            <w:tcW w:w="979" w:type="dxa"/>
            <w:tcBorders>
              <w:top w:val="nil"/>
              <w:left w:val="nil"/>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102%</w:t>
            </w:r>
          </w:p>
        </w:tc>
        <w:tc>
          <w:tcPr>
            <w:tcW w:w="635" w:type="dxa"/>
            <w:tcBorders>
              <w:top w:val="nil"/>
              <w:left w:val="nil"/>
              <w:bottom w:val="single" w:sz="4" w:space="0" w:color="auto"/>
              <w:right w:val="single" w:sz="4" w:space="0" w:color="auto"/>
            </w:tcBorders>
            <w:noWrap/>
            <w:vAlign w:val="bottom"/>
          </w:tcPr>
          <w:p w:rsidR="00C81B24" w:rsidRPr="00C81B24" w:rsidRDefault="00C81B24" w:rsidP="00CE5850">
            <w:pPr>
              <w:jc w:val="right"/>
              <w:rPr>
                <w:sz w:val="20"/>
              </w:rPr>
            </w:pPr>
            <w:r w:rsidRPr="00C81B24">
              <w:rPr>
                <w:sz w:val="20"/>
              </w:rPr>
              <w:t>2841</w:t>
            </w:r>
          </w:p>
        </w:tc>
        <w:tc>
          <w:tcPr>
            <w:tcW w:w="536" w:type="dxa"/>
            <w:tcBorders>
              <w:top w:val="nil"/>
              <w:left w:val="nil"/>
              <w:bottom w:val="single" w:sz="4" w:space="0" w:color="auto"/>
              <w:right w:val="single" w:sz="4" w:space="0" w:color="auto"/>
            </w:tcBorders>
            <w:vAlign w:val="bottom"/>
          </w:tcPr>
          <w:p w:rsidR="00C81B24" w:rsidRPr="00C81B24" w:rsidRDefault="00C81B24" w:rsidP="00CE5850">
            <w:pPr>
              <w:autoSpaceDE w:val="0"/>
              <w:autoSpaceDN w:val="0"/>
              <w:adjustRightInd w:val="0"/>
              <w:jc w:val="right"/>
              <w:rPr>
                <w:color w:val="000000"/>
                <w:kern w:val="0"/>
                <w:sz w:val="20"/>
              </w:rPr>
            </w:pPr>
            <w:r w:rsidRPr="00C81B24">
              <w:rPr>
                <w:color w:val="000000"/>
                <w:kern w:val="0"/>
                <w:sz w:val="20"/>
              </w:rPr>
              <w:t>2819</w:t>
            </w:r>
          </w:p>
        </w:tc>
        <w:tc>
          <w:tcPr>
            <w:tcW w:w="736" w:type="dxa"/>
            <w:tcBorders>
              <w:top w:val="nil"/>
              <w:left w:val="nil"/>
              <w:bottom w:val="single" w:sz="4" w:space="0" w:color="auto"/>
              <w:right w:val="single" w:sz="4" w:space="0" w:color="auto"/>
            </w:tcBorders>
            <w:vAlign w:val="bottom"/>
          </w:tcPr>
          <w:p w:rsidR="00C81B24" w:rsidRPr="00C81B24" w:rsidRDefault="00C81B24" w:rsidP="00CE5850">
            <w:pPr>
              <w:jc w:val="right"/>
              <w:rPr>
                <w:color w:val="000000"/>
                <w:sz w:val="20"/>
              </w:rPr>
            </w:pPr>
            <w:r w:rsidRPr="00C81B24">
              <w:rPr>
                <w:color w:val="000000"/>
                <w:sz w:val="20"/>
              </w:rPr>
              <w:t>454.10</w:t>
            </w:r>
          </w:p>
        </w:tc>
      </w:tr>
      <w:tr w:rsidR="00C81B24" w:rsidRPr="00C81B24" w:rsidTr="00526AD9">
        <w:trPr>
          <w:trHeight w:val="255"/>
          <w:jc w:val="center"/>
        </w:trPr>
        <w:tc>
          <w:tcPr>
            <w:tcW w:w="554" w:type="dxa"/>
            <w:tcBorders>
              <w:top w:val="nil"/>
              <w:left w:val="single" w:sz="4" w:space="0" w:color="auto"/>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41</w:t>
            </w:r>
          </w:p>
        </w:tc>
        <w:tc>
          <w:tcPr>
            <w:tcW w:w="456" w:type="dxa"/>
            <w:tcBorders>
              <w:top w:val="nil"/>
              <w:left w:val="single" w:sz="4" w:space="0" w:color="auto"/>
              <w:bottom w:val="single" w:sz="4" w:space="0" w:color="auto"/>
              <w:right w:val="single" w:sz="4" w:space="0" w:color="auto"/>
            </w:tcBorders>
            <w:vAlign w:val="center"/>
          </w:tcPr>
          <w:p w:rsidR="00C81B24" w:rsidRPr="00C81B24" w:rsidRDefault="00C81B24" w:rsidP="00CE5850">
            <w:pPr>
              <w:jc w:val="right"/>
              <w:rPr>
                <w:sz w:val="20"/>
              </w:rPr>
            </w:pPr>
            <w:r w:rsidRPr="00C81B24">
              <w:rPr>
                <w:sz w:val="20"/>
              </w:rPr>
              <w:t>37</w:t>
            </w:r>
          </w:p>
        </w:tc>
        <w:tc>
          <w:tcPr>
            <w:tcW w:w="4012" w:type="dxa"/>
            <w:tcBorders>
              <w:top w:val="nil"/>
              <w:left w:val="nil"/>
              <w:bottom w:val="single" w:sz="4" w:space="0" w:color="auto"/>
              <w:right w:val="single" w:sz="4" w:space="0" w:color="auto"/>
            </w:tcBorders>
            <w:vAlign w:val="center"/>
          </w:tcPr>
          <w:p w:rsidR="00C81B24" w:rsidRPr="00C81B24" w:rsidRDefault="00C81B24" w:rsidP="00CE5850">
            <w:pPr>
              <w:rPr>
                <w:sz w:val="20"/>
              </w:rPr>
            </w:pPr>
            <w:r w:rsidRPr="00C81B24">
              <w:rPr>
                <w:sz w:val="20"/>
              </w:rPr>
              <w:t>Albany, GA</w:t>
            </w:r>
          </w:p>
        </w:tc>
        <w:tc>
          <w:tcPr>
            <w:tcW w:w="1102" w:type="dxa"/>
            <w:tcBorders>
              <w:top w:val="nil"/>
              <w:left w:val="nil"/>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 xml:space="preserve"> 508,306 </w:t>
            </w:r>
          </w:p>
        </w:tc>
        <w:tc>
          <w:tcPr>
            <w:tcW w:w="1155" w:type="dxa"/>
            <w:tcBorders>
              <w:top w:val="nil"/>
              <w:left w:val="nil"/>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 xml:space="preserve"> 500,696 </w:t>
            </w:r>
          </w:p>
        </w:tc>
        <w:tc>
          <w:tcPr>
            <w:tcW w:w="979" w:type="dxa"/>
            <w:tcBorders>
              <w:top w:val="nil"/>
              <w:left w:val="nil"/>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102%</w:t>
            </w:r>
          </w:p>
        </w:tc>
        <w:tc>
          <w:tcPr>
            <w:tcW w:w="635" w:type="dxa"/>
            <w:tcBorders>
              <w:top w:val="nil"/>
              <w:left w:val="nil"/>
              <w:bottom w:val="single" w:sz="4" w:space="0" w:color="auto"/>
              <w:right w:val="single" w:sz="4" w:space="0" w:color="auto"/>
            </w:tcBorders>
            <w:noWrap/>
            <w:vAlign w:val="bottom"/>
          </w:tcPr>
          <w:p w:rsidR="00C81B24" w:rsidRPr="00C81B24" w:rsidRDefault="00C81B24" w:rsidP="00CE5850">
            <w:pPr>
              <w:jc w:val="right"/>
              <w:rPr>
                <w:sz w:val="20"/>
              </w:rPr>
            </w:pPr>
            <w:r w:rsidRPr="00C81B24">
              <w:rPr>
                <w:sz w:val="20"/>
              </w:rPr>
              <w:t>3801</w:t>
            </w:r>
          </w:p>
        </w:tc>
        <w:tc>
          <w:tcPr>
            <w:tcW w:w="536" w:type="dxa"/>
            <w:tcBorders>
              <w:top w:val="nil"/>
              <w:left w:val="nil"/>
              <w:bottom w:val="single" w:sz="4" w:space="0" w:color="auto"/>
              <w:right w:val="single" w:sz="4" w:space="0" w:color="auto"/>
            </w:tcBorders>
            <w:vAlign w:val="bottom"/>
          </w:tcPr>
          <w:p w:rsidR="00C81B24" w:rsidRPr="00C81B24" w:rsidRDefault="00C81B24" w:rsidP="00CE5850">
            <w:pPr>
              <w:autoSpaceDE w:val="0"/>
              <w:autoSpaceDN w:val="0"/>
              <w:adjustRightInd w:val="0"/>
              <w:jc w:val="right"/>
              <w:rPr>
                <w:color w:val="000000"/>
                <w:kern w:val="0"/>
                <w:sz w:val="20"/>
              </w:rPr>
            </w:pPr>
            <w:r w:rsidRPr="00C81B24">
              <w:rPr>
                <w:color w:val="000000"/>
                <w:kern w:val="0"/>
                <w:sz w:val="20"/>
              </w:rPr>
              <w:t>3651</w:t>
            </w:r>
          </w:p>
        </w:tc>
        <w:tc>
          <w:tcPr>
            <w:tcW w:w="736" w:type="dxa"/>
            <w:tcBorders>
              <w:top w:val="nil"/>
              <w:left w:val="nil"/>
              <w:bottom w:val="single" w:sz="4" w:space="0" w:color="auto"/>
              <w:right w:val="single" w:sz="4" w:space="0" w:color="auto"/>
            </w:tcBorders>
            <w:vAlign w:val="bottom"/>
          </w:tcPr>
          <w:p w:rsidR="00C81B24" w:rsidRPr="00C81B24" w:rsidRDefault="00C81B24" w:rsidP="00CE5850">
            <w:pPr>
              <w:jc w:val="right"/>
              <w:rPr>
                <w:color w:val="000000"/>
                <w:sz w:val="20"/>
              </w:rPr>
            </w:pPr>
            <w:r w:rsidRPr="00C81B24">
              <w:rPr>
                <w:color w:val="000000"/>
                <w:sz w:val="20"/>
              </w:rPr>
              <w:t>67.88</w:t>
            </w:r>
          </w:p>
        </w:tc>
      </w:tr>
      <w:tr w:rsidR="00C81B24" w:rsidRPr="00C81B24" w:rsidTr="00526AD9">
        <w:trPr>
          <w:trHeight w:val="255"/>
          <w:jc w:val="center"/>
        </w:trPr>
        <w:tc>
          <w:tcPr>
            <w:tcW w:w="554" w:type="dxa"/>
            <w:tcBorders>
              <w:top w:val="nil"/>
              <w:left w:val="single" w:sz="4" w:space="0" w:color="auto"/>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42</w:t>
            </w:r>
          </w:p>
        </w:tc>
        <w:tc>
          <w:tcPr>
            <w:tcW w:w="456" w:type="dxa"/>
            <w:tcBorders>
              <w:top w:val="nil"/>
              <w:left w:val="single" w:sz="4" w:space="0" w:color="auto"/>
              <w:bottom w:val="single" w:sz="4" w:space="0" w:color="auto"/>
              <w:right w:val="single" w:sz="4" w:space="0" w:color="auto"/>
            </w:tcBorders>
            <w:vAlign w:val="center"/>
          </w:tcPr>
          <w:p w:rsidR="00C81B24" w:rsidRPr="00C81B24" w:rsidRDefault="00C81B24" w:rsidP="00CE5850">
            <w:pPr>
              <w:jc w:val="right"/>
              <w:rPr>
                <w:sz w:val="20"/>
              </w:rPr>
            </w:pPr>
            <w:r w:rsidRPr="00C81B24">
              <w:rPr>
                <w:sz w:val="20"/>
              </w:rPr>
              <w:t>45</w:t>
            </w:r>
          </w:p>
        </w:tc>
        <w:tc>
          <w:tcPr>
            <w:tcW w:w="4012" w:type="dxa"/>
            <w:tcBorders>
              <w:top w:val="nil"/>
              <w:left w:val="nil"/>
              <w:bottom w:val="single" w:sz="4" w:space="0" w:color="auto"/>
              <w:right w:val="single" w:sz="4" w:space="0" w:color="auto"/>
            </w:tcBorders>
            <w:vAlign w:val="center"/>
          </w:tcPr>
          <w:p w:rsidR="00C81B24" w:rsidRPr="00C81B24" w:rsidRDefault="00C81B24" w:rsidP="00CE5850">
            <w:pPr>
              <w:rPr>
                <w:sz w:val="20"/>
              </w:rPr>
            </w:pPr>
            <w:r w:rsidRPr="00C81B24">
              <w:rPr>
                <w:sz w:val="20"/>
              </w:rPr>
              <w:t>Johnson City-Kingsport-Bristol, TN-VA</w:t>
            </w:r>
          </w:p>
        </w:tc>
        <w:tc>
          <w:tcPr>
            <w:tcW w:w="1102" w:type="dxa"/>
            <w:tcBorders>
              <w:top w:val="nil"/>
              <w:left w:val="nil"/>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 xml:space="preserve"> 621,925 </w:t>
            </w:r>
          </w:p>
        </w:tc>
        <w:tc>
          <w:tcPr>
            <w:tcW w:w="1155" w:type="dxa"/>
            <w:tcBorders>
              <w:top w:val="nil"/>
              <w:left w:val="nil"/>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 xml:space="preserve"> 610,979 </w:t>
            </w:r>
          </w:p>
        </w:tc>
        <w:tc>
          <w:tcPr>
            <w:tcW w:w="979" w:type="dxa"/>
            <w:tcBorders>
              <w:top w:val="nil"/>
              <w:left w:val="nil"/>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102%</w:t>
            </w:r>
          </w:p>
        </w:tc>
        <w:tc>
          <w:tcPr>
            <w:tcW w:w="635" w:type="dxa"/>
            <w:tcBorders>
              <w:top w:val="nil"/>
              <w:left w:val="nil"/>
              <w:bottom w:val="single" w:sz="4" w:space="0" w:color="auto"/>
              <w:right w:val="single" w:sz="4" w:space="0" w:color="auto"/>
            </w:tcBorders>
            <w:noWrap/>
            <w:vAlign w:val="bottom"/>
          </w:tcPr>
          <w:p w:rsidR="00C81B24" w:rsidRPr="00C81B24" w:rsidRDefault="00C81B24" w:rsidP="00CE5850">
            <w:pPr>
              <w:jc w:val="right"/>
              <w:rPr>
                <w:sz w:val="20"/>
              </w:rPr>
            </w:pPr>
            <w:r w:rsidRPr="00C81B24">
              <w:rPr>
                <w:sz w:val="20"/>
              </w:rPr>
              <w:t>4182</w:t>
            </w:r>
          </w:p>
        </w:tc>
        <w:tc>
          <w:tcPr>
            <w:tcW w:w="536" w:type="dxa"/>
            <w:tcBorders>
              <w:top w:val="nil"/>
              <w:left w:val="nil"/>
              <w:bottom w:val="single" w:sz="4" w:space="0" w:color="auto"/>
              <w:right w:val="single" w:sz="4" w:space="0" w:color="auto"/>
            </w:tcBorders>
            <w:vAlign w:val="bottom"/>
          </w:tcPr>
          <w:p w:rsidR="00C81B24" w:rsidRPr="00C81B24" w:rsidRDefault="00C81B24" w:rsidP="00CE5850">
            <w:pPr>
              <w:autoSpaceDE w:val="0"/>
              <w:autoSpaceDN w:val="0"/>
              <w:adjustRightInd w:val="0"/>
              <w:jc w:val="right"/>
              <w:rPr>
                <w:color w:val="000000"/>
                <w:kern w:val="0"/>
                <w:sz w:val="20"/>
              </w:rPr>
            </w:pPr>
            <w:r w:rsidRPr="00C81B24">
              <w:rPr>
                <w:color w:val="000000"/>
                <w:kern w:val="0"/>
                <w:sz w:val="20"/>
              </w:rPr>
              <w:t>3985</w:t>
            </w:r>
          </w:p>
        </w:tc>
        <w:tc>
          <w:tcPr>
            <w:tcW w:w="736" w:type="dxa"/>
            <w:tcBorders>
              <w:top w:val="nil"/>
              <w:left w:val="nil"/>
              <w:bottom w:val="single" w:sz="4" w:space="0" w:color="auto"/>
              <w:right w:val="single" w:sz="4" w:space="0" w:color="auto"/>
            </w:tcBorders>
            <w:vAlign w:val="bottom"/>
          </w:tcPr>
          <w:p w:rsidR="00C81B24" w:rsidRPr="00C81B24" w:rsidRDefault="00C81B24" w:rsidP="00CE5850">
            <w:pPr>
              <w:jc w:val="right"/>
              <w:rPr>
                <w:color w:val="000000"/>
                <w:sz w:val="20"/>
              </w:rPr>
            </w:pPr>
            <w:r w:rsidRPr="00C81B24">
              <w:rPr>
                <w:color w:val="000000"/>
                <w:sz w:val="20"/>
              </w:rPr>
              <w:t>154.77</w:t>
            </w:r>
          </w:p>
        </w:tc>
      </w:tr>
      <w:tr w:rsidR="00C81B24" w:rsidRPr="00C81B24" w:rsidTr="00526AD9">
        <w:trPr>
          <w:trHeight w:val="255"/>
          <w:jc w:val="center"/>
        </w:trPr>
        <w:tc>
          <w:tcPr>
            <w:tcW w:w="554" w:type="dxa"/>
            <w:tcBorders>
              <w:top w:val="nil"/>
              <w:left w:val="single" w:sz="4" w:space="0" w:color="auto"/>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43</w:t>
            </w:r>
          </w:p>
        </w:tc>
        <w:tc>
          <w:tcPr>
            <w:tcW w:w="456" w:type="dxa"/>
            <w:tcBorders>
              <w:top w:val="nil"/>
              <w:left w:val="single" w:sz="4" w:space="0" w:color="auto"/>
              <w:bottom w:val="single" w:sz="4" w:space="0" w:color="auto"/>
              <w:right w:val="single" w:sz="4" w:space="0" w:color="auto"/>
            </w:tcBorders>
            <w:vAlign w:val="center"/>
          </w:tcPr>
          <w:p w:rsidR="00C81B24" w:rsidRPr="00C81B24" w:rsidRDefault="00C81B24" w:rsidP="00CE5850">
            <w:pPr>
              <w:jc w:val="right"/>
              <w:rPr>
                <w:sz w:val="20"/>
              </w:rPr>
            </w:pPr>
            <w:r w:rsidRPr="00C81B24">
              <w:rPr>
                <w:sz w:val="20"/>
              </w:rPr>
              <w:t>77</w:t>
            </w:r>
          </w:p>
        </w:tc>
        <w:tc>
          <w:tcPr>
            <w:tcW w:w="4012" w:type="dxa"/>
            <w:tcBorders>
              <w:top w:val="nil"/>
              <w:left w:val="nil"/>
              <w:bottom w:val="single" w:sz="4" w:space="0" w:color="auto"/>
              <w:right w:val="single" w:sz="4" w:space="0" w:color="auto"/>
            </w:tcBorders>
            <w:vAlign w:val="center"/>
          </w:tcPr>
          <w:p w:rsidR="00C81B24" w:rsidRPr="00C81B24" w:rsidRDefault="00C81B24" w:rsidP="00CE5850">
            <w:pPr>
              <w:rPr>
                <w:sz w:val="20"/>
              </w:rPr>
            </w:pPr>
            <w:r w:rsidRPr="00C81B24">
              <w:rPr>
                <w:sz w:val="20"/>
              </w:rPr>
              <w:t>Jackson, MS-AL-LA</w:t>
            </w:r>
          </w:p>
        </w:tc>
        <w:tc>
          <w:tcPr>
            <w:tcW w:w="1102" w:type="dxa"/>
            <w:tcBorders>
              <w:top w:val="nil"/>
              <w:left w:val="nil"/>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 xml:space="preserve"> 1,519,273 </w:t>
            </w:r>
          </w:p>
        </w:tc>
        <w:tc>
          <w:tcPr>
            <w:tcW w:w="1155" w:type="dxa"/>
            <w:tcBorders>
              <w:top w:val="nil"/>
              <w:left w:val="nil"/>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 xml:space="preserve"> 1,489,453 </w:t>
            </w:r>
          </w:p>
        </w:tc>
        <w:tc>
          <w:tcPr>
            <w:tcW w:w="979" w:type="dxa"/>
            <w:tcBorders>
              <w:top w:val="nil"/>
              <w:left w:val="nil"/>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102%</w:t>
            </w:r>
          </w:p>
        </w:tc>
        <w:tc>
          <w:tcPr>
            <w:tcW w:w="635" w:type="dxa"/>
            <w:tcBorders>
              <w:top w:val="nil"/>
              <w:left w:val="nil"/>
              <w:bottom w:val="single" w:sz="4" w:space="0" w:color="auto"/>
              <w:right w:val="single" w:sz="4" w:space="0" w:color="auto"/>
            </w:tcBorders>
            <w:noWrap/>
            <w:vAlign w:val="bottom"/>
          </w:tcPr>
          <w:p w:rsidR="00C81B24" w:rsidRPr="00C81B24" w:rsidRDefault="00C81B24" w:rsidP="00CE5850">
            <w:pPr>
              <w:jc w:val="right"/>
              <w:rPr>
                <w:sz w:val="20"/>
              </w:rPr>
            </w:pPr>
            <w:r w:rsidRPr="00C81B24">
              <w:rPr>
                <w:sz w:val="20"/>
              </w:rPr>
              <w:t>3031</w:t>
            </w:r>
          </w:p>
        </w:tc>
        <w:tc>
          <w:tcPr>
            <w:tcW w:w="536" w:type="dxa"/>
            <w:tcBorders>
              <w:top w:val="nil"/>
              <w:left w:val="nil"/>
              <w:bottom w:val="single" w:sz="4" w:space="0" w:color="auto"/>
              <w:right w:val="single" w:sz="4" w:space="0" w:color="auto"/>
            </w:tcBorders>
            <w:vAlign w:val="bottom"/>
          </w:tcPr>
          <w:p w:rsidR="00C81B24" w:rsidRPr="00C81B24" w:rsidRDefault="00C81B24" w:rsidP="00CE5850">
            <w:pPr>
              <w:autoSpaceDE w:val="0"/>
              <w:autoSpaceDN w:val="0"/>
              <w:adjustRightInd w:val="0"/>
              <w:jc w:val="right"/>
              <w:rPr>
                <w:color w:val="000000"/>
                <w:kern w:val="0"/>
                <w:sz w:val="20"/>
              </w:rPr>
            </w:pPr>
            <w:r w:rsidRPr="00C81B24">
              <w:rPr>
                <w:color w:val="000000"/>
                <w:kern w:val="0"/>
                <w:sz w:val="20"/>
              </w:rPr>
              <w:t>3272</w:t>
            </w:r>
          </w:p>
        </w:tc>
        <w:tc>
          <w:tcPr>
            <w:tcW w:w="736" w:type="dxa"/>
            <w:tcBorders>
              <w:top w:val="nil"/>
              <w:left w:val="nil"/>
              <w:bottom w:val="single" w:sz="4" w:space="0" w:color="auto"/>
              <w:right w:val="single" w:sz="4" w:space="0" w:color="auto"/>
            </w:tcBorders>
            <w:vAlign w:val="bottom"/>
          </w:tcPr>
          <w:p w:rsidR="00C81B24" w:rsidRPr="00C81B24" w:rsidRDefault="00C81B24" w:rsidP="00CE5850">
            <w:pPr>
              <w:jc w:val="right"/>
              <w:rPr>
                <w:color w:val="000000"/>
                <w:sz w:val="20"/>
              </w:rPr>
            </w:pPr>
            <w:r w:rsidRPr="00C81B24">
              <w:rPr>
                <w:color w:val="000000"/>
                <w:sz w:val="20"/>
              </w:rPr>
              <w:t>52.27</w:t>
            </w:r>
          </w:p>
        </w:tc>
      </w:tr>
      <w:tr w:rsidR="00C81B24" w:rsidRPr="00C81B24" w:rsidTr="00526AD9">
        <w:trPr>
          <w:trHeight w:val="255"/>
          <w:jc w:val="center"/>
        </w:trPr>
        <w:tc>
          <w:tcPr>
            <w:tcW w:w="554" w:type="dxa"/>
            <w:tcBorders>
              <w:top w:val="nil"/>
              <w:left w:val="single" w:sz="4" w:space="0" w:color="auto"/>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44</w:t>
            </w:r>
          </w:p>
        </w:tc>
        <w:tc>
          <w:tcPr>
            <w:tcW w:w="456" w:type="dxa"/>
            <w:tcBorders>
              <w:top w:val="nil"/>
              <w:left w:val="single" w:sz="4" w:space="0" w:color="auto"/>
              <w:bottom w:val="single" w:sz="4" w:space="0" w:color="auto"/>
              <w:right w:val="single" w:sz="4" w:space="0" w:color="auto"/>
            </w:tcBorders>
            <w:vAlign w:val="center"/>
          </w:tcPr>
          <w:p w:rsidR="00C81B24" w:rsidRPr="00C81B24" w:rsidRDefault="00C81B24" w:rsidP="00CE5850">
            <w:pPr>
              <w:jc w:val="right"/>
              <w:rPr>
                <w:sz w:val="20"/>
              </w:rPr>
            </w:pPr>
            <w:r w:rsidRPr="00C81B24">
              <w:rPr>
                <w:sz w:val="20"/>
              </w:rPr>
              <w:t>79</w:t>
            </w:r>
          </w:p>
        </w:tc>
        <w:tc>
          <w:tcPr>
            <w:tcW w:w="4012" w:type="dxa"/>
            <w:tcBorders>
              <w:top w:val="nil"/>
              <w:left w:val="nil"/>
              <w:bottom w:val="single" w:sz="4" w:space="0" w:color="auto"/>
              <w:right w:val="single" w:sz="4" w:space="0" w:color="auto"/>
            </w:tcBorders>
            <w:vAlign w:val="center"/>
          </w:tcPr>
          <w:p w:rsidR="00C81B24" w:rsidRPr="00C81B24" w:rsidRDefault="00C81B24" w:rsidP="00CE5850">
            <w:pPr>
              <w:rPr>
                <w:sz w:val="20"/>
              </w:rPr>
            </w:pPr>
            <w:r w:rsidRPr="00C81B24">
              <w:rPr>
                <w:sz w:val="20"/>
              </w:rPr>
              <w:t>Montgomery, AL</w:t>
            </w:r>
          </w:p>
        </w:tc>
        <w:tc>
          <w:tcPr>
            <w:tcW w:w="1102" w:type="dxa"/>
            <w:tcBorders>
              <w:top w:val="nil"/>
              <w:left w:val="nil"/>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 xml:space="preserve"> 520,103 </w:t>
            </w:r>
          </w:p>
        </w:tc>
        <w:tc>
          <w:tcPr>
            <w:tcW w:w="1155" w:type="dxa"/>
            <w:tcBorders>
              <w:top w:val="nil"/>
              <w:left w:val="nil"/>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 xml:space="preserve"> 510,331 </w:t>
            </w:r>
          </w:p>
        </w:tc>
        <w:tc>
          <w:tcPr>
            <w:tcW w:w="979" w:type="dxa"/>
            <w:tcBorders>
              <w:top w:val="nil"/>
              <w:left w:val="nil"/>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102%</w:t>
            </w:r>
          </w:p>
        </w:tc>
        <w:tc>
          <w:tcPr>
            <w:tcW w:w="635" w:type="dxa"/>
            <w:tcBorders>
              <w:top w:val="nil"/>
              <w:left w:val="nil"/>
              <w:bottom w:val="single" w:sz="4" w:space="0" w:color="auto"/>
              <w:right w:val="single" w:sz="4" w:space="0" w:color="auto"/>
            </w:tcBorders>
            <w:noWrap/>
            <w:vAlign w:val="bottom"/>
          </w:tcPr>
          <w:p w:rsidR="00C81B24" w:rsidRPr="00C81B24" w:rsidRDefault="00C81B24" w:rsidP="00CE5850">
            <w:pPr>
              <w:jc w:val="right"/>
              <w:rPr>
                <w:sz w:val="20"/>
              </w:rPr>
            </w:pPr>
            <w:r w:rsidRPr="00C81B24">
              <w:rPr>
                <w:sz w:val="20"/>
              </w:rPr>
              <w:t>3325</w:t>
            </w:r>
          </w:p>
        </w:tc>
        <w:tc>
          <w:tcPr>
            <w:tcW w:w="536" w:type="dxa"/>
            <w:tcBorders>
              <w:top w:val="nil"/>
              <w:left w:val="nil"/>
              <w:bottom w:val="single" w:sz="4" w:space="0" w:color="auto"/>
              <w:right w:val="single" w:sz="4" w:space="0" w:color="auto"/>
            </w:tcBorders>
            <w:vAlign w:val="bottom"/>
          </w:tcPr>
          <w:p w:rsidR="00C81B24" w:rsidRPr="00C81B24" w:rsidRDefault="00C81B24" w:rsidP="00CE5850">
            <w:pPr>
              <w:autoSpaceDE w:val="0"/>
              <w:autoSpaceDN w:val="0"/>
              <w:adjustRightInd w:val="0"/>
              <w:jc w:val="right"/>
              <w:rPr>
                <w:color w:val="000000"/>
                <w:kern w:val="0"/>
                <w:sz w:val="20"/>
              </w:rPr>
            </w:pPr>
            <w:r w:rsidRPr="00C81B24">
              <w:rPr>
                <w:color w:val="000000"/>
                <w:kern w:val="0"/>
                <w:sz w:val="20"/>
              </w:rPr>
              <w:t>3218</w:t>
            </w:r>
          </w:p>
        </w:tc>
        <w:tc>
          <w:tcPr>
            <w:tcW w:w="736" w:type="dxa"/>
            <w:tcBorders>
              <w:top w:val="nil"/>
              <w:left w:val="nil"/>
              <w:bottom w:val="single" w:sz="4" w:space="0" w:color="auto"/>
              <w:right w:val="single" w:sz="4" w:space="0" w:color="auto"/>
            </w:tcBorders>
            <w:vAlign w:val="bottom"/>
          </w:tcPr>
          <w:p w:rsidR="00C81B24" w:rsidRPr="00C81B24" w:rsidRDefault="00C81B24" w:rsidP="00CE5850">
            <w:pPr>
              <w:jc w:val="right"/>
              <w:rPr>
                <w:color w:val="000000"/>
                <w:sz w:val="20"/>
              </w:rPr>
            </w:pPr>
            <w:r w:rsidRPr="00C81B24">
              <w:rPr>
                <w:color w:val="000000"/>
                <w:sz w:val="20"/>
              </w:rPr>
              <w:t>71.58</w:t>
            </w:r>
          </w:p>
        </w:tc>
      </w:tr>
      <w:tr w:rsidR="00C81B24" w:rsidRPr="00C81B24" w:rsidTr="00526AD9">
        <w:trPr>
          <w:trHeight w:val="255"/>
          <w:jc w:val="center"/>
        </w:trPr>
        <w:tc>
          <w:tcPr>
            <w:tcW w:w="554" w:type="dxa"/>
            <w:tcBorders>
              <w:top w:val="nil"/>
              <w:left w:val="single" w:sz="4" w:space="0" w:color="auto"/>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45</w:t>
            </w:r>
          </w:p>
        </w:tc>
        <w:tc>
          <w:tcPr>
            <w:tcW w:w="456" w:type="dxa"/>
            <w:tcBorders>
              <w:top w:val="nil"/>
              <w:left w:val="single" w:sz="4" w:space="0" w:color="auto"/>
              <w:bottom w:val="single" w:sz="4" w:space="0" w:color="auto"/>
              <w:right w:val="single" w:sz="4" w:space="0" w:color="auto"/>
            </w:tcBorders>
            <w:vAlign w:val="center"/>
          </w:tcPr>
          <w:p w:rsidR="00C81B24" w:rsidRPr="00C81B24" w:rsidRDefault="00C81B24" w:rsidP="00CE5850">
            <w:pPr>
              <w:jc w:val="right"/>
              <w:rPr>
                <w:sz w:val="20"/>
              </w:rPr>
            </w:pPr>
            <w:r w:rsidRPr="00C81B24">
              <w:rPr>
                <w:sz w:val="20"/>
              </w:rPr>
              <w:t>96</w:t>
            </w:r>
          </w:p>
        </w:tc>
        <w:tc>
          <w:tcPr>
            <w:tcW w:w="4012" w:type="dxa"/>
            <w:tcBorders>
              <w:top w:val="nil"/>
              <w:left w:val="nil"/>
              <w:bottom w:val="single" w:sz="4" w:space="0" w:color="auto"/>
              <w:right w:val="single" w:sz="4" w:space="0" w:color="auto"/>
            </w:tcBorders>
            <w:vAlign w:val="center"/>
          </w:tcPr>
          <w:p w:rsidR="00C81B24" w:rsidRPr="00C81B24" w:rsidRDefault="00C81B24" w:rsidP="00CE5850">
            <w:pPr>
              <w:rPr>
                <w:sz w:val="20"/>
              </w:rPr>
            </w:pPr>
            <w:r w:rsidRPr="00C81B24">
              <w:rPr>
                <w:sz w:val="20"/>
              </w:rPr>
              <w:t>St. Louis, MO-IL</w:t>
            </w:r>
          </w:p>
        </w:tc>
        <w:tc>
          <w:tcPr>
            <w:tcW w:w="1102" w:type="dxa"/>
            <w:tcBorders>
              <w:top w:val="nil"/>
              <w:left w:val="nil"/>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 xml:space="preserve"> 3,755,425 </w:t>
            </w:r>
          </w:p>
        </w:tc>
        <w:tc>
          <w:tcPr>
            <w:tcW w:w="1155" w:type="dxa"/>
            <w:tcBorders>
              <w:top w:val="nil"/>
              <w:left w:val="nil"/>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 xml:space="preserve"> 3,695,280 </w:t>
            </w:r>
          </w:p>
        </w:tc>
        <w:tc>
          <w:tcPr>
            <w:tcW w:w="979" w:type="dxa"/>
            <w:tcBorders>
              <w:top w:val="nil"/>
              <w:left w:val="nil"/>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102%</w:t>
            </w:r>
          </w:p>
        </w:tc>
        <w:tc>
          <w:tcPr>
            <w:tcW w:w="635" w:type="dxa"/>
            <w:tcBorders>
              <w:top w:val="nil"/>
              <w:left w:val="nil"/>
              <w:bottom w:val="single" w:sz="4" w:space="0" w:color="auto"/>
              <w:right w:val="single" w:sz="4" w:space="0" w:color="auto"/>
            </w:tcBorders>
            <w:noWrap/>
            <w:vAlign w:val="bottom"/>
          </w:tcPr>
          <w:p w:rsidR="00C81B24" w:rsidRPr="00C81B24" w:rsidRDefault="00C81B24" w:rsidP="00CE5850">
            <w:pPr>
              <w:jc w:val="right"/>
              <w:rPr>
                <w:sz w:val="20"/>
              </w:rPr>
            </w:pPr>
            <w:r w:rsidRPr="00C81B24">
              <w:rPr>
                <w:sz w:val="20"/>
              </w:rPr>
              <w:t>2728</w:t>
            </w:r>
          </w:p>
        </w:tc>
        <w:tc>
          <w:tcPr>
            <w:tcW w:w="536" w:type="dxa"/>
            <w:tcBorders>
              <w:top w:val="nil"/>
              <w:left w:val="nil"/>
              <w:bottom w:val="single" w:sz="4" w:space="0" w:color="auto"/>
              <w:right w:val="single" w:sz="4" w:space="0" w:color="auto"/>
            </w:tcBorders>
            <w:vAlign w:val="bottom"/>
          </w:tcPr>
          <w:p w:rsidR="00C81B24" w:rsidRPr="00C81B24" w:rsidRDefault="00C81B24" w:rsidP="00CE5850">
            <w:pPr>
              <w:autoSpaceDE w:val="0"/>
              <w:autoSpaceDN w:val="0"/>
              <w:adjustRightInd w:val="0"/>
              <w:jc w:val="right"/>
              <w:rPr>
                <w:color w:val="000000"/>
                <w:kern w:val="0"/>
                <w:sz w:val="20"/>
              </w:rPr>
            </w:pPr>
            <w:r w:rsidRPr="00C81B24">
              <w:rPr>
                <w:color w:val="000000"/>
                <w:kern w:val="0"/>
                <w:sz w:val="20"/>
              </w:rPr>
              <w:t>2715</w:t>
            </w:r>
          </w:p>
        </w:tc>
        <w:tc>
          <w:tcPr>
            <w:tcW w:w="736" w:type="dxa"/>
            <w:tcBorders>
              <w:top w:val="nil"/>
              <w:left w:val="nil"/>
              <w:bottom w:val="single" w:sz="4" w:space="0" w:color="auto"/>
              <w:right w:val="single" w:sz="4" w:space="0" w:color="auto"/>
            </w:tcBorders>
            <w:vAlign w:val="bottom"/>
          </w:tcPr>
          <w:p w:rsidR="00C81B24" w:rsidRPr="00C81B24" w:rsidRDefault="00C81B24" w:rsidP="00CE5850">
            <w:pPr>
              <w:jc w:val="right"/>
              <w:rPr>
                <w:color w:val="000000"/>
                <w:sz w:val="20"/>
              </w:rPr>
            </w:pPr>
            <w:r w:rsidRPr="00C81B24">
              <w:rPr>
                <w:color w:val="000000"/>
                <w:sz w:val="20"/>
              </w:rPr>
              <w:t>134.20</w:t>
            </w:r>
          </w:p>
        </w:tc>
      </w:tr>
      <w:tr w:rsidR="00C81B24" w:rsidRPr="00C81B24" w:rsidTr="00526AD9">
        <w:trPr>
          <w:trHeight w:val="255"/>
          <w:jc w:val="center"/>
        </w:trPr>
        <w:tc>
          <w:tcPr>
            <w:tcW w:w="554" w:type="dxa"/>
            <w:tcBorders>
              <w:top w:val="nil"/>
              <w:left w:val="single" w:sz="4" w:space="0" w:color="auto"/>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46</w:t>
            </w:r>
          </w:p>
        </w:tc>
        <w:tc>
          <w:tcPr>
            <w:tcW w:w="456" w:type="dxa"/>
            <w:tcBorders>
              <w:top w:val="nil"/>
              <w:left w:val="single" w:sz="4" w:space="0" w:color="auto"/>
              <w:bottom w:val="single" w:sz="4" w:space="0" w:color="auto"/>
              <w:right w:val="single" w:sz="4" w:space="0" w:color="auto"/>
            </w:tcBorders>
            <w:vAlign w:val="center"/>
          </w:tcPr>
          <w:p w:rsidR="00C81B24" w:rsidRPr="00C81B24" w:rsidRDefault="00C81B24" w:rsidP="00CE5850">
            <w:pPr>
              <w:jc w:val="right"/>
              <w:rPr>
                <w:sz w:val="20"/>
              </w:rPr>
            </w:pPr>
            <w:r w:rsidRPr="00C81B24">
              <w:rPr>
                <w:sz w:val="20"/>
              </w:rPr>
              <w:t>99</w:t>
            </w:r>
          </w:p>
        </w:tc>
        <w:tc>
          <w:tcPr>
            <w:tcW w:w="4012" w:type="dxa"/>
            <w:tcBorders>
              <w:top w:val="nil"/>
              <w:left w:val="nil"/>
              <w:bottom w:val="single" w:sz="4" w:space="0" w:color="auto"/>
              <w:right w:val="single" w:sz="4" w:space="0" w:color="auto"/>
            </w:tcBorders>
            <w:vAlign w:val="center"/>
          </w:tcPr>
          <w:p w:rsidR="00C81B24" w:rsidRPr="00C81B24" w:rsidRDefault="00C81B24" w:rsidP="00CE5850">
            <w:pPr>
              <w:rPr>
                <w:sz w:val="20"/>
              </w:rPr>
            </w:pPr>
            <w:r w:rsidRPr="00C81B24">
              <w:rPr>
                <w:sz w:val="20"/>
              </w:rPr>
              <w:t>Kansas City, MO-KS</w:t>
            </w:r>
          </w:p>
        </w:tc>
        <w:tc>
          <w:tcPr>
            <w:tcW w:w="1102" w:type="dxa"/>
            <w:tcBorders>
              <w:top w:val="nil"/>
              <w:left w:val="nil"/>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 xml:space="preserve"> 2,777,661 </w:t>
            </w:r>
          </w:p>
        </w:tc>
        <w:tc>
          <w:tcPr>
            <w:tcW w:w="1155" w:type="dxa"/>
            <w:tcBorders>
              <w:top w:val="nil"/>
              <w:left w:val="nil"/>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 xml:space="preserve"> 2,711,442 </w:t>
            </w:r>
          </w:p>
        </w:tc>
        <w:tc>
          <w:tcPr>
            <w:tcW w:w="979" w:type="dxa"/>
            <w:tcBorders>
              <w:top w:val="nil"/>
              <w:left w:val="nil"/>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102%</w:t>
            </w:r>
          </w:p>
        </w:tc>
        <w:tc>
          <w:tcPr>
            <w:tcW w:w="635" w:type="dxa"/>
            <w:tcBorders>
              <w:top w:val="nil"/>
              <w:left w:val="nil"/>
              <w:bottom w:val="single" w:sz="4" w:space="0" w:color="auto"/>
              <w:right w:val="single" w:sz="4" w:space="0" w:color="auto"/>
            </w:tcBorders>
            <w:noWrap/>
            <w:vAlign w:val="bottom"/>
          </w:tcPr>
          <w:p w:rsidR="00C81B24" w:rsidRPr="00C81B24" w:rsidRDefault="00C81B24" w:rsidP="00CE5850">
            <w:pPr>
              <w:jc w:val="right"/>
              <w:rPr>
                <w:sz w:val="20"/>
              </w:rPr>
            </w:pPr>
            <w:r w:rsidRPr="00C81B24">
              <w:rPr>
                <w:sz w:val="20"/>
              </w:rPr>
              <w:t>2357</w:t>
            </w:r>
          </w:p>
        </w:tc>
        <w:tc>
          <w:tcPr>
            <w:tcW w:w="536" w:type="dxa"/>
            <w:tcBorders>
              <w:top w:val="nil"/>
              <w:left w:val="nil"/>
              <w:bottom w:val="single" w:sz="4" w:space="0" w:color="auto"/>
              <w:right w:val="single" w:sz="4" w:space="0" w:color="auto"/>
            </w:tcBorders>
            <w:vAlign w:val="bottom"/>
          </w:tcPr>
          <w:p w:rsidR="00C81B24" w:rsidRPr="00C81B24" w:rsidRDefault="00C81B24" w:rsidP="00CE5850">
            <w:pPr>
              <w:autoSpaceDE w:val="0"/>
              <w:autoSpaceDN w:val="0"/>
              <w:adjustRightInd w:val="0"/>
              <w:jc w:val="right"/>
              <w:rPr>
                <w:color w:val="000000"/>
                <w:kern w:val="0"/>
                <w:sz w:val="20"/>
              </w:rPr>
            </w:pPr>
            <w:r w:rsidRPr="00C81B24">
              <w:rPr>
                <w:color w:val="000000"/>
                <w:kern w:val="0"/>
                <w:sz w:val="20"/>
              </w:rPr>
              <w:t>2297</w:t>
            </w:r>
          </w:p>
        </w:tc>
        <w:tc>
          <w:tcPr>
            <w:tcW w:w="736" w:type="dxa"/>
            <w:tcBorders>
              <w:top w:val="nil"/>
              <w:left w:val="nil"/>
              <w:bottom w:val="single" w:sz="4" w:space="0" w:color="auto"/>
              <w:right w:val="single" w:sz="4" w:space="0" w:color="auto"/>
            </w:tcBorders>
            <w:vAlign w:val="bottom"/>
          </w:tcPr>
          <w:p w:rsidR="00C81B24" w:rsidRPr="00C81B24" w:rsidRDefault="00C81B24" w:rsidP="00CE5850">
            <w:pPr>
              <w:jc w:val="right"/>
              <w:rPr>
                <w:color w:val="000000"/>
                <w:sz w:val="20"/>
              </w:rPr>
            </w:pPr>
            <w:r w:rsidRPr="00C81B24">
              <w:rPr>
                <w:color w:val="000000"/>
                <w:sz w:val="20"/>
              </w:rPr>
              <w:t>98.17</w:t>
            </w:r>
          </w:p>
        </w:tc>
      </w:tr>
      <w:tr w:rsidR="00C81B24" w:rsidRPr="00C81B24" w:rsidTr="00526AD9">
        <w:trPr>
          <w:trHeight w:val="255"/>
          <w:jc w:val="center"/>
        </w:trPr>
        <w:tc>
          <w:tcPr>
            <w:tcW w:w="554" w:type="dxa"/>
            <w:tcBorders>
              <w:top w:val="nil"/>
              <w:left w:val="single" w:sz="4" w:space="0" w:color="auto"/>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47</w:t>
            </w:r>
          </w:p>
        </w:tc>
        <w:tc>
          <w:tcPr>
            <w:tcW w:w="456" w:type="dxa"/>
            <w:tcBorders>
              <w:top w:val="nil"/>
              <w:left w:val="single" w:sz="4" w:space="0" w:color="auto"/>
              <w:bottom w:val="single" w:sz="4" w:space="0" w:color="auto"/>
              <w:right w:val="single" w:sz="4" w:space="0" w:color="auto"/>
            </w:tcBorders>
            <w:vAlign w:val="center"/>
          </w:tcPr>
          <w:p w:rsidR="00C81B24" w:rsidRPr="00C81B24" w:rsidRDefault="00C81B24" w:rsidP="00CE5850">
            <w:pPr>
              <w:jc w:val="right"/>
              <w:rPr>
                <w:sz w:val="20"/>
              </w:rPr>
            </w:pPr>
            <w:r w:rsidRPr="00C81B24">
              <w:rPr>
                <w:sz w:val="20"/>
              </w:rPr>
              <w:t>124</w:t>
            </w:r>
          </w:p>
        </w:tc>
        <w:tc>
          <w:tcPr>
            <w:tcW w:w="4012" w:type="dxa"/>
            <w:tcBorders>
              <w:top w:val="nil"/>
              <w:left w:val="nil"/>
              <w:bottom w:val="single" w:sz="4" w:space="0" w:color="auto"/>
              <w:right w:val="single" w:sz="4" w:space="0" w:color="auto"/>
            </w:tcBorders>
            <w:vAlign w:val="center"/>
          </w:tcPr>
          <w:p w:rsidR="00C81B24" w:rsidRPr="00C81B24" w:rsidRDefault="00C81B24" w:rsidP="00CE5850">
            <w:pPr>
              <w:rPr>
                <w:sz w:val="20"/>
              </w:rPr>
            </w:pPr>
            <w:r w:rsidRPr="00C81B24">
              <w:rPr>
                <w:sz w:val="20"/>
              </w:rPr>
              <w:t>Tulsa, OK-KS</w:t>
            </w:r>
          </w:p>
        </w:tc>
        <w:tc>
          <w:tcPr>
            <w:tcW w:w="1102" w:type="dxa"/>
            <w:tcBorders>
              <w:top w:val="nil"/>
              <w:left w:val="nil"/>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 xml:space="preserve"> 1,511,369 </w:t>
            </w:r>
          </w:p>
        </w:tc>
        <w:tc>
          <w:tcPr>
            <w:tcW w:w="1155" w:type="dxa"/>
            <w:tcBorders>
              <w:top w:val="nil"/>
              <w:left w:val="nil"/>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 xml:space="preserve"> 1,488,465 </w:t>
            </w:r>
          </w:p>
        </w:tc>
        <w:tc>
          <w:tcPr>
            <w:tcW w:w="979" w:type="dxa"/>
            <w:tcBorders>
              <w:top w:val="nil"/>
              <w:left w:val="nil"/>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102%</w:t>
            </w:r>
          </w:p>
        </w:tc>
        <w:tc>
          <w:tcPr>
            <w:tcW w:w="635" w:type="dxa"/>
            <w:tcBorders>
              <w:top w:val="nil"/>
              <w:left w:val="nil"/>
              <w:bottom w:val="single" w:sz="4" w:space="0" w:color="auto"/>
              <w:right w:val="single" w:sz="4" w:space="0" w:color="auto"/>
            </w:tcBorders>
            <w:noWrap/>
            <w:vAlign w:val="bottom"/>
          </w:tcPr>
          <w:p w:rsidR="00C81B24" w:rsidRPr="00C81B24" w:rsidRDefault="00C81B24" w:rsidP="00CE5850">
            <w:pPr>
              <w:jc w:val="right"/>
              <w:rPr>
                <w:sz w:val="20"/>
              </w:rPr>
            </w:pPr>
            <w:r w:rsidRPr="00C81B24">
              <w:rPr>
                <w:sz w:val="20"/>
              </w:rPr>
              <w:t>2926</w:t>
            </w:r>
          </w:p>
        </w:tc>
        <w:tc>
          <w:tcPr>
            <w:tcW w:w="536" w:type="dxa"/>
            <w:tcBorders>
              <w:top w:val="nil"/>
              <w:left w:val="nil"/>
              <w:bottom w:val="single" w:sz="4" w:space="0" w:color="auto"/>
              <w:right w:val="single" w:sz="4" w:space="0" w:color="auto"/>
            </w:tcBorders>
            <w:vAlign w:val="bottom"/>
          </w:tcPr>
          <w:p w:rsidR="00C81B24" w:rsidRPr="00C81B24" w:rsidRDefault="00C81B24" w:rsidP="00CE5850">
            <w:pPr>
              <w:autoSpaceDE w:val="0"/>
              <w:autoSpaceDN w:val="0"/>
              <w:adjustRightInd w:val="0"/>
              <w:jc w:val="right"/>
              <w:rPr>
                <w:color w:val="000000"/>
                <w:kern w:val="0"/>
                <w:sz w:val="20"/>
              </w:rPr>
            </w:pPr>
            <w:r w:rsidRPr="00C81B24">
              <w:rPr>
                <w:color w:val="000000"/>
                <w:kern w:val="0"/>
                <w:sz w:val="20"/>
              </w:rPr>
              <w:t>3124</w:t>
            </w:r>
          </w:p>
        </w:tc>
        <w:tc>
          <w:tcPr>
            <w:tcW w:w="736" w:type="dxa"/>
            <w:tcBorders>
              <w:top w:val="nil"/>
              <w:left w:val="nil"/>
              <w:bottom w:val="single" w:sz="4" w:space="0" w:color="auto"/>
              <w:right w:val="single" w:sz="4" w:space="0" w:color="auto"/>
            </w:tcBorders>
            <w:vAlign w:val="bottom"/>
          </w:tcPr>
          <w:p w:rsidR="00C81B24" w:rsidRPr="00C81B24" w:rsidRDefault="00C81B24" w:rsidP="00CE5850">
            <w:pPr>
              <w:jc w:val="right"/>
              <w:rPr>
                <w:color w:val="000000"/>
                <w:sz w:val="20"/>
              </w:rPr>
            </w:pPr>
            <w:r w:rsidRPr="00C81B24">
              <w:rPr>
                <w:color w:val="000000"/>
                <w:sz w:val="20"/>
              </w:rPr>
              <w:t>79.66</w:t>
            </w:r>
          </w:p>
        </w:tc>
      </w:tr>
      <w:tr w:rsidR="00C81B24" w:rsidRPr="00C81B24" w:rsidTr="00526AD9">
        <w:trPr>
          <w:trHeight w:val="255"/>
          <w:jc w:val="center"/>
        </w:trPr>
        <w:tc>
          <w:tcPr>
            <w:tcW w:w="554" w:type="dxa"/>
            <w:tcBorders>
              <w:top w:val="nil"/>
              <w:left w:val="single" w:sz="4" w:space="0" w:color="auto"/>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48</w:t>
            </w:r>
          </w:p>
        </w:tc>
        <w:tc>
          <w:tcPr>
            <w:tcW w:w="456" w:type="dxa"/>
            <w:tcBorders>
              <w:top w:val="nil"/>
              <w:left w:val="single" w:sz="4" w:space="0" w:color="auto"/>
              <w:bottom w:val="single" w:sz="4" w:space="0" w:color="auto"/>
              <w:right w:val="single" w:sz="4" w:space="0" w:color="auto"/>
            </w:tcBorders>
            <w:vAlign w:val="center"/>
          </w:tcPr>
          <w:p w:rsidR="00C81B24" w:rsidRPr="00C81B24" w:rsidRDefault="00C81B24" w:rsidP="00CE5850">
            <w:pPr>
              <w:jc w:val="right"/>
              <w:rPr>
                <w:sz w:val="20"/>
              </w:rPr>
            </w:pPr>
            <w:r w:rsidRPr="00C81B24">
              <w:rPr>
                <w:sz w:val="20"/>
              </w:rPr>
              <w:t>125</w:t>
            </w:r>
          </w:p>
        </w:tc>
        <w:tc>
          <w:tcPr>
            <w:tcW w:w="4012" w:type="dxa"/>
            <w:tcBorders>
              <w:top w:val="nil"/>
              <w:left w:val="nil"/>
              <w:bottom w:val="single" w:sz="4" w:space="0" w:color="auto"/>
              <w:right w:val="single" w:sz="4" w:space="0" w:color="auto"/>
            </w:tcBorders>
            <w:vAlign w:val="center"/>
          </w:tcPr>
          <w:p w:rsidR="00C81B24" w:rsidRPr="00C81B24" w:rsidRDefault="00C81B24" w:rsidP="00CE5850">
            <w:pPr>
              <w:rPr>
                <w:sz w:val="20"/>
              </w:rPr>
            </w:pPr>
            <w:r w:rsidRPr="00C81B24">
              <w:rPr>
                <w:sz w:val="20"/>
              </w:rPr>
              <w:t>Oklahoma City, OK</w:t>
            </w:r>
          </w:p>
        </w:tc>
        <w:tc>
          <w:tcPr>
            <w:tcW w:w="1102" w:type="dxa"/>
            <w:tcBorders>
              <w:top w:val="nil"/>
              <w:left w:val="nil"/>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 xml:space="preserve"> 1,951,310 </w:t>
            </w:r>
          </w:p>
        </w:tc>
        <w:tc>
          <w:tcPr>
            <w:tcW w:w="1155" w:type="dxa"/>
            <w:tcBorders>
              <w:top w:val="nil"/>
              <w:left w:val="nil"/>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 xml:space="preserve"> 1,909,018 </w:t>
            </w:r>
          </w:p>
        </w:tc>
        <w:tc>
          <w:tcPr>
            <w:tcW w:w="979" w:type="dxa"/>
            <w:tcBorders>
              <w:top w:val="nil"/>
              <w:left w:val="nil"/>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102%</w:t>
            </w:r>
          </w:p>
        </w:tc>
        <w:tc>
          <w:tcPr>
            <w:tcW w:w="635" w:type="dxa"/>
            <w:tcBorders>
              <w:top w:val="nil"/>
              <w:left w:val="nil"/>
              <w:bottom w:val="single" w:sz="4" w:space="0" w:color="auto"/>
              <w:right w:val="single" w:sz="4" w:space="0" w:color="auto"/>
            </w:tcBorders>
            <w:noWrap/>
            <w:vAlign w:val="bottom"/>
          </w:tcPr>
          <w:p w:rsidR="00C81B24" w:rsidRPr="00C81B24" w:rsidRDefault="00C81B24" w:rsidP="00CE5850">
            <w:pPr>
              <w:jc w:val="right"/>
              <w:rPr>
                <w:sz w:val="20"/>
              </w:rPr>
            </w:pPr>
            <w:r w:rsidRPr="00C81B24">
              <w:rPr>
                <w:sz w:val="20"/>
              </w:rPr>
              <w:t>2988</w:t>
            </w:r>
          </w:p>
        </w:tc>
        <w:tc>
          <w:tcPr>
            <w:tcW w:w="536" w:type="dxa"/>
            <w:tcBorders>
              <w:top w:val="nil"/>
              <w:left w:val="nil"/>
              <w:bottom w:val="single" w:sz="4" w:space="0" w:color="auto"/>
              <w:right w:val="single" w:sz="4" w:space="0" w:color="auto"/>
            </w:tcBorders>
            <w:vAlign w:val="bottom"/>
          </w:tcPr>
          <w:p w:rsidR="00C81B24" w:rsidRPr="00C81B24" w:rsidRDefault="00C81B24" w:rsidP="00CE5850">
            <w:pPr>
              <w:autoSpaceDE w:val="0"/>
              <w:autoSpaceDN w:val="0"/>
              <w:adjustRightInd w:val="0"/>
              <w:jc w:val="right"/>
              <w:rPr>
                <w:color w:val="000000"/>
                <w:kern w:val="0"/>
                <w:sz w:val="20"/>
              </w:rPr>
            </w:pPr>
            <w:r w:rsidRPr="00C81B24">
              <w:rPr>
                <w:color w:val="000000"/>
                <w:kern w:val="0"/>
                <w:sz w:val="20"/>
              </w:rPr>
              <w:t>3170</w:t>
            </w:r>
          </w:p>
        </w:tc>
        <w:tc>
          <w:tcPr>
            <w:tcW w:w="736" w:type="dxa"/>
            <w:tcBorders>
              <w:top w:val="nil"/>
              <w:left w:val="nil"/>
              <w:bottom w:val="single" w:sz="4" w:space="0" w:color="auto"/>
              <w:right w:val="single" w:sz="4" w:space="0" w:color="auto"/>
            </w:tcBorders>
            <w:vAlign w:val="bottom"/>
          </w:tcPr>
          <w:p w:rsidR="00C81B24" w:rsidRPr="00C81B24" w:rsidRDefault="00C81B24" w:rsidP="00CE5850">
            <w:pPr>
              <w:jc w:val="right"/>
              <w:rPr>
                <w:color w:val="000000"/>
                <w:sz w:val="20"/>
              </w:rPr>
            </w:pPr>
            <w:r w:rsidRPr="00C81B24">
              <w:rPr>
                <w:color w:val="000000"/>
                <w:sz w:val="20"/>
              </w:rPr>
              <w:t>73.12</w:t>
            </w:r>
          </w:p>
        </w:tc>
      </w:tr>
      <w:tr w:rsidR="00C81B24" w:rsidRPr="00C81B24" w:rsidTr="00526AD9">
        <w:trPr>
          <w:trHeight w:val="255"/>
          <w:jc w:val="center"/>
        </w:trPr>
        <w:tc>
          <w:tcPr>
            <w:tcW w:w="554" w:type="dxa"/>
            <w:tcBorders>
              <w:top w:val="nil"/>
              <w:left w:val="single" w:sz="4" w:space="0" w:color="auto"/>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49</w:t>
            </w:r>
          </w:p>
        </w:tc>
        <w:tc>
          <w:tcPr>
            <w:tcW w:w="456" w:type="dxa"/>
            <w:tcBorders>
              <w:top w:val="nil"/>
              <w:left w:val="single" w:sz="4" w:space="0" w:color="auto"/>
              <w:bottom w:val="single" w:sz="4" w:space="0" w:color="auto"/>
              <w:right w:val="single" w:sz="4" w:space="0" w:color="auto"/>
            </w:tcBorders>
            <w:vAlign w:val="center"/>
          </w:tcPr>
          <w:p w:rsidR="00C81B24" w:rsidRPr="00C81B24" w:rsidRDefault="00C81B24" w:rsidP="00CE5850">
            <w:pPr>
              <w:jc w:val="right"/>
              <w:rPr>
                <w:sz w:val="20"/>
              </w:rPr>
            </w:pPr>
            <w:r w:rsidRPr="00C81B24">
              <w:rPr>
                <w:sz w:val="20"/>
              </w:rPr>
              <w:t>141</w:t>
            </w:r>
          </w:p>
        </w:tc>
        <w:tc>
          <w:tcPr>
            <w:tcW w:w="4012" w:type="dxa"/>
            <w:tcBorders>
              <w:top w:val="nil"/>
              <w:left w:val="nil"/>
              <w:bottom w:val="single" w:sz="4" w:space="0" w:color="auto"/>
              <w:right w:val="single" w:sz="4" w:space="0" w:color="auto"/>
            </w:tcBorders>
            <w:vAlign w:val="center"/>
          </w:tcPr>
          <w:p w:rsidR="00C81B24" w:rsidRPr="00C81B24" w:rsidRDefault="00C81B24" w:rsidP="00CE5850">
            <w:pPr>
              <w:rPr>
                <w:sz w:val="20"/>
              </w:rPr>
            </w:pPr>
            <w:r w:rsidRPr="00C81B24">
              <w:rPr>
                <w:sz w:val="20"/>
              </w:rPr>
              <w:t>Denver-Boulder-Greeley, CO-KS-NE</w:t>
            </w:r>
          </w:p>
        </w:tc>
        <w:tc>
          <w:tcPr>
            <w:tcW w:w="1102" w:type="dxa"/>
            <w:tcBorders>
              <w:top w:val="nil"/>
              <w:left w:val="nil"/>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 xml:space="preserve"> 4,877,827 </w:t>
            </w:r>
          </w:p>
        </w:tc>
        <w:tc>
          <w:tcPr>
            <w:tcW w:w="1155" w:type="dxa"/>
            <w:tcBorders>
              <w:top w:val="nil"/>
              <w:left w:val="nil"/>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 xml:space="preserve"> 4,771,435 </w:t>
            </w:r>
          </w:p>
        </w:tc>
        <w:tc>
          <w:tcPr>
            <w:tcW w:w="979" w:type="dxa"/>
            <w:tcBorders>
              <w:top w:val="nil"/>
              <w:left w:val="nil"/>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102%</w:t>
            </w:r>
          </w:p>
        </w:tc>
        <w:tc>
          <w:tcPr>
            <w:tcW w:w="635" w:type="dxa"/>
            <w:tcBorders>
              <w:top w:val="nil"/>
              <w:left w:val="nil"/>
              <w:bottom w:val="single" w:sz="4" w:space="0" w:color="auto"/>
              <w:right w:val="single" w:sz="4" w:space="0" w:color="auto"/>
            </w:tcBorders>
            <w:noWrap/>
            <w:vAlign w:val="bottom"/>
          </w:tcPr>
          <w:p w:rsidR="00C81B24" w:rsidRPr="00C81B24" w:rsidRDefault="00C81B24" w:rsidP="00CE5850">
            <w:pPr>
              <w:jc w:val="right"/>
              <w:rPr>
                <w:sz w:val="20"/>
              </w:rPr>
            </w:pPr>
            <w:r w:rsidRPr="00C81B24">
              <w:rPr>
                <w:sz w:val="20"/>
              </w:rPr>
              <w:t>2479</w:t>
            </w:r>
          </w:p>
        </w:tc>
        <w:tc>
          <w:tcPr>
            <w:tcW w:w="536" w:type="dxa"/>
            <w:tcBorders>
              <w:top w:val="nil"/>
              <w:left w:val="nil"/>
              <w:bottom w:val="single" w:sz="4" w:space="0" w:color="auto"/>
              <w:right w:val="single" w:sz="4" w:space="0" w:color="auto"/>
            </w:tcBorders>
            <w:vAlign w:val="bottom"/>
          </w:tcPr>
          <w:p w:rsidR="00C81B24" w:rsidRPr="00C81B24" w:rsidRDefault="00C81B24" w:rsidP="00CE5850">
            <w:pPr>
              <w:autoSpaceDE w:val="0"/>
              <w:autoSpaceDN w:val="0"/>
              <w:adjustRightInd w:val="0"/>
              <w:jc w:val="right"/>
              <w:rPr>
                <w:color w:val="000000"/>
                <w:kern w:val="0"/>
                <w:sz w:val="20"/>
              </w:rPr>
            </w:pPr>
            <w:r w:rsidRPr="00C81B24">
              <w:rPr>
                <w:color w:val="000000"/>
                <w:kern w:val="0"/>
                <w:sz w:val="20"/>
              </w:rPr>
              <w:t>2435</w:t>
            </w:r>
          </w:p>
        </w:tc>
        <w:tc>
          <w:tcPr>
            <w:tcW w:w="736" w:type="dxa"/>
            <w:tcBorders>
              <w:top w:val="nil"/>
              <w:left w:val="nil"/>
              <w:bottom w:val="single" w:sz="4" w:space="0" w:color="auto"/>
              <w:right w:val="single" w:sz="4" w:space="0" w:color="auto"/>
            </w:tcBorders>
            <w:vAlign w:val="bottom"/>
          </w:tcPr>
          <w:p w:rsidR="00C81B24" w:rsidRPr="00C81B24" w:rsidRDefault="00C81B24" w:rsidP="00CE5850">
            <w:pPr>
              <w:jc w:val="right"/>
              <w:rPr>
                <w:color w:val="000000"/>
                <w:sz w:val="20"/>
              </w:rPr>
            </w:pPr>
            <w:r w:rsidRPr="00C81B24">
              <w:rPr>
                <w:color w:val="000000"/>
                <w:sz w:val="20"/>
              </w:rPr>
              <w:t>61.37</w:t>
            </w:r>
          </w:p>
        </w:tc>
      </w:tr>
      <w:tr w:rsidR="00C81B24" w:rsidRPr="00C81B24" w:rsidTr="00526AD9">
        <w:trPr>
          <w:trHeight w:val="255"/>
          <w:jc w:val="center"/>
        </w:trPr>
        <w:tc>
          <w:tcPr>
            <w:tcW w:w="554" w:type="dxa"/>
            <w:tcBorders>
              <w:top w:val="nil"/>
              <w:left w:val="single" w:sz="4" w:space="0" w:color="auto"/>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50</w:t>
            </w:r>
          </w:p>
        </w:tc>
        <w:tc>
          <w:tcPr>
            <w:tcW w:w="456" w:type="dxa"/>
            <w:tcBorders>
              <w:top w:val="nil"/>
              <w:left w:val="single" w:sz="4" w:space="0" w:color="auto"/>
              <w:bottom w:val="single" w:sz="4" w:space="0" w:color="auto"/>
              <w:right w:val="single" w:sz="4" w:space="0" w:color="auto"/>
            </w:tcBorders>
            <w:vAlign w:val="center"/>
          </w:tcPr>
          <w:p w:rsidR="00C81B24" w:rsidRPr="00C81B24" w:rsidRDefault="00C81B24" w:rsidP="00CE5850">
            <w:pPr>
              <w:jc w:val="right"/>
              <w:rPr>
                <w:sz w:val="20"/>
              </w:rPr>
            </w:pPr>
            <w:r w:rsidRPr="00C81B24">
              <w:rPr>
                <w:sz w:val="20"/>
              </w:rPr>
              <w:t>12</w:t>
            </w:r>
          </w:p>
        </w:tc>
        <w:tc>
          <w:tcPr>
            <w:tcW w:w="4012" w:type="dxa"/>
            <w:tcBorders>
              <w:top w:val="nil"/>
              <w:left w:val="nil"/>
              <w:bottom w:val="single" w:sz="4" w:space="0" w:color="auto"/>
              <w:right w:val="single" w:sz="4" w:space="0" w:color="auto"/>
            </w:tcBorders>
            <w:vAlign w:val="center"/>
          </w:tcPr>
          <w:p w:rsidR="00C81B24" w:rsidRPr="00C81B24" w:rsidRDefault="00C81B24" w:rsidP="00CE5850">
            <w:pPr>
              <w:rPr>
                <w:sz w:val="20"/>
              </w:rPr>
            </w:pPr>
            <w:r w:rsidRPr="00C81B24">
              <w:rPr>
                <w:sz w:val="20"/>
              </w:rPr>
              <w:t>Philadelphia-Wilmington-Atlantic City, PA-NJ-DE-MD</w:t>
            </w:r>
          </w:p>
        </w:tc>
        <w:tc>
          <w:tcPr>
            <w:tcW w:w="1102" w:type="dxa"/>
            <w:tcBorders>
              <w:top w:val="nil"/>
              <w:left w:val="nil"/>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 xml:space="preserve"> 7,815,137 </w:t>
            </w:r>
          </w:p>
        </w:tc>
        <w:tc>
          <w:tcPr>
            <w:tcW w:w="1155" w:type="dxa"/>
            <w:tcBorders>
              <w:top w:val="nil"/>
              <w:left w:val="nil"/>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 xml:space="preserve"> 7,769,167 </w:t>
            </w:r>
          </w:p>
        </w:tc>
        <w:tc>
          <w:tcPr>
            <w:tcW w:w="979" w:type="dxa"/>
            <w:tcBorders>
              <w:top w:val="nil"/>
              <w:left w:val="nil"/>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101%</w:t>
            </w:r>
          </w:p>
        </w:tc>
        <w:tc>
          <w:tcPr>
            <w:tcW w:w="635" w:type="dxa"/>
            <w:tcBorders>
              <w:top w:val="nil"/>
              <w:left w:val="nil"/>
              <w:bottom w:val="single" w:sz="4" w:space="0" w:color="auto"/>
              <w:right w:val="single" w:sz="4" w:space="0" w:color="auto"/>
            </w:tcBorders>
            <w:noWrap/>
            <w:vAlign w:val="bottom"/>
          </w:tcPr>
          <w:p w:rsidR="00C81B24" w:rsidRPr="00C81B24" w:rsidRDefault="00C81B24" w:rsidP="00CE5850">
            <w:pPr>
              <w:jc w:val="right"/>
              <w:rPr>
                <w:sz w:val="20"/>
              </w:rPr>
            </w:pPr>
            <w:r w:rsidRPr="00C81B24">
              <w:rPr>
                <w:sz w:val="20"/>
              </w:rPr>
              <w:t>2619</w:t>
            </w:r>
          </w:p>
        </w:tc>
        <w:tc>
          <w:tcPr>
            <w:tcW w:w="536" w:type="dxa"/>
            <w:tcBorders>
              <w:top w:val="nil"/>
              <w:left w:val="nil"/>
              <w:bottom w:val="single" w:sz="4" w:space="0" w:color="auto"/>
              <w:right w:val="single" w:sz="4" w:space="0" w:color="auto"/>
            </w:tcBorders>
            <w:vAlign w:val="bottom"/>
          </w:tcPr>
          <w:p w:rsidR="00C81B24" w:rsidRPr="00C81B24" w:rsidRDefault="00C81B24" w:rsidP="00CE5850">
            <w:pPr>
              <w:autoSpaceDE w:val="0"/>
              <w:autoSpaceDN w:val="0"/>
              <w:adjustRightInd w:val="0"/>
              <w:jc w:val="right"/>
              <w:rPr>
                <w:color w:val="000000"/>
                <w:kern w:val="0"/>
                <w:sz w:val="20"/>
              </w:rPr>
            </w:pPr>
            <w:r w:rsidRPr="00C81B24">
              <w:rPr>
                <w:color w:val="000000"/>
                <w:kern w:val="0"/>
                <w:sz w:val="20"/>
              </w:rPr>
              <w:t>2541</w:t>
            </w:r>
          </w:p>
        </w:tc>
        <w:tc>
          <w:tcPr>
            <w:tcW w:w="736" w:type="dxa"/>
            <w:tcBorders>
              <w:top w:val="nil"/>
              <w:left w:val="nil"/>
              <w:bottom w:val="single" w:sz="4" w:space="0" w:color="auto"/>
              <w:right w:val="single" w:sz="4" w:space="0" w:color="auto"/>
            </w:tcBorders>
            <w:vAlign w:val="bottom"/>
          </w:tcPr>
          <w:p w:rsidR="00C81B24" w:rsidRPr="00C81B24" w:rsidRDefault="00C81B24" w:rsidP="00CE5850">
            <w:pPr>
              <w:jc w:val="right"/>
              <w:rPr>
                <w:color w:val="000000"/>
                <w:sz w:val="20"/>
              </w:rPr>
            </w:pPr>
            <w:r w:rsidRPr="00C81B24">
              <w:rPr>
                <w:color w:val="000000"/>
                <w:sz w:val="20"/>
              </w:rPr>
              <w:t>854.00</w:t>
            </w:r>
          </w:p>
        </w:tc>
      </w:tr>
      <w:tr w:rsidR="00C81B24" w:rsidRPr="00C81B24" w:rsidTr="00526AD9">
        <w:trPr>
          <w:trHeight w:val="255"/>
          <w:jc w:val="center"/>
        </w:trPr>
        <w:tc>
          <w:tcPr>
            <w:tcW w:w="554" w:type="dxa"/>
            <w:tcBorders>
              <w:top w:val="nil"/>
              <w:left w:val="single" w:sz="4" w:space="0" w:color="auto"/>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51</w:t>
            </w:r>
          </w:p>
        </w:tc>
        <w:tc>
          <w:tcPr>
            <w:tcW w:w="456" w:type="dxa"/>
            <w:tcBorders>
              <w:top w:val="nil"/>
              <w:left w:val="single" w:sz="4" w:space="0" w:color="auto"/>
              <w:bottom w:val="single" w:sz="4" w:space="0" w:color="auto"/>
              <w:right w:val="single" w:sz="4" w:space="0" w:color="auto"/>
            </w:tcBorders>
            <w:vAlign w:val="center"/>
          </w:tcPr>
          <w:p w:rsidR="00C81B24" w:rsidRPr="00C81B24" w:rsidRDefault="00C81B24" w:rsidP="00CE5850">
            <w:pPr>
              <w:jc w:val="right"/>
              <w:rPr>
                <w:sz w:val="20"/>
              </w:rPr>
            </w:pPr>
            <w:r w:rsidRPr="00C81B24">
              <w:rPr>
                <w:sz w:val="20"/>
              </w:rPr>
              <w:t>34</w:t>
            </w:r>
          </w:p>
        </w:tc>
        <w:tc>
          <w:tcPr>
            <w:tcW w:w="4012" w:type="dxa"/>
            <w:tcBorders>
              <w:top w:val="nil"/>
              <w:left w:val="nil"/>
              <w:bottom w:val="single" w:sz="4" w:space="0" w:color="auto"/>
              <w:right w:val="single" w:sz="4" w:space="0" w:color="auto"/>
            </w:tcBorders>
            <w:vAlign w:val="center"/>
          </w:tcPr>
          <w:p w:rsidR="00C81B24" w:rsidRPr="00C81B24" w:rsidRDefault="00C81B24" w:rsidP="00CE5850">
            <w:pPr>
              <w:rPr>
                <w:sz w:val="20"/>
              </w:rPr>
            </w:pPr>
            <w:r w:rsidRPr="00C81B24">
              <w:rPr>
                <w:sz w:val="20"/>
              </w:rPr>
              <w:t>Tampa-St. Petersburg-Clearwater, FL</w:t>
            </w:r>
          </w:p>
        </w:tc>
        <w:tc>
          <w:tcPr>
            <w:tcW w:w="1102" w:type="dxa"/>
            <w:tcBorders>
              <w:top w:val="nil"/>
              <w:left w:val="nil"/>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 xml:space="preserve"> 2,856,416 </w:t>
            </w:r>
          </w:p>
        </w:tc>
        <w:tc>
          <w:tcPr>
            <w:tcW w:w="1155" w:type="dxa"/>
            <w:tcBorders>
              <w:top w:val="nil"/>
              <w:left w:val="nil"/>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 xml:space="preserve"> 2,824,724 </w:t>
            </w:r>
          </w:p>
        </w:tc>
        <w:tc>
          <w:tcPr>
            <w:tcW w:w="979" w:type="dxa"/>
            <w:tcBorders>
              <w:top w:val="nil"/>
              <w:left w:val="nil"/>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101%</w:t>
            </w:r>
          </w:p>
        </w:tc>
        <w:tc>
          <w:tcPr>
            <w:tcW w:w="635" w:type="dxa"/>
            <w:tcBorders>
              <w:top w:val="nil"/>
              <w:left w:val="nil"/>
              <w:bottom w:val="single" w:sz="4" w:space="0" w:color="auto"/>
              <w:right w:val="single" w:sz="4" w:space="0" w:color="auto"/>
            </w:tcBorders>
            <w:noWrap/>
            <w:vAlign w:val="bottom"/>
          </w:tcPr>
          <w:p w:rsidR="00C81B24" w:rsidRPr="00C81B24" w:rsidRDefault="00C81B24" w:rsidP="00CE5850">
            <w:pPr>
              <w:jc w:val="right"/>
              <w:rPr>
                <w:sz w:val="20"/>
              </w:rPr>
            </w:pPr>
            <w:r w:rsidRPr="00C81B24">
              <w:rPr>
                <w:sz w:val="20"/>
              </w:rPr>
              <w:t>2247</w:t>
            </w:r>
          </w:p>
        </w:tc>
        <w:tc>
          <w:tcPr>
            <w:tcW w:w="536" w:type="dxa"/>
            <w:tcBorders>
              <w:top w:val="nil"/>
              <w:left w:val="nil"/>
              <w:bottom w:val="single" w:sz="4" w:space="0" w:color="auto"/>
              <w:right w:val="single" w:sz="4" w:space="0" w:color="auto"/>
            </w:tcBorders>
            <w:vAlign w:val="bottom"/>
          </w:tcPr>
          <w:p w:rsidR="00C81B24" w:rsidRPr="00C81B24" w:rsidRDefault="00C81B24" w:rsidP="00CE5850">
            <w:pPr>
              <w:autoSpaceDE w:val="0"/>
              <w:autoSpaceDN w:val="0"/>
              <w:adjustRightInd w:val="0"/>
              <w:jc w:val="right"/>
              <w:rPr>
                <w:color w:val="000000"/>
                <w:kern w:val="0"/>
                <w:sz w:val="20"/>
              </w:rPr>
            </w:pPr>
            <w:r w:rsidRPr="00C81B24">
              <w:rPr>
                <w:color w:val="000000"/>
                <w:kern w:val="0"/>
                <w:sz w:val="20"/>
              </w:rPr>
              <w:t>2255</w:t>
            </w:r>
          </w:p>
        </w:tc>
        <w:tc>
          <w:tcPr>
            <w:tcW w:w="736" w:type="dxa"/>
            <w:tcBorders>
              <w:top w:val="nil"/>
              <w:left w:val="nil"/>
              <w:bottom w:val="single" w:sz="4" w:space="0" w:color="auto"/>
              <w:right w:val="single" w:sz="4" w:space="0" w:color="auto"/>
            </w:tcBorders>
            <w:vAlign w:val="bottom"/>
          </w:tcPr>
          <w:p w:rsidR="00C81B24" w:rsidRPr="00C81B24" w:rsidRDefault="00C81B24" w:rsidP="00CE5850">
            <w:pPr>
              <w:jc w:val="right"/>
              <w:rPr>
                <w:color w:val="000000"/>
                <w:sz w:val="20"/>
              </w:rPr>
            </w:pPr>
            <w:r w:rsidRPr="00C81B24">
              <w:rPr>
                <w:color w:val="000000"/>
                <w:sz w:val="20"/>
              </w:rPr>
              <w:t>1107.35</w:t>
            </w:r>
          </w:p>
        </w:tc>
      </w:tr>
      <w:tr w:rsidR="00C81B24" w:rsidRPr="00C81B24" w:rsidTr="00526AD9">
        <w:trPr>
          <w:trHeight w:val="255"/>
          <w:jc w:val="center"/>
        </w:trPr>
        <w:tc>
          <w:tcPr>
            <w:tcW w:w="554" w:type="dxa"/>
            <w:tcBorders>
              <w:top w:val="nil"/>
              <w:left w:val="single" w:sz="4" w:space="0" w:color="auto"/>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52</w:t>
            </w:r>
          </w:p>
        </w:tc>
        <w:tc>
          <w:tcPr>
            <w:tcW w:w="456" w:type="dxa"/>
            <w:tcBorders>
              <w:top w:val="nil"/>
              <w:left w:val="single" w:sz="4" w:space="0" w:color="auto"/>
              <w:bottom w:val="single" w:sz="4" w:space="0" w:color="auto"/>
              <w:right w:val="single" w:sz="4" w:space="0" w:color="auto"/>
            </w:tcBorders>
            <w:vAlign w:val="center"/>
          </w:tcPr>
          <w:p w:rsidR="00C81B24" w:rsidRPr="00C81B24" w:rsidRDefault="00C81B24" w:rsidP="00CE5850">
            <w:pPr>
              <w:jc w:val="right"/>
              <w:rPr>
                <w:sz w:val="20"/>
              </w:rPr>
            </w:pPr>
            <w:r w:rsidRPr="00C81B24">
              <w:rPr>
                <w:sz w:val="20"/>
              </w:rPr>
              <w:t>38</w:t>
            </w:r>
          </w:p>
        </w:tc>
        <w:tc>
          <w:tcPr>
            <w:tcW w:w="4012" w:type="dxa"/>
            <w:tcBorders>
              <w:top w:val="nil"/>
              <w:left w:val="nil"/>
              <w:bottom w:val="single" w:sz="4" w:space="0" w:color="auto"/>
              <w:right w:val="single" w:sz="4" w:space="0" w:color="auto"/>
            </w:tcBorders>
            <w:vAlign w:val="center"/>
          </w:tcPr>
          <w:p w:rsidR="00C81B24" w:rsidRPr="00C81B24" w:rsidRDefault="00C81B24" w:rsidP="00CE5850">
            <w:pPr>
              <w:rPr>
                <w:sz w:val="20"/>
              </w:rPr>
            </w:pPr>
            <w:r w:rsidRPr="00C81B24">
              <w:rPr>
                <w:sz w:val="20"/>
              </w:rPr>
              <w:t>Macon, GA</w:t>
            </w:r>
          </w:p>
        </w:tc>
        <w:tc>
          <w:tcPr>
            <w:tcW w:w="1102" w:type="dxa"/>
            <w:tcBorders>
              <w:top w:val="nil"/>
              <w:left w:val="nil"/>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 xml:space="preserve"> 857,647 </w:t>
            </w:r>
          </w:p>
        </w:tc>
        <w:tc>
          <w:tcPr>
            <w:tcW w:w="1155" w:type="dxa"/>
            <w:tcBorders>
              <w:top w:val="nil"/>
              <w:left w:val="nil"/>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 xml:space="preserve"> 846,727 </w:t>
            </w:r>
          </w:p>
        </w:tc>
        <w:tc>
          <w:tcPr>
            <w:tcW w:w="979" w:type="dxa"/>
            <w:tcBorders>
              <w:top w:val="nil"/>
              <w:left w:val="nil"/>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101%</w:t>
            </w:r>
          </w:p>
        </w:tc>
        <w:tc>
          <w:tcPr>
            <w:tcW w:w="635" w:type="dxa"/>
            <w:tcBorders>
              <w:top w:val="nil"/>
              <w:left w:val="nil"/>
              <w:bottom w:val="single" w:sz="4" w:space="0" w:color="auto"/>
              <w:right w:val="single" w:sz="4" w:space="0" w:color="auto"/>
            </w:tcBorders>
            <w:noWrap/>
            <w:vAlign w:val="bottom"/>
          </w:tcPr>
          <w:p w:rsidR="00C81B24" w:rsidRPr="00C81B24" w:rsidRDefault="00C81B24" w:rsidP="00CE5850">
            <w:pPr>
              <w:jc w:val="right"/>
              <w:rPr>
                <w:sz w:val="20"/>
              </w:rPr>
            </w:pPr>
            <w:r w:rsidRPr="00C81B24">
              <w:rPr>
                <w:sz w:val="20"/>
              </w:rPr>
              <w:t>4358</w:t>
            </w:r>
          </w:p>
        </w:tc>
        <w:tc>
          <w:tcPr>
            <w:tcW w:w="536" w:type="dxa"/>
            <w:tcBorders>
              <w:top w:val="nil"/>
              <w:left w:val="nil"/>
              <w:bottom w:val="single" w:sz="4" w:space="0" w:color="auto"/>
              <w:right w:val="single" w:sz="4" w:space="0" w:color="auto"/>
            </w:tcBorders>
            <w:vAlign w:val="bottom"/>
          </w:tcPr>
          <w:p w:rsidR="00C81B24" w:rsidRPr="00C81B24" w:rsidRDefault="00C81B24" w:rsidP="00CE5850">
            <w:pPr>
              <w:autoSpaceDE w:val="0"/>
              <w:autoSpaceDN w:val="0"/>
              <w:adjustRightInd w:val="0"/>
              <w:jc w:val="right"/>
              <w:rPr>
                <w:color w:val="000000"/>
                <w:kern w:val="0"/>
                <w:sz w:val="20"/>
              </w:rPr>
            </w:pPr>
            <w:r w:rsidRPr="00C81B24">
              <w:rPr>
                <w:color w:val="000000"/>
                <w:kern w:val="0"/>
                <w:sz w:val="20"/>
              </w:rPr>
              <w:t>4420</w:t>
            </w:r>
          </w:p>
        </w:tc>
        <w:tc>
          <w:tcPr>
            <w:tcW w:w="736" w:type="dxa"/>
            <w:tcBorders>
              <w:top w:val="nil"/>
              <w:left w:val="nil"/>
              <w:bottom w:val="single" w:sz="4" w:space="0" w:color="auto"/>
              <w:right w:val="single" w:sz="4" w:space="0" w:color="auto"/>
            </w:tcBorders>
            <w:vAlign w:val="bottom"/>
          </w:tcPr>
          <w:p w:rsidR="00C81B24" w:rsidRPr="00C81B24" w:rsidRDefault="00C81B24" w:rsidP="00CE5850">
            <w:pPr>
              <w:jc w:val="right"/>
              <w:rPr>
                <w:color w:val="000000"/>
                <w:sz w:val="20"/>
              </w:rPr>
            </w:pPr>
            <w:r w:rsidRPr="00C81B24">
              <w:rPr>
                <w:color w:val="000000"/>
                <w:sz w:val="20"/>
              </w:rPr>
              <w:t>70.12</w:t>
            </w:r>
          </w:p>
        </w:tc>
      </w:tr>
      <w:tr w:rsidR="00C81B24" w:rsidRPr="00C81B24" w:rsidTr="00526AD9">
        <w:trPr>
          <w:trHeight w:val="255"/>
          <w:jc w:val="center"/>
        </w:trPr>
        <w:tc>
          <w:tcPr>
            <w:tcW w:w="554" w:type="dxa"/>
            <w:tcBorders>
              <w:top w:val="nil"/>
              <w:left w:val="single" w:sz="4" w:space="0" w:color="auto"/>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53</w:t>
            </w:r>
          </w:p>
        </w:tc>
        <w:tc>
          <w:tcPr>
            <w:tcW w:w="456" w:type="dxa"/>
            <w:tcBorders>
              <w:top w:val="nil"/>
              <w:left w:val="single" w:sz="4" w:space="0" w:color="auto"/>
              <w:bottom w:val="single" w:sz="4" w:space="0" w:color="auto"/>
              <w:right w:val="single" w:sz="4" w:space="0" w:color="auto"/>
            </w:tcBorders>
            <w:vAlign w:val="center"/>
          </w:tcPr>
          <w:p w:rsidR="00C81B24" w:rsidRPr="00C81B24" w:rsidRDefault="00C81B24" w:rsidP="00CE5850">
            <w:pPr>
              <w:jc w:val="right"/>
              <w:rPr>
                <w:sz w:val="20"/>
              </w:rPr>
            </w:pPr>
            <w:r w:rsidRPr="00C81B24">
              <w:rPr>
                <w:sz w:val="20"/>
              </w:rPr>
              <w:t>53</w:t>
            </w:r>
          </w:p>
        </w:tc>
        <w:tc>
          <w:tcPr>
            <w:tcW w:w="4012" w:type="dxa"/>
            <w:tcBorders>
              <w:top w:val="nil"/>
              <w:left w:val="nil"/>
              <w:bottom w:val="single" w:sz="4" w:space="0" w:color="auto"/>
              <w:right w:val="single" w:sz="4" w:space="0" w:color="auto"/>
            </w:tcBorders>
            <w:vAlign w:val="center"/>
          </w:tcPr>
          <w:p w:rsidR="00C81B24" w:rsidRPr="00C81B24" w:rsidRDefault="00C81B24" w:rsidP="00CE5850">
            <w:pPr>
              <w:rPr>
                <w:sz w:val="20"/>
              </w:rPr>
            </w:pPr>
            <w:r w:rsidRPr="00C81B24">
              <w:rPr>
                <w:sz w:val="20"/>
              </w:rPr>
              <w:t>Pittsburgh, PA-WV</w:t>
            </w:r>
          </w:p>
        </w:tc>
        <w:tc>
          <w:tcPr>
            <w:tcW w:w="1102" w:type="dxa"/>
            <w:tcBorders>
              <w:top w:val="nil"/>
              <w:left w:val="nil"/>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 xml:space="preserve"> 2,937,221 </w:t>
            </w:r>
          </w:p>
        </w:tc>
        <w:tc>
          <w:tcPr>
            <w:tcW w:w="1155" w:type="dxa"/>
            <w:tcBorders>
              <w:top w:val="nil"/>
              <w:left w:val="nil"/>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 xml:space="preserve"> 2,918,820 </w:t>
            </w:r>
          </w:p>
        </w:tc>
        <w:tc>
          <w:tcPr>
            <w:tcW w:w="979" w:type="dxa"/>
            <w:tcBorders>
              <w:top w:val="nil"/>
              <w:left w:val="nil"/>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101%</w:t>
            </w:r>
          </w:p>
        </w:tc>
        <w:tc>
          <w:tcPr>
            <w:tcW w:w="635" w:type="dxa"/>
            <w:tcBorders>
              <w:top w:val="nil"/>
              <w:left w:val="nil"/>
              <w:bottom w:val="single" w:sz="4" w:space="0" w:color="auto"/>
              <w:right w:val="single" w:sz="4" w:space="0" w:color="auto"/>
            </w:tcBorders>
            <w:noWrap/>
            <w:vAlign w:val="bottom"/>
          </w:tcPr>
          <w:p w:rsidR="00C81B24" w:rsidRPr="00C81B24" w:rsidRDefault="00C81B24" w:rsidP="00CE5850">
            <w:pPr>
              <w:jc w:val="right"/>
              <w:rPr>
                <w:sz w:val="20"/>
              </w:rPr>
            </w:pPr>
            <w:r w:rsidRPr="00C81B24">
              <w:rPr>
                <w:sz w:val="20"/>
              </w:rPr>
              <w:t>3256</w:t>
            </w:r>
          </w:p>
        </w:tc>
        <w:tc>
          <w:tcPr>
            <w:tcW w:w="536" w:type="dxa"/>
            <w:tcBorders>
              <w:top w:val="nil"/>
              <w:left w:val="nil"/>
              <w:bottom w:val="single" w:sz="4" w:space="0" w:color="auto"/>
              <w:right w:val="single" w:sz="4" w:space="0" w:color="auto"/>
            </w:tcBorders>
            <w:vAlign w:val="bottom"/>
          </w:tcPr>
          <w:p w:rsidR="00C81B24" w:rsidRPr="00C81B24" w:rsidRDefault="00C81B24" w:rsidP="00CE5850">
            <w:pPr>
              <w:autoSpaceDE w:val="0"/>
              <w:autoSpaceDN w:val="0"/>
              <w:adjustRightInd w:val="0"/>
              <w:jc w:val="right"/>
              <w:rPr>
                <w:color w:val="000000"/>
                <w:kern w:val="0"/>
                <w:sz w:val="20"/>
              </w:rPr>
            </w:pPr>
            <w:r w:rsidRPr="00C81B24">
              <w:rPr>
                <w:color w:val="000000"/>
                <w:kern w:val="0"/>
                <w:sz w:val="20"/>
              </w:rPr>
              <w:t>3273</w:t>
            </w:r>
          </w:p>
        </w:tc>
        <w:tc>
          <w:tcPr>
            <w:tcW w:w="736" w:type="dxa"/>
            <w:tcBorders>
              <w:top w:val="nil"/>
              <w:left w:val="nil"/>
              <w:bottom w:val="single" w:sz="4" w:space="0" w:color="auto"/>
              <w:right w:val="single" w:sz="4" w:space="0" w:color="auto"/>
            </w:tcBorders>
            <w:vAlign w:val="bottom"/>
          </w:tcPr>
          <w:p w:rsidR="00C81B24" w:rsidRPr="00C81B24" w:rsidRDefault="00C81B24" w:rsidP="00CE5850">
            <w:pPr>
              <w:jc w:val="right"/>
              <w:rPr>
                <w:color w:val="000000"/>
                <w:sz w:val="20"/>
              </w:rPr>
            </w:pPr>
            <w:r w:rsidRPr="00C81B24">
              <w:rPr>
                <w:color w:val="000000"/>
                <w:sz w:val="20"/>
              </w:rPr>
              <w:t>281.42</w:t>
            </w:r>
          </w:p>
        </w:tc>
      </w:tr>
      <w:tr w:rsidR="00C81B24" w:rsidRPr="00C81B24" w:rsidTr="00526AD9">
        <w:trPr>
          <w:trHeight w:val="255"/>
          <w:jc w:val="center"/>
        </w:trPr>
        <w:tc>
          <w:tcPr>
            <w:tcW w:w="554" w:type="dxa"/>
            <w:tcBorders>
              <w:top w:val="nil"/>
              <w:left w:val="single" w:sz="4" w:space="0" w:color="auto"/>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54</w:t>
            </w:r>
          </w:p>
        </w:tc>
        <w:tc>
          <w:tcPr>
            <w:tcW w:w="456" w:type="dxa"/>
            <w:tcBorders>
              <w:top w:val="nil"/>
              <w:left w:val="single" w:sz="4" w:space="0" w:color="auto"/>
              <w:bottom w:val="single" w:sz="4" w:space="0" w:color="auto"/>
              <w:right w:val="single" w:sz="4" w:space="0" w:color="auto"/>
            </w:tcBorders>
            <w:vAlign w:val="center"/>
          </w:tcPr>
          <w:p w:rsidR="00C81B24" w:rsidRPr="00C81B24" w:rsidRDefault="00C81B24" w:rsidP="00CE5850">
            <w:pPr>
              <w:jc w:val="right"/>
              <w:rPr>
                <w:sz w:val="20"/>
              </w:rPr>
            </w:pPr>
            <w:r w:rsidRPr="00C81B24">
              <w:rPr>
                <w:sz w:val="20"/>
              </w:rPr>
              <w:t>127</w:t>
            </w:r>
          </w:p>
        </w:tc>
        <w:tc>
          <w:tcPr>
            <w:tcW w:w="4012" w:type="dxa"/>
            <w:tcBorders>
              <w:top w:val="nil"/>
              <w:left w:val="nil"/>
              <w:bottom w:val="single" w:sz="4" w:space="0" w:color="auto"/>
              <w:right w:val="single" w:sz="4" w:space="0" w:color="auto"/>
            </w:tcBorders>
            <w:vAlign w:val="center"/>
          </w:tcPr>
          <w:p w:rsidR="00C81B24" w:rsidRPr="00C81B24" w:rsidRDefault="00C81B24" w:rsidP="00CE5850">
            <w:pPr>
              <w:rPr>
                <w:sz w:val="20"/>
              </w:rPr>
            </w:pPr>
            <w:r w:rsidRPr="00C81B24">
              <w:rPr>
                <w:sz w:val="20"/>
              </w:rPr>
              <w:t>Dallas-Fort Worth, TX-AR-OK</w:t>
            </w:r>
          </w:p>
        </w:tc>
        <w:tc>
          <w:tcPr>
            <w:tcW w:w="1102" w:type="dxa"/>
            <w:tcBorders>
              <w:top w:val="nil"/>
              <w:left w:val="nil"/>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 xml:space="preserve"> 9,389,830 </w:t>
            </w:r>
          </w:p>
        </w:tc>
        <w:tc>
          <w:tcPr>
            <w:tcW w:w="1155" w:type="dxa"/>
            <w:tcBorders>
              <w:top w:val="nil"/>
              <w:left w:val="nil"/>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 xml:space="preserve"> 9,267,314 </w:t>
            </w:r>
          </w:p>
        </w:tc>
        <w:tc>
          <w:tcPr>
            <w:tcW w:w="979" w:type="dxa"/>
            <w:tcBorders>
              <w:top w:val="nil"/>
              <w:left w:val="nil"/>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101%</w:t>
            </w:r>
          </w:p>
        </w:tc>
        <w:tc>
          <w:tcPr>
            <w:tcW w:w="635" w:type="dxa"/>
            <w:tcBorders>
              <w:top w:val="nil"/>
              <w:left w:val="nil"/>
              <w:bottom w:val="single" w:sz="4" w:space="0" w:color="auto"/>
              <w:right w:val="single" w:sz="4" w:space="0" w:color="auto"/>
            </w:tcBorders>
            <w:noWrap/>
            <w:vAlign w:val="bottom"/>
          </w:tcPr>
          <w:p w:rsidR="00C81B24" w:rsidRPr="00C81B24" w:rsidRDefault="00C81B24" w:rsidP="00CE5850">
            <w:pPr>
              <w:jc w:val="right"/>
              <w:rPr>
                <w:sz w:val="20"/>
              </w:rPr>
            </w:pPr>
            <w:r w:rsidRPr="00C81B24">
              <w:rPr>
                <w:sz w:val="20"/>
              </w:rPr>
              <w:t>2617</w:t>
            </w:r>
          </w:p>
        </w:tc>
        <w:tc>
          <w:tcPr>
            <w:tcW w:w="536" w:type="dxa"/>
            <w:tcBorders>
              <w:top w:val="nil"/>
              <w:left w:val="nil"/>
              <w:bottom w:val="single" w:sz="4" w:space="0" w:color="auto"/>
              <w:right w:val="single" w:sz="4" w:space="0" w:color="auto"/>
            </w:tcBorders>
            <w:vAlign w:val="bottom"/>
          </w:tcPr>
          <w:p w:rsidR="00C81B24" w:rsidRPr="00C81B24" w:rsidRDefault="00C81B24" w:rsidP="00CE5850">
            <w:pPr>
              <w:autoSpaceDE w:val="0"/>
              <w:autoSpaceDN w:val="0"/>
              <w:adjustRightInd w:val="0"/>
              <w:jc w:val="right"/>
              <w:rPr>
                <w:color w:val="000000"/>
                <w:kern w:val="0"/>
                <w:sz w:val="20"/>
              </w:rPr>
            </w:pPr>
            <w:r w:rsidRPr="00C81B24">
              <w:rPr>
                <w:color w:val="000000"/>
                <w:kern w:val="0"/>
                <w:sz w:val="20"/>
              </w:rPr>
              <w:t>2639</w:t>
            </w:r>
          </w:p>
        </w:tc>
        <w:tc>
          <w:tcPr>
            <w:tcW w:w="736" w:type="dxa"/>
            <w:tcBorders>
              <w:top w:val="nil"/>
              <w:left w:val="nil"/>
              <w:bottom w:val="single" w:sz="4" w:space="0" w:color="auto"/>
              <w:right w:val="single" w:sz="4" w:space="0" w:color="auto"/>
            </w:tcBorders>
            <w:vAlign w:val="bottom"/>
          </w:tcPr>
          <w:p w:rsidR="00C81B24" w:rsidRPr="00C81B24" w:rsidRDefault="00C81B24" w:rsidP="00CE5850">
            <w:pPr>
              <w:jc w:val="right"/>
              <w:rPr>
                <w:color w:val="000000"/>
                <w:sz w:val="20"/>
              </w:rPr>
            </w:pPr>
            <w:r w:rsidRPr="00C81B24">
              <w:rPr>
                <w:color w:val="000000"/>
                <w:sz w:val="20"/>
              </w:rPr>
              <w:t>145.29</w:t>
            </w:r>
          </w:p>
        </w:tc>
      </w:tr>
      <w:tr w:rsidR="00C81B24" w:rsidRPr="00C81B24" w:rsidTr="00526AD9">
        <w:trPr>
          <w:trHeight w:val="255"/>
          <w:jc w:val="center"/>
        </w:trPr>
        <w:tc>
          <w:tcPr>
            <w:tcW w:w="554" w:type="dxa"/>
            <w:tcBorders>
              <w:top w:val="nil"/>
              <w:left w:val="single" w:sz="4" w:space="0" w:color="auto"/>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55</w:t>
            </w:r>
          </w:p>
        </w:tc>
        <w:tc>
          <w:tcPr>
            <w:tcW w:w="456" w:type="dxa"/>
            <w:tcBorders>
              <w:top w:val="nil"/>
              <w:left w:val="single" w:sz="4" w:space="0" w:color="auto"/>
              <w:bottom w:val="single" w:sz="4" w:space="0" w:color="auto"/>
              <w:right w:val="single" w:sz="4" w:space="0" w:color="auto"/>
            </w:tcBorders>
            <w:vAlign w:val="center"/>
          </w:tcPr>
          <w:p w:rsidR="00C81B24" w:rsidRPr="00C81B24" w:rsidRDefault="00C81B24" w:rsidP="00CE5850">
            <w:pPr>
              <w:jc w:val="right"/>
              <w:rPr>
                <w:sz w:val="20"/>
              </w:rPr>
            </w:pPr>
            <w:r w:rsidRPr="00C81B24">
              <w:rPr>
                <w:sz w:val="20"/>
              </w:rPr>
              <w:t>131</w:t>
            </w:r>
          </w:p>
        </w:tc>
        <w:tc>
          <w:tcPr>
            <w:tcW w:w="4012" w:type="dxa"/>
            <w:tcBorders>
              <w:top w:val="nil"/>
              <w:left w:val="nil"/>
              <w:bottom w:val="single" w:sz="4" w:space="0" w:color="auto"/>
              <w:right w:val="single" w:sz="4" w:space="0" w:color="auto"/>
            </w:tcBorders>
            <w:vAlign w:val="center"/>
          </w:tcPr>
          <w:p w:rsidR="00C81B24" w:rsidRPr="00C81B24" w:rsidRDefault="00C81B24" w:rsidP="00CE5850">
            <w:pPr>
              <w:rPr>
                <w:sz w:val="20"/>
              </w:rPr>
            </w:pPr>
            <w:r w:rsidRPr="00C81B24">
              <w:rPr>
                <w:sz w:val="20"/>
              </w:rPr>
              <w:t>Houston-Galveston-Brazoria, TX</w:t>
            </w:r>
          </w:p>
        </w:tc>
        <w:tc>
          <w:tcPr>
            <w:tcW w:w="1102" w:type="dxa"/>
            <w:tcBorders>
              <w:top w:val="nil"/>
              <w:left w:val="nil"/>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 xml:space="preserve"> 7,153,583 </w:t>
            </w:r>
          </w:p>
        </w:tc>
        <w:tc>
          <w:tcPr>
            <w:tcW w:w="1155" w:type="dxa"/>
            <w:tcBorders>
              <w:top w:val="nil"/>
              <w:left w:val="nil"/>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 xml:space="preserve"> 7,096,831 </w:t>
            </w:r>
          </w:p>
        </w:tc>
        <w:tc>
          <w:tcPr>
            <w:tcW w:w="979" w:type="dxa"/>
            <w:tcBorders>
              <w:top w:val="nil"/>
              <w:left w:val="nil"/>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101%</w:t>
            </w:r>
          </w:p>
        </w:tc>
        <w:tc>
          <w:tcPr>
            <w:tcW w:w="635" w:type="dxa"/>
            <w:tcBorders>
              <w:top w:val="nil"/>
              <w:left w:val="nil"/>
              <w:bottom w:val="single" w:sz="4" w:space="0" w:color="auto"/>
              <w:right w:val="single" w:sz="4" w:space="0" w:color="auto"/>
            </w:tcBorders>
            <w:noWrap/>
            <w:vAlign w:val="bottom"/>
          </w:tcPr>
          <w:p w:rsidR="00C81B24" w:rsidRPr="00C81B24" w:rsidRDefault="00C81B24" w:rsidP="00CE5850">
            <w:pPr>
              <w:jc w:val="right"/>
              <w:rPr>
                <w:sz w:val="20"/>
              </w:rPr>
            </w:pPr>
            <w:r w:rsidRPr="00C81B24">
              <w:rPr>
                <w:sz w:val="20"/>
              </w:rPr>
              <w:t>2318</w:t>
            </w:r>
          </w:p>
        </w:tc>
        <w:tc>
          <w:tcPr>
            <w:tcW w:w="536" w:type="dxa"/>
            <w:tcBorders>
              <w:top w:val="nil"/>
              <w:left w:val="nil"/>
              <w:bottom w:val="single" w:sz="4" w:space="0" w:color="auto"/>
              <w:right w:val="single" w:sz="4" w:space="0" w:color="auto"/>
            </w:tcBorders>
            <w:vAlign w:val="bottom"/>
          </w:tcPr>
          <w:p w:rsidR="00C81B24" w:rsidRPr="00C81B24" w:rsidRDefault="00C81B24" w:rsidP="00CE5850">
            <w:pPr>
              <w:autoSpaceDE w:val="0"/>
              <w:autoSpaceDN w:val="0"/>
              <w:adjustRightInd w:val="0"/>
              <w:jc w:val="right"/>
              <w:rPr>
                <w:color w:val="000000"/>
                <w:kern w:val="0"/>
                <w:sz w:val="20"/>
              </w:rPr>
            </w:pPr>
            <w:r w:rsidRPr="00C81B24">
              <w:rPr>
                <w:color w:val="000000"/>
                <w:kern w:val="0"/>
                <w:sz w:val="20"/>
              </w:rPr>
              <w:t>2311</w:t>
            </w:r>
          </w:p>
        </w:tc>
        <w:tc>
          <w:tcPr>
            <w:tcW w:w="736" w:type="dxa"/>
            <w:tcBorders>
              <w:top w:val="nil"/>
              <w:left w:val="nil"/>
              <w:bottom w:val="single" w:sz="4" w:space="0" w:color="auto"/>
              <w:right w:val="single" w:sz="4" w:space="0" w:color="auto"/>
            </w:tcBorders>
            <w:vAlign w:val="bottom"/>
          </w:tcPr>
          <w:p w:rsidR="00C81B24" w:rsidRPr="00C81B24" w:rsidRDefault="00C81B24" w:rsidP="00CE5850">
            <w:pPr>
              <w:jc w:val="right"/>
              <w:rPr>
                <w:color w:val="000000"/>
                <w:sz w:val="20"/>
              </w:rPr>
            </w:pPr>
            <w:r w:rsidRPr="00C81B24">
              <w:rPr>
                <w:color w:val="000000"/>
                <w:sz w:val="20"/>
              </w:rPr>
              <w:t>217.08</w:t>
            </w:r>
          </w:p>
        </w:tc>
      </w:tr>
      <w:tr w:rsidR="00C81B24" w:rsidRPr="00C81B24" w:rsidTr="00526AD9">
        <w:trPr>
          <w:trHeight w:val="255"/>
          <w:jc w:val="center"/>
        </w:trPr>
        <w:tc>
          <w:tcPr>
            <w:tcW w:w="554" w:type="dxa"/>
            <w:tcBorders>
              <w:top w:val="nil"/>
              <w:left w:val="single" w:sz="4" w:space="0" w:color="auto"/>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56</w:t>
            </w:r>
          </w:p>
        </w:tc>
        <w:tc>
          <w:tcPr>
            <w:tcW w:w="456" w:type="dxa"/>
            <w:tcBorders>
              <w:top w:val="nil"/>
              <w:left w:val="single" w:sz="4" w:space="0" w:color="auto"/>
              <w:bottom w:val="single" w:sz="4" w:space="0" w:color="auto"/>
              <w:right w:val="single" w:sz="4" w:space="0" w:color="auto"/>
            </w:tcBorders>
            <w:vAlign w:val="center"/>
          </w:tcPr>
          <w:p w:rsidR="00C81B24" w:rsidRPr="00C81B24" w:rsidRDefault="00C81B24" w:rsidP="00CE5850">
            <w:pPr>
              <w:jc w:val="right"/>
              <w:rPr>
                <w:sz w:val="20"/>
              </w:rPr>
            </w:pPr>
            <w:r w:rsidRPr="00C81B24">
              <w:rPr>
                <w:sz w:val="20"/>
              </w:rPr>
              <w:t>132</w:t>
            </w:r>
          </w:p>
        </w:tc>
        <w:tc>
          <w:tcPr>
            <w:tcW w:w="4012" w:type="dxa"/>
            <w:tcBorders>
              <w:top w:val="nil"/>
              <w:left w:val="nil"/>
              <w:bottom w:val="single" w:sz="4" w:space="0" w:color="auto"/>
              <w:right w:val="single" w:sz="4" w:space="0" w:color="auto"/>
            </w:tcBorders>
            <w:vAlign w:val="center"/>
          </w:tcPr>
          <w:p w:rsidR="00C81B24" w:rsidRPr="00C81B24" w:rsidRDefault="00C81B24" w:rsidP="00CE5850">
            <w:pPr>
              <w:rPr>
                <w:sz w:val="20"/>
              </w:rPr>
            </w:pPr>
            <w:r w:rsidRPr="00C81B24">
              <w:rPr>
                <w:sz w:val="20"/>
              </w:rPr>
              <w:t>Corpus Christi, TX</w:t>
            </w:r>
          </w:p>
        </w:tc>
        <w:tc>
          <w:tcPr>
            <w:tcW w:w="1102" w:type="dxa"/>
            <w:tcBorders>
              <w:top w:val="nil"/>
              <w:left w:val="nil"/>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 xml:space="preserve"> 579,417 </w:t>
            </w:r>
          </w:p>
        </w:tc>
        <w:tc>
          <w:tcPr>
            <w:tcW w:w="1155" w:type="dxa"/>
            <w:tcBorders>
              <w:top w:val="nil"/>
              <w:left w:val="nil"/>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 xml:space="preserve"> 575,767 </w:t>
            </w:r>
          </w:p>
        </w:tc>
        <w:tc>
          <w:tcPr>
            <w:tcW w:w="979" w:type="dxa"/>
            <w:tcBorders>
              <w:top w:val="nil"/>
              <w:left w:val="nil"/>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101%</w:t>
            </w:r>
          </w:p>
        </w:tc>
        <w:tc>
          <w:tcPr>
            <w:tcW w:w="635" w:type="dxa"/>
            <w:tcBorders>
              <w:top w:val="nil"/>
              <w:left w:val="nil"/>
              <w:bottom w:val="single" w:sz="4" w:space="0" w:color="auto"/>
              <w:right w:val="single" w:sz="4" w:space="0" w:color="auto"/>
            </w:tcBorders>
            <w:noWrap/>
            <w:vAlign w:val="bottom"/>
          </w:tcPr>
          <w:p w:rsidR="00C81B24" w:rsidRPr="00C81B24" w:rsidRDefault="00C81B24" w:rsidP="00CE5850">
            <w:pPr>
              <w:jc w:val="right"/>
              <w:rPr>
                <w:sz w:val="20"/>
              </w:rPr>
            </w:pPr>
            <w:r w:rsidRPr="00C81B24">
              <w:rPr>
                <w:sz w:val="20"/>
              </w:rPr>
              <w:t>2306</w:t>
            </w:r>
          </w:p>
        </w:tc>
        <w:tc>
          <w:tcPr>
            <w:tcW w:w="536" w:type="dxa"/>
            <w:tcBorders>
              <w:top w:val="nil"/>
              <w:left w:val="nil"/>
              <w:bottom w:val="single" w:sz="4" w:space="0" w:color="auto"/>
              <w:right w:val="single" w:sz="4" w:space="0" w:color="auto"/>
            </w:tcBorders>
            <w:vAlign w:val="bottom"/>
          </w:tcPr>
          <w:p w:rsidR="00C81B24" w:rsidRPr="00C81B24" w:rsidRDefault="00C81B24" w:rsidP="00CE5850">
            <w:pPr>
              <w:autoSpaceDE w:val="0"/>
              <w:autoSpaceDN w:val="0"/>
              <w:adjustRightInd w:val="0"/>
              <w:jc w:val="right"/>
              <w:rPr>
                <w:color w:val="000000"/>
                <w:kern w:val="0"/>
                <w:sz w:val="20"/>
              </w:rPr>
            </w:pPr>
            <w:r w:rsidRPr="00C81B24">
              <w:rPr>
                <w:color w:val="000000"/>
                <w:kern w:val="0"/>
                <w:sz w:val="20"/>
              </w:rPr>
              <w:t>2259</w:t>
            </w:r>
          </w:p>
        </w:tc>
        <w:tc>
          <w:tcPr>
            <w:tcW w:w="736" w:type="dxa"/>
            <w:tcBorders>
              <w:top w:val="nil"/>
              <w:left w:val="nil"/>
              <w:bottom w:val="single" w:sz="4" w:space="0" w:color="auto"/>
              <w:right w:val="single" w:sz="4" w:space="0" w:color="auto"/>
            </w:tcBorders>
            <w:vAlign w:val="bottom"/>
          </w:tcPr>
          <w:p w:rsidR="00C81B24" w:rsidRPr="00C81B24" w:rsidRDefault="00C81B24" w:rsidP="00CE5850">
            <w:pPr>
              <w:jc w:val="right"/>
              <w:rPr>
                <w:color w:val="000000"/>
                <w:sz w:val="20"/>
              </w:rPr>
            </w:pPr>
            <w:r w:rsidRPr="00C81B24">
              <w:rPr>
                <w:color w:val="000000"/>
                <w:sz w:val="20"/>
              </w:rPr>
              <w:t>49.50</w:t>
            </w:r>
          </w:p>
        </w:tc>
      </w:tr>
      <w:tr w:rsidR="00C81B24" w:rsidRPr="00C81B24" w:rsidTr="00526AD9">
        <w:trPr>
          <w:trHeight w:val="255"/>
          <w:jc w:val="center"/>
        </w:trPr>
        <w:tc>
          <w:tcPr>
            <w:tcW w:w="554" w:type="dxa"/>
            <w:tcBorders>
              <w:top w:val="nil"/>
              <w:left w:val="single" w:sz="4" w:space="0" w:color="auto"/>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57</w:t>
            </w:r>
          </w:p>
        </w:tc>
        <w:tc>
          <w:tcPr>
            <w:tcW w:w="456" w:type="dxa"/>
            <w:tcBorders>
              <w:top w:val="nil"/>
              <w:left w:val="single" w:sz="4" w:space="0" w:color="auto"/>
              <w:bottom w:val="single" w:sz="4" w:space="0" w:color="auto"/>
              <w:right w:val="single" w:sz="4" w:space="0" w:color="auto"/>
            </w:tcBorders>
            <w:vAlign w:val="center"/>
          </w:tcPr>
          <w:p w:rsidR="00C81B24" w:rsidRPr="00C81B24" w:rsidRDefault="00C81B24" w:rsidP="00CE5850">
            <w:pPr>
              <w:jc w:val="right"/>
              <w:rPr>
                <w:sz w:val="20"/>
              </w:rPr>
            </w:pPr>
            <w:r w:rsidRPr="00C81B24">
              <w:rPr>
                <w:sz w:val="20"/>
              </w:rPr>
              <w:t>8</w:t>
            </w:r>
          </w:p>
        </w:tc>
        <w:tc>
          <w:tcPr>
            <w:tcW w:w="4012" w:type="dxa"/>
            <w:tcBorders>
              <w:top w:val="nil"/>
              <w:left w:val="nil"/>
              <w:bottom w:val="single" w:sz="4" w:space="0" w:color="auto"/>
              <w:right w:val="single" w:sz="4" w:space="0" w:color="auto"/>
            </w:tcBorders>
            <w:vAlign w:val="center"/>
          </w:tcPr>
          <w:p w:rsidR="00C81B24" w:rsidRPr="00C81B24" w:rsidRDefault="00C81B24" w:rsidP="00CE5850">
            <w:pPr>
              <w:rPr>
                <w:sz w:val="20"/>
                <w:lang w:val="sv-SE"/>
              </w:rPr>
            </w:pPr>
            <w:r w:rsidRPr="00C81B24">
              <w:rPr>
                <w:sz w:val="20"/>
                <w:lang w:val="sv-SE"/>
              </w:rPr>
              <w:t>Buffalo-Niagara Falls, NY-PA</w:t>
            </w:r>
          </w:p>
        </w:tc>
        <w:tc>
          <w:tcPr>
            <w:tcW w:w="1102" w:type="dxa"/>
            <w:tcBorders>
              <w:top w:val="nil"/>
              <w:left w:val="nil"/>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 xml:space="preserve">1,458,811 </w:t>
            </w:r>
          </w:p>
        </w:tc>
        <w:tc>
          <w:tcPr>
            <w:tcW w:w="1155" w:type="dxa"/>
            <w:tcBorders>
              <w:top w:val="nil"/>
              <w:left w:val="nil"/>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 xml:space="preserve"> 1,457,692 </w:t>
            </w:r>
          </w:p>
        </w:tc>
        <w:tc>
          <w:tcPr>
            <w:tcW w:w="979" w:type="dxa"/>
            <w:tcBorders>
              <w:top w:val="nil"/>
              <w:left w:val="nil"/>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100%</w:t>
            </w:r>
          </w:p>
        </w:tc>
        <w:tc>
          <w:tcPr>
            <w:tcW w:w="635" w:type="dxa"/>
            <w:tcBorders>
              <w:top w:val="nil"/>
              <w:left w:val="nil"/>
              <w:bottom w:val="single" w:sz="4" w:space="0" w:color="auto"/>
              <w:right w:val="single" w:sz="4" w:space="0" w:color="auto"/>
            </w:tcBorders>
            <w:noWrap/>
            <w:vAlign w:val="bottom"/>
          </w:tcPr>
          <w:p w:rsidR="00C81B24" w:rsidRPr="00C81B24" w:rsidRDefault="00C81B24" w:rsidP="00CE5850">
            <w:pPr>
              <w:jc w:val="right"/>
              <w:rPr>
                <w:sz w:val="20"/>
              </w:rPr>
            </w:pPr>
            <w:r w:rsidRPr="00C81B24">
              <w:rPr>
                <w:sz w:val="20"/>
              </w:rPr>
              <w:t>3255</w:t>
            </w:r>
          </w:p>
        </w:tc>
        <w:tc>
          <w:tcPr>
            <w:tcW w:w="536" w:type="dxa"/>
            <w:tcBorders>
              <w:top w:val="nil"/>
              <w:left w:val="nil"/>
              <w:bottom w:val="single" w:sz="4" w:space="0" w:color="auto"/>
              <w:right w:val="single" w:sz="4" w:space="0" w:color="auto"/>
            </w:tcBorders>
            <w:vAlign w:val="bottom"/>
          </w:tcPr>
          <w:p w:rsidR="00C81B24" w:rsidRPr="00C81B24" w:rsidRDefault="00C81B24" w:rsidP="00CE5850">
            <w:pPr>
              <w:autoSpaceDE w:val="0"/>
              <w:autoSpaceDN w:val="0"/>
              <w:adjustRightInd w:val="0"/>
              <w:jc w:val="right"/>
              <w:rPr>
                <w:color w:val="000000"/>
                <w:kern w:val="0"/>
                <w:sz w:val="20"/>
              </w:rPr>
            </w:pPr>
            <w:r w:rsidRPr="00C81B24">
              <w:rPr>
                <w:color w:val="000000"/>
                <w:kern w:val="0"/>
                <w:sz w:val="20"/>
              </w:rPr>
              <w:t>3237</w:t>
            </w:r>
          </w:p>
        </w:tc>
        <w:tc>
          <w:tcPr>
            <w:tcW w:w="736" w:type="dxa"/>
            <w:tcBorders>
              <w:top w:val="nil"/>
              <w:left w:val="nil"/>
              <w:bottom w:val="single" w:sz="4" w:space="0" w:color="auto"/>
              <w:right w:val="single" w:sz="4" w:space="0" w:color="auto"/>
            </w:tcBorders>
            <w:vAlign w:val="bottom"/>
          </w:tcPr>
          <w:p w:rsidR="00C81B24" w:rsidRPr="00C81B24" w:rsidRDefault="00C81B24" w:rsidP="00CE5850">
            <w:pPr>
              <w:jc w:val="right"/>
              <w:rPr>
                <w:color w:val="000000"/>
                <w:sz w:val="20"/>
              </w:rPr>
            </w:pPr>
            <w:r w:rsidRPr="00C81B24">
              <w:rPr>
                <w:color w:val="000000"/>
                <w:sz w:val="20"/>
              </w:rPr>
              <w:t>207.96</w:t>
            </w:r>
          </w:p>
        </w:tc>
      </w:tr>
      <w:tr w:rsidR="00C81B24" w:rsidRPr="00C81B24" w:rsidTr="00526AD9">
        <w:trPr>
          <w:trHeight w:val="255"/>
          <w:jc w:val="center"/>
        </w:trPr>
        <w:tc>
          <w:tcPr>
            <w:tcW w:w="554" w:type="dxa"/>
            <w:tcBorders>
              <w:top w:val="nil"/>
              <w:left w:val="single" w:sz="4" w:space="0" w:color="auto"/>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58</w:t>
            </w:r>
          </w:p>
        </w:tc>
        <w:tc>
          <w:tcPr>
            <w:tcW w:w="456" w:type="dxa"/>
            <w:tcBorders>
              <w:top w:val="nil"/>
              <w:left w:val="single" w:sz="4" w:space="0" w:color="auto"/>
              <w:bottom w:val="single" w:sz="4" w:space="0" w:color="auto"/>
              <w:right w:val="single" w:sz="4" w:space="0" w:color="auto"/>
            </w:tcBorders>
            <w:vAlign w:val="center"/>
          </w:tcPr>
          <w:p w:rsidR="00C81B24" w:rsidRPr="00C81B24" w:rsidRDefault="00C81B24" w:rsidP="00CE5850">
            <w:pPr>
              <w:jc w:val="right"/>
              <w:rPr>
                <w:sz w:val="20"/>
              </w:rPr>
            </w:pPr>
            <w:r w:rsidRPr="00C81B24">
              <w:rPr>
                <w:sz w:val="20"/>
              </w:rPr>
              <w:t>27</w:t>
            </w:r>
          </w:p>
        </w:tc>
        <w:tc>
          <w:tcPr>
            <w:tcW w:w="4012" w:type="dxa"/>
            <w:tcBorders>
              <w:top w:val="nil"/>
              <w:left w:val="nil"/>
              <w:bottom w:val="single" w:sz="4" w:space="0" w:color="auto"/>
              <w:right w:val="single" w:sz="4" w:space="0" w:color="auto"/>
            </w:tcBorders>
            <w:vAlign w:val="center"/>
          </w:tcPr>
          <w:p w:rsidR="00C81B24" w:rsidRPr="00C81B24" w:rsidRDefault="00C81B24" w:rsidP="00CE5850">
            <w:pPr>
              <w:rPr>
                <w:sz w:val="20"/>
              </w:rPr>
            </w:pPr>
            <w:r w:rsidRPr="00C81B24">
              <w:rPr>
                <w:sz w:val="20"/>
              </w:rPr>
              <w:t>Augusta-Aiken, GA-SC</w:t>
            </w:r>
          </w:p>
        </w:tc>
        <w:tc>
          <w:tcPr>
            <w:tcW w:w="1102" w:type="dxa"/>
            <w:tcBorders>
              <w:top w:val="nil"/>
              <w:left w:val="nil"/>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 xml:space="preserve"> 664,143 </w:t>
            </w:r>
          </w:p>
        </w:tc>
        <w:tc>
          <w:tcPr>
            <w:tcW w:w="1155" w:type="dxa"/>
            <w:tcBorders>
              <w:top w:val="nil"/>
              <w:left w:val="nil"/>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 xml:space="preserve"> 662,073 </w:t>
            </w:r>
          </w:p>
        </w:tc>
        <w:tc>
          <w:tcPr>
            <w:tcW w:w="979" w:type="dxa"/>
            <w:tcBorders>
              <w:top w:val="nil"/>
              <w:left w:val="nil"/>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100%</w:t>
            </w:r>
          </w:p>
        </w:tc>
        <w:tc>
          <w:tcPr>
            <w:tcW w:w="635" w:type="dxa"/>
            <w:tcBorders>
              <w:top w:val="nil"/>
              <w:left w:val="nil"/>
              <w:bottom w:val="single" w:sz="4" w:space="0" w:color="auto"/>
              <w:right w:val="single" w:sz="4" w:space="0" w:color="auto"/>
            </w:tcBorders>
            <w:noWrap/>
            <w:vAlign w:val="bottom"/>
          </w:tcPr>
          <w:p w:rsidR="00C81B24" w:rsidRPr="00C81B24" w:rsidRDefault="00C81B24" w:rsidP="00CE5850">
            <w:pPr>
              <w:jc w:val="right"/>
              <w:rPr>
                <w:sz w:val="20"/>
              </w:rPr>
            </w:pPr>
            <w:r w:rsidRPr="00C81B24">
              <w:rPr>
                <w:sz w:val="20"/>
              </w:rPr>
              <w:t>3426</w:t>
            </w:r>
          </w:p>
        </w:tc>
        <w:tc>
          <w:tcPr>
            <w:tcW w:w="536" w:type="dxa"/>
            <w:tcBorders>
              <w:top w:val="nil"/>
              <w:left w:val="nil"/>
              <w:bottom w:val="single" w:sz="4" w:space="0" w:color="auto"/>
              <w:right w:val="single" w:sz="4" w:space="0" w:color="auto"/>
            </w:tcBorders>
            <w:vAlign w:val="bottom"/>
          </w:tcPr>
          <w:p w:rsidR="00C81B24" w:rsidRPr="00C81B24" w:rsidRDefault="00C81B24" w:rsidP="00CE5850">
            <w:pPr>
              <w:autoSpaceDE w:val="0"/>
              <w:autoSpaceDN w:val="0"/>
              <w:adjustRightInd w:val="0"/>
              <w:jc w:val="right"/>
              <w:rPr>
                <w:color w:val="000000"/>
                <w:kern w:val="0"/>
                <w:sz w:val="20"/>
              </w:rPr>
            </w:pPr>
            <w:r w:rsidRPr="00C81B24">
              <w:rPr>
                <w:color w:val="000000"/>
                <w:kern w:val="0"/>
                <w:sz w:val="20"/>
              </w:rPr>
              <w:t>3394</w:t>
            </w:r>
          </w:p>
        </w:tc>
        <w:tc>
          <w:tcPr>
            <w:tcW w:w="736" w:type="dxa"/>
            <w:tcBorders>
              <w:top w:val="nil"/>
              <w:left w:val="nil"/>
              <w:bottom w:val="single" w:sz="4" w:space="0" w:color="auto"/>
              <w:right w:val="single" w:sz="4" w:space="0" w:color="auto"/>
            </w:tcBorders>
            <w:vAlign w:val="bottom"/>
          </w:tcPr>
          <w:p w:rsidR="00C81B24" w:rsidRPr="00C81B24" w:rsidRDefault="00C81B24" w:rsidP="00CE5850">
            <w:pPr>
              <w:jc w:val="right"/>
              <w:rPr>
                <w:color w:val="000000"/>
                <w:sz w:val="20"/>
              </w:rPr>
            </w:pPr>
            <w:r w:rsidRPr="00C81B24">
              <w:rPr>
                <w:color w:val="000000"/>
                <w:sz w:val="20"/>
              </w:rPr>
              <w:t>99.77</w:t>
            </w:r>
          </w:p>
        </w:tc>
      </w:tr>
      <w:tr w:rsidR="00C81B24" w:rsidRPr="00C81B24" w:rsidTr="00526AD9">
        <w:trPr>
          <w:trHeight w:val="255"/>
          <w:jc w:val="center"/>
        </w:trPr>
        <w:tc>
          <w:tcPr>
            <w:tcW w:w="554" w:type="dxa"/>
            <w:tcBorders>
              <w:top w:val="nil"/>
              <w:left w:val="single" w:sz="4" w:space="0" w:color="auto"/>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59</w:t>
            </w:r>
          </w:p>
        </w:tc>
        <w:tc>
          <w:tcPr>
            <w:tcW w:w="456" w:type="dxa"/>
            <w:tcBorders>
              <w:top w:val="nil"/>
              <w:left w:val="single" w:sz="4" w:space="0" w:color="auto"/>
              <w:bottom w:val="single" w:sz="4" w:space="0" w:color="auto"/>
              <w:right w:val="single" w:sz="4" w:space="0" w:color="auto"/>
            </w:tcBorders>
            <w:vAlign w:val="center"/>
          </w:tcPr>
          <w:p w:rsidR="00C81B24" w:rsidRPr="00C81B24" w:rsidRDefault="00C81B24" w:rsidP="00CE5850">
            <w:pPr>
              <w:jc w:val="right"/>
              <w:rPr>
                <w:sz w:val="20"/>
              </w:rPr>
            </w:pPr>
            <w:r w:rsidRPr="00C81B24">
              <w:rPr>
                <w:sz w:val="20"/>
              </w:rPr>
              <w:t>76</w:t>
            </w:r>
          </w:p>
        </w:tc>
        <w:tc>
          <w:tcPr>
            <w:tcW w:w="4012" w:type="dxa"/>
            <w:tcBorders>
              <w:top w:val="nil"/>
              <w:left w:val="nil"/>
              <w:bottom w:val="single" w:sz="4" w:space="0" w:color="auto"/>
              <w:right w:val="single" w:sz="4" w:space="0" w:color="auto"/>
            </w:tcBorders>
            <w:vAlign w:val="center"/>
          </w:tcPr>
          <w:p w:rsidR="00C81B24" w:rsidRPr="00C81B24" w:rsidRDefault="00C81B24" w:rsidP="00CE5850">
            <w:pPr>
              <w:rPr>
                <w:sz w:val="20"/>
              </w:rPr>
            </w:pPr>
            <w:r w:rsidRPr="00C81B24">
              <w:rPr>
                <w:sz w:val="20"/>
              </w:rPr>
              <w:t>Greenville, MS</w:t>
            </w:r>
          </w:p>
        </w:tc>
        <w:tc>
          <w:tcPr>
            <w:tcW w:w="1102" w:type="dxa"/>
            <w:tcBorders>
              <w:top w:val="nil"/>
              <w:left w:val="nil"/>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 xml:space="preserve"> 211,737 </w:t>
            </w:r>
          </w:p>
        </w:tc>
        <w:tc>
          <w:tcPr>
            <w:tcW w:w="1155" w:type="dxa"/>
            <w:tcBorders>
              <w:top w:val="nil"/>
              <w:left w:val="nil"/>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 xml:space="preserve"> 212,534 </w:t>
            </w:r>
          </w:p>
        </w:tc>
        <w:tc>
          <w:tcPr>
            <w:tcW w:w="979" w:type="dxa"/>
            <w:tcBorders>
              <w:top w:val="nil"/>
              <w:left w:val="nil"/>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100%</w:t>
            </w:r>
          </w:p>
        </w:tc>
        <w:tc>
          <w:tcPr>
            <w:tcW w:w="635" w:type="dxa"/>
            <w:tcBorders>
              <w:top w:val="nil"/>
              <w:left w:val="nil"/>
              <w:bottom w:val="single" w:sz="4" w:space="0" w:color="auto"/>
              <w:right w:val="single" w:sz="4" w:space="0" w:color="auto"/>
            </w:tcBorders>
            <w:noWrap/>
            <w:vAlign w:val="bottom"/>
          </w:tcPr>
          <w:p w:rsidR="00C81B24" w:rsidRPr="00C81B24" w:rsidRDefault="00C81B24" w:rsidP="00CE5850">
            <w:pPr>
              <w:jc w:val="right"/>
              <w:rPr>
                <w:sz w:val="20"/>
              </w:rPr>
            </w:pPr>
            <w:r w:rsidRPr="00C81B24">
              <w:rPr>
                <w:sz w:val="20"/>
              </w:rPr>
              <w:t>2958</w:t>
            </w:r>
          </w:p>
        </w:tc>
        <w:tc>
          <w:tcPr>
            <w:tcW w:w="536" w:type="dxa"/>
            <w:tcBorders>
              <w:top w:val="nil"/>
              <w:left w:val="nil"/>
              <w:bottom w:val="single" w:sz="4" w:space="0" w:color="auto"/>
              <w:right w:val="single" w:sz="4" w:space="0" w:color="auto"/>
            </w:tcBorders>
            <w:vAlign w:val="bottom"/>
          </w:tcPr>
          <w:p w:rsidR="00C81B24" w:rsidRPr="00C81B24" w:rsidRDefault="00C81B24" w:rsidP="00CE5850">
            <w:pPr>
              <w:autoSpaceDE w:val="0"/>
              <w:autoSpaceDN w:val="0"/>
              <w:adjustRightInd w:val="0"/>
              <w:jc w:val="right"/>
              <w:rPr>
                <w:color w:val="000000"/>
                <w:kern w:val="0"/>
                <w:sz w:val="20"/>
              </w:rPr>
            </w:pPr>
            <w:r w:rsidRPr="00C81B24">
              <w:rPr>
                <w:color w:val="000000"/>
                <w:kern w:val="0"/>
                <w:sz w:val="20"/>
              </w:rPr>
              <w:t>3570</w:t>
            </w:r>
          </w:p>
        </w:tc>
        <w:tc>
          <w:tcPr>
            <w:tcW w:w="736" w:type="dxa"/>
            <w:tcBorders>
              <w:top w:val="nil"/>
              <w:left w:val="nil"/>
              <w:bottom w:val="single" w:sz="4" w:space="0" w:color="auto"/>
              <w:right w:val="single" w:sz="4" w:space="0" w:color="auto"/>
            </w:tcBorders>
            <w:vAlign w:val="bottom"/>
          </w:tcPr>
          <w:p w:rsidR="00C81B24" w:rsidRPr="00C81B24" w:rsidRDefault="00C81B24" w:rsidP="00CE5850">
            <w:pPr>
              <w:jc w:val="right"/>
              <w:rPr>
                <w:color w:val="000000"/>
                <w:sz w:val="20"/>
              </w:rPr>
            </w:pPr>
            <w:r w:rsidRPr="00C81B24">
              <w:rPr>
                <w:color w:val="000000"/>
                <w:sz w:val="20"/>
              </w:rPr>
              <w:t>35.93</w:t>
            </w:r>
          </w:p>
        </w:tc>
      </w:tr>
      <w:tr w:rsidR="00C81B24" w:rsidRPr="00C81B24" w:rsidTr="00526AD9">
        <w:trPr>
          <w:trHeight w:val="255"/>
          <w:jc w:val="center"/>
        </w:trPr>
        <w:tc>
          <w:tcPr>
            <w:tcW w:w="554" w:type="dxa"/>
            <w:tcBorders>
              <w:top w:val="nil"/>
              <w:left w:val="single" w:sz="4" w:space="0" w:color="auto"/>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60</w:t>
            </w:r>
          </w:p>
        </w:tc>
        <w:tc>
          <w:tcPr>
            <w:tcW w:w="456" w:type="dxa"/>
            <w:tcBorders>
              <w:top w:val="nil"/>
              <w:left w:val="single" w:sz="4" w:space="0" w:color="auto"/>
              <w:bottom w:val="single" w:sz="4" w:space="0" w:color="auto"/>
              <w:right w:val="single" w:sz="4" w:space="0" w:color="auto"/>
            </w:tcBorders>
            <w:vAlign w:val="center"/>
          </w:tcPr>
          <w:p w:rsidR="00C81B24" w:rsidRPr="00C81B24" w:rsidRDefault="00C81B24" w:rsidP="00CE5850">
            <w:pPr>
              <w:jc w:val="right"/>
              <w:rPr>
                <w:sz w:val="20"/>
              </w:rPr>
            </w:pPr>
            <w:r w:rsidRPr="00C81B24">
              <w:rPr>
                <w:sz w:val="20"/>
              </w:rPr>
              <w:t>170</w:t>
            </w:r>
          </w:p>
        </w:tc>
        <w:tc>
          <w:tcPr>
            <w:tcW w:w="4012" w:type="dxa"/>
            <w:tcBorders>
              <w:top w:val="nil"/>
              <w:left w:val="nil"/>
              <w:bottom w:val="single" w:sz="4" w:space="0" w:color="auto"/>
              <w:right w:val="single" w:sz="4" w:space="0" w:color="auto"/>
            </w:tcBorders>
            <w:vAlign w:val="center"/>
          </w:tcPr>
          <w:p w:rsidR="00C81B24" w:rsidRPr="00C81B24" w:rsidRDefault="00C81B24" w:rsidP="00CE5850">
            <w:pPr>
              <w:rPr>
                <w:sz w:val="20"/>
              </w:rPr>
            </w:pPr>
            <w:r w:rsidRPr="00C81B24">
              <w:rPr>
                <w:sz w:val="20"/>
              </w:rPr>
              <w:t>Seattle-Tacoma-Bremerton, WA</w:t>
            </w:r>
          </w:p>
        </w:tc>
        <w:tc>
          <w:tcPr>
            <w:tcW w:w="1102" w:type="dxa"/>
            <w:tcBorders>
              <w:top w:val="nil"/>
              <w:left w:val="nil"/>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 xml:space="preserve"> 4,757,382 </w:t>
            </w:r>
          </w:p>
        </w:tc>
        <w:tc>
          <w:tcPr>
            <w:tcW w:w="1155" w:type="dxa"/>
            <w:tcBorders>
              <w:top w:val="nil"/>
              <w:left w:val="nil"/>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 xml:space="preserve"> 4,759,995 </w:t>
            </w:r>
          </w:p>
        </w:tc>
        <w:tc>
          <w:tcPr>
            <w:tcW w:w="979" w:type="dxa"/>
            <w:tcBorders>
              <w:top w:val="nil"/>
              <w:left w:val="nil"/>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100%</w:t>
            </w:r>
          </w:p>
        </w:tc>
        <w:tc>
          <w:tcPr>
            <w:tcW w:w="635" w:type="dxa"/>
            <w:tcBorders>
              <w:top w:val="nil"/>
              <w:left w:val="nil"/>
              <w:bottom w:val="single" w:sz="4" w:space="0" w:color="auto"/>
              <w:right w:val="single" w:sz="4" w:space="0" w:color="auto"/>
            </w:tcBorders>
            <w:noWrap/>
            <w:vAlign w:val="bottom"/>
          </w:tcPr>
          <w:p w:rsidR="00C81B24" w:rsidRPr="00C81B24" w:rsidRDefault="00C81B24" w:rsidP="00CE5850">
            <w:pPr>
              <w:jc w:val="right"/>
              <w:rPr>
                <w:sz w:val="20"/>
              </w:rPr>
            </w:pPr>
            <w:r w:rsidRPr="00C81B24">
              <w:rPr>
                <w:sz w:val="20"/>
              </w:rPr>
              <w:t>2763</w:t>
            </w:r>
          </w:p>
        </w:tc>
        <w:tc>
          <w:tcPr>
            <w:tcW w:w="536" w:type="dxa"/>
            <w:tcBorders>
              <w:top w:val="nil"/>
              <w:left w:val="nil"/>
              <w:bottom w:val="single" w:sz="4" w:space="0" w:color="auto"/>
              <w:right w:val="single" w:sz="4" w:space="0" w:color="auto"/>
            </w:tcBorders>
            <w:vAlign w:val="bottom"/>
          </w:tcPr>
          <w:p w:rsidR="00C81B24" w:rsidRPr="00C81B24" w:rsidRDefault="00C81B24" w:rsidP="00CE5850">
            <w:pPr>
              <w:autoSpaceDE w:val="0"/>
              <w:autoSpaceDN w:val="0"/>
              <w:adjustRightInd w:val="0"/>
              <w:jc w:val="right"/>
              <w:rPr>
                <w:color w:val="000000"/>
                <w:kern w:val="0"/>
                <w:sz w:val="20"/>
              </w:rPr>
            </w:pPr>
            <w:r w:rsidRPr="00C81B24">
              <w:rPr>
                <w:color w:val="000000"/>
                <w:kern w:val="0"/>
                <w:sz w:val="20"/>
              </w:rPr>
              <w:t>2746</w:t>
            </w:r>
          </w:p>
        </w:tc>
        <w:tc>
          <w:tcPr>
            <w:tcW w:w="736" w:type="dxa"/>
            <w:tcBorders>
              <w:top w:val="nil"/>
              <w:left w:val="nil"/>
              <w:bottom w:val="single" w:sz="4" w:space="0" w:color="auto"/>
              <w:right w:val="single" w:sz="4" w:space="0" w:color="auto"/>
            </w:tcBorders>
            <w:vAlign w:val="bottom"/>
          </w:tcPr>
          <w:p w:rsidR="00C81B24" w:rsidRPr="00C81B24" w:rsidRDefault="00C81B24" w:rsidP="00CE5850">
            <w:pPr>
              <w:jc w:val="right"/>
              <w:rPr>
                <w:color w:val="000000"/>
                <w:sz w:val="20"/>
              </w:rPr>
            </w:pPr>
            <w:r w:rsidRPr="00C81B24">
              <w:rPr>
                <w:color w:val="000000"/>
                <w:sz w:val="20"/>
              </w:rPr>
              <w:t>223.72</w:t>
            </w:r>
          </w:p>
        </w:tc>
      </w:tr>
      <w:tr w:rsidR="00C81B24" w:rsidRPr="00C81B24" w:rsidTr="00526AD9">
        <w:trPr>
          <w:trHeight w:val="255"/>
          <w:jc w:val="center"/>
        </w:trPr>
        <w:tc>
          <w:tcPr>
            <w:tcW w:w="554" w:type="dxa"/>
            <w:tcBorders>
              <w:top w:val="nil"/>
              <w:left w:val="single" w:sz="4" w:space="0" w:color="auto"/>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61</w:t>
            </w:r>
          </w:p>
        </w:tc>
        <w:tc>
          <w:tcPr>
            <w:tcW w:w="456" w:type="dxa"/>
            <w:tcBorders>
              <w:top w:val="nil"/>
              <w:left w:val="single" w:sz="4" w:space="0" w:color="auto"/>
              <w:bottom w:val="single" w:sz="4" w:space="0" w:color="auto"/>
              <w:right w:val="single" w:sz="4" w:space="0" w:color="auto"/>
            </w:tcBorders>
            <w:vAlign w:val="center"/>
          </w:tcPr>
          <w:p w:rsidR="00C81B24" w:rsidRPr="00C81B24" w:rsidRDefault="00C81B24" w:rsidP="00CE5850">
            <w:pPr>
              <w:jc w:val="right"/>
              <w:rPr>
                <w:sz w:val="20"/>
              </w:rPr>
            </w:pPr>
            <w:r w:rsidRPr="00C81B24">
              <w:rPr>
                <w:sz w:val="20"/>
              </w:rPr>
              <w:t>39</w:t>
            </w:r>
          </w:p>
        </w:tc>
        <w:tc>
          <w:tcPr>
            <w:tcW w:w="4012" w:type="dxa"/>
            <w:tcBorders>
              <w:top w:val="nil"/>
              <w:left w:val="nil"/>
              <w:bottom w:val="single" w:sz="4" w:space="0" w:color="auto"/>
              <w:right w:val="single" w:sz="4" w:space="0" w:color="auto"/>
            </w:tcBorders>
            <w:vAlign w:val="center"/>
          </w:tcPr>
          <w:p w:rsidR="00C81B24" w:rsidRPr="00C81B24" w:rsidRDefault="00C81B24" w:rsidP="00CE5850">
            <w:pPr>
              <w:rPr>
                <w:sz w:val="20"/>
              </w:rPr>
            </w:pPr>
            <w:r w:rsidRPr="00C81B24">
              <w:rPr>
                <w:sz w:val="20"/>
              </w:rPr>
              <w:t>Columbus, GA-AL</w:t>
            </w:r>
          </w:p>
        </w:tc>
        <w:tc>
          <w:tcPr>
            <w:tcW w:w="1102" w:type="dxa"/>
            <w:tcBorders>
              <w:top w:val="nil"/>
              <w:left w:val="nil"/>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 xml:space="preserve"> 537,726 </w:t>
            </w:r>
          </w:p>
        </w:tc>
        <w:tc>
          <w:tcPr>
            <w:tcW w:w="1155" w:type="dxa"/>
            <w:tcBorders>
              <w:top w:val="nil"/>
              <w:left w:val="nil"/>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 xml:space="preserve"> 540,988 </w:t>
            </w:r>
          </w:p>
        </w:tc>
        <w:tc>
          <w:tcPr>
            <w:tcW w:w="979" w:type="dxa"/>
            <w:tcBorders>
              <w:top w:val="nil"/>
              <w:left w:val="nil"/>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99%</w:t>
            </w:r>
          </w:p>
        </w:tc>
        <w:tc>
          <w:tcPr>
            <w:tcW w:w="635" w:type="dxa"/>
            <w:tcBorders>
              <w:top w:val="nil"/>
              <w:left w:val="nil"/>
              <w:bottom w:val="single" w:sz="4" w:space="0" w:color="auto"/>
              <w:right w:val="single" w:sz="4" w:space="0" w:color="auto"/>
            </w:tcBorders>
            <w:noWrap/>
            <w:vAlign w:val="bottom"/>
          </w:tcPr>
          <w:p w:rsidR="00C81B24" w:rsidRPr="00C81B24" w:rsidRDefault="00C81B24" w:rsidP="00CE5850">
            <w:pPr>
              <w:jc w:val="right"/>
              <w:rPr>
                <w:sz w:val="20"/>
              </w:rPr>
            </w:pPr>
            <w:r w:rsidRPr="00C81B24">
              <w:rPr>
                <w:sz w:val="20"/>
              </w:rPr>
              <w:t>3553</w:t>
            </w:r>
          </w:p>
        </w:tc>
        <w:tc>
          <w:tcPr>
            <w:tcW w:w="536" w:type="dxa"/>
            <w:tcBorders>
              <w:top w:val="nil"/>
              <w:left w:val="nil"/>
              <w:bottom w:val="single" w:sz="4" w:space="0" w:color="auto"/>
              <w:right w:val="single" w:sz="4" w:space="0" w:color="auto"/>
            </w:tcBorders>
            <w:vAlign w:val="bottom"/>
          </w:tcPr>
          <w:p w:rsidR="00C81B24" w:rsidRPr="00C81B24" w:rsidRDefault="00C81B24" w:rsidP="00CE5850">
            <w:pPr>
              <w:autoSpaceDE w:val="0"/>
              <w:autoSpaceDN w:val="0"/>
              <w:adjustRightInd w:val="0"/>
              <w:jc w:val="right"/>
              <w:rPr>
                <w:color w:val="000000"/>
                <w:kern w:val="0"/>
                <w:sz w:val="20"/>
              </w:rPr>
            </w:pPr>
            <w:r w:rsidRPr="00C81B24">
              <w:rPr>
                <w:color w:val="000000"/>
                <w:kern w:val="0"/>
                <w:sz w:val="20"/>
              </w:rPr>
              <w:t>3453</w:t>
            </w:r>
          </w:p>
        </w:tc>
        <w:tc>
          <w:tcPr>
            <w:tcW w:w="736" w:type="dxa"/>
            <w:tcBorders>
              <w:top w:val="nil"/>
              <w:left w:val="nil"/>
              <w:bottom w:val="single" w:sz="4" w:space="0" w:color="auto"/>
              <w:right w:val="single" w:sz="4" w:space="0" w:color="auto"/>
            </w:tcBorders>
            <w:vAlign w:val="bottom"/>
          </w:tcPr>
          <w:p w:rsidR="00C81B24" w:rsidRPr="00C81B24" w:rsidRDefault="00C81B24" w:rsidP="00CE5850">
            <w:pPr>
              <w:jc w:val="right"/>
              <w:rPr>
                <w:color w:val="000000"/>
                <w:sz w:val="20"/>
              </w:rPr>
            </w:pPr>
            <w:r w:rsidRPr="00C81B24">
              <w:rPr>
                <w:color w:val="000000"/>
                <w:sz w:val="20"/>
              </w:rPr>
              <w:t>91.94</w:t>
            </w:r>
          </w:p>
        </w:tc>
      </w:tr>
      <w:tr w:rsidR="00C81B24" w:rsidRPr="00C81B24" w:rsidTr="00526AD9">
        <w:trPr>
          <w:trHeight w:val="255"/>
          <w:jc w:val="center"/>
        </w:trPr>
        <w:tc>
          <w:tcPr>
            <w:tcW w:w="554" w:type="dxa"/>
            <w:tcBorders>
              <w:top w:val="nil"/>
              <w:left w:val="single" w:sz="4" w:space="0" w:color="auto"/>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62</w:t>
            </w:r>
          </w:p>
        </w:tc>
        <w:tc>
          <w:tcPr>
            <w:tcW w:w="456" w:type="dxa"/>
            <w:tcBorders>
              <w:top w:val="nil"/>
              <w:left w:val="single" w:sz="4" w:space="0" w:color="auto"/>
              <w:bottom w:val="single" w:sz="4" w:space="0" w:color="auto"/>
              <w:right w:val="single" w:sz="4" w:space="0" w:color="auto"/>
            </w:tcBorders>
            <w:vAlign w:val="center"/>
          </w:tcPr>
          <w:p w:rsidR="00C81B24" w:rsidRPr="00C81B24" w:rsidRDefault="00C81B24" w:rsidP="00CE5850">
            <w:pPr>
              <w:jc w:val="right"/>
              <w:rPr>
                <w:sz w:val="20"/>
              </w:rPr>
            </w:pPr>
            <w:r w:rsidRPr="00C81B24">
              <w:rPr>
                <w:sz w:val="20"/>
              </w:rPr>
              <w:t>43</w:t>
            </w:r>
          </w:p>
        </w:tc>
        <w:tc>
          <w:tcPr>
            <w:tcW w:w="4012" w:type="dxa"/>
            <w:tcBorders>
              <w:top w:val="nil"/>
              <w:left w:val="nil"/>
              <w:bottom w:val="single" w:sz="4" w:space="0" w:color="auto"/>
              <w:right w:val="single" w:sz="4" w:space="0" w:color="auto"/>
            </w:tcBorders>
            <w:vAlign w:val="center"/>
          </w:tcPr>
          <w:p w:rsidR="00C81B24" w:rsidRPr="00C81B24" w:rsidRDefault="00C81B24" w:rsidP="00CE5850">
            <w:pPr>
              <w:rPr>
                <w:sz w:val="20"/>
              </w:rPr>
            </w:pPr>
            <w:r w:rsidRPr="00C81B24">
              <w:rPr>
                <w:sz w:val="20"/>
              </w:rPr>
              <w:t>Chattanooga, TN-GA</w:t>
            </w:r>
          </w:p>
        </w:tc>
        <w:tc>
          <w:tcPr>
            <w:tcW w:w="1102" w:type="dxa"/>
            <w:tcBorders>
              <w:top w:val="nil"/>
              <w:left w:val="nil"/>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 xml:space="preserve"> 794,677 </w:t>
            </w:r>
          </w:p>
        </w:tc>
        <w:tc>
          <w:tcPr>
            <w:tcW w:w="1155" w:type="dxa"/>
            <w:tcBorders>
              <w:top w:val="nil"/>
              <w:left w:val="nil"/>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 xml:space="preserve"> 804,277 </w:t>
            </w:r>
          </w:p>
        </w:tc>
        <w:tc>
          <w:tcPr>
            <w:tcW w:w="979" w:type="dxa"/>
            <w:tcBorders>
              <w:top w:val="nil"/>
              <w:left w:val="nil"/>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99%</w:t>
            </w:r>
          </w:p>
        </w:tc>
        <w:tc>
          <w:tcPr>
            <w:tcW w:w="635" w:type="dxa"/>
            <w:tcBorders>
              <w:top w:val="nil"/>
              <w:left w:val="nil"/>
              <w:bottom w:val="single" w:sz="4" w:space="0" w:color="auto"/>
              <w:right w:val="single" w:sz="4" w:space="0" w:color="auto"/>
            </w:tcBorders>
            <w:noWrap/>
            <w:vAlign w:val="bottom"/>
          </w:tcPr>
          <w:p w:rsidR="00C81B24" w:rsidRPr="00C81B24" w:rsidRDefault="00C81B24" w:rsidP="00CE5850">
            <w:pPr>
              <w:jc w:val="right"/>
              <w:rPr>
                <w:sz w:val="20"/>
              </w:rPr>
            </w:pPr>
            <w:r w:rsidRPr="00C81B24">
              <w:rPr>
                <w:sz w:val="20"/>
              </w:rPr>
              <w:t>3755</w:t>
            </w:r>
          </w:p>
        </w:tc>
        <w:tc>
          <w:tcPr>
            <w:tcW w:w="536" w:type="dxa"/>
            <w:tcBorders>
              <w:top w:val="nil"/>
              <w:left w:val="nil"/>
              <w:bottom w:val="single" w:sz="4" w:space="0" w:color="auto"/>
              <w:right w:val="single" w:sz="4" w:space="0" w:color="auto"/>
            </w:tcBorders>
            <w:vAlign w:val="bottom"/>
          </w:tcPr>
          <w:p w:rsidR="00C81B24" w:rsidRPr="00C81B24" w:rsidRDefault="00C81B24" w:rsidP="00CE5850">
            <w:pPr>
              <w:autoSpaceDE w:val="0"/>
              <w:autoSpaceDN w:val="0"/>
              <w:adjustRightInd w:val="0"/>
              <w:jc w:val="right"/>
              <w:rPr>
                <w:color w:val="000000"/>
                <w:kern w:val="0"/>
                <w:sz w:val="20"/>
              </w:rPr>
            </w:pPr>
            <w:r w:rsidRPr="00C81B24">
              <w:rPr>
                <w:color w:val="000000"/>
                <w:kern w:val="0"/>
                <w:sz w:val="20"/>
              </w:rPr>
              <w:t>3765</w:t>
            </w:r>
          </w:p>
        </w:tc>
        <w:tc>
          <w:tcPr>
            <w:tcW w:w="736" w:type="dxa"/>
            <w:tcBorders>
              <w:top w:val="nil"/>
              <w:left w:val="nil"/>
              <w:bottom w:val="single" w:sz="4" w:space="0" w:color="auto"/>
              <w:right w:val="single" w:sz="4" w:space="0" w:color="auto"/>
            </w:tcBorders>
            <w:vAlign w:val="bottom"/>
          </w:tcPr>
          <w:p w:rsidR="00C81B24" w:rsidRPr="00C81B24" w:rsidRDefault="00C81B24" w:rsidP="00CE5850">
            <w:pPr>
              <w:jc w:val="right"/>
              <w:rPr>
                <w:color w:val="000000"/>
                <w:sz w:val="20"/>
              </w:rPr>
            </w:pPr>
            <w:r w:rsidRPr="00C81B24">
              <w:rPr>
                <w:color w:val="000000"/>
                <w:sz w:val="20"/>
              </w:rPr>
              <w:t>164.87</w:t>
            </w:r>
          </w:p>
        </w:tc>
      </w:tr>
      <w:tr w:rsidR="00C81B24" w:rsidRPr="00C81B24" w:rsidTr="00526AD9">
        <w:trPr>
          <w:trHeight w:val="255"/>
          <w:jc w:val="center"/>
        </w:trPr>
        <w:tc>
          <w:tcPr>
            <w:tcW w:w="554" w:type="dxa"/>
            <w:tcBorders>
              <w:top w:val="nil"/>
              <w:left w:val="single" w:sz="4" w:space="0" w:color="auto"/>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63</w:t>
            </w:r>
          </w:p>
        </w:tc>
        <w:tc>
          <w:tcPr>
            <w:tcW w:w="456" w:type="dxa"/>
            <w:tcBorders>
              <w:top w:val="nil"/>
              <w:left w:val="single" w:sz="4" w:space="0" w:color="auto"/>
              <w:bottom w:val="single" w:sz="4" w:space="0" w:color="auto"/>
              <w:right w:val="single" w:sz="4" w:space="0" w:color="auto"/>
            </w:tcBorders>
            <w:vAlign w:val="center"/>
          </w:tcPr>
          <w:p w:rsidR="00C81B24" w:rsidRPr="00C81B24" w:rsidRDefault="00C81B24" w:rsidP="00CE5850">
            <w:pPr>
              <w:jc w:val="right"/>
              <w:rPr>
                <w:sz w:val="20"/>
              </w:rPr>
            </w:pPr>
            <w:r w:rsidRPr="00C81B24">
              <w:rPr>
                <w:sz w:val="20"/>
              </w:rPr>
              <w:t>153</w:t>
            </w:r>
          </w:p>
        </w:tc>
        <w:tc>
          <w:tcPr>
            <w:tcW w:w="4012" w:type="dxa"/>
            <w:tcBorders>
              <w:top w:val="nil"/>
              <w:left w:val="nil"/>
              <w:bottom w:val="single" w:sz="4" w:space="0" w:color="auto"/>
              <w:right w:val="single" w:sz="4" w:space="0" w:color="auto"/>
            </w:tcBorders>
            <w:vAlign w:val="center"/>
          </w:tcPr>
          <w:p w:rsidR="00C81B24" w:rsidRPr="00C81B24" w:rsidRDefault="00C81B24" w:rsidP="00CE5850">
            <w:pPr>
              <w:rPr>
                <w:sz w:val="20"/>
                <w:lang w:val="es-ES_tradnl"/>
              </w:rPr>
            </w:pPr>
            <w:r w:rsidRPr="00C81B24">
              <w:rPr>
                <w:sz w:val="20"/>
                <w:lang w:val="es-ES_tradnl"/>
              </w:rPr>
              <w:t>Las Vegas, NV-AZ-UT</w:t>
            </w:r>
          </w:p>
        </w:tc>
        <w:tc>
          <w:tcPr>
            <w:tcW w:w="1102" w:type="dxa"/>
            <w:tcBorders>
              <w:top w:val="nil"/>
              <w:left w:val="nil"/>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 xml:space="preserve">2,392,703 </w:t>
            </w:r>
          </w:p>
        </w:tc>
        <w:tc>
          <w:tcPr>
            <w:tcW w:w="1155" w:type="dxa"/>
            <w:tcBorders>
              <w:top w:val="nil"/>
              <w:left w:val="nil"/>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 xml:space="preserve"> 2,427,997 </w:t>
            </w:r>
          </w:p>
        </w:tc>
        <w:tc>
          <w:tcPr>
            <w:tcW w:w="979" w:type="dxa"/>
            <w:tcBorders>
              <w:top w:val="nil"/>
              <w:left w:val="nil"/>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99%</w:t>
            </w:r>
          </w:p>
        </w:tc>
        <w:tc>
          <w:tcPr>
            <w:tcW w:w="635" w:type="dxa"/>
            <w:tcBorders>
              <w:top w:val="nil"/>
              <w:left w:val="nil"/>
              <w:bottom w:val="single" w:sz="4" w:space="0" w:color="auto"/>
              <w:right w:val="single" w:sz="4" w:space="0" w:color="auto"/>
            </w:tcBorders>
            <w:noWrap/>
            <w:vAlign w:val="bottom"/>
          </w:tcPr>
          <w:p w:rsidR="00C81B24" w:rsidRPr="00C81B24" w:rsidRDefault="00C81B24" w:rsidP="00CE5850">
            <w:pPr>
              <w:jc w:val="right"/>
              <w:rPr>
                <w:sz w:val="20"/>
              </w:rPr>
            </w:pPr>
            <w:r w:rsidRPr="00C81B24">
              <w:rPr>
                <w:sz w:val="20"/>
              </w:rPr>
              <w:t>2139</w:t>
            </w:r>
          </w:p>
        </w:tc>
        <w:tc>
          <w:tcPr>
            <w:tcW w:w="536" w:type="dxa"/>
            <w:tcBorders>
              <w:top w:val="nil"/>
              <w:left w:val="nil"/>
              <w:bottom w:val="single" w:sz="4" w:space="0" w:color="auto"/>
              <w:right w:val="single" w:sz="4" w:space="0" w:color="auto"/>
            </w:tcBorders>
            <w:vAlign w:val="bottom"/>
          </w:tcPr>
          <w:p w:rsidR="00C81B24" w:rsidRPr="00C81B24" w:rsidRDefault="00C81B24" w:rsidP="00CE5850">
            <w:pPr>
              <w:autoSpaceDE w:val="0"/>
              <w:autoSpaceDN w:val="0"/>
              <w:adjustRightInd w:val="0"/>
              <w:jc w:val="right"/>
              <w:rPr>
                <w:color w:val="000000"/>
                <w:kern w:val="0"/>
                <w:sz w:val="20"/>
              </w:rPr>
            </w:pPr>
            <w:r w:rsidRPr="00C81B24">
              <w:rPr>
                <w:color w:val="000000"/>
                <w:kern w:val="0"/>
                <w:sz w:val="20"/>
              </w:rPr>
              <w:t>2139</w:t>
            </w:r>
          </w:p>
        </w:tc>
        <w:tc>
          <w:tcPr>
            <w:tcW w:w="736" w:type="dxa"/>
            <w:tcBorders>
              <w:top w:val="nil"/>
              <w:left w:val="nil"/>
              <w:bottom w:val="single" w:sz="4" w:space="0" w:color="auto"/>
              <w:right w:val="single" w:sz="4" w:space="0" w:color="auto"/>
            </w:tcBorders>
            <w:vAlign w:val="bottom"/>
          </w:tcPr>
          <w:p w:rsidR="00C81B24" w:rsidRPr="00C81B24" w:rsidRDefault="00C81B24" w:rsidP="00CE5850">
            <w:pPr>
              <w:jc w:val="right"/>
              <w:rPr>
                <w:color w:val="000000"/>
                <w:sz w:val="20"/>
              </w:rPr>
            </w:pPr>
            <w:r w:rsidRPr="00C81B24">
              <w:rPr>
                <w:color w:val="000000"/>
                <w:sz w:val="20"/>
              </w:rPr>
              <w:t>33.58</w:t>
            </w:r>
          </w:p>
        </w:tc>
      </w:tr>
      <w:tr w:rsidR="00C81B24" w:rsidRPr="00C81B24" w:rsidTr="00526AD9">
        <w:trPr>
          <w:trHeight w:val="255"/>
          <w:jc w:val="center"/>
        </w:trPr>
        <w:tc>
          <w:tcPr>
            <w:tcW w:w="554" w:type="dxa"/>
            <w:tcBorders>
              <w:top w:val="nil"/>
              <w:left w:val="single" w:sz="4" w:space="0" w:color="auto"/>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64</w:t>
            </w:r>
          </w:p>
        </w:tc>
        <w:tc>
          <w:tcPr>
            <w:tcW w:w="456" w:type="dxa"/>
            <w:tcBorders>
              <w:top w:val="nil"/>
              <w:left w:val="single" w:sz="4" w:space="0" w:color="auto"/>
              <w:bottom w:val="single" w:sz="4" w:space="0" w:color="auto"/>
              <w:right w:val="single" w:sz="4" w:space="0" w:color="auto"/>
            </w:tcBorders>
            <w:vAlign w:val="center"/>
          </w:tcPr>
          <w:p w:rsidR="00C81B24" w:rsidRPr="00C81B24" w:rsidRDefault="00C81B24" w:rsidP="00CE5850">
            <w:pPr>
              <w:jc w:val="right"/>
              <w:rPr>
                <w:sz w:val="20"/>
              </w:rPr>
            </w:pPr>
            <w:r w:rsidRPr="00C81B24">
              <w:rPr>
                <w:sz w:val="20"/>
              </w:rPr>
              <w:t>172</w:t>
            </w:r>
          </w:p>
        </w:tc>
        <w:tc>
          <w:tcPr>
            <w:tcW w:w="4012" w:type="dxa"/>
            <w:tcBorders>
              <w:top w:val="nil"/>
              <w:left w:val="nil"/>
              <w:bottom w:val="single" w:sz="4" w:space="0" w:color="auto"/>
              <w:right w:val="single" w:sz="4" w:space="0" w:color="auto"/>
            </w:tcBorders>
            <w:vAlign w:val="center"/>
          </w:tcPr>
          <w:p w:rsidR="00C81B24" w:rsidRPr="00C81B24" w:rsidRDefault="00C81B24" w:rsidP="00CE5850">
            <w:pPr>
              <w:rPr>
                <w:sz w:val="20"/>
              </w:rPr>
            </w:pPr>
            <w:r w:rsidRPr="00C81B24">
              <w:rPr>
                <w:sz w:val="20"/>
              </w:rPr>
              <w:t>Honolulu, HI</w:t>
            </w:r>
          </w:p>
        </w:tc>
        <w:tc>
          <w:tcPr>
            <w:tcW w:w="1102" w:type="dxa"/>
            <w:tcBorders>
              <w:top w:val="nil"/>
              <w:left w:val="nil"/>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 xml:space="preserve"> 1,360,047 </w:t>
            </w:r>
          </w:p>
        </w:tc>
        <w:tc>
          <w:tcPr>
            <w:tcW w:w="1155" w:type="dxa"/>
            <w:tcBorders>
              <w:top w:val="nil"/>
              <w:left w:val="nil"/>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 xml:space="preserve"> 1,374,810 </w:t>
            </w:r>
          </w:p>
        </w:tc>
        <w:tc>
          <w:tcPr>
            <w:tcW w:w="979" w:type="dxa"/>
            <w:tcBorders>
              <w:top w:val="nil"/>
              <w:left w:val="nil"/>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99%</w:t>
            </w:r>
          </w:p>
        </w:tc>
        <w:tc>
          <w:tcPr>
            <w:tcW w:w="635" w:type="dxa"/>
            <w:tcBorders>
              <w:top w:val="nil"/>
              <w:left w:val="nil"/>
              <w:bottom w:val="single" w:sz="4" w:space="0" w:color="auto"/>
              <w:right w:val="single" w:sz="4" w:space="0" w:color="auto"/>
            </w:tcBorders>
            <w:noWrap/>
            <w:vAlign w:val="bottom"/>
          </w:tcPr>
          <w:p w:rsidR="00C81B24" w:rsidRPr="00C81B24" w:rsidRDefault="00C81B24" w:rsidP="00CE5850">
            <w:pPr>
              <w:jc w:val="right"/>
              <w:rPr>
                <w:sz w:val="20"/>
              </w:rPr>
            </w:pPr>
            <w:r w:rsidRPr="00C81B24">
              <w:rPr>
                <w:sz w:val="20"/>
              </w:rPr>
              <w:t>2497</w:t>
            </w:r>
          </w:p>
        </w:tc>
        <w:tc>
          <w:tcPr>
            <w:tcW w:w="536" w:type="dxa"/>
            <w:tcBorders>
              <w:top w:val="nil"/>
              <w:left w:val="nil"/>
              <w:bottom w:val="single" w:sz="4" w:space="0" w:color="auto"/>
              <w:right w:val="single" w:sz="4" w:space="0" w:color="auto"/>
            </w:tcBorders>
            <w:vAlign w:val="bottom"/>
          </w:tcPr>
          <w:p w:rsidR="00C81B24" w:rsidRPr="00C81B24" w:rsidRDefault="00C81B24" w:rsidP="00CE5850">
            <w:pPr>
              <w:autoSpaceDE w:val="0"/>
              <w:autoSpaceDN w:val="0"/>
              <w:adjustRightInd w:val="0"/>
              <w:jc w:val="right"/>
              <w:rPr>
                <w:color w:val="000000"/>
                <w:kern w:val="0"/>
                <w:sz w:val="20"/>
              </w:rPr>
            </w:pPr>
            <w:r w:rsidRPr="00C81B24">
              <w:rPr>
                <w:color w:val="000000"/>
                <w:kern w:val="0"/>
                <w:sz w:val="20"/>
              </w:rPr>
              <w:t>2435</w:t>
            </w:r>
          </w:p>
        </w:tc>
        <w:tc>
          <w:tcPr>
            <w:tcW w:w="736" w:type="dxa"/>
            <w:tcBorders>
              <w:top w:val="nil"/>
              <w:left w:val="nil"/>
              <w:bottom w:val="single" w:sz="4" w:space="0" w:color="auto"/>
              <w:right w:val="single" w:sz="4" w:space="0" w:color="auto"/>
            </w:tcBorders>
            <w:vAlign w:val="bottom"/>
          </w:tcPr>
          <w:p w:rsidR="00C81B24" w:rsidRPr="00C81B24" w:rsidRDefault="00C81B24" w:rsidP="00CE5850">
            <w:pPr>
              <w:jc w:val="right"/>
              <w:rPr>
                <w:color w:val="000000"/>
                <w:sz w:val="20"/>
              </w:rPr>
            </w:pPr>
            <w:r w:rsidRPr="00C81B24">
              <w:rPr>
                <w:color w:val="000000"/>
                <w:sz w:val="20"/>
              </w:rPr>
              <w:t>211.80</w:t>
            </w:r>
          </w:p>
        </w:tc>
      </w:tr>
      <w:tr w:rsidR="00C81B24" w:rsidRPr="00C81B24" w:rsidTr="00526AD9">
        <w:trPr>
          <w:trHeight w:val="255"/>
          <w:jc w:val="center"/>
        </w:trPr>
        <w:tc>
          <w:tcPr>
            <w:tcW w:w="554" w:type="dxa"/>
            <w:tcBorders>
              <w:top w:val="nil"/>
              <w:left w:val="single" w:sz="4" w:space="0" w:color="auto"/>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65</w:t>
            </w:r>
          </w:p>
        </w:tc>
        <w:tc>
          <w:tcPr>
            <w:tcW w:w="456" w:type="dxa"/>
            <w:tcBorders>
              <w:top w:val="nil"/>
              <w:left w:val="single" w:sz="4" w:space="0" w:color="auto"/>
              <w:bottom w:val="single" w:sz="4" w:space="0" w:color="auto"/>
              <w:right w:val="single" w:sz="4" w:space="0" w:color="auto"/>
            </w:tcBorders>
            <w:vAlign w:val="center"/>
          </w:tcPr>
          <w:p w:rsidR="00C81B24" w:rsidRPr="00C81B24" w:rsidRDefault="00C81B24" w:rsidP="00CE5850">
            <w:pPr>
              <w:jc w:val="right"/>
              <w:rPr>
                <w:sz w:val="20"/>
              </w:rPr>
            </w:pPr>
            <w:r w:rsidRPr="00C81B24">
              <w:rPr>
                <w:sz w:val="20"/>
              </w:rPr>
              <w:t>23</w:t>
            </w:r>
          </w:p>
        </w:tc>
        <w:tc>
          <w:tcPr>
            <w:tcW w:w="4012" w:type="dxa"/>
            <w:tcBorders>
              <w:top w:val="nil"/>
              <w:left w:val="nil"/>
              <w:bottom w:val="single" w:sz="4" w:space="0" w:color="auto"/>
              <w:right w:val="single" w:sz="4" w:space="0" w:color="auto"/>
            </w:tcBorders>
            <w:vAlign w:val="center"/>
          </w:tcPr>
          <w:p w:rsidR="00C81B24" w:rsidRPr="00C81B24" w:rsidRDefault="00C81B24" w:rsidP="00CE5850">
            <w:pPr>
              <w:rPr>
                <w:sz w:val="20"/>
              </w:rPr>
            </w:pPr>
            <w:r w:rsidRPr="00C81B24">
              <w:rPr>
                <w:sz w:val="20"/>
              </w:rPr>
              <w:t>Charlotte-Gastonia-Rock Hill, NC-SC</w:t>
            </w:r>
          </w:p>
        </w:tc>
        <w:tc>
          <w:tcPr>
            <w:tcW w:w="1102" w:type="dxa"/>
            <w:tcBorders>
              <w:top w:val="nil"/>
              <w:left w:val="nil"/>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 xml:space="preserve"> 2,531,358 </w:t>
            </w:r>
          </w:p>
        </w:tc>
        <w:tc>
          <w:tcPr>
            <w:tcW w:w="1155" w:type="dxa"/>
            <w:tcBorders>
              <w:top w:val="nil"/>
              <w:left w:val="nil"/>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 xml:space="preserve"> 2,585,168 </w:t>
            </w:r>
          </w:p>
        </w:tc>
        <w:tc>
          <w:tcPr>
            <w:tcW w:w="979" w:type="dxa"/>
            <w:tcBorders>
              <w:top w:val="nil"/>
              <w:left w:val="nil"/>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98%</w:t>
            </w:r>
          </w:p>
        </w:tc>
        <w:tc>
          <w:tcPr>
            <w:tcW w:w="635" w:type="dxa"/>
            <w:tcBorders>
              <w:top w:val="nil"/>
              <w:left w:val="nil"/>
              <w:bottom w:val="single" w:sz="4" w:space="0" w:color="auto"/>
              <w:right w:val="single" w:sz="4" w:space="0" w:color="auto"/>
            </w:tcBorders>
            <w:noWrap/>
            <w:vAlign w:val="bottom"/>
          </w:tcPr>
          <w:p w:rsidR="00C81B24" w:rsidRPr="00C81B24" w:rsidRDefault="00C81B24" w:rsidP="00CE5850">
            <w:pPr>
              <w:jc w:val="right"/>
              <w:rPr>
                <w:sz w:val="20"/>
              </w:rPr>
            </w:pPr>
            <w:r w:rsidRPr="00C81B24">
              <w:rPr>
                <w:sz w:val="20"/>
              </w:rPr>
              <w:t>3068</w:t>
            </w:r>
          </w:p>
        </w:tc>
        <w:tc>
          <w:tcPr>
            <w:tcW w:w="536" w:type="dxa"/>
            <w:tcBorders>
              <w:top w:val="nil"/>
              <w:left w:val="nil"/>
              <w:bottom w:val="single" w:sz="4" w:space="0" w:color="auto"/>
              <w:right w:val="single" w:sz="4" w:space="0" w:color="auto"/>
            </w:tcBorders>
            <w:vAlign w:val="bottom"/>
          </w:tcPr>
          <w:p w:rsidR="00C81B24" w:rsidRPr="00C81B24" w:rsidRDefault="00C81B24" w:rsidP="00CE5850">
            <w:pPr>
              <w:autoSpaceDE w:val="0"/>
              <w:autoSpaceDN w:val="0"/>
              <w:adjustRightInd w:val="0"/>
              <w:jc w:val="right"/>
              <w:rPr>
                <w:color w:val="000000"/>
                <w:kern w:val="0"/>
                <w:sz w:val="20"/>
              </w:rPr>
            </w:pPr>
            <w:r w:rsidRPr="00C81B24">
              <w:rPr>
                <w:color w:val="000000"/>
                <w:kern w:val="0"/>
                <w:sz w:val="20"/>
              </w:rPr>
              <w:t>3067</w:t>
            </w:r>
          </w:p>
        </w:tc>
        <w:tc>
          <w:tcPr>
            <w:tcW w:w="736" w:type="dxa"/>
            <w:tcBorders>
              <w:top w:val="nil"/>
              <w:left w:val="nil"/>
              <w:bottom w:val="single" w:sz="4" w:space="0" w:color="auto"/>
              <w:right w:val="single" w:sz="4" w:space="0" w:color="auto"/>
            </w:tcBorders>
            <w:vAlign w:val="bottom"/>
          </w:tcPr>
          <w:p w:rsidR="00C81B24" w:rsidRPr="00C81B24" w:rsidRDefault="00C81B24" w:rsidP="00CE5850">
            <w:pPr>
              <w:jc w:val="right"/>
              <w:rPr>
                <w:color w:val="000000"/>
                <w:sz w:val="20"/>
              </w:rPr>
            </w:pPr>
            <w:r w:rsidRPr="00C81B24">
              <w:rPr>
                <w:color w:val="000000"/>
                <w:sz w:val="20"/>
              </w:rPr>
              <w:t>306.74</w:t>
            </w:r>
          </w:p>
        </w:tc>
      </w:tr>
      <w:tr w:rsidR="00C81B24" w:rsidRPr="00C81B24" w:rsidTr="00526AD9">
        <w:trPr>
          <w:trHeight w:val="255"/>
          <w:jc w:val="center"/>
        </w:trPr>
        <w:tc>
          <w:tcPr>
            <w:tcW w:w="554" w:type="dxa"/>
            <w:tcBorders>
              <w:top w:val="nil"/>
              <w:left w:val="single" w:sz="4" w:space="0" w:color="auto"/>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66</w:t>
            </w:r>
          </w:p>
        </w:tc>
        <w:tc>
          <w:tcPr>
            <w:tcW w:w="456" w:type="dxa"/>
            <w:tcBorders>
              <w:top w:val="nil"/>
              <w:left w:val="single" w:sz="4" w:space="0" w:color="auto"/>
              <w:bottom w:val="single" w:sz="4" w:space="0" w:color="auto"/>
              <w:right w:val="single" w:sz="4" w:space="0" w:color="auto"/>
            </w:tcBorders>
            <w:vAlign w:val="center"/>
          </w:tcPr>
          <w:p w:rsidR="00C81B24" w:rsidRPr="00C81B24" w:rsidRDefault="00C81B24" w:rsidP="00CE5850">
            <w:pPr>
              <w:jc w:val="right"/>
              <w:rPr>
                <w:sz w:val="20"/>
              </w:rPr>
            </w:pPr>
            <w:r w:rsidRPr="00C81B24">
              <w:rPr>
                <w:sz w:val="20"/>
              </w:rPr>
              <w:t>29</w:t>
            </w:r>
          </w:p>
        </w:tc>
        <w:tc>
          <w:tcPr>
            <w:tcW w:w="4012" w:type="dxa"/>
            <w:tcBorders>
              <w:top w:val="nil"/>
              <w:left w:val="nil"/>
              <w:bottom w:val="single" w:sz="4" w:space="0" w:color="auto"/>
              <w:right w:val="single" w:sz="4" w:space="0" w:color="auto"/>
            </w:tcBorders>
            <w:vAlign w:val="center"/>
          </w:tcPr>
          <w:p w:rsidR="00C81B24" w:rsidRPr="00C81B24" w:rsidRDefault="00C81B24" w:rsidP="00CE5850">
            <w:pPr>
              <w:rPr>
                <w:sz w:val="20"/>
              </w:rPr>
            </w:pPr>
            <w:r w:rsidRPr="00C81B24">
              <w:rPr>
                <w:sz w:val="20"/>
              </w:rPr>
              <w:t>Jacksonville, FL-GA</w:t>
            </w:r>
          </w:p>
        </w:tc>
        <w:tc>
          <w:tcPr>
            <w:tcW w:w="1102" w:type="dxa"/>
            <w:tcBorders>
              <w:top w:val="nil"/>
              <w:left w:val="nil"/>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 xml:space="preserve"> 2,194,684 </w:t>
            </w:r>
          </w:p>
        </w:tc>
        <w:tc>
          <w:tcPr>
            <w:tcW w:w="1155" w:type="dxa"/>
            <w:tcBorders>
              <w:top w:val="nil"/>
              <w:left w:val="nil"/>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 xml:space="preserve"> 2,235,272 </w:t>
            </w:r>
          </w:p>
        </w:tc>
        <w:tc>
          <w:tcPr>
            <w:tcW w:w="979" w:type="dxa"/>
            <w:tcBorders>
              <w:top w:val="nil"/>
              <w:left w:val="nil"/>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98%</w:t>
            </w:r>
          </w:p>
        </w:tc>
        <w:tc>
          <w:tcPr>
            <w:tcW w:w="635" w:type="dxa"/>
            <w:tcBorders>
              <w:top w:val="nil"/>
              <w:left w:val="nil"/>
              <w:bottom w:val="single" w:sz="4" w:space="0" w:color="auto"/>
              <w:right w:val="single" w:sz="4" w:space="0" w:color="auto"/>
            </w:tcBorders>
            <w:noWrap/>
            <w:vAlign w:val="bottom"/>
          </w:tcPr>
          <w:p w:rsidR="00C81B24" w:rsidRPr="00C81B24" w:rsidRDefault="00C81B24" w:rsidP="00CE5850">
            <w:pPr>
              <w:jc w:val="right"/>
              <w:rPr>
                <w:sz w:val="20"/>
              </w:rPr>
            </w:pPr>
            <w:r w:rsidRPr="00C81B24">
              <w:rPr>
                <w:sz w:val="20"/>
              </w:rPr>
              <w:t>2440</w:t>
            </w:r>
          </w:p>
        </w:tc>
        <w:tc>
          <w:tcPr>
            <w:tcW w:w="536" w:type="dxa"/>
            <w:tcBorders>
              <w:top w:val="nil"/>
              <w:left w:val="nil"/>
              <w:bottom w:val="single" w:sz="4" w:space="0" w:color="auto"/>
              <w:right w:val="single" w:sz="4" w:space="0" w:color="auto"/>
            </w:tcBorders>
            <w:vAlign w:val="bottom"/>
          </w:tcPr>
          <w:p w:rsidR="00C81B24" w:rsidRPr="00C81B24" w:rsidRDefault="00C81B24" w:rsidP="00CE5850">
            <w:pPr>
              <w:autoSpaceDE w:val="0"/>
              <w:autoSpaceDN w:val="0"/>
              <w:adjustRightInd w:val="0"/>
              <w:jc w:val="right"/>
              <w:rPr>
                <w:color w:val="000000"/>
                <w:kern w:val="0"/>
                <w:sz w:val="20"/>
              </w:rPr>
            </w:pPr>
            <w:r w:rsidRPr="00C81B24">
              <w:rPr>
                <w:color w:val="000000"/>
                <w:kern w:val="0"/>
                <w:sz w:val="20"/>
              </w:rPr>
              <w:t>2395</w:t>
            </w:r>
          </w:p>
        </w:tc>
        <w:tc>
          <w:tcPr>
            <w:tcW w:w="736" w:type="dxa"/>
            <w:tcBorders>
              <w:top w:val="nil"/>
              <w:left w:val="nil"/>
              <w:bottom w:val="single" w:sz="4" w:space="0" w:color="auto"/>
              <w:right w:val="single" w:sz="4" w:space="0" w:color="auto"/>
            </w:tcBorders>
            <w:vAlign w:val="bottom"/>
          </w:tcPr>
          <w:p w:rsidR="00C81B24" w:rsidRPr="00C81B24" w:rsidRDefault="00C81B24" w:rsidP="00CE5850">
            <w:pPr>
              <w:jc w:val="right"/>
              <w:rPr>
                <w:color w:val="000000"/>
                <w:sz w:val="20"/>
              </w:rPr>
            </w:pPr>
            <w:r w:rsidRPr="00C81B24">
              <w:rPr>
                <w:color w:val="000000"/>
                <w:sz w:val="20"/>
              </w:rPr>
              <w:t>139.32</w:t>
            </w:r>
          </w:p>
        </w:tc>
      </w:tr>
      <w:tr w:rsidR="00C81B24" w:rsidRPr="00C81B24" w:rsidTr="00526AD9">
        <w:trPr>
          <w:trHeight w:val="255"/>
          <w:jc w:val="center"/>
        </w:trPr>
        <w:tc>
          <w:tcPr>
            <w:tcW w:w="554" w:type="dxa"/>
            <w:tcBorders>
              <w:top w:val="nil"/>
              <w:left w:val="single" w:sz="4" w:space="0" w:color="auto"/>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67</w:t>
            </w:r>
          </w:p>
        </w:tc>
        <w:tc>
          <w:tcPr>
            <w:tcW w:w="456" w:type="dxa"/>
            <w:tcBorders>
              <w:top w:val="nil"/>
              <w:left w:val="single" w:sz="4" w:space="0" w:color="auto"/>
              <w:bottom w:val="single" w:sz="4" w:space="0" w:color="auto"/>
              <w:right w:val="single" w:sz="4" w:space="0" w:color="auto"/>
            </w:tcBorders>
            <w:vAlign w:val="center"/>
          </w:tcPr>
          <w:p w:rsidR="00C81B24" w:rsidRPr="00C81B24" w:rsidRDefault="00C81B24" w:rsidP="00CE5850">
            <w:pPr>
              <w:jc w:val="right"/>
              <w:rPr>
                <w:sz w:val="20"/>
              </w:rPr>
            </w:pPr>
            <w:r w:rsidRPr="00C81B24">
              <w:rPr>
                <w:sz w:val="20"/>
              </w:rPr>
              <w:t>42</w:t>
            </w:r>
          </w:p>
        </w:tc>
        <w:tc>
          <w:tcPr>
            <w:tcW w:w="4012" w:type="dxa"/>
            <w:tcBorders>
              <w:top w:val="nil"/>
              <w:left w:val="nil"/>
              <w:bottom w:val="single" w:sz="4" w:space="0" w:color="auto"/>
              <w:right w:val="single" w:sz="4" w:space="0" w:color="auto"/>
            </w:tcBorders>
            <w:vAlign w:val="center"/>
          </w:tcPr>
          <w:p w:rsidR="00C81B24" w:rsidRPr="00C81B24" w:rsidRDefault="00C81B24" w:rsidP="00CE5850">
            <w:pPr>
              <w:rPr>
                <w:sz w:val="20"/>
              </w:rPr>
            </w:pPr>
            <w:r w:rsidRPr="00C81B24">
              <w:rPr>
                <w:sz w:val="20"/>
              </w:rPr>
              <w:t>Asheville, NC</w:t>
            </w:r>
          </w:p>
        </w:tc>
        <w:tc>
          <w:tcPr>
            <w:tcW w:w="1102" w:type="dxa"/>
            <w:tcBorders>
              <w:top w:val="nil"/>
              <w:left w:val="nil"/>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 xml:space="preserve"> 503,922 </w:t>
            </w:r>
          </w:p>
        </w:tc>
        <w:tc>
          <w:tcPr>
            <w:tcW w:w="1155" w:type="dxa"/>
            <w:tcBorders>
              <w:top w:val="nil"/>
              <w:left w:val="nil"/>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 xml:space="preserve"> 516,165 </w:t>
            </w:r>
          </w:p>
        </w:tc>
        <w:tc>
          <w:tcPr>
            <w:tcW w:w="979" w:type="dxa"/>
            <w:tcBorders>
              <w:top w:val="nil"/>
              <w:left w:val="nil"/>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98%</w:t>
            </w:r>
          </w:p>
        </w:tc>
        <w:tc>
          <w:tcPr>
            <w:tcW w:w="635" w:type="dxa"/>
            <w:tcBorders>
              <w:top w:val="nil"/>
              <w:left w:val="nil"/>
              <w:bottom w:val="single" w:sz="4" w:space="0" w:color="auto"/>
              <w:right w:val="single" w:sz="4" w:space="0" w:color="auto"/>
            </w:tcBorders>
            <w:noWrap/>
            <w:vAlign w:val="bottom"/>
          </w:tcPr>
          <w:p w:rsidR="00C81B24" w:rsidRPr="00C81B24" w:rsidRDefault="00C81B24" w:rsidP="00CE5850">
            <w:pPr>
              <w:jc w:val="right"/>
              <w:rPr>
                <w:sz w:val="20"/>
              </w:rPr>
            </w:pPr>
            <w:r w:rsidRPr="00C81B24">
              <w:rPr>
                <w:sz w:val="20"/>
              </w:rPr>
              <w:t>4357</w:t>
            </w:r>
          </w:p>
        </w:tc>
        <w:tc>
          <w:tcPr>
            <w:tcW w:w="536" w:type="dxa"/>
            <w:tcBorders>
              <w:top w:val="nil"/>
              <w:left w:val="nil"/>
              <w:bottom w:val="single" w:sz="4" w:space="0" w:color="auto"/>
              <w:right w:val="single" w:sz="4" w:space="0" w:color="auto"/>
            </w:tcBorders>
            <w:vAlign w:val="bottom"/>
          </w:tcPr>
          <w:p w:rsidR="00C81B24" w:rsidRPr="00C81B24" w:rsidRDefault="00C81B24" w:rsidP="00CE5850">
            <w:pPr>
              <w:autoSpaceDE w:val="0"/>
              <w:autoSpaceDN w:val="0"/>
              <w:adjustRightInd w:val="0"/>
              <w:jc w:val="right"/>
              <w:rPr>
                <w:color w:val="000000"/>
                <w:kern w:val="0"/>
                <w:sz w:val="20"/>
              </w:rPr>
            </w:pPr>
            <w:r w:rsidRPr="00C81B24">
              <w:rPr>
                <w:color w:val="000000"/>
                <w:kern w:val="0"/>
                <w:sz w:val="20"/>
              </w:rPr>
              <w:t>4337</w:t>
            </w:r>
          </w:p>
        </w:tc>
        <w:tc>
          <w:tcPr>
            <w:tcW w:w="736" w:type="dxa"/>
            <w:tcBorders>
              <w:top w:val="nil"/>
              <w:left w:val="nil"/>
              <w:bottom w:val="single" w:sz="4" w:space="0" w:color="auto"/>
              <w:right w:val="single" w:sz="4" w:space="0" w:color="auto"/>
            </w:tcBorders>
            <w:vAlign w:val="bottom"/>
          </w:tcPr>
          <w:p w:rsidR="00C81B24" w:rsidRPr="00C81B24" w:rsidRDefault="00C81B24" w:rsidP="00CE5850">
            <w:pPr>
              <w:jc w:val="right"/>
              <w:rPr>
                <w:color w:val="000000"/>
                <w:sz w:val="20"/>
              </w:rPr>
            </w:pPr>
            <w:r w:rsidRPr="00C81B24">
              <w:rPr>
                <w:color w:val="000000"/>
                <w:sz w:val="20"/>
              </w:rPr>
              <w:t>149.32</w:t>
            </w:r>
          </w:p>
        </w:tc>
      </w:tr>
      <w:tr w:rsidR="00C81B24" w:rsidRPr="00C81B24" w:rsidTr="00526AD9">
        <w:trPr>
          <w:trHeight w:val="255"/>
          <w:jc w:val="center"/>
        </w:trPr>
        <w:tc>
          <w:tcPr>
            <w:tcW w:w="554" w:type="dxa"/>
            <w:tcBorders>
              <w:top w:val="nil"/>
              <w:left w:val="single" w:sz="4" w:space="0" w:color="auto"/>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68</w:t>
            </w:r>
          </w:p>
        </w:tc>
        <w:tc>
          <w:tcPr>
            <w:tcW w:w="456" w:type="dxa"/>
            <w:tcBorders>
              <w:top w:val="nil"/>
              <w:left w:val="single" w:sz="4" w:space="0" w:color="auto"/>
              <w:bottom w:val="single" w:sz="4" w:space="0" w:color="auto"/>
              <w:right w:val="single" w:sz="4" w:space="0" w:color="auto"/>
            </w:tcBorders>
            <w:vAlign w:val="center"/>
          </w:tcPr>
          <w:p w:rsidR="00C81B24" w:rsidRPr="00C81B24" w:rsidRDefault="00C81B24" w:rsidP="00CE5850">
            <w:pPr>
              <w:jc w:val="right"/>
              <w:rPr>
                <w:sz w:val="20"/>
              </w:rPr>
            </w:pPr>
            <w:r w:rsidRPr="00C81B24">
              <w:rPr>
                <w:sz w:val="20"/>
              </w:rPr>
              <w:t>48</w:t>
            </w:r>
          </w:p>
        </w:tc>
        <w:tc>
          <w:tcPr>
            <w:tcW w:w="4012" w:type="dxa"/>
            <w:tcBorders>
              <w:top w:val="nil"/>
              <w:left w:val="nil"/>
              <w:bottom w:val="single" w:sz="4" w:space="0" w:color="auto"/>
              <w:right w:val="single" w:sz="4" w:space="0" w:color="auto"/>
            </w:tcBorders>
            <w:vAlign w:val="center"/>
          </w:tcPr>
          <w:p w:rsidR="00C81B24" w:rsidRPr="00C81B24" w:rsidRDefault="00C81B24" w:rsidP="00CE5850">
            <w:pPr>
              <w:rPr>
                <w:sz w:val="20"/>
              </w:rPr>
            </w:pPr>
            <w:r w:rsidRPr="00C81B24">
              <w:rPr>
                <w:sz w:val="20"/>
              </w:rPr>
              <w:t>Charleston, WV-KY-OH</w:t>
            </w:r>
          </w:p>
        </w:tc>
        <w:tc>
          <w:tcPr>
            <w:tcW w:w="1102" w:type="dxa"/>
            <w:tcBorders>
              <w:top w:val="nil"/>
              <w:left w:val="nil"/>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 xml:space="preserve"> 1,169,639 </w:t>
            </w:r>
          </w:p>
        </w:tc>
        <w:tc>
          <w:tcPr>
            <w:tcW w:w="1155" w:type="dxa"/>
            <w:tcBorders>
              <w:top w:val="nil"/>
              <w:left w:val="nil"/>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 xml:space="preserve"> 1,189,978 </w:t>
            </w:r>
          </w:p>
        </w:tc>
        <w:tc>
          <w:tcPr>
            <w:tcW w:w="979" w:type="dxa"/>
            <w:tcBorders>
              <w:top w:val="nil"/>
              <w:left w:val="nil"/>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98%</w:t>
            </w:r>
          </w:p>
        </w:tc>
        <w:tc>
          <w:tcPr>
            <w:tcW w:w="635" w:type="dxa"/>
            <w:tcBorders>
              <w:top w:val="nil"/>
              <w:left w:val="nil"/>
              <w:bottom w:val="single" w:sz="4" w:space="0" w:color="auto"/>
              <w:right w:val="single" w:sz="4" w:space="0" w:color="auto"/>
            </w:tcBorders>
            <w:noWrap/>
            <w:vAlign w:val="bottom"/>
          </w:tcPr>
          <w:p w:rsidR="00C81B24" w:rsidRPr="00C81B24" w:rsidRDefault="00C81B24" w:rsidP="00CE5850">
            <w:pPr>
              <w:jc w:val="right"/>
              <w:rPr>
                <w:sz w:val="20"/>
              </w:rPr>
            </w:pPr>
            <w:r w:rsidRPr="00C81B24">
              <w:rPr>
                <w:sz w:val="20"/>
              </w:rPr>
              <w:t>3618</w:t>
            </w:r>
          </w:p>
        </w:tc>
        <w:tc>
          <w:tcPr>
            <w:tcW w:w="536" w:type="dxa"/>
            <w:tcBorders>
              <w:top w:val="nil"/>
              <w:left w:val="nil"/>
              <w:bottom w:val="single" w:sz="4" w:space="0" w:color="auto"/>
              <w:right w:val="single" w:sz="4" w:space="0" w:color="auto"/>
            </w:tcBorders>
            <w:vAlign w:val="bottom"/>
          </w:tcPr>
          <w:p w:rsidR="00C81B24" w:rsidRPr="00C81B24" w:rsidRDefault="00C81B24" w:rsidP="00CE5850">
            <w:pPr>
              <w:autoSpaceDE w:val="0"/>
              <w:autoSpaceDN w:val="0"/>
              <w:adjustRightInd w:val="0"/>
              <w:jc w:val="right"/>
              <w:rPr>
                <w:color w:val="000000"/>
                <w:kern w:val="0"/>
                <w:sz w:val="20"/>
              </w:rPr>
            </w:pPr>
            <w:r w:rsidRPr="00C81B24">
              <w:rPr>
                <w:color w:val="000000"/>
                <w:kern w:val="0"/>
                <w:sz w:val="20"/>
              </w:rPr>
              <w:t>3675</w:t>
            </w:r>
          </w:p>
        </w:tc>
        <w:tc>
          <w:tcPr>
            <w:tcW w:w="736" w:type="dxa"/>
            <w:tcBorders>
              <w:top w:val="nil"/>
              <w:left w:val="nil"/>
              <w:bottom w:val="single" w:sz="4" w:space="0" w:color="auto"/>
              <w:right w:val="single" w:sz="4" w:space="0" w:color="auto"/>
            </w:tcBorders>
            <w:vAlign w:val="bottom"/>
          </w:tcPr>
          <w:p w:rsidR="00C81B24" w:rsidRPr="00C81B24" w:rsidRDefault="00C81B24" w:rsidP="00CE5850">
            <w:pPr>
              <w:jc w:val="right"/>
              <w:rPr>
                <w:color w:val="000000"/>
                <w:sz w:val="20"/>
              </w:rPr>
            </w:pPr>
            <w:r w:rsidRPr="00C81B24">
              <w:rPr>
                <w:color w:val="000000"/>
                <w:sz w:val="20"/>
              </w:rPr>
              <w:t>85.66</w:t>
            </w:r>
          </w:p>
        </w:tc>
      </w:tr>
      <w:tr w:rsidR="00C81B24" w:rsidRPr="00C81B24" w:rsidTr="00526AD9">
        <w:trPr>
          <w:trHeight w:val="255"/>
          <w:jc w:val="center"/>
        </w:trPr>
        <w:tc>
          <w:tcPr>
            <w:tcW w:w="554" w:type="dxa"/>
            <w:tcBorders>
              <w:top w:val="nil"/>
              <w:left w:val="single" w:sz="4" w:space="0" w:color="auto"/>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69</w:t>
            </w:r>
          </w:p>
        </w:tc>
        <w:tc>
          <w:tcPr>
            <w:tcW w:w="456" w:type="dxa"/>
            <w:tcBorders>
              <w:top w:val="nil"/>
              <w:left w:val="single" w:sz="4" w:space="0" w:color="auto"/>
              <w:bottom w:val="single" w:sz="4" w:space="0" w:color="auto"/>
              <w:right w:val="single" w:sz="4" w:space="0" w:color="auto"/>
            </w:tcBorders>
            <w:vAlign w:val="center"/>
          </w:tcPr>
          <w:p w:rsidR="00C81B24" w:rsidRPr="00C81B24" w:rsidRDefault="00C81B24" w:rsidP="00CE5850">
            <w:pPr>
              <w:jc w:val="right"/>
              <w:rPr>
                <w:sz w:val="20"/>
              </w:rPr>
            </w:pPr>
            <w:r w:rsidRPr="00C81B24">
              <w:rPr>
                <w:sz w:val="20"/>
              </w:rPr>
              <w:t>56</w:t>
            </w:r>
          </w:p>
        </w:tc>
        <w:tc>
          <w:tcPr>
            <w:tcW w:w="4012" w:type="dxa"/>
            <w:tcBorders>
              <w:top w:val="nil"/>
              <w:left w:val="nil"/>
              <w:bottom w:val="single" w:sz="4" w:space="0" w:color="auto"/>
              <w:right w:val="single" w:sz="4" w:space="0" w:color="auto"/>
            </w:tcBorders>
            <w:vAlign w:val="center"/>
          </w:tcPr>
          <w:p w:rsidR="00C81B24" w:rsidRPr="00C81B24" w:rsidRDefault="00C81B24" w:rsidP="00CE5850">
            <w:pPr>
              <w:rPr>
                <w:sz w:val="20"/>
              </w:rPr>
            </w:pPr>
            <w:r w:rsidRPr="00C81B24">
              <w:rPr>
                <w:sz w:val="20"/>
              </w:rPr>
              <w:t>Toledo, OH</w:t>
            </w:r>
          </w:p>
        </w:tc>
        <w:tc>
          <w:tcPr>
            <w:tcW w:w="1102" w:type="dxa"/>
            <w:tcBorders>
              <w:top w:val="nil"/>
              <w:left w:val="nil"/>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 xml:space="preserve"> 1,250,542 </w:t>
            </w:r>
          </w:p>
        </w:tc>
        <w:tc>
          <w:tcPr>
            <w:tcW w:w="1155" w:type="dxa"/>
            <w:tcBorders>
              <w:top w:val="nil"/>
              <w:left w:val="nil"/>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 xml:space="preserve"> 1,276,867 </w:t>
            </w:r>
          </w:p>
        </w:tc>
        <w:tc>
          <w:tcPr>
            <w:tcW w:w="979" w:type="dxa"/>
            <w:tcBorders>
              <w:top w:val="nil"/>
              <w:left w:val="nil"/>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98%</w:t>
            </w:r>
          </w:p>
        </w:tc>
        <w:tc>
          <w:tcPr>
            <w:tcW w:w="635" w:type="dxa"/>
            <w:tcBorders>
              <w:top w:val="nil"/>
              <w:left w:val="nil"/>
              <w:bottom w:val="single" w:sz="4" w:space="0" w:color="auto"/>
              <w:right w:val="single" w:sz="4" w:space="0" w:color="auto"/>
            </w:tcBorders>
            <w:noWrap/>
            <w:vAlign w:val="bottom"/>
          </w:tcPr>
          <w:p w:rsidR="00C81B24" w:rsidRPr="00C81B24" w:rsidRDefault="00C81B24" w:rsidP="00CE5850">
            <w:pPr>
              <w:jc w:val="right"/>
              <w:rPr>
                <w:sz w:val="20"/>
              </w:rPr>
            </w:pPr>
            <w:r w:rsidRPr="00C81B24">
              <w:rPr>
                <w:sz w:val="20"/>
              </w:rPr>
              <w:t>4847</w:t>
            </w:r>
          </w:p>
        </w:tc>
        <w:tc>
          <w:tcPr>
            <w:tcW w:w="536" w:type="dxa"/>
            <w:tcBorders>
              <w:top w:val="nil"/>
              <w:left w:val="nil"/>
              <w:bottom w:val="single" w:sz="4" w:space="0" w:color="auto"/>
              <w:right w:val="single" w:sz="4" w:space="0" w:color="auto"/>
            </w:tcBorders>
            <w:vAlign w:val="bottom"/>
          </w:tcPr>
          <w:p w:rsidR="00C81B24" w:rsidRPr="00C81B24" w:rsidRDefault="00C81B24" w:rsidP="00CE5850">
            <w:pPr>
              <w:autoSpaceDE w:val="0"/>
              <w:autoSpaceDN w:val="0"/>
              <w:adjustRightInd w:val="0"/>
              <w:jc w:val="right"/>
              <w:rPr>
                <w:color w:val="000000"/>
                <w:kern w:val="0"/>
                <w:sz w:val="20"/>
              </w:rPr>
            </w:pPr>
            <w:r w:rsidRPr="00C81B24">
              <w:rPr>
                <w:color w:val="000000"/>
                <w:kern w:val="0"/>
                <w:sz w:val="20"/>
              </w:rPr>
              <w:t>4833</w:t>
            </w:r>
          </w:p>
        </w:tc>
        <w:tc>
          <w:tcPr>
            <w:tcW w:w="736" w:type="dxa"/>
            <w:tcBorders>
              <w:top w:val="nil"/>
              <w:left w:val="nil"/>
              <w:bottom w:val="single" w:sz="4" w:space="0" w:color="auto"/>
              <w:right w:val="single" w:sz="4" w:space="0" w:color="auto"/>
            </w:tcBorders>
            <w:vAlign w:val="bottom"/>
          </w:tcPr>
          <w:p w:rsidR="00C81B24" w:rsidRPr="00C81B24" w:rsidRDefault="00C81B24" w:rsidP="00CE5850">
            <w:pPr>
              <w:jc w:val="right"/>
              <w:rPr>
                <w:color w:val="000000"/>
                <w:sz w:val="20"/>
              </w:rPr>
            </w:pPr>
            <w:r w:rsidRPr="00C81B24">
              <w:rPr>
                <w:color w:val="000000"/>
                <w:sz w:val="20"/>
              </w:rPr>
              <w:t>163.83</w:t>
            </w:r>
          </w:p>
        </w:tc>
      </w:tr>
      <w:tr w:rsidR="00C81B24" w:rsidRPr="00C81B24" w:rsidTr="00526AD9">
        <w:trPr>
          <w:trHeight w:val="255"/>
          <w:jc w:val="center"/>
        </w:trPr>
        <w:tc>
          <w:tcPr>
            <w:tcW w:w="554" w:type="dxa"/>
            <w:tcBorders>
              <w:top w:val="nil"/>
              <w:left w:val="single" w:sz="4" w:space="0" w:color="auto"/>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70</w:t>
            </w:r>
          </w:p>
        </w:tc>
        <w:tc>
          <w:tcPr>
            <w:tcW w:w="456" w:type="dxa"/>
            <w:tcBorders>
              <w:top w:val="nil"/>
              <w:left w:val="single" w:sz="4" w:space="0" w:color="auto"/>
              <w:bottom w:val="single" w:sz="4" w:space="0" w:color="auto"/>
              <w:right w:val="single" w:sz="4" w:space="0" w:color="auto"/>
            </w:tcBorders>
            <w:vAlign w:val="center"/>
          </w:tcPr>
          <w:p w:rsidR="00C81B24" w:rsidRPr="00C81B24" w:rsidRDefault="00C81B24" w:rsidP="00CE5850">
            <w:pPr>
              <w:jc w:val="right"/>
              <w:rPr>
                <w:sz w:val="20"/>
              </w:rPr>
            </w:pPr>
            <w:r w:rsidRPr="00C81B24">
              <w:rPr>
                <w:sz w:val="20"/>
              </w:rPr>
              <w:t>107</w:t>
            </w:r>
          </w:p>
        </w:tc>
        <w:tc>
          <w:tcPr>
            <w:tcW w:w="4012" w:type="dxa"/>
            <w:tcBorders>
              <w:top w:val="nil"/>
              <w:left w:val="nil"/>
              <w:bottom w:val="single" w:sz="4" w:space="0" w:color="auto"/>
              <w:right w:val="single" w:sz="4" w:space="0" w:color="auto"/>
            </w:tcBorders>
            <w:vAlign w:val="center"/>
          </w:tcPr>
          <w:p w:rsidR="00C81B24" w:rsidRPr="00C81B24" w:rsidRDefault="00C81B24" w:rsidP="00CE5850">
            <w:pPr>
              <w:rPr>
                <w:sz w:val="20"/>
              </w:rPr>
            </w:pPr>
            <w:r w:rsidRPr="00C81B24">
              <w:rPr>
                <w:sz w:val="20"/>
              </w:rPr>
              <w:t>Minneapolis-St. Paul, MN-WI-IA</w:t>
            </w:r>
          </w:p>
        </w:tc>
        <w:tc>
          <w:tcPr>
            <w:tcW w:w="1102" w:type="dxa"/>
            <w:tcBorders>
              <w:top w:val="nil"/>
              <w:left w:val="nil"/>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 xml:space="preserve"> 4,814,650 </w:t>
            </w:r>
          </w:p>
        </w:tc>
        <w:tc>
          <w:tcPr>
            <w:tcW w:w="1155" w:type="dxa"/>
            <w:tcBorders>
              <w:top w:val="nil"/>
              <w:left w:val="nil"/>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 xml:space="preserve"> 4,935,666 </w:t>
            </w:r>
          </w:p>
        </w:tc>
        <w:tc>
          <w:tcPr>
            <w:tcW w:w="979" w:type="dxa"/>
            <w:tcBorders>
              <w:top w:val="nil"/>
              <w:left w:val="nil"/>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98%</w:t>
            </w:r>
          </w:p>
        </w:tc>
        <w:tc>
          <w:tcPr>
            <w:tcW w:w="635" w:type="dxa"/>
            <w:tcBorders>
              <w:top w:val="nil"/>
              <w:left w:val="nil"/>
              <w:bottom w:val="single" w:sz="4" w:space="0" w:color="auto"/>
              <w:right w:val="single" w:sz="4" w:space="0" w:color="auto"/>
            </w:tcBorders>
            <w:noWrap/>
            <w:vAlign w:val="bottom"/>
          </w:tcPr>
          <w:p w:rsidR="00C81B24" w:rsidRPr="00C81B24" w:rsidRDefault="00C81B24" w:rsidP="00CE5850">
            <w:pPr>
              <w:jc w:val="right"/>
              <w:rPr>
                <w:sz w:val="20"/>
              </w:rPr>
            </w:pPr>
            <w:r w:rsidRPr="00C81B24">
              <w:rPr>
                <w:sz w:val="20"/>
              </w:rPr>
              <w:t>2815</w:t>
            </w:r>
          </w:p>
        </w:tc>
        <w:tc>
          <w:tcPr>
            <w:tcW w:w="536" w:type="dxa"/>
            <w:tcBorders>
              <w:top w:val="nil"/>
              <w:left w:val="nil"/>
              <w:bottom w:val="single" w:sz="4" w:space="0" w:color="auto"/>
              <w:right w:val="single" w:sz="4" w:space="0" w:color="auto"/>
            </w:tcBorders>
            <w:vAlign w:val="bottom"/>
          </w:tcPr>
          <w:p w:rsidR="00C81B24" w:rsidRPr="00C81B24" w:rsidRDefault="00C81B24" w:rsidP="00CE5850">
            <w:pPr>
              <w:autoSpaceDE w:val="0"/>
              <w:autoSpaceDN w:val="0"/>
              <w:adjustRightInd w:val="0"/>
              <w:jc w:val="right"/>
              <w:rPr>
                <w:color w:val="000000"/>
                <w:kern w:val="0"/>
                <w:sz w:val="20"/>
              </w:rPr>
            </w:pPr>
            <w:r w:rsidRPr="00C81B24">
              <w:rPr>
                <w:color w:val="000000"/>
                <w:kern w:val="0"/>
                <w:sz w:val="20"/>
              </w:rPr>
              <w:t>2776</w:t>
            </w:r>
          </w:p>
        </w:tc>
        <w:tc>
          <w:tcPr>
            <w:tcW w:w="736" w:type="dxa"/>
            <w:tcBorders>
              <w:top w:val="nil"/>
              <w:left w:val="nil"/>
              <w:bottom w:val="single" w:sz="4" w:space="0" w:color="auto"/>
              <w:right w:val="single" w:sz="4" w:space="0" w:color="auto"/>
            </w:tcBorders>
            <w:vAlign w:val="bottom"/>
          </w:tcPr>
          <w:p w:rsidR="00C81B24" w:rsidRPr="00C81B24" w:rsidRDefault="00C81B24" w:rsidP="00CE5850">
            <w:pPr>
              <w:jc w:val="right"/>
              <w:rPr>
                <w:color w:val="000000"/>
                <w:sz w:val="20"/>
              </w:rPr>
            </w:pPr>
            <w:r w:rsidRPr="00C81B24">
              <w:rPr>
                <w:color w:val="000000"/>
                <w:sz w:val="20"/>
              </w:rPr>
              <w:t>95.22</w:t>
            </w:r>
          </w:p>
        </w:tc>
      </w:tr>
      <w:tr w:rsidR="00C81B24" w:rsidRPr="00C81B24" w:rsidTr="00526AD9">
        <w:trPr>
          <w:trHeight w:val="255"/>
          <w:jc w:val="center"/>
        </w:trPr>
        <w:tc>
          <w:tcPr>
            <w:tcW w:w="554" w:type="dxa"/>
            <w:tcBorders>
              <w:top w:val="nil"/>
              <w:left w:val="single" w:sz="4" w:space="0" w:color="auto"/>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71</w:t>
            </w:r>
          </w:p>
        </w:tc>
        <w:tc>
          <w:tcPr>
            <w:tcW w:w="456" w:type="dxa"/>
            <w:tcBorders>
              <w:top w:val="nil"/>
              <w:left w:val="single" w:sz="4" w:space="0" w:color="auto"/>
              <w:bottom w:val="single" w:sz="4" w:space="0" w:color="auto"/>
              <w:right w:val="single" w:sz="4" w:space="0" w:color="auto"/>
            </w:tcBorders>
            <w:vAlign w:val="center"/>
          </w:tcPr>
          <w:p w:rsidR="00C81B24" w:rsidRPr="00C81B24" w:rsidRDefault="00C81B24" w:rsidP="00CE5850">
            <w:pPr>
              <w:jc w:val="right"/>
              <w:rPr>
                <w:sz w:val="20"/>
              </w:rPr>
            </w:pPr>
            <w:r w:rsidRPr="00C81B24">
              <w:rPr>
                <w:sz w:val="20"/>
              </w:rPr>
              <w:t>152</w:t>
            </w:r>
          </w:p>
        </w:tc>
        <w:tc>
          <w:tcPr>
            <w:tcW w:w="4012" w:type="dxa"/>
            <w:tcBorders>
              <w:top w:val="nil"/>
              <w:left w:val="nil"/>
              <w:bottom w:val="single" w:sz="4" w:space="0" w:color="auto"/>
              <w:right w:val="single" w:sz="4" w:space="0" w:color="auto"/>
            </w:tcBorders>
            <w:vAlign w:val="center"/>
          </w:tcPr>
          <w:p w:rsidR="00C81B24" w:rsidRPr="00C81B24" w:rsidRDefault="00C81B24" w:rsidP="00CE5850">
            <w:pPr>
              <w:rPr>
                <w:sz w:val="20"/>
                <w:lang w:val="sv-SE"/>
              </w:rPr>
            </w:pPr>
            <w:r w:rsidRPr="00C81B24">
              <w:rPr>
                <w:sz w:val="20"/>
                <w:lang w:val="sv-SE"/>
              </w:rPr>
              <w:t>Salt Lake City-Ogden, UT-ID</w:t>
            </w:r>
          </w:p>
        </w:tc>
        <w:tc>
          <w:tcPr>
            <w:tcW w:w="1102" w:type="dxa"/>
            <w:tcBorders>
              <w:top w:val="nil"/>
              <w:left w:val="nil"/>
              <w:bottom w:val="single" w:sz="4" w:space="0" w:color="auto"/>
              <w:right w:val="single" w:sz="4" w:space="0" w:color="auto"/>
            </w:tcBorders>
            <w:vAlign w:val="bottom"/>
          </w:tcPr>
          <w:p w:rsidR="00C81B24" w:rsidRPr="00C81B24" w:rsidRDefault="00C81B24" w:rsidP="00CE5850">
            <w:pPr>
              <w:jc w:val="right"/>
              <w:rPr>
                <w:sz w:val="20"/>
              </w:rPr>
            </w:pPr>
            <w:r w:rsidRPr="00C81B24">
              <w:rPr>
                <w:sz w:val="20"/>
                <w:lang w:val="sv-SE"/>
              </w:rPr>
              <w:t xml:space="preserve"> </w:t>
            </w:r>
            <w:r w:rsidRPr="00C81B24">
              <w:rPr>
                <w:sz w:val="20"/>
              </w:rPr>
              <w:t xml:space="preserve">2,547,432 </w:t>
            </w:r>
          </w:p>
        </w:tc>
        <w:tc>
          <w:tcPr>
            <w:tcW w:w="1155" w:type="dxa"/>
            <w:tcBorders>
              <w:top w:val="nil"/>
              <w:left w:val="nil"/>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 xml:space="preserve"> 2,607,105 </w:t>
            </w:r>
          </w:p>
        </w:tc>
        <w:tc>
          <w:tcPr>
            <w:tcW w:w="979" w:type="dxa"/>
            <w:tcBorders>
              <w:top w:val="nil"/>
              <w:left w:val="nil"/>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98%</w:t>
            </w:r>
          </w:p>
        </w:tc>
        <w:tc>
          <w:tcPr>
            <w:tcW w:w="635" w:type="dxa"/>
            <w:tcBorders>
              <w:top w:val="nil"/>
              <w:left w:val="nil"/>
              <w:bottom w:val="single" w:sz="4" w:space="0" w:color="auto"/>
              <w:right w:val="single" w:sz="4" w:space="0" w:color="auto"/>
            </w:tcBorders>
            <w:noWrap/>
            <w:vAlign w:val="bottom"/>
          </w:tcPr>
          <w:p w:rsidR="00C81B24" w:rsidRPr="00C81B24" w:rsidRDefault="00C81B24" w:rsidP="00CE5850">
            <w:pPr>
              <w:jc w:val="right"/>
              <w:rPr>
                <w:sz w:val="20"/>
              </w:rPr>
            </w:pPr>
            <w:r w:rsidRPr="00C81B24">
              <w:rPr>
                <w:sz w:val="20"/>
              </w:rPr>
              <w:t>2460</w:t>
            </w:r>
          </w:p>
        </w:tc>
        <w:tc>
          <w:tcPr>
            <w:tcW w:w="536" w:type="dxa"/>
            <w:tcBorders>
              <w:top w:val="nil"/>
              <w:left w:val="nil"/>
              <w:bottom w:val="single" w:sz="4" w:space="0" w:color="auto"/>
              <w:right w:val="single" w:sz="4" w:space="0" w:color="auto"/>
            </w:tcBorders>
            <w:vAlign w:val="bottom"/>
          </w:tcPr>
          <w:p w:rsidR="00C81B24" w:rsidRPr="00C81B24" w:rsidRDefault="00C81B24" w:rsidP="00CE5850">
            <w:pPr>
              <w:autoSpaceDE w:val="0"/>
              <w:autoSpaceDN w:val="0"/>
              <w:adjustRightInd w:val="0"/>
              <w:jc w:val="right"/>
              <w:rPr>
                <w:color w:val="000000"/>
                <w:kern w:val="0"/>
                <w:sz w:val="20"/>
              </w:rPr>
            </w:pPr>
            <w:r w:rsidRPr="00C81B24">
              <w:rPr>
                <w:color w:val="000000"/>
                <w:kern w:val="0"/>
                <w:sz w:val="20"/>
              </w:rPr>
              <w:t>2453</w:t>
            </w:r>
          </w:p>
        </w:tc>
        <w:tc>
          <w:tcPr>
            <w:tcW w:w="736" w:type="dxa"/>
            <w:tcBorders>
              <w:top w:val="nil"/>
              <w:left w:val="nil"/>
              <w:bottom w:val="single" w:sz="4" w:space="0" w:color="auto"/>
              <w:right w:val="single" w:sz="4" w:space="0" w:color="auto"/>
            </w:tcBorders>
            <w:vAlign w:val="bottom"/>
          </w:tcPr>
          <w:p w:rsidR="00C81B24" w:rsidRPr="00C81B24" w:rsidRDefault="00C81B24" w:rsidP="00CE5850">
            <w:pPr>
              <w:jc w:val="right"/>
              <w:rPr>
                <w:color w:val="000000"/>
                <w:sz w:val="20"/>
              </w:rPr>
            </w:pPr>
            <w:r w:rsidRPr="00C81B24">
              <w:rPr>
                <w:color w:val="000000"/>
                <w:sz w:val="20"/>
              </w:rPr>
              <w:t>45.48</w:t>
            </w:r>
          </w:p>
        </w:tc>
      </w:tr>
      <w:tr w:rsidR="00C81B24" w:rsidRPr="00C81B24" w:rsidTr="00526AD9">
        <w:trPr>
          <w:trHeight w:val="255"/>
          <w:jc w:val="center"/>
        </w:trPr>
        <w:tc>
          <w:tcPr>
            <w:tcW w:w="554" w:type="dxa"/>
            <w:tcBorders>
              <w:top w:val="nil"/>
              <w:left w:val="single" w:sz="4" w:space="0" w:color="auto"/>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72</w:t>
            </w:r>
          </w:p>
        </w:tc>
        <w:tc>
          <w:tcPr>
            <w:tcW w:w="456" w:type="dxa"/>
            <w:tcBorders>
              <w:top w:val="nil"/>
              <w:left w:val="single" w:sz="4" w:space="0" w:color="auto"/>
              <w:bottom w:val="single" w:sz="4" w:space="0" w:color="auto"/>
              <w:right w:val="single" w:sz="4" w:space="0" w:color="auto"/>
            </w:tcBorders>
            <w:vAlign w:val="center"/>
          </w:tcPr>
          <w:p w:rsidR="00C81B24" w:rsidRPr="00C81B24" w:rsidRDefault="00C81B24" w:rsidP="00CE5850">
            <w:pPr>
              <w:jc w:val="right"/>
              <w:rPr>
                <w:sz w:val="20"/>
              </w:rPr>
            </w:pPr>
            <w:r w:rsidRPr="00C81B24">
              <w:rPr>
                <w:sz w:val="20"/>
              </w:rPr>
              <w:t>163</w:t>
            </w:r>
          </w:p>
        </w:tc>
        <w:tc>
          <w:tcPr>
            <w:tcW w:w="4012" w:type="dxa"/>
            <w:tcBorders>
              <w:top w:val="nil"/>
              <w:left w:val="nil"/>
              <w:bottom w:val="single" w:sz="4" w:space="0" w:color="auto"/>
              <w:right w:val="single" w:sz="4" w:space="0" w:color="auto"/>
            </w:tcBorders>
            <w:vAlign w:val="center"/>
          </w:tcPr>
          <w:p w:rsidR="00C81B24" w:rsidRPr="00C81B24" w:rsidRDefault="00C81B24" w:rsidP="00CE5850">
            <w:pPr>
              <w:rPr>
                <w:sz w:val="20"/>
              </w:rPr>
            </w:pPr>
            <w:r w:rsidRPr="00C81B24">
              <w:rPr>
                <w:sz w:val="20"/>
              </w:rPr>
              <w:t>San Francisco-Oakland-San Jose, CA</w:t>
            </w:r>
          </w:p>
        </w:tc>
        <w:tc>
          <w:tcPr>
            <w:tcW w:w="1102" w:type="dxa"/>
            <w:tcBorders>
              <w:top w:val="nil"/>
              <w:left w:val="nil"/>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 xml:space="preserve"> 9,660,732 </w:t>
            </w:r>
          </w:p>
        </w:tc>
        <w:tc>
          <w:tcPr>
            <w:tcW w:w="1155" w:type="dxa"/>
            <w:tcBorders>
              <w:top w:val="nil"/>
              <w:left w:val="nil"/>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 xml:space="preserve"> 9,878,548 </w:t>
            </w:r>
          </w:p>
        </w:tc>
        <w:tc>
          <w:tcPr>
            <w:tcW w:w="979" w:type="dxa"/>
            <w:tcBorders>
              <w:top w:val="nil"/>
              <w:left w:val="nil"/>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98%</w:t>
            </w:r>
          </w:p>
        </w:tc>
        <w:tc>
          <w:tcPr>
            <w:tcW w:w="635" w:type="dxa"/>
            <w:tcBorders>
              <w:top w:val="nil"/>
              <w:left w:val="nil"/>
              <w:bottom w:val="single" w:sz="4" w:space="0" w:color="auto"/>
              <w:right w:val="single" w:sz="4" w:space="0" w:color="auto"/>
            </w:tcBorders>
            <w:noWrap/>
            <w:vAlign w:val="bottom"/>
          </w:tcPr>
          <w:p w:rsidR="00C81B24" w:rsidRPr="00C81B24" w:rsidRDefault="00C81B24" w:rsidP="00CE5850">
            <w:pPr>
              <w:jc w:val="right"/>
              <w:rPr>
                <w:sz w:val="20"/>
              </w:rPr>
            </w:pPr>
            <w:r w:rsidRPr="00C81B24">
              <w:rPr>
                <w:sz w:val="20"/>
              </w:rPr>
              <w:t>2720</w:t>
            </w:r>
          </w:p>
        </w:tc>
        <w:tc>
          <w:tcPr>
            <w:tcW w:w="536" w:type="dxa"/>
            <w:tcBorders>
              <w:top w:val="nil"/>
              <w:left w:val="nil"/>
              <w:bottom w:val="single" w:sz="4" w:space="0" w:color="auto"/>
              <w:right w:val="single" w:sz="4" w:space="0" w:color="auto"/>
            </w:tcBorders>
            <w:vAlign w:val="bottom"/>
          </w:tcPr>
          <w:p w:rsidR="00C81B24" w:rsidRPr="00C81B24" w:rsidRDefault="00C81B24" w:rsidP="00CE5850">
            <w:pPr>
              <w:autoSpaceDE w:val="0"/>
              <w:autoSpaceDN w:val="0"/>
              <w:adjustRightInd w:val="0"/>
              <w:jc w:val="right"/>
              <w:rPr>
                <w:color w:val="000000"/>
                <w:kern w:val="0"/>
                <w:sz w:val="20"/>
              </w:rPr>
            </w:pPr>
            <w:r w:rsidRPr="00C81B24">
              <w:rPr>
                <w:color w:val="000000"/>
                <w:kern w:val="0"/>
                <w:sz w:val="20"/>
              </w:rPr>
              <w:t>2706</w:t>
            </w:r>
          </w:p>
        </w:tc>
        <w:tc>
          <w:tcPr>
            <w:tcW w:w="736" w:type="dxa"/>
            <w:tcBorders>
              <w:top w:val="nil"/>
              <w:left w:val="nil"/>
              <w:bottom w:val="single" w:sz="4" w:space="0" w:color="auto"/>
              <w:right w:val="single" w:sz="4" w:space="0" w:color="auto"/>
            </w:tcBorders>
            <w:vAlign w:val="bottom"/>
          </w:tcPr>
          <w:p w:rsidR="00C81B24" w:rsidRPr="00C81B24" w:rsidRDefault="00C81B24" w:rsidP="00CE5850">
            <w:pPr>
              <w:jc w:val="right"/>
              <w:rPr>
                <w:color w:val="000000"/>
                <w:sz w:val="20"/>
              </w:rPr>
            </w:pPr>
            <w:r w:rsidRPr="00C81B24">
              <w:rPr>
                <w:color w:val="000000"/>
                <w:sz w:val="20"/>
              </w:rPr>
              <w:t>295.35</w:t>
            </w:r>
          </w:p>
        </w:tc>
      </w:tr>
      <w:tr w:rsidR="00C81B24" w:rsidRPr="00C81B24" w:rsidTr="00526AD9">
        <w:trPr>
          <w:trHeight w:val="255"/>
          <w:jc w:val="center"/>
        </w:trPr>
        <w:tc>
          <w:tcPr>
            <w:tcW w:w="554" w:type="dxa"/>
            <w:tcBorders>
              <w:top w:val="nil"/>
              <w:left w:val="single" w:sz="4" w:space="0" w:color="auto"/>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73</w:t>
            </w:r>
          </w:p>
        </w:tc>
        <w:tc>
          <w:tcPr>
            <w:tcW w:w="456" w:type="dxa"/>
            <w:tcBorders>
              <w:top w:val="nil"/>
              <w:left w:val="single" w:sz="4" w:space="0" w:color="auto"/>
              <w:bottom w:val="single" w:sz="4" w:space="0" w:color="auto"/>
              <w:right w:val="single" w:sz="4" w:space="0" w:color="auto"/>
            </w:tcBorders>
            <w:vAlign w:val="center"/>
          </w:tcPr>
          <w:p w:rsidR="00C81B24" w:rsidRPr="00C81B24" w:rsidRDefault="00C81B24" w:rsidP="00CE5850">
            <w:pPr>
              <w:jc w:val="right"/>
              <w:rPr>
                <w:sz w:val="20"/>
              </w:rPr>
            </w:pPr>
            <w:r w:rsidRPr="00C81B24">
              <w:rPr>
                <w:sz w:val="20"/>
              </w:rPr>
              <w:t>18</w:t>
            </w:r>
          </w:p>
        </w:tc>
        <w:tc>
          <w:tcPr>
            <w:tcW w:w="4012" w:type="dxa"/>
            <w:tcBorders>
              <w:top w:val="nil"/>
              <w:left w:val="nil"/>
              <w:bottom w:val="single" w:sz="4" w:space="0" w:color="auto"/>
              <w:right w:val="single" w:sz="4" w:space="0" w:color="auto"/>
            </w:tcBorders>
            <w:vAlign w:val="center"/>
          </w:tcPr>
          <w:p w:rsidR="00C81B24" w:rsidRPr="00C81B24" w:rsidRDefault="00C81B24" w:rsidP="00CE5850">
            <w:pPr>
              <w:rPr>
                <w:sz w:val="20"/>
              </w:rPr>
            </w:pPr>
            <w:r w:rsidRPr="00C81B24">
              <w:rPr>
                <w:sz w:val="20"/>
              </w:rPr>
              <w:t>Greensboro-Winston-Salem-High Point, NC-VA</w:t>
            </w:r>
          </w:p>
        </w:tc>
        <w:tc>
          <w:tcPr>
            <w:tcW w:w="1102" w:type="dxa"/>
            <w:tcBorders>
              <w:top w:val="nil"/>
              <w:left w:val="nil"/>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 xml:space="preserve"> 1,985,653 </w:t>
            </w:r>
          </w:p>
        </w:tc>
        <w:tc>
          <w:tcPr>
            <w:tcW w:w="1155" w:type="dxa"/>
            <w:tcBorders>
              <w:top w:val="nil"/>
              <w:left w:val="nil"/>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 xml:space="preserve"> 2,050,096 </w:t>
            </w:r>
          </w:p>
        </w:tc>
        <w:tc>
          <w:tcPr>
            <w:tcW w:w="979" w:type="dxa"/>
            <w:tcBorders>
              <w:top w:val="nil"/>
              <w:left w:val="nil"/>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97%</w:t>
            </w:r>
          </w:p>
        </w:tc>
        <w:tc>
          <w:tcPr>
            <w:tcW w:w="635" w:type="dxa"/>
            <w:tcBorders>
              <w:top w:val="nil"/>
              <w:left w:val="nil"/>
              <w:bottom w:val="single" w:sz="4" w:space="0" w:color="auto"/>
              <w:right w:val="single" w:sz="4" w:space="0" w:color="auto"/>
            </w:tcBorders>
            <w:noWrap/>
            <w:vAlign w:val="bottom"/>
          </w:tcPr>
          <w:p w:rsidR="00C81B24" w:rsidRPr="00C81B24" w:rsidRDefault="00C81B24" w:rsidP="00CE5850">
            <w:pPr>
              <w:jc w:val="right"/>
              <w:rPr>
                <w:sz w:val="20"/>
              </w:rPr>
            </w:pPr>
            <w:r w:rsidRPr="00C81B24">
              <w:rPr>
                <w:sz w:val="20"/>
              </w:rPr>
              <w:t>2770</w:t>
            </w:r>
          </w:p>
        </w:tc>
        <w:tc>
          <w:tcPr>
            <w:tcW w:w="536" w:type="dxa"/>
            <w:tcBorders>
              <w:top w:val="nil"/>
              <w:left w:val="nil"/>
              <w:bottom w:val="single" w:sz="4" w:space="0" w:color="auto"/>
              <w:right w:val="single" w:sz="4" w:space="0" w:color="auto"/>
            </w:tcBorders>
            <w:vAlign w:val="bottom"/>
          </w:tcPr>
          <w:p w:rsidR="00C81B24" w:rsidRPr="00C81B24" w:rsidRDefault="00C81B24" w:rsidP="00CE5850">
            <w:pPr>
              <w:autoSpaceDE w:val="0"/>
              <w:autoSpaceDN w:val="0"/>
              <w:adjustRightInd w:val="0"/>
              <w:jc w:val="right"/>
              <w:rPr>
                <w:color w:val="000000"/>
                <w:kern w:val="0"/>
                <w:sz w:val="20"/>
              </w:rPr>
            </w:pPr>
            <w:r w:rsidRPr="00C81B24">
              <w:rPr>
                <w:color w:val="000000"/>
                <w:kern w:val="0"/>
                <w:sz w:val="20"/>
              </w:rPr>
              <w:t>2839</w:t>
            </w:r>
          </w:p>
        </w:tc>
        <w:tc>
          <w:tcPr>
            <w:tcW w:w="736" w:type="dxa"/>
            <w:tcBorders>
              <w:top w:val="nil"/>
              <w:left w:val="nil"/>
              <w:bottom w:val="single" w:sz="4" w:space="0" w:color="auto"/>
              <w:right w:val="single" w:sz="4" w:space="0" w:color="auto"/>
            </w:tcBorders>
            <w:vAlign w:val="bottom"/>
          </w:tcPr>
          <w:p w:rsidR="00C81B24" w:rsidRPr="00C81B24" w:rsidRDefault="00C81B24" w:rsidP="00CE5850">
            <w:pPr>
              <w:jc w:val="right"/>
              <w:rPr>
                <w:color w:val="000000"/>
                <w:sz w:val="20"/>
              </w:rPr>
            </w:pPr>
            <w:r w:rsidRPr="00C81B24">
              <w:rPr>
                <w:color w:val="000000"/>
                <w:sz w:val="20"/>
              </w:rPr>
              <w:t>210.33</w:t>
            </w:r>
          </w:p>
        </w:tc>
      </w:tr>
      <w:tr w:rsidR="00C81B24" w:rsidRPr="00C81B24" w:rsidTr="00526AD9">
        <w:trPr>
          <w:trHeight w:val="255"/>
          <w:jc w:val="center"/>
        </w:trPr>
        <w:tc>
          <w:tcPr>
            <w:tcW w:w="554" w:type="dxa"/>
            <w:tcBorders>
              <w:top w:val="nil"/>
              <w:left w:val="single" w:sz="4" w:space="0" w:color="auto"/>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74</w:t>
            </w:r>
          </w:p>
        </w:tc>
        <w:tc>
          <w:tcPr>
            <w:tcW w:w="456" w:type="dxa"/>
            <w:tcBorders>
              <w:top w:val="nil"/>
              <w:left w:val="single" w:sz="4" w:space="0" w:color="auto"/>
              <w:bottom w:val="single" w:sz="4" w:space="0" w:color="auto"/>
              <w:right w:val="single" w:sz="4" w:space="0" w:color="auto"/>
            </w:tcBorders>
            <w:vAlign w:val="center"/>
          </w:tcPr>
          <w:p w:rsidR="00C81B24" w:rsidRPr="00C81B24" w:rsidRDefault="00C81B24" w:rsidP="00CE5850">
            <w:pPr>
              <w:jc w:val="right"/>
              <w:rPr>
                <w:sz w:val="20"/>
              </w:rPr>
            </w:pPr>
            <w:r w:rsidRPr="00C81B24">
              <w:rPr>
                <w:sz w:val="20"/>
              </w:rPr>
              <w:t>63</w:t>
            </w:r>
          </w:p>
        </w:tc>
        <w:tc>
          <w:tcPr>
            <w:tcW w:w="4012" w:type="dxa"/>
            <w:tcBorders>
              <w:top w:val="nil"/>
              <w:left w:val="nil"/>
              <w:bottom w:val="single" w:sz="4" w:space="0" w:color="auto"/>
              <w:right w:val="single" w:sz="4" w:space="0" w:color="auto"/>
            </w:tcBorders>
            <w:vAlign w:val="center"/>
          </w:tcPr>
          <w:p w:rsidR="00C81B24" w:rsidRPr="00C81B24" w:rsidRDefault="00C81B24" w:rsidP="00CE5850">
            <w:pPr>
              <w:rPr>
                <w:sz w:val="20"/>
              </w:rPr>
            </w:pPr>
            <w:r w:rsidRPr="00C81B24">
              <w:rPr>
                <w:sz w:val="20"/>
              </w:rPr>
              <w:t>Milwaukee-Racine, WI</w:t>
            </w:r>
          </w:p>
        </w:tc>
        <w:tc>
          <w:tcPr>
            <w:tcW w:w="1102" w:type="dxa"/>
            <w:tcBorders>
              <w:top w:val="nil"/>
              <w:left w:val="nil"/>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 xml:space="preserve"> 2,277,706 </w:t>
            </w:r>
          </w:p>
        </w:tc>
        <w:tc>
          <w:tcPr>
            <w:tcW w:w="1155" w:type="dxa"/>
            <w:tcBorders>
              <w:top w:val="nil"/>
              <w:left w:val="nil"/>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 xml:space="preserve"> 2,350,437 </w:t>
            </w:r>
          </w:p>
        </w:tc>
        <w:tc>
          <w:tcPr>
            <w:tcW w:w="979" w:type="dxa"/>
            <w:tcBorders>
              <w:top w:val="nil"/>
              <w:left w:val="nil"/>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97%</w:t>
            </w:r>
          </w:p>
        </w:tc>
        <w:tc>
          <w:tcPr>
            <w:tcW w:w="635" w:type="dxa"/>
            <w:tcBorders>
              <w:top w:val="nil"/>
              <w:left w:val="nil"/>
              <w:bottom w:val="single" w:sz="4" w:space="0" w:color="auto"/>
              <w:right w:val="single" w:sz="4" w:space="0" w:color="auto"/>
            </w:tcBorders>
            <w:noWrap/>
            <w:vAlign w:val="bottom"/>
          </w:tcPr>
          <w:p w:rsidR="00C81B24" w:rsidRPr="00C81B24" w:rsidRDefault="00C81B24" w:rsidP="00CE5850">
            <w:pPr>
              <w:jc w:val="right"/>
              <w:rPr>
                <w:sz w:val="20"/>
              </w:rPr>
            </w:pPr>
            <w:r w:rsidRPr="00C81B24">
              <w:rPr>
                <w:sz w:val="20"/>
              </w:rPr>
              <w:t>2119</w:t>
            </w:r>
          </w:p>
        </w:tc>
        <w:tc>
          <w:tcPr>
            <w:tcW w:w="536" w:type="dxa"/>
            <w:tcBorders>
              <w:top w:val="nil"/>
              <w:left w:val="nil"/>
              <w:bottom w:val="single" w:sz="4" w:space="0" w:color="auto"/>
              <w:right w:val="single" w:sz="4" w:space="0" w:color="auto"/>
            </w:tcBorders>
            <w:vAlign w:val="bottom"/>
          </w:tcPr>
          <w:p w:rsidR="00C81B24" w:rsidRPr="00C81B24" w:rsidRDefault="00C81B24" w:rsidP="00CE5850">
            <w:pPr>
              <w:autoSpaceDE w:val="0"/>
              <w:autoSpaceDN w:val="0"/>
              <w:adjustRightInd w:val="0"/>
              <w:jc w:val="right"/>
              <w:rPr>
                <w:color w:val="000000"/>
                <w:kern w:val="0"/>
                <w:sz w:val="20"/>
              </w:rPr>
            </w:pPr>
            <w:r w:rsidRPr="00C81B24">
              <w:rPr>
                <w:color w:val="000000"/>
                <w:kern w:val="0"/>
                <w:sz w:val="20"/>
              </w:rPr>
              <w:t>2115</w:t>
            </w:r>
          </w:p>
        </w:tc>
        <w:tc>
          <w:tcPr>
            <w:tcW w:w="736" w:type="dxa"/>
            <w:tcBorders>
              <w:top w:val="nil"/>
              <w:left w:val="nil"/>
              <w:bottom w:val="single" w:sz="4" w:space="0" w:color="auto"/>
              <w:right w:val="single" w:sz="4" w:space="0" w:color="auto"/>
            </w:tcBorders>
            <w:vAlign w:val="bottom"/>
          </w:tcPr>
          <w:p w:rsidR="00C81B24" w:rsidRPr="00C81B24" w:rsidRDefault="00C81B24" w:rsidP="00CE5850">
            <w:pPr>
              <w:jc w:val="right"/>
              <w:rPr>
                <w:color w:val="000000"/>
                <w:sz w:val="20"/>
              </w:rPr>
            </w:pPr>
            <w:r w:rsidRPr="00C81B24">
              <w:rPr>
                <w:color w:val="000000"/>
                <w:sz w:val="20"/>
              </w:rPr>
              <w:t>394.30</w:t>
            </w:r>
          </w:p>
        </w:tc>
      </w:tr>
      <w:tr w:rsidR="00C81B24" w:rsidRPr="00C81B24" w:rsidTr="00526AD9">
        <w:trPr>
          <w:trHeight w:val="255"/>
          <w:jc w:val="center"/>
        </w:trPr>
        <w:tc>
          <w:tcPr>
            <w:tcW w:w="554" w:type="dxa"/>
            <w:tcBorders>
              <w:top w:val="nil"/>
              <w:left w:val="single" w:sz="4" w:space="0" w:color="auto"/>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75</w:t>
            </w:r>
          </w:p>
        </w:tc>
        <w:tc>
          <w:tcPr>
            <w:tcW w:w="456" w:type="dxa"/>
            <w:tcBorders>
              <w:top w:val="nil"/>
              <w:left w:val="single" w:sz="4" w:space="0" w:color="auto"/>
              <w:bottom w:val="single" w:sz="4" w:space="0" w:color="auto"/>
              <w:right w:val="single" w:sz="4" w:space="0" w:color="auto"/>
            </w:tcBorders>
            <w:vAlign w:val="center"/>
          </w:tcPr>
          <w:p w:rsidR="00C81B24" w:rsidRPr="00C81B24" w:rsidRDefault="00C81B24" w:rsidP="00CE5850">
            <w:pPr>
              <w:jc w:val="right"/>
              <w:rPr>
                <w:sz w:val="20"/>
              </w:rPr>
            </w:pPr>
            <w:r w:rsidRPr="00C81B24">
              <w:rPr>
                <w:sz w:val="20"/>
              </w:rPr>
              <w:t>75</w:t>
            </w:r>
          </w:p>
        </w:tc>
        <w:tc>
          <w:tcPr>
            <w:tcW w:w="4012" w:type="dxa"/>
            <w:tcBorders>
              <w:top w:val="nil"/>
              <w:left w:val="nil"/>
              <w:bottom w:val="single" w:sz="4" w:space="0" w:color="auto"/>
              <w:right w:val="single" w:sz="4" w:space="0" w:color="auto"/>
            </w:tcBorders>
            <w:vAlign w:val="center"/>
          </w:tcPr>
          <w:p w:rsidR="00C81B24" w:rsidRPr="00C81B24" w:rsidRDefault="00C81B24" w:rsidP="00CE5850">
            <w:pPr>
              <w:rPr>
                <w:sz w:val="20"/>
              </w:rPr>
            </w:pPr>
            <w:r w:rsidRPr="00C81B24">
              <w:rPr>
                <w:sz w:val="20"/>
              </w:rPr>
              <w:t>Tupelo, MS-AL-TN</w:t>
            </w:r>
          </w:p>
        </w:tc>
        <w:tc>
          <w:tcPr>
            <w:tcW w:w="1102" w:type="dxa"/>
            <w:tcBorders>
              <w:top w:val="nil"/>
              <w:left w:val="nil"/>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 xml:space="preserve"> 615,545 </w:t>
            </w:r>
          </w:p>
        </w:tc>
        <w:tc>
          <w:tcPr>
            <w:tcW w:w="1155" w:type="dxa"/>
            <w:tcBorders>
              <w:top w:val="nil"/>
              <w:left w:val="nil"/>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 xml:space="preserve"> 632,748 </w:t>
            </w:r>
          </w:p>
        </w:tc>
        <w:tc>
          <w:tcPr>
            <w:tcW w:w="979" w:type="dxa"/>
            <w:tcBorders>
              <w:top w:val="nil"/>
              <w:left w:val="nil"/>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97%</w:t>
            </w:r>
          </w:p>
        </w:tc>
        <w:tc>
          <w:tcPr>
            <w:tcW w:w="635" w:type="dxa"/>
            <w:tcBorders>
              <w:top w:val="nil"/>
              <w:left w:val="nil"/>
              <w:bottom w:val="single" w:sz="4" w:space="0" w:color="auto"/>
              <w:right w:val="single" w:sz="4" w:space="0" w:color="auto"/>
            </w:tcBorders>
            <w:noWrap/>
            <w:vAlign w:val="bottom"/>
          </w:tcPr>
          <w:p w:rsidR="00C81B24" w:rsidRPr="00C81B24" w:rsidRDefault="00C81B24" w:rsidP="00CE5850">
            <w:pPr>
              <w:jc w:val="right"/>
              <w:rPr>
                <w:sz w:val="20"/>
              </w:rPr>
            </w:pPr>
            <w:r w:rsidRPr="00C81B24">
              <w:rPr>
                <w:sz w:val="20"/>
              </w:rPr>
              <w:t>4375</w:t>
            </w:r>
          </w:p>
        </w:tc>
        <w:tc>
          <w:tcPr>
            <w:tcW w:w="536" w:type="dxa"/>
            <w:tcBorders>
              <w:top w:val="nil"/>
              <w:left w:val="nil"/>
              <w:bottom w:val="single" w:sz="4" w:space="0" w:color="auto"/>
              <w:right w:val="single" w:sz="4" w:space="0" w:color="auto"/>
            </w:tcBorders>
            <w:vAlign w:val="bottom"/>
          </w:tcPr>
          <w:p w:rsidR="00C81B24" w:rsidRPr="00C81B24" w:rsidRDefault="00C81B24" w:rsidP="00CE5850">
            <w:pPr>
              <w:autoSpaceDE w:val="0"/>
              <w:autoSpaceDN w:val="0"/>
              <w:adjustRightInd w:val="0"/>
              <w:jc w:val="right"/>
              <w:rPr>
                <w:color w:val="000000"/>
                <w:kern w:val="0"/>
                <w:sz w:val="20"/>
              </w:rPr>
            </w:pPr>
            <w:r w:rsidRPr="00C81B24">
              <w:rPr>
                <w:color w:val="000000"/>
                <w:kern w:val="0"/>
                <w:sz w:val="20"/>
              </w:rPr>
              <w:t>4923</w:t>
            </w:r>
          </w:p>
        </w:tc>
        <w:tc>
          <w:tcPr>
            <w:tcW w:w="736" w:type="dxa"/>
            <w:tcBorders>
              <w:top w:val="nil"/>
              <w:left w:val="nil"/>
              <w:bottom w:val="single" w:sz="4" w:space="0" w:color="auto"/>
              <w:right w:val="single" w:sz="4" w:space="0" w:color="auto"/>
            </w:tcBorders>
            <w:vAlign w:val="bottom"/>
          </w:tcPr>
          <w:p w:rsidR="00C81B24" w:rsidRPr="00C81B24" w:rsidRDefault="00C81B24" w:rsidP="00CE5850">
            <w:pPr>
              <w:jc w:val="right"/>
              <w:rPr>
                <w:color w:val="000000"/>
                <w:sz w:val="20"/>
              </w:rPr>
            </w:pPr>
            <w:r w:rsidRPr="00C81B24">
              <w:rPr>
                <w:color w:val="000000"/>
                <w:sz w:val="20"/>
              </w:rPr>
              <w:t>51.04</w:t>
            </w:r>
          </w:p>
        </w:tc>
      </w:tr>
      <w:tr w:rsidR="00C81B24" w:rsidRPr="00C81B24" w:rsidTr="00526AD9">
        <w:trPr>
          <w:trHeight w:val="255"/>
          <w:jc w:val="center"/>
        </w:trPr>
        <w:tc>
          <w:tcPr>
            <w:tcW w:w="554" w:type="dxa"/>
            <w:tcBorders>
              <w:top w:val="nil"/>
              <w:left w:val="single" w:sz="4" w:space="0" w:color="auto"/>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76</w:t>
            </w:r>
          </w:p>
        </w:tc>
        <w:tc>
          <w:tcPr>
            <w:tcW w:w="456" w:type="dxa"/>
            <w:tcBorders>
              <w:top w:val="nil"/>
              <w:left w:val="single" w:sz="4" w:space="0" w:color="auto"/>
              <w:bottom w:val="single" w:sz="4" w:space="0" w:color="auto"/>
              <w:right w:val="single" w:sz="4" w:space="0" w:color="auto"/>
            </w:tcBorders>
            <w:vAlign w:val="center"/>
          </w:tcPr>
          <w:p w:rsidR="00C81B24" w:rsidRPr="00C81B24" w:rsidRDefault="00C81B24" w:rsidP="00CE5850">
            <w:pPr>
              <w:jc w:val="right"/>
              <w:rPr>
                <w:sz w:val="20"/>
              </w:rPr>
            </w:pPr>
            <w:r w:rsidRPr="00C81B24">
              <w:rPr>
                <w:sz w:val="20"/>
              </w:rPr>
              <w:t>101</w:t>
            </w:r>
          </w:p>
        </w:tc>
        <w:tc>
          <w:tcPr>
            <w:tcW w:w="4012" w:type="dxa"/>
            <w:tcBorders>
              <w:top w:val="nil"/>
              <w:left w:val="nil"/>
              <w:bottom w:val="single" w:sz="4" w:space="0" w:color="auto"/>
              <w:right w:val="single" w:sz="4" w:space="0" w:color="auto"/>
            </w:tcBorders>
            <w:vAlign w:val="center"/>
          </w:tcPr>
          <w:p w:rsidR="00C81B24" w:rsidRPr="00C81B24" w:rsidRDefault="00C81B24" w:rsidP="00CE5850">
            <w:pPr>
              <w:rPr>
                <w:sz w:val="20"/>
              </w:rPr>
            </w:pPr>
            <w:r w:rsidRPr="00C81B24">
              <w:rPr>
                <w:sz w:val="20"/>
              </w:rPr>
              <w:t>Peoria-Pekin, IL</w:t>
            </w:r>
          </w:p>
        </w:tc>
        <w:tc>
          <w:tcPr>
            <w:tcW w:w="1102" w:type="dxa"/>
            <w:tcBorders>
              <w:top w:val="nil"/>
              <w:left w:val="nil"/>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 xml:space="preserve"> 518,825 </w:t>
            </w:r>
          </w:p>
        </w:tc>
        <w:tc>
          <w:tcPr>
            <w:tcW w:w="1155" w:type="dxa"/>
            <w:tcBorders>
              <w:top w:val="nil"/>
              <w:left w:val="nil"/>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 xml:space="preserve"> 534,320 </w:t>
            </w:r>
          </w:p>
        </w:tc>
        <w:tc>
          <w:tcPr>
            <w:tcW w:w="979" w:type="dxa"/>
            <w:tcBorders>
              <w:top w:val="nil"/>
              <w:left w:val="nil"/>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97%</w:t>
            </w:r>
          </w:p>
        </w:tc>
        <w:tc>
          <w:tcPr>
            <w:tcW w:w="635" w:type="dxa"/>
            <w:tcBorders>
              <w:top w:val="nil"/>
              <w:left w:val="nil"/>
              <w:bottom w:val="single" w:sz="4" w:space="0" w:color="auto"/>
              <w:right w:val="single" w:sz="4" w:space="0" w:color="auto"/>
            </w:tcBorders>
            <w:noWrap/>
            <w:vAlign w:val="bottom"/>
          </w:tcPr>
          <w:p w:rsidR="00C81B24" w:rsidRPr="00C81B24" w:rsidRDefault="00C81B24" w:rsidP="00CE5850">
            <w:pPr>
              <w:jc w:val="right"/>
              <w:rPr>
                <w:sz w:val="20"/>
              </w:rPr>
            </w:pPr>
            <w:r w:rsidRPr="00C81B24">
              <w:rPr>
                <w:sz w:val="20"/>
              </w:rPr>
              <w:t>3474</w:t>
            </w:r>
          </w:p>
        </w:tc>
        <w:tc>
          <w:tcPr>
            <w:tcW w:w="536" w:type="dxa"/>
            <w:tcBorders>
              <w:top w:val="nil"/>
              <w:left w:val="nil"/>
              <w:bottom w:val="single" w:sz="4" w:space="0" w:color="auto"/>
              <w:right w:val="single" w:sz="4" w:space="0" w:color="auto"/>
            </w:tcBorders>
            <w:vAlign w:val="bottom"/>
          </w:tcPr>
          <w:p w:rsidR="00C81B24" w:rsidRPr="00C81B24" w:rsidRDefault="00C81B24" w:rsidP="00CE5850">
            <w:pPr>
              <w:autoSpaceDE w:val="0"/>
              <w:autoSpaceDN w:val="0"/>
              <w:adjustRightInd w:val="0"/>
              <w:jc w:val="right"/>
              <w:rPr>
                <w:color w:val="000000"/>
                <w:kern w:val="0"/>
                <w:sz w:val="20"/>
              </w:rPr>
            </w:pPr>
            <w:r w:rsidRPr="00C81B24">
              <w:rPr>
                <w:color w:val="000000"/>
                <w:kern w:val="0"/>
                <w:sz w:val="20"/>
              </w:rPr>
              <w:t>3510</w:t>
            </w:r>
          </w:p>
        </w:tc>
        <w:tc>
          <w:tcPr>
            <w:tcW w:w="736" w:type="dxa"/>
            <w:tcBorders>
              <w:top w:val="nil"/>
              <w:left w:val="nil"/>
              <w:bottom w:val="single" w:sz="4" w:space="0" w:color="auto"/>
              <w:right w:val="single" w:sz="4" w:space="0" w:color="auto"/>
            </w:tcBorders>
            <w:vAlign w:val="bottom"/>
          </w:tcPr>
          <w:p w:rsidR="00C81B24" w:rsidRPr="00C81B24" w:rsidRDefault="00C81B24" w:rsidP="00CE5850">
            <w:pPr>
              <w:jc w:val="right"/>
              <w:rPr>
                <w:color w:val="000000"/>
                <w:sz w:val="20"/>
              </w:rPr>
            </w:pPr>
            <w:r w:rsidRPr="00C81B24">
              <w:rPr>
                <w:color w:val="000000"/>
                <w:sz w:val="20"/>
              </w:rPr>
              <w:t>93.32</w:t>
            </w:r>
          </w:p>
        </w:tc>
      </w:tr>
      <w:tr w:rsidR="00C81B24" w:rsidRPr="00C81B24" w:rsidTr="00526AD9">
        <w:trPr>
          <w:trHeight w:val="255"/>
          <w:jc w:val="center"/>
        </w:trPr>
        <w:tc>
          <w:tcPr>
            <w:tcW w:w="554" w:type="dxa"/>
            <w:tcBorders>
              <w:top w:val="nil"/>
              <w:left w:val="single" w:sz="4" w:space="0" w:color="auto"/>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77</w:t>
            </w:r>
          </w:p>
        </w:tc>
        <w:tc>
          <w:tcPr>
            <w:tcW w:w="456" w:type="dxa"/>
            <w:tcBorders>
              <w:top w:val="nil"/>
              <w:left w:val="single" w:sz="4" w:space="0" w:color="auto"/>
              <w:bottom w:val="single" w:sz="4" w:space="0" w:color="auto"/>
              <w:right w:val="single" w:sz="4" w:space="0" w:color="auto"/>
            </w:tcBorders>
            <w:vAlign w:val="center"/>
          </w:tcPr>
          <w:p w:rsidR="00C81B24" w:rsidRPr="00C81B24" w:rsidRDefault="00C81B24" w:rsidP="00CE5850">
            <w:pPr>
              <w:jc w:val="right"/>
              <w:rPr>
                <w:sz w:val="20"/>
              </w:rPr>
            </w:pPr>
            <w:r w:rsidRPr="00C81B24">
              <w:rPr>
                <w:sz w:val="20"/>
              </w:rPr>
              <w:t>103</w:t>
            </w:r>
          </w:p>
        </w:tc>
        <w:tc>
          <w:tcPr>
            <w:tcW w:w="4012" w:type="dxa"/>
            <w:tcBorders>
              <w:top w:val="nil"/>
              <w:left w:val="nil"/>
              <w:bottom w:val="single" w:sz="4" w:space="0" w:color="auto"/>
              <w:right w:val="single" w:sz="4" w:space="0" w:color="auto"/>
            </w:tcBorders>
            <w:vAlign w:val="center"/>
          </w:tcPr>
          <w:p w:rsidR="00C81B24" w:rsidRPr="00C81B24" w:rsidRDefault="00C81B24" w:rsidP="00CE5850">
            <w:pPr>
              <w:rPr>
                <w:sz w:val="20"/>
              </w:rPr>
            </w:pPr>
            <w:r w:rsidRPr="00C81B24">
              <w:rPr>
                <w:sz w:val="20"/>
              </w:rPr>
              <w:t>Cedar Rapids, IA</w:t>
            </w:r>
          </w:p>
        </w:tc>
        <w:tc>
          <w:tcPr>
            <w:tcW w:w="1102" w:type="dxa"/>
            <w:tcBorders>
              <w:top w:val="nil"/>
              <w:left w:val="nil"/>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 xml:space="preserve"> 417,523 </w:t>
            </w:r>
          </w:p>
        </w:tc>
        <w:tc>
          <w:tcPr>
            <w:tcW w:w="1155" w:type="dxa"/>
            <w:tcBorders>
              <w:top w:val="nil"/>
              <w:left w:val="nil"/>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 xml:space="preserve"> 431,788 </w:t>
            </w:r>
          </w:p>
        </w:tc>
        <w:tc>
          <w:tcPr>
            <w:tcW w:w="979" w:type="dxa"/>
            <w:tcBorders>
              <w:top w:val="nil"/>
              <w:left w:val="nil"/>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97%</w:t>
            </w:r>
          </w:p>
        </w:tc>
        <w:tc>
          <w:tcPr>
            <w:tcW w:w="635" w:type="dxa"/>
            <w:tcBorders>
              <w:top w:val="nil"/>
              <w:left w:val="nil"/>
              <w:bottom w:val="single" w:sz="4" w:space="0" w:color="auto"/>
              <w:right w:val="single" w:sz="4" w:space="0" w:color="auto"/>
            </w:tcBorders>
            <w:noWrap/>
            <w:vAlign w:val="bottom"/>
          </w:tcPr>
          <w:p w:rsidR="00C81B24" w:rsidRPr="00C81B24" w:rsidRDefault="00C81B24" w:rsidP="00CE5850">
            <w:pPr>
              <w:jc w:val="right"/>
              <w:rPr>
                <w:sz w:val="20"/>
              </w:rPr>
            </w:pPr>
            <w:r w:rsidRPr="00C81B24">
              <w:rPr>
                <w:sz w:val="20"/>
              </w:rPr>
              <w:t>2645</w:t>
            </w:r>
          </w:p>
        </w:tc>
        <w:tc>
          <w:tcPr>
            <w:tcW w:w="536" w:type="dxa"/>
            <w:tcBorders>
              <w:top w:val="nil"/>
              <w:left w:val="nil"/>
              <w:bottom w:val="single" w:sz="4" w:space="0" w:color="auto"/>
              <w:right w:val="single" w:sz="4" w:space="0" w:color="auto"/>
            </w:tcBorders>
            <w:vAlign w:val="bottom"/>
          </w:tcPr>
          <w:p w:rsidR="00C81B24" w:rsidRPr="00C81B24" w:rsidRDefault="00C81B24" w:rsidP="00CE5850">
            <w:pPr>
              <w:autoSpaceDE w:val="0"/>
              <w:autoSpaceDN w:val="0"/>
              <w:adjustRightInd w:val="0"/>
              <w:jc w:val="right"/>
              <w:rPr>
                <w:color w:val="000000"/>
                <w:kern w:val="0"/>
                <w:sz w:val="20"/>
              </w:rPr>
            </w:pPr>
            <w:r w:rsidRPr="00C81B24">
              <w:rPr>
                <w:color w:val="000000"/>
                <w:kern w:val="0"/>
                <w:sz w:val="20"/>
              </w:rPr>
              <w:t>2624</w:t>
            </w:r>
          </w:p>
        </w:tc>
        <w:tc>
          <w:tcPr>
            <w:tcW w:w="736" w:type="dxa"/>
            <w:tcBorders>
              <w:top w:val="nil"/>
              <w:left w:val="nil"/>
              <w:bottom w:val="single" w:sz="4" w:space="0" w:color="auto"/>
              <w:right w:val="single" w:sz="4" w:space="0" w:color="auto"/>
            </w:tcBorders>
            <w:vAlign w:val="bottom"/>
          </w:tcPr>
          <w:p w:rsidR="00C81B24" w:rsidRPr="00C81B24" w:rsidRDefault="00C81B24" w:rsidP="00CE5850">
            <w:pPr>
              <w:jc w:val="right"/>
              <w:rPr>
                <w:color w:val="000000"/>
                <w:sz w:val="20"/>
              </w:rPr>
            </w:pPr>
            <w:r w:rsidRPr="00C81B24">
              <w:rPr>
                <w:color w:val="000000"/>
                <w:sz w:val="20"/>
              </w:rPr>
              <w:t>112.99</w:t>
            </w:r>
          </w:p>
        </w:tc>
      </w:tr>
      <w:tr w:rsidR="00C81B24" w:rsidRPr="00C81B24" w:rsidTr="00526AD9">
        <w:trPr>
          <w:trHeight w:val="255"/>
          <w:jc w:val="center"/>
        </w:trPr>
        <w:tc>
          <w:tcPr>
            <w:tcW w:w="554" w:type="dxa"/>
            <w:tcBorders>
              <w:top w:val="nil"/>
              <w:left w:val="single" w:sz="4" w:space="0" w:color="auto"/>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78</w:t>
            </w:r>
          </w:p>
        </w:tc>
        <w:tc>
          <w:tcPr>
            <w:tcW w:w="456" w:type="dxa"/>
            <w:tcBorders>
              <w:top w:val="nil"/>
              <w:left w:val="single" w:sz="4" w:space="0" w:color="auto"/>
              <w:bottom w:val="single" w:sz="4" w:space="0" w:color="auto"/>
              <w:right w:val="single" w:sz="4" w:space="0" w:color="auto"/>
            </w:tcBorders>
            <w:vAlign w:val="center"/>
          </w:tcPr>
          <w:p w:rsidR="00C81B24" w:rsidRPr="00C81B24" w:rsidRDefault="00C81B24" w:rsidP="00CE5850">
            <w:pPr>
              <w:jc w:val="right"/>
              <w:rPr>
                <w:sz w:val="20"/>
              </w:rPr>
            </w:pPr>
            <w:r w:rsidRPr="00C81B24">
              <w:rPr>
                <w:sz w:val="20"/>
              </w:rPr>
              <w:t>126</w:t>
            </w:r>
          </w:p>
        </w:tc>
        <w:tc>
          <w:tcPr>
            <w:tcW w:w="4012" w:type="dxa"/>
            <w:tcBorders>
              <w:top w:val="nil"/>
              <w:left w:val="nil"/>
              <w:bottom w:val="single" w:sz="4" w:space="0" w:color="auto"/>
              <w:right w:val="single" w:sz="4" w:space="0" w:color="auto"/>
            </w:tcBorders>
            <w:vAlign w:val="center"/>
          </w:tcPr>
          <w:p w:rsidR="00C81B24" w:rsidRPr="00C81B24" w:rsidRDefault="00C81B24" w:rsidP="00CE5850">
            <w:pPr>
              <w:rPr>
                <w:sz w:val="20"/>
              </w:rPr>
            </w:pPr>
            <w:r w:rsidRPr="00C81B24">
              <w:rPr>
                <w:sz w:val="20"/>
              </w:rPr>
              <w:t>Western Oklahoma, OK</w:t>
            </w:r>
          </w:p>
        </w:tc>
        <w:tc>
          <w:tcPr>
            <w:tcW w:w="1102" w:type="dxa"/>
            <w:tcBorders>
              <w:top w:val="nil"/>
              <w:left w:val="nil"/>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 xml:space="preserve"> 138,170 </w:t>
            </w:r>
          </w:p>
        </w:tc>
        <w:tc>
          <w:tcPr>
            <w:tcW w:w="1155" w:type="dxa"/>
            <w:tcBorders>
              <w:top w:val="nil"/>
              <w:left w:val="nil"/>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 xml:space="preserve"> 142,868 </w:t>
            </w:r>
          </w:p>
        </w:tc>
        <w:tc>
          <w:tcPr>
            <w:tcW w:w="979" w:type="dxa"/>
            <w:tcBorders>
              <w:top w:val="nil"/>
              <w:left w:val="nil"/>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97%</w:t>
            </w:r>
          </w:p>
        </w:tc>
        <w:tc>
          <w:tcPr>
            <w:tcW w:w="635" w:type="dxa"/>
            <w:tcBorders>
              <w:top w:val="nil"/>
              <w:left w:val="nil"/>
              <w:bottom w:val="single" w:sz="4" w:space="0" w:color="auto"/>
              <w:right w:val="single" w:sz="4" w:space="0" w:color="auto"/>
            </w:tcBorders>
            <w:noWrap/>
            <w:vAlign w:val="bottom"/>
          </w:tcPr>
          <w:p w:rsidR="00C81B24" w:rsidRPr="00C81B24" w:rsidRDefault="00C81B24" w:rsidP="00CE5850">
            <w:pPr>
              <w:jc w:val="right"/>
              <w:rPr>
                <w:sz w:val="20"/>
              </w:rPr>
            </w:pPr>
            <w:r w:rsidRPr="00C81B24">
              <w:rPr>
                <w:sz w:val="20"/>
              </w:rPr>
              <w:t>2512</w:t>
            </w:r>
          </w:p>
        </w:tc>
        <w:tc>
          <w:tcPr>
            <w:tcW w:w="536" w:type="dxa"/>
            <w:tcBorders>
              <w:top w:val="nil"/>
              <w:left w:val="nil"/>
              <w:bottom w:val="single" w:sz="4" w:space="0" w:color="auto"/>
              <w:right w:val="single" w:sz="4" w:space="0" w:color="auto"/>
            </w:tcBorders>
            <w:vAlign w:val="bottom"/>
          </w:tcPr>
          <w:p w:rsidR="00C81B24" w:rsidRPr="00C81B24" w:rsidRDefault="00C81B24" w:rsidP="00CE5850">
            <w:pPr>
              <w:autoSpaceDE w:val="0"/>
              <w:autoSpaceDN w:val="0"/>
              <w:adjustRightInd w:val="0"/>
              <w:jc w:val="right"/>
              <w:rPr>
                <w:color w:val="000000"/>
                <w:kern w:val="0"/>
                <w:sz w:val="20"/>
              </w:rPr>
            </w:pPr>
            <w:r w:rsidRPr="00C81B24">
              <w:rPr>
                <w:color w:val="000000"/>
                <w:kern w:val="0"/>
                <w:sz w:val="20"/>
              </w:rPr>
              <w:t>2389</w:t>
            </w:r>
          </w:p>
        </w:tc>
        <w:tc>
          <w:tcPr>
            <w:tcW w:w="736" w:type="dxa"/>
            <w:tcBorders>
              <w:top w:val="nil"/>
              <w:left w:val="nil"/>
              <w:bottom w:val="single" w:sz="4" w:space="0" w:color="auto"/>
              <w:right w:val="single" w:sz="4" w:space="0" w:color="auto"/>
            </w:tcBorders>
            <w:vAlign w:val="bottom"/>
          </w:tcPr>
          <w:p w:rsidR="00C81B24" w:rsidRPr="00C81B24" w:rsidRDefault="00C81B24" w:rsidP="00CE5850">
            <w:pPr>
              <w:jc w:val="right"/>
              <w:rPr>
                <w:color w:val="000000"/>
                <w:sz w:val="20"/>
              </w:rPr>
            </w:pPr>
            <w:r w:rsidRPr="00C81B24">
              <w:rPr>
                <w:color w:val="000000"/>
                <w:sz w:val="20"/>
              </w:rPr>
              <w:t>12.36</w:t>
            </w:r>
          </w:p>
        </w:tc>
      </w:tr>
      <w:tr w:rsidR="00C81B24" w:rsidRPr="00C81B24" w:rsidTr="00526AD9">
        <w:trPr>
          <w:trHeight w:val="255"/>
          <w:jc w:val="center"/>
        </w:trPr>
        <w:tc>
          <w:tcPr>
            <w:tcW w:w="554" w:type="dxa"/>
            <w:tcBorders>
              <w:top w:val="nil"/>
              <w:left w:val="single" w:sz="4" w:space="0" w:color="auto"/>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79</w:t>
            </w:r>
          </w:p>
        </w:tc>
        <w:tc>
          <w:tcPr>
            <w:tcW w:w="456" w:type="dxa"/>
            <w:tcBorders>
              <w:top w:val="nil"/>
              <w:left w:val="single" w:sz="4" w:space="0" w:color="auto"/>
              <w:bottom w:val="single" w:sz="4" w:space="0" w:color="auto"/>
              <w:right w:val="single" w:sz="4" w:space="0" w:color="auto"/>
            </w:tcBorders>
            <w:vAlign w:val="center"/>
          </w:tcPr>
          <w:p w:rsidR="00C81B24" w:rsidRPr="00C81B24" w:rsidRDefault="00C81B24" w:rsidP="00CE5850">
            <w:pPr>
              <w:jc w:val="right"/>
              <w:rPr>
                <w:sz w:val="20"/>
              </w:rPr>
            </w:pPr>
            <w:r w:rsidRPr="00C81B24">
              <w:rPr>
                <w:sz w:val="20"/>
              </w:rPr>
              <w:t>133</w:t>
            </w:r>
          </w:p>
        </w:tc>
        <w:tc>
          <w:tcPr>
            <w:tcW w:w="4012" w:type="dxa"/>
            <w:tcBorders>
              <w:top w:val="nil"/>
              <w:left w:val="nil"/>
              <w:bottom w:val="single" w:sz="4" w:space="0" w:color="auto"/>
              <w:right w:val="single" w:sz="4" w:space="0" w:color="auto"/>
            </w:tcBorders>
            <w:vAlign w:val="center"/>
          </w:tcPr>
          <w:p w:rsidR="00C81B24" w:rsidRPr="00C81B24" w:rsidRDefault="00C81B24" w:rsidP="00CE5850">
            <w:pPr>
              <w:rPr>
                <w:sz w:val="20"/>
              </w:rPr>
            </w:pPr>
            <w:r w:rsidRPr="00C81B24">
              <w:rPr>
                <w:sz w:val="20"/>
              </w:rPr>
              <w:t>McAllen-Edinburg-Mission, TX</w:t>
            </w:r>
          </w:p>
        </w:tc>
        <w:tc>
          <w:tcPr>
            <w:tcW w:w="1102" w:type="dxa"/>
            <w:tcBorders>
              <w:top w:val="nil"/>
              <w:left w:val="nil"/>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 xml:space="preserve"> 1,260,327 </w:t>
            </w:r>
          </w:p>
        </w:tc>
        <w:tc>
          <w:tcPr>
            <w:tcW w:w="1155" w:type="dxa"/>
            <w:tcBorders>
              <w:top w:val="nil"/>
              <w:left w:val="nil"/>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 xml:space="preserve"> 1,295,743 </w:t>
            </w:r>
          </w:p>
        </w:tc>
        <w:tc>
          <w:tcPr>
            <w:tcW w:w="979" w:type="dxa"/>
            <w:tcBorders>
              <w:top w:val="nil"/>
              <w:left w:val="nil"/>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97%</w:t>
            </w:r>
          </w:p>
        </w:tc>
        <w:tc>
          <w:tcPr>
            <w:tcW w:w="635" w:type="dxa"/>
            <w:tcBorders>
              <w:top w:val="nil"/>
              <w:left w:val="nil"/>
              <w:bottom w:val="single" w:sz="4" w:space="0" w:color="auto"/>
              <w:right w:val="single" w:sz="4" w:space="0" w:color="auto"/>
            </w:tcBorders>
            <w:noWrap/>
            <w:vAlign w:val="bottom"/>
          </w:tcPr>
          <w:p w:rsidR="00C81B24" w:rsidRPr="00C81B24" w:rsidRDefault="00C81B24" w:rsidP="00CE5850">
            <w:pPr>
              <w:jc w:val="right"/>
              <w:rPr>
                <w:sz w:val="20"/>
              </w:rPr>
            </w:pPr>
            <w:r w:rsidRPr="00C81B24">
              <w:rPr>
                <w:sz w:val="20"/>
              </w:rPr>
              <w:t>2823</w:t>
            </w:r>
          </w:p>
        </w:tc>
        <w:tc>
          <w:tcPr>
            <w:tcW w:w="536" w:type="dxa"/>
            <w:tcBorders>
              <w:top w:val="nil"/>
              <w:left w:val="nil"/>
              <w:bottom w:val="single" w:sz="4" w:space="0" w:color="auto"/>
              <w:right w:val="single" w:sz="4" w:space="0" w:color="auto"/>
            </w:tcBorders>
            <w:vAlign w:val="bottom"/>
          </w:tcPr>
          <w:p w:rsidR="00C81B24" w:rsidRPr="00C81B24" w:rsidRDefault="00C81B24" w:rsidP="00CE5850">
            <w:pPr>
              <w:autoSpaceDE w:val="0"/>
              <w:autoSpaceDN w:val="0"/>
              <w:adjustRightInd w:val="0"/>
              <w:jc w:val="right"/>
              <w:rPr>
                <w:color w:val="000000"/>
                <w:kern w:val="0"/>
                <w:sz w:val="20"/>
              </w:rPr>
            </w:pPr>
            <w:r w:rsidRPr="00C81B24">
              <w:rPr>
                <w:color w:val="000000"/>
                <w:kern w:val="0"/>
                <w:sz w:val="20"/>
              </w:rPr>
              <w:t>2947</w:t>
            </w:r>
          </w:p>
        </w:tc>
        <w:tc>
          <w:tcPr>
            <w:tcW w:w="736" w:type="dxa"/>
            <w:tcBorders>
              <w:top w:val="nil"/>
              <w:left w:val="nil"/>
              <w:bottom w:val="single" w:sz="4" w:space="0" w:color="auto"/>
              <w:right w:val="single" w:sz="4" w:space="0" w:color="auto"/>
            </w:tcBorders>
            <w:vAlign w:val="bottom"/>
          </w:tcPr>
          <w:p w:rsidR="00C81B24" w:rsidRPr="00C81B24" w:rsidRDefault="00C81B24" w:rsidP="00CE5850">
            <w:pPr>
              <w:jc w:val="right"/>
              <w:rPr>
                <w:color w:val="000000"/>
                <w:sz w:val="20"/>
              </w:rPr>
            </w:pPr>
            <w:r w:rsidRPr="00C81B24">
              <w:rPr>
                <w:color w:val="000000"/>
                <w:sz w:val="20"/>
              </w:rPr>
              <w:t>295.66</w:t>
            </w:r>
          </w:p>
        </w:tc>
      </w:tr>
      <w:tr w:rsidR="00C81B24" w:rsidRPr="00C81B24" w:rsidTr="00526AD9">
        <w:trPr>
          <w:trHeight w:val="255"/>
          <w:jc w:val="center"/>
        </w:trPr>
        <w:tc>
          <w:tcPr>
            <w:tcW w:w="554" w:type="dxa"/>
            <w:tcBorders>
              <w:top w:val="nil"/>
              <w:left w:val="single" w:sz="4" w:space="0" w:color="auto"/>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80</w:t>
            </w:r>
          </w:p>
        </w:tc>
        <w:tc>
          <w:tcPr>
            <w:tcW w:w="456" w:type="dxa"/>
            <w:tcBorders>
              <w:top w:val="nil"/>
              <w:left w:val="single" w:sz="4" w:space="0" w:color="auto"/>
              <w:bottom w:val="single" w:sz="4" w:space="0" w:color="auto"/>
              <w:right w:val="single" w:sz="4" w:space="0" w:color="auto"/>
            </w:tcBorders>
            <w:vAlign w:val="center"/>
          </w:tcPr>
          <w:p w:rsidR="00C81B24" w:rsidRPr="00C81B24" w:rsidRDefault="00C81B24" w:rsidP="00CE5850">
            <w:pPr>
              <w:jc w:val="right"/>
              <w:rPr>
                <w:sz w:val="20"/>
              </w:rPr>
            </w:pPr>
            <w:r w:rsidRPr="00C81B24">
              <w:rPr>
                <w:sz w:val="20"/>
              </w:rPr>
              <w:t>143</w:t>
            </w:r>
          </w:p>
        </w:tc>
        <w:tc>
          <w:tcPr>
            <w:tcW w:w="4012" w:type="dxa"/>
            <w:tcBorders>
              <w:top w:val="nil"/>
              <w:left w:val="nil"/>
              <w:bottom w:val="single" w:sz="4" w:space="0" w:color="auto"/>
              <w:right w:val="single" w:sz="4" w:space="0" w:color="auto"/>
            </w:tcBorders>
            <w:vAlign w:val="center"/>
          </w:tcPr>
          <w:p w:rsidR="00C81B24" w:rsidRPr="00C81B24" w:rsidRDefault="00C81B24" w:rsidP="00CE5850">
            <w:pPr>
              <w:rPr>
                <w:sz w:val="20"/>
              </w:rPr>
            </w:pPr>
            <w:r w:rsidRPr="00C81B24">
              <w:rPr>
                <w:sz w:val="20"/>
              </w:rPr>
              <w:t>Casper, WY-ID-UT</w:t>
            </w:r>
          </w:p>
        </w:tc>
        <w:tc>
          <w:tcPr>
            <w:tcW w:w="1102" w:type="dxa"/>
            <w:tcBorders>
              <w:top w:val="nil"/>
              <w:left w:val="nil"/>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 xml:space="preserve"> 457,094 </w:t>
            </w:r>
          </w:p>
        </w:tc>
        <w:tc>
          <w:tcPr>
            <w:tcW w:w="1155" w:type="dxa"/>
            <w:tcBorders>
              <w:top w:val="nil"/>
              <w:left w:val="nil"/>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 xml:space="preserve"> 471,152 </w:t>
            </w:r>
          </w:p>
        </w:tc>
        <w:tc>
          <w:tcPr>
            <w:tcW w:w="979" w:type="dxa"/>
            <w:tcBorders>
              <w:top w:val="nil"/>
              <w:left w:val="nil"/>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97%</w:t>
            </w:r>
          </w:p>
        </w:tc>
        <w:tc>
          <w:tcPr>
            <w:tcW w:w="635" w:type="dxa"/>
            <w:tcBorders>
              <w:top w:val="nil"/>
              <w:left w:val="nil"/>
              <w:bottom w:val="single" w:sz="4" w:space="0" w:color="auto"/>
              <w:right w:val="single" w:sz="4" w:space="0" w:color="auto"/>
            </w:tcBorders>
            <w:noWrap/>
            <w:vAlign w:val="bottom"/>
          </w:tcPr>
          <w:p w:rsidR="00C81B24" w:rsidRPr="00C81B24" w:rsidRDefault="00C81B24" w:rsidP="00CE5850">
            <w:pPr>
              <w:jc w:val="right"/>
              <w:rPr>
                <w:sz w:val="20"/>
              </w:rPr>
            </w:pPr>
            <w:r w:rsidRPr="00C81B24">
              <w:rPr>
                <w:sz w:val="20"/>
              </w:rPr>
              <w:t>5745</w:t>
            </w:r>
          </w:p>
        </w:tc>
        <w:tc>
          <w:tcPr>
            <w:tcW w:w="536" w:type="dxa"/>
            <w:tcBorders>
              <w:top w:val="nil"/>
              <w:left w:val="nil"/>
              <w:bottom w:val="single" w:sz="4" w:space="0" w:color="auto"/>
              <w:right w:val="single" w:sz="4" w:space="0" w:color="auto"/>
            </w:tcBorders>
            <w:vAlign w:val="bottom"/>
          </w:tcPr>
          <w:p w:rsidR="00C81B24" w:rsidRPr="00C81B24" w:rsidRDefault="00C81B24" w:rsidP="00CE5850">
            <w:pPr>
              <w:autoSpaceDE w:val="0"/>
              <w:autoSpaceDN w:val="0"/>
              <w:adjustRightInd w:val="0"/>
              <w:jc w:val="right"/>
              <w:rPr>
                <w:color w:val="000000"/>
                <w:kern w:val="0"/>
                <w:sz w:val="20"/>
              </w:rPr>
            </w:pPr>
            <w:r w:rsidRPr="00C81B24">
              <w:rPr>
                <w:color w:val="000000"/>
                <w:kern w:val="0"/>
                <w:sz w:val="20"/>
              </w:rPr>
              <w:t>5362</w:t>
            </w:r>
          </w:p>
        </w:tc>
        <w:tc>
          <w:tcPr>
            <w:tcW w:w="736" w:type="dxa"/>
            <w:tcBorders>
              <w:top w:val="nil"/>
              <w:left w:val="nil"/>
              <w:bottom w:val="single" w:sz="4" w:space="0" w:color="auto"/>
              <w:right w:val="single" w:sz="4" w:space="0" w:color="auto"/>
            </w:tcBorders>
            <w:vAlign w:val="bottom"/>
          </w:tcPr>
          <w:p w:rsidR="00C81B24" w:rsidRPr="00C81B24" w:rsidRDefault="00C81B24" w:rsidP="00CE5850">
            <w:pPr>
              <w:jc w:val="right"/>
              <w:rPr>
                <w:color w:val="000000"/>
                <w:sz w:val="20"/>
              </w:rPr>
            </w:pPr>
            <w:r w:rsidRPr="00C81B24">
              <w:rPr>
                <w:color w:val="000000"/>
                <w:sz w:val="20"/>
              </w:rPr>
              <w:t>5.95</w:t>
            </w:r>
          </w:p>
        </w:tc>
      </w:tr>
      <w:tr w:rsidR="00C81B24" w:rsidRPr="00C81B24" w:rsidTr="00526AD9">
        <w:trPr>
          <w:trHeight w:val="255"/>
          <w:jc w:val="center"/>
        </w:trPr>
        <w:tc>
          <w:tcPr>
            <w:tcW w:w="554" w:type="dxa"/>
            <w:tcBorders>
              <w:top w:val="nil"/>
              <w:left w:val="single" w:sz="4" w:space="0" w:color="auto"/>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81</w:t>
            </w:r>
          </w:p>
        </w:tc>
        <w:tc>
          <w:tcPr>
            <w:tcW w:w="456" w:type="dxa"/>
            <w:tcBorders>
              <w:top w:val="nil"/>
              <w:left w:val="single" w:sz="4" w:space="0" w:color="auto"/>
              <w:bottom w:val="single" w:sz="4" w:space="0" w:color="auto"/>
              <w:right w:val="single" w:sz="4" w:space="0" w:color="auto"/>
            </w:tcBorders>
            <w:vAlign w:val="center"/>
          </w:tcPr>
          <w:p w:rsidR="00C81B24" w:rsidRPr="00C81B24" w:rsidRDefault="00C81B24" w:rsidP="00CE5850">
            <w:pPr>
              <w:jc w:val="right"/>
              <w:rPr>
                <w:sz w:val="20"/>
              </w:rPr>
            </w:pPr>
            <w:r w:rsidRPr="00C81B24">
              <w:rPr>
                <w:sz w:val="20"/>
              </w:rPr>
              <w:t>160</w:t>
            </w:r>
          </w:p>
        </w:tc>
        <w:tc>
          <w:tcPr>
            <w:tcW w:w="4012" w:type="dxa"/>
            <w:tcBorders>
              <w:top w:val="nil"/>
              <w:left w:val="nil"/>
              <w:bottom w:val="single" w:sz="4" w:space="0" w:color="auto"/>
              <w:right w:val="single" w:sz="4" w:space="0" w:color="auto"/>
            </w:tcBorders>
            <w:vAlign w:val="center"/>
          </w:tcPr>
          <w:p w:rsidR="00C81B24" w:rsidRPr="00C81B24" w:rsidRDefault="00C81B24" w:rsidP="00CE5850">
            <w:pPr>
              <w:rPr>
                <w:sz w:val="20"/>
              </w:rPr>
            </w:pPr>
            <w:r w:rsidRPr="00C81B24">
              <w:rPr>
                <w:sz w:val="20"/>
              </w:rPr>
              <w:t>Los Angeles-Riverside-Orange County, CA-AZ</w:t>
            </w:r>
          </w:p>
        </w:tc>
        <w:tc>
          <w:tcPr>
            <w:tcW w:w="1102" w:type="dxa"/>
            <w:tcBorders>
              <w:top w:val="nil"/>
              <w:left w:val="nil"/>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 xml:space="preserve"> 19,434,044 </w:t>
            </w:r>
          </w:p>
        </w:tc>
        <w:tc>
          <w:tcPr>
            <w:tcW w:w="1155" w:type="dxa"/>
            <w:tcBorders>
              <w:top w:val="nil"/>
              <w:left w:val="nil"/>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 xml:space="preserve"> 20,030,472 </w:t>
            </w:r>
          </w:p>
        </w:tc>
        <w:tc>
          <w:tcPr>
            <w:tcW w:w="979" w:type="dxa"/>
            <w:tcBorders>
              <w:top w:val="nil"/>
              <w:left w:val="nil"/>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97%</w:t>
            </w:r>
          </w:p>
        </w:tc>
        <w:tc>
          <w:tcPr>
            <w:tcW w:w="635" w:type="dxa"/>
            <w:tcBorders>
              <w:top w:val="nil"/>
              <w:left w:val="nil"/>
              <w:bottom w:val="single" w:sz="4" w:space="0" w:color="auto"/>
              <w:right w:val="single" w:sz="4" w:space="0" w:color="auto"/>
            </w:tcBorders>
            <w:noWrap/>
            <w:vAlign w:val="bottom"/>
          </w:tcPr>
          <w:p w:rsidR="00C81B24" w:rsidRPr="00C81B24" w:rsidRDefault="00C81B24" w:rsidP="00CE5850">
            <w:pPr>
              <w:jc w:val="right"/>
              <w:rPr>
                <w:sz w:val="20"/>
              </w:rPr>
            </w:pPr>
            <w:r w:rsidRPr="00C81B24">
              <w:rPr>
                <w:sz w:val="20"/>
              </w:rPr>
              <w:t>2415</w:t>
            </w:r>
          </w:p>
        </w:tc>
        <w:tc>
          <w:tcPr>
            <w:tcW w:w="536" w:type="dxa"/>
            <w:tcBorders>
              <w:top w:val="nil"/>
              <w:left w:val="nil"/>
              <w:bottom w:val="single" w:sz="4" w:space="0" w:color="auto"/>
              <w:right w:val="single" w:sz="4" w:space="0" w:color="auto"/>
            </w:tcBorders>
            <w:vAlign w:val="bottom"/>
          </w:tcPr>
          <w:p w:rsidR="00C81B24" w:rsidRPr="00C81B24" w:rsidRDefault="00C81B24" w:rsidP="00CE5850">
            <w:pPr>
              <w:autoSpaceDE w:val="0"/>
              <w:autoSpaceDN w:val="0"/>
              <w:adjustRightInd w:val="0"/>
              <w:jc w:val="right"/>
              <w:rPr>
                <w:color w:val="000000"/>
                <w:kern w:val="0"/>
                <w:sz w:val="20"/>
              </w:rPr>
            </w:pPr>
            <w:r w:rsidRPr="00C81B24">
              <w:rPr>
                <w:color w:val="000000"/>
                <w:kern w:val="0"/>
                <w:sz w:val="20"/>
              </w:rPr>
              <w:t>2423</w:t>
            </w:r>
          </w:p>
        </w:tc>
        <w:tc>
          <w:tcPr>
            <w:tcW w:w="736" w:type="dxa"/>
            <w:tcBorders>
              <w:top w:val="nil"/>
              <w:left w:val="nil"/>
              <w:bottom w:val="single" w:sz="4" w:space="0" w:color="auto"/>
              <w:right w:val="single" w:sz="4" w:space="0" w:color="auto"/>
            </w:tcBorders>
            <w:vAlign w:val="bottom"/>
          </w:tcPr>
          <w:p w:rsidR="00C81B24" w:rsidRPr="00C81B24" w:rsidRDefault="00C81B24" w:rsidP="00CE5850">
            <w:pPr>
              <w:jc w:val="right"/>
              <w:rPr>
                <w:color w:val="000000"/>
                <w:sz w:val="20"/>
              </w:rPr>
            </w:pPr>
            <w:r w:rsidRPr="00C81B24">
              <w:rPr>
                <w:color w:val="000000"/>
                <w:sz w:val="20"/>
              </w:rPr>
              <w:t>317.78</w:t>
            </w:r>
          </w:p>
        </w:tc>
      </w:tr>
      <w:tr w:rsidR="00C81B24" w:rsidRPr="00C81B24" w:rsidTr="00526AD9">
        <w:trPr>
          <w:trHeight w:val="255"/>
          <w:jc w:val="center"/>
        </w:trPr>
        <w:tc>
          <w:tcPr>
            <w:tcW w:w="554" w:type="dxa"/>
            <w:tcBorders>
              <w:top w:val="nil"/>
              <w:left w:val="single" w:sz="4" w:space="0" w:color="auto"/>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82</w:t>
            </w:r>
          </w:p>
        </w:tc>
        <w:tc>
          <w:tcPr>
            <w:tcW w:w="456" w:type="dxa"/>
            <w:tcBorders>
              <w:top w:val="nil"/>
              <w:left w:val="single" w:sz="4" w:space="0" w:color="auto"/>
              <w:bottom w:val="single" w:sz="4" w:space="0" w:color="auto"/>
              <w:right w:val="single" w:sz="4" w:space="0" w:color="auto"/>
            </w:tcBorders>
            <w:vAlign w:val="center"/>
          </w:tcPr>
          <w:p w:rsidR="00C81B24" w:rsidRPr="00C81B24" w:rsidRDefault="00C81B24" w:rsidP="00CE5850">
            <w:pPr>
              <w:jc w:val="right"/>
              <w:rPr>
                <w:sz w:val="20"/>
              </w:rPr>
            </w:pPr>
            <w:r w:rsidRPr="00C81B24">
              <w:rPr>
                <w:sz w:val="20"/>
              </w:rPr>
              <w:t>2</w:t>
            </w:r>
          </w:p>
        </w:tc>
        <w:tc>
          <w:tcPr>
            <w:tcW w:w="4012" w:type="dxa"/>
            <w:tcBorders>
              <w:top w:val="nil"/>
              <w:left w:val="nil"/>
              <w:bottom w:val="single" w:sz="4" w:space="0" w:color="auto"/>
              <w:right w:val="single" w:sz="4" w:space="0" w:color="auto"/>
            </w:tcBorders>
            <w:vAlign w:val="center"/>
          </w:tcPr>
          <w:p w:rsidR="00C81B24" w:rsidRPr="00C81B24" w:rsidRDefault="00C81B24" w:rsidP="00CE5850">
            <w:pPr>
              <w:rPr>
                <w:sz w:val="20"/>
              </w:rPr>
            </w:pPr>
            <w:r w:rsidRPr="00C81B24">
              <w:rPr>
                <w:sz w:val="20"/>
              </w:rPr>
              <w:t>Portland, ME</w:t>
            </w:r>
          </w:p>
        </w:tc>
        <w:tc>
          <w:tcPr>
            <w:tcW w:w="1102" w:type="dxa"/>
            <w:tcBorders>
              <w:top w:val="nil"/>
              <w:left w:val="nil"/>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 xml:space="preserve"> 755,563 </w:t>
            </w:r>
          </w:p>
        </w:tc>
        <w:tc>
          <w:tcPr>
            <w:tcW w:w="1155" w:type="dxa"/>
            <w:tcBorders>
              <w:top w:val="nil"/>
              <w:left w:val="nil"/>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 xml:space="preserve"> 785,578 </w:t>
            </w:r>
          </w:p>
        </w:tc>
        <w:tc>
          <w:tcPr>
            <w:tcW w:w="979" w:type="dxa"/>
            <w:tcBorders>
              <w:top w:val="nil"/>
              <w:left w:val="nil"/>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96%</w:t>
            </w:r>
          </w:p>
        </w:tc>
        <w:tc>
          <w:tcPr>
            <w:tcW w:w="635" w:type="dxa"/>
            <w:tcBorders>
              <w:top w:val="nil"/>
              <w:left w:val="nil"/>
              <w:bottom w:val="single" w:sz="4" w:space="0" w:color="auto"/>
              <w:right w:val="single" w:sz="4" w:space="0" w:color="auto"/>
            </w:tcBorders>
            <w:noWrap/>
            <w:vAlign w:val="bottom"/>
          </w:tcPr>
          <w:p w:rsidR="00C81B24" w:rsidRPr="00C81B24" w:rsidRDefault="00C81B24" w:rsidP="00CE5850">
            <w:pPr>
              <w:jc w:val="right"/>
              <w:rPr>
                <w:sz w:val="20"/>
              </w:rPr>
            </w:pPr>
            <w:r w:rsidRPr="00C81B24">
              <w:rPr>
                <w:sz w:val="20"/>
              </w:rPr>
              <w:t>3036</w:t>
            </w:r>
          </w:p>
        </w:tc>
        <w:tc>
          <w:tcPr>
            <w:tcW w:w="536" w:type="dxa"/>
            <w:tcBorders>
              <w:top w:val="nil"/>
              <w:left w:val="nil"/>
              <w:bottom w:val="single" w:sz="4" w:space="0" w:color="auto"/>
              <w:right w:val="single" w:sz="4" w:space="0" w:color="auto"/>
            </w:tcBorders>
            <w:vAlign w:val="bottom"/>
          </w:tcPr>
          <w:p w:rsidR="00C81B24" w:rsidRPr="00C81B24" w:rsidRDefault="00C81B24" w:rsidP="00CE5850">
            <w:pPr>
              <w:autoSpaceDE w:val="0"/>
              <w:autoSpaceDN w:val="0"/>
              <w:adjustRightInd w:val="0"/>
              <w:jc w:val="right"/>
              <w:rPr>
                <w:color w:val="000000"/>
                <w:kern w:val="0"/>
                <w:sz w:val="20"/>
              </w:rPr>
            </w:pPr>
            <w:r w:rsidRPr="00C81B24">
              <w:rPr>
                <w:color w:val="000000"/>
                <w:kern w:val="0"/>
                <w:sz w:val="20"/>
              </w:rPr>
              <w:t>2987</w:t>
            </w:r>
          </w:p>
        </w:tc>
        <w:tc>
          <w:tcPr>
            <w:tcW w:w="736" w:type="dxa"/>
            <w:tcBorders>
              <w:top w:val="nil"/>
              <w:left w:val="nil"/>
              <w:bottom w:val="single" w:sz="4" w:space="0" w:color="auto"/>
              <w:right w:val="single" w:sz="4" w:space="0" w:color="auto"/>
            </w:tcBorders>
            <w:vAlign w:val="bottom"/>
          </w:tcPr>
          <w:p w:rsidR="00C81B24" w:rsidRPr="00C81B24" w:rsidRDefault="00C81B24" w:rsidP="00CE5850">
            <w:pPr>
              <w:jc w:val="right"/>
              <w:rPr>
                <w:color w:val="000000"/>
                <w:sz w:val="20"/>
              </w:rPr>
            </w:pPr>
            <w:r w:rsidRPr="00C81B24">
              <w:rPr>
                <w:color w:val="000000"/>
                <w:sz w:val="20"/>
              </w:rPr>
              <w:t>109.86</w:t>
            </w:r>
          </w:p>
        </w:tc>
      </w:tr>
      <w:tr w:rsidR="00C81B24" w:rsidRPr="00C81B24" w:rsidTr="00526AD9">
        <w:trPr>
          <w:trHeight w:val="255"/>
          <w:jc w:val="center"/>
        </w:trPr>
        <w:tc>
          <w:tcPr>
            <w:tcW w:w="554" w:type="dxa"/>
            <w:tcBorders>
              <w:top w:val="nil"/>
              <w:left w:val="single" w:sz="4" w:space="0" w:color="auto"/>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83</w:t>
            </w:r>
          </w:p>
        </w:tc>
        <w:tc>
          <w:tcPr>
            <w:tcW w:w="456" w:type="dxa"/>
            <w:tcBorders>
              <w:top w:val="nil"/>
              <w:left w:val="single" w:sz="4" w:space="0" w:color="auto"/>
              <w:bottom w:val="single" w:sz="4" w:space="0" w:color="auto"/>
              <w:right w:val="single" w:sz="4" w:space="0" w:color="auto"/>
            </w:tcBorders>
            <w:vAlign w:val="center"/>
          </w:tcPr>
          <w:p w:rsidR="00C81B24" w:rsidRPr="00C81B24" w:rsidRDefault="00C81B24" w:rsidP="00CE5850">
            <w:pPr>
              <w:jc w:val="right"/>
              <w:rPr>
                <w:sz w:val="20"/>
              </w:rPr>
            </w:pPr>
            <w:r w:rsidRPr="00C81B24">
              <w:rPr>
                <w:sz w:val="20"/>
              </w:rPr>
              <w:t>5</w:t>
            </w:r>
          </w:p>
        </w:tc>
        <w:tc>
          <w:tcPr>
            <w:tcW w:w="4012" w:type="dxa"/>
            <w:tcBorders>
              <w:top w:val="nil"/>
              <w:left w:val="nil"/>
              <w:bottom w:val="single" w:sz="4" w:space="0" w:color="auto"/>
              <w:right w:val="single" w:sz="4" w:space="0" w:color="auto"/>
            </w:tcBorders>
            <w:vAlign w:val="center"/>
          </w:tcPr>
          <w:p w:rsidR="00C81B24" w:rsidRPr="00C81B24" w:rsidRDefault="00C81B24" w:rsidP="00CE5850">
            <w:pPr>
              <w:rPr>
                <w:sz w:val="20"/>
              </w:rPr>
            </w:pPr>
            <w:r w:rsidRPr="00C81B24">
              <w:rPr>
                <w:sz w:val="20"/>
              </w:rPr>
              <w:t>Albany-Schenectady-Troy, NY</w:t>
            </w:r>
          </w:p>
        </w:tc>
        <w:tc>
          <w:tcPr>
            <w:tcW w:w="1102" w:type="dxa"/>
            <w:tcBorders>
              <w:top w:val="nil"/>
              <w:left w:val="nil"/>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 xml:space="preserve"> 1,178,650 </w:t>
            </w:r>
          </w:p>
        </w:tc>
        <w:tc>
          <w:tcPr>
            <w:tcW w:w="1155" w:type="dxa"/>
            <w:tcBorders>
              <w:top w:val="nil"/>
              <w:left w:val="nil"/>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 xml:space="preserve"> 1,221,867 </w:t>
            </w:r>
          </w:p>
        </w:tc>
        <w:tc>
          <w:tcPr>
            <w:tcW w:w="979" w:type="dxa"/>
            <w:tcBorders>
              <w:top w:val="nil"/>
              <w:left w:val="nil"/>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96%</w:t>
            </w:r>
          </w:p>
        </w:tc>
        <w:tc>
          <w:tcPr>
            <w:tcW w:w="635" w:type="dxa"/>
            <w:tcBorders>
              <w:top w:val="nil"/>
              <w:left w:val="nil"/>
              <w:bottom w:val="single" w:sz="4" w:space="0" w:color="auto"/>
              <w:right w:val="single" w:sz="4" w:space="0" w:color="auto"/>
            </w:tcBorders>
            <w:noWrap/>
            <w:vAlign w:val="bottom"/>
          </w:tcPr>
          <w:p w:rsidR="00C81B24" w:rsidRPr="00C81B24" w:rsidRDefault="00C81B24" w:rsidP="00CE5850">
            <w:pPr>
              <w:jc w:val="right"/>
              <w:rPr>
                <w:sz w:val="20"/>
              </w:rPr>
            </w:pPr>
            <w:r w:rsidRPr="00C81B24">
              <w:rPr>
                <w:sz w:val="20"/>
              </w:rPr>
              <w:t>3524</w:t>
            </w:r>
          </w:p>
        </w:tc>
        <w:tc>
          <w:tcPr>
            <w:tcW w:w="536" w:type="dxa"/>
            <w:tcBorders>
              <w:top w:val="nil"/>
              <w:left w:val="nil"/>
              <w:bottom w:val="single" w:sz="4" w:space="0" w:color="auto"/>
              <w:right w:val="single" w:sz="4" w:space="0" w:color="auto"/>
            </w:tcBorders>
            <w:vAlign w:val="bottom"/>
          </w:tcPr>
          <w:p w:rsidR="00C81B24" w:rsidRPr="00C81B24" w:rsidRDefault="00C81B24" w:rsidP="00CE5850">
            <w:pPr>
              <w:autoSpaceDE w:val="0"/>
              <w:autoSpaceDN w:val="0"/>
              <w:adjustRightInd w:val="0"/>
              <w:jc w:val="right"/>
              <w:rPr>
                <w:color w:val="000000"/>
                <w:kern w:val="0"/>
                <w:sz w:val="20"/>
              </w:rPr>
            </w:pPr>
            <w:r w:rsidRPr="00C81B24">
              <w:rPr>
                <w:color w:val="000000"/>
                <w:kern w:val="0"/>
                <w:sz w:val="20"/>
              </w:rPr>
              <w:t>3505</w:t>
            </w:r>
          </w:p>
        </w:tc>
        <w:tc>
          <w:tcPr>
            <w:tcW w:w="736" w:type="dxa"/>
            <w:tcBorders>
              <w:top w:val="nil"/>
              <w:left w:val="nil"/>
              <w:bottom w:val="single" w:sz="4" w:space="0" w:color="auto"/>
              <w:right w:val="single" w:sz="4" w:space="0" w:color="auto"/>
            </w:tcBorders>
            <w:vAlign w:val="bottom"/>
          </w:tcPr>
          <w:p w:rsidR="00C81B24" w:rsidRPr="00C81B24" w:rsidRDefault="00C81B24" w:rsidP="00CE5850">
            <w:pPr>
              <w:jc w:val="right"/>
              <w:rPr>
                <w:color w:val="000000"/>
                <w:sz w:val="20"/>
              </w:rPr>
            </w:pPr>
            <w:r w:rsidRPr="00C81B24">
              <w:rPr>
                <w:color w:val="000000"/>
                <w:sz w:val="20"/>
              </w:rPr>
              <w:t>145.41</w:t>
            </w:r>
          </w:p>
        </w:tc>
      </w:tr>
      <w:tr w:rsidR="00C81B24" w:rsidRPr="00C81B24" w:rsidTr="00526AD9">
        <w:trPr>
          <w:trHeight w:val="255"/>
          <w:jc w:val="center"/>
        </w:trPr>
        <w:tc>
          <w:tcPr>
            <w:tcW w:w="554" w:type="dxa"/>
            <w:tcBorders>
              <w:top w:val="nil"/>
              <w:left w:val="single" w:sz="4" w:space="0" w:color="auto"/>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84</w:t>
            </w:r>
          </w:p>
        </w:tc>
        <w:tc>
          <w:tcPr>
            <w:tcW w:w="456" w:type="dxa"/>
            <w:tcBorders>
              <w:top w:val="nil"/>
              <w:left w:val="single" w:sz="4" w:space="0" w:color="auto"/>
              <w:bottom w:val="single" w:sz="4" w:space="0" w:color="auto"/>
              <w:right w:val="single" w:sz="4" w:space="0" w:color="auto"/>
            </w:tcBorders>
            <w:vAlign w:val="center"/>
          </w:tcPr>
          <w:p w:rsidR="00C81B24" w:rsidRPr="00C81B24" w:rsidRDefault="00C81B24" w:rsidP="00CE5850">
            <w:pPr>
              <w:jc w:val="right"/>
              <w:rPr>
                <w:sz w:val="20"/>
              </w:rPr>
            </w:pPr>
            <w:r w:rsidRPr="00C81B24">
              <w:rPr>
                <w:sz w:val="20"/>
              </w:rPr>
              <w:t>16</w:t>
            </w:r>
          </w:p>
        </w:tc>
        <w:tc>
          <w:tcPr>
            <w:tcW w:w="4012" w:type="dxa"/>
            <w:tcBorders>
              <w:top w:val="nil"/>
              <w:left w:val="nil"/>
              <w:bottom w:val="single" w:sz="4" w:space="0" w:color="auto"/>
              <w:right w:val="single" w:sz="4" w:space="0" w:color="auto"/>
            </w:tcBorders>
            <w:vAlign w:val="center"/>
          </w:tcPr>
          <w:p w:rsidR="00C81B24" w:rsidRPr="00C81B24" w:rsidRDefault="00C81B24" w:rsidP="00CE5850">
            <w:pPr>
              <w:rPr>
                <w:sz w:val="20"/>
              </w:rPr>
            </w:pPr>
            <w:r w:rsidRPr="00C81B24">
              <w:rPr>
                <w:sz w:val="20"/>
              </w:rPr>
              <w:t>Staunton, VA-WV</w:t>
            </w:r>
          </w:p>
        </w:tc>
        <w:tc>
          <w:tcPr>
            <w:tcW w:w="1102" w:type="dxa"/>
            <w:tcBorders>
              <w:top w:val="nil"/>
              <w:left w:val="nil"/>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 xml:space="preserve"> 346,555 </w:t>
            </w:r>
          </w:p>
        </w:tc>
        <w:tc>
          <w:tcPr>
            <w:tcW w:w="1155" w:type="dxa"/>
            <w:tcBorders>
              <w:top w:val="nil"/>
              <w:left w:val="nil"/>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 xml:space="preserve"> 362,494 </w:t>
            </w:r>
          </w:p>
        </w:tc>
        <w:tc>
          <w:tcPr>
            <w:tcW w:w="979" w:type="dxa"/>
            <w:tcBorders>
              <w:top w:val="nil"/>
              <w:left w:val="nil"/>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96%</w:t>
            </w:r>
          </w:p>
        </w:tc>
        <w:tc>
          <w:tcPr>
            <w:tcW w:w="635" w:type="dxa"/>
            <w:tcBorders>
              <w:top w:val="nil"/>
              <w:left w:val="nil"/>
              <w:bottom w:val="single" w:sz="4" w:space="0" w:color="auto"/>
              <w:right w:val="single" w:sz="4" w:space="0" w:color="auto"/>
            </w:tcBorders>
            <w:noWrap/>
            <w:vAlign w:val="bottom"/>
          </w:tcPr>
          <w:p w:rsidR="00C81B24" w:rsidRPr="00C81B24" w:rsidRDefault="00C81B24" w:rsidP="00CE5850">
            <w:pPr>
              <w:jc w:val="right"/>
              <w:rPr>
                <w:sz w:val="20"/>
              </w:rPr>
            </w:pPr>
            <w:r w:rsidRPr="00C81B24">
              <w:rPr>
                <w:sz w:val="20"/>
              </w:rPr>
              <w:t>2740</w:t>
            </w:r>
          </w:p>
        </w:tc>
        <w:tc>
          <w:tcPr>
            <w:tcW w:w="536" w:type="dxa"/>
            <w:tcBorders>
              <w:top w:val="nil"/>
              <w:left w:val="nil"/>
              <w:bottom w:val="single" w:sz="4" w:space="0" w:color="auto"/>
              <w:right w:val="single" w:sz="4" w:space="0" w:color="auto"/>
            </w:tcBorders>
            <w:vAlign w:val="bottom"/>
          </w:tcPr>
          <w:p w:rsidR="00C81B24" w:rsidRPr="00C81B24" w:rsidRDefault="00C81B24" w:rsidP="00CE5850">
            <w:pPr>
              <w:autoSpaceDE w:val="0"/>
              <w:autoSpaceDN w:val="0"/>
              <w:adjustRightInd w:val="0"/>
              <w:jc w:val="right"/>
              <w:rPr>
                <w:color w:val="000000"/>
                <w:kern w:val="0"/>
                <w:sz w:val="20"/>
              </w:rPr>
            </w:pPr>
            <w:r w:rsidRPr="00C81B24">
              <w:rPr>
                <w:color w:val="000000"/>
                <w:kern w:val="0"/>
                <w:sz w:val="20"/>
              </w:rPr>
              <w:t>2833</w:t>
            </w:r>
          </w:p>
        </w:tc>
        <w:tc>
          <w:tcPr>
            <w:tcW w:w="736" w:type="dxa"/>
            <w:tcBorders>
              <w:top w:val="nil"/>
              <w:left w:val="nil"/>
              <w:bottom w:val="single" w:sz="4" w:space="0" w:color="auto"/>
              <w:right w:val="single" w:sz="4" w:space="0" w:color="auto"/>
            </w:tcBorders>
            <w:vAlign w:val="bottom"/>
          </w:tcPr>
          <w:p w:rsidR="00C81B24" w:rsidRPr="00C81B24" w:rsidRDefault="00C81B24" w:rsidP="00CE5850">
            <w:pPr>
              <w:jc w:val="right"/>
              <w:rPr>
                <w:color w:val="000000"/>
                <w:sz w:val="20"/>
              </w:rPr>
            </w:pPr>
            <w:r w:rsidRPr="00C81B24">
              <w:rPr>
                <w:color w:val="000000"/>
                <w:sz w:val="20"/>
              </w:rPr>
              <w:t>55.30</w:t>
            </w:r>
          </w:p>
        </w:tc>
      </w:tr>
      <w:tr w:rsidR="00C81B24" w:rsidRPr="00C81B24" w:rsidTr="00526AD9">
        <w:trPr>
          <w:trHeight w:val="255"/>
          <w:jc w:val="center"/>
        </w:trPr>
        <w:tc>
          <w:tcPr>
            <w:tcW w:w="554" w:type="dxa"/>
            <w:tcBorders>
              <w:top w:val="nil"/>
              <w:left w:val="single" w:sz="4" w:space="0" w:color="auto"/>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85</w:t>
            </w:r>
          </w:p>
        </w:tc>
        <w:tc>
          <w:tcPr>
            <w:tcW w:w="456" w:type="dxa"/>
            <w:tcBorders>
              <w:top w:val="nil"/>
              <w:left w:val="single" w:sz="4" w:space="0" w:color="auto"/>
              <w:bottom w:val="single" w:sz="4" w:space="0" w:color="auto"/>
              <w:right w:val="single" w:sz="4" w:space="0" w:color="auto"/>
            </w:tcBorders>
            <w:vAlign w:val="center"/>
          </w:tcPr>
          <w:p w:rsidR="00C81B24" w:rsidRPr="00C81B24" w:rsidRDefault="00C81B24" w:rsidP="00CE5850">
            <w:pPr>
              <w:jc w:val="right"/>
              <w:rPr>
                <w:sz w:val="20"/>
              </w:rPr>
            </w:pPr>
            <w:r w:rsidRPr="00C81B24">
              <w:rPr>
                <w:sz w:val="20"/>
              </w:rPr>
              <w:t>35</w:t>
            </w:r>
          </w:p>
        </w:tc>
        <w:tc>
          <w:tcPr>
            <w:tcW w:w="4012" w:type="dxa"/>
            <w:tcBorders>
              <w:top w:val="nil"/>
              <w:left w:val="nil"/>
              <w:bottom w:val="single" w:sz="4" w:space="0" w:color="auto"/>
              <w:right w:val="single" w:sz="4" w:space="0" w:color="auto"/>
            </w:tcBorders>
            <w:vAlign w:val="center"/>
          </w:tcPr>
          <w:p w:rsidR="00C81B24" w:rsidRPr="00C81B24" w:rsidRDefault="00C81B24" w:rsidP="00CE5850">
            <w:pPr>
              <w:rPr>
                <w:sz w:val="20"/>
              </w:rPr>
            </w:pPr>
            <w:r w:rsidRPr="00C81B24">
              <w:rPr>
                <w:sz w:val="20"/>
              </w:rPr>
              <w:t>Tallahassee, FL-GA</w:t>
            </w:r>
          </w:p>
        </w:tc>
        <w:tc>
          <w:tcPr>
            <w:tcW w:w="1102" w:type="dxa"/>
            <w:tcBorders>
              <w:top w:val="nil"/>
              <w:left w:val="nil"/>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 xml:space="preserve"> 776,081 </w:t>
            </w:r>
          </w:p>
        </w:tc>
        <w:tc>
          <w:tcPr>
            <w:tcW w:w="1155" w:type="dxa"/>
            <w:tcBorders>
              <w:top w:val="nil"/>
              <w:left w:val="nil"/>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 xml:space="preserve"> 804,577 </w:t>
            </w:r>
          </w:p>
        </w:tc>
        <w:tc>
          <w:tcPr>
            <w:tcW w:w="979" w:type="dxa"/>
            <w:tcBorders>
              <w:top w:val="nil"/>
              <w:left w:val="nil"/>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96%</w:t>
            </w:r>
          </w:p>
        </w:tc>
        <w:tc>
          <w:tcPr>
            <w:tcW w:w="635" w:type="dxa"/>
            <w:tcBorders>
              <w:top w:val="nil"/>
              <w:left w:val="nil"/>
              <w:bottom w:val="single" w:sz="4" w:space="0" w:color="auto"/>
              <w:right w:val="single" w:sz="4" w:space="0" w:color="auto"/>
            </w:tcBorders>
            <w:noWrap/>
            <w:vAlign w:val="bottom"/>
          </w:tcPr>
          <w:p w:rsidR="00C81B24" w:rsidRPr="00C81B24" w:rsidRDefault="00C81B24" w:rsidP="00CE5850">
            <w:pPr>
              <w:jc w:val="right"/>
              <w:rPr>
                <w:sz w:val="20"/>
              </w:rPr>
            </w:pPr>
            <w:r w:rsidRPr="00C81B24">
              <w:rPr>
                <w:sz w:val="20"/>
              </w:rPr>
              <w:t>3540</w:t>
            </w:r>
          </w:p>
        </w:tc>
        <w:tc>
          <w:tcPr>
            <w:tcW w:w="536" w:type="dxa"/>
            <w:tcBorders>
              <w:top w:val="nil"/>
              <w:left w:val="nil"/>
              <w:bottom w:val="single" w:sz="4" w:space="0" w:color="auto"/>
              <w:right w:val="single" w:sz="4" w:space="0" w:color="auto"/>
            </w:tcBorders>
            <w:vAlign w:val="bottom"/>
          </w:tcPr>
          <w:p w:rsidR="00C81B24" w:rsidRPr="00C81B24" w:rsidRDefault="00C81B24" w:rsidP="00CE5850">
            <w:pPr>
              <w:autoSpaceDE w:val="0"/>
              <w:autoSpaceDN w:val="0"/>
              <w:adjustRightInd w:val="0"/>
              <w:jc w:val="right"/>
              <w:rPr>
                <w:color w:val="000000"/>
                <w:kern w:val="0"/>
                <w:sz w:val="20"/>
              </w:rPr>
            </w:pPr>
            <w:r w:rsidRPr="00C81B24">
              <w:rPr>
                <w:color w:val="000000"/>
                <w:kern w:val="0"/>
                <w:sz w:val="20"/>
              </w:rPr>
              <w:t>3377</w:t>
            </w:r>
          </w:p>
        </w:tc>
        <w:tc>
          <w:tcPr>
            <w:tcW w:w="736" w:type="dxa"/>
            <w:tcBorders>
              <w:top w:val="nil"/>
              <w:left w:val="nil"/>
              <w:bottom w:val="single" w:sz="4" w:space="0" w:color="auto"/>
              <w:right w:val="single" w:sz="4" w:space="0" w:color="auto"/>
            </w:tcBorders>
            <w:vAlign w:val="bottom"/>
          </w:tcPr>
          <w:p w:rsidR="00C81B24" w:rsidRPr="00C81B24" w:rsidRDefault="00C81B24" w:rsidP="00CE5850">
            <w:pPr>
              <w:jc w:val="right"/>
              <w:rPr>
                <w:color w:val="000000"/>
                <w:sz w:val="20"/>
              </w:rPr>
            </w:pPr>
            <w:r w:rsidRPr="00C81B24">
              <w:rPr>
                <w:color w:val="000000"/>
                <w:sz w:val="20"/>
              </w:rPr>
              <w:t>73.33</w:t>
            </w:r>
          </w:p>
        </w:tc>
      </w:tr>
      <w:tr w:rsidR="00C81B24" w:rsidRPr="00C81B24" w:rsidTr="00526AD9">
        <w:trPr>
          <w:trHeight w:val="255"/>
          <w:jc w:val="center"/>
        </w:trPr>
        <w:tc>
          <w:tcPr>
            <w:tcW w:w="554" w:type="dxa"/>
            <w:tcBorders>
              <w:top w:val="nil"/>
              <w:left w:val="single" w:sz="4" w:space="0" w:color="auto"/>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86</w:t>
            </w:r>
          </w:p>
        </w:tc>
        <w:tc>
          <w:tcPr>
            <w:tcW w:w="456" w:type="dxa"/>
            <w:tcBorders>
              <w:top w:val="nil"/>
              <w:left w:val="single" w:sz="4" w:space="0" w:color="auto"/>
              <w:bottom w:val="single" w:sz="4" w:space="0" w:color="auto"/>
              <w:right w:val="single" w:sz="4" w:space="0" w:color="auto"/>
            </w:tcBorders>
            <w:vAlign w:val="center"/>
          </w:tcPr>
          <w:p w:rsidR="00C81B24" w:rsidRPr="00C81B24" w:rsidRDefault="00C81B24" w:rsidP="00CE5850">
            <w:pPr>
              <w:jc w:val="right"/>
              <w:rPr>
                <w:sz w:val="20"/>
              </w:rPr>
            </w:pPr>
            <w:r w:rsidRPr="00C81B24">
              <w:rPr>
                <w:sz w:val="20"/>
              </w:rPr>
              <w:t>69</w:t>
            </w:r>
          </w:p>
        </w:tc>
        <w:tc>
          <w:tcPr>
            <w:tcW w:w="4012" w:type="dxa"/>
            <w:tcBorders>
              <w:top w:val="nil"/>
              <w:left w:val="nil"/>
              <w:bottom w:val="single" w:sz="4" w:space="0" w:color="auto"/>
              <w:right w:val="single" w:sz="4" w:space="0" w:color="auto"/>
            </w:tcBorders>
            <w:vAlign w:val="center"/>
          </w:tcPr>
          <w:p w:rsidR="00C81B24" w:rsidRPr="00C81B24" w:rsidRDefault="00C81B24" w:rsidP="00CE5850">
            <w:pPr>
              <w:rPr>
                <w:sz w:val="20"/>
                <w:lang w:val="sv-SE"/>
              </w:rPr>
            </w:pPr>
            <w:r w:rsidRPr="00C81B24">
              <w:rPr>
                <w:sz w:val="20"/>
                <w:lang w:val="sv-SE"/>
              </w:rPr>
              <w:t>Evansville-Henderson, IN-KY-IL</w:t>
            </w:r>
          </w:p>
        </w:tc>
        <w:tc>
          <w:tcPr>
            <w:tcW w:w="1102" w:type="dxa"/>
            <w:tcBorders>
              <w:top w:val="nil"/>
              <w:left w:val="nil"/>
              <w:bottom w:val="single" w:sz="4" w:space="0" w:color="auto"/>
              <w:right w:val="single" w:sz="4" w:space="0" w:color="auto"/>
            </w:tcBorders>
            <w:vAlign w:val="bottom"/>
          </w:tcPr>
          <w:p w:rsidR="00C81B24" w:rsidRPr="00C81B24" w:rsidRDefault="00C81B24" w:rsidP="00CE5850">
            <w:pPr>
              <w:jc w:val="right"/>
              <w:rPr>
                <w:sz w:val="20"/>
              </w:rPr>
            </w:pPr>
            <w:r w:rsidRPr="00C81B24">
              <w:rPr>
                <w:sz w:val="20"/>
                <w:lang w:val="sv-SE"/>
              </w:rPr>
              <w:t xml:space="preserve"> </w:t>
            </w:r>
            <w:r w:rsidRPr="00C81B24">
              <w:rPr>
                <w:sz w:val="20"/>
              </w:rPr>
              <w:t xml:space="preserve">844,377 </w:t>
            </w:r>
          </w:p>
        </w:tc>
        <w:tc>
          <w:tcPr>
            <w:tcW w:w="1155" w:type="dxa"/>
            <w:tcBorders>
              <w:top w:val="nil"/>
              <w:left w:val="nil"/>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 xml:space="preserve"> 880,549 </w:t>
            </w:r>
          </w:p>
        </w:tc>
        <w:tc>
          <w:tcPr>
            <w:tcW w:w="979" w:type="dxa"/>
            <w:tcBorders>
              <w:top w:val="nil"/>
              <w:left w:val="nil"/>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96%</w:t>
            </w:r>
          </w:p>
        </w:tc>
        <w:tc>
          <w:tcPr>
            <w:tcW w:w="635" w:type="dxa"/>
            <w:tcBorders>
              <w:top w:val="nil"/>
              <w:left w:val="nil"/>
              <w:bottom w:val="single" w:sz="4" w:space="0" w:color="auto"/>
              <w:right w:val="single" w:sz="4" w:space="0" w:color="auto"/>
            </w:tcBorders>
            <w:noWrap/>
            <w:vAlign w:val="bottom"/>
          </w:tcPr>
          <w:p w:rsidR="00C81B24" w:rsidRPr="00C81B24" w:rsidRDefault="00C81B24" w:rsidP="00CE5850">
            <w:pPr>
              <w:jc w:val="right"/>
              <w:rPr>
                <w:sz w:val="20"/>
              </w:rPr>
            </w:pPr>
            <w:r w:rsidRPr="00C81B24">
              <w:rPr>
                <w:sz w:val="20"/>
              </w:rPr>
              <w:t>4190</w:t>
            </w:r>
          </w:p>
        </w:tc>
        <w:tc>
          <w:tcPr>
            <w:tcW w:w="536" w:type="dxa"/>
            <w:tcBorders>
              <w:top w:val="nil"/>
              <w:left w:val="nil"/>
              <w:bottom w:val="single" w:sz="4" w:space="0" w:color="auto"/>
              <w:right w:val="single" w:sz="4" w:space="0" w:color="auto"/>
            </w:tcBorders>
            <w:vAlign w:val="bottom"/>
          </w:tcPr>
          <w:p w:rsidR="00C81B24" w:rsidRPr="00C81B24" w:rsidRDefault="00C81B24" w:rsidP="00CE5850">
            <w:pPr>
              <w:autoSpaceDE w:val="0"/>
              <w:autoSpaceDN w:val="0"/>
              <w:adjustRightInd w:val="0"/>
              <w:jc w:val="right"/>
              <w:rPr>
                <w:color w:val="000000"/>
                <w:kern w:val="0"/>
                <w:sz w:val="20"/>
              </w:rPr>
            </w:pPr>
            <w:r w:rsidRPr="00C81B24">
              <w:rPr>
                <w:color w:val="000000"/>
                <w:kern w:val="0"/>
                <w:sz w:val="20"/>
              </w:rPr>
              <w:t>4265</w:t>
            </w:r>
          </w:p>
        </w:tc>
        <w:tc>
          <w:tcPr>
            <w:tcW w:w="736" w:type="dxa"/>
            <w:tcBorders>
              <w:top w:val="nil"/>
              <w:left w:val="nil"/>
              <w:bottom w:val="single" w:sz="4" w:space="0" w:color="auto"/>
              <w:right w:val="single" w:sz="4" w:space="0" w:color="auto"/>
            </w:tcBorders>
            <w:vAlign w:val="bottom"/>
          </w:tcPr>
          <w:p w:rsidR="00C81B24" w:rsidRPr="00C81B24" w:rsidRDefault="00C81B24" w:rsidP="00CE5850">
            <w:pPr>
              <w:jc w:val="right"/>
              <w:rPr>
                <w:color w:val="000000"/>
                <w:sz w:val="20"/>
              </w:rPr>
            </w:pPr>
            <w:r w:rsidRPr="00C81B24">
              <w:rPr>
                <w:color w:val="000000"/>
                <w:sz w:val="20"/>
              </w:rPr>
              <w:t>78.90</w:t>
            </w:r>
          </w:p>
        </w:tc>
      </w:tr>
      <w:tr w:rsidR="00C81B24" w:rsidRPr="00C81B24" w:rsidTr="00526AD9">
        <w:trPr>
          <w:trHeight w:val="255"/>
          <w:jc w:val="center"/>
        </w:trPr>
        <w:tc>
          <w:tcPr>
            <w:tcW w:w="554" w:type="dxa"/>
            <w:tcBorders>
              <w:top w:val="nil"/>
              <w:left w:val="single" w:sz="4" w:space="0" w:color="auto"/>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87</w:t>
            </w:r>
          </w:p>
        </w:tc>
        <w:tc>
          <w:tcPr>
            <w:tcW w:w="456" w:type="dxa"/>
            <w:tcBorders>
              <w:top w:val="nil"/>
              <w:left w:val="single" w:sz="4" w:space="0" w:color="auto"/>
              <w:bottom w:val="single" w:sz="4" w:space="0" w:color="auto"/>
              <w:right w:val="single" w:sz="4" w:space="0" w:color="auto"/>
            </w:tcBorders>
            <w:vAlign w:val="center"/>
          </w:tcPr>
          <w:p w:rsidR="00C81B24" w:rsidRPr="00C81B24" w:rsidRDefault="00C81B24" w:rsidP="00CE5850">
            <w:pPr>
              <w:jc w:val="right"/>
              <w:rPr>
                <w:sz w:val="20"/>
              </w:rPr>
            </w:pPr>
            <w:r w:rsidRPr="00C81B24">
              <w:rPr>
                <w:sz w:val="20"/>
              </w:rPr>
              <w:t>128</w:t>
            </w:r>
          </w:p>
        </w:tc>
        <w:tc>
          <w:tcPr>
            <w:tcW w:w="4012" w:type="dxa"/>
            <w:tcBorders>
              <w:top w:val="nil"/>
              <w:left w:val="nil"/>
              <w:bottom w:val="single" w:sz="4" w:space="0" w:color="auto"/>
              <w:right w:val="single" w:sz="4" w:space="0" w:color="auto"/>
            </w:tcBorders>
            <w:vAlign w:val="center"/>
          </w:tcPr>
          <w:p w:rsidR="00C81B24" w:rsidRPr="00C81B24" w:rsidRDefault="00C81B24" w:rsidP="00CE5850">
            <w:pPr>
              <w:rPr>
                <w:sz w:val="20"/>
              </w:rPr>
            </w:pPr>
            <w:r w:rsidRPr="00C81B24">
              <w:rPr>
                <w:sz w:val="20"/>
              </w:rPr>
              <w:t>Abilene, TX</w:t>
            </w:r>
          </w:p>
        </w:tc>
        <w:tc>
          <w:tcPr>
            <w:tcW w:w="1102" w:type="dxa"/>
            <w:tcBorders>
              <w:top w:val="nil"/>
              <w:left w:val="nil"/>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 xml:space="preserve"> 217,625 </w:t>
            </w:r>
          </w:p>
        </w:tc>
        <w:tc>
          <w:tcPr>
            <w:tcW w:w="1155" w:type="dxa"/>
            <w:tcBorders>
              <w:top w:val="nil"/>
              <w:left w:val="nil"/>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 xml:space="preserve"> 226,736 </w:t>
            </w:r>
          </w:p>
        </w:tc>
        <w:tc>
          <w:tcPr>
            <w:tcW w:w="979" w:type="dxa"/>
            <w:tcBorders>
              <w:top w:val="nil"/>
              <w:left w:val="nil"/>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96%</w:t>
            </w:r>
          </w:p>
        </w:tc>
        <w:tc>
          <w:tcPr>
            <w:tcW w:w="635" w:type="dxa"/>
            <w:tcBorders>
              <w:top w:val="nil"/>
              <w:left w:val="nil"/>
              <w:bottom w:val="single" w:sz="4" w:space="0" w:color="auto"/>
              <w:right w:val="single" w:sz="4" w:space="0" w:color="auto"/>
            </w:tcBorders>
            <w:noWrap/>
            <w:vAlign w:val="bottom"/>
          </w:tcPr>
          <w:p w:rsidR="00C81B24" w:rsidRPr="00C81B24" w:rsidRDefault="00C81B24" w:rsidP="00CE5850">
            <w:pPr>
              <w:jc w:val="right"/>
              <w:rPr>
                <w:sz w:val="20"/>
              </w:rPr>
            </w:pPr>
            <w:r w:rsidRPr="00C81B24">
              <w:rPr>
                <w:sz w:val="20"/>
              </w:rPr>
              <w:t>3687</w:t>
            </w:r>
          </w:p>
        </w:tc>
        <w:tc>
          <w:tcPr>
            <w:tcW w:w="536" w:type="dxa"/>
            <w:tcBorders>
              <w:top w:val="nil"/>
              <w:left w:val="nil"/>
              <w:bottom w:val="single" w:sz="4" w:space="0" w:color="auto"/>
              <w:right w:val="single" w:sz="4" w:space="0" w:color="auto"/>
            </w:tcBorders>
            <w:vAlign w:val="bottom"/>
          </w:tcPr>
          <w:p w:rsidR="00C81B24" w:rsidRPr="00C81B24" w:rsidRDefault="00C81B24" w:rsidP="00CE5850">
            <w:pPr>
              <w:autoSpaceDE w:val="0"/>
              <w:autoSpaceDN w:val="0"/>
              <w:adjustRightInd w:val="0"/>
              <w:jc w:val="right"/>
              <w:rPr>
                <w:color w:val="000000"/>
                <w:kern w:val="0"/>
                <w:sz w:val="20"/>
              </w:rPr>
            </w:pPr>
            <w:r w:rsidRPr="00C81B24">
              <w:rPr>
                <w:color w:val="000000"/>
                <w:kern w:val="0"/>
                <w:sz w:val="20"/>
              </w:rPr>
              <w:t>3628</w:t>
            </w:r>
          </w:p>
        </w:tc>
        <w:tc>
          <w:tcPr>
            <w:tcW w:w="736" w:type="dxa"/>
            <w:tcBorders>
              <w:top w:val="nil"/>
              <w:left w:val="nil"/>
              <w:bottom w:val="single" w:sz="4" w:space="0" w:color="auto"/>
              <w:right w:val="single" w:sz="4" w:space="0" w:color="auto"/>
            </w:tcBorders>
            <w:vAlign w:val="bottom"/>
          </w:tcPr>
          <w:p w:rsidR="00C81B24" w:rsidRPr="00C81B24" w:rsidRDefault="00C81B24" w:rsidP="00CE5850">
            <w:pPr>
              <w:jc w:val="right"/>
              <w:rPr>
                <w:color w:val="000000"/>
                <w:sz w:val="20"/>
              </w:rPr>
            </w:pPr>
            <w:r w:rsidRPr="00C81B24">
              <w:rPr>
                <w:color w:val="000000"/>
                <w:sz w:val="20"/>
              </w:rPr>
              <w:t>20.76</w:t>
            </w:r>
          </w:p>
        </w:tc>
      </w:tr>
      <w:tr w:rsidR="00C81B24" w:rsidRPr="00C81B24" w:rsidTr="00526AD9">
        <w:trPr>
          <w:trHeight w:val="255"/>
          <w:jc w:val="center"/>
        </w:trPr>
        <w:tc>
          <w:tcPr>
            <w:tcW w:w="554" w:type="dxa"/>
            <w:tcBorders>
              <w:top w:val="nil"/>
              <w:left w:val="single" w:sz="4" w:space="0" w:color="auto"/>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88</w:t>
            </w:r>
          </w:p>
        </w:tc>
        <w:tc>
          <w:tcPr>
            <w:tcW w:w="456" w:type="dxa"/>
            <w:tcBorders>
              <w:top w:val="nil"/>
              <w:left w:val="single" w:sz="4" w:space="0" w:color="auto"/>
              <w:bottom w:val="single" w:sz="4" w:space="0" w:color="auto"/>
              <w:right w:val="single" w:sz="4" w:space="0" w:color="auto"/>
            </w:tcBorders>
            <w:vAlign w:val="center"/>
          </w:tcPr>
          <w:p w:rsidR="00C81B24" w:rsidRPr="00C81B24" w:rsidRDefault="00C81B24" w:rsidP="00CE5850">
            <w:pPr>
              <w:jc w:val="right"/>
              <w:rPr>
                <w:sz w:val="20"/>
              </w:rPr>
            </w:pPr>
            <w:r w:rsidRPr="00C81B24">
              <w:rPr>
                <w:sz w:val="20"/>
              </w:rPr>
              <w:t>142</w:t>
            </w:r>
          </w:p>
        </w:tc>
        <w:tc>
          <w:tcPr>
            <w:tcW w:w="4012" w:type="dxa"/>
            <w:tcBorders>
              <w:top w:val="nil"/>
              <w:left w:val="nil"/>
              <w:bottom w:val="single" w:sz="4" w:space="0" w:color="auto"/>
              <w:right w:val="single" w:sz="4" w:space="0" w:color="auto"/>
            </w:tcBorders>
            <w:vAlign w:val="center"/>
          </w:tcPr>
          <w:p w:rsidR="00C81B24" w:rsidRPr="00C81B24" w:rsidRDefault="00C81B24" w:rsidP="00CE5850">
            <w:pPr>
              <w:rPr>
                <w:sz w:val="20"/>
              </w:rPr>
            </w:pPr>
            <w:r w:rsidRPr="00C81B24">
              <w:rPr>
                <w:sz w:val="20"/>
              </w:rPr>
              <w:t>Scottsbluff, NE-WY</w:t>
            </w:r>
          </w:p>
        </w:tc>
        <w:tc>
          <w:tcPr>
            <w:tcW w:w="1102" w:type="dxa"/>
            <w:tcBorders>
              <w:top w:val="nil"/>
              <w:left w:val="nil"/>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 xml:space="preserve"> 88,210 </w:t>
            </w:r>
          </w:p>
        </w:tc>
        <w:tc>
          <w:tcPr>
            <w:tcW w:w="1155" w:type="dxa"/>
            <w:tcBorders>
              <w:top w:val="nil"/>
              <w:left w:val="nil"/>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 xml:space="preserve"> 91,930 </w:t>
            </w:r>
          </w:p>
        </w:tc>
        <w:tc>
          <w:tcPr>
            <w:tcW w:w="979" w:type="dxa"/>
            <w:tcBorders>
              <w:top w:val="nil"/>
              <w:left w:val="nil"/>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96%</w:t>
            </w:r>
          </w:p>
        </w:tc>
        <w:tc>
          <w:tcPr>
            <w:tcW w:w="635" w:type="dxa"/>
            <w:tcBorders>
              <w:top w:val="nil"/>
              <w:left w:val="nil"/>
              <w:bottom w:val="single" w:sz="4" w:space="0" w:color="auto"/>
              <w:right w:val="single" w:sz="4" w:space="0" w:color="auto"/>
            </w:tcBorders>
            <w:noWrap/>
            <w:vAlign w:val="bottom"/>
          </w:tcPr>
          <w:p w:rsidR="00C81B24" w:rsidRPr="00C81B24" w:rsidRDefault="00C81B24" w:rsidP="00CE5850">
            <w:pPr>
              <w:jc w:val="right"/>
              <w:rPr>
                <w:sz w:val="20"/>
              </w:rPr>
            </w:pPr>
            <w:r w:rsidRPr="00C81B24">
              <w:rPr>
                <w:sz w:val="20"/>
              </w:rPr>
              <w:t>6618</w:t>
            </w:r>
          </w:p>
        </w:tc>
        <w:tc>
          <w:tcPr>
            <w:tcW w:w="536" w:type="dxa"/>
            <w:tcBorders>
              <w:top w:val="nil"/>
              <w:left w:val="nil"/>
              <w:bottom w:val="single" w:sz="4" w:space="0" w:color="auto"/>
              <w:right w:val="single" w:sz="4" w:space="0" w:color="auto"/>
            </w:tcBorders>
            <w:vAlign w:val="bottom"/>
          </w:tcPr>
          <w:p w:rsidR="00C81B24" w:rsidRPr="00C81B24" w:rsidRDefault="00C81B24" w:rsidP="00CE5850">
            <w:pPr>
              <w:autoSpaceDE w:val="0"/>
              <w:autoSpaceDN w:val="0"/>
              <w:adjustRightInd w:val="0"/>
              <w:jc w:val="right"/>
              <w:rPr>
                <w:color w:val="000000"/>
                <w:kern w:val="0"/>
                <w:sz w:val="20"/>
              </w:rPr>
            </w:pPr>
            <w:r w:rsidRPr="00C81B24">
              <w:rPr>
                <w:color w:val="000000"/>
                <w:kern w:val="0"/>
                <w:sz w:val="20"/>
              </w:rPr>
              <w:t>6512</w:t>
            </w:r>
          </w:p>
        </w:tc>
        <w:tc>
          <w:tcPr>
            <w:tcW w:w="736" w:type="dxa"/>
            <w:tcBorders>
              <w:top w:val="nil"/>
              <w:left w:val="nil"/>
              <w:bottom w:val="single" w:sz="4" w:space="0" w:color="auto"/>
              <w:right w:val="single" w:sz="4" w:space="0" w:color="auto"/>
            </w:tcBorders>
            <w:vAlign w:val="bottom"/>
          </w:tcPr>
          <w:p w:rsidR="00C81B24" w:rsidRPr="00C81B24" w:rsidRDefault="00C81B24" w:rsidP="00CE5850">
            <w:pPr>
              <w:jc w:val="right"/>
              <w:rPr>
                <w:color w:val="000000"/>
                <w:sz w:val="20"/>
              </w:rPr>
            </w:pPr>
            <w:r w:rsidRPr="00C81B24">
              <w:rPr>
                <w:color w:val="000000"/>
                <w:sz w:val="20"/>
              </w:rPr>
              <w:t>7.75</w:t>
            </w:r>
          </w:p>
        </w:tc>
      </w:tr>
      <w:tr w:rsidR="00C81B24" w:rsidRPr="00C81B24" w:rsidTr="00526AD9">
        <w:trPr>
          <w:trHeight w:val="255"/>
          <w:jc w:val="center"/>
        </w:trPr>
        <w:tc>
          <w:tcPr>
            <w:tcW w:w="554" w:type="dxa"/>
            <w:tcBorders>
              <w:top w:val="nil"/>
              <w:left w:val="single" w:sz="4" w:space="0" w:color="auto"/>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89</w:t>
            </w:r>
          </w:p>
        </w:tc>
        <w:tc>
          <w:tcPr>
            <w:tcW w:w="456" w:type="dxa"/>
            <w:tcBorders>
              <w:top w:val="nil"/>
              <w:left w:val="single" w:sz="4" w:space="0" w:color="auto"/>
              <w:bottom w:val="single" w:sz="4" w:space="0" w:color="auto"/>
              <w:right w:val="single" w:sz="4" w:space="0" w:color="auto"/>
            </w:tcBorders>
            <w:vAlign w:val="center"/>
          </w:tcPr>
          <w:p w:rsidR="00C81B24" w:rsidRPr="00C81B24" w:rsidRDefault="00C81B24" w:rsidP="00CE5850">
            <w:pPr>
              <w:jc w:val="right"/>
              <w:rPr>
                <w:sz w:val="20"/>
              </w:rPr>
            </w:pPr>
            <w:r w:rsidRPr="00C81B24">
              <w:rPr>
                <w:sz w:val="20"/>
              </w:rPr>
              <w:t>6</w:t>
            </w:r>
          </w:p>
        </w:tc>
        <w:tc>
          <w:tcPr>
            <w:tcW w:w="4012" w:type="dxa"/>
            <w:tcBorders>
              <w:top w:val="nil"/>
              <w:left w:val="nil"/>
              <w:bottom w:val="single" w:sz="4" w:space="0" w:color="auto"/>
              <w:right w:val="single" w:sz="4" w:space="0" w:color="auto"/>
            </w:tcBorders>
            <w:vAlign w:val="center"/>
          </w:tcPr>
          <w:p w:rsidR="00C81B24" w:rsidRPr="00C81B24" w:rsidRDefault="00C81B24" w:rsidP="00CE5850">
            <w:pPr>
              <w:rPr>
                <w:sz w:val="20"/>
              </w:rPr>
            </w:pPr>
            <w:r w:rsidRPr="00C81B24">
              <w:rPr>
                <w:sz w:val="20"/>
              </w:rPr>
              <w:t>Syracuse, NY-PA</w:t>
            </w:r>
          </w:p>
        </w:tc>
        <w:tc>
          <w:tcPr>
            <w:tcW w:w="1102" w:type="dxa"/>
            <w:tcBorders>
              <w:top w:val="nil"/>
              <w:left w:val="nil"/>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 xml:space="preserve"> 1,829,121 </w:t>
            </w:r>
          </w:p>
        </w:tc>
        <w:tc>
          <w:tcPr>
            <w:tcW w:w="1155" w:type="dxa"/>
            <w:tcBorders>
              <w:top w:val="nil"/>
              <w:left w:val="nil"/>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 xml:space="preserve"> 1,919,717 </w:t>
            </w:r>
          </w:p>
        </w:tc>
        <w:tc>
          <w:tcPr>
            <w:tcW w:w="979" w:type="dxa"/>
            <w:tcBorders>
              <w:top w:val="nil"/>
              <w:left w:val="nil"/>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95%</w:t>
            </w:r>
          </w:p>
        </w:tc>
        <w:tc>
          <w:tcPr>
            <w:tcW w:w="635" w:type="dxa"/>
            <w:tcBorders>
              <w:top w:val="nil"/>
              <w:left w:val="nil"/>
              <w:bottom w:val="single" w:sz="4" w:space="0" w:color="auto"/>
              <w:right w:val="single" w:sz="4" w:space="0" w:color="auto"/>
            </w:tcBorders>
            <w:noWrap/>
            <w:vAlign w:val="bottom"/>
          </w:tcPr>
          <w:p w:rsidR="00C81B24" w:rsidRPr="00C81B24" w:rsidRDefault="00C81B24" w:rsidP="00CE5850">
            <w:pPr>
              <w:jc w:val="right"/>
              <w:rPr>
                <w:sz w:val="20"/>
              </w:rPr>
            </w:pPr>
            <w:r w:rsidRPr="00C81B24">
              <w:rPr>
                <w:sz w:val="20"/>
              </w:rPr>
              <w:t>3989</w:t>
            </w:r>
          </w:p>
        </w:tc>
        <w:tc>
          <w:tcPr>
            <w:tcW w:w="536" w:type="dxa"/>
            <w:tcBorders>
              <w:top w:val="nil"/>
              <w:left w:val="nil"/>
              <w:bottom w:val="single" w:sz="4" w:space="0" w:color="auto"/>
              <w:right w:val="single" w:sz="4" w:space="0" w:color="auto"/>
            </w:tcBorders>
            <w:vAlign w:val="bottom"/>
          </w:tcPr>
          <w:p w:rsidR="00C81B24" w:rsidRPr="00C81B24" w:rsidRDefault="00C81B24" w:rsidP="00CE5850">
            <w:pPr>
              <w:autoSpaceDE w:val="0"/>
              <w:autoSpaceDN w:val="0"/>
              <w:adjustRightInd w:val="0"/>
              <w:jc w:val="right"/>
              <w:rPr>
                <w:color w:val="000000"/>
                <w:kern w:val="0"/>
                <w:sz w:val="20"/>
              </w:rPr>
            </w:pPr>
            <w:r w:rsidRPr="00C81B24">
              <w:rPr>
                <w:color w:val="000000"/>
                <w:kern w:val="0"/>
                <w:sz w:val="20"/>
              </w:rPr>
              <w:t>4048</w:t>
            </w:r>
          </w:p>
        </w:tc>
        <w:tc>
          <w:tcPr>
            <w:tcW w:w="736" w:type="dxa"/>
            <w:tcBorders>
              <w:top w:val="nil"/>
              <w:left w:val="nil"/>
              <w:bottom w:val="single" w:sz="4" w:space="0" w:color="auto"/>
              <w:right w:val="single" w:sz="4" w:space="0" w:color="auto"/>
            </w:tcBorders>
            <w:vAlign w:val="bottom"/>
          </w:tcPr>
          <w:p w:rsidR="00C81B24" w:rsidRPr="00C81B24" w:rsidRDefault="00C81B24" w:rsidP="00CE5850">
            <w:pPr>
              <w:jc w:val="right"/>
              <w:rPr>
                <w:color w:val="000000"/>
                <w:sz w:val="20"/>
              </w:rPr>
            </w:pPr>
            <w:r w:rsidRPr="00C81B24">
              <w:rPr>
                <w:color w:val="000000"/>
                <w:sz w:val="20"/>
              </w:rPr>
              <w:t>109.15</w:t>
            </w:r>
          </w:p>
        </w:tc>
      </w:tr>
      <w:tr w:rsidR="00C81B24" w:rsidRPr="00C81B24" w:rsidTr="00526AD9">
        <w:trPr>
          <w:trHeight w:val="255"/>
          <w:jc w:val="center"/>
        </w:trPr>
        <w:tc>
          <w:tcPr>
            <w:tcW w:w="554" w:type="dxa"/>
            <w:tcBorders>
              <w:top w:val="nil"/>
              <w:left w:val="single" w:sz="4" w:space="0" w:color="auto"/>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90</w:t>
            </w:r>
          </w:p>
        </w:tc>
        <w:tc>
          <w:tcPr>
            <w:tcW w:w="456" w:type="dxa"/>
            <w:tcBorders>
              <w:top w:val="nil"/>
              <w:left w:val="single" w:sz="4" w:space="0" w:color="auto"/>
              <w:bottom w:val="single" w:sz="4" w:space="0" w:color="auto"/>
              <w:right w:val="single" w:sz="4" w:space="0" w:color="auto"/>
            </w:tcBorders>
            <w:vAlign w:val="center"/>
          </w:tcPr>
          <w:p w:rsidR="00C81B24" w:rsidRPr="00C81B24" w:rsidRDefault="00C81B24" w:rsidP="00CE5850">
            <w:pPr>
              <w:jc w:val="right"/>
              <w:rPr>
                <w:sz w:val="20"/>
              </w:rPr>
            </w:pPr>
            <w:r w:rsidRPr="00C81B24">
              <w:rPr>
                <w:sz w:val="20"/>
              </w:rPr>
              <w:t>7</w:t>
            </w:r>
          </w:p>
        </w:tc>
        <w:tc>
          <w:tcPr>
            <w:tcW w:w="4012" w:type="dxa"/>
            <w:tcBorders>
              <w:top w:val="nil"/>
              <w:left w:val="nil"/>
              <w:bottom w:val="single" w:sz="4" w:space="0" w:color="auto"/>
              <w:right w:val="single" w:sz="4" w:space="0" w:color="auto"/>
            </w:tcBorders>
            <w:vAlign w:val="center"/>
          </w:tcPr>
          <w:p w:rsidR="00C81B24" w:rsidRPr="00C81B24" w:rsidRDefault="00C81B24" w:rsidP="00CE5850">
            <w:pPr>
              <w:rPr>
                <w:sz w:val="20"/>
              </w:rPr>
            </w:pPr>
            <w:r w:rsidRPr="00C81B24">
              <w:rPr>
                <w:sz w:val="20"/>
              </w:rPr>
              <w:t>Rochester, NY-PA</w:t>
            </w:r>
          </w:p>
        </w:tc>
        <w:tc>
          <w:tcPr>
            <w:tcW w:w="1102" w:type="dxa"/>
            <w:tcBorders>
              <w:top w:val="nil"/>
              <w:left w:val="nil"/>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 xml:space="preserve"> 1,437,945 </w:t>
            </w:r>
          </w:p>
        </w:tc>
        <w:tc>
          <w:tcPr>
            <w:tcW w:w="1155" w:type="dxa"/>
            <w:tcBorders>
              <w:top w:val="nil"/>
              <w:left w:val="nil"/>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 xml:space="preserve"> 1,511,076 </w:t>
            </w:r>
          </w:p>
        </w:tc>
        <w:tc>
          <w:tcPr>
            <w:tcW w:w="979" w:type="dxa"/>
            <w:tcBorders>
              <w:top w:val="nil"/>
              <w:left w:val="nil"/>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95%</w:t>
            </w:r>
          </w:p>
        </w:tc>
        <w:tc>
          <w:tcPr>
            <w:tcW w:w="635" w:type="dxa"/>
            <w:tcBorders>
              <w:top w:val="nil"/>
              <w:left w:val="nil"/>
              <w:bottom w:val="single" w:sz="4" w:space="0" w:color="auto"/>
              <w:right w:val="single" w:sz="4" w:space="0" w:color="auto"/>
            </w:tcBorders>
            <w:noWrap/>
            <w:vAlign w:val="bottom"/>
          </w:tcPr>
          <w:p w:rsidR="00C81B24" w:rsidRPr="00C81B24" w:rsidRDefault="00C81B24" w:rsidP="00CE5850">
            <w:pPr>
              <w:jc w:val="right"/>
              <w:rPr>
                <w:sz w:val="20"/>
              </w:rPr>
            </w:pPr>
            <w:r w:rsidRPr="00C81B24">
              <w:rPr>
                <w:sz w:val="20"/>
              </w:rPr>
              <w:t>4343</w:t>
            </w:r>
          </w:p>
        </w:tc>
        <w:tc>
          <w:tcPr>
            <w:tcW w:w="536" w:type="dxa"/>
            <w:tcBorders>
              <w:top w:val="nil"/>
              <w:left w:val="nil"/>
              <w:bottom w:val="single" w:sz="4" w:space="0" w:color="auto"/>
              <w:right w:val="single" w:sz="4" w:space="0" w:color="auto"/>
            </w:tcBorders>
            <w:vAlign w:val="bottom"/>
          </w:tcPr>
          <w:p w:rsidR="00C81B24" w:rsidRPr="00C81B24" w:rsidRDefault="00C81B24" w:rsidP="00CE5850">
            <w:pPr>
              <w:autoSpaceDE w:val="0"/>
              <w:autoSpaceDN w:val="0"/>
              <w:adjustRightInd w:val="0"/>
              <w:jc w:val="right"/>
              <w:rPr>
                <w:color w:val="000000"/>
                <w:kern w:val="0"/>
                <w:sz w:val="20"/>
              </w:rPr>
            </w:pPr>
            <w:r w:rsidRPr="00C81B24">
              <w:rPr>
                <w:color w:val="000000"/>
                <w:kern w:val="0"/>
                <w:sz w:val="20"/>
              </w:rPr>
              <w:t>4348</w:t>
            </w:r>
          </w:p>
        </w:tc>
        <w:tc>
          <w:tcPr>
            <w:tcW w:w="736" w:type="dxa"/>
            <w:tcBorders>
              <w:top w:val="nil"/>
              <w:left w:val="nil"/>
              <w:bottom w:val="single" w:sz="4" w:space="0" w:color="auto"/>
              <w:right w:val="single" w:sz="4" w:space="0" w:color="auto"/>
            </w:tcBorders>
            <w:vAlign w:val="bottom"/>
          </w:tcPr>
          <w:p w:rsidR="00C81B24" w:rsidRPr="00C81B24" w:rsidRDefault="00C81B24" w:rsidP="00CE5850">
            <w:pPr>
              <w:jc w:val="right"/>
              <w:rPr>
                <w:color w:val="000000"/>
                <w:sz w:val="20"/>
              </w:rPr>
            </w:pPr>
            <w:r w:rsidRPr="00C81B24">
              <w:rPr>
                <w:color w:val="000000"/>
                <w:sz w:val="20"/>
              </w:rPr>
              <w:t>172.43</w:t>
            </w:r>
          </w:p>
        </w:tc>
      </w:tr>
      <w:tr w:rsidR="00C81B24" w:rsidRPr="00C81B24" w:rsidTr="00526AD9">
        <w:trPr>
          <w:trHeight w:val="255"/>
          <w:jc w:val="center"/>
        </w:trPr>
        <w:tc>
          <w:tcPr>
            <w:tcW w:w="554" w:type="dxa"/>
            <w:tcBorders>
              <w:top w:val="nil"/>
              <w:left w:val="single" w:sz="4" w:space="0" w:color="auto"/>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91</w:t>
            </w:r>
          </w:p>
        </w:tc>
        <w:tc>
          <w:tcPr>
            <w:tcW w:w="456" w:type="dxa"/>
            <w:tcBorders>
              <w:top w:val="nil"/>
              <w:left w:val="single" w:sz="4" w:space="0" w:color="auto"/>
              <w:bottom w:val="single" w:sz="4" w:space="0" w:color="auto"/>
              <w:right w:val="single" w:sz="4" w:space="0" w:color="auto"/>
            </w:tcBorders>
            <w:vAlign w:val="center"/>
          </w:tcPr>
          <w:p w:rsidR="00C81B24" w:rsidRPr="00C81B24" w:rsidRDefault="00C81B24" w:rsidP="00CE5850">
            <w:pPr>
              <w:jc w:val="right"/>
              <w:rPr>
                <w:sz w:val="20"/>
              </w:rPr>
            </w:pPr>
            <w:r w:rsidRPr="00C81B24">
              <w:rPr>
                <w:sz w:val="20"/>
              </w:rPr>
              <w:t>28</w:t>
            </w:r>
          </w:p>
        </w:tc>
        <w:tc>
          <w:tcPr>
            <w:tcW w:w="4012" w:type="dxa"/>
            <w:tcBorders>
              <w:top w:val="nil"/>
              <w:left w:val="nil"/>
              <w:bottom w:val="single" w:sz="4" w:space="0" w:color="auto"/>
              <w:right w:val="single" w:sz="4" w:space="0" w:color="auto"/>
            </w:tcBorders>
            <w:vAlign w:val="center"/>
          </w:tcPr>
          <w:p w:rsidR="00C81B24" w:rsidRPr="00C81B24" w:rsidRDefault="00C81B24" w:rsidP="00CE5850">
            <w:pPr>
              <w:rPr>
                <w:sz w:val="20"/>
              </w:rPr>
            </w:pPr>
            <w:r w:rsidRPr="00C81B24">
              <w:rPr>
                <w:sz w:val="20"/>
              </w:rPr>
              <w:t>Savannah, GA-SC</w:t>
            </w:r>
          </w:p>
        </w:tc>
        <w:tc>
          <w:tcPr>
            <w:tcW w:w="1102" w:type="dxa"/>
            <w:tcBorders>
              <w:top w:val="nil"/>
              <w:left w:val="nil"/>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 xml:space="preserve"> 771,037 </w:t>
            </w:r>
          </w:p>
        </w:tc>
        <w:tc>
          <w:tcPr>
            <w:tcW w:w="1155" w:type="dxa"/>
            <w:tcBorders>
              <w:top w:val="nil"/>
              <w:left w:val="nil"/>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 xml:space="preserve"> 812,467 </w:t>
            </w:r>
          </w:p>
        </w:tc>
        <w:tc>
          <w:tcPr>
            <w:tcW w:w="979" w:type="dxa"/>
            <w:tcBorders>
              <w:top w:val="nil"/>
              <w:left w:val="nil"/>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95%</w:t>
            </w:r>
          </w:p>
        </w:tc>
        <w:tc>
          <w:tcPr>
            <w:tcW w:w="635" w:type="dxa"/>
            <w:tcBorders>
              <w:top w:val="nil"/>
              <w:left w:val="nil"/>
              <w:bottom w:val="single" w:sz="4" w:space="0" w:color="auto"/>
              <w:right w:val="single" w:sz="4" w:space="0" w:color="auto"/>
            </w:tcBorders>
            <w:noWrap/>
            <w:vAlign w:val="bottom"/>
          </w:tcPr>
          <w:p w:rsidR="00C81B24" w:rsidRPr="00C81B24" w:rsidRDefault="00C81B24" w:rsidP="00CE5850">
            <w:pPr>
              <w:jc w:val="right"/>
              <w:rPr>
                <w:sz w:val="20"/>
              </w:rPr>
            </w:pPr>
            <w:r w:rsidRPr="00C81B24">
              <w:rPr>
                <w:sz w:val="20"/>
              </w:rPr>
              <w:t>2766</w:t>
            </w:r>
          </w:p>
        </w:tc>
        <w:tc>
          <w:tcPr>
            <w:tcW w:w="536" w:type="dxa"/>
            <w:tcBorders>
              <w:top w:val="nil"/>
              <w:left w:val="nil"/>
              <w:bottom w:val="single" w:sz="4" w:space="0" w:color="auto"/>
              <w:right w:val="single" w:sz="4" w:space="0" w:color="auto"/>
            </w:tcBorders>
            <w:vAlign w:val="bottom"/>
          </w:tcPr>
          <w:p w:rsidR="00C81B24" w:rsidRPr="00C81B24" w:rsidRDefault="00C81B24" w:rsidP="00CE5850">
            <w:pPr>
              <w:autoSpaceDE w:val="0"/>
              <w:autoSpaceDN w:val="0"/>
              <w:adjustRightInd w:val="0"/>
              <w:jc w:val="right"/>
              <w:rPr>
                <w:color w:val="000000"/>
                <w:kern w:val="0"/>
                <w:sz w:val="20"/>
              </w:rPr>
            </w:pPr>
            <w:r w:rsidRPr="00C81B24">
              <w:rPr>
                <w:color w:val="000000"/>
                <w:kern w:val="0"/>
                <w:sz w:val="20"/>
              </w:rPr>
              <w:t>2650</w:t>
            </w:r>
          </w:p>
        </w:tc>
        <w:tc>
          <w:tcPr>
            <w:tcW w:w="736" w:type="dxa"/>
            <w:tcBorders>
              <w:top w:val="nil"/>
              <w:left w:val="nil"/>
              <w:bottom w:val="single" w:sz="4" w:space="0" w:color="auto"/>
              <w:right w:val="single" w:sz="4" w:space="0" w:color="auto"/>
            </w:tcBorders>
            <w:vAlign w:val="bottom"/>
          </w:tcPr>
          <w:p w:rsidR="00C81B24" w:rsidRPr="00C81B24" w:rsidRDefault="00C81B24" w:rsidP="00CE5850">
            <w:pPr>
              <w:jc w:val="right"/>
              <w:rPr>
                <w:color w:val="000000"/>
                <w:sz w:val="20"/>
              </w:rPr>
            </w:pPr>
            <w:r w:rsidRPr="00C81B24">
              <w:rPr>
                <w:color w:val="000000"/>
                <w:sz w:val="20"/>
              </w:rPr>
              <w:t>115.59</w:t>
            </w:r>
          </w:p>
        </w:tc>
      </w:tr>
      <w:tr w:rsidR="00C81B24" w:rsidRPr="00C81B24" w:rsidTr="00526AD9">
        <w:trPr>
          <w:trHeight w:val="255"/>
          <w:jc w:val="center"/>
        </w:trPr>
        <w:tc>
          <w:tcPr>
            <w:tcW w:w="554" w:type="dxa"/>
            <w:tcBorders>
              <w:top w:val="nil"/>
              <w:left w:val="single" w:sz="4" w:space="0" w:color="auto"/>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92</w:t>
            </w:r>
          </w:p>
        </w:tc>
        <w:tc>
          <w:tcPr>
            <w:tcW w:w="456" w:type="dxa"/>
            <w:tcBorders>
              <w:top w:val="nil"/>
              <w:left w:val="single" w:sz="4" w:space="0" w:color="auto"/>
              <w:bottom w:val="single" w:sz="4" w:space="0" w:color="auto"/>
              <w:right w:val="single" w:sz="4" w:space="0" w:color="auto"/>
            </w:tcBorders>
            <w:vAlign w:val="center"/>
          </w:tcPr>
          <w:p w:rsidR="00C81B24" w:rsidRPr="00C81B24" w:rsidRDefault="00C81B24" w:rsidP="00CE5850">
            <w:pPr>
              <w:jc w:val="right"/>
              <w:rPr>
                <w:sz w:val="20"/>
              </w:rPr>
            </w:pPr>
            <w:r w:rsidRPr="00C81B24">
              <w:rPr>
                <w:sz w:val="20"/>
              </w:rPr>
              <w:t>67</w:t>
            </w:r>
          </w:p>
        </w:tc>
        <w:tc>
          <w:tcPr>
            <w:tcW w:w="4012" w:type="dxa"/>
            <w:tcBorders>
              <w:top w:val="nil"/>
              <w:left w:val="nil"/>
              <w:bottom w:val="single" w:sz="4" w:space="0" w:color="auto"/>
              <w:right w:val="single" w:sz="4" w:space="0" w:color="auto"/>
            </w:tcBorders>
            <w:vAlign w:val="center"/>
          </w:tcPr>
          <w:p w:rsidR="00C81B24" w:rsidRPr="00C81B24" w:rsidRDefault="00C81B24" w:rsidP="00CE5850">
            <w:pPr>
              <w:rPr>
                <w:sz w:val="20"/>
              </w:rPr>
            </w:pPr>
            <w:r w:rsidRPr="00C81B24">
              <w:rPr>
                <w:sz w:val="20"/>
              </w:rPr>
              <w:t>Indianapolis, IN-IL</w:t>
            </w:r>
          </w:p>
        </w:tc>
        <w:tc>
          <w:tcPr>
            <w:tcW w:w="1102" w:type="dxa"/>
            <w:tcBorders>
              <w:top w:val="nil"/>
              <w:left w:val="nil"/>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 xml:space="preserve"> 3,178,798 </w:t>
            </w:r>
          </w:p>
        </w:tc>
        <w:tc>
          <w:tcPr>
            <w:tcW w:w="1155" w:type="dxa"/>
            <w:tcBorders>
              <w:top w:val="nil"/>
              <w:left w:val="nil"/>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 xml:space="preserve"> 3,361,472 </w:t>
            </w:r>
          </w:p>
        </w:tc>
        <w:tc>
          <w:tcPr>
            <w:tcW w:w="979" w:type="dxa"/>
            <w:tcBorders>
              <w:top w:val="nil"/>
              <w:left w:val="nil"/>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95%</w:t>
            </w:r>
          </w:p>
        </w:tc>
        <w:tc>
          <w:tcPr>
            <w:tcW w:w="635" w:type="dxa"/>
            <w:tcBorders>
              <w:top w:val="nil"/>
              <w:left w:val="nil"/>
              <w:bottom w:val="single" w:sz="4" w:space="0" w:color="auto"/>
              <w:right w:val="single" w:sz="4" w:space="0" w:color="auto"/>
            </w:tcBorders>
            <w:noWrap/>
            <w:vAlign w:val="bottom"/>
          </w:tcPr>
          <w:p w:rsidR="00C81B24" w:rsidRPr="00C81B24" w:rsidRDefault="00C81B24" w:rsidP="00CE5850">
            <w:pPr>
              <w:jc w:val="right"/>
              <w:rPr>
                <w:sz w:val="20"/>
              </w:rPr>
            </w:pPr>
            <w:r w:rsidRPr="00C81B24">
              <w:rPr>
                <w:sz w:val="20"/>
              </w:rPr>
              <w:t>3199</w:t>
            </w:r>
          </w:p>
        </w:tc>
        <w:tc>
          <w:tcPr>
            <w:tcW w:w="536" w:type="dxa"/>
            <w:tcBorders>
              <w:top w:val="nil"/>
              <w:left w:val="nil"/>
              <w:bottom w:val="single" w:sz="4" w:space="0" w:color="auto"/>
              <w:right w:val="single" w:sz="4" w:space="0" w:color="auto"/>
            </w:tcBorders>
            <w:vAlign w:val="bottom"/>
          </w:tcPr>
          <w:p w:rsidR="00C81B24" w:rsidRPr="00C81B24" w:rsidRDefault="00C81B24" w:rsidP="00CE5850">
            <w:pPr>
              <w:autoSpaceDE w:val="0"/>
              <w:autoSpaceDN w:val="0"/>
              <w:adjustRightInd w:val="0"/>
              <w:jc w:val="right"/>
              <w:rPr>
                <w:color w:val="000000"/>
                <w:kern w:val="0"/>
                <w:sz w:val="20"/>
              </w:rPr>
            </w:pPr>
            <w:r w:rsidRPr="00C81B24">
              <w:rPr>
                <w:color w:val="000000"/>
                <w:kern w:val="0"/>
                <w:sz w:val="20"/>
              </w:rPr>
              <w:t>3221</w:t>
            </w:r>
          </w:p>
        </w:tc>
        <w:tc>
          <w:tcPr>
            <w:tcW w:w="736" w:type="dxa"/>
            <w:tcBorders>
              <w:top w:val="nil"/>
              <w:left w:val="nil"/>
              <w:bottom w:val="single" w:sz="4" w:space="0" w:color="auto"/>
              <w:right w:val="single" w:sz="4" w:space="0" w:color="auto"/>
            </w:tcBorders>
            <w:vAlign w:val="bottom"/>
          </w:tcPr>
          <w:p w:rsidR="00C81B24" w:rsidRPr="00C81B24" w:rsidRDefault="00C81B24" w:rsidP="00CE5850">
            <w:pPr>
              <w:jc w:val="right"/>
              <w:rPr>
                <w:color w:val="000000"/>
                <w:sz w:val="20"/>
              </w:rPr>
            </w:pPr>
            <w:r w:rsidRPr="00C81B24">
              <w:rPr>
                <w:color w:val="000000"/>
                <w:sz w:val="20"/>
              </w:rPr>
              <w:t>187.73</w:t>
            </w:r>
          </w:p>
        </w:tc>
      </w:tr>
      <w:tr w:rsidR="00C81B24" w:rsidRPr="00C81B24" w:rsidTr="00526AD9">
        <w:trPr>
          <w:trHeight w:val="255"/>
          <w:jc w:val="center"/>
        </w:trPr>
        <w:tc>
          <w:tcPr>
            <w:tcW w:w="554" w:type="dxa"/>
            <w:tcBorders>
              <w:top w:val="nil"/>
              <w:left w:val="single" w:sz="4" w:space="0" w:color="auto"/>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93</w:t>
            </w:r>
          </w:p>
        </w:tc>
        <w:tc>
          <w:tcPr>
            <w:tcW w:w="456" w:type="dxa"/>
            <w:tcBorders>
              <w:top w:val="nil"/>
              <w:left w:val="single" w:sz="4" w:space="0" w:color="auto"/>
              <w:bottom w:val="single" w:sz="4" w:space="0" w:color="auto"/>
              <w:right w:val="single" w:sz="4" w:space="0" w:color="auto"/>
            </w:tcBorders>
            <w:vAlign w:val="center"/>
          </w:tcPr>
          <w:p w:rsidR="00C81B24" w:rsidRPr="00C81B24" w:rsidRDefault="00C81B24" w:rsidP="00CE5850">
            <w:pPr>
              <w:jc w:val="right"/>
              <w:rPr>
                <w:sz w:val="20"/>
              </w:rPr>
            </w:pPr>
            <w:r w:rsidRPr="00C81B24">
              <w:rPr>
                <w:sz w:val="20"/>
              </w:rPr>
              <w:t>70</w:t>
            </w:r>
          </w:p>
        </w:tc>
        <w:tc>
          <w:tcPr>
            <w:tcW w:w="4012" w:type="dxa"/>
            <w:tcBorders>
              <w:top w:val="nil"/>
              <w:left w:val="nil"/>
              <w:bottom w:val="single" w:sz="4" w:space="0" w:color="auto"/>
              <w:right w:val="single" w:sz="4" w:space="0" w:color="auto"/>
            </w:tcBorders>
            <w:vAlign w:val="center"/>
          </w:tcPr>
          <w:p w:rsidR="00C81B24" w:rsidRPr="00C81B24" w:rsidRDefault="00C81B24" w:rsidP="00CE5850">
            <w:pPr>
              <w:rPr>
                <w:sz w:val="20"/>
              </w:rPr>
            </w:pPr>
            <w:r w:rsidRPr="00C81B24">
              <w:rPr>
                <w:sz w:val="20"/>
              </w:rPr>
              <w:t>Louisville, KY-IN</w:t>
            </w:r>
          </w:p>
        </w:tc>
        <w:tc>
          <w:tcPr>
            <w:tcW w:w="1102" w:type="dxa"/>
            <w:tcBorders>
              <w:top w:val="nil"/>
              <w:left w:val="nil"/>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 xml:space="preserve"> 1,488,560 </w:t>
            </w:r>
          </w:p>
        </w:tc>
        <w:tc>
          <w:tcPr>
            <w:tcW w:w="1155" w:type="dxa"/>
            <w:tcBorders>
              <w:top w:val="nil"/>
              <w:left w:val="nil"/>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 xml:space="preserve"> 1,572,568 </w:t>
            </w:r>
          </w:p>
        </w:tc>
        <w:tc>
          <w:tcPr>
            <w:tcW w:w="979" w:type="dxa"/>
            <w:tcBorders>
              <w:top w:val="nil"/>
              <w:left w:val="nil"/>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95%</w:t>
            </w:r>
          </w:p>
        </w:tc>
        <w:tc>
          <w:tcPr>
            <w:tcW w:w="635" w:type="dxa"/>
            <w:tcBorders>
              <w:top w:val="nil"/>
              <w:left w:val="nil"/>
              <w:bottom w:val="single" w:sz="4" w:space="0" w:color="auto"/>
              <w:right w:val="single" w:sz="4" w:space="0" w:color="auto"/>
            </w:tcBorders>
            <w:noWrap/>
            <w:vAlign w:val="bottom"/>
          </w:tcPr>
          <w:p w:rsidR="00C81B24" w:rsidRPr="00C81B24" w:rsidRDefault="00C81B24" w:rsidP="00CE5850">
            <w:pPr>
              <w:jc w:val="right"/>
              <w:rPr>
                <w:sz w:val="20"/>
              </w:rPr>
            </w:pPr>
            <w:r w:rsidRPr="00C81B24">
              <w:rPr>
                <w:sz w:val="20"/>
              </w:rPr>
              <w:t>2545</w:t>
            </w:r>
          </w:p>
        </w:tc>
        <w:tc>
          <w:tcPr>
            <w:tcW w:w="536" w:type="dxa"/>
            <w:tcBorders>
              <w:top w:val="nil"/>
              <w:left w:val="nil"/>
              <w:bottom w:val="single" w:sz="4" w:space="0" w:color="auto"/>
              <w:right w:val="single" w:sz="4" w:space="0" w:color="auto"/>
            </w:tcBorders>
            <w:vAlign w:val="bottom"/>
          </w:tcPr>
          <w:p w:rsidR="00C81B24" w:rsidRPr="00C81B24" w:rsidRDefault="00C81B24" w:rsidP="00CE5850">
            <w:pPr>
              <w:autoSpaceDE w:val="0"/>
              <w:autoSpaceDN w:val="0"/>
              <w:adjustRightInd w:val="0"/>
              <w:jc w:val="right"/>
              <w:rPr>
                <w:color w:val="000000"/>
                <w:kern w:val="0"/>
                <w:sz w:val="20"/>
              </w:rPr>
            </w:pPr>
            <w:r w:rsidRPr="00C81B24">
              <w:rPr>
                <w:color w:val="000000"/>
                <w:kern w:val="0"/>
                <w:sz w:val="20"/>
              </w:rPr>
              <w:t>2505</w:t>
            </w:r>
          </w:p>
        </w:tc>
        <w:tc>
          <w:tcPr>
            <w:tcW w:w="736" w:type="dxa"/>
            <w:tcBorders>
              <w:top w:val="nil"/>
              <w:left w:val="nil"/>
              <w:bottom w:val="single" w:sz="4" w:space="0" w:color="auto"/>
              <w:right w:val="single" w:sz="4" w:space="0" w:color="auto"/>
            </w:tcBorders>
            <w:vAlign w:val="bottom"/>
          </w:tcPr>
          <w:p w:rsidR="00C81B24" w:rsidRPr="00C81B24" w:rsidRDefault="00C81B24" w:rsidP="00CE5850">
            <w:pPr>
              <w:jc w:val="right"/>
              <w:rPr>
                <w:color w:val="000000"/>
                <w:sz w:val="20"/>
              </w:rPr>
            </w:pPr>
            <w:r w:rsidRPr="00C81B24">
              <w:rPr>
                <w:color w:val="000000"/>
                <w:sz w:val="20"/>
              </w:rPr>
              <w:t>202.83</w:t>
            </w:r>
          </w:p>
        </w:tc>
      </w:tr>
      <w:tr w:rsidR="00C81B24" w:rsidRPr="00C81B24" w:rsidTr="00526AD9">
        <w:trPr>
          <w:trHeight w:val="255"/>
          <w:jc w:val="center"/>
        </w:trPr>
        <w:tc>
          <w:tcPr>
            <w:tcW w:w="554" w:type="dxa"/>
            <w:tcBorders>
              <w:top w:val="nil"/>
              <w:left w:val="single" w:sz="4" w:space="0" w:color="auto"/>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94</w:t>
            </w:r>
          </w:p>
        </w:tc>
        <w:tc>
          <w:tcPr>
            <w:tcW w:w="456" w:type="dxa"/>
            <w:tcBorders>
              <w:top w:val="nil"/>
              <w:left w:val="single" w:sz="4" w:space="0" w:color="auto"/>
              <w:bottom w:val="single" w:sz="4" w:space="0" w:color="auto"/>
              <w:right w:val="single" w:sz="4" w:space="0" w:color="auto"/>
            </w:tcBorders>
            <w:vAlign w:val="center"/>
          </w:tcPr>
          <w:p w:rsidR="00C81B24" w:rsidRPr="00C81B24" w:rsidRDefault="00C81B24" w:rsidP="00CE5850">
            <w:pPr>
              <w:jc w:val="right"/>
              <w:rPr>
                <w:sz w:val="20"/>
              </w:rPr>
            </w:pPr>
            <w:r w:rsidRPr="00C81B24">
              <w:rPr>
                <w:sz w:val="20"/>
              </w:rPr>
              <w:t>134</w:t>
            </w:r>
          </w:p>
        </w:tc>
        <w:tc>
          <w:tcPr>
            <w:tcW w:w="4012" w:type="dxa"/>
            <w:tcBorders>
              <w:top w:val="nil"/>
              <w:left w:val="nil"/>
              <w:bottom w:val="single" w:sz="4" w:space="0" w:color="auto"/>
              <w:right w:val="single" w:sz="4" w:space="0" w:color="auto"/>
            </w:tcBorders>
            <w:vAlign w:val="center"/>
          </w:tcPr>
          <w:p w:rsidR="00C81B24" w:rsidRPr="00C81B24" w:rsidRDefault="00C81B24" w:rsidP="00CE5850">
            <w:pPr>
              <w:rPr>
                <w:sz w:val="20"/>
              </w:rPr>
            </w:pPr>
            <w:r w:rsidRPr="00C81B24">
              <w:rPr>
                <w:sz w:val="20"/>
              </w:rPr>
              <w:t>San Antonio, TX</w:t>
            </w:r>
          </w:p>
        </w:tc>
        <w:tc>
          <w:tcPr>
            <w:tcW w:w="1102" w:type="dxa"/>
            <w:tcBorders>
              <w:top w:val="nil"/>
              <w:left w:val="nil"/>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 xml:space="preserve"> 2,583,790 </w:t>
            </w:r>
          </w:p>
        </w:tc>
        <w:tc>
          <w:tcPr>
            <w:tcW w:w="1155" w:type="dxa"/>
            <w:tcBorders>
              <w:top w:val="nil"/>
              <w:left w:val="nil"/>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 xml:space="preserve"> 2,712,451 </w:t>
            </w:r>
          </w:p>
        </w:tc>
        <w:tc>
          <w:tcPr>
            <w:tcW w:w="979" w:type="dxa"/>
            <w:tcBorders>
              <w:top w:val="nil"/>
              <w:left w:val="nil"/>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95%</w:t>
            </w:r>
          </w:p>
        </w:tc>
        <w:tc>
          <w:tcPr>
            <w:tcW w:w="635" w:type="dxa"/>
            <w:tcBorders>
              <w:top w:val="nil"/>
              <w:left w:val="nil"/>
              <w:bottom w:val="single" w:sz="4" w:space="0" w:color="auto"/>
              <w:right w:val="single" w:sz="4" w:space="0" w:color="auto"/>
            </w:tcBorders>
            <w:noWrap/>
            <w:vAlign w:val="bottom"/>
          </w:tcPr>
          <w:p w:rsidR="00C81B24" w:rsidRPr="00C81B24" w:rsidRDefault="00C81B24" w:rsidP="00CE5850">
            <w:pPr>
              <w:jc w:val="right"/>
              <w:rPr>
                <w:sz w:val="20"/>
              </w:rPr>
            </w:pPr>
            <w:r w:rsidRPr="00C81B24">
              <w:rPr>
                <w:sz w:val="20"/>
              </w:rPr>
              <w:t>2403</w:t>
            </w:r>
          </w:p>
        </w:tc>
        <w:tc>
          <w:tcPr>
            <w:tcW w:w="536" w:type="dxa"/>
            <w:tcBorders>
              <w:top w:val="nil"/>
              <w:left w:val="nil"/>
              <w:bottom w:val="single" w:sz="4" w:space="0" w:color="auto"/>
              <w:right w:val="single" w:sz="4" w:space="0" w:color="auto"/>
            </w:tcBorders>
            <w:vAlign w:val="bottom"/>
          </w:tcPr>
          <w:p w:rsidR="00C81B24" w:rsidRPr="00C81B24" w:rsidRDefault="00C81B24" w:rsidP="00CE5850">
            <w:pPr>
              <w:autoSpaceDE w:val="0"/>
              <w:autoSpaceDN w:val="0"/>
              <w:adjustRightInd w:val="0"/>
              <w:jc w:val="right"/>
              <w:rPr>
                <w:color w:val="000000"/>
                <w:kern w:val="0"/>
                <w:sz w:val="20"/>
              </w:rPr>
            </w:pPr>
            <w:r w:rsidRPr="00C81B24">
              <w:rPr>
                <w:color w:val="000000"/>
                <w:kern w:val="0"/>
                <w:sz w:val="20"/>
              </w:rPr>
              <w:t>2349</w:t>
            </w:r>
          </w:p>
        </w:tc>
        <w:tc>
          <w:tcPr>
            <w:tcW w:w="736" w:type="dxa"/>
            <w:tcBorders>
              <w:top w:val="nil"/>
              <w:left w:val="nil"/>
              <w:bottom w:val="single" w:sz="4" w:space="0" w:color="auto"/>
              <w:right w:val="single" w:sz="4" w:space="0" w:color="auto"/>
            </w:tcBorders>
            <w:vAlign w:val="bottom"/>
          </w:tcPr>
          <w:p w:rsidR="00C81B24" w:rsidRPr="00C81B24" w:rsidRDefault="00C81B24" w:rsidP="00CE5850">
            <w:pPr>
              <w:jc w:val="right"/>
              <w:rPr>
                <w:color w:val="000000"/>
                <w:sz w:val="20"/>
              </w:rPr>
            </w:pPr>
            <w:r w:rsidRPr="00C81B24">
              <w:rPr>
                <w:color w:val="000000"/>
                <w:sz w:val="20"/>
              </w:rPr>
              <w:t>103.71</w:t>
            </w:r>
          </w:p>
        </w:tc>
      </w:tr>
      <w:tr w:rsidR="00C81B24" w:rsidRPr="00C81B24" w:rsidTr="00526AD9">
        <w:trPr>
          <w:trHeight w:val="255"/>
          <w:jc w:val="center"/>
        </w:trPr>
        <w:tc>
          <w:tcPr>
            <w:tcW w:w="554" w:type="dxa"/>
            <w:tcBorders>
              <w:top w:val="nil"/>
              <w:left w:val="single" w:sz="4" w:space="0" w:color="auto"/>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95</w:t>
            </w:r>
          </w:p>
        </w:tc>
        <w:tc>
          <w:tcPr>
            <w:tcW w:w="456" w:type="dxa"/>
            <w:tcBorders>
              <w:top w:val="nil"/>
              <w:left w:val="single" w:sz="4" w:space="0" w:color="auto"/>
              <w:bottom w:val="single" w:sz="4" w:space="0" w:color="auto"/>
              <w:right w:val="single" w:sz="4" w:space="0" w:color="auto"/>
            </w:tcBorders>
            <w:vAlign w:val="center"/>
          </w:tcPr>
          <w:p w:rsidR="00C81B24" w:rsidRPr="00C81B24" w:rsidRDefault="00C81B24" w:rsidP="00CE5850">
            <w:pPr>
              <w:jc w:val="right"/>
              <w:rPr>
                <w:sz w:val="20"/>
              </w:rPr>
            </w:pPr>
            <w:r w:rsidRPr="00C81B24">
              <w:rPr>
                <w:sz w:val="20"/>
              </w:rPr>
              <w:t>171</w:t>
            </w:r>
          </w:p>
        </w:tc>
        <w:tc>
          <w:tcPr>
            <w:tcW w:w="4012" w:type="dxa"/>
            <w:tcBorders>
              <w:top w:val="nil"/>
              <w:left w:val="nil"/>
              <w:bottom w:val="single" w:sz="4" w:space="0" w:color="auto"/>
              <w:right w:val="single" w:sz="4" w:space="0" w:color="auto"/>
            </w:tcBorders>
            <w:vAlign w:val="center"/>
          </w:tcPr>
          <w:p w:rsidR="00C81B24" w:rsidRPr="00C81B24" w:rsidRDefault="00C81B24" w:rsidP="00CE5850">
            <w:pPr>
              <w:rPr>
                <w:sz w:val="20"/>
              </w:rPr>
            </w:pPr>
            <w:r w:rsidRPr="00C81B24">
              <w:rPr>
                <w:sz w:val="20"/>
              </w:rPr>
              <w:t>Anchorage, AK</w:t>
            </w:r>
          </w:p>
        </w:tc>
        <w:tc>
          <w:tcPr>
            <w:tcW w:w="1102" w:type="dxa"/>
            <w:tcBorders>
              <w:top w:val="nil"/>
              <w:left w:val="nil"/>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 xml:space="preserve"> 685,577 </w:t>
            </w:r>
          </w:p>
        </w:tc>
        <w:tc>
          <w:tcPr>
            <w:tcW w:w="1155" w:type="dxa"/>
            <w:tcBorders>
              <w:top w:val="nil"/>
              <w:left w:val="nil"/>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 xml:space="preserve"> 722,718 </w:t>
            </w:r>
          </w:p>
        </w:tc>
        <w:tc>
          <w:tcPr>
            <w:tcW w:w="979" w:type="dxa"/>
            <w:tcBorders>
              <w:top w:val="nil"/>
              <w:left w:val="nil"/>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95%</w:t>
            </w:r>
          </w:p>
        </w:tc>
        <w:tc>
          <w:tcPr>
            <w:tcW w:w="635" w:type="dxa"/>
            <w:tcBorders>
              <w:top w:val="nil"/>
              <w:left w:val="nil"/>
              <w:bottom w:val="single" w:sz="4" w:space="0" w:color="auto"/>
              <w:right w:val="single" w:sz="4" w:space="0" w:color="auto"/>
            </w:tcBorders>
            <w:noWrap/>
            <w:vAlign w:val="bottom"/>
          </w:tcPr>
          <w:p w:rsidR="00C81B24" w:rsidRPr="00C81B24" w:rsidRDefault="00C81B24" w:rsidP="00CE5850">
            <w:pPr>
              <w:jc w:val="right"/>
              <w:rPr>
                <w:sz w:val="20"/>
              </w:rPr>
            </w:pPr>
            <w:r w:rsidRPr="00C81B24">
              <w:rPr>
                <w:sz w:val="20"/>
              </w:rPr>
              <w:t>3971</w:t>
            </w:r>
          </w:p>
        </w:tc>
        <w:tc>
          <w:tcPr>
            <w:tcW w:w="536" w:type="dxa"/>
            <w:tcBorders>
              <w:top w:val="nil"/>
              <w:left w:val="nil"/>
              <w:bottom w:val="single" w:sz="4" w:space="0" w:color="auto"/>
              <w:right w:val="single" w:sz="4" w:space="0" w:color="auto"/>
            </w:tcBorders>
            <w:vAlign w:val="bottom"/>
          </w:tcPr>
          <w:p w:rsidR="00C81B24" w:rsidRPr="00C81B24" w:rsidRDefault="00C81B24" w:rsidP="00CE5850">
            <w:pPr>
              <w:autoSpaceDE w:val="0"/>
              <w:autoSpaceDN w:val="0"/>
              <w:adjustRightInd w:val="0"/>
              <w:jc w:val="right"/>
              <w:rPr>
                <w:color w:val="000000"/>
                <w:kern w:val="0"/>
                <w:sz w:val="20"/>
              </w:rPr>
            </w:pPr>
            <w:r w:rsidRPr="00C81B24">
              <w:rPr>
                <w:color w:val="000000"/>
                <w:kern w:val="0"/>
                <w:sz w:val="20"/>
              </w:rPr>
              <w:t>3860</w:t>
            </w:r>
          </w:p>
        </w:tc>
        <w:tc>
          <w:tcPr>
            <w:tcW w:w="736" w:type="dxa"/>
            <w:tcBorders>
              <w:top w:val="nil"/>
              <w:left w:val="nil"/>
              <w:bottom w:val="single" w:sz="4" w:space="0" w:color="auto"/>
              <w:right w:val="single" w:sz="4" w:space="0" w:color="auto"/>
            </w:tcBorders>
            <w:vAlign w:val="bottom"/>
          </w:tcPr>
          <w:p w:rsidR="00C81B24" w:rsidRPr="00C81B24" w:rsidRDefault="00C81B24" w:rsidP="00CE5850">
            <w:pPr>
              <w:jc w:val="right"/>
              <w:rPr>
                <w:color w:val="000000"/>
                <w:sz w:val="20"/>
              </w:rPr>
            </w:pPr>
            <w:r w:rsidRPr="00C81B24">
              <w:rPr>
                <w:color w:val="000000"/>
                <w:sz w:val="20"/>
              </w:rPr>
              <w:t>1.24</w:t>
            </w:r>
          </w:p>
        </w:tc>
      </w:tr>
      <w:tr w:rsidR="00C81B24" w:rsidRPr="00C81B24" w:rsidTr="00526AD9">
        <w:trPr>
          <w:trHeight w:val="255"/>
          <w:jc w:val="center"/>
        </w:trPr>
        <w:tc>
          <w:tcPr>
            <w:tcW w:w="554" w:type="dxa"/>
            <w:tcBorders>
              <w:top w:val="nil"/>
              <w:left w:val="single" w:sz="4" w:space="0" w:color="auto"/>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96</w:t>
            </w:r>
          </w:p>
        </w:tc>
        <w:tc>
          <w:tcPr>
            <w:tcW w:w="456" w:type="dxa"/>
            <w:tcBorders>
              <w:top w:val="nil"/>
              <w:left w:val="single" w:sz="4" w:space="0" w:color="auto"/>
              <w:bottom w:val="single" w:sz="4" w:space="0" w:color="auto"/>
              <w:right w:val="single" w:sz="4" w:space="0" w:color="auto"/>
            </w:tcBorders>
            <w:vAlign w:val="center"/>
          </w:tcPr>
          <w:p w:rsidR="00C81B24" w:rsidRPr="00C81B24" w:rsidRDefault="00C81B24" w:rsidP="00CE5850">
            <w:pPr>
              <w:jc w:val="right"/>
              <w:rPr>
                <w:sz w:val="20"/>
              </w:rPr>
            </w:pPr>
            <w:r w:rsidRPr="00C81B24">
              <w:rPr>
                <w:sz w:val="20"/>
              </w:rPr>
              <w:t>19</w:t>
            </w:r>
          </w:p>
        </w:tc>
        <w:tc>
          <w:tcPr>
            <w:tcW w:w="4012" w:type="dxa"/>
            <w:tcBorders>
              <w:top w:val="nil"/>
              <w:left w:val="nil"/>
              <w:bottom w:val="single" w:sz="4" w:space="0" w:color="auto"/>
              <w:right w:val="single" w:sz="4" w:space="0" w:color="auto"/>
            </w:tcBorders>
            <w:vAlign w:val="center"/>
          </w:tcPr>
          <w:p w:rsidR="00C81B24" w:rsidRPr="00C81B24" w:rsidRDefault="00C81B24" w:rsidP="00CE5850">
            <w:pPr>
              <w:rPr>
                <w:sz w:val="20"/>
              </w:rPr>
            </w:pPr>
            <w:r w:rsidRPr="00C81B24">
              <w:rPr>
                <w:sz w:val="20"/>
              </w:rPr>
              <w:t>Raleigh-Durham-Chapel Hill, NC</w:t>
            </w:r>
          </w:p>
        </w:tc>
        <w:tc>
          <w:tcPr>
            <w:tcW w:w="1102" w:type="dxa"/>
            <w:tcBorders>
              <w:top w:val="nil"/>
              <w:left w:val="nil"/>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 xml:space="preserve"> 2,211,194 </w:t>
            </w:r>
          </w:p>
        </w:tc>
        <w:tc>
          <w:tcPr>
            <w:tcW w:w="1155" w:type="dxa"/>
            <w:tcBorders>
              <w:top w:val="nil"/>
              <w:left w:val="nil"/>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 xml:space="preserve"> 2,354,055 </w:t>
            </w:r>
          </w:p>
        </w:tc>
        <w:tc>
          <w:tcPr>
            <w:tcW w:w="979" w:type="dxa"/>
            <w:tcBorders>
              <w:top w:val="nil"/>
              <w:left w:val="nil"/>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94%</w:t>
            </w:r>
          </w:p>
        </w:tc>
        <w:tc>
          <w:tcPr>
            <w:tcW w:w="635" w:type="dxa"/>
            <w:tcBorders>
              <w:top w:val="nil"/>
              <w:left w:val="nil"/>
              <w:bottom w:val="single" w:sz="4" w:space="0" w:color="auto"/>
              <w:right w:val="single" w:sz="4" w:space="0" w:color="auto"/>
            </w:tcBorders>
            <w:noWrap/>
            <w:vAlign w:val="bottom"/>
          </w:tcPr>
          <w:p w:rsidR="00C81B24" w:rsidRPr="00C81B24" w:rsidRDefault="00C81B24" w:rsidP="00CE5850">
            <w:pPr>
              <w:jc w:val="right"/>
              <w:rPr>
                <w:sz w:val="20"/>
              </w:rPr>
            </w:pPr>
            <w:r w:rsidRPr="00C81B24">
              <w:rPr>
                <w:sz w:val="20"/>
              </w:rPr>
              <w:t>2854</w:t>
            </w:r>
          </w:p>
        </w:tc>
        <w:tc>
          <w:tcPr>
            <w:tcW w:w="536" w:type="dxa"/>
            <w:tcBorders>
              <w:top w:val="nil"/>
              <w:left w:val="nil"/>
              <w:bottom w:val="single" w:sz="4" w:space="0" w:color="auto"/>
              <w:right w:val="single" w:sz="4" w:space="0" w:color="auto"/>
            </w:tcBorders>
            <w:vAlign w:val="bottom"/>
          </w:tcPr>
          <w:p w:rsidR="00C81B24" w:rsidRPr="00C81B24" w:rsidRDefault="00C81B24" w:rsidP="00CE5850">
            <w:pPr>
              <w:autoSpaceDE w:val="0"/>
              <w:autoSpaceDN w:val="0"/>
              <w:adjustRightInd w:val="0"/>
              <w:jc w:val="right"/>
              <w:rPr>
                <w:color w:val="000000"/>
                <w:kern w:val="0"/>
                <w:sz w:val="20"/>
              </w:rPr>
            </w:pPr>
            <w:r w:rsidRPr="00C81B24">
              <w:rPr>
                <w:color w:val="000000"/>
                <w:kern w:val="0"/>
                <w:sz w:val="20"/>
              </w:rPr>
              <w:t>2868</w:t>
            </w:r>
          </w:p>
        </w:tc>
        <w:tc>
          <w:tcPr>
            <w:tcW w:w="736" w:type="dxa"/>
            <w:tcBorders>
              <w:top w:val="nil"/>
              <w:left w:val="nil"/>
              <w:bottom w:val="single" w:sz="4" w:space="0" w:color="auto"/>
              <w:right w:val="single" w:sz="4" w:space="0" w:color="auto"/>
            </w:tcBorders>
            <w:vAlign w:val="bottom"/>
          </w:tcPr>
          <w:p w:rsidR="00C81B24" w:rsidRPr="00C81B24" w:rsidRDefault="00C81B24" w:rsidP="00CE5850">
            <w:pPr>
              <w:jc w:val="right"/>
              <w:rPr>
                <w:color w:val="000000"/>
                <w:sz w:val="20"/>
              </w:rPr>
            </w:pPr>
            <w:r w:rsidRPr="00C81B24">
              <w:rPr>
                <w:color w:val="000000"/>
                <w:sz w:val="20"/>
              </w:rPr>
              <w:t>241.39</w:t>
            </w:r>
          </w:p>
        </w:tc>
      </w:tr>
      <w:tr w:rsidR="00C81B24" w:rsidRPr="00C81B24" w:rsidTr="00526AD9">
        <w:trPr>
          <w:trHeight w:val="255"/>
          <w:jc w:val="center"/>
        </w:trPr>
        <w:tc>
          <w:tcPr>
            <w:tcW w:w="554" w:type="dxa"/>
            <w:tcBorders>
              <w:top w:val="nil"/>
              <w:left w:val="single" w:sz="4" w:space="0" w:color="auto"/>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97</w:t>
            </w:r>
          </w:p>
        </w:tc>
        <w:tc>
          <w:tcPr>
            <w:tcW w:w="456" w:type="dxa"/>
            <w:tcBorders>
              <w:top w:val="nil"/>
              <w:left w:val="single" w:sz="4" w:space="0" w:color="auto"/>
              <w:bottom w:val="single" w:sz="4" w:space="0" w:color="auto"/>
              <w:right w:val="single" w:sz="4" w:space="0" w:color="auto"/>
            </w:tcBorders>
            <w:vAlign w:val="center"/>
          </w:tcPr>
          <w:p w:rsidR="00C81B24" w:rsidRPr="00C81B24" w:rsidRDefault="00C81B24" w:rsidP="00CE5850">
            <w:pPr>
              <w:jc w:val="right"/>
              <w:rPr>
                <w:sz w:val="20"/>
              </w:rPr>
            </w:pPr>
            <w:r w:rsidRPr="00C81B24">
              <w:rPr>
                <w:sz w:val="20"/>
              </w:rPr>
              <w:t>24</w:t>
            </w:r>
          </w:p>
        </w:tc>
        <w:tc>
          <w:tcPr>
            <w:tcW w:w="4012" w:type="dxa"/>
            <w:tcBorders>
              <w:top w:val="nil"/>
              <w:left w:val="nil"/>
              <w:bottom w:val="single" w:sz="4" w:space="0" w:color="auto"/>
              <w:right w:val="single" w:sz="4" w:space="0" w:color="auto"/>
            </w:tcBorders>
            <w:vAlign w:val="center"/>
          </w:tcPr>
          <w:p w:rsidR="00C81B24" w:rsidRPr="00C81B24" w:rsidRDefault="00C81B24" w:rsidP="00CE5850">
            <w:pPr>
              <w:rPr>
                <w:sz w:val="20"/>
              </w:rPr>
            </w:pPr>
            <w:r w:rsidRPr="00C81B24">
              <w:rPr>
                <w:sz w:val="20"/>
              </w:rPr>
              <w:t>Columbia, SC</w:t>
            </w:r>
          </w:p>
        </w:tc>
        <w:tc>
          <w:tcPr>
            <w:tcW w:w="1102" w:type="dxa"/>
            <w:tcBorders>
              <w:top w:val="nil"/>
              <w:left w:val="nil"/>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 xml:space="preserve"> 1,005,951 </w:t>
            </w:r>
          </w:p>
        </w:tc>
        <w:tc>
          <w:tcPr>
            <w:tcW w:w="1155" w:type="dxa"/>
            <w:tcBorders>
              <w:top w:val="nil"/>
              <w:left w:val="nil"/>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 xml:space="preserve"> 1,067,909 </w:t>
            </w:r>
          </w:p>
        </w:tc>
        <w:tc>
          <w:tcPr>
            <w:tcW w:w="979" w:type="dxa"/>
            <w:tcBorders>
              <w:top w:val="nil"/>
              <w:left w:val="nil"/>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94%</w:t>
            </w:r>
          </w:p>
        </w:tc>
        <w:tc>
          <w:tcPr>
            <w:tcW w:w="635" w:type="dxa"/>
            <w:tcBorders>
              <w:top w:val="nil"/>
              <w:left w:val="nil"/>
              <w:bottom w:val="single" w:sz="4" w:space="0" w:color="auto"/>
              <w:right w:val="single" w:sz="4" w:space="0" w:color="auto"/>
            </w:tcBorders>
            <w:noWrap/>
            <w:vAlign w:val="bottom"/>
          </w:tcPr>
          <w:p w:rsidR="00C81B24" w:rsidRPr="00C81B24" w:rsidRDefault="00C81B24" w:rsidP="00CE5850">
            <w:pPr>
              <w:jc w:val="right"/>
              <w:rPr>
                <w:sz w:val="20"/>
              </w:rPr>
            </w:pPr>
            <w:r w:rsidRPr="00C81B24">
              <w:rPr>
                <w:sz w:val="20"/>
              </w:rPr>
              <w:t>3260</w:t>
            </w:r>
          </w:p>
        </w:tc>
        <w:tc>
          <w:tcPr>
            <w:tcW w:w="536" w:type="dxa"/>
            <w:tcBorders>
              <w:top w:val="nil"/>
              <w:left w:val="nil"/>
              <w:bottom w:val="single" w:sz="4" w:space="0" w:color="auto"/>
              <w:right w:val="single" w:sz="4" w:space="0" w:color="auto"/>
            </w:tcBorders>
            <w:vAlign w:val="bottom"/>
          </w:tcPr>
          <w:p w:rsidR="00C81B24" w:rsidRPr="00C81B24" w:rsidRDefault="00C81B24" w:rsidP="00CE5850">
            <w:pPr>
              <w:autoSpaceDE w:val="0"/>
              <w:autoSpaceDN w:val="0"/>
              <w:adjustRightInd w:val="0"/>
              <w:jc w:val="right"/>
              <w:rPr>
                <w:color w:val="000000"/>
                <w:kern w:val="0"/>
                <w:sz w:val="20"/>
              </w:rPr>
            </w:pPr>
            <w:r w:rsidRPr="00C81B24">
              <w:rPr>
                <w:color w:val="000000"/>
                <w:kern w:val="0"/>
                <w:sz w:val="20"/>
              </w:rPr>
              <w:t>3301</w:t>
            </w:r>
          </w:p>
        </w:tc>
        <w:tc>
          <w:tcPr>
            <w:tcW w:w="736" w:type="dxa"/>
            <w:tcBorders>
              <w:top w:val="nil"/>
              <w:left w:val="nil"/>
              <w:bottom w:val="single" w:sz="4" w:space="0" w:color="auto"/>
              <w:right w:val="single" w:sz="4" w:space="0" w:color="auto"/>
            </w:tcBorders>
            <w:vAlign w:val="bottom"/>
          </w:tcPr>
          <w:p w:rsidR="00C81B24" w:rsidRPr="00C81B24" w:rsidRDefault="00C81B24" w:rsidP="00CE5850">
            <w:pPr>
              <w:jc w:val="right"/>
              <w:rPr>
                <w:color w:val="000000"/>
                <w:sz w:val="20"/>
              </w:rPr>
            </w:pPr>
            <w:r w:rsidRPr="00C81B24">
              <w:rPr>
                <w:color w:val="000000"/>
                <w:sz w:val="20"/>
              </w:rPr>
              <w:t>148.75</w:t>
            </w:r>
          </w:p>
        </w:tc>
      </w:tr>
      <w:tr w:rsidR="00C81B24" w:rsidRPr="00C81B24" w:rsidTr="00526AD9">
        <w:trPr>
          <w:trHeight w:val="255"/>
          <w:jc w:val="center"/>
        </w:trPr>
        <w:tc>
          <w:tcPr>
            <w:tcW w:w="554" w:type="dxa"/>
            <w:tcBorders>
              <w:top w:val="nil"/>
              <w:left w:val="single" w:sz="4" w:space="0" w:color="auto"/>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98</w:t>
            </w:r>
          </w:p>
        </w:tc>
        <w:tc>
          <w:tcPr>
            <w:tcW w:w="456" w:type="dxa"/>
            <w:tcBorders>
              <w:top w:val="nil"/>
              <w:left w:val="single" w:sz="4" w:space="0" w:color="auto"/>
              <w:bottom w:val="single" w:sz="4" w:space="0" w:color="auto"/>
              <w:right w:val="single" w:sz="4" w:space="0" w:color="auto"/>
            </w:tcBorders>
            <w:vAlign w:val="center"/>
          </w:tcPr>
          <w:p w:rsidR="00C81B24" w:rsidRPr="00C81B24" w:rsidRDefault="00C81B24" w:rsidP="00CE5850">
            <w:pPr>
              <w:jc w:val="right"/>
              <w:rPr>
                <w:sz w:val="20"/>
              </w:rPr>
            </w:pPr>
            <w:r w:rsidRPr="00C81B24">
              <w:rPr>
                <w:sz w:val="20"/>
              </w:rPr>
              <w:t>25</w:t>
            </w:r>
          </w:p>
        </w:tc>
        <w:tc>
          <w:tcPr>
            <w:tcW w:w="4012" w:type="dxa"/>
            <w:tcBorders>
              <w:top w:val="nil"/>
              <w:left w:val="nil"/>
              <w:bottom w:val="single" w:sz="4" w:space="0" w:color="auto"/>
              <w:right w:val="single" w:sz="4" w:space="0" w:color="auto"/>
            </w:tcBorders>
            <w:vAlign w:val="center"/>
          </w:tcPr>
          <w:p w:rsidR="00C81B24" w:rsidRPr="00C81B24" w:rsidRDefault="00C81B24" w:rsidP="00CE5850">
            <w:pPr>
              <w:rPr>
                <w:sz w:val="20"/>
              </w:rPr>
            </w:pPr>
            <w:r w:rsidRPr="00C81B24">
              <w:rPr>
                <w:sz w:val="20"/>
              </w:rPr>
              <w:t>Wilmington, NC-SC</w:t>
            </w:r>
          </w:p>
        </w:tc>
        <w:tc>
          <w:tcPr>
            <w:tcW w:w="1102" w:type="dxa"/>
            <w:tcBorders>
              <w:top w:val="nil"/>
              <w:left w:val="nil"/>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 xml:space="preserve"> 1,001,219 </w:t>
            </w:r>
          </w:p>
        </w:tc>
        <w:tc>
          <w:tcPr>
            <w:tcW w:w="1155" w:type="dxa"/>
            <w:tcBorders>
              <w:top w:val="nil"/>
              <w:left w:val="nil"/>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 xml:space="preserve"> 1,068,577 </w:t>
            </w:r>
          </w:p>
        </w:tc>
        <w:tc>
          <w:tcPr>
            <w:tcW w:w="979" w:type="dxa"/>
            <w:tcBorders>
              <w:top w:val="nil"/>
              <w:left w:val="nil"/>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94%</w:t>
            </w:r>
          </w:p>
        </w:tc>
        <w:tc>
          <w:tcPr>
            <w:tcW w:w="635" w:type="dxa"/>
            <w:tcBorders>
              <w:top w:val="nil"/>
              <w:left w:val="nil"/>
              <w:bottom w:val="single" w:sz="4" w:space="0" w:color="auto"/>
              <w:right w:val="single" w:sz="4" w:space="0" w:color="auto"/>
            </w:tcBorders>
            <w:noWrap/>
            <w:vAlign w:val="bottom"/>
          </w:tcPr>
          <w:p w:rsidR="00C81B24" w:rsidRPr="00C81B24" w:rsidRDefault="00C81B24" w:rsidP="00CE5850">
            <w:pPr>
              <w:jc w:val="right"/>
              <w:rPr>
                <w:sz w:val="20"/>
              </w:rPr>
            </w:pPr>
            <w:r w:rsidRPr="00C81B24">
              <w:rPr>
                <w:sz w:val="20"/>
              </w:rPr>
              <w:t>2940</w:t>
            </w:r>
          </w:p>
        </w:tc>
        <w:tc>
          <w:tcPr>
            <w:tcW w:w="536" w:type="dxa"/>
            <w:tcBorders>
              <w:top w:val="nil"/>
              <w:left w:val="nil"/>
              <w:bottom w:val="single" w:sz="4" w:space="0" w:color="auto"/>
              <w:right w:val="single" w:sz="4" w:space="0" w:color="auto"/>
            </w:tcBorders>
            <w:vAlign w:val="bottom"/>
          </w:tcPr>
          <w:p w:rsidR="00C81B24" w:rsidRPr="00C81B24" w:rsidRDefault="00C81B24" w:rsidP="00CE5850">
            <w:pPr>
              <w:autoSpaceDE w:val="0"/>
              <w:autoSpaceDN w:val="0"/>
              <w:adjustRightInd w:val="0"/>
              <w:jc w:val="right"/>
              <w:rPr>
                <w:color w:val="000000"/>
                <w:kern w:val="0"/>
                <w:sz w:val="20"/>
              </w:rPr>
            </w:pPr>
            <w:r w:rsidRPr="00C81B24">
              <w:rPr>
                <w:color w:val="000000"/>
                <w:kern w:val="0"/>
                <w:sz w:val="20"/>
              </w:rPr>
              <w:t>2958</w:t>
            </w:r>
          </w:p>
        </w:tc>
        <w:tc>
          <w:tcPr>
            <w:tcW w:w="736" w:type="dxa"/>
            <w:tcBorders>
              <w:top w:val="nil"/>
              <w:left w:val="nil"/>
              <w:bottom w:val="single" w:sz="4" w:space="0" w:color="auto"/>
              <w:right w:val="single" w:sz="4" w:space="0" w:color="auto"/>
            </w:tcBorders>
            <w:vAlign w:val="bottom"/>
          </w:tcPr>
          <w:p w:rsidR="00C81B24" w:rsidRPr="00C81B24" w:rsidRDefault="00C81B24" w:rsidP="00CE5850">
            <w:pPr>
              <w:jc w:val="right"/>
              <w:rPr>
                <w:color w:val="000000"/>
                <w:sz w:val="20"/>
              </w:rPr>
            </w:pPr>
            <w:r w:rsidRPr="00C81B24">
              <w:rPr>
                <w:color w:val="000000"/>
                <w:sz w:val="20"/>
              </w:rPr>
              <w:t>132.16</w:t>
            </w:r>
          </w:p>
        </w:tc>
      </w:tr>
      <w:tr w:rsidR="00C81B24" w:rsidRPr="00C81B24" w:rsidTr="00526AD9">
        <w:trPr>
          <w:trHeight w:val="255"/>
          <w:jc w:val="center"/>
        </w:trPr>
        <w:tc>
          <w:tcPr>
            <w:tcW w:w="554" w:type="dxa"/>
            <w:tcBorders>
              <w:top w:val="nil"/>
              <w:left w:val="single" w:sz="4" w:space="0" w:color="auto"/>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99</w:t>
            </w:r>
          </w:p>
        </w:tc>
        <w:tc>
          <w:tcPr>
            <w:tcW w:w="456" w:type="dxa"/>
            <w:tcBorders>
              <w:top w:val="nil"/>
              <w:left w:val="single" w:sz="4" w:space="0" w:color="auto"/>
              <w:bottom w:val="single" w:sz="4" w:space="0" w:color="auto"/>
              <w:right w:val="single" w:sz="4" w:space="0" w:color="auto"/>
            </w:tcBorders>
            <w:vAlign w:val="center"/>
          </w:tcPr>
          <w:p w:rsidR="00C81B24" w:rsidRPr="00C81B24" w:rsidRDefault="00C81B24" w:rsidP="00CE5850">
            <w:pPr>
              <w:jc w:val="right"/>
              <w:rPr>
                <w:sz w:val="20"/>
              </w:rPr>
            </w:pPr>
            <w:r w:rsidRPr="00C81B24">
              <w:rPr>
                <w:sz w:val="20"/>
              </w:rPr>
              <w:t>26</w:t>
            </w:r>
          </w:p>
        </w:tc>
        <w:tc>
          <w:tcPr>
            <w:tcW w:w="4012" w:type="dxa"/>
            <w:tcBorders>
              <w:top w:val="nil"/>
              <w:left w:val="nil"/>
              <w:bottom w:val="single" w:sz="4" w:space="0" w:color="auto"/>
              <w:right w:val="single" w:sz="4" w:space="0" w:color="auto"/>
            </w:tcBorders>
            <w:vAlign w:val="center"/>
          </w:tcPr>
          <w:p w:rsidR="00C81B24" w:rsidRPr="00C81B24" w:rsidRDefault="00C81B24" w:rsidP="00CE5850">
            <w:pPr>
              <w:rPr>
                <w:sz w:val="20"/>
              </w:rPr>
            </w:pPr>
            <w:r w:rsidRPr="00C81B24">
              <w:rPr>
                <w:sz w:val="20"/>
              </w:rPr>
              <w:t>Charleston-North Charleston, SC</w:t>
            </w:r>
          </w:p>
        </w:tc>
        <w:tc>
          <w:tcPr>
            <w:tcW w:w="1102" w:type="dxa"/>
            <w:tcBorders>
              <w:top w:val="nil"/>
              <w:left w:val="nil"/>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 xml:space="preserve"> 678,671 </w:t>
            </w:r>
          </w:p>
        </w:tc>
        <w:tc>
          <w:tcPr>
            <w:tcW w:w="1155" w:type="dxa"/>
            <w:tcBorders>
              <w:top w:val="nil"/>
              <w:left w:val="nil"/>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 xml:space="preserve"> 720,732 </w:t>
            </w:r>
          </w:p>
        </w:tc>
        <w:tc>
          <w:tcPr>
            <w:tcW w:w="979" w:type="dxa"/>
            <w:tcBorders>
              <w:top w:val="nil"/>
              <w:left w:val="nil"/>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94%</w:t>
            </w:r>
          </w:p>
        </w:tc>
        <w:tc>
          <w:tcPr>
            <w:tcW w:w="635" w:type="dxa"/>
            <w:tcBorders>
              <w:top w:val="nil"/>
              <w:left w:val="nil"/>
              <w:bottom w:val="single" w:sz="4" w:space="0" w:color="auto"/>
              <w:right w:val="single" w:sz="4" w:space="0" w:color="auto"/>
            </w:tcBorders>
            <w:noWrap/>
            <w:vAlign w:val="bottom"/>
          </w:tcPr>
          <w:p w:rsidR="00C81B24" w:rsidRPr="00C81B24" w:rsidRDefault="00C81B24" w:rsidP="00CE5850">
            <w:pPr>
              <w:jc w:val="right"/>
              <w:rPr>
                <w:sz w:val="20"/>
              </w:rPr>
            </w:pPr>
            <w:r w:rsidRPr="00C81B24">
              <w:rPr>
                <w:sz w:val="20"/>
              </w:rPr>
              <w:t>3076</w:t>
            </w:r>
          </w:p>
        </w:tc>
        <w:tc>
          <w:tcPr>
            <w:tcW w:w="536" w:type="dxa"/>
            <w:tcBorders>
              <w:top w:val="nil"/>
              <w:left w:val="nil"/>
              <w:bottom w:val="single" w:sz="4" w:space="0" w:color="auto"/>
              <w:right w:val="single" w:sz="4" w:space="0" w:color="auto"/>
            </w:tcBorders>
            <w:vAlign w:val="bottom"/>
          </w:tcPr>
          <w:p w:rsidR="00C81B24" w:rsidRPr="00C81B24" w:rsidRDefault="00C81B24" w:rsidP="00CE5850">
            <w:pPr>
              <w:autoSpaceDE w:val="0"/>
              <w:autoSpaceDN w:val="0"/>
              <w:adjustRightInd w:val="0"/>
              <w:jc w:val="right"/>
              <w:rPr>
                <w:color w:val="000000"/>
                <w:kern w:val="0"/>
                <w:sz w:val="20"/>
              </w:rPr>
            </w:pPr>
            <w:r w:rsidRPr="00C81B24">
              <w:rPr>
                <w:color w:val="000000"/>
                <w:kern w:val="0"/>
                <w:sz w:val="20"/>
              </w:rPr>
              <w:t>3048</w:t>
            </w:r>
          </w:p>
        </w:tc>
        <w:tc>
          <w:tcPr>
            <w:tcW w:w="736" w:type="dxa"/>
            <w:tcBorders>
              <w:top w:val="nil"/>
              <w:left w:val="nil"/>
              <w:bottom w:val="single" w:sz="4" w:space="0" w:color="auto"/>
              <w:right w:val="single" w:sz="4" w:space="0" w:color="auto"/>
            </w:tcBorders>
            <w:vAlign w:val="bottom"/>
          </w:tcPr>
          <w:p w:rsidR="00C81B24" w:rsidRPr="00C81B24" w:rsidRDefault="00C81B24" w:rsidP="00CE5850">
            <w:pPr>
              <w:jc w:val="right"/>
              <w:rPr>
                <w:color w:val="000000"/>
                <w:sz w:val="20"/>
              </w:rPr>
            </w:pPr>
            <w:r w:rsidRPr="00C81B24">
              <w:rPr>
                <w:color w:val="000000"/>
                <w:sz w:val="20"/>
              </w:rPr>
              <w:t>193.02</w:t>
            </w:r>
          </w:p>
        </w:tc>
      </w:tr>
      <w:tr w:rsidR="00C81B24" w:rsidRPr="00C81B24" w:rsidTr="00526AD9">
        <w:trPr>
          <w:trHeight w:val="255"/>
          <w:jc w:val="center"/>
        </w:trPr>
        <w:tc>
          <w:tcPr>
            <w:tcW w:w="554" w:type="dxa"/>
            <w:tcBorders>
              <w:top w:val="nil"/>
              <w:left w:val="single" w:sz="4" w:space="0" w:color="auto"/>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100</w:t>
            </w:r>
          </w:p>
        </w:tc>
        <w:tc>
          <w:tcPr>
            <w:tcW w:w="456" w:type="dxa"/>
            <w:tcBorders>
              <w:top w:val="nil"/>
              <w:left w:val="single" w:sz="4" w:space="0" w:color="auto"/>
              <w:bottom w:val="single" w:sz="4" w:space="0" w:color="auto"/>
              <w:right w:val="single" w:sz="4" w:space="0" w:color="auto"/>
            </w:tcBorders>
            <w:vAlign w:val="center"/>
          </w:tcPr>
          <w:p w:rsidR="00C81B24" w:rsidRPr="00C81B24" w:rsidRDefault="00C81B24" w:rsidP="00CE5850">
            <w:pPr>
              <w:jc w:val="right"/>
              <w:rPr>
                <w:sz w:val="20"/>
              </w:rPr>
            </w:pPr>
            <w:r w:rsidRPr="00C81B24">
              <w:rPr>
                <w:sz w:val="20"/>
              </w:rPr>
              <w:t>30</w:t>
            </w:r>
          </w:p>
        </w:tc>
        <w:tc>
          <w:tcPr>
            <w:tcW w:w="4012" w:type="dxa"/>
            <w:tcBorders>
              <w:top w:val="nil"/>
              <w:left w:val="nil"/>
              <w:bottom w:val="single" w:sz="4" w:space="0" w:color="auto"/>
              <w:right w:val="single" w:sz="4" w:space="0" w:color="auto"/>
            </w:tcBorders>
            <w:vAlign w:val="center"/>
          </w:tcPr>
          <w:p w:rsidR="00C81B24" w:rsidRPr="00C81B24" w:rsidRDefault="00C81B24" w:rsidP="00CE5850">
            <w:pPr>
              <w:rPr>
                <w:sz w:val="20"/>
              </w:rPr>
            </w:pPr>
            <w:r w:rsidRPr="00C81B24">
              <w:rPr>
                <w:sz w:val="20"/>
              </w:rPr>
              <w:t>Orlando, FL</w:t>
            </w:r>
          </w:p>
        </w:tc>
        <w:tc>
          <w:tcPr>
            <w:tcW w:w="1102" w:type="dxa"/>
            <w:tcBorders>
              <w:top w:val="nil"/>
              <w:left w:val="nil"/>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 xml:space="preserve"> 4,334,548 </w:t>
            </w:r>
          </w:p>
        </w:tc>
        <w:tc>
          <w:tcPr>
            <w:tcW w:w="1155" w:type="dxa"/>
            <w:tcBorders>
              <w:top w:val="nil"/>
              <w:left w:val="nil"/>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 xml:space="preserve"> 4,613,431 </w:t>
            </w:r>
          </w:p>
        </w:tc>
        <w:tc>
          <w:tcPr>
            <w:tcW w:w="979" w:type="dxa"/>
            <w:tcBorders>
              <w:top w:val="nil"/>
              <w:left w:val="nil"/>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94%</w:t>
            </w:r>
          </w:p>
        </w:tc>
        <w:tc>
          <w:tcPr>
            <w:tcW w:w="635" w:type="dxa"/>
            <w:tcBorders>
              <w:top w:val="nil"/>
              <w:left w:val="nil"/>
              <w:bottom w:val="single" w:sz="4" w:space="0" w:color="auto"/>
              <w:right w:val="single" w:sz="4" w:space="0" w:color="auto"/>
            </w:tcBorders>
            <w:noWrap/>
            <w:vAlign w:val="bottom"/>
          </w:tcPr>
          <w:p w:rsidR="00C81B24" w:rsidRPr="00C81B24" w:rsidRDefault="00C81B24" w:rsidP="00CE5850">
            <w:pPr>
              <w:jc w:val="right"/>
              <w:rPr>
                <w:sz w:val="20"/>
              </w:rPr>
            </w:pPr>
            <w:r w:rsidRPr="00C81B24">
              <w:rPr>
                <w:sz w:val="20"/>
              </w:rPr>
              <w:t>2392</w:t>
            </w:r>
          </w:p>
        </w:tc>
        <w:tc>
          <w:tcPr>
            <w:tcW w:w="536" w:type="dxa"/>
            <w:tcBorders>
              <w:top w:val="nil"/>
              <w:left w:val="nil"/>
              <w:bottom w:val="single" w:sz="4" w:space="0" w:color="auto"/>
              <w:right w:val="single" w:sz="4" w:space="0" w:color="auto"/>
            </w:tcBorders>
            <w:vAlign w:val="bottom"/>
          </w:tcPr>
          <w:p w:rsidR="00C81B24" w:rsidRPr="00C81B24" w:rsidRDefault="00C81B24" w:rsidP="00CE5850">
            <w:pPr>
              <w:autoSpaceDE w:val="0"/>
              <w:autoSpaceDN w:val="0"/>
              <w:adjustRightInd w:val="0"/>
              <w:jc w:val="right"/>
              <w:rPr>
                <w:color w:val="000000"/>
                <w:kern w:val="0"/>
                <w:sz w:val="20"/>
              </w:rPr>
            </w:pPr>
            <w:r w:rsidRPr="00C81B24">
              <w:rPr>
                <w:color w:val="000000"/>
                <w:kern w:val="0"/>
                <w:sz w:val="20"/>
              </w:rPr>
              <w:t>2402</w:t>
            </w:r>
          </w:p>
        </w:tc>
        <w:tc>
          <w:tcPr>
            <w:tcW w:w="736" w:type="dxa"/>
            <w:tcBorders>
              <w:top w:val="nil"/>
              <w:left w:val="nil"/>
              <w:bottom w:val="single" w:sz="4" w:space="0" w:color="auto"/>
              <w:right w:val="single" w:sz="4" w:space="0" w:color="auto"/>
            </w:tcBorders>
            <w:vAlign w:val="bottom"/>
          </w:tcPr>
          <w:p w:rsidR="00C81B24" w:rsidRPr="00C81B24" w:rsidRDefault="00C81B24" w:rsidP="00CE5850">
            <w:pPr>
              <w:jc w:val="right"/>
              <w:rPr>
                <w:color w:val="000000"/>
                <w:sz w:val="20"/>
              </w:rPr>
            </w:pPr>
            <w:r w:rsidRPr="00C81B24">
              <w:rPr>
                <w:color w:val="000000"/>
                <w:sz w:val="20"/>
              </w:rPr>
              <w:t>372.58</w:t>
            </w:r>
          </w:p>
        </w:tc>
      </w:tr>
      <w:tr w:rsidR="00C81B24" w:rsidRPr="00C81B24" w:rsidTr="00526AD9">
        <w:trPr>
          <w:trHeight w:val="255"/>
          <w:jc w:val="center"/>
        </w:trPr>
        <w:tc>
          <w:tcPr>
            <w:tcW w:w="554" w:type="dxa"/>
            <w:tcBorders>
              <w:top w:val="nil"/>
              <w:left w:val="single" w:sz="4" w:space="0" w:color="auto"/>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101</w:t>
            </w:r>
          </w:p>
        </w:tc>
        <w:tc>
          <w:tcPr>
            <w:tcW w:w="456" w:type="dxa"/>
            <w:tcBorders>
              <w:top w:val="nil"/>
              <w:left w:val="single" w:sz="4" w:space="0" w:color="auto"/>
              <w:bottom w:val="single" w:sz="4" w:space="0" w:color="auto"/>
              <w:right w:val="single" w:sz="4" w:space="0" w:color="auto"/>
            </w:tcBorders>
            <w:vAlign w:val="center"/>
          </w:tcPr>
          <w:p w:rsidR="00C81B24" w:rsidRPr="00C81B24" w:rsidRDefault="00C81B24" w:rsidP="00CE5850">
            <w:pPr>
              <w:jc w:val="right"/>
              <w:rPr>
                <w:sz w:val="20"/>
              </w:rPr>
            </w:pPr>
            <w:r w:rsidRPr="00C81B24">
              <w:rPr>
                <w:sz w:val="20"/>
              </w:rPr>
              <w:t>41</w:t>
            </w:r>
          </w:p>
        </w:tc>
        <w:tc>
          <w:tcPr>
            <w:tcW w:w="4012" w:type="dxa"/>
            <w:tcBorders>
              <w:top w:val="nil"/>
              <w:left w:val="nil"/>
              <w:bottom w:val="single" w:sz="4" w:space="0" w:color="auto"/>
              <w:right w:val="single" w:sz="4" w:space="0" w:color="auto"/>
            </w:tcBorders>
            <w:vAlign w:val="center"/>
          </w:tcPr>
          <w:p w:rsidR="00C81B24" w:rsidRPr="00C81B24" w:rsidRDefault="00C81B24" w:rsidP="00CE5850">
            <w:pPr>
              <w:rPr>
                <w:sz w:val="20"/>
              </w:rPr>
            </w:pPr>
            <w:r w:rsidRPr="00C81B24">
              <w:rPr>
                <w:sz w:val="20"/>
              </w:rPr>
              <w:t>Greenville-Spartanburg-Anderson, SC-NC</w:t>
            </w:r>
          </w:p>
        </w:tc>
        <w:tc>
          <w:tcPr>
            <w:tcW w:w="1102" w:type="dxa"/>
            <w:tcBorders>
              <w:top w:val="nil"/>
              <w:left w:val="nil"/>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 xml:space="preserve"> 1,323,891 </w:t>
            </w:r>
          </w:p>
        </w:tc>
        <w:tc>
          <w:tcPr>
            <w:tcW w:w="1155" w:type="dxa"/>
            <w:tcBorders>
              <w:top w:val="nil"/>
              <w:left w:val="nil"/>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 xml:space="preserve"> 1,406,681 </w:t>
            </w:r>
          </w:p>
        </w:tc>
        <w:tc>
          <w:tcPr>
            <w:tcW w:w="979" w:type="dxa"/>
            <w:tcBorders>
              <w:top w:val="nil"/>
              <w:left w:val="nil"/>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94%</w:t>
            </w:r>
          </w:p>
        </w:tc>
        <w:tc>
          <w:tcPr>
            <w:tcW w:w="635" w:type="dxa"/>
            <w:tcBorders>
              <w:top w:val="nil"/>
              <w:left w:val="nil"/>
              <w:bottom w:val="single" w:sz="4" w:space="0" w:color="auto"/>
              <w:right w:val="single" w:sz="4" w:space="0" w:color="auto"/>
            </w:tcBorders>
            <w:noWrap/>
            <w:vAlign w:val="bottom"/>
          </w:tcPr>
          <w:p w:rsidR="00C81B24" w:rsidRPr="00C81B24" w:rsidRDefault="00C81B24" w:rsidP="00CE5850">
            <w:pPr>
              <w:jc w:val="right"/>
              <w:rPr>
                <w:sz w:val="20"/>
              </w:rPr>
            </w:pPr>
            <w:r w:rsidRPr="00C81B24">
              <w:rPr>
                <w:sz w:val="20"/>
              </w:rPr>
              <w:t>3525</w:t>
            </w:r>
          </w:p>
        </w:tc>
        <w:tc>
          <w:tcPr>
            <w:tcW w:w="536" w:type="dxa"/>
            <w:tcBorders>
              <w:top w:val="nil"/>
              <w:left w:val="nil"/>
              <w:bottom w:val="single" w:sz="4" w:space="0" w:color="auto"/>
              <w:right w:val="single" w:sz="4" w:space="0" w:color="auto"/>
            </w:tcBorders>
            <w:vAlign w:val="bottom"/>
          </w:tcPr>
          <w:p w:rsidR="00C81B24" w:rsidRPr="00C81B24" w:rsidRDefault="00C81B24" w:rsidP="00CE5850">
            <w:pPr>
              <w:autoSpaceDE w:val="0"/>
              <w:autoSpaceDN w:val="0"/>
              <w:adjustRightInd w:val="0"/>
              <w:jc w:val="right"/>
              <w:rPr>
                <w:color w:val="000000"/>
                <w:kern w:val="0"/>
                <w:sz w:val="20"/>
              </w:rPr>
            </w:pPr>
            <w:r w:rsidRPr="00C81B24">
              <w:rPr>
                <w:color w:val="000000"/>
                <w:kern w:val="0"/>
                <w:sz w:val="20"/>
              </w:rPr>
              <w:t>3536</w:t>
            </w:r>
          </w:p>
        </w:tc>
        <w:tc>
          <w:tcPr>
            <w:tcW w:w="736" w:type="dxa"/>
            <w:tcBorders>
              <w:top w:val="nil"/>
              <w:left w:val="nil"/>
              <w:bottom w:val="single" w:sz="4" w:space="0" w:color="auto"/>
              <w:right w:val="single" w:sz="4" w:space="0" w:color="auto"/>
            </w:tcBorders>
            <w:vAlign w:val="bottom"/>
          </w:tcPr>
          <w:p w:rsidR="00C81B24" w:rsidRPr="00C81B24" w:rsidRDefault="00C81B24" w:rsidP="00CE5850">
            <w:pPr>
              <w:jc w:val="right"/>
              <w:rPr>
                <w:color w:val="000000"/>
                <w:sz w:val="20"/>
              </w:rPr>
            </w:pPr>
            <w:r w:rsidRPr="00C81B24">
              <w:rPr>
                <w:color w:val="000000"/>
                <w:sz w:val="20"/>
              </w:rPr>
              <w:t>211.23</w:t>
            </w:r>
          </w:p>
        </w:tc>
      </w:tr>
      <w:tr w:rsidR="00C81B24" w:rsidRPr="00C81B24" w:rsidTr="00526AD9">
        <w:trPr>
          <w:trHeight w:val="255"/>
          <w:jc w:val="center"/>
        </w:trPr>
        <w:tc>
          <w:tcPr>
            <w:tcW w:w="554" w:type="dxa"/>
            <w:tcBorders>
              <w:top w:val="nil"/>
              <w:left w:val="single" w:sz="4" w:space="0" w:color="auto"/>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102</w:t>
            </w:r>
          </w:p>
        </w:tc>
        <w:tc>
          <w:tcPr>
            <w:tcW w:w="456" w:type="dxa"/>
            <w:tcBorders>
              <w:top w:val="nil"/>
              <w:left w:val="single" w:sz="4" w:space="0" w:color="auto"/>
              <w:bottom w:val="single" w:sz="4" w:space="0" w:color="auto"/>
              <w:right w:val="single" w:sz="4" w:space="0" w:color="auto"/>
            </w:tcBorders>
            <w:vAlign w:val="center"/>
          </w:tcPr>
          <w:p w:rsidR="00C81B24" w:rsidRPr="00C81B24" w:rsidRDefault="00C81B24" w:rsidP="00CE5850">
            <w:pPr>
              <w:jc w:val="right"/>
              <w:rPr>
                <w:sz w:val="20"/>
              </w:rPr>
            </w:pPr>
            <w:r w:rsidRPr="00C81B24">
              <w:rPr>
                <w:sz w:val="20"/>
              </w:rPr>
              <w:t>102</w:t>
            </w:r>
          </w:p>
        </w:tc>
        <w:tc>
          <w:tcPr>
            <w:tcW w:w="4012" w:type="dxa"/>
            <w:tcBorders>
              <w:top w:val="nil"/>
              <w:left w:val="nil"/>
              <w:bottom w:val="single" w:sz="4" w:space="0" w:color="auto"/>
              <w:right w:val="single" w:sz="4" w:space="0" w:color="auto"/>
            </w:tcBorders>
            <w:vAlign w:val="center"/>
          </w:tcPr>
          <w:p w:rsidR="00C81B24" w:rsidRPr="00C81B24" w:rsidRDefault="00C81B24" w:rsidP="00CE5850">
            <w:pPr>
              <w:rPr>
                <w:sz w:val="20"/>
              </w:rPr>
            </w:pPr>
            <w:r w:rsidRPr="00C81B24">
              <w:rPr>
                <w:sz w:val="20"/>
              </w:rPr>
              <w:t>Davenport-Moline-Rock Island, IA-IL</w:t>
            </w:r>
          </w:p>
        </w:tc>
        <w:tc>
          <w:tcPr>
            <w:tcW w:w="1102" w:type="dxa"/>
            <w:tcBorders>
              <w:top w:val="nil"/>
              <w:left w:val="nil"/>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 xml:space="preserve"> 529,088 </w:t>
            </w:r>
          </w:p>
        </w:tc>
        <w:tc>
          <w:tcPr>
            <w:tcW w:w="1155" w:type="dxa"/>
            <w:tcBorders>
              <w:top w:val="nil"/>
              <w:left w:val="nil"/>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 xml:space="preserve"> 561,329 </w:t>
            </w:r>
          </w:p>
        </w:tc>
        <w:tc>
          <w:tcPr>
            <w:tcW w:w="979" w:type="dxa"/>
            <w:tcBorders>
              <w:top w:val="nil"/>
              <w:left w:val="nil"/>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94%</w:t>
            </w:r>
          </w:p>
        </w:tc>
        <w:tc>
          <w:tcPr>
            <w:tcW w:w="635" w:type="dxa"/>
            <w:tcBorders>
              <w:top w:val="nil"/>
              <w:left w:val="nil"/>
              <w:bottom w:val="single" w:sz="4" w:space="0" w:color="auto"/>
              <w:right w:val="single" w:sz="4" w:space="0" w:color="auto"/>
            </w:tcBorders>
            <w:noWrap/>
            <w:vAlign w:val="bottom"/>
          </w:tcPr>
          <w:p w:rsidR="00C81B24" w:rsidRPr="00C81B24" w:rsidRDefault="00C81B24" w:rsidP="00CE5850">
            <w:pPr>
              <w:jc w:val="right"/>
              <w:rPr>
                <w:sz w:val="20"/>
              </w:rPr>
            </w:pPr>
            <w:r w:rsidRPr="00C81B24">
              <w:rPr>
                <w:sz w:val="20"/>
              </w:rPr>
              <w:t>2779</w:t>
            </w:r>
          </w:p>
        </w:tc>
        <w:tc>
          <w:tcPr>
            <w:tcW w:w="536" w:type="dxa"/>
            <w:tcBorders>
              <w:top w:val="nil"/>
              <w:left w:val="nil"/>
              <w:bottom w:val="single" w:sz="4" w:space="0" w:color="auto"/>
              <w:right w:val="single" w:sz="4" w:space="0" w:color="auto"/>
            </w:tcBorders>
            <w:vAlign w:val="bottom"/>
          </w:tcPr>
          <w:p w:rsidR="00C81B24" w:rsidRPr="00C81B24" w:rsidRDefault="00C81B24" w:rsidP="00CE5850">
            <w:pPr>
              <w:autoSpaceDE w:val="0"/>
              <w:autoSpaceDN w:val="0"/>
              <w:adjustRightInd w:val="0"/>
              <w:jc w:val="right"/>
              <w:rPr>
                <w:color w:val="000000"/>
                <w:kern w:val="0"/>
                <w:sz w:val="20"/>
              </w:rPr>
            </w:pPr>
            <w:r w:rsidRPr="00C81B24">
              <w:rPr>
                <w:color w:val="000000"/>
                <w:kern w:val="0"/>
                <w:sz w:val="20"/>
              </w:rPr>
              <w:t>2708</w:t>
            </w:r>
          </w:p>
        </w:tc>
        <w:tc>
          <w:tcPr>
            <w:tcW w:w="736" w:type="dxa"/>
            <w:tcBorders>
              <w:top w:val="nil"/>
              <w:left w:val="nil"/>
              <w:bottom w:val="single" w:sz="4" w:space="0" w:color="auto"/>
              <w:right w:val="single" w:sz="4" w:space="0" w:color="auto"/>
            </w:tcBorders>
            <w:vAlign w:val="bottom"/>
          </w:tcPr>
          <w:p w:rsidR="00C81B24" w:rsidRPr="00C81B24" w:rsidRDefault="00C81B24" w:rsidP="00CE5850">
            <w:pPr>
              <w:jc w:val="right"/>
              <w:rPr>
                <w:color w:val="000000"/>
                <w:sz w:val="20"/>
              </w:rPr>
            </w:pPr>
            <w:r w:rsidRPr="00C81B24">
              <w:rPr>
                <w:color w:val="000000"/>
                <w:sz w:val="20"/>
              </w:rPr>
              <w:t>110.49</w:t>
            </w:r>
          </w:p>
        </w:tc>
      </w:tr>
      <w:tr w:rsidR="00C81B24" w:rsidRPr="00C81B24" w:rsidTr="00526AD9">
        <w:trPr>
          <w:trHeight w:val="255"/>
          <w:jc w:val="center"/>
        </w:trPr>
        <w:tc>
          <w:tcPr>
            <w:tcW w:w="554" w:type="dxa"/>
            <w:tcBorders>
              <w:top w:val="nil"/>
              <w:left w:val="single" w:sz="4" w:space="0" w:color="auto"/>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103</w:t>
            </w:r>
          </w:p>
        </w:tc>
        <w:tc>
          <w:tcPr>
            <w:tcW w:w="456" w:type="dxa"/>
            <w:tcBorders>
              <w:top w:val="nil"/>
              <w:left w:val="single" w:sz="4" w:space="0" w:color="auto"/>
              <w:bottom w:val="single" w:sz="4" w:space="0" w:color="auto"/>
              <w:right w:val="single" w:sz="4" w:space="0" w:color="auto"/>
            </w:tcBorders>
            <w:vAlign w:val="center"/>
          </w:tcPr>
          <w:p w:rsidR="00C81B24" w:rsidRPr="00C81B24" w:rsidRDefault="00C81B24" w:rsidP="00CE5850">
            <w:pPr>
              <w:jc w:val="right"/>
              <w:rPr>
                <w:sz w:val="20"/>
              </w:rPr>
            </w:pPr>
            <w:r w:rsidRPr="00C81B24">
              <w:rPr>
                <w:sz w:val="20"/>
              </w:rPr>
              <w:t>130</w:t>
            </w:r>
          </w:p>
        </w:tc>
        <w:tc>
          <w:tcPr>
            <w:tcW w:w="4012" w:type="dxa"/>
            <w:tcBorders>
              <w:top w:val="nil"/>
              <w:left w:val="nil"/>
              <w:bottom w:val="single" w:sz="4" w:space="0" w:color="auto"/>
              <w:right w:val="single" w:sz="4" w:space="0" w:color="auto"/>
            </w:tcBorders>
            <w:vAlign w:val="center"/>
          </w:tcPr>
          <w:p w:rsidR="00C81B24" w:rsidRPr="00C81B24" w:rsidRDefault="00C81B24" w:rsidP="00CE5850">
            <w:pPr>
              <w:rPr>
                <w:sz w:val="20"/>
              </w:rPr>
            </w:pPr>
            <w:r w:rsidRPr="00C81B24">
              <w:rPr>
                <w:sz w:val="20"/>
              </w:rPr>
              <w:t>Austin-San Marcos, TX</w:t>
            </w:r>
          </w:p>
        </w:tc>
        <w:tc>
          <w:tcPr>
            <w:tcW w:w="1102" w:type="dxa"/>
            <w:tcBorders>
              <w:top w:val="nil"/>
              <w:left w:val="nil"/>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 xml:space="preserve"> 1,790,002 </w:t>
            </w:r>
          </w:p>
        </w:tc>
        <w:tc>
          <w:tcPr>
            <w:tcW w:w="1155" w:type="dxa"/>
            <w:tcBorders>
              <w:top w:val="nil"/>
              <w:left w:val="nil"/>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 xml:space="preserve"> 1,897,782 </w:t>
            </w:r>
          </w:p>
        </w:tc>
        <w:tc>
          <w:tcPr>
            <w:tcW w:w="979" w:type="dxa"/>
            <w:tcBorders>
              <w:top w:val="nil"/>
              <w:left w:val="nil"/>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94%</w:t>
            </w:r>
          </w:p>
        </w:tc>
        <w:tc>
          <w:tcPr>
            <w:tcW w:w="635" w:type="dxa"/>
            <w:tcBorders>
              <w:top w:val="nil"/>
              <w:left w:val="nil"/>
              <w:bottom w:val="single" w:sz="4" w:space="0" w:color="auto"/>
              <w:right w:val="single" w:sz="4" w:space="0" w:color="auto"/>
            </w:tcBorders>
            <w:noWrap/>
            <w:vAlign w:val="bottom"/>
          </w:tcPr>
          <w:p w:rsidR="00C81B24" w:rsidRPr="00C81B24" w:rsidRDefault="00C81B24" w:rsidP="00CE5850">
            <w:pPr>
              <w:jc w:val="right"/>
              <w:rPr>
                <w:sz w:val="20"/>
              </w:rPr>
            </w:pPr>
            <w:r w:rsidRPr="00C81B24">
              <w:rPr>
                <w:sz w:val="20"/>
              </w:rPr>
              <w:t>2723</w:t>
            </w:r>
          </w:p>
        </w:tc>
        <w:tc>
          <w:tcPr>
            <w:tcW w:w="536" w:type="dxa"/>
            <w:tcBorders>
              <w:top w:val="nil"/>
              <w:left w:val="nil"/>
              <w:bottom w:val="single" w:sz="4" w:space="0" w:color="auto"/>
              <w:right w:val="single" w:sz="4" w:space="0" w:color="auto"/>
            </w:tcBorders>
            <w:vAlign w:val="bottom"/>
          </w:tcPr>
          <w:p w:rsidR="00C81B24" w:rsidRPr="00C81B24" w:rsidRDefault="00C81B24" w:rsidP="00CE5850">
            <w:pPr>
              <w:autoSpaceDE w:val="0"/>
              <w:autoSpaceDN w:val="0"/>
              <w:adjustRightInd w:val="0"/>
              <w:jc w:val="right"/>
              <w:rPr>
                <w:color w:val="000000"/>
                <w:kern w:val="0"/>
                <w:sz w:val="20"/>
              </w:rPr>
            </w:pPr>
            <w:r w:rsidRPr="00C81B24">
              <w:rPr>
                <w:color w:val="000000"/>
                <w:kern w:val="0"/>
                <w:sz w:val="20"/>
              </w:rPr>
              <w:t>2685</w:t>
            </w:r>
          </w:p>
        </w:tc>
        <w:tc>
          <w:tcPr>
            <w:tcW w:w="736" w:type="dxa"/>
            <w:tcBorders>
              <w:top w:val="nil"/>
              <w:left w:val="nil"/>
              <w:bottom w:val="single" w:sz="4" w:space="0" w:color="auto"/>
              <w:right w:val="single" w:sz="4" w:space="0" w:color="auto"/>
            </w:tcBorders>
            <w:vAlign w:val="bottom"/>
          </w:tcPr>
          <w:p w:rsidR="00C81B24" w:rsidRPr="00C81B24" w:rsidRDefault="00C81B24" w:rsidP="00CE5850">
            <w:pPr>
              <w:jc w:val="right"/>
              <w:rPr>
                <w:color w:val="000000"/>
                <w:sz w:val="20"/>
              </w:rPr>
            </w:pPr>
            <w:r w:rsidRPr="00C81B24">
              <w:rPr>
                <w:color w:val="000000"/>
                <w:sz w:val="20"/>
              </w:rPr>
              <w:t>215.23</w:t>
            </w:r>
          </w:p>
        </w:tc>
      </w:tr>
      <w:tr w:rsidR="00C81B24" w:rsidRPr="00C81B24" w:rsidTr="00526AD9">
        <w:trPr>
          <w:trHeight w:val="255"/>
          <w:jc w:val="center"/>
        </w:trPr>
        <w:tc>
          <w:tcPr>
            <w:tcW w:w="554" w:type="dxa"/>
            <w:tcBorders>
              <w:top w:val="nil"/>
              <w:left w:val="single" w:sz="4" w:space="0" w:color="auto"/>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104</w:t>
            </w:r>
          </w:p>
        </w:tc>
        <w:tc>
          <w:tcPr>
            <w:tcW w:w="456" w:type="dxa"/>
            <w:tcBorders>
              <w:top w:val="nil"/>
              <w:left w:val="single" w:sz="4" w:space="0" w:color="auto"/>
              <w:bottom w:val="single" w:sz="4" w:space="0" w:color="auto"/>
              <w:right w:val="single" w:sz="4" w:space="0" w:color="auto"/>
            </w:tcBorders>
            <w:vAlign w:val="center"/>
          </w:tcPr>
          <w:p w:rsidR="00C81B24" w:rsidRPr="00C81B24" w:rsidRDefault="00C81B24" w:rsidP="00CE5850">
            <w:pPr>
              <w:jc w:val="right"/>
              <w:rPr>
                <w:sz w:val="20"/>
              </w:rPr>
            </w:pPr>
            <w:r w:rsidRPr="00C81B24">
              <w:rPr>
                <w:sz w:val="20"/>
              </w:rPr>
              <w:t>52</w:t>
            </w:r>
          </w:p>
        </w:tc>
        <w:tc>
          <w:tcPr>
            <w:tcW w:w="4012" w:type="dxa"/>
            <w:tcBorders>
              <w:top w:val="nil"/>
              <w:left w:val="nil"/>
              <w:bottom w:val="single" w:sz="4" w:space="0" w:color="auto"/>
              <w:right w:val="single" w:sz="4" w:space="0" w:color="auto"/>
            </w:tcBorders>
            <w:vAlign w:val="center"/>
          </w:tcPr>
          <w:p w:rsidR="00C81B24" w:rsidRPr="00C81B24" w:rsidRDefault="00C81B24" w:rsidP="00CE5850">
            <w:pPr>
              <w:rPr>
                <w:sz w:val="20"/>
              </w:rPr>
            </w:pPr>
            <w:r w:rsidRPr="00C81B24">
              <w:rPr>
                <w:sz w:val="20"/>
              </w:rPr>
              <w:t>Wheeling, WV-OH</w:t>
            </w:r>
          </w:p>
        </w:tc>
        <w:tc>
          <w:tcPr>
            <w:tcW w:w="1102" w:type="dxa"/>
            <w:tcBorders>
              <w:top w:val="nil"/>
              <w:left w:val="nil"/>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 xml:space="preserve"> 289,486 </w:t>
            </w:r>
          </w:p>
        </w:tc>
        <w:tc>
          <w:tcPr>
            <w:tcW w:w="1155" w:type="dxa"/>
            <w:tcBorders>
              <w:top w:val="nil"/>
              <w:left w:val="nil"/>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 xml:space="preserve"> 310,497 </w:t>
            </w:r>
          </w:p>
        </w:tc>
        <w:tc>
          <w:tcPr>
            <w:tcW w:w="979" w:type="dxa"/>
            <w:tcBorders>
              <w:top w:val="nil"/>
              <w:left w:val="nil"/>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93%</w:t>
            </w:r>
          </w:p>
        </w:tc>
        <w:tc>
          <w:tcPr>
            <w:tcW w:w="635" w:type="dxa"/>
            <w:tcBorders>
              <w:top w:val="nil"/>
              <w:left w:val="nil"/>
              <w:bottom w:val="single" w:sz="4" w:space="0" w:color="auto"/>
              <w:right w:val="single" w:sz="4" w:space="0" w:color="auto"/>
            </w:tcBorders>
            <w:noWrap/>
            <w:vAlign w:val="bottom"/>
          </w:tcPr>
          <w:p w:rsidR="00C81B24" w:rsidRPr="00C81B24" w:rsidRDefault="00C81B24" w:rsidP="00CE5850">
            <w:pPr>
              <w:jc w:val="right"/>
              <w:rPr>
                <w:sz w:val="20"/>
              </w:rPr>
            </w:pPr>
            <w:r w:rsidRPr="00C81B24">
              <w:rPr>
                <w:sz w:val="20"/>
              </w:rPr>
              <w:t>4169</w:t>
            </w:r>
          </w:p>
        </w:tc>
        <w:tc>
          <w:tcPr>
            <w:tcW w:w="536" w:type="dxa"/>
            <w:tcBorders>
              <w:top w:val="nil"/>
              <w:left w:val="nil"/>
              <w:bottom w:val="single" w:sz="4" w:space="0" w:color="auto"/>
              <w:right w:val="single" w:sz="4" w:space="0" w:color="auto"/>
            </w:tcBorders>
            <w:vAlign w:val="bottom"/>
          </w:tcPr>
          <w:p w:rsidR="00C81B24" w:rsidRPr="00C81B24" w:rsidRDefault="00C81B24" w:rsidP="00CE5850">
            <w:pPr>
              <w:autoSpaceDE w:val="0"/>
              <w:autoSpaceDN w:val="0"/>
              <w:adjustRightInd w:val="0"/>
              <w:jc w:val="right"/>
              <w:rPr>
                <w:color w:val="000000"/>
                <w:kern w:val="0"/>
                <w:sz w:val="20"/>
              </w:rPr>
            </w:pPr>
            <w:r w:rsidRPr="00C81B24">
              <w:rPr>
                <w:color w:val="000000"/>
                <w:kern w:val="0"/>
                <w:sz w:val="20"/>
              </w:rPr>
              <w:t>4465</w:t>
            </w:r>
          </w:p>
        </w:tc>
        <w:tc>
          <w:tcPr>
            <w:tcW w:w="736" w:type="dxa"/>
            <w:tcBorders>
              <w:top w:val="nil"/>
              <w:left w:val="nil"/>
              <w:bottom w:val="single" w:sz="4" w:space="0" w:color="auto"/>
              <w:right w:val="single" w:sz="4" w:space="0" w:color="auto"/>
            </w:tcBorders>
            <w:vAlign w:val="bottom"/>
          </w:tcPr>
          <w:p w:rsidR="00C81B24" w:rsidRPr="00C81B24" w:rsidRDefault="00C81B24" w:rsidP="00CE5850">
            <w:pPr>
              <w:jc w:val="right"/>
              <w:rPr>
                <w:color w:val="000000"/>
                <w:sz w:val="20"/>
              </w:rPr>
            </w:pPr>
            <w:r w:rsidRPr="00C81B24">
              <w:rPr>
                <w:color w:val="000000"/>
                <w:sz w:val="20"/>
              </w:rPr>
              <w:t>120.62</w:t>
            </w:r>
          </w:p>
        </w:tc>
      </w:tr>
      <w:tr w:rsidR="00C81B24" w:rsidRPr="00C81B24" w:rsidTr="00526AD9">
        <w:trPr>
          <w:trHeight w:val="255"/>
          <w:jc w:val="center"/>
        </w:trPr>
        <w:tc>
          <w:tcPr>
            <w:tcW w:w="554" w:type="dxa"/>
            <w:tcBorders>
              <w:top w:val="nil"/>
              <w:left w:val="single" w:sz="4" w:space="0" w:color="auto"/>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105</w:t>
            </w:r>
          </w:p>
        </w:tc>
        <w:tc>
          <w:tcPr>
            <w:tcW w:w="456" w:type="dxa"/>
            <w:tcBorders>
              <w:top w:val="nil"/>
              <w:left w:val="single" w:sz="4" w:space="0" w:color="auto"/>
              <w:bottom w:val="single" w:sz="4" w:space="0" w:color="auto"/>
              <w:right w:val="single" w:sz="4" w:space="0" w:color="auto"/>
            </w:tcBorders>
            <w:vAlign w:val="center"/>
          </w:tcPr>
          <w:p w:rsidR="00C81B24" w:rsidRPr="00C81B24" w:rsidRDefault="00C81B24" w:rsidP="00CE5850">
            <w:pPr>
              <w:jc w:val="right"/>
              <w:rPr>
                <w:sz w:val="20"/>
              </w:rPr>
            </w:pPr>
            <w:r w:rsidRPr="00C81B24">
              <w:rPr>
                <w:sz w:val="20"/>
              </w:rPr>
              <w:t>66</w:t>
            </w:r>
          </w:p>
        </w:tc>
        <w:tc>
          <w:tcPr>
            <w:tcW w:w="4012" w:type="dxa"/>
            <w:tcBorders>
              <w:top w:val="nil"/>
              <w:left w:val="nil"/>
              <w:bottom w:val="single" w:sz="4" w:space="0" w:color="auto"/>
              <w:right w:val="single" w:sz="4" w:space="0" w:color="auto"/>
            </w:tcBorders>
            <w:vAlign w:val="center"/>
          </w:tcPr>
          <w:p w:rsidR="00C81B24" w:rsidRPr="00C81B24" w:rsidRDefault="00C81B24" w:rsidP="00CE5850">
            <w:pPr>
              <w:rPr>
                <w:sz w:val="20"/>
              </w:rPr>
            </w:pPr>
            <w:r w:rsidRPr="00C81B24">
              <w:rPr>
                <w:sz w:val="20"/>
              </w:rPr>
              <w:t>Fort Wayne, IN</w:t>
            </w:r>
          </w:p>
        </w:tc>
        <w:tc>
          <w:tcPr>
            <w:tcW w:w="1102" w:type="dxa"/>
            <w:tcBorders>
              <w:top w:val="nil"/>
              <w:left w:val="nil"/>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 xml:space="preserve"> 698,716 </w:t>
            </w:r>
          </w:p>
        </w:tc>
        <w:tc>
          <w:tcPr>
            <w:tcW w:w="1155" w:type="dxa"/>
            <w:tcBorders>
              <w:top w:val="nil"/>
              <w:left w:val="nil"/>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 xml:space="preserve"> 751,382 </w:t>
            </w:r>
          </w:p>
        </w:tc>
        <w:tc>
          <w:tcPr>
            <w:tcW w:w="979" w:type="dxa"/>
            <w:tcBorders>
              <w:top w:val="nil"/>
              <w:left w:val="nil"/>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93%</w:t>
            </w:r>
          </w:p>
        </w:tc>
        <w:tc>
          <w:tcPr>
            <w:tcW w:w="635" w:type="dxa"/>
            <w:tcBorders>
              <w:top w:val="nil"/>
              <w:left w:val="nil"/>
              <w:bottom w:val="single" w:sz="4" w:space="0" w:color="auto"/>
              <w:right w:val="single" w:sz="4" w:space="0" w:color="auto"/>
            </w:tcBorders>
            <w:noWrap/>
            <w:vAlign w:val="bottom"/>
          </w:tcPr>
          <w:p w:rsidR="00C81B24" w:rsidRPr="00C81B24" w:rsidRDefault="00C81B24" w:rsidP="00CE5850">
            <w:pPr>
              <w:jc w:val="right"/>
              <w:rPr>
                <w:sz w:val="20"/>
              </w:rPr>
            </w:pPr>
            <w:r w:rsidRPr="00C81B24">
              <w:rPr>
                <w:sz w:val="20"/>
              </w:rPr>
              <w:t>3551</w:t>
            </w:r>
          </w:p>
        </w:tc>
        <w:tc>
          <w:tcPr>
            <w:tcW w:w="536" w:type="dxa"/>
            <w:tcBorders>
              <w:top w:val="nil"/>
              <w:left w:val="nil"/>
              <w:bottom w:val="single" w:sz="4" w:space="0" w:color="auto"/>
              <w:right w:val="single" w:sz="4" w:space="0" w:color="auto"/>
            </w:tcBorders>
            <w:vAlign w:val="bottom"/>
          </w:tcPr>
          <w:p w:rsidR="00C81B24" w:rsidRPr="00C81B24" w:rsidRDefault="00C81B24" w:rsidP="00CE5850">
            <w:pPr>
              <w:autoSpaceDE w:val="0"/>
              <w:autoSpaceDN w:val="0"/>
              <w:adjustRightInd w:val="0"/>
              <w:jc w:val="right"/>
              <w:rPr>
                <w:color w:val="000000"/>
                <w:kern w:val="0"/>
                <w:sz w:val="20"/>
              </w:rPr>
            </w:pPr>
            <w:r w:rsidRPr="00C81B24">
              <w:rPr>
                <w:color w:val="000000"/>
                <w:kern w:val="0"/>
                <w:sz w:val="20"/>
              </w:rPr>
              <w:t>3653</w:t>
            </w:r>
          </w:p>
        </w:tc>
        <w:tc>
          <w:tcPr>
            <w:tcW w:w="736" w:type="dxa"/>
            <w:tcBorders>
              <w:top w:val="nil"/>
              <w:left w:val="nil"/>
              <w:bottom w:val="single" w:sz="4" w:space="0" w:color="auto"/>
              <w:right w:val="single" w:sz="4" w:space="0" w:color="auto"/>
            </w:tcBorders>
            <w:vAlign w:val="bottom"/>
          </w:tcPr>
          <w:p w:rsidR="00C81B24" w:rsidRPr="00C81B24" w:rsidRDefault="00C81B24" w:rsidP="00CE5850">
            <w:pPr>
              <w:jc w:val="right"/>
              <w:rPr>
                <w:color w:val="000000"/>
                <w:sz w:val="20"/>
              </w:rPr>
            </w:pPr>
            <w:r w:rsidRPr="00C81B24">
              <w:rPr>
                <w:color w:val="000000"/>
                <w:sz w:val="20"/>
              </w:rPr>
              <w:t>164.88</w:t>
            </w:r>
          </w:p>
        </w:tc>
      </w:tr>
      <w:tr w:rsidR="00C81B24" w:rsidRPr="00C81B24" w:rsidTr="00526AD9">
        <w:trPr>
          <w:trHeight w:val="255"/>
          <w:jc w:val="center"/>
        </w:trPr>
        <w:tc>
          <w:tcPr>
            <w:tcW w:w="554" w:type="dxa"/>
            <w:tcBorders>
              <w:top w:val="nil"/>
              <w:left w:val="single" w:sz="4" w:space="0" w:color="auto"/>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106</w:t>
            </w:r>
          </w:p>
        </w:tc>
        <w:tc>
          <w:tcPr>
            <w:tcW w:w="456" w:type="dxa"/>
            <w:tcBorders>
              <w:top w:val="nil"/>
              <w:left w:val="single" w:sz="4" w:space="0" w:color="auto"/>
              <w:bottom w:val="single" w:sz="4" w:space="0" w:color="auto"/>
              <w:right w:val="single" w:sz="4" w:space="0" w:color="auto"/>
            </w:tcBorders>
            <w:vAlign w:val="center"/>
          </w:tcPr>
          <w:p w:rsidR="00C81B24" w:rsidRPr="00C81B24" w:rsidRDefault="00C81B24" w:rsidP="00CE5850">
            <w:pPr>
              <w:jc w:val="right"/>
              <w:rPr>
                <w:sz w:val="20"/>
              </w:rPr>
            </w:pPr>
            <w:r w:rsidRPr="00C81B24">
              <w:rPr>
                <w:sz w:val="20"/>
              </w:rPr>
              <w:t>98</w:t>
            </w:r>
          </w:p>
        </w:tc>
        <w:tc>
          <w:tcPr>
            <w:tcW w:w="4012" w:type="dxa"/>
            <w:tcBorders>
              <w:top w:val="nil"/>
              <w:left w:val="nil"/>
              <w:bottom w:val="single" w:sz="4" w:space="0" w:color="auto"/>
              <w:right w:val="single" w:sz="4" w:space="0" w:color="auto"/>
            </w:tcBorders>
            <w:vAlign w:val="center"/>
          </w:tcPr>
          <w:p w:rsidR="00C81B24" w:rsidRPr="00C81B24" w:rsidRDefault="00C81B24" w:rsidP="00CE5850">
            <w:pPr>
              <w:rPr>
                <w:sz w:val="20"/>
              </w:rPr>
            </w:pPr>
            <w:r w:rsidRPr="00C81B24">
              <w:rPr>
                <w:sz w:val="20"/>
              </w:rPr>
              <w:t>Columbia, MO</w:t>
            </w:r>
          </w:p>
        </w:tc>
        <w:tc>
          <w:tcPr>
            <w:tcW w:w="1102" w:type="dxa"/>
            <w:tcBorders>
              <w:top w:val="nil"/>
              <w:left w:val="nil"/>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 xml:space="preserve"> 381,980 </w:t>
            </w:r>
          </w:p>
        </w:tc>
        <w:tc>
          <w:tcPr>
            <w:tcW w:w="1155" w:type="dxa"/>
            <w:tcBorders>
              <w:top w:val="nil"/>
              <w:left w:val="nil"/>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 xml:space="preserve"> 409,900 </w:t>
            </w:r>
          </w:p>
        </w:tc>
        <w:tc>
          <w:tcPr>
            <w:tcW w:w="979" w:type="dxa"/>
            <w:tcBorders>
              <w:top w:val="nil"/>
              <w:left w:val="nil"/>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93%</w:t>
            </w:r>
          </w:p>
        </w:tc>
        <w:tc>
          <w:tcPr>
            <w:tcW w:w="635" w:type="dxa"/>
            <w:tcBorders>
              <w:top w:val="nil"/>
              <w:left w:val="nil"/>
              <w:bottom w:val="single" w:sz="4" w:space="0" w:color="auto"/>
              <w:right w:val="single" w:sz="4" w:space="0" w:color="auto"/>
            </w:tcBorders>
            <w:noWrap/>
            <w:vAlign w:val="bottom"/>
          </w:tcPr>
          <w:p w:rsidR="00C81B24" w:rsidRPr="00C81B24" w:rsidRDefault="00C81B24" w:rsidP="00CE5850">
            <w:pPr>
              <w:jc w:val="right"/>
              <w:rPr>
                <w:sz w:val="20"/>
              </w:rPr>
            </w:pPr>
            <w:r w:rsidRPr="00C81B24">
              <w:rPr>
                <w:sz w:val="20"/>
              </w:rPr>
              <w:t>3918</w:t>
            </w:r>
          </w:p>
        </w:tc>
        <w:tc>
          <w:tcPr>
            <w:tcW w:w="536" w:type="dxa"/>
            <w:tcBorders>
              <w:top w:val="nil"/>
              <w:left w:val="nil"/>
              <w:bottom w:val="single" w:sz="4" w:space="0" w:color="auto"/>
              <w:right w:val="single" w:sz="4" w:space="0" w:color="auto"/>
            </w:tcBorders>
            <w:vAlign w:val="bottom"/>
          </w:tcPr>
          <w:p w:rsidR="00C81B24" w:rsidRPr="00C81B24" w:rsidRDefault="00C81B24" w:rsidP="00CE5850">
            <w:pPr>
              <w:autoSpaceDE w:val="0"/>
              <w:autoSpaceDN w:val="0"/>
              <w:adjustRightInd w:val="0"/>
              <w:jc w:val="right"/>
              <w:rPr>
                <w:color w:val="000000"/>
                <w:kern w:val="0"/>
                <w:sz w:val="20"/>
              </w:rPr>
            </w:pPr>
            <w:r w:rsidRPr="00C81B24">
              <w:rPr>
                <w:color w:val="000000"/>
                <w:kern w:val="0"/>
                <w:sz w:val="20"/>
              </w:rPr>
              <w:t>3900</w:t>
            </w:r>
          </w:p>
        </w:tc>
        <w:tc>
          <w:tcPr>
            <w:tcW w:w="736" w:type="dxa"/>
            <w:tcBorders>
              <w:top w:val="nil"/>
              <w:left w:val="nil"/>
              <w:bottom w:val="single" w:sz="4" w:space="0" w:color="auto"/>
              <w:right w:val="single" w:sz="4" w:space="0" w:color="auto"/>
            </w:tcBorders>
            <w:vAlign w:val="bottom"/>
          </w:tcPr>
          <w:p w:rsidR="00C81B24" w:rsidRPr="00C81B24" w:rsidRDefault="00C81B24" w:rsidP="00CE5850">
            <w:pPr>
              <w:jc w:val="right"/>
              <w:rPr>
                <w:color w:val="000000"/>
                <w:sz w:val="20"/>
              </w:rPr>
            </w:pPr>
            <w:r w:rsidRPr="00C81B24">
              <w:rPr>
                <w:color w:val="000000"/>
                <w:sz w:val="20"/>
              </w:rPr>
              <w:t>64.65</w:t>
            </w:r>
          </w:p>
        </w:tc>
      </w:tr>
      <w:tr w:rsidR="00C81B24" w:rsidRPr="00C81B24" w:rsidTr="00526AD9">
        <w:trPr>
          <w:trHeight w:val="255"/>
          <w:jc w:val="center"/>
        </w:trPr>
        <w:tc>
          <w:tcPr>
            <w:tcW w:w="554" w:type="dxa"/>
            <w:tcBorders>
              <w:top w:val="nil"/>
              <w:left w:val="single" w:sz="4" w:space="0" w:color="auto"/>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107</w:t>
            </w:r>
          </w:p>
        </w:tc>
        <w:tc>
          <w:tcPr>
            <w:tcW w:w="456" w:type="dxa"/>
            <w:tcBorders>
              <w:top w:val="nil"/>
              <w:left w:val="single" w:sz="4" w:space="0" w:color="auto"/>
              <w:bottom w:val="single" w:sz="4" w:space="0" w:color="auto"/>
              <w:right w:val="single" w:sz="4" w:space="0" w:color="auto"/>
            </w:tcBorders>
            <w:vAlign w:val="center"/>
          </w:tcPr>
          <w:p w:rsidR="00C81B24" w:rsidRPr="00C81B24" w:rsidRDefault="00C81B24" w:rsidP="00CE5850">
            <w:pPr>
              <w:jc w:val="right"/>
              <w:rPr>
                <w:sz w:val="20"/>
              </w:rPr>
            </w:pPr>
            <w:r w:rsidRPr="00C81B24">
              <w:rPr>
                <w:sz w:val="20"/>
              </w:rPr>
              <w:t>118</w:t>
            </w:r>
          </w:p>
        </w:tc>
        <w:tc>
          <w:tcPr>
            <w:tcW w:w="4012" w:type="dxa"/>
            <w:tcBorders>
              <w:top w:val="nil"/>
              <w:left w:val="nil"/>
              <w:bottom w:val="single" w:sz="4" w:space="0" w:color="auto"/>
              <w:right w:val="single" w:sz="4" w:space="0" w:color="auto"/>
            </w:tcBorders>
            <w:vAlign w:val="center"/>
          </w:tcPr>
          <w:p w:rsidR="00C81B24" w:rsidRPr="00C81B24" w:rsidRDefault="00C81B24" w:rsidP="00CE5850">
            <w:pPr>
              <w:rPr>
                <w:sz w:val="20"/>
              </w:rPr>
            </w:pPr>
            <w:r w:rsidRPr="00C81B24">
              <w:rPr>
                <w:sz w:val="20"/>
              </w:rPr>
              <w:t>Omaha, NE-IA-MO</w:t>
            </w:r>
          </w:p>
        </w:tc>
        <w:tc>
          <w:tcPr>
            <w:tcW w:w="1102" w:type="dxa"/>
            <w:tcBorders>
              <w:top w:val="nil"/>
              <w:left w:val="nil"/>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 xml:space="preserve"> 1,058,891 </w:t>
            </w:r>
          </w:p>
        </w:tc>
        <w:tc>
          <w:tcPr>
            <w:tcW w:w="1155" w:type="dxa"/>
            <w:tcBorders>
              <w:top w:val="nil"/>
              <w:left w:val="nil"/>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 xml:space="preserve"> 1,142,021 </w:t>
            </w:r>
          </w:p>
        </w:tc>
        <w:tc>
          <w:tcPr>
            <w:tcW w:w="979" w:type="dxa"/>
            <w:tcBorders>
              <w:top w:val="nil"/>
              <w:left w:val="nil"/>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93%</w:t>
            </w:r>
          </w:p>
        </w:tc>
        <w:tc>
          <w:tcPr>
            <w:tcW w:w="635" w:type="dxa"/>
            <w:tcBorders>
              <w:top w:val="nil"/>
              <w:left w:val="nil"/>
              <w:bottom w:val="single" w:sz="4" w:space="0" w:color="auto"/>
              <w:right w:val="single" w:sz="4" w:space="0" w:color="auto"/>
            </w:tcBorders>
            <w:noWrap/>
            <w:vAlign w:val="bottom"/>
          </w:tcPr>
          <w:p w:rsidR="00C81B24" w:rsidRPr="00C81B24" w:rsidRDefault="00C81B24" w:rsidP="00CE5850">
            <w:pPr>
              <w:jc w:val="right"/>
              <w:rPr>
                <w:sz w:val="20"/>
              </w:rPr>
            </w:pPr>
            <w:r w:rsidRPr="00C81B24">
              <w:rPr>
                <w:sz w:val="20"/>
              </w:rPr>
              <w:t>3558</w:t>
            </w:r>
          </w:p>
        </w:tc>
        <w:tc>
          <w:tcPr>
            <w:tcW w:w="536" w:type="dxa"/>
            <w:tcBorders>
              <w:top w:val="nil"/>
              <w:left w:val="nil"/>
              <w:bottom w:val="single" w:sz="4" w:space="0" w:color="auto"/>
              <w:right w:val="single" w:sz="4" w:space="0" w:color="auto"/>
            </w:tcBorders>
            <w:vAlign w:val="bottom"/>
          </w:tcPr>
          <w:p w:rsidR="00C81B24" w:rsidRPr="00C81B24" w:rsidRDefault="00C81B24" w:rsidP="00CE5850">
            <w:pPr>
              <w:autoSpaceDE w:val="0"/>
              <w:autoSpaceDN w:val="0"/>
              <w:adjustRightInd w:val="0"/>
              <w:jc w:val="right"/>
              <w:rPr>
                <w:color w:val="000000"/>
                <w:kern w:val="0"/>
                <w:sz w:val="20"/>
              </w:rPr>
            </w:pPr>
            <w:r w:rsidRPr="00C81B24">
              <w:rPr>
                <w:color w:val="000000"/>
                <w:kern w:val="0"/>
                <w:sz w:val="20"/>
              </w:rPr>
              <w:t>3125</w:t>
            </w:r>
          </w:p>
        </w:tc>
        <w:tc>
          <w:tcPr>
            <w:tcW w:w="736" w:type="dxa"/>
            <w:tcBorders>
              <w:top w:val="nil"/>
              <w:left w:val="nil"/>
              <w:bottom w:val="single" w:sz="4" w:space="0" w:color="auto"/>
              <w:right w:val="single" w:sz="4" w:space="0" w:color="auto"/>
            </w:tcBorders>
            <w:vAlign w:val="bottom"/>
          </w:tcPr>
          <w:p w:rsidR="00C81B24" w:rsidRPr="00C81B24" w:rsidRDefault="00C81B24" w:rsidP="00CE5850">
            <w:pPr>
              <w:jc w:val="right"/>
              <w:rPr>
                <w:color w:val="000000"/>
                <w:sz w:val="20"/>
              </w:rPr>
            </w:pPr>
            <w:r w:rsidRPr="00C81B24">
              <w:rPr>
                <w:color w:val="000000"/>
                <w:sz w:val="20"/>
              </w:rPr>
              <w:t>68.03</w:t>
            </w:r>
          </w:p>
        </w:tc>
      </w:tr>
      <w:tr w:rsidR="00C81B24" w:rsidRPr="00C81B24" w:rsidTr="00526AD9">
        <w:trPr>
          <w:trHeight w:val="255"/>
          <w:jc w:val="center"/>
        </w:trPr>
        <w:tc>
          <w:tcPr>
            <w:tcW w:w="554" w:type="dxa"/>
            <w:tcBorders>
              <w:top w:val="nil"/>
              <w:left w:val="single" w:sz="4" w:space="0" w:color="auto"/>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108</w:t>
            </w:r>
          </w:p>
        </w:tc>
        <w:tc>
          <w:tcPr>
            <w:tcW w:w="456" w:type="dxa"/>
            <w:tcBorders>
              <w:top w:val="nil"/>
              <w:left w:val="single" w:sz="4" w:space="0" w:color="auto"/>
              <w:bottom w:val="single" w:sz="4" w:space="0" w:color="auto"/>
              <w:right w:val="single" w:sz="4" w:space="0" w:color="auto"/>
            </w:tcBorders>
            <w:vAlign w:val="center"/>
          </w:tcPr>
          <w:p w:rsidR="00C81B24" w:rsidRPr="00C81B24" w:rsidRDefault="00C81B24" w:rsidP="00CE5850">
            <w:pPr>
              <w:jc w:val="right"/>
              <w:rPr>
                <w:sz w:val="20"/>
              </w:rPr>
            </w:pPr>
            <w:r w:rsidRPr="00C81B24">
              <w:rPr>
                <w:sz w:val="20"/>
              </w:rPr>
              <w:t>120</w:t>
            </w:r>
          </w:p>
        </w:tc>
        <w:tc>
          <w:tcPr>
            <w:tcW w:w="4012" w:type="dxa"/>
            <w:tcBorders>
              <w:top w:val="nil"/>
              <w:left w:val="nil"/>
              <w:bottom w:val="single" w:sz="4" w:space="0" w:color="auto"/>
              <w:right w:val="single" w:sz="4" w:space="0" w:color="auto"/>
            </w:tcBorders>
            <w:vAlign w:val="center"/>
          </w:tcPr>
          <w:p w:rsidR="00C81B24" w:rsidRPr="00C81B24" w:rsidRDefault="00C81B24" w:rsidP="00CE5850">
            <w:pPr>
              <w:rPr>
                <w:sz w:val="20"/>
              </w:rPr>
            </w:pPr>
            <w:r w:rsidRPr="00C81B24">
              <w:rPr>
                <w:sz w:val="20"/>
              </w:rPr>
              <w:t>Grand Island, NE</w:t>
            </w:r>
          </w:p>
        </w:tc>
        <w:tc>
          <w:tcPr>
            <w:tcW w:w="1102" w:type="dxa"/>
            <w:tcBorders>
              <w:top w:val="nil"/>
              <w:left w:val="nil"/>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 xml:space="preserve"> 268,856 </w:t>
            </w:r>
          </w:p>
        </w:tc>
        <w:tc>
          <w:tcPr>
            <w:tcW w:w="1155" w:type="dxa"/>
            <w:tcBorders>
              <w:top w:val="nil"/>
              <w:left w:val="nil"/>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 xml:space="preserve"> 288,672 </w:t>
            </w:r>
          </w:p>
        </w:tc>
        <w:tc>
          <w:tcPr>
            <w:tcW w:w="979" w:type="dxa"/>
            <w:tcBorders>
              <w:top w:val="nil"/>
              <w:left w:val="nil"/>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93%</w:t>
            </w:r>
          </w:p>
        </w:tc>
        <w:tc>
          <w:tcPr>
            <w:tcW w:w="635" w:type="dxa"/>
            <w:tcBorders>
              <w:top w:val="nil"/>
              <w:left w:val="nil"/>
              <w:bottom w:val="single" w:sz="4" w:space="0" w:color="auto"/>
              <w:right w:val="single" w:sz="4" w:space="0" w:color="auto"/>
            </w:tcBorders>
            <w:noWrap/>
            <w:vAlign w:val="bottom"/>
          </w:tcPr>
          <w:p w:rsidR="00C81B24" w:rsidRPr="00C81B24" w:rsidRDefault="00C81B24" w:rsidP="00CE5850">
            <w:pPr>
              <w:jc w:val="right"/>
              <w:rPr>
                <w:sz w:val="20"/>
              </w:rPr>
            </w:pPr>
            <w:r w:rsidRPr="00C81B24">
              <w:rPr>
                <w:sz w:val="20"/>
              </w:rPr>
              <w:t>6397</w:t>
            </w:r>
          </w:p>
        </w:tc>
        <w:tc>
          <w:tcPr>
            <w:tcW w:w="536" w:type="dxa"/>
            <w:tcBorders>
              <w:top w:val="nil"/>
              <w:left w:val="nil"/>
              <w:bottom w:val="single" w:sz="4" w:space="0" w:color="auto"/>
              <w:right w:val="single" w:sz="4" w:space="0" w:color="auto"/>
            </w:tcBorders>
            <w:vAlign w:val="bottom"/>
          </w:tcPr>
          <w:p w:rsidR="00C81B24" w:rsidRPr="00C81B24" w:rsidRDefault="00C81B24" w:rsidP="00CE5850">
            <w:pPr>
              <w:autoSpaceDE w:val="0"/>
              <w:autoSpaceDN w:val="0"/>
              <w:adjustRightInd w:val="0"/>
              <w:jc w:val="right"/>
              <w:rPr>
                <w:color w:val="000000"/>
                <w:kern w:val="0"/>
                <w:sz w:val="20"/>
              </w:rPr>
            </w:pPr>
            <w:r w:rsidRPr="00C81B24">
              <w:rPr>
                <w:color w:val="000000"/>
                <w:kern w:val="0"/>
                <w:sz w:val="20"/>
              </w:rPr>
              <w:t>6182</w:t>
            </w:r>
          </w:p>
        </w:tc>
        <w:tc>
          <w:tcPr>
            <w:tcW w:w="736" w:type="dxa"/>
            <w:tcBorders>
              <w:top w:val="nil"/>
              <w:left w:val="nil"/>
              <w:bottom w:val="single" w:sz="4" w:space="0" w:color="auto"/>
              <w:right w:val="single" w:sz="4" w:space="0" w:color="auto"/>
            </w:tcBorders>
            <w:vAlign w:val="bottom"/>
          </w:tcPr>
          <w:p w:rsidR="00C81B24" w:rsidRPr="00C81B24" w:rsidRDefault="00C81B24" w:rsidP="00CE5850">
            <w:pPr>
              <w:jc w:val="right"/>
              <w:rPr>
                <w:color w:val="000000"/>
                <w:sz w:val="20"/>
              </w:rPr>
            </w:pPr>
            <w:r w:rsidRPr="00C81B24">
              <w:rPr>
                <w:color w:val="000000"/>
                <w:sz w:val="20"/>
              </w:rPr>
              <w:t>11.59</w:t>
            </w:r>
          </w:p>
        </w:tc>
      </w:tr>
      <w:tr w:rsidR="00C81B24" w:rsidRPr="00C81B24" w:rsidTr="00526AD9">
        <w:trPr>
          <w:trHeight w:val="255"/>
          <w:jc w:val="center"/>
        </w:trPr>
        <w:tc>
          <w:tcPr>
            <w:tcW w:w="554" w:type="dxa"/>
            <w:tcBorders>
              <w:top w:val="nil"/>
              <w:left w:val="single" w:sz="4" w:space="0" w:color="auto"/>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109</w:t>
            </w:r>
          </w:p>
        </w:tc>
        <w:tc>
          <w:tcPr>
            <w:tcW w:w="456" w:type="dxa"/>
            <w:tcBorders>
              <w:top w:val="nil"/>
              <w:left w:val="single" w:sz="4" w:space="0" w:color="auto"/>
              <w:bottom w:val="single" w:sz="4" w:space="0" w:color="auto"/>
              <w:right w:val="single" w:sz="4" w:space="0" w:color="auto"/>
            </w:tcBorders>
            <w:vAlign w:val="center"/>
          </w:tcPr>
          <w:p w:rsidR="00C81B24" w:rsidRPr="00C81B24" w:rsidRDefault="00C81B24" w:rsidP="00CE5850">
            <w:pPr>
              <w:jc w:val="right"/>
              <w:rPr>
                <w:sz w:val="20"/>
              </w:rPr>
            </w:pPr>
            <w:r w:rsidRPr="00C81B24">
              <w:rPr>
                <w:sz w:val="20"/>
              </w:rPr>
              <w:t>154</w:t>
            </w:r>
          </w:p>
        </w:tc>
        <w:tc>
          <w:tcPr>
            <w:tcW w:w="4012" w:type="dxa"/>
            <w:tcBorders>
              <w:top w:val="nil"/>
              <w:left w:val="nil"/>
              <w:bottom w:val="single" w:sz="4" w:space="0" w:color="auto"/>
              <w:right w:val="single" w:sz="4" w:space="0" w:color="auto"/>
            </w:tcBorders>
            <w:vAlign w:val="center"/>
          </w:tcPr>
          <w:p w:rsidR="00C81B24" w:rsidRPr="00C81B24" w:rsidRDefault="00C81B24" w:rsidP="00CE5850">
            <w:pPr>
              <w:rPr>
                <w:sz w:val="20"/>
              </w:rPr>
            </w:pPr>
            <w:r w:rsidRPr="00C81B24">
              <w:rPr>
                <w:sz w:val="20"/>
              </w:rPr>
              <w:t>Flagstaff, AZ-UT</w:t>
            </w:r>
          </w:p>
        </w:tc>
        <w:tc>
          <w:tcPr>
            <w:tcW w:w="1102" w:type="dxa"/>
            <w:tcBorders>
              <w:top w:val="nil"/>
              <w:left w:val="nil"/>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 xml:space="preserve"> 444,215 </w:t>
            </w:r>
          </w:p>
        </w:tc>
        <w:tc>
          <w:tcPr>
            <w:tcW w:w="1155" w:type="dxa"/>
            <w:tcBorders>
              <w:top w:val="nil"/>
              <w:left w:val="nil"/>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 xml:space="preserve"> 475,879 </w:t>
            </w:r>
          </w:p>
        </w:tc>
        <w:tc>
          <w:tcPr>
            <w:tcW w:w="979" w:type="dxa"/>
            <w:tcBorders>
              <w:top w:val="nil"/>
              <w:left w:val="nil"/>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93%</w:t>
            </w:r>
          </w:p>
        </w:tc>
        <w:tc>
          <w:tcPr>
            <w:tcW w:w="635" w:type="dxa"/>
            <w:tcBorders>
              <w:top w:val="nil"/>
              <w:left w:val="nil"/>
              <w:bottom w:val="single" w:sz="4" w:space="0" w:color="auto"/>
              <w:right w:val="single" w:sz="4" w:space="0" w:color="auto"/>
            </w:tcBorders>
            <w:noWrap/>
            <w:vAlign w:val="bottom"/>
          </w:tcPr>
          <w:p w:rsidR="00C81B24" w:rsidRPr="00C81B24" w:rsidRDefault="00C81B24" w:rsidP="00CE5850">
            <w:pPr>
              <w:jc w:val="right"/>
              <w:rPr>
                <w:sz w:val="20"/>
              </w:rPr>
            </w:pPr>
            <w:r w:rsidRPr="00C81B24">
              <w:rPr>
                <w:sz w:val="20"/>
              </w:rPr>
              <w:t>4287</w:t>
            </w:r>
          </w:p>
        </w:tc>
        <w:tc>
          <w:tcPr>
            <w:tcW w:w="536" w:type="dxa"/>
            <w:tcBorders>
              <w:top w:val="nil"/>
              <w:left w:val="nil"/>
              <w:bottom w:val="single" w:sz="4" w:space="0" w:color="auto"/>
              <w:right w:val="single" w:sz="4" w:space="0" w:color="auto"/>
            </w:tcBorders>
            <w:vAlign w:val="bottom"/>
          </w:tcPr>
          <w:p w:rsidR="00C81B24" w:rsidRPr="00C81B24" w:rsidRDefault="00C81B24" w:rsidP="00CE5850">
            <w:pPr>
              <w:autoSpaceDE w:val="0"/>
              <w:autoSpaceDN w:val="0"/>
              <w:adjustRightInd w:val="0"/>
              <w:jc w:val="right"/>
              <w:rPr>
                <w:color w:val="000000"/>
                <w:kern w:val="0"/>
                <w:sz w:val="20"/>
              </w:rPr>
            </w:pPr>
            <w:r w:rsidRPr="00C81B24">
              <w:rPr>
                <w:color w:val="000000"/>
                <w:kern w:val="0"/>
                <w:sz w:val="20"/>
              </w:rPr>
              <w:t>4317</w:t>
            </w:r>
          </w:p>
        </w:tc>
        <w:tc>
          <w:tcPr>
            <w:tcW w:w="736" w:type="dxa"/>
            <w:tcBorders>
              <w:top w:val="nil"/>
              <w:left w:val="nil"/>
              <w:bottom w:val="single" w:sz="4" w:space="0" w:color="auto"/>
              <w:right w:val="single" w:sz="4" w:space="0" w:color="auto"/>
            </w:tcBorders>
            <w:vAlign w:val="bottom"/>
          </w:tcPr>
          <w:p w:rsidR="00C81B24" w:rsidRPr="00C81B24" w:rsidRDefault="00C81B24" w:rsidP="00CE5850">
            <w:pPr>
              <w:jc w:val="right"/>
              <w:rPr>
                <w:color w:val="000000"/>
                <w:sz w:val="20"/>
              </w:rPr>
            </w:pPr>
            <w:r w:rsidRPr="00C81B24">
              <w:rPr>
                <w:color w:val="000000"/>
                <w:sz w:val="20"/>
              </w:rPr>
              <w:t>9.79</w:t>
            </w:r>
          </w:p>
        </w:tc>
      </w:tr>
      <w:tr w:rsidR="00C81B24" w:rsidRPr="00C81B24" w:rsidTr="00526AD9">
        <w:trPr>
          <w:trHeight w:val="255"/>
          <w:jc w:val="center"/>
        </w:trPr>
        <w:tc>
          <w:tcPr>
            <w:tcW w:w="554" w:type="dxa"/>
            <w:tcBorders>
              <w:top w:val="nil"/>
              <w:left w:val="single" w:sz="4" w:space="0" w:color="auto"/>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110</w:t>
            </w:r>
          </w:p>
        </w:tc>
        <w:tc>
          <w:tcPr>
            <w:tcW w:w="456" w:type="dxa"/>
            <w:tcBorders>
              <w:top w:val="nil"/>
              <w:left w:val="single" w:sz="4" w:space="0" w:color="auto"/>
              <w:bottom w:val="single" w:sz="4" w:space="0" w:color="auto"/>
              <w:right w:val="single" w:sz="4" w:space="0" w:color="auto"/>
            </w:tcBorders>
            <w:vAlign w:val="center"/>
          </w:tcPr>
          <w:p w:rsidR="00C81B24" w:rsidRPr="00C81B24" w:rsidRDefault="00C81B24" w:rsidP="00CE5850">
            <w:pPr>
              <w:jc w:val="right"/>
              <w:rPr>
                <w:sz w:val="20"/>
              </w:rPr>
            </w:pPr>
            <w:r w:rsidRPr="00C81B24">
              <w:rPr>
                <w:sz w:val="20"/>
              </w:rPr>
              <w:t>158</w:t>
            </w:r>
          </w:p>
        </w:tc>
        <w:tc>
          <w:tcPr>
            <w:tcW w:w="4012" w:type="dxa"/>
            <w:tcBorders>
              <w:top w:val="nil"/>
              <w:left w:val="nil"/>
              <w:bottom w:val="single" w:sz="4" w:space="0" w:color="auto"/>
              <w:right w:val="single" w:sz="4" w:space="0" w:color="auto"/>
            </w:tcBorders>
            <w:vAlign w:val="center"/>
          </w:tcPr>
          <w:p w:rsidR="00C81B24" w:rsidRPr="00C81B24" w:rsidRDefault="00C81B24" w:rsidP="00CE5850">
            <w:pPr>
              <w:rPr>
                <w:sz w:val="20"/>
              </w:rPr>
            </w:pPr>
            <w:r w:rsidRPr="00C81B24">
              <w:rPr>
                <w:sz w:val="20"/>
              </w:rPr>
              <w:t>Phoenix-Mesa, AZ-NM</w:t>
            </w:r>
          </w:p>
        </w:tc>
        <w:tc>
          <w:tcPr>
            <w:tcW w:w="1102" w:type="dxa"/>
            <w:tcBorders>
              <w:top w:val="nil"/>
              <w:left w:val="nil"/>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 xml:space="preserve"> 4,091,966 </w:t>
            </w:r>
          </w:p>
        </w:tc>
        <w:tc>
          <w:tcPr>
            <w:tcW w:w="1155" w:type="dxa"/>
            <w:tcBorders>
              <w:top w:val="nil"/>
              <w:left w:val="nil"/>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 xml:space="preserve"> 4,421,655 </w:t>
            </w:r>
          </w:p>
        </w:tc>
        <w:tc>
          <w:tcPr>
            <w:tcW w:w="979" w:type="dxa"/>
            <w:tcBorders>
              <w:top w:val="nil"/>
              <w:left w:val="nil"/>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93%</w:t>
            </w:r>
          </w:p>
        </w:tc>
        <w:tc>
          <w:tcPr>
            <w:tcW w:w="635" w:type="dxa"/>
            <w:tcBorders>
              <w:top w:val="nil"/>
              <w:left w:val="nil"/>
              <w:bottom w:val="single" w:sz="4" w:space="0" w:color="auto"/>
              <w:right w:val="single" w:sz="4" w:space="0" w:color="auto"/>
            </w:tcBorders>
            <w:noWrap/>
            <w:vAlign w:val="bottom"/>
          </w:tcPr>
          <w:p w:rsidR="00C81B24" w:rsidRPr="00C81B24" w:rsidRDefault="00C81B24" w:rsidP="00CE5850">
            <w:pPr>
              <w:jc w:val="right"/>
              <w:rPr>
                <w:sz w:val="20"/>
              </w:rPr>
            </w:pPr>
            <w:r w:rsidRPr="00C81B24">
              <w:rPr>
                <w:sz w:val="20"/>
              </w:rPr>
              <w:t>2778</w:t>
            </w:r>
          </w:p>
        </w:tc>
        <w:tc>
          <w:tcPr>
            <w:tcW w:w="536" w:type="dxa"/>
            <w:tcBorders>
              <w:top w:val="nil"/>
              <w:left w:val="nil"/>
              <w:bottom w:val="single" w:sz="4" w:space="0" w:color="auto"/>
              <w:right w:val="single" w:sz="4" w:space="0" w:color="auto"/>
            </w:tcBorders>
            <w:vAlign w:val="bottom"/>
          </w:tcPr>
          <w:p w:rsidR="00C81B24" w:rsidRPr="00C81B24" w:rsidRDefault="00C81B24" w:rsidP="00CE5850">
            <w:pPr>
              <w:autoSpaceDE w:val="0"/>
              <w:autoSpaceDN w:val="0"/>
              <w:adjustRightInd w:val="0"/>
              <w:jc w:val="right"/>
              <w:rPr>
                <w:color w:val="000000"/>
                <w:kern w:val="0"/>
                <w:sz w:val="20"/>
              </w:rPr>
            </w:pPr>
            <w:r w:rsidRPr="00C81B24">
              <w:rPr>
                <w:color w:val="000000"/>
                <w:kern w:val="0"/>
                <w:sz w:val="20"/>
              </w:rPr>
              <w:t>2814</w:t>
            </w:r>
          </w:p>
        </w:tc>
        <w:tc>
          <w:tcPr>
            <w:tcW w:w="736" w:type="dxa"/>
            <w:tcBorders>
              <w:top w:val="nil"/>
              <w:left w:val="nil"/>
              <w:bottom w:val="single" w:sz="4" w:space="0" w:color="auto"/>
              <w:right w:val="single" w:sz="4" w:space="0" w:color="auto"/>
            </w:tcBorders>
            <w:vAlign w:val="bottom"/>
          </w:tcPr>
          <w:p w:rsidR="00C81B24" w:rsidRPr="00C81B24" w:rsidRDefault="00C81B24" w:rsidP="00CE5850">
            <w:pPr>
              <w:jc w:val="right"/>
              <w:rPr>
                <w:color w:val="000000"/>
                <w:sz w:val="20"/>
              </w:rPr>
            </w:pPr>
            <w:r w:rsidRPr="00C81B24">
              <w:rPr>
                <w:color w:val="000000"/>
                <w:sz w:val="20"/>
              </w:rPr>
              <w:t>120.37</w:t>
            </w:r>
          </w:p>
        </w:tc>
      </w:tr>
      <w:tr w:rsidR="00C81B24" w:rsidRPr="00C81B24" w:rsidTr="00526AD9">
        <w:trPr>
          <w:trHeight w:val="255"/>
          <w:jc w:val="center"/>
        </w:trPr>
        <w:tc>
          <w:tcPr>
            <w:tcW w:w="554" w:type="dxa"/>
            <w:tcBorders>
              <w:top w:val="nil"/>
              <w:left w:val="single" w:sz="4" w:space="0" w:color="auto"/>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111</w:t>
            </w:r>
          </w:p>
        </w:tc>
        <w:tc>
          <w:tcPr>
            <w:tcW w:w="456" w:type="dxa"/>
            <w:tcBorders>
              <w:top w:val="nil"/>
              <w:left w:val="single" w:sz="4" w:space="0" w:color="auto"/>
              <w:bottom w:val="single" w:sz="4" w:space="0" w:color="auto"/>
              <w:right w:val="single" w:sz="4" w:space="0" w:color="auto"/>
            </w:tcBorders>
            <w:vAlign w:val="center"/>
          </w:tcPr>
          <w:p w:rsidR="00C81B24" w:rsidRPr="00C81B24" w:rsidRDefault="00C81B24" w:rsidP="00CE5850">
            <w:pPr>
              <w:jc w:val="right"/>
              <w:rPr>
                <w:sz w:val="20"/>
              </w:rPr>
            </w:pPr>
            <w:r w:rsidRPr="00C81B24">
              <w:rPr>
                <w:sz w:val="20"/>
              </w:rPr>
              <w:t>167</w:t>
            </w:r>
          </w:p>
        </w:tc>
        <w:tc>
          <w:tcPr>
            <w:tcW w:w="4012" w:type="dxa"/>
            <w:tcBorders>
              <w:top w:val="nil"/>
              <w:left w:val="nil"/>
              <w:bottom w:val="single" w:sz="4" w:space="0" w:color="auto"/>
              <w:right w:val="single" w:sz="4" w:space="0" w:color="auto"/>
            </w:tcBorders>
            <w:vAlign w:val="center"/>
          </w:tcPr>
          <w:p w:rsidR="00C81B24" w:rsidRPr="00C81B24" w:rsidRDefault="00C81B24" w:rsidP="00CE5850">
            <w:pPr>
              <w:rPr>
                <w:sz w:val="20"/>
              </w:rPr>
            </w:pPr>
            <w:r w:rsidRPr="00C81B24">
              <w:rPr>
                <w:sz w:val="20"/>
              </w:rPr>
              <w:t>Portland-Salem, OR-WA</w:t>
            </w:r>
          </w:p>
        </w:tc>
        <w:tc>
          <w:tcPr>
            <w:tcW w:w="1102" w:type="dxa"/>
            <w:tcBorders>
              <w:top w:val="nil"/>
              <w:left w:val="nil"/>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 xml:space="preserve"> 3,121,788 </w:t>
            </w:r>
          </w:p>
        </w:tc>
        <w:tc>
          <w:tcPr>
            <w:tcW w:w="1155" w:type="dxa"/>
            <w:tcBorders>
              <w:top w:val="nil"/>
              <w:left w:val="nil"/>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 xml:space="preserve"> 3,357,476 </w:t>
            </w:r>
          </w:p>
        </w:tc>
        <w:tc>
          <w:tcPr>
            <w:tcW w:w="979" w:type="dxa"/>
            <w:tcBorders>
              <w:top w:val="nil"/>
              <w:left w:val="nil"/>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93%</w:t>
            </w:r>
          </w:p>
        </w:tc>
        <w:tc>
          <w:tcPr>
            <w:tcW w:w="635" w:type="dxa"/>
            <w:tcBorders>
              <w:top w:val="nil"/>
              <w:left w:val="nil"/>
              <w:bottom w:val="single" w:sz="4" w:space="0" w:color="auto"/>
              <w:right w:val="single" w:sz="4" w:space="0" w:color="auto"/>
            </w:tcBorders>
            <w:noWrap/>
            <w:vAlign w:val="bottom"/>
          </w:tcPr>
          <w:p w:rsidR="00C81B24" w:rsidRPr="00C81B24" w:rsidRDefault="00C81B24" w:rsidP="00CE5850">
            <w:pPr>
              <w:jc w:val="right"/>
              <w:rPr>
                <w:sz w:val="20"/>
              </w:rPr>
            </w:pPr>
            <w:r w:rsidRPr="00C81B24">
              <w:rPr>
                <w:sz w:val="20"/>
              </w:rPr>
              <w:t>2711</w:t>
            </w:r>
          </w:p>
        </w:tc>
        <w:tc>
          <w:tcPr>
            <w:tcW w:w="536" w:type="dxa"/>
            <w:tcBorders>
              <w:top w:val="nil"/>
              <w:left w:val="nil"/>
              <w:bottom w:val="single" w:sz="4" w:space="0" w:color="auto"/>
              <w:right w:val="single" w:sz="4" w:space="0" w:color="auto"/>
            </w:tcBorders>
            <w:vAlign w:val="bottom"/>
          </w:tcPr>
          <w:p w:rsidR="00C81B24" w:rsidRPr="00C81B24" w:rsidRDefault="00C81B24" w:rsidP="00CE5850">
            <w:pPr>
              <w:autoSpaceDE w:val="0"/>
              <w:autoSpaceDN w:val="0"/>
              <w:adjustRightInd w:val="0"/>
              <w:jc w:val="right"/>
              <w:rPr>
                <w:color w:val="000000"/>
                <w:kern w:val="0"/>
                <w:sz w:val="20"/>
              </w:rPr>
            </w:pPr>
            <w:r w:rsidRPr="00C81B24">
              <w:rPr>
                <w:color w:val="000000"/>
                <w:kern w:val="0"/>
                <w:sz w:val="20"/>
              </w:rPr>
              <w:t>2631</w:t>
            </w:r>
          </w:p>
        </w:tc>
        <w:tc>
          <w:tcPr>
            <w:tcW w:w="736" w:type="dxa"/>
            <w:tcBorders>
              <w:top w:val="nil"/>
              <w:left w:val="nil"/>
              <w:bottom w:val="single" w:sz="4" w:space="0" w:color="auto"/>
              <w:right w:val="single" w:sz="4" w:space="0" w:color="auto"/>
            </w:tcBorders>
            <w:vAlign w:val="bottom"/>
          </w:tcPr>
          <w:p w:rsidR="00C81B24" w:rsidRPr="00C81B24" w:rsidRDefault="00C81B24" w:rsidP="00CE5850">
            <w:pPr>
              <w:jc w:val="right"/>
              <w:rPr>
                <w:color w:val="000000"/>
                <w:sz w:val="20"/>
              </w:rPr>
            </w:pPr>
            <w:r w:rsidRPr="00C81B24">
              <w:rPr>
                <w:color w:val="000000"/>
                <w:sz w:val="20"/>
              </w:rPr>
              <w:t>88.54</w:t>
            </w:r>
          </w:p>
        </w:tc>
      </w:tr>
      <w:tr w:rsidR="00C81B24" w:rsidRPr="00C81B24" w:rsidTr="00526AD9">
        <w:trPr>
          <w:trHeight w:val="255"/>
          <w:jc w:val="center"/>
        </w:trPr>
        <w:tc>
          <w:tcPr>
            <w:tcW w:w="554" w:type="dxa"/>
            <w:tcBorders>
              <w:top w:val="nil"/>
              <w:left w:val="single" w:sz="4" w:space="0" w:color="auto"/>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112</w:t>
            </w:r>
          </w:p>
        </w:tc>
        <w:tc>
          <w:tcPr>
            <w:tcW w:w="456" w:type="dxa"/>
            <w:tcBorders>
              <w:top w:val="nil"/>
              <w:left w:val="single" w:sz="4" w:space="0" w:color="auto"/>
              <w:bottom w:val="single" w:sz="4" w:space="0" w:color="auto"/>
              <w:right w:val="single" w:sz="4" w:space="0" w:color="auto"/>
            </w:tcBorders>
            <w:vAlign w:val="center"/>
          </w:tcPr>
          <w:p w:rsidR="00C81B24" w:rsidRPr="00C81B24" w:rsidRDefault="00C81B24" w:rsidP="00CE5850">
            <w:pPr>
              <w:jc w:val="right"/>
              <w:rPr>
                <w:sz w:val="20"/>
              </w:rPr>
            </w:pPr>
            <w:r w:rsidRPr="00C81B24">
              <w:rPr>
                <w:sz w:val="20"/>
              </w:rPr>
              <w:t>59</w:t>
            </w:r>
          </w:p>
        </w:tc>
        <w:tc>
          <w:tcPr>
            <w:tcW w:w="4012" w:type="dxa"/>
            <w:tcBorders>
              <w:top w:val="nil"/>
              <w:left w:val="nil"/>
              <w:bottom w:val="single" w:sz="4" w:space="0" w:color="auto"/>
              <w:right w:val="single" w:sz="4" w:space="0" w:color="auto"/>
            </w:tcBorders>
            <w:vAlign w:val="center"/>
          </w:tcPr>
          <w:p w:rsidR="00C81B24" w:rsidRPr="00C81B24" w:rsidRDefault="00C81B24" w:rsidP="00CE5850">
            <w:pPr>
              <w:rPr>
                <w:sz w:val="20"/>
              </w:rPr>
            </w:pPr>
            <w:r w:rsidRPr="00C81B24">
              <w:rPr>
                <w:sz w:val="20"/>
              </w:rPr>
              <w:t>Green Bay, WI-MI</w:t>
            </w:r>
          </w:p>
        </w:tc>
        <w:tc>
          <w:tcPr>
            <w:tcW w:w="1102" w:type="dxa"/>
            <w:tcBorders>
              <w:top w:val="nil"/>
              <w:left w:val="nil"/>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 xml:space="preserve"> 636,127 </w:t>
            </w:r>
          </w:p>
        </w:tc>
        <w:tc>
          <w:tcPr>
            <w:tcW w:w="1155" w:type="dxa"/>
            <w:tcBorders>
              <w:top w:val="nil"/>
              <w:left w:val="nil"/>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 xml:space="preserve"> 690,592 </w:t>
            </w:r>
          </w:p>
        </w:tc>
        <w:tc>
          <w:tcPr>
            <w:tcW w:w="979" w:type="dxa"/>
            <w:tcBorders>
              <w:top w:val="nil"/>
              <w:left w:val="nil"/>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92%</w:t>
            </w:r>
          </w:p>
        </w:tc>
        <w:tc>
          <w:tcPr>
            <w:tcW w:w="635" w:type="dxa"/>
            <w:tcBorders>
              <w:top w:val="nil"/>
              <w:left w:val="nil"/>
              <w:bottom w:val="single" w:sz="4" w:space="0" w:color="auto"/>
              <w:right w:val="single" w:sz="4" w:space="0" w:color="auto"/>
            </w:tcBorders>
            <w:noWrap/>
            <w:vAlign w:val="bottom"/>
          </w:tcPr>
          <w:p w:rsidR="00C81B24" w:rsidRPr="00C81B24" w:rsidRDefault="00C81B24" w:rsidP="00CE5850">
            <w:pPr>
              <w:jc w:val="right"/>
              <w:rPr>
                <w:sz w:val="20"/>
              </w:rPr>
            </w:pPr>
            <w:r w:rsidRPr="00C81B24">
              <w:rPr>
                <w:sz w:val="20"/>
              </w:rPr>
              <w:t>2478</w:t>
            </w:r>
          </w:p>
        </w:tc>
        <w:tc>
          <w:tcPr>
            <w:tcW w:w="536" w:type="dxa"/>
            <w:tcBorders>
              <w:top w:val="nil"/>
              <w:left w:val="nil"/>
              <w:bottom w:val="single" w:sz="4" w:space="0" w:color="auto"/>
              <w:right w:val="single" w:sz="4" w:space="0" w:color="auto"/>
            </w:tcBorders>
            <w:vAlign w:val="bottom"/>
          </w:tcPr>
          <w:p w:rsidR="00C81B24" w:rsidRPr="00C81B24" w:rsidRDefault="00C81B24" w:rsidP="00CE5850">
            <w:pPr>
              <w:autoSpaceDE w:val="0"/>
              <w:autoSpaceDN w:val="0"/>
              <w:adjustRightInd w:val="0"/>
              <w:jc w:val="right"/>
              <w:rPr>
                <w:color w:val="000000"/>
                <w:kern w:val="0"/>
                <w:sz w:val="20"/>
              </w:rPr>
            </w:pPr>
            <w:r w:rsidRPr="00C81B24">
              <w:rPr>
                <w:color w:val="000000"/>
                <w:kern w:val="0"/>
                <w:sz w:val="20"/>
              </w:rPr>
              <w:t>2496</w:t>
            </w:r>
          </w:p>
        </w:tc>
        <w:tc>
          <w:tcPr>
            <w:tcW w:w="736" w:type="dxa"/>
            <w:tcBorders>
              <w:top w:val="nil"/>
              <w:left w:val="nil"/>
              <w:bottom w:val="single" w:sz="4" w:space="0" w:color="auto"/>
              <w:right w:val="single" w:sz="4" w:space="0" w:color="auto"/>
            </w:tcBorders>
            <w:vAlign w:val="bottom"/>
          </w:tcPr>
          <w:p w:rsidR="00C81B24" w:rsidRPr="00C81B24" w:rsidRDefault="00C81B24" w:rsidP="00CE5850">
            <w:pPr>
              <w:jc w:val="right"/>
              <w:rPr>
                <w:color w:val="000000"/>
                <w:sz w:val="20"/>
              </w:rPr>
            </w:pPr>
            <w:r w:rsidRPr="00C81B24">
              <w:rPr>
                <w:color w:val="000000"/>
                <w:sz w:val="20"/>
              </w:rPr>
              <w:t>35.90</w:t>
            </w:r>
          </w:p>
        </w:tc>
      </w:tr>
      <w:tr w:rsidR="00C81B24" w:rsidRPr="00C81B24" w:rsidTr="00526AD9">
        <w:trPr>
          <w:trHeight w:val="255"/>
          <w:jc w:val="center"/>
        </w:trPr>
        <w:tc>
          <w:tcPr>
            <w:tcW w:w="554" w:type="dxa"/>
            <w:tcBorders>
              <w:top w:val="nil"/>
              <w:left w:val="single" w:sz="4" w:space="0" w:color="auto"/>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113</w:t>
            </w:r>
          </w:p>
        </w:tc>
        <w:tc>
          <w:tcPr>
            <w:tcW w:w="456" w:type="dxa"/>
            <w:tcBorders>
              <w:top w:val="nil"/>
              <w:left w:val="single" w:sz="4" w:space="0" w:color="auto"/>
              <w:bottom w:val="single" w:sz="4" w:space="0" w:color="auto"/>
              <w:right w:val="single" w:sz="4" w:space="0" w:color="auto"/>
            </w:tcBorders>
            <w:vAlign w:val="center"/>
          </w:tcPr>
          <w:p w:rsidR="00C81B24" w:rsidRPr="00C81B24" w:rsidRDefault="00C81B24" w:rsidP="00CE5850">
            <w:pPr>
              <w:jc w:val="right"/>
              <w:rPr>
                <w:sz w:val="20"/>
              </w:rPr>
            </w:pPr>
            <w:r w:rsidRPr="00C81B24">
              <w:rPr>
                <w:sz w:val="20"/>
              </w:rPr>
              <w:t>100</w:t>
            </w:r>
          </w:p>
        </w:tc>
        <w:tc>
          <w:tcPr>
            <w:tcW w:w="4012" w:type="dxa"/>
            <w:tcBorders>
              <w:top w:val="nil"/>
              <w:left w:val="nil"/>
              <w:bottom w:val="single" w:sz="4" w:space="0" w:color="auto"/>
              <w:right w:val="single" w:sz="4" w:space="0" w:color="auto"/>
            </w:tcBorders>
            <w:vAlign w:val="center"/>
          </w:tcPr>
          <w:p w:rsidR="00C81B24" w:rsidRPr="00C81B24" w:rsidRDefault="00C81B24" w:rsidP="00CE5850">
            <w:pPr>
              <w:rPr>
                <w:sz w:val="20"/>
                <w:lang w:val="es-ES_tradnl"/>
              </w:rPr>
            </w:pPr>
            <w:r w:rsidRPr="00C81B24">
              <w:rPr>
                <w:sz w:val="20"/>
                <w:lang w:val="fr-FR"/>
              </w:rPr>
              <w:t>Des Moines, IA-IL-MO</w:t>
            </w:r>
          </w:p>
        </w:tc>
        <w:tc>
          <w:tcPr>
            <w:tcW w:w="1102" w:type="dxa"/>
            <w:tcBorders>
              <w:top w:val="nil"/>
              <w:left w:val="nil"/>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 xml:space="preserve">1,625,406 </w:t>
            </w:r>
          </w:p>
        </w:tc>
        <w:tc>
          <w:tcPr>
            <w:tcW w:w="1155" w:type="dxa"/>
            <w:tcBorders>
              <w:top w:val="nil"/>
              <w:left w:val="nil"/>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 xml:space="preserve"> 1,763,455 </w:t>
            </w:r>
          </w:p>
        </w:tc>
        <w:tc>
          <w:tcPr>
            <w:tcW w:w="979" w:type="dxa"/>
            <w:tcBorders>
              <w:top w:val="nil"/>
              <w:left w:val="nil"/>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92%</w:t>
            </w:r>
          </w:p>
        </w:tc>
        <w:tc>
          <w:tcPr>
            <w:tcW w:w="635" w:type="dxa"/>
            <w:tcBorders>
              <w:top w:val="nil"/>
              <w:left w:val="nil"/>
              <w:bottom w:val="single" w:sz="4" w:space="0" w:color="auto"/>
              <w:right w:val="single" w:sz="4" w:space="0" w:color="auto"/>
            </w:tcBorders>
            <w:noWrap/>
            <w:vAlign w:val="bottom"/>
          </w:tcPr>
          <w:p w:rsidR="00C81B24" w:rsidRPr="00C81B24" w:rsidRDefault="00C81B24" w:rsidP="00CE5850">
            <w:pPr>
              <w:jc w:val="right"/>
              <w:rPr>
                <w:sz w:val="20"/>
              </w:rPr>
            </w:pPr>
            <w:r w:rsidRPr="00C81B24">
              <w:rPr>
                <w:sz w:val="20"/>
              </w:rPr>
              <w:t>3046</w:t>
            </w:r>
          </w:p>
        </w:tc>
        <w:tc>
          <w:tcPr>
            <w:tcW w:w="536" w:type="dxa"/>
            <w:tcBorders>
              <w:top w:val="nil"/>
              <w:left w:val="nil"/>
              <w:bottom w:val="single" w:sz="4" w:space="0" w:color="auto"/>
              <w:right w:val="single" w:sz="4" w:space="0" w:color="auto"/>
            </w:tcBorders>
            <w:vAlign w:val="bottom"/>
          </w:tcPr>
          <w:p w:rsidR="00C81B24" w:rsidRPr="00C81B24" w:rsidRDefault="00C81B24" w:rsidP="00CE5850">
            <w:pPr>
              <w:autoSpaceDE w:val="0"/>
              <w:autoSpaceDN w:val="0"/>
              <w:adjustRightInd w:val="0"/>
              <w:jc w:val="right"/>
              <w:rPr>
                <w:color w:val="000000"/>
                <w:kern w:val="0"/>
                <w:sz w:val="20"/>
              </w:rPr>
            </w:pPr>
            <w:r w:rsidRPr="00C81B24">
              <w:rPr>
                <w:color w:val="000000"/>
                <w:kern w:val="0"/>
                <w:sz w:val="20"/>
              </w:rPr>
              <w:t>3070</w:t>
            </w:r>
          </w:p>
        </w:tc>
        <w:tc>
          <w:tcPr>
            <w:tcW w:w="736" w:type="dxa"/>
            <w:tcBorders>
              <w:top w:val="nil"/>
              <w:left w:val="nil"/>
              <w:bottom w:val="single" w:sz="4" w:space="0" w:color="auto"/>
              <w:right w:val="single" w:sz="4" w:space="0" w:color="auto"/>
            </w:tcBorders>
            <w:vAlign w:val="bottom"/>
          </w:tcPr>
          <w:p w:rsidR="00C81B24" w:rsidRPr="00C81B24" w:rsidRDefault="00C81B24" w:rsidP="00CE5850">
            <w:pPr>
              <w:jc w:val="right"/>
              <w:rPr>
                <w:color w:val="000000"/>
                <w:sz w:val="20"/>
              </w:rPr>
            </w:pPr>
            <w:r w:rsidRPr="00C81B24">
              <w:rPr>
                <w:color w:val="000000"/>
                <w:sz w:val="20"/>
              </w:rPr>
              <w:t>49.65</w:t>
            </w:r>
          </w:p>
        </w:tc>
      </w:tr>
      <w:tr w:rsidR="00C81B24" w:rsidRPr="00C81B24" w:rsidTr="00526AD9">
        <w:trPr>
          <w:trHeight w:val="255"/>
          <w:jc w:val="center"/>
        </w:trPr>
        <w:tc>
          <w:tcPr>
            <w:tcW w:w="554" w:type="dxa"/>
            <w:tcBorders>
              <w:top w:val="nil"/>
              <w:left w:val="single" w:sz="4" w:space="0" w:color="auto"/>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114</w:t>
            </w:r>
          </w:p>
        </w:tc>
        <w:tc>
          <w:tcPr>
            <w:tcW w:w="456" w:type="dxa"/>
            <w:tcBorders>
              <w:top w:val="nil"/>
              <w:left w:val="single" w:sz="4" w:space="0" w:color="auto"/>
              <w:bottom w:val="single" w:sz="4" w:space="0" w:color="auto"/>
              <w:right w:val="single" w:sz="4" w:space="0" w:color="auto"/>
            </w:tcBorders>
            <w:vAlign w:val="center"/>
          </w:tcPr>
          <w:p w:rsidR="00C81B24" w:rsidRPr="00C81B24" w:rsidRDefault="00C81B24" w:rsidP="00CE5850">
            <w:pPr>
              <w:jc w:val="right"/>
              <w:rPr>
                <w:sz w:val="20"/>
              </w:rPr>
            </w:pPr>
            <w:r w:rsidRPr="00C81B24">
              <w:rPr>
                <w:sz w:val="20"/>
              </w:rPr>
              <w:t>106</w:t>
            </w:r>
          </w:p>
        </w:tc>
        <w:tc>
          <w:tcPr>
            <w:tcW w:w="4012" w:type="dxa"/>
            <w:tcBorders>
              <w:top w:val="nil"/>
              <w:left w:val="nil"/>
              <w:bottom w:val="single" w:sz="4" w:space="0" w:color="auto"/>
              <w:right w:val="single" w:sz="4" w:space="0" w:color="auto"/>
            </w:tcBorders>
            <w:vAlign w:val="center"/>
          </w:tcPr>
          <w:p w:rsidR="00C81B24" w:rsidRPr="00C81B24" w:rsidRDefault="00C81B24" w:rsidP="00CE5850">
            <w:pPr>
              <w:rPr>
                <w:sz w:val="20"/>
              </w:rPr>
            </w:pPr>
            <w:r w:rsidRPr="00C81B24">
              <w:rPr>
                <w:sz w:val="20"/>
              </w:rPr>
              <w:t>Rochester, MN-IA-WI</w:t>
            </w:r>
          </w:p>
        </w:tc>
        <w:tc>
          <w:tcPr>
            <w:tcW w:w="1102" w:type="dxa"/>
            <w:tcBorders>
              <w:top w:val="nil"/>
              <w:left w:val="nil"/>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 xml:space="preserve"> 316,213 </w:t>
            </w:r>
          </w:p>
        </w:tc>
        <w:tc>
          <w:tcPr>
            <w:tcW w:w="1155" w:type="dxa"/>
            <w:tcBorders>
              <w:top w:val="nil"/>
              <w:left w:val="nil"/>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 xml:space="preserve"> 343,343 </w:t>
            </w:r>
          </w:p>
        </w:tc>
        <w:tc>
          <w:tcPr>
            <w:tcW w:w="979" w:type="dxa"/>
            <w:tcBorders>
              <w:top w:val="nil"/>
              <w:left w:val="nil"/>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92%</w:t>
            </w:r>
          </w:p>
        </w:tc>
        <w:tc>
          <w:tcPr>
            <w:tcW w:w="635" w:type="dxa"/>
            <w:tcBorders>
              <w:top w:val="nil"/>
              <w:left w:val="nil"/>
              <w:bottom w:val="single" w:sz="4" w:space="0" w:color="auto"/>
              <w:right w:val="single" w:sz="4" w:space="0" w:color="auto"/>
            </w:tcBorders>
            <w:noWrap/>
            <w:vAlign w:val="bottom"/>
          </w:tcPr>
          <w:p w:rsidR="00C81B24" w:rsidRPr="00C81B24" w:rsidRDefault="00C81B24" w:rsidP="00CE5850">
            <w:pPr>
              <w:jc w:val="right"/>
              <w:rPr>
                <w:sz w:val="20"/>
              </w:rPr>
            </w:pPr>
            <w:r w:rsidRPr="00C81B24">
              <w:rPr>
                <w:sz w:val="20"/>
              </w:rPr>
              <w:t>3770</w:t>
            </w:r>
          </w:p>
        </w:tc>
        <w:tc>
          <w:tcPr>
            <w:tcW w:w="536" w:type="dxa"/>
            <w:tcBorders>
              <w:top w:val="nil"/>
              <w:left w:val="nil"/>
              <w:bottom w:val="single" w:sz="4" w:space="0" w:color="auto"/>
              <w:right w:val="single" w:sz="4" w:space="0" w:color="auto"/>
            </w:tcBorders>
            <w:vAlign w:val="bottom"/>
          </w:tcPr>
          <w:p w:rsidR="00C81B24" w:rsidRPr="00C81B24" w:rsidRDefault="00C81B24" w:rsidP="00CE5850">
            <w:pPr>
              <w:autoSpaceDE w:val="0"/>
              <w:autoSpaceDN w:val="0"/>
              <w:adjustRightInd w:val="0"/>
              <w:jc w:val="right"/>
              <w:rPr>
                <w:color w:val="000000"/>
                <w:kern w:val="0"/>
                <w:sz w:val="20"/>
              </w:rPr>
            </w:pPr>
            <w:r w:rsidRPr="00C81B24">
              <w:rPr>
                <w:color w:val="000000"/>
                <w:kern w:val="0"/>
                <w:sz w:val="20"/>
              </w:rPr>
              <w:t>3550</w:t>
            </w:r>
          </w:p>
        </w:tc>
        <w:tc>
          <w:tcPr>
            <w:tcW w:w="736" w:type="dxa"/>
            <w:tcBorders>
              <w:top w:val="nil"/>
              <w:left w:val="nil"/>
              <w:bottom w:val="single" w:sz="4" w:space="0" w:color="auto"/>
              <w:right w:val="single" w:sz="4" w:space="0" w:color="auto"/>
            </w:tcBorders>
            <w:vAlign w:val="bottom"/>
          </w:tcPr>
          <w:p w:rsidR="00C81B24" w:rsidRPr="00C81B24" w:rsidRDefault="00C81B24" w:rsidP="00CE5850">
            <w:pPr>
              <w:jc w:val="right"/>
              <w:rPr>
                <w:color w:val="000000"/>
                <w:sz w:val="20"/>
              </w:rPr>
            </w:pPr>
            <w:r w:rsidRPr="00C81B24">
              <w:rPr>
                <w:color w:val="000000"/>
                <w:sz w:val="20"/>
              </w:rPr>
              <w:t>60.49</w:t>
            </w:r>
          </w:p>
        </w:tc>
      </w:tr>
      <w:tr w:rsidR="00C81B24" w:rsidRPr="00C81B24" w:rsidTr="00526AD9">
        <w:trPr>
          <w:trHeight w:val="255"/>
          <w:jc w:val="center"/>
        </w:trPr>
        <w:tc>
          <w:tcPr>
            <w:tcW w:w="554" w:type="dxa"/>
            <w:tcBorders>
              <w:top w:val="nil"/>
              <w:left w:val="single" w:sz="4" w:space="0" w:color="auto"/>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115</w:t>
            </w:r>
          </w:p>
        </w:tc>
        <w:tc>
          <w:tcPr>
            <w:tcW w:w="456" w:type="dxa"/>
            <w:tcBorders>
              <w:top w:val="nil"/>
              <w:left w:val="single" w:sz="4" w:space="0" w:color="auto"/>
              <w:bottom w:val="single" w:sz="4" w:space="0" w:color="auto"/>
              <w:right w:val="single" w:sz="4" w:space="0" w:color="auto"/>
            </w:tcBorders>
            <w:vAlign w:val="center"/>
          </w:tcPr>
          <w:p w:rsidR="00C81B24" w:rsidRPr="00C81B24" w:rsidRDefault="00C81B24" w:rsidP="00CE5850">
            <w:pPr>
              <w:jc w:val="right"/>
              <w:rPr>
                <w:sz w:val="20"/>
              </w:rPr>
            </w:pPr>
            <w:r w:rsidRPr="00C81B24">
              <w:rPr>
                <w:sz w:val="20"/>
              </w:rPr>
              <w:t>119</w:t>
            </w:r>
          </w:p>
        </w:tc>
        <w:tc>
          <w:tcPr>
            <w:tcW w:w="4012" w:type="dxa"/>
            <w:tcBorders>
              <w:top w:val="nil"/>
              <w:left w:val="nil"/>
              <w:bottom w:val="single" w:sz="4" w:space="0" w:color="auto"/>
              <w:right w:val="single" w:sz="4" w:space="0" w:color="auto"/>
            </w:tcBorders>
            <w:vAlign w:val="center"/>
          </w:tcPr>
          <w:p w:rsidR="00C81B24" w:rsidRPr="00C81B24" w:rsidRDefault="00C81B24" w:rsidP="00CE5850">
            <w:pPr>
              <w:rPr>
                <w:sz w:val="20"/>
              </w:rPr>
            </w:pPr>
            <w:r w:rsidRPr="00C81B24">
              <w:rPr>
                <w:sz w:val="20"/>
              </w:rPr>
              <w:t>Lincoln, NE</w:t>
            </w:r>
          </w:p>
        </w:tc>
        <w:tc>
          <w:tcPr>
            <w:tcW w:w="1102" w:type="dxa"/>
            <w:tcBorders>
              <w:top w:val="nil"/>
              <w:left w:val="nil"/>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 xml:space="preserve"> 379,305 </w:t>
            </w:r>
          </w:p>
        </w:tc>
        <w:tc>
          <w:tcPr>
            <w:tcW w:w="1155" w:type="dxa"/>
            <w:tcBorders>
              <w:top w:val="nil"/>
              <w:left w:val="nil"/>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 xml:space="preserve"> 414,519 </w:t>
            </w:r>
          </w:p>
        </w:tc>
        <w:tc>
          <w:tcPr>
            <w:tcW w:w="979" w:type="dxa"/>
            <w:tcBorders>
              <w:top w:val="nil"/>
              <w:left w:val="nil"/>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92%</w:t>
            </w:r>
          </w:p>
        </w:tc>
        <w:tc>
          <w:tcPr>
            <w:tcW w:w="635" w:type="dxa"/>
            <w:tcBorders>
              <w:top w:val="nil"/>
              <w:left w:val="nil"/>
              <w:bottom w:val="single" w:sz="4" w:space="0" w:color="auto"/>
              <w:right w:val="single" w:sz="4" w:space="0" w:color="auto"/>
            </w:tcBorders>
            <w:noWrap/>
            <w:vAlign w:val="bottom"/>
          </w:tcPr>
          <w:p w:rsidR="00C81B24" w:rsidRPr="00C81B24" w:rsidRDefault="00C81B24" w:rsidP="00CE5850">
            <w:pPr>
              <w:jc w:val="right"/>
              <w:rPr>
                <w:sz w:val="20"/>
              </w:rPr>
            </w:pPr>
            <w:r w:rsidRPr="00C81B24">
              <w:rPr>
                <w:sz w:val="20"/>
              </w:rPr>
              <w:t>5015</w:t>
            </w:r>
          </w:p>
        </w:tc>
        <w:tc>
          <w:tcPr>
            <w:tcW w:w="536" w:type="dxa"/>
            <w:tcBorders>
              <w:top w:val="nil"/>
              <w:left w:val="nil"/>
              <w:bottom w:val="single" w:sz="4" w:space="0" w:color="auto"/>
              <w:right w:val="single" w:sz="4" w:space="0" w:color="auto"/>
            </w:tcBorders>
            <w:vAlign w:val="bottom"/>
          </w:tcPr>
          <w:p w:rsidR="00C81B24" w:rsidRPr="00C81B24" w:rsidRDefault="00C81B24" w:rsidP="00CE5850">
            <w:pPr>
              <w:autoSpaceDE w:val="0"/>
              <w:autoSpaceDN w:val="0"/>
              <w:adjustRightInd w:val="0"/>
              <w:jc w:val="right"/>
              <w:rPr>
                <w:color w:val="000000"/>
                <w:kern w:val="0"/>
                <w:sz w:val="20"/>
              </w:rPr>
            </w:pPr>
            <w:r w:rsidRPr="00C81B24">
              <w:rPr>
                <w:color w:val="000000"/>
                <w:kern w:val="0"/>
                <w:sz w:val="20"/>
              </w:rPr>
              <w:t>4985</w:t>
            </w:r>
          </w:p>
        </w:tc>
        <w:tc>
          <w:tcPr>
            <w:tcW w:w="736" w:type="dxa"/>
            <w:tcBorders>
              <w:top w:val="nil"/>
              <w:left w:val="nil"/>
              <w:bottom w:val="single" w:sz="4" w:space="0" w:color="auto"/>
              <w:right w:val="single" w:sz="4" w:space="0" w:color="auto"/>
            </w:tcBorders>
            <w:vAlign w:val="bottom"/>
          </w:tcPr>
          <w:p w:rsidR="00C81B24" w:rsidRPr="00C81B24" w:rsidRDefault="00C81B24" w:rsidP="00CE5850">
            <w:pPr>
              <w:jc w:val="right"/>
              <w:rPr>
                <w:color w:val="000000"/>
                <w:sz w:val="20"/>
              </w:rPr>
            </w:pPr>
            <w:r w:rsidRPr="00C81B24">
              <w:rPr>
                <w:color w:val="000000"/>
                <w:sz w:val="20"/>
              </w:rPr>
              <w:t>54.65</w:t>
            </w:r>
          </w:p>
        </w:tc>
      </w:tr>
      <w:tr w:rsidR="00C81B24" w:rsidRPr="00C81B24" w:rsidTr="00526AD9">
        <w:trPr>
          <w:trHeight w:val="255"/>
          <w:jc w:val="center"/>
        </w:trPr>
        <w:tc>
          <w:tcPr>
            <w:tcW w:w="554" w:type="dxa"/>
            <w:tcBorders>
              <w:top w:val="nil"/>
              <w:left w:val="single" w:sz="4" w:space="0" w:color="auto"/>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116</w:t>
            </w:r>
          </w:p>
        </w:tc>
        <w:tc>
          <w:tcPr>
            <w:tcW w:w="456" w:type="dxa"/>
            <w:tcBorders>
              <w:top w:val="nil"/>
              <w:left w:val="single" w:sz="4" w:space="0" w:color="auto"/>
              <w:bottom w:val="single" w:sz="4" w:space="0" w:color="auto"/>
              <w:right w:val="single" w:sz="4" w:space="0" w:color="auto"/>
            </w:tcBorders>
            <w:vAlign w:val="center"/>
          </w:tcPr>
          <w:p w:rsidR="00C81B24" w:rsidRPr="00C81B24" w:rsidRDefault="00C81B24" w:rsidP="00CE5850">
            <w:pPr>
              <w:jc w:val="right"/>
              <w:rPr>
                <w:sz w:val="20"/>
              </w:rPr>
            </w:pPr>
            <w:r w:rsidRPr="00C81B24">
              <w:rPr>
                <w:sz w:val="20"/>
              </w:rPr>
              <w:t>137</w:t>
            </w:r>
          </w:p>
        </w:tc>
        <w:tc>
          <w:tcPr>
            <w:tcW w:w="4012" w:type="dxa"/>
            <w:tcBorders>
              <w:top w:val="nil"/>
              <w:left w:val="nil"/>
              <w:bottom w:val="single" w:sz="4" w:space="0" w:color="auto"/>
              <w:right w:val="single" w:sz="4" w:space="0" w:color="auto"/>
            </w:tcBorders>
            <w:vAlign w:val="center"/>
          </w:tcPr>
          <w:p w:rsidR="00C81B24" w:rsidRPr="00C81B24" w:rsidRDefault="00C81B24" w:rsidP="00CE5850">
            <w:pPr>
              <w:rPr>
                <w:sz w:val="20"/>
              </w:rPr>
            </w:pPr>
            <w:r w:rsidRPr="00C81B24">
              <w:rPr>
                <w:sz w:val="20"/>
              </w:rPr>
              <w:t>Lubbock, TX</w:t>
            </w:r>
          </w:p>
        </w:tc>
        <w:tc>
          <w:tcPr>
            <w:tcW w:w="1102" w:type="dxa"/>
            <w:tcBorders>
              <w:top w:val="nil"/>
              <w:left w:val="nil"/>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 xml:space="preserve"> 378,180 </w:t>
            </w:r>
          </w:p>
        </w:tc>
        <w:tc>
          <w:tcPr>
            <w:tcW w:w="1155" w:type="dxa"/>
            <w:tcBorders>
              <w:top w:val="nil"/>
              <w:left w:val="nil"/>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 xml:space="preserve"> 412,096 </w:t>
            </w:r>
          </w:p>
        </w:tc>
        <w:tc>
          <w:tcPr>
            <w:tcW w:w="979" w:type="dxa"/>
            <w:tcBorders>
              <w:top w:val="nil"/>
              <w:left w:val="nil"/>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92%</w:t>
            </w:r>
          </w:p>
        </w:tc>
        <w:tc>
          <w:tcPr>
            <w:tcW w:w="635" w:type="dxa"/>
            <w:tcBorders>
              <w:top w:val="nil"/>
              <w:left w:val="nil"/>
              <w:bottom w:val="single" w:sz="4" w:space="0" w:color="auto"/>
              <w:right w:val="single" w:sz="4" w:space="0" w:color="auto"/>
            </w:tcBorders>
            <w:noWrap/>
            <w:vAlign w:val="bottom"/>
          </w:tcPr>
          <w:p w:rsidR="00C81B24" w:rsidRPr="00C81B24" w:rsidRDefault="00C81B24" w:rsidP="00CE5850">
            <w:pPr>
              <w:jc w:val="right"/>
              <w:rPr>
                <w:sz w:val="20"/>
              </w:rPr>
            </w:pPr>
            <w:r w:rsidRPr="00C81B24">
              <w:rPr>
                <w:sz w:val="20"/>
              </w:rPr>
              <w:t>2792</w:t>
            </w:r>
          </w:p>
        </w:tc>
        <w:tc>
          <w:tcPr>
            <w:tcW w:w="536" w:type="dxa"/>
            <w:tcBorders>
              <w:top w:val="nil"/>
              <w:left w:val="nil"/>
              <w:bottom w:val="single" w:sz="4" w:space="0" w:color="auto"/>
              <w:right w:val="single" w:sz="4" w:space="0" w:color="auto"/>
            </w:tcBorders>
            <w:vAlign w:val="bottom"/>
          </w:tcPr>
          <w:p w:rsidR="00C81B24" w:rsidRPr="00C81B24" w:rsidRDefault="00C81B24" w:rsidP="00CE5850">
            <w:pPr>
              <w:autoSpaceDE w:val="0"/>
              <w:autoSpaceDN w:val="0"/>
              <w:adjustRightInd w:val="0"/>
              <w:jc w:val="right"/>
              <w:rPr>
                <w:color w:val="000000"/>
                <w:kern w:val="0"/>
                <w:sz w:val="20"/>
              </w:rPr>
            </w:pPr>
            <w:r w:rsidRPr="00C81B24">
              <w:rPr>
                <w:color w:val="000000"/>
                <w:kern w:val="0"/>
                <w:sz w:val="20"/>
              </w:rPr>
              <w:t>2756</w:t>
            </w:r>
          </w:p>
        </w:tc>
        <w:tc>
          <w:tcPr>
            <w:tcW w:w="736" w:type="dxa"/>
            <w:tcBorders>
              <w:top w:val="nil"/>
              <w:left w:val="nil"/>
              <w:bottom w:val="single" w:sz="4" w:space="0" w:color="auto"/>
              <w:right w:val="single" w:sz="4" w:space="0" w:color="auto"/>
            </w:tcBorders>
            <w:vAlign w:val="bottom"/>
          </w:tcPr>
          <w:p w:rsidR="00C81B24" w:rsidRPr="00C81B24" w:rsidRDefault="00C81B24" w:rsidP="00CE5850">
            <w:pPr>
              <w:jc w:val="right"/>
              <w:rPr>
                <w:color w:val="000000"/>
                <w:sz w:val="20"/>
              </w:rPr>
            </w:pPr>
            <w:r w:rsidRPr="00C81B24">
              <w:rPr>
                <w:color w:val="000000"/>
                <w:sz w:val="20"/>
              </w:rPr>
              <w:t>29.57</w:t>
            </w:r>
          </w:p>
        </w:tc>
      </w:tr>
      <w:tr w:rsidR="00C81B24" w:rsidRPr="00C81B24" w:rsidTr="00526AD9">
        <w:trPr>
          <w:trHeight w:val="255"/>
          <w:jc w:val="center"/>
        </w:trPr>
        <w:tc>
          <w:tcPr>
            <w:tcW w:w="554" w:type="dxa"/>
            <w:tcBorders>
              <w:top w:val="nil"/>
              <w:left w:val="single" w:sz="4" w:space="0" w:color="auto"/>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117</w:t>
            </w:r>
          </w:p>
        </w:tc>
        <w:tc>
          <w:tcPr>
            <w:tcW w:w="456" w:type="dxa"/>
            <w:tcBorders>
              <w:top w:val="nil"/>
              <w:left w:val="single" w:sz="4" w:space="0" w:color="auto"/>
              <w:bottom w:val="single" w:sz="4" w:space="0" w:color="auto"/>
              <w:right w:val="single" w:sz="4" w:space="0" w:color="auto"/>
            </w:tcBorders>
            <w:vAlign w:val="center"/>
          </w:tcPr>
          <w:p w:rsidR="00C81B24" w:rsidRPr="00C81B24" w:rsidRDefault="00C81B24" w:rsidP="00CE5850">
            <w:pPr>
              <w:jc w:val="right"/>
              <w:rPr>
                <w:sz w:val="20"/>
              </w:rPr>
            </w:pPr>
            <w:r w:rsidRPr="00C81B24">
              <w:rPr>
                <w:sz w:val="20"/>
              </w:rPr>
              <w:t>1</w:t>
            </w:r>
          </w:p>
        </w:tc>
        <w:tc>
          <w:tcPr>
            <w:tcW w:w="4012" w:type="dxa"/>
            <w:tcBorders>
              <w:top w:val="nil"/>
              <w:left w:val="nil"/>
              <w:bottom w:val="single" w:sz="4" w:space="0" w:color="auto"/>
              <w:right w:val="single" w:sz="4" w:space="0" w:color="auto"/>
            </w:tcBorders>
            <w:vAlign w:val="center"/>
          </w:tcPr>
          <w:p w:rsidR="00C81B24" w:rsidRPr="00C81B24" w:rsidRDefault="00C81B24" w:rsidP="00CE5850">
            <w:pPr>
              <w:rPr>
                <w:sz w:val="20"/>
              </w:rPr>
            </w:pPr>
            <w:r w:rsidRPr="00C81B24">
              <w:rPr>
                <w:sz w:val="20"/>
              </w:rPr>
              <w:t>Bangor, ME</w:t>
            </w:r>
          </w:p>
        </w:tc>
        <w:tc>
          <w:tcPr>
            <w:tcW w:w="1102" w:type="dxa"/>
            <w:tcBorders>
              <w:top w:val="nil"/>
              <w:left w:val="nil"/>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 xml:space="preserve"> 491,109 </w:t>
            </w:r>
          </w:p>
        </w:tc>
        <w:tc>
          <w:tcPr>
            <w:tcW w:w="1155" w:type="dxa"/>
            <w:tcBorders>
              <w:top w:val="nil"/>
              <w:left w:val="nil"/>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 xml:space="preserve"> 542,610 </w:t>
            </w:r>
          </w:p>
        </w:tc>
        <w:tc>
          <w:tcPr>
            <w:tcW w:w="979" w:type="dxa"/>
            <w:tcBorders>
              <w:top w:val="nil"/>
              <w:left w:val="nil"/>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91%</w:t>
            </w:r>
          </w:p>
        </w:tc>
        <w:tc>
          <w:tcPr>
            <w:tcW w:w="635" w:type="dxa"/>
            <w:tcBorders>
              <w:top w:val="nil"/>
              <w:left w:val="nil"/>
              <w:bottom w:val="single" w:sz="4" w:space="0" w:color="auto"/>
              <w:right w:val="single" w:sz="4" w:space="0" w:color="auto"/>
            </w:tcBorders>
            <w:noWrap/>
            <w:vAlign w:val="bottom"/>
          </w:tcPr>
          <w:p w:rsidR="00C81B24" w:rsidRPr="00C81B24" w:rsidRDefault="00C81B24" w:rsidP="00CE5850">
            <w:pPr>
              <w:jc w:val="right"/>
              <w:rPr>
                <w:sz w:val="20"/>
              </w:rPr>
            </w:pPr>
            <w:r w:rsidRPr="00C81B24">
              <w:rPr>
                <w:sz w:val="20"/>
              </w:rPr>
              <w:t>3783</w:t>
            </w:r>
          </w:p>
        </w:tc>
        <w:tc>
          <w:tcPr>
            <w:tcW w:w="536" w:type="dxa"/>
            <w:tcBorders>
              <w:top w:val="nil"/>
              <w:left w:val="nil"/>
              <w:bottom w:val="single" w:sz="4" w:space="0" w:color="auto"/>
              <w:right w:val="single" w:sz="4" w:space="0" w:color="auto"/>
            </w:tcBorders>
            <w:vAlign w:val="bottom"/>
          </w:tcPr>
          <w:p w:rsidR="00C81B24" w:rsidRPr="00C81B24" w:rsidRDefault="00C81B24" w:rsidP="00CE5850">
            <w:pPr>
              <w:autoSpaceDE w:val="0"/>
              <w:autoSpaceDN w:val="0"/>
              <w:adjustRightInd w:val="0"/>
              <w:jc w:val="right"/>
              <w:rPr>
                <w:color w:val="000000"/>
                <w:kern w:val="0"/>
                <w:sz w:val="20"/>
              </w:rPr>
            </w:pPr>
            <w:r w:rsidRPr="00C81B24">
              <w:rPr>
                <w:color w:val="000000"/>
                <w:kern w:val="0"/>
                <w:sz w:val="20"/>
              </w:rPr>
              <w:t>3816</w:t>
            </w:r>
          </w:p>
        </w:tc>
        <w:tc>
          <w:tcPr>
            <w:tcW w:w="736" w:type="dxa"/>
            <w:tcBorders>
              <w:top w:val="nil"/>
              <w:left w:val="nil"/>
              <w:bottom w:val="single" w:sz="4" w:space="0" w:color="auto"/>
              <w:right w:val="single" w:sz="4" w:space="0" w:color="auto"/>
            </w:tcBorders>
            <w:vAlign w:val="bottom"/>
          </w:tcPr>
          <w:p w:rsidR="00C81B24" w:rsidRPr="00C81B24" w:rsidRDefault="00C81B24" w:rsidP="00CE5850">
            <w:pPr>
              <w:jc w:val="right"/>
              <w:rPr>
                <w:color w:val="000000"/>
                <w:sz w:val="20"/>
              </w:rPr>
            </w:pPr>
            <w:r w:rsidRPr="00C81B24">
              <w:rPr>
                <w:color w:val="000000"/>
                <w:sz w:val="20"/>
              </w:rPr>
              <w:t>22.94</w:t>
            </w:r>
          </w:p>
        </w:tc>
      </w:tr>
      <w:tr w:rsidR="00C81B24" w:rsidRPr="00C81B24" w:rsidTr="00526AD9">
        <w:trPr>
          <w:trHeight w:val="255"/>
          <w:jc w:val="center"/>
        </w:trPr>
        <w:tc>
          <w:tcPr>
            <w:tcW w:w="554" w:type="dxa"/>
            <w:tcBorders>
              <w:top w:val="nil"/>
              <w:left w:val="single" w:sz="4" w:space="0" w:color="auto"/>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118</w:t>
            </w:r>
          </w:p>
        </w:tc>
        <w:tc>
          <w:tcPr>
            <w:tcW w:w="456" w:type="dxa"/>
            <w:tcBorders>
              <w:top w:val="nil"/>
              <w:left w:val="single" w:sz="4" w:space="0" w:color="auto"/>
              <w:bottom w:val="single" w:sz="4" w:space="0" w:color="auto"/>
              <w:right w:val="single" w:sz="4" w:space="0" w:color="auto"/>
            </w:tcBorders>
            <w:vAlign w:val="center"/>
          </w:tcPr>
          <w:p w:rsidR="00C81B24" w:rsidRPr="00C81B24" w:rsidRDefault="00C81B24" w:rsidP="00CE5850">
            <w:pPr>
              <w:jc w:val="right"/>
              <w:rPr>
                <w:sz w:val="20"/>
              </w:rPr>
            </w:pPr>
            <w:r w:rsidRPr="00C81B24">
              <w:rPr>
                <w:sz w:val="20"/>
              </w:rPr>
              <w:t>36</w:t>
            </w:r>
          </w:p>
        </w:tc>
        <w:tc>
          <w:tcPr>
            <w:tcW w:w="4012" w:type="dxa"/>
            <w:tcBorders>
              <w:top w:val="nil"/>
              <w:left w:val="nil"/>
              <w:bottom w:val="single" w:sz="4" w:space="0" w:color="auto"/>
              <w:right w:val="single" w:sz="4" w:space="0" w:color="auto"/>
            </w:tcBorders>
            <w:vAlign w:val="center"/>
          </w:tcPr>
          <w:p w:rsidR="00C81B24" w:rsidRPr="00C81B24" w:rsidRDefault="00C81B24" w:rsidP="00CE5850">
            <w:pPr>
              <w:rPr>
                <w:sz w:val="20"/>
              </w:rPr>
            </w:pPr>
            <w:r w:rsidRPr="00C81B24">
              <w:rPr>
                <w:sz w:val="20"/>
              </w:rPr>
              <w:t>Dothan, AL-FL-GA</w:t>
            </w:r>
          </w:p>
        </w:tc>
        <w:tc>
          <w:tcPr>
            <w:tcW w:w="1102" w:type="dxa"/>
            <w:tcBorders>
              <w:top w:val="nil"/>
              <w:left w:val="nil"/>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 xml:space="preserve"> 327,635 </w:t>
            </w:r>
          </w:p>
        </w:tc>
        <w:tc>
          <w:tcPr>
            <w:tcW w:w="1155" w:type="dxa"/>
            <w:tcBorders>
              <w:top w:val="nil"/>
              <w:left w:val="nil"/>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 xml:space="preserve"> 359,581 </w:t>
            </w:r>
          </w:p>
        </w:tc>
        <w:tc>
          <w:tcPr>
            <w:tcW w:w="979" w:type="dxa"/>
            <w:tcBorders>
              <w:top w:val="nil"/>
              <w:left w:val="nil"/>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91%</w:t>
            </w:r>
          </w:p>
        </w:tc>
        <w:tc>
          <w:tcPr>
            <w:tcW w:w="635" w:type="dxa"/>
            <w:tcBorders>
              <w:top w:val="nil"/>
              <w:left w:val="nil"/>
              <w:bottom w:val="single" w:sz="4" w:space="0" w:color="auto"/>
              <w:right w:val="single" w:sz="4" w:space="0" w:color="auto"/>
            </w:tcBorders>
            <w:noWrap/>
            <w:vAlign w:val="bottom"/>
          </w:tcPr>
          <w:p w:rsidR="00C81B24" w:rsidRPr="00C81B24" w:rsidRDefault="00C81B24" w:rsidP="00CE5850">
            <w:pPr>
              <w:jc w:val="right"/>
              <w:rPr>
                <w:sz w:val="20"/>
              </w:rPr>
            </w:pPr>
            <w:r w:rsidRPr="00C81B24">
              <w:rPr>
                <w:sz w:val="20"/>
              </w:rPr>
              <w:t>4128</w:t>
            </w:r>
          </w:p>
        </w:tc>
        <w:tc>
          <w:tcPr>
            <w:tcW w:w="536" w:type="dxa"/>
            <w:tcBorders>
              <w:top w:val="nil"/>
              <w:left w:val="nil"/>
              <w:bottom w:val="single" w:sz="4" w:space="0" w:color="auto"/>
              <w:right w:val="single" w:sz="4" w:space="0" w:color="auto"/>
            </w:tcBorders>
            <w:vAlign w:val="bottom"/>
          </w:tcPr>
          <w:p w:rsidR="00C81B24" w:rsidRPr="00C81B24" w:rsidRDefault="00C81B24" w:rsidP="00CE5850">
            <w:pPr>
              <w:autoSpaceDE w:val="0"/>
              <w:autoSpaceDN w:val="0"/>
              <w:adjustRightInd w:val="0"/>
              <w:jc w:val="right"/>
              <w:rPr>
                <w:color w:val="000000"/>
                <w:kern w:val="0"/>
                <w:sz w:val="20"/>
              </w:rPr>
            </w:pPr>
            <w:r w:rsidRPr="00C81B24">
              <w:rPr>
                <w:color w:val="000000"/>
                <w:kern w:val="0"/>
                <w:sz w:val="20"/>
              </w:rPr>
              <w:t>3697</w:t>
            </w:r>
          </w:p>
        </w:tc>
        <w:tc>
          <w:tcPr>
            <w:tcW w:w="736" w:type="dxa"/>
            <w:tcBorders>
              <w:top w:val="nil"/>
              <w:left w:val="nil"/>
              <w:bottom w:val="single" w:sz="4" w:space="0" w:color="auto"/>
              <w:right w:val="single" w:sz="4" w:space="0" w:color="auto"/>
            </w:tcBorders>
            <w:vAlign w:val="bottom"/>
          </w:tcPr>
          <w:p w:rsidR="00C81B24" w:rsidRPr="00C81B24" w:rsidRDefault="00C81B24" w:rsidP="00CE5850">
            <w:pPr>
              <w:jc w:val="right"/>
              <w:rPr>
                <w:color w:val="000000"/>
                <w:sz w:val="20"/>
              </w:rPr>
            </w:pPr>
            <w:r w:rsidRPr="00C81B24">
              <w:rPr>
                <w:color w:val="000000"/>
                <w:sz w:val="20"/>
              </w:rPr>
              <w:t>58.91</w:t>
            </w:r>
          </w:p>
        </w:tc>
      </w:tr>
      <w:tr w:rsidR="00C81B24" w:rsidRPr="00C81B24" w:rsidTr="00526AD9">
        <w:trPr>
          <w:trHeight w:val="255"/>
          <w:jc w:val="center"/>
        </w:trPr>
        <w:tc>
          <w:tcPr>
            <w:tcW w:w="554" w:type="dxa"/>
            <w:tcBorders>
              <w:top w:val="nil"/>
              <w:left w:val="single" w:sz="4" w:space="0" w:color="auto"/>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119</w:t>
            </w:r>
          </w:p>
        </w:tc>
        <w:tc>
          <w:tcPr>
            <w:tcW w:w="456" w:type="dxa"/>
            <w:tcBorders>
              <w:top w:val="nil"/>
              <w:left w:val="single" w:sz="4" w:space="0" w:color="auto"/>
              <w:bottom w:val="single" w:sz="4" w:space="0" w:color="auto"/>
              <w:right w:val="single" w:sz="4" w:space="0" w:color="auto"/>
            </w:tcBorders>
            <w:vAlign w:val="center"/>
          </w:tcPr>
          <w:p w:rsidR="00C81B24" w:rsidRPr="00C81B24" w:rsidRDefault="00C81B24" w:rsidP="00CE5850">
            <w:pPr>
              <w:jc w:val="right"/>
              <w:rPr>
                <w:sz w:val="20"/>
              </w:rPr>
            </w:pPr>
            <w:r w:rsidRPr="00C81B24">
              <w:rPr>
                <w:sz w:val="20"/>
              </w:rPr>
              <w:t>72</w:t>
            </w:r>
          </w:p>
        </w:tc>
        <w:tc>
          <w:tcPr>
            <w:tcW w:w="4012" w:type="dxa"/>
            <w:tcBorders>
              <w:top w:val="nil"/>
              <w:left w:val="nil"/>
              <w:bottom w:val="single" w:sz="4" w:space="0" w:color="auto"/>
              <w:right w:val="single" w:sz="4" w:space="0" w:color="auto"/>
            </w:tcBorders>
            <w:vAlign w:val="center"/>
          </w:tcPr>
          <w:p w:rsidR="00C81B24" w:rsidRPr="00C81B24" w:rsidRDefault="00C81B24" w:rsidP="00CE5850">
            <w:pPr>
              <w:rPr>
                <w:sz w:val="20"/>
              </w:rPr>
            </w:pPr>
            <w:r w:rsidRPr="00C81B24">
              <w:rPr>
                <w:sz w:val="20"/>
              </w:rPr>
              <w:t>Paducah, KY-IL</w:t>
            </w:r>
          </w:p>
        </w:tc>
        <w:tc>
          <w:tcPr>
            <w:tcW w:w="1102" w:type="dxa"/>
            <w:tcBorders>
              <w:top w:val="nil"/>
              <w:left w:val="nil"/>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 xml:space="preserve"> 209,821 </w:t>
            </w:r>
          </w:p>
        </w:tc>
        <w:tc>
          <w:tcPr>
            <w:tcW w:w="1155" w:type="dxa"/>
            <w:tcBorders>
              <w:top w:val="nil"/>
              <w:left w:val="nil"/>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 xml:space="preserve"> 231,799 </w:t>
            </w:r>
          </w:p>
        </w:tc>
        <w:tc>
          <w:tcPr>
            <w:tcW w:w="979" w:type="dxa"/>
            <w:tcBorders>
              <w:top w:val="nil"/>
              <w:left w:val="nil"/>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91%</w:t>
            </w:r>
          </w:p>
        </w:tc>
        <w:tc>
          <w:tcPr>
            <w:tcW w:w="635" w:type="dxa"/>
            <w:tcBorders>
              <w:top w:val="nil"/>
              <w:left w:val="nil"/>
              <w:bottom w:val="single" w:sz="4" w:space="0" w:color="auto"/>
              <w:right w:val="single" w:sz="4" w:space="0" w:color="auto"/>
            </w:tcBorders>
            <w:noWrap/>
            <w:vAlign w:val="bottom"/>
          </w:tcPr>
          <w:p w:rsidR="00C81B24" w:rsidRPr="00C81B24" w:rsidRDefault="00C81B24" w:rsidP="00CE5850">
            <w:pPr>
              <w:jc w:val="right"/>
              <w:rPr>
                <w:sz w:val="20"/>
              </w:rPr>
            </w:pPr>
            <w:r w:rsidRPr="00C81B24">
              <w:rPr>
                <w:sz w:val="20"/>
              </w:rPr>
              <w:t>5116</w:t>
            </w:r>
          </w:p>
        </w:tc>
        <w:tc>
          <w:tcPr>
            <w:tcW w:w="536" w:type="dxa"/>
            <w:tcBorders>
              <w:top w:val="nil"/>
              <w:left w:val="nil"/>
              <w:bottom w:val="single" w:sz="4" w:space="0" w:color="auto"/>
              <w:right w:val="single" w:sz="4" w:space="0" w:color="auto"/>
            </w:tcBorders>
            <w:vAlign w:val="bottom"/>
          </w:tcPr>
          <w:p w:rsidR="00C81B24" w:rsidRPr="00C81B24" w:rsidRDefault="00C81B24" w:rsidP="00CE5850">
            <w:pPr>
              <w:autoSpaceDE w:val="0"/>
              <w:autoSpaceDN w:val="0"/>
              <w:adjustRightInd w:val="0"/>
              <w:jc w:val="right"/>
              <w:rPr>
                <w:color w:val="000000"/>
                <w:kern w:val="0"/>
                <w:sz w:val="20"/>
              </w:rPr>
            </w:pPr>
            <w:r w:rsidRPr="00C81B24">
              <w:rPr>
                <w:color w:val="000000"/>
                <w:kern w:val="0"/>
                <w:sz w:val="20"/>
              </w:rPr>
              <w:t>5235</w:t>
            </w:r>
          </w:p>
        </w:tc>
        <w:tc>
          <w:tcPr>
            <w:tcW w:w="736" w:type="dxa"/>
            <w:tcBorders>
              <w:top w:val="nil"/>
              <w:left w:val="nil"/>
              <w:bottom w:val="single" w:sz="4" w:space="0" w:color="auto"/>
              <w:right w:val="single" w:sz="4" w:space="0" w:color="auto"/>
            </w:tcBorders>
            <w:vAlign w:val="bottom"/>
          </w:tcPr>
          <w:p w:rsidR="00C81B24" w:rsidRPr="00C81B24" w:rsidRDefault="00C81B24" w:rsidP="00CE5850">
            <w:pPr>
              <w:jc w:val="right"/>
              <w:rPr>
                <w:color w:val="000000"/>
                <w:sz w:val="20"/>
              </w:rPr>
            </w:pPr>
            <w:r w:rsidRPr="00C81B24">
              <w:rPr>
                <w:color w:val="000000"/>
                <w:sz w:val="20"/>
              </w:rPr>
              <w:t>76.17</w:t>
            </w:r>
          </w:p>
        </w:tc>
      </w:tr>
      <w:tr w:rsidR="00C81B24" w:rsidRPr="00C81B24" w:rsidTr="00526AD9">
        <w:trPr>
          <w:trHeight w:val="255"/>
          <w:jc w:val="center"/>
        </w:trPr>
        <w:tc>
          <w:tcPr>
            <w:tcW w:w="554" w:type="dxa"/>
            <w:tcBorders>
              <w:top w:val="nil"/>
              <w:left w:val="single" w:sz="4" w:space="0" w:color="auto"/>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120</w:t>
            </w:r>
          </w:p>
        </w:tc>
        <w:tc>
          <w:tcPr>
            <w:tcW w:w="456" w:type="dxa"/>
            <w:tcBorders>
              <w:top w:val="nil"/>
              <w:left w:val="single" w:sz="4" w:space="0" w:color="auto"/>
              <w:bottom w:val="single" w:sz="4" w:space="0" w:color="auto"/>
              <w:right w:val="single" w:sz="4" w:space="0" w:color="auto"/>
            </w:tcBorders>
            <w:vAlign w:val="center"/>
          </w:tcPr>
          <w:p w:rsidR="00C81B24" w:rsidRPr="00C81B24" w:rsidRDefault="00C81B24" w:rsidP="00CE5850">
            <w:pPr>
              <w:jc w:val="right"/>
              <w:rPr>
                <w:sz w:val="20"/>
              </w:rPr>
            </w:pPr>
            <w:r w:rsidRPr="00C81B24">
              <w:rPr>
                <w:sz w:val="20"/>
              </w:rPr>
              <w:t>110</w:t>
            </w:r>
          </w:p>
        </w:tc>
        <w:tc>
          <w:tcPr>
            <w:tcW w:w="4012" w:type="dxa"/>
            <w:tcBorders>
              <w:top w:val="nil"/>
              <w:left w:val="nil"/>
              <w:bottom w:val="single" w:sz="4" w:space="0" w:color="auto"/>
              <w:right w:val="single" w:sz="4" w:space="0" w:color="auto"/>
            </w:tcBorders>
            <w:vAlign w:val="center"/>
          </w:tcPr>
          <w:p w:rsidR="00C81B24" w:rsidRPr="00C81B24" w:rsidRDefault="00C81B24" w:rsidP="00CE5850">
            <w:pPr>
              <w:rPr>
                <w:sz w:val="20"/>
              </w:rPr>
            </w:pPr>
            <w:r w:rsidRPr="00C81B24">
              <w:rPr>
                <w:sz w:val="20"/>
              </w:rPr>
              <w:t>Grand Forks, ND-MN</w:t>
            </w:r>
          </w:p>
        </w:tc>
        <w:tc>
          <w:tcPr>
            <w:tcW w:w="1102" w:type="dxa"/>
            <w:tcBorders>
              <w:top w:val="nil"/>
              <w:left w:val="nil"/>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 xml:space="preserve"> 203,143 </w:t>
            </w:r>
          </w:p>
        </w:tc>
        <w:tc>
          <w:tcPr>
            <w:tcW w:w="1155" w:type="dxa"/>
            <w:tcBorders>
              <w:top w:val="nil"/>
              <w:left w:val="nil"/>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 xml:space="preserve"> 222,266 </w:t>
            </w:r>
          </w:p>
        </w:tc>
        <w:tc>
          <w:tcPr>
            <w:tcW w:w="979" w:type="dxa"/>
            <w:tcBorders>
              <w:top w:val="nil"/>
              <w:left w:val="nil"/>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91%</w:t>
            </w:r>
          </w:p>
        </w:tc>
        <w:tc>
          <w:tcPr>
            <w:tcW w:w="635" w:type="dxa"/>
            <w:tcBorders>
              <w:top w:val="nil"/>
              <w:left w:val="nil"/>
              <w:bottom w:val="single" w:sz="4" w:space="0" w:color="auto"/>
              <w:right w:val="single" w:sz="4" w:space="0" w:color="auto"/>
            </w:tcBorders>
            <w:noWrap/>
            <w:vAlign w:val="bottom"/>
          </w:tcPr>
          <w:p w:rsidR="00C81B24" w:rsidRPr="00C81B24" w:rsidRDefault="00C81B24" w:rsidP="00CE5850">
            <w:pPr>
              <w:jc w:val="right"/>
              <w:rPr>
                <w:sz w:val="20"/>
              </w:rPr>
            </w:pPr>
            <w:r w:rsidRPr="00C81B24">
              <w:rPr>
                <w:sz w:val="20"/>
              </w:rPr>
              <w:t>5549</w:t>
            </w:r>
          </w:p>
        </w:tc>
        <w:tc>
          <w:tcPr>
            <w:tcW w:w="536" w:type="dxa"/>
            <w:tcBorders>
              <w:top w:val="nil"/>
              <w:left w:val="nil"/>
              <w:bottom w:val="single" w:sz="4" w:space="0" w:color="auto"/>
              <w:right w:val="single" w:sz="4" w:space="0" w:color="auto"/>
            </w:tcBorders>
            <w:vAlign w:val="bottom"/>
          </w:tcPr>
          <w:p w:rsidR="00C81B24" w:rsidRPr="00C81B24" w:rsidRDefault="00C81B24" w:rsidP="00CE5850">
            <w:pPr>
              <w:autoSpaceDE w:val="0"/>
              <w:autoSpaceDN w:val="0"/>
              <w:adjustRightInd w:val="0"/>
              <w:jc w:val="right"/>
              <w:rPr>
                <w:color w:val="000000"/>
                <w:kern w:val="0"/>
                <w:sz w:val="20"/>
              </w:rPr>
            </w:pPr>
            <w:r w:rsidRPr="00C81B24">
              <w:rPr>
                <w:color w:val="000000"/>
                <w:kern w:val="0"/>
                <w:sz w:val="20"/>
              </w:rPr>
              <w:t>4872</w:t>
            </w:r>
          </w:p>
        </w:tc>
        <w:tc>
          <w:tcPr>
            <w:tcW w:w="736" w:type="dxa"/>
            <w:tcBorders>
              <w:top w:val="nil"/>
              <w:left w:val="nil"/>
              <w:bottom w:val="single" w:sz="4" w:space="0" w:color="auto"/>
              <w:right w:val="single" w:sz="4" w:space="0" w:color="auto"/>
            </w:tcBorders>
            <w:vAlign w:val="bottom"/>
          </w:tcPr>
          <w:p w:rsidR="00C81B24" w:rsidRPr="00C81B24" w:rsidRDefault="00C81B24" w:rsidP="00CE5850">
            <w:pPr>
              <w:jc w:val="right"/>
              <w:rPr>
                <w:color w:val="000000"/>
                <w:sz w:val="20"/>
              </w:rPr>
            </w:pPr>
            <w:r w:rsidRPr="00C81B24">
              <w:rPr>
                <w:color w:val="000000"/>
                <w:sz w:val="20"/>
              </w:rPr>
              <w:t>10.17</w:t>
            </w:r>
          </w:p>
        </w:tc>
      </w:tr>
      <w:tr w:rsidR="00C81B24" w:rsidRPr="00C81B24" w:rsidTr="00526AD9">
        <w:trPr>
          <w:trHeight w:val="255"/>
          <w:jc w:val="center"/>
        </w:trPr>
        <w:tc>
          <w:tcPr>
            <w:tcW w:w="554" w:type="dxa"/>
            <w:tcBorders>
              <w:top w:val="nil"/>
              <w:left w:val="single" w:sz="4" w:space="0" w:color="auto"/>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121</w:t>
            </w:r>
          </w:p>
        </w:tc>
        <w:tc>
          <w:tcPr>
            <w:tcW w:w="456" w:type="dxa"/>
            <w:tcBorders>
              <w:top w:val="nil"/>
              <w:left w:val="single" w:sz="4" w:space="0" w:color="auto"/>
              <w:bottom w:val="single" w:sz="4" w:space="0" w:color="auto"/>
              <w:right w:val="single" w:sz="4" w:space="0" w:color="auto"/>
            </w:tcBorders>
            <w:vAlign w:val="center"/>
          </w:tcPr>
          <w:p w:rsidR="00C81B24" w:rsidRPr="00C81B24" w:rsidRDefault="00C81B24" w:rsidP="00CE5850">
            <w:pPr>
              <w:jc w:val="right"/>
              <w:rPr>
                <w:sz w:val="20"/>
              </w:rPr>
            </w:pPr>
            <w:r w:rsidRPr="00C81B24">
              <w:rPr>
                <w:sz w:val="20"/>
              </w:rPr>
              <w:t>112</w:t>
            </w:r>
          </w:p>
        </w:tc>
        <w:tc>
          <w:tcPr>
            <w:tcW w:w="4012" w:type="dxa"/>
            <w:tcBorders>
              <w:top w:val="nil"/>
              <w:left w:val="nil"/>
              <w:bottom w:val="single" w:sz="4" w:space="0" w:color="auto"/>
              <w:right w:val="single" w:sz="4" w:space="0" w:color="auto"/>
            </w:tcBorders>
            <w:vAlign w:val="center"/>
          </w:tcPr>
          <w:p w:rsidR="00C81B24" w:rsidRPr="00C81B24" w:rsidRDefault="00C81B24" w:rsidP="00CE5850">
            <w:pPr>
              <w:rPr>
                <w:sz w:val="20"/>
              </w:rPr>
            </w:pPr>
            <w:r w:rsidRPr="00C81B24">
              <w:rPr>
                <w:sz w:val="20"/>
              </w:rPr>
              <w:t>Bismarck, ND-MT-SD</w:t>
            </w:r>
          </w:p>
        </w:tc>
        <w:tc>
          <w:tcPr>
            <w:tcW w:w="1102" w:type="dxa"/>
            <w:tcBorders>
              <w:top w:val="nil"/>
              <w:left w:val="nil"/>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 xml:space="preserve"> 172,772 </w:t>
            </w:r>
          </w:p>
        </w:tc>
        <w:tc>
          <w:tcPr>
            <w:tcW w:w="1155" w:type="dxa"/>
            <w:tcBorders>
              <w:top w:val="nil"/>
              <w:left w:val="nil"/>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 xml:space="preserve"> 190,396 </w:t>
            </w:r>
          </w:p>
        </w:tc>
        <w:tc>
          <w:tcPr>
            <w:tcW w:w="979" w:type="dxa"/>
            <w:tcBorders>
              <w:top w:val="nil"/>
              <w:left w:val="nil"/>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91%</w:t>
            </w:r>
          </w:p>
        </w:tc>
        <w:tc>
          <w:tcPr>
            <w:tcW w:w="635" w:type="dxa"/>
            <w:tcBorders>
              <w:top w:val="nil"/>
              <w:left w:val="nil"/>
              <w:bottom w:val="single" w:sz="4" w:space="0" w:color="auto"/>
              <w:right w:val="single" w:sz="4" w:space="0" w:color="auto"/>
            </w:tcBorders>
            <w:noWrap/>
            <w:vAlign w:val="bottom"/>
          </w:tcPr>
          <w:p w:rsidR="00C81B24" w:rsidRPr="00C81B24" w:rsidRDefault="00C81B24" w:rsidP="00CE5850">
            <w:pPr>
              <w:jc w:val="right"/>
              <w:rPr>
                <w:sz w:val="20"/>
              </w:rPr>
            </w:pPr>
            <w:r w:rsidRPr="00C81B24">
              <w:rPr>
                <w:sz w:val="20"/>
              </w:rPr>
              <w:t>5809</w:t>
            </w:r>
          </w:p>
        </w:tc>
        <w:tc>
          <w:tcPr>
            <w:tcW w:w="536" w:type="dxa"/>
            <w:tcBorders>
              <w:top w:val="nil"/>
              <w:left w:val="nil"/>
              <w:bottom w:val="single" w:sz="4" w:space="0" w:color="auto"/>
              <w:right w:val="single" w:sz="4" w:space="0" w:color="auto"/>
            </w:tcBorders>
            <w:vAlign w:val="bottom"/>
          </w:tcPr>
          <w:p w:rsidR="00C81B24" w:rsidRPr="00C81B24" w:rsidRDefault="00C81B24" w:rsidP="00CE5850">
            <w:pPr>
              <w:autoSpaceDE w:val="0"/>
              <w:autoSpaceDN w:val="0"/>
              <w:adjustRightInd w:val="0"/>
              <w:jc w:val="right"/>
              <w:rPr>
                <w:color w:val="000000"/>
                <w:kern w:val="0"/>
                <w:sz w:val="20"/>
              </w:rPr>
            </w:pPr>
            <w:r w:rsidRPr="00C81B24">
              <w:rPr>
                <w:color w:val="000000"/>
                <w:kern w:val="0"/>
                <w:sz w:val="20"/>
              </w:rPr>
              <w:t>5058</w:t>
            </w:r>
          </w:p>
        </w:tc>
        <w:tc>
          <w:tcPr>
            <w:tcW w:w="736" w:type="dxa"/>
            <w:tcBorders>
              <w:top w:val="nil"/>
              <w:left w:val="nil"/>
              <w:bottom w:val="single" w:sz="4" w:space="0" w:color="auto"/>
              <w:right w:val="single" w:sz="4" w:space="0" w:color="auto"/>
            </w:tcBorders>
            <w:vAlign w:val="bottom"/>
          </w:tcPr>
          <w:p w:rsidR="00C81B24" w:rsidRPr="00C81B24" w:rsidRDefault="00C81B24" w:rsidP="00CE5850">
            <w:pPr>
              <w:jc w:val="right"/>
              <w:rPr>
                <w:color w:val="000000"/>
                <w:sz w:val="20"/>
              </w:rPr>
            </w:pPr>
            <w:r w:rsidRPr="00C81B24">
              <w:rPr>
                <w:color w:val="000000"/>
                <w:sz w:val="20"/>
              </w:rPr>
              <w:t>6.83</w:t>
            </w:r>
          </w:p>
        </w:tc>
      </w:tr>
      <w:tr w:rsidR="00C81B24" w:rsidRPr="00C81B24" w:rsidTr="00526AD9">
        <w:trPr>
          <w:trHeight w:val="255"/>
          <w:jc w:val="center"/>
        </w:trPr>
        <w:tc>
          <w:tcPr>
            <w:tcW w:w="554" w:type="dxa"/>
            <w:tcBorders>
              <w:top w:val="nil"/>
              <w:left w:val="single" w:sz="4" w:space="0" w:color="auto"/>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122</w:t>
            </w:r>
          </w:p>
        </w:tc>
        <w:tc>
          <w:tcPr>
            <w:tcW w:w="456" w:type="dxa"/>
            <w:tcBorders>
              <w:top w:val="nil"/>
              <w:left w:val="single" w:sz="4" w:space="0" w:color="auto"/>
              <w:bottom w:val="single" w:sz="4" w:space="0" w:color="auto"/>
              <w:right w:val="single" w:sz="4" w:space="0" w:color="auto"/>
            </w:tcBorders>
            <w:vAlign w:val="center"/>
          </w:tcPr>
          <w:p w:rsidR="00C81B24" w:rsidRPr="00C81B24" w:rsidRDefault="00C81B24" w:rsidP="00CE5850">
            <w:pPr>
              <w:jc w:val="right"/>
              <w:rPr>
                <w:sz w:val="20"/>
              </w:rPr>
            </w:pPr>
            <w:r w:rsidRPr="00C81B24">
              <w:rPr>
                <w:sz w:val="20"/>
              </w:rPr>
              <w:t>116</w:t>
            </w:r>
          </w:p>
        </w:tc>
        <w:tc>
          <w:tcPr>
            <w:tcW w:w="4012" w:type="dxa"/>
            <w:tcBorders>
              <w:top w:val="nil"/>
              <w:left w:val="nil"/>
              <w:bottom w:val="single" w:sz="4" w:space="0" w:color="auto"/>
              <w:right w:val="single" w:sz="4" w:space="0" w:color="auto"/>
            </w:tcBorders>
            <w:vAlign w:val="center"/>
          </w:tcPr>
          <w:p w:rsidR="00C81B24" w:rsidRPr="00C81B24" w:rsidRDefault="00C81B24" w:rsidP="00CE5850">
            <w:pPr>
              <w:rPr>
                <w:sz w:val="20"/>
              </w:rPr>
            </w:pPr>
            <w:r w:rsidRPr="00C81B24">
              <w:rPr>
                <w:sz w:val="20"/>
                <w:lang w:val="fr-FR"/>
              </w:rPr>
              <w:t>Sioux Falls, SD-IA-MN-NE</w:t>
            </w:r>
          </w:p>
        </w:tc>
        <w:tc>
          <w:tcPr>
            <w:tcW w:w="1102" w:type="dxa"/>
            <w:tcBorders>
              <w:top w:val="nil"/>
              <w:left w:val="nil"/>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 xml:space="preserve"> 511,142 </w:t>
            </w:r>
          </w:p>
        </w:tc>
        <w:tc>
          <w:tcPr>
            <w:tcW w:w="1155" w:type="dxa"/>
            <w:tcBorders>
              <w:top w:val="nil"/>
              <w:left w:val="nil"/>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 xml:space="preserve"> 564,258 </w:t>
            </w:r>
          </w:p>
        </w:tc>
        <w:tc>
          <w:tcPr>
            <w:tcW w:w="979" w:type="dxa"/>
            <w:tcBorders>
              <w:top w:val="nil"/>
              <w:left w:val="nil"/>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91%</w:t>
            </w:r>
          </w:p>
        </w:tc>
        <w:tc>
          <w:tcPr>
            <w:tcW w:w="635" w:type="dxa"/>
            <w:tcBorders>
              <w:top w:val="nil"/>
              <w:left w:val="nil"/>
              <w:bottom w:val="single" w:sz="4" w:space="0" w:color="auto"/>
              <w:right w:val="single" w:sz="4" w:space="0" w:color="auto"/>
            </w:tcBorders>
            <w:noWrap/>
            <w:vAlign w:val="bottom"/>
          </w:tcPr>
          <w:p w:rsidR="00C81B24" w:rsidRPr="00C81B24" w:rsidRDefault="00C81B24" w:rsidP="00CE5850">
            <w:pPr>
              <w:jc w:val="right"/>
              <w:rPr>
                <w:sz w:val="20"/>
              </w:rPr>
            </w:pPr>
            <w:r w:rsidRPr="00C81B24">
              <w:rPr>
                <w:sz w:val="20"/>
              </w:rPr>
              <w:t>6028</w:t>
            </w:r>
          </w:p>
        </w:tc>
        <w:tc>
          <w:tcPr>
            <w:tcW w:w="536" w:type="dxa"/>
            <w:tcBorders>
              <w:top w:val="nil"/>
              <w:left w:val="nil"/>
              <w:bottom w:val="single" w:sz="4" w:space="0" w:color="auto"/>
              <w:right w:val="single" w:sz="4" w:space="0" w:color="auto"/>
            </w:tcBorders>
            <w:vAlign w:val="bottom"/>
          </w:tcPr>
          <w:p w:rsidR="00C81B24" w:rsidRPr="00C81B24" w:rsidRDefault="00C81B24" w:rsidP="00CE5850">
            <w:pPr>
              <w:autoSpaceDE w:val="0"/>
              <w:autoSpaceDN w:val="0"/>
              <w:adjustRightInd w:val="0"/>
              <w:jc w:val="right"/>
              <w:rPr>
                <w:color w:val="000000"/>
                <w:kern w:val="0"/>
                <w:sz w:val="20"/>
              </w:rPr>
            </w:pPr>
            <w:r w:rsidRPr="00C81B24">
              <w:rPr>
                <w:color w:val="000000"/>
                <w:kern w:val="0"/>
                <w:sz w:val="20"/>
              </w:rPr>
              <w:t>5275</w:t>
            </w:r>
          </w:p>
        </w:tc>
        <w:tc>
          <w:tcPr>
            <w:tcW w:w="736" w:type="dxa"/>
            <w:tcBorders>
              <w:top w:val="nil"/>
              <w:left w:val="nil"/>
              <w:bottom w:val="single" w:sz="4" w:space="0" w:color="auto"/>
              <w:right w:val="single" w:sz="4" w:space="0" w:color="auto"/>
            </w:tcBorders>
            <w:vAlign w:val="bottom"/>
          </w:tcPr>
          <w:p w:rsidR="00C81B24" w:rsidRPr="00C81B24" w:rsidRDefault="00C81B24" w:rsidP="00CE5850">
            <w:pPr>
              <w:jc w:val="right"/>
              <w:rPr>
                <w:color w:val="000000"/>
                <w:sz w:val="20"/>
              </w:rPr>
            </w:pPr>
            <w:r w:rsidRPr="00C81B24">
              <w:rPr>
                <w:color w:val="000000"/>
                <w:sz w:val="20"/>
              </w:rPr>
              <w:t>16.58</w:t>
            </w:r>
          </w:p>
        </w:tc>
      </w:tr>
      <w:tr w:rsidR="00C81B24" w:rsidRPr="00C81B24" w:rsidTr="00526AD9">
        <w:trPr>
          <w:trHeight w:val="255"/>
          <w:jc w:val="center"/>
        </w:trPr>
        <w:tc>
          <w:tcPr>
            <w:tcW w:w="554" w:type="dxa"/>
            <w:tcBorders>
              <w:top w:val="nil"/>
              <w:left w:val="single" w:sz="4" w:space="0" w:color="auto"/>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123</w:t>
            </w:r>
          </w:p>
        </w:tc>
        <w:tc>
          <w:tcPr>
            <w:tcW w:w="456" w:type="dxa"/>
            <w:tcBorders>
              <w:top w:val="nil"/>
              <w:left w:val="single" w:sz="4" w:space="0" w:color="auto"/>
              <w:bottom w:val="single" w:sz="4" w:space="0" w:color="auto"/>
              <w:right w:val="single" w:sz="4" w:space="0" w:color="auto"/>
            </w:tcBorders>
            <w:vAlign w:val="center"/>
          </w:tcPr>
          <w:p w:rsidR="00C81B24" w:rsidRPr="00C81B24" w:rsidRDefault="00C81B24" w:rsidP="00CE5850">
            <w:pPr>
              <w:jc w:val="right"/>
              <w:rPr>
                <w:sz w:val="20"/>
              </w:rPr>
            </w:pPr>
            <w:r w:rsidRPr="00C81B24">
              <w:rPr>
                <w:sz w:val="20"/>
              </w:rPr>
              <w:t>144</w:t>
            </w:r>
          </w:p>
        </w:tc>
        <w:tc>
          <w:tcPr>
            <w:tcW w:w="4012" w:type="dxa"/>
            <w:tcBorders>
              <w:top w:val="nil"/>
              <w:left w:val="nil"/>
              <w:bottom w:val="single" w:sz="4" w:space="0" w:color="auto"/>
              <w:right w:val="single" w:sz="4" w:space="0" w:color="auto"/>
            </w:tcBorders>
            <w:vAlign w:val="center"/>
          </w:tcPr>
          <w:p w:rsidR="00C81B24" w:rsidRPr="00C81B24" w:rsidRDefault="00C81B24" w:rsidP="00CE5850">
            <w:pPr>
              <w:rPr>
                <w:sz w:val="20"/>
              </w:rPr>
            </w:pPr>
            <w:r w:rsidRPr="00C81B24">
              <w:rPr>
                <w:sz w:val="20"/>
              </w:rPr>
              <w:t>Billings, MT-WY</w:t>
            </w:r>
          </w:p>
        </w:tc>
        <w:tc>
          <w:tcPr>
            <w:tcW w:w="1102" w:type="dxa"/>
            <w:tcBorders>
              <w:top w:val="nil"/>
              <w:left w:val="nil"/>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 xml:space="preserve"> 418,637 </w:t>
            </w:r>
          </w:p>
        </w:tc>
        <w:tc>
          <w:tcPr>
            <w:tcW w:w="1155" w:type="dxa"/>
            <w:tcBorders>
              <w:top w:val="nil"/>
              <w:left w:val="nil"/>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 xml:space="preserve"> 457,766 </w:t>
            </w:r>
          </w:p>
        </w:tc>
        <w:tc>
          <w:tcPr>
            <w:tcW w:w="979" w:type="dxa"/>
            <w:tcBorders>
              <w:top w:val="nil"/>
              <w:left w:val="nil"/>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91%</w:t>
            </w:r>
          </w:p>
        </w:tc>
        <w:tc>
          <w:tcPr>
            <w:tcW w:w="635" w:type="dxa"/>
            <w:tcBorders>
              <w:top w:val="nil"/>
              <w:left w:val="nil"/>
              <w:bottom w:val="single" w:sz="4" w:space="0" w:color="auto"/>
              <w:right w:val="single" w:sz="4" w:space="0" w:color="auto"/>
            </w:tcBorders>
            <w:noWrap/>
            <w:vAlign w:val="bottom"/>
          </w:tcPr>
          <w:p w:rsidR="00C81B24" w:rsidRPr="00C81B24" w:rsidRDefault="00C81B24" w:rsidP="00CE5850">
            <w:pPr>
              <w:jc w:val="right"/>
              <w:rPr>
                <w:sz w:val="20"/>
              </w:rPr>
            </w:pPr>
            <w:r w:rsidRPr="00C81B24">
              <w:rPr>
                <w:sz w:val="20"/>
              </w:rPr>
              <w:t>6305</w:t>
            </w:r>
          </w:p>
        </w:tc>
        <w:tc>
          <w:tcPr>
            <w:tcW w:w="536" w:type="dxa"/>
            <w:tcBorders>
              <w:top w:val="nil"/>
              <w:left w:val="nil"/>
              <w:bottom w:val="single" w:sz="4" w:space="0" w:color="auto"/>
              <w:right w:val="single" w:sz="4" w:space="0" w:color="auto"/>
            </w:tcBorders>
            <w:vAlign w:val="bottom"/>
          </w:tcPr>
          <w:p w:rsidR="00C81B24" w:rsidRPr="00C81B24" w:rsidRDefault="00C81B24" w:rsidP="00CE5850">
            <w:pPr>
              <w:autoSpaceDE w:val="0"/>
              <w:autoSpaceDN w:val="0"/>
              <w:adjustRightInd w:val="0"/>
              <w:jc w:val="right"/>
              <w:rPr>
                <w:color w:val="000000"/>
                <w:kern w:val="0"/>
                <w:sz w:val="20"/>
              </w:rPr>
            </w:pPr>
            <w:r w:rsidRPr="00C81B24">
              <w:rPr>
                <w:color w:val="000000"/>
                <w:kern w:val="0"/>
                <w:sz w:val="20"/>
              </w:rPr>
              <w:t>5378</w:t>
            </w:r>
          </w:p>
        </w:tc>
        <w:tc>
          <w:tcPr>
            <w:tcW w:w="736" w:type="dxa"/>
            <w:tcBorders>
              <w:top w:val="nil"/>
              <w:left w:val="nil"/>
              <w:bottom w:val="single" w:sz="4" w:space="0" w:color="auto"/>
              <w:right w:val="single" w:sz="4" w:space="0" w:color="auto"/>
            </w:tcBorders>
            <w:vAlign w:val="bottom"/>
          </w:tcPr>
          <w:p w:rsidR="00C81B24" w:rsidRPr="00C81B24" w:rsidRDefault="00C81B24" w:rsidP="00CE5850">
            <w:pPr>
              <w:jc w:val="right"/>
              <w:rPr>
                <w:color w:val="000000"/>
                <w:sz w:val="20"/>
              </w:rPr>
            </w:pPr>
            <w:r w:rsidRPr="00C81B24">
              <w:rPr>
                <w:color w:val="000000"/>
                <w:sz w:val="20"/>
              </w:rPr>
              <w:t>5.49</w:t>
            </w:r>
          </w:p>
        </w:tc>
      </w:tr>
      <w:tr w:rsidR="00C81B24" w:rsidRPr="00C81B24" w:rsidTr="00526AD9">
        <w:trPr>
          <w:trHeight w:val="255"/>
          <w:jc w:val="center"/>
        </w:trPr>
        <w:tc>
          <w:tcPr>
            <w:tcW w:w="554" w:type="dxa"/>
            <w:tcBorders>
              <w:top w:val="nil"/>
              <w:left w:val="single" w:sz="4" w:space="0" w:color="auto"/>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124</w:t>
            </w:r>
          </w:p>
        </w:tc>
        <w:tc>
          <w:tcPr>
            <w:tcW w:w="456" w:type="dxa"/>
            <w:tcBorders>
              <w:top w:val="nil"/>
              <w:left w:val="single" w:sz="4" w:space="0" w:color="auto"/>
              <w:bottom w:val="single" w:sz="4" w:space="0" w:color="auto"/>
              <w:right w:val="single" w:sz="4" w:space="0" w:color="auto"/>
            </w:tcBorders>
            <w:vAlign w:val="center"/>
          </w:tcPr>
          <w:p w:rsidR="00C81B24" w:rsidRPr="00C81B24" w:rsidRDefault="00C81B24" w:rsidP="00CE5850">
            <w:pPr>
              <w:jc w:val="right"/>
              <w:rPr>
                <w:sz w:val="20"/>
              </w:rPr>
            </w:pPr>
            <w:r w:rsidRPr="00C81B24">
              <w:rPr>
                <w:sz w:val="20"/>
              </w:rPr>
              <w:t>148</w:t>
            </w:r>
          </w:p>
        </w:tc>
        <w:tc>
          <w:tcPr>
            <w:tcW w:w="4012" w:type="dxa"/>
            <w:tcBorders>
              <w:top w:val="nil"/>
              <w:left w:val="nil"/>
              <w:bottom w:val="single" w:sz="4" w:space="0" w:color="auto"/>
              <w:right w:val="single" w:sz="4" w:space="0" w:color="auto"/>
            </w:tcBorders>
            <w:vAlign w:val="center"/>
          </w:tcPr>
          <w:p w:rsidR="00C81B24" w:rsidRPr="00C81B24" w:rsidRDefault="00C81B24" w:rsidP="00CE5850">
            <w:pPr>
              <w:rPr>
                <w:sz w:val="20"/>
              </w:rPr>
            </w:pPr>
            <w:r w:rsidRPr="00C81B24">
              <w:rPr>
                <w:sz w:val="20"/>
              </w:rPr>
              <w:t>Idaho Falls, ID-WY</w:t>
            </w:r>
          </w:p>
        </w:tc>
        <w:tc>
          <w:tcPr>
            <w:tcW w:w="1102" w:type="dxa"/>
            <w:tcBorders>
              <w:top w:val="nil"/>
              <w:left w:val="nil"/>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 xml:space="preserve"> 336,424 </w:t>
            </w:r>
          </w:p>
        </w:tc>
        <w:tc>
          <w:tcPr>
            <w:tcW w:w="1155" w:type="dxa"/>
            <w:tcBorders>
              <w:top w:val="nil"/>
              <w:left w:val="nil"/>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 xml:space="preserve"> 368,259 </w:t>
            </w:r>
          </w:p>
        </w:tc>
        <w:tc>
          <w:tcPr>
            <w:tcW w:w="979" w:type="dxa"/>
            <w:tcBorders>
              <w:top w:val="nil"/>
              <w:left w:val="nil"/>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91%</w:t>
            </w:r>
          </w:p>
        </w:tc>
        <w:tc>
          <w:tcPr>
            <w:tcW w:w="635" w:type="dxa"/>
            <w:tcBorders>
              <w:top w:val="nil"/>
              <w:left w:val="nil"/>
              <w:bottom w:val="single" w:sz="4" w:space="0" w:color="auto"/>
              <w:right w:val="single" w:sz="4" w:space="0" w:color="auto"/>
            </w:tcBorders>
            <w:noWrap/>
            <w:vAlign w:val="bottom"/>
          </w:tcPr>
          <w:p w:rsidR="00C81B24" w:rsidRPr="00C81B24" w:rsidRDefault="00C81B24" w:rsidP="00CE5850">
            <w:pPr>
              <w:jc w:val="right"/>
              <w:rPr>
                <w:sz w:val="20"/>
              </w:rPr>
            </w:pPr>
            <w:r w:rsidRPr="00C81B24">
              <w:rPr>
                <w:sz w:val="20"/>
              </w:rPr>
              <w:t>4534</w:t>
            </w:r>
          </w:p>
        </w:tc>
        <w:tc>
          <w:tcPr>
            <w:tcW w:w="536" w:type="dxa"/>
            <w:tcBorders>
              <w:top w:val="nil"/>
              <w:left w:val="nil"/>
              <w:bottom w:val="single" w:sz="4" w:space="0" w:color="auto"/>
              <w:right w:val="single" w:sz="4" w:space="0" w:color="auto"/>
            </w:tcBorders>
            <w:vAlign w:val="bottom"/>
          </w:tcPr>
          <w:p w:rsidR="00C81B24" w:rsidRPr="00C81B24" w:rsidRDefault="00C81B24" w:rsidP="00CE5850">
            <w:pPr>
              <w:autoSpaceDE w:val="0"/>
              <w:autoSpaceDN w:val="0"/>
              <w:adjustRightInd w:val="0"/>
              <w:jc w:val="right"/>
              <w:rPr>
                <w:color w:val="000000"/>
                <w:kern w:val="0"/>
                <w:sz w:val="20"/>
              </w:rPr>
            </w:pPr>
            <w:r w:rsidRPr="00C81B24">
              <w:rPr>
                <w:color w:val="000000"/>
                <w:kern w:val="0"/>
                <w:sz w:val="20"/>
              </w:rPr>
              <w:t>4546</w:t>
            </w:r>
          </w:p>
        </w:tc>
        <w:tc>
          <w:tcPr>
            <w:tcW w:w="736" w:type="dxa"/>
            <w:tcBorders>
              <w:top w:val="nil"/>
              <w:left w:val="nil"/>
              <w:bottom w:val="single" w:sz="4" w:space="0" w:color="auto"/>
              <w:right w:val="single" w:sz="4" w:space="0" w:color="auto"/>
            </w:tcBorders>
            <w:vAlign w:val="bottom"/>
          </w:tcPr>
          <w:p w:rsidR="00C81B24" w:rsidRPr="00C81B24" w:rsidRDefault="00C81B24" w:rsidP="00CE5850">
            <w:pPr>
              <w:jc w:val="right"/>
              <w:rPr>
                <w:color w:val="000000"/>
                <w:sz w:val="20"/>
              </w:rPr>
            </w:pPr>
            <w:r w:rsidRPr="00C81B24">
              <w:rPr>
                <w:color w:val="000000"/>
                <w:sz w:val="20"/>
              </w:rPr>
              <w:t>13.12</w:t>
            </w:r>
          </w:p>
        </w:tc>
      </w:tr>
      <w:tr w:rsidR="00C81B24" w:rsidRPr="00C81B24" w:rsidTr="00526AD9">
        <w:trPr>
          <w:trHeight w:val="255"/>
          <w:jc w:val="center"/>
        </w:trPr>
        <w:tc>
          <w:tcPr>
            <w:tcW w:w="554" w:type="dxa"/>
            <w:tcBorders>
              <w:top w:val="nil"/>
              <w:left w:val="single" w:sz="4" w:space="0" w:color="auto"/>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125</w:t>
            </w:r>
          </w:p>
        </w:tc>
        <w:tc>
          <w:tcPr>
            <w:tcW w:w="456" w:type="dxa"/>
            <w:tcBorders>
              <w:top w:val="nil"/>
              <w:left w:val="single" w:sz="4" w:space="0" w:color="auto"/>
              <w:bottom w:val="single" w:sz="4" w:space="0" w:color="auto"/>
              <w:right w:val="single" w:sz="4" w:space="0" w:color="auto"/>
            </w:tcBorders>
            <w:vAlign w:val="center"/>
          </w:tcPr>
          <w:p w:rsidR="00C81B24" w:rsidRPr="00C81B24" w:rsidRDefault="00C81B24" w:rsidP="00CE5850">
            <w:pPr>
              <w:jc w:val="right"/>
              <w:rPr>
                <w:sz w:val="20"/>
              </w:rPr>
            </w:pPr>
            <w:r w:rsidRPr="00C81B24">
              <w:rPr>
                <w:sz w:val="20"/>
              </w:rPr>
              <w:t>4</w:t>
            </w:r>
          </w:p>
        </w:tc>
        <w:tc>
          <w:tcPr>
            <w:tcW w:w="4012" w:type="dxa"/>
            <w:tcBorders>
              <w:top w:val="nil"/>
              <w:left w:val="nil"/>
              <w:bottom w:val="single" w:sz="4" w:space="0" w:color="auto"/>
              <w:right w:val="single" w:sz="4" w:space="0" w:color="auto"/>
            </w:tcBorders>
            <w:vAlign w:val="center"/>
          </w:tcPr>
          <w:p w:rsidR="00C81B24" w:rsidRPr="00C81B24" w:rsidRDefault="00C81B24" w:rsidP="00CE5850">
            <w:pPr>
              <w:rPr>
                <w:sz w:val="20"/>
              </w:rPr>
            </w:pPr>
            <w:r w:rsidRPr="00C81B24">
              <w:rPr>
                <w:sz w:val="20"/>
              </w:rPr>
              <w:t>Burlington, VT-NY</w:t>
            </w:r>
          </w:p>
        </w:tc>
        <w:tc>
          <w:tcPr>
            <w:tcW w:w="1102" w:type="dxa"/>
            <w:tcBorders>
              <w:top w:val="nil"/>
              <w:left w:val="nil"/>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 xml:space="preserve"> 562,739 </w:t>
            </w:r>
          </w:p>
        </w:tc>
        <w:tc>
          <w:tcPr>
            <w:tcW w:w="1155" w:type="dxa"/>
            <w:tcBorders>
              <w:top w:val="nil"/>
              <w:left w:val="nil"/>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 xml:space="preserve"> 625,909 </w:t>
            </w:r>
          </w:p>
        </w:tc>
        <w:tc>
          <w:tcPr>
            <w:tcW w:w="979" w:type="dxa"/>
            <w:tcBorders>
              <w:top w:val="nil"/>
              <w:left w:val="nil"/>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90%</w:t>
            </w:r>
          </w:p>
        </w:tc>
        <w:tc>
          <w:tcPr>
            <w:tcW w:w="635" w:type="dxa"/>
            <w:tcBorders>
              <w:top w:val="nil"/>
              <w:left w:val="nil"/>
              <w:bottom w:val="single" w:sz="4" w:space="0" w:color="auto"/>
              <w:right w:val="single" w:sz="4" w:space="0" w:color="auto"/>
            </w:tcBorders>
            <w:noWrap/>
            <w:vAlign w:val="bottom"/>
          </w:tcPr>
          <w:p w:rsidR="00C81B24" w:rsidRPr="00C81B24" w:rsidRDefault="00C81B24" w:rsidP="00CE5850">
            <w:pPr>
              <w:jc w:val="right"/>
              <w:rPr>
                <w:sz w:val="20"/>
              </w:rPr>
            </w:pPr>
            <w:r w:rsidRPr="00C81B24">
              <w:rPr>
                <w:sz w:val="20"/>
              </w:rPr>
              <w:t>4704</w:t>
            </w:r>
          </w:p>
        </w:tc>
        <w:tc>
          <w:tcPr>
            <w:tcW w:w="536" w:type="dxa"/>
            <w:tcBorders>
              <w:top w:val="nil"/>
              <w:left w:val="nil"/>
              <w:bottom w:val="single" w:sz="4" w:space="0" w:color="auto"/>
              <w:right w:val="single" w:sz="4" w:space="0" w:color="auto"/>
            </w:tcBorders>
            <w:vAlign w:val="bottom"/>
          </w:tcPr>
          <w:p w:rsidR="00C81B24" w:rsidRPr="00C81B24" w:rsidRDefault="00C81B24" w:rsidP="00CE5850">
            <w:pPr>
              <w:autoSpaceDE w:val="0"/>
              <w:autoSpaceDN w:val="0"/>
              <w:adjustRightInd w:val="0"/>
              <w:jc w:val="right"/>
              <w:rPr>
                <w:color w:val="000000"/>
                <w:kern w:val="0"/>
                <w:sz w:val="20"/>
              </w:rPr>
            </w:pPr>
            <w:r w:rsidRPr="00C81B24">
              <w:rPr>
                <w:color w:val="000000"/>
                <w:kern w:val="0"/>
                <w:sz w:val="20"/>
              </w:rPr>
              <w:t>4741</w:t>
            </w:r>
          </w:p>
        </w:tc>
        <w:tc>
          <w:tcPr>
            <w:tcW w:w="736" w:type="dxa"/>
            <w:tcBorders>
              <w:top w:val="nil"/>
              <w:left w:val="nil"/>
              <w:bottom w:val="single" w:sz="4" w:space="0" w:color="auto"/>
              <w:right w:val="single" w:sz="4" w:space="0" w:color="auto"/>
            </w:tcBorders>
            <w:vAlign w:val="bottom"/>
          </w:tcPr>
          <w:p w:rsidR="00C81B24" w:rsidRPr="00C81B24" w:rsidRDefault="00C81B24" w:rsidP="00CE5850">
            <w:pPr>
              <w:jc w:val="right"/>
              <w:rPr>
                <w:color w:val="000000"/>
                <w:sz w:val="20"/>
              </w:rPr>
            </w:pPr>
            <w:r w:rsidRPr="00C81B24">
              <w:rPr>
                <w:color w:val="000000"/>
                <w:sz w:val="20"/>
              </w:rPr>
              <w:t>63.18</w:t>
            </w:r>
          </w:p>
        </w:tc>
      </w:tr>
      <w:tr w:rsidR="00C81B24" w:rsidRPr="00C81B24" w:rsidTr="00526AD9">
        <w:trPr>
          <w:trHeight w:val="255"/>
          <w:jc w:val="center"/>
        </w:trPr>
        <w:tc>
          <w:tcPr>
            <w:tcW w:w="554" w:type="dxa"/>
            <w:tcBorders>
              <w:top w:val="nil"/>
              <w:left w:val="single" w:sz="4" w:space="0" w:color="auto"/>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126</w:t>
            </w:r>
          </w:p>
        </w:tc>
        <w:tc>
          <w:tcPr>
            <w:tcW w:w="456" w:type="dxa"/>
            <w:tcBorders>
              <w:top w:val="nil"/>
              <w:left w:val="single" w:sz="4" w:space="0" w:color="auto"/>
              <w:bottom w:val="single" w:sz="4" w:space="0" w:color="auto"/>
              <w:right w:val="single" w:sz="4" w:space="0" w:color="auto"/>
            </w:tcBorders>
            <w:vAlign w:val="center"/>
          </w:tcPr>
          <w:p w:rsidR="00C81B24" w:rsidRPr="00C81B24" w:rsidRDefault="00C81B24" w:rsidP="00CE5850">
            <w:pPr>
              <w:jc w:val="right"/>
              <w:rPr>
                <w:sz w:val="20"/>
              </w:rPr>
            </w:pPr>
            <w:r w:rsidRPr="00C81B24">
              <w:rPr>
                <w:sz w:val="20"/>
              </w:rPr>
              <w:t>11</w:t>
            </w:r>
          </w:p>
        </w:tc>
        <w:tc>
          <w:tcPr>
            <w:tcW w:w="4012" w:type="dxa"/>
            <w:tcBorders>
              <w:top w:val="nil"/>
              <w:left w:val="nil"/>
              <w:bottom w:val="single" w:sz="4" w:space="0" w:color="auto"/>
              <w:right w:val="single" w:sz="4" w:space="0" w:color="auto"/>
            </w:tcBorders>
            <w:vAlign w:val="center"/>
          </w:tcPr>
          <w:p w:rsidR="00C81B24" w:rsidRPr="00C81B24" w:rsidRDefault="00C81B24" w:rsidP="00CE5850">
            <w:pPr>
              <w:rPr>
                <w:sz w:val="20"/>
              </w:rPr>
            </w:pPr>
            <w:r w:rsidRPr="00C81B24">
              <w:rPr>
                <w:sz w:val="20"/>
              </w:rPr>
              <w:t>Harrisburg-Lebanon-Carlisle, PA</w:t>
            </w:r>
          </w:p>
        </w:tc>
        <w:tc>
          <w:tcPr>
            <w:tcW w:w="1102" w:type="dxa"/>
            <w:tcBorders>
              <w:top w:val="nil"/>
              <w:left w:val="nil"/>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 xml:space="preserve"> 1,118,834 </w:t>
            </w:r>
          </w:p>
        </w:tc>
        <w:tc>
          <w:tcPr>
            <w:tcW w:w="1155" w:type="dxa"/>
            <w:tcBorders>
              <w:top w:val="nil"/>
              <w:left w:val="nil"/>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 xml:space="preserve"> 1,249,826 </w:t>
            </w:r>
          </w:p>
        </w:tc>
        <w:tc>
          <w:tcPr>
            <w:tcW w:w="979" w:type="dxa"/>
            <w:tcBorders>
              <w:top w:val="nil"/>
              <w:left w:val="nil"/>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90%</w:t>
            </w:r>
          </w:p>
        </w:tc>
        <w:tc>
          <w:tcPr>
            <w:tcW w:w="635" w:type="dxa"/>
            <w:tcBorders>
              <w:top w:val="nil"/>
              <w:left w:val="nil"/>
              <w:bottom w:val="single" w:sz="4" w:space="0" w:color="auto"/>
              <w:right w:val="single" w:sz="4" w:space="0" w:color="auto"/>
            </w:tcBorders>
            <w:noWrap/>
            <w:vAlign w:val="bottom"/>
          </w:tcPr>
          <w:p w:rsidR="00C81B24" w:rsidRPr="00C81B24" w:rsidRDefault="00C81B24" w:rsidP="00CE5850">
            <w:pPr>
              <w:jc w:val="right"/>
              <w:rPr>
                <w:sz w:val="20"/>
              </w:rPr>
            </w:pPr>
            <w:r w:rsidRPr="00C81B24">
              <w:rPr>
                <w:sz w:val="20"/>
              </w:rPr>
              <w:t>3445</w:t>
            </w:r>
          </w:p>
        </w:tc>
        <w:tc>
          <w:tcPr>
            <w:tcW w:w="536" w:type="dxa"/>
            <w:tcBorders>
              <w:top w:val="nil"/>
              <w:left w:val="nil"/>
              <w:bottom w:val="single" w:sz="4" w:space="0" w:color="auto"/>
              <w:right w:val="single" w:sz="4" w:space="0" w:color="auto"/>
            </w:tcBorders>
            <w:vAlign w:val="bottom"/>
          </w:tcPr>
          <w:p w:rsidR="00C81B24" w:rsidRPr="00C81B24" w:rsidRDefault="00C81B24" w:rsidP="00CE5850">
            <w:pPr>
              <w:autoSpaceDE w:val="0"/>
              <w:autoSpaceDN w:val="0"/>
              <w:adjustRightInd w:val="0"/>
              <w:jc w:val="right"/>
              <w:rPr>
                <w:color w:val="000000"/>
                <w:kern w:val="0"/>
                <w:sz w:val="20"/>
              </w:rPr>
            </w:pPr>
            <w:r w:rsidRPr="00C81B24">
              <w:rPr>
                <w:color w:val="000000"/>
                <w:kern w:val="0"/>
                <w:sz w:val="20"/>
              </w:rPr>
              <w:t>3426</w:t>
            </w:r>
          </w:p>
        </w:tc>
        <w:tc>
          <w:tcPr>
            <w:tcW w:w="736" w:type="dxa"/>
            <w:tcBorders>
              <w:top w:val="nil"/>
              <w:left w:val="nil"/>
              <w:bottom w:val="single" w:sz="4" w:space="0" w:color="auto"/>
              <w:right w:val="single" w:sz="4" w:space="0" w:color="auto"/>
            </w:tcBorders>
            <w:vAlign w:val="bottom"/>
          </w:tcPr>
          <w:p w:rsidR="00C81B24" w:rsidRPr="00C81B24" w:rsidRDefault="00C81B24" w:rsidP="00CE5850">
            <w:pPr>
              <w:jc w:val="right"/>
              <w:rPr>
                <w:color w:val="000000"/>
                <w:sz w:val="20"/>
              </w:rPr>
            </w:pPr>
            <w:r w:rsidRPr="00C81B24">
              <w:rPr>
                <w:color w:val="000000"/>
                <w:sz w:val="20"/>
              </w:rPr>
              <w:t>327.56</w:t>
            </w:r>
          </w:p>
        </w:tc>
      </w:tr>
      <w:tr w:rsidR="00C81B24" w:rsidRPr="00C81B24" w:rsidTr="00526AD9">
        <w:trPr>
          <w:trHeight w:val="255"/>
          <w:jc w:val="center"/>
        </w:trPr>
        <w:tc>
          <w:tcPr>
            <w:tcW w:w="554" w:type="dxa"/>
            <w:tcBorders>
              <w:top w:val="nil"/>
              <w:left w:val="single" w:sz="4" w:space="0" w:color="auto"/>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127</w:t>
            </w:r>
          </w:p>
        </w:tc>
        <w:tc>
          <w:tcPr>
            <w:tcW w:w="456" w:type="dxa"/>
            <w:tcBorders>
              <w:top w:val="nil"/>
              <w:left w:val="single" w:sz="4" w:space="0" w:color="auto"/>
              <w:bottom w:val="single" w:sz="4" w:space="0" w:color="auto"/>
              <w:right w:val="single" w:sz="4" w:space="0" w:color="auto"/>
            </w:tcBorders>
            <w:vAlign w:val="center"/>
          </w:tcPr>
          <w:p w:rsidR="00C81B24" w:rsidRPr="00C81B24" w:rsidRDefault="00C81B24" w:rsidP="00CE5850">
            <w:pPr>
              <w:jc w:val="right"/>
              <w:rPr>
                <w:sz w:val="20"/>
              </w:rPr>
            </w:pPr>
            <w:r w:rsidRPr="00C81B24">
              <w:rPr>
                <w:sz w:val="20"/>
              </w:rPr>
              <w:t>14</w:t>
            </w:r>
          </w:p>
        </w:tc>
        <w:tc>
          <w:tcPr>
            <w:tcW w:w="4012" w:type="dxa"/>
            <w:tcBorders>
              <w:top w:val="nil"/>
              <w:left w:val="nil"/>
              <w:bottom w:val="single" w:sz="4" w:space="0" w:color="auto"/>
              <w:right w:val="single" w:sz="4" w:space="0" w:color="auto"/>
            </w:tcBorders>
            <w:vAlign w:val="center"/>
          </w:tcPr>
          <w:p w:rsidR="00C81B24" w:rsidRPr="00C81B24" w:rsidRDefault="00C81B24" w:rsidP="00CE5850">
            <w:pPr>
              <w:rPr>
                <w:sz w:val="20"/>
              </w:rPr>
            </w:pPr>
            <w:r w:rsidRPr="00C81B24">
              <w:rPr>
                <w:sz w:val="20"/>
              </w:rPr>
              <w:t>Salisbury, MD-DE-VA</w:t>
            </w:r>
          </w:p>
        </w:tc>
        <w:tc>
          <w:tcPr>
            <w:tcW w:w="1102" w:type="dxa"/>
            <w:tcBorders>
              <w:top w:val="nil"/>
              <w:left w:val="nil"/>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 xml:space="preserve"> 381,992 </w:t>
            </w:r>
          </w:p>
        </w:tc>
        <w:tc>
          <w:tcPr>
            <w:tcW w:w="1155" w:type="dxa"/>
            <w:tcBorders>
              <w:top w:val="nil"/>
              <w:left w:val="nil"/>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 xml:space="preserve"> 423,086 </w:t>
            </w:r>
          </w:p>
        </w:tc>
        <w:tc>
          <w:tcPr>
            <w:tcW w:w="979" w:type="dxa"/>
            <w:tcBorders>
              <w:top w:val="nil"/>
              <w:left w:val="nil"/>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90%</w:t>
            </w:r>
          </w:p>
        </w:tc>
        <w:tc>
          <w:tcPr>
            <w:tcW w:w="635" w:type="dxa"/>
            <w:tcBorders>
              <w:top w:val="nil"/>
              <w:left w:val="nil"/>
              <w:bottom w:val="single" w:sz="4" w:space="0" w:color="auto"/>
              <w:right w:val="single" w:sz="4" w:space="0" w:color="auto"/>
            </w:tcBorders>
            <w:noWrap/>
            <w:vAlign w:val="bottom"/>
          </w:tcPr>
          <w:p w:rsidR="00C81B24" w:rsidRPr="00C81B24" w:rsidRDefault="00C81B24" w:rsidP="00CE5850">
            <w:pPr>
              <w:jc w:val="right"/>
              <w:rPr>
                <w:sz w:val="20"/>
              </w:rPr>
            </w:pPr>
            <w:r w:rsidRPr="00C81B24">
              <w:rPr>
                <w:sz w:val="20"/>
              </w:rPr>
              <w:t>5152</w:t>
            </w:r>
          </w:p>
        </w:tc>
        <w:tc>
          <w:tcPr>
            <w:tcW w:w="536" w:type="dxa"/>
            <w:tcBorders>
              <w:top w:val="nil"/>
              <w:left w:val="nil"/>
              <w:bottom w:val="single" w:sz="4" w:space="0" w:color="auto"/>
              <w:right w:val="single" w:sz="4" w:space="0" w:color="auto"/>
            </w:tcBorders>
            <w:vAlign w:val="bottom"/>
          </w:tcPr>
          <w:p w:rsidR="00C81B24" w:rsidRPr="00C81B24" w:rsidRDefault="00C81B24" w:rsidP="00CE5850">
            <w:pPr>
              <w:autoSpaceDE w:val="0"/>
              <w:autoSpaceDN w:val="0"/>
              <w:adjustRightInd w:val="0"/>
              <w:jc w:val="right"/>
              <w:rPr>
                <w:color w:val="000000"/>
                <w:kern w:val="0"/>
                <w:sz w:val="20"/>
              </w:rPr>
            </w:pPr>
            <w:r w:rsidRPr="00C81B24">
              <w:rPr>
                <w:color w:val="000000"/>
                <w:kern w:val="0"/>
                <w:sz w:val="20"/>
              </w:rPr>
              <w:t>5624</w:t>
            </w:r>
          </w:p>
        </w:tc>
        <w:tc>
          <w:tcPr>
            <w:tcW w:w="736" w:type="dxa"/>
            <w:tcBorders>
              <w:top w:val="nil"/>
              <w:left w:val="nil"/>
              <w:bottom w:val="single" w:sz="4" w:space="0" w:color="auto"/>
              <w:right w:val="single" w:sz="4" w:space="0" w:color="auto"/>
            </w:tcBorders>
            <w:vAlign w:val="bottom"/>
          </w:tcPr>
          <w:p w:rsidR="00C81B24" w:rsidRPr="00C81B24" w:rsidRDefault="00C81B24" w:rsidP="00CE5850">
            <w:pPr>
              <w:jc w:val="right"/>
              <w:rPr>
                <w:color w:val="000000"/>
                <w:sz w:val="20"/>
              </w:rPr>
            </w:pPr>
            <w:r w:rsidRPr="00C81B24">
              <w:rPr>
                <w:color w:val="000000"/>
                <w:sz w:val="20"/>
              </w:rPr>
              <w:t>151.96</w:t>
            </w:r>
          </w:p>
        </w:tc>
      </w:tr>
      <w:tr w:rsidR="00C81B24" w:rsidRPr="00C81B24" w:rsidTr="00526AD9">
        <w:trPr>
          <w:trHeight w:val="255"/>
          <w:jc w:val="center"/>
        </w:trPr>
        <w:tc>
          <w:tcPr>
            <w:tcW w:w="554" w:type="dxa"/>
            <w:tcBorders>
              <w:top w:val="nil"/>
              <w:left w:val="single" w:sz="4" w:space="0" w:color="auto"/>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128</w:t>
            </w:r>
          </w:p>
        </w:tc>
        <w:tc>
          <w:tcPr>
            <w:tcW w:w="456" w:type="dxa"/>
            <w:tcBorders>
              <w:top w:val="nil"/>
              <w:left w:val="single" w:sz="4" w:space="0" w:color="auto"/>
              <w:bottom w:val="single" w:sz="4" w:space="0" w:color="auto"/>
              <w:right w:val="single" w:sz="4" w:space="0" w:color="auto"/>
            </w:tcBorders>
            <w:vAlign w:val="center"/>
          </w:tcPr>
          <w:p w:rsidR="00C81B24" w:rsidRPr="00C81B24" w:rsidRDefault="00C81B24" w:rsidP="00CE5850">
            <w:pPr>
              <w:jc w:val="right"/>
              <w:rPr>
                <w:sz w:val="20"/>
              </w:rPr>
            </w:pPr>
            <w:r w:rsidRPr="00C81B24">
              <w:rPr>
                <w:sz w:val="20"/>
              </w:rPr>
              <w:t>21</w:t>
            </w:r>
          </w:p>
        </w:tc>
        <w:tc>
          <w:tcPr>
            <w:tcW w:w="4012" w:type="dxa"/>
            <w:tcBorders>
              <w:top w:val="nil"/>
              <w:left w:val="nil"/>
              <w:bottom w:val="single" w:sz="4" w:space="0" w:color="auto"/>
              <w:right w:val="single" w:sz="4" w:space="0" w:color="auto"/>
            </w:tcBorders>
            <w:vAlign w:val="center"/>
          </w:tcPr>
          <w:p w:rsidR="00C81B24" w:rsidRPr="00C81B24" w:rsidRDefault="00C81B24" w:rsidP="00CE5850">
            <w:pPr>
              <w:rPr>
                <w:sz w:val="20"/>
              </w:rPr>
            </w:pPr>
            <w:r w:rsidRPr="00C81B24">
              <w:rPr>
                <w:sz w:val="20"/>
              </w:rPr>
              <w:t>Greenville, NC</w:t>
            </w:r>
          </w:p>
        </w:tc>
        <w:tc>
          <w:tcPr>
            <w:tcW w:w="1102" w:type="dxa"/>
            <w:tcBorders>
              <w:top w:val="nil"/>
              <w:left w:val="nil"/>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 xml:space="preserve"> 843,035 </w:t>
            </w:r>
          </w:p>
        </w:tc>
        <w:tc>
          <w:tcPr>
            <w:tcW w:w="1155" w:type="dxa"/>
            <w:tcBorders>
              <w:top w:val="nil"/>
              <w:left w:val="nil"/>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 xml:space="preserve"> 939,700 </w:t>
            </w:r>
          </w:p>
        </w:tc>
        <w:tc>
          <w:tcPr>
            <w:tcW w:w="979" w:type="dxa"/>
            <w:tcBorders>
              <w:top w:val="nil"/>
              <w:left w:val="nil"/>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90%</w:t>
            </w:r>
          </w:p>
        </w:tc>
        <w:tc>
          <w:tcPr>
            <w:tcW w:w="635" w:type="dxa"/>
            <w:tcBorders>
              <w:top w:val="nil"/>
              <w:left w:val="nil"/>
              <w:bottom w:val="single" w:sz="4" w:space="0" w:color="auto"/>
              <w:right w:val="single" w:sz="4" w:space="0" w:color="auto"/>
            </w:tcBorders>
            <w:noWrap/>
            <w:vAlign w:val="bottom"/>
          </w:tcPr>
          <w:p w:rsidR="00C81B24" w:rsidRPr="00C81B24" w:rsidRDefault="00C81B24" w:rsidP="00CE5850">
            <w:pPr>
              <w:jc w:val="right"/>
              <w:rPr>
                <w:sz w:val="20"/>
              </w:rPr>
            </w:pPr>
            <w:r w:rsidRPr="00C81B24">
              <w:rPr>
                <w:sz w:val="20"/>
              </w:rPr>
              <w:t>2602</w:t>
            </w:r>
          </w:p>
        </w:tc>
        <w:tc>
          <w:tcPr>
            <w:tcW w:w="536" w:type="dxa"/>
            <w:tcBorders>
              <w:top w:val="nil"/>
              <w:left w:val="nil"/>
              <w:bottom w:val="single" w:sz="4" w:space="0" w:color="auto"/>
              <w:right w:val="single" w:sz="4" w:space="0" w:color="auto"/>
            </w:tcBorders>
            <w:vAlign w:val="bottom"/>
          </w:tcPr>
          <w:p w:rsidR="00C81B24" w:rsidRPr="00C81B24" w:rsidRDefault="00C81B24" w:rsidP="00CE5850">
            <w:pPr>
              <w:autoSpaceDE w:val="0"/>
              <w:autoSpaceDN w:val="0"/>
              <w:adjustRightInd w:val="0"/>
              <w:jc w:val="right"/>
              <w:rPr>
                <w:color w:val="000000"/>
                <w:kern w:val="0"/>
                <w:sz w:val="20"/>
              </w:rPr>
            </w:pPr>
            <w:r w:rsidRPr="00C81B24">
              <w:rPr>
                <w:color w:val="000000"/>
                <w:kern w:val="0"/>
                <w:sz w:val="20"/>
              </w:rPr>
              <w:t>2617</w:t>
            </w:r>
          </w:p>
        </w:tc>
        <w:tc>
          <w:tcPr>
            <w:tcW w:w="736" w:type="dxa"/>
            <w:tcBorders>
              <w:top w:val="nil"/>
              <w:left w:val="nil"/>
              <w:bottom w:val="single" w:sz="4" w:space="0" w:color="auto"/>
              <w:right w:val="single" w:sz="4" w:space="0" w:color="auto"/>
            </w:tcBorders>
            <w:vAlign w:val="bottom"/>
          </w:tcPr>
          <w:p w:rsidR="00C81B24" w:rsidRPr="00C81B24" w:rsidRDefault="00C81B24" w:rsidP="00CE5850">
            <w:pPr>
              <w:jc w:val="right"/>
              <w:rPr>
                <w:color w:val="000000"/>
                <w:sz w:val="20"/>
              </w:rPr>
            </w:pPr>
            <w:r w:rsidRPr="00C81B24">
              <w:rPr>
                <w:color w:val="000000"/>
                <w:sz w:val="20"/>
              </w:rPr>
              <w:t>109.57</w:t>
            </w:r>
          </w:p>
        </w:tc>
      </w:tr>
      <w:tr w:rsidR="00C81B24" w:rsidRPr="00C81B24" w:rsidTr="00526AD9">
        <w:trPr>
          <w:trHeight w:val="255"/>
          <w:jc w:val="center"/>
        </w:trPr>
        <w:tc>
          <w:tcPr>
            <w:tcW w:w="554" w:type="dxa"/>
            <w:tcBorders>
              <w:top w:val="nil"/>
              <w:left w:val="single" w:sz="4" w:space="0" w:color="auto"/>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129</w:t>
            </w:r>
          </w:p>
        </w:tc>
        <w:tc>
          <w:tcPr>
            <w:tcW w:w="456" w:type="dxa"/>
            <w:tcBorders>
              <w:top w:val="nil"/>
              <w:left w:val="single" w:sz="4" w:space="0" w:color="auto"/>
              <w:bottom w:val="single" w:sz="4" w:space="0" w:color="auto"/>
              <w:right w:val="single" w:sz="4" w:space="0" w:color="auto"/>
            </w:tcBorders>
            <w:vAlign w:val="center"/>
          </w:tcPr>
          <w:p w:rsidR="00C81B24" w:rsidRPr="00C81B24" w:rsidRDefault="00C81B24" w:rsidP="00CE5850">
            <w:pPr>
              <w:jc w:val="right"/>
              <w:rPr>
                <w:sz w:val="20"/>
              </w:rPr>
            </w:pPr>
            <w:r w:rsidRPr="00C81B24">
              <w:rPr>
                <w:sz w:val="20"/>
              </w:rPr>
              <w:t>68</w:t>
            </w:r>
          </w:p>
        </w:tc>
        <w:tc>
          <w:tcPr>
            <w:tcW w:w="4012" w:type="dxa"/>
            <w:tcBorders>
              <w:top w:val="nil"/>
              <w:left w:val="nil"/>
              <w:bottom w:val="single" w:sz="4" w:space="0" w:color="auto"/>
              <w:right w:val="single" w:sz="4" w:space="0" w:color="auto"/>
            </w:tcBorders>
            <w:vAlign w:val="center"/>
          </w:tcPr>
          <w:p w:rsidR="00C81B24" w:rsidRPr="00C81B24" w:rsidRDefault="00C81B24" w:rsidP="00CE5850">
            <w:pPr>
              <w:rPr>
                <w:sz w:val="20"/>
              </w:rPr>
            </w:pPr>
            <w:r w:rsidRPr="00C81B24">
              <w:rPr>
                <w:sz w:val="20"/>
              </w:rPr>
              <w:t>Champaign-Urbana, IL</w:t>
            </w:r>
          </w:p>
        </w:tc>
        <w:tc>
          <w:tcPr>
            <w:tcW w:w="1102" w:type="dxa"/>
            <w:tcBorders>
              <w:top w:val="nil"/>
              <w:left w:val="nil"/>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 xml:space="preserve"> 580,227 </w:t>
            </w:r>
          </w:p>
        </w:tc>
        <w:tc>
          <w:tcPr>
            <w:tcW w:w="1155" w:type="dxa"/>
            <w:tcBorders>
              <w:top w:val="nil"/>
              <w:left w:val="nil"/>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 xml:space="preserve"> 644,710 </w:t>
            </w:r>
          </w:p>
        </w:tc>
        <w:tc>
          <w:tcPr>
            <w:tcW w:w="979" w:type="dxa"/>
            <w:tcBorders>
              <w:top w:val="nil"/>
              <w:left w:val="nil"/>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90%</w:t>
            </w:r>
          </w:p>
        </w:tc>
        <w:tc>
          <w:tcPr>
            <w:tcW w:w="635" w:type="dxa"/>
            <w:tcBorders>
              <w:top w:val="nil"/>
              <w:left w:val="nil"/>
              <w:bottom w:val="single" w:sz="4" w:space="0" w:color="auto"/>
              <w:right w:val="single" w:sz="4" w:space="0" w:color="auto"/>
            </w:tcBorders>
            <w:noWrap/>
            <w:vAlign w:val="bottom"/>
          </w:tcPr>
          <w:p w:rsidR="00C81B24" w:rsidRPr="00C81B24" w:rsidRDefault="00C81B24" w:rsidP="00CE5850">
            <w:pPr>
              <w:jc w:val="right"/>
              <w:rPr>
                <w:sz w:val="20"/>
              </w:rPr>
            </w:pPr>
            <w:r w:rsidRPr="00C81B24">
              <w:rPr>
                <w:sz w:val="20"/>
              </w:rPr>
              <w:t>3682</w:t>
            </w:r>
          </w:p>
        </w:tc>
        <w:tc>
          <w:tcPr>
            <w:tcW w:w="536" w:type="dxa"/>
            <w:tcBorders>
              <w:top w:val="nil"/>
              <w:left w:val="nil"/>
              <w:bottom w:val="single" w:sz="4" w:space="0" w:color="auto"/>
              <w:right w:val="single" w:sz="4" w:space="0" w:color="auto"/>
            </w:tcBorders>
            <w:vAlign w:val="bottom"/>
          </w:tcPr>
          <w:p w:rsidR="00C81B24" w:rsidRPr="00C81B24" w:rsidRDefault="00C81B24" w:rsidP="00CE5850">
            <w:pPr>
              <w:autoSpaceDE w:val="0"/>
              <w:autoSpaceDN w:val="0"/>
              <w:adjustRightInd w:val="0"/>
              <w:jc w:val="right"/>
              <w:rPr>
                <w:color w:val="000000"/>
                <w:kern w:val="0"/>
                <w:sz w:val="20"/>
              </w:rPr>
            </w:pPr>
            <w:r w:rsidRPr="00C81B24">
              <w:rPr>
                <w:color w:val="000000"/>
                <w:kern w:val="0"/>
                <w:sz w:val="20"/>
              </w:rPr>
              <w:t>3634</w:t>
            </w:r>
          </w:p>
        </w:tc>
        <w:tc>
          <w:tcPr>
            <w:tcW w:w="736" w:type="dxa"/>
            <w:tcBorders>
              <w:top w:val="nil"/>
              <w:left w:val="nil"/>
              <w:bottom w:val="single" w:sz="4" w:space="0" w:color="auto"/>
              <w:right w:val="single" w:sz="4" w:space="0" w:color="auto"/>
            </w:tcBorders>
            <w:vAlign w:val="bottom"/>
          </w:tcPr>
          <w:p w:rsidR="00C81B24" w:rsidRPr="00C81B24" w:rsidRDefault="00C81B24" w:rsidP="00CE5850">
            <w:pPr>
              <w:jc w:val="right"/>
              <w:rPr>
                <w:color w:val="000000"/>
                <w:sz w:val="20"/>
              </w:rPr>
            </w:pPr>
            <w:r w:rsidRPr="00C81B24">
              <w:rPr>
                <w:color w:val="000000"/>
                <w:sz w:val="20"/>
              </w:rPr>
              <w:t>75.45</w:t>
            </w:r>
          </w:p>
        </w:tc>
      </w:tr>
      <w:tr w:rsidR="00C81B24" w:rsidRPr="00C81B24" w:rsidTr="00526AD9">
        <w:trPr>
          <w:trHeight w:val="255"/>
          <w:jc w:val="center"/>
        </w:trPr>
        <w:tc>
          <w:tcPr>
            <w:tcW w:w="554" w:type="dxa"/>
            <w:tcBorders>
              <w:top w:val="nil"/>
              <w:left w:val="single" w:sz="4" w:space="0" w:color="auto"/>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130</w:t>
            </w:r>
          </w:p>
        </w:tc>
        <w:tc>
          <w:tcPr>
            <w:tcW w:w="456" w:type="dxa"/>
            <w:tcBorders>
              <w:top w:val="nil"/>
              <w:left w:val="single" w:sz="4" w:space="0" w:color="auto"/>
              <w:bottom w:val="single" w:sz="4" w:space="0" w:color="auto"/>
              <w:right w:val="single" w:sz="4" w:space="0" w:color="auto"/>
            </w:tcBorders>
            <w:vAlign w:val="center"/>
          </w:tcPr>
          <w:p w:rsidR="00C81B24" w:rsidRPr="00C81B24" w:rsidRDefault="00C81B24" w:rsidP="00CE5850">
            <w:pPr>
              <w:jc w:val="right"/>
              <w:rPr>
                <w:sz w:val="20"/>
              </w:rPr>
            </w:pPr>
            <w:r w:rsidRPr="00C81B24">
              <w:rPr>
                <w:sz w:val="20"/>
              </w:rPr>
              <w:t>109</w:t>
            </w:r>
          </w:p>
        </w:tc>
        <w:tc>
          <w:tcPr>
            <w:tcW w:w="4012" w:type="dxa"/>
            <w:tcBorders>
              <w:top w:val="nil"/>
              <w:left w:val="nil"/>
              <w:bottom w:val="single" w:sz="4" w:space="0" w:color="auto"/>
              <w:right w:val="single" w:sz="4" w:space="0" w:color="auto"/>
            </w:tcBorders>
            <w:vAlign w:val="center"/>
          </w:tcPr>
          <w:p w:rsidR="00C81B24" w:rsidRPr="00C81B24" w:rsidRDefault="00C81B24" w:rsidP="00CE5850">
            <w:pPr>
              <w:rPr>
                <w:sz w:val="20"/>
              </w:rPr>
            </w:pPr>
            <w:r w:rsidRPr="00C81B24">
              <w:rPr>
                <w:sz w:val="20"/>
              </w:rPr>
              <w:t>Duluth-Superior, MN-WI</w:t>
            </w:r>
          </w:p>
        </w:tc>
        <w:tc>
          <w:tcPr>
            <w:tcW w:w="1102" w:type="dxa"/>
            <w:tcBorders>
              <w:top w:val="nil"/>
              <w:left w:val="nil"/>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 xml:space="preserve"> 318,459 </w:t>
            </w:r>
          </w:p>
        </w:tc>
        <w:tc>
          <w:tcPr>
            <w:tcW w:w="1155" w:type="dxa"/>
            <w:tcBorders>
              <w:top w:val="nil"/>
              <w:left w:val="nil"/>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 xml:space="preserve"> 354,104 </w:t>
            </w:r>
          </w:p>
        </w:tc>
        <w:tc>
          <w:tcPr>
            <w:tcW w:w="979" w:type="dxa"/>
            <w:tcBorders>
              <w:top w:val="nil"/>
              <w:left w:val="nil"/>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90%</w:t>
            </w:r>
          </w:p>
        </w:tc>
        <w:tc>
          <w:tcPr>
            <w:tcW w:w="635" w:type="dxa"/>
            <w:tcBorders>
              <w:top w:val="nil"/>
              <w:left w:val="nil"/>
              <w:bottom w:val="single" w:sz="4" w:space="0" w:color="auto"/>
              <w:right w:val="single" w:sz="4" w:space="0" w:color="auto"/>
            </w:tcBorders>
            <w:noWrap/>
            <w:vAlign w:val="bottom"/>
          </w:tcPr>
          <w:p w:rsidR="00C81B24" w:rsidRPr="00C81B24" w:rsidRDefault="00C81B24" w:rsidP="00CE5850">
            <w:pPr>
              <w:jc w:val="right"/>
              <w:rPr>
                <w:sz w:val="20"/>
              </w:rPr>
            </w:pPr>
            <w:r w:rsidRPr="00C81B24">
              <w:rPr>
                <w:sz w:val="20"/>
              </w:rPr>
              <w:t>4464</w:t>
            </w:r>
          </w:p>
        </w:tc>
        <w:tc>
          <w:tcPr>
            <w:tcW w:w="536" w:type="dxa"/>
            <w:tcBorders>
              <w:top w:val="nil"/>
              <w:left w:val="nil"/>
              <w:bottom w:val="single" w:sz="4" w:space="0" w:color="auto"/>
              <w:right w:val="single" w:sz="4" w:space="0" w:color="auto"/>
            </w:tcBorders>
            <w:vAlign w:val="bottom"/>
          </w:tcPr>
          <w:p w:rsidR="00C81B24" w:rsidRPr="00C81B24" w:rsidRDefault="00C81B24" w:rsidP="00CE5850">
            <w:pPr>
              <w:autoSpaceDE w:val="0"/>
              <w:autoSpaceDN w:val="0"/>
              <w:adjustRightInd w:val="0"/>
              <w:jc w:val="right"/>
              <w:rPr>
                <w:color w:val="000000"/>
                <w:kern w:val="0"/>
                <w:sz w:val="20"/>
              </w:rPr>
            </w:pPr>
            <w:r w:rsidRPr="00C81B24">
              <w:rPr>
                <w:color w:val="000000"/>
                <w:kern w:val="0"/>
                <w:sz w:val="20"/>
              </w:rPr>
              <w:t>4331</w:t>
            </w:r>
          </w:p>
        </w:tc>
        <w:tc>
          <w:tcPr>
            <w:tcW w:w="736" w:type="dxa"/>
            <w:tcBorders>
              <w:top w:val="nil"/>
              <w:left w:val="nil"/>
              <w:bottom w:val="single" w:sz="4" w:space="0" w:color="auto"/>
              <w:right w:val="single" w:sz="4" w:space="0" w:color="auto"/>
            </w:tcBorders>
            <w:vAlign w:val="bottom"/>
          </w:tcPr>
          <w:p w:rsidR="00C81B24" w:rsidRPr="00C81B24" w:rsidRDefault="00C81B24" w:rsidP="00CE5850">
            <w:pPr>
              <w:jc w:val="right"/>
              <w:rPr>
                <w:color w:val="000000"/>
                <w:sz w:val="20"/>
              </w:rPr>
            </w:pPr>
            <w:r w:rsidRPr="00C81B24">
              <w:rPr>
                <w:color w:val="000000"/>
                <w:sz w:val="20"/>
              </w:rPr>
              <w:t>19.96</w:t>
            </w:r>
          </w:p>
        </w:tc>
      </w:tr>
      <w:tr w:rsidR="00C81B24" w:rsidRPr="00C81B24" w:rsidTr="00526AD9">
        <w:trPr>
          <w:trHeight w:val="255"/>
          <w:jc w:val="center"/>
        </w:trPr>
        <w:tc>
          <w:tcPr>
            <w:tcW w:w="554" w:type="dxa"/>
            <w:tcBorders>
              <w:top w:val="nil"/>
              <w:left w:val="single" w:sz="4" w:space="0" w:color="auto"/>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131</w:t>
            </w:r>
          </w:p>
        </w:tc>
        <w:tc>
          <w:tcPr>
            <w:tcW w:w="456" w:type="dxa"/>
            <w:tcBorders>
              <w:top w:val="nil"/>
              <w:left w:val="single" w:sz="4" w:space="0" w:color="auto"/>
              <w:bottom w:val="single" w:sz="4" w:space="0" w:color="auto"/>
              <w:right w:val="single" w:sz="4" w:space="0" w:color="auto"/>
            </w:tcBorders>
            <w:vAlign w:val="center"/>
          </w:tcPr>
          <w:p w:rsidR="00C81B24" w:rsidRPr="00C81B24" w:rsidRDefault="00C81B24" w:rsidP="00CE5850">
            <w:pPr>
              <w:jc w:val="right"/>
              <w:rPr>
                <w:sz w:val="20"/>
              </w:rPr>
            </w:pPr>
            <w:r w:rsidRPr="00C81B24">
              <w:rPr>
                <w:sz w:val="20"/>
              </w:rPr>
              <w:t>117</w:t>
            </w:r>
          </w:p>
        </w:tc>
        <w:tc>
          <w:tcPr>
            <w:tcW w:w="4012" w:type="dxa"/>
            <w:tcBorders>
              <w:top w:val="nil"/>
              <w:left w:val="nil"/>
              <w:bottom w:val="single" w:sz="4" w:space="0" w:color="auto"/>
              <w:right w:val="single" w:sz="4" w:space="0" w:color="auto"/>
            </w:tcBorders>
            <w:vAlign w:val="center"/>
          </w:tcPr>
          <w:p w:rsidR="00C81B24" w:rsidRPr="00C81B24" w:rsidRDefault="00C81B24" w:rsidP="00CE5850">
            <w:pPr>
              <w:rPr>
                <w:sz w:val="20"/>
              </w:rPr>
            </w:pPr>
            <w:r w:rsidRPr="00C81B24">
              <w:rPr>
                <w:sz w:val="20"/>
              </w:rPr>
              <w:t>Sioux City, IA-NE-SD</w:t>
            </w:r>
          </w:p>
        </w:tc>
        <w:tc>
          <w:tcPr>
            <w:tcW w:w="1102" w:type="dxa"/>
            <w:tcBorders>
              <w:top w:val="nil"/>
              <w:left w:val="nil"/>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 xml:space="preserve"> 227,061 </w:t>
            </w:r>
          </w:p>
        </w:tc>
        <w:tc>
          <w:tcPr>
            <w:tcW w:w="1155" w:type="dxa"/>
            <w:tcBorders>
              <w:top w:val="nil"/>
              <w:left w:val="nil"/>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 xml:space="preserve"> 252,468 </w:t>
            </w:r>
          </w:p>
        </w:tc>
        <w:tc>
          <w:tcPr>
            <w:tcW w:w="979" w:type="dxa"/>
            <w:tcBorders>
              <w:top w:val="nil"/>
              <w:left w:val="nil"/>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90%</w:t>
            </w:r>
          </w:p>
        </w:tc>
        <w:tc>
          <w:tcPr>
            <w:tcW w:w="635" w:type="dxa"/>
            <w:tcBorders>
              <w:top w:val="nil"/>
              <w:left w:val="nil"/>
              <w:bottom w:val="single" w:sz="4" w:space="0" w:color="auto"/>
              <w:right w:val="single" w:sz="4" w:space="0" w:color="auto"/>
            </w:tcBorders>
            <w:noWrap/>
            <w:vAlign w:val="bottom"/>
          </w:tcPr>
          <w:p w:rsidR="00C81B24" w:rsidRPr="00C81B24" w:rsidRDefault="00C81B24" w:rsidP="00CE5850">
            <w:pPr>
              <w:jc w:val="right"/>
              <w:rPr>
                <w:sz w:val="20"/>
              </w:rPr>
            </w:pPr>
            <w:r w:rsidRPr="00C81B24">
              <w:rPr>
                <w:sz w:val="20"/>
              </w:rPr>
              <w:t>4532</w:t>
            </w:r>
          </w:p>
        </w:tc>
        <w:tc>
          <w:tcPr>
            <w:tcW w:w="536" w:type="dxa"/>
            <w:tcBorders>
              <w:top w:val="nil"/>
              <w:left w:val="nil"/>
              <w:bottom w:val="single" w:sz="4" w:space="0" w:color="auto"/>
              <w:right w:val="single" w:sz="4" w:space="0" w:color="auto"/>
            </w:tcBorders>
            <w:vAlign w:val="bottom"/>
          </w:tcPr>
          <w:p w:rsidR="00C81B24" w:rsidRPr="00C81B24" w:rsidRDefault="00C81B24" w:rsidP="00CE5850">
            <w:pPr>
              <w:autoSpaceDE w:val="0"/>
              <w:autoSpaceDN w:val="0"/>
              <w:adjustRightInd w:val="0"/>
              <w:jc w:val="right"/>
              <w:rPr>
                <w:color w:val="000000"/>
                <w:kern w:val="0"/>
                <w:sz w:val="20"/>
              </w:rPr>
            </w:pPr>
            <w:r w:rsidRPr="00C81B24">
              <w:rPr>
                <w:color w:val="000000"/>
                <w:kern w:val="0"/>
                <w:sz w:val="20"/>
              </w:rPr>
              <w:t>4332</w:t>
            </w:r>
          </w:p>
        </w:tc>
        <w:tc>
          <w:tcPr>
            <w:tcW w:w="736" w:type="dxa"/>
            <w:tcBorders>
              <w:top w:val="nil"/>
              <w:left w:val="nil"/>
              <w:bottom w:val="single" w:sz="4" w:space="0" w:color="auto"/>
              <w:right w:val="single" w:sz="4" w:space="0" w:color="auto"/>
            </w:tcBorders>
            <w:vAlign w:val="bottom"/>
          </w:tcPr>
          <w:p w:rsidR="00C81B24" w:rsidRPr="00C81B24" w:rsidRDefault="00C81B24" w:rsidP="00CE5850">
            <w:pPr>
              <w:jc w:val="right"/>
              <w:rPr>
                <w:color w:val="000000"/>
                <w:sz w:val="20"/>
              </w:rPr>
            </w:pPr>
            <w:r w:rsidRPr="00C81B24">
              <w:rPr>
                <w:color w:val="000000"/>
                <w:sz w:val="20"/>
              </w:rPr>
              <w:t>39.54</w:t>
            </w:r>
          </w:p>
        </w:tc>
      </w:tr>
      <w:tr w:rsidR="00C81B24" w:rsidRPr="00C81B24" w:rsidTr="00526AD9">
        <w:trPr>
          <w:trHeight w:val="255"/>
          <w:jc w:val="center"/>
        </w:trPr>
        <w:tc>
          <w:tcPr>
            <w:tcW w:w="554" w:type="dxa"/>
            <w:tcBorders>
              <w:top w:val="nil"/>
              <w:left w:val="single" w:sz="4" w:space="0" w:color="auto"/>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132</w:t>
            </w:r>
          </w:p>
        </w:tc>
        <w:tc>
          <w:tcPr>
            <w:tcW w:w="456" w:type="dxa"/>
            <w:tcBorders>
              <w:top w:val="nil"/>
              <w:left w:val="single" w:sz="4" w:space="0" w:color="auto"/>
              <w:bottom w:val="single" w:sz="4" w:space="0" w:color="auto"/>
              <w:right w:val="single" w:sz="4" w:space="0" w:color="auto"/>
            </w:tcBorders>
            <w:vAlign w:val="center"/>
          </w:tcPr>
          <w:p w:rsidR="00C81B24" w:rsidRPr="00C81B24" w:rsidRDefault="00C81B24" w:rsidP="00CE5850">
            <w:pPr>
              <w:jc w:val="right"/>
              <w:rPr>
                <w:sz w:val="20"/>
              </w:rPr>
            </w:pPr>
            <w:r w:rsidRPr="00C81B24">
              <w:rPr>
                <w:sz w:val="20"/>
              </w:rPr>
              <w:t>123</w:t>
            </w:r>
          </w:p>
        </w:tc>
        <w:tc>
          <w:tcPr>
            <w:tcW w:w="4012" w:type="dxa"/>
            <w:tcBorders>
              <w:top w:val="nil"/>
              <w:left w:val="nil"/>
              <w:bottom w:val="single" w:sz="4" w:space="0" w:color="auto"/>
              <w:right w:val="single" w:sz="4" w:space="0" w:color="auto"/>
            </w:tcBorders>
            <w:vAlign w:val="center"/>
          </w:tcPr>
          <w:p w:rsidR="00C81B24" w:rsidRPr="00C81B24" w:rsidRDefault="00C81B24" w:rsidP="00CE5850">
            <w:pPr>
              <w:rPr>
                <w:sz w:val="20"/>
              </w:rPr>
            </w:pPr>
            <w:r w:rsidRPr="00C81B24">
              <w:rPr>
                <w:sz w:val="20"/>
              </w:rPr>
              <w:t>Topeka, KS</w:t>
            </w:r>
          </w:p>
        </w:tc>
        <w:tc>
          <w:tcPr>
            <w:tcW w:w="1102" w:type="dxa"/>
            <w:tcBorders>
              <w:top w:val="nil"/>
              <w:left w:val="nil"/>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 xml:space="preserve"> 432,247 </w:t>
            </w:r>
          </w:p>
        </w:tc>
        <w:tc>
          <w:tcPr>
            <w:tcW w:w="1155" w:type="dxa"/>
            <w:tcBorders>
              <w:top w:val="nil"/>
              <w:left w:val="nil"/>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 xml:space="preserve"> 480,174 </w:t>
            </w:r>
          </w:p>
        </w:tc>
        <w:tc>
          <w:tcPr>
            <w:tcW w:w="979" w:type="dxa"/>
            <w:tcBorders>
              <w:top w:val="nil"/>
              <w:left w:val="nil"/>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90%</w:t>
            </w:r>
          </w:p>
        </w:tc>
        <w:tc>
          <w:tcPr>
            <w:tcW w:w="635" w:type="dxa"/>
            <w:tcBorders>
              <w:top w:val="nil"/>
              <w:left w:val="nil"/>
              <w:bottom w:val="single" w:sz="4" w:space="0" w:color="auto"/>
              <w:right w:val="single" w:sz="4" w:space="0" w:color="auto"/>
            </w:tcBorders>
            <w:noWrap/>
            <w:vAlign w:val="bottom"/>
          </w:tcPr>
          <w:p w:rsidR="00C81B24" w:rsidRPr="00C81B24" w:rsidRDefault="00C81B24" w:rsidP="00CE5850">
            <w:pPr>
              <w:jc w:val="right"/>
              <w:rPr>
                <w:sz w:val="20"/>
              </w:rPr>
            </w:pPr>
            <w:r w:rsidRPr="00C81B24">
              <w:rPr>
                <w:sz w:val="20"/>
              </w:rPr>
              <w:t>2843</w:t>
            </w:r>
          </w:p>
        </w:tc>
        <w:tc>
          <w:tcPr>
            <w:tcW w:w="536" w:type="dxa"/>
            <w:tcBorders>
              <w:top w:val="nil"/>
              <w:left w:val="nil"/>
              <w:bottom w:val="single" w:sz="4" w:space="0" w:color="auto"/>
              <w:right w:val="single" w:sz="4" w:space="0" w:color="auto"/>
            </w:tcBorders>
            <w:vAlign w:val="bottom"/>
          </w:tcPr>
          <w:p w:rsidR="00C81B24" w:rsidRPr="00C81B24" w:rsidRDefault="00C81B24" w:rsidP="00CE5850">
            <w:pPr>
              <w:autoSpaceDE w:val="0"/>
              <w:autoSpaceDN w:val="0"/>
              <w:adjustRightInd w:val="0"/>
              <w:jc w:val="right"/>
              <w:rPr>
                <w:color w:val="000000"/>
                <w:kern w:val="0"/>
                <w:sz w:val="20"/>
              </w:rPr>
            </w:pPr>
            <w:r w:rsidRPr="00C81B24">
              <w:rPr>
                <w:color w:val="000000"/>
                <w:kern w:val="0"/>
                <w:sz w:val="20"/>
              </w:rPr>
              <w:t>2775</w:t>
            </w:r>
          </w:p>
        </w:tc>
        <w:tc>
          <w:tcPr>
            <w:tcW w:w="736" w:type="dxa"/>
            <w:tcBorders>
              <w:top w:val="nil"/>
              <w:left w:val="nil"/>
              <w:bottom w:val="single" w:sz="4" w:space="0" w:color="auto"/>
              <w:right w:val="single" w:sz="4" w:space="0" w:color="auto"/>
            </w:tcBorders>
            <w:vAlign w:val="bottom"/>
          </w:tcPr>
          <w:p w:rsidR="00C81B24" w:rsidRPr="00C81B24" w:rsidRDefault="00C81B24" w:rsidP="00CE5850">
            <w:pPr>
              <w:jc w:val="right"/>
              <w:rPr>
                <w:color w:val="000000"/>
                <w:sz w:val="20"/>
              </w:rPr>
            </w:pPr>
            <w:r w:rsidRPr="00C81B24">
              <w:rPr>
                <w:color w:val="000000"/>
                <w:sz w:val="20"/>
              </w:rPr>
              <w:t>37.84</w:t>
            </w:r>
          </w:p>
        </w:tc>
      </w:tr>
      <w:tr w:rsidR="00C81B24" w:rsidRPr="00C81B24" w:rsidTr="00526AD9">
        <w:trPr>
          <w:trHeight w:val="255"/>
          <w:jc w:val="center"/>
        </w:trPr>
        <w:tc>
          <w:tcPr>
            <w:tcW w:w="554" w:type="dxa"/>
            <w:tcBorders>
              <w:top w:val="nil"/>
              <w:left w:val="single" w:sz="4" w:space="0" w:color="auto"/>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133</w:t>
            </w:r>
          </w:p>
        </w:tc>
        <w:tc>
          <w:tcPr>
            <w:tcW w:w="456" w:type="dxa"/>
            <w:tcBorders>
              <w:top w:val="nil"/>
              <w:left w:val="single" w:sz="4" w:space="0" w:color="auto"/>
              <w:bottom w:val="single" w:sz="4" w:space="0" w:color="auto"/>
              <w:right w:val="single" w:sz="4" w:space="0" w:color="auto"/>
            </w:tcBorders>
            <w:vAlign w:val="center"/>
          </w:tcPr>
          <w:p w:rsidR="00C81B24" w:rsidRPr="00C81B24" w:rsidRDefault="00C81B24" w:rsidP="00CE5850">
            <w:pPr>
              <w:jc w:val="right"/>
              <w:rPr>
                <w:sz w:val="20"/>
              </w:rPr>
            </w:pPr>
            <w:r w:rsidRPr="00C81B24">
              <w:rPr>
                <w:sz w:val="20"/>
              </w:rPr>
              <w:t>129</w:t>
            </w:r>
          </w:p>
        </w:tc>
        <w:tc>
          <w:tcPr>
            <w:tcW w:w="4012" w:type="dxa"/>
            <w:tcBorders>
              <w:top w:val="nil"/>
              <w:left w:val="nil"/>
              <w:bottom w:val="single" w:sz="4" w:space="0" w:color="auto"/>
              <w:right w:val="single" w:sz="4" w:space="0" w:color="auto"/>
            </w:tcBorders>
            <w:vAlign w:val="center"/>
          </w:tcPr>
          <w:p w:rsidR="00C81B24" w:rsidRPr="00C81B24" w:rsidRDefault="00C81B24" w:rsidP="00CE5850">
            <w:pPr>
              <w:rPr>
                <w:sz w:val="20"/>
              </w:rPr>
            </w:pPr>
            <w:r w:rsidRPr="00C81B24">
              <w:rPr>
                <w:sz w:val="20"/>
              </w:rPr>
              <w:t>San Angelo, TX</w:t>
            </w:r>
          </w:p>
        </w:tc>
        <w:tc>
          <w:tcPr>
            <w:tcW w:w="1102" w:type="dxa"/>
            <w:tcBorders>
              <w:top w:val="nil"/>
              <w:left w:val="nil"/>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 xml:space="preserve"> 192,395 </w:t>
            </w:r>
          </w:p>
        </w:tc>
        <w:tc>
          <w:tcPr>
            <w:tcW w:w="1155" w:type="dxa"/>
            <w:tcBorders>
              <w:top w:val="nil"/>
              <w:left w:val="nil"/>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 xml:space="preserve"> 213,699 </w:t>
            </w:r>
          </w:p>
        </w:tc>
        <w:tc>
          <w:tcPr>
            <w:tcW w:w="979" w:type="dxa"/>
            <w:tcBorders>
              <w:top w:val="nil"/>
              <w:left w:val="nil"/>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90%</w:t>
            </w:r>
          </w:p>
        </w:tc>
        <w:tc>
          <w:tcPr>
            <w:tcW w:w="635" w:type="dxa"/>
            <w:tcBorders>
              <w:top w:val="nil"/>
              <w:left w:val="nil"/>
              <w:bottom w:val="single" w:sz="4" w:space="0" w:color="auto"/>
              <w:right w:val="single" w:sz="4" w:space="0" w:color="auto"/>
            </w:tcBorders>
            <w:noWrap/>
            <w:vAlign w:val="bottom"/>
          </w:tcPr>
          <w:p w:rsidR="00C81B24" w:rsidRPr="00C81B24" w:rsidRDefault="00C81B24" w:rsidP="00CE5850">
            <w:pPr>
              <w:jc w:val="right"/>
              <w:rPr>
                <w:sz w:val="20"/>
              </w:rPr>
            </w:pPr>
            <w:r w:rsidRPr="00C81B24">
              <w:rPr>
                <w:sz w:val="20"/>
              </w:rPr>
              <w:t>2056</w:t>
            </w:r>
          </w:p>
        </w:tc>
        <w:tc>
          <w:tcPr>
            <w:tcW w:w="536" w:type="dxa"/>
            <w:tcBorders>
              <w:top w:val="nil"/>
              <w:left w:val="nil"/>
              <w:bottom w:val="single" w:sz="4" w:space="0" w:color="auto"/>
              <w:right w:val="single" w:sz="4" w:space="0" w:color="auto"/>
            </w:tcBorders>
            <w:vAlign w:val="bottom"/>
          </w:tcPr>
          <w:p w:rsidR="00C81B24" w:rsidRPr="00C81B24" w:rsidRDefault="00C81B24" w:rsidP="00CE5850">
            <w:pPr>
              <w:autoSpaceDE w:val="0"/>
              <w:autoSpaceDN w:val="0"/>
              <w:adjustRightInd w:val="0"/>
              <w:jc w:val="right"/>
              <w:rPr>
                <w:color w:val="000000"/>
                <w:kern w:val="0"/>
                <w:sz w:val="20"/>
              </w:rPr>
            </w:pPr>
            <w:r w:rsidRPr="00C81B24">
              <w:rPr>
                <w:color w:val="000000"/>
                <w:kern w:val="0"/>
                <w:sz w:val="20"/>
              </w:rPr>
              <w:t>2018</w:t>
            </w:r>
          </w:p>
        </w:tc>
        <w:tc>
          <w:tcPr>
            <w:tcW w:w="736" w:type="dxa"/>
            <w:tcBorders>
              <w:top w:val="nil"/>
              <w:left w:val="nil"/>
              <w:bottom w:val="single" w:sz="4" w:space="0" w:color="auto"/>
              <w:right w:val="single" w:sz="4" w:space="0" w:color="auto"/>
            </w:tcBorders>
            <w:vAlign w:val="bottom"/>
          </w:tcPr>
          <w:p w:rsidR="00C81B24" w:rsidRPr="00C81B24" w:rsidRDefault="00C81B24" w:rsidP="00CE5850">
            <w:pPr>
              <w:jc w:val="right"/>
              <w:rPr>
                <w:color w:val="000000"/>
                <w:sz w:val="20"/>
              </w:rPr>
            </w:pPr>
            <w:r w:rsidRPr="00C81B24">
              <w:rPr>
                <w:color w:val="000000"/>
                <w:sz w:val="20"/>
              </w:rPr>
              <w:t>10.62</w:t>
            </w:r>
          </w:p>
        </w:tc>
      </w:tr>
      <w:tr w:rsidR="00C81B24" w:rsidRPr="00C81B24" w:rsidTr="00526AD9">
        <w:trPr>
          <w:trHeight w:val="255"/>
          <w:jc w:val="center"/>
        </w:trPr>
        <w:tc>
          <w:tcPr>
            <w:tcW w:w="554" w:type="dxa"/>
            <w:tcBorders>
              <w:top w:val="nil"/>
              <w:left w:val="single" w:sz="4" w:space="0" w:color="auto"/>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134</w:t>
            </w:r>
          </w:p>
        </w:tc>
        <w:tc>
          <w:tcPr>
            <w:tcW w:w="456" w:type="dxa"/>
            <w:tcBorders>
              <w:top w:val="nil"/>
              <w:left w:val="single" w:sz="4" w:space="0" w:color="auto"/>
              <w:bottom w:val="single" w:sz="4" w:space="0" w:color="auto"/>
              <w:right w:val="single" w:sz="4" w:space="0" w:color="auto"/>
            </w:tcBorders>
            <w:vAlign w:val="center"/>
          </w:tcPr>
          <w:p w:rsidR="00C81B24" w:rsidRPr="00C81B24" w:rsidRDefault="00C81B24" w:rsidP="00CE5850">
            <w:pPr>
              <w:jc w:val="right"/>
              <w:rPr>
                <w:sz w:val="20"/>
              </w:rPr>
            </w:pPr>
            <w:r w:rsidRPr="00C81B24">
              <w:rPr>
                <w:sz w:val="20"/>
              </w:rPr>
              <w:t>146</w:t>
            </w:r>
          </w:p>
        </w:tc>
        <w:tc>
          <w:tcPr>
            <w:tcW w:w="4012" w:type="dxa"/>
            <w:tcBorders>
              <w:top w:val="nil"/>
              <w:left w:val="nil"/>
              <w:bottom w:val="single" w:sz="4" w:space="0" w:color="auto"/>
              <w:right w:val="single" w:sz="4" w:space="0" w:color="auto"/>
            </w:tcBorders>
            <w:vAlign w:val="center"/>
          </w:tcPr>
          <w:p w:rsidR="00C81B24" w:rsidRPr="00C81B24" w:rsidRDefault="00C81B24" w:rsidP="00CE5850">
            <w:pPr>
              <w:rPr>
                <w:sz w:val="20"/>
              </w:rPr>
            </w:pPr>
            <w:r w:rsidRPr="00C81B24">
              <w:rPr>
                <w:sz w:val="20"/>
              </w:rPr>
              <w:t>Missoula, MT</w:t>
            </w:r>
          </w:p>
        </w:tc>
        <w:tc>
          <w:tcPr>
            <w:tcW w:w="1102" w:type="dxa"/>
            <w:tcBorders>
              <w:top w:val="nil"/>
              <w:left w:val="nil"/>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 xml:space="preserve"> 404,844 </w:t>
            </w:r>
          </w:p>
        </w:tc>
        <w:tc>
          <w:tcPr>
            <w:tcW w:w="1155" w:type="dxa"/>
            <w:tcBorders>
              <w:top w:val="nil"/>
              <w:left w:val="nil"/>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 xml:space="preserve"> 450,512 </w:t>
            </w:r>
          </w:p>
        </w:tc>
        <w:tc>
          <w:tcPr>
            <w:tcW w:w="979" w:type="dxa"/>
            <w:tcBorders>
              <w:top w:val="nil"/>
              <w:left w:val="nil"/>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90%</w:t>
            </w:r>
          </w:p>
        </w:tc>
        <w:tc>
          <w:tcPr>
            <w:tcW w:w="635" w:type="dxa"/>
            <w:tcBorders>
              <w:top w:val="nil"/>
              <w:left w:val="nil"/>
              <w:bottom w:val="single" w:sz="4" w:space="0" w:color="auto"/>
              <w:right w:val="single" w:sz="4" w:space="0" w:color="auto"/>
            </w:tcBorders>
            <w:noWrap/>
            <w:vAlign w:val="bottom"/>
          </w:tcPr>
          <w:p w:rsidR="00C81B24" w:rsidRPr="00C81B24" w:rsidRDefault="00C81B24" w:rsidP="00CE5850">
            <w:pPr>
              <w:jc w:val="right"/>
              <w:rPr>
                <w:sz w:val="20"/>
              </w:rPr>
            </w:pPr>
            <w:r w:rsidRPr="00C81B24">
              <w:rPr>
                <w:sz w:val="20"/>
              </w:rPr>
              <w:t>7178</w:t>
            </w:r>
          </w:p>
        </w:tc>
        <w:tc>
          <w:tcPr>
            <w:tcW w:w="536" w:type="dxa"/>
            <w:tcBorders>
              <w:top w:val="nil"/>
              <w:left w:val="nil"/>
              <w:bottom w:val="single" w:sz="4" w:space="0" w:color="auto"/>
              <w:right w:val="single" w:sz="4" w:space="0" w:color="auto"/>
            </w:tcBorders>
            <w:vAlign w:val="bottom"/>
          </w:tcPr>
          <w:p w:rsidR="00C81B24" w:rsidRPr="00C81B24" w:rsidRDefault="00C81B24" w:rsidP="00CE5850">
            <w:pPr>
              <w:autoSpaceDE w:val="0"/>
              <w:autoSpaceDN w:val="0"/>
              <w:adjustRightInd w:val="0"/>
              <w:jc w:val="right"/>
              <w:rPr>
                <w:color w:val="000000"/>
                <w:kern w:val="0"/>
                <w:sz w:val="20"/>
              </w:rPr>
            </w:pPr>
            <w:r w:rsidRPr="00C81B24">
              <w:rPr>
                <w:color w:val="000000"/>
                <w:kern w:val="0"/>
                <w:sz w:val="20"/>
              </w:rPr>
              <w:t>6244</w:t>
            </w:r>
          </w:p>
        </w:tc>
        <w:tc>
          <w:tcPr>
            <w:tcW w:w="736" w:type="dxa"/>
            <w:tcBorders>
              <w:top w:val="nil"/>
              <w:left w:val="nil"/>
              <w:bottom w:val="single" w:sz="4" w:space="0" w:color="auto"/>
              <w:right w:val="single" w:sz="4" w:space="0" w:color="auto"/>
            </w:tcBorders>
            <w:vAlign w:val="bottom"/>
          </w:tcPr>
          <w:p w:rsidR="00C81B24" w:rsidRPr="00C81B24" w:rsidRDefault="00C81B24" w:rsidP="00CE5850">
            <w:pPr>
              <w:jc w:val="right"/>
              <w:rPr>
                <w:color w:val="000000"/>
                <w:sz w:val="20"/>
              </w:rPr>
            </w:pPr>
            <w:r w:rsidRPr="00C81B24">
              <w:rPr>
                <w:color w:val="000000"/>
                <w:sz w:val="20"/>
              </w:rPr>
              <w:t>12.26</w:t>
            </w:r>
          </w:p>
        </w:tc>
      </w:tr>
      <w:tr w:rsidR="00C81B24" w:rsidRPr="00C81B24" w:rsidTr="00526AD9">
        <w:trPr>
          <w:trHeight w:val="255"/>
          <w:jc w:val="center"/>
        </w:trPr>
        <w:tc>
          <w:tcPr>
            <w:tcW w:w="554" w:type="dxa"/>
            <w:tcBorders>
              <w:top w:val="nil"/>
              <w:left w:val="single" w:sz="4" w:space="0" w:color="auto"/>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135</w:t>
            </w:r>
          </w:p>
        </w:tc>
        <w:tc>
          <w:tcPr>
            <w:tcW w:w="456" w:type="dxa"/>
            <w:tcBorders>
              <w:top w:val="nil"/>
              <w:left w:val="single" w:sz="4" w:space="0" w:color="auto"/>
              <w:bottom w:val="single" w:sz="4" w:space="0" w:color="auto"/>
              <w:right w:val="single" w:sz="4" w:space="0" w:color="auto"/>
            </w:tcBorders>
            <w:vAlign w:val="center"/>
          </w:tcPr>
          <w:p w:rsidR="00C81B24" w:rsidRPr="00C81B24" w:rsidRDefault="00C81B24" w:rsidP="00CE5850">
            <w:pPr>
              <w:jc w:val="right"/>
              <w:rPr>
                <w:sz w:val="20"/>
              </w:rPr>
            </w:pPr>
            <w:r w:rsidRPr="00C81B24">
              <w:rPr>
                <w:sz w:val="20"/>
              </w:rPr>
              <w:t>147</w:t>
            </w:r>
          </w:p>
        </w:tc>
        <w:tc>
          <w:tcPr>
            <w:tcW w:w="4012" w:type="dxa"/>
            <w:tcBorders>
              <w:top w:val="nil"/>
              <w:left w:val="nil"/>
              <w:bottom w:val="single" w:sz="4" w:space="0" w:color="auto"/>
              <w:right w:val="single" w:sz="4" w:space="0" w:color="auto"/>
            </w:tcBorders>
            <w:vAlign w:val="center"/>
          </w:tcPr>
          <w:p w:rsidR="00C81B24" w:rsidRPr="00C81B24" w:rsidRDefault="00C81B24" w:rsidP="00CE5850">
            <w:pPr>
              <w:rPr>
                <w:sz w:val="20"/>
              </w:rPr>
            </w:pPr>
            <w:r w:rsidRPr="00C81B24">
              <w:rPr>
                <w:sz w:val="20"/>
              </w:rPr>
              <w:t>Spokane, WA-ID</w:t>
            </w:r>
          </w:p>
        </w:tc>
        <w:tc>
          <w:tcPr>
            <w:tcW w:w="1102" w:type="dxa"/>
            <w:tcBorders>
              <w:top w:val="nil"/>
              <w:left w:val="nil"/>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 xml:space="preserve"> 843,659 </w:t>
            </w:r>
          </w:p>
        </w:tc>
        <w:tc>
          <w:tcPr>
            <w:tcW w:w="1155" w:type="dxa"/>
            <w:tcBorders>
              <w:top w:val="nil"/>
              <w:left w:val="nil"/>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 xml:space="preserve"> 938,472 </w:t>
            </w:r>
          </w:p>
        </w:tc>
        <w:tc>
          <w:tcPr>
            <w:tcW w:w="979" w:type="dxa"/>
            <w:tcBorders>
              <w:top w:val="nil"/>
              <w:left w:val="nil"/>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90%</w:t>
            </w:r>
          </w:p>
        </w:tc>
        <w:tc>
          <w:tcPr>
            <w:tcW w:w="635" w:type="dxa"/>
            <w:tcBorders>
              <w:top w:val="nil"/>
              <w:left w:val="nil"/>
              <w:bottom w:val="single" w:sz="4" w:space="0" w:color="auto"/>
              <w:right w:val="single" w:sz="4" w:space="0" w:color="auto"/>
            </w:tcBorders>
            <w:noWrap/>
            <w:vAlign w:val="bottom"/>
          </w:tcPr>
          <w:p w:rsidR="00C81B24" w:rsidRPr="00C81B24" w:rsidRDefault="00C81B24" w:rsidP="00CE5850">
            <w:pPr>
              <w:jc w:val="right"/>
              <w:rPr>
                <w:sz w:val="20"/>
              </w:rPr>
            </w:pPr>
            <w:r w:rsidRPr="00C81B24">
              <w:rPr>
                <w:sz w:val="20"/>
              </w:rPr>
              <w:t>3586</w:t>
            </w:r>
          </w:p>
        </w:tc>
        <w:tc>
          <w:tcPr>
            <w:tcW w:w="536" w:type="dxa"/>
            <w:tcBorders>
              <w:top w:val="nil"/>
              <w:left w:val="nil"/>
              <w:bottom w:val="single" w:sz="4" w:space="0" w:color="auto"/>
              <w:right w:val="single" w:sz="4" w:space="0" w:color="auto"/>
            </w:tcBorders>
            <w:vAlign w:val="bottom"/>
          </w:tcPr>
          <w:p w:rsidR="00C81B24" w:rsidRPr="00C81B24" w:rsidRDefault="00C81B24" w:rsidP="00CE5850">
            <w:pPr>
              <w:autoSpaceDE w:val="0"/>
              <w:autoSpaceDN w:val="0"/>
              <w:adjustRightInd w:val="0"/>
              <w:jc w:val="right"/>
              <w:rPr>
                <w:color w:val="000000"/>
                <w:kern w:val="0"/>
                <w:sz w:val="20"/>
              </w:rPr>
            </w:pPr>
            <w:r w:rsidRPr="00C81B24">
              <w:rPr>
                <w:color w:val="000000"/>
                <w:kern w:val="0"/>
                <w:sz w:val="20"/>
              </w:rPr>
              <w:t>3613</w:t>
            </w:r>
          </w:p>
        </w:tc>
        <w:tc>
          <w:tcPr>
            <w:tcW w:w="736" w:type="dxa"/>
            <w:tcBorders>
              <w:top w:val="nil"/>
              <w:left w:val="nil"/>
              <w:bottom w:val="single" w:sz="4" w:space="0" w:color="auto"/>
              <w:right w:val="single" w:sz="4" w:space="0" w:color="auto"/>
            </w:tcBorders>
            <w:vAlign w:val="bottom"/>
          </w:tcPr>
          <w:p w:rsidR="00C81B24" w:rsidRPr="00C81B24" w:rsidRDefault="00C81B24" w:rsidP="00CE5850">
            <w:pPr>
              <w:jc w:val="right"/>
              <w:rPr>
                <w:color w:val="000000"/>
                <w:sz w:val="20"/>
              </w:rPr>
            </w:pPr>
            <w:r w:rsidRPr="00C81B24">
              <w:rPr>
                <w:color w:val="000000"/>
                <w:sz w:val="20"/>
              </w:rPr>
              <w:t>26.90</w:t>
            </w:r>
          </w:p>
        </w:tc>
      </w:tr>
      <w:tr w:rsidR="00C81B24" w:rsidRPr="00C81B24" w:rsidTr="00526AD9">
        <w:trPr>
          <w:trHeight w:val="255"/>
          <w:jc w:val="center"/>
        </w:trPr>
        <w:tc>
          <w:tcPr>
            <w:tcW w:w="554" w:type="dxa"/>
            <w:tcBorders>
              <w:top w:val="nil"/>
              <w:left w:val="single" w:sz="4" w:space="0" w:color="auto"/>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136</w:t>
            </w:r>
          </w:p>
        </w:tc>
        <w:tc>
          <w:tcPr>
            <w:tcW w:w="456" w:type="dxa"/>
            <w:tcBorders>
              <w:top w:val="nil"/>
              <w:left w:val="single" w:sz="4" w:space="0" w:color="auto"/>
              <w:bottom w:val="single" w:sz="4" w:space="0" w:color="auto"/>
              <w:right w:val="single" w:sz="4" w:space="0" w:color="auto"/>
            </w:tcBorders>
            <w:vAlign w:val="center"/>
          </w:tcPr>
          <w:p w:rsidR="00C81B24" w:rsidRPr="00C81B24" w:rsidRDefault="00C81B24" w:rsidP="00CE5850">
            <w:pPr>
              <w:jc w:val="right"/>
              <w:rPr>
                <w:sz w:val="20"/>
              </w:rPr>
            </w:pPr>
            <w:r w:rsidRPr="00C81B24">
              <w:rPr>
                <w:sz w:val="20"/>
              </w:rPr>
              <w:t>151</w:t>
            </w:r>
          </w:p>
        </w:tc>
        <w:tc>
          <w:tcPr>
            <w:tcW w:w="4012" w:type="dxa"/>
            <w:tcBorders>
              <w:top w:val="nil"/>
              <w:left w:val="nil"/>
              <w:bottom w:val="single" w:sz="4" w:space="0" w:color="auto"/>
              <w:right w:val="single" w:sz="4" w:space="0" w:color="auto"/>
            </w:tcBorders>
            <w:vAlign w:val="center"/>
          </w:tcPr>
          <w:p w:rsidR="00C81B24" w:rsidRPr="00C81B24" w:rsidRDefault="00C81B24" w:rsidP="00CE5850">
            <w:pPr>
              <w:rPr>
                <w:sz w:val="20"/>
              </w:rPr>
            </w:pPr>
            <w:r w:rsidRPr="00C81B24">
              <w:rPr>
                <w:sz w:val="20"/>
              </w:rPr>
              <w:t>Reno, NV-CA</w:t>
            </w:r>
          </w:p>
        </w:tc>
        <w:tc>
          <w:tcPr>
            <w:tcW w:w="1102" w:type="dxa"/>
            <w:tcBorders>
              <w:top w:val="nil"/>
              <w:left w:val="nil"/>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 xml:space="preserve"> 709,945 </w:t>
            </w:r>
          </w:p>
        </w:tc>
        <w:tc>
          <w:tcPr>
            <w:tcW w:w="1155" w:type="dxa"/>
            <w:tcBorders>
              <w:top w:val="nil"/>
              <w:left w:val="nil"/>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 xml:space="preserve"> 790,284 </w:t>
            </w:r>
          </w:p>
        </w:tc>
        <w:tc>
          <w:tcPr>
            <w:tcW w:w="979" w:type="dxa"/>
            <w:tcBorders>
              <w:top w:val="nil"/>
              <w:left w:val="nil"/>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90%</w:t>
            </w:r>
          </w:p>
        </w:tc>
        <w:tc>
          <w:tcPr>
            <w:tcW w:w="635" w:type="dxa"/>
            <w:tcBorders>
              <w:top w:val="nil"/>
              <w:left w:val="nil"/>
              <w:bottom w:val="single" w:sz="4" w:space="0" w:color="auto"/>
              <w:right w:val="single" w:sz="4" w:space="0" w:color="auto"/>
            </w:tcBorders>
            <w:noWrap/>
            <w:vAlign w:val="bottom"/>
          </w:tcPr>
          <w:p w:rsidR="00C81B24" w:rsidRPr="00C81B24" w:rsidRDefault="00C81B24" w:rsidP="00CE5850">
            <w:pPr>
              <w:jc w:val="right"/>
              <w:rPr>
                <w:sz w:val="20"/>
              </w:rPr>
            </w:pPr>
            <w:r w:rsidRPr="00C81B24">
              <w:rPr>
                <w:sz w:val="20"/>
              </w:rPr>
              <w:t>3110</w:t>
            </w:r>
          </w:p>
        </w:tc>
        <w:tc>
          <w:tcPr>
            <w:tcW w:w="536" w:type="dxa"/>
            <w:tcBorders>
              <w:top w:val="nil"/>
              <w:left w:val="nil"/>
              <w:bottom w:val="single" w:sz="4" w:space="0" w:color="auto"/>
              <w:right w:val="single" w:sz="4" w:space="0" w:color="auto"/>
            </w:tcBorders>
            <w:vAlign w:val="bottom"/>
          </w:tcPr>
          <w:p w:rsidR="00C81B24" w:rsidRPr="00C81B24" w:rsidRDefault="00C81B24" w:rsidP="00CE5850">
            <w:pPr>
              <w:autoSpaceDE w:val="0"/>
              <w:autoSpaceDN w:val="0"/>
              <w:adjustRightInd w:val="0"/>
              <w:jc w:val="right"/>
              <w:rPr>
                <w:color w:val="000000"/>
                <w:kern w:val="0"/>
                <w:sz w:val="20"/>
              </w:rPr>
            </w:pPr>
            <w:r w:rsidRPr="00C81B24">
              <w:rPr>
                <w:color w:val="000000"/>
                <w:kern w:val="0"/>
                <w:sz w:val="20"/>
              </w:rPr>
              <w:t>3131</w:t>
            </w:r>
          </w:p>
        </w:tc>
        <w:tc>
          <w:tcPr>
            <w:tcW w:w="736" w:type="dxa"/>
            <w:tcBorders>
              <w:top w:val="nil"/>
              <w:left w:val="nil"/>
              <w:bottom w:val="single" w:sz="4" w:space="0" w:color="auto"/>
              <w:right w:val="single" w:sz="4" w:space="0" w:color="auto"/>
            </w:tcBorders>
            <w:vAlign w:val="bottom"/>
          </w:tcPr>
          <w:p w:rsidR="00C81B24" w:rsidRPr="00C81B24" w:rsidRDefault="00C81B24" w:rsidP="00CE5850">
            <w:pPr>
              <w:jc w:val="right"/>
              <w:rPr>
                <w:color w:val="000000"/>
                <w:sz w:val="20"/>
              </w:rPr>
            </w:pPr>
            <w:r w:rsidRPr="00C81B24">
              <w:rPr>
                <w:color w:val="000000"/>
                <w:sz w:val="20"/>
              </w:rPr>
              <w:t>8.96</w:t>
            </w:r>
          </w:p>
        </w:tc>
      </w:tr>
      <w:tr w:rsidR="00C81B24" w:rsidRPr="00C81B24" w:rsidTr="00526AD9">
        <w:trPr>
          <w:trHeight w:val="255"/>
          <w:jc w:val="center"/>
        </w:trPr>
        <w:tc>
          <w:tcPr>
            <w:tcW w:w="554" w:type="dxa"/>
            <w:tcBorders>
              <w:top w:val="nil"/>
              <w:left w:val="single" w:sz="4" w:space="0" w:color="auto"/>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137</w:t>
            </w:r>
          </w:p>
        </w:tc>
        <w:tc>
          <w:tcPr>
            <w:tcW w:w="456" w:type="dxa"/>
            <w:tcBorders>
              <w:top w:val="nil"/>
              <w:left w:val="single" w:sz="4" w:space="0" w:color="auto"/>
              <w:bottom w:val="single" w:sz="4" w:space="0" w:color="auto"/>
              <w:right w:val="single" w:sz="4" w:space="0" w:color="auto"/>
            </w:tcBorders>
            <w:vAlign w:val="center"/>
          </w:tcPr>
          <w:p w:rsidR="00C81B24" w:rsidRPr="00C81B24" w:rsidRDefault="00C81B24" w:rsidP="00CE5850">
            <w:pPr>
              <w:jc w:val="right"/>
              <w:rPr>
                <w:sz w:val="20"/>
              </w:rPr>
            </w:pPr>
            <w:r w:rsidRPr="00C81B24">
              <w:rPr>
                <w:sz w:val="20"/>
              </w:rPr>
              <w:t>156</w:t>
            </w:r>
          </w:p>
        </w:tc>
        <w:tc>
          <w:tcPr>
            <w:tcW w:w="4012" w:type="dxa"/>
            <w:tcBorders>
              <w:top w:val="nil"/>
              <w:left w:val="nil"/>
              <w:bottom w:val="single" w:sz="4" w:space="0" w:color="auto"/>
              <w:right w:val="single" w:sz="4" w:space="0" w:color="auto"/>
            </w:tcBorders>
            <w:vAlign w:val="center"/>
          </w:tcPr>
          <w:p w:rsidR="00C81B24" w:rsidRPr="00C81B24" w:rsidRDefault="00C81B24" w:rsidP="00CE5850">
            <w:pPr>
              <w:rPr>
                <w:sz w:val="20"/>
              </w:rPr>
            </w:pPr>
            <w:r w:rsidRPr="00C81B24">
              <w:rPr>
                <w:sz w:val="20"/>
              </w:rPr>
              <w:t>Albuquerque, NM-AZ</w:t>
            </w:r>
          </w:p>
        </w:tc>
        <w:tc>
          <w:tcPr>
            <w:tcW w:w="1102" w:type="dxa"/>
            <w:tcBorders>
              <w:top w:val="nil"/>
              <w:left w:val="nil"/>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 xml:space="preserve"> 982,346 </w:t>
            </w:r>
          </w:p>
        </w:tc>
        <w:tc>
          <w:tcPr>
            <w:tcW w:w="1155" w:type="dxa"/>
            <w:tcBorders>
              <w:top w:val="nil"/>
              <w:left w:val="nil"/>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 xml:space="preserve"> 1,093,971 </w:t>
            </w:r>
          </w:p>
        </w:tc>
        <w:tc>
          <w:tcPr>
            <w:tcW w:w="979" w:type="dxa"/>
            <w:tcBorders>
              <w:top w:val="nil"/>
              <w:left w:val="nil"/>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90%</w:t>
            </w:r>
          </w:p>
        </w:tc>
        <w:tc>
          <w:tcPr>
            <w:tcW w:w="635" w:type="dxa"/>
            <w:tcBorders>
              <w:top w:val="nil"/>
              <w:left w:val="nil"/>
              <w:bottom w:val="single" w:sz="4" w:space="0" w:color="auto"/>
              <w:right w:val="single" w:sz="4" w:space="0" w:color="auto"/>
            </w:tcBorders>
            <w:noWrap/>
            <w:vAlign w:val="bottom"/>
          </w:tcPr>
          <w:p w:rsidR="00C81B24" w:rsidRPr="00C81B24" w:rsidRDefault="00C81B24" w:rsidP="00CE5850">
            <w:pPr>
              <w:jc w:val="right"/>
              <w:rPr>
                <w:sz w:val="20"/>
              </w:rPr>
            </w:pPr>
            <w:r w:rsidRPr="00C81B24">
              <w:rPr>
                <w:sz w:val="20"/>
              </w:rPr>
              <w:t>3006</w:t>
            </w:r>
          </w:p>
        </w:tc>
        <w:tc>
          <w:tcPr>
            <w:tcW w:w="536" w:type="dxa"/>
            <w:tcBorders>
              <w:top w:val="nil"/>
              <w:left w:val="nil"/>
              <w:bottom w:val="single" w:sz="4" w:space="0" w:color="auto"/>
              <w:right w:val="single" w:sz="4" w:space="0" w:color="auto"/>
            </w:tcBorders>
            <w:vAlign w:val="bottom"/>
          </w:tcPr>
          <w:p w:rsidR="00C81B24" w:rsidRPr="00C81B24" w:rsidRDefault="00C81B24" w:rsidP="00CE5850">
            <w:pPr>
              <w:autoSpaceDE w:val="0"/>
              <w:autoSpaceDN w:val="0"/>
              <w:adjustRightInd w:val="0"/>
              <w:jc w:val="right"/>
              <w:rPr>
                <w:color w:val="000000"/>
                <w:kern w:val="0"/>
                <w:sz w:val="20"/>
              </w:rPr>
            </w:pPr>
            <w:r w:rsidRPr="00C81B24">
              <w:rPr>
                <w:color w:val="000000"/>
                <w:kern w:val="0"/>
                <w:sz w:val="20"/>
              </w:rPr>
              <w:t>3016</w:t>
            </w:r>
          </w:p>
        </w:tc>
        <w:tc>
          <w:tcPr>
            <w:tcW w:w="736" w:type="dxa"/>
            <w:tcBorders>
              <w:top w:val="nil"/>
              <w:left w:val="nil"/>
              <w:bottom w:val="single" w:sz="4" w:space="0" w:color="auto"/>
              <w:right w:val="single" w:sz="4" w:space="0" w:color="auto"/>
            </w:tcBorders>
            <w:vAlign w:val="bottom"/>
          </w:tcPr>
          <w:p w:rsidR="00C81B24" w:rsidRPr="00C81B24" w:rsidRDefault="00C81B24" w:rsidP="00CE5850">
            <w:pPr>
              <w:jc w:val="right"/>
              <w:rPr>
                <w:color w:val="000000"/>
                <w:sz w:val="20"/>
              </w:rPr>
            </w:pPr>
            <w:r w:rsidRPr="00C81B24">
              <w:rPr>
                <w:color w:val="000000"/>
                <w:sz w:val="20"/>
              </w:rPr>
              <w:t>24.50</w:t>
            </w:r>
          </w:p>
        </w:tc>
      </w:tr>
      <w:tr w:rsidR="00C81B24" w:rsidRPr="00C81B24" w:rsidTr="00526AD9">
        <w:trPr>
          <w:trHeight w:val="255"/>
          <w:jc w:val="center"/>
        </w:trPr>
        <w:tc>
          <w:tcPr>
            <w:tcW w:w="554" w:type="dxa"/>
            <w:tcBorders>
              <w:top w:val="nil"/>
              <w:left w:val="single" w:sz="4" w:space="0" w:color="auto"/>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138</w:t>
            </w:r>
          </w:p>
        </w:tc>
        <w:tc>
          <w:tcPr>
            <w:tcW w:w="456" w:type="dxa"/>
            <w:tcBorders>
              <w:top w:val="nil"/>
              <w:left w:val="single" w:sz="4" w:space="0" w:color="auto"/>
              <w:bottom w:val="single" w:sz="4" w:space="0" w:color="auto"/>
              <w:right w:val="single" w:sz="4" w:space="0" w:color="auto"/>
            </w:tcBorders>
            <w:vAlign w:val="center"/>
          </w:tcPr>
          <w:p w:rsidR="00C81B24" w:rsidRPr="00C81B24" w:rsidRDefault="00C81B24" w:rsidP="00CE5850">
            <w:pPr>
              <w:jc w:val="right"/>
              <w:rPr>
                <w:sz w:val="20"/>
              </w:rPr>
            </w:pPr>
            <w:r w:rsidRPr="00C81B24">
              <w:rPr>
                <w:sz w:val="20"/>
              </w:rPr>
              <w:t>157</w:t>
            </w:r>
          </w:p>
        </w:tc>
        <w:tc>
          <w:tcPr>
            <w:tcW w:w="4012" w:type="dxa"/>
            <w:tcBorders>
              <w:top w:val="nil"/>
              <w:left w:val="nil"/>
              <w:bottom w:val="single" w:sz="4" w:space="0" w:color="auto"/>
              <w:right w:val="single" w:sz="4" w:space="0" w:color="auto"/>
            </w:tcBorders>
            <w:vAlign w:val="center"/>
          </w:tcPr>
          <w:p w:rsidR="00C81B24" w:rsidRPr="00C81B24" w:rsidRDefault="00C81B24" w:rsidP="00CE5850">
            <w:pPr>
              <w:rPr>
                <w:sz w:val="20"/>
              </w:rPr>
            </w:pPr>
            <w:r w:rsidRPr="00C81B24">
              <w:rPr>
                <w:sz w:val="20"/>
              </w:rPr>
              <w:t>El Paso, TX-NM</w:t>
            </w:r>
          </w:p>
        </w:tc>
        <w:tc>
          <w:tcPr>
            <w:tcW w:w="1102" w:type="dxa"/>
            <w:tcBorders>
              <w:top w:val="nil"/>
              <w:left w:val="nil"/>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 xml:space="preserve"> 1,019,582 </w:t>
            </w:r>
          </w:p>
        </w:tc>
        <w:tc>
          <w:tcPr>
            <w:tcW w:w="1155" w:type="dxa"/>
            <w:tcBorders>
              <w:top w:val="nil"/>
              <w:left w:val="nil"/>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 xml:space="preserve"> 1,138,294 </w:t>
            </w:r>
          </w:p>
        </w:tc>
        <w:tc>
          <w:tcPr>
            <w:tcW w:w="979" w:type="dxa"/>
            <w:tcBorders>
              <w:top w:val="nil"/>
              <w:left w:val="nil"/>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90%</w:t>
            </w:r>
          </w:p>
        </w:tc>
        <w:tc>
          <w:tcPr>
            <w:tcW w:w="635" w:type="dxa"/>
            <w:tcBorders>
              <w:top w:val="nil"/>
              <w:left w:val="nil"/>
              <w:bottom w:val="single" w:sz="4" w:space="0" w:color="auto"/>
              <w:right w:val="single" w:sz="4" w:space="0" w:color="auto"/>
            </w:tcBorders>
            <w:noWrap/>
            <w:vAlign w:val="bottom"/>
          </w:tcPr>
          <w:p w:rsidR="00C81B24" w:rsidRPr="00C81B24" w:rsidRDefault="00C81B24" w:rsidP="00CE5850">
            <w:pPr>
              <w:jc w:val="right"/>
              <w:rPr>
                <w:sz w:val="20"/>
              </w:rPr>
            </w:pPr>
            <w:r w:rsidRPr="00C81B24">
              <w:rPr>
                <w:sz w:val="20"/>
              </w:rPr>
              <w:t>2309</w:t>
            </w:r>
          </w:p>
        </w:tc>
        <w:tc>
          <w:tcPr>
            <w:tcW w:w="536" w:type="dxa"/>
            <w:tcBorders>
              <w:top w:val="nil"/>
              <w:left w:val="nil"/>
              <w:bottom w:val="single" w:sz="4" w:space="0" w:color="auto"/>
              <w:right w:val="single" w:sz="4" w:space="0" w:color="auto"/>
            </w:tcBorders>
            <w:vAlign w:val="bottom"/>
          </w:tcPr>
          <w:p w:rsidR="00C81B24" w:rsidRPr="00C81B24" w:rsidRDefault="00C81B24" w:rsidP="00CE5850">
            <w:pPr>
              <w:autoSpaceDE w:val="0"/>
              <w:autoSpaceDN w:val="0"/>
              <w:adjustRightInd w:val="0"/>
              <w:jc w:val="right"/>
              <w:rPr>
                <w:color w:val="000000"/>
                <w:kern w:val="0"/>
                <w:sz w:val="20"/>
              </w:rPr>
            </w:pPr>
            <w:r w:rsidRPr="00C81B24">
              <w:rPr>
                <w:color w:val="000000"/>
                <w:kern w:val="0"/>
                <w:sz w:val="20"/>
              </w:rPr>
              <w:t>2303</w:t>
            </w:r>
          </w:p>
        </w:tc>
        <w:tc>
          <w:tcPr>
            <w:tcW w:w="736" w:type="dxa"/>
            <w:tcBorders>
              <w:top w:val="nil"/>
              <w:left w:val="nil"/>
              <w:bottom w:val="single" w:sz="4" w:space="0" w:color="auto"/>
              <w:right w:val="single" w:sz="4" w:space="0" w:color="auto"/>
            </w:tcBorders>
            <w:vAlign w:val="bottom"/>
          </w:tcPr>
          <w:p w:rsidR="00C81B24" w:rsidRPr="00C81B24" w:rsidRDefault="00C81B24" w:rsidP="00CE5850">
            <w:pPr>
              <w:jc w:val="right"/>
              <w:rPr>
                <w:color w:val="000000"/>
                <w:sz w:val="20"/>
              </w:rPr>
            </w:pPr>
            <w:r w:rsidRPr="00C81B24">
              <w:rPr>
                <w:color w:val="000000"/>
                <w:sz w:val="20"/>
              </w:rPr>
              <w:t>38.58</w:t>
            </w:r>
          </w:p>
        </w:tc>
      </w:tr>
      <w:tr w:rsidR="00C81B24" w:rsidRPr="00C81B24" w:rsidTr="00526AD9">
        <w:trPr>
          <w:trHeight w:val="255"/>
          <w:jc w:val="center"/>
        </w:trPr>
        <w:tc>
          <w:tcPr>
            <w:tcW w:w="554" w:type="dxa"/>
            <w:tcBorders>
              <w:top w:val="nil"/>
              <w:left w:val="single" w:sz="4" w:space="0" w:color="auto"/>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139</w:t>
            </w:r>
          </w:p>
        </w:tc>
        <w:tc>
          <w:tcPr>
            <w:tcW w:w="456" w:type="dxa"/>
            <w:tcBorders>
              <w:top w:val="nil"/>
              <w:left w:val="single" w:sz="4" w:space="0" w:color="auto"/>
              <w:bottom w:val="single" w:sz="4" w:space="0" w:color="auto"/>
              <w:right w:val="single" w:sz="4" w:space="0" w:color="auto"/>
            </w:tcBorders>
            <w:vAlign w:val="center"/>
          </w:tcPr>
          <w:p w:rsidR="00C81B24" w:rsidRPr="00C81B24" w:rsidRDefault="00C81B24" w:rsidP="00CE5850">
            <w:pPr>
              <w:jc w:val="right"/>
              <w:rPr>
                <w:sz w:val="20"/>
              </w:rPr>
            </w:pPr>
            <w:r w:rsidRPr="00C81B24">
              <w:rPr>
                <w:sz w:val="20"/>
              </w:rPr>
              <w:t>159</w:t>
            </w:r>
          </w:p>
        </w:tc>
        <w:tc>
          <w:tcPr>
            <w:tcW w:w="4012" w:type="dxa"/>
            <w:tcBorders>
              <w:top w:val="nil"/>
              <w:left w:val="nil"/>
              <w:bottom w:val="single" w:sz="4" w:space="0" w:color="auto"/>
              <w:right w:val="single" w:sz="4" w:space="0" w:color="auto"/>
            </w:tcBorders>
            <w:vAlign w:val="center"/>
          </w:tcPr>
          <w:p w:rsidR="00C81B24" w:rsidRPr="00C81B24" w:rsidRDefault="00C81B24" w:rsidP="00CE5850">
            <w:pPr>
              <w:rPr>
                <w:sz w:val="20"/>
              </w:rPr>
            </w:pPr>
            <w:r w:rsidRPr="00C81B24">
              <w:rPr>
                <w:sz w:val="20"/>
              </w:rPr>
              <w:t>Tucson, AZ</w:t>
            </w:r>
          </w:p>
        </w:tc>
        <w:tc>
          <w:tcPr>
            <w:tcW w:w="1102" w:type="dxa"/>
            <w:tcBorders>
              <w:top w:val="nil"/>
              <w:left w:val="nil"/>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 xml:space="preserve"> 1,056,388 </w:t>
            </w:r>
          </w:p>
        </w:tc>
        <w:tc>
          <w:tcPr>
            <w:tcW w:w="1155" w:type="dxa"/>
            <w:tcBorders>
              <w:top w:val="nil"/>
              <w:left w:val="nil"/>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 xml:space="preserve"> 1,170,534 </w:t>
            </w:r>
          </w:p>
        </w:tc>
        <w:tc>
          <w:tcPr>
            <w:tcW w:w="979" w:type="dxa"/>
            <w:tcBorders>
              <w:top w:val="nil"/>
              <w:left w:val="nil"/>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90%</w:t>
            </w:r>
          </w:p>
        </w:tc>
        <w:tc>
          <w:tcPr>
            <w:tcW w:w="635" w:type="dxa"/>
            <w:tcBorders>
              <w:top w:val="nil"/>
              <w:left w:val="nil"/>
              <w:bottom w:val="single" w:sz="4" w:space="0" w:color="auto"/>
              <w:right w:val="single" w:sz="4" w:space="0" w:color="auto"/>
            </w:tcBorders>
            <w:noWrap/>
            <w:vAlign w:val="bottom"/>
          </w:tcPr>
          <w:p w:rsidR="00C81B24" w:rsidRPr="00C81B24" w:rsidRDefault="00C81B24" w:rsidP="00CE5850">
            <w:pPr>
              <w:jc w:val="right"/>
              <w:rPr>
                <w:sz w:val="20"/>
              </w:rPr>
            </w:pPr>
            <w:r w:rsidRPr="00C81B24">
              <w:rPr>
                <w:sz w:val="20"/>
              </w:rPr>
              <w:t>2792</w:t>
            </w:r>
          </w:p>
        </w:tc>
        <w:tc>
          <w:tcPr>
            <w:tcW w:w="536" w:type="dxa"/>
            <w:tcBorders>
              <w:top w:val="nil"/>
              <w:left w:val="nil"/>
              <w:bottom w:val="single" w:sz="4" w:space="0" w:color="auto"/>
              <w:right w:val="single" w:sz="4" w:space="0" w:color="auto"/>
            </w:tcBorders>
            <w:vAlign w:val="bottom"/>
          </w:tcPr>
          <w:p w:rsidR="00C81B24" w:rsidRPr="00C81B24" w:rsidRDefault="00C81B24" w:rsidP="00CE5850">
            <w:pPr>
              <w:autoSpaceDE w:val="0"/>
              <w:autoSpaceDN w:val="0"/>
              <w:adjustRightInd w:val="0"/>
              <w:jc w:val="right"/>
              <w:rPr>
                <w:color w:val="000000"/>
                <w:kern w:val="0"/>
                <w:sz w:val="20"/>
              </w:rPr>
            </w:pPr>
            <w:r w:rsidRPr="00C81B24">
              <w:rPr>
                <w:color w:val="000000"/>
                <w:kern w:val="0"/>
                <w:sz w:val="20"/>
              </w:rPr>
              <w:t>2765</w:t>
            </w:r>
          </w:p>
        </w:tc>
        <w:tc>
          <w:tcPr>
            <w:tcW w:w="736" w:type="dxa"/>
            <w:tcBorders>
              <w:top w:val="nil"/>
              <w:left w:val="nil"/>
              <w:bottom w:val="single" w:sz="4" w:space="0" w:color="auto"/>
              <w:right w:val="single" w:sz="4" w:space="0" w:color="auto"/>
            </w:tcBorders>
            <w:vAlign w:val="bottom"/>
          </w:tcPr>
          <w:p w:rsidR="00C81B24" w:rsidRPr="00C81B24" w:rsidRDefault="00C81B24" w:rsidP="00CE5850">
            <w:pPr>
              <w:jc w:val="right"/>
              <w:rPr>
                <w:color w:val="000000"/>
                <w:sz w:val="20"/>
              </w:rPr>
            </w:pPr>
            <w:r w:rsidRPr="00C81B24">
              <w:rPr>
                <w:color w:val="000000"/>
                <w:sz w:val="20"/>
              </w:rPr>
              <w:t>69.86</w:t>
            </w:r>
          </w:p>
        </w:tc>
      </w:tr>
      <w:tr w:rsidR="00C81B24" w:rsidRPr="00C81B24" w:rsidTr="00526AD9">
        <w:trPr>
          <w:trHeight w:val="255"/>
          <w:jc w:val="center"/>
        </w:trPr>
        <w:tc>
          <w:tcPr>
            <w:tcW w:w="554" w:type="dxa"/>
            <w:tcBorders>
              <w:top w:val="nil"/>
              <w:left w:val="single" w:sz="4" w:space="0" w:color="auto"/>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140</w:t>
            </w:r>
          </w:p>
        </w:tc>
        <w:tc>
          <w:tcPr>
            <w:tcW w:w="456" w:type="dxa"/>
            <w:tcBorders>
              <w:top w:val="nil"/>
              <w:left w:val="single" w:sz="4" w:space="0" w:color="auto"/>
              <w:bottom w:val="single" w:sz="4" w:space="0" w:color="auto"/>
              <w:right w:val="single" w:sz="4" w:space="0" w:color="auto"/>
            </w:tcBorders>
            <w:vAlign w:val="center"/>
          </w:tcPr>
          <w:p w:rsidR="00C81B24" w:rsidRPr="00C81B24" w:rsidRDefault="00C81B24" w:rsidP="00CE5850">
            <w:pPr>
              <w:jc w:val="right"/>
              <w:rPr>
                <w:sz w:val="20"/>
              </w:rPr>
            </w:pPr>
            <w:r w:rsidRPr="00C81B24">
              <w:rPr>
                <w:sz w:val="20"/>
              </w:rPr>
              <w:t>164</w:t>
            </w:r>
          </w:p>
        </w:tc>
        <w:tc>
          <w:tcPr>
            <w:tcW w:w="4012" w:type="dxa"/>
            <w:tcBorders>
              <w:top w:val="nil"/>
              <w:left w:val="nil"/>
              <w:bottom w:val="single" w:sz="4" w:space="0" w:color="auto"/>
              <w:right w:val="single" w:sz="4" w:space="0" w:color="auto"/>
            </w:tcBorders>
            <w:vAlign w:val="center"/>
          </w:tcPr>
          <w:p w:rsidR="00C81B24" w:rsidRPr="00C81B24" w:rsidRDefault="00C81B24" w:rsidP="00CE5850">
            <w:pPr>
              <w:rPr>
                <w:sz w:val="20"/>
              </w:rPr>
            </w:pPr>
            <w:r w:rsidRPr="00C81B24">
              <w:rPr>
                <w:sz w:val="20"/>
              </w:rPr>
              <w:t>Sacramento-Yolo, CA</w:t>
            </w:r>
          </w:p>
        </w:tc>
        <w:tc>
          <w:tcPr>
            <w:tcW w:w="1102" w:type="dxa"/>
            <w:tcBorders>
              <w:top w:val="nil"/>
              <w:left w:val="nil"/>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 xml:space="preserve"> 2,467,715 </w:t>
            </w:r>
          </w:p>
        </w:tc>
        <w:tc>
          <w:tcPr>
            <w:tcW w:w="1155" w:type="dxa"/>
            <w:tcBorders>
              <w:top w:val="nil"/>
              <w:left w:val="nil"/>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 xml:space="preserve"> 2,750,240 </w:t>
            </w:r>
          </w:p>
        </w:tc>
        <w:tc>
          <w:tcPr>
            <w:tcW w:w="979" w:type="dxa"/>
            <w:tcBorders>
              <w:top w:val="nil"/>
              <w:left w:val="nil"/>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90%</w:t>
            </w:r>
          </w:p>
        </w:tc>
        <w:tc>
          <w:tcPr>
            <w:tcW w:w="635" w:type="dxa"/>
            <w:tcBorders>
              <w:top w:val="nil"/>
              <w:left w:val="nil"/>
              <w:bottom w:val="single" w:sz="4" w:space="0" w:color="auto"/>
              <w:right w:val="single" w:sz="4" w:space="0" w:color="auto"/>
            </w:tcBorders>
            <w:noWrap/>
            <w:vAlign w:val="bottom"/>
          </w:tcPr>
          <w:p w:rsidR="00C81B24" w:rsidRPr="00C81B24" w:rsidRDefault="00C81B24" w:rsidP="00CE5850">
            <w:pPr>
              <w:jc w:val="right"/>
              <w:rPr>
                <w:sz w:val="20"/>
              </w:rPr>
            </w:pPr>
            <w:r w:rsidRPr="00C81B24">
              <w:rPr>
                <w:sz w:val="20"/>
              </w:rPr>
              <w:t>2727</w:t>
            </w:r>
          </w:p>
        </w:tc>
        <w:tc>
          <w:tcPr>
            <w:tcW w:w="536" w:type="dxa"/>
            <w:tcBorders>
              <w:top w:val="nil"/>
              <w:left w:val="nil"/>
              <w:bottom w:val="single" w:sz="4" w:space="0" w:color="auto"/>
              <w:right w:val="single" w:sz="4" w:space="0" w:color="auto"/>
            </w:tcBorders>
            <w:vAlign w:val="bottom"/>
          </w:tcPr>
          <w:p w:rsidR="00C81B24" w:rsidRPr="00C81B24" w:rsidRDefault="00C81B24" w:rsidP="00CE5850">
            <w:pPr>
              <w:autoSpaceDE w:val="0"/>
              <w:autoSpaceDN w:val="0"/>
              <w:adjustRightInd w:val="0"/>
              <w:jc w:val="right"/>
              <w:rPr>
                <w:color w:val="000000"/>
                <w:kern w:val="0"/>
                <w:sz w:val="20"/>
              </w:rPr>
            </w:pPr>
            <w:r w:rsidRPr="00C81B24">
              <w:rPr>
                <w:color w:val="000000"/>
                <w:kern w:val="0"/>
                <w:sz w:val="20"/>
              </w:rPr>
              <w:t>2706</w:t>
            </w:r>
          </w:p>
        </w:tc>
        <w:tc>
          <w:tcPr>
            <w:tcW w:w="736" w:type="dxa"/>
            <w:tcBorders>
              <w:top w:val="nil"/>
              <w:left w:val="nil"/>
              <w:bottom w:val="single" w:sz="4" w:space="0" w:color="auto"/>
              <w:right w:val="single" w:sz="4" w:space="0" w:color="auto"/>
            </w:tcBorders>
            <w:vAlign w:val="bottom"/>
          </w:tcPr>
          <w:p w:rsidR="00C81B24" w:rsidRPr="00C81B24" w:rsidRDefault="00C81B24" w:rsidP="00CE5850">
            <w:pPr>
              <w:jc w:val="right"/>
              <w:rPr>
                <w:color w:val="000000"/>
                <w:sz w:val="20"/>
              </w:rPr>
            </w:pPr>
            <w:r w:rsidRPr="00C81B24">
              <w:rPr>
                <w:color w:val="000000"/>
                <w:sz w:val="20"/>
              </w:rPr>
              <w:t>227.21</w:t>
            </w:r>
          </w:p>
        </w:tc>
      </w:tr>
      <w:tr w:rsidR="00C81B24" w:rsidRPr="00C81B24" w:rsidTr="00526AD9">
        <w:trPr>
          <w:trHeight w:val="255"/>
          <w:jc w:val="center"/>
        </w:trPr>
        <w:tc>
          <w:tcPr>
            <w:tcW w:w="554" w:type="dxa"/>
            <w:tcBorders>
              <w:top w:val="nil"/>
              <w:left w:val="single" w:sz="4" w:space="0" w:color="auto"/>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141</w:t>
            </w:r>
          </w:p>
        </w:tc>
        <w:tc>
          <w:tcPr>
            <w:tcW w:w="456" w:type="dxa"/>
            <w:tcBorders>
              <w:top w:val="nil"/>
              <w:left w:val="single" w:sz="4" w:space="0" w:color="auto"/>
              <w:bottom w:val="single" w:sz="4" w:space="0" w:color="auto"/>
              <w:right w:val="single" w:sz="4" w:space="0" w:color="auto"/>
            </w:tcBorders>
            <w:vAlign w:val="center"/>
          </w:tcPr>
          <w:p w:rsidR="00C81B24" w:rsidRPr="00C81B24" w:rsidRDefault="00C81B24" w:rsidP="00CE5850">
            <w:pPr>
              <w:jc w:val="right"/>
              <w:rPr>
                <w:sz w:val="20"/>
              </w:rPr>
            </w:pPr>
            <w:r w:rsidRPr="00C81B24">
              <w:rPr>
                <w:sz w:val="20"/>
              </w:rPr>
              <w:t>9</w:t>
            </w:r>
          </w:p>
        </w:tc>
        <w:tc>
          <w:tcPr>
            <w:tcW w:w="4012" w:type="dxa"/>
            <w:tcBorders>
              <w:top w:val="nil"/>
              <w:left w:val="nil"/>
              <w:bottom w:val="single" w:sz="4" w:space="0" w:color="auto"/>
              <w:right w:val="single" w:sz="4" w:space="0" w:color="auto"/>
            </w:tcBorders>
            <w:vAlign w:val="center"/>
          </w:tcPr>
          <w:p w:rsidR="00C81B24" w:rsidRPr="00C81B24" w:rsidRDefault="00C81B24" w:rsidP="00CE5850">
            <w:pPr>
              <w:rPr>
                <w:sz w:val="20"/>
              </w:rPr>
            </w:pPr>
            <w:r w:rsidRPr="00C81B24">
              <w:rPr>
                <w:sz w:val="20"/>
              </w:rPr>
              <w:t>State College, PA</w:t>
            </w:r>
          </w:p>
        </w:tc>
        <w:tc>
          <w:tcPr>
            <w:tcW w:w="1102" w:type="dxa"/>
            <w:tcBorders>
              <w:top w:val="nil"/>
              <w:left w:val="nil"/>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 xml:space="preserve"> 716,047 </w:t>
            </w:r>
          </w:p>
        </w:tc>
        <w:tc>
          <w:tcPr>
            <w:tcW w:w="1155" w:type="dxa"/>
            <w:tcBorders>
              <w:top w:val="nil"/>
              <w:left w:val="nil"/>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 xml:space="preserve"> 808,608 </w:t>
            </w:r>
          </w:p>
        </w:tc>
        <w:tc>
          <w:tcPr>
            <w:tcW w:w="979" w:type="dxa"/>
            <w:tcBorders>
              <w:top w:val="nil"/>
              <w:left w:val="nil"/>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89%</w:t>
            </w:r>
          </w:p>
        </w:tc>
        <w:tc>
          <w:tcPr>
            <w:tcW w:w="635" w:type="dxa"/>
            <w:tcBorders>
              <w:top w:val="nil"/>
              <w:left w:val="nil"/>
              <w:bottom w:val="single" w:sz="4" w:space="0" w:color="auto"/>
              <w:right w:val="single" w:sz="4" w:space="0" w:color="auto"/>
            </w:tcBorders>
            <w:noWrap/>
            <w:vAlign w:val="bottom"/>
          </w:tcPr>
          <w:p w:rsidR="00C81B24" w:rsidRPr="00C81B24" w:rsidRDefault="00C81B24" w:rsidP="00CE5850">
            <w:pPr>
              <w:jc w:val="right"/>
              <w:rPr>
                <w:sz w:val="20"/>
              </w:rPr>
            </w:pPr>
            <w:r w:rsidRPr="00C81B24">
              <w:rPr>
                <w:sz w:val="20"/>
              </w:rPr>
              <w:t>4648</w:t>
            </w:r>
          </w:p>
        </w:tc>
        <w:tc>
          <w:tcPr>
            <w:tcW w:w="536" w:type="dxa"/>
            <w:tcBorders>
              <w:top w:val="nil"/>
              <w:left w:val="nil"/>
              <w:bottom w:val="single" w:sz="4" w:space="0" w:color="auto"/>
              <w:right w:val="single" w:sz="4" w:space="0" w:color="auto"/>
            </w:tcBorders>
            <w:vAlign w:val="bottom"/>
          </w:tcPr>
          <w:p w:rsidR="00C81B24" w:rsidRPr="00C81B24" w:rsidRDefault="00C81B24" w:rsidP="00CE5850">
            <w:pPr>
              <w:autoSpaceDE w:val="0"/>
              <w:autoSpaceDN w:val="0"/>
              <w:adjustRightInd w:val="0"/>
              <w:jc w:val="right"/>
              <w:rPr>
                <w:color w:val="000000"/>
                <w:kern w:val="0"/>
                <w:sz w:val="20"/>
              </w:rPr>
            </w:pPr>
            <w:r w:rsidRPr="00C81B24">
              <w:rPr>
                <w:color w:val="000000"/>
                <w:kern w:val="0"/>
                <w:sz w:val="20"/>
              </w:rPr>
              <w:t>4202</w:t>
            </w:r>
          </w:p>
        </w:tc>
        <w:tc>
          <w:tcPr>
            <w:tcW w:w="736" w:type="dxa"/>
            <w:tcBorders>
              <w:top w:val="nil"/>
              <w:left w:val="nil"/>
              <w:bottom w:val="single" w:sz="4" w:space="0" w:color="auto"/>
              <w:right w:val="single" w:sz="4" w:space="0" w:color="auto"/>
            </w:tcBorders>
            <w:vAlign w:val="bottom"/>
          </w:tcPr>
          <w:p w:rsidR="00C81B24" w:rsidRPr="00C81B24" w:rsidRDefault="00C81B24" w:rsidP="00CE5850">
            <w:pPr>
              <w:jc w:val="right"/>
              <w:rPr>
                <w:color w:val="000000"/>
                <w:sz w:val="20"/>
              </w:rPr>
            </w:pPr>
            <w:r w:rsidRPr="00C81B24">
              <w:rPr>
                <w:color w:val="000000"/>
                <w:sz w:val="20"/>
              </w:rPr>
              <w:t>92.77</w:t>
            </w:r>
          </w:p>
        </w:tc>
      </w:tr>
      <w:tr w:rsidR="00C81B24" w:rsidRPr="00C81B24" w:rsidTr="00526AD9">
        <w:trPr>
          <w:trHeight w:val="255"/>
          <w:jc w:val="center"/>
        </w:trPr>
        <w:tc>
          <w:tcPr>
            <w:tcW w:w="554" w:type="dxa"/>
            <w:tcBorders>
              <w:top w:val="nil"/>
              <w:left w:val="single" w:sz="4" w:space="0" w:color="auto"/>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142</w:t>
            </w:r>
          </w:p>
        </w:tc>
        <w:tc>
          <w:tcPr>
            <w:tcW w:w="456" w:type="dxa"/>
            <w:tcBorders>
              <w:top w:val="nil"/>
              <w:left w:val="single" w:sz="4" w:space="0" w:color="auto"/>
              <w:bottom w:val="single" w:sz="4" w:space="0" w:color="auto"/>
              <w:right w:val="single" w:sz="4" w:space="0" w:color="auto"/>
            </w:tcBorders>
            <w:vAlign w:val="center"/>
          </w:tcPr>
          <w:p w:rsidR="00C81B24" w:rsidRPr="00C81B24" w:rsidRDefault="00C81B24" w:rsidP="00CE5850">
            <w:pPr>
              <w:jc w:val="right"/>
              <w:rPr>
                <w:sz w:val="20"/>
              </w:rPr>
            </w:pPr>
            <w:r w:rsidRPr="00C81B24">
              <w:rPr>
                <w:sz w:val="20"/>
              </w:rPr>
              <w:t>108</w:t>
            </w:r>
          </w:p>
        </w:tc>
        <w:tc>
          <w:tcPr>
            <w:tcW w:w="4012" w:type="dxa"/>
            <w:tcBorders>
              <w:top w:val="nil"/>
              <w:left w:val="nil"/>
              <w:bottom w:val="single" w:sz="4" w:space="0" w:color="auto"/>
              <w:right w:val="single" w:sz="4" w:space="0" w:color="auto"/>
            </w:tcBorders>
            <w:vAlign w:val="center"/>
          </w:tcPr>
          <w:p w:rsidR="00C81B24" w:rsidRPr="00C81B24" w:rsidRDefault="00C81B24" w:rsidP="00CE5850">
            <w:pPr>
              <w:rPr>
                <w:sz w:val="20"/>
              </w:rPr>
            </w:pPr>
            <w:r w:rsidRPr="00C81B24">
              <w:rPr>
                <w:sz w:val="20"/>
              </w:rPr>
              <w:t>Wausau, WI</w:t>
            </w:r>
          </w:p>
        </w:tc>
        <w:tc>
          <w:tcPr>
            <w:tcW w:w="1102" w:type="dxa"/>
            <w:tcBorders>
              <w:top w:val="nil"/>
              <w:left w:val="nil"/>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 xml:space="preserve"> 440,797 </w:t>
            </w:r>
          </w:p>
        </w:tc>
        <w:tc>
          <w:tcPr>
            <w:tcW w:w="1155" w:type="dxa"/>
            <w:tcBorders>
              <w:top w:val="nil"/>
              <w:left w:val="nil"/>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 xml:space="preserve"> 494,774 </w:t>
            </w:r>
          </w:p>
        </w:tc>
        <w:tc>
          <w:tcPr>
            <w:tcW w:w="979" w:type="dxa"/>
            <w:tcBorders>
              <w:top w:val="nil"/>
              <w:left w:val="nil"/>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89%</w:t>
            </w:r>
          </w:p>
        </w:tc>
        <w:tc>
          <w:tcPr>
            <w:tcW w:w="635" w:type="dxa"/>
            <w:tcBorders>
              <w:top w:val="nil"/>
              <w:left w:val="nil"/>
              <w:bottom w:val="single" w:sz="4" w:space="0" w:color="auto"/>
              <w:right w:val="single" w:sz="4" w:space="0" w:color="auto"/>
            </w:tcBorders>
            <w:noWrap/>
            <w:vAlign w:val="bottom"/>
          </w:tcPr>
          <w:p w:rsidR="00C81B24" w:rsidRPr="00C81B24" w:rsidRDefault="00C81B24" w:rsidP="00CE5850">
            <w:pPr>
              <w:jc w:val="right"/>
              <w:rPr>
                <w:sz w:val="20"/>
              </w:rPr>
            </w:pPr>
            <w:r w:rsidRPr="00C81B24">
              <w:rPr>
                <w:sz w:val="20"/>
              </w:rPr>
              <w:t>2010</w:t>
            </w:r>
          </w:p>
        </w:tc>
        <w:tc>
          <w:tcPr>
            <w:tcW w:w="536" w:type="dxa"/>
            <w:tcBorders>
              <w:top w:val="nil"/>
              <w:left w:val="nil"/>
              <w:bottom w:val="single" w:sz="4" w:space="0" w:color="auto"/>
              <w:right w:val="single" w:sz="4" w:space="0" w:color="auto"/>
            </w:tcBorders>
            <w:vAlign w:val="bottom"/>
          </w:tcPr>
          <w:p w:rsidR="00C81B24" w:rsidRPr="00C81B24" w:rsidRDefault="00C81B24" w:rsidP="00CE5850">
            <w:pPr>
              <w:autoSpaceDE w:val="0"/>
              <w:autoSpaceDN w:val="0"/>
              <w:adjustRightInd w:val="0"/>
              <w:jc w:val="right"/>
              <w:rPr>
                <w:color w:val="000000"/>
                <w:kern w:val="0"/>
                <w:sz w:val="20"/>
              </w:rPr>
            </w:pPr>
            <w:r w:rsidRPr="00C81B24">
              <w:rPr>
                <w:color w:val="000000"/>
                <w:kern w:val="0"/>
                <w:sz w:val="20"/>
              </w:rPr>
              <w:t>1878</w:t>
            </w:r>
          </w:p>
        </w:tc>
        <w:tc>
          <w:tcPr>
            <w:tcW w:w="736" w:type="dxa"/>
            <w:tcBorders>
              <w:top w:val="nil"/>
              <w:left w:val="nil"/>
              <w:bottom w:val="single" w:sz="4" w:space="0" w:color="auto"/>
              <w:right w:val="single" w:sz="4" w:space="0" w:color="auto"/>
            </w:tcBorders>
            <w:vAlign w:val="bottom"/>
          </w:tcPr>
          <w:p w:rsidR="00C81B24" w:rsidRPr="00C81B24" w:rsidRDefault="00C81B24" w:rsidP="00CE5850">
            <w:pPr>
              <w:jc w:val="right"/>
              <w:rPr>
                <w:color w:val="000000"/>
                <w:sz w:val="20"/>
              </w:rPr>
            </w:pPr>
            <w:r w:rsidRPr="00C81B24">
              <w:rPr>
                <w:color w:val="000000"/>
                <w:sz w:val="20"/>
              </w:rPr>
              <w:t>35.78</w:t>
            </w:r>
          </w:p>
        </w:tc>
      </w:tr>
      <w:tr w:rsidR="00C81B24" w:rsidRPr="00C81B24" w:rsidTr="00526AD9">
        <w:trPr>
          <w:trHeight w:val="255"/>
          <w:jc w:val="center"/>
        </w:trPr>
        <w:tc>
          <w:tcPr>
            <w:tcW w:w="554" w:type="dxa"/>
            <w:tcBorders>
              <w:top w:val="nil"/>
              <w:left w:val="single" w:sz="4" w:space="0" w:color="auto"/>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143</w:t>
            </w:r>
          </w:p>
        </w:tc>
        <w:tc>
          <w:tcPr>
            <w:tcW w:w="456" w:type="dxa"/>
            <w:tcBorders>
              <w:top w:val="nil"/>
              <w:left w:val="single" w:sz="4" w:space="0" w:color="auto"/>
              <w:bottom w:val="single" w:sz="4" w:space="0" w:color="auto"/>
              <w:right w:val="single" w:sz="4" w:space="0" w:color="auto"/>
            </w:tcBorders>
            <w:vAlign w:val="center"/>
          </w:tcPr>
          <w:p w:rsidR="00C81B24" w:rsidRPr="00C81B24" w:rsidRDefault="00C81B24" w:rsidP="00CE5850">
            <w:pPr>
              <w:jc w:val="right"/>
              <w:rPr>
                <w:sz w:val="20"/>
              </w:rPr>
            </w:pPr>
            <w:r w:rsidRPr="00C81B24">
              <w:rPr>
                <w:sz w:val="20"/>
              </w:rPr>
              <w:t>138</w:t>
            </w:r>
          </w:p>
        </w:tc>
        <w:tc>
          <w:tcPr>
            <w:tcW w:w="4012" w:type="dxa"/>
            <w:tcBorders>
              <w:top w:val="nil"/>
              <w:left w:val="nil"/>
              <w:bottom w:val="single" w:sz="4" w:space="0" w:color="auto"/>
              <w:right w:val="single" w:sz="4" w:space="0" w:color="auto"/>
            </w:tcBorders>
            <w:vAlign w:val="center"/>
          </w:tcPr>
          <w:p w:rsidR="00C81B24" w:rsidRPr="00C81B24" w:rsidRDefault="00C81B24" w:rsidP="00CE5850">
            <w:pPr>
              <w:rPr>
                <w:sz w:val="20"/>
              </w:rPr>
            </w:pPr>
            <w:r w:rsidRPr="00C81B24">
              <w:rPr>
                <w:sz w:val="20"/>
              </w:rPr>
              <w:t>Amarillo, TX-NM</w:t>
            </w:r>
          </w:p>
        </w:tc>
        <w:tc>
          <w:tcPr>
            <w:tcW w:w="1102" w:type="dxa"/>
            <w:tcBorders>
              <w:top w:val="nil"/>
              <w:left w:val="nil"/>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 xml:space="preserve"> 459,052 </w:t>
            </w:r>
          </w:p>
        </w:tc>
        <w:tc>
          <w:tcPr>
            <w:tcW w:w="1155" w:type="dxa"/>
            <w:tcBorders>
              <w:top w:val="nil"/>
              <w:left w:val="nil"/>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 xml:space="preserve"> 518,396 </w:t>
            </w:r>
          </w:p>
        </w:tc>
        <w:tc>
          <w:tcPr>
            <w:tcW w:w="979" w:type="dxa"/>
            <w:tcBorders>
              <w:top w:val="nil"/>
              <w:left w:val="nil"/>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89%</w:t>
            </w:r>
          </w:p>
        </w:tc>
        <w:tc>
          <w:tcPr>
            <w:tcW w:w="635" w:type="dxa"/>
            <w:tcBorders>
              <w:top w:val="nil"/>
              <w:left w:val="nil"/>
              <w:bottom w:val="single" w:sz="4" w:space="0" w:color="auto"/>
              <w:right w:val="single" w:sz="4" w:space="0" w:color="auto"/>
            </w:tcBorders>
            <w:noWrap/>
            <w:vAlign w:val="bottom"/>
          </w:tcPr>
          <w:p w:rsidR="00C81B24" w:rsidRPr="00C81B24" w:rsidRDefault="00C81B24" w:rsidP="00CE5850">
            <w:pPr>
              <w:jc w:val="right"/>
              <w:rPr>
                <w:sz w:val="20"/>
              </w:rPr>
            </w:pPr>
            <w:r w:rsidRPr="00C81B24">
              <w:rPr>
                <w:sz w:val="20"/>
              </w:rPr>
              <w:t>2857</w:t>
            </w:r>
          </w:p>
        </w:tc>
        <w:tc>
          <w:tcPr>
            <w:tcW w:w="536" w:type="dxa"/>
            <w:tcBorders>
              <w:top w:val="nil"/>
              <w:left w:val="nil"/>
              <w:bottom w:val="single" w:sz="4" w:space="0" w:color="auto"/>
              <w:right w:val="single" w:sz="4" w:space="0" w:color="auto"/>
            </w:tcBorders>
            <w:vAlign w:val="bottom"/>
          </w:tcPr>
          <w:p w:rsidR="00C81B24" w:rsidRPr="00C81B24" w:rsidRDefault="00C81B24" w:rsidP="00CE5850">
            <w:pPr>
              <w:autoSpaceDE w:val="0"/>
              <w:autoSpaceDN w:val="0"/>
              <w:adjustRightInd w:val="0"/>
              <w:jc w:val="right"/>
              <w:rPr>
                <w:color w:val="000000"/>
                <w:kern w:val="0"/>
                <w:sz w:val="20"/>
              </w:rPr>
            </w:pPr>
            <w:r w:rsidRPr="00C81B24">
              <w:rPr>
                <w:color w:val="000000"/>
                <w:kern w:val="0"/>
                <w:sz w:val="20"/>
              </w:rPr>
              <w:t>2705</w:t>
            </w:r>
          </w:p>
        </w:tc>
        <w:tc>
          <w:tcPr>
            <w:tcW w:w="736" w:type="dxa"/>
            <w:tcBorders>
              <w:top w:val="nil"/>
              <w:left w:val="nil"/>
              <w:bottom w:val="single" w:sz="4" w:space="0" w:color="auto"/>
              <w:right w:val="single" w:sz="4" w:space="0" w:color="auto"/>
            </w:tcBorders>
            <w:vAlign w:val="bottom"/>
          </w:tcPr>
          <w:p w:rsidR="00C81B24" w:rsidRPr="00C81B24" w:rsidRDefault="00C81B24" w:rsidP="00CE5850">
            <w:pPr>
              <w:jc w:val="right"/>
              <w:rPr>
                <w:color w:val="000000"/>
                <w:sz w:val="20"/>
              </w:rPr>
            </w:pPr>
            <w:r w:rsidRPr="00C81B24">
              <w:rPr>
                <w:color w:val="000000"/>
                <w:sz w:val="20"/>
              </w:rPr>
              <w:t>12.57</w:t>
            </w:r>
          </w:p>
        </w:tc>
      </w:tr>
      <w:tr w:rsidR="00C81B24" w:rsidRPr="00C81B24" w:rsidTr="00526AD9">
        <w:trPr>
          <w:trHeight w:val="255"/>
          <w:jc w:val="center"/>
        </w:trPr>
        <w:tc>
          <w:tcPr>
            <w:tcW w:w="554" w:type="dxa"/>
            <w:tcBorders>
              <w:top w:val="nil"/>
              <w:left w:val="single" w:sz="4" w:space="0" w:color="auto"/>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144</w:t>
            </w:r>
          </w:p>
        </w:tc>
        <w:tc>
          <w:tcPr>
            <w:tcW w:w="456" w:type="dxa"/>
            <w:tcBorders>
              <w:top w:val="nil"/>
              <w:left w:val="single" w:sz="4" w:space="0" w:color="auto"/>
              <w:bottom w:val="single" w:sz="4" w:space="0" w:color="auto"/>
              <w:right w:val="single" w:sz="4" w:space="0" w:color="auto"/>
            </w:tcBorders>
            <w:vAlign w:val="center"/>
          </w:tcPr>
          <w:p w:rsidR="00C81B24" w:rsidRPr="00C81B24" w:rsidRDefault="00C81B24" w:rsidP="00CE5850">
            <w:pPr>
              <w:jc w:val="right"/>
              <w:rPr>
                <w:sz w:val="20"/>
              </w:rPr>
            </w:pPr>
            <w:r w:rsidRPr="00C81B24">
              <w:rPr>
                <w:sz w:val="20"/>
              </w:rPr>
              <w:t>166</w:t>
            </w:r>
          </w:p>
        </w:tc>
        <w:tc>
          <w:tcPr>
            <w:tcW w:w="4012" w:type="dxa"/>
            <w:tcBorders>
              <w:top w:val="nil"/>
              <w:left w:val="nil"/>
              <w:bottom w:val="single" w:sz="4" w:space="0" w:color="auto"/>
              <w:right w:val="single" w:sz="4" w:space="0" w:color="auto"/>
            </w:tcBorders>
            <w:vAlign w:val="center"/>
          </w:tcPr>
          <w:p w:rsidR="00C81B24" w:rsidRPr="00C81B24" w:rsidRDefault="00C81B24" w:rsidP="00CE5850">
            <w:pPr>
              <w:rPr>
                <w:sz w:val="20"/>
              </w:rPr>
            </w:pPr>
            <w:r w:rsidRPr="00C81B24">
              <w:rPr>
                <w:sz w:val="20"/>
              </w:rPr>
              <w:t>Eugene-Springfield, OR-CA</w:t>
            </w:r>
          </w:p>
        </w:tc>
        <w:tc>
          <w:tcPr>
            <w:tcW w:w="1102" w:type="dxa"/>
            <w:tcBorders>
              <w:top w:val="nil"/>
              <w:left w:val="nil"/>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 xml:space="preserve"> 768,984 </w:t>
            </w:r>
          </w:p>
        </w:tc>
        <w:tc>
          <w:tcPr>
            <w:tcW w:w="1155" w:type="dxa"/>
            <w:tcBorders>
              <w:top w:val="nil"/>
              <w:left w:val="nil"/>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 xml:space="preserve"> 862,591 </w:t>
            </w:r>
          </w:p>
        </w:tc>
        <w:tc>
          <w:tcPr>
            <w:tcW w:w="979" w:type="dxa"/>
            <w:tcBorders>
              <w:top w:val="nil"/>
              <w:left w:val="nil"/>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89%</w:t>
            </w:r>
          </w:p>
        </w:tc>
        <w:tc>
          <w:tcPr>
            <w:tcW w:w="635" w:type="dxa"/>
            <w:tcBorders>
              <w:top w:val="nil"/>
              <w:left w:val="nil"/>
              <w:bottom w:val="single" w:sz="4" w:space="0" w:color="auto"/>
              <w:right w:val="single" w:sz="4" w:space="0" w:color="auto"/>
            </w:tcBorders>
            <w:noWrap/>
            <w:vAlign w:val="bottom"/>
          </w:tcPr>
          <w:p w:rsidR="00C81B24" w:rsidRPr="00C81B24" w:rsidRDefault="00C81B24" w:rsidP="00CE5850">
            <w:pPr>
              <w:jc w:val="right"/>
              <w:rPr>
                <w:sz w:val="20"/>
              </w:rPr>
            </w:pPr>
            <w:r w:rsidRPr="00C81B24">
              <w:rPr>
                <w:sz w:val="20"/>
              </w:rPr>
              <w:t>2651</w:t>
            </w:r>
          </w:p>
        </w:tc>
        <w:tc>
          <w:tcPr>
            <w:tcW w:w="536" w:type="dxa"/>
            <w:tcBorders>
              <w:top w:val="nil"/>
              <w:left w:val="nil"/>
              <w:bottom w:val="single" w:sz="4" w:space="0" w:color="auto"/>
              <w:right w:val="single" w:sz="4" w:space="0" w:color="auto"/>
            </w:tcBorders>
            <w:vAlign w:val="bottom"/>
          </w:tcPr>
          <w:p w:rsidR="00C81B24" w:rsidRPr="00C81B24" w:rsidRDefault="00C81B24" w:rsidP="00CE5850">
            <w:pPr>
              <w:autoSpaceDE w:val="0"/>
              <w:autoSpaceDN w:val="0"/>
              <w:adjustRightInd w:val="0"/>
              <w:jc w:val="right"/>
              <w:rPr>
                <w:color w:val="000000"/>
                <w:kern w:val="0"/>
                <w:sz w:val="20"/>
              </w:rPr>
            </w:pPr>
            <w:r w:rsidRPr="00C81B24">
              <w:rPr>
                <w:color w:val="000000"/>
                <w:kern w:val="0"/>
                <w:sz w:val="20"/>
              </w:rPr>
              <w:t>2569</w:t>
            </w:r>
          </w:p>
        </w:tc>
        <w:tc>
          <w:tcPr>
            <w:tcW w:w="736" w:type="dxa"/>
            <w:tcBorders>
              <w:top w:val="nil"/>
              <w:left w:val="nil"/>
              <w:bottom w:val="single" w:sz="4" w:space="0" w:color="auto"/>
              <w:right w:val="single" w:sz="4" w:space="0" w:color="auto"/>
            </w:tcBorders>
            <w:vAlign w:val="bottom"/>
          </w:tcPr>
          <w:p w:rsidR="00C81B24" w:rsidRPr="00C81B24" w:rsidRDefault="00C81B24" w:rsidP="00CE5850">
            <w:pPr>
              <w:jc w:val="right"/>
              <w:rPr>
                <w:color w:val="000000"/>
                <w:sz w:val="20"/>
              </w:rPr>
            </w:pPr>
            <w:r w:rsidRPr="00C81B24">
              <w:rPr>
                <w:color w:val="000000"/>
                <w:sz w:val="20"/>
              </w:rPr>
              <w:t>47.11</w:t>
            </w:r>
          </w:p>
        </w:tc>
      </w:tr>
      <w:tr w:rsidR="00C81B24" w:rsidRPr="00C81B24" w:rsidTr="00526AD9">
        <w:trPr>
          <w:trHeight w:val="255"/>
          <w:jc w:val="center"/>
        </w:trPr>
        <w:tc>
          <w:tcPr>
            <w:tcW w:w="554" w:type="dxa"/>
            <w:tcBorders>
              <w:top w:val="nil"/>
              <w:left w:val="single" w:sz="4" w:space="0" w:color="auto"/>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145</w:t>
            </w:r>
          </w:p>
        </w:tc>
        <w:tc>
          <w:tcPr>
            <w:tcW w:w="456" w:type="dxa"/>
            <w:tcBorders>
              <w:top w:val="nil"/>
              <w:left w:val="single" w:sz="4" w:space="0" w:color="auto"/>
              <w:bottom w:val="single" w:sz="4" w:space="0" w:color="auto"/>
              <w:right w:val="single" w:sz="4" w:space="0" w:color="auto"/>
            </w:tcBorders>
            <w:vAlign w:val="center"/>
          </w:tcPr>
          <w:p w:rsidR="00C81B24" w:rsidRPr="00C81B24" w:rsidRDefault="00C81B24" w:rsidP="00CE5850">
            <w:pPr>
              <w:jc w:val="right"/>
              <w:rPr>
                <w:sz w:val="20"/>
              </w:rPr>
            </w:pPr>
            <w:r w:rsidRPr="00C81B24">
              <w:rPr>
                <w:sz w:val="20"/>
              </w:rPr>
              <w:t>32</w:t>
            </w:r>
          </w:p>
        </w:tc>
        <w:tc>
          <w:tcPr>
            <w:tcW w:w="4012" w:type="dxa"/>
            <w:tcBorders>
              <w:top w:val="nil"/>
              <w:left w:val="nil"/>
              <w:bottom w:val="single" w:sz="4" w:space="0" w:color="auto"/>
              <w:right w:val="single" w:sz="4" w:space="0" w:color="auto"/>
            </w:tcBorders>
            <w:vAlign w:val="center"/>
          </w:tcPr>
          <w:p w:rsidR="00C81B24" w:rsidRPr="00C81B24" w:rsidRDefault="00C81B24" w:rsidP="00CE5850">
            <w:pPr>
              <w:rPr>
                <w:sz w:val="20"/>
              </w:rPr>
            </w:pPr>
            <w:r w:rsidRPr="00C81B24">
              <w:rPr>
                <w:sz w:val="20"/>
              </w:rPr>
              <w:t>FortMyers-Cape Coral, FL</w:t>
            </w:r>
          </w:p>
        </w:tc>
        <w:tc>
          <w:tcPr>
            <w:tcW w:w="1102" w:type="dxa"/>
            <w:tcBorders>
              <w:top w:val="nil"/>
              <w:left w:val="nil"/>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 xml:space="preserve"> 842,445 </w:t>
            </w:r>
          </w:p>
        </w:tc>
        <w:tc>
          <w:tcPr>
            <w:tcW w:w="1155" w:type="dxa"/>
            <w:tcBorders>
              <w:top w:val="nil"/>
              <w:left w:val="nil"/>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 xml:space="preserve"> 959,464 </w:t>
            </w:r>
          </w:p>
        </w:tc>
        <w:tc>
          <w:tcPr>
            <w:tcW w:w="979" w:type="dxa"/>
            <w:tcBorders>
              <w:top w:val="nil"/>
              <w:left w:val="nil"/>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88%</w:t>
            </w:r>
          </w:p>
        </w:tc>
        <w:tc>
          <w:tcPr>
            <w:tcW w:w="635" w:type="dxa"/>
            <w:tcBorders>
              <w:top w:val="nil"/>
              <w:left w:val="nil"/>
              <w:bottom w:val="single" w:sz="4" w:space="0" w:color="auto"/>
              <w:right w:val="single" w:sz="4" w:space="0" w:color="auto"/>
            </w:tcBorders>
            <w:noWrap/>
            <w:vAlign w:val="bottom"/>
          </w:tcPr>
          <w:p w:rsidR="00C81B24" w:rsidRPr="00C81B24" w:rsidRDefault="00C81B24" w:rsidP="00CE5850">
            <w:pPr>
              <w:jc w:val="right"/>
              <w:rPr>
                <w:sz w:val="20"/>
              </w:rPr>
            </w:pPr>
            <w:r w:rsidRPr="00C81B24">
              <w:rPr>
                <w:sz w:val="20"/>
              </w:rPr>
              <w:t>2402</w:t>
            </w:r>
          </w:p>
        </w:tc>
        <w:tc>
          <w:tcPr>
            <w:tcW w:w="536" w:type="dxa"/>
            <w:tcBorders>
              <w:top w:val="nil"/>
              <w:left w:val="nil"/>
              <w:bottom w:val="single" w:sz="4" w:space="0" w:color="auto"/>
              <w:right w:val="single" w:sz="4" w:space="0" w:color="auto"/>
            </w:tcBorders>
            <w:vAlign w:val="bottom"/>
          </w:tcPr>
          <w:p w:rsidR="00C81B24" w:rsidRPr="00C81B24" w:rsidRDefault="00C81B24" w:rsidP="00CE5850">
            <w:pPr>
              <w:autoSpaceDE w:val="0"/>
              <w:autoSpaceDN w:val="0"/>
              <w:adjustRightInd w:val="0"/>
              <w:jc w:val="right"/>
              <w:rPr>
                <w:color w:val="000000"/>
                <w:kern w:val="0"/>
                <w:sz w:val="20"/>
              </w:rPr>
            </w:pPr>
            <w:r w:rsidRPr="00C81B24">
              <w:rPr>
                <w:color w:val="000000"/>
                <w:kern w:val="0"/>
                <w:sz w:val="20"/>
              </w:rPr>
              <w:t>2407</w:t>
            </w:r>
          </w:p>
        </w:tc>
        <w:tc>
          <w:tcPr>
            <w:tcW w:w="736" w:type="dxa"/>
            <w:tcBorders>
              <w:top w:val="nil"/>
              <w:left w:val="nil"/>
              <w:bottom w:val="single" w:sz="4" w:space="0" w:color="auto"/>
              <w:right w:val="single" w:sz="4" w:space="0" w:color="auto"/>
            </w:tcBorders>
            <w:vAlign w:val="bottom"/>
          </w:tcPr>
          <w:p w:rsidR="00C81B24" w:rsidRPr="00C81B24" w:rsidRDefault="00C81B24" w:rsidP="00CE5850">
            <w:pPr>
              <w:jc w:val="right"/>
              <w:rPr>
                <w:color w:val="000000"/>
                <w:sz w:val="20"/>
              </w:rPr>
            </w:pPr>
            <w:r w:rsidRPr="00C81B24">
              <w:rPr>
                <w:color w:val="000000"/>
                <w:sz w:val="20"/>
              </w:rPr>
              <w:t>337.88</w:t>
            </w:r>
          </w:p>
        </w:tc>
      </w:tr>
      <w:tr w:rsidR="00C81B24" w:rsidRPr="00C81B24" w:rsidTr="00526AD9">
        <w:trPr>
          <w:trHeight w:val="255"/>
          <w:jc w:val="center"/>
        </w:trPr>
        <w:tc>
          <w:tcPr>
            <w:tcW w:w="554" w:type="dxa"/>
            <w:tcBorders>
              <w:top w:val="nil"/>
              <w:left w:val="single" w:sz="4" w:space="0" w:color="auto"/>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146</w:t>
            </w:r>
          </w:p>
        </w:tc>
        <w:tc>
          <w:tcPr>
            <w:tcW w:w="456" w:type="dxa"/>
            <w:tcBorders>
              <w:top w:val="nil"/>
              <w:left w:val="single" w:sz="4" w:space="0" w:color="auto"/>
              <w:bottom w:val="single" w:sz="4" w:space="0" w:color="auto"/>
              <w:right w:val="single" w:sz="4" w:space="0" w:color="auto"/>
            </w:tcBorders>
            <w:vAlign w:val="center"/>
          </w:tcPr>
          <w:p w:rsidR="00C81B24" w:rsidRPr="00C81B24" w:rsidRDefault="00C81B24" w:rsidP="00CE5850">
            <w:pPr>
              <w:jc w:val="right"/>
              <w:rPr>
                <w:sz w:val="20"/>
              </w:rPr>
            </w:pPr>
            <w:r w:rsidRPr="00C81B24">
              <w:rPr>
                <w:sz w:val="20"/>
              </w:rPr>
              <w:t>60</w:t>
            </w:r>
          </w:p>
        </w:tc>
        <w:tc>
          <w:tcPr>
            <w:tcW w:w="4012" w:type="dxa"/>
            <w:tcBorders>
              <w:top w:val="nil"/>
              <w:left w:val="nil"/>
              <w:bottom w:val="single" w:sz="4" w:space="0" w:color="auto"/>
              <w:right w:val="single" w:sz="4" w:space="0" w:color="auto"/>
            </w:tcBorders>
            <w:vAlign w:val="center"/>
          </w:tcPr>
          <w:p w:rsidR="00C81B24" w:rsidRPr="00C81B24" w:rsidRDefault="00C81B24" w:rsidP="00CE5850">
            <w:pPr>
              <w:rPr>
                <w:sz w:val="20"/>
              </w:rPr>
            </w:pPr>
            <w:r w:rsidRPr="00C81B24">
              <w:rPr>
                <w:sz w:val="20"/>
              </w:rPr>
              <w:t>Appleton-Oshkosh-Neenah, WI</w:t>
            </w:r>
          </w:p>
        </w:tc>
        <w:tc>
          <w:tcPr>
            <w:tcW w:w="1102" w:type="dxa"/>
            <w:tcBorders>
              <w:top w:val="nil"/>
              <w:left w:val="nil"/>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 xml:space="preserve"> 413,895 </w:t>
            </w:r>
          </w:p>
        </w:tc>
        <w:tc>
          <w:tcPr>
            <w:tcW w:w="1155" w:type="dxa"/>
            <w:tcBorders>
              <w:top w:val="nil"/>
              <w:left w:val="nil"/>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 xml:space="preserve"> 472,360 </w:t>
            </w:r>
          </w:p>
        </w:tc>
        <w:tc>
          <w:tcPr>
            <w:tcW w:w="979" w:type="dxa"/>
            <w:tcBorders>
              <w:top w:val="nil"/>
              <w:left w:val="nil"/>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88%</w:t>
            </w:r>
          </w:p>
        </w:tc>
        <w:tc>
          <w:tcPr>
            <w:tcW w:w="635" w:type="dxa"/>
            <w:tcBorders>
              <w:top w:val="nil"/>
              <w:left w:val="nil"/>
              <w:bottom w:val="single" w:sz="4" w:space="0" w:color="auto"/>
              <w:right w:val="single" w:sz="4" w:space="0" w:color="auto"/>
            </w:tcBorders>
            <w:noWrap/>
            <w:vAlign w:val="bottom"/>
          </w:tcPr>
          <w:p w:rsidR="00C81B24" w:rsidRPr="00C81B24" w:rsidRDefault="00C81B24" w:rsidP="00CE5850">
            <w:pPr>
              <w:jc w:val="right"/>
              <w:rPr>
                <w:sz w:val="20"/>
              </w:rPr>
            </w:pPr>
            <w:r w:rsidRPr="00C81B24">
              <w:rPr>
                <w:sz w:val="20"/>
              </w:rPr>
              <w:t>2510</w:t>
            </w:r>
          </w:p>
        </w:tc>
        <w:tc>
          <w:tcPr>
            <w:tcW w:w="536" w:type="dxa"/>
            <w:tcBorders>
              <w:top w:val="nil"/>
              <w:left w:val="nil"/>
              <w:bottom w:val="single" w:sz="4" w:space="0" w:color="auto"/>
              <w:right w:val="single" w:sz="4" w:space="0" w:color="auto"/>
            </w:tcBorders>
            <w:vAlign w:val="bottom"/>
          </w:tcPr>
          <w:p w:rsidR="00C81B24" w:rsidRPr="00C81B24" w:rsidRDefault="00C81B24" w:rsidP="00CE5850">
            <w:pPr>
              <w:autoSpaceDE w:val="0"/>
              <w:autoSpaceDN w:val="0"/>
              <w:adjustRightInd w:val="0"/>
              <w:jc w:val="right"/>
              <w:rPr>
                <w:color w:val="000000"/>
                <w:kern w:val="0"/>
                <w:sz w:val="20"/>
              </w:rPr>
            </w:pPr>
            <w:r w:rsidRPr="00C81B24">
              <w:rPr>
                <w:color w:val="000000"/>
                <w:kern w:val="0"/>
                <w:sz w:val="20"/>
              </w:rPr>
              <w:t>2473</w:t>
            </w:r>
          </w:p>
        </w:tc>
        <w:tc>
          <w:tcPr>
            <w:tcW w:w="736" w:type="dxa"/>
            <w:tcBorders>
              <w:top w:val="nil"/>
              <w:left w:val="nil"/>
              <w:bottom w:val="single" w:sz="4" w:space="0" w:color="auto"/>
              <w:right w:val="single" w:sz="4" w:space="0" w:color="auto"/>
            </w:tcBorders>
            <w:vAlign w:val="bottom"/>
          </w:tcPr>
          <w:p w:rsidR="00C81B24" w:rsidRPr="00C81B24" w:rsidRDefault="00C81B24" w:rsidP="00CE5850">
            <w:pPr>
              <w:jc w:val="right"/>
              <w:rPr>
                <w:color w:val="000000"/>
                <w:sz w:val="20"/>
              </w:rPr>
            </w:pPr>
            <w:r w:rsidRPr="00C81B24">
              <w:rPr>
                <w:color w:val="000000"/>
                <w:sz w:val="20"/>
              </w:rPr>
              <w:t>169.88</w:t>
            </w:r>
          </w:p>
        </w:tc>
      </w:tr>
      <w:tr w:rsidR="00C81B24" w:rsidRPr="00C81B24" w:rsidTr="00526AD9">
        <w:trPr>
          <w:trHeight w:val="255"/>
          <w:jc w:val="center"/>
        </w:trPr>
        <w:tc>
          <w:tcPr>
            <w:tcW w:w="554" w:type="dxa"/>
            <w:tcBorders>
              <w:top w:val="nil"/>
              <w:left w:val="single" w:sz="4" w:space="0" w:color="auto"/>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147</w:t>
            </w:r>
          </w:p>
        </w:tc>
        <w:tc>
          <w:tcPr>
            <w:tcW w:w="456" w:type="dxa"/>
            <w:tcBorders>
              <w:top w:val="nil"/>
              <w:left w:val="single" w:sz="4" w:space="0" w:color="auto"/>
              <w:bottom w:val="single" w:sz="4" w:space="0" w:color="auto"/>
              <w:right w:val="single" w:sz="4" w:space="0" w:color="auto"/>
            </w:tcBorders>
            <w:vAlign w:val="center"/>
          </w:tcPr>
          <w:p w:rsidR="00C81B24" w:rsidRPr="00C81B24" w:rsidRDefault="00C81B24" w:rsidP="00CE5850">
            <w:pPr>
              <w:jc w:val="right"/>
              <w:rPr>
                <w:sz w:val="20"/>
              </w:rPr>
            </w:pPr>
            <w:r w:rsidRPr="00C81B24">
              <w:rPr>
                <w:sz w:val="20"/>
              </w:rPr>
              <w:t>65</w:t>
            </w:r>
          </w:p>
        </w:tc>
        <w:tc>
          <w:tcPr>
            <w:tcW w:w="4012" w:type="dxa"/>
            <w:tcBorders>
              <w:top w:val="nil"/>
              <w:left w:val="nil"/>
              <w:bottom w:val="single" w:sz="4" w:space="0" w:color="auto"/>
              <w:right w:val="single" w:sz="4" w:space="0" w:color="auto"/>
            </w:tcBorders>
            <w:vAlign w:val="center"/>
          </w:tcPr>
          <w:p w:rsidR="00C81B24" w:rsidRPr="00C81B24" w:rsidRDefault="00C81B24" w:rsidP="00CE5850">
            <w:pPr>
              <w:rPr>
                <w:sz w:val="20"/>
              </w:rPr>
            </w:pPr>
            <w:r w:rsidRPr="00C81B24">
              <w:rPr>
                <w:sz w:val="20"/>
              </w:rPr>
              <w:t>Elkhart-Goshen, IN-MI</w:t>
            </w:r>
          </w:p>
        </w:tc>
        <w:tc>
          <w:tcPr>
            <w:tcW w:w="1102" w:type="dxa"/>
            <w:tcBorders>
              <w:top w:val="nil"/>
              <w:left w:val="nil"/>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 xml:space="preserve"> 835,631 </w:t>
            </w:r>
          </w:p>
        </w:tc>
        <w:tc>
          <w:tcPr>
            <w:tcW w:w="1155" w:type="dxa"/>
            <w:tcBorders>
              <w:top w:val="nil"/>
              <w:left w:val="nil"/>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 xml:space="preserve"> 954,908 </w:t>
            </w:r>
          </w:p>
        </w:tc>
        <w:tc>
          <w:tcPr>
            <w:tcW w:w="979" w:type="dxa"/>
            <w:tcBorders>
              <w:top w:val="nil"/>
              <w:left w:val="nil"/>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88%</w:t>
            </w:r>
          </w:p>
        </w:tc>
        <w:tc>
          <w:tcPr>
            <w:tcW w:w="635" w:type="dxa"/>
            <w:tcBorders>
              <w:top w:val="nil"/>
              <w:left w:val="nil"/>
              <w:bottom w:val="single" w:sz="4" w:space="0" w:color="auto"/>
              <w:right w:val="single" w:sz="4" w:space="0" w:color="auto"/>
            </w:tcBorders>
            <w:noWrap/>
            <w:vAlign w:val="bottom"/>
          </w:tcPr>
          <w:p w:rsidR="00C81B24" w:rsidRPr="00C81B24" w:rsidRDefault="00C81B24" w:rsidP="00CE5850">
            <w:pPr>
              <w:jc w:val="right"/>
              <w:rPr>
                <w:sz w:val="20"/>
              </w:rPr>
            </w:pPr>
            <w:r w:rsidRPr="00C81B24">
              <w:rPr>
                <w:sz w:val="20"/>
              </w:rPr>
              <w:t>3170</w:t>
            </w:r>
          </w:p>
        </w:tc>
        <w:tc>
          <w:tcPr>
            <w:tcW w:w="536" w:type="dxa"/>
            <w:tcBorders>
              <w:top w:val="nil"/>
              <w:left w:val="nil"/>
              <w:bottom w:val="single" w:sz="4" w:space="0" w:color="auto"/>
              <w:right w:val="single" w:sz="4" w:space="0" w:color="auto"/>
            </w:tcBorders>
            <w:vAlign w:val="bottom"/>
          </w:tcPr>
          <w:p w:rsidR="00C81B24" w:rsidRPr="00C81B24" w:rsidRDefault="00C81B24" w:rsidP="00CE5850">
            <w:pPr>
              <w:autoSpaceDE w:val="0"/>
              <w:autoSpaceDN w:val="0"/>
              <w:adjustRightInd w:val="0"/>
              <w:jc w:val="right"/>
              <w:rPr>
                <w:color w:val="000000"/>
                <w:kern w:val="0"/>
                <w:sz w:val="20"/>
              </w:rPr>
            </w:pPr>
            <w:r w:rsidRPr="00C81B24">
              <w:rPr>
                <w:color w:val="000000"/>
                <w:kern w:val="0"/>
                <w:sz w:val="20"/>
              </w:rPr>
              <w:t>3186</w:t>
            </w:r>
          </w:p>
        </w:tc>
        <w:tc>
          <w:tcPr>
            <w:tcW w:w="736" w:type="dxa"/>
            <w:tcBorders>
              <w:top w:val="nil"/>
              <w:left w:val="nil"/>
              <w:bottom w:val="single" w:sz="4" w:space="0" w:color="auto"/>
              <w:right w:val="single" w:sz="4" w:space="0" w:color="auto"/>
            </w:tcBorders>
            <w:vAlign w:val="bottom"/>
          </w:tcPr>
          <w:p w:rsidR="00C81B24" w:rsidRPr="00C81B24" w:rsidRDefault="00C81B24" w:rsidP="00CE5850">
            <w:pPr>
              <w:jc w:val="right"/>
              <w:rPr>
                <w:color w:val="000000"/>
                <w:sz w:val="20"/>
              </w:rPr>
            </w:pPr>
            <w:r w:rsidRPr="00C81B24">
              <w:rPr>
                <w:color w:val="000000"/>
                <w:sz w:val="20"/>
              </w:rPr>
              <w:t>192.92</w:t>
            </w:r>
          </w:p>
        </w:tc>
      </w:tr>
      <w:tr w:rsidR="00C81B24" w:rsidRPr="00C81B24" w:rsidTr="00526AD9">
        <w:trPr>
          <w:trHeight w:val="255"/>
          <w:jc w:val="center"/>
        </w:trPr>
        <w:tc>
          <w:tcPr>
            <w:tcW w:w="554" w:type="dxa"/>
            <w:tcBorders>
              <w:top w:val="nil"/>
              <w:left w:val="single" w:sz="4" w:space="0" w:color="auto"/>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148</w:t>
            </w:r>
          </w:p>
        </w:tc>
        <w:tc>
          <w:tcPr>
            <w:tcW w:w="456" w:type="dxa"/>
            <w:tcBorders>
              <w:top w:val="nil"/>
              <w:left w:val="single" w:sz="4" w:space="0" w:color="auto"/>
              <w:bottom w:val="single" w:sz="4" w:space="0" w:color="auto"/>
              <w:right w:val="single" w:sz="4" w:space="0" w:color="auto"/>
            </w:tcBorders>
            <w:vAlign w:val="center"/>
          </w:tcPr>
          <w:p w:rsidR="00C81B24" w:rsidRPr="00C81B24" w:rsidRDefault="00C81B24" w:rsidP="00CE5850">
            <w:pPr>
              <w:jc w:val="right"/>
              <w:rPr>
                <w:sz w:val="20"/>
              </w:rPr>
            </w:pPr>
            <w:r w:rsidRPr="00C81B24">
              <w:rPr>
                <w:sz w:val="20"/>
              </w:rPr>
              <w:t>94</w:t>
            </w:r>
          </w:p>
        </w:tc>
        <w:tc>
          <w:tcPr>
            <w:tcW w:w="4012" w:type="dxa"/>
            <w:tcBorders>
              <w:top w:val="nil"/>
              <w:left w:val="nil"/>
              <w:bottom w:val="single" w:sz="4" w:space="0" w:color="auto"/>
              <w:right w:val="single" w:sz="4" w:space="0" w:color="auto"/>
            </w:tcBorders>
            <w:vAlign w:val="center"/>
          </w:tcPr>
          <w:p w:rsidR="00C81B24" w:rsidRPr="00C81B24" w:rsidRDefault="00C81B24" w:rsidP="00CE5850">
            <w:pPr>
              <w:rPr>
                <w:sz w:val="20"/>
              </w:rPr>
            </w:pPr>
            <w:r w:rsidRPr="00C81B24">
              <w:rPr>
                <w:sz w:val="20"/>
              </w:rPr>
              <w:t>Springfield, MO</w:t>
            </w:r>
          </w:p>
        </w:tc>
        <w:tc>
          <w:tcPr>
            <w:tcW w:w="1102" w:type="dxa"/>
            <w:tcBorders>
              <w:top w:val="nil"/>
              <w:left w:val="nil"/>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 xml:space="preserve"> 875,097 </w:t>
            </w:r>
          </w:p>
        </w:tc>
        <w:tc>
          <w:tcPr>
            <w:tcW w:w="1155" w:type="dxa"/>
            <w:tcBorders>
              <w:top w:val="nil"/>
              <w:left w:val="nil"/>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 xml:space="preserve"> 992,056 </w:t>
            </w:r>
          </w:p>
        </w:tc>
        <w:tc>
          <w:tcPr>
            <w:tcW w:w="979" w:type="dxa"/>
            <w:tcBorders>
              <w:top w:val="nil"/>
              <w:left w:val="nil"/>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88%</w:t>
            </w:r>
          </w:p>
        </w:tc>
        <w:tc>
          <w:tcPr>
            <w:tcW w:w="635" w:type="dxa"/>
            <w:tcBorders>
              <w:top w:val="nil"/>
              <w:left w:val="nil"/>
              <w:bottom w:val="single" w:sz="4" w:space="0" w:color="auto"/>
              <w:right w:val="single" w:sz="4" w:space="0" w:color="auto"/>
            </w:tcBorders>
            <w:noWrap/>
            <w:vAlign w:val="bottom"/>
          </w:tcPr>
          <w:p w:rsidR="00C81B24" w:rsidRPr="00C81B24" w:rsidRDefault="00C81B24" w:rsidP="00CE5850">
            <w:pPr>
              <w:jc w:val="right"/>
              <w:rPr>
                <w:sz w:val="20"/>
              </w:rPr>
            </w:pPr>
            <w:r w:rsidRPr="00C81B24">
              <w:rPr>
                <w:sz w:val="20"/>
              </w:rPr>
              <w:t>3641</w:t>
            </w:r>
          </w:p>
        </w:tc>
        <w:tc>
          <w:tcPr>
            <w:tcW w:w="536" w:type="dxa"/>
            <w:tcBorders>
              <w:top w:val="nil"/>
              <w:left w:val="nil"/>
              <w:bottom w:val="single" w:sz="4" w:space="0" w:color="auto"/>
              <w:right w:val="single" w:sz="4" w:space="0" w:color="auto"/>
            </w:tcBorders>
            <w:vAlign w:val="bottom"/>
          </w:tcPr>
          <w:p w:rsidR="00C81B24" w:rsidRPr="00C81B24" w:rsidRDefault="00C81B24" w:rsidP="00CE5850">
            <w:pPr>
              <w:autoSpaceDE w:val="0"/>
              <w:autoSpaceDN w:val="0"/>
              <w:adjustRightInd w:val="0"/>
              <w:jc w:val="right"/>
              <w:rPr>
                <w:color w:val="000000"/>
                <w:kern w:val="0"/>
                <w:sz w:val="20"/>
              </w:rPr>
            </w:pPr>
            <w:r w:rsidRPr="00C81B24">
              <w:rPr>
                <w:color w:val="000000"/>
                <w:kern w:val="0"/>
                <w:sz w:val="20"/>
              </w:rPr>
              <w:t>3677</w:t>
            </w:r>
          </w:p>
        </w:tc>
        <w:tc>
          <w:tcPr>
            <w:tcW w:w="736" w:type="dxa"/>
            <w:tcBorders>
              <w:top w:val="nil"/>
              <w:left w:val="nil"/>
              <w:bottom w:val="single" w:sz="4" w:space="0" w:color="auto"/>
              <w:right w:val="single" w:sz="4" w:space="0" w:color="auto"/>
            </w:tcBorders>
            <w:vAlign w:val="bottom"/>
          </w:tcPr>
          <w:p w:rsidR="00C81B24" w:rsidRPr="00C81B24" w:rsidRDefault="00C81B24" w:rsidP="00CE5850">
            <w:pPr>
              <w:jc w:val="right"/>
              <w:rPr>
                <w:color w:val="000000"/>
                <w:sz w:val="20"/>
              </w:rPr>
            </w:pPr>
            <w:r w:rsidRPr="00C81B24">
              <w:rPr>
                <w:color w:val="000000"/>
                <w:sz w:val="20"/>
              </w:rPr>
              <w:t>56.01</w:t>
            </w:r>
          </w:p>
        </w:tc>
      </w:tr>
      <w:tr w:rsidR="00C81B24" w:rsidRPr="00C81B24" w:rsidTr="00526AD9">
        <w:trPr>
          <w:trHeight w:val="255"/>
          <w:jc w:val="center"/>
        </w:trPr>
        <w:tc>
          <w:tcPr>
            <w:tcW w:w="554" w:type="dxa"/>
            <w:tcBorders>
              <w:top w:val="nil"/>
              <w:left w:val="single" w:sz="4" w:space="0" w:color="auto"/>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149</w:t>
            </w:r>
          </w:p>
        </w:tc>
        <w:tc>
          <w:tcPr>
            <w:tcW w:w="456" w:type="dxa"/>
            <w:tcBorders>
              <w:top w:val="nil"/>
              <w:left w:val="single" w:sz="4" w:space="0" w:color="auto"/>
              <w:bottom w:val="single" w:sz="4" w:space="0" w:color="auto"/>
              <w:right w:val="single" w:sz="4" w:space="0" w:color="auto"/>
            </w:tcBorders>
            <w:vAlign w:val="center"/>
          </w:tcPr>
          <w:p w:rsidR="00C81B24" w:rsidRPr="00C81B24" w:rsidRDefault="00C81B24" w:rsidP="00CE5850">
            <w:pPr>
              <w:jc w:val="right"/>
              <w:rPr>
                <w:sz w:val="20"/>
              </w:rPr>
            </w:pPr>
            <w:r w:rsidRPr="00C81B24">
              <w:rPr>
                <w:sz w:val="20"/>
              </w:rPr>
              <w:t>104</w:t>
            </w:r>
          </w:p>
        </w:tc>
        <w:tc>
          <w:tcPr>
            <w:tcW w:w="4012" w:type="dxa"/>
            <w:tcBorders>
              <w:top w:val="nil"/>
              <w:left w:val="nil"/>
              <w:bottom w:val="single" w:sz="4" w:space="0" w:color="auto"/>
              <w:right w:val="single" w:sz="4" w:space="0" w:color="auto"/>
            </w:tcBorders>
            <w:vAlign w:val="center"/>
          </w:tcPr>
          <w:p w:rsidR="00C81B24" w:rsidRPr="00C81B24" w:rsidRDefault="00C81B24" w:rsidP="00CE5850">
            <w:pPr>
              <w:rPr>
                <w:sz w:val="20"/>
              </w:rPr>
            </w:pPr>
            <w:r w:rsidRPr="00C81B24">
              <w:rPr>
                <w:sz w:val="20"/>
              </w:rPr>
              <w:t>Madison, WI-IA-IL</w:t>
            </w:r>
          </w:p>
        </w:tc>
        <w:tc>
          <w:tcPr>
            <w:tcW w:w="1102" w:type="dxa"/>
            <w:tcBorders>
              <w:top w:val="nil"/>
              <w:left w:val="nil"/>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 xml:space="preserve"> 907,679 </w:t>
            </w:r>
          </w:p>
        </w:tc>
        <w:tc>
          <w:tcPr>
            <w:tcW w:w="1155" w:type="dxa"/>
            <w:tcBorders>
              <w:top w:val="nil"/>
              <w:left w:val="nil"/>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 xml:space="preserve"> 1,028,366 </w:t>
            </w:r>
          </w:p>
        </w:tc>
        <w:tc>
          <w:tcPr>
            <w:tcW w:w="979" w:type="dxa"/>
            <w:tcBorders>
              <w:top w:val="nil"/>
              <w:left w:val="nil"/>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88%</w:t>
            </w:r>
          </w:p>
        </w:tc>
        <w:tc>
          <w:tcPr>
            <w:tcW w:w="635" w:type="dxa"/>
            <w:tcBorders>
              <w:top w:val="nil"/>
              <w:left w:val="nil"/>
              <w:bottom w:val="single" w:sz="4" w:space="0" w:color="auto"/>
              <w:right w:val="single" w:sz="4" w:space="0" w:color="auto"/>
            </w:tcBorders>
            <w:noWrap/>
            <w:vAlign w:val="bottom"/>
          </w:tcPr>
          <w:p w:rsidR="00C81B24" w:rsidRPr="00C81B24" w:rsidRDefault="00C81B24" w:rsidP="00CE5850">
            <w:pPr>
              <w:jc w:val="right"/>
              <w:rPr>
                <w:sz w:val="20"/>
              </w:rPr>
            </w:pPr>
            <w:r w:rsidRPr="00C81B24">
              <w:rPr>
                <w:sz w:val="20"/>
              </w:rPr>
              <w:t>3276</w:t>
            </w:r>
          </w:p>
        </w:tc>
        <w:tc>
          <w:tcPr>
            <w:tcW w:w="536" w:type="dxa"/>
            <w:tcBorders>
              <w:top w:val="nil"/>
              <w:left w:val="nil"/>
              <w:bottom w:val="single" w:sz="4" w:space="0" w:color="auto"/>
              <w:right w:val="single" w:sz="4" w:space="0" w:color="auto"/>
            </w:tcBorders>
            <w:vAlign w:val="bottom"/>
          </w:tcPr>
          <w:p w:rsidR="00C81B24" w:rsidRPr="00C81B24" w:rsidRDefault="00C81B24" w:rsidP="00CE5850">
            <w:pPr>
              <w:autoSpaceDE w:val="0"/>
              <w:autoSpaceDN w:val="0"/>
              <w:adjustRightInd w:val="0"/>
              <w:jc w:val="right"/>
              <w:rPr>
                <w:color w:val="000000"/>
                <w:kern w:val="0"/>
                <w:sz w:val="20"/>
              </w:rPr>
            </w:pPr>
            <w:r w:rsidRPr="00C81B24">
              <w:rPr>
                <w:color w:val="000000"/>
                <w:kern w:val="0"/>
                <w:sz w:val="20"/>
              </w:rPr>
              <w:t>3262</w:t>
            </w:r>
          </w:p>
        </w:tc>
        <w:tc>
          <w:tcPr>
            <w:tcW w:w="736" w:type="dxa"/>
            <w:tcBorders>
              <w:top w:val="nil"/>
              <w:left w:val="nil"/>
              <w:bottom w:val="single" w:sz="4" w:space="0" w:color="auto"/>
              <w:right w:val="single" w:sz="4" w:space="0" w:color="auto"/>
            </w:tcBorders>
            <w:vAlign w:val="bottom"/>
          </w:tcPr>
          <w:p w:rsidR="00C81B24" w:rsidRPr="00C81B24" w:rsidRDefault="00C81B24" w:rsidP="00CE5850">
            <w:pPr>
              <w:jc w:val="right"/>
              <w:rPr>
                <w:color w:val="000000"/>
                <w:sz w:val="20"/>
              </w:rPr>
            </w:pPr>
            <w:r w:rsidRPr="00C81B24">
              <w:rPr>
                <w:color w:val="000000"/>
                <w:sz w:val="20"/>
              </w:rPr>
              <w:t>79.73</w:t>
            </w:r>
          </w:p>
        </w:tc>
      </w:tr>
      <w:tr w:rsidR="00C81B24" w:rsidRPr="00C81B24" w:rsidTr="00526AD9">
        <w:trPr>
          <w:trHeight w:val="255"/>
          <w:jc w:val="center"/>
        </w:trPr>
        <w:tc>
          <w:tcPr>
            <w:tcW w:w="554" w:type="dxa"/>
            <w:tcBorders>
              <w:top w:val="nil"/>
              <w:left w:val="single" w:sz="4" w:space="0" w:color="auto"/>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150</w:t>
            </w:r>
          </w:p>
        </w:tc>
        <w:tc>
          <w:tcPr>
            <w:tcW w:w="456" w:type="dxa"/>
            <w:tcBorders>
              <w:top w:val="nil"/>
              <w:left w:val="single" w:sz="4" w:space="0" w:color="auto"/>
              <w:bottom w:val="single" w:sz="4" w:space="0" w:color="auto"/>
              <w:right w:val="single" w:sz="4" w:space="0" w:color="auto"/>
            </w:tcBorders>
            <w:vAlign w:val="center"/>
          </w:tcPr>
          <w:p w:rsidR="00C81B24" w:rsidRPr="00C81B24" w:rsidRDefault="00C81B24" w:rsidP="00CE5850">
            <w:pPr>
              <w:jc w:val="right"/>
              <w:rPr>
                <w:sz w:val="20"/>
              </w:rPr>
            </w:pPr>
            <w:r w:rsidRPr="00C81B24">
              <w:rPr>
                <w:sz w:val="20"/>
              </w:rPr>
              <w:t>113</w:t>
            </w:r>
          </w:p>
        </w:tc>
        <w:tc>
          <w:tcPr>
            <w:tcW w:w="4012" w:type="dxa"/>
            <w:tcBorders>
              <w:top w:val="nil"/>
              <w:left w:val="nil"/>
              <w:bottom w:val="single" w:sz="4" w:space="0" w:color="auto"/>
              <w:right w:val="single" w:sz="4" w:space="0" w:color="auto"/>
            </w:tcBorders>
            <w:vAlign w:val="center"/>
          </w:tcPr>
          <w:p w:rsidR="00C81B24" w:rsidRPr="00C81B24" w:rsidRDefault="00C81B24" w:rsidP="00CE5850">
            <w:pPr>
              <w:rPr>
                <w:sz w:val="20"/>
              </w:rPr>
            </w:pPr>
            <w:r w:rsidRPr="00C81B24">
              <w:rPr>
                <w:sz w:val="20"/>
              </w:rPr>
              <w:t>Fargo-Moorhead, ND-MN</w:t>
            </w:r>
          </w:p>
        </w:tc>
        <w:tc>
          <w:tcPr>
            <w:tcW w:w="1102" w:type="dxa"/>
            <w:tcBorders>
              <w:top w:val="nil"/>
              <w:left w:val="nil"/>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 xml:space="preserve"> 353,547 </w:t>
            </w:r>
          </w:p>
        </w:tc>
        <w:tc>
          <w:tcPr>
            <w:tcW w:w="1155" w:type="dxa"/>
            <w:tcBorders>
              <w:top w:val="nil"/>
              <w:left w:val="nil"/>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 xml:space="preserve"> 403,738 </w:t>
            </w:r>
          </w:p>
        </w:tc>
        <w:tc>
          <w:tcPr>
            <w:tcW w:w="979" w:type="dxa"/>
            <w:tcBorders>
              <w:top w:val="nil"/>
              <w:left w:val="nil"/>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88%</w:t>
            </w:r>
          </w:p>
        </w:tc>
        <w:tc>
          <w:tcPr>
            <w:tcW w:w="635" w:type="dxa"/>
            <w:tcBorders>
              <w:top w:val="nil"/>
              <w:left w:val="nil"/>
              <w:bottom w:val="single" w:sz="4" w:space="0" w:color="auto"/>
              <w:right w:val="single" w:sz="4" w:space="0" w:color="auto"/>
            </w:tcBorders>
            <w:noWrap/>
            <w:vAlign w:val="bottom"/>
          </w:tcPr>
          <w:p w:rsidR="00C81B24" w:rsidRPr="00C81B24" w:rsidRDefault="00C81B24" w:rsidP="00CE5850">
            <w:pPr>
              <w:jc w:val="right"/>
              <w:rPr>
                <w:sz w:val="20"/>
              </w:rPr>
            </w:pPr>
            <w:r w:rsidRPr="00C81B24">
              <w:rPr>
                <w:sz w:val="20"/>
              </w:rPr>
              <w:t>5354</w:t>
            </w:r>
          </w:p>
        </w:tc>
        <w:tc>
          <w:tcPr>
            <w:tcW w:w="536" w:type="dxa"/>
            <w:tcBorders>
              <w:top w:val="nil"/>
              <w:left w:val="nil"/>
              <w:bottom w:val="single" w:sz="4" w:space="0" w:color="auto"/>
              <w:right w:val="single" w:sz="4" w:space="0" w:color="auto"/>
            </w:tcBorders>
            <w:vAlign w:val="bottom"/>
          </w:tcPr>
          <w:p w:rsidR="00C81B24" w:rsidRPr="00C81B24" w:rsidRDefault="00C81B24" w:rsidP="00CE5850">
            <w:pPr>
              <w:autoSpaceDE w:val="0"/>
              <w:autoSpaceDN w:val="0"/>
              <w:adjustRightInd w:val="0"/>
              <w:jc w:val="right"/>
              <w:rPr>
                <w:color w:val="000000"/>
                <w:kern w:val="0"/>
                <w:sz w:val="20"/>
              </w:rPr>
            </w:pPr>
            <w:r w:rsidRPr="00C81B24">
              <w:rPr>
                <w:color w:val="000000"/>
                <w:kern w:val="0"/>
                <w:sz w:val="20"/>
              </w:rPr>
              <w:t>4814</w:t>
            </w:r>
          </w:p>
        </w:tc>
        <w:tc>
          <w:tcPr>
            <w:tcW w:w="736" w:type="dxa"/>
            <w:tcBorders>
              <w:top w:val="nil"/>
              <w:left w:val="nil"/>
              <w:bottom w:val="single" w:sz="4" w:space="0" w:color="auto"/>
              <w:right w:val="single" w:sz="4" w:space="0" w:color="auto"/>
            </w:tcBorders>
            <w:vAlign w:val="bottom"/>
          </w:tcPr>
          <w:p w:rsidR="00C81B24" w:rsidRPr="00C81B24" w:rsidRDefault="00C81B24" w:rsidP="00CE5850">
            <w:pPr>
              <w:jc w:val="right"/>
              <w:rPr>
                <w:color w:val="000000"/>
                <w:sz w:val="20"/>
              </w:rPr>
            </w:pPr>
            <w:r w:rsidRPr="00C81B24">
              <w:rPr>
                <w:color w:val="000000"/>
                <w:sz w:val="20"/>
              </w:rPr>
              <w:t>18.17</w:t>
            </w:r>
          </w:p>
        </w:tc>
      </w:tr>
      <w:tr w:rsidR="00C81B24" w:rsidRPr="00C81B24" w:rsidTr="00526AD9">
        <w:trPr>
          <w:trHeight w:val="255"/>
          <w:jc w:val="center"/>
        </w:trPr>
        <w:tc>
          <w:tcPr>
            <w:tcW w:w="554" w:type="dxa"/>
            <w:tcBorders>
              <w:top w:val="nil"/>
              <w:left w:val="single" w:sz="4" w:space="0" w:color="auto"/>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151</w:t>
            </w:r>
          </w:p>
        </w:tc>
        <w:tc>
          <w:tcPr>
            <w:tcW w:w="456" w:type="dxa"/>
            <w:tcBorders>
              <w:top w:val="nil"/>
              <w:left w:val="single" w:sz="4" w:space="0" w:color="auto"/>
              <w:bottom w:val="single" w:sz="4" w:space="0" w:color="auto"/>
              <w:right w:val="single" w:sz="4" w:space="0" w:color="auto"/>
            </w:tcBorders>
            <w:vAlign w:val="center"/>
          </w:tcPr>
          <w:p w:rsidR="00C81B24" w:rsidRPr="00C81B24" w:rsidRDefault="00C81B24" w:rsidP="00CE5850">
            <w:pPr>
              <w:jc w:val="right"/>
              <w:rPr>
                <w:sz w:val="20"/>
              </w:rPr>
            </w:pPr>
            <w:r w:rsidRPr="00C81B24">
              <w:rPr>
                <w:sz w:val="20"/>
              </w:rPr>
              <w:t>115</w:t>
            </w:r>
          </w:p>
        </w:tc>
        <w:tc>
          <w:tcPr>
            <w:tcW w:w="4012" w:type="dxa"/>
            <w:tcBorders>
              <w:top w:val="nil"/>
              <w:left w:val="nil"/>
              <w:bottom w:val="single" w:sz="4" w:space="0" w:color="auto"/>
              <w:right w:val="single" w:sz="4" w:space="0" w:color="auto"/>
            </w:tcBorders>
            <w:vAlign w:val="center"/>
          </w:tcPr>
          <w:p w:rsidR="00C81B24" w:rsidRPr="00C81B24" w:rsidRDefault="00C81B24" w:rsidP="00CE5850">
            <w:pPr>
              <w:rPr>
                <w:sz w:val="20"/>
              </w:rPr>
            </w:pPr>
            <w:r w:rsidRPr="00C81B24">
              <w:rPr>
                <w:sz w:val="20"/>
              </w:rPr>
              <w:t>Rapid City, SD-MT-ND-NE</w:t>
            </w:r>
          </w:p>
        </w:tc>
        <w:tc>
          <w:tcPr>
            <w:tcW w:w="1102" w:type="dxa"/>
            <w:tcBorders>
              <w:top w:val="nil"/>
              <w:left w:val="nil"/>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 xml:space="preserve"> 206,190 </w:t>
            </w:r>
          </w:p>
        </w:tc>
        <w:tc>
          <w:tcPr>
            <w:tcW w:w="1155" w:type="dxa"/>
            <w:tcBorders>
              <w:top w:val="nil"/>
              <w:left w:val="nil"/>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 xml:space="preserve"> 233,100 </w:t>
            </w:r>
          </w:p>
        </w:tc>
        <w:tc>
          <w:tcPr>
            <w:tcW w:w="979" w:type="dxa"/>
            <w:tcBorders>
              <w:top w:val="nil"/>
              <w:left w:val="nil"/>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88%</w:t>
            </w:r>
          </w:p>
        </w:tc>
        <w:tc>
          <w:tcPr>
            <w:tcW w:w="635" w:type="dxa"/>
            <w:tcBorders>
              <w:top w:val="nil"/>
              <w:left w:val="nil"/>
              <w:bottom w:val="single" w:sz="4" w:space="0" w:color="auto"/>
              <w:right w:val="single" w:sz="4" w:space="0" w:color="auto"/>
            </w:tcBorders>
            <w:noWrap/>
            <w:vAlign w:val="bottom"/>
          </w:tcPr>
          <w:p w:rsidR="00C81B24" w:rsidRPr="00C81B24" w:rsidRDefault="00C81B24" w:rsidP="00CE5850">
            <w:pPr>
              <w:jc w:val="right"/>
              <w:rPr>
                <w:sz w:val="20"/>
              </w:rPr>
            </w:pPr>
            <w:r w:rsidRPr="00C81B24">
              <w:rPr>
                <w:sz w:val="20"/>
              </w:rPr>
              <w:t>5570</w:t>
            </w:r>
          </w:p>
        </w:tc>
        <w:tc>
          <w:tcPr>
            <w:tcW w:w="536" w:type="dxa"/>
            <w:tcBorders>
              <w:top w:val="nil"/>
              <w:left w:val="nil"/>
              <w:bottom w:val="single" w:sz="4" w:space="0" w:color="auto"/>
              <w:right w:val="single" w:sz="4" w:space="0" w:color="auto"/>
            </w:tcBorders>
            <w:vAlign w:val="bottom"/>
          </w:tcPr>
          <w:p w:rsidR="00C81B24" w:rsidRPr="00C81B24" w:rsidRDefault="00C81B24" w:rsidP="00CE5850">
            <w:pPr>
              <w:autoSpaceDE w:val="0"/>
              <w:autoSpaceDN w:val="0"/>
              <w:adjustRightInd w:val="0"/>
              <w:jc w:val="right"/>
              <w:rPr>
                <w:color w:val="000000"/>
                <w:kern w:val="0"/>
                <w:sz w:val="20"/>
              </w:rPr>
            </w:pPr>
            <w:r w:rsidRPr="00C81B24">
              <w:rPr>
                <w:color w:val="000000"/>
                <w:kern w:val="0"/>
                <w:sz w:val="20"/>
              </w:rPr>
              <w:t>4982</w:t>
            </w:r>
          </w:p>
        </w:tc>
        <w:tc>
          <w:tcPr>
            <w:tcW w:w="736" w:type="dxa"/>
            <w:tcBorders>
              <w:top w:val="nil"/>
              <w:left w:val="nil"/>
              <w:bottom w:val="single" w:sz="4" w:space="0" w:color="auto"/>
              <w:right w:val="single" w:sz="4" w:space="0" w:color="auto"/>
            </w:tcBorders>
            <w:vAlign w:val="bottom"/>
          </w:tcPr>
          <w:p w:rsidR="00C81B24" w:rsidRPr="00C81B24" w:rsidRDefault="00C81B24" w:rsidP="00CE5850">
            <w:pPr>
              <w:jc w:val="right"/>
              <w:rPr>
                <w:color w:val="000000"/>
                <w:sz w:val="20"/>
              </w:rPr>
            </w:pPr>
            <w:r w:rsidRPr="00C81B24">
              <w:rPr>
                <w:color w:val="000000"/>
                <w:sz w:val="20"/>
              </w:rPr>
              <w:t>5.44</w:t>
            </w:r>
          </w:p>
        </w:tc>
      </w:tr>
      <w:tr w:rsidR="00C81B24" w:rsidRPr="00C81B24" w:rsidTr="00526AD9">
        <w:trPr>
          <w:trHeight w:val="255"/>
          <w:jc w:val="center"/>
        </w:trPr>
        <w:tc>
          <w:tcPr>
            <w:tcW w:w="554" w:type="dxa"/>
            <w:tcBorders>
              <w:top w:val="nil"/>
              <w:left w:val="single" w:sz="4" w:space="0" w:color="auto"/>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152</w:t>
            </w:r>
          </w:p>
        </w:tc>
        <w:tc>
          <w:tcPr>
            <w:tcW w:w="456" w:type="dxa"/>
            <w:tcBorders>
              <w:top w:val="nil"/>
              <w:left w:val="single" w:sz="4" w:space="0" w:color="auto"/>
              <w:bottom w:val="single" w:sz="4" w:space="0" w:color="auto"/>
              <w:right w:val="single" w:sz="4" w:space="0" w:color="auto"/>
            </w:tcBorders>
            <w:vAlign w:val="center"/>
          </w:tcPr>
          <w:p w:rsidR="00C81B24" w:rsidRPr="00C81B24" w:rsidRDefault="00C81B24" w:rsidP="00CE5850">
            <w:pPr>
              <w:jc w:val="right"/>
              <w:rPr>
                <w:sz w:val="20"/>
              </w:rPr>
            </w:pPr>
            <w:r w:rsidRPr="00C81B24">
              <w:rPr>
                <w:sz w:val="20"/>
              </w:rPr>
              <w:t>139</w:t>
            </w:r>
          </w:p>
        </w:tc>
        <w:tc>
          <w:tcPr>
            <w:tcW w:w="4012" w:type="dxa"/>
            <w:tcBorders>
              <w:top w:val="nil"/>
              <w:left w:val="nil"/>
              <w:bottom w:val="single" w:sz="4" w:space="0" w:color="auto"/>
              <w:right w:val="single" w:sz="4" w:space="0" w:color="auto"/>
            </w:tcBorders>
            <w:vAlign w:val="center"/>
          </w:tcPr>
          <w:p w:rsidR="00C81B24" w:rsidRPr="00C81B24" w:rsidRDefault="00C81B24" w:rsidP="00CE5850">
            <w:pPr>
              <w:rPr>
                <w:sz w:val="20"/>
              </w:rPr>
            </w:pPr>
            <w:r w:rsidRPr="00C81B24">
              <w:rPr>
                <w:sz w:val="20"/>
              </w:rPr>
              <w:t>Santa Fe, NM</w:t>
            </w:r>
          </w:p>
        </w:tc>
        <w:tc>
          <w:tcPr>
            <w:tcW w:w="1102" w:type="dxa"/>
            <w:tcBorders>
              <w:top w:val="nil"/>
              <w:left w:val="nil"/>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 xml:space="preserve"> 243,841 </w:t>
            </w:r>
          </w:p>
        </w:tc>
        <w:tc>
          <w:tcPr>
            <w:tcW w:w="1155" w:type="dxa"/>
            <w:tcBorders>
              <w:top w:val="nil"/>
              <w:left w:val="nil"/>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 xml:space="preserve"> 275,926 </w:t>
            </w:r>
          </w:p>
        </w:tc>
        <w:tc>
          <w:tcPr>
            <w:tcW w:w="979" w:type="dxa"/>
            <w:tcBorders>
              <w:top w:val="nil"/>
              <w:left w:val="nil"/>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88%</w:t>
            </w:r>
          </w:p>
        </w:tc>
        <w:tc>
          <w:tcPr>
            <w:tcW w:w="635" w:type="dxa"/>
            <w:tcBorders>
              <w:top w:val="nil"/>
              <w:left w:val="nil"/>
              <w:bottom w:val="single" w:sz="4" w:space="0" w:color="auto"/>
              <w:right w:val="single" w:sz="4" w:space="0" w:color="auto"/>
            </w:tcBorders>
            <w:noWrap/>
            <w:vAlign w:val="bottom"/>
          </w:tcPr>
          <w:p w:rsidR="00C81B24" w:rsidRPr="00C81B24" w:rsidRDefault="00C81B24" w:rsidP="00CE5850">
            <w:pPr>
              <w:jc w:val="right"/>
              <w:rPr>
                <w:sz w:val="20"/>
              </w:rPr>
            </w:pPr>
            <w:r w:rsidRPr="00C81B24">
              <w:rPr>
                <w:sz w:val="20"/>
              </w:rPr>
              <w:t>4544</w:t>
            </w:r>
          </w:p>
        </w:tc>
        <w:tc>
          <w:tcPr>
            <w:tcW w:w="536" w:type="dxa"/>
            <w:tcBorders>
              <w:top w:val="nil"/>
              <w:left w:val="nil"/>
              <w:bottom w:val="single" w:sz="4" w:space="0" w:color="auto"/>
              <w:right w:val="single" w:sz="4" w:space="0" w:color="auto"/>
            </w:tcBorders>
            <w:vAlign w:val="bottom"/>
          </w:tcPr>
          <w:p w:rsidR="00C81B24" w:rsidRPr="00C81B24" w:rsidRDefault="00C81B24" w:rsidP="00CE5850">
            <w:pPr>
              <w:autoSpaceDE w:val="0"/>
              <w:autoSpaceDN w:val="0"/>
              <w:adjustRightInd w:val="0"/>
              <w:jc w:val="right"/>
              <w:rPr>
                <w:color w:val="000000"/>
                <w:kern w:val="0"/>
                <w:sz w:val="20"/>
              </w:rPr>
            </w:pPr>
            <w:r w:rsidRPr="00C81B24">
              <w:rPr>
                <w:color w:val="000000"/>
                <w:kern w:val="0"/>
                <w:sz w:val="20"/>
              </w:rPr>
              <w:t>4388</w:t>
            </w:r>
          </w:p>
        </w:tc>
        <w:tc>
          <w:tcPr>
            <w:tcW w:w="736" w:type="dxa"/>
            <w:tcBorders>
              <w:top w:val="nil"/>
              <w:left w:val="nil"/>
              <w:bottom w:val="single" w:sz="4" w:space="0" w:color="auto"/>
              <w:right w:val="single" w:sz="4" w:space="0" w:color="auto"/>
            </w:tcBorders>
            <w:vAlign w:val="bottom"/>
          </w:tcPr>
          <w:p w:rsidR="00C81B24" w:rsidRPr="00C81B24" w:rsidRDefault="00C81B24" w:rsidP="00CE5850">
            <w:pPr>
              <w:jc w:val="right"/>
              <w:rPr>
                <w:color w:val="000000"/>
                <w:sz w:val="20"/>
              </w:rPr>
            </w:pPr>
            <w:r w:rsidRPr="00C81B24">
              <w:rPr>
                <w:color w:val="000000"/>
                <w:sz w:val="20"/>
              </w:rPr>
              <w:t>13.88</w:t>
            </w:r>
          </w:p>
        </w:tc>
      </w:tr>
      <w:tr w:rsidR="00C81B24" w:rsidRPr="00C81B24" w:rsidTr="00526AD9">
        <w:trPr>
          <w:trHeight w:val="255"/>
          <w:jc w:val="center"/>
        </w:trPr>
        <w:tc>
          <w:tcPr>
            <w:tcW w:w="554" w:type="dxa"/>
            <w:tcBorders>
              <w:top w:val="nil"/>
              <w:left w:val="single" w:sz="4" w:space="0" w:color="auto"/>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153</w:t>
            </w:r>
          </w:p>
        </w:tc>
        <w:tc>
          <w:tcPr>
            <w:tcW w:w="456" w:type="dxa"/>
            <w:tcBorders>
              <w:top w:val="nil"/>
              <w:left w:val="single" w:sz="4" w:space="0" w:color="auto"/>
              <w:bottom w:val="single" w:sz="4" w:space="0" w:color="auto"/>
              <w:right w:val="single" w:sz="4" w:space="0" w:color="auto"/>
            </w:tcBorders>
            <w:vAlign w:val="center"/>
          </w:tcPr>
          <w:p w:rsidR="00C81B24" w:rsidRPr="00C81B24" w:rsidRDefault="00C81B24" w:rsidP="00CE5850">
            <w:pPr>
              <w:jc w:val="right"/>
              <w:rPr>
                <w:sz w:val="20"/>
              </w:rPr>
            </w:pPr>
            <w:r w:rsidRPr="00C81B24">
              <w:rPr>
                <w:sz w:val="20"/>
              </w:rPr>
              <w:t>140</w:t>
            </w:r>
          </w:p>
        </w:tc>
        <w:tc>
          <w:tcPr>
            <w:tcW w:w="4012" w:type="dxa"/>
            <w:tcBorders>
              <w:top w:val="nil"/>
              <w:left w:val="nil"/>
              <w:bottom w:val="single" w:sz="4" w:space="0" w:color="auto"/>
              <w:right w:val="single" w:sz="4" w:space="0" w:color="auto"/>
            </w:tcBorders>
            <w:vAlign w:val="center"/>
          </w:tcPr>
          <w:p w:rsidR="00C81B24" w:rsidRPr="00C81B24" w:rsidRDefault="00C81B24" w:rsidP="00CE5850">
            <w:pPr>
              <w:rPr>
                <w:sz w:val="20"/>
              </w:rPr>
            </w:pPr>
            <w:r w:rsidRPr="00C81B24">
              <w:rPr>
                <w:sz w:val="20"/>
              </w:rPr>
              <w:t>Pueblo, CO-NM</w:t>
            </w:r>
          </w:p>
        </w:tc>
        <w:tc>
          <w:tcPr>
            <w:tcW w:w="1102" w:type="dxa"/>
            <w:tcBorders>
              <w:top w:val="nil"/>
              <w:left w:val="nil"/>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 xml:space="preserve"> 258,111 </w:t>
            </w:r>
          </w:p>
        </w:tc>
        <w:tc>
          <w:tcPr>
            <w:tcW w:w="1155" w:type="dxa"/>
            <w:tcBorders>
              <w:top w:val="nil"/>
              <w:left w:val="nil"/>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 xml:space="preserve"> 292,801 </w:t>
            </w:r>
          </w:p>
        </w:tc>
        <w:tc>
          <w:tcPr>
            <w:tcW w:w="979" w:type="dxa"/>
            <w:tcBorders>
              <w:top w:val="nil"/>
              <w:left w:val="nil"/>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88%</w:t>
            </w:r>
          </w:p>
        </w:tc>
        <w:tc>
          <w:tcPr>
            <w:tcW w:w="635" w:type="dxa"/>
            <w:tcBorders>
              <w:top w:val="nil"/>
              <w:left w:val="nil"/>
              <w:bottom w:val="single" w:sz="4" w:space="0" w:color="auto"/>
              <w:right w:val="single" w:sz="4" w:space="0" w:color="auto"/>
            </w:tcBorders>
            <w:noWrap/>
            <w:vAlign w:val="bottom"/>
          </w:tcPr>
          <w:p w:rsidR="00C81B24" w:rsidRPr="00C81B24" w:rsidRDefault="00C81B24" w:rsidP="00CE5850">
            <w:pPr>
              <w:jc w:val="right"/>
              <w:rPr>
                <w:sz w:val="20"/>
              </w:rPr>
            </w:pPr>
            <w:r w:rsidRPr="00C81B24">
              <w:rPr>
                <w:sz w:val="20"/>
              </w:rPr>
              <w:t>3418</w:t>
            </w:r>
          </w:p>
        </w:tc>
        <w:tc>
          <w:tcPr>
            <w:tcW w:w="536" w:type="dxa"/>
            <w:tcBorders>
              <w:top w:val="nil"/>
              <w:left w:val="nil"/>
              <w:bottom w:val="single" w:sz="4" w:space="0" w:color="auto"/>
              <w:right w:val="single" w:sz="4" w:space="0" w:color="auto"/>
            </w:tcBorders>
            <w:vAlign w:val="bottom"/>
          </w:tcPr>
          <w:p w:rsidR="00C81B24" w:rsidRPr="00C81B24" w:rsidRDefault="00C81B24" w:rsidP="00CE5850">
            <w:pPr>
              <w:autoSpaceDE w:val="0"/>
              <w:autoSpaceDN w:val="0"/>
              <w:adjustRightInd w:val="0"/>
              <w:jc w:val="right"/>
              <w:rPr>
                <w:color w:val="000000"/>
                <w:kern w:val="0"/>
                <w:sz w:val="20"/>
              </w:rPr>
            </w:pPr>
            <w:r w:rsidRPr="00C81B24">
              <w:rPr>
                <w:color w:val="000000"/>
                <w:kern w:val="0"/>
                <w:sz w:val="20"/>
              </w:rPr>
              <w:t>3372</w:t>
            </w:r>
          </w:p>
        </w:tc>
        <w:tc>
          <w:tcPr>
            <w:tcW w:w="736" w:type="dxa"/>
            <w:tcBorders>
              <w:top w:val="nil"/>
              <w:left w:val="nil"/>
              <w:bottom w:val="single" w:sz="4" w:space="0" w:color="auto"/>
              <w:right w:val="single" w:sz="4" w:space="0" w:color="auto"/>
            </w:tcBorders>
            <w:vAlign w:val="bottom"/>
          </w:tcPr>
          <w:p w:rsidR="00C81B24" w:rsidRPr="00C81B24" w:rsidRDefault="00C81B24" w:rsidP="00CE5850">
            <w:pPr>
              <w:jc w:val="right"/>
              <w:rPr>
                <w:color w:val="000000"/>
                <w:sz w:val="20"/>
              </w:rPr>
            </w:pPr>
            <w:r w:rsidRPr="00C81B24">
              <w:rPr>
                <w:color w:val="000000"/>
                <w:sz w:val="20"/>
              </w:rPr>
              <w:t>9.12</w:t>
            </w:r>
          </w:p>
        </w:tc>
      </w:tr>
      <w:tr w:rsidR="00C81B24" w:rsidRPr="00C81B24" w:rsidTr="00526AD9">
        <w:trPr>
          <w:trHeight w:val="255"/>
          <w:jc w:val="center"/>
        </w:trPr>
        <w:tc>
          <w:tcPr>
            <w:tcW w:w="554" w:type="dxa"/>
            <w:tcBorders>
              <w:top w:val="nil"/>
              <w:left w:val="single" w:sz="4" w:space="0" w:color="auto"/>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154</w:t>
            </w:r>
          </w:p>
        </w:tc>
        <w:tc>
          <w:tcPr>
            <w:tcW w:w="456" w:type="dxa"/>
            <w:tcBorders>
              <w:top w:val="nil"/>
              <w:left w:val="single" w:sz="4" w:space="0" w:color="auto"/>
              <w:bottom w:val="single" w:sz="4" w:space="0" w:color="auto"/>
              <w:right w:val="single" w:sz="4" w:space="0" w:color="auto"/>
            </w:tcBorders>
            <w:vAlign w:val="center"/>
          </w:tcPr>
          <w:p w:rsidR="00C81B24" w:rsidRPr="00C81B24" w:rsidRDefault="00C81B24" w:rsidP="00CE5850">
            <w:pPr>
              <w:jc w:val="right"/>
              <w:rPr>
                <w:sz w:val="20"/>
              </w:rPr>
            </w:pPr>
            <w:r w:rsidRPr="00C81B24">
              <w:rPr>
                <w:sz w:val="20"/>
              </w:rPr>
              <w:t>149</w:t>
            </w:r>
          </w:p>
        </w:tc>
        <w:tc>
          <w:tcPr>
            <w:tcW w:w="4012" w:type="dxa"/>
            <w:tcBorders>
              <w:top w:val="nil"/>
              <w:left w:val="nil"/>
              <w:bottom w:val="single" w:sz="4" w:space="0" w:color="auto"/>
              <w:right w:val="single" w:sz="4" w:space="0" w:color="auto"/>
            </w:tcBorders>
            <w:vAlign w:val="center"/>
          </w:tcPr>
          <w:p w:rsidR="00C81B24" w:rsidRPr="00C81B24" w:rsidRDefault="00C81B24" w:rsidP="00CE5850">
            <w:pPr>
              <w:rPr>
                <w:sz w:val="20"/>
              </w:rPr>
            </w:pPr>
            <w:r w:rsidRPr="00C81B24">
              <w:rPr>
                <w:sz w:val="20"/>
              </w:rPr>
              <w:t>Twin Falls, ID</w:t>
            </w:r>
          </w:p>
        </w:tc>
        <w:tc>
          <w:tcPr>
            <w:tcW w:w="1102" w:type="dxa"/>
            <w:tcBorders>
              <w:top w:val="nil"/>
              <w:left w:val="nil"/>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 xml:space="preserve"> 164,476 </w:t>
            </w:r>
          </w:p>
        </w:tc>
        <w:tc>
          <w:tcPr>
            <w:tcW w:w="1155" w:type="dxa"/>
            <w:tcBorders>
              <w:top w:val="nil"/>
              <w:left w:val="nil"/>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 xml:space="preserve"> 187,012 </w:t>
            </w:r>
          </w:p>
        </w:tc>
        <w:tc>
          <w:tcPr>
            <w:tcW w:w="979" w:type="dxa"/>
            <w:tcBorders>
              <w:top w:val="nil"/>
              <w:left w:val="nil"/>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88%</w:t>
            </w:r>
          </w:p>
        </w:tc>
        <w:tc>
          <w:tcPr>
            <w:tcW w:w="635" w:type="dxa"/>
            <w:tcBorders>
              <w:top w:val="nil"/>
              <w:left w:val="nil"/>
              <w:bottom w:val="single" w:sz="4" w:space="0" w:color="auto"/>
              <w:right w:val="single" w:sz="4" w:space="0" w:color="auto"/>
            </w:tcBorders>
            <w:noWrap/>
            <w:vAlign w:val="bottom"/>
          </w:tcPr>
          <w:p w:rsidR="00C81B24" w:rsidRPr="00C81B24" w:rsidRDefault="00C81B24" w:rsidP="00CE5850">
            <w:pPr>
              <w:jc w:val="right"/>
              <w:rPr>
                <w:sz w:val="20"/>
              </w:rPr>
            </w:pPr>
            <w:r w:rsidRPr="00C81B24">
              <w:rPr>
                <w:sz w:val="20"/>
              </w:rPr>
              <w:t>4504</w:t>
            </w:r>
          </w:p>
        </w:tc>
        <w:tc>
          <w:tcPr>
            <w:tcW w:w="536" w:type="dxa"/>
            <w:tcBorders>
              <w:top w:val="nil"/>
              <w:left w:val="nil"/>
              <w:bottom w:val="single" w:sz="4" w:space="0" w:color="auto"/>
              <w:right w:val="single" w:sz="4" w:space="0" w:color="auto"/>
            </w:tcBorders>
            <w:vAlign w:val="bottom"/>
          </w:tcPr>
          <w:p w:rsidR="00C81B24" w:rsidRPr="00C81B24" w:rsidRDefault="00C81B24" w:rsidP="00CE5850">
            <w:pPr>
              <w:autoSpaceDE w:val="0"/>
              <w:autoSpaceDN w:val="0"/>
              <w:adjustRightInd w:val="0"/>
              <w:jc w:val="right"/>
              <w:rPr>
                <w:color w:val="000000"/>
                <w:kern w:val="0"/>
                <w:sz w:val="20"/>
              </w:rPr>
            </w:pPr>
            <w:r w:rsidRPr="00C81B24">
              <w:rPr>
                <w:color w:val="000000"/>
                <w:kern w:val="0"/>
                <w:sz w:val="20"/>
              </w:rPr>
              <w:t>4553</w:t>
            </w:r>
          </w:p>
        </w:tc>
        <w:tc>
          <w:tcPr>
            <w:tcW w:w="736" w:type="dxa"/>
            <w:tcBorders>
              <w:top w:val="nil"/>
              <w:left w:val="nil"/>
              <w:bottom w:val="single" w:sz="4" w:space="0" w:color="auto"/>
              <w:right w:val="single" w:sz="4" w:space="0" w:color="auto"/>
            </w:tcBorders>
            <w:vAlign w:val="bottom"/>
          </w:tcPr>
          <w:p w:rsidR="00C81B24" w:rsidRPr="00C81B24" w:rsidRDefault="00C81B24" w:rsidP="00CE5850">
            <w:pPr>
              <w:jc w:val="right"/>
              <w:rPr>
                <w:color w:val="000000"/>
                <w:sz w:val="20"/>
              </w:rPr>
            </w:pPr>
            <w:r w:rsidRPr="00C81B24">
              <w:rPr>
                <w:color w:val="000000"/>
                <w:sz w:val="20"/>
              </w:rPr>
              <w:t>16.17</w:t>
            </w:r>
          </w:p>
        </w:tc>
      </w:tr>
      <w:tr w:rsidR="00C81B24" w:rsidRPr="00C81B24" w:rsidTr="00526AD9">
        <w:trPr>
          <w:trHeight w:val="255"/>
          <w:jc w:val="center"/>
        </w:trPr>
        <w:tc>
          <w:tcPr>
            <w:tcW w:w="554" w:type="dxa"/>
            <w:tcBorders>
              <w:top w:val="nil"/>
              <w:left w:val="single" w:sz="4" w:space="0" w:color="auto"/>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155</w:t>
            </w:r>
          </w:p>
        </w:tc>
        <w:tc>
          <w:tcPr>
            <w:tcW w:w="456" w:type="dxa"/>
            <w:tcBorders>
              <w:top w:val="nil"/>
              <w:left w:val="single" w:sz="4" w:space="0" w:color="auto"/>
              <w:bottom w:val="single" w:sz="4" w:space="0" w:color="auto"/>
              <w:right w:val="single" w:sz="4" w:space="0" w:color="auto"/>
            </w:tcBorders>
            <w:vAlign w:val="center"/>
          </w:tcPr>
          <w:p w:rsidR="00C81B24" w:rsidRPr="00C81B24" w:rsidRDefault="00C81B24" w:rsidP="00CE5850">
            <w:pPr>
              <w:jc w:val="right"/>
              <w:rPr>
                <w:sz w:val="20"/>
              </w:rPr>
            </w:pPr>
            <w:r w:rsidRPr="00C81B24">
              <w:rPr>
                <w:sz w:val="20"/>
              </w:rPr>
              <w:t>169</w:t>
            </w:r>
          </w:p>
        </w:tc>
        <w:tc>
          <w:tcPr>
            <w:tcW w:w="4012" w:type="dxa"/>
            <w:tcBorders>
              <w:top w:val="nil"/>
              <w:left w:val="nil"/>
              <w:bottom w:val="single" w:sz="4" w:space="0" w:color="auto"/>
              <w:right w:val="single" w:sz="4" w:space="0" w:color="auto"/>
            </w:tcBorders>
            <w:vAlign w:val="center"/>
          </w:tcPr>
          <w:p w:rsidR="00C81B24" w:rsidRPr="00C81B24" w:rsidRDefault="00C81B24" w:rsidP="00CE5850">
            <w:pPr>
              <w:rPr>
                <w:sz w:val="20"/>
              </w:rPr>
            </w:pPr>
            <w:r w:rsidRPr="00C81B24">
              <w:rPr>
                <w:sz w:val="20"/>
              </w:rPr>
              <w:t>Richland-Kennewick-Pasco, WA</w:t>
            </w:r>
          </w:p>
        </w:tc>
        <w:tc>
          <w:tcPr>
            <w:tcW w:w="1102" w:type="dxa"/>
            <w:tcBorders>
              <w:top w:val="nil"/>
              <w:left w:val="nil"/>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 xml:space="preserve"> 721,633 </w:t>
            </w:r>
          </w:p>
        </w:tc>
        <w:tc>
          <w:tcPr>
            <w:tcW w:w="1155" w:type="dxa"/>
            <w:tcBorders>
              <w:top w:val="nil"/>
              <w:left w:val="nil"/>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 xml:space="preserve"> 817,054 </w:t>
            </w:r>
          </w:p>
        </w:tc>
        <w:tc>
          <w:tcPr>
            <w:tcW w:w="979" w:type="dxa"/>
            <w:tcBorders>
              <w:top w:val="nil"/>
              <w:left w:val="nil"/>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88%</w:t>
            </w:r>
          </w:p>
        </w:tc>
        <w:tc>
          <w:tcPr>
            <w:tcW w:w="635" w:type="dxa"/>
            <w:tcBorders>
              <w:top w:val="nil"/>
              <w:left w:val="nil"/>
              <w:bottom w:val="single" w:sz="4" w:space="0" w:color="auto"/>
              <w:right w:val="single" w:sz="4" w:space="0" w:color="auto"/>
            </w:tcBorders>
            <w:noWrap/>
            <w:vAlign w:val="bottom"/>
          </w:tcPr>
          <w:p w:rsidR="00C81B24" w:rsidRPr="00C81B24" w:rsidRDefault="00C81B24" w:rsidP="00CE5850">
            <w:pPr>
              <w:jc w:val="right"/>
              <w:rPr>
                <w:sz w:val="20"/>
              </w:rPr>
            </w:pPr>
            <w:r w:rsidRPr="00C81B24">
              <w:rPr>
                <w:sz w:val="20"/>
              </w:rPr>
              <w:t>2803</w:t>
            </w:r>
          </w:p>
        </w:tc>
        <w:tc>
          <w:tcPr>
            <w:tcW w:w="536" w:type="dxa"/>
            <w:tcBorders>
              <w:top w:val="nil"/>
              <w:left w:val="nil"/>
              <w:bottom w:val="single" w:sz="4" w:space="0" w:color="auto"/>
              <w:right w:val="single" w:sz="4" w:space="0" w:color="auto"/>
            </w:tcBorders>
            <w:vAlign w:val="bottom"/>
          </w:tcPr>
          <w:p w:rsidR="00C81B24" w:rsidRPr="00C81B24" w:rsidRDefault="00C81B24" w:rsidP="00CE5850">
            <w:pPr>
              <w:autoSpaceDE w:val="0"/>
              <w:autoSpaceDN w:val="0"/>
              <w:adjustRightInd w:val="0"/>
              <w:jc w:val="right"/>
              <w:rPr>
                <w:color w:val="000000"/>
                <w:kern w:val="0"/>
                <w:sz w:val="20"/>
              </w:rPr>
            </w:pPr>
            <w:r w:rsidRPr="00C81B24">
              <w:rPr>
                <w:color w:val="000000"/>
                <w:kern w:val="0"/>
                <w:sz w:val="20"/>
              </w:rPr>
              <w:t>2812</w:t>
            </w:r>
          </w:p>
        </w:tc>
        <w:tc>
          <w:tcPr>
            <w:tcW w:w="736" w:type="dxa"/>
            <w:tcBorders>
              <w:top w:val="nil"/>
              <w:left w:val="nil"/>
              <w:bottom w:val="single" w:sz="4" w:space="0" w:color="auto"/>
              <w:right w:val="single" w:sz="4" w:space="0" w:color="auto"/>
            </w:tcBorders>
            <w:vAlign w:val="bottom"/>
          </w:tcPr>
          <w:p w:rsidR="00C81B24" w:rsidRPr="00C81B24" w:rsidRDefault="00C81B24" w:rsidP="00CE5850">
            <w:pPr>
              <w:jc w:val="right"/>
              <w:rPr>
                <w:color w:val="000000"/>
                <w:sz w:val="20"/>
              </w:rPr>
            </w:pPr>
            <w:r w:rsidRPr="00C81B24">
              <w:rPr>
                <w:color w:val="000000"/>
                <w:sz w:val="20"/>
              </w:rPr>
              <w:t>33.02</w:t>
            </w:r>
          </w:p>
        </w:tc>
      </w:tr>
      <w:tr w:rsidR="00C81B24" w:rsidRPr="00C81B24" w:rsidTr="00526AD9">
        <w:trPr>
          <w:trHeight w:val="255"/>
          <w:jc w:val="center"/>
        </w:trPr>
        <w:tc>
          <w:tcPr>
            <w:tcW w:w="554" w:type="dxa"/>
            <w:tcBorders>
              <w:top w:val="nil"/>
              <w:left w:val="single" w:sz="4" w:space="0" w:color="auto"/>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156</w:t>
            </w:r>
          </w:p>
        </w:tc>
        <w:tc>
          <w:tcPr>
            <w:tcW w:w="456" w:type="dxa"/>
            <w:tcBorders>
              <w:top w:val="nil"/>
              <w:left w:val="single" w:sz="4" w:space="0" w:color="auto"/>
              <w:bottom w:val="single" w:sz="4" w:space="0" w:color="auto"/>
              <w:right w:val="single" w:sz="4" w:space="0" w:color="auto"/>
            </w:tcBorders>
            <w:vAlign w:val="center"/>
          </w:tcPr>
          <w:p w:rsidR="00C81B24" w:rsidRPr="00C81B24" w:rsidRDefault="00C81B24" w:rsidP="00CE5850">
            <w:pPr>
              <w:jc w:val="right"/>
              <w:rPr>
                <w:sz w:val="20"/>
              </w:rPr>
            </w:pPr>
            <w:r w:rsidRPr="00C81B24">
              <w:rPr>
                <w:sz w:val="20"/>
              </w:rPr>
              <w:t>54</w:t>
            </w:r>
          </w:p>
        </w:tc>
        <w:tc>
          <w:tcPr>
            <w:tcW w:w="4012" w:type="dxa"/>
            <w:tcBorders>
              <w:top w:val="nil"/>
              <w:left w:val="nil"/>
              <w:bottom w:val="single" w:sz="4" w:space="0" w:color="auto"/>
              <w:right w:val="single" w:sz="4" w:space="0" w:color="auto"/>
            </w:tcBorders>
            <w:vAlign w:val="center"/>
          </w:tcPr>
          <w:p w:rsidR="00C81B24" w:rsidRPr="00C81B24" w:rsidRDefault="00C81B24" w:rsidP="00CE5850">
            <w:pPr>
              <w:rPr>
                <w:sz w:val="20"/>
              </w:rPr>
            </w:pPr>
            <w:r w:rsidRPr="00C81B24">
              <w:rPr>
                <w:sz w:val="20"/>
              </w:rPr>
              <w:t>Erie, PA</w:t>
            </w:r>
          </w:p>
        </w:tc>
        <w:tc>
          <w:tcPr>
            <w:tcW w:w="1102" w:type="dxa"/>
            <w:tcBorders>
              <w:top w:val="nil"/>
              <w:left w:val="nil"/>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 xml:space="preserve"> 445,732 </w:t>
            </w:r>
          </w:p>
        </w:tc>
        <w:tc>
          <w:tcPr>
            <w:tcW w:w="1155" w:type="dxa"/>
            <w:tcBorders>
              <w:top w:val="nil"/>
              <w:left w:val="nil"/>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 xml:space="preserve"> 513,451 </w:t>
            </w:r>
          </w:p>
        </w:tc>
        <w:tc>
          <w:tcPr>
            <w:tcW w:w="979" w:type="dxa"/>
            <w:tcBorders>
              <w:top w:val="nil"/>
              <w:left w:val="nil"/>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87%</w:t>
            </w:r>
          </w:p>
        </w:tc>
        <w:tc>
          <w:tcPr>
            <w:tcW w:w="635" w:type="dxa"/>
            <w:tcBorders>
              <w:top w:val="nil"/>
              <w:left w:val="nil"/>
              <w:bottom w:val="single" w:sz="4" w:space="0" w:color="auto"/>
              <w:right w:val="single" w:sz="4" w:space="0" w:color="auto"/>
            </w:tcBorders>
            <w:noWrap/>
            <w:vAlign w:val="bottom"/>
          </w:tcPr>
          <w:p w:rsidR="00C81B24" w:rsidRPr="00C81B24" w:rsidRDefault="00C81B24" w:rsidP="00CE5850">
            <w:pPr>
              <w:jc w:val="right"/>
              <w:rPr>
                <w:sz w:val="20"/>
              </w:rPr>
            </w:pPr>
            <w:r w:rsidRPr="00C81B24">
              <w:rPr>
                <w:sz w:val="20"/>
              </w:rPr>
              <w:t>4159</w:t>
            </w:r>
          </w:p>
        </w:tc>
        <w:tc>
          <w:tcPr>
            <w:tcW w:w="536" w:type="dxa"/>
            <w:tcBorders>
              <w:top w:val="nil"/>
              <w:left w:val="nil"/>
              <w:bottom w:val="single" w:sz="4" w:space="0" w:color="auto"/>
              <w:right w:val="single" w:sz="4" w:space="0" w:color="auto"/>
            </w:tcBorders>
            <w:vAlign w:val="bottom"/>
          </w:tcPr>
          <w:p w:rsidR="00C81B24" w:rsidRPr="00C81B24" w:rsidRDefault="00C81B24" w:rsidP="00CE5850">
            <w:pPr>
              <w:autoSpaceDE w:val="0"/>
              <w:autoSpaceDN w:val="0"/>
              <w:adjustRightInd w:val="0"/>
              <w:jc w:val="right"/>
              <w:rPr>
                <w:color w:val="000000"/>
                <w:kern w:val="0"/>
                <w:sz w:val="20"/>
              </w:rPr>
            </w:pPr>
            <w:r w:rsidRPr="00C81B24">
              <w:rPr>
                <w:color w:val="000000"/>
                <w:kern w:val="0"/>
                <w:sz w:val="20"/>
              </w:rPr>
              <w:t>4280</w:t>
            </w:r>
          </w:p>
        </w:tc>
        <w:tc>
          <w:tcPr>
            <w:tcW w:w="736" w:type="dxa"/>
            <w:tcBorders>
              <w:top w:val="nil"/>
              <w:left w:val="nil"/>
              <w:bottom w:val="single" w:sz="4" w:space="0" w:color="auto"/>
              <w:right w:val="single" w:sz="4" w:space="0" w:color="auto"/>
            </w:tcBorders>
            <w:vAlign w:val="bottom"/>
          </w:tcPr>
          <w:p w:rsidR="00C81B24" w:rsidRPr="00C81B24" w:rsidRDefault="00C81B24" w:rsidP="00CE5850">
            <w:pPr>
              <w:jc w:val="right"/>
              <w:rPr>
                <w:color w:val="000000"/>
                <w:sz w:val="20"/>
              </w:rPr>
            </w:pPr>
            <w:r w:rsidRPr="00C81B24">
              <w:rPr>
                <w:color w:val="000000"/>
                <w:sz w:val="20"/>
              </w:rPr>
              <w:t>116.84</w:t>
            </w:r>
          </w:p>
        </w:tc>
      </w:tr>
      <w:tr w:rsidR="00C81B24" w:rsidRPr="00C81B24" w:rsidTr="00526AD9">
        <w:trPr>
          <w:trHeight w:val="255"/>
          <w:jc w:val="center"/>
        </w:trPr>
        <w:tc>
          <w:tcPr>
            <w:tcW w:w="554" w:type="dxa"/>
            <w:tcBorders>
              <w:top w:val="nil"/>
              <w:left w:val="single" w:sz="4" w:space="0" w:color="auto"/>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157</w:t>
            </w:r>
          </w:p>
        </w:tc>
        <w:tc>
          <w:tcPr>
            <w:tcW w:w="456" w:type="dxa"/>
            <w:tcBorders>
              <w:top w:val="nil"/>
              <w:left w:val="single" w:sz="4" w:space="0" w:color="auto"/>
              <w:bottom w:val="single" w:sz="4" w:space="0" w:color="auto"/>
              <w:right w:val="single" w:sz="4" w:space="0" w:color="auto"/>
            </w:tcBorders>
            <w:vAlign w:val="center"/>
          </w:tcPr>
          <w:p w:rsidR="00C81B24" w:rsidRPr="00C81B24" w:rsidRDefault="00C81B24" w:rsidP="00CE5850">
            <w:pPr>
              <w:jc w:val="right"/>
              <w:rPr>
                <w:sz w:val="20"/>
              </w:rPr>
            </w:pPr>
            <w:r w:rsidRPr="00C81B24">
              <w:rPr>
                <w:sz w:val="20"/>
              </w:rPr>
              <w:t>62</w:t>
            </w:r>
          </w:p>
        </w:tc>
        <w:tc>
          <w:tcPr>
            <w:tcW w:w="4012" w:type="dxa"/>
            <w:tcBorders>
              <w:top w:val="nil"/>
              <w:left w:val="nil"/>
              <w:bottom w:val="single" w:sz="4" w:space="0" w:color="auto"/>
              <w:right w:val="single" w:sz="4" w:space="0" w:color="auto"/>
            </w:tcBorders>
            <w:vAlign w:val="center"/>
          </w:tcPr>
          <w:p w:rsidR="00C81B24" w:rsidRPr="00C81B24" w:rsidRDefault="00C81B24" w:rsidP="00CE5850">
            <w:pPr>
              <w:rPr>
                <w:sz w:val="20"/>
              </w:rPr>
            </w:pPr>
            <w:r w:rsidRPr="00C81B24">
              <w:rPr>
                <w:sz w:val="20"/>
              </w:rPr>
              <w:t>Grand Rapids-Muskegon-Holland, MI</w:t>
            </w:r>
          </w:p>
        </w:tc>
        <w:tc>
          <w:tcPr>
            <w:tcW w:w="1102" w:type="dxa"/>
            <w:tcBorders>
              <w:top w:val="nil"/>
              <w:left w:val="nil"/>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 xml:space="preserve"> 1,717,307 </w:t>
            </w:r>
          </w:p>
        </w:tc>
        <w:tc>
          <w:tcPr>
            <w:tcW w:w="1155" w:type="dxa"/>
            <w:tcBorders>
              <w:top w:val="nil"/>
              <w:left w:val="nil"/>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 xml:space="preserve"> 1,970,340 </w:t>
            </w:r>
          </w:p>
        </w:tc>
        <w:tc>
          <w:tcPr>
            <w:tcW w:w="979" w:type="dxa"/>
            <w:tcBorders>
              <w:top w:val="nil"/>
              <w:left w:val="nil"/>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87%</w:t>
            </w:r>
          </w:p>
        </w:tc>
        <w:tc>
          <w:tcPr>
            <w:tcW w:w="635" w:type="dxa"/>
            <w:tcBorders>
              <w:top w:val="nil"/>
              <w:left w:val="nil"/>
              <w:bottom w:val="single" w:sz="4" w:space="0" w:color="auto"/>
              <w:right w:val="single" w:sz="4" w:space="0" w:color="auto"/>
            </w:tcBorders>
            <w:noWrap/>
            <w:vAlign w:val="bottom"/>
          </w:tcPr>
          <w:p w:rsidR="00C81B24" w:rsidRPr="00C81B24" w:rsidRDefault="00C81B24" w:rsidP="00CE5850">
            <w:pPr>
              <w:jc w:val="right"/>
              <w:rPr>
                <w:sz w:val="20"/>
              </w:rPr>
            </w:pPr>
            <w:r w:rsidRPr="00C81B24">
              <w:rPr>
                <w:sz w:val="20"/>
              </w:rPr>
              <w:t>3088</w:t>
            </w:r>
          </w:p>
        </w:tc>
        <w:tc>
          <w:tcPr>
            <w:tcW w:w="536" w:type="dxa"/>
            <w:tcBorders>
              <w:top w:val="nil"/>
              <w:left w:val="nil"/>
              <w:bottom w:val="single" w:sz="4" w:space="0" w:color="auto"/>
              <w:right w:val="single" w:sz="4" w:space="0" w:color="auto"/>
            </w:tcBorders>
            <w:vAlign w:val="bottom"/>
          </w:tcPr>
          <w:p w:rsidR="00C81B24" w:rsidRPr="00C81B24" w:rsidRDefault="00C81B24" w:rsidP="00CE5850">
            <w:pPr>
              <w:autoSpaceDE w:val="0"/>
              <w:autoSpaceDN w:val="0"/>
              <w:adjustRightInd w:val="0"/>
              <w:jc w:val="right"/>
              <w:rPr>
                <w:color w:val="000000"/>
                <w:kern w:val="0"/>
                <w:sz w:val="20"/>
              </w:rPr>
            </w:pPr>
            <w:r w:rsidRPr="00C81B24">
              <w:rPr>
                <w:color w:val="000000"/>
                <w:kern w:val="0"/>
                <w:sz w:val="20"/>
              </w:rPr>
              <w:t>3017</w:t>
            </w:r>
          </w:p>
        </w:tc>
        <w:tc>
          <w:tcPr>
            <w:tcW w:w="736" w:type="dxa"/>
            <w:tcBorders>
              <w:top w:val="nil"/>
              <w:left w:val="nil"/>
              <w:bottom w:val="single" w:sz="4" w:space="0" w:color="auto"/>
              <w:right w:val="single" w:sz="4" w:space="0" w:color="auto"/>
            </w:tcBorders>
            <w:vAlign w:val="bottom"/>
          </w:tcPr>
          <w:p w:rsidR="00C81B24" w:rsidRPr="00C81B24" w:rsidRDefault="00C81B24" w:rsidP="00CE5850">
            <w:pPr>
              <w:jc w:val="right"/>
              <w:rPr>
                <w:color w:val="000000"/>
                <w:sz w:val="20"/>
              </w:rPr>
            </w:pPr>
            <w:r w:rsidRPr="00C81B24">
              <w:rPr>
                <w:color w:val="000000"/>
                <w:sz w:val="20"/>
              </w:rPr>
              <w:t>222.31</w:t>
            </w:r>
          </w:p>
        </w:tc>
      </w:tr>
      <w:tr w:rsidR="00C81B24" w:rsidRPr="00C81B24" w:rsidTr="00526AD9">
        <w:trPr>
          <w:trHeight w:val="255"/>
          <w:jc w:val="center"/>
        </w:trPr>
        <w:tc>
          <w:tcPr>
            <w:tcW w:w="554" w:type="dxa"/>
            <w:tcBorders>
              <w:top w:val="nil"/>
              <w:left w:val="single" w:sz="4" w:space="0" w:color="auto"/>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158</w:t>
            </w:r>
          </w:p>
        </w:tc>
        <w:tc>
          <w:tcPr>
            <w:tcW w:w="456" w:type="dxa"/>
            <w:tcBorders>
              <w:top w:val="nil"/>
              <w:left w:val="single" w:sz="4" w:space="0" w:color="auto"/>
              <w:bottom w:val="single" w:sz="4" w:space="0" w:color="auto"/>
              <w:right w:val="single" w:sz="4" w:space="0" w:color="auto"/>
            </w:tcBorders>
            <w:vAlign w:val="center"/>
          </w:tcPr>
          <w:p w:rsidR="00C81B24" w:rsidRPr="00C81B24" w:rsidRDefault="00C81B24" w:rsidP="00CE5850">
            <w:pPr>
              <w:jc w:val="right"/>
              <w:rPr>
                <w:sz w:val="20"/>
              </w:rPr>
            </w:pPr>
            <w:r w:rsidRPr="00C81B24">
              <w:rPr>
                <w:sz w:val="20"/>
              </w:rPr>
              <w:t>150</w:t>
            </w:r>
          </w:p>
        </w:tc>
        <w:tc>
          <w:tcPr>
            <w:tcW w:w="4012" w:type="dxa"/>
            <w:tcBorders>
              <w:top w:val="nil"/>
              <w:left w:val="nil"/>
              <w:bottom w:val="single" w:sz="4" w:space="0" w:color="auto"/>
              <w:right w:val="single" w:sz="4" w:space="0" w:color="auto"/>
            </w:tcBorders>
            <w:vAlign w:val="center"/>
          </w:tcPr>
          <w:p w:rsidR="00C81B24" w:rsidRPr="00C81B24" w:rsidRDefault="00C81B24" w:rsidP="00CE5850">
            <w:pPr>
              <w:rPr>
                <w:sz w:val="20"/>
              </w:rPr>
            </w:pPr>
            <w:r w:rsidRPr="00C81B24">
              <w:rPr>
                <w:sz w:val="20"/>
              </w:rPr>
              <w:t>Boise City, ID-OR</w:t>
            </w:r>
          </w:p>
        </w:tc>
        <w:tc>
          <w:tcPr>
            <w:tcW w:w="1102" w:type="dxa"/>
            <w:tcBorders>
              <w:top w:val="nil"/>
              <w:left w:val="nil"/>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 xml:space="preserve"> 641,573 </w:t>
            </w:r>
          </w:p>
        </w:tc>
        <w:tc>
          <w:tcPr>
            <w:tcW w:w="1155" w:type="dxa"/>
            <w:tcBorders>
              <w:top w:val="nil"/>
              <w:left w:val="nil"/>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 xml:space="preserve"> 738,945 </w:t>
            </w:r>
          </w:p>
        </w:tc>
        <w:tc>
          <w:tcPr>
            <w:tcW w:w="979" w:type="dxa"/>
            <w:tcBorders>
              <w:top w:val="nil"/>
              <w:left w:val="nil"/>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87%</w:t>
            </w:r>
          </w:p>
        </w:tc>
        <w:tc>
          <w:tcPr>
            <w:tcW w:w="635" w:type="dxa"/>
            <w:tcBorders>
              <w:top w:val="nil"/>
              <w:left w:val="nil"/>
              <w:bottom w:val="single" w:sz="4" w:space="0" w:color="auto"/>
              <w:right w:val="single" w:sz="4" w:space="0" w:color="auto"/>
            </w:tcBorders>
            <w:noWrap/>
            <w:vAlign w:val="bottom"/>
          </w:tcPr>
          <w:p w:rsidR="00C81B24" w:rsidRPr="00C81B24" w:rsidRDefault="00C81B24" w:rsidP="00CE5850">
            <w:pPr>
              <w:jc w:val="right"/>
              <w:rPr>
                <w:sz w:val="20"/>
              </w:rPr>
            </w:pPr>
            <w:r w:rsidRPr="00C81B24">
              <w:rPr>
                <w:sz w:val="20"/>
              </w:rPr>
              <w:t>3226</w:t>
            </w:r>
          </w:p>
        </w:tc>
        <w:tc>
          <w:tcPr>
            <w:tcW w:w="536" w:type="dxa"/>
            <w:tcBorders>
              <w:top w:val="nil"/>
              <w:left w:val="nil"/>
              <w:bottom w:val="single" w:sz="4" w:space="0" w:color="auto"/>
              <w:right w:val="single" w:sz="4" w:space="0" w:color="auto"/>
            </w:tcBorders>
            <w:vAlign w:val="bottom"/>
          </w:tcPr>
          <w:p w:rsidR="00C81B24" w:rsidRPr="00C81B24" w:rsidRDefault="00C81B24" w:rsidP="00CE5850">
            <w:pPr>
              <w:autoSpaceDE w:val="0"/>
              <w:autoSpaceDN w:val="0"/>
              <w:adjustRightInd w:val="0"/>
              <w:jc w:val="right"/>
              <w:rPr>
                <w:color w:val="000000"/>
                <w:kern w:val="0"/>
                <w:sz w:val="20"/>
              </w:rPr>
            </w:pPr>
            <w:r w:rsidRPr="00C81B24">
              <w:rPr>
                <w:color w:val="000000"/>
                <w:kern w:val="0"/>
                <w:sz w:val="20"/>
              </w:rPr>
              <w:t>3158</w:t>
            </w:r>
          </w:p>
        </w:tc>
        <w:tc>
          <w:tcPr>
            <w:tcW w:w="736" w:type="dxa"/>
            <w:tcBorders>
              <w:top w:val="nil"/>
              <w:left w:val="nil"/>
              <w:bottom w:val="single" w:sz="4" w:space="0" w:color="auto"/>
              <w:right w:val="single" w:sz="4" w:space="0" w:color="auto"/>
            </w:tcBorders>
            <w:vAlign w:val="bottom"/>
          </w:tcPr>
          <w:p w:rsidR="00C81B24" w:rsidRPr="00C81B24" w:rsidRDefault="00C81B24" w:rsidP="00CE5850">
            <w:pPr>
              <w:jc w:val="right"/>
              <w:rPr>
                <w:color w:val="000000"/>
                <w:sz w:val="20"/>
              </w:rPr>
            </w:pPr>
            <w:r w:rsidRPr="00C81B24">
              <w:rPr>
                <w:color w:val="000000"/>
                <w:sz w:val="20"/>
              </w:rPr>
              <w:t>17.46</w:t>
            </w:r>
          </w:p>
        </w:tc>
      </w:tr>
      <w:tr w:rsidR="00C81B24" w:rsidRPr="00C81B24" w:rsidTr="00526AD9">
        <w:trPr>
          <w:trHeight w:val="255"/>
          <w:jc w:val="center"/>
        </w:trPr>
        <w:tc>
          <w:tcPr>
            <w:tcW w:w="554" w:type="dxa"/>
            <w:tcBorders>
              <w:top w:val="nil"/>
              <w:left w:val="single" w:sz="4" w:space="0" w:color="auto"/>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159</w:t>
            </w:r>
          </w:p>
        </w:tc>
        <w:tc>
          <w:tcPr>
            <w:tcW w:w="456" w:type="dxa"/>
            <w:tcBorders>
              <w:top w:val="nil"/>
              <w:left w:val="single" w:sz="4" w:space="0" w:color="auto"/>
              <w:bottom w:val="single" w:sz="4" w:space="0" w:color="auto"/>
              <w:right w:val="single" w:sz="4" w:space="0" w:color="auto"/>
            </w:tcBorders>
            <w:vAlign w:val="center"/>
          </w:tcPr>
          <w:p w:rsidR="00C81B24" w:rsidRPr="00C81B24" w:rsidRDefault="00C81B24" w:rsidP="00CE5850">
            <w:pPr>
              <w:jc w:val="right"/>
              <w:rPr>
                <w:sz w:val="20"/>
              </w:rPr>
            </w:pPr>
            <w:r w:rsidRPr="00C81B24">
              <w:rPr>
                <w:sz w:val="20"/>
              </w:rPr>
              <w:t>165</w:t>
            </w:r>
          </w:p>
        </w:tc>
        <w:tc>
          <w:tcPr>
            <w:tcW w:w="4012" w:type="dxa"/>
            <w:tcBorders>
              <w:top w:val="nil"/>
              <w:left w:val="nil"/>
              <w:bottom w:val="single" w:sz="4" w:space="0" w:color="auto"/>
              <w:right w:val="single" w:sz="4" w:space="0" w:color="auto"/>
            </w:tcBorders>
            <w:vAlign w:val="center"/>
          </w:tcPr>
          <w:p w:rsidR="00C81B24" w:rsidRPr="00C81B24" w:rsidRDefault="00C81B24" w:rsidP="00CE5850">
            <w:pPr>
              <w:rPr>
                <w:sz w:val="20"/>
              </w:rPr>
            </w:pPr>
            <w:r w:rsidRPr="00C81B24">
              <w:rPr>
                <w:sz w:val="20"/>
              </w:rPr>
              <w:t>Redding, CA-OR</w:t>
            </w:r>
          </w:p>
        </w:tc>
        <w:tc>
          <w:tcPr>
            <w:tcW w:w="1102" w:type="dxa"/>
            <w:tcBorders>
              <w:top w:val="nil"/>
              <w:left w:val="nil"/>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 xml:space="preserve"> 315,001 </w:t>
            </w:r>
          </w:p>
        </w:tc>
        <w:tc>
          <w:tcPr>
            <w:tcW w:w="1155" w:type="dxa"/>
            <w:tcBorders>
              <w:top w:val="nil"/>
              <w:left w:val="nil"/>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 xml:space="preserve"> 361,698 </w:t>
            </w:r>
          </w:p>
        </w:tc>
        <w:tc>
          <w:tcPr>
            <w:tcW w:w="979" w:type="dxa"/>
            <w:tcBorders>
              <w:top w:val="nil"/>
              <w:left w:val="nil"/>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87%</w:t>
            </w:r>
          </w:p>
        </w:tc>
        <w:tc>
          <w:tcPr>
            <w:tcW w:w="635" w:type="dxa"/>
            <w:tcBorders>
              <w:top w:val="nil"/>
              <w:left w:val="nil"/>
              <w:bottom w:val="single" w:sz="4" w:space="0" w:color="auto"/>
              <w:right w:val="single" w:sz="4" w:space="0" w:color="auto"/>
            </w:tcBorders>
            <w:noWrap/>
            <w:vAlign w:val="bottom"/>
          </w:tcPr>
          <w:p w:rsidR="00C81B24" w:rsidRPr="00C81B24" w:rsidRDefault="00C81B24" w:rsidP="00CE5850">
            <w:pPr>
              <w:jc w:val="right"/>
              <w:rPr>
                <w:sz w:val="20"/>
              </w:rPr>
            </w:pPr>
            <w:r w:rsidRPr="00C81B24">
              <w:rPr>
                <w:sz w:val="20"/>
              </w:rPr>
              <w:t>3299</w:t>
            </w:r>
          </w:p>
        </w:tc>
        <w:tc>
          <w:tcPr>
            <w:tcW w:w="536" w:type="dxa"/>
            <w:tcBorders>
              <w:top w:val="nil"/>
              <w:left w:val="nil"/>
              <w:bottom w:val="single" w:sz="4" w:space="0" w:color="auto"/>
              <w:right w:val="single" w:sz="4" w:space="0" w:color="auto"/>
            </w:tcBorders>
            <w:vAlign w:val="bottom"/>
          </w:tcPr>
          <w:p w:rsidR="00C81B24" w:rsidRPr="00C81B24" w:rsidRDefault="00C81B24" w:rsidP="00CE5850">
            <w:pPr>
              <w:autoSpaceDE w:val="0"/>
              <w:autoSpaceDN w:val="0"/>
              <w:adjustRightInd w:val="0"/>
              <w:jc w:val="right"/>
              <w:rPr>
                <w:color w:val="000000"/>
                <w:kern w:val="0"/>
                <w:sz w:val="20"/>
              </w:rPr>
            </w:pPr>
            <w:r w:rsidRPr="00C81B24">
              <w:rPr>
                <w:color w:val="000000"/>
                <w:kern w:val="0"/>
                <w:sz w:val="20"/>
              </w:rPr>
              <w:t>3171</w:t>
            </w:r>
          </w:p>
        </w:tc>
        <w:tc>
          <w:tcPr>
            <w:tcW w:w="736" w:type="dxa"/>
            <w:tcBorders>
              <w:top w:val="nil"/>
              <w:left w:val="nil"/>
              <w:bottom w:val="single" w:sz="4" w:space="0" w:color="auto"/>
              <w:right w:val="single" w:sz="4" w:space="0" w:color="auto"/>
            </w:tcBorders>
            <w:vAlign w:val="bottom"/>
          </w:tcPr>
          <w:p w:rsidR="00C81B24" w:rsidRPr="00C81B24" w:rsidRDefault="00C81B24" w:rsidP="00CE5850">
            <w:pPr>
              <w:jc w:val="right"/>
              <w:rPr>
                <w:color w:val="000000"/>
                <w:sz w:val="20"/>
              </w:rPr>
            </w:pPr>
            <w:r w:rsidRPr="00C81B24">
              <w:rPr>
                <w:color w:val="000000"/>
                <w:sz w:val="20"/>
              </w:rPr>
              <w:t>15.82</w:t>
            </w:r>
          </w:p>
        </w:tc>
      </w:tr>
      <w:tr w:rsidR="00C81B24" w:rsidRPr="00C81B24" w:rsidTr="00526AD9">
        <w:trPr>
          <w:trHeight w:val="255"/>
          <w:jc w:val="center"/>
        </w:trPr>
        <w:tc>
          <w:tcPr>
            <w:tcW w:w="554" w:type="dxa"/>
            <w:tcBorders>
              <w:top w:val="nil"/>
              <w:left w:val="single" w:sz="4" w:space="0" w:color="auto"/>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160</w:t>
            </w:r>
          </w:p>
        </w:tc>
        <w:tc>
          <w:tcPr>
            <w:tcW w:w="456" w:type="dxa"/>
            <w:tcBorders>
              <w:top w:val="nil"/>
              <w:left w:val="single" w:sz="4" w:space="0" w:color="auto"/>
              <w:bottom w:val="single" w:sz="4" w:space="0" w:color="auto"/>
              <w:right w:val="single" w:sz="4" w:space="0" w:color="auto"/>
            </w:tcBorders>
            <w:vAlign w:val="center"/>
          </w:tcPr>
          <w:p w:rsidR="00C81B24" w:rsidRPr="00C81B24" w:rsidRDefault="00C81B24" w:rsidP="00CE5850">
            <w:pPr>
              <w:jc w:val="right"/>
              <w:rPr>
                <w:sz w:val="20"/>
              </w:rPr>
            </w:pPr>
            <w:r w:rsidRPr="00C81B24">
              <w:rPr>
                <w:sz w:val="20"/>
              </w:rPr>
              <w:t>33</w:t>
            </w:r>
          </w:p>
        </w:tc>
        <w:tc>
          <w:tcPr>
            <w:tcW w:w="4012" w:type="dxa"/>
            <w:tcBorders>
              <w:top w:val="nil"/>
              <w:left w:val="nil"/>
              <w:bottom w:val="single" w:sz="4" w:space="0" w:color="auto"/>
              <w:right w:val="single" w:sz="4" w:space="0" w:color="auto"/>
            </w:tcBorders>
            <w:vAlign w:val="center"/>
          </w:tcPr>
          <w:p w:rsidR="00C81B24" w:rsidRPr="00C81B24" w:rsidRDefault="00C81B24" w:rsidP="00CE5850">
            <w:pPr>
              <w:rPr>
                <w:sz w:val="20"/>
              </w:rPr>
            </w:pPr>
            <w:r w:rsidRPr="00C81B24">
              <w:rPr>
                <w:sz w:val="20"/>
              </w:rPr>
              <w:t>Sarasota-Bradenton, FL</w:t>
            </w:r>
          </w:p>
        </w:tc>
        <w:tc>
          <w:tcPr>
            <w:tcW w:w="1102" w:type="dxa"/>
            <w:tcBorders>
              <w:top w:val="nil"/>
              <w:left w:val="nil"/>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 xml:space="preserve"> 780,194 </w:t>
            </w:r>
          </w:p>
        </w:tc>
        <w:tc>
          <w:tcPr>
            <w:tcW w:w="1155" w:type="dxa"/>
            <w:tcBorders>
              <w:top w:val="nil"/>
              <w:left w:val="nil"/>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 xml:space="preserve"> 904,760 </w:t>
            </w:r>
          </w:p>
        </w:tc>
        <w:tc>
          <w:tcPr>
            <w:tcW w:w="979" w:type="dxa"/>
            <w:tcBorders>
              <w:top w:val="nil"/>
              <w:left w:val="nil"/>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86%</w:t>
            </w:r>
          </w:p>
        </w:tc>
        <w:tc>
          <w:tcPr>
            <w:tcW w:w="635" w:type="dxa"/>
            <w:tcBorders>
              <w:top w:val="nil"/>
              <w:left w:val="nil"/>
              <w:bottom w:val="single" w:sz="4" w:space="0" w:color="auto"/>
              <w:right w:val="single" w:sz="4" w:space="0" w:color="auto"/>
            </w:tcBorders>
            <w:noWrap/>
            <w:vAlign w:val="bottom"/>
          </w:tcPr>
          <w:p w:rsidR="00C81B24" w:rsidRPr="00C81B24" w:rsidRDefault="00C81B24" w:rsidP="00CE5850">
            <w:pPr>
              <w:jc w:val="right"/>
              <w:rPr>
                <w:sz w:val="20"/>
              </w:rPr>
            </w:pPr>
            <w:r w:rsidRPr="00C81B24">
              <w:rPr>
                <w:sz w:val="20"/>
              </w:rPr>
              <w:t>2640</w:t>
            </w:r>
          </w:p>
        </w:tc>
        <w:tc>
          <w:tcPr>
            <w:tcW w:w="536" w:type="dxa"/>
            <w:tcBorders>
              <w:top w:val="nil"/>
              <w:left w:val="nil"/>
              <w:bottom w:val="single" w:sz="4" w:space="0" w:color="auto"/>
              <w:right w:val="single" w:sz="4" w:space="0" w:color="auto"/>
            </w:tcBorders>
            <w:vAlign w:val="bottom"/>
          </w:tcPr>
          <w:p w:rsidR="00C81B24" w:rsidRPr="00C81B24" w:rsidRDefault="00C81B24" w:rsidP="00CE5850">
            <w:pPr>
              <w:autoSpaceDE w:val="0"/>
              <w:autoSpaceDN w:val="0"/>
              <w:adjustRightInd w:val="0"/>
              <w:jc w:val="right"/>
              <w:rPr>
                <w:color w:val="000000"/>
                <w:kern w:val="0"/>
                <w:sz w:val="20"/>
              </w:rPr>
            </w:pPr>
            <w:r w:rsidRPr="00C81B24">
              <w:rPr>
                <w:color w:val="000000"/>
                <w:kern w:val="0"/>
                <w:sz w:val="20"/>
              </w:rPr>
              <w:t>2667</w:t>
            </w:r>
          </w:p>
        </w:tc>
        <w:tc>
          <w:tcPr>
            <w:tcW w:w="736" w:type="dxa"/>
            <w:tcBorders>
              <w:top w:val="nil"/>
              <w:left w:val="nil"/>
              <w:bottom w:val="single" w:sz="4" w:space="0" w:color="auto"/>
              <w:right w:val="single" w:sz="4" w:space="0" w:color="auto"/>
            </w:tcBorders>
            <w:vAlign w:val="bottom"/>
          </w:tcPr>
          <w:p w:rsidR="00C81B24" w:rsidRPr="00C81B24" w:rsidRDefault="00C81B24" w:rsidP="00CE5850">
            <w:pPr>
              <w:jc w:val="right"/>
              <w:rPr>
                <w:color w:val="000000"/>
                <w:sz w:val="20"/>
              </w:rPr>
            </w:pPr>
            <w:r w:rsidRPr="00C81B24">
              <w:rPr>
                <w:color w:val="000000"/>
                <w:sz w:val="20"/>
              </w:rPr>
              <w:t>342.92</w:t>
            </w:r>
          </w:p>
        </w:tc>
      </w:tr>
      <w:tr w:rsidR="00C81B24" w:rsidRPr="00C81B24" w:rsidTr="00526AD9">
        <w:trPr>
          <w:trHeight w:val="255"/>
          <w:jc w:val="center"/>
        </w:trPr>
        <w:tc>
          <w:tcPr>
            <w:tcW w:w="554" w:type="dxa"/>
            <w:tcBorders>
              <w:top w:val="nil"/>
              <w:left w:val="single" w:sz="4" w:space="0" w:color="auto"/>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161</w:t>
            </w:r>
          </w:p>
        </w:tc>
        <w:tc>
          <w:tcPr>
            <w:tcW w:w="456" w:type="dxa"/>
            <w:tcBorders>
              <w:top w:val="nil"/>
              <w:left w:val="single" w:sz="4" w:space="0" w:color="auto"/>
              <w:bottom w:val="single" w:sz="4" w:space="0" w:color="auto"/>
              <w:right w:val="single" w:sz="4" w:space="0" w:color="auto"/>
            </w:tcBorders>
            <w:vAlign w:val="center"/>
          </w:tcPr>
          <w:p w:rsidR="00C81B24" w:rsidRPr="00C81B24" w:rsidRDefault="00C81B24" w:rsidP="00CE5850">
            <w:pPr>
              <w:jc w:val="right"/>
              <w:rPr>
                <w:sz w:val="20"/>
              </w:rPr>
            </w:pPr>
            <w:r w:rsidRPr="00C81B24">
              <w:rPr>
                <w:sz w:val="20"/>
              </w:rPr>
              <w:t>46</w:t>
            </w:r>
          </w:p>
        </w:tc>
        <w:tc>
          <w:tcPr>
            <w:tcW w:w="4012" w:type="dxa"/>
            <w:tcBorders>
              <w:top w:val="nil"/>
              <w:left w:val="nil"/>
              <w:bottom w:val="single" w:sz="4" w:space="0" w:color="auto"/>
              <w:right w:val="single" w:sz="4" w:space="0" w:color="auto"/>
            </w:tcBorders>
            <w:vAlign w:val="center"/>
          </w:tcPr>
          <w:p w:rsidR="00C81B24" w:rsidRPr="00C81B24" w:rsidRDefault="00C81B24" w:rsidP="00CE5850">
            <w:pPr>
              <w:rPr>
                <w:sz w:val="20"/>
              </w:rPr>
            </w:pPr>
            <w:r w:rsidRPr="00C81B24">
              <w:rPr>
                <w:sz w:val="20"/>
              </w:rPr>
              <w:t>Hickory-Morganton, NC-TN</w:t>
            </w:r>
          </w:p>
        </w:tc>
        <w:tc>
          <w:tcPr>
            <w:tcW w:w="1102" w:type="dxa"/>
            <w:tcBorders>
              <w:top w:val="nil"/>
              <w:left w:val="nil"/>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 xml:space="preserve"> 478,542 </w:t>
            </w:r>
          </w:p>
        </w:tc>
        <w:tc>
          <w:tcPr>
            <w:tcW w:w="1155" w:type="dxa"/>
            <w:tcBorders>
              <w:top w:val="nil"/>
              <w:left w:val="nil"/>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 xml:space="preserve"> 557,096 </w:t>
            </w:r>
          </w:p>
        </w:tc>
        <w:tc>
          <w:tcPr>
            <w:tcW w:w="979" w:type="dxa"/>
            <w:tcBorders>
              <w:top w:val="nil"/>
              <w:left w:val="nil"/>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86%</w:t>
            </w:r>
          </w:p>
        </w:tc>
        <w:tc>
          <w:tcPr>
            <w:tcW w:w="635" w:type="dxa"/>
            <w:tcBorders>
              <w:top w:val="nil"/>
              <w:left w:val="nil"/>
              <w:bottom w:val="single" w:sz="4" w:space="0" w:color="auto"/>
              <w:right w:val="single" w:sz="4" w:space="0" w:color="auto"/>
            </w:tcBorders>
            <w:noWrap/>
            <w:vAlign w:val="bottom"/>
          </w:tcPr>
          <w:p w:rsidR="00C81B24" w:rsidRPr="00C81B24" w:rsidRDefault="00C81B24" w:rsidP="00CE5850">
            <w:pPr>
              <w:jc w:val="right"/>
              <w:rPr>
                <w:sz w:val="20"/>
              </w:rPr>
            </w:pPr>
            <w:r w:rsidRPr="00C81B24">
              <w:rPr>
                <w:sz w:val="20"/>
              </w:rPr>
              <w:t>2973</w:t>
            </w:r>
          </w:p>
        </w:tc>
        <w:tc>
          <w:tcPr>
            <w:tcW w:w="536" w:type="dxa"/>
            <w:tcBorders>
              <w:top w:val="nil"/>
              <w:left w:val="nil"/>
              <w:bottom w:val="single" w:sz="4" w:space="0" w:color="auto"/>
              <w:right w:val="single" w:sz="4" w:space="0" w:color="auto"/>
            </w:tcBorders>
            <w:vAlign w:val="bottom"/>
          </w:tcPr>
          <w:p w:rsidR="00C81B24" w:rsidRPr="00C81B24" w:rsidRDefault="00C81B24" w:rsidP="00CE5850">
            <w:pPr>
              <w:autoSpaceDE w:val="0"/>
              <w:autoSpaceDN w:val="0"/>
              <w:adjustRightInd w:val="0"/>
              <w:jc w:val="right"/>
              <w:rPr>
                <w:color w:val="000000"/>
                <w:kern w:val="0"/>
                <w:sz w:val="20"/>
              </w:rPr>
            </w:pPr>
            <w:r w:rsidRPr="00C81B24">
              <w:rPr>
                <w:color w:val="000000"/>
                <w:kern w:val="0"/>
                <w:sz w:val="20"/>
              </w:rPr>
              <w:t>2833</w:t>
            </w:r>
          </w:p>
        </w:tc>
        <w:tc>
          <w:tcPr>
            <w:tcW w:w="736" w:type="dxa"/>
            <w:tcBorders>
              <w:top w:val="nil"/>
              <w:left w:val="nil"/>
              <w:bottom w:val="single" w:sz="4" w:space="0" w:color="auto"/>
              <w:right w:val="single" w:sz="4" w:space="0" w:color="auto"/>
            </w:tcBorders>
            <w:vAlign w:val="bottom"/>
          </w:tcPr>
          <w:p w:rsidR="00C81B24" w:rsidRPr="00C81B24" w:rsidRDefault="00C81B24" w:rsidP="00CE5850">
            <w:pPr>
              <w:jc w:val="right"/>
              <w:rPr>
                <w:color w:val="000000"/>
                <w:sz w:val="20"/>
              </w:rPr>
            </w:pPr>
            <w:r w:rsidRPr="00C81B24">
              <w:rPr>
                <w:color w:val="000000"/>
                <w:sz w:val="20"/>
              </w:rPr>
              <w:t>143.29</w:t>
            </w:r>
          </w:p>
        </w:tc>
      </w:tr>
      <w:tr w:rsidR="00C81B24" w:rsidRPr="00C81B24" w:rsidTr="00526AD9">
        <w:trPr>
          <w:trHeight w:val="255"/>
          <w:jc w:val="center"/>
        </w:trPr>
        <w:tc>
          <w:tcPr>
            <w:tcW w:w="554" w:type="dxa"/>
            <w:tcBorders>
              <w:top w:val="nil"/>
              <w:left w:val="single" w:sz="4" w:space="0" w:color="auto"/>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162</w:t>
            </w:r>
          </w:p>
        </w:tc>
        <w:tc>
          <w:tcPr>
            <w:tcW w:w="456" w:type="dxa"/>
            <w:tcBorders>
              <w:top w:val="nil"/>
              <w:left w:val="single" w:sz="4" w:space="0" w:color="auto"/>
              <w:bottom w:val="single" w:sz="4" w:space="0" w:color="auto"/>
              <w:right w:val="single" w:sz="4" w:space="0" w:color="auto"/>
            </w:tcBorders>
            <w:vAlign w:val="center"/>
          </w:tcPr>
          <w:p w:rsidR="00C81B24" w:rsidRPr="00C81B24" w:rsidRDefault="00C81B24" w:rsidP="00CE5850">
            <w:pPr>
              <w:jc w:val="right"/>
              <w:rPr>
                <w:sz w:val="20"/>
              </w:rPr>
            </w:pPr>
            <w:r w:rsidRPr="00C81B24">
              <w:rPr>
                <w:sz w:val="20"/>
              </w:rPr>
              <w:t>145</w:t>
            </w:r>
          </w:p>
        </w:tc>
        <w:tc>
          <w:tcPr>
            <w:tcW w:w="4012" w:type="dxa"/>
            <w:tcBorders>
              <w:top w:val="nil"/>
              <w:left w:val="nil"/>
              <w:bottom w:val="single" w:sz="4" w:space="0" w:color="auto"/>
              <w:right w:val="single" w:sz="4" w:space="0" w:color="auto"/>
            </w:tcBorders>
            <w:vAlign w:val="center"/>
          </w:tcPr>
          <w:p w:rsidR="00C81B24" w:rsidRPr="00C81B24" w:rsidRDefault="00C81B24" w:rsidP="00CE5850">
            <w:pPr>
              <w:rPr>
                <w:sz w:val="20"/>
              </w:rPr>
            </w:pPr>
            <w:r w:rsidRPr="00C81B24">
              <w:rPr>
                <w:sz w:val="20"/>
              </w:rPr>
              <w:t>Great Falls, MT</w:t>
            </w:r>
          </w:p>
        </w:tc>
        <w:tc>
          <w:tcPr>
            <w:tcW w:w="1102" w:type="dxa"/>
            <w:tcBorders>
              <w:top w:val="nil"/>
              <w:left w:val="nil"/>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 xml:space="preserve"> 143,364 </w:t>
            </w:r>
          </w:p>
        </w:tc>
        <w:tc>
          <w:tcPr>
            <w:tcW w:w="1155" w:type="dxa"/>
            <w:tcBorders>
              <w:top w:val="nil"/>
              <w:left w:val="nil"/>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 xml:space="preserve"> 166,016 </w:t>
            </w:r>
          </w:p>
        </w:tc>
        <w:tc>
          <w:tcPr>
            <w:tcW w:w="979" w:type="dxa"/>
            <w:tcBorders>
              <w:top w:val="nil"/>
              <w:left w:val="nil"/>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86%</w:t>
            </w:r>
          </w:p>
        </w:tc>
        <w:tc>
          <w:tcPr>
            <w:tcW w:w="635" w:type="dxa"/>
            <w:tcBorders>
              <w:top w:val="nil"/>
              <w:left w:val="nil"/>
              <w:bottom w:val="single" w:sz="4" w:space="0" w:color="auto"/>
              <w:right w:val="single" w:sz="4" w:space="0" w:color="auto"/>
            </w:tcBorders>
            <w:noWrap/>
            <w:vAlign w:val="bottom"/>
          </w:tcPr>
          <w:p w:rsidR="00C81B24" w:rsidRPr="00C81B24" w:rsidRDefault="00C81B24" w:rsidP="00CE5850">
            <w:pPr>
              <w:jc w:val="right"/>
              <w:rPr>
                <w:sz w:val="20"/>
              </w:rPr>
            </w:pPr>
            <w:r w:rsidRPr="00C81B24">
              <w:rPr>
                <w:sz w:val="20"/>
              </w:rPr>
              <w:t>6315</w:t>
            </w:r>
          </w:p>
        </w:tc>
        <w:tc>
          <w:tcPr>
            <w:tcW w:w="536" w:type="dxa"/>
            <w:tcBorders>
              <w:top w:val="nil"/>
              <w:left w:val="nil"/>
              <w:bottom w:val="single" w:sz="4" w:space="0" w:color="auto"/>
              <w:right w:val="single" w:sz="4" w:space="0" w:color="auto"/>
            </w:tcBorders>
            <w:vAlign w:val="bottom"/>
          </w:tcPr>
          <w:p w:rsidR="00C81B24" w:rsidRPr="00C81B24" w:rsidRDefault="00C81B24" w:rsidP="00CE5850">
            <w:pPr>
              <w:autoSpaceDE w:val="0"/>
              <w:autoSpaceDN w:val="0"/>
              <w:adjustRightInd w:val="0"/>
              <w:jc w:val="right"/>
              <w:rPr>
                <w:color w:val="000000"/>
                <w:kern w:val="0"/>
                <w:sz w:val="20"/>
              </w:rPr>
            </w:pPr>
            <w:r w:rsidRPr="00C81B24">
              <w:rPr>
                <w:color w:val="000000"/>
                <w:kern w:val="0"/>
                <w:sz w:val="20"/>
              </w:rPr>
              <w:t>5262</w:t>
            </w:r>
          </w:p>
        </w:tc>
        <w:tc>
          <w:tcPr>
            <w:tcW w:w="736" w:type="dxa"/>
            <w:tcBorders>
              <w:top w:val="nil"/>
              <w:left w:val="nil"/>
              <w:bottom w:val="single" w:sz="4" w:space="0" w:color="auto"/>
              <w:right w:val="single" w:sz="4" w:space="0" w:color="auto"/>
            </w:tcBorders>
            <w:vAlign w:val="bottom"/>
          </w:tcPr>
          <w:p w:rsidR="00C81B24" w:rsidRPr="00C81B24" w:rsidRDefault="00C81B24" w:rsidP="00CE5850">
            <w:pPr>
              <w:jc w:val="right"/>
              <w:rPr>
                <w:color w:val="000000"/>
                <w:sz w:val="20"/>
              </w:rPr>
            </w:pPr>
            <w:r w:rsidRPr="00C81B24">
              <w:rPr>
                <w:color w:val="000000"/>
                <w:sz w:val="20"/>
              </w:rPr>
              <w:t>4.21</w:t>
            </w:r>
          </w:p>
        </w:tc>
      </w:tr>
      <w:tr w:rsidR="00C81B24" w:rsidRPr="00C81B24" w:rsidTr="00526AD9">
        <w:trPr>
          <w:trHeight w:val="255"/>
          <w:jc w:val="center"/>
        </w:trPr>
        <w:tc>
          <w:tcPr>
            <w:tcW w:w="554" w:type="dxa"/>
            <w:tcBorders>
              <w:top w:val="nil"/>
              <w:left w:val="single" w:sz="4" w:space="0" w:color="auto"/>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163</w:t>
            </w:r>
          </w:p>
        </w:tc>
        <w:tc>
          <w:tcPr>
            <w:tcW w:w="456" w:type="dxa"/>
            <w:tcBorders>
              <w:top w:val="nil"/>
              <w:left w:val="single" w:sz="4" w:space="0" w:color="auto"/>
              <w:bottom w:val="single" w:sz="4" w:space="0" w:color="auto"/>
              <w:right w:val="single" w:sz="4" w:space="0" w:color="auto"/>
            </w:tcBorders>
            <w:vAlign w:val="center"/>
          </w:tcPr>
          <w:p w:rsidR="00C81B24" w:rsidRPr="00C81B24" w:rsidRDefault="00C81B24" w:rsidP="00CE5850">
            <w:pPr>
              <w:jc w:val="right"/>
              <w:rPr>
                <w:sz w:val="20"/>
              </w:rPr>
            </w:pPr>
            <w:r w:rsidRPr="00C81B24">
              <w:rPr>
                <w:sz w:val="20"/>
              </w:rPr>
              <w:t>92</w:t>
            </w:r>
          </w:p>
        </w:tc>
        <w:tc>
          <w:tcPr>
            <w:tcW w:w="4012" w:type="dxa"/>
            <w:tcBorders>
              <w:top w:val="nil"/>
              <w:left w:val="nil"/>
              <w:bottom w:val="single" w:sz="4" w:space="0" w:color="auto"/>
              <w:right w:val="single" w:sz="4" w:space="0" w:color="auto"/>
            </w:tcBorders>
            <w:vAlign w:val="center"/>
          </w:tcPr>
          <w:p w:rsidR="00C81B24" w:rsidRPr="00C81B24" w:rsidRDefault="00C81B24" w:rsidP="00CE5850">
            <w:pPr>
              <w:rPr>
                <w:sz w:val="20"/>
              </w:rPr>
            </w:pPr>
            <w:r w:rsidRPr="00C81B24">
              <w:rPr>
                <w:sz w:val="20"/>
              </w:rPr>
              <w:t>Fayetteville-Springdale-Rogers, AR-MO-OK</w:t>
            </w:r>
          </w:p>
        </w:tc>
        <w:tc>
          <w:tcPr>
            <w:tcW w:w="1102" w:type="dxa"/>
            <w:tcBorders>
              <w:top w:val="nil"/>
              <w:left w:val="nil"/>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 xml:space="preserve"> 459,143 </w:t>
            </w:r>
          </w:p>
        </w:tc>
        <w:tc>
          <w:tcPr>
            <w:tcW w:w="1155" w:type="dxa"/>
            <w:tcBorders>
              <w:top w:val="nil"/>
              <w:left w:val="nil"/>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 xml:space="preserve"> 538,075 </w:t>
            </w:r>
          </w:p>
        </w:tc>
        <w:tc>
          <w:tcPr>
            <w:tcW w:w="979" w:type="dxa"/>
            <w:tcBorders>
              <w:top w:val="nil"/>
              <w:left w:val="nil"/>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85%</w:t>
            </w:r>
          </w:p>
        </w:tc>
        <w:tc>
          <w:tcPr>
            <w:tcW w:w="635" w:type="dxa"/>
            <w:tcBorders>
              <w:top w:val="nil"/>
              <w:left w:val="nil"/>
              <w:bottom w:val="single" w:sz="4" w:space="0" w:color="auto"/>
              <w:right w:val="single" w:sz="4" w:space="0" w:color="auto"/>
            </w:tcBorders>
            <w:noWrap/>
            <w:vAlign w:val="bottom"/>
          </w:tcPr>
          <w:p w:rsidR="00C81B24" w:rsidRPr="00C81B24" w:rsidRDefault="00C81B24" w:rsidP="00CE5850">
            <w:pPr>
              <w:jc w:val="right"/>
              <w:rPr>
                <w:sz w:val="20"/>
              </w:rPr>
            </w:pPr>
            <w:r w:rsidRPr="00C81B24">
              <w:rPr>
                <w:sz w:val="20"/>
              </w:rPr>
              <w:t>4428</w:t>
            </w:r>
          </w:p>
        </w:tc>
        <w:tc>
          <w:tcPr>
            <w:tcW w:w="536" w:type="dxa"/>
            <w:tcBorders>
              <w:top w:val="nil"/>
              <w:left w:val="nil"/>
              <w:bottom w:val="single" w:sz="4" w:space="0" w:color="auto"/>
              <w:right w:val="single" w:sz="4" w:space="0" w:color="auto"/>
            </w:tcBorders>
            <w:vAlign w:val="bottom"/>
          </w:tcPr>
          <w:p w:rsidR="00C81B24" w:rsidRPr="00C81B24" w:rsidRDefault="00C81B24" w:rsidP="00CE5850">
            <w:pPr>
              <w:autoSpaceDE w:val="0"/>
              <w:autoSpaceDN w:val="0"/>
              <w:adjustRightInd w:val="0"/>
              <w:jc w:val="right"/>
              <w:rPr>
                <w:color w:val="000000"/>
                <w:kern w:val="0"/>
                <w:sz w:val="20"/>
              </w:rPr>
            </w:pPr>
            <w:r w:rsidRPr="00C81B24">
              <w:rPr>
                <w:color w:val="000000"/>
                <w:kern w:val="0"/>
                <w:sz w:val="20"/>
              </w:rPr>
              <w:t>4621</w:t>
            </w:r>
          </w:p>
        </w:tc>
        <w:tc>
          <w:tcPr>
            <w:tcW w:w="736" w:type="dxa"/>
            <w:tcBorders>
              <w:top w:val="nil"/>
              <w:left w:val="nil"/>
              <w:bottom w:val="single" w:sz="4" w:space="0" w:color="auto"/>
              <w:right w:val="single" w:sz="4" w:space="0" w:color="auto"/>
            </w:tcBorders>
            <w:vAlign w:val="bottom"/>
          </w:tcPr>
          <w:p w:rsidR="00C81B24" w:rsidRPr="00C81B24" w:rsidRDefault="00C81B24" w:rsidP="00CE5850">
            <w:pPr>
              <w:jc w:val="right"/>
              <w:rPr>
                <w:color w:val="000000"/>
                <w:sz w:val="20"/>
              </w:rPr>
            </w:pPr>
            <w:r w:rsidRPr="00C81B24">
              <w:rPr>
                <w:color w:val="000000"/>
                <w:sz w:val="20"/>
              </w:rPr>
              <w:t>117.86</w:t>
            </w:r>
          </w:p>
        </w:tc>
      </w:tr>
      <w:tr w:rsidR="00C81B24" w:rsidRPr="00C81B24" w:rsidTr="00526AD9">
        <w:trPr>
          <w:trHeight w:val="255"/>
          <w:jc w:val="center"/>
        </w:trPr>
        <w:tc>
          <w:tcPr>
            <w:tcW w:w="554" w:type="dxa"/>
            <w:tcBorders>
              <w:top w:val="nil"/>
              <w:left w:val="single" w:sz="4" w:space="0" w:color="auto"/>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164</w:t>
            </w:r>
          </w:p>
        </w:tc>
        <w:tc>
          <w:tcPr>
            <w:tcW w:w="456" w:type="dxa"/>
            <w:tcBorders>
              <w:top w:val="nil"/>
              <w:left w:val="single" w:sz="4" w:space="0" w:color="auto"/>
              <w:bottom w:val="single" w:sz="4" w:space="0" w:color="auto"/>
              <w:right w:val="single" w:sz="4" w:space="0" w:color="auto"/>
            </w:tcBorders>
            <w:vAlign w:val="center"/>
          </w:tcPr>
          <w:p w:rsidR="00C81B24" w:rsidRPr="00C81B24" w:rsidRDefault="00C81B24" w:rsidP="00CE5850">
            <w:pPr>
              <w:jc w:val="right"/>
              <w:rPr>
                <w:sz w:val="20"/>
              </w:rPr>
            </w:pPr>
            <w:r w:rsidRPr="00C81B24">
              <w:rPr>
                <w:sz w:val="20"/>
              </w:rPr>
              <w:t>47</w:t>
            </w:r>
          </w:p>
        </w:tc>
        <w:tc>
          <w:tcPr>
            <w:tcW w:w="4012" w:type="dxa"/>
            <w:tcBorders>
              <w:top w:val="nil"/>
              <w:left w:val="nil"/>
              <w:bottom w:val="single" w:sz="4" w:space="0" w:color="auto"/>
              <w:right w:val="single" w:sz="4" w:space="0" w:color="auto"/>
            </w:tcBorders>
            <w:vAlign w:val="center"/>
          </w:tcPr>
          <w:p w:rsidR="00C81B24" w:rsidRPr="00C81B24" w:rsidRDefault="00C81B24" w:rsidP="00CE5850">
            <w:pPr>
              <w:rPr>
                <w:sz w:val="20"/>
                <w:lang w:val="es-ES_tradnl"/>
              </w:rPr>
            </w:pPr>
            <w:r w:rsidRPr="00C81B24">
              <w:rPr>
                <w:sz w:val="20"/>
                <w:lang w:val="es-ES_tradnl"/>
              </w:rPr>
              <w:t>Lexington, KY-TN-VA-WV</w:t>
            </w:r>
          </w:p>
        </w:tc>
        <w:tc>
          <w:tcPr>
            <w:tcW w:w="1102" w:type="dxa"/>
            <w:tcBorders>
              <w:top w:val="nil"/>
              <w:left w:val="nil"/>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 xml:space="preserve">1,615,365 </w:t>
            </w:r>
          </w:p>
        </w:tc>
        <w:tc>
          <w:tcPr>
            <w:tcW w:w="1155" w:type="dxa"/>
            <w:tcBorders>
              <w:top w:val="nil"/>
              <w:left w:val="nil"/>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 xml:space="preserve"> 1,944,706 </w:t>
            </w:r>
          </w:p>
        </w:tc>
        <w:tc>
          <w:tcPr>
            <w:tcW w:w="979" w:type="dxa"/>
            <w:tcBorders>
              <w:top w:val="nil"/>
              <w:left w:val="nil"/>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83%</w:t>
            </w:r>
          </w:p>
        </w:tc>
        <w:tc>
          <w:tcPr>
            <w:tcW w:w="635" w:type="dxa"/>
            <w:tcBorders>
              <w:top w:val="nil"/>
              <w:left w:val="nil"/>
              <w:bottom w:val="single" w:sz="4" w:space="0" w:color="auto"/>
              <w:right w:val="single" w:sz="4" w:space="0" w:color="auto"/>
            </w:tcBorders>
            <w:noWrap/>
            <w:vAlign w:val="bottom"/>
          </w:tcPr>
          <w:p w:rsidR="00C81B24" w:rsidRPr="00C81B24" w:rsidRDefault="00C81B24" w:rsidP="00CE5850">
            <w:pPr>
              <w:jc w:val="right"/>
              <w:rPr>
                <w:sz w:val="20"/>
              </w:rPr>
            </w:pPr>
            <w:r w:rsidRPr="00C81B24">
              <w:rPr>
                <w:sz w:val="20"/>
              </w:rPr>
              <w:t>3548</w:t>
            </w:r>
          </w:p>
        </w:tc>
        <w:tc>
          <w:tcPr>
            <w:tcW w:w="536" w:type="dxa"/>
            <w:tcBorders>
              <w:top w:val="nil"/>
              <w:left w:val="nil"/>
              <w:bottom w:val="single" w:sz="4" w:space="0" w:color="auto"/>
              <w:right w:val="single" w:sz="4" w:space="0" w:color="auto"/>
            </w:tcBorders>
            <w:vAlign w:val="bottom"/>
          </w:tcPr>
          <w:p w:rsidR="00C81B24" w:rsidRPr="00C81B24" w:rsidRDefault="00C81B24" w:rsidP="00CE5850">
            <w:pPr>
              <w:autoSpaceDE w:val="0"/>
              <w:autoSpaceDN w:val="0"/>
              <w:adjustRightInd w:val="0"/>
              <w:jc w:val="right"/>
              <w:rPr>
                <w:color w:val="000000"/>
                <w:kern w:val="0"/>
                <w:sz w:val="20"/>
              </w:rPr>
            </w:pPr>
            <w:r w:rsidRPr="00C81B24">
              <w:rPr>
                <w:color w:val="000000"/>
                <w:kern w:val="0"/>
                <w:sz w:val="20"/>
              </w:rPr>
              <w:t>3678</w:t>
            </w:r>
          </w:p>
        </w:tc>
        <w:tc>
          <w:tcPr>
            <w:tcW w:w="736" w:type="dxa"/>
            <w:tcBorders>
              <w:top w:val="nil"/>
              <w:left w:val="nil"/>
              <w:bottom w:val="single" w:sz="4" w:space="0" w:color="auto"/>
              <w:right w:val="single" w:sz="4" w:space="0" w:color="auto"/>
            </w:tcBorders>
            <w:vAlign w:val="bottom"/>
          </w:tcPr>
          <w:p w:rsidR="00C81B24" w:rsidRPr="00C81B24" w:rsidRDefault="00C81B24" w:rsidP="00CE5850">
            <w:pPr>
              <w:jc w:val="right"/>
              <w:rPr>
                <w:color w:val="000000"/>
                <w:sz w:val="20"/>
              </w:rPr>
            </w:pPr>
            <w:r w:rsidRPr="00C81B24">
              <w:rPr>
                <w:color w:val="000000"/>
                <w:sz w:val="20"/>
              </w:rPr>
              <w:t>85.01</w:t>
            </w:r>
          </w:p>
        </w:tc>
      </w:tr>
      <w:tr w:rsidR="00C81B24" w:rsidRPr="00C81B24" w:rsidTr="00526AD9">
        <w:trPr>
          <w:trHeight w:val="255"/>
          <w:jc w:val="center"/>
        </w:trPr>
        <w:tc>
          <w:tcPr>
            <w:tcW w:w="554" w:type="dxa"/>
            <w:tcBorders>
              <w:top w:val="nil"/>
              <w:left w:val="single" w:sz="4" w:space="0" w:color="auto"/>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165</w:t>
            </w:r>
          </w:p>
        </w:tc>
        <w:tc>
          <w:tcPr>
            <w:tcW w:w="456" w:type="dxa"/>
            <w:tcBorders>
              <w:top w:val="nil"/>
              <w:left w:val="single" w:sz="4" w:space="0" w:color="auto"/>
              <w:bottom w:val="single" w:sz="4" w:space="0" w:color="auto"/>
              <w:right w:val="single" w:sz="4" w:space="0" w:color="auto"/>
            </w:tcBorders>
            <w:vAlign w:val="center"/>
          </w:tcPr>
          <w:p w:rsidR="00C81B24" w:rsidRPr="00C81B24" w:rsidRDefault="00C81B24" w:rsidP="00CE5850">
            <w:pPr>
              <w:jc w:val="right"/>
              <w:rPr>
                <w:sz w:val="20"/>
              </w:rPr>
            </w:pPr>
            <w:r w:rsidRPr="00C81B24">
              <w:rPr>
                <w:sz w:val="20"/>
              </w:rPr>
              <w:t>105</w:t>
            </w:r>
          </w:p>
        </w:tc>
        <w:tc>
          <w:tcPr>
            <w:tcW w:w="4012" w:type="dxa"/>
            <w:tcBorders>
              <w:top w:val="nil"/>
              <w:left w:val="nil"/>
              <w:bottom w:val="single" w:sz="4" w:space="0" w:color="auto"/>
              <w:right w:val="single" w:sz="4" w:space="0" w:color="auto"/>
            </w:tcBorders>
            <w:vAlign w:val="center"/>
          </w:tcPr>
          <w:p w:rsidR="00C81B24" w:rsidRPr="00C81B24" w:rsidRDefault="00C81B24" w:rsidP="00CE5850">
            <w:pPr>
              <w:rPr>
                <w:sz w:val="20"/>
              </w:rPr>
            </w:pPr>
            <w:r w:rsidRPr="00C81B24">
              <w:rPr>
                <w:sz w:val="20"/>
              </w:rPr>
              <w:t>La Crosse, WI-MN</w:t>
            </w:r>
          </w:p>
        </w:tc>
        <w:tc>
          <w:tcPr>
            <w:tcW w:w="1102" w:type="dxa"/>
            <w:tcBorders>
              <w:top w:val="nil"/>
              <w:left w:val="nil"/>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 xml:space="preserve"> 212,340 </w:t>
            </w:r>
          </w:p>
        </w:tc>
        <w:tc>
          <w:tcPr>
            <w:tcW w:w="1155" w:type="dxa"/>
            <w:tcBorders>
              <w:top w:val="nil"/>
              <w:left w:val="nil"/>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 xml:space="preserve"> 259,058 </w:t>
            </w:r>
          </w:p>
        </w:tc>
        <w:tc>
          <w:tcPr>
            <w:tcW w:w="979" w:type="dxa"/>
            <w:tcBorders>
              <w:top w:val="nil"/>
              <w:left w:val="nil"/>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82%</w:t>
            </w:r>
          </w:p>
        </w:tc>
        <w:tc>
          <w:tcPr>
            <w:tcW w:w="635" w:type="dxa"/>
            <w:tcBorders>
              <w:top w:val="nil"/>
              <w:left w:val="nil"/>
              <w:bottom w:val="single" w:sz="4" w:space="0" w:color="auto"/>
              <w:right w:val="single" w:sz="4" w:space="0" w:color="auto"/>
            </w:tcBorders>
            <w:noWrap/>
            <w:vAlign w:val="bottom"/>
          </w:tcPr>
          <w:p w:rsidR="00C81B24" w:rsidRPr="00C81B24" w:rsidRDefault="00C81B24" w:rsidP="00CE5850">
            <w:pPr>
              <w:jc w:val="right"/>
              <w:rPr>
                <w:sz w:val="20"/>
              </w:rPr>
            </w:pPr>
            <w:r w:rsidRPr="00C81B24">
              <w:rPr>
                <w:sz w:val="20"/>
              </w:rPr>
              <w:t>4031</w:t>
            </w:r>
          </w:p>
        </w:tc>
        <w:tc>
          <w:tcPr>
            <w:tcW w:w="536" w:type="dxa"/>
            <w:tcBorders>
              <w:top w:val="nil"/>
              <w:left w:val="nil"/>
              <w:bottom w:val="single" w:sz="4" w:space="0" w:color="auto"/>
              <w:right w:val="single" w:sz="4" w:space="0" w:color="auto"/>
            </w:tcBorders>
            <w:vAlign w:val="bottom"/>
          </w:tcPr>
          <w:p w:rsidR="00C81B24" w:rsidRPr="00C81B24" w:rsidRDefault="00C81B24" w:rsidP="00CE5850">
            <w:pPr>
              <w:autoSpaceDE w:val="0"/>
              <w:autoSpaceDN w:val="0"/>
              <w:adjustRightInd w:val="0"/>
              <w:jc w:val="right"/>
              <w:rPr>
                <w:color w:val="000000"/>
                <w:kern w:val="0"/>
                <w:sz w:val="20"/>
              </w:rPr>
            </w:pPr>
            <w:r w:rsidRPr="00C81B24">
              <w:rPr>
                <w:color w:val="000000"/>
                <w:kern w:val="0"/>
                <w:sz w:val="20"/>
              </w:rPr>
              <w:t>3955</w:t>
            </w:r>
          </w:p>
        </w:tc>
        <w:tc>
          <w:tcPr>
            <w:tcW w:w="736" w:type="dxa"/>
            <w:tcBorders>
              <w:top w:val="nil"/>
              <w:left w:val="nil"/>
              <w:bottom w:val="single" w:sz="4" w:space="0" w:color="auto"/>
              <w:right w:val="single" w:sz="4" w:space="0" w:color="auto"/>
            </w:tcBorders>
            <w:vAlign w:val="bottom"/>
          </w:tcPr>
          <w:p w:rsidR="00C81B24" w:rsidRPr="00C81B24" w:rsidRDefault="00C81B24" w:rsidP="00CE5850">
            <w:pPr>
              <w:jc w:val="right"/>
              <w:rPr>
                <w:color w:val="000000"/>
                <w:sz w:val="20"/>
              </w:rPr>
            </w:pPr>
            <w:r w:rsidRPr="00C81B24">
              <w:rPr>
                <w:color w:val="000000"/>
                <w:sz w:val="20"/>
              </w:rPr>
              <w:t>58.27</w:t>
            </w:r>
          </w:p>
        </w:tc>
      </w:tr>
      <w:tr w:rsidR="00C81B24" w:rsidRPr="00C81B24" w:rsidTr="00526AD9">
        <w:trPr>
          <w:trHeight w:val="255"/>
          <w:jc w:val="center"/>
        </w:trPr>
        <w:tc>
          <w:tcPr>
            <w:tcW w:w="554" w:type="dxa"/>
            <w:tcBorders>
              <w:top w:val="nil"/>
              <w:left w:val="single" w:sz="4" w:space="0" w:color="auto"/>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166</w:t>
            </w:r>
          </w:p>
        </w:tc>
        <w:tc>
          <w:tcPr>
            <w:tcW w:w="456" w:type="dxa"/>
            <w:tcBorders>
              <w:top w:val="nil"/>
              <w:left w:val="single" w:sz="4" w:space="0" w:color="auto"/>
              <w:bottom w:val="single" w:sz="4" w:space="0" w:color="auto"/>
              <w:right w:val="single" w:sz="4" w:space="0" w:color="auto"/>
            </w:tcBorders>
            <w:vAlign w:val="center"/>
          </w:tcPr>
          <w:p w:rsidR="00C81B24" w:rsidRPr="00C81B24" w:rsidRDefault="00C81B24" w:rsidP="00CE5850">
            <w:pPr>
              <w:jc w:val="right"/>
              <w:rPr>
                <w:sz w:val="20"/>
              </w:rPr>
            </w:pPr>
            <w:r w:rsidRPr="00C81B24">
              <w:rPr>
                <w:sz w:val="20"/>
              </w:rPr>
              <w:t>162</w:t>
            </w:r>
          </w:p>
        </w:tc>
        <w:tc>
          <w:tcPr>
            <w:tcW w:w="4012" w:type="dxa"/>
            <w:tcBorders>
              <w:top w:val="nil"/>
              <w:left w:val="nil"/>
              <w:bottom w:val="single" w:sz="4" w:space="0" w:color="auto"/>
              <w:right w:val="single" w:sz="4" w:space="0" w:color="auto"/>
            </w:tcBorders>
            <w:vAlign w:val="center"/>
          </w:tcPr>
          <w:p w:rsidR="00C81B24" w:rsidRPr="00C81B24" w:rsidRDefault="00C81B24" w:rsidP="00CE5850">
            <w:pPr>
              <w:rPr>
                <w:sz w:val="20"/>
              </w:rPr>
            </w:pPr>
            <w:r w:rsidRPr="00C81B24">
              <w:rPr>
                <w:sz w:val="20"/>
              </w:rPr>
              <w:t>Fresno, CA</w:t>
            </w:r>
          </w:p>
        </w:tc>
        <w:tc>
          <w:tcPr>
            <w:tcW w:w="1102" w:type="dxa"/>
            <w:tcBorders>
              <w:top w:val="nil"/>
              <w:left w:val="nil"/>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 xml:space="preserve"> 1,376,621 </w:t>
            </w:r>
          </w:p>
        </w:tc>
        <w:tc>
          <w:tcPr>
            <w:tcW w:w="1155" w:type="dxa"/>
            <w:tcBorders>
              <w:top w:val="nil"/>
              <w:left w:val="nil"/>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 xml:space="preserve"> 1,698,847 </w:t>
            </w:r>
          </w:p>
        </w:tc>
        <w:tc>
          <w:tcPr>
            <w:tcW w:w="979" w:type="dxa"/>
            <w:tcBorders>
              <w:top w:val="nil"/>
              <w:left w:val="nil"/>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81%</w:t>
            </w:r>
          </w:p>
        </w:tc>
        <w:tc>
          <w:tcPr>
            <w:tcW w:w="635" w:type="dxa"/>
            <w:tcBorders>
              <w:top w:val="nil"/>
              <w:left w:val="nil"/>
              <w:bottom w:val="single" w:sz="4" w:space="0" w:color="auto"/>
              <w:right w:val="single" w:sz="4" w:space="0" w:color="auto"/>
            </w:tcBorders>
            <w:noWrap/>
            <w:vAlign w:val="bottom"/>
          </w:tcPr>
          <w:p w:rsidR="00C81B24" w:rsidRPr="00C81B24" w:rsidRDefault="00C81B24" w:rsidP="00CE5850">
            <w:pPr>
              <w:jc w:val="right"/>
              <w:rPr>
                <w:sz w:val="20"/>
              </w:rPr>
            </w:pPr>
            <w:r w:rsidRPr="00C81B24">
              <w:rPr>
                <w:sz w:val="20"/>
              </w:rPr>
              <w:t>2953</w:t>
            </w:r>
          </w:p>
        </w:tc>
        <w:tc>
          <w:tcPr>
            <w:tcW w:w="536" w:type="dxa"/>
            <w:tcBorders>
              <w:top w:val="nil"/>
              <w:left w:val="nil"/>
              <w:bottom w:val="single" w:sz="4" w:space="0" w:color="auto"/>
              <w:right w:val="single" w:sz="4" w:space="0" w:color="auto"/>
            </w:tcBorders>
            <w:vAlign w:val="bottom"/>
          </w:tcPr>
          <w:p w:rsidR="00C81B24" w:rsidRPr="00C81B24" w:rsidRDefault="00C81B24" w:rsidP="00CE5850">
            <w:pPr>
              <w:autoSpaceDE w:val="0"/>
              <w:autoSpaceDN w:val="0"/>
              <w:adjustRightInd w:val="0"/>
              <w:jc w:val="right"/>
              <w:rPr>
                <w:color w:val="000000"/>
                <w:kern w:val="0"/>
                <w:sz w:val="20"/>
              </w:rPr>
            </w:pPr>
            <w:r w:rsidRPr="00C81B24">
              <w:rPr>
                <w:color w:val="000000"/>
                <w:kern w:val="0"/>
                <w:sz w:val="20"/>
              </w:rPr>
              <w:t>2929</w:t>
            </w:r>
          </w:p>
        </w:tc>
        <w:tc>
          <w:tcPr>
            <w:tcW w:w="736" w:type="dxa"/>
            <w:tcBorders>
              <w:top w:val="nil"/>
              <w:left w:val="nil"/>
              <w:bottom w:val="single" w:sz="4" w:space="0" w:color="auto"/>
              <w:right w:val="single" w:sz="4" w:space="0" w:color="auto"/>
            </w:tcBorders>
            <w:vAlign w:val="bottom"/>
          </w:tcPr>
          <w:p w:rsidR="00C81B24" w:rsidRPr="00C81B24" w:rsidRDefault="00C81B24" w:rsidP="00CE5850">
            <w:pPr>
              <w:jc w:val="right"/>
              <w:rPr>
                <w:color w:val="000000"/>
                <w:sz w:val="20"/>
              </w:rPr>
            </w:pPr>
            <w:r w:rsidRPr="00C81B24">
              <w:rPr>
                <w:color w:val="000000"/>
                <w:sz w:val="20"/>
              </w:rPr>
              <w:t>117.16</w:t>
            </w:r>
          </w:p>
        </w:tc>
      </w:tr>
      <w:tr w:rsidR="00C81B24" w:rsidRPr="00C81B24" w:rsidTr="00526AD9">
        <w:trPr>
          <w:trHeight w:val="255"/>
          <w:jc w:val="center"/>
        </w:trPr>
        <w:tc>
          <w:tcPr>
            <w:tcW w:w="554" w:type="dxa"/>
            <w:tcBorders>
              <w:top w:val="nil"/>
              <w:left w:val="single" w:sz="4" w:space="0" w:color="auto"/>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167</w:t>
            </w:r>
          </w:p>
        </w:tc>
        <w:tc>
          <w:tcPr>
            <w:tcW w:w="456" w:type="dxa"/>
            <w:tcBorders>
              <w:top w:val="nil"/>
              <w:left w:val="single" w:sz="4" w:space="0" w:color="auto"/>
              <w:bottom w:val="single" w:sz="4" w:space="0" w:color="auto"/>
              <w:right w:val="single" w:sz="4" w:space="0" w:color="auto"/>
            </w:tcBorders>
            <w:vAlign w:val="center"/>
          </w:tcPr>
          <w:p w:rsidR="00C81B24" w:rsidRPr="00C81B24" w:rsidRDefault="00C81B24" w:rsidP="00CE5850">
            <w:pPr>
              <w:jc w:val="right"/>
              <w:rPr>
                <w:sz w:val="20"/>
              </w:rPr>
            </w:pPr>
            <w:r w:rsidRPr="00C81B24">
              <w:rPr>
                <w:sz w:val="20"/>
              </w:rPr>
              <w:t>168</w:t>
            </w:r>
          </w:p>
        </w:tc>
        <w:tc>
          <w:tcPr>
            <w:tcW w:w="4012" w:type="dxa"/>
            <w:tcBorders>
              <w:top w:val="nil"/>
              <w:left w:val="nil"/>
              <w:bottom w:val="single" w:sz="4" w:space="0" w:color="auto"/>
              <w:right w:val="single" w:sz="4" w:space="0" w:color="auto"/>
            </w:tcBorders>
            <w:vAlign w:val="center"/>
          </w:tcPr>
          <w:p w:rsidR="00C81B24" w:rsidRPr="00C81B24" w:rsidRDefault="00C81B24" w:rsidP="00CE5850">
            <w:pPr>
              <w:rPr>
                <w:sz w:val="20"/>
              </w:rPr>
            </w:pPr>
            <w:r w:rsidRPr="00C81B24">
              <w:rPr>
                <w:sz w:val="20"/>
              </w:rPr>
              <w:t>Pendleton, OR-WA</w:t>
            </w:r>
          </w:p>
        </w:tc>
        <w:tc>
          <w:tcPr>
            <w:tcW w:w="1102" w:type="dxa"/>
            <w:tcBorders>
              <w:top w:val="nil"/>
              <w:left w:val="nil"/>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 xml:space="preserve"> 168,511 </w:t>
            </w:r>
          </w:p>
        </w:tc>
        <w:tc>
          <w:tcPr>
            <w:tcW w:w="1155" w:type="dxa"/>
            <w:tcBorders>
              <w:top w:val="nil"/>
              <w:left w:val="nil"/>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 xml:space="preserve"> 211,070 </w:t>
            </w:r>
          </w:p>
        </w:tc>
        <w:tc>
          <w:tcPr>
            <w:tcW w:w="979" w:type="dxa"/>
            <w:tcBorders>
              <w:top w:val="nil"/>
              <w:left w:val="nil"/>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80%</w:t>
            </w:r>
          </w:p>
        </w:tc>
        <w:tc>
          <w:tcPr>
            <w:tcW w:w="635" w:type="dxa"/>
            <w:tcBorders>
              <w:top w:val="nil"/>
              <w:left w:val="nil"/>
              <w:bottom w:val="single" w:sz="4" w:space="0" w:color="auto"/>
              <w:right w:val="single" w:sz="4" w:space="0" w:color="auto"/>
            </w:tcBorders>
            <w:noWrap/>
            <w:vAlign w:val="bottom"/>
          </w:tcPr>
          <w:p w:rsidR="00C81B24" w:rsidRPr="00C81B24" w:rsidRDefault="00C81B24" w:rsidP="00CE5850">
            <w:pPr>
              <w:jc w:val="right"/>
              <w:rPr>
                <w:sz w:val="20"/>
              </w:rPr>
            </w:pPr>
            <w:r w:rsidRPr="00C81B24">
              <w:rPr>
                <w:sz w:val="20"/>
              </w:rPr>
              <w:t>3337</w:t>
            </w:r>
          </w:p>
        </w:tc>
        <w:tc>
          <w:tcPr>
            <w:tcW w:w="536" w:type="dxa"/>
            <w:tcBorders>
              <w:top w:val="nil"/>
              <w:left w:val="nil"/>
              <w:bottom w:val="single" w:sz="4" w:space="0" w:color="auto"/>
              <w:right w:val="single" w:sz="4" w:space="0" w:color="auto"/>
            </w:tcBorders>
            <w:vAlign w:val="bottom"/>
          </w:tcPr>
          <w:p w:rsidR="00C81B24" w:rsidRPr="00C81B24" w:rsidRDefault="00C81B24" w:rsidP="00CE5850">
            <w:pPr>
              <w:autoSpaceDE w:val="0"/>
              <w:autoSpaceDN w:val="0"/>
              <w:adjustRightInd w:val="0"/>
              <w:jc w:val="right"/>
              <w:rPr>
                <w:color w:val="000000"/>
                <w:kern w:val="0"/>
                <w:sz w:val="20"/>
              </w:rPr>
            </w:pPr>
            <w:r w:rsidRPr="00C81B24">
              <w:rPr>
                <w:color w:val="000000"/>
                <w:kern w:val="0"/>
                <w:sz w:val="20"/>
              </w:rPr>
              <w:t>3292</w:t>
            </w:r>
          </w:p>
        </w:tc>
        <w:tc>
          <w:tcPr>
            <w:tcW w:w="736" w:type="dxa"/>
            <w:tcBorders>
              <w:top w:val="nil"/>
              <w:left w:val="nil"/>
              <w:bottom w:val="single" w:sz="4" w:space="0" w:color="auto"/>
              <w:right w:val="single" w:sz="4" w:space="0" w:color="auto"/>
            </w:tcBorders>
            <w:vAlign w:val="bottom"/>
          </w:tcPr>
          <w:p w:rsidR="00C81B24" w:rsidRPr="00C81B24" w:rsidRDefault="00C81B24" w:rsidP="00CE5850">
            <w:pPr>
              <w:jc w:val="right"/>
              <w:rPr>
                <w:color w:val="000000"/>
                <w:sz w:val="20"/>
              </w:rPr>
            </w:pPr>
            <w:r w:rsidRPr="00C81B24">
              <w:rPr>
                <w:color w:val="000000"/>
                <w:sz w:val="20"/>
              </w:rPr>
              <w:t>9.08</w:t>
            </w:r>
          </w:p>
        </w:tc>
      </w:tr>
      <w:tr w:rsidR="00C81B24" w:rsidRPr="00C81B24" w:rsidTr="00526AD9">
        <w:trPr>
          <w:trHeight w:val="255"/>
          <w:jc w:val="center"/>
        </w:trPr>
        <w:tc>
          <w:tcPr>
            <w:tcW w:w="554" w:type="dxa"/>
            <w:tcBorders>
              <w:top w:val="nil"/>
              <w:left w:val="single" w:sz="4" w:space="0" w:color="auto"/>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168</w:t>
            </w:r>
          </w:p>
        </w:tc>
        <w:tc>
          <w:tcPr>
            <w:tcW w:w="456" w:type="dxa"/>
            <w:tcBorders>
              <w:top w:val="nil"/>
              <w:left w:val="single" w:sz="4" w:space="0" w:color="auto"/>
              <w:bottom w:val="single" w:sz="4" w:space="0" w:color="auto"/>
              <w:right w:val="single" w:sz="4" w:space="0" w:color="auto"/>
            </w:tcBorders>
            <w:vAlign w:val="center"/>
          </w:tcPr>
          <w:p w:rsidR="00C81B24" w:rsidRPr="00C81B24" w:rsidRDefault="00C81B24" w:rsidP="00CE5850">
            <w:pPr>
              <w:jc w:val="right"/>
              <w:rPr>
                <w:sz w:val="20"/>
              </w:rPr>
            </w:pPr>
            <w:r w:rsidRPr="00C81B24">
              <w:rPr>
                <w:sz w:val="20"/>
              </w:rPr>
              <w:t>136</w:t>
            </w:r>
          </w:p>
        </w:tc>
        <w:tc>
          <w:tcPr>
            <w:tcW w:w="4012" w:type="dxa"/>
            <w:tcBorders>
              <w:top w:val="nil"/>
              <w:left w:val="nil"/>
              <w:bottom w:val="single" w:sz="4" w:space="0" w:color="auto"/>
              <w:right w:val="single" w:sz="4" w:space="0" w:color="auto"/>
            </w:tcBorders>
            <w:vAlign w:val="center"/>
          </w:tcPr>
          <w:p w:rsidR="00C81B24" w:rsidRPr="00C81B24" w:rsidRDefault="00C81B24" w:rsidP="00CE5850">
            <w:pPr>
              <w:rPr>
                <w:sz w:val="20"/>
              </w:rPr>
            </w:pPr>
            <w:r w:rsidRPr="00C81B24">
              <w:rPr>
                <w:sz w:val="20"/>
              </w:rPr>
              <w:t>Hobbs, NM-TX</w:t>
            </w:r>
          </w:p>
        </w:tc>
        <w:tc>
          <w:tcPr>
            <w:tcW w:w="1102" w:type="dxa"/>
            <w:tcBorders>
              <w:top w:val="nil"/>
              <w:left w:val="nil"/>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 xml:space="preserve"> 168,033 </w:t>
            </w:r>
          </w:p>
        </w:tc>
        <w:tc>
          <w:tcPr>
            <w:tcW w:w="1155" w:type="dxa"/>
            <w:tcBorders>
              <w:top w:val="nil"/>
              <w:left w:val="nil"/>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 xml:space="preserve"> 211,473 </w:t>
            </w:r>
          </w:p>
        </w:tc>
        <w:tc>
          <w:tcPr>
            <w:tcW w:w="979" w:type="dxa"/>
            <w:tcBorders>
              <w:top w:val="nil"/>
              <w:left w:val="nil"/>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79%</w:t>
            </w:r>
          </w:p>
        </w:tc>
        <w:tc>
          <w:tcPr>
            <w:tcW w:w="635" w:type="dxa"/>
            <w:tcBorders>
              <w:top w:val="nil"/>
              <w:left w:val="nil"/>
              <w:bottom w:val="single" w:sz="4" w:space="0" w:color="auto"/>
              <w:right w:val="single" w:sz="4" w:space="0" w:color="auto"/>
            </w:tcBorders>
            <w:noWrap/>
            <w:vAlign w:val="bottom"/>
          </w:tcPr>
          <w:p w:rsidR="00C81B24" w:rsidRPr="00C81B24" w:rsidRDefault="00C81B24" w:rsidP="00CE5850">
            <w:pPr>
              <w:jc w:val="right"/>
              <w:rPr>
                <w:sz w:val="20"/>
              </w:rPr>
            </w:pPr>
            <w:r w:rsidRPr="00C81B24">
              <w:rPr>
                <w:sz w:val="20"/>
              </w:rPr>
              <w:t>2966</w:t>
            </w:r>
          </w:p>
        </w:tc>
        <w:tc>
          <w:tcPr>
            <w:tcW w:w="536" w:type="dxa"/>
            <w:tcBorders>
              <w:top w:val="nil"/>
              <w:left w:val="nil"/>
              <w:bottom w:val="single" w:sz="4" w:space="0" w:color="auto"/>
              <w:right w:val="single" w:sz="4" w:space="0" w:color="auto"/>
            </w:tcBorders>
            <w:vAlign w:val="bottom"/>
          </w:tcPr>
          <w:p w:rsidR="00C81B24" w:rsidRPr="00C81B24" w:rsidRDefault="00C81B24" w:rsidP="00CE5850">
            <w:pPr>
              <w:autoSpaceDE w:val="0"/>
              <w:autoSpaceDN w:val="0"/>
              <w:adjustRightInd w:val="0"/>
              <w:jc w:val="right"/>
              <w:rPr>
                <w:color w:val="000000"/>
                <w:kern w:val="0"/>
                <w:sz w:val="20"/>
              </w:rPr>
            </w:pPr>
            <w:r w:rsidRPr="00C81B24">
              <w:rPr>
                <w:color w:val="000000"/>
                <w:kern w:val="0"/>
                <w:sz w:val="20"/>
              </w:rPr>
              <w:t>3217</w:t>
            </w:r>
          </w:p>
        </w:tc>
        <w:tc>
          <w:tcPr>
            <w:tcW w:w="736" w:type="dxa"/>
            <w:tcBorders>
              <w:top w:val="nil"/>
              <w:left w:val="nil"/>
              <w:bottom w:val="single" w:sz="4" w:space="0" w:color="auto"/>
              <w:right w:val="single" w:sz="4" w:space="0" w:color="auto"/>
            </w:tcBorders>
            <w:vAlign w:val="bottom"/>
          </w:tcPr>
          <w:p w:rsidR="00C81B24" w:rsidRPr="00C81B24" w:rsidRDefault="00C81B24" w:rsidP="00CE5850">
            <w:pPr>
              <w:jc w:val="right"/>
              <w:rPr>
                <w:color w:val="000000"/>
                <w:sz w:val="20"/>
              </w:rPr>
            </w:pPr>
            <w:r w:rsidRPr="00C81B24">
              <w:rPr>
                <w:color w:val="000000"/>
                <w:sz w:val="20"/>
              </w:rPr>
              <w:t>12.38</w:t>
            </w:r>
          </w:p>
        </w:tc>
      </w:tr>
      <w:tr w:rsidR="00C81B24" w:rsidRPr="00C81B24" w:rsidTr="00526AD9">
        <w:trPr>
          <w:trHeight w:val="255"/>
          <w:jc w:val="center"/>
        </w:trPr>
        <w:tc>
          <w:tcPr>
            <w:tcW w:w="554" w:type="dxa"/>
            <w:tcBorders>
              <w:top w:val="nil"/>
              <w:left w:val="single" w:sz="4" w:space="0" w:color="auto"/>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169</w:t>
            </w:r>
          </w:p>
        </w:tc>
        <w:tc>
          <w:tcPr>
            <w:tcW w:w="456" w:type="dxa"/>
            <w:tcBorders>
              <w:top w:val="nil"/>
              <w:left w:val="single" w:sz="4" w:space="0" w:color="auto"/>
              <w:bottom w:val="single" w:sz="4" w:space="0" w:color="auto"/>
              <w:right w:val="single" w:sz="4" w:space="0" w:color="auto"/>
            </w:tcBorders>
            <w:vAlign w:val="center"/>
          </w:tcPr>
          <w:p w:rsidR="00C81B24" w:rsidRPr="00C81B24" w:rsidRDefault="00C81B24" w:rsidP="00CE5850">
            <w:pPr>
              <w:jc w:val="right"/>
              <w:rPr>
                <w:sz w:val="20"/>
              </w:rPr>
            </w:pPr>
            <w:r w:rsidRPr="00C81B24">
              <w:rPr>
                <w:sz w:val="20"/>
              </w:rPr>
              <w:t>58</w:t>
            </w:r>
          </w:p>
        </w:tc>
        <w:tc>
          <w:tcPr>
            <w:tcW w:w="4012" w:type="dxa"/>
            <w:tcBorders>
              <w:top w:val="nil"/>
              <w:left w:val="nil"/>
              <w:bottom w:val="single" w:sz="4" w:space="0" w:color="auto"/>
              <w:right w:val="single" w:sz="4" w:space="0" w:color="auto"/>
            </w:tcBorders>
            <w:vAlign w:val="center"/>
          </w:tcPr>
          <w:p w:rsidR="00C81B24" w:rsidRPr="00C81B24" w:rsidRDefault="00C81B24" w:rsidP="00CE5850">
            <w:pPr>
              <w:rPr>
                <w:sz w:val="20"/>
              </w:rPr>
            </w:pPr>
            <w:r w:rsidRPr="00C81B24">
              <w:rPr>
                <w:sz w:val="20"/>
              </w:rPr>
              <w:t>Northern Michigan, MI</w:t>
            </w:r>
          </w:p>
        </w:tc>
        <w:tc>
          <w:tcPr>
            <w:tcW w:w="1102" w:type="dxa"/>
            <w:tcBorders>
              <w:top w:val="nil"/>
              <w:left w:val="nil"/>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w:t>
            </w:r>
          </w:p>
        </w:tc>
        <w:tc>
          <w:tcPr>
            <w:tcW w:w="1155" w:type="dxa"/>
            <w:tcBorders>
              <w:top w:val="nil"/>
              <w:left w:val="nil"/>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 xml:space="preserve"> 264,490 </w:t>
            </w:r>
          </w:p>
        </w:tc>
        <w:tc>
          <w:tcPr>
            <w:tcW w:w="979" w:type="dxa"/>
            <w:tcBorders>
              <w:top w:val="nil"/>
              <w:left w:val="nil"/>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w:t>
            </w:r>
          </w:p>
        </w:tc>
        <w:tc>
          <w:tcPr>
            <w:tcW w:w="635" w:type="dxa"/>
            <w:tcBorders>
              <w:top w:val="nil"/>
              <w:left w:val="nil"/>
              <w:bottom w:val="single" w:sz="4" w:space="0" w:color="auto"/>
              <w:right w:val="single" w:sz="4" w:space="0" w:color="auto"/>
            </w:tcBorders>
            <w:noWrap/>
            <w:vAlign w:val="bottom"/>
          </w:tcPr>
          <w:p w:rsidR="00C81B24" w:rsidRPr="00C81B24" w:rsidRDefault="00C81B24" w:rsidP="00CE5850">
            <w:pPr>
              <w:jc w:val="right"/>
              <w:rPr>
                <w:sz w:val="20"/>
              </w:rPr>
            </w:pPr>
            <w:r w:rsidRPr="00C81B24">
              <w:rPr>
                <w:sz w:val="20"/>
              </w:rPr>
              <w:t>*</w:t>
            </w:r>
          </w:p>
        </w:tc>
        <w:tc>
          <w:tcPr>
            <w:tcW w:w="536" w:type="dxa"/>
            <w:tcBorders>
              <w:top w:val="nil"/>
              <w:left w:val="nil"/>
              <w:bottom w:val="single" w:sz="4" w:space="0" w:color="auto"/>
              <w:right w:val="single" w:sz="4" w:space="0" w:color="auto"/>
            </w:tcBorders>
            <w:vAlign w:val="bottom"/>
          </w:tcPr>
          <w:p w:rsidR="00C81B24" w:rsidRPr="00C81B24" w:rsidRDefault="00C81B24" w:rsidP="00CE5850">
            <w:pPr>
              <w:autoSpaceDE w:val="0"/>
              <w:autoSpaceDN w:val="0"/>
              <w:adjustRightInd w:val="0"/>
              <w:jc w:val="right"/>
              <w:rPr>
                <w:color w:val="000000"/>
                <w:kern w:val="0"/>
                <w:sz w:val="20"/>
              </w:rPr>
            </w:pPr>
            <w:r w:rsidRPr="00C81B24">
              <w:rPr>
                <w:color w:val="000000"/>
                <w:kern w:val="0"/>
                <w:sz w:val="20"/>
              </w:rPr>
              <w:t>*</w:t>
            </w:r>
          </w:p>
        </w:tc>
        <w:tc>
          <w:tcPr>
            <w:tcW w:w="736" w:type="dxa"/>
            <w:tcBorders>
              <w:top w:val="nil"/>
              <w:left w:val="nil"/>
              <w:bottom w:val="single" w:sz="4" w:space="0" w:color="auto"/>
              <w:right w:val="single" w:sz="4" w:space="0" w:color="auto"/>
            </w:tcBorders>
            <w:vAlign w:val="bottom"/>
          </w:tcPr>
          <w:p w:rsidR="00C81B24" w:rsidRPr="00C81B24" w:rsidRDefault="00C81B24" w:rsidP="00CE5850">
            <w:pPr>
              <w:jc w:val="right"/>
              <w:rPr>
                <w:color w:val="000000"/>
                <w:sz w:val="20"/>
              </w:rPr>
            </w:pPr>
            <w:r w:rsidRPr="00C81B24">
              <w:rPr>
                <w:color w:val="000000"/>
                <w:sz w:val="20"/>
              </w:rPr>
              <w:t>29.42</w:t>
            </w:r>
          </w:p>
        </w:tc>
      </w:tr>
      <w:tr w:rsidR="00C81B24" w:rsidRPr="00C81B24" w:rsidTr="00526AD9">
        <w:trPr>
          <w:trHeight w:val="255"/>
          <w:jc w:val="center"/>
        </w:trPr>
        <w:tc>
          <w:tcPr>
            <w:tcW w:w="554" w:type="dxa"/>
            <w:tcBorders>
              <w:top w:val="nil"/>
              <w:left w:val="single" w:sz="4" w:space="0" w:color="auto"/>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170</w:t>
            </w:r>
          </w:p>
        </w:tc>
        <w:tc>
          <w:tcPr>
            <w:tcW w:w="456" w:type="dxa"/>
            <w:tcBorders>
              <w:top w:val="nil"/>
              <w:left w:val="single" w:sz="4" w:space="0" w:color="auto"/>
              <w:bottom w:val="single" w:sz="4" w:space="0" w:color="auto"/>
              <w:right w:val="single" w:sz="4" w:space="0" w:color="auto"/>
            </w:tcBorders>
            <w:vAlign w:val="center"/>
          </w:tcPr>
          <w:p w:rsidR="00C81B24" w:rsidRPr="00C81B24" w:rsidRDefault="00C81B24" w:rsidP="00CE5850">
            <w:pPr>
              <w:jc w:val="right"/>
              <w:rPr>
                <w:sz w:val="20"/>
              </w:rPr>
            </w:pPr>
            <w:r w:rsidRPr="00C81B24">
              <w:rPr>
                <w:sz w:val="20"/>
              </w:rPr>
              <w:t>61</w:t>
            </w:r>
          </w:p>
        </w:tc>
        <w:tc>
          <w:tcPr>
            <w:tcW w:w="4012" w:type="dxa"/>
            <w:tcBorders>
              <w:top w:val="nil"/>
              <w:left w:val="nil"/>
              <w:bottom w:val="single" w:sz="4" w:space="0" w:color="auto"/>
              <w:right w:val="single" w:sz="4" w:space="0" w:color="auto"/>
            </w:tcBorders>
            <w:vAlign w:val="center"/>
          </w:tcPr>
          <w:p w:rsidR="00C81B24" w:rsidRPr="00C81B24" w:rsidRDefault="00C81B24" w:rsidP="00CE5850">
            <w:pPr>
              <w:rPr>
                <w:sz w:val="20"/>
              </w:rPr>
            </w:pPr>
            <w:r w:rsidRPr="00C81B24">
              <w:rPr>
                <w:sz w:val="20"/>
              </w:rPr>
              <w:t>Traverse City, MI</w:t>
            </w:r>
          </w:p>
        </w:tc>
        <w:tc>
          <w:tcPr>
            <w:tcW w:w="1102" w:type="dxa"/>
            <w:tcBorders>
              <w:top w:val="nil"/>
              <w:left w:val="nil"/>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w:t>
            </w:r>
          </w:p>
        </w:tc>
        <w:tc>
          <w:tcPr>
            <w:tcW w:w="1155" w:type="dxa"/>
            <w:tcBorders>
              <w:top w:val="nil"/>
              <w:left w:val="nil"/>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 xml:space="preserve"> 303,792 </w:t>
            </w:r>
          </w:p>
        </w:tc>
        <w:tc>
          <w:tcPr>
            <w:tcW w:w="979" w:type="dxa"/>
            <w:tcBorders>
              <w:top w:val="nil"/>
              <w:left w:val="nil"/>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w:t>
            </w:r>
          </w:p>
        </w:tc>
        <w:tc>
          <w:tcPr>
            <w:tcW w:w="635" w:type="dxa"/>
            <w:tcBorders>
              <w:top w:val="nil"/>
              <w:left w:val="nil"/>
              <w:bottom w:val="single" w:sz="4" w:space="0" w:color="auto"/>
              <w:right w:val="single" w:sz="4" w:space="0" w:color="auto"/>
            </w:tcBorders>
            <w:noWrap/>
            <w:vAlign w:val="bottom"/>
          </w:tcPr>
          <w:p w:rsidR="00C81B24" w:rsidRPr="00C81B24" w:rsidRDefault="00C81B24" w:rsidP="00CE5850">
            <w:pPr>
              <w:jc w:val="right"/>
              <w:rPr>
                <w:sz w:val="20"/>
              </w:rPr>
            </w:pPr>
            <w:r w:rsidRPr="00C81B24">
              <w:rPr>
                <w:sz w:val="20"/>
              </w:rPr>
              <w:t>*</w:t>
            </w:r>
          </w:p>
        </w:tc>
        <w:tc>
          <w:tcPr>
            <w:tcW w:w="536" w:type="dxa"/>
            <w:tcBorders>
              <w:top w:val="nil"/>
              <w:left w:val="nil"/>
              <w:bottom w:val="single" w:sz="4" w:space="0" w:color="auto"/>
              <w:right w:val="single" w:sz="4" w:space="0" w:color="auto"/>
            </w:tcBorders>
            <w:vAlign w:val="bottom"/>
          </w:tcPr>
          <w:p w:rsidR="00C81B24" w:rsidRPr="00C81B24" w:rsidRDefault="00C81B24" w:rsidP="00CE5850">
            <w:pPr>
              <w:autoSpaceDE w:val="0"/>
              <w:autoSpaceDN w:val="0"/>
              <w:adjustRightInd w:val="0"/>
              <w:jc w:val="right"/>
              <w:rPr>
                <w:color w:val="000000"/>
                <w:kern w:val="0"/>
                <w:sz w:val="20"/>
              </w:rPr>
            </w:pPr>
            <w:r w:rsidRPr="00C81B24">
              <w:rPr>
                <w:color w:val="000000"/>
                <w:kern w:val="0"/>
                <w:sz w:val="20"/>
              </w:rPr>
              <w:t>4516</w:t>
            </w:r>
          </w:p>
        </w:tc>
        <w:tc>
          <w:tcPr>
            <w:tcW w:w="736" w:type="dxa"/>
            <w:tcBorders>
              <w:top w:val="nil"/>
              <w:left w:val="nil"/>
              <w:bottom w:val="single" w:sz="4" w:space="0" w:color="auto"/>
              <w:right w:val="single" w:sz="4" w:space="0" w:color="auto"/>
            </w:tcBorders>
            <w:vAlign w:val="bottom"/>
          </w:tcPr>
          <w:p w:rsidR="00C81B24" w:rsidRPr="00C81B24" w:rsidRDefault="00C81B24" w:rsidP="00CE5850">
            <w:pPr>
              <w:jc w:val="right"/>
              <w:rPr>
                <w:color w:val="000000"/>
                <w:sz w:val="20"/>
              </w:rPr>
            </w:pPr>
            <w:r w:rsidRPr="00C81B24">
              <w:rPr>
                <w:color w:val="000000"/>
                <w:sz w:val="20"/>
              </w:rPr>
              <w:t>55.43</w:t>
            </w:r>
          </w:p>
        </w:tc>
      </w:tr>
      <w:tr w:rsidR="00C81B24" w:rsidRPr="00C81B24" w:rsidTr="00526AD9">
        <w:trPr>
          <w:trHeight w:val="255"/>
          <w:jc w:val="center"/>
        </w:trPr>
        <w:tc>
          <w:tcPr>
            <w:tcW w:w="554" w:type="dxa"/>
            <w:tcBorders>
              <w:top w:val="nil"/>
              <w:left w:val="single" w:sz="4" w:space="0" w:color="auto"/>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171</w:t>
            </w:r>
          </w:p>
        </w:tc>
        <w:tc>
          <w:tcPr>
            <w:tcW w:w="456" w:type="dxa"/>
            <w:tcBorders>
              <w:top w:val="nil"/>
              <w:left w:val="single" w:sz="4" w:space="0" w:color="auto"/>
              <w:bottom w:val="single" w:sz="4" w:space="0" w:color="auto"/>
              <w:right w:val="single" w:sz="4" w:space="0" w:color="auto"/>
            </w:tcBorders>
            <w:vAlign w:val="center"/>
          </w:tcPr>
          <w:p w:rsidR="00C81B24" w:rsidRPr="00C81B24" w:rsidRDefault="00C81B24" w:rsidP="00CE5850">
            <w:pPr>
              <w:jc w:val="right"/>
              <w:rPr>
                <w:sz w:val="20"/>
              </w:rPr>
            </w:pPr>
            <w:r w:rsidRPr="00C81B24">
              <w:rPr>
                <w:sz w:val="20"/>
              </w:rPr>
              <w:t>114</w:t>
            </w:r>
          </w:p>
        </w:tc>
        <w:tc>
          <w:tcPr>
            <w:tcW w:w="4012" w:type="dxa"/>
            <w:tcBorders>
              <w:top w:val="nil"/>
              <w:left w:val="nil"/>
              <w:bottom w:val="single" w:sz="4" w:space="0" w:color="auto"/>
              <w:right w:val="single" w:sz="4" w:space="0" w:color="auto"/>
            </w:tcBorders>
            <w:vAlign w:val="center"/>
          </w:tcPr>
          <w:p w:rsidR="00C81B24" w:rsidRPr="00C81B24" w:rsidRDefault="00C81B24" w:rsidP="00CE5850">
            <w:pPr>
              <w:rPr>
                <w:sz w:val="20"/>
              </w:rPr>
            </w:pPr>
            <w:r w:rsidRPr="00C81B24">
              <w:rPr>
                <w:sz w:val="20"/>
              </w:rPr>
              <w:t>Aberdeen, SD</w:t>
            </w:r>
          </w:p>
        </w:tc>
        <w:tc>
          <w:tcPr>
            <w:tcW w:w="1102" w:type="dxa"/>
            <w:tcBorders>
              <w:top w:val="nil"/>
              <w:left w:val="nil"/>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 xml:space="preserve">* </w:t>
            </w:r>
          </w:p>
        </w:tc>
        <w:tc>
          <w:tcPr>
            <w:tcW w:w="1155" w:type="dxa"/>
            <w:tcBorders>
              <w:top w:val="nil"/>
              <w:left w:val="nil"/>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 xml:space="preserve"> 80,144 </w:t>
            </w:r>
          </w:p>
        </w:tc>
        <w:tc>
          <w:tcPr>
            <w:tcW w:w="979" w:type="dxa"/>
            <w:tcBorders>
              <w:top w:val="nil"/>
              <w:left w:val="nil"/>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w:t>
            </w:r>
          </w:p>
        </w:tc>
        <w:tc>
          <w:tcPr>
            <w:tcW w:w="635" w:type="dxa"/>
            <w:tcBorders>
              <w:top w:val="nil"/>
              <w:left w:val="nil"/>
              <w:bottom w:val="single" w:sz="4" w:space="0" w:color="auto"/>
              <w:right w:val="single" w:sz="4" w:space="0" w:color="auto"/>
            </w:tcBorders>
            <w:noWrap/>
            <w:vAlign w:val="bottom"/>
          </w:tcPr>
          <w:p w:rsidR="00C81B24" w:rsidRPr="00C81B24" w:rsidRDefault="00C81B24" w:rsidP="00CE5850">
            <w:pPr>
              <w:jc w:val="right"/>
              <w:rPr>
                <w:sz w:val="20"/>
              </w:rPr>
            </w:pPr>
            <w:r w:rsidRPr="00C81B24">
              <w:rPr>
                <w:sz w:val="20"/>
              </w:rPr>
              <w:t>*</w:t>
            </w:r>
          </w:p>
        </w:tc>
        <w:tc>
          <w:tcPr>
            <w:tcW w:w="536" w:type="dxa"/>
            <w:tcBorders>
              <w:top w:val="nil"/>
              <w:left w:val="nil"/>
              <w:bottom w:val="single" w:sz="4" w:space="0" w:color="auto"/>
              <w:right w:val="single" w:sz="4" w:space="0" w:color="auto"/>
            </w:tcBorders>
            <w:vAlign w:val="bottom"/>
          </w:tcPr>
          <w:p w:rsidR="00C81B24" w:rsidRPr="00C81B24" w:rsidRDefault="00C81B24" w:rsidP="00CE5850">
            <w:pPr>
              <w:autoSpaceDE w:val="0"/>
              <w:autoSpaceDN w:val="0"/>
              <w:adjustRightInd w:val="0"/>
              <w:jc w:val="right"/>
              <w:rPr>
                <w:color w:val="000000"/>
                <w:kern w:val="0"/>
                <w:sz w:val="20"/>
              </w:rPr>
            </w:pPr>
            <w:r w:rsidRPr="00C81B24">
              <w:rPr>
                <w:color w:val="000000"/>
                <w:kern w:val="0"/>
                <w:sz w:val="20"/>
              </w:rPr>
              <w:t>4916</w:t>
            </w:r>
          </w:p>
        </w:tc>
        <w:tc>
          <w:tcPr>
            <w:tcW w:w="736" w:type="dxa"/>
            <w:tcBorders>
              <w:top w:val="nil"/>
              <w:left w:val="nil"/>
              <w:bottom w:val="single" w:sz="4" w:space="0" w:color="auto"/>
              <w:right w:val="single" w:sz="4" w:space="0" w:color="auto"/>
            </w:tcBorders>
            <w:vAlign w:val="bottom"/>
          </w:tcPr>
          <w:p w:rsidR="00C81B24" w:rsidRPr="00C81B24" w:rsidRDefault="00C81B24" w:rsidP="00CE5850">
            <w:pPr>
              <w:jc w:val="right"/>
              <w:rPr>
                <w:color w:val="000000"/>
                <w:sz w:val="20"/>
              </w:rPr>
            </w:pPr>
            <w:r w:rsidRPr="00C81B24">
              <w:rPr>
                <w:color w:val="000000"/>
                <w:sz w:val="20"/>
              </w:rPr>
              <w:t>5.34</w:t>
            </w:r>
          </w:p>
        </w:tc>
      </w:tr>
      <w:tr w:rsidR="00C81B24" w:rsidRPr="00C81B24" w:rsidTr="00526AD9">
        <w:trPr>
          <w:trHeight w:val="255"/>
          <w:jc w:val="center"/>
        </w:trPr>
        <w:tc>
          <w:tcPr>
            <w:tcW w:w="554" w:type="dxa"/>
            <w:tcBorders>
              <w:top w:val="nil"/>
              <w:left w:val="single" w:sz="4" w:space="0" w:color="auto"/>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172</w:t>
            </w:r>
          </w:p>
        </w:tc>
        <w:tc>
          <w:tcPr>
            <w:tcW w:w="456" w:type="dxa"/>
            <w:tcBorders>
              <w:top w:val="nil"/>
              <w:left w:val="single" w:sz="4" w:space="0" w:color="auto"/>
              <w:bottom w:val="single" w:sz="4" w:space="0" w:color="auto"/>
              <w:right w:val="single" w:sz="4" w:space="0" w:color="auto"/>
            </w:tcBorders>
            <w:vAlign w:val="center"/>
          </w:tcPr>
          <w:p w:rsidR="00C81B24" w:rsidRPr="00C81B24" w:rsidRDefault="00C81B24" w:rsidP="00CE5850">
            <w:pPr>
              <w:jc w:val="right"/>
              <w:rPr>
                <w:sz w:val="20"/>
              </w:rPr>
            </w:pPr>
            <w:r w:rsidRPr="00C81B24">
              <w:rPr>
                <w:sz w:val="20"/>
              </w:rPr>
              <w:t>121</w:t>
            </w:r>
          </w:p>
        </w:tc>
        <w:tc>
          <w:tcPr>
            <w:tcW w:w="4012" w:type="dxa"/>
            <w:tcBorders>
              <w:top w:val="nil"/>
              <w:left w:val="nil"/>
              <w:bottom w:val="single" w:sz="4" w:space="0" w:color="auto"/>
              <w:right w:val="single" w:sz="4" w:space="0" w:color="auto"/>
            </w:tcBorders>
            <w:vAlign w:val="center"/>
          </w:tcPr>
          <w:p w:rsidR="00C81B24" w:rsidRPr="00C81B24" w:rsidRDefault="00C81B24" w:rsidP="00CE5850">
            <w:pPr>
              <w:rPr>
                <w:sz w:val="20"/>
              </w:rPr>
            </w:pPr>
            <w:r w:rsidRPr="00C81B24">
              <w:rPr>
                <w:sz w:val="20"/>
              </w:rPr>
              <w:t>North Platte, NE-CO</w:t>
            </w:r>
          </w:p>
        </w:tc>
        <w:tc>
          <w:tcPr>
            <w:tcW w:w="1102" w:type="dxa"/>
            <w:tcBorders>
              <w:top w:val="nil"/>
              <w:left w:val="nil"/>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w:t>
            </w:r>
          </w:p>
        </w:tc>
        <w:tc>
          <w:tcPr>
            <w:tcW w:w="1155" w:type="dxa"/>
            <w:tcBorders>
              <w:top w:val="nil"/>
              <w:left w:val="nil"/>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 xml:space="preserve"> 61,527 </w:t>
            </w:r>
          </w:p>
        </w:tc>
        <w:tc>
          <w:tcPr>
            <w:tcW w:w="979" w:type="dxa"/>
            <w:tcBorders>
              <w:top w:val="nil"/>
              <w:left w:val="nil"/>
              <w:bottom w:val="single" w:sz="4" w:space="0" w:color="auto"/>
              <w:right w:val="single" w:sz="4" w:space="0" w:color="auto"/>
            </w:tcBorders>
            <w:vAlign w:val="bottom"/>
          </w:tcPr>
          <w:p w:rsidR="00C81B24" w:rsidRPr="00C81B24" w:rsidRDefault="00C81B24" w:rsidP="00CE5850">
            <w:pPr>
              <w:jc w:val="right"/>
              <w:rPr>
                <w:sz w:val="20"/>
              </w:rPr>
            </w:pPr>
            <w:r w:rsidRPr="00C81B24">
              <w:rPr>
                <w:sz w:val="20"/>
              </w:rPr>
              <w:t>*</w:t>
            </w:r>
          </w:p>
        </w:tc>
        <w:tc>
          <w:tcPr>
            <w:tcW w:w="635" w:type="dxa"/>
            <w:tcBorders>
              <w:top w:val="nil"/>
              <w:left w:val="nil"/>
              <w:bottom w:val="single" w:sz="4" w:space="0" w:color="auto"/>
              <w:right w:val="single" w:sz="4" w:space="0" w:color="auto"/>
            </w:tcBorders>
            <w:noWrap/>
            <w:vAlign w:val="bottom"/>
          </w:tcPr>
          <w:p w:rsidR="00C81B24" w:rsidRPr="00C81B24" w:rsidRDefault="00C81B24" w:rsidP="00CE5850">
            <w:pPr>
              <w:jc w:val="right"/>
              <w:rPr>
                <w:sz w:val="20"/>
              </w:rPr>
            </w:pPr>
            <w:r w:rsidRPr="00C81B24">
              <w:rPr>
                <w:sz w:val="20"/>
              </w:rPr>
              <w:t>*</w:t>
            </w:r>
          </w:p>
        </w:tc>
        <w:tc>
          <w:tcPr>
            <w:tcW w:w="536" w:type="dxa"/>
            <w:tcBorders>
              <w:top w:val="nil"/>
              <w:left w:val="nil"/>
              <w:bottom w:val="single" w:sz="4" w:space="0" w:color="auto"/>
              <w:right w:val="single" w:sz="4" w:space="0" w:color="auto"/>
            </w:tcBorders>
            <w:vAlign w:val="bottom"/>
          </w:tcPr>
          <w:p w:rsidR="00C81B24" w:rsidRPr="00C81B24" w:rsidRDefault="00C81B24" w:rsidP="00CE5850">
            <w:pPr>
              <w:autoSpaceDE w:val="0"/>
              <w:autoSpaceDN w:val="0"/>
              <w:adjustRightInd w:val="0"/>
              <w:jc w:val="right"/>
              <w:rPr>
                <w:color w:val="000000"/>
                <w:kern w:val="0"/>
                <w:sz w:val="20"/>
              </w:rPr>
            </w:pPr>
            <w:r w:rsidRPr="00C81B24">
              <w:rPr>
                <w:color w:val="000000"/>
                <w:kern w:val="0"/>
                <w:sz w:val="20"/>
              </w:rPr>
              <w:t>5232</w:t>
            </w:r>
          </w:p>
        </w:tc>
        <w:tc>
          <w:tcPr>
            <w:tcW w:w="736" w:type="dxa"/>
            <w:tcBorders>
              <w:top w:val="nil"/>
              <w:left w:val="nil"/>
              <w:bottom w:val="single" w:sz="4" w:space="0" w:color="auto"/>
              <w:right w:val="single" w:sz="4" w:space="0" w:color="auto"/>
            </w:tcBorders>
            <w:vAlign w:val="bottom"/>
          </w:tcPr>
          <w:p w:rsidR="00C81B24" w:rsidRPr="00C81B24" w:rsidRDefault="00C81B24" w:rsidP="00CE5850">
            <w:pPr>
              <w:jc w:val="right"/>
              <w:rPr>
                <w:color w:val="000000"/>
                <w:sz w:val="20"/>
              </w:rPr>
            </w:pPr>
            <w:r w:rsidRPr="00C81B24">
              <w:rPr>
                <w:color w:val="000000"/>
                <w:sz w:val="20"/>
              </w:rPr>
              <w:t>4.97</w:t>
            </w:r>
          </w:p>
        </w:tc>
      </w:tr>
    </w:tbl>
    <w:p w:rsidR="00C81B24" w:rsidRPr="00C81B24" w:rsidRDefault="00C81B24" w:rsidP="00CE5850">
      <w:pPr>
        <w:rPr>
          <w:sz w:val="20"/>
        </w:rPr>
      </w:pPr>
    </w:p>
    <w:p w:rsidR="00C81B24" w:rsidRPr="00C81B24" w:rsidRDefault="00C81B24" w:rsidP="00CE5850">
      <w:pPr>
        <w:rPr>
          <w:sz w:val="20"/>
        </w:rPr>
      </w:pPr>
      <w:r w:rsidRPr="00C81B24">
        <w:rPr>
          <w:sz w:val="20"/>
        </w:rPr>
        <w:t>* = Data withheld to maintain firm confidentiality.</w:t>
      </w:r>
    </w:p>
    <w:p w:rsidR="00C81B24" w:rsidRPr="00C81B24" w:rsidRDefault="00C81B24" w:rsidP="00CE5850">
      <w:pPr>
        <w:rPr>
          <w:sz w:val="20"/>
        </w:rPr>
      </w:pPr>
      <w:r w:rsidRPr="00C81B24">
        <w:rPr>
          <w:sz w:val="20"/>
        </w:rPr>
        <w:t xml:space="preserve">Source:  Federal Communications Commission internal analysis based on year-end 2011 filings for Numbering Resource Utilization in the United States, adjusted for porting.  Density is persons per square mile.  </w:t>
      </w:r>
    </w:p>
    <w:p w:rsidR="00C81B24" w:rsidRPr="00C81B24" w:rsidRDefault="00C81B24" w:rsidP="00CE5850">
      <w:pPr>
        <w:rPr>
          <w:sz w:val="20"/>
        </w:rPr>
      </w:pPr>
    </w:p>
    <w:p w:rsidR="00C81B24" w:rsidRPr="00C81B24" w:rsidRDefault="00C81B24" w:rsidP="00CE5850">
      <w:pPr>
        <w:rPr>
          <w:sz w:val="20"/>
        </w:rPr>
      </w:pPr>
    </w:p>
    <w:p w:rsidR="00C81B24" w:rsidRPr="00C81B24" w:rsidRDefault="00C81B24" w:rsidP="00CE5850">
      <w:pPr>
        <w:spacing w:before="120"/>
        <w:jc w:val="center"/>
        <w:rPr>
          <w:b/>
          <w:bCs/>
          <w:kern w:val="0"/>
          <w:szCs w:val="22"/>
        </w:rPr>
      </w:pPr>
      <w:r w:rsidRPr="00C81B24">
        <w:rPr>
          <w:b/>
          <w:bCs/>
          <w:kern w:val="0"/>
          <w:sz w:val="20"/>
        </w:rPr>
        <w:br w:type="page"/>
      </w:r>
      <w:bookmarkStart w:id="6902" w:name="_Ref256157912"/>
      <w:bookmarkStart w:id="6903" w:name="_Toc278893125"/>
      <w:r w:rsidRPr="00C81B24">
        <w:rPr>
          <w:b/>
          <w:bCs/>
          <w:kern w:val="0"/>
          <w:szCs w:val="22"/>
        </w:rPr>
        <w:t>Table B-5</w:t>
      </w:r>
    </w:p>
    <w:p w:rsidR="00C81B24" w:rsidRPr="00C81B24" w:rsidRDefault="00C81B24" w:rsidP="00CE5850">
      <w:pPr>
        <w:spacing w:after="120"/>
        <w:jc w:val="center"/>
        <w:rPr>
          <w:b/>
          <w:bCs/>
          <w:kern w:val="0"/>
          <w:szCs w:val="22"/>
        </w:rPr>
      </w:pPr>
      <w:r w:rsidRPr="00C81B24">
        <w:rPr>
          <w:b/>
          <w:bCs/>
          <w:kern w:val="0"/>
          <w:szCs w:val="22"/>
        </w:rPr>
        <w:t xml:space="preserve"> </w:t>
      </w:r>
      <w:bookmarkEnd w:id="6902"/>
      <w:r w:rsidRPr="00C81B24">
        <w:rPr>
          <w:b/>
          <w:bCs/>
          <w:kern w:val="0"/>
          <w:szCs w:val="22"/>
        </w:rPr>
        <w:t>Mobile Wireless Devices Capable of Sending or Receiving Data at Speeds Above 200 kbps and Subscribers with Data Plans for Full Internet Access as of December 31, 2011 (in Thousands</w:t>
      </w:r>
      <w:bookmarkEnd w:id="6903"/>
      <w:r w:rsidRPr="00C81B24">
        <w:rPr>
          <w:b/>
          <w:bCs/>
          <w:kern w:val="0"/>
          <w:szCs w:val="22"/>
        </w:rPr>
        <w:t>)</w:t>
      </w:r>
    </w:p>
    <w:tbl>
      <w:tblPr>
        <w:tblW w:w="8640" w:type="dxa"/>
        <w:tblInd w:w="93" w:type="dxa"/>
        <w:tblLook w:val="00A0" w:firstRow="1" w:lastRow="0" w:firstColumn="1" w:lastColumn="0" w:noHBand="0" w:noVBand="0"/>
      </w:tblPr>
      <w:tblGrid>
        <w:gridCol w:w="1960"/>
        <w:gridCol w:w="3340"/>
        <w:gridCol w:w="3340"/>
      </w:tblGrid>
      <w:tr w:rsidR="00C81B24" w:rsidRPr="00C81B24" w:rsidTr="00526AD9">
        <w:trPr>
          <w:trHeight w:val="345"/>
        </w:trPr>
        <w:tc>
          <w:tcPr>
            <w:tcW w:w="1960" w:type="dxa"/>
            <w:tcBorders>
              <w:top w:val="single" w:sz="8" w:space="0" w:color="auto"/>
              <w:left w:val="single" w:sz="8" w:space="0" w:color="auto"/>
              <w:bottom w:val="single" w:sz="4" w:space="0" w:color="auto"/>
              <w:right w:val="nil"/>
            </w:tcBorders>
            <w:noWrap/>
            <w:vAlign w:val="center"/>
          </w:tcPr>
          <w:p w:rsidR="00C81B24" w:rsidRPr="00C81B24" w:rsidRDefault="00C81B24" w:rsidP="00CE5850">
            <w:pPr>
              <w:jc w:val="center"/>
              <w:rPr>
                <w:b/>
                <w:bCs/>
                <w:kern w:val="0"/>
                <w:sz w:val="20"/>
              </w:rPr>
            </w:pPr>
            <w:r w:rsidRPr="00C81B24">
              <w:rPr>
                <w:b/>
                <w:bCs/>
                <w:kern w:val="0"/>
                <w:sz w:val="20"/>
              </w:rPr>
              <w:t>State</w:t>
            </w:r>
          </w:p>
        </w:tc>
        <w:tc>
          <w:tcPr>
            <w:tcW w:w="3340" w:type="dxa"/>
            <w:tcBorders>
              <w:top w:val="single" w:sz="8" w:space="0" w:color="auto"/>
              <w:left w:val="single" w:sz="4" w:space="0" w:color="auto"/>
              <w:bottom w:val="single" w:sz="4" w:space="0" w:color="auto"/>
              <w:right w:val="single" w:sz="4" w:space="0" w:color="auto"/>
            </w:tcBorders>
            <w:noWrap/>
            <w:vAlign w:val="center"/>
          </w:tcPr>
          <w:p w:rsidR="00C81B24" w:rsidRPr="00C81B24" w:rsidRDefault="00C81B24" w:rsidP="00CE5850">
            <w:pPr>
              <w:jc w:val="center"/>
              <w:rPr>
                <w:b/>
                <w:bCs/>
                <w:kern w:val="0"/>
                <w:sz w:val="20"/>
              </w:rPr>
            </w:pPr>
            <w:r w:rsidRPr="00C81B24">
              <w:rPr>
                <w:b/>
                <w:bCs/>
                <w:kern w:val="0"/>
                <w:sz w:val="20"/>
              </w:rPr>
              <w:t>Capable Devices in Service</w:t>
            </w:r>
          </w:p>
        </w:tc>
        <w:tc>
          <w:tcPr>
            <w:tcW w:w="3340" w:type="dxa"/>
            <w:tcBorders>
              <w:top w:val="single" w:sz="8" w:space="0" w:color="auto"/>
              <w:left w:val="nil"/>
              <w:bottom w:val="single" w:sz="4" w:space="0" w:color="auto"/>
              <w:right w:val="single" w:sz="8" w:space="0" w:color="auto"/>
            </w:tcBorders>
            <w:noWrap/>
            <w:vAlign w:val="center"/>
          </w:tcPr>
          <w:p w:rsidR="00C81B24" w:rsidRPr="00C81B24" w:rsidRDefault="00C81B24" w:rsidP="00CE5850">
            <w:pPr>
              <w:jc w:val="center"/>
              <w:rPr>
                <w:b/>
                <w:bCs/>
                <w:kern w:val="0"/>
                <w:sz w:val="20"/>
              </w:rPr>
            </w:pPr>
            <w:r w:rsidRPr="00C81B24">
              <w:rPr>
                <w:b/>
                <w:bCs/>
                <w:kern w:val="0"/>
                <w:sz w:val="20"/>
              </w:rPr>
              <w:t>Subscribers with Full Internet Access</w:t>
            </w:r>
          </w:p>
        </w:tc>
      </w:tr>
      <w:tr w:rsidR="00C81B24" w:rsidRPr="00C81B24" w:rsidTr="00526AD9">
        <w:trPr>
          <w:trHeight w:val="225"/>
        </w:trPr>
        <w:tc>
          <w:tcPr>
            <w:tcW w:w="1960" w:type="dxa"/>
            <w:tcBorders>
              <w:top w:val="nil"/>
              <w:left w:val="single" w:sz="8" w:space="0" w:color="auto"/>
              <w:bottom w:val="nil"/>
              <w:right w:val="single" w:sz="4" w:space="0" w:color="auto"/>
            </w:tcBorders>
            <w:noWrap/>
            <w:vAlign w:val="bottom"/>
          </w:tcPr>
          <w:p w:rsidR="00C81B24" w:rsidRPr="00C81B24" w:rsidRDefault="00C81B24" w:rsidP="00CE5850">
            <w:pPr>
              <w:rPr>
                <w:kern w:val="0"/>
                <w:sz w:val="20"/>
              </w:rPr>
            </w:pPr>
            <w:r w:rsidRPr="00C81B24">
              <w:rPr>
                <w:kern w:val="0"/>
                <w:sz w:val="20"/>
              </w:rPr>
              <w:t>Alabama</w:t>
            </w:r>
          </w:p>
        </w:tc>
        <w:tc>
          <w:tcPr>
            <w:tcW w:w="3340" w:type="dxa"/>
            <w:tcBorders>
              <w:top w:val="nil"/>
              <w:left w:val="nil"/>
              <w:bottom w:val="nil"/>
              <w:right w:val="single" w:sz="4" w:space="0" w:color="auto"/>
            </w:tcBorders>
            <w:noWrap/>
            <w:vAlign w:val="bottom"/>
          </w:tcPr>
          <w:p w:rsidR="00C81B24" w:rsidRPr="00C81B24" w:rsidRDefault="00C81B24" w:rsidP="00CE5850">
            <w:pPr>
              <w:ind w:firstLineChars="700" w:firstLine="1400"/>
              <w:jc w:val="right"/>
              <w:rPr>
                <w:kern w:val="0"/>
                <w:sz w:val="20"/>
              </w:rPr>
            </w:pPr>
            <w:r w:rsidRPr="00C81B24">
              <w:rPr>
                <w:kern w:val="0"/>
                <w:sz w:val="20"/>
              </w:rPr>
              <w:t>2,417</w:t>
            </w:r>
          </w:p>
        </w:tc>
        <w:tc>
          <w:tcPr>
            <w:tcW w:w="3340" w:type="dxa"/>
            <w:tcBorders>
              <w:top w:val="nil"/>
              <w:left w:val="nil"/>
              <w:bottom w:val="nil"/>
              <w:right w:val="single" w:sz="8" w:space="0" w:color="auto"/>
            </w:tcBorders>
            <w:noWrap/>
            <w:vAlign w:val="bottom"/>
          </w:tcPr>
          <w:p w:rsidR="00C81B24" w:rsidRPr="00C81B24" w:rsidRDefault="00C81B24" w:rsidP="00CE5850">
            <w:pPr>
              <w:ind w:firstLineChars="1000" w:firstLine="2000"/>
              <w:jc w:val="right"/>
              <w:rPr>
                <w:kern w:val="0"/>
                <w:sz w:val="20"/>
              </w:rPr>
            </w:pPr>
            <w:r w:rsidRPr="00C81B24">
              <w:rPr>
                <w:kern w:val="0"/>
                <w:sz w:val="20"/>
              </w:rPr>
              <w:t>1,839</w:t>
            </w:r>
          </w:p>
        </w:tc>
      </w:tr>
      <w:tr w:rsidR="00C81B24" w:rsidRPr="00C81B24" w:rsidTr="00526AD9">
        <w:trPr>
          <w:trHeight w:val="225"/>
        </w:trPr>
        <w:tc>
          <w:tcPr>
            <w:tcW w:w="1960" w:type="dxa"/>
            <w:tcBorders>
              <w:top w:val="nil"/>
              <w:left w:val="single" w:sz="8" w:space="0" w:color="auto"/>
              <w:bottom w:val="nil"/>
              <w:right w:val="single" w:sz="4" w:space="0" w:color="auto"/>
            </w:tcBorders>
            <w:noWrap/>
            <w:vAlign w:val="bottom"/>
          </w:tcPr>
          <w:p w:rsidR="00C81B24" w:rsidRPr="00C81B24" w:rsidRDefault="00C81B24" w:rsidP="00CE5850">
            <w:pPr>
              <w:rPr>
                <w:kern w:val="0"/>
                <w:sz w:val="20"/>
              </w:rPr>
            </w:pPr>
            <w:r w:rsidRPr="00C81B24">
              <w:rPr>
                <w:kern w:val="0"/>
                <w:sz w:val="20"/>
              </w:rPr>
              <w:t>Alaska</w:t>
            </w:r>
          </w:p>
        </w:tc>
        <w:tc>
          <w:tcPr>
            <w:tcW w:w="3340" w:type="dxa"/>
            <w:tcBorders>
              <w:top w:val="nil"/>
              <w:left w:val="nil"/>
              <w:bottom w:val="nil"/>
              <w:right w:val="single" w:sz="4" w:space="0" w:color="auto"/>
            </w:tcBorders>
            <w:noWrap/>
            <w:vAlign w:val="bottom"/>
          </w:tcPr>
          <w:p w:rsidR="00C81B24" w:rsidRPr="00C81B24" w:rsidRDefault="00C81B24" w:rsidP="00CE5850">
            <w:pPr>
              <w:ind w:firstLineChars="700" w:firstLine="1400"/>
              <w:jc w:val="right"/>
              <w:rPr>
                <w:kern w:val="0"/>
                <w:sz w:val="20"/>
              </w:rPr>
            </w:pPr>
            <w:r w:rsidRPr="00C81B24">
              <w:rPr>
                <w:kern w:val="0"/>
                <w:sz w:val="20"/>
              </w:rPr>
              <w:t>367</w:t>
            </w:r>
          </w:p>
        </w:tc>
        <w:tc>
          <w:tcPr>
            <w:tcW w:w="3340" w:type="dxa"/>
            <w:tcBorders>
              <w:top w:val="nil"/>
              <w:left w:val="nil"/>
              <w:bottom w:val="nil"/>
              <w:right w:val="single" w:sz="8" w:space="0" w:color="auto"/>
            </w:tcBorders>
            <w:noWrap/>
            <w:vAlign w:val="bottom"/>
          </w:tcPr>
          <w:p w:rsidR="00C81B24" w:rsidRPr="00C81B24" w:rsidRDefault="00C81B24" w:rsidP="00CE5850">
            <w:pPr>
              <w:ind w:firstLineChars="1000" w:firstLine="2000"/>
              <w:jc w:val="right"/>
              <w:rPr>
                <w:kern w:val="0"/>
                <w:sz w:val="20"/>
              </w:rPr>
            </w:pPr>
            <w:r w:rsidRPr="00C81B24">
              <w:rPr>
                <w:kern w:val="0"/>
                <w:sz w:val="20"/>
              </w:rPr>
              <w:t>334</w:t>
            </w:r>
          </w:p>
        </w:tc>
      </w:tr>
      <w:tr w:rsidR="00C81B24" w:rsidRPr="00C81B24" w:rsidTr="00526AD9">
        <w:trPr>
          <w:trHeight w:val="225"/>
        </w:trPr>
        <w:tc>
          <w:tcPr>
            <w:tcW w:w="1960" w:type="dxa"/>
            <w:tcBorders>
              <w:top w:val="nil"/>
              <w:left w:val="single" w:sz="8" w:space="0" w:color="auto"/>
              <w:bottom w:val="nil"/>
              <w:right w:val="single" w:sz="4" w:space="0" w:color="auto"/>
            </w:tcBorders>
            <w:noWrap/>
            <w:vAlign w:val="bottom"/>
          </w:tcPr>
          <w:p w:rsidR="00C81B24" w:rsidRPr="00C81B24" w:rsidRDefault="00C81B24" w:rsidP="00CE5850">
            <w:pPr>
              <w:rPr>
                <w:kern w:val="0"/>
                <w:sz w:val="20"/>
              </w:rPr>
            </w:pPr>
            <w:r w:rsidRPr="00C81B24">
              <w:rPr>
                <w:kern w:val="0"/>
                <w:sz w:val="20"/>
              </w:rPr>
              <w:t>American Samoa</w:t>
            </w:r>
          </w:p>
        </w:tc>
        <w:tc>
          <w:tcPr>
            <w:tcW w:w="3340" w:type="dxa"/>
            <w:tcBorders>
              <w:top w:val="nil"/>
              <w:left w:val="nil"/>
              <w:bottom w:val="nil"/>
              <w:right w:val="single" w:sz="4" w:space="0" w:color="auto"/>
            </w:tcBorders>
            <w:noWrap/>
            <w:vAlign w:val="bottom"/>
          </w:tcPr>
          <w:p w:rsidR="00C81B24" w:rsidRPr="00C81B24" w:rsidRDefault="00C81B24" w:rsidP="00CE5850">
            <w:pPr>
              <w:ind w:firstLineChars="700" w:firstLine="1400"/>
              <w:jc w:val="right"/>
              <w:rPr>
                <w:kern w:val="0"/>
                <w:sz w:val="20"/>
              </w:rPr>
            </w:pPr>
            <w:r w:rsidRPr="00C81B24">
              <w:rPr>
                <w:kern w:val="0"/>
                <w:sz w:val="20"/>
              </w:rPr>
              <w:t>0</w:t>
            </w:r>
          </w:p>
        </w:tc>
        <w:tc>
          <w:tcPr>
            <w:tcW w:w="3340" w:type="dxa"/>
            <w:tcBorders>
              <w:top w:val="nil"/>
              <w:left w:val="nil"/>
              <w:bottom w:val="nil"/>
              <w:right w:val="single" w:sz="8" w:space="0" w:color="auto"/>
            </w:tcBorders>
            <w:noWrap/>
            <w:vAlign w:val="bottom"/>
          </w:tcPr>
          <w:p w:rsidR="00C81B24" w:rsidRPr="00C81B24" w:rsidRDefault="00C81B24" w:rsidP="00CE5850">
            <w:pPr>
              <w:ind w:firstLineChars="1000" w:firstLine="2000"/>
              <w:jc w:val="right"/>
              <w:rPr>
                <w:kern w:val="0"/>
                <w:sz w:val="20"/>
              </w:rPr>
            </w:pPr>
            <w:r w:rsidRPr="00C81B24">
              <w:rPr>
                <w:kern w:val="0"/>
                <w:sz w:val="20"/>
              </w:rPr>
              <w:t>0</w:t>
            </w:r>
          </w:p>
        </w:tc>
      </w:tr>
      <w:tr w:rsidR="00C81B24" w:rsidRPr="00C81B24" w:rsidTr="00526AD9">
        <w:trPr>
          <w:trHeight w:val="225"/>
        </w:trPr>
        <w:tc>
          <w:tcPr>
            <w:tcW w:w="1960" w:type="dxa"/>
            <w:tcBorders>
              <w:top w:val="nil"/>
              <w:left w:val="single" w:sz="8" w:space="0" w:color="auto"/>
              <w:bottom w:val="nil"/>
              <w:right w:val="single" w:sz="4" w:space="0" w:color="auto"/>
            </w:tcBorders>
            <w:noWrap/>
            <w:vAlign w:val="bottom"/>
          </w:tcPr>
          <w:p w:rsidR="00C81B24" w:rsidRPr="00C81B24" w:rsidRDefault="00C81B24" w:rsidP="00CE5850">
            <w:pPr>
              <w:rPr>
                <w:kern w:val="0"/>
                <w:sz w:val="20"/>
              </w:rPr>
            </w:pPr>
            <w:r w:rsidRPr="00C81B24">
              <w:rPr>
                <w:kern w:val="0"/>
                <w:sz w:val="20"/>
              </w:rPr>
              <w:t>Arizona</w:t>
            </w:r>
          </w:p>
        </w:tc>
        <w:tc>
          <w:tcPr>
            <w:tcW w:w="3340" w:type="dxa"/>
            <w:tcBorders>
              <w:top w:val="nil"/>
              <w:left w:val="nil"/>
              <w:bottom w:val="nil"/>
              <w:right w:val="single" w:sz="4" w:space="0" w:color="auto"/>
            </w:tcBorders>
            <w:noWrap/>
            <w:vAlign w:val="bottom"/>
          </w:tcPr>
          <w:p w:rsidR="00C81B24" w:rsidRPr="00C81B24" w:rsidRDefault="00C81B24" w:rsidP="00CE5850">
            <w:pPr>
              <w:ind w:firstLineChars="700" w:firstLine="1400"/>
              <w:jc w:val="right"/>
              <w:rPr>
                <w:kern w:val="0"/>
                <w:sz w:val="20"/>
              </w:rPr>
            </w:pPr>
            <w:r w:rsidRPr="00C81B24">
              <w:rPr>
                <w:kern w:val="0"/>
                <w:sz w:val="20"/>
              </w:rPr>
              <w:t>3,418</w:t>
            </w:r>
          </w:p>
        </w:tc>
        <w:tc>
          <w:tcPr>
            <w:tcW w:w="3340" w:type="dxa"/>
            <w:tcBorders>
              <w:top w:val="nil"/>
              <w:left w:val="nil"/>
              <w:bottom w:val="nil"/>
              <w:right w:val="single" w:sz="8" w:space="0" w:color="auto"/>
            </w:tcBorders>
            <w:noWrap/>
            <w:vAlign w:val="bottom"/>
          </w:tcPr>
          <w:p w:rsidR="00C81B24" w:rsidRPr="00C81B24" w:rsidRDefault="00C81B24" w:rsidP="00CE5850">
            <w:pPr>
              <w:ind w:firstLineChars="1000" w:firstLine="2000"/>
              <w:jc w:val="right"/>
              <w:rPr>
                <w:kern w:val="0"/>
                <w:sz w:val="20"/>
              </w:rPr>
            </w:pPr>
            <w:r w:rsidRPr="00C81B24">
              <w:rPr>
                <w:kern w:val="0"/>
                <w:sz w:val="20"/>
              </w:rPr>
              <w:t>2,618</w:t>
            </w:r>
          </w:p>
        </w:tc>
      </w:tr>
      <w:tr w:rsidR="00C81B24" w:rsidRPr="00C81B24" w:rsidTr="00526AD9">
        <w:trPr>
          <w:trHeight w:val="225"/>
        </w:trPr>
        <w:tc>
          <w:tcPr>
            <w:tcW w:w="1960" w:type="dxa"/>
            <w:tcBorders>
              <w:top w:val="nil"/>
              <w:left w:val="single" w:sz="8" w:space="0" w:color="auto"/>
              <w:bottom w:val="single" w:sz="4" w:space="0" w:color="auto"/>
              <w:right w:val="single" w:sz="4" w:space="0" w:color="auto"/>
            </w:tcBorders>
            <w:noWrap/>
            <w:vAlign w:val="bottom"/>
          </w:tcPr>
          <w:p w:rsidR="00C81B24" w:rsidRPr="00C81B24" w:rsidRDefault="00C81B24" w:rsidP="00CE5850">
            <w:pPr>
              <w:rPr>
                <w:kern w:val="0"/>
                <w:sz w:val="20"/>
              </w:rPr>
            </w:pPr>
            <w:r w:rsidRPr="00C81B24">
              <w:rPr>
                <w:kern w:val="0"/>
                <w:sz w:val="20"/>
              </w:rPr>
              <w:t>Arkansas</w:t>
            </w:r>
          </w:p>
        </w:tc>
        <w:tc>
          <w:tcPr>
            <w:tcW w:w="3340" w:type="dxa"/>
            <w:tcBorders>
              <w:top w:val="nil"/>
              <w:left w:val="nil"/>
              <w:bottom w:val="single" w:sz="4" w:space="0" w:color="auto"/>
              <w:right w:val="single" w:sz="4" w:space="0" w:color="auto"/>
            </w:tcBorders>
            <w:noWrap/>
            <w:vAlign w:val="bottom"/>
          </w:tcPr>
          <w:p w:rsidR="00C81B24" w:rsidRPr="00C81B24" w:rsidRDefault="00C81B24" w:rsidP="00CE5850">
            <w:pPr>
              <w:ind w:firstLineChars="700" w:firstLine="1400"/>
              <w:jc w:val="right"/>
              <w:rPr>
                <w:kern w:val="0"/>
                <w:sz w:val="20"/>
              </w:rPr>
            </w:pPr>
            <w:r w:rsidRPr="00C81B24">
              <w:rPr>
                <w:kern w:val="0"/>
                <w:sz w:val="20"/>
              </w:rPr>
              <w:t>1,611</w:t>
            </w:r>
          </w:p>
        </w:tc>
        <w:tc>
          <w:tcPr>
            <w:tcW w:w="3340" w:type="dxa"/>
            <w:tcBorders>
              <w:top w:val="nil"/>
              <w:left w:val="nil"/>
              <w:bottom w:val="single" w:sz="4" w:space="0" w:color="auto"/>
              <w:right w:val="single" w:sz="8" w:space="0" w:color="auto"/>
            </w:tcBorders>
            <w:noWrap/>
            <w:vAlign w:val="bottom"/>
          </w:tcPr>
          <w:p w:rsidR="00C81B24" w:rsidRPr="00C81B24" w:rsidRDefault="00C81B24" w:rsidP="00CE5850">
            <w:pPr>
              <w:ind w:firstLineChars="1000" w:firstLine="2000"/>
              <w:jc w:val="right"/>
              <w:rPr>
                <w:kern w:val="0"/>
                <w:sz w:val="20"/>
              </w:rPr>
            </w:pPr>
            <w:r w:rsidRPr="00C81B24">
              <w:rPr>
                <w:kern w:val="0"/>
                <w:sz w:val="20"/>
              </w:rPr>
              <w:t>1,214</w:t>
            </w:r>
          </w:p>
        </w:tc>
      </w:tr>
      <w:tr w:rsidR="00C81B24" w:rsidRPr="00C81B24" w:rsidTr="00526AD9">
        <w:trPr>
          <w:trHeight w:val="225"/>
        </w:trPr>
        <w:tc>
          <w:tcPr>
            <w:tcW w:w="1960" w:type="dxa"/>
            <w:tcBorders>
              <w:top w:val="nil"/>
              <w:left w:val="single" w:sz="8" w:space="0" w:color="auto"/>
              <w:bottom w:val="nil"/>
              <w:right w:val="single" w:sz="4" w:space="0" w:color="auto"/>
            </w:tcBorders>
            <w:noWrap/>
            <w:vAlign w:val="bottom"/>
          </w:tcPr>
          <w:p w:rsidR="00C81B24" w:rsidRPr="00C81B24" w:rsidRDefault="00C81B24" w:rsidP="00CE5850">
            <w:pPr>
              <w:rPr>
                <w:kern w:val="0"/>
                <w:sz w:val="20"/>
              </w:rPr>
            </w:pPr>
            <w:r w:rsidRPr="00C81B24">
              <w:rPr>
                <w:kern w:val="0"/>
                <w:sz w:val="20"/>
              </w:rPr>
              <w:t>California</w:t>
            </w:r>
          </w:p>
        </w:tc>
        <w:tc>
          <w:tcPr>
            <w:tcW w:w="3340" w:type="dxa"/>
            <w:tcBorders>
              <w:top w:val="nil"/>
              <w:left w:val="nil"/>
              <w:bottom w:val="nil"/>
              <w:right w:val="single" w:sz="4" w:space="0" w:color="auto"/>
            </w:tcBorders>
            <w:noWrap/>
            <w:vAlign w:val="bottom"/>
          </w:tcPr>
          <w:p w:rsidR="00C81B24" w:rsidRPr="00C81B24" w:rsidRDefault="00C81B24" w:rsidP="00CE5850">
            <w:pPr>
              <w:ind w:firstLineChars="700" w:firstLine="1400"/>
              <w:jc w:val="right"/>
              <w:rPr>
                <w:kern w:val="0"/>
                <w:sz w:val="20"/>
              </w:rPr>
            </w:pPr>
            <w:r w:rsidRPr="00C81B24">
              <w:rPr>
                <w:kern w:val="0"/>
                <w:sz w:val="20"/>
              </w:rPr>
              <w:t>22,945</w:t>
            </w:r>
          </w:p>
        </w:tc>
        <w:tc>
          <w:tcPr>
            <w:tcW w:w="3340" w:type="dxa"/>
            <w:tcBorders>
              <w:top w:val="nil"/>
              <w:left w:val="nil"/>
              <w:bottom w:val="nil"/>
              <w:right w:val="single" w:sz="8" w:space="0" w:color="auto"/>
            </w:tcBorders>
            <w:noWrap/>
            <w:vAlign w:val="bottom"/>
          </w:tcPr>
          <w:p w:rsidR="00C81B24" w:rsidRPr="00C81B24" w:rsidRDefault="00C81B24" w:rsidP="00CE5850">
            <w:pPr>
              <w:ind w:firstLineChars="1000" w:firstLine="2000"/>
              <w:jc w:val="right"/>
              <w:rPr>
                <w:kern w:val="0"/>
                <w:sz w:val="20"/>
              </w:rPr>
            </w:pPr>
            <w:r w:rsidRPr="00C81B24">
              <w:rPr>
                <w:kern w:val="0"/>
                <w:sz w:val="20"/>
              </w:rPr>
              <w:t>18,369</w:t>
            </w:r>
          </w:p>
        </w:tc>
      </w:tr>
      <w:tr w:rsidR="00C81B24" w:rsidRPr="00C81B24" w:rsidTr="00526AD9">
        <w:trPr>
          <w:trHeight w:val="225"/>
        </w:trPr>
        <w:tc>
          <w:tcPr>
            <w:tcW w:w="1960" w:type="dxa"/>
            <w:tcBorders>
              <w:top w:val="nil"/>
              <w:left w:val="single" w:sz="8" w:space="0" w:color="auto"/>
              <w:bottom w:val="nil"/>
              <w:right w:val="single" w:sz="4" w:space="0" w:color="auto"/>
            </w:tcBorders>
            <w:noWrap/>
            <w:vAlign w:val="bottom"/>
          </w:tcPr>
          <w:p w:rsidR="00C81B24" w:rsidRPr="00C81B24" w:rsidRDefault="00C81B24" w:rsidP="00CE5850">
            <w:pPr>
              <w:rPr>
                <w:kern w:val="0"/>
                <w:sz w:val="20"/>
              </w:rPr>
            </w:pPr>
            <w:r w:rsidRPr="00C81B24">
              <w:rPr>
                <w:kern w:val="0"/>
                <w:sz w:val="20"/>
              </w:rPr>
              <w:t>Colorado</w:t>
            </w:r>
          </w:p>
        </w:tc>
        <w:tc>
          <w:tcPr>
            <w:tcW w:w="3340" w:type="dxa"/>
            <w:tcBorders>
              <w:top w:val="nil"/>
              <w:left w:val="nil"/>
              <w:bottom w:val="nil"/>
              <w:right w:val="single" w:sz="4" w:space="0" w:color="auto"/>
            </w:tcBorders>
            <w:noWrap/>
            <w:vAlign w:val="bottom"/>
          </w:tcPr>
          <w:p w:rsidR="00C81B24" w:rsidRPr="00C81B24" w:rsidRDefault="00C81B24" w:rsidP="00CE5850">
            <w:pPr>
              <w:ind w:firstLineChars="700" w:firstLine="1400"/>
              <w:jc w:val="right"/>
              <w:rPr>
                <w:kern w:val="0"/>
                <w:sz w:val="20"/>
              </w:rPr>
            </w:pPr>
            <w:r w:rsidRPr="00C81B24">
              <w:rPr>
                <w:kern w:val="0"/>
                <w:sz w:val="20"/>
              </w:rPr>
              <w:t>3,231</w:t>
            </w:r>
          </w:p>
        </w:tc>
        <w:tc>
          <w:tcPr>
            <w:tcW w:w="3340" w:type="dxa"/>
            <w:tcBorders>
              <w:top w:val="nil"/>
              <w:left w:val="nil"/>
              <w:bottom w:val="nil"/>
              <w:right w:val="single" w:sz="8" w:space="0" w:color="auto"/>
            </w:tcBorders>
            <w:noWrap/>
            <w:vAlign w:val="bottom"/>
          </w:tcPr>
          <w:p w:rsidR="00C81B24" w:rsidRPr="00C81B24" w:rsidRDefault="00C81B24" w:rsidP="00CE5850">
            <w:pPr>
              <w:ind w:firstLineChars="1000" w:firstLine="2000"/>
              <w:jc w:val="right"/>
              <w:rPr>
                <w:kern w:val="0"/>
                <w:sz w:val="20"/>
              </w:rPr>
            </w:pPr>
            <w:r w:rsidRPr="00C81B24">
              <w:rPr>
                <w:kern w:val="0"/>
                <w:sz w:val="20"/>
              </w:rPr>
              <w:t>2,533</w:t>
            </w:r>
          </w:p>
        </w:tc>
      </w:tr>
      <w:tr w:rsidR="00C81B24" w:rsidRPr="00C81B24" w:rsidTr="00526AD9">
        <w:trPr>
          <w:trHeight w:val="225"/>
        </w:trPr>
        <w:tc>
          <w:tcPr>
            <w:tcW w:w="1960" w:type="dxa"/>
            <w:tcBorders>
              <w:top w:val="nil"/>
              <w:left w:val="single" w:sz="8" w:space="0" w:color="auto"/>
              <w:bottom w:val="nil"/>
              <w:right w:val="single" w:sz="4" w:space="0" w:color="auto"/>
            </w:tcBorders>
            <w:noWrap/>
            <w:vAlign w:val="bottom"/>
          </w:tcPr>
          <w:p w:rsidR="00C81B24" w:rsidRPr="00C81B24" w:rsidRDefault="00C81B24" w:rsidP="00CE5850">
            <w:pPr>
              <w:rPr>
                <w:kern w:val="0"/>
                <w:sz w:val="20"/>
              </w:rPr>
            </w:pPr>
            <w:r w:rsidRPr="00C81B24">
              <w:rPr>
                <w:kern w:val="0"/>
                <w:sz w:val="20"/>
              </w:rPr>
              <w:t>Connecticut</w:t>
            </w:r>
          </w:p>
        </w:tc>
        <w:tc>
          <w:tcPr>
            <w:tcW w:w="3340" w:type="dxa"/>
            <w:tcBorders>
              <w:top w:val="nil"/>
              <w:left w:val="nil"/>
              <w:bottom w:val="nil"/>
              <w:right w:val="single" w:sz="4" w:space="0" w:color="auto"/>
            </w:tcBorders>
            <w:noWrap/>
            <w:vAlign w:val="bottom"/>
          </w:tcPr>
          <w:p w:rsidR="00C81B24" w:rsidRPr="00C81B24" w:rsidRDefault="00C81B24" w:rsidP="00CE5850">
            <w:pPr>
              <w:ind w:firstLineChars="700" w:firstLine="1400"/>
              <w:jc w:val="right"/>
              <w:rPr>
                <w:kern w:val="0"/>
                <w:sz w:val="20"/>
              </w:rPr>
            </w:pPr>
            <w:r w:rsidRPr="00C81B24">
              <w:rPr>
                <w:kern w:val="0"/>
                <w:sz w:val="20"/>
              </w:rPr>
              <w:t>2,285</w:t>
            </w:r>
          </w:p>
        </w:tc>
        <w:tc>
          <w:tcPr>
            <w:tcW w:w="3340" w:type="dxa"/>
            <w:tcBorders>
              <w:top w:val="nil"/>
              <w:left w:val="nil"/>
              <w:bottom w:val="nil"/>
              <w:right w:val="single" w:sz="8" w:space="0" w:color="auto"/>
            </w:tcBorders>
            <w:noWrap/>
            <w:vAlign w:val="bottom"/>
          </w:tcPr>
          <w:p w:rsidR="00C81B24" w:rsidRPr="00C81B24" w:rsidRDefault="00C81B24" w:rsidP="00CE5850">
            <w:pPr>
              <w:ind w:firstLineChars="1000" w:firstLine="2000"/>
              <w:jc w:val="right"/>
              <w:rPr>
                <w:kern w:val="0"/>
                <w:sz w:val="20"/>
              </w:rPr>
            </w:pPr>
            <w:r w:rsidRPr="00C81B24">
              <w:rPr>
                <w:kern w:val="0"/>
                <w:sz w:val="20"/>
              </w:rPr>
              <w:t>1,732</w:t>
            </w:r>
          </w:p>
        </w:tc>
      </w:tr>
      <w:tr w:rsidR="00C81B24" w:rsidRPr="00C81B24" w:rsidTr="00526AD9">
        <w:trPr>
          <w:trHeight w:val="225"/>
        </w:trPr>
        <w:tc>
          <w:tcPr>
            <w:tcW w:w="1960" w:type="dxa"/>
            <w:tcBorders>
              <w:top w:val="nil"/>
              <w:left w:val="single" w:sz="8" w:space="0" w:color="auto"/>
              <w:bottom w:val="nil"/>
              <w:right w:val="single" w:sz="4" w:space="0" w:color="auto"/>
            </w:tcBorders>
            <w:noWrap/>
            <w:vAlign w:val="bottom"/>
          </w:tcPr>
          <w:p w:rsidR="00C81B24" w:rsidRPr="00C81B24" w:rsidRDefault="00C81B24" w:rsidP="00CE5850">
            <w:pPr>
              <w:rPr>
                <w:kern w:val="0"/>
                <w:sz w:val="20"/>
              </w:rPr>
            </w:pPr>
            <w:r w:rsidRPr="00C81B24">
              <w:rPr>
                <w:kern w:val="0"/>
                <w:sz w:val="20"/>
              </w:rPr>
              <w:t>Delaware</w:t>
            </w:r>
          </w:p>
        </w:tc>
        <w:tc>
          <w:tcPr>
            <w:tcW w:w="3340" w:type="dxa"/>
            <w:tcBorders>
              <w:top w:val="nil"/>
              <w:left w:val="nil"/>
              <w:bottom w:val="nil"/>
              <w:right w:val="single" w:sz="4" w:space="0" w:color="auto"/>
            </w:tcBorders>
            <w:noWrap/>
            <w:vAlign w:val="bottom"/>
          </w:tcPr>
          <w:p w:rsidR="00C81B24" w:rsidRPr="00C81B24" w:rsidRDefault="00C81B24" w:rsidP="00CE5850">
            <w:pPr>
              <w:ind w:firstLineChars="700" w:firstLine="1400"/>
              <w:jc w:val="right"/>
              <w:rPr>
                <w:kern w:val="0"/>
                <w:sz w:val="20"/>
              </w:rPr>
            </w:pPr>
            <w:r w:rsidRPr="00C81B24">
              <w:rPr>
                <w:kern w:val="0"/>
                <w:sz w:val="20"/>
              </w:rPr>
              <w:t>565</w:t>
            </w:r>
          </w:p>
        </w:tc>
        <w:tc>
          <w:tcPr>
            <w:tcW w:w="3340" w:type="dxa"/>
            <w:tcBorders>
              <w:top w:val="nil"/>
              <w:left w:val="nil"/>
              <w:bottom w:val="nil"/>
              <w:right w:val="single" w:sz="8" w:space="0" w:color="auto"/>
            </w:tcBorders>
            <w:noWrap/>
            <w:vAlign w:val="bottom"/>
          </w:tcPr>
          <w:p w:rsidR="00C81B24" w:rsidRPr="00C81B24" w:rsidRDefault="00C81B24" w:rsidP="00CE5850">
            <w:pPr>
              <w:ind w:firstLineChars="1000" w:firstLine="2000"/>
              <w:jc w:val="right"/>
              <w:rPr>
                <w:kern w:val="0"/>
                <w:sz w:val="20"/>
              </w:rPr>
            </w:pPr>
            <w:r w:rsidRPr="00C81B24">
              <w:rPr>
                <w:kern w:val="0"/>
                <w:sz w:val="20"/>
              </w:rPr>
              <w:t>424</w:t>
            </w:r>
          </w:p>
        </w:tc>
      </w:tr>
      <w:tr w:rsidR="00C81B24" w:rsidRPr="00C81B24" w:rsidTr="00526AD9">
        <w:trPr>
          <w:trHeight w:val="225"/>
        </w:trPr>
        <w:tc>
          <w:tcPr>
            <w:tcW w:w="1960" w:type="dxa"/>
            <w:tcBorders>
              <w:top w:val="nil"/>
              <w:left w:val="single" w:sz="8" w:space="0" w:color="auto"/>
              <w:bottom w:val="single" w:sz="4" w:space="0" w:color="auto"/>
              <w:right w:val="single" w:sz="4" w:space="0" w:color="auto"/>
            </w:tcBorders>
            <w:noWrap/>
            <w:vAlign w:val="bottom"/>
          </w:tcPr>
          <w:p w:rsidR="00C81B24" w:rsidRPr="00C81B24" w:rsidRDefault="00C81B24" w:rsidP="00CE5850">
            <w:pPr>
              <w:rPr>
                <w:kern w:val="0"/>
                <w:sz w:val="20"/>
              </w:rPr>
            </w:pPr>
            <w:r w:rsidRPr="00C81B24">
              <w:rPr>
                <w:kern w:val="0"/>
                <w:sz w:val="20"/>
              </w:rPr>
              <w:t>District of Columbia</w:t>
            </w:r>
          </w:p>
        </w:tc>
        <w:tc>
          <w:tcPr>
            <w:tcW w:w="3340" w:type="dxa"/>
            <w:tcBorders>
              <w:top w:val="nil"/>
              <w:left w:val="nil"/>
              <w:bottom w:val="single" w:sz="4" w:space="0" w:color="auto"/>
              <w:right w:val="single" w:sz="4" w:space="0" w:color="auto"/>
            </w:tcBorders>
            <w:noWrap/>
            <w:vAlign w:val="bottom"/>
          </w:tcPr>
          <w:p w:rsidR="00C81B24" w:rsidRPr="00C81B24" w:rsidRDefault="00C81B24" w:rsidP="00CE5850">
            <w:pPr>
              <w:ind w:firstLineChars="700" w:firstLine="1400"/>
              <w:jc w:val="right"/>
              <w:rPr>
                <w:kern w:val="0"/>
                <w:sz w:val="20"/>
              </w:rPr>
            </w:pPr>
            <w:r w:rsidRPr="00C81B24">
              <w:rPr>
                <w:kern w:val="0"/>
                <w:sz w:val="20"/>
              </w:rPr>
              <w:t>1,055</w:t>
            </w:r>
          </w:p>
        </w:tc>
        <w:tc>
          <w:tcPr>
            <w:tcW w:w="3340" w:type="dxa"/>
            <w:tcBorders>
              <w:top w:val="nil"/>
              <w:left w:val="nil"/>
              <w:bottom w:val="single" w:sz="4" w:space="0" w:color="auto"/>
              <w:right w:val="single" w:sz="8" w:space="0" w:color="auto"/>
            </w:tcBorders>
            <w:noWrap/>
            <w:vAlign w:val="bottom"/>
          </w:tcPr>
          <w:p w:rsidR="00C81B24" w:rsidRPr="00C81B24" w:rsidRDefault="00C81B24" w:rsidP="00CE5850">
            <w:pPr>
              <w:ind w:firstLineChars="1000" w:firstLine="2000"/>
              <w:jc w:val="right"/>
              <w:rPr>
                <w:kern w:val="0"/>
                <w:sz w:val="20"/>
              </w:rPr>
            </w:pPr>
            <w:r w:rsidRPr="00C81B24">
              <w:rPr>
                <w:kern w:val="0"/>
                <w:sz w:val="20"/>
              </w:rPr>
              <w:t>963</w:t>
            </w:r>
          </w:p>
        </w:tc>
      </w:tr>
      <w:tr w:rsidR="00C81B24" w:rsidRPr="00C81B24" w:rsidTr="00526AD9">
        <w:trPr>
          <w:trHeight w:val="225"/>
        </w:trPr>
        <w:tc>
          <w:tcPr>
            <w:tcW w:w="1960" w:type="dxa"/>
            <w:tcBorders>
              <w:top w:val="nil"/>
              <w:left w:val="single" w:sz="8" w:space="0" w:color="auto"/>
              <w:bottom w:val="nil"/>
              <w:right w:val="single" w:sz="4" w:space="0" w:color="auto"/>
            </w:tcBorders>
            <w:noWrap/>
            <w:vAlign w:val="bottom"/>
          </w:tcPr>
          <w:p w:rsidR="00C81B24" w:rsidRPr="00C81B24" w:rsidRDefault="00C81B24" w:rsidP="00CE5850">
            <w:pPr>
              <w:rPr>
                <w:kern w:val="0"/>
                <w:sz w:val="20"/>
              </w:rPr>
            </w:pPr>
            <w:r w:rsidRPr="00C81B24">
              <w:rPr>
                <w:kern w:val="0"/>
                <w:sz w:val="20"/>
              </w:rPr>
              <w:t>Florida</w:t>
            </w:r>
          </w:p>
        </w:tc>
        <w:tc>
          <w:tcPr>
            <w:tcW w:w="3340" w:type="dxa"/>
            <w:tcBorders>
              <w:top w:val="nil"/>
              <w:left w:val="nil"/>
              <w:bottom w:val="nil"/>
              <w:right w:val="single" w:sz="4" w:space="0" w:color="auto"/>
            </w:tcBorders>
            <w:noWrap/>
            <w:vAlign w:val="bottom"/>
          </w:tcPr>
          <w:p w:rsidR="00C81B24" w:rsidRPr="00C81B24" w:rsidRDefault="00C81B24" w:rsidP="00CE5850">
            <w:pPr>
              <w:ind w:firstLineChars="700" w:firstLine="1400"/>
              <w:jc w:val="right"/>
              <w:rPr>
                <w:kern w:val="0"/>
                <w:sz w:val="20"/>
              </w:rPr>
            </w:pPr>
            <w:r w:rsidRPr="00C81B24">
              <w:rPr>
                <w:kern w:val="0"/>
                <w:sz w:val="20"/>
              </w:rPr>
              <w:t>10,140</w:t>
            </w:r>
          </w:p>
        </w:tc>
        <w:tc>
          <w:tcPr>
            <w:tcW w:w="3340" w:type="dxa"/>
            <w:tcBorders>
              <w:top w:val="nil"/>
              <w:left w:val="nil"/>
              <w:bottom w:val="nil"/>
              <w:right w:val="single" w:sz="8" w:space="0" w:color="auto"/>
            </w:tcBorders>
            <w:noWrap/>
            <w:vAlign w:val="bottom"/>
          </w:tcPr>
          <w:p w:rsidR="00C81B24" w:rsidRPr="00C81B24" w:rsidRDefault="00C81B24" w:rsidP="00CE5850">
            <w:pPr>
              <w:ind w:firstLineChars="1000" w:firstLine="2000"/>
              <w:jc w:val="right"/>
              <w:rPr>
                <w:kern w:val="0"/>
                <w:sz w:val="20"/>
              </w:rPr>
            </w:pPr>
            <w:r w:rsidRPr="00C81B24">
              <w:rPr>
                <w:kern w:val="0"/>
                <w:sz w:val="20"/>
              </w:rPr>
              <w:t>8,267</w:t>
            </w:r>
          </w:p>
        </w:tc>
      </w:tr>
      <w:tr w:rsidR="00C81B24" w:rsidRPr="00C81B24" w:rsidTr="00526AD9">
        <w:trPr>
          <w:trHeight w:val="225"/>
        </w:trPr>
        <w:tc>
          <w:tcPr>
            <w:tcW w:w="1960" w:type="dxa"/>
            <w:tcBorders>
              <w:top w:val="nil"/>
              <w:left w:val="single" w:sz="8" w:space="0" w:color="auto"/>
              <w:bottom w:val="nil"/>
              <w:right w:val="single" w:sz="4" w:space="0" w:color="auto"/>
            </w:tcBorders>
            <w:noWrap/>
            <w:vAlign w:val="bottom"/>
          </w:tcPr>
          <w:p w:rsidR="00C81B24" w:rsidRPr="00C81B24" w:rsidRDefault="00C81B24" w:rsidP="00CE5850">
            <w:pPr>
              <w:rPr>
                <w:kern w:val="0"/>
                <w:sz w:val="20"/>
              </w:rPr>
            </w:pPr>
            <w:r w:rsidRPr="00C81B24">
              <w:rPr>
                <w:kern w:val="0"/>
                <w:sz w:val="20"/>
              </w:rPr>
              <w:t>Georgia</w:t>
            </w:r>
          </w:p>
        </w:tc>
        <w:tc>
          <w:tcPr>
            <w:tcW w:w="3340" w:type="dxa"/>
            <w:tcBorders>
              <w:top w:val="nil"/>
              <w:left w:val="nil"/>
              <w:bottom w:val="nil"/>
              <w:right w:val="single" w:sz="4" w:space="0" w:color="auto"/>
            </w:tcBorders>
            <w:noWrap/>
            <w:vAlign w:val="bottom"/>
          </w:tcPr>
          <w:p w:rsidR="00C81B24" w:rsidRPr="00C81B24" w:rsidRDefault="00C81B24" w:rsidP="00CE5850">
            <w:pPr>
              <w:ind w:firstLineChars="700" w:firstLine="1400"/>
              <w:jc w:val="right"/>
              <w:rPr>
                <w:kern w:val="0"/>
                <w:sz w:val="20"/>
              </w:rPr>
            </w:pPr>
            <w:r w:rsidRPr="00C81B24">
              <w:rPr>
                <w:kern w:val="0"/>
                <w:sz w:val="20"/>
              </w:rPr>
              <w:t>5,636</w:t>
            </w:r>
          </w:p>
        </w:tc>
        <w:tc>
          <w:tcPr>
            <w:tcW w:w="3340" w:type="dxa"/>
            <w:tcBorders>
              <w:top w:val="nil"/>
              <w:left w:val="nil"/>
              <w:bottom w:val="nil"/>
              <w:right w:val="single" w:sz="8" w:space="0" w:color="auto"/>
            </w:tcBorders>
            <w:noWrap/>
            <w:vAlign w:val="bottom"/>
          </w:tcPr>
          <w:p w:rsidR="00C81B24" w:rsidRPr="00C81B24" w:rsidRDefault="00C81B24" w:rsidP="00CE5850">
            <w:pPr>
              <w:ind w:firstLineChars="1000" w:firstLine="2000"/>
              <w:jc w:val="right"/>
              <w:rPr>
                <w:kern w:val="0"/>
                <w:sz w:val="20"/>
              </w:rPr>
            </w:pPr>
            <w:r w:rsidRPr="00C81B24">
              <w:rPr>
                <w:kern w:val="0"/>
                <w:sz w:val="20"/>
              </w:rPr>
              <w:t>4,435</w:t>
            </w:r>
          </w:p>
        </w:tc>
      </w:tr>
      <w:tr w:rsidR="00C81B24" w:rsidRPr="00C81B24" w:rsidTr="00526AD9">
        <w:trPr>
          <w:trHeight w:val="225"/>
        </w:trPr>
        <w:tc>
          <w:tcPr>
            <w:tcW w:w="1960" w:type="dxa"/>
            <w:tcBorders>
              <w:top w:val="nil"/>
              <w:left w:val="single" w:sz="8" w:space="0" w:color="auto"/>
              <w:bottom w:val="nil"/>
              <w:right w:val="single" w:sz="4" w:space="0" w:color="auto"/>
            </w:tcBorders>
            <w:noWrap/>
            <w:vAlign w:val="bottom"/>
          </w:tcPr>
          <w:p w:rsidR="00C81B24" w:rsidRPr="00C81B24" w:rsidRDefault="00C81B24" w:rsidP="00CE5850">
            <w:pPr>
              <w:rPr>
                <w:kern w:val="0"/>
                <w:sz w:val="20"/>
              </w:rPr>
            </w:pPr>
            <w:r w:rsidRPr="00C81B24">
              <w:rPr>
                <w:kern w:val="0"/>
                <w:sz w:val="20"/>
              </w:rPr>
              <w:t>Guam</w:t>
            </w:r>
          </w:p>
        </w:tc>
        <w:tc>
          <w:tcPr>
            <w:tcW w:w="3340" w:type="dxa"/>
            <w:tcBorders>
              <w:top w:val="nil"/>
              <w:left w:val="nil"/>
              <w:bottom w:val="nil"/>
              <w:right w:val="single" w:sz="4" w:space="0" w:color="auto"/>
            </w:tcBorders>
            <w:noWrap/>
            <w:vAlign w:val="bottom"/>
          </w:tcPr>
          <w:p w:rsidR="00C81B24" w:rsidRPr="00C81B24" w:rsidRDefault="00C81B24" w:rsidP="00CE5850">
            <w:pPr>
              <w:ind w:firstLineChars="700" w:firstLine="1400"/>
              <w:jc w:val="right"/>
              <w:rPr>
                <w:kern w:val="0"/>
                <w:sz w:val="20"/>
              </w:rPr>
            </w:pPr>
            <w:r w:rsidRPr="00C81B24">
              <w:rPr>
                <w:kern w:val="0"/>
                <w:sz w:val="20"/>
              </w:rPr>
              <w:t>*</w:t>
            </w:r>
          </w:p>
        </w:tc>
        <w:tc>
          <w:tcPr>
            <w:tcW w:w="3340" w:type="dxa"/>
            <w:tcBorders>
              <w:top w:val="nil"/>
              <w:left w:val="nil"/>
              <w:bottom w:val="nil"/>
              <w:right w:val="single" w:sz="8" w:space="0" w:color="auto"/>
            </w:tcBorders>
            <w:noWrap/>
            <w:vAlign w:val="bottom"/>
          </w:tcPr>
          <w:p w:rsidR="00C81B24" w:rsidRPr="00C81B24" w:rsidRDefault="00C81B24" w:rsidP="00CE5850">
            <w:pPr>
              <w:ind w:firstLineChars="1000" w:firstLine="2000"/>
              <w:jc w:val="right"/>
              <w:rPr>
                <w:kern w:val="0"/>
                <w:sz w:val="20"/>
              </w:rPr>
            </w:pPr>
            <w:r w:rsidRPr="00C81B24">
              <w:rPr>
                <w:kern w:val="0"/>
                <w:sz w:val="20"/>
              </w:rPr>
              <w:t>*</w:t>
            </w:r>
          </w:p>
        </w:tc>
      </w:tr>
      <w:tr w:rsidR="00C81B24" w:rsidRPr="00C81B24" w:rsidTr="00526AD9">
        <w:trPr>
          <w:trHeight w:val="225"/>
        </w:trPr>
        <w:tc>
          <w:tcPr>
            <w:tcW w:w="1960" w:type="dxa"/>
            <w:tcBorders>
              <w:top w:val="nil"/>
              <w:left w:val="single" w:sz="8" w:space="0" w:color="auto"/>
              <w:bottom w:val="nil"/>
              <w:right w:val="single" w:sz="4" w:space="0" w:color="auto"/>
            </w:tcBorders>
            <w:noWrap/>
            <w:vAlign w:val="bottom"/>
          </w:tcPr>
          <w:p w:rsidR="00C81B24" w:rsidRPr="00C81B24" w:rsidRDefault="00C81B24" w:rsidP="00CE5850">
            <w:pPr>
              <w:rPr>
                <w:kern w:val="0"/>
                <w:sz w:val="20"/>
              </w:rPr>
            </w:pPr>
            <w:r w:rsidRPr="00C81B24">
              <w:rPr>
                <w:kern w:val="0"/>
                <w:sz w:val="20"/>
              </w:rPr>
              <w:t>Hawaii</w:t>
            </w:r>
          </w:p>
        </w:tc>
        <w:tc>
          <w:tcPr>
            <w:tcW w:w="3340" w:type="dxa"/>
            <w:tcBorders>
              <w:top w:val="nil"/>
              <w:left w:val="nil"/>
              <w:bottom w:val="nil"/>
              <w:right w:val="single" w:sz="4" w:space="0" w:color="auto"/>
            </w:tcBorders>
            <w:noWrap/>
            <w:vAlign w:val="bottom"/>
          </w:tcPr>
          <w:p w:rsidR="00C81B24" w:rsidRPr="00C81B24" w:rsidRDefault="00C81B24" w:rsidP="00CE5850">
            <w:pPr>
              <w:ind w:firstLineChars="700" w:firstLine="1400"/>
              <w:jc w:val="right"/>
              <w:rPr>
                <w:kern w:val="0"/>
                <w:sz w:val="20"/>
              </w:rPr>
            </w:pPr>
            <w:r w:rsidRPr="00C81B24">
              <w:rPr>
                <w:kern w:val="0"/>
                <w:sz w:val="20"/>
              </w:rPr>
              <w:t>894</w:t>
            </w:r>
          </w:p>
        </w:tc>
        <w:tc>
          <w:tcPr>
            <w:tcW w:w="3340" w:type="dxa"/>
            <w:tcBorders>
              <w:top w:val="nil"/>
              <w:left w:val="nil"/>
              <w:bottom w:val="nil"/>
              <w:right w:val="single" w:sz="8" w:space="0" w:color="auto"/>
            </w:tcBorders>
            <w:noWrap/>
            <w:vAlign w:val="bottom"/>
          </w:tcPr>
          <w:p w:rsidR="00C81B24" w:rsidRPr="00C81B24" w:rsidRDefault="00C81B24" w:rsidP="00CE5850">
            <w:pPr>
              <w:ind w:firstLineChars="1000" w:firstLine="2000"/>
              <w:jc w:val="right"/>
              <w:rPr>
                <w:kern w:val="0"/>
                <w:sz w:val="20"/>
              </w:rPr>
            </w:pPr>
            <w:r w:rsidRPr="00C81B24">
              <w:rPr>
                <w:kern w:val="0"/>
                <w:sz w:val="20"/>
              </w:rPr>
              <w:t>720</w:t>
            </w:r>
          </w:p>
        </w:tc>
      </w:tr>
      <w:tr w:rsidR="00C81B24" w:rsidRPr="00C81B24" w:rsidTr="00526AD9">
        <w:trPr>
          <w:trHeight w:val="225"/>
        </w:trPr>
        <w:tc>
          <w:tcPr>
            <w:tcW w:w="1960" w:type="dxa"/>
            <w:tcBorders>
              <w:top w:val="nil"/>
              <w:left w:val="single" w:sz="8" w:space="0" w:color="auto"/>
              <w:bottom w:val="single" w:sz="4" w:space="0" w:color="auto"/>
              <w:right w:val="single" w:sz="4" w:space="0" w:color="auto"/>
            </w:tcBorders>
            <w:noWrap/>
            <w:vAlign w:val="bottom"/>
          </w:tcPr>
          <w:p w:rsidR="00C81B24" w:rsidRPr="00C81B24" w:rsidRDefault="00C81B24" w:rsidP="00CE5850">
            <w:pPr>
              <w:rPr>
                <w:kern w:val="0"/>
                <w:sz w:val="20"/>
              </w:rPr>
            </w:pPr>
            <w:r w:rsidRPr="00C81B24">
              <w:rPr>
                <w:kern w:val="0"/>
                <w:sz w:val="20"/>
              </w:rPr>
              <w:t>Idaho</w:t>
            </w:r>
          </w:p>
        </w:tc>
        <w:tc>
          <w:tcPr>
            <w:tcW w:w="3340" w:type="dxa"/>
            <w:tcBorders>
              <w:top w:val="nil"/>
              <w:left w:val="nil"/>
              <w:bottom w:val="single" w:sz="4" w:space="0" w:color="auto"/>
              <w:right w:val="single" w:sz="4" w:space="0" w:color="auto"/>
            </w:tcBorders>
            <w:noWrap/>
            <w:vAlign w:val="bottom"/>
          </w:tcPr>
          <w:p w:rsidR="00C81B24" w:rsidRPr="00C81B24" w:rsidRDefault="00C81B24" w:rsidP="00CE5850">
            <w:pPr>
              <w:ind w:firstLineChars="700" w:firstLine="1400"/>
              <w:jc w:val="right"/>
              <w:rPr>
                <w:kern w:val="0"/>
                <w:sz w:val="20"/>
              </w:rPr>
            </w:pPr>
            <w:r w:rsidRPr="00C81B24">
              <w:rPr>
                <w:kern w:val="0"/>
                <w:sz w:val="20"/>
              </w:rPr>
              <w:t>876</w:t>
            </w:r>
          </w:p>
        </w:tc>
        <w:tc>
          <w:tcPr>
            <w:tcW w:w="3340" w:type="dxa"/>
            <w:tcBorders>
              <w:top w:val="nil"/>
              <w:left w:val="nil"/>
              <w:bottom w:val="single" w:sz="4" w:space="0" w:color="auto"/>
              <w:right w:val="single" w:sz="8" w:space="0" w:color="auto"/>
            </w:tcBorders>
            <w:noWrap/>
            <w:vAlign w:val="bottom"/>
          </w:tcPr>
          <w:p w:rsidR="00C81B24" w:rsidRPr="00C81B24" w:rsidRDefault="00C81B24" w:rsidP="00CE5850">
            <w:pPr>
              <w:ind w:firstLineChars="1000" w:firstLine="2000"/>
              <w:jc w:val="right"/>
              <w:rPr>
                <w:kern w:val="0"/>
                <w:sz w:val="20"/>
              </w:rPr>
            </w:pPr>
            <w:r w:rsidRPr="00C81B24">
              <w:rPr>
                <w:kern w:val="0"/>
                <w:sz w:val="20"/>
              </w:rPr>
              <w:t>628</w:t>
            </w:r>
          </w:p>
        </w:tc>
      </w:tr>
      <w:tr w:rsidR="00C81B24" w:rsidRPr="00C81B24" w:rsidTr="00526AD9">
        <w:trPr>
          <w:trHeight w:val="225"/>
        </w:trPr>
        <w:tc>
          <w:tcPr>
            <w:tcW w:w="1960" w:type="dxa"/>
            <w:tcBorders>
              <w:top w:val="nil"/>
              <w:left w:val="single" w:sz="8" w:space="0" w:color="auto"/>
              <w:bottom w:val="nil"/>
              <w:right w:val="single" w:sz="4" w:space="0" w:color="auto"/>
            </w:tcBorders>
            <w:noWrap/>
            <w:vAlign w:val="bottom"/>
          </w:tcPr>
          <w:p w:rsidR="00C81B24" w:rsidRPr="00C81B24" w:rsidRDefault="00C81B24" w:rsidP="00CE5850">
            <w:pPr>
              <w:rPr>
                <w:kern w:val="0"/>
                <w:sz w:val="20"/>
              </w:rPr>
            </w:pPr>
            <w:r w:rsidRPr="00C81B24">
              <w:rPr>
                <w:kern w:val="0"/>
                <w:sz w:val="20"/>
              </w:rPr>
              <w:t>Illinois</w:t>
            </w:r>
          </w:p>
        </w:tc>
        <w:tc>
          <w:tcPr>
            <w:tcW w:w="3340" w:type="dxa"/>
            <w:tcBorders>
              <w:top w:val="nil"/>
              <w:left w:val="nil"/>
              <w:bottom w:val="nil"/>
              <w:right w:val="single" w:sz="4" w:space="0" w:color="auto"/>
            </w:tcBorders>
            <w:noWrap/>
            <w:vAlign w:val="bottom"/>
          </w:tcPr>
          <w:p w:rsidR="00C81B24" w:rsidRPr="00C81B24" w:rsidRDefault="00C81B24" w:rsidP="00CE5850">
            <w:pPr>
              <w:ind w:firstLineChars="700" w:firstLine="1400"/>
              <w:jc w:val="right"/>
              <w:rPr>
                <w:kern w:val="0"/>
                <w:sz w:val="20"/>
              </w:rPr>
            </w:pPr>
            <w:r w:rsidRPr="00C81B24">
              <w:rPr>
                <w:kern w:val="0"/>
                <w:sz w:val="20"/>
              </w:rPr>
              <w:t>8,097</w:t>
            </w:r>
          </w:p>
        </w:tc>
        <w:tc>
          <w:tcPr>
            <w:tcW w:w="3340" w:type="dxa"/>
            <w:tcBorders>
              <w:top w:val="nil"/>
              <w:left w:val="nil"/>
              <w:bottom w:val="nil"/>
              <w:right w:val="single" w:sz="8" w:space="0" w:color="auto"/>
            </w:tcBorders>
            <w:noWrap/>
            <w:vAlign w:val="bottom"/>
          </w:tcPr>
          <w:p w:rsidR="00C81B24" w:rsidRPr="00C81B24" w:rsidRDefault="00C81B24" w:rsidP="00CE5850">
            <w:pPr>
              <w:ind w:firstLineChars="1000" w:firstLine="2000"/>
              <w:jc w:val="right"/>
              <w:rPr>
                <w:kern w:val="0"/>
                <w:sz w:val="20"/>
              </w:rPr>
            </w:pPr>
            <w:r w:rsidRPr="00C81B24">
              <w:rPr>
                <w:kern w:val="0"/>
                <w:sz w:val="20"/>
              </w:rPr>
              <w:t>6,231</w:t>
            </w:r>
          </w:p>
        </w:tc>
      </w:tr>
      <w:tr w:rsidR="00C81B24" w:rsidRPr="00C81B24" w:rsidTr="00526AD9">
        <w:trPr>
          <w:trHeight w:val="225"/>
        </w:trPr>
        <w:tc>
          <w:tcPr>
            <w:tcW w:w="1960" w:type="dxa"/>
            <w:tcBorders>
              <w:top w:val="nil"/>
              <w:left w:val="single" w:sz="8" w:space="0" w:color="auto"/>
              <w:bottom w:val="nil"/>
              <w:right w:val="single" w:sz="4" w:space="0" w:color="auto"/>
            </w:tcBorders>
            <w:noWrap/>
            <w:vAlign w:val="bottom"/>
          </w:tcPr>
          <w:p w:rsidR="00C81B24" w:rsidRPr="00C81B24" w:rsidRDefault="00C81B24" w:rsidP="00CE5850">
            <w:pPr>
              <w:rPr>
                <w:kern w:val="0"/>
                <w:sz w:val="20"/>
              </w:rPr>
            </w:pPr>
            <w:r w:rsidRPr="00C81B24">
              <w:rPr>
                <w:kern w:val="0"/>
                <w:sz w:val="20"/>
              </w:rPr>
              <w:t>Indiana</w:t>
            </w:r>
          </w:p>
        </w:tc>
        <w:tc>
          <w:tcPr>
            <w:tcW w:w="3340" w:type="dxa"/>
            <w:tcBorders>
              <w:top w:val="nil"/>
              <w:left w:val="nil"/>
              <w:bottom w:val="nil"/>
              <w:right w:val="single" w:sz="4" w:space="0" w:color="auto"/>
            </w:tcBorders>
            <w:noWrap/>
            <w:vAlign w:val="bottom"/>
          </w:tcPr>
          <w:p w:rsidR="00C81B24" w:rsidRPr="00C81B24" w:rsidRDefault="00C81B24" w:rsidP="00CE5850">
            <w:pPr>
              <w:ind w:firstLineChars="700" w:firstLine="1400"/>
              <w:jc w:val="right"/>
              <w:rPr>
                <w:kern w:val="0"/>
                <w:sz w:val="20"/>
              </w:rPr>
            </w:pPr>
            <w:r w:rsidRPr="00C81B24">
              <w:rPr>
                <w:kern w:val="0"/>
                <w:sz w:val="20"/>
              </w:rPr>
              <w:t>3,370</w:t>
            </w:r>
          </w:p>
        </w:tc>
        <w:tc>
          <w:tcPr>
            <w:tcW w:w="3340" w:type="dxa"/>
            <w:tcBorders>
              <w:top w:val="nil"/>
              <w:left w:val="nil"/>
              <w:bottom w:val="nil"/>
              <w:right w:val="single" w:sz="8" w:space="0" w:color="auto"/>
            </w:tcBorders>
            <w:noWrap/>
            <w:vAlign w:val="bottom"/>
          </w:tcPr>
          <w:p w:rsidR="00C81B24" w:rsidRPr="00C81B24" w:rsidRDefault="00C81B24" w:rsidP="00CE5850">
            <w:pPr>
              <w:ind w:firstLineChars="1000" w:firstLine="2000"/>
              <w:jc w:val="right"/>
              <w:rPr>
                <w:kern w:val="0"/>
                <w:sz w:val="20"/>
              </w:rPr>
            </w:pPr>
            <w:r w:rsidRPr="00C81B24">
              <w:rPr>
                <w:kern w:val="0"/>
                <w:sz w:val="20"/>
              </w:rPr>
              <w:t>2,446</w:t>
            </w:r>
          </w:p>
        </w:tc>
      </w:tr>
      <w:tr w:rsidR="00C81B24" w:rsidRPr="00C81B24" w:rsidTr="00526AD9">
        <w:trPr>
          <w:trHeight w:val="225"/>
        </w:trPr>
        <w:tc>
          <w:tcPr>
            <w:tcW w:w="1960" w:type="dxa"/>
            <w:tcBorders>
              <w:top w:val="nil"/>
              <w:left w:val="single" w:sz="8" w:space="0" w:color="auto"/>
              <w:bottom w:val="nil"/>
              <w:right w:val="single" w:sz="4" w:space="0" w:color="auto"/>
            </w:tcBorders>
            <w:noWrap/>
            <w:vAlign w:val="bottom"/>
          </w:tcPr>
          <w:p w:rsidR="00C81B24" w:rsidRPr="00C81B24" w:rsidRDefault="00C81B24" w:rsidP="00CE5850">
            <w:pPr>
              <w:rPr>
                <w:kern w:val="0"/>
                <w:sz w:val="20"/>
              </w:rPr>
            </w:pPr>
            <w:r w:rsidRPr="00C81B24">
              <w:rPr>
                <w:kern w:val="0"/>
                <w:sz w:val="20"/>
              </w:rPr>
              <w:t>Iowa</w:t>
            </w:r>
          </w:p>
        </w:tc>
        <w:tc>
          <w:tcPr>
            <w:tcW w:w="3340" w:type="dxa"/>
            <w:tcBorders>
              <w:top w:val="nil"/>
              <w:left w:val="nil"/>
              <w:bottom w:val="nil"/>
              <w:right w:val="single" w:sz="4" w:space="0" w:color="auto"/>
            </w:tcBorders>
            <w:noWrap/>
            <w:vAlign w:val="bottom"/>
          </w:tcPr>
          <w:p w:rsidR="00C81B24" w:rsidRPr="00C81B24" w:rsidRDefault="00C81B24" w:rsidP="00CE5850">
            <w:pPr>
              <w:ind w:firstLineChars="700" w:firstLine="1400"/>
              <w:jc w:val="right"/>
              <w:rPr>
                <w:kern w:val="0"/>
                <w:sz w:val="20"/>
              </w:rPr>
            </w:pPr>
            <w:r w:rsidRPr="00C81B24">
              <w:rPr>
                <w:kern w:val="0"/>
                <w:sz w:val="20"/>
              </w:rPr>
              <w:t>1,474</w:t>
            </w:r>
          </w:p>
        </w:tc>
        <w:tc>
          <w:tcPr>
            <w:tcW w:w="3340" w:type="dxa"/>
            <w:tcBorders>
              <w:top w:val="nil"/>
              <w:left w:val="nil"/>
              <w:bottom w:val="nil"/>
              <w:right w:val="single" w:sz="8" w:space="0" w:color="auto"/>
            </w:tcBorders>
            <w:noWrap/>
            <w:vAlign w:val="bottom"/>
          </w:tcPr>
          <w:p w:rsidR="00C81B24" w:rsidRPr="00C81B24" w:rsidRDefault="00C81B24" w:rsidP="00CE5850">
            <w:pPr>
              <w:ind w:firstLineChars="1000" w:firstLine="2000"/>
              <w:jc w:val="right"/>
              <w:rPr>
                <w:kern w:val="0"/>
                <w:sz w:val="20"/>
              </w:rPr>
            </w:pPr>
            <w:r w:rsidRPr="00C81B24">
              <w:rPr>
                <w:kern w:val="0"/>
                <w:sz w:val="20"/>
              </w:rPr>
              <w:t>933</w:t>
            </w:r>
          </w:p>
        </w:tc>
      </w:tr>
      <w:tr w:rsidR="00C81B24" w:rsidRPr="00C81B24" w:rsidTr="00526AD9">
        <w:trPr>
          <w:trHeight w:val="225"/>
        </w:trPr>
        <w:tc>
          <w:tcPr>
            <w:tcW w:w="1960" w:type="dxa"/>
            <w:tcBorders>
              <w:top w:val="nil"/>
              <w:left w:val="single" w:sz="8" w:space="0" w:color="auto"/>
              <w:bottom w:val="nil"/>
              <w:right w:val="single" w:sz="4" w:space="0" w:color="auto"/>
            </w:tcBorders>
            <w:noWrap/>
            <w:vAlign w:val="bottom"/>
          </w:tcPr>
          <w:p w:rsidR="00C81B24" w:rsidRPr="00C81B24" w:rsidRDefault="00C81B24" w:rsidP="00CE5850">
            <w:pPr>
              <w:rPr>
                <w:kern w:val="0"/>
                <w:sz w:val="20"/>
              </w:rPr>
            </w:pPr>
            <w:r w:rsidRPr="00C81B24">
              <w:rPr>
                <w:kern w:val="0"/>
                <w:sz w:val="20"/>
              </w:rPr>
              <w:t>Kansas</w:t>
            </w:r>
          </w:p>
        </w:tc>
        <w:tc>
          <w:tcPr>
            <w:tcW w:w="3340" w:type="dxa"/>
            <w:tcBorders>
              <w:top w:val="nil"/>
              <w:left w:val="nil"/>
              <w:bottom w:val="nil"/>
              <w:right w:val="single" w:sz="4" w:space="0" w:color="auto"/>
            </w:tcBorders>
            <w:noWrap/>
            <w:vAlign w:val="bottom"/>
          </w:tcPr>
          <w:p w:rsidR="00C81B24" w:rsidRPr="00C81B24" w:rsidRDefault="00C81B24" w:rsidP="00CE5850">
            <w:pPr>
              <w:ind w:firstLineChars="700" w:firstLine="1400"/>
              <w:jc w:val="right"/>
              <w:rPr>
                <w:kern w:val="0"/>
                <w:sz w:val="20"/>
              </w:rPr>
            </w:pPr>
            <w:r w:rsidRPr="00C81B24">
              <w:rPr>
                <w:kern w:val="0"/>
                <w:sz w:val="20"/>
              </w:rPr>
              <w:t>1,804</w:t>
            </w:r>
          </w:p>
        </w:tc>
        <w:tc>
          <w:tcPr>
            <w:tcW w:w="3340" w:type="dxa"/>
            <w:tcBorders>
              <w:top w:val="nil"/>
              <w:left w:val="nil"/>
              <w:bottom w:val="nil"/>
              <w:right w:val="single" w:sz="8" w:space="0" w:color="auto"/>
            </w:tcBorders>
            <w:noWrap/>
            <w:vAlign w:val="bottom"/>
          </w:tcPr>
          <w:p w:rsidR="00C81B24" w:rsidRPr="00C81B24" w:rsidRDefault="00C81B24" w:rsidP="00CE5850">
            <w:pPr>
              <w:ind w:firstLineChars="1000" w:firstLine="2000"/>
              <w:jc w:val="right"/>
              <w:rPr>
                <w:kern w:val="0"/>
                <w:sz w:val="20"/>
              </w:rPr>
            </w:pPr>
            <w:r w:rsidRPr="00C81B24">
              <w:rPr>
                <w:kern w:val="0"/>
                <w:sz w:val="20"/>
              </w:rPr>
              <w:t>1,392</w:t>
            </w:r>
          </w:p>
        </w:tc>
      </w:tr>
      <w:tr w:rsidR="00C81B24" w:rsidRPr="00C81B24" w:rsidTr="00526AD9">
        <w:trPr>
          <w:trHeight w:val="225"/>
        </w:trPr>
        <w:tc>
          <w:tcPr>
            <w:tcW w:w="1960" w:type="dxa"/>
            <w:tcBorders>
              <w:top w:val="nil"/>
              <w:left w:val="single" w:sz="8" w:space="0" w:color="auto"/>
              <w:bottom w:val="single" w:sz="4" w:space="0" w:color="auto"/>
              <w:right w:val="single" w:sz="4" w:space="0" w:color="auto"/>
            </w:tcBorders>
            <w:noWrap/>
            <w:vAlign w:val="bottom"/>
          </w:tcPr>
          <w:p w:rsidR="00C81B24" w:rsidRPr="00C81B24" w:rsidRDefault="00C81B24" w:rsidP="00CE5850">
            <w:pPr>
              <w:rPr>
                <w:kern w:val="0"/>
                <w:sz w:val="20"/>
              </w:rPr>
            </w:pPr>
            <w:r w:rsidRPr="00C81B24">
              <w:rPr>
                <w:kern w:val="0"/>
                <w:sz w:val="20"/>
              </w:rPr>
              <w:t>Kentucky</w:t>
            </w:r>
          </w:p>
        </w:tc>
        <w:tc>
          <w:tcPr>
            <w:tcW w:w="3340" w:type="dxa"/>
            <w:tcBorders>
              <w:top w:val="nil"/>
              <w:left w:val="nil"/>
              <w:bottom w:val="single" w:sz="4" w:space="0" w:color="auto"/>
              <w:right w:val="single" w:sz="4" w:space="0" w:color="auto"/>
            </w:tcBorders>
            <w:noWrap/>
            <w:vAlign w:val="bottom"/>
          </w:tcPr>
          <w:p w:rsidR="00C81B24" w:rsidRPr="00C81B24" w:rsidRDefault="00C81B24" w:rsidP="00CE5850">
            <w:pPr>
              <w:ind w:firstLineChars="700" w:firstLine="1400"/>
              <w:jc w:val="right"/>
              <w:rPr>
                <w:kern w:val="0"/>
                <w:sz w:val="20"/>
              </w:rPr>
            </w:pPr>
            <w:r w:rsidRPr="00C81B24">
              <w:rPr>
                <w:kern w:val="0"/>
                <w:sz w:val="20"/>
              </w:rPr>
              <w:t>2,349</w:t>
            </w:r>
          </w:p>
        </w:tc>
        <w:tc>
          <w:tcPr>
            <w:tcW w:w="3340" w:type="dxa"/>
            <w:tcBorders>
              <w:top w:val="nil"/>
              <w:left w:val="nil"/>
              <w:bottom w:val="single" w:sz="4" w:space="0" w:color="auto"/>
              <w:right w:val="single" w:sz="8" w:space="0" w:color="auto"/>
            </w:tcBorders>
            <w:noWrap/>
            <w:vAlign w:val="bottom"/>
          </w:tcPr>
          <w:p w:rsidR="00C81B24" w:rsidRPr="00C81B24" w:rsidRDefault="00C81B24" w:rsidP="00CE5850">
            <w:pPr>
              <w:ind w:firstLineChars="1000" w:firstLine="2000"/>
              <w:jc w:val="right"/>
              <w:rPr>
                <w:kern w:val="0"/>
                <w:sz w:val="20"/>
              </w:rPr>
            </w:pPr>
            <w:r w:rsidRPr="00C81B24">
              <w:rPr>
                <w:kern w:val="0"/>
                <w:sz w:val="20"/>
              </w:rPr>
              <w:t>1,685</w:t>
            </w:r>
          </w:p>
        </w:tc>
      </w:tr>
      <w:tr w:rsidR="00C81B24" w:rsidRPr="00C81B24" w:rsidTr="00526AD9">
        <w:trPr>
          <w:trHeight w:val="225"/>
        </w:trPr>
        <w:tc>
          <w:tcPr>
            <w:tcW w:w="1960" w:type="dxa"/>
            <w:tcBorders>
              <w:top w:val="nil"/>
              <w:left w:val="single" w:sz="8" w:space="0" w:color="auto"/>
              <w:bottom w:val="nil"/>
              <w:right w:val="single" w:sz="4" w:space="0" w:color="auto"/>
            </w:tcBorders>
            <w:noWrap/>
            <w:vAlign w:val="bottom"/>
          </w:tcPr>
          <w:p w:rsidR="00C81B24" w:rsidRPr="00C81B24" w:rsidRDefault="00C81B24" w:rsidP="00CE5850">
            <w:pPr>
              <w:rPr>
                <w:kern w:val="0"/>
                <w:sz w:val="20"/>
              </w:rPr>
            </w:pPr>
            <w:r w:rsidRPr="00C81B24">
              <w:rPr>
                <w:kern w:val="0"/>
                <w:sz w:val="20"/>
              </w:rPr>
              <w:t>Louisiana</w:t>
            </w:r>
          </w:p>
        </w:tc>
        <w:tc>
          <w:tcPr>
            <w:tcW w:w="3340" w:type="dxa"/>
            <w:tcBorders>
              <w:top w:val="nil"/>
              <w:left w:val="nil"/>
              <w:bottom w:val="nil"/>
              <w:right w:val="single" w:sz="4" w:space="0" w:color="auto"/>
            </w:tcBorders>
            <w:noWrap/>
            <w:vAlign w:val="bottom"/>
          </w:tcPr>
          <w:p w:rsidR="00C81B24" w:rsidRPr="00C81B24" w:rsidRDefault="00C81B24" w:rsidP="00CE5850">
            <w:pPr>
              <w:ind w:firstLineChars="700" w:firstLine="1400"/>
              <w:jc w:val="right"/>
              <w:rPr>
                <w:kern w:val="0"/>
                <w:sz w:val="20"/>
              </w:rPr>
            </w:pPr>
            <w:r w:rsidRPr="00C81B24">
              <w:rPr>
                <w:kern w:val="0"/>
                <w:sz w:val="20"/>
              </w:rPr>
              <w:t>2,710</w:t>
            </w:r>
          </w:p>
        </w:tc>
        <w:tc>
          <w:tcPr>
            <w:tcW w:w="3340" w:type="dxa"/>
            <w:tcBorders>
              <w:top w:val="nil"/>
              <w:left w:val="nil"/>
              <w:bottom w:val="nil"/>
              <w:right w:val="single" w:sz="8" w:space="0" w:color="auto"/>
            </w:tcBorders>
            <w:noWrap/>
            <w:vAlign w:val="bottom"/>
          </w:tcPr>
          <w:p w:rsidR="00C81B24" w:rsidRPr="00C81B24" w:rsidRDefault="00C81B24" w:rsidP="00CE5850">
            <w:pPr>
              <w:ind w:firstLineChars="1000" w:firstLine="2000"/>
              <w:jc w:val="right"/>
              <w:rPr>
                <w:kern w:val="0"/>
                <w:sz w:val="20"/>
              </w:rPr>
            </w:pPr>
            <w:r w:rsidRPr="00C81B24">
              <w:rPr>
                <w:kern w:val="0"/>
                <w:sz w:val="20"/>
              </w:rPr>
              <w:t>2,177</w:t>
            </w:r>
          </w:p>
        </w:tc>
      </w:tr>
      <w:tr w:rsidR="00C81B24" w:rsidRPr="00C81B24" w:rsidTr="00526AD9">
        <w:trPr>
          <w:trHeight w:val="225"/>
        </w:trPr>
        <w:tc>
          <w:tcPr>
            <w:tcW w:w="1960" w:type="dxa"/>
            <w:tcBorders>
              <w:top w:val="nil"/>
              <w:left w:val="single" w:sz="8" w:space="0" w:color="auto"/>
              <w:bottom w:val="nil"/>
              <w:right w:val="single" w:sz="4" w:space="0" w:color="auto"/>
            </w:tcBorders>
            <w:noWrap/>
            <w:vAlign w:val="bottom"/>
          </w:tcPr>
          <w:p w:rsidR="00C81B24" w:rsidRPr="00C81B24" w:rsidRDefault="00C81B24" w:rsidP="00CE5850">
            <w:pPr>
              <w:rPr>
                <w:kern w:val="0"/>
                <w:sz w:val="20"/>
              </w:rPr>
            </w:pPr>
            <w:r w:rsidRPr="00C81B24">
              <w:rPr>
                <w:kern w:val="0"/>
                <w:sz w:val="20"/>
              </w:rPr>
              <w:t>Maine</w:t>
            </w:r>
          </w:p>
        </w:tc>
        <w:tc>
          <w:tcPr>
            <w:tcW w:w="3340" w:type="dxa"/>
            <w:tcBorders>
              <w:top w:val="nil"/>
              <w:left w:val="nil"/>
              <w:bottom w:val="nil"/>
              <w:right w:val="single" w:sz="4" w:space="0" w:color="auto"/>
            </w:tcBorders>
            <w:noWrap/>
            <w:vAlign w:val="bottom"/>
          </w:tcPr>
          <w:p w:rsidR="00C81B24" w:rsidRPr="00C81B24" w:rsidRDefault="00C81B24" w:rsidP="00CE5850">
            <w:pPr>
              <w:ind w:firstLineChars="700" w:firstLine="1400"/>
              <w:jc w:val="right"/>
              <w:rPr>
                <w:kern w:val="0"/>
                <w:sz w:val="20"/>
              </w:rPr>
            </w:pPr>
            <w:r w:rsidRPr="00C81B24">
              <w:rPr>
                <w:kern w:val="0"/>
                <w:sz w:val="20"/>
              </w:rPr>
              <w:t>586</w:t>
            </w:r>
          </w:p>
        </w:tc>
        <w:tc>
          <w:tcPr>
            <w:tcW w:w="3340" w:type="dxa"/>
            <w:tcBorders>
              <w:top w:val="nil"/>
              <w:left w:val="nil"/>
              <w:bottom w:val="nil"/>
              <w:right w:val="single" w:sz="8" w:space="0" w:color="auto"/>
            </w:tcBorders>
            <w:noWrap/>
            <w:vAlign w:val="bottom"/>
          </w:tcPr>
          <w:p w:rsidR="00C81B24" w:rsidRPr="00C81B24" w:rsidRDefault="00C81B24" w:rsidP="00CE5850">
            <w:pPr>
              <w:ind w:firstLineChars="1000" w:firstLine="2000"/>
              <w:jc w:val="right"/>
              <w:rPr>
                <w:kern w:val="0"/>
                <w:sz w:val="20"/>
              </w:rPr>
            </w:pPr>
            <w:r w:rsidRPr="00C81B24">
              <w:rPr>
                <w:kern w:val="0"/>
                <w:sz w:val="20"/>
              </w:rPr>
              <w:t>373</w:t>
            </w:r>
          </w:p>
        </w:tc>
      </w:tr>
      <w:tr w:rsidR="00C81B24" w:rsidRPr="00C81B24" w:rsidTr="00526AD9">
        <w:trPr>
          <w:trHeight w:val="225"/>
        </w:trPr>
        <w:tc>
          <w:tcPr>
            <w:tcW w:w="1960" w:type="dxa"/>
            <w:tcBorders>
              <w:top w:val="nil"/>
              <w:left w:val="single" w:sz="8" w:space="0" w:color="auto"/>
              <w:bottom w:val="nil"/>
              <w:right w:val="single" w:sz="4" w:space="0" w:color="auto"/>
            </w:tcBorders>
            <w:noWrap/>
            <w:vAlign w:val="bottom"/>
          </w:tcPr>
          <w:p w:rsidR="00C81B24" w:rsidRPr="00C81B24" w:rsidRDefault="00C81B24" w:rsidP="00CE5850">
            <w:pPr>
              <w:rPr>
                <w:kern w:val="0"/>
                <w:sz w:val="20"/>
              </w:rPr>
            </w:pPr>
            <w:r w:rsidRPr="00C81B24">
              <w:rPr>
                <w:kern w:val="0"/>
                <w:sz w:val="20"/>
              </w:rPr>
              <w:t>Maryland</w:t>
            </w:r>
          </w:p>
        </w:tc>
        <w:tc>
          <w:tcPr>
            <w:tcW w:w="3340" w:type="dxa"/>
            <w:tcBorders>
              <w:top w:val="nil"/>
              <w:left w:val="nil"/>
              <w:bottom w:val="nil"/>
              <w:right w:val="single" w:sz="4" w:space="0" w:color="auto"/>
            </w:tcBorders>
            <w:noWrap/>
            <w:vAlign w:val="bottom"/>
          </w:tcPr>
          <w:p w:rsidR="00C81B24" w:rsidRPr="00C81B24" w:rsidRDefault="00C81B24" w:rsidP="00CE5850">
            <w:pPr>
              <w:ind w:firstLineChars="700" w:firstLine="1400"/>
              <w:jc w:val="right"/>
              <w:rPr>
                <w:kern w:val="0"/>
                <w:sz w:val="20"/>
              </w:rPr>
            </w:pPr>
            <w:r w:rsidRPr="00C81B24">
              <w:rPr>
                <w:kern w:val="0"/>
                <w:sz w:val="20"/>
              </w:rPr>
              <w:t>3,780</w:t>
            </w:r>
          </w:p>
        </w:tc>
        <w:tc>
          <w:tcPr>
            <w:tcW w:w="3340" w:type="dxa"/>
            <w:tcBorders>
              <w:top w:val="nil"/>
              <w:left w:val="nil"/>
              <w:bottom w:val="nil"/>
              <w:right w:val="single" w:sz="8" w:space="0" w:color="auto"/>
            </w:tcBorders>
            <w:noWrap/>
            <w:vAlign w:val="bottom"/>
          </w:tcPr>
          <w:p w:rsidR="00C81B24" w:rsidRPr="00C81B24" w:rsidRDefault="00C81B24" w:rsidP="00CE5850">
            <w:pPr>
              <w:ind w:firstLineChars="1000" w:firstLine="2000"/>
              <w:jc w:val="right"/>
              <w:rPr>
                <w:kern w:val="0"/>
                <w:sz w:val="20"/>
              </w:rPr>
            </w:pPr>
            <w:r w:rsidRPr="00C81B24">
              <w:rPr>
                <w:kern w:val="0"/>
                <w:sz w:val="20"/>
              </w:rPr>
              <w:t>2,992</w:t>
            </w:r>
          </w:p>
        </w:tc>
      </w:tr>
      <w:tr w:rsidR="00C81B24" w:rsidRPr="00C81B24" w:rsidTr="00526AD9">
        <w:trPr>
          <w:trHeight w:val="225"/>
        </w:trPr>
        <w:tc>
          <w:tcPr>
            <w:tcW w:w="1960" w:type="dxa"/>
            <w:tcBorders>
              <w:top w:val="nil"/>
              <w:left w:val="single" w:sz="8" w:space="0" w:color="auto"/>
              <w:bottom w:val="nil"/>
              <w:right w:val="single" w:sz="4" w:space="0" w:color="auto"/>
            </w:tcBorders>
            <w:noWrap/>
            <w:vAlign w:val="bottom"/>
          </w:tcPr>
          <w:p w:rsidR="00C81B24" w:rsidRPr="00C81B24" w:rsidRDefault="00C81B24" w:rsidP="00CE5850">
            <w:pPr>
              <w:rPr>
                <w:kern w:val="0"/>
                <w:sz w:val="20"/>
              </w:rPr>
            </w:pPr>
            <w:r w:rsidRPr="00C81B24">
              <w:rPr>
                <w:kern w:val="0"/>
                <w:sz w:val="20"/>
              </w:rPr>
              <w:t>Massachusetts</w:t>
            </w:r>
          </w:p>
        </w:tc>
        <w:tc>
          <w:tcPr>
            <w:tcW w:w="3340" w:type="dxa"/>
            <w:tcBorders>
              <w:top w:val="nil"/>
              <w:left w:val="nil"/>
              <w:bottom w:val="nil"/>
              <w:right w:val="single" w:sz="4" w:space="0" w:color="auto"/>
            </w:tcBorders>
            <w:noWrap/>
            <w:vAlign w:val="bottom"/>
          </w:tcPr>
          <w:p w:rsidR="00C81B24" w:rsidRPr="00C81B24" w:rsidRDefault="00C81B24" w:rsidP="00CE5850">
            <w:pPr>
              <w:ind w:firstLineChars="700" w:firstLine="1400"/>
              <w:jc w:val="right"/>
              <w:rPr>
                <w:kern w:val="0"/>
                <w:sz w:val="20"/>
              </w:rPr>
            </w:pPr>
            <w:r w:rsidRPr="00C81B24">
              <w:rPr>
                <w:kern w:val="0"/>
                <w:sz w:val="20"/>
              </w:rPr>
              <w:t>4,006</w:t>
            </w:r>
          </w:p>
        </w:tc>
        <w:tc>
          <w:tcPr>
            <w:tcW w:w="3340" w:type="dxa"/>
            <w:tcBorders>
              <w:top w:val="nil"/>
              <w:left w:val="nil"/>
              <w:bottom w:val="nil"/>
              <w:right w:val="single" w:sz="8" w:space="0" w:color="auto"/>
            </w:tcBorders>
            <w:noWrap/>
            <w:vAlign w:val="bottom"/>
          </w:tcPr>
          <w:p w:rsidR="00C81B24" w:rsidRPr="00C81B24" w:rsidRDefault="00C81B24" w:rsidP="00CE5850">
            <w:pPr>
              <w:ind w:firstLineChars="1000" w:firstLine="2000"/>
              <w:jc w:val="right"/>
              <w:rPr>
                <w:kern w:val="0"/>
                <w:sz w:val="20"/>
              </w:rPr>
            </w:pPr>
            <w:r w:rsidRPr="00C81B24">
              <w:rPr>
                <w:kern w:val="0"/>
                <w:sz w:val="20"/>
              </w:rPr>
              <w:t>3,084</w:t>
            </w:r>
          </w:p>
        </w:tc>
      </w:tr>
      <w:tr w:rsidR="00C81B24" w:rsidRPr="00C81B24" w:rsidTr="00526AD9">
        <w:trPr>
          <w:trHeight w:val="225"/>
        </w:trPr>
        <w:tc>
          <w:tcPr>
            <w:tcW w:w="1960" w:type="dxa"/>
            <w:tcBorders>
              <w:top w:val="nil"/>
              <w:left w:val="single" w:sz="8" w:space="0" w:color="auto"/>
              <w:bottom w:val="single" w:sz="4" w:space="0" w:color="auto"/>
              <w:right w:val="single" w:sz="4" w:space="0" w:color="auto"/>
            </w:tcBorders>
            <w:noWrap/>
            <w:vAlign w:val="bottom"/>
          </w:tcPr>
          <w:p w:rsidR="00C81B24" w:rsidRPr="00C81B24" w:rsidRDefault="00C81B24" w:rsidP="00CE5850">
            <w:pPr>
              <w:rPr>
                <w:kern w:val="0"/>
                <w:sz w:val="20"/>
              </w:rPr>
            </w:pPr>
            <w:r w:rsidRPr="00C81B24">
              <w:rPr>
                <w:kern w:val="0"/>
                <w:sz w:val="20"/>
              </w:rPr>
              <w:t>Michigan</w:t>
            </w:r>
          </w:p>
        </w:tc>
        <w:tc>
          <w:tcPr>
            <w:tcW w:w="3340" w:type="dxa"/>
            <w:tcBorders>
              <w:top w:val="nil"/>
              <w:left w:val="nil"/>
              <w:bottom w:val="single" w:sz="4" w:space="0" w:color="auto"/>
              <w:right w:val="single" w:sz="4" w:space="0" w:color="auto"/>
            </w:tcBorders>
            <w:noWrap/>
            <w:vAlign w:val="bottom"/>
          </w:tcPr>
          <w:p w:rsidR="00C81B24" w:rsidRPr="00C81B24" w:rsidRDefault="00C81B24" w:rsidP="00CE5850">
            <w:pPr>
              <w:ind w:firstLineChars="700" w:firstLine="1400"/>
              <w:jc w:val="right"/>
              <w:rPr>
                <w:kern w:val="0"/>
                <w:sz w:val="20"/>
              </w:rPr>
            </w:pPr>
            <w:r w:rsidRPr="00C81B24">
              <w:rPr>
                <w:kern w:val="0"/>
                <w:sz w:val="20"/>
              </w:rPr>
              <w:t>5,332</w:t>
            </w:r>
          </w:p>
        </w:tc>
        <w:tc>
          <w:tcPr>
            <w:tcW w:w="3340" w:type="dxa"/>
            <w:tcBorders>
              <w:top w:val="nil"/>
              <w:left w:val="nil"/>
              <w:bottom w:val="single" w:sz="4" w:space="0" w:color="auto"/>
              <w:right w:val="single" w:sz="8" w:space="0" w:color="auto"/>
            </w:tcBorders>
            <w:noWrap/>
            <w:vAlign w:val="bottom"/>
          </w:tcPr>
          <w:p w:rsidR="00C81B24" w:rsidRPr="00C81B24" w:rsidRDefault="00C81B24" w:rsidP="00CE5850">
            <w:pPr>
              <w:ind w:firstLineChars="1000" w:firstLine="2000"/>
              <w:jc w:val="right"/>
              <w:rPr>
                <w:kern w:val="0"/>
                <w:sz w:val="20"/>
              </w:rPr>
            </w:pPr>
            <w:r w:rsidRPr="00C81B24">
              <w:rPr>
                <w:kern w:val="0"/>
                <w:sz w:val="20"/>
              </w:rPr>
              <w:t>4,036</w:t>
            </w:r>
          </w:p>
        </w:tc>
      </w:tr>
      <w:tr w:rsidR="00C81B24" w:rsidRPr="00C81B24" w:rsidTr="00526AD9">
        <w:trPr>
          <w:trHeight w:val="225"/>
        </w:trPr>
        <w:tc>
          <w:tcPr>
            <w:tcW w:w="1960" w:type="dxa"/>
            <w:tcBorders>
              <w:top w:val="nil"/>
              <w:left w:val="single" w:sz="8" w:space="0" w:color="auto"/>
              <w:bottom w:val="nil"/>
              <w:right w:val="single" w:sz="4" w:space="0" w:color="auto"/>
            </w:tcBorders>
            <w:noWrap/>
            <w:vAlign w:val="bottom"/>
          </w:tcPr>
          <w:p w:rsidR="00C81B24" w:rsidRPr="00C81B24" w:rsidRDefault="00C81B24" w:rsidP="00CE5850">
            <w:pPr>
              <w:rPr>
                <w:kern w:val="0"/>
                <w:sz w:val="20"/>
              </w:rPr>
            </w:pPr>
            <w:r w:rsidRPr="00C81B24">
              <w:rPr>
                <w:kern w:val="0"/>
                <w:sz w:val="20"/>
              </w:rPr>
              <w:t>Minnesota</w:t>
            </w:r>
          </w:p>
        </w:tc>
        <w:tc>
          <w:tcPr>
            <w:tcW w:w="3340" w:type="dxa"/>
            <w:tcBorders>
              <w:top w:val="nil"/>
              <w:left w:val="nil"/>
              <w:bottom w:val="nil"/>
              <w:right w:val="single" w:sz="4" w:space="0" w:color="auto"/>
            </w:tcBorders>
            <w:noWrap/>
            <w:vAlign w:val="bottom"/>
          </w:tcPr>
          <w:p w:rsidR="00C81B24" w:rsidRPr="00C81B24" w:rsidRDefault="00C81B24" w:rsidP="00CE5850">
            <w:pPr>
              <w:ind w:firstLineChars="700" w:firstLine="1400"/>
              <w:jc w:val="right"/>
              <w:rPr>
                <w:kern w:val="0"/>
                <w:sz w:val="20"/>
              </w:rPr>
            </w:pPr>
            <w:r w:rsidRPr="00C81B24">
              <w:rPr>
                <w:kern w:val="0"/>
                <w:sz w:val="20"/>
              </w:rPr>
              <w:t>3,135</w:t>
            </w:r>
          </w:p>
        </w:tc>
        <w:tc>
          <w:tcPr>
            <w:tcW w:w="3340" w:type="dxa"/>
            <w:tcBorders>
              <w:top w:val="nil"/>
              <w:left w:val="nil"/>
              <w:bottom w:val="nil"/>
              <w:right w:val="single" w:sz="8" w:space="0" w:color="auto"/>
            </w:tcBorders>
            <w:noWrap/>
            <w:vAlign w:val="bottom"/>
          </w:tcPr>
          <w:p w:rsidR="00C81B24" w:rsidRPr="00C81B24" w:rsidRDefault="00C81B24" w:rsidP="00CE5850">
            <w:pPr>
              <w:ind w:firstLineChars="1000" w:firstLine="2000"/>
              <w:jc w:val="right"/>
              <w:rPr>
                <w:kern w:val="0"/>
                <w:sz w:val="20"/>
              </w:rPr>
            </w:pPr>
            <w:r w:rsidRPr="00C81B24">
              <w:rPr>
                <w:kern w:val="0"/>
                <w:sz w:val="20"/>
              </w:rPr>
              <w:t>2,367</w:t>
            </w:r>
          </w:p>
        </w:tc>
      </w:tr>
      <w:tr w:rsidR="00C81B24" w:rsidRPr="00C81B24" w:rsidTr="00526AD9">
        <w:trPr>
          <w:trHeight w:val="225"/>
        </w:trPr>
        <w:tc>
          <w:tcPr>
            <w:tcW w:w="1960" w:type="dxa"/>
            <w:tcBorders>
              <w:top w:val="nil"/>
              <w:left w:val="single" w:sz="8" w:space="0" w:color="auto"/>
              <w:bottom w:val="nil"/>
              <w:right w:val="single" w:sz="4" w:space="0" w:color="auto"/>
            </w:tcBorders>
            <w:noWrap/>
            <w:vAlign w:val="bottom"/>
          </w:tcPr>
          <w:p w:rsidR="00C81B24" w:rsidRPr="00C81B24" w:rsidRDefault="00C81B24" w:rsidP="00CE5850">
            <w:pPr>
              <w:rPr>
                <w:kern w:val="0"/>
                <w:sz w:val="20"/>
              </w:rPr>
            </w:pPr>
            <w:r w:rsidRPr="00C81B24">
              <w:rPr>
                <w:kern w:val="0"/>
                <w:sz w:val="20"/>
              </w:rPr>
              <w:t>Mississippi</w:t>
            </w:r>
          </w:p>
        </w:tc>
        <w:tc>
          <w:tcPr>
            <w:tcW w:w="3340" w:type="dxa"/>
            <w:tcBorders>
              <w:top w:val="nil"/>
              <w:left w:val="nil"/>
              <w:bottom w:val="nil"/>
              <w:right w:val="single" w:sz="4" w:space="0" w:color="auto"/>
            </w:tcBorders>
            <w:noWrap/>
            <w:vAlign w:val="bottom"/>
          </w:tcPr>
          <w:p w:rsidR="00C81B24" w:rsidRPr="00C81B24" w:rsidRDefault="00C81B24" w:rsidP="00CE5850">
            <w:pPr>
              <w:ind w:firstLineChars="700" w:firstLine="1400"/>
              <w:jc w:val="right"/>
              <w:rPr>
                <w:kern w:val="0"/>
                <w:sz w:val="20"/>
              </w:rPr>
            </w:pPr>
            <w:r w:rsidRPr="00C81B24">
              <w:rPr>
                <w:kern w:val="0"/>
                <w:sz w:val="20"/>
              </w:rPr>
              <w:t>1,541</w:t>
            </w:r>
          </w:p>
        </w:tc>
        <w:tc>
          <w:tcPr>
            <w:tcW w:w="3340" w:type="dxa"/>
            <w:tcBorders>
              <w:top w:val="nil"/>
              <w:left w:val="nil"/>
              <w:bottom w:val="nil"/>
              <w:right w:val="single" w:sz="8" w:space="0" w:color="auto"/>
            </w:tcBorders>
            <w:noWrap/>
            <w:vAlign w:val="bottom"/>
          </w:tcPr>
          <w:p w:rsidR="00C81B24" w:rsidRPr="00C81B24" w:rsidRDefault="00C81B24" w:rsidP="00CE5850">
            <w:pPr>
              <w:ind w:firstLineChars="1000" w:firstLine="2000"/>
              <w:jc w:val="right"/>
              <w:rPr>
                <w:kern w:val="0"/>
                <w:sz w:val="20"/>
              </w:rPr>
            </w:pPr>
            <w:r w:rsidRPr="00C81B24">
              <w:rPr>
                <w:kern w:val="0"/>
                <w:sz w:val="20"/>
              </w:rPr>
              <w:t>1,245</w:t>
            </w:r>
          </w:p>
        </w:tc>
      </w:tr>
      <w:tr w:rsidR="00C81B24" w:rsidRPr="00C81B24" w:rsidTr="00526AD9">
        <w:trPr>
          <w:trHeight w:val="225"/>
        </w:trPr>
        <w:tc>
          <w:tcPr>
            <w:tcW w:w="1960" w:type="dxa"/>
            <w:tcBorders>
              <w:top w:val="nil"/>
              <w:left w:val="single" w:sz="8" w:space="0" w:color="auto"/>
              <w:bottom w:val="nil"/>
              <w:right w:val="single" w:sz="4" w:space="0" w:color="auto"/>
            </w:tcBorders>
            <w:noWrap/>
            <w:vAlign w:val="bottom"/>
          </w:tcPr>
          <w:p w:rsidR="00C81B24" w:rsidRPr="00C81B24" w:rsidRDefault="00C81B24" w:rsidP="00CE5850">
            <w:pPr>
              <w:rPr>
                <w:kern w:val="0"/>
                <w:sz w:val="20"/>
              </w:rPr>
            </w:pPr>
            <w:r w:rsidRPr="00C81B24">
              <w:rPr>
                <w:kern w:val="0"/>
                <w:sz w:val="20"/>
              </w:rPr>
              <w:t>Missouri</w:t>
            </w:r>
          </w:p>
        </w:tc>
        <w:tc>
          <w:tcPr>
            <w:tcW w:w="3340" w:type="dxa"/>
            <w:tcBorders>
              <w:top w:val="nil"/>
              <w:left w:val="nil"/>
              <w:bottom w:val="nil"/>
              <w:right w:val="single" w:sz="4" w:space="0" w:color="auto"/>
            </w:tcBorders>
            <w:noWrap/>
            <w:vAlign w:val="bottom"/>
          </w:tcPr>
          <w:p w:rsidR="00C81B24" w:rsidRPr="00C81B24" w:rsidRDefault="00C81B24" w:rsidP="00CE5850">
            <w:pPr>
              <w:ind w:firstLineChars="700" w:firstLine="1400"/>
              <w:jc w:val="right"/>
              <w:rPr>
                <w:kern w:val="0"/>
                <w:sz w:val="20"/>
              </w:rPr>
            </w:pPr>
            <w:r w:rsidRPr="00C81B24">
              <w:rPr>
                <w:kern w:val="0"/>
                <w:sz w:val="20"/>
              </w:rPr>
              <w:t>3,544</w:t>
            </w:r>
          </w:p>
        </w:tc>
        <w:tc>
          <w:tcPr>
            <w:tcW w:w="3340" w:type="dxa"/>
            <w:tcBorders>
              <w:top w:val="nil"/>
              <w:left w:val="nil"/>
              <w:bottom w:val="nil"/>
              <w:right w:val="single" w:sz="8" w:space="0" w:color="auto"/>
            </w:tcBorders>
            <w:noWrap/>
            <w:vAlign w:val="bottom"/>
          </w:tcPr>
          <w:p w:rsidR="00C81B24" w:rsidRPr="00C81B24" w:rsidRDefault="00C81B24" w:rsidP="00CE5850">
            <w:pPr>
              <w:ind w:firstLineChars="1000" w:firstLine="2000"/>
              <w:jc w:val="right"/>
              <w:rPr>
                <w:kern w:val="0"/>
                <w:sz w:val="20"/>
              </w:rPr>
            </w:pPr>
            <w:r w:rsidRPr="00C81B24">
              <w:rPr>
                <w:kern w:val="0"/>
                <w:sz w:val="20"/>
              </w:rPr>
              <w:t>2,656</w:t>
            </w:r>
          </w:p>
        </w:tc>
      </w:tr>
      <w:tr w:rsidR="00C81B24" w:rsidRPr="00C81B24" w:rsidTr="00526AD9">
        <w:trPr>
          <w:trHeight w:val="225"/>
        </w:trPr>
        <w:tc>
          <w:tcPr>
            <w:tcW w:w="1960" w:type="dxa"/>
            <w:tcBorders>
              <w:top w:val="nil"/>
              <w:left w:val="single" w:sz="8" w:space="0" w:color="auto"/>
              <w:bottom w:val="nil"/>
              <w:right w:val="single" w:sz="4" w:space="0" w:color="auto"/>
            </w:tcBorders>
            <w:noWrap/>
            <w:vAlign w:val="bottom"/>
          </w:tcPr>
          <w:p w:rsidR="00C81B24" w:rsidRPr="00C81B24" w:rsidRDefault="00C81B24" w:rsidP="00CE5850">
            <w:pPr>
              <w:rPr>
                <w:kern w:val="0"/>
                <w:sz w:val="20"/>
              </w:rPr>
            </w:pPr>
            <w:r w:rsidRPr="00C81B24">
              <w:rPr>
                <w:kern w:val="0"/>
                <w:sz w:val="20"/>
              </w:rPr>
              <w:t>Montana</w:t>
            </w:r>
          </w:p>
        </w:tc>
        <w:tc>
          <w:tcPr>
            <w:tcW w:w="3340" w:type="dxa"/>
            <w:tcBorders>
              <w:top w:val="nil"/>
              <w:left w:val="nil"/>
              <w:bottom w:val="nil"/>
              <w:right w:val="single" w:sz="4" w:space="0" w:color="auto"/>
            </w:tcBorders>
            <w:noWrap/>
            <w:vAlign w:val="bottom"/>
          </w:tcPr>
          <w:p w:rsidR="00C81B24" w:rsidRPr="00C81B24" w:rsidRDefault="00C81B24" w:rsidP="00CE5850">
            <w:pPr>
              <w:ind w:firstLineChars="700" w:firstLine="1400"/>
              <w:jc w:val="right"/>
              <w:rPr>
                <w:kern w:val="0"/>
                <w:sz w:val="20"/>
              </w:rPr>
            </w:pPr>
            <w:r w:rsidRPr="00C81B24">
              <w:rPr>
                <w:kern w:val="0"/>
                <w:sz w:val="20"/>
              </w:rPr>
              <w:t>*</w:t>
            </w:r>
          </w:p>
        </w:tc>
        <w:tc>
          <w:tcPr>
            <w:tcW w:w="3340" w:type="dxa"/>
            <w:tcBorders>
              <w:top w:val="nil"/>
              <w:left w:val="nil"/>
              <w:bottom w:val="nil"/>
              <w:right w:val="single" w:sz="8" w:space="0" w:color="auto"/>
            </w:tcBorders>
            <w:noWrap/>
            <w:vAlign w:val="bottom"/>
          </w:tcPr>
          <w:p w:rsidR="00C81B24" w:rsidRPr="00C81B24" w:rsidRDefault="00C81B24" w:rsidP="00CE5850">
            <w:pPr>
              <w:ind w:firstLineChars="1000" w:firstLine="2000"/>
              <w:jc w:val="right"/>
              <w:rPr>
                <w:kern w:val="0"/>
                <w:sz w:val="20"/>
              </w:rPr>
            </w:pPr>
            <w:r w:rsidRPr="00C81B24">
              <w:rPr>
                <w:kern w:val="0"/>
                <w:sz w:val="20"/>
              </w:rPr>
              <w:t>*</w:t>
            </w:r>
          </w:p>
        </w:tc>
      </w:tr>
      <w:tr w:rsidR="00C81B24" w:rsidRPr="00C81B24" w:rsidTr="00526AD9">
        <w:trPr>
          <w:trHeight w:val="225"/>
        </w:trPr>
        <w:tc>
          <w:tcPr>
            <w:tcW w:w="1960" w:type="dxa"/>
            <w:tcBorders>
              <w:top w:val="nil"/>
              <w:left w:val="single" w:sz="8" w:space="0" w:color="auto"/>
              <w:bottom w:val="single" w:sz="4" w:space="0" w:color="auto"/>
              <w:right w:val="single" w:sz="4" w:space="0" w:color="auto"/>
            </w:tcBorders>
            <w:noWrap/>
            <w:vAlign w:val="bottom"/>
          </w:tcPr>
          <w:p w:rsidR="00C81B24" w:rsidRPr="00C81B24" w:rsidRDefault="00C81B24" w:rsidP="00CE5850">
            <w:pPr>
              <w:rPr>
                <w:kern w:val="0"/>
                <w:sz w:val="20"/>
              </w:rPr>
            </w:pPr>
            <w:r w:rsidRPr="00C81B24">
              <w:rPr>
                <w:kern w:val="0"/>
                <w:sz w:val="20"/>
              </w:rPr>
              <w:t>Nebraska</w:t>
            </w:r>
          </w:p>
        </w:tc>
        <w:tc>
          <w:tcPr>
            <w:tcW w:w="3340" w:type="dxa"/>
            <w:tcBorders>
              <w:top w:val="nil"/>
              <w:left w:val="nil"/>
              <w:bottom w:val="single" w:sz="4" w:space="0" w:color="auto"/>
              <w:right w:val="single" w:sz="4" w:space="0" w:color="auto"/>
            </w:tcBorders>
            <w:noWrap/>
            <w:vAlign w:val="bottom"/>
          </w:tcPr>
          <w:p w:rsidR="00C81B24" w:rsidRPr="00C81B24" w:rsidRDefault="00C81B24" w:rsidP="00CE5850">
            <w:pPr>
              <w:ind w:firstLineChars="700" w:firstLine="1400"/>
              <w:jc w:val="right"/>
              <w:rPr>
                <w:kern w:val="0"/>
                <w:sz w:val="20"/>
              </w:rPr>
            </w:pPr>
            <w:r w:rsidRPr="00C81B24">
              <w:rPr>
                <w:kern w:val="0"/>
                <w:sz w:val="20"/>
              </w:rPr>
              <w:t>1,011</w:t>
            </w:r>
          </w:p>
        </w:tc>
        <w:tc>
          <w:tcPr>
            <w:tcW w:w="3340" w:type="dxa"/>
            <w:tcBorders>
              <w:top w:val="nil"/>
              <w:left w:val="nil"/>
              <w:bottom w:val="single" w:sz="4" w:space="0" w:color="auto"/>
              <w:right w:val="single" w:sz="8" w:space="0" w:color="auto"/>
            </w:tcBorders>
            <w:noWrap/>
            <w:vAlign w:val="bottom"/>
          </w:tcPr>
          <w:p w:rsidR="00C81B24" w:rsidRPr="00C81B24" w:rsidRDefault="00C81B24" w:rsidP="00CE5850">
            <w:pPr>
              <w:ind w:firstLineChars="1000" w:firstLine="2000"/>
              <w:jc w:val="right"/>
              <w:rPr>
                <w:kern w:val="0"/>
                <w:sz w:val="20"/>
              </w:rPr>
            </w:pPr>
            <w:r w:rsidRPr="00C81B24">
              <w:rPr>
                <w:kern w:val="0"/>
                <w:sz w:val="20"/>
              </w:rPr>
              <w:t>686</w:t>
            </w:r>
          </w:p>
        </w:tc>
      </w:tr>
      <w:tr w:rsidR="00C81B24" w:rsidRPr="00C81B24" w:rsidTr="00526AD9">
        <w:trPr>
          <w:trHeight w:val="225"/>
        </w:trPr>
        <w:tc>
          <w:tcPr>
            <w:tcW w:w="1960" w:type="dxa"/>
            <w:tcBorders>
              <w:top w:val="nil"/>
              <w:left w:val="single" w:sz="8" w:space="0" w:color="auto"/>
              <w:bottom w:val="nil"/>
              <w:right w:val="single" w:sz="4" w:space="0" w:color="auto"/>
            </w:tcBorders>
            <w:noWrap/>
            <w:vAlign w:val="bottom"/>
          </w:tcPr>
          <w:p w:rsidR="00C81B24" w:rsidRPr="00C81B24" w:rsidRDefault="00C81B24" w:rsidP="00CE5850">
            <w:pPr>
              <w:rPr>
                <w:kern w:val="0"/>
                <w:sz w:val="20"/>
              </w:rPr>
            </w:pPr>
            <w:r w:rsidRPr="00C81B24">
              <w:rPr>
                <w:kern w:val="0"/>
                <w:sz w:val="20"/>
              </w:rPr>
              <w:t>Nevada</w:t>
            </w:r>
          </w:p>
        </w:tc>
        <w:tc>
          <w:tcPr>
            <w:tcW w:w="3340" w:type="dxa"/>
            <w:tcBorders>
              <w:top w:val="nil"/>
              <w:left w:val="nil"/>
              <w:bottom w:val="nil"/>
              <w:right w:val="single" w:sz="4" w:space="0" w:color="auto"/>
            </w:tcBorders>
            <w:noWrap/>
            <w:vAlign w:val="bottom"/>
          </w:tcPr>
          <w:p w:rsidR="00C81B24" w:rsidRPr="00C81B24" w:rsidRDefault="00C81B24" w:rsidP="00CE5850">
            <w:pPr>
              <w:ind w:firstLineChars="700" w:firstLine="1400"/>
              <w:jc w:val="right"/>
              <w:rPr>
                <w:kern w:val="0"/>
                <w:sz w:val="20"/>
              </w:rPr>
            </w:pPr>
            <w:r w:rsidRPr="00C81B24">
              <w:rPr>
                <w:kern w:val="0"/>
                <w:sz w:val="20"/>
              </w:rPr>
              <w:t>1,703</w:t>
            </w:r>
          </w:p>
        </w:tc>
        <w:tc>
          <w:tcPr>
            <w:tcW w:w="3340" w:type="dxa"/>
            <w:tcBorders>
              <w:top w:val="nil"/>
              <w:left w:val="nil"/>
              <w:bottom w:val="nil"/>
              <w:right w:val="single" w:sz="8" w:space="0" w:color="auto"/>
            </w:tcBorders>
            <w:noWrap/>
            <w:vAlign w:val="bottom"/>
          </w:tcPr>
          <w:p w:rsidR="00C81B24" w:rsidRPr="00C81B24" w:rsidRDefault="00C81B24" w:rsidP="00CE5850">
            <w:pPr>
              <w:ind w:firstLineChars="1000" w:firstLine="2000"/>
              <w:jc w:val="right"/>
              <w:rPr>
                <w:kern w:val="0"/>
                <w:sz w:val="20"/>
              </w:rPr>
            </w:pPr>
            <w:r w:rsidRPr="00C81B24">
              <w:rPr>
                <w:kern w:val="0"/>
                <w:sz w:val="20"/>
              </w:rPr>
              <w:t>1,388</w:t>
            </w:r>
          </w:p>
        </w:tc>
      </w:tr>
      <w:tr w:rsidR="00C81B24" w:rsidRPr="00C81B24" w:rsidTr="00526AD9">
        <w:trPr>
          <w:trHeight w:val="225"/>
        </w:trPr>
        <w:tc>
          <w:tcPr>
            <w:tcW w:w="1960" w:type="dxa"/>
            <w:tcBorders>
              <w:top w:val="nil"/>
              <w:left w:val="single" w:sz="8" w:space="0" w:color="auto"/>
              <w:bottom w:val="nil"/>
              <w:right w:val="single" w:sz="4" w:space="0" w:color="auto"/>
            </w:tcBorders>
            <w:noWrap/>
            <w:vAlign w:val="bottom"/>
          </w:tcPr>
          <w:p w:rsidR="00C81B24" w:rsidRPr="00C81B24" w:rsidRDefault="00C81B24" w:rsidP="00CE5850">
            <w:pPr>
              <w:rPr>
                <w:kern w:val="0"/>
                <w:sz w:val="20"/>
              </w:rPr>
            </w:pPr>
            <w:r w:rsidRPr="00C81B24">
              <w:rPr>
                <w:kern w:val="0"/>
                <w:sz w:val="20"/>
              </w:rPr>
              <w:t>New Hampshire</w:t>
            </w:r>
          </w:p>
        </w:tc>
        <w:tc>
          <w:tcPr>
            <w:tcW w:w="3340" w:type="dxa"/>
            <w:tcBorders>
              <w:top w:val="nil"/>
              <w:left w:val="nil"/>
              <w:bottom w:val="nil"/>
              <w:right w:val="single" w:sz="4" w:space="0" w:color="auto"/>
            </w:tcBorders>
            <w:noWrap/>
            <w:vAlign w:val="bottom"/>
          </w:tcPr>
          <w:p w:rsidR="00C81B24" w:rsidRPr="00C81B24" w:rsidRDefault="00C81B24" w:rsidP="00CE5850">
            <w:pPr>
              <w:ind w:firstLineChars="700" w:firstLine="1400"/>
              <w:jc w:val="right"/>
              <w:rPr>
                <w:kern w:val="0"/>
                <w:sz w:val="20"/>
              </w:rPr>
            </w:pPr>
            <w:r w:rsidRPr="00C81B24">
              <w:rPr>
                <w:kern w:val="0"/>
                <w:sz w:val="20"/>
              </w:rPr>
              <w:t>691</w:t>
            </w:r>
          </w:p>
        </w:tc>
        <w:tc>
          <w:tcPr>
            <w:tcW w:w="3340" w:type="dxa"/>
            <w:tcBorders>
              <w:top w:val="nil"/>
              <w:left w:val="nil"/>
              <w:bottom w:val="nil"/>
              <w:right w:val="single" w:sz="8" w:space="0" w:color="auto"/>
            </w:tcBorders>
            <w:noWrap/>
            <w:vAlign w:val="bottom"/>
          </w:tcPr>
          <w:p w:rsidR="00C81B24" w:rsidRPr="00C81B24" w:rsidRDefault="00C81B24" w:rsidP="00CE5850">
            <w:pPr>
              <w:ind w:firstLineChars="1000" w:firstLine="2000"/>
              <w:jc w:val="right"/>
              <w:rPr>
                <w:kern w:val="0"/>
                <w:sz w:val="20"/>
              </w:rPr>
            </w:pPr>
            <w:r w:rsidRPr="00C81B24">
              <w:rPr>
                <w:kern w:val="0"/>
                <w:sz w:val="20"/>
              </w:rPr>
              <w:t>482</w:t>
            </w:r>
          </w:p>
        </w:tc>
      </w:tr>
      <w:tr w:rsidR="00C81B24" w:rsidRPr="00C81B24" w:rsidTr="00526AD9">
        <w:trPr>
          <w:trHeight w:val="225"/>
        </w:trPr>
        <w:tc>
          <w:tcPr>
            <w:tcW w:w="1960" w:type="dxa"/>
            <w:tcBorders>
              <w:top w:val="nil"/>
              <w:left w:val="single" w:sz="8" w:space="0" w:color="auto"/>
              <w:bottom w:val="nil"/>
              <w:right w:val="single" w:sz="4" w:space="0" w:color="auto"/>
            </w:tcBorders>
            <w:noWrap/>
            <w:vAlign w:val="bottom"/>
          </w:tcPr>
          <w:p w:rsidR="00C81B24" w:rsidRPr="00C81B24" w:rsidRDefault="00C81B24" w:rsidP="00CE5850">
            <w:pPr>
              <w:rPr>
                <w:kern w:val="0"/>
                <w:sz w:val="20"/>
              </w:rPr>
            </w:pPr>
            <w:r w:rsidRPr="00C81B24">
              <w:rPr>
                <w:kern w:val="0"/>
                <w:sz w:val="20"/>
              </w:rPr>
              <w:t>New Jersey</w:t>
            </w:r>
          </w:p>
        </w:tc>
        <w:tc>
          <w:tcPr>
            <w:tcW w:w="3340" w:type="dxa"/>
            <w:tcBorders>
              <w:top w:val="nil"/>
              <w:left w:val="nil"/>
              <w:bottom w:val="nil"/>
              <w:right w:val="single" w:sz="4" w:space="0" w:color="auto"/>
            </w:tcBorders>
            <w:noWrap/>
            <w:vAlign w:val="bottom"/>
          </w:tcPr>
          <w:p w:rsidR="00C81B24" w:rsidRPr="00C81B24" w:rsidRDefault="00C81B24" w:rsidP="00CE5850">
            <w:pPr>
              <w:ind w:firstLineChars="700" w:firstLine="1400"/>
              <w:jc w:val="right"/>
              <w:rPr>
                <w:kern w:val="0"/>
                <w:sz w:val="20"/>
              </w:rPr>
            </w:pPr>
            <w:r w:rsidRPr="00C81B24">
              <w:rPr>
                <w:kern w:val="0"/>
                <w:sz w:val="20"/>
              </w:rPr>
              <w:t>5,753</w:t>
            </w:r>
          </w:p>
        </w:tc>
        <w:tc>
          <w:tcPr>
            <w:tcW w:w="3340" w:type="dxa"/>
            <w:tcBorders>
              <w:top w:val="nil"/>
              <w:left w:val="nil"/>
              <w:bottom w:val="nil"/>
              <w:right w:val="single" w:sz="8" w:space="0" w:color="auto"/>
            </w:tcBorders>
            <w:noWrap/>
            <w:vAlign w:val="bottom"/>
          </w:tcPr>
          <w:p w:rsidR="00C81B24" w:rsidRPr="00C81B24" w:rsidRDefault="00C81B24" w:rsidP="00CE5850">
            <w:pPr>
              <w:ind w:firstLineChars="1000" w:firstLine="2000"/>
              <w:jc w:val="right"/>
              <w:rPr>
                <w:kern w:val="0"/>
                <w:sz w:val="20"/>
              </w:rPr>
            </w:pPr>
            <w:r w:rsidRPr="00C81B24">
              <w:rPr>
                <w:kern w:val="0"/>
                <w:sz w:val="20"/>
              </w:rPr>
              <w:t>4,379</w:t>
            </w:r>
          </w:p>
        </w:tc>
      </w:tr>
      <w:tr w:rsidR="00C81B24" w:rsidRPr="00C81B24" w:rsidTr="00526AD9">
        <w:trPr>
          <w:trHeight w:val="225"/>
        </w:trPr>
        <w:tc>
          <w:tcPr>
            <w:tcW w:w="1960" w:type="dxa"/>
            <w:tcBorders>
              <w:top w:val="nil"/>
              <w:left w:val="single" w:sz="8" w:space="0" w:color="auto"/>
              <w:bottom w:val="nil"/>
              <w:right w:val="single" w:sz="4" w:space="0" w:color="auto"/>
            </w:tcBorders>
            <w:noWrap/>
            <w:vAlign w:val="bottom"/>
          </w:tcPr>
          <w:p w:rsidR="00C81B24" w:rsidRPr="00C81B24" w:rsidRDefault="00C81B24" w:rsidP="00CE5850">
            <w:pPr>
              <w:rPr>
                <w:kern w:val="0"/>
                <w:sz w:val="20"/>
              </w:rPr>
            </w:pPr>
            <w:r w:rsidRPr="00C81B24">
              <w:rPr>
                <w:kern w:val="0"/>
                <w:sz w:val="20"/>
              </w:rPr>
              <w:t>New Mexico</w:t>
            </w:r>
          </w:p>
        </w:tc>
        <w:tc>
          <w:tcPr>
            <w:tcW w:w="3340" w:type="dxa"/>
            <w:tcBorders>
              <w:top w:val="nil"/>
              <w:left w:val="nil"/>
              <w:bottom w:val="nil"/>
              <w:right w:val="single" w:sz="4" w:space="0" w:color="auto"/>
            </w:tcBorders>
            <w:noWrap/>
            <w:vAlign w:val="bottom"/>
          </w:tcPr>
          <w:p w:rsidR="00C81B24" w:rsidRPr="00C81B24" w:rsidRDefault="00C81B24" w:rsidP="00CE5850">
            <w:pPr>
              <w:ind w:firstLineChars="700" w:firstLine="1400"/>
              <w:jc w:val="right"/>
              <w:rPr>
                <w:kern w:val="0"/>
                <w:sz w:val="20"/>
              </w:rPr>
            </w:pPr>
            <w:r w:rsidRPr="00C81B24">
              <w:rPr>
                <w:kern w:val="0"/>
                <w:sz w:val="20"/>
              </w:rPr>
              <w:t>1,029</w:t>
            </w:r>
          </w:p>
        </w:tc>
        <w:tc>
          <w:tcPr>
            <w:tcW w:w="3340" w:type="dxa"/>
            <w:tcBorders>
              <w:top w:val="nil"/>
              <w:left w:val="nil"/>
              <w:bottom w:val="nil"/>
              <w:right w:val="single" w:sz="8" w:space="0" w:color="auto"/>
            </w:tcBorders>
            <w:noWrap/>
            <w:vAlign w:val="bottom"/>
          </w:tcPr>
          <w:p w:rsidR="00C81B24" w:rsidRPr="00C81B24" w:rsidRDefault="00C81B24" w:rsidP="00CE5850">
            <w:pPr>
              <w:ind w:firstLineChars="1000" w:firstLine="2000"/>
              <w:jc w:val="right"/>
              <w:rPr>
                <w:kern w:val="0"/>
                <w:sz w:val="20"/>
              </w:rPr>
            </w:pPr>
            <w:r w:rsidRPr="00C81B24">
              <w:rPr>
                <w:kern w:val="0"/>
                <w:sz w:val="20"/>
              </w:rPr>
              <w:t>782</w:t>
            </w:r>
          </w:p>
        </w:tc>
      </w:tr>
      <w:tr w:rsidR="00C81B24" w:rsidRPr="00C81B24" w:rsidTr="00526AD9">
        <w:trPr>
          <w:trHeight w:val="225"/>
        </w:trPr>
        <w:tc>
          <w:tcPr>
            <w:tcW w:w="1960" w:type="dxa"/>
            <w:tcBorders>
              <w:top w:val="nil"/>
              <w:left w:val="single" w:sz="8" w:space="0" w:color="auto"/>
              <w:bottom w:val="single" w:sz="4" w:space="0" w:color="auto"/>
              <w:right w:val="single" w:sz="4" w:space="0" w:color="auto"/>
            </w:tcBorders>
            <w:noWrap/>
            <w:vAlign w:val="bottom"/>
          </w:tcPr>
          <w:p w:rsidR="00C81B24" w:rsidRPr="00C81B24" w:rsidRDefault="00C81B24" w:rsidP="00CE5850">
            <w:pPr>
              <w:rPr>
                <w:kern w:val="0"/>
                <w:sz w:val="20"/>
              </w:rPr>
            </w:pPr>
            <w:r w:rsidRPr="00C81B24">
              <w:rPr>
                <w:kern w:val="0"/>
                <w:sz w:val="20"/>
              </w:rPr>
              <w:t>New York</w:t>
            </w:r>
          </w:p>
        </w:tc>
        <w:tc>
          <w:tcPr>
            <w:tcW w:w="3340" w:type="dxa"/>
            <w:tcBorders>
              <w:top w:val="nil"/>
              <w:left w:val="nil"/>
              <w:bottom w:val="single" w:sz="4" w:space="0" w:color="auto"/>
              <w:right w:val="single" w:sz="4" w:space="0" w:color="auto"/>
            </w:tcBorders>
            <w:noWrap/>
            <w:vAlign w:val="bottom"/>
          </w:tcPr>
          <w:p w:rsidR="00C81B24" w:rsidRPr="00C81B24" w:rsidRDefault="00C81B24" w:rsidP="00CE5850">
            <w:pPr>
              <w:ind w:firstLineChars="700" w:firstLine="1400"/>
              <w:jc w:val="right"/>
              <w:rPr>
                <w:kern w:val="0"/>
                <w:sz w:val="20"/>
              </w:rPr>
            </w:pPr>
            <w:r w:rsidRPr="00C81B24">
              <w:rPr>
                <w:kern w:val="0"/>
                <w:sz w:val="20"/>
              </w:rPr>
              <w:t>11,789</w:t>
            </w:r>
          </w:p>
        </w:tc>
        <w:tc>
          <w:tcPr>
            <w:tcW w:w="3340" w:type="dxa"/>
            <w:tcBorders>
              <w:top w:val="nil"/>
              <w:left w:val="nil"/>
              <w:bottom w:val="single" w:sz="4" w:space="0" w:color="auto"/>
              <w:right w:val="single" w:sz="8" w:space="0" w:color="auto"/>
            </w:tcBorders>
            <w:noWrap/>
            <w:vAlign w:val="bottom"/>
          </w:tcPr>
          <w:p w:rsidR="00C81B24" w:rsidRPr="00C81B24" w:rsidRDefault="00C81B24" w:rsidP="00CE5850">
            <w:pPr>
              <w:ind w:firstLineChars="1000" w:firstLine="2000"/>
              <w:jc w:val="right"/>
              <w:rPr>
                <w:kern w:val="0"/>
                <w:sz w:val="20"/>
              </w:rPr>
            </w:pPr>
            <w:r w:rsidRPr="00C81B24">
              <w:rPr>
                <w:kern w:val="0"/>
                <w:sz w:val="20"/>
              </w:rPr>
              <w:t>9,301</w:t>
            </w:r>
          </w:p>
        </w:tc>
      </w:tr>
      <w:tr w:rsidR="00C81B24" w:rsidRPr="00C81B24" w:rsidTr="00526AD9">
        <w:trPr>
          <w:trHeight w:val="225"/>
        </w:trPr>
        <w:tc>
          <w:tcPr>
            <w:tcW w:w="1960" w:type="dxa"/>
            <w:tcBorders>
              <w:top w:val="nil"/>
              <w:left w:val="single" w:sz="8" w:space="0" w:color="auto"/>
              <w:bottom w:val="nil"/>
              <w:right w:val="single" w:sz="4" w:space="0" w:color="auto"/>
            </w:tcBorders>
            <w:noWrap/>
            <w:vAlign w:val="bottom"/>
          </w:tcPr>
          <w:p w:rsidR="00C81B24" w:rsidRPr="00C81B24" w:rsidRDefault="00C81B24" w:rsidP="00CE5850">
            <w:pPr>
              <w:rPr>
                <w:kern w:val="0"/>
                <w:sz w:val="20"/>
              </w:rPr>
            </w:pPr>
            <w:r w:rsidRPr="00C81B24">
              <w:rPr>
                <w:kern w:val="0"/>
                <w:sz w:val="20"/>
              </w:rPr>
              <w:t>North Carolina</w:t>
            </w:r>
          </w:p>
        </w:tc>
        <w:tc>
          <w:tcPr>
            <w:tcW w:w="3340" w:type="dxa"/>
            <w:tcBorders>
              <w:top w:val="nil"/>
              <w:left w:val="nil"/>
              <w:bottom w:val="nil"/>
              <w:right w:val="single" w:sz="4" w:space="0" w:color="auto"/>
            </w:tcBorders>
            <w:noWrap/>
            <w:vAlign w:val="bottom"/>
          </w:tcPr>
          <w:p w:rsidR="00C81B24" w:rsidRPr="00C81B24" w:rsidRDefault="00C81B24" w:rsidP="00CE5850">
            <w:pPr>
              <w:ind w:firstLineChars="700" w:firstLine="1400"/>
              <w:jc w:val="right"/>
              <w:rPr>
                <w:kern w:val="0"/>
                <w:sz w:val="20"/>
              </w:rPr>
            </w:pPr>
            <w:r w:rsidRPr="00C81B24">
              <w:rPr>
                <w:kern w:val="0"/>
                <w:sz w:val="20"/>
              </w:rPr>
              <w:t>5,153</w:t>
            </w:r>
          </w:p>
        </w:tc>
        <w:tc>
          <w:tcPr>
            <w:tcW w:w="3340" w:type="dxa"/>
            <w:tcBorders>
              <w:top w:val="nil"/>
              <w:left w:val="nil"/>
              <w:bottom w:val="nil"/>
              <w:right w:val="single" w:sz="8" w:space="0" w:color="auto"/>
            </w:tcBorders>
            <w:noWrap/>
            <w:vAlign w:val="bottom"/>
          </w:tcPr>
          <w:p w:rsidR="00C81B24" w:rsidRPr="00C81B24" w:rsidRDefault="00C81B24" w:rsidP="00CE5850">
            <w:pPr>
              <w:ind w:firstLineChars="1000" w:firstLine="2000"/>
              <w:jc w:val="right"/>
              <w:rPr>
                <w:kern w:val="0"/>
                <w:sz w:val="20"/>
              </w:rPr>
            </w:pPr>
            <w:r w:rsidRPr="00C81B24">
              <w:rPr>
                <w:kern w:val="0"/>
                <w:sz w:val="20"/>
              </w:rPr>
              <w:t>3,830</w:t>
            </w:r>
          </w:p>
        </w:tc>
      </w:tr>
      <w:tr w:rsidR="00C81B24" w:rsidRPr="00C81B24" w:rsidTr="00526AD9">
        <w:trPr>
          <w:trHeight w:val="225"/>
        </w:trPr>
        <w:tc>
          <w:tcPr>
            <w:tcW w:w="1960" w:type="dxa"/>
            <w:tcBorders>
              <w:top w:val="nil"/>
              <w:left w:val="single" w:sz="8" w:space="0" w:color="auto"/>
              <w:bottom w:val="nil"/>
              <w:right w:val="single" w:sz="4" w:space="0" w:color="auto"/>
            </w:tcBorders>
            <w:noWrap/>
            <w:vAlign w:val="bottom"/>
          </w:tcPr>
          <w:p w:rsidR="00C81B24" w:rsidRPr="00C81B24" w:rsidRDefault="00C81B24" w:rsidP="00CE5850">
            <w:pPr>
              <w:rPr>
                <w:kern w:val="0"/>
                <w:sz w:val="20"/>
              </w:rPr>
            </w:pPr>
            <w:r w:rsidRPr="00C81B24">
              <w:rPr>
                <w:kern w:val="0"/>
                <w:sz w:val="20"/>
              </w:rPr>
              <w:t>North Dakota</w:t>
            </w:r>
          </w:p>
        </w:tc>
        <w:tc>
          <w:tcPr>
            <w:tcW w:w="3340" w:type="dxa"/>
            <w:tcBorders>
              <w:top w:val="nil"/>
              <w:left w:val="nil"/>
              <w:bottom w:val="nil"/>
              <w:right w:val="single" w:sz="4" w:space="0" w:color="auto"/>
            </w:tcBorders>
            <w:noWrap/>
            <w:vAlign w:val="bottom"/>
          </w:tcPr>
          <w:p w:rsidR="00C81B24" w:rsidRPr="00C81B24" w:rsidRDefault="00C81B24" w:rsidP="00CE5850">
            <w:pPr>
              <w:ind w:firstLineChars="700" w:firstLine="1400"/>
              <w:jc w:val="right"/>
              <w:rPr>
                <w:kern w:val="0"/>
                <w:sz w:val="20"/>
              </w:rPr>
            </w:pPr>
            <w:r w:rsidRPr="00C81B24">
              <w:rPr>
                <w:kern w:val="0"/>
                <w:sz w:val="20"/>
              </w:rPr>
              <w:t>426</w:t>
            </w:r>
          </w:p>
        </w:tc>
        <w:tc>
          <w:tcPr>
            <w:tcW w:w="3340" w:type="dxa"/>
            <w:tcBorders>
              <w:top w:val="nil"/>
              <w:left w:val="nil"/>
              <w:bottom w:val="nil"/>
              <w:right w:val="single" w:sz="8" w:space="0" w:color="auto"/>
            </w:tcBorders>
            <w:noWrap/>
            <w:vAlign w:val="bottom"/>
          </w:tcPr>
          <w:p w:rsidR="00C81B24" w:rsidRPr="00C81B24" w:rsidRDefault="00C81B24" w:rsidP="00CE5850">
            <w:pPr>
              <w:ind w:firstLineChars="1000" w:firstLine="2000"/>
              <w:jc w:val="right"/>
              <w:rPr>
                <w:kern w:val="0"/>
                <w:sz w:val="20"/>
              </w:rPr>
            </w:pPr>
            <w:r w:rsidRPr="00C81B24">
              <w:rPr>
                <w:kern w:val="0"/>
                <w:sz w:val="20"/>
              </w:rPr>
              <w:t>298</w:t>
            </w:r>
          </w:p>
        </w:tc>
      </w:tr>
      <w:tr w:rsidR="00C81B24" w:rsidRPr="00C81B24" w:rsidTr="00526AD9">
        <w:trPr>
          <w:trHeight w:val="225"/>
        </w:trPr>
        <w:tc>
          <w:tcPr>
            <w:tcW w:w="1960" w:type="dxa"/>
            <w:tcBorders>
              <w:top w:val="nil"/>
              <w:left w:val="single" w:sz="8" w:space="0" w:color="auto"/>
              <w:bottom w:val="nil"/>
              <w:right w:val="single" w:sz="4" w:space="0" w:color="auto"/>
            </w:tcBorders>
            <w:noWrap/>
            <w:vAlign w:val="bottom"/>
          </w:tcPr>
          <w:p w:rsidR="00C81B24" w:rsidRPr="00C81B24" w:rsidRDefault="00C81B24" w:rsidP="00CE5850">
            <w:pPr>
              <w:rPr>
                <w:kern w:val="0"/>
                <w:sz w:val="20"/>
              </w:rPr>
            </w:pPr>
            <w:r w:rsidRPr="00C81B24">
              <w:rPr>
                <w:kern w:val="0"/>
                <w:sz w:val="20"/>
              </w:rPr>
              <w:t>Northern Mariana Isl.</w:t>
            </w:r>
          </w:p>
        </w:tc>
        <w:tc>
          <w:tcPr>
            <w:tcW w:w="3340" w:type="dxa"/>
            <w:tcBorders>
              <w:top w:val="nil"/>
              <w:left w:val="nil"/>
              <w:bottom w:val="nil"/>
              <w:right w:val="single" w:sz="4" w:space="0" w:color="auto"/>
            </w:tcBorders>
            <w:noWrap/>
            <w:vAlign w:val="bottom"/>
          </w:tcPr>
          <w:p w:rsidR="00C81B24" w:rsidRPr="00C81B24" w:rsidRDefault="00C81B24" w:rsidP="00CE5850">
            <w:pPr>
              <w:ind w:firstLineChars="700" w:firstLine="1400"/>
              <w:jc w:val="right"/>
              <w:rPr>
                <w:kern w:val="0"/>
                <w:sz w:val="20"/>
              </w:rPr>
            </w:pPr>
            <w:r w:rsidRPr="00C81B24">
              <w:rPr>
                <w:kern w:val="0"/>
                <w:sz w:val="20"/>
              </w:rPr>
              <w:t>*</w:t>
            </w:r>
          </w:p>
        </w:tc>
        <w:tc>
          <w:tcPr>
            <w:tcW w:w="3340" w:type="dxa"/>
            <w:tcBorders>
              <w:top w:val="nil"/>
              <w:left w:val="nil"/>
              <w:bottom w:val="nil"/>
              <w:right w:val="single" w:sz="8" w:space="0" w:color="auto"/>
            </w:tcBorders>
            <w:noWrap/>
            <w:vAlign w:val="bottom"/>
          </w:tcPr>
          <w:p w:rsidR="00C81B24" w:rsidRPr="00C81B24" w:rsidRDefault="00C81B24" w:rsidP="00CE5850">
            <w:pPr>
              <w:ind w:firstLineChars="1000" w:firstLine="2000"/>
              <w:jc w:val="right"/>
              <w:rPr>
                <w:kern w:val="0"/>
                <w:sz w:val="20"/>
              </w:rPr>
            </w:pPr>
            <w:r w:rsidRPr="00C81B24">
              <w:rPr>
                <w:kern w:val="0"/>
                <w:sz w:val="20"/>
              </w:rPr>
              <w:t>*</w:t>
            </w:r>
          </w:p>
        </w:tc>
      </w:tr>
      <w:tr w:rsidR="00C81B24" w:rsidRPr="00C81B24" w:rsidTr="00526AD9">
        <w:trPr>
          <w:trHeight w:val="225"/>
        </w:trPr>
        <w:tc>
          <w:tcPr>
            <w:tcW w:w="1960" w:type="dxa"/>
            <w:tcBorders>
              <w:top w:val="nil"/>
              <w:left w:val="single" w:sz="8" w:space="0" w:color="auto"/>
              <w:bottom w:val="nil"/>
              <w:right w:val="single" w:sz="4" w:space="0" w:color="auto"/>
            </w:tcBorders>
            <w:noWrap/>
            <w:vAlign w:val="bottom"/>
          </w:tcPr>
          <w:p w:rsidR="00C81B24" w:rsidRPr="00C81B24" w:rsidRDefault="00C81B24" w:rsidP="00CE5850">
            <w:pPr>
              <w:rPr>
                <w:kern w:val="0"/>
                <w:sz w:val="20"/>
              </w:rPr>
            </w:pPr>
            <w:r w:rsidRPr="00C81B24">
              <w:rPr>
                <w:kern w:val="0"/>
                <w:sz w:val="20"/>
              </w:rPr>
              <w:t>Ohio</w:t>
            </w:r>
          </w:p>
        </w:tc>
        <w:tc>
          <w:tcPr>
            <w:tcW w:w="3340" w:type="dxa"/>
            <w:tcBorders>
              <w:top w:val="nil"/>
              <w:left w:val="nil"/>
              <w:bottom w:val="nil"/>
              <w:right w:val="single" w:sz="4" w:space="0" w:color="auto"/>
            </w:tcBorders>
            <w:noWrap/>
            <w:vAlign w:val="bottom"/>
          </w:tcPr>
          <w:p w:rsidR="00C81B24" w:rsidRPr="00C81B24" w:rsidRDefault="00C81B24" w:rsidP="00CE5850">
            <w:pPr>
              <w:ind w:firstLineChars="700" w:firstLine="1400"/>
              <w:jc w:val="right"/>
              <w:rPr>
                <w:kern w:val="0"/>
                <w:sz w:val="20"/>
              </w:rPr>
            </w:pPr>
            <w:r w:rsidRPr="00C81B24">
              <w:rPr>
                <w:kern w:val="0"/>
                <w:sz w:val="20"/>
              </w:rPr>
              <w:t>6,679</w:t>
            </w:r>
          </w:p>
        </w:tc>
        <w:tc>
          <w:tcPr>
            <w:tcW w:w="3340" w:type="dxa"/>
            <w:tcBorders>
              <w:top w:val="nil"/>
              <w:left w:val="nil"/>
              <w:bottom w:val="nil"/>
              <w:right w:val="single" w:sz="8" w:space="0" w:color="auto"/>
            </w:tcBorders>
            <w:noWrap/>
            <w:vAlign w:val="bottom"/>
          </w:tcPr>
          <w:p w:rsidR="00C81B24" w:rsidRPr="00C81B24" w:rsidRDefault="00C81B24" w:rsidP="00CE5850">
            <w:pPr>
              <w:ind w:firstLineChars="1000" w:firstLine="2000"/>
              <w:jc w:val="right"/>
              <w:rPr>
                <w:kern w:val="0"/>
                <w:sz w:val="20"/>
              </w:rPr>
            </w:pPr>
            <w:r w:rsidRPr="00C81B24">
              <w:rPr>
                <w:kern w:val="0"/>
                <w:sz w:val="20"/>
              </w:rPr>
              <w:t>4,908</w:t>
            </w:r>
          </w:p>
        </w:tc>
      </w:tr>
      <w:tr w:rsidR="00C81B24" w:rsidRPr="00C81B24" w:rsidTr="00526AD9">
        <w:trPr>
          <w:trHeight w:val="225"/>
        </w:trPr>
        <w:tc>
          <w:tcPr>
            <w:tcW w:w="1960" w:type="dxa"/>
            <w:tcBorders>
              <w:top w:val="nil"/>
              <w:left w:val="single" w:sz="8" w:space="0" w:color="auto"/>
              <w:bottom w:val="nil"/>
              <w:right w:val="single" w:sz="4" w:space="0" w:color="auto"/>
            </w:tcBorders>
            <w:noWrap/>
            <w:vAlign w:val="bottom"/>
          </w:tcPr>
          <w:p w:rsidR="00C81B24" w:rsidRPr="00C81B24" w:rsidRDefault="00C81B24" w:rsidP="00CE5850">
            <w:pPr>
              <w:rPr>
                <w:kern w:val="0"/>
                <w:sz w:val="20"/>
              </w:rPr>
            </w:pPr>
            <w:r w:rsidRPr="00C81B24">
              <w:rPr>
                <w:kern w:val="0"/>
                <w:sz w:val="20"/>
              </w:rPr>
              <w:t>Oklahoma</w:t>
            </w:r>
          </w:p>
        </w:tc>
        <w:tc>
          <w:tcPr>
            <w:tcW w:w="3340" w:type="dxa"/>
            <w:tcBorders>
              <w:top w:val="nil"/>
              <w:left w:val="nil"/>
              <w:bottom w:val="nil"/>
              <w:right w:val="single" w:sz="4" w:space="0" w:color="auto"/>
            </w:tcBorders>
            <w:noWrap/>
            <w:vAlign w:val="bottom"/>
          </w:tcPr>
          <w:p w:rsidR="00C81B24" w:rsidRPr="00C81B24" w:rsidRDefault="00C81B24" w:rsidP="00CE5850">
            <w:pPr>
              <w:ind w:firstLineChars="700" w:firstLine="1400"/>
              <w:jc w:val="right"/>
              <w:rPr>
                <w:kern w:val="0"/>
                <w:sz w:val="20"/>
              </w:rPr>
            </w:pPr>
            <w:r w:rsidRPr="00C81B24">
              <w:rPr>
                <w:kern w:val="0"/>
                <w:sz w:val="20"/>
              </w:rPr>
              <w:t>2,136</w:t>
            </w:r>
          </w:p>
        </w:tc>
        <w:tc>
          <w:tcPr>
            <w:tcW w:w="3340" w:type="dxa"/>
            <w:tcBorders>
              <w:top w:val="nil"/>
              <w:left w:val="nil"/>
              <w:bottom w:val="nil"/>
              <w:right w:val="single" w:sz="8" w:space="0" w:color="auto"/>
            </w:tcBorders>
            <w:noWrap/>
            <w:vAlign w:val="bottom"/>
          </w:tcPr>
          <w:p w:rsidR="00C81B24" w:rsidRPr="00C81B24" w:rsidRDefault="00C81B24" w:rsidP="00CE5850">
            <w:pPr>
              <w:ind w:firstLineChars="1000" w:firstLine="2000"/>
              <w:jc w:val="right"/>
              <w:rPr>
                <w:kern w:val="0"/>
                <w:sz w:val="20"/>
              </w:rPr>
            </w:pPr>
            <w:r w:rsidRPr="00C81B24">
              <w:rPr>
                <w:kern w:val="0"/>
                <w:sz w:val="20"/>
              </w:rPr>
              <w:t>1,620</w:t>
            </w:r>
          </w:p>
        </w:tc>
      </w:tr>
      <w:tr w:rsidR="00C81B24" w:rsidRPr="00C81B24" w:rsidTr="00526AD9">
        <w:trPr>
          <w:trHeight w:val="225"/>
        </w:trPr>
        <w:tc>
          <w:tcPr>
            <w:tcW w:w="1960" w:type="dxa"/>
            <w:tcBorders>
              <w:top w:val="nil"/>
              <w:left w:val="single" w:sz="8" w:space="0" w:color="auto"/>
              <w:bottom w:val="single" w:sz="4" w:space="0" w:color="auto"/>
              <w:right w:val="single" w:sz="4" w:space="0" w:color="auto"/>
            </w:tcBorders>
            <w:noWrap/>
            <w:vAlign w:val="bottom"/>
          </w:tcPr>
          <w:p w:rsidR="00C81B24" w:rsidRPr="00C81B24" w:rsidRDefault="00C81B24" w:rsidP="00CE5850">
            <w:pPr>
              <w:rPr>
                <w:kern w:val="0"/>
                <w:sz w:val="20"/>
              </w:rPr>
            </w:pPr>
            <w:r w:rsidRPr="00C81B24">
              <w:rPr>
                <w:kern w:val="0"/>
                <w:sz w:val="20"/>
              </w:rPr>
              <w:t>Oregon</w:t>
            </w:r>
          </w:p>
        </w:tc>
        <w:tc>
          <w:tcPr>
            <w:tcW w:w="3340" w:type="dxa"/>
            <w:tcBorders>
              <w:top w:val="nil"/>
              <w:left w:val="nil"/>
              <w:bottom w:val="single" w:sz="4" w:space="0" w:color="auto"/>
              <w:right w:val="single" w:sz="4" w:space="0" w:color="auto"/>
            </w:tcBorders>
            <w:noWrap/>
            <w:vAlign w:val="bottom"/>
          </w:tcPr>
          <w:p w:rsidR="00C81B24" w:rsidRPr="00C81B24" w:rsidRDefault="00C81B24" w:rsidP="00CE5850">
            <w:pPr>
              <w:ind w:firstLineChars="700" w:firstLine="1400"/>
              <w:jc w:val="right"/>
              <w:rPr>
                <w:kern w:val="0"/>
                <w:sz w:val="20"/>
              </w:rPr>
            </w:pPr>
            <w:r w:rsidRPr="00C81B24">
              <w:rPr>
                <w:kern w:val="0"/>
                <w:sz w:val="20"/>
              </w:rPr>
              <w:t>2,294</w:t>
            </w:r>
          </w:p>
        </w:tc>
        <w:tc>
          <w:tcPr>
            <w:tcW w:w="3340" w:type="dxa"/>
            <w:tcBorders>
              <w:top w:val="nil"/>
              <w:left w:val="nil"/>
              <w:bottom w:val="single" w:sz="4" w:space="0" w:color="auto"/>
              <w:right w:val="single" w:sz="8" w:space="0" w:color="auto"/>
            </w:tcBorders>
            <w:noWrap/>
            <w:vAlign w:val="bottom"/>
          </w:tcPr>
          <w:p w:rsidR="00C81B24" w:rsidRPr="00C81B24" w:rsidRDefault="00C81B24" w:rsidP="00CE5850">
            <w:pPr>
              <w:ind w:firstLineChars="1000" w:firstLine="2000"/>
              <w:jc w:val="right"/>
              <w:rPr>
                <w:kern w:val="0"/>
                <w:sz w:val="20"/>
              </w:rPr>
            </w:pPr>
            <w:r w:rsidRPr="00C81B24">
              <w:rPr>
                <w:kern w:val="0"/>
                <w:sz w:val="20"/>
              </w:rPr>
              <w:t>1,705</w:t>
            </w:r>
          </w:p>
        </w:tc>
      </w:tr>
      <w:tr w:rsidR="00C81B24" w:rsidRPr="00C81B24" w:rsidTr="00526AD9">
        <w:trPr>
          <w:trHeight w:val="225"/>
        </w:trPr>
        <w:tc>
          <w:tcPr>
            <w:tcW w:w="1960" w:type="dxa"/>
            <w:tcBorders>
              <w:top w:val="nil"/>
              <w:left w:val="single" w:sz="8" w:space="0" w:color="auto"/>
              <w:bottom w:val="nil"/>
              <w:right w:val="single" w:sz="4" w:space="0" w:color="auto"/>
            </w:tcBorders>
            <w:noWrap/>
            <w:vAlign w:val="bottom"/>
          </w:tcPr>
          <w:p w:rsidR="00C81B24" w:rsidRPr="00C81B24" w:rsidRDefault="00C81B24" w:rsidP="00CE5850">
            <w:pPr>
              <w:rPr>
                <w:kern w:val="0"/>
                <w:sz w:val="20"/>
              </w:rPr>
            </w:pPr>
            <w:r w:rsidRPr="00C81B24">
              <w:rPr>
                <w:kern w:val="0"/>
                <w:sz w:val="20"/>
              </w:rPr>
              <w:t>Pennsylvania</w:t>
            </w:r>
          </w:p>
        </w:tc>
        <w:tc>
          <w:tcPr>
            <w:tcW w:w="3340" w:type="dxa"/>
            <w:tcBorders>
              <w:top w:val="nil"/>
              <w:left w:val="nil"/>
              <w:bottom w:val="nil"/>
              <w:right w:val="single" w:sz="4" w:space="0" w:color="auto"/>
            </w:tcBorders>
            <w:noWrap/>
            <w:vAlign w:val="bottom"/>
          </w:tcPr>
          <w:p w:rsidR="00C81B24" w:rsidRPr="00C81B24" w:rsidRDefault="00C81B24" w:rsidP="00CE5850">
            <w:pPr>
              <w:ind w:firstLineChars="700" w:firstLine="1400"/>
              <w:jc w:val="right"/>
              <w:rPr>
                <w:kern w:val="0"/>
                <w:sz w:val="20"/>
              </w:rPr>
            </w:pPr>
            <w:r w:rsidRPr="00C81B24">
              <w:rPr>
                <w:kern w:val="0"/>
                <w:sz w:val="20"/>
              </w:rPr>
              <w:t>7,131</w:t>
            </w:r>
          </w:p>
        </w:tc>
        <w:tc>
          <w:tcPr>
            <w:tcW w:w="3340" w:type="dxa"/>
            <w:tcBorders>
              <w:top w:val="nil"/>
              <w:left w:val="nil"/>
              <w:bottom w:val="nil"/>
              <w:right w:val="single" w:sz="8" w:space="0" w:color="auto"/>
            </w:tcBorders>
            <w:noWrap/>
            <w:vAlign w:val="bottom"/>
          </w:tcPr>
          <w:p w:rsidR="00C81B24" w:rsidRPr="00C81B24" w:rsidRDefault="00C81B24" w:rsidP="00CE5850">
            <w:pPr>
              <w:ind w:firstLineChars="1000" w:firstLine="2000"/>
              <w:jc w:val="right"/>
              <w:rPr>
                <w:kern w:val="0"/>
                <w:sz w:val="20"/>
              </w:rPr>
            </w:pPr>
            <w:r w:rsidRPr="00C81B24">
              <w:rPr>
                <w:kern w:val="0"/>
                <w:sz w:val="20"/>
              </w:rPr>
              <w:t>5,389</w:t>
            </w:r>
          </w:p>
        </w:tc>
      </w:tr>
      <w:tr w:rsidR="00C81B24" w:rsidRPr="00C81B24" w:rsidTr="00526AD9">
        <w:trPr>
          <w:trHeight w:val="225"/>
        </w:trPr>
        <w:tc>
          <w:tcPr>
            <w:tcW w:w="1960" w:type="dxa"/>
            <w:tcBorders>
              <w:top w:val="nil"/>
              <w:left w:val="single" w:sz="8" w:space="0" w:color="auto"/>
              <w:bottom w:val="nil"/>
              <w:right w:val="single" w:sz="4" w:space="0" w:color="auto"/>
            </w:tcBorders>
            <w:noWrap/>
            <w:vAlign w:val="bottom"/>
          </w:tcPr>
          <w:p w:rsidR="00C81B24" w:rsidRPr="00C81B24" w:rsidRDefault="00C81B24" w:rsidP="00CE5850">
            <w:pPr>
              <w:rPr>
                <w:kern w:val="0"/>
                <w:sz w:val="20"/>
              </w:rPr>
            </w:pPr>
            <w:r w:rsidRPr="00C81B24">
              <w:rPr>
                <w:kern w:val="0"/>
                <w:sz w:val="20"/>
              </w:rPr>
              <w:t>Puerto Rico</w:t>
            </w:r>
          </w:p>
        </w:tc>
        <w:tc>
          <w:tcPr>
            <w:tcW w:w="3340" w:type="dxa"/>
            <w:tcBorders>
              <w:top w:val="nil"/>
              <w:left w:val="nil"/>
              <w:bottom w:val="nil"/>
              <w:right w:val="single" w:sz="4" w:space="0" w:color="auto"/>
            </w:tcBorders>
            <w:noWrap/>
            <w:vAlign w:val="bottom"/>
          </w:tcPr>
          <w:p w:rsidR="00C81B24" w:rsidRPr="00C81B24" w:rsidRDefault="00C81B24" w:rsidP="00CE5850">
            <w:pPr>
              <w:ind w:firstLineChars="700" w:firstLine="1400"/>
              <w:jc w:val="right"/>
              <w:rPr>
                <w:kern w:val="0"/>
                <w:sz w:val="20"/>
              </w:rPr>
            </w:pPr>
            <w:r w:rsidRPr="00C81B24">
              <w:rPr>
                <w:kern w:val="0"/>
                <w:sz w:val="20"/>
              </w:rPr>
              <w:t>1,581</w:t>
            </w:r>
          </w:p>
        </w:tc>
        <w:tc>
          <w:tcPr>
            <w:tcW w:w="3340" w:type="dxa"/>
            <w:tcBorders>
              <w:top w:val="nil"/>
              <w:left w:val="nil"/>
              <w:bottom w:val="nil"/>
              <w:right w:val="single" w:sz="8" w:space="0" w:color="auto"/>
            </w:tcBorders>
            <w:noWrap/>
            <w:vAlign w:val="bottom"/>
          </w:tcPr>
          <w:p w:rsidR="00C81B24" w:rsidRPr="00C81B24" w:rsidRDefault="00C81B24" w:rsidP="00CE5850">
            <w:pPr>
              <w:ind w:firstLineChars="1000" w:firstLine="2000"/>
              <w:jc w:val="right"/>
              <w:rPr>
                <w:kern w:val="0"/>
                <w:sz w:val="20"/>
              </w:rPr>
            </w:pPr>
            <w:r w:rsidRPr="00C81B24">
              <w:rPr>
                <w:kern w:val="0"/>
                <w:sz w:val="20"/>
              </w:rPr>
              <w:t>1,078</w:t>
            </w:r>
          </w:p>
        </w:tc>
      </w:tr>
      <w:tr w:rsidR="00C81B24" w:rsidRPr="00C81B24" w:rsidTr="00526AD9">
        <w:trPr>
          <w:trHeight w:val="225"/>
        </w:trPr>
        <w:tc>
          <w:tcPr>
            <w:tcW w:w="1960" w:type="dxa"/>
            <w:tcBorders>
              <w:top w:val="nil"/>
              <w:left w:val="single" w:sz="8" w:space="0" w:color="auto"/>
              <w:bottom w:val="nil"/>
              <w:right w:val="single" w:sz="4" w:space="0" w:color="auto"/>
            </w:tcBorders>
            <w:noWrap/>
            <w:vAlign w:val="bottom"/>
          </w:tcPr>
          <w:p w:rsidR="00C81B24" w:rsidRPr="00C81B24" w:rsidRDefault="00C81B24" w:rsidP="00CE5850">
            <w:pPr>
              <w:rPr>
                <w:kern w:val="0"/>
                <w:sz w:val="20"/>
              </w:rPr>
            </w:pPr>
            <w:r w:rsidRPr="00C81B24">
              <w:rPr>
                <w:kern w:val="0"/>
                <w:sz w:val="20"/>
              </w:rPr>
              <w:t>Rhode Island</w:t>
            </w:r>
          </w:p>
        </w:tc>
        <w:tc>
          <w:tcPr>
            <w:tcW w:w="3340" w:type="dxa"/>
            <w:tcBorders>
              <w:top w:val="nil"/>
              <w:left w:val="nil"/>
              <w:bottom w:val="nil"/>
              <w:right w:val="single" w:sz="4" w:space="0" w:color="auto"/>
            </w:tcBorders>
            <w:noWrap/>
            <w:vAlign w:val="bottom"/>
          </w:tcPr>
          <w:p w:rsidR="00C81B24" w:rsidRPr="00C81B24" w:rsidRDefault="00C81B24" w:rsidP="00CE5850">
            <w:pPr>
              <w:ind w:firstLineChars="700" w:firstLine="1400"/>
              <w:jc w:val="right"/>
              <w:rPr>
                <w:kern w:val="0"/>
                <w:sz w:val="20"/>
              </w:rPr>
            </w:pPr>
            <w:r w:rsidRPr="00C81B24">
              <w:rPr>
                <w:kern w:val="0"/>
                <w:sz w:val="20"/>
              </w:rPr>
              <w:t>607</w:t>
            </w:r>
          </w:p>
        </w:tc>
        <w:tc>
          <w:tcPr>
            <w:tcW w:w="3340" w:type="dxa"/>
            <w:tcBorders>
              <w:top w:val="nil"/>
              <w:left w:val="nil"/>
              <w:bottom w:val="nil"/>
              <w:right w:val="single" w:sz="8" w:space="0" w:color="auto"/>
            </w:tcBorders>
            <w:noWrap/>
            <w:vAlign w:val="bottom"/>
          </w:tcPr>
          <w:p w:rsidR="00C81B24" w:rsidRPr="00C81B24" w:rsidRDefault="00C81B24" w:rsidP="00CE5850">
            <w:pPr>
              <w:ind w:firstLineChars="1000" w:firstLine="2000"/>
              <w:jc w:val="right"/>
              <w:rPr>
                <w:kern w:val="0"/>
                <w:sz w:val="20"/>
              </w:rPr>
            </w:pPr>
            <w:r w:rsidRPr="00C81B24">
              <w:rPr>
                <w:kern w:val="0"/>
                <w:sz w:val="20"/>
              </w:rPr>
              <w:t>447</w:t>
            </w:r>
          </w:p>
        </w:tc>
      </w:tr>
      <w:tr w:rsidR="00C81B24" w:rsidRPr="00C81B24" w:rsidTr="00526AD9">
        <w:trPr>
          <w:trHeight w:val="225"/>
        </w:trPr>
        <w:tc>
          <w:tcPr>
            <w:tcW w:w="1960" w:type="dxa"/>
            <w:tcBorders>
              <w:top w:val="nil"/>
              <w:left w:val="single" w:sz="8" w:space="0" w:color="auto"/>
              <w:bottom w:val="nil"/>
              <w:right w:val="single" w:sz="4" w:space="0" w:color="auto"/>
            </w:tcBorders>
            <w:noWrap/>
            <w:vAlign w:val="bottom"/>
          </w:tcPr>
          <w:p w:rsidR="00C81B24" w:rsidRPr="00C81B24" w:rsidRDefault="00C81B24" w:rsidP="00CE5850">
            <w:pPr>
              <w:rPr>
                <w:kern w:val="0"/>
                <w:sz w:val="20"/>
              </w:rPr>
            </w:pPr>
            <w:r w:rsidRPr="00C81B24">
              <w:rPr>
                <w:kern w:val="0"/>
                <w:sz w:val="20"/>
              </w:rPr>
              <w:t>South Carolina</w:t>
            </w:r>
          </w:p>
        </w:tc>
        <w:tc>
          <w:tcPr>
            <w:tcW w:w="3340" w:type="dxa"/>
            <w:tcBorders>
              <w:top w:val="nil"/>
              <w:left w:val="nil"/>
              <w:bottom w:val="nil"/>
              <w:right w:val="single" w:sz="4" w:space="0" w:color="auto"/>
            </w:tcBorders>
            <w:noWrap/>
            <w:vAlign w:val="bottom"/>
          </w:tcPr>
          <w:p w:rsidR="00C81B24" w:rsidRPr="00C81B24" w:rsidRDefault="00C81B24" w:rsidP="00CE5850">
            <w:pPr>
              <w:ind w:firstLineChars="700" w:firstLine="1400"/>
              <w:jc w:val="right"/>
              <w:rPr>
                <w:kern w:val="0"/>
                <w:sz w:val="20"/>
              </w:rPr>
            </w:pPr>
            <w:r w:rsidRPr="00C81B24">
              <w:rPr>
                <w:kern w:val="0"/>
                <w:sz w:val="20"/>
              </w:rPr>
              <w:t>2,192</w:t>
            </w:r>
          </w:p>
        </w:tc>
        <w:tc>
          <w:tcPr>
            <w:tcW w:w="3340" w:type="dxa"/>
            <w:tcBorders>
              <w:top w:val="nil"/>
              <w:left w:val="nil"/>
              <w:bottom w:val="nil"/>
              <w:right w:val="single" w:sz="8" w:space="0" w:color="auto"/>
            </w:tcBorders>
            <w:noWrap/>
            <w:vAlign w:val="bottom"/>
          </w:tcPr>
          <w:p w:rsidR="00C81B24" w:rsidRPr="00C81B24" w:rsidRDefault="00C81B24" w:rsidP="00CE5850">
            <w:pPr>
              <w:ind w:firstLineChars="1000" w:firstLine="2000"/>
              <w:jc w:val="right"/>
              <w:rPr>
                <w:kern w:val="0"/>
                <w:sz w:val="20"/>
              </w:rPr>
            </w:pPr>
            <w:r w:rsidRPr="00C81B24">
              <w:rPr>
                <w:kern w:val="0"/>
                <w:sz w:val="20"/>
              </w:rPr>
              <w:t>1,607</w:t>
            </w:r>
          </w:p>
        </w:tc>
      </w:tr>
      <w:tr w:rsidR="00C81B24" w:rsidRPr="00C81B24" w:rsidTr="00526AD9">
        <w:trPr>
          <w:trHeight w:val="225"/>
        </w:trPr>
        <w:tc>
          <w:tcPr>
            <w:tcW w:w="1960" w:type="dxa"/>
            <w:tcBorders>
              <w:top w:val="nil"/>
              <w:left w:val="single" w:sz="8" w:space="0" w:color="auto"/>
              <w:bottom w:val="single" w:sz="4" w:space="0" w:color="auto"/>
              <w:right w:val="single" w:sz="4" w:space="0" w:color="auto"/>
            </w:tcBorders>
            <w:noWrap/>
            <w:vAlign w:val="bottom"/>
          </w:tcPr>
          <w:p w:rsidR="00C81B24" w:rsidRPr="00C81B24" w:rsidRDefault="00C81B24" w:rsidP="00CE5850">
            <w:pPr>
              <w:rPr>
                <w:kern w:val="0"/>
                <w:sz w:val="20"/>
              </w:rPr>
            </w:pPr>
            <w:r w:rsidRPr="00C81B24">
              <w:rPr>
                <w:kern w:val="0"/>
                <w:sz w:val="20"/>
              </w:rPr>
              <w:t>South Dakota</w:t>
            </w:r>
          </w:p>
        </w:tc>
        <w:tc>
          <w:tcPr>
            <w:tcW w:w="3340" w:type="dxa"/>
            <w:tcBorders>
              <w:top w:val="nil"/>
              <w:left w:val="nil"/>
              <w:bottom w:val="single" w:sz="4" w:space="0" w:color="auto"/>
              <w:right w:val="single" w:sz="4" w:space="0" w:color="auto"/>
            </w:tcBorders>
            <w:noWrap/>
            <w:vAlign w:val="bottom"/>
          </w:tcPr>
          <w:p w:rsidR="00C81B24" w:rsidRPr="00C81B24" w:rsidRDefault="00C81B24" w:rsidP="00CE5850">
            <w:pPr>
              <w:ind w:firstLineChars="700" w:firstLine="1400"/>
              <w:jc w:val="right"/>
              <w:rPr>
                <w:kern w:val="0"/>
                <w:sz w:val="20"/>
              </w:rPr>
            </w:pPr>
            <w:r w:rsidRPr="00C81B24">
              <w:rPr>
                <w:kern w:val="0"/>
                <w:sz w:val="20"/>
              </w:rPr>
              <w:t>*</w:t>
            </w:r>
          </w:p>
        </w:tc>
        <w:tc>
          <w:tcPr>
            <w:tcW w:w="3340" w:type="dxa"/>
            <w:tcBorders>
              <w:top w:val="nil"/>
              <w:left w:val="nil"/>
              <w:bottom w:val="single" w:sz="4" w:space="0" w:color="auto"/>
              <w:right w:val="single" w:sz="8" w:space="0" w:color="auto"/>
            </w:tcBorders>
            <w:noWrap/>
            <w:vAlign w:val="bottom"/>
          </w:tcPr>
          <w:p w:rsidR="00C81B24" w:rsidRPr="00C81B24" w:rsidRDefault="00C81B24" w:rsidP="00CE5850">
            <w:pPr>
              <w:ind w:firstLineChars="1000" w:firstLine="2000"/>
              <w:jc w:val="right"/>
              <w:rPr>
                <w:kern w:val="0"/>
                <w:sz w:val="20"/>
              </w:rPr>
            </w:pPr>
            <w:r w:rsidRPr="00C81B24">
              <w:rPr>
                <w:kern w:val="0"/>
                <w:sz w:val="20"/>
              </w:rPr>
              <w:t>*</w:t>
            </w:r>
          </w:p>
        </w:tc>
      </w:tr>
      <w:tr w:rsidR="00C81B24" w:rsidRPr="00C81B24" w:rsidTr="00526AD9">
        <w:trPr>
          <w:trHeight w:val="225"/>
        </w:trPr>
        <w:tc>
          <w:tcPr>
            <w:tcW w:w="1960" w:type="dxa"/>
            <w:tcBorders>
              <w:top w:val="nil"/>
              <w:left w:val="single" w:sz="8" w:space="0" w:color="auto"/>
              <w:bottom w:val="nil"/>
              <w:right w:val="single" w:sz="4" w:space="0" w:color="auto"/>
            </w:tcBorders>
            <w:noWrap/>
            <w:vAlign w:val="bottom"/>
          </w:tcPr>
          <w:p w:rsidR="00C81B24" w:rsidRPr="00C81B24" w:rsidRDefault="00C81B24" w:rsidP="00CE5850">
            <w:pPr>
              <w:rPr>
                <w:kern w:val="0"/>
                <w:sz w:val="20"/>
              </w:rPr>
            </w:pPr>
            <w:r w:rsidRPr="00C81B24">
              <w:rPr>
                <w:kern w:val="0"/>
                <w:sz w:val="20"/>
              </w:rPr>
              <w:t>Tennessee</w:t>
            </w:r>
          </w:p>
        </w:tc>
        <w:tc>
          <w:tcPr>
            <w:tcW w:w="3340" w:type="dxa"/>
            <w:tcBorders>
              <w:top w:val="nil"/>
              <w:left w:val="nil"/>
              <w:bottom w:val="nil"/>
              <w:right w:val="single" w:sz="4" w:space="0" w:color="auto"/>
            </w:tcBorders>
            <w:noWrap/>
            <w:vAlign w:val="bottom"/>
          </w:tcPr>
          <w:p w:rsidR="00C81B24" w:rsidRPr="00C81B24" w:rsidRDefault="00C81B24" w:rsidP="00CE5850">
            <w:pPr>
              <w:ind w:firstLineChars="700" w:firstLine="1400"/>
              <w:jc w:val="right"/>
              <w:rPr>
                <w:kern w:val="0"/>
                <w:sz w:val="20"/>
              </w:rPr>
            </w:pPr>
            <w:r w:rsidRPr="00C81B24">
              <w:rPr>
                <w:kern w:val="0"/>
                <w:sz w:val="20"/>
              </w:rPr>
              <w:t>3,743</w:t>
            </w:r>
          </w:p>
        </w:tc>
        <w:tc>
          <w:tcPr>
            <w:tcW w:w="3340" w:type="dxa"/>
            <w:tcBorders>
              <w:top w:val="nil"/>
              <w:left w:val="nil"/>
              <w:bottom w:val="nil"/>
              <w:right w:val="single" w:sz="8" w:space="0" w:color="auto"/>
            </w:tcBorders>
            <w:noWrap/>
            <w:vAlign w:val="bottom"/>
          </w:tcPr>
          <w:p w:rsidR="00C81B24" w:rsidRPr="00C81B24" w:rsidRDefault="00C81B24" w:rsidP="00CE5850">
            <w:pPr>
              <w:ind w:firstLineChars="1000" w:firstLine="2000"/>
              <w:jc w:val="right"/>
              <w:rPr>
                <w:kern w:val="0"/>
                <w:sz w:val="20"/>
              </w:rPr>
            </w:pPr>
            <w:r w:rsidRPr="00C81B24">
              <w:rPr>
                <w:kern w:val="0"/>
                <w:sz w:val="20"/>
              </w:rPr>
              <w:t>2,766</w:t>
            </w:r>
          </w:p>
        </w:tc>
      </w:tr>
      <w:tr w:rsidR="00C81B24" w:rsidRPr="00C81B24" w:rsidTr="00526AD9">
        <w:trPr>
          <w:trHeight w:val="225"/>
        </w:trPr>
        <w:tc>
          <w:tcPr>
            <w:tcW w:w="1960" w:type="dxa"/>
            <w:tcBorders>
              <w:top w:val="nil"/>
              <w:left w:val="single" w:sz="8" w:space="0" w:color="auto"/>
              <w:bottom w:val="nil"/>
              <w:right w:val="single" w:sz="4" w:space="0" w:color="auto"/>
            </w:tcBorders>
            <w:noWrap/>
            <w:vAlign w:val="bottom"/>
          </w:tcPr>
          <w:p w:rsidR="00C81B24" w:rsidRPr="00C81B24" w:rsidRDefault="00C81B24" w:rsidP="00CE5850">
            <w:pPr>
              <w:rPr>
                <w:kern w:val="0"/>
                <w:sz w:val="20"/>
              </w:rPr>
            </w:pPr>
            <w:r w:rsidRPr="00C81B24">
              <w:rPr>
                <w:kern w:val="0"/>
                <w:sz w:val="20"/>
              </w:rPr>
              <w:t>Texas</w:t>
            </w:r>
          </w:p>
        </w:tc>
        <w:tc>
          <w:tcPr>
            <w:tcW w:w="3340" w:type="dxa"/>
            <w:tcBorders>
              <w:top w:val="nil"/>
              <w:left w:val="nil"/>
              <w:bottom w:val="nil"/>
              <w:right w:val="single" w:sz="4" w:space="0" w:color="auto"/>
            </w:tcBorders>
            <w:noWrap/>
            <w:vAlign w:val="bottom"/>
          </w:tcPr>
          <w:p w:rsidR="00C81B24" w:rsidRPr="00C81B24" w:rsidRDefault="00C81B24" w:rsidP="00CE5850">
            <w:pPr>
              <w:ind w:firstLineChars="700" w:firstLine="1400"/>
              <w:jc w:val="right"/>
              <w:rPr>
                <w:kern w:val="0"/>
                <w:sz w:val="20"/>
              </w:rPr>
            </w:pPr>
            <w:r w:rsidRPr="00C81B24">
              <w:rPr>
                <w:kern w:val="0"/>
                <w:sz w:val="20"/>
              </w:rPr>
              <w:t>16,252</w:t>
            </w:r>
          </w:p>
        </w:tc>
        <w:tc>
          <w:tcPr>
            <w:tcW w:w="3340" w:type="dxa"/>
            <w:tcBorders>
              <w:top w:val="nil"/>
              <w:left w:val="nil"/>
              <w:bottom w:val="nil"/>
              <w:right w:val="single" w:sz="8" w:space="0" w:color="auto"/>
            </w:tcBorders>
            <w:noWrap/>
            <w:vAlign w:val="bottom"/>
          </w:tcPr>
          <w:p w:rsidR="00C81B24" w:rsidRPr="00C81B24" w:rsidRDefault="00C81B24" w:rsidP="00CE5850">
            <w:pPr>
              <w:ind w:firstLineChars="1000" w:firstLine="2000"/>
              <w:jc w:val="right"/>
              <w:rPr>
                <w:kern w:val="0"/>
                <w:sz w:val="20"/>
              </w:rPr>
            </w:pPr>
            <w:r w:rsidRPr="00C81B24">
              <w:rPr>
                <w:kern w:val="0"/>
                <w:sz w:val="20"/>
              </w:rPr>
              <w:t>13,613</w:t>
            </w:r>
          </w:p>
        </w:tc>
      </w:tr>
      <w:tr w:rsidR="00C81B24" w:rsidRPr="00C81B24" w:rsidTr="00526AD9">
        <w:trPr>
          <w:trHeight w:val="225"/>
        </w:trPr>
        <w:tc>
          <w:tcPr>
            <w:tcW w:w="1960" w:type="dxa"/>
            <w:tcBorders>
              <w:top w:val="nil"/>
              <w:left w:val="single" w:sz="8" w:space="0" w:color="auto"/>
              <w:bottom w:val="nil"/>
              <w:right w:val="single" w:sz="4" w:space="0" w:color="auto"/>
            </w:tcBorders>
            <w:noWrap/>
            <w:vAlign w:val="bottom"/>
          </w:tcPr>
          <w:p w:rsidR="00C81B24" w:rsidRPr="00C81B24" w:rsidRDefault="00C81B24" w:rsidP="00CE5850">
            <w:pPr>
              <w:rPr>
                <w:kern w:val="0"/>
                <w:sz w:val="20"/>
              </w:rPr>
            </w:pPr>
            <w:r w:rsidRPr="00C81B24">
              <w:rPr>
                <w:kern w:val="0"/>
                <w:sz w:val="20"/>
              </w:rPr>
              <w:t>Utah</w:t>
            </w:r>
          </w:p>
        </w:tc>
        <w:tc>
          <w:tcPr>
            <w:tcW w:w="3340" w:type="dxa"/>
            <w:tcBorders>
              <w:top w:val="nil"/>
              <w:left w:val="nil"/>
              <w:bottom w:val="nil"/>
              <w:right w:val="single" w:sz="4" w:space="0" w:color="auto"/>
            </w:tcBorders>
            <w:noWrap/>
            <w:vAlign w:val="bottom"/>
          </w:tcPr>
          <w:p w:rsidR="00C81B24" w:rsidRPr="00C81B24" w:rsidRDefault="00C81B24" w:rsidP="00CE5850">
            <w:pPr>
              <w:ind w:firstLineChars="700" w:firstLine="1400"/>
              <w:jc w:val="right"/>
              <w:rPr>
                <w:kern w:val="0"/>
                <w:sz w:val="20"/>
              </w:rPr>
            </w:pPr>
            <w:r w:rsidRPr="00C81B24">
              <w:rPr>
                <w:kern w:val="0"/>
                <w:sz w:val="20"/>
              </w:rPr>
              <w:t>1,580</w:t>
            </w:r>
          </w:p>
        </w:tc>
        <w:tc>
          <w:tcPr>
            <w:tcW w:w="3340" w:type="dxa"/>
            <w:tcBorders>
              <w:top w:val="nil"/>
              <w:left w:val="nil"/>
              <w:bottom w:val="nil"/>
              <w:right w:val="single" w:sz="8" w:space="0" w:color="auto"/>
            </w:tcBorders>
            <w:noWrap/>
            <w:vAlign w:val="bottom"/>
          </w:tcPr>
          <w:p w:rsidR="00C81B24" w:rsidRPr="00C81B24" w:rsidRDefault="00C81B24" w:rsidP="00CE5850">
            <w:pPr>
              <w:ind w:firstLineChars="1000" w:firstLine="2000"/>
              <w:jc w:val="right"/>
              <w:rPr>
                <w:kern w:val="0"/>
                <w:sz w:val="20"/>
              </w:rPr>
            </w:pPr>
            <w:r w:rsidRPr="00C81B24">
              <w:rPr>
                <w:kern w:val="0"/>
                <w:sz w:val="20"/>
              </w:rPr>
              <w:t>1,209</w:t>
            </w:r>
          </w:p>
        </w:tc>
      </w:tr>
      <w:tr w:rsidR="00C81B24" w:rsidRPr="00C81B24" w:rsidTr="00526AD9">
        <w:trPr>
          <w:trHeight w:val="225"/>
        </w:trPr>
        <w:tc>
          <w:tcPr>
            <w:tcW w:w="1960" w:type="dxa"/>
            <w:tcBorders>
              <w:top w:val="nil"/>
              <w:left w:val="single" w:sz="8" w:space="0" w:color="auto"/>
              <w:bottom w:val="nil"/>
              <w:right w:val="single" w:sz="4" w:space="0" w:color="auto"/>
            </w:tcBorders>
            <w:noWrap/>
            <w:vAlign w:val="bottom"/>
          </w:tcPr>
          <w:p w:rsidR="00C81B24" w:rsidRPr="00C81B24" w:rsidRDefault="00C81B24" w:rsidP="00CE5850">
            <w:pPr>
              <w:rPr>
                <w:kern w:val="0"/>
                <w:sz w:val="20"/>
              </w:rPr>
            </w:pPr>
            <w:r w:rsidRPr="00C81B24">
              <w:rPr>
                <w:kern w:val="0"/>
                <w:sz w:val="20"/>
              </w:rPr>
              <w:t>Vermont</w:t>
            </w:r>
          </w:p>
        </w:tc>
        <w:tc>
          <w:tcPr>
            <w:tcW w:w="3340" w:type="dxa"/>
            <w:tcBorders>
              <w:top w:val="nil"/>
              <w:left w:val="nil"/>
              <w:bottom w:val="nil"/>
              <w:right w:val="single" w:sz="4" w:space="0" w:color="auto"/>
            </w:tcBorders>
            <w:noWrap/>
            <w:vAlign w:val="bottom"/>
          </w:tcPr>
          <w:p w:rsidR="00C81B24" w:rsidRPr="00C81B24" w:rsidRDefault="00C81B24" w:rsidP="00CE5850">
            <w:pPr>
              <w:ind w:firstLineChars="700" w:firstLine="1400"/>
              <w:jc w:val="right"/>
              <w:rPr>
                <w:kern w:val="0"/>
                <w:sz w:val="20"/>
              </w:rPr>
            </w:pPr>
            <w:r w:rsidRPr="00C81B24">
              <w:rPr>
                <w:kern w:val="0"/>
                <w:sz w:val="20"/>
              </w:rPr>
              <w:t>311</w:t>
            </w:r>
          </w:p>
        </w:tc>
        <w:tc>
          <w:tcPr>
            <w:tcW w:w="3340" w:type="dxa"/>
            <w:tcBorders>
              <w:top w:val="nil"/>
              <w:left w:val="nil"/>
              <w:bottom w:val="nil"/>
              <w:right w:val="single" w:sz="8" w:space="0" w:color="auto"/>
            </w:tcBorders>
            <w:noWrap/>
            <w:vAlign w:val="bottom"/>
          </w:tcPr>
          <w:p w:rsidR="00C81B24" w:rsidRPr="00C81B24" w:rsidRDefault="00C81B24" w:rsidP="00CE5850">
            <w:pPr>
              <w:ind w:firstLineChars="1000" w:firstLine="2000"/>
              <w:jc w:val="right"/>
              <w:rPr>
                <w:kern w:val="0"/>
                <w:sz w:val="20"/>
              </w:rPr>
            </w:pPr>
            <w:r w:rsidRPr="00C81B24">
              <w:rPr>
                <w:kern w:val="0"/>
                <w:sz w:val="20"/>
              </w:rPr>
              <w:t>201</w:t>
            </w:r>
          </w:p>
        </w:tc>
      </w:tr>
      <w:tr w:rsidR="00C81B24" w:rsidRPr="00C81B24" w:rsidTr="00526AD9">
        <w:trPr>
          <w:trHeight w:val="225"/>
        </w:trPr>
        <w:tc>
          <w:tcPr>
            <w:tcW w:w="1960" w:type="dxa"/>
            <w:tcBorders>
              <w:top w:val="nil"/>
              <w:left w:val="single" w:sz="8" w:space="0" w:color="auto"/>
              <w:bottom w:val="single" w:sz="4" w:space="0" w:color="auto"/>
              <w:right w:val="single" w:sz="4" w:space="0" w:color="auto"/>
            </w:tcBorders>
            <w:noWrap/>
            <w:vAlign w:val="bottom"/>
          </w:tcPr>
          <w:p w:rsidR="00C81B24" w:rsidRPr="00C81B24" w:rsidRDefault="00C81B24" w:rsidP="00CE5850">
            <w:pPr>
              <w:rPr>
                <w:kern w:val="0"/>
                <w:sz w:val="20"/>
              </w:rPr>
            </w:pPr>
            <w:r w:rsidRPr="00C81B24">
              <w:rPr>
                <w:kern w:val="0"/>
                <w:sz w:val="20"/>
              </w:rPr>
              <w:t>Virgin Islands</w:t>
            </w:r>
          </w:p>
        </w:tc>
        <w:tc>
          <w:tcPr>
            <w:tcW w:w="3340" w:type="dxa"/>
            <w:tcBorders>
              <w:top w:val="nil"/>
              <w:left w:val="nil"/>
              <w:bottom w:val="single" w:sz="4" w:space="0" w:color="auto"/>
              <w:right w:val="single" w:sz="4" w:space="0" w:color="auto"/>
            </w:tcBorders>
            <w:noWrap/>
            <w:vAlign w:val="bottom"/>
          </w:tcPr>
          <w:p w:rsidR="00C81B24" w:rsidRPr="00C81B24" w:rsidRDefault="00C81B24" w:rsidP="00CE5850">
            <w:pPr>
              <w:ind w:firstLineChars="700" w:firstLine="1400"/>
              <w:jc w:val="right"/>
              <w:rPr>
                <w:kern w:val="0"/>
                <w:sz w:val="20"/>
              </w:rPr>
            </w:pPr>
            <w:r w:rsidRPr="00C81B24">
              <w:rPr>
                <w:kern w:val="0"/>
                <w:sz w:val="20"/>
              </w:rPr>
              <w:t>*</w:t>
            </w:r>
          </w:p>
        </w:tc>
        <w:tc>
          <w:tcPr>
            <w:tcW w:w="3340" w:type="dxa"/>
            <w:tcBorders>
              <w:top w:val="nil"/>
              <w:left w:val="nil"/>
              <w:bottom w:val="single" w:sz="4" w:space="0" w:color="auto"/>
              <w:right w:val="single" w:sz="8" w:space="0" w:color="auto"/>
            </w:tcBorders>
            <w:noWrap/>
            <w:vAlign w:val="bottom"/>
          </w:tcPr>
          <w:p w:rsidR="00C81B24" w:rsidRPr="00C81B24" w:rsidRDefault="00C81B24" w:rsidP="00CE5850">
            <w:pPr>
              <w:ind w:firstLineChars="1000" w:firstLine="2000"/>
              <w:jc w:val="right"/>
              <w:rPr>
                <w:kern w:val="0"/>
                <w:sz w:val="20"/>
              </w:rPr>
            </w:pPr>
            <w:r w:rsidRPr="00C81B24">
              <w:rPr>
                <w:kern w:val="0"/>
                <w:sz w:val="20"/>
              </w:rPr>
              <w:t>*</w:t>
            </w:r>
          </w:p>
        </w:tc>
      </w:tr>
      <w:tr w:rsidR="00C81B24" w:rsidRPr="00C81B24" w:rsidTr="00526AD9">
        <w:trPr>
          <w:trHeight w:val="225"/>
        </w:trPr>
        <w:tc>
          <w:tcPr>
            <w:tcW w:w="1960" w:type="dxa"/>
            <w:tcBorders>
              <w:top w:val="nil"/>
              <w:left w:val="single" w:sz="8" w:space="0" w:color="auto"/>
              <w:bottom w:val="nil"/>
              <w:right w:val="single" w:sz="4" w:space="0" w:color="auto"/>
            </w:tcBorders>
            <w:noWrap/>
            <w:vAlign w:val="bottom"/>
          </w:tcPr>
          <w:p w:rsidR="00C81B24" w:rsidRPr="00C81B24" w:rsidRDefault="00C81B24" w:rsidP="00CE5850">
            <w:pPr>
              <w:rPr>
                <w:kern w:val="0"/>
                <w:sz w:val="20"/>
              </w:rPr>
            </w:pPr>
            <w:r w:rsidRPr="00C81B24">
              <w:rPr>
                <w:kern w:val="0"/>
                <w:sz w:val="20"/>
              </w:rPr>
              <w:t>Virginia</w:t>
            </w:r>
          </w:p>
        </w:tc>
        <w:tc>
          <w:tcPr>
            <w:tcW w:w="3340" w:type="dxa"/>
            <w:tcBorders>
              <w:top w:val="nil"/>
              <w:left w:val="nil"/>
              <w:bottom w:val="nil"/>
              <w:right w:val="single" w:sz="4" w:space="0" w:color="auto"/>
            </w:tcBorders>
            <w:noWrap/>
            <w:vAlign w:val="bottom"/>
          </w:tcPr>
          <w:p w:rsidR="00C81B24" w:rsidRPr="00C81B24" w:rsidRDefault="00C81B24" w:rsidP="00CE5850">
            <w:pPr>
              <w:ind w:firstLineChars="700" w:firstLine="1400"/>
              <w:jc w:val="right"/>
              <w:rPr>
                <w:kern w:val="0"/>
                <w:sz w:val="20"/>
              </w:rPr>
            </w:pPr>
            <w:r w:rsidRPr="00C81B24">
              <w:rPr>
                <w:kern w:val="0"/>
                <w:sz w:val="20"/>
              </w:rPr>
              <w:t>5,133</w:t>
            </w:r>
          </w:p>
        </w:tc>
        <w:tc>
          <w:tcPr>
            <w:tcW w:w="3340" w:type="dxa"/>
            <w:tcBorders>
              <w:top w:val="nil"/>
              <w:left w:val="nil"/>
              <w:bottom w:val="nil"/>
              <w:right w:val="single" w:sz="8" w:space="0" w:color="auto"/>
            </w:tcBorders>
            <w:noWrap/>
            <w:vAlign w:val="bottom"/>
          </w:tcPr>
          <w:p w:rsidR="00C81B24" w:rsidRPr="00C81B24" w:rsidRDefault="00C81B24" w:rsidP="00CE5850">
            <w:pPr>
              <w:ind w:firstLineChars="1000" w:firstLine="2000"/>
              <w:jc w:val="right"/>
              <w:rPr>
                <w:kern w:val="0"/>
                <w:sz w:val="20"/>
              </w:rPr>
            </w:pPr>
            <w:r w:rsidRPr="00C81B24">
              <w:rPr>
                <w:kern w:val="0"/>
                <w:sz w:val="20"/>
              </w:rPr>
              <w:t>3,896</w:t>
            </w:r>
          </w:p>
        </w:tc>
      </w:tr>
      <w:tr w:rsidR="00C81B24" w:rsidRPr="00C81B24" w:rsidTr="00526AD9">
        <w:trPr>
          <w:trHeight w:val="225"/>
        </w:trPr>
        <w:tc>
          <w:tcPr>
            <w:tcW w:w="1960" w:type="dxa"/>
            <w:tcBorders>
              <w:top w:val="nil"/>
              <w:left w:val="single" w:sz="8" w:space="0" w:color="auto"/>
              <w:bottom w:val="nil"/>
              <w:right w:val="single" w:sz="4" w:space="0" w:color="auto"/>
            </w:tcBorders>
            <w:noWrap/>
            <w:vAlign w:val="bottom"/>
          </w:tcPr>
          <w:p w:rsidR="00C81B24" w:rsidRPr="00C81B24" w:rsidRDefault="00C81B24" w:rsidP="00CE5850">
            <w:pPr>
              <w:rPr>
                <w:kern w:val="0"/>
                <w:sz w:val="20"/>
              </w:rPr>
            </w:pPr>
            <w:r w:rsidRPr="00C81B24">
              <w:rPr>
                <w:kern w:val="0"/>
                <w:sz w:val="20"/>
              </w:rPr>
              <w:t>Washington</w:t>
            </w:r>
          </w:p>
        </w:tc>
        <w:tc>
          <w:tcPr>
            <w:tcW w:w="3340" w:type="dxa"/>
            <w:tcBorders>
              <w:top w:val="nil"/>
              <w:left w:val="nil"/>
              <w:bottom w:val="nil"/>
              <w:right w:val="single" w:sz="4" w:space="0" w:color="auto"/>
            </w:tcBorders>
            <w:noWrap/>
            <w:vAlign w:val="bottom"/>
          </w:tcPr>
          <w:p w:rsidR="00C81B24" w:rsidRPr="00C81B24" w:rsidRDefault="00C81B24" w:rsidP="00CE5850">
            <w:pPr>
              <w:ind w:firstLineChars="700" w:firstLine="1400"/>
              <w:jc w:val="right"/>
              <w:rPr>
                <w:kern w:val="0"/>
                <w:sz w:val="20"/>
              </w:rPr>
            </w:pPr>
            <w:r w:rsidRPr="00C81B24">
              <w:rPr>
                <w:kern w:val="0"/>
                <w:sz w:val="20"/>
              </w:rPr>
              <w:t>4,284</w:t>
            </w:r>
          </w:p>
        </w:tc>
        <w:tc>
          <w:tcPr>
            <w:tcW w:w="3340" w:type="dxa"/>
            <w:tcBorders>
              <w:top w:val="nil"/>
              <w:left w:val="nil"/>
              <w:bottom w:val="nil"/>
              <w:right w:val="single" w:sz="8" w:space="0" w:color="auto"/>
            </w:tcBorders>
            <w:noWrap/>
            <w:vAlign w:val="bottom"/>
          </w:tcPr>
          <w:p w:rsidR="00C81B24" w:rsidRPr="00C81B24" w:rsidRDefault="00C81B24" w:rsidP="00CE5850">
            <w:pPr>
              <w:ind w:firstLineChars="1000" w:firstLine="2000"/>
              <w:jc w:val="right"/>
              <w:rPr>
                <w:kern w:val="0"/>
                <w:sz w:val="20"/>
              </w:rPr>
            </w:pPr>
            <w:r w:rsidRPr="00C81B24">
              <w:rPr>
                <w:kern w:val="0"/>
                <w:sz w:val="20"/>
              </w:rPr>
              <w:t>3,297</w:t>
            </w:r>
          </w:p>
        </w:tc>
      </w:tr>
      <w:tr w:rsidR="00C81B24" w:rsidRPr="00C81B24" w:rsidTr="00526AD9">
        <w:trPr>
          <w:trHeight w:val="225"/>
        </w:trPr>
        <w:tc>
          <w:tcPr>
            <w:tcW w:w="1960" w:type="dxa"/>
            <w:tcBorders>
              <w:top w:val="nil"/>
              <w:left w:val="single" w:sz="8" w:space="0" w:color="auto"/>
              <w:bottom w:val="nil"/>
              <w:right w:val="single" w:sz="4" w:space="0" w:color="auto"/>
            </w:tcBorders>
            <w:noWrap/>
            <w:vAlign w:val="bottom"/>
          </w:tcPr>
          <w:p w:rsidR="00C81B24" w:rsidRPr="00C81B24" w:rsidRDefault="00C81B24" w:rsidP="00CE5850">
            <w:pPr>
              <w:rPr>
                <w:kern w:val="0"/>
                <w:sz w:val="20"/>
              </w:rPr>
            </w:pPr>
            <w:r w:rsidRPr="00C81B24">
              <w:rPr>
                <w:kern w:val="0"/>
                <w:sz w:val="20"/>
              </w:rPr>
              <w:t>West Virginia</w:t>
            </w:r>
          </w:p>
        </w:tc>
        <w:tc>
          <w:tcPr>
            <w:tcW w:w="3340" w:type="dxa"/>
            <w:tcBorders>
              <w:top w:val="nil"/>
              <w:left w:val="nil"/>
              <w:bottom w:val="nil"/>
              <w:right w:val="single" w:sz="4" w:space="0" w:color="auto"/>
            </w:tcBorders>
            <w:noWrap/>
            <w:vAlign w:val="bottom"/>
          </w:tcPr>
          <w:p w:rsidR="00C81B24" w:rsidRPr="00C81B24" w:rsidRDefault="00C81B24" w:rsidP="00CE5850">
            <w:pPr>
              <w:ind w:firstLineChars="700" w:firstLine="1400"/>
              <w:jc w:val="right"/>
              <w:rPr>
                <w:kern w:val="0"/>
                <w:sz w:val="20"/>
              </w:rPr>
            </w:pPr>
            <w:r w:rsidRPr="00C81B24">
              <w:rPr>
                <w:kern w:val="0"/>
                <w:sz w:val="20"/>
              </w:rPr>
              <w:t>788</w:t>
            </w:r>
          </w:p>
        </w:tc>
        <w:tc>
          <w:tcPr>
            <w:tcW w:w="3340" w:type="dxa"/>
            <w:tcBorders>
              <w:top w:val="nil"/>
              <w:left w:val="nil"/>
              <w:bottom w:val="nil"/>
              <w:right w:val="single" w:sz="8" w:space="0" w:color="auto"/>
            </w:tcBorders>
            <w:noWrap/>
            <w:vAlign w:val="bottom"/>
          </w:tcPr>
          <w:p w:rsidR="00C81B24" w:rsidRPr="00C81B24" w:rsidRDefault="00C81B24" w:rsidP="00CE5850">
            <w:pPr>
              <w:ind w:firstLineChars="1000" w:firstLine="2000"/>
              <w:jc w:val="right"/>
              <w:rPr>
                <w:kern w:val="0"/>
                <w:sz w:val="20"/>
              </w:rPr>
            </w:pPr>
            <w:r w:rsidRPr="00C81B24">
              <w:rPr>
                <w:kern w:val="0"/>
                <w:sz w:val="20"/>
              </w:rPr>
              <w:t>567</w:t>
            </w:r>
          </w:p>
        </w:tc>
      </w:tr>
      <w:tr w:rsidR="00C81B24" w:rsidRPr="00C81B24" w:rsidTr="00526AD9">
        <w:trPr>
          <w:trHeight w:val="225"/>
        </w:trPr>
        <w:tc>
          <w:tcPr>
            <w:tcW w:w="1960" w:type="dxa"/>
            <w:tcBorders>
              <w:top w:val="nil"/>
              <w:left w:val="single" w:sz="8" w:space="0" w:color="auto"/>
              <w:bottom w:val="nil"/>
              <w:right w:val="single" w:sz="4" w:space="0" w:color="auto"/>
            </w:tcBorders>
            <w:noWrap/>
            <w:vAlign w:val="bottom"/>
          </w:tcPr>
          <w:p w:rsidR="00C81B24" w:rsidRPr="00C81B24" w:rsidRDefault="00C81B24" w:rsidP="00CE5850">
            <w:pPr>
              <w:rPr>
                <w:kern w:val="0"/>
                <w:sz w:val="20"/>
              </w:rPr>
            </w:pPr>
            <w:r w:rsidRPr="00C81B24">
              <w:rPr>
                <w:kern w:val="0"/>
                <w:sz w:val="20"/>
              </w:rPr>
              <w:t>Wisconsin</w:t>
            </w:r>
          </w:p>
        </w:tc>
        <w:tc>
          <w:tcPr>
            <w:tcW w:w="3340" w:type="dxa"/>
            <w:tcBorders>
              <w:top w:val="nil"/>
              <w:left w:val="nil"/>
              <w:bottom w:val="nil"/>
              <w:right w:val="single" w:sz="4" w:space="0" w:color="auto"/>
            </w:tcBorders>
            <w:noWrap/>
            <w:vAlign w:val="bottom"/>
          </w:tcPr>
          <w:p w:rsidR="00C81B24" w:rsidRPr="00C81B24" w:rsidRDefault="00C81B24" w:rsidP="00CE5850">
            <w:pPr>
              <w:ind w:firstLineChars="700" w:firstLine="1400"/>
              <w:jc w:val="right"/>
              <w:rPr>
                <w:kern w:val="0"/>
                <w:sz w:val="20"/>
              </w:rPr>
            </w:pPr>
            <w:r w:rsidRPr="00C81B24">
              <w:rPr>
                <w:kern w:val="0"/>
                <w:sz w:val="20"/>
              </w:rPr>
              <w:t>2,797</w:t>
            </w:r>
          </w:p>
        </w:tc>
        <w:tc>
          <w:tcPr>
            <w:tcW w:w="3340" w:type="dxa"/>
            <w:tcBorders>
              <w:top w:val="nil"/>
              <w:left w:val="nil"/>
              <w:bottom w:val="nil"/>
              <w:right w:val="single" w:sz="8" w:space="0" w:color="auto"/>
            </w:tcBorders>
            <w:noWrap/>
            <w:vAlign w:val="bottom"/>
          </w:tcPr>
          <w:p w:rsidR="00C81B24" w:rsidRPr="00C81B24" w:rsidRDefault="00C81B24" w:rsidP="00CE5850">
            <w:pPr>
              <w:ind w:firstLineChars="1000" w:firstLine="2000"/>
              <w:jc w:val="right"/>
              <w:rPr>
                <w:kern w:val="0"/>
                <w:sz w:val="20"/>
              </w:rPr>
            </w:pPr>
            <w:r w:rsidRPr="00C81B24">
              <w:rPr>
                <w:kern w:val="0"/>
                <w:sz w:val="20"/>
              </w:rPr>
              <w:t>1,920</w:t>
            </w:r>
          </w:p>
        </w:tc>
      </w:tr>
      <w:tr w:rsidR="00C81B24" w:rsidRPr="00C81B24" w:rsidTr="00526AD9">
        <w:trPr>
          <w:trHeight w:val="225"/>
        </w:trPr>
        <w:tc>
          <w:tcPr>
            <w:tcW w:w="1960" w:type="dxa"/>
            <w:tcBorders>
              <w:top w:val="nil"/>
              <w:left w:val="single" w:sz="8" w:space="0" w:color="auto"/>
              <w:bottom w:val="single" w:sz="4" w:space="0" w:color="auto"/>
              <w:right w:val="single" w:sz="4" w:space="0" w:color="auto"/>
            </w:tcBorders>
            <w:noWrap/>
            <w:vAlign w:val="bottom"/>
          </w:tcPr>
          <w:p w:rsidR="00C81B24" w:rsidRPr="00C81B24" w:rsidRDefault="00C81B24" w:rsidP="00CE5850">
            <w:pPr>
              <w:rPr>
                <w:kern w:val="0"/>
                <w:sz w:val="20"/>
              </w:rPr>
            </w:pPr>
            <w:r w:rsidRPr="00C81B24">
              <w:rPr>
                <w:kern w:val="0"/>
                <w:sz w:val="20"/>
              </w:rPr>
              <w:t>Wyoming</w:t>
            </w:r>
          </w:p>
        </w:tc>
        <w:tc>
          <w:tcPr>
            <w:tcW w:w="3340" w:type="dxa"/>
            <w:tcBorders>
              <w:top w:val="nil"/>
              <w:left w:val="nil"/>
              <w:bottom w:val="single" w:sz="4" w:space="0" w:color="auto"/>
              <w:right w:val="single" w:sz="4" w:space="0" w:color="auto"/>
            </w:tcBorders>
            <w:noWrap/>
            <w:vAlign w:val="bottom"/>
          </w:tcPr>
          <w:p w:rsidR="00C81B24" w:rsidRPr="00C81B24" w:rsidRDefault="00C81B24" w:rsidP="00CE5850">
            <w:pPr>
              <w:ind w:firstLineChars="700" w:firstLine="1400"/>
              <w:jc w:val="right"/>
              <w:rPr>
                <w:kern w:val="0"/>
                <w:sz w:val="20"/>
              </w:rPr>
            </w:pPr>
            <w:r w:rsidRPr="00C81B24">
              <w:rPr>
                <w:kern w:val="0"/>
                <w:sz w:val="20"/>
              </w:rPr>
              <w:t>323</w:t>
            </w:r>
          </w:p>
        </w:tc>
        <w:tc>
          <w:tcPr>
            <w:tcW w:w="3340" w:type="dxa"/>
            <w:tcBorders>
              <w:top w:val="nil"/>
              <w:left w:val="nil"/>
              <w:bottom w:val="single" w:sz="4" w:space="0" w:color="auto"/>
              <w:right w:val="single" w:sz="8" w:space="0" w:color="auto"/>
            </w:tcBorders>
            <w:noWrap/>
            <w:vAlign w:val="bottom"/>
          </w:tcPr>
          <w:p w:rsidR="00C81B24" w:rsidRPr="00C81B24" w:rsidRDefault="00C81B24" w:rsidP="00CE5850">
            <w:pPr>
              <w:ind w:firstLineChars="1000" w:firstLine="2000"/>
              <w:jc w:val="right"/>
              <w:rPr>
                <w:kern w:val="0"/>
                <w:sz w:val="20"/>
              </w:rPr>
            </w:pPr>
            <w:r w:rsidRPr="00C81B24">
              <w:rPr>
                <w:kern w:val="0"/>
                <w:sz w:val="20"/>
              </w:rPr>
              <w:t>228</w:t>
            </w:r>
          </w:p>
        </w:tc>
      </w:tr>
      <w:tr w:rsidR="00C81B24" w:rsidRPr="00C81B24" w:rsidTr="00526AD9">
        <w:trPr>
          <w:trHeight w:val="225"/>
        </w:trPr>
        <w:tc>
          <w:tcPr>
            <w:tcW w:w="1960" w:type="dxa"/>
            <w:tcBorders>
              <w:top w:val="nil"/>
              <w:left w:val="single" w:sz="8" w:space="0" w:color="auto"/>
              <w:bottom w:val="single" w:sz="8" w:space="0" w:color="auto"/>
              <w:right w:val="single" w:sz="4" w:space="0" w:color="auto"/>
            </w:tcBorders>
            <w:noWrap/>
            <w:vAlign w:val="bottom"/>
          </w:tcPr>
          <w:p w:rsidR="00C81B24" w:rsidRPr="00C81B24" w:rsidRDefault="00C81B24" w:rsidP="00CE5850">
            <w:pPr>
              <w:rPr>
                <w:kern w:val="0"/>
                <w:sz w:val="20"/>
              </w:rPr>
            </w:pPr>
            <w:r w:rsidRPr="00C81B24">
              <w:rPr>
                <w:kern w:val="0"/>
                <w:sz w:val="20"/>
              </w:rPr>
              <w:t xml:space="preserve">Nationwide </w:t>
            </w:r>
          </w:p>
        </w:tc>
        <w:tc>
          <w:tcPr>
            <w:tcW w:w="3340" w:type="dxa"/>
            <w:tcBorders>
              <w:top w:val="nil"/>
              <w:left w:val="nil"/>
              <w:bottom w:val="single" w:sz="4" w:space="0" w:color="auto"/>
              <w:right w:val="single" w:sz="4" w:space="0" w:color="auto"/>
            </w:tcBorders>
            <w:noWrap/>
            <w:vAlign w:val="bottom"/>
          </w:tcPr>
          <w:p w:rsidR="00C81B24" w:rsidRPr="00C81B24" w:rsidRDefault="00C81B24" w:rsidP="00CE5850">
            <w:pPr>
              <w:ind w:firstLineChars="700" w:firstLine="1400"/>
              <w:jc w:val="right"/>
              <w:rPr>
                <w:kern w:val="0"/>
                <w:sz w:val="20"/>
              </w:rPr>
            </w:pPr>
            <w:r w:rsidRPr="00C81B24">
              <w:rPr>
                <w:kern w:val="0"/>
                <w:sz w:val="20"/>
              </w:rPr>
              <w:t>183,666</w:t>
            </w:r>
          </w:p>
        </w:tc>
        <w:tc>
          <w:tcPr>
            <w:tcW w:w="3340" w:type="dxa"/>
            <w:tcBorders>
              <w:top w:val="nil"/>
              <w:left w:val="nil"/>
              <w:bottom w:val="single" w:sz="8" w:space="0" w:color="auto"/>
              <w:right w:val="single" w:sz="8" w:space="0" w:color="auto"/>
            </w:tcBorders>
            <w:noWrap/>
            <w:vAlign w:val="bottom"/>
          </w:tcPr>
          <w:p w:rsidR="00C81B24" w:rsidRPr="00C81B24" w:rsidRDefault="00C81B24" w:rsidP="00CE5850">
            <w:pPr>
              <w:ind w:firstLineChars="1000" w:firstLine="2000"/>
              <w:jc w:val="right"/>
              <w:rPr>
                <w:kern w:val="0"/>
                <w:sz w:val="20"/>
              </w:rPr>
            </w:pPr>
            <w:r w:rsidRPr="00C81B24">
              <w:rPr>
                <w:kern w:val="0"/>
                <w:sz w:val="20"/>
              </w:rPr>
              <w:t>142,066</w:t>
            </w:r>
          </w:p>
        </w:tc>
      </w:tr>
    </w:tbl>
    <w:p w:rsidR="00C81B24" w:rsidRPr="00C81B24" w:rsidRDefault="00C81B24" w:rsidP="00CE5850">
      <w:pPr>
        <w:spacing w:before="120" w:after="120"/>
        <w:rPr>
          <w:kern w:val="0"/>
          <w:sz w:val="20"/>
        </w:rPr>
      </w:pPr>
    </w:p>
    <w:p w:rsidR="00C81B24" w:rsidRPr="00C81B24" w:rsidRDefault="00C81B24" w:rsidP="00CE5850">
      <w:pPr>
        <w:outlineLvl w:val="0"/>
        <w:rPr>
          <w:b/>
          <w:sz w:val="20"/>
        </w:rPr>
      </w:pPr>
      <w:bookmarkStart w:id="6904" w:name="_Toc329262579"/>
      <w:bookmarkStart w:id="6905" w:name="_Toc329852485"/>
      <w:bookmarkStart w:id="6906" w:name="_Toc331766408"/>
      <w:bookmarkStart w:id="6907" w:name="_Toc332119212"/>
      <w:bookmarkStart w:id="6908" w:name="_Toc334088867"/>
      <w:bookmarkStart w:id="6909" w:name="_Toc334089103"/>
      <w:bookmarkStart w:id="6910" w:name="_Toc334089262"/>
      <w:bookmarkStart w:id="6911" w:name="_Toc334089373"/>
      <w:bookmarkStart w:id="6912" w:name="_Toc334089537"/>
      <w:bookmarkStart w:id="6913" w:name="_Toc335839115"/>
      <w:bookmarkStart w:id="6914" w:name="_Toc336268677"/>
      <w:bookmarkStart w:id="6915" w:name="_Toc336268785"/>
      <w:bookmarkStart w:id="6916" w:name="_Toc336268892"/>
      <w:bookmarkStart w:id="6917" w:name="_Toc336269106"/>
      <w:bookmarkStart w:id="6918" w:name="_Toc336269213"/>
      <w:bookmarkStart w:id="6919" w:name="_Toc336269581"/>
      <w:bookmarkStart w:id="6920" w:name="_Toc336269727"/>
      <w:bookmarkStart w:id="6921" w:name="_Toc336270140"/>
      <w:bookmarkStart w:id="6922" w:name="_Ref256157923"/>
      <w:r w:rsidRPr="00C81B24">
        <w:rPr>
          <w:bCs/>
          <w:sz w:val="20"/>
        </w:rPr>
        <w:t>Source:  FCC Form 477.</w:t>
      </w:r>
      <w:bookmarkEnd w:id="6904"/>
      <w:bookmarkEnd w:id="6905"/>
      <w:bookmarkEnd w:id="6906"/>
      <w:bookmarkEnd w:id="6907"/>
      <w:bookmarkEnd w:id="6908"/>
      <w:bookmarkEnd w:id="6909"/>
      <w:bookmarkEnd w:id="6910"/>
      <w:bookmarkEnd w:id="6911"/>
      <w:bookmarkEnd w:id="6912"/>
      <w:bookmarkEnd w:id="6913"/>
      <w:bookmarkEnd w:id="6914"/>
      <w:bookmarkEnd w:id="6915"/>
      <w:bookmarkEnd w:id="6916"/>
      <w:bookmarkEnd w:id="6917"/>
      <w:bookmarkEnd w:id="6918"/>
      <w:bookmarkEnd w:id="6919"/>
      <w:bookmarkEnd w:id="6920"/>
      <w:bookmarkEnd w:id="6921"/>
      <w:r w:rsidRPr="00C81B24">
        <w:rPr>
          <w:bCs/>
          <w:sz w:val="20"/>
        </w:rPr>
        <w:t xml:space="preserve">  </w:t>
      </w:r>
    </w:p>
    <w:p w:rsidR="00C81B24" w:rsidRPr="00C81B24" w:rsidRDefault="00C81B24" w:rsidP="00CE5850">
      <w:pPr>
        <w:spacing w:before="120" w:after="120"/>
        <w:rPr>
          <w:kern w:val="0"/>
          <w:sz w:val="20"/>
        </w:rPr>
      </w:pPr>
      <w:r w:rsidRPr="00C81B24">
        <w:rPr>
          <w:bCs/>
          <w:kern w:val="0"/>
          <w:sz w:val="20"/>
        </w:rPr>
        <w:t>* = Data withheld</w:t>
      </w:r>
      <w:r w:rsidRPr="00C81B24">
        <w:rPr>
          <w:kern w:val="0"/>
          <w:sz w:val="20"/>
        </w:rPr>
        <w:t xml:space="preserve"> to maintain form confidentiality.</w:t>
      </w:r>
    </w:p>
    <w:bookmarkEnd w:id="6922"/>
    <w:p w:rsidR="00C81B24" w:rsidRPr="00C81B24" w:rsidRDefault="00C81B24" w:rsidP="00CE5850">
      <w:pPr>
        <w:outlineLvl w:val="0"/>
        <w:rPr>
          <w:sz w:val="20"/>
        </w:rPr>
      </w:pPr>
    </w:p>
    <w:p w:rsidR="00C81B24" w:rsidRPr="00C81B24" w:rsidRDefault="00C81B24" w:rsidP="00CE5850">
      <w:pPr>
        <w:spacing w:before="120" w:after="120"/>
        <w:rPr>
          <w:kern w:val="0"/>
          <w:sz w:val="20"/>
        </w:rPr>
      </w:pPr>
    </w:p>
    <w:p w:rsidR="00C81B24" w:rsidRPr="00C81B24" w:rsidRDefault="00C81B24" w:rsidP="00CE5850">
      <w:pPr>
        <w:spacing w:before="120" w:after="120"/>
        <w:rPr>
          <w:kern w:val="0"/>
          <w:sz w:val="20"/>
        </w:rPr>
        <w:sectPr w:rsidR="00C81B24" w:rsidRPr="00C81B24" w:rsidSect="00EA514E">
          <w:footnotePr>
            <w:numRestart w:val="eachSect"/>
          </w:footnotePr>
          <w:endnotePr>
            <w:numFmt w:val="decimal"/>
          </w:endnotePr>
          <w:type w:val="continuous"/>
          <w:pgSz w:w="12240" w:h="15840" w:code="1"/>
          <w:pgMar w:top="1080" w:right="1440" w:bottom="1080" w:left="1440" w:header="720" w:footer="720" w:gutter="0"/>
          <w:cols w:space="720"/>
          <w:docGrid w:linePitch="299"/>
        </w:sectPr>
      </w:pPr>
    </w:p>
    <w:p w:rsidR="00EA514E" w:rsidRDefault="00C81B24" w:rsidP="00CE5850">
      <w:pPr>
        <w:spacing w:before="120"/>
        <w:jc w:val="center"/>
        <w:rPr>
          <w:kern w:val="0"/>
          <w:sz w:val="20"/>
        </w:rPr>
      </w:pPr>
      <w:r w:rsidRPr="00C81B24">
        <w:rPr>
          <w:kern w:val="0"/>
          <w:sz w:val="20"/>
        </w:rPr>
        <w:br w:type="page"/>
      </w:r>
      <w:bookmarkStart w:id="6923" w:name="_Toc278893127"/>
    </w:p>
    <w:p w:rsidR="00EA514E" w:rsidRDefault="00EA514E" w:rsidP="00CE5850">
      <w:pPr>
        <w:spacing w:before="120"/>
        <w:jc w:val="center"/>
        <w:rPr>
          <w:kern w:val="0"/>
          <w:sz w:val="20"/>
        </w:rPr>
        <w:sectPr w:rsidR="00EA514E" w:rsidSect="006D00DF">
          <w:endnotePr>
            <w:numFmt w:val="decimal"/>
          </w:endnotePr>
          <w:type w:val="continuous"/>
          <w:pgSz w:w="12240" w:h="15840" w:code="1"/>
          <w:pgMar w:top="1080" w:right="1440" w:bottom="1080" w:left="1440" w:header="720" w:footer="720" w:gutter="0"/>
          <w:cols w:space="720"/>
        </w:sectPr>
      </w:pPr>
    </w:p>
    <w:p w:rsidR="00EA514E" w:rsidRDefault="00EA514E" w:rsidP="00CE5850">
      <w:pPr>
        <w:spacing w:before="120"/>
        <w:jc w:val="center"/>
        <w:rPr>
          <w:kern w:val="0"/>
          <w:sz w:val="20"/>
        </w:rPr>
      </w:pPr>
    </w:p>
    <w:p w:rsidR="00EA514E" w:rsidRDefault="00EA514E" w:rsidP="00CE5850">
      <w:pPr>
        <w:spacing w:before="120"/>
        <w:jc w:val="center"/>
        <w:rPr>
          <w:b/>
          <w:kern w:val="0"/>
          <w:szCs w:val="22"/>
        </w:rPr>
        <w:sectPr w:rsidR="00EA514E" w:rsidSect="006D00DF">
          <w:endnotePr>
            <w:numFmt w:val="decimal"/>
          </w:endnotePr>
          <w:type w:val="continuous"/>
          <w:pgSz w:w="12240" w:h="15840" w:code="1"/>
          <w:pgMar w:top="1080" w:right="1440" w:bottom="1080" w:left="1440" w:header="720" w:footer="720" w:gutter="0"/>
          <w:cols w:space="720"/>
        </w:sectPr>
      </w:pPr>
    </w:p>
    <w:p w:rsidR="00C81B24" w:rsidRPr="00C81B24" w:rsidRDefault="00C81B24" w:rsidP="00CE5850">
      <w:pPr>
        <w:spacing w:before="120"/>
        <w:jc w:val="center"/>
        <w:rPr>
          <w:b/>
          <w:kern w:val="0"/>
          <w:szCs w:val="22"/>
        </w:rPr>
      </w:pPr>
      <w:r w:rsidRPr="00C81B24">
        <w:rPr>
          <w:b/>
          <w:kern w:val="0"/>
          <w:szCs w:val="22"/>
        </w:rPr>
        <w:t>Table B-6</w:t>
      </w:r>
    </w:p>
    <w:p w:rsidR="00C81B24" w:rsidRPr="00C81B24" w:rsidRDefault="00C81B24" w:rsidP="00CE5850">
      <w:pPr>
        <w:spacing w:after="120"/>
        <w:jc w:val="center"/>
        <w:rPr>
          <w:b/>
          <w:kern w:val="0"/>
          <w:sz w:val="20"/>
        </w:rPr>
      </w:pPr>
      <w:r w:rsidRPr="00C81B24">
        <w:rPr>
          <w:b/>
          <w:kern w:val="0"/>
          <w:szCs w:val="22"/>
        </w:rPr>
        <w:t xml:space="preserve"> </w:t>
      </w:r>
      <w:r w:rsidRPr="00C81B24">
        <w:rPr>
          <w:b/>
          <w:bCs/>
          <w:noProof/>
          <w:kern w:val="0"/>
          <w:szCs w:val="22"/>
        </w:rPr>
        <w:t>Network Performance Results,</w:t>
      </w:r>
      <w:r w:rsidRPr="00C81B24">
        <w:rPr>
          <w:bCs/>
          <w:noProof/>
          <w:kern w:val="0"/>
          <w:szCs w:val="22"/>
        </w:rPr>
        <w:t xml:space="preserve"> </w:t>
      </w:r>
      <w:r w:rsidRPr="00C81B24">
        <w:rPr>
          <w:b/>
          <w:bCs/>
          <w:noProof/>
          <w:kern w:val="0"/>
          <w:szCs w:val="22"/>
        </w:rPr>
        <w:t>Average Data Speeds for Laptops and Smartphones, PCWorld, March 2011</w:t>
      </w:r>
      <w:r w:rsidRPr="00C81B24">
        <w:rPr>
          <w:bCs/>
          <w:noProof/>
          <w:kern w:val="0"/>
          <w:sz w:val="20"/>
          <w:vertAlign w:val="superscript"/>
        </w:rPr>
        <w:footnoteReference w:id="1348"/>
      </w:r>
      <w:bookmarkEnd w:id="6923"/>
    </w:p>
    <w:tbl>
      <w:tblPr>
        <w:tblW w:w="7180" w:type="dxa"/>
        <w:jc w:val="center"/>
        <w:tblInd w:w="93" w:type="dxa"/>
        <w:tblLook w:val="00A0" w:firstRow="1" w:lastRow="0" w:firstColumn="1" w:lastColumn="0" w:noHBand="0" w:noVBand="0"/>
      </w:tblPr>
      <w:tblGrid>
        <w:gridCol w:w="2340"/>
        <w:gridCol w:w="1180"/>
        <w:gridCol w:w="1180"/>
        <w:gridCol w:w="1240"/>
        <w:gridCol w:w="1240"/>
      </w:tblGrid>
      <w:tr w:rsidR="00C81B24" w:rsidRPr="00C81B24" w:rsidTr="00526AD9">
        <w:trPr>
          <w:trHeight w:val="315"/>
          <w:jc w:val="center"/>
        </w:trPr>
        <w:tc>
          <w:tcPr>
            <w:tcW w:w="2340" w:type="dxa"/>
            <w:vMerge w:val="restart"/>
            <w:tcBorders>
              <w:top w:val="single" w:sz="8" w:space="0" w:color="auto"/>
              <w:left w:val="single" w:sz="8" w:space="0" w:color="auto"/>
              <w:bottom w:val="single" w:sz="8" w:space="0" w:color="000000"/>
              <w:right w:val="single" w:sz="8" w:space="0" w:color="auto"/>
            </w:tcBorders>
            <w:vAlign w:val="center"/>
          </w:tcPr>
          <w:p w:rsidR="00C81B24" w:rsidRPr="00C81B24" w:rsidRDefault="00C81B24" w:rsidP="00CE5850">
            <w:pPr>
              <w:rPr>
                <w:b/>
                <w:bCs/>
                <w:color w:val="000000"/>
                <w:sz w:val="20"/>
              </w:rPr>
            </w:pPr>
            <w:r w:rsidRPr="00C81B24">
              <w:rPr>
                <w:b/>
                <w:bCs/>
                <w:color w:val="000000"/>
                <w:sz w:val="20"/>
              </w:rPr>
              <w:t>Provider</w:t>
            </w:r>
          </w:p>
        </w:tc>
        <w:tc>
          <w:tcPr>
            <w:tcW w:w="2360" w:type="dxa"/>
            <w:gridSpan w:val="2"/>
            <w:tcBorders>
              <w:top w:val="single" w:sz="8" w:space="0" w:color="auto"/>
              <w:left w:val="nil"/>
              <w:bottom w:val="single" w:sz="8" w:space="0" w:color="auto"/>
              <w:right w:val="single" w:sz="8" w:space="0" w:color="000000"/>
            </w:tcBorders>
            <w:vAlign w:val="center"/>
          </w:tcPr>
          <w:p w:rsidR="00C81B24" w:rsidRPr="00C81B24" w:rsidRDefault="00C81B24" w:rsidP="00CE5850">
            <w:pPr>
              <w:jc w:val="center"/>
              <w:rPr>
                <w:b/>
                <w:bCs/>
                <w:color w:val="000000"/>
                <w:sz w:val="20"/>
              </w:rPr>
            </w:pPr>
            <w:r w:rsidRPr="00C81B24">
              <w:rPr>
                <w:b/>
                <w:bCs/>
                <w:color w:val="000000"/>
                <w:sz w:val="20"/>
              </w:rPr>
              <w:t>Laptops</w:t>
            </w:r>
          </w:p>
        </w:tc>
        <w:tc>
          <w:tcPr>
            <w:tcW w:w="2480" w:type="dxa"/>
            <w:gridSpan w:val="2"/>
            <w:tcBorders>
              <w:top w:val="single" w:sz="8" w:space="0" w:color="auto"/>
              <w:left w:val="nil"/>
              <w:bottom w:val="single" w:sz="8" w:space="0" w:color="auto"/>
              <w:right w:val="single" w:sz="8" w:space="0" w:color="000000"/>
            </w:tcBorders>
            <w:vAlign w:val="center"/>
          </w:tcPr>
          <w:p w:rsidR="00C81B24" w:rsidRPr="00C81B24" w:rsidRDefault="00C81B24" w:rsidP="00CE5850">
            <w:pPr>
              <w:jc w:val="center"/>
              <w:rPr>
                <w:b/>
                <w:bCs/>
                <w:color w:val="000000"/>
                <w:sz w:val="20"/>
              </w:rPr>
            </w:pPr>
            <w:r w:rsidRPr="00C81B24">
              <w:rPr>
                <w:b/>
                <w:bCs/>
                <w:color w:val="000000"/>
                <w:sz w:val="20"/>
              </w:rPr>
              <w:t>Smartphones</w:t>
            </w:r>
          </w:p>
        </w:tc>
      </w:tr>
      <w:tr w:rsidR="00C81B24" w:rsidRPr="00C81B24" w:rsidTr="00526AD9">
        <w:trPr>
          <w:trHeight w:val="735"/>
          <w:jc w:val="center"/>
        </w:trPr>
        <w:tc>
          <w:tcPr>
            <w:tcW w:w="2340" w:type="dxa"/>
            <w:vMerge/>
            <w:tcBorders>
              <w:top w:val="single" w:sz="8" w:space="0" w:color="auto"/>
              <w:left w:val="single" w:sz="8" w:space="0" w:color="auto"/>
              <w:bottom w:val="single" w:sz="8" w:space="0" w:color="000000"/>
              <w:right w:val="single" w:sz="8" w:space="0" w:color="auto"/>
            </w:tcBorders>
            <w:vAlign w:val="center"/>
          </w:tcPr>
          <w:p w:rsidR="00C81B24" w:rsidRPr="00C81B24" w:rsidRDefault="00C81B24" w:rsidP="00CE5850">
            <w:pPr>
              <w:rPr>
                <w:b/>
                <w:bCs/>
                <w:color w:val="000000"/>
                <w:sz w:val="20"/>
              </w:rPr>
            </w:pPr>
          </w:p>
        </w:tc>
        <w:tc>
          <w:tcPr>
            <w:tcW w:w="1180" w:type="dxa"/>
            <w:tcBorders>
              <w:top w:val="nil"/>
              <w:left w:val="nil"/>
              <w:bottom w:val="single" w:sz="8" w:space="0" w:color="auto"/>
              <w:right w:val="single" w:sz="4" w:space="0" w:color="auto"/>
            </w:tcBorders>
            <w:vAlign w:val="center"/>
          </w:tcPr>
          <w:p w:rsidR="00C81B24" w:rsidRPr="00C81B24" w:rsidRDefault="00C81B24" w:rsidP="00CE5850">
            <w:pPr>
              <w:jc w:val="center"/>
              <w:rPr>
                <w:b/>
                <w:bCs/>
                <w:color w:val="000000"/>
                <w:sz w:val="20"/>
              </w:rPr>
            </w:pPr>
            <w:r w:rsidRPr="00C81B24">
              <w:rPr>
                <w:b/>
                <w:bCs/>
                <w:color w:val="000000"/>
                <w:sz w:val="20"/>
              </w:rPr>
              <w:t>Average Download Speed (Mbps)</w:t>
            </w:r>
          </w:p>
        </w:tc>
        <w:tc>
          <w:tcPr>
            <w:tcW w:w="1180" w:type="dxa"/>
            <w:tcBorders>
              <w:top w:val="nil"/>
              <w:left w:val="nil"/>
              <w:bottom w:val="single" w:sz="8" w:space="0" w:color="auto"/>
              <w:right w:val="single" w:sz="8" w:space="0" w:color="auto"/>
            </w:tcBorders>
            <w:vAlign w:val="center"/>
          </w:tcPr>
          <w:p w:rsidR="00C81B24" w:rsidRPr="00C81B24" w:rsidRDefault="00C81B24" w:rsidP="00CE5850">
            <w:pPr>
              <w:jc w:val="center"/>
              <w:rPr>
                <w:b/>
                <w:bCs/>
                <w:color w:val="000000"/>
                <w:sz w:val="20"/>
              </w:rPr>
            </w:pPr>
            <w:r w:rsidRPr="00C81B24">
              <w:rPr>
                <w:b/>
                <w:bCs/>
                <w:color w:val="000000"/>
                <w:sz w:val="20"/>
              </w:rPr>
              <w:t>Average Upload Speed (Mbps)</w:t>
            </w:r>
          </w:p>
        </w:tc>
        <w:tc>
          <w:tcPr>
            <w:tcW w:w="1240" w:type="dxa"/>
            <w:tcBorders>
              <w:top w:val="nil"/>
              <w:left w:val="nil"/>
              <w:bottom w:val="single" w:sz="8" w:space="0" w:color="auto"/>
              <w:right w:val="single" w:sz="4" w:space="0" w:color="auto"/>
            </w:tcBorders>
            <w:vAlign w:val="center"/>
          </w:tcPr>
          <w:p w:rsidR="00C81B24" w:rsidRPr="00C81B24" w:rsidRDefault="00C81B24" w:rsidP="00CE5850">
            <w:pPr>
              <w:jc w:val="center"/>
              <w:rPr>
                <w:b/>
                <w:bCs/>
                <w:color w:val="000000"/>
                <w:sz w:val="20"/>
              </w:rPr>
            </w:pPr>
            <w:r w:rsidRPr="00C81B24">
              <w:rPr>
                <w:b/>
                <w:bCs/>
                <w:color w:val="000000"/>
                <w:sz w:val="20"/>
              </w:rPr>
              <w:t>Average Download Speed (Mbps)</w:t>
            </w:r>
          </w:p>
        </w:tc>
        <w:tc>
          <w:tcPr>
            <w:tcW w:w="1240" w:type="dxa"/>
            <w:tcBorders>
              <w:top w:val="nil"/>
              <w:left w:val="nil"/>
              <w:bottom w:val="single" w:sz="8" w:space="0" w:color="auto"/>
              <w:right w:val="single" w:sz="8" w:space="0" w:color="auto"/>
            </w:tcBorders>
            <w:vAlign w:val="center"/>
          </w:tcPr>
          <w:p w:rsidR="00C81B24" w:rsidRPr="00C81B24" w:rsidRDefault="00C81B24" w:rsidP="00CE5850">
            <w:pPr>
              <w:jc w:val="center"/>
              <w:rPr>
                <w:b/>
                <w:bCs/>
                <w:color w:val="000000"/>
                <w:sz w:val="20"/>
              </w:rPr>
            </w:pPr>
            <w:r w:rsidRPr="00C81B24">
              <w:rPr>
                <w:b/>
                <w:bCs/>
                <w:color w:val="000000"/>
                <w:sz w:val="20"/>
              </w:rPr>
              <w:t>Average Upload Speed (Mbps)</w:t>
            </w:r>
          </w:p>
        </w:tc>
      </w:tr>
      <w:tr w:rsidR="00C81B24" w:rsidRPr="00C81B24" w:rsidTr="00526AD9">
        <w:trPr>
          <w:trHeight w:val="300"/>
          <w:jc w:val="center"/>
        </w:trPr>
        <w:tc>
          <w:tcPr>
            <w:tcW w:w="2340" w:type="dxa"/>
            <w:tcBorders>
              <w:top w:val="nil"/>
              <w:left w:val="single" w:sz="8" w:space="0" w:color="auto"/>
              <w:bottom w:val="single" w:sz="4" w:space="0" w:color="auto"/>
              <w:right w:val="single" w:sz="8" w:space="0" w:color="auto"/>
            </w:tcBorders>
            <w:vAlign w:val="center"/>
          </w:tcPr>
          <w:p w:rsidR="00C81B24" w:rsidRPr="00C81B24" w:rsidRDefault="00C81B24" w:rsidP="00CE5850">
            <w:pPr>
              <w:rPr>
                <w:bCs/>
                <w:color w:val="000000"/>
                <w:sz w:val="20"/>
              </w:rPr>
            </w:pPr>
            <w:r w:rsidRPr="00C81B24">
              <w:rPr>
                <w:bCs/>
                <w:color w:val="000000"/>
                <w:sz w:val="20"/>
              </w:rPr>
              <w:t>AT&amp;T</w:t>
            </w:r>
          </w:p>
        </w:tc>
        <w:tc>
          <w:tcPr>
            <w:tcW w:w="1180" w:type="dxa"/>
            <w:tcBorders>
              <w:top w:val="nil"/>
              <w:left w:val="nil"/>
              <w:bottom w:val="single" w:sz="4" w:space="0" w:color="auto"/>
              <w:right w:val="single" w:sz="4" w:space="0" w:color="auto"/>
            </w:tcBorders>
            <w:vAlign w:val="center"/>
          </w:tcPr>
          <w:p w:rsidR="00C81B24" w:rsidRPr="00C81B24" w:rsidRDefault="00C81B24" w:rsidP="00CE5850">
            <w:pPr>
              <w:jc w:val="center"/>
              <w:rPr>
                <w:color w:val="000000"/>
                <w:sz w:val="20"/>
              </w:rPr>
            </w:pPr>
            <w:r w:rsidRPr="00C81B24">
              <w:rPr>
                <w:color w:val="000000"/>
                <w:sz w:val="20"/>
              </w:rPr>
              <w:t>2.48</w:t>
            </w:r>
          </w:p>
        </w:tc>
        <w:tc>
          <w:tcPr>
            <w:tcW w:w="1180" w:type="dxa"/>
            <w:tcBorders>
              <w:top w:val="nil"/>
              <w:left w:val="nil"/>
              <w:bottom w:val="single" w:sz="4" w:space="0" w:color="auto"/>
              <w:right w:val="single" w:sz="4" w:space="0" w:color="auto"/>
            </w:tcBorders>
            <w:vAlign w:val="center"/>
          </w:tcPr>
          <w:p w:rsidR="00C81B24" w:rsidRPr="00C81B24" w:rsidRDefault="00C81B24" w:rsidP="00CE5850">
            <w:pPr>
              <w:jc w:val="center"/>
              <w:rPr>
                <w:color w:val="000000"/>
                <w:sz w:val="20"/>
              </w:rPr>
            </w:pPr>
            <w:r w:rsidRPr="00C81B24">
              <w:rPr>
                <w:color w:val="000000"/>
                <w:sz w:val="20"/>
              </w:rPr>
              <w:t>1.05</w:t>
            </w:r>
          </w:p>
        </w:tc>
        <w:tc>
          <w:tcPr>
            <w:tcW w:w="1240" w:type="dxa"/>
            <w:tcBorders>
              <w:top w:val="nil"/>
              <w:left w:val="nil"/>
              <w:bottom w:val="single" w:sz="4" w:space="0" w:color="auto"/>
              <w:right w:val="single" w:sz="4" w:space="0" w:color="auto"/>
            </w:tcBorders>
            <w:vAlign w:val="center"/>
          </w:tcPr>
          <w:p w:rsidR="00C81B24" w:rsidRPr="00C81B24" w:rsidRDefault="00C81B24" w:rsidP="00CE5850">
            <w:pPr>
              <w:jc w:val="center"/>
              <w:rPr>
                <w:color w:val="000000"/>
                <w:sz w:val="20"/>
              </w:rPr>
            </w:pPr>
            <w:r w:rsidRPr="00C81B24">
              <w:rPr>
                <w:color w:val="000000"/>
                <w:sz w:val="20"/>
              </w:rPr>
              <w:t>1.45</w:t>
            </w:r>
          </w:p>
        </w:tc>
        <w:tc>
          <w:tcPr>
            <w:tcW w:w="1240" w:type="dxa"/>
            <w:tcBorders>
              <w:top w:val="nil"/>
              <w:left w:val="nil"/>
              <w:bottom w:val="single" w:sz="4" w:space="0" w:color="auto"/>
              <w:right w:val="single" w:sz="8" w:space="0" w:color="auto"/>
            </w:tcBorders>
            <w:vAlign w:val="center"/>
          </w:tcPr>
          <w:p w:rsidR="00C81B24" w:rsidRPr="00C81B24" w:rsidRDefault="00C81B24" w:rsidP="00CE5850">
            <w:pPr>
              <w:jc w:val="center"/>
              <w:rPr>
                <w:color w:val="000000"/>
                <w:sz w:val="20"/>
              </w:rPr>
            </w:pPr>
            <w:r w:rsidRPr="00C81B24">
              <w:rPr>
                <w:color w:val="000000"/>
                <w:sz w:val="20"/>
              </w:rPr>
              <w:t>0.97</w:t>
            </w:r>
          </w:p>
        </w:tc>
      </w:tr>
      <w:tr w:rsidR="00C81B24" w:rsidRPr="00C81B24" w:rsidTr="00526AD9">
        <w:trPr>
          <w:trHeight w:val="300"/>
          <w:jc w:val="center"/>
        </w:trPr>
        <w:tc>
          <w:tcPr>
            <w:tcW w:w="2340" w:type="dxa"/>
            <w:tcBorders>
              <w:top w:val="nil"/>
              <w:left w:val="single" w:sz="8" w:space="0" w:color="auto"/>
              <w:bottom w:val="single" w:sz="4" w:space="0" w:color="auto"/>
              <w:right w:val="single" w:sz="8" w:space="0" w:color="auto"/>
            </w:tcBorders>
            <w:vAlign w:val="center"/>
          </w:tcPr>
          <w:p w:rsidR="00C81B24" w:rsidRPr="00C81B24" w:rsidRDefault="00C81B24" w:rsidP="00CE5850">
            <w:pPr>
              <w:rPr>
                <w:bCs/>
                <w:color w:val="000000"/>
                <w:sz w:val="20"/>
              </w:rPr>
            </w:pPr>
            <w:r w:rsidRPr="00C81B24">
              <w:rPr>
                <w:bCs/>
                <w:color w:val="000000"/>
                <w:sz w:val="20"/>
              </w:rPr>
              <w:t>Sprint Nextel</w:t>
            </w:r>
          </w:p>
        </w:tc>
        <w:tc>
          <w:tcPr>
            <w:tcW w:w="1180" w:type="dxa"/>
            <w:tcBorders>
              <w:top w:val="nil"/>
              <w:left w:val="nil"/>
              <w:bottom w:val="single" w:sz="4" w:space="0" w:color="auto"/>
              <w:right w:val="single" w:sz="4" w:space="0" w:color="auto"/>
            </w:tcBorders>
            <w:vAlign w:val="center"/>
          </w:tcPr>
          <w:p w:rsidR="00C81B24" w:rsidRPr="00C81B24" w:rsidRDefault="00C81B24" w:rsidP="00CE5850">
            <w:pPr>
              <w:jc w:val="center"/>
              <w:rPr>
                <w:color w:val="000000"/>
                <w:sz w:val="20"/>
              </w:rPr>
            </w:pPr>
            <w:r w:rsidRPr="00C81B24">
              <w:rPr>
                <w:color w:val="000000"/>
                <w:sz w:val="20"/>
              </w:rPr>
              <w:t>2.15</w:t>
            </w:r>
          </w:p>
        </w:tc>
        <w:tc>
          <w:tcPr>
            <w:tcW w:w="1180" w:type="dxa"/>
            <w:tcBorders>
              <w:top w:val="nil"/>
              <w:left w:val="nil"/>
              <w:bottom w:val="single" w:sz="4" w:space="0" w:color="auto"/>
              <w:right w:val="single" w:sz="4" w:space="0" w:color="auto"/>
            </w:tcBorders>
            <w:vAlign w:val="center"/>
          </w:tcPr>
          <w:p w:rsidR="00C81B24" w:rsidRPr="00C81B24" w:rsidRDefault="00C81B24" w:rsidP="00CE5850">
            <w:pPr>
              <w:jc w:val="center"/>
              <w:rPr>
                <w:color w:val="000000"/>
                <w:sz w:val="20"/>
              </w:rPr>
            </w:pPr>
            <w:r w:rsidRPr="00C81B24">
              <w:rPr>
                <w:color w:val="000000"/>
                <w:sz w:val="20"/>
              </w:rPr>
              <w:t>0.61</w:t>
            </w:r>
          </w:p>
        </w:tc>
        <w:tc>
          <w:tcPr>
            <w:tcW w:w="1240" w:type="dxa"/>
            <w:tcBorders>
              <w:top w:val="nil"/>
              <w:left w:val="nil"/>
              <w:bottom w:val="single" w:sz="4" w:space="0" w:color="auto"/>
              <w:right w:val="single" w:sz="4" w:space="0" w:color="auto"/>
            </w:tcBorders>
            <w:vAlign w:val="center"/>
          </w:tcPr>
          <w:p w:rsidR="00C81B24" w:rsidRPr="00C81B24" w:rsidRDefault="00C81B24" w:rsidP="00CE5850">
            <w:pPr>
              <w:jc w:val="center"/>
              <w:rPr>
                <w:color w:val="000000"/>
                <w:sz w:val="20"/>
              </w:rPr>
            </w:pPr>
            <w:r w:rsidRPr="00C81B24">
              <w:rPr>
                <w:color w:val="000000"/>
                <w:sz w:val="20"/>
              </w:rPr>
              <w:t>1.5</w:t>
            </w:r>
          </w:p>
        </w:tc>
        <w:tc>
          <w:tcPr>
            <w:tcW w:w="1240" w:type="dxa"/>
            <w:tcBorders>
              <w:top w:val="nil"/>
              <w:left w:val="nil"/>
              <w:bottom w:val="single" w:sz="4" w:space="0" w:color="auto"/>
              <w:right w:val="single" w:sz="8" w:space="0" w:color="auto"/>
            </w:tcBorders>
            <w:vAlign w:val="center"/>
          </w:tcPr>
          <w:p w:rsidR="00C81B24" w:rsidRPr="00C81B24" w:rsidRDefault="00C81B24" w:rsidP="00CE5850">
            <w:pPr>
              <w:jc w:val="center"/>
              <w:rPr>
                <w:color w:val="000000"/>
                <w:sz w:val="20"/>
              </w:rPr>
            </w:pPr>
            <w:r w:rsidRPr="00C81B24">
              <w:rPr>
                <w:color w:val="000000"/>
                <w:sz w:val="20"/>
              </w:rPr>
              <w:t>0.56</w:t>
            </w:r>
          </w:p>
        </w:tc>
      </w:tr>
      <w:tr w:rsidR="00C81B24" w:rsidRPr="00C81B24" w:rsidTr="00526AD9">
        <w:trPr>
          <w:trHeight w:val="300"/>
          <w:jc w:val="center"/>
        </w:trPr>
        <w:tc>
          <w:tcPr>
            <w:tcW w:w="2340" w:type="dxa"/>
            <w:tcBorders>
              <w:top w:val="nil"/>
              <w:left w:val="single" w:sz="8" w:space="0" w:color="auto"/>
              <w:bottom w:val="single" w:sz="4" w:space="0" w:color="auto"/>
              <w:right w:val="single" w:sz="8" w:space="0" w:color="auto"/>
            </w:tcBorders>
            <w:vAlign w:val="center"/>
          </w:tcPr>
          <w:p w:rsidR="00C81B24" w:rsidRPr="00C81B24" w:rsidRDefault="00C81B24" w:rsidP="00CE5850">
            <w:pPr>
              <w:rPr>
                <w:bCs/>
                <w:color w:val="000000"/>
                <w:sz w:val="20"/>
              </w:rPr>
            </w:pPr>
            <w:r w:rsidRPr="00C81B24">
              <w:rPr>
                <w:bCs/>
                <w:color w:val="000000"/>
                <w:sz w:val="20"/>
              </w:rPr>
              <w:t>T-Mobile</w:t>
            </w:r>
          </w:p>
        </w:tc>
        <w:tc>
          <w:tcPr>
            <w:tcW w:w="1180" w:type="dxa"/>
            <w:tcBorders>
              <w:top w:val="nil"/>
              <w:left w:val="nil"/>
              <w:bottom w:val="single" w:sz="4" w:space="0" w:color="auto"/>
              <w:right w:val="single" w:sz="4" w:space="0" w:color="auto"/>
            </w:tcBorders>
            <w:vAlign w:val="center"/>
          </w:tcPr>
          <w:p w:rsidR="00C81B24" w:rsidRPr="00C81B24" w:rsidRDefault="00C81B24" w:rsidP="00CE5850">
            <w:pPr>
              <w:jc w:val="center"/>
              <w:rPr>
                <w:color w:val="000000"/>
                <w:sz w:val="20"/>
              </w:rPr>
            </w:pPr>
            <w:r w:rsidRPr="00C81B24">
              <w:rPr>
                <w:color w:val="000000"/>
                <w:sz w:val="20"/>
              </w:rPr>
              <w:t>2.83</w:t>
            </w:r>
          </w:p>
        </w:tc>
        <w:tc>
          <w:tcPr>
            <w:tcW w:w="1180" w:type="dxa"/>
            <w:tcBorders>
              <w:top w:val="nil"/>
              <w:left w:val="nil"/>
              <w:bottom w:val="single" w:sz="4" w:space="0" w:color="auto"/>
              <w:right w:val="single" w:sz="4" w:space="0" w:color="auto"/>
            </w:tcBorders>
            <w:vAlign w:val="center"/>
          </w:tcPr>
          <w:p w:rsidR="00C81B24" w:rsidRPr="00C81B24" w:rsidRDefault="00C81B24" w:rsidP="00CE5850">
            <w:pPr>
              <w:jc w:val="center"/>
              <w:rPr>
                <w:color w:val="000000"/>
                <w:sz w:val="20"/>
              </w:rPr>
            </w:pPr>
            <w:r w:rsidRPr="00C81B24">
              <w:rPr>
                <w:color w:val="000000"/>
                <w:sz w:val="20"/>
              </w:rPr>
              <w:t>0.85</w:t>
            </w:r>
          </w:p>
        </w:tc>
        <w:tc>
          <w:tcPr>
            <w:tcW w:w="1240" w:type="dxa"/>
            <w:tcBorders>
              <w:top w:val="nil"/>
              <w:left w:val="nil"/>
              <w:bottom w:val="single" w:sz="4" w:space="0" w:color="auto"/>
              <w:right w:val="single" w:sz="4" w:space="0" w:color="auto"/>
            </w:tcBorders>
            <w:vAlign w:val="center"/>
          </w:tcPr>
          <w:p w:rsidR="00C81B24" w:rsidRPr="00C81B24" w:rsidRDefault="00C81B24" w:rsidP="00CE5850">
            <w:pPr>
              <w:jc w:val="center"/>
              <w:rPr>
                <w:color w:val="000000"/>
                <w:sz w:val="20"/>
              </w:rPr>
            </w:pPr>
            <w:r w:rsidRPr="00C81B24">
              <w:rPr>
                <w:color w:val="000000"/>
                <w:sz w:val="20"/>
              </w:rPr>
              <w:t>2.28</w:t>
            </w:r>
          </w:p>
        </w:tc>
        <w:tc>
          <w:tcPr>
            <w:tcW w:w="1240" w:type="dxa"/>
            <w:tcBorders>
              <w:top w:val="nil"/>
              <w:left w:val="nil"/>
              <w:bottom w:val="single" w:sz="4" w:space="0" w:color="auto"/>
              <w:right w:val="single" w:sz="8" w:space="0" w:color="auto"/>
            </w:tcBorders>
            <w:vAlign w:val="center"/>
          </w:tcPr>
          <w:p w:rsidR="00C81B24" w:rsidRPr="00C81B24" w:rsidRDefault="00C81B24" w:rsidP="00CE5850">
            <w:pPr>
              <w:jc w:val="center"/>
              <w:rPr>
                <w:color w:val="000000"/>
                <w:sz w:val="20"/>
              </w:rPr>
            </w:pPr>
            <w:r w:rsidRPr="00C81B24">
              <w:rPr>
                <w:color w:val="000000"/>
                <w:sz w:val="20"/>
              </w:rPr>
              <w:t>0.95</w:t>
            </w:r>
          </w:p>
        </w:tc>
      </w:tr>
      <w:tr w:rsidR="00C81B24" w:rsidRPr="00C81B24" w:rsidTr="00526AD9">
        <w:trPr>
          <w:trHeight w:val="315"/>
          <w:jc w:val="center"/>
        </w:trPr>
        <w:tc>
          <w:tcPr>
            <w:tcW w:w="2340" w:type="dxa"/>
            <w:tcBorders>
              <w:top w:val="nil"/>
              <w:left w:val="single" w:sz="8" w:space="0" w:color="auto"/>
              <w:bottom w:val="single" w:sz="8" w:space="0" w:color="auto"/>
              <w:right w:val="single" w:sz="8" w:space="0" w:color="auto"/>
            </w:tcBorders>
            <w:vAlign w:val="center"/>
          </w:tcPr>
          <w:p w:rsidR="00C81B24" w:rsidRPr="00C81B24" w:rsidRDefault="00C81B24" w:rsidP="00CE5850">
            <w:pPr>
              <w:rPr>
                <w:bCs/>
                <w:color w:val="000000"/>
                <w:sz w:val="20"/>
              </w:rPr>
            </w:pPr>
            <w:r w:rsidRPr="00C81B24">
              <w:rPr>
                <w:bCs/>
                <w:color w:val="000000"/>
                <w:sz w:val="20"/>
              </w:rPr>
              <w:t>Verizon Wireless</w:t>
            </w:r>
          </w:p>
        </w:tc>
        <w:tc>
          <w:tcPr>
            <w:tcW w:w="1180" w:type="dxa"/>
            <w:tcBorders>
              <w:top w:val="nil"/>
              <w:left w:val="nil"/>
              <w:bottom w:val="single" w:sz="8" w:space="0" w:color="auto"/>
              <w:right w:val="single" w:sz="4" w:space="0" w:color="auto"/>
            </w:tcBorders>
            <w:vAlign w:val="center"/>
          </w:tcPr>
          <w:p w:rsidR="00C81B24" w:rsidRPr="00C81B24" w:rsidRDefault="00C81B24" w:rsidP="00CE5850">
            <w:pPr>
              <w:jc w:val="center"/>
              <w:rPr>
                <w:color w:val="000000"/>
                <w:sz w:val="20"/>
              </w:rPr>
            </w:pPr>
            <w:r w:rsidRPr="00C81B24">
              <w:rPr>
                <w:color w:val="000000"/>
                <w:sz w:val="20"/>
              </w:rPr>
              <w:t>6.44</w:t>
            </w:r>
          </w:p>
        </w:tc>
        <w:tc>
          <w:tcPr>
            <w:tcW w:w="1180" w:type="dxa"/>
            <w:tcBorders>
              <w:top w:val="nil"/>
              <w:left w:val="nil"/>
              <w:bottom w:val="single" w:sz="8" w:space="0" w:color="auto"/>
              <w:right w:val="single" w:sz="4" w:space="0" w:color="auto"/>
            </w:tcBorders>
            <w:vAlign w:val="center"/>
          </w:tcPr>
          <w:p w:rsidR="00C81B24" w:rsidRPr="00C81B24" w:rsidRDefault="00C81B24" w:rsidP="00CE5850">
            <w:pPr>
              <w:jc w:val="center"/>
              <w:rPr>
                <w:color w:val="000000"/>
                <w:sz w:val="20"/>
              </w:rPr>
            </w:pPr>
            <w:r w:rsidRPr="00C81B24">
              <w:rPr>
                <w:color w:val="000000"/>
                <w:sz w:val="20"/>
              </w:rPr>
              <w:t>5</w:t>
            </w:r>
          </w:p>
        </w:tc>
        <w:tc>
          <w:tcPr>
            <w:tcW w:w="1240" w:type="dxa"/>
            <w:tcBorders>
              <w:top w:val="nil"/>
              <w:left w:val="nil"/>
              <w:bottom w:val="single" w:sz="8" w:space="0" w:color="auto"/>
              <w:right w:val="single" w:sz="4" w:space="0" w:color="auto"/>
            </w:tcBorders>
            <w:vAlign w:val="center"/>
          </w:tcPr>
          <w:p w:rsidR="00C81B24" w:rsidRPr="00C81B24" w:rsidRDefault="00C81B24" w:rsidP="00CE5850">
            <w:pPr>
              <w:jc w:val="center"/>
              <w:rPr>
                <w:color w:val="000000"/>
                <w:sz w:val="20"/>
              </w:rPr>
            </w:pPr>
            <w:r w:rsidRPr="00C81B24">
              <w:rPr>
                <w:color w:val="000000"/>
                <w:sz w:val="20"/>
              </w:rPr>
              <w:t>1.01</w:t>
            </w:r>
          </w:p>
        </w:tc>
        <w:tc>
          <w:tcPr>
            <w:tcW w:w="1240" w:type="dxa"/>
            <w:tcBorders>
              <w:top w:val="nil"/>
              <w:left w:val="nil"/>
              <w:bottom w:val="single" w:sz="8" w:space="0" w:color="auto"/>
              <w:right w:val="single" w:sz="8" w:space="0" w:color="auto"/>
            </w:tcBorders>
            <w:vAlign w:val="center"/>
          </w:tcPr>
          <w:p w:rsidR="00C81B24" w:rsidRPr="00C81B24" w:rsidRDefault="00C81B24" w:rsidP="00CE5850">
            <w:pPr>
              <w:jc w:val="center"/>
              <w:rPr>
                <w:color w:val="000000"/>
                <w:sz w:val="20"/>
              </w:rPr>
            </w:pPr>
            <w:r w:rsidRPr="00C81B24">
              <w:rPr>
                <w:color w:val="000000"/>
                <w:sz w:val="20"/>
              </w:rPr>
              <w:t>0.67</w:t>
            </w:r>
          </w:p>
        </w:tc>
      </w:tr>
    </w:tbl>
    <w:p w:rsidR="00C81B24" w:rsidRPr="00C81B24" w:rsidRDefault="00C81B24" w:rsidP="00CE5850">
      <w:pPr>
        <w:spacing w:after="120"/>
        <w:rPr>
          <w:sz w:val="20"/>
        </w:rPr>
      </w:pPr>
    </w:p>
    <w:p w:rsidR="00C81B24" w:rsidRPr="00C81B24" w:rsidRDefault="00C81B24" w:rsidP="00CE5850">
      <w:pPr>
        <w:jc w:val="center"/>
        <w:rPr>
          <w:b/>
          <w:noProof/>
          <w:szCs w:val="22"/>
        </w:rPr>
      </w:pPr>
      <w:r w:rsidRPr="00C81B24">
        <w:rPr>
          <w:b/>
          <w:noProof/>
          <w:szCs w:val="22"/>
        </w:rPr>
        <w:t>Table B-7</w:t>
      </w:r>
    </w:p>
    <w:p w:rsidR="00C81B24" w:rsidRPr="00C81B24" w:rsidRDefault="00C81B24" w:rsidP="00CE5850">
      <w:pPr>
        <w:spacing w:after="120"/>
        <w:jc w:val="center"/>
        <w:rPr>
          <w:b/>
          <w:noProof/>
          <w:sz w:val="20"/>
        </w:rPr>
      </w:pPr>
      <w:r w:rsidRPr="00C81B24">
        <w:rPr>
          <w:b/>
          <w:noProof/>
          <w:szCs w:val="22"/>
        </w:rPr>
        <w:t>Network Performance Results, Average Data Speeds for 3G and 4G Networks, PCWorld, April 2012</w:t>
      </w:r>
      <w:r w:rsidRPr="00C81B24">
        <w:rPr>
          <w:noProof/>
          <w:sz w:val="20"/>
          <w:vertAlign w:val="superscript"/>
        </w:rPr>
        <w:footnoteReference w:id="1349"/>
      </w:r>
    </w:p>
    <w:tbl>
      <w:tblPr>
        <w:tblW w:w="7180" w:type="dxa"/>
        <w:jc w:val="center"/>
        <w:tblInd w:w="93" w:type="dxa"/>
        <w:tblLook w:val="00A0" w:firstRow="1" w:lastRow="0" w:firstColumn="1" w:lastColumn="0" w:noHBand="0" w:noVBand="0"/>
      </w:tblPr>
      <w:tblGrid>
        <w:gridCol w:w="2340"/>
        <w:gridCol w:w="1180"/>
        <w:gridCol w:w="1180"/>
        <w:gridCol w:w="1240"/>
        <w:gridCol w:w="1240"/>
      </w:tblGrid>
      <w:tr w:rsidR="00C81B24" w:rsidRPr="00C81B24" w:rsidTr="00526AD9">
        <w:trPr>
          <w:trHeight w:val="315"/>
          <w:jc w:val="center"/>
        </w:trPr>
        <w:tc>
          <w:tcPr>
            <w:tcW w:w="2340" w:type="dxa"/>
            <w:vMerge w:val="restart"/>
            <w:tcBorders>
              <w:top w:val="single" w:sz="8" w:space="0" w:color="auto"/>
              <w:left w:val="single" w:sz="8" w:space="0" w:color="auto"/>
              <w:bottom w:val="single" w:sz="8" w:space="0" w:color="000000"/>
              <w:right w:val="single" w:sz="8" w:space="0" w:color="auto"/>
            </w:tcBorders>
            <w:vAlign w:val="center"/>
          </w:tcPr>
          <w:p w:rsidR="00C81B24" w:rsidRPr="00C81B24" w:rsidRDefault="00C81B24" w:rsidP="00CE5850">
            <w:pPr>
              <w:rPr>
                <w:b/>
                <w:bCs/>
                <w:color w:val="000000"/>
                <w:sz w:val="20"/>
              </w:rPr>
            </w:pPr>
            <w:r w:rsidRPr="00C81B24">
              <w:rPr>
                <w:b/>
                <w:bCs/>
                <w:color w:val="000000"/>
                <w:sz w:val="20"/>
              </w:rPr>
              <w:t>Provider</w:t>
            </w:r>
          </w:p>
        </w:tc>
        <w:tc>
          <w:tcPr>
            <w:tcW w:w="2360" w:type="dxa"/>
            <w:gridSpan w:val="2"/>
            <w:tcBorders>
              <w:top w:val="single" w:sz="8" w:space="0" w:color="auto"/>
              <w:left w:val="nil"/>
              <w:bottom w:val="single" w:sz="8" w:space="0" w:color="auto"/>
              <w:right w:val="single" w:sz="8" w:space="0" w:color="000000"/>
            </w:tcBorders>
            <w:vAlign w:val="center"/>
          </w:tcPr>
          <w:p w:rsidR="00C81B24" w:rsidRPr="00C81B24" w:rsidRDefault="00C81B24" w:rsidP="00CE5850">
            <w:pPr>
              <w:jc w:val="center"/>
              <w:rPr>
                <w:b/>
                <w:bCs/>
                <w:color w:val="000000"/>
                <w:sz w:val="20"/>
              </w:rPr>
            </w:pPr>
            <w:r w:rsidRPr="00C81B24">
              <w:rPr>
                <w:b/>
                <w:bCs/>
                <w:color w:val="000000"/>
                <w:sz w:val="20"/>
              </w:rPr>
              <w:t>3G</w:t>
            </w:r>
          </w:p>
        </w:tc>
        <w:tc>
          <w:tcPr>
            <w:tcW w:w="2480" w:type="dxa"/>
            <w:gridSpan w:val="2"/>
            <w:tcBorders>
              <w:top w:val="single" w:sz="8" w:space="0" w:color="auto"/>
              <w:left w:val="nil"/>
              <w:bottom w:val="single" w:sz="8" w:space="0" w:color="auto"/>
              <w:right w:val="single" w:sz="8" w:space="0" w:color="000000"/>
            </w:tcBorders>
            <w:vAlign w:val="center"/>
          </w:tcPr>
          <w:p w:rsidR="00C81B24" w:rsidRPr="00C81B24" w:rsidRDefault="00C81B24" w:rsidP="00CE5850">
            <w:pPr>
              <w:jc w:val="center"/>
              <w:rPr>
                <w:b/>
                <w:bCs/>
                <w:color w:val="000000"/>
                <w:sz w:val="20"/>
              </w:rPr>
            </w:pPr>
            <w:r w:rsidRPr="00C81B24">
              <w:rPr>
                <w:b/>
                <w:bCs/>
                <w:color w:val="000000"/>
                <w:sz w:val="20"/>
              </w:rPr>
              <w:t>4G</w:t>
            </w:r>
          </w:p>
        </w:tc>
      </w:tr>
      <w:tr w:rsidR="00C81B24" w:rsidRPr="00C81B24" w:rsidTr="00526AD9">
        <w:trPr>
          <w:trHeight w:val="735"/>
          <w:jc w:val="center"/>
        </w:trPr>
        <w:tc>
          <w:tcPr>
            <w:tcW w:w="2340" w:type="dxa"/>
            <w:vMerge/>
            <w:tcBorders>
              <w:top w:val="single" w:sz="8" w:space="0" w:color="auto"/>
              <w:left w:val="single" w:sz="8" w:space="0" w:color="auto"/>
              <w:bottom w:val="single" w:sz="8" w:space="0" w:color="000000"/>
              <w:right w:val="single" w:sz="8" w:space="0" w:color="auto"/>
            </w:tcBorders>
            <w:vAlign w:val="center"/>
          </w:tcPr>
          <w:p w:rsidR="00C81B24" w:rsidRPr="00C81B24" w:rsidRDefault="00C81B24" w:rsidP="00CE5850">
            <w:pPr>
              <w:rPr>
                <w:b/>
                <w:bCs/>
                <w:color w:val="000000"/>
                <w:sz w:val="20"/>
              </w:rPr>
            </w:pPr>
          </w:p>
        </w:tc>
        <w:tc>
          <w:tcPr>
            <w:tcW w:w="1180" w:type="dxa"/>
            <w:tcBorders>
              <w:top w:val="nil"/>
              <w:left w:val="nil"/>
              <w:bottom w:val="single" w:sz="8" w:space="0" w:color="auto"/>
              <w:right w:val="single" w:sz="4" w:space="0" w:color="auto"/>
            </w:tcBorders>
            <w:vAlign w:val="center"/>
          </w:tcPr>
          <w:p w:rsidR="00C81B24" w:rsidRPr="00C81B24" w:rsidRDefault="00C81B24" w:rsidP="00CE5850">
            <w:pPr>
              <w:jc w:val="center"/>
              <w:rPr>
                <w:b/>
                <w:bCs/>
                <w:color w:val="000000"/>
                <w:sz w:val="20"/>
              </w:rPr>
            </w:pPr>
            <w:r w:rsidRPr="00C81B24">
              <w:rPr>
                <w:b/>
                <w:bCs/>
                <w:color w:val="000000"/>
                <w:sz w:val="20"/>
              </w:rPr>
              <w:t>Average Download Speed (Mbps)</w:t>
            </w:r>
          </w:p>
        </w:tc>
        <w:tc>
          <w:tcPr>
            <w:tcW w:w="1180" w:type="dxa"/>
            <w:tcBorders>
              <w:top w:val="nil"/>
              <w:left w:val="nil"/>
              <w:bottom w:val="single" w:sz="8" w:space="0" w:color="auto"/>
              <w:right w:val="single" w:sz="8" w:space="0" w:color="auto"/>
            </w:tcBorders>
            <w:vAlign w:val="center"/>
          </w:tcPr>
          <w:p w:rsidR="00C81B24" w:rsidRPr="00C81B24" w:rsidRDefault="00C81B24" w:rsidP="00CE5850">
            <w:pPr>
              <w:jc w:val="center"/>
              <w:rPr>
                <w:b/>
                <w:bCs/>
                <w:color w:val="000000"/>
                <w:sz w:val="20"/>
              </w:rPr>
            </w:pPr>
            <w:r w:rsidRPr="00C81B24">
              <w:rPr>
                <w:b/>
                <w:bCs/>
                <w:color w:val="000000"/>
                <w:sz w:val="20"/>
              </w:rPr>
              <w:t>Average Upload Speed (Mbps)</w:t>
            </w:r>
          </w:p>
        </w:tc>
        <w:tc>
          <w:tcPr>
            <w:tcW w:w="1240" w:type="dxa"/>
            <w:tcBorders>
              <w:top w:val="nil"/>
              <w:left w:val="nil"/>
              <w:bottom w:val="single" w:sz="8" w:space="0" w:color="auto"/>
              <w:right w:val="single" w:sz="4" w:space="0" w:color="auto"/>
            </w:tcBorders>
            <w:vAlign w:val="center"/>
          </w:tcPr>
          <w:p w:rsidR="00C81B24" w:rsidRPr="00C81B24" w:rsidRDefault="00C81B24" w:rsidP="00CE5850">
            <w:pPr>
              <w:jc w:val="center"/>
              <w:rPr>
                <w:b/>
                <w:bCs/>
                <w:color w:val="000000"/>
                <w:sz w:val="20"/>
              </w:rPr>
            </w:pPr>
            <w:r w:rsidRPr="00C81B24">
              <w:rPr>
                <w:b/>
                <w:bCs/>
                <w:color w:val="000000"/>
                <w:sz w:val="20"/>
              </w:rPr>
              <w:t>Average Download Speed (Mbps)</w:t>
            </w:r>
          </w:p>
        </w:tc>
        <w:tc>
          <w:tcPr>
            <w:tcW w:w="1240" w:type="dxa"/>
            <w:tcBorders>
              <w:top w:val="nil"/>
              <w:left w:val="nil"/>
              <w:bottom w:val="single" w:sz="8" w:space="0" w:color="auto"/>
              <w:right w:val="single" w:sz="8" w:space="0" w:color="auto"/>
            </w:tcBorders>
            <w:vAlign w:val="center"/>
          </w:tcPr>
          <w:p w:rsidR="00C81B24" w:rsidRPr="00C81B24" w:rsidRDefault="00C81B24" w:rsidP="00CE5850">
            <w:pPr>
              <w:jc w:val="center"/>
              <w:rPr>
                <w:b/>
                <w:bCs/>
                <w:color w:val="000000"/>
                <w:sz w:val="20"/>
              </w:rPr>
            </w:pPr>
            <w:r w:rsidRPr="00C81B24">
              <w:rPr>
                <w:b/>
                <w:bCs/>
                <w:color w:val="000000"/>
                <w:sz w:val="20"/>
              </w:rPr>
              <w:t>Average Upload Speed (Mbps)</w:t>
            </w:r>
          </w:p>
        </w:tc>
      </w:tr>
      <w:tr w:rsidR="00C81B24" w:rsidRPr="00C81B24" w:rsidTr="00526AD9">
        <w:trPr>
          <w:trHeight w:val="300"/>
          <w:jc w:val="center"/>
        </w:trPr>
        <w:tc>
          <w:tcPr>
            <w:tcW w:w="2340" w:type="dxa"/>
            <w:tcBorders>
              <w:top w:val="nil"/>
              <w:left w:val="single" w:sz="8" w:space="0" w:color="auto"/>
              <w:bottom w:val="single" w:sz="4" w:space="0" w:color="auto"/>
              <w:right w:val="single" w:sz="8" w:space="0" w:color="auto"/>
            </w:tcBorders>
            <w:vAlign w:val="center"/>
          </w:tcPr>
          <w:p w:rsidR="00C81B24" w:rsidRPr="00C81B24" w:rsidRDefault="00C81B24" w:rsidP="00CE5850">
            <w:pPr>
              <w:rPr>
                <w:bCs/>
                <w:color w:val="000000"/>
                <w:sz w:val="20"/>
              </w:rPr>
            </w:pPr>
            <w:r w:rsidRPr="00C81B24">
              <w:rPr>
                <w:bCs/>
                <w:color w:val="000000"/>
                <w:sz w:val="20"/>
              </w:rPr>
              <w:t>AT&amp;T</w:t>
            </w:r>
          </w:p>
        </w:tc>
        <w:tc>
          <w:tcPr>
            <w:tcW w:w="1180" w:type="dxa"/>
            <w:tcBorders>
              <w:top w:val="nil"/>
              <w:left w:val="nil"/>
              <w:bottom w:val="single" w:sz="4" w:space="0" w:color="auto"/>
              <w:right w:val="single" w:sz="4" w:space="0" w:color="auto"/>
            </w:tcBorders>
            <w:vAlign w:val="center"/>
          </w:tcPr>
          <w:p w:rsidR="00C81B24" w:rsidRPr="00C81B24" w:rsidRDefault="00C81B24" w:rsidP="00CE5850">
            <w:pPr>
              <w:jc w:val="center"/>
              <w:rPr>
                <w:color w:val="000000"/>
                <w:sz w:val="20"/>
              </w:rPr>
            </w:pPr>
            <w:r w:rsidRPr="00C81B24">
              <w:rPr>
                <w:color w:val="000000"/>
                <w:sz w:val="20"/>
              </w:rPr>
              <w:t>2.62</w:t>
            </w:r>
          </w:p>
        </w:tc>
        <w:tc>
          <w:tcPr>
            <w:tcW w:w="1180" w:type="dxa"/>
            <w:tcBorders>
              <w:top w:val="nil"/>
              <w:left w:val="nil"/>
              <w:bottom w:val="single" w:sz="4" w:space="0" w:color="auto"/>
              <w:right w:val="single" w:sz="4" w:space="0" w:color="auto"/>
            </w:tcBorders>
            <w:vAlign w:val="center"/>
          </w:tcPr>
          <w:p w:rsidR="00C81B24" w:rsidRPr="00C81B24" w:rsidRDefault="00C81B24" w:rsidP="00CE5850">
            <w:pPr>
              <w:jc w:val="center"/>
              <w:rPr>
                <w:color w:val="000000"/>
                <w:sz w:val="20"/>
              </w:rPr>
            </w:pPr>
            <w:r w:rsidRPr="00C81B24">
              <w:rPr>
                <w:color w:val="000000"/>
                <w:sz w:val="20"/>
              </w:rPr>
              <w:t>0.85</w:t>
            </w:r>
          </w:p>
        </w:tc>
        <w:tc>
          <w:tcPr>
            <w:tcW w:w="1240" w:type="dxa"/>
            <w:tcBorders>
              <w:top w:val="nil"/>
              <w:left w:val="nil"/>
              <w:bottom w:val="single" w:sz="4" w:space="0" w:color="auto"/>
              <w:right w:val="single" w:sz="4" w:space="0" w:color="auto"/>
            </w:tcBorders>
            <w:vAlign w:val="center"/>
          </w:tcPr>
          <w:p w:rsidR="00C81B24" w:rsidRPr="00C81B24" w:rsidRDefault="00C81B24" w:rsidP="00CE5850">
            <w:pPr>
              <w:jc w:val="center"/>
              <w:rPr>
                <w:color w:val="000000"/>
                <w:sz w:val="20"/>
              </w:rPr>
            </w:pPr>
            <w:r w:rsidRPr="00C81B24">
              <w:rPr>
                <w:color w:val="000000"/>
                <w:sz w:val="20"/>
              </w:rPr>
              <w:t>9.12</w:t>
            </w:r>
          </w:p>
        </w:tc>
        <w:tc>
          <w:tcPr>
            <w:tcW w:w="1240" w:type="dxa"/>
            <w:tcBorders>
              <w:top w:val="nil"/>
              <w:left w:val="nil"/>
              <w:bottom w:val="single" w:sz="4" w:space="0" w:color="auto"/>
              <w:right w:val="single" w:sz="8" w:space="0" w:color="auto"/>
            </w:tcBorders>
            <w:vAlign w:val="center"/>
          </w:tcPr>
          <w:p w:rsidR="00C81B24" w:rsidRPr="00C81B24" w:rsidRDefault="00C81B24" w:rsidP="00CE5850">
            <w:pPr>
              <w:jc w:val="center"/>
              <w:rPr>
                <w:color w:val="000000"/>
                <w:sz w:val="20"/>
              </w:rPr>
            </w:pPr>
            <w:r w:rsidRPr="00C81B24">
              <w:rPr>
                <w:color w:val="000000"/>
                <w:sz w:val="20"/>
              </w:rPr>
              <w:t>4.91</w:t>
            </w:r>
          </w:p>
        </w:tc>
      </w:tr>
      <w:tr w:rsidR="00C81B24" w:rsidRPr="00C81B24" w:rsidTr="00526AD9">
        <w:trPr>
          <w:trHeight w:val="300"/>
          <w:jc w:val="center"/>
        </w:trPr>
        <w:tc>
          <w:tcPr>
            <w:tcW w:w="2340" w:type="dxa"/>
            <w:tcBorders>
              <w:top w:val="nil"/>
              <w:left w:val="single" w:sz="8" w:space="0" w:color="auto"/>
              <w:bottom w:val="single" w:sz="4" w:space="0" w:color="auto"/>
              <w:right w:val="single" w:sz="8" w:space="0" w:color="auto"/>
            </w:tcBorders>
            <w:vAlign w:val="center"/>
          </w:tcPr>
          <w:p w:rsidR="00C81B24" w:rsidRPr="00C81B24" w:rsidRDefault="00C81B24" w:rsidP="00CE5850">
            <w:pPr>
              <w:rPr>
                <w:bCs/>
                <w:color w:val="000000"/>
                <w:sz w:val="20"/>
              </w:rPr>
            </w:pPr>
            <w:r w:rsidRPr="00C81B24">
              <w:rPr>
                <w:bCs/>
                <w:color w:val="000000"/>
                <w:sz w:val="20"/>
              </w:rPr>
              <w:t>Sprint Nextel</w:t>
            </w:r>
          </w:p>
        </w:tc>
        <w:tc>
          <w:tcPr>
            <w:tcW w:w="1180" w:type="dxa"/>
            <w:tcBorders>
              <w:top w:val="nil"/>
              <w:left w:val="nil"/>
              <w:bottom w:val="single" w:sz="4" w:space="0" w:color="auto"/>
              <w:right w:val="single" w:sz="4" w:space="0" w:color="auto"/>
            </w:tcBorders>
            <w:vAlign w:val="center"/>
          </w:tcPr>
          <w:p w:rsidR="00C81B24" w:rsidRPr="00C81B24" w:rsidRDefault="00C81B24" w:rsidP="00CE5850">
            <w:pPr>
              <w:jc w:val="center"/>
              <w:rPr>
                <w:color w:val="000000"/>
                <w:sz w:val="20"/>
              </w:rPr>
            </w:pPr>
            <w:r w:rsidRPr="00C81B24">
              <w:rPr>
                <w:color w:val="000000"/>
                <w:sz w:val="20"/>
              </w:rPr>
              <w:t>0.59</w:t>
            </w:r>
          </w:p>
        </w:tc>
        <w:tc>
          <w:tcPr>
            <w:tcW w:w="1180" w:type="dxa"/>
            <w:tcBorders>
              <w:top w:val="nil"/>
              <w:left w:val="nil"/>
              <w:bottom w:val="single" w:sz="4" w:space="0" w:color="auto"/>
              <w:right w:val="single" w:sz="4" w:space="0" w:color="auto"/>
            </w:tcBorders>
            <w:vAlign w:val="center"/>
          </w:tcPr>
          <w:p w:rsidR="00C81B24" w:rsidRPr="00C81B24" w:rsidRDefault="00C81B24" w:rsidP="00CE5850">
            <w:pPr>
              <w:jc w:val="center"/>
              <w:rPr>
                <w:color w:val="000000"/>
                <w:sz w:val="20"/>
              </w:rPr>
            </w:pPr>
            <w:r w:rsidRPr="00C81B24">
              <w:rPr>
                <w:color w:val="000000"/>
                <w:sz w:val="20"/>
              </w:rPr>
              <w:t>0.56</w:t>
            </w:r>
          </w:p>
        </w:tc>
        <w:tc>
          <w:tcPr>
            <w:tcW w:w="1240" w:type="dxa"/>
            <w:tcBorders>
              <w:top w:val="nil"/>
              <w:left w:val="nil"/>
              <w:bottom w:val="single" w:sz="4" w:space="0" w:color="auto"/>
              <w:right w:val="single" w:sz="4" w:space="0" w:color="auto"/>
            </w:tcBorders>
            <w:vAlign w:val="center"/>
          </w:tcPr>
          <w:p w:rsidR="00C81B24" w:rsidRPr="00C81B24" w:rsidRDefault="00C81B24" w:rsidP="00CE5850">
            <w:pPr>
              <w:jc w:val="center"/>
              <w:rPr>
                <w:color w:val="000000"/>
                <w:sz w:val="20"/>
              </w:rPr>
            </w:pPr>
            <w:r w:rsidRPr="00C81B24">
              <w:rPr>
                <w:color w:val="000000"/>
                <w:sz w:val="20"/>
              </w:rPr>
              <w:t>2.81</w:t>
            </w:r>
          </w:p>
        </w:tc>
        <w:tc>
          <w:tcPr>
            <w:tcW w:w="1240" w:type="dxa"/>
            <w:tcBorders>
              <w:top w:val="nil"/>
              <w:left w:val="nil"/>
              <w:bottom w:val="single" w:sz="4" w:space="0" w:color="auto"/>
              <w:right w:val="single" w:sz="8" w:space="0" w:color="auto"/>
            </w:tcBorders>
            <w:vAlign w:val="center"/>
          </w:tcPr>
          <w:p w:rsidR="00C81B24" w:rsidRPr="00C81B24" w:rsidRDefault="00C81B24" w:rsidP="00CE5850">
            <w:pPr>
              <w:jc w:val="center"/>
              <w:rPr>
                <w:color w:val="000000"/>
                <w:sz w:val="20"/>
              </w:rPr>
            </w:pPr>
            <w:r w:rsidRPr="00C81B24">
              <w:rPr>
                <w:color w:val="000000"/>
                <w:sz w:val="20"/>
              </w:rPr>
              <w:t>0.97</w:t>
            </w:r>
          </w:p>
        </w:tc>
      </w:tr>
      <w:tr w:rsidR="00C81B24" w:rsidRPr="00C81B24" w:rsidTr="00526AD9">
        <w:trPr>
          <w:trHeight w:val="300"/>
          <w:jc w:val="center"/>
        </w:trPr>
        <w:tc>
          <w:tcPr>
            <w:tcW w:w="2340" w:type="dxa"/>
            <w:tcBorders>
              <w:top w:val="nil"/>
              <w:left w:val="single" w:sz="8" w:space="0" w:color="auto"/>
              <w:bottom w:val="single" w:sz="4" w:space="0" w:color="auto"/>
              <w:right w:val="single" w:sz="8" w:space="0" w:color="auto"/>
            </w:tcBorders>
            <w:vAlign w:val="center"/>
          </w:tcPr>
          <w:p w:rsidR="00C81B24" w:rsidRPr="00C81B24" w:rsidRDefault="00C81B24" w:rsidP="00CE5850">
            <w:pPr>
              <w:rPr>
                <w:bCs/>
                <w:color w:val="000000"/>
                <w:sz w:val="20"/>
              </w:rPr>
            </w:pPr>
            <w:r w:rsidRPr="00C81B24">
              <w:rPr>
                <w:bCs/>
                <w:color w:val="000000"/>
                <w:sz w:val="20"/>
              </w:rPr>
              <w:t>T-Mobile</w:t>
            </w:r>
          </w:p>
        </w:tc>
        <w:tc>
          <w:tcPr>
            <w:tcW w:w="1180" w:type="dxa"/>
            <w:tcBorders>
              <w:top w:val="nil"/>
              <w:left w:val="nil"/>
              <w:bottom w:val="single" w:sz="4" w:space="0" w:color="auto"/>
              <w:right w:val="single" w:sz="4" w:space="0" w:color="auto"/>
            </w:tcBorders>
            <w:vAlign w:val="center"/>
          </w:tcPr>
          <w:p w:rsidR="00C81B24" w:rsidRPr="00C81B24" w:rsidRDefault="00C81B24" w:rsidP="00CE5850">
            <w:pPr>
              <w:jc w:val="center"/>
              <w:rPr>
                <w:color w:val="000000"/>
                <w:sz w:val="20"/>
              </w:rPr>
            </w:pPr>
            <w:r w:rsidRPr="00C81B24">
              <w:rPr>
                <w:color w:val="000000"/>
                <w:sz w:val="20"/>
              </w:rPr>
              <w:t>3.84</w:t>
            </w:r>
          </w:p>
        </w:tc>
        <w:tc>
          <w:tcPr>
            <w:tcW w:w="1180" w:type="dxa"/>
            <w:tcBorders>
              <w:top w:val="nil"/>
              <w:left w:val="nil"/>
              <w:bottom w:val="single" w:sz="4" w:space="0" w:color="auto"/>
              <w:right w:val="single" w:sz="4" w:space="0" w:color="auto"/>
            </w:tcBorders>
            <w:vAlign w:val="center"/>
          </w:tcPr>
          <w:p w:rsidR="00C81B24" w:rsidRPr="00C81B24" w:rsidRDefault="00C81B24" w:rsidP="00CE5850">
            <w:pPr>
              <w:jc w:val="center"/>
              <w:rPr>
                <w:color w:val="000000"/>
                <w:sz w:val="20"/>
              </w:rPr>
            </w:pPr>
            <w:r w:rsidRPr="00C81B24">
              <w:rPr>
                <w:color w:val="000000"/>
                <w:sz w:val="20"/>
              </w:rPr>
              <w:t>1.44</w:t>
            </w:r>
          </w:p>
        </w:tc>
        <w:tc>
          <w:tcPr>
            <w:tcW w:w="1240" w:type="dxa"/>
            <w:tcBorders>
              <w:top w:val="nil"/>
              <w:left w:val="nil"/>
              <w:bottom w:val="single" w:sz="4" w:space="0" w:color="auto"/>
              <w:right w:val="single" w:sz="4" w:space="0" w:color="auto"/>
            </w:tcBorders>
            <w:vAlign w:val="center"/>
          </w:tcPr>
          <w:p w:rsidR="00C81B24" w:rsidRPr="00C81B24" w:rsidRDefault="00C81B24" w:rsidP="00CE5850">
            <w:pPr>
              <w:jc w:val="center"/>
              <w:rPr>
                <w:color w:val="000000"/>
                <w:sz w:val="20"/>
              </w:rPr>
            </w:pPr>
            <w:r w:rsidRPr="00C81B24">
              <w:rPr>
                <w:color w:val="000000"/>
                <w:sz w:val="20"/>
              </w:rPr>
              <w:t>5.53</w:t>
            </w:r>
          </w:p>
        </w:tc>
        <w:tc>
          <w:tcPr>
            <w:tcW w:w="1240" w:type="dxa"/>
            <w:tcBorders>
              <w:top w:val="nil"/>
              <w:left w:val="nil"/>
              <w:bottom w:val="single" w:sz="4" w:space="0" w:color="auto"/>
              <w:right w:val="single" w:sz="8" w:space="0" w:color="auto"/>
            </w:tcBorders>
            <w:vAlign w:val="center"/>
          </w:tcPr>
          <w:p w:rsidR="00C81B24" w:rsidRPr="00C81B24" w:rsidRDefault="00C81B24" w:rsidP="00CE5850">
            <w:pPr>
              <w:jc w:val="center"/>
              <w:rPr>
                <w:color w:val="000000"/>
                <w:sz w:val="20"/>
              </w:rPr>
            </w:pPr>
            <w:r w:rsidRPr="00C81B24">
              <w:rPr>
                <w:color w:val="000000"/>
                <w:sz w:val="20"/>
              </w:rPr>
              <w:t>1.32</w:t>
            </w:r>
          </w:p>
        </w:tc>
      </w:tr>
      <w:tr w:rsidR="00C81B24" w:rsidRPr="00C81B24" w:rsidTr="00526AD9">
        <w:trPr>
          <w:trHeight w:val="315"/>
          <w:jc w:val="center"/>
        </w:trPr>
        <w:tc>
          <w:tcPr>
            <w:tcW w:w="2340" w:type="dxa"/>
            <w:tcBorders>
              <w:top w:val="nil"/>
              <w:left w:val="single" w:sz="8" w:space="0" w:color="auto"/>
              <w:bottom w:val="single" w:sz="8" w:space="0" w:color="auto"/>
              <w:right w:val="single" w:sz="8" w:space="0" w:color="auto"/>
            </w:tcBorders>
            <w:vAlign w:val="center"/>
          </w:tcPr>
          <w:p w:rsidR="00C81B24" w:rsidRPr="00C81B24" w:rsidRDefault="00C81B24" w:rsidP="00CE5850">
            <w:pPr>
              <w:rPr>
                <w:bCs/>
                <w:color w:val="000000"/>
                <w:sz w:val="20"/>
              </w:rPr>
            </w:pPr>
            <w:r w:rsidRPr="00C81B24">
              <w:rPr>
                <w:bCs/>
                <w:color w:val="000000"/>
                <w:sz w:val="20"/>
              </w:rPr>
              <w:t>Verizon Wireless</w:t>
            </w:r>
          </w:p>
        </w:tc>
        <w:tc>
          <w:tcPr>
            <w:tcW w:w="1180" w:type="dxa"/>
            <w:tcBorders>
              <w:top w:val="nil"/>
              <w:left w:val="nil"/>
              <w:bottom w:val="single" w:sz="8" w:space="0" w:color="auto"/>
              <w:right w:val="single" w:sz="4" w:space="0" w:color="auto"/>
            </w:tcBorders>
            <w:vAlign w:val="center"/>
          </w:tcPr>
          <w:p w:rsidR="00C81B24" w:rsidRPr="00C81B24" w:rsidRDefault="00C81B24" w:rsidP="00CE5850">
            <w:pPr>
              <w:jc w:val="center"/>
              <w:rPr>
                <w:color w:val="000000"/>
                <w:sz w:val="20"/>
              </w:rPr>
            </w:pPr>
            <w:r w:rsidRPr="00C81B24">
              <w:rPr>
                <w:color w:val="000000"/>
                <w:sz w:val="20"/>
              </w:rPr>
              <w:t>1.05</w:t>
            </w:r>
          </w:p>
        </w:tc>
        <w:tc>
          <w:tcPr>
            <w:tcW w:w="1180" w:type="dxa"/>
            <w:tcBorders>
              <w:top w:val="nil"/>
              <w:left w:val="nil"/>
              <w:bottom w:val="single" w:sz="8" w:space="0" w:color="auto"/>
              <w:right w:val="single" w:sz="4" w:space="0" w:color="auto"/>
            </w:tcBorders>
            <w:vAlign w:val="center"/>
          </w:tcPr>
          <w:p w:rsidR="00C81B24" w:rsidRPr="00C81B24" w:rsidRDefault="00C81B24" w:rsidP="00CE5850">
            <w:pPr>
              <w:jc w:val="center"/>
              <w:rPr>
                <w:color w:val="000000"/>
                <w:sz w:val="20"/>
              </w:rPr>
            </w:pPr>
            <w:r w:rsidRPr="00C81B24">
              <w:rPr>
                <w:color w:val="000000"/>
                <w:sz w:val="20"/>
              </w:rPr>
              <w:t>0.75</w:t>
            </w:r>
          </w:p>
        </w:tc>
        <w:tc>
          <w:tcPr>
            <w:tcW w:w="1240" w:type="dxa"/>
            <w:tcBorders>
              <w:top w:val="nil"/>
              <w:left w:val="nil"/>
              <w:bottom w:val="single" w:sz="8" w:space="0" w:color="auto"/>
              <w:right w:val="single" w:sz="4" w:space="0" w:color="auto"/>
            </w:tcBorders>
            <w:vAlign w:val="center"/>
          </w:tcPr>
          <w:p w:rsidR="00C81B24" w:rsidRPr="00C81B24" w:rsidRDefault="00C81B24" w:rsidP="00CE5850">
            <w:pPr>
              <w:jc w:val="center"/>
              <w:rPr>
                <w:color w:val="000000"/>
                <w:sz w:val="20"/>
              </w:rPr>
            </w:pPr>
            <w:r w:rsidRPr="00C81B24">
              <w:rPr>
                <w:color w:val="000000"/>
                <w:sz w:val="20"/>
              </w:rPr>
              <w:t>7.35</w:t>
            </w:r>
          </w:p>
        </w:tc>
        <w:tc>
          <w:tcPr>
            <w:tcW w:w="1240" w:type="dxa"/>
            <w:tcBorders>
              <w:top w:val="nil"/>
              <w:left w:val="nil"/>
              <w:bottom w:val="single" w:sz="8" w:space="0" w:color="auto"/>
              <w:right w:val="single" w:sz="8" w:space="0" w:color="auto"/>
            </w:tcBorders>
            <w:vAlign w:val="center"/>
          </w:tcPr>
          <w:p w:rsidR="00C81B24" w:rsidRPr="00C81B24" w:rsidRDefault="00C81B24" w:rsidP="00CE5850">
            <w:pPr>
              <w:jc w:val="center"/>
              <w:rPr>
                <w:color w:val="000000"/>
                <w:sz w:val="20"/>
              </w:rPr>
            </w:pPr>
            <w:r w:rsidRPr="00C81B24">
              <w:rPr>
                <w:color w:val="000000"/>
                <w:sz w:val="20"/>
              </w:rPr>
              <w:t>5.86</w:t>
            </w:r>
          </w:p>
        </w:tc>
      </w:tr>
    </w:tbl>
    <w:p w:rsidR="00C81B24" w:rsidRPr="00C81B24" w:rsidRDefault="00C81B24" w:rsidP="00EA514E">
      <w:pPr>
        <w:spacing w:after="120"/>
        <w:rPr>
          <w:sz w:val="20"/>
        </w:rPr>
      </w:pPr>
    </w:p>
    <w:p w:rsidR="00EA514E" w:rsidRDefault="00C81B24" w:rsidP="00EA514E">
      <w:pPr>
        <w:rPr>
          <w:sz w:val="20"/>
        </w:rPr>
      </w:pPr>
      <w:r w:rsidRPr="00C81B24">
        <w:rPr>
          <w:sz w:val="20"/>
        </w:rPr>
        <w:t xml:space="preserve">Notes:  In March 2011, PCWorld published its sampling test results of the broadband data speeds of the nationwide service providers in thirteen cities using laptop modems and smartphones.  Overall, PCWorld finds that the average wireless mobile broadband data speeds have increased by more than three times from the previous year as service providers have upgraded their networks from 3G to 4G technologies.  Verizon Wireless laptop modems scored highest with an average data download speed of 6.44 Mbps in thirteen cities compared to the second ranked T-Mobile USA with a speed of 2.83 Mbps.  For smartphones, T-Mobile USA smartphone download speeds were the fastest with an average of 2.28 Mbps, followed by Sprint smartphones which had an average of 1.5 Mbps.  In April 2012, PCWorld updated its smartphone data speed test results in the thirteen cities.  The 3G wireless data download speeds have mostly increased from the previous year’s test results.  PCWorld found that T-Mobile USA has the fastest average 3G data download speed of 3.84 Mbps and AT&amp;T has the second fastest of 2.62 Mbps.  For the average 4G data download speeds, AT&amp;T was the fastest at 9.12 Mbps and Verizon Wireless was second with 7.35 Mbps. </w:t>
      </w:r>
    </w:p>
    <w:p w:rsidR="00C81B24" w:rsidRPr="00C81B24" w:rsidRDefault="00C81B24" w:rsidP="00EA514E">
      <w:pPr>
        <w:jc w:val="center"/>
        <w:rPr>
          <w:bCs/>
          <w:szCs w:val="22"/>
        </w:rPr>
      </w:pPr>
      <w:r w:rsidRPr="00C81B24">
        <w:rPr>
          <w:sz w:val="20"/>
        </w:rPr>
        <w:br w:type="page"/>
      </w:r>
      <w:bookmarkStart w:id="6924" w:name="_Toc278893128"/>
      <w:r w:rsidRPr="00C81B24">
        <w:rPr>
          <w:b/>
          <w:szCs w:val="22"/>
        </w:rPr>
        <w:t>Table B-</w:t>
      </w:r>
      <w:bookmarkEnd w:id="6924"/>
      <w:r w:rsidRPr="00C81B24">
        <w:rPr>
          <w:b/>
          <w:szCs w:val="22"/>
        </w:rPr>
        <w:t>8</w:t>
      </w:r>
    </w:p>
    <w:p w:rsidR="00C81B24" w:rsidRPr="00C81B24" w:rsidRDefault="00C81B24" w:rsidP="00CE5850">
      <w:pPr>
        <w:spacing w:after="120"/>
        <w:jc w:val="center"/>
        <w:rPr>
          <w:b/>
          <w:noProof/>
          <w:sz w:val="20"/>
        </w:rPr>
      </w:pPr>
      <w:r w:rsidRPr="00C81B24">
        <w:rPr>
          <w:b/>
          <w:noProof/>
          <w:szCs w:val="22"/>
        </w:rPr>
        <w:t>Network Performance Results, Average Data Speeds, PCMag, June 2011</w:t>
      </w:r>
      <w:r w:rsidRPr="00C81B24">
        <w:rPr>
          <w:noProof/>
          <w:sz w:val="20"/>
          <w:vertAlign w:val="superscript"/>
        </w:rPr>
        <w:footnoteReference w:id="1350"/>
      </w:r>
    </w:p>
    <w:tbl>
      <w:tblPr>
        <w:tblW w:w="8660" w:type="dxa"/>
        <w:tblInd w:w="93" w:type="dxa"/>
        <w:tblLook w:val="00A0" w:firstRow="1" w:lastRow="0" w:firstColumn="1" w:lastColumn="0" w:noHBand="0" w:noVBand="0"/>
      </w:tblPr>
      <w:tblGrid>
        <w:gridCol w:w="2340"/>
        <w:gridCol w:w="1180"/>
        <w:gridCol w:w="1180"/>
        <w:gridCol w:w="1240"/>
        <w:gridCol w:w="1240"/>
        <w:gridCol w:w="1480"/>
      </w:tblGrid>
      <w:tr w:rsidR="00C81B24" w:rsidRPr="00C81B24" w:rsidTr="00526AD9">
        <w:trPr>
          <w:trHeight w:val="315"/>
        </w:trPr>
        <w:tc>
          <w:tcPr>
            <w:tcW w:w="2340" w:type="dxa"/>
            <w:vMerge w:val="restart"/>
            <w:tcBorders>
              <w:top w:val="single" w:sz="8" w:space="0" w:color="auto"/>
              <w:left w:val="single" w:sz="8" w:space="0" w:color="auto"/>
              <w:bottom w:val="single" w:sz="4" w:space="0" w:color="auto"/>
              <w:right w:val="single" w:sz="8" w:space="0" w:color="auto"/>
            </w:tcBorders>
            <w:vAlign w:val="center"/>
          </w:tcPr>
          <w:p w:rsidR="00C81B24" w:rsidRPr="00C81B24" w:rsidRDefault="00C81B24" w:rsidP="00CE5850">
            <w:pPr>
              <w:rPr>
                <w:b/>
                <w:bCs/>
                <w:color w:val="000000"/>
                <w:sz w:val="20"/>
              </w:rPr>
            </w:pPr>
            <w:r w:rsidRPr="00C81B24">
              <w:rPr>
                <w:b/>
                <w:bCs/>
                <w:color w:val="000000"/>
                <w:sz w:val="20"/>
              </w:rPr>
              <w:t>Provider</w:t>
            </w:r>
          </w:p>
        </w:tc>
        <w:tc>
          <w:tcPr>
            <w:tcW w:w="2360" w:type="dxa"/>
            <w:gridSpan w:val="2"/>
            <w:tcBorders>
              <w:top w:val="single" w:sz="8" w:space="0" w:color="auto"/>
              <w:left w:val="nil"/>
              <w:bottom w:val="single" w:sz="8" w:space="0" w:color="auto"/>
              <w:right w:val="single" w:sz="8" w:space="0" w:color="000000"/>
            </w:tcBorders>
            <w:vAlign w:val="center"/>
          </w:tcPr>
          <w:p w:rsidR="00C81B24" w:rsidRPr="00C81B24" w:rsidRDefault="00C81B24" w:rsidP="00CE5850">
            <w:pPr>
              <w:jc w:val="center"/>
              <w:rPr>
                <w:b/>
                <w:bCs/>
                <w:color w:val="000000"/>
                <w:sz w:val="20"/>
              </w:rPr>
            </w:pPr>
            <w:r w:rsidRPr="00C81B24">
              <w:rPr>
                <w:b/>
                <w:bCs/>
                <w:color w:val="000000"/>
                <w:sz w:val="20"/>
              </w:rPr>
              <w:t>Download Speed (Mbps)</w:t>
            </w:r>
          </w:p>
        </w:tc>
        <w:tc>
          <w:tcPr>
            <w:tcW w:w="2480" w:type="dxa"/>
            <w:gridSpan w:val="2"/>
            <w:tcBorders>
              <w:top w:val="single" w:sz="8" w:space="0" w:color="auto"/>
              <w:left w:val="nil"/>
              <w:bottom w:val="single" w:sz="8" w:space="0" w:color="auto"/>
              <w:right w:val="single" w:sz="4" w:space="0" w:color="auto"/>
            </w:tcBorders>
            <w:vAlign w:val="center"/>
          </w:tcPr>
          <w:p w:rsidR="00C81B24" w:rsidRPr="00C81B24" w:rsidRDefault="00C81B24" w:rsidP="00CE5850">
            <w:pPr>
              <w:jc w:val="center"/>
              <w:rPr>
                <w:b/>
                <w:bCs/>
                <w:color w:val="000000"/>
                <w:sz w:val="20"/>
              </w:rPr>
            </w:pPr>
            <w:r w:rsidRPr="00C81B24">
              <w:rPr>
                <w:b/>
                <w:bCs/>
                <w:color w:val="000000"/>
                <w:sz w:val="20"/>
              </w:rPr>
              <w:t>Upload Speed (Mbps)</w:t>
            </w:r>
          </w:p>
        </w:tc>
        <w:tc>
          <w:tcPr>
            <w:tcW w:w="1480" w:type="dxa"/>
            <w:tcBorders>
              <w:top w:val="single" w:sz="8" w:space="0" w:color="auto"/>
              <w:left w:val="single" w:sz="8" w:space="0" w:color="auto"/>
              <w:bottom w:val="nil"/>
              <w:right w:val="single" w:sz="8" w:space="0" w:color="auto"/>
            </w:tcBorders>
            <w:noWrap/>
            <w:vAlign w:val="bottom"/>
          </w:tcPr>
          <w:p w:rsidR="00C81B24" w:rsidRPr="00C81B24" w:rsidRDefault="00C81B24" w:rsidP="00CE5850">
            <w:pPr>
              <w:jc w:val="center"/>
              <w:rPr>
                <w:b/>
                <w:bCs/>
                <w:color w:val="000000"/>
                <w:sz w:val="20"/>
              </w:rPr>
            </w:pPr>
            <w:r w:rsidRPr="00C81B24">
              <w:rPr>
                <w:b/>
                <w:bCs/>
                <w:color w:val="000000"/>
                <w:sz w:val="20"/>
              </w:rPr>
              <w:t>3G Success</w:t>
            </w:r>
          </w:p>
        </w:tc>
      </w:tr>
      <w:tr w:rsidR="00C81B24" w:rsidRPr="00C81B24" w:rsidTr="00526AD9">
        <w:trPr>
          <w:trHeight w:val="315"/>
        </w:trPr>
        <w:tc>
          <w:tcPr>
            <w:tcW w:w="2340" w:type="dxa"/>
            <w:vMerge/>
            <w:tcBorders>
              <w:top w:val="single" w:sz="8" w:space="0" w:color="auto"/>
              <w:left w:val="single" w:sz="8" w:space="0" w:color="auto"/>
              <w:bottom w:val="single" w:sz="4" w:space="0" w:color="auto"/>
              <w:right w:val="single" w:sz="8" w:space="0" w:color="auto"/>
            </w:tcBorders>
            <w:vAlign w:val="center"/>
          </w:tcPr>
          <w:p w:rsidR="00C81B24" w:rsidRPr="00C81B24" w:rsidRDefault="00C81B24" w:rsidP="00CE5850">
            <w:pPr>
              <w:rPr>
                <w:b/>
                <w:bCs/>
                <w:color w:val="000000"/>
                <w:sz w:val="20"/>
              </w:rPr>
            </w:pPr>
          </w:p>
        </w:tc>
        <w:tc>
          <w:tcPr>
            <w:tcW w:w="1180" w:type="dxa"/>
            <w:tcBorders>
              <w:top w:val="nil"/>
              <w:left w:val="nil"/>
              <w:bottom w:val="nil"/>
              <w:right w:val="single" w:sz="4" w:space="0" w:color="auto"/>
            </w:tcBorders>
            <w:vAlign w:val="center"/>
          </w:tcPr>
          <w:p w:rsidR="00C81B24" w:rsidRPr="00C81B24" w:rsidRDefault="00C81B24" w:rsidP="00CE5850">
            <w:pPr>
              <w:jc w:val="center"/>
              <w:rPr>
                <w:b/>
                <w:bCs/>
                <w:color w:val="000000"/>
                <w:sz w:val="20"/>
              </w:rPr>
            </w:pPr>
            <w:r w:rsidRPr="00C81B24">
              <w:rPr>
                <w:b/>
                <w:bCs/>
                <w:color w:val="000000"/>
                <w:sz w:val="20"/>
              </w:rPr>
              <w:t>Average</w:t>
            </w:r>
          </w:p>
        </w:tc>
        <w:tc>
          <w:tcPr>
            <w:tcW w:w="1180" w:type="dxa"/>
            <w:tcBorders>
              <w:top w:val="nil"/>
              <w:left w:val="nil"/>
              <w:bottom w:val="nil"/>
              <w:right w:val="single" w:sz="8" w:space="0" w:color="auto"/>
            </w:tcBorders>
            <w:vAlign w:val="center"/>
          </w:tcPr>
          <w:p w:rsidR="00C81B24" w:rsidRPr="00C81B24" w:rsidRDefault="00C81B24" w:rsidP="00CE5850">
            <w:pPr>
              <w:jc w:val="center"/>
              <w:rPr>
                <w:b/>
                <w:bCs/>
                <w:color w:val="000000"/>
                <w:sz w:val="20"/>
              </w:rPr>
            </w:pPr>
            <w:r w:rsidRPr="00C81B24">
              <w:rPr>
                <w:b/>
                <w:bCs/>
                <w:color w:val="000000"/>
                <w:sz w:val="20"/>
              </w:rPr>
              <w:t>Maximum</w:t>
            </w:r>
          </w:p>
        </w:tc>
        <w:tc>
          <w:tcPr>
            <w:tcW w:w="1240" w:type="dxa"/>
            <w:tcBorders>
              <w:top w:val="nil"/>
              <w:left w:val="nil"/>
              <w:bottom w:val="nil"/>
              <w:right w:val="single" w:sz="4" w:space="0" w:color="auto"/>
            </w:tcBorders>
            <w:vAlign w:val="center"/>
          </w:tcPr>
          <w:p w:rsidR="00C81B24" w:rsidRPr="00C81B24" w:rsidRDefault="00C81B24" w:rsidP="00CE5850">
            <w:pPr>
              <w:jc w:val="center"/>
              <w:rPr>
                <w:b/>
                <w:bCs/>
                <w:color w:val="000000"/>
                <w:sz w:val="20"/>
              </w:rPr>
            </w:pPr>
            <w:r w:rsidRPr="00C81B24">
              <w:rPr>
                <w:b/>
                <w:bCs/>
                <w:color w:val="000000"/>
                <w:sz w:val="20"/>
              </w:rPr>
              <w:t>Average</w:t>
            </w:r>
          </w:p>
        </w:tc>
        <w:tc>
          <w:tcPr>
            <w:tcW w:w="1240" w:type="dxa"/>
            <w:tcBorders>
              <w:top w:val="nil"/>
              <w:left w:val="nil"/>
              <w:bottom w:val="nil"/>
              <w:right w:val="nil"/>
            </w:tcBorders>
            <w:vAlign w:val="center"/>
          </w:tcPr>
          <w:p w:rsidR="00C81B24" w:rsidRPr="00C81B24" w:rsidRDefault="00C81B24" w:rsidP="00CE5850">
            <w:pPr>
              <w:jc w:val="center"/>
              <w:rPr>
                <w:b/>
                <w:bCs/>
                <w:color w:val="000000"/>
                <w:sz w:val="20"/>
              </w:rPr>
            </w:pPr>
            <w:r w:rsidRPr="00C81B24">
              <w:rPr>
                <w:b/>
                <w:bCs/>
                <w:color w:val="000000"/>
                <w:sz w:val="20"/>
              </w:rPr>
              <w:t>Maximum</w:t>
            </w:r>
          </w:p>
        </w:tc>
        <w:tc>
          <w:tcPr>
            <w:tcW w:w="1480" w:type="dxa"/>
            <w:tcBorders>
              <w:top w:val="nil"/>
              <w:left w:val="single" w:sz="8" w:space="0" w:color="auto"/>
              <w:bottom w:val="single" w:sz="8" w:space="0" w:color="auto"/>
              <w:right w:val="single" w:sz="8" w:space="0" w:color="auto"/>
            </w:tcBorders>
            <w:noWrap/>
            <w:vAlign w:val="bottom"/>
          </w:tcPr>
          <w:p w:rsidR="00C81B24" w:rsidRPr="00C81B24" w:rsidRDefault="00C81B24" w:rsidP="00CE5850">
            <w:pPr>
              <w:jc w:val="center"/>
              <w:rPr>
                <w:b/>
                <w:bCs/>
                <w:color w:val="000000"/>
                <w:sz w:val="20"/>
              </w:rPr>
            </w:pPr>
            <w:r w:rsidRPr="00C81B24">
              <w:rPr>
                <w:b/>
                <w:bCs/>
                <w:color w:val="000000"/>
                <w:sz w:val="20"/>
              </w:rPr>
              <w:t xml:space="preserve"> (%)</w:t>
            </w:r>
          </w:p>
        </w:tc>
      </w:tr>
      <w:tr w:rsidR="00C81B24" w:rsidRPr="00C81B24" w:rsidTr="00526AD9">
        <w:trPr>
          <w:trHeight w:val="300"/>
        </w:trPr>
        <w:tc>
          <w:tcPr>
            <w:tcW w:w="2340" w:type="dxa"/>
            <w:tcBorders>
              <w:top w:val="single" w:sz="8" w:space="0" w:color="auto"/>
              <w:left w:val="single" w:sz="8" w:space="0" w:color="auto"/>
              <w:bottom w:val="single" w:sz="4" w:space="0" w:color="auto"/>
              <w:right w:val="nil"/>
            </w:tcBorders>
            <w:vAlign w:val="center"/>
          </w:tcPr>
          <w:p w:rsidR="00C81B24" w:rsidRPr="00C81B24" w:rsidRDefault="00C81B24" w:rsidP="00CE5850">
            <w:pPr>
              <w:rPr>
                <w:bCs/>
                <w:color w:val="000000"/>
                <w:sz w:val="20"/>
              </w:rPr>
            </w:pPr>
            <w:r w:rsidRPr="00C81B24">
              <w:rPr>
                <w:bCs/>
                <w:color w:val="000000"/>
                <w:sz w:val="20"/>
              </w:rPr>
              <w:t>AT&amp;T</w:t>
            </w:r>
          </w:p>
        </w:tc>
        <w:tc>
          <w:tcPr>
            <w:tcW w:w="1180" w:type="dxa"/>
            <w:tcBorders>
              <w:top w:val="single" w:sz="8" w:space="0" w:color="auto"/>
              <w:left w:val="single" w:sz="8" w:space="0" w:color="auto"/>
              <w:bottom w:val="single" w:sz="4" w:space="0" w:color="auto"/>
              <w:right w:val="single" w:sz="4" w:space="0" w:color="auto"/>
            </w:tcBorders>
            <w:vAlign w:val="center"/>
          </w:tcPr>
          <w:p w:rsidR="00C81B24" w:rsidRPr="00C81B24" w:rsidRDefault="00C81B24" w:rsidP="00CE5850">
            <w:pPr>
              <w:jc w:val="center"/>
              <w:rPr>
                <w:color w:val="000000"/>
                <w:sz w:val="20"/>
              </w:rPr>
            </w:pPr>
            <w:r w:rsidRPr="00C81B24">
              <w:rPr>
                <w:color w:val="000000"/>
                <w:sz w:val="20"/>
              </w:rPr>
              <w:t>2.44</w:t>
            </w:r>
          </w:p>
        </w:tc>
        <w:tc>
          <w:tcPr>
            <w:tcW w:w="1180" w:type="dxa"/>
            <w:tcBorders>
              <w:top w:val="single" w:sz="8" w:space="0" w:color="auto"/>
              <w:left w:val="nil"/>
              <w:bottom w:val="single" w:sz="4" w:space="0" w:color="auto"/>
              <w:right w:val="single" w:sz="4" w:space="0" w:color="auto"/>
            </w:tcBorders>
            <w:vAlign w:val="center"/>
          </w:tcPr>
          <w:p w:rsidR="00C81B24" w:rsidRPr="00C81B24" w:rsidRDefault="00C81B24" w:rsidP="00CE5850">
            <w:pPr>
              <w:jc w:val="center"/>
              <w:rPr>
                <w:color w:val="000000"/>
                <w:sz w:val="20"/>
              </w:rPr>
            </w:pPr>
            <w:r w:rsidRPr="00C81B24">
              <w:rPr>
                <w:color w:val="000000"/>
                <w:sz w:val="20"/>
              </w:rPr>
              <w:t>12.97</w:t>
            </w:r>
          </w:p>
        </w:tc>
        <w:tc>
          <w:tcPr>
            <w:tcW w:w="1240" w:type="dxa"/>
            <w:tcBorders>
              <w:top w:val="single" w:sz="8" w:space="0" w:color="auto"/>
              <w:left w:val="nil"/>
              <w:bottom w:val="single" w:sz="4" w:space="0" w:color="auto"/>
              <w:right w:val="single" w:sz="4" w:space="0" w:color="auto"/>
            </w:tcBorders>
            <w:vAlign w:val="center"/>
          </w:tcPr>
          <w:p w:rsidR="00C81B24" w:rsidRPr="00C81B24" w:rsidRDefault="00C81B24" w:rsidP="00CE5850">
            <w:pPr>
              <w:jc w:val="center"/>
              <w:rPr>
                <w:color w:val="000000"/>
                <w:sz w:val="20"/>
              </w:rPr>
            </w:pPr>
            <w:r w:rsidRPr="00C81B24">
              <w:rPr>
                <w:color w:val="000000"/>
                <w:sz w:val="20"/>
              </w:rPr>
              <w:t>0.82</w:t>
            </w:r>
          </w:p>
        </w:tc>
        <w:tc>
          <w:tcPr>
            <w:tcW w:w="1240" w:type="dxa"/>
            <w:tcBorders>
              <w:top w:val="single" w:sz="8" w:space="0" w:color="auto"/>
              <w:left w:val="nil"/>
              <w:bottom w:val="single" w:sz="4" w:space="0" w:color="auto"/>
              <w:right w:val="nil"/>
            </w:tcBorders>
            <w:vAlign w:val="center"/>
          </w:tcPr>
          <w:p w:rsidR="00C81B24" w:rsidRPr="00C81B24" w:rsidRDefault="00C81B24" w:rsidP="00CE5850">
            <w:pPr>
              <w:jc w:val="center"/>
              <w:rPr>
                <w:color w:val="000000"/>
                <w:sz w:val="20"/>
              </w:rPr>
            </w:pPr>
            <w:r w:rsidRPr="00C81B24">
              <w:rPr>
                <w:color w:val="000000"/>
                <w:sz w:val="20"/>
              </w:rPr>
              <w:t>1.9</w:t>
            </w:r>
          </w:p>
        </w:tc>
        <w:tc>
          <w:tcPr>
            <w:tcW w:w="1480" w:type="dxa"/>
            <w:tcBorders>
              <w:top w:val="nil"/>
              <w:left w:val="single" w:sz="4" w:space="0" w:color="auto"/>
              <w:bottom w:val="single" w:sz="4" w:space="0" w:color="auto"/>
              <w:right w:val="single" w:sz="8" w:space="0" w:color="auto"/>
            </w:tcBorders>
            <w:noWrap/>
            <w:vAlign w:val="bottom"/>
          </w:tcPr>
          <w:p w:rsidR="00C81B24" w:rsidRPr="00C81B24" w:rsidRDefault="00C81B24" w:rsidP="00CE5850">
            <w:pPr>
              <w:jc w:val="center"/>
              <w:rPr>
                <w:color w:val="000000"/>
                <w:sz w:val="20"/>
              </w:rPr>
            </w:pPr>
            <w:r w:rsidRPr="00C81B24">
              <w:rPr>
                <w:color w:val="000000"/>
                <w:sz w:val="20"/>
              </w:rPr>
              <w:t>90.2</w:t>
            </w:r>
          </w:p>
        </w:tc>
      </w:tr>
      <w:tr w:rsidR="00C81B24" w:rsidRPr="00C81B24" w:rsidTr="00526AD9">
        <w:trPr>
          <w:trHeight w:val="300"/>
        </w:trPr>
        <w:tc>
          <w:tcPr>
            <w:tcW w:w="2340" w:type="dxa"/>
            <w:tcBorders>
              <w:top w:val="nil"/>
              <w:left w:val="single" w:sz="8" w:space="0" w:color="auto"/>
              <w:bottom w:val="single" w:sz="4" w:space="0" w:color="auto"/>
              <w:right w:val="nil"/>
            </w:tcBorders>
            <w:vAlign w:val="center"/>
          </w:tcPr>
          <w:p w:rsidR="00C81B24" w:rsidRPr="00C81B24" w:rsidRDefault="00C81B24" w:rsidP="00CE5850">
            <w:pPr>
              <w:rPr>
                <w:bCs/>
                <w:color w:val="000000"/>
                <w:sz w:val="20"/>
              </w:rPr>
            </w:pPr>
            <w:r w:rsidRPr="00C81B24">
              <w:rPr>
                <w:bCs/>
                <w:color w:val="000000"/>
                <w:sz w:val="20"/>
              </w:rPr>
              <w:t>Cricket</w:t>
            </w:r>
          </w:p>
        </w:tc>
        <w:tc>
          <w:tcPr>
            <w:tcW w:w="1180" w:type="dxa"/>
            <w:tcBorders>
              <w:top w:val="nil"/>
              <w:left w:val="single" w:sz="8" w:space="0" w:color="auto"/>
              <w:bottom w:val="single" w:sz="4" w:space="0" w:color="auto"/>
              <w:right w:val="single" w:sz="4" w:space="0" w:color="auto"/>
            </w:tcBorders>
            <w:vAlign w:val="center"/>
          </w:tcPr>
          <w:p w:rsidR="00C81B24" w:rsidRPr="00C81B24" w:rsidRDefault="00C81B24" w:rsidP="00CE5850">
            <w:pPr>
              <w:jc w:val="center"/>
              <w:rPr>
                <w:color w:val="000000"/>
                <w:sz w:val="20"/>
              </w:rPr>
            </w:pPr>
            <w:r w:rsidRPr="00C81B24">
              <w:rPr>
                <w:color w:val="000000"/>
                <w:sz w:val="20"/>
              </w:rPr>
              <w:t>0.6</w:t>
            </w:r>
          </w:p>
        </w:tc>
        <w:tc>
          <w:tcPr>
            <w:tcW w:w="1180" w:type="dxa"/>
            <w:tcBorders>
              <w:top w:val="nil"/>
              <w:left w:val="nil"/>
              <w:bottom w:val="single" w:sz="4" w:space="0" w:color="auto"/>
              <w:right w:val="single" w:sz="4" w:space="0" w:color="auto"/>
            </w:tcBorders>
            <w:vAlign w:val="center"/>
          </w:tcPr>
          <w:p w:rsidR="00C81B24" w:rsidRPr="00C81B24" w:rsidRDefault="00C81B24" w:rsidP="00CE5850">
            <w:pPr>
              <w:jc w:val="center"/>
              <w:rPr>
                <w:color w:val="000000"/>
                <w:sz w:val="20"/>
              </w:rPr>
            </w:pPr>
            <w:r w:rsidRPr="00C81B24">
              <w:rPr>
                <w:color w:val="000000"/>
                <w:sz w:val="20"/>
              </w:rPr>
              <w:t>2.15</w:t>
            </w:r>
          </w:p>
        </w:tc>
        <w:tc>
          <w:tcPr>
            <w:tcW w:w="1240" w:type="dxa"/>
            <w:tcBorders>
              <w:top w:val="nil"/>
              <w:left w:val="nil"/>
              <w:bottom w:val="single" w:sz="4" w:space="0" w:color="auto"/>
              <w:right w:val="single" w:sz="4" w:space="0" w:color="auto"/>
            </w:tcBorders>
            <w:vAlign w:val="center"/>
          </w:tcPr>
          <w:p w:rsidR="00C81B24" w:rsidRPr="00C81B24" w:rsidRDefault="00C81B24" w:rsidP="00CE5850">
            <w:pPr>
              <w:jc w:val="center"/>
              <w:rPr>
                <w:color w:val="000000"/>
                <w:sz w:val="20"/>
              </w:rPr>
            </w:pPr>
            <w:r w:rsidRPr="00C81B24">
              <w:rPr>
                <w:color w:val="000000"/>
                <w:sz w:val="20"/>
              </w:rPr>
              <w:t>0.45</w:t>
            </w:r>
          </w:p>
        </w:tc>
        <w:tc>
          <w:tcPr>
            <w:tcW w:w="1240" w:type="dxa"/>
            <w:tcBorders>
              <w:top w:val="nil"/>
              <w:left w:val="nil"/>
              <w:bottom w:val="single" w:sz="4" w:space="0" w:color="auto"/>
              <w:right w:val="nil"/>
            </w:tcBorders>
            <w:vAlign w:val="center"/>
          </w:tcPr>
          <w:p w:rsidR="00C81B24" w:rsidRPr="00C81B24" w:rsidRDefault="00C81B24" w:rsidP="00CE5850">
            <w:pPr>
              <w:jc w:val="center"/>
              <w:rPr>
                <w:color w:val="000000"/>
                <w:sz w:val="20"/>
              </w:rPr>
            </w:pPr>
            <w:r w:rsidRPr="00C81B24">
              <w:rPr>
                <w:color w:val="000000"/>
                <w:sz w:val="20"/>
              </w:rPr>
              <w:t>1</w:t>
            </w:r>
          </w:p>
        </w:tc>
        <w:tc>
          <w:tcPr>
            <w:tcW w:w="1480" w:type="dxa"/>
            <w:tcBorders>
              <w:top w:val="nil"/>
              <w:left w:val="single" w:sz="4" w:space="0" w:color="auto"/>
              <w:bottom w:val="single" w:sz="4" w:space="0" w:color="auto"/>
              <w:right w:val="single" w:sz="8" w:space="0" w:color="auto"/>
            </w:tcBorders>
            <w:noWrap/>
            <w:vAlign w:val="bottom"/>
          </w:tcPr>
          <w:p w:rsidR="00C81B24" w:rsidRPr="00C81B24" w:rsidRDefault="00C81B24" w:rsidP="00CE5850">
            <w:pPr>
              <w:jc w:val="center"/>
              <w:rPr>
                <w:color w:val="000000"/>
                <w:sz w:val="20"/>
              </w:rPr>
            </w:pPr>
            <w:r w:rsidRPr="00C81B24">
              <w:rPr>
                <w:color w:val="000000"/>
                <w:sz w:val="20"/>
              </w:rPr>
              <w:t>75.85</w:t>
            </w:r>
          </w:p>
        </w:tc>
      </w:tr>
      <w:tr w:rsidR="00C81B24" w:rsidRPr="00C81B24" w:rsidTr="00526AD9">
        <w:trPr>
          <w:trHeight w:val="300"/>
        </w:trPr>
        <w:tc>
          <w:tcPr>
            <w:tcW w:w="2340" w:type="dxa"/>
            <w:tcBorders>
              <w:top w:val="nil"/>
              <w:left w:val="single" w:sz="8" w:space="0" w:color="auto"/>
              <w:bottom w:val="single" w:sz="4" w:space="0" w:color="auto"/>
              <w:right w:val="nil"/>
            </w:tcBorders>
            <w:vAlign w:val="center"/>
          </w:tcPr>
          <w:p w:rsidR="00C81B24" w:rsidRPr="00C81B24" w:rsidRDefault="00C81B24" w:rsidP="00CE5850">
            <w:pPr>
              <w:rPr>
                <w:bCs/>
                <w:color w:val="000000"/>
                <w:sz w:val="20"/>
              </w:rPr>
            </w:pPr>
            <w:r w:rsidRPr="00C81B24">
              <w:rPr>
                <w:bCs/>
                <w:color w:val="000000"/>
                <w:sz w:val="20"/>
              </w:rPr>
              <w:t>MetroPCS</w:t>
            </w:r>
          </w:p>
        </w:tc>
        <w:tc>
          <w:tcPr>
            <w:tcW w:w="1180" w:type="dxa"/>
            <w:tcBorders>
              <w:top w:val="nil"/>
              <w:left w:val="single" w:sz="8" w:space="0" w:color="auto"/>
              <w:bottom w:val="single" w:sz="4" w:space="0" w:color="auto"/>
              <w:right w:val="single" w:sz="4" w:space="0" w:color="auto"/>
            </w:tcBorders>
            <w:vAlign w:val="center"/>
          </w:tcPr>
          <w:p w:rsidR="00C81B24" w:rsidRPr="00C81B24" w:rsidRDefault="00C81B24" w:rsidP="00CE5850">
            <w:pPr>
              <w:jc w:val="center"/>
              <w:rPr>
                <w:color w:val="000000"/>
                <w:sz w:val="20"/>
              </w:rPr>
            </w:pPr>
            <w:r w:rsidRPr="00C81B24">
              <w:rPr>
                <w:color w:val="000000"/>
                <w:sz w:val="20"/>
              </w:rPr>
              <w:t>1.62</w:t>
            </w:r>
          </w:p>
        </w:tc>
        <w:tc>
          <w:tcPr>
            <w:tcW w:w="1180" w:type="dxa"/>
            <w:tcBorders>
              <w:top w:val="nil"/>
              <w:left w:val="nil"/>
              <w:bottom w:val="single" w:sz="4" w:space="0" w:color="auto"/>
              <w:right w:val="single" w:sz="4" w:space="0" w:color="auto"/>
            </w:tcBorders>
            <w:vAlign w:val="center"/>
          </w:tcPr>
          <w:p w:rsidR="00C81B24" w:rsidRPr="00C81B24" w:rsidRDefault="00C81B24" w:rsidP="00CE5850">
            <w:pPr>
              <w:jc w:val="center"/>
              <w:rPr>
                <w:color w:val="000000"/>
                <w:sz w:val="20"/>
              </w:rPr>
            </w:pPr>
            <w:r w:rsidRPr="00C81B24">
              <w:rPr>
                <w:color w:val="000000"/>
                <w:sz w:val="20"/>
              </w:rPr>
              <w:t>6.3</w:t>
            </w:r>
          </w:p>
        </w:tc>
        <w:tc>
          <w:tcPr>
            <w:tcW w:w="1240" w:type="dxa"/>
            <w:tcBorders>
              <w:top w:val="nil"/>
              <w:left w:val="nil"/>
              <w:bottom w:val="single" w:sz="4" w:space="0" w:color="auto"/>
              <w:right w:val="single" w:sz="4" w:space="0" w:color="auto"/>
            </w:tcBorders>
            <w:vAlign w:val="center"/>
          </w:tcPr>
          <w:p w:rsidR="00C81B24" w:rsidRPr="00C81B24" w:rsidRDefault="00C81B24" w:rsidP="00CE5850">
            <w:pPr>
              <w:jc w:val="center"/>
              <w:rPr>
                <w:color w:val="000000"/>
                <w:sz w:val="20"/>
              </w:rPr>
            </w:pPr>
            <w:r w:rsidRPr="00C81B24">
              <w:rPr>
                <w:color w:val="000000"/>
                <w:sz w:val="20"/>
              </w:rPr>
              <w:t>1.07</w:t>
            </w:r>
          </w:p>
        </w:tc>
        <w:tc>
          <w:tcPr>
            <w:tcW w:w="1240" w:type="dxa"/>
            <w:tcBorders>
              <w:top w:val="nil"/>
              <w:left w:val="nil"/>
              <w:bottom w:val="single" w:sz="4" w:space="0" w:color="auto"/>
              <w:right w:val="nil"/>
            </w:tcBorders>
            <w:vAlign w:val="center"/>
          </w:tcPr>
          <w:p w:rsidR="00C81B24" w:rsidRPr="00C81B24" w:rsidRDefault="00C81B24" w:rsidP="00CE5850">
            <w:pPr>
              <w:jc w:val="center"/>
              <w:rPr>
                <w:color w:val="000000"/>
                <w:sz w:val="20"/>
              </w:rPr>
            </w:pPr>
            <w:r w:rsidRPr="00C81B24">
              <w:rPr>
                <w:color w:val="000000"/>
                <w:sz w:val="20"/>
              </w:rPr>
              <w:t>2.22</w:t>
            </w:r>
          </w:p>
        </w:tc>
        <w:tc>
          <w:tcPr>
            <w:tcW w:w="1480" w:type="dxa"/>
            <w:tcBorders>
              <w:top w:val="nil"/>
              <w:left w:val="single" w:sz="4" w:space="0" w:color="auto"/>
              <w:bottom w:val="single" w:sz="4" w:space="0" w:color="auto"/>
              <w:right w:val="single" w:sz="8" w:space="0" w:color="auto"/>
            </w:tcBorders>
            <w:noWrap/>
            <w:vAlign w:val="bottom"/>
          </w:tcPr>
          <w:p w:rsidR="00C81B24" w:rsidRPr="00C81B24" w:rsidRDefault="00C81B24" w:rsidP="00CE5850">
            <w:pPr>
              <w:jc w:val="center"/>
              <w:rPr>
                <w:color w:val="000000"/>
                <w:sz w:val="20"/>
              </w:rPr>
            </w:pPr>
            <w:r w:rsidRPr="00C81B24">
              <w:rPr>
                <w:color w:val="000000"/>
                <w:sz w:val="20"/>
              </w:rPr>
              <w:t>87.32</w:t>
            </w:r>
          </w:p>
        </w:tc>
      </w:tr>
      <w:tr w:rsidR="00C81B24" w:rsidRPr="00C81B24" w:rsidTr="00526AD9">
        <w:trPr>
          <w:trHeight w:val="300"/>
        </w:trPr>
        <w:tc>
          <w:tcPr>
            <w:tcW w:w="2340" w:type="dxa"/>
            <w:tcBorders>
              <w:top w:val="nil"/>
              <w:left w:val="single" w:sz="8" w:space="0" w:color="auto"/>
              <w:bottom w:val="single" w:sz="4" w:space="0" w:color="auto"/>
              <w:right w:val="nil"/>
            </w:tcBorders>
            <w:vAlign w:val="center"/>
          </w:tcPr>
          <w:p w:rsidR="00C81B24" w:rsidRPr="00C81B24" w:rsidRDefault="00C81B24" w:rsidP="00CE5850">
            <w:pPr>
              <w:rPr>
                <w:bCs/>
                <w:color w:val="000000"/>
                <w:sz w:val="20"/>
              </w:rPr>
            </w:pPr>
            <w:r w:rsidRPr="00C81B24">
              <w:rPr>
                <w:bCs/>
                <w:color w:val="000000"/>
                <w:sz w:val="20"/>
              </w:rPr>
              <w:t>Sprint Nextel 3G</w:t>
            </w:r>
          </w:p>
        </w:tc>
        <w:tc>
          <w:tcPr>
            <w:tcW w:w="1180" w:type="dxa"/>
            <w:tcBorders>
              <w:top w:val="nil"/>
              <w:left w:val="single" w:sz="8" w:space="0" w:color="auto"/>
              <w:bottom w:val="single" w:sz="4" w:space="0" w:color="auto"/>
              <w:right w:val="single" w:sz="4" w:space="0" w:color="auto"/>
            </w:tcBorders>
            <w:vAlign w:val="center"/>
          </w:tcPr>
          <w:p w:rsidR="00C81B24" w:rsidRPr="00C81B24" w:rsidRDefault="00C81B24" w:rsidP="00CE5850">
            <w:pPr>
              <w:jc w:val="center"/>
              <w:rPr>
                <w:color w:val="000000"/>
                <w:sz w:val="20"/>
              </w:rPr>
            </w:pPr>
            <w:r w:rsidRPr="00C81B24">
              <w:rPr>
                <w:color w:val="000000"/>
                <w:sz w:val="20"/>
              </w:rPr>
              <w:t>0.48</w:t>
            </w:r>
          </w:p>
        </w:tc>
        <w:tc>
          <w:tcPr>
            <w:tcW w:w="1180" w:type="dxa"/>
            <w:tcBorders>
              <w:top w:val="nil"/>
              <w:left w:val="nil"/>
              <w:bottom w:val="single" w:sz="4" w:space="0" w:color="auto"/>
              <w:right w:val="single" w:sz="4" w:space="0" w:color="auto"/>
            </w:tcBorders>
            <w:vAlign w:val="center"/>
          </w:tcPr>
          <w:p w:rsidR="00C81B24" w:rsidRPr="00C81B24" w:rsidRDefault="00C81B24" w:rsidP="00CE5850">
            <w:pPr>
              <w:jc w:val="center"/>
              <w:rPr>
                <w:color w:val="000000"/>
                <w:sz w:val="20"/>
              </w:rPr>
            </w:pPr>
            <w:r w:rsidRPr="00C81B24">
              <w:rPr>
                <w:color w:val="000000"/>
                <w:sz w:val="20"/>
              </w:rPr>
              <w:t>2.22</w:t>
            </w:r>
          </w:p>
        </w:tc>
        <w:tc>
          <w:tcPr>
            <w:tcW w:w="1240" w:type="dxa"/>
            <w:tcBorders>
              <w:top w:val="nil"/>
              <w:left w:val="nil"/>
              <w:bottom w:val="single" w:sz="4" w:space="0" w:color="auto"/>
              <w:right w:val="single" w:sz="4" w:space="0" w:color="auto"/>
            </w:tcBorders>
            <w:vAlign w:val="center"/>
          </w:tcPr>
          <w:p w:rsidR="00C81B24" w:rsidRPr="00C81B24" w:rsidRDefault="00C81B24" w:rsidP="00CE5850">
            <w:pPr>
              <w:jc w:val="center"/>
              <w:rPr>
                <w:color w:val="000000"/>
                <w:sz w:val="20"/>
              </w:rPr>
            </w:pPr>
            <w:r w:rsidRPr="00C81B24">
              <w:rPr>
                <w:color w:val="000000"/>
                <w:sz w:val="20"/>
              </w:rPr>
              <w:t>0.35</w:t>
            </w:r>
          </w:p>
        </w:tc>
        <w:tc>
          <w:tcPr>
            <w:tcW w:w="1240" w:type="dxa"/>
            <w:tcBorders>
              <w:top w:val="nil"/>
              <w:left w:val="nil"/>
              <w:bottom w:val="single" w:sz="4" w:space="0" w:color="auto"/>
              <w:right w:val="nil"/>
            </w:tcBorders>
            <w:vAlign w:val="center"/>
          </w:tcPr>
          <w:p w:rsidR="00C81B24" w:rsidRPr="00C81B24" w:rsidRDefault="00C81B24" w:rsidP="00CE5850">
            <w:pPr>
              <w:jc w:val="center"/>
              <w:rPr>
                <w:color w:val="000000"/>
                <w:sz w:val="20"/>
              </w:rPr>
            </w:pPr>
            <w:r w:rsidRPr="00C81B24">
              <w:rPr>
                <w:color w:val="000000"/>
                <w:sz w:val="20"/>
              </w:rPr>
              <w:t>1.02</w:t>
            </w:r>
          </w:p>
        </w:tc>
        <w:tc>
          <w:tcPr>
            <w:tcW w:w="1480" w:type="dxa"/>
            <w:tcBorders>
              <w:top w:val="nil"/>
              <w:left w:val="single" w:sz="4" w:space="0" w:color="auto"/>
              <w:bottom w:val="single" w:sz="4" w:space="0" w:color="auto"/>
              <w:right w:val="single" w:sz="8" w:space="0" w:color="auto"/>
            </w:tcBorders>
            <w:noWrap/>
            <w:vAlign w:val="bottom"/>
          </w:tcPr>
          <w:p w:rsidR="00C81B24" w:rsidRPr="00C81B24" w:rsidRDefault="00C81B24" w:rsidP="00CE5850">
            <w:pPr>
              <w:jc w:val="center"/>
              <w:rPr>
                <w:color w:val="000000"/>
                <w:sz w:val="20"/>
              </w:rPr>
            </w:pPr>
            <w:r w:rsidRPr="00C81B24">
              <w:rPr>
                <w:color w:val="000000"/>
                <w:sz w:val="20"/>
              </w:rPr>
              <w:t>65.14</w:t>
            </w:r>
          </w:p>
        </w:tc>
      </w:tr>
      <w:tr w:rsidR="00C81B24" w:rsidRPr="00C81B24" w:rsidTr="00526AD9">
        <w:trPr>
          <w:trHeight w:val="300"/>
        </w:trPr>
        <w:tc>
          <w:tcPr>
            <w:tcW w:w="2340" w:type="dxa"/>
            <w:tcBorders>
              <w:top w:val="nil"/>
              <w:left w:val="single" w:sz="8" w:space="0" w:color="auto"/>
              <w:bottom w:val="single" w:sz="4" w:space="0" w:color="auto"/>
              <w:right w:val="nil"/>
            </w:tcBorders>
            <w:vAlign w:val="center"/>
          </w:tcPr>
          <w:p w:rsidR="00C81B24" w:rsidRPr="00C81B24" w:rsidRDefault="00C81B24" w:rsidP="00CE5850">
            <w:pPr>
              <w:rPr>
                <w:bCs/>
                <w:color w:val="000000"/>
                <w:sz w:val="20"/>
              </w:rPr>
            </w:pPr>
            <w:r w:rsidRPr="00C81B24">
              <w:rPr>
                <w:bCs/>
                <w:color w:val="000000"/>
                <w:sz w:val="20"/>
              </w:rPr>
              <w:t>Sprint Nextel 4G</w:t>
            </w:r>
          </w:p>
        </w:tc>
        <w:tc>
          <w:tcPr>
            <w:tcW w:w="1180" w:type="dxa"/>
            <w:tcBorders>
              <w:top w:val="nil"/>
              <w:left w:val="single" w:sz="8" w:space="0" w:color="auto"/>
              <w:bottom w:val="single" w:sz="4" w:space="0" w:color="auto"/>
              <w:right w:val="single" w:sz="4" w:space="0" w:color="auto"/>
            </w:tcBorders>
            <w:vAlign w:val="center"/>
          </w:tcPr>
          <w:p w:rsidR="00C81B24" w:rsidRPr="00C81B24" w:rsidRDefault="00C81B24" w:rsidP="00CE5850">
            <w:pPr>
              <w:jc w:val="center"/>
              <w:rPr>
                <w:color w:val="000000"/>
                <w:sz w:val="20"/>
              </w:rPr>
            </w:pPr>
            <w:r w:rsidRPr="00C81B24">
              <w:rPr>
                <w:color w:val="000000"/>
                <w:sz w:val="20"/>
              </w:rPr>
              <w:t>2.99</w:t>
            </w:r>
          </w:p>
        </w:tc>
        <w:tc>
          <w:tcPr>
            <w:tcW w:w="1180" w:type="dxa"/>
            <w:tcBorders>
              <w:top w:val="nil"/>
              <w:left w:val="nil"/>
              <w:bottom w:val="single" w:sz="4" w:space="0" w:color="auto"/>
              <w:right w:val="single" w:sz="4" w:space="0" w:color="auto"/>
            </w:tcBorders>
            <w:vAlign w:val="center"/>
          </w:tcPr>
          <w:p w:rsidR="00C81B24" w:rsidRPr="00C81B24" w:rsidRDefault="00C81B24" w:rsidP="00CE5850">
            <w:pPr>
              <w:jc w:val="center"/>
              <w:rPr>
                <w:color w:val="000000"/>
                <w:sz w:val="20"/>
              </w:rPr>
            </w:pPr>
            <w:r w:rsidRPr="00C81B24">
              <w:rPr>
                <w:color w:val="000000"/>
                <w:sz w:val="20"/>
              </w:rPr>
              <w:t>10.46</w:t>
            </w:r>
          </w:p>
        </w:tc>
        <w:tc>
          <w:tcPr>
            <w:tcW w:w="1240" w:type="dxa"/>
            <w:tcBorders>
              <w:top w:val="nil"/>
              <w:left w:val="nil"/>
              <w:bottom w:val="single" w:sz="4" w:space="0" w:color="auto"/>
              <w:right w:val="single" w:sz="4" w:space="0" w:color="auto"/>
            </w:tcBorders>
            <w:vAlign w:val="center"/>
          </w:tcPr>
          <w:p w:rsidR="00C81B24" w:rsidRPr="00C81B24" w:rsidRDefault="00C81B24" w:rsidP="00CE5850">
            <w:pPr>
              <w:jc w:val="center"/>
              <w:rPr>
                <w:color w:val="000000"/>
                <w:sz w:val="20"/>
              </w:rPr>
            </w:pPr>
            <w:r w:rsidRPr="00C81B24">
              <w:rPr>
                <w:color w:val="000000"/>
                <w:sz w:val="20"/>
              </w:rPr>
              <w:t>0.75</w:t>
            </w:r>
          </w:p>
        </w:tc>
        <w:tc>
          <w:tcPr>
            <w:tcW w:w="1240" w:type="dxa"/>
            <w:tcBorders>
              <w:top w:val="nil"/>
              <w:left w:val="nil"/>
              <w:bottom w:val="single" w:sz="4" w:space="0" w:color="auto"/>
              <w:right w:val="nil"/>
            </w:tcBorders>
            <w:vAlign w:val="center"/>
          </w:tcPr>
          <w:p w:rsidR="00C81B24" w:rsidRPr="00C81B24" w:rsidRDefault="00C81B24" w:rsidP="00CE5850">
            <w:pPr>
              <w:jc w:val="center"/>
              <w:rPr>
                <w:color w:val="000000"/>
                <w:sz w:val="20"/>
              </w:rPr>
            </w:pPr>
            <w:r w:rsidRPr="00C81B24">
              <w:rPr>
                <w:color w:val="000000"/>
                <w:sz w:val="20"/>
              </w:rPr>
              <w:t>1.03</w:t>
            </w:r>
          </w:p>
        </w:tc>
        <w:tc>
          <w:tcPr>
            <w:tcW w:w="1480" w:type="dxa"/>
            <w:tcBorders>
              <w:top w:val="nil"/>
              <w:left w:val="single" w:sz="4" w:space="0" w:color="auto"/>
              <w:bottom w:val="single" w:sz="4" w:space="0" w:color="auto"/>
              <w:right w:val="single" w:sz="8" w:space="0" w:color="auto"/>
            </w:tcBorders>
            <w:noWrap/>
            <w:vAlign w:val="bottom"/>
          </w:tcPr>
          <w:p w:rsidR="00C81B24" w:rsidRPr="00C81B24" w:rsidRDefault="00C81B24" w:rsidP="00CE5850">
            <w:pPr>
              <w:jc w:val="center"/>
              <w:rPr>
                <w:color w:val="000000"/>
                <w:sz w:val="20"/>
              </w:rPr>
            </w:pPr>
            <w:r w:rsidRPr="00C81B24">
              <w:rPr>
                <w:color w:val="000000"/>
                <w:sz w:val="20"/>
              </w:rPr>
              <w:t>98.14</w:t>
            </w:r>
          </w:p>
        </w:tc>
      </w:tr>
      <w:tr w:rsidR="00C81B24" w:rsidRPr="00C81B24" w:rsidTr="00526AD9">
        <w:trPr>
          <w:trHeight w:val="300"/>
        </w:trPr>
        <w:tc>
          <w:tcPr>
            <w:tcW w:w="2340" w:type="dxa"/>
            <w:tcBorders>
              <w:top w:val="nil"/>
              <w:left w:val="single" w:sz="8" w:space="0" w:color="auto"/>
              <w:bottom w:val="single" w:sz="4" w:space="0" w:color="auto"/>
              <w:right w:val="nil"/>
            </w:tcBorders>
            <w:vAlign w:val="center"/>
          </w:tcPr>
          <w:p w:rsidR="00C81B24" w:rsidRPr="00C81B24" w:rsidRDefault="00C81B24" w:rsidP="00CE5850">
            <w:pPr>
              <w:rPr>
                <w:bCs/>
                <w:color w:val="000000"/>
                <w:sz w:val="20"/>
              </w:rPr>
            </w:pPr>
            <w:r w:rsidRPr="00C81B24">
              <w:rPr>
                <w:bCs/>
                <w:color w:val="000000"/>
                <w:sz w:val="20"/>
              </w:rPr>
              <w:t>T-Mobile</w:t>
            </w:r>
          </w:p>
        </w:tc>
        <w:tc>
          <w:tcPr>
            <w:tcW w:w="1180" w:type="dxa"/>
            <w:tcBorders>
              <w:top w:val="nil"/>
              <w:left w:val="single" w:sz="8" w:space="0" w:color="auto"/>
              <w:bottom w:val="single" w:sz="4" w:space="0" w:color="auto"/>
              <w:right w:val="single" w:sz="4" w:space="0" w:color="auto"/>
            </w:tcBorders>
            <w:vAlign w:val="center"/>
          </w:tcPr>
          <w:p w:rsidR="00C81B24" w:rsidRPr="00C81B24" w:rsidRDefault="00C81B24" w:rsidP="00CE5850">
            <w:pPr>
              <w:jc w:val="center"/>
              <w:rPr>
                <w:color w:val="000000"/>
                <w:sz w:val="20"/>
              </w:rPr>
            </w:pPr>
            <w:r w:rsidRPr="00C81B24">
              <w:rPr>
                <w:color w:val="000000"/>
                <w:sz w:val="20"/>
              </w:rPr>
              <w:t>3.7</w:t>
            </w:r>
          </w:p>
        </w:tc>
        <w:tc>
          <w:tcPr>
            <w:tcW w:w="1180" w:type="dxa"/>
            <w:tcBorders>
              <w:top w:val="nil"/>
              <w:left w:val="nil"/>
              <w:bottom w:val="single" w:sz="4" w:space="0" w:color="auto"/>
              <w:right w:val="single" w:sz="4" w:space="0" w:color="auto"/>
            </w:tcBorders>
            <w:vAlign w:val="center"/>
          </w:tcPr>
          <w:p w:rsidR="00C81B24" w:rsidRPr="00C81B24" w:rsidRDefault="00C81B24" w:rsidP="00CE5850">
            <w:pPr>
              <w:jc w:val="center"/>
              <w:rPr>
                <w:color w:val="000000"/>
                <w:sz w:val="20"/>
              </w:rPr>
            </w:pPr>
            <w:r w:rsidRPr="00C81B24">
              <w:rPr>
                <w:color w:val="000000"/>
                <w:sz w:val="20"/>
              </w:rPr>
              <w:t>15.23</w:t>
            </w:r>
          </w:p>
        </w:tc>
        <w:tc>
          <w:tcPr>
            <w:tcW w:w="1240" w:type="dxa"/>
            <w:tcBorders>
              <w:top w:val="nil"/>
              <w:left w:val="nil"/>
              <w:bottom w:val="single" w:sz="4" w:space="0" w:color="auto"/>
              <w:right w:val="single" w:sz="4" w:space="0" w:color="auto"/>
            </w:tcBorders>
            <w:vAlign w:val="center"/>
          </w:tcPr>
          <w:p w:rsidR="00C81B24" w:rsidRPr="00C81B24" w:rsidRDefault="00C81B24" w:rsidP="00CE5850">
            <w:pPr>
              <w:jc w:val="center"/>
              <w:rPr>
                <w:color w:val="000000"/>
                <w:sz w:val="20"/>
              </w:rPr>
            </w:pPr>
            <w:r w:rsidRPr="00C81B24">
              <w:rPr>
                <w:color w:val="000000"/>
                <w:sz w:val="20"/>
              </w:rPr>
              <w:t>1.09</w:t>
            </w:r>
          </w:p>
        </w:tc>
        <w:tc>
          <w:tcPr>
            <w:tcW w:w="1240" w:type="dxa"/>
            <w:tcBorders>
              <w:top w:val="nil"/>
              <w:left w:val="nil"/>
              <w:bottom w:val="single" w:sz="4" w:space="0" w:color="auto"/>
              <w:right w:val="nil"/>
            </w:tcBorders>
            <w:vAlign w:val="center"/>
          </w:tcPr>
          <w:p w:rsidR="00C81B24" w:rsidRPr="00C81B24" w:rsidRDefault="00C81B24" w:rsidP="00CE5850">
            <w:pPr>
              <w:jc w:val="center"/>
              <w:rPr>
                <w:color w:val="000000"/>
                <w:sz w:val="20"/>
              </w:rPr>
            </w:pPr>
            <w:r w:rsidRPr="00C81B24">
              <w:rPr>
                <w:color w:val="000000"/>
                <w:sz w:val="20"/>
              </w:rPr>
              <w:t>3.04</w:t>
            </w:r>
          </w:p>
        </w:tc>
        <w:tc>
          <w:tcPr>
            <w:tcW w:w="1480" w:type="dxa"/>
            <w:tcBorders>
              <w:top w:val="nil"/>
              <w:left w:val="single" w:sz="4" w:space="0" w:color="auto"/>
              <w:bottom w:val="single" w:sz="4" w:space="0" w:color="auto"/>
              <w:right w:val="single" w:sz="8" w:space="0" w:color="auto"/>
            </w:tcBorders>
            <w:noWrap/>
            <w:vAlign w:val="bottom"/>
          </w:tcPr>
          <w:p w:rsidR="00C81B24" w:rsidRPr="00C81B24" w:rsidRDefault="00C81B24" w:rsidP="00CE5850">
            <w:pPr>
              <w:jc w:val="center"/>
              <w:rPr>
                <w:color w:val="000000"/>
                <w:sz w:val="20"/>
              </w:rPr>
            </w:pPr>
            <w:r w:rsidRPr="00C81B24">
              <w:rPr>
                <w:color w:val="000000"/>
                <w:sz w:val="20"/>
              </w:rPr>
              <w:t>87.13</w:t>
            </w:r>
          </w:p>
        </w:tc>
      </w:tr>
      <w:tr w:rsidR="00C81B24" w:rsidRPr="00C81B24" w:rsidTr="00526AD9">
        <w:trPr>
          <w:trHeight w:val="300"/>
        </w:trPr>
        <w:tc>
          <w:tcPr>
            <w:tcW w:w="2340" w:type="dxa"/>
            <w:tcBorders>
              <w:top w:val="nil"/>
              <w:left w:val="single" w:sz="8" w:space="0" w:color="auto"/>
              <w:bottom w:val="single" w:sz="4" w:space="0" w:color="auto"/>
              <w:right w:val="nil"/>
            </w:tcBorders>
            <w:vAlign w:val="center"/>
          </w:tcPr>
          <w:p w:rsidR="00C81B24" w:rsidRPr="00C81B24" w:rsidRDefault="00C81B24" w:rsidP="00CE5850">
            <w:pPr>
              <w:rPr>
                <w:bCs/>
                <w:color w:val="000000"/>
                <w:sz w:val="20"/>
              </w:rPr>
            </w:pPr>
            <w:r w:rsidRPr="00C81B24">
              <w:rPr>
                <w:bCs/>
                <w:color w:val="000000"/>
                <w:sz w:val="20"/>
              </w:rPr>
              <w:t>Verizon Wireless 3G</w:t>
            </w:r>
          </w:p>
        </w:tc>
        <w:tc>
          <w:tcPr>
            <w:tcW w:w="1180" w:type="dxa"/>
            <w:tcBorders>
              <w:top w:val="nil"/>
              <w:left w:val="single" w:sz="8" w:space="0" w:color="auto"/>
              <w:bottom w:val="single" w:sz="4" w:space="0" w:color="auto"/>
              <w:right w:val="single" w:sz="4" w:space="0" w:color="auto"/>
            </w:tcBorders>
            <w:vAlign w:val="center"/>
          </w:tcPr>
          <w:p w:rsidR="00C81B24" w:rsidRPr="00C81B24" w:rsidRDefault="00C81B24" w:rsidP="00CE5850">
            <w:pPr>
              <w:jc w:val="center"/>
              <w:rPr>
                <w:color w:val="000000"/>
                <w:sz w:val="20"/>
              </w:rPr>
            </w:pPr>
            <w:r w:rsidRPr="00C81B24">
              <w:rPr>
                <w:color w:val="000000"/>
                <w:sz w:val="20"/>
              </w:rPr>
              <w:t>0.7</w:t>
            </w:r>
          </w:p>
        </w:tc>
        <w:tc>
          <w:tcPr>
            <w:tcW w:w="1180" w:type="dxa"/>
            <w:tcBorders>
              <w:top w:val="nil"/>
              <w:left w:val="nil"/>
              <w:bottom w:val="single" w:sz="4" w:space="0" w:color="auto"/>
              <w:right w:val="single" w:sz="4" w:space="0" w:color="auto"/>
            </w:tcBorders>
            <w:vAlign w:val="center"/>
          </w:tcPr>
          <w:p w:rsidR="00C81B24" w:rsidRPr="00C81B24" w:rsidRDefault="00C81B24" w:rsidP="00CE5850">
            <w:pPr>
              <w:jc w:val="center"/>
              <w:rPr>
                <w:color w:val="000000"/>
                <w:sz w:val="20"/>
              </w:rPr>
            </w:pPr>
            <w:r w:rsidRPr="00C81B24">
              <w:rPr>
                <w:color w:val="000000"/>
                <w:sz w:val="20"/>
              </w:rPr>
              <w:t>2.49</w:t>
            </w:r>
          </w:p>
        </w:tc>
        <w:tc>
          <w:tcPr>
            <w:tcW w:w="1240" w:type="dxa"/>
            <w:tcBorders>
              <w:top w:val="nil"/>
              <w:left w:val="nil"/>
              <w:bottom w:val="single" w:sz="4" w:space="0" w:color="auto"/>
              <w:right w:val="single" w:sz="4" w:space="0" w:color="auto"/>
            </w:tcBorders>
            <w:vAlign w:val="center"/>
          </w:tcPr>
          <w:p w:rsidR="00C81B24" w:rsidRPr="00C81B24" w:rsidRDefault="00C81B24" w:rsidP="00CE5850">
            <w:pPr>
              <w:jc w:val="center"/>
              <w:rPr>
                <w:color w:val="000000"/>
                <w:sz w:val="20"/>
              </w:rPr>
            </w:pPr>
            <w:r w:rsidRPr="00C81B24">
              <w:rPr>
                <w:color w:val="000000"/>
                <w:sz w:val="20"/>
              </w:rPr>
              <w:t>0.58</w:t>
            </w:r>
          </w:p>
        </w:tc>
        <w:tc>
          <w:tcPr>
            <w:tcW w:w="1240" w:type="dxa"/>
            <w:tcBorders>
              <w:top w:val="nil"/>
              <w:left w:val="nil"/>
              <w:bottom w:val="single" w:sz="4" w:space="0" w:color="auto"/>
              <w:right w:val="nil"/>
            </w:tcBorders>
            <w:vAlign w:val="center"/>
          </w:tcPr>
          <w:p w:rsidR="00C81B24" w:rsidRPr="00C81B24" w:rsidRDefault="00C81B24" w:rsidP="00CE5850">
            <w:pPr>
              <w:jc w:val="center"/>
              <w:rPr>
                <w:color w:val="000000"/>
                <w:sz w:val="20"/>
              </w:rPr>
            </w:pPr>
            <w:r w:rsidRPr="00C81B24">
              <w:rPr>
                <w:color w:val="000000"/>
                <w:sz w:val="20"/>
              </w:rPr>
              <w:t>1.02</w:t>
            </w:r>
          </w:p>
        </w:tc>
        <w:tc>
          <w:tcPr>
            <w:tcW w:w="1480" w:type="dxa"/>
            <w:tcBorders>
              <w:top w:val="nil"/>
              <w:left w:val="single" w:sz="4" w:space="0" w:color="auto"/>
              <w:bottom w:val="single" w:sz="4" w:space="0" w:color="auto"/>
              <w:right w:val="single" w:sz="8" w:space="0" w:color="auto"/>
            </w:tcBorders>
            <w:noWrap/>
            <w:vAlign w:val="bottom"/>
          </w:tcPr>
          <w:p w:rsidR="00C81B24" w:rsidRPr="00C81B24" w:rsidRDefault="00C81B24" w:rsidP="00CE5850">
            <w:pPr>
              <w:jc w:val="center"/>
              <w:rPr>
                <w:color w:val="000000"/>
                <w:sz w:val="20"/>
              </w:rPr>
            </w:pPr>
            <w:r w:rsidRPr="00C81B24">
              <w:rPr>
                <w:color w:val="000000"/>
                <w:sz w:val="20"/>
              </w:rPr>
              <w:t>85.41</w:t>
            </w:r>
          </w:p>
        </w:tc>
      </w:tr>
      <w:tr w:rsidR="00C81B24" w:rsidRPr="00C81B24" w:rsidTr="00526AD9">
        <w:trPr>
          <w:trHeight w:val="315"/>
        </w:trPr>
        <w:tc>
          <w:tcPr>
            <w:tcW w:w="2340" w:type="dxa"/>
            <w:tcBorders>
              <w:top w:val="nil"/>
              <w:left w:val="single" w:sz="8" w:space="0" w:color="auto"/>
              <w:bottom w:val="single" w:sz="8" w:space="0" w:color="auto"/>
              <w:right w:val="nil"/>
            </w:tcBorders>
            <w:vAlign w:val="center"/>
          </w:tcPr>
          <w:p w:rsidR="00C81B24" w:rsidRPr="00C81B24" w:rsidRDefault="00C81B24" w:rsidP="00CE5850">
            <w:pPr>
              <w:rPr>
                <w:bCs/>
                <w:color w:val="000000"/>
                <w:sz w:val="20"/>
              </w:rPr>
            </w:pPr>
            <w:r w:rsidRPr="00C81B24">
              <w:rPr>
                <w:bCs/>
                <w:color w:val="000000"/>
                <w:sz w:val="20"/>
              </w:rPr>
              <w:t>Verizon Wireless 4G</w:t>
            </w:r>
          </w:p>
        </w:tc>
        <w:tc>
          <w:tcPr>
            <w:tcW w:w="1180" w:type="dxa"/>
            <w:tcBorders>
              <w:top w:val="nil"/>
              <w:left w:val="single" w:sz="8" w:space="0" w:color="auto"/>
              <w:bottom w:val="single" w:sz="8" w:space="0" w:color="auto"/>
              <w:right w:val="single" w:sz="4" w:space="0" w:color="auto"/>
            </w:tcBorders>
            <w:vAlign w:val="center"/>
          </w:tcPr>
          <w:p w:rsidR="00C81B24" w:rsidRPr="00C81B24" w:rsidRDefault="00C81B24" w:rsidP="00CE5850">
            <w:pPr>
              <w:jc w:val="center"/>
              <w:rPr>
                <w:color w:val="000000"/>
                <w:sz w:val="20"/>
              </w:rPr>
            </w:pPr>
            <w:r w:rsidRPr="00C81B24">
              <w:rPr>
                <w:color w:val="000000"/>
                <w:sz w:val="20"/>
              </w:rPr>
              <w:t>9.46</w:t>
            </w:r>
          </w:p>
        </w:tc>
        <w:tc>
          <w:tcPr>
            <w:tcW w:w="1180" w:type="dxa"/>
            <w:tcBorders>
              <w:top w:val="nil"/>
              <w:left w:val="nil"/>
              <w:bottom w:val="single" w:sz="8" w:space="0" w:color="auto"/>
              <w:right w:val="single" w:sz="4" w:space="0" w:color="auto"/>
            </w:tcBorders>
            <w:vAlign w:val="center"/>
          </w:tcPr>
          <w:p w:rsidR="00C81B24" w:rsidRPr="00C81B24" w:rsidRDefault="00C81B24" w:rsidP="00CE5850">
            <w:pPr>
              <w:jc w:val="center"/>
              <w:rPr>
                <w:color w:val="000000"/>
                <w:sz w:val="20"/>
              </w:rPr>
            </w:pPr>
            <w:r w:rsidRPr="00C81B24">
              <w:rPr>
                <w:color w:val="000000"/>
                <w:sz w:val="20"/>
              </w:rPr>
              <w:t>37.66</w:t>
            </w:r>
          </w:p>
        </w:tc>
        <w:tc>
          <w:tcPr>
            <w:tcW w:w="1240" w:type="dxa"/>
            <w:tcBorders>
              <w:top w:val="nil"/>
              <w:left w:val="nil"/>
              <w:bottom w:val="single" w:sz="8" w:space="0" w:color="auto"/>
              <w:right w:val="single" w:sz="4" w:space="0" w:color="auto"/>
            </w:tcBorders>
            <w:vAlign w:val="center"/>
          </w:tcPr>
          <w:p w:rsidR="00C81B24" w:rsidRPr="00C81B24" w:rsidRDefault="00C81B24" w:rsidP="00CE5850">
            <w:pPr>
              <w:jc w:val="center"/>
              <w:rPr>
                <w:color w:val="000000"/>
                <w:sz w:val="20"/>
              </w:rPr>
            </w:pPr>
            <w:r w:rsidRPr="00C81B24">
              <w:rPr>
                <w:color w:val="000000"/>
                <w:sz w:val="20"/>
              </w:rPr>
              <w:t>1.35</w:t>
            </w:r>
          </w:p>
        </w:tc>
        <w:tc>
          <w:tcPr>
            <w:tcW w:w="1240" w:type="dxa"/>
            <w:tcBorders>
              <w:top w:val="nil"/>
              <w:left w:val="nil"/>
              <w:bottom w:val="single" w:sz="8" w:space="0" w:color="auto"/>
              <w:right w:val="nil"/>
            </w:tcBorders>
            <w:vAlign w:val="center"/>
          </w:tcPr>
          <w:p w:rsidR="00C81B24" w:rsidRPr="00C81B24" w:rsidRDefault="00C81B24" w:rsidP="00CE5850">
            <w:pPr>
              <w:jc w:val="center"/>
              <w:rPr>
                <w:color w:val="000000"/>
                <w:sz w:val="20"/>
              </w:rPr>
            </w:pPr>
            <w:r w:rsidRPr="00C81B24">
              <w:rPr>
                <w:color w:val="000000"/>
                <w:sz w:val="20"/>
              </w:rPr>
              <w:t>2.33</w:t>
            </w:r>
          </w:p>
        </w:tc>
        <w:tc>
          <w:tcPr>
            <w:tcW w:w="1480" w:type="dxa"/>
            <w:tcBorders>
              <w:top w:val="nil"/>
              <w:left w:val="single" w:sz="4" w:space="0" w:color="auto"/>
              <w:bottom w:val="single" w:sz="8" w:space="0" w:color="auto"/>
              <w:right w:val="single" w:sz="8" w:space="0" w:color="auto"/>
            </w:tcBorders>
            <w:noWrap/>
            <w:vAlign w:val="bottom"/>
          </w:tcPr>
          <w:p w:rsidR="00C81B24" w:rsidRPr="00C81B24" w:rsidRDefault="00C81B24" w:rsidP="00CE5850">
            <w:pPr>
              <w:jc w:val="center"/>
              <w:rPr>
                <w:color w:val="000000"/>
                <w:sz w:val="20"/>
              </w:rPr>
            </w:pPr>
            <w:r w:rsidRPr="00C81B24">
              <w:rPr>
                <w:color w:val="000000"/>
                <w:sz w:val="20"/>
              </w:rPr>
              <w:t>87.41</w:t>
            </w:r>
          </w:p>
        </w:tc>
      </w:tr>
    </w:tbl>
    <w:p w:rsidR="00C81B24" w:rsidRPr="00C81B24" w:rsidRDefault="00C81B24" w:rsidP="00CE5850">
      <w:pPr>
        <w:spacing w:after="120"/>
        <w:rPr>
          <w:noProof/>
          <w:sz w:val="20"/>
        </w:rPr>
      </w:pPr>
    </w:p>
    <w:p w:rsidR="00C81B24" w:rsidRPr="00C81B24" w:rsidRDefault="00C81B24" w:rsidP="00CE5850">
      <w:pPr>
        <w:jc w:val="center"/>
        <w:rPr>
          <w:b/>
          <w:noProof/>
          <w:szCs w:val="22"/>
        </w:rPr>
      </w:pPr>
      <w:r w:rsidRPr="00C81B24">
        <w:rPr>
          <w:b/>
          <w:noProof/>
          <w:szCs w:val="22"/>
        </w:rPr>
        <w:t>Table B-9</w:t>
      </w:r>
    </w:p>
    <w:p w:rsidR="00C81B24" w:rsidRPr="00C81B24" w:rsidRDefault="00C81B24" w:rsidP="00CE5850">
      <w:pPr>
        <w:spacing w:after="120"/>
        <w:jc w:val="center"/>
        <w:rPr>
          <w:b/>
          <w:noProof/>
          <w:sz w:val="20"/>
        </w:rPr>
      </w:pPr>
      <w:r w:rsidRPr="00C81B24">
        <w:rPr>
          <w:b/>
          <w:noProof/>
          <w:szCs w:val="22"/>
        </w:rPr>
        <w:t>Network Performance Results, Average Data Speeds, PCMag, June 2012</w:t>
      </w:r>
      <w:r w:rsidRPr="00C81B24">
        <w:rPr>
          <w:noProof/>
          <w:sz w:val="20"/>
          <w:vertAlign w:val="superscript"/>
        </w:rPr>
        <w:footnoteReference w:id="1351"/>
      </w:r>
    </w:p>
    <w:tbl>
      <w:tblPr>
        <w:tblW w:w="8660" w:type="dxa"/>
        <w:tblInd w:w="93" w:type="dxa"/>
        <w:tblLook w:val="00A0" w:firstRow="1" w:lastRow="0" w:firstColumn="1" w:lastColumn="0" w:noHBand="0" w:noVBand="0"/>
      </w:tblPr>
      <w:tblGrid>
        <w:gridCol w:w="2340"/>
        <w:gridCol w:w="1180"/>
        <w:gridCol w:w="1180"/>
        <w:gridCol w:w="1240"/>
        <w:gridCol w:w="1240"/>
        <w:gridCol w:w="1480"/>
      </w:tblGrid>
      <w:tr w:rsidR="00C81B24" w:rsidRPr="00C81B24" w:rsidTr="00526AD9">
        <w:trPr>
          <w:trHeight w:val="315"/>
        </w:trPr>
        <w:tc>
          <w:tcPr>
            <w:tcW w:w="2340" w:type="dxa"/>
            <w:vMerge w:val="restart"/>
            <w:tcBorders>
              <w:top w:val="single" w:sz="8" w:space="0" w:color="auto"/>
              <w:left w:val="single" w:sz="8" w:space="0" w:color="auto"/>
              <w:bottom w:val="single" w:sz="4" w:space="0" w:color="auto"/>
              <w:right w:val="single" w:sz="8" w:space="0" w:color="auto"/>
            </w:tcBorders>
            <w:vAlign w:val="center"/>
          </w:tcPr>
          <w:p w:rsidR="00C81B24" w:rsidRPr="00C81B24" w:rsidRDefault="00C81B24" w:rsidP="00CE5850">
            <w:pPr>
              <w:rPr>
                <w:b/>
                <w:bCs/>
                <w:color w:val="000000"/>
                <w:sz w:val="20"/>
              </w:rPr>
            </w:pPr>
            <w:r w:rsidRPr="00C81B24">
              <w:rPr>
                <w:b/>
                <w:bCs/>
                <w:color w:val="000000"/>
                <w:sz w:val="20"/>
              </w:rPr>
              <w:t>Provider</w:t>
            </w:r>
          </w:p>
        </w:tc>
        <w:tc>
          <w:tcPr>
            <w:tcW w:w="2360" w:type="dxa"/>
            <w:gridSpan w:val="2"/>
            <w:tcBorders>
              <w:top w:val="single" w:sz="8" w:space="0" w:color="auto"/>
              <w:left w:val="nil"/>
              <w:bottom w:val="single" w:sz="8" w:space="0" w:color="auto"/>
              <w:right w:val="single" w:sz="8" w:space="0" w:color="000000"/>
            </w:tcBorders>
            <w:vAlign w:val="center"/>
          </w:tcPr>
          <w:p w:rsidR="00C81B24" w:rsidRPr="00C81B24" w:rsidRDefault="00C81B24" w:rsidP="00CE5850">
            <w:pPr>
              <w:jc w:val="center"/>
              <w:rPr>
                <w:b/>
                <w:bCs/>
                <w:color w:val="000000"/>
                <w:sz w:val="20"/>
              </w:rPr>
            </w:pPr>
            <w:r w:rsidRPr="00C81B24">
              <w:rPr>
                <w:b/>
                <w:bCs/>
                <w:color w:val="000000"/>
                <w:sz w:val="20"/>
              </w:rPr>
              <w:t>Download Speed (Mbps)</w:t>
            </w:r>
          </w:p>
        </w:tc>
        <w:tc>
          <w:tcPr>
            <w:tcW w:w="2480" w:type="dxa"/>
            <w:gridSpan w:val="2"/>
            <w:tcBorders>
              <w:top w:val="single" w:sz="8" w:space="0" w:color="auto"/>
              <w:left w:val="nil"/>
              <w:bottom w:val="single" w:sz="8" w:space="0" w:color="auto"/>
              <w:right w:val="single" w:sz="4" w:space="0" w:color="auto"/>
            </w:tcBorders>
            <w:vAlign w:val="center"/>
          </w:tcPr>
          <w:p w:rsidR="00C81B24" w:rsidRPr="00C81B24" w:rsidRDefault="00C81B24" w:rsidP="00CE5850">
            <w:pPr>
              <w:jc w:val="center"/>
              <w:rPr>
                <w:b/>
                <w:bCs/>
                <w:color w:val="000000"/>
                <w:sz w:val="20"/>
              </w:rPr>
            </w:pPr>
            <w:r w:rsidRPr="00C81B24">
              <w:rPr>
                <w:b/>
                <w:bCs/>
                <w:color w:val="000000"/>
                <w:sz w:val="20"/>
              </w:rPr>
              <w:t>Upload Speed (Mbps)</w:t>
            </w:r>
          </w:p>
        </w:tc>
        <w:tc>
          <w:tcPr>
            <w:tcW w:w="1480" w:type="dxa"/>
            <w:tcBorders>
              <w:top w:val="single" w:sz="8" w:space="0" w:color="auto"/>
              <w:left w:val="single" w:sz="8" w:space="0" w:color="auto"/>
              <w:bottom w:val="nil"/>
              <w:right w:val="single" w:sz="8" w:space="0" w:color="auto"/>
            </w:tcBorders>
            <w:noWrap/>
            <w:vAlign w:val="bottom"/>
          </w:tcPr>
          <w:p w:rsidR="00C81B24" w:rsidRPr="00C81B24" w:rsidRDefault="00C81B24" w:rsidP="00CE5850">
            <w:pPr>
              <w:jc w:val="center"/>
              <w:rPr>
                <w:b/>
                <w:bCs/>
                <w:color w:val="000000"/>
                <w:sz w:val="20"/>
              </w:rPr>
            </w:pPr>
            <w:r w:rsidRPr="00C81B24">
              <w:rPr>
                <w:b/>
                <w:bCs/>
                <w:color w:val="000000"/>
                <w:sz w:val="20"/>
              </w:rPr>
              <w:t xml:space="preserve">HTTP DL </w:t>
            </w:r>
          </w:p>
        </w:tc>
      </w:tr>
      <w:tr w:rsidR="00C81B24" w:rsidRPr="00C81B24" w:rsidTr="00526AD9">
        <w:trPr>
          <w:trHeight w:val="315"/>
        </w:trPr>
        <w:tc>
          <w:tcPr>
            <w:tcW w:w="2340" w:type="dxa"/>
            <w:vMerge/>
            <w:tcBorders>
              <w:top w:val="single" w:sz="8" w:space="0" w:color="auto"/>
              <w:left w:val="single" w:sz="8" w:space="0" w:color="auto"/>
              <w:bottom w:val="single" w:sz="4" w:space="0" w:color="auto"/>
              <w:right w:val="single" w:sz="8" w:space="0" w:color="auto"/>
            </w:tcBorders>
            <w:vAlign w:val="center"/>
          </w:tcPr>
          <w:p w:rsidR="00C81B24" w:rsidRPr="00C81B24" w:rsidRDefault="00C81B24" w:rsidP="00CE5850">
            <w:pPr>
              <w:rPr>
                <w:b/>
                <w:bCs/>
                <w:color w:val="000000"/>
                <w:sz w:val="20"/>
              </w:rPr>
            </w:pPr>
          </w:p>
        </w:tc>
        <w:tc>
          <w:tcPr>
            <w:tcW w:w="1180" w:type="dxa"/>
            <w:tcBorders>
              <w:top w:val="nil"/>
              <w:left w:val="nil"/>
              <w:bottom w:val="nil"/>
              <w:right w:val="single" w:sz="4" w:space="0" w:color="auto"/>
            </w:tcBorders>
            <w:vAlign w:val="center"/>
          </w:tcPr>
          <w:p w:rsidR="00C81B24" w:rsidRPr="00C81B24" w:rsidRDefault="00C81B24" w:rsidP="00CE5850">
            <w:pPr>
              <w:jc w:val="center"/>
              <w:rPr>
                <w:b/>
                <w:bCs/>
                <w:color w:val="000000"/>
                <w:sz w:val="20"/>
              </w:rPr>
            </w:pPr>
            <w:r w:rsidRPr="00C81B24">
              <w:rPr>
                <w:b/>
                <w:bCs/>
                <w:color w:val="000000"/>
                <w:sz w:val="20"/>
              </w:rPr>
              <w:t>Average</w:t>
            </w:r>
          </w:p>
        </w:tc>
        <w:tc>
          <w:tcPr>
            <w:tcW w:w="1180" w:type="dxa"/>
            <w:tcBorders>
              <w:top w:val="nil"/>
              <w:left w:val="nil"/>
              <w:bottom w:val="nil"/>
              <w:right w:val="single" w:sz="8" w:space="0" w:color="auto"/>
            </w:tcBorders>
            <w:vAlign w:val="center"/>
          </w:tcPr>
          <w:p w:rsidR="00C81B24" w:rsidRPr="00C81B24" w:rsidRDefault="00C81B24" w:rsidP="00CE5850">
            <w:pPr>
              <w:jc w:val="center"/>
              <w:rPr>
                <w:b/>
                <w:bCs/>
                <w:color w:val="000000"/>
                <w:sz w:val="20"/>
              </w:rPr>
            </w:pPr>
            <w:r w:rsidRPr="00C81B24">
              <w:rPr>
                <w:b/>
                <w:bCs/>
                <w:color w:val="000000"/>
                <w:sz w:val="20"/>
              </w:rPr>
              <w:t>Maximum</w:t>
            </w:r>
          </w:p>
        </w:tc>
        <w:tc>
          <w:tcPr>
            <w:tcW w:w="1240" w:type="dxa"/>
            <w:tcBorders>
              <w:top w:val="nil"/>
              <w:left w:val="nil"/>
              <w:bottom w:val="nil"/>
              <w:right w:val="single" w:sz="4" w:space="0" w:color="auto"/>
            </w:tcBorders>
            <w:vAlign w:val="center"/>
          </w:tcPr>
          <w:p w:rsidR="00C81B24" w:rsidRPr="00C81B24" w:rsidRDefault="00C81B24" w:rsidP="00CE5850">
            <w:pPr>
              <w:jc w:val="center"/>
              <w:rPr>
                <w:b/>
                <w:bCs/>
                <w:color w:val="000000"/>
                <w:sz w:val="20"/>
              </w:rPr>
            </w:pPr>
            <w:r w:rsidRPr="00C81B24">
              <w:rPr>
                <w:b/>
                <w:bCs/>
                <w:color w:val="000000"/>
                <w:sz w:val="20"/>
              </w:rPr>
              <w:t>Average</w:t>
            </w:r>
          </w:p>
        </w:tc>
        <w:tc>
          <w:tcPr>
            <w:tcW w:w="1240" w:type="dxa"/>
            <w:tcBorders>
              <w:top w:val="nil"/>
              <w:left w:val="nil"/>
              <w:bottom w:val="nil"/>
              <w:right w:val="nil"/>
            </w:tcBorders>
            <w:vAlign w:val="center"/>
          </w:tcPr>
          <w:p w:rsidR="00C81B24" w:rsidRPr="00C81B24" w:rsidRDefault="00C81B24" w:rsidP="00CE5850">
            <w:pPr>
              <w:jc w:val="center"/>
              <w:rPr>
                <w:b/>
                <w:bCs/>
                <w:color w:val="000000"/>
                <w:sz w:val="20"/>
              </w:rPr>
            </w:pPr>
            <w:r w:rsidRPr="00C81B24">
              <w:rPr>
                <w:b/>
                <w:bCs/>
                <w:color w:val="000000"/>
                <w:sz w:val="20"/>
              </w:rPr>
              <w:t>Maximum</w:t>
            </w:r>
          </w:p>
        </w:tc>
        <w:tc>
          <w:tcPr>
            <w:tcW w:w="1480" w:type="dxa"/>
            <w:tcBorders>
              <w:top w:val="nil"/>
              <w:left w:val="single" w:sz="8" w:space="0" w:color="auto"/>
              <w:bottom w:val="single" w:sz="8" w:space="0" w:color="auto"/>
              <w:right w:val="single" w:sz="8" w:space="0" w:color="auto"/>
            </w:tcBorders>
            <w:noWrap/>
            <w:vAlign w:val="bottom"/>
          </w:tcPr>
          <w:p w:rsidR="00C81B24" w:rsidRPr="00C81B24" w:rsidRDefault="00C81B24" w:rsidP="00CE5850">
            <w:pPr>
              <w:jc w:val="center"/>
              <w:rPr>
                <w:b/>
                <w:bCs/>
                <w:color w:val="000000"/>
                <w:sz w:val="20"/>
              </w:rPr>
            </w:pPr>
            <w:r w:rsidRPr="00C81B24">
              <w:rPr>
                <w:b/>
                <w:bCs/>
                <w:color w:val="000000"/>
                <w:sz w:val="20"/>
              </w:rPr>
              <w:t>Success (%)</w:t>
            </w:r>
          </w:p>
        </w:tc>
      </w:tr>
      <w:tr w:rsidR="00C81B24" w:rsidRPr="00C81B24" w:rsidTr="00526AD9">
        <w:trPr>
          <w:trHeight w:val="300"/>
        </w:trPr>
        <w:tc>
          <w:tcPr>
            <w:tcW w:w="2340" w:type="dxa"/>
            <w:tcBorders>
              <w:top w:val="single" w:sz="8" w:space="0" w:color="auto"/>
              <w:left w:val="single" w:sz="8" w:space="0" w:color="auto"/>
              <w:bottom w:val="single" w:sz="4" w:space="0" w:color="auto"/>
              <w:right w:val="single" w:sz="8" w:space="0" w:color="auto"/>
            </w:tcBorders>
            <w:vAlign w:val="center"/>
          </w:tcPr>
          <w:p w:rsidR="00C81B24" w:rsidRPr="00C81B24" w:rsidRDefault="00C81B24" w:rsidP="00CE5850">
            <w:pPr>
              <w:rPr>
                <w:bCs/>
                <w:color w:val="000000"/>
                <w:sz w:val="20"/>
              </w:rPr>
            </w:pPr>
            <w:r w:rsidRPr="00C81B24">
              <w:rPr>
                <w:bCs/>
                <w:color w:val="000000"/>
                <w:sz w:val="20"/>
              </w:rPr>
              <w:t>AT&amp;T 3G</w:t>
            </w:r>
          </w:p>
        </w:tc>
        <w:tc>
          <w:tcPr>
            <w:tcW w:w="1180" w:type="dxa"/>
            <w:tcBorders>
              <w:top w:val="single" w:sz="8" w:space="0" w:color="auto"/>
              <w:left w:val="nil"/>
              <w:bottom w:val="single" w:sz="4" w:space="0" w:color="auto"/>
              <w:right w:val="single" w:sz="4" w:space="0" w:color="auto"/>
            </w:tcBorders>
            <w:vAlign w:val="center"/>
          </w:tcPr>
          <w:p w:rsidR="00C81B24" w:rsidRPr="00C81B24" w:rsidRDefault="00C81B24" w:rsidP="00CE5850">
            <w:pPr>
              <w:jc w:val="center"/>
              <w:rPr>
                <w:color w:val="000000"/>
                <w:sz w:val="20"/>
              </w:rPr>
            </w:pPr>
            <w:r w:rsidRPr="00C81B24">
              <w:rPr>
                <w:color w:val="000000"/>
                <w:sz w:val="20"/>
              </w:rPr>
              <w:t>1.97</w:t>
            </w:r>
          </w:p>
        </w:tc>
        <w:tc>
          <w:tcPr>
            <w:tcW w:w="1180" w:type="dxa"/>
            <w:tcBorders>
              <w:top w:val="single" w:sz="8" w:space="0" w:color="auto"/>
              <w:left w:val="nil"/>
              <w:bottom w:val="single" w:sz="4" w:space="0" w:color="auto"/>
              <w:right w:val="single" w:sz="4" w:space="0" w:color="auto"/>
            </w:tcBorders>
            <w:vAlign w:val="center"/>
          </w:tcPr>
          <w:p w:rsidR="00C81B24" w:rsidRPr="00C81B24" w:rsidRDefault="00C81B24" w:rsidP="00CE5850">
            <w:pPr>
              <w:jc w:val="center"/>
              <w:rPr>
                <w:color w:val="000000"/>
                <w:sz w:val="20"/>
              </w:rPr>
            </w:pPr>
            <w:r w:rsidRPr="00C81B24">
              <w:rPr>
                <w:color w:val="000000"/>
                <w:sz w:val="20"/>
              </w:rPr>
              <w:t>6.55</w:t>
            </w:r>
          </w:p>
        </w:tc>
        <w:tc>
          <w:tcPr>
            <w:tcW w:w="1240" w:type="dxa"/>
            <w:tcBorders>
              <w:top w:val="single" w:sz="8" w:space="0" w:color="auto"/>
              <w:left w:val="nil"/>
              <w:bottom w:val="single" w:sz="4" w:space="0" w:color="auto"/>
              <w:right w:val="single" w:sz="4" w:space="0" w:color="auto"/>
            </w:tcBorders>
            <w:vAlign w:val="center"/>
          </w:tcPr>
          <w:p w:rsidR="00C81B24" w:rsidRPr="00C81B24" w:rsidRDefault="00C81B24" w:rsidP="00CE5850">
            <w:pPr>
              <w:jc w:val="center"/>
              <w:rPr>
                <w:color w:val="000000"/>
                <w:sz w:val="20"/>
              </w:rPr>
            </w:pPr>
            <w:r w:rsidRPr="00C81B24">
              <w:rPr>
                <w:color w:val="000000"/>
                <w:sz w:val="20"/>
              </w:rPr>
              <w:t>0.76</w:t>
            </w:r>
          </w:p>
        </w:tc>
        <w:tc>
          <w:tcPr>
            <w:tcW w:w="1240" w:type="dxa"/>
            <w:tcBorders>
              <w:top w:val="single" w:sz="8" w:space="0" w:color="auto"/>
              <w:left w:val="nil"/>
              <w:bottom w:val="single" w:sz="4" w:space="0" w:color="auto"/>
              <w:right w:val="nil"/>
            </w:tcBorders>
            <w:vAlign w:val="center"/>
          </w:tcPr>
          <w:p w:rsidR="00C81B24" w:rsidRPr="00C81B24" w:rsidRDefault="00C81B24" w:rsidP="00CE5850">
            <w:pPr>
              <w:jc w:val="center"/>
              <w:rPr>
                <w:color w:val="000000"/>
                <w:sz w:val="20"/>
              </w:rPr>
            </w:pPr>
            <w:r w:rsidRPr="00C81B24">
              <w:rPr>
                <w:color w:val="000000"/>
                <w:sz w:val="20"/>
              </w:rPr>
              <w:t>2.16</w:t>
            </w:r>
          </w:p>
        </w:tc>
        <w:tc>
          <w:tcPr>
            <w:tcW w:w="1480" w:type="dxa"/>
            <w:tcBorders>
              <w:top w:val="nil"/>
              <w:left w:val="single" w:sz="4" w:space="0" w:color="auto"/>
              <w:bottom w:val="single" w:sz="4" w:space="0" w:color="auto"/>
              <w:right w:val="single" w:sz="8" w:space="0" w:color="auto"/>
            </w:tcBorders>
            <w:noWrap/>
            <w:vAlign w:val="bottom"/>
          </w:tcPr>
          <w:p w:rsidR="00C81B24" w:rsidRPr="00C81B24" w:rsidRDefault="00C81B24" w:rsidP="00CE5850">
            <w:pPr>
              <w:jc w:val="center"/>
              <w:rPr>
                <w:color w:val="000000"/>
                <w:sz w:val="20"/>
              </w:rPr>
            </w:pPr>
            <w:r w:rsidRPr="00C81B24">
              <w:rPr>
                <w:color w:val="000000"/>
                <w:sz w:val="20"/>
              </w:rPr>
              <w:t>82.5</w:t>
            </w:r>
          </w:p>
        </w:tc>
      </w:tr>
      <w:tr w:rsidR="00C81B24" w:rsidRPr="00C81B24" w:rsidTr="00526AD9">
        <w:trPr>
          <w:trHeight w:val="300"/>
        </w:trPr>
        <w:tc>
          <w:tcPr>
            <w:tcW w:w="2340" w:type="dxa"/>
            <w:tcBorders>
              <w:top w:val="nil"/>
              <w:left w:val="single" w:sz="8" w:space="0" w:color="auto"/>
              <w:bottom w:val="single" w:sz="4" w:space="0" w:color="auto"/>
              <w:right w:val="single" w:sz="8" w:space="0" w:color="auto"/>
            </w:tcBorders>
            <w:vAlign w:val="center"/>
          </w:tcPr>
          <w:p w:rsidR="00C81B24" w:rsidRPr="00C81B24" w:rsidRDefault="00C81B24" w:rsidP="00CE5850">
            <w:pPr>
              <w:rPr>
                <w:bCs/>
                <w:color w:val="000000"/>
                <w:sz w:val="20"/>
              </w:rPr>
            </w:pPr>
            <w:r w:rsidRPr="00C81B24">
              <w:rPr>
                <w:bCs/>
                <w:color w:val="000000"/>
                <w:sz w:val="20"/>
              </w:rPr>
              <w:t>AT&amp;T 4G LTE</w:t>
            </w:r>
          </w:p>
        </w:tc>
        <w:tc>
          <w:tcPr>
            <w:tcW w:w="1180" w:type="dxa"/>
            <w:tcBorders>
              <w:top w:val="nil"/>
              <w:left w:val="nil"/>
              <w:bottom w:val="single" w:sz="4" w:space="0" w:color="auto"/>
              <w:right w:val="single" w:sz="4" w:space="0" w:color="auto"/>
            </w:tcBorders>
            <w:vAlign w:val="center"/>
          </w:tcPr>
          <w:p w:rsidR="00C81B24" w:rsidRPr="00C81B24" w:rsidRDefault="00C81B24" w:rsidP="00CE5850">
            <w:pPr>
              <w:jc w:val="center"/>
              <w:rPr>
                <w:color w:val="000000"/>
                <w:sz w:val="20"/>
              </w:rPr>
            </w:pPr>
            <w:r w:rsidRPr="00C81B24">
              <w:rPr>
                <w:color w:val="000000"/>
                <w:sz w:val="20"/>
              </w:rPr>
              <w:t>13.71</w:t>
            </w:r>
          </w:p>
        </w:tc>
        <w:tc>
          <w:tcPr>
            <w:tcW w:w="1180" w:type="dxa"/>
            <w:tcBorders>
              <w:top w:val="nil"/>
              <w:left w:val="nil"/>
              <w:bottom w:val="single" w:sz="4" w:space="0" w:color="auto"/>
              <w:right w:val="single" w:sz="4" w:space="0" w:color="auto"/>
            </w:tcBorders>
            <w:vAlign w:val="center"/>
          </w:tcPr>
          <w:p w:rsidR="00C81B24" w:rsidRPr="00C81B24" w:rsidRDefault="00C81B24" w:rsidP="00CE5850">
            <w:pPr>
              <w:jc w:val="center"/>
              <w:rPr>
                <w:color w:val="000000"/>
                <w:sz w:val="20"/>
              </w:rPr>
            </w:pPr>
            <w:r w:rsidRPr="00C81B24">
              <w:rPr>
                <w:color w:val="000000"/>
                <w:sz w:val="20"/>
              </w:rPr>
              <w:t>56.07</w:t>
            </w:r>
          </w:p>
        </w:tc>
        <w:tc>
          <w:tcPr>
            <w:tcW w:w="1240" w:type="dxa"/>
            <w:tcBorders>
              <w:top w:val="nil"/>
              <w:left w:val="nil"/>
              <w:bottom w:val="single" w:sz="4" w:space="0" w:color="auto"/>
              <w:right w:val="single" w:sz="4" w:space="0" w:color="auto"/>
            </w:tcBorders>
            <w:vAlign w:val="center"/>
          </w:tcPr>
          <w:p w:rsidR="00C81B24" w:rsidRPr="00C81B24" w:rsidRDefault="00C81B24" w:rsidP="00CE5850">
            <w:pPr>
              <w:jc w:val="center"/>
              <w:rPr>
                <w:color w:val="000000"/>
                <w:sz w:val="20"/>
              </w:rPr>
            </w:pPr>
            <w:r w:rsidRPr="00C81B24">
              <w:rPr>
                <w:color w:val="000000"/>
                <w:sz w:val="20"/>
              </w:rPr>
              <w:t>2.87</w:t>
            </w:r>
          </w:p>
        </w:tc>
        <w:tc>
          <w:tcPr>
            <w:tcW w:w="1240" w:type="dxa"/>
            <w:tcBorders>
              <w:top w:val="nil"/>
              <w:left w:val="nil"/>
              <w:bottom w:val="single" w:sz="4" w:space="0" w:color="auto"/>
              <w:right w:val="nil"/>
            </w:tcBorders>
            <w:vAlign w:val="center"/>
          </w:tcPr>
          <w:p w:rsidR="00C81B24" w:rsidRPr="00C81B24" w:rsidRDefault="00C81B24" w:rsidP="00CE5850">
            <w:pPr>
              <w:jc w:val="center"/>
              <w:rPr>
                <w:color w:val="000000"/>
                <w:sz w:val="20"/>
              </w:rPr>
            </w:pPr>
            <w:r w:rsidRPr="00C81B24">
              <w:rPr>
                <w:color w:val="000000"/>
                <w:sz w:val="20"/>
              </w:rPr>
              <w:t>4.98</w:t>
            </w:r>
          </w:p>
        </w:tc>
        <w:tc>
          <w:tcPr>
            <w:tcW w:w="1480" w:type="dxa"/>
            <w:tcBorders>
              <w:top w:val="nil"/>
              <w:left w:val="single" w:sz="4" w:space="0" w:color="auto"/>
              <w:bottom w:val="single" w:sz="4" w:space="0" w:color="auto"/>
              <w:right w:val="single" w:sz="8" w:space="0" w:color="auto"/>
            </w:tcBorders>
            <w:noWrap/>
            <w:vAlign w:val="bottom"/>
          </w:tcPr>
          <w:p w:rsidR="00C81B24" w:rsidRPr="00C81B24" w:rsidRDefault="00C81B24" w:rsidP="00CE5850">
            <w:pPr>
              <w:jc w:val="center"/>
              <w:rPr>
                <w:color w:val="000000"/>
                <w:sz w:val="20"/>
              </w:rPr>
            </w:pPr>
            <w:r w:rsidRPr="00C81B24">
              <w:rPr>
                <w:color w:val="000000"/>
                <w:sz w:val="20"/>
              </w:rPr>
              <w:t>74.63</w:t>
            </w:r>
          </w:p>
        </w:tc>
      </w:tr>
      <w:tr w:rsidR="00C81B24" w:rsidRPr="00C81B24" w:rsidTr="00526AD9">
        <w:trPr>
          <w:trHeight w:val="300"/>
        </w:trPr>
        <w:tc>
          <w:tcPr>
            <w:tcW w:w="2340" w:type="dxa"/>
            <w:tcBorders>
              <w:top w:val="nil"/>
              <w:left w:val="single" w:sz="8" w:space="0" w:color="auto"/>
              <w:bottom w:val="single" w:sz="4" w:space="0" w:color="auto"/>
              <w:right w:val="single" w:sz="8" w:space="0" w:color="auto"/>
            </w:tcBorders>
            <w:vAlign w:val="center"/>
          </w:tcPr>
          <w:p w:rsidR="00C81B24" w:rsidRPr="00C81B24" w:rsidRDefault="00C81B24" w:rsidP="00CE5850">
            <w:pPr>
              <w:rPr>
                <w:bCs/>
                <w:color w:val="000000"/>
                <w:sz w:val="20"/>
              </w:rPr>
            </w:pPr>
            <w:r w:rsidRPr="00C81B24">
              <w:rPr>
                <w:bCs/>
                <w:color w:val="000000"/>
                <w:sz w:val="20"/>
              </w:rPr>
              <w:t>MetroPCS</w:t>
            </w:r>
          </w:p>
        </w:tc>
        <w:tc>
          <w:tcPr>
            <w:tcW w:w="1180" w:type="dxa"/>
            <w:tcBorders>
              <w:top w:val="nil"/>
              <w:left w:val="nil"/>
              <w:bottom w:val="single" w:sz="4" w:space="0" w:color="auto"/>
              <w:right w:val="single" w:sz="4" w:space="0" w:color="auto"/>
            </w:tcBorders>
            <w:vAlign w:val="center"/>
          </w:tcPr>
          <w:p w:rsidR="00C81B24" w:rsidRPr="00C81B24" w:rsidRDefault="00C81B24" w:rsidP="00CE5850">
            <w:pPr>
              <w:jc w:val="center"/>
              <w:rPr>
                <w:color w:val="000000"/>
                <w:sz w:val="20"/>
              </w:rPr>
            </w:pPr>
            <w:r w:rsidRPr="00C81B24">
              <w:rPr>
                <w:color w:val="000000"/>
                <w:sz w:val="20"/>
              </w:rPr>
              <w:t>1.85</w:t>
            </w:r>
          </w:p>
        </w:tc>
        <w:tc>
          <w:tcPr>
            <w:tcW w:w="1180" w:type="dxa"/>
            <w:tcBorders>
              <w:top w:val="nil"/>
              <w:left w:val="nil"/>
              <w:bottom w:val="single" w:sz="4" w:space="0" w:color="auto"/>
              <w:right w:val="single" w:sz="4" w:space="0" w:color="auto"/>
            </w:tcBorders>
            <w:vAlign w:val="center"/>
          </w:tcPr>
          <w:p w:rsidR="00C81B24" w:rsidRPr="00C81B24" w:rsidRDefault="00C81B24" w:rsidP="00CE5850">
            <w:pPr>
              <w:jc w:val="center"/>
              <w:rPr>
                <w:color w:val="000000"/>
                <w:sz w:val="20"/>
              </w:rPr>
            </w:pPr>
            <w:r w:rsidRPr="00C81B24">
              <w:rPr>
                <w:color w:val="000000"/>
                <w:sz w:val="20"/>
              </w:rPr>
              <w:t>8.67</w:t>
            </w:r>
          </w:p>
        </w:tc>
        <w:tc>
          <w:tcPr>
            <w:tcW w:w="1240" w:type="dxa"/>
            <w:tcBorders>
              <w:top w:val="nil"/>
              <w:left w:val="nil"/>
              <w:bottom w:val="single" w:sz="4" w:space="0" w:color="auto"/>
              <w:right w:val="single" w:sz="4" w:space="0" w:color="auto"/>
            </w:tcBorders>
            <w:vAlign w:val="center"/>
          </w:tcPr>
          <w:p w:rsidR="00C81B24" w:rsidRPr="00C81B24" w:rsidRDefault="00C81B24" w:rsidP="00CE5850">
            <w:pPr>
              <w:jc w:val="center"/>
              <w:rPr>
                <w:color w:val="000000"/>
                <w:sz w:val="20"/>
              </w:rPr>
            </w:pPr>
            <w:r w:rsidRPr="00C81B24">
              <w:rPr>
                <w:color w:val="000000"/>
                <w:sz w:val="20"/>
              </w:rPr>
              <w:t>0.98</w:t>
            </w:r>
          </w:p>
        </w:tc>
        <w:tc>
          <w:tcPr>
            <w:tcW w:w="1240" w:type="dxa"/>
            <w:tcBorders>
              <w:top w:val="nil"/>
              <w:left w:val="nil"/>
              <w:bottom w:val="single" w:sz="4" w:space="0" w:color="auto"/>
              <w:right w:val="nil"/>
            </w:tcBorders>
            <w:vAlign w:val="center"/>
          </w:tcPr>
          <w:p w:rsidR="00C81B24" w:rsidRPr="00C81B24" w:rsidRDefault="00C81B24" w:rsidP="00CE5850">
            <w:pPr>
              <w:jc w:val="center"/>
              <w:rPr>
                <w:color w:val="000000"/>
                <w:sz w:val="20"/>
              </w:rPr>
            </w:pPr>
            <w:r w:rsidRPr="00C81B24">
              <w:rPr>
                <w:color w:val="000000"/>
                <w:sz w:val="20"/>
              </w:rPr>
              <w:t>2.15</w:t>
            </w:r>
          </w:p>
        </w:tc>
        <w:tc>
          <w:tcPr>
            <w:tcW w:w="1480" w:type="dxa"/>
            <w:tcBorders>
              <w:top w:val="nil"/>
              <w:left w:val="single" w:sz="4" w:space="0" w:color="auto"/>
              <w:bottom w:val="single" w:sz="4" w:space="0" w:color="auto"/>
              <w:right w:val="single" w:sz="8" w:space="0" w:color="auto"/>
            </w:tcBorders>
            <w:noWrap/>
            <w:vAlign w:val="bottom"/>
          </w:tcPr>
          <w:p w:rsidR="00C81B24" w:rsidRPr="00C81B24" w:rsidRDefault="00C81B24" w:rsidP="00CE5850">
            <w:pPr>
              <w:jc w:val="center"/>
              <w:rPr>
                <w:color w:val="000000"/>
                <w:sz w:val="20"/>
              </w:rPr>
            </w:pPr>
            <w:r w:rsidRPr="00C81B24">
              <w:rPr>
                <w:color w:val="000000"/>
                <w:sz w:val="20"/>
              </w:rPr>
              <w:t>86.96</w:t>
            </w:r>
          </w:p>
        </w:tc>
      </w:tr>
      <w:tr w:rsidR="00C81B24" w:rsidRPr="00C81B24" w:rsidTr="00526AD9">
        <w:trPr>
          <w:trHeight w:val="300"/>
        </w:trPr>
        <w:tc>
          <w:tcPr>
            <w:tcW w:w="2340" w:type="dxa"/>
            <w:tcBorders>
              <w:top w:val="nil"/>
              <w:left w:val="single" w:sz="8" w:space="0" w:color="auto"/>
              <w:bottom w:val="single" w:sz="4" w:space="0" w:color="auto"/>
              <w:right w:val="single" w:sz="8" w:space="0" w:color="auto"/>
            </w:tcBorders>
            <w:vAlign w:val="center"/>
          </w:tcPr>
          <w:p w:rsidR="00C81B24" w:rsidRPr="00C81B24" w:rsidRDefault="00C81B24" w:rsidP="00CE5850">
            <w:pPr>
              <w:rPr>
                <w:bCs/>
                <w:color w:val="000000"/>
                <w:sz w:val="20"/>
              </w:rPr>
            </w:pPr>
            <w:r w:rsidRPr="00C81B24">
              <w:rPr>
                <w:bCs/>
                <w:color w:val="000000"/>
                <w:sz w:val="20"/>
              </w:rPr>
              <w:t>Sprint Nextel 3G</w:t>
            </w:r>
          </w:p>
        </w:tc>
        <w:tc>
          <w:tcPr>
            <w:tcW w:w="1180" w:type="dxa"/>
            <w:tcBorders>
              <w:top w:val="nil"/>
              <w:left w:val="nil"/>
              <w:bottom w:val="single" w:sz="4" w:space="0" w:color="auto"/>
              <w:right w:val="single" w:sz="4" w:space="0" w:color="auto"/>
            </w:tcBorders>
            <w:vAlign w:val="center"/>
          </w:tcPr>
          <w:p w:rsidR="00C81B24" w:rsidRPr="00C81B24" w:rsidRDefault="00C81B24" w:rsidP="00CE5850">
            <w:pPr>
              <w:jc w:val="center"/>
              <w:rPr>
                <w:color w:val="000000"/>
                <w:sz w:val="20"/>
              </w:rPr>
            </w:pPr>
            <w:r w:rsidRPr="00C81B24">
              <w:rPr>
                <w:color w:val="000000"/>
                <w:sz w:val="20"/>
              </w:rPr>
              <w:t>0.41</w:t>
            </w:r>
          </w:p>
        </w:tc>
        <w:tc>
          <w:tcPr>
            <w:tcW w:w="1180" w:type="dxa"/>
            <w:tcBorders>
              <w:top w:val="nil"/>
              <w:left w:val="nil"/>
              <w:bottom w:val="single" w:sz="4" w:space="0" w:color="auto"/>
              <w:right w:val="single" w:sz="4" w:space="0" w:color="auto"/>
            </w:tcBorders>
            <w:vAlign w:val="center"/>
          </w:tcPr>
          <w:p w:rsidR="00C81B24" w:rsidRPr="00C81B24" w:rsidRDefault="00C81B24" w:rsidP="00CE5850">
            <w:pPr>
              <w:jc w:val="center"/>
              <w:rPr>
                <w:color w:val="000000"/>
                <w:sz w:val="20"/>
              </w:rPr>
            </w:pPr>
            <w:r w:rsidRPr="00C81B24">
              <w:rPr>
                <w:color w:val="000000"/>
                <w:sz w:val="20"/>
              </w:rPr>
              <w:t>1.8</w:t>
            </w:r>
          </w:p>
        </w:tc>
        <w:tc>
          <w:tcPr>
            <w:tcW w:w="1240" w:type="dxa"/>
            <w:tcBorders>
              <w:top w:val="nil"/>
              <w:left w:val="nil"/>
              <w:bottom w:val="single" w:sz="4" w:space="0" w:color="auto"/>
              <w:right w:val="single" w:sz="4" w:space="0" w:color="auto"/>
            </w:tcBorders>
            <w:vAlign w:val="center"/>
          </w:tcPr>
          <w:p w:rsidR="00C81B24" w:rsidRPr="00C81B24" w:rsidRDefault="00C81B24" w:rsidP="00CE5850">
            <w:pPr>
              <w:jc w:val="center"/>
              <w:rPr>
                <w:color w:val="000000"/>
                <w:sz w:val="20"/>
              </w:rPr>
            </w:pPr>
            <w:r w:rsidRPr="00C81B24">
              <w:rPr>
                <w:color w:val="000000"/>
                <w:sz w:val="20"/>
              </w:rPr>
              <w:t>0.29</w:t>
            </w:r>
          </w:p>
        </w:tc>
        <w:tc>
          <w:tcPr>
            <w:tcW w:w="1240" w:type="dxa"/>
            <w:tcBorders>
              <w:top w:val="nil"/>
              <w:left w:val="nil"/>
              <w:bottom w:val="single" w:sz="4" w:space="0" w:color="auto"/>
              <w:right w:val="nil"/>
            </w:tcBorders>
            <w:vAlign w:val="center"/>
          </w:tcPr>
          <w:p w:rsidR="00C81B24" w:rsidRPr="00C81B24" w:rsidRDefault="00C81B24" w:rsidP="00CE5850">
            <w:pPr>
              <w:jc w:val="center"/>
              <w:rPr>
                <w:color w:val="000000"/>
                <w:sz w:val="20"/>
              </w:rPr>
            </w:pPr>
            <w:r w:rsidRPr="00C81B24">
              <w:rPr>
                <w:color w:val="000000"/>
                <w:sz w:val="20"/>
              </w:rPr>
              <w:t>1.26</w:t>
            </w:r>
          </w:p>
        </w:tc>
        <w:tc>
          <w:tcPr>
            <w:tcW w:w="1480" w:type="dxa"/>
            <w:tcBorders>
              <w:top w:val="nil"/>
              <w:left w:val="single" w:sz="4" w:space="0" w:color="auto"/>
              <w:bottom w:val="single" w:sz="4" w:space="0" w:color="auto"/>
              <w:right w:val="single" w:sz="8" w:space="0" w:color="auto"/>
            </w:tcBorders>
            <w:noWrap/>
            <w:vAlign w:val="bottom"/>
          </w:tcPr>
          <w:p w:rsidR="00C81B24" w:rsidRPr="00C81B24" w:rsidRDefault="00C81B24" w:rsidP="00CE5850">
            <w:pPr>
              <w:jc w:val="center"/>
              <w:rPr>
                <w:color w:val="000000"/>
                <w:sz w:val="20"/>
              </w:rPr>
            </w:pPr>
            <w:r w:rsidRPr="00C81B24">
              <w:rPr>
                <w:color w:val="000000"/>
                <w:sz w:val="20"/>
              </w:rPr>
              <w:t>79.33</w:t>
            </w:r>
          </w:p>
        </w:tc>
      </w:tr>
      <w:tr w:rsidR="00C81B24" w:rsidRPr="00C81B24" w:rsidTr="00526AD9">
        <w:trPr>
          <w:trHeight w:val="300"/>
        </w:trPr>
        <w:tc>
          <w:tcPr>
            <w:tcW w:w="2340" w:type="dxa"/>
            <w:tcBorders>
              <w:top w:val="nil"/>
              <w:left w:val="single" w:sz="8" w:space="0" w:color="auto"/>
              <w:bottom w:val="single" w:sz="4" w:space="0" w:color="auto"/>
              <w:right w:val="single" w:sz="8" w:space="0" w:color="auto"/>
            </w:tcBorders>
            <w:vAlign w:val="center"/>
          </w:tcPr>
          <w:p w:rsidR="00C81B24" w:rsidRPr="00C81B24" w:rsidRDefault="00C81B24" w:rsidP="00CE5850">
            <w:pPr>
              <w:rPr>
                <w:bCs/>
                <w:color w:val="000000"/>
                <w:sz w:val="20"/>
              </w:rPr>
            </w:pPr>
            <w:r w:rsidRPr="00C81B24">
              <w:rPr>
                <w:bCs/>
                <w:color w:val="000000"/>
                <w:sz w:val="20"/>
              </w:rPr>
              <w:t>Sprint Nextel 4G</w:t>
            </w:r>
          </w:p>
        </w:tc>
        <w:tc>
          <w:tcPr>
            <w:tcW w:w="1180" w:type="dxa"/>
            <w:tcBorders>
              <w:top w:val="nil"/>
              <w:left w:val="nil"/>
              <w:bottom w:val="single" w:sz="4" w:space="0" w:color="auto"/>
              <w:right w:val="single" w:sz="4" w:space="0" w:color="auto"/>
            </w:tcBorders>
            <w:vAlign w:val="center"/>
          </w:tcPr>
          <w:p w:rsidR="00C81B24" w:rsidRPr="00C81B24" w:rsidRDefault="00C81B24" w:rsidP="00CE5850">
            <w:pPr>
              <w:jc w:val="center"/>
              <w:rPr>
                <w:color w:val="000000"/>
                <w:sz w:val="20"/>
              </w:rPr>
            </w:pPr>
            <w:r w:rsidRPr="00C81B24">
              <w:rPr>
                <w:color w:val="000000"/>
                <w:sz w:val="20"/>
              </w:rPr>
              <w:t>3.5</w:t>
            </w:r>
          </w:p>
        </w:tc>
        <w:tc>
          <w:tcPr>
            <w:tcW w:w="1180" w:type="dxa"/>
            <w:tcBorders>
              <w:top w:val="nil"/>
              <w:left w:val="nil"/>
              <w:bottom w:val="single" w:sz="4" w:space="0" w:color="auto"/>
              <w:right w:val="single" w:sz="4" w:space="0" w:color="auto"/>
            </w:tcBorders>
            <w:vAlign w:val="center"/>
          </w:tcPr>
          <w:p w:rsidR="00C81B24" w:rsidRPr="00C81B24" w:rsidRDefault="00C81B24" w:rsidP="00CE5850">
            <w:pPr>
              <w:jc w:val="center"/>
              <w:rPr>
                <w:color w:val="000000"/>
                <w:sz w:val="20"/>
              </w:rPr>
            </w:pPr>
            <w:r w:rsidRPr="00C81B24">
              <w:rPr>
                <w:color w:val="000000"/>
                <w:sz w:val="20"/>
              </w:rPr>
              <w:t>11.98</w:t>
            </w:r>
          </w:p>
        </w:tc>
        <w:tc>
          <w:tcPr>
            <w:tcW w:w="1240" w:type="dxa"/>
            <w:tcBorders>
              <w:top w:val="nil"/>
              <w:left w:val="nil"/>
              <w:bottom w:val="single" w:sz="4" w:space="0" w:color="auto"/>
              <w:right w:val="single" w:sz="4" w:space="0" w:color="auto"/>
            </w:tcBorders>
            <w:vAlign w:val="center"/>
          </w:tcPr>
          <w:p w:rsidR="00C81B24" w:rsidRPr="00C81B24" w:rsidRDefault="00C81B24" w:rsidP="00CE5850">
            <w:pPr>
              <w:jc w:val="center"/>
              <w:rPr>
                <w:color w:val="000000"/>
                <w:sz w:val="20"/>
              </w:rPr>
            </w:pPr>
            <w:r w:rsidRPr="00C81B24">
              <w:rPr>
                <w:color w:val="000000"/>
                <w:sz w:val="20"/>
              </w:rPr>
              <w:t>0.91</w:t>
            </w:r>
          </w:p>
        </w:tc>
        <w:tc>
          <w:tcPr>
            <w:tcW w:w="1240" w:type="dxa"/>
            <w:tcBorders>
              <w:top w:val="nil"/>
              <w:left w:val="nil"/>
              <w:bottom w:val="single" w:sz="4" w:space="0" w:color="auto"/>
              <w:right w:val="nil"/>
            </w:tcBorders>
            <w:vAlign w:val="center"/>
          </w:tcPr>
          <w:p w:rsidR="00C81B24" w:rsidRPr="00C81B24" w:rsidRDefault="00C81B24" w:rsidP="00CE5850">
            <w:pPr>
              <w:jc w:val="center"/>
              <w:rPr>
                <w:color w:val="000000"/>
                <w:sz w:val="20"/>
              </w:rPr>
            </w:pPr>
            <w:r w:rsidRPr="00C81B24">
              <w:rPr>
                <w:color w:val="000000"/>
                <w:sz w:val="20"/>
              </w:rPr>
              <w:t>1.62</w:t>
            </w:r>
          </w:p>
        </w:tc>
        <w:tc>
          <w:tcPr>
            <w:tcW w:w="1480" w:type="dxa"/>
            <w:tcBorders>
              <w:top w:val="nil"/>
              <w:left w:val="single" w:sz="4" w:space="0" w:color="auto"/>
              <w:bottom w:val="single" w:sz="4" w:space="0" w:color="auto"/>
              <w:right w:val="single" w:sz="8" w:space="0" w:color="auto"/>
            </w:tcBorders>
            <w:noWrap/>
            <w:vAlign w:val="bottom"/>
          </w:tcPr>
          <w:p w:rsidR="00C81B24" w:rsidRPr="00C81B24" w:rsidRDefault="00C81B24" w:rsidP="00CE5850">
            <w:pPr>
              <w:jc w:val="center"/>
              <w:rPr>
                <w:color w:val="000000"/>
                <w:sz w:val="20"/>
              </w:rPr>
            </w:pPr>
            <w:r w:rsidRPr="00C81B24">
              <w:rPr>
                <w:color w:val="000000"/>
                <w:sz w:val="20"/>
              </w:rPr>
              <w:t>64.09</w:t>
            </w:r>
          </w:p>
        </w:tc>
      </w:tr>
      <w:tr w:rsidR="00C81B24" w:rsidRPr="00C81B24" w:rsidTr="00526AD9">
        <w:trPr>
          <w:trHeight w:val="300"/>
        </w:trPr>
        <w:tc>
          <w:tcPr>
            <w:tcW w:w="2340" w:type="dxa"/>
            <w:tcBorders>
              <w:top w:val="nil"/>
              <w:left w:val="single" w:sz="8" w:space="0" w:color="auto"/>
              <w:bottom w:val="single" w:sz="4" w:space="0" w:color="auto"/>
              <w:right w:val="single" w:sz="8" w:space="0" w:color="auto"/>
            </w:tcBorders>
            <w:vAlign w:val="center"/>
          </w:tcPr>
          <w:p w:rsidR="00C81B24" w:rsidRPr="00C81B24" w:rsidRDefault="00C81B24" w:rsidP="00CE5850">
            <w:pPr>
              <w:rPr>
                <w:bCs/>
                <w:color w:val="000000"/>
                <w:sz w:val="20"/>
              </w:rPr>
            </w:pPr>
            <w:r w:rsidRPr="00C81B24">
              <w:rPr>
                <w:bCs/>
                <w:color w:val="000000"/>
                <w:sz w:val="20"/>
              </w:rPr>
              <w:t>T-Mobile</w:t>
            </w:r>
          </w:p>
        </w:tc>
        <w:tc>
          <w:tcPr>
            <w:tcW w:w="1180" w:type="dxa"/>
            <w:tcBorders>
              <w:top w:val="nil"/>
              <w:left w:val="nil"/>
              <w:bottom w:val="single" w:sz="4" w:space="0" w:color="auto"/>
              <w:right w:val="single" w:sz="4" w:space="0" w:color="auto"/>
            </w:tcBorders>
            <w:vAlign w:val="center"/>
          </w:tcPr>
          <w:p w:rsidR="00C81B24" w:rsidRPr="00C81B24" w:rsidRDefault="00C81B24" w:rsidP="00CE5850">
            <w:pPr>
              <w:jc w:val="center"/>
              <w:rPr>
                <w:color w:val="000000"/>
                <w:sz w:val="20"/>
              </w:rPr>
            </w:pPr>
            <w:r w:rsidRPr="00C81B24">
              <w:rPr>
                <w:color w:val="000000"/>
                <w:sz w:val="20"/>
              </w:rPr>
              <w:t>6.84</w:t>
            </w:r>
          </w:p>
        </w:tc>
        <w:tc>
          <w:tcPr>
            <w:tcW w:w="1180" w:type="dxa"/>
            <w:tcBorders>
              <w:top w:val="nil"/>
              <w:left w:val="nil"/>
              <w:bottom w:val="single" w:sz="4" w:space="0" w:color="auto"/>
              <w:right w:val="single" w:sz="4" w:space="0" w:color="auto"/>
            </w:tcBorders>
            <w:vAlign w:val="center"/>
          </w:tcPr>
          <w:p w:rsidR="00C81B24" w:rsidRPr="00C81B24" w:rsidRDefault="00C81B24" w:rsidP="00CE5850">
            <w:pPr>
              <w:jc w:val="center"/>
              <w:rPr>
                <w:color w:val="000000"/>
                <w:sz w:val="20"/>
              </w:rPr>
            </w:pPr>
            <w:r w:rsidRPr="00C81B24">
              <w:rPr>
                <w:color w:val="000000"/>
                <w:sz w:val="20"/>
              </w:rPr>
              <w:t>22.71</w:t>
            </w:r>
          </w:p>
        </w:tc>
        <w:tc>
          <w:tcPr>
            <w:tcW w:w="1240" w:type="dxa"/>
            <w:tcBorders>
              <w:top w:val="nil"/>
              <w:left w:val="nil"/>
              <w:bottom w:val="single" w:sz="4" w:space="0" w:color="auto"/>
              <w:right w:val="single" w:sz="4" w:space="0" w:color="auto"/>
            </w:tcBorders>
            <w:vAlign w:val="center"/>
          </w:tcPr>
          <w:p w:rsidR="00C81B24" w:rsidRPr="00C81B24" w:rsidRDefault="00C81B24" w:rsidP="00CE5850">
            <w:pPr>
              <w:jc w:val="center"/>
              <w:rPr>
                <w:color w:val="000000"/>
                <w:sz w:val="20"/>
              </w:rPr>
            </w:pPr>
            <w:r w:rsidRPr="00C81B24">
              <w:rPr>
                <w:color w:val="000000"/>
                <w:sz w:val="20"/>
              </w:rPr>
              <w:t>1.14</w:t>
            </w:r>
          </w:p>
        </w:tc>
        <w:tc>
          <w:tcPr>
            <w:tcW w:w="1240" w:type="dxa"/>
            <w:tcBorders>
              <w:top w:val="nil"/>
              <w:left w:val="nil"/>
              <w:bottom w:val="single" w:sz="4" w:space="0" w:color="auto"/>
              <w:right w:val="nil"/>
            </w:tcBorders>
            <w:vAlign w:val="center"/>
          </w:tcPr>
          <w:p w:rsidR="00C81B24" w:rsidRPr="00C81B24" w:rsidRDefault="00C81B24" w:rsidP="00CE5850">
            <w:pPr>
              <w:jc w:val="center"/>
              <w:rPr>
                <w:color w:val="000000"/>
                <w:sz w:val="20"/>
              </w:rPr>
            </w:pPr>
            <w:r w:rsidRPr="00C81B24">
              <w:rPr>
                <w:color w:val="000000"/>
                <w:sz w:val="20"/>
              </w:rPr>
              <w:t>3.31</w:t>
            </w:r>
          </w:p>
        </w:tc>
        <w:tc>
          <w:tcPr>
            <w:tcW w:w="1480" w:type="dxa"/>
            <w:tcBorders>
              <w:top w:val="nil"/>
              <w:left w:val="single" w:sz="4" w:space="0" w:color="auto"/>
              <w:bottom w:val="single" w:sz="4" w:space="0" w:color="auto"/>
              <w:right w:val="single" w:sz="8" w:space="0" w:color="auto"/>
            </w:tcBorders>
            <w:noWrap/>
            <w:vAlign w:val="bottom"/>
          </w:tcPr>
          <w:p w:rsidR="00C81B24" w:rsidRPr="00C81B24" w:rsidRDefault="00C81B24" w:rsidP="00CE5850">
            <w:pPr>
              <w:jc w:val="center"/>
              <w:rPr>
                <w:color w:val="000000"/>
                <w:sz w:val="20"/>
              </w:rPr>
            </w:pPr>
            <w:r w:rsidRPr="00C81B24">
              <w:rPr>
                <w:color w:val="000000"/>
                <w:sz w:val="20"/>
              </w:rPr>
              <w:t>79.61</w:t>
            </w:r>
          </w:p>
        </w:tc>
      </w:tr>
      <w:tr w:rsidR="00C81B24" w:rsidRPr="00C81B24" w:rsidTr="00526AD9">
        <w:trPr>
          <w:trHeight w:val="300"/>
        </w:trPr>
        <w:tc>
          <w:tcPr>
            <w:tcW w:w="2340" w:type="dxa"/>
            <w:tcBorders>
              <w:top w:val="nil"/>
              <w:left w:val="single" w:sz="8" w:space="0" w:color="auto"/>
              <w:bottom w:val="single" w:sz="4" w:space="0" w:color="auto"/>
              <w:right w:val="single" w:sz="8" w:space="0" w:color="auto"/>
            </w:tcBorders>
            <w:vAlign w:val="center"/>
          </w:tcPr>
          <w:p w:rsidR="00C81B24" w:rsidRPr="00C81B24" w:rsidRDefault="00C81B24" w:rsidP="00CE5850">
            <w:pPr>
              <w:rPr>
                <w:bCs/>
                <w:color w:val="000000"/>
                <w:sz w:val="20"/>
              </w:rPr>
            </w:pPr>
            <w:r w:rsidRPr="00C81B24">
              <w:rPr>
                <w:bCs/>
                <w:color w:val="000000"/>
                <w:sz w:val="20"/>
              </w:rPr>
              <w:t>Verizon Wireless 3G</w:t>
            </w:r>
          </w:p>
        </w:tc>
        <w:tc>
          <w:tcPr>
            <w:tcW w:w="1180" w:type="dxa"/>
            <w:tcBorders>
              <w:top w:val="nil"/>
              <w:left w:val="nil"/>
              <w:bottom w:val="single" w:sz="4" w:space="0" w:color="auto"/>
              <w:right w:val="single" w:sz="4" w:space="0" w:color="auto"/>
            </w:tcBorders>
            <w:vAlign w:val="center"/>
          </w:tcPr>
          <w:p w:rsidR="00C81B24" w:rsidRPr="00C81B24" w:rsidRDefault="00C81B24" w:rsidP="00CE5850">
            <w:pPr>
              <w:jc w:val="center"/>
              <w:rPr>
                <w:color w:val="000000"/>
                <w:sz w:val="20"/>
              </w:rPr>
            </w:pPr>
            <w:r w:rsidRPr="00C81B24">
              <w:rPr>
                <w:color w:val="000000"/>
                <w:sz w:val="20"/>
              </w:rPr>
              <w:t>0.91</w:t>
            </w:r>
          </w:p>
        </w:tc>
        <w:tc>
          <w:tcPr>
            <w:tcW w:w="1180" w:type="dxa"/>
            <w:tcBorders>
              <w:top w:val="nil"/>
              <w:left w:val="nil"/>
              <w:bottom w:val="single" w:sz="4" w:space="0" w:color="auto"/>
              <w:right w:val="single" w:sz="4" w:space="0" w:color="auto"/>
            </w:tcBorders>
            <w:vAlign w:val="center"/>
          </w:tcPr>
          <w:p w:rsidR="00C81B24" w:rsidRPr="00C81B24" w:rsidRDefault="00C81B24" w:rsidP="00CE5850">
            <w:pPr>
              <w:jc w:val="center"/>
              <w:rPr>
                <w:color w:val="000000"/>
                <w:sz w:val="20"/>
              </w:rPr>
            </w:pPr>
            <w:r w:rsidRPr="00C81B24">
              <w:rPr>
                <w:color w:val="000000"/>
                <w:sz w:val="20"/>
              </w:rPr>
              <w:t>2.52</w:t>
            </w:r>
          </w:p>
        </w:tc>
        <w:tc>
          <w:tcPr>
            <w:tcW w:w="1240" w:type="dxa"/>
            <w:tcBorders>
              <w:top w:val="nil"/>
              <w:left w:val="nil"/>
              <w:bottom w:val="single" w:sz="4" w:space="0" w:color="auto"/>
              <w:right w:val="single" w:sz="4" w:space="0" w:color="auto"/>
            </w:tcBorders>
            <w:vAlign w:val="center"/>
          </w:tcPr>
          <w:p w:rsidR="00C81B24" w:rsidRPr="00C81B24" w:rsidRDefault="00C81B24" w:rsidP="00CE5850">
            <w:pPr>
              <w:jc w:val="center"/>
              <w:rPr>
                <w:color w:val="000000"/>
                <w:sz w:val="20"/>
              </w:rPr>
            </w:pPr>
            <w:r w:rsidRPr="00C81B24">
              <w:rPr>
                <w:color w:val="000000"/>
                <w:sz w:val="20"/>
              </w:rPr>
              <w:t>0.66</w:t>
            </w:r>
          </w:p>
        </w:tc>
        <w:tc>
          <w:tcPr>
            <w:tcW w:w="1240" w:type="dxa"/>
            <w:tcBorders>
              <w:top w:val="nil"/>
              <w:left w:val="nil"/>
              <w:bottom w:val="single" w:sz="4" w:space="0" w:color="auto"/>
              <w:right w:val="nil"/>
            </w:tcBorders>
            <w:vAlign w:val="center"/>
          </w:tcPr>
          <w:p w:rsidR="00C81B24" w:rsidRPr="00C81B24" w:rsidRDefault="00C81B24" w:rsidP="00CE5850">
            <w:pPr>
              <w:jc w:val="center"/>
              <w:rPr>
                <w:color w:val="000000"/>
                <w:sz w:val="20"/>
              </w:rPr>
            </w:pPr>
            <w:r w:rsidRPr="00C81B24">
              <w:rPr>
                <w:color w:val="000000"/>
                <w:sz w:val="20"/>
              </w:rPr>
              <w:t>1.31</w:t>
            </w:r>
          </w:p>
        </w:tc>
        <w:tc>
          <w:tcPr>
            <w:tcW w:w="1480" w:type="dxa"/>
            <w:tcBorders>
              <w:top w:val="nil"/>
              <w:left w:val="single" w:sz="4" w:space="0" w:color="auto"/>
              <w:bottom w:val="single" w:sz="4" w:space="0" w:color="auto"/>
              <w:right w:val="single" w:sz="8" w:space="0" w:color="auto"/>
            </w:tcBorders>
            <w:noWrap/>
            <w:vAlign w:val="bottom"/>
          </w:tcPr>
          <w:p w:rsidR="00C81B24" w:rsidRPr="00C81B24" w:rsidRDefault="00C81B24" w:rsidP="00CE5850">
            <w:pPr>
              <w:jc w:val="center"/>
              <w:rPr>
                <w:color w:val="000000"/>
                <w:sz w:val="20"/>
              </w:rPr>
            </w:pPr>
            <w:r w:rsidRPr="00C81B24">
              <w:rPr>
                <w:color w:val="000000"/>
                <w:sz w:val="20"/>
              </w:rPr>
              <w:t>90.38</w:t>
            </w:r>
          </w:p>
        </w:tc>
      </w:tr>
      <w:tr w:rsidR="00C81B24" w:rsidRPr="00C81B24" w:rsidTr="00526AD9">
        <w:trPr>
          <w:trHeight w:val="315"/>
        </w:trPr>
        <w:tc>
          <w:tcPr>
            <w:tcW w:w="2340" w:type="dxa"/>
            <w:tcBorders>
              <w:top w:val="nil"/>
              <w:left w:val="single" w:sz="8" w:space="0" w:color="auto"/>
              <w:bottom w:val="single" w:sz="8" w:space="0" w:color="auto"/>
              <w:right w:val="single" w:sz="8" w:space="0" w:color="auto"/>
            </w:tcBorders>
            <w:vAlign w:val="center"/>
          </w:tcPr>
          <w:p w:rsidR="00C81B24" w:rsidRPr="00C81B24" w:rsidRDefault="00C81B24" w:rsidP="00CE5850">
            <w:pPr>
              <w:rPr>
                <w:bCs/>
                <w:color w:val="000000"/>
                <w:sz w:val="20"/>
              </w:rPr>
            </w:pPr>
            <w:r w:rsidRPr="00C81B24">
              <w:rPr>
                <w:bCs/>
                <w:color w:val="000000"/>
                <w:sz w:val="20"/>
              </w:rPr>
              <w:t>Verizon Wireless 4G</w:t>
            </w:r>
          </w:p>
        </w:tc>
        <w:tc>
          <w:tcPr>
            <w:tcW w:w="1180" w:type="dxa"/>
            <w:tcBorders>
              <w:top w:val="nil"/>
              <w:left w:val="nil"/>
              <w:bottom w:val="single" w:sz="8" w:space="0" w:color="auto"/>
              <w:right w:val="single" w:sz="4" w:space="0" w:color="auto"/>
            </w:tcBorders>
            <w:vAlign w:val="center"/>
          </w:tcPr>
          <w:p w:rsidR="00C81B24" w:rsidRPr="00C81B24" w:rsidRDefault="00C81B24" w:rsidP="00CE5850">
            <w:pPr>
              <w:jc w:val="center"/>
              <w:rPr>
                <w:color w:val="000000"/>
                <w:sz w:val="20"/>
              </w:rPr>
            </w:pPr>
            <w:r w:rsidRPr="00C81B24">
              <w:rPr>
                <w:color w:val="000000"/>
                <w:sz w:val="20"/>
              </w:rPr>
              <w:t>8.89</w:t>
            </w:r>
          </w:p>
        </w:tc>
        <w:tc>
          <w:tcPr>
            <w:tcW w:w="1180" w:type="dxa"/>
            <w:tcBorders>
              <w:top w:val="nil"/>
              <w:left w:val="nil"/>
              <w:bottom w:val="single" w:sz="8" w:space="0" w:color="auto"/>
              <w:right w:val="single" w:sz="4" w:space="0" w:color="auto"/>
            </w:tcBorders>
            <w:vAlign w:val="center"/>
          </w:tcPr>
          <w:p w:rsidR="00C81B24" w:rsidRPr="00C81B24" w:rsidRDefault="00C81B24" w:rsidP="00CE5850">
            <w:pPr>
              <w:jc w:val="center"/>
              <w:rPr>
                <w:color w:val="000000"/>
                <w:sz w:val="20"/>
              </w:rPr>
            </w:pPr>
            <w:r w:rsidRPr="00C81B24">
              <w:rPr>
                <w:color w:val="000000"/>
                <w:sz w:val="20"/>
              </w:rPr>
              <w:t>49.22</w:t>
            </w:r>
          </w:p>
        </w:tc>
        <w:tc>
          <w:tcPr>
            <w:tcW w:w="1240" w:type="dxa"/>
            <w:tcBorders>
              <w:top w:val="nil"/>
              <w:left w:val="nil"/>
              <w:bottom w:val="single" w:sz="8" w:space="0" w:color="auto"/>
              <w:right w:val="single" w:sz="4" w:space="0" w:color="auto"/>
            </w:tcBorders>
            <w:vAlign w:val="center"/>
          </w:tcPr>
          <w:p w:rsidR="00C81B24" w:rsidRPr="00C81B24" w:rsidRDefault="00C81B24" w:rsidP="00CE5850">
            <w:pPr>
              <w:jc w:val="center"/>
              <w:rPr>
                <w:color w:val="000000"/>
                <w:sz w:val="20"/>
              </w:rPr>
            </w:pPr>
            <w:r w:rsidRPr="00C81B24">
              <w:rPr>
                <w:color w:val="000000"/>
                <w:sz w:val="20"/>
              </w:rPr>
              <w:t>6.46</w:t>
            </w:r>
          </w:p>
        </w:tc>
        <w:tc>
          <w:tcPr>
            <w:tcW w:w="1240" w:type="dxa"/>
            <w:tcBorders>
              <w:top w:val="nil"/>
              <w:left w:val="nil"/>
              <w:bottom w:val="single" w:sz="8" w:space="0" w:color="auto"/>
              <w:right w:val="nil"/>
            </w:tcBorders>
            <w:vAlign w:val="center"/>
          </w:tcPr>
          <w:p w:rsidR="00C81B24" w:rsidRPr="00C81B24" w:rsidRDefault="00C81B24" w:rsidP="00CE5850">
            <w:pPr>
              <w:jc w:val="center"/>
              <w:rPr>
                <w:color w:val="000000"/>
                <w:sz w:val="20"/>
              </w:rPr>
            </w:pPr>
            <w:r w:rsidRPr="00C81B24">
              <w:rPr>
                <w:color w:val="000000"/>
                <w:sz w:val="20"/>
              </w:rPr>
              <w:t>17.24</w:t>
            </w:r>
          </w:p>
        </w:tc>
        <w:tc>
          <w:tcPr>
            <w:tcW w:w="1480" w:type="dxa"/>
            <w:tcBorders>
              <w:top w:val="nil"/>
              <w:left w:val="single" w:sz="4" w:space="0" w:color="auto"/>
              <w:bottom w:val="single" w:sz="8" w:space="0" w:color="auto"/>
              <w:right w:val="single" w:sz="8" w:space="0" w:color="auto"/>
            </w:tcBorders>
            <w:noWrap/>
            <w:vAlign w:val="bottom"/>
          </w:tcPr>
          <w:p w:rsidR="00C81B24" w:rsidRPr="00C81B24" w:rsidRDefault="00C81B24" w:rsidP="00CE5850">
            <w:pPr>
              <w:jc w:val="center"/>
              <w:rPr>
                <w:color w:val="000000"/>
                <w:sz w:val="20"/>
              </w:rPr>
            </w:pPr>
            <w:r w:rsidRPr="00C81B24">
              <w:rPr>
                <w:color w:val="000000"/>
                <w:sz w:val="20"/>
              </w:rPr>
              <w:t>90.9</w:t>
            </w:r>
          </w:p>
        </w:tc>
      </w:tr>
    </w:tbl>
    <w:p w:rsidR="00C81B24" w:rsidRPr="00C81B24" w:rsidRDefault="00C81B24" w:rsidP="00CE5850">
      <w:pPr>
        <w:spacing w:after="120"/>
        <w:rPr>
          <w:sz w:val="20"/>
        </w:rPr>
      </w:pPr>
    </w:p>
    <w:p w:rsidR="00C81B24" w:rsidRPr="00C81B24" w:rsidRDefault="00C81B24" w:rsidP="00CE5850">
      <w:pPr>
        <w:spacing w:after="120"/>
        <w:rPr>
          <w:sz w:val="20"/>
        </w:rPr>
      </w:pPr>
      <w:r w:rsidRPr="00C81B24">
        <w:rPr>
          <w:sz w:val="20"/>
        </w:rPr>
        <w:t>Notes:  In June 2011, PC Magazine published its 2011 broadband network test results for major mobile wireless service providers in 21 large U.S. cities.  It drive-tested more than 6,000 miles of roads uses eight different smartphones simultaneously.  In the tested cities, it found that the Verizon Wireless 4G LTE network had the best broadband data speeds and that T-Mobile USA was the second best.  In June 2012, PC Magazine updated its 2012 broadband network test results of five major mobile wireless service providers in 30 large U.S. cities.</w:t>
      </w:r>
      <w:r w:rsidRPr="00C81B24">
        <w:rPr>
          <w:sz w:val="20"/>
          <w:vertAlign w:val="superscript"/>
        </w:rPr>
        <w:footnoteReference w:id="1352"/>
      </w:r>
    </w:p>
    <w:p w:rsidR="00C81B24" w:rsidRPr="00C81B24" w:rsidRDefault="00C81B24" w:rsidP="00CE5850">
      <w:pPr>
        <w:spacing w:after="120"/>
        <w:rPr>
          <w:sz w:val="20"/>
        </w:rPr>
      </w:pPr>
      <w:r w:rsidRPr="00C81B24">
        <w:rPr>
          <w:sz w:val="20"/>
        </w:rPr>
        <w:t xml:space="preserve"> </w:t>
      </w:r>
    </w:p>
    <w:p w:rsidR="00C81B24" w:rsidRPr="00C81B24" w:rsidRDefault="00C81B24" w:rsidP="00CE5850">
      <w:pPr>
        <w:spacing w:before="120"/>
        <w:jc w:val="center"/>
        <w:rPr>
          <w:b/>
          <w:kern w:val="0"/>
          <w:szCs w:val="22"/>
        </w:rPr>
      </w:pPr>
      <w:r w:rsidRPr="00C81B24">
        <w:rPr>
          <w:b/>
          <w:kern w:val="0"/>
          <w:sz w:val="20"/>
        </w:rPr>
        <w:br w:type="page"/>
      </w:r>
      <w:bookmarkStart w:id="6925" w:name="_Toc278893129"/>
      <w:r w:rsidRPr="00C81B24">
        <w:rPr>
          <w:b/>
          <w:kern w:val="0"/>
          <w:szCs w:val="22"/>
        </w:rPr>
        <w:t>Table B-</w:t>
      </w:r>
      <w:bookmarkEnd w:id="6925"/>
      <w:r w:rsidRPr="00C81B24">
        <w:rPr>
          <w:b/>
          <w:kern w:val="0"/>
          <w:szCs w:val="22"/>
        </w:rPr>
        <w:t>10</w:t>
      </w:r>
    </w:p>
    <w:p w:rsidR="00C81B24" w:rsidRDefault="00C81B24" w:rsidP="00CE5850">
      <w:pPr>
        <w:spacing w:after="120"/>
        <w:jc w:val="center"/>
        <w:rPr>
          <w:b/>
          <w:noProof/>
          <w:szCs w:val="22"/>
        </w:rPr>
      </w:pPr>
      <w:r w:rsidRPr="00C81B24">
        <w:rPr>
          <w:b/>
          <w:noProof/>
          <w:szCs w:val="22"/>
        </w:rPr>
        <w:t>Network Performance Results, Average Data Speeds, RootMetrics, 2012</w:t>
      </w:r>
      <w:r w:rsidRPr="00C81B24">
        <w:rPr>
          <w:noProof/>
          <w:sz w:val="20"/>
          <w:vertAlign w:val="superscript"/>
        </w:rPr>
        <w:footnoteReference w:id="1353"/>
      </w:r>
    </w:p>
    <w:p w:rsidR="00FA37F2" w:rsidRPr="00FA37F2" w:rsidRDefault="00FA37F2" w:rsidP="00CE5850">
      <w:pPr>
        <w:spacing w:after="120"/>
        <w:jc w:val="center"/>
        <w:rPr>
          <w:b/>
          <w:noProof/>
          <w:sz w:val="8"/>
          <w:szCs w:val="8"/>
        </w:rPr>
      </w:pPr>
    </w:p>
    <w:tbl>
      <w:tblPr>
        <w:tblStyle w:val="TableGrid"/>
        <w:tblW w:w="0" w:type="auto"/>
        <w:jc w:val="center"/>
        <w:tblInd w:w="721" w:type="dxa"/>
        <w:tblLook w:val="04A0" w:firstRow="1" w:lastRow="0" w:firstColumn="1" w:lastColumn="0" w:noHBand="0" w:noVBand="1"/>
      </w:tblPr>
      <w:tblGrid>
        <w:gridCol w:w="2295"/>
        <w:gridCol w:w="1344"/>
        <w:gridCol w:w="737"/>
        <w:gridCol w:w="707"/>
        <w:gridCol w:w="936"/>
        <w:gridCol w:w="826"/>
      </w:tblGrid>
      <w:tr w:rsidR="00EC7CF3" w:rsidTr="009245AE">
        <w:trPr>
          <w:trHeight w:val="458"/>
          <w:jc w:val="center"/>
        </w:trPr>
        <w:tc>
          <w:tcPr>
            <w:tcW w:w="3639" w:type="dxa"/>
            <w:gridSpan w:val="2"/>
            <w:tcBorders>
              <w:bottom w:val="single" w:sz="4" w:space="0" w:color="auto"/>
            </w:tcBorders>
            <w:vAlign w:val="center"/>
          </w:tcPr>
          <w:p w:rsidR="00EC7CF3" w:rsidRPr="0061736E" w:rsidRDefault="009245AE" w:rsidP="009245AE">
            <w:pPr>
              <w:spacing w:after="120"/>
              <w:rPr>
                <w:b/>
                <w:noProof/>
                <w:sz w:val="18"/>
                <w:szCs w:val="18"/>
              </w:rPr>
            </w:pPr>
            <w:r w:rsidRPr="0061736E">
              <w:rPr>
                <w:b/>
                <w:noProof/>
                <w:sz w:val="18"/>
                <w:szCs w:val="18"/>
              </w:rPr>
              <w:t xml:space="preserve">              </w:t>
            </w:r>
            <w:r w:rsidR="00EC7CF3" w:rsidRPr="0061736E">
              <w:rPr>
                <w:b/>
                <w:noProof/>
                <w:sz w:val="18"/>
                <w:szCs w:val="18"/>
              </w:rPr>
              <w:t>City</w:t>
            </w:r>
          </w:p>
        </w:tc>
        <w:tc>
          <w:tcPr>
            <w:tcW w:w="0" w:type="auto"/>
            <w:tcBorders>
              <w:bottom w:val="single" w:sz="4" w:space="0" w:color="auto"/>
            </w:tcBorders>
          </w:tcPr>
          <w:p w:rsidR="00EC7CF3" w:rsidRPr="0061736E" w:rsidRDefault="00EC7CF3" w:rsidP="00CE5850">
            <w:pPr>
              <w:spacing w:after="120"/>
              <w:jc w:val="center"/>
              <w:rPr>
                <w:b/>
                <w:noProof/>
                <w:sz w:val="18"/>
                <w:szCs w:val="18"/>
              </w:rPr>
            </w:pPr>
            <w:r w:rsidRPr="0061736E">
              <w:rPr>
                <w:b/>
                <w:noProof/>
                <w:sz w:val="18"/>
                <w:szCs w:val="18"/>
              </w:rPr>
              <w:t>AT&amp;T</w:t>
            </w:r>
          </w:p>
        </w:tc>
        <w:tc>
          <w:tcPr>
            <w:tcW w:w="0" w:type="auto"/>
            <w:tcBorders>
              <w:bottom w:val="single" w:sz="4" w:space="0" w:color="auto"/>
            </w:tcBorders>
          </w:tcPr>
          <w:p w:rsidR="00EC7CF3" w:rsidRPr="0061736E" w:rsidRDefault="00EC7CF3" w:rsidP="00CE5850">
            <w:pPr>
              <w:spacing w:after="120"/>
              <w:jc w:val="center"/>
              <w:rPr>
                <w:b/>
                <w:noProof/>
                <w:sz w:val="18"/>
                <w:szCs w:val="18"/>
              </w:rPr>
            </w:pPr>
            <w:r w:rsidRPr="0061736E">
              <w:rPr>
                <w:b/>
                <w:noProof/>
                <w:sz w:val="18"/>
                <w:szCs w:val="18"/>
              </w:rPr>
              <w:t>Sprint</w:t>
            </w:r>
          </w:p>
        </w:tc>
        <w:tc>
          <w:tcPr>
            <w:tcW w:w="0" w:type="auto"/>
            <w:tcBorders>
              <w:bottom w:val="single" w:sz="4" w:space="0" w:color="auto"/>
            </w:tcBorders>
          </w:tcPr>
          <w:p w:rsidR="00EC7CF3" w:rsidRPr="0061736E" w:rsidRDefault="00EC7CF3" w:rsidP="00CE5850">
            <w:pPr>
              <w:spacing w:after="120"/>
              <w:jc w:val="center"/>
              <w:rPr>
                <w:b/>
                <w:noProof/>
                <w:sz w:val="18"/>
                <w:szCs w:val="18"/>
              </w:rPr>
            </w:pPr>
            <w:r w:rsidRPr="0061736E">
              <w:rPr>
                <w:b/>
                <w:noProof/>
                <w:sz w:val="18"/>
                <w:szCs w:val="18"/>
              </w:rPr>
              <w:t>T-Mobile</w:t>
            </w:r>
          </w:p>
        </w:tc>
        <w:tc>
          <w:tcPr>
            <w:tcW w:w="0" w:type="auto"/>
            <w:tcBorders>
              <w:bottom w:val="single" w:sz="4" w:space="0" w:color="auto"/>
            </w:tcBorders>
          </w:tcPr>
          <w:p w:rsidR="00EC7CF3" w:rsidRPr="0061736E" w:rsidRDefault="00EC7CF3" w:rsidP="00CE5850">
            <w:pPr>
              <w:spacing w:after="120"/>
              <w:jc w:val="center"/>
              <w:rPr>
                <w:b/>
                <w:noProof/>
                <w:sz w:val="18"/>
                <w:szCs w:val="18"/>
              </w:rPr>
            </w:pPr>
            <w:r w:rsidRPr="0061736E">
              <w:rPr>
                <w:b/>
                <w:noProof/>
                <w:sz w:val="18"/>
                <w:szCs w:val="18"/>
              </w:rPr>
              <w:t>Verizon</w:t>
            </w:r>
          </w:p>
        </w:tc>
      </w:tr>
      <w:tr w:rsidR="009E245C" w:rsidTr="0075240C">
        <w:trPr>
          <w:trHeight w:val="368"/>
          <w:jc w:val="center"/>
        </w:trPr>
        <w:tc>
          <w:tcPr>
            <w:tcW w:w="2295" w:type="dxa"/>
            <w:vMerge w:val="restart"/>
            <w:shd w:val="clear" w:color="auto" w:fill="D6E3BC" w:themeFill="accent3" w:themeFillTint="66"/>
            <w:vAlign w:val="center"/>
          </w:tcPr>
          <w:p w:rsidR="00EC7CF3" w:rsidRPr="009E245C" w:rsidRDefault="00EC7CF3" w:rsidP="009E245C">
            <w:pPr>
              <w:spacing w:after="120"/>
              <w:jc w:val="center"/>
              <w:rPr>
                <w:noProof/>
                <w:sz w:val="20"/>
              </w:rPr>
            </w:pPr>
            <w:r w:rsidRPr="009E245C">
              <w:rPr>
                <w:noProof/>
                <w:sz w:val="20"/>
              </w:rPr>
              <w:t>Chicago (5/2012)</w:t>
            </w:r>
          </w:p>
        </w:tc>
        <w:tc>
          <w:tcPr>
            <w:tcW w:w="0" w:type="auto"/>
            <w:shd w:val="clear" w:color="auto" w:fill="D6E3BC" w:themeFill="accent3" w:themeFillTint="66"/>
          </w:tcPr>
          <w:p w:rsidR="00EC7CF3" w:rsidRPr="00EC7CF3" w:rsidRDefault="00EC7CF3" w:rsidP="00EC7CF3">
            <w:pPr>
              <w:spacing w:after="120"/>
              <w:rPr>
                <w:noProof/>
                <w:sz w:val="20"/>
              </w:rPr>
            </w:pPr>
            <w:r w:rsidRPr="00EC7CF3">
              <w:rPr>
                <w:noProof/>
                <w:sz w:val="20"/>
              </w:rPr>
              <w:t>Down (Mbps)</w:t>
            </w:r>
          </w:p>
        </w:tc>
        <w:tc>
          <w:tcPr>
            <w:tcW w:w="0" w:type="auto"/>
            <w:shd w:val="clear" w:color="auto" w:fill="D6E3BC" w:themeFill="accent3" w:themeFillTint="66"/>
            <w:vAlign w:val="center"/>
          </w:tcPr>
          <w:p w:rsidR="00EC7CF3" w:rsidRPr="009E245C" w:rsidRDefault="00EC7CF3" w:rsidP="0075240C">
            <w:pPr>
              <w:spacing w:after="120"/>
              <w:jc w:val="right"/>
              <w:rPr>
                <w:noProof/>
                <w:sz w:val="20"/>
              </w:rPr>
            </w:pPr>
            <w:r w:rsidRPr="009E245C">
              <w:rPr>
                <w:noProof/>
                <w:sz w:val="20"/>
              </w:rPr>
              <w:t>7.6</w:t>
            </w:r>
          </w:p>
        </w:tc>
        <w:tc>
          <w:tcPr>
            <w:tcW w:w="0" w:type="auto"/>
            <w:shd w:val="clear" w:color="auto" w:fill="D6E3BC" w:themeFill="accent3" w:themeFillTint="66"/>
            <w:vAlign w:val="center"/>
          </w:tcPr>
          <w:p w:rsidR="00EC7CF3" w:rsidRPr="009E245C" w:rsidRDefault="00EC7CF3" w:rsidP="0075240C">
            <w:pPr>
              <w:spacing w:after="120"/>
              <w:jc w:val="right"/>
              <w:rPr>
                <w:noProof/>
                <w:sz w:val="20"/>
              </w:rPr>
            </w:pPr>
            <w:r w:rsidRPr="009E245C">
              <w:rPr>
                <w:noProof/>
                <w:sz w:val="20"/>
              </w:rPr>
              <w:t>3.2</w:t>
            </w:r>
          </w:p>
        </w:tc>
        <w:tc>
          <w:tcPr>
            <w:tcW w:w="0" w:type="auto"/>
            <w:shd w:val="clear" w:color="auto" w:fill="D6E3BC" w:themeFill="accent3" w:themeFillTint="66"/>
            <w:vAlign w:val="center"/>
          </w:tcPr>
          <w:p w:rsidR="00EC7CF3" w:rsidRPr="009E245C" w:rsidRDefault="00EC7CF3" w:rsidP="0075240C">
            <w:pPr>
              <w:spacing w:after="120"/>
              <w:jc w:val="right"/>
              <w:rPr>
                <w:noProof/>
                <w:sz w:val="20"/>
              </w:rPr>
            </w:pPr>
            <w:r w:rsidRPr="009E245C">
              <w:rPr>
                <w:noProof/>
                <w:sz w:val="20"/>
              </w:rPr>
              <w:t>7.1</w:t>
            </w:r>
          </w:p>
        </w:tc>
        <w:tc>
          <w:tcPr>
            <w:tcW w:w="0" w:type="auto"/>
            <w:shd w:val="clear" w:color="auto" w:fill="D6E3BC" w:themeFill="accent3" w:themeFillTint="66"/>
            <w:vAlign w:val="center"/>
          </w:tcPr>
          <w:p w:rsidR="00EC7CF3" w:rsidRPr="009E245C" w:rsidRDefault="00EC7CF3" w:rsidP="0075240C">
            <w:pPr>
              <w:spacing w:after="120"/>
              <w:jc w:val="right"/>
              <w:rPr>
                <w:noProof/>
                <w:sz w:val="20"/>
              </w:rPr>
            </w:pPr>
            <w:r w:rsidRPr="009E245C">
              <w:rPr>
                <w:noProof/>
                <w:sz w:val="20"/>
              </w:rPr>
              <w:t>15.9</w:t>
            </w:r>
          </w:p>
        </w:tc>
      </w:tr>
      <w:tr w:rsidR="009E245C" w:rsidTr="0075240C">
        <w:trPr>
          <w:jc w:val="center"/>
        </w:trPr>
        <w:tc>
          <w:tcPr>
            <w:tcW w:w="2295" w:type="dxa"/>
            <w:vMerge/>
            <w:shd w:val="clear" w:color="auto" w:fill="D6E3BC" w:themeFill="accent3" w:themeFillTint="66"/>
            <w:vAlign w:val="center"/>
          </w:tcPr>
          <w:p w:rsidR="00EC7CF3" w:rsidRPr="009E245C" w:rsidRDefault="00EC7CF3" w:rsidP="009E245C">
            <w:pPr>
              <w:spacing w:after="120"/>
              <w:jc w:val="center"/>
              <w:rPr>
                <w:noProof/>
                <w:sz w:val="20"/>
              </w:rPr>
            </w:pPr>
          </w:p>
        </w:tc>
        <w:tc>
          <w:tcPr>
            <w:tcW w:w="0" w:type="auto"/>
            <w:shd w:val="clear" w:color="auto" w:fill="D6E3BC" w:themeFill="accent3" w:themeFillTint="66"/>
          </w:tcPr>
          <w:p w:rsidR="00EC7CF3" w:rsidRPr="00EC7CF3" w:rsidRDefault="00EC7CF3" w:rsidP="00EC7CF3">
            <w:pPr>
              <w:spacing w:after="120"/>
              <w:rPr>
                <w:noProof/>
                <w:sz w:val="20"/>
              </w:rPr>
            </w:pPr>
            <w:r w:rsidRPr="00EC7CF3">
              <w:rPr>
                <w:noProof/>
                <w:sz w:val="20"/>
              </w:rPr>
              <w:t>Up (Mbps)</w:t>
            </w:r>
          </w:p>
        </w:tc>
        <w:tc>
          <w:tcPr>
            <w:tcW w:w="0" w:type="auto"/>
            <w:shd w:val="clear" w:color="auto" w:fill="D6E3BC" w:themeFill="accent3" w:themeFillTint="66"/>
            <w:vAlign w:val="center"/>
          </w:tcPr>
          <w:p w:rsidR="00EC7CF3" w:rsidRPr="009E245C" w:rsidRDefault="00EC7CF3" w:rsidP="0075240C">
            <w:pPr>
              <w:spacing w:after="120"/>
              <w:jc w:val="right"/>
              <w:rPr>
                <w:noProof/>
                <w:sz w:val="20"/>
              </w:rPr>
            </w:pPr>
            <w:r w:rsidRPr="009E245C">
              <w:rPr>
                <w:noProof/>
                <w:sz w:val="20"/>
              </w:rPr>
              <w:t>4</w:t>
            </w:r>
          </w:p>
        </w:tc>
        <w:tc>
          <w:tcPr>
            <w:tcW w:w="0" w:type="auto"/>
            <w:shd w:val="clear" w:color="auto" w:fill="D6E3BC" w:themeFill="accent3" w:themeFillTint="66"/>
            <w:vAlign w:val="center"/>
          </w:tcPr>
          <w:p w:rsidR="00EC7CF3" w:rsidRPr="009E245C" w:rsidRDefault="00EC7CF3" w:rsidP="0075240C">
            <w:pPr>
              <w:spacing w:after="120"/>
              <w:jc w:val="right"/>
              <w:rPr>
                <w:noProof/>
                <w:sz w:val="20"/>
              </w:rPr>
            </w:pPr>
            <w:r w:rsidRPr="009E245C">
              <w:rPr>
                <w:noProof/>
                <w:sz w:val="20"/>
              </w:rPr>
              <w:t>0.8</w:t>
            </w:r>
          </w:p>
        </w:tc>
        <w:tc>
          <w:tcPr>
            <w:tcW w:w="0" w:type="auto"/>
            <w:shd w:val="clear" w:color="auto" w:fill="D6E3BC" w:themeFill="accent3" w:themeFillTint="66"/>
            <w:vAlign w:val="center"/>
          </w:tcPr>
          <w:p w:rsidR="00EC7CF3" w:rsidRPr="009E245C" w:rsidRDefault="00EC7CF3" w:rsidP="0075240C">
            <w:pPr>
              <w:spacing w:after="120"/>
              <w:jc w:val="right"/>
              <w:rPr>
                <w:noProof/>
                <w:sz w:val="20"/>
              </w:rPr>
            </w:pPr>
            <w:r w:rsidRPr="009E245C">
              <w:rPr>
                <w:noProof/>
                <w:sz w:val="20"/>
              </w:rPr>
              <w:t>1.4</w:t>
            </w:r>
          </w:p>
        </w:tc>
        <w:tc>
          <w:tcPr>
            <w:tcW w:w="0" w:type="auto"/>
            <w:shd w:val="clear" w:color="auto" w:fill="D6E3BC" w:themeFill="accent3" w:themeFillTint="66"/>
            <w:vAlign w:val="center"/>
          </w:tcPr>
          <w:p w:rsidR="00EC7CF3" w:rsidRPr="009E245C" w:rsidRDefault="00EC7CF3" w:rsidP="0075240C">
            <w:pPr>
              <w:spacing w:after="120"/>
              <w:jc w:val="right"/>
              <w:rPr>
                <w:noProof/>
                <w:sz w:val="20"/>
              </w:rPr>
            </w:pPr>
            <w:r w:rsidRPr="009E245C">
              <w:rPr>
                <w:noProof/>
                <w:sz w:val="20"/>
              </w:rPr>
              <w:t>8.5</w:t>
            </w:r>
          </w:p>
        </w:tc>
      </w:tr>
      <w:tr w:rsidR="009E245C" w:rsidTr="0075240C">
        <w:trPr>
          <w:jc w:val="center"/>
        </w:trPr>
        <w:tc>
          <w:tcPr>
            <w:tcW w:w="2295" w:type="dxa"/>
            <w:vMerge w:val="restart"/>
            <w:shd w:val="clear" w:color="auto" w:fill="C6D9F1" w:themeFill="text2" w:themeFillTint="33"/>
            <w:vAlign w:val="center"/>
          </w:tcPr>
          <w:p w:rsidR="009E245C" w:rsidRPr="009E245C" w:rsidRDefault="009E245C" w:rsidP="009E245C">
            <w:pPr>
              <w:spacing w:after="120"/>
              <w:rPr>
                <w:noProof/>
                <w:sz w:val="4"/>
                <w:szCs w:val="4"/>
              </w:rPr>
            </w:pPr>
          </w:p>
          <w:p w:rsidR="00EC7CF3" w:rsidRPr="009E245C" w:rsidRDefault="00EC7CF3" w:rsidP="009E245C">
            <w:pPr>
              <w:spacing w:after="120"/>
              <w:jc w:val="center"/>
              <w:rPr>
                <w:noProof/>
                <w:sz w:val="20"/>
              </w:rPr>
            </w:pPr>
            <w:r w:rsidRPr="009E245C">
              <w:rPr>
                <w:noProof/>
                <w:sz w:val="20"/>
              </w:rPr>
              <w:t>Dallas (3/3012)</w:t>
            </w:r>
          </w:p>
        </w:tc>
        <w:tc>
          <w:tcPr>
            <w:tcW w:w="0" w:type="auto"/>
            <w:shd w:val="clear" w:color="auto" w:fill="C6D9F1" w:themeFill="text2" w:themeFillTint="33"/>
          </w:tcPr>
          <w:p w:rsidR="00EC7CF3" w:rsidRPr="00EC7CF3" w:rsidRDefault="00EC7CF3" w:rsidP="00EC7CF3">
            <w:pPr>
              <w:spacing w:after="120"/>
              <w:rPr>
                <w:noProof/>
                <w:sz w:val="20"/>
              </w:rPr>
            </w:pPr>
            <w:r w:rsidRPr="00EC7CF3">
              <w:rPr>
                <w:noProof/>
                <w:sz w:val="20"/>
              </w:rPr>
              <w:t>Down (Mbps)</w:t>
            </w:r>
          </w:p>
        </w:tc>
        <w:tc>
          <w:tcPr>
            <w:tcW w:w="0" w:type="auto"/>
            <w:shd w:val="clear" w:color="auto" w:fill="C6D9F1" w:themeFill="text2" w:themeFillTint="33"/>
            <w:vAlign w:val="center"/>
          </w:tcPr>
          <w:p w:rsidR="00EC7CF3" w:rsidRPr="009E245C" w:rsidRDefault="00EC7CF3" w:rsidP="0075240C">
            <w:pPr>
              <w:spacing w:after="120"/>
              <w:jc w:val="right"/>
              <w:rPr>
                <w:noProof/>
                <w:sz w:val="20"/>
              </w:rPr>
            </w:pPr>
            <w:r w:rsidRPr="009E245C">
              <w:rPr>
                <w:noProof/>
                <w:sz w:val="20"/>
              </w:rPr>
              <w:t>17.2</w:t>
            </w:r>
          </w:p>
        </w:tc>
        <w:tc>
          <w:tcPr>
            <w:tcW w:w="0" w:type="auto"/>
            <w:shd w:val="clear" w:color="auto" w:fill="C6D9F1" w:themeFill="text2" w:themeFillTint="33"/>
            <w:vAlign w:val="center"/>
          </w:tcPr>
          <w:p w:rsidR="00EC7CF3" w:rsidRPr="009E245C" w:rsidRDefault="00EC7CF3" w:rsidP="0075240C">
            <w:pPr>
              <w:spacing w:after="120"/>
              <w:jc w:val="right"/>
              <w:rPr>
                <w:noProof/>
                <w:sz w:val="20"/>
              </w:rPr>
            </w:pPr>
            <w:r w:rsidRPr="009E245C">
              <w:rPr>
                <w:noProof/>
                <w:sz w:val="20"/>
              </w:rPr>
              <w:t>3.7</w:t>
            </w:r>
          </w:p>
        </w:tc>
        <w:tc>
          <w:tcPr>
            <w:tcW w:w="0" w:type="auto"/>
            <w:shd w:val="clear" w:color="auto" w:fill="C6D9F1" w:themeFill="text2" w:themeFillTint="33"/>
            <w:vAlign w:val="center"/>
          </w:tcPr>
          <w:p w:rsidR="00EC7CF3" w:rsidRPr="009E245C" w:rsidRDefault="00EC7CF3" w:rsidP="0075240C">
            <w:pPr>
              <w:spacing w:after="120"/>
              <w:jc w:val="right"/>
              <w:rPr>
                <w:noProof/>
                <w:sz w:val="20"/>
              </w:rPr>
            </w:pPr>
            <w:r w:rsidRPr="009E245C">
              <w:rPr>
                <w:noProof/>
                <w:sz w:val="20"/>
              </w:rPr>
              <w:t>5.1</w:t>
            </w:r>
          </w:p>
        </w:tc>
        <w:tc>
          <w:tcPr>
            <w:tcW w:w="0" w:type="auto"/>
            <w:shd w:val="clear" w:color="auto" w:fill="C6D9F1" w:themeFill="text2" w:themeFillTint="33"/>
            <w:vAlign w:val="center"/>
          </w:tcPr>
          <w:p w:rsidR="00EC7CF3" w:rsidRPr="009E245C" w:rsidRDefault="00EC7CF3" w:rsidP="0075240C">
            <w:pPr>
              <w:spacing w:after="120"/>
              <w:jc w:val="right"/>
              <w:rPr>
                <w:noProof/>
                <w:sz w:val="20"/>
              </w:rPr>
            </w:pPr>
            <w:r w:rsidRPr="009E245C">
              <w:rPr>
                <w:noProof/>
                <w:sz w:val="20"/>
              </w:rPr>
              <w:t>13.8</w:t>
            </w:r>
          </w:p>
        </w:tc>
      </w:tr>
      <w:tr w:rsidR="009E245C" w:rsidTr="0075240C">
        <w:trPr>
          <w:jc w:val="center"/>
        </w:trPr>
        <w:tc>
          <w:tcPr>
            <w:tcW w:w="2295" w:type="dxa"/>
            <w:vMerge/>
            <w:tcBorders>
              <w:bottom w:val="single" w:sz="4" w:space="0" w:color="auto"/>
            </w:tcBorders>
            <w:shd w:val="clear" w:color="auto" w:fill="C6D9F1" w:themeFill="text2" w:themeFillTint="33"/>
            <w:vAlign w:val="center"/>
          </w:tcPr>
          <w:p w:rsidR="00EC7CF3" w:rsidRPr="00EC7CF3" w:rsidRDefault="00EC7CF3" w:rsidP="009E245C">
            <w:pPr>
              <w:spacing w:after="120"/>
              <w:jc w:val="center"/>
              <w:rPr>
                <w:noProof/>
                <w:sz w:val="20"/>
              </w:rPr>
            </w:pPr>
          </w:p>
        </w:tc>
        <w:tc>
          <w:tcPr>
            <w:tcW w:w="0" w:type="auto"/>
            <w:tcBorders>
              <w:bottom w:val="single" w:sz="4" w:space="0" w:color="auto"/>
            </w:tcBorders>
            <w:shd w:val="clear" w:color="auto" w:fill="C6D9F1" w:themeFill="text2" w:themeFillTint="33"/>
          </w:tcPr>
          <w:p w:rsidR="00EC7CF3" w:rsidRPr="00EC7CF3" w:rsidRDefault="00EC7CF3" w:rsidP="00EC7CF3">
            <w:pPr>
              <w:spacing w:after="120"/>
              <w:rPr>
                <w:noProof/>
                <w:sz w:val="20"/>
              </w:rPr>
            </w:pPr>
            <w:r w:rsidRPr="00EC7CF3">
              <w:rPr>
                <w:noProof/>
                <w:sz w:val="20"/>
              </w:rPr>
              <w:t>Up (Mbps)</w:t>
            </w:r>
          </w:p>
        </w:tc>
        <w:tc>
          <w:tcPr>
            <w:tcW w:w="0" w:type="auto"/>
            <w:tcBorders>
              <w:bottom w:val="single" w:sz="4" w:space="0" w:color="auto"/>
            </w:tcBorders>
            <w:shd w:val="clear" w:color="auto" w:fill="C6D9F1" w:themeFill="text2" w:themeFillTint="33"/>
            <w:vAlign w:val="center"/>
          </w:tcPr>
          <w:p w:rsidR="00EC7CF3" w:rsidRPr="009E245C" w:rsidRDefault="00EC7CF3" w:rsidP="0075240C">
            <w:pPr>
              <w:spacing w:after="120"/>
              <w:jc w:val="right"/>
              <w:rPr>
                <w:noProof/>
                <w:sz w:val="20"/>
              </w:rPr>
            </w:pPr>
            <w:r w:rsidRPr="009E245C">
              <w:rPr>
                <w:noProof/>
                <w:sz w:val="20"/>
              </w:rPr>
              <w:t>9</w:t>
            </w:r>
          </w:p>
        </w:tc>
        <w:tc>
          <w:tcPr>
            <w:tcW w:w="0" w:type="auto"/>
            <w:tcBorders>
              <w:bottom w:val="single" w:sz="4" w:space="0" w:color="auto"/>
            </w:tcBorders>
            <w:shd w:val="clear" w:color="auto" w:fill="C6D9F1" w:themeFill="text2" w:themeFillTint="33"/>
            <w:vAlign w:val="center"/>
          </w:tcPr>
          <w:p w:rsidR="00EC7CF3" w:rsidRPr="009E245C" w:rsidRDefault="00EC7CF3" w:rsidP="0075240C">
            <w:pPr>
              <w:spacing w:after="120"/>
              <w:jc w:val="right"/>
              <w:rPr>
                <w:noProof/>
                <w:sz w:val="20"/>
              </w:rPr>
            </w:pPr>
            <w:r w:rsidRPr="009E245C">
              <w:rPr>
                <w:noProof/>
                <w:sz w:val="20"/>
              </w:rPr>
              <w:t>0.8</w:t>
            </w:r>
          </w:p>
        </w:tc>
        <w:tc>
          <w:tcPr>
            <w:tcW w:w="0" w:type="auto"/>
            <w:tcBorders>
              <w:bottom w:val="single" w:sz="4" w:space="0" w:color="auto"/>
            </w:tcBorders>
            <w:shd w:val="clear" w:color="auto" w:fill="C6D9F1" w:themeFill="text2" w:themeFillTint="33"/>
            <w:vAlign w:val="center"/>
          </w:tcPr>
          <w:p w:rsidR="00EC7CF3" w:rsidRPr="009E245C" w:rsidRDefault="00EC7CF3" w:rsidP="0075240C">
            <w:pPr>
              <w:spacing w:after="120"/>
              <w:jc w:val="right"/>
              <w:rPr>
                <w:noProof/>
                <w:sz w:val="20"/>
              </w:rPr>
            </w:pPr>
            <w:r w:rsidRPr="009E245C">
              <w:rPr>
                <w:noProof/>
                <w:sz w:val="20"/>
              </w:rPr>
              <w:t>1.1</w:t>
            </w:r>
          </w:p>
        </w:tc>
        <w:tc>
          <w:tcPr>
            <w:tcW w:w="0" w:type="auto"/>
            <w:tcBorders>
              <w:bottom w:val="single" w:sz="4" w:space="0" w:color="auto"/>
            </w:tcBorders>
            <w:shd w:val="clear" w:color="auto" w:fill="C6D9F1" w:themeFill="text2" w:themeFillTint="33"/>
            <w:vAlign w:val="center"/>
          </w:tcPr>
          <w:p w:rsidR="00EC7CF3" w:rsidRPr="009E245C" w:rsidRDefault="00EC7CF3" w:rsidP="0075240C">
            <w:pPr>
              <w:spacing w:after="120"/>
              <w:jc w:val="right"/>
              <w:rPr>
                <w:noProof/>
                <w:sz w:val="20"/>
              </w:rPr>
            </w:pPr>
            <w:r w:rsidRPr="009E245C">
              <w:rPr>
                <w:noProof/>
                <w:sz w:val="20"/>
              </w:rPr>
              <w:t>6.5</w:t>
            </w:r>
          </w:p>
        </w:tc>
      </w:tr>
      <w:tr w:rsidR="009E245C" w:rsidTr="0075240C">
        <w:trPr>
          <w:jc w:val="center"/>
        </w:trPr>
        <w:tc>
          <w:tcPr>
            <w:tcW w:w="2295" w:type="dxa"/>
            <w:vMerge w:val="restart"/>
            <w:shd w:val="clear" w:color="auto" w:fill="D6E3BC" w:themeFill="accent3" w:themeFillTint="66"/>
            <w:vAlign w:val="center"/>
          </w:tcPr>
          <w:p w:rsidR="00EC7CF3" w:rsidRPr="00EC7CF3" w:rsidRDefault="00EC7CF3" w:rsidP="009E245C">
            <w:pPr>
              <w:spacing w:after="120"/>
              <w:jc w:val="center"/>
              <w:rPr>
                <w:noProof/>
                <w:sz w:val="20"/>
              </w:rPr>
            </w:pPr>
            <w:r w:rsidRPr="00EC7CF3">
              <w:rPr>
                <w:noProof/>
                <w:sz w:val="20"/>
              </w:rPr>
              <w:t>Los Angeles (3/2012)</w:t>
            </w:r>
          </w:p>
        </w:tc>
        <w:tc>
          <w:tcPr>
            <w:tcW w:w="0" w:type="auto"/>
            <w:shd w:val="clear" w:color="auto" w:fill="D6E3BC" w:themeFill="accent3" w:themeFillTint="66"/>
          </w:tcPr>
          <w:p w:rsidR="00EC7CF3" w:rsidRPr="00EC7CF3" w:rsidRDefault="00EC7CF3" w:rsidP="00EC7CF3">
            <w:pPr>
              <w:spacing w:after="120"/>
              <w:rPr>
                <w:noProof/>
                <w:sz w:val="20"/>
              </w:rPr>
            </w:pPr>
            <w:r w:rsidRPr="00EC7CF3">
              <w:rPr>
                <w:noProof/>
                <w:sz w:val="20"/>
              </w:rPr>
              <w:t>Down (Mbps)</w:t>
            </w:r>
          </w:p>
        </w:tc>
        <w:tc>
          <w:tcPr>
            <w:tcW w:w="0" w:type="auto"/>
            <w:shd w:val="clear" w:color="auto" w:fill="D6E3BC" w:themeFill="accent3" w:themeFillTint="66"/>
            <w:vAlign w:val="center"/>
          </w:tcPr>
          <w:p w:rsidR="00EC7CF3" w:rsidRPr="009E245C" w:rsidRDefault="00EC7CF3" w:rsidP="0075240C">
            <w:pPr>
              <w:spacing w:after="120"/>
              <w:jc w:val="right"/>
              <w:rPr>
                <w:noProof/>
                <w:sz w:val="20"/>
              </w:rPr>
            </w:pPr>
            <w:r w:rsidRPr="009E245C">
              <w:rPr>
                <w:noProof/>
                <w:sz w:val="20"/>
              </w:rPr>
              <w:t>5.9</w:t>
            </w:r>
          </w:p>
        </w:tc>
        <w:tc>
          <w:tcPr>
            <w:tcW w:w="0" w:type="auto"/>
            <w:shd w:val="clear" w:color="auto" w:fill="D6E3BC" w:themeFill="accent3" w:themeFillTint="66"/>
            <w:vAlign w:val="center"/>
          </w:tcPr>
          <w:p w:rsidR="00EC7CF3" w:rsidRPr="009E245C" w:rsidRDefault="00EC7CF3" w:rsidP="0075240C">
            <w:pPr>
              <w:spacing w:after="120"/>
              <w:jc w:val="right"/>
              <w:rPr>
                <w:noProof/>
                <w:sz w:val="20"/>
              </w:rPr>
            </w:pPr>
            <w:r w:rsidRPr="009E245C">
              <w:rPr>
                <w:noProof/>
                <w:sz w:val="20"/>
              </w:rPr>
              <w:t>2.6</w:t>
            </w:r>
          </w:p>
        </w:tc>
        <w:tc>
          <w:tcPr>
            <w:tcW w:w="0" w:type="auto"/>
            <w:shd w:val="clear" w:color="auto" w:fill="D6E3BC" w:themeFill="accent3" w:themeFillTint="66"/>
            <w:vAlign w:val="center"/>
          </w:tcPr>
          <w:p w:rsidR="00EC7CF3" w:rsidRPr="009E245C" w:rsidRDefault="00EC7CF3" w:rsidP="0075240C">
            <w:pPr>
              <w:spacing w:after="120"/>
              <w:jc w:val="right"/>
              <w:rPr>
                <w:noProof/>
                <w:sz w:val="20"/>
              </w:rPr>
            </w:pPr>
            <w:r w:rsidRPr="009E245C">
              <w:rPr>
                <w:noProof/>
                <w:sz w:val="20"/>
              </w:rPr>
              <w:t>6.2</w:t>
            </w:r>
          </w:p>
        </w:tc>
        <w:tc>
          <w:tcPr>
            <w:tcW w:w="0" w:type="auto"/>
            <w:shd w:val="clear" w:color="auto" w:fill="D6E3BC" w:themeFill="accent3" w:themeFillTint="66"/>
            <w:vAlign w:val="center"/>
          </w:tcPr>
          <w:p w:rsidR="00EC7CF3" w:rsidRPr="009E245C" w:rsidRDefault="00EC7CF3" w:rsidP="0075240C">
            <w:pPr>
              <w:spacing w:after="120"/>
              <w:jc w:val="right"/>
              <w:rPr>
                <w:noProof/>
                <w:sz w:val="20"/>
              </w:rPr>
            </w:pPr>
            <w:r w:rsidRPr="009E245C">
              <w:rPr>
                <w:noProof/>
                <w:sz w:val="20"/>
              </w:rPr>
              <w:t>16.3</w:t>
            </w:r>
          </w:p>
        </w:tc>
      </w:tr>
      <w:tr w:rsidR="009E245C" w:rsidTr="0075240C">
        <w:trPr>
          <w:jc w:val="center"/>
        </w:trPr>
        <w:tc>
          <w:tcPr>
            <w:tcW w:w="2295" w:type="dxa"/>
            <w:vMerge/>
            <w:shd w:val="clear" w:color="auto" w:fill="D6E3BC" w:themeFill="accent3" w:themeFillTint="66"/>
            <w:vAlign w:val="center"/>
          </w:tcPr>
          <w:p w:rsidR="00EC7CF3" w:rsidRPr="00EC7CF3" w:rsidRDefault="00EC7CF3" w:rsidP="009E245C">
            <w:pPr>
              <w:spacing w:after="120"/>
              <w:jc w:val="center"/>
              <w:rPr>
                <w:noProof/>
                <w:sz w:val="20"/>
              </w:rPr>
            </w:pPr>
          </w:p>
        </w:tc>
        <w:tc>
          <w:tcPr>
            <w:tcW w:w="0" w:type="auto"/>
            <w:shd w:val="clear" w:color="auto" w:fill="D6E3BC" w:themeFill="accent3" w:themeFillTint="66"/>
          </w:tcPr>
          <w:p w:rsidR="00EC7CF3" w:rsidRPr="00EC7CF3" w:rsidRDefault="00EC7CF3" w:rsidP="00EC7CF3">
            <w:pPr>
              <w:spacing w:after="120"/>
              <w:rPr>
                <w:noProof/>
                <w:sz w:val="20"/>
              </w:rPr>
            </w:pPr>
            <w:r w:rsidRPr="00EC7CF3">
              <w:rPr>
                <w:noProof/>
                <w:sz w:val="20"/>
              </w:rPr>
              <w:t>Up (Mbps)</w:t>
            </w:r>
          </w:p>
        </w:tc>
        <w:tc>
          <w:tcPr>
            <w:tcW w:w="0" w:type="auto"/>
            <w:shd w:val="clear" w:color="auto" w:fill="D6E3BC" w:themeFill="accent3" w:themeFillTint="66"/>
            <w:vAlign w:val="center"/>
          </w:tcPr>
          <w:p w:rsidR="00EC7CF3" w:rsidRPr="009E245C" w:rsidRDefault="00EC7CF3" w:rsidP="0075240C">
            <w:pPr>
              <w:spacing w:after="120"/>
              <w:jc w:val="right"/>
              <w:rPr>
                <w:noProof/>
                <w:sz w:val="20"/>
              </w:rPr>
            </w:pPr>
            <w:r w:rsidRPr="009E245C">
              <w:rPr>
                <w:noProof/>
                <w:sz w:val="20"/>
              </w:rPr>
              <w:t>2.5</w:t>
            </w:r>
          </w:p>
        </w:tc>
        <w:tc>
          <w:tcPr>
            <w:tcW w:w="0" w:type="auto"/>
            <w:shd w:val="clear" w:color="auto" w:fill="D6E3BC" w:themeFill="accent3" w:themeFillTint="66"/>
            <w:vAlign w:val="center"/>
          </w:tcPr>
          <w:p w:rsidR="00EC7CF3" w:rsidRPr="009E245C" w:rsidRDefault="00EC7CF3" w:rsidP="0075240C">
            <w:pPr>
              <w:spacing w:after="120"/>
              <w:jc w:val="right"/>
              <w:rPr>
                <w:noProof/>
                <w:sz w:val="20"/>
              </w:rPr>
            </w:pPr>
            <w:r w:rsidRPr="009E245C">
              <w:rPr>
                <w:noProof/>
                <w:sz w:val="20"/>
              </w:rPr>
              <w:t>0.9</w:t>
            </w:r>
          </w:p>
        </w:tc>
        <w:tc>
          <w:tcPr>
            <w:tcW w:w="0" w:type="auto"/>
            <w:shd w:val="clear" w:color="auto" w:fill="D6E3BC" w:themeFill="accent3" w:themeFillTint="66"/>
            <w:vAlign w:val="center"/>
          </w:tcPr>
          <w:p w:rsidR="00EC7CF3" w:rsidRPr="009E245C" w:rsidRDefault="00EC7CF3" w:rsidP="0075240C">
            <w:pPr>
              <w:spacing w:after="120"/>
              <w:jc w:val="right"/>
              <w:rPr>
                <w:noProof/>
                <w:sz w:val="20"/>
              </w:rPr>
            </w:pPr>
            <w:r w:rsidRPr="009E245C">
              <w:rPr>
                <w:noProof/>
                <w:sz w:val="20"/>
              </w:rPr>
              <w:t>1.2</w:t>
            </w:r>
          </w:p>
        </w:tc>
        <w:tc>
          <w:tcPr>
            <w:tcW w:w="0" w:type="auto"/>
            <w:shd w:val="clear" w:color="auto" w:fill="D6E3BC" w:themeFill="accent3" w:themeFillTint="66"/>
            <w:vAlign w:val="center"/>
          </w:tcPr>
          <w:p w:rsidR="00EC7CF3" w:rsidRPr="009E245C" w:rsidRDefault="00EC7CF3" w:rsidP="0075240C">
            <w:pPr>
              <w:spacing w:after="120"/>
              <w:jc w:val="right"/>
              <w:rPr>
                <w:noProof/>
                <w:sz w:val="20"/>
              </w:rPr>
            </w:pPr>
            <w:r w:rsidRPr="009E245C">
              <w:rPr>
                <w:noProof/>
                <w:sz w:val="20"/>
              </w:rPr>
              <w:t>8.2</w:t>
            </w:r>
          </w:p>
        </w:tc>
      </w:tr>
      <w:tr w:rsidR="0061736E" w:rsidTr="0075240C">
        <w:trPr>
          <w:jc w:val="center"/>
        </w:trPr>
        <w:tc>
          <w:tcPr>
            <w:tcW w:w="2295" w:type="dxa"/>
            <w:vMerge w:val="restart"/>
            <w:shd w:val="clear" w:color="auto" w:fill="C6D9F1" w:themeFill="text2" w:themeFillTint="33"/>
            <w:vAlign w:val="center"/>
          </w:tcPr>
          <w:p w:rsidR="00EC7CF3" w:rsidRPr="00EC7CF3" w:rsidRDefault="00EC7CF3" w:rsidP="009E245C">
            <w:pPr>
              <w:spacing w:after="120"/>
              <w:jc w:val="center"/>
              <w:rPr>
                <w:noProof/>
                <w:sz w:val="20"/>
              </w:rPr>
            </w:pPr>
            <w:r w:rsidRPr="00EC7CF3">
              <w:rPr>
                <w:noProof/>
                <w:sz w:val="20"/>
              </w:rPr>
              <w:t>New York City (5/2012)</w:t>
            </w:r>
          </w:p>
        </w:tc>
        <w:tc>
          <w:tcPr>
            <w:tcW w:w="0" w:type="auto"/>
            <w:shd w:val="clear" w:color="auto" w:fill="C6D9F1" w:themeFill="text2" w:themeFillTint="33"/>
          </w:tcPr>
          <w:p w:rsidR="00EC7CF3" w:rsidRPr="00EC7CF3" w:rsidRDefault="00EC7CF3" w:rsidP="00EC7CF3">
            <w:pPr>
              <w:spacing w:after="120"/>
              <w:rPr>
                <w:noProof/>
                <w:sz w:val="20"/>
              </w:rPr>
            </w:pPr>
            <w:r w:rsidRPr="00EC7CF3">
              <w:rPr>
                <w:noProof/>
                <w:sz w:val="20"/>
              </w:rPr>
              <w:t>Down (Mbps)</w:t>
            </w:r>
          </w:p>
        </w:tc>
        <w:tc>
          <w:tcPr>
            <w:tcW w:w="0" w:type="auto"/>
            <w:shd w:val="clear" w:color="auto" w:fill="C6D9F1" w:themeFill="text2" w:themeFillTint="33"/>
            <w:vAlign w:val="center"/>
          </w:tcPr>
          <w:p w:rsidR="00EC7CF3" w:rsidRPr="009E245C" w:rsidRDefault="00EC7CF3" w:rsidP="0075240C">
            <w:pPr>
              <w:spacing w:after="120"/>
              <w:jc w:val="right"/>
              <w:rPr>
                <w:noProof/>
                <w:sz w:val="20"/>
              </w:rPr>
            </w:pPr>
            <w:r w:rsidRPr="009E245C">
              <w:rPr>
                <w:noProof/>
                <w:sz w:val="20"/>
              </w:rPr>
              <w:t>6.6</w:t>
            </w:r>
          </w:p>
        </w:tc>
        <w:tc>
          <w:tcPr>
            <w:tcW w:w="0" w:type="auto"/>
            <w:shd w:val="clear" w:color="auto" w:fill="C6D9F1" w:themeFill="text2" w:themeFillTint="33"/>
            <w:vAlign w:val="center"/>
          </w:tcPr>
          <w:p w:rsidR="00EC7CF3" w:rsidRPr="009E245C" w:rsidRDefault="00EC7CF3" w:rsidP="0075240C">
            <w:pPr>
              <w:spacing w:after="120"/>
              <w:jc w:val="right"/>
              <w:rPr>
                <w:noProof/>
                <w:sz w:val="20"/>
              </w:rPr>
            </w:pPr>
            <w:r w:rsidRPr="009E245C">
              <w:rPr>
                <w:noProof/>
                <w:sz w:val="20"/>
              </w:rPr>
              <w:t>1.6</w:t>
            </w:r>
          </w:p>
        </w:tc>
        <w:tc>
          <w:tcPr>
            <w:tcW w:w="0" w:type="auto"/>
            <w:shd w:val="clear" w:color="auto" w:fill="C6D9F1" w:themeFill="text2" w:themeFillTint="33"/>
            <w:vAlign w:val="center"/>
          </w:tcPr>
          <w:p w:rsidR="00EC7CF3" w:rsidRPr="009E245C" w:rsidRDefault="00EC7CF3" w:rsidP="0075240C">
            <w:pPr>
              <w:spacing w:after="120"/>
              <w:jc w:val="right"/>
              <w:rPr>
                <w:noProof/>
                <w:sz w:val="20"/>
              </w:rPr>
            </w:pPr>
            <w:r w:rsidRPr="009E245C">
              <w:rPr>
                <w:noProof/>
                <w:sz w:val="20"/>
              </w:rPr>
              <w:t>6.2</w:t>
            </w:r>
          </w:p>
        </w:tc>
        <w:tc>
          <w:tcPr>
            <w:tcW w:w="0" w:type="auto"/>
            <w:shd w:val="clear" w:color="auto" w:fill="C6D9F1" w:themeFill="text2" w:themeFillTint="33"/>
            <w:vAlign w:val="center"/>
          </w:tcPr>
          <w:p w:rsidR="00EC7CF3" w:rsidRPr="009E245C" w:rsidRDefault="00EC7CF3" w:rsidP="0075240C">
            <w:pPr>
              <w:spacing w:after="120"/>
              <w:jc w:val="right"/>
              <w:rPr>
                <w:noProof/>
                <w:sz w:val="20"/>
              </w:rPr>
            </w:pPr>
            <w:r w:rsidRPr="009E245C">
              <w:rPr>
                <w:noProof/>
                <w:sz w:val="20"/>
              </w:rPr>
              <w:t>12.3</w:t>
            </w:r>
          </w:p>
        </w:tc>
      </w:tr>
      <w:tr w:rsidR="009E245C" w:rsidTr="0075240C">
        <w:trPr>
          <w:jc w:val="center"/>
        </w:trPr>
        <w:tc>
          <w:tcPr>
            <w:tcW w:w="2295" w:type="dxa"/>
            <w:vMerge/>
            <w:tcBorders>
              <w:bottom w:val="single" w:sz="4" w:space="0" w:color="auto"/>
            </w:tcBorders>
            <w:shd w:val="clear" w:color="auto" w:fill="C6D9F1" w:themeFill="text2" w:themeFillTint="33"/>
            <w:vAlign w:val="center"/>
          </w:tcPr>
          <w:p w:rsidR="00EC7CF3" w:rsidRPr="00EC7CF3" w:rsidRDefault="00EC7CF3" w:rsidP="009E245C">
            <w:pPr>
              <w:spacing w:after="120"/>
              <w:jc w:val="center"/>
              <w:rPr>
                <w:noProof/>
                <w:sz w:val="20"/>
              </w:rPr>
            </w:pPr>
          </w:p>
        </w:tc>
        <w:tc>
          <w:tcPr>
            <w:tcW w:w="0" w:type="auto"/>
            <w:tcBorders>
              <w:bottom w:val="single" w:sz="4" w:space="0" w:color="auto"/>
            </w:tcBorders>
            <w:shd w:val="clear" w:color="auto" w:fill="C6D9F1" w:themeFill="text2" w:themeFillTint="33"/>
          </w:tcPr>
          <w:p w:rsidR="00EC7CF3" w:rsidRPr="00EC7CF3" w:rsidRDefault="00EC7CF3" w:rsidP="00EC7CF3">
            <w:pPr>
              <w:spacing w:after="120"/>
              <w:rPr>
                <w:noProof/>
                <w:sz w:val="20"/>
              </w:rPr>
            </w:pPr>
            <w:r w:rsidRPr="00EC7CF3">
              <w:rPr>
                <w:noProof/>
                <w:sz w:val="20"/>
              </w:rPr>
              <w:t>Up (Mbps)</w:t>
            </w:r>
          </w:p>
        </w:tc>
        <w:tc>
          <w:tcPr>
            <w:tcW w:w="0" w:type="auto"/>
            <w:tcBorders>
              <w:bottom w:val="single" w:sz="4" w:space="0" w:color="auto"/>
            </w:tcBorders>
            <w:shd w:val="clear" w:color="auto" w:fill="C6D9F1" w:themeFill="text2" w:themeFillTint="33"/>
            <w:vAlign w:val="center"/>
          </w:tcPr>
          <w:p w:rsidR="00EC7CF3" w:rsidRPr="009E245C" w:rsidRDefault="00EC7CF3" w:rsidP="0075240C">
            <w:pPr>
              <w:spacing w:after="120"/>
              <w:jc w:val="right"/>
              <w:rPr>
                <w:noProof/>
                <w:sz w:val="20"/>
              </w:rPr>
            </w:pPr>
            <w:r w:rsidRPr="009E245C">
              <w:rPr>
                <w:noProof/>
                <w:sz w:val="20"/>
              </w:rPr>
              <w:t>2.5</w:t>
            </w:r>
          </w:p>
        </w:tc>
        <w:tc>
          <w:tcPr>
            <w:tcW w:w="0" w:type="auto"/>
            <w:tcBorders>
              <w:bottom w:val="single" w:sz="4" w:space="0" w:color="auto"/>
            </w:tcBorders>
            <w:shd w:val="clear" w:color="auto" w:fill="C6D9F1" w:themeFill="text2" w:themeFillTint="33"/>
            <w:vAlign w:val="center"/>
          </w:tcPr>
          <w:p w:rsidR="00EC7CF3" w:rsidRPr="009E245C" w:rsidRDefault="00EC7CF3" w:rsidP="0075240C">
            <w:pPr>
              <w:spacing w:after="120"/>
              <w:jc w:val="right"/>
              <w:rPr>
                <w:noProof/>
                <w:sz w:val="20"/>
              </w:rPr>
            </w:pPr>
            <w:r w:rsidRPr="009E245C">
              <w:rPr>
                <w:noProof/>
                <w:sz w:val="20"/>
              </w:rPr>
              <w:t>0.6</w:t>
            </w:r>
          </w:p>
        </w:tc>
        <w:tc>
          <w:tcPr>
            <w:tcW w:w="0" w:type="auto"/>
            <w:tcBorders>
              <w:bottom w:val="single" w:sz="4" w:space="0" w:color="auto"/>
            </w:tcBorders>
            <w:shd w:val="clear" w:color="auto" w:fill="C6D9F1" w:themeFill="text2" w:themeFillTint="33"/>
            <w:vAlign w:val="center"/>
          </w:tcPr>
          <w:p w:rsidR="00EC7CF3" w:rsidRPr="009E245C" w:rsidRDefault="00EC7CF3" w:rsidP="0075240C">
            <w:pPr>
              <w:spacing w:after="120"/>
              <w:jc w:val="right"/>
              <w:rPr>
                <w:noProof/>
                <w:sz w:val="20"/>
              </w:rPr>
            </w:pPr>
            <w:r w:rsidRPr="009E245C">
              <w:rPr>
                <w:noProof/>
                <w:sz w:val="20"/>
              </w:rPr>
              <w:t>1.1</w:t>
            </w:r>
          </w:p>
        </w:tc>
        <w:tc>
          <w:tcPr>
            <w:tcW w:w="0" w:type="auto"/>
            <w:tcBorders>
              <w:bottom w:val="single" w:sz="4" w:space="0" w:color="auto"/>
            </w:tcBorders>
            <w:shd w:val="clear" w:color="auto" w:fill="C6D9F1" w:themeFill="text2" w:themeFillTint="33"/>
            <w:vAlign w:val="center"/>
          </w:tcPr>
          <w:p w:rsidR="00EC7CF3" w:rsidRPr="009E245C" w:rsidRDefault="00EC7CF3" w:rsidP="0075240C">
            <w:pPr>
              <w:spacing w:after="120"/>
              <w:jc w:val="right"/>
              <w:rPr>
                <w:noProof/>
                <w:sz w:val="20"/>
              </w:rPr>
            </w:pPr>
            <w:r w:rsidRPr="009E245C">
              <w:rPr>
                <w:noProof/>
                <w:sz w:val="20"/>
              </w:rPr>
              <w:t>6.2</w:t>
            </w:r>
          </w:p>
        </w:tc>
      </w:tr>
      <w:tr w:rsidR="009E245C" w:rsidTr="0075240C">
        <w:trPr>
          <w:jc w:val="center"/>
        </w:trPr>
        <w:tc>
          <w:tcPr>
            <w:tcW w:w="2295" w:type="dxa"/>
            <w:vMerge w:val="restart"/>
            <w:shd w:val="clear" w:color="auto" w:fill="D6E3BC" w:themeFill="accent3" w:themeFillTint="66"/>
            <w:vAlign w:val="center"/>
          </w:tcPr>
          <w:p w:rsidR="00EC7CF3" w:rsidRPr="00EC7CF3" w:rsidRDefault="00EC7CF3" w:rsidP="009E245C">
            <w:pPr>
              <w:spacing w:after="120"/>
              <w:jc w:val="center"/>
              <w:rPr>
                <w:noProof/>
                <w:sz w:val="20"/>
              </w:rPr>
            </w:pPr>
            <w:r w:rsidRPr="00EC7CF3">
              <w:rPr>
                <w:noProof/>
                <w:sz w:val="20"/>
              </w:rPr>
              <w:t>San Francisco (3/2012)</w:t>
            </w:r>
          </w:p>
        </w:tc>
        <w:tc>
          <w:tcPr>
            <w:tcW w:w="0" w:type="auto"/>
            <w:shd w:val="clear" w:color="auto" w:fill="D6E3BC" w:themeFill="accent3" w:themeFillTint="66"/>
          </w:tcPr>
          <w:p w:rsidR="00EC7CF3" w:rsidRPr="00EC7CF3" w:rsidRDefault="00EC7CF3" w:rsidP="00EC7CF3">
            <w:pPr>
              <w:spacing w:after="120"/>
              <w:rPr>
                <w:noProof/>
                <w:sz w:val="20"/>
              </w:rPr>
            </w:pPr>
            <w:r w:rsidRPr="00EC7CF3">
              <w:rPr>
                <w:noProof/>
                <w:sz w:val="20"/>
              </w:rPr>
              <w:t>Down (Mbps)</w:t>
            </w:r>
          </w:p>
        </w:tc>
        <w:tc>
          <w:tcPr>
            <w:tcW w:w="0" w:type="auto"/>
            <w:shd w:val="clear" w:color="auto" w:fill="D6E3BC" w:themeFill="accent3" w:themeFillTint="66"/>
            <w:vAlign w:val="center"/>
          </w:tcPr>
          <w:p w:rsidR="00EC7CF3" w:rsidRPr="009E245C" w:rsidRDefault="00EC7CF3" w:rsidP="0075240C">
            <w:pPr>
              <w:spacing w:after="120"/>
              <w:jc w:val="right"/>
              <w:rPr>
                <w:noProof/>
                <w:sz w:val="20"/>
              </w:rPr>
            </w:pPr>
            <w:r w:rsidRPr="009E245C">
              <w:rPr>
                <w:noProof/>
                <w:sz w:val="20"/>
              </w:rPr>
              <w:t>15.8</w:t>
            </w:r>
          </w:p>
        </w:tc>
        <w:tc>
          <w:tcPr>
            <w:tcW w:w="0" w:type="auto"/>
            <w:shd w:val="clear" w:color="auto" w:fill="D6E3BC" w:themeFill="accent3" w:themeFillTint="66"/>
            <w:vAlign w:val="center"/>
          </w:tcPr>
          <w:p w:rsidR="00EC7CF3" w:rsidRPr="009E245C" w:rsidRDefault="00EC7CF3" w:rsidP="0075240C">
            <w:pPr>
              <w:spacing w:after="120"/>
              <w:jc w:val="right"/>
              <w:rPr>
                <w:noProof/>
                <w:sz w:val="20"/>
              </w:rPr>
            </w:pPr>
            <w:r w:rsidRPr="009E245C">
              <w:rPr>
                <w:noProof/>
                <w:sz w:val="20"/>
              </w:rPr>
              <w:t>1.6</w:t>
            </w:r>
          </w:p>
        </w:tc>
        <w:tc>
          <w:tcPr>
            <w:tcW w:w="0" w:type="auto"/>
            <w:shd w:val="clear" w:color="auto" w:fill="D6E3BC" w:themeFill="accent3" w:themeFillTint="66"/>
            <w:vAlign w:val="center"/>
          </w:tcPr>
          <w:p w:rsidR="00EC7CF3" w:rsidRPr="009E245C" w:rsidRDefault="00EC7CF3" w:rsidP="0075240C">
            <w:pPr>
              <w:spacing w:after="120"/>
              <w:jc w:val="right"/>
              <w:rPr>
                <w:noProof/>
                <w:sz w:val="20"/>
              </w:rPr>
            </w:pPr>
            <w:r w:rsidRPr="009E245C">
              <w:rPr>
                <w:noProof/>
                <w:sz w:val="20"/>
              </w:rPr>
              <w:t>1.9</w:t>
            </w:r>
          </w:p>
        </w:tc>
        <w:tc>
          <w:tcPr>
            <w:tcW w:w="0" w:type="auto"/>
            <w:shd w:val="clear" w:color="auto" w:fill="D6E3BC" w:themeFill="accent3" w:themeFillTint="66"/>
            <w:vAlign w:val="center"/>
          </w:tcPr>
          <w:p w:rsidR="00EC7CF3" w:rsidRPr="009E245C" w:rsidRDefault="00EC7CF3" w:rsidP="0075240C">
            <w:pPr>
              <w:spacing w:after="120"/>
              <w:jc w:val="right"/>
              <w:rPr>
                <w:noProof/>
                <w:sz w:val="20"/>
              </w:rPr>
            </w:pPr>
            <w:r w:rsidRPr="009E245C">
              <w:rPr>
                <w:noProof/>
                <w:sz w:val="20"/>
              </w:rPr>
              <w:t>16.7</w:t>
            </w:r>
          </w:p>
        </w:tc>
      </w:tr>
      <w:tr w:rsidR="009E245C" w:rsidTr="0075240C">
        <w:trPr>
          <w:jc w:val="center"/>
        </w:trPr>
        <w:tc>
          <w:tcPr>
            <w:tcW w:w="2295" w:type="dxa"/>
            <w:vMerge/>
            <w:shd w:val="clear" w:color="auto" w:fill="D6E3BC" w:themeFill="accent3" w:themeFillTint="66"/>
            <w:vAlign w:val="center"/>
          </w:tcPr>
          <w:p w:rsidR="00EC7CF3" w:rsidRPr="00EC7CF3" w:rsidRDefault="00EC7CF3" w:rsidP="009E245C">
            <w:pPr>
              <w:spacing w:after="120"/>
              <w:jc w:val="center"/>
              <w:rPr>
                <w:noProof/>
                <w:sz w:val="20"/>
              </w:rPr>
            </w:pPr>
          </w:p>
        </w:tc>
        <w:tc>
          <w:tcPr>
            <w:tcW w:w="0" w:type="auto"/>
            <w:shd w:val="clear" w:color="auto" w:fill="D6E3BC" w:themeFill="accent3" w:themeFillTint="66"/>
          </w:tcPr>
          <w:p w:rsidR="00EC7CF3" w:rsidRPr="00EC7CF3" w:rsidRDefault="00EC7CF3" w:rsidP="00EC7CF3">
            <w:pPr>
              <w:spacing w:after="120"/>
              <w:rPr>
                <w:noProof/>
                <w:sz w:val="20"/>
              </w:rPr>
            </w:pPr>
            <w:r w:rsidRPr="00EC7CF3">
              <w:rPr>
                <w:noProof/>
                <w:sz w:val="20"/>
              </w:rPr>
              <w:t>Up (Mbps)</w:t>
            </w:r>
          </w:p>
        </w:tc>
        <w:tc>
          <w:tcPr>
            <w:tcW w:w="0" w:type="auto"/>
            <w:shd w:val="clear" w:color="auto" w:fill="D6E3BC" w:themeFill="accent3" w:themeFillTint="66"/>
            <w:vAlign w:val="center"/>
          </w:tcPr>
          <w:p w:rsidR="00EC7CF3" w:rsidRPr="009E245C" w:rsidRDefault="00EC7CF3" w:rsidP="0075240C">
            <w:pPr>
              <w:spacing w:after="120"/>
              <w:jc w:val="right"/>
              <w:rPr>
                <w:noProof/>
                <w:sz w:val="20"/>
              </w:rPr>
            </w:pPr>
            <w:r w:rsidRPr="009E245C">
              <w:rPr>
                <w:noProof/>
                <w:sz w:val="20"/>
              </w:rPr>
              <w:t>8</w:t>
            </w:r>
          </w:p>
        </w:tc>
        <w:tc>
          <w:tcPr>
            <w:tcW w:w="0" w:type="auto"/>
            <w:shd w:val="clear" w:color="auto" w:fill="D6E3BC" w:themeFill="accent3" w:themeFillTint="66"/>
            <w:vAlign w:val="center"/>
          </w:tcPr>
          <w:p w:rsidR="00EC7CF3" w:rsidRPr="009E245C" w:rsidRDefault="00EC7CF3" w:rsidP="0075240C">
            <w:pPr>
              <w:spacing w:after="120"/>
              <w:jc w:val="right"/>
              <w:rPr>
                <w:noProof/>
                <w:sz w:val="20"/>
              </w:rPr>
            </w:pPr>
            <w:r w:rsidRPr="009E245C">
              <w:rPr>
                <w:noProof/>
                <w:sz w:val="20"/>
              </w:rPr>
              <w:t>0.8</w:t>
            </w:r>
          </w:p>
        </w:tc>
        <w:tc>
          <w:tcPr>
            <w:tcW w:w="0" w:type="auto"/>
            <w:shd w:val="clear" w:color="auto" w:fill="D6E3BC" w:themeFill="accent3" w:themeFillTint="66"/>
            <w:vAlign w:val="center"/>
          </w:tcPr>
          <w:p w:rsidR="00EC7CF3" w:rsidRPr="009E245C" w:rsidRDefault="00EC7CF3" w:rsidP="0075240C">
            <w:pPr>
              <w:spacing w:after="120"/>
              <w:jc w:val="right"/>
              <w:rPr>
                <w:noProof/>
                <w:sz w:val="20"/>
              </w:rPr>
            </w:pPr>
            <w:r w:rsidRPr="009E245C">
              <w:rPr>
                <w:noProof/>
                <w:sz w:val="20"/>
              </w:rPr>
              <w:t>0.5</w:t>
            </w:r>
          </w:p>
        </w:tc>
        <w:tc>
          <w:tcPr>
            <w:tcW w:w="0" w:type="auto"/>
            <w:shd w:val="clear" w:color="auto" w:fill="D6E3BC" w:themeFill="accent3" w:themeFillTint="66"/>
            <w:vAlign w:val="center"/>
          </w:tcPr>
          <w:p w:rsidR="00EC7CF3" w:rsidRPr="009E245C" w:rsidRDefault="00EC7CF3" w:rsidP="0075240C">
            <w:pPr>
              <w:spacing w:after="120"/>
              <w:jc w:val="right"/>
              <w:rPr>
                <w:noProof/>
                <w:sz w:val="20"/>
              </w:rPr>
            </w:pPr>
            <w:r w:rsidRPr="009E245C">
              <w:rPr>
                <w:noProof/>
                <w:sz w:val="20"/>
              </w:rPr>
              <w:t>8.5</w:t>
            </w:r>
          </w:p>
        </w:tc>
      </w:tr>
      <w:tr w:rsidR="0061736E" w:rsidTr="0075240C">
        <w:trPr>
          <w:jc w:val="center"/>
        </w:trPr>
        <w:tc>
          <w:tcPr>
            <w:tcW w:w="2295" w:type="dxa"/>
            <w:vMerge w:val="restart"/>
            <w:shd w:val="clear" w:color="auto" w:fill="C6D9F1" w:themeFill="text2" w:themeFillTint="33"/>
            <w:vAlign w:val="center"/>
          </w:tcPr>
          <w:p w:rsidR="00EC7CF3" w:rsidRPr="00EC7CF3" w:rsidRDefault="00EC7CF3" w:rsidP="009E245C">
            <w:pPr>
              <w:spacing w:after="120"/>
              <w:jc w:val="center"/>
              <w:rPr>
                <w:noProof/>
                <w:sz w:val="20"/>
              </w:rPr>
            </w:pPr>
            <w:r w:rsidRPr="00EC7CF3">
              <w:rPr>
                <w:noProof/>
                <w:sz w:val="20"/>
              </w:rPr>
              <w:t>San Diego (1/2012)</w:t>
            </w:r>
          </w:p>
        </w:tc>
        <w:tc>
          <w:tcPr>
            <w:tcW w:w="0" w:type="auto"/>
            <w:shd w:val="clear" w:color="auto" w:fill="C6D9F1" w:themeFill="text2" w:themeFillTint="33"/>
          </w:tcPr>
          <w:p w:rsidR="00EC7CF3" w:rsidRPr="00EC7CF3" w:rsidRDefault="00EC7CF3" w:rsidP="00EC7CF3">
            <w:pPr>
              <w:spacing w:after="120"/>
              <w:rPr>
                <w:noProof/>
                <w:sz w:val="20"/>
              </w:rPr>
            </w:pPr>
            <w:r w:rsidRPr="00EC7CF3">
              <w:rPr>
                <w:noProof/>
                <w:sz w:val="20"/>
              </w:rPr>
              <w:t>Down (Mbps)</w:t>
            </w:r>
          </w:p>
        </w:tc>
        <w:tc>
          <w:tcPr>
            <w:tcW w:w="0" w:type="auto"/>
            <w:shd w:val="clear" w:color="auto" w:fill="C6D9F1" w:themeFill="text2" w:themeFillTint="33"/>
            <w:vAlign w:val="center"/>
          </w:tcPr>
          <w:p w:rsidR="00EC7CF3" w:rsidRPr="009E245C" w:rsidRDefault="00EC7CF3" w:rsidP="0075240C">
            <w:pPr>
              <w:spacing w:after="120"/>
              <w:jc w:val="right"/>
              <w:rPr>
                <w:noProof/>
                <w:sz w:val="20"/>
              </w:rPr>
            </w:pPr>
            <w:r w:rsidRPr="009E245C">
              <w:rPr>
                <w:noProof/>
                <w:sz w:val="20"/>
              </w:rPr>
              <w:t>14.4</w:t>
            </w:r>
          </w:p>
        </w:tc>
        <w:tc>
          <w:tcPr>
            <w:tcW w:w="0" w:type="auto"/>
            <w:shd w:val="clear" w:color="auto" w:fill="C6D9F1" w:themeFill="text2" w:themeFillTint="33"/>
            <w:vAlign w:val="center"/>
          </w:tcPr>
          <w:p w:rsidR="00EC7CF3" w:rsidRPr="009E245C" w:rsidRDefault="00EC7CF3" w:rsidP="0075240C">
            <w:pPr>
              <w:spacing w:after="120"/>
              <w:jc w:val="right"/>
              <w:rPr>
                <w:noProof/>
                <w:sz w:val="20"/>
              </w:rPr>
            </w:pPr>
            <w:r w:rsidRPr="009E245C">
              <w:rPr>
                <w:noProof/>
                <w:sz w:val="20"/>
              </w:rPr>
              <w:t>0.8</w:t>
            </w:r>
          </w:p>
        </w:tc>
        <w:tc>
          <w:tcPr>
            <w:tcW w:w="0" w:type="auto"/>
            <w:shd w:val="clear" w:color="auto" w:fill="C6D9F1" w:themeFill="text2" w:themeFillTint="33"/>
            <w:vAlign w:val="center"/>
          </w:tcPr>
          <w:p w:rsidR="00EC7CF3" w:rsidRPr="009E245C" w:rsidRDefault="00EC7CF3" w:rsidP="0075240C">
            <w:pPr>
              <w:spacing w:after="120"/>
              <w:jc w:val="right"/>
              <w:rPr>
                <w:noProof/>
                <w:sz w:val="20"/>
              </w:rPr>
            </w:pPr>
            <w:r w:rsidRPr="009E245C">
              <w:rPr>
                <w:noProof/>
                <w:sz w:val="20"/>
              </w:rPr>
              <w:t>7.8</w:t>
            </w:r>
          </w:p>
        </w:tc>
        <w:tc>
          <w:tcPr>
            <w:tcW w:w="0" w:type="auto"/>
            <w:shd w:val="clear" w:color="auto" w:fill="C6D9F1" w:themeFill="text2" w:themeFillTint="33"/>
            <w:vAlign w:val="center"/>
          </w:tcPr>
          <w:p w:rsidR="00EC7CF3" w:rsidRPr="009E245C" w:rsidRDefault="00EC7CF3" w:rsidP="0075240C">
            <w:pPr>
              <w:spacing w:after="120"/>
              <w:jc w:val="right"/>
              <w:rPr>
                <w:noProof/>
                <w:sz w:val="20"/>
              </w:rPr>
            </w:pPr>
            <w:r w:rsidRPr="009E245C">
              <w:rPr>
                <w:noProof/>
                <w:sz w:val="20"/>
              </w:rPr>
              <w:t>12.1</w:t>
            </w:r>
          </w:p>
        </w:tc>
      </w:tr>
      <w:tr w:rsidR="0061736E" w:rsidTr="0075240C">
        <w:trPr>
          <w:jc w:val="center"/>
        </w:trPr>
        <w:tc>
          <w:tcPr>
            <w:tcW w:w="2295" w:type="dxa"/>
            <w:vMerge/>
            <w:shd w:val="clear" w:color="auto" w:fill="C6D9F1" w:themeFill="text2" w:themeFillTint="33"/>
          </w:tcPr>
          <w:p w:rsidR="00EC7CF3" w:rsidRDefault="00EC7CF3" w:rsidP="00CE5850">
            <w:pPr>
              <w:spacing w:after="120"/>
              <w:jc w:val="center"/>
              <w:rPr>
                <w:b/>
                <w:noProof/>
                <w:sz w:val="20"/>
              </w:rPr>
            </w:pPr>
          </w:p>
        </w:tc>
        <w:tc>
          <w:tcPr>
            <w:tcW w:w="0" w:type="auto"/>
            <w:shd w:val="clear" w:color="auto" w:fill="C6D9F1" w:themeFill="text2" w:themeFillTint="33"/>
          </w:tcPr>
          <w:p w:rsidR="00EC7CF3" w:rsidRPr="00EC7CF3" w:rsidRDefault="00EC7CF3" w:rsidP="00EC7CF3">
            <w:pPr>
              <w:spacing w:after="120"/>
              <w:rPr>
                <w:noProof/>
                <w:sz w:val="20"/>
              </w:rPr>
            </w:pPr>
            <w:r w:rsidRPr="00EC7CF3">
              <w:rPr>
                <w:noProof/>
                <w:sz w:val="20"/>
              </w:rPr>
              <w:t>Up (Mbps)</w:t>
            </w:r>
          </w:p>
        </w:tc>
        <w:tc>
          <w:tcPr>
            <w:tcW w:w="0" w:type="auto"/>
            <w:shd w:val="clear" w:color="auto" w:fill="C6D9F1" w:themeFill="text2" w:themeFillTint="33"/>
            <w:vAlign w:val="center"/>
          </w:tcPr>
          <w:p w:rsidR="00EC7CF3" w:rsidRPr="009E245C" w:rsidRDefault="00EC7CF3" w:rsidP="0075240C">
            <w:pPr>
              <w:spacing w:after="120"/>
              <w:jc w:val="right"/>
              <w:rPr>
                <w:noProof/>
                <w:sz w:val="20"/>
              </w:rPr>
            </w:pPr>
            <w:r w:rsidRPr="009E245C">
              <w:rPr>
                <w:noProof/>
                <w:sz w:val="20"/>
              </w:rPr>
              <w:t>6.5</w:t>
            </w:r>
          </w:p>
        </w:tc>
        <w:tc>
          <w:tcPr>
            <w:tcW w:w="0" w:type="auto"/>
            <w:shd w:val="clear" w:color="auto" w:fill="C6D9F1" w:themeFill="text2" w:themeFillTint="33"/>
            <w:vAlign w:val="center"/>
          </w:tcPr>
          <w:p w:rsidR="00EC7CF3" w:rsidRPr="009E245C" w:rsidRDefault="00EC7CF3" w:rsidP="0075240C">
            <w:pPr>
              <w:spacing w:after="120"/>
              <w:jc w:val="right"/>
              <w:rPr>
                <w:noProof/>
                <w:sz w:val="20"/>
              </w:rPr>
            </w:pPr>
            <w:r w:rsidRPr="009E245C">
              <w:rPr>
                <w:noProof/>
                <w:sz w:val="20"/>
              </w:rPr>
              <w:t>0.6</w:t>
            </w:r>
          </w:p>
        </w:tc>
        <w:tc>
          <w:tcPr>
            <w:tcW w:w="0" w:type="auto"/>
            <w:shd w:val="clear" w:color="auto" w:fill="C6D9F1" w:themeFill="text2" w:themeFillTint="33"/>
            <w:vAlign w:val="center"/>
          </w:tcPr>
          <w:p w:rsidR="00EC7CF3" w:rsidRPr="009E245C" w:rsidRDefault="00EC7CF3" w:rsidP="0075240C">
            <w:pPr>
              <w:spacing w:after="120"/>
              <w:jc w:val="right"/>
              <w:rPr>
                <w:noProof/>
                <w:sz w:val="20"/>
              </w:rPr>
            </w:pPr>
            <w:r w:rsidRPr="009E245C">
              <w:rPr>
                <w:noProof/>
                <w:sz w:val="20"/>
              </w:rPr>
              <w:t>1.3</w:t>
            </w:r>
          </w:p>
        </w:tc>
        <w:tc>
          <w:tcPr>
            <w:tcW w:w="0" w:type="auto"/>
            <w:shd w:val="clear" w:color="auto" w:fill="C6D9F1" w:themeFill="text2" w:themeFillTint="33"/>
            <w:vAlign w:val="center"/>
          </w:tcPr>
          <w:p w:rsidR="00EC7CF3" w:rsidRPr="009E245C" w:rsidRDefault="00EC7CF3" w:rsidP="0075240C">
            <w:pPr>
              <w:spacing w:after="120"/>
              <w:jc w:val="right"/>
              <w:rPr>
                <w:noProof/>
                <w:sz w:val="20"/>
              </w:rPr>
            </w:pPr>
            <w:r w:rsidRPr="009E245C">
              <w:rPr>
                <w:noProof/>
                <w:sz w:val="20"/>
              </w:rPr>
              <w:t>5.5</w:t>
            </w:r>
          </w:p>
        </w:tc>
      </w:tr>
    </w:tbl>
    <w:p w:rsidR="00EC7CF3" w:rsidRPr="00C81B24" w:rsidRDefault="00EC7CF3" w:rsidP="00CE5850">
      <w:pPr>
        <w:spacing w:after="120"/>
        <w:jc w:val="center"/>
        <w:rPr>
          <w:b/>
          <w:noProof/>
          <w:sz w:val="20"/>
        </w:rPr>
      </w:pPr>
    </w:p>
    <w:p w:rsidR="00C81B24" w:rsidRPr="00C81B24" w:rsidRDefault="00C81B24" w:rsidP="00CE5850">
      <w:pPr>
        <w:rPr>
          <w:sz w:val="20"/>
        </w:rPr>
      </w:pPr>
    </w:p>
    <w:p w:rsidR="00C81B24" w:rsidRPr="00C81B24" w:rsidRDefault="00C81B24" w:rsidP="00CE5850">
      <w:pPr>
        <w:spacing w:after="120"/>
        <w:rPr>
          <w:sz w:val="20"/>
        </w:rPr>
      </w:pPr>
      <w:r w:rsidRPr="00C81B24">
        <w:rPr>
          <w:sz w:val="20"/>
        </w:rPr>
        <w:t xml:space="preserve">Notes:  RootMetrics, a mobile wireless network performance testing company, enables consumers to interactively check for mobile wireless service coverage, to report their mobile wireless data speeds, and to compare the quality of different mobile wireless networks.  It offers a free smartphone broadband data speed testing application, </w:t>
      </w:r>
      <w:r w:rsidRPr="00C81B24">
        <w:rPr>
          <w:i/>
          <w:sz w:val="20"/>
        </w:rPr>
        <w:t>Cell Phone Coverage Map</w:t>
      </w:r>
      <w:r w:rsidRPr="00C81B24">
        <w:rPr>
          <w:sz w:val="20"/>
        </w:rPr>
        <w:t>, for both the Apple’s iOS and the Google Android operating systems to test users’ data speeds at their locations and report their performance data to RootMetrics.</w:t>
      </w:r>
      <w:r w:rsidRPr="00C81B24">
        <w:rPr>
          <w:sz w:val="20"/>
          <w:vertAlign w:val="superscript"/>
        </w:rPr>
        <w:footnoteReference w:id="1354"/>
      </w:r>
      <w:r w:rsidRPr="00C81B24">
        <w:rPr>
          <w:sz w:val="20"/>
        </w:rPr>
        <w:t xml:space="preserve">  RootMetrics also conducts drive tests of mobile wireless networks performance around the country; the drive test results are combined with the crowd-sourcing test results to create its proprietary wireless coverage and network performance scores. </w:t>
      </w:r>
      <w:r w:rsidRPr="00C81B24">
        <w:rPr>
          <w:sz w:val="20"/>
          <w:vertAlign w:val="superscript"/>
        </w:rPr>
        <w:footnoteReference w:id="1355"/>
      </w:r>
      <w:r w:rsidRPr="00C81B24">
        <w:rPr>
          <w:sz w:val="20"/>
        </w:rPr>
        <w:t xml:space="preserve"> It also provides mobile wireless network performance comparison RootScore reports for some major US cities that compare and rank network data speeds, dropped calls, blocked calls, and text messages delivery speeds.</w:t>
      </w:r>
      <w:r w:rsidRPr="00C81B24">
        <w:rPr>
          <w:sz w:val="20"/>
          <w:vertAlign w:val="superscript"/>
        </w:rPr>
        <w:footnoteReference w:id="1356"/>
      </w:r>
    </w:p>
    <w:p w:rsidR="00C81B24" w:rsidRPr="00C81B24" w:rsidRDefault="00C81B24" w:rsidP="00CE5850">
      <w:pPr>
        <w:spacing w:after="120"/>
        <w:rPr>
          <w:sz w:val="20"/>
        </w:rPr>
      </w:pPr>
    </w:p>
    <w:p w:rsidR="00C81B24" w:rsidRPr="00C81B24" w:rsidRDefault="00C81B24" w:rsidP="00CE5850">
      <w:pPr>
        <w:spacing w:after="120"/>
        <w:rPr>
          <w:sz w:val="20"/>
        </w:rPr>
      </w:pPr>
    </w:p>
    <w:p w:rsidR="00C81B24" w:rsidRPr="00C81B24" w:rsidRDefault="00C81B24" w:rsidP="00CE5850">
      <w:pPr>
        <w:spacing w:after="120"/>
        <w:rPr>
          <w:sz w:val="20"/>
        </w:rPr>
      </w:pPr>
    </w:p>
    <w:p w:rsidR="00C81B24" w:rsidRPr="00C81B24" w:rsidRDefault="00C81B24" w:rsidP="00CE5850">
      <w:pPr>
        <w:spacing w:after="120"/>
        <w:rPr>
          <w:sz w:val="20"/>
        </w:rPr>
      </w:pPr>
    </w:p>
    <w:p w:rsidR="00C81B24" w:rsidRPr="00C81B24" w:rsidRDefault="00C81B24" w:rsidP="00CE5850">
      <w:pPr>
        <w:spacing w:after="120"/>
        <w:rPr>
          <w:sz w:val="20"/>
        </w:rPr>
      </w:pPr>
    </w:p>
    <w:p w:rsidR="00C81B24" w:rsidRPr="00C81B24" w:rsidRDefault="00C81B24" w:rsidP="00CE5850">
      <w:pPr>
        <w:spacing w:after="120"/>
        <w:rPr>
          <w:sz w:val="20"/>
        </w:rPr>
      </w:pPr>
    </w:p>
    <w:p w:rsidR="00EA514E" w:rsidRPr="00FA4F46" w:rsidRDefault="00EA514E" w:rsidP="00FA4F46">
      <w:pPr>
        <w:spacing w:after="120"/>
        <w:rPr>
          <w:sz w:val="20"/>
        </w:rPr>
        <w:sectPr w:rsidR="00EA514E" w:rsidRPr="00FA4F46" w:rsidSect="006D00DF">
          <w:footnotePr>
            <w:numRestart w:val="eachSect"/>
          </w:footnotePr>
          <w:endnotePr>
            <w:numFmt w:val="decimal"/>
          </w:endnotePr>
          <w:type w:val="continuous"/>
          <w:pgSz w:w="12240" w:h="15840" w:code="1"/>
          <w:pgMar w:top="1080" w:right="1440" w:bottom="1080" w:left="1440" w:header="720" w:footer="720" w:gutter="0"/>
          <w:cols w:space="720"/>
        </w:sectPr>
      </w:pPr>
    </w:p>
    <w:p w:rsidR="00E364BE" w:rsidRDefault="00C81B24" w:rsidP="00CE5850">
      <w:pPr>
        <w:spacing w:before="120" w:after="120"/>
        <w:jc w:val="center"/>
        <w:rPr>
          <w:b/>
          <w:kern w:val="0"/>
          <w:szCs w:val="22"/>
        </w:rPr>
      </w:pPr>
      <w:r w:rsidRPr="00C81B24">
        <w:rPr>
          <w:b/>
          <w:kern w:val="0"/>
          <w:szCs w:val="22"/>
        </w:rPr>
        <w:t xml:space="preserve">APPENDIX </w:t>
      </w:r>
      <w:bookmarkEnd w:id="6859"/>
      <w:r w:rsidRPr="00C81B24">
        <w:rPr>
          <w:b/>
          <w:kern w:val="0"/>
          <w:szCs w:val="22"/>
        </w:rPr>
        <w:t>C</w:t>
      </w:r>
    </w:p>
    <w:p w:rsidR="00C81B24" w:rsidRPr="00C81B24" w:rsidRDefault="00C81B24" w:rsidP="00CE5850">
      <w:pPr>
        <w:spacing w:before="120" w:after="120"/>
        <w:jc w:val="center"/>
        <w:rPr>
          <w:b/>
          <w:bCs/>
          <w:kern w:val="0"/>
          <w:szCs w:val="22"/>
        </w:rPr>
      </w:pPr>
      <w:r w:rsidRPr="00C81B24">
        <w:rPr>
          <w:kern w:val="0"/>
          <w:szCs w:val="22"/>
        </w:rPr>
        <w:br/>
      </w:r>
      <w:bookmarkStart w:id="6926" w:name="_Toc329262580"/>
      <w:bookmarkStart w:id="6927" w:name="_Toc329852486"/>
      <w:bookmarkStart w:id="6928" w:name="_Toc331766409"/>
      <w:bookmarkStart w:id="6929" w:name="_Toc332119213"/>
      <w:bookmarkStart w:id="6930" w:name="_Toc334088868"/>
      <w:bookmarkStart w:id="6931" w:name="_Toc334089104"/>
      <w:bookmarkStart w:id="6932" w:name="_Toc334089263"/>
      <w:bookmarkStart w:id="6933" w:name="_Toc334089374"/>
      <w:bookmarkStart w:id="6934" w:name="_Toc334089538"/>
      <w:bookmarkStart w:id="6935" w:name="_Toc335839116"/>
      <w:r w:rsidRPr="00C81B24">
        <w:rPr>
          <w:b/>
          <w:kern w:val="0"/>
          <w:szCs w:val="22"/>
        </w:rPr>
        <w:t>Maps</w:t>
      </w:r>
      <w:bookmarkEnd w:id="6926"/>
      <w:bookmarkEnd w:id="6927"/>
      <w:bookmarkEnd w:id="6928"/>
      <w:bookmarkEnd w:id="6929"/>
      <w:bookmarkEnd w:id="6930"/>
      <w:bookmarkEnd w:id="6931"/>
      <w:bookmarkEnd w:id="6932"/>
      <w:bookmarkEnd w:id="6933"/>
      <w:bookmarkEnd w:id="6934"/>
      <w:bookmarkEnd w:id="6935"/>
    </w:p>
    <w:p w:rsidR="00C81B24" w:rsidRPr="00C81B24" w:rsidRDefault="00C81B24" w:rsidP="00CE5850">
      <w:pPr>
        <w:rPr>
          <w:szCs w:val="22"/>
        </w:rPr>
      </w:pPr>
    </w:p>
    <w:p w:rsidR="00C81B24" w:rsidRPr="00C81B24" w:rsidRDefault="00C81B24" w:rsidP="00CE5850">
      <w:pPr>
        <w:jc w:val="center"/>
        <w:outlineLvl w:val="0"/>
        <w:rPr>
          <w:b/>
          <w:bCs/>
          <w:szCs w:val="22"/>
        </w:rPr>
      </w:pPr>
      <w:bookmarkStart w:id="6936" w:name="_Toc329262581"/>
      <w:bookmarkStart w:id="6937" w:name="_Toc329852487"/>
      <w:bookmarkStart w:id="6938" w:name="_Toc331766410"/>
      <w:bookmarkStart w:id="6939" w:name="_Toc332119214"/>
      <w:bookmarkStart w:id="6940" w:name="_Toc334088869"/>
      <w:bookmarkStart w:id="6941" w:name="_Toc334089105"/>
      <w:bookmarkStart w:id="6942" w:name="_Toc334089264"/>
      <w:bookmarkStart w:id="6943" w:name="_Toc334089375"/>
      <w:bookmarkStart w:id="6944" w:name="_Toc334089539"/>
      <w:bookmarkStart w:id="6945" w:name="_Toc335839117"/>
      <w:bookmarkStart w:id="6946" w:name="_Toc336268678"/>
      <w:bookmarkStart w:id="6947" w:name="_Toc336268786"/>
      <w:bookmarkStart w:id="6948" w:name="_Toc336268893"/>
      <w:bookmarkStart w:id="6949" w:name="_Toc336269107"/>
      <w:bookmarkStart w:id="6950" w:name="_Toc336269214"/>
      <w:bookmarkStart w:id="6951" w:name="_Toc336269582"/>
      <w:bookmarkStart w:id="6952" w:name="_Toc336269728"/>
      <w:bookmarkStart w:id="6953" w:name="_Toc336270141"/>
      <w:r w:rsidRPr="00C81B24">
        <w:rPr>
          <w:b/>
          <w:bCs/>
          <w:szCs w:val="22"/>
        </w:rPr>
        <w:t>Table of Contents</w:t>
      </w:r>
      <w:bookmarkEnd w:id="6936"/>
      <w:bookmarkEnd w:id="6937"/>
      <w:bookmarkEnd w:id="6938"/>
      <w:bookmarkEnd w:id="6939"/>
      <w:bookmarkEnd w:id="6940"/>
      <w:bookmarkEnd w:id="6941"/>
      <w:bookmarkEnd w:id="6942"/>
      <w:bookmarkEnd w:id="6943"/>
      <w:bookmarkEnd w:id="6944"/>
      <w:bookmarkEnd w:id="6945"/>
      <w:bookmarkEnd w:id="6946"/>
      <w:bookmarkEnd w:id="6947"/>
      <w:bookmarkEnd w:id="6948"/>
      <w:bookmarkEnd w:id="6949"/>
      <w:bookmarkEnd w:id="6950"/>
      <w:bookmarkEnd w:id="6951"/>
      <w:bookmarkEnd w:id="6952"/>
      <w:bookmarkEnd w:id="6953"/>
    </w:p>
    <w:p w:rsidR="00C81B24" w:rsidRPr="00C81B24" w:rsidRDefault="00C81B24" w:rsidP="00CE5850">
      <w:pPr>
        <w:tabs>
          <w:tab w:val="left" w:pos="360"/>
          <w:tab w:val="right" w:leader="dot" w:pos="9360"/>
        </w:tabs>
        <w:ind w:left="360" w:right="720" w:hanging="360"/>
        <w:rPr>
          <w:caps/>
          <w:noProof/>
          <w:szCs w:val="22"/>
        </w:rPr>
      </w:pPr>
    </w:p>
    <w:p w:rsidR="00C81B24" w:rsidRPr="00C81B24" w:rsidRDefault="00C81B24" w:rsidP="00CE5850">
      <w:pPr>
        <w:tabs>
          <w:tab w:val="right" w:leader="dot" w:pos="9350"/>
        </w:tabs>
        <w:rPr>
          <w:noProof/>
          <w:kern w:val="0"/>
          <w:szCs w:val="22"/>
          <w:lang w:eastAsia="zh-CN"/>
        </w:rPr>
      </w:pPr>
      <w:r w:rsidRPr="00C81B24">
        <w:rPr>
          <w:szCs w:val="22"/>
          <w:u w:val="single"/>
        </w:rPr>
        <w:fldChar w:fldCharType="begin"/>
      </w:r>
      <w:r w:rsidRPr="00C81B24">
        <w:rPr>
          <w:szCs w:val="22"/>
          <w:u w:val="single"/>
        </w:rPr>
        <w:instrText xml:space="preserve"> TOC \c "Map" </w:instrText>
      </w:r>
      <w:r w:rsidRPr="00C81B24">
        <w:rPr>
          <w:szCs w:val="22"/>
          <w:u w:val="single"/>
        </w:rPr>
        <w:fldChar w:fldCharType="separate"/>
      </w:r>
      <w:r w:rsidRPr="00C81B24">
        <w:rPr>
          <w:noProof/>
          <w:szCs w:val="22"/>
        </w:rPr>
        <w:t>Map C-1: Mobile Wireless Coverage by Number of Providers</w:t>
      </w:r>
      <w:r w:rsidRPr="00C81B24">
        <w:rPr>
          <w:noProof/>
          <w:szCs w:val="22"/>
        </w:rPr>
        <w:tab/>
      </w:r>
    </w:p>
    <w:p w:rsidR="00C81B24" w:rsidRPr="00C81B24" w:rsidRDefault="00C81B24" w:rsidP="00CE5850">
      <w:pPr>
        <w:tabs>
          <w:tab w:val="right" w:leader="dot" w:pos="9350"/>
        </w:tabs>
        <w:rPr>
          <w:noProof/>
          <w:kern w:val="0"/>
          <w:szCs w:val="22"/>
          <w:lang w:eastAsia="zh-CN"/>
        </w:rPr>
      </w:pPr>
      <w:r w:rsidRPr="00C81B24">
        <w:rPr>
          <w:noProof/>
          <w:szCs w:val="22"/>
        </w:rPr>
        <w:t>Map C-2: Wireless Coverage by Number of Providers (2)</w:t>
      </w:r>
      <w:r w:rsidRPr="00C81B24">
        <w:rPr>
          <w:noProof/>
          <w:szCs w:val="22"/>
        </w:rPr>
        <w:tab/>
      </w:r>
    </w:p>
    <w:p w:rsidR="00C81B24" w:rsidRPr="00C81B24" w:rsidRDefault="00C81B24" w:rsidP="00CE5850">
      <w:pPr>
        <w:tabs>
          <w:tab w:val="right" w:leader="dot" w:pos="9350"/>
        </w:tabs>
        <w:rPr>
          <w:noProof/>
          <w:kern w:val="0"/>
          <w:szCs w:val="22"/>
          <w:lang w:eastAsia="zh-CN"/>
        </w:rPr>
      </w:pPr>
      <w:r w:rsidRPr="00C81B24">
        <w:rPr>
          <w:noProof/>
          <w:szCs w:val="22"/>
        </w:rPr>
        <w:t>Map C-3: Wireless Coverage by Number of Providers by Region (Overview)</w:t>
      </w:r>
      <w:r w:rsidRPr="00C81B24">
        <w:rPr>
          <w:noProof/>
          <w:szCs w:val="22"/>
        </w:rPr>
        <w:tab/>
      </w:r>
    </w:p>
    <w:p w:rsidR="00C81B24" w:rsidRPr="00C81B24" w:rsidRDefault="00C81B24" w:rsidP="00CE5850">
      <w:pPr>
        <w:tabs>
          <w:tab w:val="right" w:leader="dot" w:pos="9350"/>
        </w:tabs>
        <w:rPr>
          <w:noProof/>
          <w:kern w:val="0"/>
          <w:szCs w:val="22"/>
          <w:lang w:eastAsia="zh-CN"/>
        </w:rPr>
      </w:pPr>
      <w:r w:rsidRPr="00C81B24">
        <w:rPr>
          <w:noProof/>
          <w:szCs w:val="22"/>
        </w:rPr>
        <w:t>Map C-4: Wireless Coverage by Number of Providers by Region (1)</w:t>
      </w:r>
      <w:r w:rsidRPr="00C81B24">
        <w:rPr>
          <w:noProof/>
          <w:szCs w:val="22"/>
        </w:rPr>
        <w:tab/>
      </w:r>
    </w:p>
    <w:p w:rsidR="00C81B24" w:rsidRPr="00C81B24" w:rsidRDefault="00C81B24" w:rsidP="00CE5850">
      <w:pPr>
        <w:tabs>
          <w:tab w:val="right" w:leader="dot" w:pos="9350"/>
        </w:tabs>
        <w:rPr>
          <w:noProof/>
          <w:kern w:val="0"/>
          <w:szCs w:val="22"/>
          <w:lang w:eastAsia="zh-CN"/>
        </w:rPr>
      </w:pPr>
      <w:r w:rsidRPr="00C81B24">
        <w:rPr>
          <w:noProof/>
          <w:szCs w:val="22"/>
        </w:rPr>
        <w:t>Map C-5: Wireless Coverage by Number of Providers by Region (2)</w:t>
      </w:r>
      <w:r w:rsidRPr="00C81B24">
        <w:rPr>
          <w:noProof/>
          <w:szCs w:val="22"/>
        </w:rPr>
        <w:tab/>
      </w:r>
    </w:p>
    <w:p w:rsidR="00C81B24" w:rsidRPr="00C81B24" w:rsidRDefault="00C81B24" w:rsidP="00CE5850">
      <w:pPr>
        <w:tabs>
          <w:tab w:val="right" w:leader="dot" w:pos="9350"/>
        </w:tabs>
        <w:rPr>
          <w:noProof/>
          <w:kern w:val="0"/>
          <w:szCs w:val="22"/>
          <w:lang w:eastAsia="zh-CN"/>
        </w:rPr>
      </w:pPr>
      <w:r w:rsidRPr="00C81B24">
        <w:rPr>
          <w:noProof/>
          <w:szCs w:val="22"/>
        </w:rPr>
        <w:t>Map C-6: Wireless Coverage by Number of Providers by Region (3)</w:t>
      </w:r>
      <w:r w:rsidRPr="00C81B24">
        <w:rPr>
          <w:noProof/>
          <w:szCs w:val="22"/>
        </w:rPr>
        <w:tab/>
      </w:r>
    </w:p>
    <w:p w:rsidR="00C81B24" w:rsidRPr="00C81B24" w:rsidRDefault="00C81B24" w:rsidP="00CE5850">
      <w:pPr>
        <w:tabs>
          <w:tab w:val="right" w:leader="dot" w:pos="9350"/>
        </w:tabs>
        <w:rPr>
          <w:noProof/>
          <w:kern w:val="0"/>
          <w:szCs w:val="22"/>
          <w:lang w:eastAsia="zh-CN"/>
        </w:rPr>
      </w:pPr>
      <w:r w:rsidRPr="00C81B24">
        <w:rPr>
          <w:noProof/>
          <w:szCs w:val="22"/>
        </w:rPr>
        <w:t>Map C-7: Wireless Coverage by Number of Providers by Region (4)</w:t>
      </w:r>
      <w:r w:rsidRPr="00C81B24">
        <w:rPr>
          <w:noProof/>
          <w:szCs w:val="22"/>
        </w:rPr>
        <w:tab/>
      </w:r>
    </w:p>
    <w:p w:rsidR="00C81B24" w:rsidRPr="00C81B24" w:rsidRDefault="00C81B24" w:rsidP="00CE5850">
      <w:pPr>
        <w:tabs>
          <w:tab w:val="right" w:leader="dot" w:pos="9350"/>
        </w:tabs>
        <w:rPr>
          <w:noProof/>
          <w:kern w:val="0"/>
          <w:szCs w:val="22"/>
          <w:lang w:eastAsia="zh-CN"/>
        </w:rPr>
      </w:pPr>
      <w:r w:rsidRPr="00C81B24">
        <w:rPr>
          <w:noProof/>
          <w:szCs w:val="22"/>
        </w:rPr>
        <w:t>Map C-8: Wireless Coverage by Number of Providers by Region (5)</w:t>
      </w:r>
      <w:r w:rsidRPr="00C81B24">
        <w:rPr>
          <w:noProof/>
          <w:szCs w:val="22"/>
        </w:rPr>
        <w:tab/>
      </w:r>
    </w:p>
    <w:p w:rsidR="00C81B24" w:rsidRPr="00C81B24" w:rsidRDefault="00C81B24" w:rsidP="00CE5850">
      <w:pPr>
        <w:tabs>
          <w:tab w:val="right" w:leader="dot" w:pos="9350"/>
        </w:tabs>
        <w:rPr>
          <w:noProof/>
          <w:kern w:val="0"/>
          <w:szCs w:val="22"/>
          <w:lang w:eastAsia="zh-CN"/>
        </w:rPr>
      </w:pPr>
      <w:r w:rsidRPr="00C81B24">
        <w:rPr>
          <w:noProof/>
          <w:szCs w:val="22"/>
        </w:rPr>
        <w:t>Map C-9: Wireless Coverage by Number of Providers by Region (6)</w:t>
      </w:r>
      <w:r w:rsidRPr="00C81B24">
        <w:rPr>
          <w:noProof/>
          <w:szCs w:val="22"/>
        </w:rPr>
        <w:tab/>
      </w:r>
    </w:p>
    <w:p w:rsidR="00C81B24" w:rsidRPr="00C81B24" w:rsidRDefault="00C81B24" w:rsidP="00CE5850">
      <w:pPr>
        <w:tabs>
          <w:tab w:val="right" w:leader="dot" w:pos="9350"/>
        </w:tabs>
        <w:rPr>
          <w:noProof/>
          <w:kern w:val="0"/>
          <w:szCs w:val="22"/>
          <w:lang w:eastAsia="zh-CN"/>
        </w:rPr>
      </w:pPr>
      <w:r w:rsidRPr="00C81B24">
        <w:rPr>
          <w:noProof/>
          <w:szCs w:val="22"/>
        </w:rPr>
        <w:t>Map C-10: Wireless Coverage by Number of Providers by Region (7)</w:t>
      </w:r>
      <w:r w:rsidRPr="00C81B24">
        <w:rPr>
          <w:noProof/>
          <w:szCs w:val="22"/>
        </w:rPr>
        <w:tab/>
      </w:r>
    </w:p>
    <w:p w:rsidR="00C81B24" w:rsidRPr="00C81B24" w:rsidRDefault="00C81B24" w:rsidP="00CE5850">
      <w:pPr>
        <w:tabs>
          <w:tab w:val="right" w:leader="dot" w:pos="9350"/>
        </w:tabs>
        <w:rPr>
          <w:noProof/>
          <w:kern w:val="0"/>
          <w:szCs w:val="22"/>
          <w:lang w:eastAsia="zh-CN"/>
        </w:rPr>
      </w:pPr>
      <w:r w:rsidRPr="00C81B24">
        <w:rPr>
          <w:noProof/>
          <w:szCs w:val="22"/>
        </w:rPr>
        <w:t>Map C-11: Wireless Coverage by Number of Providers by Region (8)</w:t>
      </w:r>
      <w:r w:rsidRPr="00C81B24">
        <w:rPr>
          <w:noProof/>
          <w:szCs w:val="22"/>
        </w:rPr>
        <w:tab/>
      </w:r>
    </w:p>
    <w:p w:rsidR="00C81B24" w:rsidRPr="00C81B24" w:rsidRDefault="00C81B24" w:rsidP="00CE5850">
      <w:pPr>
        <w:tabs>
          <w:tab w:val="right" w:leader="dot" w:pos="9350"/>
        </w:tabs>
        <w:rPr>
          <w:noProof/>
          <w:kern w:val="0"/>
          <w:szCs w:val="22"/>
          <w:lang w:eastAsia="zh-CN"/>
        </w:rPr>
      </w:pPr>
      <w:r w:rsidRPr="00C81B24">
        <w:rPr>
          <w:noProof/>
          <w:szCs w:val="22"/>
        </w:rPr>
        <w:t>Map C-12: Wireless Coverage by Number of Providers by Region (9)</w:t>
      </w:r>
      <w:r w:rsidRPr="00C81B24">
        <w:rPr>
          <w:noProof/>
          <w:szCs w:val="22"/>
        </w:rPr>
        <w:tab/>
      </w:r>
    </w:p>
    <w:p w:rsidR="00C81B24" w:rsidRPr="00C81B24" w:rsidRDefault="00C81B24" w:rsidP="00CE5850">
      <w:pPr>
        <w:tabs>
          <w:tab w:val="right" w:leader="dot" w:pos="9350"/>
        </w:tabs>
        <w:rPr>
          <w:noProof/>
          <w:kern w:val="0"/>
          <w:szCs w:val="22"/>
          <w:lang w:eastAsia="zh-CN"/>
        </w:rPr>
      </w:pPr>
      <w:r w:rsidRPr="00C81B24">
        <w:rPr>
          <w:noProof/>
          <w:szCs w:val="22"/>
        </w:rPr>
        <w:t>Map C-13: Wireless Coverage by Number of Providers by Region (10)</w:t>
      </w:r>
      <w:r w:rsidRPr="00C81B24">
        <w:rPr>
          <w:noProof/>
          <w:szCs w:val="22"/>
        </w:rPr>
        <w:tab/>
      </w:r>
    </w:p>
    <w:p w:rsidR="00C81B24" w:rsidRPr="00C81B24" w:rsidRDefault="00C81B24" w:rsidP="00CE5850">
      <w:pPr>
        <w:tabs>
          <w:tab w:val="right" w:leader="dot" w:pos="9350"/>
        </w:tabs>
        <w:rPr>
          <w:noProof/>
          <w:kern w:val="0"/>
          <w:szCs w:val="22"/>
          <w:lang w:eastAsia="zh-CN"/>
        </w:rPr>
      </w:pPr>
      <w:r w:rsidRPr="00C81B24">
        <w:rPr>
          <w:noProof/>
          <w:szCs w:val="22"/>
        </w:rPr>
        <w:t>Map C-14: Wireless Coverage by Number of Providers by Region (11)</w:t>
      </w:r>
      <w:r w:rsidRPr="00C81B24">
        <w:rPr>
          <w:noProof/>
          <w:szCs w:val="22"/>
        </w:rPr>
        <w:tab/>
      </w:r>
    </w:p>
    <w:p w:rsidR="00C81B24" w:rsidRPr="00C81B24" w:rsidRDefault="00C81B24" w:rsidP="00CE5850">
      <w:pPr>
        <w:tabs>
          <w:tab w:val="right" w:leader="dot" w:pos="9350"/>
        </w:tabs>
        <w:rPr>
          <w:noProof/>
          <w:kern w:val="0"/>
          <w:szCs w:val="22"/>
          <w:lang w:eastAsia="zh-CN"/>
        </w:rPr>
      </w:pPr>
      <w:r w:rsidRPr="00C81B24">
        <w:rPr>
          <w:noProof/>
          <w:szCs w:val="22"/>
        </w:rPr>
        <w:t>Map C-15: Wireless Coverage by Number of Providers by Region (12)</w:t>
      </w:r>
      <w:r w:rsidRPr="00C81B24">
        <w:rPr>
          <w:noProof/>
          <w:szCs w:val="22"/>
        </w:rPr>
        <w:tab/>
      </w:r>
    </w:p>
    <w:p w:rsidR="00C81B24" w:rsidRPr="00C81B24" w:rsidRDefault="00C81B24" w:rsidP="00CE5850">
      <w:pPr>
        <w:tabs>
          <w:tab w:val="right" w:leader="dot" w:pos="9350"/>
        </w:tabs>
        <w:rPr>
          <w:noProof/>
          <w:kern w:val="0"/>
          <w:szCs w:val="22"/>
          <w:lang w:eastAsia="zh-CN"/>
        </w:rPr>
      </w:pPr>
      <w:r w:rsidRPr="00C81B24">
        <w:rPr>
          <w:noProof/>
          <w:szCs w:val="22"/>
        </w:rPr>
        <w:t>Map C-16: Wireless Coverage by Number of Providers by Region (13)</w:t>
      </w:r>
      <w:r w:rsidRPr="00C81B24">
        <w:rPr>
          <w:noProof/>
          <w:szCs w:val="22"/>
        </w:rPr>
        <w:tab/>
      </w:r>
    </w:p>
    <w:p w:rsidR="00C81B24" w:rsidRPr="00C81B24" w:rsidRDefault="00C81B24" w:rsidP="00CE5850">
      <w:pPr>
        <w:tabs>
          <w:tab w:val="right" w:leader="dot" w:pos="9350"/>
        </w:tabs>
        <w:rPr>
          <w:noProof/>
          <w:kern w:val="0"/>
          <w:szCs w:val="22"/>
          <w:lang w:eastAsia="zh-CN"/>
        </w:rPr>
      </w:pPr>
      <w:r w:rsidRPr="00C81B24">
        <w:rPr>
          <w:noProof/>
          <w:szCs w:val="22"/>
        </w:rPr>
        <w:t>Map C-17: Wireless Coverage by Number of Providers by Region (14)</w:t>
      </w:r>
      <w:r w:rsidRPr="00C81B24">
        <w:rPr>
          <w:noProof/>
          <w:szCs w:val="22"/>
        </w:rPr>
        <w:tab/>
      </w:r>
    </w:p>
    <w:p w:rsidR="00C81B24" w:rsidRPr="00C81B24" w:rsidRDefault="00C81B24" w:rsidP="00CE5850">
      <w:pPr>
        <w:tabs>
          <w:tab w:val="right" w:leader="dot" w:pos="9350"/>
        </w:tabs>
        <w:rPr>
          <w:noProof/>
          <w:kern w:val="0"/>
          <w:szCs w:val="22"/>
          <w:lang w:eastAsia="zh-CN"/>
        </w:rPr>
      </w:pPr>
      <w:r w:rsidRPr="00C81B24">
        <w:rPr>
          <w:noProof/>
          <w:szCs w:val="22"/>
        </w:rPr>
        <w:t>Map C-18: Wireless Coverage by Number of Providers by Region (15)</w:t>
      </w:r>
      <w:r w:rsidRPr="00C81B24">
        <w:rPr>
          <w:noProof/>
          <w:szCs w:val="22"/>
        </w:rPr>
        <w:tab/>
      </w:r>
    </w:p>
    <w:p w:rsidR="00C81B24" w:rsidRPr="00C81B24" w:rsidRDefault="00C81B24" w:rsidP="00CE5850">
      <w:pPr>
        <w:tabs>
          <w:tab w:val="right" w:leader="dot" w:pos="9350"/>
        </w:tabs>
        <w:rPr>
          <w:noProof/>
          <w:kern w:val="0"/>
          <w:szCs w:val="22"/>
          <w:lang w:eastAsia="zh-CN"/>
        </w:rPr>
      </w:pPr>
      <w:r w:rsidRPr="00C81B24">
        <w:rPr>
          <w:noProof/>
          <w:szCs w:val="22"/>
        </w:rPr>
        <w:t>Map C-19: Wireless Coverage by Number of Providers by Region (16)</w:t>
      </w:r>
      <w:r w:rsidRPr="00C81B24">
        <w:rPr>
          <w:noProof/>
          <w:szCs w:val="22"/>
        </w:rPr>
        <w:tab/>
      </w:r>
    </w:p>
    <w:p w:rsidR="00C81B24" w:rsidRPr="00C81B24" w:rsidRDefault="00C81B24" w:rsidP="00CE5850">
      <w:pPr>
        <w:tabs>
          <w:tab w:val="right" w:leader="dot" w:pos="9350"/>
        </w:tabs>
        <w:rPr>
          <w:noProof/>
          <w:kern w:val="0"/>
          <w:szCs w:val="22"/>
          <w:lang w:eastAsia="zh-CN"/>
        </w:rPr>
      </w:pPr>
      <w:r w:rsidRPr="00C81B24">
        <w:rPr>
          <w:noProof/>
          <w:szCs w:val="22"/>
        </w:rPr>
        <w:t>Map C-20: Coverage of the Top 4 Mobile Wireless Service Providers</w:t>
      </w:r>
      <w:r w:rsidRPr="00C81B24">
        <w:rPr>
          <w:noProof/>
          <w:szCs w:val="22"/>
        </w:rPr>
        <w:tab/>
      </w:r>
    </w:p>
    <w:p w:rsidR="00C81B24" w:rsidRPr="00C81B24" w:rsidRDefault="00C81B24" w:rsidP="00CE5850">
      <w:pPr>
        <w:tabs>
          <w:tab w:val="right" w:leader="dot" w:pos="9350"/>
        </w:tabs>
        <w:rPr>
          <w:noProof/>
          <w:kern w:val="0"/>
          <w:szCs w:val="22"/>
          <w:lang w:eastAsia="zh-CN"/>
        </w:rPr>
      </w:pPr>
      <w:r w:rsidRPr="00C81B24">
        <w:rPr>
          <w:noProof/>
          <w:szCs w:val="22"/>
        </w:rPr>
        <w:t>Map C-21: U.S. County Density</w:t>
      </w:r>
      <w:r w:rsidRPr="00C81B24">
        <w:rPr>
          <w:noProof/>
          <w:szCs w:val="22"/>
        </w:rPr>
        <w:tab/>
      </w:r>
    </w:p>
    <w:p w:rsidR="00C81B24" w:rsidRPr="00C81B24" w:rsidRDefault="00C81B24" w:rsidP="00CE5850">
      <w:pPr>
        <w:tabs>
          <w:tab w:val="right" w:leader="dot" w:pos="9350"/>
        </w:tabs>
        <w:rPr>
          <w:noProof/>
          <w:kern w:val="0"/>
          <w:szCs w:val="22"/>
          <w:lang w:eastAsia="zh-CN"/>
        </w:rPr>
      </w:pPr>
      <w:r w:rsidRPr="00C81B24">
        <w:rPr>
          <w:noProof/>
          <w:szCs w:val="22"/>
        </w:rPr>
        <w:t>Map C-22: U.S. Federal Lands</w:t>
      </w:r>
      <w:r w:rsidRPr="00C81B24">
        <w:rPr>
          <w:noProof/>
          <w:szCs w:val="22"/>
        </w:rPr>
        <w:tab/>
      </w:r>
    </w:p>
    <w:p w:rsidR="00C81B24" w:rsidRPr="00C81B24" w:rsidRDefault="00C81B24" w:rsidP="00CE5850">
      <w:pPr>
        <w:tabs>
          <w:tab w:val="right" w:leader="dot" w:pos="9350"/>
        </w:tabs>
        <w:rPr>
          <w:noProof/>
          <w:kern w:val="0"/>
          <w:szCs w:val="22"/>
          <w:lang w:eastAsia="zh-CN"/>
        </w:rPr>
      </w:pPr>
      <w:r w:rsidRPr="00C81B24">
        <w:rPr>
          <w:noProof/>
          <w:szCs w:val="22"/>
        </w:rPr>
        <w:t>Map C-23: Mobile Wireless Digital Coverage</w:t>
      </w:r>
      <w:r w:rsidRPr="00C81B24">
        <w:rPr>
          <w:noProof/>
          <w:szCs w:val="22"/>
        </w:rPr>
        <w:tab/>
      </w:r>
    </w:p>
    <w:p w:rsidR="00C81B24" w:rsidRPr="00C81B24" w:rsidRDefault="00C81B24" w:rsidP="00CE5850">
      <w:pPr>
        <w:tabs>
          <w:tab w:val="right" w:leader="dot" w:pos="9350"/>
        </w:tabs>
        <w:rPr>
          <w:noProof/>
          <w:kern w:val="0"/>
          <w:szCs w:val="22"/>
          <w:lang w:eastAsia="zh-CN"/>
        </w:rPr>
      </w:pPr>
      <w:r w:rsidRPr="00C81B24">
        <w:rPr>
          <w:noProof/>
          <w:szCs w:val="22"/>
        </w:rPr>
        <w:t>Map C-24: Mobile Wireless Digital Coverage (2)</w:t>
      </w:r>
      <w:r w:rsidRPr="00C81B24">
        <w:rPr>
          <w:noProof/>
          <w:szCs w:val="22"/>
        </w:rPr>
        <w:tab/>
      </w:r>
    </w:p>
    <w:p w:rsidR="00C81B24" w:rsidRPr="00C81B24" w:rsidRDefault="00C81B24" w:rsidP="00CE5850">
      <w:pPr>
        <w:tabs>
          <w:tab w:val="right" w:leader="dot" w:pos="9350"/>
        </w:tabs>
        <w:rPr>
          <w:noProof/>
          <w:kern w:val="0"/>
          <w:szCs w:val="22"/>
          <w:lang w:eastAsia="zh-CN"/>
        </w:rPr>
      </w:pPr>
      <w:r w:rsidRPr="00C81B24">
        <w:rPr>
          <w:noProof/>
          <w:szCs w:val="22"/>
        </w:rPr>
        <w:t>Map C-25: Mobile Wireless NextGen Coverage: CDMA Path</w:t>
      </w:r>
      <w:r w:rsidRPr="00C81B24">
        <w:rPr>
          <w:noProof/>
          <w:szCs w:val="22"/>
        </w:rPr>
        <w:tab/>
      </w:r>
    </w:p>
    <w:p w:rsidR="00C81B24" w:rsidRPr="00C81B24" w:rsidRDefault="00C81B24" w:rsidP="00CE5850">
      <w:pPr>
        <w:tabs>
          <w:tab w:val="right" w:leader="dot" w:pos="9350"/>
        </w:tabs>
        <w:rPr>
          <w:noProof/>
          <w:kern w:val="0"/>
          <w:szCs w:val="22"/>
          <w:lang w:eastAsia="zh-CN"/>
        </w:rPr>
      </w:pPr>
      <w:r w:rsidRPr="00C81B24">
        <w:rPr>
          <w:noProof/>
          <w:szCs w:val="22"/>
        </w:rPr>
        <w:t>Map C-26: Mobile Wireless NextGen Coverage: CDMA Path (2)</w:t>
      </w:r>
      <w:r w:rsidRPr="00C81B24">
        <w:rPr>
          <w:noProof/>
          <w:szCs w:val="22"/>
        </w:rPr>
        <w:tab/>
      </w:r>
    </w:p>
    <w:p w:rsidR="00C81B24" w:rsidRPr="00C81B24" w:rsidRDefault="00C81B24" w:rsidP="00CE5850">
      <w:pPr>
        <w:tabs>
          <w:tab w:val="right" w:leader="dot" w:pos="9350"/>
        </w:tabs>
        <w:rPr>
          <w:noProof/>
          <w:kern w:val="0"/>
          <w:szCs w:val="22"/>
          <w:lang w:eastAsia="zh-CN"/>
        </w:rPr>
      </w:pPr>
      <w:r w:rsidRPr="00C81B24">
        <w:rPr>
          <w:noProof/>
          <w:szCs w:val="22"/>
        </w:rPr>
        <w:t>Map C-27: Mobile Wireless NextGen Coverage: GSM Path</w:t>
      </w:r>
      <w:r w:rsidRPr="00C81B24">
        <w:rPr>
          <w:noProof/>
          <w:szCs w:val="22"/>
        </w:rPr>
        <w:tab/>
      </w:r>
    </w:p>
    <w:p w:rsidR="00C81B24" w:rsidRPr="00C81B24" w:rsidRDefault="00C81B24" w:rsidP="00CE5850">
      <w:pPr>
        <w:tabs>
          <w:tab w:val="right" w:leader="dot" w:pos="9350"/>
        </w:tabs>
        <w:rPr>
          <w:noProof/>
          <w:kern w:val="0"/>
          <w:szCs w:val="22"/>
          <w:lang w:eastAsia="zh-CN"/>
        </w:rPr>
      </w:pPr>
      <w:r w:rsidRPr="00C81B24">
        <w:rPr>
          <w:noProof/>
          <w:szCs w:val="22"/>
        </w:rPr>
        <w:t>Map C-28: Mobile Wireless NextGen Coverage: GSM Path (2)</w:t>
      </w:r>
      <w:r w:rsidRPr="00C81B24">
        <w:rPr>
          <w:noProof/>
          <w:szCs w:val="22"/>
        </w:rPr>
        <w:tab/>
      </w:r>
    </w:p>
    <w:p w:rsidR="00C81B24" w:rsidRPr="00C81B24" w:rsidRDefault="00C81B24" w:rsidP="00CE5850">
      <w:pPr>
        <w:tabs>
          <w:tab w:val="right" w:leader="dot" w:pos="9350"/>
        </w:tabs>
        <w:rPr>
          <w:noProof/>
          <w:kern w:val="0"/>
          <w:szCs w:val="22"/>
          <w:lang w:eastAsia="zh-CN"/>
        </w:rPr>
      </w:pPr>
      <w:r w:rsidRPr="00C81B24">
        <w:rPr>
          <w:noProof/>
          <w:szCs w:val="22"/>
        </w:rPr>
        <w:t>Map C-29: Mobile Broadband Network Coverage</w:t>
      </w:r>
      <w:r w:rsidRPr="00C81B24">
        <w:rPr>
          <w:noProof/>
          <w:szCs w:val="22"/>
        </w:rPr>
        <w:tab/>
      </w:r>
    </w:p>
    <w:p w:rsidR="00C81B24" w:rsidRPr="00C81B24" w:rsidRDefault="00C81B24" w:rsidP="00CE5850">
      <w:pPr>
        <w:tabs>
          <w:tab w:val="right" w:leader="dot" w:pos="9350"/>
        </w:tabs>
        <w:rPr>
          <w:noProof/>
          <w:kern w:val="0"/>
          <w:szCs w:val="22"/>
          <w:lang w:eastAsia="zh-CN"/>
        </w:rPr>
      </w:pPr>
      <w:r w:rsidRPr="00C81B24">
        <w:rPr>
          <w:noProof/>
          <w:szCs w:val="22"/>
        </w:rPr>
        <w:t>Map C-30: Mobile Broadband Network Coverage (2)</w:t>
      </w:r>
      <w:r w:rsidRPr="00C81B24">
        <w:rPr>
          <w:noProof/>
          <w:szCs w:val="22"/>
        </w:rPr>
        <w:tab/>
      </w:r>
    </w:p>
    <w:p w:rsidR="00C81B24" w:rsidRPr="00C81B24" w:rsidRDefault="00C81B24" w:rsidP="00CE5850">
      <w:pPr>
        <w:tabs>
          <w:tab w:val="right" w:leader="dot" w:pos="9350"/>
        </w:tabs>
        <w:rPr>
          <w:noProof/>
          <w:kern w:val="0"/>
          <w:szCs w:val="22"/>
          <w:lang w:eastAsia="zh-CN"/>
        </w:rPr>
      </w:pPr>
      <w:r w:rsidRPr="00C81B24">
        <w:rPr>
          <w:noProof/>
          <w:szCs w:val="22"/>
        </w:rPr>
        <w:t>Map C-31: Mobile Wireless Penetration By EAs</w:t>
      </w:r>
      <w:r w:rsidRPr="00C81B24">
        <w:rPr>
          <w:noProof/>
          <w:szCs w:val="22"/>
        </w:rPr>
        <w:tab/>
      </w:r>
    </w:p>
    <w:p w:rsidR="00C81B24" w:rsidRPr="00C81B24" w:rsidRDefault="00C81B24" w:rsidP="00CE5850">
      <w:pPr>
        <w:tabs>
          <w:tab w:val="right" w:leader="dot" w:pos="9350"/>
        </w:tabs>
        <w:rPr>
          <w:noProof/>
          <w:kern w:val="0"/>
          <w:szCs w:val="22"/>
          <w:lang w:eastAsia="zh-CN"/>
        </w:rPr>
      </w:pPr>
      <w:r w:rsidRPr="00C81B24">
        <w:rPr>
          <w:noProof/>
          <w:szCs w:val="22"/>
        </w:rPr>
        <w:t>Map C-32: Spectrum Not Licensed to the Nationwide Providers and Their Affiliates</w:t>
      </w:r>
      <w:r w:rsidRPr="00C81B24">
        <w:rPr>
          <w:noProof/>
          <w:szCs w:val="22"/>
        </w:rPr>
        <w:tab/>
      </w:r>
    </w:p>
    <w:p w:rsidR="00C81B24" w:rsidRPr="00C81B24" w:rsidRDefault="00C81B24" w:rsidP="00CE5850">
      <w:pPr>
        <w:tabs>
          <w:tab w:val="right" w:leader="dot" w:pos="9350"/>
        </w:tabs>
        <w:rPr>
          <w:noProof/>
          <w:kern w:val="0"/>
          <w:szCs w:val="22"/>
          <w:lang w:eastAsia="zh-CN"/>
        </w:rPr>
      </w:pPr>
      <w:r w:rsidRPr="00C81B24">
        <w:rPr>
          <w:noProof/>
          <w:szCs w:val="22"/>
        </w:rPr>
        <w:t>Map C-33: Available Licensed Spectrum</w:t>
      </w:r>
      <w:r w:rsidRPr="00C81B24">
        <w:rPr>
          <w:noProof/>
          <w:szCs w:val="22"/>
        </w:rPr>
        <w:tab/>
      </w:r>
    </w:p>
    <w:p w:rsidR="00C81B24" w:rsidRPr="00C81B24" w:rsidRDefault="00C81B24" w:rsidP="00CE5850">
      <w:pPr>
        <w:tabs>
          <w:tab w:val="left" w:pos="360"/>
          <w:tab w:val="right" w:leader="dot" w:pos="9360"/>
        </w:tabs>
        <w:ind w:left="360" w:right="720" w:hanging="360"/>
        <w:rPr>
          <w:caps/>
          <w:noProof/>
          <w:sz w:val="20"/>
          <w:u w:val="single"/>
        </w:rPr>
      </w:pPr>
      <w:r w:rsidRPr="00C81B24">
        <w:rPr>
          <w:caps/>
          <w:noProof/>
          <w:szCs w:val="22"/>
          <w:u w:val="single"/>
        </w:rPr>
        <w:fldChar w:fldCharType="end"/>
      </w:r>
    </w:p>
    <w:p w:rsidR="00C81B24" w:rsidRPr="00C81B24" w:rsidRDefault="00C81B24" w:rsidP="00CE5850">
      <w:pPr>
        <w:tabs>
          <w:tab w:val="left" w:leader="dot" w:pos="8820"/>
        </w:tabs>
        <w:rPr>
          <w:sz w:val="20"/>
        </w:rPr>
      </w:pPr>
      <w:r w:rsidRPr="00C81B24">
        <w:rPr>
          <w:sz w:val="20"/>
        </w:rPr>
        <w:t>Note: Additional maps of the existing spectrum holdings of many mobile wireless service providers and licensees are now accessible through the Commission’s online Spectrum Dashboard tool, available at</w:t>
      </w:r>
      <w:r w:rsidRPr="00C81B24">
        <w:rPr>
          <w:rFonts w:ascii="Arial" w:hAnsi="Arial" w:cs="Arial"/>
          <w:color w:val="000080"/>
          <w:kern w:val="0"/>
          <w:sz w:val="20"/>
          <w:lang w:eastAsia="zh-CN"/>
        </w:rPr>
        <w:t xml:space="preserve"> </w:t>
      </w:r>
      <w:hyperlink r:id="rId102" w:history="1">
        <w:r w:rsidRPr="00C81B24">
          <w:rPr>
            <w:color w:val="0000FF"/>
            <w:kern w:val="0"/>
            <w:sz w:val="20"/>
            <w:u w:val="single"/>
            <w:lang w:eastAsia="zh-CN"/>
          </w:rPr>
          <w:t>http://www.fcc.gov/spectrumdashboard</w:t>
        </w:r>
      </w:hyperlink>
      <w:r w:rsidRPr="00C81B24">
        <w:rPr>
          <w:sz w:val="20"/>
        </w:rPr>
        <w:t>.  The Spectrum Dashboard provides a public means of reviewing how spectrum bands are allocated and for what uses, and who holds licenses and in what areas.  It provides basic, plain language information about frequencies generally deemed appropriate for most commercial mobile wireless services in the 225 MHz to 3700 MHz band range.  In addition, it contains detailed information, mapping, and research capabilities for the spectrum bands where most mobile wireless services, in particular broadband services, are either already available or potentially could be provided.  These bands include, among others, 700 MHz, 800 MHz Cellular, AWS, Broadband PCS, BRS/EBS, WCS.</w:t>
      </w:r>
    </w:p>
    <w:p w:rsidR="00C81B24" w:rsidRPr="00C81B24" w:rsidRDefault="00C81B24" w:rsidP="00CE5850">
      <w:pPr>
        <w:tabs>
          <w:tab w:val="left" w:leader="dot" w:pos="8820"/>
        </w:tabs>
        <w:rPr>
          <w:sz w:val="20"/>
        </w:rPr>
        <w:sectPr w:rsidR="00C81B24" w:rsidRPr="00C81B24" w:rsidSect="006D00DF">
          <w:endnotePr>
            <w:numFmt w:val="decimal"/>
          </w:endnotePr>
          <w:type w:val="continuous"/>
          <w:pgSz w:w="12240" w:h="15840" w:code="1"/>
          <w:pgMar w:top="1080" w:right="1440" w:bottom="1080" w:left="1440" w:header="720" w:footer="720" w:gutter="0"/>
          <w:cols w:space="720"/>
        </w:sectPr>
      </w:pPr>
    </w:p>
    <w:p w:rsidR="00C81B24" w:rsidRPr="00C81B24" w:rsidRDefault="00C81B24" w:rsidP="00CE5850">
      <w:pPr>
        <w:jc w:val="center"/>
        <w:rPr>
          <w:b/>
          <w:bCs/>
          <w:kern w:val="0"/>
          <w:szCs w:val="22"/>
        </w:rPr>
      </w:pPr>
      <w:bookmarkStart w:id="6954" w:name="_Toc257296416"/>
      <w:bookmarkStart w:id="6955" w:name="_Toc278894611"/>
      <w:r w:rsidRPr="00C81B24">
        <w:rPr>
          <w:b/>
          <w:bCs/>
          <w:kern w:val="0"/>
          <w:szCs w:val="22"/>
        </w:rPr>
        <w:t>Map C-1</w:t>
      </w:r>
    </w:p>
    <w:p w:rsidR="00C81B24" w:rsidRPr="00C81B24" w:rsidRDefault="00C81B24" w:rsidP="00CE5850">
      <w:pPr>
        <w:jc w:val="center"/>
        <w:rPr>
          <w:b/>
          <w:bCs/>
          <w:kern w:val="0"/>
          <w:szCs w:val="22"/>
        </w:rPr>
      </w:pPr>
      <w:r w:rsidRPr="00C81B24">
        <w:rPr>
          <w:b/>
          <w:bCs/>
          <w:kern w:val="0"/>
          <w:szCs w:val="22"/>
        </w:rPr>
        <w:t xml:space="preserve"> Mobile Wireless Coverage by Number of Providers</w:t>
      </w:r>
      <w:bookmarkEnd w:id="6954"/>
      <w:bookmarkEnd w:id="6955"/>
      <w:r w:rsidRPr="00C81B24">
        <w:rPr>
          <w:b/>
          <w:bCs/>
          <w:kern w:val="0"/>
          <w:szCs w:val="22"/>
        </w:rPr>
        <w:t>, 2012</w:t>
      </w:r>
    </w:p>
    <w:p w:rsidR="00C81B24" w:rsidRPr="00C81B24" w:rsidRDefault="00C81B24" w:rsidP="00CE5850">
      <w:pPr>
        <w:jc w:val="center"/>
        <w:rPr>
          <w:b/>
          <w:bCs/>
          <w:kern w:val="0"/>
          <w:szCs w:val="22"/>
        </w:rPr>
      </w:pPr>
      <w:r>
        <w:rPr>
          <w:b/>
          <w:bCs/>
          <w:noProof/>
          <w:kern w:val="0"/>
          <w:sz w:val="20"/>
        </w:rPr>
        <w:drawing>
          <wp:inline distT="0" distB="0" distL="0" distR="0" wp14:anchorId="7797B7CD" wp14:editId="12732B83">
            <wp:extent cx="5953125" cy="7696200"/>
            <wp:effectExtent l="0" t="0" r="9525" b="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5953125" cy="7696200"/>
                    </a:xfrm>
                    <a:prstGeom prst="rect">
                      <a:avLst/>
                    </a:prstGeom>
                    <a:noFill/>
                    <a:ln>
                      <a:noFill/>
                    </a:ln>
                  </pic:spPr>
                </pic:pic>
              </a:graphicData>
            </a:graphic>
          </wp:inline>
        </w:drawing>
      </w:r>
      <w:r w:rsidRPr="00C81B24">
        <w:rPr>
          <w:b/>
          <w:bCs/>
          <w:kern w:val="0"/>
          <w:sz w:val="20"/>
        </w:rPr>
        <w:br w:type="page"/>
      </w:r>
      <w:r w:rsidRPr="00C81B24">
        <w:rPr>
          <w:b/>
          <w:bCs/>
          <w:kern w:val="0"/>
          <w:szCs w:val="22"/>
        </w:rPr>
        <w:t>Map C-2</w:t>
      </w:r>
    </w:p>
    <w:p w:rsidR="00C81B24" w:rsidRPr="00C81B24" w:rsidRDefault="00C81B24" w:rsidP="00CE5850">
      <w:pPr>
        <w:jc w:val="center"/>
        <w:rPr>
          <w:b/>
          <w:bCs/>
          <w:kern w:val="0"/>
          <w:szCs w:val="22"/>
        </w:rPr>
      </w:pPr>
      <w:bookmarkStart w:id="6956" w:name="_Toc257296417"/>
      <w:bookmarkStart w:id="6957" w:name="_Toc278894612"/>
      <w:bookmarkStart w:id="6958" w:name="_Toc251320787"/>
      <w:bookmarkStart w:id="6959" w:name="_Toc251336891"/>
      <w:bookmarkStart w:id="6960" w:name="_Toc252283937"/>
      <w:bookmarkStart w:id="6961" w:name="_Toc252806254"/>
      <w:bookmarkStart w:id="6962" w:name="_Toc255568333"/>
      <w:bookmarkStart w:id="6963" w:name="_Toc255571695"/>
      <w:bookmarkStart w:id="6964" w:name="_Toc255571816"/>
      <w:bookmarkStart w:id="6965" w:name="_Toc256524377"/>
      <w:bookmarkStart w:id="6966" w:name="_Toc256612037"/>
      <w:r w:rsidRPr="00C81B24">
        <w:rPr>
          <w:b/>
          <w:bCs/>
          <w:kern w:val="0"/>
          <w:szCs w:val="22"/>
        </w:rPr>
        <w:t>Wireless Coverage by Number of Providers (2)</w:t>
      </w:r>
      <w:bookmarkEnd w:id="6956"/>
      <w:bookmarkEnd w:id="6957"/>
      <w:r w:rsidRPr="00C81B24">
        <w:rPr>
          <w:b/>
          <w:bCs/>
          <w:kern w:val="0"/>
          <w:szCs w:val="22"/>
        </w:rPr>
        <w:t>, 2012</w:t>
      </w:r>
    </w:p>
    <w:p w:rsidR="00C81B24" w:rsidRPr="00C81B24" w:rsidRDefault="00C81B24" w:rsidP="00CE5850">
      <w:pPr>
        <w:jc w:val="center"/>
        <w:rPr>
          <w:b/>
          <w:bCs/>
          <w:kern w:val="0"/>
          <w:szCs w:val="22"/>
        </w:rPr>
      </w:pPr>
      <w:r>
        <w:rPr>
          <w:b/>
          <w:bCs/>
          <w:noProof/>
          <w:kern w:val="0"/>
          <w:sz w:val="20"/>
        </w:rPr>
        <w:drawing>
          <wp:inline distT="0" distB="0" distL="0" distR="0" wp14:anchorId="4BC8CD2B" wp14:editId="7173D2EB">
            <wp:extent cx="5953125" cy="7696200"/>
            <wp:effectExtent l="0" t="0" r="9525" b="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5953125" cy="7696200"/>
                    </a:xfrm>
                    <a:prstGeom prst="rect">
                      <a:avLst/>
                    </a:prstGeom>
                    <a:noFill/>
                    <a:ln>
                      <a:noFill/>
                    </a:ln>
                  </pic:spPr>
                </pic:pic>
              </a:graphicData>
            </a:graphic>
          </wp:inline>
        </w:drawing>
      </w:r>
      <w:r w:rsidRPr="00C81B24">
        <w:rPr>
          <w:b/>
          <w:bCs/>
          <w:kern w:val="0"/>
          <w:sz w:val="20"/>
        </w:rPr>
        <w:br w:type="page"/>
      </w:r>
      <w:bookmarkStart w:id="6967" w:name="_Toc257296418"/>
      <w:bookmarkStart w:id="6968" w:name="_Toc278894613"/>
      <w:r w:rsidRPr="00C81B24">
        <w:rPr>
          <w:b/>
          <w:bCs/>
          <w:kern w:val="0"/>
          <w:szCs w:val="22"/>
        </w:rPr>
        <w:t>Map C-3</w:t>
      </w:r>
    </w:p>
    <w:p w:rsidR="00C81B24" w:rsidRPr="00C81B24" w:rsidRDefault="00C81B24" w:rsidP="00CE5850">
      <w:pPr>
        <w:jc w:val="center"/>
        <w:rPr>
          <w:b/>
          <w:bCs/>
          <w:kern w:val="0"/>
          <w:szCs w:val="22"/>
        </w:rPr>
      </w:pPr>
      <w:r w:rsidRPr="00C81B24">
        <w:rPr>
          <w:b/>
          <w:bCs/>
          <w:kern w:val="0"/>
          <w:szCs w:val="22"/>
        </w:rPr>
        <w:t>Wireless Coverage by Number of Providers by Region (Overview)</w:t>
      </w:r>
      <w:bookmarkEnd w:id="6967"/>
      <w:bookmarkEnd w:id="6968"/>
      <w:r w:rsidRPr="00C81B24">
        <w:rPr>
          <w:b/>
          <w:bCs/>
          <w:kern w:val="0"/>
          <w:szCs w:val="22"/>
        </w:rPr>
        <w:t>, 2012</w:t>
      </w:r>
    </w:p>
    <w:p w:rsidR="00C81B24" w:rsidRPr="00C81B24" w:rsidRDefault="00C81B24" w:rsidP="00CE5850">
      <w:pPr>
        <w:jc w:val="center"/>
        <w:rPr>
          <w:b/>
          <w:bCs/>
          <w:kern w:val="0"/>
          <w:szCs w:val="22"/>
        </w:rPr>
      </w:pPr>
      <w:r>
        <w:rPr>
          <w:b/>
          <w:bCs/>
          <w:noProof/>
          <w:kern w:val="0"/>
          <w:sz w:val="24"/>
        </w:rPr>
        <w:drawing>
          <wp:inline distT="0" distB="0" distL="0" distR="0" wp14:anchorId="036F7B95" wp14:editId="66E4C07E">
            <wp:extent cx="5924550" cy="7667625"/>
            <wp:effectExtent l="0" t="0" r="0" b="9525"/>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5924550" cy="7667625"/>
                    </a:xfrm>
                    <a:prstGeom prst="rect">
                      <a:avLst/>
                    </a:prstGeom>
                    <a:noFill/>
                    <a:ln>
                      <a:noFill/>
                    </a:ln>
                  </pic:spPr>
                </pic:pic>
              </a:graphicData>
            </a:graphic>
          </wp:inline>
        </w:drawing>
      </w:r>
      <w:r w:rsidRPr="00C81B24">
        <w:rPr>
          <w:b/>
          <w:bCs/>
          <w:kern w:val="0"/>
          <w:sz w:val="20"/>
        </w:rPr>
        <w:br w:type="page"/>
      </w:r>
      <w:bookmarkStart w:id="6969" w:name="_Toc278894614"/>
      <w:r w:rsidRPr="00C81B24">
        <w:rPr>
          <w:b/>
          <w:bCs/>
          <w:kern w:val="0"/>
          <w:szCs w:val="22"/>
        </w:rPr>
        <w:t>Map C-4</w:t>
      </w:r>
    </w:p>
    <w:p w:rsidR="00C81B24" w:rsidRPr="00C81B24" w:rsidRDefault="00C81B24" w:rsidP="00CE5850">
      <w:pPr>
        <w:jc w:val="center"/>
        <w:rPr>
          <w:b/>
          <w:bCs/>
          <w:kern w:val="0"/>
          <w:szCs w:val="22"/>
        </w:rPr>
      </w:pPr>
      <w:r w:rsidRPr="00C81B24">
        <w:rPr>
          <w:b/>
          <w:bCs/>
          <w:kern w:val="0"/>
          <w:szCs w:val="22"/>
        </w:rPr>
        <w:t>Wireless Coverage by Number of Providers by Region (1)</w:t>
      </w:r>
      <w:bookmarkEnd w:id="6969"/>
      <w:r w:rsidRPr="00C81B24">
        <w:rPr>
          <w:b/>
          <w:bCs/>
          <w:kern w:val="0"/>
          <w:szCs w:val="22"/>
        </w:rPr>
        <w:t>, 2012</w:t>
      </w:r>
    </w:p>
    <w:p w:rsidR="00C81B24" w:rsidRPr="00C81B24" w:rsidRDefault="00C81B24" w:rsidP="00CE5850">
      <w:pPr>
        <w:jc w:val="center"/>
        <w:rPr>
          <w:b/>
          <w:bCs/>
          <w:kern w:val="0"/>
          <w:szCs w:val="22"/>
        </w:rPr>
      </w:pPr>
      <w:r>
        <w:rPr>
          <w:b/>
          <w:bCs/>
          <w:noProof/>
          <w:kern w:val="0"/>
          <w:szCs w:val="22"/>
        </w:rPr>
        <w:drawing>
          <wp:inline distT="0" distB="0" distL="0" distR="0" wp14:anchorId="70B998E8" wp14:editId="1B2BF525">
            <wp:extent cx="5953125" cy="7696200"/>
            <wp:effectExtent l="0" t="0" r="9525" b="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5953125" cy="7696200"/>
                    </a:xfrm>
                    <a:prstGeom prst="rect">
                      <a:avLst/>
                    </a:prstGeom>
                    <a:noFill/>
                    <a:ln>
                      <a:noFill/>
                    </a:ln>
                  </pic:spPr>
                </pic:pic>
              </a:graphicData>
            </a:graphic>
          </wp:inline>
        </w:drawing>
      </w:r>
      <w:r w:rsidRPr="00C81B24">
        <w:rPr>
          <w:b/>
          <w:bCs/>
          <w:kern w:val="0"/>
          <w:szCs w:val="22"/>
        </w:rPr>
        <w:br w:type="page"/>
      </w:r>
      <w:bookmarkStart w:id="6970" w:name="_Toc278894615"/>
      <w:r w:rsidRPr="00C81B24">
        <w:rPr>
          <w:b/>
          <w:bCs/>
          <w:kern w:val="0"/>
          <w:szCs w:val="22"/>
        </w:rPr>
        <w:t>Map C-5</w:t>
      </w:r>
    </w:p>
    <w:p w:rsidR="00C81B24" w:rsidRPr="00C81B24" w:rsidRDefault="00C81B24" w:rsidP="00CE5850">
      <w:pPr>
        <w:jc w:val="center"/>
        <w:rPr>
          <w:b/>
          <w:bCs/>
          <w:kern w:val="0"/>
          <w:szCs w:val="22"/>
        </w:rPr>
      </w:pPr>
      <w:r w:rsidRPr="00C81B24">
        <w:rPr>
          <w:b/>
          <w:bCs/>
          <w:kern w:val="0"/>
          <w:szCs w:val="22"/>
        </w:rPr>
        <w:t>Wireless Coverage by Number of Providers by Region (2)</w:t>
      </w:r>
      <w:bookmarkEnd w:id="6970"/>
      <w:r w:rsidRPr="00C81B24">
        <w:rPr>
          <w:b/>
          <w:bCs/>
          <w:kern w:val="0"/>
          <w:szCs w:val="22"/>
        </w:rPr>
        <w:t>, 2012</w:t>
      </w:r>
    </w:p>
    <w:p w:rsidR="00C81B24" w:rsidRPr="00C81B24" w:rsidRDefault="00C81B24" w:rsidP="00CE5850">
      <w:pPr>
        <w:jc w:val="center"/>
        <w:rPr>
          <w:b/>
          <w:bCs/>
          <w:kern w:val="0"/>
          <w:szCs w:val="22"/>
        </w:rPr>
      </w:pPr>
      <w:r>
        <w:rPr>
          <w:b/>
          <w:bCs/>
          <w:noProof/>
          <w:kern w:val="0"/>
          <w:szCs w:val="22"/>
        </w:rPr>
        <w:drawing>
          <wp:inline distT="0" distB="0" distL="0" distR="0" wp14:anchorId="00683F79" wp14:editId="3A57ACD2">
            <wp:extent cx="5953125" cy="7696200"/>
            <wp:effectExtent l="0" t="0" r="9525" b="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5953125" cy="7696200"/>
                    </a:xfrm>
                    <a:prstGeom prst="rect">
                      <a:avLst/>
                    </a:prstGeom>
                    <a:noFill/>
                    <a:ln>
                      <a:noFill/>
                    </a:ln>
                  </pic:spPr>
                </pic:pic>
              </a:graphicData>
            </a:graphic>
          </wp:inline>
        </w:drawing>
      </w:r>
      <w:r w:rsidRPr="00C81B24">
        <w:rPr>
          <w:b/>
          <w:bCs/>
          <w:kern w:val="0"/>
          <w:szCs w:val="22"/>
        </w:rPr>
        <w:br w:type="page"/>
      </w:r>
      <w:bookmarkStart w:id="6971" w:name="_Toc278894616"/>
      <w:r w:rsidRPr="00C81B24">
        <w:rPr>
          <w:b/>
          <w:bCs/>
          <w:kern w:val="0"/>
          <w:szCs w:val="22"/>
        </w:rPr>
        <w:t>Map C-6</w:t>
      </w:r>
    </w:p>
    <w:p w:rsidR="00C81B24" w:rsidRPr="00C81B24" w:rsidRDefault="00C81B24" w:rsidP="00CE5850">
      <w:pPr>
        <w:jc w:val="center"/>
        <w:rPr>
          <w:b/>
          <w:bCs/>
          <w:kern w:val="0"/>
          <w:szCs w:val="22"/>
        </w:rPr>
      </w:pPr>
      <w:r w:rsidRPr="00C81B24">
        <w:rPr>
          <w:b/>
          <w:bCs/>
          <w:kern w:val="0"/>
          <w:szCs w:val="22"/>
        </w:rPr>
        <w:t>Wireless Coverage by Number of Providers by Region (3)</w:t>
      </w:r>
      <w:bookmarkEnd w:id="6971"/>
      <w:r w:rsidRPr="00C81B24">
        <w:rPr>
          <w:b/>
          <w:bCs/>
          <w:kern w:val="0"/>
          <w:szCs w:val="22"/>
        </w:rPr>
        <w:t>, 2012</w:t>
      </w:r>
    </w:p>
    <w:p w:rsidR="00C81B24" w:rsidRPr="00C81B24" w:rsidRDefault="00C81B24" w:rsidP="00CE5850">
      <w:pPr>
        <w:jc w:val="center"/>
        <w:rPr>
          <w:b/>
          <w:bCs/>
          <w:kern w:val="0"/>
          <w:szCs w:val="22"/>
        </w:rPr>
      </w:pPr>
      <w:r>
        <w:rPr>
          <w:b/>
          <w:bCs/>
          <w:noProof/>
          <w:kern w:val="0"/>
          <w:szCs w:val="22"/>
        </w:rPr>
        <w:drawing>
          <wp:inline distT="0" distB="0" distL="0" distR="0" wp14:anchorId="508DC00B" wp14:editId="690D405C">
            <wp:extent cx="5953125" cy="7696200"/>
            <wp:effectExtent l="0" t="0" r="9525" b="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5953125" cy="7696200"/>
                    </a:xfrm>
                    <a:prstGeom prst="rect">
                      <a:avLst/>
                    </a:prstGeom>
                    <a:noFill/>
                    <a:ln>
                      <a:noFill/>
                    </a:ln>
                  </pic:spPr>
                </pic:pic>
              </a:graphicData>
            </a:graphic>
          </wp:inline>
        </w:drawing>
      </w:r>
      <w:r w:rsidRPr="00C81B24">
        <w:rPr>
          <w:b/>
          <w:bCs/>
          <w:kern w:val="0"/>
          <w:szCs w:val="22"/>
        </w:rPr>
        <w:br w:type="page"/>
      </w:r>
      <w:bookmarkStart w:id="6972" w:name="_Toc278894617"/>
      <w:r w:rsidRPr="00C81B24">
        <w:rPr>
          <w:b/>
          <w:bCs/>
          <w:kern w:val="0"/>
          <w:szCs w:val="22"/>
        </w:rPr>
        <w:t>Map C-7</w:t>
      </w:r>
    </w:p>
    <w:p w:rsidR="00C81B24" w:rsidRPr="00C81B24" w:rsidRDefault="00C81B24" w:rsidP="00CE5850">
      <w:pPr>
        <w:jc w:val="center"/>
        <w:rPr>
          <w:b/>
          <w:bCs/>
          <w:kern w:val="0"/>
          <w:szCs w:val="22"/>
        </w:rPr>
      </w:pPr>
      <w:r w:rsidRPr="00C81B24">
        <w:rPr>
          <w:b/>
          <w:bCs/>
          <w:kern w:val="0"/>
          <w:szCs w:val="22"/>
        </w:rPr>
        <w:t>Wireless Coverage by Number of Providers by Region (4)</w:t>
      </w:r>
      <w:bookmarkEnd w:id="6972"/>
      <w:r w:rsidRPr="00C81B24">
        <w:rPr>
          <w:b/>
          <w:bCs/>
          <w:kern w:val="0"/>
          <w:szCs w:val="22"/>
        </w:rPr>
        <w:t>, 2012</w:t>
      </w:r>
    </w:p>
    <w:p w:rsidR="00C81B24" w:rsidRPr="00C81B24" w:rsidRDefault="00C81B24" w:rsidP="00CE5850">
      <w:pPr>
        <w:jc w:val="center"/>
        <w:rPr>
          <w:b/>
          <w:bCs/>
          <w:kern w:val="0"/>
          <w:szCs w:val="22"/>
        </w:rPr>
      </w:pPr>
      <w:r>
        <w:rPr>
          <w:b/>
          <w:bCs/>
          <w:noProof/>
          <w:kern w:val="0"/>
          <w:szCs w:val="22"/>
        </w:rPr>
        <w:drawing>
          <wp:inline distT="0" distB="0" distL="0" distR="0" wp14:anchorId="3C6AE582" wp14:editId="6BF38F21">
            <wp:extent cx="5953125" cy="7696200"/>
            <wp:effectExtent l="0" t="0" r="9525"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5953125" cy="7696200"/>
                    </a:xfrm>
                    <a:prstGeom prst="rect">
                      <a:avLst/>
                    </a:prstGeom>
                    <a:noFill/>
                    <a:ln>
                      <a:noFill/>
                    </a:ln>
                  </pic:spPr>
                </pic:pic>
              </a:graphicData>
            </a:graphic>
          </wp:inline>
        </w:drawing>
      </w:r>
      <w:r w:rsidRPr="00C81B24">
        <w:rPr>
          <w:b/>
          <w:bCs/>
          <w:kern w:val="0"/>
          <w:szCs w:val="22"/>
        </w:rPr>
        <w:br w:type="page"/>
      </w:r>
      <w:bookmarkStart w:id="6973" w:name="_Toc278894618"/>
      <w:r w:rsidRPr="00C81B24">
        <w:rPr>
          <w:b/>
          <w:bCs/>
          <w:kern w:val="0"/>
          <w:szCs w:val="22"/>
        </w:rPr>
        <w:t>Map C-8</w:t>
      </w:r>
    </w:p>
    <w:p w:rsidR="00C81B24" w:rsidRPr="00C81B24" w:rsidRDefault="00C81B24" w:rsidP="00CE5850">
      <w:pPr>
        <w:jc w:val="center"/>
        <w:rPr>
          <w:b/>
          <w:bCs/>
          <w:kern w:val="0"/>
          <w:szCs w:val="22"/>
        </w:rPr>
      </w:pPr>
      <w:r w:rsidRPr="00C81B24">
        <w:rPr>
          <w:b/>
          <w:bCs/>
          <w:kern w:val="0"/>
          <w:szCs w:val="22"/>
        </w:rPr>
        <w:t>Wireless Coverage by Number of Providers by Region (5)</w:t>
      </w:r>
      <w:bookmarkEnd w:id="6973"/>
      <w:r w:rsidRPr="00C81B24">
        <w:rPr>
          <w:b/>
          <w:bCs/>
          <w:kern w:val="0"/>
          <w:szCs w:val="22"/>
        </w:rPr>
        <w:t>, 2012</w:t>
      </w:r>
    </w:p>
    <w:p w:rsidR="00C81B24" w:rsidRPr="00C81B24" w:rsidRDefault="00C81B24" w:rsidP="00CE5850">
      <w:pPr>
        <w:jc w:val="center"/>
        <w:rPr>
          <w:b/>
          <w:bCs/>
          <w:kern w:val="0"/>
          <w:szCs w:val="22"/>
        </w:rPr>
      </w:pPr>
      <w:r>
        <w:rPr>
          <w:b/>
          <w:bCs/>
          <w:noProof/>
          <w:kern w:val="0"/>
          <w:szCs w:val="22"/>
        </w:rPr>
        <w:drawing>
          <wp:inline distT="0" distB="0" distL="0" distR="0" wp14:anchorId="79C6DC32" wp14:editId="5CFA6A11">
            <wp:extent cx="5934075" cy="7696200"/>
            <wp:effectExtent l="0" t="0" r="9525" b="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5934075" cy="7696200"/>
                    </a:xfrm>
                    <a:prstGeom prst="rect">
                      <a:avLst/>
                    </a:prstGeom>
                    <a:noFill/>
                    <a:ln>
                      <a:noFill/>
                    </a:ln>
                  </pic:spPr>
                </pic:pic>
              </a:graphicData>
            </a:graphic>
          </wp:inline>
        </w:drawing>
      </w:r>
      <w:r w:rsidRPr="00C81B24">
        <w:rPr>
          <w:b/>
          <w:bCs/>
          <w:kern w:val="0"/>
          <w:szCs w:val="22"/>
        </w:rPr>
        <w:br w:type="page"/>
      </w:r>
      <w:bookmarkStart w:id="6974" w:name="_Toc278894619"/>
      <w:r w:rsidRPr="00C81B24">
        <w:rPr>
          <w:b/>
          <w:bCs/>
          <w:kern w:val="0"/>
          <w:szCs w:val="22"/>
        </w:rPr>
        <w:t>Map C-9</w:t>
      </w:r>
    </w:p>
    <w:p w:rsidR="00C81B24" w:rsidRPr="00C81B24" w:rsidRDefault="00C81B24" w:rsidP="00CE5850">
      <w:pPr>
        <w:jc w:val="center"/>
        <w:rPr>
          <w:b/>
          <w:bCs/>
          <w:kern w:val="0"/>
          <w:szCs w:val="22"/>
        </w:rPr>
      </w:pPr>
      <w:r w:rsidRPr="00C81B24">
        <w:rPr>
          <w:b/>
          <w:bCs/>
          <w:kern w:val="0"/>
          <w:szCs w:val="22"/>
        </w:rPr>
        <w:t>Wireless Coverage by Number of Providers by Region (6)</w:t>
      </w:r>
      <w:bookmarkEnd w:id="6974"/>
      <w:r w:rsidRPr="00C81B24">
        <w:rPr>
          <w:b/>
          <w:bCs/>
          <w:kern w:val="0"/>
          <w:szCs w:val="22"/>
        </w:rPr>
        <w:t>, 2012</w:t>
      </w:r>
    </w:p>
    <w:p w:rsidR="00C81B24" w:rsidRPr="00C81B24" w:rsidRDefault="00C81B24" w:rsidP="00CE5850">
      <w:pPr>
        <w:jc w:val="center"/>
        <w:rPr>
          <w:b/>
          <w:bCs/>
          <w:kern w:val="0"/>
          <w:szCs w:val="22"/>
        </w:rPr>
      </w:pPr>
      <w:r>
        <w:rPr>
          <w:b/>
          <w:bCs/>
          <w:noProof/>
          <w:kern w:val="0"/>
          <w:szCs w:val="22"/>
        </w:rPr>
        <w:drawing>
          <wp:inline distT="0" distB="0" distL="0" distR="0" wp14:anchorId="0DC3EA6A" wp14:editId="3004AEFD">
            <wp:extent cx="5953125" cy="7696200"/>
            <wp:effectExtent l="0" t="0" r="9525" b="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5953125" cy="7696200"/>
                    </a:xfrm>
                    <a:prstGeom prst="rect">
                      <a:avLst/>
                    </a:prstGeom>
                    <a:noFill/>
                    <a:ln>
                      <a:noFill/>
                    </a:ln>
                  </pic:spPr>
                </pic:pic>
              </a:graphicData>
            </a:graphic>
          </wp:inline>
        </w:drawing>
      </w:r>
      <w:r w:rsidRPr="00C81B24">
        <w:rPr>
          <w:b/>
          <w:bCs/>
          <w:kern w:val="0"/>
          <w:szCs w:val="22"/>
        </w:rPr>
        <w:br w:type="page"/>
      </w:r>
      <w:bookmarkStart w:id="6975" w:name="_Toc278894620"/>
      <w:r w:rsidRPr="00C81B24">
        <w:rPr>
          <w:b/>
          <w:bCs/>
          <w:kern w:val="0"/>
          <w:szCs w:val="22"/>
        </w:rPr>
        <w:t>Map C-10</w:t>
      </w:r>
    </w:p>
    <w:p w:rsidR="00C81B24" w:rsidRPr="00C81B24" w:rsidRDefault="00C81B24" w:rsidP="00CE5850">
      <w:pPr>
        <w:jc w:val="center"/>
        <w:rPr>
          <w:b/>
          <w:bCs/>
          <w:kern w:val="0"/>
          <w:szCs w:val="22"/>
        </w:rPr>
      </w:pPr>
      <w:r w:rsidRPr="00C81B24">
        <w:rPr>
          <w:b/>
          <w:bCs/>
          <w:kern w:val="0"/>
          <w:szCs w:val="22"/>
        </w:rPr>
        <w:t>Wireless Coverage by Number of Providers by Region (7)</w:t>
      </w:r>
      <w:bookmarkEnd w:id="6975"/>
      <w:r w:rsidRPr="00C81B24">
        <w:rPr>
          <w:b/>
          <w:bCs/>
          <w:kern w:val="0"/>
          <w:szCs w:val="22"/>
        </w:rPr>
        <w:t>, 2012</w:t>
      </w:r>
    </w:p>
    <w:p w:rsidR="00C81B24" w:rsidRPr="00C81B24" w:rsidRDefault="00C81B24" w:rsidP="00CE5850">
      <w:pPr>
        <w:jc w:val="center"/>
        <w:rPr>
          <w:b/>
          <w:bCs/>
          <w:kern w:val="0"/>
          <w:szCs w:val="22"/>
        </w:rPr>
      </w:pPr>
      <w:r>
        <w:rPr>
          <w:b/>
          <w:bCs/>
          <w:noProof/>
          <w:kern w:val="0"/>
          <w:szCs w:val="22"/>
        </w:rPr>
        <w:drawing>
          <wp:inline distT="0" distB="0" distL="0" distR="0" wp14:anchorId="3EB9E884" wp14:editId="7D19EA2A">
            <wp:extent cx="5953125" cy="7696200"/>
            <wp:effectExtent l="0" t="0" r="9525" b="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5953125" cy="7696200"/>
                    </a:xfrm>
                    <a:prstGeom prst="rect">
                      <a:avLst/>
                    </a:prstGeom>
                    <a:noFill/>
                    <a:ln>
                      <a:noFill/>
                    </a:ln>
                  </pic:spPr>
                </pic:pic>
              </a:graphicData>
            </a:graphic>
          </wp:inline>
        </w:drawing>
      </w:r>
      <w:r w:rsidRPr="00C81B24">
        <w:rPr>
          <w:b/>
          <w:bCs/>
          <w:kern w:val="0"/>
          <w:szCs w:val="22"/>
        </w:rPr>
        <w:br w:type="page"/>
      </w:r>
      <w:bookmarkStart w:id="6976" w:name="_Toc278894621"/>
      <w:r w:rsidRPr="00C81B24">
        <w:rPr>
          <w:b/>
          <w:bCs/>
          <w:kern w:val="0"/>
          <w:szCs w:val="22"/>
        </w:rPr>
        <w:t>Map C-11</w:t>
      </w:r>
    </w:p>
    <w:p w:rsidR="00C81B24" w:rsidRPr="00C81B24" w:rsidRDefault="00C81B24" w:rsidP="00CE5850">
      <w:pPr>
        <w:jc w:val="center"/>
        <w:rPr>
          <w:b/>
          <w:bCs/>
          <w:kern w:val="0"/>
          <w:szCs w:val="22"/>
        </w:rPr>
      </w:pPr>
      <w:r w:rsidRPr="00C81B24">
        <w:rPr>
          <w:b/>
          <w:bCs/>
          <w:kern w:val="0"/>
          <w:szCs w:val="22"/>
        </w:rPr>
        <w:t>Wireless Coverage by Number of Providers by Region (8)</w:t>
      </w:r>
      <w:bookmarkEnd w:id="6976"/>
      <w:r w:rsidRPr="00C81B24">
        <w:rPr>
          <w:b/>
          <w:bCs/>
          <w:kern w:val="0"/>
          <w:szCs w:val="22"/>
        </w:rPr>
        <w:t>, 2012</w:t>
      </w:r>
    </w:p>
    <w:p w:rsidR="00C81B24" w:rsidRPr="00C81B24" w:rsidRDefault="00C81B24" w:rsidP="00CE5850">
      <w:pPr>
        <w:jc w:val="center"/>
        <w:rPr>
          <w:b/>
          <w:bCs/>
          <w:kern w:val="0"/>
          <w:szCs w:val="22"/>
        </w:rPr>
      </w:pPr>
      <w:r>
        <w:rPr>
          <w:b/>
          <w:bCs/>
          <w:noProof/>
          <w:kern w:val="0"/>
          <w:szCs w:val="22"/>
        </w:rPr>
        <w:drawing>
          <wp:inline distT="0" distB="0" distL="0" distR="0" wp14:anchorId="663941C5" wp14:editId="3D9D0DCA">
            <wp:extent cx="5934075" cy="7696200"/>
            <wp:effectExtent l="0" t="0" r="9525" b="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5934075" cy="7696200"/>
                    </a:xfrm>
                    <a:prstGeom prst="rect">
                      <a:avLst/>
                    </a:prstGeom>
                    <a:noFill/>
                    <a:ln>
                      <a:noFill/>
                    </a:ln>
                  </pic:spPr>
                </pic:pic>
              </a:graphicData>
            </a:graphic>
          </wp:inline>
        </w:drawing>
      </w:r>
      <w:r w:rsidRPr="00C81B24">
        <w:rPr>
          <w:b/>
          <w:bCs/>
          <w:kern w:val="0"/>
          <w:szCs w:val="22"/>
        </w:rPr>
        <w:br w:type="page"/>
      </w:r>
      <w:bookmarkStart w:id="6977" w:name="_Toc278894622"/>
      <w:r w:rsidRPr="00C81B24">
        <w:rPr>
          <w:b/>
          <w:bCs/>
          <w:kern w:val="0"/>
          <w:szCs w:val="22"/>
        </w:rPr>
        <w:t>Map C-12</w:t>
      </w:r>
    </w:p>
    <w:p w:rsidR="00C81B24" w:rsidRPr="00C81B24" w:rsidRDefault="00C81B24" w:rsidP="00CE5850">
      <w:pPr>
        <w:jc w:val="center"/>
        <w:rPr>
          <w:b/>
          <w:bCs/>
          <w:kern w:val="0"/>
          <w:szCs w:val="22"/>
        </w:rPr>
      </w:pPr>
      <w:r w:rsidRPr="00C81B24">
        <w:rPr>
          <w:b/>
          <w:bCs/>
          <w:kern w:val="0"/>
          <w:szCs w:val="22"/>
        </w:rPr>
        <w:t>Wireless Coverage by Number of Providers by Region (9)</w:t>
      </w:r>
      <w:bookmarkEnd w:id="6977"/>
      <w:r w:rsidRPr="00C81B24">
        <w:rPr>
          <w:b/>
          <w:bCs/>
          <w:kern w:val="0"/>
          <w:szCs w:val="22"/>
        </w:rPr>
        <w:t>, 2012</w:t>
      </w:r>
    </w:p>
    <w:p w:rsidR="00C81B24" w:rsidRPr="00C81B24" w:rsidRDefault="00C81B24" w:rsidP="00CE5850">
      <w:pPr>
        <w:jc w:val="center"/>
        <w:rPr>
          <w:b/>
          <w:bCs/>
          <w:kern w:val="0"/>
          <w:szCs w:val="22"/>
        </w:rPr>
      </w:pPr>
      <w:r>
        <w:rPr>
          <w:b/>
          <w:bCs/>
          <w:noProof/>
          <w:kern w:val="0"/>
          <w:szCs w:val="22"/>
        </w:rPr>
        <w:drawing>
          <wp:inline distT="0" distB="0" distL="0" distR="0" wp14:anchorId="4D26D573" wp14:editId="65D77929">
            <wp:extent cx="5934075" cy="7696200"/>
            <wp:effectExtent l="0" t="0" r="9525" b="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5934075" cy="7696200"/>
                    </a:xfrm>
                    <a:prstGeom prst="rect">
                      <a:avLst/>
                    </a:prstGeom>
                    <a:noFill/>
                    <a:ln>
                      <a:noFill/>
                    </a:ln>
                  </pic:spPr>
                </pic:pic>
              </a:graphicData>
            </a:graphic>
          </wp:inline>
        </w:drawing>
      </w:r>
    </w:p>
    <w:p w:rsidR="00C81B24" w:rsidRPr="00C81B24" w:rsidRDefault="00C81B24" w:rsidP="00CE5850">
      <w:pPr>
        <w:jc w:val="center"/>
        <w:rPr>
          <w:b/>
          <w:bCs/>
          <w:kern w:val="0"/>
          <w:szCs w:val="22"/>
        </w:rPr>
      </w:pPr>
      <w:r w:rsidRPr="00C81B24">
        <w:rPr>
          <w:b/>
          <w:bCs/>
          <w:kern w:val="0"/>
          <w:szCs w:val="22"/>
        </w:rPr>
        <w:br w:type="page"/>
      </w:r>
      <w:bookmarkStart w:id="6978" w:name="_Toc278894623"/>
      <w:r w:rsidRPr="00C81B24">
        <w:rPr>
          <w:b/>
          <w:bCs/>
          <w:kern w:val="0"/>
          <w:szCs w:val="22"/>
        </w:rPr>
        <w:t>Map C-13</w:t>
      </w:r>
    </w:p>
    <w:p w:rsidR="00C81B24" w:rsidRPr="00C81B24" w:rsidRDefault="00C81B24" w:rsidP="00CE5850">
      <w:pPr>
        <w:jc w:val="center"/>
        <w:rPr>
          <w:b/>
          <w:bCs/>
          <w:kern w:val="0"/>
          <w:szCs w:val="22"/>
        </w:rPr>
      </w:pPr>
      <w:r w:rsidRPr="00C81B24">
        <w:rPr>
          <w:b/>
          <w:bCs/>
          <w:kern w:val="0"/>
          <w:szCs w:val="22"/>
        </w:rPr>
        <w:t>Wireless Coverage by Number of Providers by Region (10)</w:t>
      </w:r>
      <w:bookmarkEnd w:id="6978"/>
      <w:r w:rsidRPr="00C81B24">
        <w:rPr>
          <w:b/>
          <w:bCs/>
          <w:kern w:val="0"/>
          <w:szCs w:val="22"/>
        </w:rPr>
        <w:t>, 2012</w:t>
      </w:r>
    </w:p>
    <w:p w:rsidR="00C81B24" w:rsidRPr="00C81B24" w:rsidRDefault="00C81B24" w:rsidP="00CE5850">
      <w:pPr>
        <w:jc w:val="center"/>
        <w:rPr>
          <w:b/>
          <w:bCs/>
          <w:kern w:val="0"/>
          <w:szCs w:val="22"/>
        </w:rPr>
      </w:pPr>
      <w:r>
        <w:rPr>
          <w:b/>
          <w:bCs/>
          <w:noProof/>
          <w:kern w:val="0"/>
          <w:szCs w:val="22"/>
        </w:rPr>
        <w:drawing>
          <wp:inline distT="0" distB="0" distL="0" distR="0" wp14:anchorId="165018AD" wp14:editId="19CF6537">
            <wp:extent cx="5953125" cy="7696200"/>
            <wp:effectExtent l="0" t="0" r="9525" b="0"/>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5953125" cy="7696200"/>
                    </a:xfrm>
                    <a:prstGeom prst="rect">
                      <a:avLst/>
                    </a:prstGeom>
                    <a:noFill/>
                    <a:ln>
                      <a:noFill/>
                    </a:ln>
                  </pic:spPr>
                </pic:pic>
              </a:graphicData>
            </a:graphic>
          </wp:inline>
        </w:drawing>
      </w:r>
      <w:r w:rsidRPr="00C81B24">
        <w:rPr>
          <w:b/>
          <w:bCs/>
          <w:kern w:val="0"/>
          <w:szCs w:val="22"/>
        </w:rPr>
        <w:br w:type="page"/>
      </w:r>
      <w:bookmarkStart w:id="6979" w:name="_Toc278894624"/>
      <w:r w:rsidRPr="00C81B24">
        <w:rPr>
          <w:b/>
          <w:bCs/>
          <w:kern w:val="0"/>
          <w:szCs w:val="22"/>
        </w:rPr>
        <w:t>Map C-14</w:t>
      </w:r>
    </w:p>
    <w:p w:rsidR="00C81B24" w:rsidRPr="00C81B24" w:rsidRDefault="00C81B24" w:rsidP="00CE5850">
      <w:pPr>
        <w:jc w:val="center"/>
        <w:rPr>
          <w:b/>
          <w:bCs/>
          <w:kern w:val="0"/>
          <w:szCs w:val="22"/>
        </w:rPr>
      </w:pPr>
      <w:r w:rsidRPr="00C81B24">
        <w:rPr>
          <w:b/>
          <w:bCs/>
          <w:kern w:val="0"/>
          <w:szCs w:val="22"/>
        </w:rPr>
        <w:t>Wireless Coverage by Number of Providers by Region (11)</w:t>
      </w:r>
      <w:bookmarkEnd w:id="6979"/>
      <w:r w:rsidRPr="00C81B24">
        <w:rPr>
          <w:b/>
          <w:bCs/>
          <w:kern w:val="0"/>
          <w:szCs w:val="22"/>
        </w:rPr>
        <w:t>, 2012</w:t>
      </w:r>
    </w:p>
    <w:p w:rsidR="00C81B24" w:rsidRPr="00C81B24" w:rsidRDefault="00C81B24" w:rsidP="00CE5850">
      <w:pPr>
        <w:jc w:val="center"/>
        <w:rPr>
          <w:b/>
          <w:bCs/>
          <w:kern w:val="0"/>
          <w:szCs w:val="22"/>
        </w:rPr>
      </w:pPr>
      <w:r>
        <w:rPr>
          <w:b/>
          <w:bCs/>
          <w:noProof/>
          <w:kern w:val="0"/>
          <w:szCs w:val="22"/>
        </w:rPr>
        <w:drawing>
          <wp:inline distT="0" distB="0" distL="0" distR="0" wp14:anchorId="446AA395" wp14:editId="4A12523C">
            <wp:extent cx="5934075" cy="7696200"/>
            <wp:effectExtent l="0" t="0" r="9525" b="0"/>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5934075" cy="7696200"/>
                    </a:xfrm>
                    <a:prstGeom prst="rect">
                      <a:avLst/>
                    </a:prstGeom>
                    <a:noFill/>
                    <a:ln>
                      <a:noFill/>
                    </a:ln>
                  </pic:spPr>
                </pic:pic>
              </a:graphicData>
            </a:graphic>
          </wp:inline>
        </w:drawing>
      </w:r>
      <w:r w:rsidRPr="00C81B24">
        <w:rPr>
          <w:b/>
          <w:bCs/>
          <w:kern w:val="0"/>
          <w:szCs w:val="22"/>
        </w:rPr>
        <w:br w:type="page"/>
      </w:r>
      <w:bookmarkStart w:id="6980" w:name="_Toc278894625"/>
      <w:r w:rsidRPr="00C81B24">
        <w:rPr>
          <w:b/>
          <w:bCs/>
          <w:kern w:val="0"/>
          <w:szCs w:val="22"/>
        </w:rPr>
        <w:t>Map C-15</w:t>
      </w:r>
    </w:p>
    <w:p w:rsidR="00C81B24" w:rsidRPr="00C81B24" w:rsidRDefault="00C81B24" w:rsidP="00CE5850">
      <w:pPr>
        <w:jc w:val="center"/>
        <w:rPr>
          <w:b/>
          <w:bCs/>
          <w:kern w:val="0"/>
          <w:szCs w:val="22"/>
        </w:rPr>
      </w:pPr>
      <w:r w:rsidRPr="00C81B24">
        <w:rPr>
          <w:b/>
          <w:bCs/>
          <w:kern w:val="0"/>
          <w:szCs w:val="22"/>
        </w:rPr>
        <w:t>Wireless Coverage by Number of Providers by Region (12)</w:t>
      </w:r>
      <w:bookmarkEnd w:id="6980"/>
      <w:r w:rsidRPr="00C81B24">
        <w:rPr>
          <w:b/>
          <w:bCs/>
          <w:kern w:val="0"/>
          <w:szCs w:val="22"/>
        </w:rPr>
        <w:t>, 2012</w:t>
      </w:r>
    </w:p>
    <w:p w:rsidR="00C81B24" w:rsidRPr="00C81B24" w:rsidRDefault="00C81B24" w:rsidP="00CE5850">
      <w:pPr>
        <w:jc w:val="center"/>
        <w:rPr>
          <w:b/>
          <w:bCs/>
          <w:kern w:val="0"/>
          <w:szCs w:val="22"/>
        </w:rPr>
      </w:pPr>
      <w:r>
        <w:rPr>
          <w:b/>
          <w:bCs/>
          <w:noProof/>
          <w:kern w:val="0"/>
          <w:szCs w:val="22"/>
        </w:rPr>
        <w:drawing>
          <wp:inline distT="0" distB="0" distL="0" distR="0" wp14:anchorId="3BE9B019" wp14:editId="0F1582EE">
            <wp:extent cx="5953125" cy="7696200"/>
            <wp:effectExtent l="0" t="0" r="9525" b="0"/>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5953125" cy="7696200"/>
                    </a:xfrm>
                    <a:prstGeom prst="rect">
                      <a:avLst/>
                    </a:prstGeom>
                    <a:noFill/>
                    <a:ln>
                      <a:noFill/>
                    </a:ln>
                  </pic:spPr>
                </pic:pic>
              </a:graphicData>
            </a:graphic>
          </wp:inline>
        </w:drawing>
      </w:r>
      <w:r w:rsidRPr="00C81B24">
        <w:rPr>
          <w:b/>
          <w:bCs/>
          <w:kern w:val="0"/>
          <w:szCs w:val="22"/>
        </w:rPr>
        <w:br w:type="page"/>
      </w:r>
      <w:bookmarkStart w:id="6981" w:name="_Toc278894626"/>
      <w:r w:rsidRPr="00C81B24">
        <w:rPr>
          <w:b/>
          <w:bCs/>
          <w:kern w:val="0"/>
          <w:szCs w:val="22"/>
        </w:rPr>
        <w:t>Map C-16</w:t>
      </w:r>
    </w:p>
    <w:p w:rsidR="00C81B24" w:rsidRPr="00C81B24" w:rsidRDefault="00C81B24" w:rsidP="00CE5850">
      <w:pPr>
        <w:jc w:val="center"/>
        <w:rPr>
          <w:b/>
          <w:bCs/>
          <w:kern w:val="0"/>
          <w:szCs w:val="22"/>
        </w:rPr>
      </w:pPr>
      <w:r w:rsidRPr="00C81B24">
        <w:rPr>
          <w:b/>
          <w:bCs/>
          <w:kern w:val="0"/>
          <w:szCs w:val="22"/>
        </w:rPr>
        <w:t>Wireless Coverage by Number of Providers by Region (13)</w:t>
      </w:r>
      <w:bookmarkEnd w:id="6981"/>
      <w:r w:rsidRPr="00C81B24">
        <w:rPr>
          <w:b/>
          <w:bCs/>
          <w:kern w:val="0"/>
          <w:szCs w:val="22"/>
        </w:rPr>
        <w:t>, 2012</w:t>
      </w:r>
    </w:p>
    <w:p w:rsidR="00C81B24" w:rsidRPr="00C81B24" w:rsidRDefault="00C81B24" w:rsidP="00CE5850">
      <w:pPr>
        <w:jc w:val="center"/>
        <w:rPr>
          <w:b/>
          <w:bCs/>
          <w:kern w:val="0"/>
          <w:szCs w:val="22"/>
        </w:rPr>
      </w:pPr>
      <w:r>
        <w:rPr>
          <w:b/>
          <w:bCs/>
          <w:noProof/>
          <w:kern w:val="0"/>
          <w:szCs w:val="22"/>
        </w:rPr>
        <w:drawing>
          <wp:inline distT="0" distB="0" distL="0" distR="0" wp14:anchorId="474CA1C1" wp14:editId="61E632EA">
            <wp:extent cx="5953125" cy="7696200"/>
            <wp:effectExtent l="0" t="0" r="9525" b="0"/>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5953125" cy="7696200"/>
                    </a:xfrm>
                    <a:prstGeom prst="rect">
                      <a:avLst/>
                    </a:prstGeom>
                    <a:noFill/>
                    <a:ln>
                      <a:noFill/>
                    </a:ln>
                  </pic:spPr>
                </pic:pic>
              </a:graphicData>
            </a:graphic>
          </wp:inline>
        </w:drawing>
      </w:r>
      <w:r w:rsidRPr="00C81B24">
        <w:rPr>
          <w:b/>
          <w:bCs/>
          <w:kern w:val="0"/>
          <w:szCs w:val="22"/>
        </w:rPr>
        <w:br w:type="page"/>
      </w:r>
      <w:bookmarkStart w:id="6982" w:name="_Toc278894627"/>
      <w:r w:rsidRPr="00C81B24">
        <w:rPr>
          <w:b/>
          <w:bCs/>
          <w:kern w:val="0"/>
          <w:szCs w:val="22"/>
        </w:rPr>
        <w:t>Map C-17</w:t>
      </w:r>
    </w:p>
    <w:p w:rsidR="00C81B24" w:rsidRPr="00C81B24" w:rsidRDefault="00C81B24" w:rsidP="00CE5850">
      <w:pPr>
        <w:jc w:val="center"/>
        <w:rPr>
          <w:b/>
          <w:bCs/>
          <w:kern w:val="0"/>
          <w:szCs w:val="22"/>
        </w:rPr>
      </w:pPr>
      <w:r w:rsidRPr="00C81B24">
        <w:rPr>
          <w:b/>
          <w:bCs/>
          <w:kern w:val="0"/>
          <w:szCs w:val="22"/>
        </w:rPr>
        <w:t>Wireless Coverage by Number of Providers by Region (14)</w:t>
      </w:r>
      <w:bookmarkEnd w:id="6982"/>
      <w:r w:rsidRPr="00C81B24">
        <w:rPr>
          <w:b/>
          <w:bCs/>
          <w:kern w:val="0"/>
          <w:szCs w:val="22"/>
        </w:rPr>
        <w:t>, 2012</w:t>
      </w:r>
    </w:p>
    <w:p w:rsidR="00C81B24" w:rsidRPr="00C81B24" w:rsidRDefault="00C81B24" w:rsidP="00CE5850">
      <w:pPr>
        <w:jc w:val="center"/>
        <w:rPr>
          <w:b/>
          <w:bCs/>
          <w:kern w:val="0"/>
          <w:szCs w:val="22"/>
        </w:rPr>
      </w:pPr>
      <w:r>
        <w:rPr>
          <w:b/>
          <w:bCs/>
          <w:noProof/>
          <w:kern w:val="0"/>
          <w:szCs w:val="22"/>
        </w:rPr>
        <w:drawing>
          <wp:inline distT="0" distB="0" distL="0" distR="0" wp14:anchorId="573C37FD" wp14:editId="3C3CBDDA">
            <wp:extent cx="5934075" cy="7696200"/>
            <wp:effectExtent l="0" t="0" r="9525" b="0"/>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5934075" cy="7696200"/>
                    </a:xfrm>
                    <a:prstGeom prst="rect">
                      <a:avLst/>
                    </a:prstGeom>
                    <a:noFill/>
                    <a:ln>
                      <a:noFill/>
                    </a:ln>
                  </pic:spPr>
                </pic:pic>
              </a:graphicData>
            </a:graphic>
          </wp:inline>
        </w:drawing>
      </w:r>
      <w:r w:rsidRPr="00C81B24">
        <w:rPr>
          <w:b/>
          <w:bCs/>
          <w:kern w:val="0"/>
          <w:szCs w:val="22"/>
        </w:rPr>
        <w:br w:type="page"/>
      </w:r>
      <w:bookmarkStart w:id="6983" w:name="_Toc278894628"/>
      <w:r w:rsidRPr="00C81B24">
        <w:rPr>
          <w:b/>
          <w:bCs/>
          <w:kern w:val="0"/>
          <w:szCs w:val="22"/>
        </w:rPr>
        <w:t>Map C-18</w:t>
      </w:r>
    </w:p>
    <w:p w:rsidR="00C81B24" w:rsidRPr="00C81B24" w:rsidRDefault="00C81B24" w:rsidP="00CE5850">
      <w:pPr>
        <w:jc w:val="center"/>
        <w:rPr>
          <w:b/>
          <w:bCs/>
          <w:kern w:val="0"/>
          <w:szCs w:val="22"/>
        </w:rPr>
      </w:pPr>
      <w:r w:rsidRPr="00C81B24">
        <w:rPr>
          <w:b/>
          <w:bCs/>
          <w:kern w:val="0"/>
          <w:szCs w:val="22"/>
        </w:rPr>
        <w:t>Wireless Coverage by Number of Providers by Region (15)</w:t>
      </w:r>
      <w:bookmarkEnd w:id="6983"/>
      <w:r w:rsidRPr="00C81B24">
        <w:rPr>
          <w:b/>
          <w:bCs/>
          <w:kern w:val="0"/>
          <w:szCs w:val="22"/>
        </w:rPr>
        <w:t>, 2012</w:t>
      </w:r>
    </w:p>
    <w:p w:rsidR="00C81B24" w:rsidRPr="00C81B24" w:rsidRDefault="00C81B24" w:rsidP="00CE5850">
      <w:pPr>
        <w:jc w:val="center"/>
        <w:rPr>
          <w:b/>
          <w:bCs/>
          <w:kern w:val="0"/>
          <w:szCs w:val="22"/>
        </w:rPr>
      </w:pPr>
    </w:p>
    <w:p w:rsidR="00C81B24" w:rsidRPr="00C81B24" w:rsidRDefault="00C81B24" w:rsidP="00CE5850">
      <w:pPr>
        <w:jc w:val="center"/>
        <w:rPr>
          <w:b/>
          <w:bCs/>
          <w:kern w:val="0"/>
          <w:szCs w:val="22"/>
        </w:rPr>
      </w:pPr>
      <w:r>
        <w:rPr>
          <w:b/>
          <w:bCs/>
          <w:noProof/>
          <w:kern w:val="0"/>
          <w:szCs w:val="22"/>
        </w:rPr>
        <w:drawing>
          <wp:inline distT="0" distB="0" distL="0" distR="0" wp14:anchorId="014C1EFA" wp14:editId="604D1AEF">
            <wp:extent cx="5524500" cy="7229475"/>
            <wp:effectExtent l="0" t="0" r="0" b="9525"/>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5524500" cy="7229475"/>
                    </a:xfrm>
                    <a:prstGeom prst="rect">
                      <a:avLst/>
                    </a:prstGeom>
                    <a:noFill/>
                    <a:ln>
                      <a:noFill/>
                    </a:ln>
                  </pic:spPr>
                </pic:pic>
              </a:graphicData>
            </a:graphic>
          </wp:inline>
        </w:drawing>
      </w:r>
      <w:r w:rsidRPr="00C81B24">
        <w:rPr>
          <w:b/>
          <w:bCs/>
          <w:kern w:val="0"/>
          <w:szCs w:val="22"/>
        </w:rPr>
        <w:br w:type="page"/>
      </w:r>
      <w:bookmarkStart w:id="6984" w:name="_Toc278894629"/>
      <w:r w:rsidRPr="00C81B24">
        <w:rPr>
          <w:b/>
          <w:bCs/>
          <w:kern w:val="0"/>
          <w:szCs w:val="22"/>
        </w:rPr>
        <w:t>Map C-19</w:t>
      </w:r>
    </w:p>
    <w:p w:rsidR="00C81B24" w:rsidRPr="00C81B24" w:rsidRDefault="00C81B24" w:rsidP="00CE5850">
      <w:pPr>
        <w:jc w:val="center"/>
        <w:rPr>
          <w:b/>
          <w:bCs/>
          <w:kern w:val="0"/>
          <w:szCs w:val="22"/>
        </w:rPr>
      </w:pPr>
      <w:r w:rsidRPr="00C81B24">
        <w:rPr>
          <w:b/>
          <w:bCs/>
          <w:kern w:val="0"/>
          <w:szCs w:val="22"/>
        </w:rPr>
        <w:t>Wireless Coverage by Number of Providers by Region (16)</w:t>
      </w:r>
      <w:bookmarkEnd w:id="6984"/>
      <w:r w:rsidRPr="00C81B24">
        <w:rPr>
          <w:b/>
          <w:bCs/>
          <w:kern w:val="0"/>
          <w:szCs w:val="22"/>
        </w:rPr>
        <w:t>, 2012</w:t>
      </w:r>
    </w:p>
    <w:p w:rsidR="00C81B24" w:rsidRPr="00C81B24" w:rsidRDefault="00C81B24" w:rsidP="00CE5850">
      <w:pPr>
        <w:jc w:val="center"/>
        <w:rPr>
          <w:rFonts w:ascii="Times New Roman Bold" w:hAnsi="Times New Roman Bold"/>
          <w:b/>
          <w:caps/>
          <w:spacing w:val="-2"/>
          <w:szCs w:val="22"/>
        </w:rPr>
      </w:pPr>
      <w:bookmarkStart w:id="6985" w:name="_Toc257296436"/>
      <w:r>
        <w:rPr>
          <w:rFonts w:ascii="Times New Roman Bold" w:hAnsi="Times New Roman Bold"/>
          <w:b/>
          <w:caps/>
          <w:noProof/>
          <w:spacing w:val="-2"/>
          <w:szCs w:val="22"/>
        </w:rPr>
        <w:drawing>
          <wp:inline distT="0" distB="0" distL="0" distR="0" wp14:anchorId="090F32EC" wp14:editId="27213C7C">
            <wp:extent cx="5934075" cy="7696200"/>
            <wp:effectExtent l="0" t="0" r="9525" b="0"/>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5934075" cy="7696200"/>
                    </a:xfrm>
                    <a:prstGeom prst="rect">
                      <a:avLst/>
                    </a:prstGeom>
                    <a:noFill/>
                    <a:ln>
                      <a:noFill/>
                    </a:ln>
                  </pic:spPr>
                </pic:pic>
              </a:graphicData>
            </a:graphic>
          </wp:inline>
        </w:drawing>
      </w:r>
      <w:r w:rsidRPr="00C81B24">
        <w:rPr>
          <w:rFonts w:ascii="Times New Roman Bold" w:hAnsi="Times New Roman Bold"/>
          <w:b/>
          <w:caps/>
          <w:spacing w:val="-2"/>
          <w:szCs w:val="22"/>
        </w:rPr>
        <w:br w:type="page"/>
      </w:r>
      <w:bookmarkStart w:id="6986" w:name="_Toc278894632"/>
    </w:p>
    <w:p w:rsidR="00C81B24" w:rsidRPr="00C81B24" w:rsidRDefault="00C81B24" w:rsidP="00CE5850">
      <w:pPr>
        <w:jc w:val="center"/>
        <w:rPr>
          <w:b/>
          <w:bCs/>
          <w:kern w:val="0"/>
          <w:szCs w:val="22"/>
        </w:rPr>
      </w:pPr>
      <w:r w:rsidRPr="00C81B24">
        <w:rPr>
          <w:b/>
          <w:bCs/>
          <w:kern w:val="0"/>
          <w:szCs w:val="22"/>
        </w:rPr>
        <w:t>Map C-20</w:t>
      </w:r>
    </w:p>
    <w:p w:rsidR="00C81B24" w:rsidRPr="00C81B24" w:rsidRDefault="00C81B24" w:rsidP="00CE5850">
      <w:pPr>
        <w:jc w:val="center"/>
        <w:rPr>
          <w:b/>
          <w:bCs/>
          <w:kern w:val="0"/>
          <w:szCs w:val="22"/>
        </w:rPr>
      </w:pPr>
      <w:r w:rsidRPr="00C81B24">
        <w:rPr>
          <w:b/>
          <w:bCs/>
          <w:kern w:val="0"/>
          <w:szCs w:val="22"/>
        </w:rPr>
        <w:t xml:space="preserve"> Coverage of the Top 4 Mobile Wireless Service Providers, 2012</w:t>
      </w:r>
    </w:p>
    <w:p w:rsidR="00C81B24" w:rsidRPr="00C81B24" w:rsidRDefault="00C81B24" w:rsidP="00CE5850">
      <w:pPr>
        <w:jc w:val="center"/>
        <w:rPr>
          <w:szCs w:val="22"/>
        </w:rPr>
      </w:pPr>
      <w:r>
        <w:rPr>
          <w:noProof/>
          <w:szCs w:val="22"/>
        </w:rPr>
        <w:drawing>
          <wp:inline distT="0" distB="0" distL="0" distR="0" wp14:anchorId="411A3617" wp14:editId="2599F06A">
            <wp:extent cx="5229225" cy="6772275"/>
            <wp:effectExtent l="0" t="0" r="9525" b="9525"/>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5229225" cy="6772275"/>
                    </a:xfrm>
                    <a:prstGeom prst="rect">
                      <a:avLst/>
                    </a:prstGeom>
                    <a:noFill/>
                    <a:ln>
                      <a:noFill/>
                    </a:ln>
                  </pic:spPr>
                </pic:pic>
              </a:graphicData>
            </a:graphic>
          </wp:inline>
        </w:drawing>
      </w:r>
    </w:p>
    <w:p w:rsidR="00C81B24" w:rsidRPr="00C81B24" w:rsidRDefault="00C81B24" w:rsidP="00CE5850">
      <w:pPr>
        <w:jc w:val="center"/>
        <w:rPr>
          <w:b/>
          <w:bCs/>
          <w:kern w:val="0"/>
          <w:szCs w:val="22"/>
        </w:rPr>
      </w:pPr>
    </w:p>
    <w:p w:rsidR="00C81B24" w:rsidRPr="00C81B24" w:rsidRDefault="00C81B24" w:rsidP="00CE5850">
      <w:pPr>
        <w:jc w:val="center"/>
        <w:rPr>
          <w:b/>
          <w:bCs/>
          <w:kern w:val="0"/>
          <w:szCs w:val="22"/>
        </w:rPr>
      </w:pPr>
    </w:p>
    <w:p w:rsidR="00C81B24" w:rsidRPr="00C81B24" w:rsidRDefault="00C81B24" w:rsidP="00CE5850">
      <w:pPr>
        <w:rPr>
          <w:szCs w:val="22"/>
        </w:rPr>
      </w:pPr>
    </w:p>
    <w:p w:rsidR="00C81B24" w:rsidRPr="00C81B24" w:rsidRDefault="00C81B24" w:rsidP="00CE5850">
      <w:pPr>
        <w:rPr>
          <w:szCs w:val="22"/>
        </w:rPr>
      </w:pPr>
    </w:p>
    <w:p w:rsidR="00C81B24" w:rsidRPr="00C81B24" w:rsidRDefault="00C81B24" w:rsidP="00CE5850">
      <w:pPr>
        <w:rPr>
          <w:szCs w:val="22"/>
        </w:rPr>
      </w:pPr>
    </w:p>
    <w:p w:rsidR="00C81B24" w:rsidRPr="00C81B24" w:rsidRDefault="00C81B24" w:rsidP="00CE5850">
      <w:pPr>
        <w:jc w:val="center"/>
        <w:rPr>
          <w:b/>
          <w:bCs/>
          <w:kern w:val="0"/>
          <w:szCs w:val="22"/>
        </w:rPr>
      </w:pPr>
      <w:r w:rsidRPr="00C81B24">
        <w:rPr>
          <w:b/>
          <w:bCs/>
          <w:kern w:val="0"/>
          <w:szCs w:val="22"/>
        </w:rPr>
        <w:t>Map C-21</w:t>
      </w:r>
    </w:p>
    <w:p w:rsidR="00C81B24" w:rsidRPr="00C81B24" w:rsidRDefault="00C81B24" w:rsidP="00CE5850">
      <w:pPr>
        <w:jc w:val="center"/>
        <w:rPr>
          <w:b/>
          <w:bCs/>
          <w:kern w:val="0"/>
          <w:szCs w:val="22"/>
        </w:rPr>
      </w:pPr>
      <w:r w:rsidRPr="00C81B24">
        <w:rPr>
          <w:b/>
          <w:bCs/>
          <w:kern w:val="0"/>
          <w:szCs w:val="22"/>
        </w:rPr>
        <w:t>U.S. County Density</w:t>
      </w:r>
      <w:bookmarkEnd w:id="6985"/>
      <w:bookmarkEnd w:id="6986"/>
    </w:p>
    <w:p w:rsidR="00C81B24" w:rsidRPr="00C81B24" w:rsidRDefault="00C81B24" w:rsidP="00CE5850">
      <w:pPr>
        <w:spacing w:before="240" w:after="240"/>
        <w:jc w:val="center"/>
        <w:rPr>
          <w:rFonts w:ascii="Times New Roman Bold" w:hAnsi="Times New Roman Bold"/>
          <w:b/>
          <w:caps/>
          <w:spacing w:val="-2"/>
          <w:sz w:val="20"/>
        </w:rPr>
      </w:pPr>
      <w:r>
        <w:rPr>
          <w:rFonts w:ascii="Times New Roman Bold" w:hAnsi="Times New Roman Bold"/>
          <w:b/>
          <w:caps/>
          <w:noProof/>
          <w:spacing w:val="-2"/>
          <w:sz w:val="20"/>
        </w:rPr>
        <w:drawing>
          <wp:inline distT="0" distB="0" distL="0" distR="0" wp14:anchorId="1DA8E71B" wp14:editId="73B6AD0E">
            <wp:extent cx="5438775" cy="7038975"/>
            <wp:effectExtent l="0" t="0" r="9525" b="9525"/>
            <wp:docPr id="111" name="Picture 25" descr="County_Density_2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ounty_Density_2010"/>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5438775" cy="7038975"/>
                    </a:xfrm>
                    <a:prstGeom prst="rect">
                      <a:avLst/>
                    </a:prstGeom>
                    <a:noFill/>
                    <a:ln>
                      <a:noFill/>
                    </a:ln>
                  </pic:spPr>
                </pic:pic>
              </a:graphicData>
            </a:graphic>
          </wp:inline>
        </w:drawing>
      </w:r>
      <w:bookmarkStart w:id="6987" w:name="_Toc257296446"/>
      <w:bookmarkStart w:id="6988" w:name="_Toc278894641"/>
    </w:p>
    <w:p w:rsidR="00C81B24" w:rsidRPr="00C81B24" w:rsidRDefault="00C81B24" w:rsidP="00CE5850">
      <w:pPr>
        <w:jc w:val="center"/>
        <w:rPr>
          <w:b/>
          <w:bCs/>
          <w:kern w:val="0"/>
          <w:sz w:val="20"/>
        </w:rPr>
      </w:pPr>
      <w:bookmarkStart w:id="6989" w:name="_Toc257296435"/>
      <w:bookmarkStart w:id="6990" w:name="_Toc278894631"/>
    </w:p>
    <w:p w:rsidR="00C81B24" w:rsidRPr="00C81B24" w:rsidRDefault="00C81B24" w:rsidP="00CE5850"/>
    <w:p w:rsidR="00C81B24" w:rsidRPr="00C81B24" w:rsidRDefault="00C81B24" w:rsidP="00CE5850"/>
    <w:p w:rsidR="00C81B24" w:rsidRPr="00C81B24" w:rsidRDefault="00C81B24" w:rsidP="00CE5850">
      <w:pPr>
        <w:jc w:val="center"/>
        <w:rPr>
          <w:b/>
          <w:bCs/>
          <w:kern w:val="0"/>
          <w:szCs w:val="22"/>
        </w:rPr>
      </w:pPr>
      <w:r w:rsidRPr="00C81B24">
        <w:rPr>
          <w:b/>
          <w:bCs/>
          <w:kern w:val="0"/>
          <w:szCs w:val="22"/>
        </w:rPr>
        <w:t>Map C-22</w:t>
      </w:r>
    </w:p>
    <w:p w:rsidR="00C81B24" w:rsidRPr="00C81B24" w:rsidRDefault="00C81B24" w:rsidP="00CE5850">
      <w:pPr>
        <w:jc w:val="center"/>
        <w:rPr>
          <w:b/>
          <w:bCs/>
          <w:kern w:val="0"/>
          <w:szCs w:val="22"/>
        </w:rPr>
      </w:pPr>
      <w:r w:rsidRPr="00C81B24">
        <w:rPr>
          <w:b/>
          <w:bCs/>
          <w:kern w:val="0"/>
          <w:szCs w:val="22"/>
        </w:rPr>
        <w:t xml:space="preserve"> U.S. Federal Lands</w:t>
      </w:r>
      <w:bookmarkEnd w:id="6989"/>
      <w:bookmarkEnd w:id="6990"/>
      <w:r w:rsidRPr="00C81B24">
        <w:rPr>
          <w:b/>
          <w:bCs/>
          <w:kern w:val="0"/>
          <w:szCs w:val="22"/>
        </w:rPr>
        <w:t>, 2012</w:t>
      </w:r>
    </w:p>
    <w:p w:rsidR="00C81B24" w:rsidRPr="00C81B24" w:rsidRDefault="00C81B24" w:rsidP="00CE5850">
      <w:pPr>
        <w:jc w:val="center"/>
        <w:rPr>
          <w:b/>
          <w:bCs/>
          <w:kern w:val="0"/>
          <w:szCs w:val="22"/>
        </w:rPr>
      </w:pPr>
      <w:r>
        <w:rPr>
          <w:b/>
          <w:bCs/>
          <w:noProof/>
          <w:kern w:val="0"/>
          <w:szCs w:val="22"/>
        </w:rPr>
        <w:drawing>
          <wp:inline distT="0" distB="0" distL="0" distR="0" wp14:anchorId="4219DF68" wp14:editId="759C7337">
            <wp:extent cx="5438775" cy="7038975"/>
            <wp:effectExtent l="0" t="0" r="9525" b="9525"/>
            <wp:docPr id="112" name="Picture 24" descr="Federal Lands Pop Distribution Modifi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Federal Lands Pop Distribution Modified"/>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5438775" cy="7038975"/>
                    </a:xfrm>
                    <a:prstGeom prst="rect">
                      <a:avLst/>
                    </a:prstGeom>
                    <a:noFill/>
                    <a:ln>
                      <a:noFill/>
                    </a:ln>
                  </pic:spPr>
                </pic:pic>
              </a:graphicData>
            </a:graphic>
          </wp:inline>
        </w:drawing>
      </w:r>
    </w:p>
    <w:p w:rsidR="00C81B24" w:rsidRPr="00C81B24" w:rsidRDefault="00C81B24" w:rsidP="00CE5850">
      <w:pPr>
        <w:jc w:val="center"/>
        <w:rPr>
          <w:b/>
          <w:bCs/>
          <w:kern w:val="0"/>
          <w:szCs w:val="22"/>
        </w:rPr>
      </w:pPr>
    </w:p>
    <w:p w:rsidR="00C81B24" w:rsidRPr="00C81B24" w:rsidRDefault="00C81B24" w:rsidP="00CE5850">
      <w:pPr>
        <w:jc w:val="center"/>
        <w:rPr>
          <w:b/>
          <w:bCs/>
          <w:kern w:val="0"/>
          <w:szCs w:val="22"/>
        </w:rPr>
      </w:pPr>
    </w:p>
    <w:p w:rsidR="00C81B24" w:rsidRPr="00C81B24" w:rsidRDefault="00C81B24" w:rsidP="00CE5850">
      <w:pPr>
        <w:rPr>
          <w:b/>
          <w:bCs/>
          <w:kern w:val="0"/>
          <w:szCs w:val="22"/>
        </w:rPr>
      </w:pPr>
    </w:p>
    <w:p w:rsidR="00C81B24" w:rsidRPr="00C81B24" w:rsidRDefault="00C81B24" w:rsidP="00CE5850">
      <w:pPr>
        <w:jc w:val="center"/>
        <w:rPr>
          <w:b/>
          <w:bCs/>
          <w:kern w:val="0"/>
          <w:szCs w:val="22"/>
        </w:rPr>
      </w:pPr>
    </w:p>
    <w:p w:rsidR="00C81B24" w:rsidRPr="00C81B24" w:rsidRDefault="00C81B24" w:rsidP="00CE5850">
      <w:pPr>
        <w:rPr>
          <w:b/>
          <w:bCs/>
          <w:kern w:val="0"/>
          <w:szCs w:val="22"/>
        </w:rPr>
      </w:pPr>
    </w:p>
    <w:p w:rsidR="00C81B24" w:rsidRPr="00C81B24" w:rsidRDefault="00C81B24" w:rsidP="00CE5850">
      <w:pPr>
        <w:rPr>
          <w:szCs w:val="22"/>
        </w:rPr>
      </w:pPr>
    </w:p>
    <w:p w:rsidR="00C81B24" w:rsidRPr="00C81B24" w:rsidRDefault="00C81B24" w:rsidP="00CE5850">
      <w:pPr>
        <w:ind w:left="2880" w:firstLine="720"/>
        <w:rPr>
          <w:b/>
          <w:bCs/>
          <w:kern w:val="0"/>
          <w:szCs w:val="22"/>
        </w:rPr>
      </w:pPr>
      <w:bookmarkStart w:id="6991" w:name="_Toc257296438"/>
      <w:bookmarkStart w:id="6992" w:name="_Toc278894633"/>
      <w:bookmarkEnd w:id="6987"/>
      <w:bookmarkEnd w:id="6988"/>
      <w:r w:rsidRPr="00C81B24">
        <w:rPr>
          <w:b/>
          <w:bCs/>
          <w:kern w:val="0"/>
          <w:szCs w:val="22"/>
        </w:rPr>
        <w:t xml:space="preserve">   </w:t>
      </w:r>
      <w:r w:rsidRPr="00C81B24">
        <w:rPr>
          <w:b/>
          <w:bCs/>
          <w:kern w:val="0"/>
          <w:szCs w:val="22"/>
        </w:rPr>
        <w:tab/>
        <w:t>Map C-23</w:t>
      </w:r>
    </w:p>
    <w:p w:rsidR="00C81B24" w:rsidRPr="00C81B24" w:rsidRDefault="00C81B24" w:rsidP="00CE5850">
      <w:pPr>
        <w:jc w:val="center"/>
        <w:rPr>
          <w:b/>
          <w:bCs/>
          <w:kern w:val="0"/>
          <w:szCs w:val="22"/>
        </w:rPr>
      </w:pPr>
      <w:r w:rsidRPr="00C81B24">
        <w:rPr>
          <w:b/>
          <w:bCs/>
          <w:kern w:val="0"/>
          <w:szCs w:val="22"/>
        </w:rPr>
        <w:t>Mobile Wireless Digital Coverage</w:t>
      </w:r>
      <w:bookmarkEnd w:id="6991"/>
      <w:bookmarkEnd w:id="6992"/>
      <w:r w:rsidRPr="00C81B24">
        <w:rPr>
          <w:b/>
          <w:bCs/>
          <w:kern w:val="0"/>
          <w:szCs w:val="22"/>
        </w:rPr>
        <w:t>, 2012</w:t>
      </w:r>
    </w:p>
    <w:p w:rsidR="00C81B24" w:rsidRPr="00C81B24" w:rsidRDefault="00C81B24" w:rsidP="00CE5850">
      <w:pPr>
        <w:jc w:val="center"/>
        <w:rPr>
          <w:b/>
          <w:szCs w:val="22"/>
        </w:rPr>
      </w:pPr>
    </w:p>
    <w:p w:rsidR="00C81B24" w:rsidRPr="00C81B24" w:rsidRDefault="00C81B24" w:rsidP="00CE5850">
      <w:pPr>
        <w:jc w:val="center"/>
        <w:rPr>
          <w:b/>
          <w:szCs w:val="22"/>
        </w:rPr>
      </w:pPr>
      <w:r>
        <w:rPr>
          <w:b/>
          <w:noProof/>
          <w:szCs w:val="22"/>
        </w:rPr>
        <w:drawing>
          <wp:inline distT="0" distB="0" distL="0" distR="0" wp14:anchorId="0DFD0E67" wp14:editId="401E3DD7">
            <wp:extent cx="4991100" cy="6467475"/>
            <wp:effectExtent l="0" t="0" r="0" b="9525"/>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4991100" cy="6467475"/>
                    </a:xfrm>
                    <a:prstGeom prst="rect">
                      <a:avLst/>
                    </a:prstGeom>
                    <a:noFill/>
                    <a:ln>
                      <a:noFill/>
                    </a:ln>
                  </pic:spPr>
                </pic:pic>
              </a:graphicData>
            </a:graphic>
          </wp:inline>
        </w:drawing>
      </w:r>
    </w:p>
    <w:p w:rsidR="00C81B24" w:rsidRPr="00C81B24" w:rsidRDefault="00C81B24" w:rsidP="00CE5850">
      <w:pPr>
        <w:jc w:val="center"/>
        <w:rPr>
          <w:b/>
          <w:szCs w:val="22"/>
        </w:rPr>
      </w:pPr>
    </w:p>
    <w:p w:rsidR="00C81B24" w:rsidRPr="00C81B24" w:rsidRDefault="00C81B24" w:rsidP="00CE5850">
      <w:pPr>
        <w:jc w:val="center"/>
        <w:rPr>
          <w:b/>
          <w:szCs w:val="22"/>
        </w:rPr>
      </w:pPr>
    </w:p>
    <w:p w:rsidR="00C81B24" w:rsidRPr="00C81B24" w:rsidRDefault="00C81B24" w:rsidP="00CE5850">
      <w:pPr>
        <w:rPr>
          <w:b/>
          <w:szCs w:val="22"/>
        </w:rPr>
      </w:pPr>
    </w:p>
    <w:p w:rsidR="00C81B24" w:rsidRPr="00C81B24" w:rsidRDefault="00C81B24" w:rsidP="00CE5850">
      <w:pPr>
        <w:jc w:val="center"/>
        <w:rPr>
          <w:b/>
          <w:szCs w:val="22"/>
        </w:rPr>
      </w:pPr>
      <w:bookmarkStart w:id="6993" w:name="_Toc257296439"/>
      <w:bookmarkStart w:id="6994" w:name="_Toc278894634"/>
      <w:r w:rsidRPr="00C81B24">
        <w:rPr>
          <w:b/>
          <w:szCs w:val="22"/>
        </w:rPr>
        <w:t>Map C-24</w:t>
      </w:r>
    </w:p>
    <w:p w:rsidR="00C81B24" w:rsidRPr="00C81B24" w:rsidRDefault="00C81B24" w:rsidP="00CE5850">
      <w:pPr>
        <w:jc w:val="center"/>
        <w:rPr>
          <w:b/>
          <w:szCs w:val="22"/>
        </w:rPr>
      </w:pPr>
      <w:r w:rsidRPr="00C81B24">
        <w:rPr>
          <w:b/>
          <w:szCs w:val="22"/>
        </w:rPr>
        <w:t>Mobile Wireless Digital Coverage (2)</w:t>
      </w:r>
      <w:bookmarkEnd w:id="6993"/>
      <w:bookmarkEnd w:id="6994"/>
      <w:r w:rsidRPr="00C81B24">
        <w:rPr>
          <w:b/>
          <w:szCs w:val="22"/>
        </w:rPr>
        <w:t>, 2012</w:t>
      </w:r>
    </w:p>
    <w:p w:rsidR="00C81B24" w:rsidRPr="00C81B24" w:rsidRDefault="00C81B24" w:rsidP="00CE5850">
      <w:pPr>
        <w:rPr>
          <w:b/>
          <w:szCs w:val="22"/>
        </w:rPr>
      </w:pPr>
      <w:r>
        <w:rPr>
          <w:b/>
          <w:noProof/>
          <w:szCs w:val="22"/>
        </w:rPr>
        <w:drawing>
          <wp:inline distT="0" distB="0" distL="0" distR="0" wp14:anchorId="63373253" wp14:editId="57929675">
            <wp:extent cx="5953125" cy="7696200"/>
            <wp:effectExtent l="0" t="0" r="9525" b="0"/>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5953125" cy="7696200"/>
                    </a:xfrm>
                    <a:prstGeom prst="rect">
                      <a:avLst/>
                    </a:prstGeom>
                    <a:noFill/>
                    <a:ln>
                      <a:noFill/>
                    </a:ln>
                  </pic:spPr>
                </pic:pic>
              </a:graphicData>
            </a:graphic>
          </wp:inline>
        </w:drawing>
      </w:r>
    </w:p>
    <w:p w:rsidR="00C81B24" w:rsidRPr="00C81B24" w:rsidRDefault="00C81B24" w:rsidP="00CE5850">
      <w:pPr>
        <w:jc w:val="center"/>
        <w:rPr>
          <w:b/>
          <w:szCs w:val="22"/>
        </w:rPr>
      </w:pPr>
      <w:bookmarkStart w:id="6995" w:name="_Toc257296440"/>
      <w:bookmarkStart w:id="6996" w:name="_Toc278894635"/>
      <w:r w:rsidRPr="00C81B24">
        <w:rPr>
          <w:b/>
          <w:szCs w:val="22"/>
        </w:rPr>
        <w:t>Map C-25</w:t>
      </w:r>
    </w:p>
    <w:p w:rsidR="00C81B24" w:rsidRPr="00C81B24" w:rsidRDefault="00C81B24" w:rsidP="00CE5850">
      <w:pPr>
        <w:jc w:val="center"/>
        <w:rPr>
          <w:b/>
          <w:szCs w:val="22"/>
        </w:rPr>
      </w:pPr>
      <w:r w:rsidRPr="00C81B24">
        <w:rPr>
          <w:b/>
          <w:szCs w:val="22"/>
        </w:rPr>
        <w:t xml:space="preserve"> Mobile Wireless Coverage: CDMA Path</w:t>
      </w:r>
      <w:bookmarkEnd w:id="6995"/>
      <w:bookmarkEnd w:id="6996"/>
      <w:r w:rsidRPr="00C81B24">
        <w:rPr>
          <w:b/>
          <w:szCs w:val="22"/>
        </w:rPr>
        <w:t>, 2012</w:t>
      </w:r>
    </w:p>
    <w:p w:rsidR="00C81B24" w:rsidRPr="00C81B24" w:rsidRDefault="00C81B24" w:rsidP="00CE5850">
      <w:pPr>
        <w:jc w:val="center"/>
        <w:rPr>
          <w:b/>
          <w:szCs w:val="22"/>
        </w:rPr>
      </w:pPr>
    </w:p>
    <w:p w:rsidR="00C81B24" w:rsidRPr="00C81B24" w:rsidRDefault="00C81B24" w:rsidP="00CE5850">
      <w:pPr>
        <w:jc w:val="center"/>
        <w:rPr>
          <w:b/>
          <w:szCs w:val="22"/>
        </w:rPr>
      </w:pPr>
      <w:r>
        <w:rPr>
          <w:b/>
          <w:noProof/>
          <w:szCs w:val="22"/>
        </w:rPr>
        <w:drawing>
          <wp:inline distT="0" distB="0" distL="0" distR="0" wp14:anchorId="2DA2ED75" wp14:editId="5E7C6B02">
            <wp:extent cx="5295900" cy="6848475"/>
            <wp:effectExtent l="0" t="0" r="0" b="9525"/>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5295900" cy="6848475"/>
                    </a:xfrm>
                    <a:prstGeom prst="rect">
                      <a:avLst/>
                    </a:prstGeom>
                    <a:noFill/>
                    <a:ln>
                      <a:noFill/>
                    </a:ln>
                  </pic:spPr>
                </pic:pic>
              </a:graphicData>
            </a:graphic>
          </wp:inline>
        </w:drawing>
      </w:r>
    </w:p>
    <w:p w:rsidR="00C81B24" w:rsidRPr="00C81B24" w:rsidRDefault="00C81B24" w:rsidP="00CE5850">
      <w:pPr>
        <w:jc w:val="center"/>
        <w:rPr>
          <w:b/>
          <w:szCs w:val="22"/>
        </w:rPr>
      </w:pPr>
    </w:p>
    <w:p w:rsidR="00C81B24" w:rsidRPr="00C81B24" w:rsidRDefault="00C81B24" w:rsidP="00CE5850">
      <w:pPr>
        <w:rPr>
          <w:b/>
          <w:szCs w:val="22"/>
        </w:rPr>
      </w:pPr>
    </w:p>
    <w:p w:rsidR="00C81B24" w:rsidRPr="00C81B24" w:rsidRDefault="00C81B24" w:rsidP="00CE5850">
      <w:pPr>
        <w:rPr>
          <w:b/>
          <w:szCs w:val="22"/>
        </w:rPr>
      </w:pPr>
    </w:p>
    <w:p w:rsidR="00C81B24" w:rsidRPr="00C81B24" w:rsidRDefault="00C81B24" w:rsidP="00CE5850">
      <w:pPr>
        <w:jc w:val="center"/>
        <w:rPr>
          <w:b/>
          <w:szCs w:val="22"/>
        </w:rPr>
      </w:pPr>
    </w:p>
    <w:p w:rsidR="00C81B24" w:rsidRPr="00C81B24" w:rsidRDefault="00C81B24" w:rsidP="00CE5850">
      <w:pPr>
        <w:jc w:val="center"/>
        <w:rPr>
          <w:b/>
          <w:szCs w:val="22"/>
        </w:rPr>
      </w:pPr>
    </w:p>
    <w:p w:rsidR="00C81B24" w:rsidRPr="00C81B24" w:rsidRDefault="00C81B24" w:rsidP="00CE5850">
      <w:pPr>
        <w:jc w:val="center"/>
        <w:rPr>
          <w:b/>
          <w:szCs w:val="22"/>
        </w:rPr>
      </w:pPr>
      <w:bookmarkStart w:id="6997" w:name="_Toc257296441"/>
      <w:bookmarkStart w:id="6998" w:name="_Toc278894636"/>
      <w:r w:rsidRPr="00C81B24">
        <w:rPr>
          <w:b/>
          <w:szCs w:val="22"/>
        </w:rPr>
        <w:t>Map C-26</w:t>
      </w:r>
    </w:p>
    <w:p w:rsidR="00C81B24" w:rsidRPr="00C81B24" w:rsidRDefault="00C81B24" w:rsidP="00CE5850">
      <w:pPr>
        <w:jc w:val="center"/>
        <w:rPr>
          <w:b/>
          <w:szCs w:val="22"/>
        </w:rPr>
      </w:pPr>
      <w:r w:rsidRPr="00C81B24">
        <w:rPr>
          <w:b/>
          <w:szCs w:val="22"/>
        </w:rPr>
        <w:t>Mobile Wireless Coverage: CDMA Path (2)</w:t>
      </w:r>
      <w:bookmarkEnd w:id="6997"/>
      <w:bookmarkEnd w:id="6998"/>
      <w:r w:rsidRPr="00C81B24">
        <w:rPr>
          <w:b/>
          <w:szCs w:val="22"/>
        </w:rPr>
        <w:t>, 2012</w:t>
      </w:r>
    </w:p>
    <w:p w:rsidR="00C81B24" w:rsidRPr="00C81B24" w:rsidRDefault="00C81B24" w:rsidP="00CE5850">
      <w:pPr>
        <w:rPr>
          <w:b/>
          <w:szCs w:val="22"/>
        </w:rPr>
      </w:pPr>
    </w:p>
    <w:p w:rsidR="00C81B24" w:rsidRPr="00C81B24" w:rsidRDefault="00C81B24" w:rsidP="00CE5850">
      <w:pPr>
        <w:jc w:val="center"/>
        <w:rPr>
          <w:b/>
          <w:szCs w:val="22"/>
        </w:rPr>
      </w:pPr>
      <w:r>
        <w:rPr>
          <w:b/>
          <w:noProof/>
          <w:szCs w:val="22"/>
        </w:rPr>
        <w:drawing>
          <wp:inline distT="0" distB="0" distL="0" distR="0" wp14:anchorId="66220CD5" wp14:editId="435330CE">
            <wp:extent cx="4933950" cy="6391275"/>
            <wp:effectExtent l="0" t="0" r="0" b="9525"/>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4933950" cy="6391275"/>
                    </a:xfrm>
                    <a:prstGeom prst="rect">
                      <a:avLst/>
                    </a:prstGeom>
                    <a:noFill/>
                    <a:ln>
                      <a:noFill/>
                    </a:ln>
                  </pic:spPr>
                </pic:pic>
              </a:graphicData>
            </a:graphic>
          </wp:inline>
        </w:drawing>
      </w:r>
    </w:p>
    <w:p w:rsidR="00C81B24" w:rsidRPr="00C81B24" w:rsidRDefault="00C81B24" w:rsidP="00CE5850">
      <w:pPr>
        <w:jc w:val="center"/>
        <w:rPr>
          <w:b/>
          <w:szCs w:val="22"/>
        </w:rPr>
      </w:pPr>
    </w:p>
    <w:p w:rsidR="00C81B24" w:rsidRPr="00C81B24" w:rsidRDefault="00C81B24" w:rsidP="00CE5850">
      <w:pPr>
        <w:jc w:val="center"/>
        <w:rPr>
          <w:b/>
          <w:szCs w:val="22"/>
        </w:rPr>
      </w:pPr>
    </w:p>
    <w:p w:rsidR="00C81B24" w:rsidRPr="00C81B24" w:rsidRDefault="00C81B24" w:rsidP="00CE5850">
      <w:pPr>
        <w:jc w:val="center"/>
        <w:rPr>
          <w:b/>
          <w:szCs w:val="22"/>
        </w:rPr>
      </w:pPr>
    </w:p>
    <w:p w:rsidR="00C81B24" w:rsidRPr="00C81B24" w:rsidRDefault="00C81B24" w:rsidP="00CE5850">
      <w:pPr>
        <w:jc w:val="center"/>
        <w:rPr>
          <w:b/>
          <w:szCs w:val="22"/>
        </w:rPr>
      </w:pPr>
    </w:p>
    <w:p w:rsidR="00C81B24" w:rsidRPr="00C81B24" w:rsidRDefault="00C81B24" w:rsidP="00CE5850">
      <w:pPr>
        <w:jc w:val="center"/>
        <w:rPr>
          <w:b/>
          <w:szCs w:val="22"/>
        </w:rPr>
      </w:pPr>
    </w:p>
    <w:p w:rsidR="00C81B24" w:rsidRPr="00C81B24" w:rsidRDefault="00C81B24" w:rsidP="00CE5850">
      <w:pPr>
        <w:jc w:val="center"/>
        <w:rPr>
          <w:b/>
          <w:szCs w:val="22"/>
        </w:rPr>
      </w:pPr>
    </w:p>
    <w:p w:rsidR="00C81B24" w:rsidRPr="00C81B24" w:rsidRDefault="00C81B24" w:rsidP="00CE5850">
      <w:pPr>
        <w:jc w:val="center"/>
        <w:rPr>
          <w:b/>
          <w:szCs w:val="22"/>
        </w:rPr>
      </w:pPr>
    </w:p>
    <w:p w:rsidR="00C81B24" w:rsidRPr="00C81B24" w:rsidRDefault="00C81B24" w:rsidP="00CE5850">
      <w:pPr>
        <w:jc w:val="center"/>
        <w:rPr>
          <w:b/>
          <w:bCs/>
          <w:kern w:val="0"/>
          <w:szCs w:val="22"/>
        </w:rPr>
      </w:pPr>
      <w:bookmarkStart w:id="6999" w:name="_Toc257296442"/>
      <w:bookmarkStart w:id="7000" w:name="_Toc278894637"/>
      <w:r w:rsidRPr="00C81B24">
        <w:rPr>
          <w:b/>
          <w:bCs/>
          <w:kern w:val="0"/>
          <w:szCs w:val="22"/>
        </w:rPr>
        <w:t>Map C-27</w:t>
      </w:r>
    </w:p>
    <w:p w:rsidR="00C81B24" w:rsidRPr="00C81B24" w:rsidRDefault="00C81B24" w:rsidP="00CE5850">
      <w:pPr>
        <w:jc w:val="center"/>
        <w:rPr>
          <w:b/>
          <w:bCs/>
          <w:kern w:val="0"/>
          <w:szCs w:val="22"/>
        </w:rPr>
      </w:pPr>
      <w:r w:rsidRPr="00C81B24">
        <w:rPr>
          <w:b/>
          <w:bCs/>
          <w:kern w:val="0"/>
          <w:szCs w:val="22"/>
        </w:rPr>
        <w:t xml:space="preserve"> Mobile Wireless Coverage: GSM Path</w:t>
      </w:r>
      <w:bookmarkEnd w:id="6999"/>
      <w:bookmarkEnd w:id="7000"/>
    </w:p>
    <w:p w:rsidR="00C81B24" w:rsidRPr="00C81B24" w:rsidRDefault="00C81B24" w:rsidP="00CE5850">
      <w:pPr>
        <w:jc w:val="center"/>
        <w:rPr>
          <w:b/>
          <w:szCs w:val="22"/>
        </w:rPr>
      </w:pPr>
    </w:p>
    <w:p w:rsidR="00C81B24" w:rsidRPr="00C81B24" w:rsidRDefault="00C81B24" w:rsidP="00CE5850">
      <w:pPr>
        <w:jc w:val="center"/>
        <w:rPr>
          <w:b/>
          <w:szCs w:val="22"/>
        </w:rPr>
      </w:pPr>
    </w:p>
    <w:p w:rsidR="00C81B24" w:rsidRPr="00C81B24" w:rsidRDefault="00C81B24" w:rsidP="00CE5850">
      <w:pPr>
        <w:jc w:val="center"/>
        <w:rPr>
          <w:b/>
          <w:szCs w:val="22"/>
        </w:rPr>
      </w:pPr>
      <w:r>
        <w:rPr>
          <w:b/>
          <w:noProof/>
          <w:szCs w:val="22"/>
        </w:rPr>
        <w:drawing>
          <wp:inline distT="0" distB="0" distL="0" distR="0" wp14:anchorId="6984181D" wp14:editId="0B9E031B">
            <wp:extent cx="5124450" cy="6619875"/>
            <wp:effectExtent l="0" t="0" r="0" b="9525"/>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5124450" cy="6619875"/>
                    </a:xfrm>
                    <a:prstGeom prst="rect">
                      <a:avLst/>
                    </a:prstGeom>
                    <a:noFill/>
                    <a:ln>
                      <a:noFill/>
                    </a:ln>
                  </pic:spPr>
                </pic:pic>
              </a:graphicData>
            </a:graphic>
          </wp:inline>
        </w:drawing>
      </w:r>
    </w:p>
    <w:p w:rsidR="00C81B24" w:rsidRPr="00C81B24" w:rsidRDefault="00C81B24" w:rsidP="00CE5850">
      <w:pPr>
        <w:jc w:val="center"/>
        <w:rPr>
          <w:b/>
          <w:szCs w:val="22"/>
        </w:rPr>
      </w:pPr>
    </w:p>
    <w:p w:rsidR="00C81B24" w:rsidRPr="00C81B24" w:rsidRDefault="00C81B24" w:rsidP="00CE5850">
      <w:pPr>
        <w:jc w:val="center"/>
        <w:rPr>
          <w:b/>
          <w:szCs w:val="22"/>
        </w:rPr>
      </w:pPr>
    </w:p>
    <w:p w:rsidR="00C81B24" w:rsidRPr="00C81B24" w:rsidRDefault="00C81B24" w:rsidP="00CE5850">
      <w:pPr>
        <w:rPr>
          <w:b/>
          <w:szCs w:val="22"/>
        </w:rPr>
      </w:pPr>
    </w:p>
    <w:p w:rsidR="00C81B24" w:rsidRPr="00C81B24" w:rsidRDefault="00C81B24" w:rsidP="00CE5850">
      <w:pPr>
        <w:jc w:val="center"/>
        <w:rPr>
          <w:b/>
          <w:szCs w:val="22"/>
        </w:rPr>
      </w:pPr>
      <w:bookmarkStart w:id="7001" w:name="_Toc278894638"/>
      <w:r w:rsidRPr="00C81B24">
        <w:rPr>
          <w:b/>
          <w:szCs w:val="22"/>
        </w:rPr>
        <w:t xml:space="preserve">Map C-28 </w:t>
      </w:r>
    </w:p>
    <w:p w:rsidR="00C81B24" w:rsidRPr="00C81B24" w:rsidRDefault="00C81B24" w:rsidP="00CE5850">
      <w:pPr>
        <w:jc w:val="center"/>
        <w:rPr>
          <w:b/>
          <w:szCs w:val="22"/>
        </w:rPr>
      </w:pPr>
      <w:r w:rsidRPr="00C81B24">
        <w:rPr>
          <w:b/>
          <w:szCs w:val="22"/>
        </w:rPr>
        <w:t>Mobile Wireless Coverage: GSM Path (2)</w:t>
      </w:r>
      <w:bookmarkEnd w:id="7001"/>
      <w:r w:rsidRPr="00C81B24">
        <w:rPr>
          <w:b/>
          <w:szCs w:val="22"/>
        </w:rPr>
        <w:t>, 2012</w:t>
      </w:r>
    </w:p>
    <w:p w:rsidR="00C81B24" w:rsidRPr="00C81B24" w:rsidRDefault="00C81B24" w:rsidP="00CE5850">
      <w:pPr>
        <w:jc w:val="center"/>
        <w:rPr>
          <w:szCs w:val="22"/>
        </w:rPr>
      </w:pPr>
      <w:r>
        <w:rPr>
          <w:noProof/>
          <w:szCs w:val="22"/>
        </w:rPr>
        <w:drawing>
          <wp:inline distT="0" distB="0" distL="0" distR="0" wp14:anchorId="47E9CBDF" wp14:editId="6F3EF22A">
            <wp:extent cx="5934075" cy="7696200"/>
            <wp:effectExtent l="0" t="0" r="9525" b="0"/>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5934075" cy="7696200"/>
                    </a:xfrm>
                    <a:prstGeom prst="rect">
                      <a:avLst/>
                    </a:prstGeom>
                    <a:noFill/>
                    <a:ln>
                      <a:noFill/>
                    </a:ln>
                  </pic:spPr>
                </pic:pic>
              </a:graphicData>
            </a:graphic>
          </wp:inline>
        </w:drawing>
      </w:r>
    </w:p>
    <w:p w:rsidR="00C81B24" w:rsidRPr="00C81B24" w:rsidRDefault="00C81B24" w:rsidP="00CE5850">
      <w:pPr>
        <w:jc w:val="center"/>
        <w:rPr>
          <w:b/>
          <w:szCs w:val="22"/>
        </w:rPr>
      </w:pPr>
    </w:p>
    <w:p w:rsidR="00C81B24" w:rsidRPr="00C81B24" w:rsidRDefault="00C81B24" w:rsidP="00CE5850">
      <w:pPr>
        <w:jc w:val="center"/>
        <w:rPr>
          <w:b/>
          <w:bCs/>
          <w:kern w:val="0"/>
          <w:szCs w:val="22"/>
        </w:rPr>
      </w:pPr>
      <w:bookmarkStart w:id="7002" w:name="_Toc257296444"/>
      <w:bookmarkStart w:id="7003" w:name="_Toc278894639"/>
      <w:r w:rsidRPr="00C81B24">
        <w:rPr>
          <w:b/>
          <w:bCs/>
          <w:kern w:val="0"/>
          <w:szCs w:val="22"/>
        </w:rPr>
        <w:t>Map C-29</w:t>
      </w:r>
    </w:p>
    <w:p w:rsidR="00C81B24" w:rsidRPr="00C81B24" w:rsidRDefault="00C81B24" w:rsidP="00CE5850">
      <w:pPr>
        <w:jc w:val="center"/>
        <w:rPr>
          <w:b/>
          <w:bCs/>
          <w:kern w:val="0"/>
          <w:szCs w:val="22"/>
        </w:rPr>
      </w:pPr>
      <w:r w:rsidRPr="00C81B24">
        <w:rPr>
          <w:b/>
          <w:bCs/>
          <w:kern w:val="0"/>
          <w:szCs w:val="22"/>
        </w:rPr>
        <w:t>Mobile Broadband Network Coverage</w:t>
      </w:r>
      <w:bookmarkEnd w:id="7002"/>
      <w:bookmarkEnd w:id="7003"/>
      <w:r w:rsidRPr="00C81B24">
        <w:rPr>
          <w:b/>
          <w:bCs/>
          <w:kern w:val="0"/>
          <w:szCs w:val="22"/>
        </w:rPr>
        <w:t>, 2012</w:t>
      </w:r>
    </w:p>
    <w:p w:rsidR="00C81B24" w:rsidRPr="00C81B24" w:rsidRDefault="00C81B24" w:rsidP="00CE5850">
      <w:pPr>
        <w:rPr>
          <w:szCs w:val="22"/>
        </w:rPr>
      </w:pPr>
      <w:r>
        <w:rPr>
          <w:noProof/>
          <w:szCs w:val="22"/>
        </w:rPr>
        <w:drawing>
          <wp:inline distT="0" distB="0" distL="0" distR="0" wp14:anchorId="5CDD3263" wp14:editId="2CE2E6D8">
            <wp:extent cx="5524500" cy="7229475"/>
            <wp:effectExtent l="0" t="0" r="0" b="9525"/>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5524500" cy="7229475"/>
                    </a:xfrm>
                    <a:prstGeom prst="rect">
                      <a:avLst/>
                    </a:prstGeom>
                    <a:noFill/>
                    <a:ln>
                      <a:noFill/>
                    </a:ln>
                  </pic:spPr>
                </pic:pic>
              </a:graphicData>
            </a:graphic>
          </wp:inline>
        </w:drawing>
      </w:r>
    </w:p>
    <w:p w:rsidR="00C81B24" w:rsidRPr="00C81B24" w:rsidRDefault="00C81B24" w:rsidP="00CE5850">
      <w:pPr>
        <w:rPr>
          <w:b/>
          <w:szCs w:val="22"/>
        </w:rPr>
      </w:pPr>
    </w:p>
    <w:p w:rsidR="00C81B24" w:rsidRPr="00C81B24" w:rsidRDefault="00C81B24" w:rsidP="00CE5850">
      <w:pPr>
        <w:jc w:val="center"/>
        <w:rPr>
          <w:b/>
          <w:szCs w:val="22"/>
        </w:rPr>
      </w:pPr>
    </w:p>
    <w:p w:rsidR="00C81B24" w:rsidRPr="00C81B24" w:rsidRDefault="00C81B24" w:rsidP="00CE5850">
      <w:pPr>
        <w:jc w:val="center"/>
        <w:rPr>
          <w:b/>
          <w:szCs w:val="22"/>
        </w:rPr>
      </w:pPr>
    </w:p>
    <w:p w:rsidR="00C81B24" w:rsidRPr="00C81B24" w:rsidRDefault="00C81B24" w:rsidP="00CE5850">
      <w:pPr>
        <w:jc w:val="center"/>
        <w:rPr>
          <w:b/>
          <w:bCs/>
          <w:kern w:val="0"/>
          <w:szCs w:val="22"/>
        </w:rPr>
      </w:pPr>
      <w:bookmarkStart w:id="7004" w:name="_Toc257296445"/>
      <w:bookmarkStart w:id="7005" w:name="_Toc278894640"/>
      <w:r w:rsidRPr="00C81B24">
        <w:rPr>
          <w:b/>
          <w:bCs/>
          <w:kern w:val="0"/>
          <w:szCs w:val="22"/>
        </w:rPr>
        <w:t>Map C-30</w:t>
      </w:r>
    </w:p>
    <w:p w:rsidR="00C81B24" w:rsidRPr="00C81B24" w:rsidRDefault="00C81B24" w:rsidP="00CE5850">
      <w:pPr>
        <w:jc w:val="center"/>
        <w:rPr>
          <w:b/>
          <w:bCs/>
          <w:kern w:val="0"/>
          <w:szCs w:val="22"/>
        </w:rPr>
      </w:pPr>
      <w:r w:rsidRPr="00C81B24">
        <w:rPr>
          <w:b/>
          <w:bCs/>
          <w:kern w:val="0"/>
          <w:szCs w:val="22"/>
        </w:rPr>
        <w:t>Mobile Broadband Network Coverage (2)</w:t>
      </w:r>
      <w:bookmarkEnd w:id="7004"/>
      <w:bookmarkEnd w:id="7005"/>
      <w:r w:rsidRPr="00C81B24">
        <w:rPr>
          <w:b/>
          <w:bCs/>
          <w:kern w:val="0"/>
          <w:szCs w:val="22"/>
        </w:rPr>
        <w:t>, 2012</w:t>
      </w:r>
    </w:p>
    <w:p w:rsidR="00C81B24" w:rsidRPr="00C81B24" w:rsidRDefault="00C81B24" w:rsidP="00CE5850">
      <w:pPr>
        <w:jc w:val="center"/>
        <w:rPr>
          <w:szCs w:val="22"/>
        </w:rPr>
      </w:pPr>
    </w:p>
    <w:p w:rsidR="00C81B24" w:rsidRPr="00C81B24" w:rsidRDefault="00C81B24" w:rsidP="00CE5850">
      <w:pPr>
        <w:jc w:val="center"/>
        <w:rPr>
          <w:szCs w:val="22"/>
        </w:rPr>
      </w:pPr>
      <w:r>
        <w:rPr>
          <w:noProof/>
          <w:szCs w:val="22"/>
        </w:rPr>
        <w:drawing>
          <wp:inline distT="0" distB="0" distL="0" distR="0" wp14:anchorId="17BEAF02" wp14:editId="094C9E98">
            <wp:extent cx="5410200" cy="7000875"/>
            <wp:effectExtent l="0" t="0" r="0" b="9525"/>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5410200" cy="7000875"/>
                    </a:xfrm>
                    <a:prstGeom prst="rect">
                      <a:avLst/>
                    </a:prstGeom>
                    <a:noFill/>
                    <a:ln>
                      <a:noFill/>
                    </a:ln>
                  </pic:spPr>
                </pic:pic>
              </a:graphicData>
            </a:graphic>
          </wp:inline>
        </w:drawing>
      </w:r>
    </w:p>
    <w:p w:rsidR="00C81B24" w:rsidRPr="00C81B24" w:rsidRDefault="00C81B24" w:rsidP="00CE5850">
      <w:pPr>
        <w:ind w:left="3600" w:firstLine="720"/>
        <w:rPr>
          <w:b/>
          <w:bCs/>
          <w:kern w:val="0"/>
          <w:szCs w:val="22"/>
        </w:rPr>
      </w:pPr>
    </w:p>
    <w:p w:rsidR="00C81B24" w:rsidRPr="00C81B24" w:rsidRDefault="00C81B24" w:rsidP="00CE5850">
      <w:pPr>
        <w:ind w:left="3600" w:firstLine="720"/>
        <w:rPr>
          <w:b/>
          <w:bCs/>
          <w:kern w:val="0"/>
          <w:szCs w:val="22"/>
        </w:rPr>
      </w:pPr>
    </w:p>
    <w:p w:rsidR="00C81B24" w:rsidRPr="00C81B24" w:rsidRDefault="00C81B24" w:rsidP="00CE5850">
      <w:pPr>
        <w:ind w:left="3600" w:firstLine="720"/>
        <w:rPr>
          <w:b/>
          <w:bCs/>
          <w:kern w:val="0"/>
          <w:szCs w:val="22"/>
        </w:rPr>
      </w:pPr>
    </w:p>
    <w:p w:rsidR="00C81B24" w:rsidRPr="00C81B24" w:rsidRDefault="00C81B24" w:rsidP="00CE5850">
      <w:pPr>
        <w:ind w:left="3600" w:firstLine="720"/>
        <w:rPr>
          <w:b/>
          <w:bCs/>
          <w:kern w:val="0"/>
          <w:szCs w:val="22"/>
        </w:rPr>
      </w:pPr>
      <w:r w:rsidRPr="00C81B24">
        <w:rPr>
          <w:b/>
          <w:bCs/>
          <w:kern w:val="0"/>
          <w:szCs w:val="22"/>
        </w:rPr>
        <w:t>Map C-31</w:t>
      </w:r>
    </w:p>
    <w:p w:rsidR="00C81B24" w:rsidRPr="00C81B24" w:rsidRDefault="00C81B24" w:rsidP="00CE5850">
      <w:pPr>
        <w:jc w:val="center"/>
        <w:rPr>
          <w:b/>
          <w:bCs/>
          <w:kern w:val="0"/>
          <w:szCs w:val="22"/>
        </w:rPr>
      </w:pPr>
      <w:r w:rsidRPr="00C81B24">
        <w:rPr>
          <w:b/>
          <w:bCs/>
          <w:kern w:val="0"/>
          <w:szCs w:val="22"/>
        </w:rPr>
        <w:t>Mobile Wireless Penetration By EAs, 2011</w:t>
      </w:r>
    </w:p>
    <w:p w:rsidR="00C81B24" w:rsidRPr="00C81B24" w:rsidRDefault="00C81B24" w:rsidP="00CE5850">
      <w:pPr>
        <w:jc w:val="center"/>
        <w:rPr>
          <w:b/>
          <w:szCs w:val="22"/>
        </w:rPr>
      </w:pPr>
    </w:p>
    <w:p w:rsidR="00C81B24" w:rsidRPr="00C81B24" w:rsidRDefault="00C81B24" w:rsidP="00CE5850">
      <w:pPr>
        <w:jc w:val="center"/>
        <w:rPr>
          <w:b/>
          <w:szCs w:val="22"/>
        </w:rPr>
      </w:pPr>
      <w:r>
        <w:rPr>
          <w:b/>
          <w:noProof/>
          <w:szCs w:val="22"/>
        </w:rPr>
        <w:drawing>
          <wp:inline distT="0" distB="0" distL="0" distR="0" wp14:anchorId="5B6CEFE7" wp14:editId="7D3C6414">
            <wp:extent cx="5514975" cy="7143750"/>
            <wp:effectExtent l="0" t="0" r="9525" b="0"/>
            <wp:docPr id="121" name="Picture 15" descr="EA_Penetration_Rates_2011_0807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EA_Penetration_Rates_2011_080712"/>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5514975" cy="7143750"/>
                    </a:xfrm>
                    <a:prstGeom prst="rect">
                      <a:avLst/>
                    </a:prstGeom>
                    <a:noFill/>
                    <a:ln>
                      <a:noFill/>
                    </a:ln>
                  </pic:spPr>
                </pic:pic>
              </a:graphicData>
            </a:graphic>
          </wp:inline>
        </w:drawing>
      </w:r>
    </w:p>
    <w:p w:rsidR="00C81B24" w:rsidRPr="00C81B24" w:rsidRDefault="00C81B24" w:rsidP="00CE5850">
      <w:pPr>
        <w:jc w:val="center"/>
        <w:rPr>
          <w:b/>
          <w:szCs w:val="22"/>
        </w:rPr>
      </w:pPr>
    </w:p>
    <w:p w:rsidR="00C81B24" w:rsidRPr="00C81B24" w:rsidRDefault="00C81B24" w:rsidP="00CE5850">
      <w:pPr>
        <w:jc w:val="center"/>
        <w:rPr>
          <w:b/>
          <w:szCs w:val="22"/>
        </w:rPr>
      </w:pPr>
    </w:p>
    <w:p w:rsidR="00C81B24" w:rsidRPr="00C81B24" w:rsidRDefault="00C81B24" w:rsidP="00CE5850">
      <w:pPr>
        <w:jc w:val="center"/>
        <w:rPr>
          <w:b/>
          <w:szCs w:val="22"/>
        </w:rPr>
      </w:pPr>
    </w:p>
    <w:p w:rsidR="00C81B24" w:rsidRPr="00C81B24" w:rsidRDefault="00C81B24" w:rsidP="00CE5850">
      <w:pPr>
        <w:ind w:left="3600" w:firstLine="720"/>
        <w:rPr>
          <w:b/>
          <w:bCs/>
          <w:kern w:val="0"/>
          <w:szCs w:val="22"/>
        </w:rPr>
      </w:pPr>
      <w:r w:rsidRPr="00C81B24">
        <w:rPr>
          <w:b/>
          <w:bCs/>
          <w:kern w:val="0"/>
          <w:szCs w:val="22"/>
        </w:rPr>
        <w:t>Map C-32</w:t>
      </w:r>
    </w:p>
    <w:p w:rsidR="00C81B24" w:rsidRPr="00C81B24" w:rsidRDefault="00C81B24" w:rsidP="00CE5850">
      <w:pPr>
        <w:jc w:val="center"/>
        <w:rPr>
          <w:b/>
          <w:bCs/>
          <w:kern w:val="0"/>
          <w:szCs w:val="22"/>
        </w:rPr>
      </w:pPr>
      <w:r w:rsidRPr="00C81B24">
        <w:rPr>
          <w:b/>
          <w:bCs/>
          <w:kern w:val="0"/>
          <w:szCs w:val="22"/>
        </w:rPr>
        <w:t>Spectrum Not Licensed to the Nationwide Providers and Their Affiliates</w:t>
      </w:r>
    </w:p>
    <w:p w:rsidR="00C81B24" w:rsidRPr="00C81B24" w:rsidRDefault="00C81B24" w:rsidP="00CE5850">
      <w:pPr>
        <w:rPr>
          <w:szCs w:val="22"/>
        </w:rPr>
      </w:pPr>
    </w:p>
    <w:p w:rsidR="00C81B24" w:rsidRPr="00C81B24" w:rsidRDefault="00C81B24" w:rsidP="00CE5850">
      <w:pPr>
        <w:rPr>
          <w:szCs w:val="22"/>
        </w:rPr>
      </w:pPr>
      <w:r>
        <w:rPr>
          <w:noProof/>
          <w:szCs w:val="22"/>
        </w:rPr>
        <w:drawing>
          <wp:inline distT="0" distB="0" distL="0" distR="0" wp14:anchorId="10D85A71" wp14:editId="5712483D">
            <wp:extent cx="5514975" cy="7239000"/>
            <wp:effectExtent l="0" t="0" r="9525" b="0"/>
            <wp:docPr id="122" name="Picture 14" descr="Spectrum not top 4_16th_100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Spectrum not top 4_16th_100512"/>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5514975" cy="7239000"/>
                    </a:xfrm>
                    <a:prstGeom prst="rect">
                      <a:avLst/>
                    </a:prstGeom>
                    <a:noFill/>
                    <a:ln>
                      <a:noFill/>
                    </a:ln>
                  </pic:spPr>
                </pic:pic>
              </a:graphicData>
            </a:graphic>
          </wp:inline>
        </w:drawing>
      </w:r>
    </w:p>
    <w:p w:rsidR="00C81B24" w:rsidRPr="00C81B24" w:rsidRDefault="00C81B24" w:rsidP="00CE5850">
      <w:pPr>
        <w:jc w:val="center"/>
        <w:rPr>
          <w:b/>
          <w:szCs w:val="22"/>
        </w:rPr>
      </w:pPr>
    </w:p>
    <w:p w:rsidR="00C81B24" w:rsidRPr="00C81B24" w:rsidRDefault="00C81B24" w:rsidP="00CE5850">
      <w:pPr>
        <w:jc w:val="center"/>
        <w:rPr>
          <w:b/>
          <w:szCs w:val="22"/>
        </w:rPr>
      </w:pPr>
    </w:p>
    <w:p w:rsidR="00C81B24" w:rsidRPr="00C81B24" w:rsidRDefault="00C81B24" w:rsidP="00CE5850">
      <w:pPr>
        <w:ind w:left="3600" w:firstLine="720"/>
        <w:rPr>
          <w:b/>
          <w:bCs/>
          <w:kern w:val="0"/>
          <w:szCs w:val="22"/>
        </w:rPr>
      </w:pPr>
      <w:r w:rsidRPr="00C81B24">
        <w:rPr>
          <w:b/>
          <w:bCs/>
          <w:kern w:val="0"/>
          <w:szCs w:val="22"/>
        </w:rPr>
        <w:t>Map C-33</w:t>
      </w:r>
    </w:p>
    <w:p w:rsidR="00C81B24" w:rsidRPr="00C81B24" w:rsidRDefault="00C81B24" w:rsidP="00CE5850">
      <w:pPr>
        <w:jc w:val="center"/>
        <w:rPr>
          <w:b/>
          <w:bCs/>
          <w:kern w:val="0"/>
          <w:szCs w:val="22"/>
        </w:rPr>
      </w:pPr>
      <w:r w:rsidRPr="00C81B24">
        <w:rPr>
          <w:b/>
          <w:bCs/>
          <w:kern w:val="0"/>
          <w:szCs w:val="22"/>
        </w:rPr>
        <w:t>Available Licensed Spectrum</w:t>
      </w:r>
    </w:p>
    <w:p w:rsidR="00C81B24" w:rsidRPr="00C81B24" w:rsidRDefault="00C81B24" w:rsidP="00CE5850">
      <w:pPr>
        <w:rPr>
          <w:szCs w:val="22"/>
        </w:rPr>
      </w:pPr>
    </w:p>
    <w:p w:rsidR="00C81B24" w:rsidRPr="00C81B24" w:rsidRDefault="00C81B24" w:rsidP="00CE5850">
      <w:pPr>
        <w:rPr>
          <w:szCs w:val="22"/>
        </w:rPr>
      </w:pPr>
      <w:r>
        <w:rPr>
          <w:noProof/>
          <w:szCs w:val="22"/>
        </w:rPr>
        <w:drawing>
          <wp:inline distT="0" distB="0" distL="0" distR="0" wp14:anchorId="736A25EC" wp14:editId="4A3DBFCD">
            <wp:extent cx="5514975" cy="7143750"/>
            <wp:effectExtent l="0" t="0" r="9525" b="0"/>
            <wp:docPr id="123" name="Picture 13" descr="Spectrum not used in NRUF_16th_100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Spectrum not used in NRUF_16th_100512"/>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5514975" cy="7143750"/>
                    </a:xfrm>
                    <a:prstGeom prst="rect">
                      <a:avLst/>
                    </a:prstGeom>
                    <a:noFill/>
                    <a:ln>
                      <a:noFill/>
                    </a:ln>
                  </pic:spPr>
                </pic:pic>
              </a:graphicData>
            </a:graphic>
          </wp:inline>
        </w:drawing>
      </w:r>
    </w:p>
    <w:p w:rsidR="00C81B24" w:rsidRPr="00C81B24" w:rsidRDefault="00C81B24" w:rsidP="00CE5850">
      <w:pPr>
        <w:jc w:val="center"/>
        <w:rPr>
          <w:b/>
          <w:szCs w:val="22"/>
        </w:rPr>
      </w:pPr>
    </w:p>
    <w:p w:rsidR="00C81B24" w:rsidRPr="00C81B24" w:rsidRDefault="00C81B24" w:rsidP="00CE5850">
      <w:pPr>
        <w:jc w:val="center"/>
        <w:rPr>
          <w:b/>
          <w:szCs w:val="22"/>
        </w:rPr>
      </w:pPr>
    </w:p>
    <w:p w:rsidR="00C81B24" w:rsidRDefault="00C81B24" w:rsidP="00CE5850">
      <w:pPr>
        <w:jc w:val="center"/>
        <w:rPr>
          <w:b/>
          <w:szCs w:val="22"/>
        </w:rPr>
      </w:pPr>
      <w:r w:rsidRPr="00C81B24">
        <w:rPr>
          <w:b/>
          <w:szCs w:val="22"/>
        </w:rPr>
        <w:t>APPENDIX D</w:t>
      </w:r>
    </w:p>
    <w:p w:rsidR="00A8467D" w:rsidRPr="00C81B24" w:rsidRDefault="00A8467D" w:rsidP="00CE5850">
      <w:pPr>
        <w:jc w:val="center"/>
        <w:rPr>
          <w:b/>
          <w:szCs w:val="22"/>
        </w:rPr>
      </w:pPr>
    </w:p>
    <w:p w:rsidR="00C81B24" w:rsidRPr="00C81B24" w:rsidRDefault="00C81B24" w:rsidP="00CE5850">
      <w:pPr>
        <w:jc w:val="center"/>
        <w:outlineLvl w:val="0"/>
        <w:rPr>
          <w:b/>
          <w:bCs/>
          <w:szCs w:val="22"/>
        </w:rPr>
      </w:pPr>
      <w:bookmarkStart w:id="7006" w:name="_Toc329262582"/>
      <w:bookmarkStart w:id="7007" w:name="_Toc329852488"/>
      <w:bookmarkStart w:id="7008" w:name="_Toc331766411"/>
      <w:bookmarkStart w:id="7009" w:name="_Toc332119215"/>
      <w:bookmarkStart w:id="7010" w:name="_Toc334088870"/>
      <w:bookmarkStart w:id="7011" w:name="_Toc334089106"/>
      <w:bookmarkStart w:id="7012" w:name="_Toc334089265"/>
      <w:bookmarkStart w:id="7013" w:name="_Toc334089376"/>
      <w:bookmarkStart w:id="7014" w:name="_Toc334089540"/>
      <w:bookmarkStart w:id="7015" w:name="_Toc335839118"/>
      <w:bookmarkStart w:id="7016" w:name="_Toc336268679"/>
      <w:bookmarkStart w:id="7017" w:name="_Toc336268787"/>
      <w:bookmarkStart w:id="7018" w:name="_Toc336268894"/>
      <w:bookmarkStart w:id="7019" w:name="_Toc336269108"/>
      <w:bookmarkStart w:id="7020" w:name="_Toc336269215"/>
      <w:bookmarkStart w:id="7021" w:name="_Toc336269583"/>
      <w:bookmarkStart w:id="7022" w:name="_Toc336269729"/>
      <w:bookmarkStart w:id="7023" w:name="_Toc336270142"/>
      <w:r w:rsidRPr="00C81B24">
        <w:rPr>
          <w:b/>
          <w:bCs/>
          <w:szCs w:val="22"/>
        </w:rPr>
        <w:t>Index of Acronyms</w:t>
      </w:r>
      <w:bookmarkEnd w:id="7006"/>
      <w:bookmarkEnd w:id="7007"/>
      <w:bookmarkEnd w:id="7008"/>
      <w:bookmarkEnd w:id="7009"/>
      <w:bookmarkEnd w:id="7010"/>
      <w:bookmarkEnd w:id="7011"/>
      <w:bookmarkEnd w:id="7012"/>
      <w:bookmarkEnd w:id="7013"/>
      <w:bookmarkEnd w:id="7014"/>
      <w:bookmarkEnd w:id="7015"/>
      <w:bookmarkEnd w:id="7016"/>
      <w:bookmarkEnd w:id="7017"/>
      <w:bookmarkEnd w:id="7018"/>
      <w:bookmarkEnd w:id="7019"/>
      <w:bookmarkEnd w:id="7020"/>
      <w:bookmarkEnd w:id="7021"/>
      <w:bookmarkEnd w:id="7022"/>
      <w:bookmarkEnd w:id="7023"/>
    </w:p>
    <w:p w:rsidR="00C81B24" w:rsidRPr="00C81B24" w:rsidRDefault="00C81B24" w:rsidP="00CE5850">
      <w:pPr>
        <w:jc w:val="center"/>
        <w:rPr>
          <w:b/>
          <w:sz w:val="20"/>
        </w:rPr>
      </w:pPr>
      <w:r w:rsidRPr="00C81B24">
        <w:rPr>
          <w:b/>
          <w:sz w:val="20"/>
        </w:rPr>
        <w:t xml:space="preserve"> </w:t>
      </w:r>
      <w:bookmarkStart w:id="7024" w:name="_Toc112139284"/>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116"/>
        <w:gridCol w:w="7459"/>
      </w:tblGrid>
      <w:tr w:rsidR="00C81B24" w:rsidRPr="00C81B24" w:rsidTr="00526AD9">
        <w:trPr>
          <w:jc w:val="center"/>
        </w:trPr>
        <w:tc>
          <w:tcPr>
            <w:tcW w:w="0" w:type="auto"/>
          </w:tcPr>
          <w:p w:rsidR="00C81B24" w:rsidRPr="00C81B24" w:rsidRDefault="00C81B24" w:rsidP="00CE5850">
            <w:pPr>
              <w:rPr>
                <w:sz w:val="20"/>
              </w:rPr>
            </w:pPr>
            <w:r w:rsidRPr="00C81B24">
              <w:rPr>
                <w:sz w:val="20"/>
              </w:rPr>
              <w:t>2G</w:t>
            </w:r>
          </w:p>
        </w:tc>
        <w:tc>
          <w:tcPr>
            <w:tcW w:w="0" w:type="auto"/>
          </w:tcPr>
          <w:p w:rsidR="00C81B24" w:rsidRPr="00C81B24" w:rsidRDefault="00C81B24" w:rsidP="00CE5850">
            <w:pPr>
              <w:rPr>
                <w:sz w:val="20"/>
              </w:rPr>
            </w:pPr>
            <w:r w:rsidRPr="00C81B24">
              <w:rPr>
                <w:sz w:val="20"/>
              </w:rPr>
              <w:t xml:space="preserve"> Second Generation</w:t>
            </w:r>
          </w:p>
        </w:tc>
      </w:tr>
      <w:tr w:rsidR="00C81B24" w:rsidRPr="00C81B24" w:rsidTr="00526AD9">
        <w:trPr>
          <w:jc w:val="center"/>
        </w:trPr>
        <w:tc>
          <w:tcPr>
            <w:tcW w:w="0" w:type="auto"/>
          </w:tcPr>
          <w:p w:rsidR="00C81B24" w:rsidRPr="00C81B24" w:rsidRDefault="00C81B24" w:rsidP="00CE5850">
            <w:pPr>
              <w:rPr>
                <w:sz w:val="20"/>
              </w:rPr>
            </w:pPr>
            <w:r w:rsidRPr="00C81B24">
              <w:rPr>
                <w:sz w:val="20"/>
              </w:rPr>
              <w:t>3G</w:t>
            </w:r>
          </w:p>
        </w:tc>
        <w:tc>
          <w:tcPr>
            <w:tcW w:w="0" w:type="auto"/>
          </w:tcPr>
          <w:p w:rsidR="00C81B24" w:rsidRPr="00C81B24" w:rsidRDefault="00C81B24" w:rsidP="00CE5850">
            <w:pPr>
              <w:rPr>
                <w:sz w:val="20"/>
              </w:rPr>
            </w:pPr>
            <w:r w:rsidRPr="00C81B24">
              <w:rPr>
                <w:sz w:val="20"/>
              </w:rPr>
              <w:t xml:space="preserve"> Third Generation</w:t>
            </w:r>
          </w:p>
        </w:tc>
      </w:tr>
      <w:tr w:rsidR="00C81B24" w:rsidRPr="00C81B24" w:rsidTr="00526AD9">
        <w:trPr>
          <w:jc w:val="center"/>
        </w:trPr>
        <w:tc>
          <w:tcPr>
            <w:tcW w:w="0" w:type="auto"/>
          </w:tcPr>
          <w:p w:rsidR="00C81B24" w:rsidRPr="00C81B24" w:rsidRDefault="00C81B24" w:rsidP="00CE5850">
            <w:pPr>
              <w:rPr>
                <w:sz w:val="20"/>
              </w:rPr>
            </w:pPr>
            <w:r w:rsidRPr="00C81B24">
              <w:rPr>
                <w:sz w:val="20"/>
              </w:rPr>
              <w:t>4G</w:t>
            </w:r>
          </w:p>
        </w:tc>
        <w:tc>
          <w:tcPr>
            <w:tcW w:w="0" w:type="auto"/>
          </w:tcPr>
          <w:p w:rsidR="00C81B24" w:rsidRPr="00C81B24" w:rsidRDefault="00C81B24" w:rsidP="00CE5850">
            <w:pPr>
              <w:rPr>
                <w:sz w:val="20"/>
              </w:rPr>
            </w:pPr>
            <w:r w:rsidRPr="00C81B24">
              <w:rPr>
                <w:sz w:val="20"/>
              </w:rPr>
              <w:t xml:space="preserve"> Fourth Generation</w:t>
            </w:r>
          </w:p>
        </w:tc>
      </w:tr>
      <w:tr w:rsidR="00C81B24" w:rsidRPr="00C81B24" w:rsidTr="00526AD9">
        <w:trPr>
          <w:jc w:val="center"/>
        </w:trPr>
        <w:tc>
          <w:tcPr>
            <w:tcW w:w="0" w:type="auto"/>
          </w:tcPr>
          <w:p w:rsidR="00C81B24" w:rsidRPr="00C81B24" w:rsidRDefault="00C81B24" w:rsidP="00CE5850">
            <w:pPr>
              <w:rPr>
                <w:sz w:val="20"/>
              </w:rPr>
            </w:pPr>
            <w:r w:rsidRPr="00C81B24">
              <w:rPr>
                <w:sz w:val="20"/>
              </w:rPr>
              <w:t>ALMB</w:t>
            </w:r>
          </w:p>
        </w:tc>
        <w:tc>
          <w:tcPr>
            <w:tcW w:w="0" w:type="auto"/>
          </w:tcPr>
          <w:p w:rsidR="00C81B24" w:rsidRPr="00C81B24" w:rsidRDefault="00C81B24" w:rsidP="00CE5850">
            <w:pPr>
              <w:rPr>
                <w:sz w:val="20"/>
              </w:rPr>
            </w:pPr>
            <w:r w:rsidRPr="00C81B24">
              <w:rPr>
                <w:sz w:val="20"/>
              </w:rPr>
              <w:t xml:space="preserve"> Average Local Monthly Bill</w:t>
            </w:r>
          </w:p>
        </w:tc>
      </w:tr>
      <w:tr w:rsidR="00C81B24" w:rsidRPr="00C81B24" w:rsidTr="00526AD9">
        <w:trPr>
          <w:jc w:val="center"/>
        </w:trPr>
        <w:tc>
          <w:tcPr>
            <w:tcW w:w="0" w:type="auto"/>
          </w:tcPr>
          <w:p w:rsidR="00C81B24" w:rsidRPr="00C81B24" w:rsidRDefault="00C81B24" w:rsidP="00CE5850">
            <w:pPr>
              <w:rPr>
                <w:sz w:val="20"/>
              </w:rPr>
            </w:pPr>
            <w:r w:rsidRPr="00C81B24">
              <w:rPr>
                <w:sz w:val="20"/>
              </w:rPr>
              <w:t>ARPU</w:t>
            </w:r>
          </w:p>
        </w:tc>
        <w:tc>
          <w:tcPr>
            <w:tcW w:w="0" w:type="auto"/>
          </w:tcPr>
          <w:p w:rsidR="00C81B24" w:rsidRPr="00C81B24" w:rsidRDefault="00C81B24" w:rsidP="00CE5850">
            <w:pPr>
              <w:rPr>
                <w:sz w:val="20"/>
              </w:rPr>
            </w:pPr>
            <w:r w:rsidRPr="00C81B24">
              <w:rPr>
                <w:sz w:val="20"/>
              </w:rPr>
              <w:t xml:space="preserve"> Average Revenue Per User </w:t>
            </w:r>
          </w:p>
        </w:tc>
      </w:tr>
      <w:tr w:rsidR="00C81B24" w:rsidRPr="00C81B24" w:rsidTr="00526AD9">
        <w:trPr>
          <w:jc w:val="center"/>
        </w:trPr>
        <w:tc>
          <w:tcPr>
            <w:tcW w:w="0" w:type="auto"/>
          </w:tcPr>
          <w:p w:rsidR="00C81B24" w:rsidRPr="00C81B24" w:rsidRDefault="00C81B24" w:rsidP="00CE5850">
            <w:pPr>
              <w:rPr>
                <w:sz w:val="20"/>
              </w:rPr>
            </w:pPr>
            <w:r w:rsidRPr="00C81B24">
              <w:rPr>
                <w:sz w:val="20"/>
              </w:rPr>
              <w:t>ATC</w:t>
            </w:r>
          </w:p>
        </w:tc>
        <w:tc>
          <w:tcPr>
            <w:tcW w:w="0" w:type="auto"/>
          </w:tcPr>
          <w:p w:rsidR="00C81B24" w:rsidRPr="00C81B24" w:rsidRDefault="00C81B24" w:rsidP="00CE5850">
            <w:pPr>
              <w:rPr>
                <w:sz w:val="20"/>
              </w:rPr>
            </w:pPr>
            <w:r w:rsidRPr="00C81B24">
              <w:rPr>
                <w:sz w:val="20"/>
              </w:rPr>
              <w:t xml:space="preserve"> Ancillary Terrestrial Component </w:t>
            </w:r>
          </w:p>
        </w:tc>
      </w:tr>
      <w:tr w:rsidR="00C81B24" w:rsidRPr="00C81B24" w:rsidTr="00526AD9">
        <w:trPr>
          <w:jc w:val="center"/>
        </w:trPr>
        <w:tc>
          <w:tcPr>
            <w:tcW w:w="0" w:type="auto"/>
          </w:tcPr>
          <w:p w:rsidR="00C81B24" w:rsidRPr="00C81B24" w:rsidRDefault="00C81B24" w:rsidP="00CE5850">
            <w:pPr>
              <w:rPr>
                <w:sz w:val="20"/>
              </w:rPr>
            </w:pPr>
            <w:r w:rsidRPr="00C81B24">
              <w:rPr>
                <w:sz w:val="20"/>
              </w:rPr>
              <w:t>ATN</w:t>
            </w:r>
          </w:p>
        </w:tc>
        <w:tc>
          <w:tcPr>
            <w:tcW w:w="0" w:type="auto"/>
          </w:tcPr>
          <w:p w:rsidR="00C81B24" w:rsidRPr="00C81B24" w:rsidRDefault="00C81B24" w:rsidP="00CE5850">
            <w:pPr>
              <w:rPr>
                <w:sz w:val="20"/>
              </w:rPr>
            </w:pPr>
            <w:r w:rsidRPr="00C81B24">
              <w:rPr>
                <w:sz w:val="20"/>
              </w:rPr>
              <w:t xml:space="preserve"> Atlantic Tele-Network</w:t>
            </w:r>
          </w:p>
        </w:tc>
      </w:tr>
      <w:tr w:rsidR="00C81B24" w:rsidRPr="00C81B24" w:rsidTr="00526AD9">
        <w:trPr>
          <w:jc w:val="center"/>
        </w:trPr>
        <w:tc>
          <w:tcPr>
            <w:tcW w:w="0" w:type="auto"/>
          </w:tcPr>
          <w:p w:rsidR="00C81B24" w:rsidRPr="00C81B24" w:rsidRDefault="00C81B24" w:rsidP="00CE5850">
            <w:pPr>
              <w:rPr>
                <w:sz w:val="20"/>
              </w:rPr>
            </w:pPr>
            <w:r w:rsidRPr="00C81B24">
              <w:rPr>
                <w:sz w:val="20"/>
              </w:rPr>
              <w:t>AWS</w:t>
            </w:r>
          </w:p>
        </w:tc>
        <w:tc>
          <w:tcPr>
            <w:tcW w:w="0" w:type="auto"/>
          </w:tcPr>
          <w:p w:rsidR="00C81B24" w:rsidRPr="00C81B24" w:rsidRDefault="00C81B24" w:rsidP="00CE5850">
            <w:pPr>
              <w:rPr>
                <w:sz w:val="20"/>
              </w:rPr>
            </w:pPr>
            <w:r w:rsidRPr="00C81B24">
              <w:rPr>
                <w:sz w:val="20"/>
              </w:rPr>
              <w:t xml:space="preserve"> Advanced Wireless Service</w:t>
            </w:r>
          </w:p>
        </w:tc>
      </w:tr>
      <w:tr w:rsidR="00C81B24" w:rsidRPr="00C81B24" w:rsidTr="00526AD9">
        <w:trPr>
          <w:jc w:val="center"/>
        </w:trPr>
        <w:tc>
          <w:tcPr>
            <w:tcW w:w="0" w:type="auto"/>
          </w:tcPr>
          <w:p w:rsidR="00C81B24" w:rsidRPr="00C81B24" w:rsidRDefault="00C81B24" w:rsidP="00CE5850">
            <w:pPr>
              <w:rPr>
                <w:sz w:val="20"/>
              </w:rPr>
            </w:pPr>
            <w:r w:rsidRPr="00C81B24">
              <w:rPr>
                <w:sz w:val="20"/>
              </w:rPr>
              <w:t>BEA</w:t>
            </w:r>
          </w:p>
        </w:tc>
        <w:tc>
          <w:tcPr>
            <w:tcW w:w="0" w:type="auto"/>
          </w:tcPr>
          <w:p w:rsidR="00C81B24" w:rsidRPr="00C81B24" w:rsidRDefault="00C81B24" w:rsidP="00CE5850">
            <w:pPr>
              <w:rPr>
                <w:sz w:val="20"/>
              </w:rPr>
            </w:pPr>
            <w:r w:rsidRPr="00C81B24">
              <w:rPr>
                <w:sz w:val="20"/>
              </w:rPr>
              <w:t xml:space="preserve"> Bureau of Economic Analysis</w:t>
            </w:r>
          </w:p>
        </w:tc>
      </w:tr>
      <w:tr w:rsidR="00C81B24" w:rsidRPr="00C81B24" w:rsidTr="00526AD9">
        <w:trPr>
          <w:jc w:val="center"/>
        </w:trPr>
        <w:tc>
          <w:tcPr>
            <w:tcW w:w="0" w:type="auto"/>
          </w:tcPr>
          <w:p w:rsidR="00C81B24" w:rsidRPr="00C81B24" w:rsidRDefault="00C81B24" w:rsidP="00CE5850">
            <w:pPr>
              <w:rPr>
                <w:sz w:val="20"/>
              </w:rPr>
            </w:pPr>
            <w:r w:rsidRPr="00C81B24">
              <w:rPr>
                <w:sz w:val="20"/>
              </w:rPr>
              <w:t>BLS</w:t>
            </w:r>
          </w:p>
        </w:tc>
        <w:tc>
          <w:tcPr>
            <w:tcW w:w="0" w:type="auto"/>
          </w:tcPr>
          <w:p w:rsidR="00C81B24" w:rsidRPr="00C81B24" w:rsidRDefault="00C81B24" w:rsidP="00CE5850">
            <w:pPr>
              <w:rPr>
                <w:sz w:val="20"/>
              </w:rPr>
            </w:pPr>
            <w:r w:rsidRPr="00C81B24">
              <w:rPr>
                <w:sz w:val="20"/>
              </w:rPr>
              <w:t xml:space="preserve"> Bureau of Labor Statistics</w:t>
            </w:r>
          </w:p>
        </w:tc>
      </w:tr>
      <w:tr w:rsidR="00C81B24" w:rsidRPr="00C81B24" w:rsidTr="00526AD9">
        <w:trPr>
          <w:jc w:val="center"/>
        </w:trPr>
        <w:tc>
          <w:tcPr>
            <w:tcW w:w="0" w:type="auto"/>
          </w:tcPr>
          <w:p w:rsidR="00C81B24" w:rsidRPr="00C81B24" w:rsidRDefault="00C81B24" w:rsidP="00CE5850">
            <w:pPr>
              <w:rPr>
                <w:sz w:val="20"/>
              </w:rPr>
            </w:pPr>
            <w:r w:rsidRPr="00C81B24">
              <w:rPr>
                <w:sz w:val="20"/>
              </w:rPr>
              <w:t>BRS</w:t>
            </w:r>
          </w:p>
        </w:tc>
        <w:tc>
          <w:tcPr>
            <w:tcW w:w="0" w:type="auto"/>
          </w:tcPr>
          <w:p w:rsidR="00C81B24" w:rsidRPr="00C81B24" w:rsidRDefault="00C81B24" w:rsidP="00CE5850">
            <w:pPr>
              <w:rPr>
                <w:sz w:val="20"/>
              </w:rPr>
            </w:pPr>
            <w:r w:rsidRPr="00C81B24">
              <w:rPr>
                <w:sz w:val="20"/>
              </w:rPr>
              <w:t xml:space="preserve"> Broadband Radio Service</w:t>
            </w:r>
          </w:p>
        </w:tc>
      </w:tr>
      <w:tr w:rsidR="00C81B24" w:rsidRPr="00C81B24" w:rsidTr="00526AD9">
        <w:trPr>
          <w:jc w:val="center"/>
        </w:trPr>
        <w:tc>
          <w:tcPr>
            <w:tcW w:w="0" w:type="auto"/>
          </w:tcPr>
          <w:p w:rsidR="00C81B24" w:rsidRPr="00C81B24" w:rsidRDefault="00C81B24" w:rsidP="00CE5850">
            <w:pPr>
              <w:rPr>
                <w:sz w:val="20"/>
              </w:rPr>
            </w:pPr>
            <w:r w:rsidRPr="00C81B24">
              <w:rPr>
                <w:sz w:val="20"/>
              </w:rPr>
              <w:t>BTA</w:t>
            </w:r>
          </w:p>
        </w:tc>
        <w:tc>
          <w:tcPr>
            <w:tcW w:w="0" w:type="auto"/>
          </w:tcPr>
          <w:p w:rsidR="00C81B24" w:rsidRPr="00C81B24" w:rsidRDefault="00C81B24" w:rsidP="00CE5850">
            <w:pPr>
              <w:rPr>
                <w:sz w:val="20"/>
              </w:rPr>
            </w:pPr>
            <w:r w:rsidRPr="00C81B24">
              <w:rPr>
                <w:sz w:val="20"/>
              </w:rPr>
              <w:t xml:space="preserve"> Basic Trading Area</w:t>
            </w:r>
          </w:p>
        </w:tc>
      </w:tr>
      <w:tr w:rsidR="00C81B24" w:rsidRPr="00C81B24" w:rsidTr="00526AD9">
        <w:trPr>
          <w:jc w:val="center"/>
        </w:trPr>
        <w:tc>
          <w:tcPr>
            <w:tcW w:w="0" w:type="auto"/>
          </w:tcPr>
          <w:p w:rsidR="00C81B24" w:rsidRPr="00C81B24" w:rsidRDefault="00C81B24" w:rsidP="00CE5850">
            <w:pPr>
              <w:rPr>
                <w:sz w:val="20"/>
              </w:rPr>
            </w:pPr>
            <w:r w:rsidRPr="00C81B24">
              <w:rPr>
                <w:sz w:val="20"/>
              </w:rPr>
              <w:t>CFR</w:t>
            </w:r>
          </w:p>
        </w:tc>
        <w:tc>
          <w:tcPr>
            <w:tcW w:w="0" w:type="auto"/>
          </w:tcPr>
          <w:p w:rsidR="00C81B24" w:rsidRPr="00C81B24" w:rsidRDefault="00C81B24" w:rsidP="00CE5850">
            <w:pPr>
              <w:rPr>
                <w:sz w:val="20"/>
              </w:rPr>
            </w:pPr>
            <w:r w:rsidRPr="00C81B24">
              <w:rPr>
                <w:sz w:val="20"/>
              </w:rPr>
              <w:t xml:space="preserve"> Code of Federal Regulations</w:t>
            </w:r>
          </w:p>
        </w:tc>
      </w:tr>
      <w:tr w:rsidR="00C81B24" w:rsidRPr="00C81B24" w:rsidTr="00526AD9">
        <w:trPr>
          <w:jc w:val="center"/>
        </w:trPr>
        <w:tc>
          <w:tcPr>
            <w:tcW w:w="0" w:type="auto"/>
          </w:tcPr>
          <w:p w:rsidR="00C81B24" w:rsidRPr="00C81B24" w:rsidRDefault="00C81B24" w:rsidP="00CE5850">
            <w:pPr>
              <w:rPr>
                <w:sz w:val="20"/>
              </w:rPr>
            </w:pPr>
            <w:r w:rsidRPr="00C81B24">
              <w:rPr>
                <w:sz w:val="20"/>
              </w:rPr>
              <w:t>CAPEX</w:t>
            </w:r>
          </w:p>
        </w:tc>
        <w:tc>
          <w:tcPr>
            <w:tcW w:w="0" w:type="auto"/>
          </w:tcPr>
          <w:p w:rsidR="00C81B24" w:rsidRPr="00C81B24" w:rsidRDefault="00C81B24" w:rsidP="00CE5850">
            <w:pPr>
              <w:rPr>
                <w:sz w:val="20"/>
              </w:rPr>
            </w:pPr>
            <w:r w:rsidRPr="00C81B24">
              <w:rPr>
                <w:sz w:val="20"/>
              </w:rPr>
              <w:t xml:space="preserve"> Capital Expenditures</w:t>
            </w:r>
          </w:p>
        </w:tc>
      </w:tr>
      <w:tr w:rsidR="00C81B24" w:rsidRPr="00C81B24" w:rsidTr="00526AD9">
        <w:trPr>
          <w:jc w:val="center"/>
        </w:trPr>
        <w:tc>
          <w:tcPr>
            <w:tcW w:w="0" w:type="auto"/>
          </w:tcPr>
          <w:p w:rsidR="00C81B24" w:rsidRPr="00C81B24" w:rsidRDefault="00C81B24" w:rsidP="00CE5850">
            <w:pPr>
              <w:rPr>
                <w:sz w:val="20"/>
              </w:rPr>
            </w:pPr>
            <w:r w:rsidRPr="00C81B24">
              <w:rPr>
                <w:sz w:val="20"/>
              </w:rPr>
              <w:t>CDC</w:t>
            </w:r>
          </w:p>
        </w:tc>
        <w:tc>
          <w:tcPr>
            <w:tcW w:w="0" w:type="auto"/>
          </w:tcPr>
          <w:p w:rsidR="00C81B24" w:rsidRPr="00C81B24" w:rsidRDefault="00C81B24" w:rsidP="00CE5850">
            <w:pPr>
              <w:rPr>
                <w:sz w:val="20"/>
              </w:rPr>
            </w:pPr>
            <w:r w:rsidRPr="00C81B24">
              <w:rPr>
                <w:sz w:val="20"/>
              </w:rPr>
              <w:t xml:space="preserve"> Centers for Disease Control</w:t>
            </w:r>
          </w:p>
        </w:tc>
      </w:tr>
      <w:tr w:rsidR="00C81B24" w:rsidRPr="00C81B24" w:rsidTr="00526AD9">
        <w:trPr>
          <w:jc w:val="center"/>
        </w:trPr>
        <w:tc>
          <w:tcPr>
            <w:tcW w:w="0" w:type="auto"/>
          </w:tcPr>
          <w:p w:rsidR="00C81B24" w:rsidRPr="00C81B24" w:rsidRDefault="00C81B24" w:rsidP="00CE5850">
            <w:pPr>
              <w:rPr>
                <w:sz w:val="20"/>
              </w:rPr>
            </w:pPr>
            <w:r w:rsidRPr="00C81B24">
              <w:rPr>
                <w:sz w:val="20"/>
              </w:rPr>
              <w:t>CDMA</w:t>
            </w:r>
          </w:p>
        </w:tc>
        <w:tc>
          <w:tcPr>
            <w:tcW w:w="0" w:type="auto"/>
          </w:tcPr>
          <w:p w:rsidR="00C81B24" w:rsidRPr="00C81B24" w:rsidRDefault="00C81B24" w:rsidP="00CE5850">
            <w:pPr>
              <w:rPr>
                <w:sz w:val="20"/>
              </w:rPr>
            </w:pPr>
            <w:r w:rsidRPr="00C81B24">
              <w:rPr>
                <w:sz w:val="20"/>
              </w:rPr>
              <w:t xml:space="preserve"> Code Division Multiple Access</w:t>
            </w:r>
          </w:p>
        </w:tc>
      </w:tr>
      <w:tr w:rsidR="00C81B24" w:rsidRPr="00C81B24" w:rsidTr="00526AD9">
        <w:trPr>
          <w:jc w:val="center"/>
        </w:trPr>
        <w:tc>
          <w:tcPr>
            <w:tcW w:w="0" w:type="auto"/>
          </w:tcPr>
          <w:p w:rsidR="00C81B24" w:rsidRPr="00C81B24" w:rsidRDefault="00C81B24" w:rsidP="00CE5850">
            <w:pPr>
              <w:rPr>
                <w:sz w:val="20"/>
              </w:rPr>
            </w:pPr>
            <w:r w:rsidRPr="00C81B24">
              <w:rPr>
                <w:sz w:val="20"/>
              </w:rPr>
              <w:t>CEA</w:t>
            </w:r>
          </w:p>
        </w:tc>
        <w:tc>
          <w:tcPr>
            <w:tcW w:w="0" w:type="auto"/>
          </w:tcPr>
          <w:p w:rsidR="00C81B24" w:rsidRPr="00C81B24" w:rsidRDefault="00C81B24" w:rsidP="00CE5850">
            <w:pPr>
              <w:rPr>
                <w:sz w:val="20"/>
              </w:rPr>
            </w:pPr>
            <w:r w:rsidRPr="00C81B24">
              <w:rPr>
                <w:sz w:val="20"/>
              </w:rPr>
              <w:t xml:space="preserve"> Component Economic Area</w:t>
            </w:r>
          </w:p>
        </w:tc>
      </w:tr>
      <w:tr w:rsidR="00C81B24" w:rsidRPr="00C81B24" w:rsidTr="00526AD9">
        <w:trPr>
          <w:jc w:val="center"/>
        </w:trPr>
        <w:tc>
          <w:tcPr>
            <w:tcW w:w="0" w:type="auto"/>
          </w:tcPr>
          <w:p w:rsidR="00C81B24" w:rsidRPr="00C81B24" w:rsidRDefault="00C81B24" w:rsidP="00CE5850">
            <w:pPr>
              <w:rPr>
                <w:sz w:val="20"/>
              </w:rPr>
            </w:pPr>
            <w:r w:rsidRPr="00C81B24">
              <w:rPr>
                <w:sz w:val="20"/>
              </w:rPr>
              <w:t>CEO</w:t>
            </w:r>
          </w:p>
        </w:tc>
        <w:tc>
          <w:tcPr>
            <w:tcW w:w="0" w:type="auto"/>
          </w:tcPr>
          <w:p w:rsidR="00C81B24" w:rsidRPr="00C81B24" w:rsidRDefault="00C81B24" w:rsidP="00CE5850">
            <w:pPr>
              <w:rPr>
                <w:sz w:val="20"/>
              </w:rPr>
            </w:pPr>
            <w:r w:rsidRPr="00C81B24">
              <w:rPr>
                <w:sz w:val="20"/>
              </w:rPr>
              <w:t xml:space="preserve"> Chief Executive Officer</w:t>
            </w:r>
          </w:p>
        </w:tc>
      </w:tr>
      <w:tr w:rsidR="00C81B24" w:rsidRPr="00C81B24" w:rsidTr="00526AD9">
        <w:trPr>
          <w:jc w:val="center"/>
        </w:trPr>
        <w:tc>
          <w:tcPr>
            <w:tcW w:w="0" w:type="auto"/>
          </w:tcPr>
          <w:p w:rsidR="00C81B24" w:rsidRPr="00C81B24" w:rsidRDefault="00C81B24" w:rsidP="00CE5850">
            <w:pPr>
              <w:rPr>
                <w:sz w:val="20"/>
              </w:rPr>
            </w:pPr>
            <w:r w:rsidRPr="00C81B24">
              <w:rPr>
                <w:sz w:val="20"/>
              </w:rPr>
              <w:t>CMA</w:t>
            </w:r>
          </w:p>
        </w:tc>
        <w:tc>
          <w:tcPr>
            <w:tcW w:w="0" w:type="auto"/>
          </w:tcPr>
          <w:p w:rsidR="00C81B24" w:rsidRPr="00C81B24" w:rsidRDefault="00C81B24" w:rsidP="00CE5850">
            <w:pPr>
              <w:rPr>
                <w:sz w:val="20"/>
              </w:rPr>
            </w:pPr>
            <w:r w:rsidRPr="00C81B24">
              <w:rPr>
                <w:sz w:val="20"/>
              </w:rPr>
              <w:t xml:space="preserve"> Cellular Market Area</w:t>
            </w:r>
          </w:p>
        </w:tc>
      </w:tr>
      <w:tr w:rsidR="00C81B24" w:rsidRPr="00C81B24" w:rsidTr="00526AD9">
        <w:trPr>
          <w:jc w:val="center"/>
        </w:trPr>
        <w:tc>
          <w:tcPr>
            <w:tcW w:w="0" w:type="auto"/>
          </w:tcPr>
          <w:p w:rsidR="00C81B24" w:rsidRPr="00C81B24" w:rsidRDefault="00C81B24" w:rsidP="00CE5850">
            <w:pPr>
              <w:rPr>
                <w:sz w:val="20"/>
              </w:rPr>
            </w:pPr>
            <w:r w:rsidRPr="00C81B24">
              <w:rPr>
                <w:sz w:val="20"/>
              </w:rPr>
              <w:t>CMRS</w:t>
            </w:r>
          </w:p>
        </w:tc>
        <w:tc>
          <w:tcPr>
            <w:tcW w:w="0" w:type="auto"/>
          </w:tcPr>
          <w:p w:rsidR="00C81B24" w:rsidRPr="00C81B24" w:rsidRDefault="00C81B24" w:rsidP="00CE5850">
            <w:pPr>
              <w:rPr>
                <w:sz w:val="20"/>
              </w:rPr>
            </w:pPr>
            <w:r w:rsidRPr="00C81B24">
              <w:rPr>
                <w:sz w:val="20"/>
              </w:rPr>
              <w:t xml:space="preserve"> Commercial Mobile Radio Services</w:t>
            </w:r>
          </w:p>
        </w:tc>
      </w:tr>
      <w:tr w:rsidR="00C81B24" w:rsidRPr="00C81B24" w:rsidTr="00526AD9">
        <w:trPr>
          <w:jc w:val="center"/>
        </w:trPr>
        <w:tc>
          <w:tcPr>
            <w:tcW w:w="0" w:type="auto"/>
          </w:tcPr>
          <w:p w:rsidR="00C81B24" w:rsidRPr="00C81B24" w:rsidRDefault="00C81B24" w:rsidP="00CE5850">
            <w:pPr>
              <w:rPr>
                <w:sz w:val="20"/>
              </w:rPr>
            </w:pPr>
            <w:r w:rsidRPr="00C81B24">
              <w:rPr>
                <w:sz w:val="20"/>
              </w:rPr>
              <w:t>CPI</w:t>
            </w:r>
          </w:p>
        </w:tc>
        <w:tc>
          <w:tcPr>
            <w:tcW w:w="0" w:type="auto"/>
          </w:tcPr>
          <w:p w:rsidR="00C81B24" w:rsidRPr="00C81B24" w:rsidRDefault="00C81B24" w:rsidP="00CE5850">
            <w:pPr>
              <w:rPr>
                <w:sz w:val="20"/>
              </w:rPr>
            </w:pPr>
            <w:r w:rsidRPr="00C81B24">
              <w:rPr>
                <w:sz w:val="20"/>
              </w:rPr>
              <w:t xml:space="preserve"> Consumer Price Index</w:t>
            </w:r>
          </w:p>
        </w:tc>
      </w:tr>
      <w:tr w:rsidR="00C81B24" w:rsidRPr="00C81B24" w:rsidTr="00526AD9">
        <w:trPr>
          <w:jc w:val="center"/>
        </w:trPr>
        <w:tc>
          <w:tcPr>
            <w:tcW w:w="0" w:type="auto"/>
          </w:tcPr>
          <w:p w:rsidR="00C81B24" w:rsidRPr="00C81B24" w:rsidRDefault="00C81B24" w:rsidP="00CE5850">
            <w:pPr>
              <w:rPr>
                <w:sz w:val="20"/>
              </w:rPr>
            </w:pPr>
            <w:r w:rsidRPr="00C81B24">
              <w:rPr>
                <w:sz w:val="20"/>
              </w:rPr>
              <w:t>CPP</w:t>
            </w:r>
          </w:p>
        </w:tc>
        <w:tc>
          <w:tcPr>
            <w:tcW w:w="0" w:type="auto"/>
          </w:tcPr>
          <w:p w:rsidR="00C81B24" w:rsidRPr="00C81B24" w:rsidRDefault="00C81B24" w:rsidP="00CE5850">
            <w:pPr>
              <w:rPr>
                <w:sz w:val="20"/>
              </w:rPr>
            </w:pPr>
            <w:r w:rsidRPr="00C81B24">
              <w:rPr>
                <w:sz w:val="20"/>
              </w:rPr>
              <w:t xml:space="preserve"> Calling Party Pays</w:t>
            </w:r>
          </w:p>
        </w:tc>
      </w:tr>
      <w:tr w:rsidR="00C81B24" w:rsidRPr="00C81B24" w:rsidTr="00526AD9">
        <w:trPr>
          <w:jc w:val="center"/>
        </w:trPr>
        <w:tc>
          <w:tcPr>
            <w:tcW w:w="0" w:type="auto"/>
          </w:tcPr>
          <w:p w:rsidR="00C81B24" w:rsidRPr="00C81B24" w:rsidRDefault="00C81B24" w:rsidP="00CE5850">
            <w:pPr>
              <w:rPr>
                <w:sz w:val="20"/>
              </w:rPr>
            </w:pPr>
            <w:r w:rsidRPr="00C81B24">
              <w:rPr>
                <w:sz w:val="20"/>
              </w:rPr>
              <w:t>DA</w:t>
            </w:r>
          </w:p>
        </w:tc>
        <w:tc>
          <w:tcPr>
            <w:tcW w:w="0" w:type="auto"/>
          </w:tcPr>
          <w:p w:rsidR="00C81B24" w:rsidRPr="00C81B24" w:rsidRDefault="00C81B24" w:rsidP="00CE5850">
            <w:pPr>
              <w:rPr>
                <w:sz w:val="20"/>
              </w:rPr>
            </w:pPr>
            <w:r w:rsidRPr="00C81B24">
              <w:rPr>
                <w:sz w:val="20"/>
              </w:rPr>
              <w:t xml:space="preserve"> Delegated Authority</w:t>
            </w:r>
          </w:p>
        </w:tc>
      </w:tr>
      <w:tr w:rsidR="00C81B24" w:rsidRPr="00C81B24" w:rsidTr="00526AD9">
        <w:trPr>
          <w:jc w:val="center"/>
        </w:trPr>
        <w:tc>
          <w:tcPr>
            <w:tcW w:w="0" w:type="auto"/>
          </w:tcPr>
          <w:p w:rsidR="00C81B24" w:rsidRPr="00C81B24" w:rsidRDefault="00C81B24" w:rsidP="00CE5850">
            <w:pPr>
              <w:rPr>
                <w:sz w:val="20"/>
              </w:rPr>
            </w:pPr>
            <w:r w:rsidRPr="00C81B24">
              <w:rPr>
                <w:sz w:val="20"/>
              </w:rPr>
              <w:t>DAS</w:t>
            </w:r>
          </w:p>
        </w:tc>
        <w:tc>
          <w:tcPr>
            <w:tcW w:w="0" w:type="auto"/>
          </w:tcPr>
          <w:p w:rsidR="00C81B24" w:rsidRPr="00C81B24" w:rsidRDefault="00C81B24" w:rsidP="00CE5850">
            <w:pPr>
              <w:rPr>
                <w:sz w:val="20"/>
              </w:rPr>
            </w:pPr>
            <w:r w:rsidRPr="00C81B24">
              <w:rPr>
                <w:sz w:val="20"/>
              </w:rPr>
              <w:t xml:space="preserve"> Distributed Antenna System</w:t>
            </w:r>
          </w:p>
        </w:tc>
      </w:tr>
      <w:tr w:rsidR="00C81B24" w:rsidRPr="00C81B24" w:rsidTr="00526AD9">
        <w:trPr>
          <w:jc w:val="center"/>
        </w:trPr>
        <w:tc>
          <w:tcPr>
            <w:tcW w:w="0" w:type="auto"/>
          </w:tcPr>
          <w:p w:rsidR="00C81B24" w:rsidRPr="00C81B24" w:rsidRDefault="00C81B24" w:rsidP="00CE5850">
            <w:pPr>
              <w:rPr>
                <w:sz w:val="20"/>
              </w:rPr>
            </w:pPr>
            <w:r w:rsidRPr="00C81B24">
              <w:rPr>
                <w:sz w:val="20"/>
              </w:rPr>
              <w:t>DOJ</w:t>
            </w:r>
          </w:p>
        </w:tc>
        <w:tc>
          <w:tcPr>
            <w:tcW w:w="0" w:type="auto"/>
          </w:tcPr>
          <w:p w:rsidR="00C81B24" w:rsidRPr="00C81B24" w:rsidRDefault="00C81B24" w:rsidP="00CE5850">
            <w:pPr>
              <w:rPr>
                <w:sz w:val="20"/>
              </w:rPr>
            </w:pPr>
            <w:r w:rsidRPr="00C81B24">
              <w:rPr>
                <w:sz w:val="20"/>
              </w:rPr>
              <w:t xml:space="preserve"> Department of Justice </w:t>
            </w:r>
          </w:p>
        </w:tc>
      </w:tr>
      <w:tr w:rsidR="00C81B24" w:rsidRPr="00C81B24" w:rsidTr="00526AD9">
        <w:trPr>
          <w:jc w:val="center"/>
        </w:trPr>
        <w:tc>
          <w:tcPr>
            <w:tcW w:w="0" w:type="auto"/>
          </w:tcPr>
          <w:p w:rsidR="00C81B24" w:rsidRPr="00C81B24" w:rsidRDefault="00C81B24" w:rsidP="00CE5850">
            <w:pPr>
              <w:rPr>
                <w:sz w:val="20"/>
                <w:lang w:val="es-ES"/>
              </w:rPr>
            </w:pPr>
            <w:r w:rsidRPr="00C81B24">
              <w:rPr>
                <w:sz w:val="20"/>
                <w:lang w:val="es-ES"/>
              </w:rPr>
              <w:t>DSL</w:t>
            </w:r>
          </w:p>
        </w:tc>
        <w:tc>
          <w:tcPr>
            <w:tcW w:w="0" w:type="auto"/>
          </w:tcPr>
          <w:p w:rsidR="00C81B24" w:rsidRPr="00C81B24" w:rsidRDefault="00C81B24" w:rsidP="00CE5850">
            <w:pPr>
              <w:rPr>
                <w:sz w:val="20"/>
                <w:lang w:val="es-ES"/>
              </w:rPr>
            </w:pPr>
            <w:r w:rsidRPr="00C81B24">
              <w:rPr>
                <w:sz w:val="20"/>
                <w:lang w:val="es-ES"/>
              </w:rPr>
              <w:t xml:space="preserve"> Digital Subscriber Line</w:t>
            </w:r>
          </w:p>
        </w:tc>
      </w:tr>
      <w:tr w:rsidR="00C81B24" w:rsidRPr="00C81B24" w:rsidTr="00526AD9">
        <w:trPr>
          <w:jc w:val="center"/>
        </w:trPr>
        <w:tc>
          <w:tcPr>
            <w:tcW w:w="0" w:type="auto"/>
          </w:tcPr>
          <w:p w:rsidR="00C81B24" w:rsidRPr="00C81B24" w:rsidRDefault="00C81B24" w:rsidP="00CE5850">
            <w:pPr>
              <w:rPr>
                <w:sz w:val="20"/>
                <w:lang w:val="es-ES"/>
              </w:rPr>
            </w:pPr>
            <w:r w:rsidRPr="00C81B24">
              <w:rPr>
                <w:sz w:val="20"/>
                <w:lang w:val="es-ES"/>
              </w:rPr>
              <w:t>DTV</w:t>
            </w:r>
          </w:p>
        </w:tc>
        <w:tc>
          <w:tcPr>
            <w:tcW w:w="0" w:type="auto"/>
          </w:tcPr>
          <w:p w:rsidR="00C81B24" w:rsidRPr="00C81B24" w:rsidRDefault="00C81B24" w:rsidP="00CE5850">
            <w:pPr>
              <w:rPr>
                <w:sz w:val="20"/>
                <w:lang w:val="es-ES"/>
              </w:rPr>
            </w:pPr>
            <w:r w:rsidRPr="00C81B24">
              <w:rPr>
                <w:sz w:val="20"/>
                <w:lang w:val="es-ES"/>
              </w:rPr>
              <w:t xml:space="preserve"> Digital Television</w:t>
            </w:r>
          </w:p>
        </w:tc>
      </w:tr>
      <w:tr w:rsidR="00C81B24" w:rsidRPr="00C81B24" w:rsidTr="00526AD9">
        <w:trPr>
          <w:jc w:val="center"/>
        </w:trPr>
        <w:tc>
          <w:tcPr>
            <w:tcW w:w="0" w:type="auto"/>
          </w:tcPr>
          <w:p w:rsidR="00C81B24" w:rsidRPr="00C81B24" w:rsidRDefault="00C81B24" w:rsidP="00CE5850">
            <w:pPr>
              <w:rPr>
                <w:sz w:val="20"/>
              </w:rPr>
            </w:pPr>
            <w:r w:rsidRPr="00C81B24">
              <w:rPr>
                <w:sz w:val="20"/>
              </w:rPr>
              <w:t>DTV Act</w:t>
            </w:r>
          </w:p>
        </w:tc>
        <w:tc>
          <w:tcPr>
            <w:tcW w:w="0" w:type="auto"/>
          </w:tcPr>
          <w:p w:rsidR="00C81B24" w:rsidRPr="00C81B24" w:rsidRDefault="00C81B24" w:rsidP="00CE5850">
            <w:pPr>
              <w:rPr>
                <w:sz w:val="20"/>
              </w:rPr>
            </w:pPr>
            <w:r w:rsidRPr="00C81B24">
              <w:rPr>
                <w:sz w:val="20"/>
              </w:rPr>
              <w:t xml:space="preserve"> Digital Television Transition and Public Safety Act of 2005</w:t>
            </w:r>
          </w:p>
        </w:tc>
      </w:tr>
      <w:tr w:rsidR="00C81B24" w:rsidRPr="00C81B24" w:rsidTr="00526AD9">
        <w:trPr>
          <w:jc w:val="center"/>
        </w:trPr>
        <w:tc>
          <w:tcPr>
            <w:tcW w:w="0" w:type="auto"/>
          </w:tcPr>
          <w:p w:rsidR="00C81B24" w:rsidRPr="00C81B24" w:rsidRDefault="00C81B24" w:rsidP="00CE5850">
            <w:pPr>
              <w:rPr>
                <w:sz w:val="20"/>
              </w:rPr>
            </w:pPr>
            <w:r w:rsidRPr="00C81B24">
              <w:rPr>
                <w:sz w:val="20"/>
              </w:rPr>
              <w:t>EA</w:t>
            </w:r>
          </w:p>
        </w:tc>
        <w:tc>
          <w:tcPr>
            <w:tcW w:w="0" w:type="auto"/>
          </w:tcPr>
          <w:p w:rsidR="00C81B24" w:rsidRPr="00C81B24" w:rsidRDefault="00C81B24" w:rsidP="00CE5850">
            <w:pPr>
              <w:rPr>
                <w:sz w:val="20"/>
              </w:rPr>
            </w:pPr>
            <w:r w:rsidRPr="00C81B24">
              <w:rPr>
                <w:sz w:val="20"/>
              </w:rPr>
              <w:t xml:space="preserve"> Economics Area </w:t>
            </w:r>
          </w:p>
        </w:tc>
      </w:tr>
      <w:tr w:rsidR="00C81B24" w:rsidRPr="00C81B24" w:rsidTr="00526AD9">
        <w:trPr>
          <w:jc w:val="center"/>
        </w:trPr>
        <w:tc>
          <w:tcPr>
            <w:tcW w:w="0" w:type="auto"/>
          </w:tcPr>
          <w:p w:rsidR="00C81B24" w:rsidRPr="00C81B24" w:rsidRDefault="00C81B24" w:rsidP="00CE5850">
            <w:pPr>
              <w:rPr>
                <w:sz w:val="20"/>
              </w:rPr>
            </w:pPr>
            <w:r w:rsidRPr="00C81B24">
              <w:rPr>
                <w:sz w:val="20"/>
              </w:rPr>
              <w:t>EBIT</w:t>
            </w:r>
          </w:p>
        </w:tc>
        <w:tc>
          <w:tcPr>
            <w:tcW w:w="0" w:type="auto"/>
          </w:tcPr>
          <w:p w:rsidR="00C81B24" w:rsidRPr="00C81B24" w:rsidRDefault="00C81B24" w:rsidP="00CE5850">
            <w:pPr>
              <w:rPr>
                <w:sz w:val="20"/>
              </w:rPr>
            </w:pPr>
            <w:r w:rsidRPr="00C81B24">
              <w:rPr>
                <w:sz w:val="20"/>
              </w:rPr>
              <w:t xml:space="preserve"> Earnings before Interest and Taxes</w:t>
            </w:r>
          </w:p>
        </w:tc>
      </w:tr>
      <w:tr w:rsidR="00C81B24" w:rsidRPr="00C81B24" w:rsidTr="00526AD9">
        <w:trPr>
          <w:jc w:val="center"/>
        </w:trPr>
        <w:tc>
          <w:tcPr>
            <w:tcW w:w="0" w:type="auto"/>
          </w:tcPr>
          <w:p w:rsidR="00C81B24" w:rsidRPr="00C81B24" w:rsidRDefault="00C81B24" w:rsidP="00CE5850">
            <w:pPr>
              <w:rPr>
                <w:sz w:val="20"/>
              </w:rPr>
            </w:pPr>
            <w:r w:rsidRPr="00C81B24">
              <w:rPr>
                <w:sz w:val="20"/>
              </w:rPr>
              <w:t>EBITDA</w:t>
            </w:r>
          </w:p>
        </w:tc>
        <w:tc>
          <w:tcPr>
            <w:tcW w:w="0" w:type="auto"/>
          </w:tcPr>
          <w:p w:rsidR="00C81B24" w:rsidRPr="00C81B24" w:rsidRDefault="00C81B24" w:rsidP="00CE5850">
            <w:pPr>
              <w:rPr>
                <w:sz w:val="20"/>
              </w:rPr>
            </w:pPr>
            <w:r w:rsidRPr="00C81B24">
              <w:rPr>
                <w:sz w:val="20"/>
              </w:rPr>
              <w:t xml:space="preserve"> Earnings before Interest, Taxes, Debt, and Amortization</w:t>
            </w:r>
          </w:p>
        </w:tc>
      </w:tr>
      <w:tr w:rsidR="00C81B24" w:rsidRPr="00C81B24" w:rsidTr="00526AD9">
        <w:trPr>
          <w:jc w:val="center"/>
        </w:trPr>
        <w:tc>
          <w:tcPr>
            <w:tcW w:w="0" w:type="auto"/>
          </w:tcPr>
          <w:p w:rsidR="00C81B24" w:rsidRPr="00C81B24" w:rsidRDefault="00C81B24" w:rsidP="00CE5850">
            <w:pPr>
              <w:rPr>
                <w:sz w:val="20"/>
              </w:rPr>
            </w:pPr>
            <w:r w:rsidRPr="00C81B24">
              <w:rPr>
                <w:sz w:val="20"/>
              </w:rPr>
              <w:t>EBS</w:t>
            </w:r>
          </w:p>
        </w:tc>
        <w:tc>
          <w:tcPr>
            <w:tcW w:w="0" w:type="auto"/>
          </w:tcPr>
          <w:p w:rsidR="00C81B24" w:rsidRPr="00C81B24" w:rsidRDefault="00C81B24" w:rsidP="00CE5850">
            <w:pPr>
              <w:rPr>
                <w:sz w:val="20"/>
              </w:rPr>
            </w:pPr>
            <w:r w:rsidRPr="00C81B24">
              <w:rPr>
                <w:sz w:val="20"/>
              </w:rPr>
              <w:t xml:space="preserve"> Educational Broadband Service</w:t>
            </w:r>
          </w:p>
        </w:tc>
      </w:tr>
      <w:tr w:rsidR="00C81B24" w:rsidRPr="00C81B24" w:rsidTr="00526AD9">
        <w:trPr>
          <w:jc w:val="center"/>
        </w:trPr>
        <w:tc>
          <w:tcPr>
            <w:tcW w:w="0" w:type="auto"/>
          </w:tcPr>
          <w:p w:rsidR="00C81B24" w:rsidRPr="00C81B24" w:rsidRDefault="00C81B24" w:rsidP="00CE5850">
            <w:pPr>
              <w:rPr>
                <w:sz w:val="20"/>
              </w:rPr>
            </w:pPr>
            <w:r w:rsidRPr="00C81B24">
              <w:rPr>
                <w:sz w:val="20"/>
              </w:rPr>
              <w:t>EDGE</w:t>
            </w:r>
          </w:p>
        </w:tc>
        <w:tc>
          <w:tcPr>
            <w:tcW w:w="0" w:type="auto"/>
          </w:tcPr>
          <w:p w:rsidR="00C81B24" w:rsidRPr="00C81B24" w:rsidRDefault="00C81B24" w:rsidP="00CE5850">
            <w:pPr>
              <w:rPr>
                <w:sz w:val="20"/>
              </w:rPr>
            </w:pPr>
            <w:r w:rsidRPr="00C81B24">
              <w:rPr>
                <w:sz w:val="20"/>
              </w:rPr>
              <w:t xml:space="preserve"> Enhanced Data Rates for Global Evolution</w:t>
            </w:r>
          </w:p>
        </w:tc>
      </w:tr>
      <w:tr w:rsidR="00C81B24" w:rsidRPr="00C81B24" w:rsidTr="00526AD9">
        <w:trPr>
          <w:jc w:val="center"/>
        </w:trPr>
        <w:tc>
          <w:tcPr>
            <w:tcW w:w="0" w:type="auto"/>
          </w:tcPr>
          <w:p w:rsidR="00C81B24" w:rsidRPr="00C81B24" w:rsidRDefault="00C81B24" w:rsidP="00CE5850">
            <w:pPr>
              <w:rPr>
                <w:sz w:val="20"/>
              </w:rPr>
            </w:pPr>
            <w:r w:rsidRPr="00C81B24">
              <w:rPr>
                <w:sz w:val="20"/>
              </w:rPr>
              <w:t>EHA</w:t>
            </w:r>
          </w:p>
        </w:tc>
        <w:tc>
          <w:tcPr>
            <w:tcW w:w="0" w:type="auto"/>
          </w:tcPr>
          <w:p w:rsidR="00C81B24" w:rsidRPr="00C81B24" w:rsidRDefault="00C81B24" w:rsidP="00CE5850">
            <w:pPr>
              <w:rPr>
                <w:sz w:val="20"/>
              </w:rPr>
            </w:pPr>
            <w:r w:rsidRPr="00C81B24">
              <w:rPr>
                <w:sz w:val="20"/>
              </w:rPr>
              <w:t xml:space="preserve"> Exclusive Handset Agreement</w:t>
            </w:r>
          </w:p>
        </w:tc>
      </w:tr>
      <w:tr w:rsidR="00C81B24" w:rsidRPr="00C81B24" w:rsidTr="00526AD9">
        <w:trPr>
          <w:jc w:val="center"/>
        </w:trPr>
        <w:tc>
          <w:tcPr>
            <w:tcW w:w="0" w:type="auto"/>
          </w:tcPr>
          <w:p w:rsidR="00C81B24" w:rsidRPr="00C81B24" w:rsidRDefault="00C81B24" w:rsidP="00CE5850">
            <w:pPr>
              <w:rPr>
                <w:sz w:val="20"/>
              </w:rPr>
            </w:pPr>
            <w:r w:rsidRPr="00C81B24">
              <w:rPr>
                <w:sz w:val="20"/>
              </w:rPr>
              <w:t>EIRP</w:t>
            </w:r>
          </w:p>
        </w:tc>
        <w:tc>
          <w:tcPr>
            <w:tcW w:w="0" w:type="auto"/>
          </w:tcPr>
          <w:p w:rsidR="00C81B24" w:rsidRPr="00C81B24" w:rsidRDefault="00C81B24" w:rsidP="00CE5850">
            <w:pPr>
              <w:rPr>
                <w:sz w:val="20"/>
              </w:rPr>
            </w:pPr>
            <w:r w:rsidRPr="00C81B24">
              <w:rPr>
                <w:sz w:val="20"/>
              </w:rPr>
              <w:t xml:space="preserve"> Equivalent Isotropically Radiated Power</w:t>
            </w:r>
          </w:p>
        </w:tc>
      </w:tr>
      <w:tr w:rsidR="00C81B24" w:rsidRPr="00C81B24" w:rsidTr="00526AD9">
        <w:trPr>
          <w:jc w:val="center"/>
        </w:trPr>
        <w:tc>
          <w:tcPr>
            <w:tcW w:w="0" w:type="auto"/>
          </w:tcPr>
          <w:p w:rsidR="00C81B24" w:rsidRPr="00C81B24" w:rsidRDefault="00C81B24" w:rsidP="00CE5850">
            <w:pPr>
              <w:rPr>
                <w:sz w:val="20"/>
              </w:rPr>
            </w:pPr>
            <w:r w:rsidRPr="00C81B24">
              <w:rPr>
                <w:sz w:val="20"/>
              </w:rPr>
              <w:t>ETF</w:t>
            </w:r>
          </w:p>
        </w:tc>
        <w:tc>
          <w:tcPr>
            <w:tcW w:w="0" w:type="auto"/>
          </w:tcPr>
          <w:p w:rsidR="00C81B24" w:rsidRPr="00C81B24" w:rsidRDefault="00C81B24" w:rsidP="00CE5850">
            <w:pPr>
              <w:rPr>
                <w:sz w:val="20"/>
              </w:rPr>
            </w:pPr>
            <w:r w:rsidRPr="00C81B24">
              <w:rPr>
                <w:sz w:val="20"/>
              </w:rPr>
              <w:t xml:space="preserve"> Early Termination Fee</w:t>
            </w:r>
          </w:p>
        </w:tc>
      </w:tr>
      <w:tr w:rsidR="00C81B24" w:rsidRPr="00C81B24" w:rsidTr="00526AD9">
        <w:trPr>
          <w:jc w:val="center"/>
        </w:trPr>
        <w:tc>
          <w:tcPr>
            <w:tcW w:w="0" w:type="auto"/>
          </w:tcPr>
          <w:p w:rsidR="00C81B24" w:rsidRPr="00C81B24" w:rsidRDefault="00C81B24" w:rsidP="00CE5850">
            <w:pPr>
              <w:rPr>
                <w:sz w:val="20"/>
              </w:rPr>
            </w:pPr>
            <w:r w:rsidRPr="00C81B24">
              <w:rPr>
                <w:sz w:val="20"/>
              </w:rPr>
              <w:t>EV-DO</w:t>
            </w:r>
          </w:p>
        </w:tc>
        <w:tc>
          <w:tcPr>
            <w:tcW w:w="0" w:type="auto"/>
          </w:tcPr>
          <w:p w:rsidR="00C81B24" w:rsidRPr="00C81B24" w:rsidRDefault="00C81B24" w:rsidP="00CE5850">
            <w:pPr>
              <w:rPr>
                <w:sz w:val="20"/>
              </w:rPr>
            </w:pPr>
            <w:r w:rsidRPr="00C81B24">
              <w:rPr>
                <w:sz w:val="20"/>
              </w:rPr>
              <w:t xml:space="preserve"> Evolution Data Optimized</w:t>
            </w:r>
          </w:p>
        </w:tc>
      </w:tr>
      <w:tr w:rsidR="00C81B24" w:rsidRPr="00C81B24" w:rsidTr="00526AD9">
        <w:trPr>
          <w:jc w:val="center"/>
        </w:trPr>
        <w:tc>
          <w:tcPr>
            <w:tcW w:w="0" w:type="auto"/>
          </w:tcPr>
          <w:p w:rsidR="00C81B24" w:rsidRPr="00C81B24" w:rsidRDefault="00C81B24" w:rsidP="00CE5850">
            <w:pPr>
              <w:rPr>
                <w:sz w:val="20"/>
              </w:rPr>
            </w:pPr>
            <w:r w:rsidRPr="00C81B24">
              <w:rPr>
                <w:sz w:val="20"/>
              </w:rPr>
              <w:t>FCC</w:t>
            </w:r>
          </w:p>
        </w:tc>
        <w:tc>
          <w:tcPr>
            <w:tcW w:w="0" w:type="auto"/>
          </w:tcPr>
          <w:p w:rsidR="00C81B24" w:rsidRPr="00C81B24" w:rsidRDefault="00C81B24" w:rsidP="00CE5850">
            <w:pPr>
              <w:rPr>
                <w:sz w:val="20"/>
              </w:rPr>
            </w:pPr>
            <w:r w:rsidRPr="00C81B24">
              <w:rPr>
                <w:sz w:val="20"/>
              </w:rPr>
              <w:t xml:space="preserve"> Federal Communications Commission</w:t>
            </w:r>
          </w:p>
        </w:tc>
      </w:tr>
      <w:tr w:rsidR="00C81B24" w:rsidRPr="00C81B24" w:rsidTr="00526AD9">
        <w:trPr>
          <w:jc w:val="center"/>
        </w:trPr>
        <w:tc>
          <w:tcPr>
            <w:tcW w:w="0" w:type="auto"/>
          </w:tcPr>
          <w:p w:rsidR="00C81B24" w:rsidRPr="00C81B24" w:rsidRDefault="00C81B24" w:rsidP="00CE5850">
            <w:pPr>
              <w:rPr>
                <w:sz w:val="20"/>
              </w:rPr>
            </w:pPr>
            <w:r w:rsidRPr="00C81B24">
              <w:rPr>
                <w:sz w:val="20"/>
              </w:rPr>
              <w:t>FDD</w:t>
            </w:r>
          </w:p>
        </w:tc>
        <w:tc>
          <w:tcPr>
            <w:tcW w:w="0" w:type="auto"/>
          </w:tcPr>
          <w:p w:rsidR="00C81B24" w:rsidRPr="00C81B24" w:rsidRDefault="00C81B24" w:rsidP="00CE5850">
            <w:pPr>
              <w:rPr>
                <w:sz w:val="20"/>
              </w:rPr>
            </w:pPr>
            <w:r w:rsidRPr="00C81B24">
              <w:rPr>
                <w:sz w:val="20"/>
              </w:rPr>
              <w:t xml:space="preserve"> Frequency Division Duplex</w:t>
            </w:r>
          </w:p>
        </w:tc>
      </w:tr>
      <w:tr w:rsidR="00C81B24" w:rsidRPr="00C81B24" w:rsidTr="00526AD9">
        <w:trPr>
          <w:jc w:val="center"/>
        </w:trPr>
        <w:tc>
          <w:tcPr>
            <w:tcW w:w="0" w:type="auto"/>
          </w:tcPr>
          <w:p w:rsidR="00C81B24" w:rsidRPr="00C81B24" w:rsidRDefault="00C81B24" w:rsidP="00CE5850">
            <w:pPr>
              <w:rPr>
                <w:sz w:val="20"/>
              </w:rPr>
            </w:pPr>
            <w:r w:rsidRPr="00C81B24">
              <w:rPr>
                <w:sz w:val="20"/>
              </w:rPr>
              <w:t>FNPRM</w:t>
            </w:r>
          </w:p>
        </w:tc>
        <w:tc>
          <w:tcPr>
            <w:tcW w:w="0" w:type="auto"/>
          </w:tcPr>
          <w:p w:rsidR="00C81B24" w:rsidRPr="00C81B24" w:rsidRDefault="00C81B24" w:rsidP="00CE5850">
            <w:pPr>
              <w:rPr>
                <w:sz w:val="20"/>
              </w:rPr>
            </w:pPr>
            <w:r w:rsidRPr="00C81B24">
              <w:rPr>
                <w:sz w:val="20"/>
              </w:rPr>
              <w:t xml:space="preserve"> Further Notice of Proposed Rulemaking</w:t>
            </w:r>
          </w:p>
        </w:tc>
      </w:tr>
      <w:tr w:rsidR="00C81B24" w:rsidRPr="00C81B24" w:rsidTr="00526AD9">
        <w:trPr>
          <w:jc w:val="center"/>
        </w:trPr>
        <w:tc>
          <w:tcPr>
            <w:tcW w:w="0" w:type="auto"/>
          </w:tcPr>
          <w:p w:rsidR="00C81B24" w:rsidRPr="00C81B24" w:rsidRDefault="00C81B24" w:rsidP="00CE5850">
            <w:pPr>
              <w:rPr>
                <w:sz w:val="20"/>
              </w:rPr>
            </w:pPr>
            <w:r w:rsidRPr="00C81B24">
              <w:rPr>
                <w:sz w:val="20"/>
              </w:rPr>
              <w:t>FSS</w:t>
            </w:r>
          </w:p>
        </w:tc>
        <w:tc>
          <w:tcPr>
            <w:tcW w:w="0" w:type="auto"/>
          </w:tcPr>
          <w:p w:rsidR="00C81B24" w:rsidRPr="00C81B24" w:rsidRDefault="00C81B24" w:rsidP="00CE5850">
            <w:pPr>
              <w:rPr>
                <w:sz w:val="20"/>
              </w:rPr>
            </w:pPr>
            <w:r w:rsidRPr="00C81B24">
              <w:rPr>
                <w:sz w:val="20"/>
              </w:rPr>
              <w:t xml:space="preserve"> Frequency Spread Spectrum</w:t>
            </w:r>
          </w:p>
        </w:tc>
      </w:tr>
      <w:tr w:rsidR="00C81B24" w:rsidRPr="00C81B24" w:rsidTr="00526AD9">
        <w:trPr>
          <w:jc w:val="center"/>
        </w:trPr>
        <w:tc>
          <w:tcPr>
            <w:tcW w:w="0" w:type="auto"/>
          </w:tcPr>
          <w:p w:rsidR="00C81B24" w:rsidRPr="00C81B24" w:rsidRDefault="00C81B24" w:rsidP="00CE5850">
            <w:pPr>
              <w:rPr>
                <w:sz w:val="20"/>
              </w:rPr>
            </w:pPr>
            <w:r w:rsidRPr="00C81B24">
              <w:rPr>
                <w:sz w:val="20"/>
              </w:rPr>
              <w:t>FTC</w:t>
            </w:r>
          </w:p>
        </w:tc>
        <w:tc>
          <w:tcPr>
            <w:tcW w:w="0" w:type="auto"/>
          </w:tcPr>
          <w:p w:rsidR="00C81B24" w:rsidRPr="00C81B24" w:rsidRDefault="00C81B24" w:rsidP="00CE5850">
            <w:pPr>
              <w:rPr>
                <w:sz w:val="20"/>
              </w:rPr>
            </w:pPr>
            <w:r w:rsidRPr="00C81B24">
              <w:rPr>
                <w:sz w:val="20"/>
              </w:rPr>
              <w:t xml:space="preserve"> Federal Trade Commission</w:t>
            </w:r>
          </w:p>
        </w:tc>
      </w:tr>
      <w:tr w:rsidR="00C81B24" w:rsidRPr="00C81B24" w:rsidTr="00526AD9">
        <w:trPr>
          <w:jc w:val="center"/>
        </w:trPr>
        <w:tc>
          <w:tcPr>
            <w:tcW w:w="0" w:type="auto"/>
          </w:tcPr>
          <w:p w:rsidR="00C81B24" w:rsidRPr="00C81B24" w:rsidRDefault="00C81B24" w:rsidP="00CE5850">
            <w:pPr>
              <w:rPr>
                <w:sz w:val="20"/>
              </w:rPr>
            </w:pPr>
            <w:r w:rsidRPr="00C81B24">
              <w:rPr>
                <w:sz w:val="20"/>
              </w:rPr>
              <w:t>GAO</w:t>
            </w:r>
          </w:p>
        </w:tc>
        <w:tc>
          <w:tcPr>
            <w:tcW w:w="0" w:type="auto"/>
          </w:tcPr>
          <w:p w:rsidR="00C81B24" w:rsidRPr="00C81B24" w:rsidRDefault="00C81B24" w:rsidP="00CE5850">
            <w:pPr>
              <w:rPr>
                <w:sz w:val="20"/>
              </w:rPr>
            </w:pPr>
            <w:r w:rsidRPr="00C81B24">
              <w:rPr>
                <w:sz w:val="20"/>
              </w:rPr>
              <w:t xml:space="preserve"> Government Accountability Office</w:t>
            </w:r>
          </w:p>
        </w:tc>
      </w:tr>
      <w:tr w:rsidR="00C81B24" w:rsidRPr="00C81B24" w:rsidTr="00526AD9">
        <w:trPr>
          <w:jc w:val="center"/>
        </w:trPr>
        <w:tc>
          <w:tcPr>
            <w:tcW w:w="0" w:type="auto"/>
          </w:tcPr>
          <w:p w:rsidR="00C81B24" w:rsidRPr="00C81B24" w:rsidRDefault="00C81B24" w:rsidP="00CE5850">
            <w:pPr>
              <w:rPr>
                <w:sz w:val="20"/>
              </w:rPr>
            </w:pPr>
            <w:r w:rsidRPr="00C81B24">
              <w:rPr>
                <w:sz w:val="20"/>
              </w:rPr>
              <w:t>GB</w:t>
            </w:r>
          </w:p>
        </w:tc>
        <w:tc>
          <w:tcPr>
            <w:tcW w:w="0" w:type="auto"/>
          </w:tcPr>
          <w:p w:rsidR="00C81B24" w:rsidRPr="00C81B24" w:rsidRDefault="00C81B24" w:rsidP="00CE5850">
            <w:pPr>
              <w:rPr>
                <w:sz w:val="20"/>
              </w:rPr>
            </w:pPr>
            <w:r w:rsidRPr="00C81B24">
              <w:rPr>
                <w:sz w:val="20"/>
              </w:rPr>
              <w:t xml:space="preserve"> Gigabyte</w:t>
            </w:r>
          </w:p>
        </w:tc>
      </w:tr>
      <w:tr w:rsidR="00C81B24" w:rsidRPr="00C81B24" w:rsidTr="00526AD9">
        <w:trPr>
          <w:jc w:val="center"/>
        </w:trPr>
        <w:tc>
          <w:tcPr>
            <w:tcW w:w="0" w:type="auto"/>
          </w:tcPr>
          <w:p w:rsidR="00C81B24" w:rsidRPr="00C81B24" w:rsidRDefault="00C81B24" w:rsidP="00CE5850">
            <w:pPr>
              <w:rPr>
                <w:sz w:val="20"/>
              </w:rPr>
            </w:pPr>
            <w:r w:rsidRPr="00C81B24">
              <w:rPr>
                <w:sz w:val="20"/>
              </w:rPr>
              <w:t>GHz</w:t>
            </w:r>
          </w:p>
        </w:tc>
        <w:tc>
          <w:tcPr>
            <w:tcW w:w="0" w:type="auto"/>
          </w:tcPr>
          <w:p w:rsidR="00C81B24" w:rsidRPr="00C81B24" w:rsidRDefault="00C81B24" w:rsidP="00CE5850">
            <w:pPr>
              <w:rPr>
                <w:sz w:val="20"/>
              </w:rPr>
            </w:pPr>
            <w:r w:rsidRPr="00C81B24">
              <w:rPr>
                <w:sz w:val="20"/>
              </w:rPr>
              <w:t xml:space="preserve"> Gigahertz</w:t>
            </w:r>
          </w:p>
        </w:tc>
      </w:tr>
      <w:tr w:rsidR="00C81B24" w:rsidRPr="00C81B24" w:rsidTr="00526AD9">
        <w:trPr>
          <w:jc w:val="center"/>
        </w:trPr>
        <w:tc>
          <w:tcPr>
            <w:tcW w:w="0" w:type="auto"/>
          </w:tcPr>
          <w:p w:rsidR="00C81B24" w:rsidRPr="00C81B24" w:rsidRDefault="00C81B24" w:rsidP="00CE5850">
            <w:pPr>
              <w:rPr>
                <w:sz w:val="20"/>
              </w:rPr>
            </w:pPr>
            <w:r w:rsidRPr="00C81B24">
              <w:rPr>
                <w:sz w:val="20"/>
              </w:rPr>
              <w:t>GPRS</w:t>
            </w:r>
          </w:p>
        </w:tc>
        <w:tc>
          <w:tcPr>
            <w:tcW w:w="0" w:type="auto"/>
          </w:tcPr>
          <w:p w:rsidR="00C81B24" w:rsidRPr="00C81B24" w:rsidRDefault="00C81B24" w:rsidP="00CE5850">
            <w:pPr>
              <w:rPr>
                <w:sz w:val="20"/>
              </w:rPr>
            </w:pPr>
            <w:r w:rsidRPr="00C81B24">
              <w:rPr>
                <w:sz w:val="20"/>
              </w:rPr>
              <w:t xml:space="preserve"> General Packet Radio Service</w:t>
            </w:r>
          </w:p>
        </w:tc>
      </w:tr>
      <w:tr w:rsidR="00C81B24" w:rsidRPr="00C81B24" w:rsidTr="00526AD9">
        <w:trPr>
          <w:jc w:val="center"/>
        </w:trPr>
        <w:tc>
          <w:tcPr>
            <w:tcW w:w="0" w:type="auto"/>
          </w:tcPr>
          <w:p w:rsidR="00C81B24" w:rsidRPr="00C81B24" w:rsidRDefault="00C81B24" w:rsidP="00CE5850">
            <w:pPr>
              <w:rPr>
                <w:sz w:val="20"/>
              </w:rPr>
            </w:pPr>
            <w:r w:rsidRPr="00C81B24">
              <w:rPr>
                <w:sz w:val="20"/>
              </w:rPr>
              <w:t>GSM</w:t>
            </w:r>
          </w:p>
        </w:tc>
        <w:tc>
          <w:tcPr>
            <w:tcW w:w="0" w:type="auto"/>
          </w:tcPr>
          <w:p w:rsidR="00C81B24" w:rsidRPr="00C81B24" w:rsidRDefault="00C81B24" w:rsidP="00CE5850">
            <w:pPr>
              <w:rPr>
                <w:sz w:val="20"/>
              </w:rPr>
            </w:pPr>
            <w:r w:rsidRPr="00C81B24">
              <w:rPr>
                <w:sz w:val="20"/>
              </w:rPr>
              <w:t xml:space="preserve"> Global System for Mobile Communication</w:t>
            </w:r>
          </w:p>
        </w:tc>
      </w:tr>
      <w:tr w:rsidR="00C81B24" w:rsidRPr="00C81B24" w:rsidTr="00526AD9">
        <w:trPr>
          <w:jc w:val="center"/>
        </w:trPr>
        <w:tc>
          <w:tcPr>
            <w:tcW w:w="0" w:type="auto"/>
          </w:tcPr>
          <w:p w:rsidR="00C81B24" w:rsidRPr="00C81B24" w:rsidRDefault="00C81B24" w:rsidP="00CE5850">
            <w:pPr>
              <w:rPr>
                <w:sz w:val="20"/>
              </w:rPr>
            </w:pPr>
            <w:r w:rsidRPr="00C81B24">
              <w:rPr>
                <w:sz w:val="20"/>
              </w:rPr>
              <w:t>HDMI</w:t>
            </w:r>
          </w:p>
        </w:tc>
        <w:tc>
          <w:tcPr>
            <w:tcW w:w="0" w:type="auto"/>
          </w:tcPr>
          <w:p w:rsidR="00C81B24" w:rsidRPr="00C81B24" w:rsidRDefault="00C81B24" w:rsidP="00CE5850">
            <w:pPr>
              <w:rPr>
                <w:sz w:val="20"/>
              </w:rPr>
            </w:pPr>
            <w:r w:rsidRPr="00C81B24">
              <w:rPr>
                <w:sz w:val="20"/>
              </w:rPr>
              <w:t xml:space="preserve"> High-Definition Multimedia Interface</w:t>
            </w:r>
          </w:p>
        </w:tc>
      </w:tr>
      <w:tr w:rsidR="00C81B24" w:rsidRPr="00C81B24" w:rsidTr="00526AD9">
        <w:trPr>
          <w:jc w:val="center"/>
        </w:trPr>
        <w:tc>
          <w:tcPr>
            <w:tcW w:w="0" w:type="auto"/>
          </w:tcPr>
          <w:p w:rsidR="00C81B24" w:rsidRPr="00C81B24" w:rsidRDefault="00C81B24" w:rsidP="00CE5850">
            <w:pPr>
              <w:rPr>
                <w:sz w:val="20"/>
              </w:rPr>
            </w:pPr>
            <w:r w:rsidRPr="00C81B24">
              <w:rPr>
                <w:sz w:val="20"/>
              </w:rPr>
              <w:t>HHI</w:t>
            </w:r>
          </w:p>
        </w:tc>
        <w:tc>
          <w:tcPr>
            <w:tcW w:w="0" w:type="auto"/>
          </w:tcPr>
          <w:p w:rsidR="00C81B24" w:rsidRPr="00C81B24" w:rsidRDefault="00C81B24" w:rsidP="00CE5850">
            <w:pPr>
              <w:rPr>
                <w:sz w:val="20"/>
              </w:rPr>
            </w:pPr>
            <w:r w:rsidRPr="00C81B24">
              <w:rPr>
                <w:sz w:val="20"/>
              </w:rPr>
              <w:t xml:space="preserve"> Herfindahl-Hirschman Index </w:t>
            </w:r>
          </w:p>
        </w:tc>
      </w:tr>
      <w:tr w:rsidR="00C81B24" w:rsidRPr="00C81B24" w:rsidTr="00526AD9">
        <w:trPr>
          <w:jc w:val="center"/>
        </w:trPr>
        <w:tc>
          <w:tcPr>
            <w:tcW w:w="0" w:type="auto"/>
          </w:tcPr>
          <w:p w:rsidR="00C81B24" w:rsidRPr="00C81B24" w:rsidRDefault="00C81B24" w:rsidP="00CE5850">
            <w:pPr>
              <w:rPr>
                <w:sz w:val="20"/>
              </w:rPr>
            </w:pPr>
            <w:r w:rsidRPr="00C81B24">
              <w:rPr>
                <w:sz w:val="20"/>
              </w:rPr>
              <w:t>HSDPA</w:t>
            </w:r>
          </w:p>
        </w:tc>
        <w:tc>
          <w:tcPr>
            <w:tcW w:w="0" w:type="auto"/>
          </w:tcPr>
          <w:p w:rsidR="00C81B24" w:rsidRPr="00C81B24" w:rsidRDefault="00C81B24" w:rsidP="00CE5850">
            <w:pPr>
              <w:rPr>
                <w:sz w:val="20"/>
              </w:rPr>
            </w:pPr>
            <w:r w:rsidRPr="00C81B24">
              <w:rPr>
                <w:sz w:val="20"/>
              </w:rPr>
              <w:t xml:space="preserve"> High Speed Downlink Packet Access</w:t>
            </w:r>
          </w:p>
        </w:tc>
      </w:tr>
      <w:tr w:rsidR="00C81B24" w:rsidRPr="00C81B24" w:rsidTr="00526AD9">
        <w:trPr>
          <w:jc w:val="center"/>
        </w:trPr>
        <w:tc>
          <w:tcPr>
            <w:tcW w:w="0" w:type="auto"/>
          </w:tcPr>
          <w:p w:rsidR="00C81B24" w:rsidRPr="00C81B24" w:rsidRDefault="00C81B24" w:rsidP="00CE5850">
            <w:pPr>
              <w:rPr>
                <w:sz w:val="20"/>
              </w:rPr>
            </w:pPr>
            <w:r w:rsidRPr="00C81B24">
              <w:rPr>
                <w:sz w:val="20"/>
              </w:rPr>
              <w:t>HSPA</w:t>
            </w:r>
          </w:p>
        </w:tc>
        <w:tc>
          <w:tcPr>
            <w:tcW w:w="0" w:type="auto"/>
          </w:tcPr>
          <w:p w:rsidR="00C81B24" w:rsidRPr="00C81B24" w:rsidRDefault="00C81B24" w:rsidP="00CE5850">
            <w:pPr>
              <w:rPr>
                <w:sz w:val="20"/>
              </w:rPr>
            </w:pPr>
            <w:r w:rsidRPr="00C81B24">
              <w:rPr>
                <w:sz w:val="20"/>
              </w:rPr>
              <w:t xml:space="preserve"> High Speed Packet Access</w:t>
            </w:r>
          </w:p>
        </w:tc>
      </w:tr>
      <w:tr w:rsidR="00C81B24" w:rsidRPr="00C81B24" w:rsidTr="00526AD9">
        <w:trPr>
          <w:jc w:val="center"/>
        </w:trPr>
        <w:tc>
          <w:tcPr>
            <w:tcW w:w="0" w:type="auto"/>
          </w:tcPr>
          <w:p w:rsidR="00C81B24" w:rsidRPr="00C81B24" w:rsidRDefault="00C81B24" w:rsidP="00CE5850">
            <w:pPr>
              <w:rPr>
                <w:sz w:val="20"/>
              </w:rPr>
            </w:pPr>
            <w:r w:rsidRPr="00C81B24">
              <w:rPr>
                <w:sz w:val="20"/>
              </w:rPr>
              <w:t>HSUPA</w:t>
            </w:r>
          </w:p>
        </w:tc>
        <w:tc>
          <w:tcPr>
            <w:tcW w:w="0" w:type="auto"/>
          </w:tcPr>
          <w:p w:rsidR="00C81B24" w:rsidRPr="00C81B24" w:rsidRDefault="00C81B24" w:rsidP="00CE5850">
            <w:pPr>
              <w:rPr>
                <w:sz w:val="20"/>
              </w:rPr>
            </w:pPr>
            <w:r w:rsidRPr="00C81B24">
              <w:rPr>
                <w:sz w:val="20"/>
              </w:rPr>
              <w:t xml:space="preserve"> High Speed Uplink Packet Access</w:t>
            </w:r>
          </w:p>
        </w:tc>
      </w:tr>
      <w:tr w:rsidR="00C81B24" w:rsidRPr="00C81B24" w:rsidTr="00526AD9">
        <w:trPr>
          <w:jc w:val="center"/>
        </w:trPr>
        <w:tc>
          <w:tcPr>
            <w:tcW w:w="0" w:type="auto"/>
          </w:tcPr>
          <w:p w:rsidR="00C81B24" w:rsidRPr="00C81B24" w:rsidRDefault="00C81B24" w:rsidP="00CE5850">
            <w:pPr>
              <w:rPr>
                <w:sz w:val="20"/>
              </w:rPr>
            </w:pPr>
            <w:r w:rsidRPr="00C81B24">
              <w:rPr>
                <w:sz w:val="20"/>
              </w:rPr>
              <w:t>HTC</w:t>
            </w:r>
          </w:p>
        </w:tc>
        <w:tc>
          <w:tcPr>
            <w:tcW w:w="0" w:type="auto"/>
          </w:tcPr>
          <w:p w:rsidR="00C81B24" w:rsidRPr="00C81B24" w:rsidRDefault="00C81B24" w:rsidP="00CE5850">
            <w:pPr>
              <w:rPr>
                <w:sz w:val="20"/>
              </w:rPr>
            </w:pPr>
            <w:r w:rsidRPr="00C81B24">
              <w:rPr>
                <w:sz w:val="20"/>
              </w:rPr>
              <w:t xml:space="preserve"> HTC Corporation</w:t>
            </w:r>
          </w:p>
        </w:tc>
      </w:tr>
      <w:tr w:rsidR="00C81B24" w:rsidRPr="00C81B24" w:rsidTr="00526AD9">
        <w:trPr>
          <w:jc w:val="center"/>
        </w:trPr>
        <w:tc>
          <w:tcPr>
            <w:tcW w:w="0" w:type="auto"/>
          </w:tcPr>
          <w:p w:rsidR="00C81B24" w:rsidRPr="00C81B24" w:rsidRDefault="00C81B24" w:rsidP="00CE5850">
            <w:pPr>
              <w:rPr>
                <w:sz w:val="20"/>
              </w:rPr>
            </w:pPr>
            <w:r w:rsidRPr="00C81B24">
              <w:rPr>
                <w:sz w:val="20"/>
              </w:rPr>
              <w:t>HTML</w:t>
            </w:r>
          </w:p>
        </w:tc>
        <w:tc>
          <w:tcPr>
            <w:tcW w:w="0" w:type="auto"/>
          </w:tcPr>
          <w:p w:rsidR="00C81B24" w:rsidRPr="00C81B24" w:rsidRDefault="00C81B24" w:rsidP="00CE5850">
            <w:pPr>
              <w:rPr>
                <w:sz w:val="20"/>
              </w:rPr>
            </w:pPr>
            <w:r w:rsidRPr="00C81B24">
              <w:rPr>
                <w:sz w:val="20"/>
              </w:rPr>
              <w:t xml:space="preserve"> HyperText Markup Language</w:t>
            </w:r>
          </w:p>
        </w:tc>
      </w:tr>
      <w:tr w:rsidR="00C81B24" w:rsidRPr="00C81B24" w:rsidTr="00526AD9">
        <w:trPr>
          <w:jc w:val="center"/>
        </w:trPr>
        <w:tc>
          <w:tcPr>
            <w:tcW w:w="0" w:type="auto"/>
          </w:tcPr>
          <w:p w:rsidR="00C81B24" w:rsidRPr="00C81B24" w:rsidRDefault="00C81B24" w:rsidP="00CE5850">
            <w:pPr>
              <w:rPr>
                <w:sz w:val="20"/>
              </w:rPr>
            </w:pPr>
            <w:r w:rsidRPr="00C81B24">
              <w:rPr>
                <w:sz w:val="20"/>
              </w:rPr>
              <w:t>HTTP</w:t>
            </w:r>
          </w:p>
        </w:tc>
        <w:tc>
          <w:tcPr>
            <w:tcW w:w="0" w:type="auto"/>
          </w:tcPr>
          <w:p w:rsidR="00C81B24" w:rsidRPr="00C81B24" w:rsidRDefault="00C81B24" w:rsidP="00CE5850">
            <w:pPr>
              <w:rPr>
                <w:sz w:val="20"/>
              </w:rPr>
            </w:pPr>
            <w:r w:rsidRPr="00C81B24">
              <w:rPr>
                <w:sz w:val="20"/>
              </w:rPr>
              <w:t xml:space="preserve"> Hypertext Transfer Protocol</w:t>
            </w:r>
          </w:p>
        </w:tc>
      </w:tr>
      <w:tr w:rsidR="00C81B24" w:rsidRPr="00C81B24" w:rsidTr="00526AD9">
        <w:trPr>
          <w:jc w:val="center"/>
        </w:trPr>
        <w:tc>
          <w:tcPr>
            <w:tcW w:w="0" w:type="auto"/>
          </w:tcPr>
          <w:p w:rsidR="00C81B24" w:rsidRPr="00C81B24" w:rsidRDefault="00C81B24" w:rsidP="00CE5850">
            <w:pPr>
              <w:rPr>
                <w:sz w:val="20"/>
              </w:rPr>
            </w:pPr>
            <w:r w:rsidRPr="00C81B24">
              <w:rPr>
                <w:sz w:val="20"/>
              </w:rPr>
              <w:t>IB</w:t>
            </w:r>
          </w:p>
        </w:tc>
        <w:tc>
          <w:tcPr>
            <w:tcW w:w="0" w:type="auto"/>
          </w:tcPr>
          <w:p w:rsidR="00C81B24" w:rsidRPr="00C81B24" w:rsidRDefault="00C81B24" w:rsidP="00CE5850">
            <w:pPr>
              <w:rPr>
                <w:sz w:val="20"/>
              </w:rPr>
            </w:pPr>
            <w:r w:rsidRPr="00C81B24">
              <w:rPr>
                <w:sz w:val="20"/>
              </w:rPr>
              <w:t xml:space="preserve"> International Bureau</w:t>
            </w:r>
          </w:p>
        </w:tc>
      </w:tr>
      <w:tr w:rsidR="00C81B24" w:rsidRPr="00C81B24" w:rsidTr="00526AD9">
        <w:trPr>
          <w:jc w:val="center"/>
        </w:trPr>
        <w:tc>
          <w:tcPr>
            <w:tcW w:w="0" w:type="auto"/>
          </w:tcPr>
          <w:p w:rsidR="00C81B24" w:rsidRPr="00C81B24" w:rsidRDefault="00C81B24" w:rsidP="00CE5850">
            <w:pPr>
              <w:rPr>
                <w:sz w:val="20"/>
              </w:rPr>
            </w:pPr>
            <w:r w:rsidRPr="00C81B24">
              <w:rPr>
                <w:sz w:val="20"/>
              </w:rPr>
              <w:t>iDEN</w:t>
            </w:r>
          </w:p>
        </w:tc>
        <w:tc>
          <w:tcPr>
            <w:tcW w:w="0" w:type="auto"/>
          </w:tcPr>
          <w:p w:rsidR="00C81B24" w:rsidRPr="00C81B24" w:rsidRDefault="00C81B24" w:rsidP="00CE5850">
            <w:pPr>
              <w:rPr>
                <w:sz w:val="20"/>
              </w:rPr>
            </w:pPr>
            <w:r w:rsidRPr="00C81B24">
              <w:rPr>
                <w:sz w:val="20"/>
              </w:rPr>
              <w:t xml:space="preserve"> Integrated Digital Enhanced Network</w:t>
            </w:r>
          </w:p>
        </w:tc>
      </w:tr>
      <w:tr w:rsidR="00C81B24" w:rsidRPr="00C81B24" w:rsidTr="00526AD9">
        <w:trPr>
          <w:jc w:val="center"/>
        </w:trPr>
        <w:tc>
          <w:tcPr>
            <w:tcW w:w="0" w:type="auto"/>
          </w:tcPr>
          <w:p w:rsidR="00C81B24" w:rsidRPr="00C81B24" w:rsidRDefault="00C81B24" w:rsidP="00CE5850">
            <w:pPr>
              <w:rPr>
                <w:sz w:val="20"/>
              </w:rPr>
            </w:pPr>
            <w:r w:rsidRPr="00C81B24">
              <w:rPr>
                <w:sz w:val="20"/>
              </w:rPr>
              <w:t>ILEC</w:t>
            </w:r>
          </w:p>
        </w:tc>
        <w:tc>
          <w:tcPr>
            <w:tcW w:w="0" w:type="auto"/>
          </w:tcPr>
          <w:p w:rsidR="00C81B24" w:rsidRPr="00C81B24" w:rsidRDefault="00C81B24" w:rsidP="00CE5850">
            <w:pPr>
              <w:rPr>
                <w:sz w:val="20"/>
              </w:rPr>
            </w:pPr>
            <w:r w:rsidRPr="00C81B24">
              <w:rPr>
                <w:sz w:val="20"/>
              </w:rPr>
              <w:t xml:space="preserve"> Independent Local Exchange Carrier</w:t>
            </w:r>
          </w:p>
        </w:tc>
      </w:tr>
      <w:tr w:rsidR="00C81B24" w:rsidRPr="00C81B24" w:rsidTr="00526AD9">
        <w:trPr>
          <w:jc w:val="center"/>
        </w:trPr>
        <w:tc>
          <w:tcPr>
            <w:tcW w:w="0" w:type="auto"/>
          </w:tcPr>
          <w:p w:rsidR="00C81B24" w:rsidRPr="00C81B24" w:rsidRDefault="00C81B24" w:rsidP="00CE5850">
            <w:pPr>
              <w:rPr>
                <w:sz w:val="20"/>
              </w:rPr>
            </w:pPr>
            <w:r w:rsidRPr="00C81B24">
              <w:rPr>
                <w:sz w:val="20"/>
              </w:rPr>
              <w:t>ISO/IEC</w:t>
            </w:r>
          </w:p>
        </w:tc>
        <w:tc>
          <w:tcPr>
            <w:tcW w:w="0" w:type="auto"/>
          </w:tcPr>
          <w:p w:rsidR="00C81B24" w:rsidRPr="00C81B24" w:rsidRDefault="00C81B24" w:rsidP="00CE5850">
            <w:pPr>
              <w:rPr>
                <w:sz w:val="20"/>
              </w:rPr>
            </w:pPr>
            <w:r w:rsidRPr="00C81B24">
              <w:rPr>
                <w:sz w:val="20"/>
              </w:rPr>
              <w:t xml:space="preserve"> International Organization for Standardization/International Electrotechnical Commission</w:t>
            </w:r>
          </w:p>
        </w:tc>
      </w:tr>
      <w:tr w:rsidR="00C81B24" w:rsidRPr="00C81B24" w:rsidTr="00526AD9">
        <w:trPr>
          <w:jc w:val="center"/>
        </w:trPr>
        <w:tc>
          <w:tcPr>
            <w:tcW w:w="0" w:type="auto"/>
          </w:tcPr>
          <w:p w:rsidR="00C81B24" w:rsidRPr="00C81B24" w:rsidRDefault="00C81B24" w:rsidP="00CE5850">
            <w:pPr>
              <w:rPr>
                <w:sz w:val="20"/>
              </w:rPr>
            </w:pPr>
            <w:r w:rsidRPr="00C81B24">
              <w:rPr>
                <w:sz w:val="20"/>
              </w:rPr>
              <w:t>ITIF</w:t>
            </w:r>
          </w:p>
        </w:tc>
        <w:tc>
          <w:tcPr>
            <w:tcW w:w="0" w:type="auto"/>
          </w:tcPr>
          <w:p w:rsidR="00C81B24" w:rsidRPr="00C81B24" w:rsidRDefault="00C81B24" w:rsidP="00CE5850">
            <w:pPr>
              <w:rPr>
                <w:sz w:val="20"/>
              </w:rPr>
            </w:pPr>
            <w:r w:rsidRPr="00C81B24">
              <w:rPr>
                <w:sz w:val="20"/>
              </w:rPr>
              <w:t xml:space="preserve"> Information Technology &amp; Innovation Foundation</w:t>
            </w:r>
          </w:p>
        </w:tc>
      </w:tr>
      <w:tr w:rsidR="00C81B24" w:rsidRPr="00C81B24" w:rsidTr="00526AD9">
        <w:trPr>
          <w:jc w:val="center"/>
        </w:trPr>
        <w:tc>
          <w:tcPr>
            <w:tcW w:w="0" w:type="auto"/>
          </w:tcPr>
          <w:p w:rsidR="00C81B24" w:rsidRPr="00C81B24" w:rsidRDefault="00C81B24" w:rsidP="00CE5850">
            <w:pPr>
              <w:rPr>
                <w:sz w:val="20"/>
              </w:rPr>
            </w:pPr>
            <w:r w:rsidRPr="00C81B24">
              <w:rPr>
                <w:sz w:val="20"/>
              </w:rPr>
              <w:t>ITU</w:t>
            </w:r>
          </w:p>
        </w:tc>
        <w:tc>
          <w:tcPr>
            <w:tcW w:w="0" w:type="auto"/>
          </w:tcPr>
          <w:p w:rsidR="00C81B24" w:rsidRPr="00C81B24" w:rsidRDefault="00C81B24" w:rsidP="00CE5850">
            <w:pPr>
              <w:rPr>
                <w:sz w:val="20"/>
              </w:rPr>
            </w:pPr>
            <w:r w:rsidRPr="00C81B24">
              <w:rPr>
                <w:sz w:val="20"/>
              </w:rPr>
              <w:t xml:space="preserve"> International Telecommunication Union</w:t>
            </w:r>
          </w:p>
        </w:tc>
      </w:tr>
      <w:tr w:rsidR="00C81B24" w:rsidRPr="00C81B24" w:rsidTr="00526AD9">
        <w:trPr>
          <w:jc w:val="center"/>
        </w:trPr>
        <w:tc>
          <w:tcPr>
            <w:tcW w:w="0" w:type="auto"/>
          </w:tcPr>
          <w:p w:rsidR="00C81B24" w:rsidRPr="00C81B24" w:rsidRDefault="00C81B24" w:rsidP="00CE5850">
            <w:pPr>
              <w:rPr>
                <w:sz w:val="20"/>
              </w:rPr>
            </w:pPr>
            <w:r w:rsidRPr="00C81B24">
              <w:rPr>
                <w:sz w:val="20"/>
              </w:rPr>
              <w:t>kbps</w:t>
            </w:r>
          </w:p>
        </w:tc>
        <w:tc>
          <w:tcPr>
            <w:tcW w:w="0" w:type="auto"/>
          </w:tcPr>
          <w:p w:rsidR="00C81B24" w:rsidRPr="00C81B24" w:rsidRDefault="00C81B24" w:rsidP="00CE5850">
            <w:pPr>
              <w:rPr>
                <w:sz w:val="20"/>
              </w:rPr>
            </w:pPr>
            <w:r w:rsidRPr="00C81B24">
              <w:rPr>
                <w:sz w:val="20"/>
              </w:rPr>
              <w:t xml:space="preserve"> Kilobits per Second</w:t>
            </w:r>
          </w:p>
        </w:tc>
      </w:tr>
      <w:tr w:rsidR="00C81B24" w:rsidRPr="00C81B24" w:rsidTr="00526AD9">
        <w:trPr>
          <w:jc w:val="center"/>
        </w:trPr>
        <w:tc>
          <w:tcPr>
            <w:tcW w:w="0" w:type="auto"/>
          </w:tcPr>
          <w:p w:rsidR="00C81B24" w:rsidRPr="00C81B24" w:rsidRDefault="00C81B24" w:rsidP="00CE5850">
            <w:pPr>
              <w:rPr>
                <w:sz w:val="20"/>
              </w:rPr>
            </w:pPr>
            <w:r w:rsidRPr="00C81B24">
              <w:rPr>
                <w:sz w:val="20"/>
              </w:rPr>
              <w:t>LEC</w:t>
            </w:r>
          </w:p>
        </w:tc>
        <w:tc>
          <w:tcPr>
            <w:tcW w:w="0" w:type="auto"/>
          </w:tcPr>
          <w:p w:rsidR="00C81B24" w:rsidRPr="00C81B24" w:rsidRDefault="00C81B24" w:rsidP="00CE5850">
            <w:pPr>
              <w:rPr>
                <w:sz w:val="20"/>
              </w:rPr>
            </w:pPr>
            <w:r w:rsidRPr="00C81B24">
              <w:rPr>
                <w:sz w:val="20"/>
              </w:rPr>
              <w:t xml:space="preserve"> Local Exchange Carrier</w:t>
            </w:r>
          </w:p>
        </w:tc>
      </w:tr>
      <w:tr w:rsidR="00C81B24" w:rsidRPr="00C81B24" w:rsidTr="00526AD9">
        <w:trPr>
          <w:jc w:val="center"/>
        </w:trPr>
        <w:tc>
          <w:tcPr>
            <w:tcW w:w="0" w:type="auto"/>
          </w:tcPr>
          <w:p w:rsidR="00C81B24" w:rsidRPr="00C81B24" w:rsidRDefault="00C81B24" w:rsidP="00CE5850">
            <w:pPr>
              <w:rPr>
                <w:sz w:val="20"/>
              </w:rPr>
            </w:pPr>
            <w:r w:rsidRPr="00C81B24">
              <w:rPr>
                <w:sz w:val="20"/>
              </w:rPr>
              <w:t>LEO</w:t>
            </w:r>
          </w:p>
        </w:tc>
        <w:tc>
          <w:tcPr>
            <w:tcW w:w="0" w:type="auto"/>
          </w:tcPr>
          <w:p w:rsidR="00C81B24" w:rsidRPr="00C81B24" w:rsidRDefault="00C81B24" w:rsidP="00CE5850">
            <w:pPr>
              <w:rPr>
                <w:sz w:val="20"/>
              </w:rPr>
            </w:pPr>
            <w:r w:rsidRPr="00C81B24">
              <w:rPr>
                <w:sz w:val="20"/>
              </w:rPr>
              <w:t xml:space="preserve"> Low Earth Orbit</w:t>
            </w:r>
          </w:p>
        </w:tc>
      </w:tr>
      <w:tr w:rsidR="00C81B24" w:rsidRPr="00C81B24" w:rsidTr="00526AD9">
        <w:trPr>
          <w:jc w:val="center"/>
        </w:trPr>
        <w:tc>
          <w:tcPr>
            <w:tcW w:w="0" w:type="auto"/>
          </w:tcPr>
          <w:p w:rsidR="00C81B24" w:rsidRPr="00C81B24" w:rsidRDefault="00C81B24" w:rsidP="00CE5850">
            <w:pPr>
              <w:rPr>
                <w:sz w:val="20"/>
              </w:rPr>
            </w:pPr>
            <w:r w:rsidRPr="00C81B24">
              <w:rPr>
                <w:sz w:val="20"/>
              </w:rPr>
              <w:t>LLC</w:t>
            </w:r>
          </w:p>
        </w:tc>
        <w:tc>
          <w:tcPr>
            <w:tcW w:w="0" w:type="auto"/>
          </w:tcPr>
          <w:p w:rsidR="00C81B24" w:rsidRPr="00C81B24" w:rsidRDefault="00C81B24" w:rsidP="00CE5850">
            <w:pPr>
              <w:rPr>
                <w:sz w:val="20"/>
              </w:rPr>
            </w:pPr>
            <w:r w:rsidRPr="00C81B24">
              <w:rPr>
                <w:sz w:val="20"/>
              </w:rPr>
              <w:t xml:space="preserve"> Limited Liability Corporation</w:t>
            </w:r>
          </w:p>
        </w:tc>
      </w:tr>
      <w:tr w:rsidR="00C81B24" w:rsidRPr="00C81B24" w:rsidTr="00526AD9">
        <w:trPr>
          <w:jc w:val="center"/>
        </w:trPr>
        <w:tc>
          <w:tcPr>
            <w:tcW w:w="0" w:type="auto"/>
          </w:tcPr>
          <w:p w:rsidR="00C81B24" w:rsidRPr="00C81B24" w:rsidRDefault="00C81B24" w:rsidP="00CE5850">
            <w:pPr>
              <w:rPr>
                <w:sz w:val="20"/>
              </w:rPr>
            </w:pPr>
            <w:r w:rsidRPr="00C81B24">
              <w:rPr>
                <w:sz w:val="20"/>
              </w:rPr>
              <w:t>LNP</w:t>
            </w:r>
          </w:p>
        </w:tc>
        <w:tc>
          <w:tcPr>
            <w:tcW w:w="0" w:type="auto"/>
          </w:tcPr>
          <w:p w:rsidR="00C81B24" w:rsidRPr="00C81B24" w:rsidRDefault="00C81B24" w:rsidP="00CE5850">
            <w:pPr>
              <w:rPr>
                <w:sz w:val="20"/>
              </w:rPr>
            </w:pPr>
            <w:r w:rsidRPr="00C81B24">
              <w:rPr>
                <w:sz w:val="20"/>
              </w:rPr>
              <w:t xml:space="preserve"> Local Number Portability</w:t>
            </w:r>
          </w:p>
        </w:tc>
      </w:tr>
      <w:tr w:rsidR="00C81B24" w:rsidRPr="00C81B24" w:rsidTr="00526AD9">
        <w:trPr>
          <w:jc w:val="center"/>
        </w:trPr>
        <w:tc>
          <w:tcPr>
            <w:tcW w:w="0" w:type="auto"/>
          </w:tcPr>
          <w:p w:rsidR="00C81B24" w:rsidRPr="00C81B24" w:rsidRDefault="00C81B24" w:rsidP="00CE5850">
            <w:pPr>
              <w:rPr>
                <w:sz w:val="20"/>
              </w:rPr>
            </w:pPr>
            <w:r w:rsidRPr="00C81B24">
              <w:rPr>
                <w:sz w:val="20"/>
              </w:rPr>
              <w:t>LTE</w:t>
            </w:r>
          </w:p>
        </w:tc>
        <w:tc>
          <w:tcPr>
            <w:tcW w:w="0" w:type="auto"/>
          </w:tcPr>
          <w:p w:rsidR="00C81B24" w:rsidRPr="00C81B24" w:rsidRDefault="00C81B24" w:rsidP="00CE5850">
            <w:pPr>
              <w:rPr>
                <w:sz w:val="20"/>
              </w:rPr>
            </w:pPr>
            <w:r w:rsidRPr="00C81B24">
              <w:rPr>
                <w:sz w:val="20"/>
              </w:rPr>
              <w:t xml:space="preserve"> Long Term Evolution</w:t>
            </w:r>
          </w:p>
        </w:tc>
      </w:tr>
      <w:tr w:rsidR="00C81B24" w:rsidRPr="00C81B24" w:rsidTr="00526AD9">
        <w:trPr>
          <w:jc w:val="center"/>
        </w:trPr>
        <w:tc>
          <w:tcPr>
            <w:tcW w:w="0" w:type="auto"/>
          </w:tcPr>
          <w:p w:rsidR="00C81B24" w:rsidRPr="00C81B24" w:rsidRDefault="00C81B24" w:rsidP="00CE5850">
            <w:pPr>
              <w:rPr>
                <w:sz w:val="20"/>
              </w:rPr>
            </w:pPr>
            <w:r w:rsidRPr="00C81B24">
              <w:rPr>
                <w:sz w:val="20"/>
              </w:rPr>
              <w:t>M&amp;O</w:t>
            </w:r>
          </w:p>
        </w:tc>
        <w:tc>
          <w:tcPr>
            <w:tcW w:w="0" w:type="auto"/>
          </w:tcPr>
          <w:p w:rsidR="00C81B24" w:rsidRPr="00C81B24" w:rsidRDefault="00C81B24" w:rsidP="00CE5850">
            <w:pPr>
              <w:rPr>
                <w:sz w:val="20"/>
              </w:rPr>
            </w:pPr>
            <w:r w:rsidRPr="00C81B24">
              <w:rPr>
                <w:sz w:val="20"/>
              </w:rPr>
              <w:t xml:space="preserve"> Management and Operations</w:t>
            </w:r>
          </w:p>
        </w:tc>
      </w:tr>
      <w:tr w:rsidR="00C81B24" w:rsidRPr="00C81B24" w:rsidTr="00526AD9">
        <w:trPr>
          <w:jc w:val="center"/>
        </w:trPr>
        <w:tc>
          <w:tcPr>
            <w:tcW w:w="0" w:type="auto"/>
          </w:tcPr>
          <w:p w:rsidR="00C81B24" w:rsidRPr="00C81B24" w:rsidRDefault="00C81B24" w:rsidP="00CE5850">
            <w:pPr>
              <w:rPr>
                <w:sz w:val="20"/>
              </w:rPr>
            </w:pPr>
            <w:r w:rsidRPr="00C81B24">
              <w:rPr>
                <w:sz w:val="20"/>
              </w:rPr>
              <w:t>M2M</w:t>
            </w:r>
          </w:p>
        </w:tc>
        <w:tc>
          <w:tcPr>
            <w:tcW w:w="0" w:type="auto"/>
          </w:tcPr>
          <w:p w:rsidR="00C81B24" w:rsidRPr="00C81B24" w:rsidRDefault="00C81B24" w:rsidP="00CE5850">
            <w:pPr>
              <w:rPr>
                <w:sz w:val="20"/>
              </w:rPr>
            </w:pPr>
            <w:r w:rsidRPr="00C81B24">
              <w:rPr>
                <w:sz w:val="20"/>
              </w:rPr>
              <w:t xml:space="preserve"> Machine-to-Machine</w:t>
            </w:r>
          </w:p>
        </w:tc>
      </w:tr>
      <w:tr w:rsidR="00C81B24" w:rsidRPr="00C81B24" w:rsidTr="00526AD9">
        <w:trPr>
          <w:jc w:val="center"/>
        </w:trPr>
        <w:tc>
          <w:tcPr>
            <w:tcW w:w="0" w:type="auto"/>
          </w:tcPr>
          <w:p w:rsidR="00C81B24" w:rsidRPr="00C81B24" w:rsidRDefault="00C81B24" w:rsidP="00CE5850">
            <w:pPr>
              <w:rPr>
                <w:sz w:val="20"/>
              </w:rPr>
            </w:pPr>
            <w:r w:rsidRPr="00C81B24">
              <w:rPr>
                <w:sz w:val="20"/>
              </w:rPr>
              <w:t>MB</w:t>
            </w:r>
          </w:p>
        </w:tc>
        <w:tc>
          <w:tcPr>
            <w:tcW w:w="0" w:type="auto"/>
          </w:tcPr>
          <w:p w:rsidR="00C81B24" w:rsidRPr="00C81B24" w:rsidRDefault="00C81B24" w:rsidP="00CE5850">
            <w:pPr>
              <w:rPr>
                <w:sz w:val="20"/>
              </w:rPr>
            </w:pPr>
            <w:r w:rsidRPr="00C81B24">
              <w:rPr>
                <w:sz w:val="20"/>
              </w:rPr>
              <w:t xml:space="preserve"> Megabyte</w:t>
            </w:r>
          </w:p>
        </w:tc>
      </w:tr>
      <w:tr w:rsidR="00C81B24" w:rsidRPr="00C81B24" w:rsidTr="00526AD9">
        <w:trPr>
          <w:jc w:val="center"/>
        </w:trPr>
        <w:tc>
          <w:tcPr>
            <w:tcW w:w="0" w:type="auto"/>
          </w:tcPr>
          <w:p w:rsidR="00C81B24" w:rsidRPr="00C81B24" w:rsidRDefault="00C81B24" w:rsidP="00CE5850">
            <w:pPr>
              <w:rPr>
                <w:sz w:val="20"/>
              </w:rPr>
            </w:pPr>
            <w:r w:rsidRPr="00C81B24">
              <w:rPr>
                <w:sz w:val="20"/>
              </w:rPr>
              <w:t>Mbps</w:t>
            </w:r>
          </w:p>
        </w:tc>
        <w:tc>
          <w:tcPr>
            <w:tcW w:w="0" w:type="auto"/>
          </w:tcPr>
          <w:p w:rsidR="00C81B24" w:rsidRPr="00C81B24" w:rsidRDefault="00C81B24" w:rsidP="00CE5850">
            <w:pPr>
              <w:rPr>
                <w:sz w:val="20"/>
              </w:rPr>
            </w:pPr>
            <w:r w:rsidRPr="00C81B24">
              <w:rPr>
                <w:sz w:val="20"/>
              </w:rPr>
              <w:t xml:space="preserve"> Megabits per Second</w:t>
            </w:r>
          </w:p>
        </w:tc>
      </w:tr>
      <w:tr w:rsidR="00C81B24" w:rsidRPr="00C81B24" w:rsidTr="00526AD9">
        <w:trPr>
          <w:jc w:val="center"/>
        </w:trPr>
        <w:tc>
          <w:tcPr>
            <w:tcW w:w="0" w:type="auto"/>
          </w:tcPr>
          <w:p w:rsidR="00C81B24" w:rsidRPr="00C81B24" w:rsidRDefault="00C81B24" w:rsidP="00CE5850">
            <w:pPr>
              <w:rPr>
                <w:sz w:val="20"/>
              </w:rPr>
            </w:pPr>
            <w:r w:rsidRPr="00C81B24">
              <w:rPr>
                <w:sz w:val="20"/>
              </w:rPr>
              <w:t>MEA</w:t>
            </w:r>
          </w:p>
        </w:tc>
        <w:tc>
          <w:tcPr>
            <w:tcW w:w="0" w:type="auto"/>
          </w:tcPr>
          <w:p w:rsidR="00C81B24" w:rsidRPr="00C81B24" w:rsidRDefault="00C81B24" w:rsidP="00CE5850">
            <w:pPr>
              <w:rPr>
                <w:sz w:val="20"/>
              </w:rPr>
            </w:pPr>
            <w:r w:rsidRPr="00C81B24">
              <w:rPr>
                <w:sz w:val="20"/>
              </w:rPr>
              <w:t xml:space="preserve"> Major Economic Area</w:t>
            </w:r>
          </w:p>
        </w:tc>
      </w:tr>
      <w:tr w:rsidR="00C81B24" w:rsidRPr="00C81B24" w:rsidTr="00526AD9">
        <w:trPr>
          <w:jc w:val="center"/>
        </w:trPr>
        <w:tc>
          <w:tcPr>
            <w:tcW w:w="0" w:type="auto"/>
          </w:tcPr>
          <w:p w:rsidR="00C81B24" w:rsidRPr="00C81B24" w:rsidRDefault="00C81B24" w:rsidP="00CE5850">
            <w:pPr>
              <w:rPr>
                <w:sz w:val="20"/>
              </w:rPr>
            </w:pPr>
            <w:r w:rsidRPr="00C81B24">
              <w:rPr>
                <w:sz w:val="20"/>
              </w:rPr>
              <w:t>MHz</w:t>
            </w:r>
          </w:p>
        </w:tc>
        <w:tc>
          <w:tcPr>
            <w:tcW w:w="0" w:type="auto"/>
          </w:tcPr>
          <w:p w:rsidR="00C81B24" w:rsidRPr="00C81B24" w:rsidRDefault="00C81B24" w:rsidP="00CE5850">
            <w:pPr>
              <w:rPr>
                <w:sz w:val="20"/>
              </w:rPr>
            </w:pPr>
            <w:r w:rsidRPr="00C81B24">
              <w:rPr>
                <w:sz w:val="20"/>
              </w:rPr>
              <w:t xml:space="preserve"> Megahertz</w:t>
            </w:r>
          </w:p>
        </w:tc>
      </w:tr>
      <w:tr w:rsidR="00C81B24" w:rsidRPr="00C81B24" w:rsidTr="00526AD9">
        <w:trPr>
          <w:jc w:val="center"/>
        </w:trPr>
        <w:tc>
          <w:tcPr>
            <w:tcW w:w="0" w:type="auto"/>
          </w:tcPr>
          <w:p w:rsidR="00C81B24" w:rsidRPr="00C81B24" w:rsidRDefault="00C81B24" w:rsidP="00CE5850">
            <w:pPr>
              <w:rPr>
                <w:sz w:val="20"/>
              </w:rPr>
            </w:pPr>
            <w:r w:rsidRPr="00C81B24">
              <w:rPr>
                <w:sz w:val="20"/>
              </w:rPr>
              <w:t>MIMO</w:t>
            </w:r>
          </w:p>
        </w:tc>
        <w:tc>
          <w:tcPr>
            <w:tcW w:w="0" w:type="auto"/>
          </w:tcPr>
          <w:p w:rsidR="00C81B24" w:rsidRPr="00C81B24" w:rsidRDefault="00C81B24" w:rsidP="00CE5850">
            <w:pPr>
              <w:rPr>
                <w:sz w:val="20"/>
              </w:rPr>
            </w:pPr>
            <w:r w:rsidRPr="00C81B24">
              <w:rPr>
                <w:sz w:val="20"/>
              </w:rPr>
              <w:t xml:space="preserve"> Multiple Input Multiple Output</w:t>
            </w:r>
          </w:p>
        </w:tc>
      </w:tr>
      <w:tr w:rsidR="00C81B24" w:rsidRPr="00C81B24" w:rsidTr="00526AD9">
        <w:trPr>
          <w:jc w:val="center"/>
        </w:trPr>
        <w:tc>
          <w:tcPr>
            <w:tcW w:w="0" w:type="auto"/>
          </w:tcPr>
          <w:p w:rsidR="00C81B24" w:rsidRPr="00C81B24" w:rsidRDefault="00C81B24" w:rsidP="00CE5850">
            <w:pPr>
              <w:rPr>
                <w:sz w:val="20"/>
              </w:rPr>
            </w:pPr>
            <w:r w:rsidRPr="00C81B24">
              <w:rPr>
                <w:sz w:val="20"/>
              </w:rPr>
              <w:t>MMS</w:t>
            </w:r>
          </w:p>
        </w:tc>
        <w:tc>
          <w:tcPr>
            <w:tcW w:w="0" w:type="auto"/>
          </w:tcPr>
          <w:p w:rsidR="00C81B24" w:rsidRPr="00C81B24" w:rsidRDefault="00C81B24" w:rsidP="00CE5850">
            <w:pPr>
              <w:rPr>
                <w:sz w:val="20"/>
              </w:rPr>
            </w:pPr>
            <w:r w:rsidRPr="00C81B24">
              <w:rPr>
                <w:sz w:val="20"/>
              </w:rPr>
              <w:t xml:space="preserve"> Multimedia Messaging Service</w:t>
            </w:r>
          </w:p>
        </w:tc>
      </w:tr>
      <w:tr w:rsidR="00C81B24" w:rsidRPr="00C81B24" w:rsidTr="00526AD9">
        <w:trPr>
          <w:jc w:val="center"/>
        </w:trPr>
        <w:tc>
          <w:tcPr>
            <w:tcW w:w="0" w:type="auto"/>
          </w:tcPr>
          <w:p w:rsidR="00C81B24" w:rsidRPr="00C81B24" w:rsidRDefault="00C81B24" w:rsidP="00CE5850">
            <w:pPr>
              <w:rPr>
                <w:sz w:val="20"/>
              </w:rPr>
            </w:pPr>
            <w:r w:rsidRPr="00C81B24">
              <w:rPr>
                <w:sz w:val="20"/>
              </w:rPr>
              <w:t>MOUs</w:t>
            </w:r>
          </w:p>
        </w:tc>
        <w:tc>
          <w:tcPr>
            <w:tcW w:w="0" w:type="auto"/>
          </w:tcPr>
          <w:p w:rsidR="00C81B24" w:rsidRPr="00C81B24" w:rsidRDefault="00C81B24" w:rsidP="00CE5850">
            <w:pPr>
              <w:rPr>
                <w:sz w:val="20"/>
              </w:rPr>
            </w:pPr>
            <w:r w:rsidRPr="00C81B24">
              <w:rPr>
                <w:sz w:val="20"/>
              </w:rPr>
              <w:t xml:space="preserve"> Minutes of use (average minutes of use per subscriber per month)</w:t>
            </w:r>
          </w:p>
        </w:tc>
      </w:tr>
      <w:tr w:rsidR="00C81B24" w:rsidRPr="00C81B24" w:rsidTr="00526AD9">
        <w:trPr>
          <w:jc w:val="center"/>
        </w:trPr>
        <w:tc>
          <w:tcPr>
            <w:tcW w:w="0" w:type="auto"/>
          </w:tcPr>
          <w:p w:rsidR="00C81B24" w:rsidRPr="00C81B24" w:rsidRDefault="00C81B24" w:rsidP="00CE5850">
            <w:pPr>
              <w:rPr>
                <w:sz w:val="20"/>
              </w:rPr>
            </w:pPr>
            <w:r w:rsidRPr="00C81B24">
              <w:rPr>
                <w:sz w:val="20"/>
              </w:rPr>
              <w:t>MSA</w:t>
            </w:r>
          </w:p>
        </w:tc>
        <w:tc>
          <w:tcPr>
            <w:tcW w:w="0" w:type="auto"/>
          </w:tcPr>
          <w:p w:rsidR="00C81B24" w:rsidRPr="00C81B24" w:rsidRDefault="00C81B24" w:rsidP="00CE5850">
            <w:pPr>
              <w:rPr>
                <w:sz w:val="20"/>
              </w:rPr>
            </w:pPr>
            <w:r w:rsidRPr="00C81B24">
              <w:rPr>
                <w:sz w:val="20"/>
              </w:rPr>
              <w:t xml:space="preserve"> Metropolitan Statistical Area</w:t>
            </w:r>
          </w:p>
        </w:tc>
      </w:tr>
      <w:tr w:rsidR="00C81B24" w:rsidRPr="00C81B24" w:rsidTr="00526AD9">
        <w:trPr>
          <w:jc w:val="center"/>
        </w:trPr>
        <w:tc>
          <w:tcPr>
            <w:tcW w:w="0" w:type="auto"/>
          </w:tcPr>
          <w:p w:rsidR="00C81B24" w:rsidRPr="00C81B24" w:rsidRDefault="00C81B24" w:rsidP="00CE5850">
            <w:pPr>
              <w:rPr>
                <w:sz w:val="20"/>
              </w:rPr>
            </w:pPr>
            <w:r w:rsidRPr="00C81B24">
              <w:rPr>
                <w:sz w:val="20"/>
              </w:rPr>
              <w:t>MSS</w:t>
            </w:r>
          </w:p>
        </w:tc>
        <w:tc>
          <w:tcPr>
            <w:tcW w:w="0" w:type="auto"/>
          </w:tcPr>
          <w:p w:rsidR="00C81B24" w:rsidRPr="00C81B24" w:rsidRDefault="00C81B24" w:rsidP="00CE5850">
            <w:pPr>
              <w:rPr>
                <w:sz w:val="20"/>
              </w:rPr>
            </w:pPr>
            <w:r w:rsidRPr="00C81B24">
              <w:rPr>
                <w:sz w:val="20"/>
              </w:rPr>
              <w:t xml:space="preserve"> Mobile Satellite Service</w:t>
            </w:r>
          </w:p>
        </w:tc>
      </w:tr>
      <w:tr w:rsidR="00C81B24" w:rsidRPr="00C81B24" w:rsidTr="00526AD9">
        <w:trPr>
          <w:jc w:val="center"/>
        </w:trPr>
        <w:tc>
          <w:tcPr>
            <w:tcW w:w="0" w:type="auto"/>
          </w:tcPr>
          <w:p w:rsidR="00C81B24" w:rsidRPr="00C81B24" w:rsidRDefault="00C81B24" w:rsidP="00CE5850">
            <w:pPr>
              <w:rPr>
                <w:sz w:val="20"/>
              </w:rPr>
            </w:pPr>
            <w:r w:rsidRPr="00C81B24">
              <w:rPr>
                <w:sz w:val="20"/>
              </w:rPr>
              <w:t>MTA</w:t>
            </w:r>
          </w:p>
        </w:tc>
        <w:tc>
          <w:tcPr>
            <w:tcW w:w="0" w:type="auto"/>
          </w:tcPr>
          <w:p w:rsidR="00C81B24" w:rsidRPr="00C81B24" w:rsidRDefault="00C81B24" w:rsidP="00CE5850">
            <w:pPr>
              <w:rPr>
                <w:sz w:val="20"/>
              </w:rPr>
            </w:pPr>
            <w:r w:rsidRPr="00C81B24">
              <w:rPr>
                <w:sz w:val="20"/>
              </w:rPr>
              <w:t xml:space="preserve"> Major Trading Area</w:t>
            </w:r>
          </w:p>
        </w:tc>
      </w:tr>
      <w:tr w:rsidR="00C81B24" w:rsidRPr="00C81B24" w:rsidTr="00526AD9">
        <w:trPr>
          <w:jc w:val="center"/>
        </w:trPr>
        <w:tc>
          <w:tcPr>
            <w:tcW w:w="0" w:type="auto"/>
          </w:tcPr>
          <w:p w:rsidR="00C81B24" w:rsidRPr="00C81B24" w:rsidRDefault="00C81B24" w:rsidP="00CE5850">
            <w:pPr>
              <w:rPr>
                <w:sz w:val="20"/>
              </w:rPr>
            </w:pPr>
            <w:r w:rsidRPr="00C81B24">
              <w:rPr>
                <w:sz w:val="20"/>
              </w:rPr>
              <w:t>MVNO</w:t>
            </w:r>
          </w:p>
        </w:tc>
        <w:tc>
          <w:tcPr>
            <w:tcW w:w="0" w:type="auto"/>
          </w:tcPr>
          <w:p w:rsidR="00C81B24" w:rsidRPr="00C81B24" w:rsidRDefault="00C81B24" w:rsidP="00CE5850">
            <w:pPr>
              <w:rPr>
                <w:sz w:val="20"/>
              </w:rPr>
            </w:pPr>
            <w:r w:rsidRPr="00C81B24">
              <w:rPr>
                <w:sz w:val="20"/>
              </w:rPr>
              <w:t xml:space="preserve"> Mobile Virtual Network Operator</w:t>
            </w:r>
          </w:p>
        </w:tc>
      </w:tr>
      <w:tr w:rsidR="00C81B24" w:rsidRPr="00C81B24" w:rsidTr="00526AD9">
        <w:trPr>
          <w:jc w:val="center"/>
        </w:trPr>
        <w:tc>
          <w:tcPr>
            <w:tcW w:w="0" w:type="auto"/>
          </w:tcPr>
          <w:p w:rsidR="00C81B24" w:rsidRPr="00C81B24" w:rsidRDefault="00C81B24" w:rsidP="00CE5850">
            <w:pPr>
              <w:rPr>
                <w:sz w:val="20"/>
              </w:rPr>
            </w:pPr>
            <w:r w:rsidRPr="00C81B24">
              <w:rPr>
                <w:sz w:val="20"/>
              </w:rPr>
              <w:t>NCHS</w:t>
            </w:r>
          </w:p>
        </w:tc>
        <w:tc>
          <w:tcPr>
            <w:tcW w:w="0" w:type="auto"/>
          </w:tcPr>
          <w:p w:rsidR="00C81B24" w:rsidRPr="00C81B24" w:rsidRDefault="00C81B24" w:rsidP="00CE5850">
            <w:pPr>
              <w:rPr>
                <w:sz w:val="20"/>
              </w:rPr>
            </w:pPr>
            <w:r w:rsidRPr="00C81B24">
              <w:rPr>
                <w:sz w:val="20"/>
              </w:rPr>
              <w:t xml:space="preserve"> National Center for Health Statistics</w:t>
            </w:r>
          </w:p>
        </w:tc>
      </w:tr>
      <w:tr w:rsidR="00C81B24" w:rsidRPr="00C81B24" w:rsidTr="00526AD9">
        <w:trPr>
          <w:jc w:val="center"/>
        </w:trPr>
        <w:tc>
          <w:tcPr>
            <w:tcW w:w="0" w:type="auto"/>
          </w:tcPr>
          <w:p w:rsidR="00C81B24" w:rsidRPr="00C81B24" w:rsidRDefault="00C81B24" w:rsidP="00CE5850">
            <w:pPr>
              <w:rPr>
                <w:sz w:val="20"/>
              </w:rPr>
            </w:pPr>
            <w:r w:rsidRPr="00C81B24">
              <w:rPr>
                <w:sz w:val="20"/>
              </w:rPr>
              <w:t>NFC</w:t>
            </w:r>
          </w:p>
        </w:tc>
        <w:tc>
          <w:tcPr>
            <w:tcW w:w="0" w:type="auto"/>
          </w:tcPr>
          <w:p w:rsidR="00C81B24" w:rsidRPr="00C81B24" w:rsidRDefault="00C81B24" w:rsidP="00CE5850">
            <w:pPr>
              <w:rPr>
                <w:sz w:val="20"/>
              </w:rPr>
            </w:pPr>
            <w:r w:rsidRPr="00C81B24">
              <w:rPr>
                <w:sz w:val="20"/>
              </w:rPr>
              <w:t xml:space="preserve"> Near-Field Communication</w:t>
            </w:r>
          </w:p>
        </w:tc>
      </w:tr>
      <w:tr w:rsidR="00C81B24" w:rsidRPr="00C81B24" w:rsidTr="00526AD9">
        <w:trPr>
          <w:jc w:val="center"/>
        </w:trPr>
        <w:tc>
          <w:tcPr>
            <w:tcW w:w="0" w:type="auto"/>
          </w:tcPr>
          <w:p w:rsidR="00C81B24" w:rsidRPr="00C81B24" w:rsidRDefault="00C81B24" w:rsidP="00CE5850">
            <w:pPr>
              <w:rPr>
                <w:sz w:val="20"/>
              </w:rPr>
            </w:pPr>
            <w:r w:rsidRPr="00C81B24">
              <w:rPr>
                <w:sz w:val="20"/>
              </w:rPr>
              <w:t>NHIS</w:t>
            </w:r>
          </w:p>
        </w:tc>
        <w:tc>
          <w:tcPr>
            <w:tcW w:w="0" w:type="auto"/>
          </w:tcPr>
          <w:p w:rsidR="00C81B24" w:rsidRPr="00C81B24" w:rsidRDefault="00C81B24" w:rsidP="00CE5850">
            <w:pPr>
              <w:rPr>
                <w:sz w:val="20"/>
              </w:rPr>
            </w:pPr>
            <w:r w:rsidRPr="00C81B24">
              <w:rPr>
                <w:sz w:val="20"/>
              </w:rPr>
              <w:t xml:space="preserve"> National Health Interview Survey </w:t>
            </w:r>
          </w:p>
        </w:tc>
      </w:tr>
      <w:tr w:rsidR="00C81B24" w:rsidRPr="00C81B24" w:rsidTr="00526AD9">
        <w:trPr>
          <w:jc w:val="center"/>
        </w:trPr>
        <w:tc>
          <w:tcPr>
            <w:tcW w:w="0" w:type="auto"/>
          </w:tcPr>
          <w:p w:rsidR="00C81B24" w:rsidRPr="00C81B24" w:rsidRDefault="00C81B24" w:rsidP="00CE5850">
            <w:pPr>
              <w:rPr>
                <w:sz w:val="20"/>
              </w:rPr>
            </w:pPr>
            <w:r w:rsidRPr="00C81B24">
              <w:rPr>
                <w:sz w:val="20"/>
              </w:rPr>
              <w:t>NIST</w:t>
            </w:r>
          </w:p>
        </w:tc>
        <w:tc>
          <w:tcPr>
            <w:tcW w:w="0" w:type="auto"/>
          </w:tcPr>
          <w:p w:rsidR="00C81B24" w:rsidRPr="00C81B24" w:rsidRDefault="00C81B24" w:rsidP="00CE5850">
            <w:pPr>
              <w:rPr>
                <w:sz w:val="20"/>
              </w:rPr>
            </w:pPr>
            <w:r w:rsidRPr="00C81B24">
              <w:rPr>
                <w:sz w:val="20"/>
              </w:rPr>
              <w:t xml:space="preserve"> National Institute of Standards and Technology</w:t>
            </w:r>
          </w:p>
        </w:tc>
      </w:tr>
      <w:tr w:rsidR="00C81B24" w:rsidRPr="00C81B24" w:rsidTr="00526AD9">
        <w:trPr>
          <w:jc w:val="center"/>
        </w:trPr>
        <w:tc>
          <w:tcPr>
            <w:tcW w:w="0" w:type="auto"/>
          </w:tcPr>
          <w:p w:rsidR="00C81B24" w:rsidRPr="00C81B24" w:rsidRDefault="00C81B24" w:rsidP="00CE5850">
            <w:pPr>
              <w:rPr>
                <w:sz w:val="20"/>
              </w:rPr>
            </w:pPr>
            <w:r w:rsidRPr="00C81B24">
              <w:rPr>
                <w:sz w:val="20"/>
              </w:rPr>
              <w:t>NOI</w:t>
            </w:r>
          </w:p>
        </w:tc>
        <w:tc>
          <w:tcPr>
            <w:tcW w:w="0" w:type="auto"/>
          </w:tcPr>
          <w:p w:rsidR="00C81B24" w:rsidRPr="00C81B24" w:rsidRDefault="00C81B24" w:rsidP="00CE5850">
            <w:pPr>
              <w:rPr>
                <w:sz w:val="20"/>
              </w:rPr>
            </w:pPr>
            <w:r w:rsidRPr="00C81B24">
              <w:rPr>
                <w:sz w:val="20"/>
              </w:rPr>
              <w:t xml:space="preserve"> Notice of Inquiry</w:t>
            </w:r>
          </w:p>
        </w:tc>
      </w:tr>
      <w:tr w:rsidR="00C81B24" w:rsidRPr="00C81B24" w:rsidTr="00526AD9">
        <w:trPr>
          <w:jc w:val="center"/>
        </w:trPr>
        <w:tc>
          <w:tcPr>
            <w:tcW w:w="0" w:type="auto"/>
          </w:tcPr>
          <w:p w:rsidR="00C81B24" w:rsidRPr="00C81B24" w:rsidRDefault="00C81B24" w:rsidP="00CE5850">
            <w:pPr>
              <w:rPr>
                <w:sz w:val="20"/>
              </w:rPr>
            </w:pPr>
            <w:r w:rsidRPr="00C81B24">
              <w:rPr>
                <w:sz w:val="20"/>
              </w:rPr>
              <w:t>NPA-NXX</w:t>
            </w:r>
          </w:p>
        </w:tc>
        <w:tc>
          <w:tcPr>
            <w:tcW w:w="0" w:type="auto"/>
          </w:tcPr>
          <w:p w:rsidR="00C81B24" w:rsidRPr="00C81B24" w:rsidRDefault="00C81B24" w:rsidP="00CE5850">
            <w:pPr>
              <w:rPr>
                <w:sz w:val="20"/>
              </w:rPr>
            </w:pPr>
            <w:r w:rsidRPr="00C81B24">
              <w:rPr>
                <w:sz w:val="20"/>
              </w:rPr>
              <w:t xml:space="preserve"> the first six digits of a ten-digit telephone number</w:t>
            </w:r>
          </w:p>
        </w:tc>
      </w:tr>
      <w:tr w:rsidR="00C81B24" w:rsidRPr="00C81B24" w:rsidTr="00526AD9">
        <w:trPr>
          <w:jc w:val="center"/>
        </w:trPr>
        <w:tc>
          <w:tcPr>
            <w:tcW w:w="0" w:type="auto"/>
          </w:tcPr>
          <w:p w:rsidR="00C81B24" w:rsidRPr="00C81B24" w:rsidRDefault="00C81B24" w:rsidP="00CE5850">
            <w:pPr>
              <w:rPr>
                <w:sz w:val="20"/>
              </w:rPr>
            </w:pPr>
            <w:r w:rsidRPr="00C81B24">
              <w:rPr>
                <w:sz w:val="20"/>
              </w:rPr>
              <w:t>NPAC</w:t>
            </w:r>
          </w:p>
        </w:tc>
        <w:tc>
          <w:tcPr>
            <w:tcW w:w="0" w:type="auto"/>
          </w:tcPr>
          <w:p w:rsidR="00C81B24" w:rsidRPr="00C81B24" w:rsidRDefault="00C81B24" w:rsidP="00CE5850">
            <w:pPr>
              <w:rPr>
                <w:sz w:val="20"/>
              </w:rPr>
            </w:pPr>
            <w:r w:rsidRPr="00C81B24">
              <w:rPr>
                <w:sz w:val="20"/>
              </w:rPr>
              <w:t xml:space="preserve"> Number Portability Administration Center</w:t>
            </w:r>
          </w:p>
        </w:tc>
      </w:tr>
      <w:tr w:rsidR="00C81B24" w:rsidRPr="00C81B24" w:rsidTr="00526AD9">
        <w:trPr>
          <w:jc w:val="center"/>
        </w:trPr>
        <w:tc>
          <w:tcPr>
            <w:tcW w:w="0" w:type="auto"/>
          </w:tcPr>
          <w:p w:rsidR="00C81B24" w:rsidRPr="00C81B24" w:rsidRDefault="00C81B24" w:rsidP="00CE5850">
            <w:pPr>
              <w:rPr>
                <w:sz w:val="20"/>
              </w:rPr>
            </w:pPr>
            <w:r w:rsidRPr="00C81B24">
              <w:rPr>
                <w:sz w:val="20"/>
              </w:rPr>
              <w:t>NPRM</w:t>
            </w:r>
          </w:p>
        </w:tc>
        <w:tc>
          <w:tcPr>
            <w:tcW w:w="0" w:type="auto"/>
          </w:tcPr>
          <w:p w:rsidR="00C81B24" w:rsidRPr="00C81B24" w:rsidRDefault="00C81B24" w:rsidP="00CE5850">
            <w:pPr>
              <w:rPr>
                <w:sz w:val="20"/>
              </w:rPr>
            </w:pPr>
            <w:r w:rsidRPr="00C81B24">
              <w:rPr>
                <w:sz w:val="20"/>
              </w:rPr>
              <w:t xml:space="preserve"> Notice of Proposed Rulemaking</w:t>
            </w:r>
          </w:p>
        </w:tc>
      </w:tr>
      <w:tr w:rsidR="00C81B24" w:rsidRPr="00C81B24" w:rsidTr="00526AD9">
        <w:trPr>
          <w:jc w:val="center"/>
        </w:trPr>
        <w:tc>
          <w:tcPr>
            <w:tcW w:w="0" w:type="auto"/>
          </w:tcPr>
          <w:p w:rsidR="00C81B24" w:rsidRPr="00C81B24" w:rsidRDefault="00C81B24" w:rsidP="00CE5850">
            <w:pPr>
              <w:rPr>
                <w:sz w:val="20"/>
              </w:rPr>
            </w:pPr>
            <w:r w:rsidRPr="00C81B24">
              <w:rPr>
                <w:sz w:val="20"/>
              </w:rPr>
              <w:t>NRUF</w:t>
            </w:r>
          </w:p>
        </w:tc>
        <w:tc>
          <w:tcPr>
            <w:tcW w:w="0" w:type="auto"/>
          </w:tcPr>
          <w:p w:rsidR="00C81B24" w:rsidRPr="00C81B24" w:rsidRDefault="00C81B24" w:rsidP="00CE5850">
            <w:pPr>
              <w:rPr>
                <w:sz w:val="20"/>
              </w:rPr>
            </w:pPr>
            <w:r w:rsidRPr="00C81B24">
              <w:rPr>
                <w:sz w:val="20"/>
              </w:rPr>
              <w:t xml:space="preserve"> Numbering Report / Utilization Forecast </w:t>
            </w:r>
          </w:p>
        </w:tc>
      </w:tr>
      <w:tr w:rsidR="00C81B24" w:rsidRPr="00C81B24" w:rsidTr="00526AD9">
        <w:trPr>
          <w:jc w:val="center"/>
        </w:trPr>
        <w:tc>
          <w:tcPr>
            <w:tcW w:w="0" w:type="auto"/>
          </w:tcPr>
          <w:p w:rsidR="00C81B24" w:rsidRPr="00C81B24" w:rsidRDefault="00C81B24" w:rsidP="00CE5850">
            <w:pPr>
              <w:rPr>
                <w:sz w:val="20"/>
              </w:rPr>
            </w:pPr>
            <w:r w:rsidRPr="00C81B24">
              <w:rPr>
                <w:sz w:val="20"/>
              </w:rPr>
              <w:t>NTCA</w:t>
            </w:r>
          </w:p>
        </w:tc>
        <w:tc>
          <w:tcPr>
            <w:tcW w:w="0" w:type="auto"/>
          </w:tcPr>
          <w:p w:rsidR="00C81B24" w:rsidRPr="00C81B24" w:rsidRDefault="00C81B24" w:rsidP="00CE5850">
            <w:pPr>
              <w:rPr>
                <w:sz w:val="20"/>
              </w:rPr>
            </w:pPr>
            <w:r w:rsidRPr="00C81B24">
              <w:rPr>
                <w:sz w:val="20"/>
              </w:rPr>
              <w:t xml:space="preserve"> National Telecommunications Cooperative Association</w:t>
            </w:r>
          </w:p>
        </w:tc>
      </w:tr>
      <w:tr w:rsidR="00C81B24" w:rsidRPr="00C81B24" w:rsidTr="00526AD9">
        <w:trPr>
          <w:jc w:val="center"/>
        </w:trPr>
        <w:tc>
          <w:tcPr>
            <w:tcW w:w="0" w:type="auto"/>
          </w:tcPr>
          <w:p w:rsidR="00C81B24" w:rsidRPr="00C81B24" w:rsidRDefault="00C81B24" w:rsidP="00CE5850">
            <w:pPr>
              <w:rPr>
                <w:sz w:val="20"/>
              </w:rPr>
            </w:pPr>
            <w:r w:rsidRPr="00C81B24">
              <w:rPr>
                <w:sz w:val="20"/>
              </w:rPr>
              <w:t>NTIA</w:t>
            </w:r>
          </w:p>
        </w:tc>
        <w:tc>
          <w:tcPr>
            <w:tcW w:w="0" w:type="auto"/>
          </w:tcPr>
          <w:p w:rsidR="00C81B24" w:rsidRPr="00C81B24" w:rsidRDefault="00C81B24" w:rsidP="00CE5850">
            <w:pPr>
              <w:rPr>
                <w:sz w:val="20"/>
              </w:rPr>
            </w:pPr>
            <w:r w:rsidRPr="00C81B24">
              <w:rPr>
                <w:sz w:val="20"/>
              </w:rPr>
              <w:t xml:space="preserve"> National Telecommunications and Information Administration</w:t>
            </w:r>
          </w:p>
        </w:tc>
      </w:tr>
      <w:tr w:rsidR="00C81B24" w:rsidRPr="00C81B24" w:rsidTr="00526AD9">
        <w:trPr>
          <w:jc w:val="center"/>
        </w:trPr>
        <w:tc>
          <w:tcPr>
            <w:tcW w:w="0" w:type="auto"/>
          </w:tcPr>
          <w:p w:rsidR="00C81B24" w:rsidRPr="00C81B24" w:rsidRDefault="00C81B24" w:rsidP="00CE5850">
            <w:pPr>
              <w:rPr>
                <w:sz w:val="20"/>
              </w:rPr>
            </w:pPr>
            <w:r w:rsidRPr="00C81B24">
              <w:rPr>
                <w:sz w:val="20"/>
              </w:rPr>
              <w:t>OBI</w:t>
            </w:r>
          </w:p>
        </w:tc>
        <w:tc>
          <w:tcPr>
            <w:tcW w:w="0" w:type="auto"/>
          </w:tcPr>
          <w:p w:rsidR="00C81B24" w:rsidRPr="00C81B24" w:rsidRDefault="00C81B24" w:rsidP="00CE5850">
            <w:pPr>
              <w:rPr>
                <w:sz w:val="20"/>
              </w:rPr>
            </w:pPr>
            <w:r w:rsidRPr="00C81B24">
              <w:rPr>
                <w:sz w:val="20"/>
              </w:rPr>
              <w:t xml:space="preserve"> Omnibus Broadband Initiative</w:t>
            </w:r>
          </w:p>
        </w:tc>
      </w:tr>
      <w:tr w:rsidR="00C81B24" w:rsidRPr="00C81B24" w:rsidTr="00526AD9">
        <w:trPr>
          <w:jc w:val="center"/>
        </w:trPr>
        <w:tc>
          <w:tcPr>
            <w:tcW w:w="0" w:type="auto"/>
          </w:tcPr>
          <w:p w:rsidR="00C81B24" w:rsidRPr="00C81B24" w:rsidRDefault="00C81B24" w:rsidP="00CE5850">
            <w:pPr>
              <w:rPr>
                <w:sz w:val="20"/>
              </w:rPr>
            </w:pPr>
            <w:r w:rsidRPr="00C81B24">
              <w:rPr>
                <w:sz w:val="20"/>
              </w:rPr>
              <w:t>OET</w:t>
            </w:r>
          </w:p>
        </w:tc>
        <w:tc>
          <w:tcPr>
            <w:tcW w:w="0" w:type="auto"/>
          </w:tcPr>
          <w:p w:rsidR="00C81B24" w:rsidRPr="00C81B24" w:rsidRDefault="00C81B24" w:rsidP="00CE5850">
            <w:pPr>
              <w:rPr>
                <w:sz w:val="20"/>
              </w:rPr>
            </w:pPr>
            <w:r w:rsidRPr="00C81B24">
              <w:rPr>
                <w:sz w:val="20"/>
              </w:rPr>
              <w:t xml:space="preserve"> Office of Engineering &amp; Technology</w:t>
            </w:r>
          </w:p>
        </w:tc>
      </w:tr>
      <w:tr w:rsidR="00C81B24" w:rsidRPr="00C81B24" w:rsidTr="00526AD9">
        <w:trPr>
          <w:jc w:val="center"/>
        </w:trPr>
        <w:tc>
          <w:tcPr>
            <w:tcW w:w="0" w:type="auto"/>
          </w:tcPr>
          <w:p w:rsidR="00C81B24" w:rsidRPr="00C81B24" w:rsidRDefault="00C81B24" w:rsidP="00CE5850">
            <w:pPr>
              <w:rPr>
                <w:sz w:val="20"/>
              </w:rPr>
            </w:pPr>
            <w:r w:rsidRPr="00C81B24">
              <w:rPr>
                <w:sz w:val="20"/>
              </w:rPr>
              <w:t>OFDMA</w:t>
            </w:r>
          </w:p>
        </w:tc>
        <w:tc>
          <w:tcPr>
            <w:tcW w:w="0" w:type="auto"/>
          </w:tcPr>
          <w:p w:rsidR="00C81B24" w:rsidRPr="00C81B24" w:rsidRDefault="00C81B24" w:rsidP="00CE5850">
            <w:pPr>
              <w:rPr>
                <w:sz w:val="20"/>
              </w:rPr>
            </w:pPr>
            <w:r w:rsidRPr="00C81B24">
              <w:rPr>
                <w:sz w:val="20"/>
              </w:rPr>
              <w:t xml:space="preserve"> Orthogonal Frequency Division Multiple Access</w:t>
            </w:r>
          </w:p>
        </w:tc>
      </w:tr>
      <w:tr w:rsidR="00C81B24" w:rsidRPr="00C81B24" w:rsidTr="00526AD9">
        <w:trPr>
          <w:jc w:val="center"/>
        </w:trPr>
        <w:tc>
          <w:tcPr>
            <w:tcW w:w="0" w:type="auto"/>
          </w:tcPr>
          <w:p w:rsidR="00C81B24" w:rsidRPr="00C81B24" w:rsidRDefault="00C81B24" w:rsidP="00CE5850">
            <w:pPr>
              <w:rPr>
                <w:sz w:val="20"/>
              </w:rPr>
            </w:pPr>
            <w:r w:rsidRPr="00C81B24">
              <w:rPr>
                <w:sz w:val="20"/>
              </w:rPr>
              <w:t>OS</w:t>
            </w:r>
          </w:p>
        </w:tc>
        <w:tc>
          <w:tcPr>
            <w:tcW w:w="0" w:type="auto"/>
          </w:tcPr>
          <w:p w:rsidR="00C81B24" w:rsidRPr="00C81B24" w:rsidRDefault="00C81B24" w:rsidP="00CE5850">
            <w:pPr>
              <w:rPr>
                <w:sz w:val="20"/>
              </w:rPr>
            </w:pPr>
            <w:r w:rsidRPr="00C81B24">
              <w:rPr>
                <w:sz w:val="20"/>
              </w:rPr>
              <w:t xml:space="preserve"> Operating System</w:t>
            </w:r>
          </w:p>
        </w:tc>
      </w:tr>
      <w:tr w:rsidR="00C81B24" w:rsidRPr="00C81B24" w:rsidTr="00526AD9">
        <w:trPr>
          <w:jc w:val="center"/>
        </w:trPr>
        <w:tc>
          <w:tcPr>
            <w:tcW w:w="0" w:type="auto"/>
          </w:tcPr>
          <w:p w:rsidR="00C81B24" w:rsidRPr="00C81B24" w:rsidRDefault="00C81B24" w:rsidP="00CE5850">
            <w:pPr>
              <w:rPr>
                <w:sz w:val="20"/>
              </w:rPr>
            </w:pPr>
            <w:r w:rsidRPr="00C81B24">
              <w:rPr>
                <w:sz w:val="20"/>
              </w:rPr>
              <w:t>PC</w:t>
            </w:r>
          </w:p>
        </w:tc>
        <w:tc>
          <w:tcPr>
            <w:tcW w:w="0" w:type="auto"/>
          </w:tcPr>
          <w:p w:rsidR="00C81B24" w:rsidRPr="00C81B24" w:rsidRDefault="00C81B24" w:rsidP="00CE5850">
            <w:pPr>
              <w:rPr>
                <w:sz w:val="20"/>
              </w:rPr>
            </w:pPr>
            <w:r w:rsidRPr="00C81B24">
              <w:rPr>
                <w:sz w:val="20"/>
              </w:rPr>
              <w:t xml:space="preserve"> Personal Computer</w:t>
            </w:r>
          </w:p>
        </w:tc>
      </w:tr>
      <w:tr w:rsidR="00C81B24" w:rsidRPr="00C81B24" w:rsidTr="00526AD9">
        <w:trPr>
          <w:jc w:val="center"/>
        </w:trPr>
        <w:tc>
          <w:tcPr>
            <w:tcW w:w="0" w:type="auto"/>
          </w:tcPr>
          <w:p w:rsidR="00C81B24" w:rsidRPr="00C81B24" w:rsidRDefault="00C81B24" w:rsidP="00CE5850">
            <w:pPr>
              <w:rPr>
                <w:sz w:val="20"/>
              </w:rPr>
            </w:pPr>
            <w:r w:rsidRPr="00C81B24">
              <w:rPr>
                <w:sz w:val="20"/>
              </w:rPr>
              <w:t>PCS</w:t>
            </w:r>
          </w:p>
        </w:tc>
        <w:tc>
          <w:tcPr>
            <w:tcW w:w="0" w:type="auto"/>
          </w:tcPr>
          <w:p w:rsidR="00C81B24" w:rsidRPr="00C81B24" w:rsidRDefault="00C81B24" w:rsidP="00CE5850">
            <w:pPr>
              <w:rPr>
                <w:sz w:val="20"/>
              </w:rPr>
            </w:pPr>
            <w:r w:rsidRPr="00C81B24">
              <w:rPr>
                <w:sz w:val="20"/>
              </w:rPr>
              <w:t xml:space="preserve"> Personal Communications System</w:t>
            </w:r>
          </w:p>
        </w:tc>
      </w:tr>
      <w:tr w:rsidR="00C81B24" w:rsidRPr="00C81B24" w:rsidTr="00526AD9">
        <w:trPr>
          <w:jc w:val="center"/>
        </w:trPr>
        <w:tc>
          <w:tcPr>
            <w:tcW w:w="0" w:type="auto"/>
          </w:tcPr>
          <w:p w:rsidR="00C81B24" w:rsidRPr="00C81B24" w:rsidRDefault="00C81B24" w:rsidP="00CE5850">
            <w:pPr>
              <w:rPr>
                <w:sz w:val="20"/>
              </w:rPr>
            </w:pPr>
            <w:r w:rsidRPr="00C81B24">
              <w:rPr>
                <w:sz w:val="20"/>
              </w:rPr>
              <w:t>PN</w:t>
            </w:r>
          </w:p>
        </w:tc>
        <w:tc>
          <w:tcPr>
            <w:tcW w:w="0" w:type="auto"/>
          </w:tcPr>
          <w:p w:rsidR="00C81B24" w:rsidRPr="00C81B24" w:rsidRDefault="00C81B24" w:rsidP="00CE5850">
            <w:pPr>
              <w:rPr>
                <w:sz w:val="20"/>
              </w:rPr>
            </w:pPr>
            <w:r w:rsidRPr="00C81B24">
              <w:rPr>
                <w:sz w:val="20"/>
              </w:rPr>
              <w:t xml:space="preserve"> Public Notice</w:t>
            </w:r>
          </w:p>
        </w:tc>
      </w:tr>
      <w:tr w:rsidR="00C81B24" w:rsidRPr="00C81B24" w:rsidTr="00526AD9">
        <w:trPr>
          <w:jc w:val="center"/>
        </w:trPr>
        <w:tc>
          <w:tcPr>
            <w:tcW w:w="0" w:type="auto"/>
          </w:tcPr>
          <w:p w:rsidR="00C81B24" w:rsidRPr="00C81B24" w:rsidRDefault="00C81B24" w:rsidP="00CE5850">
            <w:pPr>
              <w:rPr>
                <w:sz w:val="20"/>
              </w:rPr>
            </w:pPr>
            <w:r w:rsidRPr="00C81B24">
              <w:rPr>
                <w:sz w:val="20"/>
              </w:rPr>
              <w:t>POPs</w:t>
            </w:r>
          </w:p>
        </w:tc>
        <w:tc>
          <w:tcPr>
            <w:tcW w:w="0" w:type="auto"/>
          </w:tcPr>
          <w:p w:rsidR="00C81B24" w:rsidRPr="00C81B24" w:rsidRDefault="00C81B24" w:rsidP="00CE5850">
            <w:pPr>
              <w:rPr>
                <w:sz w:val="20"/>
              </w:rPr>
            </w:pPr>
            <w:r w:rsidRPr="00C81B24">
              <w:rPr>
                <w:sz w:val="20"/>
              </w:rPr>
              <w:t xml:space="preserve"> population (people)</w:t>
            </w:r>
          </w:p>
        </w:tc>
      </w:tr>
      <w:tr w:rsidR="00C81B24" w:rsidRPr="00C81B24" w:rsidTr="00526AD9">
        <w:trPr>
          <w:jc w:val="center"/>
        </w:trPr>
        <w:tc>
          <w:tcPr>
            <w:tcW w:w="0" w:type="auto"/>
          </w:tcPr>
          <w:p w:rsidR="00C81B24" w:rsidRPr="00C81B24" w:rsidRDefault="00C81B24" w:rsidP="00CE5850">
            <w:pPr>
              <w:rPr>
                <w:sz w:val="20"/>
              </w:rPr>
            </w:pPr>
            <w:r w:rsidRPr="00C81B24">
              <w:rPr>
                <w:sz w:val="20"/>
              </w:rPr>
              <w:t>PSTN</w:t>
            </w:r>
          </w:p>
        </w:tc>
        <w:tc>
          <w:tcPr>
            <w:tcW w:w="0" w:type="auto"/>
          </w:tcPr>
          <w:p w:rsidR="00C81B24" w:rsidRPr="00C81B24" w:rsidRDefault="00C81B24" w:rsidP="00CE5850">
            <w:pPr>
              <w:rPr>
                <w:sz w:val="20"/>
              </w:rPr>
            </w:pPr>
            <w:r w:rsidRPr="00C81B24">
              <w:rPr>
                <w:sz w:val="20"/>
              </w:rPr>
              <w:t xml:space="preserve"> Public Switched Telephone Network </w:t>
            </w:r>
          </w:p>
        </w:tc>
      </w:tr>
      <w:tr w:rsidR="00C81B24" w:rsidRPr="00C81B24" w:rsidTr="00526AD9">
        <w:trPr>
          <w:jc w:val="center"/>
        </w:trPr>
        <w:tc>
          <w:tcPr>
            <w:tcW w:w="0" w:type="auto"/>
          </w:tcPr>
          <w:p w:rsidR="00C81B24" w:rsidRPr="00C81B24" w:rsidRDefault="00C81B24" w:rsidP="00CE5850">
            <w:pPr>
              <w:rPr>
                <w:sz w:val="20"/>
              </w:rPr>
            </w:pPr>
            <w:r w:rsidRPr="00C81B24">
              <w:rPr>
                <w:sz w:val="20"/>
              </w:rPr>
              <w:t>PTT</w:t>
            </w:r>
          </w:p>
        </w:tc>
        <w:tc>
          <w:tcPr>
            <w:tcW w:w="0" w:type="auto"/>
          </w:tcPr>
          <w:p w:rsidR="00C81B24" w:rsidRPr="00C81B24" w:rsidRDefault="00C81B24" w:rsidP="00CE5850">
            <w:pPr>
              <w:rPr>
                <w:sz w:val="20"/>
              </w:rPr>
            </w:pPr>
            <w:r w:rsidRPr="00C81B24">
              <w:rPr>
                <w:sz w:val="20"/>
              </w:rPr>
              <w:t xml:space="preserve"> Push-to-Talk</w:t>
            </w:r>
          </w:p>
        </w:tc>
      </w:tr>
      <w:tr w:rsidR="00C81B24" w:rsidRPr="00C81B24" w:rsidTr="00526AD9">
        <w:trPr>
          <w:jc w:val="center"/>
        </w:trPr>
        <w:tc>
          <w:tcPr>
            <w:tcW w:w="0" w:type="auto"/>
          </w:tcPr>
          <w:p w:rsidR="00C81B24" w:rsidRPr="00C81B24" w:rsidRDefault="00C81B24" w:rsidP="00CE5850">
            <w:pPr>
              <w:rPr>
                <w:sz w:val="20"/>
              </w:rPr>
            </w:pPr>
            <w:r w:rsidRPr="00C81B24">
              <w:rPr>
                <w:sz w:val="20"/>
              </w:rPr>
              <w:t>PUC</w:t>
            </w:r>
          </w:p>
        </w:tc>
        <w:tc>
          <w:tcPr>
            <w:tcW w:w="0" w:type="auto"/>
          </w:tcPr>
          <w:p w:rsidR="00C81B24" w:rsidRPr="00C81B24" w:rsidRDefault="00C81B24" w:rsidP="00CE5850">
            <w:pPr>
              <w:rPr>
                <w:sz w:val="20"/>
              </w:rPr>
            </w:pPr>
            <w:r w:rsidRPr="00C81B24">
              <w:rPr>
                <w:sz w:val="20"/>
              </w:rPr>
              <w:t xml:space="preserve"> Public Utility Commission</w:t>
            </w:r>
          </w:p>
        </w:tc>
      </w:tr>
      <w:tr w:rsidR="00C81B24" w:rsidRPr="00C81B24" w:rsidTr="00526AD9">
        <w:trPr>
          <w:jc w:val="center"/>
        </w:trPr>
        <w:tc>
          <w:tcPr>
            <w:tcW w:w="0" w:type="auto"/>
          </w:tcPr>
          <w:p w:rsidR="00C81B24" w:rsidRPr="00C81B24" w:rsidRDefault="00C81B24" w:rsidP="00CE5850">
            <w:pPr>
              <w:rPr>
                <w:sz w:val="20"/>
              </w:rPr>
            </w:pPr>
            <w:r w:rsidRPr="00C81B24">
              <w:rPr>
                <w:sz w:val="20"/>
              </w:rPr>
              <w:t>R&amp;D</w:t>
            </w:r>
          </w:p>
        </w:tc>
        <w:tc>
          <w:tcPr>
            <w:tcW w:w="0" w:type="auto"/>
          </w:tcPr>
          <w:p w:rsidR="00C81B24" w:rsidRPr="00C81B24" w:rsidRDefault="00C81B24" w:rsidP="00CE5850">
            <w:pPr>
              <w:rPr>
                <w:sz w:val="20"/>
              </w:rPr>
            </w:pPr>
            <w:r w:rsidRPr="00C81B24">
              <w:rPr>
                <w:sz w:val="20"/>
              </w:rPr>
              <w:t xml:space="preserve"> Research and Development</w:t>
            </w:r>
          </w:p>
        </w:tc>
      </w:tr>
      <w:tr w:rsidR="00C81B24" w:rsidRPr="00C81B24" w:rsidTr="00526AD9">
        <w:trPr>
          <w:jc w:val="center"/>
        </w:trPr>
        <w:tc>
          <w:tcPr>
            <w:tcW w:w="0" w:type="auto"/>
          </w:tcPr>
          <w:p w:rsidR="00C81B24" w:rsidRPr="00C81B24" w:rsidRDefault="00C81B24" w:rsidP="00CE5850">
            <w:pPr>
              <w:rPr>
                <w:sz w:val="20"/>
              </w:rPr>
            </w:pPr>
            <w:r w:rsidRPr="00C81B24">
              <w:rPr>
                <w:sz w:val="20"/>
              </w:rPr>
              <w:t>R&amp;O</w:t>
            </w:r>
          </w:p>
        </w:tc>
        <w:tc>
          <w:tcPr>
            <w:tcW w:w="0" w:type="auto"/>
          </w:tcPr>
          <w:p w:rsidR="00C81B24" w:rsidRPr="00C81B24" w:rsidRDefault="00C81B24" w:rsidP="00CE5850">
            <w:pPr>
              <w:rPr>
                <w:sz w:val="20"/>
              </w:rPr>
            </w:pPr>
            <w:r w:rsidRPr="00C81B24">
              <w:rPr>
                <w:sz w:val="20"/>
              </w:rPr>
              <w:t xml:space="preserve"> Report and Order</w:t>
            </w:r>
          </w:p>
        </w:tc>
      </w:tr>
      <w:tr w:rsidR="00C81B24" w:rsidRPr="00C81B24" w:rsidTr="00526AD9">
        <w:trPr>
          <w:jc w:val="center"/>
        </w:trPr>
        <w:tc>
          <w:tcPr>
            <w:tcW w:w="0" w:type="auto"/>
          </w:tcPr>
          <w:p w:rsidR="00C81B24" w:rsidRPr="00C81B24" w:rsidRDefault="00C81B24" w:rsidP="00CE5850">
            <w:pPr>
              <w:rPr>
                <w:sz w:val="20"/>
              </w:rPr>
            </w:pPr>
            <w:r w:rsidRPr="00C81B24">
              <w:rPr>
                <w:sz w:val="20"/>
              </w:rPr>
              <w:t>RF</w:t>
            </w:r>
          </w:p>
        </w:tc>
        <w:tc>
          <w:tcPr>
            <w:tcW w:w="0" w:type="auto"/>
          </w:tcPr>
          <w:p w:rsidR="00C81B24" w:rsidRPr="00C81B24" w:rsidRDefault="00C81B24" w:rsidP="00CE5850">
            <w:pPr>
              <w:rPr>
                <w:sz w:val="20"/>
              </w:rPr>
            </w:pPr>
            <w:r w:rsidRPr="00C81B24">
              <w:rPr>
                <w:sz w:val="20"/>
              </w:rPr>
              <w:t xml:space="preserve"> Radio Frequency</w:t>
            </w:r>
          </w:p>
        </w:tc>
      </w:tr>
      <w:tr w:rsidR="00C81B24" w:rsidRPr="00C81B24" w:rsidTr="00526AD9">
        <w:trPr>
          <w:jc w:val="center"/>
        </w:trPr>
        <w:tc>
          <w:tcPr>
            <w:tcW w:w="0" w:type="auto"/>
          </w:tcPr>
          <w:p w:rsidR="00C81B24" w:rsidRPr="00C81B24" w:rsidRDefault="00C81B24" w:rsidP="00CE5850">
            <w:pPr>
              <w:rPr>
                <w:sz w:val="20"/>
              </w:rPr>
            </w:pPr>
            <w:r w:rsidRPr="00C81B24">
              <w:rPr>
                <w:sz w:val="20"/>
              </w:rPr>
              <w:t>RIM</w:t>
            </w:r>
          </w:p>
        </w:tc>
        <w:tc>
          <w:tcPr>
            <w:tcW w:w="0" w:type="auto"/>
          </w:tcPr>
          <w:p w:rsidR="00C81B24" w:rsidRPr="00C81B24" w:rsidRDefault="00C81B24" w:rsidP="00CE5850">
            <w:pPr>
              <w:rPr>
                <w:sz w:val="20"/>
              </w:rPr>
            </w:pPr>
            <w:r w:rsidRPr="00C81B24">
              <w:rPr>
                <w:sz w:val="20"/>
              </w:rPr>
              <w:t xml:space="preserve"> Research in Motion</w:t>
            </w:r>
          </w:p>
        </w:tc>
      </w:tr>
      <w:tr w:rsidR="00C81B24" w:rsidRPr="00C81B24" w:rsidTr="00526AD9">
        <w:trPr>
          <w:jc w:val="center"/>
        </w:trPr>
        <w:tc>
          <w:tcPr>
            <w:tcW w:w="0" w:type="auto"/>
          </w:tcPr>
          <w:p w:rsidR="00C81B24" w:rsidRPr="00C81B24" w:rsidRDefault="00C81B24" w:rsidP="00CE5850">
            <w:pPr>
              <w:rPr>
                <w:sz w:val="20"/>
              </w:rPr>
            </w:pPr>
            <w:r w:rsidRPr="00C81B24">
              <w:rPr>
                <w:sz w:val="20"/>
              </w:rPr>
              <w:t>RPM</w:t>
            </w:r>
          </w:p>
        </w:tc>
        <w:tc>
          <w:tcPr>
            <w:tcW w:w="0" w:type="auto"/>
          </w:tcPr>
          <w:p w:rsidR="00C81B24" w:rsidRPr="00C81B24" w:rsidRDefault="00C81B24" w:rsidP="00CE5850">
            <w:pPr>
              <w:rPr>
                <w:sz w:val="20"/>
              </w:rPr>
            </w:pPr>
            <w:r w:rsidRPr="00C81B24">
              <w:rPr>
                <w:sz w:val="20"/>
              </w:rPr>
              <w:t xml:space="preserve"> Revenue per Minute </w:t>
            </w:r>
          </w:p>
        </w:tc>
      </w:tr>
      <w:tr w:rsidR="00C81B24" w:rsidRPr="00C81B24" w:rsidTr="00526AD9">
        <w:trPr>
          <w:jc w:val="center"/>
        </w:trPr>
        <w:tc>
          <w:tcPr>
            <w:tcW w:w="0" w:type="auto"/>
          </w:tcPr>
          <w:p w:rsidR="00C81B24" w:rsidRPr="00C81B24" w:rsidRDefault="00C81B24" w:rsidP="00CE5850">
            <w:pPr>
              <w:rPr>
                <w:sz w:val="20"/>
              </w:rPr>
            </w:pPr>
            <w:r w:rsidRPr="00C81B24">
              <w:rPr>
                <w:sz w:val="20"/>
              </w:rPr>
              <w:t>RSA</w:t>
            </w:r>
          </w:p>
        </w:tc>
        <w:tc>
          <w:tcPr>
            <w:tcW w:w="0" w:type="auto"/>
          </w:tcPr>
          <w:p w:rsidR="00C81B24" w:rsidRPr="00C81B24" w:rsidRDefault="00C81B24" w:rsidP="00CE5850">
            <w:pPr>
              <w:rPr>
                <w:sz w:val="20"/>
              </w:rPr>
            </w:pPr>
            <w:r w:rsidRPr="00C81B24">
              <w:rPr>
                <w:sz w:val="20"/>
              </w:rPr>
              <w:t xml:space="preserve"> Rural Service Area</w:t>
            </w:r>
          </w:p>
        </w:tc>
      </w:tr>
      <w:tr w:rsidR="00C81B24" w:rsidRPr="00C81B24" w:rsidTr="00526AD9">
        <w:trPr>
          <w:jc w:val="center"/>
        </w:trPr>
        <w:tc>
          <w:tcPr>
            <w:tcW w:w="0" w:type="auto"/>
          </w:tcPr>
          <w:p w:rsidR="00C81B24" w:rsidRPr="00C81B24" w:rsidRDefault="00C81B24" w:rsidP="00CE5850">
            <w:pPr>
              <w:rPr>
                <w:sz w:val="20"/>
              </w:rPr>
            </w:pPr>
            <w:r w:rsidRPr="00C81B24">
              <w:rPr>
                <w:sz w:val="20"/>
              </w:rPr>
              <w:t>SDARS</w:t>
            </w:r>
          </w:p>
        </w:tc>
        <w:tc>
          <w:tcPr>
            <w:tcW w:w="0" w:type="auto"/>
          </w:tcPr>
          <w:p w:rsidR="00C81B24" w:rsidRPr="00C81B24" w:rsidRDefault="00D843C9" w:rsidP="00CE5850">
            <w:pPr>
              <w:tabs>
                <w:tab w:val="left" w:pos="720"/>
              </w:tabs>
              <w:spacing w:after="120"/>
              <w:outlineLvl w:val="0"/>
              <w:rPr>
                <w:sz w:val="20"/>
                <w:lang w:val="it-IT"/>
              </w:rPr>
            </w:pPr>
            <w:r>
              <w:rPr>
                <w:sz w:val="20"/>
                <w:lang w:val="it-IT"/>
              </w:rPr>
              <w:t xml:space="preserve"> </w:t>
            </w:r>
            <w:r w:rsidR="00C81B24" w:rsidRPr="00C81B24">
              <w:rPr>
                <w:sz w:val="20"/>
                <w:lang w:val="it-IT"/>
              </w:rPr>
              <w:t>Satellite Digital Audio Radio Service</w:t>
            </w:r>
          </w:p>
        </w:tc>
      </w:tr>
      <w:tr w:rsidR="00C81B24" w:rsidRPr="00C81B24" w:rsidTr="00526AD9">
        <w:trPr>
          <w:jc w:val="center"/>
        </w:trPr>
        <w:tc>
          <w:tcPr>
            <w:tcW w:w="0" w:type="auto"/>
          </w:tcPr>
          <w:p w:rsidR="00C81B24" w:rsidRPr="00C81B24" w:rsidRDefault="00C81B24" w:rsidP="00CE5850">
            <w:pPr>
              <w:rPr>
                <w:sz w:val="20"/>
              </w:rPr>
            </w:pPr>
            <w:r w:rsidRPr="00C81B24">
              <w:rPr>
                <w:sz w:val="20"/>
              </w:rPr>
              <w:t>SEC</w:t>
            </w:r>
          </w:p>
        </w:tc>
        <w:tc>
          <w:tcPr>
            <w:tcW w:w="0" w:type="auto"/>
          </w:tcPr>
          <w:p w:rsidR="00C81B24" w:rsidRPr="00C81B24" w:rsidRDefault="00C81B24" w:rsidP="00CE5850">
            <w:pPr>
              <w:rPr>
                <w:sz w:val="20"/>
              </w:rPr>
            </w:pPr>
            <w:r w:rsidRPr="00C81B24">
              <w:rPr>
                <w:sz w:val="20"/>
              </w:rPr>
              <w:t xml:space="preserve"> Security and Exchange Commission</w:t>
            </w:r>
          </w:p>
        </w:tc>
      </w:tr>
      <w:tr w:rsidR="00C81B24" w:rsidRPr="00C81B24" w:rsidTr="00526AD9">
        <w:trPr>
          <w:jc w:val="center"/>
        </w:trPr>
        <w:tc>
          <w:tcPr>
            <w:tcW w:w="0" w:type="auto"/>
          </w:tcPr>
          <w:p w:rsidR="00C81B24" w:rsidRPr="00C81B24" w:rsidRDefault="00C81B24" w:rsidP="00CE5850">
            <w:pPr>
              <w:rPr>
                <w:sz w:val="20"/>
              </w:rPr>
            </w:pPr>
            <w:r w:rsidRPr="00C81B24">
              <w:rPr>
                <w:sz w:val="20"/>
              </w:rPr>
              <w:t>SF 1</w:t>
            </w:r>
          </w:p>
        </w:tc>
        <w:tc>
          <w:tcPr>
            <w:tcW w:w="0" w:type="auto"/>
          </w:tcPr>
          <w:p w:rsidR="00C81B24" w:rsidRPr="00C81B24" w:rsidRDefault="00C81B24" w:rsidP="00CE5850">
            <w:pPr>
              <w:rPr>
                <w:sz w:val="20"/>
              </w:rPr>
            </w:pPr>
            <w:r w:rsidRPr="00C81B24">
              <w:rPr>
                <w:sz w:val="20"/>
              </w:rPr>
              <w:t xml:space="preserve"> Summary File 1</w:t>
            </w:r>
          </w:p>
        </w:tc>
      </w:tr>
      <w:tr w:rsidR="00C81B24" w:rsidRPr="00C81B24" w:rsidTr="00526AD9">
        <w:trPr>
          <w:jc w:val="center"/>
        </w:trPr>
        <w:tc>
          <w:tcPr>
            <w:tcW w:w="0" w:type="auto"/>
          </w:tcPr>
          <w:p w:rsidR="00C81B24" w:rsidRPr="00C81B24" w:rsidRDefault="00C81B24" w:rsidP="00CE5850">
            <w:pPr>
              <w:rPr>
                <w:sz w:val="20"/>
              </w:rPr>
            </w:pPr>
            <w:r w:rsidRPr="00C81B24">
              <w:rPr>
                <w:sz w:val="20"/>
              </w:rPr>
              <w:t>SIM</w:t>
            </w:r>
          </w:p>
        </w:tc>
        <w:tc>
          <w:tcPr>
            <w:tcW w:w="0" w:type="auto"/>
          </w:tcPr>
          <w:p w:rsidR="00C81B24" w:rsidRPr="00C81B24" w:rsidRDefault="00C81B24" w:rsidP="00CE5850">
            <w:pPr>
              <w:rPr>
                <w:sz w:val="20"/>
              </w:rPr>
            </w:pPr>
            <w:r w:rsidRPr="00C81B24">
              <w:rPr>
                <w:sz w:val="20"/>
              </w:rPr>
              <w:t xml:space="preserve"> Subscriber Identity Module</w:t>
            </w:r>
          </w:p>
        </w:tc>
      </w:tr>
      <w:tr w:rsidR="00C81B24" w:rsidRPr="00C81B24" w:rsidTr="00526AD9">
        <w:trPr>
          <w:jc w:val="center"/>
        </w:trPr>
        <w:tc>
          <w:tcPr>
            <w:tcW w:w="0" w:type="auto"/>
          </w:tcPr>
          <w:p w:rsidR="00C81B24" w:rsidRPr="00C81B24" w:rsidRDefault="00C81B24" w:rsidP="00CE5850">
            <w:pPr>
              <w:rPr>
                <w:sz w:val="20"/>
              </w:rPr>
            </w:pPr>
            <w:r w:rsidRPr="00C81B24">
              <w:rPr>
                <w:sz w:val="20"/>
              </w:rPr>
              <w:t>SMR</w:t>
            </w:r>
          </w:p>
        </w:tc>
        <w:tc>
          <w:tcPr>
            <w:tcW w:w="0" w:type="auto"/>
          </w:tcPr>
          <w:p w:rsidR="00C81B24" w:rsidRPr="00C81B24" w:rsidRDefault="00C81B24" w:rsidP="00CE5850">
            <w:pPr>
              <w:rPr>
                <w:sz w:val="20"/>
              </w:rPr>
            </w:pPr>
            <w:r w:rsidRPr="00C81B24">
              <w:rPr>
                <w:sz w:val="20"/>
              </w:rPr>
              <w:t xml:space="preserve"> Specialized Mobile Radio</w:t>
            </w:r>
          </w:p>
        </w:tc>
      </w:tr>
      <w:tr w:rsidR="00C81B24" w:rsidRPr="00C81B24" w:rsidTr="00526AD9">
        <w:trPr>
          <w:jc w:val="center"/>
        </w:trPr>
        <w:tc>
          <w:tcPr>
            <w:tcW w:w="0" w:type="auto"/>
          </w:tcPr>
          <w:p w:rsidR="00C81B24" w:rsidRPr="00C81B24" w:rsidRDefault="00C81B24" w:rsidP="00CE5850">
            <w:pPr>
              <w:rPr>
                <w:sz w:val="20"/>
              </w:rPr>
            </w:pPr>
            <w:r w:rsidRPr="00C81B24">
              <w:rPr>
                <w:sz w:val="20"/>
              </w:rPr>
              <w:t>SMS</w:t>
            </w:r>
          </w:p>
        </w:tc>
        <w:tc>
          <w:tcPr>
            <w:tcW w:w="0" w:type="auto"/>
          </w:tcPr>
          <w:p w:rsidR="00C81B24" w:rsidRPr="00C81B24" w:rsidRDefault="00C81B24" w:rsidP="00CE5850">
            <w:pPr>
              <w:rPr>
                <w:sz w:val="20"/>
              </w:rPr>
            </w:pPr>
            <w:r w:rsidRPr="00C81B24">
              <w:rPr>
                <w:sz w:val="20"/>
              </w:rPr>
              <w:t xml:space="preserve"> Short Message Service</w:t>
            </w:r>
          </w:p>
        </w:tc>
      </w:tr>
      <w:tr w:rsidR="00C81B24" w:rsidRPr="00C81B24" w:rsidTr="00526AD9">
        <w:trPr>
          <w:jc w:val="center"/>
        </w:trPr>
        <w:tc>
          <w:tcPr>
            <w:tcW w:w="0" w:type="auto"/>
          </w:tcPr>
          <w:p w:rsidR="00C81B24" w:rsidRPr="00C81B24" w:rsidRDefault="00C81B24" w:rsidP="00CE5850">
            <w:pPr>
              <w:rPr>
                <w:sz w:val="20"/>
              </w:rPr>
            </w:pPr>
            <w:r w:rsidRPr="00C81B24">
              <w:rPr>
                <w:sz w:val="20"/>
              </w:rPr>
              <w:t>TB</w:t>
            </w:r>
          </w:p>
        </w:tc>
        <w:tc>
          <w:tcPr>
            <w:tcW w:w="0" w:type="auto"/>
          </w:tcPr>
          <w:p w:rsidR="00C81B24" w:rsidRPr="00C81B24" w:rsidRDefault="00C81B24" w:rsidP="00CE5850">
            <w:pPr>
              <w:rPr>
                <w:sz w:val="20"/>
              </w:rPr>
            </w:pPr>
            <w:r w:rsidRPr="00C81B24">
              <w:rPr>
                <w:sz w:val="20"/>
              </w:rPr>
              <w:t xml:space="preserve"> Terabyte</w:t>
            </w:r>
          </w:p>
        </w:tc>
      </w:tr>
      <w:tr w:rsidR="00C81B24" w:rsidRPr="00C81B24" w:rsidTr="00526AD9">
        <w:trPr>
          <w:jc w:val="center"/>
        </w:trPr>
        <w:tc>
          <w:tcPr>
            <w:tcW w:w="0" w:type="auto"/>
          </w:tcPr>
          <w:p w:rsidR="00C81B24" w:rsidRPr="00C81B24" w:rsidRDefault="00C81B24" w:rsidP="00CE5850">
            <w:pPr>
              <w:rPr>
                <w:sz w:val="20"/>
              </w:rPr>
            </w:pPr>
            <w:r w:rsidRPr="00C81B24">
              <w:rPr>
                <w:sz w:val="20"/>
              </w:rPr>
              <w:t>TDD</w:t>
            </w:r>
          </w:p>
        </w:tc>
        <w:tc>
          <w:tcPr>
            <w:tcW w:w="0" w:type="auto"/>
          </w:tcPr>
          <w:p w:rsidR="00C81B24" w:rsidRPr="00C81B24" w:rsidRDefault="00C81B24" w:rsidP="00CE5850">
            <w:pPr>
              <w:rPr>
                <w:sz w:val="20"/>
              </w:rPr>
            </w:pPr>
            <w:r w:rsidRPr="00C81B24">
              <w:rPr>
                <w:sz w:val="20"/>
              </w:rPr>
              <w:t xml:space="preserve"> Time Division Duplex</w:t>
            </w:r>
          </w:p>
        </w:tc>
      </w:tr>
      <w:tr w:rsidR="00C81B24" w:rsidRPr="00C81B24" w:rsidTr="00526AD9">
        <w:trPr>
          <w:jc w:val="center"/>
        </w:trPr>
        <w:tc>
          <w:tcPr>
            <w:tcW w:w="0" w:type="auto"/>
          </w:tcPr>
          <w:p w:rsidR="00C81B24" w:rsidRPr="00C81B24" w:rsidRDefault="00C81B24" w:rsidP="00CE5850">
            <w:pPr>
              <w:rPr>
                <w:sz w:val="20"/>
              </w:rPr>
            </w:pPr>
            <w:r w:rsidRPr="00C81B24">
              <w:rPr>
                <w:sz w:val="20"/>
              </w:rPr>
              <w:t>TDM</w:t>
            </w:r>
          </w:p>
        </w:tc>
        <w:tc>
          <w:tcPr>
            <w:tcW w:w="0" w:type="auto"/>
          </w:tcPr>
          <w:p w:rsidR="00C81B24" w:rsidRPr="00C81B24" w:rsidRDefault="00C81B24" w:rsidP="00CE5850">
            <w:pPr>
              <w:rPr>
                <w:sz w:val="20"/>
              </w:rPr>
            </w:pPr>
            <w:r w:rsidRPr="00C81B24">
              <w:rPr>
                <w:sz w:val="20"/>
              </w:rPr>
              <w:t xml:space="preserve"> Time Division Multiplexing</w:t>
            </w:r>
          </w:p>
        </w:tc>
      </w:tr>
      <w:tr w:rsidR="00C81B24" w:rsidRPr="00C81B24" w:rsidTr="00526AD9">
        <w:trPr>
          <w:jc w:val="center"/>
        </w:trPr>
        <w:tc>
          <w:tcPr>
            <w:tcW w:w="0" w:type="auto"/>
          </w:tcPr>
          <w:p w:rsidR="00C81B24" w:rsidRPr="00C81B24" w:rsidRDefault="00C81B24" w:rsidP="00CE5850">
            <w:pPr>
              <w:rPr>
                <w:sz w:val="20"/>
              </w:rPr>
            </w:pPr>
            <w:r w:rsidRPr="00C81B24">
              <w:rPr>
                <w:sz w:val="20"/>
              </w:rPr>
              <w:t>TDMA</w:t>
            </w:r>
          </w:p>
        </w:tc>
        <w:tc>
          <w:tcPr>
            <w:tcW w:w="0" w:type="auto"/>
          </w:tcPr>
          <w:p w:rsidR="00C81B24" w:rsidRPr="00C81B24" w:rsidRDefault="00C81B24" w:rsidP="00CE5850">
            <w:pPr>
              <w:rPr>
                <w:sz w:val="20"/>
              </w:rPr>
            </w:pPr>
            <w:r w:rsidRPr="00C81B24">
              <w:rPr>
                <w:sz w:val="20"/>
              </w:rPr>
              <w:t xml:space="preserve"> Time Division Multiple Access</w:t>
            </w:r>
          </w:p>
        </w:tc>
      </w:tr>
      <w:tr w:rsidR="00C81B24" w:rsidRPr="00C81B24" w:rsidTr="00526AD9">
        <w:trPr>
          <w:jc w:val="center"/>
        </w:trPr>
        <w:tc>
          <w:tcPr>
            <w:tcW w:w="0" w:type="auto"/>
          </w:tcPr>
          <w:p w:rsidR="00C81B24" w:rsidRPr="00C81B24" w:rsidRDefault="00C81B24" w:rsidP="00CE5850">
            <w:pPr>
              <w:rPr>
                <w:sz w:val="20"/>
              </w:rPr>
            </w:pPr>
            <w:r w:rsidRPr="00C81B24">
              <w:rPr>
                <w:sz w:val="20"/>
              </w:rPr>
              <w:t>TNS</w:t>
            </w:r>
          </w:p>
        </w:tc>
        <w:tc>
          <w:tcPr>
            <w:tcW w:w="0" w:type="auto"/>
          </w:tcPr>
          <w:p w:rsidR="00C81B24" w:rsidRPr="00C81B24" w:rsidRDefault="00C81B24" w:rsidP="00CE5850">
            <w:pPr>
              <w:rPr>
                <w:sz w:val="20"/>
              </w:rPr>
            </w:pPr>
            <w:r w:rsidRPr="00C81B24">
              <w:rPr>
                <w:sz w:val="20"/>
              </w:rPr>
              <w:t xml:space="preserve"> A company now known as Kantar Media</w:t>
            </w:r>
          </w:p>
        </w:tc>
      </w:tr>
      <w:tr w:rsidR="00C81B24" w:rsidRPr="00C81B24" w:rsidTr="00526AD9">
        <w:trPr>
          <w:jc w:val="center"/>
        </w:trPr>
        <w:tc>
          <w:tcPr>
            <w:tcW w:w="0" w:type="auto"/>
          </w:tcPr>
          <w:p w:rsidR="00C81B24" w:rsidRPr="00C81B24" w:rsidRDefault="00C81B24" w:rsidP="00CE5850">
            <w:pPr>
              <w:rPr>
                <w:sz w:val="20"/>
              </w:rPr>
            </w:pPr>
            <w:r w:rsidRPr="00C81B24">
              <w:rPr>
                <w:sz w:val="20"/>
              </w:rPr>
              <w:t>TVWS</w:t>
            </w:r>
          </w:p>
        </w:tc>
        <w:tc>
          <w:tcPr>
            <w:tcW w:w="0" w:type="auto"/>
          </w:tcPr>
          <w:p w:rsidR="00C81B24" w:rsidRPr="00C81B24" w:rsidRDefault="00C81B24" w:rsidP="00CE5850">
            <w:pPr>
              <w:rPr>
                <w:sz w:val="20"/>
              </w:rPr>
            </w:pPr>
            <w:r w:rsidRPr="00C81B24">
              <w:rPr>
                <w:sz w:val="20"/>
              </w:rPr>
              <w:t xml:space="preserve"> TV White Spaces</w:t>
            </w:r>
          </w:p>
        </w:tc>
      </w:tr>
      <w:tr w:rsidR="00C81B24" w:rsidRPr="00C81B24" w:rsidTr="00526AD9">
        <w:trPr>
          <w:jc w:val="center"/>
        </w:trPr>
        <w:tc>
          <w:tcPr>
            <w:tcW w:w="0" w:type="auto"/>
          </w:tcPr>
          <w:p w:rsidR="00C81B24" w:rsidRPr="00C81B24" w:rsidRDefault="00C81B24" w:rsidP="00CE5850">
            <w:pPr>
              <w:rPr>
                <w:sz w:val="20"/>
              </w:rPr>
            </w:pPr>
            <w:r w:rsidRPr="00C81B24">
              <w:rPr>
                <w:sz w:val="20"/>
              </w:rPr>
              <w:t>UK</w:t>
            </w:r>
          </w:p>
        </w:tc>
        <w:tc>
          <w:tcPr>
            <w:tcW w:w="0" w:type="auto"/>
          </w:tcPr>
          <w:p w:rsidR="00C81B24" w:rsidRPr="00C81B24" w:rsidRDefault="00C81B24" w:rsidP="00CE5850">
            <w:pPr>
              <w:rPr>
                <w:sz w:val="20"/>
              </w:rPr>
            </w:pPr>
            <w:r w:rsidRPr="00C81B24">
              <w:rPr>
                <w:sz w:val="20"/>
              </w:rPr>
              <w:t xml:space="preserve"> United Kingdom</w:t>
            </w:r>
          </w:p>
        </w:tc>
      </w:tr>
      <w:tr w:rsidR="00C81B24" w:rsidRPr="00C81B24" w:rsidTr="00526AD9">
        <w:trPr>
          <w:jc w:val="center"/>
        </w:trPr>
        <w:tc>
          <w:tcPr>
            <w:tcW w:w="0" w:type="auto"/>
          </w:tcPr>
          <w:p w:rsidR="00C81B24" w:rsidRPr="00C81B24" w:rsidRDefault="00C81B24" w:rsidP="00CE5850">
            <w:pPr>
              <w:rPr>
                <w:sz w:val="20"/>
              </w:rPr>
            </w:pPr>
            <w:r w:rsidRPr="00C81B24">
              <w:rPr>
                <w:sz w:val="20"/>
              </w:rPr>
              <w:t>ULS</w:t>
            </w:r>
          </w:p>
        </w:tc>
        <w:tc>
          <w:tcPr>
            <w:tcW w:w="0" w:type="auto"/>
          </w:tcPr>
          <w:p w:rsidR="00C81B24" w:rsidRPr="00C81B24" w:rsidRDefault="00C81B24" w:rsidP="00CE5850">
            <w:pPr>
              <w:rPr>
                <w:sz w:val="20"/>
              </w:rPr>
            </w:pPr>
            <w:r w:rsidRPr="00C81B24">
              <w:rPr>
                <w:sz w:val="20"/>
              </w:rPr>
              <w:t xml:space="preserve"> Universal Licensing System</w:t>
            </w:r>
          </w:p>
        </w:tc>
      </w:tr>
      <w:tr w:rsidR="00C81B24" w:rsidRPr="00C81B24" w:rsidTr="00526AD9">
        <w:trPr>
          <w:jc w:val="center"/>
        </w:trPr>
        <w:tc>
          <w:tcPr>
            <w:tcW w:w="0" w:type="auto"/>
          </w:tcPr>
          <w:p w:rsidR="00C81B24" w:rsidRPr="00C81B24" w:rsidRDefault="00C81B24" w:rsidP="00CE5850">
            <w:pPr>
              <w:rPr>
                <w:sz w:val="20"/>
              </w:rPr>
            </w:pPr>
            <w:r w:rsidRPr="00C81B24">
              <w:rPr>
                <w:sz w:val="20"/>
              </w:rPr>
              <w:t>UMTS</w:t>
            </w:r>
          </w:p>
        </w:tc>
        <w:tc>
          <w:tcPr>
            <w:tcW w:w="0" w:type="auto"/>
          </w:tcPr>
          <w:p w:rsidR="00C81B24" w:rsidRPr="00C81B24" w:rsidRDefault="00C81B24" w:rsidP="00CE5850">
            <w:pPr>
              <w:rPr>
                <w:sz w:val="20"/>
              </w:rPr>
            </w:pPr>
            <w:r w:rsidRPr="00C81B24">
              <w:rPr>
                <w:sz w:val="20"/>
              </w:rPr>
              <w:t xml:space="preserve"> Universal Mobile Telecommunications System</w:t>
            </w:r>
          </w:p>
        </w:tc>
      </w:tr>
      <w:tr w:rsidR="00C81B24" w:rsidRPr="00C81B24" w:rsidTr="00526AD9">
        <w:trPr>
          <w:jc w:val="center"/>
        </w:trPr>
        <w:tc>
          <w:tcPr>
            <w:tcW w:w="0" w:type="auto"/>
          </w:tcPr>
          <w:p w:rsidR="00C81B24" w:rsidRPr="00C81B24" w:rsidRDefault="00C81B24" w:rsidP="00CE5850">
            <w:pPr>
              <w:rPr>
                <w:sz w:val="20"/>
              </w:rPr>
            </w:pPr>
            <w:r w:rsidRPr="00C81B24">
              <w:rPr>
                <w:sz w:val="20"/>
              </w:rPr>
              <w:t>US</w:t>
            </w:r>
          </w:p>
        </w:tc>
        <w:tc>
          <w:tcPr>
            <w:tcW w:w="0" w:type="auto"/>
          </w:tcPr>
          <w:p w:rsidR="00C81B24" w:rsidRPr="00C81B24" w:rsidRDefault="00C81B24" w:rsidP="00CE5850">
            <w:pPr>
              <w:rPr>
                <w:sz w:val="20"/>
              </w:rPr>
            </w:pPr>
            <w:r w:rsidRPr="00C81B24">
              <w:rPr>
                <w:sz w:val="20"/>
              </w:rPr>
              <w:t xml:space="preserve"> United States</w:t>
            </w:r>
          </w:p>
        </w:tc>
      </w:tr>
      <w:tr w:rsidR="00C81B24" w:rsidRPr="00C81B24" w:rsidTr="00526AD9">
        <w:trPr>
          <w:jc w:val="center"/>
        </w:trPr>
        <w:tc>
          <w:tcPr>
            <w:tcW w:w="0" w:type="auto"/>
          </w:tcPr>
          <w:p w:rsidR="00C81B24" w:rsidRPr="00C81B24" w:rsidRDefault="00C81B24" w:rsidP="00CE5850">
            <w:pPr>
              <w:rPr>
                <w:sz w:val="20"/>
              </w:rPr>
            </w:pPr>
            <w:r w:rsidRPr="00C81B24">
              <w:rPr>
                <w:sz w:val="20"/>
              </w:rPr>
              <w:t>USB</w:t>
            </w:r>
          </w:p>
        </w:tc>
        <w:tc>
          <w:tcPr>
            <w:tcW w:w="0" w:type="auto"/>
          </w:tcPr>
          <w:p w:rsidR="00C81B24" w:rsidRPr="00C81B24" w:rsidRDefault="00C81B24" w:rsidP="00CE5850">
            <w:pPr>
              <w:rPr>
                <w:sz w:val="20"/>
              </w:rPr>
            </w:pPr>
            <w:r w:rsidRPr="00C81B24">
              <w:rPr>
                <w:sz w:val="20"/>
              </w:rPr>
              <w:t xml:space="preserve"> Universal Serial Bus</w:t>
            </w:r>
          </w:p>
        </w:tc>
      </w:tr>
      <w:tr w:rsidR="00C81B24" w:rsidRPr="00C81B24" w:rsidTr="00526AD9">
        <w:trPr>
          <w:jc w:val="center"/>
        </w:trPr>
        <w:tc>
          <w:tcPr>
            <w:tcW w:w="0" w:type="auto"/>
          </w:tcPr>
          <w:p w:rsidR="00C81B24" w:rsidRPr="00C81B24" w:rsidRDefault="00C81B24" w:rsidP="00CE5850">
            <w:pPr>
              <w:rPr>
                <w:sz w:val="20"/>
              </w:rPr>
            </w:pPr>
            <w:r w:rsidRPr="00C81B24">
              <w:rPr>
                <w:sz w:val="20"/>
              </w:rPr>
              <w:t>USC</w:t>
            </w:r>
          </w:p>
        </w:tc>
        <w:tc>
          <w:tcPr>
            <w:tcW w:w="0" w:type="auto"/>
          </w:tcPr>
          <w:p w:rsidR="00C81B24" w:rsidRPr="00C81B24" w:rsidRDefault="00C81B24" w:rsidP="00CE5850">
            <w:pPr>
              <w:rPr>
                <w:sz w:val="20"/>
              </w:rPr>
            </w:pPr>
            <w:r w:rsidRPr="00C81B24">
              <w:rPr>
                <w:sz w:val="20"/>
              </w:rPr>
              <w:t xml:space="preserve"> United States Code</w:t>
            </w:r>
          </w:p>
        </w:tc>
      </w:tr>
      <w:tr w:rsidR="00C81B24" w:rsidRPr="00C81B24" w:rsidTr="00526AD9">
        <w:trPr>
          <w:jc w:val="center"/>
        </w:trPr>
        <w:tc>
          <w:tcPr>
            <w:tcW w:w="0" w:type="auto"/>
          </w:tcPr>
          <w:p w:rsidR="00C81B24" w:rsidRPr="00C81B24" w:rsidRDefault="00C81B24" w:rsidP="00CE5850">
            <w:pPr>
              <w:rPr>
                <w:sz w:val="20"/>
              </w:rPr>
            </w:pPr>
            <w:r w:rsidRPr="00C81B24">
              <w:rPr>
                <w:sz w:val="20"/>
              </w:rPr>
              <w:t>USF</w:t>
            </w:r>
          </w:p>
        </w:tc>
        <w:tc>
          <w:tcPr>
            <w:tcW w:w="0" w:type="auto"/>
          </w:tcPr>
          <w:p w:rsidR="00C81B24" w:rsidRPr="00C81B24" w:rsidRDefault="00C81B24" w:rsidP="00CE5850">
            <w:pPr>
              <w:rPr>
                <w:sz w:val="20"/>
              </w:rPr>
            </w:pPr>
            <w:r w:rsidRPr="00C81B24">
              <w:rPr>
                <w:sz w:val="20"/>
              </w:rPr>
              <w:t xml:space="preserve"> Universal Service Fund</w:t>
            </w:r>
          </w:p>
        </w:tc>
      </w:tr>
      <w:tr w:rsidR="00C81B24" w:rsidRPr="00C81B24" w:rsidTr="00526AD9">
        <w:trPr>
          <w:jc w:val="center"/>
        </w:trPr>
        <w:tc>
          <w:tcPr>
            <w:tcW w:w="0" w:type="auto"/>
          </w:tcPr>
          <w:p w:rsidR="00C81B24" w:rsidRPr="00C81B24" w:rsidRDefault="00C81B24" w:rsidP="00CE5850">
            <w:pPr>
              <w:rPr>
                <w:sz w:val="20"/>
              </w:rPr>
            </w:pPr>
            <w:r w:rsidRPr="00C81B24">
              <w:rPr>
                <w:sz w:val="20"/>
              </w:rPr>
              <w:t>VoIP</w:t>
            </w:r>
          </w:p>
        </w:tc>
        <w:tc>
          <w:tcPr>
            <w:tcW w:w="0" w:type="auto"/>
          </w:tcPr>
          <w:p w:rsidR="00C81B24" w:rsidRPr="00C81B24" w:rsidRDefault="00C81B24" w:rsidP="00CE5850">
            <w:pPr>
              <w:rPr>
                <w:sz w:val="20"/>
              </w:rPr>
            </w:pPr>
            <w:r w:rsidRPr="00C81B24">
              <w:rPr>
                <w:sz w:val="20"/>
              </w:rPr>
              <w:t xml:space="preserve"> Voice over Internet Protocol</w:t>
            </w:r>
          </w:p>
        </w:tc>
      </w:tr>
      <w:tr w:rsidR="00C81B24" w:rsidRPr="00C81B24" w:rsidTr="00526AD9">
        <w:trPr>
          <w:jc w:val="center"/>
        </w:trPr>
        <w:tc>
          <w:tcPr>
            <w:tcW w:w="0" w:type="auto"/>
          </w:tcPr>
          <w:p w:rsidR="00C81B24" w:rsidRPr="00C81B24" w:rsidRDefault="00C81B24" w:rsidP="00CE5850">
            <w:pPr>
              <w:rPr>
                <w:sz w:val="20"/>
              </w:rPr>
            </w:pPr>
            <w:r w:rsidRPr="00C81B24">
              <w:rPr>
                <w:sz w:val="20"/>
              </w:rPr>
              <w:t>VZ</w:t>
            </w:r>
          </w:p>
        </w:tc>
        <w:tc>
          <w:tcPr>
            <w:tcW w:w="0" w:type="auto"/>
          </w:tcPr>
          <w:p w:rsidR="00C81B24" w:rsidRPr="00C81B24" w:rsidRDefault="00C81B24" w:rsidP="00CE5850">
            <w:pPr>
              <w:rPr>
                <w:sz w:val="20"/>
              </w:rPr>
            </w:pPr>
            <w:r w:rsidRPr="00C81B24">
              <w:rPr>
                <w:sz w:val="20"/>
              </w:rPr>
              <w:t xml:space="preserve"> Verizon</w:t>
            </w:r>
          </w:p>
        </w:tc>
      </w:tr>
      <w:tr w:rsidR="00C81B24" w:rsidRPr="00C81B24" w:rsidTr="00526AD9">
        <w:trPr>
          <w:jc w:val="center"/>
        </w:trPr>
        <w:tc>
          <w:tcPr>
            <w:tcW w:w="0" w:type="auto"/>
          </w:tcPr>
          <w:p w:rsidR="00C81B24" w:rsidRPr="00C81B24" w:rsidRDefault="00C81B24" w:rsidP="00CE5850">
            <w:pPr>
              <w:rPr>
                <w:sz w:val="20"/>
              </w:rPr>
            </w:pPr>
            <w:r w:rsidRPr="00C81B24">
              <w:rPr>
                <w:sz w:val="20"/>
              </w:rPr>
              <w:t>WCDMA</w:t>
            </w:r>
          </w:p>
        </w:tc>
        <w:tc>
          <w:tcPr>
            <w:tcW w:w="0" w:type="auto"/>
          </w:tcPr>
          <w:p w:rsidR="00C81B24" w:rsidRPr="00C81B24" w:rsidRDefault="00C81B24" w:rsidP="00CE5850">
            <w:pPr>
              <w:rPr>
                <w:sz w:val="20"/>
              </w:rPr>
            </w:pPr>
            <w:r w:rsidRPr="00C81B24">
              <w:rPr>
                <w:sz w:val="20"/>
              </w:rPr>
              <w:t xml:space="preserve"> Wideband Code Division Multiple Access</w:t>
            </w:r>
          </w:p>
        </w:tc>
      </w:tr>
      <w:tr w:rsidR="00C81B24" w:rsidRPr="00C81B24" w:rsidTr="00526AD9">
        <w:trPr>
          <w:jc w:val="center"/>
        </w:trPr>
        <w:tc>
          <w:tcPr>
            <w:tcW w:w="0" w:type="auto"/>
          </w:tcPr>
          <w:p w:rsidR="00C81B24" w:rsidRPr="00C81B24" w:rsidRDefault="00C81B24" w:rsidP="00CE5850">
            <w:pPr>
              <w:rPr>
                <w:sz w:val="20"/>
              </w:rPr>
            </w:pPr>
            <w:r w:rsidRPr="00C81B24">
              <w:rPr>
                <w:sz w:val="20"/>
              </w:rPr>
              <w:t>WCS</w:t>
            </w:r>
          </w:p>
        </w:tc>
        <w:tc>
          <w:tcPr>
            <w:tcW w:w="0" w:type="auto"/>
          </w:tcPr>
          <w:p w:rsidR="00C81B24" w:rsidRPr="00C81B24" w:rsidRDefault="00C81B24" w:rsidP="00CE5850">
            <w:pPr>
              <w:rPr>
                <w:sz w:val="20"/>
              </w:rPr>
            </w:pPr>
            <w:r w:rsidRPr="00C81B24">
              <w:rPr>
                <w:sz w:val="20"/>
              </w:rPr>
              <w:t xml:space="preserve"> Wireless Communications Service</w:t>
            </w:r>
          </w:p>
        </w:tc>
      </w:tr>
      <w:tr w:rsidR="00C81B24" w:rsidRPr="00C81B24" w:rsidTr="00526AD9">
        <w:trPr>
          <w:jc w:val="center"/>
        </w:trPr>
        <w:tc>
          <w:tcPr>
            <w:tcW w:w="0" w:type="auto"/>
          </w:tcPr>
          <w:p w:rsidR="00C81B24" w:rsidRPr="00C81B24" w:rsidRDefault="00C81B24" w:rsidP="00CE5850">
            <w:pPr>
              <w:rPr>
                <w:sz w:val="20"/>
              </w:rPr>
            </w:pPr>
            <w:r w:rsidRPr="00C81B24">
              <w:rPr>
                <w:sz w:val="20"/>
              </w:rPr>
              <w:t>WiMAX</w:t>
            </w:r>
          </w:p>
        </w:tc>
        <w:tc>
          <w:tcPr>
            <w:tcW w:w="0" w:type="auto"/>
          </w:tcPr>
          <w:p w:rsidR="00C81B24" w:rsidRPr="00C81B24" w:rsidRDefault="00C81B24" w:rsidP="00CE5850">
            <w:pPr>
              <w:rPr>
                <w:sz w:val="20"/>
              </w:rPr>
            </w:pPr>
            <w:r w:rsidRPr="00C81B24">
              <w:rPr>
                <w:sz w:val="20"/>
              </w:rPr>
              <w:t xml:space="preserve"> Worldwide Interoperability for Microwave Access</w:t>
            </w:r>
          </w:p>
        </w:tc>
      </w:tr>
      <w:tr w:rsidR="00C81B24" w:rsidRPr="00C81B24" w:rsidTr="00526AD9">
        <w:trPr>
          <w:jc w:val="center"/>
        </w:trPr>
        <w:tc>
          <w:tcPr>
            <w:tcW w:w="0" w:type="auto"/>
          </w:tcPr>
          <w:p w:rsidR="00C81B24" w:rsidRPr="00C81B24" w:rsidRDefault="00C81B24" w:rsidP="00CE5850">
            <w:pPr>
              <w:rPr>
                <w:sz w:val="20"/>
              </w:rPr>
            </w:pPr>
            <w:r w:rsidRPr="00C81B24">
              <w:rPr>
                <w:sz w:val="20"/>
              </w:rPr>
              <w:t>WLAN</w:t>
            </w:r>
          </w:p>
        </w:tc>
        <w:tc>
          <w:tcPr>
            <w:tcW w:w="0" w:type="auto"/>
          </w:tcPr>
          <w:p w:rsidR="00C81B24" w:rsidRPr="00C81B24" w:rsidRDefault="00C81B24" w:rsidP="00CE5850">
            <w:pPr>
              <w:rPr>
                <w:sz w:val="20"/>
              </w:rPr>
            </w:pPr>
            <w:r w:rsidRPr="00C81B24">
              <w:rPr>
                <w:sz w:val="20"/>
              </w:rPr>
              <w:t xml:space="preserve"> Wireless Local Area Network</w:t>
            </w:r>
          </w:p>
        </w:tc>
      </w:tr>
      <w:tr w:rsidR="00C81B24" w:rsidRPr="00C81B24" w:rsidTr="00526AD9">
        <w:trPr>
          <w:jc w:val="center"/>
        </w:trPr>
        <w:tc>
          <w:tcPr>
            <w:tcW w:w="0" w:type="auto"/>
          </w:tcPr>
          <w:p w:rsidR="00C81B24" w:rsidRPr="00C81B24" w:rsidRDefault="00C81B24" w:rsidP="00CE5850">
            <w:pPr>
              <w:rPr>
                <w:sz w:val="20"/>
              </w:rPr>
            </w:pPr>
            <w:r w:rsidRPr="00C81B24">
              <w:rPr>
                <w:sz w:val="20"/>
              </w:rPr>
              <w:t>WTB</w:t>
            </w:r>
          </w:p>
        </w:tc>
        <w:tc>
          <w:tcPr>
            <w:tcW w:w="0" w:type="auto"/>
          </w:tcPr>
          <w:p w:rsidR="00C81B24" w:rsidRPr="00C81B24" w:rsidRDefault="00C81B24" w:rsidP="00CE5850">
            <w:pPr>
              <w:rPr>
                <w:sz w:val="20"/>
              </w:rPr>
            </w:pPr>
            <w:r w:rsidRPr="00C81B24">
              <w:rPr>
                <w:sz w:val="20"/>
              </w:rPr>
              <w:t xml:space="preserve"> Wireless Telecommunications Bureau</w:t>
            </w:r>
          </w:p>
        </w:tc>
      </w:tr>
      <w:tr w:rsidR="00C81B24" w:rsidRPr="00C81B24" w:rsidTr="00526AD9">
        <w:trPr>
          <w:jc w:val="center"/>
        </w:trPr>
        <w:tc>
          <w:tcPr>
            <w:tcW w:w="0" w:type="auto"/>
          </w:tcPr>
          <w:p w:rsidR="00C81B24" w:rsidRPr="00C81B24" w:rsidRDefault="00C81B24" w:rsidP="00CE5850">
            <w:pPr>
              <w:rPr>
                <w:sz w:val="20"/>
              </w:rPr>
            </w:pPr>
            <w:r w:rsidRPr="00C81B24">
              <w:rPr>
                <w:sz w:val="20"/>
              </w:rPr>
              <w:t>XIT</w:t>
            </w:r>
          </w:p>
        </w:tc>
        <w:tc>
          <w:tcPr>
            <w:tcW w:w="0" w:type="auto"/>
          </w:tcPr>
          <w:p w:rsidR="00C81B24" w:rsidRPr="00C81B24" w:rsidRDefault="00C81B24" w:rsidP="00CE5850">
            <w:pPr>
              <w:rPr>
                <w:sz w:val="20"/>
              </w:rPr>
            </w:pPr>
            <w:r w:rsidRPr="00C81B24">
              <w:rPr>
                <w:sz w:val="20"/>
              </w:rPr>
              <w:t xml:space="preserve"> XIT Communications</w:t>
            </w:r>
          </w:p>
        </w:tc>
      </w:tr>
    </w:tbl>
    <w:p w:rsidR="00C81B24" w:rsidRPr="00C81B24" w:rsidRDefault="00C81B24" w:rsidP="00CE5850">
      <w:pPr>
        <w:jc w:val="center"/>
        <w:rPr>
          <w:b/>
          <w:szCs w:val="22"/>
        </w:rPr>
      </w:pPr>
      <w:r w:rsidRPr="00C81B24">
        <w:rPr>
          <w:b/>
          <w:sz w:val="20"/>
        </w:rPr>
        <w:br w:type="page"/>
      </w:r>
      <w:r w:rsidRPr="00C81B24">
        <w:rPr>
          <w:b/>
          <w:szCs w:val="22"/>
        </w:rPr>
        <w:t xml:space="preserve">APPENDIX </w:t>
      </w:r>
      <w:bookmarkEnd w:id="7024"/>
      <w:r w:rsidRPr="00C81B24">
        <w:rPr>
          <w:b/>
          <w:szCs w:val="22"/>
        </w:rPr>
        <w:t>E</w:t>
      </w:r>
    </w:p>
    <w:p w:rsidR="00C81B24" w:rsidRPr="00C81B24" w:rsidRDefault="00C81B24" w:rsidP="00CE5850">
      <w:pPr>
        <w:jc w:val="center"/>
        <w:outlineLvl w:val="0"/>
        <w:rPr>
          <w:b/>
          <w:bCs/>
          <w:szCs w:val="22"/>
        </w:rPr>
      </w:pPr>
      <w:bookmarkStart w:id="7025" w:name="_Toc112139285"/>
      <w:bookmarkStart w:id="7026" w:name="_Toc329262583"/>
      <w:bookmarkStart w:id="7027" w:name="_Toc329852489"/>
      <w:bookmarkStart w:id="7028" w:name="_Toc331766412"/>
      <w:bookmarkStart w:id="7029" w:name="_Toc332119216"/>
      <w:bookmarkStart w:id="7030" w:name="_Toc334088871"/>
      <w:bookmarkStart w:id="7031" w:name="_Toc334089107"/>
      <w:bookmarkStart w:id="7032" w:name="_Toc334089266"/>
      <w:bookmarkStart w:id="7033" w:name="_Toc334089377"/>
      <w:bookmarkStart w:id="7034" w:name="_Toc334089541"/>
      <w:bookmarkStart w:id="7035" w:name="_Toc335839119"/>
      <w:bookmarkStart w:id="7036" w:name="_Toc336268680"/>
      <w:bookmarkStart w:id="7037" w:name="_Toc336268788"/>
      <w:bookmarkStart w:id="7038" w:name="_Toc336268895"/>
      <w:bookmarkStart w:id="7039" w:name="_Toc336269109"/>
      <w:bookmarkStart w:id="7040" w:name="_Toc336269216"/>
      <w:bookmarkStart w:id="7041" w:name="_Toc336269584"/>
      <w:bookmarkStart w:id="7042" w:name="_Toc336269730"/>
      <w:bookmarkStart w:id="7043" w:name="_Toc336270143"/>
      <w:r w:rsidRPr="00C81B24">
        <w:rPr>
          <w:b/>
          <w:bCs/>
          <w:szCs w:val="22"/>
        </w:rPr>
        <w:t>List of Commenters</w:t>
      </w:r>
      <w:bookmarkEnd w:id="7025"/>
      <w:bookmarkEnd w:id="7026"/>
      <w:bookmarkEnd w:id="7027"/>
      <w:bookmarkEnd w:id="7028"/>
      <w:bookmarkEnd w:id="7029"/>
      <w:bookmarkEnd w:id="7030"/>
      <w:bookmarkEnd w:id="7031"/>
      <w:bookmarkEnd w:id="7032"/>
      <w:bookmarkEnd w:id="7033"/>
      <w:bookmarkEnd w:id="7034"/>
      <w:bookmarkEnd w:id="7035"/>
      <w:bookmarkEnd w:id="7036"/>
      <w:bookmarkEnd w:id="7037"/>
      <w:bookmarkEnd w:id="7038"/>
      <w:bookmarkEnd w:id="7039"/>
      <w:bookmarkEnd w:id="7040"/>
      <w:bookmarkEnd w:id="7041"/>
      <w:bookmarkEnd w:id="7042"/>
      <w:bookmarkEnd w:id="7043"/>
    </w:p>
    <w:p w:rsidR="00C81B24" w:rsidRPr="00C81B24" w:rsidRDefault="00C81B24" w:rsidP="00CE5850">
      <w:pPr>
        <w:rPr>
          <w:szCs w:val="22"/>
        </w:rPr>
      </w:pPr>
    </w:p>
    <w:p w:rsidR="00C81B24" w:rsidRPr="00C81B24" w:rsidRDefault="00C81B24" w:rsidP="00CE5850">
      <w:pPr>
        <w:outlineLvl w:val="0"/>
        <w:rPr>
          <w:szCs w:val="22"/>
          <w:u w:val="single"/>
        </w:rPr>
      </w:pPr>
      <w:bookmarkStart w:id="7044" w:name="_Toc329262584"/>
      <w:bookmarkStart w:id="7045" w:name="_Toc329852490"/>
      <w:bookmarkStart w:id="7046" w:name="_Toc331766413"/>
      <w:bookmarkStart w:id="7047" w:name="_Toc332119217"/>
      <w:bookmarkStart w:id="7048" w:name="_Toc334088872"/>
      <w:bookmarkStart w:id="7049" w:name="_Toc334089108"/>
      <w:bookmarkStart w:id="7050" w:name="_Toc334089267"/>
      <w:bookmarkStart w:id="7051" w:name="_Toc334089378"/>
      <w:bookmarkStart w:id="7052" w:name="_Toc334089542"/>
      <w:bookmarkStart w:id="7053" w:name="_Toc335839120"/>
      <w:bookmarkStart w:id="7054" w:name="_Toc336268681"/>
      <w:bookmarkStart w:id="7055" w:name="_Toc336268789"/>
      <w:bookmarkStart w:id="7056" w:name="_Toc336268896"/>
      <w:bookmarkStart w:id="7057" w:name="_Toc336269110"/>
      <w:bookmarkStart w:id="7058" w:name="_Toc336269217"/>
      <w:bookmarkStart w:id="7059" w:name="_Toc336269585"/>
      <w:bookmarkStart w:id="7060" w:name="_Toc336269731"/>
      <w:bookmarkStart w:id="7061" w:name="_Toc336270144"/>
      <w:r w:rsidRPr="00C81B24">
        <w:rPr>
          <w:szCs w:val="22"/>
          <w:u w:val="single"/>
        </w:rPr>
        <w:t>Public Notice Comments</w:t>
      </w:r>
      <w:bookmarkEnd w:id="7044"/>
      <w:bookmarkEnd w:id="7045"/>
      <w:bookmarkEnd w:id="7046"/>
      <w:bookmarkEnd w:id="7047"/>
      <w:bookmarkEnd w:id="7048"/>
      <w:bookmarkEnd w:id="7049"/>
      <w:bookmarkEnd w:id="7050"/>
      <w:bookmarkEnd w:id="7051"/>
      <w:bookmarkEnd w:id="7052"/>
      <w:bookmarkEnd w:id="7053"/>
      <w:bookmarkEnd w:id="7054"/>
      <w:bookmarkEnd w:id="7055"/>
      <w:bookmarkEnd w:id="7056"/>
      <w:bookmarkEnd w:id="7057"/>
      <w:bookmarkEnd w:id="7058"/>
      <w:bookmarkEnd w:id="7059"/>
      <w:bookmarkEnd w:id="7060"/>
      <w:bookmarkEnd w:id="7061"/>
    </w:p>
    <w:p w:rsidR="00C81B24" w:rsidRPr="00C81B24" w:rsidRDefault="00C81B24" w:rsidP="00CE5850">
      <w:pPr>
        <w:rPr>
          <w:szCs w:val="22"/>
        </w:rPr>
      </w:pPr>
    </w:p>
    <w:p w:rsidR="00C81B24" w:rsidRPr="00C81B24" w:rsidRDefault="00C81B24" w:rsidP="00CE5850">
      <w:pPr>
        <w:rPr>
          <w:szCs w:val="22"/>
        </w:rPr>
      </w:pPr>
      <w:r w:rsidRPr="00C81B24">
        <w:rPr>
          <w:szCs w:val="22"/>
        </w:rPr>
        <w:t>AT&amp;T Inc. (AT&amp;T)</w:t>
      </w:r>
    </w:p>
    <w:p w:rsidR="00C81B24" w:rsidRPr="00C81B24" w:rsidRDefault="00C81B24" w:rsidP="00CE5850">
      <w:pPr>
        <w:rPr>
          <w:szCs w:val="22"/>
        </w:rPr>
      </w:pPr>
      <w:r w:rsidRPr="00C81B24">
        <w:rPr>
          <w:szCs w:val="22"/>
        </w:rPr>
        <w:t>Council Tree Investors, Inc.</w:t>
      </w:r>
    </w:p>
    <w:p w:rsidR="00C81B24" w:rsidRPr="00C81B24" w:rsidRDefault="00C81B24" w:rsidP="00CE5850">
      <w:pPr>
        <w:rPr>
          <w:szCs w:val="22"/>
        </w:rPr>
      </w:pPr>
      <w:r w:rsidRPr="00C81B24">
        <w:rPr>
          <w:szCs w:val="22"/>
        </w:rPr>
        <w:t>CTIA - The Wireless Association (CTIA)</w:t>
      </w:r>
    </w:p>
    <w:p w:rsidR="00C81B24" w:rsidRPr="00C81B24" w:rsidRDefault="00C81B24" w:rsidP="00CE5850">
      <w:pPr>
        <w:rPr>
          <w:szCs w:val="22"/>
        </w:rPr>
      </w:pPr>
      <w:r w:rsidRPr="00C81B24">
        <w:rPr>
          <w:szCs w:val="22"/>
        </w:rPr>
        <w:t>Free Press and Media Access</w:t>
      </w:r>
    </w:p>
    <w:p w:rsidR="00C81B24" w:rsidRPr="00C81B24" w:rsidRDefault="00C81B24" w:rsidP="00CE5850">
      <w:pPr>
        <w:rPr>
          <w:szCs w:val="22"/>
        </w:rPr>
      </w:pPr>
      <w:r w:rsidRPr="00C81B24">
        <w:rPr>
          <w:szCs w:val="22"/>
        </w:rPr>
        <w:t>Google Inc.</w:t>
      </w:r>
    </w:p>
    <w:p w:rsidR="00C81B24" w:rsidRPr="00C81B24" w:rsidRDefault="00C81B24" w:rsidP="00CE5850">
      <w:pPr>
        <w:rPr>
          <w:szCs w:val="22"/>
        </w:rPr>
      </w:pPr>
      <w:r w:rsidRPr="00C81B24">
        <w:rPr>
          <w:szCs w:val="22"/>
        </w:rPr>
        <w:t>International Center for Law &amp; Economics</w:t>
      </w:r>
    </w:p>
    <w:p w:rsidR="00C81B24" w:rsidRPr="00C81B24" w:rsidRDefault="00C81B24" w:rsidP="00CE5850">
      <w:pPr>
        <w:rPr>
          <w:szCs w:val="22"/>
        </w:rPr>
      </w:pPr>
      <w:r w:rsidRPr="00C81B24">
        <w:rPr>
          <w:szCs w:val="22"/>
        </w:rPr>
        <w:t>Kevin Michael</w:t>
      </w:r>
    </w:p>
    <w:p w:rsidR="00C81B24" w:rsidRPr="00C81B24" w:rsidRDefault="00C81B24" w:rsidP="00CE5850">
      <w:pPr>
        <w:rPr>
          <w:szCs w:val="22"/>
        </w:rPr>
      </w:pPr>
      <w:r w:rsidRPr="00C81B24">
        <w:rPr>
          <w:szCs w:val="22"/>
        </w:rPr>
        <w:t>LightSquared Subsidiary, LLC</w:t>
      </w:r>
    </w:p>
    <w:p w:rsidR="00C81B24" w:rsidRPr="00C81B24" w:rsidRDefault="00C81B24" w:rsidP="00CE5850">
      <w:pPr>
        <w:rPr>
          <w:szCs w:val="22"/>
        </w:rPr>
      </w:pPr>
      <w:r w:rsidRPr="00C81B24">
        <w:rPr>
          <w:szCs w:val="22"/>
        </w:rPr>
        <w:t>Maneesh Pangasa</w:t>
      </w:r>
    </w:p>
    <w:p w:rsidR="00C81B24" w:rsidRPr="00C81B24" w:rsidRDefault="00C81B24" w:rsidP="00CE5850">
      <w:pPr>
        <w:rPr>
          <w:szCs w:val="22"/>
        </w:rPr>
      </w:pPr>
      <w:r w:rsidRPr="00C81B24">
        <w:rPr>
          <w:szCs w:val="22"/>
        </w:rPr>
        <w:t>Mercatus Center at George Mason University</w:t>
      </w:r>
    </w:p>
    <w:p w:rsidR="00C81B24" w:rsidRPr="00C81B24" w:rsidRDefault="00C81B24" w:rsidP="00CE5850">
      <w:pPr>
        <w:rPr>
          <w:szCs w:val="22"/>
        </w:rPr>
      </w:pPr>
      <w:r w:rsidRPr="00C81B24">
        <w:rPr>
          <w:szCs w:val="22"/>
        </w:rPr>
        <w:t>MetroPCS Communications Cooperative Association (MetroPCS)</w:t>
      </w:r>
    </w:p>
    <w:p w:rsidR="00C81B24" w:rsidRPr="00C81B24" w:rsidRDefault="00C81B24" w:rsidP="00CE5850">
      <w:pPr>
        <w:rPr>
          <w:szCs w:val="22"/>
        </w:rPr>
      </w:pPr>
      <w:r w:rsidRPr="00C81B24">
        <w:rPr>
          <w:szCs w:val="22"/>
        </w:rPr>
        <w:t>Mobile Future</w:t>
      </w:r>
    </w:p>
    <w:p w:rsidR="00C81B24" w:rsidRPr="00C81B24" w:rsidRDefault="00C81B24" w:rsidP="00CE5850">
      <w:pPr>
        <w:rPr>
          <w:szCs w:val="22"/>
        </w:rPr>
      </w:pPr>
      <w:r w:rsidRPr="00C81B24">
        <w:rPr>
          <w:szCs w:val="22"/>
        </w:rPr>
        <w:t>MSS ATC Coalition</w:t>
      </w:r>
    </w:p>
    <w:p w:rsidR="00C81B24" w:rsidRPr="00C81B24" w:rsidRDefault="00C81B24" w:rsidP="00CE5850">
      <w:pPr>
        <w:rPr>
          <w:szCs w:val="22"/>
        </w:rPr>
      </w:pPr>
      <w:r w:rsidRPr="00C81B24">
        <w:rPr>
          <w:szCs w:val="22"/>
        </w:rPr>
        <w:t>National Cable &amp; Telecommunications Association</w:t>
      </w:r>
    </w:p>
    <w:p w:rsidR="00C81B24" w:rsidRPr="00C81B24" w:rsidRDefault="00C81B24" w:rsidP="00CE5850">
      <w:pPr>
        <w:rPr>
          <w:szCs w:val="22"/>
        </w:rPr>
      </w:pPr>
      <w:r w:rsidRPr="00C81B24">
        <w:rPr>
          <w:szCs w:val="22"/>
        </w:rPr>
        <w:t>National Telecommunications Cooperative Association (NTCA)</w:t>
      </w:r>
    </w:p>
    <w:p w:rsidR="00C81B24" w:rsidRPr="00C81B24" w:rsidRDefault="00C81B24" w:rsidP="00CE5850">
      <w:pPr>
        <w:rPr>
          <w:szCs w:val="22"/>
        </w:rPr>
      </w:pPr>
      <w:r w:rsidRPr="00C81B24">
        <w:rPr>
          <w:szCs w:val="22"/>
        </w:rPr>
        <w:t>NextG Networks, Inc.</w:t>
      </w:r>
    </w:p>
    <w:p w:rsidR="00C81B24" w:rsidRPr="00C81B24" w:rsidRDefault="00C81B24" w:rsidP="00CE5850">
      <w:pPr>
        <w:rPr>
          <w:szCs w:val="22"/>
        </w:rPr>
      </w:pPr>
      <w:r w:rsidRPr="00C81B24">
        <w:rPr>
          <w:szCs w:val="22"/>
        </w:rPr>
        <w:t>NTCH, Inc</w:t>
      </w:r>
    </w:p>
    <w:p w:rsidR="00C81B24" w:rsidRPr="00C81B24" w:rsidRDefault="00C81B24" w:rsidP="00CE5850">
      <w:pPr>
        <w:rPr>
          <w:szCs w:val="22"/>
        </w:rPr>
      </w:pPr>
      <w:r w:rsidRPr="00C81B24">
        <w:rPr>
          <w:szCs w:val="22"/>
        </w:rPr>
        <w:t>Open Mobile Video Coalition</w:t>
      </w:r>
    </w:p>
    <w:p w:rsidR="00C81B24" w:rsidRPr="00C81B24" w:rsidRDefault="00C81B24" w:rsidP="00CE5850">
      <w:pPr>
        <w:rPr>
          <w:szCs w:val="22"/>
        </w:rPr>
      </w:pPr>
      <w:r w:rsidRPr="00C81B24">
        <w:rPr>
          <w:szCs w:val="22"/>
        </w:rPr>
        <w:t>Patricia Cooper</w:t>
      </w:r>
    </w:p>
    <w:p w:rsidR="00C81B24" w:rsidRPr="00C81B24" w:rsidRDefault="00C81B24" w:rsidP="00CE5850">
      <w:pPr>
        <w:rPr>
          <w:szCs w:val="22"/>
        </w:rPr>
      </w:pPr>
      <w:r w:rsidRPr="00C81B24">
        <w:rPr>
          <w:szCs w:val="22"/>
        </w:rPr>
        <w:t>PCIA - The Wireless Infrastructure Association (PCIA)</w:t>
      </w:r>
    </w:p>
    <w:p w:rsidR="00C81B24" w:rsidRPr="00C81B24" w:rsidRDefault="00C81B24" w:rsidP="00CE5850">
      <w:pPr>
        <w:rPr>
          <w:szCs w:val="22"/>
        </w:rPr>
      </w:pPr>
      <w:r w:rsidRPr="00C81B24">
        <w:rPr>
          <w:szCs w:val="22"/>
        </w:rPr>
        <w:t>Pong Research Corporation</w:t>
      </w:r>
    </w:p>
    <w:p w:rsidR="00C81B24" w:rsidRPr="00C81B24" w:rsidRDefault="00C81B24" w:rsidP="00CE5850">
      <w:pPr>
        <w:rPr>
          <w:szCs w:val="22"/>
        </w:rPr>
      </w:pPr>
      <w:r w:rsidRPr="00C81B24">
        <w:rPr>
          <w:szCs w:val="22"/>
        </w:rPr>
        <w:t>Progressive Policy Institute</w:t>
      </w:r>
    </w:p>
    <w:p w:rsidR="00C81B24" w:rsidRPr="00C81B24" w:rsidRDefault="00C81B24" w:rsidP="00CE5850">
      <w:pPr>
        <w:rPr>
          <w:szCs w:val="22"/>
          <w:lang w:val="it-IT"/>
        </w:rPr>
      </w:pPr>
      <w:r w:rsidRPr="00C81B24">
        <w:rPr>
          <w:szCs w:val="22"/>
          <w:lang w:val="it-IT"/>
        </w:rPr>
        <w:t>Rural Cellular Association (RCA)</w:t>
      </w:r>
    </w:p>
    <w:p w:rsidR="00C81B24" w:rsidRPr="00C81B24" w:rsidRDefault="00C81B24" w:rsidP="00CE5850">
      <w:pPr>
        <w:rPr>
          <w:szCs w:val="22"/>
          <w:lang w:val="it-IT"/>
        </w:rPr>
      </w:pPr>
      <w:r w:rsidRPr="00C81B24">
        <w:rPr>
          <w:szCs w:val="22"/>
          <w:lang w:val="it-IT"/>
        </w:rPr>
        <w:t>Satellite Industry Association (SIA)</w:t>
      </w:r>
    </w:p>
    <w:p w:rsidR="00C81B24" w:rsidRPr="00C81B24" w:rsidRDefault="00C81B24" w:rsidP="00CE5850">
      <w:pPr>
        <w:rPr>
          <w:szCs w:val="22"/>
          <w:lang w:val="it-IT"/>
        </w:rPr>
      </w:pPr>
      <w:r w:rsidRPr="00C81B24">
        <w:rPr>
          <w:szCs w:val="22"/>
          <w:lang w:val="it-IT"/>
        </w:rPr>
        <w:t>Senza Fili Consulting</w:t>
      </w:r>
    </w:p>
    <w:p w:rsidR="00C81B24" w:rsidRPr="00C81B24" w:rsidRDefault="00C81B24" w:rsidP="00CE5850">
      <w:pPr>
        <w:rPr>
          <w:szCs w:val="22"/>
        </w:rPr>
      </w:pPr>
      <w:r w:rsidRPr="00C81B24">
        <w:rPr>
          <w:szCs w:val="22"/>
        </w:rPr>
        <w:t>Sprint Nextel Corporation (Sprint Nextel)</w:t>
      </w:r>
    </w:p>
    <w:p w:rsidR="00C81B24" w:rsidRPr="00C81B24" w:rsidRDefault="00C81B24" w:rsidP="00CE5850">
      <w:pPr>
        <w:rPr>
          <w:szCs w:val="22"/>
        </w:rPr>
      </w:pPr>
      <w:r w:rsidRPr="00C81B24">
        <w:rPr>
          <w:szCs w:val="22"/>
        </w:rPr>
        <w:t>TechAmerica</w:t>
      </w:r>
    </w:p>
    <w:p w:rsidR="00C81B24" w:rsidRPr="00C81B24" w:rsidRDefault="00C81B24" w:rsidP="00CE5850">
      <w:pPr>
        <w:rPr>
          <w:szCs w:val="22"/>
        </w:rPr>
      </w:pPr>
      <w:r w:rsidRPr="00C81B24">
        <w:rPr>
          <w:szCs w:val="22"/>
        </w:rPr>
        <w:t>Telecommunications Industry Association</w:t>
      </w:r>
    </w:p>
    <w:p w:rsidR="00C81B24" w:rsidRPr="00C81B24" w:rsidRDefault="00C81B24" w:rsidP="00CE5850">
      <w:pPr>
        <w:rPr>
          <w:szCs w:val="22"/>
        </w:rPr>
      </w:pPr>
      <w:r w:rsidRPr="00C81B24">
        <w:rPr>
          <w:szCs w:val="22"/>
        </w:rPr>
        <w:t>Twilio Inc.</w:t>
      </w:r>
    </w:p>
    <w:p w:rsidR="00C81B24" w:rsidRPr="00C81B24" w:rsidRDefault="00C81B24" w:rsidP="00CE5850">
      <w:pPr>
        <w:rPr>
          <w:szCs w:val="22"/>
        </w:rPr>
      </w:pPr>
      <w:r w:rsidRPr="00C81B24">
        <w:rPr>
          <w:szCs w:val="22"/>
        </w:rPr>
        <w:t>Verizon Wireless</w:t>
      </w:r>
    </w:p>
    <w:p w:rsidR="00C81B24" w:rsidRPr="00C81B24" w:rsidRDefault="00C81B24" w:rsidP="00CE5850">
      <w:pPr>
        <w:rPr>
          <w:szCs w:val="22"/>
        </w:rPr>
      </w:pPr>
      <w:r w:rsidRPr="00C81B24">
        <w:rPr>
          <w:szCs w:val="22"/>
        </w:rPr>
        <w:t>Wayne Longman</w:t>
      </w:r>
    </w:p>
    <w:p w:rsidR="00C81B24" w:rsidRPr="00C81B24" w:rsidRDefault="00C81B24" w:rsidP="00CE5850">
      <w:pPr>
        <w:rPr>
          <w:szCs w:val="22"/>
        </w:rPr>
      </w:pPr>
    </w:p>
    <w:p w:rsidR="00C81B24" w:rsidRPr="00C81B24" w:rsidRDefault="00C81B24" w:rsidP="00CE5850">
      <w:pPr>
        <w:outlineLvl w:val="0"/>
        <w:rPr>
          <w:szCs w:val="22"/>
          <w:u w:val="single"/>
        </w:rPr>
      </w:pPr>
      <w:bookmarkStart w:id="7062" w:name="_Toc329262585"/>
      <w:bookmarkStart w:id="7063" w:name="_Toc329852491"/>
      <w:bookmarkStart w:id="7064" w:name="_Toc331766414"/>
      <w:bookmarkStart w:id="7065" w:name="_Toc332119218"/>
      <w:bookmarkStart w:id="7066" w:name="_Toc334088873"/>
      <w:bookmarkStart w:id="7067" w:name="_Toc334089109"/>
      <w:bookmarkStart w:id="7068" w:name="_Toc334089268"/>
      <w:bookmarkStart w:id="7069" w:name="_Toc334089379"/>
      <w:bookmarkStart w:id="7070" w:name="_Toc334089543"/>
      <w:bookmarkStart w:id="7071" w:name="_Toc335839121"/>
      <w:bookmarkStart w:id="7072" w:name="_Toc336268682"/>
      <w:bookmarkStart w:id="7073" w:name="_Toc336268790"/>
      <w:bookmarkStart w:id="7074" w:name="_Toc336268897"/>
      <w:bookmarkStart w:id="7075" w:name="_Toc336269111"/>
      <w:bookmarkStart w:id="7076" w:name="_Toc336269218"/>
      <w:bookmarkStart w:id="7077" w:name="_Toc336269586"/>
      <w:bookmarkStart w:id="7078" w:name="_Toc336269732"/>
      <w:bookmarkStart w:id="7079" w:name="_Toc336270145"/>
      <w:r w:rsidRPr="00C81B24">
        <w:rPr>
          <w:szCs w:val="22"/>
          <w:u w:val="single"/>
        </w:rPr>
        <w:t>Public Notice Reply Comments</w:t>
      </w:r>
      <w:bookmarkEnd w:id="7062"/>
      <w:bookmarkEnd w:id="7063"/>
      <w:bookmarkEnd w:id="7064"/>
      <w:bookmarkEnd w:id="7065"/>
      <w:bookmarkEnd w:id="7066"/>
      <w:bookmarkEnd w:id="7067"/>
      <w:bookmarkEnd w:id="7068"/>
      <w:bookmarkEnd w:id="7069"/>
      <w:bookmarkEnd w:id="7070"/>
      <w:bookmarkEnd w:id="7071"/>
      <w:bookmarkEnd w:id="7072"/>
      <w:bookmarkEnd w:id="7073"/>
      <w:bookmarkEnd w:id="7074"/>
      <w:bookmarkEnd w:id="7075"/>
      <w:bookmarkEnd w:id="7076"/>
      <w:bookmarkEnd w:id="7077"/>
      <w:bookmarkEnd w:id="7078"/>
      <w:bookmarkEnd w:id="7079"/>
    </w:p>
    <w:p w:rsidR="00C81B24" w:rsidRPr="00C81B24" w:rsidRDefault="00C81B24" w:rsidP="00CE5850">
      <w:pPr>
        <w:rPr>
          <w:szCs w:val="22"/>
        </w:rPr>
      </w:pPr>
    </w:p>
    <w:p w:rsidR="00C81B24" w:rsidRPr="00C81B24" w:rsidRDefault="00C81B24" w:rsidP="00CE5850">
      <w:pPr>
        <w:rPr>
          <w:szCs w:val="22"/>
        </w:rPr>
      </w:pPr>
      <w:r w:rsidRPr="00C81B24">
        <w:rPr>
          <w:szCs w:val="22"/>
        </w:rPr>
        <w:t>AT&amp;T Inc. (AT&amp;T)</w:t>
      </w:r>
    </w:p>
    <w:p w:rsidR="00C81B24" w:rsidRPr="00C81B24" w:rsidRDefault="00C81B24" w:rsidP="00CE5850">
      <w:pPr>
        <w:rPr>
          <w:szCs w:val="22"/>
        </w:rPr>
      </w:pPr>
      <w:r w:rsidRPr="00C81B24">
        <w:rPr>
          <w:szCs w:val="22"/>
        </w:rPr>
        <w:t>Clearwire Corporation</w:t>
      </w:r>
    </w:p>
    <w:p w:rsidR="00C81B24" w:rsidRPr="00C81B24" w:rsidRDefault="00C81B24" w:rsidP="00CE5850">
      <w:pPr>
        <w:rPr>
          <w:szCs w:val="22"/>
        </w:rPr>
      </w:pPr>
      <w:r w:rsidRPr="00C81B24">
        <w:rPr>
          <w:szCs w:val="22"/>
        </w:rPr>
        <w:t>Cricket Communications, Inc. (Cricket)</w:t>
      </w:r>
    </w:p>
    <w:p w:rsidR="00C81B24" w:rsidRPr="00C81B24" w:rsidRDefault="00C81B24" w:rsidP="00CE5850">
      <w:pPr>
        <w:rPr>
          <w:szCs w:val="22"/>
        </w:rPr>
      </w:pPr>
      <w:r w:rsidRPr="00C81B24">
        <w:rPr>
          <w:szCs w:val="22"/>
        </w:rPr>
        <w:t>CTIA - The Wireless Association (CTIA)</w:t>
      </w:r>
    </w:p>
    <w:p w:rsidR="00C81B24" w:rsidRPr="00C81B24" w:rsidRDefault="00C81B24" w:rsidP="00CE5850">
      <w:pPr>
        <w:rPr>
          <w:szCs w:val="22"/>
        </w:rPr>
      </w:pPr>
      <w:r w:rsidRPr="00C81B24">
        <w:rPr>
          <w:szCs w:val="22"/>
        </w:rPr>
        <w:t>The Coalition to Save our GPS</w:t>
      </w:r>
    </w:p>
    <w:p w:rsidR="00C81B24" w:rsidRPr="00C81B24" w:rsidRDefault="00C81B24" w:rsidP="00CE5850">
      <w:pPr>
        <w:rPr>
          <w:szCs w:val="22"/>
          <w:lang w:val="it-IT"/>
        </w:rPr>
      </w:pPr>
      <w:r w:rsidRPr="00C81B24">
        <w:rPr>
          <w:szCs w:val="22"/>
          <w:lang w:val="it-IT"/>
        </w:rPr>
        <w:t>T-Mobile USA, Inc. (T-Mobile)</w:t>
      </w:r>
    </w:p>
    <w:p w:rsidR="00C81B24" w:rsidRPr="00C81B24" w:rsidRDefault="00C81B24" w:rsidP="00CE5850">
      <w:pPr>
        <w:rPr>
          <w:szCs w:val="22"/>
        </w:rPr>
      </w:pPr>
      <w:r w:rsidRPr="00C81B24">
        <w:rPr>
          <w:szCs w:val="22"/>
        </w:rPr>
        <w:t xml:space="preserve">U.S. GPS Industry Council </w:t>
      </w:r>
    </w:p>
    <w:p w:rsidR="00C81B24" w:rsidRPr="00C81B24" w:rsidRDefault="00C81B24" w:rsidP="00CE5850">
      <w:pPr>
        <w:rPr>
          <w:szCs w:val="22"/>
        </w:rPr>
      </w:pPr>
      <w:r w:rsidRPr="00C81B24">
        <w:rPr>
          <w:szCs w:val="22"/>
        </w:rPr>
        <w:t>United States Cellular Corporation (US Cellular)</w:t>
      </w:r>
    </w:p>
    <w:p w:rsidR="00C81B24" w:rsidRPr="00C81B24" w:rsidRDefault="00C81B24" w:rsidP="00CE5850">
      <w:pPr>
        <w:rPr>
          <w:szCs w:val="22"/>
        </w:rPr>
      </w:pPr>
      <w:r w:rsidRPr="00C81B24">
        <w:rPr>
          <w:szCs w:val="22"/>
        </w:rPr>
        <w:t>Verizon Wireless</w:t>
      </w:r>
    </w:p>
    <w:p w:rsidR="00C81B24" w:rsidRPr="00C81B24" w:rsidRDefault="00C81B24" w:rsidP="00CE5850">
      <w:pPr>
        <w:rPr>
          <w:szCs w:val="22"/>
        </w:rPr>
        <w:sectPr w:rsidR="00C81B24" w:rsidRPr="00C81B24" w:rsidSect="006D00DF">
          <w:headerReference w:type="default" r:id="rId136"/>
          <w:footerReference w:type="even" r:id="rId137"/>
          <w:footerReference w:type="default" r:id="rId138"/>
          <w:headerReference w:type="first" r:id="rId139"/>
          <w:footerReference w:type="first" r:id="rId140"/>
          <w:footnotePr>
            <w:numRestart w:val="eachSect"/>
          </w:footnotePr>
          <w:endnotePr>
            <w:numFmt w:val="decimal"/>
          </w:endnotePr>
          <w:pgSz w:w="12240" w:h="15840" w:code="1"/>
          <w:pgMar w:top="1440" w:right="1440" w:bottom="990" w:left="1440" w:header="720" w:footer="720" w:gutter="0"/>
          <w:cols w:space="720"/>
          <w:noEndnote/>
        </w:sectPr>
      </w:pPr>
      <w:r w:rsidRPr="00C81B24">
        <w:rPr>
          <w:szCs w:val="22"/>
        </w:rPr>
        <w:t>Wireless Communications Association International, Inc. (WCAI)</w:t>
      </w:r>
      <w:bookmarkEnd w:id="6958"/>
      <w:bookmarkEnd w:id="6959"/>
      <w:bookmarkEnd w:id="6960"/>
      <w:bookmarkEnd w:id="6961"/>
      <w:bookmarkEnd w:id="6962"/>
      <w:bookmarkEnd w:id="6963"/>
      <w:bookmarkEnd w:id="6964"/>
      <w:bookmarkEnd w:id="6965"/>
      <w:bookmarkEnd w:id="6966"/>
    </w:p>
    <w:p w:rsidR="00C81B24" w:rsidRPr="00613AEC" w:rsidRDefault="00C81B24" w:rsidP="00613AEC">
      <w:pPr>
        <w:rPr>
          <w:b/>
          <w:szCs w:val="22"/>
        </w:rPr>
      </w:pPr>
    </w:p>
    <w:p w:rsidR="00613AEC" w:rsidRPr="008B77A2" w:rsidRDefault="00613AEC" w:rsidP="000C2E30">
      <w:pPr>
        <w:jc w:val="center"/>
        <w:rPr>
          <w:b/>
          <w:szCs w:val="22"/>
        </w:rPr>
      </w:pPr>
      <w:r w:rsidRPr="008B77A2">
        <w:rPr>
          <w:b/>
          <w:szCs w:val="22"/>
        </w:rPr>
        <w:t>STATEMENT OF</w:t>
      </w:r>
    </w:p>
    <w:p w:rsidR="00613AEC" w:rsidRPr="008B77A2" w:rsidRDefault="00613AEC" w:rsidP="00613AEC">
      <w:pPr>
        <w:jc w:val="center"/>
        <w:rPr>
          <w:b/>
          <w:szCs w:val="22"/>
        </w:rPr>
      </w:pPr>
      <w:r w:rsidRPr="008B77A2">
        <w:rPr>
          <w:b/>
          <w:szCs w:val="22"/>
        </w:rPr>
        <w:t>CHAIRMAN JULIUS GENACHOWSKI</w:t>
      </w:r>
    </w:p>
    <w:p w:rsidR="00613AEC" w:rsidRPr="008B77A2" w:rsidRDefault="00613AEC" w:rsidP="00613AEC">
      <w:pPr>
        <w:jc w:val="center"/>
        <w:rPr>
          <w:szCs w:val="22"/>
        </w:rPr>
      </w:pPr>
    </w:p>
    <w:p w:rsidR="00613AEC" w:rsidRPr="008B77A2" w:rsidRDefault="00613AEC" w:rsidP="00613AEC">
      <w:pPr>
        <w:ind w:left="720" w:hanging="720"/>
        <w:rPr>
          <w:rFonts w:eastAsia="Times New Roman"/>
          <w:snapToGrid w:val="0"/>
          <w:szCs w:val="22"/>
        </w:rPr>
      </w:pPr>
      <w:r w:rsidRPr="008B77A2">
        <w:rPr>
          <w:rFonts w:eastAsia="Times New Roman"/>
          <w:i/>
          <w:snapToGrid w:val="0"/>
          <w:szCs w:val="22"/>
        </w:rPr>
        <w:t>Re:</w:t>
      </w:r>
      <w:r w:rsidRPr="008B77A2">
        <w:rPr>
          <w:rFonts w:eastAsia="Times New Roman"/>
          <w:snapToGrid w:val="0"/>
          <w:szCs w:val="22"/>
        </w:rPr>
        <w:tab/>
      </w:r>
      <w:r w:rsidRPr="008B77A2">
        <w:rPr>
          <w:rFonts w:eastAsia="Times New Roman"/>
          <w:i/>
          <w:iCs/>
          <w:snapToGrid w:val="0"/>
          <w:szCs w:val="22"/>
        </w:rPr>
        <w:t>Implementation of Section 6002(b) of the Omnibus Budget Reconciliation Act of 1993, Annual Report and Analysis of Competitive Market Conditions with Respect to Mobile Wireless, Including Commercial Mobile Services</w:t>
      </w:r>
      <w:r w:rsidRPr="008B77A2">
        <w:rPr>
          <w:rFonts w:eastAsia="Times New Roman"/>
          <w:snapToGrid w:val="0"/>
          <w:szCs w:val="22"/>
        </w:rPr>
        <w:t xml:space="preserve">, </w:t>
      </w:r>
      <w:r w:rsidRPr="008B77A2">
        <w:rPr>
          <w:rFonts w:eastAsia="Times New Roman"/>
          <w:i/>
          <w:snapToGrid w:val="0"/>
          <w:szCs w:val="22"/>
        </w:rPr>
        <w:t>WT Docket No. 11-186</w:t>
      </w:r>
      <w:r w:rsidRPr="008B77A2">
        <w:rPr>
          <w:rFonts w:eastAsia="Times New Roman"/>
          <w:snapToGrid w:val="0"/>
          <w:szCs w:val="22"/>
        </w:rPr>
        <w:t>.</w:t>
      </w:r>
    </w:p>
    <w:p w:rsidR="00613AEC" w:rsidRPr="008B77A2" w:rsidRDefault="00613AEC" w:rsidP="00613AEC">
      <w:pPr>
        <w:jc w:val="center"/>
        <w:rPr>
          <w:szCs w:val="22"/>
        </w:rPr>
      </w:pPr>
    </w:p>
    <w:p w:rsidR="00613AEC" w:rsidRPr="008B77A2" w:rsidRDefault="00613AEC" w:rsidP="00613AEC">
      <w:pPr>
        <w:jc w:val="center"/>
        <w:rPr>
          <w:b/>
          <w:szCs w:val="22"/>
        </w:rPr>
      </w:pPr>
    </w:p>
    <w:p w:rsidR="00613AEC" w:rsidRPr="008B77A2" w:rsidRDefault="00613AEC" w:rsidP="00613AEC">
      <w:pPr>
        <w:ind w:firstLine="720"/>
        <w:rPr>
          <w:szCs w:val="22"/>
        </w:rPr>
      </w:pPr>
      <w:r w:rsidRPr="008B77A2">
        <w:rPr>
          <w:szCs w:val="22"/>
        </w:rPr>
        <w:t>Since the release of the 15th Mobile Wireless Competition Report, America’s mobile marketplace has strengthened, with increased private investment and innovation, and revitalized competitors, though competition challenges remain. This 16th Report’s analytical framework reflects the Commission’s commitment to fact-based, data-driven analyses.  We will continue that focus as we tackle the challenges of promoting competition, protecting consumers, and unleashing spectrum, all to drive U.S. leadership in mobile.</w:t>
      </w:r>
    </w:p>
    <w:p w:rsidR="00C81B24" w:rsidRPr="00C81B24" w:rsidRDefault="00C81B24" w:rsidP="00CE5850">
      <w:pPr>
        <w:rPr>
          <w:sz w:val="20"/>
        </w:rPr>
      </w:pPr>
    </w:p>
    <w:p w:rsidR="004A147C" w:rsidRDefault="004A147C" w:rsidP="00CE5850">
      <w:pPr>
        <w:pStyle w:val="Caption"/>
        <w:widowControl w:val="0"/>
        <w:spacing w:before="0" w:after="0"/>
        <w:jc w:val="center"/>
        <w:rPr>
          <w:sz w:val="22"/>
          <w:szCs w:val="22"/>
        </w:rPr>
      </w:pPr>
    </w:p>
    <w:p w:rsidR="00613AEC" w:rsidRDefault="00613AEC" w:rsidP="00613AEC"/>
    <w:p w:rsidR="00613AEC" w:rsidRDefault="00613AEC" w:rsidP="00613AEC"/>
    <w:p w:rsidR="00613AEC" w:rsidRDefault="00613AEC" w:rsidP="00613AEC"/>
    <w:p w:rsidR="00613AEC" w:rsidRDefault="00613AEC" w:rsidP="00613AEC"/>
    <w:p w:rsidR="00613AEC" w:rsidRDefault="00613AEC" w:rsidP="00613AEC"/>
    <w:p w:rsidR="00613AEC" w:rsidRDefault="00613AEC" w:rsidP="00613AEC"/>
    <w:p w:rsidR="00613AEC" w:rsidRDefault="00613AEC" w:rsidP="00613AEC"/>
    <w:p w:rsidR="00613AEC" w:rsidRDefault="00613AEC" w:rsidP="00613AEC"/>
    <w:p w:rsidR="00613AEC" w:rsidRDefault="00613AEC" w:rsidP="00613AEC"/>
    <w:p w:rsidR="00613AEC" w:rsidRDefault="00613AEC" w:rsidP="00613AEC"/>
    <w:p w:rsidR="00613AEC" w:rsidRDefault="00613AEC" w:rsidP="00613AEC"/>
    <w:p w:rsidR="00613AEC" w:rsidRDefault="00613AEC" w:rsidP="00613AEC"/>
    <w:p w:rsidR="00613AEC" w:rsidRDefault="00613AEC" w:rsidP="00613AEC"/>
    <w:p w:rsidR="00613AEC" w:rsidRDefault="00613AEC" w:rsidP="00613AEC"/>
    <w:p w:rsidR="00613AEC" w:rsidRDefault="00613AEC" w:rsidP="00613AEC"/>
    <w:p w:rsidR="00613AEC" w:rsidRDefault="00613AEC" w:rsidP="00613AEC"/>
    <w:p w:rsidR="00613AEC" w:rsidRDefault="00613AEC" w:rsidP="00613AEC"/>
    <w:p w:rsidR="00613AEC" w:rsidRDefault="00613AEC" w:rsidP="00613AEC"/>
    <w:p w:rsidR="00613AEC" w:rsidRDefault="00613AEC" w:rsidP="00613AEC"/>
    <w:p w:rsidR="00613AEC" w:rsidRDefault="00613AEC" w:rsidP="00613AEC"/>
    <w:p w:rsidR="00613AEC" w:rsidRDefault="00613AEC" w:rsidP="00613AEC"/>
    <w:p w:rsidR="00613AEC" w:rsidRDefault="00613AEC" w:rsidP="00613AEC"/>
    <w:p w:rsidR="00613AEC" w:rsidRDefault="00613AEC" w:rsidP="00613AEC"/>
    <w:p w:rsidR="00613AEC" w:rsidRDefault="00613AEC" w:rsidP="00613AEC"/>
    <w:p w:rsidR="00613AEC" w:rsidRDefault="00613AEC" w:rsidP="00613AEC"/>
    <w:p w:rsidR="00613AEC" w:rsidRDefault="00613AEC" w:rsidP="00613AEC"/>
    <w:p w:rsidR="00613AEC" w:rsidRDefault="00613AEC" w:rsidP="00613AEC"/>
    <w:p w:rsidR="00613AEC" w:rsidRDefault="00613AEC" w:rsidP="00613AEC"/>
    <w:p w:rsidR="00613AEC" w:rsidRDefault="00613AEC" w:rsidP="00613AEC"/>
    <w:p w:rsidR="00613AEC" w:rsidRDefault="00613AEC" w:rsidP="00613AEC"/>
    <w:p w:rsidR="000C2E30" w:rsidRDefault="000C2E30" w:rsidP="00613AEC"/>
    <w:p w:rsidR="00613AEC" w:rsidRDefault="00613AEC" w:rsidP="00613AEC"/>
    <w:p w:rsidR="00613AEC" w:rsidRDefault="00613AEC" w:rsidP="00613AEC"/>
    <w:p w:rsidR="00613AEC" w:rsidRPr="00303496" w:rsidRDefault="00613AEC" w:rsidP="00613AEC">
      <w:pPr>
        <w:jc w:val="center"/>
        <w:rPr>
          <w:rFonts w:eastAsia="Times New Roman"/>
          <w:b/>
          <w:snapToGrid w:val="0"/>
        </w:rPr>
      </w:pPr>
      <w:r w:rsidRPr="00303496">
        <w:rPr>
          <w:rFonts w:eastAsia="Times New Roman"/>
          <w:b/>
          <w:snapToGrid w:val="0"/>
        </w:rPr>
        <w:t>CONCURRING STATEMENT OF</w:t>
      </w:r>
    </w:p>
    <w:p w:rsidR="00613AEC" w:rsidRPr="00303496" w:rsidRDefault="00613AEC" w:rsidP="00613AEC">
      <w:pPr>
        <w:jc w:val="center"/>
        <w:rPr>
          <w:rFonts w:eastAsia="Times New Roman"/>
          <w:b/>
          <w:snapToGrid w:val="0"/>
        </w:rPr>
      </w:pPr>
      <w:r w:rsidRPr="00303496">
        <w:rPr>
          <w:rFonts w:eastAsia="Times New Roman"/>
          <w:b/>
          <w:snapToGrid w:val="0"/>
        </w:rPr>
        <w:t>COMMISSIONER ROBERT M. McDOWELL</w:t>
      </w:r>
    </w:p>
    <w:p w:rsidR="00613AEC" w:rsidRPr="00303496" w:rsidRDefault="00613AEC" w:rsidP="00613AEC">
      <w:pPr>
        <w:jc w:val="center"/>
        <w:rPr>
          <w:rFonts w:eastAsia="Times New Roman"/>
          <w:b/>
          <w:snapToGrid w:val="0"/>
        </w:rPr>
      </w:pPr>
    </w:p>
    <w:p w:rsidR="00613AEC" w:rsidRPr="00303496" w:rsidRDefault="00613AEC" w:rsidP="00613AEC">
      <w:pPr>
        <w:jc w:val="center"/>
        <w:rPr>
          <w:rFonts w:eastAsia="Times New Roman"/>
          <w:b/>
          <w:snapToGrid w:val="0"/>
        </w:rPr>
      </w:pPr>
    </w:p>
    <w:p w:rsidR="00613AEC" w:rsidRDefault="00613AEC" w:rsidP="00613AEC">
      <w:pPr>
        <w:ind w:left="720" w:hanging="720"/>
        <w:rPr>
          <w:rFonts w:eastAsia="Times New Roman"/>
          <w:snapToGrid w:val="0"/>
        </w:rPr>
      </w:pPr>
      <w:r w:rsidRPr="00303496">
        <w:rPr>
          <w:rFonts w:eastAsia="Times New Roman"/>
          <w:i/>
          <w:snapToGrid w:val="0"/>
        </w:rPr>
        <w:t>Re:</w:t>
      </w:r>
      <w:r w:rsidRPr="00303496">
        <w:rPr>
          <w:rFonts w:eastAsia="Times New Roman"/>
          <w:snapToGrid w:val="0"/>
        </w:rPr>
        <w:tab/>
      </w:r>
      <w:r w:rsidRPr="00303496">
        <w:rPr>
          <w:rFonts w:eastAsia="Times New Roman"/>
          <w:i/>
          <w:iCs/>
          <w:snapToGrid w:val="0"/>
        </w:rPr>
        <w:t>Implementation of Section 6002(b) of the Omnibus Budget Reconciliation Act of 1993, Annual Report and Analysis of Competitive Market Conditions with Respect to Mobile Wireless, Including Commercial Mobile Services</w:t>
      </w:r>
      <w:r w:rsidRPr="00303496">
        <w:rPr>
          <w:rFonts w:eastAsia="Times New Roman"/>
          <w:snapToGrid w:val="0"/>
        </w:rPr>
        <w:t xml:space="preserve">, </w:t>
      </w:r>
      <w:r w:rsidRPr="00303496">
        <w:rPr>
          <w:rFonts w:eastAsia="Times New Roman"/>
          <w:i/>
          <w:snapToGrid w:val="0"/>
        </w:rPr>
        <w:t>WT Docket No. 11-186</w:t>
      </w:r>
      <w:r w:rsidRPr="00303496">
        <w:rPr>
          <w:rFonts w:eastAsia="Times New Roman"/>
          <w:snapToGrid w:val="0"/>
        </w:rPr>
        <w:t>.</w:t>
      </w:r>
    </w:p>
    <w:p w:rsidR="00613AEC" w:rsidRPr="00303496" w:rsidRDefault="00613AEC" w:rsidP="00613AEC">
      <w:pPr>
        <w:ind w:left="720" w:hanging="720"/>
        <w:rPr>
          <w:rFonts w:eastAsia="Times New Roman"/>
          <w:snapToGrid w:val="0"/>
        </w:rPr>
      </w:pPr>
    </w:p>
    <w:p w:rsidR="00613AEC" w:rsidRPr="00303496" w:rsidRDefault="00613AEC" w:rsidP="00613AEC">
      <w:pPr>
        <w:ind w:firstLine="720"/>
      </w:pPr>
      <w:r w:rsidRPr="00303496">
        <w:t xml:space="preserve">This comprehensive report provides data and information about the current state of the wireless industry and demonstrates that the mobile sector continues to thrive in today’s challenging economic times.  As a result of competition, American consumers are benefitting from the innovative service offerings provided by wireless providers and experience greater choice at lower prices than ever before.  America has </w:t>
      </w:r>
      <w:r w:rsidRPr="00303496">
        <w:rPr>
          <w:i/>
        </w:rPr>
        <w:t>always</w:t>
      </w:r>
      <w:r w:rsidRPr="00303496">
        <w:t xml:space="preserve"> led the world in the wireless sector and this report illustrates that we still do.</w:t>
      </w:r>
    </w:p>
    <w:p w:rsidR="00613AEC" w:rsidRDefault="00613AEC" w:rsidP="00613AEC">
      <w:pPr>
        <w:ind w:firstLine="720"/>
      </w:pPr>
    </w:p>
    <w:p w:rsidR="00613AEC" w:rsidRPr="00303496" w:rsidRDefault="00613AEC" w:rsidP="00613AEC">
      <w:pPr>
        <w:ind w:firstLine="720"/>
      </w:pPr>
      <w:r w:rsidRPr="00303496">
        <w:t>Furthermore, this report shows the continued strides made by wireless providers to build out broadband networks.  In fact, capital investment grew from $24.9 billion in 2010 to $25.3 billion in 2011 as wireless providers continue to upgrade and expand networks to meet the needs and demands of Americans.  As of October 2012, 82 percent of the U.S. population has a choice of at least four wireless broadband providers and approximately 92 percent of Americans are served by three or more providers.  These percentages have increased from 68 percent and 82 percent, respectively, in August 2010.  In rural areas, the percentage of the population served by three or more wireless broadband providers has increased from 38 percent in August 2010 to 65.4 percent in October 2012.  In short, the raw data throughout this report clearly demonstrates a vibrant and competitive market where consumers enjoy a tremendous array of options.</w:t>
      </w:r>
    </w:p>
    <w:p w:rsidR="00613AEC" w:rsidRDefault="00613AEC" w:rsidP="00613AEC">
      <w:pPr>
        <w:ind w:firstLine="720"/>
      </w:pPr>
    </w:p>
    <w:p w:rsidR="00613AEC" w:rsidRPr="00303496" w:rsidRDefault="00613AEC" w:rsidP="00613AEC">
      <w:pPr>
        <w:ind w:firstLine="720"/>
      </w:pPr>
      <w:r w:rsidRPr="00303496">
        <w:t xml:space="preserve">This report also demonstrates that consumer choice extends beyond the selection of service providers.  The industry offers a wide selection of service plans, ranging from high-end and thriftier prepaid options to traditional postpaid plans with various levels of voice minutes, data amounts and financing for the latest innovative devices.  In fact, this report details that consumers can choose among more than 20 manufacturers offering more than 250 handsets.  Today, approximately 55 percent of American mobile consumers carry smartphones running on different operating systems to download their choice of more than one million available applications.  </w:t>
      </w:r>
    </w:p>
    <w:p w:rsidR="00613AEC" w:rsidRDefault="00613AEC" w:rsidP="00613AEC">
      <w:pPr>
        <w:ind w:firstLine="720"/>
      </w:pPr>
    </w:p>
    <w:p w:rsidR="00613AEC" w:rsidRPr="00303496" w:rsidRDefault="00613AEC" w:rsidP="00613AEC">
      <w:pPr>
        <w:ind w:firstLine="720"/>
      </w:pPr>
      <w:r w:rsidRPr="00303496">
        <w:t>The Commission’s report does not conclude, despite the wealth of evidence before us, “whether or not there is effective competition,” as the statute requires.</w:t>
      </w:r>
      <w:r w:rsidRPr="00303496">
        <w:rPr>
          <w:rStyle w:val="FootnoteReference"/>
        </w:rPr>
        <w:footnoteReference w:id="1357"/>
      </w:r>
      <w:r w:rsidRPr="00303496">
        <w:t xml:space="preserve">  Instead, the report “focuses on presenting the best data available on competition throughout this sector of the economy and highlighting several key trends in the mobile wireless industry.”  Congress, however, tasked us with making a finding as to whether this sector is </w:t>
      </w:r>
      <w:r w:rsidRPr="00303496">
        <w:rPr>
          <w:i/>
        </w:rPr>
        <w:t>competitive</w:t>
      </w:r>
      <w:r w:rsidRPr="00303496">
        <w:t xml:space="preserve">.  Clearly, it is.  For this reason, I vote to concur to the </w:t>
      </w:r>
      <w:r w:rsidRPr="00303496">
        <w:rPr>
          <w:i/>
        </w:rPr>
        <w:t>Sixteenth Mobile Wireless Competition Report</w:t>
      </w:r>
      <w:r w:rsidRPr="00303496">
        <w:t>, as I have for the last two reports.</w:t>
      </w:r>
    </w:p>
    <w:p w:rsidR="00613AEC" w:rsidRDefault="00613AEC" w:rsidP="00613AEC">
      <w:pPr>
        <w:ind w:firstLine="720"/>
      </w:pPr>
    </w:p>
    <w:p w:rsidR="00613AEC" w:rsidRPr="00303496" w:rsidRDefault="00613AEC" w:rsidP="00613AEC">
      <w:pPr>
        <w:ind w:firstLine="720"/>
      </w:pPr>
      <w:r w:rsidRPr="00303496">
        <w:t>Additionally, I continue to be concerned about the Commission’s continued determination to differentiate spectrum above and below 1 GHz.  Different spectrum bands have distinct propagation characteristics and present contrasting benefits and challenges.  Nonetheless, frequencies both above and below 1 GHz are being used to provide the same mobile voice and data services, and LTE is successfully being deployed from 700 MHz to above 2 GHz.  The “apples to oranges” distinctions of yore are quickly disappearing thanks to new technologies.  Our public policy decisions should reflect these marketplace realities.  The Commission should not continue to gaze at today’s dynamic trends through yesterday’s lenses.</w:t>
      </w:r>
    </w:p>
    <w:p w:rsidR="00613AEC" w:rsidRDefault="00613AEC" w:rsidP="00613AEC">
      <w:pPr>
        <w:ind w:firstLine="720"/>
      </w:pPr>
    </w:p>
    <w:p w:rsidR="00613AEC" w:rsidRPr="00303496" w:rsidRDefault="00613AEC" w:rsidP="00613AEC">
      <w:pPr>
        <w:ind w:firstLine="720"/>
      </w:pPr>
      <w:r w:rsidRPr="00303496">
        <w:t xml:space="preserve">Moreover, as we go forward, we must ensure that the economic growth displayed in this report continues.  Last year, U.S. wireless providers employed 238,071 workers.  The wireless sector overall supported 3.8 million jobs, directly and indirectly, and accounted for a $146.2 billion boost to the U.S. gross domestic product.  </w:t>
      </w:r>
    </w:p>
    <w:p w:rsidR="00613AEC" w:rsidRDefault="00613AEC" w:rsidP="00613AEC">
      <w:pPr>
        <w:ind w:firstLine="720"/>
      </w:pPr>
    </w:p>
    <w:p w:rsidR="00613AEC" w:rsidRPr="00303496" w:rsidRDefault="00613AEC" w:rsidP="00613AEC">
      <w:pPr>
        <w:ind w:firstLine="720"/>
      </w:pPr>
      <w:r w:rsidRPr="00303496">
        <w:t xml:space="preserve">This shining star of the American economy has succeeded precisely </w:t>
      </w:r>
      <w:r w:rsidRPr="00303496">
        <w:rPr>
          <w:i/>
        </w:rPr>
        <w:t>because</w:t>
      </w:r>
      <w:r w:rsidRPr="00303496">
        <w:t xml:space="preserve"> the government has largely kept its hands off of it.  Recent overtones emanating from the Commission, however, foreshadow that the days of regulating the wireless sector with a “light touch” may be coming to an end.  Increasing government control of this freedom-enhancing economic engine would only slow it down and undermine America’s global competiveness.  No regulation is cost-free.  Adding more rules could put American consumers at a disadvantage compared to their international counterparts.  The Commission should not allow this to happen.</w:t>
      </w:r>
    </w:p>
    <w:p w:rsidR="00613AEC" w:rsidRDefault="00613AEC" w:rsidP="00613AEC">
      <w:pPr>
        <w:ind w:firstLine="720"/>
      </w:pPr>
    </w:p>
    <w:p w:rsidR="00613AEC" w:rsidRPr="00303496" w:rsidRDefault="00613AEC" w:rsidP="00613AEC">
      <w:pPr>
        <w:ind w:firstLine="720"/>
      </w:pPr>
      <w:r w:rsidRPr="00303496">
        <w:t xml:space="preserve">I thank the dedicated staff of the Wireless Telecommunications Bureau for all of the hours spent compiling this data.  I am grateful for your efforts. </w:t>
      </w:r>
    </w:p>
    <w:p w:rsidR="00613AEC" w:rsidRDefault="00613AEC" w:rsidP="00613AEC">
      <w:pPr>
        <w:widowControl/>
        <w:rPr>
          <w:b/>
          <w:sz w:val="20"/>
        </w:rPr>
      </w:pPr>
      <w:r>
        <w:rPr>
          <w:b/>
          <w:sz w:val="20"/>
        </w:rPr>
        <w:br w:type="page"/>
      </w:r>
    </w:p>
    <w:p w:rsidR="00613AEC" w:rsidRDefault="00613AEC" w:rsidP="00613AEC">
      <w:pPr>
        <w:jc w:val="center"/>
        <w:rPr>
          <w:b/>
        </w:rPr>
      </w:pPr>
      <w:r>
        <w:rPr>
          <w:b/>
        </w:rPr>
        <w:t>STATEMENT OF</w:t>
      </w:r>
    </w:p>
    <w:p w:rsidR="00613AEC" w:rsidRDefault="00613AEC" w:rsidP="00613AEC">
      <w:pPr>
        <w:jc w:val="center"/>
        <w:rPr>
          <w:b/>
        </w:rPr>
      </w:pPr>
      <w:r>
        <w:rPr>
          <w:b/>
        </w:rPr>
        <w:t>COMMISSIONER MIGNON L. CLYBURN</w:t>
      </w:r>
    </w:p>
    <w:p w:rsidR="00613AEC" w:rsidRDefault="00613AEC" w:rsidP="00613AEC">
      <w:pPr>
        <w:jc w:val="center"/>
        <w:rPr>
          <w:b/>
        </w:rPr>
      </w:pPr>
    </w:p>
    <w:p w:rsidR="00613AEC" w:rsidRDefault="00613AEC" w:rsidP="00613AEC">
      <w:pPr>
        <w:ind w:left="720" w:hanging="720"/>
        <w:rPr>
          <w:szCs w:val="22"/>
        </w:rPr>
      </w:pPr>
      <w:r>
        <w:rPr>
          <w:szCs w:val="22"/>
        </w:rPr>
        <w:t xml:space="preserve">Re:       </w:t>
      </w:r>
      <w:r>
        <w:rPr>
          <w:i/>
          <w:iCs/>
          <w:szCs w:val="22"/>
        </w:rPr>
        <w:t>Implementation of Section 6002(b) of the Omnibus Budget Reconciliation Act of 1993, Annual Report and Analysis of Competitive Market Conditions with Respect to Mobile Wireless, including Commercial Mobile Services</w:t>
      </w:r>
      <w:r>
        <w:rPr>
          <w:szCs w:val="22"/>
        </w:rPr>
        <w:t xml:space="preserve">, </w:t>
      </w:r>
      <w:r>
        <w:rPr>
          <w:i/>
          <w:szCs w:val="22"/>
        </w:rPr>
        <w:t>WT Docket No. 11-186</w:t>
      </w:r>
      <w:r>
        <w:rPr>
          <w:szCs w:val="22"/>
        </w:rPr>
        <w:t>.</w:t>
      </w:r>
    </w:p>
    <w:p w:rsidR="00613AEC" w:rsidRDefault="00613AEC" w:rsidP="00613AEC">
      <w:pPr>
        <w:rPr>
          <w:szCs w:val="22"/>
        </w:rPr>
      </w:pPr>
    </w:p>
    <w:p w:rsidR="00613AEC" w:rsidRPr="003D6859" w:rsidRDefault="00613AEC" w:rsidP="00613AEC">
      <w:pPr>
        <w:ind w:firstLine="720"/>
        <w:rPr>
          <w:szCs w:val="22"/>
        </w:rPr>
      </w:pPr>
      <w:r w:rsidRPr="003D6859">
        <w:rPr>
          <w:szCs w:val="22"/>
        </w:rPr>
        <w:t xml:space="preserve">The percentage of American adults relying solely on mobile for voice service has reached 34 percent, and for those whose incomes are below the poverty line, that figure has risen to 52 percent.  Therefore, consistent with the growing importance of cellular services to consumers, I am pleased that we have been improving the amount and quality of the data presented on key factors related to the structure of the wireless industry.  Enhanced analysis will improve the Commission’s ability to ensure the market structure protects consumer interests.  </w:t>
      </w:r>
    </w:p>
    <w:p w:rsidR="00613AEC" w:rsidRPr="003D6859" w:rsidRDefault="00613AEC" w:rsidP="00613AEC">
      <w:pPr>
        <w:ind w:firstLine="720"/>
        <w:rPr>
          <w:szCs w:val="22"/>
        </w:rPr>
      </w:pPr>
    </w:p>
    <w:p w:rsidR="00613AEC" w:rsidRPr="003D6859" w:rsidRDefault="00613AEC" w:rsidP="00613AEC">
      <w:pPr>
        <w:ind w:firstLine="720"/>
        <w:rPr>
          <w:szCs w:val="22"/>
        </w:rPr>
      </w:pPr>
      <w:r w:rsidRPr="003D6859">
        <w:rPr>
          <w:szCs w:val="22"/>
        </w:rPr>
        <w:t xml:space="preserve">I continue to pay close attention to the extent in which deployment of mobile services varies depending on certain demographics such as the geographic location and median income.  This Report rightly identifies areas with positive gains and highlights where there is need for improvement.  I am pleased to see, that according to the data, there has been a substantial increase in mobile broadband services being deployed to rural areas.  Most notably, 2.5 million more people in rural areas, who did not have access to any mobile broadband service in August of 2010, now benefit from this service.  And the number of people living in rural areas with access to more than two mobile broadband service providers has increased by more than 16 million over the same time frame.  I wish to go on record commending service providers and other companies in the industry who facilitated that deployment.  Unfortunately, it appears that over the same two-year period, more people living in rural areas have two or fewer options for mobile voice service.  Our Fifteenth Report found about 7.1 million people living in rural census blocks with two or fewer mobile voice providers.  Now, that figure has increased to approximately 7.7 million.  Despite the billions invested on mobile networks each year, I must say that it is disappointing to see 400,000 Americans still lacking access to any mobile service option.  We need to continue our focus on policies that can promote more competitive options for mobile voice service.  </w:t>
      </w:r>
    </w:p>
    <w:p w:rsidR="00613AEC" w:rsidRPr="003D6859" w:rsidRDefault="00613AEC" w:rsidP="00613AEC">
      <w:pPr>
        <w:ind w:firstLine="720"/>
        <w:rPr>
          <w:szCs w:val="22"/>
        </w:rPr>
      </w:pPr>
    </w:p>
    <w:p w:rsidR="00613AEC" w:rsidRPr="003D6859" w:rsidRDefault="00613AEC" w:rsidP="00613AEC">
      <w:pPr>
        <w:ind w:firstLine="720"/>
        <w:rPr>
          <w:szCs w:val="22"/>
        </w:rPr>
      </w:pPr>
      <w:r w:rsidRPr="003D6859">
        <w:rPr>
          <w:szCs w:val="22"/>
        </w:rPr>
        <w:t>Nevertheless, I remain encouraged that since the release of the National Broadband Plan, the Commission has adopted rules and taken other steps that promote greater deployment of mobile voice and broadband services.  For example, backhaul is a critical input for the deployment of wireless broadband and other wireless services.  Since 2011, the Commission has adopted two Orders that can enhance the flexibility and speed with which companies can use microwave spectrum for less expensive backhaul solutions in rural areas.  The 2011 Connect America Fund Order approved a Mobility Fund to promote deployment of mobile broadband services in two Phases.  In September 2012, the Commission held Phase I of the Mobility Fund to provide one-time support to areas unserved by 3G networks.  Through a reverse auction, the Commission assigned $300 million in support to 33 winning bidders to provide voice and mobile broadband services covering up to 83,494.23 road miles in 795 biddable geographic areas located in 31 states and 1 territory.  To ensure universal availability of mobile broadband services, Phase II will provide up to $500 million per year in ongoing support to expand and sustain mobile voice and broadband services in communities in which service would be unavailable absent federal support.</w:t>
      </w:r>
    </w:p>
    <w:p w:rsidR="00613AEC" w:rsidRPr="003D6859" w:rsidRDefault="00613AEC" w:rsidP="00613AEC">
      <w:pPr>
        <w:ind w:firstLine="720"/>
        <w:rPr>
          <w:szCs w:val="22"/>
        </w:rPr>
      </w:pPr>
    </w:p>
    <w:p w:rsidR="00613AEC" w:rsidRPr="003D6859" w:rsidRDefault="00613AEC" w:rsidP="00613AEC">
      <w:pPr>
        <w:ind w:firstLine="720"/>
        <w:rPr>
          <w:szCs w:val="22"/>
        </w:rPr>
      </w:pPr>
      <w:r w:rsidRPr="003D6859">
        <w:rPr>
          <w:szCs w:val="22"/>
        </w:rPr>
        <w:t xml:space="preserve">The Commission has also taken significant actions to promote the deployment of TV White Spaces.  In September 2010, the Commission adopted final rules to allow unused spectrum in the broadcast bands to be used for powerful Internet connections with extended range, fewer dead spots, and improved individual speeds.  Many applications are possible in the TV White Spaces, such as broadband access to schools particularly in rural areas.  Last summer, New America Foundation, GiG U, the United Negro College Fund, Google, Microsoft, and the other founding members of AIR U, developed a creative partnership to assist rural universities and promote the development of White Space services.  In September 2012, the Commission launched its Unlicensed Wireless Microphone Registration System in the U.S. East Coast Region, and on March 1, 2013, the Commission authorized TV White Space data systems to provide service to unlicensed devices located anywhere in the United States and its territories and possessions.  </w:t>
      </w:r>
    </w:p>
    <w:p w:rsidR="00613AEC" w:rsidRPr="003D6859" w:rsidRDefault="00613AEC" w:rsidP="00613AEC">
      <w:pPr>
        <w:ind w:firstLine="720"/>
        <w:rPr>
          <w:szCs w:val="22"/>
        </w:rPr>
      </w:pPr>
    </w:p>
    <w:p w:rsidR="00613AEC" w:rsidRPr="003D6859" w:rsidRDefault="00613AEC" w:rsidP="00613AEC">
      <w:pPr>
        <w:ind w:firstLine="720"/>
        <w:rPr>
          <w:szCs w:val="22"/>
        </w:rPr>
      </w:pPr>
      <w:r w:rsidRPr="003D6859">
        <w:rPr>
          <w:szCs w:val="22"/>
        </w:rPr>
        <w:t xml:space="preserve">I encourage the industry and consumer advocates to let us know if these policies are sufficient to providing competitive options to mobile consumers and if there are other policy approaches we should consider. </w:t>
      </w:r>
      <w:r>
        <w:rPr>
          <w:szCs w:val="22"/>
        </w:rPr>
        <w:t xml:space="preserve"> </w:t>
      </w:r>
      <w:r w:rsidRPr="003D6859">
        <w:rPr>
          <w:szCs w:val="22"/>
        </w:rPr>
        <w:t xml:space="preserve">And once again, I thank the staff of the Wireless Telecommunications Bureau led by Ruth Milkman, for presenting us with a thorough, expert analysis of the interrelated segments of the mobile wireless service industry.  </w:t>
      </w:r>
    </w:p>
    <w:p w:rsidR="00613AEC" w:rsidRDefault="00613AEC" w:rsidP="00613AEC">
      <w:pPr>
        <w:widowControl/>
        <w:rPr>
          <w:b/>
          <w:sz w:val="20"/>
        </w:rPr>
      </w:pPr>
    </w:p>
    <w:p w:rsidR="00613AEC" w:rsidRDefault="00613AEC" w:rsidP="00613AEC">
      <w:pPr>
        <w:widowControl/>
        <w:rPr>
          <w:b/>
          <w:sz w:val="20"/>
        </w:rPr>
      </w:pPr>
    </w:p>
    <w:p w:rsidR="00613AEC" w:rsidRDefault="00613AEC" w:rsidP="00613AEC"/>
    <w:p w:rsidR="00613AEC" w:rsidRDefault="00613AEC" w:rsidP="00613AEC"/>
    <w:p w:rsidR="00613AEC" w:rsidRDefault="00613AEC" w:rsidP="00613AEC"/>
    <w:p w:rsidR="00613AEC" w:rsidRDefault="00613AEC" w:rsidP="00613AEC"/>
    <w:p w:rsidR="00613AEC" w:rsidRDefault="00613AEC" w:rsidP="00613AEC"/>
    <w:p w:rsidR="00613AEC" w:rsidRDefault="00613AEC" w:rsidP="00613AEC"/>
    <w:p w:rsidR="00613AEC" w:rsidRDefault="00613AEC" w:rsidP="00613AEC"/>
    <w:p w:rsidR="00613AEC" w:rsidRDefault="00613AEC" w:rsidP="00613AEC"/>
    <w:p w:rsidR="00613AEC" w:rsidRDefault="00613AEC" w:rsidP="00613AEC"/>
    <w:p w:rsidR="00613AEC" w:rsidRDefault="00613AEC" w:rsidP="00613AEC"/>
    <w:p w:rsidR="00613AEC" w:rsidRDefault="00613AEC" w:rsidP="00613AEC"/>
    <w:p w:rsidR="00613AEC" w:rsidRDefault="00613AEC" w:rsidP="00613AEC"/>
    <w:p w:rsidR="00613AEC" w:rsidRDefault="00613AEC" w:rsidP="00613AEC"/>
    <w:p w:rsidR="00613AEC" w:rsidRDefault="00613AEC" w:rsidP="00613AEC"/>
    <w:p w:rsidR="00613AEC" w:rsidRDefault="00613AEC" w:rsidP="00613AEC"/>
    <w:p w:rsidR="00613AEC" w:rsidRDefault="00613AEC" w:rsidP="00613AEC"/>
    <w:p w:rsidR="00613AEC" w:rsidRDefault="00613AEC" w:rsidP="00613AEC"/>
    <w:p w:rsidR="00613AEC" w:rsidRDefault="00613AEC" w:rsidP="00613AEC"/>
    <w:p w:rsidR="00613AEC" w:rsidRDefault="00613AEC" w:rsidP="00613AEC"/>
    <w:p w:rsidR="00613AEC" w:rsidRDefault="00613AEC" w:rsidP="00613AEC"/>
    <w:p w:rsidR="00613AEC" w:rsidRDefault="00613AEC" w:rsidP="00613AEC"/>
    <w:p w:rsidR="00613AEC" w:rsidRDefault="00613AEC" w:rsidP="00613AEC"/>
    <w:p w:rsidR="00613AEC" w:rsidRDefault="00613AEC" w:rsidP="00613AEC"/>
    <w:p w:rsidR="00613AEC" w:rsidRDefault="00613AEC" w:rsidP="00613AEC"/>
    <w:p w:rsidR="00613AEC" w:rsidRDefault="00613AEC" w:rsidP="00613AEC"/>
    <w:p w:rsidR="00613AEC" w:rsidRDefault="00613AEC" w:rsidP="00613AEC"/>
    <w:p w:rsidR="00613AEC" w:rsidRDefault="00613AEC" w:rsidP="00613AEC"/>
    <w:p w:rsidR="00613AEC" w:rsidRDefault="00613AEC" w:rsidP="00613AEC"/>
    <w:p w:rsidR="00613AEC" w:rsidRDefault="00613AEC" w:rsidP="00613AEC"/>
    <w:p w:rsidR="00613AEC" w:rsidRDefault="00613AEC" w:rsidP="00613AEC"/>
    <w:p w:rsidR="00613AEC" w:rsidRDefault="00613AEC" w:rsidP="00613AEC"/>
    <w:p w:rsidR="00613AEC" w:rsidRDefault="00613AEC" w:rsidP="00613AEC"/>
    <w:p w:rsidR="00613AEC" w:rsidRDefault="00613AEC" w:rsidP="00613AEC"/>
    <w:p w:rsidR="00613AEC" w:rsidRDefault="00613AEC" w:rsidP="00613AEC"/>
    <w:p w:rsidR="00613AEC" w:rsidRDefault="00613AEC" w:rsidP="00613AEC"/>
    <w:p w:rsidR="00613AEC" w:rsidRDefault="00613AEC" w:rsidP="00613AEC"/>
    <w:p w:rsidR="00613AEC" w:rsidRDefault="00613AEC" w:rsidP="00613AEC"/>
    <w:p w:rsidR="00613AEC" w:rsidRPr="00716496" w:rsidRDefault="00613AEC" w:rsidP="00613AEC">
      <w:pPr>
        <w:pStyle w:val="NoSpacing"/>
        <w:jc w:val="center"/>
        <w:rPr>
          <w:b/>
        </w:rPr>
      </w:pPr>
      <w:r w:rsidRPr="00716496">
        <w:rPr>
          <w:b/>
        </w:rPr>
        <w:t>STATEMENT OF</w:t>
      </w:r>
    </w:p>
    <w:p w:rsidR="00613AEC" w:rsidRPr="00716496" w:rsidRDefault="00613AEC" w:rsidP="00613AEC">
      <w:pPr>
        <w:pStyle w:val="NoSpacing"/>
        <w:jc w:val="center"/>
        <w:rPr>
          <w:b/>
        </w:rPr>
      </w:pPr>
      <w:r w:rsidRPr="00716496">
        <w:rPr>
          <w:b/>
        </w:rPr>
        <w:t>COMMISSIONER AJIT PAI</w:t>
      </w:r>
      <w:r w:rsidRPr="00716496">
        <w:rPr>
          <w:b/>
        </w:rPr>
        <w:br/>
        <w:t>APPROVING IN PART, CONCURRING IN PART</w:t>
      </w:r>
    </w:p>
    <w:p w:rsidR="00613AEC" w:rsidRPr="00EE5766" w:rsidRDefault="00613AEC" w:rsidP="00613AEC">
      <w:pPr>
        <w:pStyle w:val="NoSpacing"/>
        <w:jc w:val="center"/>
      </w:pPr>
    </w:p>
    <w:p w:rsidR="00613AEC" w:rsidRPr="00EE5766" w:rsidRDefault="00613AEC" w:rsidP="00613AEC">
      <w:pPr>
        <w:spacing w:after="240"/>
        <w:ind w:left="720" w:hanging="720"/>
      </w:pPr>
      <w:r>
        <w:rPr>
          <w:i/>
        </w:rPr>
        <w:t>Re:</w:t>
      </w:r>
      <w:r w:rsidRPr="00EE5766">
        <w:rPr>
          <w:i/>
        </w:rPr>
        <w:tab/>
        <w:t>Implementation of Section 6002(b) of the Omnibus Budget Reconciliation Act of 1993, Annual Report and Analysis of Competitive Market Conditions With Respect to Mobile Wireless, including Commercial Mobile Services</w:t>
      </w:r>
      <w:r w:rsidRPr="00EE5766">
        <w:t xml:space="preserve">, </w:t>
      </w:r>
      <w:r w:rsidRPr="008B77A2">
        <w:rPr>
          <w:i/>
        </w:rPr>
        <w:t>WT Docket No. 11-186.</w:t>
      </w:r>
    </w:p>
    <w:p w:rsidR="00613AEC" w:rsidRDefault="00613AEC" w:rsidP="00613AEC">
      <w:pPr>
        <w:ind w:firstLine="720"/>
      </w:pPr>
      <w:r w:rsidRPr="00EE5766">
        <w:t xml:space="preserve">There is </w:t>
      </w:r>
      <w:r>
        <w:t>a lot of</w:t>
      </w:r>
      <w:r w:rsidRPr="00EE5766">
        <w:t xml:space="preserve"> </w:t>
      </w:r>
      <w:r>
        <w:t>good news</w:t>
      </w:r>
      <w:r w:rsidRPr="00EE5766">
        <w:t xml:space="preserve"> in the 16</w:t>
      </w:r>
      <w:r w:rsidRPr="00EE5766">
        <w:rPr>
          <w:vertAlign w:val="superscript"/>
        </w:rPr>
        <w:t>th</w:t>
      </w:r>
      <w:r w:rsidRPr="00EE5766">
        <w:t xml:space="preserve"> Wireless Competition Report</w:t>
      </w:r>
      <w:r>
        <w:t>, which</w:t>
      </w:r>
      <w:r w:rsidRPr="00EE5766">
        <w:t xml:space="preserve"> we adopt today.  There are now more wireless connections in America than there are people.</w:t>
      </w:r>
      <w:r>
        <w:rPr>
          <w:rStyle w:val="FootnoteReference"/>
        </w:rPr>
        <w:footnoteReference w:id="1358"/>
      </w:r>
      <w:r w:rsidRPr="00EE5766">
        <w:t xml:space="preserve">  Practically everyone has access to mobile voice and broadband service (99.9 percent and 99.5 percent, respectively), and a substantial majority of Americans (82 percent) can choose among </w:t>
      </w:r>
      <w:r>
        <w:t xml:space="preserve">at least </w:t>
      </w:r>
      <w:r w:rsidRPr="00EE5766">
        <w:t>four facilities-based mobile broadband operators.</w:t>
      </w:r>
      <w:r w:rsidRPr="00EE5766">
        <w:rPr>
          <w:rStyle w:val="FootnoteReference"/>
        </w:rPr>
        <w:footnoteReference w:id="1359"/>
      </w:r>
      <w:r w:rsidRPr="00EE5766">
        <w:t xml:space="preserve">  Consumers have </w:t>
      </w:r>
      <w:r>
        <w:t>an incredible selection of handsets</w:t>
      </w:r>
      <w:r w:rsidRPr="00EE5766">
        <w:t>, with 23 manufacturers offering 266 models.</w:t>
      </w:r>
      <w:r w:rsidRPr="00EE5766">
        <w:rPr>
          <w:rStyle w:val="FootnoteReference"/>
        </w:rPr>
        <w:footnoteReference w:id="1360"/>
      </w:r>
      <w:r w:rsidRPr="00EE5766">
        <w:t xml:space="preserve">  And wireless providers are increasingly using the spectrum we auctioned </w:t>
      </w:r>
      <w:r>
        <w:t>in 2006 and 2008</w:t>
      </w:r>
      <w:r w:rsidRPr="00EE5766">
        <w:t>—the AWS-1 and 700 MHz spectrum—to offer 4G LTE services</w:t>
      </w:r>
      <w:r>
        <w:t xml:space="preserve">. </w:t>
      </w:r>
      <w:r w:rsidRPr="00EE5766">
        <w:t xml:space="preserve"> </w:t>
      </w:r>
      <w:r>
        <w:t>I</w:t>
      </w:r>
      <w:r w:rsidRPr="00EE5766">
        <w:t xml:space="preserve">n fact, annual </w:t>
      </w:r>
      <w:r>
        <w:t xml:space="preserve">incremental </w:t>
      </w:r>
      <w:r w:rsidRPr="00EE5766">
        <w:t>investment in wireless networks rose to $25.3 billion in 2</w:t>
      </w:r>
      <w:r>
        <w:t xml:space="preserve">011, </w:t>
      </w:r>
      <w:r w:rsidRPr="00EE5766">
        <w:t xml:space="preserve">almost 25 percent </w:t>
      </w:r>
      <w:r>
        <w:t>over what it was two years before</w:t>
      </w:r>
      <w:r w:rsidRPr="00EE5766">
        <w:t>.</w:t>
      </w:r>
      <w:r w:rsidRPr="00EE5766">
        <w:rPr>
          <w:rStyle w:val="FootnoteReference"/>
        </w:rPr>
        <w:footnoteReference w:id="1361"/>
      </w:r>
    </w:p>
    <w:p w:rsidR="00613AEC" w:rsidRPr="00EE5766" w:rsidRDefault="00613AEC" w:rsidP="00613AEC">
      <w:pPr>
        <w:ind w:firstLine="720"/>
      </w:pPr>
    </w:p>
    <w:p w:rsidR="00613AEC" w:rsidRDefault="00613AEC" w:rsidP="00613AEC">
      <w:pPr>
        <w:ind w:firstLine="720"/>
      </w:pPr>
      <w:r w:rsidRPr="00EE5766">
        <w:t xml:space="preserve">The result of all this activity?  More Americans </w:t>
      </w:r>
      <w:r>
        <w:t xml:space="preserve">are </w:t>
      </w:r>
      <w:r w:rsidRPr="00EE5766">
        <w:t>choosing smartphones when they purchase a new phone (67 percent</w:t>
      </w:r>
      <w:r>
        <w:t xml:space="preserve"> in 2012</w:t>
      </w:r>
      <w:r w:rsidRPr="00EE5766">
        <w:t>),</w:t>
      </w:r>
      <w:r>
        <w:t xml:space="preserve"> </w:t>
      </w:r>
      <w:r w:rsidRPr="00EE5766">
        <w:t>and more Americans are</w:t>
      </w:r>
      <w:r w:rsidRPr="00051CE9">
        <w:t xml:space="preserve"> </w:t>
      </w:r>
      <w:r w:rsidRPr="00EE5766">
        <w:t xml:space="preserve">using </w:t>
      </w:r>
      <w:r>
        <w:t xml:space="preserve">them </w:t>
      </w:r>
      <w:r w:rsidRPr="00EE5766">
        <w:t>to go online (104 million in 2011).</w:t>
      </w:r>
      <w:r w:rsidRPr="00EE5766">
        <w:rPr>
          <w:rStyle w:val="FootnoteReference"/>
        </w:rPr>
        <w:footnoteReference w:id="1362"/>
      </w:r>
      <w:r w:rsidRPr="00EE5766">
        <w:t xml:space="preserve">  Mobile data traffic </w:t>
      </w:r>
      <w:r>
        <w:t>more than doubled</w:t>
      </w:r>
      <w:r w:rsidRPr="00EE5766">
        <w:t xml:space="preserve"> from 2010 to 2011.</w:t>
      </w:r>
      <w:r w:rsidRPr="00EE5766">
        <w:rPr>
          <w:rStyle w:val="FootnoteReference"/>
        </w:rPr>
        <w:footnoteReference w:id="1363"/>
      </w:r>
      <w:r w:rsidRPr="00EE5766">
        <w:t xml:space="preserve">  And unit prices for mobile services are falling, whether measured on a per-minute basis, on a per-megabyte basis, or </w:t>
      </w:r>
      <w:r>
        <w:t xml:space="preserve">by </w:t>
      </w:r>
      <w:r w:rsidRPr="00EE5766">
        <w:t>the wireless inflation index.</w:t>
      </w:r>
      <w:r w:rsidRPr="00EE5766">
        <w:rPr>
          <w:rStyle w:val="FootnoteReference"/>
        </w:rPr>
        <w:footnoteReference w:id="1364"/>
      </w:r>
      <w:r w:rsidRPr="00EE5766">
        <w:t xml:space="preserve">  </w:t>
      </w:r>
      <w:r>
        <w:t>All of this is a testament to the success of the deregulatory approach to wireless taken by both Congress and the Commission over the past two decades.</w:t>
      </w:r>
    </w:p>
    <w:p w:rsidR="00613AEC" w:rsidRPr="00EE5766" w:rsidRDefault="00613AEC" w:rsidP="00613AEC">
      <w:pPr>
        <w:ind w:firstLine="720"/>
      </w:pPr>
    </w:p>
    <w:p w:rsidR="00613AEC" w:rsidRDefault="00613AEC" w:rsidP="00613AEC">
      <w:pPr>
        <w:ind w:firstLine="720"/>
      </w:pPr>
      <w:r>
        <w:t>And yet, I cannot approve today’s report in every respect because it does not carry out all the tasks that Congress has assigned us.  Specifically, Congress has directed us to include in our annual wireless competition report “an analysis of whether or not there is effective competition.”</w:t>
      </w:r>
      <w:r>
        <w:rPr>
          <w:rStyle w:val="FootnoteReference"/>
        </w:rPr>
        <w:footnoteReference w:id="1365"/>
      </w:r>
      <w:r>
        <w:t xml:space="preserve">  The report simply does not do this.  To be sure, some might not like answering this question.  </w:t>
      </w:r>
      <w:r w:rsidRPr="006254FE">
        <w:t xml:space="preserve">But the Communications Act does not </w:t>
      </w:r>
      <w:r>
        <w:t>give us the discretion to dodge.  The binary choice of yes or no doesn’t countenance a hedge based on “</w:t>
      </w:r>
      <w:r w:rsidRPr="006254FE">
        <w:t>the complexity of the various inter-related segments and services within the mobile wireless ecosystem</w:t>
      </w:r>
      <w:r>
        <w:t>.”</w:t>
      </w:r>
      <w:r>
        <w:rPr>
          <w:rStyle w:val="FootnoteReference"/>
        </w:rPr>
        <w:footnoteReference w:id="1366"/>
      </w:r>
    </w:p>
    <w:p w:rsidR="00613AEC" w:rsidRDefault="00613AEC" w:rsidP="00613AEC">
      <w:pPr>
        <w:ind w:firstLine="720"/>
      </w:pPr>
      <w:r>
        <w:t>For what it’s worth, the answer is pretty obvious to me:  Yes, there is effective competition.</w:t>
      </w:r>
      <w:r>
        <w:rPr>
          <w:rStyle w:val="FootnoteReference"/>
        </w:rPr>
        <w:footnoteReference w:id="1367"/>
      </w:r>
      <w:r>
        <w:t xml:space="preserve">  That’s what our report shows in page after page of analysis.  That’s what the Wireless Telecommunications Bureau basically found last week when it approved the combination of the fourth and fifth largest wireless providers in America without seeking a vote by the full Commission.</w:t>
      </w:r>
      <w:r>
        <w:rPr>
          <w:rStyle w:val="FootnoteReference"/>
        </w:rPr>
        <w:footnoteReference w:id="1368"/>
      </w:r>
      <w:r>
        <w:t xml:space="preserve">  And that’s what every consumer sees when he or she goes shopping for a new phone—choice and competition are ubiquitous.  Because the Report does not acknowledge this conclusion directly, I concur in part.</w:t>
      </w:r>
    </w:p>
    <w:p w:rsidR="00613AEC" w:rsidRPr="00820F3D" w:rsidRDefault="00613AEC" w:rsidP="00613AEC">
      <w:pPr>
        <w:rPr>
          <w:b/>
          <w:sz w:val="20"/>
        </w:rPr>
      </w:pPr>
    </w:p>
    <w:p w:rsidR="00613AEC" w:rsidRPr="00613AEC" w:rsidRDefault="00613AEC" w:rsidP="00613AEC"/>
    <w:sectPr w:rsidR="00613AEC" w:rsidRPr="00613AEC" w:rsidSect="006D00DF">
      <w:headerReference w:type="default" r:id="rId141"/>
      <w:footerReference w:type="even" r:id="rId142"/>
      <w:footerReference w:type="default" r:id="rId143"/>
      <w:headerReference w:type="first" r:id="rId144"/>
      <w:footerReference w:type="first" r:id="rId145"/>
      <w:footnotePr>
        <w:numRestart w:val="eachSect"/>
      </w:footnotePr>
      <w:endnotePr>
        <w:numFmt w:val="decimal"/>
      </w:endnotePr>
      <w:pgSz w:w="12240" w:h="15840" w:code="1"/>
      <w:pgMar w:top="1440" w:right="1440" w:bottom="990" w:left="1440" w:header="720" w:footer="720" w:gutter="0"/>
      <w:cols w:space="720"/>
      <w:noEndnote/>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EC7CF3" w:rsidRDefault="00EC7CF3">
      <w:r>
        <w:separator/>
      </w:r>
    </w:p>
  </w:endnote>
  <w:endnote w:type="continuationSeparator" w:id="0">
    <w:p w:rsidR="00EC7CF3" w:rsidRDefault="00EC7CF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Times New Roman Bold">
    <w:altName w:val="Times New Roman"/>
    <w:panose1 w:val="02020803070505020304"/>
    <w:charset w:val="00"/>
    <w:family w:val="roman"/>
    <w:notTrueType/>
    <w:pitch w:val="default"/>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Courier New">
    <w:panose1 w:val="02070309020205020404"/>
    <w:charset w:val="00"/>
    <w:family w:val="modern"/>
    <w:pitch w:val="fixed"/>
    <w:sig w:usb0="E0002AFF" w:usb1="C0007843" w:usb2="00000009" w:usb3="00000000" w:csb0="000001FF" w:csb1="00000000"/>
  </w:font>
  <w:font w:name="Arial">
    <w:panose1 w:val="020B0604020202020204"/>
    <w:charset w:val="00"/>
    <w:family w:val="swiss"/>
    <w:pitch w:val="variable"/>
    <w:sig w:usb0="E0002AFF" w:usb1="C0007843" w:usb2="00000009" w:usb3="00000000" w:csb0="000001FF" w:csb1="00000000"/>
  </w:font>
  <w:font w:name="Verdana">
    <w:panose1 w:val="020B0604030504040204"/>
    <w:charset w:val="00"/>
    <w:family w:val="swiss"/>
    <w:pitch w:val="variable"/>
    <w:sig w:usb0="A10006FF" w:usb1="4000205B" w:usb2="00000010" w:usb3="00000000" w:csb0="0000019F" w:csb1="00000000"/>
  </w:font>
  <w:font w:name="Book Antiqua">
    <w:panose1 w:val="02040602050305030304"/>
    <w:charset w:val="00"/>
    <w:family w:val="roman"/>
    <w:pitch w:val="variable"/>
    <w:sig w:usb0="00000287" w:usb1="00000000" w:usb2="00000000" w:usb3="00000000" w:csb0="0000009F" w:csb1="00000000"/>
  </w:font>
  <w:font w:name="Cambria">
    <w:panose1 w:val="02040503050406030204"/>
    <w:charset w:val="00"/>
    <w:family w:val="roman"/>
    <w:pitch w:val="variable"/>
    <w:sig w:usb0="E00002FF" w:usb1="400004FF" w:usb2="00000000" w:usb3="00000000" w:csb0="0000019F" w:csb1="00000000"/>
  </w:font>
  <w:font w:name="MS Gothic">
    <w:altName w:val="ＭＳ ゴシック"/>
    <w:panose1 w:val="020B0609070205080204"/>
    <w:charset w:val="80"/>
    <w:family w:val="modern"/>
    <w:pitch w:val="fixed"/>
    <w:sig w:usb0="E00002FF" w:usb1="6AC7FDFB" w:usb2="00000012" w:usb3="00000000" w:csb0="0002009F" w:csb1="00000000"/>
  </w:font>
  <w:font w:name="Calibri">
    <w:panose1 w:val="020F0502020204030204"/>
    <w:charset w:val="00"/>
    <w:family w:val="swiss"/>
    <w:pitch w:val="variable"/>
    <w:sig w:usb0="E10002FF" w:usb1="4000ACFF" w:usb2="00000009" w:usb3="00000000" w:csb0="0000019F" w:csb1="00000000"/>
  </w:font>
  <w:font w:name="TimesNewRoman">
    <w:altName w:val="Times New Roman"/>
    <w:charset w:val="00"/>
    <w:family w:val="auto"/>
    <w:pitch w:val="default"/>
  </w:font>
  <w:font w:name="Times">
    <w:panose1 w:val="02020603050405020304"/>
    <w:charset w:val="00"/>
    <w:family w:val="roman"/>
    <w:notTrueType/>
    <w:pitch w:val="variable"/>
    <w:sig w:usb0="00000003" w:usb1="00000000" w:usb2="00000000" w:usb3="00000000" w:csb0="00000001" w:csb1="00000000"/>
  </w:font>
  <w:font w:name="none">
    <w:altName w:val="Times New Roman"/>
    <w:panose1 w:val="00000000000000000000"/>
    <w:charset w:val="00"/>
    <w:family w:val="roman"/>
    <w:notTrueType/>
    <w:pitch w:val="default"/>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C7CF3" w:rsidRDefault="00EC7CF3" w:rsidP="00596081">
    <w:pPr>
      <w:pStyle w:val="Footer"/>
      <w:framePr w:wrap="around" w:vAnchor="text" w:hAnchor="margin" w:xAlign="center" w:y="1"/>
    </w:pPr>
    <w:r>
      <w:fldChar w:fldCharType="begin"/>
    </w:r>
    <w:r>
      <w:instrText xml:space="preserve">PAGE  </w:instrText>
    </w:r>
    <w:r>
      <w:fldChar w:fldCharType="separate"/>
    </w:r>
    <w:r>
      <w:rPr>
        <w:noProof/>
      </w:rPr>
      <w:t>1</w:t>
    </w:r>
    <w:r>
      <w:rPr>
        <w:noProof/>
      </w:rPr>
      <w:fldChar w:fldCharType="end"/>
    </w:r>
  </w:p>
  <w:p w:rsidR="00EC7CF3" w:rsidRDefault="00EC7CF3">
    <w:pPr>
      <w:pStyle w:val="Footer"/>
    </w:pPr>
  </w:p>
  <w:p w:rsidR="00EC7CF3" w:rsidRDefault="00EC7CF3"/>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C7CF3" w:rsidRDefault="00EC7CF3" w:rsidP="00434C56">
    <w:pPr>
      <w:pStyle w:val="Footer"/>
      <w:framePr w:wrap="around" w:vAnchor="text" w:hAnchor="margin" w:xAlign="center" w:y="1"/>
    </w:pPr>
    <w:r>
      <w:fldChar w:fldCharType="begin"/>
    </w:r>
    <w:r>
      <w:instrText xml:space="preserve">PAGE  </w:instrText>
    </w:r>
    <w:r>
      <w:fldChar w:fldCharType="separate"/>
    </w:r>
    <w:r>
      <w:rPr>
        <w:noProof/>
      </w:rPr>
      <w:t>1</w:t>
    </w:r>
    <w:r>
      <w:rPr>
        <w:noProof/>
      </w:rPr>
      <w:fldChar w:fldCharType="end"/>
    </w:r>
  </w:p>
  <w:p w:rsidR="00EC7CF3" w:rsidRDefault="00EC7CF3">
    <w:pPr>
      <w:pStyle w:val="Footer"/>
    </w:pPr>
  </w:p>
  <w:p w:rsidR="00EC7CF3" w:rsidRDefault="00EC7CF3"/>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C7CF3" w:rsidRDefault="00EC7CF3" w:rsidP="00434C56">
    <w:pPr>
      <w:pStyle w:val="Footer"/>
      <w:framePr w:wrap="around" w:vAnchor="text" w:hAnchor="margin" w:xAlign="center" w:y="1"/>
    </w:pPr>
    <w:r>
      <w:fldChar w:fldCharType="begin"/>
    </w:r>
    <w:r>
      <w:instrText xml:space="preserve">PAGE  </w:instrText>
    </w:r>
    <w:r>
      <w:fldChar w:fldCharType="separate"/>
    </w:r>
    <w:r w:rsidR="0061736E">
      <w:rPr>
        <w:noProof/>
      </w:rPr>
      <w:t>339</w:t>
    </w:r>
    <w:r>
      <w:rPr>
        <w:noProof/>
      </w:rPr>
      <w:fldChar w:fldCharType="end"/>
    </w:r>
  </w:p>
  <w:p w:rsidR="00EC7CF3" w:rsidRDefault="00EC7CF3">
    <w:pPr>
      <w:spacing w:before="140" w:line="100" w:lineRule="exact"/>
      <w:rPr>
        <w:sz w:val="10"/>
      </w:rPr>
    </w:pPr>
  </w:p>
  <w:p w:rsidR="00EC7CF3" w:rsidRDefault="00EC7CF3">
    <w:pPr>
      <w:suppressAutoHyphens/>
      <w:spacing w:line="227" w:lineRule="auto"/>
    </w:pPr>
  </w:p>
  <w:p w:rsidR="00EC7CF3" w:rsidRDefault="00EC7CF3"/>
  <w:p w:rsidR="00EC7CF3" w:rsidRDefault="00EC7CF3"/>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C7CF3" w:rsidRDefault="00EC7CF3">
    <w:pPr>
      <w:pStyle w:val="Footer"/>
      <w:tabs>
        <w:tab w:val="clear" w:pos="8640"/>
      </w:tabs>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C7CF3" w:rsidRDefault="00EC7CF3" w:rsidP="00596081">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sidR="00951E9B">
      <w:rPr>
        <w:rStyle w:val="PageNumber"/>
        <w:noProof/>
      </w:rPr>
      <w:t>49</w:t>
    </w:r>
    <w:r>
      <w:rPr>
        <w:rStyle w:val="PageNumber"/>
      </w:rPr>
      <w:fldChar w:fldCharType="end"/>
    </w:r>
  </w:p>
  <w:p w:rsidR="00EC7CF3" w:rsidRDefault="00EC7CF3">
    <w:pPr>
      <w:rPr>
        <w:noProof/>
      </w:rP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C7CF3" w:rsidRDefault="00EC7CF3" w:rsidP="00773AA4">
    <w:pPr>
      <w:pStyle w:val="Footer"/>
      <w:tabs>
        <w:tab w:val="clear" w:pos="4320"/>
        <w:tab w:val="clear" w:pos="8640"/>
        <w:tab w:val="left" w:pos="1088"/>
        <w:tab w:val="left" w:pos="1289"/>
        <w:tab w:val="left" w:pos="3399"/>
      </w:tabs>
      <w:rPr>
        <w:noProof/>
      </w:rPr>
    </w:pPr>
    <w:r>
      <w:tab/>
    </w:r>
    <w:bookmarkStart w:id="6091" w:name="_Toc508445573"/>
    <w:bookmarkStart w:id="6092" w:name="_Toc512062597"/>
    <w:bookmarkStart w:id="6093" w:name="_Toc515078061"/>
    <w:bookmarkStart w:id="6094" w:name="_Toc515181671"/>
    <w:bookmarkStart w:id="6095" w:name="_Toc515858425"/>
    <w:bookmarkStart w:id="6096" w:name="_Toc517251645"/>
    <w:bookmarkStart w:id="6097" w:name="_Toc329262470"/>
    <w:bookmarkStart w:id="6098" w:name="_Toc329852373"/>
    <w:bookmarkStart w:id="6099" w:name="_Toc331766289"/>
    <w:bookmarkStart w:id="6100" w:name="_Toc332119085"/>
    <w:bookmarkStart w:id="6101" w:name="_Toc334088763"/>
    <w:bookmarkStart w:id="6102" w:name="_Toc334089001"/>
    <w:bookmarkStart w:id="6103" w:name="_Toc335839009"/>
    <w:bookmarkStart w:id="6104" w:name="_Toc261610798"/>
    <w:bookmarkStart w:id="6105" w:name="_Toc261858537"/>
    <w:bookmarkStart w:id="6106" w:name="_Toc262034342"/>
    <w:bookmarkStart w:id="6107" w:name="_Toc262034445"/>
    <w:r>
      <w:tab/>
    </w:r>
    <w:bookmarkEnd w:id="6091"/>
    <w:bookmarkEnd w:id="6092"/>
    <w:bookmarkEnd w:id="6093"/>
    <w:bookmarkEnd w:id="6094"/>
    <w:bookmarkEnd w:id="6095"/>
    <w:bookmarkEnd w:id="6096"/>
    <w:bookmarkEnd w:id="6097"/>
    <w:bookmarkEnd w:id="6098"/>
    <w:bookmarkEnd w:id="6099"/>
    <w:bookmarkEnd w:id="6100"/>
    <w:bookmarkEnd w:id="6101"/>
    <w:bookmarkEnd w:id="6102"/>
    <w:bookmarkEnd w:id="6103"/>
    <w:bookmarkEnd w:id="6104"/>
    <w:bookmarkEnd w:id="6105"/>
    <w:bookmarkEnd w:id="6106"/>
    <w:bookmarkEnd w:id="6107"/>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C7CF3" w:rsidRDefault="00EC7CF3" w:rsidP="00B8708A">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1</w:t>
    </w:r>
    <w:r>
      <w:rPr>
        <w:rStyle w:val="PageNumber"/>
      </w:rPr>
      <w:fldChar w:fldCharType="end"/>
    </w:r>
  </w:p>
  <w:p w:rsidR="00EC7CF3" w:rsidRDefault="00EC7CF3" w:rsidP="00B8708A">
    <w:pPr>
      <w:pStyle w:val="Footer"/>
      <w:ind w:right="360"/>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C7CF3" w:rsidRPr="00F25280" w:rsidRDefault="00EC7CF3" w:rsidP="00F25280">
    <w:pPr>
      <w:pStyle w:val="Footer"/>
      <w:framePr w:w="466" w:wrap="around" w:vAnchor="text" w:hAnchor="margin" w:xAlign="center" w:y="-1"/>
      <w:jc w:val="center"/>
      <w:rPr>
        <w:rStyle w:val="PageNumber"/>
        <w:szCs w:val="22"/>
      </w:rPr>
    </w:pPr>
    <w:r w:rsidRPr="00F25280">
      <w:rPr>
        <w:rStyle w:val="PageNumber"/>
        <w:szCs w:val="22"/>
      </w:rPr>
      <w:fldChar w:fldCharType="begin"/>
    </w:r>
    <w:r w:rsidRPr="00F25280">
      <w:rPr>
        <w:rStyle w:val="PageNumber"/>
        <w:szCs w:val="22"/>
      </w:rPr>
      <w:instrText xml:space="preserve">PAGE  </w:instrText>
    </w:r>
    <w:r w:rsidRPr="00F25280">
      <w:rPr>
        <w:rStyle w:val="PageNumber"/>
        <w:szCs w:val="22"/>
      </w:rPr>
      <w:fldChar w:fldCharType="separate"/>
    </w:r>
    <w:r w:rsidR="0075240C">
      <w:rPr>
        <w:rStyle w:val="PageNumber"/>
        <w:noProof/>
        <w:szCs w:val="22"/>
      </w:rPr>
      <w:t>294</w:t>
    </w:r>
    <w:r w:rsidRPr="00F25280">
      <w:rPr>
        <w:rStyle w:val="PageNumber"/>
        <w:szCs w:val="22"/>
      </w:rPr>
      <w:fldChar w:fldCharType="end"/>
    </w:r>
  </w:p>
  <w:p w:rsidR="00EC7CF3" w:rsidRDefault="00EC7CF3" w:rsidP="00B8708A">
    <w:pPr>
      <w:pStyle w:val="Footer"/>
      <w:ind w:right="360"/>
      <w:jc w:val="center"/>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C7CF3" w:rsidRPr="00EF4962" w:rsidRDefault="00EC7CF3" w:rsidP="004F067D">
    <w:pPr>
      <w:pStyle w:val="Footer"/>
      <w:jc w:val="center"/>
    </w:pPr>
    <w:r>
      <w:rPr>
        <w:rStyle w:val="PageNumber"/>
      </w:rPr>
      <w:fldChar w:fldCharType="begin"/>
    </w:r>
    <w:r>
      <w:rPr>
        <w:rStyle w:val="PageNumber"/>
      </w:rPr>
      <w:instrText xml:space="preserve"> PAGE </w:instrText>
    </w:r>
    <w:r>
      <w:rPr>
        <w:rStyle w:val="PageNumber"/>
      </w:rPr>
      <w:fldChar w:fldCharType="separate"/>
    </w:r>
    <w:r>
      <w:rPr>
        <w:rStyle w:val="PageNumber"/>
        <w:noProof/>
      </w:rPr>
      <w:t>1</w:t>
    </w:r>
    <w:r>
      <w:rPr>
        <w:rStyle w:val="PageNumber"/>
      </w:rPr>
      <w:fldChar w:fldCharType="end"/>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C7CF3" w:rsidRDefault="00EC7CF3" w:rsidP="00434C56">
    <w:pPr>
      <w:pStyle w:val="Footer"/>
      <w:framePr w:wrap="around" w:vAnchor="text" w:hAnchor="margin" w:xAlign="center" w:y="1"/>
    </w:pPr>
    <w:r>
      <w:fldChar w:fldCharType="begin"/>
    </w:r>
    <w:r>
      <w:instrText xml:space="preserve">PAGE  </w:instrText>
    </w:r>
    <w:r>
      <w:fldChar w:fldCharType="separate"/>
    </w:r>
    <w:r>
      <w:rPr>
        <w:noProof/>
      </w:rPr>
      <w:t>1</w:t>
    </w:r>
    <w:r>
      <w:rPr>
        <w:noProof/>
      </w:rPr>
      <w:fldChar w:fldCharType="end"/>
    </w:r>
  </w:p>
  <w:p w:rsidR="00EC7CF3" w:rsidRDefault="00EC7CF3">
    <w:pPr>
      <w:pStyle w:val="Footer"/>
    </w:pPr>
  </w:p>
  <w:p w:rsidR="00EC7CF3" w:rsidRDefault="00EC7CF3"/>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C7CF3" w:rsidRDefault="00EC7CF3" w:rsidP="00434C56">
    <w:pPr>
      <w:pStyle w:val="Footer"/>
      <w:framePr w:wrap="around" w:vAnchor="text" w:hAnchor="margin" w:xAlign="center" w:y="1"/>
    </w:pPr>
    <w:r>
      <w:fldChar w:fldCharType="begin"/>
    </w:r>
    <w:r>
      <w:instrText xml:space="preserve">PAGE  </w:instrText>
    </w:r>
    <w:r>
      <w:fldChar w:fldCharType="separate"/>
    </w:r>
    <w:r w:rsidR="0061736E">
      <w:rPr>
        <w:noProof/>
      </w:rPr>
      <w:t>332</w:t>
    </w:r>
    <w:r>
      <w:rPr>
        <w:noProof/>
      </w:rPr>
      <w:fldChar w:fldCharType="end"/>
    </w:r>
  </w:p>
  <w:p w:rsidR="00EC7CF3" w:rsidRDefault="00EC7CF3">
    <w:pPr>
      <w:spacing w:before="140" w:line="100" w:lineRule="exact"/>
      <w:rPr>
        <w:sz w:val="10"/>
      </w:rPr>
    </w:pPr>
  </w:p>
  <w:p w:rsidR="00EC7CF3" w:rsidRDefault="00EC7CF3">
    <w:pPr>
      <w:suppressAutoHyphens/>
      <w:spacing w:line="227" w:lineRule="auto"/>
    </w:pPr>
  </w:p>
  <w:p w:rsidR="00EC7CF3" w:rsidRDefault="00EC7CF3"/>
  <w:p w:rsidR="00EC7CF3" w:rsidRDefault="00EC7CF3"/>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C7CF3" w:rsidRDefault="00EC7CF3">
    <w:pPr>
      <w:pStyle w:val="Footer"/>
      <w:tabs>
        <w:tab w:val="clear" w:pos="8640"/>
      </w:tabs>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EC7CF3" w:rsidRDefault="00EC7CF3" w:rsidP="00D74870">
      <w:r>
        <w:separator/>
      </w:r>
    </w:p>
  </w:footnote>
  <w:footnote w:type="continuationSeparator" w:id="0">
    <w:p w:rsidR="00EC7CF3" w:rsidRPr="00233AFE" w:rsidRDefault="00EC7CF3" w:rsidP="00233AFE">
      <w:r>
        <w:rPr>
          <w:sz w:val="20"/>
        </w:rPr>
        <w:t>(C</w:t>
      </w:r>
      <w:r w:rsidRPr="00671BB5">
        <w:rPr>
          <w:sz w:val="20"/>
        </w:rPr>
        <w:t xml:space="preserve">ontinued from previous page) </w:t>
      </w:r>
      <w:r>
        <w:separator/>
      </w:r>
    </w:p>
  </w:footnote>
  <w:footnote w:type="continuationNotice" w:id="1">
    <w:p w:rsidR="00EC7CF3" w:rsidRPr="00671BB5" w:rsidRDefault="00EC7CF3" w:rsidP="00815D16">
      <w:pPr>
        <w:rPr>
          <w:sz w:val="20"/>
        </w:rPr>
      </w:pPr>
      <w:r w:rsidRPr="00671BB5">
        <w:rPr>
          <w:sz w:val="20"/>
        </w:rPr>
        <w:t>(continued….)</w:t>
      </w:r>
    </w:p>
  </w:footnote>
  <w:footnote w:id="2">
    <w:p w:rsidR="00EC7CF3" w:rsidRDefault="00EC7CF3" w:rsidP="00D3297C">
      <w:pPr>
        <w:pStyle w:val="FootnoteText"/>
      </w:pPr>
      <w:r w:rsidRPr="00D40600">
        <w:rPr>
          <w:rStyle w:val="FootnoteReference"/>
          <w:sz w:val="20"/>
        </w:rPr>
        <w:footnoteRef/>
      </w:r>
      <w:r w:rsidRPr="00D40600">
        <w:t xml:space="preserve"> Implementation of Section 6002(b) of the Omnibus Budget Reconciliation Act of 1993, Annual Report and Analysis of Competitive Market Conditions with Respect to Commercial Mobile Services, </w:t>
      </w:r>
      <w:r w:rsidRPr="00D40600">
        <w:rPr>
          <w:i/>
        </w:rPr>
        <w:t>Fifteenth Report</w:t>
      </w:r>
      <w:r w:rsidRPr="00D40600">
        <w:t>, 26 FCC Rcd 9665 (2011)</w:t>
      </w:r>
      <w:r>
        <w:t xml:space="preserve"> </w:t>
      </w:r>
      <w:r w:rsidRPr="00D40600">
        <w:t>(</w:t>
      </w:r>
      <w:r w:rsidRPr="00D40600">
        <w:rPr>
          <w:i/>
        </w:rPr>
        <w:t>Fifteenth Report</w:t>
      </w:r>
      <w:r w:rsidRPr="00D40600">
        <w:t xml:space="preserve">).  </w:t>
      </w:r>
    </w:p>
  </w:footnote>
  <w:footnote w:id="3">
    <w:p w:rsidR="00EC7CF3" w:rsidRDefault="00EC7CF3" w:rsidP="00D3297C">
      <w:pPr>
        <w:pStyle w:val="FootnoteText"/>
      </w:pPr>
      <w:r w:rsidRPr="00D40600">
        <w:rPr>
          <w:rStyle w:val="FootnoteReference"/>
          <w:sz w:val="20"/>
        </w:rPr>
        <w:footnoteRef/>
      </w:r>
      <w:r w:rsidRPr="00D40600">
        <w:t xml:space="preserve"> The </w:t>
      </w:r>
      <w:r w:rsidRPr="00D40600">
        <w:rPr>
          <w:i/>
          <w:iCs/>
        </w:rPr>
        <w:t>Report</w:t>
      </w:r>
      <w:r w:rsidRPr="00D40600">
        <w:t xml:space="preserve"> includes network coverage data from Mosaik Solutions (formerly American Roamer) from the </w:t>
      </w:r>
      <w:r>
        <w:t>third</w:t>
      </w:r>
      <w:r w:rsidRPr="00D40600">
        <w:t xml:space="preserve"> quarter of 2012.  In other instances, particularly where year-end metrics are discussed or annual comparisons are made, the </w:t>
      </w:r>
      <w:r w:rsidRPr="00D40600">
        <w:rPr>
          <w:i/>
          <w:iCs/>
        </w:rPr>
        <w:t>Report</w:t>
      </w:r>
      <w:r w:rsidRPr="00D40600">
        <w:t xml:space="preserve"> uses year-end 2010 and 2011 data.</w:t>
      </w:r>
      <w:r w:rsidRPr="00D40600">
        <w:rPr>
          <w:i/>
          <w:iCs/>
        </w:rPr>
        <w:t xml:space="preserve">  See </w:t>
      </w:r>
      <w:r w:rsidRPr="00D40600">
        <w:t>Section II</w:t>
      </w:r>
      <w:r>
        <w:t>.</w:t>
      </w:r>
      <w:r w:rsidRPr="00D40600">
        <w:t xml:space="preserve"> Introduction, </w:t>
      </w:r>
      <w:r w:rsidRPr="00D40600">
        <w:rPr>
          <w:i/>
          <w:iCs/>
        </w:rPr>
        <w:t>infra</w:t>
      </w:r>
      <w:r w:rsidRPr="00D40600">
        <w:t xml:space="preserve">, for an additional discussion of data timeframes.  </w:t>
      </w:r>
    </w:p>
  </w:footnote>
  <w:footnote w:id="4">
    <w:p w:rsidR="00EC7CF3" w:rsidRDefault="00EC7CF3" w:rsidP="00D3297C">
      <w:pPr>
        <w:pStyle w:val="FootnoteText"/>
      </w:pPr>
      <w:r w:rsidRPr="00D40600">
        <w:rPr>
          <w:rStyle w:val="FootnoteReference"/>
          <w:sz w:val="20"/>
        </w:rPr>
        <w:footnoteRef/>
      </w:r>
      <w:r w:rsidRPr="00D40600">
        <w:t xml:space="preserve"> 47 U.S.C. § 332(c)(1)(C).  As discussed below, this analysis integrates an analysis of commercial mobile radio services (CMRS) into an analysis of all mobile wireless services, including voice, messaging, and broadband.  </w:t>
      </w:r>
      <w:r w:rsidRPr="00D40600">
        <w:rPr>
          <w:i/>
          <w:iCs/>
        </w:rPr>
        <w:t xml:space="preserve">See </w:t>
      </w:r>
      <w:r w:rsidRPr="00D40600">
        <w:t xml:space="preserve">Section II, Introduction, </w:t>
      </w:r>
      <w:r w:rsidRPr="00D40600">
        <w:rPr>
          <w:i/>
          <w:iCs/>
        </w:rPr>
        <w:t>infra.</w:t>
      </w:r>
    </w:p>
  </w:footnote>
  <w:footnote w:id="5">
    <w:p w:rsidR="00EC7CF3" w:rsidRDefault="00EC7CF3" w:rsidP="00D3297C">
      <w:pPr>
        <w:pStyle w:val="FootnoteText"/>
      </w:pPr>
      <w:r w:rsidRPr="00D40600">
        <w:rPr>
          <w:rStyle w:val="FootnoteReference"/>
          <w:sz w:val="20"/>
        </w:rPr>
        <w:footnoteRef/>
      </w:r>
      <w:r w:rsidRPr="00D40600">
        <w:t xml:space="preserve"> 47 U.S.C. § 332(c)(1)(C).  As with previous </w:t>
      </w:r>
      <w:r w:rsidRPr="00D40600">
        <w:rPr>
          <w:i/>
        </w:rPr>
        <w:t xml:space="preserve">Reports, </w:t>
      </w:r>
      <w:r w:rsidRPr="00D40600">
        <w:t xml:space="preserve">this </w:t>
      </w:r>
      <w:r w:rsidRPr="00D40600">
        <w:rPr>
          <w:i/>
        </w:rPr>
        <w:t xml:space="preserve">Report </w:t>
      </w:r>
      <w:r w:rsidRPr="00D40600">
        <w:t xml:space="preserve">does not address the merits of any license transfer applications that are currently pending before the Commission or that may be filed in the future, which will be decided based on the record collected in each proceeding.  </w:t>
      </w:r>
      <w:r w:rsidRPr="00D40600">
        <w:rPr>
          <w:i/>
        </w:rPr>
        <w:t xml:space="preserve">See, e.g., Fourteenth Report, </w:t>
      </w:r>
      <w:r w:rsidRPr="00D40600">
        <w:t xml:space="preserve">25 FCC Rcd at 11429 n. 14 (“an application for approval of a license transfer, may present facts pointing to narrower or broader markets than any used, suggested, or implied in this </w:t>
      </w:r>
      <w:r w:rsidRPr="00D40600">
        <w:rPr>
          <w:i/>
        </w:rPr>
        <w:t>Report</w:t>
      </w:r>
      <w:r w:rsidRPr="00D40600">
        <w:t>”).</w:t>
      </w:r>
    </w:p>
  </w:footnote>
  <w:footnote w:id="6">
    <w:p w:rsidR="00EC7CF3" w:rsidRDefault="00EC7CF3" w:rsidP="00D3297C">
      <w:pPr>
        <w:pStyle w:val="FootnoteText"/>
      </w:pPr>
      <w:r w:rsidRPr="00D40600">
        <w:rPr>
          <w:rStyle w:val="FootnoteReference"/>
          <w:sz w:val="20"/>
        </w:rPr>
        <w:footnoteRef/>
      </w:r>
      <w:r w:rsidRPr="00D40600">
        <w:t xml:space="preserve"> This analysis likely overstates the coverage actually experienced by consumers, because Mosaik Solutions, LLC (Mosaik) reports advertised coverage as reported to it by many mobile wireless service providers, each of which uses a different definition or determination of coverage.  </w:t>
      </w:r>
      <w:r w:rsidRPr="00D40600">
        <w:rPr>
          <w:i/>
        </w:rPr>
        <w:t>2012</w:t>
      </w:r>
      <w:r w:rsidRPr="00D40600">
        <w:t xml:space="preserve"> </w:t>
      </w:r>
      <w:r w:rsidRPr="00D40600">
        <w:rPr>
          <w:i/>
        </w:rPr>
        <w:t>Eighth Broadband Progress Report</w:t>
      </w:r>
      <w:r w:rsidRPr="00D40600">
        <w:t>, FCC 12-119, at ¶ 39-40.</w:t>
      </w:r>
      <w:r w:rsidRPr="00D40600">
        <w:rPr>
          <w:i/>
        </w:rPr>
        <w:t xml:space="preserve"> </w:t>
      </w:r>
      <w:r w:rsidRPr="00D40600">
        <w:t xml:space="preserve"> We also recognize that an analysis of coverage at the nationwide level provides only a general benchmark.  A nationwide average will mask regional disparities in coverage and create an overall picture that does not capture variances across the country.  </w:t>
      </w:r>
    </w:p>
  </w:footnote>
  <w:footnote w:id="7">
    <w:p w:rsidR="00EC7CF3" w:rsidRDefault="00EC7CF3" w:rsidP="00D3297C">
      <w:pPr>
        <w:pStyle w:val="FootnoteText"/>
      </w:pPr>
      <w:r w:rsidRPr="00D40600">
        <w:rPr>
          <w:rStyle w:val="FootnoteReference"/>
          <w:sz w:val="20"/>
        </w:rPr>
        <w:footnoteRef/>
      </w:r>
      <w:r w:rsidRPr="00D40600">
        <w:t xml:space="preserve">  Unless otherwise noted, population data in the </w:t>
      </w:r>
      <w:r w:rsidRPr="00D40600">
        <w:rPr>
          <w:i/>
        </w:rPr>
        <w:t>Report</w:t>
      </w:r>
      <w:r w:rsidRPr="00D40600">
        <w:t xml:space="preserve"> are taken from U.S. Census Bureau (Census Bureau).  For purposes of calculating the extent of service provision based on census blocks, we use 2010 Census population figures because that is the Census Bureau’s most recent data about population at the census block level.  </w:t>
      </w:r>
    </w:p>
  </w:footnote>
  <w:footnote w:id="8">
    <w:p w:rsidR="00EC7CF3" w:rsidRDefault="00EC7CF3" w:rsidP="003C2D6C">
      <w:pPr>
        <w:pStyle w:val="FootnoteText"/>
      </w:pPr>
      <w:r w:rsidRPr="00D40600">
        <w:rPr>
          <w:rStyle w:val="FootnoteReference"/>
          <w:sz w:val="20"/>
        </w:rPr>
        <w:footnoteRef/>
      </w:r>
      <w:r w:rsidRPr="00D40600">
        <w:t xml:space="preserve"> The </w:t>
      </w:r>
      <w:r>
        <w:t xml:space="preserve">80.4 </w:t>
      </w:r>
      <w:r w:rsidRPr="00D40600">
        <w:t xml:space="preserve">percent </w:t>
      </w:r>
      <w:r>
        <w:t xml:space="preserve">estimate for ‘5 or more’ providers </w:t>
      </w:r>
      <w:r w:rsidRPr="00D40600">
        <w:t>represents a marked d</w:t>
      </w:r>
      <w:r>
        <w:t>ecline</w:t>
      </w:r>
      <w:r w:rsidRPr="00D40600">
        <w:t xml:space="preserve"> from the figure presented in the </w:t>
      </w:r>
      <w:r w:rsidRPr="00D40600">
        <w:rPr>
          <w:i/>
        </w:rPr>
        <w:t xml:space="preserve">Fifteenth Report, </w:t>
      </w:r>
      <w:r w:rsidRPr="00D40600">
        <w:t xml:space="preserve">which reported that 89.6 percent of the U.S. population was covered by at least five providers based on the Commission’s analysis of July/August 2010 Mosaik data.  </w:t>
      </w:r>
      <w:r w:rsidRPr="00D40600">
        <w:rPr>
          <w:i/>
        </w:rPr>
        <w:t>See Fifteenth Report</w:t>
      </w:r>
      <w:r w:rsidRPr="00D40600">
        <w:t>, 26 FCC Rcd at 9705, Table 5.  We believe there is an anomaly in the July/August 2010 data that resulted in unusually high estimates of the percentage of the population covered by the networks of at least four, five, and six providers (94</w:t>
      </w:r>
      <w:r>
        <w:t>.3</w:t>
      </w:r>
      <w:r w:rsidRPr="00D40600">
        <w:t xml:space="preserve"> percent, </w:t>
      </w:r>
      <w:r>
        <w:t>89.6</w:t>
      </w:r>
      <w:r w:rsidRPr="00D40600">
        <w:t xml:space="preserve"> percent, and 76</w:t>
      </w:r>
      <w:r>
        <w:t>.4 percent, respectively).</w:t>
      </w:r>
    </w:p>
  </w:footnote>
  <w:footnote w:id="9">
    <w:p w:rsidR="00EC7CF3" w:rsidRDefault="00EC7CF3" w:rsidP="00D3297C">
      <w:pPr>
        <w:pStyle w:val="FootnoteText"/>
      </w:pPr>
      <w:r w:rsidRPr="00D40600">
        <w:rPr>
          <w:rStyle w:val="FootnoteReference"/>
          <w:sz w:val="20"/>
        </w:rPr>
        <w:footnoteRef/>
      </w:r>
      <w:r w:rsidRPr="00D40600">
        <w:t xml:space="preserve"> For purposes of this </w:t>
      </w:r>
      <w:r w:rsidRPr="00D40600">
        <w:rPr>
          <w:i/>
        </w:rPr>
        <w:t>Report</w:t>
      </w:r>
      <w:r w:rsidRPr="00D40600">
        <w:t xml:space="preserve">, the term “broadband” – when referring to mobile broadband networks, coverage, providers, or services – includes the 3G and 4G network technologies: HSPA, EV-DO, LTE, and mobile WiMAX.   The Commission may include other combinations of mobile network technologies when referring to “mobile broadband” in other contexts.  </w:t>
      </w:r>
      <w:r w:rsidRPr="00D40600">
        <w:rPr>
          <w:i/>
        </w:rPr>
        <w:t>See, e.g.,</w:t>
      </w:r>
      <w:r w:rsidRPr="00D40600">
        <w:t xml:space="preserve"> </w:t>
      </w:r>
      <w:r w:rsidRPr="00D40600">
        <w:rPr>
          <w:i/>
        </w:rPr>
        <w:t>Eighth Broadband Progress Report</w:t>
      </w:r>
      <w:r w:rsidRPr="00D40600">
        <w:t xml:space="preserve"> at Table 15.</w:t>
      </w:r>
      <w:r w:rsidRPr="00D40600">
        <w:rPr>
          <w:color w:val="1F497D"/>
        </w:rPr>
        <w:t> </w:t>
      </w:r>
      <w:r w:rsidRPr="00D40600">
        <w:t xml:space="preserve">  </w:t>
      </w:r>
    </w:p>
  </w:footnote>
  <w:footnote w:id="10">
    <w:p w:rsidR="00EC7CF3" w:rsidRDefault="00EC7CF3" w:rsidP="00D3297C">
      <w:pPr>
        <w:pStyle w:val="FootnoteText"/>
      </w:pPr>
      <w:r w:rsidRPr="00D40600">
        <w:rPr>
          <w:rStyle w:val="FootnoteReference"/>
          <w:sz w:val="20"/>
        </w:rPr>
        <w:footnoteRef/>
      </w:r>
      <w:r w:rsidRPr="00D40600">
        <w:t xml:space="preserve"> </w:t>
      </w:r>
      <w:r w:rsidRPr="00D40600">
        <w:rPr>
          <w:i/>
        </w:rPr>
        <w:t xml:space="preserve">See </w:t>
      </w:r>
      <w:r w:rsidRPr="00D40600">
        <w:t>Section IV.B.1</w:t>
      </w:r>
      <w:r>
        <w:t>. Network Coverage and Technology Upgrades,</w:t>
      </w:r>
      <w:r w:rsidRPr="001F1CD4">
        <w:rPr>
          <w:i/>
        </w:rPr>
        <w:t xml:space="preserve"> infra</w:t>
      </w:r>
      <w:r>
        <w:rPr>
          <w:i/>
        </w:rPr>
        <w:t>.</w:t>
      </w:r>
      <w:r w:rsidRPr="001F1CD4">
        <w:t xml:space="preserve">                                                                                                                                                                                                                                                                                                                                                                                                 </w:t>
      </w:r>
    </w:p>
  </w:footnote>
  <w:footnote w:id="11">
    <w:p w:rsidR="00EC7CF3" w:rsidRDefault="00EC7CF3" w:rsidP="00D3297C">
      <w:pPr>
        <w:pStyle w:val="FootnoteText"/>
      </w:pPr>
      <w:r w:rsidRPr="00D40600">
        <w:rPr>
          <w:rStyle w:val="FootnoteReference"/>
          <w:sz w:val="20"/>
        </w:rPr>
        <w:footnoteRef/>
      </w:r>
      <w:r w:rsidRPr="00D40600">
        <w:t xml:space="preserve"> This figure is based on the Commission’s Form 477 data, which collects subscribership and other data from providers of Internet access services at speeds exceeding 200 kbps in at least one direction.  </w:t>
      </w:r>
      <w:r>
        <w:t>We believe that o</w:t>
      </w:r>
      <w:r w:rsidRPr="00D40600">
        <w:t xml:space="preserve">nly </w:t>
      </w:r>
      <w:r>
        <w:t xml:space="preserve">mobile </w:t>
      </w:r>
      <w:r w:rsidRPr="00D40600">
        <w:t>services provided using 3G or 4G mobile network technologies – including HSPA, EV-DO, LTE, and mobile WiMAX – would meet this speed threshold.  In the Form 477 data, mobile telephone subscribers and mobile Internet access subscribers are not mutually exclusive.</w:t>
      </w:r>
    </w:p>
  </w:footnote>
  <w:footnote w:id="12">
    <w:p w:rsidR="00EC7CF3" w:rsidRDefault="00EC7CF3" w:rsidP="00D3297C">
      <w:pPr>
        <w:pStyle w:val="FootnoteText"/>
      </w:pPr>
      <w:r w:rsidRPr="00D40600">
        <w:rPr>
          <w:rStyle w:val="FootnoteReference"/>
          <w:sz w:val="20"/>
        </w:rPr>
        <w:footnoteRef/>
      </w:r>
      <w:r w:rsidRPr="00D40600">
        <w:t xml:space="preserve"> </w:t>
      </w:r>
      <w:r w:rsidRPr="001E0720">
        <w:rPr>
          <w:rStyle w:val="Normal11"/>
          <w:sz w:val="20"/>
        </w:rPr>
        <w:t xml:space="preserve">Commission estimates based on NRUF data.  </w:t>
      </w:r>
      <w:r w:rsidRPr="001E0720">
        <w:rPr>
          <w:i/>
        </w:rPr>
        <w:t>CTIA</w:t>
      </w:r>
      <w:r w:rsidRPr="00D40600">
        <w:rPr>
          <w:i/>
        </w:rPr>
        <w:t xml:space="preserve"> Year-End 2011 Wireless Indices Report</w:t>
      </w:r>
      <w:r w:rsidRPr="00D40600">
        <w:t xml:space="preserve">. </w:t>
      </w:r>
      <w:r>
        <w:t xml:space="preserve"> In the second half of 2012, CTIA revised estimated connections for the years 2009-2011.  In describing these revisions, CTIA states in its forthcoming </w:t>
      </w:r>
      <w:r w:rsidRPr="00D40600">
        <w:rPr>
          <w:i/>
        </w:rPr>
        <w:t>Wireless Indices Report</w:t>
      </w:r>
      <w:r>
        <w:t xml:space="preserve"> “</w:t>
      </w:r>
      <w:r w:rsidRPr="001363E2">
        <w:t xml:space="preserve">Nor do we make an M2M adjustment for participating companies that do not include their M2M numbers in their reported subscriber counts. </w:t>
      </w:r>
      <w:r>
        <w:t xml:space="preserve"> </w:t>
      </w:r>
      <w:r w:rsidRPr="001363E2">
        <w:t xml:space="preserve">Indeed, the mid-year 2012 estimate – and the </w:t>
      </w:r>
      <w:r w:rsidRPr="001363E2">
        <w:rPr>
          <w:i/>
          <w:iCs/>
        </w:rPr>
        <w:t xml:space="preserve">revised </w:t>
      </w:r>
      <w:r w:rsidRPr="001363E2">
        <w:t xml:space="preserve">subscriber connection figures for five previous periods – reflects the exclusion of some M2M and other units not currently treated as “subscriber connections” which previously </w:t>
      </w:r>
      <w:r w:rsidRPr="001363E2">
        <w:rPr>
          <w:i/>
          <w:iCs/>
        </w:rPr>
        <w:t xml:space="preserve">had </w:t>
      </w:r>
      <w:r w:rsidRPr="001363E2">
        <w:t>been treated as such connections.</w:t>
      </w:r>
      <w:r>
        <w:t xml:space="preserve">”  </w:t>
      </w:r>
      <w:r w:rsidRPr="00873E54">
        <w:rPr>
          <w:i/>
        </w:rPr>
        <w:t>See also</w:t>
      </w:r>
      <w:r>
        <w:t xml:space="preserve"> Section </w:t>
      </w:r>
      <w:r w:rsidR="00951E9B">
        <w:fldChar w:fldCharType="begin"/>
      </w:r>
      <w:r w:rsidR="00951E9B">
        <w:instrText xml:space="preserve"> REF _Ref331434649 \w</w:instrText>
      </w:r>
      <w:r w:rsidR="00951E9B">
        <w:instrText xml:space="preserve"> </w:instrText>
      </w:r>
      <w:r w:rsidR="00951E9B">
        <w:fldChar w:fldCharType="separate"/>
      </w:r>
      <w:r>
        <w:t>V.A.1</w:t>
      </w:r>
      <w:r w:rsidR="00951E9B">
        <w:fldChar w:fldCharType="end"/>
      </w:r>
      <w:r>
        <w:t xml:space="preserve">.Industry Wide Connections, </w:t>
      </w:r>
      <w:r w:rsidRPr="001F1CD4">
        <w:rPr>
          <w:i/>
        </w:rPr>
        <w:t>infra</w:t>
      </w:r>
    </w:p>
  </w:footnote>
  <w:footnote w:id="13">
    <w:p w:rsidR="00EC7CF3" w:rsidRDefault="00EC7CF3" w:rsidP="00D3297C">
      <w:pPr>
        <w:pStyle w:val="FootnoteText"/>
      </w:pPr>
      <w:r w:rsidRPr="00D40600">
        <w:rPr>
          <w:rStyle w:val="FootnoteReference"/>
          <w:sz w:val="20"/>
        </w:rPr>
        <w:footnoteRef/>
      </w:r>
      <w:r w:rsidRPr="00D40600">
        <w:t xml:space="preserve"> </w:t>
      </w:r>
      <w:r w:rsidRPr="00D40600">
        <w:rPr>
          <w:i/>
        </w:rPr>
        <w:t>US Wireless 411 4Q11</w:t>
      </w:r>
      <w:r w:rsidRPr="00D40600">
        <w:t>, at 10.  UBS categorizes Tracfone customers</w:t>
      </w:r>
      <w:r>
        <w:t xml:space="preserve"> as</w:t>
      </w:r>
      <w:r w:rsidRPr="00D40600">
        <w:t xml:space="preserve"> prepaid, not wholesale.</w:t>
      </w:r>
    </w:p>
  </w:footnote>
  <w:footnote w:id="14">
    <w:p w:rsidR="00EC7CF3" w:rsidRDefault="00EC7CF3" w:rsidP="00D3297C">
      <w:pPr>
        <w:pStyle w:val="FootnoteText"/>
      </w:pPr>
      <w:r w:rsidRPr="00D40600">
        <w:rPr>
          <w:rStyle w:val="FootnoteReference"/>
          <w:sz w:val="20"/>
        </w:rPr>
        <w:footnoteRef/>
      </w:r>
      <w:r w:rsidRPr="00D40600">
        <w:t xml:space="preserve"> These calculations include wholesale subscribers.  </w:t>
      </w:r>
      <w:r w:rsidRPr="00D40600">
        <w:rPr>
          <w:i/>
        </w:rPr>
        <w:t>Pro-forma</w:t>
      </w:r>
      <w:r w:rsidRPr="00D40600">
        <w:t xml:space="preserve"> calculations were made to account for mergers and show only “organic” net adds generated independent of mergers.  For instance, Verizon Wireless’s reported net additions for 2009, including the subscribers acquired from Alltel, totaled 19,193,000.  </w:t>
      </w:r>
      <w:r w:rsidRPr="00D40600">
        <w:rPr>
          <w:i/>
        </w:rPr>
        <w:t>See Fifteenth Report</w:t>
      </w:r>
      <w:r w:rsidRPr="00D40600">
        <w:t>, 26 FCC Rcd at 9775 Chart 18, n. 544.</w:t>
      </w:r>
    </w:p>
  </w:footnote>
  <w:footnote w:id="15">
    <w:p w:rsidR="00EC7CF3" w:rsidRDefault="00EC7CF3" w:rsidP="00D3297C">
      <w:pPr>
        <w:pStyle w:val="FootnoteText"/>
      </w:pPr>
      <w:r w:rsidRPr="00D40600">
        <w:rPr>
          <w:rStyle w:val="FootnoteReference"/>
          <w:sz w:val="20"/>
        </w:rPr>
        <w:footnoteRef/>
      </w:r>
      <w:r w:rsidRPr="00D40600">
        <w:t xml:space="preserve"> Cisco Visual Networking Index U.S. Mobile Data Traffic Forecast Update, February 2012.</w:t>
      </w:r>
    </w:p>
  </w:footnote>
  <w:footnote w:id="16">
    <w:p w:rsidR="00EC7CF3" w:rsidRDefault="00EC7CF3" w:rsidP="0078346C">
      <w:pPr>
        <w:pStyle w:val="FootnoteText"/>
      </w:pPr>
      <w:r w:rsidRPr="00D40600">
        <w:rPr>
          <w:rStyle w:val="FootnoteReference"/>
          <w:sz w:val="20"/>
        </w:rPr>
        <w:footnoteRef/>
      </w:r>
      <w:r w:rsidRPr="00D40600">
        <w:t xml:space="preserve"> </w:t>
      </w:r>
      <w:r w:rsidRPr="00D40600">
        <w:rPr>
          <w:i/>
        </w:rPr>
        <w:t>CTIA Year-End 2011 Wireless Indices Report</w:t>
      </w:r>
      <w:r w:rsidRPr="00D40600">
        <w:t>, at 215.</w:t>
      </w:r>
    </w:p>
  </w:footnote>
  <w:footnote w:id="17">
    <w:p w:rsidR="00EC7CF3" w:rsidRDefault="00EC7CF3" w:rsidP="00D3297C">
      <w:pPr>
        <w:pStyle w:val="FootnoteText"/>
      </w:pPr>
      <w:r w:rsidRPr="00D40600">
        <w:rPr>
          <w:rStyle w:val="FootnoteReference"/>
          <w:sz w:val="20"/>
        </w:rPr>
        <w:footnoteRef/>
      </w:r>
      <w:r w:rsidRPr="00D40600">
        <w:t xml:space="preserve"> </w:t>
      </w:r>
      <w:r w:rsidRPr="00D40600">
        <w:rPr>
          <w:i/>
        </w:rPr>
        <w:t>CTIA’s Wireless Industry Indices, Year-End 2011 Results</w:t>
      </w:r>
      <w:r w:rsidRPr="00D40600">
        <w:t xml:space="preserve">, released May 2012.  Calculations derived from data on </w:t>
      </w:r>
      <w:r>
        <w:t>reported subscribers</w:t>
      </w:r>
      <w:r w:rsidRPr="00D40600">
        <w:t>, six-month text/SMS message volumes, and six-month MMS message volumes.</w:t>
      </w:r>
      <w:r>
        <w:t xml:space="preserve">  </w:t>
      </w:r>
      <w:r w:rsidRPr="00443BF6">
        <w:t>CTIA’s reported subscribers which were not revised in the second half of 2012 when CTIA revised estimated subscribers for 2009-2011.</w:t>
      </w:r>
    </w:p>
  </w:footnote>
  <w:footnote w:id="18">
    <w:p w:rsidR="00EC7CF3" w:rsidRDefault="00EC7CF3" w:rsidP="00D3297C">
      <w:pPr>
        <w:pStyle w:val="FootnoteText"/>
      </w:pPr>
      <w:r w:rsidRPr="00D40600">
        <w:rPr>
          <w:rStyle w:val="FootnoteReference"/>
          <w:sz w:val="20"/>
        </w:rPr>
        <w:footnoteRef/>
      </w:r>
      <w:r w:rsidRPr="00D40600">
        <w:t xml:space="preserve"> Validas, 3 Year View of US Wireless Data Consumption: 2009-2011, Prepared for the FCC by Validas.  The Validas estimates are averages calculated from data from a sample of approximately 20,000 customer bills obtained from customers of the four nationwide providers.</w:t>
      </w:r>
    </w:p>
  </w:footnote>
  <w:footnote w:id="19">
    <w:p w:rsidR="00EC7CF3" w:rsidRDefault="00EC7CF3" w:rsidP="00D3297C">
      <w:pPr>
        <w:pStyle w:val="FootnoteText"/>
      </w:pPr>
      <w:r w:rsidRPr="00D40600">
        <w:rPr>
          <w:rStyle w:val="FootnoteReference"/>
          <w:sz w:val="20"/>
        </w:rPr>
        <w:footnoteRef/>
      </w:r>
      <w:r w:rsidRPr="00D40600">
        <w:t xml:space="preserve"> The wireless telephone services’ component of the CPI (Wireless Telephone Services CPI) is published by the U.S. Department of Labor’s Bureau of Labor Statistics (BLS) on a national basis.</w:t>
      </w:r>
    </w:p>
  </w:footnote>
  <w:footnote w:id="20">
    <w:p w:rsidR="00EC7CF3" w:rsidRDefault="00EC7CF3" w:rsidP="00D3297C">
      <w:pPr>
        <w:pStyle w:val="FootnoteText"/>
      </w:pPr>
      <w:r w:rsidRPr="00D40600">
        <w:rPr>
          <w:rStyle w:val="FootnoteReference"/>
          <w:sz w:val="20"/>
        </w:rPr>
        <w:footnoteRef/>
      </w:r>
      <w:r w:rsidRPr="00D40600">
        <w:t xml:space="preserve"> Dollar figures stated in this </w:t>
      </w:r>
      <w:r w:rsidRPr="00D40600">
        <w:rPr>
          <w:i/>
          <w:iCs/>
        </w:rPr>
        <w:t>Report</w:t>
      </w:r>
      <w:r w:rsidRPr="00D40600">
        <w:t xml:space="preserve"> have not been adjusted for inflation (</w:t>
      </w:r>
      <w:r w:rsidRPr="00D40600">
        <w:rPr>
          <w:i/>
        </w:rPr>
        <w:t>i.e.,</w:t>
      </w:r>
      <w:r w:rsidRPr="00D40600">
        <w:t xml:space="preserve"> they are nominal dollars) unless stated otherwise.</w:t>
      </w:r>
    </w:p>
  </w:footnote>
  <w:footnote w:id="21">
    <w:p w:rsidR="00EC7CF3" w:rsidRDefault="00EC7CF3" w:rsidP="00D3297C">
      <w:pPr>
        <w:pStyle w:val="FootnoteText"/>
      </w:pPr>
      <w:r w:rsidRPr="00D40600">
        <w:rPr>
          <w:rStyle w:val="FootnoteReference"/>
          <w:sz w:val="20"/>
        </w:rPr>
        <w:footnoteRef/>
      </w:r>
      <w:r w:rsidRPr="00D40600">
        <w:t xml:space="preserve"> </w:t>
      </w:r>
      <w:r w:rsidRPr="00D40600">
        <w:rPr>
          <w:i/>
        </w:rPr>
        <w:t xml:space="preserve">CTIA Year-End 2011 Wireless Indices Report.  </w:t>
      </w:r>
      <w:r w:rsidRPr="00D40600">
        <w:t>In 2009, CTIA discontinued the practice of reporting a breakout data series for text messaging service revenues.  The estimates of both wireless data revenues and data ARPU therefore include text messaging service revenues as well as other mobile data service revenues.</w:t>
      </w:r>
    </w:p>
  </w:footnote>
  <w:footnote w:id="22">
    <w:p w:rsidR="00EC7CF3" w:rsidRDefault="00EC7CF3" w:rsidP="00D3297C">
      <w:pPr>
        <w:pStyle w:val="FootnoteText"/>
      </w:pPr>
      <w:r w:rsidRPr="00D40600">
        <w:rPr>
          <w:rStyle w:val="FootnoteReference"/>
          <w:sz w:val="20"/>
        </w:rPr>
        <w:footnoteRef/>
      </w:r>
      <w:r w:rsidRPr="00D40600">
        <w:t xml:space="preserve"> </w:t>
      </w:r>
      <w:r w:rsidRPr="00D40600">
        <w:rPr>
          <w:i/>
        </w:rPr>
        <w:t>CTIA Year-End 2011 Wireless Indices Report</w:t>
      </w:r>
      <w:r w:rsidRPr="00D40600">
        <w:t>; Commission analysis.  Total and voice ARPU include roaming and toll revenues.  The ARPU calculations are based on CTIA’s total estimated subscriber connection numbers, rather than its reported subscriber connection numbers</w:t>
      </w:r>
      <w:r>
        <w:t xml:space="preserve">.  As discussed above, </w:t>
      </w:r>
      <w:r w:rsidRPr="00D40600">
        <w:t xml:space="preserve">CTIA discontinued the practice of reporting a breakout data series for text messaging service revenues.  </w:t>
      </w:r>
    </w:p>
  </w:footnote>
  <w:footnote w:id="23">
    <w:p w:rsidR="00EC7CF3" w:rsidRDefault="00EC7CF3" w:rsidP="00D3297C">
      <w:pPr>
        <w:pStyle w:val="FootnoteText"/>
      </w:pPr>
      <w:r w:rsidRPr="00D40600">
        <w:rPr>
          <w:rStyle w:val="FootnoteReference"/>
          <w:sz w:val="20"/>
        </w:rPr>
        <w:footnoteRef/>
      </w:r>
      <w:r w:rsidRPr="00D40600">
        <w:t xml:space="preserve"> 47 U.S.C. § 309(j)(8)(G); Spectrum Act at § 6402.</w:t>
      </w:r>
    </w:p>
  </w:footnote>
  <w:footnote w:id="24">
    <w:p w:rsidR="00EC7CF3" w:rsidRDefault="00EC7CF3" w:rsidP="00D3297C">
      <w:pPr>
        <w:pStyle w:val="FootnoteText"/>
      </w:pPr>
      <w:r w:rsidRPr="00D40600">
        <w:rPr>
          <w:rStyle w:val="FootnoteReference"/>
          <w:sz w:val="20"/>
        </w:rPr>
        <w:footnoteRef/>
      </w:r>
      <w:r w:rsidRPr="00D40600">
        <w:t xml:space="preserve"> </w:t>
      </w:r>
      <w:r w:rsidRPr="00D40600">
        <w:rPr>
          <w:i/>
        </w:rPr>
        <w:t xml:space="preserve">See </w:t>
      </w:r>
      <w:r w:rsidRPr="00D40600">
        <w:t xml:space="preserve">Spectrum Act at § 6403.  Section 6402 of the Spectrum Act, codified at 47 U.S.C. 307(J)(8)(G)(i) authorizes the Commission to conduct incentive auctions in which a licensee may voluntarily relinquish its spectrum usage rights, in order to permit the assignment by auction of new initial licenses subject to flexible-use service rules, in exchange for a portion of the resulting auction. </w:t>
      </w:r>
    </w:p>
  </w:footnote>
  <w:footnote w:id="25">
    <w:p w:rsidR="00EC7CF3" w:rsidRDefault="00EC7CF3" w:rsidP="00D3297C">
      <w:pPr>
        <w:pStyle w:val="FootnoteText"/>
      </w:pPr>
      <w:r w:rsidRPr="00D40600">
        <w:rPr>
          <w:rStyle w:val="FootnoteReference"/>
          <w:sz w:val="20"/>
        </w:rPr>
        <w:footnoteRef/>
      </w:r>
      <w:r w:rsidRPr="00D40600">
        <w:t xml:space="preserve"> Innovation in the Broadcast Television Bands: Allocations, Channel Sharing and Improvements to VHF, ET Docket No. 10-235, </w:t>
      </w:r>
      <w:r w:rsidRPr="00D40600">
        <w:rPr>
          <w:i/>
        </w:rPr>
        <w:t>Report and Order</w:t>
      </w:r>
      <w:r w:rsidRPr="00D40600">
        <w:t>, 27 FCC Rcd 4616, 4617 ¶ 1 (2012).</w:t>
      </w:r>
    </w:p>
  </w:footnote>
  <w:footnote w:id="26">
    <w:p w:rsidR="00EC7CF3" w:rsidRDefault="00EC7CF3" w:rsidP="00D3297C">
      <w:pPr>
        <w:pStyle w:val="FootnoteText"/>
      </w:pPr>
      <w:r w:rsidRPr="00D40600">
        <w:rPr>
          <w:rStyle w:val="FootnoteReference"/>
          <w:sz w:val="20"/>
        </w:rPr>
        <w:footnoteRef/>
      </w:r>
      <w:r w:rsidRPr="00D40600">
        <w:t xml:space="preserve"> Innovation in the Broadcast Television Bands: Allocations, Channel Sharing and Improvements to VHF, ET Docket No. 10-235, </w:t>
      </w:r>
      <w:r w:rsidRPr="00D40600">
        <w:rPr>
          <w:i/>
        </w:rPr>
        <w:t>Report and Order</w:t>
      </w:r>
      <w:r w:rsidRPr="00D40600">
        <w:t>, 27 FCC Rcd 4616, 4617 ¶ 1 (2012).</w:t>
      </w:r>
    </w:p>
  </w:footnote>
  <w:footnote w:id="27">
    <w:p w:rsidR="00EC7CF3" w:rsidRDefault="00EC7CF3">
      <w:pPr>
        <w:pStyle w:val="FootnoteText"/>
      </w:pPr>
      <w:r>
        <w:rPr>
          <w:rStyle w:val="FootnoteReference"/>
        </w:rPr>
        <w:footnoteRef/>
      </w:r>
      <w:r>
        <w:t xml:space="preserve"> </w:t>
      </w:r>
      <w:r w:rsidRPr="00A81668">
        <w:rPr>
          <w:i/>
        </w:rPr>
        <w:t>See</w:t>
      </w:r>
      <w:r>
        <w:t xml:space="preserve"> </w:t>
      </w:r>
      <w:r w:rsidRPr="00A81668">
        <w:rPr>
          <w:i/>
        </w:rPr>
        <w:t>Horizontal Merger Guidelines</w:t>
      </w:r>
      <w:r w:rsidRPr="00A81668">
        <w:t xml:space="preserve">, U.S. Department of Justice and the Federal Trade Commission, </w:t>
      </w:r>
      <w:hyperlink r:id="rId1" w:history="1">
        <w:r w:rsidRPr="00A81668">
          <w:rPr>
            <w:rStyle w:val="Hyperlink"/>
          </w:rPr>
          <w:t>http://www.justice.gov/atr/public/guidelines/hmg-2010.pdf</w:t>
        </w:r>
      </w:hyperlink>
      <w:r w:rsidRPr="00A81668">
        <w:t xml:space="preserve"> .</w:t>
      </w:r>
    </w:p>
  </w:footnote>
  <w:footnote w:id="28">
    <w:p w:rsidR="00EC7CF3" w:rsidRDefault="00EC7CF3" w:rsidP="00D3297C">
      <w:pPr>
        <w:pStyle w:val="FootnoteText"/>
      </w:pPr>
      <w:r w:rsidRPr="00D40600">
        <w:rPr>
          <w:rStyle w:val="FootnoteReference"/>
          <w:sz w:val="20"/>
        </w:rPr>
        <w:footnoteRef/>
      </w:r>
      <w:r w:rsidRPr="00D40600">
        <w:t xml:space="preserve"> </w:t>
      </w:r>
      <w:r w:rsidRPr="00D40600">
        <w:rPr>
          <w:i/>
        </w:rPr>
        <w:t>CTIA Year-End 2010 Wireless Indices Report</w:t>
      </w:r>
      <w:r w:rsidRPr="00D40600">
        <w:t xml:space="preserve">, at 137, 139; </w:t>
      </w:r>
      <w:r w:rsidRPr="00D40600">
        <w:rPr>
          <w:i/>
        </w:rPr>
        <w:t>CTIA Year-End 2011 Wireless Indices Report</w:t>
      </w:r>
      <w:r w:rsidRPr="00D40600">
        <w:t xml:space="preserve">, at 139, 141.  CTIA’s figure includes incremental investment in currently operational systems, including expenditures for building operating systems, land and capital leases, and all tangible non-system capital investment, but does not include the cost of spectrum licenses purchased at auctions or other acquisition processes or greenfield builds.  </w:t>
      </w:r>
      <w:r w:rsidRPr="00D40600">
        <w:rPr>
          <w:i/>
        </w:rPr>
        <w:t>CTIA Year-End 2010 Wireless Indices Report</w:t>
      </w:r>
      <w:r w:rsidRPr="00D40600">
        <w:t>, at 137-138.</w:t>
      </w:r>
    </w:p>
  </w:footnote>
  <w:footnote w:id="29">
    <w:p w:rsidR="00EC7CF3" w:rsidRDefault="00EC7CF3" w:rsidP="00D3297C">
      <w:pPr>
        <w:pStyle w:val="FootnoteText"/>
      </w:pPr>
      <w:r w:rsidRPr="00D40600">
        <w:rPr>
          <w:rStyle w:val="FootnoteReference"/>
          <w:sz w:val="20"/>
        </w:rPr>
        <w:footnoteRef/>
      </w:r>
      <w:r w:rsidRPr="00D40600">
        <w:t xml:space="preserve"> </w:t>
      </w:r>
      <w:r w:rsidRPr="00D40600">
        <w:rPr>
          <w:i/>
        </w:rPr>
        <w:t xml:space="preserve">See </w:t>
      </w:r>
      <w:r w:rsidRPr="00D40600">
        <w:t xml:space="preserve">U.S. Census Bureau, Annual Capital Expenditures Survey, </w:t>
      </w:r>
      <w:hyperlink r:id="rId2" w:history="1">
        <w:r w:rsidRPr="00D40600">
          <w:rPr>
            <w:rStyle w:val="Hyperlink"/>
          </w:rPr>
          <w:t>http://www.census.gov/econ/aces/index.html</w:t>
        </w:r>
      </w:hyperlink>
      <w:r w:rsidRPr="00D40600">
        <w:t>, (visited Feb. 9, 2011)</w:t>
      </w:r>
    </w:p>
  </w:footnote>
  <w:footnote w:id="30">
    <w:p w:rsidR="00EC7CF3" w:rsidRDefault="00EC7CF3" w:rsidP="00D3297C">
      <w:pPr>
        <w:pStyle w:val="FootnoteText"/>
      </w:pPr>
      <w:r w:rsidRPr="00D40600">
        <w:rPr>
          <w:rStyle w:val="FootnoteReference"/>
          <w:sz w:val="20"/>
        </w:rPr>
        <w:footnoteRef/>
      </w:r>
      <w:r w:rsidRPr="00D40600">
        <w:t xml:space="preserve"> Verizon Communications, Inc., SEC Forms 10-K, filed Feb. 14, 2012, filed Feb. 28, 2011, filed Feb. 26, 2010, and Feb. 24, 2009; AT&amp;T Inc., SEC Forms 10-K, filed Feb. 24, 2012, filed Mar. 1, 2011, filed Feb. 25, 2010, filed Feb. 25, 2009, filed Feb. 27, 2008; Sprint Nextel, SEC Forms 10-K, filed Feb. 27, 2012; filed Feb. 24, 2011; filed Feb. 26, 2010;</w:t>
      </w:r>
      <w:r w:rsidRPr="00D40600">
        <w:rPr>
          <w:i/>
        </w:rPr>
        <w:t xml:space="preserve"> US Wireless 411 4Q11</w:t>
      </w:r>
      <w:r w:rsidRPr="00D40600">
        <w:t>, at 37.</w:t>
      </w:r>
    </w:p>
  </w:footnote>
  <w:footnote w:id="31">
    <w:p w:rsidR="00EC7CF3" w:rsidRDefault="00EC7CF3" w:rsidP="00D3297C">
      <w:pPr>
        <w:pStyle w:val="FootnoteText"/>
      </w:pPr>
      <w:r w:rsidRPr="00D40600">
        <w:rPr>
          <w:rStyle w:val="FootnoteReference"/>
          <w:sz w:val="20"/>
        </w:rPr>
        <w:footnoteRef/>
      </w:r>
      <w:r w:rsidRPr="00D40600">
        <w:t xml:space="preserve"> UBS, </w:t>
      </w:r>
      <w:r w:rsidRPr="00D40600">
        <w:rPr>
          <w:i/>
        </w:rPr>
        <w:t>US Wireless 411 Reports</w:t>
      </w:r>
      <w:r w:rsidRPr="00D40600">
        <w:t xml:space="preserve">, 2002 – 2011.  </w:t>
      </w:r>
    </w:p>
  </w:footnote>
  <w:footnote w:id="32">
    <w:p w:rsidR="00EC7CF3" w:rsidRDefault="00EC7CF3" w:rsidP="00D3297C">
      <w:pPr>
        <w:pStyle w:val="FootnoteText"/>
      </w:pPr>
      <w:r w:rsidRPr="00D40600">
        <w:rPr>
          <w:rStyle w:val="FootnoteReference"/>
          <w:sz w:val="20"/>
        </w:rPr>
        <w:footnoteRef/>
      </w:r>
      <w:r w:rsidRPr="00D40600">
        <w:t xml:space="preserve"> Nielsenwire, The Nielsen Company, </w:t>
      </w:r>
      <w:r w:rsidRPr="008B0D7B">
        <w:rPr>
          <w:i/>
        </w:rPr>
        <w:t>Young Adults and Teens Lead Growth Among Smartphone Owners</w:t>
      </w:r>
      <w:r w:rsidRPr="00D40600">
        <w:rPr>
          <w:bCs/>
        </w:rPr>
        <w:t>,  September 1</w:t>
      </w:r>
      <w:r>
        <w:rPr>
          <w:bCs/>
        </w:rPr>
        <w:t>0</w:t>
      </w:r>
      <w:r w:rsidRPr="00D40600">
        <w:rPr>
          <w:bCs/>
        </w:rPr>
        <w:t>, 201</w:t>
      </w:r>
      <w:r>
        <w:rPr>
          <w:bCs/>
        </w:rPr>
        <w:t>2</w:t>
      </w:r>
      <w:r w:rsidRPr="00D40600">
        <w:rPr>
          <w:bCs/>
        </w:rPr>
        <w:t xml:space="preserve">.  </w:t>
      </w:r>
      <w:r w:rsidRPr="006727DA">
        <w:rPr>
          <w:bCs/>
          <w:i/>
        </w:rPr>
        <w:t>See also</w:t>
      </w:r>
      <w:r w:rsidRPr="00D40600">
        <w:rPr>
          <w:bCs/>
        </w:rPr>
        <w:t xml:space="preserve"> </w:t>
      </w:r>
      <w:hyperlink r:id="rId3" w:history="1">
        <w:r w:rsidRPr="00795305">
          <w:rPr>
            <w:rStyle w:val="Hyperlink"/>
            <w:bCs/>
          </w:rPr>
          <w:t>http://blog.nielsen.com/nielsenwire/online_mobile/young-adults-and-teens-lead-growth-among-smartphone-owners/</w:t>
        </w:r>
      </w:hyperlink>
      <w:r>
        <w:rPr>
          <w:bCs/>
        </w:rPr>
        <w:t xml:space="preserve"> </w:t>
      </w:r>
      <w:r w:rsidRPr="00D40600">
        <w:rPr>
          <w:bCs/>
        </w:rPr>
        <w:t>(visited Nov.19, 2012</w:t>
      </w:r>
      <w:r>
        <w:rPr>
          <w:bCs/>
        </w:rPr>
        <w:t>).</w:t>
      </w:r>
    </w:p>
  </w:footnote>
  <w:footnote w:id="33">
    <w:p w:rsidR="00EC7CF3" w:rsidRDefault="00EC7CF3" w:rsidP="00D3297C">
      <w:pPr>
        <w:pStyle w:val="FootnoteText"/>
      </w:pPr>
      <w:r w:rsidRPr="00D40600">
        <w:rPr>
          <w:rStyle w:val="FootnoteReference"/>
          <w:sz w:val="20"/>
        </w:rPr>
        <w:footnoteRef/>
      </w:r>
      <w:r w:rsidRPr="00D40600">
        <w:t xml:space="preserve"> Prior to 2011, Apple distributed its iPhone throu</w:t>
      </w:r>
      <w:r>
        <w:t>gh AT&amp;T (and its affiliates) on</w:t>
      </w:r>
      <w:r w:rsidRPr="00D40600">
        <w:t xml:space="preserve">ly.  An exclusive handset arrangement (EHA) is an arrangement in which a handset manufacturer or vendor agrees to sell a particular handset model to only one wireless service provider, usually for a specified period of time.  See </w:t>
      </w:r>
      <w:r w:rsidRPr="00D40600">
        <w:rPr>
          <w:i/>
        </w:rPr>
        <w:t>Fifteenth Report</w:t>
      </w:r>
      <w:r w:rsidRPr="00D40600">
        <w:t>, 26</w:t>
      </w:r>
      <w:r w:rsidRPr="00D40600">
        <w:rPr>
          <w:i/>
        </w:rPr>
        <w:t xml:space="preserve"> </w:t>
      </w:r>
      <w:r w:rsidRPr="00D40600">
        <w:t>FCC Rcd at 9857 ¶ 341.</w:t>
      </w:r>
    </w:p>
  </w:footnote>
  <w:footnote w:id="34">
    <w:p w:rsidR="00EC7CF3" w:rsidRDefault="00EC7CF3" w:rsidP="00D3297C">
      <w:pPr>
        <w:pStyle w:val="FootnoteText"/>
      </w:pPr>
      <w:r w:rsidRPr="00D40600">
        <w:rPr>
          <w:rStyle w:val="FootnoteReference"/>
          <w:sz w:val="20"/>
        </w:rPr>
        <w:footnoteRef/>
      </w:r>
      <w:r w:rsidRPr="00D40600">
        <w:t xml:space="preserve"> Nielsenwire, The Nielsen Company, </w:t>
      </w:r>
      <w:r w:rsidRPr="00D40600">
        <w:rPr>
          <w:bCs/>
          <w:i/>
        </w:rPr>
        <w:t>Two Thirds of New Mobile Buyers Now Opting for Smartphones</w:t>
      </w:r>
      <w:r>
        <w:rPr>
          <w:bCs/>
        </w:rPr>
        <w:t xml:space="preserve">, </w:t>
      </w:r>
      <w:r w:rsidRPr="00D40600">
        <w:rPr>
          <w:bCs/>
        </w:rPr>
        <w:t xml:space="preserve">July 12, 2012.  </w:t>
      </w:r>
      <w:r w:rsidRPr="00443BF6">
        <w:rPr>
          <w:bCs/>
          <w:i/>
        </w:rPr>
        <w:t>See also</w:t>
      </w:r>
      <w:r w:rsidRPr="00D40600">
        <w:rPr>
          <w:bCs/>
        </w:rPr>
        <w:t xml:space="preserve"> </w:t>
      </w:r>
      <w:hyperlink r:id="rId4" w:history="1">
        <w:r w:rsidRPr="00795305">
          <w:rPr>
            <w:rStyle w:val="Hyperlink"/>
            <w:bCs/>
          </w:rPr>
          <w:t>http://blog.nielsen.com/nielsenwire/online_mobile/two-thirds-of-new-mobile-buyers-now-opting-for-smartphones/</w:t>
        </w:r>
      </w:hyperlink>
      <w:r>
        <w:rPr>
          <w:bCs/>
        </w:rPr>
        <w:t xml:space="preserve"> </w:t>
      </w:r>
      <w:r w:rsidRPr="00D40600">
        <w:rPr>
          <w:bCs/>
        </w:rPr>
        <w:t xml:space="preserve"> (visited Nov. 19, 2012)</w:t>
      </w:r>
      <w:r w:rsidRPr="00D40600">
        <w:rPr>
          <w:i/>
        </w:rPr>
        <w:t>.</w:t>
      </w:r>
    </w:p>
  </w:footnote>
  <w:footnote w:id="35">
    <w:p w:rsidR="00EC7CF3" w:rsidRDefault="00EC7CF3" w:rsidP="008E5CA6">
      <w:pPr>
        <w:pStyle w:val="FootnoteText"/>
      </w:pPr>
      <w:r w:rsidRPr="00D40600">
        <w:rPr>
          <w:rStyle w:val="FootnoteReference"/>
          <w:sz w:val="20"/>
        </w:rPr>
        <w:footnoteRef/>
      </w:r>
      <w:r w:rsidRPr="00D40600">
        <w:t xml:space="preserve"> </w:t>
      </w:r>
      <w:r w:rsidRPr="00D40600">
        <w:rPr>
          <w:iCs/>
        </w:rPr>
        <w:t xml:space="preserve">comScore, Press Release, </w:t>
      </w:r>
      <w:r w:rsidRPr="00D40600">
        <w:rPr>
          <w:i/>
          <w:iCs/>
        </w:rPr>
        <w:t>comScore Reports July 2012 U.S. Mobile Subscriber Market Share</w:t>
      </w:r>
      <w:r w:rsidRPr="00D40600">
        <w:rPr>
          <w:iCs/>
        </w:rPr>
        <w:t>, Sept. 4</w:t>
      </w:r>
      <w:r>
        <w:rPr>
          <w:iCs/>
        </w:rPr>
        <w:t>,</w:t>
      </w:r>
      <w:r w:rsidRPr="00D40600">
        <w:rPr>
          <w:iCs/>
        </w:rPr>
        <w:t xml:space="preserve"> 2012</w:t>
      </w:r>
      <w:r w:rsidRPr="00D40600">
        <w:t xml:space="preserve">. </w:t>
      </w:r>
      <w:hyperlink r:id="rId5" w:history="1">
        <w:r w:rsidRPr="00795305">
          <w:rPr>
            <w:rStyle w:val="Hyperlink"/>
          </w:rPr>
          <w:t>http://www.comscore.com/Insights/Press_Releases/2012/9/comScore_Reports_July_2012_US_Mobile_Subscriber_Market_Share</w:t>
        </w:r>
      </w:hyperlink>
      <w:r w:rsidRPr="00D40600">
        <w:t xml:space="preserve"> (visited Nov. 19, 2012)</w:t>
      </w:r>
      <w:r>
        <w:t>.</w:t>
      </w:r>
    </w:p>
  </w:footnote>
  <w:footnote w:id="36">
    <w:p w:rsidR="00EC7CF3" w:rsidRDefault="00EC7CF3" w:rsidP="00D3297C">
      <w:pPr>
        <w:pStyle w:val="FootnoteText"/>
      </w:pPr>
      <w:r w:rsidRPr="00D40600">
        <w:rPr>
          <w:rStyle w:val="FootnoteReference"/>
          <w:sz w:val="20"/>
        </w:rPr>
        <w:footnoteRef/>
      </w:r>
      <w:r w:rsidRPr="00D40600">
        <w:t xml:space="preserve"> </w:t>
      </w:r>
      <w:r w:rsidRPr="00D40600">
        <w:rPr>
          <w:i/>
        </w:rPr>
        <w:t>See</w:t>
      </w:r>
      <w:r w:rsidRPr="00D40600">
        <w:t xml:space="preserve"> </w:t>
      </w:r>
      <w:r w:rsidRPr="00D40600">
        <w:rPr>
          <w:i/>
        </w:rPr>
        <w:t>Available apps across major mobile platforms approaching million-app milestone</w:t>
      </w:r>
      <w:r>
        <w:rPr>
          <w:i/>
        </w:rPr>
        <w:t>,</w:t>
      </w:r>
      <w:r w:rsidRPr="00D40600">
        <w:t xml:space="preserve"> </w:t>
      </w:r>
      <w:r w:rsidRPr="00D2337E">
        <w:rPr>
          <w:i/>
        </w:rPr>
        <w:t xml:space="preserve">available at </w:t>
      </w:r>
      <w:hyperlink r:id="rId6" w:history="1">
        <w:r w:rsidRPr="00D40600">
          <w:rPr>
            <w:rStyle w:val="Hyperlink"/>
          </w:rPr>
          <w:t>http://www.bgr.com/2011/12/05/available-apps-across-major-mobile-platforms-approachmillion-app-milestone/</w:t>
        </w:r>
      </w:hyperlink>
      <w:r>
        <w:t xml:space="preserve"> (visited Nov. 30, 2012).</w:t>
      </w:r>
    </w:p>
  </w:footnote>
  <w:footnote w:id="37">
    <w:p w:rsidR="00EC7CF3" w:rsidRDefault="00EC7CF3" w:rsidP="00D3297C">
      <w:pPr>
        <w:pStyle w:val="FootnoteText"/>
      </w:pPr>
      <w:r w:rsidRPr="00D40600">
        <w:rPr>
          <w:rStyle w:val="FootnoteReference"/>
          <w:sz w:val="20"/>
        </w:rPr>
        <w:footnoteRef/>
      </w:r>
      <w:r w:rsidRPr="00D40600">
        <w:t xml:space="preserve"> </w:t>
      </w:r>
      <w:r w:rsidRPr="00D40600">
        <w:rPr>
          <w:i/>
        </w:rPr>
        <w:t>See Apple</w:t>
      </w:r>
      <w:r>
        <w:rPr>
          <w:i/>
        </w:rPr>
        <w:t xml:space="preserve">, </w:t>
      </w:r>
      <w:hyperlink r:id="rId7" w:history="1">
        <w:r w:rsidRPr="00DD70EA">
          <w:rPr>
            <w:rStyle w:val="Hyperlink"/>
          </w:rPr>
          <w:t>http://www.apple.com/iphone/from-the-app-store/</w:t>
        </w:r>
      </w:hyperlink>
      <w:r>
        <w:rPr>
          <w:i/>
        </w:rPr>
        <w:t xml:space="preserve"> </w:t>
      </w:r>
      <w:r w:rsidRPr="007D4BCE">
        <w:t>(</w:t>
      </w:r>
      <w:r w:rsidRPr="00DD70EA">
        <w:t>visited Nov</w:t>
      </w:r>
      <w:r>
        <w:t>. 30, 2012).</w:t>
      </w:r>
    </w:p>
  </w:footnote>
  <w:footnote w:id="38">
    <w:p w:rsidR="00EC7CF3" w:rsidRDefault="00EC7CF3" w:rsidP="00D3297C">
      <w:pPr>
        <w:pStyle w:val="FootnoteText"/>
      </w:pPr>
      <w:r w:rsidRPr="00D40600">
        <w:rPr>
          <w:rStyle w:val="FootnoteReference"/>
          <w:sz w:val="20"/>
        </w:rPr>
        <w:footnoteRef/>
      </w:r>
      <w:r w:rsidRPr="00D40600">
        <w:t xml:space="preserve"> Stephen J. Blumberg and Julian V. Luke, </w:t>
      </w:r>
      <w:r w:rsidRPr="00D40600">
        <w:rPr>
          <w:i/>
        </w:rPr>
        <w:t xml:space="preserve">Wireless Substitution: Early Release of Estimates from the National health Interview Survey, July- December 2011, </w:t>
      </w:r>
      <w:r w:rsidRPr="00D40600">
        <w:t xml:space="preserve">National Center for Health Statistics, Centers for Disease Control, June 2012, </w:t>
      </w:r>
      <w:r w:rsidRPr="00D40600">
        <w:rPr>
          <w:i/>
        </w:rPr>
        <w:t>available at</w:t>
      </w:r>
      <w:r w:rsidRPr="00D40600">
        <w:t xml:space="preserve"> </w:t>
      </w:r>
      <w:hyperlink r:id="rId8" w:history="1">
        <w:r w:rsidRPr="00D304BB">
          <w:rPr>
            <w:rStyle w:val="Hyperlink"/>
          </w:rPr>
          <w:t>http://www.cdc.gov/nchs/data/nhis/earlyrelease/wireless201206.pdf</w:t>
        </w:r>
      </w:hyperlink>
      <w:r>
        <w:t xml:space="preserve"> (visited Nov. 29, 2012).</w:t>
      </w:r>
    </w:p>
  </w:footnote>
  <w:footnote w:id="39">
    <w:p w:rsidR="00EC7CF3" w:rsidRDefault="00EC7CF3" w:rsidP="00D3297C">
      <w:pPr>
        <w:pStyle w:val="FootnoteText"/>
      </w:pPr>
      <w:r w:rsidRPr="00D40600">
        <w:rPr>
          <w:rStyle w:val="FootnoteReference"/>
          <w:sz w:val="20"/>
        </w:rPr>
        <w:footnoteRef/>
      </w:r>
      <w:r w:rsidRPr="00D40600">
        <w:t xml:space="preserve"> Stephen J. Blumberg and Julian V. Luke, </w:t>
      </w:r>
      <w:r w:rsidRPr="00D40600">
        <w:rPr>
          <w:i/>
        </w:rPr>
        <w:t xml:space="preserve">Wireless Substitution: Early Release of Estimates from the National health Interview Survey, July- December 2011, </w:t>
      </w:r>
      <w:r w:rsidRPr="00D40600">
        <w:t xml:space="preserve">National Center for Health Statistics, Centers for Disease Control, June 2012, </w:t>
      </w:r>
      <w:r w:rsidRPr="00D40600">
        <w:rPr>
          <w:i/>
        </w:rPr>
        <w:t>available at</w:t>
      </w:r>
      <w:r w:rsidRPr="00D40600">
        <w:t xml:space="preserve"> </w:t>
      </w:r>
      <w:hyperlink r:id="rId9" w:history="1">
        <w:r w:rsidRPr="00D304BB">
          <w:rPr>
            <w:rStyle w:val="Hyperlink"/>
          </w:rPr>
          <w:t>http://www.cdc.gov/nchs/data/nhis/earlyrelease/wireless201206.pdf</w:t>
        </w:r>
      </w:hyperlink>
      <w:r>
        <w:t xml:space="preserve"> (visited Nov. 29, 2012).</w:t>
      </w:r>
    </w:p>
  </w:footnote>
  <w:footnote w:id="40">
    <w:p w:rsidR="00EC7CF3" w:rsidRDefault="00EC7CF3" w:rsidP="00D3297C">
      <w:pPr>
        <w:pStyle w:val="FootnoteText"/>
      </w:pPr>
      <w:r w:rsidRPr="00D40600">
        <w:rPr>
          <w:rStyle w:val="FootnoteReference"/>
          <w:sz w:val="20"/>
        </w:rPr>
        <w:footnoteRef/>
      </w:r>
      <w:r w:rsidRPr="00D40600">
        <w:t xml:space="preserve"> Stephen J. Blumberg and Julian V. Luke, </w:t>
      </w:r>
      <w:r w:rsidRPr="00D40600">
        <w:rPr>
          <w:i/>
        </w:rPr>
        <w:t xml:space="preserve">Wireless Substitution: Early Release of Estimates from the National health Interview Survey, July- December 2011, </w:t>
      </w:r>
      <w:r w:rsidRPr="00D40600">
        <w:t xml:space="preserve">National Center for Health Statistics, Centers for Disease Control, June 2012, </w:t>
      </w:r>
      <w:r w:rsidRPr="00D40600">
        <w:rPr>
          <w:i/>
        </w:rPr>
        <w:t>available at</w:t>
      </w:r>
      <w:r w:rsidRPr="00D40600">
        <w:t xml:space="preserve"> </w:t>
      </w:r>
      <w:hyperlink r:id="rId10" w:history="1">
        <w:r w:rsidRPr="00D304BB">
          <w:rPr>
            <w:rStyle w:val="Hyperlink"/>
          </w:rPr>
          <w:t>http://www.cdc.gov/nchs/data/nhis/earlyrelease/wireless201206.pdf</w:t>
        </w:r>
      </w:hyperlink>
      <w:r>
        <w:t xml:space="preserve"> (visited Nov. 29, 2012).</w:t>
      </w:r>
    </w:p>
  </w:footnote>
  <w:footnote w:id="41">
    <w:p w:rsidR="00EC7CF3" w:rsidRDefault="00EC7CF3" w:rsidP="00D3297C">
      <w:pPr>
        <w:pStyle w:val="FootnoteText"/>
      </w:pPr>
      <w:r w:rsidRPr="00D40600">
        <w:rPr>
          <w:rStyle w:val="FootnoteReference"/>
          <w:sz w:val="20"/>
        </w:rPr>
        <w:footnoteRef/>
      </w:r>
      <w:r w:rsidRPr="00D40600">
        <w:t xml:space="preserve"> Stephen J. Blumberg and Julian V. Luke, </w:t>
      </w:r>
      <w:r w:rsidRPr="00D40600">
        <w:rPr>
          <w:i/>
        </w:rPr>
        <w:t xml:space="preserve">Wireless Substitution: Early Release of Estimates from the National health Interview Survey, July- December 2011, </w:t>
      </w:r>
      <w:r w:rsidRPr="00D40600">
        <w:t xml:space="preserve">National Center for Health Statistics, Centers for Disease Control, June 2012, </w:t>
      </w:r>
      <w:r w:rsidRPr="00D40600">
        <w:rPr>
          <w:i/>
        </w:rPr>
        <w:t>available at</w:t>
      </w:r>
      <w:r w:rsidRPr="00D40600">
        <w:t xml:space="preserve"> </w:t>
      </w:r>
      <w:hyperlink r:id="rId11" w:history="1">
        <w:r w:rsidRPr="00D304BB">
          <w:rPr>
            <w:rStyle w:val="Hyperlink"/>
          </w:rPr>
          <w:t>http://www.cdc.gov/nchs/data/nhis/earlyrelease/wireless201206.pdf</w:t>
        </w:r>
      </w:hyperlink>
      <w:r>
        <w:t xml:space="preserve"> (visited Nov. 29, 2012).</w:t>
      </w:r>
    </w:p>
  </w:footnote>
  <w:footnote w:id="42">
    <w:p w:rsidR="00EC7CF3" w:rsidRDefault="00EC7CF3" w:rsidP="00D3297C">
      <w:pPr>
        <w:pStyle w:val="FootnoteText"/>
      </w:pPr>
      <w:r w:rsidRPr="00D40600">
        <w:rPr>
          <w:rStyle w:val="FootnoteReference"/>
          <w:sz w:val="20"/>
        </w:rPr>
        <w:footnoteRef/>
      </w:r>
      <w:r w:rsidRPr="00D40600">
        <w:t xml:space="preserve"> </w:t>
      </w:r>
      <w:r w:rsidRPr="00D40600">
        <w:rPr>
          <w:i/>
        </w:rPr>
        <w:t>Id</w:t>
      </w:r>
      <w:r w:rsidRPr="00D40600">
        <w:t>.</w:t>
      </w:r>
    </w:p>
  </w:footnote>
  <w:footnote w:id="43">
    <w:p w:rsidR="00EC7CF3" w:rsidRDefault="00EC7CF3" w:rsidP="00D3297C">
      <w:pPr>
        <w:pStyle w:val="FootnoteText"/>
      </w:pPr>
      <w:r w:rsidRPr="00D40600">
        <w:rPr>
          <w:rStyle w:val="FootnoteReference"/>
          <w:sz w:val="20"/>
        </w:rPr>
        <w:footnoteRef/>
      </w:r>
      <w:r w:rsidRPr="00D40600">
        <w:t xml:space="preserve"> Stephen J. Blumberg and Julian V. Luke, </w:t>
      </w:r>
      <w:r w:rsidRPr="00D40600">
        <w:rPr>
          <w:i/>
        </w:rPr>
        <w:t xml:space="preserve">Wireless Substitution: Early Release of Estimates from the National health Interview Survey, July- December 2011, </w:t>
      </w:r>
      <w:r w:rsidRPr="00D40600">
        <w:t xml:space="preserve">National Center for Health Statistics, Centers for Disease Control, June 2012, </w:t>
      </w:r>
      <w:r w:rsidRPr="00D40600">
        <w:rPr>
          <w:i/>
        </w:rPr>
        <w:t>available at</w:t>
      </w:r>
      <w:r w:rsidRPr="00D40600">
        <w:t xml:space="preserve"> </w:t>
      </w:r>
      <w:hyperlink r:id="rId12" w:history="1">
        <w:r w:rsidRPr="00D304BB">
          <w:rPr>
            <w:rStyle w:val="Hyperlink"/>
          </w:rPr>
          <w:t>http://www.cdc.gov/nchs/data/nhis/earlyrelease/wireless201206.pdf</w:t>
        </w:r>
      </w:hyperlink>
      <w:r>
        <w:t xml:space="preserve"> (visited Nov. 29, 2012).</w:t>
      </w:r>
    </w:p>
  </w:footnote>
  <w:footnote w:id="44">
    <w:p w:rsidR="00EC7CF3" w:rsidRDefault="00EC7CF3" w:rsidP="00D3297C">
      <w:pPr>
        <w:pStyle w:val="FootnoteText"/>
      </w:pPr>
      <w:r w:rsidRPr="00D40600">
        <w:rPr>
          <w:rStyle w:val="FootnoteReference"/>
          <w:sz w:val="20"/>
        </w:rPr>
        <w:footnoteRef/>
      </w:r>
      <w:r w:rsidRPr="00D40600">
        <w:t xml:space="preserve"> </w:t>
      </w:r>
      <w:r w:rsidRPr="00D40600">
        <w:rPr>
          <w:i/>
          <w:iCs/>
        </w:rPr>
        <w:t xml:space="preserve">Wireless Substitution: Early Release of Estimates From The Data from the National Health Interview Survey, </w:t>
      </w:r>
      <w:r>
        <w:rPr>
          <w:i/>
          <w:iCs/>
        </w:rPr>
        <w:t>January</w:t>
      </w:r>
      <w:r w:rsidRPr="00D40600">
        <w:rPr>
          <w:i/>
          <w:iCs/>
        </w:rPr>
        <w:t xml:space="preserve"> – </w:t>
      </w:r>
      <w:r>
        <w:rPr>
          <w:i/>
          <w:iCs/>
        </w:rPr>
        <w:t>June 2012</w:t>
      </w:r>
      <w:r w:rsidRPr="00D40600">
        <w:rPr>
          <w:iCs/>
        </w:rPr>
        <w:t>)</w:t>
      </w:r>
      <w:r w:rsidRPr="00D40600">
        <w:rPr>
          <w:i/>
          <w:iCs/>
        </w:rPr>
        <w:t xml:space="preserve">. </w:t>
      </w:r>
      <w:r w:rsidRPr="00D40600">
        <w:rPr>
          <w:iCs/>
        </w:rPr>
        <w:t xml:space="preserve"> </w:t>
      </w:r>
      <w:r w:rsidRPr="00D40600">
        <w:t>Adults and children with “no telephone service” include those in households with neither wireline nor wireless service.</w:t>
      </w:r>
    </w:p>
  </w:footnote>
  <w:footnote w:id="45">
    <w:p w:rsidR="00EC7CF3" w:rsidRDefault="00EC7CF3" w:rsidP="00D3297C">
      <w:pPr>
        <w:pStyle w:val="FootnoteText"/>
      </w:pPr>
      <w:r w:rsidRPr="00D40600">
        <w:rPr>
          <w:rStyle w:val="FootnoteReference"/>
          <w:sz w:val="20"/>
        </w:rPr>
        <w:footnoteRef/>
      </w:r>
      <w:r w:rsidRPr="00D40600">
        <w:t xml:space="preserve"> </w:t>
      </w:r>
      <w:r w:rsidRPr="00D40600">
        <w:rPr>
          <w:i/>
        </w:rPr>
        <w:t>National Broadband Plan</w:t>
      </w:r>
      <w:r w:rsidRPr="00D40600">
        <w:t xml:space="preserve">, at 42; </w:t>
      </w:r>
      <w:r w:rsidRPr="00D40600">
        <w:rPr>
          <w:i/>
        </w:rPr>
        <w:t>National Broadband Plan</w:t>
      </w:r>
      <w:r w:rsidRPr="00D40600">
        <w:t xml:space="preserve">, at 42-44; U.S. Department of Justice </w:t>
      </w:r>
      <w:r w:rsidRPr="00D40600">
        <w:rPr>
          <w:i/>
        </w:rPr>
        <w:t>Ex Parte</w:t>
      </w:r>
      <w:r w:rsidRPr="00D40600">
        <w:t>, GN Docket No. 09-51 (filed Jan. 4, 2010), at 8, 10, 11.</w:t>
      </w:r>
    </w:p>
  </w:footnote>
  <w:footnote w:id="46">
    <w:p w:rsidR="00EC7CF3" w:rsidRDefault="00EC7CF3" w:rsidP="00D3297C">
      <w:pPr>
        <w:pStyle w:val="FootnoteText"/>
      </w:pPr>
      <w:r w:rsidRPr="00D40600">
        <w:rPr>
          <w:rStyle w:val="FootnoteReference"/>
          <w:sz w:val="20"/>
        </w:rPr>
        <w:footnoteRef/>
      </w:r>
      <w:r w:rsidRPr="00D40600">
        <w:t xml:space="preserve"> </w:t>
      </w:r>
      <w:r w:rsidRPr="00D40600">
        <w:rPr>
          <w:i/>
        </w:rPr>
        <w:t>National Broadband Plan</w:t>
      </w:r>
      <w:r w:rsidRPr="00D40600">
        <w:t xml:space="preserve">, at 43 and 64, note 3; </w:t>
      </w:r>
      <w:r w:rsidRPr="00D40600">
        <w:rPr>
          <w:i/>
        </w:rPr>
        <w:t>National Broadband Plan</w:t>
      </w:r>
      <w:r w:rsidRPr="00D40600">
        <w:t xml:space="preserve">, at 42-44; U.S. Department of Justice </w:t>
      </w:r>
      <w:r w:rsidRPr="00D40600">
        <w:rPr>
          <w:i/>
        </w:rPr>
        <w:t>Ex Parte</w:t>
      </w:r>
      <w:r w:rsidRPr="00D40600">
        <w:t xml:space="preserve">, GN Docket No. 09-51 (filed Jan. 4, 2010), </w:t>
      </w:r>
      <w:r w:rsidRPr="00D2337E">
        <w:rPr>
          <w:i/>
        </w:rPr>
        <w:t xml:space="preserve">at </w:t>
      </w:r>
      <w:r w:rsidRPr="00D40600">
        <w:t>8.</w:t>
      </w:r>
    </w:p>
  </w:footnote>
  <w:footnote w:id="47">
    <w:p w:rsidR="00EC7CF3" w:rsidRDefault="00EC7CF3" w:rsidP="00D3297C">
      <w:pPr>
        <w:pStyle w:val="FootnoteText"/>
      </w:pPr>
      <w:r w:rsidRPr="00D40600">
        <w:rPr>
          <w:rStyle w:val="FootnoteReference"/>
          <w:sz w:val="20"/>
        </w:rPr>
        <w:footnoteRef/>
      </w:r>
      <w:r w:rsidRPr="00D40600">
        <w:t xml:space="preserve"> In its 2004 </w:t>
      </w:r>
      <w:r w:rsidRPr="00D40600">
        <w:rPr>
          <w:i/>
        </w:rPr>
        <w:t>Report and Order</w:t>
      </w:r>
      <w:r w:rsidRPr="00D40600">
        <w:t xml:space="preserve"> concerning deployment of wireless services in rural areas, the Commission has adopted a “baseline” definition of rural as a county with a population density of 100 persons or fewer per square mile.  </w:t>
      </w:r>
      <w:r w:rsidRPr="00D40600">
        <w:rPr>
          <w:i/>
        </w:rPr>
        <w:t xml:space="preserve">See </w:t>
      </w:r>
      <w:r w:rsidRPr="00D40600">
        <w:t xml:space="preserve">Facilitating the Provision of Spectrum-Based Services to Rural Areas and Promoting Opportunities for Rural Telephone Companies To Provide Spectrum-Based Services, </w:t>
      </w:r>
      <w:r w:rsidRPr="00D40600">
        <w:rPr>
          <w:i/>
          <w:iCs/>
        </w:rPr>
        <w:t>Report and Order</w:t>
      </w:r>
      <w:r w:rsidRPr="00D40600">
        <w:t>, 19 FCC Rcd. 19078, 19087-88 ¶¶ 11-12 (2004).</w:t>
      </w:r>
    </w:p>
  </w:footnote>
  <w:footnote w:id="48">
    <w:p w:rsidR="00EC7CF3" w:rsidRDefault="00EC7CF3" w:rsidP="00D3297C">
      <w:pPr>
        <w:pStyle w:val="FootnoteText"/>
      </w:pPr>
      <w:r w:rsidRPr="00D40600">
        <w:rPr>
          <w:rStyle w:val="FootnoteReference"/>
          <w:sz w:val="20"/>
        </w:rPr>
        <w:footnoteRef/>
      </w:r>
      <w:r>
        <w:t xml:space="preserve"> Based on 2010 Census data.  I</w:t>
      </w:r>
      <w:r w:rsidRPr="00D40600">
        <w:t>ncludes the population of Puerto Rico.</w:t>
      </w:r>
    </w:p>
  </w:footnote>
  <w:footnote w:id="49">
    <w:p w:rsidR="00EC7CF3" w:rsidRDefault="00EC7CF3" w:rsidP="00D3297C">
      <w:pPr>
        <w:pStyle w:val="FootnoteText"/>
      </w:pPr>
      <w:r w:rsidRPr="00D40600">
        <w:rPr>
          <w:rStyle w:val="FootnoteReference"/>
          <w:sz w:val="20"/>
        </w:rPr>
        <w:footnoteRef/>
      </w:r>
      <w:r w:rsidRPr="00D40600">
        <w:t xml:space="preserve"> A larger version of this map may be found in Appendix C.  </w:t>
      </w:r>
    </w:p>
  </w:footnote>
  <w:footnote w:id="50">
    <w:p w:rsidR="00EC7CF3" w:rsidRDefault="00EC7CF3" w:rsidP="00D3297C">
      <w:pPr>
        <w:pStyle w:val="FootnoteText"/>
      </w:pPr>
      <w:r w:rsidRPr="00D40600">
        <w:rPr>
          <w:rStyle w:val="FootnoteReference"/>
          <w:sz w:val="20"/>
        </w:rPr>
        <w:footnoteRef/>
      </w:r>
      <w:r w:rsidRPr="00D40600">
        <w:t xml:space="preserve"> As mentioned earlier, we recognize that Mosaik data likely overstates the coverage actually experienced by consumers.</w:t>
      </w:r>
    </w:p>
  </w:footnote>
  <w:footnote w:id="51">
    <w:p w:rsidR="00EC7CF3" w:rsidRDefault="00EC7CF3">
      <w:pPr>
        <w:pStyle w:val="FootnoteText"/>
      </w:pPr>
      <w:r>
        <w:rPr>
          <w:rStyle w:val="FootnoteReference"/>
        </w:rPr>
        <w:footnoteRef/>
      </w:r>
      <w:r>
        <w:t xml:space="preserve"> </w:t>
      </w:r>
      <w:r w:rsidRPr="00D40600">
        <w:t xml:space="preserve">The Commission may include other combinations of mobile network technologies when referring to “mobile broadband” in other contexts.  </w:t>
      </w:r>
      <w:r w:rsidRPr="00D40600">
        <w:rPr>
          <w:i/>
        </w:rPr>
        <w:t>See, e.g</w:t>
      </w:r>
      <w:r w:rsidRPr="00D40600">
        <w:t xml:space="preserve">., </w:t>
      </w:r>
      <w:r w:rsidRPr="00D40600">
        <w:rPr>
          <w:i/>
        </w:rPr>
        <w:t>Eighth Broadband Progress Report</w:t>
      </w:r>
      <w:r w:rsidRPr="00D40600">
        <w:t xml:space="preserve"> at Table 15.</w:t>
      </w:r>
    </w:p>
  </w:footnote>
  <w:footnote w:id="52">
    <w:p w:rsidR="00EC7CF3" w:rsidRDefault="00EC7CF3" w:rsidP="00B55ADF">
      <w:pPr>
        <w:pStyle w:val="FootnoteText"/>
      </w:pPr>
      <w:r w:rsidRPr="00D40600">
        <w:rPr>
          <w:rStyle w:val="FootnoteReference"/>
          <w:sz w:val="20"/>
        </w:rPr>
        <w:footnoteRef/>
      </w:r>
      <w:r w:rsidRPr="00D40600">
        <w:t xml:space="preserve"> Commission estimates based on census block analysis of Mosaik CoverageRight coverage maps, </w:t>
      </w:r>
      <w:r>
        <w:t>October</w:t>
      </w:r>
      <w:r w:rsidRPr="00D40600">
        <w:t xml:space="preserve"> 2012.  Population data are from the 2010 Census, and </w:t>
      </w:r>
      <w:r>
        <w:t xml:space="preserve">include </w:t>
      </w:r>
      <w:r w:rsidRPr="00D40600">
        <w:t xml:space="preserve">the </w:t>
      </w:r>
      <w:r>
        <w:t>United States (50 states plus the District of Columbia) and Puerto Rico.  S</w:t>
      </w:r>
      <w:r w:rsidRPr="00D40600">
        <w:t xml:space="preserve">quare miles include the United States and Puerto Rico.  There are approximately 11 million census blocks and </w:t>
      </w:r>
      <w:r>
        <w:t xml:space="preserve">a population of </w:t>
      </w:r>
      <w:r w:rsidRPr="00D40600">
        <w:t xml:space="preserve">312 million people.  </w:t>
      </w:r>
      <w:r w:rsidRPr="00D40600">
        <w:rPr>
          <w:color w:val="1F497D"/>
        </w:rPr>
        <w:t> </w:t>
      </w:r>
    </w:p>
  </w:footnote>
  <w:footnote w:id="53">
    <w:p w:rsidR="00EC7CF3" w:rsidRDefault="00EC7CF3" w:rsidP="00226835">
      <w:pPr>
        <w:pStyle w:val="FootnoteText"/>
      </w:pPr>
      <w:r w:rsidRPr="00D40600">
        <w:rPr>
          <w:rStyle w:val="FootnoteReference"/>
          <w:sz w:val="20"/>
        </w:rPr>
        <w:footnoteRef/>
      </w:r>
      <w:r w:rsidRPr="00D40600">
        <w:t xml:space="preserve"> </w:t>
      </w:r>
      <w:r w:rsidRPr="00D40600">
        <w:rPr>
          <w:i/>
          <w:iCs/>
        </w:rPr>
        <w:t>Connect America Fund; A National Broadband Plan for Our Future; Establishing Just and Reasonable Rates for Local Exchange Carriers; High-Cost Universal Service Support; Developing an Unified Intercarrier Compensation Regime; Federal-State Joint Board on Universal Service; Lifeline and Link-Up; Universal Service Reform—Mobility Fund</w:t>
      </w:r>
      <w:r w:rsidRPr="00D40600">
        <w:t>, WC Docket Nos. 10-90, 07-135, 05-337, 03-109, GN Docket No. 09-51, CC Docket Nos. 01-92, 96-45, WT Docket No. 10-208, Report and Order and Further Notice of Proposed Rulemaking, 26 FCC Rcd 17663 (2011) (</w:t>
      </w:r>
      <w:r w:rsidRPr="00D40600">
        <w:rPr>
          <w:i/>
          <w:iCs/>
        </w:rPr>
        <w:t>USF/ICC Transformation Order</w:t>
      </w:r>
      <w:r w:rsidRPr="00D40600">
        <w:t xml:space="preserve">), </w:t>
      </w:r>
      <w:r w:rsidRPr="00D40600">
        <w:rPr>
          <w:i/>
        </w:rPr>
        <w:t>available at</w:t>
      </w:r>
      <w:r w:rsidRPr="00D40600">
        <w:t xml:space="preserve"> http://hraunfoss.fcc.gov/edocs_public/attachmatch/FCC-11-161A1_Rcd.pdf,</w:t>
      </w:r>
      <w:r w:rsidRPr="00D40600">
        <w:rPr>
          <w:i/>
          <w:iCs/>
        </w:rPr>
        <w:t xml:space="preserve"> pets. for review pending</w:t>
      </w:r>
      <w:r w:rsidRPr="00D40600">
        <w:t xml:space="preserve"> </w:t>
      </w:r>
      <w:r w:rsidRPr="00D40600">
        <w:rPr>
          <w:i/>
          <w:iCs/>
        </w:rPr>
        <w:t xml:space="preserve">sub nom. In re </w:t>
      </w:r>
      <w:r w:rsidRPr="00D40600">
        <w:rPr>
          <w:iCs/>
        </w:rPr>
        <w:t>FCC 11-161</w:t>
      </w:r>
      <w:r w:rsidRPr="00D40600">
        <w:rPr>
          <w:i/>
          <w:iCs/>
        </w:rPr>
        <w:t xml:space="preserve">, </w:t>
      </w:r>
      <w:r w:rsidRPr="00D40600">
        <w:t>No. 11-9900 (10th Cir. filed Dec. 8, 2011); Order on Reconsideration, 26 FCC Rcd 17633 (2011); Second Order on Reconsideration, 27 FCC Rcd 4648 (2012); Third Order on Reconsideration, 27 FCC Rcd 5622 (2012).</w:t>
      </w:r>
    </w:p>
  </w:footnote>
  <w:footnote w:id="54">
    <w:p w:rsidR="00EC7CF3" w:rsidRDefault="00EC7CF3" w:rsidP="00226835">
      <w:pPr>
        <w:pStyle w:val="FootnoteText"/>
      </w:pPr>
      <w:r w:rsidRPr="00D40600">
        <w:rPr>
          <w:rStyle w:val="FootnoteReference"/>
          <w:sz w:val="20"/>
        </w:rPr>
        <w:footnoteRef/>
      </w:r>
      <w:r w:rsidRPr="00D40600">
        <w:t xml:space="preserve"> “Mobility Fund Phase I Auction Scheduled for September 27, 2012, Notice and Filing Requirements and Other Procedures for Auction 901,” </w:t>
      </w:r>
      <w:r w:rsidRPr="00D40600">
        <w:rPr>
          <w:i/>
        </w:rPr>
        <w:t>Public Notice</w:t>
      </w:r>
      <w:r w:rsidRPr="00D40600">
        <w:t>, AU Docket No. 12-25, DA 12-641 (WTB rel. May 2, 2012).</w:t>
      </w:r>
    </w:p>
  </w:footnote>
  <w:footnote w:id="55">
    <w:p w:rsidR="00EC7CF3" w:rsidRDefault="00EC7CF3" w:rsidP="00226835">
      <w:pPr>
        <w:pStyle w:val="FootnoteText"/>
      </w:pPr>
      <w:r w:rsidRPr="00D40600">
        <w:rPr>
          <w:rStyle w:val="FootnoteReference"/>
          <w:sz w:val="20"/>
        </w:rPr>
        <w:footnoteRef/>
      </w:r>
      <w:r w:rsidRPr="00D40600">
        <w:t xml:space="preserve"> “Mobility Fund Phase I Auction Closes, Winning Bidders Announced For Auction 901.” </w:t>
      </w:r>
      <w:r w:rsidRPr="00D40600">
        <w:rPr>
          <w:i/>
        </w:rPr>
        <w:t>Public Notice</w:t>
      </w:r>
      <w:r w:rsidRPr="00D40600">
        <w:t xml:space="preserve">, DA 12-1566 (WTB rel. Oct. 3, 2012).  For further information on the Mobility Fund Phase I auction, </w:t>
      </w:r>
      <w:r w:rsidRPr="00D40600">
        <w:rPr>
          <w:i/>
        </w:rPr>
        <w:t>see</w:t>
      </w:r>
      <w:r w:rsidRPr="00D40600">
        <w:t xml:space="preserve"> Auction 901, Mobility Fund Phase I, </w:t>
      </w:r>
      <w:r w:rsidRPr="00D2337E">
        <w:rPr>
          <w:i/>
        </w:rPr>
        <w:t>available at</w:t>
      </w:r>
      <w:r w:rsidRPr="00D40600">
        <w:t xml:space="preserve"> </w:t>
      </w:r>
      <w:hyperlink r:id="rId13" w:history="1">
        <w:r w:rsidRPr="00D40600">
          <w:rPr>
            <w:rStyle w:val="Hyperlink"/>
          </w:rPr>
          <w:t>http://wireless.fcc.gov/auctions/default.htm?job=auction_summary&amp;id=901</w:t>
        </w:r>
      </w:hyperlink>
      <w:r w:rsidRPr="00D40600">
        <w:t xml:space="preserve"> </w:t>
      </w:r>
      <w:r>
        <w:t xml:space="preserve">(visited Nov. 30, 2012). </w:t>
      </w:r>
      <w:r w:rsidRPr="00D40600">
        <w:t xml:space="preserve"> In the USF/ICC Transformation Order, the Commission also designated an additional $50 million in Phase I of the Mobility Fund for one-time support targeted exclusively for mobile service on Tribal lands, which </w:t>
      </w:r>
      <w:r>
        <w:t xml:space="preserve">is to </w:t>
      </w:r>
      <w:r w:rsidRPr="00D40600">
        <w:t xml:space="preserve">be awarded by auction in 2013.  </w:t>
      </w:r>
      <w:r w:rsidRPr="00D40600">
        <w:rPr>
          <w:i/>
        </w:rPr>
        <w:t xml:space="preserve">See USF/ICC Transformation Order, </w:t>
      </w:r>
      <w:r w:rsidRPr="00D40600">
        <w:t>26 FCC Rcd at 17819-20, ¶ 481.</w:t>
      </w:r>
    </w:p>
  </w:footnote>
  <w:footnote w:id="56">
    <w:p w:rsidR="00EC7CF3" w:rsidRDefault="00EC7CF3" w:rsidP="00226835">
      <w:pPr>
        <w:pStyle w:val="FootnoteText"/>
      </w:pPr>
      <w:r w:rsidRPr="00D40600">
        <w:rPr>
          <w:rStyle w:val="FootnoteReference"/>
          <w:sz w:val="20"/>
        </w:rPr>
        <w:footnoteRef/>
      </w:r>
      <w:r w:rsidRPr="00D40600">
        <w:t xml:space="preserve"> </w:t>
      </w:r>
      <w:r w:rsidRPr="00D40600">
        <w:rPr>
          <w:i/>
          <w:iCs/>
        </w:rPr>
        <w:t xml:space="preserve">USF/ICC Transformation Order, </w:t>
      </w:r>
      <w:r w:rsidRPr="00D40600">
        <w:rPr>
          <w:iCs/>
        </w:rPr>
        <w:t>26 FCC Rcd at 17824, ¶¶ 493-494</w:t>
      </w:r>
      <w:r w:rsidRPr="00D40600">
        <w:t>.</w:t>
      </w:r>
    </w:p>
  </w:footnote>
  <w:footnote w:id="57">
    <w:p w:rsidR="00EC7CF3" w:rsidRDefault="00EC7CF3" w:rsidP="00D3297C">
      <w:pPr>
        <w:pStyle w:val="FootnoteText"/>
      </w:pPr>
      <w:r w:rsidRPr="00D40600">
        <w:rPr>
          <w:rStyle w:val="FootnoteReference"/>
          <w:sz w:val="20"/>
        </w:rPr>
        <w:footnoteRef/>
      </w:r>
      <w:r w:rsidRPr="00D40600">
        <w:t xml:space="preserve"> </w:t>
      </w:r>
      <w:r w:rsidRPr="00D40600">
        <w:rPr>
          <w:i/>
        </w:rPr>
        <w:t xml:space="preserve">See </w:t>
      </w:r>
      <w:r w:rsidRPr="00D40600">
        <w:t xml:space="preserve">Implementation of Section 6002(B) of the Omnibus Budget Reconciliation Act of 1993, Annual Report and Analysis of Competitive Market Conditions with Respect to Commercial Mobile Services, </w:t>
      </w:r>
      <w:r w:rsidRPr="00D40600">
        <w:rPr>
          <w:i/>
        </w:rPr>
        <w:t xml:space="preserve">Thirteenth Report, </w:t>
      </w:r>
      <w:r w:rsidRPr="00D40600">
        <w:t>24 FCC Rcd 6185, 6290 ¶ 223 (</w:t>
      </w:r>
      <w:r w:rsidRPr="00D40600">
        <w:rPr>
          <w:i/>
        </w:rPr>
        <w:t>Thirteenth Report</w:t>
      </w:r>
      <w:r w:rsidRPr="00D40600">
        <w:t xml:space="preserve">). </w:t>
      </w:r>
    </w:p>
  </w:footnote>
  <w:footnote w:id="58">
    <w:p w:rsidR="00EC7CF3" w:rsidRDefault="00EC7CF3" w:rsidP="00D3297C">
      <w:pPr>
        <w:pStyle w:val="FootnoteText"/>
      </w:pPr>
      <w:r w:rsidRPr="00D40600">
        <w:rPr>
          <w:rStyle w:val="FootnoteReference"/>
          <w:sz w:val="20"/>
        </w:rPr>
        <w:footnoteRef/>
      </w:r>
      <w:r w:rsidRPr="00D40600">
        <w:t xml:space="preserve"> </w:t>
      </w:r>
      <w:r w:rsidRPr="00D40600">
        <w:rPr>
          <w:i/>
        </w:rPr>
        <w:t>Global Wireless Matrix 4Q11.</w:t>
      </w:r>
    </w:p>
  </w:footnote>
  <w:footnote w:id="59">
    <w:p w:rsidR="00EC7CF3" w:rsidRDefault="00EC7CF3" w:rsidP="00CA32D1">
      <w:pPr>
        <w:pStyle w:val="FootnoteText"/>
      </w:pPr>
      <w:r w:rsidRPr="00D40600">
        <w:rPr>
          <w:rStyle w:val="FootnoteReference"/>
          <w:sz w:val="20"/>
        </w:rPr>
        <w:footnoteRef/>
      </w:r>
      <w:r w:rsidRPr="00D40600">
        <w:t xml:space="preserve"> Omnibus Budget Reconciliation Act of 1993, Pub. L. No. 103-66, Title VI, § 6002(b), amending the Communications Act of 1934 and codified at 47 U.S.C. § 332(c).     </w:t>
      </w:r>
    </w:p>
  </w:footnote>
  <w:footnote w:id="60">
    <w:p w:rsidR="00EC7CF3" w:rsidRDefault="00EC7CF3" w:rsidP="00CA32D1">
      <w:pPr>
        <w:pStyle w:val="FootnoteText"/>
      </w:pPr>
      <w:r w:rsidRPr="00D40600">
        <w:rPr>
          <w:rStyle w:val="FootnoteReference"/>
          <w:sz w:val="20"/>
        </w:rPr>
        <w:footnoteRef/>
      </w:r>
      <w:r w:rsidRPr="00D40600">
        <w:t xml:space="preserve"> </w:t>
      </w:r>
      <w:r w:rsidRPr="00D40600">
        <w:rPr>
          <w:i/>
        </w:rPr>
        <w:t xml:space="preserve">See </w:t>
      </w:r>
      <w:r w:rsidRPr="00D40600">
        <w:t>47 C.F.R. § 20.9(a);</w:t>
      </w:r>
      <w:r w:rsidRPr="00D40600">
        <w:rPr>
          <w:i/>
        </w:rPr>
        <w:t xml:space="preserve"> </w:t>
      </w:r>
      <w:r w:rsidRPr="00D40600">
        <w:t xml:space="preserve">Implementation of Sections 3(n) and 332 of the Communications Act, </w:t>
      </w:r>
      <w:r w:rsidRPr="00D40600">
        <w:rPr>
          <w:i/>
        </w:rPr>
        <w:t xml:space="preserve">Second Report and Order, </w:t>
      </w:r>
      <w:r w:rsidRPr="00D40600">
        <w:t>9 FCC Rcd 1411, 1413 (1994).  CMRS includes a large number of terrestrial services and also some mobile satellite services.</w:t>
      </w:r>
    </w:p>
  </w:footnote>
  <w:footnote w:id="61">
    <w:p w:rsidR="00EC7CF3" w:rsidRDefault="00EC7CF3" w:rsidP="00762ABD">
      <w:pPr>
        <w:pStyle w:val="FootnoteText"/>
      </w:pPr>
      <w:r w:rsidRPr="00D40600">
        <w:rPr>
          <w:rStyle w:val="FootnoteReference"/>
          <w:sz w:val="20"/>
        </w:rPr>
        <w:footnoteRef/>
      </w:r>
      <w:r w:rsidRPr="00D40600">
        <w:t xml:space="preserve"> 47 U.S.C. § 332(c)(1)(C).</w:t>
      </w:r>
    </w:p>
  </w:footnote>
  <w:footnote w:id="62">
    <w:p w:rsidR="00EC7CF3" w:rsidRDefault="00EC7CF3" w:rsidP="00762ABD">
      <w:pPr>
        <w:pStyle w:val="FootnoteText"/>
      </w:pPr>
      <w:r w:rsidRPr="00D40600">
        <w:rPr>
          <w:rStyle w:val="FootnoteReference"/>
          <w:sz w:val="20"/>
        </w:rPr>
        <w:footnoteRef/>
      </w:r>
      <w:r w:rsidRPr="00D40600">
        <w:t xml:space="preserve">  47 U.S.C. § 332(c)(1)(C).  As noted in previous </w:t>
      </w:r>
      <w:r w:rsidRPr="00D40600">
        <w:rPr>
          <w:i/>
        </w:rPr>
        <w:t xml:space="preserve">Reports, </w:t>
      </w:r>
      <w:r w:rsidRPr="00D40600">
        <w:t xml:space="preserve">any individual proceeding in which the Commission defines relevant product and geographic markets, such as an application for approval of a license transfer, may present facts pointing to narrower or broader markets than any used, suggested, or implied in this </w:t>
      </w:r>
      <w:r w:rsidRPr="00D40600">
        <w:rPr>
          <w:i/>
        </w:rPr>
        <w:t>Report</w:t>
      </w:r>
      <w:r w:rsidRPr="00D40600">
        <w:t xml:space="preserve">.  </w:t>
      </w:r>
      <w:r w:rsidRPr="00D40600">
        <w:rPr>
          <w:i/>
        </w:rPr>
        <w:t xml:space="preserve">See, e.g., </w:t>
      </w:r>
      <w:r w:rsidRPr="00D40600">
        <w:t xml:space="preserve">Implementation of Section 6002(b) of the Omnibus Budget Reconciliation Act of 1993, Annual Report and Analysis of Competitive Market Conditions with Respect to Commercial Mobile Services, </w:t>
      </w:r>
      <w:r w:rsidRPr="00D40600">
        <w:rPr>
          <w:i/>
        </w:rPr>
        <w:t xml:space="preserve">Twelfth Report, </w:t>
      </w:r>
      <w:r w:rsidRPr="00D40600">
        <w:rPr>
          <w:bCs/>
        </w:rPr>
        <w:t xml:space="preserve">23 FCC Rcd 2241, 2250 ¶ 3 n. 5 </w:t>
      </w:r>
      <w:r w:rsidRPr="00D40600">
        <w:t>(2008) (</w:t>
      </w:r>
      <w:r w:rsidRPr="00D40600">
        <w:rPr>
          <w:i/>
          <w:iCs/>
        </w:rPr>
        <w:t>Twelfth</w:t>
      </w:r>
      <w:r w:rsidRPr="00D40600">
        <w:rPr>
          <w:i/>
        </w:rPr>
        <w:t xml:space="preserve"> Report</w:t>
      </w:r>
      <w:r w:rsidRPr="00D40600">
        <w:t>).</w:t>
      </w:r>
    </w:p>
  </w:footnote>
  <w:footnote w:id="63">
    <w:p w:rsidR="00EC7CF3" w:rsidRDefault="00EC7CF3" w:rsidP="00762ABD">
      <w:pPr>
        <w:pStyle w:val="FootnoteText"/>
      </w:pPr>
      <w:r w:rsidRPr="00D40600">
        <w:rPr>
          <w:rStyle w:val="FootnoteReference"/>
          <w:sz w:val="20"/>
        </w:rPr>
        <w:footnoteRef/>
      </w:r>
      <w:r w:rsidRPr="00D40600">
        <w:t xml:space="preserve"> 47 U.S.C. § 332 (c)(1)(C).</w:t>
      </w:r>
    </w:p>
  </w:footnote>
  <w:footnote w:id="64">
    <w:p w:rsidR="00EC7CF3" w:rsidRDefault="00EC7CF3" w:rsidP="00E82933">
      <w:pPr>
        <w:pStyle w:val="FootnoteText"/>
      </w:pPr>
      <w:r w:rsidRPr="00D40600">
        <w:rPr>
          <w:rStyle w:val="FootnoteReference"/>
          <w:sz w:val="20"/>
        </w:rPr>
        <w:footnoteRef/>
      </w:r>
      <w:r w:rsidRPr="00D40600">
        <w:t xml:space="preserve"> 47 U.S.C. § 332(c)(1)(C).  As noted in previous </w:t>
      </w:r>
      <w:r w:rsidRPr="00D40600">
        <w:rPr>
          <w:i/>
        </w:rPr>
        <w:t xml:space="preserve">Reports, </w:t>
      </w:r>
      <w:r w:rsidRPr="00D40600">
        <w:t xml:space="preserve">any individual proceeding in which the Commission defines relevant product and geographic markets, such as an application for approval of a license transfer, may present facts pointing to narrower or broader markets than any used, suggested, or implied in this </w:t>
      </w:r>
      <w:r w:rsidRPr="00D40600">
        <w:rPr>
          <w:i/>
        </w:rPr>
        <w:t>Report</w:t>
      </w:r>
      <w:r w:rsidRPr="00D40600">
        <w:t xml:space="preserve">.  </w:t>
      </w:r>
      <w:r w:rsidRPr="00D40600">
        <w:rPr>
          <w:i/>
        </w:rPr>
        <w:t xml:space="preserve">See, e.g., </w:t>
      </w:r>
      <w:r w:rsidRPr="00D40600">
        <w:t xml:space="preserve">Implementation of Section 6002(b) of the Omnibus Budget Reconciliation Act of 1993, Annual Report and Analysis of Competitive Market Conditions with Respect to Commercial Mobile Services, </w:t>
      </w:r>
      <w:r w:rsidRPr="00D40600">
        <w:rPr>
          <w:i/>
        </w:rPr>
        <w:t xml:space="preserve">Fourteenth Report, </w:t>
      </w:r>
      <w:r>
        <w:t>25 FCC Rcd</w:t>
      </w:r>
      <w:r w:rsidRPr="00D40600">
        <w:t xml:space="preserve"> </w:t>
      </w:r>
      <w:r>
        <w:t>11407</w:t>
      </w:r>
      <w:r w:rsidRPr="00D40600">
        <w:t>(2010) (</w:t>
      </w:r>
      <w:r w:rsidRPr="00D40600">
        <w:rPr>
          <w:i/>
        </w:rPr>
        <w:t>Fourteenth Report).</w:t>
      </w:r>
    </w:p>
  </w:footnote>
  <w:footnote w:id="65">
    <w:p w:rsidR="00EC7CF3" w:rsidRDefault="00EC7CF3" w:rsidP="00E82933">
      <w:pPr>
        <w:pStyle w:val="FootnoteText"/>
      </w:pPr>
      <w:r w:rsidRPr="00D40600">
        <w:rPr>
          <w:rStyle w:val="FootnoteReference"/>
          <w:sz w:val="20"/>
        </w:rPr>
        <w:footnoteRef/>
      </w:r>
      <w:r w:rsidRPr="00D40600">
        <w:t xml:space="preserve"> Note that the regulatory classification of a particular wireless service offered by a CMRS carrier is determined on a case-by-case basis.  </w:t>
      </w:r>
      <w:r w:rsidRPr="00D40600">
        <w:rPr>
          <w:i/>
        </w:rPr>
        <w:t>See</w:t>
      </w:r>
      <w:r w:rsidRPr="00D40600">
        <w:t xml:space="preserve"> Amendment of the Commission’s Rules to Permit Flexible Service Offerings in the Commercial Mobile Radio Service, WT Docket No. 96-6, </w:t>
      </w:r>
      <w:r w:rsidRPr="00D40600">
        <w:rPr>
          <w:i/>
          <w:iCs/>
        </w:rPr>
        <w:t>Second Report and Order and Order on Reconsideration</w:t>
      </w:r>
      <w:r w:rsidRPr="00D40600">
        <w:t xml:space="preserve">, 15 FCC Rcd 14680, 14683, ¶ 7, 14687, ¶ 15 (2000).  </w:t>
      </w:r>
      <w:r w:rsidRPr="00D40600">
        <w:rPr>
          <w:i/>
        </w:rPr>
        <w:t xml:space="preserve">See </w:t>
      </w:r>
      <w:r w:rsidRPr="00D40600">
        <w:t xml:space="preserve">IP-Enabled Services, WC Docket No. 04-36, </w:t>
      </w:r>
      <w:r w:rsidRPr="00D40600">
        <w:rPr>
          <w:i/>
        </w:rPr>
        <w:t>Notice of Proposed Rulemaking</w:t>
      </w:r>
      <w:r w:rsidRPr="00D40600">
        <w:t xml:space="preserve">, 19 FCC Rcd 4863 (2004); “Wireless Telecommunications Bureau Seeks Comment on Petition for Declaratory Ruling That Text Messages and Short Codes Are Title II Services or Are Title I Services Subject to Section 202 Non-Discrimination Rules,” </w:t>
      </w:r>
      <w:r w:rsidRPr="00D40600">
        <w:rPr>
          <w:i/>
        </w:rPr>
        <w:t>Public Notice</w:t>
      </w:r>
      <w:r w:rsidRPr="00D40600">
        <w:t>, 23 FCC Rcd 262 (WTB 2008).</w:t>
      </w:r>
    </w:p>
  </w:footnote>
  <w:footnote w:id="66">
    <w:p w:rsidR="00EC7CF3" w:rsidRDefault="00EC7CF3" w:rsidP="00E82933">
      <w:pPr>
        <w:pStyle w:val="FootnoteText"/>
      </w:pPr>
      <w:r w:rsidRPr="00D40600">
        <w:rPr>
          <w:rStyle w:val="FootnoteReference"/>
          <w:sz w:val="20"/>
        </w:rPr>
        <w:footnoteRef/>
      </w:r>
      <w:r w:rsidRPr="00D40600">
        <w:t xml:space="preserve"> In 2007, the Commission classified wireless broadband Internet access service as an information service under the Communications Act and also found that mobile wireless broadband Internet access service was not a “commercial mobile service” as defined in the Act.  Appropriate Regulatory Treatment for Broadband Access to the Internet over Wireless Networks, WT Docket No. 07-53, </w:t>
      </w:r>
      <w:r w:rsidRPr="00D40600">
        <w:rPr>
          <w:i/>
        </w:rPr>
        <w:t>Declaratory Ruling</w:t>
      </w:r>
      <w:r w:rsidRPr="00D40600">
        <w:t xml:space="preserve">, 22 FCC Rcd 5901 (2007).    </w:t>
      </w:r>
    </w:p>
  </w:footnote>
  <w:footnote w:id="67">
    <w:p w:rsidR="00EC7CF3" w:rsidRDefault="00EC7CF3" w:rsidP="00E82933">
      <w:pPr>
        <w:pStyle w:val="FootnoteText"/>
      </w:pPr>
      <w:r w:rsidRPr="00D40600">
        <w:rPr>
          <w:rStyle w:val="FootnoteReference"/>
          <w:sz w:val="20"/>
        </w:rPr>
        <w:footnoteRef/>
      </w:r>
      <w:r w:rsidRPr="00D40600">
        <w:t xml:space="preserve"> As the Commission has concluded, paraphrasing the Department of Justice/Federal Trade Commission guidelines on merger review, “When one product is a reasonable substitute for the other in the eyes of consumers, it is to be included in the relevant product market even though the products themselves are not identical.”  Application of Echostar Communications Corporation, General Motors Corporation, and Hughes Electronics Corporation (Transferors) and Echostar Communications Corporation (Transferee), </w:t>
      </w:r>
      <w:r w:rsidRPr="00D40600">
        <w:rPr>
          <w:i/>
        </w:rPr>
        <w:t>Hearing Designation Order</w:t>
      </w:r>
      <w:r w:rsidRPr="00D40600">
        <w:t xml:space="preserve">, 17 FCC Rcd 20559, 20606 ¶ 106 (2002). </w:t>
      </w:r>
    </w:p>
  </w:footnote>
  <w:footnote w:id="68">
    <w:p w:rsidR="00EC7CF3" w:rsidRDefault="00EC7CF3" w:rsidP="00762ABD">
      <w:pPr>
        <w:pStyle w:val="FootnoteText"/>
      </w:pPr>
      <w:r w:rsidRPr="00D40600">
        <w:rPr>
          <w:rStyle w:val="FootnoteReference"/>
          <w:sz w:val="20"/>
        </w:rPr>
        <w:footnoteRef/>
      </w:r>
      <w:r w:rsidRPr="00D40600">
        <w:t xml:space="preserve"> </w:t>
      </w:r>
      <w:r w:rsidRPr="00D40600">
        <w:rPr>
          <w:i/>
        </w:rPr>
        <w:t>See</w:t>
      </w:r>
      <w:r w:rsidRPr="00D40600">
        <w:t xml:space="preserve"> Implementation of Section 6002(b) of the Omnibus Budget Reconciliation Act of 1993, Annual Report and Analysis of Competitive Market Conditions with Respect to Commercial Mobile Services, </w:t>
      </w:r>
      <w:r w:rsidRPr="00D40600">
        <w:rPr>
          <w:i/>
        </w:rPr>
        <w:t>First Report</w:t>
      </w:r>
      <w:r w:rsidRPr="00D40600">
        <w:t xml:space="preserve">, 10 FCC Rcd 8844 (1995); </w:t>
      </w:r>
      <w:r w:rsidRPr="00D40600">
        <w:rPr>
          <w:i/>
        </w:rPr>
        <w:t>Second Report</w:t>
      </w:r>
      <w:r w:rsidRPr="00D40600">
        <w:t xml:space="preserve">, 12 FCC Rcd 11266 (1997); </w:t>
      </w:r>
      <w:r w:rsidRPr="00D40600">
        <w:rPr>
          <w:i/>
        </w:rPr>
        <w:t>Third Report</w:t>
      </w:r>
      <w:r w:rsidRPr="00D40600">
        <w:t xml:space="preserve">, 13 FCC Rcd 19746 (1998); </w:t>
      </w:r>
      <w:r w:rsidRPr="00D40600">
        <w:rPr>
          <w:i/>
        </w:rPr>
        <w:t>Fourth Report</w:t>
      </w:r>
      <w:r w:rsidRPr="00D40600">
        <w:t xml:space="preserve">, 14 FCC Rcd 10145 (1999); </w:t>
      </w:r>
      <w:r w:rsidRPr="00D40600">
        <w:rPr>
          <w:i/>
        </w:rPr>
        <w:t>Fifth Report</w:t>
      </w:r>
      <w:r w:rsidRPr="00D40600">
        <w:t xml:space="preserve">, 15 FCC Rcd 17660 (2000); </w:t>
      </w:r>
      <w:r w:rsidRPr="00D40600">
        <w:rPr>
          <w:i/>
        </w:rPr>
        <w:t>Sixth Report</w:t>
      </w:r>
      <w:r w:rsidRPr="00D40600">
        <w:t xml:space="preserve">, 16 FCC Rcd 13350 (2001); </w:t>
      </w:r>
      <w:r w:rsidRPr="00D40600">
        <w:rPr>
          <w:i/>
        </w:rPr>
        <w:t>Seventh Report</w:t>
      </w:r>
      <w:r w:rsidRPr="00D40600">
        <w:t xml:space="preserve">, 17 FCC Rcd 12985 (2002); </w:t>
      </w:r>
      <w:r w:rsidRPr="00D40600">
        <w:rPr>
          <w:i/>
        </w:rPr>
        <w:t>Eighth Report</w:t>
      </w:r>
      <w:r w:rsidRPr="00D40600">
        <w:t xml:space="preserve">, 18 FCC Rcd 14783 (2003); </w:t>
      </w:r>
      <w:r w:rsidRPr="00D40600">
        <w:rPr>
          <w:i/>
        </w:rPr>
        <w:t>Ninth Report</w:t>
      </w:r>
      <w:r w:rsidRPr="00D40600">
        <w:t xml:space="preserve">, 19 FCC Rcd 20597 (2004); </w:t>
      </w:r>
      <w:r w:rsidRPr="00D40600">
        <w:rPr>
          <w:i/>
        </w:rPr>
        <w:t>Tenth Report</w:t>
      </w:r>
      <w:r w:rsidRPr="00D40600">
        <w:t xml:space="preserve">, 20 FCC Rcd 15908 (2005); </w:t>
      </w:r>
      <w:r w:rsidRPr="00D40600">
        <w:rPr>
          <w:i/>
        </w:rPr>
        <w:t>Eleventh Report</w:t>
      </w:r>
      <w:r w:rsidRPr="00D40600">
        <w:t xml:space="preserve">, 21 FCC Rcd 10947 (2006); </w:t>
      </w:r>
      <w:r w:rsidRPr="00D40600">
        <w:rPr>
          <w:i/>
        </w:rPr>
        <w:t>Twelfth Report</w:t>
      </w:r>
      <w:r w:rsidRPr="00D40600">
        <w:t>,</w:t>
      </w:r>
      <w:r w:rsidRPr="00D40600">
        <w:rPr>
          <w:b/>
          <w:bCs/>
        </w:rPr>
        <w:t xml:space="preserve"> </w:t>
      </w:r>
      <w:r w:rsidRPr="00D40600">
        <w:rPr>
          <w:bCs/>
        </w:rPr>
        <w:t>23 FCC Rcd 2241</w:t>
      </w:r>
      <w:r w:rsidRPr="00D40600">
        <w:t xml:space="preserve">; </w:t>
      </w:r>
      <w:r w:rsidRPr="00D40600">
        <w:rPr>
          <w:i/>
        </w:rPr>
        <w:t>Thirteenth Report</w:t>
      </w:r>
      <w:r w:rsidRPr="00D40600">
        <w:t>, 24 FCC Rcd 6185 (2009) (</w:t>
      </w:r>
      <w:r w:rsidRPr="00D40600">
        <w:rPr>
          <w:i/>
        </w:rPr>
        <w:t>Thirteenth Report</w:t>
      </w:r>
      <w:r w:rsidRPr="00D40600">
        <w:t xml:space="preserve">); </w:t>
      </w:r>
      <w:r w:rsidRPr="00D40600">
        <w:rPr>
          <w:i/>
        </w:rPr>
        <w:t>Fourteenth Report</w:t>
      </w:r>
      <w:r w:rsidRPr="00D40600">
        <w:t>, 25 FCC Rcd 11407 (2010) (</w:t>
      </w:r>
      <w:r w:rsidRPr="00D40600">
        <w:rPr>
          <w:i/>
        </w:rPr>
        <w:t>Fourteenth Report</w:t>
      </w:r>
      <w:r w:rsidRPr="00D40600">
        <w:t xml:space="preserve">); </w:t>
      </w:r>
      <w:r w:rsidRPr="00D40600">
        <w:rPr>
          <w:i/>
        </w:rPr>
        <w:t xml:space="preserve">Fifteenth Report, </w:t>
      </w:r>
      <w:r w:rsidRPr="00D40600">
        <w:t>26 FCC Rcd 9664 (2011) (</w:t>
      </w:r>
      <w:r w:rsidRPr="00D40600">
        <w:rPr>
          <w:i/>
        </w:rPr>
        <w:t>Fifteenth Report</w:t>
      </w:r>
      <w:r w:rsidRPr="00D40600">
        <w:t>).  The reports can also be found on the Commission’s website</w:t>
      </w:r>
      <w:r>
        <w:t xml:space="preserve">, </w:t>
      </w:r>
      <w:r w:rsidRPr="00D2337E">
        <w:rPr>
          <w:i/>
        </w:rPr>
        <w:t xml:space="preserve">available  at </w:t>
      </w:r>
      <w:hyperlink r:id="rId14" w:history="1">
        <w:r w:rsidRPr="00D40600">
          <w:rPr>
            <w:rStyle w:val="Hyperlink"/>
          </w:rPr>
          <w:t>http://wireless.fcc.gov/index.htm?job=cmrs_reports</w:t>
        </w:r>
      </w:hyperlink>
      <w:r w:rsidRPr="00D40600">
        <w:t>. (visited Nov. 19, 2012)</w:t>
      </w:r>
      <w:r>
        <w:t>.</w:t>
      </w:r>
    </w:p>
  </w:footnote>
  <w:footnote w:id="69">
    <w:p w:rsidR="00EC7CF3" w:rsidRDefault="00EC7CF3" w:rsidP="00D70087">
      <w:pPr>
        <w:pStyle w:val="FootnoteText"/>
      </w:pPr>
      <w:r w:rsidRPr="00D40600">
        <w:rPr>
          <w:rStyle w:val="FootnoteReference"/>
          <w:sz w:val="20"/>
        </w:rPr>
        <w:footnoteRef/>
      </w:r>
      <w:r w:rsidRPr="00D40600">
        <w:t xml:space="preserve"> Spectrum, towers, network equipment, and backhaul facilities can be viewed as input or upstream markets because of their input relation to mobile wireless networks.</w:t>
      </w:r>
    </w:p>
  </w:footnote>
  <w:footnote w:id="70">
    <w:p w:rsidR="00EC7CF3" w:rsidRDefault="00EC7CF3" w:rsidP="00D70087">
      <w:pPr>
        <w:pStyle w:val="FootnoteText"/>
      </w:pPr>
      <w:r w:rsidRPr="00D40600">
        <w:rPr>
          <w:rStyle w:val="FootnoteReference"/>
          <w:sz w:val="20"/>
        </w:rPr>
        <w:footnoteRef/>
      </w:r>
      <w:r w:rsidRPr="00D40600">
        <w:t xml:space="preserve"> Messaging includes text and multimedia (photo and video) message services, also referred to as SMS (Short Message Service) and MMS (multimedia messaging services), respectively.</w:t>
      </w:r>
    </w:p>
  </w:footnote>
  <w:footnote w:id="71">
    <w:p w:rsidR="00EC7CF3" w:rsidRDefault="00EC7CF3" w:rsidP="00D70087">
      <w:pPr>
        <w:pStyle w:val="FootnoteText"/>
      </w:pPr>
      <w:r w:rsidRPr="00D40600">
        <w:rPr>
          <w:rStyle w:val="FootnoteReference"/>
          <w:sz w:val="20"/>
        </w:rPr>
        <w:footnoteRef/>
      </w:r>
      <w:r w:rsidRPr="00D40600">
        <w:t xml:space="preserve"> Mobile devices, device operating systems, and mobile applications, content, and mobile commerce can be viewed as edge or downstream markets because they are products that utilize mobile wireless services.</w:t>
      </w:r>
    </w:p>
  </w:footnote>
  <w:footnote w:id="72">
    <w:p w:rsidR="00EC7CF3" w:rsidRDefault="00EC7CF3" w:rsidP="00AD384D">
      <w:pPr>
        <w:pStyle w:val="FootnoteText"/>
      </w:pPr>
      <w:r w:rsidRPr="00D40600">
        <w:rPr>
          <w:rStyle w:val="FootnoteReference"/>
          <w:sz w:val="20"/>
        </w:rPr>
        <w:footnoteRef/>
      </w:r>
      <w:r w:rsidRPr="00D40600">
        <w:t xml:space="preserve"> </w:t>
      </w:r>
      <w:r w:rsidRPr="00D40600">
        <w:rPr>
          <w:i/>
        </w:rPr>
        <w:t>See</w:t>
      </w:r>
      <w:r w:rsidRPr="00D40600">
        <w:t xml:space="preserve"> Dennis W. Carlton and Jeffrey M. Perloff, </w:t>
      </w:r>
      <w:r w:rsidRPr="00D40600">
        <w:rPr>
          <w:i/>
        </w:rPr>
        <w:t xml:space="preserve">Modern Industrial Organization </w:t>
      </w:r>
      <w:r w:rsidRPr="00D40600">
        <w:t>(4</w:t>
      </w:r>
      <w:r w:rsidRPr="00D40600">
        <w:rPr>
          <w:vertAlign w:val="superscript"/>
        </w:rPr>
        <w:t>th</w:t>
      </w:r>
      <w:r w:rsidRPr="00D40600">
        <w:t xml:space="preserve"> ed.), Addison, Wesley, Longman, Inc., 2005, at 8, 249-251 (</w:t>
      </w:r>
      <w:r w:rsidRPr="00D40600">
        <w:rPr>
          <w:i/>
        </w:rPr>
        <w:t>Modern Industrial Organization</w:t>
      </w:r>
      <w:r w:rsidRPr="00D40600">
        <w:t>).</w:t>
      </w:r>
    </w:p>
  </w:footnote>
  <w:footnote w:id="73">
    <w:p w:rsidR="00EC7CF3" w:rsidRDefault="00EC7CF3" w:rsidP="00AD384D">
      <w:pPr>
        <w:pStyle w:val="FootnoteText"/>
      </w:pPr>
      <w:r w:rsidRPr="00D40600">
        <w:rPr>
          <w:rStyle w:val="FootnoteReference"/>
          <w:sz w:val="20"/>
        </w:rPr>
        <w:footnoteRef/>
      </w:r>
      <w:r w:rsidRPr="00D40600">
        <w:t xml:space="preserve"> </w:t>
      </w:r>
      <w:r w:rsidRPr="00D40600">
        <w:rPr>
          <w:i/>
        </w:rPr>
        <w:t xml:space="preserve">See </w:t>
      </w:r>
      <w:r w:rsidRPr="00D40600">
        <w:t xml:space="preserve">Section </w:t>
      </w:r>
      <w:r>
        <w:fldChar w:fldCharType="begin"/>
      </w:r>
      <w:r>
        <w:instrText xml:space="preserve"> REF _Ref277582619 \w \h  \* MERGEFORMAT </w:instrText>
      </w:r>
      <w:r>
        <w:fldChar w:fldCharType="separate"/>
      </w:r>
      <w:r>
        <w:t>III.D.3.b</w:t>
      </w:r>
      <w:r>
        <w:fldChar w:fldCharType="end"/>
      </w:r>
      <w:r w:rsidRPr="00D40600">
        <w:t xml:space="preserve">, </w:t>
      </w:r>
      <w:r>
        <w:fldChar w:fldCharType="begin"/>
      </w:r>
      <w:r>
        <w:instrText xml:space="preserve"> REF _Ref277582619 \h  \* MERGEFORMAT </w:instrText>
      </w:r>
      <w:r>
        <w:fldChar w:fldCharType="separate"/>
      </w:r>
      <w:r w:rsidRPr="00CA3AC6">
        <w:t>Exit</w:t>
      </w:r>
      <w:r>
        <w:fldChar w:fldCharType="end"/>
      </w:r>
      <w:r w:rsidRPr="00D40600">
        <w:t xml:space="preserve">, </w:t>
      </w:r>
      <w:r w:rsidRPr="00D40600">
        <w:rPr>
          <w:i/>
        </w:rPr>
        <w:t>infra</w:t>
      </w:r>
      <w:r w:rsidRPr="00D40600">
        <w:t>, for further discussion of the potential competitive benefits and harms of mergers.</w:t>
      </w:r>
    </w:p>
  </w:footnote>
  <w:footnote w:id="74">
    <w:p w:rsidR="00EC7CF3" w:rsidRDefault="00EC7CF3" w:rsidP="00762ABD">
      <w:pPr>
        <w:pStyle w:val="FootnoteText"/>
      </w:pPr>
      <w:r w:rsidRPr="00D40600">
        <w:rPr>
          <w:rStyle w:val="FootnoteReference"/>
          <w:sz w:val="20"/>
        </w:rPr>
        <w:footnoteRef/>
      </w:r>
      <w:r w:rsidRPr="00D40600">
        <w:t xml:space="preserve"> </w:t>
      </w:r>
      <w:r w:rsidRPr="00D40600">
        <w:rPr>
          <w:i/>
        </w:rPr>
        <w:t xml:space="preserve">See </w:t>
      </w:r>
      <w:r w:rsidRPr="00D40600">
        <w:t xml:space="preserve">Ernest Gellhorn, </w:t>
      </w:r>
      <w:r w:rsidRPr="00D40600">
        <w:rPr>
          <w:i/>
        </w:rPr>
        <w:t>Antitrust Law and Economics</w:t>
      </w:r>
      <w:r w:rsidRPr="00D40600">
        <w:t xml:space="preserve"> (4</w:t>
      </w:r>
      <w:r w:rsidRPr="00D40600">
        <w:rPr>
          <w:vertAlign w:val="superscript"/>
        </w:rPr>
        <w:t>th</w:t>
      </w:r>
      <w:r w:rsidRPr="00D40600">
        <w:t xml:space="preserve"> ed.), West Publishing, 1994, at 117 (</w:t>
      </w:r>
      <w:r w:rsidRPr="00D40600">
        <w:rPr>
          <w:lang w:eastAsia="zh-CN"/>
        </w:rPr>
        <w:t>stating “[m]arket shares are not synonymous with market power; they should mark the beginning for careful analysis, not the end of it.”)</w:t>
      </w:r>
      <w:r w:rsidRPr="00D40600">
        <w:t>.</w:t>
      </w:r>
      <w:r w:rsidRPr="00D40600">
        <w:rPr>
          <w:lang w:eastAsia="zh-CN"/>
        </w:rPr>
        <w:t xml:space="preserve">  </w:t>
      </w:r>
      <w:r w:rsidRPr="00D40600">
        <w:rPr>
          <w:i/>
          <w:lang w:eastAsia="zh-CN"/>
        </w:rPr>
        <w:t>See also</w:t>
      </w:r>
      <w:r w:rsidRPr="00D40600">
        <w:rPr>
          <w:lang w:eastAsia="zh-CN"/>
        </w:rPr>
        <w:t xml:space="preserve"> Michael Whinston, “</w:t>
      </w:r>
      <w:r w:rsidRPr="00D40600">
        <w:rPr>
          <w:iCs/>
          <w:lang w:eastAsia="zh-CN"/>
        </w:rPr>
        <w:t>Antitrust Policy toward Horizontal Mergers</w:t>
      </w:r>
      <w:r w:rsidRPr="00D40600">
        <w:rPr>
          <w:lang w:eastAsia="zh-CN"/>
        </w:rPr>
        <w:t xml:space="preserve">,” in </w:t>
      </w:r>
      <w:r w:rsidRPr="00D40600">
        <w:rPr>
          <w:i/>
          <w:lang w:eastAsia="zh-CN"/>
        </w:rPr>
        <w:t>Handbook of Industrial Organization, Vol. 3</w:t>
      </w:r>
      <w:r w:rsidRPr="00D40600">
        <w:rPr>
          <w:lang w:eastAsia="zh-CN"/>
        </w:rPr>
        <w:t xml:space="preserve">, ed. Mark Armstrong and Robert Porter (Elsevier, 2007), at 2411-2414; </w:t>
      </w:r>
      <w:r w:rsidRPr="00D40600">
        <w:t xml:space="preserve">Massimo Motta, </w:t>
      </w:r>
      <w:r w:rsidRPr="00D40600">
        <w:rPr>
          <w:i/>
        </w:rPr>
        <w:t>Competition Policy: Theory and Practice</w:t>
      </w:r>
      <w:r w:rsidRPr="00D40600">
        <w:t>, Cambridge University Press, 2004, at 117 (</w:t>
      </w:r>
      <w:r w:rsidRPr="00D40600">
        <w:rPr>
          <w:i/>
        </w:rPr>
        <w:t>Competition Policy</w:t>
      </w:r>
      <w:r w:rsidRPr="00D40600">
        <w:t>).</w:t>
      </w:r>
    </w:p>
  </w:footnote>
  <w:footnote w:id="75">
    <w:p w:rsidR="00EC7CF3" w:rsidRDefault="00EC7CF3" w:rsidP="00762ABD">
      <w:pPr>
        <w:pStyle w:val="FootnoteText"/>
      </w:pPr>
      <w:r w:rsidRPr="00D40600">
        <w:rPr>
          <w:rStyle w:val="FootnoteReference"/>
          <w:sz w:val="20"/>
        </w:rPr>
        <w:footnoteRef/>
      </w:r>
      <w:r w:rsidRPr="00D40600">
        <w:t xml:space="preserve"> See, e.g. Jonathan Baker and Timothy Bresnahan, </w:t>
      </w:r>
      <w:r w:rsidRPr="00D40600">
        <w:rPr>
          <w:i/>
        </w:rPr>
        <w:t>Economic Evidence in Antitrust:  Defining Markets and Measuring Market Power</w:t>
      </w:r>
      <w:r w:rsidRPr="00D40600">
        <w:t>, in Handbook of Antitrust Economics, edited by Paolo Buccirossi, at 8-16.</w:t>
      </w:r>
    </w:p>
  </w:footnote>
  <w:footnote w:id="76">
    <w:p w:rsidR="00EC7CF3" w:rsidRDefault="00EC7CF3" w:rsidP="00762ABD">
      <w:pPr>
        <w:pStyle w:val="FootnoteText"/>
      </w:pPr>
      <w:r w:rsidRPr="00D40600">
        <w:rPr>
          <w:rStyle w:val="FootnoteReference"/>
          <w:sz w:val="20"/>
        </w:rPr>
        <w:footnoteRef/>
      </w:r>
      <w:r w:rsidRPr="00D40600">
        <w:t xml:space="preserve"> </w:t>
      </w:r>
      <w:r w:rsidRPr="00D40600">
        <w:rPr>
          <w:i/>
        </w:rPr>
        <w:t>See</w:t>
      </w:r>
      <w:r w:rsidRPr="00D40600">
        <w:t xml:space="preserve"> </w:t>
      </w:r>
      <w:r w:rsidRPr="00D40600">
        <w:rPr>
          <w:i/>
        </w:rPr>
        <w:t>Ex Parte</w:t>
      </w:r>
      <w:r w:rsidRPr="00D40600">
        <w:t xml:space="preserve"> Submission of the United States Department of Justice, GN Docket No. 09-51 at 11 (filed Jan. 4, 2010).</w:t>
      </w:r>
    </w:p>
  </w:footnote>
  <w:footnote w:id="77">
    <w:p w:rsidR="00EC7CF3" w:rsidRDefault="00EC7CF3" w:rsidP="00762ABD">
      <w:pPr>
        <w:pStyle w:val="FootnoteText"/>
      </w:pPr>
      <w:r w:rsidRPr="00D40600">
        <w:rPr>
          <w:rStyle w:val="FootnoteReference"/>
          <w:sz w:val="20"/>
        </w:rPr>
        <w:footnoteRef/>
      </w:r>
      <w:r w:rsidRPr="00D40600">
        <w:t xml:space="preserve"> </w:t>
      </w:r>
      <w:r w:rsidRPr="00D40600">
        <w:rPr>
          <w:i/>
        </w:rPr>
        <w:t>See</w:t>
      </w:r>
      <w:r w:rsidRPr="00D40600">
        <w:t xml:space="preserve"> </w:t>
      </w:r>
      <w:r w:rsidRPr="00D40600">
        <w:rPr>
          <w:i/>
        </w:rPr>
        <w:t>id</w:t>
      </w:r>
      <w:r w:rsidRPr="00D40600">
        <w:t>.</w:t>
      </w:r>
    </w:p>
  </w:footnote>
  <w:footnote w:id="78">
    <w:p w:rsidR="00EC7CF3" w:rsidRDefault="00EC7CF3" w:rsidP="00762ABD">
      <w:pPr>
        <w:pStyle w:val="FootnoteText"/>
      </w:pPr>
      <w:r w:rsidRPr="00D40600">
        <w:rPr>
          <w:rStyle w:val="FootnoteReference"/>
          <w:sz w:val="20"/>
        </w:rPr>
        <w:footnoteRef/>
      </w:r>
      <w:r w:rsidRPr="00D40600">
        <w:t xml:space="preserve"> </w:t>
      </w:r>
      <w:r w:rsidRPr="00D40600">
        <w:rPr>
          <w:i/>
        </w:rPr>
        <w:t>See</w:t>
      </w:r>
      <w:r w:rsidRPr="00D40600">
        <w:t xml:space="preserve"> </w:t>
      </w:r>
      <w:r w:rsidRPr="00D40600">
        <w:rPr>
          <w:i/>
        </w:rPr>
        <w:t>id</w:t>
      </w:r>
      <w:r w:rsidRPr="00D40600">
        <w:t>.</w:t>
      </w:r>
    </w:p>
  </w:footnote>
  <w:footnote w:id="79">
    <w:p w:rsidR="00EC7CF3" w:rsidRDefault="00EC7CF3" w:rsidP="00762ABD">
      <w:pPr>
        <w:pStyle w:val="FootnoteText"/>
      </w:pPr>
      <w:r w:rsidRPr="00D40600">
        <w:rPr>
          <w:rStyle w:val="FootnoteReference"/>
          <w:sz w:val="20"/>
        </w:rPr>
        <w:footnoteRef/>
      </w:r>
      <w:r w:rsidRPr="00D40600">
        <w:t xml:space="preserve"> This is in contrast to the </w:t>
      </w:r>
      <w:r w:rsidRPr="00D40600">
        <w:rPr>
          <w:i/>
        </w:rPr>
        <w:t xml:space="preserve">Eighth </w:t>
      </w:r>
      <w:r w:rsidRPr="00D40600">
        <w:t xml:space="preserve">through the </w:t>
      </w:r>
      <w:r w:rsidRPr="00D40600">
        <w:rPr>
          <w:i/>
        </w:rPr>
        <w:t xml:space="preserve">Thirteenth Reports, </w:t>
      </w:r>
      <w:r w:rsidRPr="00D40600">
        <w:t xml:space="preserve">which included a specific finding that there was effective competition in the CMRS market without defining the term “effective competition.”  </w:t>
      </w:r>
      <w:r w:rsidRPr="00D40600">
        <w:rPr>
          <w:i/>
        </w:rPr>
        <w:t>See, e.g., Thirteenth Report,</w:t>
      </w:r>
      <w:r w:rsidRPr="00D40600">
        <w:t xml:space="preserve"> 24 FCC Rcd 6185.</w:t>
      </w:r>
    </w:p>
  </w:footnote>
  <w:footnote w:id="80">
    <w:p w:rsidR="00EC7CF3" w:rsidRDefault="00EC7CF3" w:rsidP="00092B34">
      <w:pPr>
        <w:pStyle w:val="FootnoteText"/>
      </w:pPr>
      <w:r w:rsidRPr="00D40600">
        <w:rPr>
          <w:rStyle w:val="FootnoteReference"/>
          <w:sz w:val="20"/>
        </w:rPr>
        <w:footnoteRef/>
      </w:r>
      <w:r w:rsidRPr="00D40600">
        <w:t xml:space="preserve"> “Wireless Telecommunications Bureau Seeks Comment on the State of Mobile Wireless Competition,” WT Docket No. 11-186, </w:t>
      </w:r>
      <w:r w:rsidRPr="00D40600">
        <w:rPr>
          <w:i/>
        </w:rPr>
        <w:t>Public Notice</w:t>
      </w:r>
      <w:r w:rsidRPr="00D40600">
        <w:t>, 26 FCC Rcd 15595 (WTB 2011).  A list of comments and reply comments is included as Appendix E.</w:t>
      </w:r>
    </w:p>
  </w:footnote>
  <w:footnote w:id="81">
    <w:p w:rsidR="00EC7CF3" w:rsidRDefault="00EC7CF3" w:rsidP="00092B34">
      <w:pPr>
        <w:pStyle w:val="FootnoteText"/>
      </w:pPr>
      <w:r w:rsidRPr="00D40600">
        <w:rPr>
          <w:rStyle w:val="FootnoteReference"/>
          <w:sz w:val="20"/>
        </w:rPr>
        <w:footnoteRef/>
      </w:r>
      <w:r w:rsidRPr="00D40600">
        <w:t xml:space="preserve"> “Wireless Telecommunications Bureau Seeks Updated, Year-end 2011 Data for its Sixteenth Report on Mobile Wireless Competition,” WT Docket No. 11-186, </w:t>
      </w:r>
      <w:r w:rsidRPr="00D40600">
        <w:rPr>
          <w:i/>
        </w:rPr>
        <w:t>Public Notice</w:t>
      </w:r>
      <w:r w:rsidRPr="00D40600">
        <w:t>, 27 FCC Rcd 2570 (WTB 2012).</w:t>
      </w:r>
    </w:p>
  </w:footnote>
  <w:footnote w:id="82">
    <w:p w:rsidR="00EC7CF3" w:rsidRDefault="00EC7CF3" w:rsidP="00762ABD">
      <w:pPr>
        <w:pStyle w:val="FootnoteText"/>
      </w:pPr>
      <w:r w:rsidRPr="00D40600">
        <w:rPr>
          <w:rStyle w:val="FootnoteReference"/>
          <w:sz w:val="20"/>
        </w:rPr>
        <w:footnoteRef/>
      </w:r>
      <w:r w:rsidRPr="00D40600">
        <w:t xml:space="preserve"> Service bundles primarily include mobile voice, text, and data services, but many machine-to-machine services (also called connected devices) are not bundled with other services and may not even be marketed together with mobile services for handsets.  Some examples of machine-to-machine services are fleet management, home security management, and smart grid devices.</w:t>
      </w:r>
    </w:p>
  </w:footnote>
  <w:footnote w:id="83">
    <w:p w:rsidR="00EC7CF3" w:rsidRDefault="00EC7CF3" w:rsidP="00762ABD">
      <w:pPr>
        <w:pStyle w:val="FootnoteText"/>
        <w:tabs>
          <w:tab w:val="center" w:pos="4320"/>
        </w:tabs>
      </w:pPr>
      <w:r w:rsidRPr="00D40600">
        <w:rPr>
          <w:rStyle w:val="FootnoteReference"/>
          <w:sz w:val="20"/>
        </w:rPr>
        <w:footnoteRef/>
      </w:r>
      <w:r w:rsidRPr="00D40600">
        <w:t xml:space="preserve"> </w:t>
      </w:r>
      <w:r w:rsidRPr="00D40600">
        <w:rPr>
          <w:i/>
        </w:rPr>
        <w:t>See</w:t>
      </w:r>
      <w:r w:rsidRPr="00D40600">
        <w:t xml:space="preserve"> Section </w:t>
      </w:r>
      <w:r w:rsidR="00951E9B">
        <w:fldChar w:fldCharType="begin"/>
      </w:r>
      <w:r w:rsidR="00951E9B">
        <w:instrText xml:space="preserve"> REF _Ref256582542 \r  </w:instrText>
      </w:r>
      <w:r w:rsidR="00951E9B">
        <w:instrText xml:space="preserve">\* MERGEFORMAT </w:instrText>
      </w:r>
      <w:r w:rsidR="00951E9B">
        <w:fldChar w:fldCharType="separate"/>
      </w:r>
      <w:r>
        <w:t>V.A</w:t>
      </w:r>
      <w:r w:rsidR="00951E9B">
        <w:fldChar w:fldCharType="end"/>
      </w:r>
      <w:r w:rsidRPr="00D40600">
        <w:t xml:space="preserve">, </w:t>
      </w:r>
      <w:r w:rsidR="00951E9B">
        <w:fldChar w:fldCharType="begin"/>
      </w:r>
      <w:r w:rsidR="00951E9B">
        <w:instrText xml:space="preserve"> REF _Ref256582542  \* MERGEFORMAT </w:instrText>
      </w:r>
      <w:r w:rsidR="00951E9B">
        <w:fldChar w:fldCharType="separate"/>
      </w:r>
      <w:r w:rsidRPr="00F90B33">
        <w:t xml:space="preserve">Numbers of Mobile Wireless Connections </w:t>
      </w:r>
      <w:r w:rsidR="00951E9B">
        <w:fldChar w:fldCharType="end"/>
      </w:r>
      <w:r w:rsidRPr="00D40600">
        <w:t xml:space="preserve">and Customers, </w:t>
      </w:r>
      <w:r w:rsidRPr="00D40600">
        <w:rPr>
          <w:i/>
        </w:rPr>
        <w:t>infra</w:t>
      </w:r>
      <w:r w:rsidRPr="00D40600">
        <w:t>.</w:t>
      </w:r>
    </w:p>
  </w:footnote>
  <w:footnote w:id="84">
    <w:p w:rsidR="00EC7CF3" w:rsidRDefault="00EC7CF3" w:rsidP="00762ABD">
      <w:pPr>
        <w:pStyle w:val="FootnoteText"/>
      </w:pPr>
      <w:r w:rsidRPr="00D40600">
        <w:rPr>
          <w:rStyle w:val="FootnoteReference"/>
          <w:sz w:val="20"/>
        </w:rPr>
        <w:footnoteRef/>
      </w:r>
      <w:r w:rsidRPr="00D40600">
        <w:t xml:space="preserve"> Even though data-only devices – such as wireless modem cards and e-readers – are not used to make circuit-switched voice calls, they are often assigned telephone numbers because that is the method wireless service providers use to establish accounts and provide access to their networks.</w:t>
      </w:r>
    </w:p>
  </w:footnote>
  <w:footnote w:id="85">
    <w:p w:rsidR="00EC7CF3" w:rsidRDefault="00EC7CF3" w:rsidP="00762ABD">
      <w:pPr>
        <w:pStyle w:val="FootnoteText"/>
      </w:pPr>
      <w:r w:rsidRPr="00D40600">
        <w:rPr>
          <w:rStyle w:val="FootnoteReference"/>
          <w:sz w:val="20"/>
        </w:rPr>
        <w:footnoteRef/>
      </w:r>
      <w:r w:rsidRPr="00D40600">
        <w:t xml:space="preserve"> </w:t>
      </w:r>
      <w:r w:rsidRPr="00D40600">
        <w:rPr>
          <w:i/>
        </w:rPr>
        <w:t xml:space="preserve">See </w:t>
      </w:r>
      <w:r w:rsidRPr="00D40600">
        <w:t>United States Department of Justice and the Federal Trade Commission, Horizontal Merger Guidelines, issued Aug. 19, 2010 at 7-8, 13-15.</w:t>
      </w:r>
    </w:p>
  </w:footnote>
  <w:footnote w:id="86">
    <w:p w:rsidR="00EC7CF3" w:rsidRDefault="00EC7CF3" w:rsidP="00762ABD">
      <w:pPr>
        <w:pStyle w:val="FootnoteText"/>
      </w:pPr>
      <w:r w:rsidRPr="00D40600">
        <w:rPr>
          <w:rStyle w:val="FootnoteReference"/>
          <w:sz w:val="20"/>
        </w:rPr>
        <w:footnoteRef/>
      </w:r>
      <w:r w:rsidRPr="00D40600">
        <w:t xml:space="preserve"> EAs are geographic units defined by the U.S. Department of Commerce that define geographic economic markets using data on commuting patterns.</w:t>
      </w:r>
    </w:p>
  </w:footnote>
  <w:footnote w:id="87">
    <w:p w:rsidR="00EC7CF3" w:rsidRDefault="00EC7CF3" w:rsidP="00762ABD">
      <w:pPr>
        <w:pStyle w:val="FootnoteText"/>
      </w:pPr>
      <w:r w:rsidRPr="00D40600">
        <w:rPr>
          <w:rStyle w:val="FootnoteReference"/>
          <w:sz w:val="20"/>
        </w:rPr>
        <w:footnoteRef/>
      </w:r>
      <w:r w:rsidRPr="00D40600">
        <w:t xml:space="preserve"> </w:t>
      </w:r>
      <w:r>
        <w:rPr>
          <w:bCs/>
          <w:i/>
        </w:rPr>
        <w:t>See</w:t>
      </w:r>
      <w:r w:rsidRPr="00D40600">
        <w:rPr>
          <w:bCs/>
          <w:i/>
        </w:rPr>
        <w:t xml:space="preserve"> </w:t>
      </w:r>
      <w:r w:rsidRPr="00D40600">
        <w:t xml:space="preserve">Section </w:t>
      </w:r>
      <w:r w:rsidR="00951E9B">
        <w:fldChar w:fldCharType="begin"/>
      </w:r>
      <w:r w:rsidR="00951E9B">
        <w:instrText xml:space="preserve"> REF _Ref332370389 \w  \* MERGEFORMAT </w:instrText>
      </w:r>
      <w:r w:rsidR="00951E9B">
        <w:fldChar w:fldCharType="separate"/>
      </w:r>
      <w:r>
        <w:t>III.D.2</w:t>
      </w:r>
      <w:r w:rsidR="00951E9B">
        <w:fldChar w:fldCharType="end"/>
      </w:r>
      <w:r w:rsidRPr="00D40600">
        <w:t xml:space="preserve">, </w:t>
      </w:r>
      <w:fldSimple w:instr=" REF _Ref332813027  \* MERGEFORMAT ">
        <w:r w:rsidRPr="00CA3AC6">
          <w:t>Herfindahl-Hirschman Index</w:t>
        </w:r>
      </w:fldSimple>
      <w:r w:rsidRPr="00D40600">
        <w:t xml:space="preserve">, </w:t>
      </w:r>
      <w:r w:rsidRPr="00D40600">
        <w:rPr>
          <w:bCs/>
          <w:i/>
          <w:iCs/>
        </w:rPr>
        <w:t>infra</w:t>
      </w:r>
      <w:r w:rsidRPr="00D40600">
        <w:rPr>
          <w:i/>
        </w:rPr>
        <w:t>.</w:t>
      </w:r>
    </w:p>
  </w:footnote>
  <w:footnote w:id="88">
    <w:p w:rsidR="00EC7CF3" w:rsidRDefault="00EC7CF3" w:rsidP="00762ABD">
      <w:pPr>
        <w:pStyle w:val="FootnoteText"/>
      </w:pPr>
      <w:r w:rsidRPr="00D40600">
        <w:rPr>
          <w:rStyle w:val="FootnoteReference"/>
          <w:sz w:val="20"/>
        </w:rPr>
        <w:footnoteRef/>
      </w:r>
      <w:r w:rsidRPr="00D40600">
        <w:t xml:space="preserve"> </w:t>
      </w:r>
      <w:r w:rsidRPr="00D40600">
        <w:rPr>
          <w:i/>
        </w:rPr>
        <w:t>See</w:t>
      </w:r>
      <w:r w:rsidRPr="00D40600">
        <w:t xml:space="preserve"> </w:t>
      </w:r>
      <w:r w:rsidRPr="00D40600">
        <w:rPr>
          <w:i/>
        </w:rPr>
        <w:t>AT&amp;T and Qualcomm</w:t>
      </w:r>
      <w:r w:rsidRPr="00D40600">
        <w:t xml:space="preserve"> </w:t>
      </w:r>
      <w:r w:rsidRPr="00D40600">
        <w:rPr>
          <w:i/>
        </w:rPr>
        <w:t>Order</w:t>
      </w:r>
      <w:r w:rsidRPr="00D40600">
        <w:t xml:space="preserve">, 26 FCC Rcd 17589.  Tables 2 and 3 below indicate that most providers’ voice networks cover more people than their broadband networks, implying that there is likely some variation in services and plan offerings across the geographic areas that providers serve.  </w:t>
      </w:r>
      <w:r w:rsidRPr="00D40600">
        <w:rPr>
          <w:i/>
        </w:rPr>
        <w:t>See</w:t>
      </w:r>
      <w:r w:rsidRPr="00D40600">
        <w:t xml:space="preserve"> Section </w:t>
      </w:r>
      <w:r>
        <w:fldChar w:fldCharType="begin"/>
      </w:r>
      <w:r>
        <w:instrText xml:space="preserve"> REF _Ref256604215 \r \h  \* MERGEFORMAT </w:instrText>
      </w:r>
      <w:r>
        <w:fldChar w:fldCharType="separate"/>
      </w:r>
      <w:r>
        <w:t>IV.A</w:t>
      </w:r>
      <w:r>
        <w:fldChar w:fldCharType="end"/>
      </w:r>
      <w:r w:rsidRPr="00D40600">
        <w:t xml:space="preserve">, </w:t>
      </w:r>
      <w:r>
        <w:fldChar w:fldCharType="begin"/>
      </w:r>
      <w:r>
        <w:instrText xml:space="preserve"> REF _Ref256604215 \h  \* MERGEFORMAT </w:instrText>
      </w:r>
      <w:r>
        <w:fldChar w:fldCharType="separate"/>
      </w:r>
      <w:r w:rsidRPr="00E36736">
        <w:t>Price Rivalry: Developments in Mobile Service Pricing Plans</w:t>
      </w:r>
      <w:r>
        <w:fldChar w:fldCharType="end"/>
      </w:r>
      <w:r w:rsidRPr="00D40600">
        <w:t xml:space="preserve">, which generally treats pricing plans at the national level. </w:t>
      </w:r>
    </w:p>
  </w:footnote>
  <w:footnote w:id="89">
    <w:p w:rsidR="00EC7CF3" w:rsidRDefault="00EC7CF3" w:rsidP="00762ABD">
      <w:pPr>
        <w:pStyle w:val="FootnoteText"/>
      </w:pPr>
      <w:r w:rsidRPr="00D40600">
        <w:rPr>
          <w:rStyle w:val="FootnoteReference"/>
          <w:sz w:val="20"/>
        </w:rPr>
        <w:footnoteRef/>
      </w:r>
      <w:r w:rsidRPr="00D40600">
        <w:t xml:space="preserve"> Fixed wireless services, such as those offered by Stelera Wireless, are currently not included in our analysis of mobile wireless services.</w:t>
      </w:r>
    </w:p>
  </w:footnote>
  <w:footnote w:id="90">
    <w:p w:rsidR="00EC7CF3" w:rsidRDefault="00EC7CF3" w:rsidP="00762ABD">
      <w:pPr>
        <w:pStyle w:val="FootnoteText"/>
      </w:pPr>
      <w:r w:rsidRPr="00D40600">
        <w:rPr>
          <w:rStyle w:val="FootnoteReference"/>
          <w:sz w:val="20"/>
        </w:rPr>
        <w:footnoteRef/>
      </w:r>
      <w:r w:rsidRPr="00D40600">
        <w:t xml:space="preserve"> Certain mobile wireless service providers, such as Clearwire Corporation (Clearwire), offer mobile broadband data services but do not offer circuit-switched mobile voice services.  </w:t>
      </w:r>
      <w:r w:rsidRPr="00D40600">
        <w:rPr>
          <w:i/>
        </w:rPr>
        <w:t xml:space="preserve">See </w:t>
      </w:r>
      <w:r w:rsidRPr="00D40600">
        <w:t xml:space="preserve">Clearwire Corporation, SEC Form 10-K for the fiscal year ended December 31, 2011 at 7.  Clearwire also offers fixed wireless VoIP services, </w:t>
      </w:r>
      <w:r w:rsidRPr="00D40600">
        <w:rPr>
          <w:i/>
        </w:rPr>
        <w:t>Id</w:t>
      </w:r>
      <w:r w:rsidRPr="00D40600">
        <w:t>.</w:t>
      </w:r>
    </w:p>
  </w:footnote>
  <w:footnote w:id="91">
    <w:p w:rsidR="00EC7CF3" w:rsidRDefault="00EC7CF3" w:rsidP="00762ABD">
      <w:pPr>
        <w:pStyle w:val="FootnoteText"/>
      </w:pPr>
      <w:r w:rsidRPr="00D40600">
        <w:rPr>
          <w:rStyle w:val="FootnoteReference"/>
          <w:sz w:val="20"/>
        </w:rPr>
        <w:footnoteRef/>
      </w:r>
      <w:r w:rsidRPr="00D40600">
        <w:t xml:space="preserve"> </w:t>
      </w:r>
      <w:r w:rsidRPr="00422AB0">
        <w:t xml:space="preserve">Sprint Nextel was created by the merger of Sprint Corp. and Nextel Communications, Inc.  See Tenth Report, 20 FCC Rcd at 15931 ¶ 60.  According to Clearwire SEC filings, Sprint holds the largest interest in Clearwire with an effective voting interest of approximately 48.6% and an economic interest in Clearwire of approximately 51.5% as of December 31, 2011. On November 15, 2012, SoftBank Corp. and Sprint Nextel filedan application with the Commission seeking consent for SoftBank to acquire approximately 70 percent of Sprint Nextel. </w:t>
      </w:r>
      <w:r>
        <w:t xml:space="preserve"> </w:t>
      </w:r>
      <w:r w:rsidRPr="00422AB0">
        <w:t xml:space="preserve">The Commission is currently reviewing this proposed transaction.  See Softbank And Sprint Seek Fcc Consent To The Transfer Of Control Of Various Licenses, Leases, And Authorizations From Sprint To Softbank, And To The Grant Of A Declaratory Ruling Under Section 310(B)(4) Of The Communications Act.  Public Notice, IB Docket No. 12-343, DA 12-1924 (rel. Nov. 30, 2012).  </w:t>
      </w:r>
    </w:p>
  </w:footnote>
  <w:footnote w:id="92">
    <w:p w:rsidR="00EC7CF3" w:rsidRDefault="00EC7CF3" w:rsidP="00762ABD">
      <w:pPr>
        <w:pStyle w:val="FootnoteText"/>
      </w:pPr>
      <w:r w:rsidRPr="00D40600">
        <w:rPr>
          <w:rStyle w:val="FootnoteReference"/>
          <w:sz w:val="20"/>
        </w:rPr>
        <w:footnoteRef/>
      </w:r>
      <w:r w:rsidRPr="00D40600">
        <w:t xml:space="preserve"> T-Mobile USA is a wholly-owned subsidiary of Deutsche Telekom AG (Deutsche Telekom).</w:t>
      </w:r>
    </w:p>
  </w:footnote>
  <w:footnote w:id="93">
    <w:p w:rsidR="00EC7CF3" w:rsidRDefault="00EC7CF3" w:rsidP="00762ABD">
      <w:pPr>
        <w:pStyle w:val="FootnoteText"/>
      </w:pPr>
      <w:r w:rsidRPr="00D40600">
        <w:rPr>
          <w:rStyle w:val="FootnoteReference"/>
          <w:sz w:val="20"/>
        </w:rPr>
        <w:footnoteRef/>
      </w:r>
      <w:r w:rsidRPr="00D40600">
        <w:t xml:space="preserve">  Verizon Wireless is a joint venture of Verizon Communications, Inc. (Verizon) and Vodafone Group PLC (Vodafone).  Verizon owns 55 percent of Verizon Wireless, and Vodafone owns 45 percent.  </w:t>
      </w:r>
      <w:r w:rsidRPr="00D40600">
        <w:rPr>
          <w:i/>
        </w:rPr>
        <w:t>See</w:t>
      </w:r>
      <w:r w:rsidRPr="00D40600">
        <w:t xml:space="preserve"> Verizon Communications, Inc., SEC Form 10-K, filed Feb. 24, 2012, at 2.  </w:t>
      </w:r>
    </w:p>
  </w:footnote>
  <w:footnote w:id="94">
    <w:p w:rsidR="00EC7CF3" w:rsidRPr="00D40600" w:rsidRDefault="00EC7CF3" w:rsidP="00CC049A">
      <w:pPr>
        <w:rPr>
          <w:kern w:val="0"/>
          <w:sz w:val="20"/>
        </w:rPr>
      </w:pPr>
      <w:r w:rsidRPr="00D40600">
        <w:rPr>
          <w:rStyle w:val="FootnoteReference"/>
          <w:sz w:val="20"/>
        </w:rPr>
        <w:footnoteRef/>
      </w:r>
      <w:r w:rsidRPr="00D40600">
        <w:rPr>
          <w:sz w:val="20"/>
        </w:rPr>
        <w:t xml:space="preserve">  </w:t>
      </w:r>
      <w:r w:rsidRPr="00D40600">
        <w:rPr>
          <w:i/>
          <w:iCs/>
          <w:kern w:val="0"/>
          <w:sz w:val="20"/>
        </w:rPr>
        <w:t>See</w:t>
      </w:r>
      <w:r w:rsidRPr="00D40600">
        <w:rPr>
          <w:kern w:val="0"/>
          <w:sz w:val="20"/>
        </w:rPr>
        <w:t xml:space="preserve"> Complaint, </w:t>
      </w:r>
      <w:r w:rsidRPr="00D40600">
        <w:rPr>
          <w:i/>
          <w:iCs/>
          <w:kern w:val="0"/>
          <w:sz w:val="20"/>
        </w:rPr>
        <w:t>United States of America v. AT&amp;T, Inc.,</w:t>
      </w:r>
      <w:r w:rsidRPr="00D40600">
        <w:rPr>
          <w:kern w:val="0"/>
          <w:sz w:val="20"/>
        </w:rPr>
        <w:t xml:space="preserve"> 11-cv-1560 (D.D.C.Aug. 31, 2011); Application of AT&amp;T and Deutsche Telekom AG for Consent to Assign or Transfer Control of Licenses and Authorizations, WT Docket No. 11-65, Order, 26 FCC Rcd 16184 (2012).</w:t>
      </w:r>
    </w:p>
    <w:p w:rsidR="00EC7CF3" w:rsidRDefault="00EC7CF3" w:rsidP="00CC049A"/>
  </w:footnote>
  <w:footnote w:id="95">
    <w:p w:rsidR="00EC7CF3" w:rsidRDefault="00EC7CF3">
      <w:pPr>
        <w:pStyle w:val="FootnoteText"/>
      </w:pPr>
      <w:r>
        <w:rPr>
          <w:rStyle w:val="FootnoteReference"/>
        </w:rPr>
        <w:footnoteRef/>
      </w:r>
      <w:r>
        <w:t xml:space="preserve"> </w:t>
      </w:r>
      <w:r w:rsidRPr="00A418E1">
        <w:t xml:space="preserve">In December 2011, AT&amp;T </w:t>
      </w:r>
      <w:r>
        <w:t>formally ended its bid</w:t>
      </w:r>
      <w:r w:rsidRPr="00A418E1">
        <w:t xml:space="preserve"> to acquire T-Mobile USA. See Letter, filed by AT&amp;T Inc., Re: Applications of AT&amp;T Inc. &amp; Deutsche Telekom AG for Consent to Assign or Transfer Control of Licenses &amp; Authorizations, filed Dec. 23, 2011, WT </w:t>
      </w:r>
      <w:r>
        <w:t xml:space="preserve">Docket No. 11-65, (2011).  </w:t>
      </w:r>
    </w:p>
  </w:footnote>
  <w:footnote w:id="96">
    <w:p w:rsidR="00EC7CF3" w:rsidRDefault="00EC7CF3" w:rsidP="00762ABD">
      <w:pPr>
        <w:pStyle w:val="FootnoteText"/>
      </w:pPr>
      <w:r w:rsidRPr="00D40600">
        <w:rPr>
          <w:rStyle w:val="FootnoteReference"/>
          <w:sz w:val="20"/>
        </w:rPr>
        <w:footnoteRef/>
      </w:r>
      <w:r w:rsidRPr="00D40600">
        <w:t xml:space="preserve"> Throughout this </w:t>
      </w:r>
      <w:r w:rsidRPr="00D40600">
        <w:rPr>
          <w:i/>
        </w:rPr>
        <w:t>Report</w:t>
      </w:r>
      <w:r w:rsidRPr="00D40600">
        <w:t>, we attribute Clearwire to Sprint Nextel when discussing spectrum holdings and network coverage.  When analyzing concentration and performance metrics, the two firms are treated as separate entities because the NRUF data used for the concentration analysis do not include Clearwire, and Sprint Nextel does not consolidate Clearwire in its SEC filings and financial/operational data.</w:t>
      </w:r>
    </w:p>
  </w:footnote>
  <w:footnote w:id="97">
    <w:p w:rsidR="00EC7CF3" w:rsidRDefault="00EC7CF3" w:rsidP="00762ABD">
      <w:pPr>
        <w:pStyle w:val="FootnoteText"/>
      </w:pPr>
      <w:r w:rsidRPr="00D40600">
        <w:rPr>
          <w:rStyle w:val="FootnoteReference"/>
          <w:sz w:val="20"/>
        </w:rPr>
        <w:footnoteRef/>
      </w:r>
      <w:r w:rsidRPr="00D40600">
        <w:t xml:space="preserve"> Thus, a nationwide network covers a sufficiently large percentage of the population such that it would be inappropriate to categorize it as a regional network.  These nationwide providers have spectrum holdings in different bands, including cellular, SMR, PCS, AWS-1, 700 MHz, and 2.5 GHz (both BRS licenses and EBS spectrum leases).  Their respective holdings are discussed </w:t>
      </w:r>
      <w:r>
        <w:t xml:space="preserve">in more detail, </w:t>
      </w:r>
      <w:r w:rsidRPr="00D2337E">
        <w:rPr>
          <w:i/>
        </w:rPr>
        <w:t>See</w:t>
      </w:r>
      <w:r>
        <w:t xml:space="preserve"> Section III.F</w:t>
      </w:r>
      <w:r w:rsidRPr="00D40600">
        <w:t>, Spectrum</w:t>
      </w:r>
      <w:r>
        <w:t xml:space="preserve"> and Mobile Wireless Services</w:t>
      </w:r>
      <w:r w:rsidRPr="00D40600">
        <w:t>,</w:t>
      </w:r>
      <w:r>
        <w:t xml:space="preserve"> </w:t>
      </w:r>
      <w:r w:rsidRPr="00D2337E">
        <w:rPr>
          <w:i/>
        </w:rPr>
        <w:t>infra</w:t>
      </w:r>
      <w:r>
        <w:t xml:space="preserve">. </w:t>
      </w:r>
      <w:r w:rsidRPr="00D40600">
        <w:t xml:space="preserve"> </w:t>
      </w:r>
      <w:r w:rsidRPr="00D2337E">
        <w:rPr>
          <w:i/>
        </w:rPr>
        <w:t>See</w:t>
      </w:r>
      <w:r>
        <w:t xml:space="preserve"> </w:t>
      </w:r>
      <w:r w:rsidRPr="00D40600">
        <w:t xml:space="preserve">Appendix A, </w:t>
      </w:r>
      <w:r w:rsidRPr="00D40600">
        <w:rPr>
          <w:i/>
        </w:rPr>
        <w:t>infra.</w:t>
      </w:r>
    </w:p>
  </w:footnote>
  <w:footnote w:id="98">
    <w:p w:rsidR="00EC7CF3" w:rsidRDefault="00EC7CF3" w:rsidP="00762ABD">
      <w:pPr>
        <w:pStyle w:val="FootnoteText"/>
      </w:pPr>
      <w:r w:rsidRPr="00D40600">
        <w:rPr>
          <w:vertAlign w:val="superscript"/>
        </w:rPr>
        <w:footnoteRef/>
      </w:r>
      <w:r w:rsidRPr="00D40600">
        <w:t xml:space="preserve"> Leap states “The combined network footprint in our operating markets covered approximately 95.3 million POPs as of December 31, 2011.”  </w:t>
      </w:r>
      <w:r w:rsidRPr="00D40600">
        <w:rPr>
          <w:i/>
        </w:rPr>
        <w:t>See</w:t>
      </w:r>
      <w:r w:rsidRPr="00D40600">
        <w:t xml:space="preserve"> SEC, Leap Wireless Form 10-K for the fiscal year ended December 31, 2011, at 4.  Section </w:t>
      </w:r>
      <w:r>
        <w:fldChar w:fldCharType="begin"/>
      </w:r>
      <w:r>
        <w:instrText xml:space="preserve"> REF _Ref276717695 \r \h  \* MERGEFORMAT </w:instrText>
      </w:r>
      <w:r>
        <w:fldChar w:fldCharType="separate"/>
      </w:r>
      <w:r>
        <w:t>III.E</w:t>
      </w:r>
      <w:r>
        <w:fldChar w:fldCharType="end"/>
      </w:r>
      <w:r w:rsidRPr="00D40600">
        <w:t xml:space="preserve">, </w:t>
      </w:r>
      <w:r w:rsidR="00951E9B">
        <w:fldChar w:fldCharType="begin"/>
      </w:r>
      <w:r w:rsidR="00951E9B">
        <w:instrText xml:space="preserve"> REF _Ref282597277  \* MERGEFORMAT </w:instrText>
      </w:r>
      <w:r w:rsidR="00951E9B">
        <w:fldChar w:fldCharType="separate"/>
      </w:r>
      <w:r w:rsidRPr="00B53FFB">
        <w:t>Entry and Exit Conditions</w:t>
      </w:r>
      <w:r w:rsidR="00951E9B">
        <w:fldChar w:fldCharType="end"/>
      </w:r>
      <w:r w:rsidRPr="00D40600">
        <w:t xml:space="preserve">, </w:t>
      </w:r>
      <w:r w:rsidRPr="00D40600">
        <w:rPr>
          <w:i/>
        </w:rPr>
        <w:t>infra</w:t>
      </w:r>
      <w:r w:rsidRPr="00D40600">
        <w:t>.  See SEC, MetroPCS Form 10-K for the fiscal year ended December 31, 2011, at 6 (stating, “We currently provide our wireless broadband mobile services primarily in selected major metropolitan areas in the United States, including the Atlanta, Boston, Dallas/Fort Worth, Detroit, Las Vegas, Los Angeles, Miami, New York, Orlando/Jacksonville, Philadelphia, Sacramento, San Francisco, and Tampa/Sarasota metropolitan areas.”).</w:t>
      </w:r>
    </w:p>
  </w:footnote>
  <w:footnote w:id="99">
    <w:p w:rsidR="00EC7CF3" w:rsidRDefault="00EC7CF3" w:rsidP="00762ABD">
      <w:pPr>
        <w:pStyle w:val="FootnoteText"/>
      </w:pPr>
      <w:r w:rsidRPr="00D40600">
        <w:rPr>
          <w:rStyle w:val="FootnoteReference"/>
          <w:sz w:val="20"/>
        </w:rPr>
        <w:footnoteRef/>
      </w:r>
      <w:r w:rsidRPr="00D40600">
        <w:t xml:space="preserve"> Leap Wireless, SEC Form 10-K for the fiscal year ended December 31, 2011 at 4.</w:t>
      </w:r>
    </w:p>
  </w:footnote>
  <w:footnote w:id="100">
    <w:p w:rsidR="00EC7CF3" w:rsidRDefault="00EC7CF3" w:rsidP="00762ABD">
      <w:pPr>
        <w:pStyle w:val="FootnoteText"/>
      </w:pPr>
      <w:r w:rsidRPr="00D40600">
        <w:rPr>
          <w:rStyle w:val="FootnoteReference"/>
          <w:sz w:val="20"/>
        </w:rPr>
        <w:footnoteRef/>
      </w:r>
      <w:r w:rsidRPr="00D40600">
        <w:t xml:space="preserve">  MetroPCS Communications Inc., SEC Form 10-K for the fiscal year ended December 31, 2011, at 6.</w:t>
      </w:r>
    </w:p>
  </w:footnote>
  <w:footnote w:id="101">
    <w:p w:rsidR="00EC7CF3" w:rsidRDefault="00EC7CF3" w:rsidP="00762ABD">
      <w:pPr>
        <w:pStyle w:val="FootnoteText"/>
      </w:pPr>
      <w:r w:rsidRPr="00D40600">
        <w:rPr>
          <w:vertAlign w:val="superscript"/>
        </w:rPr>
        <w:footnoteRef/>
      </w:r>
      <w:r w:rsidRPr="00D40600">
        <w:t xml:space="preserve"> United States Cellular Corp., SEC Form 10-K for the fiscal year ended December 31, 2011, at 1.</w:t>
      </w:r>
    </w:p>
  </w:footnote>
  <w:footnote w:id="102">
    <w:p w:rsidR="00EC7CF3" w:rsidRDefault="00EC7CF3" w:rsidP="00762ABD">
      <w:pPr>
        <w:pStyle w:val="FootnoteText"/>
      </w:pPr>
      <w:r w:rsidRPr="00D40600">
        <w:rPr>
          <w:rStyle w:val="FootnoteReference"/>
          <w:sz w:val="20"/>
        </w:rPr>
        <w:footnoteRef/>
      </w:r>
      <w:r w:rsidRPr="00D40600">
        <w:t xml:space="preserve"> United States Cellular, SEC Form 10-K for the fiscal year ended December 31, 2011at 1.</w:t>
      </w:r>
    </w:p>
  </w:footnote>
  <w:footnote w:id="103">
    <w:p w:rsidR="00EC7CF3" w:rsidRDefault="00EC7CF3" w:rsidP="00762ABD">
      <w:pPr>
        <w:pStyle w:val="FootnoteText"/>
      </w:pPr>
      <w:r w:rsidRPr="00D40600">
        <w:rPr>
          <w:rStyle w:val="FootnoteReference"/>
          <w:sz w:val="20"/>
        </w:rPr>
        <w:footnoteRef/>
      </w:r>
      <w:r w:rsidRPr="00D40600">
        <w:t xml:space="preserve"> According to one service provider, “MVNOs execute a contract with [the facilities-based provider] to buy wireless service from [the facilities-based provider] to resell under their own brand to customers and perform all marketing, billing, collections and customer service for the customers they activate.  MVNOs establish and maintain the relationship with its customers.  MVNOs own the relationship with their customers and establish their own calling plans and pricing.”  </w:t>
      </w:r>
      <w:r w:rsidRPr="00D40600">
        <w:rPr>
          <w:i/>
        </w:rPr>
        <w:t>See</w:t>
      </w:r>
      <w:r w:rsidRPr="00D40600">
        <w:t xml:space="preserve"> Verizon Wireless, </w:t>
      </w:r>
      <w:r w:rsidRPr="00D40600">
        <w:rPr>
          <w:i/>
        </w:rPr>
        <w:t>Authorized Retailers and MVNOs</w:t>
      </w:r>
      <w:r w:rsidRPr="00D40600">
        <w:t xml:space="preserve">, </w:t>
      </w:r>
      <w:hyperlink r:id="rId15" w:history="1">
        <w:r w:rsidRPr="00D40600">
          <w:rPr>
            <w:rStyle w:val="Hyperlink"/>
          </w:rPr>
          <w:t>http://www.verizonwireless.com/b2c/aboutUs/reseller/authorizedAgentIndex.jsp</w:t>
        </w:r>
      </w:hyperlink>
      <w:r w:rsidRPr="00D40600">
        <w:t xml:space="preserve"> (visited</w:t>
      </w:r>
      <w:r>
        <w:t xml:space="preserve"> Nov</w:t>
      </w:r>
      <w:r w:rsidRPr="00D40600">
        <w:t>. 18, 201</w:t>
      </w:r>
      <w:r>
        <w:t>2</w:t>
      </w:r>
      <w:r w:rsidRPr="00D40600">
        <w:t xml:space="preserve">). </w:t>
      </w:r>
    </w:p>
  </w:footnote>
  <w:footnote w:id="104">
    <w:p w:rsidR="00EC7CF3" w:rsidRDefault="00EC7CF3" w:rsidP="00762ABD">
      <w:pPr>
        <w:pStyle w:val="FootnoteText"/>
      </w:pPr>
      <w:r w:rsidRPr="00D40600">
        <w:rPr>
          <w:rStyle w:val="FootnoteReference"/>
          <w:sz w:val="20"/>
        </w:rPr>
        <w:footnoteRef/>
      </w:r>
      <w:r w:rsidRPr="00D40600">
        <w:t xml:space="preserve"> </w:t>
      </w:r>
      <w:r w:rsidRPr="00D40600">
        <w:rPr>
          <w:i/>
        </w:rPr>
        <w:t>See</w:t>
      </w:r>
      <w:r w:rsidRPr="00D40600">
        <w:t xml:space="preserve"> TracFone, </w:t>
      </w:r>
      <w:hyperlink r:id="rId16" w:anchor="a_about" w:history="1">
        <w:r w:rsidRPr="00D40600">
          <w:rPr>
            <w:rStyle w:val="Hyperlink"/>
          </w:rPr>
          <w:t>http://www.tracfone.com/facelift/tour.jsp#a_about</w:t>
        </w:r>
      </w:hyperlink>
      <w:r w:rsidRPr="00D40600">
        <w:t xml:space="preserve"> (visited April 30, 2012).</w:t>
      </w:r>
    </w:p>
  </w:footnote>
  <w:footnote w:id="105">
    <w:p w:rsidR="00EC7CF3" w:rsidRDefault="00EC7CF3" w:rsidP="009C0A49">
      <w:pPr>
        <w:spacing w:after="60"/>
      </w:pPr>
      <w:r w:rsidRPr="00D40600">
        <w:rPr>
          <w:rStyle w:val="FootnoteReference"/>
          <w:sz w:val="20"/>
        </w:rPr>
        <w:footnoteRef/>
      </w:r>
      <w:r w:rsidRPr="00D40600">
        <w:rPr>
          <w:sz w:val="20"/>
        </w:rPr>
        <w:t xml:space="preserve"> </w:t>
      </w:r>
      <w:r w:rsidRPr="00D40600">
        <w:rPr>
          <w:kern w:val="0"/>
          <w:sz w:val="20"/>
        </w:rPr>
        <w:t xml:space="preserve">Leap Wireless, Press Release, </w:t>
      </w:r>
      <w:r w:rsidRPr="00D40600">
        <w:rPr>
          <w:i/>
          <w:kern w:val="0"/>
          <w:sz w:val="20"/>
        </w:rPr>
        <w:t>Cricket Introduces its Cricket Products Into Kmart Locations Nationwide</w:t>
      </w:r>
      <w:r w:rsidRPr="00D40600">
        <w:rPr>
          <w:kern w:val="0"/>
          <w:sz w:val="20"/>
        </w:rPr>
        <w:t xml:space="preserve">, June 11, 2012 </w:t>
      </w:r>
      <w:r w:rsidRPr="0018171C">
        <w:rPr>
          <w:i/>
          <w:kern w:val="0"/>
          <w:sz w:val="20"/>
        </w:rPr>
        <w:t>available at</w:t>
      </w:r>
      <w:r w:rsidRPr="00D40600">
        <w:rPr>
          <w:kern w:val="0"/>
          <w:sz w:val="20"/>
        </w:rPr>
        <w:t xml:space="preserve"> </w:t>
      </w:r>
      <w:hyperlink r:id="rId17" w:history="1">
        <w:r w:rsidRPr="00D40600">
          <w:rPr>
            <w:rStyle w:val="Hyperlink"/>
            <w:kern w:val="0"/>
            <w:sz w:val="20"/>
          </w:rPr>
          <w:t>http://leapwireless.mediaroom.com/press-releases</w:t>
        </w:r>
      </w:hyperlink>
      <w:r>
        <w:rPr>
          <w:rStyle w:val="Hyperlink"/>
          <w:kern w:val="0"/>
          <w:sz w:val="20"/>
        </w:rPr>
        <w:t xml:space="preserve"> </w:t>
      </w:r>
      <w:r>
        <w:rPr>
          <w:kern w:val="0"/>
          <w:sz w:val="20"/>
        </w:rPr>
        <w:t xml:space="preserve"> (visited Nov. 18, 2012).</w:t>
      </w:r>
      <w:r w:rsidRPr="00D40600">
        <w:rPr>
          <w:kern w:val="0"/>
          <w:sz w:val="20"/>
        </w:rPr>
        <w:t xml:space="preserve">  Fiercewireless, </w:t>
      </w:r>
      <w:r w:rsidRPr="00D40600">
        <w:rPr>
          <w:bCs/>
          <w:sz w:val="20"/>
        </w:rPr>
        <w:t xml:space="preserve">Leap: We won't make $75M payment to Sprint for 2012 network access, Aug. 6, 2012, </w:t>
      </w:r>
      <w:r w:rsidRPr="0018171C">
        <w:rPr>
          <w:bCs/>
          <w:i/>
          <w:sz w:val="20"/>
        </w:rPr>
        <w:t xml:space="preserve">available at </w:t>
      </w:r>
      <w:r w:rsidRPr="00D40600">
        <w:rPr>
          <w:bCs/>
          <w:sz w:val="20"/>
        </w:rPr>
        <w:t>fiercewireless.com.</w:t>
      </w:r>
    </w:p>
  </w:footnote>
  <w:footnote w:id="106">
    <w:p w:rsidR="00EC7CF3" w:rsidRDefault="00EC7CF3" w:rsidP="009C0A49">
      <w:pPr>
        <w:pStyle w:val="FootnoteText"/>
        <w:spacing w:after="60"/>
      </w:pPr>
      <w:r w:rsidRPr="00D40600">
        <w:rPr>
          <w:rStyle w:val="FootnoteReference"/>
          <w:snapToGrid w:val="0"/>
          <w:sz w:val="20"/>
        </w:rPr>
        <w:footnoteRef/>
      </w:r>
      <w:r w:rsidRPr="00D40600">
        <w:t xml:space="preserve">  </w:t>
      </w:r>
      <w:r w:rsidRPr="00D40600">
        <w:rPr>
          <w:i/>
        </w:rPr>
        <w:t>See</w:t>
      </w:r>
      <w:r w:rsidRPr="00D40600">
        <w:t xml:space="preserve"> Leap Wireless, SEC Form 10-K for the fiscal year ended December 31, 2011, filed Feb. 21, 2012, at 21.</w:t>
      </w:r>
    </w:p>
  </w:footnote>
  <w:footnote w:id="107">
    <w:p w:rsidR="00EC7CF3" w:rsidRDefault="00EC7CF3" w:rsidP="00762ABD">
      <w:pPr>
        <w:pStyle w:val="FootnoteText"/>
      </w:pPr>
      <w:r w:rsidRPr="00D40600">
        <w:rPr>
          <w:rStyle w:val="FootnoteReference"/>
          <w:sz w:val="20"/>
        </w:rPr>
        <w:footnoteRef/>
      </w:r>
      <w:r w:rsidRPr="00D40600">
        <w:t xml:space="preserve"> </w:t>
      </w:r>
      <w:r w:rsidRPr="00D40600">
        <w:rPr>
          <w:i/>
        </w:rPr>
        <w:t>See</w:t>
      </w:r>
      <w:r w:rsidRPr="00D40600">
        <w:t xml:space="preserve"> Clearwire, SEC Form 10-K for the fiscal year ended December 31, 2011, filed Feb. 16, 2012, at 2, 6. </w:t>
      </w:r>
    </w:p>
  </w:footnote>
  <w:footnote w:id="108">
    <w:p w:rsidR="00EC7CF3" w:rsidRDefault="00EC7CF3" w:rsidP="00762ABD">
      <w:pPr>
        <w:pStyle w:val="FootnoteText"/>
      </w:pPr>
      <w:r w:rsidRPr="00D40600">
        <w:rPr>
          <w:rStyle w:val="FootnoteReference"/>
          <w:sz w:val="20"/>
        </w:rPr>
        <w:footnoteRef/>
      </w:r>
      <w:r w:rsidRPr="00D40600">
        <w:t xml:space="preserve"> </w:t>
      </w:r>
      <w:r w:rsidRPr="00D40600">
        <w:rPr>
          <w:i/>
        </w:rPr>
        <w:t>See</w:t>
      </w:r>
      <w:r w:rsidRPr="00D40600">
        <w:t xml:space="preserve"> Clearwire, SEC Form 10-K, filed Feb. 16, 2012, at 3 (stating “Over the long term, we will need to greatly expand our revenue base by increasing sales to our existing wholesale partners, primarily Sprint, and by adding additional wholesale partners.”).  Over 85% of Clearwire’s connections at the end of 2011 were wholesale connections.  See SEC, Clearwire Form 10-K, For the fiscal year ended December 31, 2011, at 3 (stating “We believe that, as the demand for mobile broadband services continues its rapid growth, Sprint and other service providers will find it difficult, if not impossible, to satisfy their customers' demands with their existing spectrum holdings. </w:t>
      </w:r>
      <w:r>
        <w:t xml:space="preserve"> </w:t>
      </w:r>
      <w:r w:rsidRPr="00D40600">
        <w:t>By deploying LTE, we believe that we will be able to take advantage of our leading spectrum position to offer offload data capacity to Sprint and other existing and future mobile broadband service providers for resale to their customers on a cost effective basis.”)</w:t>
      </w:r>
    </w:p>
  </w:footnote>
  <w:footnote w:id="109">
    <w:p w:rsidR="00EC7CF3" w:rsidRDefault="00EC7CF3" w:rsidP="00762ABD">
      <w:pPr>
        <w:pStyle w:val="FootnoteText"/>
      </w:pPr>
      <w:r w:rsidRPr="00D40600">
        <w:rPr>
          <w:rStyle w:val="FootnoteReference"/>
          <w:sz w:val="20"/>
        </w:rPr>
        <w:footnoteRef/>
      </w:r>
      <w:r w:rsidRPr="00D40600">
        <w:t xml:space="preserve"> </w:t>
      </w:r>
      <w:r w:rsidRPr="00D40600">
        <w:rPr>
          <w:i/>
        </w:rPr>
        <w:t>See</w:t>
      </w:r>
      <w:r w:rsidRPr="00D40600">
        <w:t xml:space="preserve"> P. Kalmus and L. Wiethaus, </w:t>
      </w:r>
      <w:r w:rsidRPr="00D40600">
        <w:rPr>
          <w:i/>
        </w:rPr>
        <w:t>On the Competitive Effects of Mobile Virtual Network Operators</w:t>
      </w:r>
      <w:r w:rsidRPr="00D40600">
        <w:t>, Telecommunications Policy, Vol. 34, 2010 at 263, 266, 268.</w:t>
      </w:r>
    </w:p>
  </w:footnote>
  <w:footnote w:id="110">
    <w:p w:rsidR="00EC7CF3" w:rsidRDefault="00EC7CF3" w:rsidP="00762ABD">
      <w:pPr>
        <w:pStyle w:val="FootnoteText"/>
      </w:pPr>
      <w:r w:rsidRPr="00D40600">
        <w:rPr>
          <w:rStyle w:val="FootnoteReference"/>
          <w:sz w:val="20"/>
        </w:rPr>
        <w:footnoteRef/>
      </w:r>
      <w:r w:rsidRPr="00D40600">
        <w:t xml:space="preserve"> </w:t>
      </w:r>
      <w:r w:rsidRPr="00D40600">
        <w:rPr>
          <w:i/>
        </w:rPr>
        <w:t>See</w:t>
      </w:r>
      <w:r w:rsidRPr="00D40600">
        <w:t xml:space="preserve"> P. Kalmus and L. Wiethaus, </w:t>
      </w:r>
      <w:r w:rsidRPr="00D40600">
        <w:rPr>
          <w:i/>
        </w:rPr>
        <w:t>On the Competitive Effects of Mobile Virtual Network Operators</w:t>
      </w:r>
      <w:r w:rsidRPr="00D40600">
        <w:t>, Telecommunications Policy, Vol. 34, 2010, at 268 (</w:t>
      </w:r>
      <w:r w:rsidRPr="00D40600">
        <w:rPr>
          <w:i/>
        </w:rPr>
        <w:t>On the Competitive Effects of Mobile Virtual Network Operators)</w:t>
      </w:r>
      <w:r w:rsidRPr="00D40600">
        <w:t xml:space="preserve">.  </w:t>
      </w:r>
      <w:r w:rsidRPr="00D40600">
        <w:rPr>
          <w:i/>
        </w:rPr>
        <w:t>See</w:t>
      </w:r>
      <w:r w:rsidRPr="00D40600">
        <w:t xml:space="preserve"> A. Banerjee and C. Dippon, </w:t>
      </w:r>
      <w:r w:rsidRPr="00D40600">
        <w:rPr>
          <w:i/>
        </w:rPr>
        <w:t>Voluntary Relationships Among Mobile Network Operators and Mobile Virtual Network Operators: An Economic Explanation</w:t>
      </w:r>
      <w:r w:rsidRPr="00D40600">
        <w:t>, Information Economics and Policy, Vol. 21, 2009, at 72 (</w:t>
      </w:r>
      <w:r w:rsidRPr="00D40600">
        <w:rPr>
          <w:i/>
        </w:rPr>
        <w:t>Voluntary Relationships Among Mobile Network Operators and Mobile Virtual Network Operators: An Economic Explanation</w:t>
      </w:r>
      <w:r w:rsidRPr="00D40600">
        <w:t>).</w:t>
      </w:r>
    </w:p>
  </w:footnote>
  <w:footnote w:id="111">
    <w:p w:rsidR="00EC7CF3" w:rsidRDefault="00EC7CF3" w:rsidP="00762ABD">
      <w:pPr>
        <w:pStyle w:val="FootnoteText"/>
      </w:pPr>
      <w:r w:rsidRPr="00D40600">
        <w:rPr>
          <w:rStyle w:val="FootnoteReference"/>
          <w:sz w:val="20"/>
        </w:rPr>
        <w:footnoteRef/>
      </w:r>
      <w:r w:rsidRPr="00D40600">
        <w:t xml:space="preserve"> </w:t>
      </w:r>
      <w:r w:rsidRPr="00D40600">
        <w:rPr>
          <w:i/>
        </w:rPr>
        <w:t>See</w:t>
      </w:r>
      <w:r w:rsidRPr="00D40600">
        <w:t xml:space="preserve">, The Yankee Group, Jason Armitage, </w:t>
      </w:r>
      <w:r w:rsidRPr="00D40600">
        <w:rPr>
          <w:i/>
        </w:rPr>
        <w:t>Yankee Group’s 2011 Predictions: 4G Fuels the Decade of Disruption</w:t>
      </w:r>
      <w:r w:rsidRPr="00D40600">
        <w:t xml:space="preserve">, at 7 (stating, “Like a small bird on an elephant’s back, if an MVNO can establish a symbiotic relationship with its host and provide some direct commercial benefits, it can flourish.”) </w:t>
      </w:r>
      <w:r w:rsidRPr="00D40600">
        <w:rPr>
          <w:i/>
        </w:rPr>
        <w:t>See</w:t>
      </w:r>
      <w:r w:rsidRPr="00D40600">
        <w:t xml:space="preserve"> </w:t>
      </w:r>
      <w:r w:rsidRPr="00D40600">
        <w:rPr>
          <w:i/>
        </w:rPr>
        <w:t>Voluntary Relationships Among Mobile Network Operators and Mobile Virtual Network Operators:  An Economic Explanation</w:t>
      </w:r>
      <w:r w:rsidRPr="00D40600">
        <w:t xml:space="preserve">, at 75, 76, 82.  </w:t>
      </w:r>
      <w:r w:rsidRPr="00D40600">
        <w:rPr>
          <w:i/>
        </w:rPr>
        <w:t>See</w:t>
      </w:r>
      <w:r w:rsidRPr="00D40600">
        <w:t xml:space="preserve"> </w:t>
      </w:r>
      <w:r w:rsidRPr="00D40600">
        <w:rPr>
          <w:i/>
        </w:rPr>
        <w:t>On the Competitive Effects of Mobile Virtual Network Operators</w:t>
      </w:r>
      <w:r w:rsidRPr="00D40600">
        <w:t xml:space="preserve">, at 263, 268.  </w:t>
      </w:r>
    </w:p>
  </w:footnote>
  <w:footnote w:id="112">
    <w:p w:rsidR="00EC7CF3" w:rsidRDefault="00EC7CF3" w:rsidP="00762ABD">
      <w:pPr>
        <w:pStyle w:val="FootnoteText"/>
      </w:pPr>
      <w:r w:rsidRPr="00D40600">
        <w:rPr>
          <w:rStyle w:val="FootnoteReference"/>
          <w:sz w:val="20"/>
        </w:rPr>
        <w:footnoteRef/>
      </w:r>
      <w:r w:rsidRPr="00D40600">
        <w:t xml:space="preserve"> </w:t>
      </w:r>
      <w:r w:rsidRPr="00D40600">
        <w:rPr>
          <w:i/>
        </w:rPr>
        <w:t>See</w:t>
      </w:r>
      <w:r w:rsidRPr="00D40600">
        <w:t xml:space="preserve"> SEC, </w:t>
      </w:r>
      <w:r w:rsidRPr="00D40600">
        <w:rPr>
          <w:i/>
        </w:rPr>
        <w:t>AT&amp;T Inc. 2011 Annual Report</w:t>
      </w:r>
      <w:r w:rsidRPr="00D40600">
        <w:t xml:space="preserve">, filed Feb. 24, 2012.  </w:t>
      </w:r>
      <w:r w:rsidRPr="00D40600">
        <w:rPr>
          <w:i/>
        </w:rPr>
        <w:t>See</w:t>
      </w:r>
      <w:r w:rsidRPr="00D40600">
        <w:t xml:space="preserve"> T-Mobile USA, </w:t>
      </w:r>
      <w:r w:rsidRPr="00D40600">
        <w:rPr>
          <w:i/>
        </w:rPr>
        <w:t>T-Mobile USA Reports Fourth Quarter 2011 Operating Results</w:t>
      </w:r>
      <w:r w:rsidRPr="00D40600">
        <w:t xml:space="preserve">, at 2, 12.  In their SEC forms, Sprint Nextel and Clearwire both count some Sprint Nextel 4G customers as subscribers (those on dual mode 3G/4G devices) since Sprint Nextel and Clearwire are separately providing the 3G and 4G services, respectively, to these customers.  </w:t>
      </w:r>
      <w:r w:rsidRPr="00D40600">
        <w:rPr>
          <w:i/>
        </w:rPr>
        <w:t>See</w:t>
      </w:r>
      <w:r w:rsidRPr="00D40600">
        <w:t xml:space="preserve"> Sprint Nextel, SEC Form 10-K, filed Feb. 27, 2012, at 2-3, 38. </w:t>
      </w:r>
      <w:r w:rsidRPr="00D40600">
        <w:rPr>
          <w:i/>
        </w:rPr>
        <w:t xml:space="preserve"> See</w:t>
      </w:r>
      <w:r w:rsidRPr="00D40600">
        <w:t xml:space="preserve"> Clearwire, SEC Form 10-K for the fiscal year ended December 31, 2011, filed Feb. 16, 2012, at 2, 6. </w:t>
      </w:r>
    </w:p>
  </w:footnote>
  <w:footnote w:id="113">
    <w:p w:rsidR="00EC7CF3" w:rsidRDefault="00EC7CF3" w:rsidP="00762ABD">
      <w:pPr>
        <w:pStyle w:val="FootnoteText"/>
      </w:pPr>
      <w:r w:rsidRPr="00D40600">
        <w:rPr>
          <w:rStyle w:val="FootnoteReference"/>
          <w:sz w:val="20"/>
        </w:rPr>
        <w:footnoteRef/>
      </w:r>
      <w:r w:rsidRPr="00D40600">
        <w:t xml:space="preserve"> CTIA, </w:t>
      </w:r>
      <w:r w:rsidRPr="00D40600">
        <w:rPr>
          <w:i/>
        </w:rPr>
        <w:t>CTIA’s Wireless Industry Indices, Semi-Annual Data Survey Results: A Comprehensive Report from CTIA Analyzing the U.S. Wireless Industry, Year-end 2011 Results</w:t>
      </w:r>
      <w:r w:rsidRPr="00D40600">
        <w:t>, released May 2012, at 11 (stating “Companies that hold licenses but have not yet begun to offer commercial services, and companies that provide service only on a resale basis (</w:t>
      </w:r>
      <w:r w:rsidRPr="00D40600">
        <w:rPr>
          <w:i/>
          <w:iCs/>
        </w:rPr>
        <w:t>i.e</w:t>
      </w:r>
      <w:r w:rsidRPr="00D40600">
        <w:t xml:space="preserve">., that are not facilities-based) are not included in the general pool of companies surveyed for the bulk of this report. Nonetheless, subscribers to such resellers or MVNOs are accounted for in the results reported by the facilities-based companies that support the reseller/MVNO offerings.”).  UBS Investment Research, </w:t>
      </w:r>
      <w:r w:rsidRPr="00D40600">
        <w:rPr>
          <w:i/>
        </w:rPr>
        <w:t>US Wireless411,Version 43.0</w:t>
      </w:r>
      <w:r w:rsidRPr="00D40600">
        <w:t>, March 7, 2012, at 14.  Bank of America Merrill Lynch, Global Wireless Matrix 4Q11, released Dec. 21, 2011 at 3.</w:t>
      </w:r>
    </w:p>
  </w:footnote>
  <w:footnote w:id="114">
    <w:p w:rsidR="00EC7CF3" w:rsidRDefault="00EC7CF3" w:rsidP="00762ABD">
      <w:pPr>
        <w:pStyle w:val="FootnoteText"/>
      </w:pPr>
      <w:r w:rsidRPr="00D40600">
        <w:rPr>
          <w:rStyle w:val="FootnoteReference"/>
          <w:sz w:val="20"/>
        </w:rPr>
        <w:footnoteRef/>
      </w:r>
      <w:r w:rsidRPr="00D40600">
        <w:t xml:space="preserve"> Because a (data centric) connected device could be a retail connection or a wholesale connection, the reporting conventions of some providers for such connected devices lack consistency.  Additionally, because some connected devices (such as those reported by AT&amp;T:  eReaders, home security monitoring, fleet management systems, and smart grid devices) differ significantly from standard handsets and smartphones, some providers choose to categorize connected devices separately from their consumer connections.</w:t>
      </w:r>
    </w:p>
  </w:footnote>
  <w:footnote w:id="115">
    <w:p w:rsidR="00EC7CF3" w:rsidRDefault="00EC7CF3" w:rsidP="00762ABD">
      <w:pPr>
        <w:pStyle w:val="FootnoteText"/>
      </w:pPr>
      <w:r w:rsidRPr="00D40600">
        <w:rPr>
          <w:rStyle w:val="FootnoteReference"/>
          <w:sz w:val="20"/>
        </w:rPr>
        <w:footnoteRef/>
      </w:r>
      <w:r w:rsidRPr="00D40600">
        <w:t xml:space="preserve"> </w:t>
      </w:r>
      <w:r w:rsidRPr="00D40600">
        <w:rPr>
          <w:i/>
        </w:rPr>
        <w:t>See</w:t>
      </w:r>
      <w:r w:rsidRPr="00D40600">
        <w:t xml:space="preserve"> SEC, EX-13 AT&amp;T Inc. 2011 Annual Report, filed Feb. 24, 2012.  See SEC, EX-13 Portions of Verizon's Annual Report to Shareholders, filed Feb. 24, 2012.</w:t>
      </w:r>
    </w:p>
  </w:footnote>
  <w:footnote w:id="116">
    <w:p w:rsidR="00EC7CF3" w:rsidRDefault="00EC7CF3" w:rsidP="00762ABD">
      <w:pPr>
        <w:pStyle w:val="FootnoteText"/>
      </w:pPr>
      <w:r w:rsidRPr="00D40600">
        <w:rPr>
          <w:rStyle w:val="FootnoteReference"/>
          <w:sz w:val="20"/>
        </w:rPr>
        <w:footnoteRef/>
      </w:r>
      <w:r w:rsidRPr="00D40600">
        <w:t xml:space="preserve"> FCC, Industry Analysis and Technology Division, </w:t>
      </w:r>
      <w:r w:rsidRPr="00D40600">
        <w:rPr>
          <w:i/>
        </w:rPr>
        <w:t>Local Telephone Competition: Status as of December 31, 2010</w:t>
      </w:r>
      <w:r w:rsidRPr="00D40600">
        <w:t xml:space="preserve">, October 2011.  </w:t>
      </w:r>
    </w:p>
  </w:footnote>
  <w:footnote w:id="117">
    <w:p w:rsidR="00EC7CF3" w:rsidRDefault="00EC7CF3" w:rsidP="00762ABD">
      <w:pPr>
        <w:pStyle w:val="FootnoteText"/>
      </w:pPr>
      <w:r w:rsidRPr="00D40600">
        <w:rPr>
          <w:rStyle w:val="FootnoteReference"/>
          <w:sz w:val="20"/>
        </w:rPr>
        <w:footnoteRef/>
      </w:r>
      <w:r w:rsidRPr="00D40600">
        <w:t xml:space="preserve"> Reported by the providers to the SEC, 2011 Form 10-K filings.  Verizon Wireless</w:t>
      </w:r>
      <w:r>
        <w:t xml:space="preserve"> did not </w:t>
      </w:r>
      <w:r w:rsidRPr="00D40600">
        <w:t>disaggregate connections for wholesale and connected devices</w:t>
      </w:r>
      <w:r>
        <w:t xml:space="preserve"> in 2011, and stopped reporting wholesale connections in 2012</w:t>
      </w:r>
      <w:r w:rsidRPr="00D40600">
        <w:t xml:space="preserve">.  </w:t>
      </w:r>
      <w:r w:rsidRPr="00D40600">
        <w:rPr>
          <w:i/>
        </w:rPr>
        <w:t>See</w:t>
      </w:r>
      <w:r w:rsidRPr="00D40600">
        <w:t xml:space="preserve"> SEC, Verizon, 2011 Form 10-K Exhibit 13 (stating “Total connections represent the total of our retail customers and wholesale and other connections. Wholesale and other connections include customers from our reseller channel as well as connections from non-traditional wireless-enabled devices, such as those used to support vehicle tracking, telematics services and machine-to-machine connections.”).</w:t>
      </w:r>
    </w:p>
  </w:footnote>
  <w:footnote w:id="118">
    <w:p w:rsidR="00EC7CF3" w:rsidRDefault="00EC7CF3" w:rsidP="00762ABD">
      <w:pPr>
        <w:pStyle w:val="FootnoteText"/>
      </w:pPr>
      <w:r w:rsidRPr="00D40600">
        <w:rPr>
          <w:rStyle w:val="FootnoteReference"/>
          <w:sz w:val="20"/>
        </w:rPr>
        <w:footnoteRef/>
      </w:r>
      <w:r w:rsidRPr="00D40600">
        <w:t xml:space="preserve"> Clearwire states that “Sprint accounts for substantially all of our wholesale sales to date.”  See SEC, Clearwire Form-10K for the fiscal year ended 2011, at 50, 52.  RCR Wireless reports that Clearwire’s other wholesale agreements include Prepayd Wireless, FreedomPop, and NetZero.  See RCR Wireless, </w:t>
      </w:r>
      <w:r w:rsidRPr="00D40600">
        <w:rPr>
          <w:i/>
        </w:rPr>
        <w:t>Prepayd enters white-hot prepaid space with WiMAX data</w:t>
      </w:r>
      <w:r>
        <w:t xml:space="preserve">, </w:t>
      </w:r>
      <w:r>
        <w:rPr>
          <w:i/>
        </w:rPr>
        <w:t>a</w:t>
      </w:r>
      <w:r w:rsidRPr="0018171C">
        <w:rPr>
          <w:i/>
        </w:rPr>
        <w:t>vailable a</w:t>
      </w:r>
      <w:r>
        <w:t xml:space="preserve">t </w:t>
      </w:r>
      <w:r w:rsidRPr="00D40600">
        <w:t xml:space="preserve"> </w:t>
      </w:r>
      <w:hyperlink r:id="rId18" w:history="1">
        <w:r w:rsidRPr="00D40600">
          <w:rPr>
            <w:rStyle w:val="Hyperlink"/>
          </w:rPr>
          <w:t>http://www.rcrwireless.com/article/20120502/carriers/prepayd-enters-white-hot-prepaid-space-with-wimax-data/</w:t>
        </w:r>
      </w:hyperlink>
      <w:r w:rsidRPr="00D40600">
        <w:rPr>
          <w:rStyle w:val="Hyperlink"/>
        </w:rPr>
        <w:t xml:space="preserve"> </w:t>
      </w:r>
      <w:r w:rsidRPr="00D40600">
        <w:rPr>
          <w:rStyle w:val="Hyperlink"/>
          <w:color w:val="auto"/>
          <w:u w:val="none"/>
        </w:rPr>
        <w:t>(visited May 2, 2012)</w:t>
      </w:r>
      <w:r>
        <w:rPr>
          <w:rStyle w:val="Hyperlink"/>
          <w:color w:val="auto"/>
          <w:u w:val="none"/>
        </w:rPr>
        <w:t>.</w:t>
      </w:r>
    </w:p>
  </w:footnote>
  <w:footnote w:id="119">
    <w:p w:rsidR="00EC7CF3" w:rsidRDefault="00EC7CF3" w:rsidP="00691C92">
      <w:pPr>
        <w:pStyle w:val="FootnoteText"/>
      </w:pPr>
      <w:r w:rsidRPr="00D40600">
        <w:rPr>
          <w:rStyle w:val="FootnoteReference"/>
          <w:sz w:val="20"/>
        </w:rPr>
        <w:footnoteRef/>
      </w:r>
      <w:r w:rsidRPr="00D40600">
        <w:t xml:space="preserve"> Some of the Sprint wholesale connections are at Sprint affiliates.  </w:t>
      </w:r>
      <w:r>
        <w:t>Sprint states that “</w:t>
      </w:r>
      <w:r w:rsidRPr="00691C92">
        <w:t>Wholesale and affiliate subscribers represent customers that are served on our networks through</w:t>
      </w:r>
      <w:r>
        <w:t xml:space="preserve"> </w:t>
      </w:r>
      <w:r w:rsidRPr="00691C92">
        <w:t>companies that resell our wireless services to their subscribers, customers residing in affiliate territories and connected devices that utilize our network.</w:t>
      </w:r>
      <w:r>
        <w:t>” and</w:t>
      </w:r>
      <w:r w:rsidRPr="00691C92">
        <w:t xml:space="preserve"> </w:t>
      </w:r>
      <w:r>
        <w:t>“</w:t>
      </w:r>
      <w:r w:rsidRPr="00F51494">
        <w:rPr>
          <w:iCs/>
        </w:rPr>
        <w:t>End of period connected devices are included in total retail postpaid or wholesale and affiliates end of period subscriber totals for all periods presented.</w:t>
      </w:r>
      <w:r>
        <w:rPr>
          <w:iCs/>
        </w:rPr>
        <w:t>”</w:t>
      </w:r>
      <w:r>
        <w:rPr>
          <w:i/>
          <w:iCs/>
        </w:rPr>
        <w:t xml:space="preserve">  </w:t>
      </w:r>
      <w:r w:rsidRPr="00D40600">
        <w:t xml:space="preserve">Regarding its wholesale subscribers, Sprint states “Subscribers through some of our MVNO relationships have inactivity either in voice usage or primarily as a result of the nature of the device, where activity only occurs when data retrieval is initiated by the end-user and may occur infrequently. Although we continue to provide these customers access to our network through our MVNO relationships, approximately 1.7 million subscribers through these MVNO relationships have been inactive for at least six months, with no associated revenue as of December 31, 2011.”  SEC, Sprint Form 10-K filing for the fiscal year ended December 31, 2011.  </w:t>
      </w:r>
    </w:p>
  </w:footnote>
  <w:footnote w:id="120">
    <w:p w:rsidR="00EC7CF3" w:rsidRDefault="00EC7CF3" w:rsidP="00762ABD">
      <w:pPr>
        <w:pStyle w:val="FootnoteText"/>
      </w:pPr>
      <w:r w:rsidRPr="00D40600">
        <w:rPr>
          <w:rStyle w:val="FootnoteReference"/>
          <w:sz w:val="20"/>
        </w:rPr>
        <w:footnoteRef/>
      </w:r>
      <w:r w:rsidRPr="00D40600">
        <w:t xml:space="preserve"> </w:t>
      </w:r>
      <w:r w:rsidRPr="00D40600">
        <w:rPr>
          <w:bCs/>
        </w:rPr>
        <w:t>América Móvil, S.A.B. De C.V.</w:t>
      </w:r>
      <w:r w:rsidRPr="00D40600">
        <w:t>, SEC Form 6-K, filed Feb. 3, 2010, at 4.  TracFone prepaid service is marketed and sold under the “TracFone,” “Net10” and “SafeLink” wireless brands and is the largest operator in the U.S. prepaid cellular market, SEC Form 20-F, at 57.</w:t>
      </w:r>
    </w:p>
  </w:footnote>
  <w:footnote w:id="121">
    <w:p w:rsidR="00EC7CF3" w:rsidRDefault="00EC7CF3" w:rsidP="00762ABD">
      <w:pPr>
        <w:pStyle w:val="FootnoteText"/>
      </w:pPr>
      <w:r w:rsidRPr="00D40600">
        <w:rPr>
          <w:vertAlign w:val="superscript"/>
        </w:rPr>
        <w:footnoteRef/>
      </w:r>
      <w:r w:rsidRPr="00D40600">
        <w:t xml:space="preserve"> TracFone, </w:t>
      </w:r>
      <w:r w:rsidRPr="00D40600">
        <w:rPr>
          <w:i/>
        </w:rPr>
        <w:t>About Us</w:t>
      </w:r>
      <w:r w:rsidRPr="00D40600">
        <w:t xml:space="preserve">, </w:t>
      </w:r>
      <w:hyperlink r:id="rId19" w:history="1">
        <w:r w:rsidRPr="00D40600">
          <w:rPr>
            <w:rStyle w:val="Hyperlink"/>
          </w:rPr>
          <w:t>http://www.tracfone.com/about.jsp?nextPage=about.jsp&amp;task=about</w:t>
        </w:r>
      </w:hyperlink>
      <w:r w:rsidRPr="00D40600">
        <w:t>, (visited Nov. 4, 2010).</w:t>
      </w:r>
    </w:p>
  </w:footnote>
  <w:footnote w:id="122">
    <w:p w:rsidR="00EC7CF3" w:rsidRDefault="00EC7CF3" w:rsidP="00762ABD">
      <w:pPr>
        <w:pStyle w:val="FootnoteText"/>
      </w:pPr>
      <w:r w:rsidRPr="00D40600">
        <w:rPr>
          <w:rStyle w:val="FootnoteReference"/>
          <w:sz w:val="20"/>
        </w:rPr>
        <w:footnoteRef/>
      </w:r>
      <w:r w:rsidRPr="00D40600">
        <w:t xml:space="preserve"> See FierceWireless, </w:t>
      </w:r>
      <w:r w:rsidRPr="00D40600">
        <w:rPr>
          <w:i/>
        </w:rPr>
        <w:t>Straight Talk MVNO TracFone Adds 515K Subs in Q3</w:t>
      </w:r>
      <w:r w:rsidRPr="00D40600">
        <w:t xml:space="preserve">, Oct. 31, 2011.  </w:t>
      </w:r>
      <w:r w:rsidRPr="00D40600">
        <w:rPr>
          <w:i/>
        </w:rPr>
        <w:t>See</w:t>
      </w:r>
      <w:r w:rsidRPr="00D40600">
        <w:t xml:space="preserve"> Phil Cusick, </w:t>
      </w:r>
      <w:r w:rsidRPr="00D40600">
        <w:rPr>
          <w:i/>
        </w:rPr>
        <w:t>et al</w:t>
      </w:r>
      <w:r w:rsidRPr="00D40600">
        <w:t xml:space="preserve">., </w:t>
      </w:r>
      <w:r w:rsidRPr="00D40600">
        <w:rPr>
          <w:i/>
        </w:rPr>
        <w:t>Prepaid Wireless Services, Just Who is TracFone Anyway?</w:t>
      </w:r>
      <w:r w:rsidRPr="00D40600">
        <w:t>, Macquarie Research, June 10, 2009, at 1 (</w:t>
      </w:r>
      <w:r w:rsidRPr="00D40600">
        <w:rPr>
          <w:i/>
        </w:rPr>
        <w:t>Macquarie - Just Who is TracFone Anyway?)</w:t>
      </w:r>
      <w:r w:rsidRPr="00D40600">
        <w:t xml:space="preserve">.  </w:t>
      </w:r>
      <w:r w:rsidRPr="00D40600">
        <w:rPr>
          <w:i/>
        </w:rPr>
        <w:t>See also</w:t>
      </w:r>
      <w:r w:rsidRPr="00D40600">
        <w:t xml:space="preserve"> </w:t>
      </w:r>
      <w:hyperlink r:id="rId20" w:history="1">
        <w:r w:rsidRPr="00D40600">
          <w:rPr>
            <w:rStyle w:val="Hyperlink"/>
          </w:rPr>
          <w:t>http://www.straighttalk.com/</w:t>
        </w:r>
      </w:hyperlink>
      <w:r w:rsidRPr="00D40600">
        <w:t xml:space="preserve"> (visited Sep. 28, 2010).  </w:t>
      </w:r>
      <w:r w:rsidRPr="00D40600">
        <w:rPr>
          <w:i/>
        </w:rPr>
        <w:t>See also</w:t>
      </w:r>
      <w:r w:rsidRPr="00D40600">
        <w:t xml:space="preserve"> </w:t>
      </w:r>
      <w:r w:rsidRPr="00D40600">
        <w:rPr>
          <w:bCs/>
        </w:rPr>
        <w:t>América Móvil, S.A.B. De C.V.</w:t>
      </w:r>
      <w:r w:rsidRPr="00D40600">
        <w:t>, SEC Form 20-F, filed May 25, 2010, at 57.</w:t>
      </w:r>
    </w:p>
  </w:footnote>
  <w:footnote w:id="123">
    <w:p w:rsidR="00EC7CF3" w:rsidRDefault="00EC7CF3" w:rsidP="00762ABD">
      <w:pPr>
        <w:pStyle w:val="FootnoteText"/>
      </w:pPr>
      <w:r w:rsidRPr="00D40600">
        <w:rPr>
          <w:rStyle w:val="FootnoteReference"/>
          <w:sz w:val="20"/>
        </w:rPr>
        <w:footnoteRef/>
      </w:r>
      <w:r w:rsidRPr="00D40600">
        <w:t xml:space="preserve"> Phil Cusick </w:t>
      </w:r>
      <w:r w:rsidRPr="00D40600">
        <w:rPr>
          <w:i/>
        </w:rPr>
        <w:t>et al</w:t>
      </w:r>
      <w:r w:rsidRPr="00D40600">
        <w:t xml:space="preserve">., </w:t>
      </w:r>
      <w:r w:rsidRPr="00D40600">
        <w:rPr>
          <w:i/>
        </w:rPr>
        <w:t>Slumdog Millionaires</w:t>
      </w:r>
      <w:r w:rsidRPr="00D40600">
        <w:t xml:space="preserve">, Macquarie Capital, Equity Research, May 1, 2009, at 4, 24.  </w:t>
      </w:r>
      <w:r w:rsidRPr="00D40600">
        <w:rPr>
          <w:i/>
        </w:rPr>
        <w:t>See also</w:t>
      </w:r>
      <w:r w:rsidRPr="00D40600">
        <w:t xml:space="preserve"> Footnote </w:t>
      </w:r>
      <w:r w:rsidR="00951E9B">
        <w:fldChar w:fldCharType="begin"/>
      </w:r>
      <w:r w:rsidR="00951E9B">
        <w:instrText xml:space="preserve"> NOTEREF _Ref336615726  \* MERGEFORMAT </w:instrText>
      </w:r>
      <w:r w:rsidR="00951E9B">
        <w:fldChar w:fldCharType="separate"/>
      </w:r>
      <w:r>
        <w:t>845</w:t>
      </w:r>
      <w:r w:rsidR="00951E9B">
        <w:fldChar w:fldCharType="end"/>
      </w:r>
      <w:r w:rsidRPr="00D40600">
        <w:t>.</w:t>
      </w:r>
    </w:p>
  </w:footnote>
  <w:footnote w:id="124">
    <w:p w:rsidR="00EC7CF3" w:rsidRDefault="00EC7CF3" w:rsidP="00762ABD">
      <w:pPr>
        <w:pStyle w:val="FootnoteText"/>
      </w:pPr>
      <w:r w:rsidRPr="00D40600">
        <w:rPr>
          <w:rStyle w:val="FootnoteReference"/>
          <w:sz w:val="20"/>
        </w:rPr>
        <w:footnoteRef/>
      </w:r>
      <w:r w:rsidRPr="00D40600">
        <w:t xml:space="preserve"> </w:t>
      </w:r>
      <w:r w:rsidRPr="00D40600">
        <w:rPr>
          <w:i/>
        </w:rPr>
        <w:t xml:space="preserve">See </w:t>
      </w:r>
      <w:r w:rsidRPr="00D40600">
        <w:t xml:space="preserve">The Yankee Group, Jason Armitage, </w:t>
      </w:r>
      <w:r w:rsidRPr="00D40600">
        <w:rPr>
          <w:i/>
        </w:rPr>
        <w:t>Yankee Group’s 2011 Predictions: 4G Fuels the Decade of Disruption</w:t>
      </w:r>
      <w:r w:rsidRPr="00D40600">
        <w:t>, at 7 (stating, “[I]t’s critical the MVNO does not compete to any meaningful degree with the host.”)</w:t>
      </w:r>
    </w:p>
  </w:footnote>
  <w:footnote w:id="125">
    <w:p w:rsidR="00EC7CF3" w:rsidRDefault="00EC7CF3" w:rsidP="00762ABD">
      <w:pPr>
        <w:pStyle w:val="FootnoteText"/>
      </w:pPr>
      <w:r w:rsidRPr="00D40600">
        <w:rPr>
          <w:rStyle w:val="FootnoteReference"/>
          <w:sz w:val="20"/>
        </w:rPr>
        <w:footnoteRef/>
      </w:r>
      <w:r w:rsidRPr="00D40600">
        <w:t xml:space="preserve"> SEC, Form 10-K, Leap Wireless, For the Fiscal Year Ended December 31, 2011, at 9.  SEC, Form 10-K, MetroPCS, For the Fiscal Year Ended December 31, 2011, at 11.</w:t>
      </w:r>
    </w:p>
  </w:footnote>
  <w:footnote w:id="126">
    <w:p w:rsidR="00EC7CF3" w:rsidRDefault="00EC7CF3" w:rsidP="00762ABD">
      <w:pPr>
        <w:pStyle w:val="FootnoteText"/>
      </w:pPr>
      <w:r w:rsidRPr="00D40600">
        <w:rPr>
          <w:rStyle w:val="FootnoteReference"/>
          <w:sz w:val="20"/>
        </w:rPr>
        <w:footnoteRef/>
      </w:r>
      <w:r w:rsidRPr="00D40600">
        <w:t xml:space="preserve"> </w:t>
      </w:r>
      <w:r w:rsidRPr="00D40600">
        <w:rPr>
          <w:lang w:bidi="he-IL"/>
        </w:rPr>
        <w:t>AT&amp;T argues that competition among nationwide providers at the wholesale level to sell to TracFone results in lower wholesale and retail prices; i.e. TracFone exerts competitive pressure on its hosting nationwide providers. AT&amp;T comments at 17.  However, s</w:t>
      </w:r>
      <w:r w:rsidRPr="00D40600">
        <w:rPr>
          <w:i/>
        </w:rPr>
        <w:t>ee, also, On the Competitive Effects of Mobile Virtual Network Operators</w:t>
      </w:r>
      <w:r w:rsidRPr="00D40600">
        <w:t xml:space="preserve"> (stating, “It is found that MNOs host MVNOs if and only if the latter do not exert a competitive constraint on MNOs’ retail businesses. </w:t>
      </w:r>
      <w:r>
        <w:t xml:space="preserve"> </w:t>
      </w:r>
      <w:r w:rsidRPr="00D40600">
        <w:t>Thus, absent access regulation, MVNO entry may happen but is unlikely to reduce consumer prices”</w:t>
      </w:r>
      <w:r w:rsidRPr="00D40600">
        <w:rPr>
          <w:lang w:bidi="he-IL"/>
        </w:rPr>
        <w:t xml:space="preserve">).  </w:t>
      </w:r>
    </w:p>
  </w:footnote>
  <w:footnote w:id="127">
    <w:p w:rsidR="00EC7CF3" w:rsidRDefault="00EC7CF3" w:rsidP="00762ABD">
      <w:pPr>
        <w:pStyle w:val="FootnoteText"/>
      </w:pPr>
      <w:r w:rsidRPr="00D40600">
        <w:rPr>
          <w:rStyle w:val="FootnoteReference"/>
          <w:sz w:val="20"/>
        </w:rPr>
        <w:footnoteRef/>
      </w:r>
      <w:r w:rsidRPr="00D40600">
        <w:t xml:space="preserve"> </w:t>
      </w:r>
      <w:r w:rsidRPr="00D40600">
        <w:rPr>
          <w:i/>
        </w:rPr>
        <w:t>Macquarie - Just Who is TracFone Anyway?</w:t>
      </w:r>
      <w:r w:rsidRPr="00D40600">
        <w:rPr>
          <w:lang w:bidi="he-IL"/>
        </w:rPr>
        <w:t xml:space="preserve"> (stating that Verizon is “teaming up” with TracFone because “…Verizon is specifically targeting the ~8 million prepaid customers who are now on AT&amp;T’s network…”).  </w:t>
      </w:r>
      <w:r w:rsidRPr="00D40600">
        <w:rPr>
          <w:i/>
          <w:lang w:bidi="he-IL"/>
        </w:rPr>
        <w:t>See also</w:t>
      </w:r>
      <w:r w:rsidRPr="00D40600">
        <w:rPr>
          <w:lang w:bidi="he-IL"/>
        </w:rPr>
        <w:t xml:space="preserve"> </w:t>
      </w:r>
      <w:r w:rsidRPr="00D40600">
        <w:rPr>
          <w:i/>
          <w:lang w:bidi="he-IL"/>
        </w:rPr>
        <w:t>TracFone’s Prepaid Offer Raises Price War Fears</w:t>
      </w:r>
      <w:r w:rsidRPr="00D40600">
        <w:rPr>
          <w:lang w:bidi="he-IL"/>
        </w:rPr>
        <w:t>, Morgan Stanley Research, Telecom Services, June 4, 2009 (Stating that Verizon has formed a partnership with TracFone because “they want to use TracFone to get more of the prepaid market”).</w:t>
      </w:r>
    </w:p>
  </w:footnote>
  <w:footnote w:id="128">
    <w:p w:rsidR="00EC7CF3" w:rsidRDefault="00EC7CF3" w:rsidP="00762ABD">
      <w:pPr>
        <w:pStyle w:val="FootnoteText"/>
      </w:pPr>
      <w:r w:rsidRPr="00D40600">
        <w:rPr>
          <w:rStyle w:val="FootnoteReference"/>
          <w:sz w:val="20"/>
        </w:rPr>
        <w:footnoteRef/>
      </w:r>
      <w:r w:rsidRPr="00D40600">
        <w:t xml:space="preserve"> </w:t>
      </w:r>
      <w:r w:rsidRPr="00D40600">
        <w:rPr>
          <w:i/>
        </w:rPr>
        <w:t>See</w:t>
      </w:r>
      <w:r w:rsidRPr="00D40600">
        <w:t xml:space="preserve"> Section </w:t>
      </w:r>
      <w:r w:rsidR="00951E9B">
        <w:fldChar w:fldCharType="begin"/>
      </w:r>
      <w:r w:rsidR="00951E9B">
        <w:instrText xml:space="preserve"> REF _Ref336857967 \w  \* MERGEFORMAT </w:instrText>
      </w:r>
      <w:r w:rsidR="00951E9B">
        <w:fldChar w:fldCharType="separate"/>
      </w:r>
      <w:r>
        <w:t>III.D.2</w:t>
      </w:r>
      <w:r w:rsidR="00951E9B">
        <w:fldChar w:fldCharType="end"/>
      </w:r>
      <w:r w:rsidRPr="00D40600">
        <w:t>.</w:t>
      </w:r>
      <w:r>
        <w:t xml:space="preserve"> Herfndahl-Hirschman Index, </w:t>
      </w:r>
      <w:r w:rsidRPr="0018171C">
        <w:rPr>
          <w:i/>
        </w:rPr>
        <w:t>infra</w:t>
      </w:r>
      <w:r>
        <w:t>.</w:t>
      </w:r>
    </w:p>
  </w:footnote>
  <w:footnote w:id="129">
    <w:p w:rsidR="00EC7CF3" w:rsidRDefault="00EC7CF3" w:rsidP="00762ABD">
      <w:pPr>
        <w:pStyle w:val="FootnoteText"/>
      </w:pPr>
      <w:r w:rsidRPr="00D40600">
        <w:rPr>
          <w:vertAlign w:val="superscript"/>
          <w:lang w:bidi="he-IL"/>
        </w:rPr>
        <w:footnoteRef/>
      </w:r>
      <w:r w:rsidRPr="00D40600">
        <w:rPr>
          <w:lang w:bidi="he-IL"/>
        </w:rPr>
        <w:t xml:space="preserve"> </w:t>
      </w:r>
      <w:r w:rsidRPr="00D40600">
        <w:rPr>
          <w:i/>
          <w:lang w:bidi="he-IL"/>
        </w:rPr>
        <w:t>See</w:t>
      </w:r>
      <w:r w:rsidRPr="00D40600">
        <w:rPr>
          <w:lang w:bidi="he-IL"/>
        </w:rPr>
        <w:t xml:space="preserve"> USA Mobility,</w:t>
      </w:r>
      <w:r w:rsidRPr="00D40600">
        <w:t xml:space="preserve"> </w:t>
      </w:r>
      <w:r w:rsidRPr="00D40600">
        <w:rPr>
          <w:i/>
        </w:rPr>
        <w:t>Wireless Messaging – Products and Services</w:t>
      </w:r>
      <w:r w:rsidRPr="00D40600">
        <w:t xml:space="preserve">, </w:t>
      </w:r>
      <w:hyperlink r:id="rId21" w:history="1">
        <w:r w:rsidRPr="00D40600">
          <w:rPr>
            <w:rStyle w:val="Hyperlink"/>
          </w:rPr>
          <w:t>http://www.usamobility.com/products/messaging/</w:t>
        </w:r>
      </w:hyperlink>
      <w:r w:rsidRPr="00D40600">
        <w:t xml:space="preserve"> (visited May. 4, 2012); </w:t>
      </w:r>
      <w:r w:rsidRPr="00D40600">
        <w:rPr>
          <w:i/>
        </w:rPr>
        <w:t>Tenth Report</w:t>
      </w:r>
      <w:r w:rsidRPr="00D40600">
        <w:t>, 20 FCC Rcd at 15923 ¶ 33.</w:t>
      </w:r>
    </w:p>
  </w:footnote>
  <w:footnote w:id="130">
    <w:p w:rsidR="00EC7CF3" w:rsidRDefault="00EC7CF3" w:rsidP="00762ABD">
      <w:pPr>
        <w:pStyle w:val="FootnoteText"/>
      </w:pPr>
      <w:r w:rsidRPr="00D40600">
        <w:rPr>
          <w:rStyle w:val="FootnoteReference"/>
          <w:sz w:val="20"/>
        </w:rPr>
        <w:footnoteRef/>
      </w:r>
      <w:r w:rsidRPr="00D40600">
        <w:t xml:space="preserve"> USA Mobility Inc., SEC Form 10-K, filed Feb. 23, 2012, at 4.</w:t>
      </w:r>
    </w:p>
  </w:footnote>
  <w:footnote w:id="131">
    <w:p w:rsidR="00EC7CF3" w:rsidRDefault="00EC7CF3" w:rsidP="00762ABD">
      <w:pPr>
        <w:pStyle w:val="FootnoteText"/>
      </w:pPr>
      <w:r w:rsidRPr="00D40600">
        <w:rPr>
          <w:rStyle w:val="FootnoteReference"/>
          <w:sz w:val="20"/>
        </w:rPr>
        <w:footnoteRef/>
      </w:r>
      <w:r w:rsidRPr="00D40600">
        <w:t xml:space="preserve"> Space Data Corp., </w:t>
      </w:r>
      <w:r w:rsidRPr="00D40600">
        <w:rPr>
          <w:i/>
        </w:rPr>
        <w:t>Overview of SkySite Network</w:t>
      </w:r>
      <w:r w:rsidRPr="00D40600">
        <w:t xml:space="preserve">, </w:t>
      </w:r>
      <w:hyperlink r:id="rId22" w:history="1">
        <w:r w:rsidRPr="00D40600">
          <w:rPr>
            <w:rStyle w:val="Hyperlink"/>
          </w:rPr>
          <w:t>http://www.spacedata.net/commercial_coverage.html</w:t>
        </w:r>
      </w:hyperlink>
      <w:r w:rsidRPr="00D40600">
        <w:t xml:space="preserve"> </w:t>
      </w:r>
      <w:r>
        <w:t>(visited May 4, 2012)</w:t>
      </w:r>
      <w:r w:rsidRPr="00D40600">
        <w:t xml:space="preserve"> and </w:t>
      </w:r>
      <w:hyperlink r:id="rId23" w:history="1">
        <w:r w:rsidRPr="00D40600">
          <w:rPr>
            <w:rStyle w:val="Hyperlink"/>
          </w:rPr>
          <w:t>http://www.spacedata.net/company.html</w:t>
        </w:r>
      </w:hyperlink>
      <w:r w:rsidRPr="00D40600">
        <w:t xml:space="preserve"> (visited May 4, 2012); </w:t>
      </w:r>
      <w:r w:rsidRPr="00D40600">
        <w:rPr>
          <w:i/>
        </w:rPr>
        <w:t>Tenth Report</w:t>
      </w:r>
      <w:r w:rsidRPr="00D40600">
        <w:t xml:space="preserve">, 20 FCC Rcd at 15923 ¶ 34. </w:t>
      </w:r>
    </w:p>
  </w:footnote>
  <w:footnote w:id="132">
    <w:p w:rsidR="00EC7CF3" w:rsidRDefault="00EC7CF3" w:rsidP="00762ABD">
      <w:pPr>
        <w:pStyle w:val="FootnoteText"/>
      </w:pPr>
      <w:r w:rsidRPr="00D40600">
        <w:rPr>
          <w:rStyle w:val="FootnoteReference"/>
          <w:sz w:val="20"/>
        </w:rPr>
        <w:footnoteRef/>
      </w:r>
      <w:r w:rsidRPr="00D40600">
        <w:t xml:space="preserve"> </w:t>
      </w:r>
      <w:r w:rsidRPr="00D40600">
        <w:rPr>
          <w:i/>
        </w:rPr>
        <w:t>See</w:t>
      </w:r>
      <w:r w:rsidRPr="00D40600">
        <w:t xml:space="preserve"> SkyTel, </w:t>
      </w:r>
      <w:r w:rsidRPr="00D40600">
        <w:rPr>
          <w:i/>
        </w:rPr>
        <w:t>Powering Innovations using SkyTel’s Network-on-Demand Communications Platform</w:t>
      </w:r>
      <w:r w:rsidRPr="00D40600">
        <w:t xml:space="preserve">, </w:t>
      </w:r>
      <w:hyperlink r:id="rId24" w:history="1">
        <w:r w:rsidRPr="00D40600">
          <w:rPr>
            <w:rStyle w:val="Hyperlink"/>
          </w:rPr>
          <w:t>http://www.skytel.com/index.html</w:t>
        </w:r>
      </w:hyperlink>
      <w:r w:rsidRPr="00D40600">
        <w:t xml:space="preserve"> (visited Apr. 26, 2012).</w:t>
      </w:r>
    </w:p>
  </w:footnote>
  <w:footnote w:id="133">
    <w:p w:rsidR="00EC7CF3" w:rsidRDefault="00EC7CF3">
      <w:pPr>
        <w:pStyle w:val="FootnoteText"/>
      </w:pPr>
      <w:r>
        <w:rPr>
          <w:rStyle w:val="FootnoteReference"/>
        </w:rPr>
        <w:footnoteRef/>
      </w:r>
      <w:r>
        <w:t xml:space="preserve"> </w:t>
      </w:r>
      <w:r>
        <w:rPr>
          <w:i/>
        </w:rPr>
        <w:t xml:space="preserve">See </w:t>
      </w:r>
      <w:r w:rsidRPr="00DA75C8">
        <w:rPr>
          <w:i/>
        </w:rPr>
        <w:t>Thirteenth Report</w:t>
      </w:r>
      <w:r w:rsidRPr="00DA75C8">
        <w:t>,</w:t>
      </w:r>
      <w:r w:rsidRPr="00DA75C8">
        <w:rPr>
          <w:i/>
        </w:rPr>
        <w:t xml:space="preserve"> </w:t>
      </w:r>
      <w:r>
        <w:t xml:space="preserve">24 FCC Rcd </w:t>
      </w:r>
      <w:r w:rsidRPr="00DA75C8">
        <w:t xml:space="preserve">at </w:t>
      </w:r>
      <w:r>
        <w:t>6301 ¶</w:t>
      </w:r>
      <w:r w:rsidRPr="00DA75C8">
        <w:t xml:space="preserve"> 247</w:t>
      </w:r>
      <w:r>
        <w:t>.</w:t>
      </w:r>
    </w:p>
  </w:footnote>
  <w:footnote w:id="134">
    <w:p w:rsidR="00EC7CF3" w:rsidRDefault="00EC7CF3">
      <w:pPr>
        <w:pStyle w:val="FootnoteText"/>
      </w:pPr>
      <w:r>
        <w:rPr>
          <w:rStyle w:val="FootnoteReference"/>
        </w:rPr>
        <w:footnoteRef/>
      </w:r>
      <w:r>
        <w:t xml:space="preserve"> AT&amp;T has teamed up with TerreStar Networks to offer the first cellular/satellite smartphone, the Genus, which can operate on AT&amp;T’s terrestrial network or TerreStar’s satellite network.  </w:t>
      </w:r>
      <w:r>
        <w:rPr>
          <w:i/>
        </w:rPr>
        <w:t>See TerreStar Genus Dual-Mode Cellular/Satellite Smartphone Now Available from AT&amp;T</w:t>
      </w:r>
      <w:r>
        <w:t xml:space="preserve">, Press Release, AT&amp;T, Sept. 21, 2010, </w:t>
      </w:r>
      <w:r>
        <w:rPr>
          <w:i/>
        </w:rPr>
        <w:t xml:space="preserve">available at </w:t>
      </w:r>
      <w:hyperlink r:id="rId25" w:history="1">
        <w:r w:rsidRPr="000B11CA">
          <w:rPr>
            <w:rStyle w:val="Hyperlink"/>
          </w:rPr>
          <w:t>http://www.att.com/gen/press-room?pid=18505&amp;cdvn=news&amp;newsarticleid=31218&amp;mapcode=enterprise</w:t>
        </w:r>
      </w:hyperlink>
      <w:r>
        <w:t xml:space="preserve"> (visited May 4, 2012).  As of September 2010, the Genus is available for enterprise, government, and small business customers.</w:t>
      </w:r>
    </w:p>
  </w:footnote>
  <w:footnote w:id="135">
    <w:p w:rsidR="00EC7CF3" w:rsidRDefault="00EC7CF3">
      <w:pPr>
        <w:pStyle w:val="FootnoteText"/>
      </w:pPr>
      <w:r>
        <w:rPr>
          <w:rStyle w:val="FootnoteReference"/>
        </w:rPr>
        <w:footnoteRef/>
      </w:r>
      <w:r>
        <w:t xml:space="preserve"> </w:t>
      </w:r>
      <w:r w:rsidRPr="001D526C">
        <w:rPr>
          <w:i/>
        </w:rPr>
        <w:t>See Fifteenth Report</w:t>
      </w:r>
      <w:r>
        <w:t>, 26 FCC Rcd at 9702 ¶ 39.</w:t>
      </w:r>
    </w:p>
  </w:footnote>
  <w:footnote w:id="136">
    <w:p w:rsidR="00EC7CF3" w:rsidRDefault="00EC7CF3">
      <w:pPr>
        <w:pStyle w:val="FootnoteText"/>
      </w:pPr>
      <w:r>
        <w:rPr>
          <w:rStyle w:val="FootnoteReference"/>
        </w:rPr>
        <w:footnoteRef/>
      </w:r>
      <w:r>
        <w:t xml:space="preserve"> </w:t>
      </w:r>
      <w:r w:rsidRPr="000C5AE0">
        <w:t xml:space="preserve">Initially, four MSS providers, SkyTerra (later LightSquared), Globalstar, DBSD and TerreStar (now Dish Network), </w:t>
      </w:r>
      <w:r>
        <w:t>were</w:t>
      </w:r>
      <w:r w:rsidRPr="000C5AE0">
        <w:t xml:space="preserve"> granted ATC authority by the Commission.   In 2010, Globalstar’s ATC authority was suspended for failure to come into compliance with the ATC “gating criteria.”  LightSquared also is not deploying terrestrial services at this time, and on February 15, 2012, the International Bureau proposed to modify LightSquared’s satellite license “to suspend indefinitely LightSquared’s underlying ATC authorization.”  </w:t>
      </w:r>
      <w:r w:rsidRPr="000C5AE0">
        <w:rPr>
          <w:i/>
        </w:rPr>
        <w:t xml:space="preserve">See </w:t>
      </w:r>
      <w:r w:rsidRPr="000C5AE0">
        <w:t xml:space="preserve">International Bureau Invites Comment on NTIA Letter Reqarding LightSquared Conditional Waiver, IB Docket No. 11-109, </w:t>
      </w:r>
      <w:r w:rsidRPr="000C5AE0">
        <w:rPr>
          <w:i/>
        </w:rPr>
        <w:t>Public Notice</w:t>
      </w:r>
      <w:r w:rsidRPr="000C5AE0">
        <w:t xml:space="preserve">, 27 FCC Rcd 1596 (IB 2012).  In March 2012, Dish Network consummated its transactions to acquire DBSD and Terrestar, neither of which had offered any ATC services.  </w:t>
      </w:r>
      <w:r w:rsidRPr="000C5AE0">
        <w:rPr>
          <w:i/>
        </w:rPr>
        <w:t>See</w:t>
      </w:r>
      <w:r w:rsidRPr="000C5AE0">
        <w:t xml:space="preserve"> Fixed and Mobile Services in the Mobile Satellite Service Bands at 1525-1559 MHz and 1626.5-1660.5 MHz, 1610-1626.5 MHz and 2483.5-2500 MHz, and 2000-2020 MHz and 2180-2200 MHz, ET Docket No. 10-142, </w:t>
      </w:r>
      <w:r w:rsidRPr="000C5AE0">
        <w:rPr>
          <w:i/>
          <w:iCs/>
        </w:rPr>
        <w:t>Report and Order</w:t>
      </w:r>
      <w:r w:rsidRPr="000C5AE0">
        <w:t>, 26 FCC Rcd 5710 ¶ 5 (2011) (</w:t>
      </w:r>
      <w:r w:rsidRPr="000C5AE0">
        <w:rPr>
          <w:i/>
          <w:iCs/>
        </w:rPr>
        <w:t>MSS Report and Order)</w:t>
      </w:r>
      <w:r w:rsidRPr="000C5AE0">
        <w:t xml:space="preserve">; </w:t>
      </w:r>
      <w:r w:rsidRPr="000C5AE0">
        <w:rPr>
          <w:i/>
        </w:rPr>
        <w:t>see also</w:t>
      </w:r>
      <w:r w:rsidRPr="000C5AE0">
        <w:t xml:space="preserve"> Service Rules for Advanced Wireless Services in the 2000-2020 MHz and 2180-2200 MHz Bands, </w:t>
      </w:r>
      <w:r w:rsidRPr="000C5AE0">
        <w:rPr>
          <w:i/>
        </w:rPr>
        <w:t>Notice of Proposed Rule Making and Notice of Inquiry</w:t>
      </w:r>
      <w:r w:rsidRPr="000C5AE0">
        <w:t>, 27 FCC Rcd 3561, 3563-4 ¶ 5-9 (2012)(</w:t>
      </w:r>
      <w:r w:rsidRPr="000C5AE0">
        <w:rPr>
          <w:i/>
        </w:rPr>
        <w:t>AWS-4 NPRM and NOI</w:t>
      </w:r>
      <w:r w:rsidRPr="000C5AE0">
        <w:t>).</w:t>
      </w:r>
    </w:p>
  </w:footnote>
  <w:footnote w:id="137">
    <w:p w:rsidR="00EC7CF3" w:rsidRDefault="00EC7CF3">
      <w:pPr>
        <w:pStyle w:val="FootnoteText"/>
      </w:pPr>
      <w:r>
        <w:rPr>
          <w:rStyle w:val="FootnoteReference"/>
        </w:rPr>
        <w:footnoteRef/>
      </w:r>
      <w:r>
        <w:t xml:space="preserve"> </w:t>
      </w:r>
      <w:r w:rsidRPr="000C5AE0">
        <w:t xml:space="preserve">Service Rules for Advanced Wireless Services in the 2000-2020 MHz and 2180-2200 MHz Bands, </w:t>
      </w:r>
      <w:r w:rsidRPr="000C5AE0">
        <w:rPr>
          <w:i/>
        </w:rPr>
        <w:t>Notice of Proposed Rule Making and Notice of Inquiry</w:t>
      </w:r>
      <w:r w:rsidRPr="000C5AE0">
        <w:t>, 27 FCC Rcd 3564 ¶ 8 (2012)(</w:t>
      </w:r>
      <w:r w:rsidRPr="000C5AE0">
        <w:rPr>
          <w:i/>
        </w:rPr>
        <w:t>AWS-4 NPRM and NOI</w:t>
      </w:r>
      <w:r w:rsidRPr="000C5AE0">
        <w:t>).</w:t>
      </w:r>
    </w:p>
  </w:footnote>
  <w:footnote w:id="138">
    <w:p w:rsidR="00EC7CF3" w:rsidRDefault="00EC7CF3" w:rsidP="00760055">
      <w:pPr>
        <w:pStyle w:val="FootnoteText"/>
      </w:pPr>
      <w:r>
        <w:rPr>
          <w:rStyle w:val="FootnoteReference"/>
        </w:rPr>
        <w:footnoteRef/>
      </w:r>
      <w:r>
        <w:t xml:space="preserve"> </w:t>
      </w:r>
      <w:r w:rsidRPr="00A641C6">
        <w:rPr>
          <w:i/>
        </w:rPr>
        <w:t>AWS-4 NPRM</w:t>
      </w:r>
      <w:r>
        <w:t xml:space="preserve"> at ¶ 136.</w:t>
      </w:r>
    </w:p>
  </w:footnote>
  <w:footnote w:id="139">
    <w:p w:rsidR="00EC7CF3" w:rsidRDefault="00EC7CF3" w:rsidP="005827DB">
      <w:pPr>
        <w:pStyle w:val="FootnoteText"/>
      </w:pPr>
      <w:r w:rsidRPr="00D06290">
        <w:rPr>
          <w:rStyle w:val="FootnoteReference"/>
        </w:rPr>
        <w:footnoteRef/>
      </w:r>
      <w:r w:rsidRPr="00D06290">
        <w:t xml:space="preserve"> </w:t>
      </w:r>
      <w:r w:rsidRPr="007D3EC9">
        <w:rPr>
          <w:i/>
        </w:rPr>
        <w:t>See</w:t>
      </w:r>
      <w:r>
        <w:t xml:space="preserve"> </w:t>
      </w:r>
      <w:r w:rsidRPr="0060075F">
        <w:t>Service Rules for Advanced Wireless Services in the 2000-2020 MHz and 2180-2200 MHz Bands, WT Docket No. 12-70, Fixed and Mobile Services in the Mobile Satellite Service Bands at 1525-1559 MHz and 1626.5-1660.5 MHz, 1</w:t>
      </w:r>
      <w:r>
        <w:t>610-1626.5 MHz and 2483.5-2500 M</w:t>
      </w:r>
      <w:r w:rsidRPr="0060075F">
        <w:t>Hz, and 2000-2020 MHz and 2180-2200 MHz, ET Docket No. 10-142, Service Rules for Advanced Wireless Services in the 1915-1920 MHz, 1995-2000 MHz, 2020-2025 MHz and 2175-2180 MHz Bands, WT Docket No. 04-356,</w:t>
      </w:r>
      <w:r>
        <w:t xml:space="preserve"> </w:t>
      </w:r>
      <w:r>
        <w:rPr>
          <w:i/>
        </w:rPr>
        <w:t xml:space="preserve">Report and Order and Order of Proposed Modification, </w:t>
      </w:r>
      <w:r w:rsidRPr="003E187C">
        <w:t>FCC 12-151 (rel. Dec. 17, 2012)</w:t>
      </w:r>
      <w:r>
        <w:t xml:space="preserve"> </w:t>
      </w:r>
      <w:r w:rsidRPr="003E187C">
        <w:rPr>
          <w:i/>
        </w:rPr>
        <w:t xml:space="preserve">(AWS-4 </w:t>
      </w:r>
      <w:r>
        <w:rPr>
          <w:i/>
        </w:rPr>
        <w:t>Report and Order</w:t>
      </w:r>
      <w:r w:rsidRPr="003E187C">
        <w:rPr>
          <w:i/>
        </w:rPr>
        <w:t>).</w:t>
      </w:r>
    </w:p>
  </w:footnote>
  <w:footnote w:id="140">
    <w:p w:rsidR="00EC7CF3" w:rsidRDefault="00EC7CF3">
      <w:pPr>
        <w:pStyle w:val="FootnoteText"/>
      </w:pPr>
      <w:r>
        <w:rPr>
          <w:rStyle w:val="FootnoteReference"/>
        </w:rPr>
        <w:footnoteRef/>
      </w:r>
      <w:r>
        <w:t xml:space="preserve"> </w:t>
      </w:r>
      <w:r w:rsidRPr="000C5AE0">
        <w:rPr>
          <w:i/>
        </w:rPr>
        <w:t>National Broadband Plan</w:t>
      </w:r>
      <w:r w:rsidRPr="000C5AE0">
        <w:t xml:space="preserve">, Recommendation 5.8.4 at 87-88.; Three MSS frequency bands are currently available to support terrestrial mobile broadband service: the 2 GHz band (S-band) from 2000-2020 MHz and 2180-2200 MHz, the Big LEO Band from 1610-1626.5 MHz and 2483.5-2500 MHz, and the L-band from 1525-1559 MHz and 1626.5-1660.5 MHz. </w:t>
      </w:r>
      <w:r w:rsidRPr="000C5AE0">
        <w:rPr>
          <w:i/>
          <w:iCs/>
        </w:rPr>
        <w:t xml:space="preserve">See </w:t>
      </w:r>
      <w:r w:rsidRPr="000C5AE0">
        <w:rPr>
          <w:iCs/>
        </w:rPr>
        <w:t xml:space="preserve">Appendix A, </w:t>
      </w:r>
      <w:r w:rsidRPr="000C5AE0">
        <w:t xml:space="preserve">Fixed and Mobile Services in the Mobile Satellite Service Bands at 1525-1559 MHz and 1626.5-1660.5 MHz, 1610-1626.5 MHz and 2483.5-2500 MHz, and 2000-2020 MHz and 2180-2200 MHz, ET Docket No. 10-142, </w:t>
      </w:r>
      <w:r w:rsidRPr="000C5AE0">
        <w:rPr>
          <w:i/>
          <w:iCs/>
        </w:rPr>
        <w:t>Report and Order</w:t>
      </w:r>
      <w:r w:rsidRPr="000C5AE0">
        <w:t>, 26 FCC Rcd 5710 (2011) (MSS</w:t>
      </w:r>
      <w:r w:rsidRPr="000C5AE0">
        <w:rPr>
          <w:i/>
          <w:iCs/>
        </w:rPr>
        <w:t xml:space="preserve"> Report and Order).</w:t>
      </w:r>
    </w:p>
  </w:footnote>
  <w:footnote w:id="141">
    <w:p w:rsidR="00EC7CF3" w:rsidRDefault="00EC7CF3">
      <w:pPr>
        <w:pStyle w:val="FootnoteText"/>
      </w:pPr>
      <w:r>
        <w:rPr>
          <w:rStyle w:val="FootnoteReference"/>
        </w:rPr>
        <w:footnoteRef/>
      </w:r>
      <w:r>
        <w:t xml:space="preserve"> </w:t>
      </w:r>
      <w:r w:rsidRPr="000C5AE0">
        <w:rPr>
          <w:i/>
        </w:rPr>
        <w:t>National Broadband Plan</w:t>
      </w:r>
      <w:r w:rsidRPr="000C5AE0">
        <w:t>, Recommendation 5.8.4, at 87-88.</w:t>
      </w:r>
    </w:p>
  </w:footnote>
  <w:footnote w:id="142">
    <w:p w:rsidR="00EC7CF3" w:rsidRPr="00457641" w:rsidRDefault="00EC7CF3">
      <w:pPr>
        <w:pStyle w:val="FootnoteText"/>
      </w:pPr>
      <w:r>
        <w:rPr>
          <w:rStyle w:val="FootnoteReference"/>
        </w:rPr>
        <w:footnoteRef/>
      </w:r>
      <w:r>
        <w:t xml:space="preserve"> See </w:t>
      </w:r>
      <w:r w:rsidRPr="003E187C">
        <w:rPr>
          <w:i/>
        </w:rPr>
        <w:t xml:space="preserve">AWS-4 </w:t>
      </w:r>
      <w:r>
        <w:rPr>
          <w:i/>
        </w:rPr>
        <w:t>Report and Order</w:t>
      </w:r>
      <w:r>
        <w:t>.</w:t>
      </w:r>
    </w:p>
  </w:footnote>
  <w:footnote w:id="143">
    <w:p w:rsidR="00EC7CF3" w:rsidRDefault="00EC7CF3">
      <w:pPr>
        <w:pStyle w:val="FootnoteText"/>
      </w:pPr>
      <w:r>
        <w:rPr>
          <w:rStyle w:val="FootnoteReference"/>
        </w:rPr>
        <w:footnoteRef/>
      </w:r>
      <w:r>
        <w:t xml:space="preserve"> </w:t>
      </w:r>
      <w:r w:rsidRPr="000C5AE0">
        <w:rPr>
          <w:i/>
        </w:rPr>
        <w:t>See</w:t>
      </w:r>
      <w:r w:rsidRPr="000C5AE0">
        <w:t xml:space="preserve"> Service Rules for Advanced Wireless Services in the 2000-2020 MHz and 2180-2200 MHz Bands, </w:t>
      </w:r>
      <w:r w:rsidRPr="000C5AE0">
        <w:rPr>
          <w:i/>
        </w:rPr>
        <w:t>Notice of Proposed Rule Making and Notice of Inquiry</w:t>
      </w:r>
      <w:r w:rsidRPr="000C5AE0">
        <w:t>, 27 FCC Rcd 3563 ¶ 1 (2012)(</w:t>
      </w:r>
      <w:r w:rsidRPr="000C5AE0">
        <w:rPr>
          <w:i/>
        </w:rPr>
        <w:t>AWS-4 NPRM and NOI</w:t>
      </w:r>
      <w:r w:rsidRPr="000C5AE0">
        <w:t>).</w:t>
      </w:r>
    </w:p>
  </w:footnote>
  <w:footnote w:id="144">
    <w:p w:rsidR="00EC7CF3" w:rsidRDefault="00EC7CF3">
      <w:pPr>
        <w:pStyle w:val="FootnoteText"/>
      </w:pPr>
      <w:r>
        <w:rPr>
          <w:rStyle w:val="FootnoteReference"/>
        </w:rPr>
        <w:footnoteRef/>
      </w:r>
      <w:r>
        <w:t xml:space="preserve"> </w:t>
      </w:r>
      <w:r w:rsidRPr="000C5AE0">
        <w:t xml:space="preserve">A census block is the smallest geographic unit for which the Census Bureau tabulates decennial census data.  </w:t>
      </w:r>
      <w:r w:rsidRPr="000C5AE0">
        <w:rPr>
          <w:i/>
        </w:rPr>
        <w:t>See</w:t>
      </w:r>
      <w:r w:rsidRPr="000C5AE0">
        <w:t xml:space="preserve"> U.S. Census Bureau, </w:t>
      </w:r>
      <w:r w:rsidRPr="000C5AE0">
        <w:rPr>
          <w:i/>
        </w:rPr>
        <w:t>2010 Census Summary File 1 – 2010 Census of Population and Housing, Technical Documentation</w:t>
      </w:r>
      <w:r w:rsidRPr="000C5AE0">
        <w:t xml:space="preserve">, Mar. 2010, at 2-1, </w:t>
      </w:r>
      <w:r w:rsidRPr="000C5AE0">
        <w:rPr>
          <w:i/>
        </w:rPr>
        <w:t>available at</w:t>
      </w:r>
      <w:r w:rsidRPr="000C5AE0">
        <w:t xml:space="preserve"> http://www.census.gov/prod/cen2010/doc/sf1.pdf#page=504.  Census blocks in cities often correspond to individual city blocks bounded by streets.  Blocks in suburban or rural areas “may be large, irregular, and bounded by a variety of features, such as roads, streams, and transmission lines.  In remote areas, census blocks may encompass hundreds of square miles.”  </w:t>
      </w:r>
      <w:r w:rsidRPr="000C5AE0">
        <w:rPr>
          <w:i/>
        </w:rPr>
        <w:t>Id.</w:t>
      </w:r>
      <w:r w:rsidRPr="000C5AE0">
        <w:t xml:space="preserve"> at A-10.  While the past several Reports relied on 2000 Census population data at the census block level, this Report uses 2010 Census population data.  The 2010 Census identified over 11 million blocks covering the entire United States and its territories.  U.S. Census Bureau, </w:t>
      </w:r>
      <w:r w:rsidRPr="000C5AE0">
        <w:rPr>
          <w:i/>
        </w:rPr>
        <w:t>Question &amp; Answer Center</w:t>
      </w:r>
      <w:r w:rsidRPr="000C5AE0">
        <w:t>, http://www.census.gov/ (visited Oct. 2, 2010).  The mean size of a census block is 0.0460 square miles, and its median size is 0.016 square miles with a range of 0.0000001 to 8,081 square miles; its mean population is 34.3 people, while its median population is 8.0 people, with a range of 0 to 23,373 people.</w:t>
      </w:r>
    </w:p>
  </w:footnote>
  <w:footnote w:id="145">
    <w:p w:rsidR="00EC7CF3" w:rsidRDefault="00EC7CF3">
      <w:pPr>
        <w:pStyle w:val="FootnoteText"/>
      </w:pPr>
      <w:r>
        <w:rPr>
          <w:rStyle w:val="FootnoteReference"/>
        </w:rPr>
        <w:footnoteRef/>
      </w:r>
      <w:r>
        <w:t xml:space="preserve"> </w:t>
      </w:r>
      <w:r w:rsidRPr="00B31292">
        <w:t xml:space="preserve">Mosaik provides data </w:t>
      </w:r>
      <w:r>
        <w:t xml:space="preserve">to the FCC under contract </w:t>
      </w:r>
      <w:r w:rsidRPr="00B31292">
        <w:t xml:space="preserve">on facilities-based providers </w:t>
      </w:r>
      <w:r>
        <w:t xml:space="preserve">in the form of </w:t>
      </w:r>
      <w:r w:rsidRPr="00B31292">
        <w:t xml:space="preserve">coverage boundary maps based on the coverage boundaries provided to them by mobile wireless network operators.  Mosaik began as American Roamer in 1985 as the original vendor of custom printed roaming guides for Cellular carriers, but has since evolved into a provider of data and mapping for the mobile wireless industry.  </w:t>
      </w:r>
      <w:r w:rsidRPr="00B31292">
        <w:rPr>
          <w:i/>
        </w:rPr>
        <w:t>See</w:t>
      </w:r>
      <w:r w:rsidRPr="00B31292">
        <w:t xml:space="preserve"> </w:t>
      </w:r>
      <w:r w:rsidRPr="00B31292">
        <w:rPr>
          <w:i/>
        </w:rPr>
        <w:t>Fifteenth Report</w:t>
      </w:r>
      <w:r w:rsidRPr="00B31292">
        <w:t>, 26 FCC Rcd at 9703 ¶ 41 n. 106; Mosaik, About Us, http://www.mosaik.com/about-us/ (visited Apr. 27, 2012).</w:t>
      </w:r>
    </w:p>
  </w:footnote>
  <w:footnote w:id="146">
    <w:p w:rsidR="00EC7CF3" w:rsidRDefault="00EC7CF3">
      <w:pPr>
        <w:pStyle w:val="FootnoteText"/>
      </w:pPr>
      <w:r>
        <w:rPr>
          <w:rStyle w:val="FootnoteReference"/>
        </w:rPr>
        <w:footnoteRef/>
      </w:r>
      <w:r>
        <w:t xml:space="preserve"> </w:t>
      </w:r>
      <w:r w:rsidRPr="000C5AE0">
        <w:t>This analysis likely overstates the coverage actually experienced by consumers, because Mosaik reports advertised coverage as reported to it by many wireless service providers, each of which uses a different definition or determination of coverage.  The data does not expressly account for factors such as signal strength, bit rate, or in-building coverage, and may convey a false sense of consistency across geographic areas and service providers but nonetheless are useful for benchmarking mobile network deployment across the United States, especially over time.  National Broadband Plan, at 39 (Chapter 4).  We also recognize that an analysis of coverage at the nationwide level provides only a general benchmark. A nationwide average will mask regional disparities in coverage and create an overall picture that does not capture variances across the country.</w:t>
      </w:r>
    </w:p>
  </w:footnote>
  <w:footnote w:id="147">
    <w:p w:rsidR="00EC7CF3" w:rsidRDefault="00EC7CF3" w:rsidP="00762ABD">
      <w:pPr>
        <w:pStyle w:val="FootnoteText"/>
      </w:pPr>
      <w:r w:rsidRPr="00D40600">
        <w:rPr>
          <w:rStyle w:val="FootnoteReference"/>
          <w:sz w:val="20"/>
        </w:rPr>
        <w:footnoteRef/>
      </w:r>
      <w:r w:rsidRPr="00D40600">
        <w:t>The estimates in this Table are based on our census block analysis of Mosaik CoverageRight coverage maps using the April 2011</w:t>
      </w:r>
      <w:r>
        <w:t>,</w:t>
      </w:r>
      <w:r w:rsidRPr="00D40600">
        <w:t xml:space="preserve"> January 2012</w:t>
      </w:r>
      <w:r>
        <w:t>, and October 2012</w:t>
      </w:r>
      <w:r w:rsidRPr="00D40600">
        <w:t xml:space="preserve"> data.  The population data are from the 2010 Census.  Estimates for 2009 and 2010 are obtained from the </w:t>
      </w:r>
      <w:r w:rsidRPr="00D40600">
        <w:rPr>
          <w:i/>
        </w:rPr>
        <w:t>Fifteenth Report</w:t>
      </w:r>
      <w:r w:rsidRPr="00D40600">
        <w:t xml:space="preserve">.  </w:t>
      </w:r>
      <w:r w:rsidRPr="00D40600">
        <w:rPr>
          <w:i/>
        </w:rPr>
        <w:t>Fifteenth Report</w:t>
      </w:r>
      <w:r w:rsidRPr="00D40600">
        <w:t xml:space="preserve">, 25 FCC Rcd at 9702 ¶ 45.    </w:t>
      </w:r>
    </w:p>
  </w:footnote>
  <w:footnote w:id="148">
    <w:p w:rsidR="00EC7CF3" w:rsidRDefault="00EC7CF3" w:rsidP="00762ABD">
      <w:pPr>
        <w:pStyle w:val="FootnoteText"/>
      </w:pPr>
      <w:r w:rsidRPr="00D40600">
        <w:rPr>
          <w:rStyle w:val="FootnoteReference"/>
          <w:sz w:val="20"/>
        </w:rPr>
        <w:footnoteRef/>
      </w:r>
      <w:r w:rsidRPr="00D40600">
        <w:t xml:space="preserve">For purposes of this, and earlier, </w:t>
      </w:r>
      <w:r w:rsidRPr="00D40600">
        <w:rPr>
          <w:i/>
        </w:rPr>
        <w:t xml:space="preserve">Mobile Wireless Competition Reports, </w:t>
      </w:r>
      <w:r w:rsidRPr="00D40600">
        <w:t>we include coverage by WCDMA/HSPA, HSPA+, EV-DO, WiMAX, and LTE networks within our estimate of mobile broadband network coverage.  Commission estimates based on census block analysis of Mosaik CoverageRight coverage maps, April 2011</w:t>
      </w:r>
      <w:r>
        <w:t>,</w:t>
      </w:r>
      <w:r w:rsidRPr="00D40600">
        <w:t xml:space="preserve"> January 2012</w:t>
      </w:r>
      <w:r>
        <w:t>, and October 2012</w:t>
      </w:r>
      <w:r w:rsidRPr="00D40600">
        <w:t xml:space="preserve">.  Population data are from the 2010 Census.  Estimates for 2009 and 2010 are obtained from the </w:t>
      </w:r>
      <w:r w:rsidRPr="00D40600">
        <w:rPr>
          <w:i/>
        </w:rPr>
        <w:t>Fifteenth Report</w:t>
      </w:r>
      <w:r w:rsidRPr="00D40600">
        <w:t xml:space="preserve">.  </w:t>
      </w:r>
      <w:r w:rsidRPr="00D40600">
        <w:rPr>
          <w:i/>
        </w:rPr>
        <w:t>Fifteenth Report</w:t>
      </w:r>
      <w:r w:rsidRPr="00D40600">
        <w:t xml:space="preserve">, 25 FCC Rcd at 9702 ¶ 45.  The recent </w:t>
      </w:r>
      <w:r w:rsidRPr="00D40600">
        <w:rPr>
          <w:i/>
        </w:rPr>
        <w:t xml:space="preserve">Broadband Progress Report </w:t>
      </w:r>
      <w:r w:rsidRPr="00D40600">
        <w:t xml:space="preserve">did not include WCDMA/HSPA or EV-DO networks in its definition of mobile broadband networks.  </w:t>
      </w:r>
      <w:r w:rsidRPr="00D40600">
        <w:rPr>
          <w:i/>
        </w:rPr>
        <w:t>2012</w:t>
      </w:r>
      <w:r w:rsidRPr="00D40600">
        <w:t xml:space="preserve"> </w:t>
      </w:r>
      <w:r w:rsidRPr="00D40600">
        <w:rPr>
          <w:i/>
        </w:rPr>
        <w:t>Eighth Broadband Progress Report</w:t>
      </w:r>
      <w:r w:rsidRPr="00D40600">
        <w:t>, WN Docket No. 11-121 (rel. Aug. 21, 2012) ¶ 40.</w:t>
      </w:r>
    </w:p>
  </w:footnote>
  <w:footnote w:id="149">
    <w:p w:rsidR="00EC7CF3" w:rsidRDefault="00EC7CF3">
      <w:pPr>
        <w:pStyle w:val="FootnoteText"/>
      </w:pPr>
      <w:r>
        <w:rPr>
          <w:rStyle w:val="FootnoteReference"/>
        </w:rPr>
        <w:footnoteRef/>
      </w:r>
      <w:r>
        <w:t xml:space="preserve"> </w:t>
      </w:r>
      <w:r w:rsidRPr="00D40600">
        <w:t xml:space="preserve">Our analysis of road miles includes the following road miles categories from census: Primary Road (S1100), Secondary Road (S1200), Local Neighborhood Road, Rural Road, City Street (S1400), Vehicular Trail [4WD] (S1500), Service Drive usually along a limited access highway (S1640), and Private Road for service vehicles (S1740) as defined in MAF/TIGER Feature Class Code (MTFCC) Definitions, pages F-186 and F-187 at </w:t>
      </w:r>
      <w:hyperlink r:id="rId26" w:tooltip="http://www.census.gov/geo/www/tiger/tgrshp2010/documentation.html" w:history="1">
        <w:r w:rsidRPr="00D40600">
          <w:rPr>
            <w:rStyle w:val="Hyperlink"/>
          </w:rPr>
          <w:t>http://www.census.gov/geo/www/tiger/tgrshp2010/documentation.html</w:t>
        </w:r>
      </w:hyperlink>
      <w:r w:rsidRPr="00D40600">
        <w:t xml:space="preserve"> (last visited Sep 26, 2012).  In calculating the number of road miles associated with each census block, we also used two tables (“Faces” and “Edges”), published by the US Census Bureau as part of the TIGER database.  A description of these relationship tables can be found at </w:t>
      </w:r>
      <w:hyperlink r:id="rId27" w:tooltip="http://www.census.gov/geo/www/tiger/rel_file_desc.pdf" w:history="1">
        <w:r w:rsidRPr="00D40600">
          <w:rPr>
            <w:rStyle w:val="Hyperlink"/>
          </w:rPr>
          <w:t>http://www.census.gov/geo/www/tiger/rel_file_desc.pdf</w:t>
        </w:r>
      </w:hyperlink>
      <w:r w:rsidRPr="00D40600">
        <w:t xml:space="preserve">.  The datasets themselves are available in the FACES and EDGES directories at </w:t>
      </w:r>
      <w:hyperlink r:id="rId28" w:tooltip="ftp://ftp2.census.gov/geo/tiger/TIGER2010/" w:history="1">
        <w:r w:rsidRPr="00D40600">
          <w:rPr>
            <w:rStyle w:val="Hyperlink"/>
          </w:rPr>
          <w:t>ftp://ftp2.census.gov/geo/tiger/TIGER2010/</w:t>
        </w:r>
      </w:hyperlink>
      <w:r w:rsidRPr="00D40600">
        <w:t xml:space="preserve"> (visited Nov. 19, 2012)</w:t>
      </w:r>
      <w:r>
        <w:t>.</w:t>
      </w:r>
    </w:p>
  </w:footnote>
  <w:footnote w:id="150">
    <w:p w:rsidR="00EC7CF3" w:rsidRPr="00D40600" w:rsidRDefault="00EC7CF3" w:rsidP="00E92E08">
      <w:pPr>
        <w:pStyle w:val="FootnoteText"/>
      </w:pPr>
      <w:r w:rsidRPr="00D40600">
        <w:rPr>
          <w:rStyle w:val="FootnoteReference"/>
          <w:sz w:val="20"/>
        </w:rPr>
        <w:footnoteRef/>
      </w:r>
      <w:r w:rsidRPr="00D40600">
        <w:rPr>
          <w:rStyle w:val="FootnoteReference"/>
          <w:sz w:val="20"/>
        </w:rPr>
        <w:t xml:space="preserve"> </w:t>
      </w:r>
      <w:r w:rsidRPr="00D40600">
        <w:t xml:space="preserve">Includes Federal lands.  Commission estimates based on census block analysis of Mosaik CoverageRight coverage maps, January 2012.  Population data are from the 2010 Census, and </w:t>
      </w:r>
      <w:r>
        <w:t>include the United States (50 states plus the District of Columbia) and Puerto Rico.  S</w:t>
      </w:r>
      <w:r w:rsidRPr="00D40600">
        <w:t xml:space="preserve">quare miles include the United States and Puerto Rico. </w:t>
      </w:r>
      <w:r w:rsidRPr="001E6585">
        <w:t xml:space="preserve">Our analysis of road miles includes the following road miles categories from census: Primary Road (S1100), Secondary Road (S1200), Local Neighborhood Road, Rural Road, City Street (S1400), Vehicular Trail [4WD] (S1500), Service Drive usually along a limited access highway (S1640), and Private Road for service vehicles (S1740) as defined in MAF/TIGER Feature Class Code (MTFCC) Definitions, pages F-186 and F-187 at http://www.census.gov/geo/www/tiger/tgrshp2010/documentation.html (last visited Sep 26, 2012).  In calculating the number of road miles associated with each census block, we also used two tables (“Faces” and “Edges”), published by the US Census Bureau as part of the TIGER database.  A description of these relationship tables can be found at http://www.census.gov/geo/www/tiger/rel_file_desc.pdf.  The datasets themselves are available in the FACES and EDGES directories at </w:t>
      </w:r>
      <w:hyperlink r:id="rId29" w:history="1">
        <w:r w:rsidRPr="008C6947">
          <w:rPr>
            <w:rStyle w:val="Hyperlink"/>
          </w:rPr>
          <w:t>ftp://ftp2.census.gov/geo/tiger/TIGER2010/</w:t>
        </w:r>
      </w:hyperlink>
      <w:r>
        <w:t xml:space="preserve"> </w:t>
      </w:r>
      <w:r w:rsidRPr="001E6585">
        <w:t>(visited Nov. 19, 2012)</w:t>
      </w:r>
      <w:r>
        <w:t>.</w:t>
      </w:r>
      <w:r w:rsidRPr="00D40600">
        <w:t xml:space="preserve"> </w:t>
      </w:r>
    </w:p>
    <w:p w:rsidR="00EC7CF3" w:rsidRDefault="00EC7CF3" w:rsidP="00E92E08">
      <w:pPr>
        <w:pStyle w:val="FootnoteText"/>
      </w:pPr>
    </w:p>
  </w:footnote>
  <w:footnote w:id="151">
    <w:p w:rsidR="00EC7CF3" w:rsidRDefault="00EC7CF3" w:rsidP="00EF1C8D">
      <w:pPr>
        <w:pStyle w:val="FootnoteText"/>
      </w:pPr>
      <w:r w:rsidRPr="00D40600">
        <w:rPr>
          <w:rStyle w:val="FootnoteReference"/>
          <w:sz w:val="20"/>
        </w:rPr>
        <w:footnoteRef/>
      </w:r>
      <w:r w:rsidRPr="00D40600">
        <w:rPr>
          <w:rStyle w:val="FootnoteReference"/>
          <w:sz w:val="20"/>
        </w:rPr>
        <w:t xml:space="preserve"> </w:t>
      </w:r>
      <w:r w:rsidRPr="00D40600">
        <w:t xml:space="preserve">Includes Federal lands.  Commission estimates based on census block analysis of Mosaik CoverageRight coverage maps, </w:t>
      </w:r>
      <w:r>
        <w:t>October</w:t>
      </w:r>
      <w:r w:rsidRPr="00D40600">
        <w:t xml:space="preserve"> 2012.  Population data are from the 2010 Census</w:t>
      </w:r>
      <w:r>
        <w:t>, and include the United States and Puerto Rico.</w:t>
      </w:r>
      <w:r w:rsidRPr="00D40600">
        <w:t xml:space="preserve"> </w:t>
      </w:r>
      <w:r>
        <w:t xml:space="preserve"> S</w:t>
      </w:r>
      <w:r w:rsidRPr="00D40600">
        <w:t xml:space="preserve">quare miles include the </w:t>
      </w:r>
      <w:r>
        <w:t>United States and Puerto Rico.</w:t>
      </w:r>
    </w:p>
  </w:footnote>
  <w:footnote w:id="152">
    <w:p w:rsidR="00EC7CF3" w:rsidRDefault="00EC7CF3" w:rsidP="00762ABD">
      <w:pPr>
        <w:pStyle w:val="FootnoteText"/>
      </w:pPr>
      <w:r w:rsidRPr="00D40600">
        <w:rPr>
          <w:rStyle w:val="FootnoteReference"/>
          <w:sz w:val="20"/>
        </w:rPr>
        <w:footnoteRef/>
      </w:r>
      <w:r w:rsidRPr="00D40600">
        <w:t xml:space="preserve"> </w:t>
      </w:r>
      <w:r w:rsidRPr="00D40600">
        <w:rPr>
          <w:i/>
        </w:rPr>
        <w:t>See Fifteenth Report</w:t>
      </w:r>
      <w:r w:rsidRPr="00D40600">
        <w:t xml:space="preserve">, 26 FCC Rcd at 9705 Table 5.  The </w:t>
      </w:r>
      <w:r>
        <w:t xml:space="preserve">80.4 </w:t>
      </w:r>
      <w:r w:rsidRPr="00D40600">
        <w:t xml:space="preserve">percent </w:t>
      </w:r>
      <w:r>
        <w:t xml:space="preserve">estimate for ‘5 or more’ providers as of October 2012 </w:t>
      </w:r>
      <w:r w:rsidRPr="00D40600">
        <w:t>represents a marked d</w:t>
      </w:r>
      <w:r>
        <w:t>ecline</w:t>
      </w:r>
      <w:r w:rsidRPr="00D40600">
        <w:t xml:space="preserve"> from the figure presented in the </w:t>
      </w:r>
      <w:r w:rsidRPr="00D40600">
        <w:rPr>
          <w:i/>
        </w:rPr>
        <w:t xml:space="preserve">Fifteenth Report, </w:t>
      </w:r>
      <w:r w:rsidRPr="00D40600">
        <w:t xml:space="preserve">which reported that 89.6 percent of the U.S. population was covered by at least five providers based on the Commission’s analysis of July/August 2010 Mosaik data.  The estimates in this </w:t>
      </w:r>
      <w:r w:rsidRPr="00D40600">
        <w:rPr>
          <w:i/>
        </w:rPr>
        <w:t>Report</w:t>
      </w:r>
      <w:r w:rsidRPr="00D40600">
        <w:t xml:space="preserve"> are more consistent with the Commission’s estimates based on the October/November 2009 data presented in the </w:t>
      </w:r>
      <w:r w:rsidRPr="00D40600">
        <w:rPr>
          <w:i/>
        </w:rPr>
        <w:t>Fourteenth Report</w:t>
      </w:r>
      <w:r w:rsidRPr="00D40600">
        <w:t xml:space="preserve">, which showed that approximately 91 percent of the U.S. population was covered by at least four providers’ networks, 74 percent by five, and 25 percent, by six.  </w:t>
      </w:r>
      <w:r w:rsidRPr="00D40600">
        <w:rPr>
          <w:i/>
        </w:rPr>
        <w:t>See Fourteenth Report</w:t>
      </w:r>
      <w:r w:rsidRPr="00D40600">
        <w:t xml:space="preserve">, 25 FCC Rcd at 11447 Table 4. </w:t>
      </w:r>
    </w:p>
  </w:footnote>
  <w:footnote w:id="153">
    <w:p w:rsidR="00EC7CF3" w:rsidRDefault="00EC7CF3" w:rsidP="00762ABD">
      <w:pPr>
        <w:pStyle w:val="FootnoteText"/>
      </w:pPr>
      <w:r w:rsidRPr="00D40600">
        <w:rPr>
          <w:rStyle w:val="FootnoteReference"/>
          <w:sz w:val="20"/>
        </w:rPr>
        <w:footnoteRef/>
      </w:r>
      <w:r w:rsidRPr="00D40600">
        <w:t xml:space="preserve"> Federally-owned lands constitute nearly 30 percent of the approximately 3.6 million square mile land area of the United States.  </w:t>
      </w:r>
      <w:r w:rsidRPr="00D40600">
        <w:rPr>
          <w:i/>
        </w:rPr>
        <w:t xml:space="preserve">See Fifteenth Report, </w:t>
      </w:r>
      <w:r w:rsidRPr="00D40600">
        <w:t>26 FCC Rcd at 9705 ¶ 43.</w:t>
      </w:r>
      <w:r w:rsidRPr="00D40600">
        <w:rPr>
          <w:i/>
        </w:rPr>
        <w:t xml:space="preserve">  </w:t>
      </w:r>
      <w:r w:rsidRPr="00D40600">
        <w:t xml:space="preserve">A map showing the extent of Federal lands, with American Indian Reservations and Alaska Native Village Statistical Areas, can be found in Appendix C.  The Commission has recognized, “[i]n many locations, covering certain government land may be impractical, because these lands are subject to restrictions that prevent a licensee from providing service or make provision of service extremely difficult.  We also note that government lands often include only very small portions of the population in a license area.”  Service Rules for the 698-746, 747-762 and 777-792 MHz Bands; Revision of the Commission’s Rules to Ensure Compatibility with Enhanced 911 Emergency Calling Systems; Section 68.4(a) of the Commission's Rules Governing Hearing Aid-Compatible Telephones; Biennial Regulatory Review – Amendment of Parts 1, 22, 24, 27, and 90 to Streamline and Harmonize Various Rules Affecting Wireless Radio Services; Former Nextel Communications, Inc. Upper 700 MHz Guard Band Licenses and Revisions to Part 27 of the Commission’s Rules; Implementing a Nationwide, Broadband, Interoperable Public Safety Network in the 700 MHz Band; and Development of Operational, Technical and Spectrum Requirements for Meeting Federal, State and Local Public Safety Communications Requirements Through the Year 2010, </w:t>
      </w:r>
      <w:r w:rsidRPr="00D40600">
        <w:rPr>
          <w:i/>
        </w:rPr>
        <w:t>Second Report and Order</w:t>
      </w:r>
      <w:r w:rsidRPr="00D40600">
        <w:t>, 22 FCC Rcd 15289, 15350 ¶ 160 (2007)</w:t>
      </w:r>
      <w:r>
        <w:t>.</w:t>
      </w:r>
    </w:p>
  </w:footnote>
  <w:footnote w:id="154">
    <w:p w:rsidR="00EC7CF3" w:rsidRDefault="00EC7CF3" w:rsidP="00C40B85">
      <w:pPr>
        <w:pStyle w:val="FootnoteText"/>
      </w:pPr>
      <w:r w:rsidRPr="00D40600">
        <w:rPr>
          <w:rStyle w:val="FootnoteReference"/>
          <w:sz w:val="20"/>
        </w:rPr>
        <w:footnoteRef/>
      </w:r>
      <w:r w:rsidRPr="00D40600">
        <w:t xml:space="preserve"> Commission</w:t>
      </w:r>
      <w:r w:rsidRPr="00D40600">
        <w:rPr>
          <w:rStyle w:val="Normal1"/>
          <w:sz w:val="20"/>
        </w:rPr>
        <w:t xml:space="preserve"> estimates based on Mosaik, </w:t>
      </w:r>
      <w:r>
        <w:t>Jan</w:t>
      </w:r>
      <w:r w:rsidRPr="00D40600">
        <w:t>. 2012</w:t>
      </w:r>
      <w:r w:rsidRPr="00D40600">
        <w:rPr>
          <w:rStyle w:val="Normal1"/>
          <w:sz w:val="20"/>
        </w:rPr>
        <w:t xml:space="preserve">.  </w:t>
      </w:r>
      <w:r w:rsidRPr="00D40600">
        <w:t xml:space="preserve">Population and land area are based on census blocks.  </w:t>
      </w:r>
      <w:r w:rsidRPr="00D40600">
        <w:rPr>
          <w:rStyle w:val="Normal1"/>
          <w:sz w:val="20"/>
        </w:rPr>
        <w:t xml:space="preserve">POPs are from the 2010 Census, and square miles include the United States and Puerto Rico.  </w:t>
      </w:r>
      <w:r>
        <w:rPr>
          <w:rStyle w:val="Normal1"/>
          <w:sz w:val="20"/>
        </w:rPr>
        <w:t xml:space="preserve">Excludes Federal lands.  </w:t>
      </w:r>
      <w:r w:rsidRPr="00D40600">
        <w:t xml:space="preserve">In this analysis, Federal lands consist of lands owned or administered by the Federal Government, including the Bureau of Land Management, the Bureau of Reclamation, the United States Department of Agriculture Forest Service, the Department of Defense, the United States Fish and Wildlife Service, the National Park Service, the Tennessee Valley Authority, and other agencies.  Only areas of one square mile (640 acres) or more are included.  Indian lands are not included in Federal lands.  </w:t>
      </w:r>
      <w:r w:rsidRPr="00D40600">
        <w:rPr>
          <w:i/>
          <w:iCs/>
        </w:rPr>
        <w:t>See</w:t>
      </w:r>
      <w:r w:rsidRPr="00D40600">
        <w:t xml:space="preserve"> United States Department of the Interior, </w:t>
      </w:r>
      <w:r w:rsidRPr="00D40600">
        <w:rPr>
          <w:i/>
        </w:rPr>
        <w:t>Federal Lands of the United States</w:t>
      </w:r>
      <w:r w:rsidRPr="00D40600">
        <w:t xml:space="preserve">, </w:t>
      </w:r>
      <w:hyperlink r:id="rId30" w:history="1">
        <w:r w:rsidRPr="00D40600">
          <w:rPr>
            <w:rStyle w:val="Hyperlink"/>
          </w:rPr>
          <w:t>http://www.nationalatlas.gov/mld/fedlanp.html</w:t>
        </w:r>
      </w:hyperlink>
      <w:r w:rsidRPr="00D40600">
        <w:t xml:space="preserve"> (visited Sep. 18, 2012).  Our analysis of road miles includes the following road miles categories from census: Primary Road (S1100), Secondary Road (S1200), Local Neighborhood Road, Rural Road, City Street (S1400), Vehicular Trail [4WD] (S1500), Service Drive usually along a limited access highway (S1640), and Private Road for service vehicles (S1740) as defined in MAF/TIGER Feature Class Code (MTFCC) Definitions, pages F-186 and F-187 </w:t>
      </w:r>
      <w:r w:rsidRPr="009D5F51">
        <w:rPr>
          <w:i/>
        </w:rPr>
        <w:t xml:space="preserve">available at </w:t>
      </w:r>
      <w:hyperlink r:id="rId31" w:tooltip="http://www.census.gov/geo/www/tiger/tgrshp2010/documentation.html" w:history="1">
        <w:r w:rsidRPr="00D40600">
          <w:rPr>
            <w:rStyle w:val="Hyperlink"/>
          </w:rPr>
          <w:t>http://www.census.gov/geo/www/tiger/tgrshp2010/documentation.html</w:t>
        </w:r>
      </w:hyperlink>
      <w:r w:rsidRPr="00D40600">
        <w:t xml:space="preserve"> (last visited Sep 26, 2012).  In calculating the number of road miles associated with each census block, we also used two tables (“Faces” and “Edges”), published by the US Census Bureau as part of the TIGER database.  A description of these relationship tables can be found at </w:t>
      </w:r>
      <w:hyperlink r:id="rId32" w:tooltip="http://www.census.gov/geo/www/tiger/rel_file_desc.pdf" w:history="1">
        <w:r w:rsidRPr="00D40600">
          <w:rPr>
            <w:rStyle w:val="Hyperlink"/>
          </w:rPr>
          <w:t>http://www.census.gov/geo/www/tiger/rel_file_desc.pdf</w:t>
        </w:r>
      </w:hyperlink>
      <w:r w:rsidRPr="00D40600">
        <w:t xml:space="preserve">.  The datasets themselves are available in the FACES and EDGES directories at </w:t>
      </w:r>
      <w:hyperlink r:id="rId33" w:history="1">
        <w:r w:rsidRPr="00D40600">
          <w:rPr>
            <w:rStyle w:val="Hyperlink"/>
          </w:rPr>
          <w:t>ftp://ftp2.census.gov/geo/tiger/TIGER2010/</w:t>
        </w:r>
      </w:hyperlink>
      <w:r>
        <w:t xml:space="preserve">. (visited </w:t>
      </w:r>
      <w:r w:rsidRPr="00D40600">
        <w:t>Nov. 19,</w:t>
      </w:r>
      <w:r>
        <w:t xml:space="preserve"> </w:t>
      </w:r>
      <w:r w:rsidRPr="00D40600">
        <w:t>2012)</w:t>
      </w:r>
      <w:r>
        <w:t>.</w:t>
      </w:r>
    </w:p>
  </w:footnote>
  <w:footnote w:id="155">
    <w:p w:rsidR="00EC7CF3" w:rsidRDefault="00EC7CF3" w:rsidP="001170B2">
      <w:pPr>
        <w:pStyle w:val="FootnoteText"/>
      </w:pPr>
      <w:r w:rsidRPr="00D40600">
        <w:rPr>
          <w:rStyle w:val="FootnoteReference"/>
          <w:sz w:val="20"/>
        </w:rPr>
        <w:footnoteRef/>
      </w:r>
      <w:r w:rsidRPr="00D40600">
        <w:t xml:space="preserve"> Commission</w:t>
      </w:r>
      <w:r w:rsidRPr="00D40600">
        <w:rPr>
          <w:rStyle w:val="Normal1"/>
          <w:sz w:val="20"/>
        </w:rPr>
        <w:t xml:space="preserve"> estimates based on Mosaik, </w:t>
      </w:r>
      <w:r>
        <w:t>Oct</w:t>
      </w:r>
      <w:r w:rsidRPr="00D40600">
        <w:t>. 2012</w:t>
      </w:r>
      <w:r w:rsidRPr="00D40600">
        <w:rPr>
          <w:rStyle w:val="Normal1"/>
          <w:sz w:val="20"/>
        </w:rPr>
        <w:t xml:space="preserve">.  </w:t>
      </w:r>
      <w:r w:rsidRPr="00D40600">
        <w:t xml:space="preserve">Population and land area are based on census blocks.  </w:t>
      </w:r>
      <w:r w:rsidRPr="00D40600">
        <w:rPr>
          <w:rStyle w:val="Normal1"/>
          <w:sz w:val="20"/>
        </w:rPr>
        <w:t xml:space="preserve">POPs are from the 2010 Census, and square miles include the United States and Puerto Rico.  </w:t>
      </w:r>
      <w:r>
        <w:rPr>
          <w:rStyle w:val="Normal1"/>
          <w:sz w:val="20"/>
        </w:rPr>
        <w:t>Excludes Federal lands</w:t>
      </w:r>
      <w:r>
        <w:t>.</w:t>
      </w:r>
    </w:p>
  </w:footnote>
  <w:footnote w:id="156">
    <w:p w:rsidR="00EC7CF3" w:rsidRDefault="00EC7CF3" w:rsidP="00762ABD">
      <w:pPr>
        <w:pStyle w:val="FootnoteText"/>
      </w:pPr>
      <w:r w:rsidRPr="00D40600">
        <w:rPr>
          <w:rStyle w:val="FootnoteReference"/>
          <w:sz w:val="20"/>
        </w:rPr>
        <w:footnoteRef/>
      </w:r>
      <w:r w:rsidRPr="00D40600">
        <w:t xml:space="preserve"> Includes Federal lands.  Commission estimates based on census block analysis of Mosaik CoverageRight coverage maps, Jan. 2012. </w:t>
      </w:r>
      <w:r>
        <w:t xml:space="preserve"> </w:t>
      </w:r>
      <w:r w:rsidRPr="00D40600">
        <w:t xml:space="preserve">The estimates include coverage by all </w:t>
      </w:r>
      <w:r w:rsidRPr="00D40600">
        <w:rPr>
          <w:rStyle w:val="Normal11"/>
          <w:sz w:val="20"/>
        </w:rPr>
        <w:t>EVDO, EVDO Rev. A, HSPA/UMTS/WCDMA, HSPA+, LTE, and mobile WiMAX networks</w:t>
      </w:r>
      <w:r w:rsidRPr="00D40600">
        <w:t xml:space="preserve">. Population data are from the 2010 Census, and square miles include the United States and Puerto Rico.  The Commission may include other combinations of mobile network technologies when referring to “mobile broadband” in other contexts.  </w:t>
      </w:r>
      <w:r w:rsidRPr="00D40600">
        <w:rPr>
          <w:i/>
        </w:rPr>
        <w:t>See, e.g.,</w:t>
      </w:r>
      <w:r w:rsidRPr="00D40600">
        <w:t xml:space="preserve"> </w:t>
      </w:r>
      <w:r w:rsidRPr="00D40600">
        <w:rPr>
          <w:i/>
        </w:rPr>
        <w:t>Eighth Broadband Progress Report</w:t>
      </w:r>
      <w:r w:rsidRPr="00D40600">
        <w:t xml:space="preserve"> at Table 15.</w:t>
      </w:r>
      <w:r w:rsidRPr="00D40600">
        <w:rPr>
          <w:color w:val="1F497D"/>
        </w:rPr>
        <w:t xml:space="preserve">  </w:t>
      </w:r>
      <w:r w:rsidRPr="00D40600">
        <w:t xml:space="preserve">Our analysis of road miles includes the following road miles categories from census: Primary Road (S1100), Secondary Road (S1200), Local Neighborhood Road, Rural Road, City Street (S1400), Vehicular Trail [4WD] (S1500), Service Drive usually along a limited access highway (S1640), and Private Road for service vehicles (S1740) as defined in MAF/TIGER Feature Class Code (MTFCC) Definitions, pages F-186 and F-187 at </w:t>
      </w:r>
      <w:hyperlink r:id="rId34" w:tooltip="http://www.census.gov/geo/www/tiger/tgrshp2010/documentation.html" w:history="1">
        <w:r w:rsidRPr="00D40600">
          <w:rPr>
            <w:rStyle w:val="Hyperlink"/>
          </w:rPr>
          <w:t>http://www.census.gov/geo/www/tiger/tgrshp2010/documentation.html</w:t>
        </w:r>
      </w:hyperlink>
      <w:r w:rsidRPr="00D40600">
        <w:t xml:space="preserve"> (last visited Sep 26, 2012).  In calculating the number of road miles associated with each census block, we also used two tables (“Faces” and “Edges”), published by the US Census Bureau as part of the TIGER database.  A description of these relationship tables can be found at </w:t>
      </w:r>
      <w:hyperlink r:id="rId35" w:tooltip="http://www.census.gov/geo/www/tiger/rel_file_desc.pdf" w:history="1">
        <w:r w:rsidRPr="00D40600">
          <w:rPr>
            <w:rStyle w:val="Hyperlink"/>
          </w:rPr>
          <w:t>http://www.census.gov/geo/www/tiger/rel_file_desc.pdf</w:t>
        </w:r>
      </w:hyperlink>
      <w:r w:rsidRPr="00D40600">
        <w:t xml:space="preserve">.  The datasets themselves are available in the FACES and EDGES directories at </w:t>
      </w:r>
      <w:hyperlink r:id="rId36" w:tooltip="ftp://ftp2.census.gov/geo/tiger/TIGER2010/" w:history="1">
        <w:r w:rsidRPr="00D40600">
          <w:rPr>
            <w:rStyle w:val="Hyperlink"/>
          </w:rPr>
          <w:t>ftp://ftp2.census.gov/geo/tiger/TIGER2010/</w:t>
        </w:r>
      </w:hyperlink>
      <w:r>
        <w:t xml:space="preserve"> </w:t>
      </w:r>
      <w:r w:rsidRPr="00D40600">
        <w:t xml:space="preserve"> (visited Nov. 19, 2012)</w:t>
      </w:r>
      <w:r>
        <w:t>.</w:t>
      </w:r>
    </w:p>
  </w:footnote>
  <w:footnote w:id="157">
    <w:p w:rsidR="00EC7CF3" w:rsidRDefault="00EC7CF3" w:rsidP="00E74FE8">
      <w:pPr>
        <w:pStyle w:val="FootnoteText"/>
      </w:pPr>
      <w:r w:rsidRPr="00D40600">
        <w:rPr>
          <w:rStyle w:val="FootnoteReference"/>
          <w:sz w:val="20"/>
        </w:rPr>
        <w:footnoteRef/>
      </w:r>
      <w:r w:rsidRPr="00D40600">
        <w:t xml:space="preserve"> Includes Federal lands.  Commission estimates based on census block analysis of Mosaik CoverageRight coverage maps, </w:t>
      </w:r>
      <w:r>
        <w:t>Oct</w:t>
      </w:r>
      <w:r w:rsidRPr="00D40600">
        <w:t xml:space="preserve">. 2012. </w:t>
      </w:r>
      <w:r>
        <w:t xml:space="preserve"> </w:t>
      </w:r>
      <w:r w:rsidRPr="00D40600">
        <w:t xml:space="preserve">The estimates include coverage by all </w:t>
      </w:r>
      <w:r w:rsidRPr="00D40600">
        <w:rPr>
          <w:rStyle w:val="Normal11"/>
          <w:sz w:val="20"/>
        </w:rPr>
        <w:t>EVDO, EVDO Rev. A, HSPA/UMTS/WCDMA, HSPA+, LTE, and mobile WiMAX networks</w:t>
      </w:r>
      <w:r w:rsidRPr="00D40600">
        <w:t xml:space="preserve">. Population data are from the 2010 Census, and square miles include the United States and Puerto Rico.  </w:t>
      </w:r>
    </w:p>
  </w:footnote>
  <w:footnote w:id="158">
    <w:p w:rsidR="00EC7CF3" w:rsidRDefault="00EC7CF3" w:rsidP="00762ABD">
      <w:pPr>
        <w:pStyle w:val="FootnoteText"/>
      </w:pPr>
      <w:r w:rsidRPr="00D40600">
        <w:rPr>
          <w:rStyle w:val="FootnoteReference"/>
          <w:sz w:val="20"/>
        </w:rPr>
        <w:footnoteRef/>
      </w:r>
      <w:r w:rsidRPr="00D40600">
        <w:t xml:space="preserve"> In recent transactions orders, the Commission has primarily used CMAs as the local geographic markets in which to analyze the potential competitive harms arising from the spectrum concentration as a result of the transaction, but it has also found it appropriate to analyze the potential national competitive impacts of transactions.  </w:t>
      </w:r>
      <w:r w:rsidRPr="00D40600">
        <w:rPr>
          <w:i/>
        </w:rPr>
        <w:t>See</w:t>
      </w:r>
      <w:r w:rsidRPr="00D40600">
        <w:t xml:space="preserve"> </w:t>
      </w:r>
      <w:r w:rsidRPr="00D40600">
        <w:rPr>
          <w:snapToGrid w:val="0"/>
          <w:color w:val="000000"/>
        </w:rPr>
        <w:t xml:space="preserve">Application of AT&amp;T Inc. and Qualcomm Incorporated for Consent to Assign Licenses and Authorizations, WT Docket No. 11-18, </w:t>
      </w:r>
      <w:r w:rsidRPr="00D40600">
        <w:rPr>
          <w:i/>
          <w:iCs/>
          <w:snapToGrid w:val="0"/>
          <w:color w:val="000000"/>
        </w:rPr>
        <w:t>Order</w:t>
      </w:r>
      <w:r w:rsidRPr="00D40600">
        <w:rPr>
          <w:snapToGrid w:val="0"/>
          <w:color w:val="000000"/>
        </w:rPr>
        <w:t>, 26 FCC Rcd 17589, 17591 ¶ 34 (2011) (</w:t>
      </w:r>
      <w:r w:rsidRPr="00D40600">
        <w:rPr>
          <w:i/>
          <w:iCs/>
          <w:snapToGrid w:val="0"/>
          <w:color w:val="000000"/>
        </w:rPr>
        <w:t>AT&amp;T-Qualcomm Order</w:t>
      </w:r>
      <w:r w:rsidRPr="00D40600">
        <w:rPr>
          <w:snapToGrid w:val="0"/>
          <w:color w:val="000000"/>
        </w:rPr>
        <w:t xml:space="preserve">); </w:t>
      </w:r>
      <w:r w:rsidRPr="00D40600">
        <w:rPr>
          <w:color w:val="000000"/>
        </w:rPr>
        <w:t xml:space="preserve">Applications of Cellco Partnership d/b/a </w:t>
      </w:r>
      <w:r w:rsidRPr="00D40600">
        <w:rPr>
          <w:snapToGrid w:val="0"/>
          <w:color w:val="000000"/>
        </w:rPr>
        <w:t>Verizon Wireless and SpectrumCo LLC and Cox TMI, LLC For Consent To Assign AWS-1 Licenses, WT Docket No. 12-4, Applications of Verizon Wireless and Leap for Consent To Exchange Lower 700 MHz, AWS-1, and PCS Licenses, ULS File Nos. 0004942973, 0004942992, 0004952444, 0004949596, and 0004949598, Applications of T-Mobile License LLC and Cellco Partnership d/b/a Verizon Wireless for Consent to Assign Licenses, WT Docket 12-175, FCC 12-95 ( rel. Aug. 23, 2012) (</w:t>
      </w:r>
      <w:r w:rsidRPr="00D40600">
        <w:rPr>
          <w:i/>
          <w:snapToGrid w:val="0"/>
          <w:color w:val="000000"/>
        </w:rPr>
        <w:t>Verizon Wireless-SpectrumCo Order</w:t>
      </w:r>
      <w:r w:rsidRPr="00D40600">
        <w:rPr>
          <w:snapToGrid w:val="0"/>
          <w:color w:val="000000"/>
        </w:rPr>
        <w:t xml:space="preserve">); </w:t>
      </w:r>
      <w:r w:rsidRPr="00D40600">
        <w:t xml:space="preserve">Applications of AT&amp;T Inc. and Centennial Communications Corp. for Consent to Transfer Control of Licenses, Authorizations, and Spectrum Leasing Arrangements, WT Docket No. 08-246, </w:t>
      </w:r>
      <w:r w:rsidRPr="00D40600">
        <w:rPr>
          <w:i/>
        </w:rPr>
        <w:t>Memorandum Opinion and  Order</w:t>
      </w:r>
      <w:r w:rsidRPr="00D40600">
        <w:t>, 24 FCC Rcd 13915 (2009) (</w:t>
      </w:r>
      <w:r w:rsidRPr="00D40600">
        <w:rPr>
          <w:i/>
        </w:rPr>
        <w:t>AT&amp;T-Centennial Order</w:t>
      </w:r>
      <w:r w:rsidRPr="00D40600">
        <w:t xml:space="preserve">); </w:t>
      </w:r>
      <w:r w:rsidRPr="00D40600">
        <w:rPr>
          <w:i/>
          <w:iCs/>
        </w:rPr>
        <w:t>See also</w:t>
      </w:r>
      <w:r w:rsidRPr="00D40600">
        <w:t xml:space="preserve"> Section II, </w:t>
      </w:r>
      <w:r w:rsidR="00951E9B">
        <w:fldChar w:fldCharType="begin"/>
      </w:r>
      <w:r w:rsidR="00951E9B">
        <w:instrText xml:space="preserve"> REF _Ref256582450  \* MERGEFORMAT </w:instrText>
      </w:r>
      <w:r w:rsidR="00951E9B">
        <w:fldChar w:fldCharType="separate"/>
      </w:r>
      <w:r w:rsidRPr="00812144">
        <w:t>Introduction</w:t>
      </w:r>
      <w:r w:rsidR="00951E9B">
        <w:fldChar w:fldCharType="end"/>
      </w:r>
      <w:r w:rsidRPr="00D40600">
        <w:rPr>
          <w:bCs/>
        </w:rPr>
        <w:t xml:space="preserve">, </w:t>
      </w:r>
      <w:r w:rsidRPr="00D40600">
        <w:rPr>
          <w:bCs/>
          <w:i/>
          <w:iCs/>
        </w:rPr>
        <w:t>supra</w:t>
      </w:r>
      <w:r w:rsidRPr="00D40600">
        <w:rPr>
          <w:bCs/>
          <w:iCs/>
        </w:rPr>
        <w:t>.</w:t>
      </w:r>
    </w:p>
  </w:footnote>
  <w:footnote w:id="159">
    <w:p w:rsidR="00EC7CF3" w:rsidRDefault="00EC7CF3" w:rsidP="00762ABD">
      <w:pPr>
        <w:pStyle w:val="FootnoteText"/>
      </w:pPr>
      <w:r w:rsidRPr="00D40600">
        <w:rPr>
          <w:rStyle w:val="FootnoteReference"/>
          <w:sz w:val="20"/>
        </w:rPr>
        <w:footnoteRef/>
      </w:r>
      <w:r w:rsidRPr="00D40600">
        <w:rPr>
          <w:i/>
        </w:rPr>
        <w:t xml:space="preserve">See Fifteenth Report, </w:t>
      </w:r>
      <w:r w:rsidRPr="00D40600">
        <w:t>26 FCC Rcd at 9707 ¶ 47.</w:t>
      </w:r>
    </w:p>
  </w:footnote>
  <w:footnote w:id="160">
    <w:p w:rsidR="00EC7CF3" w:rsidRDefault="00EC7CF3" w:rsidP="00762ABD">
      <w:pPr>
        <w:pStyle w:val="FootnoteText"/>
      </w:pPr>
      <w:r w:rsidRPr="00D40600">
        <w:rPr>
          <w:rStyle w:val="FootnoteReference"/>
          <w:sz w:val="20"/>
        </w:rPr>
        <w:footnoteRef/>
      </w:r>
      <w:r w:rsidRPr="00D40600">
        <w:t xml:space="preserve"> Because NRUF includes data on the number of telephone numbers that have been assigned to end-user devices by mobile wireless providers, this analysis does not include providers whose data-only devices are not assigned a mobile telephone number.  </w:t>
      </w:r>
      <w:r w:rsidRPr="00D40600">
        <w:rPr>
          <w:i/>
        </w:rPr>
        <w:t>See also</w:t>
      </w:r>
      <w:r w:rsidRPr="00D40600">
        <w:t xml:space="preserve"> Section V.A, </w:t>
      </w:r>
      <w:r w:rsidR="00951E9B">
        <w:fldChar w:fldCharType="begin"/>
      </w:r>
      <w:r w:rsidR="00951E9B">
        <w:instrText xml:space="preserve"> REF _Ref256582542  \* MERGEFORMAT </w:instrText>
      </w:r>
      <w:r w:rsidR="00951E9B">
        <w:fldChar w:fldCharType="separate"/>
      </w:r>
      <w:r w:rsidRPr="00F90B33">
        <w:t xml:space="preserve">Numbers of Mobile Wireless Connections </w:t>
      </w:r>
      <w:r w:rsidR="00951E9B">
        <w:fldChar w:fldCharType="end"/>
      </w:r>
      <w:r w:rsidRPr="00D40600">
        <w:t xml:space="preserve">and Customers, </w:t>
      </w:r>
      <w:r w:rsidRPr="00D40600">
        <w:rPr>
          <w:i/>
        </w:rPr>
        <w:t>infra</w:t>
      </w:r>
      <w:r w:rsidRPr="00D40600">
        <w:t>.</w:t>
      </w:r>
    </w:p>
  </w:footnote>
  <w:footnote w:id="161">
    <w:p w:rsidR="00EC7CF3" w:rsidRDefault="00EC7CF3" w:rsidP="00762ABD">
      <w:pPr>
        <w:pStyle w:val="FootnoteText"/>
      </w:pPr>
      <w:r w:rsidRPr="00D40600">
        <w:rPr>
          <w:rStyle w:val="FootnoteReference"/>
          <w:sz w:val="20"/>
        </w:rPr>
        <w:footnoteRef/>
      </w:r>
      <w:r w:rsidRPr="00D40600">
        <w:t xml:space="preserve"> Commission analysis based on December 2011 NRUF data.</w:t>
      </w:r>
    </w:p>
  </w:footnote>
  <w:footnote w:id="162">
    <w:p w:rsidR="00EC7CF3" w:rsidRDefault="00EC7CF3" w:rsidP="008C050B">
      <w:r w:rsidRPr="00D40600">
        <w:rPr>
          <w:rStyle w:val="FootnoteReference"/>
          <w:sz w:val="20"/>
        </w:rPr>
        <w:footnoteRef/>
      </w:r>
      <w:r w:rsidRPr="00D40600">
        <w:rPr>
          <w:sz w:val="20"/>
        </w:rPr>
        <w:t xml:space="preserve">  Service revenues are reported publicly by most publicly-traded service providers in SEC 10-K filings.  Atlantic Tele-Network service revenues for 2010 and 2011 are for U.S wireless operations.  Atlantic Tele-Network, SEC Form 10-K, filed March 15, 2012.  Atlantic Tele-Network service revenues for 2008 and 2009 are for U.S and Caribbean wireless operations.  Atlantic Tele-Network, SEC Form 10-K, filed March 16, 2010.</w:t>
      </w:r>
    </w:p>
  </w:footnote>
  <w:footnote w:id="163">
    <w:p w:rsidR="00EC7CF3" w:rsidRDefault="00EC7CF3" w:rsidP="008C050B">
      <w:pPr>
        <w:pStyle w:val="FootnoteText"/>
      </w:pPr>
      <w:r w:rsidRPr="00D40600">
        <w:rPr>
          <w:rStyle w:val="FootnoteReference"/>
          <w:sz w:val="20"/>
        </w:rPr>
        <w:footnoteRef/>
      </w:r>
      <w:r w:rsidRPr="00D40600">
        <w:t xml:space="preserve">  “Other” is the sum of service revenues from Clearwire, Cincinnati Bell Wireless, Ntelos, Atlantic Tele-Network, Rural Cellular, Alltel, and Centennial.  Hence, “Other” excludes service revenues of all non-publicly traded facilities-based companies, the largest being C-Spire.  The relatively large 7.2 percent “Other” for 2008 in largely accounted for by Alltel.  To the extent that not all service revenues are accounted for in “Other”, the shares attributed to some of the listed service providers may be overstated in this estimation method.  Deriving “Other” using UBS estimates of total service revenue yields similar estimates.  </w:t>
      </w:r>
    </w:p>
  </w:footnote>
  <w:footnote w:id="164">
    <w:p w:rsidR="00EC7CF3" w:rsidRDefault="00EC7CF3" w:rsidP="00FE1B51">
      <w:pPr>
        <w:pStyle w:val="FootnoteText"/>
      </w:pPr>
      <w:r w:rsidRPr="00D40600">
        <w:rPr>
          <w:rStyle w:val="FootnoteReference"/>
        </w:rPr>
        <w:footnoteRef/>
      </w:r>
      <w:r w:rsidRPr="00D40600">
        <w:rPr>
          <w:rStyle w:val="FootnoteReference"/>
        </w:rPr>
        <w:t xml:space="preserve"> </w:t>
      </w:r>
      <w:r w:rsidRPr="00D40600">
        <w:t>Verizon Wireless acquired Alltel in Jan. 2009 (the 5</w:t>
      </w:r>
      <w:r w:rsidRPr="00D40600">
        <w:rPr>
          <w:vertAlign w:val="superscript"/>
        </w:rPr>
        <w:t>th</w:t>
      </w:r>
      <w:r w:rsidRPr="00D40600">
        <w:t xml:space="preserve"> largest firm in 2008, with an estimated 13.2 million subscribers). AT&amp;T acquired Centennial in Nov. 2009 (the 9</w:t>
      </w:r>
      <w:r w:rsidRPr="00D40600">
        <w:rPr>
          <w:vertAlign w:val="superscript"/>
        </w:rPr>
        <w:t>th</w:t>
      </w:r>
      <w:r w:rsidRPr="00D40600">
        <w:t xml:space="preserve"> largest firm in 2008 with an estimated 1.1 million subscribers).  </w:t>
      </w:r>
    </w:p>
  </w:footnote>
  <w:footnote w:id="165">
    <w:p w:rsidR="00EC7CF3" w:rsidRDefault="00EC7CF3" w:rsidP="00FE1B51">
      <w:pPr>
        <w:pStyle w:val="FootnoteText"/>
      </w:pPr>
      <w:r>
        <w:rPr>
          <w:rStyle w:val="FootnoteReference"/>
        </w:rPr>
        <w:footnoteRef/>
      </w:r>
      <w:r>
        <w:t xml:space="preserve"> </w:t>
      </w:r>
      <w:r>
        <w:rPr>
          <w:sz w:val="22"/>
          <w:szCs w:val="22"/>
        </w:rPr>
        <w:t xml:space="preserve"> </w:t>
      </w:r>
      <w:r>
        <w:t xml:space="preserve">In its 2012 Q2 10Q, Verizon Wireless stated “Retail (non-wholesale) customers are customers directly served and managed by Verizon Wireless that use its branded services.”  </w:t>
      </w:r>
      <w:r w:rsidRPr="00296FBE">
        <w:t>See Verizon Wireless, SEC Form 10Q for the quarter ended June 30, 2012, filed</w:t>
      </w:r>
      <w:r>
        <w:t xml:space="preserve"> July 30, 2012.  Verizon last reported the wholesale connections of Verizon Wireless in 2011 when it reported approximately 15.6 million wholesale and other connections.  Verizon, </w:t>
      </w:r>
      <w:r w:rsidRPr="00D40600">
        <w:t>SEC Form 10-K for the fiscal year ended December 31, 2011</w:t>
      </w:r>
      <w:r>
        <w:t>, Exhibit 13</w:t>
      </w:r>
      <w:r w:rsidRPr="00D40600">
        <w:t>.</w:t>
      </w:r>
    </w:p>
  </w:footnote>
  <w:footnote w:id="166">
    <w:p w:rsidR="00EC7CF3" w:rsidRDefault="00EC7CF3" w:rsidP="00FE1B51">
      <w:pPr>
        <w:pStyle w:val="FootnoteText"/>
      </w:pPr>
      <w:r>
        <w:rPr>
          <w:rStyle w:val="FootnoteReference"/>
        </w:rPr>
        <w:footnoteRef/>
      </w:r>
      <w:r>
        <w:t xml:space="preserve"> Well-known industry analyst reports attribute all connections to facilities-based providers.  </w:t>
      </w:r>
      <w:r w:rsidRPr="00296FBE">
        <w:rPr>
          <w:i/>
        </w:rPr>
        <w:t>See</w:t>
      </w:r>
      <w:r>
        <w:t xml:space="preserve">, </w:t>
      </w:r>
      <w:r w:rsidRPr="00296FBE">
        <w:rPr>
          <w:i/>
        </w:rPr>
        <w:t>e.g</w:t>
      </w:r>
      <w:r>
        <w:t>., Bank of America Merrill Lynch, 3Q12 US Wireless Matrix: Verizon sweeps the quarter, Nov. 15, 2012; UBS Investment Research, US Wireless 411: Version 44.0, Aug. 14, 2012.</w:t>
      </w:r>
    </w:p>
  </w:footnote>
  <w:footnote w:id="167">
    <w:p w:rsidR="00EC7CF3" w:rsidRDefault="00EC7CF3" w:rsidP="005C70A5">
      <w:pPr>
        <w:pStyle w:val="FootnoteText"/>
      </w:pPr>
      <w:r w:rsidRPr="00D40600">
        <w:rPr>
          <w:rStyle w:val="FootnoteReference"/>
          <w:sz w:val="20"/>
        </w:rPr>
        <w:footnoteRef/>
      </w:r>
      <w:r w:rsidRPr="00D40600">
        <w:t xml:space="preserve"> Sources include publicly-available company documents such as annual reports and SEC filings.  </w:t>
      </w:r>
      <w:r>
        <w:t xml:space="preserve">Verizon revised its reported subscribers for 2009, 2010 and 2011and now only reports retail connections.  </w:t>
      </w:r>
      <w:r w:rsidRPr="00D40600">
        <w:t xml:space="preserve">Claro, a facilities-based provider that serves Puerto Rico, has substantial connections.  Currently, América Móvil reports Claro mobile wireless connections for its entire Caribbean service area and does not break out Puerto Rico.  </w:t>
      </w:r>
      <w:r w:rsidRPr="00D40600">
        <w:rPr>
          <w:i/>
        </w:rPr>
        <w:t>See also</w:t>
      </w:r>
      <w:r w:rsidRPr="00D40600">
        <w:t xml:space="preserve"> Claro, </w:t>
      </w:r>
      <w:hyperlink r:id="rId37" w:history="1">
        <w:r w:rsidRPr="00D40600">
          <w:rPr>
            <w:rStyle w:val="Hyperlink"/>
          </w:rPr>
          <w:t>http://www.telefonicapr.com/</w:t>
        </w:r>
      </w:hyperlink>
      <w:r w:rsidRPr="00D40600">
        <w:t xml:space="preserve"> (reporting total subscribers for combined wireless and wireline operations.).   </w:t>
      </w:r>
    </w:p>
  </w:footnote>
  <w:footnote w:id="168">
    <w:p w:rsidR="00EC7CF3" w:rsidRDefault="00EC7CF3" w:rsidP="005C70A5">
      <w:pPr>
        <w:pStyle w:val="FootnoteText"/>
      </w:pPr>
      <w:r w:rsidRPr="00D40600">
        <w:rPr>
          <w:rStyle w:val="FootnoteReference"/>
          <w:sz w:val="20"/>
        </w:rPr>
        <w:footnoteRef/>
      </w:r>
      <w:r w:rsidRPr="00D40600">
        <w:t xml:space="preserve"> Sprint customers include customers on Sprint’s iDEN and CDMA networks.</w:t>
      </w:r>
    </w:p>
  </w:footnote>
  <w:footnote w:id="169">
    <w:p w:rsidR="00EC7CF3" w:rsidRDefault="00EC7CF3" w:rsidP="005C70A5">
      <w:pPr>
        <w:pStyle w:val="FootnoteText"/>
      </w:pPr>
      <w:r w:rsidRPr="00D40600">
        <w:rPr>
          <w:rStyle w:val="FootnoteReference"/>
          <w:sz w:val="20"/>
        </w:rPr>
        <w:footnoteRef/>
      </w:r>
      <w:r w:rsidRPr="00D40600">
        <w:t xml:space="preserve"> Clearwire customers include 9,123,000 wholesale connections, most of which are also Sprint retail connections Some Sprint data plans include coverage on both Sprint’s CDMA network and Clearwire’s WiMAX network.  Clearwire customers include a small, unknown number of customers on Clearwire’s legacy fixed wireless network.</w:t>
      </w:r>
    </w:p>
  </w:footnote>
  <w:footnote w:id="170">
    <w:p w:rsidR="00EC7CF3" w:rsidRDefault="00EC7CF3" w:rsidP="005C70A5">
      <w:pPr>
        <w:pStyle w:val="FootnoteText"/>
      </w:pPr>
      <w:r w:rsidRPr="00D40600">
        <w:rPr>
          <w:rStyle w:val="FootnoteReference"/>
          <w:sz w:val="20"/>
        </w:rPr>
        <w:footnoteRef/>
      </w:r>
      <w:r w:rsidRPr="00D40600">
        <w:t xml:space="preserve"> </w:t>
      </w:r>
      <w:r w:rsidRPr="00D40600">
        <w:rPr>
          <w:i/>
          <w:snapToGrid w:val="0"/>
        </w:rPr>
        <w:t>See</w:t>
      </w:r>
      <w:r w:rsidRPr="00D40600">
        <w:rPr>
          <w:snapToGrid w:val="0"/>
        </w:rPr>
        <w:t xml:space="preserve"> C Spire Wireless, </w:t>
      </w:r>
      <w:hyperlink r:id="rId38" w:history="1">
        <w:r w:rsidRPr="00D40600">
          <w:rPr>
            <w:rStyle w:val="Hyperlink"/>
            <w:snapToGrid w:val="0"/>
          </w:rPr>
          <w:t>http://www.cspire.com/company_info/about/more_info.jsp</w:t>
        </w:r>
      </w:hyperlink>
      <w:r w:rsidRPr="00D40600">
        <w:rPr>
          <w:snapToGrid w:val="0"/>
        </w:rPr>
        <w:t xml:space="preserve">, visited </w:t>
      </w:r>
      <w:r>
        <w:rPr>
          <w:snapToGrid w:val="0"/>
        </w:rPr>
        <w:t>Nov.</w:t>
      </w:r>
      <w:r w:rsidRPr="00D40600">
        <w:rPr>
          <w:snapToGrid w:val="0"/>
        </w:rPr>
        <w:t xml:space="preserve"> </w:t>
      </w:r>
      <w:r>
        <w:rPr>
          <w:snapToGrid w:val="0"/>
        </w:rPr>
        <w:t>21</w:t>
      </w:r>
      <w:r w:rsidRPr="00D40600">
        <w:rPr>
          <w:snapToGrid w:val="0"/>
        </w:rPr>
        <w:t>, 2012 (stating, “The company has nearly 1 million subscribers and continues to experience strong, steady growth.”).</w:t>
      </w:r>
    </w:p>
  </w:footnote>
  <w:footnote w:id="171">
    <w:p w:rsidR="00EC7CF3" w:rsidRDefault="00EC7CF3" w:rsidP="00762ABD">
      <w:pPr>
        <w:pStyle w:val="FootnoteText"/>
      </w:pPr>
      <w:r w:rsidRPr="00D40600">
        <w:rPr>
          <w:rStyle w:val="FootnoteReference"/>
          <w:sz w:val="20"/>
        </w:rPr>
        <w:footnoteRef/>
      </w:r>
      <w:r w:rsidRPr="00D40600">
        <w:t xml:space="preserve"> The HHI is calculated by summing the squares of all provider subscriber shares in the EA.  Thus, if a single firm supplies the market, the HHI = 10,000 (100 x 100). </w:t>
      </w:r>
      <w:r>
        <w:t xml:space="preserve"> </w:t>
      </w:r>
      <w:r w:rsidRPr="00D40600">
        <w:t>If there are ten providers, each with ten percent of the market, the value of HHI would be 1,000 [(10)</w:t>
      </w:r>
      <w:r w:rsidRPr="00D40600">
        <w:rPr>
          <w:vertAlign w:val="superscript"/>
        </w:rPr>
        <w:t>2</w:t>
      </w:r>
      <w:r w:rsidRPr="00D40600">
        <w:t xml:space="preserve"> x 10].  As the structure of a market becomes progressively more atomistic, the value of HHI approaches 0.  For a given number of firms, the value of the HHI increases as the inequality in subscriber shares increases.  For example, if four carriers are identified as participants in the relevant markets and each carrier accounts for 25 percent of total sales, the value of HHI would be 2500 [(25)</w:t>
      </w:r>
      <w:r w:rsidRPr="00D40600">
        <w:rPr>
          <w:vertAlign w:val="superscript"/>
        </w:rPr>
        <w:t>2</w:t>
      </w:r>
      <w:r w:rsidRPr="00D40600">
        <w:t xml:space="preserve"> x 4].  If there are still only four carriers but the top carrier has a 40 percent subscriber share while each of the remaining three carriers has 20 percent, the value of HHI  increases from 2500 to 2800 [(40)</w:t>
      </w:r>
      <w:r w:rsidRPr="00D40600">
        <w:rPr>
          <w:vertAlign w:val="superscript"/>
        </w:rPr>
        <w:t>2</w:t>
      </w:r>
      <w:r w:rsidRPr="00D40600">
        <w:t xml:space="preserve"> + ((20)</w:t>
      </w:r>
      <w:r w:rsidRPr="00D40600">
        <w:rPr>
          <w:vertAlign w:val="superscript"/>
        </w:rPr>
        <w:t>2</w:t>
      </w:r>
      <w:r w:rsidRPr="00D40600">
        <w:t xml:space="preserve"> x 3)].</w:t>
      </w:r>
    </w:p>
  </w:footnote>
  <w:footnote w:id="172">
    <w:p w:rsidR="00EC7CF3" w:rsidRDefault="00EC7CF3" w:rsidP="00762ABD">
      <w:pPr>
        <w:pStyle w:val="FootnoteText"/>
      </w:pPr>
      <w:r w:rsidRPr="00D40600">
        <w:rPr>
          <w:rStyle w:val="FootnoteReference"/>
          <w:sz w:val="20"/>
        </w:rPr>
        <w:footnoteRef/>
      </w:r>
      <w:r w:rsidRPr="00D40600">
        <w:t xml:space="preserve"> The antitrust authorities (Department of Justice and the Federal Trade Commission) as well as the Commission use HHIs in their competitive review of mergers.  On August 19, 2010, the DOJ and FTC issued new merger guidelines whereby the proposed transaction would come under scrutiny if the HHI is currently above 2500, and the merger would lead the HHI to increase by 100 – 200 points, </w:t>
      </w:r>
      <w:r w:rsidRPr="00D40600">
        <w:rPr>
          <w:i/>
        </w:rPr>
        <w:t>Horizontal Merger Guidelines</w:t>
      </w:r>
      <w:r w:rsidRPr="00D40600">
        <w:t xml:space="preserve">, U.S. Department of Justice and the Federal Trade Commission, </w:t>
      </w:r>
      <w:hyperlink r:id="rId39" w:history="1">
        <w:r w:rsidRPr="008C6947">
          <w:rPr>
            <w:rStyle w:val="Hyperlink"/>
          </w:rPr>
          <w:t>http://www.justice.gov/atr/public/guidelines/hmg-2010.pdf</w:t>
        </w:r>
      </w:hyperlink>
      <w:r>
        <w:t xml:space="preserve"> (visited Dec 13, 2012)</w:t>
      </w:r>
      <w:r w:rsidRPr="00D40600">
        <w:t xml:space="preserve">.  In reviewing mobile wireless applications the Commission has also applied an HHI screen.  The Commission’s HHI screen flags markets for further competitive review if the HHI is 2800 with a change from the pre to the post transaction HHI of 100 or greater or a change of 250 or greater regardless of the initial HHI.  </w:t>
      </w:r>
      <w:r w:rsidRPr="00D40600">
        <w:rPr>
          <w:i/>
        </w:rPr>
        <w:t>See</w:t>
      </w:r>
      <w:r w:rsidRPr="00D40600">
        <w:t xml:space="preserve"> Applications of AT&amp;T Wireless Services, Inc., Transferor, and Cingular Wireless Corp., Transferee, </w:t>
      </w:r>
      <w:r w:rsidRPr="00D40600">
        <w:rPr>
          <w:i/>
        </w:rPr>
        <w:t>Memorandum Opinion and Order</w:t>
      </w:r>
      <w:r w:rsidRPr="00D40600">
        <w:t>, 19 FCC Rcd 21522 (2004); Applications of AT&amp;T Inc. and Cellco Partnership d/b/a Verizon Wireless for Consent to Assign or Transfer Control of Licenses and Authorizations and Modify a Spectrum Leasing Arrangement, WT Docket No. 09-104,</w:t>
      </w:r>
      <w:r w:rsidRPr="00D40600">
        <w:rPr>
          <w:i/>
        </w:rPr>
        <w:t xml:space="preserve"> Memorandum Opinion and Order</w:t>
      </w:r>
      <w:r w:rsidRPr="00D40600">
        <w:t>, 25 FCC Rcd 8704 (2010).</w:t>
      </w:r>
    </w:p>
  </w:footnote>
  <w:footnote w:id="173">
    <w:p w:rsidR="00EC7CF3" w:rsidRDefault="00EC7CF3" w:rsidP="00762ABD">
      <w:pPr>
        <w:pStyle w:val="FootnoteText"/>
      </w:pPr>
      <w:r w:rsidRPr="00D40600">
        <w:rPr>
          <w:rStyle w:val="FootnoteReference"/>
          <w:sz w:val="20"/>
        </w:rPr>
        <w:footnoteRef/>
      </w:r>
      <w:r w:rsidRPr="00D40600">
        <w:t xml:space="preserve"> </w:t>
      </w:r>
      <w:r w:rsidRPr="00D40600">
        <w:rPr>
          <w:i/>
          <w:iCs/>
        </w:rPr>
        <w:t>See Horizontal Merger Guidelines</w:t>
      </w:r>
      <w:r w:rsidRPr="00D40600">
        <w:t xml:space="preserve">, United States Department of Justice and the Federal Trade Commission, </w:t>
      </w:r>
      <w:hyperlink r:id="rId40" w:history="1">
        <w:r w:rsidRPr="008C6947">
          <w:rPr>
            <w:rStyle w:val="Hyperlink"/>
          </w:rPr>
          <w:t>http://www.justice.gov/atr/public/guidelines/hmg-2010.pdf  (visited</w:t>
        </w:r>
      </w:hyperlink>
      <w:r w:rsidRPr="002F43C4">
        <w:t xml:space="preserve"> </w:t>
      </w:r>
      <w:r>
        <w:t>Dec. 12, 2012).</w:t>
      </w:r>
      <w:r w:rsidRPr="00D40600">
        <w:t xml:space="preserve">  </w:t>
      </w:r>
    </w:p>
  </w:footnote>
  <w:footnote w:id="174">
    <w:p w:rsidR="00EC7CF3" w:rsidRDefault="00EC7CF3" w:rsidP="00762ABD">
      <w:pPr>
        <w:pStyle w:val="FootnoteText"/>
      </w:pPr>
      <w:r w:rsidRPr="00D40600">
        <w:rPr>
          <w:rStyle w:val="FootnoteReference"/>
          <w:sz w:val="20"/>
        </w:rPr>
        <w:footnoteRef/>
      </w:r>
      <w:r w:rsidRPr="00D40600">
        <w:t xml:space="preserve"> </w:t>
      </w:r>
      <w:r w:rsidRPr="00D40600">
        <w:rPr>
          <w:i/>
          <w:iCs/>
        </w:rPr>
        <w:t>See</w:t>
      </w:r>
      <w:r w:rsidRPr="00D40600">
        <w:t xml:space="preserve"> Section </w:t>
      </w:r>
      <w:r w:rsidR="00951E9B">
        <w:fldChar w:fldCharType="begin"/>
      </w:r>
      <w:r w:rsidR="00951E9B">
        <w:instrText xml:space="preserve"> REF _Ref256582447 \w  \* MERGEFORMAT </w:instrText>
      </w:r>
      <w:r w:rsidR="00951E9B">
        <w:fldChar w:fldCharType="separate"/>
      </w:r>
      <w:r>
        <w:t>III.A</w:t>
      </w:r>
      <w:r w:rsidR="00951E9B">
        <w:fldChar w:fldCharType="end"/>
      </w:r>
      <w:r w:rsidRPr="00D40600">
        <w:t xml:space="preserve">, </w:t>
      </w:r>
      <w:r w:rsidR="00951E9B">
        <w:fldChar w:fldCharType="begin"/>
      </w:r>
      <w:r w:rsidR="00951E9B">
        <w:instrText xml:space="preserve"> REF _Ref256582450  \* MERGEFORMAT </w:instrText>
      </w:r>
      <w:r w:rsidR="00951E9B">
        <w:fldChar w:fldCharType="separate"/>
      </w:r>
      <w:r w:rsidRPr="00812144">
        <w:t>Introduction</w:t>
      </w:r>
      <w:r w:rsidR="00951E9B">
        <w:fldChar w:fldCharType="end"/>
      </w:r>
      <w:r w:rsidRPr="00D40600">
        <w:rPr>
          <w:bCs/>
        </w:rPr>
        <w:t xml:space="preserve">, </w:t>
      </w:r>
      <w:r w:rsidRPr="00D40600">
        <w:rPr>
          <w:bCs/>
          <w:i/>
          <w:iCs/>
        </w:rPr>
        <w:t>supra</w:t>
      </w:r>
      <w:r w:rsidRPr="00D40600">
        <w:rPr>
          <w:bCs/>
        </w:rPr>
        <w:t xml:space="preserve">.  As discussed in Section </w:t>
      </w:r>
      <w:r w:rsidR="00951E9B">
        <w:fldChar w:fldCharType="begin"/>
      </w:r>
      <w:r w:rsidR="00951E9B">
        <w:instrText xml:space="preserve"> REF _Ref256582542 \r  \* MERGEFORMAT </w:instrText>
      </w:r>
      <w:r w:rsidR="00951E9B">
        <w:fldChar w:fldCharType="separate"/>
      </w:r>
      <w:r w:rsidRPr="00CA3AC6">
        <w:rPr>
          <w:bCs/>
        </w:rPr>
        <w:t>V.A</w:t>
      </w:r>
      <w:r w:rsidR="00951E9B">
        <w:rPr>
          <w:bCs/>
        </w:rPr>
        <w:fldChar w:fldCharType="end"/>
      </w:r>
      <w:r w:rsidRPr="00D40600">
        <w:rPr>
          <w:bCs/>
        </w:rPr>
        <w:t xml:space="preserve">, </w:t>
      </w:r>
      <w:fldSimple w:instr=" REF _Ref256582542  \* MERGEFORMAT ">
        <w:r w:rsidRPr="00F90B33">
          <w:t>Numbers of Mobile Wireless Connections</w:t>
        </w:r>
        <w:r w:rsidRPr="00CA3AC6">
          <w:rPr>
            <w:sz w:val="22"/>
            <w:szCs w:val="22"/>
          </w:rPr>
          <w:t xml:space="preserve"> </w:t>
        </w:r>
      </w:fldSimple>
      <w:r w:rsidRPr="00D40600">
        <w:rPr>
          <w:bCs/>
        </w:rPr>
        <w:t xml:space="preserve">, </w:t>
      </w:r>
      <w:r w:rsidRPr="00D40600">
        <w:rPr>
          <w:bCs/>
          <w:i/>
        </w:rPr>
        <w:t>infra</w:t>
      </w:r>
      <w:r w:rsidRPr="00D40600">
        <w:rPr>
          <w:bCs/>
        </w:rPr>
        <w:t xml:space="preserve">, the NRUF data used to calculate the HHIs provide an estimate of the number of mobile wireless connections or connected devices, rather than an estimate of the number of individual subscribers.  </w:t>
      </w:r>
    </w:p>
  </w:footnote>
  <w:footnote w:id="175">
    <w:p w:rsidR="00EC7CF3" w:rsidRDefault="00EC7CF3" w:rsidP="00762ABD">
      <w:pPr>
        <w:pStyle w:val="FootnoteText"/>
      </w:pPr>
      <w:r w:rsidRPr="00D40600">
        <w:rPr>
          <w:rStyle w:val="FootnoteReference"/>
          <w:sz w:val="20"/>
        </w:rPr>
        <w:footnoteRef/>
      </w:r>
      <w:r w:rsidRPr="00D40600">
        <w:t xml:space="preserve"> The methodology used to compile NRUF data is described in Section </w:t>
      </w:r>
      <w:r w:rsidR="00951E9B">
        <w:fldChar w:fldCharType="begin"/>
      </w:r>
      <w:r w:rsidR="00951E9B">
        <w:instrText xml:space="preserve"> REF _Ref256582542 \r  \* MERGEFORMAT </w:instrText>
      </w:r>
      <w:r w:rsidR="00951E9B">
        <w:fldChar w:fldCharType="separate"/>
      </w:r>
      <w:r w:rsidRPr="00CA3AC6">
        <w:rPr>
          <w:bCs/>
        </w:rPr>
        <w:t>V.A</w:t>
      </w:r>
      <w:r w:rsidR="00951E9B">
        <w:rPr>
          <w:bCs/>
        </w:rPr>
        <w:fldChar w:fldCharType="end"/>
      </w:r>
      <w:r w:rsidRPr="00D40600">
        <w:t xml:space="preserve">, </w:t>
      </w:r>
      <w:fldSimple w:instr=" REF _Ref256582542  \* MERGEFORMAT ">
        <w:r w:rsidRPr="00F90B33">
          <w:t>Numbers of Mobile Wireless Connections</w:t>
        </w:r>
        <w:r w:rsidRPr="00CA3AC6">
          <w:rPr>
            <w:sz w:val="22"/>
            <w:szCs w:val="22"/>
          </w:rPr>
          <w:t xml:space="preserve"> </w:t>
        </w:r>
      </w:fldSimple>
      <w:r w:rsidRPr="00D40600">
        <w:rPr>
          <w:bCs/>
        </w:rPr>
        <w:t xml:space="preserve">, </w:t>
      </w:r>
      <w:r w:rsidRPr="00D40600">
        <w:rPr>
          <w:bCs/>
          <w:i/>
          <w:iCs/>
        </w:rPr>
        <w:t>infra</w:t>
      </w:r>
      <w:r>
        <w:rPr>
          <w:bCs/>
        </w:rPr>
        <w:t xml:space="preserve">.  </w:t>
      </w:r>
      <w:r w:rsidRPr="00D40600">
        <w:t>Clearwire reported that it had 1,292,000 retail customers and 9,123,000 wholesale</w:t>
      </w:r>
      <w:r>
        <w:t xml:space="preserve"> customers at the end of 2011.   </w:t>
      </w:r>
      <w:r w:rsidRPr="00D40600">
        <w:t xml:space="preserve">Clearwire states that “Sprint accounts for substantially all of our wholesale sales to date.”  See SEC, Clearwire Form-10K for the fiscal year ended 2011, at 50, 52.  </w:t>
      </w:r>
    </w:p>
  </w:footnote>
  <w:footnote w:id="176">
    <w:p w:rsidR="00EC7CF3" w:rsidRDefault="00EC7CF3" w:rsidP="00762ABD">
      <w:pPr>
        <w:pStyle w:val="FootnoteText"/>
      </w:pPr>
      <w:r w:rsidRPr="00D40600">
        <w:rPr>
          <w:rStyle w:val="FootnoteReference"/>
          <w:sz w:val="20"/>
        </w:rPr>
        <w:footnoteRef/>
      </w:r>
      <w:r w:rsidRPr="00D40600">
        <w:t xml:space="preserve"> </w:t>
      </w:r>
      <w:r w:rsidRPr="00D40600">
        <w:rPr>
          <w:i/>
        </w:rPr>
        <w:t>See</w:t>
      </w:r>
      <w:r w:rsidRPr="00D40600">
        <w:t xml:space="preserve"> Section V.A, </w:t>
      </w:r>
      <w:fldSimple w:instr=" REF _Ref256582542  \* MERGEFORMAT ">
        <w:r w:rsidRPr="00F90B33">
          <w:t xml:space="preserve">Numbers of Mobile Wireless Connections </w:t>
        </w:r>
      </w:fldSimple>
      <w:r w:rsidRPr="00D40600">
        <w:t xml:space="preserve">, </w:t>
      </w:r>
      <w:r w:rsidRPr="00D40600">
        <w:rPr>
          <w:i/>
        </w:rPr>
        <w:t>infra</w:t>
      </w:r>
      <w:r w:rsidRPr="00D40600">
        <w:t>.</w:t>
      </w:r>
    </w:p>
  </w:footnote>
  <w:footnote w:id="177">
    <w:p w:rsidR="00EC7CF3" w:rsidRDefault="00EC7CF3" w:rsidP="00762ABD">
      <w:pPr>
        <w:pStyle w:val="FootnoteText"/>
      </w:pPr>
      <w:r w:rsidRPr="00D40600">
        <w:rPr>
          <w:rStyle w:val="FootnoteReference"/>
          <w:sz w:val="20"/>
        </w:rPr>
        <w:footnoteRef/>
      </w:r>
      <w:r w:rsidRPr="00D40600">
        <w:t xml:space="preserve"> Based on publicly available information about Clearwire’s customers, </w:t>
      </w:r>
      <w:r w:rsidRPr="00D40600">
        <w:rPr>
          <w:i/>
        </w:rPr>
        <w:t>see</w:t>
      </w:r>
      <w:r w:rsidRPr="00D40600">
        <w:t xml:space="preserve"> Section III.D.2 </w:t>
      </w:r>
      <w:r w:rsidRPr="00D40600">
        <w:rPr>
          <w:i/>
        </w:rPr>
        <w:t>supra</w:t>
      </w:r>
      <w:r w:rsidRPr="00D40600">
        <w:t>, its exclusion is not likely to have a material effect on the HHI estimates.</w:t>
      </w:r>
    </w:p>
  </w:footnote>
  <w:footnote w:id="178">
    <w:p w:rsidR="00EC7CF3" w:rsidRDefault="00EC7CF3" w:rsidP="00762ABD">
      <w:pPr>
        <w:pStyle w:val="FootnoteText"/>
      </w:pPr>
      <w:r w:rsidRPr="00D40600">
        <w:rPr>
          <w:rStyle w:val="FootnoteReference"/>
          <w:sz w:val="20"/>
        </w:rPr>
        <w:footnoteRef/>
      </w:r>
      <w:r w:rsidRPr="00D40600">
        <w:t xml:space="preserve"> </w:t>
      </w:r>
      <w:r w:rsidRPr="00D40600">
        <w:rPr>
          <w:i/>
        </w:rPr>
        <w:t>See</w:t>
      </w:r>
      <w:r w:rsidRPr="00D40600">
        <w:t xml:space="preserve"> </w:t>
      </w:r>
      <w:r>
        <w:fldChar w:fldCharType="begin"/>
      </w:r>
      <w:r>
        <w:instrText xml:space="preserve"> REF _Ref323813042 \h  \* MERGEFORMAT </w:instrText>
      </w:r>
      <w:r>
        <w:fldChar w:fldCharType="separate"/>
      </w:r>
      <w:r w:rsidRPr="00CA3AC6">
        <w:t>Table 1</w:t>
      </w:r>
      <w:r>
        <w:fldChar w:fldCharType="end"/>
      </w:r>
      <w:r w:rsidRPr="00D40600">
        <w:t>, n.122.</w:t>
      </w:r>
      <w:r>
        <w:t xml:space="preserve">  </w:t>
      </w:r>
      <w:r w:rsidRPr="00176B6E">
        <w:rPr>
          <w:i/>
        </w:rPr>
        <w:t>See</w:t>
      </w:r>
      <w:r>
        <w:t xml:space="preserve"> Section </w:t>
      </w:r>
      <w:r>
        <w:fldChar w:fldCharType="begin"/>
      </w:r>
      <w:r>
        <w:instrText xml:space="preserve"> REF _Ref342485743 \w \h </w:instrText>
      </w:r>
      <w:r>
        <w:fldChar w:fldCharType="separate"/>
      </w:r>
      <w:r>
        <w:t>III.D.1</w:t>
      </w:r>
      <w:r>
        <w:fldChar w:fldCharType="end"/>
      </w:r>
      <w:r>
        <w:t xml:space="preserve">. Market Shares, </w:t>
      </w:r>
      <w:r w:rsidRPr="002F43C4">
        <w:rPr>
          <w:i/>
        </w:rPr>
        <w:t>supra</w:t>
      </w:r>
      <w:r>
        <w:t>, for a discussion of how service providers do not follow the same reporting conventions for wholesale connections.</w:t>
      </w:r>
    </w:p>
  </w:footnote>
  <w:footnote w:id="179">
    <w:p w:rsidR="00EC7CF3" w:rsidRDefault="00EC7CF3" w:rsidP="00762ABD">
      <w:pPr>
        <w:pStyle w:val="FootnoteText"/>
      </w:pPr>
      <w:r w:rsidRPr="00D40600">
        <w:rPr>
          <w:rStyle w:val="FootnoteReference"/>
          <w:sz w:val="20"/>
        </w:rPr>
        <w:footnoteRef/>
      </w:r>
      <w:r w:rsidRPr="00D40600">
        <w:t xml:space="preserve"> See Section </w:t>
      </w:r>
      <w:r>
        <w:fldChar w:fldCharType="begin"/>
      </w:r>
      <w:r>
        <w:instrText xml:space="preserve"> REF _Ref329247496 \w \h  \* MERGEFORMAT </w:instrText>
      </w:r>
      <w:r>
        <w:fldChar w:fldCharType="separate"/>
      </w:r>
      <w:r>
        <w:t>III.B.2</w:t>
      </w:r>
      <w:r>
        <w:fldChar w:fldCharType="end"/>
      </w:r>
      <w:r w:rsidRPr="00D40600">
        <w:t xml:space="preserve">, </w:t>
      </w:r>
      <w:r>
        <w:fldChar w:fldCharType="begin"/>
      </w:r>
      <w:r>
        <w:instrText xml:space="preserve"> REF _Ref329247509 \h  \* MERGEFORMAT </w:instrText>
      </w:r>
      <w:r>
        <w:fldChar w:fldCharType="separate"/>
      </w:r>
      <w:r w:rsidRPr="00CA3AC6">
        <w:t>Resale and MVNO Providers</w:t>
      </w:r>
      <w:r>
        <w:fldChar w:fldCharType="end"/>
      </w:r>
      <w:r w:rsidRPr="00D40600">
        <w:t>,</w:t>
      </w:r>
      <w:r>
        <w:t xml:space="preserve"> </w:t>
      </w:r>
      <w:r w:rsidRPr="002F43C4">
        <w:rPr>
          <w:i/>
        </w:rPr>
        <w:t>supra</w:t>
      </w:r>
      <w:r>
        <w:rPr>
          <w:i/>
        </w:rPr>
        <w:t>,</w:t>
      </w:r>
      <w:r w:rsidRPr="00D40600">
        <w:t xml:space="preserve"> for a discussion of the degree to which the competitiveness of the mobile wireless market is increased by the presence of resellers and MVNOs relative to a market scenario in which they are absent.</w:t>
      </w:r>
    </w:p>
  </w:footnote>
  <w:footnote w:id="180">
    <w:p w:rsidR="00EC7CF3" w:rsidRDefault="00EC7CF3" w:rsidP="00762ABD">
      <w:pPr>
        <w:pStyle w:val="FootnoteText"/>
      </w:pPr>
      <w:r w:rsidRPr="00D40600">
        <w:rPr>
          <w:rStyle w:val="FootnoteReference"/>
          <w:sz w:val="20"/>
        </w:rPr>
        <w:footnoteRef/>
      </w:r>
      <w:r w:rsidRPr="00D40600">
        <w:t xml:space="preserve"> </w:t>
      </w:r>
      <w:r w:rsidRPr="00D40600">
        <w:rPr>
          <w:i/>
        </w:rPr>
        <w:t>See, e.g</w:t>
      </w:r>
      <w:r w:rsidRPr="00D40600">
        <w:t xml:space="preserve">., Glen Campbell, </w:t>
      </w:r>
      <w:r w:rsidRPr="00D40600">
        <w:rPr>
          <w:i/>
        </w:rPr>
        <w:t>Get Ready for the Wireless Revenue Bounce</w:t>
      </w:r>
      <w:r w:rsidRPr="00D40600">
        <w:t>, Bank of America, Global Wireless Matrix 4Q09, Dec. 13, 2009, at 10, 198 (</w:t>
      </w:r>
      <w:r w:rsidRPr="00D40600">
        <w:rPr>
          <w:i/>
        </w:rPr>
        <w:t>Bank of America Global Wireless Matrix 4Q09</w:t>
      </w:r>
      <w:r w:rsidRPr="00D40600">
        <w:t xml:space="preserve">); John C. Hodulik, </w:t>
      </w:r>
      <w:r w:rsidRPr="00D40600">
        <w:rPr>
          <w:i/>
        </w:rPr>
        <w:t>et al</w:t>
      </w:r>
      <w:r w:rsidRPr="00D40600">
        <w:t xml:space="preserve">., </w:t>
      </w:r>
      <w:r w:rsidRPr="00D40600">
        <w:rPr>
          <w:i/>
        </w:rPr>
        <w:t>US Wireless 411, Version 43.0</w:t>
      </w:r>
      <w:r w:rsidRPr="00D40600">
        <w:t>, UBS, UBS Investment Research, Mar. 7, 2012 at 18 (</w:t>
      </w:r>
      <w:r w:rsidRPr="00D40600">
        <w:rPr>
          <w:i/>
        </w:rPr>
        <w:t>US Wireless 411 4Q11</w:t>
      </w:r>
      <w:r w:rsidRPr="00D40600">
        <w:t xml:space="preserve">).   </w:t>
      </w:r>
    </w:p>
  </w:footnote>
  <w:footnote w:id="181">
    <w:p w:rsidR="00EC7CF3" w:rsidRDefault="00EC7CF3" w:rsidP="00762ABD">
      <w:pPr>
        <w:pStyle w:val="FootnoteText"/>
      </w:pPr>
      <w:r w:rsidRPr="00D40600">
        <w:rPr>
          <w:rStyle w:val="FootnoteReference"/>
          <w:sz w:val="20"/>
        </w:rPr>
        <w:footnoteRef/>
      </w:r>
      <w:r w:rsidRPr="00D40600">
        <w:t xml:space="preserve"> Letting </w:t>
      </w:r>
      <w:r w:rsidRPr="00D40600">
        <w:rPr>
          <w:i/>
        </w:rPr>
        <w:t>P</w:t>
      </w:r>
      <w:r w:rsidRPr="00D40600">
        <w:rPr>
          <w:vertAlign w:val="subscript"/>
        </w:rPr>
        <w:t>i</w:t>
      </w:r>
      <w:r w:rsidRPr="00D40600">
        <w:t xml:space="preserve"> be the population in the </w:t>
      </w:r>
      <w:r w:rsidRPr="00D40600">
        <w:rPr>
          <w:i/>
        </w:rPr>
        <w:t>i</w:t>
      </w:r>
      <w:r w:rsidRPr="00D40600">
        <w:t xml:space="preserve">th EA, </w:t>
      </w:r>
      <w:r w:rsidRPr="00D40600">
        <w:rPr>
          <w:i/>
        </w:rPr>
        <w:t>P</w:t>
      </w:r>
      <w:r w:rsidRPr="00D40600">
        <w:t xml:space="preserve"> be the total population in all 172 EAs, and </w:t>
      </w:r>
      <w:r w:rsidRPr="00D40600">
        <w:rPr>
          <w:i/>
        </w:rPr>
        <w:t>H</w:t>
      </w:r>
      <w:r w:rsidRPr="00D40600">
        <w:rPr>
          <w:vertAlign w:val="subscript"/>
        </w:rPr>
        <w:t>i</w:t>
      </w:r>
      <w:r w:rsidRPr="00D40600">
        <w:t xml:space="preserve"> be the HHI in the </w:t>
      </w:r>
      <w:r w:rsidRPr="00D40600">
        <w:rPr>
          <w:i/>
        </w:rPr>
        <w:t>i</w:t>
      </w:r>
      <w:r w:rsidRPr="00D40600">
        <w:t>th EA, then the population weighted HHI is given by (</w:t>
      </w:r>
      <w:r w:rsidRPr="00D40600">
        <w:rPr>
          <w:i/>
        </w:rPr>
        <w:t>P</w:t>
      </w:r>
      <w:r w:rsidRPr="00D40600">
        <w:rPr>
          <w:vertAlign w:val="subscript"/>
        </w:rPr>
        <w:t>1</w:t>
      </w:r>
      <w:r w:rsidRPr="00D40600">
        <w:rPr>
          <w:i/>
        </w:rPr>
        <w:t xml:space="preserve"> H</w:t>
      </w:r>
      <w:r w:rsidRPr="00D40600">
        <w:rPr>
          <w:vertAlign w:val="subscript"/>
        </w:rPr>
        <w:t>1</w:t>
      </w:r>
      <w:r w:rsidRPr="00D40600">
        <w:t>+</w:t>
      </w:r>
      <w:r w:rsidRPr="00D40600">
        <w:rPr>
          <w:vertAlign w:val="subscript"/>
        </w:rPr>
        <w:t xml:space="preserve"> </w:t>
      </w:r>
      <w:r w:rsidRPr="00D40600">
        <w:rPr>
          <w:i/>
        </w:rPr>
        <w:t>P</w:t>
      </w:r>
      <w:r w:rsidRPr="00D40600">
        <w:rPr>
          <w:vertAlign w:val="subscript"/>
        </w:rPr>
        <w:t>2</w:t>
      </w:r>
      <w:r w:rsidRPr="00D40600">
        <w:rPr>
          <w:i/>
        </w:rPr>
        <w:t xml:space="preserve"> H</w:t>
      </w:r>
      <w:r w:rsidRPr="00D40600">
        <w:rPr>
          <w:vertAlign w:val="subscript"/>
        </w:rPr>
        <w:t>2</w:t>
      </w:r>
      <w:r w:rsidRPr="00D40600">
        <w:t>+…</w:t>
      </w:r>
      <w:r w:rsidRPr="00D40600">
        <w:rPr>
          <w:i/>
        </w:rPr>
        <w:t xml:space="preserve"> P</w:t>
      </w:r>
      <w:r w:rsidRPr="00D40600">
        <w:rPr>
          <w:vertAlign w:val="subscript"/>
        </w:rPr>
        <w:t>172</w:t>
      </w:r>
      <w:r w:rsidRPr="00D40600">
        <w:rPr>
          <w:i/>
        </w:rPr>
        <w:t xml:space="preserve"> H</w:t>
      </w:r>
      <w:r w:rsidRPr="00D40600">
        <w:rPr>
          <w:vertAlign w:val="subscript"/>
        </w:rPr>
        <w:t>172</w:t>
      </w:r>
      <w:r w:rsidRPr="00D40600">
        <w:t>)/</w:t>
      </w:r>
      <w:r w:rsidRPr="00D40600">
        <w:rPr>
          <w:i/>
        </w:rPr>
        <w:t xml:space="preserve">P.  </w:t>
      </w:r>
    </w:p>
  </w:footnote>
  <w:footnote w:id="182">
    <w:p w:rsidR="00EC7CF3" w:rsidRDefault="00EC7CF3" w:rsidP="00762ABD">
      <w:pPr>
        <w:pStyle w:val="FootnoteText"/>
      </w:pPr>
      <w:r w:rsidRPr="00D40600">
        <w:rPr>
          <w:rStyle w:val="FootnoteReference"/>
          <w:sz w:val="20"/>
        </w:rPr>
        <w:footnoteRef/>
      </w:r>
      <w:r w:rsidRPr="00D40600">
        <w:t xml:space="preserve"> </w:t>
      </w:r>
      <w:r w:rsidRPr="00D40600">
        <w:rPr>
          <w:bCs/>
        </w:rPr>
        <w:t xml:space="preserve">Although the Commission typically uses 734 CMAs and 354 Component Economic Areas (CEAs) to calculate the HHI screen in evaluating mobile wireless transactions, we use 172 EAs to calculate HHIs in this </w:t>
      </w:r>
      <w:r w:rsidRPr="00D40600">
        <w:rPr>
          <w:bCs/>
          <w:i/>
        </w:rPr>
        <w:t>Report</w:t>
      </w:r>
      <w:r w:rsidRPr="00D40600">
        <w:rPr>
          <w:bCs/>
        </w:rPr>
        <w:t xml:space="preserve">.  We use EAs in this </w:t>
      </w:r>
      <w:r w:rsidRPr="00D40600">
        <w:rPr>
          <w:bCs/>
          <w:i/>
        </w:rPr>
        <w:t>Report</w:t>
      </w:r>
      <w:r w:rsidRPr="00D40600">
        <w:rPr>
          <w:bCs/>
        </w:rPr>
        <w:t xml:space="preserve"> to maintain continuity with past </w:t>
      </w:r>
      <w:r w:rsidRPr="00D40600">
        <w:rPr>
          <w:bCs/>
          <w:i/>
        </w:rPr>
        <w:t xml:space="preserve">Reports </w:t>
      </w:r>
      <w:r w:rsidRPr="00D40600">
        <w:rPr>
          <w:bCs/>
        </w:rPr>
        <w:t>and to avoid compromising the confidential information found in the NRUF data.</w:t>
      </w:r>
    </w:p>
  </w:footnote>
  <w:footnote w:id="183">
    <w:p w:rsidR="00EC7CF3" w:rsidRDefault="00EC7CF3" w:rsidP="00762ABD">
      <w:pPr>
        <w:pStyle w:val="FootnoteText"/>
      </w:pPr>
      <w:r w:rsidRPr="00D40600">
        <w:rPr>
          <w:rStyle w:val="FootnoteReference"/>
          <w:sz w:val="20"/>
        </w:rPr>
        <w:footnoteRef/>
      </w:r>
      <w:r w:rsidRPr="00D40600">
        <w:t xml:space="preserve"> As discussed in Section II.A, the consumer searches for a mobile wireless provider in the local area where he lives, works, and travels.  In 2009, for example, MetroPCS’s and Leap Wireless’s networks had very little overlapping coverage, and MetroPCS and Leap Wireless were not competitors in the same geographic areas.  </w:t>
      </w:r>
      <w:r w:rsidRPr="00D40600">
        <w:rPr>
          <w:i/>
        </w:rPr>
        <w:t>See</w:t>
      </w:r>
      <w:r w:rsidRPr="00D40600">
        <w:t xml:space="preserve"> ¶ </w:t>
      </w:r>
      <w:r>
        <w:fldChar w:fldCharType="begin"/>
      </w:r>
      <w:r>
        <w:instrText xml:space="preserve"> REF _Ref329093348 \n \h  \* MERGEFORMAT </w:instrText>
      </w:r>
      <w:r>
        <w:fldChar w:fldCharType="separate"/>
      </w:r>
      <w:r>
        <w:t>22</w:t>
      </w:r>
      <w:r>
        <w:fldChar w:fldCharType="end"/>
      </w:r>
      <w:r w:rsidRPr="00D40600">
        <w:t xml:space="preserve">, </w:t>
      </w:r>
      <w:r w:rsidRPr="00D40600">
        <w:rPr>
          <w:i/>
        </w:rPr>
        <w:t>infra</w:t>
      </w:r>
      <w:r w:rsidRPr="00D40600">
        <w:t>.</w:t>
      </w:r>
    </w:p>
  </w:footnote>
  <w:footnote w:id="184">
    <w:p w:rsidR="00EC7CF3" w:rsidRDefault="00EC7CF3" w:rsidP="00762ABD">
      <w:pPr>
        <w:pStyle w:val="FootnoteText"/>
      </w:pPr>
      <w:r w:rsidRPr="00D40600">
        <w:rPr>
          <w:rStyle w:val="FootnoteReference"/>
          <w:sz w:val="20"/>
        </w:rPr>
        <w:footnoteRef/>
      </w:r>
      <w:r w:rsidRPr="00D40600">
        <w:t xml:space="preserve"> </w:t>
      </w:r>
      <w:r w:rsidRPr="00D40600">
        <w:rPr>
          <w:i/>
        </w:rPr>
        <w:t>See</w:t>
      </w:r>
      <w:r w:rsidRPr="00D40600">
        <w:t xml:space="preserve"> Appendix B, Table B-3</w:t>
      </w:r>
      <w:r w:rsidRPr="00D40600">
        <w:rPr>
          <w:i/>
        </w:rPr>
        <w:t>,</w:t>
      </w:r>
      <w:r w:rsidRPr="00D40600">
        <w:t xml:space="preserve"> </w:t>
      </w:r>
      <w:r w:rsidRPr="00D40600">
        <w:rPr>
          <w:i/>
        </w:rPr>
        <w:t>infra</w:t>
      </w:r>
      <w:r w:rsidRPr="00D40600">
        <w:t xml:space="preserve">, for EA subscribership levels, penetration rates, and population densities. </w:t>
      </w:r>
    </w:p>
  </w:footnote>
  <w:footnote w:id="185">
    <w:p w:rsidR="00EC7CF3" w:rsidRDefault="00EC7CF3" w:rsidP="00762ABD">
      <w:pPr>
        <w:pStyle w:val="FootnoteText"/>
      </w:pPr>
      <w:r w:rsidRPr="00D40600">
        <w:rPr>
          <w:rStyle w:val="FootnoteReference"/>
          <w:sz w:val="20"/>
        </w:rPr>
        <w:footnoteRef/>
      </w:r>
      <w:r w:rsidRPr="00D40600">
        <w:t xml:space="preserve"> Population-weighted average of 172 EAs based on Commission estimates using year-end NRUF data and Census Bureau 2010 population data.  The HHI calculated with a simple average across EAs (not weighted by population) is 3435 in 2010 and 3458 in 2011.</w:t>
      </w:r>
    </w:p>
  </w:footnote>
  <w:footnote w:id="186">
    <w:p w:rsidR="00EC7CF3" w:rsidRDefault="00EC7CF3" w:rsidP="00762ABD">
      <w:pPr>
        <w:pStyle w:val="FootnoteText"/>
        <w:widowControl w:val="0"/>
      </w:pPr>
      <w:r w:rsidRPr="00D40600">
        <w:rPr>
          <w:rStyle w:val="FootnoteReference"/>
          <w:sz w:val="20"/>
        </w:rPr>
        <w:footnoteRef/>
      </w:r>
      <w:r w:rsidRPr="00D40600">
        <w:t xml:space="preserve"> In the </w:t>
      </w:r>
      <w:r w:rsidRPr="00D40600">
        <w:rPr>
          <w:i/>
        </w:rPr>
        <w:t>Fourteenth Report</w:t>
      </w:r>
      <w:r w:rsidRPr="00D40600">
        <w:t>, the weighted average HHI for 2008 was reported as 2848, with a maximum of 8263.  When calculating these HHIs, the Verizon/Alltel divestitures were accounted for as follows: those Alltel subscribers that were not to be divested were allocated to Verizon Wireless, and divestiture markets were not allocated to Verizon Wireless but were accounted for as an independent business entity.  During 2008, Verizon Wireless also acquired Rural Cellular (August 2008).  The 2008 HHI has been recalculated to account for the divestiture markets from the Verizon Wireless/Rural Cellular acquisition.  We adopted the same methodology, whereby the divestiture markets were not allocated to Verizon Wireless, but instead were treated as an independent entity.  This recalculation reduced the weighted average 2008 HHI by six points.  In addition, the maximum HHI was revised down from 8263 (EA 4 – Burlington VT-NY, a divestiture marketfrom the Rural Cellular acquisition) to 6801 (EA 142 which covers parts of Nebraska and Wyoming).</w:t>
      </w:r>
    </w:p>
  </w:footnote>
  <w:footnote w:id="187">
    <w:p w:rsidR="00EC7CF3" w:rsidRDefault="00EC7CF3" w:rsidP="00762ABD">
      <w:pPr>
        <w:pStyle w:val="FootnoteText"/>
      </w:pPr>
      <w:r w:rsidRPr="00D40600">
        <w:rPr>
          <w:rStyle w:val="FootnoteReference"/>
          <w:sz w:val="20"/>
        </w:rPr>
        <w:footnoteRef/>
      </w:r>
      <w:r w:rsidRPr="00D40600">
        <w:t xml:space="preserve"> Chart 1 is based on the data shown in Table </w:t>
      </w:r>
      <w:r>
        <w:t>14</w:t>
      </w:r>
      <w:r w:rsidRPr="00D40600">
        <w:t xml:space="preserve">.  According to the U.S. antitrust authorities (DOJ and FTC), markets are generally classified into three types:  Unconcentrated (HHI &lt; 1500), Moderately Concentrated (1500 &lt; HHI &lt; 2500), and Highly Concentrated (HHI &gt; 2500).  </w:t>
      </w:r>
      <w:r w:rsidRPr="00D40600">
        <w:rPr>
          <w:i/>
        </w:rPr>
        <w:t>See Horizontal Merger Guidelines</w:t>
      </w:r>
      <w:r w:rsidRPr="00D40600">
        <w:t xml:space="preserve">, U. S. Department of Justice and the Federal Trade Commission, </w:t>
      </w:r>
      <w:hyperlink r:id="rId41" w:history="1">
        <w:r w:rsidRPr="00D40600">
          <w:rPr>
            <w:rStyle w:val="Hyperlink"/>
            <w:color w:val="auto"/>
          </w:rPr>
          <w:t>http://www.justice.gov/atr/public/guidelines/hmg-2010.pdf</w:t>
        </w:r>
      </w:hyperlink>
      <w:r w:rsidRPr="00D40600">
        <w:t>.</w:t>
      </w:r>
    </w:p>
  </w:footnote>
  <w:footnote w:id="188">
    <w:p w:rsidR="00EC7CF3" w:rsidRDefault="00EC7CF3" w:rsidP="00762ABD">
      <w:pPr>
        <w:pStyle w:val="FootnoteText"/>
      </w:pPr>
      <w:r w:rsidRPr="00D40600">
        <w:rPr>
          <w:rStyle w:val="FootnoteReference"/>
          <w:sz w:val="20"/>
        </w:rPr>
        <w:footnoteRef/>
      </w:r>
      <w:r w:rsidRPr="00D40600">
        <w:t xml:space="preserve"> </w:t>
      </w:r>
      <w:r w:rsidRPr="00D40600">
        <w:rPr>
          <w:i/>
        </w:rPr>
        <w:t>See also</w:t>
      </w:r>
      <w:r w:rsidRPr="00D40600">
        <w:t xml:space="preserve"> M. Kende and M. Starling, White Paper for Mobile Future, </w:t>
      </w:r>
      <w:r w:rsidRPr="00D40600">
        <w:rPr>
          <w:i/>
        </w:rPr>
        <w:t>Rural Mobile Services Deployment in the US: the Challenges in an International Context</w:t>
      </w:r>
      <w:r w:rsidRPr="00D40600">
        <w:t xml:space="preserve">, May 2012. </w:t>
      </w:r>
    </w:p>
  </w:footnote>
  <w:footnote w:id="189">
    <w:p w:rsidR="00EC7CF3" w:rsidRDefault="00EC7CF3" w:rsidP="00762ABD">
      <w:pPr>
        <w:pStyle w:val="FootnoteText"/>
      </w:pPr>
      <w:r w:rsidRPr="00D40600">
        <w:rPr>
          <w:rStyle w:val="FootnoteReference"/>
          <w:sz w:val="20"/>
        </w:rPr>
        <w:footnoteRef/>
      </w:r>
      <w:r w:rsidRPr="00D40600">
        <w:t xml:space="preserve"> The Commission conducted a regression analysis of data at the EA level in September 2008, which indicates that concentration in the mobile wireless market (measured by the HHI) tends to decline with increases in market size, population density, per capita income, and percentage of the population living in urban areas.  </w:t>
      </w:r>
    </w:p>
  </w:footnote>
  <w:footnote w:id="190">
    <w:p w:rsidR="00EC7CF3" w:rsidRDefault="00EC7CF3" w:rsidP="00762ABD">
      <w:pPr>
        <w:pStyle w:val="FootnoteText"/>
      </w:pPr>
      <w:r w:rsidRPr="00D40600">
        <w:rPr>
          <w:rStyle w:val="FootnoteReference"/>
          <w:sz w:val="20"/>
        </w:rPr>
        <w:footnoteRef/>
      </w:r>
      <w:r w:rsidRPr="00D40600">
        <w:t xml:space="preserve"> Population density is measured as Population/Square Mile (2010 Census). </w:t>
      </w:r>
      <w:r>
        <w:t xml:space="preserve"> </w:t>
      </w:r>
      <w:r w:rsidRPr="00D40600">
        <w:t>The highest population density, 1107, occurs in EA 34 (Tampa-St. Petersburg-Clearwater, FL), and the lowest population density, 1, occurs in EA 171 (Anchorage, AK).  Water area is excluded in the calculation of the areas of EAs.</w:t>
      </w:r>
    </w:p>
  </w:footnote>
  <w:footnote w:id="191">
    <w:p w:rsidR="00EC7CF3" w:rsidRDefault="00EC7CF3" w:rsidP="00762ABD">
      <w:pPr>
        <w:pStyle w:val="FootnoteText"/>
      </w:pPr>
      <w:r w:rsidRPr="00D40600">
        <w:rPr>
          <w:rStyle w:val="FootnoteReference"/>
          <w:sz w:val="20"/>
        </w:rPr>
        <w:footnoteRef/>
      </w:r>
      <w:r w:rsidRPr="00D40600">
        <w:t xml:space="preserve"> </w:t>
      </w:r>
      <w:r w:rsidRPr="00D40600">
        <w:rPr>
          <w:i/>
        </w:rPr>
        <w:t xml:space="preserve">See </w:t>
      </w:r>
      <w:r w:rsidRPr="00D40600">
        <w:t xml:space="preserve">Jonathan B. Baker and Timothy Bresnahan, “Economic Evidence in Antitrust: Defining Markets and Measuring Market Power” in </w:t>
      </w:r>
      <w:r w:rsidRPr="00D40600">
        <w:rPr>
          <w:i/>
        </w:rPr>
        <w:t>Handbook of Antitrust Economics</w:t>
      </w:r>
      <w:r w:rsidRPr="00D40600">
        <w:t>, ed. Paolo Buccirossi (Cambridge: MIT Press, 2008), 15.</w:t>
      </w:r>
      <w:r w:rsidRPr="00D40600">
        <w:rPr>
          <w:i/>
        </w:rPr>
        <w:t xml:space="preserve">  See also</w:t>
      </w:r>
      <w:r w:rsidRPr="00D40600">
        <w:t xml:space="preserve"> </w:t>
      </w:r>
      <w:r w:rsidRPr="00D40600">
        <w:rPr>
          <w:i/>
        </w:rPr>
        <w:t xml:space="preserve">See </w:t>
      </w:r>
      <w:r w:rsidRPr="00D40600">
        <w:t xml:space="preserve">Ernest Gellhorn, </w:t>
      </w:r>
      <w:r w:rsidRPr="00D40600">
        <w:rPr>
          <w:i/>
        </w:rPr>
        <w:t>Antitrust Law and Economics</w:t>
      </w:r>
      <w:r w:rsidRPr="00D40600">
        <w:t xml:space="preserve"> (4</w:t>
      </w:r>
      <w:r w:rsidRPr="00D40600">
        <w:rPr>
          <w:vertAlign w:val="superscript"/>
        </w:rPr>
        <w:t>th</w:t>
      </w:r>
      <w:r w:rsidRPr="00D40600">
        <w:t xml:space="preserve"> ed.), West Publishing, 1994, at 117 (</w:t>
      </w:r>
      <w:r w:rsidRPr="00D40600">
        <w:rPr>
          <w:lang w:eastAsia="zh-CN"/>
        </w:rPr>
        <w:t xml:space="preserve">stating “Market shares…should mark the beginning for careful analysis, not the end of it”).  </w:t>
      </w:r>
      <w:r w:rsidRPr="00D40600">
        <w:rPr>
          <w:i/>
        </w:rPr>
        <w:t>See also</w:t>
      </w:r>
      <w:r w:rsidRPr="00D40600">
        <w:t xml:space="preserve"> Department of Justice, </w:t>
      </w:r>
      <w:r w:rsidRPr="00D40600">
        <w:rPr>
          <w:i/>
        </w:rPr>
        <w:t>Horizontal Merger Guidelines</w:t>
      </w:r>
      <w:r w:rsidRPr="00D40600">
        <w:t>, Section 5.3, 2010 (“</w:t>
      </w:r>
      <w:r w:rsidRPr="00D40600">
        <w:rPr>
          <w:i/>
        </w:rPr>
        <w:t>Horizontal Merger Guidelines”</w:t>
      </w:r>
      <w:r w:rsidRPr="00D40600">
        <w:t xml:space="preserve">).  </w:t>
      </w:r>
    </w:p>
  </w:footnote>
  <w:footnote w:id="192">
    <w:p w:rsidR="00EC7CF3" w:rsidRDefault="00EC7CF3" w:rsidP="00762ABD">
      <w:pPr>
        <w:pStyle w:val="FootnoteText"/>
      </w:pPr>
      <w:r w:rsidRPr="00D40600">
        <w:rPr>
          <w:rStyle w:val="FootnoteReference"/>
          <w:sz w:val="20"/>
        </w:rPr>
        <w:footnoteRef/>
      </w:r>
      <w:r w:rsidRPr="00D40600">
        <w:t xml:space="preserve"> See, e.g., </w:t>
      </w:r>
      <w:r w:rsidRPr="00D40600">
        <w:rPr>
          <w:i/>
        </w:rPr>
        <w:t xml:space="preserve">Horizontal Merger Guidelines, </w:t>
      </w:r>
      <w:r w:rsidRPr="00D40600">
        <w:t>Section 5.3 (stating, “By contrast, even a highly concentrated market can be very competitive if market shares fluctuate substantially over short periods of time in response to changes in competitive offerings.”)</w:t>
      </w:r>
    </w:p>
  </w:footnote>
  <w:footnote w:id="193">
    <w:p w:rsidR="00EC7CF3" w:rsidRDefault="00EC7CF3" w:rsidP="00762ABD">
      <w:pPr>
        <w:pStyle w:val="FootnoteText"/>
      </w:pPr>
      <w:r w:rsidRPr="00D40600">
        <w:rPr>
          <w:rStyle w:val="FootnoteReference"/>
          <w:sz w:val="20"/>
        </w:rPr>
        <w:footnoteRef/>
      </w:r>
      <w:r w:rsidRPr="00D40600">
        <w:t xml:space="preserve"> The </w:t>
      </w:r>
      <w:r w:rsidRPr="00D40600">
        <w:rPr>
          <w:i/>
        </w:rPr>
        <w:t>Report</w:t>
      </w:r>
      <w:r w:rsidRPr="00D40600">
        <w:t xml:space="preserve"> does not provide an estimate of market power for the mobile wireless industry, </w:t>
      </w:r>
      <w:r w:rsidRPr="00D40600">
        <w:rPr>
          <w:i/>
        </w:rPr>
        <w:t>i.e.,</w:t>
      </w:r>
      <w:r w:rsidRPr="00D40600">
        <w:t xml:space="preserve"> a numerical estimate of price mark-up over cost, due to the complexities of estimating market power in an industry with high fixed costs that are recovered gradually over time, difficulties with analyzing pricing plans for bundles of services, and the difficulties in obtaining accurate and suitable cost data.  The </w:t>
      </w:r>
      <w:r w:rsidRPr="00D40600">
        <w:rPr>
          <w:i/>
        </w:rPr>
        <w:t>Report</w:t>
      </w:r>
      <w:r w:rsidRPr="00D40600">
        <w:t xml:space="preserve"> does discuss mobile wireless services price and price margins.  </w:t>
      </w:r>
      <w:r w:rsidRPr="00D40600">
        <w:rPr>
          <w:i/>
        </w:rPr>
        <w:t>See</w:t>
      </w:r>
      <w:r w:rsidRPr="00D40600">
        <w:t xml:space="preserve"> Section </w:t>
      </w:r>
      <w:r w:rsidR="00951E9B">
        <w:fldChar w:fldCharType="begin"/>
      </w:r>
      <w:r w:rsidR="00951E9B">
        <w:instrText xml:space="preserve"> REF _Ref256604215 \r  \* MERGEFORMAT </w:instrText>
      </w:r>
      <w:r w:rsidR="00951E9B">
        <w:fldChar w:fldCharType="separate"/>
      </w:r>
      <w:r>
        <w:t>IV.A</w:t>
      </w:r>
      <w:r w:rsidR="00951E9B">
        <w:fldChar w:fldCharType="end"/>
      </w:r>
      <w:r w:rsidRPr="00D40600">
        <w:t xml:space="preserve">, </w:t>
      </w:r>
      <w:r>
        <w:fldChar w:fldCharType="begin"/>
      </w:r>
      <w:r>
        <w:instrText xml:space="preserve"> REF _Ref256604215 \h  \* MERGEFORMAT </w:instrText>
      </w:r>
      <w:r>
        <w:fldChar w:fldCharType="separate"/>
      </w:r>
      <w:r w:rsidRPr="00E36736">
        <w:t>Price Rivalry: Developments in Mobile Service Pricing Plans</w:t>
      </w:r>
      <w:r>
        <w:fldChar w:fldCharType="end"/>
      </w:r>
      <w:r w:rsidRPr="00D40600">
        <w:t xml:space="preserve">, </w:t>
      </w:r>
      <w:r w:rsidRPr="00D40600">
        <w:rPr>
          <w:i/>
        </w:rPr>
        <w:t>infra.</w:t>
      </w:r>
    </w:p>
  </w:footnote>
  <w:footnote w:id="194">
    <w:p w:rsidR="00EC7CF3" w:rsidRDefault="00EC7CF3" w:rsidP="00762ABD">
      <w:pPr>
        <w:pStyle w:val="FootnoteText"/>
      </w:pPr>
      <w:r w:rsidRPr="00D40600">
        <w:rPr>
          <w:rStyle w:val="FootnoteReference"/>
          <w:sz w:val="20"/>
        </w:rPr>
        <w:footnoteRef/>
      </w:r>
      <w:r w:rsidRPr="00D40600">
        <w:t xml:space="preserve"> We note that acquisition of spectrum, in itself, is not necessarily a good predictor of timely entry into a market.  For a discussion of the discrepancy between the spectrum license coverage of some facilities-based providers and their network coverage, </w:t>
      </w:r>
      <w:r w:rsidRPr="00F36448">
        <w:rPr>
          <w:i/>
        </w:rPr>
        <w:t>see</w:t>
      </w:r>
      <w:r w:rsidRPr="00D40600">
        <w:t xml:space="preserve"> Section VII.A.1, </w:t>
      </w:r>
      <w:r>
        <w:t>Infrastructure Facilities,</w:t>
      </w:r>
      <w:r w:rsidRPr="00D40600">
        <w:t xml:space="preserve"> </w:t>
      </w:r>
      <w:r w:rsidRPr="00D40600">
        <w:rPr>
          <w:i/>
        </w:rPr>
        <w:t>infra</w:t>
      </w:r>
      <w:r w:rsidRPr="00D40600">
        <w:t>.</w:t>
      </w:r>
    </w:p>
  </w:footnote>
  <w:footnote w:id="195">
    <w:p w:rsidR="00EC7CF3" w:rsidRDefault="00EC7CF3" w:rsidP="00762ABD">
      <w:pPr>
        <w:pStyle w:val="FootnoteText"/>
      </w:pPr>
      <w:r w:rsidRPr="00D40600">
        <w:rPr>
          <w:rStyle w:val="FootnoteReference"/>
          <w:sz w:val="20"/>
        </w:rPr>
        <w:footnoteRef/>
      </w:r>
      <w:r w:rsidRPr="00D40600">
        <w:t xml:space="preserve"> Malcolm B. Coate, </w:t>
      </w:r>
      <w:r w:rsidRPr="00D40600">
        <w:rPr>
          <w:i/>
        </w:rPr>
        <w:t>Theory Meets Practice: Barriers to Entry in Merger Analysis</w:t>
      </w:r>
      <w:r w:rsidRPr="00D40600">
        <w:t>, Review of Law and Economics, vol. 4, Feb. 2008, at 190, 206.  Data and information about the stages a firm has completed in the entry process can provide valuable information for estimating the timeframe during which entry will be completed.  Analysis of when entry will occur can be likened to a “pipeline” that is marked by increasing financial commitments and the completion of the various stages.</w:t>
      </w:r>
    </w:p>
  </w:footnote>
  <w:footnote w:id="196">
    <w:p w:rsidR="00EC7CF3" w:rsidRDefault="00EC7CF3">
      <w:pPr>
        <w:pStyle w:val="FootnoteText"/>
      </w:pPr>
      <w:r>
        <w:rPr>
          <w:rStyle w:val="FootnoteReference"/>
        </w:rPr>
        <w:footnoteRef/>
      </w:r>
      <w:r>
        <w:t xml:space="preserve"> </w:t>
      </w:r>
      <w:r w:rsidRPr="00174002">
        <w:rPr>
          <w:i/>
        </w:rPr>
        <w:t>See</w:t>
      </w:r>
      <w:r w:rsidRPr="00174002">
        <w:t xml:space="preserve"> Applications of Sprint Nextel Corporation, Transferor,</w:t>
      </w:r>
      <w:r>
        <w:t xml:space="preserve"> and SoftB</w:t>
      </w:r>
      <w:r w:rsidRPr="00174002">
        <w:t>ank Corp., and Starburst II, Inc., Transferees, for Consent to Transfer of Control of Licenses and Authorizations, Public Interest Statement, IB Docket No.</w:t>
      </w:r>
      <w:r>
        <w:rPr>
          <w:b/>
        </w:rPr>
        <w:t xml:space="preserve"> </w:t>
      </w:r>
      <w:r w:rsidRPr="003F7181">
        <w:t>12-343</w:t>
      </w:r>
      <w:r w:rsidRPr="00174002">
        <w:t>.</w:t>
      </w:r>
      <w:r>
        <w:t xml:space="preserve">  </w:t>
      </w:r>
    </w:p>
  </w:footnote>
  <w:footnote w:id="197">
    <w:p w:rsidR="00EC7CF3" w:rsidRDefault="00EC7CF3">
      <w:pPr>
        <w:pStyle w:val="FootnoteText"/>
      </w:pPr>
      <w:r>
        <w:rPr>
          <w:rStyle w:val="FootnoteReference"/>
        </w:rPr>
        <w:footnoteRef/>
      </w:r>
      <w:r>
        <w:t xml:space="preserve"> </w:t>
      </w:r>
      <w:r w:rsidRPr="00FB672C">
        <w:rPr>
          <w:i/>
          <w:szCs w:val="22"/>
        </w:rPr>
        <w:t>See</w:t>
      </w:r>
      <w:r w:rsidRPr="006E5FB3">
        <w:rPr>
          <w:szCs w:val="22"/>
        </w:rPr>
        <w:t xml:space="preserve"> </w:t>
      </w:r>
      <w:r>
        <w:rPr>
          <w:szCs w:val="22"/>
        </w:rPr>
        <w:t>“</w:t>
      </w:r>
      <w:r w:rsidRPr="006E5FB3">
        <w:rPr>
          <w:szCs w:val="22"/>
        </w:rPr>
        <w:t xml:space="preserve">Softbank </w:t>
      </w:r>
      <w:r>
        <w:rPr>
          <w:szCs w:val="22"/>
        </w:rPr>
        <w:t>a</w:t>
      </w:r>
      <w:r w:rsidRPr="006E5FB3">
        <w:rPr>
          <w:szCs w:val="22"/>
        </w:rPr>
        <w:t>nd Sprint Seek F</w:t>
      </w:r>
      <w:r>
        <w:rPr>
          <w:szCs w:val="22"/>
        </w:rPr>
        <w:t>CC</w:t>
      </w:r>
      <w:r w:rsidRPr="006E5FB3">
        <w:rPr>
          <w:szCs w:val="22"/>
        </w:rPr>
        <w:t xml:space="preserve"> Consent </w:t>
      </w:r>
      <w:r>
        <w:rPr>
          <w:szCs w:val="22"/>
        </w:rPr>
        <w:t>t</w:t>
      </w:r>
      <w:r w:rsidRPr="006E5FB3">
        <w:rPr>
          <w:szCs w:val="22"/>
        </w:rPr>
        <w:t xml:space="preserve">o </w:t>
      </w:r>
      <w:r>
        <w:rPr>
          <w:szCs w:val="22"/>
        </w:rPr>
        <w:t>t</w:t>
      </w:r>
      <w:r w:rsidRPr="006E5FB3">
        <w:rPr>
          <w:szCs w:val="22"/>
        </w:rPr>
        <w:t xml:space="preserve">he Transfer Of Control </w:t>
      </w:r>
      <w:r>
        <w:rPr>
          <w:szCs w:val="22"/>
        </w:rPr>
        <w:t>o</w:t>
      </w:r>
      <w:r w:rsidRPr="006E5FB3">
        <w:rPr>
          <w:szCs w:val="22"/>
        </w:rPr>
        <w:t xml:space="preserve">f Various Licenses, Leases, </w:t>
      </w:r>
      <w:r>
        <w:rPr>
          <w:szCs w:val="22"/>
        </w:rPr>
        <w:t>a</w:t>
      </w:r>
      <w:r w:rsidRPr="006E5FB3">
        <w:rPr>
          <w:szCs w:val="22"/>
        </w:rPr>
        <w:t xml:space="preserve">nd Authorizations </w:t>
      </w:r>
      <w:r>
        <w:rPr>
          <w:szCs w:val="22"/>
        </w:rPr>
        <w:t>F</w:t>
      </w:r>
      <w:r w:rsidRPr="006E5FB3">
        <w:rPr>
          <w:szCs w:val="22"/>
        </w:rPr>
        <w:t xml:space="preserve">rom Sprint </w:t>
      </w:r>
      <w:r>
        <w:rPr>
          <w:szCs w:val="22"/>
        </w:rPr>
        <w:t>t</w:t>
      </w:r>
      <w:r w:rsidRPr="006E5FB3">
        <w:rPr>
          <w:szCs w:val="22"/>
        </w:rPr>
        <w:t xml:space="preserve">o Softbank, </w:t>
      </w:r>
      <w:r>
        <w:rPr>
          <w:szCs w:val="22"/>
        </w:rPr>
        <w:t>a</w:t>
      </w:r>
      <w:r w:rsidRPr="006E5FB3">
        <w:rPr>
          <w:szCs w:val="22"/>
        </w:rPr>
        <w:t xml:space="preserve">nd </w:t>
      </w:r>
      <w:r>
        <w:rPr>
          <w:szCs w:val="22"/>
        </w:rPr>
        <w:t>t</w:t>
      </w:r>
      <w:r w:rsidRPr="006E5FB3">
        <w:rPr>
          <w:szCs w:val="22"/>
        </w:rPr>
        <w:t xml:space="preserve">o </w:t>
      </w:r>
      <w:r>
        <w:rPr>
          <w:szCs w:val="22"/>
        </w:rPr>
        <w:t>t</w:t>
      </w:r>
      <w:r w:rsidRPr="006E5FB3">
        <w:rPr>
          <w:szCs w:val="22"/>
        </w:rPr>
        <w:t xml:space="preserve">he Grant </w:t>
      </w:r>
      <w:r>
        <w:rPr>
          <w:szCs w:val="22"/>
        </w:rPr>
        <w:t>o</w:t>
      </w:r>
      <w:r w:rsidRPr="006E5FB3">
        <w:rPr>
          <w:szCs w:val="22"/>
        </w:rPr>
        <w:t xml:space="preserve">f </w:t>
      </w:r>
      <w:r>
        <w:rPr>
          <w:szCs w:val="22"/>
        </w:rPr>
        <w:t>a</w:t>
      </w:r>
      <w:r w:rsidRPr="006E5FB3">
        <w:rPr>
          <w:szCs w:val="22"/>
        </w:rPr>
        <w:t xml:space="preserve"> Declaratory Ruling Under Section 310(B)(4) </w:t>
      </w:r>
      <w:r>
        <w:rPr>
          <w:szCs w:val="22"/>
        </w:rPr>
        <w:t>o</w:t>
      </w:r>
      <w:r w:rsidRPr="006E5FB3">
        <w:rPr>
          <w:szCs w:val="22"/>
        </w:rPr>
        <w:t xml:space="preserve">f </w:t>
      </w:r>
      <w:r>
        <w:rPr>
          <w:szCs w:val="22"/>
        </w:rPr>
        <w:t>t</w:t>
      </w:r>
      <w:r w:rsidRPr="006E5FB3">
        <w:rPr>
          <w:szCs w:val="22"/>
        </w:rPr>
        <w:t>he Communications Act.</w:t>
      </w:r>
      <w:r>
        <w:rPr>
          <w:szCs w:val="22"/>
        </w:rPr>
        <w:t>”</w:t>
      </w:r>
      <w:r w:rsidRPr="006E5FB3">
        <w:rPr>
          <w:szCs w:val="22"/>
        </w:rPr>
        <w:t xml:space="preserve"> IB Docket No. 12-343,</w:t>
      </w:r>
      <w:r>
        <w:rPr>
          <w:szCs w:val="22"/>
        </w:rPr>
        <w:t xml:space="preserve"> </w:t>
      </w:r>
      <w:r w:rsidRPr="006E5FB3">
        <w:rPr>
          <w:szCs w:val="22"/>
        </w:rPr>
        <w:t>Public Notice, DA 12-1924 (rel. Nov. 30, 2012).</w:t>
      </w:r>
      <w:r>
        <w:t xml:space="preserve"> </w:t>
      </w:r>
    </w:p>
  </w:footnote>
  <w:footnote w:id="198">
    <w:p w:rsidR="00EC7CF3" w:rsidRDefault="00EC7CF3">
      <w:pPr>
        <w:pStyle w:val="FootnoteText"/>
      </w:pPr>
      <w:r>
        <w:rPr>
          <w:rStyle w:val="FootnoteReference"/>
        </w:rPr>
        <w:footnoteRef/>
      </w:r>
      <w:r>
        <w:t xml:space="preserve"> </w:t>
      </w:r>
      <w:r w:rsidRPr="00FB672C">
        <w:rPr>
          <w:i/>
          <w:szCs w:val="22"/>
        </w:rPr>
        <w:t>See</w:t>
      </w:r>
      <w:r w:rsidRPr="006E5FB3">
        <w:rPr>
          <w:szCs w:val="22"/>
        </w:rPr>
        <w:t xml:space="preserve"> </w:t>
      </w:r>
      <w:r>
        <w:rPr>
          <w:szCs w:val="22"/>
        </w:rPr>
        <w:t>“</w:t>
      </w:r>
      <w:r w:rsidRPr="006E5FB3">
        <w:rPr>
          <w:szCs w:val="22"/>
        </w:rPr>
        <w:t xml:space="preserve">Softbank </w:t>
      </w:r>
      <w:r>
        <w:rPr>
          <w:szCs w:val="22"/>
        </w:rPr>
        <w:t>a</w:t>
      </w:r>
      <w:r w:rsidRPr="006E5FB3">
        <w:rPr>
          <w:szCs w:val="22"/>
        </w:rPr>
        <w:t>nd Sprint Seek F</w:t>
      </w:r>
      <w:r>
        <w:rPr>
          <w:szCs w:val="22"/>
        </w:rPr>
        <w:t>CC</w:t>
      </w:r>
      <w:r w:rsidRPr="006E5FB3">
        <w:rPr>
          <w:szCs w:val="22"/>
        </w:rPr>
        <w:t xml:space="preserve"> Consent </w:t>
      </w:r>
      <w:r>
        <w:rPr>
          <w:szCs w:val="22"/>
        </w:rPr>
        <w:t>t</w:t>
      </w:r>
      <w:r w:rsidRPr="006E5FB3">
        <w:rPr>
          <w:szCs w:val="22"/>
        </w:rPr>
        <w:t xml:space="preserve">o </w:t>
      </w:r>
      <w:r>
        <w:rPr>
          <w:szCs w:val="22"/>
        </w:rPr>
        <w:t>t</w:t>
      </w:r>
      <w:r w:rsidRPr="006E5FB3">
        <w:rPr>
          <w:szCs w:val="22"/>
        </w:rPr>
        <w:t xml:space="preserve">he Transfer Of Control </w:t>
      </w:r>
      <w:r>
        <w:rPr>
          <w:szCs w:val="22"/>
        </w:rPr>
        <w:t>o</w:t>
      </w:r>
      <w:r w:rsidRPr="006E5FB3">
        <w:rPr>
          <w:szCs w:val="22"/>
        </w:rPr>
        <w:t xml:space="preserve">f Various Licenses, Leases, </w:t>
      </w:r>
      <w:r>
        <w:rPr>
          <w:szCs w:val="22"/>
        </w:rPr>
        <w:t>a</w:t>
      </w:r>
      <w:r w:rsidRPr="006E5FB3">
        <w:rPr>
          <w:szCs w:val="22"/>
        </w:rPr>
        <w:t xml:space="preserve">nd Authorizations </w:t>
      </w:r>
      <w:r>
        <w:rPr>
          <w:szCs w:val="22"/>
        </w:rPr>
        <w:t>F</w:t>
      </w:r>
      <w:r w:rsidRPr="006E5FB3">
        <w:rPr>
          <w:szCs w:val="22"/>
        </w:rPr>
        <w:t xml:space="preserve">rom Sprint </w:t>
      </w:r>
      <w:r>
        <w:rPr>
          <w:szCs w:val="22"/>
        </w:rPr>
        <w:t>t</w:t>
      </w:r>
      <w:r w:rsidRPr="006E5FB3">
        <w:rPr>
          <w:szCs w:val="22"/>
        </w:rPr>
        <w:t xml:space="preserve">o Softbank, </w:t>
      </w:r>
      <w:r>
        <w:rPr>
          <w:szCs w:val="22"/>
        </w:rPr>
        <w:t>a</w:t>
      </w:r>
      <w:r w:rsidRPr="006E5FB3">
        <w:rPr>
          <w:szCs w:val="22"/>
        </w:rPr>
        <w:t xml:space="preserve">nd </w:t>
      </w:r>
      <w:r>
        <w:rPr>
          <w:szCs w:val="22"/>
        </w:rPr>
        <w:t>t</w:t>
      </w:r>
      <w:r w:rsidRPr="006E5FB3">
        <w:rPr>
          <w:szCs w:val="22"/>
        </w:rPr>
        <w:t xml:space="preserve">o </w:t>
      </w:r>
      <w:r>
        <w:rPr>
          <w:szCs w:val="22"/>
        </w:rPr>
        <w:t>t</w:t>
      </w:r>
      <w:r w:rsidRPr="006E5FB3">
        <w:rPr>
          <w:szCs w:val="22"/>
        </w:rPr>
        <w:t xml:space="preserve">he Grant </w:t>
      </w:r>
      <w:r>
        <w:rPr>
          <w:szCs w:val="22"/>
        </w:rPr>
        <w:t>o</w:t>
      </w:r>
      <w:r w:rsidRPr="006E5FB3">
        <w:rPr>
          <w:szCs w:val="22"/>
        </w:rPr>
        <w:t xml:space="preserve">f </w:t>
      </w:r>
      <w:r>
        <w:rPr>
          <w:szCs w:val="22"/>
        </w:rPr>
        <w:t>a</w:t>
      </w:r>
      <w:r w:rsidRPr="006E5FB3">
        <w:rPr>
          <w:szCs w:val="22"/>
        </w:rPr>
        <w:t xml:space="preserve"> Declaratory Ruling Under Section 310(B)(4) </w:t>
      </w:r>
      <w:r>
        <w:rPr>
          <w:szCs w:val="22"/>
        </w:rPr>
        <w:t>o</w:t>
      </w:r>
      <w:r w:rsidRPr="006E5FB3">
        <w:rPr>
          <w:szCs w:val="22"/>
        </w:rPr>
        <w:t xml:space="preserve">f </w:t>
      </w:r>
      <w:r>
        <w:rPr>
          <w:szCs w:val="22"/>
        </w:rPr>
        <w:t>t</w:t>
      </w:r>
      <w:r w:rsidRPr="006E5FB3">
        <w:rPr>
          <w:szCs w:val="22"/>
        </w:rPr>
        <w:t>he Communications Act.</w:t>
      </w:r>
      <w:r>
        <w:rPr>
          <w:szCs w:val="22"/>
        </w:rPr>
        <w:t>”</w:t>
      </w:r>
      <w:r w:rsidRPr="006E5FB3">
        <w:rPr>
          <w:szCs w:val="22"/>
        </w:rPr>
        <w:t xml:space="preserve"> IB Docket No. 12-343,</w:t>
      </w:r>
      <w:r>
        <w:rPr>
          <w:szCs w:val="22"/>
        </w:rPr>
        <w:t xml:space="preserve"> </w:t>
      </w:r>
      <w:r w:rsidRPr="006E5FB3">
        <w:rPr>
          <w:szCs w:val="22"/>
        </w:rPr>
        <w:t>Public Notice, DA 12-1924 (rel. Nov. 30, 2012).</w:t>
      </w:r>
      <w:r>
        <w:t xml:space="preserve">  </w:t>
      </w:r>
    </w:p>
  </w:footnote>
  <w:footnote w:id="199">
    <w:p w:rsidR="00EC7CF3" w:rsidRDefault="00EC7CF3" w:rsidP="00762ABD">
      <w:pPr>
        <w:pStyle w:val="FootnoteText"/>
      </w:pPr>
      <w:r w:rsidRPr="00D40600">
        <w:rPr>
          <w:rStyle w:val="FootnoteReference"/>
          <w:sz w:val="20"/>
        </w:rPr>
        <w:footnoteRef/>
      </w:r>
      <w:r w:rsidRPr="00D40600">
        <w:t xml:space="preserve">  </w:t>
      </w:r>
      <w:r w:rsidRPr="00D40600">
        <w:rPr>
          <w:i/>
        </w:rPr>
        <w:t>See</w:t>
      </w:r>
      <w:r w:rsidRPr="00D40600">
        <w:t xml:space="preserve"> Atlantic Tele-Network, SEC Form 10-K, </w:t>
      </w:r>
      <w:hyperlink w:history="1"/>
      <w:r w:rsidRPr="00D40600">
        <w:t xml:space="preserve">filed March 15, 2012, at 4. </w:t>
      </w:r>
    </w:p>
  </w:footnote>
  <w:footnote w:id="200">
    <w:p w:rsidR="00EC7CF3" w:rsidRDefault="00EC7CF3" w:rsidP="00762ABD">
      <w:pPr>
        <w:pStyle w:val="FootnoteText"/>
      </w:pPr>
      <w:r w:rsidRPr="00D40600">
        <w:rPr>
          <w:rStyle w:val="FootnoteReference"/>
          <w:sz w:val="20"/>
        </w:rPr>
        <w:footnoteRef/>
      </w:r>
      <w:r w:rsidRPr="00D40600">
        <w:t xml:space="preserve"> For example, the </w:t>
      </w:r>
      <w:r w:rsidRPr="00D40600">
        <w:rPr>
          <w:i/>
        </w:rPr>
        <w:t>Twelfth Report</w:t>
      </w:r>
      <w:r w:rsidRPr="00D40600">
        <w:t xml:space="preserve"> discusses how, following the acquisition of new spectrum holdings in 2006, T-Mobile, Leap, and MetroPCS entered new markets.  </w:t>
      </w:r>
      <w:r w:rsidRPr="00D40600">
        <w:rPr>
          <w:i/>
        </w:rPr>
        <w:t>See Twelfth Report</w:t>
      </w:r>
      <w:r w:rsidRPr="00D40600">
        <w:t xml:space="preserve">, 23 FCC Rcd at 2265 ¶ 75.  </w:t>
      </w:r>
      <w:r w:rsidRPr="00D40600">
        <w:rPr>
          <w:i/>
        </w:rPr>
        <w:t>See</w:t>
      </w:r>
      <w:r w:rsidRPr="00D40600">
        <w:t xml:space="preserve"> </w:t>
      </w:r>
      <w:r w:rsidRPr="00D40600">
        <w:rPr>
          <w:i/>
        </w:rPr>
        <w:t>also</w:t>
      </w:r>
      <w:r w:rsidRPr="00D40600">
        <w:t xml:space="preserve"> Cellular South, </w:t>
      </w:r>
      <w:r w:rsidRPr="00D40600">
        <w:rPr>
          <w:i/>
        </w:rPr>
        <w:t>About Us</w:t>
      </w:r>
      <w:r w:rsidRPr="00D40600">
        <w:t xml:space="preserve">, </w:t>
      </w:r>
      <w:hyperlink r:id="rId42" w:history="1">
        <w:r w:rsidRPr="00D40600">
          <w:rPr>
            <w:rStyle w:val="Hyperlink"/>
          </w:rPr>
          <w:t>https://www.cellularsouth.com/aboutus/index.html</w:t>
        </w:r>
      </w:hyperlink>
      <w:r w:rsidRPr="00D40600">
        <w:t xml:space="preserve"> (visited Jan. 4, 2010) (stating that, since 2006, Cellular South has significantly increased the size of its regional coverage).</w:t>
      </w:r>
    </w:p>
  </w:footnote>
  <w:footnote w:id="201">
    <w:p w:rsidR="00EC7CF3" w:rsidRDefault="00EC7CF3" w:rsidP="00762ABD">
      <w:pPr>
        <w:pStyle w:val="FootnoteText"/>
      </w:pPr>
      <w:r w:rsidRPr="00D40600">
        <w:rPr>
          <w:rStyle w:val="FootnoteReference"/>
          <w:sz w:val="20"/>
        </w:rPr>
        <w:footnoteRef/>
      </w:r>
      <w:r w:rsidRPr="00D40600">
        <w:t xml:space="preserve"> </w:t>
      </w:r>
      <w:r w:rsidRPr="00D40600">
        <w:rPr>
          <w:i/>
        </w:rPr>
        <w:t xml:space="preserve">See </w:t>
      </w:r>
      <w:r w:rsidRPr="00D40600">
        <w:t>Section III.B</w:t>
      </w:r>
      <w:r>
        <w:t xml:space="preserve">.1, Facilities-Based Providers, </w:t>
      </w:r>
      <w:r w:rsidRPr="00D40600">
        <w:t xml:space="preserve">Tables 1-2; Section III.C, Mobile Wireless Network Coverage, Tables 6-7, </w:t>
      </w:r>
      <w:r w:rsidRPr="00D40600">
        <w:rPr>
          <w:i/>
        </w:rPr>
        <w:t>supra</w:t>
      </w:r>
      <w:r w:rsidRPr="00D40600">
        <w:t>; Appendix C, Maps.</w:t>
      </w:r>
    </w:p>
  </w:footnote>
  <w:footnote w:id="202">
    <w:p w:rsidR="00EC7CF3" w:rsidRDefault="00EC7CF3" w:rsidP="00762ABD">
      <w:pPr>
        <w:pStyle w:val="FootnoteText"/>
      </w:pPr>
      <w:r w:rsidRPr="00D40600">
        <w:rPr>
          <w:rStyle w:val="FootnoteReference"/>
          <w:sz w:val="20"/>
        </w:rPr>
        <w:footnoteRef/>
      </w:r>
      <w:r w:rsidRPr="00D40600">
        <w:t xml:space="preserve"> </w:t>
      </w:r>
      <w:r w:rsidRPr="00D40600">
        <w:rPr>
          <w:i/>
        </w:rPr>
        <w:t xml:space="preserve">See </w:t>
      </w:r>
      <w:r w:rsidRPr="00D40600">
        <w:t xml:space="preserve">Section IV.B.1, Network Coverage and Technology Upgrades, </w:t>
      </w:r>
      <w:r w:rsidRPr="00D40600">
        <w:rPr>
          <w:i/>
        </w:rPr>
        <w:t>infra.</w:t>
      </w:r>
    </w:p>
  </w:footnote>
  <w:footnote w:id="203">
    <w:p w:rsidR="00EC7CF3" w:rsidRDefault="00EC7CF3" w:rsidP="00762ABD">
      <w:pPr>
        <w:pStyle w:val="FootnoteText"/>
      </w:pPr>
      <w:r w:rsidRPr="00D40600">
        <w:rPr>
          <w:rStyle w:val="FootnoteReference"/>
          <w:sz w:val="20"/>
        </w:rPr>
        <w:footnoteRef/>
      </w:r>
      <w:r w:rsidRPr="00D40600">
        <w:t xml:space="preserve"> Spectrum transfers (</w:t>
      </w:r>
      <w:r w:rsidRPr="00D40600">
        <w:rPr>
          <w:i/>
        </w:rPr>
        <w:t>i.e.</w:t>
      </w:r>
      <w:r w:rsidRPr="00D40600">
        <w:t xml:space="preserve">, the assignment of licenses from one firm to another) are discussed further in Section VII.A.1, Non-Spectrum Input Segments, </w:t>
      </w:r>
      <w:r w:rsidRPr="00D40600">
        <w:rPr>
          <w:i/>
        </w:rPr>
        <w:t>infra</w:t>
      </w:r>
      <w:r w:rsidRPr="00D40600">
        <w:t>.</w:t>
      </w:r>
    </w:p>
  </w:footnote>
  <w:footnote w:id="204">
    <w:p w:rsidR="00EC7CF3" w:rsidRDefault="00EC7CF3" w:rsidP="00762ABD">
      <w:pPr>
        <w:pStyle w:val="FootnoteText"/>
      </w:pPr>
      <w:r w:rsidRPr="00D40600">
        <w:rPr>
          <w:rStyle w:val="FootnoteReference"/>
          <w:sz w:val="20"/>
        </w:rPr>
        <w:footnoteRef/>
      </w:r>
      <w:r w:rsidRPr="00D40600">
        <w:t xml:space="preserve">  </w:t>
      </w:r>
      <w:r w:rsidRPr="00D40600">
        <w:rPr>
          <w:i/>
        </w:rPr>
        <w:t>See</w:t>
      </w:r>
      <w:r w:rsidRPr="00D40600">
        <w:t xml:space="preserve"> </w:t>
      </w:r>
      <w:r w:rsidRPr="00D40600">
        <w:rPr>
          <w:i/>
        </w:rPr>
        <w:t>Competition Policy</w:t>
      </w:r>
      <w:r w:rsidRPr="00D40600">
        <w:t xml:space="preserve">, at 238.  </w:t>
      </w:r>
      <w:r w:rsidRPr="00D40600">
        <w:rPr>
          <w:i/>
        </w:rPr>
        <w:t>See also</w:t>
      </w:r>
      <w:r w:rsidRPr="00D40600">
        <w:t xml:space="preserve"> Daniel Birke and G. M. Peter Swann, </w:t>
      </w:r>
      <w:r w:rsidRPr="00D40600">
        <w:rPr>
          <w:i/>
        </w:rPr>
        <w:t>Network Effects and the Choice of Mobile Phone Operator</w:t>
      </w:r>
      <w:r w:rsidRPr="00D40600">
        <w:t>, Journal of Evolutionary Economics, 2006, 16: 65 – 84.</w:t>
      </w:r>
    </w:p>
  </w:footnote>
  <w:footnote w:id="205">
    <w:p w:rsidR="00EC7CF3" w:rsidRDefault="00EC7CF3" w:rsidP="00762ABD">
      <w:pPr>
        <w:pStyle w:val="FootnoteText"/>
      </w:pPr>
      <w:r w:rsidRPr="00D40600">
        <w:rPr>
          <w:rStyle w:val="FootnoteReference"/>
          <w:sz w:val="20"/>
        </w:rPr>
        <w:footnoteRef/>
      </w:r>
      <w:r w:rsidRPr="00D40600">
        <w:t xml:space="preserve"> </w:t>
      </w:r>
      <w:r w:rsidRPr="00D40600">
        <w:rPr>
          <w:i/>
        </w:rPr>
        <w:t>See</w:t>
      </w:r>
      <w:r w:rsidRPr="00D40600">
        <w:t xml:space="preserve"> Baker, J. B., </w:t>
      </w:r>
      <w:r w:rsidRPr="00D40600">
        <w:rPr>
          <w:i/>
        </w:rPr>
        <w:t>Developments in Antitrust Economics</w:t>
      </w:r>
      <w:r w:rsidRPr="00D40600">
        <w:t>, Journal of Economic Perspectives, 1999, 13: 1, 182.</w:t>
      </w:r>
    </w:p>
  </w:footnote>
  <w:footnote w:id="206">
    <w:p w:rsidR="00EC7CF3" w:rsidRDefault="00EC7CF3" w:rsidP="00762ABD">
      <w:pPr>
        <w:pStyle w:val="FootnoteText"/>
      </w:pPr>
      <w:r w:rsidRPr="00D40600">
        <w:rPr>
          <w:rStyle w:val="FootnoteReference"/>
          <w:sz w:val="20"/>
        </w:rPr>
        <w:footnoteRef/>
      </w:r>
      <w:r w:rsidRPr="00D40600">
        <w:t xml:space="preserve"> </w:t>
      </w:r>
      <w:bookmarkStart w:id="1426" w:name="OLE_LINK3"/>
      <w:r w:rsidRPr="00D40600">
        <w:rPr>
          <w:i/>
        </w:rPr>
        <w:t>See</w:t>
      </w:r>
      <w:r w:rsidRPr="00D40600">
        <w:t xml:space="preserve"> </w:t>
      </w:r>
      <w:r w:rsidRPr="00D40600">
        <w:rPr>
          <w:i/>
        </w:rPr>
        <w:t>Economics of Regulation and Antitrust</w:t>
      </w:r>
      <w:r w:rsidRPr="00D40600">
        <w:t>, at 126.</w:t>
      </w:r>
      <w:bookmarkEnd w:id="1426"/>
    </w:p>
  </w:footnote>
  <w:footnote w:id="207">
    <w:p w:rsidR="00EC7CF3" w:rsidRDefault="00EC7CF3" w:rsidP="00762ABD">
      <w:pPr>
        <w:pStyle w:val="FootnoteText"/>
      </w:pPr>
      <w:r w:rsidRPr="00D40600">
        <w:rPr>
          <w:rStyle w:val="FootnoteReference"/>
          <w:sz w:val="20"/>
        </w:rPr>
        <w:footnoteRef/>
      </w:r>
      <w:r w:rsidRPr="00D40600">
        <w:rPr>
          <w:i/>
        </w:rPr>
        <w:t xml:space="preserve"> See</w:t>
      </w:r>
      <w:r w:rsidRPr="00D40600">
        <w:t xml:space="preserve"> Section </w:t>
      </w:r>
      <w:r w:rsidR="00951E9B">
        <w:fldChar w:fldCharType="begin"/>
      </w:r>
      <w:r w:rsidR="00951E9B">
        <w:instrText xml:space="preserve"> REF _Ref</w:instrText>
      </w:r>
      <w:r w:rsidR="00951E9B">
        <w:instrText xml:space="preserve">287263109 \r  \* MERGEFORMAT </w:instrText>
      </w:r>
      <w:r w:rsidR="00951E9B">
        <w:fldChar w:fldCharType="separate"/>
      </w:r>
      <w:r>
        <w:t>III.B.1</w:t>
      </w:r>
      <w:r w:rsidR="00951E9B">
        <w:fldChar w:fldCharType="end"/>
      </w:r>
      <w:r w:rsidRPr="00D40600">
        <w:t xml:space="preserve">, </w:t>
      </w:r>
      <w:r w:rsidR="00951E9B">
        <w:fldChar w:fldCharType="begin"/>
      </w:r>
      <w:r w:rsidR="00951E9B">
        <w:instrText xml:space="preserve"> REF _Ref261425104  \* MERGEFORMAT </w:instrText>
      </w:r>
      <w:r w:rsidR="00951E9B">
        <w:fldChar w:fldCharType="separate"/>
      </w:r>
      <w:r w:rsidRPr="00CA3AC6">
        <w:t>Facilities-Based Providers</w:t>
      </w:r>
      <w:r w:rsidR="00951E9B">
        <w:fldChar w:fldCharType="end"/>
      </w:r>
      <w:r w:rsidRPr="00D40600">
        <w:t xml:space="preserve">, </w:t>
      </w:r>
      <w:r w:rsidRPr="00D40600">
        <w:rPr>
          <w:i/>
        </w:rPr>
        <w:t>supra</w:t>
      </w:r>
      <w:r w:rsidRPr="00D40600">
        <w:t xml:space="preserve">, for a discussion of the term “nationwide.”  </w:t>
      </w:r>
    </w:p>
  </w:footnote>
  <w:footnote w:id="208">
    <w:p w:rsidR="00EC7CF3" w:rsidRDefault="00EC7CF3" w:rsidP="00762ABD">
      <w:pPr>
        <w:pStyle w:val="FootnoteText"/>
      </w:pPr>
      <w:r w:rsidRPr="00D40600">
        <w:rPr>
          <w:rStyle w:val="FootnoteReference"/>
          <w:sz w:val="20"/>
        </w:rPr>
        <w:footnoteRef/>
      </w:r>
      <w:r w:rsidRPr="00D40600">
        <w:t xml:space="preserve"> The Commission must consent to the transfer of control or assignment of all non pro-forma spectrum licenses used to provide wireless telecommunications services.  47 C.F.R. § 1.948.  </w:t>
      </w:r>
    </w:p>
  </w:footnote>
  <w:footnote w:id="209">
    <w:p w:rsidR="00EC7CF3" w:rsidRDefault="00EC7CF3" w:rsidP="00762ABD">
      <w:pPr>
        <w:pStyle w:val="FootnoteText"/>
      </w:pPr>
      <w:r w:rsidRPr="00D40600">
        <w:rPr>
          <w:rStyle w:val="FootnoteReference"/>
          <w:sz w:val="20"/>
        </w:rPr>
        <w:footnoteRef/>
      </w:r>
      <w:r w:rsidRPr="00D40600">
        <w:t xml:space="preserve"> </w:t>
      </w:r>
      <w:r w:rsidRPr="00D40600">
        <w:rPr>
          <w:i/>
        </w:rPr>
        <w:t>See, e.g</w:t>
      </w:r>
      <w:r w:rsidRPr="00D40600">
        <w:t xml:space="preserve">., </w:t>
      </w:r>
      <w:r w:rsidRPr="00D40600">
        <w:rPr>
          <w:i/>
        </w:rPr>
        <w:t>AT&amp;T-Centennial Order,</w:t>
      </w:r>
      <w:r w:rsidRPr="00D40600">
        <w:t xml:space="preserve"> 24 FCC Rcd 13915. </w:t>
      </w:r>
    </w:p>
  </w:footnote>
  <w:footnote w:id="210">
    <w:p w:rsidR="00EC7CF3" w:rsidRDefault="00EC7CF3" w:rsidP="00762ABD">
      <w:pPr>
        <w:pStyle w:val="FootnoteText"/>
      </w:pPr>
      <w:r w:rsidRPr="00D40600">
        <w:rPr>
          <w:rStyle w:val="FootnoteReference"/>
          <w:sz w:val="20"/>
        </w:rPr>
        <w:footnoteRef/>
      </w:r>
      <w:r w:rsidRPr="00D40600">
        <w:t xml:space="preserve"> In addition, in December 2010, AT&amp;T announced its intention </w:t>
      </w:r>
      <w:r w:rsidRPr="00D40600">
        <w:rPr>
          <w:snapToGrid w:val="0"/>
          <w:color w:val="000000"/>
        </w:rPr>
        <w:t xml:space="preserve">to acquire Qualcomm’s licenses in the Lower 700 MHz band, which cover more than 300 million people, for $1.925 billion.  Specifically, the Commission approved the assignment of 11 licenses in the D and E Block of the Lower 700 MHz band from Qualcomm to AT&amp;T, subject to certain conditions.  Application of AT&amp;T Inc. and Qualcomm Incorporated for Consent to Assign Licenses and Authorizations, WT Docket No. 11-18, </w:t>
      </w:r>
      <w:r w:rsidRPr="00D40600">
        <w:rPr>
          <w:i/>
          <w:iCs/>
          <w:snapToGrid w:val="0"/>
          <w:color w:val="000000"/>
        </w:rPr>
        <w:t>Order</w:t>
      </w:r>
      <w:r w:rsidRPr="00D40600">
        <w:rPr>
          <w:snapToGrid w:val="0"/>
          <w:color w:val="000000"/>
        </w:rPr>
        <w:t>, 26 FCC Rcd 17589, 17591 ¶ 5 (2011) (</w:t>
      </w:r>
      <w:r w:rsidRPr="00D40600">
        <w:rPr>
          <w:i/>
          <w:iCs/>
          <w:snapToGrid w:val="0"/>
          <w:color w:val="000000"/>
        </w:rPr>
        <w:t>AT&amp;T-Qualcomm Order</w:t>
      </w:r>
      <w:r w:rsidRPr="00D40600">
        <w:rPr>
          <w:snapToGrid w:val="0"/>
          <w:color w:val="000000"/>
        </w:rPr>
        <w:t>).</w:t>
      </w:r>
    </w:p>
  </w:footnote>
  <w:footnote w:id="211">
    <w:p w:rsidR="00EC7CF3" w:rsidRDefault="00EC7CF3" w:rsidP="00762ABD">
      <w:pPr>
        <w:pStyle w:val="FootnoteText"/>
      </w:pPr>
      <w:r w:rsidRPr="00D40600">
        <w:rPr>
          <w:rStyle w:val="FootnoteReference"/>
          <w:sz w:val="20"/>
        </w:rPr>
        <w:footnoteRef/>
      </w:r>
      <w:r w:rsidRPr="00D40600">
        <w:t xml:space="preserve"> Applications of AT&amp;T Inc. and Deutsche Telekom AG for Consent to Assign or Transfer Control of Licenses and Authorizations, WT Docket No. 11-65, </w:t>
      </w:r>
      <w:r w:rsidRPr="00D40600">
        <w:rPr>
          <w:i/>
          <w:iCs/>
        </w:rPr>
        <w:t>Staff Analysis and Findings</w:t>
      </w:r>
      <w:r w:rsidRPr="00D40600">
        <w:t xml:space="preserve">, at </w:t>
      </w:r>
      <w:hyperlink r:id="rId43" w:history="1">
        <w:r w:rsidRPr="00D40600">
          <w:rPr>
            <w:rStyle w:val="Hyperlink"/>
          </w:rPr>
          <w:t>http://hraunfoss.fcc.gov/edocs_public/attachmatch/DA-11-1955A2.pdf</w:t>
        </w:r>
      </w:hyperlink>
      <w:r w:rsidRPr="00457641">
        <w:rPr>
          <w:rStyle w:val="Hyperlink"/>
          <w:u w:val="none"/>
        </w:rPr>
        <w:t>.</w:t>
      </w:r>
      <w:r w:rsidRPr="00457641">
        <w:t xml:space="preserve"> </w:t>
      </w:r>
    </w:p>
  </w:footnote>
  <w:footnote w:id="212">
    <w:p w:rsidR="00EC7CF3" w:rsidRDefault="00EC7CF3" w:rsidP="00762ABD">
      <w:pPr>
        <w:pStyle w:val="FootnoteText"/>
      </w:pPr>
      <w:r w:rsidRPr="00D40600">
        <w:rPr>
          <w:rStyle w:val="FootnoteReference"/>
          <w:sz w:val="20"/>
        </w:rPr>
        <w:footnoteRef/>
      </w:r>
      <w:r w:rsidRPr="00D40600">
        <w:t xml:space="preserve"> </w:t>
      </w:r>
      <w:r w:rsidRPr="00D40600">
        <w:rPr>
          <w:color w:val="000000"/>
        </w:rPr>
        <w:t xml:space="preserve">Applications of T-Mobile License LLC, AT&amp;T Mobility Spectrum LLC and New Cingular Wireless PCS, LLC For Consent to Assign AWS-1 Licenses, WT Docket No. 12-21, </w:t>
      </w:r>
      <w:r w:rsidRPr="00D40600">
        <w:rPr>
          <w:rStyle w:val="Emphasis"/>
          <w:iCs/>
          <w:color w:val="000000"/>
        </w:rPr>
        <w:t>Order</w:t>
      </w:r>
      <w:r w:rsidRPr="00D40600">
        <w:rPr>
          <w:color w:val="000000"/>
        </w:rPr>
        <w:t>, 27 FCC Rcd 4124 (2012).</w:t>
      </w:r>
    </w:p>
  </w:footnote>
  <w:footnote w:id="213">
    <w:p w:rsidR="00EC7CF3" w:rsidRDefault="00EC7CF3" w:rsidP="00762ABD">
      <w:pPr>
        <w:pStyle w:val="FootnoteText"/>
      </w:pPr>
      <w:r w:rsidRPr="00D40600">
        <w:rPr>
          <w:rStyle w:val="FootnoteReference"/>
          <w:sz w:val="20"/>
        </w:rPr>
        <w:footnoteRef/>
      </w:r>
      <w:r w:rsidRPr="00D40600">
        <w:t xml:space="preserve"> </w:t>
      </w:r>
      <w:r w:rsidRPr="00D40600">
        <w:rPr>
          <w:i/>
        </w:rPr>
        <w:t>Cox to Launch Next Generation Bundle with Wireless in 2009</w:t>
      </w:r>
      <w:r w:rsidRPr="00D40600">
        <w:t xml:space="preserve">, Press Release, Cox, Oct. 27, 2008.  Cox holds the spectrum through the SpectrumCo LLC joint venture, the entity that purchased the AWS spectrum at the Commission’s 2006 AWS-1 Auction and originally included three other cable operators.  The other operators subsequently left the SpectrumCo venture, and Cox is the only remaining member.  Marguerite Reardon, </w:t>
      </w:r>
      <w:r w:rsidRPr="00D40600">
        <w:rPr>
          <w:i/>
        </w:rPr>
        <w:t>Cox Wireless Coming in March</w:t>
      </w:r>
      <w:r w:rsidRPr="00D40600">
        <w:t>,</w:t>
      </w:r>
      <w:r w:rsidRPr="00D40600">
        <w:rPr>
          <w:smallCaps/>
        </w:rPr>
        <w:t xml:space="preserve"> </w:t>
      </w:r>
      <w:r w:rsidRPr="00D40600">
        <w:t xml:space="preserve">CNET News, Jan. 14, 2010, </w:t>
      </w:r>
      <w:r w:rsidRPr="00D40600">
        <w:rPr>
          <w:i/>
        </w:rPr>
        <w:t xml:space="preserve">available at </w:t>
      </w:r>
      <w:hyperlink r:id="rId44" w:history="1">
        <w:r w:rsidRPr="00D206FB">
          <w:rPr>
            <w:rStyle w:val="Hyperlink"/>
          </w:rPr>
          <w:t>http://news.cnet.com/8301-30686_3-10434831-266.html.</w:t>
        </w:r>
        <w:r w:rsidRPr="005F5D32">
          <w:rPr>
            <w:rStyle w:val="Hyperlink"/>
            <w:color w:val="auto"/>
            <w:u w:val="none"/>
          </w:rPr>
          <w:t>(visited</w:t>
        </w:r>
      </w:hyperlink>
      <w:r>
        <w:t xml:space="preserve"> Dec 12, 2012).</w:t>
      </w:r>
    </w:p>
  </w:footnote>
  <w:footnote w:id="214">
    <w:p w:rsidR="00EC7CF3" w:rsidRDefault="00EC7CF3" w:rsidP="00762ABD">
      <w:pPr>
        <w:pStyle w:val="FootnoteText"/>
      </w:pPr>
      <w:r w:rsidRPr="00D40600">
        <w:rPr>
          <w:rStyle w:val="FootnoteReference"/>
          <w:sz w:val="20"/>
        </w:rPr>
        <w:footnoteRef/>
      </w:r>
      <w:r w:rsidRPr="00D40600">
        <w:t xml:space="preserve"> </w:t>
      </w:r>
      <w:r w:rsidRPr="00D40600">
        <w:rPr>
          <w:i/>
        </w:rPr>
        <w:t>See</w:t>
      </w:r>
      <w:r w:rsidRPr="00D40600">
        <w:t xml:space="preserve"> </w:t>
      </w:r>
      <w:r w:rsidRPr="00D40600">
        <w:rPr>
          <w:i/>
        </w:rPr>
        <w:t>Huawei to Provide CDMA Technology for Cox Communications’ Wireless Network</w:t>
      </w:r>
      <w:r w:rsidRPr="00D40600">
        <w:t xml:space="preserve">, Press Release, Huawei Technologies, Apr. 1, 2009.  </w:t>
      </w:r>
      <w:r w:rsidRPr="00D40600">
        <w:rPr>
          <w:i/>
        </w:rPr>
        <w:t>See</w:t>
      </w:r>
      <w:r w:rsidRPr="00D40600">
        <w:t xml:space="preserve"> </w:t>
      </w:r>
      <w:r w:rsidRPr="00D40600">
        <w:rPr>
          <w:i/>
        </w:rPr>
        <w:t>also</w:t>
      </w:r>
      <w:r w:rsidRPr="00D40600">
        <w:t xml:space="preserve"> Amol Sharma and Sarah Silver, </w:t>
      </w:r>
      <w:r w:rsidRPr="00D40600">
        <w:rPr>
          <w:i/>
        </w:rPr>
        <w:t>Huawei Tries to Crack U.S. Market</w:t>
      </w:r>
      <w:r w:rsidRPr="00D40600">
        <w:t>, Wall Street Journal, Mar. 26, 2009, at B2.</w:t>
      </w:r>
    </w:p>
  </w:footnote>
  <w:footnote w:id="215">
    <w:p w:rsidR="00EC7CF3" w:rsidRDefault="00EC7CF3" w:rsidP="00762ABD">
      <w:pPr>
        <w:pStyle w:val="FootnoteText"/>
      </w:pPr>
      <w:r w:rsidRPr="00D40600">
        <w:rPr>
          <w:rStyle w:val="FootnoteReference"/>
          <w:sz w:val="20"/>
        </w:rPr>
        <w:footnoteRef/>
      </w:r>
      <w:r w:rsidRPr="00D40600">
        <w:t xml:space="preserve">  </w:t>
      </w:r>
      <w:r w:rsidRPr="00D40600">
        <w:rPr>
          <w:i/>
        </w:rPr>
        <w:t>See</w:t>
      </w:r>
      <w:r w:rsidRPr="00D40600">
        <w:t xml:space="preserve"> Cox Enterprises, </w:t>
      </w:r>
      <w:r w:rsidRPr="00D40600">
        <w:rPr>
          <w:i/>
        </w:rPr>
        <w:t>2009 Annual Report</w:t>
      </w:r>
      <w:r w:rsidRPr="00D40600">
        <w:t xml:space="preserve">, </w:t>
      </w:r>
      <w:hyperlink r:id="rId45" w:history="1">
        <w:r w:rsidRPr="00D40600">
          <w:rPr>
            <w:rStyle w:val="Hyperlink"/>
          </w:rPr>
          <w:t>http://www.coxenterprises.com/media/35045/cox_09_annual.pdf</w:t>
        </w:r>
      </w:hyperlink>
      <w:r w:rsidRPr="00D40600">
        <w:t xml:space="preserve"> (visited Oct. 21, 2010).  Cox also announced that it conducted LTE trials in Phoenix and San Diego in 2010.  </w:t>
      </w:r>
      <w:r w:rsidRPr="00D40600">
        <w:rPr>
          <w:i/>
        </w:rPr>
        <w:t>Cox Successfully Demonstrates the Delivery of Voice Calling, High Definition Video Via 4G Wireless Technology,</w:t>
      </w:r>
      <w:r w:rsidRPr="00D40600">
        <w:t xml:space="preserve"> Press Release, Cox, Jan. 25, 2010, </w:t>
      </w:r>
      <w:r w:rsidRPr="00D40600">
        <w:rPr>
          <w:i/>
        </w:rPr>
        <w:t>available at</w:t>
      </w:r>
      <w:r w:rsidRPr="00D40600">
        <w:t xml:space="preserve"> </w:t>
      </w:r>
      <w:hyperlink r:id="rId46" w:history="1">
        <w:r w:rsidRPr="007C0F0A">
          <w:rPr>
            <w:rStyle w:val="Hyperlink"/>
          </w:rPr>
          <w:t xml:space="preserve">http://coxenterprises.mediaroom.com/index.php?s=43&amp;item=841 </w:t>
        </w:r>
        <w:r w:rsidRPr="006727DA">
          <w:rPr>
            <w:rStyle w:val="Hyperlink"/>
            <w:color w:val="auto"/>
            <w:u w:val="none"/>
          </w:rPr>
          <w:t xml:space="preserve"> (visited</w:t>
        </w:r>
      </w:hyperlink>
      <w:r w:rsidRPr="006727DA">
        <w:t xml:space="preserve"> Nov. 30, 2012).</w:t>
      </w:r>
    </w:p>
  </w:footnote>
  <w:footnote w:id="216">
    <w:p w:rsidR="00EC7CF3" w:rsidRDefault="00EC7CF3" w:rsidP="00762ABD">
      <w:pPr>
        <w:pStyle w:val="FootnoteText"/>
      </w:pPr>
      <w:r w:rsidRPr="00D40600">
        <w:rPr>
          <w:rStyle w:val="FootnoteReference"/>
          <w:sz w:val="20"/>
        </w:rPr>
        <w:footnoteRef/>
      </w:r>
      <w:r w:rsidRPr="00D40600">
        <w:t xml:space="preserve"> </w:t>
      </w:r>
      <w:r w:rsidRPr="00D40600">
        <w:rPr>
          <w:i/>
        </w:rPr>
        <w:t xml:space="preserve">See </w:t>
      </w:r>
      <w:r w:rsidRPr="00D40600">
        <w:t xml:space="preserve">Ed Hansberry, </w:t>
      </w:r>
      <w:r w:rsidRPr="00D40600">
        <w:rPr>
          <w:i/>
        </w:rPr>
        <w:t>Cox Abandons 3G Network</w:t>
      </w:r>
      <w:r w:rsidRPr="00D40600">
        <w:t xml:space="preserve">, InformationWeek, May 25, 2011, at </w:t>
      </w:r>
      <w:hyperlink r:id="rId47" w:history="1">
        <w:r w:rsidRPr="00D40600">
          <w:rPr>
            <w:rStyle w:val="Hyperlink"/>
          </w:rPr>
          <w:t>http://www.informationweek.com/news/mobility/3G/229625643</w:t>
        </w:r>
      </w:hyperlink>
      <w:r w:rsidRPr="00D40600">
        <w:t xml:space="preserve">; Alex Sherman, </w:t>
      </w:r>
      <w:r w:rsidRPr="00D40600">
        <w:rPr>
          <w:i/>
        </w:rPr>
        <w:t>Cox Communications Stops Building 3G Network, Will Use Sprint’s</w:t>
      </w:r>
      <w:r w:rsidRPr="00D40600">
        <w:t xml:space="preserve">, Bloomberg, May 24, 2011, at </w:t>
      </w:r>
      <w:hyperlink r:id="rId48" w:history="1">
        <w:r w:rsidRPr="00D40600">
          <w:rPr>
            <w:rStyle w:val="Hyperlink"/>
          </w:rPr>
          <w:t>http://www.bloomberg.com/news/2011-05-24/cox-communications-stops-building-3g-network-will-use-sprint-s.html</w:t>
        </w:r>
      </w:hyperlink>
      <w:r>
        <w:t xml:space="preserve"> (visited Nov. 30, 2012).</w:t>
      </w:r>
    </w:p>
  </w:footnote>
  <w:footnote w:id="217">
    <w:p w:rsidR="00EC7CF3" w:rsidRDefault="00EC7CF3" w:rsidP="00762ABD">
      <w:pPr>
        <w:pStyle w:val="FootnoteText"/>
      </w:pPr>
      <w:r w:rsidRPr="00D40600">
        <w:rPr>
          <w:rStyle w:val="FootnoteReference"/>
          <w:sz w:val="20"/>
        </w:rPr>
        <w:footnoteRef/>
      </w:r>
      <w:r w:rsidRPr="00D40600">
        <w:t xml:space="preserve"> Cox Communications, Press Release, </w:t>
      </w:r>
      <w:r w:rsidRPr="00D40600">
        <w:rPr>
          <w:i/>
        </w:rPr>
        <w:t>Cox Communications to Discontinue Cox Wireless Service, Effective March 30, 2012</w:t>
      </w:r>
      <w:r w:rsidRPr="00D40600">
        <w:t>, November 15, 2011.</w:t>
      </w:r>
    </w:p>
  </w:footnote>
  <w:footnote w:id="218">
    <w:p w:rsidR="00EC7CF3" w:rsidRDefault="00EC7CF3" w:rsidP="00762ABD">
      <w:pPr>
        <w:pStyle w:val="FootnoteText"/>
      </w:pPr>
      <w:r w:rsidRPr="00D40600">
        <w:rPr>
          <w:rStyle w:val="FootnoteReference"/>
          <w:sz w:val="20"/>
        </w:rPr>
        <w:footnoteRef/>
      </w:r>
      <w:r w:rsidRPr="00D40600">
        <w:t xml:space="preserve"> Cox Communications, Press Release, </w:t>
      </w:r>
      <w:r w:rsidRPr="00D40600">
        <w:rPr>
          <w:i/>
        </w:rPr>
        <w:t>Cox Communications to Discontinue Cox Wireless Service, Effective March 30, 2012</w:t>
      </w:r>
      <w:r w:rsidRPr="00D40600">
        <w:t>, November 15, 2011.</w:t>
      </w:r>
    </w:p>
  </w:footnote>
  <w:footnote w:id="219">
    <w:p w:rsidR="00EC7CF3" w:rsidRPr="00D40600" w:rsidRDefault="00EC7CF3" w:rsidP="00B85737">
      <w:pPr>
        <w:widowControl/>
        <w:autoSpaceDE w:val="0"/>
        <w:autoSpaceDN w:val="0"/>
        <w:adjustRightInd w:val="0"/>
        <w:rPr>
          <w:rFonts w:ascii="TimesNewRoman" w:hAnsi="TimesNewRoman" w:cs="TimesNewRoman" w:hint="eastAsia"/>
          <w:kern w:val="0"/>
          <w:sz w:val="20"/>
        </w:rPr>
      </w:pPr>
      <w:r w:rsidRPr="00D40600">
        <w:rPr>
          <w:rStyle w:val="FootnoteReference"/>
          <w:sz w:val="20"/>
        </w:rPr>
        <w:footnoteRef/>
      </w:r>
      <w:r w:rsidRPr="00D40600">
        <w:rPr>
          <w:sz w:val="20"/>
        </w:rPr>
        <w:t xml:space="preserve"> </w:t>
      </w:r>
      <w:r w:rsidRPr="00D40600">
        <w:rPr>
          <w:rFonts w:ascii="TimesNewRoman" w:hAnsi="TimesNewRoman" w:cs="TimesNewRoman"/>
          <w:kern w:val="0"/>
          <w:sz w:val="20"/>
        </w:rPr>
        <w:t>Application of Cellco Partnership d/b/a Verizon Wireless and Cox TMI Wireless, LLC for Consent to Assign</w:t>
      </w:r>
    </w:p>
    <w:p w:rsidR="00EC7CF3" w:rsidRDefault="00EC7CF3">
      <w:pPr>
        <w:pStyle w:val="FootnoteText"/>
      </w:pPr>
      <w:r w:rsidRPr="00D40600">
        <w:rPr>
          <w:rFonts w:ascii="TimesNewRoman" w:hAnsi="TimesNewRoman" w:cs="TimesNewRoman"/>
        </w:rPr>
        <w:t>Licenses, File No. 0004996680 (filed Dec. 21, 2011)</w:t>
      </w:r>
      <w:r>
        <w:rPr>
          <w:rFonts w:ascii="TimesNewRoman" w:hAnsi="TimesNewRoman" w:cs="TimesNewRoman"/>
        </w:rPr>
        <w:t>.</w:t>
      </w:r>
    </w:p>
  </w:footnote>
  <w:footnote w:id="220">
    <w:p w:rsidR="00EC7CF3" w:rsidRDefault="00EC7CF3" w:rsidP="001F480C">
      <w:pPr>
        <w:pStyle w:val="FootnoteText"/>
      </w:pPr>
      <w:r w:rsidRPr="00D40600">
        <w:rPr>
          <w:rStyle w:val="FootnoteReference"/>
          <w:sz w:val="20"/>
        </w:rPr>
        <w:footnoteRef/>
      </w:r>
      <w:r w:rsidRPr="00D40600">
        <w:t xml:space="preserve"> </w:t>
      </w:r>
      <w:r w:rsidRPr="00D40600">
        <w:rPr>
          <w:i/>
        </w:rPr>
        <w:t>See</w:t>
      </w:r>
      <w:r w:rsidRPr="00D40600">
        <w:t xml:space="preserve"> FCC, Office of General Counsel, Transaction Team, </w:t>
      </w:r>
      <w:r w:rsidRPr="00D40600">
        <w:rPr>
          <w:i/>
        </w:rPr>
        <w:t>T-Mobile/MetroPCS,</w:t>
      </w:r>
      <w:r w:rsidRPr="00D40600">
        <w:t xml:space="preserve"> WT Docket No. 12-301, </w:t>
      </w:r>
      <w:hyperlink r:id="rId49" w:history="1">
        <w:r w:rsidRPr="00D40600">
          <w:rPr>
            <w:rStyle w:val="Hyperlink"/>
          </w:rPr>
          <w:t>http://transition.fcc.gov/transaction/tmobile-metropcs.html</w:t>
        </w:r>
      </w:hyperlink>
      <w:r w:rsidRPr="00D40600">
        <w:t xml:space="preserve"> (visited </w:t>
      </w:r>
      <w:r>
        <w:t>Mar. 13</w:t>
      </w:r>
      <w:r w:rsidRPr="00D40600">
        <w:t>, 201</w:t>
      </w:r>
      <w:r>
        <w:t>3</w:t>
      </w:r>
      <w:r w:rsidRPr="00D40600">
        <w:t>)</w:t>
      </w:r>
      <w:r>
        <w:t>.</w:t>
      </w:r>
    </w:p>
  </w:footnote>
  <w:footnote w:id="221">
    <w:p w:rsidR="00EC7CF3" w:rsidRDefault="00EC7CF3">
      <w:pPr>
        <w:pStyle w:val="FootnoteText"/>
      </w:pPr>
      <w:r>
        <w:rPr>
          <w:rStyle w:val="FootnoteReference"/>
        </w:rPr>
        <w:footnoteRef/>
      </w:r>
      <w:r>
        <w:t xml:space="preserve"> </w:t>
      </w:r>
      <w:r w:rsidRPr="00215D9F">
        <w:rPr>
          <w:i/>
        </w:rPr>
        <w:t>See</w:t>
      </w:r>
      <w:r>
        <w:t xml:space="preserve"> </w:t>
      </w:r>
      <w:r w:rsidRPr="00215D9F">
        <w:rPr>
          <w:i/>
        </w:rPr>
        <w:t>generally</w:t>
      </w:r>
      <w:r>
        <w:t xml:space="preserve"> Applications of Deutsche Telekom AG, T-Mobile USA, Inc. and MetroPCS Communications, Inc. for Consent to Transfer of Control of Licenses and Authorizations, WT Docket No. 12-301, </w:t>
      </w:r>
      <w:r w:rsidRPr="0004496F">
        <w:rPr>
          <w:i/>
        </w:rPr>
        <w:t>Memorandum Opinion and Order</w:t>
      </w:r>
      <w:r>
        <w:t>, DA 13-384 (WTB and IB rel. Mar. 12, 2013).</w:t>
      </w:r>
    </w:p>
  </w:footnote>
  <w:footnote w:id="222">
    <w:p w:rsidR="00EC7CF3" w:rsidRDefault="00EC7CF3" w:rsidP="00762ABD">
      <w:pPr>
        <w:pStyle w:val="FootnoteText"/>
      </w:pPr>
      <w:r w:rsidRPr="00D40600">
        <w:rPr>
          <w:rStyle w:val="FootnoteReference"/>
          <w:sz w:val="20"/>
        </w:rPr>
        <w:footnoteRef/>
      </w:r>
      <w:r w:rsidRPr="00D40600">
        <w:t xml:space="preserve"> High economic profits encourage entry into the market, low economic profits discourage entry, and prolonged negative economic profits induce exit from the market.</w:t>
      </w:r>
      <w:r w:rsidRPr="00D40600">
        <w:rPr>
          <w:i/>
        </w:rPr>
        <w:t xml:space="preserve">  See</w:t>
      </w:r>
      <w:r w:rsidRPr="00D40600">
        <w:t xml:space="preserve"> </w:t>
      </w:r>
      <w:r w:rsidRPr="00D40600">
        <w:rPr>
          <w:i/>
        </w:rPr>
        <w:t>Intermediate Microeconomics</w:t>
      </w:r>
      <w:r w:rsidRPr="00D40600">
        <w:t xml:space="preserve">, at 394-395, 503; </w:t>
      </w:r>
      <w:r w:rsidRPr="00D40600">
        <w:rPr>
          <w:i/>
        </w:rPr>
        <w:t>Modern Industrial Organization</w:t>
      </w:r>
      <w:r w:rsidRPr="00D40600">
        <w:t xml:space="preserve">, at 61, 76.  </w:t>
      </w:r>
      <w:r w:rsidRPr="00D40600">
        <w:rPr>
          <w:i/>
        </w:rPr>
        <w:t>See also</w:t>
      </w:r>
      <w:r w:rsidRPr="00D40600">
        <w:t xml:space="preserve"> </w:t>
      </w:r>
      <w:r w:rsidRPr="00D40600">
        <w:rPr>
          <w:i/>
        </w:rPr>
        <w:t>Competition After Unbundling</w:t>
      </w:r>
      <w:r w:rsidRPr="00D40600">
        <w:t xml:space="preserve">, at 334.  </w:t>
      </w:r>
    </w:p>
  </w:footnote>
  <w:footnote w:id="223">
    <w:p w:rsidR="00EC7CF3" w:rsidRDefault="00EC7CF3" w:rsidP="00762ABD">
      <w:pPr>
        <w:pStyle w:val="FootnoteText"/>
      </w:pPr>
      <w:r w:rsidRPr="00D40600">
        <w:rPr>
          <w:rStyle w:val="FootnoteReference"/>
          <w:sz w:val="20"/>
        </w:rPr>
        <w:footnoteRef/>
      </w:r>
      <w:r w:rsidRPr="00D40600">
        <w:t xml:space="preserve"> Regulatory delay can, in turn, lead to entry delay.  One example of a regulatory delay would be the clearing of a spectrum band.  Economists argue that some operating licenses and other legal restrictions that serve to limit access to the market are barriers to entry, </w:t>
      </w:r>
      <w:r w:rsidRPr="00D40600">
        <w:rPr>
          <w:i/>
        </w:rPr>
        <w:t>i.e.</w:t>
      </w:r>
      <w:r w:rsidRPr="00D40600">
        <w:t xml:space="preserve">, they create positive economic profits for incumbents which are not bid away by new entry.  </w:t>
      </w:r>
      <w:r w:rsidRPr="00D40600">
        <w:rPr>
          <w:i/>
        </w:rPr>
        <w:t>See</w:t>
      </w:r>
      <w:r w:rsidRPr="00D40600">
        <w:t xml:space="preserve"> Jean Tirole, </w:t>
      </w:r>
      <w:r w:rsidRPr="00D40600">
        <w:rPr>
          <w:i/>
        </w:rPr>
        <w:t>The Theory of Industrial Organization</w:t>
      </w:r>
      <w:r w:rsidRPr="00D40600">
        <w:t xml:space="preserve">, MIT Press, 1988, at 305.  </w:t>
      </w:r>
      <w:r w:rsidRPr="00D40600">
        <w:rPr>
          <w:i/>
        </w:rPr>
        <w:t>See</w:t>
      </w:r>
      <w:r w:rsidRPr="00D40600">
        <w:t xml:space="preserve"> </w:t>
      </w:r>
      <w:r w:rsidRPr="00D40600">
        <w:rPr>
          <w:i/>
        </w:rPr>
        <w:t>also</w:t>
      </w:r>
      <w:r w:rsidRPr="00D40600">
        <w:t xml:space="preserve"> Hal R. Varian,</w:t>
      </w:r>
      <w:r w:rsidRPr="00D40600">
        <w:rPr>
          <w:i/>
        </w:rPr>
        <w:t xml:space="preserve"> Intermediate Microeconomics: A Modern Approach</w:t>
      </w:r>
      <w:r w:rsidRPr="00D40600">
        <w:t>, W. W. Norton and Company, 1999, at 395 (</w:t>
      </w:r>
      <w:r w:rsidRPr="00D40600">
        <w:rPr>
          <w:i/>
        </w:rPr>
        <w:t>Intermediate Microeconomics</w:t>
      </w:r>
      <w:r w:rsidRPr="00D40600">
        <w:t xml:space="preserve">).  </w:t>
      </w:r>
    </w:p>
  </w:footnote>
  <w:footnote w:id="224">
    <w:p w:rsidR="00EC7CF3" w:rsidRDefault="00EC7CF3" w:rsidP="00762ABD">
      <w:pPr>
        <w:pStyle w:val="FootnoteText"/>
      </w:pPr>
      <w:r w:rsidRPr="00D40600">
        <w:rPr>
          <w:rStyle w:val="FootnoteReference"/>
          <w:sz w:val="20"/>
        </w:rPr>
        <w:footnoteRef/>
      </w:r>
      <w:r w:rsidRPr="00D40600">
        <w:t xml:space="preserve"> </w:t>
      </w:r>
      <w:r w:rsidRPr="00D40600">
        <w:rPr>
          <w:i/>
        </w:rPr>
        <w:t>See</w:t>
      </w:r>
      <w:r w:rsidRPr="00D40600">
        <w:t xml:space="preserve"> Connect America Fund, </w:t>
      </w:r>
      <w:r w:rsidRPr="00D40600">
        <w:rPr>
          <w:i/>
        </w:rPr>
        <w:t>Report and Order and Further Notice of Proposed Rulemaking</w:t>
      </w:r>
      <w:r w:rsidRPr="00D40600">
        <w:t>, released November 11, 2011.</w:t>
      </w:r>
    </w:p>
  </w:footnote>
  <w:footnote w:id="225">
    <w:p w:rsidR="00EC7CF3" w:rsidRDefault="00EC7CF3" w:rsidP="00762ABD">
      <w:pPr>
        <w:pStyle w:val="FootnoteText"/>
      </w:pPr>
      <w:r w:rsidRPr="00D40600">
        <w:rPr>
          <w:rStyle w:val="FootnoteReference"/>
          <w:sz w:val="20"/>
        </w:rPr>
        <w:footnoteRef/>
      </w:r>
      <w:r w:rsidRPr="00D40600">
        <w:t xml:space="preserve"> </w:t>
      </w:r>
      <w:r w:rsidRPr="00D40600">
        <w:rPr>
          <w:i/>
        </w:rPr>
        <w:t>See</w:t>
      </w:r>
      <w:r w:rsidRPr="00D40600">
        <w:t xml:space="preserve"> </w:t>
      </w:r>
      <w:r w:rsidRPr="00D40600">
        <w:rPr>
          <w:i/>
        </w:rPr>
        <w:t>Modern Industrial Organization</w:t>
      </w:r>
      <w:r w:rsidRPr="00D40600">
        <w:t xml:space="preserve"> at 12, 61-62.  </w:t>
      </w:r>
      <w:r w:rsidRPr="00D40600">
        <w:rPr>
          <w:i/>
        </w:rPr>
        <w:t>See</w:t>
      </w:r>
      <w:r w:rsidRPr="00D40600">
        <w:t xml:space="preserve"> </w:t>
      </w:r>
      <w:r w:rsidRPr="00D40600">
        <w:rPr>
          <w:i/>
        </w:rPr>
        <w:t>also The Theory of Industrial Organization</w:t>
      </w:r>
      <w:r w:rsidRPr="00D40600">
        <w:t xml:space="preserve">, at 34; George S. Ford, </w:t>
      </w:r>
      <w:r w:rsidRPr="00D40600">
        <w:rPr>
          <w:i/>
        </w:rPr>
        <w:t>et al</w:t>
      </w:r>
      <w:r w:rsidRPr="00D40600">
        <w:t xml:space="preserve">., </w:t>
      </w:r>
      <w:r w:rsidRPr="00D40600">
        <w:rPr>
          <w:i/>
        </w:rPr>
        <w:t>Competition After Unbundling: Entry, Industry Structure, and Convergence</w:t>
      </w:r>
      <w:r w:rsidRPr="00D40600">
        <w:t>, Federal Communications Law Journal, 2007, 59: 2, at 342 (</w:t>
      </w:r>
      <w:r w:rsidRPr="00D40600">
        <w:rPr>
          <w:i/>
        </w:rPr>
        <w:t>Competition After Unbundling)</w:t>
      </w:r>
      <w:r w:rsidRPr="00D40600">
        <w:t>.</w:t>
      </w:r>
    </w:p>
  </w:footnote>
  <w:footnote w:id="226">
    <w:p w:rsidR="00EC7CF3" w:rsidRDefault="00EC7CF3" w:rsidP="00762ABD">
      <w:pPr>
        <w:pStyle w:val="FootnoteText"/>
      </w:pPr>
      <w:r w:rsidRPr="00D40600">
        <w:rPr>
          <w:rStyle w:val="FootnoteReference"/>
          <w:sz w:val="20"/>
        </w:rPr>
        <w:footnoteRef/>
      </w:r>
      <w:r w:rsidRPr="00D40600">
        <w:t xml:space="preserve"> </w:t>
      </w:r>
      <w:r w:rsidRPr="00D40600">
        <w:rPr>
          <w:i/>
        </w:rPr>
        <w:t>See</w:t>
      </w:r>
      <w:r w:rsidRPr="00D40600">
        <w:t xml:space="preserve"> Rappaport, T. S., </w:t>
      </w:r>
      <w:r w:rsidRPr="00D40600">
        <w:rPr>
          <w:i/>
        </w:rPr>
        <w:t>Wireless Communications: Principles and Practice</w:t>
      </w:r>
      <w:r w:rsidRPr="00D40600">
        <w:t xml:space="preserve"> (2</w:t>
      </w:r>
      <w:r w:rsidRPr="00D40600">
        <w:rPr>
          <w:vertAlign w:val="superscript"/>
        </w:rPr>
        <w:t>nd</w:t>
      </w:r>
      <w:r w:rsidRPr="00D40600">
        <w:t xml:space="preserve"> ed.), Prentice Hall, 2002, at 58.</w:t>
      </w:r>
    </w:p>
  </w:footnote>
  <w:footnote w:id="227">
    <w:p w:rsidR="00EC7CF3" w:rsidRDefault="00EC7CF3" w:rsidP="00762ABD">
      <w:pPr>
        <w:pStyle w:val="FootnoteText"/>
      </w:pPr>
      <w:r w:rsidRPr="00D40600">
        <w:rPr>
          <w:rStyle w:val="FootnoteReference"/>
          <w:sz w:val="20"/>
        </w:rPr>
        <w:footnoteRef/>
      </w:r>
      <w:r w:rsidRPr="00D40600">
        <w:t xml:space="preserve"> </w:t>
      </w:r>
      <w:r w:rsidRPr="00D40600">
        <w:rPr>
          <w:i/>
        </w:rPr>
        <w:t>See</w:t>
      </w:r>
      <w:r w:rsidRPr="00D40600">
        <w:t xml:space="preserve"> FCC, Spectrum Policy Task Force, Report of the Spectrum Efficiency Working Group, 2002, at 16, (</w:t>
      </w:r>
      <w:r w:rsidRPr="00D40600">
        <w:rPr>
          <w:i/>
        </w:rPr>
        <w:t>Spectrum Policy Task Force Report</w:t>
      </w:r>
      <w:r w:rsidRPr="00D40600">
        <w:t xml:space="preserve">).  A discussion of the Commission’s flexible licensing policies and their effects on network deployment can be found in Section </w:t>
      </w:r>
      <w:r w:rsidR="00951E9B">
        <w:fldChar w:fldCharType="begin"/>
      </w:r>
      <w:r w:rsidR="00951E9B">
        <w:instrText xml:space="preserve"> REF _Ref256506775 \r  \* MERGEFORMAT </w:instrText>
      </w:r>
      <w:r w:rsidR="00951E9B">
        <w:fldChar w:fldCharType="separate"/>
      </w:r>
      <w:r>
        <w:t>IV.B.1</w:t>
      </w:r>
      <w:r w:rsidR="00951E9B">
        <w:fldChar w:fldCharType="end"/>
      </w:r>
      <w:r w:rsidRPr="00D40600">
        <w:t xml:space="preserve">, </w:t>
      </w:r>
      <w:r w:rsidR="00951E9B">
        <w:fldChar w:fldCharType="begin"/>
      </w:r>
      <w:r w:rsidR="00951E9B">
        <w:instrText xml:space="preserve"> REF _Ref257369473  \* MERGEFORMAT </w:instrText>
      </w:r>
      <w:r w:rsidR="00951E9B">
        <w:fldChar w:fldCharType="separate"/>
      </w:r>
      <w:r w:rsidRPr="00CA3AC6">
        <w:t>Network Coverage and Technology Upgrades</w:t>
      </w:r>
      <w:r w:rsidR="00951E9B">
        <w:fldChar w:fldCharType="end"/>
      </w:r>
      <w:r w:rsidRPr="00D40600">
        <w:t xml:space="preserve">, </w:t>
      </w:r>
      <w:r w:rsidRPr="00D40600">
        <w:rPr>
          <w:i/>
        </w:rPr>
        <w:t>infra.</w:t>
      </w:r>
    </w:p>
  </w:footnote>
  <w:footnote w:id="228">
    <w:p w:rsidR="00EC7CF3" w:rsidRDefault="00EC7CF3" w:rsidP="00762ABD">
      <w:pPr>
        <w:pStyle w:val="FootnoteText"/>
      </w:pPr>
      <w:r w:rsidRPr="00D40600">
        <w:rPr>
          <w:rStyle w:val="FootnoteReference"/>
          <w:sz w:val="20"/>
        </w:rPr>
        <w:footnoteRef/>
      </w:r>
      <w:r w:rsidRPr="00D40600">
        <w:t xml:space="preserve"> Further discussion and data on the market for spectrum, recent spectrum auctions, upcoming spectrum auctions, and spectrum policy can be found in Section III.F, Spectrum for Mobile Wireless Services, </w:t>
      </w:r>
      <w:r w:rsidRPr="00D40600">
        <w:rPr>
          <w:i/>
        </w:rPr>
        <w:t>infra</w:t>
      </w:r>
      <w:r w:rsidRPr="00D40600">
        <w:t xml:space="preserve"> and Appendix A, </w:t>
      </w:r>
      <w:r w:rsidRPr="00D40600">
        <w:rPr>
          <w:i/>
        </w:rPr>
        <w:t>infra.</w:t>
      </w:r>
    </w:p>
  </w:footnote>
  <w:footnote w:id="229">
    <w:p w:rsidR="00EC7CF3" w:rsidRDefault="00EC7CF3" w:rsidP="00762ABD">
      <w:pPr>
        <w:pStyle w:val="FootnoteText"/>
      </w:pPr>
      <w:r w:rsidRPr="00D40600">
        <w:rPr>
          <w:rStyle w:val="FootnoteReference"/>
          <w:sz w:val="20"/>
        </w:rPr>
        <w:footnoteRef/>
      </w:r>
      <w:r w:rsidRPr="00D40600">
        <w:t xml:space="preserve"> Petition for Declaratory Ruling to Clarify Provisions of Section 332(c)(7)(B) to Ensure Timely Siting Review and to Preempt Under Section 253 State and Local Ordinances that Classify All Wireless Siting Proposals as Requiring a Variance, WT Docket No. 08-165, </w:t>
      </w:r>
      <w:r w:rsidRPr="00D40600">
        <w:rPr>
          <w:i/>
        </w:rPr>
        <w:t>Declaratory Ruling</w:t>
      </w:r>
      <w:r w:rsidRPr="00D40600">
        <w:t xml:space="preserve">, 24 FCC Rcd 13994, 14005 ¶ 33 (2009), </w:t>
      </w:r>
      <w:r w:rsidRPr="00D40600">
        <w:rPr>
          <w:i/>
        </w:rPr>
        <w:t>pet. for recon. denied,</w:t>
      </w:r>
      <w:r w:rsidRPr="00D40600">
        <w:t xml:space="preserve"> 25 FCC Rcd 11157 (2010), </w:t>
      </w:r>
      <w:r w:rsidRPr="00D40600">
        <w:rPr>
          <w:i/>
        </w:rPr>
        <w:t>pet. for review denied sub nom. City of Arlington, Texas v. FCC</w:t>
      </w:r>
      <w:r w:rsidRPr="00D40600">
        <w:t>, 668 F.3d 229 (5</w:t>
      </w:r>
      <w:r w:rsidRPr="00D40600">
        <w:rPr>
          <w:vertAlign w:val="superscript"/>
        </w:rPr>
        <w:t>th</w:t>
      </w:r>
      <w:r w:rsidRPr="00D40600">
        <w:t xml:space="preserve"> Cir. 2012); </w:t>
      </w:r>
      <w:r>
        <w:rPr>
          <w:i/>
        </w:rPr>
        <w:t xml:space="preserve">cert granted </w:t>
      </w:r>
      <w:r w:rsidRPr="00611970">
        <w:t>133 S.Ct. 524 (Oct 5, 2012), oral argument Jan 16, 2013.</w:t>
      </w:r>
      <w:r w:rsidRPr="00D40600">
        <w:rPr>
          <w:i/>
        </w:rPr>
        <w:t xml:space="preserve"> </w:t>
      </w:r>
    </w:p>
  </w:footnote>
  <w:footnote w:id="230">
    <w:p w:rsidR="00EC7CF3" w:rsidRDefault="00EC7CF3" w:rsidP="00762ABD">
      <w:pPr>
        <w:pStyle w:val="FootnoteText"/>
      </w:pPr>
      <w:r w:rsidRPr="00D40600">
        <w:rPr>
          <w:rStyle w:val="FootnoteReference"/>
          <w:sz w:val="20"/>
        </w:rPr>
        <w:footnoteRef/>
      </w:r>
      <w:r w:rsidRPr="00D40600">
        <w:t xml:space="preserve"> </w:t>
      </w:r>
      <w:r w:rsidRPr="00D40600">
        <w:rPr>
          <w:i/>
        </w:rPr>
        <w:t>Id</w:t>
      </w:r>
      <w:r w:rsidRPr="00D40600">
        <w:t>. at 13995 ¶ 4.</w:t>
      </w:r>
    </w:p>
  </w:footnote>
  <w:footnote w:id="231">
    <w:p w:rsidR="00EC7CF3" w:rsidRDefault="00EC7CF3" w:rsidP="00762ABD">
      <w:pPr>
        <w:pStyle w:val="FootnoteText"/>
      </w:pPr>
      <w:r w:rsidRPr="00D40600">
        <w:rPr>
          <w:rStyle w:val="FootnoteReference"/>
          <w:sz w:val="20"/>
        </w:rPr>
        <w:footnoteRef/>
      </w:r>
      <w:r w:rsidRPr="00D40600">
        <w:t xml:space="preserve"> </w:t>
      </w:r>
      <w:r w:rsidRPr="00D40600">
        <w:rPr>
          <w:i/>
        </w:rPr>
        <w:t>Id</w:t>
      </w:r>
      <w:r w:rsidRPr="00D40600">
        <w:t>. at 13995 ¶ 4, 14013 ¶ 49.</w:t>
      </w:r>
    </w:p>
  </w:footnote>
  <w:footnote w:id="232">
    <w:p w:rsidR="00EC7CF3" w:rsidRDefault="00EC7CF3" w:rsidP="00762ABD">
      <w:pPr>
        <w:pStyle w:val="FootnoteText"/>
      </w:pPr>
      <w:r w:rsidRPr="00A418E1">
        <w:rPr>
          <w:rStyle w:val="FootnoteReference"/>
          <w:sz w:val="20"/>
        </w:rPr>
        <w:footnoteRef/>
      </w:r>
      <w:r w:rsidRPr="00A418E1">
        <w:rPr>
          <w:rStyle w:val="FootnoteReference"/>
          <w:sz w:val="20"/>
        </w:rPr>
        <w:t xml:space="preserve"> </w:t>
      </w:r>
      <w:r w:rsidRPr="00A418E1">
        <w:rPr>
          <w:i/>
        </w:rPr>
        <w:t xml:space="preserve">Id. </w:t>
      </w:r>
      <w:r w:rsidRPr="00A418E1">
        <w:t>at 13995-96 ¶ 5.</w:t>
      </w:r>
    </w:p>
  </w:footnote>
  <w:footnote w:id="233">
    <w:p w:rsidR="00EC7CF3" w:rsidRDefault="00EC7CF3" w:rsidP="00066842">
      <w:pPr>
        <w:pStyle w:val="FootnoteText"/>
      </w:pPr>
      <w:r w:rsidRPr="00D40600">
        <w:rPr>
          <w:rStyle w:val="FootnoteReference"/>
          <w:sz w:val="20"/>
        </w:rPr>
        <w:footnoteRef/>
      </w:r>
      <w:r w:rsidRPr="00D40600">
        <w:t xml:space="preserve"> Middle Class Tax Relief and Job Creation Act of 2012, P.L. 112-96.</w:t>
      </w:r>
    </w:p>
  </w:footnote>
  <w:footnote w:id="234">
    <w:p w:rsidR="00EC7CF3" w:rsidRDefault="00EC7CF3" w:rsidP="00066842">
      <w:pPr>
        <w:pStyle w:val="FootnoteText"/>
      </w:pPr>
      <w:r w:rsidRPr="00D40600">
        <w:rPr>
          <w:rStyle w:val="FootnoteReference"/>
          <w:sz w:val="20"/>
        </w:rPr>
        <w:footnoteRef/>
      </w:r>
      <w:r w:rsidRPr="00D40600">
        <w:t xml:space="preserve"> </w:t>
      </w:r>
      <w:r w:rsidRPr="00D40600">
        <w:rPr>
          <w:i/>
        </w:rPr>
        <w:t xml:space="preserve">Id. </w:t>
      </w:r>
      <w:r w:rsidRPr="00D40600">
        <w:t>§ 6409(a).</w:t>
      </w:r>
    </w:p>
  </w:footnote>
  <w:footnote w:id="235">
    <w:p w:rsidR="00EC7CF3" w:rsidRDefault="00EC7CF3" w:rsidP="00066842">
      <w:pPr>
        <w:pStyle w:val="FootnoteText"/>
      </w:pPr>
      <w:r w:rsidRPr="00D40600">
        <w:rPr>
          <w:rStyle w:val="FootnoteReference"/>
          <w:sz w:val="20"/>
        </w:rPr>
        <w:footnoteRef/>
      </w:r>
      <w:r w:rsidRPr="00D40600">
        <w:t xml:space="preserve"> </w:t>
      </w:r>
      <w:r w:rsidRPr="00D40600">
        <w:rPr>
          <w:i/>
        </w:rPr>
        <w:t>Id.</w:t>
      </w:r>
      <w:r w:rsidRPr="00D40600">
        <w:t xml:space="preserve"> § 6409(b), (c).</w:t>
      </w:r>
    </w:p>
  </w:footnote>
  <w:footnote w:id="236">
    <w:p w:rsidR="00EC7CF3" w:rsidRDefault="00EC7CF3" w:rsidP="00066842">
      <w:pPr>
        <w:pStyle w:val="FootnoteText"/>
      </w:pPr>
      <w:r w:rsidRPr="00D40600">
        <w:rPr>
          <w:rStyle w:val="FootnoteReference"/>
          <w:sz w:val="20"/>
        </w:rPr>
        <w:footnoteRef/>
      </w:r>
      <w:r w:rsidRPr="00D40600">
        <w:t xml:space="preserve"> Accelerating Broadband Infrastructure Deployment, Executive Order 13616, 77 Fed. Reg. 36903 (June 16, 2012).</w:t>
      </w:r>
    </w:p>
  </w:footnote>
  <w:footnote w:id="237">
    <w:p w:rsidR="00EC7CF3" w:rsidRDefault="00EC7CF3" w:rsidP="00762ABD">
      <w:pPr>
        <w:pStyle w:val="FootnoteText"/>
      </w:pPr>
      <w:r w:rsidRPr="00E41CBC">
        <w:rPr>
          <w:rStyle w:val="FootnoteReference"/>
          <w:sz w:val="20"/>
        </w:rPr>
        <w:footnoteRef/>
      </w:r>
      <w:r w:rsidRPr="00A418E1">
        <w:rPr>
          <w:i/>
        </w:rPr>
        <w:t xml:space="preserve"> See</w:t>
      </w:r>
      <w:r w:rsidRPr="00A418E1">
        <w:t xml:space="preserve"> Implementation of Section 224 of the Act – A National Broadband Plan for Our Future, </w:t>
      </w:r>
      <w:r w:rsidRPr="00A418E1">
        <w:rPr>
          <w:i/>
        </w:rPr>
        <w:t>Report and Order and Order on Reconsideration</w:t>
      </w:r>
      <w:r w:rsidRPr="00A418E1">
        <w:t xml:space="preserve">, WC Docket No. 07-245, </w:t>
      </w:r>
      <w:r>
        <w:t>FCC 11-50, released April 7, 2011.</w:t>
      </w:r>
    </w:p>
  </w:footnote>
  <w:footnote w:id="238">
    <w:p w:rsidR="00EC7CF3" w:rsidRDefault="00EC7CF3" w:rsidP="00762ABD">
      <w:pPr>
        <w:pStyle w:val="FootnoteText"/>
      </w:pPr>
      <w:r w:rsidRPr="00D40600">
        <w:rPr>
          <w:rStyle w:val="FootnoteReference"/>
          <w:sz w:val="20"/>
        </w:rPr>
        <w:footnoteRef/>
      </w:r>
      <w:r w:rsidRPr="00D40600">
        <w:t xml:space="preserve"> The backhaul transport link generally refers to the communications link between the cell site radio equipment and the core network. </w:t>
      </w:r>
    </w:p>
  </w:footnote>
  <w:footnote w:id="239">
    <w:p w:rsidR="00EC7CF3" w:rsidRDefault="00EC7CF3" w:rsidP="00762ABD">
      <w:pPr>
        <w:pStyle w:val="FootnoteText"/>
      </w:pPr>
      <w:r w:rsidRPr="00D40600">
        <w:rPr>
          <w:rStyle w:val="FootnoteReference"/>
          <w:sz w:val="20"/>
        </w:rPr>
        <w:footnoteRef/>
      </w:r>
      <w:r w:rsidRPr="00D40600">
        <w:t xml:space="preserve"> </w:t>
      </w:r>
      <w:r w:rsidRPr="00D40600">
        <w:rPr>
          <w:i/>
        </w:rPr>
        <w:t>See Competition After Unbundling</w:t>
      </w:r>
      <w:r w:rsidRPr="00D40600">
        <w:t xml:space="preserve">, at 344.  </w:t>
      </w:r>
      <w:r w:rsidRPr="00D40600">
        <w:rPr>
          <w:i/>
        </w:rPr>
        <w:t>See also</w:t>
      </w:r>
      <w:r w:rsidRPr="00D40600">
        <w:t xml:space="preserve"> Andreu Mas-Colell, </w:t>
      </w:r>
      <w:r w:rsidRPr="00D40600">
        <w:rPr>
          <w:i/>
        </w:rPr>
        <w:t>et al</w:t>
      </w:r>
      <w:r w:rsidRPr="00D40600">
        <w:t xml:space="preserve">., </w:t>
      </w:r>
      <w:r w:rsidRPr="00D40600">
        <w:rPr>
          <w:i/>
        </w:rPr>
        <w:t>Microeconomic Theory</w:t>
      </w:r>
      <w:r w:rsidRPr="00D40600">
        <w:t xml:space="preserve">, Oxford University Press, 1995, at 383-384, 423.  </w:t>
      </w:r>
      <w:r w:rsidRPr="00D40600">
        <w:rPr>
          <w:i/>
        </w:rPr>
        <w:t>See also</w:t>
      </w:r>
      <w:r w:rsidRPr="00D40600">
        <w:t xml:space="preserve"> Park, E and Taylor, R., “Barriers to Entry Analysis of Broadband Multiple Platforms: Comparing the U.S. and South Korea,” Paper presented at the Telecommunications Policy Research Conference, 2006.</w:t>
      </w:r>
    </w:p>
  </w:footnote>
  <w:footnote w:id="240">
    <w:p w:rsidR="00EC7CF3" w:rsidRDefault="00EC7CF3" w:rsidP="00762ABD">
      <w:pPr>
        <w:pStyle w:val="FootnoteText"/>
      </w:pPr>
      <w:r w:rsidRPr="00D40600">
        <w:rPr>
          <w:rStyle w:val="FootnoteReference"/>
          <w:sz w:val="20"/>
        </w:rPr>
        <w:footnoteRef/>
      </w:r>
      <w:r w:rsidRPr="00D40600">
        <w:t xml:space="preserve"> </w:t>
      </w:r>
      <w:r w:rsidRPr="00D40600">
        <w:rPr>
          <w:i/>
        </w:rPr>
        <w:t>See, e.g.,</w:t>
      </w:r>
      <w:r w:rsidRPr="00D40600">
        <w:t xml:space="preserve"> </w:t>
      </w:r>
      <w:r w:rsidRPr="00D40600">
        <w:rPr>
          <w:i/>
        </w:rPr>
        <w:t>Ex Parte</w:t>
      </w:r>
      <w:r w:rsidRPr="00D40600">
        <w:t xml:space="preserve"> Submission of the United States Department of Justice, GN Docket No. 09-51 (Economic Issues in Broadband Competition, A National Broadband Plan for our Future), at 14; and Jonathan E. Nuechterlein and Philip J. Weiser, </w:t>
      </w:r>
      <w:r w:rsidRPr="00D40600">
        <w:rPr>
          <w:i/>
        </w:rPr>
        <w:t>Digital Crossroads, American Telecommunications Policy in the Internet Age</w:t>
      </w:r>
      <w:r w:rsidRPr="00D40600">
        <w:t>, MIT Press, 2005, at 274.</w:t>
      </w:r>
    </w:p>
  </w:footnote>
  <w:footnote w:id="241">
    <w:p w:rsidR="00EC7CF3" w:rsidRDefault="00EC7CF3" w:rsidP="00762ABD">
      <w:pPr>
        <w:pStyle w:val="FootnoteText"/>
      </w:pPr>
      <w:r w:rsidRPr="00D40600">
        <w:rPr>
          <w:rStyle w:val="FootnoteReference"/>
          <w:sz w:val="20"/>
        </w:rPr>
        <w:footnoteRef/>
      </w:r>
      <w:r w:rsidRPr="00D40600">
        <w:rPr>
          <w:lang w:eastAsia="zh-CN"/>
        </w:rPr>
        <w:t xml:space="preserve"> The fixed costs to produce a range of output are costs that are generally incurred independently of the quantity of output produced within the range.  They can be financed in many ways, including over time.  </w:t>
      </w:r>
      <w:r w:rsidRPr="00D40600">
        <w:rPr>
          <w:i/>
          <w:iCs/>
          <w:lang w:eastAsia="zh-CN"/>
        </w:rPr>
        <w:t xml:space="preserve">See </w:t>
      </w:r>
      <w:r w:rsidRPr="00D40600">
        <w:rPr>
          <w:i/>
          <w:lang w:eastAsia="zh-CN"/>
        </w:rPr>
        <w:t>Intermediate Microeconomics</w:t>
      </w:r>
      <w:r w:rsidRPr="00D40600">
        <w:rPr>
          <w:lang w:eastAsia="zh-CN"/>
        </w:rPr>
        <w:t xml:space="preserve">, at 353.  </w:t>
      </w:r>
    </w:p>
  </w:footnote>
  <w:footnote w:id="242">
    <w:p w:rsidR="00EC7CF3" w:rsidRDefault="00EC7CF3" w:rsidP="00762ABD">
      <w:pPr>
        <w:pStyle w:val="FootnoteText"/>
      </w:pPr>
      <w:r w:rsidRPr="00D40600">
        <w:rPr>
          <w:rStyle w:val="FootnoteReference"/>
          <w:sz w:val="20"/>
        </w:rPr>
        <w:footnoteRef/>
      </w:r>
      <w:r w:rsidRPr="00D40600">
        <w:t xml:space="preserve"> </w:t>
      </w:r>
      <w:r w:rsidRPr="00D40600">
        <w:rPr>
          <w:i/>
        </w:rPr>
        <w:t>See</w:t>
      </w:r>
      <w:r w:rsidRPr="00D40600">
        <w:t xml:space="preserve"> W. Kip Viscusi, </w:t>
      </w:r>
      <w:r w:rsidRPr="00D40600">
        <w:rPr>
          <w:i/>
        </w:rPr>
        <w:t>et al</w:t>
      </w:r>
      <w:r w:rsidRPr="00D40600">
        <w:t xml:space="preserve">., </w:t>
      </w:r>
      <w:r w:rsidRPr="00D40600">
        <w:rPr>
          <w:i/>
        </w:rPr>
        <w:t>Economics of Regulation and Antitrust</w:t>
      </w:r>
      <w:r w:rsidRPr="00D40600">
        <w:t xml:space="preserve"> (3</w:t>
      </w:r>
      <w:r w:rsidRPr="00D40600">
        <w:rPr>
          <w:vertAlign w:val="superscript"/>
        </w:rPr>
        <w:t>rd</w:t>
      </w:r>
      <w:r w:rsidRPr="00D40600">
        <w:t xml:space="preserve"> ed.), MIT Press, 2000, at 150.  </w:t>
      </w:r>
      <w:r w:rsidRPr="00D40600">
        <w:rPr>
          <w:i/>
        </w:rPr>
        <w:t>See</w:t>
      </w:r>
      <w:r w:rsidRPr="00D40600">
        <w:t xml:space="preserve"> </w:t>
      </w:r>
      <w:r w:rsidRPr="00D40600">
        <w:rPr>
          <w:i/>
        </w:rPr>
        <w:t>also</w:t>
      </w:r>
      <w:r w:rsidRPr="00D40600">
        <w:t xml:space="preserve"> </w:t>
      </w:r>
      <w:r w:rsidRPr="00D40600">
        <w:rPr>
          <w:i/>
        </w:rPr>
        <w:t>Competition Policy</w:t>
      </w:r>
      <w:r w:rsidRPr="00D40600">
        <w:t xml:space="preserve">, at 51, 76.  </w:t>
      </w:r>
      <w:r w:rsidRPr="00D40600">
        <w:rPr>
          <w:i/>
        </w:rPr>
        <w:t>See</w:t>
      </w:r>
      <w:r w:rsidRPr="00D40600">
        <w:t xml:space="preserve"> </w:t>
      </w:r>
      <w:r w:rsidRPr="00D40600">
        <w:rPr>
          <w:i/>
        </w:rPr>
        <w:t>also</w:t>
      </w:r>
      <w:r w:rsidRPr="00D40600">
        <w:t xml:space="preserve"> Sutton, J., </w:t>
      </w:r>
      <w:r w:rsidRPr="00D40600">
        <w:rPr>
          <w:i/>
        </w:rPr>
        <w:t>Sunk Costs and Market Structure</w:t>
      </w:r>
      <w:r w:rsidRPr="00D40600">
        <w:t xml:space="preserve">, 1991, MIT Press.  </w:t>
      </w:r>
      <w:r w:rsidRPr="00D40600">
        <w:rPr>
          <w:i/>
        </w:rPr>
        <w:t>See</w:t>
      </w:r>
      <w:r w:rsidRPr="00D40600">
        <w:t xml:space="preserve"> </w:t>
      </w:r>
      <w:r w:rsidRPr="00D40600">
        <w:rPr>
          <w:i/>
        </w:rPr>
        <w:t>also</w:t>
      </w:r>
      <w:r w:rsidRPr="00D40600">
        <w:t xml:space="preserve"> </w:t>
      </w:r>
      <w:r w:rsidRPr="00D40600">
        <w:rPr>
          <w:i/>
        </w:rPr>
        <w:t>Competition After Unbundling</w:t>
      </w:r>
      <w:r w:rsidRPr="00D40600">
        <w:t xml:space="preserve">, at 332, 337.  For the use of fixed costs to estimate market concentration, </w:t>
      </w:r>
      <w:r w:rsidRPr="00D40600">
        <w:rPr>
          <w:i/>
        </w:rPr>
        <w:t>see, e.g.,</w:t>
      </w:r>
      <w:r w:rsidRPr="00D40600">
        <w:t xml:space="preserve"> </w:t>
      </w:r>
      <w:r w:rsidRPr="00D40600">
        <w:rPr>
          <w:i/>
        </w:rPr>
        <w:t>Modern Industrial Organization</w:t>
      </w:r>
      <w:r w:rsidRPr="00D40600">
        <w:t xml:space="preserve">, at 41; </w:t>
      </w:r>
      <w:r w:rsidRPr="00D40600">
        <w:rPr>
          <w:i/>
        </w:rPr>
        <w:t>Economics of Regulation and Antitrust</w:t>
      </w:r>
      <w:r w:rsidRPr="00D40600">
        <w:t xml:space="preserve">, at 150.  For the relevance of the size of sunk costs to predict market concentration, </w:t>
      </w:r>
      <w:r w:rsidRPr="00D40600">
        <w:rPr>
          <w:i/>
        </w:rPr>
        <w:t>see</w:t>
      </w:r>
      <w:r w:rsidRPr="00D40600">
        <w:t xml:space="preserve"> </w:t>
      </w:r>
      <w:r w:rsidRPr="00D40600">
        <w:rPr>
          <w:i/>
        </w:rPr>
        <w:t>Competition Policy</w:t>
      </w:r>
      <w:r w:rsidRPr="00D40600">
        <w:t xml:space="preserve">, at 76-79; </w:t>
      </w:r>
      <w:r w:rsidRPr="00D40600">
        <w:rPr>
          <w:i/>
        </w:rPr>
        <w:t>Competition After Unbundling</w:t>
      </w:r>
      <w:r w:rsidRPr="00D40600">
        <w:t xml:space="preserve">, at 337; and Dennis W. Carlton, </w:t>
      </w:r>
      <w:r w:rsidRPr="00D40600">
        <w:rPr>
          <w:i/>
        </w:rPr>
        <w:t>Why Barriers to Entry are Barriers to Understanding</w:t>
      </w:r>
      <w:r w:rsidRPr="00D40600">
        <w:t xml:space="preserve">, American Economic Review, 2004, 94: 2, at 467.  </w:t>
      </w:r>
      <w:r w:rsidRPr="00D40600">
        <w:rPr>
          <w:i/>
        </w:rPr>
        <w:t>See also</w:t>
      </w:r>
      <w:r w:rsidRPr="00D40600">
        <w:t xml:space="preserve"> Written Statement of George S. Ford, Ph.D., Chief Economist, Phoenix Center for Advanced Legal &amp; Economic Public Studies, Before the House of Representatives, Committee on Energy and Commerce, Subcommittee Telecommunications and the Internet, Hearing on “An Examination of Competition in the Wireless Industry,” May 7, 2009, at 5, (estimating that three to five nationwide carriers will be able to provide mobile services, including mobile broadband). </w:t>
      </w:r>
    </w:p>
  </w:footnote>
  <w:footnote w:id="243">
    <w:p w:rsidR="00EC7CF3" w:rsidRDefault="00EC7CF3" w:rsidP="00762ABD">
      <w:pPr>
        <w:pStyle w:val="FootnoteText"/>
      </w:pPr>
      <w:r w:rsidRPr="00D40600">
        <w:rPr>
          <w:rStyle w:val="FootnoteReference"/>
          <w:sz w:val="20"/>
        </w:rPr>
        <w:footnoteRef/>
      </w:r>
      <w:r w:rsidRPr="00D40600">
        <w:t xml:space="preserve"> </w:t>
      </w:r>
      <w:r w:rsidRPr="00D40600">
        <w:rPr>
          <w:i/>
        </w:rPr>
        <w:t>See</w:t>
      </w:r>
      <w:r w:rsidRPr="00D40600">
        <w:t xml:space="preserve"> Section </w:t>
      </w:r>
      <w:r w:rsidR="00951E9B">
        <w:fldChar w:fldCharType="begin"/>
      </w:r>
      <w:r w:rsidR="00951E9B">
        <w:instrText xml:space="preserve"> REF _Ref336859164 \w  \* MERGEFORMAT </w:instrText>
      </w:r>
      <w:r w:rsidR="00951E9B">
        <w:fldChar w:fldCharType="separate"/>
      </w:r>
      <w:r>
        <w:t>III.D</w:t>
      </w:r>
      <w:r w:rsidR="00951E9B">
        <w:fldChar w:fldCharType="end"/>
      </w:r>
      <w:r w:rsidRPr="00D40600">
        <w:t xml:space="preserve">, Horizontal Concentration, </w:t>
      </w:r>
      <w:r>
        <w:rPr>
          <w:i/>
        </w:rPr>
        <w:t>supra</w:t>
      </w:r>
      <w:r w:rsidRPr="00D40600">
        <w:t>.</w:t>
      </w:r>
    </w:p>
  </w:footnote>
  <w:footnote w:id="244">
    <w:p w:rsidR="00EC7CF3" w:rsidRDefault="00EC7CF3" w:rsidP="00762ABD">
      <w:pPr>
        <w:pStyle w:val="FootnoteText"/>
      </w:pPr>
      <w:r w:rsidRPr="00D40600">
        <w:rPr>
          <w:rStyle w:val="FootnoteReference"/>
          <w:sz w:val="20"/>
        </w:rPr>
        <w:footnoteRef/>
      </w:r>
      <w:r w:rsidRPr="00D40600">
        <w:t xml:space="preserve"> </w:t>
      </w:r>
      <w:r w:rsidRPr="00D40600">
        <w:rPr>
          <w:i/>
          <w:iCs/>
        </w:rPr>
        <w:t>See</w:t>
      </w:r>
      <w:r w:rsidRPr="00D40600">
        <w:t xml:space="preserve"> Dennis W. Carlton, </w:t>
      </w:r>
      <w:r w:rsidRPr="00D40600">
        <w:rPr>
          <w:i/>
        </w:rPr>
        <w:t>Why Barriers to Entry are Barriers to Understanding</w:t>
      </w:r>
      <w:r w:rsidRPr="00D40600">
        <w:t xml:space="preserve">, American Economic Review, 2004, 94: 2, at 468-469.  </w:t>
      </w:r>
      <w:r w:rsidRPr="00D40600">
        <w:rPr>
          <w:i/>
        </w:rPr>
        <w:t>See also</w:t>
      </w:r>
      <w:r w:rsidRPr="00D40600">
        <w:t xml:space="preserve"> R. Preston McAfee, </w:t>
      </w:r>
      <w:r w:rsidRPr="00D40600">
        <w:rPr>
          <w:i/>
        </w:rPr>
        <w:t>et al</w:t>
      </w:r>
      <w:r w:rsidRPr="00D40600">
        <w:t xml:space="preserve">., </w:t>
      </w:r>
      <w:r w:rsidRPr="00D40600">
        <w:rPr>
          <w:i/>
        </w:rPr>
        <w:t>What Is a Barrier to Entry?</w:t>
      </w:r>
      <w:r w:rsidRPr="00D40600">
        <w:t>, American Economic Review, 2004, 94: 2, at 463 (</w:t>
      </w:r>
      <w:r w:rsidRPr="00D40600">
        <w:rPr>
          <w:i/>
        </w:rPr>
        <w:t>What is a Barrier to Entry?</w:t>
      </w:r>
      <w:r w:rsidRPr="00D40600">
        <w:t>).</w:t>
      </w:r>
    </w:p>
  </w:footnote>
  <w:footnote w:id="245">
    <w:p w:rsidR="00EC7CF3" w:rsidRDefault="00EC7CF3" w:rsidP="00762ABD">
      <w:pPr>
        <w:pStyle w:val="FootnoteText"/>
      </w:pPr>
      <w:r w:rsidRPr="00D40600">
        <w:rPr>
          <w:rStyle w:val="FootnoteReference"/>
          <w:sz w:val="20"/>
        </w:rPr>
        <w:footnoteRef/>
      </w:r>
      <w:r w:rsidRPr="00D40600">
        <w:t xml:space="preserve"> </w:t>
      </w:r>
      <w:r w:rsidRPr="00D40600">
        <w:rPr>
          <w:i/>
        </w:rPr>
        <w:t>See, e.g</w:t>
      </w:r>
      <w:r w:rsidRPr="00D40600">
        <w:t xml:space="preserve">., Dennis W. Carlton, </w:t>
      </w:r>
      <w:r w:rsidRPr="00D40600">
        <w:rPr>
          <w:i/>
        </w:rPr>
        <w:t>Why Barriers to Entry are Barriers to Understanding</w:t>
      </w:r>
      <w:r w:rsidRPr="00D40600">
        <w:t xml:space="preserve">, American Economic Review, 2004, 94: 2, at 469; Malcolm B. Coate, </w:t>
      </w:r>
      <w:r w:rsidRPr="00D40600">
        <w:rPr>
          <w:i/>
        </w:rPr>
        <w:t>Theory Meets Practice: Barriers to Entry in Merger Analysis</w:t>
      </w:r>
      <w:r w:rsidRPr="00D40600">
        <w:t xml:space="preserve">, Review of Law and Economics, vol. 4, Feb. 2008, at 190; </w:t>
      </w:r>
      <w:r w:rsidRPr="00D40600">
        <w:rPr>
          <w:i/>
        </w:rPr>
        <w:t>What is a Barrier to Entry?</w:t>
      </w:r>
      <w:r w:rsidRPr="00D40600">
        <w:t>, at 463-465.  The difference between an adjustment cost and a barrier to entry (</w:t>
      </w:r>
      <w:r w:rsidRPr="00D40600">
        <w:rPr>
          <w:i/>
        </w:rPr>
        <w:t>i.e</w:t>
      </w:r>
      <w:r w:rsidRPr="00D40600">
        <w:t xml:space="preserve">. a permanent asymmetry in firms’ costs) may, in practice, be a matter of degree, depending on the length of the delay caused by the adjustment cost.  </w:t>
      </w:r>
      <w:r w:rsidRPr="00D40600">
        <w:rPr>
          <w:i/>
        </w:rPr>
        <w:t>See</w:t>
      </w:r>
      <w:r w:rsidRPr="00D40600">
        <w:t xml:space="preserve"> </w:t>
      </w:r>
      <w:r w:rsidRPr="00D40600">
        <w:rPr>
          <w:i/>
        </w:rPr>
        <w:t>What is a Barrier to Entry?</w:t>
      </w:r>
      <w:r w:rsidRPr="00D40600">
        <w:t xml:space="preserve"> at 464 (arguing that economies of scale are not barriers to entry), and 465 (arguing that sunk costs cause firms to delay entry because of their option value).  </w:t>
      </w:r>
    </w:p>
  </w:footnote>
  <w:footnote w:id="246">
    <w:p w:rsidR="00EC7CF3" w:rsidRDefault="00EC7CF3" w:rsidP="00762ABD">
      <w:pPr>
        <w:pStyle w:val="FootnoteText"/>
      </w:pPr>
      <w:r w:rsidRPr="00D40600">
        <w:rPr>
          <w:rStyle w:val="FootnoteReference"/>
          <w:sz w:val="20"/>
        </w:rPr>
        <w:footnoteRef/>
      </w:r>
      <w:r w:rsidRPr="00D40600">
        <w:t xml:space="preserve"> </w:t>
      </w:r>
      <w:r w:rsidRPr="00D40600">
        <w:rPr>
          <w:lang w:eastAsia="zh-CN"/>
        </w:rPr>
        <w:t xml:space="preserve">Spectrum Bridge, Inc. provides an online marketplace for spectrum exchange.  Spectrum Bridge Inc.’s online market exchange, SpecEx, can be accessed at </w:t>
      </w:r>
      <w:hyperlink r:id="rId50" w:history="1">
        <w:r w:rsidRPr="00D40600">
          <w:rPr>
            <w:rStyle w:val="Hyperlink"/>
            <w:lang w:eastAsia="zh-CN"/>
          </w:rPr>
          <w:t>http://www.specex.com/Default.aspx</w:t>
        </w:r>
      </w:hyperlink>
      <w:r w:rsidRPr="00D40600">
        <w:rPr>
          <w:lang w:eastAsia="zh-CN"/>
        </w:rPr>
        <w:t xml:space="preserve"> (visited Aug. 16, 2012).  Its list of available spectrum can be accessed at </w:t>
      </w:r>
      <w:hyperlink r:id="rId51" w:history="1">
        <w:r w:rsidRPr="00D40600">
          <w:rPr>
            <w:rStyle w:val="Hyperlink"/>
            <w:lang w:eastAsia="zh-CN"/>
          </w:rPr>
          <w:t>http://spectrumbridge.com/ProductsServices/specex/VerticalCarriers.aspx</w:t>
        </w:r>
      </w:hyperlink>
      <w:r>
        <w:rPr>
          <w:rStyle w:val="Hyperlink"/>
          <w:lang w:eastAsia="zh-CN"/>
        </w:rPr>
        <w:t xml:space="preserve"> </w:t>
      </w:r>
      <w:r w:rsidRPr="006727DA">
        <w:rPr>
          <w:rStyle w:val="Hyperlink"/>
          <w:color w:val="auto"/>
          <w:u w:val="none"/>
          <w:lang w:eastAsia="zh-CN"/>
        </w:rPr>
        <w:t>(visited Nov. 30, 2012)</w:t>
      </w:r>
      <w:r w:rsidRPr="00457641">
        <w:rPr>
          <w:rStyle w:val="Hyperlink"/>
          <w:color w:val="auto"/>
          <w:u w:val="none"/>
          <w:lang w:eastAsia="zh-CN"/>
        </w:rPr>
        <w:t>.</w:t>
      </w:r>
    </w:p>
  </w:footnote>
  <w:footnote w:id="247">
    <w:p w:rsidR="00EC7CF3" w:rsidRDefault="00EC7CF3" w:rsidP="00762ABD">
      <w:pPr>
        <w:pStyle w:val="FootnoteText"/>
      </w:pPr>
      <w:r w:rsidRPr="00D40600">
        <w:rPr>
          <w:rStyle w:val="FootnoteReference"/>
          <w:sz w:val="20"/>
        </w:rPr>
        <w:footnoteRef/>
      </w:r>
      <w:r w:rsidRPr="00D40600">
        <w:t xml:space="preserve"> This was c</w:t>
      </w:r>
      <w:r w:rsidRPr="00D40600">
        <w:rPr>
          <w:lang w:eastAsia="zh-CN"/>
        </w:rPr>
        <w:t>alculated by dividing the total net auction revenue by spectrum bandwidth and population in the year 2000.</w:t>
      </w:r>
    </w:p>
  </w:footnote>
  <w:footnote w:id="248">
    <w:p w:rsidR="00EC7CF3" w:rsidRDefault="00EC7CF3" w:rsidP="00762ABD">
      <w:pPr>
        <w:pStyle w:val="FootnoteText"/>
      </w:pPr>
      <w:r w:rsidRPr="00D40600">
        <w:rPr>
          <w:rStyle w:val="FootnoteReference"/>
          <w:sz w:val="20"/>
        </w:rPr>
        <w:footnoteRef/>
      </w:r>
      <w:r w:rsidRPr="00D40600">
        <w:t xml:space="preserve"> A scale effect can occur when positive network externalities increase with the size of the network, a relationship known as “network effects.”  </w:t>
      </w:r>
      <w:r w:rsidRPr="00D40600">
        <w:rPr>
          <w:i/>
        </w:rPr>
        <w:t>See</w:t>
      </w:r>
      <w:r w:rsidRPr="00D40600">
        <w:t xml:space="preserve"> </w:t>
      </w:r>
      <w:r w:rsidRPr="00D40600">
        <w:rPr>
          <w:i/>
        </w:rPr>
        <w:t>Competition Policy</w:t>
      </w:r>
      <w:r w:rsidRPr="00D40600">
        <w:t>, at 82 (stating that greater network coverage, by increasing the pool of network users, increases the quality of the service, and, hence, the benefits consumers derive from the good).</w:t>
      </w:r>
    </w:p>
  </w:footnote>
  <w:footnote w:id="249">
    <w:p w:rsidR="00EC7CF3" w:rsidRDefault="00EC7CF3" w:rsidP="00762ABD">
      <w:pPr>
        <w:pStyle w:val="FootnoteText"/>
      </w:pPr>
      <w:r w:rsidRPr="00D40600">
        <w:rPr>
          <w:rStyle w:val="FootnoteReference"/>
          <w:sz w:val="20"/>
        </w:rPr>
        <w:footnoteRef/>
      </w:r>
      <w:r w:rsidRPr="00D40600">
        <w:t xml:space="preserve"> </w:t>
      </w:r>
      <w:r w:rsidRPr="00D40600">
        <w:rPr>
          <w:i/>
          <w:lang w:eastAsia="zh-CN"/>
        </w:rPr>
        <w:t xml:space="preserve">See </w:t>
      </w:r>
      <w:r w:rsidRPr="00D40600">
        <w:rPr>
          <w:lang w:eastAsia="zh-CN"/>
        </w:rPr>
        <w:t>Comments of Mobile Satellite Ventures Subsidiary LLC, WT Docket No. 06-150, Service Rules for the 698-746, 747-762 and 777-792 MHz Bands (filed June 20, 2008), at 49 (</w:t>
      </w:r>
      <w:r w:rsidRPr="00D40600">
        <w:rPr>
          <w:i/>
          <w:lang w:eastAsia="zh-CN"/>
        </w:rPr>
        <w:t>MSV 700 MHz Comments</w:t>
      </w:r>
      <w:r w:rsidRPr="00D40600">
        <w:rPr>
          <w:lang w:eastAsia="zh-CN"/>
        </w:rPr>
        <w:t>).</w:t>
      </w:r>
    </w:p>
  </w:footnote>
  <w:footnote w:id="250">
    <w:p w:rsidR="00EC7CF3" w:rsidRDefault="00EC7CF3" w:rsidP="007820F9">
      <w:pPr>
        <w:pStyle w:val="ParaNum"/>
        <w:widowControl/>
        <w:tabs>
          <w:tab w:val="clear" w:pos="1440"/>
        </w:tabs>
        <w:ind w:firstLine="0"/>
      </w:pPr>
      <w:r w:rsidRPr="00D40600">
        <w:rPr>
          <w:rStyle w:val="FootnoteReference"/>
          <w:sz w:val="20"/>
        </w:rPr>
        <w:footnoteRef/>
      </w:r>
      <w:r w:rsidRPr="00D40600">
        <w:t xml:space="preserve"> </w:t>
      </w:r>
      <w:r w:rsidRPr="00D40600">
        <w:rPr>
          <w:i/>
        </w:rPr>
        <w:t xml:space="preserve">See </w:t>
      </w:r>
      <w:r w:rsidRPr="00D40600">
        <w:rPr>
          <w:lang w:eastAsia="zh-CN"/>
        </w:rPr>
        <w:t>Section</w:t>
      </w:r>
      <w:r>
        <w:rPr>
          <w:lang w:eastAsia="zh-CN"/>
        </w:rPr>
        <w:t xml:space="preserve"> </w:t>
      </w:r>
      <w:r w:rsidRPr="00D40600">
        <w:t xml:space="preserve">V.E.3, Intercarrier Roaming Rates and Revenue, </w:t>
      </w:r>
      <w:r w:rsidRPr="00D40600">
        <w:rPr>
          <w:i/>
        </w:rPr>
        <w:t>infra</w:t>
      </w:r>
      <w:r w:rsidRPr="00D40600">
        <w:t>, for an additional discussion of roaming.</w:t>
      </w:r>
    </w:p>
  </w:footnote>
  <w:footnote w:id="251">
    <w:p w:rsidR="00EC7CF3" w:rsidRDefault="00EC7CF3" w:rsidP="00762ABD">
      <w:pPr>
        <w:pStyle w:val="FootnoteText"/>
      </w:pPr>
      <w:r w:rsidRPr="00D40600">
        <w:rPr>
          <w:rStyle w:val="FootnoteReference"/>
          <w:sz w:val="20"/>
        </w:rPr>
        <w:footnoteRef/>
      </w:r>
      <w:r w:rsidRPr="00D40600">
        <w:t xml:space="preserve"> </w:t>
      </w:r>
      <w:r w:rsidRPr="00D40600">
        <w:rPr>
          <w:i/>
          <w:lang w:eastAsia="zh-CN"/>
        </w:rPr>
        <w:t xml:space="preserve">See </w:t>
      </w:r>
      <w:r w:rsidRPr="00D40600">
        <w:rPr>
          <w:lang w:eastAsia="zh-CN"/>
        </w:rPr>
        <w:t>Fourteenth Report, 25 FCC Rcd at 11459 ¶ 64.</w:t>
      </w:r>
    </w:p>
  </w:footnote>
  <w:footnote w:id="252">
    <w:p w:rsidR="00EC7CF3" w:rsidRDefault="00EC7CF3" w:rsidP="00762ABD">
      <w:pPr>
        <w:pStyle w:val="FootnoteText"/>
        <w:tabs>
          <w:tab w:val="left" w:pos="6930"/>
        </w:tabs>
      </w:pPr>
      <w:r w:rsidRPr="00D40600">
        <w:rPr>
          <w:rStyle w:val="FootnoteReference"/>
          <w:sz w:val="20"/>
        </w:rPr>
        <w:footnoteRef/>
      </w:r>
      <w:r w:rsidRPr="00D40600">
        <w:t xml:space="preserve"> </w:t>
      </w:r>
      <w:r w:rsidRPr="00D40600">
        <w:rPr>
          <w:i/>
        </w:rPr>
        <w:t xml:space="preserve">See </w:t>
      </w:r>
      <w:r>
        <w:t>Section VII.A.1, Infrastructure Facilities</w:t>
      </w:r>
      <w:r w:rsidRPr="00D40600">
        <w:t xml:space="preserve">, </w:t>
      </w:r>
      <w:r w:rsidRPr="00D40600">
        <w:rPr>
          <w:i/>
        </w:rPr>
        <w:t>infra.</w:t>
      </w:r>
    </w:p>
  </w:footnote>
  <w:footnote w:id="253">
    <w:p w:rsidR="00EC7CF3" w:rsidRDefault="00EC7CF3">
      <w:pPr>
        <w:pStyle w:val="FootnoteText"/>
      </w:pPr>
      <w:r w:rsidRPr="00D40600">
        <w:rPr>
          <w:rStyle w:val="FootnoteReference"/>
          <w:sz w:val="20"/>
        </w:rPr>
        <w:footnoteRef/>
      </w:r>
      <w:r w:rsidRPr="00D40600">
        <w:t xml:space="preserve"> </w:t>
      </w:r>
      <w:r w:rsidRPr="00C40AD7">
        <w:rPr>
          <w:i/>
        </w:rPr>
        <w:t>See</w:t>
      </w:r>
      <w:r w:rsidRPr="00C40AD7">
        <w:t xml:space="preserve"> Sections IV.B.3, Differentiation in Mobile Wireless Hand</w:t>
      </w:r>
      <w:r>
        <w:t xml:space="preserve">sets/Devices and Applications, </w:t>
      </w:r>
      <w:r w:rsidRPr="00C40AD7">
        <w:rPr>
          <w:i/>
        </w:rPr>
        <w:t>infra</w:t>
      </w:r>
      <w:r>
        <w:t>; Section</w:t>
      </w:r>
      <w:r w:rsidRPr="00C40AD7">
        <w:t xml:space="preserve"> VII.B.1, </w:t>
      </w:r>
      <w:r>
        <w:t xml:space="preserve">Mobile Wireless Handsets/Devices and Operating Systems, </w:t>
      </w:r>
      <w:r w:rsidRPr="00C40AD7">
        <w:rPr>
          <w:i/>
        </w:rPr>
        <w:t>infra</w:t>
      </w:r>
      <w:r>
        <w:t>.</w:t>
      </w:r>
    </w:p>
  </w:footnote>
  <w:footnote w:id="254">
    <w:p w:rsidR="00EC7CF3" w:rsidRDefault="00EC7CF3" w:rsidP="00762ABD">
      <w:pPr>
        <w:pStyle w:val="FootnoteText"/>
      </w:pPr>
      <w:r w:rsidRPr="00D40600">
        <w:rPr>
          <w:rStyle w:val="FootnoteReference"/>
          <w:sz w:val="20"/>
        </w:rPr>
        <w:footnoteRef/>
      </w:r>
      <w:r w:rsidRPr="00D40600">
        <w:t xml:space="preserve"> </w:t>
      </w:r>
      <w:r w:rsidRPr="00D40600">
        <w:rPr>
          <w:i/>
        </w:rPr>
        <w:t>See Barriers to Understanding</w:t>
      </w:r>
      <w:r w:rsidRPr="00D40600">
        <w:t xml:space="preserve">, at 467 (Advertising, like investments that raise product quality, is as common a competitive behavior in high-technology industries as price competition is in industries that are characterized by less product innovation).  </w:t>
      </w:r>
      <w:r w:rsidRPr="00D40600">
        <w:rPr>
          <w:i/>
        </w:rPr>
        <w:t>See also</w:t>
      </w:r>
      <w:r w:rsidRPr="00D40600">
        <w:t xml:space="preserve"> </w:t>
      </w:r>
      <w:r w:rsidRPr="00D40600">
        <w:rPr>
          <w:i/>
        </w:rPr>
        <w:t>Modern Industrial Organization</w:t>
      </w:r>
      <w:r w:rsidRPr="00D40600">
        <w:t>, at 80 (If an incumbent has never had any rivals [</w:t>
      </w:r>
      <w:r w:rsidRPr="00D40600">
        <w:rPr>
          <w:i/>
        </w:rPr>
        <w:t>i.e.</w:t>
      </w:r>
      <w:r w:rsidRPr="00D40600">
        <w:t xml:space="preserve"> it is a monopolist] then asymmetries in advertising costs between the incumbent and entrant can constitute a barrier to entry, because the monopolist has never had to bear these costs).  However, the wireless telephony/broadband market is not a monopoly, and incumbent providers incur significant advertising costs as a component of their rivalry.</w:t>
      </w:r>
    </w:p>
  </w:footnote>
  <w:footnote w:id="255">
    <w:p w:rsidR="00EC7CF3" w:rsidRDefault="00EC7CF3" w:rsidP="00762ABD">
      <w:pPr>
        <w:pStyle w:val="FootnoteText"/>
      </w:pPr>
      <w:r w:rsidRPr="00D40600">
        <w:rPr>
          <w:rStyle w:val="FootnoteReference"/>
          <w:sz w:val="20"/>
        </w:rPr>
        <w:footnoteRef/>
      </w:r>
      <w:r w:rsidRPr="00D40600">
        <w:t xml:space="preserve"> </w:t>
      </w:r>
      <w:r w:rsidRPr="00D40600">
        <w:rPr>
          <w:i/>
        </w:rPr>
        <w:t>See</w:t>
      </w:r>
      <w:r w:rsidRPr="00D40600">
        <w:t xml:space="preserve"> Section </w:t>
      </w:r>
      <w:r>
        <w:fldChar w:fldCharType="begin"/>
      </w:r>
      <w:r>
        <w:instrText xml:space="preserve"> REF _Ref328406921 \w \h  \* MERGEFORMAT </w:instrText>
      </w:r>
      <w:r>
        <w:fldChar w:fldCharType="separate"/>
      </w:r>
      <w:r>
        <w:t>IV.B.4</w:t>
      </w:r>
      <w:r>
        <w:fldChar w:fldCharType="end"/>
      </w:r>
      <w:r w:rsidRPr="00C40AD7">
        <w:t>, Advertising Marketing, Sales Expenditures, and Retailin</w:t>
      </w:r>
      <w:r>
        <w:t xml:space="preserve">g, </w:t>
      </w:r>
      <w:r w:rsidRPr="00C40AD7">
        <w:rPr>
          <w:i/>
        </w:rPr>
        <w:t>infra.</w:t>
      </w:r>
    </w:p>
  </w:footnote>
  <w:footnote w:id="256">
    <w:p w:rsidR="00EC7CF3" w:rsidRDefault="00EC7CF3" w:rsidP="00610A7B">
      <w:pPr>
        <w:pStyle w:val="FootnoteText"/>
      </w:pPr>
      <w:r w:rsidRPr="00D40600">
        <w:rPr>
          <w:rStyle w:val="FootnoteReference"/>
          <w:sz w:val="20"/>
        </w:rPr>
        <w:footnoteRef/>
      </w:r>
      <w:r w:rsidRPr="00D40600">
        <w:t xml:space="preserve"> </w:t>
      </w:r>
      <w:r w:rsidRPr="00D40600">
        <w:rPr>
          <w:i/>
        </w:rPr>
        <w:t xml:space="preserve">See </w:t>
      </w:r>
      <w:r w:rsidRPr="00D40600">
        <w:t xml:space="preserve">Counsel Tree Comments at 1; CTIA Comments at 66; TechAmerica Comments at 3; WCAI Reply at 4.     </w:t>
      </w:r>
    </w:p>
  </w:footnote>
  <w:footnote w:id="257">
    <w:p w:rsidR="00EC7CF3" w:rsidRDefault="00EC7CF3" w:rsidP="00610A7B">
      <w:pPr>
        <w:pStyle w:val="FootnoteText"/>
      </w:pPr>
      <w:r w:rsidRPr="00D40600">
        <w:rPr>
          <w:rStyle w:val="FootnoteReference"/>
          <w:sz w:val="20"/>
        </w:rPr>
        <w:footnoteRef/>
      </w:r>
      <w:r w:rsidRPr="00D40600">
        <w:t xml:space="preserve"> </w:t>
      </w:r>
      <w:r w:rsidRPr="00D40600">
        <w:rPr>
          <w:i/>
        </w:rPr>
        <w:t xml:space="preserve">National Broadband Plan, </w:t>
      </w:r>
      <w:r w:rsidRPr="00D40600">
        <w:t>at 77.</w:t>
      </w:r>
    </w:p>
  </w:footnote>
  <w:footnote w:id="258">
    <w:p w:rsidR="00EC7CF3" w:rsidRDefault="00EC7CF3" w:rsidP="00610A7B">
      <w:pPr>
        <w:pStyle w:val="FootnoteText"/>
      </w:pPr>
      <w:r w:rsidRPr="00D40600">
        <w:rPr>
          <w:rStyle w:val="FootnoteReference"/>
          <w:sz w:val="20"/>
        </w:rPr>
        <w:footnoteRef/>
      </w:r>
      <w:r w:rsidRPr="00D40600">
        <w:t xml:space="preserve"> </w:t>
      </w:r>
      <w:r w:rsidRPr="00D40600">
        <w:rPr>
          <w:i/>
        </w:rPr>
        <w:t xml:space="preserve">National Broadband Plan, </w:t>
      </w:r>
      <w:r w:rsidRPr="00D40600">
        <w:t>at 77.</w:t>
      </w:r>
    </w:p>
  </w:footnote>
  <w:footnote w:id="259">
    <w:p w:rsidR="00EC7CF3" w:rsidRDefault="00EC7CF3" w:rsidP="00610A7B">
      <w:pPr>
        <w:pStyle w:val="FootnoteText"/>
      </w:pPr>
      <w:r w:rsidRPr="00D40600">
        <w:rPr>
          <w:rStyle w:val="FootnoteReference"/>
          <w:sz w:val="20"/>
        </w:rPr>
        <w:footnoteRef/>
      </w:r>
      <w:r w:rsidRPr="00D40600">
        <w:t xml:space="preserve"> </w:t>
      </w:r>
      <w:r w:rsidRPr="00D40600">
        <w:rPr>
          <w:i/>
        </w:rPr>
        <w:t xml:space="preserve">National Broadband Plan, </w:t>
      </w:r>
      <w:r w:rsidRPr="00D40600">
        <w:t xml:space="preserve">at 75-76.  The </w:t>
      </w:r>
      <w:r w:rsidRPr="00D40600">
        <w:rPr>
          <w:i/>
        </w:rPr>
        <w:t xml:space="preserve">National Broadband Plan </w:t>
      </w:r>
      <w:r w:rsidRPr="00D40600">
        <w:t xml:space="preserve">contemplates that the 300-megahertz spectrum goal can be met by making the following spectrum available:  20 megahertz of WCS spectrum; 60 megahertz of AWS 2/3 spectrum; the 10 megahertz 700 MHz D Block; 90 megahertz of MSS spectrum; and 120 megahertz of spectrum to be reallocated from the broadcast television bands.  </w:t>
      </w:r>
      <w:r w:rsidRPr="00D40600">
        <w:rPr>
          <w:i/>
        </w:rPr>
        <w:t xml:space="preserve">See id. </w:t>
      </w:r>
      <w:r w:rsidRPr="00D40600">
        <w:t>at 84, Exhibit 5-E.</w:t>
      </w:r>
    </w:p>
  </w:footnote>
  <w:footnote w:id="260">
    <w:p w:rsidR="00EC7CF3" w:rsidRDefault="00EC7CF3" w:rsidP="00610A7B">
      <w:pPr>
        <w:pStyle w:val="FootnoteText"/>
      </w:pPr>
      <w:r w:rsidRPr="00D40600">
        <w:rPr>
          <w:rStyle w:val="FootnoteReference"/>
          <w:sz w:val="20"/>
        </w:rPr>
        <w:footnoteRef/>
      </w:r>
      <w:r w:rsidRPr="00D40600">
        <w:t xml:space="preserve"> Memorandum for the Heads of Executive Departments and Agencies, </w:t>
      </w:r>
      <w:r w:rsidRPr="00D40600">
        <w:rPr>
          <w:i/>
          <w:iCs/>
        </w:rPr>
        <w:t xml:space="preserve">Unleashing the Wireless Broadband Revolution, </w:t>
      </w:r>
      <w:r w:rsidRPr="00D40600">
        <w:t xml:space="preserve">(Presidential Memorandum), rel. June 28, 2010, 75 Fed. Reg. 38387, </w:t>
      </w:r>
      <w:r w:rsidRPr="00D40600">
        <w:rPr>
          <w:i/>
          <w:iCs/>
        </w:rPr>
        <w:t xml:space="preserve">available at </w:t>
      </w:r>
      <w:hyperlink r:id="rId52" w:history="1">
        <w:r w:rsidRPr="00D40600">
          <w:rPr>
            <w:rStyle w:val="Hyperlink"/>
          </w:rPr>
          <w:t>http://www.whitehouse.gov/the-press-office/presidential-memorandum-unleashing-wireless-broadband-revolution</w:t>
        </w:r>
      </w:hyperlink>
      <w:r w:rsidRPr="00D40600">
        <w:t xml:space="preserve"> (visited June 4, 2012).  This was further expanded on in the next State of the Union address.  </w:t>
      </w:r>
      <w:r w:rsidRPr="00D40600">
        <w:rPr>
          <w:i/>
        </w:rPr>
        <w:t>See</w:t>
      </w:r>
      <w:r w:rsidRPr="00D40600">
        <w:t xml:space="preserve"> “President Obama Details Plan to Win the Future through Expanded Wireless Access,” </w:t>
      </w:r>
      <w:r w:rsidRPr="00D40600">
        <w:rPr>
          <w:i/>
        </w:rPr>
        <w:t>available at</w:t>
      </w:r>
      <w:r w:rsidRPr="00D40600">
        <w:t xml:space="preserve"> </w:t>
      </w:r>
      <w:hyperlink r:id="rId53" w:history="1">
        <w:r w:rsidRPr="00D40600">
          <w:rPr>
            <w:rStyle w:val="Hyperlink"/>
          </w:rPr>
          <w:t>http://www.whitehouse.gov/the-press-office/2011/02/10/president-obama-details-plan-win-future-through-expanded-wireless-access</w:t>
        </w:r>
      </w:hyperlink>
      <w:r w:rsidRPr="00D40600">
        <w:t xml:space="preserve"> (visited June 4, 2012).</w:t>
      </w:r>
    </w:p>
  </w:footnote>
  <w:footnote w:id="261">
    <w:p w:rsidR="00EC7CF3" w:rsidRDefault="00EC7CF3" w:rsidP="001306A7">
      <w:pPr>
        <w:pStyle w:val="FootnoteText"/>
      </w:pPr>
      <w:r w:rsidRPr="00D40600">
        <w:rPr>
          <w:rStyle w:val="FootnoteReference"/>
          <w:sz w:val="20"/>
        </w:rPr>
        <w:footnoteRef/>
      </w:r>
      <w:r w:rsidRPr="00D40600">
        <w:t xml:space="preserve"> </w:t>
      </w:r>
      <w:r w:rsidRPr="00D40600">
        <w:rPr>
          <w:i/>
        </w:rPr>
        <w:t>See</w:t>
      </w:r>
      <w:r w:rsidRPr="00D40600">
        <w:t xml:space="preserve"> Cisco White Paper, </w:t>
      </w:r>
      <w:r w:rsidRPr="00D40600">
        <w:rPr>
          <w:i/>
        </w:rPr>
        <w:t>Cisco Visual Networking Index: Global Mobile Data Traffic Forecast Update</w:t>
      </w:r>
      <w:r w:rsidRPr="00D40600">
        <w:t>, 201</w:t>
      </w:r>
      <w:r>
        <w:t>2</w:t>
      </w:r>
      <w:r w:rsidRPr="00D40600">
        <w:t>-201</w:t>
      </w:r>
      <w:r>
        <w:t>7</w:t>
      </w:r>
      <w:r w:rsidRPr="00D40600">
        <w:t xml:space="preserve">, at </w:t>
      </w:r>
      <w:r>
        <w:t>9</w:t>
      </w:r>
      <w:r w:rsidRPr="00D40600">
        <w:t xml:space="preserve">, February </w:t>
      </w:r>
      <w:r>
        <w:t>6</w:t>
      </w:r>
      <w:r w:rsidRPr="00D40600">
        <w:t>, 201</w:t>
      </w:r>
      <w:r>
        <w:t>3</w:t>
      </w:r>
      <w:r w:rsidRPr="00D40600">
        <w:t xml:space="preserve">, </w:t>
      </w:r>
      <w:r w:rsidRPr="00D40600">
        <w:rPr>
          <w:i/>
        </w:rPr>
        <w:t>available at</w:t>
      </w:r>
      <w:r w:rsidRPr="00D40600">
        <w:t xml:space="preserve"> </w:t>
      </w:r>
      <w:hyperlink r:id="rId54" w:history="1">
        <w:r w:rsidRPr="005C7311">
          <w:rPr>
            <w:rStyle w:val="Hyperlink"/>
          </w:rPr>
          <w:t>http://www.cisco.com/en/US/solutions/collateral/ns341/ns525/ns537/ns705/ns827/white_paper_c11-520862.pdf</w:t>
        </w:r>
      </w:hyperlink>
      <w:r>
        <w:t xml:space="preserve"> </w:t>
      </w:r>
      <w:r w:rsidRPr="00D40600">
        <w:t xml:space="preserve">.  </w:t>
      </w:r>
    </w:p>
  </w:footnote>
  <w:footnote w:id="262">
    <w:p w:rsidR="00EC7CF3" w:rsidRDefault="00EC7CF3" w:rsidP="001306A7">
      <w:pPr>
        <w:pStyle w:val="FootnoteText"/>
      </w:pPr>
      <w:r w:rsidRPr="00D40600">
        <w:rPr>
          <w:rStyle w:val="FootnoteReference"/>
          <w:sz w:val="20"/>
        </w:rPr>
        <w:footnoteRef/>
      </w:r>
      <w:r w:rsidRPr="00D40600">
        <w:t xml:space="preserve"> comScore 2012, </w:t>
      </w:r>
      <w:r w:rsidRPr="00D40600">
        <w:rPr>
          <w:i/>
        </w:rPr>
        <w:t>Mobile Future in Focus</w:t>
      </w:r>
      <w:r w:rsidRPr="00D40600">
        <w:t xml:space="preserve"> (2012)</w:t>
      </w:r>
      <w:r w:rsidRPr="00D40600">
        <w:rPr>
          <w:i/>
        </w:rPr>
        <w:t>, available at</w:t>
      </w:r>
      <w:r w:rsidRPr="00D40600">
        <w:t xml:space="preserve"> </w:t>
      </w:r>
      <w:hyperlink r:id="rId55" w:history="1">
        <w:r w:rsidRPr="00164CF5">
          <w:rPr>
            <w:rStyle w:val="Hyperlink"/>
          </w:rPr>
          <w:t>http://www.comscore.com/Press_Events/Presentations_Whitepapers/2012/2012_Mobile_Future_in_Focus</w:t>
        </w:r>
      </w:hyperlink>
      <w:r>
        <w:t xml:space="preserve"> </w:t>
      </w:r>
      <w:r w:rsidRPr="00D40600">
        <w:t>(last visited Oct. 23, 2012).  For consumers ages 25-34, eight of ten recent new phone purchases were smartphones</w:t>
      </w:r>
      <w:r w:rsidRPr="00D40600">
        <w:rPr>
          <w:i/>
        </w:rPr>
        <w:t>.  See</w:t>
      </w:r>
      <w:r w:rsidRPr="00D40600">
        <w:t xml:space="preserve"> Survey: New U.S. Smartphone Growth by Age and Income, NIELSENWIRE, Feb. 20, 2012,</w:t>
      </w:r>
      <w:r w:rsidRPr="00C40AD7">
        <w:rPr>
          <w:i/>
        </w:rPr>
        <w:t xml:space="preserve"> available at </w:t>
      </w:r>
      <w:hyperlink r:id="rId56" w:history="1">
        <w:r w:rsidRPr="00164CF5">
          <w:rPr>
            <w:rStyle w:val="Hyperlink"/>
          </w:rPr>
          <w:t>http://blog.nielsen.com/nielsenwire/online_mobile/survey-new-u-s-smartphone-growth-by-age-and-income/</w:t>
        </w:r>
      </w:hyperlink>
      <w:r>
        <w:t xml:space="preserve"> </w:t>
      </w:r>
      <w:r w:rsidRPr="00D40600">
        <w:t>(last visited Oct. 23, 2012).</w:t>
      </w:r>
    </w:p>
  </w:footnote>
  <w:footnote w:id="263">
    <w:p w:rsidR="00EC7CF3" w:rsidRPr="00457641" w:rsidRDefault="00EC7CF3" w:rsidP="001306A7">
      <w:pPr>
        <w:pStyle w:val="FootnoteText"/>
      </w:pPr>
      <w:r w:rsidRPr="00D40600">
        <w:rPr>
          <w:rStyle w:val="FootnoteReference"/>
          <w:sz w:val="20"/>
        </w:rPr>
        <w:footnoteRef/>
      </w:r>
      <w:r w:rsidRPr="00D40600">
        <w:rPr>
          <w:i/>
        </w:rPr>
        <w:t>See</w:t>
      </w:r>
      <w:r w:rsidRPr="00D40600">
        <w:t xml:space="preserve"> Cisco White Paper, </w:t>
      </w:r>
      <w:r w:rsidRPr="00D40600">
        <w:rPr>
          <w:i/>
        </w:rPr>
        <w:t>Cisco Visual Networking Index: Global Mobile Data Traffic Forecast Update</w:t>
      </w:r>
      <w:r w:rsidRPr="00D40600">
        <w:t>, 201</w:t>
      </w:r>
      <w:r>
        <w:t>2</w:t>
      </w:r>
      <w:r w:rsidRPr="00D40600">
        <w:t>-201</w:t>
      </w:r>
      <w:r>
        <w:t>7</w:t>
      </w:r>
      <w:r w:rsidRPr="00D40600">
        <w:t xml:space="preserve">, Executive Summary, February </w:t>
      </w:r>
      <w:r>
        <w:t>6</w:t>
      </w:r>
      <w:r w:rsidRPr="00D40600">
        <w:t>, 201</w:t>
      </w:r>
      <w:r>
        <w:t>3</w:t>
      </w:r>
      <w:r w:rsidRPr="00D40600">
        <w:t xml:space="preserve">, </w:t>
      </w:r>
      <w:r w:rsidRPr="00D40600">
        <w:rPr>
          <w:i/>
        </w:rPr>
        <w:t>available at</w:t>
      </w:r>
      <w:r w:rsidRPr="00D40600">
        <w:t xml:space="preserve"> </w:t>
      </w:r>
      <w:hyperlink r:id="rId57" w:history="1">
        <w:r w:rsidRPr="005C7311">
          <w:rPr>
            <w:rStyle w:val="Hyperlink"/>
          </w:rPr>
          <w:t>http://www.cisco.com/en/US/solutions/collateral/ns341/ns525/ns537/ns705/ns827/white_paper_c11-520862.pdf</w:t>
        </w:r>
      </w:hyperlink>
      <w:r>
        <w:rPr>
          <w:rStyle w:val="Hyperlink"/>
          <w:u w:val="none"/>
        </w:rPr>
        <w:t>.</w:t>
      </w:r>
    </w:p>
  </w:footnote>
  <w:footnote w:id="264">
    <w:p w:rsidR="00EC7CF3" w:rsidRDefault="00EC7CF3" w:rsidP="001306A7">
      <w:pPr>
        <w:pStyle w:val="FootnoteText"/>
      </w:pPr>
      <w:r w:rsidRPr="00D40600">
        <w:rPr>
          <w:rStyle w:val="FootnoteReference"/>
          <w:sz w:val="20"/>
        </w:rPr>
        <w:footnoteRef/>
      </w:r>
      <w:r w:rsidRPr="00D40600">
        <w:t xml:space="preserve"> Council of Economic Advisors, </w:t>
      </w:r>
      <w:r w:rsidRPr="00D40600">
        <w:rPr>
          <w:i/>
        </w:rPr>
        <w:t>The Economic Benefits of New Spectrum for Wireless Broadband at 1</w:t>
      </w:r>
      <w:r w:rsidRPr="00D40600">
        <w:t xml:space="preserve"> (Feb. 2012), </w:t>
      </w:r>
      <w:r w:rsidRPr="00D40600">
        <w:rPr>
          <w:i/>
        </w:rPr>
        <w:t>available at</w:t>
      </w:r>
      <w:r w:rsidRPr="00D40600">
        <w:t xml:space="preserve"> </w:t>
      </w:r>
      <w:hyperlink r:id="rId58" w:history="1">
        <w:r w:rsidRPr="005C7311">
          <w:rPr>
            <w:rStyle w:val="Hyperlink"/>
          </w:rPr>
          <w:t>http://www.whitehouse.gov/sites/default/files/cea_spectrum_report_2-21-2012.pdf</w:t>
        </w:r>
      </w:hyperlink>
      <w:r>
        <w:t xml:space="preserve"> </w:t>
      </w:r>
      <w:r w:rsidRPr="00D40600">
        <w:t>(last visited Oct. 23, 2012).</w:t>
      </w:r>
    </w:p>
  </w:footnote>
  <w:footnote w:id="265">
    <w:p w:rsidR="00EC7CF3" w:rsidRDefault="00EC7CF3" w:rsidP="00380F52">
      <w:pPr>
        <w:pStyle w:val="FootnoteText"/>
      </w:pPr>
      <w:r w:rsidRPr="00D40600">
        <w:rPr>
          <w:rStyle w:val="FootnoteReference"/>
          <w:sz w:val="20"/>
        </w:rPr>
        <w:footnoteRef/>
      </w:r>
      <w:r w:rsidRPr="00D40600">
        <w:t xml:space="preserve"> </w:t>
      </w:r>
      <w:r w:rsidRPr="00D40600">
        <w:rPr>
          <w:i/>
        </w:rPr>
        <w:t xml:space="preserve">See </w:t>
      </w:r>
      <w:r w:rsidRPr="00D40600">
        <w:t xml:space="preserve">U.S. Department of Commerce, </w:t>
      </w:r>
      <w:r w:rsidRPr="00D40600">
        <w:rPr>
          <w:i/>
        </w:rPr>
        <w:t>Plan and Timetable to Make Available 500 Megahertz of Spectrum for Wireless Broadband</w:t>
      </w:r>
      <w:r w:rsidRPr="00D40600">
        <w:t xml:space="preserve">, Oct. 2010, </w:t>
      </w:r>
      <w:r w:rsidRPr="00D40600">
        <w:rPr>
          <w:i/>
        </w:rPr>
        <w:t xml:space="preserve">available at </w:t>
      </w:r>
      <w:hyperlink r:id="rId59" w:history="1">
        <w:r w:rsidRPr="00D40600">
          <w:rPr>
            <w:rStyle w:val="Hyperlink"/>
          </w:rPr>
          <w:t>http://www.ntia.doc.gov/reports/2010/TenYearPlan_11152010.pdf</w:t>
        </w:r>
      </w:hyperlink>
      <w:r w:rsidRPr="00D40600">
        <w:t xml:space="preserve"> </w:t>
      </w:r>
      <w:r>
        <w:t xml:space="preserve">(visited Nov. 30, 2012) </w:t>
      </w:r>
      <w:r w:rsidRPr="00D40600">
        <w:t>(</w:t>
      </w:r>
      <w:r w:rsidRPr="00D40600">
        <w:rPr>
          <w:i/>
        </w:rPr>
        <w:t>Plan and Timetable to Make Available 500 Megahertz of Spectrum for Wireless Broadband</w:t>
      </w:r>
      <w:r w:rsidRPr="00D40600">
        <w:t>).</w:t>
      </w:r>
    </w:p>
  </w:footnote>
  <w:footnote w:id="266">
    <w:p w:rsidR="00EC7CF3" w:rsidRDefault="00EC7CF3" w:rsidP="00380F52">
      <w:pPr>
        <w:pStyle w:val="FootnoteText"/>
      </w:pPr>
      <w:r w:rsidRPr="00D40600">
        <w:rPr>
          <w:rStyle w:val="FootnoteReference"/>
          <w:sz w:val="20"/>
        </w:rPr>
        <w:footnoteRef/>
      </w:r>
      <w:r w:rsidRPr="00D40600">
        <w:t xml:space="preserve"> </w:t>
      </w:r>
      <w:r w:rsidRPr="00D40600">
        <w:rPr>
          <w:i/>
        </w:rPr>
        <w:t xml:space="preserve">See </w:t>
      </w:r>
      <w:r w:rsidRPr="00D40600">
        <w:t xml:space="preserve">U.S. Department of Commerce, </w:t>
      </w:r>
      <w:r w:rsidRPr="00D40600">
        <w:rPr>
          <w:i/>
        </w:rPr>
        <w:t>An Assessment of the Near-Term Viability of Accommodating Wireless Broadband Systems in the 1675-1710 MHz, 1755-1780 MHz, 3500-3650 MHz, and 4200-4220, 4380-4400 MHz Bands</w:t>
      </w:r>
      <w:r w:rsidRPr="00D40600">
        <w:t xml:space="preserve">, Oct. 2010, </w:t>
      </w:r>
      <w:r w:rsidRPr="00D40600">
        <w:rPr>
          <w:i/>
        </w:rPr>
        <w:t xml:space="preserve">available at </w:t>
      </w:r>
      <w:hyperlink r:id="rId60" w:history="1">
        <w:r w:rsidRPr="00D40600">
          <w:rPr>
            <w:rStyle w:val="Hyperlink"/>
          </w:rPr>
          <w:t>http://www.ntia.doc.gov/reports/2010/FastTrackEvaluation_11152010.pdf</w:t>
        </w:r>
      </w:hyperlink>
      <w:r>
        <w:rPr>
          <w:rStyle w:val="Hyperlink"/>
        </w:rPr>
        <w:t xml:space="preserve">  </w:t>
      </w:r>
      <w:r w:rsidRPr="00C40AD7">
        <w:rPr>
          <w:rStyle w:val="Hyperlink"/>
          <w:color w:val="auto"/>
          <w:u w:val="none"/>
        </w:rPr>
        <w:t>(visited Nov. 30, 2012)</w:t>
      </w:r>
      <w:r w:rsidRPr="00C40AD7">
        <w:t>.</w:t>
      </w:r>
    </w:p>
  </w:footnote>
  <w:footnote w:id="267">
    <w:p w:rsidR="00EC7CF3" w:rsidRDefault="00EC7CF3" w:rsidP="00380F52">
      <w:pPr>
        <w:pStyle w:val="FootnoteText"/>
      </w:pPr>
      <w:r w:rsidRPr="00D40600">
        <w:rPr>
          <w:rStyle w:val="FootnoteReference"/>
          <w:sz w:val="20"/>
        </w:rPr>
        <w:footnoteRef/>
      </w:r>
      <w:r w:rsidRPr="00D40600">
        <w:t xml:space="preserve"> </w:t>
      </w:r>
      <w:r w:rsidRPr="00D40600">
        <w:rPr>
          <w:i/>
        </w:rPr>
        <w:t>See</w:t>
      </w:r>
      <w:r w:rsidRPr="00D40600">
        <w:t xml:space="preserve"> </w:t>
      </w:r>
      <w:r w:rsidRPr="00D40600">
        <w:rPr>
          <w:i/>
        </w:rPr>
        <w:t>Plan and Timetable to Make Available 500 Megahertz of Spectrum for Wireless Broadband</w:t>
      </w:r>
      <w:r w:rsidRPr="00D40600">
        <w:t xml:space="preserve">.  Of the 2,200 megahertz of candidate spectrum that the Ten-Year Plan and Timetable identify, 28 percent is allocated exclusively for Federal use at present, 35 percent is allocated exclusively for commercial use, and 37 percent is shared by Federal and commercial users.  The 2,200 megahertz includes 280 megahertz of commercial spectrum that the Commission recommended in the </w:t>
      </w:r>
      <w:r w:rsidRPr="00D40600">
        <w:rPr>
          <w:i/>
        </w:rPr>
        <w:t>National Broadband Plan</w:t>
      </w:r>
      <w:r w:rsidRPr="00D40600">
        <w:t xml:space="preserve"> to be made available for mobile broadband use within five years.</w:t>
      </w:r>
    </w:p>
  </w:footnote>
  <w:footnote w:id="268">
    <w:p w:rsidR="00EC7CF3" w:rsidRDefault="00EC7CF3" w:rsidP="00380F52">
      <w:pPr>
        <w:pStyle w:val="FootnoteText"/>
      </w:pPr>
      <w:r w:rsidRPr="00D40600">
        <w:rPr>
          <w:rStyle w:val="FootnoteReference"/>
          <w:sz w:val="20"/>
        </w:rPr>
        <w:footnoteRef/>
      </w:r>
      <w:r w:rsidRPr="00D40600">
        <w:t xml:space="preserve"> </w:t>
      </w:r>
      <w:r w:rsidRPr="00D40600">
        <w:rPr>
          <w:i/>
        </w:rPr>
        <w:t>See</w:t>
      </w:r>
      <w:r w:rsidRPr="00D40600">
        <w:t xml:space="preserve"> </w:t>
      </w:r>
      <w:r w:rsidRPr="00D40600">
        <w:rPr>
          <w:i/>
        </w:rPr>
        <w:t>Plan and Timetable to Make Available 500 Megahertz of Spectrum for Wireless Broadband</w:t>
      </w:r>
      <w:r>
        <w:t>.</w:t>
      </w:r>
    </w:p>
  </w:footnote>
  <w:footnote w:id="269">
    <w:p w:rsidR="00EC7CF3" w:rsidRDefault="00EC7CF3" w:rsidP="00380F52">
      <w:pPr>
        <w:pStyle w:val="FootnoteText"/>
      </w:pPr>
      <w:r w:rsidRPr="00D40600">
        <w:rPr>
          <w:rStyle w:val="FootnoteReference"/>
          <w:sz w:val="20"/>
        </w:rPr>
        <w:footnoteRef/>
      </w:r>
      <w:r w:rsidRPr="00D40600">
        <w:t xml:space="preserve"> </w:t>
      </w:r>
      <w:r w:rsidRPr="00D40600">
        <w:rPr>
          <w:i/>
        </w:rPr>
        <w:t xml:space="preserve">See </w:t>
      </w:r>
      <w:r w:rsidRPr="00D40600">
        <w:t xml:space="preserve">U.S. Department of Commerce, </w:t>
      </w:r>
      <w:r w:rsidRPr="00D40600">
        <w:rPr>
          <w:i/>
        </w:rPr>
        <w:t>An Assessment of the Near-Term Viability of Accommodating Wireless Broadband Systems in the 1675-1710 MHz, 1755-1780 MHz, 3500-3650 MHz, and 4200-4220, 4380-4400 MHz Bands</w:t>
      </w:r>
      <w:r w:rsidRPr="00D40600">
        <w:t xml:space="preserve">, Oct. 2010, </w:t>
      </w:r>
      <w:r w:rsidRPr="00D40600">
        <w:rPr>
          <w:i/>
        </w:rPr>
        <w:t xml:space="preserve">available at </w:t>
      </w:r>
      <w:hyperlink r:id="rId61" w:history="1">
        <w:r w:rsidRPr="00D40600">
          <w:rPr>
            <w:rStyle w:val="Hyperlink"/>
          </w:rPr>
          <w:t>http://www.ntia.doc.gov/reports/2010/FastTrackEvaluation_11152010.pdf</w:t>
        </w:r>
      </w:hyperlink>
      <w:r>
        <w:t xml:space="preserve"> </w:t>
      </w:r>
      <w:r w:rsidRPr="00C40AD7">
        <w:t>(visited Nov. 30, 2012).</w:t>
      </w:r>
    </w:p>
  </w:footnote>
  <w:footnote w:id="270">
    <w:p w:rsidR="00EC7CF3" w:rsidRDefault="00EC7CF3" w:rsidP="00380F52">
      <w:pPr>
        <w:pStyle w:val="FootnoteText"/>
      </w:pPr>
      <w:r w:rsidRPr="00D40600">
        <w:rPr>
          <w:rStyle w:val="FootnoteReference"/>
          <w:sz w:val="20"/>
        </w:rPr>
        <w:footnoteRef/>
      </w:r>
      <w:r w:rsidRPr="00D40600">
        <w:t xml:space="preserve"> U.S. Department of Commerce, </w:t>
      </w:r>
      <w:r w:rsidRPr="00D40600">
        <w:rPr>
          <w:i/>
        </w:rPr>
        <w:t xml:space="preserve">An Assessment of the Viability of Accommodating Wireless Broadband in the 1755 – 1850 MHz Band, </w:t>
      </w:r>
      <w:r w:rsidRPr="00D40600">
        <w:t xml:space="preserve">March 2012, </w:t>
      </w:r>
      <w:r w:rsidRPr="00D40600">
        <w:rPr>
          <w:i/>
        </w:rPr>
        <w:t>available at</w:t>
      </w:r>
      <w:r w:rsidRPr="00D40600">
        <w:t xml:space="preserve"> </w:t>
      </w:r>
      <w:hyperlink r:id="rId62" w:history="1">
        <w:r w:rsidRPr="007C0F0A">
          <w:rPr>
            <w:rStyle w:val="Hyperlink"/>
          </w:rPr>
          <w:t>http://www.ntia.doc.gov/report/2012/assessment-viability-accommodating-wireless-broadband-1755-1850-mhz-band</w:t>
        </w:r>
      </w:hyperlink>
      <w:r>
        <w:t xml:space="preserve"> (visited Nov. 30, 2012)</w:t>
      </w:r>
      <w:r w:rsidRPr="00D40600">
        <w:t xml:space="preserve"> </w:t>
      </w:r>
      <w:r>
        <w:t xml:space="preserve">In its Report, </w:t>
      </w:r>
      <w:r w:rsidRPr="00D40600">
        <w:t>NTIA also finds that a number of issues will need to be resolved, including the allocation by NTIA and the Commission of comparable spectrum to accommodate federal operations, consideration of incumbent operations in such comparable spectrum, and the need for any repurposing to promote economic values without loss of critical federal capabilities.</w:t>
      </w:r>
    </w:p>
  </w:footnote>
  <w:footnote w:id="271">
    <w:p w:rsidR="00EC7CF3" w:rsidRDefault="00EC7CF3" w:rsidP="00380F52">
      <w:pPr>
        <w:pStyle w:val="FootnoteText"/>
      </w:pPr>
      <w:r w:rsidRPr="00D40600">
        <w:rPr>
          <w:rStyle w:val="FootnoteReference"/>
          <w:sz w:val="20"/>
        </w:rPr>
        <w:footnoteRef/>
      </w:r>
      <w:r w:rsidRPr="00D40600">
        <w:t xml:space="preserve"> </w:t>
      </w:r>
      <w:r w:rsidRPr="00D40600">
        <w:rPr>
          <w:i/>
        </w:rPr>
        <w:t>See</w:t>
      </w:r>
      <w:r w:rsidRPr="00D40600">
        <w:t xml:space="preserve"> Framework for Work within CSMAC at 1, </w:t>
      </w:r>
      <w:hyperlink r:id="rId63" w:history="1">
        <w:r w:rsidRPr="00D40600">
          <w:rPr>
            <w:rStyle w:val="Hyperlink"/>
          </w:rPr>
          <w:t>http://www.ntia.doc.gov/files/ntia/meetings/framework_for_work_within_csmac_20120525.pdf</w:t>
        </w:r>
      </w:hyperlink>
      <w:r w:rsidRPr="00D40600">
        <w:t>.</w:t>
      </w:r>
      <w:r>
        <w:t xml:space="preserve"> (visited Dec 12, 2012).</w:t>
      </w:r>
    </w:p>
  </w:footnote>
  <w:footnote w:id="272">
    <w:p w:rsidR="00EC7CF3" w:rsidRDefault="00EC7CF3" w:rsidP="00380F52">
      <w:pPr>
        <w:pStyle w:val="FootnoteText"/>
      </w:pPr>
      <w:r w:rsidRPr="00D40600">
        <w:rPr>
          <w:rStyle w:val="FootnoteReference"/>
          <w:sz w:val="20"/>
        </w:rPr>
        <w:footnoteRef/>
      </w:r>
      <w:r w:rsidRPr="00D40600">
        <w:t xml:space="preserve"> </w:t>
      </w:r>
      <w:r w:rsidRPr="00D40600">
        <w:rPr>
          <w:i/>
        </w:rPr>
        <w:t>See id</w:t>
      </w:r>
      <w:r w:rsidRPr="00D40600">
        <w:t>.</w:t>
      </w:r>
    </w:p>
  </w:footnote>
  <w:footnote w:id="273">
    <w:p w:rsidR="00EC7CF3" w:rsidRDefault="00EC7CF3" w:rsidP="00610A7B">
      <w:pPr>
        <w:pStyle w:val="FootnoteText"/>
      </w:pPr>
      <w:r w:rsidRPr="00D40600">
        <w:rPr>
          <w:rStyle w:val="FootnoteReference"/>
          <w:sz w:val="20"/>
        </w:rPr>
        <w:footnoteRef/>
      </w:r>
      <w:r w:rsidRPr="00D40600">
        <w:t xml:space="preserve"> </w:t>
      </w:r>
      <w:r w:rsidRPr="00D40600">
        <w:rPr>
          <w:i/>
        </w:rPr>
        <w:t xml:space="preserve">See </w:t>
      </w:r>
      <w:r w:rsidRPr="00D40600">
        <w:t>Middle Class Tax Relief and Job Creation Act of 2012, Pub. L. No. 112-96, §§ 6001-6703, 125 Stat. 156 (2012) (Spectrum Act).</w:t>
      </w:r>
    </w:p>
  </w:footnote>
  <w:footnote w:id="274">
    <w:p w:rsidR="00EC7CF3" w:rsidRDefault="00EC7CF3" w:rsidP="00610A7B">
      <w:pPr>
        <w:pStyle w:val="FootnoteText"/>
      </w:pPr>
      <w:r w:rsidRPr="00D40600">
        <w:rPr>
          <w:rStyle w:val="FootnoteReference"/>
          <w:sz w:val="20"/>
        </w:rPr>
        <w:footnoteRef/>
      </w:r>
      <w:r w:rsidRPr="00D40600">
        <w:t xml:space="preserve"> 47 U.S.C. § 309(j)(8)(G); Spectrum Act at § 6402.</w:t>
      </w:r>
    </w:p>
  </w:footnote>
  <w:footnote w:id="275">
    <w:p w:rsidR="00EC7CF3" w:rsidRDefault="00EC7CF3" w:rsidP="00610A7B">
      <w:pPr>
        <w:pStyle w:val="FootnoteText"/>
      </w:pPr>
      <w:r w:rsidRPr="00D40600">
        <w:rPr>
          <w:rStyle w:val="FootnoteReference"/>
          <w:sz w:val="20"/>
        </w:rPr>
        <w:footnoteRef/>
      </w:r>
      <w:r w:rsidRPr="00D40600">
        <w:t xml:space="preserve"> </w:t>
      </w:r>
      <w:r w:rsidRPr="00D40600">
        <w:rPr>
          <w:i/>
        </w:rPr>
        <w:t xml:space="preserve">See </w:t>
      </w:r>
      <w:r w:rsidRPr="00D40600">
        <w:t xml:space="preserve">Spectrum Act at § 6403.  Section 6402 of the Spectrum Act, codified at 47 U.S.C. 307(J)(8)(G)(i) authorizes the Commission to conduct incentive auctions in which a licensee may voluntarily relinquish its spectrum usage rights in order to permit the assignment by auction of new initial licenses subject to flexible-use service rules, in exchange for a portion of the resulting auction proceeds. </w:t>
      </w:r>
    </w:p>
  </w:footnote>
  <w:footnote w:id="276">
    <w:p w:rsidR="00EC7CF3" w:rsidRDefault="00EC7CF3" w:rsidP="00610A7B">
      <w:pPr>
        <w:pStyle w:val="FootnoteText"/>
      </w:pPr>
      <w:r w:rsidRPr="00D40600">
        <w:rPr>
          <w:rStyle w:val="FootnoteReference"/>
          <w:sz w:val="20"/>
        </w:rPr>
        <w:footnoteRef/>
      </w:r>
      <w:r w:rsidRPr="00D40600">
        <w:t xml:space="preserve"> </w:t>
      </w:r>
      <w:r w:rsidRPr="00D40600">
        <w:rPr>
          <w:i/>
        </w:rPr>
        <w:t xml:space="preserve">See </w:t>
      </w:r>
      <w:r w:rsidRPr="00D40600">
        <w:t>Spectrum Act at § 6403(a)(1).</w:t>
      </w:r>
    </w:p>
  </w:footnote>
  <w:footnote w:id="277">
    <w:p w:rsidR="00EC7CF3" w:rsidRDefault="00EC7CF3" w:rsidP="00610A7B">
      <w:pPr>
        <w:pStyle w:val="FootnoteText"/>
      </w:pPr>
      <w:r w:rsidRPr="00D40600">
        <w:rPr>
          <w:rStyle w:val="FootnoteReference"/>
          <w:sz w:val="20"/>
        </w:rPr>
        <w:footnoteRef/>
      </w:r>
      <w:r w:rsidRPr="00D40600">
        <w:t xml:space="preserve"> </w:t>
      </w:r>
      <w:r w:rsidRPr="00D649EE">
        <w:rPr>
          <w:i/>
        </w:rPr>
        <w:t xml:space="preserve">See </w:t>
      </w:r>
      <w:r w:rsidRPr="00D40600">
        <w:t>Spectrum Act at § 6403(b)(1).</w:t>
      </w:r>
    </w:p>
  </w:footnote>
  <w:footnote w:id="278">
    <w:p w:rsidR="00EC7CF3" w:rsidRDefault="00EC7CF3" w:rsidP="00610A7B">
      <w:pPr>
        <w:pStyle w:val="FootnoteText"/>
      </w:pPr>
      <w:r w:rsidRPr="00D40600">
        <w:rPr>
          <w:rStyle w:val="FootnoteReference"/>
          <w:sz w:val="20"/>
        </w:rPr>
        <w:footnoteRef/>
      </w:r>
      <w:r w:rsidRPr="00D40600">
        <w:t xml:space="preserve"> </w:t>
      </w:r>
      <w:r w:rsidRPr="00D40600">
        <w:rPr>
          <w:i/>
          <w:iCs/>
        </w:rPr>
        <w:t>See</w:t>
      </w:r>
      <w:r w:rsidRPr="00D40600">
        <w:t xml:space="preserve"> Expanding the Economic and Innovation Opportunities of Spectrum Through Incentive Auctions,</w:t>
      </w:r>
      <w:r w:rsidRPr="00D40600">
        <w:rPr>
          <w:i/>
          <w:iCs/>
        </w:rPr>
        <w:t xml:space="preserve"> </w:t>
      </w:r>
      <w:r w:rsidRPr="00D40600">
        <w:t xml:space="preserve">GN Docket No. 12-268, </w:t>
      </w:r>
      <w:r w:rsidRPr="00D40600">
        <w:rPr>
          <w:i/>
          <w:iCs/>
        </w:rPr>
        <w:t>Notice of Proposed Rulemaking</w:t>
      </w:r>
      <w:r w:rsidRPr="00D40600">
        <w:t>, FCC 12-118, (adopted Sept. 28, 2012) (</w:t>
      </w:r>
      <w:r w:rsidRPr="00D40600">
        <w:rPr>
          <w:i/>
          <w:iCs/>
        </w:rPr>
        <w:t>Incentive Auctions NPRM</w:t>
      </w:r>
      <w:r w:rsidRPr="00D40600">
        <w:t>).</w:t>
      </w:r>
    </w:p>
  </w:footnote>
  <w:footnote w:id="279">
    <w:p w:rsidR="00EC7CF3" w:rsidRDefault="00EC7CF3" w:rsidP="00610A7B">
      <w:pPr>
        <w:pStyle w:val="FootnoteText"/>
      </w:pPr>
      <w:r w:rsidRPr="00D40600">
        <w:rPr>
          <w:rStyle w:val="FootnoteReference"/>
          <w:sz w:val="20"/>
        </w:rPr>
        <w:footnoteRef/>
      </w:r>
      <w:r w:rsidRPr="00D40600">
        <w:t xml:space="preserve"> </w:t>
      </w:r>
      <w:r w:rsidRPr="00D40600">
        <w:rPr>
          <w:i/>
        </w:rPr>
        <w:t>Id</w:t>
      </w:r>
      <w:r w:rsidRPr="00D40600">
        <w:t>.</w:t>
      </w:r>
    </w:p>
  </w:footnote>
  <w:footnote w:id="280">
    <w:p w:rsidR="00EC7CF3" w:rsidRDefault="00EC7CF3" w:rsidP="00610A7B">
      <w:pPr>
        <w:pStyle w:val="FootnoteText"/>
      </w:pPr>
      <w:r w:rsidRPr="00D40600">
        <w:rPr>
          <w:rStyle w:val="FootnoteReference"/>
          <w:sz w:val="20"/>
        </w:rPr>
        <w:footnoteRef/>
      </w:r>
      <w:r w:rsidRPr="00D40600">
        <w:t xml:space="preserve"> </w:t>
      </w:r>
      <w:r w:rsidRPr="00D40600">
        <w:rPr>
          <w:i/>
        </w:rPr>
        <w:t xml:space="preserve">See </w:t>
      </w:r>
      <w:r w:rsidRPr="00D40600">
        <w:t xml:space="preserve">Spectrum Act at § 6401(b).  These are the frequencies between 1915-1920 MHz, 1995-2000 MHz, and 2155-2180 MHz.  Also included in this requirement is 15 megahertz of spectrum identified by NTIA between 1675-1710 MHz, and 15 megahertz of contiguous spectrum to be identified by the Commission.  </w:t>
      </w:r>
      <w:r w:rsidRPr="00D40600">
        <w:rPr>
          <w:i/>
        </w:rPr>
        <w:t>Id</w:t>
      </w:r>
      <w:r w:rsidRPr="00D40600">
        <w:t>.</w:t>
      </w:r>
    </w:p>
  </w:footnote>
  <w:footnote w:id="281">
    <w:p w:rsidR="00EC7CF3" w:rsidRDefault="00EC7CF3" w:rsidP="00610A7B">
      <w:pPr>
        <w:pStyle w:val="FootnoteText"/>
      </w:pPr>
      <w:r w:rsidRPr="00D40600">
        <w:rPr>
          <w:rStyle w:val="FootnoteReference"/>
          <w:sz w:val="20"/>
        </w:rPr>
        <w:footnoteRef/>
      </w:r>
      <w:r w:rsidRPr="00D40600">
        <w:t xml:space="preserve"> </w:t>
      </w:r>
      <w:r w:rsidRPr="00D40600">
        <w:rPr>
          <w:i/>
        </w:rPr>
        <w:t xml:space="preserve">See </w:t>
      </w:r>
      <w:r w:rsidRPr="00D40600">
        <w:t>Spectrum Act at § 6101(a).</w:t>
      </w:r>
    </w:p>
  </w:footnote>
  <w:footnote w:id="282">
    <w:p w:rsidR="00EC7CF3" w:rsidRDefault="00EC7CF3" w:rsidP="00610A7B">
      <w:pPr>
        <w:pStyle w:val="FootnoteText"/>
      </w:pPr>
      <w:r w:rsidRPr="00D40600">
        <w:rPr>
          <w:rStyle w:val="FootnoteReference"/>
          <w:sz w:val="20"/>
        </w:rPr>
        <w:footnoteRef/>
      </w:r>
      <w:r w:rsidRPr="00D40600">
        <w:t xml:space="preserve"> </w:t>
      </w:r>
      <w:r w:rsidRPr="00D40600">
        <w:rPr>
          <w:i/>
        </w:rPr>
        <w:t xml:space="preserve">Id. </w:t>
      </w:r>
      <w:r w:rsidRPr="00D40600">
        <w:t xml:space="preserve">at § 6103(a).  The Commission must reallocate this spectrum within 9 years of enactment and relocate users within 2 years after spectrum is competitively bid.  </w:t>
      </w:r>
      <w:r w:rsidRPr="00D40600">
        <w:rPr>
          <w:i/>
        </w:rPr>
        <w:t xml:space="preserve">Id. </w:t>
      </w:r>
      <w:r w:rsidRPr="00D40600">
        <w:t>at § 6103(a), (c).</w:t>
      </w:r>
    </w:p>
  </w:footnote>
  <w:footnote w:id="283">
    <w:p w:rsidR="00EC7CF3" w:rsidRDefault="00EC7CF3" w:rsidP="00610A7B">
      <w:pPr>
        <w:pStyle w:val="FootnoteText"/>
      </w:pPr>
      <w:r w:rsidRPr="00D40600">
        <w:rPr>
          <w:rStyle w:val="FootnoteReference"/>
          <w:sz w:val="20"/>
        </w:rPr>
        <w:footnoteRef/>
      </w:r>
      <w:r w:rsidRPr="00D40600">
        <w:t xml:space="preserve"> Executive Office of the President, </w:t>
      </w:r>
      <w:r w:rsidRPr="00D40600">
        <w:rPr>
          <w:i/>
        </w:rPr>
        <w:t>Realizing the Full Potential of Government-Held Spectrum to Spur Economic Growth</w:t>
      </w:r>
      <w:r w:rsidRPr="00D40600">
        <w:t xml:space="preserve">, (July 20, 2012) (PCAST Report), </w:t>
      </w:r>
      <w:r w:rsidRPr="00D40600">
        <w:rPr>
          <w:i/>
        </w:rPr>
        <w:t>available at</w:t>
      </w:r>
      <w:r w:rsidRPr="00D40600">
        <w:t xml:space="preserve"> </w:t>
      </w:r>
      <w:hyperlink r:id="rId64" w:history="1">
        <w:r w:rsidRPr="00D40600">
          <w:rPr>
            <w:rStyle w:val="Hyperlink"/>
          </w:rPr>
          <w:t>http://www.whitehouse.gov/administr</w:t>
        </w:r>
        <w:bookmarkStart w:id="1613" w:name="_Hlt338153963"/>
        <w:bookmarkStart w:id="1614" w:name="_Hlt338153964"/>
        <w:r w:rsidRPr="00D40600">
          <w:rPr>
            <w:rStyle w:val="Hyperlink"/>
          </w:rPr>
          <w:t>a</w:t>
        </w:r>
        <w:bookmarkEnd w:id="1613"/>
        <w:bookmarkEnd w:id="1614"/>
        <w:r w:rsidRPr="00D40600">
          <w:rPr>
            <w:rStyle w:val="Hyperlink"/>
          </w:rPr>
          <w:t>tion/eop/ostp/pcast/doc</w:t>
        </w:r>
        <w:bookmarkStart w:id="1615" w:name="_Hlt338153034"/>
        <w:bookmarkStart w:id="1616" w:name="_Hlt338153035"/>
        <w:r w:rsidRPr="00D40600">
          <w:rPr>
            <w:rStyle w:val="Hyperlink"/>
          </w:rPr>
          <w:t>s</w:t>
        </w:r>
        <w:bookmarkEnd w:id="1615"/>
        <w:bookmarkEnd w:id="1616"/>
        <w:r w:rsidRPr="00D40600">
          <w:rPr>
            <w:rStyle w:val="Hyperlink"/>
          </w:rPr>
          <w:t>reports</w:t>
        </w:r>
      </w:hyperlink>
      <w:r w:rsidRPr="00D40600">
        <w:t xml:space="preserve"> (visited Oct. 16, 2012).</w:t>
      </w:r>
    </w:p>
  </w:footnote>
  <w:footnote w:id="284">
    <w:p w:rsidR="00EC7CF3" w:rsidRDefault="00EC7CF3" w:rsidP="00610A7B">
      <w:pPr>
        <w:pStyle w:val="FootnoteText"/>
      </w:pPr>
      <w:r w:rsidRPr="00D40600">
        <w:rPr>
          <w:rStyle w:val="FootnoteReference"/>
          <w:sz w:val="20"/>
        </w:rPr>
        <w:footnoteRef/>
      </w:r>
      <w:r w:rsidRPr="00D40600">
        <w:t xml:space="preserve"> </w:t>
      </w:r>
      <w:r w:rsidRPr="00D40600">
        <w:rPr>
          <w:i/>
        </w:rPr>
        <w:t xml:space="preserve">See </w:t>
      </w:r>
      <w:r w:rsidRPr="00D40600">
        <w:t>PCAST Report, at 1.</w:t>
      </w:r>
    </w:p>
  </w:footnote>
  <w:footnote w:id="285">
    <w:p w:rsidR="00EC7CF3" w:rsidRDefault="00EC7CF3" w:rsidP="00610A7B">
      <w:pPr>
        <w:pStyle w:val="FootnoteText"/>
      </w:pPr>
      <w:r w:rsidRPr="00D40600">
        <w:rPr>
          <w:rStyle w:val="FootnoteReference"/>
          <w:sz w:val="20"/>
        </w:rPr>
        <w:footnoteRef/>
      </w:r>
      <w:r w:rsidRPr="00D40600">
        <w:t xml:space="preserve"> </w:t>
      </w:r>
      <w:r w:rsidRPr="00D40600">
        <w:rPr>
          <w:i/>
        </w:rPr>
        <w:t>See</w:t>
      </w:r>
      <w:r w:rsidRPr="00D40600">
        <w:t xml:space="preserve"> PCAST Report, at 82.</w:t>
      </w:r>
    </w:p>
  </w:footnote>
  <w:footnote w:id="286">
    <w:p w:rsidR="00EC7CF3" w:rsidRDefault="00EC7CF3" w:rsidP="00610A7B">
      <w:pPr>
        <w:pStyle w:val="FootnoteText"/>
      </w:pPr>
      <w:r w:rsidRPr="00D40600">
        <w:rPr>
          <w:vertAlign w:val="superscript"/>
        </w:rPr>
        <w:footnoteRef/>
      </w:r>
      <w:r w:rsidRPr="00D40600">
        <w:t xml:space="preserve"> A more detailed description of spectrum available for mobile wireless service is provided in Appendix A.  Also, s</w:t>
      </w:r>
      <w:r w:rsidRPr="00D40600">
        <w:rPr>
          <w:i/>
        </w:rPr>
        <w:t>ee</w:t>
      </w:r>
      <w:r w:rsidRPr="00D40600">
        <w:t xml:space="preserve"> Section III.B.3 Narrowband Data Providers, </w:t>
      </w:r>
      <w:r w:rsidRPr="00D40600">
        <w:rPr>
          <w:i/>
        </w:rPr>
        <w:t>supra</w:t>
      </w:r>
      <w:r w:rsidRPr="00D40600">
        <w:t xml:space="preserve">; </w:t>
      </w:r>
      <w:r w:rsidRPr="00D40600">
        <w:rPr>
          <w:i/>
        </w:rPr>
        <w:t>Narrowband Personal Communications Service</w:t>
      </w:r>
      <w:r w:rsidRPr="00D40600">
        <w:t xml:space="preserve">, FCC Encyclopedia, </w:t>
      </w:r>
      <w:hyperlink r:id="rId65" w:history="1">
        <w:r w:rsidRPr="00D40600">
          <w:rPr>
            <w:rStyle w:val="Hyperlink"/>
          </w:rPr>
          <w:t>http://www.fcc.gov/encyclopedia/narrowband-personal-communications-service-pcs</w:t>
        </w:r>
      </w:hyperlink>
      <w:r w:rsidRPr="00D40600">
        <w:t xml:space="preserve"> (visited September 19, 2012)</w:t>
      </w:r>
      <w:r w:rsidRPr="00D40600">
        <w:rPr>
          <w:i/>
        </w:rPr>
        <w:t>.</w:t>
      </w:r>
      <w:r w:rsidRPr="00D40600">
        <w:t xml:space="preserve">  There are other bands that can be used to provide CMRS, including 1670-1675 MHz and 901-902 MHz (narrowband PCS).  Appendix A also includes a discussion of the 3650-3700 MHz band, which can be used to provide wireless broadband service (although not fully mobile service). </w:t>
      </w:r>
    </w:p>
  </w:footnote>
  <w:footnote w:id="287">
    <w:p w:rsidR="00EC7CF3" w:rsidRDefault="00EC7CF3" w:rsidP="00610A7B">
      <w:pPr>
        <w:pStyle w:val="FootnoteText"/>
      </w:pPr>
      <w:r w:rsidRPr="00D40600">
        <w:rPr>
          <w:rStyle w:val="FootnoteReference"/>
          <w:sz w:val="20"/>
        </w:rPr>
        <w:footnoteRef/>
      </w:r>
      <w:r w:rsidRPr="00D40600">
        <w:t xml:space="preserve"> Inquiry Into the Use of the Bands 825-845 MHz and 870-890 MHz for Cellular Communications Systems; and Amendment of Parts 2 and 22 of the Commission’s Rules Relative to Cellular Communications Systems, CC Docket No. 79-318, </w:t>
      </w:r>
      <w:r w:rsidRPr="00D40600">
        <w:rPr>
          <w:i/>
        </w:rPr>
        <w:t>Report and Order,</w:t>
      </w:r>
      <w:r w:rsidRPr="00D40600">
        <w:t xml:space="preserve"> 86 FCC 2d 469, 488-92 ¶¶ 38-43 (1981).</w:t>
      </w:r>
    </w:p>
  </w:footnote>
  <w:footnote w:id="288">
    <w:p w:rsidR="00EC7CF3" w:rsidRDefault="00EC7CF3" w:rsidP="00610A7B">
      <w:pPr>
        <w:pStyle w:val="FootnoteText"/>
      </w:pPr>
      <w:r w:rsidRPr="00D40600">
        <w:rPr>
          <w:rStyle w:val="FootnoteReference"/>
          <w:sz w:val="20"/>
        </w:rPr>
        <w:footnoteRef/>
      </w:r>
      <w:r w:rsidRPr="00D40600">
        <w:t xml:space="preserve"> </w:t>
      </w:r>
      <w:r w:rsidRPr="00D40600">
        <w:rPr>
          <w:i/>
        </w:rPr>
        <w:t>See Third Report</w:t>
      </w:r>
      <w:r w:rsidRPr="00D40600">
        <w:t>, 13 FCC Rcd at 19749, 19779, pp. 3, 29.</w:t>
      </w:r>
    </w:p>
  </w:footnote>
  <w:footnote w:id="289">
    <w:p w:rsidR="00EC7CF3" w:rsidRDefault="00EC7CF3" w:rsidP="00610A7B">
      <w:pPr>
        <w:pStyle w:val="FootnoteText"/>
      </w:pPr>
      <w:r w:rsidRPr="00D40600">
        <w:rPr>
          <w:rStyle w:val="FootnoteReference"/>
          <w:sz w:val="20"/>
        </w:rPr>
        <w:footnoteRef/>
      </w:r>
      <w:r w:rsidRPr="00D40600">
        <w:t xml:space="preserve"> </w:t>
      </w:r>
      <w:r w:rsidRPr="00D40600">
        <w:rPr>
          <w:i/>
        </w:rPr>
        <w:t>See</w:t>
      </w:r>
      <w:r w:rsidRPr="00D40600">
        <w:t xml:space="preserve"> Federal Communications Commission Wireless Telecommunications Bureau Staff Paper, </w:t>
      </w:r>
      <w:r w:rsidRPr="00D40600">
        <w:rPr>
          <w:i/>
        </w:rPr>
        <w:t>Private Land Mobile Radio Services: Background</w:t>
      </w:r>
      <w:r w:rsidRPr="00D40600">
        <w:t xml:space="preserve">, December 18, 1996 at D-6, available at </w:t>
      </w:r>
      <w:r w:rsidRPr="00D40600">
        <w:rPr>
          <w:i/>
        </w:rPr>
        <w:t>http://wireless.fcc.gov/index.htm?job=reports</w:t>
      </w:r>
      <w:r w:rsidRPr="00D40600">
        <w:t>.</w:t>
      </w:r>
    </w:p>
  </w:footnote>
  <w:footnote w:id="290">
    <w:p w:rsidR="00EC7CF3" w:rsidRDefault="00EC7CF3" w:rsidP="00610A7B">
      <w:pPr>
        <w:pStyle w:val="FootnoteText"/>
      </w:pPr>
      <w:r w:rsidRPr="00D40600">
        <w:rPr>
          <w:rStyle w:val="FootnoteReference"/>
          <w:sz w:val="20"/>
        </w:rPr>
        <w:footnoteRef/>
      </w:r>
      <w:r w:rsidRPr="00D40600">
        <w:t xml:space="preserve"> The “900 MHz” SMR band refers to spectrum allocated in the 896-901 and 935-940 MHz bands; the “800 MHz” band refers to spectrum allocated in the 806-824 and 851-869 MHz bands.  </w:t>
      </w:r>
      <w:r w:rsidRPr="00D40600">
        <w:rPr>
          <w:i/>
        </w:rPr>
        <w:t>See</w:t>
      </w:r>
      <w:r w:rsidRPr="00D40600">
        <w:t xml:space="preserve"> 47 C.F.R. § 90.603; 47 C.F.R. § 90.7 (defining “specialized mobile radio system”); </w:t>
      </w:r>
      <w:r w:rsidRPr="00D40600">
        <w:rPr>
          <w:i/>
        </w:rPr>
        <w:t xml:space="preserve">see also </w:t>
      </w:r>
      <w:r w:rsidRPr="00D40600">
        <w:t xml:space="preserve">Auctions 16, 34, 36 and 43 in FCC Auctions Home, </w:t>
      </w:r>
      <w:r w:rsidRPr="00D40600">
        <w:rPr>
          <w:i/>
        </w:rPr>
        <w:t>Auctions</w:t>
      </w:r>
      <w:r w:rsidRPr="00D40600">
        <w:t xml:space="preserve">, </w:t>
      </w:r>
      <w:hyperlink r:id="rId66" w:history="1">
        <w:r w:rsidRPr="00D40600">
          <w:rPr>
            <w:rStyle w:val="Hyperlink"/>
          </w:rPr>
          <w:t>http://wireless.fcc.gov/auctions/default.htm?job=auctions_home</w:t>
        </w:r>
      </w:hyperlink>
      <w:r w:rsidRPr="00D40600">
        <w:t xml:space="preserve"> (visited Aug. 23, 2012).</w:t>
      </w:r>
    </w:p>
  </w:footnote>
  <w:footnote w:id="291">
    <w:p w:rsidR="00EC7CF3" w:rsidRDefault="00EC7CF3" w:rsidP="00610A7B">
      <w:pPr>
        <w:pStyle w:val="FootnoteText"/>
      </w:pPr>
      <w:r w:rsidRPr="00D40600">
        <w:rPr>
          <w:rStyle w:val="FootnoteReference"/>
          <w:sz w:val="20"/>
        </w:rPr>
        <w:footnoteRef/>
      </w:r>
      <w:r w:rsidRPr="00D40600">
        <w:t xml:space="preserve"> Dispatch services allow two-way, real-time, voice communications between fixed units and mobile units (</w:t>
      </w:r>
      <w:r w:rsidRPr="00D40600">
        <w:rPr>
          <w:i/>
        </w:rPr>
        <w:t>e.g.</w:t>
      </w:r>
      <w:r w:rsidRPr="00D40600">
        <w:t>, between a taxicab dispatch office and a taxi) or between two or more mobile units (</w:t>
      </w:r>
      <w:r w:rsidRPr="00D40600">
        <w:rPr>
          <w:i/>
        </w:rPr>
        <w:t>e.g.</w:t>
      </w:r>
      <w:r w:rsidRPr="00D40600">
        <w:t>, between a car and a truck).  See</w:t>
      </w:r>
      <w:r w:rsidRPr="00D40600">
        <w:rPr>
          <w:i/>
        </w:rPr>
        <w:t xml:space="preserve"> Fifth Report</w:t>
      </w:r>
      <w:r w:rsidRPr="00D40600">
        <w:t xml:space="preserve">, 15 FCC Rcd at 17727-28, for a detailed discussion. </w:t>
      </w:r>
    </w:p>
  </w:footnote>
  <w:footnote w:id="292">
    <w:p w:rsidR="00EC7CF3" w:rsidRDefault="00EC7CF3" w:rsidP="00610A7B">
      <w:pPr>
        <w:pStyle w:val="FootnoteText"/>
      </w:pPr>
      <w:r w:rsidRPr="00D40600">
        <w:rPr>
          <w:rStyle w:val="FootnoteReference"/>
          <w:sz w:val="20"/>
        </w:rPr>
        <w:footnoteRef/>
      </w:r>
      <w:r w:rsidRPr="00D40600">
        <w:t xml:space="preserve"> Nextel and Sprint combined their spectrum holdings in a merger completed in 2005, becoming Sprint Nextel Corporation.  </w:t>
      </w:r>
      <w:r w:rsidRPr="00D40600">
        <w:rPr>
          <w:i/>
        </w:rPr>
        <w:t xml:space="preserve">See </w:t>
      </w:r>
      <w:hyperlink r:id="rId67" w:history="1">
        <w:r w:rsidRPr="00D40600">
          <w:rPr>
            <w:rStyle w:val="Hyperlink"/>
          </w:rPr>
          <w:t>http://www.sprint.com/companyinfo/history/</w:t>
        </w:r>
      </w:hyperlink>
      <w:r w:rsidRPr="00D40600">
        <w:t xml:space="preserve"> (visited Oct. 27, 2010).</w:t>
      </w:r>
    </w:p>
  </w:footnote>
  <w:footnote w:id="293">
    <w:p w:rsidR="00EC7CF3" w:rsidRDefault="00EC7CF3" w:rsidP="00610A7B">
      <w:pPr>
        <w:pStyle w:val="FootnoteText"/>
      </w:pPr>
      <w:r w:rsidRPr="00D40600">
        <w:rPr>
          <w:rStyle w:val="FootnoteReference"/>
          <w:sz w:val="20"/>
        </w:rPr>
        <w:footnoteRef/>
      </w:r>
      <w:r w:rsidRPr="00D40600">
        <w:t xml:space="preserve"> </w:t>
      </w:r>
      <w:r w:rsidRPr="00D40600">
        <w:rPr>
          <w:i/>
        </w:rPr>
        <w:t>See</w:t>
      </w:r>
      <w:r w:rsidRPr="00D40600">
        <w:t xml:space="preserve"> </w:t>
      </w:r>
      <w:r w:rsidRPr="00D40600">
        <w:rPr>
          <w:i/>
        </w:rPr>
        <w:t>Ninth Report</w:t>
      </w:r>
      <w:r w:rsidRPr="00D40600">
        <w:t>, 19 FCC Rcd at 20597 ¶ 78.</w:t>
      </w:r>
    </w:p>
  </w:footnote>
  <w:footnote w:id="294">
    <w:p w:rsidR="00EC7CF3" w:rsidRDefault="00EC7CF3" w:rsidP="00610A7B">
      <w:pPr>
        <w:pStyle w:val="FootnoteText"/>
      </w:pPr>
      <w:r w:rsidRPr="00D40600">
        <w:rPr>
          <w:rStyle w:val="FootnoteReference"/>
          <w:sz w:val="20"/>
        </w:rPr>
        <w:footnoteRef/>
      </w:r>
      <w:r w:rsidRPr="00D40600">
        <w:t xml:space="preserve"> </w:t>
      </w:r>
      <w:r w:rsidRPr="001A0998">
        <w:rPr>
          <w:i/>
        </w:rPr>
        <w:t>See</w:t>
      </w:r>
      <w:r w:rsidRPr="00D40600">
        <w:t xml:space="preserve"> Section IV.B.1 Network Coverage and Technology Upgrades, </w:t>
      </w:r>
      <w:r w:rsidRPr="00D40600">
        <w:rPr>
          <w:i/>
        </w:rPr>
        <w:t>infra</w:t>
      </w:r>
      <w:r w:rsidRPr="00D40600">
        <w:t xml:space="preserve">; </w:t>
      </w:r>
      <w:r w:rsidRPr="00D40600">
        <w:rPr>
          <w:i/>
        </w:rPr>
        <w:t>Sprint to Cease Service on its iDEN Network as Early as June 30, 2013</w:t>
      </w:r>
      <w:r w:rsidRPr="00D40600">
        <w:t xml:space="preserve">, News Release, Sprint Newsroom, May 29, 2012, </w:t>
      </w:r>
      <w:r w:rsidRPr="00D40600">
        <w:rPr>
          <w:i/>
        </w:rPr>
        <w:t>available at</w:t>
      </w:r>
      <w:r w:rsidRPr="00D40600">
        <w:t xml:space="preserve"> </w:t>
      </w:r>
      <w:hyperlink r:id="rId68" w:history="1">
        <w:r w:rsidRPr="00D40600">
          <w:rPr>
            <w:rStyle w:val="Hyperlink"/>
          </w:rPr>
          <w:t>http://newsroom.sprint.com/article_display.cfm?article_id=2296&amp;ECID=vanity:nextelnetwork</w:t>
        </w:r>
      </w:hyperlink>
      <w:r w:rsidRPr="00D40600">
        <w:t xml:space="preserve"> (visited Sep</w:t>
      </w:r>
      <w:r>
        <w:t>.</w:t>
      </w:r>
      <w:r w:rsidRPr="00D40600">
        <w:t xml:space="preserve"> 17, 2012).</w:t>
      </w:r>
    </w:p>
  </w:footnote>
  <w:footnote w:id="295">
    <w:p w:rsidR="00EC7CF3" w:rsidRDefault="00EC7CF3" w:rsidP="00712222">
      <w:pPr>
        <w:pStyle w:val="FootnoteText"/>
      </w:pPr>
      <w:r w:rsidRPr="00D40600">
        <w:rPr>
          <w:rStyle w:val="FootnoteReference"/>
          <w:sz w:val="20"/>
        </w:rPr>
        <w:footnoteRef/>
      </w:r>
      <w:r w:rsidRPr="00D40600">
        <w:t xml:space="preserve"> </w:t>
      </w:r>
      <w:r w:rsidRPr="00D40600">
        <w:rPr>
          <w:i/>
        </w:rPr>
        <w:t>See</w:t>
      </w:r>
      <w:r w:rsidRPr="00D40600">
        <w:t xml:space="preserve"> Improving Spectrum Efficiency Through Flexible Channel Spacing and Bandwidth Utilization for Economic Area-based 800 MHz Specialized Mobile Radio Licensees, WT Docket No. 12-64 </w:t>
      </w:r>
      <w:r w:rsidRPr="00D40600">
        <w:rPr>
          <w:i/>
        </w:rPr>
        <w:t xml:space="preserve">Report and </w:t>
      </w:r>
      <w:r w:rsidRPr="00D40600">
        <w:t>Order, 12 FCC Rcd.1225. FCC 12-55</w:t>
      </w:r>
      <w:r w:rsidRPr="00D40600">
        <w:rPr>
          <w:b/>
        </w:rPr>
        <w:t xml:space="preserve">, </w:t>
      </w:r>
      <w:r w:rsidRPr="00D40600">
        <w:t>Rel. May 24, 2012 (WTB)</w:t>
      </w:r>
      <w:r>
        <w:t>.</w:t>
      </w:r>
    </w:p>
  </w:footnote>
  <w:footnote w:id="296">
    <w:p w:rsidR="00EC7CF3" w:rsidRDefault="00EC7CF3">
      <w:pPr>
        <w:pStyle w:val="FootnoteText"/>
      </w:pPr>
      <w:r w:rsidRPr="00D40600">
        <w:rPr>
          <w:rStyle w:val="FootnoteReference"/>
          <w:sz w:val="20"/>
        </w:rPr>
        <w:footnoteRef/>
      </w:r>
      <w:r w:rsidRPr="00D40600">
        <w:t xml:space="preserve"> </w:t>
      </w:r>
      <w:r w:rsidRPr="00D40600">
        <w:rPr>
          <w:i/>
        </w:rPr>
        <w:t>Id</w:t>
      </w:r>
      <w:r w:rsidRPr="00D40600">
        <w:t>. at ¶ 5.</w:t>
      </w:r>
    </w:p>
  </w:footnote>
  <w:footnote w:id="297">
    <w:p w:rsidR="00EC7CF3" w:rsidRDefault="00EC7CF3" w:rsidP="00CF5B0B">
      <w:pPr>
        <w:pStyle w:val="FootnoteText"/>
      </w:pPr>
      <w:r w:rsidRPr="00D40600">
        <w:rPr>
          <w:rStyle w:val="FootnoteReference"/>
          <w:sz w:val="20"/>
        </w:rPr>
        <w:footnoteRef/>
      </w:r>
      <w:r w:rsidRPr="00D40600">
        <w:t xml:space="preserve"> </w:t>
      </w:r>
      <w:r w:rsidRPr="00D40600">
        <w:rPr>
          <w:i/>
        </w:rPr>
        <w:t xml:space="preserve">See </w:t>
      </w:r>
      <w:r w:rsidRPr="00D40600">
        <w:t xml:space="preserve">Auctions 4, 5, 10, 11, 22, 35, 58, 71 and 78 in FCC Auctions Home, </w:t>
      </w:r>
      <w:r w:rsidRPr="00D40600">
        <w:rPr>
          <w:i/>
        </w:rPr>
        <w:t>Auctions</w:t>
      </w:r>
      <w:r w:rsidRPr="00D40600">
        <w:t xml:space="preserve">, </w:t>
      </w:r>
      <w:hyperlink r:id="rId69" w:history="1">
        <w:r w:rsidRPr="00D40600">
          <w:rPr>
            <w:rStyle w:val="Hyperlink"/>
          </w:rPr>
          <w:t>http://wireless.fcc.gov/auctions/default.htm?job=auctions_home</w:t>
        </w:r>
      </w:hyperlink>
      <w:r w:rsidRPr="00D40600">
        <w:t xml:space="preserve"> (visited Aug. 23, 2012).</w:t>
      </w:r>
    </w:p>
  </w:footnote>
  <w:footnote w:id="298">
    <w:p w:rsidR="00EC7CF3" w:rsidRDefault="00EC7CF3" w:rsidP="00CF5B0B">
      <w:pPr>
        <w:pStyle w:val="FootnoteText"/>
      </w:pPr>
      <w:r w:rsidRPr="00D40600">
        <w:rPr>
          <w:rStyle w:val="FootnoteReference"/>
          <w:sz w:val="20"/>
        </w:rPr>
        <w:footnoteRef/>
      </w:r>
      <w:r w:rsidRPr="00D40600">
        <w:t xml:space="preserve"> </w:t>
      </w:r>
      <w:r w:rsidRPr="00D40600">
        <w:rPr>
          <w:rFonts w:ascii="Times" w:hAnsi="Times"/>
          <w:i/>
        </w:rPr>
        <w:t>See Third Report</w:t>
      </w:r>
      <w:r w:rsidRPr="00D40600">
        <w:rPr>
          <w:rFonts w:ascii="Times" w:hAnsi="Times"/>
        </w:rPr>
        <w:t>, 13 FCC Rcd at 19768,</w:t>
      </w:r>
      <w:r w:rsidRPr="00D40600">
        <w:t xml:space="preserve"> Table 3A</w:t>
      </w:r>
      <w:r w:rsidRPr="00D40600">
        <w:rPr>
          <w:rFonts w:ascii="Times" w:hAnsi="Times"/>
        </w:rPr>
        <w:t>.</w:t>
      </w:r>
    </w:p>
  </w:footnote>
  <w:footnote w:id="299">
    <w:p w:rsidR="00EC7CF3" w:rsidRDefault="00EC7CF3" w:rsidP="00CF5B0B">
      <w:pPr>
        <w:pStyle w:val="FootnoteText"/>
      </w:pPr>
      <w:r w:rsidRPr="00D40600">
        <w:rPr>
          <w:rStyle w:val="FootnoteReference"/>
          <w:sz w:val="20"/>
        </w:rPr>
        <w:footnoteRef/>
      </w:r>
      <w:r w:rsidRPr="00D40600">
        <w:t xml:space="preserve"> </w:t>
      </w:r>
      <w:r w:rsidRPr="00D40600">
        <w:rPr>
          <w:i/>
        </w:rPr>
        <w:t>CTIA Year-End 2008 Wireless Indices Report</w:t>
      </w:r>
      <w:r w:rsidRPr="00D40600">
        <w:t>, at 126.</w:t>
      </w:r>
    </w:p>
  </w:footnote>
  <w:footnote w:id="300">
    <w:p w:rsidR="00EC7CF3" w:rsidRDefault="00EC7CF3" w:rsidP="00CF5B0B">
      <w:pPr>
        <w:pStyle w:val="FootnoteText"/>
      </w:pPr>
      <w:r w:rsidRPr="00D40600">
        <w:rPr>
          <w:rStyle w:val="FootnoteReference"/>
          <w:sz w:val="20"/>
        </w:rPr>
        <w:footnoteRef/>
      </w:r>
      <w:r w:rsidRPr="00D40600">
        <w:t xml:space="preserve"> </w:t>
      </w:r>
      <w:r w:rsidRPr="00D40600">
        <w:rPr>
          <w:i/>
        </w:rPr>
        <w:t>CTIA Year-End 2008 Wireless Indices Report</w:t>
      </w:r>
      <w:r w:rsidRPr="00D40600">
        <w:t>, at 150.</w:t>
      </w:r>
    </w:p>
  </w:footnote>
  <w:footnote w:id="301">
    <w:p w:rsidR="00EC7CF3" w:rsidRDefault="00EC7CF3" w:rsidP="00CF5B0B">
      <w:pPr>
        <w:pStyle w:val="FootnoteText"/>
      </w:pPr>
      <w:r w:rsidRPr="00D40600">
        <w:rPr>
          <w:rStyle w:val="FootnoteReference"/>
          <w:sz w:val="20"/>
        </w:rPr>
        <w:footnoteRef/>
      </w:r>
      <w:r w:rsidRPr="00D40600">
        <w:t xml:space="preserve"> </w:t>
      </w:r>
      <w:r w:rsidRPr="00D40600">
        <w:rPr>
          <w:i/>
          <w:iCs/>
        </w:rPr>
        <w:t>See</w:t>
      </w:r>
      <w:r w:rsidRPr="00D40600">
        <w:t xml:space="preserve"> Improving Public Safety Communications in the 800 MHz Band, </w:t>
      </w:r>
      <w:r w:rsidRPr="00D40600">
        <w:rPr>
          <w:i/>
          <w:iCs/>
        </w:rPr>
        <w:t>Report and Order, Fifth Report and Order, Fourth Memorandum Opinion and Order</w:t>
      </w:r>
      <w:r w:rsidRPr="00D40600">
        <w:t>, 19 FCC Rcd 14969, 15083 (2004).</w:t>
      </w:r>
    </w:p>
  </w:footnote>
  <w:footnote w:id="302">
    <w:p w:rsidR="00EC7CF3" w:rsidRDefault="00EC7CF3" w:rsidP="00610A7B">
      <w:pPr>
        <w:pStyle w:val="FootnoteText"/>
      </w:pPr>
      <w:r w:rsidRPr="00D40600">
        <w:rPr>
          <w:rStyle w:val="FootnoteReference"/>
          <w:sz w:val="20"/>
        </w:rPr>
        <w:footnoteRef/>
      </w:r>
      <w:r w:rsidRPr="00D40600">
        <w:t xml:space="preserve"> These totals for BRS and EBS spectrum do not include the 8 megahertz in the J and K guard bands.  On October 30, 2009, the Commission completed Auction 86, which offered 78 BRS licenses: 75 licenses covering various Basic Trading Areas (BTAs), including one partial BTA, and 3 licenses covering BRS service areas in the Gulf of Mexico.</w:t>
      </w:r>
      <w:r w:rsidRPr="00D40600">
        <w:rPr>
          <w:rStyle w:val="FootnoteReference"/>
          <w:sz w:val="20"/>
        </w:rPr>
        <w:t xml:space="preserve"> </w:t>
      </w:r>
      <w:r w:rsidRPr="00D40600">
        <w:t xml:space="preserve"> The Commission completed the auction.  </w:t>
      </w:r>
      <w:r w:rsidRPr="00D40600">
        <w:rPr>
          <w:i/>
        </w:rPr>
        <w:t xml:space="preserve">See </w:t>
      </w:r>
      <w:r w:rsidRPr="00D40600">
        <w:t xml:space="preserve">“Auction of Broadband Radio Service Licenses Closes; Winning Bidders Announced for Auction 86,” </w:t>
      </w:r>
      <w:r w:rsidRPr="00D40600">
        <w:rPr>
          <w:i/>
        </w:rPr>
        <w:t>Public Notice</w:t>
      </w:r>
      <w:r w:rsidRPr="00D40600">
        <w:t>, 24 FCC Rcd 13572 (2009).</w:t>
      </w:r>
    </w:p>
  </w:footnote>
  <w:footnote w:id="303">
    <w:p w:rsidR="00EC7CF3" w:rsidRDefault="00EC7CF3" w:rsidP="00610A7B">
      <w:pPr>
        <w:pStyle w:val="FootnoteText"/>
      </w:pPr>
      <w:r w:rsidRPr="00D40600">
        <w:rPr>
          <w:rStyle w:val="FootnoteReference"/>
          <w:sz w:val="20"/>
        </w:rPr>
        <w:footnoteRef/>
      </w:r>
      <w:r w:rsidRPr="00D40600">
        <w:t xml:space="preserve"> </w:t>
      </w:r>
      <w:r w:rsidRPr="00D40600">
        <w:rPr>
          <w:i/>
        </w:rPr>
        <w:t xml:space="preserve">See </w:t>
      </w:r>
      <w:r w:rsidRPr="00D40600">
        <w:t xml:space="preserve">Section IV.B.1, Network Coverage and Technology Upgrades, </w:t>
      </w:r>
      <w:r w:rsidRPr="00D40600">
        <w:rPr>
          <w:i/>
        </w:rPr>
        <w:t>infra.</w:t>
      </w:r>
    </w:p>
  </w:footnote>
  <w:footnote w:id="304">
    <w:p w:rsidR="00EC7CF3" w:rsidRDefault="00EC7CF3" w:rsidP="00610A7B">
      <w:pPr>
        <w:pStyle w:val="FootnoteText"/>
      </w:pPr>
      <w:r w:rsidRPr="00D40600">
        <w:rPr>
          <w:rStyle w:val="FootnoteReference"/>
          <w:sz w:val="20"/>
        </w:rPr>
        <w:footnoteRef/>
      </w:r>
      <w:r w:rsidRPr="00D40600">
        <w:t xml:space="preserve"> </w:t>
      </w:r>
      <w:r w:rsidRPr="00D40600">
        <w:rPr>
          <w:i/>
        </w:rPr>
        <w:t xml:space="preserve">See </w:t>
      </w:r>
      <w:r w:rsidRPr="00D40600">
        <w:t xml:space="preserve">Section IV.B.1, Network Coverage and Technology Upgrades, </w:t>
      </w:r>
      <w:r w:rsidRPr="00D40600">
        <w:rPr>
          <w:i/>
        </w:rPr>
        <w:t>infra</w:t>
      </w:r>
      <w:r w:rsidRPr="00D40600">
        <w:t>.</w:t>
      </w:r>
    </w:p>
  </w:footnote>
  <w:footnote w:id="305">
    <w:p w:rsidR="00EC7CF3" w:rsidRDefault="00EC7CF3" w:rsidP="00610A7B">
      <w:pPr>
        <w:pStyle w:val="FootnoteText"/>
      </w:pPr>
      <w:r w:rsidRPr="00D40600">
        <w:rPr>
          <w:rStyle w:val="FootnoteReference"/>
          <w:sz w:val="20"/>
        </w:rPr>
        <w:footnoteRef/>
      </w:r>
      <w:r w:rsidRPr="00D40600">
        <w:t xml:space="preserve"> Digital Bridge Communications, </w:t>
      </w:r>
      <w:r w:rsidRPr="00D40600">
        <w:rPr>
          <w:i/>
        </w:rPr>
        <w:t>About DBC: Bringing Broadband to Underserved or Rural Communities Nationwide</w:t>
      </w:r>
      <w:r w:rsidRPr="00D40600">
        <w:t xml:space="preserve">, </w:t>
      </w:r>
      <w:hyperlink r:id="rId70" w:history="1">
        <w:r w:rsidRPr="00D40600">
          <w:rPr>
            <w:rStyle w:val="Hyperlink"/>
          </w:rPr>
          <w:t>http://www.digitalbridgecommunications.com/AboutDBC/tabid/84/Default.aspx</w:t>
        </w:r>
      </w:hyperlink>
      <w:r w:rsidRPr="00D40600">
        <w:t xml:space="preserve"> (visited Aug. 20, 2012); Xanadoo Company, </w:t>
      </w:r>
      <w:r w:rsidRPr="00D40600">
        <w:rPr>
          <w:i/>
        </w:rPr>
        <w:t>About Xanadoo</w:t>
      </w:r>
      <w:r w:rsidRPr="00D40600">
        <w:t xml:space="preserve">, </w:t>
      </w:r>
      <w:hyperlink r:id="rId71" w:history="1">
        <w:r w:rsidRPr="00D40600">
          <w:rPr>
            <w:rStyle w:val="Hyperlink"/>
          </w:rPr>
          <w:t>http://www.xanadoo.com/about.html</w:t>
        </w:r>
      </w:hyperlink>
      <w:r w:rsidRPr="00D40600">
        <w:t xml:space="preserve"> (visited Aug. 20, 2012)</w:t>
      </w:r>
      <w:r w:rsidRPr="00D40600">
        <w:rPr>
          <w:i/>
        </w:rPr>
        <w:t>.</w:t>
      </w:r>
    </w:p>
  </w:footnote>
  <w:footnote w:id="306">
    <w:p w:rsidR="00EC7CF3" w:rsidRDefault="00EC7CF3" w:rsidP="00610A7B">
      <w:pPr>
        <w:pStyle w:val="FootnoteText"/>
      </w:pPr>
      <w:r w:rsidRPr="00D40600">
        <w:rPr>
          <w:rStyle w:val="FootnoteReference"/>
          <w:sz w:val="20"/>
        </w:rPr>
        <w:footnoteRef/>
      </w:r>
      <w:r w:rsidRPr="00D40600">
        <w:t xml:space="preserve"> </w:t>
      </w:r>
      <w:r w:rsidRPr="00D40600">
        <w:rPr>
          <w:i/>
        </w:rPr>
        <w:t xml:space="preserve">See </w:t>
      </w:r>
      <w:r w:rsidRPr="00D40600">
        <w:t>Appendix A for a band plan diagram of the AWS bands.  Only the AWS-1 spectrum has been auctioned and licensed.</w:t>
      </w:r>
    </w:p>
  </w:footnote>
  <w:footnote w:id="307">
    <w:p w:rsidR="00EC7CF3" w:rsidRDefault="00EC7CF3" w:rsidP="00610A7B">
      <w:pPr>
        <w:pStyle w:val="FootnoteText"/>
      </w:pPr>
      <w:r w:rsidRPr="00D40600">
        <w:rPr>
          <w:rStyle w:val="FootnoteReference"/>
          <w:sz w:val="20"/>
        </w:rPr>
        <w:footnoteRef/>
      </w:r>
      <w:r w:rsidRPr="00D40600">
        <w:t xml:space="preserve"> </w:t>
      </w:r>
      <w:r w:rsidRPr="00D40600">
        <w:rPr>
          <w:i/>
        </w:rPr>
        <w:t xml:space="preserve">See </w:t>
      </w:r>
      <w:r w:rsidRPr="00D40600">
        <w:t xml:space="preserve">Section IV.B.1, Network Coverage and Technology Upgrades, </w:t>
      </w:r>
      <w:r w:rsidRPr="00D40600">
        <w:rPr>
          <w:i/>
        </w:rPr>
        <w:t>infra</w:t>
      </w:r>
      <w:r w:rsidRPr="00D40600">
        <w:t>.</w:t>
      </w:r>
    </w:p>
  </w:footnote>
  <w:footnote w:id="308">
    <w:p w:rsidR="00EC7CF3" w:rsidRDefault="00EC7CF3" w:rsidP="00610A7B">
      <w:pPr>
        <w:pStyle w:val="FootnoteText"/>
      </w:pPr>
      <w:r w:rsidRPr="00D40600">
        <w:rPr>
          <w:rStyle w:val="FootnoteReference"/>
          <w:sz w:val="20"/>
        </w:rPr>
        <w:footnoteRef/>
      </w:r>
      <w:r w:rsidRPr="00D40600">
        <w:t xml:space="preserve"> </w:t>
      </w:r>
      <w:r w:rsidRPr="00D40600">
        <w:rPr>
          <w:i/>
        </w:rPr>
        <w:t xml:space="preserve">See </w:t>
      </w:r>
      <w:r w:rsidRPr="00D40600">
        <w:t xml:space="preserve">Section IV.B.1, Network Coverage and Technology Upgrades, </w:t>
      </w:r>
      <w:r w:rsidRPr="00D40600">
        <w:rPr>
          <w:i/>
        </w:rPr>
        <w:t>infra</w:t>
      </w:r>
      <w:r w:rsidRPr="00D40600">
        <w:t>.</w:t>
      </w:r>
    </w:p>
  </w:footnote>
  <w:footnote w:id="309">
    <w:p w:rsidR="00EC7CF3" w:rsidRDefault="00EC7CF3" w:rsidP="00610A7B">
      <w:pPr>
        <w:pStyle w:val="FootnoteText"/>
      </w:pPr>
      <w:r w:rsidRPr="00D40600">
        <w:rPr>
          <w:rStyle w:val="FootnoteReference"/>
          <w:sz w:val="20"/>
        </w:rPr>
        <w:footnoteRef/>
      </w:r>
      <w:r w:rsidRPr="00D40600">
        <w:t xml:space="preserve"> </w:t>
      </w:r>
      <w:r w:rsidRPr="00D40600">
        <w:rPr>
          <w:i/>
        </w:rPr>
        <w:t xml:space="preserve">See </w:t>
      </w:r>
      <w:r w:rsidRPr="00D40600">
        <w:t xml:space="preserve">Section IV.B.1, Network Coverage and Technology Upgrades, </w:t>
      </w:r>
      <w:r w:rsidRPr="00D40600">
        <w:rPr>
          <w:i/>
        </w:rPr>
        <w:t>infra</w:t>
      </w:r>
      <w:r w:rsidRPr="00D40600">
        <w:t>.</w:t>
      </w:r>
    </w:p>
  </w:footnote>
  <w:footnote w:id="310">
    <w:p w:rsidR="00EC7CF3" w:rsidRDefault="00EC7CF3" w:rsidP="00610A7B">
      <w:pPr>
        <w:pStyle w:val="FootnoteText"/>
      </w:pPr>
      <w:r w:rsidRPr="00D40600">
        <w:rPr>
          <w:rStyle w:val="FootnoteReference"/>
          <w:sz w:val="20"/>
        </w:rPr>
        <w:footnoteRef/>
      </w:r>
      <w:r w:rsidRPr="00D40600">
        <w:t xml:space="preserve"> </w:t>
      </w:r>
      <w:r w:rsidRPr="00D40600">
        <w:rPr>
          <w:i/>
        </w:rPr>
        <w:t xml:space="preserve">See </w:t>
      </w:r>
      <w:r w:rsidRPr="00D40600">
        <w:t xml:space="preserve">Section IV.B.1, Network Coverage and Technology Upgrades, </w:t>
      </w:r>
      <w:r w:rsidRPr="00D40600">
        <w:rPr>
          <w:i/>
        </w:rPr>
        <w:t>infra; Fifteenth Report</w:t>
      </w:r>
      <w:r w:rsidRPr="00D40600">
        <w:t>, 26 FCC Rcd at 9737 ¶ 110</w:t>
      </w:r>
      <w:r w:rsidRPr="00D40600">
        <w:rPr>
          <w:i/>
        </w:rPr>
        <w:t>.</w:t>
      </w:r>
    </w:p>
  </w:footnote>
  <w:footnote w:id="311">
    <w:p w:rsidR="00EC7CF3" w:rsidRDefault="00EC7CF3" w:rsidP="00610A7B">
      <w:pPr>
        <w:pStyle w:val="FootnoteText"/>
      </w:pPr>
      <w:r w:rsidRPr="00D40600">
        <w:rPr>
          <w:rStyle w:val="FootnoteReference"/>
          <w:sz w:val="20"/>
        </w:rPr>
        <w:footnoteRef/>
      </w:r>
      <w:r w:rsidRPr="00D40600">
        <w:t xml:space="preserve"> </w:t>
      </w:r>
      <w:r w:rsidRPr="00D40600">
        <w:rPr>
          <w:i/>
        </w:rPr>
        <w:t xml:space="preserve">See </w:t>
      </w:r>
      <w:r w:rsidRPr="00D40600">
        <w:t xml:space="preserve">Section IV.B.1, Network Coverage and Technology Upgrades, </w:t>
      </w:r>
      <w:r w:rsidRPr="00D40600">
        <w:rPr>
          <w:i/>
        </w:rPr>
        <w:t>infra</w:t>
      </w:r>
      <w:r w:rsidRPr="00D40600">
        <w:t>.</w:t>
      </w:r>
    </w:p>
  </w:footnote>
  <w:footnote w:id="312">
    <w:p w:rsidR="00EC7CF3" w:rsidRDefault="00EC7CF3" w:rsidP="00BA4149">
      <w:pPr>
        <w:tabs>
          <w:tab w:val="center" w:pos="4680"/>
        </w:tabs>
        <w:suppressAutoHyphens/>
        <w:spacing w:after="60"/>
      </w:pPr>
      <w:r w:rsidRPr="00D40600">
        <w:rPr>
          <w:rStyle w:val="FootnoteReference"/>
          <w:sz w:val="20"/>
        </w:rPr>
        <w:footnoteRef/>
      </w:r>
      <w:r w:rsidRPr="00D40600">
        <w:rPr>
          <w:sz w:val="20"/>
        </w:rPr>
        <w:t xml:space="preserve"> Applications of Cellco Partnership </w:t>
      </w:r>
      <w:r w:rsidRPr="00D40600">
        <w:rPr>
          <w:spacing w:val="-2"/>
          <w:sz w:val="20"/>
        </w:rPr>
        <w:t>d/b/a Verizon Wireless and SpectrumCo LLC and Cox TMI, LLC For Consent To Assign AWS-1 Licenses, WT Docket No. 12-4, Applications of Verizon Wireless and Leap for Consent To Exchange Lower 700 MHz, AWS-1, and PCS Licenses, ULS File Nos. 0004942973, 0004942992, 0004952444, 0004949596, and 0004949598, Applications of T-Mobile License LLC and Cellco Partnership d/b/a Verizon Wireless for Consent to Assign Licenses, WT Docket 12-175, FCC 12-95 (2012) (</w:t>
      </w:r>
      <w:r w:rsidRPr="00D40600">
        <w:rPr>
          <w:i/>
          <w:spacing w:val="-2"/>
          <w:sz w:val="20"/>
        </w:rPr>
        <w:t>Verizon Wireless-SpectrumCo Order</w:t>
      </w:r>
      <w:r w:rsidRPr="00D40600">
        <w:rPr>
          <w:spacing w:val="-2"/>
          <w:sz w:val="20"/>
        </w:rPr>
        <w:t xml:space="preserve">). </w:t>
      </w:r>
    </w:p>
  </w:footnote>
  <w:footnote w:id="313">
    <w:p w:rsidR="00EC7CF3" w:rsidRDefault="00EC7CF3" w:rsidP="00BA4149">
      <w:pPr>
        <w:pStyle w:val="FootnoteText"/>
        <w:spacing w:after="60"/>
      </w:pPr>
      <w:r w:rsidRPr="00D40600">
        <w:rPr>
          <w:rStyle w:val="FootnoteReference"/>
          <w:sz w:val="20"/>
        </w:rPr>
        <w:footnoteRef/>
      </w:r>
      <w:r w:rsidRPr="00D40600">
        <w:t xml:space="preserve"> </w:t>
      </w:r>
      <w:r w:rsidRPr="00D40600">
        <w:rPr>
          <w:i/>
        </w:rPr>
        <w:t>See</w:t>
      </w:r>
      <w:r w:rsidRPr="00D40600">
        <w:rPr>
          <w:i/>
          <w:spacing w:val="-2"/>
        </w:rPr>
        <w:t xml:space="preserve"> Verizon Wireless-SpectrumCo Order</w:t>
      </w:r>
      <w:r w:rsidRPr="00D40600">
        <w:rPr>
          <w:spacing w:val="-2"/>
        </w:rPr>
        <w:t xml:space="preserve">, FCC 12-95, at </w:t>
      </w:r>
      <w:r w:rsidRPr="00D40600">
        <w:rPr>
          <w:iCs/>
        </w:rPr>
        <w:t>¶ 121.</w:t>
      </w:r>
    </w:p>
  </w:footnote>
  <w:footnote w:id="314">
    <w:p w:rsidR="00EC7CF3" w:rsidRDefault="00EC7CF3" w:rsidP="00610A7B">
      <w:pPr>
        <w:pStyle w:val="FootnoteText"/>
      </w:pPr>
      <w:r w:rsidRPr="00D40600">
        <w:rPr>
          <w:rStyle w:val="FootnoteReference"/>
          <w:sz w:val="20"/>
        </w:rPr>
        <w:footnoteRef/>
      </w:r>
      <w:r w:rsidRPr="00D40600">
        <w:t xml:space="preserve">   Portions of the Lower 700 MHz band were auctioned in Auctions 44, 49, 60 and 73.  </w:t>
      </w:r>
      <w:r w:rsidRPr="00D40600">
        <w:rPr>
          <w:i/>
        </w:rPr>
        <w:t xml:space="preserve">See </w:t>
      </w:r>
      <w:r w:rsidRPr="00D40600">
        <w:t xml:space="preserve">Auctions 44, 49, 60 and 73 in FCC Auctions Home, </w:t>
      </w:r>
      <w:r w:rsidRPr="00D40600">
        <w:rPr>
          <w:i/>
        </w:rPr>
        <w:t>Auctions</w:t>
      </w:r>
      <w:r w:rsidRPr="00D40600">
        <w:t xml:space="preserve">, </w:t>
      </w:r>
      <w:hyperlink r:id="rId72" w:history="1">
        <w:r w:rsidRPr="00D40600">
          <w:rPr>
            <w:rStyle w:val="Hyperlink"/>
          </w:rPr>
          <w:t>http://wireless.fcc.gov/auctions/default.htm?job=auctions_home</w:t>
        </w:r>
      </w:hyperlink>
      <w:r w:rsidRPr="00D40600">
        <w:t xml:space="preserve"> (visited Aug. 23, 2012).  Auction 92 in 2011offered licenses that were previously offered but remained unsold or were licenses on which a winning bidder defaulted.  </w:t>
      </w:r>
      <w:r w:rsidRPr="00D40600">
        <w:rPr>
          <w:i/>
        </w:rPr>
        <w:t>See</w:t>
      </w:r>
      <w:r w:rsidRPr="00D40600">
        <w:t xml:space="preserve"> Auction of 700 MHz Band Licenses Scheduled for July 19, 2011, Notice and Filing Requirements, Minimum Opening Bids, Upfront Payments, and Other Procedures for Auction 92, </w:t>
      </w:r>
      <w:r w:rsidRPr="00D40600">
        <w:rPr>
          <w:i/>
        </w:rPr>
        <w:t>Public Notice</w:t>
      </w:r>
      <w:r w:rsidRPr="00D40600">
        <w:t xml:space="preserve">, 26 FCC Rcd 3342 (2011).  The Digital Television transition ensured that the 700 MHz spectrum was cleared of broadcast use, and thus made available for commercial mobile services, no later than June 12, 2009.  In addition to the 80 megahertz of spectrum included in Table 16, 4 megahertz of 700 MHz spectrum serve as Guard Bands.  The </w:t>
      </w:r>
      <w:r w:rsidRPr="00D40600">
        <w:rPr>
          <w:i/>
        </w:rPr>
        <w:t>Spectrum Act</w:t>
      </w:r>
      <w:r w:rsidRPr="00D40600">
        <w:t xml:space="preserve"> requires the reallocation of the Upper 700 MHz D block (10 megahertz) for use by public safety.  </w:t>
      </w:r>
      <w:r w:rsidRPr="00D40600">
        <w:rPr>
          <w:i/>
        </w:rPr>
        <w:t>See Spectrum Act</w:t>
      </w:r>
      <w:r w:rsidRPr="00D40600">
        <w:t xml:space="preserve"> at § 6101(a).</w:t>
      </w:r>
    </w:p>
  </w:footnote>
  <w:footnote w:id="315">
    <w:p w:rsidR="00EC7CF3" w:rsidRDefault="00EC7CF3" w:rsidP="00610A7B">
      <w:pPr>
        <w:pStyle w:val="FootnoteText"/>
      </w:pPr>
      <w:r w:rsidRPr="00D40600">
        <w:rPr>
          <w:rStyle w:val="FootnoteReference"/>
          <w:sz w:val="20"/>
        </w:rPr>
        <w:footnoteRef/>
      </w:r>
      <w:r w:rsidRPr="00D40600">
        <w:t xml:space="preserve"> </w:t>
      </w:r>
      <w:r w:rsidRPr="00D40600">
        <w:rPr>
          <w:i/>
        </w:rPr>
        <w:t xml:space="preserve">See </w:t>
      </w:r>
      <w:r w:rsidRPr="00D40600">
        <w:t xml:space="preserve">Section IV.B.1, Network Coverage and Technology Upgrades, </w:t>
      </w:r>
      <w:r w:rsidRPr="00D40600">
        <w:rPr>
          <w:i/>
        </w:rPr>
        <w:t>infra.</w:t>
      </w:r>
    </w:p>
  </w:footnote>
  <w:footnote w:id="316">
    <w:p w:rsidR="00EC7CF3" w:rsidRDefault="00EC7CF3" w:rsidP="00610A7B">
      <w:pPr>
        <w:pStyle w:val="FootnoteText"/>
      </w:pPr>
      <w:r w:rsidRPr="00D40600">
        <w:rPr>
          <w:rStyle w:val="FootnoteReference"/>
          <w:sz w:val="20"/>
        </w:rPr>
        <w:footnoteRef/>
      </w:r>
      <w:r w:rsidRPr="00D40600">
        <w:t xml:space="preserve"> </w:t>
      </w:r>
      <w:r w:rsidRPr="00D40600">
        <w:rPr>
          <w:i/>
        </w:rPr>
        <w:t xml:space="preserve">See </w:t>
      </w:r>
      <w:r w:rsidRPr="00D40600">
        <w:t xml:space="preserve">Section IV.B.1, Network Coverage and Technology Upgrades, </w:t>
      </w:r>
      <w:r w:rsidRPr="00D40600">
        <w:rPr>
          <w:i/>
        </w:rPr>
        <w:t>infra; Fifteenth Report</w:t>
      </w:r>
      <w:r w:rsidRPr="00D40600">
        <w:t>, 26 FCC Rcd at 9824 ¶ 274</w:t>
      </w:r>
      <w:r w:rsidRPr="00D40600">
        <w:rPr>
          <w:i/>
        </w:rPr>
        <w:t>.</w:t>
      </w:r>
    </w:p>
  </w:footnote>
  <w:footnote w:id="317">
    <w:p w:rsidR="00EC7CF3" w:rsidRDefault="00EC7CF3" w:rsidP="00610A7B">
      <w:pPr>
        <w:pStyle w:val="FootnoteText"/>
      </w:pPr>
      <w:r w:rsidRPr="00D40600">
        <w:rPr>
          <w:rStyle w:val="FootnoteReference"/>
          <w:sz w:val="20"/>
        </w:rPr>
        <w:footnoteRef/>
      </w:r>
      <w:r w:rsidRPr="00D40600">
        <w:t xml:space="preserve"> Application of AT&amp;T Inc and Qualcomm Incorporated for Consent to Assign Licenses and Authorizations, WT Docket No. 11-18, </w:t>
      </w:r>
      <w:r w:rsidRPr="00D40600">
        <w:rPr>
          <w:i/>
        </w:rPr>
        <w:t>Order</w:t>
      </w:r>
      <w:r w:rsidRPr="00D40600">
        <w:t>, 26 FCC Rcd 17589, 17625 ¶ 89 (2011) (</w:t>
      </w:r>
      <w:r w:rsidRPr="00D40600">
        <w:rPr>
          <w:i/>
        </w:rPr>
        <w:t>AT&amp;T-Qualcomm Order</w:t>
      </w:r>
      <w:r w:rsidRPr="00D40600">
        <w:t>).</w:t>
      </w:r>
    </w:p>
  </w:footnote>
  <w:footnote w:id="318">
    <w:p w:rsidR="00EC7CF3" w:rsidRDefault="00EC7CF3" w:rsidP="00610A7B">
      <w:pPr>
        <w:pStyle w:val="FootnoteText"/>
      </w:pPr>
      <w:r w:rsidRPr="00D40600">
        <w:rPr>
          <w:rStyle w:val="FootnoteReference"/>
          <w:sz w:val="20"/>
        </w:rPr>
        <w:footnoteRef/>
      </w:r>
      <w:r w:rsidRPr="00D40600">
        <w:t xml:space="preserve"> </w:t>
      </w:r>
      <w:r w:rsidRPr="00D40600">
        <w:rPr>
          <w:i/>
        </w:rPr>
        <w:t xml:space="preserve">See </w:t>
      </w:r>
      <w:r w:rsidRPr="00D40600">
        <w:t xml:space="preserve">Section IV.B.1, Network Coverage and Technology Upgrades, </w:t>
      </w:r>
      <w:r w:rsidRPr="00D40600">
        <w:rPr>
          <w:i/>
        </w:rPr>
        <w:t>supra</w:t>
      </w:r>
      <w:r w:rsidRPr="00D40600">
        <w:t xml:space="preserve">; Stephen Lawson, </w:t>
      </w:r>
      <w:r w:rsidRPr="00D40600">
        <w:rPr>
          <w:i/>
        </w:rPr>
        <w:t xml:space="preserve">U.S. Cellular Throws Its 4G LTE Hat in the Ring, </w:t>
      </w:r>
      <w:r w:rsidRPr="00D40600">
        <w:t xml:space="preserve">ComputerWorld, Mar. 22, 2012, at </w:t>
      </w:r>
      <w:hyperlink r:id="rId73" w:history="1">
        <w:r w:rsidRPr="00D40600">
          <w:rPr>
            <w:rStyle w:val="Hyperlink"/>
          </w:rPr>
          <w:t>http://www.computerworld.com/s/article/9225498/U.S._Cellular_throws_its_4G_LTE_hat_in_the_ring</w:t>
        </w:r>
      </w:hyperlink>
      <w:r w:rsidRPr="00D40600">
        <w:t>. (visited Nov. 19, 2012).</w:t>
      </w:r>
    </w:p>
  </w:footnote>
  <w:footnote w:id="319">
    <w:p w:rsidR="00EC7CF3" w:rsidRDefault="00EC7CF3">
      <w:pPr>
        <w:pStyle w:val="FootnoteText"/>
      </w:pPr>
      <w:r w:rsidRPr="00D40600">
        <w:rPr>
          <w:rStyle w:val="FootnoteReference"/>
          <w:sz w:val="20"/>
        </w:rPr>
        <w:footnoteRef/>
      </w:r>
      <w:r w:rsidRPr="00D40600">
        <w:t xml:space="preserve"> Implementation of Section 6002(b) of the Omnibus Budget Reconciliation Act of 1993, PS Docket No. 12-94, DA 12-1462, Report and Order (PSHSB, adopted September 7, 2012).     </w:t>
      </w:r>
    </w:p>
  </w:footnote>
  <w:footnote w:id="320">
    <w:p w:rsidR="00EC7CF3" w:rsidRDefault="00EC7CF3" w:rsidP="00610A7B">
      <w:pPr>
        <w:pStyle w:val="FootnoteText"/>
      </w:pPr>
      <w:r w:rsidRPr="00D40600">
        <w:rPr>
          <w:rStyle w:val="FootnoteReference"/>
          <w:sz w:val="20"/>
        </w:rPr>
        <w:footnoteRef/>
      </w:r>
      <w:r w:rsidRPr="00D40600">
        <w:t xml:space="preserve"> </w:t>
      </w:r>
      <w:r w:rsidRPr="00D40600">
        <w:rPr>
          <w:i/>
        </w:rPr>
        <w:t xml:space="preserve">See </w:t>
      </w:r>
      <w:r w:rsidRPr="00D40600">
        <w:rPr>
          <w:spacing w:val="-2"/>
        </w:rPr>
        <w:t xml:space="preserve">Amendment of Part 27 of the Commission’s Rules to Govern the Operation of Wireless Communications Services in the 2.3 GHz Band, WT Docket No. 07-293, </w:t>
      </w:r>
      <w:r w:rsidRPr="00D40600">
        <w:rPr>
          <w:i/>
          <w:spacing w:val="-2"/>
        </w:rPr>
        <w:t>Report and Order</w:t>
      </w:r>
      <w:r w:rsidRPr="00D40600">
        <w:rPr>
          <w:spacing w:val="-2"/>
        </w:rPr>
        <w:t xml:space="preserve">, 25 FCC Rcd 11710 (2010).  </w:t>
      </w:r>
      <w:r w:rsidRPr="00D40600">
        <w:t xml:space="preserve">The WCS band has a total of 30 MHz spectrum at 2305-2320 MHz and 2345-2360 MHz.  </w:t>
      </w:r>
      <w:r w:rsidRPr="00D40600">
        <w:rPr>
          <w:i/>
        </w:rPr>
        <w:t xml:space="preserve">Id.  </w:t>
      </w:r>
      <w:r w:rsidRPr="00D40600">
        <w:t>However, WCS mobile and portable devices are not permitted to operate in the 2.5-megahertz portions of the WCS C and D blocks closest to the SDARS band (</w:t>
      </w:r>
      <w:r w:rsidRPr="00D40600">
        <w:rPr>
          <w:i/>
        </w:rPr>
        <w:t>i.e.</w:t>
      </w:r>
      <w:r w:rsidRPr="00D40600">
        <w:t xml:space="preserve">, 2317.5-2320 and 2345-2347.5 MHz).  </w:t>
      </w:r>
      <w:r w:rsidRPr="00D40600">
        <w:rPr>
          <w:i/>
        </w:rPr>
        <w:t>Id.</w:t>
      </w:r>
    </w:p>
  </w:footnote>
  <w:footnote w:id="321">
    <w:p w:rsidR="00EC7CF3" w:rsidRDefault="00EC7CF3" w:rsidP="00610A7B">
      <w:pPr>
        <w:pStyle w:val="FootnoteText"/>
      </w:pPr>
      <w:r w:rsidRPr="00D40600">
        <w:rPr>
          <w:rStyle w:val="FootnoteReference"/>
          <w:sz w:val="20"/>
        </w:rPr>
        <w:footnoteRef/>
      </w:r>
      <w:r w:rsidRPr="00D40600">
        <w:t xml:space="preserve"> </w:t>
      </w:r>
      <w:r w:rsidRPr="00D40600">
        <w:rPr>
          <w:i/>
        </w:rPr>
        <w:t xml:space="preserve">See </w:t>
      </w:r>
      <w:r w:rsidRPr="00D40600">
        <w:rPr>
          <w:spacing w:val="-2"/>
        </w:rPr>
        <w:t xml:space="preserve">Amendment of Part 27 of the Commission’s Rules to Govern the Operation of Wireless Communications Services in the 2.3 GHz Band, WT Docket No. 07-293, </w:t>
      </w:r>
      <w:r w:rsidRPr="00D40600">
        <w:rPr>
          <w:i/>
          <w:spacing w:val="-2"/>
        </w:rPr>
        <w:t>Report and Order</w:t>
      </w:r>
      <w:r w:rsidRPr="00D40600">
        <w:rPr>
          <w:spacing w:val="-2"/>
        </w:rPr>
        <w:t>, 25 FCC Rcd 11710 (2010)</w:t>
      </w:r>
      <w:r w:rsidRPr="00D40600">
        <w:t>.</w:t>
      </w:r>
    </w:p>
  </w:footnote>
  <w:footnote w:id="322">
    <w:p w:rsidR="00EC7CF3" w:rsidRDefault="00EC7CF3" w:rsidP="00610A7B">
      <w:pPr>
        <w:pStyle w:val="FootnoteText"/>
      </w:pPr>
      <w:r w:rsidRPr="00D40600">
        <w:rPr>
          <w:rStyle w:val="FootnoteReference"/>
          <w:sz w:val="20"/>
        </w:rPr>
        <w:footnoteRef/>
      </w:r>
      <w:r w:rsidRPr="00D40600">
        <w:t xml:space="preserve"> </w:t>
      </w:r>
      <w:r w:rsidRPr="00D40600">
        <w:rPr>
          <w:i/>
        </w:rPr>
        <w:t>See</w:t>
      </w:r>
      <w:r w:rsidRPr="00D40600">
        <w:t xml:space="preserve"> Amendment of Part 27 of the Commission’s Rules to Govern the Operation of Wireless Communications Services in the 2.3 GHz Band, WT Docket No. 07-293, Establishment of Rules and Policies for the Digital Audio Radio Satellite Service in the 2310-2360 MHz Frequency Band, IB Docket No. 95-91</w:t>
      </w:r>
      <w:r w:rsidRPr="00D40600">
        <w:rPr>
          <w:i/>
        </w:rPr>
        <w:t>Order on Reconsideration,</w:t>
      </w:r>
      <w:r w:rsidRPr="00D40600">
        <w:t xml:space="preserve"> 12FCC Rcd. 5754 (2012).</w:t>
      </w:r>
    </w:p>
  </w:footnote>
  <w:footnote w:id="323">
    <w:p w:rsidR="00EC7CF3" w:rsidRDefault="00EC7CF3" w:rsidP="00DC4A03">
      <w:pPr>
        <w:pStyle w:val="FootnoteText"/>
      </w:pPr>
      <w:r w:rsidRPr="00D40600">
        <w:rPr>
          <w:rStyle w:val="FootnoteReference"/>
          <w:sz w:val="20"/>
        </w:rPr>
        <w:footnoteRef/>
      </w:r>
      <w:r w:rsidRPr="00D40600">
        <w:t xml:space="preserve"> Service Rules for Advanced Wireless Services in the 2000-2020 MHz and 2180-2200 MHz Bands, WT Docket No. 12-70, Fixed and Mobile Services in the Mobile Satellite Service Bands at 1525-1559 MHz and 1626.5-1660.5 MHz, 1610-1626.5 MHz and 2483.5-2500 MHz, and 2000-2020 MHz and 2180-2200 MHz, ET Docket No. 10-142, Service Rules for Advanced Wireless Services in the 1915-1920 MHz, 1995-2000 MHz, 2020-2025 MHz and 2175-2180 MHz Bands, WT Docket No. 04-356, </w:t>
      </w:r>
      <w:r w:rsidRPr="00D40600">
        <w:rPr>
          <w:i/>
        </w:rPr>
        <w:t>Notice of Proposed Rulemaking and Notice of Inquiry</w:t>
      </w:r>
      <w:r w:rsidRPr="00D40600">
        <w:t>, 27 FCC Rcd 3561 (2012) (</w:t>
      </w:r>
      <w:r w:rsidRPr="00D40600">
        <w:rPr>
          <w:i/>
        </w:rPr>
        <w:t>AWS-4 NPRM</w:t>
      </w:r>
      <w:r w:rsidRPr="00D40600">
        <w:t>).</w:t>
      </w:r>
    </w:p>
  </w:footnote>
  <w:footnote w:id="324">
    <w:p w:rsidR="00EC7CF3" w:rsidRDefault="00EC7CF3" w:rsidP="00DC4A03">
      <w:pPr>
        <w:pStyle w:val="FootnoteText"/>
      </w:pPr>
      <w:r>
        <w:rPr>
          <w:rStyle w:val="FootnoteReference"/>
        </w:rPr>
        <w:footnoteRef/>
      </w:r>
      <w:r>
        <w:t xml:space="preserve"> </w:t>
      </w:r>
      <w:r w:rsidRPr="007D3EC9">
        <w:rPr>
          <w:i/>
        </w:rPr>
        <w:t>See</w:t>
      </w:r>
      <w:r>
        <w:t xml:space="preserve"> </w:t>
      </w:r>
      <w:r w:rsidRPr="0060075F">
        <w:t>Service Rules for Advanced Wireless Services in the 2000-2020 MHz and 2180-2200 MHz Bands, WT Docket No. 12-70, Fixed and Mobile Services in the Mobile Satellite Service Bands at 1525-1559 MHz and 1626.5-1660.5 MHz, 1610-1626.5 MHz and 2483.5-2500 MHz, and 2000-2020 MHz and 2180-2200 MHz, ET Docket No. 10-142, Service Rules for Advanced Wireless Services in the 1915-1920 MHz, 1995-2000 MHz, 2020-2025 MHz and 2175-2180 MHz Bands, WT Docket No. 04-356,</w:t>
      </w:r>
      <w:r>
        <w:t xml:space="preserve"> </w:t>
      </w:r>
      <w:r>
        <w:rPr>
          <w:i/>
        </w:rPr>
        <w:t>Report and Order and Order of Proposed Modification</w:t>
      </w:r>
      <w:r w:rsidRPr="0060075F">
        <w:t xml:space="preserve">, </w:t>
      </w:r>
      <w:r w:rsidRPr="003E187C">
        <w:t>FCC 12-151 (rel. Dec. 17, 2012)</w:t>
      </w:r>
      <w:r>
        <w:t xml:space="preserve"> </w:t>
      </w:r>
      <w:r w:rsidRPr="003E187C">
        <w:rPr>
          <w:i/>
        </w:rPr>
        <w:t>(AWS-4 NPRM).</w:t>
      </w:r>
    </w:p>
  </w:footnote>
  <w:footnote w:id="325">
    <w:p w:rsidR="00EC7CF3" w:rsidRDefault="00EC7CF3" w:rsidP="00DC4A03">
      <w:pPr>
        <w:pStyle w:val="FootnoteText"/>
      </w:pPr>
      <w:r w:rsidRPr="00D40600">
        <w:rPr>
          <w:rStyle w:val="FootnoteReference"/>
          <w:sz w:val="20"/>
        </w:rPr>
        <w:footnoteRef/>
      </w:r>
      <w:r w:rsidRPr="00D40600">
        <w:t xml:space="preserve"> </w:t>
      </w:r>
      <w:r w:rsidRPr="00D40600">
        <w:rPr>
          <w:i/>
        </w:rPr>
        <w:t>See National Broadband Plan</w:t>
      </w:r>
      <w:r w:rsidRPr="00D40600">
        <w:t>, Recommendation 5.8.4 at 87-88.</w:t>
      </w:r>
    </w:p>
  </w:footnote>
  <w:footnote w:id="326">
    <w:p w:rsidR="00EC7CF3" w:rsidRDefault="00EC7CF3" w:rsidP="00D13D8E">
      <w:pPr>
        <w:pStyle w:val="FootnoteText"/>
      </w:pPr>
      <w:r>
        <w:rPr>
          <w:rStyle w:val="FootnoteReference"/>
        </w:rPr>
        <w:footnoteRef/>
      </w:r>
      <w:r>
        <w:t xml:space="preserve"> </w:t>
      </w:r>
      <w:r>
        <w:rPr>
          <w:i/>
        </w:rPr>
        <w:t>AWS-4 NPRM</w:t>
      </w:r>
      <w:r>
        <w:t xml:space="preserve"> at ¶ 136.</w:t>
      </w:r>
    </w:p>
  </w:footnote>
  <w:footnote w:id="327">
    <w:p w:rsidR="00EC7CF3" w:rsidRDefault="00EC7CF3" w:rsidP="00DC4A03">
      <w:pPr>
        <w:pStyle w:val="FootnoteText"/>
      </w:pPr>
      <w:r>
        <w:rPr>
          <w:rStyle w:val="FootnoteReference"/>
        </w:rPr>
        <w:footnoteRef/>
      </w:r>
      <w:r>
        <w:t xml:space="preserve"> </w:t>
      </w:r>
      <w:r w:rsidRPr="007D3EC9">
        <w:rPr>
          <w:i/>
        </w:rPr>
        <w:t>See</w:t>
      </w:r>
      <w:r>
        <w:t xml:space="preserve"> </w:t>
      </w:r>
      <w:r w:rsidRPr="0060075F">
        <w:t>Service Rules for Advanced Wireless Services in the 2000-2020 MHz and 2180-2200 MHz Bands, WT Docket No. 12-70, Fixed and Mobile Services in the Mobile Satellite Service Bands at 1525-1559 MHz and 1626.5-1660.5 MHz, 1610-1626.5 MHz and 2483.5-2500 MHz, and 2000-2020 MHz and 2180-2200 MHz, ET Docket No. 10-142, Service Rules for Advanced Wireless Services in the 1915-1920 MHz, 1995-2000 MHz, 2020-2025 MHz and 2175-2180 MHz Bands, WT Docket No. 04-356,</w:t>
      </w:r>
      <w:r>
        <w:t xml:space="preserve"> </w:t>
      </w:r>
      <w:r>
        <w:rPr>
          <w:i/>
        </w:rPr>
        <w:t>Report and Order and Order of Proposed Modification</w:t>
      </w:r>
      <w:r>
        <w:t xml:space="preserve">, FCC 12-151 (rel. Dec. 17, </w:t>
      </w:r>
      <w:r w:rsidRPr="0060075F">
        <w:t>2012)</w:t>
      </w:r>
      <w:r w:rsidRPr="003E187C">
        <w:rPr>
          <w:i/>
        </w:rPr>
        <w:t>(AWS-4 NPRM).</w:t>
      </w:r>
    </w:p>
  </w:footnote>
  <w:footnote w:id="328">
    <w:p w:rsidR="00EC7CF3" w:rsidRDefault="00EC7CF3">
      <w:pPr>
        <w:pStyle w:val="FootnoteText"/>
      </w:pPr>
      <w:r>
        <w:rPr>
          <w:rStyle w:val="FootnoteReference"/>
        </w:rPr>
        <w:footnoteRef/>
      </w:r>
      <w:r>
        <w:t xml:space="preserve"> </w:t>
      </w:r>
      <w:r>
        <w:rPr>
          <w:i/>
        </w:rPr>
        <w:t xml:space="preserve">See </w:t>
      </w:r>
      <w:r>
        <w:rPr>
          <w:rFonts w:ascii="TimesNewRoman" w:hAnsi="TimesNewRoman"/>
          <w:color w:val="010101"/>
        </w:rPr>
        <w:t xml:space="preserve">Modification Application of LightSquared Subsidiary LLC, IBFS File Nos. SAT-MOD-20120928-00160, -00161, SES-MOD-20121001-00872 (filed Sept. 28, 2012 and Oct. 1, 2012 with identical narrative text). </w:t>
      </w:r>
    </w:p>
  </w:footnote>
  <w:footnote w:id="329">
    <w:p w:rsidR="00EC7CF3" w:rsidRDefault="00EC7CF3" w:rsidP="00610A7B">
      <w:pPr>
        <w:pStyle w:val="FootnoteText"/>
      </w:pPr>
      <w:r w:rsidRPr="00D40600">
        <w:rPr>
          <w:rStyle w:val="FootnoteReference"/>
          <w:sz w:val="20"/>
        </w:rPr>
        <w:footnoteRef/>
      </w:r>
      <w:r w:rsidRPr="00D40600">
        <w:t xml:space="preserve"> For licensees of PCS,</w:t>
      </w:r>
      <w:r w:rsidRPr="00D40600">
        <w:rPr>
          <w:i/>
        </w:rPr>
        <w:t xml:space="preserve"> </w:t>
      </w:r>
      <w:r>
        <w:rPr>
          <w:i/>
        </w:rPr>
        <w:t>s</w:t>
      </w:r>
      <w:r w:rsidRPr="00D40600">
        <w:rPr>
          <w:i/>
        </w:rPr>
        <w:t xml:space="preserve">ee </w:t>
      </w:r>
      <w:r w:rsidRPr="00D40600">
        <w:t>47 C.F.R § 24.3.</w:t>
      </w:r>
    </w:p>
  </w:footnote>
  <w:footnote w:id="330">
    <w:p w:rsidR="00EC7CF3" w:rsidRDefault="00EC7CF3" w:rsidP="00610A7B">
      <w:pPr>
        <w:pStyle w:val="FootnoteText"/>
      </w:pPr>
      <w:r w:rsidRPr="00D40600">
        <w:rPr>
          <w:rStyle w:val="FootnoteReference"/>
          <w:sz w:val="20"/>
        </w:rPr>
        <w:footnoteRef/>
      </w:r>
      <w:r w:rsidRPr="00D40600">
        <w:t xml:space="preserve"> Implementation of Sections 3(n) and 332 of the Communications Act, </w:t>
      </w:r>
      <w:r w:rsidRPr="00D40600">
        <w:rPr>
          <w:i/>
        </w:rPr>
        <w:t>Third Report and Order</w:t>
      </w:r>
      <w:r w:rsidRPr="00D40600">
        <w:t>, 9 FCC Rcd 7988, 7999, 8100-8110 ¶¶ 16, 238-265 (1994) (</w:t>
      </w:r>
      <w:r w:rsidRPr="00D40600">
        <w:rPr>
          <w:i/>
        </w:rPr>
        <w:t>CMRS Third Report and Order</w:t>
      </w:r>
      <w:r w:rsidRPr="00D40600">
        <w:t xml:space="preserve">).  In adopting spectrum aggregation limits, the Commission was “recognizing the possibility that mobile service licensees might exert undue market power or inhibit market entry by other service providers if permitted to aggregate large amounts of spectrum.”  </w:t>
      </w:r>
      <w:r w:rsidRPr="00D40600">
        <w:rPr>
          <w:i/>
        </w:rPr>
        <w:t xml:space="preserve">Id. </w:t>
      </w:r>
      <w:r w:rsidRPr="00D40600">
        <w:t xml:space="preserve">at 8100 ¶ 239.  It stated that if firms were to aggregate sufficient amounts of spectrum, it is possible that they could unilaterally or in combination exclude efficient competitors, reduce the quality of service available to the public, and increase prices to the detriment of consumers.  </w:t>
      </w:r>
      <w:r w:rsidRPr="00D40600">
        <w:rPr>
          <w:i/>
        </w:rPr>
        <w:t xml:space="preserve">Id. </w:t>
      </w:r>
      <w:r w:rsidRPr="00D40600">
        <w:t xml:space="preserve">at 8104 ¶ 248.  </w:t>
      </w:r>
      <w:r w:rsidRPr="00D40600">
        <w:rPr>
          <w:i/>
          <w:iCs/>
          <w:color w:val="000000"/>
        </w:rPr>
        <w:t>See</w:t>
      </w:r>
      <w:r w:rsidRPr="00D40600">
        <w:rPr>
          <w:color w:val="000000"/>
        </w:rPr>
        <w:t xml:space="preserve"> </w:t>
      </w:r>
      <w:r w:rsidRPr="00D40600">
        <w:rPr>
          <w:i/>
          <w:iCs/>
          <w:color w:val="000000"/>
        </w:rPr>
        <w:t xml:space="preserve">also </w:t>
      </w:r>
      <w:r w:rsidRPr="00D40600">
        <w:rPr>
          <w:color w:val="000000"/>
        </w:rPr>
        <w:t xml:space="preserve">Amendment of the Commission's Rules Regarding Installment Payment Financing for Personal Communication Services (PCS) Licensees, WT Docket No. 97-82, </w:t>
      </w:r>
      <w:r w:rsidRPr="00D40600">
        <w:rPr>
          <w:i/>
          <w:iCs/>
          <w:color w:val="000000"/>
        </w:rPr>
        <w:t xml:space="preserve">Sixth Report and Order and Order on </w:t>
      </w:r>
      <w:r w:rsidRPr="00D40600">
        <w:rPr>
          <w:i/>
        </w:rPr>
        <w:t>Reconsideration</w:t>
      </w:r>
      <w:r w:rsidRPr="00D40600">
        <w:t xml:space="preserve">, 15 FCC Rcd. 16266, 16275 ¶ 15 (2000) (adopting auction eligibility restrictions to set aside some PCS licenses for small businesses to ensure that these businesses are provided with opportunities to enter the marketplace). </w:t>
      </w:r>
    </w:p>
  </w:footnote>
  <w:footnote w:id="331">
    <w:p w:rsidR="00EC7CF3" w:rsidRDefault="00EC7CF3" w:rsidP="00610A7B">
      <w:pPr>
        <w:pStyle w:val="FootnoteText"/>
      </w:pPr>
      <w:r w:rsidRPr="00D40600">
        <w:rPr>
          <w:vertAlign w:val="superscript"/>
        </w:rPr>
        <w:footnoteRef/>
      </w:r>
      <w:r w:rsidRPr="00D40600">
        <w:t xml:space="preserve"> </w:t>
      </w:r>
      <w:r w:rsidRPr="00D40600">
        <w:rPr>
          <w:i/>
        </w:rPr>
        <w:t>CMRS Third Report and Order</w:t>
      </w:r>
      <w:r w:rsidRPr="00D40600">
        <w:t xml:space="preserve">, 9 FCC Rcd at 8105-8110 ¶¶ 252-265.  </w:t>
      </w:r>
      <w:r w:rsidRPr="00D40600">
        <w:rPr>
          <w:i/>
        </w:rPr>
        <w:t>See also</w:t>
      </w:r>
      <w:r w:rsidRPr="00D40600">
        <w:t xml:space="preserve"> 1998 Biennial Regulatory Review, Spectrum Aggregation Limits for Wireless Telecommunications Carriers, WT Docket No. 98-205, </w:t>
      </w:r>
      <w:r w:rsidRPr="00D40600">
        <w:rPr>
          <w:i/>
        </w:rPr>
        <w:t>Report and Order</w:t>
      </w:r>
      <w:r w:rsidRPr="00D40600">
        <w:t xml:space="preserve">, 15 FCC Rcd 9219, 9254-57 ¶¶ 80-84 (2000).  The CMRS spectrum cap only covered services that had spectrum of 5 megahertz or more (thus excluding narrowband CMRS) in order to ensure that providers using the spectrum could compete with one another.  </w:t>
      </w:r>
      <w:r w:rsidRPr="00D40600">
        <w:rPr>
          <w:i/>
        </w:rPr>
        <w:t>CMRS Third Report and Order</w:t>
      </w:r>
      <w:r w:rsidRPr="00D40600">
        <w:t xml:space="preserve">, 9 FCC Rcd at 8105 ¶ 252.  </w:t>
      </w:r>
      <w:r w:rsidRPr="00D40600">
        <w:rPr>
          <w:lang w:eastAsia="zh-CN"/>
        </w:rPr>
        <w:t xml:space="preserve">The </w:t>
      </w:r>
      <w:r w:rsidRPr="00D40600">
        <w:rPr>
          <w:i/>
          <w:lang w:eastAsia="zh-CN"/>
        </w:rPr>
        <w:t xml:space="preserve">CMRS Third Report and Order </w:t>
      </w:r>
      <w:r w:rsidRPr="00D40600">
        <w:rPr>
          <w:lang w:eastAsia="zh-CN"/>
        </w:rPr>
        <w:t xml:space="preserve">calculated that PCS, Cellular, and SMR account for approximately 189 megahertz, which included 120 megahertz of broadband PCS spectrum, 50 megahertz of Cellular spectrum, and 19 megahertz of SMR spectrum.  9 FCC Rcd at 8108 ¶ 258.  </w:t>
      </w:r>
      <w:r w:rsidRPr="00D40600">
        <w:t>However, u</w:t>
      </w:r>
      <w:r w:rsidRPr="00D40600">
        <w:rPr>
          <w:lang w:eastAsia="zh-CN"/>
        </w:rPr>
        <w:t>nder the CMRS spectrum cap rules, no more than 10 megahertz of SMR spectrum could be attributed to any one licensee, making 180 megahertz the total pool of spectrum for the CMRS spectrum cap.</w:t>
      </w:r>
      <w:r w:rsidRPr="00D40600">
        <w:t xml:space="preserve">  </w:t>
      </w:r>
      <w:r w:rsidRPr="00D40600">
        <w:rPr>
          <w:i/>
          <w:lang w:eastAsia="zh-CN"/>
        </w:rPr>
        <w:t xml:space="preserve">See </w:t>
      </w:r>
      <w:r w:rsidRPr="00D40600">
        <w:rPr>
          <w:lang w:eastAsia="zh-CN"/>
        </w:rPr>
        <w:t xml:space="preserve">47 C.F.R. § 20.6(b); 2000 Biennial Regulatory Review Spectrum Aggregation Limits for Commercial Mobile Radio Services, </w:t>
      </w:r>
      <w:r w:rsidRPr="00D40600">
        <w:rPr>
          <w:i/>
          <w:lang w:eastAsia="zh-CN"/>
        </w:rPr>
        <w:t>Notice of Proposed Rulemaking</w:t>
      </w:r>
      <w:r w:rsidRPr="00D40600">
        <w:rPr>
          <w:lang w:eastAsia="zh-CN"/>
        </w:rPr>
        <w:t xml:space="preserve">, 16 FCC Rcd 2763, 2764 ¶ 2 (2001); </w:t>
      </w:r>
      <w:r w:rsidRPr="00D40600">
        <w:rPr>
          <w:i/>
          <w:lang w:eastAsia="zh-CN"/>
        </w:rPr>
        <w:t>CMRS Third Report and Order</w:t>
      </w:r>
      <w:r w:rsidRPr="00D40600">
        <w:rPr>
          <w:lang w:eastAsia="zh-CN"/>
        </w:rPr>
        <w:t>, 9 FCC Rcd</w:t>
      </w:r>
      <w:r w:rsidRPr="00D40600">
        <w:rPr>
          <w:i/>
        </w:rPr>
        <w:t xml:space="preserve"> </w:t>
      </w:r>
      <w:r w:rsidRPr="00D40600">
        <w:t xml:space="preserve">at 8113-14 ¶ 275.  In 1999, the Commission raised the CMRS spectrum cap to 55 megahertz in rural market areas (RSAs).  </w:t>
      </w:r>
      <w:r w:rsidRPr="00D40600">
        <w:rPr>
          <w:lang w:eastAsia="zh-CN"/>
        </w:rPr>
        <w:t xml:space="preserve">Biennial Regulatory Review, Spectrum Aggregation Limits for Wireless Telecommunications Carriers, </w:t>
      </w:r>
      <w:r w:rsidRPr="00D40600">
        <w:rPr>
          <w:i/>
          <w:lang w:eastAsia="zh-CN"/>
        </w:rPr>
        <w:t>Report and Order</w:t>
      </w:r>
      <w:r w:rsidRPr="00D40600">
        <w:rPr>
          <w:lang w:eastAsia="zh-CN"/>
        </w:rPr>
        <w:t>, 15 FCC Rcd 9219, 9256-57 (1999).</w:t>
      </w:r>
    </w:p>
  </w:footnote>
  <w:footnote w:id="332">
    <w:p w:rsidR="00EC7CF3" w:rsidRDefault="00EC7CF3" w:rsidP="00610A7B">
      <w:pPr>
        <w:pStyle w:val="FootnoteText"/>
      </w:pPr>
      <w:r w:rsidRPr="00D40600">
        <w:rPr>
          <w:rStyle w:val="FootnoteReference"/>
          <w:sz w:val="20"/>
        </w:rPr>
        <w:footnoteRef/>
      </w:r>
      <w:r w:rsidRPr="00D40600">
        <w:t xml:space="preserve"> </w:t>
      </w:r>
      <w:r w:rsidRPr="00D40600">
        <w:rPr>
          <w:i/>
          <w:spacing w:val="-2"/>
        </w:rPr>
        <w:t>Verizon Wireless- SpectrumCo Order</w:t>
      </w:r>
      <w:r w:rsidRPr="00D40600">
        <w:rPr>
          <w:spacing w:val="-2"/>
        </w:rPr>
        <w:t xml:space="preserve">, FCC 12-95, at </w:t>
      </w:r>
      <w:r w:rsidRPr="00D40600">
        <w:rPr>
          <w:iCs/>
        </w:rPr>
        <w:t xml:space="preserve">¶ 48; </w:t>
      </w:r>
      <w:r w:rsidRPr="00D40600">
        <w:rPr>
          <w:i/>
          <w:iCs/>
        </w:rPr>
        <w:t>AT&amp;T-Qualcomm Order</w:t>
      </w:r>
      <w:r w:rsidRPr="00D40600">
        <w:rPr>
          <w:iCs/>
        </w:rPr>
        <w:t xml:space="preserve">, 26 FCC Rcd at 17602 ¶ 31; </w:t>
      </w:r>
      <w:r w:rsidRPr="00D40600">
        <w:t xml:space="preserve">Applications of AT&amp;T Inc. and Centennial Communications Corp. For Consent to Transfer Control of Licenses, Authorizations, and Spectrum Leasing Arrangements, WT Docket No. 08-246, </w:t>
      </w:r>
      <w:r w:rsidRPr="00D40600">
        <w:rPr>
          <w:i/>
        </w:rPr>
        <w:t>Memorandum Opinion and Order</w:t>
      </w:r>
      <w:r w:rsidRPr="00D40600">
        <w:t>,</w:t>
      </w:r>
      <w:r w:rsidRPr="00D40600">
        <w:rPr>
          <w:i/>
        </w:rPr>
        <w:t xml:space="preserve"> </w:t>
      </w:r>
      <w:r w:rsidRPr="00D40600">
        <w:t>24 FCC Rcd 13915, 13938 ¶ 50 (2009)(</w:t>
      </w:r>
      <w:r w:rsidRPr="00D40600">
        <w:rPr>
          <w:i/>
        </w:rPr>
        <w:t>AT&amp;T-Centennial Order</w:t>
      </w:r>
      <w:r w:rsidRPr="00D40600">
        <w:t>)</w:t>
      </w:r>
      <w:r w:rsidRPr="00D40600">
        <w:rPr>
          <w:iCs/>
        </w:rPr>
        <w:t>; s</w:t>
      </w:r>
      <w:r w:rsidRPr="00D40600">
        <w:rPr>
          <w:i/>
        </w:rPr>
        <w:t>ee</w:t>
      </w:r>
      <w:r w:rsidRPr="00D40600">
        <w:t xml:space="preserve"> </w:t>
      </w:r>
      <w:r w:rsidRPr="00D40600">
        <w:rPr>
          <w:i/>
        </w:rPr>
        <w:t>also</w:t>
      </w:r>
      <w:r w:rsidRPr="00D40600">
        <w:t xml:space="preserve"> 2000 Biennial Regulatory Review – Spectrum Aggregation Limits for Commercial Mobile Radio Services, WT Docket No. 01-14, </w:t>
      </w:r>
      <w:r w:rsidRPr="00D40600">
        <w:rPr>
          <w:i/>
        </w:rPr>
        <w:t>Report and Order</w:t>
      </w:r>
      <w:r w:rsidRPr="00D40600">
        <w:t>, 16 FCC Rcd 22668, 22693-94 ¶ 50 (2001) (</w:t>
      </w:r>
      <w:r w:rsidRPr="00D40600">
        <w:rPr>
          <w:i/>
        </w:rPr>
        <w:t>Second Biennial Review Order</w:t>
      </w:r>
      <w:r w:rsidRPr="00D40600">
        <w:t>) (stating that case-by-case review gives the Commission flexibility to reach the appropriate decision in each case on the basis of the particular circumstances of that case</w:t>
      </w:r>
      <w:r>
        <w:t>.</w:t>
      </w:r>
      <w:r w:rsidRPr="00D40600">
        <w:t xml:space="preserve"> </w:t>
      </w:r>
    </w:p>
  </w:footnote>
  <w:footnote w:id="333">
    <w:p w:rsidR="00EC7CF3" w:rsidRDefault="00EC7CF3" w:rsidP="00610A7B">
      <w:pPr>
        <w:pStyle w:val="FootnoteText"/>
      </w:pPr>
      <w:r w:rsidRPr="00D40600">
        <w:rPr>
          <w:rStyle w:val="FootnoteReference"/>
          <w:sz w:val="20"/>
        </w:rPr>
        <w:footnoteRef/>
      </w:r>
      <w:r w:rsidRPr="00D40600">
        <w:t xml:space="preserve"> </w:t>
      </w:r>
      <w:r w:rsidRPr="00D40600">
        <w:rPr>
          <w:iCs/>
        </w:rPr>
        <w:t xml:space="preserve">Policies Regarding Mobile Spectrum Holdings, WT Docket No. 12-269, </w:t>
      </w:r>
      <w:r w:rsidRPr="00D40600">
        <w:rPr>
          <w:i/>
          <w:iCs/>
        </w:rPr>
        <w:t>Notice of Proposed Rulemaking</w:t>
      </w:r>
      <w:r w:rsidRPr="00D40600">
        <w:rPr>
          <w:iCs/>
        </w:rPr>
        <w:t>, FCC 12-119 ¶ 8 (rel. Sept. 28, 2012) (</w:t>
      </w:r>
      <w:r w:rsidRPr="00D40600">
        <w:rPr>
          <w:i/>
          <w:iCs/>
        </w:rPr>
        <w:t>Mobile Spectrum Holdings NPRM</w:t>
      </w:r>
      <w:r w:rsidRPr="00D40600">
        <w:rPr>
          <w:iCs/>
        </w:rPr>
        <w:t>).</w:t>
      </w:r>
    </w:p>
  </w:footnote>
  <w:footnote w:id="334">
    <w:p w:rsidR="00EC7CF3" w:rsidRDefault="00EC7CF3" w:rsidP="001306A7">
      <w:pPr>
        <w:pStyle w:val="FootnoteText"/>
      </w:pPr>
      <w:r w:rsidRPr="00D40600">
        <w:rPr>
          <w:rStyle w:val="FootnoteReference"/>
          <w:sz w:val="20"/>
        </w:rPr>
        <w:footnoteRef/>
      </w:r>
      <w:r w:rsidRPr="00D40600">
        <w:t xml:space="preserve"> </w:t>
      </w:r>
      <w:r w:rsidRPr="00D40600">
        <w:rPr>
          <w:i/>
        </w:rPr>
        <w:t>See</w:t>
      </w:r>
      <w:r w:rsidRPr="00D40600">
        <w:t xml:space="preserve"> </w:t>
      </w:r>
      <w:r w:rsidRPr="00D40600">
        <w:rPr>
          <w:i/>
          <w:iCs/>
        </w:rPr>
        <w:t>Mobile Spectrum Holdings NPRM</w:t>
      </w:r>
      <w:r w:rsidRPr="00D40600">
        <w:t>, FCC 12-119, at ¶¶ 17-22 (rel. Sept. 28, 2012).</w:t>
      </w:r>
    </w:p>
  </w:footnote>
  <w:footnote w:id="335">
    <w:p w:rsidR="00EC7CF3" w:rsidRDefault="00EC7CF3" w:rsidP="00610A7B">
      <w:pPr>
        <w:pStyle w:val="FootnoteText"/>
      </w:pPr>
      <w:r w:rsidRPr="00D40600">
        <w:rPr>
          <w:rStyle w:val="FootnoteReference"/>
          <w:sz w:val="20"/>
        </w:rPr>
        <w:footnoteRef/>
      </w:r>
      <w:r w:rsidRPr="00D40600">
        <w:t xml:space="preserve"> </w:t>
      </w:r>
      <w:r w:rsidRPr="00D40600">
        <w:rPr>
          <w:i/>
        </w:rPr>
        <w:t>See, e.g.</w:t>
      </w:r>
      <w:r w:rsidRPr="00D40600">
        <w:t>,</w:t>
      </w:r>
      <w:r w:rsidRPr="00D40600">
        <w:rPr>
          <w:i/>
        </w:rPr>
        <w:t xml:space="preserve"> Verizon Wireless-SpectrumCo Order</w:t>
      </w:r>
      <w:r w:rsidRPr="00D40600">
        <w:t xml:space="preserve">, FCC 12-95, at </w:t>
      </w:r>
      <w:r w:rsidRPr="00D40600">
        <w:rPr>
          <w:snapToGrid w:val="0"/>
        </w:rPr>
        <w:t>¶ 48</w:t>
      </w:r>
      <w:r w:rsidRPr="00D40600">
        <w:t>;</w:t>
      </w:r>
      <w:r w:rsidRPr="00D40600">
        <w:rPr>
          <w:snapToGrid w:val="0"/>
        </w:rPr>
        <w:t xml:space="preserve"> </w:t>
      </w:r>
      <w:r w:rsidRPr="00D40600">
        <w:rPr>
          <w:i/>
          <w:iCs/>
        </w:rPr>
        <w:t>AT&amp;T-Qualcomm Order</w:t>
      </w:r>
      <w:r w:rsidRPr="00D40600">
        <w:rPr>
          <w:iCs/>
        </w:rPr>
        <w:t xml:space="preserve">, 26 FCC Rcd at 17602 ¶ 31; </w:t>
      </w:r>
      <w:r w:rsidRPr="00D40600">
        <w:t xml:space="preserve">Applications of AT&amp;T Wireless Services, Inc. and Cingular Wireless Corporation For Consent to Transfer Control of Licenses and Authorizations, WT Docket No. 04-70, </w:t>
      </w:r>
      <w:r w:rsidRPr="00D40600">
        <w:rPr>
          <w:i/>
        </w:rPr>
        <w:t>Memorandum Opinion and Order</w:t>
      </w:r>
      <w:r w:rsidRPr="00D40600">
        <w:t>, 19 FCC Rcd 21522, 21552 ¶ 58 (2004) (</w:t>
      </w:r>
      <w:r w:rsidRPr="00D40600">
        <w:rPr>
          <w:i/>
        </w:rPr>
        <w:t>Cingular-AT&amp;T Wireless Order</w:t>
      </w:r>
      <w:r w:rsidRPr="00D40600">
        <w:t>).</w:t>
      </w:r>
    </w:p>
  </w:footnote>
  <w:footnote w:id="336">
    <w:p w:rsidR="00EC7CF3" w:rsidRDefault="00EC7CF3" w:rsidP="00610A7B">
      <w:pPr>
        <w:pStyle w:val="FootnoteText"/>
      </w:pPr>
      <w:r w:rsidRPr="00D40600">
        <w:rPr>
          <w:rStyle w:val="FootnoteReference"/>
          <w:sz w:val="20"/>
        </w:rPr>
        <w:footnoteRef/>
      </w:r>
      <w:r w:rsidRPr="00D40600">
        <w:t xml:space="preserve"> </w:t>
      </w:r>
      <w:r w:rsidRPr="00D40600">
        <w:rPr>
          <w:i/>
        </w:rPr>
        <w:t xml:space="preserve">See </w:t>
      </w:r>
      <w:r w:rsidRPr="00D40600">
        <w:t xml:space="preserve">Section III.D.2, Hefindahl-Hirschman Index, </w:t>
      </w:r>
      <w:r w:rsidRPr="00D40600">
        <w:rPr>
          <w:i/>
        </w:rPr>
        <w:t>supra</w:t>
      </w:r>
      <w:r w:rsidRPr="00D40600">
        <w:t>.</w:t>
      </w:r>
    </w:p>
  </w:footnote>
  <w:footnote w:id="337">
    <w:p w:rsidR="00EC7CF3" w:rsidRDefault="00EC7CF3" w:rsidP="00610A7B">
      <w:pPr>
        <w:pStyle w:val="FootnoteText"/>
      </w:pPr>
      <w:r w:rsidRPr="00D40600">
        <w:rPr>
          <w:rStyle w:val="FootnoteReference"/>
          <w:sz w:val="20"/>
        </w:rPr>
        <w:footnoteRef/>
      </w:r>
      <w:r w:rsidRPr="00D40600">
        <w:t xml:space="preserve"> </w:t>
      </w:r>
      <w:r w:rsidRPr="00D40600">
        <w:rPr>
          <w:i/>
        </w:rPr>
        <w:t>See,</w:t>
      </w:r>
      <w:r w:rsidRPr="00D40600">
        <w:t xml:space="preserve"> </w:t>
      </w:r>
      <w:r w:rsidRPr="00D40600">
        <w:rPr>
          <w:i/>
        </w:rPr>
        <w:t>e.g., Verizon Wireless-SpectrumCo Order</w:t>
      </w:r>
      <w:r w:rsidRPr="00D40600">
        <w:t>, FCC 12-95, at ¶ 59.</w:t>
      </w:r>
    </w:p>
  </w:footnote>
  <w:footnote w:id="338">
    <w:p w:rsidR="00EC7CF3" w:rsidRDefault="00EC7CF3" w:rsidP="00610A7B">
      <w:pPr>
        <w:pStyle w:val="FootnoteText"/>
      </w:pPr>
      <w:r w:rsidRPr="00D40600">
        <w:rPr>
          <w:rStyle w:val="FootnoteReference"/>
          <w:sz w:val="20"/>
        </w:rPr>
        <w:footnoteRef/>
      </w:r>
      <w:r w:rsidRPr="00D40600">
        <w:t xml:space="preserve"> </w:t>
      </w:r>
      <w:r w:rsidRPr="00D40600">
        <w:rPr>
          <w:i/>
        </w:rPr>
        <w:t>See Verizon Wireless-Alltel Order</w:t>
      </w:r>
      <w:r w:rsidRPr="00D40600">
        <w:t xml:space="preserve">, 23 FCC Rcd at 17460 ¶ 26; </w:t>
      </w:r>
      <w:r w:rsidRPr="00D40600">
        <w:rPr>
          <w:i/>
        </w:rPr>
        <w:t xml:space="preserve">Mobile Spectrum Holdings NPRM, </w:t>
      </w:r>
      <w:r w:rsidRPr="00D40600">
        <w:t xml:space="preserve"> FCC 12-119.</w:t>
      </w:r>
    </w:p>
  </w:footnote>
  <w:footnote w:id="339">
    <w:p w:rsidR="00EC7CF3" w:rsidRDefault="00EC7CF3" w:rsidP="00610A7B">
      <w:pPr>
        <w:pStyle w:val="FootnoteText"/>
      </w:pPr>
      <w:r w:rsidRPr="00D40600">
        <w:rPr>
          <w:rStyle w:val="FootnoteReference"/>
          <w:sz w:val="20"/>
        </w:rPr>
        <w:footnoteRef/>
      </w:r>
      <w:r w:rsidRPr="00D40600">
        <w:t xml:space="preserve"> </w:t>
      </w:r>
      <w:r w:rsidRPr="00D40600">
        <w:rPr>
          <w:i/>
        </w:rPr>
        <w:t>See Verizon Wireless-Alltel Order</w:t>
      </w:r>
      <w:r w:rsidRPr="00D40600">
        <w:t xml:space="preserve">, 23 FCC Rcd at 17469-70 ¶¶ 45-47. </w:t>
      </w:r>
    </w:p>
  </w:footnote>
  <w:footnote w:id="340">
    <w:p w:rsidR="00EC7CF3" w:rsidRDefault="00EC7CF3" w:rsidP="00610A7B">
      <w:pPr>
        <w:pStyle w:val="FootnoteText"/>
      </w:pPr>
      <w:r w:rsidRPr="00D40600">
        <w:rPr>
          <w:rStyle w:val="FootnoteReference"/>
          <w:sz w:val="20"/>
        </w:rPr>
        <w:footnoteRef/>
      </w:r>
      <w:r w:rsidRPr="00D40600">
        <w:t xml:space="preserve"> </w:t>
      </w:r>
      <w:r w:rsidRPr="001402D3">
        <w:rPr>
          <w:i/>
        </w:rPr>
        <w:t>See</w:t>
      </w:r>
      <w:r w:rsidRPr="001402D3">
        <w:t xml:space="preserve"> </w:t>
      </w:r>
      <w:r w:rsidRPr="001402D3">
        <w:rPr>
          <w:i/>
          <w:iCs/>
        </w:rPr>
        <w:t>AT&amp;T-Qualcomm Order</w:t>
      </w:r>
      <w:r w:rsidRPr="001402D3">
        <w:rPr>
          <w:iCs/>
        </w:rPr>
        <w:t xml:space="preserve">, 26 FCC Rcd at 17605-06 ¶ 38; </w:t>
      </w:r>
      <w:r w:rsidRPr="001402D3">
        <w:rPr>
          <w:i/>
          <w:iCs/>
        </w:rPr>
        <w:t xml:space="preserve">See, e.g., </w:t>
      </w:r>
      <w:hyperlink r:id="rId74" w:history="1">
        <w:r w:rsidRPr="00052AC7">
          <w:rPr>
            <w:rStyle w:val="Hyperlink"/>
            <w:i/>
            <w:color w:val="auto"/>
            <w:u w:val="none"/>
          </w:rPr>
          <w:t>AT&amp;T-Verizon Wireless Order</w:t>
        </w:r>
        <w:r w:rsidRPr="00052AC7">
          <w:rPr>
            <w:rStyle w:val="Hyperlink"/>
            <w:color w:val="auto"/>
            <w:u w:val="none"/>
          </w:rPr>
          <w:t>, 25 FCC Rcd at 8723-24 ¶ 39;</w:t>
        </w:r>
      </w:hyperlink>
      <w:r w:rsidRPr="00052AC7">
        <w:rPr>
          <w:u w:val="single"/>
        </w:rPr>
        <w:t xml:space="preserve"> </w:t>
      </w:r>
      <w:r w:rsidRPr="00D40600">
        <w:rPr>
          <w:i/>
          <w:color w:val="000000"/>
        </w:rPr>
        <w:t>AT&amp;T-Cingular</w:t>
      </w:r>
      <w:r w:rsidRPr="00D40600">
        <w:rPr>
          <w:i/>
          <w:iCs/>
          <w:color w:val="000000"/>
        </w:rPr>
        <w:t xml:space="preserve"> Order</w:t>
      </w:r>
      <w:r w:rsidRPr="00D40600">
        <w:rPr>
          <w:color w:val="000000"/>
        </w:rPr>
        <w:t xml:space="preserve">, 19 FCC Rcd at </w:t>
      </w:r>
      <w:r w:rsidRPr="00D40600">
        <w:t>21560-61 ¶ 81.</w:t>
      </w:r>
    </w:p>
  </w:footnote>
  <w:footnote w:id="341">
    <w:p w:rsidR="00EC7CF3" w:rsidRDefault="00EC7CF3" w:rsidP="00610A7B">
      <w:pPr>
        <w:pStyle w:val="FootnoteText"/>
        <w:tabs>
          <w:tab w:val="center" w:pos="4320"/>
        </w:tabs>
      </w:pPr>
      <w:r w:rsidRPr="00D40600">
        <w:rPr>
          <w:rStyle w:val="FootnoteReference"/>
          <w:sz w:val="20"/>
        </w:rPr>
        <w:footnoteRef/>
      </w:r>
      <w:r w:rsidRPr="00D40600">
        <w:t xml:space="preserve"> </w:t>
      </w:r>
      <w:r w:rsidRPr="00D40600">
        <w:rPr>
          <w:i/>
        </w:rPr>
        <w:t>See</w:t>
      </w:r>
      <w:r w:rsidRPr="00D40600">
        <w:t xml:space="preserve"> </w:t>
      </w:r>
      <w:r w:rsidRPr="00D40600">
        <w:rPr>
          <w:i/>
          <w:iCs/>
        </w:rPr>
        <w:t>AT&amp;T-Qualcomm Order</w:t>
      </w:r>
      <w:r w:rsidRPr="00D40600">
        <w:rPr>
          <w:iCs/>
        </w:rPr>
        <w:t xml:space="preserve">, 26 FCC Rcd at 17605-06 ¶ 38; </w:t>
      </w:r>
      <w:r w:rsidRPr="00D40600">
        <w:rPr>
          <w:i/>
          <w:iCs/>
        </w:rPr>
        <w:t>AT&amp;T-Verizon Wireless Order</w:t>
      </w:r>
      <w:r w:rsidRPr="00D40600">
        <w:rPr>
          <w:iCs/>
        </w:rPr>
        <w:t xml:space="preserve">, 25 FCC Rcd at 8723-24 ¶ 39; </w:t>
      </w:r>
      <w:r w:rsidRPr="00D40600">
        <w:rPr>
          <w:i/>
          <w:iCs/>
        </w:rPr>
        <w:t>AT&amp;T-Centennial Order</w:t>
      </w:r>
      <w:r w:rsidRPr="00D40600">
        <w:rPr>
          <w:iCs/>
        </w:rPr>
        <w:t>, 24 FCC Rcd at 13935 ¶ 43</w:t>
      </w:r>
      <w:r w:rsidRPr="00D40600">
        <w:t>.</w:t>
      </w:r>
    </w:p>
  </w:footnote>
  <w:footnote w:id="342">
    <w:p w:rsidR="00EC7CF3" w:rsidRDefault="00EC7CF3" w:rsidP="00610A7B">
      <w:pPr>
        <w:pStyle w:val="FootnoteText"/>
      </w:pPr>
      <w:r w:rsidRPr="00D40600">
        <w:rPr>
          <w:rStyle w:val="FootnoteReference"/>
          <w:sz w:val="20"/>
        </w:rPr>
        <w:footnoteRef/>
      </w:r>
      <w:r w:rsidRPr="00D40600">
        <w:t xml:space="preserve"> </w:t>
      </w:r>
      <w:r w:rsidRPr="00D40600">
        <w:rPr>
          <w:i/>
        </w:rPr>
        <w:t>See, e.g.,</w:t>
      </w:r>
      <w:r w:rsidRPr="00D40600">
        <w:t xml:space="preserve"> </w:t>
      </w:r>
      <w:r w:rsidRPr="00D40600">
        <w:rPr>
          <w:i/>
        </w:rPr>
        <w:t>Verizon Wireless-Alltel Order</w:t>
      </w:r>
      <w:r w:rsidRPr="00D40600">
        <w:t>, 23 FCC Rcd at 17487-88 ¶ 91.</w:t>
      </w:r>
    </w:p>
  </w:footnote>
  <w:footnote w:id="343">
    <w:p w:rsidR="00EC7CF3" w:rsidRDefault="00EC7CF3" w:rsidP="00610A7B">
      <w:pPr>
        <w:pStyle w:val="FootnoteText"/>
      </w:pPr>
      <w:r w:rsidRPr="00D40600">
        <w:rPr>
          <w:rStyle w:val="FootnoteReference"/>
          <w:sz w:val="20"/>
        </w:rPr>
        <w:footnoteRef/>
      </w:r>
      <w:r w:rsidRPr="00D40600">
        <w:t xml:space="preserve"> </w:t>
      </w:r>
      <w:r w:rsidRPr="00D40600">
        <w:rPr>
          <w:i/>
        </w:rPr>
        <w:t>See Verizon Wireless-SpectrumCo Order</w:t>
      </w:r>
      <w:r w:rsidRPr="00D40600">
        <w:t>, FCC 12-95, at ¶ 76.</w:t>
      </w:r>
    </w:p>
  </w:footnote>
  <w:footnote w:id="344">
    <w:p w:rsidR="00EC7CF3" w:rsidRDefault="00EC7CF3" w:rsidP="00610A7B">
      <w:pPr>
        <w:pStyle w:val="FootnoteText"/>
      </w:pPr>
      <w:r w:rsidRPr="00D40600">
        <w:rPr>
          <w:rStyle w:val="FootnoteReference"/>
          <w:sz w:val="20"/>
        </w:rPr>
        <w:footnoteRef/>
      </w:r>
      <w:r w:rsidRPr="00D40600">
        <w:rPr>
          <w:i/>
        </w:rPr>
        <w:t>See</w:t>
      </w:r>
      <w:r w:rsidRPr="00D40600">
        <w:t xml:space="preserve"> Applications of AT&amp;T Inc. and Dobson Communications Corporation, </w:t>
      </w:r>
      <w:r w:rsidRPr="00D40600">
        <w:rPr>
          <w:spacing w:val="-2"/>
        </w:rPr>
        <w:t>WT Docket No. 07-153,</w:t>
      </w:r>
      <w:r w:rsidRPr="00D40600">
        <w:rPr>
          <w:i/>
        </w:rPr>
        <w:t>Memorandum Opinion and Order</w:t>
      </w:r>
      <w:r w:rsidRPr="00D40600">
        <w:t>, 22 FCC Rcd 20295, 20307-08 ¶ 17 (2007)(</w:t>
      </w:r>
      <w:r w:rsidRPr="00D40600">
        <w:rPr>
          <w:i/>
        </w:rPr>
        <w:t>AT&amp;T-Dobson Order</w:t>
      </w:r>
      <w:r w:rsidRPr="00D40600">
        <w:t>).</w:t>
      </w:r>
    </w:p>
  </w:footnote>
  <w:footnote w:id="345">
    <w:p w:rsidR="00EC7CF3" w:rsidRDefault="00EC7CF3" w:rsidP="00610A7B">
      <w:pPr>
        <w:pStyle w:val="FootnoteText"/>
      </w:pPr>
      <w:r w:rsidRPr="00D40600">
        <w:rPr>
          <w:rStyle w:val="FootnoteReference"/>
          <w:sz w:val="20"/>
        </w:rPr>
        <w:footnoteRef/>
      </w:r>
      <w:r w:rsidRPr="00D40600">
        <w:t xml:space="preserve"> </w:t>
      </w:r>
      <w:r w:rsidRPr="00D40600">
        <w:rPr>
          <w:rStyle w:val="StyleParaNumChar"/>
          <w:i/>
          <w:sz w:val="20"/>
        </w:rPr>
        <w:t xml:space="preserve">See </w:t>
      </w:r>
      <w:r w:rsidRPr="00D40600">
        <w:rPr>
          <w:i/>
        </w:rPr>
        <w:t xml:space="preserve">Sprint Nextel Corp. and Clearwire Corp. </w:t>
      </w:r>
      <w:r w:rsidRPr="001402D3">
        <w:t>Applications for Consent to Transfer Control of Licenses, Leases, and Authorizations</w:t>
      </w:r>
      <w:r w:rsidRPr="007D5CB2">
        <w:t>,</w:t>
      </w:r>
      <w:r w:rsidRPr="00D40600">
        <w:t xml:space="preserve"> WT Docket No. 08-94, </w:t>
      </w:r>
      <w:r w:rsidRPr="001402D3">
        <w:rPr>
          <w:i/>
        </w:rPr>
        <w:t>Memorandum Opinion and Order</w:t>
      </w:r>
      <w:r w:rsidRPr="00D40600">
        <w:t>, 23 FCC Rcd 17570, 17599 ¶ 72 (2008) (</w:t>
      </w:r>
      <w:r w:rsidRPr="00D40600">
        <w:rPr>
          <w:i/>
        </w:rPr>
        <w:t>Sprint Nextel-Clearwire Order</w:t>
      </w:r>
      <w:r w:rsidRPr="00D40600">
        <w:t>).</w:t>
      </w:r>
      <w:r w:rsidRPr="00D40600">
        <w:rPr>
          <w:rStyle w:val="StyleParaNumChar"/>
          <w:sz w:val="20"/>
        </w:rPr>
        <w:t xml:space="preserve">  </w:t>
      </w:r>
    </w:p>
  </w:footnote>
  <w:footnote w:id="346">
    <w:p w:rsidR="00EC7CF3" w:rsidRDefault="00EC7CF3" w:rsidP="00610A7B">
      <w:pPr>
        <w:pStyle w:val="FootnoteText"/>
      </w:pPr>
      <w:r w:rsidRPr="00D40600">
        <w:rPr>
          <w:rStyle w:val="FootnoteReference"/>
          <w:sz w:val="20"/>
        </w:rPr>
        <w:footnoteRef/>
      </w:r>
      <w:r w:rsidRPr="00D40600">
        <w:t xml:space="preserve"> </w:t>
      </w:r>
      <w:r w:rsidRPr="00D40600">
        <w:rPr>
          <w:rStyle w:val="StyleParaNumChar"/>
          <w:sz w:val="20"/>
        </w:rPr>
        <w:t xml:space="preserve">Most BRS spectrum is considered available in those markets where the transition of BRS spectrum to the new band plan has been completed.  </w:t>
      </w:r>
      <w:r w:rsidRPr="00D40600">
        <w:rPr>
          <w:i/>
        </w:rPr>
        <w:t>Sprint Nextel-Clearwire Order</w:t>
      </w:r>
      <w:r w:rsidRPr="00D40600">
        <w:t>, 23 FCC Rcd at 17598-99 ¶ 70.  EBS spectrum, which is licensed to educational institutions and can be leased to commercial operators, is not included in the Commission’s spectrum screen when evaluating proposed transactions.</w:t>
      </w:r>
    </w:p>
  </w:footnote>
  <w:footnote w:id="347">
    <w:p w:rsidR="00EC7CF3" w:rsidRDefault="00EC7CF3">
      <w:pPr>
        <w:pStyle w:val="FootnoteText"/>
      </w:pPr>
      <w:r>
        <w:rPr>
          <w:rStyle w:val="FootnoteReference"/>
        </w:rPr>
        <w:footnoteRef/>
      </w:r>
      <w:r>
        <w:t xml:space="preserve"> </w:t>
      </w:r>
      <w:r w:rsidRPr="004A00B3">
        <w:rPr>
          <w:i/>
        </w:rPr>
        <w:t>See</w:t>
      </w:r>
      <w:r>
        <w:t xml:space="preserve"> Applications of AT&amp;T Mobility Spectrum LLC, New Cingular Wireless PCS, LLC, Comcast Corporation, Horizon Wi-Com, LLC, NextWave Wireless, Inc., and San Diego Gas &amp; Electric Company, WT Docket No. 12-240, </w:t>
      </w:r>
      <w:r w:rsidRPr="004A00B3">
        <w:rPr>
          <w:i/>
        </w:rPr>
        <w:t>Memorandum Opinion and Order</w:t>
      </w:r>
      <w:r>
        <w:t xml:space="preserve"> (rel. Dec. 18, 2012).</w:t>
      </w:r>
    </w:p>
  </w:footnote>
  <w:footnote w:id="348">
    <w:p w:rsidR="00EC7CF3" w:rsidRDefault="00EC7CF3" w:rsidP="00610A7B">
      <w:pPr>
        <w:pStyle w:val="FootnoteText"/>
      </w:pPr>
      <w:r w:rsidRPr="00D40600">
        <w:rPr>
          <w:rStyle w:val="FootnoteReference"/>
          <w:sz w:val="20"/>
        </w:rPr>
        <w:footnoteRef/>
      </w:r>
      <w:r w:rsidRPr="00D40600">
        <w:t xml:space="preserve"> As discussed above, in reviewing proposed merger transactions that involve spectrum aggregation, the Commission examines market participants’ holdings of suitable spectrum to ensure that there is sufficient spectrum available to competitors.</w:t>
      </w:r>
    </w:p>
  </w:footnote>
  <w:footnote w:id="349">
    <w:p w:rsidR="00EC7CF3" w:rsidRDefault="00EC7CF3" w:rsidP="00610A7B">
      <w:pPr>
        <w:pStyle w:val="FootnoteText"/>
      </w:pPr>
      <w:r w:rsidRPr="00D40600">
        <w:rPr>
          <w:rStyle w:val="FootnoteReference"/>
          <w:sz w:val="20"/>
        </w:rPr>
        <w:footnoteRef/>
      </w:r>
      <w:r w:rsidRPr="00D40600">
        <w:t xml:space="preserve"> The PCS spectrum includes the 10 megahertz of spectrum obtained by Sprint Nextel as part of the 800 megahertz rebanding order.  </w:t>
      </w:r>
      <w:r w:rsidRPr="00D40600">
        <w:rPr>
          <w:i/>
        </w:rPr>
        <w:t>See</w:t>
      </w:r>
      <w:r w:rsidRPr="00D40600">
        <w:t xml:space="preserve"> </w:t>
      </w:r>
      <w:r w:rsidRPr="00D40600">
        <w:rPr>
          <w:i/>
          <w:spacing w:val="-2"/>
        </w:rPr>
        <w:t>Verizon Wireless- SpectrumCo Order</w:t>
      </w:r>
      <w:r w:rsidRPr="00D40600">
        <w:rPr>
          <w:spacing w:val="-2"/>
        </w:rPr>
        <w:t>, FCC 12-95, at ¶ 63 n.151.</w:t>
      </w:r>
    </w:p>
  </w:footnote>
  <w:footnote w:id="350">
    <w:p w:rsidR="00EC7CF3" w:rsidRDefault="00EC7CF3" w:rsidP="00610A7B">
      <w:pPr>
        <w:pStyle w:val="FootnoteText"/>
      </w:pPr>
      <w:r w:rsidRPr="00D40600">
        <w:rPr>
          <w:rStyle w:val="FootnoteReference"/>
          <w:sz w:val="20"/>
        </w:rPr>
        <w:footnoteRef/>
      </w:r>
      <w:r w:rsidRPr="00D40600">
        <w:t xml:space="preserve"> </w:t>
      </w:r>
      <w:r w:rsidRPr="00D40600">
        <w:rPr>
          <w:i/>
        </w:rPr>
        <w:t>See</w:t>
      </w:r>
      <w:r w:rsidRPr="00D40600">
        <w:t xml:space="preserve"> </w:t>
      </w:r>
      <w:r w:rsidRPr="00D40600">
        <w:rPr>
          <w:i/>
          <w:spacing w:val="-2"/>
        </w:rPr>
        <w:t>Verizon Wireless- SpectrumCo Order</w:t>
      </w:r>
      <w:r w:rsidRPr="00D40600">
        <w:rPr>
          <w:spacing w:val="-2"/>
        </w:rPr>
        <w:t xml:space="preserve">, FCC 12-95, at </w:t>
      </w:r>
      <w:r w:rsidRPr="00D40600">
        <w:rPr>
          <w:iCs/>
        </w:rPr>
        <w:t xml:space="preserve">¶ 59; </w:t>
      </w:r>
      <w:r w:rsidRPr="00D40600">
        <w:rPr>
          <w:i/>
          <w:iCs/>
        </w:rPr>
        <w:t>Sprint Nextel-Clearwire Order</w:t>
      </w:r>
      <w:r w:rsidRPr="00D40600">
        <w:rPr>
          <w:iCs/>
        </w:rPr>
        <w:t>, 23 FCC Rcd at 17591-92 ¶ 53.</w:t>
      </w:r>
    </w:p>
  </w:footnote>
  <w:footnote w:id="351">
    <w:p w:rsidR="00EC7CF3" w:rsidRDefault="00EC7CF3" w:rsidP="00610A7B">
      <w:pPr>
        <w:pStyle w:val="FootnoteText"/>
      </w:pPr>
      <w:r w:rsidRPr="00D40600">
        <w:rPr>
          <w:rStyle w:val="FootnoteReference"/>
          <w:sz w:val="20"/>
        </w:rPr>
        <w:footnoteRef/>
      </w:r>
      <w:r w:rsidRPr="00D40600">
        <w:t xml:space="preserve"> </w:t>
      </w:r>
      <w:r w:rsidRPr="00D40600">
        <w:rPr>
          <w:i/>
        </w:rPr>
        <w:t>Mobile Spectrum Holdings NPRM</w:t>
      </w:r>
      <w:r w:rsidRPr="00D40600">
        <w:t>, FCC 12-119, at ¶ 28.</w:t>
      </w:r>
    </w:p>
  </w:footnote>
  <w:footnote w:id="352">
    <w:p w:rsidR="00EC7CF3" w:rsidRDefault="00EC7CF3" w:rsidP="00610A7B">
      <w:pPr>
        <w:pStyle w:val="FootnoteText"/>
      </w:pPr>
      <w:r w:rsidRPr="00D40600">
        <w:rPr>
          <w:rStyle w:val="FootnoteReference"/>
          <w:sz w:val="20"/>
        </w:rPr>
        <w:footnoteRef/>
      </w:r>
      <w:r w:rsidRPr="00D40600">
        <w:t xml:space="preserve"> </w:t>
      </w:r>
      <w:r w:rsidRPr="00D40600">
        <w:rPr>
          <w:i/>
        </w:rPr>
        <w:t>See</w:t>
      </w:r>
      <w:r w:rsidRPr="00D40600">
        <w:t xml:space="preserve"> </w:t>
      </w:r>
      <w:r w:rsidRPr="00D40600">
        <w:rPr>
          <w:i/>
          <w:spacing w:val="-2"/>
        </w:rPr>
        <w:t>Verizon Wireless- SpectrumCo Order</w:t>
      </w:r>
      <w:r w:rsidRPr="00D40600">
        <w:rPr>
          <w:spacing w:val="-2"/>
        </w:rPr>
        <w:t xml:space="preserve">, FCC 12-95, at </w:t>
      </w:r>
      <w:r w:rsidRPr="00D40600">
        <w:rPr>
          <w:iCs/>
        </w:rPr>
        <w:t>¶ 72.</w:t>
      </w:r>
    </w:p>
  </w:footnote>
  <w:footnote w:id="353">
    <w:p w:rsidR="00EC7CF3" w:rsidRDefault="00EC7CF3" w:rsidP="00610A7B">
      <w:pPr>
        <w:pStyle w:val="FootnoteText"/>
      </w:pPr>
      <w:r w:rsidRPr="00D40600">
        <w:rPr>
          <w:rStyle w:val="FootnoteReference"/>
          <w:sz w:val="20"/>
        </w:rPr>
        <w:footnoteRef/>
      </w:r>
      <w:r w:rsidRPr="00D40600">
        <w:t xml:space="preserve"> </w:t>
      </w:r>
      <w:r w:rsidRPr="00D40600">
        <w:rPr>
          <w:i/>
        </w:rPr>
        <w:t>See, e.g.,</w:t>
      </w:r>
      <w:r w:rsidRPr="00D40600">
        <w:t xml:space="preserve"> </w:t>
      </w:r>
      <w:r w:rsidRPr="00D40600">
        <w:rPr>
          <w:i/>
        </w:rPr>
        <w:t>AT&amp;T-Cingular Order</w:t>
      </w:r>
      <w:r w:rsidRPr="00D40600">
        <w:t>,</w:t>
      </w:r>
      <w:r w:rsidRPr="00D40600">
        <w:rPr>
          <w:i/>
        </w:rPr>
        <w:t xml:space="preserve"> </w:t>
      </w:r>
      <w:r w:rsidRPr="00D40600">
        <w:t>19 FCC Rcd at 21577 ¶140, 21620-21 ¶ 255.</w:t>
      </w:r>
    </w:p>
  </w:footnote>
  <w:footnote w:id="354">
    <w:p w:rsidR="00EC7CF3" w:rsidRDefault="00EC7CF3" w:rsidP="00610A7B">
      <w:pPr>
        <w:pStyle w:val="FootnoteText"/>
      </w:pPr>
      <w:r w:rsidRPr="00D40600">
        <w:rPr>
          <w:rStyle w:val="FootnoteReference"/>
          <w:sz w:val="20"/>
        </w:rPr>
        <w:footnoteRef/>
      </w:r>
      <w:r w:rsidRPr="00D40600">
        <w:t xml:space="preserve"> </w:t>
      </w:r>
      <w:r w:rsidRPr="00D40600">
        <w:rPr>
          <w:i/>
        </w:rPr>
        <w:t>See</w:t>
      </w:r>
      <w:r w:rsidRPr="00D40600">
        <w:t xml:space="preserve"> </w:t>
      </w:r>
      <w:r w:rsidRPr="00D40600">
        <w:rPr>
          <w:i/>
          <w:spacing w:val="-2"/>
        </w:rPr>
        <w:t>Verizon Wireless- SpectrumCo Order</w:t>
      </w:r>
      <w:r w:rsidRPr="00D40600">
        <w:rPr>
          <w:spacing w:val="-2"/>
        </w:rPr>
        <w:t xml:space="preserve">, FCC 12-95, at </w:t>
      </w:r>
      <w:r w:rsidRPr="00D40600">
        <w:rPr>
          <w:iCs/>
        </w:rPr>
        <w:t xml:space="preserve">¶ 48; </w:t>
      </w:r>
      <w:r w:rsidRPr="00D40600">
        <w:rPr>
          <w:i/>
          <w:iCs/>
        </w:rPr>
        <w:t>Mobile Spectrum Holdings NPRM</w:t>
      </w:r>
      <w:r w:rsidRPr="00D40600">
        <w:rPr>
          <w:iCs/>
        </w:rPr>
        <w:t xml:space="preserve">, FCC 12-119, at ¶ 8. </w:t>
      </w:r>
    </w:p>
  </w:footnote>
  <w:footnote w:id="355">
    <w:p w:rsidR="00EC7CF3" w:rsidRDefault="00EC7CF3" w:rsidP="00610A7B">
      <w:pPr>
        <w:pStyle w:val="FootnoteText"/>
      </w:pPr>
      <w:r w:rsidRPr="00D40600">
        <w:rPr>
          <w:rStyle w:val="FootnoteReference"/>
          <w:sz w:val="20"/>
        </w:rPr>
        <w:footnoteRef/>
      </w:r>
      <w:r w:rsidRPr="00D40600">
        <w:t xml:space="preserve"> </w:t>
      </w:r>
      <w:r w:rsidRPr="00D40600">
        <w:rPr>
          <w:i/>
        </w:rPr>
        <w:t>See</w:t>
      </w:r>
      <w:r w:rsidRPr="00D40600">
        <w:t xml:space="preserve"> Appendix A, </w:t>
      </w:r>
      <w:r w:rsidRPr="00D40600">
        <w:rPr>
          <w:i/>
        </w:rPr>
        <w:t>infra</w:t>
      </w:r>
      <w:r w:rsidRPr="00D40600">
        <w:t xml:space="preserve">. </w:t>
      </w:r>
      <w:r>
        <w:t xml:space="preserve"> </w:t>
      </w:r>
      <w:r w:rsidRPr="00D40600">
        <w:t>The Commission has recently indicated that, as the provision of mobile broadband services becomes increasingly central to wireless transactions</w:t>
      </w:r>
      <w:r w:rsidRPr="00D40600">
        <w:rPr>
          <w:rStyle w:val="StyleParaNumChar"/>
          <w:sz w:val="20"/>
        </w:rPr>
        <w:t xml:space="preserve"> it may be appropriate to reduce the amount of suitable SMR spectrum </w:t>
      </w:r>
      <w:r w:rsidRPr="00D40600">
        <w:t>from 26.5 megahertz to 14 megahertz to reflect the portion of SMR spectrum through which mobile broadband service can be provided.</w:t>
      </w:r>
      <w:r w:rsidRPr="00D40600">
        <w:rPr>
          <w:i/>
        </w:rPr>
        <w:t xml:space="preserve">  See AT&amp;T-Qualcomm Order</w:t>
      </w:r>
      <w:r w:rsidRPr="00D40600">
        <w:t xml:space="preserve">, 26 FCC Rcd at 17607 ¶ 42.  The Commission is seeking comment on  how much SMR spectrum is suitable and available in the near term for mobile broadband services.  </w:t>
      </w:r>
      <w:r w:rsidRPr="00D40600">
        <w:rPr>
          <w:i/>
        </w:rPr>
        <w:t>Spectrum Holdings NPRM</w:t>
      </w:r>
      <w:r w:rsidRPr="00D40600">
        <w:t xml:space="preserve">, FCC 12-119, at ¶ 29. </w:t>
      </w:r>
    </w:p>
  </w:footnote>
  <w:footnote w:id="356">
    <w:p w:rsidR="00EC7CF3" w:rsidRDefault="00EC7CF3" w:rsidP="00610A7B">
      <w:pPr>
        <w:pStyle w:val="FootnoteText"/>
      </w:pPr>
      <w:r w:rsidRPr="00D40600">
        <w:rPr>
          <w:rStyle w:val="FootnoteReference"/>
          <w:sz w:val="20"/>
        </w:rPr>
        <w:footnoteRef/>
      </w:r>
      <w:r w:rsidRPr="00D40600">
        <w:t xml:space="preserve"> </w:t>
      </w:r>
      <w:r w:rsidRPr="00D40600">
        <w:rPr>
          <w:i/>
        </w:rPr>
        <w:t>See</w:t>
      </w:r>
      <w:r w:rsidRPr="00D40600">
        <w:rPr>
          <w:i/>
          <w:spacing w:val="-2"/>
        </w:rPr>
        <w:t xml:space="preserve"> Verizon Wireless-SpectrumCo Order</w:t>
      </w:r>
      <w:r w:rsidRPr="00D40600">
        <w:rPr>
          <w:spacing w:val="-2"/>
        </w:rPr>
        <w:t>, FCC 12-95, at ¶ 63 n. 151.</w:t>
      </w:r>
    </w:p>
  </w:footnote>
  <w:footnote w:id="357">
    <w:p w:rsidR="00EC7CF3" w:rsidRDefault="00EC7CF3" w:rsidP="00610A7B">
      <w:pPr>
        <w:pStyle w:val="FootnoteText"/>
      </w:pPr>
      <w:r w:rsidRPr="00D40600">
        <w:rPr>
          <w:rStyle w:val="FootnoteReference"/>
          <w:sz w:val="20"/>
        </w:rPr>
        <w:footnoteRef/>
      </w:r>
      <w:r w:rsidRPr="00D40600">
        <w:t xml:space="preserve"> </w:t>
      </w:r>
      <w:r w:rsidRPr="00D7145F">
        <w:t>The Upper 700 MHz D Block is to be reallocated for public safety service rather than commercial service.  The Commission is seeking comment on whether this spectrum should remain relevant to its mobile spectrum holdings analysis, Mobile Spectrum Holdings NPRM, FCC 12-119, at ¶ 29.</w:t>
      </w:r>
    </w:p>
  </w:footnote>
  <w:footnote w:id="358">
    <w:p w:rsidR="00EC7CF3" w:rsidRDefault="00EC7CF3" w:rsidP="00610A7B">
      <w:pPr>
        <w:pStyle w:val="FootnoteText"/>
      </w:pPr>
      <w:r w:rsidRPr="00D40600">
        <w:rPr>
          <w:rStyle w:val="FootnoteReference"/>
          <w:sz w:val="20"/>
        </w:rPr>
        <w:footnoteRef/>
      </w:r>
      <w:r w:rsidRPr="00D40600">
        <w:t xml:space="preserve"> 55.5 megahertz out of a total 74 megahertz of BRS is attributable where transitioned.  </w:t>
      </w:r>
      <w:r w:rsidRPr="00D40600">
        <w:rPr>
          <w:i/>
        </w:rPr>
        <w:t>See</w:t>
      </w:r>
      <w:r w:rsidRPr="00D40600">
        <w:t xml:space="preserve"> </w:t>
      </w:r>
      <w:r w:rsidRPr="00D40600">
        <w:rPr>
          <w:i/>
        </w:rPr>
        <w:t>Sprint/Clearwire Order</w:t>
      </w:r>
      <w:r w:rsidRPr="00D40600">
        <w:t xml:space="preserve">, 23 FCC Rcd at 17598-99 ¶ 70.  To date, the Commission has declined to include in its analysis several other spectrum bands—including EBS, MSS/ATC, AWS-2/3, WCS, 3650-3700 MHz, and 2155-2175 MHz.  </w:t>
      </w:r>
      <w:r w:rsidRPr="00D40600">
        <w:rPr>
          <w:i/>
        </w:rPr>
        <w:t>See</w:t>
      </w:r>
      <w:r w:rsidRPr="00D40600">
        <w:t xml:space="preserve"> </w:t>
      </w:r>
      <w:r w:rsidRPr="00D40600">
        <w:rPr>
          <w:i/>
        </w:rPr>
        <w:t>AT&amp;T-Qualcomm Order</w:t>
      </w:r>
      <w:r w:rsidRPr="00D40600">
        <w:t xml:space="preserve">, 26 FCC Rcd at 17606 ¶ 39; </w:t>
      </w:r>
      <w:r w:rsidRPr="00D40600">
        <w:rPr>
          <w:i/>
        </w:rPr>
        <w:t>see also</w:t>
      </w:r>
      <w:r w:rsidRPr="00D40600">
        <w:t xml:space="preserve"> </w:t>
      </w:r>
      <w:r w:rsidRPr="00D40600">
        <w:rPr>
          <w:i/>
          <w:spacing w:val="-2"/>
        </w:rPr>
        <w:t>Verizon Wireless- SpectrumCo Order</w:t>
      </w:r>
      <w:r w:rsidRPr="00D40600">
        <w:rPr>
          <w:spacing w:val="-2"/>
        </w:rPr>
        <w:t>, FCC 12-95, at ¶ 63</w:t>
      </w:r>
      <w:r w:rsidRPr="00D40600">
        <w:rPr>
          <w:iCs/>
        </w:rPr>
        <w:t>.</w:t>
      </w:r>
    </w:p>
  </w:footnote>
  <w:footnote w:id="359">
    <w:p w:rsidR="00EC7CF3" w:rsidRDefault="00EC7CF3" w:rsidP="00610A7B">
      <w:pPr>
        <w:pStyle w:val="FootnoteText"/>
      </w:pPr>
      <w:r w:rsidRPr="00D40600">
        <w:rPr>
          <w:rStyle w:val="FootnoteReference"/>
          <w:sz w:val="20"/>
        </w:rPr>
        <w:footnoteRef/>
      </w:r>
      <w:r w:rsidRPr="00D40600">
        <w:t xml:space="preserve"> </w:t>
      </w:r>
      <w:r w:rsidRPr="00D40600">
        <w:rPr>
          <w:i/>
        </w:rPr>
        <w:t>AT&amp;T-Qualcomm Order</w:t>
      </w:r>
      <w:r w:rsidRPr="00D40600">
        <w:t>, 26 FCC Rcd at 17607 ¶ 42 (the Commission approved the assignment of 11 licenses in the D and E Block of the Lower 700 MHz band from Qualcomm to AT&amp;T);</w:t>
      </w:r>
      <w:r w:rsidRPr="00D40600">
        <w:rPr>
          <w:i/>
        </w:rPr>
        <w:t xml:space="preserve"> </w:t>
      </w:r>
      <w:r w:rsidRPr="00D40600">
        <w:rPr>
          <w:i/>
          <w:spacing w:val="-2"/>
        </w:rPr>
        <w:t>Verizon Wireless- SpectrumCo Order</w:t>
      </w:r>
      <w:r w:rsidRPr="00D40600">
        <w:rPr>
          <w:spacing w:val="-2"/>
        </w:rPr>
        <w:t xml:space="preserve">, FCC 12-95, at </w:t>
      </w:r>
      <w:r w:rsidRPr="00D40600">
        <w:rPr>
          <w:iCs/>
        </w:rPr>
        <w:t>¶ 63 (the Commission approved the assignment and/or exchange of a significant portion of AWS-1 spectrum to Verizon Wireless from Cox, Leap, Comcast, Time Warner Cable, and Bright House Networks)</w:t>
      </w:r>
      <w:r w:rsidRPr="00D40600">
        <w:t>.</w:t>
      </w:r>
    </w:p>
  </w:footnote>
  <w:footnote w:id="360">
    <w:p w:rsidR="00EC7CF3" w:rsidRDefault="00EC7CF3" w:rsidP="00610A7B">
      <w:pPr>
        <w:pStyle w:val="FootnoteText"/>
      </w:pPr>
      <w:r w:rsidRPr="00D40600">
        <w:rPr>
          <w:rStyle w:val="FootnoteReference"/>
          <w:sz w:val="20"/>
        </w:rPr>
        <w:footnoteRef/>
      </w:r>
      <w:r w:rsidRPr="00D40600">
        <w:t xml:space="preserve"> </w:t>
      </w:r>
      <w:r w:rsidRPr="00D40600">
        <w:rPr>
          <w:i/>
        </w:rPr>
        <w:t xml:space="preserve">See </w:t>
      </w:r>
      <w:r w:rsidRPr="00D40600">
        <w:rPr>
          <w:i/>
          <w:spacing w:val="-2"/>
        </w:rPr>
        <w:t>Verizon Wireless- SpectrumCo Order</w:t>
      </w:r>
      <w:r w:rsidRPr="00D40600">
        <w:rPr>
          <w:spacing w:val="-2"/>
        </w:rPr>
        <w:t xml:space="preserve">, FCC 12-95, at </w:t>
      </w:r>
      <w:r w:rsidRPr="00D40600">
        <w:rPr>
          <w:iCs/>
        </w:rPr>
        <w:t>¶ 63.</w:t>
      </w:r>
    </w:p>
  </w:footnote>
  <w:footnote w:id="361">
    <w:p w:rsidR="00EC7CF3" w:rsidRDefault="00EC7CF3" w:rsidP="00610A7B">
      <w:pPr>
        <w:pStyle w:val="FootnoteText"/>
      </w:pPr>
      <w:r w:rsidRPr="00D40600">
        <w:rPr>
          <w:rStyle w:val="FootnoteReference"/>
          <w:sz w:val="20"/>
        </w:rPr>
        <w:footnoteRef/>
      </w:r>
      <w:r w:rsidRPr="00D40600">
        <w:t xml:space="preserve"> </w:t>
      </w:r>
      <w:r w:rsidRPr="00D40600">
        <w:rPr>
          <w:i/>
        </w:rPr>
        <w:t>Mobile Spectrum Holdings NPRM</w:t>
      </w:r>
      <w:r w:rsidRPr="00D40600">
        <w:t>, FCC 12-119, at ¶ 1.</w:t>
      </w:r>
    </w:p>
  </w:footnote>
  <w:footnote w:id="362">
    <w:p w:rsidR="00EC7CF3" w:rsidRDefault="00EC7CF3" w:rsidP="00610A7B">
      <w:pPr>
        <w:pStyle w:val="FootnoteText"/>
      </w:pPr>
      <w:r w:rsidRPr="00D40600">
        <w:rPr>
          <w:rStyle w:val="FootnoteReference"/>
          <w:sz w:val="20"/>
        </w:rPr>
        <w:footnoteRef/>
      </w:r>
      <w:r w:rsidRPr="00D40600">
        <w:t xml:space="preserve"> </w:t>
      </w:r>
      <w:r w:rsidRPr="00D40600">
        <w:rPr>
          <w:i/>
        </w:rPr>
        <w:t>Mobile Spectrum Holdings NPRM</w:t>
      </w:r>
      <w:r w:rsidRPr="00D40600">
        <w:t>, FCC 12-119, at ¶ 34.</w:t>
      </w:r>
    </w:p>
  </w:footnote>
  <w:footnote w:id="363">
    <w:p w:rsidR="00EC7CF3" w:rsidRDefault="00EC7CF3" w:rsidP="002615DF">
      <w:pPr>
        <w:pStyle w:val="FootnoteText"/>
      </w:pPr>
      <w:r w:rsidRPr="00D40600">
        <w:rPr>
          <w:rStyle w:val="FootnoteReference"/>
          <w:sz w:val="20"/>
        </w:rPr>
        <w:footnoteRef/>
      </w:r>
      <w:r w:rsidRPr="00D40600">
        <w:t xml:space="preserve"> </w:t>
      </w:r>
      <w:r w:rsidRPr="00D40600">
        <w:rPr>
          <w:i/>
        </w:rPr>
        <w:t>Ninth Report</w:t>
      </w:r>
      <w:r w:rsidRPr="00D40600">
        <w:t>, 19 FCC Rcd at 20631 ¶ 84.</w:t>
      </w:r>
    </w:p>
  </w:footnote>
  <w:footnote w:id="364">
    <w:p w:rsidR="00EC7CF3" w:rsidRDefault="00EC7CF3" w:rsidP="002615DF">
      <w:pPr>
        <w:pStyle w:val="FootnoteText"/>
      </w:pPr>
      <w:r w:rsidRPr="00D40600">
        <w:rPr>
          <w:rStyle w:val="FootnoteReference"/>
          <w:sz w:val="20"/>
        </w:rPr>
        <w:footnoteRef/>
      </w:r>
      <w:r w:rsidRPr="00D40600">
        <w:t xml:space="preserve"> </w:t>
      </w:r>
      <w:r w:rsidRPr="00D40600">
        <w:rPr>
          <w:rFonts w:ascii="none" w:hAnsi="none"/>
          <w:color w:val="000000"/>
        </w:rPr>
        <w:t xml:space="preserve">Spectrum manager leases require the licensee to retain both </w:t>
      </w:r>
      <w:r w:rsidRPr="00D40600">
        <w:rPr>
          <w:rStyle w:val="Emphasis"/>
          <w:rFonts w:ascii="none" w:hAnsi="none"/>
          <w:color w:val="000000"/>
        </w:rPr>
        <w:t>de jure</w:t>
      </w:r>
      <w:r w:rsidRPr="00D40600">
        <w:rPr>
          <w:rFonts w:ascii="none" w:hAnsi="none"/>
          <w:color w:val="000000"/>
        </w:rPr>
        <w:t xml:space="preserve"> control and </w:t>
      </w:r>
      <w:r w:rsidRPr="00D40600">
        <w:rPr>
          <w:rStyle w:val="Emphasis"/>
          <w:rFonts w:ascii="none" w:hAnsi="none"/>
          <w:color w:val="000000"/>
        </w:rPr>
        <w:t>de facto</w:t>
      </w:r>
      <w:r w:rsidRPr="00D40600">
        <w:rPr>
          <w:rFonts w:ascii="none" w:hAnsi="none"/>
          <w:color w:val="000000"/>
        </w:rPr>
        <w:t xml:space="preserve"> control over the spectrum that it leases, however, it does not require prior Commission approval</w:t>
      </w:r>
      <w:r w:rsidRPr="00D40600">
        <w:t>.  These leases may be implemented once the parties submit notifications satisfying the applicable requirements.</w:t>
      </w:r>
      <w:r w:rsidRPr="00D40600">
        <w:rPr>
          <w:i/>
        </w:rPr>
        <w:t xml:space="preserve">  See</w:t>
      </w:r>
      <w:r w:rsidRPr="00D40600">
        <w:t xml:space="preserve"> Promoting Efficient Use of Spectrum Through Elimination of Barriers to the Development of Secondary Markets, WT Docket No. 00-230, </w:t>
      </w:r>
      <w:r w:rsidRPr="00D40600">
        <w:rPr>
          <w:i/>
        </w:rPr>
        <w:t>Report and Order and Further Notice of Proposed Rulemaking</w:t>
      </w:r>
      <w:r w:rsidRPr="00D40600">
        <w:t>, 18 FCC Rcd 20604, 20657 ¶ 119 (2003) (“</w:t>
      </w:r>
      <w:r w:rsidRPr="00D40600">
        <w:rPr>
          <w:i/>
        </w:rPr>
        <w:t>Secondary Markets Report and Order</w:t>
      </w:r>
      <w:r w:rsidRPr="00D40600">
        <w:t>”).</w:t>
      </w:r>
    </w:p>
  </w:footnote>
  <w:footnote w:id="365">
    <w:p w:rsidR="00EC7CF3" w:rsidRDefault="00EC7CF3" w:rsidP="002615DF">
      <w:pPr>
        <w:pStyle w:val="FootnoteText"/>
      </w:pPr>
      <w:r w:rsidRPr="00D40600">
        <w:rPr>
          <w:rStyle w:val="FootnoteReference"/>
          <w:sz w:val="20"/>
        </w:rPr>
        <w:footnoteRef/>
      </w:r>
      <w:r w:rsidRPr="00D40600">
        <w:t xml:space="preserve"> Under </w:t>
      </w:r>
      <w:r w:rsidRPr="00D40600">
        <w:rPr>
          <w:i/>
        </w:rPr>
        <w:t>de facto</w:t>
      </w:r>
      <w:r w:rsidRPr="00D40600">
        <w:t xml:space="preserve"> transfer leases, the licensee retains </w:t>
      </w:r>
      <w:r w:rsidRPr="00D40600">
        <w:rPr>
          <w:i/>
          <w:iCs/>
        </w:rPr>
        <w:t>de jure</w:t>
      </w:r>
      <w:r w:rsidRPr="00D40600">
        <w:t xml:space="preserve"> control of the license while transferring </w:t>
      </w:r>
      <w:r w:rsidRPr="00D40600">
        <w:rPr>
          <w:i/>
          <w:iCs/>
        </w:rPr>
        <w:t>de facto</w:t>
      </w:r>
      <w:r w:rsidRPr="00D40600">
        <w:t xml:space="preserve"> control and associated rights of the leased spectrum to the spectrum lessee.  </w:t>
      </w:r>
      <w:r w:rsidRPr="00D40600">
        <w:rPr>
          <w:rFonts w:ascii="none" w:hAnsi="none"/>
          <w:color w:val="000000"/>
        </w:rPr>
        <w:t xml:space="preserve">The parties must file an application for a </w:t>
      </w:r>
      <w:r w:rsidRPr="00D40600">
        <w:rPr>
          <w:rStyle w:val="Emphasis"/>
          <w:rFonts w:ascii="none" w:hAnsi="none"/>
          <w:color w:val="000000"/>
        </w:rPr>
        <w:t>de facto</w:t>
      </w:r>
      <w:r w:rsidRPr="00D40600">
        <w:rPr>
          <w:rFonts w:ascii="none" w:hAnsi="none"/>
          <w:color w:val="000000"/>
        </w:rPr>
        <w:t xml:space="preserve"> transfer lease and obtain prior Commission approval before commencing operations.</w:t>
      </w:r>
    </w:p>
  </w:footnote>
  <w:footnote w:id="366">
    <w:p w:rsidR="00EC7CF3" w:rsidRDefault="00EC7CF3" w:rsidP="002615DF">
      <w:pPr>
        <w:pStyle w:val="FootnoteText"/>
      </w:pPr>
      <w:r w:rsidRPr="00D40600">
        <w:rPr>
          <w:rStyle w:val="FootnoteReference"/>
          <w:sz w:val="20"/>
        </w:rPr>
        <w:footnoteRef/>
      </w:r>
      <w:r w:rsidRPr="00D40600">
        <w:t xml:space="preserve"> </w:t>
      </w:r>
      <w:r w:rsidRPr="00D40600">
        <w:rPr>
          <w:i/>
        </w:rPr>
        <w:t>See</w:t>
      </w:r>
      <w:r w:rsidRPr="00D40600">
        <w:t xml:space="preserve"> </w:t>
      </w:r>
      <w:r w:rsidRPr="00D40600">
        <w:rPr>
          <w:i/>
        </w:rPr>
        <w:t>Secondary Markets Use Report and Order</w:t>
      </w:r>
      <w:r w:rsidRPr="00D40600">
        <w:t xml:space="preserve">, 18 FCC Rcd at 20625-26 ¶ 44.  Spectrum lessees leasing CMRS spectrum must disclose to the Commission whether they hold direct or indirect interests (of 10 percent or more) in any entity that already has access to 10 megahertz or more of CMRS spectrum (through a license or lease) in the same geographic area.  We also require leasing parties to indicate whether the lease arrangement reduces the number of CMRS competitors in the market.  Such disclosure requirements help to ensure market transparency, and also help the Commission to distinguish those leases that may warrant further inquiry to assess whether there is a competitive impact from the likely vast majority of leases that will have no competitive impact and require no further inquiry.  </w:t>
      </w:r>
      <w:r w:rsidRPr="00D40600">
        <w:rPr>
          <w:i/>
        </w:rPr>
        <w:t>See Secondary Markets Report and Order</w:t>
      </w:r>
      <w:r w:rsidRPr="00D40600">
        <w:t>, 18 FCC Rcd at 20659 ¶ 123.</w:t>
      </w:r>
    </w:p>
  </w:footnote>
  <w:footnote w:id="367">
    <w:p w:rsidR="00EC7CF3" w:rsidRDefault="00EC7CF3" w:rsidP="002615DF">
      <w:pPr>
        <w:pStyle w:val="FootnoteText"/>
      </w:pPr>
      <w:r w:rsidRPr="00D40600">
        <w:rPr>
          <w:rStyle w:val="FootnoteReference"/>
          <w:sz w:val="20"/>
        </w:rPr>
        <w:footnoteRef/>
      </w:r>
      <w:r w:rsidRPr="00D40600">
        <w:t xml:space="preserve"> </w:t>
      </w:r>
      <w:r w:rsidRPr="00D40600">
        <w:rPr>
          <w:i/>
        </w:rPr>
        <w:t>See</w:t>
      </w:r>
      <w:r w:rsidRPr="00D40600">
        <w:t xml:space="preserve"> </w:t>
      </w:r>
      <w:r w:rsidRPr="00D40600">
        <w:rPr>
          <w:i/>
        </w:rPr>
        <w:t>Secondary Markets Report and Order</w:t>
      </w:r>
      <w:r w:rsidRPr="00D40600">
        <w:t>, 18 FCC Rcd at 20625-26 ¶ 44.</w:t>
      </w:r>
    </w:p>
  </w:footnote>
  <w:footnote w:id="368">
    <w:p w:rsidR="00EC7CF3" w:rsidRDefault="00EC7CF3" w:rsidP="002615DF">
      <w:pPr>
        <w:pStyle w:val="FootnoteText"/>
      </w:pPr>
      <w:r w:rsidRPr="00D40600">
        <w:rPr>
          <w:rStyle w:val="FootnoteReference"/>
          <w:sz w:val="20"/>
        </w:rPr>
        <w:footnoteRef/>
      </w:r>
      <w:r w:rsidRPr="00D40600">
        <w:t xml:space="preserve"> </w:t>
      </w:r>
      <w:r w:rsidRPr="00D40600">
        <w:rPr>
          <w:i/>
        </w:rPr>
        <w:t>See, e.g.,</w:t>
      </w:r>
      <w:r w:rsidRPr="00D40600">
        <w:t xml:space="preserve"> FCC Application or Notification for Spectrum Leasing Arrangement, FCC Form 608, Cellco Partnership, Licensee, Cricket Communications, Inc., Lessee, ULS File No. 0005070267 (filed Feb. 10, 2012); FCC Application or Notification for Spectrum Leasing Arrangement, FCC Form 608, Cricket License Company, LLC, Licensee, Cellco Partnership, Lessee, ULS File No. 0005085825 (filed Feb. 21, 2012).</w:t>
      </w:r>
    </w:p>
  </w:footnote>
  <w:footnote w:id="369">
    <w:p w:rsidR="00EC7CF3" w:rsidRDefault="00EC7CF3" w:rsidP="002615DF">
      <w:pPr>
        <w:pStyle w:val="FootnoteText"/>
      </w:pPr>
      <w:r w:rsidRPr="00D40600">
        <w:rPr>
          <w:rStyle w:val="FootnoteReference"/>
          <w:sz w:val="20"/>
        </w:rPr>
        <w:footnoteRef/>
      </w:r>
      <w:r w:rsidRPr="00D40600">
        <w:t xml:space="preserve"> </w:t>
      </w:r>
      <w:r w:rsidRPr="00D40600">
        <w:rPr>
          <w:i/>
        </w:rPr>
        <w:t xml:space="preserve">See, e.g., </w:t>
      </w:r>
      <w:r w:rsidRPr="00D40600">
        <w:t>FCC Application or Notification for Spectrum Leasing Arrangement, FCC Form 608, Wireless Co, L.P., Licensee, New Cingular Wireless PCS, LLC, Lessee, ULS File No. 0005182011 (filed Apr. 27, 2012); FCC Application or Notification for Spectrum Leasing Arrangement, FCC Form 608, Wireless Co, L.P., Licensee, New Cingular Wireless PCS, LLC, Lessee, ULS File No. 0005182023 (filed Apr. 27, 2012).</w:t>
      </w:r>
    </w:p>
  </w:footnote>
  <w:footnote w:id="370">
    <w:p w:rsidR="00EC7CF3" w:rsidRDefault="00EC7CF3" w:rsidP="002615DF">
      <w:pPr>
        <w:pStyle w:val="FootnoteText"/>
      </w:pPr>
      <w:r w:rsidRPr="00D40600">
        <w:rPr>
          <w:rStyle w:val="FootnoteReference"/>
          <w:sz w:val="20"/>
        </w:rPr>
        <w:footnoteRef/>
      </w:r>
      <w:r w:rsidRPr="00D40600">
        <w:t xml:space="preserve"> </w:t>
      </w:r>
      <w:r w:rsidRPr="00D7145F">
        <w:rPr>
          <w:i/>
        </w:rPr>
        <w:t>See</w:t>
      </w:r>
      <w:r>
        <w:t xml:space="preserve"> </w:t>
      </w:r>
      <w:r w:rsidRPr="00D7145F">
        <w:t xml:space="preserve">FCC Encyclopedia, </w:t>
      </w:r>
      <w:hyperlink r:id="rId75" w:history="1">
        <w:r w:rsidRPr="007C0F0A">
          <w:rPr>
            <w:rStyle w:val="Hyperlink"/>
          </w:rPr>
          <w:t>http://www.fcc.gov/encyclopedia/spectrum-leasing</w:t>
        </w:r>
      </w:hyperlink>
      <w:r>
        <w:t xml:space="preserve">. </w:t>
      </w:r>
      <w:r w:rsidRPr="00D7145F">
        <w:t>(visited Nov. 30, 2012).</w:t>
      </w:r>
    </w:p>
  </w:footnote>
  <w:footnote w:id="371">
    <w:p w:rsidR="00EC7CF3" w:rsidRDefault="00EC7CF3" w:rsidP="002615DF">
      <w:pPr>
        <w:pStyle w:val="FootnoteText"/>
      </w:pPr>
      <w:r w:rsidRPr="00D40600">
        <w:rPr>
          <w:rStyle w:val="FootnoteReference"/>
          <w:sz w:val="20"/>
        </w:rPr>
        <w:footnoteRef/>
      </w:r>
      <w:r w:rsidRPr="00D40600">
        <w:t xml:space="preserve"> </w:t>
      </w:r>
      <w:r w:rsidRPr="00D7145F">
        <w:rPr>
          <w:i/>
        </w:rPr>
        <w:t>See</w:t>
      </w:r>
      <w:r w:rsidRPr="00D7145F">
        <w:t xml:space="preserve"> ULS File No. 0004993617</w:t>
      </w:r>
      <w:r>
        <w:t>.</w:t>
      </w:r>
    </w:p>
  </w:footnote>
  <w:footnote w:id="372">
    <w:p w:rsidR="00EC7CF3" w:rsidRDefault="00EC7CF3" w:rsidP="00610A7B">
      <w:pPr>
        <w:pStyle w:val="FootnoteText"/>
      </w:pPr>
      <w:r w:rsidRPr="00D40600">
        <w:rPr>
          <w:rStyle w:val="FootnoteReference"/>
          <w:sz w:val="20"/>
        </w:rPr>
        <w:footnoteRef/>
      </w:r>
      <w:r w:rsidRPr="00D40600">
        <w:t xml:space="preserve"> </w:t>
      </w:r>
      <w:r>
        <w:rPr>
          <w:i/>
        </w:rPr>
        <w:t xml:space="preserve">See </w:t>
      </w:r>
      <w:r w:rsidRPr="00D40600">
        <w:rPr>
          <w:i/>
        </w:rPr>
        <w:t>AT&amp;T-Qualcomm Order</w:t>
      </w:r>
      <w:r w:rsidRPr="00D40600">
        <w:t>, 26 FCC Rcd at 17591 ¶ 5.</w:t>
      </w:r>
    </w:p>
  </w:footnote>
  <w:footnote w:id="373">
    <w:p w:rsidR="00EC7CF3" w:rsidRDefault="00EC7CF3" w:rsidP="00610A7B">
      <w:pPr>
        <w:autoSpaceDE w:val="0"/>
        <w:autoSpaceDN w:val="0"/>
        <w:adjustRightInd w:val="0"/>
        <w:spacing w:after="120"/>
      </w:pPr>
      <w:r w:rsidRPr="00D40600">
        <w:rPr>
          <w:rStyle w:val="FootnoteReference"/>
          <w:sz w:val="20"/>
        </w:rPr>
        <w:footnoteRef/>
      </w:r>
      <w:r w:rsidRPr="00D40600">
        <w:rPr>
          <w:sz w:val="20"/>
        </w:rPr>
        <w:t xml:space="preserve"> </w:t>
      </w:r>
      <w:r w:rsidRPr="00D40600">
        <w:rPr>
          <w:kern w:val="0"/>
          <w:sz w:val="20"/>
        </w:rPr>
        <w:t>Applications of T-Mobile License LLC, AT&amp;T Mobility Spectrum LLC and New Cingular Wireless PCS, LLC</w:t>
      </w:r>
      <w:r w:rsidRPr="00D40600">
        <w:rPr>
          <w:b/>
          <w:kern w:val="0"/>
          <w:sz w:val="20"/>
        </w:rPr>
        <w:t xml:space="preserve"> </w:t>
      </w:r>
      <w:r w:rsidRPr="00D40600">
        <w:rPr>
          <w:sz w:val="20"/>
        </w:rPr>
        <w:t xml:space="preserve">for Consent To Assign AWS-1 Licenses, WT Docket No. 12-21, </w:t>
      </w:r>
      <w:r w:rsidRPr="00D40600">
        <w:rPr>
          <w:i/>
          <w:sz w:val="20"/>
        </w:rPr>
        <w:t>Order,</w:t>
      </w:r>
      <w:r w:rsidRPr="00D40600">
        <w:rPr>
          <w:sz w:val="20"/>
        </w:rPr>
        <w:t xml:space="preserve"> 27 FCC Rcd 4124 (WTB 2012) (</w:t>
      </w:r>
      <w:r w:rsidRPr="00D40600">
        <w:rPr>
          <w:i/>
          <w:sz w:val="20"/>
        </w:rPr>
        <w:t>T-Mobile-AT&amp;T Order</w:t>
      </w:r>
      <w:r w:rsidRPr="00D40600">
        <w:rPr>
          <w:sz w:val="20"/>
        </w:rPr>
        <w:t>).</w:t>
      </w:r>
      <w:r w:rsidRPr="00D40600">
        <w:rPr>
          <w:i/>
          <w:sz w:val="20"/>
        </w:rPr>
        <w:t xml:space="preserve">  </w:t>
      </w:r>
    </w:p>
  </w:footnote>
  <w:footnote w:id="374">
    <w:p w:rsidR="00EC7CF3" w:rsidRDefault="00EC7CF3" w:rsidP="00610A7B">
      <w:pPr>
        <w:pStyle w:val="FootnoteText"/>
      </w:pPr>
      <w:r w:rsidRPr="00D40600">
        <w:rPr>
          <w:rStyle w:val="FootnoteReference"/>
          <w:sz w:val="20"/>
        </w:rPr>
        <w:footnoteRef/>
      </w:r>
      <w:r w:rsidRPr="00D40600">
        <w:t xml:space="preserve"> </w:t>
      </w:r>
      <w:r w:rsidRPr="00D40600">
        <w:rPr>
          <w:i/>
        </w:rPr>
        <w:t>See</w:t>
      </w:r>
      <w:r w:rsidRPr="00D40600">
        <w:t xml:space="preserve"> </w:t>
      </w:r>
      <w:r w:rsidRPr="00D40600">
        <w:rPr>
          <w:i/>
        </w:rPr>
        <w:t>T-Mobile-AT&amp;T Order</w:t>
      </w:r>
      <w:r w:rsidRPr="00D40600">
        <w:t xml:space="preserve">, 27 FCC Rcd at 4125 ¶ 3; Applications of AT&amp;T Inc. and Deutsche Telekom AG For Consent To Assign or Transfer Control of Licenses and Authorizations, WT Docket No. 11-65, </w:t>
      </w:r>
      <w:r w:rsidRPr="00D40600">
        <w:rPr>
          <w:i/>
        </w:rPr>
        <w:t xml:space="preserve">Order, </w:t>
      </w:r>
      <w:r w:rsidRPr="00D40600">
        <w:t>26 FCC Rcd 16184 (WTB 2011);</w:t>
      </w:r>
      <w:r w:rsidRPr="00D40600">
        <w:rPr>
          <w:i/>
        </w:rPr>
        <w:t xml:space="preserve"> AT&amp;T Ends Bid to Add Network Capacity through T-Mobile USA Purchase</w:t>
      </w:r>
      <w:r w:rsidRPr="00D40600">
        <w:t xml:space="preserve">, Press Release, AT&amp;T, Dec. 19, 2011, </w:t>
      </w:r>
      <w:r w:rsidRPr="00D40600">
        <w:rPr>
          <w:i/>
        </w:rPr>
        <w:t xml:space="preserve">available at </w:t>
      </w:r>
      <w:hyperlink r:id="rId76" w:history="1">
        <w:r w:rsidRPr="00D40600">
          <w:rPr>
            <w:rStyle w:val="Hyperlink"/>
          </w:rPr>
          <w:t>http://www.att.com/gen/press-room?pid=22146&amp;cdvn=news&amp;newsarticleid=33560</w:t>
        </w:r>
      </w:hyperlink>
      <w:r w:rsidRPr="00D40600">
        <w:t>. (visited Nov. 19, 2012)</w:t>
      </w:r>
      <w:r>
        <w:t>.</w:t>
      </w:r>
    </w:p>
  </w:footnote>
  <w:footnote w:id="375">
    <w:p w:rsidR="00EC7CF3" w:rsidRDefault="00EC7CF3" w:rsidP="00610A7B">
      <w:pPr>
        <w:autoSpaceDE w:val="0"/>
        <w:autoSpaceDN w:val="0"/>
        <w:adjustRightInd w:val="0"/>
        <w:spacing w:after="120"/>
      </w:pPr>
      <w:r w:rsidRPr="00D40600">
        <w:rPr>
          <w:rStyle w:val="FootnoteReference"/>
          <w:sz w:val="20"/>
        </w:rPr>
        <w:footnoteRef/>
      </w:r>
      <w:r w:rsidRPr="00D40600">
        <w:rPr>
          <w:sz w:val="20"/>
        </w:rPr>
        <w:t xml:space="preserve"> ULS File Nos. 0005005682, 0005005685, 0005005687 and 0005016840.</w:t>
      </w:r>
      <w:r w:rsidRPr="00D40600">
        <w:rPr>
          <w:i/>
          <w:sz w:val="20"/>
        </w:rPr>
        <w:t xml:space="preserve">  </w:t>
      </w:r>
    </w:p>
  </w:footnote>
  <w:footnote w:id="376">
    <w:p w:rsidR="00EC7CF3" w:rsidRDefault="00EC7CF3" w:rsidP="00610A7B">
      <w:pPr>
        <w:pStyle w:val="FootnoteText"/>
      </w:pPr>
      <w:r w:rsidRPr="00D40600">
        <w:rPr>
          <w:rStyle w:val="FootnoteReference"/>
          <w:sz w:val="20"/>
        </w:rPr>
        <w:footnoteRef/>
      </w:r>
      <w:r w:rsidRPr="00D40600">
        <w:t xml:space="preserve"> AT&amp;T Seeks FCC Consent to the Assignment and Transfer of Control of WCS and AWS-1 Licenses, WT Docket No. 12-240, </w:t>
      </w:r>
      <w:r w:rsidRPr="00D40600">
        <w:rPr>
          <w:i/>
        </w:rPr>
        <w:t>Public Notice</w:t>
      </w:r>
      <w:r w:rsidRPr="00D40600">
        <w:t>, DA 12-1341 (WTB 2012).</w:t>
      </w:r>
      <w:r w:rsidRPr="00D40600">
        <w:rPr>
          <w:b/>
        </w:rPr>
        <w:t xml:space="preserve">  </w:t>
      </w:r>
      <w:r w:rsidRPr="00D40600">
        <w:t xml:space="preserve">As part of its application, AT&amp;T and Nextwave also have applied for the transfer of control of certain NextWave subsidiaries to AT&amp;T.  AT&amp;T has also proposed to acquire WCS spectrum from San Diego Gas &amp; Electric Company in CMA 18 (San Diego, California), review of which has been consolidated with the other pending WCS applications.  </w:t>
      </w:r>
      <w:r>
        <w:t xml:space="preserve">Public Notice Consolidating Review of Additional Application, WT Docket No. 12-240, </w:t>
      </w:r>
      <w:r w:rsidRPr="00296FBE">
        <w:rPr>
          <w:i/>
        </w:rPr>
        <w:t>Public Notice</w:t>
      </w:r>
      <w:r>
        <w:t>, DA 12-1513 (WTB 2012).</w:t>
      </w:r>
    </w:p>
  </w:footnote>
  <w:footnote w:id="377">
    <w:p w:rsidR="00EC7CF3" w:rsidRDefault="00EC7CF3">
      <w:pPr>
        <w:pStyle w:val="FootnoteText"/>
      </w:pPr>
      <w:r>
        <w:rPr>
          <w:rStyle w:val="FootnoteReference"/>
        </w:rPr>
        <w:footnoteRef/>
      </w:r>
      <w:r>
        <w:t xml:space="preserve"> </w:t>
      </w:r>
      <w:r w:rsidRPr="004A00B3">
        <w:rPr>
          <w:i/>
        </w:rPr>
        <w:t>See</w:t>
      </w:r>
      <w:r>
        <w:t xml:space="preserve"> Applications of AT&amp;T Mobility Spectrum LLC, New Cingular Wireless PCS, LLC, Comcast Corporation, Horizon Wi-Com, LLC, NextWave Wireless, Inc., and San Diego Gas &amp; Electric Company, WT Docket No. 12-240, </w:t>
      </w:r>
      <w:r w:rsidRPr="004A00B3">
        <w:rPr>
          <w:i/>
        </w:rPr>
        <w:t>Memorandum Opinion and Order</w:t>
      </w:r>
      <w:r>
        <w:t xml:space="preserve"> (rel. Dec. 18, 2012).</w:t>
      </w:r>
    </w:p>
  </w:footnote>
  <w:footnote w:id="378">
    <w:p w:rsidR="00EC7CF3" w:rsidRDefault="00EC7CF3" w:rsidP="00610A7B">
      <w:pPr>
        <w:widowControl/>
        <w:autoSpaceDE w:val="0"/>
        <w:autoSpaceDN w:val="0"/>
        <w:adjustRightInd w:val="0"/>
        <w:spacing w:after="120"/>
      </w:pPr>
      <w:r w:rsidRPr="00D40600">
        <w:rPr>
          <w:rStyle w:val="FootnoteReference"/>
          <w:sz w:val="20"/>
        </w:rPr>
        <w:footnoteRef/>
      </w:r>
      <w:r w:rsidRPr="00D40600">
        <w:rPr>
          <w:sz w:val="20"/>
        </w:rPr>
        <w:t xml:space="preserve"> </w:t>
      </w:r>
      <w:r w:rsidRPr="00D40600">
        <w:rPr>
          <w:kern w:val="0"/>
          <w:sz w:val="20"/>
        </w:rPr>
        <w:t xml:space="preserve">Verizon Wireless and Leap Wireless Seek FCC Consent to the Exchange of Lower 700 MHz Band A Block, AWS-1, and </w:t>
      </w:r>
      <w:r w:rsidRPr="00D40600">
        <w:rPr>
          <w:sz w:val="20"/>
        </w:rPr>
        <w:t xml:space="preserve">Personal Communications Service Licenses,” ULS File Nos. 0004942973, 0004942992, 0004952444, 0004949596, 0004949598, Revised Pleading Cycle Established, </w:t>
      </w:r>
      <w:r w:rsidRPr="00D40600">
        <w:rPr>
          <w:i/>
          <w:sz w:val="20"/>
        </w:rPr>
        <w:t>Public Notice</w:t>
      </w:r>
      <w:r w:rsidRPr="00D40600">
        <w:rPr>
          <w:sz w:val="20"/>
        </w:rPr>
        <w:t>, 27 FCC Rcd 367 (WTB 2012).  Verizon Wireless acquired two of the partitioned AWS-1 licenses from Savary Island and the remaining licenses from Cricket License Company.</w:t>
      </w:r>
    </w:p>
  </w:footnote>
  <w:footnote w:id="379">
    <w:p w:rsidR="00EC7CF3" w:rsidRDefault="00EC7CF3" w:rsidP="00610A7B">
      <w:pPr>
        <w:pStyle w:val="FootnoteText"/>
      </w:pPr>
      <w:r w:rsidRPr="00D40600">
        <w:rPr>
          <w:rStyle w:val="FootnoteReference"/>
          <w:sz w:val="20"/>
        </w:rPr>
        <w:footnoteRef/>
      </w:r>
      <w:r w:rsidRPr="00D40600">
        <w:t xml:space="preserve"> CellCo Partnership d/b/a Verizon Wireless, SpectrumCo, LLC, and Cox TMI Wireless, LLC Seek FCC Consent to the Assignment of AWS-1 Licenses, ULS File Nos. 0004993617 and 0004996680, Pleading Cycle Established, </w:t>
      </w:r>
      <w:r w:rsidRPr="00D40600">
        <w:rPr>
          <w:i/>
        </w:rPr>
        <w:t>Public Notice</w:t>
      </w:r>
      <w:r w:rsidRPr="00D40600">
        <w:t>, 27 FCC Rcd 360 (WTB 2012).</w:t>
      </w:r>
    </w:p>
  </w:footnote>
  <w:footnote w:id="380">
    <w:p w:rsidR="00EC7CF3" w:rsidRDefault="00EC7CF3" w:rsidP="00610A7B">
      <w:pPr>
        <w:pStyle w:val="FootnoteText"/>
      </w:pPr>
      <w:r w:rsidRPr="00D40600">
        <w:rPr>
          <w:rStyle w:val="FootnoteReference"/>
          <w:sz w:val="20"/>
        </w:rPr>
        <w:footnoteRef/>
      </w:r>
      <w:r w:rsidRPr="00D40600">
        <w:t xml:space="preserve"> CellCo Partnership d/b/a Verizon Wireless, and T-Mobile License LLC Seek FCC Consent to the Assignment of Advanced Wireless Service Licenses, WT Docket No. 12-175, Public Notice, 27 FCC Rcd 7169 (WTB 2012).</w:t>
      </w:r>
    </w:p>
  </w:footnote>
  <w:footnote w:id="381">
    <w:p w:rsidR="00EC7CF3" w:rsidRDefault="00EC7CF3" w:rsidP="00610A7B">
      <w:pPr>
        <w:pStyle w:val="FootnoteText"/>
      </w:pPr>
      <w:r w:rsidRPr="00D40600">
        <w:rPr>
          <w:rStyle w:val="FootnoteReference"/>
          <w:sz w:val="20"/>
        </w:rPr>
        <w:footnoteRef/>
      </w:r>
      <w:r w:rsidRPr="00D40600">
        <w:t xml:space="preserve"> Wireless Telecommunications Bureau Consolidates Review of Verizon Wireless–SpectrumCo–Cox, Verizon Wireless–Leap Wireless, and T-Mobile–Verizon Wireless Transactions, WT Docket Nos. 12-4 and 12-175, ULS File Nos. 0004942973, etc., </w:t>
      </w:r>
      <w:r w:rsidRPr="00D40600">
        <w:rPr>
          <w:i/>
        </w:rPr>
        <w:t>Public Notice</w:t>
      </w:r>
      <w:r w:rsidRPr="00D40600">
        <w:t>, DA 12-1266 (rel. Aug. 3, 2012).</w:t>
      </w:r>
    </w:p>
  </w:footnote>
  <w:footnote w:id="382">
    <w:p w:rsidR="00EC7CF3" w:rsidRDefault="00EC7CF3" w:rsidP="00610A7B">
      <w:pPr>
        <w:pStyle w:val="FootnoteText"/>
      </w:pPr>
      <w:r w:rsidRPr="00D40600">
        <w:rPr>
          <w:rStyle w:val="FootnoteReference"/>
          <w:sz w:val="20"/>
        </w:rPr>
        <w:footnoteRef/>
      </w:r>
      <w:r w:rsidRPr="00D40600">
        <w:t xml:space="preserve"> </w:t>
      </w:r>
      <w:r w:rsidRPr="00D40600">
        <w:rPr>
          <w:i/>
        </w:rPr>
        <w:t xml:space="preserve">See </w:t>
      </w:r>
      <w:r w:rsidRPr="00D40600">
        <w:rPr>
          <w:i/>
          <w:spacing w:val="-2"/>
        </w:rPr>
        <w:t>Verizon Wireless-SpectrumCo Order</w:t>
      </w:r>
      <w:r w:rsidRPr="00D40600">
        <w:rPr>
          <w:spacing w:val="-2"/>
        </w:rPr>
        <w:t>, FCC 12-95, at ¶ 6.</w:t>
      </w:r>
    </w:p>
  </w:footnote>
  <w:footnote w:id="383">
    <w:p w:rsidR="00EC7CF3" w:rsidRDefault="00EC7CF3" w:rsidP="00610A7B">
      <w:pPr>
        <w:pStyle w:val="FootnoteText"/>
      </w:pPr>
      <w:r w:rsidRPr="00D40600">
        <w:rPr>
          <w:rStyle w:val="FootnoteReference"/>
          <w:sz w:val="20"/>
        </w:rPr>
        <w:footnoteRef/>
      </w:r>
      <w:r w:rsidRPr="00D40600">
        <w:t xml:space="preserve"> </w:t>
      </w:r>
      <w:r w:rsidRPr="00D40600">
        <w:rPr>
          <w:i/>
        </w:rPr>
        <w:t>See</w:t>
      </w:r>
      <w:r w:rsidRPr="00D40600">
        <w:t xml:space="preserve"> ULS File Nos. 0004681773 and 0004681771, consummated Feb. 22, 2012;</w:t>
      </w:r>
      <w:r w:rsidRPr="00D40600">
        <w:rPr>
          <w:i/>
        </w:rPr>
        <w:t xml:space="preserve"> </w:t>
      </w:r>
      <w:r w:rsidRPr="00D40600">
        <w:t>ULS File Nos. 0004544863 and 0004544869; ULS File No. 0004621016, consummated Mar. 7, 2012; ULS File No. 0004643747, consummated Mar. 9, 2012; ULS File No. 0004635440, consummated Mar. 13, 2012; ULS File No. 0004777216, consummated Mar. 29, 2012; ULS File No. 0004448347, consummated Mar. 30, 2012.</w:t>
      </w:r>
    </w:p>
  </w:footnote>
  <w:footnote w:id="384">
    <w:p w:rsidR="00EC7CF3" w:rsidRDefault="00EC7CF3" w:rsidP="00610A7B">
      <w:pPr>
        <w:pStyle w:val="FootnoteText"/>
      </w:pPr>
      <w:r w:rsidRPr="00D40600">
        <w:rPr>
          <w:rStyle w:val="FootnoteReference"/>
          <w:sz w:val="20"/>
        </w:rPr>
        <w:footnoteRef/>
      </w:r>
      <w:r w:rsidRPr="00D40600">
        <w:t xml:space="preserve"> </w:t>
      </w:r>
      <w:r w:rsidRPr="00D40600">
        <w:rPr>
          <w:i/>
        </w:rPr>
        <w:t>See</w:t>
      </w:r>
      <w:r w:rsidRPr="00D40600">
        <w:t xml:space="preserve"> ULS File No. 0004699707, consummated Mar. 21, 2012.  </w:t>
      </w:r>
      <w:r w:rsidRPr="00D40600">
        <w:rPr>
          <w:i/>
        </w:rPr>
        <w:t xml:space="preserve">See also, </w:t>
      </w:r>
      <w:r w:rsidRPr="00D40600">
        <w:t xml:space="preserve">“AT&amp;T Mobility Spectrum LLC and Maxima International, LLC Seek FCC Consent to the Assignment of One Lower 700 MHZ Band B Block License,” </w:t>
      </w:r>
      <w:r w:rsidRPr="00D40600">
        <w:rPr>
          <w:i/>
        </w:rPr>
        <w:t>Public Notice</w:t>
      </w:r>
      <w:r w:rsidRPr="00D40600">
        <w:t>, 26 FCC Rcd 7847 (WTB 2011).</w:t>
      </w:r>
    </w:p>
  </w:footnote>
  <w:footnote w:id="385">
    <w:p w:rsidR="00EC7CF3" w:rsidRDefault="00EC7CF3" w:rsidP="00610A7B">
      <w:pPr>
        <w:pStyle w:val="FootnoteText"/>
      </w:pPr>
      <w:r w:rsidRPr="00D40600">
        <w:rPr>
          <w:rStyle w:val="FootnoteReference"/>
          <w:sz w:val="20"/>
        </w:rPr>
        <w:footnoteRef/>
      </w:r>
      <w:r w:rsidRPr="00D40600">
        <w:t xml:space="preserve"> </w:t>
      </w:r>
      <w:r w:rsidRPr="00D40600">
        <w:rPr>
          <w:i/>
        </w:rPr>
        <w:t>See</w:t>
      </w:r>
      <w:r w:rsidRPr="00D40600">
        <w:t xml:space="preserve"> ULS File No. 0004774053, consummated Feb. 8, 2012.  </w:t>
      </w:r>
      <w:r w:rsidRPr="00D40600">
        <w:rPr>
          <w:i/>
        </w:rPr>
        <w:t>See also</w:t>
      </w:r>
      <w:r w:rsidRPr="00D40600">
        <w:t xml:space="preserve">, “Wireless Telecommunications Bureau, Assignment of License Authorization Applications, Transfer of Control of Licensee Applications, and De Facto Transfer Lease Applications, and Designated Entity Reportable Eligibility Event Applications Accepted for Filing,” </w:t>
      </w:r>
      <w:r w:rsidRPr="00D40600">
        <w:rPr>
          <w:i/>
        </w:rPr>
        <w:t>Public Notice</w:t>
      </w:r>
      <w:r w:rsidRPr="00D40600">
        <w:t xml:space="preserve"> (</w:t>
      </w:r>
      <w:r w:rsidRPr="00D40600">
        <w:rPr>
          <w:i/>
        </w:rPr>
        <w:t>WTB Accepted for Filing PN</w:t>
      </w:r>
      <w:r w:rsidRPr="00D40600">
        <w:t>), rel. Aug. 10, 2011.</w:t>
      </w:r>
    </w:p>
  </w:footnote>
  <w:footnote w:id="386">
    <w:p w:rsidR="00EC7CF3" w:rsidRDefault="00EC7CF3" w:rsidP="00610A7B">
      <w:pPr>
        <w:pStyle w:val="FootnoteText"/>
      </w:pPr>
      <w:r w:rsidRPr="00D40600">
        <w:rPr>
          <w:rStyle w:val="FootnoteReference"/>
          <w:sz w:val="20"/>
        </w:rPr>
        <w:footnoteRef/>
      </w:r>
      <w:r w:rsidRPr="00D40600">
        <w:t xml:space="preserve"> AT&amp;T Mobility Spectrum LLC and Cox TMI Wireless, LLC Seek FCC Consent to the Assignment of Eight Lower 700 MHz Band B Block Licenses, ULS File No. 0005155794, Pleading Cycle Established, </w:t>
      </w:r>
      <w:r w:rsidRPr="00D40600">
        <w:rPr>
          <w:i/>
        </w:rPr>
        <w:t>Public Notice</w:t>
      </w:r>
      <w:r w:rsidRPr="00D40600">
        <w:t xml:space="preserve">, 27 FCC Rcd 5213 (WTB 2012).  </w:t>
      </w:r>
      <w:r w:rsidRPr="00D40600">
        <w:rPr>
          <w:i/>
        </w:rPr>
        <w:t>See also</w:t>
      </w:r>
      <w:r w:rsidRPr="00D40600">
        <w:t xml:space="preserve"> for additional 700 MHz applications filed by AT&amp;T, ULS File No. 0005150801, consummated July, 24, 2012; ULS File No. 0005231760; ULS File No. 0005262760; ULS File No. 0005286787; ULS File No. 0005295055; ULS File No. 0005296026; ULS File No. 0005304258; ULS File No. 0005293645; ULS File No. 0005323094.</w:t>
      </w:r>
    </w:p>
  </w:footnote>
  <w:footnote w:id="387">
    <w:p w:rsidR="00EC7CF3" w:rsidRDefault="00EC7CF3" w:rsidP="00610A7B">
      <w:pPr>
        <w:pStyle w:val="FootnoteText"/>
      </w:pPr>
      <w:r w:rsidRPr="00D40600">
        <w:rPr>
          <w:rStyle w:val="FootnoteReference"/>
          <w:sz w:val="20"/>
        </w:rPr>
        <w:footnoteRef/>
      </w:r>
      <w:r w:rsidRPr="00D40600">
        <w:t xml:space="preserve"> </w:t>
      </w:r>
      <w:r w:rsidRPr="00D40600">
        <w:rPr>
          <w:i/>
        </w:rPr>
        <w:t xml:space="preserve">See </w:t>
      </w:r>
      <w:r w:rsidRPr="00D40600">
        <w:t xml:space="preserve">ULS File No. 0004608390, consummated June 20, 2011.  </w:t>
      </w:r>
      <w:r w:rsidRPr="00D40600">
        <w:rPr>
          <w:i/>
        </w:rPr>
        <w:t>WTB Accepted for Filing PN</w:t>
      </w:r>
      <w:r w:rsidRPr="00D40600">
        <w:t>, rel. Mar. 16, 2011.</w:t>
      </w:r>
    </w:p>
  </w:footnote>
  <w:footnote w:id="388">
    <w:p w:rsidR="00EC7CF3" w:rsidRDefault="00EC7CF3" w:rsidP="00610A7B">
      <w:pPr>
        <w:pStyle w:val="FootnoteText"/>
      </w:pPr>
      <w:r w:rsidRPr="00D40600">
        <w:rPr>
          <w:rStyle w:val="FootnoteReference"/>
          <w:sz w:val="20"/>
        </w:rPr>
        <w:footnoteRef/>
      </w:r>
      <w:r w:rsidRPr="00D40600">
        <w:t xml:space="preserve"> </w:t>
      </w:r>
      <w:r w:rsidRPr="00D40600">
        <w:rPr>
          <w:i/>
        </w:rPr>
        <w:t>See</w:t>
      </w:r>
      <w:r w:rsidRPr="00D40600">
        <w:t xml:space="preserve"> ULS File No. 0005046789, consummated July 11, 2011.  </w:t>
      </w:r>
      <w:r w:rsidRPr="00D40600">
        <w:rPr>
          <w:i/>
        </w:rPr>
        <w:t>WTB Accepted for Filing PN</w:t>
      </w:r>
      <w:r w:rsidRPr="00D40600">
        <w:t>, rel. Mar. 7, 2012.</w:t>
      </w:r>
    </w:p>
  </w:footnote>
  <w:footnote w:id="389">
    <w:p w:rsidR="00EC7CF3" w:rsidRDefault="00EC7CF3" w:rsidP="00610A7B">
      <w:pPr>
        <w:pStyle w:val="FootnoteText"/>
      </w:pPr>
      <w:r w:rsidRPr="00D40600">
        <w:rPr>
          <w:rStyle w:val="FootnoteReference"/>
          <w:sz w:val="20"/>
        </w:rPr>
        <w:footnoteRef/>
      </w:r>
      <w:r w:rsidRPr="00D40600">
        <w:t xml:space="preserve"> </w:t>
      </w:r>
      <w:r w:rsidRPr="00D40600">
        <w:rPr>
          <w:i/>
        </w:rPr>
        <w:t>See</w:t>
      </w:r>
      <w:r w:rsidRPr="00D40600">
        <w:t xml:space="preserve"> </w:t>
      </w:r>
      <w:r w:rsidRPr="00D40600">
        <w:rPr>
          <w:i/>
        </w:rPr>
        <w:t>WTB Accepted for Filing PN</w:t>
      </w:r>
      <w:r w:rsidRPr="00D40600">
        <w:t xml:space="preserve">, rel. Oct. 26, 2011 (AT&amp;T/Verizon Wireless Swap Applications); </w:t>
      </w:r>
      <w:r w:rsidRPr="00D40600">
        <w:rPr>
          <w:i/>
        </w:rPr>
        <w:t>WTB Accepted for Filing PN</w:t>
      </w:r>
      <w:r w:rsidRPr="00D40600">
        <w:t>, rel. Nov. 23, 2011(Verizon Wireless/Sprint).</w:t>
      </w:r>
    </w:p>
  </w:footnote>
  <w:footnote w:id="390">
    <w:p w:rsidR="00EC7CF3" w:rsidRDefault="00EC7CF3" w:rsidP="00610A7B">
      <w:pPr>
        <w:pStyle w:val="FootnoteText"/>
      </w:pPr>
      <w:r w:rsidRPr="00D40600">
        <w:rPr>
          <w:rStyle w:val="FootnoteReference"/>
          <w:sz w:val="20"/>
        </w:rPr>
        <w:footnoteRef/>
      </w:r>
      <w:r w:rsidRPr="00D40600">
        <w:t xml:space="preserve"> </w:t>
      </w:r>
      <w:r w:rsidRPr="00D40600">
        <w:rPr>
          <w:i/>
        </w:rPr>
        <w:t>See</w:t>
      </w:r>
      <w:r w:rsidRPr="00D40600">
        <w:t xml:space="preserve"> ULS File No. 000 5271445.  </w:t>
      </w:r>
      <w:r w:rsidRPr="00D40600">
        <w:rPr>
          <w:i/>
        </w:rPr>
        <w:t>WTB Accepted for Filing PN</w:t>
      </w:r>
      <w:r w:rsidRPr="00D40600">
        <w:t xml:space="preserve">, rel. Mar. Jul. 18, 2012. </w:t>
      </w:r>
    </w:p>
  </w:footnote>
  <w:footnote w:id="391">
    <w:p w:rsidR="00EC7CF3" w:rsidRDefault="00EC7CF3" w:rsidP="00610A7B">
      <w:pPr>
        <w:pStyle w:val="FootnoteText"/>
      </w:pPr>
      <w:r w:rsidRPr="00D40600">
        <w:rPr>
          <w:rStyle w:val="FootnoteReference"/>
          <w:sz w:val="20"/>
        </w:rPr>
        <w:footnoteRef/>
      </w:r>
      <w:r w:rsidRPr="00D40600">
        <w:t xml:space="preserve"> </w:t>
      </w:r>
      <w:r w:rsidRPr="00D40600">
        <w:rPr>
          <w:i/>
        </w:rPr>
        <w:t>See</w:t>
      </w:r>
      <w:r w:rsidRPr="00D40600">
        <w:t xml:space="preserve"> United States Cellular Corporation and Cox TMI Wireless, LLC seek FCC consent to the Assignment of Four Lower 700 MHz Band A Block Licenses, ULS File No 000 5167598, Pleading Cycle Established, Public Notice, 27 FCC Rcd 526 (WTB 2012).</w:t>
      </w:r>
    </w:p>
  </w:footnote>
  <w:footnote w:id="392">
    <w:p w:rsidR="00EC7CF3" w:rsidRDefault="00EC7CF3" w:rsidP="00610A7B">
      <w:pPr>
        <w:pStyle w:val="FootnoteText"/>
      </w:pPr>
      <w:r w:rsidRPr="00D40600">
        <w:rPr>
          <w:rStyle w:val="FootnoteReference"/>
          <w:sz w:val="20"/>
        </w:rPr>
        <w:footnoteRef/>
      </w:r>
      <w:r w:rsidRPr="00D40600">
        <w:t xml:space="preserve"> </w:t>
      </w:r>
      <w:r w:rsidRPr="00D40600">
        <w:rPr>
          <w:i/>
        </w:rPr>
        <w:t>See infra</w:t>
      </w:r>
      <w:r w:rsidRPr="00D40600">
        <w:t xml:space="preserve"> Tables 17-18 and Charts 4-5  The data in these tables and charts generally reflect major transactions consummated through August 2012.  As in past </w:t>
      </w:r>
      <w:r w:rsidRPr="00D40600">
        <w:rPr>
          <w:i/>
        </w:rPr>
        <w:t xml:space="preserve">Reports, </w:t>
      </w:r>
      <w:r w:rsidRPr="00D40600">
        <w:t xml:space="preserve">the data in these tables include EBS leases, and do not include MSS or WCS spectrum holdings.  </w:t>
      </w:r>
      <w:r w:rsidRPr="00D40600">
        <w:rPr>
          <w:i/>
        </w:rPr>
        <w:t>See</w:t>
      </w:r>
      <w:r w:rsidRPr="00D40600">
        <w:t xml:space="preserve">, </w:t>
      </w:r>
      <w:r w:rsidRPr="00D40600">
        <w:rPr>
          <w:i/>
        </w:rPr>
        <w:t>e.g.</w:t>
      </w:r>
      <w:r w:rsidRPr="00D40600">
        <w:t xml:space="preserve">, </w:t>
      </w:r>
      <w:r w:rsidRPr="00D40600">
        <w:rPr>
          <w:i/>
        </w:rPr>
        <w:t>Fifteenth Report</w:t>
      </w:r>
      <w:r w:rsidRPr="00D40600">
        <w:t xml:space="preserve">, 26 FCC Rcd at 9822 ¶ 269 – 9825 ¶ 276 &amp; Table 26.  As discussed above, the Commission is considering which spectrum bands should be considered in its mobile spectrum holdings policy.  </w:t>
      </w:r>
      <w:r w:rsidRPr="00D40600">
        <w:rPr>
          <w:i/>
        </w:rPr>
        <w:t xml:space="preserve">See </w:t>
      </w:r>
      <w:r w:rsidRPr="00D40600">
        <w:rPr>
          <w:i/>
          <w:iCs/>
        </w:rPr>
        <w:t>Mobile Spectrum Holdings NPRM</w:t>
      </w:r>
      <w:r w:rsidRPr="00D40600">
        <w:rPr>
          <w:iCs/>
        </w:rPr>
        <w:t xml:space="preserve">, FCC 12-119, at ¶ 26. </w:t>
      </w:r>
    </w:p>
  </w:footnote>
  <w:footnote w:id="393">
    <w:p w:rsidR="00EC7CF3" w:rsidRDefault="00EC7CF3" w:rsidP="006A40AD">
      <w:pPr>
        <w:pStyle w:val="FootnoteText"/>
      </w:pPr>
      <w:r w:rsidRPr="00D40600">
        <w:rPr>
          <w:rStyle w:val="FootnoteReference"/>
          <w:sz w:val="20"/>
        </w:rPr>
        <w:footnoteRef/>
      </w:r>
      <w:r w:rsidRPr="00D40600">
        <w:t xml:space="preserve"> However, SunCom Wireless License Company, LLC, a wholly owned subsidiary of T-Mobile, holds one Cellular license for CMA 629-South Carolina 5-Georgetown (call sign KNKN557).</w:t>
      </w:r>
    </w:p>
  </w:footnote>
  <w:footnote w:id="394">
    <w:p w:rsidR="00EC7CF3" w:rsidRPr="00D40600" w:rsidRDefault="00EC7CF3" w:rsidP="006A40AD">
      <w:pPr>
        <w:rPr>
          <w:sz w:val="20"/>
        </w:rPr>
      </w:pPr>
      <w:r w:rsidRPr="00D40600">
        <w:rPr>
          <w:rStyle w:val="FootnoteReference"/>
          <w:sz w:val="20"/>
        </w:rPr>
        <w:footnoteRef/>
      </w:r>
      <w:r w:rsidRPr="00D40600">
        <w:rPr>
          <w:sz w:val="20"/>
        </w:rPr>
        <w:t xml:space="preserve"> </w:t>
      </w:r>
      <w:r w:rsidRPr="00D40600">
        <w:rPr>
          <w:i/>
          <w:sz w:val="20"/>
        </w:rPr>
        <w:t>See</w:t>
      </w:r>
      <w:r w:rsidRPr="00D40600">
        <w:rPr>
          <w:sz w:val="20"/>
        </w:rPr>
        <w:t xml:space="preserve"> Section III.B.1, Facilities-Based Providers, </w:t>
      </w:r>
      <w:r w:rsidRPr="00D40600">
        <w:rPr>
          <w:i/>
          <w:sz w:val="20"/>
        </w:rPr>
        <w:t>supra.</w:t>
      </w:r>
      <w:r w:rsidRPr="00D40600">
        <w:rPr>
          <w:sz w:val="20"/>
        </w:rPr>
        <w:t xml:space="preserve">  Sprint holds a 48.6 percent interest in Clearwire.  </w:t>
      </w:r>
      <w:r w:rsidRPr="00D40600">
        <w:rPr>
          <w:i/>
          <w:sz w:val="20"/>
        </w:rPr>
        <w:t>See</w:t>
      </w:r>
      <w:r w:rsidRPr="00D40600">
        <w:rPr>
          <w:sz w:val="20"/>
        </w:rPr>
        <w:t xml:space="preserve"> Clearwire Corporation SEC Form 10-K Filed February 16, 2012 </w:t>
      </w:r>
      <w:r w:rsidRPr="00D40600">
        <w:rPr>
          <w:i/>
          <w:sz w:val="20"/>
        </w:rPr>
        <w:t>at</w:t>
      </w:r>
      <w:r w:rsidRPr="00D40600">
        <w:rPr>
          <w:sz w:val="20"/>
        </w:rPr>
        <w:t xml:space="preserve"> 4.  On </w:t>
      </w:r>
      <w:r>
        <w:rPr>
          <w:sz w:val="20"/>
        </w:rPr>
        <w:t xml:space="preserve">Nov. 15, 2012, Sprint sought approval to increase its stake in Clearwire from approximately 48% to over 50% through its acquisition of Eagle River’s stake in Clearwire.  This </w:t>
      </w:r>
      <w:r w:rsidRPr="00D059B6">
        <w:rPr>
          <w:i/>
          <w:sz w:val="20"/>
        </w:rPr>
        <w:t>pro forma</w:t>
      </w:r>
      <w:r>
        <w:rPr>
          <w:sz w:val="20"/>
        </w:rPr>
        <w:t xml:space="preserve"> application was consented to on Dec. 6 and Dec. 7, 2012.  In addition, on Nov. 11</w:t>
      </w:r>
      <w:r w:rsidRPr="00022C38">
        <w:rPr>
          <w:sz w:val="20"/>
          <w:vertAlign w:val="superscript"/>
        </w:rPr>
        <w:t>th</w:t>
      </w:r>
      <w:r>
        <w:rPr>
          <w:sz w:val="20"/>
        </w:rPr>
        <w:t xml:space="preserve">, 2012, </w:t>
      </w:r>
      <w:r w:rsidRPr="00022C38">
        <w:rPr>
          <w:sz w:val="20"/>
        </w:rPr>
        <w:t>SoftB</w:t>
      </w:r>
      <w:r>
        <w:rPr>
          <w:sz w:val="20"/>
        </w:rPr>
        <w:t xml:space="preserve">ank filed a series of applications seeking Commission approval to its proposed acquisition of Sprint Nextel.  Further, on Dec. 17, 2012, Sprint and Clearwire announced that Sprint would acquire the remaining stock of Clearwire that it did not already own, and on Dec. 20, 2012, SoftBank and Sprint filed an amendment to supplement their previously filed applications. </w:t>
      </w:r>
    </w:p>
    <w:p w:rsidR="00EC7CF3" w:rsidRDefault="00EC7CF3" w:rsidP="006A40AD"/>
  </w:footnote>
  <w:footnote w:id="395">
    <w:p w:rsidR="00EC7CF3" w:rsidRDefault="00EC7CF3" w:rsidP="006A40AD">
      <w:pPr>
        <w:pStyle w:val="FootnoteText"/>
      </w:pPr>
      <w:r w:rsidRPr="00D40600">
        <w:rPr>
          <w:rStyle w:val="FootnoteReference"/>
          <w:sz w:val="20"/>
        </w:rPr>
        <w:footnoteRef/>
      </w:r>
      <w:r w:rsidRPr="00D40600">
        <w:t xml:space="preserve"> As noted above, while EBS licensees may lease excess capacity to commercial operators, various elements of the EBS licensing regime complicate the use of EBS spectrum for commercial purposes.  </w:t>
      </w:r>
      <w:r w:rsidRPr="00B6467C">
        <w:rPr>
          <w:i/>
        </w:rPr>
        <w:t>See,</w:t>
      </w:r>
      <w:r w:rsidRPr="00B6467C">
        <w:t xml:space="preserve"> III.F. 3 Analysis of Spectrum Holdings Overall, </w:t>
      </w:r>
      <w:r w:rsidRPr="00ED6BE4">
        <w:t xml:space="preserve">¶ </w:t>
      </w:r>
      <w:r>
        <w:t xml:space="preserve">112, </w:t>
      </w:r>
      <w:r w:rsidRPr="00296FBE">
        <w:rPr>
          <w:i/>
        </w:rPr>
        <w:t>supra</w:t>
      </w:r>
      <w:r>
        <w:t>.</w:t>
      </w:r>
      <w:r w:rsidRPr="00D40600">
        <w:t xml:space="preserve"> </w:t>
      </w:r>
    </w:p>
  </w:footnote>
  <w:footnote w:id="396">
    <w:p w:rsidR="00EC7CF3" w:rsidRPr="00457641" w:rsidRDefault="00EC7CF3">
      <w:pPr>
        <w:pStyle w:val="FootnoteText"/>
      </w:pPr>
      <w:r w:rsidRPr="00D40600">
        <w:rPr>
          <w:rStyle w:val="FootnoteReference"/>
          <w:sz w:val="20"/>
        </w:rPr>
        <w:footnoteRef/>
      </w:r>
      <w:r w:rsidRPr="00D40600">
        <w:t xml:space="preserve"> </w:t>
      </w:r>
      <w:r w:rsidRPr="001402D3">
        <w:rPr>
          <w:i/>
        </w:rPr>
        <w:t>See</w:t>
      </w:r>
      <w:r>
        <w:t xml:space="preserve"> Table 17, </w:t>
      </w:r>
      <w:r w:rsidRPr="001A0998">
        <w:rPr>
          <w:i/>
        </w:rPr>
        <w:t>supra</w:t>
      </w:r>
      <w:r>
        <w:t xml:space="preserve">; Table 18, </w:t>
      </w:r>
      <w:r w:rsidRPr="001A0998">
        <w:rPr>
          <w:i/>
        </w:rPr>
        <w:t>infra</w:t>
      </w:r>
      <w:r>
        <w:t>.</w:t>
      </w:r>
    </w:p>
  </w:footnote>
  <w:footnote w:id="397">
    <w:p w:rsidR="00EC7CF3" w:rsidRDefault="00EC7CF3" w:rsidP="008015C8">
      <w:pPr>
        <w:pStyle w:val="FootnoteText"/>
      </w:pPr>
      <w:r w:rsidRPr="00D40600">
        <w:rPr>
          <w:rStyle w:val="FootnoteReference"/>
          <w:sz w:val="20"/>
        </w:rPr>
        <w:footnoteRef/>
      </w:r>
      <w:r w:rsidRPr="00D40600">
        <w:t xml:space="preserve">  Spectrum tables include 18 megahertz of BRS and 112.5 megahertz of EBS not currently attributable in the spectrum screen.  As noted above, while EBS licensees may lease excess capacity to commercial operators, various elements of the EBS licensing regime complicate the use of EBS spectrum for commercial purposes.  SunCom Wireless License Company, LLC, a wholly owned subsidiary of T-Mobile, holds one Cellular license.  </w:t>
      </w:r>
    </w:p>
  </w:footnote>
  <w:footnote w:id="398">
    <w:p w:rsidR="00EC7CF3" w:rsidRDefault="00EC7CF3">
      <w:pPr>
        <w:pStyle w:val="FootnoteText"/>
      </w:pPr>
      <w:r w:rsidRPr="00D40600">
        <w:rPr>
          <w:rStyle w:val="FootnoteReference"/>
          <w:sz w:val="20"/>
        </w:rPr>
        <w:footnoteRef/>
      </w:r>
      <w:r w:rsidRPr="00D40600">
        <w:t xml:space="preserve"> Total EBS spectrum includes 112.5 megahertz of spectrum, and “Other” EBS spectrum represents spectrum held by all other providers (including educational institutions and providers such as Digital Bridge) and EBS white space.  Total BRS spectrum includes 73.5 megahertz of spectrum and “Other” BRS spectrum represents spectrum held by all other providers (such as Digital Bridge) and BRS white space.   In the context of transactions, with respect to both BRS and EBS spectrum, the Commission counts only 55 megahertz of BRS spectrum as suitable and available for mobile telephony/broadband services.  </w:t>
      </w:r>
      <w:r w:rsidRPr="00D40600">
        <w:rPr>
          <w:i/>
        </w:rPr>
        <w:t>See</w:t>
      </w:r>
      <w:r w:rsidRPr="00D40600">
        <w:t xml:space="preserve"> Sprint Nextel Corporation and Clearwire Corporation, WT Docket No. 08-94, Memorandum Opinion and Order, 23 FCC Rcd 17570 (2008).</w:t>
      </w:r>
    </w:p>
  </w:footnote>
  <w:footnote w:id="399">
    <w:p w:rsidR="00EC7CF3" w:rsidRDefault="00EC7CF3">
      <w:pPr>
        <w:pStyle w:val="FootnoteText"/>
      </w:pPr>
      <w:r w:rsidRPr="00D40600">
        <w:rPr>
          <w:rStyle w:val="FootnoteReference"/>
          <w:sz w:val="20"/>
        </w:rPr>
        <w:footnoteRef/>
      </w:r>
      <w:r w:rsidRPr="00D40600">
        <w:t xml:space="preserve"> Weighted average megahertz is the sum of the provider’s MHz-POPs, divided by the U.S. population (2010 Census).</w:t>
      </w:r>
    </w:p>
  </w:footnote>
  <w:footnote w:id="400">
    <w:p w:rsidR="00EC7CF3" w:rsidRDefault="00EC7CF3">
      <w:pPr>
        <w:pStyle w:val="FootnoteText"/>
      </w:pPr>
      <w:r>
        <w:rPr>
          <w:rStyle w:val="FootnoteReference"/>
        </w:rPr>
        <w:footnoteRef/>
      </w:r>
      <w:r>
        <w:t xml:space="preserve"> </w:t>
      </w:r>
      <w:r w:rsidRPr="001D0392">
        <w:t>Estimates do not include the WCS spectrum that was added to the spectrum screen in December 2012, 5.4 billion MH</w:t>
      </w:r>
      <w:r>
        <w:t>z-Pops of which is held by AT&amp;T.</w:t>
      </w:r>
    </w:p>
  </w:footnote>
  <w:footnote w:id="401">
    <w:p w:rsidR="00EC7CF3" w:rsidRDefault="00EC7CF3" w:rsidP="00610A7B">
      <w:pPr>
        <w:pStyle w:val="FootnoteText"/>
      </w:pPr>
      <w:r w:rsidRPr="00D40600">
        <w:rPr>
          <w:rStyle w:val="FootnoteReference"/>
          <w:sz w:val="20"/>
        </w:rPr>
        <w:footnoteRef/>
      </w:r>
      <w:r w:rsidRPr="00D40600">
        <w:t xml:space="preserve"> In addition to the spectrum bands below 1 GHz authorized for licensed use, the Commission has recently taken steps to free up vacant spectrum between TV channels – called “white spaces” – for unlicensed use.  </w:t>
      </w:r>
      <w:r w:rsidRPr="00D40600">
        <w:rPr>
          <w:i/>
        </w:rPr>
        <w:t>See</w:t>
      </w:r>
      <w:r w:rsidRPr="00D40600">
        <w:t xml:space="preserve"> </w:t>
      </w:r>
      <w:r w:rsidRPr="00D40600">
        <w:rPr>
          <w:spacing w:val="-2"/>
        </w:rPr>
        <w:t xml:space="preserve">Unlicensed Operation in the TV Broadcast Bands, ET Docket No. 04-186, </w:t>
      </w:r>
      <w:r w:rsidRPr="00D40600">
        <w:t xml:space="preserve">Additional Spectrum for Unlicensed Devices Below 900 MHz and in the 3 GHz Band, ET Docket No. 02-380, </w:t>
      </w:r>
      <w:r w:rsidRPr="00D40600">
        <w:rPr>
          <w:i/>
        </w:rPr>
        <w:t>Second Memorandum Opinion and Order</w:t>
      </w:r>
      <w:r w:rsidRPr="00D40600">
        <w:t>, 25 FCC Rcd 18661 (2010) (</w:t>
      </w:r>
      <w:r w:rsidRPr="00D40600">
        <w:rPr>
          <w:i/>
        </w:rPr>
        <w:t>TVWS Second MO&amp;O</w:t>
      </w:r>
      <w:r w:rsidRPr="00D40600">
        <w:t xml:space="preserve">). </w:t>
      </w:r>
      <w:r w:rsidRPr="00D40600">
        <w:rPr>
          <w:i/>
        </w:rPr>
        <w:t xml:space="preserve"> </w:t>
      </w:r>
    </w:p>
  </w:footnote>
  <w:footnote w:id="402">
    <w:p w:rsidR="00EC7CF3" w:rsidRDefault="00EC7CF3" w:rsidP="00610A7B">
      <w:pPr>
        <w:pStyle w:val="FootnoteText"/>
      </w:pPr>
      <w:r w:rsidRPr="00D40600">
        <w:rPr>
          <w:rStyle w:val="FootnoteReference"/>
          <w:sz w:val="20"/>
        </w:rPr>
        <w:footnoteRef/>
      </w:r>
      <w:r w:rsidRPr="00D40600">
        <w:t xml:space="preserve"> </w:t>
      </w:r>
      <w:r w:rsidRPr="00D40600">
        <w:rPr>
          <w:i/>
        </w:rPr>
        <w:t>See</w:t>
      </w:r>
      <w:r w:rsidRPr="00D40600">
        <w:t xml:space="preserve"> MetroPCS Comments at 35; Leap Reply Comments at 2; Council Tree Comments at 1.</w:t>
      </w:r>
    </w:p>
  </w:footnote>
  <w:footnote w:id="403">
    <w:p w:rsidR="00EC7CF3" w:rsidRDefault="00EC7CF3" w:rsidP="00610A7B">
      <w:pPr>
        <w:spacing w:after="120"/>
      </w:pPr>
      <w:r w:rsidRPr="00D40600">
        <w:rPr>
          <w:rStyle w:val="FootnoteReference"/>
          <w:sz w:val="20"/>
        </w:rPr>
        <w:footnoteRef/>
      </w:r>
      <w:r w:rsidRPr="00D40600">
        <w:rPr>
          <w:sz w:val="20"/>
        </w:rPr>
        <w:t xml:space="preserve"> </w:t>
      </w:r>
      <w:r w:rsidRPr="00D40600">
        <w:rPr>
          <w:i/>
          <w:sz w:val="20"/>
        </w:rPr>
        <w:t>See</w:t>
      </w:r>
      <w:r w:rsidRPr="00D40600">
        <w:rPr>
          <w:sz w:val="20"/>
        </w:rPr>
        <w:t xml:space="preserve"> Letter from Steven K. Berry, President &amp; CEO, Rural Carriers Association—The Competitive Carriers Association, to Marlene H. Dortch, Secretary, FCC, WT Docket No. 11-186 (filed May 24, 2012) (</w:t>
      </w:r>
      <w:r w:rsidRPr="00D40600">
        <w:rPr>
          <w:i/>
          <w:sz w:val="20"/>
        </w:rPr>
        <w:t>T-Mobile May 24, 2012 Ex Parte Letter</w:t>
      </w:r>
      <w:r w:rsidRPr="00D40600">
        <w:rPr>
          <w:sz w:val="20"/>
        </w:rPr>
        <w:t xml:space="preserve">) at 9 (citing </w:t>
      </w:r>
      <w:r w:rsidRPr="00D40600">
        <w:rPr>
          <w:i/>
          <w:sz w:val="20"/>
        </w:rPr>
        <w:t xml:space="preserve">AT&amp;T-Qualcomm Order </w:t>
      </w:r>
      <w:r w:rsidRPr="00D40600">
        <w:rPr>
          <w:sz w:val="20"/>
        </w:rPr>
        <w:t xml:space="preserve">at ¶ 49; T-Mobile Comments at 5 (citing to November 11 Public Notice in WT Docket No. 11-186, </w:t>
      </w:r>
      <w:r w:rsidRPr="00D40600">
        <w:rPr>
          <w:i/>
          <w:sz w:val="20"/>
        </w:rPr>
        <w:t>AT&amp;T-Qualcomm Order</w:t>
      </w:r>
      <w:r w:rsidRPr="00D40600">
        <w:rPr>
          <w:sz w:val="20"/>
        </w:rPr>
        <w:t xml:space="preserve"> at ¶ 49, and </w:t>
      </w:r>
      <w:r w:rsidRPr="00D40600">
        <w:rPr>
          <w:i/>
          <w:sz w:val="20"/>
        </w:rPr>
        <w:t>Fifteenth Report</w:t>
      </w:r>
      <w:r w:rsidRPr="00D40600">
        <w:rPr>
          <w:sz w:val="20"/>
        </w:rPr>
        <w:t xml:space="preserve"> 26 FCC Rcd at 9833-34 ¶ 292).  Other commenters question the differentiation of spectrum above and below 1 GHz.  </w:t>
      </w:r>
      <w:r w:rsidRPr="00D40600">
        <w:rPr>
          <w:i/>
          <w:sz w:val="20"/>
        </w:rPr>
        <w:t>See</w:t>
      </w:r>
      <w:r w:rsidRPr="00D40600">
        <w:rPr>
          <w:sz w:val="20"/>
        </w:rPr>
        <w:t xml:space="preserve"> Verizon Comments at 125-26; Telecommunications Industry Association Comments at 24; AT&amp;T Reply Comments at 17-18.</w:t>
      </w:r>
    </w:p>
  </w:footnote>
  <w:footnote w:id="404">
    <w:p w:rsidR="00EC7CF3" w:rsidRDefault="00EC7CF3" w:rsidP="00610A7B">
      <w:pPr>
        <w:pStyle w:val="FootnoteText"/>
      </w:pPr>
      <w:r w:rsidRPr="00D40600">
        <w:rPr>
          <w:rStyle w:val="FootnoteReference"/>
          <w:sz w:val="20"/>
        </w:rPr>
        <w:footnoteRef/>
      </w:r>
      <w:r w:rsidRPr="00D40600">
        <w:t xml:space="preserve"> </w:t>
      </w:r>
      <w:r w:rsidRPr="00D40600">
        <w:rPr>
          <w:i/>
        </w:rPr>
        <w:t>See, e.g.</w:t>
      </w:r>
      <w:r w:rsidRPr="00D40600">
        <w:t xml:space="preserve">, </w:t>
      </w:r>
      <w:r w:rsidRPr="00D40600">
        <w:rPr>
          <w:i/>
        </w:rPr>
        <w:t>700 MHz Band Second R&amp;O</w:t>
      </w:r>
      <w:r w:rsidRPr="00D40600">
        <w:t xml:space="preserve">, 22 FCC Rcd at 15349 ¶ 158, 15354-55 ¶ 176, 15400-01 ¶ 304 (recognizing the excellent propagation characteristics of 700 MHz band spectrum); </w:t>
      </w:r>
      <w:r w:rsidRPr="00D40600">
        <w:rPr>
          <w:i/>
        </w:rPr>
        <w:t>White Spaces Report and Order</w:t>
      </w:r>
      <w:r w:rsidRPr="00D40600">
        <w:t>, 23 FCC Rcd</w:t>
      </w:r>
      <w:r w:rsidRPr="00D40600">
        <w:rPr>
          <w:i/>
        </w:rPr>
        <w:t xml:space="preserve"> </w:t>
      </w:r>
      <w:r w:rsidRPr="00D40600">
        <w:t xml:space="preserve">at 16807, 16820-21 ¶ 32 (stating that propagation characteristics of the TV bands enable service at greater ranges than in the 2.4 GHz band).     </w:t>
      </w:r>
    </w:p>
  </w:footnote>
  <w:footnote w:id="405">
    <w:p w:rsidR="00EC7CF3" w:rsidRDefault="00EC7CF3" w:rsidP="00610A7B">
      <w:pPr>
        <w:pStyle w:val="FootnoteText"/>
      </w:pPr>
      <w:r w:rsidRPr="00D40600">
        <w:rPr>
          <w:rStyle w:val="FootnoteReference"/>
          <w:sz w:val="20"/>
        </w:rPr>
        <w:footnoteRef/>
      </w:r>
      <w:r w:rsidRPr="00D40600">
        <w:t xml:space="preserve"> </w:t>
      </w:r>
      <w:r w:rsidRPr="00D40600">
        <w:rPr>
          <w:i/>
        </w:rPr>
        <w:t xml:space="preserve">See Fifteenth Report, </w:t>
      </w:r>
      <w:r w:rsidRPr="00D40600">
        <w:t xml:space="preserve">26 FCC Rcd at 9833-34 ¶ 292.  In addition, in the </w:t>
      </w:r>
      <w:r w:rsidRPr="00D40600">
        <w:rPr>
          <w:i/>
        </w:rPr>
        <w:t>ATT-Qualcomm Order</w:t>
      </w:r>
      <w:r w:rsidRPr="00D40600">
        <w:t>, the Commission in recognizing the different frequency band characteristics, stated that “[t]he more favorable propagation characteristics of lower frequency spectrum (</w:t>
      </w:r>
      <w:r w:rsidRPr="00D40600">
        <w:rPr>
          <w:i/>
        </w:rPr>
        <w:t>i.e.</w:t>
      </w:r>
      <w:r w:rsidRPr="00D40600">
        <w:t xml:space="preserve">, spectrum below 1 GHz) allow for better coverage across larger geographic areas and inside buildings,” when compared with spectrum above 1 GHz.  </w:t>
      </w:r>
      <w:r w:rsidRPr="00D40600">
        <w:rPr>
          <w:i/>
        </w:rPr>
        <w:t>AT&amp;T-Qualcomm Order</w:t>
      </w:r>
      <w:r w:rsidRPr="00D40600">
        <w:t>, 26 FCC Rcd a</w:t>
      </w:r>
      <w:r>
        <w:t>t 17610 ¶ 49.</w:t>
      </w:r>
    </w:p>
  </w:footnote>
  <w:footnote w:id="406">
    <w:p w:rsidR="00EC7CF3" w:rsidRDefault="00EC7CF3" w:rsidP="00610A7B">
      <w:pPr>
        <w:pStyle w:val="FootnoteText"/>
      </w:pPr>
      <w:r w:rsidRPr="00D40600">
        <w:rPr>
          <w:rStyle w:val="FootnoteReference"/>
          <w:sz w:val="20"/>
        </w:rPr>
        <w:footnoteRef/>
      </w:r>
      <w:r w:rsidRPr="00D40600">
        <w:t xml:space="preserve"> </w:t>
      </w:r>
      <w:r w:rsidRPr="00D40600">
        <w:rPr>
          <w:i/>
        </w:rPr>
        <w:t>700 MHz Second R&amp;O</w:t>
      </w:r>
      <w:r w:rsidRPr="00D40600">
        <w:t xml:space="preserve">, 22 FCC Rcd at 15349 ¶ 158.  </w:t>
      </w:r>
      <w:r w:rsidRPr="00D40600">
        <w:rPr>
          <w:i/>
        </w:rPr>
        <w:t>See also,</w:t>
      </w:r>
      <w:r w:rsidRPr="00D40600">
        <w:t xml:space="preserve"> </w:t>
      </w:r>
      <w:r w:rsidRPr="00D40600">
        <w:rPr>
          <w:i/>
        </w:rPr>
        <w:t>AT&amp;T-Qualcomm Order,</w:t>
      </w:r>
      <w:r w:rsidRPr="00D40600">
        <w:t xml:space="preserve"> 26 FCC Rcd at 17610-11 ¶ 49 (discussing proceedings in which the Commission noted the value of lower frequency spectrum making it ideal for services to rural areas); </w:t>
      </w:r>
      <w:r w:rsidRPr="00D40600">
        <w:rPr>
          <w:i/>
        </w:rPr>
        <w:t xml:space="preserve">TVWS Second MO&amp;O, </w:t>
      </w:r>
      <w:r w:rsidRPr="00D40600">
        <w:t>25 FCC Rcd at 18662 ¶ 1 (the Commission noted that this particular spectrum has excellent propagation characteristics that allow signals to reach farther and penetrate walls and other structures).</w:t>
      </w:r>
    </w:p>
  </w:footnote>
  <w:footnote w:id="407">
    <w:p w:rsidR="00EC7CF3" w:rsidRDefault="00EC7CF3" w:rsidP="00610A7B">
      <w:pPr>
        <w:widowControl/>
        <w:autoSpaceDE w:val="0"/>
        <w:autoSpaceDN w:val="0"/>
        <w:adjustRightInd w:val="0"/>
        <w:spacing w:after="120"/>
      </w:pPr>
      <w:r w:rsidRPr="00D40600">
        <w:rPr>
          <w:rStyle w:val="FootnoteReference"/>
          <w:sz w:val="20"/>
        </w:rPr>
        <w:footnoteRef/>
      </w:r>
      <w:r w:rsidRPr="00D40600">
        <w:rPr>
          <w:sz w:val="20"/>
        </w:rPr>
        <w:t xml:space="preserve"> </w:t>
      </w:r>
      <w:r w:rsidRPr="00D40600">
        <w:rPr>
          <w:i/>
          <w:sz w:val="20"/>
        </w:rPr>
        <w:t xml:space="preserve">See </w:t>
      </w:r>
      <w:r w:rsidRPr="00D40600">
        <w:rPr>
          <w:sz w:val="20"/>
        </w:rPr>
        <w:t xml:space="preserve"> </w:t>
      </w:r>
      <w:r w:rsidRPr="00D40600">
        <w:rPr>
          <w:i/>
          <w:sz w:val="20"/>
        </w:rPr>
        <w:t>AT&amp;T-Qualcomm Order,</w:t>
      </w:r>
      <w:r w:rsidRPr="00D40600">
        <w:rPr>
          <w:sz w:val="20"/>
        </w:rPr>
        <w:t xml:space="preserve"> 26 FCC Rcd at 17610-11 ¶ 49 (discussing AT&amp;T’s statement in its bid to acquire T-Mobile that T-Mobile customer access to spectrum below 1 GHz would enable extended rural coverage); </w:t>
      </w:r>
      <w:r w:rsidRPr="00D40600">
        <w:rPr>
          <w:i/>
          <w:sz w:val="20"/>
        </w:rPr>
        <w:t xml:space="preserve">Fifteenth Report, </w:t>
      </w:r>
      <w:r w:rsidRPr="00D40600">
        <w:rPr>
          <w:sz w:val="20"/>
        </w:rPr>
        <w:t>26 FCC Rcd at 9833 n.843.</w:t>
      </w:r>
    </w:p>
  </w:footnote>
  <w:footnote w:id="408">
    <w:p w:rsidR="00EC7CF3" w:rsidRDefault="00EC7CF3" w:rsidP="00610A7B">
      <w:pPr>
        <w:autoSpaceDE w:val="0"/>
        <w:autoSpaceDN w:val="0"/>
        <w:adjustRightInd w:val="0"/>
        <w:spacing w:after="120"/>
      </w:pPr>
      <w:r w:rsidRPr="00D40600">
        <w:rPr>
          <w:rStyle w:val="FootnoteReference"/>
          <w:sz w:val="20"/>
        </w:rPr>
        <w:footnoteRef/>
      </w:r>
      <w:r w:rsidRPr="00D40600">
        <w:rPr>
          <w:sz w:val="20"/>
        </w:rPr>
        <w:t xml:space="preserve"> </w:t>
      </w:r>
      <w:r w:rsidRPr="00D7145F">
        <w:rPr>
          <w:i/>
          <w:sz w:val="20"/>
        </w:rPr>
        <w:t>See</w:t>
      </w:r>
      <w:r w:rsidRPr="00D7145F">
        <w:rPr>
          <w:sz w:val="20"/>
        </w:rPr>
        <w:t xml:space="preserve"> Section  III.E, Entry and Exit Conditions, </w:t>
      </w:r>
      <w:r w:rsidRPr="00D7145F">
        <w:rPr>
          <w:i/>
          <w:sz w:val="20"/>
        </w:rPr>
        <w:t>supra</w:t>
      </w:r>
      <w:r w:rsidRPr="00D7145F">
        <w:rPr>
          <w:sz w:val="20"/>
        </w:rPr>
        <w:t xml:space="preserve"> (a new entrant </w:t>
      </w:r>
      <w:r w:rsidRPr="00D7145F">
        <w:rPr>
          <w:i/>
          <w:sz w:val="20"/>
        </w:rPr>
        <w:t xml:space="preserve">utilizing spectrum only in higher frequency bands may need to deploy more infrastructure, including cell sites, to cover the same land area and therefore incur higher cell site costs, compared to providers using lower band spectrum. </w:t>
      </w:r>
      <w:r w:rsidRPr="00D7145F">
        <w:rPr>
          <w:sz w:val="20"/>
        </w:rPr>
        <w:t xml:space="preserve"> One network cost study estimates that the total capital cost of deploying a single cell site, on average, can be upwards of</w:t>
      </w:r>
      <w:r>
        <w:rPr>
          <w:sz w:val="20"/>
        </w:rPr>
        <w:t xml:space="preserve"> $200,000;  </w:t>
      </w:r>
      <w:r w:rsidRPr="00D7145F">
        <w:rPr>
          <w:i/>
          <w:sz w:val="20"/>
        </w:rPr>
        <w:t>See</w:t>
      </w:r>
      <w:r>
        <w:rPr>
          <w:sz w:val="20"/>
        </w:rPr>
        <w:t xml:space="preserve"> </w:t>
      </w:r>
      <w:r w:rsidRPr="00D7145F">
        <w:rPr>
          <w:sz w:val="20"/>
        </w:rPr>
        <w:t xml:space="preserve">Peter Cramton, </w:t>
      </w:r>
      <w:r w:rsidRPr="006B53AA">
        <w:rPr>
          <w:i/>
          <w:sz w:val="20"/>
        </w:rPr>
        <w:t>700 MHz Device Flexibility Promotes Competition</w:t>
      </w:r>
      <w:r w:rsidRPr="00D7145F">
        <w:rPr>
          <w:sz w:val="20"/>
        </w:rPr>
        <w:t xml:space="preserve">, Aug. 9, 2010, at 2, </w:t>
      </w:r>
      <w:r w:rsidRPr="006B53AA">
        <w:rPr>
          <w:i/>
          <w:sz w:val="20"/>
        </w:rPr>
        <w:t>available at</w:t>
      </w:r>
      <w:r w:rsidRPr="00D7145F">
        <w:rPr>
          <w:sz w:val="20"/>
        </w:rPr>
        <w:t xml:space="preserve"> </w:t>
      </w:r>
      <w:hyperlink r:id="rId77" w:history="1">
        <w:r w:rsidRPr="007C0F0A">
          <w:rPr>
            <w:rStyle w:val="Hyperlink"/>
            <w:sz w:val="20"/>
          </w:rPr>
          <w:t>http://www.cramton.umd.edu/papers2010-2014/cramton-700-mhz-device-flexibility-promotes-competition.pdf</w:t>
        </w:r>
      </w:hyperlink>
      <w:r>
        <w:rPr>
          <w:sz w:val="20"/>
        </w:rPr>
        <w:t xml:space="preserve"> </w:t>
      </w:r>
      <w:r w:rsidRPr="00D7145F">
        <w:rPr>
          <w:sz w:val="20"/>
        </w:rPr>
        <w:t xml:space="preserve">(visited Nov. 30, 2012), (“The 700 MHz and Cellular bands allow a region to be covered with many fewer cell sites and thus at much lower cost.”) (visited Aug. 30, 2012); GSM World, </w:t>
      </w:r>
      <w:r w:rsidRPr="006B53AA">
        <w:rPr>
          <w:i/>
          <w:sz w:val="20"/>
        </w:rPr>
        <w:t>Impact of Spectrum Allocation</w:t>
      </w:r>
      <w:r w:rsidRPr="00D7145F">
        <w:rPr>
          <w:sz w:val="20"/>
        </w:rPr>
        <w:t xml:space="preserve">, </w:t>
      </w:r>
      <w:hyperlink r:id="rId78" w:history="1">
        <w:r w:rsidRPr="007C0F0A">
          <w:rPr>
            <w:rStyle w:val="Hyperlink"/>
            <w:sz w:val="20"/>
          </w:rPr>
          <w:t>http://www.gsmworld.com/our-work/public-policy/spectrum/digital-dividend/impact_of_spectrum_allocation.htm</w:t>
        </w:r>
      </w:hyperlink>
      <w:r>
        <w:rPr>
          <w:sz w:val="20"/>
        </w:rPr>
        <w:t xml:space="preserve"> </w:t>
      </w:r>
      <w:r w:rsidRPr="00D7145F">
        <w:rPr>
          <w:sz w:val="20"/>
        </w:rPr>
        <w:t xml:space="preserve"> (visited Feb. 23, 2011) (“Operators need fewer cells at lower frequencies; 3G at 700 MHz needs about 30 percent of cells to offer the same coverage as 3G at 2100 MHz”); Morgan Stanley Mobile Internet Report, at 313-314 (lower spectrum allocations, such as 700 MHz spectrum, help lower capital expenditures by broadening reach).</w:t>
      </w:r>
      <w:r w:rsidRPr="00D40600">
        <w:rPr>
          <w:rStyle w:val="Emphasis"/>
          <w:sz w:val="20"/>
          <w:lang w:eastAsia="zh-CN"/>
        </w:rPr>
        <w:t xml:space="preserve"> </w:t>
      </w:r>
    </w:p>
  </w:footnote>
  <w:footnote w:id="409">
    <w:p w:rsidR="00EC7CF3" w:rsidRDefault="00EC7CF3" w:rsidP="00610A7B">
      <w:pPr>
        <w:pStyle w:val="FootnoteText"/>
      </w:pPr>
      <w:r w:rsidRPr="00D40600">
        <w:rPr>
          <w:rStyle w:val="FootnoteReference"/>
          <w:sz w:val="20"/>
        </w:rPr>
        <w:footnoteRef/>
      </w:r>
      <w:r w:rsidRPr="00D40600">
        <w:t xml:space="preserve"> T-Mobile Comments, GN Docket No. 09-51 </w:t>
      </w:r>
      <w:r w:rsidRPr="00D40600">
        <w:rPr>
          <w:i/>
        </w:rPr>
        <w:t xml:space="preserve">et al., </w:t>
      </w:r>
      <w:r w:rsidRPr="00D40600">
        <w:t xml:space="preserve">NBP PN #26, at 11 (filed Dec. 22, 2009).  </w:t>
      </w:r>
    </w:p>
  </w:footnote>
  <w:footnote w:id="410">
    <w:p w:rsidR="00EC7CF3" w:rsidRDefault="00EC7CF3" w:rsidP="00610A7B">
      <w:pPr>
        <w:pStyle w:val="FootnoteText"/>
      </w:pPr>
      <w:r w:rsidRPr="00D40600">
        <w:rPr>
          <w:rStyle w:val="FootnoteReference"/>
          <w:sz w:val="20"/>
        </w:rPr>
        <w:footnoteRef/>
      </w:r>
      <w:r w:rsidRPr="00D40600">
        <w:t xml:space="preserve"> </w:t>
      </w:r>
      <w:r w:rsidRPr="00D40600">
        <w:rPr>
          <w:i/>
        </w:rPr>
        <w:t xml:space="preserve">See </w:t>
      </w:r>
      <w:r w:rsidRPr="00D40600">
        <w:t xml:space="preserve">NIST, </w:t>
      </w:r>
      <w:r w:rsidRPr="00D40600">
        <w:rPr>
          <w:i/>
        </w:rPr>
        <w:t>700 MHz Band Channel Propagation Model</w:t>
      </w:r>
      <w:r w:rsidRPr="00D40600">
        <w:t xml:space="preserve">, </w:t>
      </w:r>
      <w:hyperlink r:id="rId79" w:history="1">
        <w:r w:rsidRPr="00D40600">
          <w:rPr>
            <w:rStyle w:val="Hyperlink"/>
          </w:rPr>
          <w:t>http://www.nist.gov/itl/antd/emntg/700mhz.cfm</w:t>
        </w:r>
      </w:hyperlink>
      <w:r w:rsidRPr="00D40600">
        <w:t xml:space="preserve"> (visited Aug. 29, 2012) (NIST model concludes that because of the favorable propagation characteristics of the 700 MHz spectrum, providers need less infrastructure at the lower frequency compared to the higher frequencies to cover the same geographic area).  </w:t>
      </w:r>
      <w:r w:rsidRPr="00D40600">
        <w:rPr>
          <w:i/>
        </w:rPr>
        <w:t xml:space="preserve">See also Fifteenth Report, </w:t>
      </w:r>
      <w:r w:rsidRPr="00D40600">
        <w:t>26 FCC Rcd at 9834-35 ¶ 293</w:t>
      </w:r>
      <w:r>
        <w:t>.</w:t>
      </w:r>
    </w:p>
  </w:footnote>
  <w:footnote w:id="411">
    <w:p w:rsidR="00EC7CF3" w:rsidRDefault="00EC7CF3" w:rsidP="00610A7B">
      <w:pPr>
        <w:pStyle w:val="FootnoteText"/>
      </w:pPr>
      <w:r w:rsidRPr="00D40600">
        <w:rPr>
          <w:rStyle w:val="FootnoteReference"/>
          <w:sz w:val="20"/>
        </w:rPr>
        <w:footnoteRef/>
      </w:r>
      <w:r w:rsidRPr="00D40600">
        <w:t xml:space="preserve"> Okumura-Hata is a widely used RF propagation.  </w:t>
      </w:r>
      <w:r w:rsidRPr="00D40600">
        <w:rPr>
          <w:i/>
        </w:rPr>
        <w:t xml:space="preserve">See </w:t>
      </w:r>
      <w:r w:rsidRPr="00D40600">
        <w:t xml:space="preserve">John S. Seybold, </w:t>
      </w:r>
      <w:r w:rsidRPr="00D40600">
        <w:rPr>
          <w:i/>
        </w:rPr>
        <w:t>Introduction to RF Propagation</w:t>
      </w:r>
      <w:r w:rsidRPr="00D40600">
        <w:t xml:space="preserve">, Wiley-Interscience, 2005. </w:t>
      </w:r>
    </w:p>
  </w:footnote>
  <w:footnote w:id="412">
    <w:p w:rsidR="00EC7CF3" w:rsidRDefault="00EC7CF3" w:rsidP="00610A7B">
      <w:pPr>
        <w:pStyle w:val="FootnoteText"/>
      </w:pPr>
      <w:r w:rsidRPr="00D40600">
        <w:rPr>
          <w:rStyle w:val="FootnoteReference"/>
          <w:sz w:val="20"/>
        </w:rPr>
        <w:footnoteRef/>
      </w:r>
      <w:r w:rsidRPr="00D40600">
        <w:t xml:space="preserve"> </w:t>
      </w:r>
      <w:r w:rsidRPr="00D40600">
        <w:rPr>
          <w:i/>
        </w:rPr>
        <w:t xml:space="preserve">See, e.g., </w:t>
      </w:r>
      <w:r w:rsidRPr="00D40600">
        <w:t xml:space="preserve">Dan Mead, President and Chief Executive Officer, Verizon Wireless, News Conference at 2011 Consumer Electronics Show (Jan. 6, 2011), </w:t>
      </w:r>
      <w:r w:rsidRPr="00D40600">
        <w:rPr>
          <w:i/>
        </w:rPr>
        <w:t xml:space="preserve">available at </w:t>
      </w:r>
      <w:hyperlink r:id="rId80" w:history="1">
        <w:r w:rsidRPr="00D40600">
          <w:rPr>
            <w:rStyle w:val="Hyperlink"/>
          </w:rPr>
          <w:t>http://client.uvault.com/2491/010611/news/vod/start.php#</w:t>
        </w:r>
      </w:hyperlink>
      <w:r w:rsidRPr="00D40600">
        <w:t xml:space="preserve"> (stating that 700 MHz spectrum is “the best spectrum for in-building coverage”); John Stankey, President and CEO, AT&amp;T Operations, Inc., Jan. 28, 2010 (Q4 2010 Earnings Call) (noting that 850 MHz Cellular spectrum is “very high quality with terrific propagation characteristics.  …As customers make the shift to more data-intensive devices, we think this is important for the perceived quality of their overall experience”).</w:t>
      </w:r>
    </w:p>
  </w:footnote>
  <w:footnote w:id="413">
    <w:p w:rsidR="00EC7CF3" w:rsidRDefault="00EC7CF3" w:rsidP="00610A7B">
      <w:pPr>
        <w:pStyle w:val="FootnoteText"/>
      </w:pPr>
      <w:r w:rsidRPr="00D40600">
        <w:rPr>
          <w:rStyle w:val="FootnoteReference"/>
          <w:sz w:val="20"/>
        </w:rPr>
        <w:footnoteRef/>
      </w:r>
      <w:r w:rsidRPr="00D40600">
        <w:t xml:space="preserve"> AT&amp;T, </w:t>
      </w:r>
      <w:r w:rsidRPr="00D40600">
        <w:rPr>
          <w:i/>
        </w:rPr>
        <w:t xml:space="preserve">What the 850 MHz Spectrum Can Do for You, available at </w:t>
      </w:r>
      <w:hyperlink r:id="rId81" w:history="1">
        <w:r w:rsidRPr="00D40600">
          <w:rPr>
            <w:rStyle w:val="Hyperlink"/>
          </w:rPr>
          <w:t>http://www.att.com/gen/press-room?pid=6209&amp;cat=66&amp;u=982</w:t>
        </w:r>
      </w:hyperlink>
      <w:r w:rsidRPr="00D40600">
        <w:t xml:space="preserve"> (AT&amp;T videoblog discussing AT&amp;T’s use of an 850 MHz overlay in New York City to provide enhanced in-building coverage over 1900 MHz frequencies).</w:t>
      </w:r>
      <w:r w:rsidRPr="00D40600">
        <w:rPr>
          <w:i/>
        </w:rPr>
        <w:t xml:space="preserve">  </w:t>
      </w:r>
    </w:p>
  </w:footnote>
  <w:footnote w:id="414">
    <w:p w:rsidR="00EC7CF3" w:rsidRDefault="00EC7CF3" w:rsidP="00610A7B">
      <w:pPr>
        <w:pStyle w:val="FootnoteText"/>
      </w:pPr>
      <w:r w:rsidRPr="00D40600">
        <w:rPr>
          <w:rStyle w:val="FootnoteReference"/>
          <w:sz w:val="20"/>
        </w:rPr>
        <w:footnoteRef/>
      </w:r>
      <w:r w:rsidRPr="00D40600">
        <w:t xml:space="preserve"> </w:t>
      </w:r>
      <w:r w:rsidRPr="00D40600">
        <w:rPr>
          <w:i/>
        </w:rPr>
        <w:t xml:space="preserve">See </w:t>
      </w:r>
      <w:r w:rsidRPr="00D40600">
        <w:t xml:space="preserve">Barclays Capital, Lowell McAdam, President and CEO of Verizon Wireless, May 26, 2010, at slide 8, </w:t>
      </w:r>
      <w:r w:rsidRPr="00D40600">
        <w:rPr>
          <w:i/>
        </w:rPr>
        <w:t xml:space="preserve">available at </w:t>
      </w:r>
      <w:hyperlink r:id="rId82" w:history="1">
        <w:r w:rsidRPr="006B53AA">
          <w:t>http://www22.verizon.com/idc/groups/public/documents/adacct/event_965_precol.pdf</w:t>
        </w:r>
      </w:hyperlink>
      <w:r>
        <w:t xml:space="preserve">  </w:t>
      </w:r>
      <w:r w:rsidRPr="006B53AA">
        <w:t>(visited Nov. 30, 2012)</w:t>
      </w:r>
      <w:r>
        <w:t>.</w:t>
      </w:r>
      <w:r w:rsidRPr="006B53AA">
        <w:t xml:space="preserve"> </w:t>
      </w:r>
      <w:r w:rsidRPr="00D40600">
        <w:t xml:space="preserve">(showing the relative distances of building penetration for 700 MHz LTE, 800 MHz Cellular, 1900 MHz PCS, 2100 MHz AWS, and 2500 MHz BRS, when broadcast power is the same across the frequencies, and advocating the benefits of below-1-GHz spectrum as “foundational spectrum” for a network).  According to Verizon Wireless, “[e]ach frequency has a different rate of energy decay, with higher frequencies decaying faster.”  </w:t>
      </w:r>
      <w:r w:rsidRPr="00D40600">
        <w:rPr>
          <w:i/>
        </w:rPr>
        <w:t xml:space="preserve">Id. </w:t>
      </w:r>
      <w:r w:rsidRPr="00D40600">
        <w:t xml:space="preserve">Full transcript and presentation audio </w:t>
      </w:r>
      <w:r w:rsidRPr="006B53AA">
        <w:rPr>
          <w:i/>
        </w:rPr>
        <w:t xml:space="preserve">available at </w:t>
      </w:r>
      <w:hyperlink r:id="rId83" w:history="1">
        <w:r w:rsidRPr="00D40600">
          <w:rPr>
            <w:rStyle w:val="Hyperlink"/>
          </w:rPr>
          <w:t>http://www22.verizon.com/investor/barclays_capital_global_wireless_and_wireline_conf.htm</w:t>
        </w:r>
      </w:hyperlink>
      <w:r>
        <w:rPr>
          <w:rStyle w:val="Hyperlink"/>
        </w:rPr>
        <w:t xml:space="preserve">  </w:t>
      </w:r>
      <w:r w:rsidRPr="006B53AA">
        <w:rPr>
          <w:rStyle w:val="Hyperlink"/>
          <w:color w:val="auto"/>
          <w:u w:val="none"/>
        </w:rPr>
        <w:t xml:space="preserve">(visited Nov. 30, 2012). </w:t>
      </w:r>
    </w:p>
  </w:footnote>
  <w:footnote w:id="415">
    <w:p w:rsidR="00EC7CF3" w:rsidRDefault="00EC7CF3" w:rsidP="00610A7B">
      <w:pPr>
        <w:pStyle w:val="FootnoteText"/>
      </w:pPr>
      <w:r w:rsidRPr="00D40600">
        <w:rPr>
          <w:rStyle w:val="FootnoteReference"/>
          <w:sz w:val="20"/>
        </w:rPr>
        <w:footnoteRef/>
      </w:r>
      <w:r w:rsidRPr="00D40600">
        <w:t xml:space="preserve"> </w:t>
      </w:r>
      <w:r w:rsidRPr="00D40600">
        <w:rPr>
          <w:i/>
        </w:rPr>
        <w:t>See</w:t>
      </w:r>
      <w:r w:rsidRPr="00D40600">
        <w:t xml:space="preserve"> </w:t>
      </w:r>
      <w:r w:rsidRPr="00D40600">
        <w:rPr>
          <w:i/>
        </w:rPr>
        <w:t xml:space="preserve">Fifteenth Report, </w:t>
      </w:r>
      <w:r w:rsidRPr="00D40600">
        <w:t>26 FCC Rcd at 9834 n</w:t>
      </w:r>
      <w:r w:rsidRPr="00D40600">
        <w:rPr>
          <w:rFonts w:ascii="TimesNewRoman" w:hAnsi="TimesNewRoman" w:cs="TimesNewRoman"/>
        </w:rPr>
        <w:t>.845.</w:t>
      </w:r>
    </w:p>
  </w:footnote>
  <w:footnote w:id="416">
    <w:p w:rsidR="00EC7CF3" w:rsidRDefault="00EC7CF3" w:rsidP="00610A7B">
      <w:pPr>
        <w:pStyle w:val="FootnoteText"/>
      </w:pPr>
      <w:r w:rsidRPr="00D40600">
        <w:rPr>
          <w:rStyle w:val="FootnoteReference"/>
          <w:sz w:val="20"/>
        </w:rPr>
        <w:footnoteRef/>
      </w:r>
      <w:r w:rsidRPr="00D40600">
        <w:t xml:space="preserve"> </w:t>
      </w:r>
      <w:r w:rsidRPr="00D40600">
        <w:rPr>
          <w:i/>
        </w:rPr>
        <w:t>AT&amp;T-Qualcomm Order</w:t>
      </w:r>
      <w:r w:rsidRPr="00D40600">
        <w:t xml:space="preserve">, 26 FCC Rcd at 17611 ¶ 51.  The Commission concluded that potential harm arising out of the transaction could be mitigated with certain technical conditions, including a requirement for AT&amp;T to use the spectrum acquired from Qualcomm only for downlink transmissions, to operate under the reduced power and antenna height limits applicable to Lower 700 MHz A and B Block licensees, and to take certain steps to mitigate possible interference the uplink operations of licensees operating in the Lower 700 MHz A, B, and C Blocks.  </w:t>
      </w:r>
      <w:r w:rsidRPr="00D40600">
        <w:rPr>
          <w:i/>
        </w:rPr>
        <w:t>Id</w:t>
      </w:r>
      <w:r w:rsidRPr="00D40600">
        <w:t>. at 17616-17 ¶¶ 62-67.</w:t>
      </w:r>
    </w:p>
  </w:footnote>
  <w:footnote w:id="417">
    <w:p w:rsidR="00EC7CF3" w:rsidRDefault="00EC7CF3" w:rsidP="00610A7B">
      <w:pPr>
        <w:pStyle w:val="FootnoteText"/>
      </w:pPr>
      <w:r w:rsidRPr="00D40600">
        <w:rPr>
          <w:rStyle w:val="FootnoteReference"/>
          <w:sz w:val="20"/>
        </w:rPr>
        <w:footnoteRef/>
      </w:r>
      <w:r w:rsidRPr="00D40600">
        <w:rPr>
          <w:i/>
        </w:rPr>
        <w:t xml:space="preserve"> See Fifteenth Report, </w:t>
      </w:r>
      <w:r w:rsidRPr="00D40600">
        <w:t xml:space="preserve">26 FCC Rcd at 9834 n.846.  </w:t>
      </w:r>
      <w:r w:rsidRPr="00D40600">
        <w:rPr>
          <w:i/>
        </w:rPr>
        <w:t>See Mobile Spectrum Holdings NPRM</w:t>
      </w:r>
      <w:r w:rsidRPr="00D40600">
        <w:t xml:space="preserve">, FCC 12-119, at ¶ 36 n. 106 (stating some countries conducting or planning auctions of spectrum reclaimed as part of the transition from analog to digital television have adopted various measures that recognize the differences between lower-frequency and higher-frequency spectrum in the context of spectrum aggregation limits.  </w:t>
      </w:r>
      <w:r w:rsidRPr="00D40600">
        <w:rPr>
          <w:i/>
        </w:rPr>
        <w:t xml:space="preserve">See, e.g., </w:t>
      </w:r>
      <w:r w:rsidRPr="00D40600">
        <w:t xml:space="preserve">Federal Network Agency, Decisions of the President’s Chamber of the Federal Network Agency for Electricity, Gas, Telecommunications, Post and Railway of 12 October 2009 on Combining the Award of Spectrum in the Bands 790 to 862 MHz, 1710 to 1725 MHz and 1805 to 1820 MHz with Proceedings to Award Spectrum in the Bands 1.8 GHz, 2 GHz and 2.6 GHz for Wireless Access for the Provision of Telecommunications Services, at 6 (2009), </w:t>
      </w:r>
      <w:r w:rsidRPr="006B53AA">
        <w:rPr>
          <w:i/>
        </w:rPr>
        <w:t>available at</w:t>
      </w:r>
      <w:r>
        <w:t xml:space="preserve"> </w:t>
      </w:r>
      <w:hyperlink r:id="rId84" w:tooltip="http://www.bundesnetzagentur.de/cae/servlet/contentblob/138364/publicationFile/3682/DecisionPresidentChamberTenor_ID17495pdf.pdf" w:history="1">
        <w:r w:rsidRPr="00D40600">
          <w:rPr>
            <w:rStyle w:val="Hyperlink"/>
          </w:rPr>
          <w:t>http://www.bundesnetzagentur.de/cae/servlet/contentblob/138364/publicationFile/3682/DecisionPresidentChamberTenor_ID17495pdf.pdf</w:t>
        </w:r>
      </w:hyperlink>
      <w:r w:rsidRPr="00D40600">
        <w:t xml:space="preserve"> </w:t>
      </w:r>
      <w:r>
        <w:t xml:space="preserve">(visited Nov. 30, 2012) </w:t>
      </w:r>
      <w:r w:rsidRPr="00D40600">
        <w:t xml:space="preserve">(adopting limits on sub-1GHz spectrum in Germany’s 4G auction) (last visited Aug. 7, 2012); Office of Communications (Ofcom), </w:t>
      </w:r>
      <w:r w:rsidRPr="00D40600">
        <w:rPr>
          <w:i/>
        </w:rPr>
        <w:t>Statement on Assessment of Future Mobile Competition and Award of 800 MHz and 2.6 GHz,</w:t>
      </w:r>
      <w:r w:rsidRPr="00D40600">
        <w:t xml:space="preserve"> at Executive Summary, page 3, (2012), </w:t>
      </w:r>
      <w:r w:rsidRPr="006B53AA">
        <w:rPr>
          <w:i/>
        </w:rPr>
        <w:t xml:space="preserve">available at </w:t>
      </w:r>
      <w:hyperlink r:id="rId85" w:history="1">
        <w:r w:rsidRPr="00D40600">
          <w:rPr>
            <w:rStyle w:val="Hyperlink"/>
          </w:rPr>
          <w:t>http://stakeholders.ofcom.org.uk/binaries/consultations/award-800mhz/statement/Statement-summary.pdf</w:t>
        </w:r>
      </w:hyperlink>
      <w:r w:rsidRPr="00D40600">
        <w:t xml:space="preserve">  </w:t>
      </w:r>
      <w:r w:rsidRPr="006B53AA">
        <w:t xml:space="preserve">(visited Nov. 30, 2012) </w:t>
      </w:r>
      <w:r w:rsidRPr="00D40600">
        <w:t>(adopting limits on sub-1 GHz spectrum in United Kingdom’s upcoming 4G</w:t>
      </w:r>
      <w:r>
        <w:t xml:space="preserve"> auction) (</w:t>
      </w:r>
      <w:r w:rsidRPr="00D40600">
        <w:t xml:space="preserve">visited Aug. 7, 2012). </w:t>
      </w:r>
    </w:p>
  </w:footnote>
  <w:footnote w:id="418">
    <w:p w:rsidR="00EC7CF3" w:rsidRDefault="00EC7CF3" w:rsidP="00610A7B">
      <w:pPr>
        <w:pStyle w:val="FootnoteText"/>
      </w:pPr>
      <w:r w:rsidRPr="00D40600">
        <w:rPr>
          <w:rStyle w:val="FootnoteReference"/>
          <w:sz w:val="20"/>
        </w:rPr>
        <w:footnoteRef/>
      </w:r>
      <w:r w:rsidRPr="00D40600">
        <w:t xml:space="preserve"> </w:t>
      </w:r>
      <w:r w:rsidRPr="00D40600">
        <w:rPr>
          <w:i/>
        </w:rPr>
        <w:t xml:space="preserve">See generally </w:t>
      </w:r>
      <w:r w:rsidRPr="00D40600">
        <w:t xml:space="preserve">FCC, </w:t>
      </w:r>
      <w:r w:rsidRPr="00D40600">
        <w:rPr>
          <w:i/>
        </w:rPr>
        <w:t>Auction 66 – Advanced Wireless Services</w:t>
      </w:r>
      <w:r w:rsidRPr="00D40600">
        <w:t xml:space="preserve">, </w:t>
      </w:r>
      <w:hyperlink r:id="rId86" w:history="1">
        <w:r w:rsidRPr="00D40600">
          <w:rPr>
            <w:rStyle w:val="Hyperlink"/>
          </w:rPr>
          <w:t>http://wireless.fcc.gov/auctions/default.htm?job=auction_summary&amp;id=66</w:t>
        </w:r>
      </w:hyperlink>
      <w:r>
        <w:t xml:space="preserve"> </w:t>
      </w:r>
      <w:r w:rsidRPr="006B53AA">
        <w:t>(visited Nov. 30, 2012)</w:t>
      </w:r>
      <w:r>
        <w:t>;</w:t>
      </w:r>
      <w:r w:rsidRPr="00D40600">
        <w:t xml:space="preserve"> FCC </w:t>
      </w:r>
      <w:r w:rsidRPr="00D40600">
        <w:rPr>
          <w:i/>
        </w:rPr>
        <w:t>Auction 73 – 700 MHz Band</w:t>
      </w:r>
      <w:r w:rsidRPr="00D40600">
        <w:t xml:space="preserve">, </w:t>
      </w:r>
      <w:hyperlink r:id="rId87" w:history="1">
        <w:r w:rsidRPr="00D40600">
          <w:rPr>
            <w:rStyle w:val="Hyperlink"/>
          </w:rPr>
          <w:t>http://wireless.fcc.gov/auctions/default.htm?job=auction_summary&amp;id=73</w:t>
        </w:r>
      </w:hyperlink>
      <w:r w:rsidRPr="003C42D3">
        <w:rPr>
          <w:rStyle w:val="Hyperlink"/>
          <w:u w:val="none"/>
        </w:rPr>
        <w:t xml:space="preserve"> </w:t>
      </w:r>
      <w:r>
        <w:t>(visited Nov. 30, 2012).</w:t>
      </w:r>
      <w:r w:rsidRPr="00D40600">
        <w:rPr>
          <w:snapToGrid w:val="0"/>
          <w:color w:val="000080"/>
          <w:kern w:val="28"/>
        </w:rPr>
        <w:t xml:space="preserve"> </w:t>
      </w:r>
    </w:p>
  </w:footnote>
  <w:footnote w:id="419">
    <w:p w:rsidR="00EC7CF3" w:rsidRDefault="00EC7CF3" w:rsidP="00610A7B">
      <w:pPr>
        <w:pStyle w:val="FootnoteText"/>
      </w:pPr>
      <w:r w:rsidRPr="00D40600">
        <w:rPr>
          <w:rStyle w:val="FootnoteReference"/>
          <w:sz w:val="20"/>
        </w:rPr>
        <w:footnoteRef/>
      </w:r>
      <w:r w:rsidRPr="00D40600">
        <w:t xml:space="preserve"> </w:t>
      </w:r>
      <w:r w:rsidRPr="00D40600">
        <w:rPr>
          <w:i/>
        </w:rPr>
        <w:t>See</w:t>
      </w:r>
      <w:r w:rsidRPr="00D40600">
        <w:t xml:space="preserve"> </w:t>
      </w:r>
      <w:r w:rsidRPr="00D40600">
        <w:rPr>
          <w:i/>
        </w:rPr>
        <w:t>Fifteenth Report</w:t>
      </w:r>
      <w:r w:rsidRPr="00D40600">
        <w:t>, 26 FCC Rcd at 9836-37 ¶ 296</w:t>
      </w:r>
      <w:r>
        <w:t>.</w:t>
      </w:r>
    </w:p>
  </w:footnote>
  <w:footnote w:id="420">
    <w:p w:rsidR="00EC7CF3" w:rsidRDefault="00EC7CF3" w:rsidP="00610A7B">
      <w:pPr>
        <w:pStyle w:val="FootnoteText"/>
      </w:pPr>
      <w:r w:rsidRPr="00D40600">
        <w:rPr>
          <w:rStyle w:val="FootnoteReference"/>
          <w:sz w:val="20"/>
        </w:rPr>
        <w:footnoteRef/>
      </w:r>
      <w:r w:rsidRPr="00D40600">
        <w:t xml:space="preserve"> AT&amp;T Comments, Docket No. 09-66, at 81-83, stating that “in areas that are capacity limited, there is likely to be no difference in the number of cells required at 700 MHz vs. 2.5 GHz.”</w:t>
      </w:r>
    </w:p>
  </w:footnote>
  <w:footnote w:id="421">
    <w:p w:rsidR="00EC7CF3" w:rsidRDefault="00EC7CF3" w:rsidP="00610A7B">
      <w:pPr>
        <w:pStyle w:val="FootnoteText"/>
      </w:pPr>
      <w:r w:rsidRPr="00D40600">
        <w:rPr>
          <w:rStyle w:val="FootnoteReference"/>
          <w:sz w:val="20"/>
        </w:rPr>
        <w:footnoteRef/>
      </w:r>
      <w:r w:rsidRPr="00D40600">
        <w:t xml:space="preserve"> </w:t>
      </w:r>
      <w:r w:rsidRPr="00D40600">
        <w:rPr>
          <w:i/>
        </w:rPr>
        <w:t>See</w:t>
      </w:r>
      <w:r w:rsidRPr="00D40600">
        <w:t xml:space="preserve"> </w:t>
      </w:r>
      <w:r w:rsidRPr="00D40600">
        <w:rPr>
          <w:i/>
        </w:rPr>
        <w:t>Fifteenth Report</w:t>
      </w:r>
      <w:r w:rsidRPr="00D40600">
        <w:t>, 26 FCC Rcd at 9836-37 ¶ 296.</w:t>
      </w:r>
    </w:p>
  </w:footnote>
  <w:footnote w:id="422">
    <w:p w:rsidR="00EC7CF3" w:rsidRDefault="00EC7CF3" w:rsidP="00610A7B">
      <w:pPr>
        <w:pStyle w:val="FootnoteText"/>
      </w:pPr>
      <w:r w:rsidRPr="00D40600">
        <w:rPr>
          <w:rStyle w:val="FootnoteReference"/>
          <w:sz w:val="20"/>
        </w:rPr>
        <w:footnoteRef/>
      </w:r>
      <w:r w:rsidRPr="00D40600">
        <w:t xml:space="preserve"> </w:t>
      </w:r>
      <w:r w:rsidRPr="00D40600">
        <w:rPr>
          <w:i/>
        </w:rPr>
        <w:t>See</w:t>
      </w:r>
      <w:r w:rsidRPr="00D40600">
        <w:t xml:space="preserve"> </w:t>
      </w:r>
      <w:r w:rsidRPr="00D40600">
        <w:rPr>
          <w:i/>
        </w:rPr>
        <w:t>Fifteenth Report</w:t>
      </w:r>
      <w:r w:rsidRPr="00D40600">
        <w:t>, 26 FCC Rcd at 9836-37 ¶ 296</w:t>
      </w:r>
      <w:r w:rsidRPr="00D40600">
        <w:rPr>
          <w:i/>
        </w:rPr>
        <w:t>.</w:t>
      </w:r>
    </w:p>
  </w:footnote>
  <w:footnote w:id="423">
    <w:p w:rsidR="00EC7CF3" w:rsidRDefault="00EC7CF3" w:rsidP="00610A7B">
      <w:pPr>
        <w:pStyle w:val="FootnoteText"/>
      </w:pPr>
      <w:r w:rsidRPr="00D40600">
        <w:rPr>
          <w:rStyle w:val="FootnoteReference"/>
          <w:sz w:val="20"/>
        </w:rPr>
        <w:footnoteRef/>
      </w:r>
      <w:r w:rsidRPr="00D40600">
        <w:t xml:space="preserve"> </w:t>
      </w:r>
      <w:r w:rsidRPr="00D40600">
        <w:rPr>
          <w:i/>
        </w:rPr>
        <w:t>See</w:t>
      </w:r>
      <w:r w:rsidRPr="00D40600">
        <w:t xml:space="preserve"> </w:t>
      </w:r>
      <w:r w:rsidRPr="00D40600">
        <w:rPr>
          <w:i/>
        </w:rPr>
        <w:t>Fifteenth Report</w:t>
      </w:r>
      <w:r w:rsidRPr="00D40600">
        <w:t>, 26 FCC Rcd at 9836-37 ¶ 296.</w:t>
      </w:r>
    </w:p>
  </w:footnote>
  <w:footnote w:id="424">
    <w:p w:rsidR="00EC7CF3" w:rsidRDefault="00EC7CF3" w:rsidP="00610A7B">
      <w:pPr>
        <w:pStyle w:val="FootnoteText"/>
      </w:pPr>
      <w:r w:rsidRPr="00D40600">
        <w:rPr>
          <w:rStyle w:val="FootnoteReference"/>
          <w:sz w:val="20"/>
        </w:rPr>
        <w:footnoteRef/>
      </w:r>
      <w:r w:rsidRPr="00D40600">
        <w:t xml:space="preserve"> </w:t>
      </w:r>
      <w:r w:rsidRPr="00D40600">
        <w:rPr>
          <w:i/>
        </w:rPr>
        <w:t xml:space="preserve">See AT&amp;T-Qualcomm Order, </w:t>
      </w:r>
      <w:r w:rsidRPr="00D40600">
        <w:t>26 FCC Rcd at 17609-11 ¶ 49, n.140.</w:t>
      </w:r>
    </w:p>
  </w:footnote>
  <w:footnote w:id="425">
    <w:p w:rsidR="00EC7CF3" w:rsidRDefault="00EC7CF3" w:rsidP="00610A7B">
      <w:pPr>
        <w:pStyle w:val="FootnoteText"/>
      </w:pPr>
      <w:r w:rsidRPr="00D40600">
        <w:rPr>
          <w:rStyle w:val="FootnoteReference"/>
          <w:sz w:val="20"/>
        </w:rPr>
        <w:footnoteRef/>
      </w:r>
      <w:r w:rsidRPr="00D40600">
        <w:t xml:space="preserve"> </w:t>
      </w:r>
      <w:r w:rsidRPr="00D40600">
        <w:rPr>
          <w:i/>
        </w:rPr>
        <w:t>See</w:t>
      </w:r>
      <w:r w:rsidRPr="00D40600">
        <w:t xml:space="preserve"> </w:t>
      </w:r>
      <w:r w:rsidRPr="00D40600">
        <w:rPr>
          <w:i/>
        </w:rPr>
        <w:t>Fifteenth Report</w:t>
      </w:r>
      <w:r w:rsidRPr="00D40600">
        <w:t xml:space="preserve">, 26 FCC Rcd at 9837 ¶ 297.  </w:t>
      </w:r>
      <w:r w:rsidRPr="00D40600">
        <w:rPr>
          <w:i/>
        </w:rPr>
        <w:t>See also  T-Mobile Dec. 2, 2010  Ex Parte Letter</w:t>
      </w:r>
      <w:r w:rsidRPr="00D40600">
        <w:t xml:space="preserve"> at 1-3, Attachment at 10-11 (stating that a mixture of low (below 1 GHz) and upper band spectrum is “important to building competitive high speed mobile broadband networks”); Alan Hadden, </w:t>
      </w:r>
      <w:r w:rsidRPr="00D40600">
        <w:rPr>
          <w:i/>
        </w:rPr>
        <w:t>Mobile Broadband — Where The Next Generation Leads Us</w:t>
      </w:r>
      <w:r w:rsidRPr="00D40600">
        <w:t xml:space="preserve">, Global Mobile Suppliers Association, Dec. 2009, </w:t>
      </w:r>
      <w:r w:rsidRPr="00D40600">
        <w:rPr>
          <w:i/>
        </w:rPr>
        <w:t>available at</w:t>
      </w:r>
      <w:r w:rsidRPr="00D40600">
        <w:t xml:space="preserve"> </w:t>
      </w:r>
      <w:hyperlink r:id="rId88" w:history="1">
        <w:r w:rsidRPr="00D40600">
          <w:rPr>
            <w:rStyle w:val="Hyperlink"/>
          </w:rPr>
          <w:t>http://www.gsacom.com/downloads/pdf/GSA_IEEE_articles1209.php4</w:t>
        </w:r>
      </w:hyperlink>
      <w:r w:rsidRPr="00D40600">
        <w:t>.</w:t>
      </w:r>
      <w:r>
        <w:t xml:space="preserve"> (visited Nov. 26, 2012)</w:t>
      </w:r>
    </w:p>
  </w:footnote>
  <w:footnote w:id="426">
    <w:p w:rsidR="00EC7CF3" w:rsidRDefault="00EC7CF3" w:rsidP="00610A7B">
      <w:pPr>
        <w:pStyle w:val="FootnoteText"/>
      </w:pPr>
      <w:r w:rsidRPr="00D40600">
        <w:rPr>
          <w:rStyle w:val="FootnoteReference"/>
          <w:sz w:val="20"/>
        </w:rPr>
        <w:footnoteRef/>
      </w:r>
      <w:r w:rsidRPr="00D40600">
        <w:t xml:space="preserve"> </w:t>
      </w:r>
      <w:r w:rsidRPr="00D40600">
        <w:rPr>
          <w:i/>
        </w:rPr>
        <w:t>See</w:t>
      </w:r>
      <w:r w:rsidRPr="00D40600">
        <w:t xml:space="preserve"> </w:t>
      </w:r>
      <w:r w:rsidRPr="00D40600">
        <w:rPr>
          <w:i/>
        </w:rPr>
        <w:t>Fifteenth Report</w:t>
      </w:r>
      <w:r w:rsidRPr="00D40600">
        <w:t>, 26 FCC Rcd at 9837 ¶ 297</w:t>
      </w:r>
      <w:r w:rsidRPr="00D40600">
        <w:rPr>
          <w:b/>
          <w:i/>
        </w:rPr>
        <w:t>.</w:t>
      </w:r>
      <w:r w:rsidRPr="00D40600">
        <w:rPr>
          <w:b/>
        </w:rPr>
        <w:t xml:space="preserve">  </w:t>
      </w:r>
      <w:r w:rsidRPr="00E23747">
        <w:rPr>
          <w:i/>
        </w:rPr>
        <w:t>See also</w:t>
      </w:r>
      <w:r w:rsidRPr="00D40600">
        <w:t xml:space="preserve"> Alan Hadden, </w:t>
      </w:r>
      <w:r w:rsidRPr="00D40600">
        <w:rPr>
          <w:i/>
        </w:rPr>
        <w:t>Mobile Broadband — Where The Next Generation Leads Us</w:t>
      </w:r>
      <w:r w:rsidRPr="00D40600">
        <w:t xml:space="preserve">, Global Mobile Suppliers Association, Dec. 2009, </w:t>
      </w:r>
      <w:r w:rsidRPr="00D40600">
        <w:rPr>
          <w:i/>
        </w:rPr>
        <w:t>available at</w:t>
      </w:r>
      <w:r w:rsidRPr="00D40600">
        <w:t xml:space="preserve"> </w:t>
      </w:r>
      <w:hyperlink r:id="rId89" w:history="1">
        <w:r w:rsidRPr="00D40600">
          <w:rPr>
            <w:rStyle w:val="Hyperlink"/>
          </w:rPr>
          <w:t>http://www.gsacom.com/downloads/pdf/GSA_IEEE_articles1209.php4</w:t>
        </w:r>
      </w:hyperlink>
      <w:r>
        <w:rPr>
          <w:rStyle w:val="Hyperlink"/>
        </w:rPr>
        <w:t xml:space="preserve"> (visited Nov. 26, 2012)</w:t>
      </w:r>
      <w:r w:rsidRPr="00D40600">
        <w:t xml:space="preserve"> (“A combination of higher spectrum (</w:t>
      </w:r>
      <w:r w:rsidRPr="00D40600">
        <w:rPr>
          <w:i/>
        </w:rPr>
        <w:t>e.g.</w:t>
      </w:r>
      <w:r w:rsidRPr="00D40600">
        <w:t>, 1.8 GHz, 2.1 GHz, 2.6 GHz) for the capacity layer, and sub-1 GHz spectrum for improved coverage in rural areas and for urban in-building, is considered optimal.”).</w:t>
      </w:r>
    </w:p>
  </w:footnote>
  <w:footnote w:id="427">
    <w:p w:rsidR="00EC7CF3" w:rsidRDefault="00EC7CF3" w:rsidP="00610A7B">
      <w:pPr>
        <w:pStyle w:val="FootnoteText"/>
      </w:pPr>
      <w:r w:rsidRPr="00D40600">
        <w:rPr>
          <w:rStyle w:val="FootnoteReference"/>
          <w:sz w:val="20"/>
        </w:rPr>
        <w:footnoteRef/>
      </w:r>
      <w:r w:rsidRPr="00D40600">
        <w:t xml:space="preserve"> SunCom Wireless License Company, LLC, a wholly owned subsidiary of T-Mobile, holds a Cellular license for CMA629-South Carolina 5-Georgetown (call sign KNKN557).</w:t>
      </w:r>
    </w:p>
  </w:footnote>
  <w:footnote w:id="428">
    <w:p w:rsidR="00EC7CF3" w:rsidRPr="00D40600" w:rsidRDefault="00EC7CF3" w:rsidP="00212065">
      <w:pPr>
        <w:rPr>
          <w:color w:val="1F497D"/>
          <w:sz w:val="20"/>
        </w:rPr>
      </w:pPr>
      <w:r w:rsidRPr="00D40600">
        <w:rPr>
          <w:rStyle w:val="FootnoteReference"/>
          <w:sz w:val="20"/>
        </w:rPr>
        <w:footnoteRef/>
      </w:r>
      <w:r w:rsidRPr="00D40600">
        <w:rPr>
          <w:color w:val="1F497D"/>
          <w:sz w:val="20"/>
        </w:rPr>
        <w:t xml:space="preserve"> </w:t>
      </w:r>
      <w:r w:rsidRPr="006B53AA">
        <w:rPr>
          <w:sz w:val="20"/>
        </w:rPr>
        <w:t xml:space="preserve">On October 18, 2012, Sprint Nextel announced that it would increase its stake in Clearwire from approximately 48% to over 50% through its acquisition of Eagle River’s  stake in Clearwire </w:t>
      </w:r>
      <w:hyperlink r:id="rId90" w:history="1">
        <w:r w:rsidRPr="00D40600">
          <w:rPr>
            <w:rStyle w:val="Hyperlink"/>
            <w:sz w:val="20"/>
          </w:rPr>
          <w:t>http://www.sec.gov/Archives/edgar/data/101830/000119312512426578/d424777dex9929.htm</w:t>
        </w:r>
      </w:hyperlink>
      <w:r w:rsidRPr="006B53AA">
        <w:rPr>
          <w:sz w:val="20"/>
        </w:rPr>
        <w:t xml:space="preserve"> (visited Nov. 30, 2012)</w:t>
      </w:r>
      <w:r>
        <w:rPr>
          <w:sz w:val="20"/>
        </w:rPr>
        <w:t>;</w:t>
      </w:r>
      <w:r w:rsidRPr="006B53AA">
        <w:rPr>
          <w:sz w:val="20"/>
        </w:rPr>
        <w:t xml:space="preserve">  </w:t>
      </w:r>
      <w:hyperlink r:id="rId91" w:history="1">
        <w:r w:rsidRPr="00D40600">
          <w:rPr>
            <w:rStyle w:val="Hyperlink"/>
            <w:sz w:val="20"/>
          </w:rPr>
          <w:t>http://www.sec.gov/Archives/edgar/data/101830/000119312512426578/d424777dsc13da.htm</w:t>
        </w:r>
      </w:hyperlink>
      <w:r>
        <w:rPr>
          <w:rStyle w:val="Hyperlink"/>
          <w:sz w:val="20"/>
        </w:rPr>
        <w:t xml:space="preserve"> </w:t>
      </w:r>
    </w:p>
    <w:p w:rsidR="00EC7CF3" w:rsidRDefault="00EC7CF3" w:rsidP="00F6448E">
      <w:r w:rsidRPr="006B53AA">
        <w:rPr>
          <w:sz w:val="20"/>
        </w:rPr>
        <w:t>(visited Oct. 25, 2012).</w:t>
      </w:r>
      <w:r w:rsidRPr="006B53AA">
        <w:rPr>
          <w:i/>
          <w:sz w:val="20"/>
        </w:rPr>
        <w:t xml:space="preserve"> </w:t>
      </w:r>
      <w:r w:rsidRPr="00D40600">
        <w:rPr>
          <w:sz w:val="20"/>
        </w:rPr>
        <w:t xml:space="preserve">We note that since the </w:t>
      </w:r>
      <w:r w:rsidRPr="00D40600">
        <w:rPr>
          <w:i/>
          <w:sz w:val="20"/>
        </w:rPr>
        <w:t>Sprint Nextel-Clearwire Order,</w:t>
      </w:r>
      <w:r w:rsidRPr="00D40600">
        <w:rPr>
          <w:sz w:val="20"/>
        </w:rPr>
        <w:t xml:space="preserve"> the</w:t>
      </w:r>
      <w:r w:rsidRPr="00D40600">
        <w:rPr>
          <w:i/>
          <w:sz w:val="20"/>
        </w:rPr>
        <w:t xml:space="preserve"> </w:t>
      </w:r>
      <w:r w:rsidRPr="00D40600">
        <w:rPr>
          <w:sz w:val="20"/>
        </w:rPr>
        <w:t>Commission</w:t>
      </w:r>
      <w:r w:rsidRPr="00D40600">
        <w:rPr>
          <w:bCs/>
          <w:sz w:val="20"/>
        </w:rPr>
        <w:t xml:space="preserve"> has attributed Clearwire to Sprint Nextel because Sprint Nextel owns more than a 10 percent equity interest in Clearwire.</w:t>
      </w:r>
      <w:r w:rsidRPr="00D40600">
        <w:rPr>
          <w:sz w:val="20"/>
        </w:rPr>
        <w:t xml:space="preserve">  </w:t>
      </w:r>
      <w:r w:rsidRPr="00D40600">
        <w:rPr>
          <w:i/>
          <w:sz w:val="20"/>
        </w:rPr>
        <w:t xml:space="preserve">See e.g. </w:t>
      </w:r>
      <w:r w:rsidRPr="00D40600">
        <w:rPr>
          <w:sz w:val="20"/>
        </w:rPr>
        <w:t xml:space="preserve">Sprint Nextel Corporation and Clearwire Corporation, Applications for Consent to Transfer Control of Licenses, Leases, and Authorizations, WT Docket No. 08-94, </w:t>
      </w:r>
      <w:r w:rsidRPr="00D40600">
        <w:rPr>
          <w:i/>
          <w:iCs/>
          <w:sz w:val="20"/>
        </w:rPr>
        <w:t>Memorandum Opinion and Order</w:t>
      </w:r>
      <w:r w:rsidRPr="00D40600">
        <w:rPr>
          <w:sz w:val="20"/>
        </w:rPr>
        <w:t>, 23 FCC Rcd 17570 (2008) (</w:t>
      </w:r>
      <w:r w:rsidRPr="00D40600">
        <w:rPr>
          <w:i/>
          <w:sz w:val="20"/>
        </w:rPr>
        <w:t>Sprint Nextel-Clearwire Order</w:t>
      </w:r>
      <w:r w:rsidRPr="00D40600">
        <w:rPr>
          <w:sz w:val="20"/>
        </w:rPr>
        <w:t xml:space="preserve">). </w:t>
      </w:r>
    </w:p>
  </w:footnote>
  <w:footnote w:id="429">
    <w:p w:rsidR="00EC7CF3" w:rsidRDefault="00EC7CF3" w:rsidP="0044381D">
      <w:r>
        <w:rPr>
          <w:rStyle w:val="FootnoteReference"/>
        </w:rPr>
        <w:footnoteRef/>
      </w:r>
      <w:r>
        <w:t xml:space="preserve"> </w:t>
      </w:r>
      <w:r w:rsidRPr="00B16730">
        <w:rPr>
          <w:sz w:val="20"/>
        </w:rPr>
        <w:t>Estimates do not include the WCS spectrum that was added to the spectrum screen in December 2012, 5.4 billion MH</w:t>
      </w:r>
      <w:r>
        <w:rPr>
          <w:sz w:val="20"/>
        </w:rPr>
        <w:t>z-Pops of which is held by AT&amp;T</w:t>
      </w:r>
      <w:r w:rsidRPr="00CF6FE7">
        <w:rPr>
          <w:sz w:val="20"/>
        </w:rPr>
        <w:t>.</w:t>
      </w:r>
    </w:p>
    <w:p w:rsidR="00EC7CF3" w:rsidRDefault="00EC7CF3">
      <w:pPr>
        <w:pStyle w:val="FootnoteText"/>
      </w:pPr>
    </w:p>
  </w:footnote>
  <w:footnote w:id="430">
    <w:p w:rsidR="00EC7CF3" w:rsidRDefault="00EC7CF3" w:rsidP="003D2EAE">
      <w:pPr>
        <w:pStyle w:val="FootnoteText"/>
      </w:pPr>
      <w:r w:rsidRPr="00D40600">
        <w:rPr>
          <w:rStyle w:val="FootnoteReference"/>
          <w:sz w:val="20"/>
        </w:rPr>
        <w:footnoteRef/>
      </w:r>
      <w:r w:rsidRPr="00D40600">
        <w:t xml:space="preserve"> </w:t>
      </w:r>
      <w:r w:rsidRPr="00D40600">
        <w:rPr>
          <w:i/>
        </w:rPr>
        <w:t>See AT&amp;T-Dobson Order</w:t>
      </w:r>
      <w:r w:rsidRPr="00D40600">
        <w:t xml:space="preserve">, 22 FCC Rcd at 20311-12 ¶¶ 26-27.   </w:t>
      </w:r>
    </w:p>
  </w:footnote>
  <w:footnote w:id="431">
    <w:p w:rsidR="00EC7CF3" w:rsidRDefault="00EC7CF3" w:rsidP="003D2EAE">
      <w:pPr>
        <w:pStyle w:val="FootnoteText"/>
        <w:tabs>
          <w:tab w:val="center" w:pos="4320"/>
        </w:tabs>
      </w:pPr>
      <w:r w:rsidRPr="00D40600">
        <w:rPr>
          <w:rStyle w:val="FootnoteReference"/>
          <w:sz w:val="20"/>
        </w:rPr>
        <w:footnoteRef/>
      </w:r>
      <w:r>
        <w:t xml:space="preserve"> </w:t>
      </w:r>
      <w:r w:rsidRPr="00296FBE">
        <w:rPr>
          <w:i/>
        </w:rPr>
        <w:t>See</w:t>
      </w:r>
      <w:r w:rsidRPr="00D40600">
        <w:t xml:space="preserve"> </w:t>
      </w:r>
      <w:r w:rsidRPr="00D40600">
        <w:rPr>
          <w:i/>
        </w:rPr>
        <w:t>AT&amp;T-Dobson Order</w:t>
      </w:r>
      <w:r w:rsidRPr="00D40600">
        <w:t>, 22 FCC Rcd at 20311 ¶ 26.</w:t>
      </w:r>
    </w:p>
  </w:footnote>
  <w:footnote w:id="432">
    <w:p w:rsidR="00EC7CF3" w:rsidRDefault="00EC7CF3" w:rsidP="003D2EAE">
      <w:pPr>
        <w:pStyle w:val="FootnoteText"/>
      </w:pPr>
      <w:r w:rsidRPr="00D40600">
        <w:rPr>
          <w:rStyle w:val="FootnoteReference"/>
          <w:sz w:val="20"/>
        </w:rPr>
        <w:footnoteRef/>
      </w:r>
      <w:r w:rsidRPr="00D40600">
        <w:t xml:space="preserve"> </w:t>
      </w:r>
      <w:r w:rsidRPr="00D40600">
        <w:rPr>
          <w:i/>
        </w:rPr>
        <w:t>AT&amp;T-Dobson Order</w:t>
      </w:r>
      <w:r w:rsidRPr="00D40600">
        <w:t>, 22 FCC Rcd at 20313-14 ¶ 31.</w:t>
      </w:r>
    </w:p>
  </w:footnote>
  <w:footnote w:id="433">
    <w:p w:rsidR="00EC7CF3" w:rsidRDefault="00EC7CF3" w:rsidP="003D2EAE">
      <w:pPr>
        <w:pStyle w:val="FootnoteText"/>
      </w:pPr>
      <w:r w:rsidRPr="00D40600">
        <w:rPr>
          <w:rStyle w:val="FootnoteReference"/>
          <w:sz w:val="20"/>
        </w:rPr>
        <w:footnoteRef/>
      </w:r>
      <w:r w:rsidRPr="00D40600">
        <w:t xml:space="preserve"> </w:t>
      </w:r>
      <w:r w:rsidRPr="00D40600">
        <w:rPr>
          <w:i/>
        </w:rPr>
        <w:t>Sprint Nextel-Clearwire Order</w:t>
      </w:r>
      <w:r w:rsidRPr="00D40600">
        <w:t xml:space="preserve">, 23 FCC Rcd at 17596-600 ¶¶ 61-73.  As discussed above, in reviewing proposed merger transactions that involve spectrum aggregation, the Commission examines market participants’ holdings of suitable spectrum to ensure that there is sufficient spectrum available to competitors. </w:t>
      </w:r>
    </w:p>
  </w:footnote>
  <w:footnote w:id="434">
    <w:p w:rsidR="00EC7CF3" w:rsidRDefault="00EC7CF3" w:rsidP="003D2EAE">
      <w:pPr>
        <w:pStyle w:val="FootnoteText"/>
      </w:pPr>
      <w:r w:rsidRPr="00D40600">
        <w:rPr>
          <w:rStyle w:val="FootnoteReference"/>
          <w:sz w:val="20"/>
        </w:rPr>
        <w:footnoteRef/>
      </w:r>
      <w:r w:rsidRPr="00D40600">
        <w:t xml:space="preserve"> </w:t>
      </w:r>
      <w:r w:rsidRPr="00D40600">
        <w:rPr>
          <w:i/>
        </w:rPr>
        <w:t>See Sprint Nextel-Clearwire Order</w:t>
      </w:r>
      <w:r w:rsidRPr="00D40600">
        <w:t>, 23 FCC Rcd at 17596-600 ¶¶ 61-73</w:t>
      </w:r>
      <w:r w:rsidRPr="00D40600">
        <w:rPr>
          <w:i/>
        </w:rPr>
        <w:t>.</w:t>
      </w:r>
      <w:r w:rsidRPr="00D40600">
        <w:t xml:space="preserve"> </w:t>
      </w:r>
    </w:p>
  </w:footnote>
  <w:footnote w:id="435">
    <w:p w:rsidR="00EC7CF3" w:rsidRDefault="00EC7CF3" w:rsidP="003D2EAE">
      <w:pPr>
        <w:pStyle w:val="FootnoteText"/>
      </w:pPr>
      <w:r w:rsidRPr="00D40600">
        <w:rPr>
          <w:rStyle w:val="FootnoteReference"/>
          <w:sz w:val="20"/>
        </w:rPr>
        <w:footnoteRef/>
      </w:r>
      <w:r w:rsidRPr="00D40600">
        <w:t xml:space="preserve"> </w:t>
      </w:r>
      <w:r w:rsidRPr="00D40600">
        <w:rPr>
          <w:i/>
        </w:rPr>
        <w:t>See Sprint Nextel-Clearwire Order</w:t>
      </w:r>
      <w:r w:rsidRPr="00D40600">
        <w:t xml:space="preserve">, 23 FCC Rcd at 17596 ¶ 61; </w:t>
      </w:r>
      <w:r w:rsidRPr="00D40600">
        <w:rPr>
          <w:i/>
        </w:rPr>
        <w:t>Verizon Wireless-Alltel Order</w:t>
      </w:r>
      <w:r w:rsidRPr="00D40600">
        <w:t xml:space="preserve">, 23 FCC Rcd at 17469-70 ¶¶ 45-47. </w:t>
      </w:r>
    </w:p>
  </w:footnote>
  <w:footnote w:id="436">
    <w:p w:rsidR="00EC7CF3" w:rsidRDefault="00EC7CF3" w:rsidP="003D2EAE">
      <w:pPr>
        <w:pStyle w:val="FootnoteText"/>
      </w:pPr>
      <w:r w:rsidRPr="00D40600">
        <w:rPr>
          <w:rStyle w:val="FootnoteReference"/>
          <w:sz w:val="20"/>
        </w:rPr>
        <w:footnoteRef/>
      </w:r>
      <w:r w:rsidRPr="00D40600">
        <w:t xml:space="preserve"> </w:t>
      </w:r>
      <w:r w:rsidRPr="00D40600">
        <w:rPr>
          <w:i/>
        </w:rPr>
        <w:t>See</w:t>
      </w:r>
      <w:r w:rsidRPr="00D40600">
        <w:t xml:space="preserve"> </w:t>
      </w:r>
      <w:r w:rsidRPr="00D40600">
        <w:rPr>
          <w:i/>
          <w:iCs/>
        </w:rPr>
        <w:t>Mobile Spectrum Holdings NPRM</w:t>
      </w:r>
      <w:r w:rsidRPr="00D40600">
        <w:t>, FCC 12-119, at ¶¶ 26-29 (rel. Sept. 28, 2012).</w:t>
      </w:r>
    </w:p>
  </w:footnote>
  <w:footnote w:id="437">
    <w:p w:rsidR="00EC7CF3" w:rsidRDefault="00EC7CF3" w:rsidP="00610A7B">
      <w:pPr>
        <w:pStyle w:val="FootnoteText"/>
      </w:pPr>
      <w:r w:rsidRPr="00D40600">
        <w:rPr>
          <w:rStyle w:val="FootnoteReference"/>
          <w:sz w:val="20"/>
        </w:rPr>
        <w:footnoteRef/>
      </w:r>
      <w:r w:rsidRPr="00D40600">
        <w:t xml:space="preserve"> Application of Cellco Partnership d/b/a Verizon Wireless and SpectrumCo, LLC For Consent to Assign Licenses, Application of Cellco Partnership d/b/a Verizon Wireless and Cox TMI Wireless, LLC For Consent to Assign Licenses, WT Docket No. 12-4, Joint Opposition to Petitions to Deny and Comments, William Stone Supp. Decl. at at ¶ 25 (Mar. 2, 2012).</w:t>
      </w:r>
    </w:p>
  </w:footnote>
  <w:footnote w:id="438">
    <w:p w:rsidR="00EC7CF3" w:rsidRDefault="00EC7CF3" w:rsidP="00610A7B">
      <w:pPr>
        <w:pStyle w:val="FootnoteText"/>
      </w:pPr>
      <w:r w:rsidRPr="00D40600">
        <w:rPr>
          <w:rStyle w:val="FootnoteReference"/>
          <w:sz w:val="20"/>
        </w:rPr>
        <w:footnoteRef/>
      </w:r>
      <w:r w:rsidRPr="00D40600">
        <w:t xml:space="preserve"> </w:t>
      </w:r>
      <w:r w:rsidRPr="00D40600">
        <w:rPr>
          <w:i/>
        </w:rPr>
        <w:t>Mobile Spectrum Holdings NPRM</w:t>
      </w:r>
      <w:r w:rsidRPr="00D40600">
        <w:t>, FCC 12-119, at ¶¶ 35-36.</w:t>
      </w:r>
    </w:p>
  </w:footnote>
  <w:footnote w:id="439">
    <w:p w:rsidR="00EC7CF3" w:rsidRDefault="00EC7CF3" w:rsidP="004F3855">
      <w:pPr>
        <w:pStyle w:val="FootnoteText"/>
      </w:pPr>
      <w:r w:rsidRPr="00FE5EC9">
        <w:rPr>
          <w:rStyle w:val="FootnoteReference"/>
        </w:rPr>
        <w:footnoteRef/>
      </w:r>
      <w:r w:rsidRPr="00FE5EC9">
        <w:t xml:space="preserve"> However, following changes in the market, the terms </w:t>
      </w:r>
      <w:r w:rsidRPr="00FE5EC9">
        <w:rPr>
          <w:i/>
        </w:rPr>
        <w:t>post-paid</w:t>
      </w:r>
      <w:r w:rsidRPr="00FE5EC9">
        <w:t xml:space="preserve"> and </w:t>
      </w:r>
      <w:r w:rsidRPr="00FE5EC9">
        <w:rPr>
          <w:i/>
        </w:rPr>
        <w:t>pre-paid</w:t>
      </w:r>
      <w:r w:rsidRPr="00FE5EC9">
        <w:t xml:space="preserve"> have evolved to be nearly synonymous with multi-month </w:t>
      </w:r>
      <w:r w:rsidRPr="00FE5EC9">
        <w:rPr>
          <w:i/>
        </w:rPr>
        <w:t>contract</w:t>
      </w:r>
      <w:r w:rsidRPr="00FE5EC9">
        <w:t xml:space="preserve"> and </w:t>
      </w:r>
      <w:r w:rsidRPr="00FE5EC9">
        <w:rPr>
          <w:i/>
        </w:rPr>
        <w:t>no contract</w:t>
      </w:r>
      <w:r w:rsidRPr="00FE5EC9">
        <w:t xml:space="preserve">, respectively.  The post-paid and pre-paid categories are industry conventions, and not always indicative of when customers pay their charges relative to the timing of the services used.  In practice, with some post-paid plans, some charges are billed in advance of the service and others are billed after the customer has used the service.  For example, the terms and conditions of Sprint state “Your bill provides you notice of your charges.  It reflects monthly recurring charges (usually billed one bill cycle in advance), fees, taxes, Surcharges, product and equipment charges, subscription charges and usage/transaction specific charges (usually billed in the bill cycle in which they’re incurred).  Some usage charges, such as those that depend on usage information from a third party, may be billed in subsequent bill cycles and result in higher than expected charges for that month.”  </w:t>
      </w:r>
      <w:r w:rsidRPr="00FE5EC9">
        <w:rPr>
          <w:i/>
        </w:rPr>
        <w:t>See</w:t>
      </w:r>
      <w:r w:rsidRPr="00FE5EC9">
        <w:t xml:space="preserve"> Sprint Nextel, </w:t>
      </w:r>
      <w:hyperlink r:id="rId92" w:history="1">
        <w:r w:rsidRPr="00FE5EC9">
          <w:rPr>
            <w:rStyle w:val="Hyperlink"/>
          </w:rPr>
          <w:t>https://shop2.sprint.com/en/legal/os_general_terms_conditions_popup.shtml</w:t>
        </w:r>
      </w:hyperlink>
      <w:r w:rsidRPr="00FE5EC9">
        <w:t xml:space="preserve"> (visited Nov. 11, 2011).</w:t>
      </w:r>
    </w:p>
  </w:footnote>
  <w:footnote w:id="440">
    <w:p w:rsidR="00EC7CF3" w:rsidRDefault="00EC7CF3" w:rsidP="004F3855">
      <w:pPr>
        <w:pStyle w:val="FootnoteText"/>
      </w:pPr>
      <w:r w:rsidRPr="00FE5EC9">
        <w:rPr>
          <w:rStyle w:val="FootnoteReference"/>
        </w:rPr>
        <w:footnoteRef/>
      </w:r>
      <w:r w:rsidRPr="00FE5EC9">
        <w:t xml:space="preserve"> The geographic coverage of any particular pricing plan or offer may vary across regional ma</w:t>
      </w:r>
      <w:r>
        <w:t xml:space="preserve">rkets for a number of reasons.  </w:t>
      </w:r>
      <w:r w:rsidRPr="00FE5EC9">
        <w:t>In some cases, service providers may not offer certain broadband data plans in geographic markets where they have no</w:t>
      </w:r>
      <w:r>
        <w:t xml:space="preserve">t yet upgraded their networks.  </w:t>
      </w:r>
      <w:r w:rsidRPr="00FE5EC9">
        <w:t>In other cases, service providers conduct pilot tests of new pricing plans (or changes in existing pricing plans) in selected regional markets before offering them across the re</w:t>
      </w:r>
      <w:r>
        <w:t xml:space="preserve">st of their network footprint.  </w:t>
      </w:r>
      <w:r w:rsidRPr="00FE5EC9">
        <w:t xml:space="preserve">We do not attempt to make a systematic determination of the geographic availability of the pricing plans and rates covered in this section of the </w:t>
      </w:r>
      <w:r w:rsidRPr="00FE5EC9">
        <w:rPr>
          <w:i/>
        </w:rPr>
        <w:t>Report</w:t>
      </w:r>
      <w:r>
        <w:t xml:space="preserve"> on a market-by-market basis.  </w:t>
      </w:r>
      <w:r w:rsidRPr="00FE5EC9">
        <w:t xml:space="preserve">Therefore, we make no claims about whether the pricing plans and rates covered by the </w:t>
      </w:r>
      <w:r w:rsidRPr="00FE5EC9">
        <w:rPr>
          <w:i/>
        </w:rPr>
        <w:t>Report</w:t>
      </w:r>
      <w:r w:rsidRPr="00FE5EC9">
        <w:t xml:space="preserve"> are representative of the plans and rates available in any given geographic market.</w:t>
      </w:r>
    </w:p>
  </w:footnote>
  <w:footnote w:id="441">
    <w:p w:rsidR="00EC7CF3" w:rsidRDefault="00EC7CF3" w:rsidP="00F1004B">
      <w:pPr>
        <w:pStyle w:val="FootnoteText"/>
      </w:pPr>
      <w:r w:rsidRPr="00FE5EC9">
        <w:rPr>
          <w:rStyle w:val="FootnoteReference"/>
        </w:rPr>
        <w:footnoteRef/>
      </w:r>
      <w:r w:rsidRPr="00FE5EC9">
        <w:t xml:space="preserve"> </w:t>
      </w:r>
      <w:r w:rsidRPr="00FE5EC9">
        <w:rPr>
          <w:i/>
          <w:iCs/>
        </w:rPr>
        <w:t>Fifteenth Report</w:t>
      </w:r>
      <w:r w:rsidRPr="00FE5EC9">
        <w:rPr>
          <w:iCs/>
        </w:rPr>
        <w:t>,</w:t>
      </w:r>
      <w:r w:rsidRPr="00FE5EC9">
        <w:rPr>
          <w:i/>
          <w:iCs/>
        </w:rPr>
        <w:t xml:space="preserve"> </w:t>
      </w:r>
      <w:r w:rsidRPr="00FE5EC9">
        <w:rPr>
          <w:iCs/>
        </w:rPr>
        <w:t>26 FCC Rcd at 9725-27 ¶¶ 85-87.</w:t>
      </w:r>
    </w:p>
  </w:footnote>
  <w:footnote w:id="442">
    <w:p w:rsidR="00EC7CF3" w:rsidRDefault="00EC7CF3" w:rsidP="00F1004B">
      <w:pPr>
        <w:pStyle w:val="FootnoteText"/>
      </w:pPr>
      <w:r w:rsidRPr="00FE5EC9">
        <w:rPr>
          <w:rStyle w:val="FootnoteReference"/>
        </w:rPr>
        <w:footnoteRef/>
      </w:r>
      <w:r w:rsidRPr="00FE5EC9">
        <w:t xml:space="preserve"> </w:t>
      </w:r>
      <w:r w:rsidRPr="00FE5EC9">
        <w:rPr>
          <w:i/>
        </w:rPr>
        <w:t>Fifteenth Report</w:t>
      </w:r>
      <w:r w:rsidRPr="00FE5EC9">
        <w:t xml:space="preserve">, </w:t>
      </w:r>
      <w:r w:rsidRPr="00FE5EC9">
        <w:rPr>
          <w:iCs/>
        </w:rPr>
        <w:t>26 FCC Rcd at9726-27</w:t>
      </w:r>
      <w:r w:rsidRPr="00FE5EC9">
        <w:t xml:space="preserve"> ¶¶ 87-88.</w:t>
      </w:r>
    </w:p>
  </w:footnote>
  <w:footnote w:id="443">
    <w:p w:rsidR="00EC7CF3" w:rsidRDefault="00EC7CF3" w:rsidP="00F1004B">
      <w:pPr>
        <w:pStyle w:val="FootnoteText"/>
      </w:pPr>
      <w:r w:rsidRPr="00FE5EC9">
        <w:rPr>
          <w:rStyle w:val="FootnoteReference"/>
        </w:rPr>
        <w:footnoteRef/>
      </w:r>
      <w:r w:rsidRPr="00FE5EC9">
        <w:t xml:space="preserve"> </w:t>
      </w:r>
      <w:r w:rsidRPr="00FE5EC9">
        <w:rPr>
          <w:i/>
        </w:rPr>
        <w:t>Fifteenth Report</w:t>
      </w:r>
      <w:r w:rsidRPr="00FE5EC9">
        <w:t xml:space="preserve">, </w:t>
      </w:r>
      <w:r w:rsidRPr="00FE5EC9">
        <w:rPr>
          <w:iCs/>
        </w:rPr>
        <w:t>26 FCC Rcd at 9726-27</w:t>
      </w:r>
      <w:r w:rsidRPr="00FE5EC9">
        <w:t xml:space="preserve"> ¶¶ 87-88; Philip Goldstein, </w:t>
      </w:r>
      <w:r w:rsidRPr="00FE5EC9">
        <w:rPr>
          <w:i/>
        </w:rPr>
        <w:t>Verizon Confirms It Will Ditch Unlimited Smartphone Data Plans Starting July 7</w:t>
      </w:r>
      <w:r w:rsidRPr="00FE5EC9">
        <w:t xml:space="preserve">, </w:t>
      </w:r>
      <w:r w:rsidRPr="00FE5EC9">
        <w:rPr>
          <w:smallCaps/>
        </w:rPr>
        <w:t>FierceWireless</w:t>
      </w:r>
      <w:r w:rsidRPr="00FE5EC9">
        <w:t>, Jul. 5, 2011.</w:t>
      </w:r>
    </w:p>
  </w:footnote>
  <w:footnote w:id="444">
    <w:p w:rsidR="00EC7CF3" w:rsidRDefault="00EC7CF3" w:rsidP="00F1004B">
      <w:pPr>
        <w:pStyle w:val="FootnoteText"/>
      </w:pPr>
      <w:r w:rsidRPr="00FE5EC9">
        <w:rPr>
          <w:rStyle w:val="FootnoteReference"/>
        </w:rPr>
        <w:footnoteRef/>
      </w:r>
      <w:r w:rsidRPr="00FE5EC9">
        <w:t xml:space="preserve"> </w:t>
      </w:r>
      <w:r w:rsidRPr="00FE5EC9">
        <w:rPr>
          <w:i/>
        </w:rPr>
        <w:t>Fifteenth Report</w:t>
      </w:r>
      <w:r w:rsidRPr="00FE5EC9">
        <w:t xml:space="preserve">, </w:t>
      </w:r>
      <w:r w:rsidRPr="00FE5EC9">
        <w:rPr>
          <w:iCs/>
        </w:rPr>
        <w:t>26 FCC Rcd at 9726-27</w:t>
      </w:r>
      <w:r w:rsidRPr="00FE5EC9">
        <w:t xml:space="preserve"> ¶¶ 87-88; Philip Goldstein, </w:t>
      </w:r>
      <w:r w:rsidRPr="00FE5EC9">
        <w:rPr>
          <w:i/>
        </w:rPr>
        <w:t>Verizon Confirms It Will Ditch Unlimited Smartphone Data Plans Starting July 7</w:t>
      </w:r>
      <w:r w:rsidRPr="00FE5EC9">
        <w:t xml:space="preserve">, </w:t>
      </w:r>
      <w:r w:rsidRPr="00FE5EC9">
        <w:rPr>
          <w:smallCaps/>
        </w:rPr>
        <w:t>FierceWireless</w:t>
      </w:r>
      <w:r w:rsidRPr="00FE5EC9">
        <w:t>, Jul. 5, 2011.</w:t>
      </w:r>
    </w:p>
  </w:footnote>
  <w:footnote w:id="445">
    <w:p w:rsidR="00EC7CF3" w:rsidRDefault="00EC7CF3" w:rsidP="00F1004B">
      <w:pPr>
        <w:pStyle w:val="FootnoteText"/>
      </w:pPr>
      <w:r w:rsidRPr="00FE5EC9">
        <w:rPr>
          <w:rStyle w:val="FootnoteReference"/>
        </w:rPr>
        <w:footnoteRef/>
      </w:r>
      <w:r w:rsidRPr="00FE5EC9">
        <w:t xml:space="preserve"> Verizon, </w:t>
      </w:r>
      <w:r w:rsidRPr="00FE5EC9">
        <w:rPr>
          <w:i/>
        </w:rPr>
        <w:t>Network Optimization</w:t>
      </w:r>
      <w:r w:rsidRPr="00FE5EC9">
        <w:t xml:space="preserve">, http://support.verizonwireless.com/information/data_disclosure.html (visited Oct. 4, 2011) stating “To optimize our network, we manage data connection speeds for a small subset of customers – the top 5% of data users with 3G devices on unlimited data plans – and only in places and at times of 3G network congestion.”; Philip Goldstein, </w:t>
      </w:r>
      <w:r w:rsidRPr="00FE5EC9">
        <w:rPr>
          <w:i/>
        </w:rPr>
        <w:t>Verizon’s Network Optimization Policy is About Pricing as Much as the Network</w:t>
      </w:r>
      <w:r w:rsidRPr="00FE5EC9">
        <w:t xml:space="preserve">, </w:t>
      </w:r>
      <w:r w:rsidRPr="00FE5EC9">
        <w:rPr>
          <w:smallCaps/>
        </w:rPr>
        <w:t>FierceWireless</w:t>
      </w:r>
      <w:r w:rsidRPr="00FE5EC9">
        <w:t xml:space="preserve">, Sept. 21, 2011; AT&amp;T, </w:t>
      </w:r>
      <w:r w:rsidRPr="00FE5EC9">
        <w:rPr>
          <w:i/>
        </w:rPr>
        <w:t>An Update for Our Smartphone Customers With Unlimited Data Plans</w:t>
      </w:r>
      <w:r w:rsidRPr="00FE5EC9">
        <w:t xml:space="preserve">,  http://www.att.com/gen/press-room?pid=20535&amp;cdvn=news&amp;newsarticleid=32318&amp;mapcode=corporate (visited Oct. 4, 2011); Philip Goldstein, </w:t>
      </w:r>
      <w:r w:rsidRPr="00FE5EC9">
        <w:rPr>
          <w:i/>
        </w:rPr>
        <w:t>AT&amp;T Will Throttle Heaviest Unlimited Smartphone Data Users Starting Oct. 1</w:t>
      </w:r>
      <w:r w:rsidRPr="00FE5EC9">
        <w:t xml:space="preserve">, </w:t>
      </w:r>
      <w:r w:rsidRPr="00FE5EC9">
        <w:rPr>
          <w:smallCaps/>
        </w:rPr>
        <w:t>FierceWireless</w:t>
      </w:r>
      <w:r w:rsidRPr="00FE5EC9">
        <w:t xml:space="preserve">, Jul. 29, 2011.  </w:t>
      </w:r>
      <w:r w:rsidRPr="00FE5EC9">
        <w:rPr>
          <w:i/>
        </w:rPr>
        <w:t>See</w:t>
      </w:r>
      <w:r w:rsidRPr="00FE5EC9">
        <w:t xml:space="preserve"> New York Times, </w:t>
      </w:r>
      <w:r w:rsidRPr="00FE5EC9">
        <w:rPr>
          <w:i/>
        </w:rPr>
        <w:t>Revising the Limits for the Unlimited</w:t>
      </w:r>
      <w:r w:rsidRPr="00FE5EC9">
        <w:t xml:space="preserve">, March 1, 2012.  </w:t>
      </w:r>
      <w:r w:rsidRPr="006B53AA">
        <w:rPr>
          <w:i/>
        </w:rPr>
        <w:t>See</w:t>
      </w:r>
      <w:r w:rsidRPr="00FE5EC9">
        <w:t xml:space="preserve"> PCWorld, </w:t>
      </w:r>
      <w:r w:rsidRPr="00FE5EC9">
        <w:rPr>
          <w:i/>
        </w:rPr>
        <w:t>AT&amp;T Wireless Bandwidth Throttling: The Backlash Has Begun</w:t>
      </w:r>
      <w:r w:rsidRPr="00FE5EC9">
        <w:t xml:space="preserve">, Feb. 14, 2012, </w:t>
      </w:r>
      <w:r w:rsidRPr="006B53AA">
        <w:rPr>
          <w:i/>
        </w:rPr>
        <w:t xml:space="preserve">available at </w:t>
      </w:r>
      <w:hyperlink r:id="rId93" w:history="1">
        <w:r w:rsidRPr="00FE5EC9">
          <w:rPr>
            <w:rStyle w:val="Hyperlink"/>
          </w:rPr>
          <w:t>http://www.pcworld.com/article/249952/atandt_wireless_bandwidth_throttling_the_backlash_has_begun.html</w:t>
        </w:r>
      </w:hyperlink>
      <w:r w:rsidRPr="00FE5EC9">
        <w:t xml:space="preserve"> </w:t>
      </w:r>
      <w:r>
        <w:t>(visited Nov. 30, 2012).</w:t>
      </w:r>
    </w:p>
  </w:footnote>
  <w:footnote w:id="446">
    <w:p w:rsidR="00EC7CF3" w:rsidRDefault="00EC7CF3" w:rsidP="00F1004B">
      <w:pPr>
        <w:pStyle w:val="FootnoteText"/>
      </w:pPr>
      <w:r>
        <w:rPr>
          <w:rStyle w:val="FootnoteReference"/>
        </w:rPr>
        <w:footnoteRef/>
      </w:r>
      <w:r>
        <w:t xml:space="preserve"> </w:t>
      </w:r>
      <w:r w:rsidRPr="00FE5EC9">
        <w:t xml:space="preserve">AT&amp;T, </w:t>
      </w:r>
      <w:r w:rsidRPr="00FE5EC9">
        <w:rPr>
          <w:i/>
        </w:rPr>
        <w:t>Individual Plans</w:t>
      </w:r>
      <w:r w:rsidRPr="00FE5EC9">
        <w:t xml:space="preserve">, </w:t>
      </w:r>
      <w:hyperlink r:id="rId94" w:anchor="fbid=fk9VjETnPJF" w:history="1">
        <w:r w:rsidRPr="00FE5EC9">
          <w:rPr>
            <w:rStyle w:val="Hyperlink"/>
          </w:rPr>
          <w:t>http://www.att.com/shop/wireless/packages/nokia-lumia-900-package-sku5910224.html#fbid=fk9VjETnPJF</w:t>
        </w:r>
      </w:hyperlink>
      <w:r w:rsidRPr="00FE5EC9">
        <w:t xml:space="preserve"> (visited Nov. 26, 2012)</w:t>
      </w:r>
      <w:r>
        <w:t>.  As explained below, Verizon discontinued offering its tiered smartphone data plans when it introduced shared data plans.</w:t>
      </w:r>
    </w:p>
  </w:footnote>
  <w:footnote w:id="447">
    <w:p w:rsidR="00EC7CF3" w:rsidRDefault="00EC7CF3" w:rsidP="00F040D6">
      <w:pPr>
        <w:pStyle w:val="FootnoteText"/>
      </w:pPr>
      <w:r w:rsidRPr="00FE5EC9">
        <w:rPr>
          <w:rStyle w:val="FootnoteReference"/>
        </w:rPr>
        <w:footnoteRef/>
      </w:r>
      <w:r w:rsidRPr="00FE5EC9">
        <w:t xml:space="preserve"> </w:t>
      </w:r>
      <w:r w:rsidRPr="00FE5EC9">
        <w:rPr>
          <w:i/>
        </w:rPr>
        <w:t>See</w:t>
      </w:r>
      <w:r w:rsidRPr="00FE5EC9">
        <w:t xml:space="preserve"> AT&amp;T, Support, </w:t>
      </w:r>
      <w:r w:rsidRPr="00FE5EC9">
        <w:rPr>
          <w:i/>
        </w:rPr>
        <w:t>Info for Smartphone Customers with Unlimited Data Plans</w:t>
      </w:r>
      <w:r w:rsidRPr="00FE5EC9">
        <w:t xml:space="preserve">, </w:t>
      </w:r>
      <w:r w:rsidRPr="006B53AA">
        <w:rPr>
          <w:i/>
        </w:rPr>
        <w:t xml:space="preserve">available at </w:t>
      </w:r>
      <w:hyperlink r:id="rId95" w:history="1">
        <w:r w:rsidRPr="00FE5EC9">
          <w:rPr>
            <w:rStyle w:val="Hyperlink"/>
          </w:rPr>
          <w:t>http://www.att.com/esupport/datausage.jsp?source=IZDUel1160000000U</w:t>
        </w:r>
      </w:hyperlink>
      <w:r>
        <w:t xml:space="preserve"> (visited August 7, 2012);</w:t>
      </w:r>
      <w:r w:rsidRPr="00FE5EC9">
        <w:t xml:space="preserve">  </w:t>
      </w:r>
      <w:r w:rsidRPr="006B53AA">
        <w:rPr>
          <w:i/>
        </w:rPr>
        <w:t>See</w:t>
      </w:r>
      <w:r w:rsidRPr="00FE5EC9">
        <w:t xml:space="preserve"> Verizon Wireless, Data Plans and Features – Terms and Conditions, </w:t>
      </w:r>
      <w:hyperlink r:id="rId96" w:history="1">
        <w:r w:rsidRPr="00FE5EC9">
          <w:rPr>
            <w:rStyle w:val="Hyperlink"/>
          </w:rPr>
          <w:t>http://support.verizonwireless.com/terms/products/vz_email.html</w:t>
        </w:r>
      </w:hyperlink>
      <w:r w:rsidRPr="00FE5EC9">
        <w:t xml:space="preserve"> (visited August 7, 2012).  </w:t>
      </w:r>
      <w:r>
        <w:t>C</w:t>
      </w:r>
      <w:r w:rsidRPr="001F222D">
        <w:t xml:space="preserve">ustomers who purchase one of unlimited data plans </w:t>
      </w:r>
      <w:r>
        <w:t xml:space="preserve">or </w:t>
      </w:r>
      <w:r w:rsidRPr="001F222D">
        <w:t xml:space="preserve">the tiered data plans </w:t>
      </w:r>
      <w:r>
        <w:t>are</w:t>
      </w:r>
      <w:r w:rsidRPr="001F222D">
        <w:t xml:space="preserve"> also required to purchase a voice plan for an additional monthly charge</w:t>
      </w:r>
      <w:r>
        <w:t>.</w:t>
      </w:r>
      <w:r w:rsidRPr="00FE5EC9">
        <w:t xml:space="preserve"> </w:t>
      </w:r>
    </w:p>
  </w:footnote>
  <w:footnote w:id="448">
    <w:p w:rsidR="00EC7CF3" w:rsidRDefault="00EC7CF3" w:rsidP="00F1004B">
      <w:pPr>
        <w:pStyle w:val="FootnoteText"/>
      </w:pPr>
      <w:r w:rsidRPr="00FE5EC9">
        <w:rPr>
          <w:rStyle w:val="FootnoteReference"/>
          <w:sz w:val="20"/>
        </w:rPr>
        <w:footnoteRef/>
      </w:r>
      <w:r w:rsidRPr="00FE5EC9">
        <w:t xml:space="preserve"> Mike Dano, </w:t>
      </w:r>
      <w:r w:rsidRPr="00FE5EC9">
        <w:rPr>
          <w:i/>
        </w:rPr>
        <w:t>Verizon Nets 65,000 LTE Subs, Details iPhone Data Pricing</w:t>
      </w:r>
      <w:r w:rsidRPr="00FE5EC9">
        <w:t xml:space="preserve">, </w:t>
      </w:r>
      <w:r w:rsidRPr="00FE5EC9">
        <w:rPr>
          <w:smallCaps/>
        </w:rPr>
        <w:t>FierceWireless</w:t>
      </w:r>
      <w:r w:rsidRPr="00FE5EC9">
        <w:t xml:space="preserve">, Jan. 25, 2011 </w:t>
      </w:r>
      <w:hyperlink r:id="rId97" w:history="1">
        <w:r w:rsidRPr="00FE5EC9">
          <w:rPr>
            <w:rStyle w:val="Hyperlink"/>
          </w:rPr>
          <w:t>http://www.fiercewireless.com/story/verizon-nets-65000-lte-subs-details-iphone-data-pricing/2011-01-25</w:t>
        </w:r>
      </w:hyperlink>
      <w:r w:rsidRPr="00FE5EC9">
        <w:t xml:space="preserve"> (visited Oct. 16, 2012);Philip Goldstein, </w:t>
      </w:r>
      <w:r w:rsidRPr="00FE5EC9">
        <w:rPr>
          <w:i/>
        </w:rPr>
        <w:t>Sprint to Launch iPhone 4S Oct. 14, Along With AT&amp;T, Verizon</w:t>
      </w:r>
      <w:r w:rsidRPr="00FE5EC9">
        <w:t xml:space="preserve">, </w:t>
      </w:r>
      <w:r w:rsidRPr="00FE5EC9">
        <w:rPr>
          <w:smallCaps/>
        </w:rPr>
        <w:t>FierceWireless</w:t>
      </w:r>
      <w:r w:rsidRPr="00FE5EC9">
        <w:t>, Oct. 4, 2011</w:t>
      </w:r>
      <w:r>
        <w:t>,</w:t>
      </w:r>
      <w:r w:rsidRPr="00FE5EC9">
        <w:t xml:space="preserve"> </w:t>
      </w:r>
      <w:hyperlink r:id="rId98" w:history="1">
        <w:r w:rsidRPr="00FE5EC9">
          <w:rPr>
            <w:rStyle w:val="Hyperlink"/>
          </w:rPr>
          <w:t>http://www.fiercewireless.com/story/sprint-launch-iphone-4s-oct-12-along-att-verizon/2011-10-04</w:t>
        </w:r>
      </w:hyperlink>
      <w:r w:rsidRPr="00FE5EC9">
        <w:t xml:space="preserve"> (visited Oct. 16, 2012). </w:t>
      </w:r>
    </w:p>
  </w:footnote>
  <w:footnote w:id="449">
    <w:p w:rsidR="00EC7CF3" w:rsidRDefault="00EC7CF3" w:rsidP="00F1004B">
      <w:pPr>
        <w:pStyle w:val="FootnoteText"/>
      </w:pPr>
      <w:r w:rsidRPr="00FE5EC9">
        <w:rPr>
          <w:rStyle w:val="FootnoteReference"/>
          <w:sz w:val="20"/>
        </w:rPr>
        <w:footnoteRef/>
      </w:r>
      <w:r w:rsidRPr="00FE5EC9">
        <w:t xml:space="preserve"> Mike Dano, </w:t>
      </w:r>
      <w:r w:rsidRPr="00FE5EC9">
        <w:rPr>
          <w:i/>
        </w:rPr>
        <w:t>Verizon Nets 65,000 LTE Subs, Details iPhone Data Pricing</w:t>
      </w:r>
      <w:r w:rsidRPr="00FE5EC9">
        <w:t xml:space="preserve">, </w:t>
      </w:r>
      <w:r w:rsidRPr="00FE5EC9">
        <w:rPr>
          <w:smallCaps/>
        </w:rPr>
        <w:t>FierceWireless</w:t>
      </w:r>
      <w:r w:rsidRPr="00FE5EC9">
        <w:t xml:space="preserve">, Jan. 25, 2011. </w:t>
      </w:r>
      <w:hyperlink r:id="rId99" w:history="1">
        <w:r w:rsidRPr="00FE5EC9">
          <w:rPr>
            <w:rStyle w:val="Hyperlink"/>
          </w:rPr>
          <w:t>http://www.fiercewireless.com/story/verizon-nets-65000-lte-subs-details-iphone-data-pricing/2011-01-25</w:t>
        </w:r>
      </w:hyperlink>
      <w:r w:rsidRPr="00FE5EC9">
        <w:t xml:space="preserve"> (visited Oct. 16, 2012</w:t>
      </w:r>
      <w:r>
        <w:t>).</w:t>
      </w:r>
    </w:p>
  </w:footnote>
  <w:footnote w:id="450">
    <w:p w:rsidR="00EC7CF3" w:rsidRDefault="00EC7CF3" w:rsidP="00F1004B">
      <w:pPr>
        <w:pStyle w:val="FootnoteText"/>
      </w:pPr>
      <w:r w:rsidRPr="00FE5EC9">
        <w:rPr>
          <w:rStyle w:val="FootnoteReference"/>
        </w:rPr>
        <w:footnoteRef/>
      </w:r>
      <w:r>
        <w:t xml:space="preserve"> Philip </w:t>
      </w:r>
      <w:r w:rsidRPr="00FE5EC9">
        <w:t xml:space="preserve">Goldstein, </w:t>
      </w:r>
      <w:r w:rsidRPr="00FE5EC9">
        <w:rPr>
          <w:i/>
        </w:rPr>
        <w:t>How Will Consumers Respond to</w:t>
      </w:r>
      <w:r w:rsidRPr="00FE5EC9">
        <w:t xml:space="preserve"> </w:t>
      </w:r>
      <w:r w:rsidRPr="00FE5EC9">
        <w:rPr>
          <w:i/>
        </w:rPr>
        <w:t>Verizon’s New Usage-Based Data Plans?</w:t>
      </w:r>
      <w:r w:rsidRPr="00FE5EC9">
        <w:t xml:space="preserve">, </w:t>
      </w:r>
      <w:r w:rsidRPr="00FE5EC9">
        <w:rPr>
          <w:smallCaps/>
        </w:rPr>
        <w:t>FierceWireless</w:t>
      </w:r>
      <w:r>
        <w:t>, Jul. 5, 2011</w:t>
      </w:r>
      <w:r w:rsidRPr="00FE5EC9">
        <w:t xml:space="preserve"> </w:t>
      </w:r>
      <w:hyperlink r:id="rId100" w:history="1">
        <w:r w:rsidRPr="00FE5EC9">
          <w:rPr>
            <w:rStyle w:val="Hyperlink"/>
          </w:rPr>
          <w:t>http://www.fiercewireless.com/story/how-will-switching-usage-based-pricing-affect-verizon/2011-07-05</w:t>
        </w:r>
      </w:hyperlink>
      <w:r w:rsidRPr="00FE5EC9">
        <w:t xml:space="preserve"> (visited Oct. 16, 2012)</w:t>
      </w:r>
      <w:r>
        <w:t>.</w:t>
      </w:r>
      <w:r w:rsidRPr="00FE5EC9">
        <w:t xml:space="preserve"> However, Verizon does offer a 75 MB monthly plan for feature phones for $10 per month.  Philip Goldstein, </w:t>
      </w:r>
      <w:r w:rsidRPr="00FE5EC9">
        <w:rPr>
          <w:i/>
        </w:rPr>
        <w:t>Verizon Confirms It Will Ditch Unlimited Smartphone Data Plans Starting July 7</w:t>
      </w:r>
      <w:r w:rsidRPr="00FE5EC9">
        <w:t xml:space="preserve">, </w:t>
      </w:r>
      <w:r w:rsidRPr="00FE5EC9">
        <w:rPr>
          <w:smallCaps/>
        </w:rPr>
        <w:t>FierceWireless</w:t>
      </w:r>
      <w:r w:rsidRPr="00FE5EC9">
        <w:t xml:space="preserve">, Jul. 5, 2011 </w:t>
      </w:r>
      <w:hyperlink r:id="rId101" w:history="1">
        <w:r w:rsidRPr="00FE5EC9">
          <w:rPr>
            <w:rStyle w:val="Hyperlink"/>
          </w:rPr>
          <w:t>http://www.fiercewireless.com/story/verizon-confirms-it-will-ditch-unlimited-smartphone-data-plans-starting-jul/2011-07-05</w:t>
        </w:r>
      </w:hyperlink>
      <w:r w:rsidRPr="00FE5EC9">
        <w:t xml:space="preserve"> (visited Oct. 16, 2012) ; Philip Goldstein, </w:t>
      </w:r>
      <w:r w:rsidRPr="00FE5EC9">
        <w:rPr>
          <w:i/>
        </w:rPr>
        <w:t>How Will Consumers Respond to</w:t>
      </w:r>
      <w:r w:rsidRPr="00FE5EC9">
        <w:t xml:space="preserve"> </w:t>
      </w:r>
      <w:r w:rsidRPr="00FE5EC9">
        <w:rPr>
          <w:i/>
        </w:rPr>
        <w:t>Verizon’s New Usage-Based Data Plans?</w:t>
      </w:r>
      <w:r w:rsidRPr="00FE5EC9">
        <w:t xml:space="preserve">, </w:t>
      </w:r>
      <w:r w:rsidRPr="00FE5EC9">
        <w:rPr>
          <w:smallCaps/>
        </w:rPr>
        <w:t>FierceWireless</w:t>
      </w:r>
      <w:r w:rsidRPr="00FE5EC9">
        <w:t xml:space="preserve">, Jul. 5, 2011  </w:t>
      </w:r>
      <w:hyperlink r:id="rId102" w:history="1">
        <w:r w:rsidRPr="00FE5EC9">
          <w:rPr>
            <w:rStyle w:val="Hyperlink"/>
          </w:rPr>
          <w:t>http://www.fiercewireless.com/story/how-will-switching-usage-based-pricing-affect-verizon/2011-07-05</w:t>
        </w:r>
      </w:hyperlink>
      <w:r>
        <w:t xml:space="preserve"> (visited Oct. 16, 2012).</w:t>
      </w:r>
    </w:p>
  </w:footnote>
  <w:footnote w:id="451">
    <w:p w:rsidR="00EC7CF3" w:rsidRDefault="00EC7CF3" w:rsidP="00F1004B">
      <w:pPr>
        <w:pStyle w:val="FootnoteText"/>
      </w:pPr>
      <w:r w:rsidRPr="00FE5EC9">
        <w:rPr>
          <w:rStyle w:val="FootnoteReference"/>
        </w:rPr>
        <w:footnoteRef/>
      </w:r>
      <w:r w:rsidRPr="00FE5EC9">
        <w:t xml:space="preserve"> Philip Goldstein, </w:t>
      </w:r>
      <w:r w:rsidRPr="00FE5EC9">
        <w:rPr>
          <w:i/>
        </w:rPr>
        <w:t>Verizon to Double LTE Smartphone Data Allotments</w:t>
      </w:r>
      <w:r w:rsidRPr="00FE5EC9">
        <w:t xml:space="preserve">, </w:t>
      </w:r>
      <w:r w:rsidRPr="00FE5EC9">
        <w:rPr>
          <w:smallCaps/>
        </w:rPr>
        <w:t>FierceWireless</w:t>
      </w:r>
      <w:r w:rsidRPr="00FE5EC9">
        <w:t xml:space="preserve">, Nov. 7, 2011. </w:t>
      </w:r>
      <w:hyperlink r:id="rId103" w:history="1">
        <w:r w:rsidRPr="00FE5EC9">
          <w:rPr>
            <w:rStyle w:val="Hyperlink"/>
          </w:rPr>
          <w:t>http://www.fiercewireless.com/story/verizon-double-lte-smartphone-data-allotments/2011-11-07</w:t>
        </w:r>
      </w:hyperlink>
      <w:r w:rsidRPr="00FE5EC9">
        <w:t xml:space="preserve"> (visited Oct. 16, 2012)  As part of the same holiday promotion, Verizon also doubled the data plan allowances for LTE smartphone customers for the same price as its existing tiered smartphone data offerings.  Philip Goldstein, </w:t>
      </w:r>
      <w:r w:rsidRPr="00FE5EC9">
        <w:rPr>
          <w:i/>
        </w:rPr>
        <w:t>Verizon to Double LTE Smartphone Data Allotments</w:t>
      </w:r>
      <w:r w:rsidRPr="00FE5EC9">
        <w:t xml:space="preserve">, </w:t>
      </w:r>
      <w:r w:rsidRPr="00FE5EC9">
        <w:rPr>
          <w:smallCaps/>
        </w:rPr>
        <w:t>FierceWireless</w:t>
      </w:r>
      <w:r w:rsidRPr="00FE5EC9">
        <w:t xml:space="preserve">, Nov. 7, 2011 </w:t>
      </w:r>
      <w:hyperlink r:id="rId104" w:history="1">
        <w:r w:rsidRPr="00FE5EC9">
          <w:rPr>
            <w:rStyle w:val="Hyperlink"/>
          </w:rPr>
          <w:t>http://www.fiercewireless.com/story/verizon-double-lte-smartphone-data-allotments/2011-11-07</w:t>
        </w:r>
      </w:hyperlink>
      <w:r w:rsidRPr="00FE5EC9">
        <w:t xml:space="preserve"> (visited Oct. 16, 2012).  In particular, customers who sign up for a 2 GB plan for $30 per month will get 4 GB per month, those who sign up for a 5 GB plan for $50 per month will get 10 GB and those who sign up for a 10 GB plan for $80 per month will get 20 GB.  </w:t>
      </w:r>
      <w:r w:rsidRPr="00FE5EC9">
        <w:rPr>
          <w:i/>
        </w:rPr>
        <w:t>Id</w:t>
      </w:r>
      <w:r w:rsidRPr="00FE5EC9">
        <w:t xml:space="preserve">.  Philip Goldstein, </w:t>
      </w:r>
      <w:r w:rsidRPr="00FE5EC9">
        <w:rPr>
          <w:i/>
        </w:rPr>
        <w:t>Verizon Revives Double LTE Smartphone Data Promotion</w:t>
      </w:r>
      <w:r w:rsidRPr="00FE5EC9">
        <w:t xml:space="preserve">, </w:t>
      </w:r>
      <w:r w:rsidRPr="00FE5EC9">
        <w:rPr>
          <w:smallCaps/>
        </w:rPr>
        <w:t>FierceWireless</w:t>
      </w:r>
      <w:r w:rsidRPr="00FE5EC9">
        <w:t xml:space="preserve">, Feb. 7, 2012. </w:t>
      </w:r>
      <w:hyperlink r:id="rId105" w:history="1">
        <w:r w:rsidRPr="00FE5EC9">
          <w:rPr>
            <w:rStyle w:val="Hyperlink"/>
          </w:rPr>
          <w:t>http://www.fiercewireless.com/story/verizon-revives-double-lte-smartphone-data-promotion/2012-02-07</w:t>
        </w:r>
      </w:hyperlink>
      <w:r w:rsidRPr="00FE5EC9">
        <w:t xml:space="preserve"> (visited Oct. 16, 2012)  The holiday promotion ran from November 2011 through mid-January 2012, but in February 2012 Verizon revived the promotion that doubles the monthly data allowances of customers who purchase LTE smartphones</w:t>
      </w:r>
      <w:r>
        <w:t>.</w:t>
      </w:r>
    </w:p>
  </w:footnote>
  <w:footnote w:id="452">
    <w:p w:rsidR="00EC7CF3" w:rsidRDefault="00EC7CF3" w:rsidP="00F1004B">
      <w:pPr>
        <w:pStyle w:val="FootnoteText"/>
      </w:pPr>
      <w:r w:rsidRPr="00FE5EC9">
        <w:rPr>
          <w:rStyle w:val="FootnoteReference"/>
        </w:rPr>
        <w:footnoteRef/>
      </w:r>
      <w:r w:rsidRPr="00FE5EC9">
        <w:t xml:space="preserve"> Philip Goldstein, </w:t>
      </w:r>
      <w:r w:rsidRPr="00FE5EC9">
        <w:rPr>
          <w:i/>
        </w:rPr>
        <w:t>AT&amp;T Increases Pricing, Usage Thresholds on Smartphone Data Plans</w:t>
      </w:r>
      <w:r w:rsidRPr="00FE5EC9">
        <w:t xml:space="preserve">, </w:t>
      </w:r>
      <w:r w:rsidRPr="00FE5EC9">
        <w:rPr>
          <w:smallCaps/>
        </w:rPr>
        <w:t>FierceWireless</w:t>
      </w:r>
      <w:r w:rsidRPr="00FE5EC9">
        <w:t xml:space="preserve">, Jan. 18, 2012. </w:t>
      </w:r>
      <w:hyperlink r:id="rId106" w:history="1">
        <w:r w:rsidRPr="00FE5EC9">
          <w:rPr>
            <w:rStyle w:val="Hyperlink"/>
          </w:rPr>
          <w:t>http://www.fiercewireless.com/story/att-increases-pricing-usage-thresholds-smartphone-data-plans/2012-01-18</w:t>
        </w:r>
      </w:hyperlink>
      <w:r w:rsidRPr="00FE5EC9">
        <w:t xml:space="preserve"> (visited Oct. 16, 2012).  </w:t>
      </w:r>
    </w:p>
  </w:footnote>
  <w:footnote w:id="453">
    <w:p w:rsidR="00EC7CF3" w:rsidRDefault="00EC7CF3" w:rsidP="00F1004B">
      <w:pPr>
        <w:pStyle w:val="FootnoteText"/>
      </w:pPr>
      <w:r w:rsidRPr="00FE5EC9">
        <w:rPr>
          <w:rStyle w:val="FootnoteReference"/>
        </w:rPr>
        <w:footnoteRef/>
      </w:r>
      <w:r>
        <w:t xml:space="preserve"> </w:t>
      </w:r>
      <w:r w:rsidRPr="00FE5EC9">
        <w:t xml:space="preserve">Brian Chen, </w:t>
      </w:r>
      <w:r w:rsidRPr="00FE5EC9">
        <w:rPr>
          <w:i/>
        </w:rPr>
        <w:t>AT&amp;T Sets New Rules on ‘Unlimited Data’ Plans</w:t>
      </w:r>
      <w:r w:rsidRPr="00FE5EC9">
        <w:t xml:space="preserve">, </w:t>
      </w:r>
      <w:r w:rsidRPr="00FE5EC9">
        <w:rPr>
          <w:smallCaps/>
        </w:rPr>
        <w:t>The New York Times</w:t>
      </w:r>
      <w:r w:rsidRPr="00FE5EC9">
        <w:t xml:space="preserve">, Mar. 1, 2012 </w:t>
      </w:r>
      <w:hyperlink r:id="rId107" w:history="1">
        <w:r w:rsidRPr="00FE5EC9">
          <w:rPr>
            <w:rStyle w:val="Hyperlink"/>
          </w:rPr>
          <w:t>http://bits.blogs.nytimes.com/2012/03/01/limited-unlimited-data/</w:t>
        </w:r>
      </w:hyperlink>
      <w:r w:rsidRPr="00FE5EC9">
        <w:t xml:space="preserve"> (visited Oct. 18. 2012)</w:t>
      </w:r>
      <w:r>
        <w:t>.</w:t>
      </w:r>
    </w:p>
  </w:footnote>
  <w:footnote w:id="454">
    <w:p w:rsidR="00EC7CF3" w:rsidRDefault="00EC7CF3" w:rsidP="00F1004B">
      <w:pPr>
        <w:pStyle w:val="FootnoteText"/>
      </w:pPr>
      <w:r w:rsidRPr="00FE5EC9">
        <w:rPr>
          <w:rStyle w:val="FootnoteReference"/>
        </w:rPr>
        <w:footnoteRef/>
      </w:r>
      <w:r w:rsidRPr="00FE5EC9">
        <w:t xml:space="preserve"> Brian Chen, </w:t>
      </w:r>
      <w:r w:rsidRPr="00FE5EC9">
        <w:rPr>
          <w:i/>
        </w:rPr>
        <w:t>AT&amp;T Sets New Rules on ‘Unlimited Data’ Plans</w:t>
      </w:r>
      <w:r w:rsidRPr="00FE5EC9">
        <w:t xml:space="preserve">, </w:t>
      </w:r>
      <w:r w:rsidRPr="00FE5EC9">
        <w:rPr>
          <w:smallCaps/>
        </w:rPr>
        <w:t>The New York Times</w:t>
      </w:r>
      <w:r w:rsidRPr="00FE5EC9">
        <w:t xml:space="preserve">, Mar. 1, 2012. </w:t>
      </w:r>
      <w:hyperlink r:id="rId108" w:history="1">
        <w:r w:rsidRPr="00FE5EC9">
          <w:rPr>
            <w:rStyle w:val="Hyperlink"/>
          </w:rPr>
          <w:t>http://bits.blogs.nytimes.com/2012/03/01/limited-unlimited-data/</w:t>
        </w:r>
      </w:hyperlink>
      <w:r w:rsidRPr="00FE5EC9">
        <w:t xml:space="preserve"> (visited Oct. 18, 2012)</w:t>
      </w:r>
      <w:r>
        <w:t>.</w:t>
      </w:r>
    </w:p>
  </w:footnote>
  <w:footnote w:id="455">
    <w:p w:rsidR="00EC7CF3" w:rsidRDefault="00EC7CF3" w:rsidP="00F1004B">
      <w:pPr>
        <w:pStyle w:val="FootnoteText"/>
      </w:pPr>
      <w:r w:rsidRPr="00FE5EC9">
        <w:rPr>
          <w:rStyle w:val="FootnoteReference"/>
        </w:rPr>
        <w:footnoteRef/>
      </w:r>
      <w:r w:rsidRPr="00FE5EC9">
        <w:t xml:space="preserve">Brian Chen,, </w:t>
      </w:r>
      <w:r w:rsidRPr="00FE5EC9">
        <w:rPr>
          <w:i/>
        </w:rPr>
        <w:t>AT&amp;T Sets New Rules on ‘Unlimited Data’ Plans</w:t>
      </w:r>
      <w:r w:rsidRPr="00FE5EC9">
        <w:t xml:space="preserve">, </w:t>
      </w:r>
      <w:r w:rsidRPr="00FE5EC9">
        <w:rPr>
          <w:smallCaps/>
        </w:rPr>
        <w:t>The New York Times</w:t>
      </w:r>
      <w:r w:rsidRPr="00FE5EC9">
        <w:t xml:space="preserve">, Mar. 1, 2012. </w:t>
      </w:r>
      <w:hyperlink r:id="rId109" w:history="1">
        <w:r w:rsidRPr="00FE5EC9">
          <w:rPr>
            <w:rStyle w:val="Hyperlink"/>
          </w:rPr>
          <w:t>http://bits.blogs.nytimes.com/2012/03/01/limited-unlimited/</w:t>
        </w:r>
      </w:hyperlink>
      <w:r w:rsidRPr="00FE5EC9">
        <w:t xml:space="preserve">  (visited Oct. 18, 2012)</w:t>
      </w:r>
      <w:r>
        <w:t>.</w:t>
      </w:r>
      <w:r w:rsidRPr="00FE5EC9">
        <w:t xml:space="preserve"> While Verizon Wireless’s speed reduction policy for customers with grandfathered unlimited data plans is based on a similar “top five percent” rule, the company does not reduce the data speeds of customers in the top five percent of data users unless they are connected to a cell tower that is congested at that particular moment.  The Associated Press, </w:t>
      </w:r>
      <w:r w:rsidRPr="00FE5EC9">
        <w:rPr>
          <w:i/>
        </w:rPr>
        <w:t>AT&amp;T Sets New Rules on ‘Unlimited Data’ Plans</w:t>
      </w:r>
      <w:r w:rsidRPr="00FE5EC9">
        <w:t xml:space="preserve">, </w:t>
      </w:r>
      <w:r w:rsidRPr="00FE5EC9">
        <w:rPr>
          <w:smallCaps/>
        </w:rPr>
        <w:t>The New York Times</w:t>
      </w:r>
      <w:r w:rsidRPr="00FE5EC9">
        <w:t xml:space="preserve">, Mar. 1, 2012; Verizon, </w:t>
      </w:r>
      <w:r w:rsidRPr="00FE5EC9">
        <w:rPr>
          <w:i/>
        </w:rPr>
        <w:t>Network Optimization</w:t>
      </w:r>
      <w:r w:rsidRPr="00FE5EC9">
        <w:t>, http://support.verizonwireless.com/information/data_disclosure.html (visited Oct. 4, 2011).</w:t>
      </w:r>
    </w:p>
  </w:footnote>
  <w:footnote w:id="456">
    <w:p w:rsidR="00EC7CF3" w:rsidRDefault="00EC7CF3" w:rsidP="00F1004B">
      <w:pPr>
        <w:pStyle w:val="FootnoteText"/>
      </w:pPr>
      <w:r w:rsidRPr="00FE5EC9">
        <w:rPr>
          <w:rStyle w:val="FootnoteReference"/>
        </w:rPr>
        <w:footnoteRef/>
      </w:r>
      <w:r w:rsidRPr="00FE5EC9">
        <w:t xml:space="preserve"> Philip Goldstein, </w:t>
      </w:r>
      <w:r w:rsidRPr="00FE5EC9">
        <w:rPr>
          <w:i/>
        </w:rPr>
        <w:t>Verizon Launches ‘Share Everything’ Family Data Plans</w:t>
      </w:r>
      <w:r w:rsidRPr="00FE5EC9">
        <w:t xml:space="preserve">, </w:t>
      </w:r>
      <w:r w:rsidRPr="00FE5EC9">
        <w:rPr>
          <w:smallCaps/>
        </w:rPr>
        <w:t>FierceWireless</w:t>
      </w:r>
      <w:r w:rsidRPr="00FE5EC9">
        <w:t xml:space="preserve">, June 12, 2012; Verizon Wireless, </w:t>
      </w:r>
      <w:r w:rsidRPr="00FE5EC9">
        <w:rPr>
          <w:i/>
        </w:rPr>
        <w:t>Share Everything Plans</w:t>
      </w:r>
      <w:r w:rsidRPr="00FE5EC9">
        <w:t>, http://www.verizonwireless.com/b2c/plan-information/?page=share-everything  (visited Sept. 6, 2012).</w:t>
      </w:r>
    </w:p>
  </w:footnote>
  <w:footnote w:id="457">
    <w:p w:rsidR="00EC7CF3" w:rsidRDefault="00EC7CF3" w:rsidP="00F1004B">
      <w:pPr>
        <w:pStyle w:val="FootnoteText"/>
      </w:pPr>
      <w:r w:rsidRPr="00FE5EC9">
        <w:rPr>
          <w:rStyle w:val="FootnoteReference"/>
        </w:rPr>
        <w:footnoteRef/>
      </w:r>
      <w:r w:rsidRPr="00FE5EC9">
        <w:t xml:space="preserve"> Philip Goldstein, </w:t>
      </w:r>
      <w:r w:rsidRPr="00FE5EC9">
        <w:rPr>
          <w:i/>
        </w:rPr>
        <w:t>AT&amp;T Follows Verizon With ‘Mobile Share’ Shared Data Plans</w:t>
      </w:r>
      <w:r w:rsidRPr="00FE5EC9">
        <w:t xml:space="preserve">, </w:t>
      </w:r>
      <w:r w:rsidRPr="00FE5EC9">
        <w:rPr>
          <w:smallCaps/>
        </w:rPr>
        <w:t>FierceWireless</w:t>
      </w:r>
      <w:r w:rsidRPr="00FE5EC9">
        <w:t xml:space="preserve">, July 18, 2012; AT&amp;T, </w:t>
      </w:r>
      <w:r w:rsidRPr="00FE5EC9">
        <w:rPr>
          <w:i/>
        </w:rPr>
        <w:t>Mobile Share</w:t>
      </w:r>
      <w:r w:rsidRPr="00FE5EC9">
        <w:t xml:space="preserve">, http://www.att.com/shop/wireless/data-plans.html#fbid=pgSVH67Gp_M?tab2 (visited Sept. 6, 2012); Anton Troianovski and Thomas Gryta, </w:t>
      </w:r>
      <w:r w:rsidRPr="00FE5EC9">
        <w:rPr>
          <w:i/>
        </w:rPr>
        <w:t>New Front Opens in Wireless Battle</w:t>
      </w:r>
      <w:r w:rsidRPr="00FE5EC9">
        <w:t xml:space="preserve">, </w:t>
      </w:r>
      <w:r w:rsidRPr="00FE5EC9">
        <w:rPr>
          <w:smallCaps/>
        </w:rPr>
        <w:t>Wall Street Journal</w:t>
      </w:r>
      <w:r w:rsidRPr="00FE5EC9">
        <w:t xml:space="preserve">, June 12, 2012. </w:t>
      </w:r>
      <w:hyperlink r:id="rId110" w:history="1">
        <w:r w:rsidRPr="00FE5EC9">
          <w:rPr>
            <w:rStyle w:val="Hyperlink"/>
          </w:rPr>
          <w:t>http://online.wsj.com/article/SB10001424052702303901504577462241394886300.html</w:t>
        </w:r>
      </w:hyperlink>
      <w:r w:rsidRPr="00FE5EC9">
        <w:t xml:space="preserve"> (visited Oct. 16, 2012)</w:t>
      </w:r>
      <w:r>
        <w:t>.</w:t>
      </w:r>
    </w:p>
  </w:footnote>
  <w:footnote w:id="458">
    <w:p w:rsidR="00EC7CF3" w:rsidRDefault="00EC7CF3" w:rsidP="00F1004B">
      <w:pPr>
        <w:pStyle w:val="FootnoteText"/>
      </w:pPr>
      <w:r w:rsidRPr="00FE5EC9">
        <w:rPr>
          <w:rStyle w:val="FootnoteReference"/>
        </w:rPr>
        <w:footnoteRef/>
      </w:r>
      <w:r w:rsidRPr="00FE5EC9">
        <w:t xml:space="preserve"> Philip Goldstein, </w:t>
      </w:r>
      <w:r w:rsidRPr="00FE5EC9">
        <w:rPr>
          <w:i/>
        </w:rPr>
        <w:t>AT&amp;T Follows Verizon With ‘Mobile Share’ Shared Data Plans</w:t>
      </w:r>
      <w:r w:rsidRPr="00FE5EC9">
        <w:t xml:space="preserve">, </w:t>
      </w:r>
      <w:r w:rsidRPr="00FE5EC9">
        <w:rPr>
          <w:smallCaps/>
        </w:rPr>
        <w:t>FierceWireless</w:t>
      </w:r>
      <w:r w:rsidRPr="00FE5EC9">
        <w:t xml:space="preserve">, July 18, 2012 </w:t>
      </w:r>
      <w:hyperlink r:id="rId111" w:history="1">
        <w:r w:rsidRPr="00FE5EC9">
          <w:rPr>
            <w:rStyle w:val="Hyperlink"/>
          </w:rPr>
          <w:t>http://www.fiercewireless.com/story/att-follows-verizon-mobile-share-shared-data-plans/2012-07-18</w:t>
        </w:r>
      </w:hyperlink>
      <w:r w:rsidRPr="00FE5EC9">
        <w:t xml:space="preserve"> (visited Oct. 16, 2012); Anton Troianovski and Thomas Gryta, </w:t>
      </w:r>
      <w:r w:rsidRPr="00FE5EC9">
        <w:rPr>
          <w:i/>
        </w:rPr>
        <w:t>New Front Opens in Wireless Battle</w:t>
      </w:r>
      <w:r w:rsidRPr="00FE5EC9">
        <w:t xml:space="preserve">, </w:t>
      </w:r>
      <w:r w:rsidRPr="00FE5EC9">
        <w:rPr>
          <w:smallCaps/>
        </w:rPr>
        <w:t>Wall Street Journal</w:t>
      </w:r>
      <w:r w:rsidRPr="00FE5EC9">
        <w:t xml:space="preserve">, June 12, 2012. </w:t>
      </w:r>
      <w:hyperlink r:id="rId112" w:history="1">
        <w:r w:rsidRPr="00FE5EC9">
          <w:rPr>
            <w:rStyle w:val="Hyperlink"/>
          </w:rPr>
          <w:t>http://online.wsj.com/article/SB10001424052702303901504577462241394886300.html</w:t>
        </w:r>
      </w:hyperlink>
      <w:r w:rsidRPr="00FE5EC9">
        <w:t xml:space="preserve"> (visited Oct. 16, 2012)</w:t>
      </w:r>
      <w:r>
        <w:t>.</w:t>
      </w:r>
    </w:p>
  </w:footnote>
  <w:footnote w:id="459">
    <w:p w:rsidR="00EC7CF3" w:rsidRDefault="00EC7CF3" w:rsidP="00F1004B">
      <w:pPr>
        <w:pStyle w:val="FootnoteText"/>
      </w:pPr>
      <w:r w:rsidRPr="00FE5EC9">
        <w:rPr>
          <w:rStyle w:val="FootnoteReference"/>
        </w:rPr>
        <w:footnoteRef/>
      </w:r>
      <w:r w:rsidRPr="00FE5EC9">
        <w:t xml:space="preserve"> The lowest plan includes 700 voice minutes and pay-as-you-go messaging and data for a monthly account access charge of $10 per month, and the second plan includes 300 MB of shared data plus unlimited voice minutes and text messaging for $40 per month.  Both plans include an additional monthly line access charge of $30 per device.  Verizon Wireless, </w:t>
      </w:r>
      <w:r w:rsidRPr="00FE5EC9">
        <w:rPr>
          <w:i/>
        </w:rPr>
        <w:t>Share Everything Plans</w:t>
      </w:r>
      <w:r w:rsidRPr="00FE5EC9">
        <w:t>, http://www.verizonwireless.com/b2c/plan-information/?page</w:t>
      </w:r>
      <w:r>
        <w:t>=share-everything</w:t>
      </w:r>
      <w:r w:rsidRPr="00FE5EC9">
        <w:t xml:space="preserve"> (visited Sept. 6, 2012); Roger Entner, </w:t>
      </w:r>
      <w:r w:rsidRPr="00FE5EC9">
        <w:rPr>
          <w:i/>
        </w:rPr>
        <w:t>Entner: Shared Data Pricing has Arrived</w:t>
      </w:r>
      <w:r w:rsidRPr="00FE5EC9">
        <w:t xml:space="preserve">, </w:t>
      </w:r>
      <w:r w:rsidRPr="00FE5EC9">
        <w:rPr>
          <w:smallCaps/>
        </w:rPr>
        <w:t>FierceWireless</w:t>
      </w:r>
      <w:r w:rsidRPr="00FE5EC9">
        <w:t xml:space="preserve">, June 12, 2012. </w:t>
      </w:r>
      <w:hyperlink r:id="rId113" w:history="1">
        <w:r w:rsidRPr="00FE5EC9">
          <w:rPr>
            <w:rStyle w:val="Hyperlink"/>
          </w:rPr>
          <w:t>http://www.fiercewireless.com/story/entner-shared-data-pricing-has-arrived/2012-06-12</w:t>
        </w:r>
      </w:hyperlink>
      <w:r w:rsidRPr="00FE5EC9">
        <w:t xml:space="preserve"> (visited Oct. 16, 2012)</w:t>
      </w:r>
      <w:r>
        <w:t>.</w:t>
      </w:r>
    </w:p>
  </w:footnote>
  <w:footnote w:id="460">
    <w:p w:rsidR="00EC7CF3" w:rsidRDefault="00EC7CF3" w:rsidP="00F1004B">
      <w:pPr>
        <w:pStyle w:val="FootnoteText"/>
      </w:pPr>
      <w:r w:rsidRPr="00FE5EC9">
        <w:rPr>
          <w:rStyle w:val="FootnoteReference"/>
        </w:rPr>
        <w:footnoteRef/>
      </w:r>
      <w:r w:rsidRPr="00FE5EC9">
        <w:t xml:space="preserve"> Craig Moffett </w:t>
      </w:r>
      <w:r w:rsidRPr="00FE5EC9">
        <w:rPr>
          <w:i/>
        </w:rPr>
        <w:t>et al</w:t>
      </w:r>
      <w:r w:rsidRPr="00FE5EC9">
        <w:t xml:space="preserve">, </w:t>
      </w:r>
      <w:r w:rsidRPr="00FE5EC9">
        <w:rPr>
          <w:i/>
        </w:rPr>
        <w:t>Quick Take – Verizon: Market Share(ing)… The Beginning of the Endgame?</w:t>
      </w:r>
      <w:r w:rsidRPr="00FE5EC9">
        <w:t xml:space="preserve">, Bernstein Research, June 12, 2012, at 2-3; Roger Entner, </w:t>
      </w:r>
      <w:r w:rsidRPr="00FE5EC9">
        <w:rPr>
          <w:i/>
        </w:rPr>
        <w:t>Entner: Shared Data Pricing has Arrived</w:t>
      </w:r>
      <w:r w:rsidRPr="00FE5EC9">
        <w:t xml:space="preserve">, </w:t>
      </w:r>
      <w:r w:rsidRPr="00FE5EC9">
        <w:rPr>
          <w:smallCaps/>
        </w:rPr>
        <w:t>FierceWireless</w:t>
      </w:r>
      <w:r w:rsidRPr="00FE5EC9">
        <w:t xml:space="preserve">, June 12, 2012. </w:t>
      </w:r>
      <w:hyperlink r:id="rId114" w:history="1">
        <w:r w:rsidRPr="00FE5EC9">
          <w:rPr>
            <w:rStyle w:val="Hyperlink"/>
          </w:rPr>
          <w:t>http://www.fiercewireless.com/story/entner-shared-data-pricing-has-arrived/2012-06-12</w:t>
        </w:r>
      </w:hyperlink>
      <w:r w:rsidRPr="00FE5EC9">
        <w:t xml:space="preserve"> (visited Oct. 16, 2012)</w:t>
      </w:r>
      <w:r>
        <w:t>.</w:t>
      </w:r>
    </w:p>
  </w:footnote>
  <w:footnote w:id="461">
    <w:p w:rsidR="00EC7CF3" w:rsidRDefault="00EC7CF3" w:rsidP="00F1004B">
      <w:pPr>
        <w:pStyle w:val="FootnoteText"/>
      </w:pPr>
      <w:r w:rsidRPr="00FE5EC9">
        <w:rPr>
          <w:rStyle w:val="FootnoteReference"/>
        </w:rPr>
        <w:footnoteRef/>
      </w:r>
      <w:r w:rsidRPr="00FE5EC9">
        <w:t xml:space="preserve"> David W. Barden </w:t>
      </w:r>
      <w:r w:rsidRPr="00FE5EC9">
        <w:rPr>
          <w:i/>
        </w:rPr>
        <w:t>et al</w:t>
      </w:r>
      <w:r w:rsidRPr="00FE5EC9">
        <w:t xml:space="preserve">., </w:t>
      </w:r>
      <w:r w:rsidRPr="00FE5EC9">
        <w:rPr>
          <w:i/>
        </w:rPr>
        <w:t>Verizon Shares New Pricing, Pre-Pay Welcomes iPhone</w:t>
      </w:r>
      <w:r w:rsidRPr="00FE5EC9">
        <w:t xml:space="preserve">, Bank of America Merrill Lynch, Equity Research, July 10, 2012, at 1; Craig Moffett </w:t>
      </w:r>
      <w:r w:rsidRPr="00FE5EC9">
        <w:rPr>
          <w:i/>
        </w:rPr>
        <w:t>et al</w:t>
      </w:r>
      <w:r w:rsidRPr="00FE5EC9">
        <w:t xml:space="preserve">, </w:t>
      </w:r>
      <w:r w:rsidRPr="00FE5EC9">
        <w:rPr>
          <w:i/>
        </w:rPr>
        <w:t>Quick Take – Verizon: Market Share(ing)… The Beginning of the Endgame?</w:t>
      </w:r>
      <w:r w:rsidRPr="00FE5EC9">
        <w:t>, Bernstein Research, June 12, 2012, at 1-2.</w:t>
      </w:r>
    </w:p>
  </w:footnote>
  <w:footnote w:id="462">
    <w:p w:rsidR="00EC7CF3" w:rsidRDefault="00EC7CF3" w:rsidP="00F1004B">
      <w:pPr>
        <w:pStyle w:val="FootnoteText"/>
      </w:pPr>
      <w:r w:rsidRPr="00FE5EC9">
        <w:rPr>
          <w:rStyle w:val="FootnoteReference"/>
        </w:rPr>
        <w:footnoteRef/>
      </w:r>
      <w:r w:rsidRPr="00FE5EC9">
        <w:t xml:space="preserve"> Craig Moffett </w:t>
      </w:r>
      <w:r w:rsidRPr="00FE5EC9">
        <w:rPr>
          <w:i/>
        </w:rPr>
        <w:t>et al</w:t>
      </w:r>
      <w:r w:rsidRPr="00FE5EC9">
        <w:t xml:space="preserve">, </w:t>
      </w:r>
      <w:r w:rsidRPr="00FE5EC9">
        <w:rPr>
          <w:i/>
        </w:rPr>
        <w:t>Quick Take – Verizon: Market Share(ing)… The Beginning of the Endgame?</w:t>
      </w:r>
      <w:r w:rsidRPr="00FE5EC9">
        <w:t>, Bernstein Research, June 12, 2012, at 1-2.</w:t>
      </w:r>
    </w:p>
  </w:footnote>
  <w:footnote w:id="463">
    <w:p w:rsidR="00EC7CF3" w:rsidRDefault="00EC7CF3" w:rsidP="00F1004B">
      <w:pPr>
        <w:pStyle w:val="FootnoteText"/>
      </w:pPr>
      <w:r w:rsidRPr="00FE5EC9">
        <w:rPr>
          <w:rStyle w:val="FootnoteReference"/>
        </w:rPr>
        <w:footnoteRef/>
      </w:r>
      <w:r w:rsidRPr="00FE5EC9">
        <w:t xml:space="preserve"> David W. Barden </w:t>
      </w:r>
      <w:r w:rsidRPr="00FE5EC9">
        <w:rPr>
          <w:i/>
        </w:rPr>
        <w:t>et al</w:t>
      </w:r>
      <w:r w:rsidRPr="00FE5EC9">
        <w:t xml:space="preserve">., </w:t>
      </w:r>
      <w:r w:rsidRPr="00FE5EC9">
        <w:rPr>
          <w:i/>
        </w:rPr>
        <w:t>Verizon Shares New Pricing, Pre-Pay Welcomes iPhone</w:t>
      </w:r>
      <w:r w:rsidRPr="00FE5EC9">
        <w:t xml:space="preserve">, Bank of America Merrill Lynch, Equity Research, July 10, 2012, at 1; Craig Moffett </w:t>
      </w:r>
      <w:r w:rsidRPr="00FE5EC9">
        <w:rPr>
          <w:i/>
        </w:rPr>
        <w:t>et al</w:t>
      </w:r>
      <w:r w:rsidRPr="00FE5EC9">
        <w:t xml:space="preserve">, </w:t>
      </w:r>
      <w:r w:rsidRPr="00FE5EC9">
        <w:rPr>
          <w:i/>
        </w:rPr>
        <w:t>Quick Take – Verizon: Market Share(ing)… The Beginning of the Endgame?</w:t>
      </w:r>
      <w:r w:rsidRPr="00FE5EC9">
        <w:t>, Bernstein Research, June 12, 2012, at 1-2.</w:t>
      </w:r>
    </w:p>
  </w:footnote>
  <w:footnote w:id="464">
    <w:p w:rsidR="00EC7CF3" w:rsidRDefault="00EC7CF3" w:rsidP="00F1004B">
      <w:pPr>
        <w:pStyle w:val="FootnoteText"/>
      </w:pPr>
      <w:r w:rsidRPr="00FE5EC9">
        <w:rPr>
          <w:rStyle w:val="FootnoteReference"/>
        </w:rPr>
        <w:footnoteRef/>
      </w:r>
      <w:r w:rsidRPr="00FE5EC9">
        <w:t xml:space="preserve"> Sue Marek, </w:t>
      </w:r>
      <w:r w:rsidRPr="00FE5EC9">
        <w:rPr>
          <w:i/>
        </w:rPr>
        <w:t>T-Mobile Unveils New Tiered Data Plans for Smartphones, Details Throttling Speeds</w:t>
      </w:r>
      <w:r w:rsidRPr="00FE5EC9">
        <w:t xml:space="preserve">, </w:t>
      </w:r>
      <w:r w:rsidRPr="00FE5EC9">
        <w:rPr>
          <w:smallCaps/>
        </w:rPr>
        <w:t>FierceWireless</w:t>
      </w:r>
      <w:r w:rsidRPr="00FE5EC9">
        <w:t xml:space="preserve">, May 23, 2011. </w:t>
      </w:r>
      <w:r w:rsidRPr="00B60886">
        <w:t xml:space="preserve">http://www.fiercewireless.com/story/t-mobile-quietly-launches-tiered-data-plans-smartphones/2011-05-23 </w:t>
      </w:r>
      <w:r>
        <w:t xml:space="preserve">(Visited </w:t>
      </w:r>
      <w:r>
        <w:rPr>
          <w:rStyle w:val="Hyperlink"/>
          <w:color w:val="auto"/>
          <w:u w:val="none"/>
        </w:rPr>
        <w:t>Nov. 30, 2012).</w:t>
      </w:r>
    </w:p>
  </w:footnote>
  <w:footnote w:id="465">
    <w:p w:rsidR="00EC7CF3" w:rsidRDefault="00EC7CF3" w:rsidP="00F1004B">
      <w:pPr>
        <w:pStyle w:val="FootnoteText"/>
      </w:pPr>
      <w:r w:rsidRPr="00FE5EC9">
        <w:rPr>
          <w:rStyle w:val="FootnoteReference"/>
        </w:rPr>
        <w:footnoteRef/>
      </w:r>
      <w:r w:rsidRPr="00FE5EC9">
        <w:t xml:space="preserve"> Sue Marek, </w:t>
      </w:r>
      <w:r w:rsidRPr="00FE5EC9">
        <w:rPr>
          <w:i/>
        </w:rPr>
        <w:t>T-Mobile Unveils New Tiered Data Plans for Smartphones, Details Throttling Speeds</w:t>
      </w:r>
      <w:r w:rsidRPr="00FE5EC9">
        <w:t xml:space="preserve">, </w:t>
      </w:r>
      <w:r w:rsidRPr="00FE5EC9">
        <w:rPr>
          <w:smallCaps/>
        </w:rPr>
        <w:t>FierceWireless</w:t>
      </w:r>
      <w:r w:rsidRPr="00FE5EC9">
        <w:t xml:space="preserve">, May 23, 2011. </w:t>
      </w:r>
      <w:hyperlink r:id="rId115" w:history="1">
        <w:r w:rsidRPr="00FE5EC9">
          <w:rPr>
            <w:rStyle w:val="Hyperlink"/>
          </w:rPr>
          <w:t>http://www.fiercewireless.com/story/t-mobile-quietly-launches-tiered-data-plans-smartphones/2011-05-23</w:t>
        </w:r>
      </w:hyperlink>
      <w:r w:rsidRPr="00FE5EC9">
        <w:t xml:space="preserve"> (visited Oct. 16, 2012)</w:t>
      </w:r>
      <w:r>
        <w:t>.</w:t>
      </w:r>
      <w:r w:rsidRPr="00FE5EC9">
        <w:t xml:space="preserve">  </w:t>
      </w:r>
      <w:r w:rsidRPr="00FE5EC9">
        <w:rPr>
          <w:i/>
        </w:rPr>
        <w:t>See</w:t>
      </w:r>
      <w:r w:rsidRPr="00FE5EC9">
        <w:t xml:space="preserve"> T-Mobile, Terms and Conditions, available at </w:t>
      </w:r>
      <w:hyperlink r:id="rId116" w:history="1">
        <w:r w:rsidRPr="00FE5EC9">
          <w:rPr>
            <w:rStyle w:val="Hyperlink"/>
          </w:rPr>
          <w:t>www.tmobile.com</w:t>
        </w:r>
      </w:hyperlink>
      <w:r w:rsidRPr="00FE5EC9">
        <w:t>, (visited Aug. 14, 2012) (stating “To provide a good experience for the majority of our customers and minimize capacity issues and degradation in network performance, we may take measures including temporarily reducing data throughput for a subset of customers who use a disproportionate amount of bandwidth.</w:t>
      </w:r>
      <w:r>
        <w:t xml:space="preserve"> </w:t>
      </w:r>
      <w:r w:rsidRPr="00FE5EC9">
        <w:t xml:space="preserve"> In addition, if your total usage exceeds 5GB (amount is subject to change without notice; please check T-Mobile's T&amp;Cs on </w:t>
      </w:r>
      <w:hyperlink r:id="rId117" w:history="1">
        <w:r w:rsidRPr="00FE5EC9">
          <w:rPr>
            <w:rStyle w:val="Hyperlink"/>
          </w:rPr>
          <w:t>www.T-Mobile.com</w:t>
        </w:r>
      </w:hyperlink>
      <w:r w:rsidRPr="00FE5EC9">
        <w:t xml:space="preserve"> for updates) during a billing cycle, we may reduce your data speed for the remainder of that billing cycle.</w:t>
      </w:r>
      <w:r>
        <w:t xml:space="preserve"> </w:t>
      </w:r>
      <w:r w:rsidRPr="00FE5EC9">
        <w:t xml:space="preserve"> If you use your Data Plan in a manner that could interfere with other customers' service, affect our ability to allocate network capacity among customers, or degrade service quality for other customers, we may suspend, terminate, or restrict your data session, or switch you to a more appropriate Data Plan. We also manage our network to facilitate the proper functioning of services that require consistent high speeds, such as video calling, which may, particularly at times and in areas of network congestion, result in reduced speeds for other services. Additionally, we may implement other network management practices, such as caching less data, using less capacity, and sizing video more appropriately for a Device to transmit data files more efficiently. </w:t>
      </w:r>
      <w:r>
        <w:t xml:space="preserve"> </w:t>
      </w:r>
      <w:r w:rsidRPr="00FE5EC9">
        <w:t>These practices are agnostic to the content itself and t</w:t>
      </w:r>
      <w:r>
        <w:t xml:space="preserve">o the websites that provide it. </w:t>
      </w:r>
      <w:r w:rsidRPr="00FE5EC9">
        <w:t>While we avoid changing text, image, and video files in the compression process when practical, the process may impact the appearance of files as displayed on your Device.”)</w:t>
      </w:r>
      <w:r>
        <w:t>.</w:t>
      </w:r>
    </w:p>
  </w:footnote>
  <w:footnote w:id="466">
    <w:p w:rsidR="00EC7CF3" w:rsidRDefault="00EC7CF3" w:rsidP="00F1004B">
      <w:pPr>
        <w:pStyle w:val="FootnoteText"/>
      </w:pPr>
      <w:r w:rsidRPr="00FE5EC9">
        <w:rPr>
          <w:rStyle w:val="FootnoteReference"/>
        </w:rPr>
        <w:footnoteRef/>
      </w:r>
      <w:r w:rsidRPr="00FE5EC9">
        <w:t xml:space="preserve"> Sue Marek, </w:t>
      </w:r>
      <w:r w:rsidRPr="00FE5EC9">
        <w:rPr>
          <w:i/>
        </w:rPr>
        <w:t>T-Mobile Unveils New Tiered Data Plans for Smartphones, Details Throttling Speeds</w:t>
      </w:r>
      <w:r w:rsidRPr="00FE5EC9">
        <w:t xml:space="preserve">, </w:t>
      </w:r>
      <w:r w:rsidRPr="00FE5EC9">
        <w:rPr>
          <w:smallCaps/>
        </w:rPr>
        <w:t>FierceWireless</w:t>
      </w:r>
      <w:r w:rsidRPr="00FE5EC9">
        <w:t xml:space="preserve">, May 23, 2011. </w:t>
      </w:r>
      <w:hyperlink r:id="rId118" w:history="1">
        <w:r w:rsidRPr="00FE5EC9">
          <w:rPr>
            <w:rStyle w:val="Hyperlink"/>
          </w:rPr>
          <w:t>http://www.fiercewireless.com/story/t-mobile-quietly-launches-tiered-data-plans-smartphones/2011-05-23</w:t>
        </w:r>
      </w:hyperlink>
      <w:r w:rsidRPr="00FE5EC9">
        <w:t xml:space="preserve"> (visited Oct. 16, 2012)</w:t>
      </w:r>
      <w:r>
        <w:t>.</w:t>
      </w:r>
    </w:p>
  </w:footnote>
  <w:footnote w:id="467">
    <w:p w:rsidR="00EC7CF3" w:rsidRDefault="00EC7CF3" w:rsidP="00F1004B">
      <w:pPr>
        <w:pStyle w:val="FootnoteText"/>
      </w:pPr>
      <w:r w:rsidRPr="00FE5EC9">
        <w:rPr>
          <w:rStyle w:val="FootnoteReference"/>
        </w:rPr>
        <w:footnoteRef/>
      </w:r>
      <w:r w:rsidRPr="00FE5EC9">
        <w:t xml:space="preserve"> Philip Goldstein, </w:t>
      </w:r>
      <w:r w:rsidRPr="00FE5EC9">
        <w:rPr>
          <w:i/>
        </w:rPr>
        <w:t>Confirmed:  T-Mobile to Replace Throttling With Overage Fees on 200 MB Plan</w:t>
      </w:r>
      <w:r w:rsidRPr="00FE5EC9">
        <w:t xml:space="preserve">, </w:t>
      </w:r>
      <w:r w:rsidRPr="00FE5EC9">
        <w:rPr>
          <w:smallCaps/>
        </w:rPr>
        <w:t>FierceWireless</w:t>
      </w:r>
      <w:r w:rsidRPr="00FE5EC9">
        <w:t xml:space="preserve">, Aug. 11, 2011. </w:t>
      </w:r>
      <w:hyperlink r:id="rId119" w:history="1">
        <w:r w:rsidRPr="00FE5EC9">
          <w:rPr>
            <w:rStyle w:val="Hyperlink"/>
          </w:rPr>
          <w:t>http://www.fiercewireless.com/story/rumor-mill-t-mobile-replace-throttling-overage-fees-200-mb-plan/2011-08-11</w:t>
        </w:r>
      </w:hyperlink>
      <w:r>
        <w:t xml:space="preserve">(visited Oct. 16, 2012).  </w:t>
      </w:r>
      <w:r w:rsidRPr="00FE5EC9">
        <w:t xml:space="preserve">T-Mobile will send customers a free text message advising them they are approaching their monthly data cap at 90 percent, or 180 MB, of data in a given billing cycle, and will send them a similar message when they reach the 200 MB limit.  Existing customers already on the 200 MB plan prior to August 14, 2011 do not incur overage charges, but rather remain subject to speed reductions if they exceed the 200 MB cap.  </w:t>
      </w:r>
      <w:r w:rsidRPr="00FE5EC9">
        <w:rPr>
          <w:i/>
        </w:rPr>
        <w:t>Id</w:t>
      </w:r>
      <w:r w:rsidRPr="00FE5EC9">
        <w:t xml:space="preserve">.  </w:t>
      </w:r>
    </w:p>
  </w:footnote>
  <w:footnote w:id="468">
    <w:p w:rsidR="00EC7CF3" w:rsidRDefault="00EC7CF3" w:rsidP="00F1004B">
      <w:pPr>
        <w:pStyle w:val="FootnoteText"/>
      </w:pPr>
      <w:r w:rsidRPr="00FE5EC9">
        <w:rPr>
          <w:rStyle w:val="FootnoteReference"/>
        </w:rPr>
        <w:footnoteRef/>
      </w:r>
      <w:r w:rsidRPr="00FE5EC9">
        <w:t xml:space="preserve"> Philip Goldstein, </w:t>
      </w:r>
      <w:r w:rsidRPr="00FE5EC9">
        <w:rPr>
          <w:i/>
        </w:rPr>
        <w:t>Confirmed:  T-Mobile to Replace Throttling With Overage Fees on 200 MB Plan</w:t>
      </w:r>
      <w:r w:rsidRPr="00FE5EC9">
        <w:t xml:space="preserve">, </w:t>
      </w:r>
      <w:r w:rsidRPr="00FE5EC9">
        <w:rPr>
          <w:smallCaps/>
        </w:rPr>
        <w:t>FierceWireless</w:t>
      </w:r>
      <w:r w:rsidRPr="00FE5EC9">
        <w:t xml:space="preserve">, Aug. 11, 2011. </w:t>
      </w:r>
      <w:hyperlink r:id="rId120" w:history="1">
        <w:r w:rsidRPr="00FE5EC9">
          <w:rPr>
            <w:rStyle w:val="Hyperlink"/>
          </w:rPr>
          <w:t>http://www.fiercewireless.com/story/rumor-mill-t-mobile-replace-throttling-overage-fees-200-mb-plan/2011-08-11</w:t>
        </w:r>
      </w:hyperlink>
      <w:r w:rsidRPr="00FE5EC9">
        <w:t xml:space="preserve"> (visited Oct. 16, 2012)</w:t>
      </w:r>
      <w:r>
        <w:t>.</w:t>
      </w:r>
    </w:p>
  </w:footnote>
  <w:footnote w:id="469">
    <w:p w:rsidR="00EC7CF3" w:rsidRDefault="00EC7CF3" w:rsidP="00F1004B">
      <w:pPr>
        <w:pStyle w:val="FootnoteText"/>
      </w:pPr>
      <w:r w:rsidRPr="00FE5EC9">
        <w:rPr>
          <w:rStyle w:val="FootnoteReference"/>
        </w:rPr>
        <w:footnoteRef/>
      </w:r>
      <w:r w:rsidRPr="00FE5EC9">
        <w:t xml:space="preserve"> Sue Marek, </w:t>
      </w:r>
      <w:r w:rsidRPr="00FE5EC9">
        <w:rPr>
          <w:i/>
        </w:rPr>
        <w:t>T-Mobile Unveils New Tiered Data Plans for Smartphones, Details Throttling Speeds</w:t>
      </w:r>
      <w:r w:rsidRPr="00FE5EC9">
        <w:t xml:space="preserve">, </w:t>
      </w:r>
      <w:r w:rsidRPr="00FE5EC9">
        <w:rPr>
          <w:smallCaps/>
        </w:rPr>
        <w:t>FierceWireless</w:t>
      </w:r>
      <w:r w:rsidRPr="00FE5EC9">
        <w:t xml:space="preserve">, May. 23, 2011; </w:t>
      </w:r>
      <w:hyperlink r:id="rId121" w:history="1">
        <w:r w:rsidRPr="00FE5EC9">
          <w:rPr>
            <w:rStyle w:val="Hyperlink"/>
          </w:rPr>
          <w:t>http://www.fiercewireless.com/story/t-mobile-quietly-launches-tiered-data-plans-smartphones/2011-05-23</w:t>
        </w:r>
      </w:hyperlink>
      <w:r>
        <w:t xml:space="preserve"> (visited Oct. 16, 2012)</w:t>
      </w:r>
      <w:r w:rsidRPr="00FE5EC9">
        <w:t>;</w:t>
      </w:r>
      <w:r w:rsidRPr="00FE5EC9">
        <w:rPr>
          <w:i/>
        </w:rPr>
        <w:t xml:space="preserve"> Fifteenth Report</w:t>
      </w:r>
      <w:r w:rsidRPr="00FE5EC9">
        <w:t xml:space="preserve">, </w:t>
      </w:r>
      <w:r w:rsidRPr="00FE5EC9">
        <w:rPr>
          <w:iCs/>
        </w:rPr>
        <w:t>26 FCC Rcd at9729</w:t>
      </w:r>
      <w:r w:rsidRPr="00FE5EC9">
        <w:t xml:space="preserve"> ¶ 92.</w:t>
      </w:r>
    </w:p>
  </w:footnote>
  <w:footnote w:id="470">
    <w:p w:rsidR="00EC7CF3" w:rsidRDefault="00EC7CF3" w:rsidP="00603811">
      <w:pPr>
        <w:pStyle w:val="FootnoteText"/>
      </w:pPr>
      <w:r w:rsidRPr="00D45696">
        <w:rPr>
          <w:rStyle w:val="FootnoteReference"/>
        </w:rPr>
        <w:footnoteRef/>
      </w:r>
      <w:r w:rsidRPr="00D45696">
        <w:t xml:space="preserve"> Philip Goldstein, </w:t>
      </w:r>
      <w:r w:rsidRPr="00D45696">
        <w:rPr>
          <w:i/>
        </w:rPr>
        <w:t>Confirmed:  T-Mobile Targets Sprint With Cheaper Unlimited Smartphone Plans</w:t>
      </w:r>
      <w:r w:rsidRPr="00D45696">
        <w:t xml:space="preserve">, </w:t>
      </w:r>
      <w:r w:rsidRPr="00D45696">
        <w:rPr>
          <w:smallCaps/>
        </w:rPr>
        <w:t>FierceWireless</w:t>
      </w:r>
      <w:r w:rsidRPr="00D45696">
        <w:t xml:space="preserve">, Jul. 20, 2011. </w:t>
      </w:r>
      <w:hyperlink r:id="rId122" w:history="1">
        <w:r w:rsidRPr="00D45696">
          <w:rPr>
            <w:rStyle w:val="Hyperlink"/>
          </w:rPr>
          <w:t>http://www.fiercewireless.com/story/t-mobile-targets-sprint-cheaper-unlimited-smartphone-plans/2011-07-20</w:t>
        </w:r>
      </w:hyperlink>
      <w:r w:rsidRPr="00D45696">
        <w:t xml:space="preserve"> (visited Oct. 16, 2012)</w:t>
      </w:r>
      <w:r>
        <w:t>.</w:t>
      </w:r>
      <w:r w:rsidRPr="00D45696">
        <w:t xml:space="preserve"> In the Value plans and Classic plans, the data allotment was bundled with unlimited voice and texting.  The 2 GB Value plan was $20 less expensive than the comparable Classic plan, and the 5 GB and 10 GB Value plans were each $15 less expensive than the comparable Classic plans.  </w:t>
      </w:r>
      <w:r w:rsidRPr="00D45696">
        <w:rPr>
          <w:i/>
        </w:rPr>
        <w:t>Id</w:t>
      </w:r>
      <w:r w:rsidRPr="00D45696">
        <w:t>.</w:t>
      </w:r>
    </w:p>
  </w:footnote>
  <w:footnote w:id="471">
    <w:p w:rsidR="00EC7CF3" w:rsidRDefault="00EC7CF3" w:rsidP="00603811">
      <w:pPr>
        <w:pStyle w:val="FootnoteText"/>
      </w:pPr>
      <w:r w:rsidRPr="00D45696">
        <w:rPr>
          <w:rStyle w:val="FootnoteReference"/>
        </w:rPr>
        <w:footnoteRef/>
      </w:r>
      <w:r w:rsidRPr="00D45696">
        <w:t xml:space="preserve"> Philip Goldstein, </w:t>
      </w:r>
      <w:r w:rsidRPr="00D45696">
        <w:rPr>
          <w:i/>
        </w:rPr>
        <w:t>Confirmed:  T-Mobile Targets Sprint With Cheaper Unlimited Smartphone Plans</w:t>
      </w:r>
      <w:r w:rsidRPr="00D45696">
        <w:t xml:space="preserve">, </w:t>
      </w:r>
      <w:r w:rsidRPr="00D45696">
        <w:rPr>
          <w:smallCaps/>
        </w:rPr>
        <w:t>FierceWireless</w:t>
      </w:r>
      <w:r w:rsidRPr="00D45696">
        <w:t xml:space="preserve">, Jul. 20, 2011. </w:t>
      </w:r>
      <w:hyperlink r:id="rId123" w:history="1">
        <w:r w:rsidRPr="00D45696">
          <w:rPr>
            <w:rStyle w:val="Hyperlink"/>
          </w:rPr>
          <w:t>http://www.fiercewireless.com/story/t-mobile-targets-sprint-cheaper-unlimited-smartphone-plans/2011-07-20</w:t>
        </w:r>
      </w:hyperlink>
      <w:r w:rsidRPr="00D45696">
        <w:t xml:space="preserve"> (visited Oct. 16, 2012).</w:t>
      </w:r>
    </w:p>
  </w:footnote>
  <w:footnote w:id="472">
    <w:p w:rsidR="00EC7CF3" w:rsidRDefault="00EC7CF3" w:rsidP="00603811">
      <w:pPr>
        <w:pStyle w:val="FootnoteText"/>
      </w:pPr>
      <w:r w:rsidRPr="00D45696">
        <w:rPr>
          <w:rStyle w:val="FootnoteReference"/>
        </w:rPr>
        <w:footnoteRef/>
      </w:r>
      <w:r w:rsidRPr="00D45696">
        <w:t xml:space="preserve"> T-Mobile USA, Presentation at Deutschetelekom Capital Markets Day 2012, Dec. 6, 2012, at 22, </w:t>
      </w:r>
      <w:r w:rsidRPr="001A0998">
        <w:rPr>
          <w:i/>
        </w:rPr>
        <w:t>available at</w:t>
      </w:r>
      <w:r w:rsidRPr="00D45696">
        <w:t xml:space="preserve"> </w:t>
      </w:r>
      <w:hyperlink r:id="rId124" w:history="1">
        <w:r w:rsidRPr="00D206FB">
          <w:rPr>
            <w:rStyle w:val="Hyperlink"/>
          </w:rPr>
          <w:t>http://www.telekom.com/static/-/162600/7/presentation-jl-si</w:t>
        </w:r>
      </w:hyperlink>
      <w:r w:rsidRPr="00D45696">
        <w:t>.</w:t>
      </w:r>
      <w:r>
        <w:t xml:space="preserve"> (visited Oct. 16, 2012).</w:t>
      </w:r>
    </w:p>
  </w:footnote>
  <w:footnote w:id="473">
    <w:p w:rsidR="00EC7CF3" w:rsidRDefault="00EC7CF3" w:rsidP="00F1004B">
      <w:pPr>
        <w:pStyle w:val="FootnoteText"/>
      </w:pPr>
      <w:r w:rsidRPr="00FE5EC9">
        <w:rPr>
          <w:rStyle w:val="FootnoteReference"/>
        </w:rPr>
        <w:footnoteRef/>
      </w:r>
      <w:r w:rsidRPr="00FE5EC9">
        <w:t xml:space="preserve"> David W. Barden </w:t>
      </w:r>
      <w:r w:rsidRPr="00FE5EC9">
        <w:rPr>
          <w:i/>
        </w:rPr>
        <w:t>et al</w:t>
      </w:r>
      <w:r w:rsidRPr="00FE5EC9">
        <w:t xml:space="preserve">., </w:t>
      </w:r>
      <w:r w:rsidRPr="00FE5EC9">
        <w:rPr>
          <w:i/>
        </w:rPr>
        <w:t>Verizon Shares New Pricing, Pre-Pay Welcomes iPhone</w:t>
      </w:r>
      <w:r w:rsidRPr="00FE5EC9">
        <w:t>, Bank of America Merrill Lynch, Equity Research, July 10, 2012, at 5-6.</w:t>
      </w:r>
    </w:p>
  </w:footnote>
  <w:footnote w:id="474">
    <w:p w:rsidR="00EC7CF3" w:rsidRDefault="00EC7CF3" w:rsidP="00F1004B">
      <w:pPr>
        <w:pStyle w:val="FootnoteText"/>
      </w:pPr>
      <w:r w:rsidRPr="00FE5EC9">
        <w:rPr>
          <w:rStyle w:val="FootnoteReference"/>
        </w:rPr>
        <w:footnoteRef/>
      </w:r>
      <w:r w:rsidRPr="00FE5EC9">
        <w:t xml:space="preserve"> </w:t>
      </w:r>
      <w:r w:rsidRPr="00FE5EC9">
        <w:rPr>
          <w:i/>
        </w:rPr>
        <w:t>T-Mobile Celebrates 10 Years of Innovation With Launch of Unlimited Nationwide 4G Data Plans</w:t>
      </w:r>
      <w:r w:rsidRPr="00FE5EC9">
        <w:t xml:space="preserve">, Press Release, T-Mobile, Sept. 5, 2012 </w:t>
      </w:r>
      <w:hyperlink r:id="rId125" w:history="1">
        <w:r w:rsidRPr="00FE5EC9">
          <w:rPr>
            <w:rStyle w:val="Hyperlink"/>
          </w:rPr>
          <w:t>http://newsroom.t-mobile.com/articles/t-mobile-celebrates-10-years-and-launches-unlimited-nationwide-4g-data-plans</w:t>
        </w:r>
      </w:hyperlink>
      <w:r w:rsidRPr="00FE5EC9">
        <w:t xml:space="preserve">  (visited Oct. 16, 2012 ; T-Mobile, </w:t>
      </w:r>
      <w:r w:rsidRPr="00FE5EC9">
        <w:rPr>
          <w:i/>
        </w:rPr>
        <w:t>Individual Plans</w:t>
      </w:r>
      <w:r w:rsidRPr="00FE5EC9">
        <w:t xml:space="preserve">, http://www.t-mobile.com/shop/plans/individual-plans.aspx (visited Sept. 6, 2012); Mike Dano, </w:t>
      </w:r>
      <w:r w:rsidRPr="00FE5EC9">
        <w:rPr>
          <w:i/>
        </w:rPr>
        <w:t>T-Mobile Revives $30 Unlimited Data for Postpaid Smartphones</w:t>
      </w:r>
      <w:r w:rsidRPr="00FE5EC9">
        <w:t xml:space="preserve">, </w:t>
      </w:r>
      <w:r w:rsidRPr="00FE5EC9">
        <w:rPr>
          <w:smallCaps/>
        </w:rPr>
        <w:t>FierceWireless</w:t>
      </w:r>
      <w:r w:rsidRPr="00FE5EC9">
        <w:t xml:space="preserve">, Aug. 22, 2012. </w:t>
      </w:r>
      <w:hyperlink r:id="rId126" w:history="1">
        <w:r w:rsidRPr="00FE5EC9">
          <w:rPr>
            <w:rStyle w:val="Hyperlink"/>
          </w:rPr>
          <w:t>http://www.fiercewireless.com/story/t-mobile-revives-30-unlimited-data-postpaid-smartphones/2012-08-22</w:t>
        </w:r>
      </w:hyperlink>
      <w:r w:rsidRPr="00FE5EC9">
        <w:t xml:space="preserve"> (visited Oct. 16, 2012)</w:t>
      </w:r>
      <w:r>
        <w:t>.</w:t>
      </w:r>
    </w:p>
  </w:footnote>
  <w:footnote w:id="475">
    <w:p w:rsidR="00EC7CF3" w:rsidRDefault="00EC7CF3" w:rsidP="00F1004B">
      <w:pPr>
        <w:pStyle w:val="FootnoteText"/>
      </w:pPr>
      <w:r w:rsidRPr="00FE5EC9">
        <w:rPr>
          <w:rStyle w:val="FootnoteReference"/>
        </w:rPr>
        <w:footnoteRef/>
      </w:r>
      <w:r w:rsidRPr="00FE5EC9">
        <w:t xml:space="preserve"> Mike Dano, </w:t>
      </w:r>
      <w:r w:rsidRPr="00FE5EC9">
        <w:rPr>
          <w:i/>
        </w:rPr>
        <w:t>T-Mobile Revives $30 Unlimited Data for Postpaid Smartphones</w:t>
      </w:r>
      <w:r w:rsidRPr="00FE5EC9">
        <w:t xml:space="preserve">, </w:t>
      </w:r>
      <w:r w:rsidRPr="00FE5EC9">
        <w:rPr>
          <w:smallCaps/>
        </w:rPr>
        <w:t>FierceWireless</w:t>
      </w:r>
      <w:r w:rsidRPr="00FE5EC9">
        <w:t xml:space="preserve">, Aug. 22, 2012. </w:t>
      </w:r>
      <w:hyperlink r:id="rId127" w:history="1">
        <w:r w:rsidRPr="00FE5EC9">
          <w:rPr>
            <w:rStyle w:val="Hyperlink"/>
          </w:rPr>
          <w:t>http://www.fiercewireless.com/story/t-mobile-revives-30-unlimited-data-postpaid-smartphones/2012-08-22</w:t>
        </w:r>
      </w:hyperlink>
      <w:r w:rsidRPr="00FE5EC9">
        <w:t xml:space="preserve"> (visited Oct. </w:t>
      </w:r>
      <w:r>
        <w:t>16, 2012).</w:t>
      </w:r>
    </w:p>
  </w:footnote>
  <w:footnote w:id="476">
    <w:p w:rsidR="00EC7CF3" w:rsidRDefault="00EC7CF3" w:rsidP="00F1004B">
      <w:pPr>
        <w:pStyle w:val="FootnoteText"/>
      </w:pPr>
      <w:r>
        <w:rPr>
          <w:rStyle w:val="FootnoteReference"/>
        </w:rPr>
        <w:footnoteRef/>
      </w:r>
      <w:r>
        <w:t xml:space="preserve"> </w:t>
      </w:r>
      <w:r w:rsidRPr="00FE5EC9">
        <w:t xml:space="preserve">T-Mobile, </w:t>
      </w:r>
      <w:r w:rsidRPr="00FE5EC9">
        <w:rPr>
          <w:i/>
        </w:rPr>
        <w:t>Individual Plans</w:t>
      </w:r>
      <w:r w:rsidRPr="00FE5EC9">
        <w:t>, http://www.t-mobile.com/shop/plans/individual-plans.aspx (visited Nov. 26, 2012)</w:t>
      </w:r>
      <w:r>
        <w:t>.</w:t>
      </w:r>
    </w:p>
  </w:footnote>
  <w:footnote w:id="477">
    <w:p w:rsidR="00EC7CF3" w:rsidRDefault="00EC7CF3" w:rsidP="00603811">
      <w:pPr>
        <w:pStyle w:val="FootnoteText"/>
      </w:pPr>
      <w:r w:rsidRPr="00D45696">
        <w:rPr>
          <w:rStyle w:val="FootnoteReference"/>
        </w:rPr>
        <w:footnoteRef/>
      </w:r>
      <w:r w:rsidRPr="00D45696">
        <w:t xml:space="preserve"> Phil Goldstein, </w:t>
      </w:r>
      <w:r w:rsidRPr="00D45696">
        <w:rPr>
          <w:i/>
        </w:rPr>
        <w:t>T-Mobile Kills Device Subsidies</w:t>
      </w:r>
      <w:r w:rsidRPr="00D45696">
        <w:t xml:space="preserve">, </w:t>
      </w:r>
      <w:r w:rsidRPr="00D45696">
        <w:rPr>
          <w:smallCaps/>
        </w:rPr>
        <w:t>FierceWireless</w:t>
      </w:r>
      <w:r w:rsidRPr="00D45696">
        <w:t>, Dec. 6, 2012; T-Mobile USA, Presentation at Deutschetelekom Capital Markets Day 2012, Dec. 6, 2012, at 23, available at http://www.telekom.com/stati</w:t>
      </w:r>
      <w:r>
        <w:t>c/-/162600/7/presentation-jl-si</w:t>
      </w:r>
      <w:r w:rsidRPr="00D45696">
        <w:t>.</w:t>
      </w:r>
    </w:p>
  </w:footnote>
  <w:footnote w:id="478">
    <w:p w:rsidR="00EC7CF3" w:rsidRDefault="00EC7CF3" w:rsidP="00F040D6">
      <w:pPr>
        <w:pStyle w:val="FootnoteText"/>
      </w:pPr>
      <w:r w:rsidRPr="00FE5EC9">
        <w:rPr>
          <w:rStyle w:val="FootnoteReference"/>
        </w:rPr>
        <w:footnoteRef/>
      </w:r>
      <w:r w:rsidRPr="00FE5EC9">
        <w:t xml:space="preserve"> </w:t>
      </w:r>
      <w:r w:rsidRPr="00FE5EC9">
        <w:rPr>
          <w:i/>
        </w:rPr>
        <w:t>See</w:t>
      </w:r>
      <w:r w:rsidRPr="00FE5EC9">
        <w:t xml:space="preserve"> </w:t>
      </w:r>
      <w:r w:rsidR="00951E9B">
        <w:fldChar w:fldCharType="begin"/>
      </w:r>
      <w:r w:rsidR="00951E9B">
        <w:instrText xml:space="preserve"> REF _Ref335251840  \* MERGEFORMAT </w:instrText>
      </w:r>
      <w:r w:rsidR="00951E9B">
        <w:fldChar w:fldCharType="separate"/>
      </w:r>
      <w:r w:rsidRPr="00CA3AC6">
        <w:t xml:space="preserve">Table </w:t>
      </w:r>
      <w:r w:rsidRPr="00CA3AC6">
        <w:rPr>
          <w:noProof/>
        </w:rPr>
        <w:t>21</w:t>
      </w:r>
      <w:r w:rsidR="00951E9B">
        <w:rPr>
          <w:noProof/>
        </w:rPr>
        <w:fldChar w:fldCharType="end"/>
      </w:r>
      <w:r w:rsidRPr="00FE5EC9">
        <w:t xml:space="preserve"> for a more detailed description of the speed reduction policy for each tier.</w:t>
      </w:r>
    </w:p>
  </w:footnote>
  <w:footnote w:id="479">
    <w:p w:rsidR="00EC7CF3" w:rsidRDefault="00EC7CF3" w:rsidP="00F1004B">
      <w:pPr>
        <w:pStyle w:val="FootnoteText"/>
      </w:pPr>
      <w:r w:rsidRPr="00FE5EC9">
        <w:rPr>
          <w:rStyle w:val="FootnoteReference"/>
        </w:rPr>
        <w:footnoteRef/>
      </w:r>
      <w:r w:rsidRPr="00FE5EC9">
        <w:t xml:space="preserve"> Philip Goldstein, </w:t>
      </w:r>
      <w:r w:rsidRPr="00FE5EC9">
        <w:rPr>
          <w:i/>
        </w:rPr>
        <w:t>Sprint not Changing Data Pricing After AT&amp;T’s Move</w:t>
      </w:r>
      <w:r w:rsidRPr="00FE5EC9">
        <w:t xml:space="preserve">, </w:t>
      </w:r>
      <w:r w:rsidRPr="00FE5EC9">
        <w:rPr>
          <w:smallCaps/>
        </w:rPr>
        <w:t>FierceWireless</w:t>
      </w:r>
      <w:r w:rsidRPr="00FE5EC9">
        <w:t xml:space="preserve">, June 4, 2010 </w:t>
      </w:r>
      <w:hyperlink r:id="rId128" w:history="1">
        <w:r w:rsidRPr="00FE5EC9">
          <w:rPr>
            <w:rStyle w:val="Hyperlink"/>
          </w:rPr>
          <w:t>http://www.fiercewireless.com/story/sprint-not-changing-data-pricing-after-ts-move/2010-06-04</w:t>
        </w:r>
      </w:hyperlink>
      <w:r w:rsidRPr="00FE5EC9">
        <w:t xml:space="preserve"> (visited Oct. 16, 2012); Philip Goldstein, </w:t>
      </w:r>
      <w:r w:rsidRPr="00FE5EC9">
        <w:rPr>
          <w:i/>
        </w:rPr>
        <w:t>Sprint: We Won’t Throttle Wireless Data Speeds on our Network</w:t>
      </w:r>
      <w:r w:rsidRPr="00FE5EC9">
        <w:t xml:space="preserve">, </w:t>
      </w:r>
      <w:r w:rsidRPr="00FE5EC9">
        <w:rPr>
          <w:smallCaps/>
        </w:rPr>
        <w:t>FierceWireless</w:t>
      </w:r>
      <w:r w:rsidRPr="00FE5EC9">
        <w:t xml:space="preserve">, June 14, 2010 </w:t>
      </w:r>
      <w:hyperlink r:id="rId129" w:history="1">
        <w:r w:rsidRPr="00FE5EC9">
          <w:rPr>
            <w:rStyle w:val="Hyperlink"/>
          </w:rPr>
          <w:t>http://www.fiercewireless.com/story/sprint-we-wont-throttle-wireless-speeds-our-network/2010-06-14</w:t>
        </w:r>
      </w:hyperlink>
      <w:r w:rsidRPr="00FE5EC9">
        <w:t xml:space="preserve"> (visited Oct. 16, 2012); Philip Goldstein, </w:t>
      </w:r>
      <w:r w:rsidRPr="00FE5EC9">
        <w:rPr>
          <w:i/>
        </w:rPr>
        <w:t>Sprint Increases Unlimited Smartphone Data by $10 Per Month</w:t>
      </w:r>
      <w:r w:rsidRPr="00FE5EC9">
        <w:t xml:space="preserve">, </w:t>
      </w:r>
      <w:r w:rsidRPr="00FE5EC9">
        <w:rPr>
          <w:smallCaps/>
        </w:rPr>
        <w:t>FierceWireless</w:t>
      </w:r>
      <w:r w:rsidRPr="00FE5EC9">
        <w:t xml:space="preserve">, Jan. 18, 2011. </w:t>
      </w:r>
      <w:hyperlink r:id="rId130" w:history="1">
        <w:r w:rsidRPr="00FE5EC9">
          <w:rPr>
            <w:rStyle w:val="Hyperlink"/>
          </w:rPr>
          <w:t>http://www.fiercewireless.com/story/sprint-increases-unlimited-smartphone-data-10-month/2011-01-18</w:t>
        </w:r>
      </w:hyperlink>
      <w:r>
        <w:t xml:space="preserve"> (visited Oct. 16, 2012)</w:t>
      </w:r>
      <w:r w:rsidRPr="00FE5EC9">
        <w:t>.</w:t>
      </w:r>
    </w:p>
  </w:footnote>
  <w:footnote w:id="480">
    <w:p w:rsidR="00EC7CF3" w:rsidRDefault="00EC7CF3" w:rsidP="00F1004B">
      <w:pPr>
        <w:pStyle w:val="FootnoteText"/>
      </w:pPr>
      <w:r w:rsidRPr="00FE5EC9">
        <w:rPr>
          <w:rStyle w:val="FootnoteReference"/>
        </w:rPr>
        <w:footnoteRef/>
      </w:r>
      <w:r w:rsidRPr="00FE5EC9">
        <w:t xml:space="preserve"> Mike Dano, </w:t>
      </w:r>
      <w:r w:rsidRPr="00FE5EC9">
        <w:rPr>
          <w:i/>
        </w:rPr>
        <w:t>New Sprint Ad Campaign Hinges on Unlimited Data</w:t>
      </w:r>
      <w:r w:rsidRPr="00FE5EC9">
        <w:t xml:space="preserve">, </w:t>
      </w:r>
      <w:r w:rsidRPr="00FE5EC9">
        <w:rPr>
          <w:smallCaps/>
        </w:rPr>
        <w:t>FierceWireless</w:t>
      </w:r>
      <w:r w:rsidRPr="00FE5EC9">
        <w:t xml:space="preserve">, Apr. 11, 2011 </w:t>
      </w:r>
      <w:hyperlink r:id="rId131" w:history="1">
        <w:r w:rsidRPr="00FE5EC9">
          <w:rPr>
            <w:rStyle w:val="Hyperlink"/>
          </w:rPr>
          <w:t>http://www.fiercewireless.com/story/new-sprint-ad-campaign-hinges-unlimited-data/2011-04-11</w:t>
        </w:r>
      </w:hyperlink>
      <w:r>
        <w:t xml:space="preserve"> (visited Oct. 16, 2012)</w:t>
      </w:r>
      <w:r w:rsidRPr="00FE5EC9">
        <w:t xml:space="preserve">; Mike Dano, </w:t>
      </w:r>
      <w:r w:rsidRPr="00FE5EC9">
        <w:rPr>
          <w:i/>
        </w:rPr>
        <w:t>Sprint Scolds Verizon’s Tiered Data Plans With New Unlimited Ads</w:t>
      </w:r>
      <w:r w:rsidRPr="00FE5EC9">
        <w:t xml:space="preserve">, </w:t>
      </w:r>
      <w:r w:rsidRPr="00FE5EC9">
        <w:rPr>
          <w:smallCaps/>
        </w:rPr>
        <w:t>FierceWireless</w:t>
      </w:r>
      <w:r w:rsidRPr="00FE5EC9">
        <w:t xml:space="preserve">, Jul. 12, 2011 </w:t>
      </w:r>
      <w:hyperlink r:id="rId132" w:history="1">
        <w:r w:rsidRPr="00FE5EC9">
          <w:rPr>
            <w:rStyle w:val="Hyperlink"/>
          </w:rPr>
          <w:t>http://www.fiercewireless.com/story/sprint-scolds-verizons-tiered-data-plans-new-unlimited-ads/2011-07-12</w:t>
        </w:r>
      </w:hyperlink>
      <w:r>
        <w:t xml:space="preserve"> (visited Oct. 16, 2012)</w:t>
      </w:r>
      <w:r w:rsidRPr="00FE5EC9">
        <w:t>.</w:t>
      </w:r>
    </w:p>
  </w:footnote>
  <w:footnote w:id="481">
    <w:p w:rsidR="00EC7CF3" w:rsidRDefault="00EC7CF3" w:rsidP="00F1004B">
      <w:pPr>
        <w:pStyle w:val="FootnoteText"/>
      </w:pPr>
      <w:r w:rsidRPr="00FE5EC9">
        <w:rPr>
          <w:rStyle w:val="FootnoteReference"/>
        </w:rPr>
        <w:footnoteRef/>
      </w:r>
      <w:r w:rsidRPr="00FE5EC9">
        <w:t xml:space="preserve"> Philip Goldstein, </w:t>
      </w:r>
      <w:r w:rsidRPr="00FE5EC9">
        <w:rPr>
          <w:i/>
        </w:rPr>
        <w:t>Sprint Confirms Unlimited Data Plans for Iphone 4S and iPhone 4</w:t>
      </w:r>
      <w:r w:rsidRPr="00FE5EC9">
        <w:t xml:space="preserve">, </w:t>
      </w:r>
      <w:r w:rsidRPr="00FE5EC9">
        <w:rPr>
          <w:smallCaps/>
        </w:rPr>
        <w:t>FierceWireless</w:t>
      </w:r>
      <w:r w:rsidRPr="00FE5EC9">
        <w:t xml:space="preserve">, Oct. 6, 2011 </w:t>
      </w:r>
      <w:hyperlink r:id="rId133" w:history="1">
        <w:r w:rsidRPr="00FE5EC9">
          <w:rPr>
            <w:rStyle w:val="Hyperlink"/>
          </w:rPr>
          <w:t>http://www.fiercewireless.com/story/sprint-confirms-unlimited-data-plans-iphone-4s-and-iphone-4/2011-10-06</w:t>
        </w:r>
      </w:hyperlink>
      <w:r w:rsidRPr="00FE5EC9">
        <w:t xml:space="preserve"> (visited Oct. 16, 2012); Philip Goldstein, </w:t>
      </w:r>
      <w:r w:rsidRPr="00FE5EC9">
        <w:rPr>
          <w:i/>
        </w:rPr>
        <w:t>Apple’s iPhone 4S May Not Be That Different, But the Wireless Industry Now Is</w:t>
      </w:r>
      <w:r w:rsidRPr="00FE5EC9">
        <w:t xml:space="preserve">, </w:t>
      </w:r>
      <w:r w:rsidRPr="00FE5EC9">
        <w:rPr>
          <w:smallCaps/>
        </w:rPr>
        <w:t>FierceWireless</w:t>
      </w:r>
      <w:r w:rsidRPr="00FE5EC9">
        <w:t xml:space="preserve">, Oct. 5, 2011 </w:t>
      </w:r>
      <w:hyperlink r:id="rId134" w:history="1">
        <w:r w:rsidRPr="00FE5EC9">
          <w:rPr>
            <w:rStyle w:val="Hyperlink"/>
          </w:rPr>
          <w:t>http://www.fiercewireless.com/story/apples-iphone-4s-may-not-be-different-wireless-industry-now/2011-10-05</w:t>
        </w:r>
      </w:hyperlink>
      <w:r>
        <w:t xml:space="preserve"> (visited Oct. 16, 2012)</w:t>
      </w:r>
      <w:r w:rsidRPr="00FE5EC9">
        <w:t>.</w:t>
      </w:r>
    </w:p>
  </w:footnote>
  <w:footnote w:id="482">
    <w:p w:rsidR="00EC7CF3" w:rsidRDefault="00EC7CF3" w:rsidP="00F1004B">
      <w:pPr>
        <w:pStyle w:val="FootnoteText"/>
      </w:pPr>
      <w:r w:rsidRPr="00FE5EC9">
        <w:rPr>
          <w:rStyle w:val="FootnoteReference"/>
        </w:rPr>
        <w:footnoteRef/>
      </w:r>
      <w:r w:rsidRPr="00FE5EC9">
        <w:t xml:space="preserve"> Since the unlimited smartphone data bundles include unlimited mobile-to-mobile calling (Sprint’s “Any Mobile, Anytime” feature) while the voice-and-text-only bundles do not, the effective size of the voice buckets is larger in the unlimited smartphone data bundles, and therefore this estimate overstates the monthly charge for the unlimited smartphone data plan.  Sprint does not offer a separate unlimited calling plan, but rather only offers unlimited calling (and texting) bundled with its unlimited smartphone data plan.</w:t>
      </w:r>
    </w:p>
  </w:footnote>
  <w:footnote w:id="483">
    <w:p w:rsidR="00EC7CF3" w:rsidRDefault="00EC7CF3" w:rsidP="00F1004B">
      <w:pPr>
        <w:pStyle w:val="FootnoteText"/>
      </w:pPr>
      <w:r w:rsidRPr="00FE5EC9">
        <w:rPr>
          <w:rStyle w:val="FootnoteReference"/>
        </w:rPr>
        <w:footnoteRef/>
      </w:r>
      <w:r w:rsidRPr="00FE5EC9">
        <w:t xml:space="preserve"> Philip Goldstein, </w:t>
      </w:r>
      <w:r w:rsidRPr="00FE5EC9">
        <w:rPr>
          <w:i/>
        </w:rPr>
        <w:t>Sprint Increases Unlimited Smartphone Data by $10 Per Month</w:t>
      </w:r>
      <w:r w:rsidRPr="00FE5EC9">
        <w:t xml:space="preserve">, </w:t>
      </w:r>
      <w:r w:rsidRPr="00FE5EC9">
        <w:rPr>
          <w:smallCaps/>
        </w:rPr>
        <w:t>FierceWireless</w:t>
      </w:r>
      <w:r w:rsidRPr="00FE5EC9">
        <w:t xml:space="preserve">, Jan. 18, 2011. </w:t>
      </w:r>
      <w:hyperlink r:id="rId135" w:history="1">
        <w:r w:rsidRPr="00FE5EC9">
          <w:rPr>
            <w:rStyle w:val="Hyperlink"/>
          </w:rPr>
          <w:t>http://www.fiercewireless.com/story/sprint-increases-unlimited-smartphone-data-10-month/2011-01-18</w:t>
        </w:r>
      </w:hyperlink>
      <w:r w:rsidRPr="00FE5EC9">
        <w:t xml:space="preserve"> (visited Oct. 16, 2012) Existing smartphone customers are not affected by the price increase unless they upgrade or activate a new smartphone.  The price increase applies to Sprint’s Everything Data Plan, which includes 450 voice minutes and unlimited data, and its Simply Everything Plan, which includes unlimited voice, texting and data.  </w:t>
      </w:r>
      <w:r w:rsidRPr="00FE5EC9">
        <w:rPr>
          <w:i/>
        </w:rPr>
        <w:t>Id</w:t>
      </w:r>
      <w:r w:rsidRPr="00FE5EC9">
        <w:t>.</w:t>
      </w:r>
    </w:p>
  </w:footnote>
  <w:footnote w:id="484">
    <w:p w:rsidR="00EC7CF3" w:rsidRDefault="00EC7CF3" w:rsidP="00F1004B">
      <w:pPr>
        <w:pStyle w:val="FootnoteText"/>
      </w:pPr>
      <w:r w:rsidRPr="00FE5EC9">
        <w:rPr>
          <w:rStyle w:val="FootnoteReference"/>
        </w:rPr>
        <w:footnoteRef/>
      </w:r>
      <w:r w:rsidRPr="00FE5EC9">
        <w:t xml:space="preserve"> Philip Goldstein, </w:t>
      </w:r>
      <w:r w:rsidRPr="00FE5EC9">
        <w:rPr>
          <w:i/>
        </w:rPr>
        <w:t>Sprint Increases Unlimited Smartphone Data by $10 Per Month</w:t>
      </w:r>
      <w:r w:rsidRPr="00FE5EC9">
        <w:t xml:space="preserve">, </w:t>
      </w:r>
      <w:r w:rsidRPr="00FE5EC9">
        <w:rPr>
          <w:smallCaps/>
        </w:rPr>
        <w:t>FierceWireless</w:t>
      </w:r>
      <w:r w:rsidRPr="00FE5EC9">
        <w:t xml:space="preserve">, Jan. 18, 2011. </w:t>
      </w:r>
      <w:hyperlink r:id="rId136" w:history="1">
        <w:r w:rsidRPr="00FE5EC9">
          <w:rPr>
            <w:rStyle w:val="Hyperlink"/>
          </w:rPr>
          <w:t>http://www.fiercewireless.com/story/sprint-increases-unlimited-smartphone-data-10-month/2011-01-18</w:t>
        </w:r>
      </w:hyperlink>
      <w:r w:rsidRPr="00FE5EC9">
        <w:t xml:space="preserve"> (visited Oct. 16, 2012)</w:t>
      </w:r>
      <w:r>
        <w:t>.</w:t>
      </w:r>
    </w:p>
  </w:footnote>
  <w:footnote w:id="485">
    <w:p w:rsidR="00EC7CF3" w:rsidRDefault="00EC7CF3" w:rsidP="00F1004B">
      <w:pPr>
        <w:pStyle w:val="FootnoteText"/>
      </w:pPr>
      <w:r w:rsidRPr="00FE5EC9">
        <w:rPr>
          <w:rStyle w:val="FootnoteReference"/>
        </w:rPr>
        <w:footnoteRef/>
      </w:r>
      <w:r w:rsidRPr="00FE5EC9">
        <w:t xml:space="preserve"> In November 2011, Sprint stopped offering non-smartphone mobile broadband plans with unlimited data on Clearwire’s mobile WiMAX network.  Philip Goldstein, </w:t>
      </w:r>
      <w:r w:rsidRPr="00FE5EC9">
        <w:rPr>
          <w:i/>
        </w:rPr>
        <w:t>Sprint Drops Unlimited WiMAX Data for Mobile Broadband Plans</w:t>
      </w:r>
      <w:r w:rsidRPr="00FE5EC9">
        <w:t xml:space="preserve">, </w:t>
      </w:r>
      <w:r w:rsidRPr="00FE5EC9">
        <w:rPr>
          <w:smallCaps/>
        </w:rPr>
        <w:t>FierceWireless</w:t>
      </w:r>
      <w:r w:rsidRPr="00FE5EC9">
        <w:t xml:space="preserve">, Oct. 21, 2011. </w:t>
      </w:r>
      <w:hyperlink r:id="rId137" w:history="1">
        <w:r w:rsidRPr="00FE5EC9">
          <w:rPr>
            <w:rStyle w:val="Hyperlink"/>
          </w:rPr>
          <w:t>http://www.fiercewireless.com/story/sprint-drops-unlimited-wimax-data-mobile-broadband-plans/2011-10-21</w:t>
        </w:r>
      </w:hyperlink>
      <w:r w:rsidRPr="00FE5EC9">
        <w:t xml:space="preserve"> (visited Oct. 16, 2012)</w:t>
      </w:r>
      <w:r>
        <w:t>.</w:t>
      </w:r>
      <w:r w:rsidRPr="00FE5EC9">
        <w:t xml:space="preserve">  Under the new plans, the monthly recurring charge is unchanged, but WiMAX data now falls under the same data cap as EV-DO, with an overage charge of $0.05 per MB.  This change in Sprint’s mobile broadband plans does not affect smartphone users, but instead applies to other data-oriented devices, including tablets, netbooks, notebooks and USB cards.  </w:t>
      </w:r>
      <w:r w:rsidRPr="00FE5EC9">
        <w:rPr>
          <w:i/>
        </w:rPr>
        <w:t>Id</w:t>
      </w:r>
      <w:r w:rsidRPr="00FE5EC9">
        <w:t>.</w:t>
      </w:r>
    </w:p>
  </w:footnote>
  <w:footnote w:id="486">
    <w:p w:rsidR="00EC7CF3" w:rsidRDefault="00EC7CF3" w:rsidP="00F83BFA">
      <w:pPr>
        <w:pStyle w:val="FootnoteText"/>
      </w:pPr>
      <w:r w:rsidRPr="00FE5EC9">
        <w:rPr>
          <w:rStyle w:val="FootnoteReference"/>
        </w:rPr>
        <w:footnoteRef/>
      </w:r>
      <w:r w:rsidRPr="00FE5EC9">
        <w:t xml:space="preserve"> Sprint, Virgin Mobile, and Boost Mobile are retail brands under the Sprint corporate brand.  See, SEC, Form 10-K, Sprint Nextel Corporation, filed Feb. 27, 2012, at 1.</w:t>
      </w:r>
    </w:p>
  </w:footnote>
  <w:footnote w:id="487">
    <w:p w:rsidR="00EC7CF3" w:rsidRDefault="00EC7CF3" w:rsidP="00F1004B">
      <w:pPr>
        <w:pStyle w:val="FootnoteText"/>
      </w:pPr>
      <w:r w:rsidRPr="00FE5EC9">
        <w:rPr>
          <w:rStyle w:val="FootnoteReference"/>
        </w:rPr>
        <w:footnoteRef/>
      </w:r>
      <w:r w:rsidRPr="00FE5EC9">
        <w:t xml:space="preserve"> “</w:t>
      </w:r>
      <w:r w:rsidRPr="00FE5EC9">
        <w:rPr>
          <w:i/>
        </w:rPr>
        <w:t>C Spire Wireless to Offer iPhone 4S on November 11</w:t>
      </w:r>
      <w:r w:rsidRPr="00FE5EC9">
        <w:t xml:space="preserve">,” Press Release, C Spire Wireless, Nov. 1, 2011. </w:t>
      </w:r>
      <w:hyperlink r:id="rId138" w:history="1">
        <w:r w:rsidRPr="00FE5EC9">
          <w:rPr>
            <w:rStyle w:val="Hyperlink"/>
          </w:rPr>
          <w:t>http://www.cspire.com/company_info/about/news_detail.jsp?entryId=10700006</w:t>
        </w:r>
      </w:hyperlink>
      <w:r w:rsidRPr="00FE5EC9">
        <w:t xml:space="preserve"> (visited Oct. 16, 2012)</w:t>
      </w:r>
      <w:r>
        <w:t>.</w:t>
      </w:r>
    </w:p>
  </w:footnote>
  <w:footnote w:id="488">
    <w:p w:rsidR="00EC7CF3" w:rsidRDefault="00EC7CF3" w:rsidP="00F1004B">
      <w:pPr>
        <w:pStyle w:val="FootnoteText"/>
      </w:pPr>
      <w:r w:rsidRPr="00FE5EC9">
        <w:rPr>
          <w:rStyle w:val="FootnoteReference"/>
        </w:rPr>
        <w:footnoteRef/>
      </w:r>
      <w:r w:rsidRPr="00FE5EC9">
        <w:t xml:space="preserve"> </w:t>
      </w:r>
      <w:r w:rsidRPr="00FE5EC9">
        <w:rPr>
          <w:i/>
        </w:rPr>
        <w:t>Id</w:t>
      </w:r>
      <w:r w:rsidRPr="00FE5EC9">
        <w:t>.</w:t>
      </w:r>
    </w:p>
  </w:footnote>
  <w:footnote w:id="489">
    <w:p w:rsidR="00EC7CF3" w:rsidRDefault="00EC7CF3" w:rsidP="00F1004B">
      <w:pPr>
        <w:pStyle w:val="FootnoteText"/>
      </w:pPr>
      <w:r w:rsidRPr="00FE5EC9">
        <w:rPr>
          <w:rStyle w:val="FootnoteReference"/>
        </w:rPr>
        <w:footnoteRef/>
      </w:r>
      <w:r w:rsidRPr="00FE5EC9">
        <w:t xml:space="preserve"> </w:t>
      </w:r>
      <w:r w:rsidRPr="00FE5EC9">
        <w:rPr>
          <w:i/>
        </w:rPr>
        <w:t>Id</w:t>
      </w:r>
      <w:r w:rsidRPr="00FE5EC9">
        <w:t>.  In addition to streaming video, the four plans differ with respect to voice usage.  The most expensive plan and the second most expensive plan include unlimited calling, while the least expensive plan and the third most expensive plan include 500 and 1000 minutes of voice service, respectively.   All four plans include unlimited texting.</w:t>
      </w:r>
    </w:p>
  </w:footnote>
  <w:footnote w:id="490">
    <w:p w:rsidR="00EC7CF3" w:rsidRDefault="00EC7CF3" w:rsidP="00F1004B">
      <w:pPr>
        <w:pStyle w:val="FootnoteText"/>
      </w:pPr>
      <w:r w:rsidRPr="00FE5EC9">
        <w:rPr>
          <w:rStyle w:val="FootnoteReference"/>
        </w:rPr>
        <w:footnoteRef/>
      </w:r>
      <w:r w:rsidRPr="00FE5EC9">
        <w:t xml:space="preserve"> </w:t>
      </w:r>
      <w:r w:rsidRPr="003A28BD">
        <w:t xml:space="preserve">Philip Goldstein, </w:t>
      </w:r>
      <w:r w:rsidRPr="003A28BD">
        <w:rPr>
          <w:i/>
        </w:rPr>
        <w:t>NPD:  Tablet Users Increasingly Favor Wi-Fi Over Cellular Connections</w:t>
      </w:r>
      <w:r w:rsidRPr="003A28BD">
        <w:t xml:space="preserve">, FIERCEWIRELESS, Dec. 12, 2011. </w:t>
      </w:r>
      <w:hyperlink r:id="rId139" w:history="1">
        <w:r w:rsidRPr="00D304BB">
          <w:rPr>
            <w:rStyle w:val="Hyperlink"/>
          </w:rPr>
          <w:t>http://www.fiercewireless.com/story/npd-tablet-users-increasingly-favor-wi-fi-over-cellular-connections/2011-12-12</w:t>
        </w:r>
      </w:hyperlink>
      <w:r>
        <w:t xml:space="preserve"> </w:t>
      </w:r>
      <w:r w:rsidRPr="003A28BD">
        <w:t>(visited Oct. 16, 2012).</w:t>
      </w:r>
      <w:r>
        <w:t xml:space="preserve"> According to</w:t>
      </w:r>
      <w:r w:rsidRPr="006B53AA">
        <w:t xml:space="preserve"> </w:t>
      </w:r>
      <w:r>
        <w:t>the NPD report,</w:t>
      </w:r>
      <w:r w:rsidRPr="00FE5EC9">
        <w:t xml:space="preserve"> 65 percent of U.S. tablet buyers only connect via Wi-Fi, u</w:t>
      </w:r>
      <w:r>
        <w:t>p from 60 percent in April 2011</w:t>
      </w:r>
      <w:r w:rsidRPr="00FE5EC9">
        <w:t xml:space="preserve">; Philip Goldstein, </w:t>
      </w:r>
      <w:r w:rsidRPr="00FE5EC9">
        <w:rPr>
          <w:i/>
        </w:rPr>
        <w:t>Localytics: Only 6% of iPad Data Sessions are on Cellular Networks</w:t>
      </w:r>
      <w:r w:rsidRPr="00FE5EC9">
        <w:t xml:space="preserve">, </w:t>
      </w:r>
      <w:r w:rsidRPr="00FE5EC9">
        <w:rPr>
          <w:smallCaps/>
        </w:rPr>
        <w:t>FierceWireless</w:t>
      </w:r>
      <w:r w:rsidRPr="00FE5EC9">
        <w:t xml:space="preserve">, Mar. 23, 2012. </w:t>
      </w:r>
      <w:hyperlink r:id="rId140" w:history="1">
        <w:r w:rsidRPr="00FE5EC9">
          <w:rPr>
            <w:rStyle w:val="Hyperlink"/>
          </w:rPr>
          <w:t>http://www.fiercewireless.com/story/localytics-only-6-ipad-data-sessions-are-cellular-networks/2012-03-23</w:t>
        </w:r>
      </w:hyperlink>
      <w:r w:rsidRPr="00FE5EC9">
        <w:t xml:space="preserve"> (visited Oct. 16, 2012)  (citing </w:t>
      </w:r>
      <w:r>
        <w:t xml:space="preserve">a </w:t>
      </w:r>
      <w:r w:rsidRPr="00FE5EC9">
        <w:t xml:space="preserve">finding of Localytics that just 6 percent of iPad data sessions are transmitted over a cellular network, and </w:t>
      </w:r>
      <w:r>
        <w:t xml:space="preserve">a </w:t>
      </w:r>
      <w:r w:rsidRPr="00FE5EC9">
        <w:t xml:space="preserve">Chetan Sharma Consulting report finding that 90 percent of tablet users are only using Wi –Fi, even if the tablets have cellular data capabilities).  Localytics also found that about 89.7 percent of all iPads sold can only connect to Wi-Fi networks, 8.8 percent can connect to 3G networks and 1.5 percent can connect to LTE networks; among iPads with 3G connectivity, 55 percent of usage is over Wi-Fi and 45 percent is over 3G networks; among LTE-enabled iPads, 64 percent of usage is over Wi-Fi and 36 percent is via LTE.  </w:t>
      </w:r>
      <w:r w:rsidRPr="00FE5EC9">
        <w:rPr>
          <w:i/>
        </w:rPr>
        <w:t>Id</w:t>
      </w:r>
      <w:r w:rsidRPr="00FE5EC9">
        <w:t>.</w:t>
      </w:r>
    </w:p>
  </w:footnote>
  <w:footnote w:id="491">
    <w:p w:rsidR="00EC7CF3" w:rsidRDefault="00EC7CF3" w:rsidP="00F1004B">
      <w:pPr>
        <w:pStyle w:val="FootnoteText"/>
      </w:pPr>
      <w:r w:rsidRPr="00FE5EC9">
        <w:rPr>
          <w:rStyle w:val="FootnoteReference"/>
        </w:rPr>
        <w:footnoteRef/>
      </w:r>
      <w:r w:rsidRPr="00FE5EC9">
        <w:t xml:space="preserve"> Philip Goldstein, </w:t>
      </w:r>
      <w:r w:rsidRPr="00FE5EC9">
        <w:rPr>
          <w:i/>
        </w:rPr>
        <w:t>NPD:  Tablet Users Increasingly Favor Wi-Fi Over Cellular Connections</w:t>
      </w:r>
      <w:r w:rsidRPr="00FE5EC9">
        <w:t xml:space="preserve">, </w:t>
      </w:r>
      <w:r w:rsidRPr="00FE5EC9">
        <w:rPr>
          <w:smallCaps/>
        </w:rPr>
        <w:t>FierceWireless</w:t>
      </w:r>
      <w:r w:rsidRPr="00FE5EC9">
        <w:t xml:space="preserve">, Dec. 12, 2011. </w:t>
      </w:r>
      <w:hyperlink r:id="rId141" w:history="1">
        <w:r w:rsidRPr="00FE5EC9">
          <w:rPr>
            <w:rStyle w:val="Hyperlink"/>
          </w:rPr>
          <w:t>http://www.fiercewireless.com/story/npd-tablet-users-increasingly-favor-wi-fi-over-cellular-connections/2011-12-12</w:t>
        </w:r>
      </w:hyperlink>
      <w:r w:rsidRPr="00FE5EC9">
        <w:t xml:space="preserve"> (visited Oct. 16, 2012)</w:t>
      </w:r>
      <w:r>
        <w:t>.</w:t>
      </w:r>
    </w:p>
  </w:footnote>
  <w:footnote w:id="492">
    <w:p w:rsidR="00EC7CF3" w:rsidRDefault="00EC7CF3" w:rsidP="00F1004B">
      <w:pPr>
        <w:pStyle w:val="FootnoteText"/>
      </w:pPr>
      <w:r w:rsidRPr="00FE5EC9">
        <w:rPr>
          <w:rStyle w:val="FootnoteReference"/>
        </w:rPr>
        <w:footnoteRef/>
      </w:r>
      <w:r w:rsidRPr="00FE5EC9">
        <w:t xml:space="preserve"> Philip Goldstein, </w:t>
      </w:r>
      <w:r w:rsidRPr="00FE5EC9">
        <w:rPr>
          <w:i/>
        </w:rPr>
        <w:t>NPD:  Tablet Users Increasingly Favor Wi-Fi Over Cellular Connections</w:t>
      </w:r>
      <w:r w:rsidRPr="00FE5EC9">
        <w:t xml:space="preserve">, </w:t>
      </w:r>
      <w:r w:rsidRPr="00FE5EC9">
        <w:rPr>
          <w:smallCaps/>
        </w:rPr>
        <w:t>FierceWireless</w:t>
      </w:r>
      <w:r w:rsidRPr="00FE5EC9">
        <w:t xml:space="preserve">, Dec. 12, 2011. </w:t>
      </w:r>
      <w:hyperlink r:id="rId142" w:history="1">
        <w:r w:rsidRPr="00FE5EC9">
          <w:rPr>
            <w:rStyle w:val="Hyperlink"/>
          </w:rPr>
          <w:t>http://www.fiercewireless.com/story/npd-tablet-users-increasingly-favor-wi-fi-over-cellular-connections/2011-12-12</w:t>
        </w:r>
      </w:hyperlink>
      <w:r w:rsidRPr="00FE5EC9">
        <w:t xml:space="preserve"> (visited Oct. 16, 2012)</w:t>
      </w:r>
      <w:r>
        <w:t>.</w:t>
      </w:r>
    </w:p>
  </w:footnote>
  <w:footnote w:id="493">
    <w:p w:rsidR="00EC7CF3" w:rsidRDefault="00EC7CF3" w:rsidP="00F1004B">
      <w:pPr>
        <w:pStyle w:val="FootnoteText"/>
      </w:pPr>
      <w:r w:rsidRPr="00FE5EC9">
        <w:rPr>
          <w:rStyle w:val="FootnoteReference"/>
        </w:rPr>
        <w:footnoteRef/>
      </w:r>
      <w:r w:rsidRPr="00FE5EC9">
        <w:t xml:space="preserve"> Table data plans are generally available on a postpaid basis with a two-year contractual commitment for subsidized tablets, and on a no-contract or prepaid basis otherwise.</w:t>
      </w:r>
    </w:p>
  </w:footnote>
  <w:footnote w:id="494">
    <w:p w:rsidR="00EC7CF3" w:rsidRDefault="00EC7CF3" w:rsidP="00F1004B">
      <w:pPr>
        <w:pStyle w:val="FootnoteText"/>
      </w:pPr>
      <w:r w:rsidRPr="00FE5EC9">
        <w:rPr>
          <w:rStyle w:val="FootnoteReference"/>
        </w:rPr>
        <w:footnoteRef/>
      </w:r>
      <w:r w:rsidRPr="00FE5EC9">
        <w:t xml:space="preserve"> </w:t>
      </w:r>
      <w:r w:rsidRPr="006B53AA">
        <w:t xml:space="preserve">Verizon, </w:t>
      </w:r>
      <w:r w:rsidRPr="006B53AA">
        <w:rPr>
          <w:i/>
        </w:rPr>
        <w:t>Select Device</w:t>
      </w:r>
      <w:r w:rsidRPr="006B53AA">
        <w:t xml:space="preserve">, https://preorder.verizonwireless.com/ iconic/iconic/screens/IconicDeviceSelection.do  (visited Mar. 28, 2012); AT&amp;T, </w:t>
      </w:r>
      <w:r w:rsidRPr="006B53AA">
        <w:rPr>
          <w:i/>
        </w:rPr>
        <w:t>Cell Phones and Mobile Devices</w:t>
      </w:r>
      <w:r w:rsidRPr="006B53AA">
        <w:t xml:space="preserve">, http://www.att.com/shop/wireless.html#fbid=I4cgltbUFdp (visited Mar. 28, 2012); T-Mobile, Internet Devices, http://www.t-mobile.com/shop/phones/?shape=lcards (visited Mar. 28, 2012); Sprint, </w:t>
      </w:r>
      <w:r w:rsidRPr="006B53AA">
        <w:rPr>
          <w:i/>
        </w:rPr>
        <w:t>Laptops, Tablets and More</w:t>
      </w:r>
      <w:r w:rsidRPr="006B53AA">
        <w:t xml:space="preserve">, </w:t>
      </w:r>
      <w:hyperlink r:id="rId143" w:history="1">
        <w:r w:rsidRPr="007C0F0A">
          <w:rPr>
            <w:rStyle w:val="Hyperlink"/>
          </w:rPr>
          <w:t>http://shop.sprint.com/mysprint/shop/phone_wall.jsp?flow=&amp;tabId=dvcTab1820005&amp;filterString=tablet&amp;isDeeplinked=true&amp;INTNAV=ATG:HE:Tablets</w:t>
        </w:r>
      </w:hyperlink>
      <w:r>
        <w:t xml:space="preserve"> </w:t>
      </w:r>
      <w:r w:rsidRPr="006B53AA">
        <w:t>(visited Mar. 28, 2012).</w:t>
      </w:r>
    </w:p>
  </w:footnote>
  <w:footnote w:id="495">
    <w:p w:rsidR="00EC7CF3" w:rsidRDefault="00EC7CF3" w:rsidP="00F1004B">
      <w:pPr>
        <w:pStyle w:val="FootnoteText"/>
      </w:pPr>
      <w:r w:rsidRPr="00FE5EC9">
        <w:rPr>
          <w:rStyle w:val="FootnoteReference"/>
        </w:rPr>
        <w:footnoteRef/>
      </w:r>
      <w:r w:rsidRPr="00FE5EC9">
        <w:t xml:space="preserve"> Sprint, </w:t>
      </w:r>
      <w:r w:rsidRPr="00FE5EC9">
        <w:rPr>
          <w:i/>
        </w:rPr>
        <w:t>Plans</w:t>
      </w:r>
      <w:r w:rsidRPr="00FE5EC9">
        <w:t xml:space="preserve">, http://shop.sprint.com/mysprint/shop/plan/plan_wall.jsp?tabId=plnTab1820002&amp;flow=AAL&amp;planFamilyType=null (visited Mar. 28, 2012); T-Mobile, </w:t>
      </w:r>
      <w:r w:rsidRPr="00FE5EC9">
        <w:rPr>
          <w:i/>
        </w:rPr>
        <w:t>T-Mobile Has Tablets for Everyone</w:t>
      </w:r>
      <w:r w:rsidRPr="00FE5EC9">
        <w:t xml:space="preserve">, http://mobile-broadband.t-mobile.com/tablets (visited Mar. 28, 2012); AT&amp;T, </w:t>
      </w:r>
      <w:r w:rsidRPr="00FE5EC9">
        <w:rPr>
          <w:i/>
        </w:rPr>
        <w:t>AT&amp;T Data Plans</w:t>
      </w:r>
      <w:r w:rsidRPr="00FE5EC9">
        <w:t xml:space="preserve">. http://www.wireless.att.com/cell-phone-service/cell-phone-plans/data-connect-plans.jsp?_requestid=142028 (visited Mar. 28, 2012); Verizon, </w:t>
      </w:r>
      <w:r w:rsidRPr="00FE5EC9">
        <w:rPr>
          <w:i/>
        </w:rPr>
        <w:t>Mobile Broadband Plans Details</w:t>
      </w:r>
      <w:r w:rsidRPr="00FE5EC9">
        <w:t>, http://www.verizonwireless.com/b2c/plans/?page=mobileBroadband (visited Mar. 28, 2012).</w:t>
      </w:r>
    </w:p>
  </w:footnote>
  <w:footnote w:id="496">
    <w:p w:rsidR="00EC7CF3" w:rsidRDefault="00EC7CF3" w:rsidP="00F1004B">
      <w:pPr>
        <w:pStyle w:val="FootnoteText"/>
      </w:pPr>
      <w:r w:rsidRPr="00FE5EC9">
        <w:rPr>
          <w:rStyle w:val="FootnoteReference"/>
        </w:rPr>
        <w:footnoteRef/>
      </w:r>
      <w:r w:rsidRPr="00FE5EC9">
        <w:t xml:space="preserve"> Sprint, </w:t>
      </w:r>
      <w:r w:rsidRPr="00FE5EC9">
        <w:rPr>
          <w:i/>
        </w:rPr>
        <w:t>Plans</w:t>
      </w:r>
      <w:r w:rsidRPr="00FE5EC9">
        <w:t xml:space="preserve">, http://shop.sprint.com/mysprint/shop/plan/plan_wall.jsp?tabId=plnTab1820002&amp;flow=AAL&amp;planFamilyType=null (visited Mar. 28, 2012); T-Mobile, </w:t>
      </w:r>
      <w:r w:rsidRPr="00FE5EC9">
        <w:rPr>
          <w:i/>
        </w:rPr>
        <w:t>T-Mobile Has Tablets for Everyone</w:t>
      </w:r>
      <w:r w:rsidRPr="00FE5EC9">
        <w:t xml:space="preserve">, http://mobile-broadband.t-mobile.com/tablets (visited Mar. 28, 2012); AT&amp;T, </w:t>
      </w:r>
      <w:r w:rsidRPr="00FE5EC9">
        <w:rPr>
          <w:i/>
        </w:rPr>
        <w:t>AT&amp;T Data Plans</w:t>
      </w:r>
      <w:r w:rsidRPr="00FE5EC9">
        <w:t xml:space="preserve">. http://www.wireless.att.com/cell-phone-service/cell-phone-plans/data-connect-plans.jsp?_requestid=142028 (visited Mar. 28, 2012); Verizon, </w:t>
      </w:r>
      <w:r w:rsidRPr="00FE5EC9">
        <w:rPr>
          <w:i/>
        </w:rPr>
        <w:t>Mobile Broadband Plans Details</w:t>
      </w:r>
      <w:r w:rsidRPr="00FE5EC9">
        <w:t>, http://www.verizonwireless.com/b2c/plans/?page=mobileBroadband (visited Mar. 28, 2012).</w:t>
      </w:r>
    </w:p>
  </w:footnote>
  <w:footnote w:id="497">
    <w:p w:rsidR="00EC7CF3" w:rsidRDefault="00EC7CF3" w:rsidP="00266854">
      <w:pPr>
        <w:pStyle w:val="FootnoteText"/>
      </w:pPr>
      <w:r w:rsidRPr="00D40600">
        <w:rPr>
          <w:rStyle w:val="FootnoteReference"/>
          <w:sz w:val="20"/>
        </w:rPr>
        <w:footnoteRef/>
      </w:r>
      <w:r w:rsidRPr="00D40600">
        <w:t xml:space="preserve"> T-Mobile offers a discount of $10.00 per month to new and existing voice customers.</w:t>
      </w:r>
    </w:p>
  </w:footnote>
  <w:footnote w:id="498">
    <w:p w:rsidR="00EC7CF3" w:rsidRDefault="00EC7CF3" w:rsidP="00F1004B">
      <w:pPr>
        <w:pStyle w:val="FootnoteText"/>
      </w:pPr>
      <w:r w:rsidRPr="00FE5EC9">
        <w:rPr>
          <w:rStyle w:val="FootnoteReference"/>
        </w:rPr>
        <w:footnoteRef/>
      </w:r>
      <w:r w:rsidRPr="00FE5EC9">
        <w:t xml:space="preserve"> </w:t>
      </w:r>
      <w:r w:rsidRPr="00FE5EC9">
        <w:rPr>
          <w:bCs/>
          <w:i/>
        </w:rPr>
        <w:t>Twelfth Report</w:t>
      </w:r>
      <w:r>
        <w:rPr>
          <w:bCs/>
        </w:rPr>
        <w:t>, 23 FCC Rcd at 2293-94</w:t>
      </w:r>
      <w:r w:rsidRPr="00FE5EC9">
        <w:rPr>
          <w:bCs/>
        </w:rPr>
        <w:t xml:space="preserve"> ¶ 116.</w:t>
      </w:r>
    </w:p>
  </w:footnote>
  <w:footnote w:id="499">
    <w:p w:rsidR="00EC7CF3" w:rsidRDefault="00EC7CF3" w:rsidP="00F1004B">
      <w:pPr>
        <w:pStyle w:val="FootnoteText"/>
      </w:pPr>
      <w:r w:rsidRPr="00FE5EC9">
        <w:rPr>
          <w:rStyle w:val="FootnoteReference"/>
        </w:rPr>
        <w:footnoteRef/>
      </w:r>
      <w:r w:rsidRPr="00FE5EC9">
        <w:t xml:space="preserve"> </w:t>
      </w:r>
      <w:r w:rsidRPr="00FE5EC9">
        <w:rPr>
          <w:i/>
          <w:iCs/>
        </w:rPr>
        <w:t>Id</w:t>
      </w:r>
      <w:r w:rsidRPr="00FE5EC9">
        <w:t>.</w:t>
      </w:r>
    </w:p>
  </w:footnote>
  <w:footnote w:id="500">
    <w:p w:rsidR="00EC7CF3" w:rsidRDefault="00EC7CF3" w:rsidP="00F1004B">
      <w:pPr>
        <w:pStyle w:val="FootnoteText"/>
      </w:pPr>
      <w:r w:rsidRPr="00FE5EC9">
        <w:rPr>
          <w:rStyle w:val="FootnoteReference"/>
        </w:rPr>
        <w:footnoteRef/>
      </w:r>
      <w:r w:rsidRPr="00FE5EC9">
        <w:t xml:space="preserve"> </w:t>
      </w:r>
      <w:r w:rsidRPr="00FE5EC9">
        <w:rPr>
          <w:i/>
          <w:iCs/>
        </w:rPr>
        <w:t>Id</w:t>
      </w:r>
      <w:r w:rsidRPr="00FE5EC9">
        <w:t xml:space="preserve">.   </w:t>
      </w:r>
    </w:p>
  </w:footnote>
  <w:footnote w:id="501">
    <w:p w:rsidR="00EC7CF3" w:rsidRDefault="00EC7CF3" w:rsidP="00F1004B">
      <w:pPr>
        <w:pStyle w:val="FootnoteText"/>
      </w:pPr>
      <w:r w:rsidRPr="00FE5EC9">
        <w:rPr>
          <w:rStyle w:val="FootnoteReference"/>
        </w:rPr>
        <w:footnoteRef/>
      </w:r>
      <w:r w:rsidRPr="00FE5EC9">
        <w:t xml:space="preserve"> </w:t>
      </w:r>
      <w:r w:rsidRPr="00FE5EC9">
        <w:rPr>
          <w:i/>
          <w:iCs/>
        </w:rPr>
        <w:t>Fourteenth Report</w:t>
      </w:r>
      <w:r w:rsidRPr="00FE5EC9">
        <w:rPr>
          <w:iCs/>
        </w:rPr>
        <w:t>,</w:t>
      </w:r>
      <w:r w:rsidRPr="00FE5EC9">
        <w:rPr>
          <w:i/>
          <w:iCs/>
        </w:rPr>
        <w:t xml:space="preserve"> </w:t>
      </w:r>
      <w:r>
        <w:rPr>
          <w:iCs/>
        </w:rPr>
        <w:t xml:space="preserve">25 FCC Rcd at 11473-74 </w:t>
      </w:r>
      <w:r w:rsidRPr="00FE5EC9">
        <w:rPr>
          <w:iCs/>
        </w:rPr>
        <w:t xml:space="preserve">¶ 98; </w:t>
      </w:r>
      <w:r w:rsidRPr="00FE5EC9">
        <w:t xml:space="preserve">Phil Cusick </w:t>
      </w:r>
      <w:r w:rsidRPr="00FE5EC9">
        <w:rPr>
          <w:i/>
        </w:rPr>
        <w:t>et al</w:t>
      </w:r>
      <w:r w:rsidRPr="00FE5EC9">
        <w:t xml:space="preserve">., </w:t>
      </w:r>
      <w:r w:rsidRPr="00FE5EC9">
        <w:rPr>
          <w:i/>
        </w:rPr>
        <w:t>Slumdog Millionaires</w:t>
      </w:r>
      <w:r w:rsidRPr="00FE5EC9">
        <w:t>, Macquarie Capital, Equity Research, May 1, 2009, at 3 (</w:t>
      </w:r>
      <w:r w:rsidRPr="00FE5EC9">
        <w:rPr>
          <w:i/>
        </w:rPr>
        <w:t>Slumdog Millionaires</w:t>
      </w:r>
      <w:r w:rsidRPr="00FE5EC9">
        <w:t xml:space="preserve">).  </w:t>
      </w:r>
    </w:p>
  </w:footnote>
  <w:footnote w:id="502">
    <w:p w:rsidR="00EC7CF3" w:rsidRDefault="00EC7CF3" w:rsidP="00F1004B">
      <w:pPr>
        <w:pStyle w:val="FootnoteText"/>
      </w:pPr>
      <w:r w:rsidRPr="00FE5EC9">
        <w:rPr>
          <w:rStyle w:val="FootnoteReference"/>
        </w:rPr>
        <w:footnoteRef/>
      </w:r>
      <w:r w:rsidRPr="00FE5EC9">
        <w:t xml:space="preserve"> </w:t>
      </w:r>
      <w:r w:rsidRPr="00FE5EC9">
        <w:rPr>
          <w:i/>
          <w:iCs/>
        </w:rPr>
        <w:t>Fifteenth Report</w:t>
      </w:r>
      <w:r w:rsidRPr="00FE5EC9">
        <w:rPr>
          <w:iCs/>
        </w:rPr>
        <w:t>,</w:t>
      </w:r>
      <w:r w:rsidRPr="00FE5EC9">
        <w:rPr>
          <w:i/>
          <w:iCs/>
        </w:rPr>
        <w:t xml:space="preserve"> </w:t>
      </w:r>
      <w:r w:rsidRPr="00FE5EC9">
        <w:rPr>
          <w:iCs/>
        </w:rPr>
        <w:t>26 FCC Rcd at 9732 ¶ 102.</w:t>
      </w:r>
    </w:p>
  </w:footnote>
  <w:footnote w:id="503">
    <w:p w:rsidR="00EC7CF3" w:rsidRDefault="00EC7CF3" w:rsidP="00F1004B">
      <w:pPr>
        <w:pStyle w:val="FootnoteText"/>
      </w:pPr>
      <w:r w:rsidRPr="00FE5EC9">
        <w:rPr>
          <w:rStyle w:val="FootnoteReference"/>
        </w:rPr>
        <w:footnoteRef/>
      </w:r>
      <w:r w:rsidRPr="00FE5EC9">
        <w:t xml:space="preserve"> </w:t>
      </w:r>
      <w:r w:rsidRPr="00FE5EC9">
        <w:rPr>
          <w:i/>
          <w:iCs/>
        </w:rPr>
        <w:t>Fifteenth Report</w:t>
      </w:r>
      <w:r w:rsidRPr="00FE5EC9">
        <w:rPr>
          <w:iCs/>
        </w:rPr>
        <w:t>, 26 FCC Rcd at 0732-33 ¶ 102.</w:t>
      </w:r>
    </w:p>
  </w:footnote>
  <w:footnote w:id="504">
    <w:p w:rsidR="00EC7CF3" w:rsidRDefault="00EC7CF3" w:rsidP="00F1004B">
      <w:pPr>
        <w:pStyle w:val="FootnoteText"/>
      </w:pPr>
      <w:r w:rsidRPr="00FE5EC9">
        <w:rPr>
          <w:rStyle w:val="FootnoteReference"/>
        </w:rPr>
        <w:footnoteRef/>
      </w:r>
      <w:r w:rsidRPr="00FE5EC9">
        <w:t xml:space="preserve"> Simon Flannery </w:t>
      </w:r>
      <w:r w:rsidRPr="00FE5EC9">
        <w:rPr>
          <w:i/>
        </w:rPr>
        <w:t>et al</w:t>
      </w:r>
      <w:r w:rsidRPr="00FE5EC9">
        <w:t xml:space="preserve">., </w:t>
      </w:r>
      <w:r w:rsidRPr="00FE5EC9">
        <w:rPr>
          <w:i/>
        </w:rPr>
        <w:t>AlphaWise Survey Points to Ongoing Postpaid Cannibalization by Prepaid</w:t>
      </w:r>
      <w:r w:rsidRPr="00FE5EC9">
        <w:t>, Morgan Stanley, Sept. 23, 2011, at 11.</w:t>
      </w:r>
    </w:p>
  </w:footnote>
  <w:footnote w:id="505">
    <w:p w:rsidR="00EC7CF3" w:rsidRDefault="00EC7CF3" w:rsidP="00F1004B">
      <w:pPr>
        <w:pStyle w:val="FootnoteText"/>
      </w:pPr>
      <w:r w:rsidRPr="00FE5EC9">
        <w:rPr>
          <w:rStyle w:val="FootnoteReference"/>
        </w:rPr>
        <w:footnoteRef/>
      </w:r>
      <w:r w:rsidRPr="00FE5EC9">
        <w:t xml:space="preserve"> Craig Moffett </w:t>
      </w:r>
      <w:r w:rsidRPr="00FE5EC9">
        <w:rPr>
          <w:i/>
        </w:rPr>
        <w:t>et al</w:t>
      </w:r>
      <w:r w:rsidRPr="00FE5EC9">
        <w:t xml:space="preserve">., </w:t>
      </w:r>
      <w:r w:rsidRPr="00FE5EC9">
        <w:rPr>
          <w:i/>
        </w:rPr>
        <w:t>U.S. Wireless Industry Scorecard: The Haves and the Have-Nots Diverge</w:t>
      </w:r>
      <w:r w:rsidRPr="00FE5EC9">
        <w:t>, Bernstein Research, Nov. 6, 2009, at 1, 9 (</w:t>
      </w:r>
      <w:r w:rsidRPr="00FE5EC9">
        <w:rPr>
          <w:i/>
        </w:rPr>
        <w:t>The Haves and the Have-Nots Diverge</w:t>
      </w:r>
      <w:r w:rsidRPr="00FE5EC9">
        <w:t xml:space="preserve">); </w:t>
      </w:r>
      <w:r w:rsidRPr="00FE5EC9">
        <w:rPr>
          <w:i/>
        </w:rPr>
        <w:t>Slumdog Millionaires</w:t>
      </w:r>
      <w:r w:rsidRPr="00FE5EC9">
        <w:t>, at 4.</w:t>
      </w:r>
    </w:p>
  </w:footnote>
  <w:footnote w:id="506">
    <w:p w:rsidR="00EC7CF3" w:rsidRDefault="00EC7CF3" w:rsidP="00F1004B">
      <w:pPr>
        <w:pStyle w:val="FootnoteText"/>
      </w:pPr>
      <w:r w:rsidRPr="00FE5EC9">
        <w:rPr>
          <w:rStyle w:val="FootnoteReference"/>
        </w:rPr>
        <w:footnoteRef/>
      </w:r>
      <w:r w:rsidRPr="00FE5EC9">
        <w:t xml:space="preserve"> </w:t>
      </w:r>
      <w:r w:rsidRPr="00FE5EC9">
        <w:rPr>
          <w:i/>
          <w:iCs/>
        </w:rPr>
        <w:t>Fifteenth Report</w:t>
      </w:r>
      <w:r w:rsidRPr="00FE5EC9">
        <w:rPr>
          <w:iCs/>
        </w:rPr>
        <w:t>,</w:t>
      </w:r>
      <w:r w:rsidRPr="00FE5EC9">
        <w:rPr>
          <w:i/>
          <w:iCs/>
        </w:rPr>
        <w:t xml:space="preserve"> </w:t>
      </w:r>
      <w:r w:rsidRPr="00FE5EC9">
        <w:rPr>
          <w:iCs/>
        </w:rPr>
        <w:t>26</w:t>
      </w:r>
      <w:r w:rsidRPr="00FE5EC9">
        <w:rPr>
          <w:i/>
          <w:iCs/>
        </w:rPr>
        <w:t xml:space="preserve"> </w:t>
      </w:r>
      <w:r w:rsidRPr="00FE5EC9">
        <w:rPr>
          <w:iCs/>
        </w:rPr>
        <w:t>FCC Rcd at 9731-33 ¶ 99-102</w:t>
      </w:r>
      <w:r w:rsidRPr="00FE5EC9">
        <w:t>.</w:t>
      </w:r>
    </w:p>
  </w:footnote>
  <w:footnote w:id="507">
    <w:p w:rsidR="00EC7CF3" w:rsidRDefault="00EC7CF3" w:rsidP="00F1004B">
      <w:pPr>
        <w:pStyle w:val="FootnoteText"/>
      </w:pPr>
      <w:r w:rsidRPr="00FE5EC9">
        <w:rPr>
          <w:rStyle w:val="FootnoteReference"/>
        </w:rPr>
        <w:footnoteRef/>
      </w:r>
      <w:r w:rsidRPr="00FE5EC9">
        <w:t xml:space="preserve"> </w:t>
      </w:r>
      <w:r w:rsidRPr="00FE5EC9">
        <w:rPr>
          <w:i/>
          <w:iCs/>
        </w:rPr>
        <w:t>Thirteenth Report</w:t>
      </w:r>
      <w:r w:rsidRPr="00FE5EC9">
        <w:rPr>
          <w:iCs/>
        </w:rPr>
        <w:t>,</w:t>
      </w:r>
      <w:r w:rsidRPr="00FE5EC9">
        <w:rPr>
          <w:i/>
          <w:iCs/>
        </w:rPr>
        <w:t xml:space="preserve"> </w:t>
      </w:r>
      <w:r w:rsidRPr="00FE5EC9">
        <w:rPr>
          <w:iCs/>
        </w:rPr>
        <w:t>24 FCC Rcd at 6295 ¶ 231.</w:t>
      </w:r>
    </w:p>
  </w:footnote>
  <w:footnote w:id="508">
    <w:p w:rsidR="00EC7CF3" w:rsidRDefault="00EC7CF3" w:rsidP="00F1004B">
      <w:pPr>
        <w:pStyle w:val="FootnoteText"/>
      </w:pPr>
      <w:r w:rsidRPr="00FE5EC9">
        <w:rPr>
          <w:rStyle w:val="FootnoteReference"/>
        </w:rPr>
        <w:footnoteRef/>
      </w:r>
      <w:r w:rsidRPr="00FE5EC9">
        <w:t xml:space="preserve"> </w:t>
      </w:r>
      <w:r w:rsidRPr="00FE5EC9">
        <w:rPr>
          <w:i/>
          <w:iCs/>
        </w:rPr>
        <w:t>Fourteenth Report</w:t>
      </w:r>
      <w:r w:rsidRPr="00FE5EC9">
        <w:rPr>
          <w:iCs/>
        </w:rPr>
        <w:t>,</w:t>
      </w:r>
      <w:r w:rsidRPr="00FE5EC9">
        <w:rPr>
          <w:i/>
          <w:iCs/>
        </w:rPr>
        <w:t xml:space="preserve"> </w:t>
      </w:r>
      <w:r w:rsidRPr="00FE5EC9">
        <w:rPr>
          <w:iCs/>
        </w:rPr>
        <w:t>25 FCC Rcd at 11475 ¶ 101</w:t>
      </w:r>
      <w:r w:rsidRPr="00FE5EC9">
        <w:t xml:space="preserve">; Roger Cheng, </w:t>
      </w:r>
      <w:r w:rsidRPr="00FE5EC9">
        <w:rPr>
          <w:i/>
        </w:rPr>
        <w:t>Wal-Mart Wireless Expands</w:t>
      </w:r>
      <w:r w:rsidRPr="00FE5EC9">
        <w:t>, Wall Street Journal, Oct. 15, 2009 (</w:t>
      </w:r>
      <w:r w:rsidRPr="00FE5EC9">
        <w:rPr>
          <w:i/>
        </w:rPr>
        <w:t>Wal-Mart Wireless Expands</w:t>
      </w:r>
      <w:r w:rsidRPr="00FE5EC9">
        <w:t>).</w:t>
      </w:r>
    </w:p>
  </w:footnote>
  <w:footnote w:id="509">
    <w:p w:rsidR="00EC7CF3" w:rsidRDefault="00EC7CF3" w:rsidP="00F1004B">
      <w:pPr>
        <w:pStyle w:val="FootnoteText"/>
      </w:pPr>
      <w:r w:rsidRPr="00FE5EC9">
        <w:rPr>
          <w:rStyle w:val="FootnoteReference"/>
        </w:rPr>
        <w:footnoteRef/>
      </w:r>
      <w:r w:rsidRPr="00FE5EC9">
        <w:t xml:space="preserve"> Philip Goldstein, </w:t>
      </w:r>
      <w:r w:rsidRPr="00FE5EC9">
        <w:rPr>
          <w:i/>
        </w:rPr>
        <w:t>TracFone’s Straight Talk Android Phones Will Use Sprint’s Network</w:t>
      </w:r>
      <w:r w:rsidRPr="00FE5EC9">
        <w:t xml:space="preserve">, </w:t>
      </w:r>
      <w:r w:rsidRPr="00FE5EC9">
        <w:rPr>
          <w:smallCaps/>
        </w:rPr>
        <w:t>FierceWireless</w:t>
      </w:r>
      <w:r w:rsidRPr="00FE5EC9">
        <w:t xml:space="preserve">, Sept. 9, 2011. </w:t>
      </w:r>
      <w:hyperlink r:id="rId144" w:history="1">
        <w:r w:rsidRPr="00FE5EC9">
          <w:rPr>
            <w:rStyle w:val="Hyperlink"/>
          </w:rPr>
          <w:t>http://www.fiercewireless.com/story/tracfones-straight-talk-android-phones-will-use-sprints-network/2011-09-09</w:t>
        </w:r>
      </w:hyperlink>
      <w:r>
        <w:t xml:space="preserve"> (visited Oct. 16, 201</w:t>
      </w:r>
      <w:r w:rsidRPr="00FE5EC9">
        <w:t>2)</w:t>
      </w:r>
      <w:r>
        <w:t>.</w:t>
      </w:r>
    </w:p>
  </w:footnote>
  <w:footnote w:id="510">
    <w:p w:rsidR="00EC7CF3" w:rsidRDefault="00EC7CF3" w:rsidP="00F1004B">
      <w:pPr>
        <w:pStyle w:val="FootnoteText"/>
      </w:pPr>
      <w:r w:rsidRPr="00FE5EC9">
        <w:rPr>
          <w:rStyle w:val="FootnoteReference"/>
        </w:rPr>
        <w:footnoteRef/>
      </w:r>
      <w:r w:rsidRPr="00FE5EC9">
        <w:t xml:space="preserve"> Philip Goldstein, </w:t>
      </w:r>
      <w:r w:rsidRPr="00FE5EC9">
        <w:rPr>
          <w:i/>
        </w:rPr>
        <w:t>T-Mobile Jumps on Straight Talk Bandwagon</w:t>
      </w:r>
      <w:r w:rsidRPr="00FE5EC9">
        <w:t xml:space="preserve">, </w:t>
      </w:r>
      <w:r w:rsidRPr="00FE5EC9">
        <w:rPr>
          <w:smallCaps/>
        </w:rPr>
        <w:t>FierceWireless</w:t>
      </w:r>
      <w:r w:rsidRPr="00FE5EC9">
        <w:t xml:space="preserve">, Aug. 4, 2010. </w:t>
      </w:r>
      <w:hyperlink r:id="rId145" w:history="1">
        <w:r w:rsidRPr="00FE5EC9">
          <w:rPr>
            <w:rStyle w:val="Hyperlink"/>
          </w:rPr>
          <w:t>http://www.fiercewireless.com/story/report-t-mobile-jumps-straight-talk-bandwagon/2010-08-04</w:t>
        </w:r>
      </w:hyperlink>
      <w:r w:rsidRPr="00FE5EC9">
        <w:t xml:space="preserve"> (visited Oct. 16, 2012); Philip Goldstein, </w:t>
      </w:r>
      <w:r w:rsidRPr="00FE5EC9">
        <w:rPr>
          <w:i/>
        </w:rPr>
        <w:t>TracFone’s Straight Talk Android Phones Will Use Sprint’s Network</w:t>
      </w:r>
      <w:r w:rsidRPr="00FE5EC9">
        <w:t xml:space="preserve">, </w:t>
      </w:r>
      <w:r w:rsidRPr="00FE5EC9">
        <w:rPr>
          <w:smallCaps/>
        </w:rPr>
        <w:t>FierceWireless</w:t>
      </w:r>
      <w:r w:rsidRPr="00FE5EC9">
        <w:t xml:space="preserve">, Sept. 9, 2011. </w:t>
      </w:r>
      <w:hyperlink r:id="rId146" w:history="1">
        <w:r w:rsidRPr="00FE5EC9">
          <w:rPr>
            <w:rStyle w:val="Hyperlink"/>
          </w:rPr>
          <w:t>http://www.fiercewireless.com/story/tracfones-straight-talk-android-phones-will-use-sprints-network/2011-09-09</w:t>
        </w:r>
      </w:hyperlink>
      <w:r w:rsidRPr="00FE5EC9">
        <w:t xml:space="preserve"> (visited Oct. 16, 2012)</w:t>
      </w:r>
      <w:r>
        <w:t>.</w:t>
      </w:r>
    </w:p>
  </w:footnote>
  <w:footnote w:id="511">
    <w:p w:rsidR="00EC7CF3" w:rsidRDefault="00EC7CF3" w:rsidP="00F1004B">
      <w:pPr>
        <w:pStyle w:val="FootnoteText"/>
      </w:pPr>
      <w:r w:rsidRPr="00FE5EC9">
        <w:rPr>
          <w:rStyle w:val="FootnoteReference"/>
        </w:rPr>
        <w:footnoteRef/>
      </w:r>
      <w:r w:rsidRPr="00FE5EC9">
        <w:t xml:space="preserve"> Philip Goldstein, </w:t>
      </w:r>
      <w:r w:rsidRPr="00FE5EC9">
        <w:rPr>
          <w:i/>
        </w:rPr>
        <w:t>TracFone’s Straight Talk Android Phones Will Use Sprint’s Network</w:t>
      </w:r>
      <w:r w:rsidRPr="00FE5EC9">
        <w:t xml:space="preserve">, </w:t>
      </w:r>
      <w:r w:rsidRPr="00FE5EC9">
        <w:rPr>
          <w:smallCaps/>
        </w:rPr>
        <w:t>FierceWireless</w:t>
      </w:r>
      <w:r w:rsidRPr="00FE5EC9">
        <w:t xml:space="preserve">, Sept. 9, 2011. </w:t>
      </w:r>
      <w:hyperlink r:id="rId147" w:history="1">
        <w:r w:rsidRPr="00FE5EC9">
          <w:rPr>
            <w:rStyle w:val="Hyperlink"/>
          </w:rPr>
          <w:t>http://www.fiercewireless.com/story/tracfones-straight-talk-android-phones-will-use-sprints-network/2011-09-09</w:t>
        </w:r>
      </w:hyperlink>
      <w:r w:rsidRPr="00FE5EC9">
        <w:t xml:space="preserve"> (visited Oct. 16, 2012)</w:t>
      </w:r>
      <w:r>
        <w:t>.</w:t>
      </w:r>
    </w:p>
  </w:footnote>
  <w:footnote w:id="512">
    <w:p w:rsidR="00EC7CF3" w:rsidRDefault="00EC7CF3" w:rsidP="00F1004B">
      <w:pPr>
        <w:pStyle w:val="FootnoteText"/>
      </w:pPr>
      <w:r w:rsidRPr="00FE5EC9">
        <w:rPr>
          <w:rStyle w:val="FootnoteReference"/>
        </w:rPr>
        <w:footnoteRef/>
      </w:r>
      <w:r w:rsidRPr="00FE5EC9">
        <w:t xml:space="preserve"> Philip Goldstein, </w:t>
      </w:r>
      <w:r w:rsidRPr="00FE5EC9">
        <w:rPr>
          <w:i/>
        </w:rPr>
        <w:t>Analyst: TracFone’s Straight Talk to Launch Smartphone Via T-Mobile’s HSPA+ Network</w:t>
      </w:r>
      <w:r w:rsidRPr="00FE5EC9">
        <w:t xml:space="preserve">, </w:t>
      </w:r>
      <w:r w:rsidRPr="00FE5EC9">
        <w:rPr>
          <w:smallCaps/>
        </w:rPr>
        <w:t>FierceWireless</w:t>
      </w:r>
      <w:r w:rsidRPr="00FE5EC9">
        <w:t xml:space="preserve">, Jan. 19, 2012. </w:t>
      </w:r>
      <w:hyperlink r:id="rId148" w:history="1">
        <w:r w:rsidRPr="00FE5EC9">
          <w:rPr>
            <w:rStyle w:val="Hyperlink"/>
          </w:rPr>
          <w:t>http://www.fiercewireless.com/story/analyst-tracfones-straight-talk-launch-smartphone-t-mobiles-hspa-network/2012-01-19</w:t>
        </w:r>
      </w:hyperlink>
      <w:r w:rsidRPr="00FE5EC9">
        <w:t xml:space="preserve"> (visited Oct. 16, 2012)</w:t>
      </w:r>
      <w:r>
        <w:t>.</w:t>
      </w:r>
    </w:p>
  </w:footnote>
  <w:footnote w:id="513">
    <w:p w:rsidR="00EC7CF3" w:rsidRDefault="00EC7CF3" w:rsidP="00F1004B">
      <w:pPr>
        <w:pStyle w:val="FootnoteText"/>
      </w:pPr>
      <w:r w:rsidRPr="00FE5EC9">
        <w:rPr>
          <w:rStyle w:val="FootnoteReference"/>
        </w:rPr>
        <w:footnoteRef/>
      </w:r>
      <w:r w:rsidRPr="00FE5EC9">
        <w:t xml:space="preserve"> Straight Talk, Service Plans, at </w:t>
      </w:r>
      <w:hyperlink r:id="rId149" w:history="1">
        <w:r w:rsidRPr="00FE5EC9">
          <w:rPr>
            <w:rStyle w:val="Hyperlink"/>
          </w:rPr>
          <w:t>https://www.straighttalk.com/secure/ServicePlans</w:t>
        </w:r>
      </w:hyperlink>
      <w:r w:rsidRPr="00FE5EC9">
        <w:t xml:space="preserve"> (visited Sep. 14, 2012).</w:t>
      </w:r>
    </w:p>
  </w:footnote>
  <w:footnote w:id="514">
    <w:p w:rsidR="00EC7CF3" w:rsidRDefault="00EC7CF3" w:rsidP="00F1004B">
      <w:pPr>
        <w:pStyle w:val="FootnoteText"/>
      </w:pPr>
      <w:r w:rsidRPr="00FE5EC9">
        <w:rPr>
          <w:rStyle w:val="FootnoteReference"/>
        </w:rPr>
        <w:footnoteRef/>
      </w:r>
      <w:r w:rsidRPr="00FE5EC9">
        <w:t xml:space="preserve"> Straight Talk, Service Plans, at </w:t>
      </w:r>
      <w:hyperlink r:id="rId150" w:history="1">
        <w:r w:rsidRPr="00FE5EC9">
          <w:rPr>
            <w:rStyle w:val="Hyperlink"/>
          </w:rPr>
          <w:t>https://www.straighttalk.com/secure/ServicePlans</w:t>
        </w:r>
      </w:hyperlink>
      <w:r w:rsidRPr="00FE5EC9">
        <w:t xml:space="preserve"> (visited Sep. 14, 2012).</w:t>
      </w:r>
    </w:p>
  </w:footnote>
  <w:footnote w:id="515">
    <w:p w:rsidR="00EC7CF3" w:rsidRDefault="00EC7CF3" w:rsidP="00F1004B">
      <w:pPr>
        <w:pStyle w:val="FootnoteText"/>
      </w:pPr>
      <w:r w:rsidRPr="00FE5EC9">
        <w:rPr>
          <w:rStyle w:val="FootnoteReference"/>
        </w:rPr>
        <w:footnoteRef/>
      </w:r>
      <w:r w:rsidRPr="00FE5EC9">
        <w:t xml:space="preserve"> </w:t>
      </w:r>
      <w:r w:rsidRPr="00FE5EC9">
        <w:rPr>
          <w:i/>
          <w:iCs/>
        </w:rPr>
        <w:t>Fifteenth Report</w:t>
      </w:r>
      <w:r w:rsidRPr="00FE5EC9">
        <w:rPr>
          <w:iCs/>
        </w:rPr>
        <w:t>,</w:t>
      </w:r>
      <w:r w:rsidRPr="00FE5EC9">
        <w:rPr>
          <w:i/>
          <w:iCs/>
        </w:rPr>
        <w:t xml:space="preserve"> </w:t>
      </w:r>
      <w:r w:rsidRPr="00FE5EC9">
        <w:rPr>
          <w:iCs/>
        </w:rPr>
        <w:t>26 FCC Rcd at 9731 ¶ 99</w:t>
      </w:r>
      <w:r w:rsidRPr="00FE5EC9">
        <w:t xml:space="preserve">; Niraj Sheth and Roger Cheng, </w:t>
      </w:r>
      <w:r w:rsidRPr="00FE5EC9">
        <w:rPr>
          <w:i/>
        </w:rPr>
        <w:t>Phone Rivals Dial Up Prepaid Services</w:t>
      </w:r>
      <w:r w:rsidRPr="00FE5EC9">
        <w:t xml:space="preserve">, </w:t>
      </w:r>
      <w:r w:rsidRPr="00FE5EC9">
        <w:rPr>
          <w:smallCaps/>
        </w:rPr>
        <w:t>Wall Street Journal</w:t>
      </w:r>
      <w:r w:rsidRPr="00FE5EC9">
        <w:t xml:space="preserve">, May 14, 2010. </w:t>
      </w:r>
      <w:hyperlink r:id="rId151" w:history="1">
        <w:r w:rsidRPr="00FE5EC9">
          <w:rPr>
            <w:rStyle w:val="Hyperlink"/>
          </w:rPr>
          <w:t>http://online.wsj.com/article/SB10001424052748704635204575242232945917368.html</w:t>
        </w:r>
      </w:hyperlink>
      <w:r w:rsidRPr="00FE5EC9">
        <w:t xml:space="preserve"> (visited Oct. 16, 2012)</w:t>
      </w:r>
      <w:r>
        <w:t>.</w:t>
      </w:r>
    </w:p>
  </w:footnote>
  <w:footnote w:id="516">
    <w:p w:rsidR="00EC7CF3" w:rsidRDefault="00EC7CF3" w:rsidP="00F1004B">
      <w:pPr>
        <w:pStyle w:val="FootnoteText"/>
      </w:pPr>
      <w:r w:rsidRPr="00FE5EC9">
        <w:rPr>
          <w:rStyle w:val="FootnoteReference"/>
        </w:rPr>
        <w:footnoteRef/>
      </w:r>
      <w:r w:rsidRPr="00FE5EC9">
        <w:t xml:space="preserve"> Philip Goldstein, </w:t>
      </w:r>
      <w:r w:rsidRPr="00FE5EC9">
        <w:rPr>
          <w:i/>
        </w:rPr>
        <w:t>Verizon to Launch Unleashed $50 Unlimited Prepaid Plan Nationwide Thursday</w:t>
      </w:r>
      <w:r w:rsidRPr="00FE5EC9">
        <w:t xml:space="preserve">, </w:t>
      </w:r>
      <w:r w:rsidRPr="00FE5EC9">
        <w:rPr>
          <w:smallCaps/>
        </w:rPr>
        <w:t>FierceWireless</w:t>
      </w:r>
      <w:r w:rsidRPr="00FE5EC9">
        <w:t xml:space="preserve">, Sept. 13, 2011. </w:t>
      </w:r>
      <w:hyperlink r:id="rId152" w:history="1">
        <w:r w:rsidRPr="00FE5EC9">
          <w:rPr>
            <w:rStyle w:val="Hyperlink"/>
          </w:rPr>
          <w:t>http://www.fiercewireless.com/story/verizon-launch-unleashed-50-unlimited-prepaid-plan-nationwide-thursday/2011-09-13</w:t>
        </w:r>
      </w:hyperlink>
      <w:r w:rsidRPr="00FE5EC9">
        <w:t xml:space="preserve"> (visited Oct. 16, 2012); Mike Dano, </w:t>
      </w:r>
      <w:r w:rsidRPr="00FE5EC9">
        <w:rPr>
          <w:i/>
        </w:rPr>
        <w:t>Verizon Wireless Details Unleashed $50 Prepaid Unlimited Plan</w:t>
      </w:r>
      <w:r w:rsidRPr="00FE5EC9">
        <w:t xml:space="preserve">, </w:t>
      </w:r>
      <w:r w:rsidRPr="00FE5EC9">
        <w:rPr>
          <w:smallCaps/>
        </w:rPr>
        <w:t>FierceWireless</w:t>
      </w:r>
      <w:r w:rsidRPr="00FE5EC9">
        <w:t xml:space="preserve">, Apr. 26, 2011. </w:t>
      </w:r>
      <w:hyperlink r:id="rId153" w:history="1">
        <w:r w:rsidRPr="00FE5EC9">
          <w:rPr>
            <w:rStyle w:val="Hyperlink"/>
          </w:rPr>
          <w:t>http://www.fiercewireless.com/story/verizon-wireless-details-unleashed-50-prepaid-unlimited-plan/2011-04-26</w:t>
        </w:r>
      </w:hyperlink>
      <w:r w:rsidRPr="00FE5EC9">
        <w:t xml:space="preserve"> (visited Oct. 16. 2012); Philip Goldstein, </w:t>
      </w:r>
      <w:r w:rsidRPr="00FE5EC9">
        <w:rPr>
          <w:i/>
        </w:rPr>
        <w:t>Verizon Trials $50 Prepaid Unlimited Plan</w:t>
      </w:r>
      <w:r w:rsidRPr="00FE5EC9">
        <w:t xml:space="preserve">, </w:t>
      </w:r>
      <w:r w:rsidRPr="00FE5EC9">
        <w:rPr>
          <w:smallCaps/>
        </w:rPr>
        <w:t>FierceWireless</w:t>
      </w:r>
      <w:r w:rsidRPr="00FE5EC9">
        <w:t xml:space="preserve">, July 22, 2010.  </w:t>
      </w:r>
      <w:hyperlink r:id="rId154" w:history="1">
        <w:r w:rsidRPr="00FE5EC9">
          <w:t>http://www.fiercewireless.com/story/report-verizon-testing-50-prepaid-unlimited-plan/2010-07-22</w:t>
        </w:r>
      </w:hyperlink>
      <w:r w:rsidRPr="00FE5EC9">
        <w:t xml:space="preserve"> (visited Oct. 16, 2012)</w:t>
      </w:r>
      <w:r>
        <w:t>.</w:t>
      </w:r>
    </w:p>
  </w:footnote>
  <w:footnote w:id="517">
    <w:p w:rsidR="00EC7CF3" w:rsidRDefault="00EC7CF3" w:rsidP="00F1004B">
      <w:pPr>
        <w:pStyle w:val="FootnoteText"/>
      </w:pPr>
      <w:r w:rsidRPr="00FE5EC9">
        <w:rPr>
          <w:rStyle w:val="FootnoteReference"/>
        </w:rPr>
        <w:footnoteRef/>
      </w:r>
      <w:r w:rsidRPr="00FE5EC9">
        <w:t xml:space="preserve"> Philip Goldstein, </w:t>
      </w:r>
      <w:r w:rsidRPr="00FE5EC9">
        <w:rPr>
          <w:i/>
        </w:rPr>
        <w:t>Verizon Trials $50 Prepaid Unlimited Plan</w:t>
      </w:r>
      <w:r w:rsidRPr="00FE5EC9">
        <w:t xml:space="preserve">, </w:t>
      </w:r>
      <w:r w:rsidRPr="00FE5EC9">
        <w:rPr>
          <w:smallCaps/>
        </w:rPr>
        <w:t>FierceWireless</w:t>
      </w:r>
      <w:r w:rsidRPr="00FE5EC9">
        <w:t xml:space="preserve">, July 22, 2010. </w:t>
      </w:r>
      <w:hyperlink r:id="rId155" w:history="1">
        <w:r w:rsidRPr="00FE5EC9">
          <w:rPr>
            <w:rStyle w:val="Hyperlink"/>
          </w:rPr>
          <w:t>http://www.fiercewireless.com/story/report-verizon-testing-50-prepaid-unlimited-plan/2010-07-22</w:t>
        </w:r>
      </w:hyperlink>
      <w:r w:rsidRPr="00FE5EC9">
        <w:t xml:space="preserve"> (visited Oct. 16, 2012); Philip Goldstein, </w:t>
      </w:r>
      <w:r w:rsidRPr="00FE5EC9">
        <w:rPr>
          <w:i/>
        </w:rPr>
        <w:t>Verizon to Launch Unleashed $50 Unlimited Prepaid Plan Nationwide Thursday</w:t>
      </w:r>
      <w:r w:rsidRPr="00FE5EC9">
        <w:t xml:space="preserve">, </w:t>
      </w:r>
      <w:r w:rsidRPr="00FE5EC9">
        <w:rPr>
          <w:smallCaps/>
        </w:rPr>
        <w:t>FierceWireless</w:t>
      </w:r>
      <w:r w:rsidRPr="00FE5EC9">
        <w:t xml:space="preserve">, Sept. 13, 201. </w:t>
      </w:r>
      <w:hyperlink r:id="rId156" w:history="1">
        <w:r w:rsidRPr="00FE5EC9">
          <w:rPr>
            <w:rStyle w:val="Hyperlink"/>
          </w:rPr>
          <w:t>http://www.fiercewireless.com/story/verizon-launch-unleashed-50-unlimited-prepaid-plan-nationwide-thursday/2011-09-13</w:t>
        </w:r>
      </w:hyperlink>
      <w:r w:rsidRPr="00FE5EC9" w:rsidDel="00F932C5">
        <w:t xml:space="preserve"> </w:t>
      </w:r>
      <w:r w:rsidRPr="00FE5EC9">
        <w:t xml:space="preserve"> (visited Oct. 16, 2012); Mike Dano, </w:t>
      </w:r>
      <w:r w:rsidRPr="00FE5EC9">
        <w:rPr>
          <w:i/>
        </w:rPr>
        <w:t>Verizon Wireless Details Unleashed $50 Prepaid Unlimited Plan</w:t>
      </w:r>
      <w:r w:rsidRPr="00FE5EC9">
        <w:t xml:space="preserve">, </w:t>
      </w:r>
      <w:r w:rsidRPr="00FE5EC9">
        <w:rPr>
          <w:smallCaps/>
        </w:rPr>
        <w:t>FierceWireless</w:t>
      </w:r>
      <w:r w:rsidRPr="00FE5EC9">
        <w:t xml:space="preserve">, Apr. 26, 2011. </w:t>
      </w:r>
      <w:hyperlink r:id="rId157" w:history="1">
        <w:r w:rsidRPr="00FE5EC9">
          <w:rPr>
            <w:rStyle w:val="Hyperlink"/>
          </w:rPr>
          <w:t>http://www.fiercewireless.com/story/verizon-wireless-details-unleashed-50-prepaid-unlimited-plan/2011-04-26</w:t>
        </w:r>
      </w:hyperlink>
      <w:r w:rsidRPr="00FE5EC9">
        <w:t xml:space="preserve"> (visited Oct. 16. 2012)</w:t>
      </w:r>
      <w:r>
        <w:t>.</w:t>
      </w:r>
    </w:p>
  </w:footnote>
  <w:footnote w:id="518">
    <w:p w:rsidR="00EC7CF3" w:rsidRDefault="00EC7CF3" w:rsidP="00F83BFA">
      <w:pPr>
        <w:pStyle w:val="FootnoteText"/>
      </w:pPr>
      <w:r w:rsidRPr="00FE5EC9">
        <w:rPr>
          <w:rStyle w:val="FootnoteReference"/>
        </w:rPr>
        <w:footnoteRef/>
      </w:r>
      <w:r w:rsidRPr="00FE5EC9">
        <w:t xml:space="preserve"> Verizon, </w:t>
      </w:r>
      <w:r w:rsidRPr="00FE5EC9">
        <w:rPr>
          <w:i/>
        </w:rPr>
        <w:t>Prepaid Plans</w:t>
      </w:r>
      <w:r w:rsidRPr="00FE5EC9">
        <w:t xml:space="preserve">, http://www.verizonwireless.com/b2c/splash/prepay.jsp (visited Nov. 1, 2011); Philip Goldstein, </w:t>
      </w:r>
      <w:r w:rsidRPr="00FE5EC9">
        <w:rPr>
          <w:i/>
        </w:rPr>
        <w:t>Verizon to Launch Unleashed $50 Unlimited Prepaid Plan Nationwide Thursday</w:t>
      </w:r>
      <w:r w:rsidRPr="00FE5EC9">
        <w:t xml:space="preserve">, </w:t>
      </w:r>
      <w:r w:rsidRPr="00FE5EC9">
        <w:rPr>
          <w:smallCaps/>
        </w:rPr>
        <w:t>FierceWireless</w:t>
      </w:r>
      <w:r w:rsidRPr="00FE5EC9">
        <w:t xml:space="preserve">, Sept. 13, 2011 </w:t>
      </w:r>
      <w:hyperlink r:id="rId158" w:history="1">
        <w:r w:rsidRPr="00FE5EC9">
          <w:rPr>
            <w:rStyle w:val="Hyperlink"/>
          </w:rPr>
          <w:t>http://www.fiercewireless.com/story/verizon-launch-unleashed-50-unlimited-prepaid-plan-nationwide-thursday/2011-09-13</w:t>
        </w:r>
      </w:hyperlink>
      <w:r w:rsidRPr="00FE5EC9">
        <w:t xml:space="preserve"> (visited Oct. 16, 2012); Mike Dano, </w:t>
      </w:r>
      <w:r w:rsidRPr="00FE5EC9">
        <w:rPr>
          <w:i/>
        </w:rPr>
        <w:t>Verizon Wireless Details Unleashed $50 Prepaid Unlimited Plan</w:t>
      </w:r>
      <w:r w:rsidRPr="00FE5EC9">
        <w:t xml:space="preserve">, </w:t>
      </w:r>
      <w:r w:rsidRPr="00FE5EC9">
        <w:rPr>
          <w:smallCaps/>
        </w:rPr>
        <w:t>FierceWireless</w:t>
      </w:r>
      <w:r w:rsidRPr="00FE5EC9">
        <w:t xml:space="preserve">, Apr. 26, 2011. </w:t>
      </w:r>
      <w:hyperlink r:id="rId159" w:history="1">
        <w:r w:rsidRPr="00FE5EC9">
          <w:rPr>
            <w:rStyle w:val="Hyperlink"/>
          </w:rPr>
          <w:t>http://www.fiercewireless.com/story/verizon-wireless-details-unleashed-50-prepaid-unlimited-plan/2011-04-26</w:t>
        </w:r>
      </w:hyperlink>
      <w:r w:rsidRPr="00FE5EC9">
        <w:t xml:space="preserve"> (visited Oct. 16, 2012); Philip Goldstein, </w:t>
      </w:r>
      <w:r w:rsidRPr="00FE5EC9">
        <w:rPr>
          <w:i/>
        </w:rPr>
        <w:t>Verizon Trials $50 Prepaid Unlimited Plan</w:t>
      </w:r>
      <w:r w:rsidRPr="00FE5EC9">
        <w:t xml:space="preserve">, </w:t>
      </w:r>
      <w:r w:rsidRPr="00FE5EC9">
        <w:rPr>
          <w:smallCaps/>
        </w:rPr>
        <w:t>FierceWireless</w:t>
      </w:r>
      <w:r w:rsidRPr="00FE5EC9">
        <w:t xml:space="preserve">, July 22, 2010. </w:t>
      </w:r>
      <w:hyperlink r:id="rId160" w:history="1">
        <w:r w:rsidRPr="00FE5EC9">
          <w:rPr>
            <w:rStyle w:val="Hyperlink"/>
          </w:rPr>
          <w:t>http://www.fiercewireless.com/story/report-verizon-testing-50-prepaid-unlimited-plan/2010-07-22</w:t>
        </w:r>
      </w:hyperlink>
      <w:r w:rsidRPr="00FE5EC9">
        <w:t xml:space="preserve"> (visited Oct. 16, 2012)</w:t>
      </w:r>
      <w:r>
        <w:t>.</w:t>
      </w:r>
    </w:p>
  </w:footnote>
  <w:footnote w:id="519">
    <w:p w:rsidR="00EC7CF3" w:rsidRDefault="00EC7CF3" w:rsidP="00F83BFA">
      <w:pPr>
        <w:pStyle w:val="FootnoteText"/>
      </w:pPr>
      <w:r w:rsidRPr="00FE5EC9">
        <w:rPr>
          <w:rStyle w:val="FootnoteReference"/>
        </w:rPr>
        <w:footnoteRef/>
      </w:r>
      <w:r w:rsidRPr="00FE5EC9">
        <w:t xml:space="preserve"> Verizon also offered Unleashed with per-day and per-minute pricing:  $1.99 per day for unlimited calling to any number, together with $0.02 per text and $0.99 per day for daily mobile Web browsing; or $0.99 per day for unlimited calling to Verizon customers, with $0.10 per minute for calls to other numbers, $0.10 per text message and $0.99 per day for mobile Web browsing.  Mike Dano, </w:t>
      </w:r>
      <w:r w:rsidRPr="00FE5EC9">
        <w:rPr>
          <w:i/>
        </w:rPr>
        <w:t>Verizon Wireless Details Unleashed $50 Prepaid Unlimited Plan</w:t>
      </w:r>
      <w:r w:rsidRPr="00FE5EC9">
        <w:t xml:space="preserve">, </w:t>
      </w:r>
      <w:r w:rsidRPr="00FE5EC9">
        <w:rPr>
          <w:smallCaps/>
        </w:rPr>
        <w:t>FierceWireless</w:t>
      </w:r>
      <w:r w:rsidRPr="00FE5EC9">
        <w:t xml:space="preserve">, Apr. 26, 2011. </w:t>
      </w:r>
      <w:hyperlink r:id="rId161" w:history="1">
        <w:r w:rsidRPr="00FE5EC9">
          <w:rPr>
            <w:rStyle w:val="Hyperlink"/>
          </w:rPr>
          <w:t>http://www.fiercewireless.com/story/verizon-wireless-details-unleashed-50-prepaid-unlimited-plan/2011-04-26</w:t>
        </w:r>
      </w:hyperlink>
      <w:r w:rsidRPr="00FE5EC9">
        <w:t xml:space="preserve"> (visited Oct. 16, 2012)</w:t>
      </w:r>
      <w:r>
        <w:t>.</w:t>
      </w:r>
    </w:p>
  </w:footnote>
  <w:footnote w:id="520">
    <w:p w:rsidR="00EC7CF3" w:rsidRDefault="00EC7CF3" w:rsidP="00F1004B">
      <w:pPr>
        <w:pStyle w:val="FootnoteText"/>
      </w:pPr>
      <w:r w:rsidRPr="00FE5EC9">
        <w:rPr>
          <w:rStyle w:val="FootnoteReference"/>
        </w:rPr>
        <w:footnoteRef/>
      </w:r>
      <w:r w:rsidRPr="00FE5EC9">
        <w:t xml:space="preserve"> </w:t>
      </w:r>
      <w:r w:rsidRPr="00FE5EC9">
        <w:rPr>
          <w:i/>
        </w:rPr>
        <w:t>T-Mobile Offers Monthly</w:t>
      </w:r>
      <w:r>
        <w:rPr>
          <w:i/>
        </w:rPr>
        <w:t xml:space="preserve"> </w:t>
      </w:r>
      <w:r w:rsidRPr="00FE5EC9">
        <w:rPr>
          <w:i/>
        </w:rPr>
        <w:t>4G Plans Featuring Unlimited Talk, Text and Web With No Annual Contract</w:t>
      </w:r>
      <w:r w:rsidRPr="00FE5EC9">
        <w:t xml:space="preserve">, Press Release, T-Mobile, May 23, 2011. </w:t>
      </w:r>
      <w:hyperlink r:id="rId162" w:history="1">
        <w:r w:rsidRPr="00FE5EC9">
          <w:rPr>
            <w:rStyle w:val="Hyperlink"/>
          </w:rPr>
          <w:t>http://newsroom.t-mobile.com/articles/t-mobile-offers-monthly4g-plans</w:t>
        </w:r>
      </w:hyperlink>
      <w:r w:rsidRPr="00FE5EC9">
        <w:t xml:space="preserve"> (visited Oct. 16, 2012); Philip Goldstein, </w:t>
      </w:r>
      <w:r w:rsidRPr="00FE5EC9">
        <w:rPr>
          <w:i/>
        </w:rPr>
        <w:t>T-Mobile Launches New Monthly and Pay-by-the-Day Plans</w:t>
      </w:r>
      <w:r w:rsidRPr="00FE5EC9">
        <w:t xml:space="preserve">, </w:t>
      </w:r>
      <w:r w:rsidRPr="00FE5EC9">
        <w:rPr>
          <w:smallCaps/>
        </w:rPr>
        <w:t>FierceWireless</w:t>
      </w:r>
      <w:r w:rsidRPr="00FE5EC9">
        <w:t xml:space="preserve">, Oct. 18, 2011. </w:t>
      </w:r>
      <w:hyperlink r:id="rId163" w:history="1">
        <w:r w:rsidRPr="00FE5EC9">
          <w:rPr>
            <w:rStyle w:val="Hyperlink"/>
          </w:rPr>
          <w:t>http://www.fiercewireless.com/story/t-mobile-launches-new-monthly-and-pay-day-plans/2011-10-18</w:t>
        </w:r>
      </w:hyperlink>
      <w:r w:rsidRPr="00FE5EC9">
        <w:t xml:space="preserve"> (visited Oct. 16, 2012) ; Philip Goldstein, </w:t>
      </w:r>
      <w:r w:rsidRPr="00FE5EC9">
        <w:rPr>
          <w:i/>
        </w:rPr>
        <w:t>T-Mobile Pushes Hard for Prepaid Subscribers Amid Uncertainty</w:t>
      </w:r>
      <w:r w:rsidRPr="00FE5EC9">
        <w:t xml:space="preserve">, </w:t>
      </w:r>
      <w:r w:rsidRPr="00FE5EC9">
        <w:rPr>
          <w:smallCaps/>
        </w:rPr>
        <w:t>FierceWireless</w:t>
      </w:r>
      <w:r w:rsidRPr="00FE5EC9">
        <w:t xml:space="preserve">, Oct. 24, 2011. </w:t>
      </w:r>
      <w:hyperlink r:id="rId164" w:history="1">
        <w:r w:rsidRPr="00FE5EC9">
          <w:rPr>
            <w:rStyle w:val="Hyperlink"/>
          </w:rPr>
          <w:t>http://www.fiercewireless.com/story/t-mobile-pushes-hard-prepaid-subscribers-amid-uncertainty/2011-10-24</w:t>
        </w:r>
      </w:hyperlink>
      <w:r w:rsidRPr="00FE5EC9">
        <w:t xml:space="preserve"> (visited Oct. 16, 2012)</w:t>
      </w:r>
      <w:r>
        <w:t>.</w:t>
      </w:r>
    </w:p>
  </w:footnote>
  <w:footnote w:id="521">
    <w:p w:rsidR="00EC7CF3" w:rsidRDefault="00EC7CF3" w:rsidP="00F1004B">
      <w:pPr>
        <w:pStyle w:val="FootnoteText"/>
      </w:pPr>
      <w:r w:rsidRPr="00FE5EC9">
        <w:rPr>
          <w:rStyle w:val="FootnoteReference"/>
        </w:rPr>
        <w:footnoteRef/>
      </w:r>
      <w:r w:rsidRPr="00FE5EC9">
        <w:t xml:space="preserve"> </w:t>
      </w:r>
      <w:r w:rsidRPr="00FE5EC9">
        <w:rPr>
          <w:i/>
        </w:rPr>
        <w:t>T-Mobile Offers Monthly 4G Plans Featuring Unlimited Talk, Text and Web With No Annual Contract</w:t>
      </w:r>
      <w:r w:rsidRPr="00FE5EC9">
        <w:t>, Press</w:t>
      </w:r>
      <w:r>
        <w:t xml:space="preserve"> Release, T-Mobile, May 23, 2011</w:t>
      </w:r>
      <w:r w:rsidRPr="00FE5EC9">
        <w:t xml:space="preserve">. </w:t>
      </w:r>
      <w:hyperlink r:id="rId165" w:history="1">
        <w:r w:rsidRPr="00FE5EC9">
          <w:rPr>
            <w:rStyle w:val="Hyperlink"/>
          </w:rPr>
          <w:t>http://newsroom.t-mobile.com/articles/t-mobile-offers-monthly4g-plans</w:t>
        </w:r>
      </w:hyperlink>
      <w:r w:rsidRPr="00FE5EC9">
        <w:t xml:space="preserve"> (visited Oct. 16, 2012); </w:t>
      </w:r>
      <w:r w:rsidRPr="00FE5EC9">
        <w:rPr>
          <w:i/>
        </w:rPr>
        <w:t>T-Mobile Adds New Plans to Monthly Lineup</w:t>
      </w:r>
      <w:r w:rsidRPr="00FE5EC9">
        <w:t xml:space="preserve">, Press Release, T-Mobile, Oct. 17, 2011. </w:t>
      </w:r>
      <w:hyperlink r:id="rId166" w:history="1">
        <w:r w:rsidRPr="00FE5EC9">
          <w:rPr>
            <w:rStyle w:val="Hyperlink"/>
          </w:rPr>
          <w:t>http://newsroom.t-mobile.com/articles/t-mobile-adds-new-monthly4g-plans</w:t>
        </w:r>
      </w:hyperlink>
      <w:r w:rsidRPr="00FE5EC9">
        <w:t xml:space="preserve"> (visited Oct. 16, 2012)</w:t>
      </w:r>
      <w:r>
        <w:t>.</w:t>
      </w:r>
    </w:p>
  </w:footnote>
  <w:footnote w:id="522">
    <w:p w:rsidR="00EC7CF3" w:rsidRDefault="00EC7CF3" w:rsidP="00F1004B">
      <w:pPr>
        <w:pStyle w:val="FootnoteText"/>
      </w:pPr>
      <w:r w:rsidRPr="00FE5EC9">
        <w:rPr>
          <w:rStyle w:val="FootnoteReference"/>
        </w:rPr>
        <w:footnoteRef/>
      </w:r>
      <w:r w:rsidRPr="00FE5EC9">
        <w:t xml:space="preserve"> </w:t>
      </w:r>
      <w:r w:rsidRPr="00FE5EC9">
        <w:rPr>
          <w:i/>
        </w:rPr>
        <w:t>Walmart and T-Mobile Introduce Exclusive No-Annual Contract 4G Offering</w:t>
      </w:r>
      <w:r w:rsidRPr="00FE5EC9">
        <w:t xml:space="preserve">, Press Release, T-Mobile, Oct. 3, 2011. </w:t>
      </w:r>
      <w:hyperlink r:id="rId167" w:history="1">
        <w:r w:rsidRPr="00FE5EC9">
          <w:rPr>
            <w:rStyle w:val="Hyperlink"/>
          </w:rPr>
          <w:t>http://newsroom.t-mobile.com/articles/walmart-and-t-mobile-introduce-exclusive-no-annual-contract-4g-offering</w:t>
        </w:r>
      </w:hyperlink>
      <w:r w:rsidRPr="00FE5EC9">
        <w:t xml:space="preserve"> (visited Oct.16, 2012); Philip Goldstein, </w:t>
      </w:r>
      <w:r w:rsidRPr="00FE5EC9">
        <w:rPr>
          <w:i/>
        </w:rPr>
        <w:t>T-Mobile, Walmart Partner o $30 No-Contract Data and Texting Plan</w:t>
      </w:r>
      <w:r w:rsidRPr="00FE5EC9">
        <w:t xml:space="preserve">, </w:t>
      </w:r>
      <w:r w:rsidRPr="00FE5EC9">
        <w:rPr>
          <w:smallCaps/>
        </w:rPr>
        <w:t>FierceWireless</w:t>
      </w:r>
      <w:r w:rsidRPr="00FE5EC9">
        <w:t xml:space="preserve">, Oct. 3, 2011. </w:t>
      </w:r>
      <w:hyperlink r:id="rId168" w:history="1">
        <w:r w:rsidRPr="00FE5EC9">
          <w:rPr>
            <w:rStyle w:val="Hyperlink"/>
          </w:rPr>
          <w:t>http://www.fiercewireless.com/story/t-mobile-walmart-partner-30-no-contract-data-and-texting-plan/2011-10-03</w:t>
        </w:r>
      </w:hyperlink>
      <w:r w:rsidRPr="00FE5EC9">
        <w:t xml:space="preserve"> (visited Oct. 16, 2012)</w:t>
      </w:r>
      <w:r>
        <w:t>.</w:t>
      </w:r>
    </w:p>
  </w:footnote>
  <w:footnote w:id="523">
    <w:p w:rsidR="00EC7CF3" w:rsidRDefault="00EC7CF3" w:rsidP="00F1004B">
      <w:pPr>
        <w:pStyle w:val="FootnoteText"/>
      </w:pPr>
      <w:r w:rsidRPr="00FE5EC9">
        <w:rPr>
          <w:rStyle w:val="FootnoteReference"/>
        </w:rPr>
        <w:footnoteRef/>
      </w:r>
      <w:r w:rsidRPr="00FE5EC9">
        <w:t xml:space="preserve"> </w:t>
      </w:r>
      <w:r w:rsidRPr="00FE5EC9">
        <w:rPr>
          <w:i/>
        </w:rPr>
        <w:t>T-Mobile Offers Monthly4G Plans Featuring Unlimited Talk, Text and Web With No Annual Contract</w:t>
      </w:r>
      <w:r w:rsidRPr="00FE5EC9">
        <w:t xml:space="preserve">, Press Release, T-Mobile, May 23, 2011. </w:t>
      </w:r>
      <w:hyperlink r:id="rId169" w:history="1">
        <w:r w:rsidRPr="00FE5EC9">
          <w:rPr>
            <w:rStyle w:val="Hyperlink"/>
          </w:rPr>
          <w:t>http://newsroom.t-mobile.com/articles/t-mobile-offers-monthly4g-plans</w:t>
        </w:r>
      </w:hyperlink>
      <w:r w:rsidRPr="00FE5EC9">
        <w:t xml:space="preserve"> (visited Oct. 16, 2012); </w:t>
      </w:r>
      <w:r w:rsidRPr="00FE5EC9">
        <w:rPr>
          <w:i/>
        </w:rPr>
        <w:t>Walmart and T-Mobile Introduce Exclusive No-Annual Contract 4G Offering</w:t>
      </w:r>
      <w:r w:rsidRPr="00FE5EC9">
        <w:t xml:space="preserve">, Press Release, T-Mobile, Oct. 3, 2011. </w:t>
      </w:r>
      <w:hyperlink r:id="rId170" w:history="1">
        <w:r w:rsidRPr="00FE5EC9">
          <w:rPr>
            <w:rStyle w:val="Hyperlink"/>
          </w:rPr>
          <w:t>http://newsroom.t-mobile.com/articles/walmart-and-t-mobile-introduce-exclusive-no-annual-contract-4g-offering</w:t>
        </w:r>
      </w:hyperlink>
      <w:r w:rsidRPr="00FE5EC9">
        <w:t xml:space="preserve"> (visited Oct. 16, 2012)</w:t>
      </w:r>
      <w:r>
        <w:t>.</w:t>
      </w:r>
    </w:p>
  </w:footnote>
  <w:footnote w:id="524">
    <w:p w:rsidR="00EC7CF3" w:rsidRDefault="00EC7CF3" w:rsidP="00F83BFA">
      <w:pPr>
        <w:pStyle w:val="FootnoteText"/>
      </w:pPr>
      <w:r w:rsidRPr="00FE5EC9">
        <w:rPr>
          <w:rStyle w:val="FootnoteReference"/>
        </w:rPr>
        <w:footnoteRef/>
      </w:r>
      <w:r w:rsidRPr="00FE5EC9">
        <w:t xml:space="preserve"> T-Mobile, </w:t>
      </w:r>
      <w:r w:rsidRPr="00FE5EC9">
        <w:rPr>
          <w:i/>
        </w:rPr>
        <w:t>No Annual Contract Plans</w:t>
      </w:r>
      <w:r w:rsidRPr="00FE5EC9">
        <w:t>, http://prepaid-phones.t-mobile.com/prep</w:t>
      </w:r>
      <w:r>
        <w:t>aid-plans (visited Oct. 31, 2012</w:t>
      </w:r>
      <w:r w:rsidRPr="00FE5EC9">
        <w:t>)</w:t>
      </w:r>
      <w:r>
        <w:t>.</w:t>
      </w:r>
    </w:p>
  </w:footnote>
  <w:footnote w:id="525">
    <w:p w:rsidR="00EC7CF3" w:rsidRDefault="00EC7CF3" w:rsidP="00F1004B">
      <w:pPr>
        <w:pStyle w:val="FootnoteText"/>
      </w:pPr>
      <w:r w:rsidRPr="00FE5EC9">
        <w:rPr>
          <w:rStyle w:val="FootnoteReference"/>
        </w:rPr>
        <w:footnoteRef/>
      </w:r>
      <w:r w:rsidRPr="00FE5EC9">
        <w:t xml:space="preserve"> Mike Dano, </w:t>
      </w:r>
      <w:r w:rsidRPr="00FE5EC9">
        <w:rPr>
          <w:i/>
        </w:rPr>
        <w:t>MetroPCS Promotion:  Unlimited Everything for $25 (Minimum of Four Lines)</w:t>
      </w:r>
      <w:r w:rsidRPr="00FE5EC9">
        <w:t xml:space="preserve">, </w:t>
      </w:r>
      <w:r w:rsidRPr="00FE5EC9">
        <w:rPr>
          <w:smallCaps/>
        </w:rPr>
        <w:t>FierceWireless</w:t>
      </w:r>
      <w:r w:rsidRPr="00FE5EC9">
        <w:t xml:space="preserve">, Oct. 27, 2011. </w:t>
      </w:r>
      <w:hyperlink r:id="rId171" w:history="1">
        <w:r w:rsidRPr="00FE5EC9">
          <w:rPr>
            <w:rStyle w:val="Hyperlink"/>
          </w:rPr>
          <w:t>http://www.fiercewireless.com/story/metropcs-promotion-unlimited-everything-25-minimum-4-lines/2011-10-27</w:t>
        </w:r>
      </w:hyperlink>
      <w:r w:rsidRPr="00FE5EC9">
        <w:t xml:space="preserve"> (visited Oct. 16, 2012)</w:t>
      </w:r>
      <w:r>
        <w:t>.</w:t>
      </w:r>
    </w:p>
  </w:footnote>
  <w:footnote w:id="526">
    <w:p w:rsidR="00EC7CF3" w:rsidRDefault="00EC7CF3" w:rsidP="00F1004B">
      <w:pPr>
        <w:pStyle w:val="FootnoteText"/>
      </w:pPr>
      <w:r w:rsidRPr="00FE5EC9">
        <w:rPr>
          <w:rStyle w:val="FootnoteReference"/>
        </w:rPr>
        <w:footnoteRef/>
      </w:r>
      <w:r w:rsidRPr="00FE5EC9">
        <w:t xml:space="preserve"> Mike Dano, </w:t>
      </w:r>
      <w:r w:rsidRPr="00FE5EC9">
        <w:rPr>
          <w:i/>
        </w:rPr>
        <w:t>MetroPCS Promotion:  Unlimited Everything for $25 (Minimum of Four Lines)</w:t>
      </w:r>
      <w:r w:rsidRPr="00FE5EC9">
        <w:t xml:space="preserve">, </w:t>
      </w:r>
      <w:r w:rsidRPr="00FE5EC9">
        <w:rPr>
          <w:smallCaps/>
        </w:rPr>
        <w:t>FierceWireless</w:t>
      </w:r>
      <w:r w:rsidRPr="00FE5EC9">
        <w:t xml:space="preserve">, Oct. 27, 2011. </w:t>
      </w:r>
      <w:hyperlink r:id="rId172" w:history="1">
        <w:r w:rsidRPr="00FE5EC9">
          <w:rPr>
            <w:rStyle w:val="Hyperlink"/>
          </w:rPr>
          <w:t>http://www.fiercewireless.com/story/metropcs-promotion-unlimited-everything-25-minimum-4-lines/2011-10-27</w:t>
        </w:r>
      </w:hyperlink>
      <w:r w:rsidRPr="00FE5EC9">
        <w:t xml:space="preserve"> (visited Oct. 16, 2012)</w:t>
      </w:r>
      <w:r>
        <w:t>.</w:t>
      </w:r>
    </w:p>
  </w:footnote>
  <w:footnote w:id="527">
    <w:p w:rsidR="00EC7CF3" w:rsidRDefault="00EC7CF3" w:rsidP="00F1004B">
      <w:pPr>
        <w:pStyle w:val="FootnoteText"/>
      </w:pPr>
      <w:r w:rsidRPr="00FE5EC9">
        <w:rPr>
          <w:rStyle w:val="FootnoteReference"/>
        </w:rPr>
        <w:footnoteRef/>
      </w:r>
      <w:r w:rsidRPr="00FE5EC9">
        <w:t xml:space="preserve"> Mike Dano, </w:t>
      </w:r>
      <w:r w:rsidRPr="00FE5EC9">
        <w:rPr>
          <w:i/>
        </w:rPr>
        <w:t>MetroPCS Promotion:  Unlimited Everything for $25 (Minimum of Four Lines)</w:t>
      </w:r>
      <w:r w:rsidRPr="00FE5EC9">
        <w:t xml:space="preserve">, </w:t>
      </w:r>
      <w:r w:rsidRPr="00FE5EC9">
        <w:rPr>
          <w:smallCaps/>
        </w:rPr>
        <w:t>FierceWireless</w:t>
      </w:r>
      <w:r w:rsidRPr="00FE5EC9">
        <w:t xml:space="preserve">, Oct. 27, 2011. </w:t>
      </w:r>
      <w:hyperlink r:id="rId173" w:history="1">
        <w:r w:rsidRPr="00FE5EC9">
          <w:rPr>
            <w:rStyle w:val="Hyperlink"/>
          </w:rPr>
          <w:t>http://www.fiercewireless.com/story/metropcs-promotion-unlimited-everything-25-minimum-4-lines/2011-10-27</w:t>
        </w:r>
      </w:hyperlink>
      <w:r w:rsidRPr="00FE5EC9">
        <w:t xml:space="preserve"> (visited Oct. 16, 2012)</w:t>
      </w:r>
      <w:r>
        <w:t>.</w:t>
      </w:r>
    </w:p>
  </w:footnote>
  <w:footnote w:id="528">
    <w:p w:rsidR="00EC7CF3" w:rsidRDefault="00EC7CF3" w:rsidP="00F1004B">
      <w:pPr>
        <w:pStyle w:val="FootnoteText"/>
      </w:pPr>
      <w:r w:rsidRPr="00FE5EC9">
        <w:rPr>
          <w:rStyle w:val="FootnoteReference"/>
        </w:rPr>
        <w:footnoteRef/>
      </w:r>
      <w:r w:rsidRPr="00FE5EC9">
        <w:t xml:space="preserve"> </w:t>
      </w:r>
      <w:r w:rsidRPr="00FE5EC9">
        <w:rPr>
          <w:i/>
          <w:iCs/>
        </w:rPr>
        <w:t>Fifteenth Report</w:t>
      </w:r>
      <w:r w:rsidRPr="00FE5EC9">
        <w:rPr>
          <w:iCs/>
        </w:rPr>
        <w:t xml:space="preserve">, 26 FCC Rcd at 9725-27 ¶¶ 85-87; </w:t>
      </w:r>
      <w:r w:rsidRPr="00FE5EC9">
        <w:t xml:space="preserve">Simon Flannery </w:t>
      </w:r>
      <w:r w:rsidRPr="00FE5EC9">
        <w:rPr>
          <w:i/>
        </w:rPr>
        <w:t>et al</w:t>
      </w:r>
      <w:r w:rsidRPr="00FE5EC9">
        <w:t xml:space="preserve">., </w:t>
      </w:r>
      <w:r w:rsidRPr="00FE5EC9">
        <w:rPr>
          <w:i/>
        </w:rPr>
        <w:t>AlphaWise Survey Points to Ongoing Postpaid Cannibalization by Prepaid</w:t>
      </w:r>
      <w:r w:rsidRPr="00FE5EC9">
        <w:t>,  Morgan Stanley, Sept. 23, 2011, at 12 (noting that “MetroPCS is seeing strong uptake on its CDMA network, causing its network to face capacity constraints.”)</w:t>
      </w:r>
      <w:r w:rsidRPr="00FE5EC9">
        <w:rPr>
          <w:iCs/>
        </w:rPr>
        <w:t>.</w:t>
      </w:r>
    </w:p>
  </w:footnote>
  <w:footnote w:id="529">
    <w:p w:rsidR="00EC7CF3" w:rsidRDefault="00EC7CF3" w:rsidP="00F1004B">
      <w:pPr>
        <w:pStyle w:val="FootnoteText"/>
      </w:pPr>
      <w:r w:rsidRPr="00FE5EC9">
        <w:rPr>
          <w:rStyle w:val="FootnoteReference"/>
        </w:rPr>
        <w:footnoteRef/>
      </w:r>
      <w:r w:rsidRPr="00FE5EC9">
        <w:t xml:space="preserve"> Sue Marek, </w:t>
      </w:r>
      <w:r w:rsidRPr="00FE5EC9">
        <w:rPr>
          <w:i/>
        </w:rPr>
        <w:t>T-Mobile Unveils New Tiered Data Plans for Smartphones, Details Throttling Speeds</w:t>
      </w:r>
      <w:r w:rsidRPr="00FE5EC9">
        <w:t xml:space="preserve">, </w:t>
      </w:r>
      <w:r w:rsidRPr="00FE5EC9">
        <w:rPr>
          <w:smallCaps/>
        </w:rPr>
        <w:t>FierceWireless</w:t>
      </w:r>
      <w:r w:rsidRPr="00FE5EC9">
        <w:t xml:space="preserve">, May 23, 2011, </w:t>
      </w:r>
      <w:r w:rsidRPr="003A28BD">
        <w:rPr>
          <w:i/>
        </w:rPr>
        <w:t>available at</w:t>
      </w:r>
      <w:r w:rsidRPr="00FE5EC9">
        <w:t xml:space="preserve"> </w:t>
      </w:r>
      <w:hyperlink r:id="rId174" w:anchor="ixzz23X47gEgf" w:history="1">
        <w:r w:rsidRPr="00FE5EC9">
          <w:rPr>
            <w:rStyle w:val="Hyperlink"/>
          </w:rPr>
          <w:t>http://www.fiercewireless.com/story/t-mobile-quietly-launches-tiered-data-plans-smartphones/2011-05-23#ixzz23X47gEgf</w:t>
        </w:r>
      </w:hyperlink>
      <w:r w:rsidRPr="00FE5EC9">
        <w:t xml:space="preserve"> (visited Oct. 16, 2012) (stating “The operator [T-Mobile] also said that if customers go over their allotted data cap they will not incur overage charges but instead will have their data speeds throttled down to an EDGE, or 2G, experience of around 100 Kbps or less.”)</w:t>
      </w:r>
      <w:r>
        <w:t>.</w:t>
      </w:r>
    </w:p>
  </w:footnote>
  <w:footnote w:id="530">
    <w:p w:rsidR="00EC7CF3" w:rsidRDefault="00EC7CF3" w:rsidP="00F1004B">
      <w:pPr>
        <w:pStyle w:val="FootnoteText"/>
      </w:pPr>
      <w:r w:rsidRPr="00FE5EC9">
        <w:rPr>
          <w:rStyle w:val="FootnoteReference"/>
        </w:rPr>
        <w:footnoteRef/>
      </w:r>
      <w:r w:rsidRPr="00FE5EC9">
        <w:t xml:space="preserve"> Verizon, </w:t>
      </w:r>
      <w:r w:rsidRPr="00FE5EC9">
        <w:rPr>
          <w:i/>
        </w:rPr>
        <w:t>Prepaid Plans</w:t>
      </w:r>
      <w:r w:rsidRPr="00FE5EC9">
        <w:t xml:space="preserve">, http://www.verizonwireless.com/b2c/splash/prepay.jsp (visited Nov. 1, 2012). </w:t>
      </w:r>
    </w:p>
  </w:footnote>
  <w:footnote w:id="531">
    <w:p w:rsidR="00EC7CF3" w:rsidRDefault="00EC7CF3" w:rsidP="00F1004B">
      <w:pPr>
        <w:pStyle w:val="FootnoteText"/>
      </w:pPr>
      <w:r w:rsidRPr="00FE5EC9">
        <w:rPr>
          <w:rStyle w:val="FootnoteReference"/>
        </w:rPr>
        <w:footnoteRef/>
      </w:r>
      <w:r w:rsidRPr="00FE5EC9">
        <w:t xml:space="preserve"> Philip Goldstein, </w:t>
      </w:r>
      <w:r w:rsidRPr="00FE5EC9">
        <w:rPr>
          <w:i/>
        </w:rPr>
        <w:t>Boost Mobile Tacking $5 Charge Onto Unlimited Android Phone Bill</w:t>
      </w:r>
      <w:r w:rsidRPr="00FE5EC9">
        <w:t xml:space="preserve">, </w:t>
      </w:r>
      <w:r w:rsidRPr="00FE5EC9">
        <w:rPr>
          <w:smallCaps/>
        </w:rPr>
        <w:t>FierceWireless</w:t>
      </w:r>
      <w:r>
        <w:t xml:space="preserve">, Sept. 16, 2011, </w:t>
      </w:r>
      <w:r>
        <w:rPr>
          <w:i/>
        </w:rPr>
        <w:t>available at</w:t>
      </w:r>
      <w:r w:rsidRPr="00FE5EC9">
        <w:t xml:space="preserve"> </w:t>
      </w:r>
      <w:hyperlink r:id="rId175" w:history="1">
        <w:r w:rsidRPr="00FE5EC9">
          <w:rPr>
            <w:rStyle w:val="Hyperlink"/>
          </w:rPr>
          <w:t>http://www.fiercewireless.com/story/boost-mobile-tacking-5-charge-unlimited-android-phone-bill/2011-09-16</w:t>
        </w:r>
      </w:hyperlink>
      <w:r w:rsidRPr="00FE5EC9">
        <w:t xml:space="preserve"> (visited Oct. 16, 2012) The additional charge took effect the day before Boost started selling the Samsung Transform Ultra Android device.  </w:t>
      </w:r>
    </w:p>
  </w:footnote>
  <w:footnote w:id="532">
    <w:p w:rsidR="00EC7CF3" w:rsidRDefault="00EC7CF3" w:rsidP="00F1004B">
      <w:pPr>
        <w:pStyle w:val="FootnoteText"/>
      </w:pPr>
      <w:r w:rsidRPr="00FE5EC9">
        <w:rPr>
          <w:rStyle w:val="FootnoteReference"/>
        </w:rPr>
        <w:footnoteRef/>
      </w:r>
      <w:r w:rsidRPr="00FE5EC9">
        <w:t xml:space="preserve"> Philip Goldstein, </w:t>
      </w:r>
      <w:r w:rsidRPr="00FE5EC9">
        <w:rPr>
          <w:i/>
        </w:rPr>
        <w:t>Virgin Mobile to Raise Beyond Talk Prices But Drop Blackberry Add-On Fee</w:t>
      </w:r>
      <w:r w:rsidRPr="00FE5EC9">
        <w:t xml:space="preserve">, </w:t>
      </w:r>
      <w:r w:rsidRPr="00FE5EC9">
        <w:rPr>
          <w:smallCaps/>
        </w:rPr>
        <w:t>FierceWireless</w:t>
      </w:r>
      <w:r w:rsidRPr="00FE5EC9">
        <w:t xml:space="preserve">, Jul. 11, 2011. </w:t>
      </w:r>
      <w:hyperlink r:id="rId176" w:history="1">
        <w:r w:rsidRPr="00FE5EC9">
          <w:rPr>
            <w:rStyle w:val="Hyperlink"/>
          </w:rPr>
          <w:t>http://www.fiercewireless.com/story/virgin-mobile-raise-paylo-prices-drop-blackberry-add-fee/2011-07-11</w:t>
        </w:r>
      </w:hyperlink>
      <w:r w:rsidRPr="00FE5EC9">
        <w:t xml:space="preserve"> (visited Oct. 16, 2012) Virgin Mobile concurrently cut the price of its most expensive Beyond Talk plan and dropped an add-on fee for Blackberry devices.  These pricing changes were made just prior to Virgin Mobile’s launch of its first Android smartphone device.  All three Beyond Talk plans include unlimited texting, email and data, but differ with respect to the number of voice minutes included.  </w:t>
      </w:r>
      <w:r w:rsidRPr="00FE5EC9">
        <w:rPr>
          <w:i/>
        </w:rPr>
        <w:t>Id</w:t>
      </w:r>
      <w:r w:rsidRPr="00FE5EC9">
        <w:t>.</w:t>
      </w:r>
    </w:p>
  </w:footnote>
  <w:footnote w:id="533">
    <w:p w:rsidR="00EC7CF3" w:rsidRDefault="00EC7CF3" w:rsidP="00F1004B">
      <w:pPr>
        <w:pStyle w:val="FootnoteText"/>
      </w:pPr>
      <w:r w:rsidRPr="00FE5EC9">
        <w:rPr>
          <w:rStyle w:val="FootnoteReference"/>
        </w:rPr>
        <w:footnoteRef/>
      </w:r>
      <w:r w:rsidRPr="00FE5EC9">
        <w:t xml:space="preserve"> Philip Goldstein, </w:t>
      </w:r>
      <w:r w:rsidRPr="00FE5EC9">
        <w:rPr>
          <w:i/>
        </w:rPr>
        <w:t>Virgin Mobile to Begin Smartphone Data Throttling in March</w:t>
      </w:r>
      <w:r w:rsidRPr="00FE5EC9">
        <w:t xml:space="preserve">, </w:t>
      </w:r>
      <w:r w:rsidRPr="00FE5EC9">
        <w:rPr>
          <w:smallCaps/>
        </w:rPr>
        <w:t>FierceWireless</w:t>
      </w:r>
      <w:r w:rsidRPr="00FE5EC9">
        <w:t xml:space="preserve">, Jan. 19, 2012. </w:t>
      </w:r>
      <w:hyperlink r:id="rId177" w:history="1">
        <w:r w:rsidRPr="00FE5EC9">
          <w:rPr>
            <w:rStyle w:val="Hyperlink"/>
          </w:rPr>
          <w:t>http://www.fiercewireless.com/story/virgin-mobile-begin-smartphone-data-throttling-march/2012-01-19</w:t>
        </w:r>
      </w:hyperlink>
      <w:r w:rsidRPr="00FE5EC9">
        <w:t xml:space="preserve"> (visited Oct. 16, 2012) The company originally announced plans to reduce the speeds of heavy smartphone data users beginning in October 2011, but subsequently postponed smartphone data speed reductions until 2012.  Sue Marek, </w:t>
      </w:r>
      <w:r w:rsidRPr="00FE5EC9">
        <w:rPr>
          <w:i/>
        </w:rPr>
        <w:t>Virgin Mobile Will Throttle Heavy Data Users</w:t>
      </w:r>
      <w:r w:rsidRPr="00FE5EC9">
        <w:t xml:space="preserve">, </w:t>
      </w:r>
      <w:r w:rsidRPr="00FE5EC9">
        <w:rPr>
          <w:smallCaps/>
        </w:rPr>
        <w:t>FierceWireless</w:t>
      </w:r>
      <w:r w:rsidRPr="00FE5EC9">
        <w:t xml:space="preserve">, Jul. 13, 2011. </w:t>
      </w:r>
      <w:hyperlink r:id="rId178" w:history="1">
        <w:r w:rsidRPr="00FE5EC9">
          <w:rPr>
            <w:rStyle w:val="Hyperlink"/>
          </w:rPr>
          <w:t>http://www.fiercebroadbandwireless.com/story/virgin-mobile-will-throttle-heavy-data-users/2011-07-13</w:t>
        </w:r>
      </w:hyperlink>
      <w:r w:rsidRPr="00FE5EC9">
        <w:t xml:space="preserve"> (viisted Oct. 16, 2012); Philip Goldstein, </w:t>
      </w:r>
      <w:r w:rsidRPr="00FE5EC9">
        <w:rPr>
          <w:i/>
        </w:rPr>
        <w:t>Virgin Mobile Postpones Smartphone Data Throttling Until 2012</w:t>
      </w:r>
      <w:r w:rsidRPr="00FE5EC9">
        <w:t xml:space="preserve">, </w:t>
      </w:r>
      <w:r w:rsidRPr="00FE5EC9">
        <w:rPr>
          <w:smallCaps/>
        </w:rPr>
        <w:t>FierceWireless</w:t>
      </w:r>
      <w:r w:rsidRPr="00FE5EC9">
        <w:t xml:space="preserve">, Sept. 30, 2011. </w:t>
      </w:r>
      <w:hyperlink r:id="rId179" w:history="1">
        <w:r w:rsidRPr="00FE5EC9">
          <w:rPr>
            <w:rStyle w:val="Hyperlink"/>
          </w:rPr>
          <w:t>http://www.fiercewireless.com/story/virgin-mobile-postpones-smartphone-data-throttling-until-2012/2011-09-30</w:t>
        </w:r>
      </w:hyperlink>
      <w:r w:rsidRPr="00FE5EC9">
        <w:t xml:space="preserve"> (</w:t>
      </w:r>
      <w:r>
        <w:t xml:space="preserve">visited </w:t>
      </w:r>
      <w:r w:rsidRPr="00FE5EC9">
        <w:t>Oct. 16, 2012)</w:t>
      </w:r>
      <w:r>
        <w:t>.</w:t>
      </w:r>
    </w:p>
  </w:footnote>
  <w:footnote w:id="534">
    <w:p w:rsidR="00EC7CF3" w:rsidRDefault="00EC7CF3" w:rsidP="00F1004B">
      <w:pPr>
        <w:pStyle w:val="FootnoteText"/>
      </w:pPr>
      <w:r w:rsidRPr="00FE5EC9">
        <w:rPr>
          <w:rStyle w:val="FootnoteReference"/>
        </w:rPr>
        <w:footnoteRef/>
      </w:r>
      <w:r w:rsidRPr="00FE5EC9">
        <w:t xml:space="preserve"> Philip Goldstein, </w:t>
      </w:r>
      <w:r w:rsidRPr="00FE5EC9">
        <w:rPr>
          <w:i/>
        </w:rPr>
        <w:t>Virgin Mobile to Begin Smartphone Data Throttling in March</w:t>
      </w:r>
      <w:r w:rsidRPr="00FE5EC9">
        <w:t xml:space="preserve">, </w:t>
      </w:r>
      <w:r w:rsidRPr="00FE5EC9">
        <w:rPr>
          <w:smallCaps/>
        </w:rPr>
        <w:t>FierceWireless</w:t>
      </w:r>
      <w:r w:rsidRPr="00FE5EC9">
        <w:t xml:space="preserve">, Jan. 19, 2012. </w:t>
      </w:r>
      <w:hyperlink r:id="rId180" w:history="1">
        <w:r w:rsidRPr="00FE5EC9">
          <w:rPr>
            <w:rStyle w:val="Hyperlink"/>
          </w:rPr>
          <w:t>http://www.fiercewireless.com/story/virgin-mobile-begin-smartphone-data-throttling-march/2012-01-19</w:t>
        </w:r>
      </w:hyperlink>
      <w:r w:rsidRPr="00FE5EC9">
        <w:t xml:space="preserve"> (visited Oct. 16, 2012)</w:t>
      </w:r>
      <w:r>
        <w:t>.</w:t>
      </w:r>
    </w:p>
  </w:footnote>
  <w:footnote w:id="535">
    <w:p w:rsidR="00EC7CF3" w:rsidRDefault="00EC7CF3" w:rsidP="00F1004B">
      <w:pPr>
        <w:pStyle w:val="FootnoteText"/>
      </w:pPr>
      <w:r w:rsidRPr="00FE5EC9">
        <w:rPr>
          <w:rStyle w:val="FootnoteReference"/>
        </w:rPr>
        <w:footnoteRef/>
      </w:r>
      <w:r w:rsidRPr="00FE5EC9">
        <w:t xml:space="preserve"> Philip Goldstein, </w:t>
      </w:r>
      <w:r w:rsidRPr="00FE5EC9">
        <w:rPr>
          <w:i/>
        </w:rPr>
        <w:t>Virgin Mobile to Begin Smartphone Data Throttling in March</w:t>
      </w:r>
      <w:r w:rsidRPr="00FE5EC9">
        <w:t xml:space="preserve">, </w:t>
      </w:r>
      <w:r w:rsidRPr="00FE5EC9">
        <w:rPr>
          <w:smallCaps/>
        </w:rPr>
        <w:t>FierceWireless</w:t>
      </w:r>
      <w:r w:rsidRPr="00FE5EC9">
        <w:t xml:space="preserve">, Jan. 19, 2012. </w:t>
      </w:r>
      <w:hyperlink r:id="rId181" w:history="1">
        <w:r w:rsidRPr="00FE5EC9">
          <w:rPr>
            <w:rStyle w:val="Hyperlink"/>
          </w:rPr>
          <w:t>http://www.fiercewireless.com/story/virgin-mobile-begin-smartphone-data-throttling-march/2012-01-19</w:t>
        </w:r>
      </w:hyperlink>
      <w:r w:rsidRPr="00FE5EC9">
        <w:t xml:space="preserve"> (visited Oct. 16, 2012)</w:t>
      </w:r>
      <w:r>
        <w:t>.</w:t>
      </w:r>
    </w:p>
  </w:footnote>
  <w:footnote w:id="536">
    <w:p w:rsidR="00EC7CF3" w:rsidRDefault="00EC7CF3" w:rsidP="00F1004B">
      <w:pPr>
        <w:pStyle w:val="FootnoteText"/>
      </w:pPr>
      <w:r w:rsidRPr="00FE5EC9">
        <w:rPr>
          <w:rStyle w:val="FootnoteReference"/>
        </w:rPr>
        <w:footnoteRef/>
      </w:r>
      <w:r w:rsidRPr="00FE5EC9">
        <w:t xml:space="preserve"> Mike Dano, </w:t>
      </w:r>
      <w:r w:rsidRPr="00FE5EC9">
        <w:rPr>
          <w:i/>
        </w:rPr>
        <w:t>Leap to Launch Session-Based Data Transactions on Top of Tiered Pricing</w:t>
      </w:r>
      <w:r w:rsidRPr="00FE5EC9">
        <w:t xml:space="preserve">, </w:t>
      </w:r>
      <w:r w:rsidRPr="00FE5EC9">
        <w:rPr>
          <w:smallCaps/>
        </w:rPr>
        <w:t>FierceWireless</w:t>
      </w:r>
      <w:r w:rsidRPr="00FE5EC9">
        <w:t xml:space="preserve">, Jan. 5, 2012. </w:t>
      </w:r>
      <w:hyperlink r:id="rId182" w:history="1">
        <w:r w:rsidRPr="00FE5EC9">
          <w:rPr>
            <w:rStyle w:val="Hyperlink"/>
          </w:rPr>
          <w:t>http://www.fiercewireless.com/story/leap-launch-session-based-data-transactions-top-tiered-pricing/2012-01-05</w:t>
        </w:r>
      </w:hyperlink>
      <w:r w:rsidRPr="00FE5EC9">
        <w:t xml:space="preserve"> (visisted Oct. 16, 2012)</w:t>
      </w:r>
      <w:r>
        <w:t>.</w:t>
      </w:r>
    </w:p>
  </w:footnote>
  <w:footnote w:id="537">
    <w:p w:rsidR="00EC7CF3" w:rsidRDefault="00EC7CF3" w:rsidP="00F1004B">
      <w:pPr>
        <w:pStyle w:val="FootnoteText"/>
      </w:pPr>
      <w:r w:rsidRPr="00FE5EC9">
        <w:rPr>
          <w:rStyle w:val="FootnoteReference"/>
        </w:rPr>
        <w:footnoteRef/>
      </w:r>
      <w:r w:rsidRPr="00FE5EC9">
        <w:t xml:space="preserve"> Mike Dano, </w:t>
      </w:r>
      <w:r w:rsidRPr="00FE5EC9">
        <w:rPr>
          <w:i/>
        </w:rPr>
        <w:t>Leap Experimenting With New Unlimited Broadband Plans</w:t>
      </w:r>
      <w:r w:rsidRPr="00FE5EC9">
        <w:t xml:space="preserve">, </w:t>
      </w:r>
      <w:r w:rsidRPr="00FE5EC9">
        <w:rPr>
          <w:smallCaps/>
        </w:rPr>
        <w:t>FierceWireless</w:t>
      </w:r>
      <w:r w:rsidRPr="00FE5EC9">
        <w:t xml:space="preserve">, Apr. 28, 2010. </w:t>
      </w:r>
      <w:hyperlink r:id="rId183" w:history="1">
        <w:r w:rsidRPr="00FE5EC9">
          <w:rPr>
            <w:rStyle w:val="Hyperlink"/>
          </w:rPr>
          <w:t>http://www.fiercewireless.com/story/leap-experimenting-new-unlimited-broadband-plans/2010-04-28</w:t>
        </w:r>
      </w:hyperlink>
      <w:r w:rsidRPr="00FE5EC9">
        <w:t xml:space="preserve"> (visited Oct. 16, 2012); Mike Dano, </w:t>
      </w:r>
      <w:r w:rsidRPr="00FE5EC9">
        <w:rPr>
          <w:i/>
        </w:rPr>
        <w:t>Leap Overhauls Voice Plans, Intros Tiered Data Pricing</w:t>
      </w:r>
      <w:r w:rsidRPr="00FE5EC9">
        <w:t xml:space="preserve">, </w:t>
      </w:r>
      <w:r w:rsidRPr="00FE5EC9">
        <w:rPr>
          <w:smallCaps/>
        </w:rPr>
        <w:t>FierceWireless</w:t>
      </w:r>
      <w:r w:rsidRPr="00FE5EC9">
        <w:t xml:space="preserve">, Aug. 3, 2010. </w:t>
      </w:r>
      <w:hyperlink r:id="rId184" w:history="1">
        <w:r w:rsidRPr="00FE5EC9">
          <w:rPr>
            <w:rStyle w:val="Hyperlink"/>
          </w:rPr>
          <w:t>http://www.fiercewireless.com/story/leap-overhauls-voice-plans-intros-tiered-data-pricing/2010-08-03</w:t>
        </w:r>
      </w:hyperlink>
      <w:r w:rsidRPr="00FE5EC9">
        <w:t xml:space="preserve"> (visited Oct. 16, 2012)</w:t>
      </w:r>
      <w:r>
        <w:t>.</w:t>
      </w:r>
    </w:p>
  </w:footnote>
  <w:footnote w:id="538">
    <w:p w:rsidR="00EC7CF3" w:rsidRDefault="00EC7CF3" w:rsidP="00F1004B">
      <w:pPr>
        <w:pStyle w:val="FootnoteText"/>
      </w:pPr>
      <w:r w:rsidRPr="00FE5EC9">
        <w:rPr>
          <w:rStyle w:val="FootnoteReference"/>
        </w:rPr>
        <w:footnoteRef/>
      </w:r>
      <w:r w:rsidRPr="00FE5EC9">
        <w:t xml:space="preserve"> Leap Wireless, </w:t>
      </w:r>
      <w:r w:rsidRPr="00FE5EC9">
        <w:rPr>
          <w:i/>
        </w:rPr>
        <w:t>Cricket Introduces New Wireless Rate Plans With More Wireless Choices, More Data Options, More Ways to Listen to Muve Music and More Ways to Call Internationally</w:t>
      </w:r>
      <w:r w:rsidRPr="00FE5EC9">
        <w:t xml:space="preserve">, Press Release, Aug. 29, 2012. </w:t>
      </w:r>
      <w:hyperlink r:id="rId185" w:history="1">
        <w:r w:rsidRPr="00FE5EC9">
          <w:rPr>
            <w:rStyle w:val="Hyperlink"/>
          </w:rPr>
          <w:t>http://phx.corporate-ir.net/phoenix.zhtml?c=95536&amp;p=irol-newsArticle&amp;ID=1729505&amp;highlight=</w:t>
        </w:r>
      </w:hyperlink>
      <w:r w:rsidRPr="00FE5EC9">
        <w:t xml:space="preserve">  (visited Oct. 16, 2012); Philip Goldstein, </w:t>
      </w:r>
      <w:r w:rsidRPr="00FE5EC9">
        <w:rPr>
          <w:i/>
        </w:rPr>
        <w:t>Leap Overhauls Rate Plans, Adds Muve Music to All Android Plans</w:t>
      </w:r>
      <w:r w:rsidRPr="00FE5EC9">
        <w:t xml:space="preserve">, </w:t>
      </w:r>
      <w:r w:rsidRPr="00FE5EC9">
        <w:rPr>
          <w:smallCaps/>
        </w:rPr>
        <w:t>FierceWireless</w:t>
      </w:r>
      <w:r w:rsidRPr="00FE5EC9">
        <w:t xml:space="preserve">, Aug. 29, 2012. </w:t>
      </w:r>
      <w:hyperlink r:id="rId186" w:history="1">
        <w:r w:rsidRPr="00FE5EC9">
          <w:rPr>
            <w:rStyle w:val="Hyperlink"/>
          </w:rPr>
          <w:t>http://www.fiercewireless.com/story/leap-overhauls-rate-plans-adds-muve-music-all-android-plans/2012-08-29</w:t>
        </w:r>
      </w:hyperlink>
      <w:r w:rsidRPr="00FE5EC9">
        <w:t xml:space="preserve"> (visited Oct. 16, 2012)</w:t>
      </w:r>
      <w:r>
        <w:t>.</w:t>
      </w:r>
    </w:p>
  </w:footnote>
  <w:footnote w:id="539">
    <w:p w:rsidR="00EC7CF3" w:rsidRDefault="00EC7CF3" w:rsidP="00F1004B">
      <w:pPr>
        <w:pStyle w:val="FootnoteText"/>
      </w:pPr>
      <w:r w:rsidRPr="00FE5EC9">
        <w:rPr>
          <w:rStyle w:val="FootnoteReference"/>
        </w:rPr>
        <w:footnoteRef/>
      </w:r>
      <w:r>
        <w:t xml:space="preserve"> </w:t>
      </w:r>
      <w:r w:rsidRPr="00FE5EC9">
        <w:t xml:space="preserve">Leap Wireless, </w:t>
      </w:r>
      <w:r w:rsidRPr="00FE5EC9">
        <w:rPr>
          <w:i/>
        </w:rPr>
        <w:t>Cricket Introduces New Wireless Rate Plans With More Wireless Choices, More Data Options, More Ways to Listen to Muve Music and More Ways to Call Internationally</w:t>
      </w:r>
      <w:r w:rsidRPr="00FE5EC9">
        <w:t xml:space="preserve">, Press Release, Aug. 29, 2012. </w:t>
      </w:r>
      <w:hyperlink r:id="rId187" w:history="1">
        <w:r w:rsidRPr="00FE5EC9">
          <w:rPr>
            <w:rStyle w:val="Hyperlink"/>
          </w:rPr>
          <w:t>http://phx.corporate-ir.net/phoenix.zhtml?c=95536&amp;p=irol-newsArticle&amp;ID=1729505&amp;highlight=</w:t>
        </w:r>
      </w:hyperlink>
      <w:r w:rsidRPr="00FE5EC9">
        <w:t xml:space="preserve">  (visited Oct. 16, 2012; Philip Goldstein, </w:t>
      </w:r>
      <w:r w:rsidRPr="00FE5EC9">
        <w:rPr>
          <w:i/>
        </w:rPr>
        <w:t>Leap Overhauls Rate Plans, Adds Muve Music to All Android Plans</w:t>
      </w:r>
      <w:r w:rsidRPr="00FE5EC9">
        <w:t xml:space="preserve">, </w:t>
      </w:r>
      <w:r w:rsidRPr="00FE5EC9">
        <w:rPr>
          <w:smallCaps/>
        </w:rPr>
        <w:t>FierceWireless</w:t>
      </w:r>
      <w:r w:rsidRPr="00FE5EC9">
        <w:t xml:space="preserve">, Aug. 29, 2012. </w:t>
      </w:r>
      <w:hyperlink r:id="rId188" w:history="1">
        <w:r w:rsidRPr="00FE5EC9">
          <w:rPr>
            <w:rStyle w:val="Hyperlink"/>
          </w:rPr>
          <w:t>http://www.fiercewireless.com/story/leap-overhauls-rate-plans-adds-muve-music-all-android-plans/2012-08-29</w:t>
        </w:r>
      </w:hyperlink>
      <w:r w:rsidRPr="00FE5EC9">
        <w:t xml:space="preserve"> (visited Oct. 16, 2012)</w:t>
      </w:r>
      <w:r>
        <w:t>.</w:t>
      </w:r>
    </w:p>
  </w:footnote>
  <w:footnote w:id="540">
    <w:p w:rsidR="00EC7CF3" w:rsidRDefault="00EC7CF3" w:rsidP="00F1004B">
      <w:pPr>
        <w:pStyle w:val="FootnoteText"/>
      </w:pPr>
      <w:r w:rsidRPr="00FE5EC9">
        <w:rPr>
          <w:rStyle w:val="FootnoteReference"/>
        </w:rPr>
        <w:footnoteRef/>
      </w:r>
      <w:r w:rsidRPr="00FE5EC9">
        <w:t xml:space="preserve"> Leap Wireless, </w:t>
      </w:r>
      <w:r w:rsidRPr="00FE5EC9">
        <w:rPr>
          <w:i/>
        </w:rPr>
        <w:t>Cricket Introduces New Wireless Rate Plans With More Wireless Choices, More Data Options, More Ways to Listen to Muve Music and More Ways to Call Internationally</w:t>
      </w:r>
      <w:r w:rsidRPr="00FE5EC9">
        <w:t xml:space="preserve">, Press Release, Aug. 29, 2012. </w:t>
      </w:r>
      <w:hyperlink r:id="rId189" w:history="1">
        <w:r w:rsidRPr="00FE5EC9">
          <w:rPr>
            <w:rStyle w:val="Hyperlink"/>
          </w:rPr>
          <w:t>http://phx.corporate-ir.net/phoenix.zhtml?c=95536&amp;p=irol-newsArticle&amp;ID=1729505&amp;highlight=</w:t>
        </w:r>
      </w:hyperlink>
      <w:r w:rsidRPr="00FE5EC9">
        <w:t xml:space="preserve">  (visited Oct. 16, 2012</w:t>
      </w:r>
      <w:r>
        <w:t>).</w:t>
      </w:r>
    </w:p>
  </w:footnote>
  <w:footnote w:id="541">
    <w:p w:rsidR="00EC7CF3" w:rsidRDefault="00EC7CF3" w:rsidP="00F1004B">
      <w:pPr>
        <w:pStyle w:val="FootnoteText"/>
      </w:pPr>
      <w:r w:rsidRPr="00FE5EC9">
        <w:rPr>
          <w:rStyle w:val="FootnoteReference"/>
        </w:rPr>
        <w:footnoteRef/>
      </w:r>
      <w:r w:rsidRPr="00FE5EC9">
        <w:t xml:space="preserve"> Philip Goldstein, </w:t>
      </w:r>
      <w:r w:rsidRPr="00FE5EC9">
        <w:rPr>
          <w:i/>
        </w:rPr>
        <w:t>MetroPCS Adds Data Throttling to LTE, Increases Unlimited Data to $70</w:t>
      </w:r>
      <w:r w:rsidRPr="00FE5EC9">
        <w:t xml:space="preserve">, </w:t>
      </w:r>
      <w:r w:rsidRPr="00FE5EC9">
        <w:rPr>
          <w:smallCaps/>
        </w:rPr>
        <w:t>FierceWireless</w:t>
      </w:r>
      <w:r w:rsidRPr="00FE5EC9">
        <w:t xml:space="preserve">, Apr. 3, 2012. </w:t>
      </w:r>
      <w:hyperlink r:id="rId190" w:history="1">
        <w:r w:rsidRPr="00FE5EC9">
          <w:rPr>
            <w:rStyle w:val="Hyperlink"/>
          </w:rPr>
          <w:t>http://www.fiercewireless.com/story/metropcs-adds-data-throttling-lte-increases-unlimited-data-70/2012-04-03</w:t>
        </w:r>
      </w:hyperlink>
      <w:r w:rsidRPr="00FE5EC9">
        <w:t xml:space="preserve"> (visited Oct. 16, 2012); Simon Flannery </w:t>
      </w:r>
      <w:r w:rsidRPr="00FE5EC9">
        <w:rPr>
          <w:i/>
        </w:rPr>
        <w:t>et al</w:t>
      </w:r>
      <w:r w:rsidRPr="00FE5EC9">
        <w:t xml:space="preserve">., </w:t>
      </w:r>
      <w:r w:rsidRPr="00FE5EC9">
        <w:rPr>
          <w:i/>
        </w:rPr>
        <w:t>AlphaWise Survey Points to Ongoing Postpaid Cannibalization by Prepaid</w:t>
      </w:r>
      <w:r w:rsidRPr="00FE5EC9">
        <w:t>, Morgan Stanley, Sept. 23, 2011, at 12.</w:t>
      </w:r>
    </w:p>
  </w:footnote>
  <w:footnote w:id="542">
    <w:p w:rsidR="00EC7CF3" w:rsidRDefault="00EC7CF3" w:rsidP="00F1004B">
      <w:pPr>
        <w:pStyle w:val="FootnoteText"/>
      </w:pPr>
      <w:r w:rsidRPr="00FE5EC9">
        <w:rPr>
          <w:rStyle w:val="FootnoteReference"/>
        </w:rPr>
        <w:footnoteRef/>
      </w:r>
      <w:r w:rsidRPr="00FE5EC9">
        <w:t xml:space="preserve"> MetroPCS, </w:t>
      </w:r>
      <w:r w:rsidRPr="00FE5EC9">
        <w:rPr>
          <w:i/>
        </w:rPr>
        <w:t>Plans and Services</w:t>
      </w:r>
      <w:r w:rsidRPr="00FE5EC9">
        <w:t>, http://www.metropcs.com/metro/category</w:t>
      </w:r>
      <w:r>
        <w:t xml:space="preserve">/4G+LTE/cat270022 (visited Feb </w:t>
      </w:r>
      <w:r w:rsidRPr="00FE5EC9">
        <w:t xml:space="preserve">2, 2012); Philip Goldstein, </w:t>
      </w:r>
      <w:r w:rsidRPr="00FE5EC9">
        <w:rPr>
          <w:i/>
        </w:rPr>
        <w:t>MetroPCS Slashes Base LTE Smartphone Plan by $10, to $40/Month</w:t>
      </w:r>
      <w:r w:rsidRPr="00FE5EC9">
        <w:t xml:space="preserve">, </w:t>
      </w:r>
      <w:r w:rsidRPr="00FE5EC9">
        <w:rPr>
          <w:smallCaps/>
        </w:rPr>
        <w:t>FierceWireless</w:t>
      </w:r>
      <w:r w:rsidRPr="00FE5EC9">
        <w:t xml:space="preserve">, Feb. 2, 2012. </w:t>
      </w:r>
      <w:hyperlink r:id="rId191" w:history="1">
        <w:r w:rsidRPr="00FE5EC9">
          <w:rPr>
            <w:rStyle w:val="Hyperlink"/>
          </w:rPr>
          <w:t>http://www.fiercewireless.com/story/metropcs-slashes-base-lte-smartphone-plan-10-40month/2012-02-02</w:t>
        </w:r>
      </w:hyperlink>
      <w:r w:rsidRPr="00FE5EC9">
        <w:t xml:space="preserve"> (visited Oct. 16, 2012); Philip Goldstein, </w:t>
      </w:r>
      <w:r w:rsidRPr="00FE5EC9">
        <w:rPr>
          <w:i/>
        </w:rPr>
        <w:t>MetroPCS: Our New Plans Comply With FCC’s Net Neutrality Order</w:t>
      </w:r>
      <w:r w:rsidRPr="00FE5EC9">
        <w:t xml:space="preserve">, </w:t>
      </w:r>
      <w:r w:rsidRPr="00FE5EC9">
        <w:rPr>
          <w:smallCaps/>
        </w:rPr>
        <w:t>FierceWireless</w:t>
      </w:r>
      <w:r w:rsidRPr="00FE5EC9">
        <w:t xml:space="preserve">, Jan. 12, 2011. </w:t>
      </w:r>
      <w:hyperlink r:id="rId192" w:history="1">
        <w:r w:rsidRPr="00FE5EC9">
          <w:rPr>
            <w:rStyle w:val="Hyperlink"/>
          </w:rPr>
          <w:t>http://www.fiercewireless.com/story/metropcs-our-new-plans-comply-fccs-net-neutrality-order/2011-01-12</w:t>
        </w:r>
      </w:hyperlink>
      <w:r w:rsidRPr="00FE5EC9">
        <w:t xml:space="preserve"> (visited Oct. 16, 2012)</w:t>
      </w:r>
      <w:r>
        <w:t>.</w:t>
      </w:r>
      <w:r w:rsidRPr="00FE5EC9">
        <w:t xml:space="preserve">  The $50 plan also provides access to some of the features in the provider’s MetroStudio content storefront, but only through a WiFi connection.  </w:t>
      </w:r>
      <w:r w:rsidRPr="00FE5EC9">
        <w:rPr>
          <w:i/>
        </w:rPr>
        <w:t>Id</w:t>
      </w:r>
      <w:r w:rsidRPr="00FE5EC9">
        <w:t>.</w:t>
      </w:r>
    </w:p>
  </w:footnote>
  <w:footnote w:id="543">
    <w:p w:rsidR="00EC7CF3" w:rsidRDefault="00EC7CF3" w:rsidP="00F1004B">
      <w:pPr>
        <w:pStyle w:val="FootnoteText"/>
      </w:pPr>
      <w:r w:rsidRPr="00FE5EC9">
        <w:rPr>
          <w:rStyle w:val="FootnoteReference"/>
        </w:rPr>
        <w:footnoteRef/>
      </w:r>
      <w:r w:rsidRPr="00FE5EC9">
        <w:t xml:space="preserve"> Philip Goldstein, </w:t>
      </w:r>
      <w:r w:rsidRPr="00FE5EC9">
        <w:rPr>
          <w:i/>
        </w:rPr>
        <w:t>MetroPCS Adds Data Throttling to LTE, Increases Unlimited Data to $70</w:t>
      </w:r>
      <w:r w:rsidRPr="00FE5EC9">
        <w:t xml:space="preserve">, </w:t>
      </w:r>
      <w:r w:rsidRPr="00FE5EC9">
        <w:rPr>
          <w:smallCaps/>
        </w:rPr>
        <w:t>FierceWireless</w:t>
      </w:r>
      <w:r w:rsidRPr="00FE5EC9">
        <w:t xml:space="preserve">, Apr. 3, 2012. </w:t>
      </w:r>
      <w:hyperlink r:id="rId193" w:history="1">
        <w:r w:rsidRPr="00FE5EC9">
          <w:rPr>
            <w:rStyle w:val="Hyperlink"/>
          </w:rPr>
          <w:t>http://www.fiercewireless.com/story/metropcs-adds-data-throttling-lte-increases-unlimited-data-70/2012-04-03</w:t>
        </w:r>
      </w:hyperlink>
      <w:r w:rsidRPr="00FE5EC9">
        <w:t xml:space="preserve"> (visited</w:t>
      </w:r>
      <w:r>
        <w:t xml:space="preserve"> Oct. 16, 2012).</w:t>
      </w:r>
    </w:p>
  </w:footnote>
  <w:footnote w:id="544">
    <w:p w:rsidR="00EC7CF3" w:rsidRDefault="00EC7CF3" w:rsidP="00F1004B">
      <w:pPr>
        <w:pStyle w:val="FootnoteText"/>
      </w:pPr>
      <w:r w:rsidRPr="00FE5EC9">
        <w:rPr>
          <w:rStyle w:val="FootnoteReference"/>
        </w:rPr>
        <w:footnoteRef/>
      </w:r>
      <w:r w:rsidRPr="00FE5EC9">
        <w:t xml:space="preserve"> </w:t>
      </w:r>
      <w:r>
        <w:rPr>
          <w:i/>
        </w:rPr>
        <w:t>Id</w:t>
      </w:r>
      <w:r>
        <w:t>.</w:t>
      </w:r>
    </w:p>
  </w:footnote>
  <w:footnote w:id="545">
    <w:p w:rsidR="00EC7CF3" w:rsidRDefault="00EC7CF3" w:rsidP="00F1004B">
      <w:pPr>
        <w:pStyle w:val="FootnoteText"/>
      </w:pPr>
      <w:r w:rsidRPr="00FE5EC9">
        <w:rPr>
          <w:rStyle w:val="FootnoteReference"/>
        </w:rPr>
        <w:footnoteRef/>
      </w:r>
      <w:r>
        <w:t xml:space="preserve"> </w:t>
      </w:r>
      <w:r>
        <w:rPr>
          <w:i/>
        </w:rPr>
        <w:t>Id</w:t>
      </w:r>
      <w:r>
        <w:t>.</w:t>
      </w:r>
    </w:p>
  </w:footnote>
  <w:footnote w:id="546">
    <w:p w:rsidR="00EC7CF3" w:rsidRDefault="00EC7CF3" w:rsidP="00F1004B">
      <w:pPr>
        <w:pStyle w:val="FootnoteText"/>
      </w:pPr>
      <w:r w:rsidRPr="00FE5EC9">
        <w:rPr>
          <w:rStyle w:val="FootnoteReference"/>
        </w:rPr>
        <w:footnoteRef/>
      </w:r>
      <w:r w:rsidRPr="00FE5EC9">
        <w:t xml:space="preserve"> Sue Marek, </w:t>
      </w:r>
      <w:r w:rsidRPr="00FE5EC9">
        <w:rPr>
          <w:i/>
        </w:rPr>
        <w:t>MetroPCS Launches $55 Unlimited LTE Rate Plan</w:t>
      </w:r>
      <w:r w:rsidRPr="00FE5EC9">
        <w:t xml:space="preserve">, </w:t>
      </w:r>
      <w:r w:rsidRPr="00FE5EC9">
        <w:rPr>
          <w:smallCaps/>
        </w:rPr>
        <w:t>FierceWireless</w:t>
      </w:r>
      <w:r w:rsidRPr="00FE5EC9">
        <w:t xml:space="preserve">, Aug. 21, 2012. </w:t>
      </w:r>
      <w:hyperlink r:id="rId194" w:history="1">
        <w:r w:rsidRPr="00FE5EC9">
          <w:rPr>
            <w:rStyle w:val="Hyperlink"/>
          </w:rPr>
          <w:t>http://www.fiercewireless.com/story/metropcs-launches-55-unlimited-lte-rate-plan/2012-08-21</w:t>
        </w:r>
      </w:hyperlink>
      <w:r w:rsidRPr="00FE5EC9">
        <w:t xml:space="preserve"> (visited Oct. 16, 2012)</w:t>
      </w:r>
      <w:r>
        <w:t>.</w:t>
      </w:r>
    </w:p>
  </w:footnote>
  <w:footnote w:id="547">
    <w:p w:rsidR="00EC7CF3" w:rsidRDefault="00EC7CF3" w:rsidP="00F1004B">
      <w:pPr>
        <w:pStyle w:val="FootnoteText"/>
      </w:pPr>
      <w:r w:rsidRPr="00FE5EC9">
        <w:rPr>
          <w:rStyle w:val="FootnoteReference"/>
        </w:rPr>
        <w:footnoteRef/>
      </w:r>
      <w:r w:rsidRPr="00FE5EC9">
        <w:t xml:space="preserve"> </w:t>
      </w:r>
      <w:r w:rsidRPr="00FE5EC9">
        <w:rPr>
          <w:i/>
        </w:rPr>
        <w:t>The Haves and the Have-Nots Diverge</w:t>
      </w:r>
      <w:r w:rsidRPr="00FE5EC9">
        <w:t xml:space="preserve">, at 9; </w:t>
      </w:r>
      <w:r w:rsidRPr="00FE5EC9">
        <w:rPr>
          <w:i/>
        </w:rPr>
        <w:t>Slumdog Millionaires</w:t>
      </w:r>
      <w:r w:rsidRPr="00FE5EC9">
        <w:t xml:space="preserve">, at 1; Roger Cheng, </w:t>
      </w:r>
      <w:r w:rsidRPr="00FE5EC9">
        <w:rPr>
          <w:i/>
        </w:rPr>
        <w:t>TracFone’s Prepaid Niche</w:t>
      </w:r>
      <w:r w:rsidRPr="00FE5EC9">
        <w:t xml:space="preserve">, </w:t>
      </w:r>
      <w:r w:rsidRPr="00FE5EC9">
        <w:rPr>
          <w:smallCaps/>
        </w:rPr>
        <w:t>Wall Street Journal</w:t>
      </w:r>
      <w:r>
        <w:t xml:space="preserve">, Mar. 4, 2009 </w:t>
      </w:r>
      <w:r w:rsidRPr="00374A8A">
        <w:rPr>
          <w:i/>
        </w:rPr>
        <w:t>available at</w:t>
      </w:r>
      <w:r>
        <w:t xml:space="preserve"> </w:t>
      </w:r>
      <w:r w:rsidRPr="00FE5EC9">
        <w:t xml:space="preserve"> </w:t>
      </w:r>
      <w:hyperlink r:id="rId195" w:history="1">
        <w:r w:rsidRPr="00FE5EC9">
          <w:rPr>
            <w:rStyle w:val="Hyperlink"/>
          </w:rPr>
          <w:t>http://online.wsj.com/article/0,,SB123614292392926907,00.html</w:t>
        </w:r>
      </w:hyperlink>
      <w:r w:rsidRPr="00FE5EC9">
        <w:t xml:space="preserve"> (visited Oct. 16, 2012)</w:t>
      </w:r>
      <w:r>
        <w:t>.</w:t>
      </w:r>
    </w:p>
  </w:footnote>
  <w:footnote w:id="548">
    <w:p w:rsidR="00EC7CF3" w:rsidRDefault="00EC7CF3" w:rsidP="00F1004B">
      <w:pPr>
        <w:pStyle w:val="FootnoteText"/>
      </w:pPr>
      <w:r w:rsidRPr="00FE5EC9">
        <w:rPr>
          <w:rStyle w:val="FootnoteReference"/>
        </w:rPr>
        <w:footnoteRef/>
      </w:r>
      <w:r w:rsidRPr="00FE5EC9">
        <w:t xml:space="preserve"> </w:t>
      </w:r>
      <w:r w:rsidRPr="00DD7412">
        <w:rPr>
          <w:i/>
        </w:rPr>
        <w:t>See</w:t>
      </w:r>
      <w:r w:rsidRPr="00FE5EC9">
        <w:t xml:space="preserve"> Section </w:t>
      </w:r>
      <w:r w:rsidR="00951E9B">
        <w:fldChar w:fldCharType="begin"/>
      </w:r>
      <w:r w:rsidR="00951E9B">
        <w:instrText xml:space="preserve"> REF _Ref336867424 \w  \* MERGEFORMAT </w:instrText>
      </w:r>
      <w:r w:rsidR="00951E9B">
        <w:fldChar w:fldCharType="separate"/>
      </w:r>
      <w:r>
        <w:t>V.F</w:t>
      </w:r>
      <w:r w:rsidR="00951E9B">
        <w:fldChar w:fldCharType="end"/>
      </w:r>
      <w:r>
        <w:t>,</w:t>
      </w:r>
      <w:r w:rsidRPr="00374A8A">
        <w:t xml:space="preserve"> Revenue and ARPU</w:t>
      </w:r>
      <w:r>
        <w:t xml:space="preserve">, </w:t>
      </w:r>
      <w:r w:rsidRPr="00DD7412">
        <w:rPr>
          <w:i/>
        </w:rPr>
        <w:t>infra</w:t>
      </w:r>
      <w:r>
        <w:t>;</w:t>
      </w:r>
      <w:r w:rsidRPr="00374A8A">
        <w:t xml:space="preserve"> Footnote </w:t>
      </w:r>
      <w:r w:rsidR="00951E9B">
        <w:fldChar w:fldCharType="begin"/>
      </w:r>
      <w:r w:rsidR="00951E9B">
        <w:instrText xml:space="preserve"> NOTEREF _Ref336615726  \* MERGEFORMAT </w:instrText>
      </w:r>
      <w:r w:rsidR="00951E9B">
        <w:fldChar w:fldCharType="separate"/>
      </w:r>
      <w:r>
        <w:t>845</w:t>
      </w:r>
      <w:r w:rsidR="00951E9B">
        <w:fldChar w:fldCharType="end"/>
      </w:r>
      <w:r w:rsidRPr="00374A8A">
        <w:t>.</w:t>
      </w:r>
    </w:p>
  </w:footnote>
  <w:footnote w:id="549">
    <w:p w:rsidR="00EC7CF3" w:rsidRDefault="00EC7CF3" w:rsidP="00F1004B">
      <w:pPr>
        <w:pStyle w:val="FootnoteText"/>
      </w:pPr>
      <w:r w:rsidRPr="00FE5EC9">
        <w:rPr>
          <w:rStyle w:val="FootnoteReference"/>
        </w:rPr>
        <w:footnoteRef/>
      </w:r>
      <w:r w:rsidRPr="00FE5EC9">
        <w:t xml:space="preserve"> </w:t>
      </w:r>
      <w:r w:rsidRPr="00FE5EC9">
        <w:rPr>
          <w:i/>
        </w:rPr>
        <w:t>Slumdog Millionaires</w:t>
      </w:r>
      <w:r w:rsidRPr="00FE5EC9">
        <w:t>, at 24.</w:t>
      </w:r>
    </w:p>
  </w:footnote>
  <w:footnote w:id="550">
    <w:p w:rsidR="00EC7CF3" w:rsidRDefault="00EC7CF3" w:rsidP="00F1004B">
      <w:pPr>
        <w:pStyle w:val="FootnoteText"/>
      </w:pPr>
      <w:r w:rsidRPr="00FE5EC9">
        <w:rPr>
          <w:rStyle w:val="FootnoteReference"/>
        </w:rPr>
        <w:footnoteRef/>
      </w:r>
      <w:r>
        <w:t xml:space="preserve"> </w:t>
      </w:r>
      <w:r w:rsidRPr="00FE5EC9">
        <w:t xml:space="preserve">Roger Cheng, </w:t>
      </w:r>
      <w:r w:rsidRPr="00FE5EC9">
        <w:rPr>
          <w:i/>
        </w:rPr>
        <w:t>TracFone’s Prepaid Niche</w:t>
      </w:r>
      <w:r w:rsidRPr="00FE5EC9">
        <w:t xml:space="preserve">, </w:t>
      </w:r>
      <w:r w:rsidRPr="00FE5EC9">
        <w:rPr>
          <w:smallCaps/>
        </w:rPr>
        <w:t>Wall Street Journal</w:t>
      </w:r>
      <w:r>
        <w:t>, Mar. 4, 2009</w:t>
      </w:r>
      <w:r w:rsidRPr="00FE5EC9">
        <w:t xml:space="preserve">. </w:t>
      </w:r>
      <w:hyperlink r:id="rId196" w:history="1">
        <w:r w:rsidRPr="00FE5EC9">
          <w:rPr>
            <w:rStyle w:val="Hyperlink"/>
          </w:rPr>
          <w:t>http://online.wsj.com/article/0,,SB123614292392926907,00.html</w:t>
        </w:r>
      </w:hyperlink>
      <w:r w:rsidRPr="00FE5EC9">
        <w:t xml:space="preserve"> (visited Oct. 16, 2012)</w:t>
      </w:r>
      <w:r>
        <w:t>.</w:t>
      </w:r>
    </w:p>
  </w:footnote>
  <w:footnote w:id="551">
    <w:p w:rsidR="00EC7CF3" w:rsidRDefault="00EC7CF3" w:rsidP="00F1004B">
      <w:pPr>
        <w:pStyle w:val="FootnoteText"/>
      </w:pPr>
      <w:r w:rsidRPr="00FE5EC9">
        <w:rPr>
          <w:rStyle w:val="FootnoteReference"/>
        </w:rPr>
        <w:footnoteRef/>
      </w:r>
      <w:r w:rsidRPr="00FE5EC9">
        <w:t xml:space="preserve"> The Safelink offering for eligible low-income consumers includes a free phone, which is not supported by the Universal Service Fund, and approximately 250 minutes of free monthly wireless service.  </w:t>
      </w:r>
      <w:r w:rsidRPr="00FE5EC9">
        <w:rPr>
          <w:i/>
        </w:rPr>
        <w:t xml:space="preserve">See </w:t>
      </w:r>
      <w:r w:rsidRPr="00FE5EC9">
        <w:t xml:space="preserve">Section III.B.2 </w:t>
      </w:r>
      <w:r w:rsidRPr="00FE5EC9">
        <w:rPr>
          <w:i/>
        </w:rPr>
        <w:t>supra</w:t>
      </w:r>
      <w:r w:rsidRPr="00FE5EC9">
        <w:t xml:space="preserve"> for a complementary discussion of TracFone.</w:t>
      </w:r>
    </w:p>
  </w:footnote>
  <w:footnote w:id="552">
    <w:p w:rsidR="00EC7CF3" w:rsidRDefault="00EC7CF3" w:rsidP="00F1004B">
      <w:pPr>
        <w:pStyle w:val="FootnoteText"/>
      </w:pPr>
      <w:r w:rsidRPr="00FE5EC9">
        <w:rPr>
          <w:rStyle w:val="FootnoteReference"/>
        </w:rPr>
        <w:footnoteRef/>
      </w:r>
      <w:r w:rsidRPr="00FE5EC9">
        <w:t xml:space="preserve"> </w:t>
      </w:r>
      <w:r w:rsidRPr="00FE5EC9">
        <w:rPr>
          <w:i/>
        </w:rPr>
        <w:t>T-Mobile Adds New Plans to Monthly Lineup</w:t>
      </w:r>
      <w:r w:rsidRPr="00FE5EC9">
        <w:t xml:space="preserve">, Press Release, T-Mobile, Oct. 17, 2011. </w:t>
      </w:r>
      <w:hyperlink r:id="rId197" w:history="1">
        <w:r w:rsidRPr="00FE5EC9">
          <w:rPr>
            <w:rStyle w:val="Hyperlink"/>
          </w:rPr>
          <w:t>http://newsroom.t-mobile.com/articles/t-mobile-adds-new-monthly4g-plans</w:t>
        </w:r>
      </w:hyperlink>
      <w:r>
        <w:t xml:space="preserve"> (visited Oct.</w:t>
      </w:r>
      <w:r w:rsidRPr="00FE5EC9">
        <w:t xml:space="preserve">16, 2012); Philip Goldstein, </w:t>
      </w:r>
      <w:r w:rsidRPr="00FE5EC9">
        <w:rPr>
          <w:i/>
        </w:rPr>
        <w:t>T-Mobile Launches New Monthly and Pay-by-the-Day Plans</w:t>
      </w:r>
      <w:r w:rsidRPr="00FE5EC9">
        <w:t xml:space="preserve">, </w:t>
      </w:r>
      <w:r w:rsidRPr="00FE5EC9">
        <w:rPr>
          <w:smallCaps/>
        </w:rPr>
        <w:t>FierceWireless</w:t>
      </w:r>
      <w:r w:rsidRPr="00FE5EC9">
        <w:t xml:space="preserve">, Oct. 18, 2011. </w:t>
      </w:r>
      <w:hyperlink r:id="rId198" w:history="1">
        <w:r w:rsidRPr="00FE5EC9">
          <w:rPr>
            <w:rStyle w:val="Hyperlink"/>
          </w:rPr>
          <w:t>http://www.fiercewireless.com/story/t-mobile-launches-new-monthly-and-pay-day-plans/2011-10-18</w:t>
        </w:r>
      </w:hyperlink>
      <w:r w:rsidRPr="00FE5EC9">
        <w:t xml:space="preserve"> (visited Oct. 16, 2012); T-Mobile, </w:t>
      </w:r>
      <w:r w:rsidRPr="00FE5EC9">
        <w:rPr>
          <w:i/>
        </w:rPr>
        <w:t>No Annual Contract Plans</w:t>
      </w:r>
      <w:r w:rsidRPr="00FE5EC9">
        <w:t>, http://prepaid-phones.t-mobile.com/prepaid-plans (visited Oct. 31, 2011).</w:t>
      </w:r>
    </w:p>
  </w:footnote>
  <w:footnote w:id="553">
    <w:p w:rsidR="00EC7CF3" w:rsidRDefault="00EC7CF3" w:rsidP="00037EBA">
      <w:pPr>
        <w:pStyle w:val="FootnoteText"/>
      </w:pPr>
      <w:r w:rsidRPr="00D40600">
        <w:rPr>
          <w:rStyle w:val="FootnoteReference"/>
          <w:sz w:val="20"/>
        </w:rPr>
        <w:footnoteRef/>
      </w:r>
      <w:r w:rsidRPr="00D40600">
        <w:t xml:space="preserve"> Philip Goldstein, </w:t>
      </w:r>
      <w:r w:rsidRPr="00D40600">
        <w:rPr>
          <w:i/>
        </w:rPr>
        <w:t>T-Mobile Launches New Monthly and Pay-by-the-Day Plans</w:t>
      </w:r>
      <w:r w:rsidRPr="00D40600">
        <w:t xml:space="preserve">, </w:t>
      </w:r>
      <w:r w:rsidRPr="00D40600">
        <w:rPr>
          <w:smallCaps/>
        </w:rPr>
        <w:t>FierceWireless</w:t>
      </w:r>
      <w:r w:rsidRPr="00D40600">
        <w:t xml:space="preserve">, Oct. 18, 2011. </w:t>
      </w:r>
      <w:hyperlink r:id="rId199" w:history="1">
        <w:r w:rsidRPr="00D40600">
          <w:rPr>
            <w:rStyle w:val="Hyperlink"/>
          </w:rPr>
          <w:t>http://www.fiercewireless.com/story/t-mobile-launches-new-monthly-and-pay-day-plans/2011-10-18</w:t>
        </w:r>
      </w:hyperlink>
      <w:r w:rsidRPr="00D40600">
        <w:t xml:space="preserve"> (visited Oct. 16, 2012)</w:t>
      </w:r>
      <w:r>
        <w:t>.</w:t>
      </w:r>
    </w:p>
  </w:footnote>
  <w:footnote w:id="554">
    <w:p w:rsidR="00EC7CF3" w:rsidRDefault="00EC7CF3" w:rsidP="00F1004B">
      <w:pPr>
        <w:pStyle w:val="FootnoteText"/>
      </w:pPr>
      <w:r w:rsidRPr="00FE5EC9">
        <w:rPr>
          <w:rStyle w:val="FootnoteReference"/>
        </w:rPr>
        <w:footnoteRef/>
      </w:r>
      <w:r w:rsidRPr="00FE5EC9">
        <w:t xml:space="preserve"> T-Mobile, </w:t>
      </w:r>
      <w:r w:rsidRPr="00FE5EC9">
        <w:rPr>
          <w:i/>
        </w:rPr>
        <w:t>Terms and Conditions</w:t>
      </w:r>
      <w:r w:rsidRPr="00FE5EC9">
        <w:t xml:space="preserve">, available at </w:t>
      </w:r>
      <w:hyperlink r:id="rId200" w:history="1">
        <w:r w:rsidRPr="00FE5EC9">
          <w:rPr>
            <w:rStyle w:val="Hyperlink"/>
          </w:rPr>
          <w:t>www.tmobile.com</w:t>
        </w:r>
      </w:hyperlink>
      <w:r w:rsidRPr="00FE5EC9">
        <w:t xml:space="preserve"> (visited Aug. 14, 2012).</w:t>
      </w:r>
    </w:p>
  </w:footnote>
  <w:footnote w:id="555">
    <w:p w:rsidR="00EC7CF3" w:rsidRDefault="00EC7CF3" w:rsidP="00F1004B">
      <w:pPr>
        <w:pStyle w:val="FootnoteText"/>
      </w:pPr>
      <w:r w:rsidRPr="00FE5EC9">
        <w:rPr>
          <w:rStyle w:val="FootnoteReference"/>
        </w:rPr>
        <w:footnoteRef/>
      </w:r>
      <w:r w:rsidRPr="00FE5EC9">
        <w:t xml:space="preserve"> We note that ETFs are not necessarily confined to the handset subsidy model.  For example, T-Mobile’s Value plans offer a lower monthly service rate to customers who pay full price for their handsets up front, but customers who take advantage of these Value plans are required to sign a two-year agreement with an early cancellati</w:t>
      </w:r>
      <w:r>
        <w:t xml:space="preserve">on fee of up to $200 per line.  </w:t>
      </w:r>
      <w:r w:rsidRPr="00FE5EC9">
        <w:t xml:space="preserve">T-Mobile, </w:t>
      </w:r>
      <w:r w:rsidRPr="00FE5EC9">
        <w:rPr>
          <w:i/>
          <w:iCs/>
        </w:rPr>
        <w:t>Value Plans</w:t>
      </w:r>
      <w:r w:rsidRPr="00FE5EC9">
        <w:t xml:space="preserve">, </w:t>
      </w:r>
      <w:hyperlink r:id="rId201" w:tooltip="http://www.t-mobile.com/shop/Packages/ValuePackages.aspx" w:history="1">
        <w:r w:rsidRPr="00FE5EC9">
          <w:rPr>
            <w:rStyle w:val="Hyperlink"/>
          </w:rPr>
          <w:t>http://www.t-mobile.com/shop/Packages/ValuePackages.aspx</w:t>
        </w:r>
      </w:hyperlink>
      <w:r w:rsidRPr="00FE5EC9">
        <w:t xml:space="preserve"> (visited Oct. 22, 2012).</w:t>
      </w:r>
    </w:p>
  </w:footnote>
  <w:footnote w:id="556">
    <w:p w:rsidR="00EC7CF3" w:rsidRDefault="00EC7CF3" w:rsidP="00F1004B">
      <w:pPr>
        <w:pStyle w:val="FootnoteText"/>
      </w:pPr>
      <w:r w:rsidRPr="00FE5EC9">
        <w:rPr>
          <w:rStyle w:val="FootnoteReference"/>
        </w:rPr>
        <w:footnoteRef/>
      </w:r>
      <w:r w:rsidRPr="00FE5EC9">
        <w:t xml:space="preserve"> Letter from Kathleen Grillo, Senior Vice President, Federal Regulatory Affairs, Verizon, to Joel Gurin, Chief, Consumer and Government Affairs Bureau, and Ruth Milkman, Chief, Wireless Telecommunications Bureau, FCC, CG Docket No. 09-158 (Feb. 23, 2010); Letter from Robert W. Quinn, Jr., Esq., Senior Vice President-Federal Regulatory, AT&amp;T Services, Inc., dated Feb. 23, 2010 in CG Docket No. 09-158 to Joel Gurin, Chief, Consumer and Government Affairs Bureau, and Ruth Milkman, Chief, Wireless Telecommunications Bureau, FCC; Letter from Thomas J. Sugrue, Vice President, Government Affairs, T-Mobile, dated Feb. 23, 2010 in CG Docket No. 09-158 to Joel Gurin, Chief, Consumer and Government Affairs Bureau, and Ruth Milkman, Chief, Wireless Telecommunications Bureau, FCC; Letter from Vonya B. McCann, Esq., Senior Vice President, Government Affairs, Sprint Nextel Corporation, dated Feb. 23, 2010 in CG Docket No. 09-158 to Joel Gurin, Chief, Consumer and Government Affairs Bureau, and Ruth Milkman, Chief, Wireless Telecommunications Bureau, FCC; and Letter from Richard S. Whitt, Esq., Washington Telecom and Media Counsel, Google, Inc., dated Feb. 23, 2010 in CG Docket No. 09-158 to Joel Gurin, Chief, Consumer and Government Affairs Bureau, and Ruth Milkman, Chief, Wireless Telecommunications Bureau, FCC. </w:t>
      </w:r>
    </w:p>
  </w:footnote>
  <w:footnote w:id="557">
    <w:p w:rsidR="00EC7CF3" w:rsidRDefault="00EC7CF3" w:rsidP="00F1004B">
      <w:pPr>
        <w:pStyle w:val="FootnoteText"/>
      </w:pPr>
      <w:r w:rsidRPr="00FE5EC9">
        <w:rPr>
          <w:rStyle w:val="FootnoteReference"/>
        </w:rPr>
        <w:footnoteRef/>
      </w:r>
      <w:r w:rsidRPr="00FE5EC9">
        <w:t xml:space="preserve"> AT&amp;T, </w:t>
      </w:r>
      <w:r w:rsidRPr="00FE5EC9">
        <w:rPr>
          <w:i/>
        </w:rPr>
        <w:t>Early Termination Fees</w:t>
      </w:r>
      <w:r w:rsidRPr="00FE5EC9">
        <w:t xml:space="preserve">, available at </w:t>
      </w:r>
      <w:hyperlink r:id="rId202" w:history="1">
        <w:r w:rsidRPr="00FE5EC9">
          <w:rPr>
            <w:rStyle w:val="Hyperlink"/>
          </w:rPr>
          <w:t>http://www.wireless.att.com/learn/articles-resources/early-term-fees.jsp</w:t>
        </w:r>
      </w:hyperlink>
      <w:r w:rsidRPr="00FE5EC9">
        <w:t xml:space="preserve"> (visited Aug. 14, 2012)</w:t>
      </w:r>
      <w:r>
        <w:t>.</w:t>
      </w:r>
    </w:p>
  </w:footnote>
  <w:footnote w:id="558">
    <w:p w:rsidR="00EC7CF3" w:rsidRDefault="00EC7CF3" w:rsidP="00F1004B">
      <w:pPr>
        <w:pStyle w:val="FootnoteText"/>
      </w:pPr>
      <w:r w:rsidRPr="00FE5EC9">
        <w:rPr>
          <w:rStyle w:val="FootnoteReference"/>
        </w:rPr>
        <w:footnoteRef/>
      </w:r>
      <w:r w:rsidRPr="00FE5EC9">
        <w:t xml:space="preserve"> Verizon Wireless, </w:t>
      </w:r>
      <w:r w:rsidRPr="00FE5EC9">
        <w:rPr>
          <w:i/>
        </w:rPr>
        <w:t>Customer Agreement and Important Information</w:t>
      </w:r>
      <w:r w:rsidRPr="00FE5EC9">
        <w:t xml:space="preserve">, available at </w:t>
      </w:r>
      <w:hyperlink r:id="rId203" w:history="1">
        <w:r w:rsidRPr="00FE5EC9">
          <w:rPr>
            <w:rStyle w:val="Hyperlink"/>
          </w:rPr>
          <w:t>http://youreguide.vzw.com/legal-customer-agreement/</w:t>
        </w:r>
      </w:hyperlink>
      <w:r w:rsidRPr="00FE5EC9">
        <w:t xml:space="preserve"> (visited Aug. 14, 2012).</w:t>
      </w:r>
    </w:p>
  </w:footnote>
  <w:footnote w:id="559">
    <w:p w:rsidR="00EC7CF3" w:rsidRDefault="00EC7CF3" w:rsidP="00F1004B">
      <w:pPr>
        <w:pStyle w:val="FootnoteText"/>
      </w:pPr>
      <w:r w:rsidRPr="00FE5EC9">
        <w:rPr>
          <w:rStyle w:val="FootnoteReference"/>
        </w:rPr>
        <w:footnoteRef/>
      </w:r>
      <w:r w:rsidRPr="00FE5EC9">
        <w:t xml:space="preserve"> Sprint, </w:t>
      </w:r>
      <w:r w:rsidRPr="00FE5EC9">
        <w:rPr>
          <w:i/>
        </w:rPr>
        <w:t>Learn About Early Termination Fee</w:t>
      </w:r>
      <w:r w:rsidRPr="00FE5EC9">
        <w:t xml:space="preserve">, </w:t>
      </w:r>
      <w:r w:rsidRPr="00DD7412">
        <w:rPr>
          <w:i/>
        </w:rPr>
        <w:t xml:space="preserve">available at </w:t>
      </w:r>
      <w:hyperlink r:id="rId204" w:history="1">
        <w:r w:rsidRPr="00FE5EC9">
          <w:rPr>
            <w:rStyle w:val="Hyperlink"/>
          </w:rPr>
          <w:t>http://support.sprint.com/support/article/Learn_about_early_termination_fee/case-sp061027-20110823-171256</w:t>
        </w:r>
      </w:hyperlink>
      <w:r w:rsidRPr="00FE5EC9">
        <w:t xml:space="preserve"> (visited Aug. 14, 2012)</w:t>
      </w:r>
      <w:r>
        <w:t>.</w:t>
      </w:r>
    </w:p>
  </w:footnote>
  <w:footnote w:id="560">
    <w:p w:rsidR="00EC7CF3" w:rsidRDefault="00EC7CF3" w:rsidP="00F1004B">
      <w:pPr>
        <w:pStyle w:val="FootnoteText"/>
      </w:pPr>
      <w:r w:rsidRPr="00FE5EC9">
        <w:rPr>
          <w:rStyle w:val="FootnoteReference"/>
        </w:rPr>
        <w:footnoteRef/>
      </w:r>
      <w:r w:rsidRPr="00FE5EC9">
        <w:t xml:space="preserve"> T-Mobile, </w:t>
      </w:r>
      <w:r w:rsidRPr="00FE5EC9">
        <w:rPr>
          <w:i/>
        </w:rPr>
        <w:t>T-Mobile Terms and Conditions</w:t>
      </w:r>
      <w:r w:rsidRPr="00FE5EC9">
        <w:t xml:space="preserve">, </w:t>
      </w:r>
      <w:r w:rsidRPr="00DD7412">
        <w:rPr>
          <w:i/>
        </w:rPr>
        <w:t>available at</w:t>
      </w:r>
      <w:r w:rsidRPr="00FE5EC9">
        <w:t xml:space="preserve"> </w:t>
      </w:r>
      <w:hyperlink r:id="rId205" w:history="1">
        <w:r w:rsidRPr="00FE5EC9">
          <w:rPr>
            <w:rStyle w:val="Hyperlink"/>
          </w:rPr>
          <w:t>http://www.t-mobile.com/Templates/Popup.aspx?PAsset=Ftr_Ftr_TermsAndConditions&amp;print=true</w:t>
        </w:r>
      </w:hyperlink>
      <w:r w:rsidRPr="00FE5EC9">
        <w:t xml:space="preserve"> (visited Aug. 14, 2012)</w:t>
      </w:r>
      <w:r>
        <w:t>.</w:t>
      </w:r>
    </w:p>
  </w:footnote>
  <w:footnote w:id="561">
    <w:p w:rsidR="00EC7CF3" w:rsidRDefault="00EC7CF3" w:rsidP="00F1004B">
      <w:pPr>
        <w:pStyle w:val="FootnoteText"/>
      </w:pPr>
      <w:r w:rsidRPr="00FE5EC9">
        <w:rPr>
          <w:rStyle w:val="FootnoteReference"/>
        </w:rPr>
        <w:footnoteRef/>
      </w:r>
      <w:r w:rsidRPr="00FE5EC9">
        <w:t xml:space="preserve"> </w:t>
      </w:r>
      <w:r w:rsidRPr="00FE5EC9">
        <w:rPr>
          <w:i/>
        </w:rPr>
        <w:t>See</w:t>
      </w:r>
      <w:r w:rsidRPr="00FE5EC9">
        <w:t xml:space="preserve"> Section IV.A.2, Prepaid Service, </w:t>
      </w:r>
      <w:r w:rsidRPr="00FE5EC9">
        <w:rPr>
          <w:i/>
        </w:rPr>
        <w:t>supra</w:t>
      </w:r>
      <w:r w:rsidRPr="00FE5EC9">
        <w:t>.</w:t>
      </w:r>
    </w:p>
  </w:footnote>
  <w:footnote w:id="562">
    <w:p w:rsidR="00EC7CF3" w:rsidRDefault="00EC7CF3" w:rsidP="00F1004B">
      <w:pPr>
        <w:pStyle w:val="FootnoteText"/>
      </w:pPr>
      <w:r w:rsidRPr="00FE5EC9">
        <w:rPr>
          <w:rStyle w:val="FootnoteReference"/>
        </w:rPr>
        <w:footnoteRef/>
      </w:r>
      <w:r w:rsidRPr="00FE5EC9">
        <w:t xml:space="preserve"> AT&amp;T, </w:t>
      </w:r>
      <w:r w:rsidRPr="00FE5EC9">
        <w:rPr>
          <w:i/>
        </w:rPr>
        <w:t>AT&amp;T Returns Policy and Early Termination Fee</w:t>
      </w:r>
      <w:r w:rsidRPr="00FE5EC9">
        <w:t xml:space="preserve">, available at </w:t>
      </w:r>
      <w:hyperlink r:id="rId206" w:anchor="fbid=y3KQeyUTqdO?tab2" w:history="1">
        <w:r w:rsidRPr="00FE5EC9">
          <w:rPr>
            <w:rStyle w:val="Hyperlink"/>
          </w:rPr>
          <w:t>http://www.att.com/shop/wireless/returnpolicy.html?#fbid=y3KQeyUTqdO?tab2</w:t>
        </w:r>
      </w:hyperlink>
      <w:r w:rsidRPr="00FE5EC9">
        <w:t xml:space="preserve"> (visited Aug. 14, 2012).  All nationwide providers may charge a handset restocking fee if the device is returned.</w:t>
      </w:r>
    </w:p>
  </w:footnote>
  <w:footnote w:id="563">
    <w:p w:rsidR="00EC7CF3" w:rsidRDefault="00EC7CF3" w:rsidP="00F1004B">
      <w:pPr>
        <w:pStyle w:val="FootnoteText"/>
      </w:pPr>
      <w:r w:rsidRPr="00FE5EC9">
        <w:rPr>
          <w:rStyle w:val="FootnoteReference"/>
        </w:rPr>
        <w:footnoteRef/>
      </w:r>
      <w:r w:rsidRPr="00FE5EC9">
        <w:t xml:space="preserve"> T-Mobile, </w:t>
      </w:r>
      <w:r w:rsidRPr="00FE5EC9">
        <w:rPr>
          <w:i/>
        </w:rPr>
        <w:t>T-Mobile Terms and Conditions</w:t>
      </w:r>
      <w:r w:rsidRPr="00FE5EC9">
        <w:t xml:space="preserve">, available at </w:t>
      </w:r>
      <w:hyperlink r:id="rId207" w:history="1">
        <w:r w:rsidRPr="00FE5EC9">
          <w:rPr>
            <w:rStyle w:val="Hyperlink"/>
          </w:rPr>
          <w:t>http://www.t-mobile.com/Templates/Popup.aspx?PAsset=Ftr_Ftr_TermsAndConditions&amp;print=true</w:t>
        </w:r>
      </w:hyperlink>
      <w:r w:rsidRPr="00FE5EC9">
        <w:t xml:space="preserve"> (visited Aug. 14, 2012)</w:t>
      </w:r>
      <w:r>
        <w:t>.</w:t>
      </w:r>
      <w:r w:rsidRPr="00FE5EC9">
        <w:t xml:space="preserve">  Sprint, </w:t>
      </w:r>
      <w:r w:rsidRPr="00FE5EC9">
        <w:rPr>
          <w:i/>
        </w:rPr>
        <w:t>Sprint Return and Exchange Policy</w:t>
      </w:r>
      <w:r w:rsidRPr="00FE5EC9">
        <w:t xml:space="preserve">, available at </w:t>
      </w:r>
      <w:hyperlink r:id="rId208" w:history="1">
        <w:r w:rsidRPr="00FE5EC9">
          <w:rPr>
            <w:rStyle w:val="Hyperlink"/>
          </w:rPr>
          <w:t>http://www.sprint.com/landings/returns/</w:t>
        </w:r>
      </w:hyperlink>
      <w:r w:rsidRPr="00FE5EC9">
        <w:t xml:space="preserve"> (visited Aug. 14, 2012).  Verizon Wireless, </w:t>
      </w:r>
      <w:r w:rsidRPr="00FE5EC9">
        <w:rPr>
          <w:i/>
        </w:rPr>
        <w:t>Customer Agreement and Important Information</w:t>
      </w:r>
      <w:r w:rsidRPr="00FE5EC9">
        <w:t xml:space="preserve">, available at </w:t>
      </w:r>
      <w:hyperlink r:id="rId209" w:history="1">
        <w:r w:rsidRPr="00FE5EC9">
          <w:rPr>
            <w:rStyle w:val="Hyperlink"/>
          </w:rPr>
          <w:t>http://youreguide.vzw.com/legal-customer-agreement/</w:t>
        </w:r>
      </w:hyperlink>
      <w:r w:rsidRPr="00FE5EC9">
        <w:t xml:space="preserve"> (visited Aug. 14, 2012).  All nationwide providers may charge a handset restocking fee if the device is returned.</w:t>
      </w:r>
    </w:p>
  </w:footnote>
  <w:footnote w:id="564">
    <w:p w:rsidR="00EC7CF3" w:rsidRDefault="00EC7CF3" w:rsidP="00F1004B">
      <w:pPr>
        <w:pStyle w:val="FootnoteText"/>
      </w:pPr>
      <w:r w:rsidRPr="00FE5EC9">
        <w:rPr>
          <w:rStyle w:val="FootnoteReference"/>
        </w:rPr>
        <w:footnoteRef/>
      </w:r>
      <w:r w:rsidRPr="00FE5EC9">
        <w:t xml:space="preserve"> Examples include </w:t>
      </w:r>
      <w:hyperlink r:id="rId210" w:history="1">
        <w:r w:rsidRPr="00FE5EC9">
          <w:rPr>
            <w:rStyle w:val="Hyperlink"/>
          </w:rPr>
          <w:t>www.trademycellular.com</w:t>
        </w:r>
      </w:hyperlink>
      <w:r w:rsidRPr="00FE5EC9">
        <w:t xml:space="preserve"> and </w:t>
      </w:r>
      <w:hyperlink r:id="rId211" w:history="1">
        <w:r w:rsidRPr="00FE5EC9">
          <w:rPr>
            <w:rStyle w:val="Hyperlink"/>
          </w:rPr>
          <w:t>www.celltradeusa.com</w:t>
        </w:r>
      </w:hyperlink>
      <w:r w:rsidRPr="00FE5EC9">
        <w:t>, (visited Aug. 14, 2012).</w:t>
      </w:r>
    </w:p>
  </w:footnote>
  <w:footnote w:id="565">
    <w:p w:rsidR="00EC7CF3" w:rsidRDefault="00EC7CF3" w:rsidP="00F1004B">
      <w:pPr>
        <w:pStyle w:val="FootnoteText"/>
      </w:pPr>
      <w:r w:rsidRPr="00FE5EC9">
        <w:rPr>
          <w:rStyle w:val="FootnoteReference"/>
        </w:rPr>
        <w:footnoteRef/>
      </w:r>
      <w:r w:rsidRPr="00FE5EC9">
        <w:t xml:space="preserve"> </w:t>
      </w:r>
      <w:r w:rsidRPr="00FE5EC9">
        <w:rPr>
          <w:i/>
        </w:rPr>
        <w:t>See Breaking Free of a Cellular Contract.</w:t>
      </w:r>
    </w:p>
  </w:footnote>
  <w:footnote w:id="566">
    <w:p w:rsidR="00EC7CF3" w:rsidRDefault="00EC7CF3" w:rsidP="00F1004B">
      <w:pPr>
        <w:pStyle w:val="FootnoteText"/>
      </w:pPr>
      <w:r w:rsidRPr="00FE5EC9">
        <w:rPr>
          <w:rStyle w:val="FootnoteReference"/>
        </w:rPr>
        <w:footnoteRef/>
      </w:r>
      <w:r w:rsidRPr="00FE5EC9">
        <w:t xml:space="preserve"> Philip Cusick </w:t>
      </w:r>
      <w:r w:rsidRPr="00FE5EC9">
        <w:rPr>
          <w:i/>
          <w:iCs/>
        </w:rPr>
        <w:t>et al</w:t>
      </w:r>
      <w:r w:rsidRPr="00FE5EC9">
        <w:t xml:space="preserve">, </w:t>
      </w:r>
      <w:r w:rsidRPr="00FE5EC9">
        <w:rPr>
          <w:i/>
          <w:iCs/>
        </w:rPr>
        <w:t>Secondary Markets for iPhones and Other High-End Smartphones Mitigate Carrier Upgrade Policies, ETFs</w:t>
      </w:r>
      <w:r w:rsidRPr="00FE5EC9">
        <w:t>, J.P. Morgan, Equity Research, Sept. 14, 2012.</w:t>
      </w:r>
    </w:p>
  </w:footnote>
  <w:footnote w:id="567">
    <w:p w:rsidR="00EC7CF3" w:rsidRDefault="00EC7CF3" w:rsidP="00F1004B">
      <w:pPr>
        <w:pStyle w:val="FootnoteText"/>
      </w:pPr>
      <w:r w:rsidRPr="00FE5EC9">
        <w:rPr>
          <w:rStyle w:val="FootnoteReference"/>
        </w:rPr>
        <w:footnoteRef/>
      </w:r>
      <w:r w:rsidRPr="00FE5EC9">
        <w:t xml:space="preserve"> Philip Cusick </w:t>
      </w:r>
      <w:r w:rsidRPr="00FE5EC9">
        <w:rPr>
          <w:i/>
          <w:iCs/>
        </w:rPr>
        <w:t>et al</w:t>
      </w:r>
      <w:r w:rsidRPr="00FE5EC9">
        <w:t xml:space="preserve">, </w:t>
      </w:r>
      <w:r w:rsidRPr="00FE5EC9">
        <w:rPr>
          <w:i/>
          <w:iCs/>
        </w:rPr>
        <w:t>Telecom Services:  Update on Secondary Markets for iPhones:  Values Dropping Quickly on All but Samsung Galaxy S3</w:t>
      </w:r>
      <w:r w:rsidRPr="00FE5EC9">
        <w:t>, J.P. Morgan, Equity Research, Nov. 5, 2012.</w:t>
      </w:r>
    </w:p>
  </w:footnote>
  <w:footnote w:id="568">
    <w:p w:rsidR="00EC7CF3" w:rsidRDefault="00EC7CF3" w:rsidP="00F1004B">
      <w:pPr>
        <w:pStyle w:val="FootnoteText"/>
      </w:pPr>
      <w:r w:rsidRPr="00FE5EC9">
        <w:rPr>
          <w:rStyle w:val="FootnoteReference"/>
        </w:rPr>
        <w:footnoteRef/>
      </w:r>
      <w:r w:rsidRPr="00FE5EC9">
        <w:t xml:space="preserve"> Philip Cusick </w:t>
      </w:r>
      <w:r w:rsidRPr="00FE5EC9">
        <w:rPr>
          <w:i/>
          <w:iCs/>
        </w:rPr>
        <w:t>et al</w:t>
      </w:r>
      <w:r w:rsidRPr="00FE5EC9">
        <w:t xml:space="preserve">, </w:t>
      </w:r>
      <w:r w:rsidRPr="00FE5EC9">
        <w:rPr>
          <w:i/>
          <w:iCs/>
        </w:rPr>
        <w:t>Telecom Services:  Update on Secondary Markets for iPhones:  Values Dropping Quickly on All but Samsung Galaxy S3</w:t>
      </w:r>
      <w:r w:rsidRPr="00FE5EC9">
        <w:t>, J.P. Morgan, Equity Research, Nov. 5, 2012.</w:t>
      </w:r>
    </w:p>
  </w:footnote>
  <w:footnote w:id="569">
    <w:p w:rsidR="00EC7CF3" w:rsidRDefault="00EC7CF3" w:rsidP="00F1004B">
      <w:pPr>
        <w:pStyle w:val="FootnoteText"/>
      </w:pPr>
      <w:r w:rsidRPr="00FE5EC9">
        <w:rPr>
          <w:rStyle w:val="FootnoteReference"/>
        </w:rPr>
        <w:footnoteRef/>
      </w:r>
      <w:r w:rsidRPr="00FE5EC9">
        <w:t xml:space="preserve"> Philip Cusick </w:t>
      </w:r>
      <w:r w:rsidRPr="00FE5EC9">
        <w:rPr>
          <w:i/>
          <w:iCs/>
        </w:rPr>
        <w:t>et al</w:t>
      </w:r>
      <w:r w:rsidRPr="00FE5EC9">
        <w:t xml:space="preserve">, </w:t>
      </w:r>
      <w:r w:rsidRPr="00FE5EC9">
        <w:rPr>
          <w:i/>
          <w:iCs/>
        </w:rPr>
        <w:t>Telecom Services:  Update on Secondary Markets for iPhones:  Values Dropping Quickly on All but Samsung Galaxy S3</w:t>
      </w:r>
      <w:r w:rsidRPr="00FE5EC9">
        <w:t>, J.P. Morgan, Equity Research, Nov. 5, 2012.</w:t>
      </w:r>
    </w:p>
  </w:footnote>
  <w:footnote w:id="570">
    <w:p w:rsidR="00EC7CF3" w:rsidRDefault="00EC7CF3">
      <w:pPr>
        <w:pStyle w:val="FootnoteText"/>
      </w:pPr>
      <w:r w:rsidRPr="00D40600">
        <w:rPr>
          <w:rStyle w:val="FootnoteReference"/>
          <w:sz w:val="20"/>
        </w:rPr>
        <w:footnoteRef/>
      </w:r>
      <w:r w:rsidRPr="00D40600">
        <w:t xml:space="preserve"> Gregory Tarp, </w:t>
      </w:r>
      <w:r w:rsidRPr="00D40600">
        <w:rPr>
          <w:i/>
        </w:rPr>
        <w:t>APT to Upgr</w:t>
      </w:r>
      <w:r>
        <w:rPr>
          <w:i/>
        </w:rPr>
        <w:t>ade to iPhone5? You’re Not Alone</w:t>
      </w:r>
      <w:r w:rsidRPr="00D40600">
        <w:rPr>
          <w:i/>
        </w:rPr>
        <w:t>,</w:t>
      </w:r>
      <w:r w:rsidRPr="00D40600">
        <w:t xml:space="preserve"> Chicago Tribune, October 4, 2011.</w:t>
      </w:r>
    </w:p>
  </w:footnote>
  <w:footnote w:id="571">
    <w:p w:rsidR="00EC7CF3" w:rsidRDefault="00EC7CF3" w:rsidP="003C780D">
      <w:pPr>
        <w:pStyle w:val="FootnoteText"/>
      </w:pPr>
      <w:r w:rsidRPr="00D40600">
        <w:rPr>
          <w:rStyle w:val="FootnoteReference"/>
          <w:sz w:val="20"/>
        </w:rPr>
        <w:footnoteRef/>
      </w:r>
      <w:r w:rsidRPr="00D40600">
        <w:t xml:space="preserve"> </w:t>
      </w:r>
      <w:r w:rsidRPr="00D40600">
        <w:rPr>
          <w:i/>
        </w:rPr>
        <w:t>See</w:t>
      </w:r>
      <w:r w:rsidRPr="00D40600">
        <w:t xml:space="preserve"> Section IV.B.1.A, </w:t>
      </w:r>
      <w:r>
        <w:fldChar w:fldCharType="begin"/>
      </w:r>
      <w:r>
        <w:instrText xml:space="preserve"> REF _Ref256168774 \h  \* MERGEFORMAT </w:instrText>
      </w:r>
      <w:r>
        <w:fldChar w:fldCharType="separate"/>
      </w:r>
      <w:r w:rsidRPr="00CA3AC6">
        <w:t>Service Provider Technology Deployments</w:t>
      </w:r>
      <w:r>
        <w:fldChar w:fldCharType="end"/>
      </w:r>
      <w:r w:rsidRPr="00D40600">
        <w:t xml:space="preserve">, </w:t>
      </w:r>
      <w:r w:rsidRPr="00D40600">
        <w:rPr>
          <w:i/>
        </w:rPr>
        <w:t>infra</w:t>
      </w:r>
      <w:r w:rsidRPr="00D40600">
        <w:t xml:space="preserve">.  </w:t>
      </w:r>
    </w:p>
  </w:footnote>
  <w:footnote w:id="572">
    <w:p w:rsidR="00EC7CF3" w:rsidRDefault="00EC7CF3" w:rsidP="003C780D">
      <w:pPr>
        <w:pStyle w:val="FootnoteText"/>
      </w:pPr>
      <w:r w:rsidRPr="00D40600">
        <w:rPr>
          <w:rStyle w:val="FootnoteReference"/>
          <w:sz w:val="20"/>
        </w:rPr>
        <w:footnoteRef/>
      </w:r>
      <w:r w:rsidRPr="00D40600">
        <w:t xml:space="preserve"> </w:t>
      </w:r>
      <w:r w:rsidRPr="00D40600">
        <w:rPr>
          <w:i/>
        </w:rPr>
        <w:t>See</w:t>
      </w:r>
      <w:r w:rsidRPr="00D40600">
        <w:t xml:space="preserve"> </w:t>
      </w:r>
      <w:r w:rsidRPr="00D40600">
        <w:rPr>
          <w:i/>
        </w:rPr>
        <w:t>Fifteenth Report</w:t>
      </w:r>
      <w:r w:rsidRPr="00D40600">
        <w:t>, 26 FCC Rcd at 9733 ¶ 104; AT&amp;T Comments at 31; WCAI Reply at 5.</w:t>
      </w:r>
    </w:p>
  </w:footnote>
  <w:footnote w:id="573">
    <w:p w:rsidR="00EC7CF3" w:rsidRDefault="00EC7CF3" w:rsidP="003C780D">
      <w:pPr>
        <w:pStyle w:val="FootnoteText"/>
      </w:pPr>
      <w:r w:rsidRPr="00D40600">
        <w:rPr>
          <w:rStyle w:val="FootnoteReference"/>
          <w:sz w:val="20"/>
        </w:rPr>
        <w:footnoteRef/>
      </w:r>
      <w:r w:rsidRPr="00D40600">
        <w:t xml:space="preserve"> </w:t>
      </w:r>
      <w:r w:rsidRPr="00374A8A">
        <w:rPr>
          <w:i/>
        </w:rPr>
        <w:t xml:space="preserve">See </w:t>
      </w:r>
      <w:r w:rsidRPr="00374A8A">
        <w:t>Section III.F.2, Current Spectrum Transactions,</w:t>
      </w:r>
      <w:r w:rsidRPr="00D40600">
        <w:t xml:space="preserve"> </w:t>
      </w:r>
      <w:r w:rsidRPr="00D40600">
        <w:rPr>
          <w:i/>
        </w:rPr>
        <w:t>supra</w:t>
      </w:r>
      <w:r w:rsidRPr="00D40600">
        <w:t>;</w:t>
      </w:r>
      <w:r w:rsidRPr="00D40600">
        <w:rPr>
          <w:i/>
        </w:rPr>
        <w:t xml:space="preserve"> </w:t>
      </w:r>
      <w:r w:rsidRPr="00D40600">
        <w:t xml:space="preserve">Section VII.A.1, </w:t>
      </w:r>
      <w:r>
        <w:t>Infrastructure Facilities</w:t>
      </w:r>
      <w:r w:rsidRPr="00D40600">
        <w:t xml:space="preserve">, </w:t>
      </w:r>
      <w:r w:rsidRPr="00D40600">
        <w:rPr>
          <w:i/>
        </w:rPr>
        <w:t>infra</w:t>
      </w:r>
      <w:r w:rsidRPr="00D40600">
        <w:t xml:space="preserve">; </w:t>
      </w:r>
      <w:r w:rsidRPr="00D40600">
        <w:rPr>
          <w:i/>
        </w:rPr>
        <w:t>Fifteenth Report</w:t>
      </w:r>
      <w:r w:rsidRPr="00D40600">
        <w:t>, 26 FCC Rcd at 9733 ¶ 105.</w:t>
      </w:r>
    </w:p>
  </w:footnote>
  <w:footnote w:id="574">
    <w:p w:rsidR="00EC7CF3" w:rsidRDefault="00EC7CF3" w:rsidP="003C780D">
      <w:pPr>
        <w:pStyle w:val="FootnoteText"/>
      </w:pPr>
      <w:r w:rsidRPr="00D40600">
        <w:rPr>
          <w:rStyle w:val="FootnoteReference"/>
          <w:sz w:val="20"/>
        </w:rPr>
        <w:footnoteRef/>
      </w:r>
      <w:r w:rsidRPr="00D40600">
        <w:t xml:space="preserve"> In contrast, the European Community mandated a single harmonized standard for second-generation mobile telecommunications services (GSM), and also has adopted a single standard for third-generation services (WCDMA).  Neil Gandal, </w:t>
      </w:r>
      <w:r w:rsidRPr="00D40600">
        <w:rPr>
          <w:i/>
        </w:rPr>
        <w:t>et al</w:t>
      </w:r>
      <w:r w:rsidRPr="00D40600">
        <w:t xml:space="preserve">., </w:t>
      </w:r>
      <w:r w:rsidRPr="00D40600">
        <w:rPr>
          <w:i/>
        </w:rPr>
        <w:t>Standards in Wireless Telephone Networks</w:t>
      </w:r>
      <w:r w:rsidRPr="00D40600">
        <w:t xml:space="preserve">, Telecommunications Policy, Vol. 27, No. 5-6, June-July 2003, at 325.  The authors note that, although the European Community backed away from mandating a single standard for third-generation services, the absence of a mandate has had little practical effect as all European mobile operators have opted for the same standard and migration path.  </w:t>
      </w:r>
      <w:r w:rsidRPr="00D40600">
        <w:rPr>
          <w:i/>
        </w:rPr>
        <w:t>Id.</w:t>
      </w:r>
      <w:r w:rsidRPr="00D40600">
        <w:t xml:space="preserve"> at 330.</w:t>
      </w:r>
      <w:r w:rsidRPr="00D40600">
        <w:rPr>
          <w:i/>
        </w:rPr>
        <w:t xml:space="preserve"> </w:t>
      </w:r>
    </w:p>
  </w:footnote>
  <w:footnote w:id="575">
    <w:p w:rsidR="00EC7CF3" w:rsidRDefault="00EC7CF3" w:rsidP="003C780D">
      <w:pPr>
        <w:pStyle w:val="FootnoteText"/>
      </w:pPr>
      <w:r w:rsidRPr="00D40600">
        <w:rPr>
          <w:rStyle w:val="FootnoteReference"/>
          <w:sz w:val="20"/>
        </w:rPr>
        <w:footnoteRef/>
      </w:r>
      <w:r w:rsidRPr="00D40600">
        <w:t xml:space="preserve"> Of the </w:t>
      </w:r>
      <w:r w:rsidRPr="00D40600">
        <w:rPr>
          <w:lang w:eastAsia="zh-CN"/>
        </w:rPr>
        <w:t xml:space="preserve">top </w:t>
      </w:r>
      <w:r w:rsidRPr="00D40600">
        <w:t xml:space="preserve">four nationwide mobile wireless providers, AT&amp;T and T-Mobile have deployed technologies on the GSM migration path, while </w:t>
      </w:r>
      <w:r w:rsidRPr="00D40600">
        <w:rPr>
          <w:lang w:eastAsia="zh-CN"/>
        </w:rPr>
        <w:t>V</w:t>
      </w:r>
      <w:r w:rsidRPr="00D40600">
        <w:t xml:space="preserve">erizon Wireless and Sprint have deployed technologies on the CDMA migration path.  Sprint has also used iDEN technology as a result of its acquisition of Nextel.  </w:t>
      </w:r>
    </w:p>
  </w:footnote>
  <w:footnote w:id="576">
    <w:p w:rsidR="00EC7CF3" w:rsidRDefault="00EC7CF3" w:rsidP="003C780D">
      <w:pPr>
        <w:pStyle w:val="FootnoteText"/>
      </w:pPr>
      <w:r w:rsidRPr="00D40600">
        <w:rPr>
          <w:rStyle w:val="FootnoteReference"/>
          <w:sz w:val="20"/>
        </w:rPr>
        <w:footnoteRef/>
      </w:r>
      <w:r w:rsidRPr="00D40600">
        <w:t xml:space="preserve"> </w:t>
      </w:r>
      <w:r w:rsidRPr="00D40600">
        <w:rPr>
          <w:i/>
        </w:rPr>
        <w:t>See</w:t>
      </w:r>
      <w:r w:rsidRPr="00D40600">
        <w:t xml:space="preserve"> Table 27; AT&amp;T Comments at 29-31.  </w:t>
      </w:r>
    </w:p>
  </w:footnote>
  <w:footnote w:id="577">
    <w:p w:rsidR="00EC7CF3" w:rsidRDefault="00EC7CF3" w:rsidP="003C780D">
      <w:pPr>
        <w:pStyle w:val="FootnoteText"/>
      </w:pPr>
      <w:r w:rsidRPr="00D40600">
        <w:rPr>
          <w:rStyle w:val="FootnoteReference"/>
          <w:sz w:val="20"/>
        </w:rPr>
        <w:footnoteRef/>
      </w:r>
      <w:r w:rsidRPr="00D40600">
        <w:t xml:space="preserve"> </w:t>
      </w:r>
      <w:r w:rsidRPr="00D40600">
        <w:rPr>
          <w:i/>
        </w:rPr>
        <w:t>See</w:t>
      </w:r>
      <w:r w:rsidRPr="00D40600">
        <w:t xml:space="preserve"> </w:t>
      </w:r>
      <w:r w:rsidRPr="00D40600">
        <w:rPr>
          <w:i/>
        </w:rPr>
        <w:t>Fourteenth Report</w:t>
      </w:r>
      <w:r w:rsidRPr="00D40600">
        <w:t xml:space="preserve"> 25 FCC Rcd at 11478-79 ¶ 109.</w:t>
      </w:r>
    </w:p>
  </w:footnote>
  <w:footnote w:id="578">
    <w:p w:rsidR="00EC7CF3" w:rsidRDefault="00EC7CF3" w:rsidP="003C780D">
      <w:pPr>
        <w:pStyle w:val="FootnoteText"/>
      </w:pPr>
      <w:r w:rsidRPr="00D40600">
        <w:rPr>
          <w:rStyle w:val="FootnoteReference"/>
          <w:sz w:val="20"/>
        </w:rPr>
        <w:footnoteRef/>
      </w:r>
      <w:r w:rsidRPr="00D40600">
        <w:t xml:space="preserve"> </w:t>
      </w:r>
      <w:r w:rsidRPr="00D40600">
        <w:rPr>
          <w:i/>
        </w:rPr>
        <w:t>See</w:t>
      </w:r>
      <w:r w:rsidRPr="00D40600">
        <w:t xml:space="preserve"> </w:t>
      </w:r>
      <w:r w:rsidRPr="00D40600">
        <w:rPr>
          <w:i/>
        </w:rPr>
        <w:t>Fourteenth Report</w:t>
      </w:r>
      <w:r w:rsidRPr="00D40600">
        <w:t xml:space="preserve"> 25 FCC Rcd at 11478-79 ¶ 109.</w:t>
      </w:r>
    </w:p>
  </w:footnote>
  <w:footnote w:id="579">
    <w:p w:rsidR="00EC7CF3" w:rsidRDefault="00EC7CF3" w:rsidP="003C780D">
      <w:pPr>
        <w:pStyle w:val="FootnoteText"/>
      </w:pPr>
      <w:r w:rsidRPr="00D40600">
        <w:rPr>
          <w:rStyle w:val="FootnoteReference"/>
          <w:sz w:val="20"/>
        </w:rPr>
        <w:footnoteRef/>
      </w:r>
      <w:r w:rsidRPr="00D40600">
        <w:t xml:space="preserve"> </w:t>
      </w:r>
      <w:r w:rsidRPr="00D40600">
        <w:rPr>
          <w:i/>
        </w:rPr>
        <w:t>See</w:t>
      </w:r>
      <w:r w:rsidRPr="00D40600">
        <w:t xml:space="preserve"> </w:t>
      </w:r>
      <w:r w:rsidRPr="00D40600">
        <w:rPr>
          <w:i/>
        </w:rPr>
        <w:t>Fifteenth Report</w:t>
      </w:r>
      <w:r w:rsidRPr="00D40600">
        <w:t>, 26 FCC Rcd at 9735 ¶ 108.</w:t>
      </w:r>
    </w:p>
  </w:footnote>
  <w:footnote w:id="580">
    <w:p w:rsidR="00EC7CF3" w:rsidRDefault="00EC7CF3" w:rsidP="003C780D">
      <w:pPr>
        <w:pStyle w:val="FootnoteText"/>
      </w:pPr>
      <w:r w:rsidRPr="00D40600">
        <w:rPr>
          <w:rStyle w:val="FootnoteReference"/>
          <w:sz w:val="20"/>
        </w:rPr>
        <w:footnoteRef/>
      </w:r>
      <w:r w:rsidRPr="00D40600">
        <w:t xml:space="preserve"> The terms “3G” and “4G” are used by industry for marketing purposes, as well as by the International Telecommunications Union (ITU) for technical specifications.  For example, Clearwire, T-Mobile, AT&amp;T, and Verizon Wireless refer to their WiMAX, HSPA+, and LTE networks as “4G.”  However, these networks, as currently deployed, do not provide download speeds high enough to meet the ITU technical specifications of “IMT-Advanced” or “4G.”  Nevertheless, the ITU stated in December 2010 that the term 4G “while undefined, may also be applied to the forerunners of these technologies, LTE and WiMax, and to other evolved 3G technologies providing a substantial level of improvement in performance and capabilities with respect to the initial third generation systems now deployed.”  </w:t>
      </w:r>
      <w:r w:rsidRPr="00D40600">
        <w:rPr>
          <w:i/>
        </w:rPr>
        <w:t>See ITU World Radio Communication Seminar Highlights Future Communication Technologies</w:t>
      </w:r>
      <w:r w:rsidRPr="00D40600">
        <w:t xml:space="preserve">, Press Release, ITU, Dec. 6, 2010, </w:t>
      </w:r>
      <w:r w:rsidRPr="00D40600">
        <w:rPr>
          <w:i/>
        </w:rPr>
        <w:t xml:space="preserve">available at </w:t>
      </w:r>
      <w:hyperlink r:id="rId212" w:history="1">
        <w:r w:rsidRPr="00D40600">
          <w:rPr>
            <w:rStyle w:val="Hyperlink"/>
          </w:rPr>
          <w:t>http://www.itu.int/net/pressoffice/press_releases/2010/48.aspx</w:t>
        </w:r>
      </w:hyperlink>
      <w:r w:rsidRPr="00D40600">
        <w:t xml:space="preserve"> (visited Oct. 16, 2012); Sara Yin, </w:t>
      </w:r>
      <w:r w:rsidRPr="00D40600">
        <w:rPr>
          <w:i/>
        </w:rPr>
        <w:t>ITU Redefines 4G. Again</w:t>
      </w:r>
      <w:r w:rsidRPr="00D40600">
        <w:t xml:space="preserve">, PCMagazine, Dec. 20, 2010, at </w:t>
      </w:r>
      <w:hyperlink r:id="rId213" w:history="1">
        <w:r w:rsidRPr="00D40600">
          <w:rPr>
            <w:rStyle w:val="Hyperlink"/>
          </w:rPr>
          <w:t>http://www.pcmag.com/print_article2/0,1217,a=258308,00.asp?hidPrint=true</w:t>
        </w:r>
      </w:hyperlink>
      <w:r w:rsidRPr="00D40600">
        <w:t xml:space="preserve"> (visited Oct. 16, 2012); Derek Kerton, </w:t>
      </w:r>
      <w:r w:rsidRPr="00D40600">
        <w:rPr>
          <w:i/>
        </w:rPr>
        <w:t>Will the Real 4G Please Stand Up?</w:t>
      </w:r>
      <w:r w:rsidRPr="00D40600">
        <w:t xml:space="preserve">, RCR Wireless News, Dec. 22, 2010, at </w:t>
      </w:r>
      <w:hyperlink r:id="rId214" w:history="1">
        <w:r w:rsidRPr="00D40600">
          <w:rPr>
            <w:rStyle w:val="Hyperlink"/>
          </w:rPr>
          <w:t>http://www.rcrwireless.com/article/20101222/OPINION/101229976/analyst-angle-will-the-real-4g-please-stand-up#</w:t>
        </w:r>
      </w:hyperlink>
      <w:r w:rsidRPr="00D40600">
        <w:t xml:space="preserve"> (visited Oct. 16, 2012)</w:t>
      </w:r>
      <w:r>
        <w:t>.</w:t>
      </w:r>
      <w:r w:rsidRPr="00D40600">
        <w:t xml:space="preserve"> </w:t>
      </w:r>
    </w:p>
  </w:footnote>
  <w:footnote w:id="581">
    <w:p w:rsidR="00EC7CF3" w:rsidRDefault="00EC7CF3" w:rsidP="003C780D">
      <w:pPr>
        <w:pStyle w:val="FootnoteText"/>
      </w:pPr>
      <w:r w:rsidRPr="00D40600">
        <w:rPr>
          <w:rStyle w:val="FootnoteReference"/>
          <w:sz w:val="20"/>
        </w:rPr>
        <w:footnoteRef/>
      </w:r>
      <w:r w:rsidRPr="00D40600">
        <w:t xml:space="preserve"> </w:t>
      </w:r>
      <w:r w:rsidRPr="00D40600">
        <w:rPr>
          <w:i/>
        </w:rPr>
        <w:t>2012</w:t>
      </w:r>
      <w:r w:rsidRPr="00D40600">
        <w:t xml:space="preserve"> </w:t>
      </w:r>
      <w:r w:rsidRPr="00D40600">
        <w:rPr>
          <w:i/>
        </w:rPr>
        <w:t>Eighth Broadband Progress Report</w:t>
      </w:r>
      <w:r w:rsidRPr="00D40600">
        <w:t xml:space="preserve">, GN Docket No. 11-121, (rel. Aug. 21, 2012), ¶ 40. </w:t>
      </w:r>
    </w:p>
  </w:footnote>
  <w:footnote w:id="582">
    <w:p w:rsidR="00EC7CF3" w:rsidRDefault="00EC7CF3" w:rsidP="003C780D">
      <w:pPr>
        <w:pStyle w:val="FootnoteText"/>
      </w:pPr>
      <w:r w:rsidRPr="00D40600">
        <w:rPr>
          <w:rStyle w:val="FootnoteReference"/>
          <w:sz w:val="20"/>
        </w:rPr>
        <w:footnoteRef/>
      </w:r>
      <w:r w:rsidRPr="00D40600">
        <w:t xml:space="preserve"> Verizon Wireless, </w:t>
      </w:r>
      <w:r w:rsidRPr="00D40600">
        <w:rPr>
          <w:i/>
        </w:rPr>
        <w:t>Network Facts</w:t>
      </w:r>
      <w:r w:rsidRPr="00D40600">
        <w:t xml:space="preserve">, </w:t>
      </w:r>
      <w:hyperlink r:id="rId215" w:history="1">
        <w:r w:rsidRPr="00D40600">
          <w:rPr>
            <w:rStyle w:val="Hyperlink"/>
          </w:rPr>
          <w:t>http://aboutus.vzw.com/bestnetwork/network_facts.html</w:t>
        </w:r>
      </w:hyperlink>
      <w:r w:rsidRPr="00D40600">
        <w:t xml:space="preserve"> (visited May 8, 2012); Verizon Comments at 33-34.  </w:t>
      </w:r>
      <w:r w:rsidRPr="00D40600">
        <w:rPr>
          <w:i/>
        </w:rPr>
        <w:t>See Fifteenth Report</w:t>
      </w:r>
      <w:r w:rsidRPr="00D40600">
        <w:t xml:space="preserve">, 26 FCC Rcd at 9736 ¶ 109.  Estimates of coverage represent mobile network deployment and may not indicate the extent to which providers actually offer service in the covered areas or have customers living in those areas.  </w:t>
      </w:r>
    </w:p>
  </w:footnote>
  <w:footnote w:id="583">
    <w:p w:rsidR="00EC7CF3" w:rsidRDefault="00EC7CF3" w:rsidP="003C780D">
      <w:pPr>
        <w:pStyle w:val="FootnoteText"/>
      </w:pPr>
      <w:r w:rsidRPr="00D40600">
        <w:rPr>
          <w:rStyle w:val="FootnoteReference"/>
          <w:sz w:val="20"/>
        </w:rPr>
        <w:footnoteRef/>
      </w:r>
      <w:r w:rsidRPr="00D40600">
        <w:t xml:space="preserve"> </w:t>
      </w:r>
      <w:r w:rsidRPr="00D40600">
        <w:rPr>
          <w:i/>
        </w:rPr>
        <w:t>See Fifteenth Report</w:t>
      </w:r>
      <w:r w:rsidRPr="00D40600">
        <w:t>, 26 FCC Rcd at 9736 ¶ 109</w:t>
      </w:r>
      <w:r w:rsidRPr="00D40600">
        <w:rPr>
          <w:i/>
        </w:rPr>
        <w:t>.</w:t>
      </w:r>
    </w:p>
  </w:footnote>
  <w:footnote w:id="584">
    <w:p w:rsidR="00EC7CF3" w:rsidRDefault="00EC7CF3" w:rsidP="003C780D">
      <w:pPr>
        <w:pStyle w:val="FootnoteText"/>
      </w:pPr>
      <w:r w:rsidRPr="00D40600">
        <w:rPr>
          <w:rStyle w:val="FootnoteReference"/>
          <w:sz w:val="20"/>
        </w:rPr>
        <w:footnoteRef/>
      </w:r>
      <w:r w:rsidRPr="00D40600">
        <w:t xml:space="preserve"> Verizon Wireless, 3Q 2012 Quarter Earnings Conference Call, Transcript, Oct. 18, 2012, available at </w:t>
      </w:r>
      <w:hyperlink r:id="rId216" w:history="1">
        <w:r w:rsidRPr="00D40600">
          <w:rPr>
            <w:rStyle w:val="Hyperlink"/>
          </w:rPr>
          <w:t>http://www22.verizon.com/investor/webcast_3q_2012_quarter_earnings_conference_call_webcast_10182012.htm</w:t>
        </w:r>
      </w:hyperlink>
      <w:r w:rsidRPr="00D40600">
        <w:t xml:space="preserve"> Verizon Wireless, </w:t>
      </w:r>
      <w:r w:rsidRPr="00D40600">
        <w:rPr>
          <w:i/>
        </w:rPr>
        <w:t>Network Facts</w:t>
      </w:r>
      <w:r w:rsidRPr="00D40600">
        <w:t xml:space="preserve">, </w:t>
      </w:r>
      <w:hyperlink r:id="rId217" w:history="1">
        <w:r w:rsidRPr="00D40600">
          <w:rPr>
            <w:rStyle w:val="Hyperlink"/>
          </w:rPr>
          <w:t>http://aboutus.vzw.com/bestnetwork/network_facts.html</w:t>
        </w:r>
      </w:hyperlink>
      <w:r w:rsidRPr="00D40600">
        <w:t xml:space="preserve"> (visited May 8, 2012); </w:t>
      </w:r>
      <w:r w:rsidRPr="00D40600">
        <w:rPr>
          <w:i/>
        </w:rPr>
        <w:t>Fifteenth Report</w:t>
      </w:r>
      <w:r w:rsidRPr="00D40600">
        <w:t xml:space="preserve">, 26 FCC Rcd at 9736 ¶ 109.  </w:t>
      </w:r>
    </w:p>
  </w:footnote>
  <w:footnote w:id="585">
    <w:p w:rsidR="00EC7CF3" w:rsidRDefault="00EC7CF3" w:rsidP="003C780D">
      <w:pPr>
        <w:pStyle w:val="FootnoteText"/>
      </w:pPr>
      <w:r w:rsidRPr="00D40600">
        <w:rPr>
          <w:rStyle w:val="FootnoteReference"/>
          <w:sz w:val="20"/>
        </w:rPr>
        <w:footnoteRef/>
      </w:r>
      <w:r w:rsidRPr="00D40600">
        <w:t xml:space="preserve"> Verizon Wireless, </w:t>
      </w:r>
      <w:r w:rsidRPr="00D40600">
        <w:rPr>
          <w:i/>
        </w:rPr>
        <w:t>Network Facts</w:t>
      </w:r>
      <w:r w:rsidRPr="00D40600">
        <w:t xml:space="preserve">, </w:t>
      </w:r>
      <w:hyperlink r:id="rId218" w:history="1">
        <w:r w:rsidRPr="00D40600">
          <w:rPr>
            <w:rStyle w:val="Hyperlink"/>
          </w:rPr>
          <w:t>http://aboutus.vzw.com/bestnetwork/network_facts.html</w:t>
        </w:r>
      </w:hyperlink>
      <w:r w:rsidRPr="00D40600">
        <w:t xml:space="preserve"> (visited May 8, 2012). </w:t>
      </w:r>
    </w:p>
  </w:footnote>
  <w:footnote w:id="586">
    <w:p w:rsidR="00EC7CF3" w:rsidRDefault="00EC7CF3" w:rsidP="003C780D">
      <w:pPr>
        <w:pStyle w:val="FootnoteText"/>
      </w:pPr>
      <w:r w:rsidRPr="00D40600">
        <w:rPr>
          <w:rStyle w:val="FootnoteReference"/>
          <w:sz w:val="20"/>
        </w:rPr>
        <w:footnoteRef/>
      </w:r>
      <w:r w:rsidRPr="00D40600">
        <w:t xml:space="preserve"> Verizon Comments at 33; Bernie Arnason, </w:t>
      </w:r>
      <w:r w:rsidRPr="00D40600">
        <w:rPr>
          <w:i/>
        </w:rPr>
        <w:t>Nemont Partners with Verizon for Rural LTE Program</w:t>
      </w:r>
      <w:r w:rsidRPr="00D40600">
        <w:t xml:space="preserve">, Telecompetitor, Mar. 22, 2012, </w:t>
      </w:r>
      <w:hyperlink r:id="rId219" w:history="1">
        <w:r w:rsidRPr="00D40600">
          <w:rPr>
            <w:rStyle w:val="Hyperlink"/>
          </w:rPr>
          <w:t>http://www.telecompetitor.com/nemont-partners-with-verizon-for-rural-lte-program/</w:t>
        </w:r>
        <w:r w:rsidRPr="00432F46">
          <w:rPr>
            <w:rStyle w:val="Hyperlink"/>
            <w:color w:val="auto"/>
            <w:u w:val="none"/>
          </w:rPr>
          <w:t>.(visited</w:t>
        </w:r>
      </w:hyperlink>
      <w:r w:rsidRPr="00D40600">
        <w:t xml:space="preserve"> Oct. 16, 2012)</w:t>
      </w:r>
      <w:r>
        <w:t>.</w:t>
      </w:r>
    </w:p>
  </w:footnote>
  <w:footnote w:id="587">
    <w:p w:rsidR="00EC7CF3" w:rsidRDefault="00EC7CF3" w:rsidP="003C780D">
      <w:pPr>
        <w:pStyle w:val="FootnoteText"/>
      </w:pPr>
      <w:r w:rsidRPr="00D40600">
        <w:rPr>
          <w:rStyle w:val="FootnoteReference"/>
          <w:sz w:val="20"/>
        </w:rPr>
        <w:footnoteRef/>
      </w:r>
      <w:r w:rsidRPr="00D40600">
        <w:t xml:space="preserve"> </w:t>
      </w:r>
      <w:r w:rsidRPr="00EE6D72">
        <w:rPr>
          <w:i/>
        </w:rPr>
        <w:t>See</w:t>
      </w:r>
      <w:r>
        <w:t>, e</w:t>
      </w:r>
      <w:r w:rsidRPr="00D40600">
        <w:t>.</w:t>
      </w:r>
      <w:r>
        <w:t xml:space="preserve">g. Chariton Valley 4G LTE, </w:t>
      </w:r>
      <w:hyperlink r:id="rId220" w:history="1">
        <w:r w:rsidRPr="00F353D8">
          <w:rPr>
            <w:rStyle w:val="Hyperlink"/>
          </w:rPr>
          <w:t>http://www.cv4g.com/2012-07-16-14-32-05/2012-05-23-17-36-24</w:t>
        </w:r>
      </w:hyperlink>
      <w:r>
        <w:t xml:space="preserve"> (visited Mar. 13, 2013). </w:t>
      </w:r>
      <w:r w:rsidRPr="00EE6D72">
        <w:rPr>
          <w:i/>
        </w:rPr>
        <w:t>See</w:t>
      </w:r>
      <w:r>
        <w:t xml:space="preserve"> </w:t>
      </w:r>
      <w:r w:rsidRPr="00EE6D72">
        <w:rPr>
          <w:i/>
        </w:rPr>
        <w:t>e.g</w:t>
      </w:r>
      <w:r>
        <w:t xml:space="preserve">. Bluegrass Launches 4G LTE Network </w:t>
      </w:r>
      <w:hyperlink r:id="rId221" w:history="1">
        <w:r w:rsidRPr="00F353D8">
          <w:rPr>
            <w:rStyle w:val="Hyperlink"/>
          </w:rPr>
          <w:t>https://bluegrasscellular.com/index.php/about/news/bluegrass_launches_4g_lte_network</w:t>
        </w:r>
      </w:hyperlink>
      <w:r>
        <w:t xml:space="preserve"> visited Mar. 13, 2013) .</w:t>
      </w:r>
    </w:p>
  </w:footnote>
  <w:footnote w:id="588">
    <w:p w:rsidR="00EC7CF3" w:rsidRDefault="00EC7CF3" w:rsidP="003C780D">
      <w:pPr>
        <w:pStyle w:val="FootnoteText"/>
      </w:pPr>
      <w:r w:rsidRPr="00D40600">
        <w:rPr>
          <w:rStyle w:val="FootnoteReference"/>
          <w:sz w:val="20"/>
        </w:rPr>
        <w:footnoteRef/>
      </w:r>
      <w:r w:rsidRPr="00D40600">
        <w:t xml:space="preserve"> Communications Daily, September 19, 2012, at 11.  Joan Engecretson, </w:t>
      </w:r>
      <w:r w:rsidRPr="00D40600">
        <w:rPr>
          <w:i/>
        </w:rPr>
        <w:t>Pioneer Cellular Is First Verizon Rural Partner to Launch 4G LTE</w:t>
      </w:r>
      <w:r w:rsidRPr="00D40600">
        <w:t xml:space="preserve">, Telecompetitor, Apr. 30, 2012, </w:t>
      </w:r>
      <w:hyperlink r:id="rId222" w:history="1">
        <w:r w:rsidRPr="00D40600">
          <w:rPr>
            <w:rStyle w:val="Hyperlink"/>
          </w:rPr>
          <w:t>http://www.telecompetitor.com/pioneer-cellular-is-first-verizon-rural-partner-to-launch-4g-lte/</w:t>
        </w:r>
      </w:hyperlink>
      <w:r w:rsidRPr="00D40600">
        <w:t xml:space="preserve"> (visited Oct. 16, 2012); Bernie Arnason, </w:t>
      </w:r>
      <w:r w:rsidRPr="00D40600">
        <w:rPr>
          <w:i/>
        </w:rPr>
        <w:t>Nemont Partners with Verizon for Rural LTE Program</w:t>
      </w:r>
      <w:r w:rsidRPr="00D40600">
        <w:t xml:space="preserve">, Telecompetitor, Mar. 22, 2012, </w:t>
      </w:r>
      <w:hyperlink r:id="rId223" w:history="1">
        <w:r w:rsidRPr="00D40600">
          <w:rPr>
            <w:rStyle w:val="Hyperlink"/>
          </w:rPr>
          <w:t>http://www.telecompetitor.com/nemont-partners-with-verizon-for-rural-lte-program/(visited</w:t>
        </w:r>
      </w:hyperlink>
      <w:r w:rsidRPr="00D40600">
        <w:t xml:space="preserve"> Oct. 16, 2012).</w:t>
      </w:r>
    </w:p>
  </w:footnote>
  <w:footnote w:id="589">
    <w:p w:rsidR="00EC7CF3" w:rsidRDefault="00EC7CF3" w:rsidP="003C780D">
      <w:pPr>
        <w:pStyle w:val="FootnoteText"/>
      </w:pPr>
      <w:r w:rsidRPr="00D40600">
        <w:rPr>
          <w:rStyle w:val="FootnoteReference"/>
          <w:sz w:val="20"/>
        </w:rPr>
        <w:footnoteRef/>
      </w:r>
      <w:r w:rsidRPr="00D40600">
        <w:t xml:space="preserve"> Kevin Fitchard, </w:t>
      </w:r>
      <w:r w:rsidRPr="00D40600">
        <w:rPr>
          <w:i/>
        </w:rPr>
        <w:t>Pioneer Launches Rural LTE Over Verizon Spectrum</w:t>
      </w:r>
      <w:r w:rsidRPr="00D40600">
        <w:t xml:space="preserve">, GigaOm, May 3, 2012, </w:t>
      </w:r>
      <w:hyperlink r:id="rId224" w:history="1">
        <w:r w:rsidRPr="00D40600">
          <w:rPr>
            <w:rStyle w:val="Hyperlink"/>
          </w:rPr>
          <w:t>http://gigaom.com/broadband/pioneer-launches-rural-lte-over-verizon-spectrum/(visited</w:t>
        </w:r>
      </w:hyperlink>
      <w:r w:rsidRPr="00D40600">
        <w:t xml:space="preserve"> Oct. 16, 2012); Joan Engecretson, </w:t>
      </w:r>
      <w:r w:rsidRPr="00D40600">
        <w:rPr>
          <w:i/>
        </w:rPr>
        <w:t>Pioneer Cellular Is First Verizon Rural Partner to Launch 4G LTE</w:t>
      </w:r>
      <w:r w:rsidRPr="00D40600">
        <w:t xml:space="preserve">, Telecompetitor, Apr. 30, 2012 </w:t>
      </w:r>
      <w:hyperlink r:id="rId225" w:history="1">
        <w:r w:rsidRPr="00D40600">
          <w:rPr>
            <w:rStyle w:val="Hyperlink"/>
          </w:rPr>
          <w:t>http://www.telecompetitor.com/pioneer-cellular-is-first-verizon-rural-partner-to-launch-4g-lte/(visited</w:t>
        </w:r>
      </w:hyperlink>
      <w:r w:rsidRPr="00D40600">
        <w:t xml:space="preserve"> Oct. 16, 2012).  </w:t>
      </w:r>
      <w:r w:rsidRPr="00D40600">
        <w:rPr>
          <w:i/>
        </w:rPr>
        <w:t>See</w:t>
      </w:r>
      <w:r w:rsidRPr="00D40600">
        <w:t xml:space="preserve"> Verizon Wireless, </w:t>
      </w:r>
      <w:r w:rsidRPr="00D40600">
        <w:rPr>
          <w:i/>
        </w:rPr>
        <w:t>Pioneer Cellular’s 4G LTE Network Testing Signals All Systems Go</w:t>
      </w:r>
      <w:r w:rsidRPr="00D40600">
        <w:t xml:space="preserve">, Dec. 16, 2011. V (visited Oct. 16, 2012) (stating “Verizon Wireless announced the LTE in Rural America initiative in June 2010 to bring the benefits of high-speed mobile broadband to rural areas of the United States where Verizon Wireless currently does not have a network. </w:t>
      </w:r>
      <w:r>
        <w:t xml:space="preserve"> </w:t>
      </w:r>
      <w:r w:rsidRPr="00D40600">
        <w:t xml:space="preserve">Under the program, Verizon Wireless shares access to its 700 MHz spectrum with rural operators who use their tower and backhaul assets to build a 4G LTE network.”).  </w:t>
      </w:r>
      <w:r w:rsidRPr="00D40600">
        <w:rPr>
          <w:i/>
        </w:rPr>
        <w:t>See</w:t>
      </w:r>
      <w:r w:rsidRPr="00D40600">
        <w:t xml:space="preserve"> Telecompetitor, </w:t>
      </w:r>
      <w:r w:rsidRPr="00D40600">
        <w:rPr>
          <w:i/>
        </w:rPr>
        <w:t>Pioneer Cellular is First Verizon Rural Partner to Launch 4G LTE</w:t>
      </w:r>
      <w:r w:rsidRPr="00D40600">
        <w:t xml:space="preserve">, </w:t>
      </w:r>
      <w:r w:rsidRPr="00432F46">
        <w:rPr>
          <w:i/>
        </w:rPr>
        <w:t xml:space="preserve">available at </w:t>
      </w:r>
      <w:hyperlink r:id="rId226" w:history="1">
        <w:r w:rsidRPr="00D40600">
          <w:rPr>
            <w:rStyle w:val="Hyperlink"/>
          </w:rPr>
          <w:t>http://www.telecompetitor.com/pioneer-cellular-is-first-verizon-rural-partner-to-launch-4g-lte/</w:t>
        </w:r>
      </w:hyperlink>
      <w:r w:rsidRPr="00D40600">
        <w:t xml:space="preserve">, April 30, 2012 (stating “Initially </w:t>
      </w:r>
      <w:hyperlink r:id="rId227" w:tgtFrame="_blank" w:tooltip="Pioneer Cellular" w:history="1">
        <w:r w:rsidRPr="00D40600">
          <w:rPr>
            <w:rStyle w:val="Hyperlink"/>
          </w:rPr>
          <w:t>Pioneer</w:t>
        </w:r>
      </w:hyperlink>
      <w:r w:rsidRPr="00D40600">
        <w:t xml:space="preserve"> will offer three devices for use with the network, said Pioneer Cellular CEO Richard Ruhl in an interview. </w:t>
      </w:r>
      <w:r>
        <w:t xml:space="preserve"> </w:t>
      </w:r>
      <w:r w:rsidRPr="00D40600">
        <w:t xml:space="preserve">These include a MiFi hot spot, a dongle for a personal computer and a fixed home router. Within 30 days, Pioneer hopes to offer mobile handsets for use with the service.”) Verizon Wireless, </w:t>
      </w:r>
      <w:r w:rsidRPr="00D40600">
        <w:rPr>
          <w:i/>
        </w:rPr>
        <w:t>4G LTE Goes Live in Rural America</w:t>
      </w:r>
      <w:r w:rsidRPr="00D40600">
        <w:t>, May 11, 2012</w:t>
      </w:r>
      <w:r w:rsidRPr="00432F46">
        <w:rPr>
          <w:i/>
        </w:rPr>
        <w:t>, available at</w:t>
      </w:r>
      <w:r w:rsidRPr="00D40600">
        <w:t xml:space="preserve"> </w:t>
      </w:r>
      <w:hyperlink r:id="rId228" w:history="1">
        <w:r w:rsidRPr="00D40600">
          <w:rPr>
            <w:rStyle w:val="Hyperlink"/>
          </w:rPr>
          <w:t>http://news.verizonwireless.com/news/2012/05/4g-lte-goes-live-in-rural-america.html</w:t>
        </w:r>
      </w:hyperlink>
      <w:r w:rsidRPr="00D40600">
        <w:t xml:space="preserve">.  Cellcom, </w:t>
      </w:r>
      <w:r w:rsidRPr="00D40600">
        <w:rPr>
          <w:i/>
        </w:rPr>
        <w:t>Cellcom Provides High Speed Internet to Hannahville Community</w:t>
      </w:r>
      <w:r w:rsidRPr="00D40600">
        <w:t xml:space="preserve">, news release, June 13, 2012. </w:t>
      </w:r>
      <w:hyperlink r:id="rId229" w:history="1">
        <w:r w:rsidRPr="00D40600">
          <w:rPr>
            <w:rStyle w:val="Hyperlink"/>
          </w:rPr>
          <w:t>http://www.nsightnews.com/nsight-cellcom-news/nsight-cellcom-press-releases/241-cellcom-provides-high-speed-internet-to-hannahville-community-</w:t>
        </w:r>
      </w:hyperlink>
      <w:r w:rsidRPr="00D40600">
        <w:t xml:space="preserve"> (visited Oct. 16, 2012) (stating “</w:t>
      </w:r>
      <w:r w:rsidRPr="00D40600">
        <w:rPr>
          <w:lang w:val="en-GB"/>
        </w:rPr>
        <w:t xml:space="preserve">Cellcom launched 4G LTE in portions of their service area in April of 2012. </w:t>
      </w:r>
      <w:r>
        <w:rPr>
          <w:lang w:val="en-GB"/>
        </w:rPr>
        <w:t xml:space="preserve"> </w:t>
      </w:r>
      <w:r w:rsidRPr="00D40600">
        <w:rPr>
          <w:lang w:val="en-GB"/>
        </w:rPr>
        <w:t xml:space="preserve">This is the first area where a residential product is being offered. </w:t>
      </w:r>
      <w:r>
        <w:rPr>
          <w:lang w:val="en-GB"/>
        </w:rPr>
        <w:t xml:space="preserve"> </w:t>
      </w:r>
      <w:r w:rsidRPr="00D40600">
        <w:rPr>
          <w:lang w:val="en-GB"/>
        </w:rPr>
        <w:t>Cellcom plans to roll out 4G residential broadband to additional areas in the future and will continue to add 4G coverage throughout its service area in the coming years.</w:t>
      </w:r>
      <w:r w:rsidRPr="00D40600">
        <w:t xml:space="preserve">”).  Cellcom states that 4G LTE mobile handsets will be in stock soon.  Cellcom, </w:t>
      </w:r>
      <w:hyperlink r:id="rId230" w:history="1">
        <w:r w:rsidRPr="00D40600">
          <w:rPr>
            <w:rStyle w:val="Hyperlink"/>
          </w:rPr>
          <w:t>www.cellcom.com</w:t>
        </w:r>
      </w:hyperlink>
      <w:r w:rsidRPr="00D40600">
        <w:t xml:space="preserve"> (visited Sept. 17, 2012).</w:t>
      </w:r>
    </w:p>
  </w:footnote>
  <w:footnote w:id="590">
    <w:p w:rsidR="00EC7CF3" w:rsidRDefault="00EC7CF3" w:rsidP="003C780D">
      <w:pPr>
        <w:pStyle w:val="FootnoteText"/>
      </w:pPr>
      <w:r w:rsidRPr="00D40600">
        <w:rPr>
          <w:rStyle w:val="FootnoteReference"/>
          <w:sz w:val="20"/>
        </w:rPr>
        <w:footnoteRef/>
      </w:r>
      <w:r w:rsidRPr="00D40600">
        <w:t xml:space="preserve"> Kevin Fitchard, </w:t>
      </w:r>
      <w:r w:rsidRPr="00D40600">
        <w:rPr>
          <w:i/>
        </w:rPr>
        <w:t>Pioneer Launches Rural LTE Over Verizon Spectrum</w:t>
      </w:r>
      <w:r w:rsidRPr="00D40600">
        <w:t xml:space="preserve">, GigaOm, May 3, 2012, </w:t>
      </w:r>
      <w:hyperlink r:id="rId231" w:history="1">
        <w:r w:rsidRPr="00D40600">
          <w:rPr>
            <w:rStyle w:val="Hyperlink"/>
          </w:rPr>
          <w:t>http://gigaom.com/broadband/pioneer-launches-rural-lte-over-verizon-spectrum/</w:t>
        </w:r>
      </w:hyperlink>
      <w:r w:rsidRPr="00D40600">
        <w:t xml:space="preserve"> (visited Oct. 16, 2012); </w:t>
      </w:r>
      <w:r w:rsidRPr="00D40600">
        <w:rPr>
          <w:i/>
        </w:rPr>
        <w:t xml:space="preserve">Two Verizon Rural LTE Partners Nearing Launch; Scheme Gains Two New Operators, </w:t>
      </w:r>
      <w:r w:rsidRPr="00D40600">
        <w:t xml:space="preserve">TeleGeography, Mar. 28, 2012, </w:t>
      </w:r>
      <w:hyperlink r:id="rId232" w:history="1">
        <w:r w:rsidRPr="00D40600">
          <w:rPr>
            <w:rStyle w:val="Hyperlink"/>
          </w:rPr>
          <w:t>http://www.telegeography.com/products/commsupdate/articles/2012/03/28/two-verizon-rural-lte-partners-nearing-launch-scheme-gains-two-new-operators/</w:t>
        </w:r>
      </w:hyperlink>
      <w:r w:rsidRPr="00D40600">
        <w:t xml:space="preserve"> (visited Oct. 16, 2012); Dan Meyer, </w:t>
      </w:r>
      <w:r w:rsidRPr="00D40600">
        <w:rPr>
          <w:i/>
        </w:rPr>
        <w:t>Verizon Wireless Adds Chariton to Rural LTE Program</w:t>
      </w:r>
      <w:r w:rsidRPr="00D40600">
        <w:t xml:space="preserve">, RCR Wireless, Sept. 12, 2011, </w:t>
      </w:r>
      <w:hyperlink r:id="rId233" w:history="1">
        <w:r w:rsidRPr="00D40600">
          <w:rPr>
            <w:rStyle w:val="Hyperlink"/>
          </w:rPr>
          <w:t>http://www.rcrwireless.com/article/20110912/carriers/verizon-wireless-adds-chariton-to-rural-lte-program/</w:t>
        </w:r>
      </w:hyperlink>
      <w:r w:rsidRPr="00D40600">
        <w:t xml:space="preserve"> (visited Oct 16, 2012).  </w:t>
      </w:r>
    </w:p>
  </w:footnote>
  <w:footnote w:id="591">
    <w:p w:rsidR="00EC7CF3" w:rsidRDefault="00EC7CF3" w:rsidP="003C780D">
      <w:pPr>
        <w:pStyle w:val="FootnoteText"/>
      </w:pPr>
      <w:r w:rsidRPr="00D40600">
        <w:rPr>
          <w:rStyle w:val="FootnoteReference"/>
          <w:sz w:val="20"/>
        </w:rPr>
        <w:footnoteRef/>
      </w:r>
      <w:r w:rsidRPr="00D40600">
        <w:t xml:space="preserve"> AT&amp;T Comments at 29-30.</w:t>
      </w:r>
    </w:p>
  </w:footnote>
  <w:footnote w:id="592">
    <w:p w:rsidR="00EC7CF3" w:rsidRDefault="00EC7CF3" w:rsidP="003C780D">
      <w:pPr>
        <w:pStyle w:val="FootnoteText"/>
      </w:pPr>
      <w:r w:rsidRPr="00D40600">
        <w:rPr>
          <w:rStyle w:val="FootnoteReference"/>
          <w:sz w:val="20"/>
        </w:rPr>
        <w:footnoteRef/>
      </w:r>
      <w:r w:rsidRPr="00D40600">
        <w:t xml:space="preserve"> As stated above, these estimates of coverage represent mobile network deployment and may not indicate the extent to which providers actually offer service in the covered areas or have customers living in those areas.  We estimate this coverage based on a census block analysis of Mosaik CoverageRight coverage maps (AT&amp;T’s HSPA+ coverage) for January 2012.  Population data are derived from the 2010 Census.  </w:t>
      </w:r>
      <w:r w:rsidRPr="00D40600">
        <w:rPr>
          <w:i/>
        </w:rPr>
        <w:t>See</w:t>
      </w:r>
      <w:r w:rsidRPr="00D40600">
        <w:t xml:space="preserve"> Section III.B  Overview of the Mobile Wireless Industry </w:t>
      </w:r>
      <w:r w:rsidRPr="00D40600">
        <w:rPr>
          <w:i/>
        </w:rPr>
        <w:t>supra</w:t>
      </w:r>
      <w:r w:rsidRPr="00D40600">
        <w:t>.</w:t>
      </w:r>
    </w:p>
  </w:footnote>
  <w:footnote w:id="593">
    <w:p w:rsidR="00EC7CF3" w:rsidRDefault="00EC7CF3" w:rsidP="003C780D">
      <w:pPr>
        <w:pStyle w:val="FootnoteText"/>
      </w:pPr>
      <w:r w:rsidRPr="00D40600">
        <w:rPr>
          <w:rStyle w:val="FootnoteReference"/>
          <w:sz w:val="20"/>
        </w:rPr>
        <w:footnoteRef/>
      </w:r>
      <w:r w:rsidRPr="00D40600">
        <w:t xml:space="preserve">  Applications of AT&amp;T Inc. and Deutsche Telekom AG for Consent to Transfer Control of Licenses and Authorizations, WT Docket No. 11-65, </w:t>
      </w:r>
      <w:r w:rsidRPr="00D40600">
        <w:rPr>
          <w:i/>
        </w:rPr>
        <w:t xml:space="preserve">Order, </w:t>
      </w:r>
      <w:r w:rsidRPr="00D40600">
        <w:t>26 FCC Rcd 16184, 16286 ¶ 245 (WTB 2011) (</w:t>
      </w:r>
      <w:r w:rsidRPr="00D40600">
        <w:rPr>
          <w:i/>
        </w:rPr>
        <w:t>Bureau Order dismissing transfer applications without prejudice,  Staff Analysis and Findings</w:t>
      </w:r>
      <w:r w:rsidRPr="00D40600">
        <w:t>).</w:t>
      </w:r>
    </w:p>
  </w:footnote>
  <w:footnote w:id="594">
    <w:p w:rsidR="00EC7CF3" w:rsidRDefault="00EC7CF3" w:rsidP="003C780D">
      <w:pPr>
        <w:pStyle w:val="FootnoteText"/>
      </w:pPr>
      <w:r w:rsidRPr="00D40600">
        <w:rPr>
          <w:rStyle w:val="FootnoteReference"/>
          <w:sz w:val="20"/>
        </w:rPr>
        <w:footnoteRef/>
      </w:r>
      <w:r w:rsidRPr="00D40600">
        <w:t xml:space="preserve"> </w:t>
      </w:r>
      <w:r w:rsidRPr="00D40600">
        <w:rPr>
          <w:i/>
          <w:iCs/>
        </w:rPr>
        <w:t>See Fifteenth Report</w:t>
      </w:r>
      <w:r w:rsidRPr="00D40600">
        <w:rPr>
          <w:iCs/>
        </w:rPr>
        <w:t>, 26 FCC Rcd at 9737 ¶ 110</w:t>
      </w:r>
      <w:r w:rsidRPr="00D40600">
        <w:t>.</w:t>
      </w:r>
    </w:p>
  </w:footnote>
  <w:footnote w:id="595">
    <w:p w:rsidR="00EC7CF3" w:rsidRDefault="00EC7CF3" w:rsidP="003C780D">
      <w:pPr>
        <w:pStyle w:val="FootnoteText"/>
      </w:pPr>
      <w:r w:rsidRPr="00D40600">
        <w:rPr>
          <w:rStyle w:val="FootnoteReference"/>
          <w:sz w:val="20"/>
        </w:rPr>
        <w:footnoteRef/>
      </w:r>
      <w:r w:rsidRPr="00D40600">
        <w:t xml:space="preserve"> Sascha Segan, </w:t>
      </w:r>
      <w:r w:rsidRPr="00D40600">
        <w:rPr>
          <w:i/>
        </w:rPr>
        <w:t>AT&amp;T Defines 4G as HSPA 14.4</w:t>
      </w:r>
      <w:r w:rsidRPr="00D40600">
        <w:t xml:space="preserve">, PCMag.com, May 5, 2011, </w:t>
      </w:r>
      <w:hyperlink r:id="rId234" w:history="1">
        <w:r w:rsidRPr="00D40600">
          <w:rPr>
            <w:rStyle w:val="Hyperlink"/>
          </w:rPr>
          <w:t>http://www.pcmag.com/article2/0,2817,2384959,00.asp</w:t>
        </w:r>
      </w:hyperlink>
      <w:r w:rsidRPr="00D40600">
        <w:t xml:space="preserve"> (visited Oct. 16, 2012).</w:t>
      </w:r>
    </w:p>
  </w:footnote>
  <w:footnote w:id="596">
    <w:p w:rsidR="00EC7CF3" w:rsidRDefault="00EC7CF3" w:rsidP="003C780D">
      <w:pPr>
        <w:pStyle w:val="FootnoteText"/>
      </w:pPr>
      <w:r w:rsidRPr="00D40600">
        <w:rPr>
          <w:rStyle w:val="FootnoteReference"/>
          <w:sz w:val="20"/>
        </w:rPr>
        <w:footnoteRef/>
      </w:r>
      <w:r w:rsidRPr="00D40600">
        <w:t xml:space="preserve"> Phil Goldstein, </w:t>
      </w:r>
      <w:r w:rsidRPr="00D40600">
        <w:rPr>
          <w:i/>
        </w:rPr>
        <w:t>AT&amp;T to Expand LTE Coverage to 12 More Markets</w:t>
      </w:r>
      <w:r w:rsidRPr="00D40600">
        <w:t xml:space="preserve">, FierceWireless, Mar. 12, 2012, </w:t>
      </w:r>
      <w:hyperlink r:id="rId235" w:history="1">
        <w:r w:rsidRPr="00D40600">
          <w:rPr>
            <w:rStyle w:val="Hyperlink"/>
          </w:rPr>
          <w:t>http://www.fiercewireless.com/story/att-expand-lte-coverage-12-more-markets/2012-03-12</w:t>
        </w:r>
      </w:hyperlink>
      <w:r w:rsidRPr="00D40600">
        <w:t>. (visited Oct. 16, 2012)</w:t>
      </w:r>
      <w:r>
        <w:t>.</w:t>
      </w:r>
    </w:p>
  </w:footnote>
  <w:footnote w:id="597">
    <w:p w:rsidR="00EC7CF3" w:rsidRDefault="00EC7CF3" w:rsidP="003C780D">
      <w:pPr>
        <w:pStyle w:val="FootnoteText"/>
      </w:pPr>
      <w:r w:rsidRPr="00D40600">
        <w:rPr>
          <w:rStyle w:val="FootnoteReference"/>
          <w:sz w:val="20"/>
        </w:rPr>
        <w:footnoteRef/>
      </w:r>
      <w:r w:rsidRPr="00D40600">
        <w:t xml:space="preserve"> </w:t>
      </w:r>
      <w:r w:rsidRPr="00D40600">
        <w:rPr>
          <w:i/>
        </w:rPr>
        <w:t>4G LTE from AT&amp;T Available in Chicago,</w:t>
      </w:r>
      <w:r w:rsidRPr="00D40600">
        <w:t xml:space="preserve"> Press Release, AT&amp;T, Sept. 19, 2011, </w:t>
      </w:r>
      <w:r w:rsidRPr="00D40600">
        <w:rPr>
          <w:i/>
        </w:rPr>
        <w:t xml:space="preserve">available at </w:t>
      </w:r>
      <w:hyperlink r:id="rId236" w:history="1">
        <w:r w:rsidRPr="007C0F0A">
          <w:rPr>
            <w:rStyle w:val="Hyperlink"/>
          </w:rPr>
          <w:t>http://www.att.com/gen/press-room?pid=21165&amp;cdvn=news&amp;newsarticleid=32813&amp;mapcode=wireless-networks-general|consumer</w:t>
        </w:r>
        <w:r w:rsidRPr="00432F46">
          <w:rPr>
            <w:rStyle w:val="Hyperlink"/>
            <w:color w:val="auto"/>
            <w:u w:val="none"/>
          </w:rPr>
          <w:t xml:space="preserve"> (visited</w:t>
        </w:r>
      </w:hyperlink>
      <w:r>
        <w:t xml:space="preserve"> Nov. 30, 2012),</w:t>
      </w:r>
      <w:r w:rsidRPr="00D40600">
        <w:t xml:space="preserve"> AT&amp;T Comments at 31. </w:t>
      </w:r>
      <w:r w:rsidRPr="00D40600">
        <w:rPr>
          <w:i/>
        </w:rPr>
        <w:t xml:space="preserve"> </w:t>
      </w:r>
    </w:p>
  </w:footnote>
  <w:footnote w:id="598">
    <w:p w:rsidR="00EC7CF3" w:rsidRDefault="00EC7CF3" w:rsidP="003C780D">
      <w:pPr>
        <w:pStyle w:val="FootnoteText"/>
      </w:pPr>
      <w:r w:rsidRPr="00D40600">
        <w:rPr>
          <w:rStyle w:val="FootnoteReference"/>
          <w:sz w:val="20"/>
        </w:rPr>
        <w:footnoteRef/>
      </w:r>
      <w:r w:rsidRPr="00D40600">
        <w:t xml:space="preserve"> Phil Goldstein, </w:t>
      </w:r>
      <w:r w:rsidRPr="00D40600">
        <w:rPr>
          <w:i/>
        </w:rPr>
        <w:t>AT&amp;T to Expand LTE Coverage to 12 More Markets</w:t>
      </w:r>
      <w:r w:rsidRPr="00D40600">
        <w:t xml:space="preserve">, FierceWireless, Mar. 12, 2012, </w:t>
      </w:r>
      <w:hyperlink r:id="rId237" w:history="1">
        <w:r w:rsidRPr="00D40600">
          <w:rPr>
            <w:rStyle w:val="Hyperlink"/>
          </w:rPr>
          <w:t>http://www.fiercewireless.com/story/att-expand-lte-coverage-12-more-markets/2012-03-12</w:t>
        </w:r>
      </w:hyperlink>
      <w:r w:rsidRPr="00D40600">
        <w:t xml:space="preserve"> (visited Oct 16, 2012); Phil Goldstein, </w:t>
      </w:r>
      <w:r w:rsidRPr="00D40600">
        <w:rPr>
          <w:i/>
        </w:rPr>
        <w:t xml:space="preserve">Study: AT&amp;T, T-Mobile Top Network Speed Tests, </w:t>
      </w:r>
      <w:r w:rsidRPr="00D40600">
        <w:t xml:space="preserve">FierceWireless, Apr. 17, 2012, at </w:t>
      </w:r>
      <w:hyperlink r:id="rId238" w:history="1">
        <w:r w:rsidRPr="00D40600">
          <w:rPr>
            <w:rStyle w:val="Hyperlink"/>
          </w:rPr>
          <w:t>http://www.fiercewireless.com/story/study-att-t-mobile-top-network-speed-tests/2012-04-17</w:t>
        </w:r>
      </w:hyperlink>
      <w:r w:rsidRPr="00D40600">
        <w:t xml:space="preserve"> (visited Oct. 16, 2012).  </w:t>
      </w:r>
    </w:p>
  </w:footnote>
  <w:footnote w:id="599">
    <w:p w:rsidR="00EC7CF3" w:rsidRDefault="00EC7CF3">
      <w:pPr>
        <w:pStyle w:val="FootnoteText"/>
      </w:pPr>
      <w:r w:rsidRPr="00D40600">
        <w:rPr>
          <w:rStyle w:val="FootnoteReference"/>
          <w:sz w:val="20"/>
        </w:rPr>
        <w:footnoteRef/>
      </w:r>
      <w:r w:rsidRPr="00D40600">
        <w:t xml:space="preserve"> AT&amp;T, </w:t>
      </w:r>
      <w:hyperlink r:id="rId239" w:history="1">
        <w:r w:rsidRPr="00D40600">
          <w:rPr>
            <w:rStyle w:val="Hyperlink"/>
          </w:rPr>
          <w:t>http://www.att.com/network/</w:t>
        </w:r>
      </w:hyperlink>
      <w:r w:rsidRPr="00D40600">
        <w:t xml:space="preserve"> (Visited Sept. 18, 2012).</w:t>
      </w:r>
    </w:p>
  </w:footnote>
  <w:footnote w:id="600">
    <w:p w:rsidR="00EC7CF3" w:rsidRDefault="00EC7CF3" w:rsidP="003C780D">
      <w:pPr>
        <w:pStyle w:val="FootnoteText"/>
      </w:pPr>
      <w:r w:rsidRPr="00D40600">
        <w:rPr>
          <w:rStyle w:val="FootnoteReference"/>
          <w:sz w:val="20"/>
        </w:rPr>
        <w:footnoteRef/>
      </w:r>
      <w:r w:rsidRPr="00D40600">
        <w:t xml:space="preserve"> AT&amp;T Comments at 31.</w:t>
      </w:r>
    </w:p>
  </w:footnote>
  <w:footnote w:id="601">
    <w:p w:rsidR="00EC7CF3" w:rsidRDefault="00EC7CF3" w:rsidP="003C780D">
      <w:pPr>
        <w:pStyle w:val="FootnoteText"/>
      </w:pPr>
      <w:r w:rsidRPr="00D40600">
        <w:rPr>
          <w:rStyle w:val="FootnoteReference"/>
          <w:sz w:val="20"/>
        </w:rPr>
        <w:footnoteRef/>
      </w:r>
      <w:r w:rsidRPr="00D40600">
        <w:t xml:space="preserve"> Applications of AT&amp;T Inc. and Deutsche Telekom AG for Consent to Transfer Control of Licenses and Authorizations, WT Docket No. 11-65, </w:t>
      </w:r>
      <w:r w:rsidRPr="00D40600">
        <w:rPr>
          <w:i/>
        </w:rPr>
        <w:t xml:space="preserve">Order, </w:t>
      </w:r>
      <w:r w:rsidRPr="00D40600">
        <w:t>26 FCC Rcd 16184, 16286 ¶ 245 (WTB 2011) (</w:t>
      </w:r>
      <w:r w:rsidRPr="00D40600">
        <w:rPr>
          <w:i/>
        </w:rPr>
        <w:t>Bureau Order dismissing transfer applications without prejudice,  Staff Analysis and Findings</w:t>
      </w:r>
      <w:r w:rsidRPr="00D40600">
        <w:t xml:space="preserve">). </w:t>
      </w:r>
      <w:r w:rsidRPr="00D40600">
        <w:rPr>
          <w:i/>
        </w:rPr>
        <w:t xml:space="preserve"> </w:t>
      </w:r>
      <w:r w:rsidRPr="00D40600">
        <w:t xml:space="preserve">AT&amp;T is using both its 700 MHz and AWS spectrum holdings for its LTE deployment. </w:t>
      </w:r>
      <w:r w:rsidRPr="00D40600">
        <w:rPr>
          <w:i/>
        </w:rPr>
        <w:t xml:space="preserve"> See Fifteenth Report</w:t>
      </w:r>
      <w:r w:rsidRPr="00D40600">
        <w:t>, 26 FCC Rcd at 9737 ¶ 110.</w:t>
      </w:r>
    </w:p>
  </w:footnote>
  <w:footnote w:id="602">
    <w:p w:rsidR="00EC7CF3" w:rsidRDefault="00EC7CF3" w:rsidP="003C780D">
      <w:pPr>
        <w:pStyle w:val="FootnoteText"/>
      </w:pPr>
      <w:r w:rsidRPr="00D40600">
        <w:rPr>
          <w:rStyle w:val="FootnoteReference"/>
          <w:sz w:val="20"/>
        </w:rPr>
        <w:footnoteRef/>
      </w:r>
      <w:r w:rsidRPr="00D40600">
        <w:t xml:space="preserve"> </w:t>
      </w:r>
      <w:r w:rsidRPr="00D40600">
        <w:rPr>
          <w:i/>
        </w:rPr>
        <w:t>See Fifteenth Report</w:t>
      </w:r>
      <w:r w:rsidRPr="00D40600">
        <w:t>, 26 FCC Rcd at 9737 ¶111.</w:t>
      </w:r>
    </w:p>
  </w:footnote>
  <w:footnote w:id="603">
    <w:p w:rsidR="00EC7CF3" w:rsidRDefault="00EC7CF3" w:rsidP="003C780D">
      <w:pPr>
        <w:pStyle w:val="FootnoteText"/>
      </w:pPr>
      <w:r w:rsidRPr="00D40600">
        <w:rPr>
          <w:rStyle w:val="FootnoteReference"/>
          <w:sz w:val="20"/>
        </w:rPr>
        <w:footnoteRef/>
      </w:r>
      <w:r w:rsidRPr="00D40600">
        <w:t xml:space="preserve"> Sascha Segan, </w:t>
      </w:r>
      <w:r w:rsidRPr="00D40600">
        <w:rPr>
          <w:i/>
        </w:rPr>
        <w:t>AT&amp;T Defines 4G as HSPA 14.4</w:t>
      </w:r>
      <w:r w:rsidRPr="00D40600">
        <w:t xml:space="preserve">, PCMag.com, May 5, 2011, </w:t>
      </w:r>
      <w:hyperlink r:id="rId240" w:history="1">
        <w:r w:rsidRPr="007C0F0A">
          <w:rPr>
            <w:rStyle w:val="Hyperlink"/>
          </w:rPr>
          <w:t xml:space="preserve">http://www.pcmag.com/article2/0,2817,2384959,00.asp </w:t>
        </w:r>
        <w:r w:rsidRPr="00432F46">
          <w:rPr>
            <w:rStyle w:val="Hyperlink"/>
            <w:color w:val="auto"/>
            <w:u w:val="none"/>
          </w:rPr>
          <w:t>(visited</w:t>
        </w:r>
      </w:hyperlink>
      <w:r>
        <w:t xml:space="preserve"> Nov. 30, 2012).</w:t>
      </w:r>
    </w:p>
  </w:footnote>
  <w:footnote w:id="604">
    <w:p w:rsidR="00EC7CF3" w:rsidRDefault="00EC7CF3" w:rsidP="003C780D">
      <w:pPr>
        <w:pStyle w:val="FootnoteText"/>
      </w:pPr>
      <w:r w:rsidRPr="00D40600">
        <w:rPr>
          <w:rStyle w:val="FootnoteReference"/>
          <w:sz w:val="20"/>
        </w:rPr>
        <w:footnoteRef/>
      </w:r>
      <w:r w:rsidRPr="00D40600">
        <w:t xml:space="preserve"> Mike Dano, </w:t>
      </w:r>
      <w:r w:rsidRPr="00D40600">
        <w:rPr>
          <w:i/>
        </w:rPr>
        <w:t>AT&amp;T, T-Mobile Wrangling Over Who Has the Largest 4G Network</w:t>
      </w:r>
      <w:r w:rsidRPr="00D40600">
        <w:t xml:space="preserve">, FierceWireless, April 18, 2012, at </w:t>
      </w:r>
      <w:hyperlink r:id="rId241" w:history="1">
        <w:r w:rsidRPr="00D40600">
          <w:rPr>
            <w:rStyle w:val="Hyperlink"/>
          </w:rPr>
          <w:t>http://www.fiercewireless.com/story/att-t-mobile-wrangling-over-who-has-largest-4g-network/2012-04-18</w:t>
        </w:r>
      </w:hyperlink>
      <w:r w:rsidRPr="00D40600">
        <w:t xml:space="preserve"> (citing Steven Schwadron of AT&amp;T).</w:t>
      </w:r>
    </w:p>
  </w:footnote>
  <w:footnote w:id="605">
    <w:p w:rsidR="00EC7CF3" w:rsidRDefault="00EC7CF3" w:rsidP="003C780D">
      <w:pPr>
        <w:pStyle w:val="FootnoteText"/>
      </w:pPr>
      <w:r w:rsidRPr="00D40600">
        <w:rPr>
          <w:rStyle w:val="FootnoteReference"/>
          <w:sz w:val="20"/>
        </w:rPr>
        <w:footnoteRef/>
      </w:r>
      <w:r w:rsidRPr="00D40600">
        <w:t xml:space="preserve"> As stated above, these estimates of coverage represent mobile network deployment and may not indicate the extent to which providers actually offer service in the covered areas or have customers living in those areas.  We estimate this coverage based on  a census block analysis of Mosaik CoverageRight coverage maps (AT&amp;T’s HSPA+ coverage) for January 2012.  Population data are derived from the 2010 Census.  </w:t>
      </w:r>
      <w:r w:rsidRPr="00D40600">
        <w:rPr>
          <w:i/>
        </w:rPr>
        <w:t>See</w:t>
      </w:r>
      <w:r w:rsidRPr="00D40600">
        <w:t xml:space="preserve"> Section III.B  Overview of the Mobile Wireless Industry </w:t>
      </w:r>
      <w:r w:rsidRPr="00D40600">
        <w:rPr>
          <w:i/>
        </w:rPr>
        <w:t>supra</w:t>
      </w:r>
      <w:r w:rsidRPr="00D40600">
        <w:t xml:space="preserve">.  </w:t>
      </w:r>
    </w:p>
  </w:footnote>
  <w:footnote w:id="606">
    <w:p w:rsidR="00EC7CF3" w:rsidRDefault="00EC7CF3" w:rsidP="003C780D">
      <w:pPr>
        <w:pStyle w:val="FootnoteText"/>
      </w:pPr>
      <w:r w:rsidRPr="00D40600">
        <w:rPr>
          <w:rStyle w:val="FootnoteReference"/>
          <w:sz w:val="20"/>
        </w:rPr>
        <w:footnoteRef/>
      </w:r>
      <w:r w:rsidRPr="00D40600">
        <w:t xml:space="preserve"> </w:t>
      </w:r>
      <w:r w:rsidRPr="00D40600">
        <w:rPr>
          <w:i/>
        </w:rPr>
        <w:t>See Fifteenth Report</w:t>
      </w:r>
      <w:r w:rsidRPr="00D40600">
        <w:t>, 26 FCC Rcd at 9738 ¶ 112.</w:t>
      </w:r>
    </w:p>
  </w:footnote>
  <w:footnote w:id="607">
    <w:p w:rsidR="00EC7CF3" w:rsidRDefault="00EC7CF3" w:rsidP="003C780D">
      <w:pPr>
        <w:pStyle w:val="FootnoteText"/>
      </w:pPr>
      <w:r w:rsidRPr="00D40600">
        <w:rPr>
          <w:rStyle w:val="FootnoteReference"/>
          <w:sz w:val="20"/>
        </w:rPr>
        <w:footnoteRef/>
      </w:r>
      <w:r w:rsidRPr="00D40600">
        <w:t xml:space="preserve"> Sascha Segan, </w:t>
      </w:r>
      <w:r w:rsidRPr="00D40600">
        <w:rPr>
          <w:i/>
        </w:rPr>
        <w:t>Sprint: A Better Network Is Coming</w:t>
      </w:r>
      <w:r w:rsidRPr="00D40600">
        <w:t xml:space="preserve">, PCMag.com, May 9, 2012, </w:t>
      </w:r>
      <w:hyperlink r:id="rId242" w:history="1">
        <w:r w:rsidRPr="00D40600">
          <w:rPr>
            <w:rStyle w:val="Hyperlink"/>
          </w:rPr>
          <w:t>http://www.pcmag.com/article2/0,2817,2404184,00.asp</w:t>
        </w:r>
      </w:hyperlink>
      <w:r w:rsidRPr="00D40600">
        <w:t>. (visited Oct. 16, 2012)</w:t>
      </w:r>
      <w:r>
        <w:t>.</w:t>
      </w:r>
    </w:p>
  </w:footnote>
  <w:footnote w:id="608">
    <w:p w:rsidR="00EC7CF3" w:rsidRDefault="00EC7CF3" w:rsidP="003C780D">
      <w:pPr>
        <w:pStyle w:val="FootnoteText"/>
      </w:pPr>
      <w:r w:rsidRPr="00D40600">
        <w:rPr>
          <w:rStyle w:val="FootnoteReference"/>
          <w:sz w:val="20"/>
        </w:rPr>
        <w:footnoteRef/>
      </w:r>
      <w:r w:rsidRPr="00D40600">
        <w:t xml:space="preserve"> Roger Cheng, </w:t>
      </w:r>
      <w:r w:rsidRPr="00D40600">
        <w:rPr>
          <w:i/>
        </w:rPr>
        <w:t>Sprint to Launch Own 4G LTE Network in Early 2012</w:t>
      </w:r>
      <w:r w:rsidRPr="00D40600">
        <w:t xml:space="preserve">, CNET News, Sept. 27, 2011, </w:t>
      </w:r>
      <w:hyperlink r:id="rId243" w:history="1">
        <w:r w:rsidRPr="00D40600">
          <w:rPr>
            <w:rStyle w:val="Hyperlink"/>
          </w:rPr>
          <w:t>http://news.cnet.com/8301-1035_3-20112095-94/sprint-to-launch-own-4g-lte-network-in-early-2012-scoop/</w:t>
        </w:r>
      </w:hyperlink>
      <w:r w:rsidRPr="00D40600">
        <w:t xml:space="preserve">  (visited Oct. 16, 2012).</w:t>
      </w:r>
    </w:p>
  </w:footnote>
  <w:footnote w:id="609">
    <w:p w:rsidR="00EC7CF3" w:rsidRDefault="00EC7CF3" w:rsidP="003C780D">
      <w:pPr>
        <w:pStyle w:val="FootnoteText"/>
      </w:pPr>
      <w:r w:rsidRPr="00D40600">
        <w:rPr>
          <w:rStyle w:val="FootnoteReference"/>
          <w:sz w:val="20"/>
        </w:rPr>
        <w:footnoteRef/>
      </w:r>
      <w:r w:rsidRPr="00D40600">
        <w:t xml:space="preserve"> </w:t>
      </w:r>
      <w:r w:rsidRPr="00D40600">
        <w:rPr>
          <w:i/>
        </w:rPr>
        <w:t>Baltimore and Kansas City Sprint Customers to Benefit from 4G LTE and 3G Enhancements in 2012</w:t>
      </w:r>
      <w:r w:rsidRPr="00D40600">
        <w:t xml:space="preserve">, Press Release, Sprint, Feb. 8, 2012, </w:t>
      </w:r>
      <w:r w:rsidRPr="00D40600">
        <w:rPr>
          <w:i/>
        </w:rPr>
        <w:t>available at</w:t>
      </w:r>
      <w:r w:rsidRPr="00D40600">
        <w:t xml:space="preserve"> </w:t>
      </w:r>
      <w:hyperlink r:id="rId244" w:history="1">
        <w:r w:rsidRPr="00D40600">
          <w:rPr>
            <w:rStyle w:val="Hyperlink"/>
          </w:rPr>
          <w:t>http://newsroom.sprint.com/article_display.cfm?article_id=2180</w:t>
        </w:r>
      </w:hyperlink>
      <w:r>
        <w:t xml:space="preserve"> (visited Oct. 16, 2012).</w:t>
      </w:r>
    </w:p>
  </w:footnote>
  <w:footnote w:id="610">
    <w:p w:rsidR="00EC7CF3" w:rsidRDefault="00EC7CF3" w:rsidP="003C780D">
      <w:pPr>
        <w:pStyle w:val="FootnoteText"/>
      </w:pPr>
      <w:r w:rsidRPr="00D40600">
        <w:rPr>
          <w:rStyle w:val="FootnoteReference"/>
          <w:sz w:val="20"/>
        </w:rPr>
        <w:footnoteRef/>
      </w:r>
      <w:r w:rsidRPr="00D40600">
        <w:t xml:space="preserve"> </w:t>
      </w:r>
      <w:r w:rsidRPr="00D40600">
        <w:rPr>
          <w:i/>
        </w:rPr>
        <w:t xml:space="preserve">Sprint Continues 4G LTE Momentum with Launch of Galaxy Nexus by Samsung on April 22 for $199.99, </w:t>
      </w:r>
      <w:r w:rsidRPr="00D40600">
        <w:t xml:space="preserve">Press Release, Sprint, Apr. 16, 2012, </w:t>
      </w:r>
      <w:r w:rsidRPr="00D40600">
        <w:rPr>
          <w:i/>
        </w:rPr>
        <w:t xml:space="preserve">available at </w:t>
      </w:r>
      <w:hyperlink r:id="rId245" w:history="1">
        <w:r w:rsidRPr="00D40600">
          <w:rPr>
            <w:rStyle w:val="Hyperlink"/>
          </w:rPr>
          <w:t>http://newsroom.sprint.com/article_display.cfm?article_id=2240</w:t>
        </w:r>
      </w:hyperlink>
      <w:r w:rsidRPr="00D40600">
        <w:t xml:space="preserve">  (visited Oct. 16, 2012); </w:t>
      </w:r>
      <w:r w:rsidRPr="00D40600">
        <w:rPr>
          <w:i/>
        </w:rPr>
        <w:t xml:space="preserve">Sprint Debuts HTC EVO 4G LTE on May 18 for $199.99, </w:t>
      </w:r>
      <w:r w:rsidRPr="00D40600">
        <w:t xml:space="preserve">Press Release, Sprint, May 9, 2012, </w:t>
      </w:r>
      <w:r w:rsidRPr="00D40600">
        <w:rPr>
          <w:i/>
        </w:rPr>
        <w:t xml:space="preserve">available at </w:t>
      </w:r>
      <w:hyperlink r:id="rId246" w:history="1">
        <w:r w:rsidRPr="00D40600">
          <w:rPr>
            <w:rStyle w:val="Hyperlink"/>
          </w:rPr>
          <w:t>http://newsroom.sprint.com/article_display.cfm?article_id=2269</w:t>
        </w:r>
      </w:hyperlink>
      <w:r w:rsidRPr="00D40600">
        <w:t xml:space="preserve">  (visited Oct. 16, 2012). </w:t>
      </w:r>
    </w:p>
  </w:footnote>
  <w:footnote w:id="611">
    <w:p w:rsidR="00EC7CF3" w:rsidRDefault="00EC7CF3" w:rsidP="00836614">
      <w:pPr>
        <w:pStyle w:val="FootnoteText"/>
      </w:pPr>
      <w:r w:rsidRPr="00D40600">
        <w:rPr>
          <w:rStyle w:val="FootnoteReference"/>
          <w:sz w:val="20"/>
        </w:rPr>
        <w:footnoteRef/>
      </w:r>
      <w:r w:rsidRPr="00D40600">
        <w:t xml:space="preserve"> </w:t>
      </w:r>
      <w:r w:rsidRPr="00D40600">
        <w:rPr>
          <w:bCs/>
        </w:rPr>
        <w:t xml:space="preserve">Sprint, News Release, </w:t>
      </w:r>
      <w:r w:rsidRPr="00D40600">
        <w:rPr>
          <w:bCs/>
          <w:i/>
        </w:rPr>
        <w:t>Sprint 4G LTE Available in More Than 100 Additional Cities in the Coming Months</w:t>
      </w:r>
      <w:r w:rsidRPr="00D40600">
        <w:rPr>
          <w:bCs/>
        </w:rPr>
        <w:t>, Sept. 10, 2012</w:t>
      </w:r>
      <w:r w:rsidRPr="00432F46">
        <w:rPr>
          <w:bCs/>
          <w:i/>
        </w:rPr>
        <w:t>, available at</w:t>
      </w:r>
      <w:r w:rsidRPr="00D40600">
        <w:rPr>
          <w:bCs/>
        </w:rPr>
        <w:t xml:space="preserve"> </w:t>
      </w:r>
      <w:hyperlink r:id="rId247" w:history="1">
        <w:r w:rsidRPr="00D40600">
          <w:rPr>
            <w:rStyle w:val="Hyperlink"/>
            <w:bCs/>
          </w:rPr>
          <w:t>http://newsroom.sprint.com/article_display.cfm?article_id=2382</w:t>
        </w:r>
      </w:hyperlink>
      <w:r w:rsidRPr="00D40600">
        <w:rPr>
          <w:bCs/>
        </w:rPr>
        <w:t xml:space="preserve"> (visited Sept. 19, 2012).</w:t>
      </w:r>
    </w:p>
  </w:footnote>
  <w:footnote w:id="612">
    <w:p w:rsidR="00EC7CF3" w:rsidRDefault="00EC7CF3" w:rsidP="003C780D">
      <w:pPr>
        <w:pStyle w:val="FootnoteText"/>
      </w:pPr>
      <w:r w:rsidRPr="00D40600">
        <w:rPr>
          <w:rStyle w:val="FootnoteReference"/>
          <w:sz w:val="20"/>
        </w:rPr>
        <w:footnoteRef/>
      </w:r>
      <w:r w:rsidRPr="00D40600">
        <w:t xml:space="preserve"> Sascha Segan, </w:t>
      </w:r>
      <w:r w:rsidRPr="00D40600">
        <w:rPr>
          <w:i/>
        </w:rPr>
        <w:t>Sprint: A Better Network Is Coming</w:t>
      </w:r>
      <w:r w:rsidRPr="00D40600">
        <w:t xml:space="preserve">, PCMag.com, May 9, 2012, </w:t>
      </w:r>
      <w:hyperlink r:id="rId248" w:history="1">
        <w:r w:rsidRPr="00D40600">
          <w:rPr>
            <w:rStyle w:val="Hyperlink"/>
          </w:rPr>
          <w:t>http://www.pcmag.com/article2/0,2817,2404184,00.asp</w:t>
        </w:r>
      </w:hyperlink>
      <w:r w:rsidRPr="00D40600">
        <w:t xml:space="preserve">  (visited Oct. 16, 2012); Roger Cheng, </w:t>
      </w:r>
      <w:r w:rsidRPr="00D40600">
        <w:rPr>
          <w:i/>
        </w:rPr>
        <w:t>Sprint to Launch Own 4G LTE Network in Early 2012</w:t>
      </w:r>
      <w:r w:rsidRPr="00D40600">
        <w:t xml:space="preserve">, CNET News, Sept. 27, 2011, </w:t>
      </w:r>
      <w:hyperlink r:id="rId249" w:history="1">
        <w:r w:rsidRPr="00D40600">
          <w:rPr>
            <w:rStyle w:val="Hyperlink"/>
          </w:rPr>
          <w:t>http://news.cnet.com/8301-1035_3-20112095-94/sprint-to-launch-own-4g-lte-network-in-early-2012-scoop/</w:t>
        </w:r>
      </w:hyperlink>
      <w:r w:rsidRPr="00D40600">
        <w:t xml:space="preserve">  (visited Oct. 16, 2012).</w:t>
      </w:r>
    </w:p>
  </w:footnote>
  <w:footnote w:id="613">
    <w:p w:rsidR="00EC7CF3" w:rsidRDefault="00EC7CF3" w:rsidP="003C780D">
      <w:pPr>
        <w:pStyle w:val="FootnoteText"/>
      </w:pPr>
      <w:r w:rsidRPr="00D40600">
        <w:rPr>
          <w:rStyle w:val="FootnoteReference"/>
          <w:sz w:val="20"/>
        </w:rPr>
        <w:footnoteRef/>
      </w:r>
      <w:r w:rsidRPr="00D40600">
        <w:t xml:space="preserve"> Sascha Segan, </w:t>
      </w:r>
      <w:r w:rsidRPr="00D40600">
        <w:rPr>
          <w:i/>
        </w:rPr>
        <w:t>Sprint: A Better Network Is Coming</w:t>
      </w:r>
      <w:r w:rsidRPr="00D40600">
        <w:t xml:space="preserve">, PCMag.com, May 9, 2012, </w:t>
      </w:r>
      <w:hyperlink r:id="rId250" w:history="1">
        <w:r w:rsidRPr="00D40600">
          <w:rPr>
            <w:rStyle w:val="Hyperlink"/>
          </w:rPr>
          <w:t>http://www.pcmag.com/article2/0,2817,2404184,00.asp</w:t>
        </w:r>
      </w:hyperlink>
      <w:r w:rsidRPr="00D40600">
        <w:t xml:space="preserve">  (visited Oct. 16, 2012) (citing Sprint Senior Vice President, Bob Azzi).</w:t>
      </w:r>
    </w:p>
  </w:footnote>
  <w:footnote w:id="614">
    <w:p w:rsidR="00EC7CF3" w:rsidRDefault="00EC7CF3" w:rsidP="003C780D">
      <w:pPr>
        <w:pStyle w:val="FootnoteText"/>
      </w:pPr>
      <w:r w:rsidRPr="00432F46">
        <w:rPr>
          <w:rStyle w:val="FootnoteReference"/>
          <w:sz w:val="20"/>
        </w:rPr>
        <w:footnoteRef/>
      </w:r>
      <w:r w:rsidRPr="00432F46">
        <w:rPr>
          <w:i/>
        </w:rPr>
        <w:t>See</w:t>
      </w:r>
      <w:r>
        <w:t xml:space="preserve"> F</w:t>
      </w:r>
      <w:r w:rsidRPr="00432F46">
        <w:t xml:space="preserve">ootnote 612, </w:t>
      </w:r>
      <w:r w:rsidRPr="00DD7412">
        <w:rPr>
          <w:i/>
        </w:rPr>
        <w:t>infra.</w:t>
      </w:r>
    </w:p>
  </w:footnote>
  <w:footnote w:id="615">
    <w:p w:rsidR="00EC7CF3" w:rsidRDefault="00EC7CF3" w:rsidP="003C780D">
      <w:pPr>
        <w:pStyle w:val="FootnoteText"/>
      </w:pPr>
      <w:r w:rsidRPr="00D40600">
        <w:rPr>
          <w:rStyle w:val="FootnoteReference"/>
          <w:sz w:val="20"/>
        </w:rPr>
        <w:footnoteRef/>
      </w:r>
      <w:r w:rsidRPr="00D40600">
        <w:t xml:space="preserve"> Sprint, </w:t>
      </w:r>
      <w:r w:rsidRPr="00D40600">
        <w:rPr>
          <w:i/>
        </w:rPr>
        <w:t>Phones</w:t>
      </w:r>
      <w:r w:rsidRPr="00D40600">
        <w:t xml:space="preserve">, </w:t>
      </w:r>
      <w:hyperlink r:id="rId251" w:history="1">
        <w:r w:rsidRPr="00D40600">
          <w:rPr>
            <w:rStyle w:val="Hyperlink"/>
          </w:rPr>
          <w:t>http://shop.sprint.com/mysprint/shop/phone_wall.jsp?INTNAV=ATG:HE:Phones_Devices</w:t>
        </w:r>
      </w:hyperlink>
      <w:r w:rsidRPr="00D40600">
        <w:t xml:space="preserve"> (visited May 31, 2012).</w:t>
      </w:r>
    </w:p>
  </w:footnote>
  <w:footnote w:id="616">
    <w:p w:rsidR="00EC7CF3" w:rsidRDefault="00EC7CF3" w:rsidP="003C780D">
      <w:pPr>
        <w:pStyle w:val="FootnoteText"/>
      </w:pPr>
      <w:r w:rsidRPr="00D40600">
        <w:rPr>
          <w:rStyle w:val="FootnoteReference"/>
          <w:sz w:val="20"/>
        </w:rPr>
        <w:footnoteRef/>
      </w:r>
      <w:r w:rsidRPr="00D40600">
        <w:t xml:space="preserve"> </w:t>
      </w:r>
      <w:r w:rsidRPr="00D40600">
        <w:rPr>
          <w:i/>
        </w:rPr>
        <w:t xml:space="preserve">Sprint and Clearwire Announce New Agreements, </w:t>
      </w:r>
      <w:r w:rsidRPr="00D40600">
        <w:t xml:space="preserve">Press Release, Sprint, Dec. 1, 2011, </w:t>
      </w:r>
      <w:r w:rsidRPr="00D40600">
        <w:rPr>
          <w:i/>
        </w:rPr>
        <w:t xml:space="preserve">available at </w:t>
      </w:r>
      <w:hyperlink r:id="rId252" w:history="1">
        <w:r w:rsidRPr="00D40600">
          <w:rPr>
            <w:rStyle w:val="Hyperlink"/>
          </w:rPr>
          <w:t>http://newsroom.sprint.com/article_display.cfm?article_id=2121</w:t>
        </w:r>
      </w:hyperlink>
      <w:r w:rsidRPr="00D40600">
        <w:t xml:space="preserve"> (visited Oct. 16, 2012); Clearwire, SEC Form 10-K, filed Feb. 16, 2012, at 7.</w:t>
      </w:r>
    </w:p>
  </w:footnote>
  <w:footnote w:id="617">
    <w:p w:rsidR="00EC7CF3" w:rsidRDefault="00EC7CF3" w:rsidP="003C780D">
      <w:pPr>
        <w:pStyle w:val="FootnoteText"/>
      </w:pPr>
      <w:r w:rsidRPr="00D40600">
        <w:rPr>
          <w:rStyle w:val="FootnoteReference"/>
          <w:sz w:val="20"/>
        </w:rPr>
        <w:footnoteRef/>
      </w:r>
      <w:r w:rsidRPr="00D40600">
        <w:t xml:space="preserve"> Clearwire, SEC Form 10-K, filed Feb. 16, 2012, at 2; </w:t>
      </w:r>
      <w:r w:rsidRPr="00D40600">
        <w:rPr>
          <w:i/>
        </w:rPr>
        <w:t>See</w:t>
      </w:r>
      <w:r w:rsidRPr="00D40600">
        <w:t xml:space="preserve"> </w:t>
      </w:r>
      <w:r w:rsidRPr="00D40600">
        <w:rPr>
          <w:i/>
        </w:rPr>
        <w:t>Fifteenth Report</w:t>
      </w:r>
      <w:r w:rsidRPr="00D40600">
        <w:t xml:space="preserve">, 26 FCC Rcd at 9738 ¶ 113.  Estimates of coverage represent mobile network deployment and may not indicate the extent to which providers actually offer service in the covered areas or have customers living in those areas.  </w:t>
      </w:r>
    </w:p>
  </w:footnote>
  <w:footnote w:id="618">
    <w:p w:rsidR="00EC7CF3" w:rsidRDefault="00EC7CF3" w:rsidP="003C780D">
      <w:pPr>
        <w:pStyle w:val="FootnoteText"/>
      </w:pPr>
      <w:r w:rsidRPr="00D40600">
        <w:rPr>
          <w:rStyle w:val="FootnoteReference"/>
          <w:sz w:val="20"/>
        </w:rPr>
        <w:footnoteRef/>
      </w:r>
      <w:r w:rsidRPr="00D40600">
        <w:t xml:space="preserve"> </w:t>
      </w:r>
      <w:r w:rsidRPr="00D40600">
        <w:rPr>
          <w:i/>
        </w:rPr>
        <w:t>See</w:t>
      </w:r>
      <w:r w:rsidRPr="00D40600">
        <w:t xml:space="preserve"> </w:t>
      </w:r>
      <w:r w:rsidRPr="00D40600">
        <w:rPr>
          <w:i/>
        </w:rPr>
        <w:t>Fifteenth Report</w:t>
      </w:r>
      <w:r w:rsidRPr="00D40600">
        <w:t>, 26 FCC Rcd at 9739 ¶ 113</w:t>
      </w:r>
      <w:r w:rsidRPr="00D40600">
        <w:rPr>
          <w:i/>
        </w:rPr>
        <w:t>.</w:t>
      </w:r>
    </w:p>
  </w:footnote>
  <w:footnote w:id="619">
    <w:p w:rsidR="00EC7CF3" w:rsidRDefault="00EC7CF3" w:rsidP="003C780D">
      <w:pPr>
        <w:pStyle w:val="FootnoteText"/>
      </w:pPr>
      <w:r w:rsidRPr="00D40600">
        <w:rPr>
          <w:rStyle w:val="FootnoteReference"/>
          <w:sz w:val="20"/>
        </w:rPr>
        <w:footnoteRef/>
      </w:r>
      <w:r w:rsidRPr="00D40600">
        <w:t xml:space="preserve"> </w:t>
      </w:r>
      <w:r w:rsidRPr="00D40600">
        <w:rPr>
          <w:i/>
        </w:rPr>
        <w:t>See</w:t>
      </w:r>
      <w:r w:rsidRPr="00D40600">
        <w:t xml:space="preserve"> </w:t>
      </w:r>
      <w:r w:rsidRPr="00D40600">
        <w:rPr>
          <w:i/>
        </w:rPr>
        <w:t>Fifteenth Report</w:t>
      </w:r>
      <w:r w:rsidRPr="00D40600">
        <w:t>, 26 FCC Rcd at 9739 ¶ 113</w:t>
      </w:r>
      <w:r w:rsidRPr="00D40600">
        <w:rPr>
          <w:i/>
        </w:rPr>
        <w:t>.</w:t>
      </w:r>
    </w:p>
  </w:footnote>
  <w:footnote w:id="620">
    <w:p w:rsidR="00EC7CF3" w:rsidRDefault="00EC7CF3" w:rsidP="003C780D">
      <w:pPr>
        <w:pStyle w:val="FootnoteText"/>
      </w:pPr>
      <w:r w:rsidRPr="00D40600">
        <w:rPr>
          <w:rStyle w:val="FootnoteReference"/>
          <w:sz w:val="20"/>
        </w:rPr>
        <w:footnoteRef/>
      </w:r>
      <w:r w:rsidRPr="00D40600">
        <w:t xml:space="preserve"> Clearwire, SEC Form 10-K, filed Feb. 16, 2012, at 2; Philip Cusick, </w:t>
      </w:r>
      <w:r w:rsidRPr="00D40600">
        <w:rPr>
          <w:i/>
        </w:rPr>
        <w:t>et al.</w:t>
      </w:r>
      <w:r w:rsidRPr="00D40600">
        <w:t xml:space="preserve">, </w:t>
      </w:r>
      <w:r w:rsidRPr="00D40600">
        <w:rPr>
          <w:i/>
        </w:rPr>
        <w:t>Clearwire</w:t>
      </w:r>
      <w:r w:rsidRPr="00D40600">
        <w:t>, J.P. Morgan, North America Equity Research, Apr. 27, 2012, at 1.</w:t>
      </w:r>
    </w:p>
  </w:footnote>
  <w:footnote w:id="621">
    <w:p w:rsidR="00EC7CF3" w:rsidRDefault="00EC7CF3" w:rsidP="003C780D">
      <w:pPr>
        <w:pStyle w:val="FootnoteText"/>
      </w:pPr>
      <w:r w:rsidRPr="00D40600">
        <w:rPr>
          <w:rStyle w:val="FootnoteReference"/>
          <w:sz w:val="20"/>
        </w:rPr>
        <w:footnoteRef/>
      </w:r>
      <w:r w:rsidRPr="00D40600">
        <w:t xml:space="preserve"> Clearwire, SEC Form 10-K, filed Feb. 16, 2012, at 2; Philip Cusick, </w:t>
      </w:r>
      <w:r w:rsidRPr="00D40600">
        <w:rPr>
          <w:i/>
        </w:rPr>
        <w:t>et al.</w:t>
      </w:r>
      <w:r w:rsidRPr="00D40600">
        <w:t xml:space="preserve">, </w:t>
      </w:r>
      <w:r w:rsidRPr="00D40600">
        <w:rPr>
          <w:i/>
        </w:rPr>
        <w:t>Clearwire</w:t>
      </w:r>
      <w:r w:rsidRPr="00D40600">
        <w:t xml:space="preserve">, J.P. Morgan, North America Equity Research, Apr. 27, 2012, at 1; Clearwire, </w:t>
      </w:r>
      <w:r w:rsidRPr="00D40600">
        <w:rPr>
          <w:i/>
        </w:rPr>
        <w:t>Announcing the Future of LTE</w:t>
      </w:r>
      <w:r w:rsidRPr="00D40600">
        <w:t xml:space="preserve">, </w:t>
      </w:r>
      <w:hyperlink r:id="rId253" w:history="1">
        <w:r w:rsidRPr="00D40600">
          <w:rPr>
            <w:rStyle w:val="Hyperlink"/>
          </w:rPr>
          <w:t>http://www.clearwire.com/company/featured-story</w:t>
        </w:r>
      </w:hyperlink>
      <w:r w:rsidRPr="00D40600">
        <w:t xml:space="preserve"> (visited May 10, 2012).  The TDD version of LTE is different from the FDD (Frequency Division Duplex) version of LTE being deployed by most other providers.  FDD-LTE uses two separate sets of frequencies for uplink and downlink transmissions, while TDD-LTE uses a single set of frequencies for both and being adopted more widely in other countries.  Ed Oswald, </w:t>
      </w:r>
      <w:r w:rsidRPr="00D40600">
        <w:rPr>
          <w:i/>
        </w:rPr>
        <w:t>Is Clearwire the Savior of Global LTE?</w:t>
      </w:r>
      <w:r w:rsidRPr="00D40600">
        <w:t xml:space="preserve">, ExtremeTech, May 9, 2012, at </w:t>
      </w:r>
      <w:hyperlink r:id="rId254" w:history="1">
        <w:r w:rsidRPr="00D40600">
          <w:rPr>
            <w:rStyle w:val="Hyperlink"/>
          </w:rPr>
          <w:t>http://www.extremetech.com/extreme/129090-is-clearwire-the-savior-of-global-lte</w:t>
        </w:r>
      </w:hyperlink>
      <w:r w:rsidRPr="00D40600">
        <w:t xml:space="preserve"> (visited Oct. 16, 2012).</w:t>
      </w:r>
    </w:p>
  </w:footnote>
  <w:footnote w:id="622">
    <w:p w:rsidR="00EC7CF3" w:rsidRDefault="00EC7CF3" w:rsidP="003C780D">
      <w:pPr>
        <w:pStyle w:val="FootnoteText"/>
      </w:pPr>
      <w:r w:rsidRPr="00D40600">
        <w:rPr>
          <w:rStyle w:val="FootnoteReference"/>
          <w:sz w:val="20"/>
        </w:rPr>
        <w:footnoteRef/>
      </w:r>
      <w:r w:rsidRPr="00D40600">
        <w:t xml:space="preserve"> Clearwire, SEC Form 10-K, filed Feb. 16, 2012, at 2-3; </w:t>
      </w:r>
      <w:r w:rsidRPr="00D40600">
        <w:rPr>
          <w:i/>
        </w:rPr>
        <w:t>Clearwire Reports Record Fourth Quarter and Full 2010 Growth</w:t>
      </w:r>
      <w:r w:rsidRPr="00D40600">
        <w:t xml:space="preserve">, Financial Release, Clearwire, Feb. 17, 2011, </w:t>
      </w:r>
      <w:r w:rsidRPr="00D40600">
        <w:rPr>
          <w:i/>
        </w:rPr>
        <w:t>available at</w:t>
      </w:r>
      <w:r w:rsidRPr="00D40600">
        <w:t xml:space="preserve"> </w:t>
      </w:r>
      <w:hyperlink r:id="rId255" w:history="1">
        <w:r w:rsidRPr="00D40600">
          <w:rPr>
            <w:rStyle w:val="Hyperlink"/>
          </w:rPr>
          <w:t>http://investors.clearwire.com/phoenix.zhtml?c=214419&amp;p=irol-newsArticle&amp;ID=1530258&amp;highlight</w:t>
        </w:r>
      </w:hyperlink>
      <w:r w:rsidRPr="00D40600">
        <w:t>= (visited Oct. 16, 2012).</w:t>
      </w:r>
    </w:p>
  </w:footnote>
  <w:footnote w:id="623">
    <w:p w:rsidR="00EC7CF3" w:rsidRDefault="00EC7CF3" w:rsidP="003C780D">
      <w:pPr>
        <w:pStyle w:val="FootnoteText"/>
      </w:pPr>
      <w:r w:rsidRPr="00D40600">
        <w:rPr>
          <w:rStyle w:val="FootnoteReference"/>
          <w:sz w:val="20"/>
        </w:rPr>
        <w:footnoteRef/>
      </w:r>
      <w:r w:rsidRPr="00D40600">
        <w:t xml:space="preserve"> Clearwire, SEC Form 10-K, filed Feb. 16, 2012, at 7-8; </w:t>
      </w:r>
      <w:r w:rsidRPr="00D40600">
        <w:rPr>
          <w:i/>
        </w:rPr>
        <w:t>Cricket and Clearwire Announce Long-Term Wholesale 4G LTE Agreement</w:t>
      </w:r>
      <w:r w:rsidRPr="00D40600">
        <w:t xml:space="preserve">, Press Release, Leap, Mar. 14, 2012, </w:t>
      </w:r>
      <w:r w:rsidRPr="00D40600">
        <w:rPr>
          <w:i/>
        </w:rPr>
        <w:t xml:space="preserve">available at </w:t>
      </w:r>
      <w:hyperlink r:id="rId256" w:history="1">
        <w:r w:rsidRPr="00D40600">
          <w:rPr>
            <w:rStyle w:val="Hyperlink"/>
          </w:rPr>
          <w:t>http://leapwireless.mediaroom.com/index.php?s=13383&amp;item=124331</w:t>
        </w:r>
      </w:hyperlink>
      <w:r w:rsidRPr="00D40600">
        <w:t xml:space="preserve"> (visited Oct. 16, 2012).  Clearwire stated that it expects Comcast and Time Warner to reduce or eliminate additional sales of Clearwire’s services during 2012 as a result of the cable companies’ co-marketing agreements with Verizon Wireless.  </w:t>
      </w:r>
      <w:r w:rsidRPr="00D40600">
        <w:rPr>
          <w:i/>
        </w:rPr>
        <w:t>Id.</w:t>
      </w:r>
    </w:p>
  </w:footnote>
  <w:footnote w:id="624">
    <w:p w:rsidR="00EC7CF3" w:rsidRDefault="00EC7CF3" w:rsidP="003C780D">
      <w:pPr>
        <w:pStyle w:val="FootnoteText"/>
      </w:pPr>
      <w:r w:rsidRPr="00D40600">
        <w:rPr>
          <w:rStyle w:val="FootnoteReference"/>
          <w:sz w:val="20"/>
        </w:rPr>
        <w:footnoteRef/>
      </w:r>
      <w:r w:rsidRPr="00D40600">
        <w:t xml:space="preserve"> Clearwire, SEC Form 10-K, filed Feb. 16, 2012, at 7-8.  Clearwire stated that it would consider upgrading additional sites in its network with LTE in areas where Sprint or other existing or future wholesale partners expressed a need for additional capacity.  </w:t>
      </w:r>
      <w:r w:rsidRPr="00D40600">
        <w:rPr>
          <w:i/>
        </w:rPr>
        <w:t>Id.</w:t>
      </w:r>
      <w:r w:rsidRPr="00D40600">
        <w:t xml:space="preserve"> at 2.</w:t>
      </w:r>
    </w:p>
  </w:footnote>
  <w:footnote w:id="625">
    <w:p w:rsidR="00EC7CF3" w:rsidRDefault="00EC7CF3" w:rsidP="003C780D">
      <w:pPr>
        <w:pStyle w:val="FootnoteText"/>
      </w:pPr>
      <w:r w:rsidRPr="00D40600">
        <w:rPr>
          <w:rStyle w:val="FootnoteReference"/>
          <w:sz w:val="20"/>
        </w:rPr>
        <w:footnoteRef/>
      </w:r>
      <w:r w:rsidRPr="00D40600">
        <w:t xml:space="preserve"> Greg Bensinger, </w:t>
      </w:r>
      <w:r w:rsidRPr="00D40600">
        <w:rPr>
          <w:i/>
        </w:rPr>
        <w:t>Clearwire Says Qualcomm Pact to Help with Wholesale Deals</w:t>
      </w:r>
      <w:r w:rsidRPr="00D40600">
        <w:t xml:space="preserve">, Dow Jones Newswires, May 8, 2012, at </w:t>
      </w:r>
      <w:hyperlink r:id="rId257" w:history="1">
        <w:r w:rsidRPr="00D40600">
          <w:rPr>
            <w:rStyle w:val="Hyperlink"/>
          </w:rPr>
          <w:t>http://online.wsj.com/article/BT-CO-20120508-715265.html</w:t>
        </w:r>
      </w:hyperlink>
      <w:r w:rsidRPr="00D40600">
        <w:t xml:space="preserve">  (visited Oct. 16, 2012).</w:t>
      </w:r>
    </w:p>
  </w:footnote>
  <w:footnote w:id="626">
    <w:p w:rsidR="00EC7CF3" w:rsidRDefault="00EC7CF3" w:rsidP="003C780D">
      <w:pPr>
        <w:pStyle w:val="FootnoteText"/>
      </w:pPr>
      <w:r w:rsidRPr="00D40600">
        <w:rPr>
          <w:rStyle w:val="FootnoteReference"/>
          <w:sz w:val="20"/>
        </w:rPr>
        <w:footnoteRef/>
      </w:r>
      <w:r w:rsidRPr="00D40600">
        <w:t xml:space="preserve"> Greg Bensinger, </w:t>
      </w:r>
      <w:r w:rsidRPr="00D40600">
        <w:rPr>
          <w:i/>
        </w:rPr>
        <w:t>Clearwire Says Qualcomm Pact to Help with Wholesale Deals</w:t>
      </w:r>
      <w:r w:rsidRPr="00D40600">
        <w:t xml:space="preserve">, Dow Jones Newswires, May 8, 2012, at </w:t>
      </w:r>
      <w:hyperlink r:id="rId258" w:history="1">
        <w:r w:rsidRPr="00D40600">
          <w:rPr>
            <w:rStyle w:val="Hyperlink"/>
          </w:rPr>
          <w:t>http://online.wsj.com/article/BT-CO-20120508-715265.html</w:t>
        </w:r>
      </w:hyperlink>
      <w:r w:rsidRPr="00D40600">
        <w:t xml:space="preserve">  (visited Oct. 16, 2012) (citing Cleawire CEO Erik Prusch).</w:t>
      </w:r>
    </w:p>
  </w:footnote>
  <w:footnote w:id="627">
    <w:p w:rsidR="00EC7CF3" w:rsidRDefault="00EC7CF3" w:rsidP="003C780D">
      <w:pPr>
        <w:pStyle w:val="FootnoteText"/>
      </w:pPr>
      <w:r w:rsidRPr="00D40600">
        <w:rPr>
          <w:rStyle w:val="FootnoteReference"/>
          <w:sz w:val="20"/>
        </w:rPr>
        <w:footnoteRef/>
      </w:r>
      <w:r w:rsidRPr="00D40600">
        <w:t xml:space="preserve"> </w:t>
      </w:r>
      <w:r w:rsidRPr="00D40600">
        <w:rPr>
          <w:i/>
        </w:rPr>
        <w:t>See Fifteenth Report</w:t>
      </w:r>
      <w:r w:rsidRPr="00D40600">
        <w:t xml:space="preserve">, 26 FCC Rcd at 9739 ¶ 114.  Estimates of coverage represent mobile network deployment and may not indicate the extent to which providers actually offer service in the covered areas or have customers living in those areas.  </w:t>
      </w:r>
    </w:p>
  </w:footnote>
  <w:footnote w:id="628">
    <w:p w:rsidR="00EC7CF3" w:rsidRDefault="00EC7CF3" w:rsidP="003C780D">
      <w:pPr>
        <w:pStyle w:val="FootnoteText"/>
      </w:pPr>
      <w:r w:rsidRPr="00D40600">
        <w:rPr>
          <w:rStyle w:val="FootnoteReference"/>
          <w:sz w:val="20"/>
        </w:rPr>
        <w:footnoteRef/>
      </w:r>
      <w:r w:rsidRPr="00D40600">
        <w:t xml:space="preserve"> </w:t>
      </w:r>
      <w:r w:rsidRPr="00D40600">
        <w:rPr>
          <w:i/>
        </w:rPr>
        <w:t>T-Mobile Expands America’s Largest 4G Network and Showcases 4G Experiences at 2012 CES</w:t>
      </w:r>
      <w:r w:rsidRPr="00D40600">
        <w:t xml:space="preserve">, Press Release, T-Mobile, Jan. 10, 2012. </w:t>
      </w:r>
      <w:hyperlink r:id="rId259" w:history="1">
        <w:r w:rsidRPr="00D40600">
          <w:rPr>
            <w:rStyle w:val="Hyperlink"/>
          </w:rPr>
          <w:t>http://newsroom.t-mobile.com/articles/t-mobile-expands-network-showcases-4g-at-ces</w:t>
        </w:r>
      </w:hyperlink>
      <w:r w:rsidRPr="00D40600">
        <w:t xml:space="preserve"> (visited Oct. 16, 2012)</w:t>
      </w:r>
    </w:p>
  </w:footnote>
  <w:footnote w:id="629">
    <w:p w:rsidR="00EC7CF3" w:rsidRDefault="00EC7CF3" w:rsidP="003C780D">
      <w:pPr>
        <w:pStyle w:val="FootnoteText"/>
      </w:pPr>
      <w:r w:rsidRPr="00D40600">
        <w:rPr>
          <w:rStyle w:val="FootnoteReference"/>
          <w:sz w:val="20"/>
        </w:rPr>
        <w:footnoteRef/>
      </w:r>
      <w:r w:rsidRPr="00D40600">
        <w:t xml:space="preserve"> </w:t>
      </w:r>
      <w:r w:rsidRPr="00D40600">
        <w:rPr>
          <w:i/>
        </w:rPr>
        <w:t>T-Mobile USA Selects Infrastructure Vendors to Support $4 Billion 4G Network Evolution Plan</w:t>
      </w:r>
      <w:r w:rsidRPr="00D40600">
        <w:t xml:space="preserve">, Press Release, T-Mobile USA, May 7, 2012, </w:t>
      </w:r>
      <w:r w:rsidRPr="00D40600">
        <w:rPr>
          <w:i/>
        </w:rPr>
        <w:t>available at</w:t>
      </w:r>
      <w:r w:rsidRPr="00D40600">
        <w:t xml:space="preserve"> </w:t>
      </w:r>
      <w:hyperlink r:id="rId260" w:history="1">
        <w:r w:rsidRPr="00D40600">
          <w:rPr>
            <w:rStyle w:val="Hyperlink"/>
          </w:rPr>
          <w:t>http://newsroom.t-mobile.com/articles/4GNetworkEvolutionVendorsSelected</w:t>
        </w:r>
      </w:hyperlink>
      <w:r w:rsidRPr="00D40600">
        <w:t xml:space="preserve"> (visited Oct. 16, 2012)</w:t>
      </w:r>
      <w:r>
        <w:t>.</w:t>
      </w:r>
    </w:p>
  </w:footnote>
  <w:footnote w:id="630">
    <w:p w:rsidR="00EC7CF3" w:rsidRDefault="00EC7CF3">
      <w:pPr>
        <w:pStyle w:val="FootnoteText"/>
      </w:pPr>
      <w:r>
        <w:rPr>
          <w:rStyle w:val="FootnoteReference"/>
        </w:rPr>
        <w:footnoteRef/>
      </w:r>
      <w:r>
        <w:t xml:space="preserve"> </w:t>
      </w:r>
      <w:r w:rsidRPr="0098697D">
        <w:rPr>
          <w:i/>
        </w:rPr>
        <w:t>Deutsche Telekom Capital Markets Day 2012, Press Conference</w:t>
      </w:r>
      <w:r w:rsidRPr="0098697D">
        <w:t xml:space="preserve">, p. 22, </w:t>
      </w:r>
      <w:r w:rsidRPr="00DD7412">
        <w:rPr>
          <w:i/>
        </w:rPr>
        <w:t xml:space="preserve">available at </w:t>
      </w:r>
      <w:hyperlink r:id="rId261" w:history="1">
        <w:r w:rsidRPr="00992BAE">
          <w:rPr>
            <w:rStyle w:val="Hyperlink"/>
          </w:rPr>
          <w:t>http://www.telekom.com/media/company/164844</w:t>
        </w:r>
      </w:hyperlink>
      <w:r>
        <w:t xml:space="preserve"> </w:t>
      </w:r>
      <w:r w:rsidRPr="0098697D">
        <w:t>(visited Dec. 10, 2012).</w:t>
      </w:r>
    </w:p>
  </w:footnote>
  <w:footnote w:id="631">
    <w:p w:rsidR="00EC7CF3" w:rsidRDefault="00EC7CF3" w:rsidP="003C780D">
      <w:pPr>
        <w:pStyle w:val="FootnoteText"/>
      </w:pPr>
      <w:r w:rsidRPr="00D40600">
        <w:rPr>
          <w:rStyle w:val="FootnoteReference"/>
          <w:sz w:val="20"/>
        </w:rPr>
        <w:footnoteRef/>
      </w:r>
      <w:r w:rsidRPr="00D40600">
        <w:t xml:space="preserve"> </w:t>
      </w:r>
      <w:r w:rsidRPr="00D40600">
        <w:rPr>
          <w:i/>
        </w:rPr>
        <w:t>T-Mobile USA Selects Infrastructure Vendors to Support $4 Billion 4G Network Evolution Plan</w:t>
      </w:r>
      <w:r w:rsidRPr="00D40600">
        <w:t xml:space="preserve">, Press Release, T-Mobile USA, May 7, 2012, </w:t>
      </w:r>
      <w:r w:rsidRPr="00D40600">
        <w:rPr>
          <w:i/>
        </w:rPr>
        <w:t>available at</w:t>
      </w:r>
      <w:r w:rsidRPr="00D40600">
        <w:t xml:space="preserve"> </w:t>
      </w:r>
      <w:hyperlink r:id="rId262" w:history="1">
        <w:r w:rsidRPr="00D40600">
          <w:rPr>
            <w:rStyle w:val="Hyperlink"/>
          </w:rPr>
          <w:t>http://newsroom.t-mobile.com/articles/4GNetworkEvolutionVendorsSelected</w:t>
        </w:r>
      </w:hyperlink>
      <w:r w:rsidRPr="00D40600">
        <w:t>. (visited Oct. 16, 2012)</w:t>
      </w:r>
    </w:p>
  </w:footnote>
  <w:footnote w:id="632">
    <w:p w:rsidR="00EC7CF3" w:rsidRDefault="00EC7CF3" w:rsidP="003C780D">
      <w:pPr>
        <w:pStyle w:val="FootnoteText"/>
      </w:pPr>
      <w:r w:rsidRPr="00D40600">
        <w:rPr>
          <w:rStyle w:val="FootnoteReference"/>
          <w:sz w:val="20"/>
        </w:rPr>
        <w:footnoteRef/>
      </w:r>
      <w:r w:rsidRPr="00D40600">
        <w:t xml:space="preserve"> </w:t>
      </w:r>
      <w:r w:rsidRPr="00D40600">
        <w:rPr>
          <w:i/>
        </w:rPr>
        <w:t>MetroPCS Launches First 4G LTE Services in the United States and Unveils World’s First Commercially Available 4G LTE Phone</w:t>
      </w:r>
      <w:r w:rsidRPr="00D40600">
        <w:t xml:space="preserve">, Press Release, MetroPCS, Sept. 21, 2010, </w:t>
      </w:r>
      <w:r w:rsidRPr="00D40600">
        <w:rPr>
          <w:i/>
        </w:rPr>
        <w:t xml:space="preserve">available at </w:t>
      </w:r>
      <w:hyperlink r:id="rId263" w:history="1">
        <w:r w:rsidRPr="00D40600">
          <w:rPr>
            <w:rStyle w:val="Hyperlink"/>
          </w:rPr>
          <w:t>http://investor.metropcs.com/phoenix.zhtml?c=177745&amp;p=irol-newsArticle&amp;ID=1473355&amp;highlight</w:t>
        </w:r>
      </w:hyperlink>
      <w:r>
        <w:t xml:space="preserve"> </w:t>
      </w:r>
      <w:r w:rsidRPr="00D40600">
        <w:t xml:space="preserve">(visited Oct. 16, 2012); </w:t>
      </w:r>
      <w:r w:rsidRPr="00D40600">
        <w:rPr>
          <w:i/>
        </w:rPr>
        <w:t>MetroPCS Launches Commercial 4G LTE Services in the Dallas/Fort Worth Metroplex</w:t>
      </w:r>
      <w:r w:rsidRPr="00D40600">
        <w:t xml:space="preserve">, Press Release, MetroPCS, Sept. 29, 2010, </w:t>
      </w:r>
      <w:r w:rsidRPr="00D40600">
        <w:rPr>
          <w:i/>
        </w:rPr>
        <w:t>available at</w:t>
      </w:r>
      <w:r w:rsidRPr="00D40600">
        <w:t xml:space="preserve"> </w:t>
      </w:r>
      <w:hyperlink r:id="rId264" w:history="1">
        <w:r w:rsidRPr="00D40600">
          <w:rPr>
            <w:rStyle w:val="Hyperlink"/>
          </w:rPr>
          <w:t>http://investor.metropcs.com/phoenix.zhtml?c=177745&amp;p=irol-newsArticle&amp;ID=1475926&amp;highlight</w:t>
        </w:r>
      </w:hyperlink>
      <w:r w:rsidRPr="00D40600">
        <w:t xml:space="preserve">(visited Oct. 16, 2012) =.  At the same time MetroPCS launched its LTE network, the company also began offering the first commercially available, dual-mode LTE/CDMA device in the United States, the Samsung Craft.  For more information, </w:t>
      </w:r>
      <w:r w:rsidRPr="00D40600">
        <w:rPr>
          <w:i/>
        </w:rPr>
        <w:t>see</w:t>
      </w:r>
      <w:r w:rsidRPr="00D40600">
        <w:t xml:space="preserve"> Section IV.B.1.b, </w:t>
      </w:r>
      <w:r w:rsidRPr="00D40600">
        <w:rPr>
          <w:i/>
        </w:rPr>
        <w:t>infra</w:t>
      </w:r>
      <w:r w:rsidRPr="00D40600">
        <w:t>.</w:t>
      </w:r>
    </w:p>
  </w:footnote>
  <w:footnote w:id="633">
    <w:p w:rsidR="00EC7CF3" w:rsidRDefault="00EC7CF3" w:rsidP="003C780D">
      <w:pPr>
        <w:pStyle w:val="FootnoteText"/>
      </w:pPr>
      <w:r w:rsidRPr="00D40600">
        <w:rPr>
          <w:rStyle w:val="FootnoteReference"/>
          <w:sz w:val="20"/>
        </w:rPr>
        <w:footnoteRef/>
      </w:r>
      <w:r w:rsidRPr="00D40600">
        <w:t xml:space="preserve">MetroPCS, SEC Form 10-K, filed Feb. 29, 2012, at 6.  </w:t>
      </w:r>
    </w:p>
  </w:footnote>
  <w:footnote w:id="634">
    <w:p w:rsidR="00EC7CF3" w:rsidRDefault="00EC7CF3" w:rsidP="003C780D">
      <w:pPr>
        <w:pStyle w:val="FootnoteText"/>
      </w:pPr>
      <w:r w:rsidRPr="00D40600">
        <w:rPr>
          <w:rStyle w:val="FootnoteReference"/>
          <w:sz w:val="20"/>
        </w:rPr>
        <w:footnoteRef/>
      </w:r>
      <w:r w:rsidRPr="00D40600">
        <w:t xml:space="preserve"> Roger Cheng, MetroPCS’s 4G Isn’t Exactly Greased Lightning, CNET News, Aug. 3, 2011, </w:t>
      </w:r>
      <w:hyperlink r:id="rId265" w:history="1">
        <w:r w:rsidRPr="00D40600">
          <w:rPr>
            <w:rStyle w:val="Hyperlink"/>
          </w:rPr>
          <w:t>http://news.cnet.com/8301-1035_3-20087512-94/metropcss-4g-isnt-exactly-greased-lightning/</w:t>
        </w:r>
      </w:hyperlink>
      <w:r w:rsidRPr="00D40600">
        <w:t xml:space="preserve"> (visited Oct. 16, 2012); Sascha Segan, </w:t>
      </w:r>
      <w:r w:rsidRPr="00D40600">
        <w:rPr>
          <w:i/>
        </w:rPr>
        <w:t>The Fastest Mobile Networks 2011</w:t>
      </w:r>
      <w:r w:rsidRPr="00D40600">
        <w:t xml:space="preserve">, PCMag.com, June 27, 2011,at  </w:t>
      </w:r>
      <w:hyperlink r:id="rId266" w:history="1">
        <w:r w:rsidRPr="00D40600">
          <w:rPr>
            <w:rStyle w:val="Hyperlink"/>
          </w:rPr>
          <w:t>http://www.pcmag.com/Fastest-Mobile-Networks-2011</w:t>
        </w:r>
      </w:hyperlink>
      <w:r w:rsidRPr="00D40600">
        <w:t>(visited Oct. 16, 2012).</w:t>
      </w:r>
    </w:p>
  </w:footnote>
  <w:footnote w:id="635">
    <w:p w:rsidR="00EC7CF3" w:rsidRDefault="00EC7CF3" w:rsidP="003C780D">
      <w:pPr>
        <w:pStyle w:val="FootnoteText"/>
      </w:pPr>
      <w:r w:rsidRPr="00D40600">
        <w:rPr>
          <w:rStyle w:val="FootnoteReference"/>
          <w:sz w:val="20"/>
        </w:rPr>
        <w:footnoteRef/>
      </w:r>
      <w:r w:rsidRPr="00D40600">
        <w:t xml:space="preserve"> Leap Wireless International, Inc., SEC Form 10-K, filed Feb. 21, 2012, at 4.  Estimates of coverage represent mobile network deployment and may not indicate the extent to which providers actually offer service in the covered areas or have customers living in those areas.  </w:t>
      </w:r>
    </w:p>
  </w:footnote>
  <w:footnote w:id="636">
    <w:p w:rsidR="00EC7CF3" w:rsidRDefault="00EC7CF3" w:rsidP="003C780D">
      <w:pPr>
        <w:pStyle w:val="FootnoteText"/>
      </w:pPr>
      <w:r w:rsidRPr="00D40600">
        <w:rPr>
          <w:rStyle w:val="FootnoteReference"/>
          <w:sz w:val="20"/>
        </w:rPr>
        <w:footnoteRef/>
      </w:r>
      <w:r w:rsidRPr="00D40600">
        <w:t xml:space="preserve"> </w:t>
      </w:r>
      <w:r w:rsidRPr="00D40600">
        <w:rPr>
          <w:i/>
        </w:rPr>
        <w:t>Leap’s Cricket Service Begins Network Transition to 4G LTE with First Commercial Market Launch in Tucson, Arizona</w:t>
      </w:r>
      <w:r w:rsidRPr="00D40600">
        <w:t xml:space="preserve">, Press Release, Leap, Dec. 21, 2011, </w:t>
      </w:r>
      <w:r w:rsidRPr="00D40600">
        <w:rPr>
          <w:i/>
        </w:rPr>
        <w:t>available at</w:t>
      </w:r>
      <w:r w:rsidRPr="00D40600">
        <w:t xml:space="preserve"> </w:t>
      </w:r>
      <w:hyperlink r:id="rId267" w:history="1">
        <w:r w:rsidRPr="00D40600">
          <w:rPr>
            <w:rStyle w:val="Hyperlink"/>
          </w:rPr>
          <w:t>http://leapwireless.mediaroom.com/index.php?s=13383&amp;item=97670</w:t>
        </w:r>
      </w:hyperlink>
      <w:r w:rsidRPr="00D40600">
        <w:t xml:space="preserve"> (visited Oct. 16, 2012) ; Leap Wireless International, Inc., SEC Form 10-K, filed Feb. 21, 2012, at 4; Leap Reply at 4.</w:t>
      </w:r>
    </w:p>
  </w:footnote>
  <w:footnote w:id="637">
    <w:p w:rsidR="00EC7CF3" w:rsidRDefault="00EC7CF3" w:rsidP="003C780D">
      <w:pPr>
        <w:pStyle w:val="FootnoteText"/>
      </w:pPr>
      <w:r w:rsidRPr="00D40600">
        <w:rPr>
          <w:rStyle w:val="FootnoteReference"/>
          <w:sz w:val="20"/>
        </w:rPr>
        <w:footnoteRef/>
      </w:r>
      <w:r w:rsidRPr="00D40600">
        <w:t xml:space="preserve"> Leap Wireless International, Inc., SEC Form 10-K, filed Feb. 21, 2012, at 4; Leap Reply at 4.</w:t>
      </w:r>
    </w:p>
  </w:footnote>
  <w:footnote w:id="638">
    <w:p w:rsidR="00EC7CF3" w:rsidRDefault="00EC7CF3" w:rsidP="003C780D">
      <w:pPr>
        <w:pStyle w:val="FootnoteText"/>
      </w:pPr>
      <w:r w:rsidRPr="00D40600">
        <w:rPr>
          <w:rStyle w:val="FootnoteReference"/>
          <w:sz w:val="20"/>
        </w:rPr>
        <w:footnoteRef/>
      </w:r>
      <w:r w:rsidRPr="00D40600">
        <w:t xml:space="preserve"> United States Cellular Corporation, SEC Form 10-K, filed Feb. 27, 2012, at 7; United States Cellular Corporation, SEC Form 10-Q, filed May 4, 2012, at 7; Stephen Lawson, </w:t>
      </w:r>
      <w:r w:rsidRPr="00D40600">
        <w:rPr>
          <w:i/>
        </w:rPr>
        <w:t xml:space="preserve">U.S. Cellular Throws Its 4G LTE Hat in the Ring, </w:t>
      </w:r>
      <w:r w:rsidRPr="00D40600">
        <w:t xml:space="preserve">ComputerWorld, Mar. 22, 2012, at </w:t>
      </w:r>
      <w:hyperlink r:id="rId268" w:history="1">
        <w:r w:rsidRPr="00D40600">
          <w:rPr>
            <w:rStyle w:val="Hyperlink"/>
          </w:rPr>
          <w:t>http://www.computerworld.com/s/article/9225498/U.S._Cellular_throws_its_4G_LTE_hat_in_the_ring</w:t>
        </w:r>
      </w:hyperlink>
      <w:r>
        <w:t xml:space="preserve"> (visited Oct. 16, 2012)</w:t>
      </w:r>
      <w:r w:rsidRPr="00D40600">
        <w:t>.</w:t>
      </w:r>
    </w:p>
  </w:footnote>
  <w:footnote w:id="639">
    <w:p w:rsidR="00EC7CF3" w:rsidRDefault="00EC7CF3" w:rsidP="003C780D">
      <w:pPr>
        <w:pStyle w:val="FootnoteText"/>
      </w:pPr>
      <w:r w:rsidRPr="00D40600">
        <w:rPr>
          <w:rStyle w:val="FootnoteReference"/>
          <w:sz w:val="20"/>
        </w:rPr>
        <w:footnoteRef/>
      </w:r>
      <w:r w:rsidRPr="00D40600">
        <w:t xml:space="preserve"> Stephen Lawson, </w:t>
      </w:r>
      <w:r w:rsidRPr="00D40600">
        <w:rPr>
          <w:i/>
        </w:rPr>
        <w:t xml:space="preserve">U.S. Cellular Throws Its 4G LTE Hat in the Ring, </w:t>
      </w:r>
      <w:r w:rsidRPr="00D40600">
        <w:t xml:space="preserve">ComputerWorld, Mar. 22, 2012, at </w:t>
      </w:r>
      <w:hyperlink r:id="rId269" w:history="1">
        <w:r w:rsidRPr="00D40600">
          <w:rPr>
            <w:rStyle w:val="Hyperlink"/>
          </w:rPr>
          <w:t>http://www.computerworld.com/s/article/9225498/U.S._Cellular_throws_its_4G_LTE_hat_in_the_ring</w:t>
        </w:r>
      </w:hyperlink>
      <w:r w:rsidRPr="00D40600">
        <w:t xml:space="preserve"> (visited Oct. 16, 20</w:t>
      </w:r>
      <w:r>
        <w:t>12)</w:t>
      </w:r>
      <w:r w:rsidRPr="00D40600">
        <w:t>.</w:t>
      </w:r>
    </w:p>
  </w:footnote>
  <w:footnote w:id="640">
    <w:p w:rsidR="00EC7CF3" w:rsidRDefault="00EC7CF3" w:rsidP="003C780D">
      <w:pPr>
        <w:pStyle w:val="FootnoteText"/>
      </w:pPr>
      <w:r w:rsidRPr="00D40600">
        <w:rPr>
          <w:rStyle w:val="FootnoteReference"/>
          <w:sz w:val="20"/>
        </w:rPr>
        <w:footnoteRef/>
      </w:r>
      <w:r w:rsidRPr="00D40600">
        <w:t xml:space="preserve"> Commission estimates based on census block analysis of Mosaik CoverageRight coverage maps, January 2012.  Population data are from the 2010 Census.  Estimates of coverage represent mobile network deployment and may not indicate the extent to which providers actually offer service in the covered areas or have customers living in those areas.</w:t>
      </w:r>
    </w:p>
  </w:footnote>
  <w:footnote w:id="641">
    <w:p w:rsidR="00EC7CF3" w:rsidRDefault="00EC7CF3" w:rsidP="003C780D">
      <w:pPr>
        <w:pStyle w:val="FootnoteText"/>
      </w:pPr>
      <w:r w:rsidRPr="00D40600">
        <w:rPr>
          <w:rStyle w:val="FootnoteReference"/>
          <w:sz w:val="20"/>
        </w:rPr>
        <w:footnoteRef/>
      </w:r>
      <w:r w:rsidRPr="00D40600">
        <w:t xml:space="preserve"> </w:t>
      </w:r>
      <w:r w:rsidRPr="00D40600">
        <w:rPr>
          <w:i/>
          <w:iCs/>
        </w:rPr>
        <w:t>See</w:t>
      </w:r>
      <w:r w:rsidRPr="00D40600">
        <w:rPr>
          <w:iCs/>
        </w:rPr>
        <w:t xml:space="preserve"> Section IV.B.1.b,</w:t>
      </w:r>
      <w:r>
        <w:rPr>
          <w:iCs/>
        </w:rPr>
        <w:t xml:space="preserve"> Coverage by Technology Type,</w:t>
      </w:r>
      <w:r w:rsidRPr="00D40600">
        <w:rPr>
          <w:iCs/>
        </w:rPr>
        <w:t xml:space="preserve"> </w:t>
      </w:r>
      <w:r w:rsidRPr="00D40600">
        <w:rPr>
          <w:i/>
          <w:iCs/>
        </w:rPr>
        <w:t>supra</w:t>
      </w:r>
      <w:r w:rsidRPr="00D40600">
        <w:rPr>
          <w:iCs/>
        </w:rPr>
        <w:t>, for a discussion of the limitations of Mosaik data</w:t>
      </w:r>
      <w:r w:rsidRPr="00D40600">
        <w:t xml:space="preserve">.  </w:t>
      </w:r>
    </w:p>
  </w:footnote>
  <w:footnote w:id="642">
    <w:p w:rsidR="00EC7CF3" w:rsidRDefault="00EC7CF3" w:rsidP="00EB7A94">
      <w:pPr>
        <w:pStyle w:val="FootnoteText"/>
      </w:pPr>
      <w:r w:rsidRPr="00D40600">
        <w:rPr>
          <w:rStyle w:val="FootnoteReference"/>
          <w:sz w:val="20"/>
        </w:rPr>
        <w:footnoteRef/>
      </w:r>
      <w:r w:rsidRPr="00D40600">
        <w:t xml:space="preserve"> Includes Federal lands.  Commission estimates based on census block analysis of Mosa</w:t>
      </w:r>
      <w:r>
        <w:t xml:space="preserve">ik CoverageRight coverage maps, </w:t>
      </w:r>
      <w:r w:rsidRPr="00D40600">
        <w:t>January 2012.  Population data are from the 2010 Census</w:t>
      </w:r>
      <w:r w:rsidRPr="00D40600">
        <w:rPr>
          <w:rStyle w:val="Normal1"/>
          <w:sz w:val="20"/>
        </w:rPr>
        <w:t xml:space="preserve">, and the square miles include the United States and Puerto Rico.  </w:t>
      </w:r>
      <w:r w:rsidRPr="00D40600">
        <w:t xml:space="preserve">Our analysis of road miles includes the following road miles categories from census: Primary Road (S1100), Secondary Road (S1200), Local Neighborhood Road, Rural Road, City Street (S1400), Vehicular Trail [4WD] (S1500), Service Drive usually along a limited access highway (S1640), and Private Road for service vehicles (S1740) as defined in MAF/TIGER Feature Class Code (MTFCC) Definitions, pages F-186 and F-187 at </w:t>
      </w:r>
      <w:hyperlink r:id="rId270" w:tooltip="http://www.census.gov/geo/www/tiger/tgrshp2010/documentation.html" w:history="1">
        <w:r w:rsidRPr="00D40600">
          <w:rPr>
            <w:rStyle w:val="Hyperlink"/>
          </w:rPr>
          <w:t>http://www.census.gov/geo/www/tiger/tgrshp2010/documentation.html</w:t>
        </w:r>
      </w:hyperlink>
      <w:r>
        <w:t xml:space="preserve"> (</w:t>
      </w:r>
      <w:r w:rsidRPr="00D40600">
        <w:t xml:space="preserve">visited Sep 26, 2012).  In calculating the number of road miles associated with each census block, we also used two tables (“Faces” and “Edges”), published by the US Census Bureau as part of the TIGER database.  A description of these relationship tables can be found at </w:t>
      </w:r>
      <w:hyperlink r:id="rId271" w:tooltip="http://www.census.gov/geo/www/tiger/rel_file_desc.pdf" w:history="1">
        <w:r w:rsidRPr="00D40600">
          <w:rPr>
            <w:rStyle w:val="Hyperlink"/>
          </w:rPr>
          <w:t>http://www.census.gov/geo/www/tiger/rel_file_desc.pdf</w:t>
        </w:r>
      </w:hyperlink>
      <w:r w:rsidRPr="00D40600">
        <w:t xml:space="preserve"> (visited Oct. 16, 2012) .  The datasets themselves are available in the FACES and EDGES directories at </w:t>
      </w:r>
      <w:hyperlink r:id="rId272" w:tooltip="ftp://ftp2.census.gov/geo/tiger/TIGER2010/" w:history="1">
        <w:r w:rsidRPr="00D40600">
          <w:rPr>
            <w:rStyle w:val="Hyperlink"/>
          </w:rPr>
          <w:t>ftp://ftp2.census.gov/geo/tiger/TIGER2010/</w:t>
        </w:r>
      </w:hyperlink>
      <w:r>
        <w:t xml:space="preserve"> (visited Oct. 16, 2012).</w:t>
      </w:r>
    </w:p>
  </w:footnote>
  <w:footnote w:id="643">
    <w:p w:rsidR="00EC7CF3" w:rsidRDefault="00EC7CF3" w:rsidP="00DB049C">
      <w:pPr>
        <w:pStyle w:val="FootnoteText"/>
      </w:pPr>
      <w:r w:rsidRPr="00D40600">
        <w:rPr>
          <w:rStyle w:val="FootnoteReference"/>
          <w:sz w:val="20"/>
        </w:rPr>
        <w:footnoteRef/>
      </w:r>
      <w:r w:rsidRPr="00D40600">
        <w:t xml:space="preserve"> Includes Federal lands.  Commission estimates based on census block analysis of Mosaik CoverageRight coverage maps, </w:t>
      </w:r>
      <w:r>
        <w:t>October</w:t>
      </w:r>
      <w:r w:rsidRPr="00D40600">
        <w:t xml:space="preserve"> 2012.  Population data are from the 2010 Census</w:t>
      </w:r>
      <w:r w:rsidRPr="00D40600">
        <w:rPr>
          <w:rStyle w:val="Normal1"/>
          <w:sz w:val="20"/>
        </w:rPr>
        <w:t xml:space="preserve">, and the square miles include the United States and Puerto Rico. </w:t>
      </w:r>
    </w:p>
  </w:footnote>
  <w:footnote w:id="644">
    <w:p w:rsidR="00EC7CF3" w:rsidRDefault="00EC7CF3" w:rsidP="006266CB">
      <w:pPr>
        <w:pStyle w:val="FootnoteText"/>
      </w:pPr>
      <w:r w:rsidRPr="00D40600">
        <w:rPr>
          <w:rStyle w:val="FootnoteReference"/>
        </w:rPr>
        <w:footnoteRef/>
      </w:r>
      <w:r w:rsidRPr="00D40600">
        <w:t xml:space="preserve"> </w:t>
      </w:r>
      <w:r w:rsidRPr="00D40600">
        <w:rPr>
          <w:i/>
        </w:rPr>
        <w:t>See Fifteenth Report</w:t>
      </w:r>
      <w:r w:rsidRPr="00D40600">
        <w:t>, 26 FCC Rcd at 9742 ¶ 120, Table 13.</w:t>
      </w:r>
    </w:p>
  </w:footnote>
  <w:footnote w:id="645">
    <w:p w:rsidR="00EC7CF3" w:rsidRDefault="00EC7CF3" w:rsidP="006266CB">
      <w:pPr>
        <w:pStyle w:val="FootnoteText"/>
      </w:pPr>
      <w:r w:rsidRPr="00D40600">
        <w:rPr>
          <w:rStyle w:val="FootnoteReference"/>
        </w:rPr>
        <w:footnoteRef/>
      </w:r>
      <w:r w:rsidRPr="00D40600">
        <w:t xml:space="preserve"> </w:t>
      </w:r>
      <w:r w:rsidRPr="00D40600">
        <w:rPr>
          <w:i/>
        </w:rPr>
        <w:t>See Fifteenth Report</w:t>
      </w:r>
      <w:r w:rsidRPr="00D40600">
        <w:t>, 26 FCC Rcd at 9742 ¶ 120, Table 13.</w:t>
      </w:r>
    </w:p>
  </w:footnote>
  <w:footnote w:id="646">
    <w:p w:rsidR="00EC7CF3" w:rsidRDefault="00EC7CF3" w:rsidP="003C780D">
      <w:pPr>
        <w:pStyle w:val="FootnoteText"/>
      </w:pPr>
      <w:r w:rsidRPr="00D40600">
        <w:rPr>
          <w:rStyle w:val="FootnoteReference"/>
          <w:sz w:val="20"/>
        </w:rPr>
        <w:footnoteRef/>
      </w:r>
      <w:r w:rsidRPr="00D40600">
        <w:t xml:space="preserve">  Mobile broadband coverage across different states and areas of the country is</w:t>
      </w:r>
      <w:r>
        <w:t xml:space="preserve"> shown in Map D-29 in Appendix C</w:t>
      </w:r>
      <w:r w:rsidRPr="00D40600">
        <w:t>.</w:t>
      </w:r>
    </w:p>
  </w:footnote>
  <w:footnote w:id="647">
    <w:p w:rsidR="00EC7CF3" w:rsidRDefault="00EC7CF3" w:rsidP="007F6269">
      <w:pPr>
        <w:pStyle w:val="FootnoteText"/>
      </w:pPr>
      <w:r w:rsidRPr="00D40600">
        <w:rPr>
          <w:rStyle w:val="FootnoteReference"/>
          <w:sz w:val="20"/>
        </w:rPr>
        <w:footnoteRef/>
      </w:r>
      <w:r w:rsidRPr="00D40600">
        <w:t xml:space="preserve"> Includes Federal lands.  Commission estimates based on census block analysis of Mosaik CoverageRight coverage maps, January 2012.  Population data are from the 2010 Census</w:t>
      </w:r>
      <w:r w:rsidRPr="00D40600">
        <w:rPr>
          <w:rStyle w:val="Normal1"/>
          <w:sz w:val="20"/>
        </w:rPr>
        <w:t xml:space="preserve">, and the square miles include the United States and Puerto Rico.  </w:t>
      </w:r>
      <w:r w:rsidRPr="00D40600">
        <w:t xml:space="preserve">The Commission may include other combinations of mobile network technologies when referring to “mobile broadband” in other contexts.  </w:t>
      </w:r>
      <w:r w:rsidRPr="00D40600">
        <w:rPr>
          <w:i/>
        </w:rPr>
        <w:t>See, e.g.,</w:t>
      </w:r>
      <w:r w:rsidRPr="00D40600">
        <w:t xml:space="preserve"> </w:t>
      </w:r>
      <w:r w:rsidRPr="00D40600">
        <w:rPr>
          <w:i/>
        </w:rPr>
        <w:t>Eighth Broadband Progress Report</w:t>
      </w:r>
      <w:r w:rsidRPr="00D40600">
        <w:t xml:space="preserve"> at Table 15.</w:t>
      </w:r>
      <w:r w:rsidRPr="00D40600">
        <w:rPr>
          <w:color w:val="1F497D"/>
        </w:rPr>
        <w:t xml:space="preserve">   </w:t>
      </w:r>
      <w:r w:rsidRPr="00D40600">
        <w:t xml:space="preserve">Our analysis of road miles includes the following road miles categories from census: Primary Road (S1100), Secondary Road (S1200), Local Neighborhood Road, Rural Road, City Street (S1400), Vehicular Trail [4WD] (S1500), Service Drive usually along a limited access highway (S1640), and Private Road for service vehicles (S1740) as defined in MAF/TIGER Feature Class Code (MTFCC) Definitions, pages F-186 and F-187 at </w:t>
      </w:r>
      <w:hyperlink r:id="rId273" w:tooltip="http://www.census.gov/geo/www/tiger/tgrshp2010/documentation.html" w:history="1">
        <w:r w:rsidRPr="00D40600">
          <w:rPr>
            <w:rStyle w:val="Hyperlink"/>
          </w:rPr>
          <w:t>http://www.census.gov/geo/www/tiger/tgrshp2010/documentation.html</w:t>
        </w:r>
      </w:hyperlink>
      <w:r w:rsidRPr="00D40600">
        <w:t xml:space="preserve"> (last visited Sep 26, 2012).  In calculating the number of road miles associated with each census block, we also used two tables (“Faces” and “Edges”), published by the US Census Bureau as part of the TIGER database.  A description of these relationship tables can be found at </w:t>
      </w:r>
      <w:hyperlink r:id="rId274" w:tooltip="http://www.census.gov/geo/www/tiger/rel_file_desc.pdf" w:history="1">
        <w:r w:rsidRPr="00D40600">
          <w:rPr>
            <w:rStyle w:val="Hyperlink"/>
          </w:rPr>
          <w:t>http://www.census.gov/geo/www/tiger/rel_file_desc.pdf</w:t>
        </w:r>
      </w:hyperlink>
      <w:r w:rsidRPr="00D40600">
        <w:t xml:space="preserve">(visited Oct. 16, 2012) .  The datasets themselves are available in the FACES and EDGES directories at </w:t>
      </w:r>
      <w:hyperlink r:id="rId275" w:tooltip="ftp://ftp2.census.gov/geo/tiger/TIGER2010/" w:history="1">
        <w:r w:rsidRPr="00D40600">
          <w:rPr>
            <w:rStyle w:val="Hyperlink"/>
          </w:rPr>
          <w:t>ftp://ftp2.census.gov/geo/tiger/TIGER2010/</w:t>
        </w:r>
      </w:hyperlink>
      <w:r>
        <w:t>(visited Oct. 16, 2012).</w:t>
      </w:r>
    </w:p>
  </w:footnote>
  <w:footnote w:id="648">
    <w:p w:rsidR="00EC7CF3" w:rsidRDefault="00EC7CF3" w:rsidP="00F00DAF">
      <w:pPr>
        <w:pStyle w:val="FootnoteText"/>
      </w:pPr>
      <w:r w:rsidRPr="00D40600">
        <w:rPr>
          <w:rStyle w:val="FootnoteReference"/>
          <w:sz w:val="20"/>
        </w:rPr>
        <w:footnoteRef/>
      </w:r>
      <w:r w:rsidRPr="00D40600">
        <w:t xml:space="preserve"> Includes Federal lands.  Commission estimates based on census block analysis of Mosaik CoverageRight coverage maps, </w:t>
      </w:r>
      <w:r>
        <w:t xml:space="preserve">October </w:t>
      </w:r>
      <w:r w:rsidRPr="00D40600">
        <w:t>2012.  Population data are from the 2010 Census</w:t>
      </w:r>
      <w:r w:rsidRPr="00D40600">
        <w:rPr>
          <w:rStyle w:val="Normal1"/>
          <w:sz w:val="20"/>
        </w:rPr>
        <w:t>, and the square miles include the United States and Puerto Rico</w:t>
      </w:r>
      <w:r>
        <w:rPr>
          <w:rStyle w:val="Normal1"/>
          <w:sz w:val="20"/>
        </w:rPr>
        <w:t>.</w:t>
      </w:r>
    </w:p>
  </w:footnote>
  <w:footnote w:id="649">
    <w:p w:rsidR="00EC7CF3" w:rsidRDefault="00EC7CF3" w:rsidP="003C780D">
      <w:pPr>
        <w:pStyle w:val="FootnoteText"/>
      </w:pPr>
      <w:r w:rsidRPr="00D40600">
        <w:rPr>
          <w:rStyle w:val="FootnoteReference"/>
          <w:sz w:val="20"/>
        </w:rPr>
        <w:footnoteRef/>
      </w:r>
      <w:r w:rsidRPr="00D40600">
        <w:t xml:space="preserve"> </w:t>
      </w:r>
      <w:r w:rsidRPr="00D40600">
        <w:rPr>
          <w:color w:val="000000"/>
        </w:rPr>
        <w:t xml:space="preserve">The National Broadband Map was created by the National Telecommunications and Information Administration (NTIA) in partnership with Commission, 50 states, five territories, and the District of Columbia.  It can be accessed at </w:t>
      </w:r>
      <w:hyperlink r:id="rId276" w:history="1">
        <w:r w:rsidRPr="00D40600">
          <w:rPr>
            <w:rStyle w:val="Hyperlink"/>
          </w:rPr>
          <w:t>http://www.broadbandmap.gov/.</w:t>
        </w:r>
        <w:r w:rsidRPr="00432F46">
          <w:rPr>
            <w:rStyle w:val="Hyperlink"/>
            <w:color w:val="auto"/>
            <w:u w:val="none"/>
          </w:rPr>
          <w:t>(visited</w:t>
        </w:r>
      </w:hyperlink>
      <w:r w:rsidRPr="00D40600">
        <w:rPr>
          <w:color w:val="000000"/>
        </w:rPr>
        <w:t xml:space="preserve"> Oct. 16, 2012)</w:t>
      </w:r>
      <w:r>
        <w:rPr>
          <w:color w:val="000000"/>
        </w:rPr>
        <w:t>.</w:t>
      </w:r>
    </w:p>
  </w:footnote>
  <w:footnote w:id="650">
    <w:p w:rsidR="00EC7CF3" w:rsidRDefault="00EC7CF3" w:rsidP="003C780D">
      <w:pPr>
        <w:pStyle w:val="FootnoteText"/>
      </w:pPr>
      <w:r w:rsidRPr="00D40600">
        <w:rPr>
          <w:rStyle w:val="FootnoteReference"/>
          <w:sz w:val="20"/>
        </w:rPr>
        <w:footnoteRef/>
      </w:r>
      <w:r w:rsidRPr="00D40600">
        <w:t xml:space="preserve"> </w:t>
      </w:r>
      <w:hyperlink r:id="rId277" w:history="1">
        <w:r w:rsidRPr="00D40600">
          <w:rPr>
            <w:rStyle w:val="Hyperlink"/>
          </w:rPr>
          <w:t>http://www.broadbandmap.gov/</w:t>
        </w:r>
      </w:hyperlink>
      <w:r w:rsidRPr="00D40600">
        <w:t>. (visited Oct. 16, 2012)</w:t>
      </w:r>
      <w:r>
        <w:t>.</w:t>
      </w:r>
    </w:p>
  </w:footnote>
  <w:footnote w:id="651">
    <w:p w:rsidR="00EC7CF3" w:rsidRDefault="00EC7CF3" w:rsidP="003C780D">
      <w:pPr>
        <w:pStyle w:val="FootnoteText"/>
      </w:pPr>
      <w:r w:rsidRPr="00D40600">
        <w:rPr>
          <w:rStyle w:val="FootnoteReference"/>
          <w:sz w:val="20"/>
        </w:rPr>
        <w:footnoteRef/>
      </w:r>
      <w:r w:rsidRPr="00D40600">
        <w:t xml:space="preserve"> </w:t>
      </w:r>
      <w:hyperlink r:id="rId278" w:history="1">
        <w:r w:rsidRPr="00D40600">
          <w:rPr>
            <w:rStyle w:val="Hyperlink"/>
          </w:rPr>
          <w:t>http://www.broadbandmap.gov/</w:t>
        </w:r>
      </w:hyperlink>
      <w:r>
        <w:t>. (visite</w:t>
      </w:r>
      <w:r w:rsidRPr="00D40600">
        <w:t>d Oct. 16, 2012)</w:t>
      </w:r>
      <w:r>
        <w:t>.</w:t>
      </w:r>
    </w:p>
  </w:footnote>
  <w:footnote w:id="652">
    <w:p w:rsidR="00EC7CF3" w:rsidRDefault="00EC7CF3" w:rsidP="003C780D">
      <w:pPr>
        <w:pStyle w:val="FootnoteText"/>
      </w:pPr>
      <w:r w:rsidRPr="00D40600">
        <w:rPr>
          <w:rStyle w:val="FootnoteReference"/>
          <w:sz w:val="20"/>
        </w:rPr>
        <w:footnoteRef/>
      </w:r>
      <w:r w:rsidRPr="00D40600">
        <w:t xml:space="preserve"> </w:t>
      </w:r>
      <w:r w:rsidRPr="00D40600">
        <w:rPr>
          <w:i/>
        </w:rPr>
        <w:t>2012</w:t>
      </w:r>
      <w:r w:rsidRPr="00D40600">
        <w:t xml:space="preserve"> </w:t>
      </w:r>
      <w:r w:rsidRPr="00D40600">
        <w:rPr>
          <w:i/>
        </w:rPr>
        <w:t>Eighth Broadband Progress Report</w:t>
      </w:r>
      <w:r w:rsidRPr="00D40600">
        <w:t xml:space="preserve">, GN Docket No. 11-121, ¶ 86. </w:t>
      </w:r>
    </w:p>
  </w:footnote>
  <w:footnote w:id="653">
    <w:p w:rsidR="00EC7CF3" w:rsidRDefault="00EC7CF3" w:rsidP="003C780D">
      <w:pPr>
        <w:pStyle w:val="FootnoteText"/>
      </w:pPr>
      <w:r w:rsidRPr="00D40600">
        <w:rPr>
          <w:rStyle w:val="FootnoteReference"/>
          <w:sz w:val="20"/>
        </w:rPr>
        <w:footnoteRef/>
      </w:r>
      <w:r w:rsidRPr="00D40600">
        <w:t xml:space="preserve"> </w:t>
      </w:r>
      <w:r w:rsidRPr="00D40600">
        <w:rPr>
          <w:i/>
        </w:rPr>
        <w:t xml:space="preserve">See </w:t>
      </w:r>
      <w:r w:rsidRPr="00D40600">
        <w:t xml:space="preserve">Section IV.B.1.a, Service Provider Technology Deployments, </w:t>
      </w:r>
      <w:r w:rsidRPr="00D40600">
        <w:rPr>
          <w:i/>
        </w:rPr>
        <w:t>supra</w:t>
      </w:r>
      <w:r w:rsidRPr="00D40600">
        <w:t>.</w:t>
      </w:r>
    </w:p>
  </w:footnote>
  <w:footnote w:id="654">
    <w:p w:rsidR="00EC7CF3" w:rsidRDefault="00EC7CF3" w:rsidP="003C780D">
      <w:pPr>
        <w:pStyle w:val="FootnoteText"/>
      </w:pPr>
      <w:r w:rsidRPr="00D40600">
        <w:rPr>
          <w:rStyle w:val="FootnoteReference"/>
          <w:sz w:val="20"/>
        </w:rPr>
        <w:footnoteRef/>
      </w:r>
      <w:r w:rsidRPr="00D40600">
        <w:t xml:space="preserve"> Commission estimates based on census block analysis of Mosaik CoverageRight coverage maps, April 2011 and </w:t>
      </w:r>
      <w:r>
        <w:t>October 2012</w:t>
      </w:r>
      <w:r w:rsidRPr="00D40600">
        <w:t xml:space="preserve">.  Estimates for previous years were obtained from the Annual Mobile Wireless Competition Reports and the Annual CMRS Competition Reports.  </w:t>
      </w:r>
      <w:r w:rsidRPr="00D40600">
        <w:rPr>
          <w:i/>
        </w:rPr>
        <w:t>See Fifteenth Report</w:t>
      </w:r>
      <w:r w:rsidRPr="00D40600">
        <w:t>, 26 FCC Rcd at 9743 ¶ 122;</w:t>
      </w:r>
      <w:r w:rsidRPr="00D40600">
        <w:rPr>
          <w:i/>
        </w:rPr>
        <w:t xml:space="preserve"> Fourteenth Report</w:t>
      </w:r>
      <w:r w:rsidRPr="00D40600">
        <w:t xml:space="preserve">, 25 FCC Rcd at 11487-88 ¶ 122, Table 13; </w:t>
      </w:r>
      <w:r w:rsidRPr="00D40600">
        <w:rPr>
          <w:i/>
        </w:rPr>
        <w:t>Thirteenth Report</w:t>
      </w:r>
      <w:r w:rsidRPr="00D40600">
        <w:t xml:space="preserve">, 24 FCC Rcd at 6257 ¶ 145; </w:t>
      </w:r>
      <w:r w:rsidRPr="00D40600">
        <w:rPr>
          <w:i/>
        </w:rPr>
        <w:t>Twelfth Report</w:t>
      </w:r>
      <w:r w:rsidRPr="00D40600">
        <w:t xml:space="preserve">, 23 FCC Rcd at 2304 ¶ 143; </w:t>
      </w:r>
      <w:r w:rsidRPr="00D40600">
        <w:rPr>
          <w:i/>
        </w:rPr>
        <w:t>Eleventh Report</w:t>
      </w:r>
      <w:r w:rsidRPr="00D40600">
        <w:t>, 21 FCC Rcd at 10995 ¶ 117.</w:t>
      </w:r>
    </w:p>
  </w:footnote>
  <w:footnote w:id="655">
    <w:p w:rsidR="00EC7CF3" w:rsidRDefault="00EC7CF3" w:rsidP="003C780D">
      <w:pPr>
        <w:tabs>
          <w:tab w:val="center" w:pos="4680"/>
        </w:tabs>
        <w:suppressAutoHyphens/>
        <w:spacing w:after="120"/>
      </w:pPr>
      <w:r w:rsidRPr="00D40600">
        <w:rPr>
          <w:rStyle w:val="FootnoteReference"/>
          <w:sz w:val="20"/>
        </w:rPr>
        <w:footnoteRef/>
      </w:r>
      <w:r w:rsidRPr="00D40600">
        <w:rPr>
          <w:sz w:val="20"/>
        </w:rPr>
        <w:t xml:space="preserve"> </w:t>
      </w:r>
      <w:r w:rsidRPr="00D40600">
        <w:rPr>
          <w:spacing w:val="-2"/>
          <w:sz w:val="20"/>
        </w:rPr>
        <w:t>Connect America Fund, A National Broadband Plan for Our Future, Establishing Just and Reasonable Rates for Local Exchange Carriers</w:t>
      </w:r>
      <w:r w:rsidRPr="00D40600">
        <w:rPr>
          <w:sz w:val="20"/>
        </w:rPr>
        <w:t xml:space="preserve">, </w:t>
      </w:r>
      <w:r w:rsidRPr="00D40600">
        <w:rPr>
          <w:spacing w:val="-2"/>
          <w:sz w:val="20"/>
        </w:rPr>
        <w:t>High-Cost Universal Service Support, Developing an Unified Intercarrier Compensation Regime</w:t>
      </w:r>
      <w:r w:rsidRPr="00D40600">
        <w:rPr>
          <w:sz w:val="20"/>
        </w:rPr>
        <w:t xml:space="preserve">, </w:t>
      </w:r>
      <w:r w:rsidRPr="00D40600">
        <w:rPr>
          <w:spacing w:val="-2"/>
          <w:sz w:val="20"/>
        </w:rPr>
        <w:t>Federal-State Joint Board on Universal Service, Lifeline and Link-Up, Universal Service Reform – Mobility Fund</w:t>
      </w:r>
      <w:r w:rsidRPr="00D40600">
        <w:rPr>
          <w:sz w:val="20"/>
        </w:rPr>
        <w:t xml:space="preserve">, </w:t>
      </w:r>
      <w:r w:rsidRPr="00D40600">
        <w:rPr>
          <w:i/>
          <w:sz w:val="20"/>
        </w:rPr>
        <w:t>Report and Order and Further Notice of Proposed Rulemaking</w:t>
      </w:r>
      <w:r w:rsidRPr="00D40600">
        <w:rPr>
          <w:sz w:val="20"/>
        </w:rPr>
        <w:t xml:space="preserve">, 26 FCC Rcd 17663 (2011).  </w:t>
      </w:r>
      <w:r w:rsidRPr="00D40600">
        <w:rPr>
          <w:i/>
          <w:sz w:val="20"/>
        </w:rPr>
        <w:t xml:space="preserve">See </w:t>
      </w:r>
      <w:r>
        <w:rPr>
          <w:sz w:val="20"/>
        </w:rPr>
        <w:t>Section IX,</w:t>
      </w:r>
      <w:r w:rsidRPr="00D40600">
        <w:rPr>
          <w:sz w:val="20"/>
        </w:rPr>
        <w:t xml:space="preserve"> Urban-Rural Comparisons, </w:t>
      </w:r>
      <w:r w:rsidRPr="00D40600">
        <w:rPr>
          <w:i/>
          <w:sz w:val="20"/>
        </w:rPr>
        <w:t>infra.</w:t>
      </w:r>
    </w:p>
  </w:footnote>
  <w:footnote w:id="656">
    <w:p w:rsidR="00EC7CF3" w:rsidRDefault="00EC7CF3" w:rsidP="003C780D">
      <w:pPr>
        <w:pStyle w:val="FootnoteText"/>
      </w:pPr>
      <w:r w:rsidRPr="00D40600">
        <w:rPr>
          <w:rStyle w:val="FootnoteReference"/>
          <w:sz w:val="20"/>
        </w:rPr>
        <w:footnoteRef/>
      </w:r>
      <w:r w:rsidRPr="00D40600">
        <w:t xml:space="preserve"> </w:t>
      </w:r>
      <w:r w:rsidRPr="00D40600">
        <w:rPr>
          <w:i/>
        </w:rPr>
        <w:t>Id</w:t>
      </w:r>
      <w:r w:rsidRPr="00D40600">
        <w:t>.</w:t>
      </w:r>
    </w:p>
  </w:footnote>
  <w:footnote w:id="657">
    <w:p w:rsidR="00EC7CF3" w:rsidRDefault="00EC7CF3" w:rsidP="003C780D">
      <w:pPr>
        <w:pStyle w:val="FootnoteText"/>
      </w:pPr>
      <w:r w:rsidRPr="00D40600">
        <w:rPr>
          <w:rStyle w:val="FootnoteReference"/>
          <w:sz w:val="20"/>
        </w:rPr>
        <w:footnoteRef/>
      </w:r>
      <w:r w:rsidRPr="00D40600">
        <w:t xml:space="preserve"> </w:t>
      </w:r>
      <w:r w:rsidRPr="00D40600">
        <w:rPr>
          <w:i/>
        </w:rPr>
        <w:t>Id</w:t>
      </w:r>
      <w:r w:rsidRPr="00D40600">
        <w:t xml:space="preserve">; “Mobility Fund Phase I Auction Scheduled for September 27, 2012, Notice and Filing Requirements and Other Procedures for Auction 901,” AU Docket No. 12-25, </w:t>
      </w:r>
      <w:r w:rsidRPr="00D40600">
        <w:rPr>
          <w:i/>
        </w:rPr>
        <w:t>Public Notice</w:t>
      </w:r>
      <w:r w:rsidRPr="00D40600">
        <w:t>, DA 12-641 (WTB rel. May 2, 2012).</w:t>
      </w:r>
    </w:p>
  </w:footnote>
  <w:footnote w:id="658">
    <w:p w:rsidR="00EC7CF3" w:rsidRDefault="00EC7CF3" w:rsidP="00FC4F6C">
      <w:pPr>
        <w:pStyle w:val="FootnoteText"/>
      </w:pPr>
      <w:r w:rsidRPr="00D40600">
        <w:rPr>
          <w:rStyle w:val="FootnoteReference"/>
          <w:sz w:val="20"/>
        </w:rPr>
        <w:footnoteRef/>
      </w:r>
      <w:r w:rsidRPr="00D40600">
        <w:t xml:space="preserve"> “Mobility Fund Phase I Auction Closes, Winning Bidders Announced For Auction 901.” </w:t>
      </w:r>
      <w:r w:rsidRPr="00D40600">
        <w:rPr>
          <w:i/>
        </w:rPr>
        <w:t>Public Notice</w:t>
      </w:r>
      <w:r w:rsidRPr="00D40600">
        <w:t>, DA 12-1566 (WTB rel. Oct. 3, 2012).</w:t>
      </w:r>
    </w:p>
  </w:footnote>
  <w:footnote w:id="659">
    <w:p w:rsidR="00EC7CF3" w:rsidRDefault="00EC7CF3" w:rsidP="00FC4F6C">
      <w:pPr>
        <w:pStyle w:val="FootnoteText"/>
      </w:pPr>
      <w:r w:rsidRPr="00D40600">
        <w:rPr>
          <w:rStyle w:val="FootnoteReference"/>
          <w:sz w:val="20"/>
        </w:rPr>
        <w:footnoteRef/>
      </w:r>
      <w:r w:rsidRPr="00D40600">
        <w:t xml:space="preserve"> </w:t>
      </w:r>
      <w:r w:rsidRPr="00D40600">
        <w:rPr>
          <w:i/>
        </w:rPr>
        <w:t>Id</w:t>
      </w:r>
      <w:r w:rsidRPr="00D40600">
        <w:t xml:space="preserve">. </w:t>
      </w:r>
    </w:p>
  </w:footnote>
  <w:footnote w:id="660">
    <w:p w:rsidR="00EC7CF3" w:rsidRDefault="00EC7CF3" w:rsidP="003C780D">
      <w:pPr>
        <w:autoSpaceDE w:val="0"/>
        <w:autoSpaceDN w:val="0"/>
        <w:adjustRightInd w:val="0"/>
        <w:spacing w:after="120"/>
      </w:pPr>
      <w:r w:rsidRPr="00D40600">
        <w:rPr>
          <w:rStyle w:val="FootnoteReference"/>
          <w:sz w:val="20"/>
        </w:rPr>
        <w:footnoteRef/>
      </w:r>
      <w:r w:rsidRPr="00D40600">
        <w:rPr>
          <w:i/>
          <w:sz w:val="20"/>
        </w:rPr>
        <w:t>Fourteenth Report</w:t>
      </w:r>
      <w:r w:rsidRPr="00D40600">
        <w:rPr>
          <w:sz w:val="20"/>
        </w:rPr>
        <w:t xml:space="preserve">, 25 FCC Rcd at 11489 ¶ 124; </w:t>
      </w:r>
      <w:r w:rsidRPr="00D40600">
        <w:rPr>
          <w:i/>
          <w:sz w:val="20"/>
        </w:rPr>
        <w:t xml:space="preserve">see also </w:t>
      </w:r>
      <w:r w:rsidRPr="00D40600">
        <w:rPr>
          <w:sz w:val="20"/>
        </w:rPr>
        <w:t xml:space="preserve">Reexamination of Roaming Obligations of Commercial Mobile Radio Service Providers, </w:t>
      </w:r>
      <w:r w:rsidRPr="00D40600">
        <w:rPr>
          <w:i/>
          <w:sz w:val="20"/>
        </w:rPr>
        <w:t>Order on Reconsideration and Second Further Notice of Proposed Rulemaking</w:t>
      </w:r>
      <w:r w:rsidRPr="00D40600">
        <w:rPr>
          <w:sz w:val="20"/>
        </w:rPr>
        <w:t>, 25 FCC Rcd 4181, 4192 ¶ 23 (2010) (“</w:t>
      </w:r>
      <w:r w:rsidRPr="00D40600">
        <w:rPr>
          <w:i/>
          <w:sz w:val="20"/>
        </w:rPr>
        <w:t xml:space="preserve">Roaming Order on Reconsideration” and “Second Further Notice of Proposed Rulemaking” </w:t>
      </w:r>
      <w:r w:rsidRPr="00D40600">
        <w:rPr>
          <w:sz w:val="20"/>
        </w:rPr>
        <w:t xml:space="preserve">respectively) (finding that in some areas of the country, low population densities, along with insufficient demand, make it uneconomic for several carriers to build out). </w:t>
      </w:r>
    </w:p>
  </w:footnote>
  <w:footnote w:id="661">
    <w:p w:rsidR="00EC7CF3" w:rsidRDefault="00EC7CF3" w:rsidP="003C780D">
      <w:pPr>
        <w:pStyle w:val="FootnoteText"/>
      </w:pPr>
      <w:r w:rsidRPr="00D40600">
        <w:rPr>
          <w:rStyle w:val="FootnoteReference"/>
          <w:sz w:val="20"/>
        </w:rPr>
        <w:footnoteRef/>
      </w:r>
      <w:r w:rsidRPr="00D40600">
        <w:t xml:space="preserve"> All mobile calling plans specify a calling area – such as a particular metropolitan area, a state, a region, the provider’s entire network, or the entire United States – within which the subscriber can make a call without incurring additional charges.  Outside of this calling area, roaming services are obtained by a carrier for its customers through a roaming agreement with another carrier.</w:t>
      </w:r>
    </w:p>
  </w:footnote>
  <w:footnote w:id="662">
    <w:p w:rsidR="00EC7CF3" w:rsidRDefault="00EC7CF3" w:rsidP="003C780D">
      <w:pPr>
        <w:autoSpaceDE w:val="0"/>
        <w:autoSpaceDN w:val="0"/>
        <w:adjustRightInd w:val="0"/>
        <w:spacing w:after="120"/>
      </w:pPr>
      <w:r w:rsidRPr="00D40600">
        <w:rPr>
          <w:rStyle w:val="FootnoteReference"/>
          <w:sz w:val="20"/>
        </w:rPr>
        <w:footnoteRef/>
      </w:r>
      <w:r w:rsidRPr="00D40600">
        <w:rPr>
          <w:i/>
          <w:sz w:val="20"/>
        </w:rPr>
        <w:t>Fourteenth Report</w:t>
      </w:r>
      <w:r w:rsidRPr="00D40600">
        <w:rPr>
          <w:sz w:val="20"/>
        </w:rPr>
        <w:t xml:space="preserve">, 25 FCC Rcd at 11489-90 ¶ 125; </w:t>
      </w:r>
      <w:r w:rsidRPr="00D40600">
        <w:rPr>
          <w:i/>
          <w:sz w:val="20"/>
        </w:rPr>
        <w:t xml:space="preserve">Roaming Order on Reconsideration, </w:t>
      </w:r>
      <w:r w:rsidRPr="00D40600">
        <w:rPr>
          <w:sz w:val="20"/>
        </w:rPr>
        <w:t xml:space="preserve">25 FCC Rcd at 4192 ¶ 23. One potential measure of the significance of roaming in the wireless industry is roaming revenues, which are discussed in detail below.  </w:t>
      </w:r>
      <w:r w:rsidRPr="00D40600">
        <w:rPr>
          <w:i/>
          <w:sz w:val="20"/>
        </w:rPr>
        <w:t>See also</w:t>
      </w:r>
      <w:r w:rsidRPr="00D40600">
        <w:rPr>
          <w:sz w:val="20"/>
        </w:rPr>
        <w:t xml:space="preserve"> AT&amp;T Reply Comments at 18-19. </w:t>
      </w:r>
    </w:p>
  </w:footnote>
  <w:footnote w:id="663">
    <w:p w:rsidR="00EC7CF3" w:rsidRDefault="00EC7CF3" w:rsidP="003C780D">
      <w:pPr>
        <w:spacing w:after="120"/>
      </w:pPr>
      <w:r w:rsidRPr="00D40600">
        <w:rPr>
          <w:rStyle w:val="FootnoteReference"/>
          <w:sz w:val="20"/>
        </w:rPr>
        <w:footnoteRef/>
      </w:r>
      <w:r w:rsidRPr="00D40600">
        <w:rPr>
          <w:i/>
          <w:sz w:val="20"/>
        </w:rPr>
        <w:t xml:space="preserve"> See, e.g., </w:t>
      </w:r>
      <w:r w:rsidRPr="00D40600">
        <w:rPr>
          <w:sz w:val="20"/>
        </w:rPr>
        <w:t xml:space="preserve"> Cricket, </w:t>
      </w:r>
      <w:r w:rsidRPr="00D40600">
        <w:rPr>
          <w:i/>
          <w:sz w:val="20"/>
        </w:rPr>
        <w:t>Best Cell Phone Coverage Areas, Cellular Maps</w:t>
      </w:r>
      <w:r w:rsidRPr="00D40600">
        <w:rPr>
          <w:sz w:val="20"/>
        </w:rPr>
        <w:t xml:space="preserve">, </w:t>
      </w:r>
      <w:hyperlink r:id="rId279" w:history="1">
        <w:r w:rsidRPr="00D40600">
          <w:rPr>
            <w:rStyle w:val="Hyperlink"/>
            <w:sz w:val="20"/>
          </w:rPr>
          <w:t>http://www.mycricket.com/coverage/cell-phone-coverage</w:t>
        </w:r>
      </w:hyperlink>
      <w:r w:rsidRPr="00D40600">
        <w:rPr>
          <w:sz w:val="20"/>
        </w:rPr>
        <w:t xml:space="preserve"> (visited June 5, 2012) (stating that Cricket Wireless offers a wide variety of cell phone plans to choose from “with coverage available all over the U.S.”); Cricket, </w:t>
      </w:r>
      <w:r w:rsidRPr="00D40600">
        <w:rPr>
          <w:i/>
          <w:sz w:val="20"/>
        </w:rPr>
        <w:t>Wireless Coverage Maps</w:t>
      </w:r>
      <w:r w:rsidRPr="00D40600">
        <w:rPr>
          <w:sz w:val="20"/>
        </w:rPr>
        <w:t xml:space="preserve">, </w:t>
      </w:r>
      <w:hyperlink r:id="rId280" w:history="1">
        <w:r w:rsidRPr="00D40600">
          <w:rPr>
            <w:rStyle w:val="Hyperlink"/>
            <w:sz w:val="20"/>
          </w:rPr>
          <w:t>http://www.mycricket.com/coverage/maps/wireless</w:t>
        </w:r>
      </w:hyperlink>
      <w:r w:rsidRPr="00D40600">
        <w:rPr>
          <w:sz w:val="20"/>
        </w:rPr>
        <w:t xml:space="preserve"> (visited June 5, 2012) (providing an interactive U.S. map showing Cricket’s roaming coverage and stating that they have expanded their coverage all across the U.S.); MetroPCS, </w:t>
      </w:r>
      <w:r w:rsidRPr="00D40600">
        <w:rPr>
          <w:i/>
          <w:sz w:val="20"/>
        </w:rPr>
        <w:t>Unlimited Cell Phone Plans</w:t>
      </w:r>
      <w:r w:rsidRPr="00D40600">
        <w:rPr>
          <w:sz w:val="20"/>
        </w:rPr>
        <w:t xml:space="preserve">, </w:t>
      </w:r>
      <w:hyperlink r:id="rId281" w:history="1">
        <w:r w:rsidRPr="00D40600">
          <w:rPr>
            <w:rStyle w:val="Hyperlink"/>
            <w:sz w:val="20"/>
          </w:rPr>
          <w:t>http://www.metropcs.com/plans/</w:t>
        </w:r>
      </w:hyperlink>
      <w:r w:rsidRPr="00D40600">
        <w:rPr>
          <w:sz w:val="20"/>
        </w:rPr>
        <w:t xml:space="preserve"> (visited June 5, 2012) (showing MetroPCS plans that include nationwide coverage); MetroPCS, </w:t>
      </w:r>
      <w:r w:rsidRPr="00D40600">
        <w:rPr>
          <w:i/>
          <w:sz w:val="20"/>
        </w:rPr>
        <w:t>Coverage Map</w:t>
      </w:r>
      <w:r w:rsidRPr="00D40600">
        <w:rPr>
          <w:sz w:val="20"/>
        </w:rPr>
        <w:t xml:space="preserve">, </w:t>
      </w:r>
      <w:hyperlink r:id="rId282" w:history="1">
        <w:r w:rsidRPr="00D40600">
          <w:rPr>
            <w:rStyle w:val="Hyperlink"/>
            <w:sz w:val="20"/>
          </w:rPr>
          <w:t>http://www.metropcs.com/metro/whymetro/ourcoverage.jsp</w:t>
        </w:r>
      </w:hyperlink>
      <w:r w:rsidRPr="00D40600">
        <w:rPr>
          <w:sz w:val="20"/>
        </w:rPr>
        <w:t xml:space="preserve"> (visited June 5, 2012) (providing an interactive U.S. map showing the various types of coverage provided by MetroPCS in different geographic areas); US Cellular, </w:t>
      </w:r>
      <w:r w:rsidRPr="00D40600">
        <w:rPr>
          <w:i/>
          <w:sz w:val="20"/>
        </w:rPr>
        <w:t>Cell Phone Plans</w:t>
      </w:r>
      <w:r w:rsidRPr="00D40600">
        <w:rPr>
          <w:sz w:val="20"/>
        </w:rPr>
        <w:t xml:space="preserve">, </w:t>
      </w:r>
      <w:hyperlink r:id="rId283" w:history="1">
        <w:r w:rsidRPr="00D40600">
          <w:rPr>
            <w:rStyle w:val="Hyperlink"/>
            <w:sz w:val="20"/>
          </w:rPr>
          <w:t>http://www.uscellular.com/uscellular/plans/showPlans.jsp?type=plans&amp;plan-selector-type=individual</w:t>
        </w:r>
      </w:hyperlink>
      <w:r w:rsidRPr="00D40600">
        <w:rPr>
          <w:sz w:val="20"/>
        </w:rPr>
        <w:t xml:space="preserve"> (visited June 5, 2012) (after entering a valid zip code, shows US Cellular national plans); US Cellular, </w:t>
      </w:r>
      <w:r w:rsidRPr="00D40600">
        <w:rPr>
          <w:i/>
          <w:sz w:val="20"/>
        </w:rPr>
        <w:t>Voice and Data Maps</w:t>
      </w:r>
      <w:r w:rsidRPr="00D40600">
        <w:rPr>
          <w:sz w:val="20"/>
        </w:rPr>
        <w:t xml:space="preserve">, </w:t>
      </w:r>
      <w:hyperlink r:id="rId284" w:history="1">
        <w:r w:rsidRPr="00D40600">
          <w:rPr>
            <w:rStyle w:val="Hyperlink"/>
            <w:sz w:val="20"/>
          </w:rPr>
          <w:t>http://www.uscellular.com/coverage-map/index.html</w:t>
        </w:r>
      </w:hyperlink>
      <w:r w:rsidRPr="00D40600">
        <w:rPr>
          <w:sz w:val="20"/>
        </w:rPr>
        <w:t xml:space="preserve"> (visited June 5, 2012) (providing interactive U.S. maps depicting US Cellular national voice and data coverage).  </w:t>
      </w:r>
    </w:p>
  </w:footnote>
  <w:footnote w:id="664">
    <w:p w:rsidR="00EC7CF3" w:rsidRDefault="00EC7CF3" w:rsidP="003C780D">
      <w:pPr>
        <w:pStyle w:val="FootnoteText"/>
      </w:pPr>
      <w:r w:rsidRPr="00D40600">
        <w:rPr>
          <w:rStyle w:val="FootnoteReference"/>
          <w:sz w:val="20"/>
        </w:rPr>
        <w:footnoteRef/>
      </w:r>
      <w:r w:rsidRPr="00D40600">
        <w:t xml:space="preserve"> </w:t>
      </w:r>
      <w:r w:rsidRPr="00D40600">
        <w:rPr>
          <w:i/>
        </w:rPr>
        <w:t>See e.g.,</w:t>
      </w:r>
      <w:r w:rsidRPr="00D40600">
        <w:t xml:space="preserve"> Leap, </w:t>
      </w:r>
      <w:r w:rsidRPr="00D40600">
        <w:rPr>
          <w:i/>
        </w:rPr>
        <w:t>Cricket Best Cell Phone Coverage Areas, Cellular Maps</w:t>
      </w:r>
      <w:r w:rsidRPr="00D40600">
        <w:t xml:space="preserve"> </w:t>
      </w:r>
      <w:hyperlink r:id="rId285" w:history="1">
        <w:r w:rsidRPr="00D40600">
          <w:rPr>
            <w:rStyle w:val="Hyperlink"/>
          </w:rPr>
          <w:t>http://www.mycricket.com/coverage/glossary</w:t>
        </w:r>
      </w:hyperlink>
      <w:r w:rsidRPr="00D40600">
        <w:t xml:space="preserve"> (visited June 5, 2012) (Subscribers to these plans can also add roaming minutes to their plan each month as an add-on or pay-as-you-go using Flex Bucket.) ; </w:t>
      </w:r>
      <w:r w:rsidRPr="00D40600">
        <w:rPr>
          <w:i/>
        </w:rPr>
        <w:t>see also</w:t>
      </w:r>
      <w:r w:rsidRPr="00D40600">
        <w:t xml:space="preserve"> AT&amp;T Comments at 10 (stating that “almost all major providers that market services only in some geographic regions – such as U.S. Cellular, MetroPCS, Cincinnati Bell, and Cellular South (now C Spire) – now offer nationwide coverage, generally without retail roaming fess in areas covering most of the U.S. population.”)</w:t>
      </w:r>
    </w:p>
  </w:footnote>
  <w:footnote w:id="665">
    <w:p w:rsidR="00EC7CF3" w:rsidRDefault="00EC7CF3" w:rsidP="003C780D">
      <w:pPr>
        <w:autoSpaceDE w:val="0"/>
        <w:autoSpaceDN w:val="0"/>
        <w:adjustRightInd w:val="0"/>
        <w:spacing w:after="120"/>
      </w:pPr>
      <w:r w:rsidRPr="00D40600">
        <w:rPr>
          <w:rStyle w:val="FootnoteReference"/>
          <w:sz w:val="20"/>
        </w:rPr>
        <w:footnoteRef/>
      </w:r>
      <w:r w:rsidRPr="00D40600">
        <w:rPr>
          <w:i/>
          <w:sz w:val="20"/>
        </w:rPr>
        <w:t>See FifteenthReport</w:t>
      </w:r>
      <w:r w:rsidRPr="00D40600">
        <w:rPr>
          <w:sz w:val="20"/>
        </w:rPr>
        <w:t xml:space="preserve">, 26 FCC Rcd at 9746 ¶ 126; </w:t>
      </w:r>
      <w:r w:rsidRPr="00D40600">
        <w:rPr>
          <w:i/>
          <w:sz w:val="20"/>
        </w:rPr>
        <w:t xml:space="preserve">see also </w:t>
      </w:r>
      <w:r w:rsidRPr="00D40600">
        <w:rPr>
          <w:sz w:val="20"/>
        </w:rPr>
        <w:t>RCA Comments at 15; NTCA Comments at 3-4 (arguing that regional and local carriers offer a small footprint and need to partner with other carriers through roaming agreement to offer their subscriber</w:t>
      </w:r>
      <w:r>
        <w:rPr>
          <w:sz w:val="20"/>
        </w:rPr>
        <w:t>s competitive expanded coverage</w:t>
      </w:r>
      <w:r w:rsidRPr="00D40600">
        <w:rPr>
          <w:sz w:val="20"/>
        </w:rPr>
        <w:t>).</w:t>
      </w:r>
    </w:p>
  </w:footnote>
  <w:footnote w:id="666">
    <w:p w:rsidR="00EC7CF3" w:rsidRDefault="00EC7CF3" w:rsidP="003C780D">
      <w:pPr>
        <w:autoSpaceDE w:val="0"/>
        <w:autoSpaceDN w:val="0"/>
        <w:adjustRightInd w:val="0"/>
        <w:spacing w:after="120"/>
      </w:pPr>
      <w:r w:rsidRPr="00D40600">
        <w:rPr>
          <w:rStyle w:val="FootnoteReference"/>
          <w:sz w:val="20"/>
        </w:rPr>
        <w:footnoteRef/>
      </w:r>
      <w:r w:rsidRPr="00D40600">
        <w:rPr>
          <w:i/>
          <w:sz w:val="20"/>
        </w:rPr>
        <w:t>See Fifteenth Report</w:t>
      </w:r>
      <w:r w:rsidRPr="00D40600">
        <w:rPr>
          <w:sz w:val="20"/>
        </w:rPr>
        <w:t xml:space="preserve">, 26 FCC Rcd at 9746 ¶ 126; </w:t>
      </w:r>
      <w:r w:rsidRPr="00D40600">
        <w:rPr>
          <w:i/>
          <w:sz w:val="20"/>
        </w:rPr>
        <w:t xml:space="preserve">see also Roaming Order on Reconsideration, </w:t>
      </w:r>
      <w:r w:rsidRPr="00D40600">
        <w:rPr>
          <w:sz w:val="20"/>
        </w:rPr>
        <w:t xml:space="preserve">25 FCC Rcd at 4191-92 ¶ 21 (recognizing that without the ability to offer roaming in markets where they hold spectrum, new entrants would in effect be required “to build out their networks extensively throughout the newly obtained license area before they can provide a competitive service to consumers, all without the benefit of financing the construction of new networks over time with revenues from existing services and reliance on roaming to fill in gaps during build out”); </w:t>
      </w:r>
      <w:r w:rsidRPr="00D40600">
        <w:rPr>
          <w:i/>
          <w:sz w:val="20"/>
        </w:rPr>
        <w:t>see also</w:t>
      </w:r>
      <w:r w:rsidRPr="00D40600">
        <w:rPr>
          <w:sz w:val="20"/>
        </w:rPr>
        <w:t xml:space="preserve"> MetroPCS Comments at 22; NTCA Comments at 3.</w:t>
      </w:r>
    </w:p>
  </w:footnote>
  <w:footnote w:id="667">
    <w:p w:rsidR="00EC7CF3" w:rsidRDefault="00EC7CF3" w:rsidP="003C780D">
      <w:pPr>
        <w:pStyle w:val="FootnoteText"/>
      </w:pPr>
      <w:r w:rsidRPr="00D40600">
        <w:rPr>
          <w:rStyle w:val="FootnoteReference"/>
          <w:sz w:val="20"/>
        </w:rPr>
        <w:footnoteRef/>
      </w:r>
      <w:r w:rsidRPr="00D40600">
        <w:t xml:space="preserve"> Fifteenth Report, 26 FCC Rcd at 9747 ¶128.</w:t>
      </w:r>
    </w:p>
  </w:footnote>
  <w:footnote w:id="668">
    <w:p w:rsidR="00EC7CF3" w:rsidRDefault="00EC7CF3" w:rsidP="003C780D">
      <w:pPr>
        <w:pStyle w:val="FootnoteText"/>
      </w:pPr>
      <w:r w:rsidRPr="00D40600">
        <w:rPr>
          <w:rStyle w:val="FootnoteReference"/>
          <w:sz w:val="20"/>
        </w:rPr>
        <w:footnoteRef/>
      </w:r>
      <w:r w:rsidRPr="00D40600">
        <w:rPr>
          <w:i/>
        </w:rPr>
        <w:t xml:space="preserve">See </w:t>
      </w:r>
      <w:r w:rsidRPr="00D40600">
        <w:t xml:space="preserve">Roaming Obligations of Commercial Mobile Radio Service Providers, </w:t>
      </w:r>
      <w:r w:rsidRPr="00D40600">
        <w:rPr>
          <w:i/>
        </w:rPr>
        <w:t>Report and Order and Further Notice of Proposed Rulemaking</w:t>
      </w:r>
      <w:r w:rsidRPr="00D40600">
        <w:t>, 22 FCC Rcd 15817, 15828 ¶ 27 (2007) (</w:t>
      </w:r>
      <w:r w:rsidRPr="00D40600">
        <w:rPr>
          <w:i/>
        </w:rPr>
        <w:t>2007 Roaming Order and FNPRM</w:t>
      </w:r>
      <w:r w:rsidRPr="00D40600">
        <w:t>) (“[W]e recognize that automatic roaming benefits mobile telephony subscribers by promoting seamless CMRS service around the country, and reducing inconsistent coverage and service qualities.”)</w:t>
      </w:r>
      <w:r>
        <w:t xml:space="preserve">.  </w:t>
      </w:r>
    </w:p>
  </w:footnote>
  <w:footnote w:id="669">
    <w:p w:rsidR="00EC7CF3" w:rsidRDefault="00EC7CF3" w:rsidP="003C780D">
      <w:pPr>
        <w:pStyle w:val="FootnoteText"/>
      </w:pPr>
      <w:r w:rsidRPr="00D40600">
        <w:rPr>
          <w:rStyle w:val="FootnoteReference"/>
          <w:sz w:val="20"/>
        </w:rPr>
        <w:footnoteRef/>
      </w:r>
      <w:r w:rsidRPr="00D40600">
        <w:rPr>
          <w:i/>
        </w:rPr>
        <w:t>Roaming Order on Reconsideration</w:t>
      </w:r>
      <w:r w:rsidRPr="00D40600">
        <w:t xml:space="preserve">, 25 FCC Rcd at 4182 ¶ 2.  </w:t>
      </w:r>
    </w:p>
  </w:footnote>
  <w:footnote w:id="670">
    <w:p w:rsidR="00EC7CF3" w:rsidRDefault="00EC7CF3" w:rsidP="003C780D">
      <w:pPr>
        <w:pStyle w:val="FootnoteText"/>
      </w:pPr>
      <w:r w:rsidRPr="00D40600">
        <w:rPr>
          <w:rStyle w:val="FootnoteReference"/>
          <w:sz w:val="20"/>
        </w:rPr>
        <w:footnoteRef/>
      </w:r>
      <w:r w:rsidRPr="00D40600">
        <w:rPr>
          <w:i/>
          <w:iCs/>
        </w:rPr>
        <w:t>Data Roaming Order,</w:t>
      </w:r>
      <w:r>
        <w:t xml:space="preserve"> 26 FCC Rcd 5411</w:t>
      </w:r>
      <w:r w:rsidRPr="00D40600">
        <w:t>.</w:t>
      </w:r>
      <w:r>
        <w:t xml:space="preserve"> </w:t>
      </w:r>
      <w:r w:rsidRPr="00085D1E">
        <w:t xml:space="preserve"> </w:t>
      </w:r>
      <w:r>
        <w:t>Aff’d sub nom</w:t>
      </w:r>
      <w:r>
        <w:rPr>
          <w:i/>
        </w:rPr>
        <w:t xml:space="preserve">. </w:t>
      </w:r>
      <w:r>
        <w:t xml:space="preserve">Cellco Partnership v. FCC, </w:t>
      </w:r>
      <w:r w:rsidRPr="00AB5250">
        <w:rPr>
          <w:bCs/>
        </w:rPr>
        <w:t>700 F.3d 534</w:t>
      </w:r>
      <w:r>
        <w:rPr>
          <w:bCs/>
        </w:rPr>
        <w:t xml:space="preserve">, </w:t>
      </w:r>
      <w:r>
        <w:t>(DC</w:t>
      </w:r>
      <w:r w:rsidRPr="00D40600">
        <w:t xml:space="preserve"> Cir. 2012)</w:t>
      </w:r>
      <w:r>
        <w:t>.</w:t>
      </w:r>
    </w:p>
  </w:footnote>
  <w:footnote w:id="671">
    <w:p w:rsidR="00EC7CF3" w:rsidRDefault="00EC7CF3" w:rsidP="003C780D">
      <w:pPr>
        <w:pStyle w:val="FootnoteText"/>
      </w:pPr>
      <w:r w:rsidRPr="00D40600">
        <w:rPr>
          <w:rStyle w:val="FootnoteReference"/>
          <w:sz w:val="20"/>
        </w:rPr>
        <w:footnoteRef/>
      </w:r>
      <w:r w:rsidRPr="00D40600">
        <w:rPr>
          <w:i/>
          <w:iCs/>
        </w:rPr>
        <w:t xml:space="preserve">Id. </w:t>
      </w:r>
      <w:r w:rsidRPr="00D40600">
        <w:t>at 5418-5428 ¶¶ 13-31.</w:t>
      </w:r>
    </w:p>
  </w:footnote>
  <w:footnote w:id="672">
    <w:p w:rsidR="00EC7CF3" w:rsidRDefault="00EC7CF3" w:rsidP="003C780D">
      <w:pPr>
        <w:pStyle w:val="FootnoteText"/>
      </w:pPr>
      <w:r w:rsidRPr="00D40600">
        <w:rPr>
          <w:rStyle w:val="FootnoteReference"/>
          <w:sz w:val="20"/>
        </w:rPr>
        <w:footnoteRef/>
      </w:r>
      <w:r w:rsidRPr="00D40600">
        <w:rPr>
          <w:i/>
          <w:iCs/>
        </w:rPr>
        <w:t>Id.</w:t>
      </w:r>
    </w:p>
  </w:footnote>
  <w:footnote w:id="673">
    <w:p w:rsidR="00EC7CF3" w:rsidRDefault="00EC7CF3" w:rsidP="003C780D">
      <w:pPr>
        <w:pStyle w:val="FootnoteText"/>
      </w:pPr>
      <w:r w:rsidRPr="00D40600">
        <w:rPr>
          <w:rStyle w:val="FootnoteReference"/>
          <w:sz w:val="20"/>
        </w:rPr>
        <w:footnoteRef/>
      </w:r>
      <w:r w:rsidRPr="00D40600">
        <w:rPr>
          <w:i/>
        </w:rPr>
        <w:t xml:space="preserve"> See </w:t>
      </w:r>
      <w:r w:rsidRPr="00D40600">
        <w:t xml:space="preserve">Free Press Comments at 8; Leap Reply Comments at 5 (intending to defend the Commission’s </w:t>
      </w:r>
      <w:r w:rsidRPr="00D40600">
        <w:rPr>
          <w:i/>
        </w:rPr>
        <w:t>Data Roaming Orde</w:t>
      </w:r>
      <w:r w:rsidRPr="00D40600">
        <w:t xml:space="preserve">r in the court.); MetroPCS Comments at 25; RCA Comments at 2-3, 15; NTCA Comments at 3.  The </w:t>
      </w:r>
      <w:r w:rsidRPr="00D40600">
        <w:rPr>
          <w:i/>
        </w:rPr>
        <w:t xml:space="preserve">National Broadband Plan </w:t>
      </w:r>
      <w:r w:rsidRPr="00D40600">
        <w:t xml:space="preserve">recognizes the importance of data roaming to entry and competition for mobile broadband services.  </w:t>
      </w:r>
      <w:r w:rsidRPr="00D40600">
        <w:rPr>
          <w:i/>
        </w:rPr>
        <w:t xml:space="preserve">National Broadband Plan, </w:t>
      </w:r>
      <w:r w:rsidRPr="00D40600">
        <w:t xml:space="preserve">at 49.  Accordingly, it encourages the industry to adopt voluntary data-roaming arrangements and recommends that the Commission move forward promptly on its data roaming proceeding.  </w:t>
      </w:r>
      <w:r w:rsidRPr="00D40600">
        <w:rPr>
          <w:i/>
        </w:rPr>
        <w:t>Id.</w:t>
      </w:r>
    </w:p>
  </w:footnote>
  <w:footnote w:id="674">
    <w:p w:rsidR="00EC7CF3" w:rsidRDefault="00EC7CF3" w:rsidP="003C780D">
      <w:pPr>
        <w:pStyle w:val="FootnoteText"/>
      </w:pPr>
      <w:r w:rsidRPr="00D40600">
        <w:rPr>
          <w:rStyle w:val="FootnoteReference"/>
          <w:sz w:val="20"/>
        </w:rPr>
        <w:footnoteRef/>
      </w:r>
      <w:r w:rsidRPr="00D40600">
        <w:t xml:space="preserve"> NTCA 2011 Wireless Survey Report, August 2011, at 3, 13.</w:t>
      </w:r>
    </w:p>
  </w:footnote>
  <w:footnote w:id="675">
    <w:p w:rsidR="00EC7CF3" w:rsidRDefault="00EC7CF3" w:rsidP="003C780D">
      <w:pPr>
        <w:pStyle w:val="FootnoteText"/>
      </w:pPr>
      <w:r w:rsidRPr="00D40600">
        <w:rPr>
          <w:rStyle w:val="FootnoteReference"/>
          <w:sz w:val="20"/>
        </w:rPr>
        <w:footnoteRef/>
      </w:r>
      <w:r w:rsidRPr="00D40600">
        <w:t xml:space="preserve"> NTCA 2011 Wireless Survey Report at 13.</w:t>
      </w:r>
    </w:p>
  </w:footnote>
  <w:footnote w:id="676">
    <w:p w:rsidR="00EC7CF3" w:rsidRDefault="00EC7CF3" w:rsidP="003C780D">
      <w:pPr>
        <w:pStyle w:val="FootnoteText"/>
      </w:pPr>
      <w:r w:rsidRPr="00D40600">
        <w:rPr>
          <w:rStyle w:val="FootnoteReference"/>
          <w:sz w:val="20"/>
        </w:rPr>
        <w:footnoteRef/>
      </w:r>
      <w:r w:rsidRPr="00D40600">
        <w:t xml:space="preserve"> AT&amp;T Reply Comments at 18-19; Verizon Wireless Comments at 15.</w:t>
      </w:r>
    </w:p>
  </w:footnote>
  <w:footnote w:id="677">
    <w:p w:rsidR="00EC7CF3" w:rsidRDefault="00EC7CF3" w:rsidP="003C780D">
      <w:pPr>
        <w:pStyle w:val="FootnoteText"/>
      </w:pPr>
      <w:r w:rsidRPr="00D40600">
        <w:rPr>
          <w:rStyle w:val="FootnoteReference"/>
          <w:sz w:val="20"/>
        </w:rPr>
        <w:footnoteRef/>
      </w:r>
      <w:r w:rsidRPr="00D40600">
        <w:t xml:space="preserve"> AT&amp;T Reply Comments at 18-19.</w:t>
      </w:r>
    </w:p>
  </w:footnote>
  <w:footnote w:id="678">
    <w:p w:rsidR="00EC7CF3" w:rsidRDefault="00EC7CF3" w:rsidP="00A45131">
      <w:pPr>
        <w:pStyle w:val="FootnoteText"/>
      </w:pPr>
      <w:r w:rsidRPr="00D40600">
        <w:rPr>
          <w:rStyle w:val="FootnoteReference"/>
          <w:sz w:val="20"/>
        </w:rPr>
        <w:footnoteRef/>
      </w:r>
      <w:r w:rsidRPr="00D40600">
        <w:t xml:space="preserve"> </w:t>
      </w:r>
      <w:r w:rsidRPr="00D40600">
        <w:rPr>
          <w:i/>
        </w:rPr>
        <w:t>See, e.g</w:t>
      </w:r>
      <w:r w:rsidRPr="00D40600">
        <w:t>. Sprint Nextel, Form 10-K.</w:t>
      </w:r>
    </w:p>
  </w:footnote>
  <w:footnote w:id="679">
    <w:p w:rsidR="00EC7CF3" w:rsidRDefault="00EC7CF3" w:rsidP="00A45131">
      <w:pPr>
        <w:pStyle w:val="FootnoteText"/>
      </w:pPr>
      <w:r w:rsidRPr="00D40600">
        <w:rPr>
          <w:rStyle w:val="FootnoteReference"/>
          <w:sz w:val="20"/>
        </w:rPr>
        <w:footnoteRef/>
      </w:r>
      <w:r w:rsidRPr="00D40600">
        <w:t xml:space="preserve"> </w:t>
      </w:r>
      <w:r w:rsidRPr="00D40600">
        <w:rPr>
          <w:i/>
        </w:rPr>
        <w:t>CTIA Year-End 2010 Wireless Indices Report</w:t>
      </w:r>
      <w:r w:rsidRPr="00D40600">
        <w:t>, at 137-138</w:t>
      </w:r>
      <w:r w:rsidRPr="00D40600">
        <w:rPr>
          <w:rStyle w:val="Normal1"/>
          <w:bCs/>
          <w:sz w:val="20"/>
        </w:rPr>
        <w:t>.  The CTIA figures also exclude capital investment in systems that have not yet initiated commercial service.</w:t>
      </w:r>
    </w:p>
  </w:footnote>
  <w:footnote w:id="680">
    <w:p w:rsidR="00EC7CF3" w:rsidRDefault="00EC7CF3" w:rsidP="00A45131">
      <w:pPr>
        <w:pStyle w:val="FootnoteText"/>
      </w:pPr>
      <w:r w:rsidRPr="00D40600">
        <w:rPr>
          <w:rStyle w:val="FootnoteReference"/>
          <w:sz w:val="20"/>
        </w:rPr>
        <w:footnoteRef/>
      </w:r>
      <w:r w:rsidRPr="00D40600">
        <w:t xml:space="preserve"> </w:t>
      </w:r>
      <w:r w:rsidRPr="00D40600">
        <w:rPr>
          <w:i/>
        </w:rPr>
        <w:t>CTIA Year-End 2010 Wireless Indices Report</w:t>
      </w:r>
      <w:r w:rsidRPr="00D40600">
        <w:t xml:space="preserve">, at 137, 139; </w:t>
      </w:r>
      <w:r w:rsidRPr="00D40600">
        <w:rPr>
          <w:i/>
        </w:rPr>
        <w:t>CTIA Year-End 2011 Wireless Indices Report</w:t>
      </w:r>
      <w:r w:rsidRPr="00D40600">
        <w:t xml:space="preserve">, at 139, 141.  CTIA’s figure includes incremental investment in currently operational systems, including expenditures for building operating systems, land and capital leases, and all tangible non-system capital investment, but does not include the cost of spectrum licenses purchased at auctions or other acquisition processes or greenfield builds.  </w:t>
      </w:r>
      <w:r w:rsidRPr="00D40600">
        <w:rPr>
          <w:i/>
        </w:rPr>
        <w:t>CTIA Year-End 2010 Wireless Indices Report</w:t>
      </w:r>
      <w:r w:rsidRPr="00D40600">
        <w:t>, at 137-138.</w:t>
      </w:r>
    </w:p>
  </w:footnote>
  <w:footnote w:id="681">
    <w:p w:rsidR="00EC7CF3" w:rsidRDefault="00EC7CF3" w:rsidP="00A45131">
      <w:pPr>
        <w:pStyle w:val="FootnoteText"/>
      </w:pPr>
      <w:r w:rsidRPr="00D40600">
        <w:rPr>
          <w:rStyle w:val="FootnoteReference"/>
          <w:sz w:val="20"/>
        </w:rPr>
        <w:footnoteRef/>
      </w:r>
      <w:r w:rsidRPr="00D40600">
        <w:t xml:space="preserve"> </w:t>
      </w:r>
      <w:r w:rsidRPr="00D40600">
        <w:rPr>
          <w:i/>
        </w:rPr>
        <w:t xml:space="preserve">See </w:t>
      </w:r>
      <w:r w:rsidRPr="00D40600">
        <w:t xml:space="preserve">U.S. Census Bureau, Annual Capital Expenditures Survey, </w:t>
      </w:r>
      <w:hyperlink r:id="rId286" w:history="1">
        <w:r w:rsidRPr="00D40600">
          <w:rPr>
            <w:rStyle w:val="Hyperlink"/>
          </w:rPr>
          <w:t>http://www.census.gov/econ/aces/index.html</w:t>
        </w:r>
      </w:hyperlink>
      <w:r w:rsidRPr="00D40600">
        <w:t>, (visited Feb. 9, 2011).</w:t>
      </w:r>
    </w:p>
  </w:footnote>
  <w:footnote w:id="682">
    <w:p w:rsidR="00EC7CF3" w:rsidRDefault="00EC7CF3" w:rsidP="00A45131">
      <w:pPr>
        <w:pStyle w:val="FootnoteText"/>
      </w:pPr>
      <w:r w:rsidRPr="00D40600">
        <w:rPr>
          <w:rStyle w:val="FootnoteReference"/>
          <w:sz w:val="20"/>
        </w:rPr>
        <w:footnoteRef/>
      </w:r>
      <w:r w:rsidRPr="00D40600">
        <w:t xml:space="preserve"> U.S. Census Bureau, Annual Capital Expenditures Surveys (NAICS code 5172), 2006-2010, </w:t>
      </w:r>
      <w:hyperlink r:id="rId287" w:history="1">
        <w:r w:rsidRPr="00D40600">
          <w:rPr>
            <w:rStyle w:val="Hyperlink"/>
          </w:rPr>
          <w:t>http://www.census.gov/econ/aces/xls/2010/full_report.html</w:t>
        </w:r>
      </w:hyperlink>
      <w:r w:rsidRPr="00D40600">
        <w:t xml:space="preserve">, (visited June 14, 2012); </w:t>
      </w:r>
      <w:r w:rsidRPr="00D40600">
        <w:rPr>
          <w:i/>
        </w:rPr>
        <w:t>CTIA Year-End 2011 Wireless Indices Report</w:t>
      </w:r>
      <w:r w:rsidRPr="00D40600">
        <w:t>.  Year-end 2011 Census Bureau ACES data not available as of June 2012.</w:t>
      </w:r>
    </w:p>
  </w:footnote>
  <w:footnote w:id="683">
    <w:p w:rsidR="00EC7CF3" w:rsidRPr="009B60AC" w:rsidRDefault="00EC7CF3" w:rsidP="009B60AC">
      <w:pPr>
        <w:pStyle w:val="FootnoteText"/>
      </w:pPr>
      <w:r w:rsidRPr="00D40600">
        <w:rPr>
          <w:rStyle w:val="FootnoteReference"/>
          <w:sz w:val="20"/>
        </w:rPr>
        <w:footnoteRef/>
      </w:r>
      <w:r w:rsidRPr="00D40600">
        <w:t xml:space="preserve"> </w:t>
      </w:r>
      <w:r w:rsidRPr="00D40600">
        <w:rPr>
          <w:i/>
        </w:rPr>
        <w:t>CTIA Year-End 2011 Wireless Indices Report</w:t>
      </w:r>
      <w:r>
        <w:rPr>
          <w:i/>
        </w:rPr>
        <w:t xml:space="preserve"> </w:t>
      </w:r>
      <w:r w:rsidRPr="009B60AC">
        <w:t>(reported incremental capital investment, estimated total connections).</w:t>
      </w:r>
      <w:r>
        <w:t xml:space="preserve">  </w:t>
      </w:r>
      <w:r w:rsidRPr="009B60AC">
        <w:t>Incremental Capital Investment for the years 2006-2011 is the investment that occurred in the reporting periods of the calendar year.  For mid-year 2012, it is the investment that occurred since mid-year 2011.</w:t>
      </w:r>
    </w:p>
    <w:p w:rsidR="00EC7CF3" w:rsidRDefault="00EC7CF3" w:rsidP="009B60AC">
      <w:pPr>
        <w:pStyle w:val="FootnoteText"/>
      </w:pPr>
    </w:p>
  </w:footnote>
  <w:footnote w:id="684">
    <w:p w:rsidR="00EC7CF3" w:rsidRDefault="00EC7CF3" w:rsidP="00A45131">
      <w:pPr>
        <w:pStyle w:val="FootnoteText"/>
      </w:pPr>
      <w:r w:rsidRPr="00D40600">
        <w:rPr>
          <w:rStyle w:val="FootnoteReference"/>
          <w:sz w:val="20"/>
        </w:rPr>
        <w:footnoteRef/>
      </w:r>
      <w:r w:rsidRPr="00D40600">
        <w:t xml:space="preserve"> U.S. Census Bureau, Annual Capital Expenditures Surveys (NAICS code 5172), 2006-2010, </w:t>
      </w:r>
      <w:hyperlink r:id="rId288" w:history="1">
        <w:r w:rsidRPr="00D40600">
          <w:rPr>
            <w:rStyle w:val="Hyperlink"/>
          </w:rPr>
          <w:t>http://www.census.gov/econ/aces/xls/2010/full_report.html</w:t>
        </w:r>
      </w:hyperlink>
      <w:r w:rsidRPr="00D40600">
        <w:t xml:space="preserve">, (visited June 14, 2012); </w:t>
      </w:r>
      <w:r w:rsidRPr="00D40600">
        <w:rPr>
          <w:i/>
        </w:rPr>
        <w:t>CTIA Year-End 2011 Wireless Indices Report</w:t>
      </w:r>
      <w:r w:rsidRPr="00D40600">
        <w:t>.  Year-end 2011 Census Bureau ACES data not available as of June 2012.</w:t>
      </w:r>
    </w:p>
  </w:footnote>
  <w:footnote w:id="685">
    <w:p w:rsidR="00EC7CF3" w:rsidRDefault="00EC7CF3" w:rsidP="00A45131">
      <w:pPr>
        <w:pStyle w:val="FootnoteText"/>
      </w:pPr>
      <w:r w:rsidRPr="00D40600">
        <w:rPr>
          <w:rStyle w:val="FootnoteReference"/>
          <w:sz w:val="20"/>
        </w:rPr>
        <w:footnoteRef/>
      </w:r>
      <w:r w:rsidRPr="00D40600">
        <w:t xml:space="preserve"> For example, CTIA notes that the pattern of peaks in its estimates of incremental capital investment, and in derived figures such as incremental capital investment per subscriber, “correlate with …the build-out of PCS and ESMR systems in 1996-97, as well as on-going investment in network upgrades by cellular companies during the same periods, and the subsequent competitive build-outs and overlay upgrading of all carriers’ networks.”  </w:t>
      </w:r>
      <w:r w:rsidRPr="00D40600">
        <w:rPr>
          <w:i/>
        </w:rPr>
        <w:t>CTIA Year-End 2010 Wireless Indices Report</w:t>
      </w:r>
      <w:r w:rsidRPr="00D40600">
        <w:t>, at 159</w:t>
      </w:r>
      <w:r w:rsidRPr="00D40600">
        <w:rPr>
          <w:rStyle w:val="Normal1"/>
          <w:bCs/>
          <w:sz w:val="20"/>
        </w:rPr>
        <w:t>.</w:t>
      </w:r>
    </w:p>
  </w:footnote>
  <w:footnote w:id="686">
    <w:p w:rsidR="00EC7CF3" w:rsidRDefault="00EC7CF3">
      <w:pPr>
        <w:pStyle w:val="FootnoteText"/>
      </w:pPr>
      <w:r>
        <w:rPr>
          <w:rStyle w:val="FootnoteReference"/>
        </w:rPr>
        <w:footnoteRef/>
      </w:r>
      <w:r>
        <w:t xml:space="preserve"> </w:t>
      </w:r>
      <w:r w:rsidRPr="0098697D">
        <w:rPr>
          <w:i/>
        </w:rPr>
        <w:t>Deutsche Telekom Capital Markets Day 2012, Press Conference</w:t>
      </w:r>
      <w:r w:rsidRPr="0098697D">
        <w:t>, p. 2</w:t>
      </w:r>
      <w:r>
        <w:t>0</w:t>
      </w:r>
      <w:r w:rsidRPr="0098697D">
        <w:t xml:space="preserve">, available at </w:t>
      </w:r>
      <w:hyperlink r:id="rId289" w:history="1">
        <w:r w:rsidRPr="00992BAE">
          <w:rPr>
            <w:rStyle w:val="Hyperlink"/>
          </w:rPr>
          <w:t>http://www.telekom.com/media/company/164844</w:t>
        </w:r>
      </w:hyperlink>
      <w:r>
        <w:t xml:space="preserve"> </w:t>
      </w:r>
      <w:r w:rsidRPr="0098697D">
        <w:t>(visited Dec. 10, 2012).</w:t>
      </w:r>
    </w:p>
  </w:footnote>
  <w:footnote w:id="687">
    <w:p w:rsidR="00EC7CF3" w:rsidRDefault="00EC7CF3" w:rsidP="00A45131">
      <w:pPr>
        <w:pStyle w:val="FootnoteText"/>
      </w:pPr>
      <w:r w:rsidRPr="00D40600">
        <w:rPr>
          <w:rStyle w:val="FootnoteReference"/>
          <w:sz w:val="20"/>
        </w:rPr>
        <w:footnoteRef/>
      </w:r>
      <w:r w:rsidRPr="00D40600">
        <w:t xml:space="preserve"> Verizon Communications, Inc., SEC Forms 10-K, filed Feb. 14, 2012, filed Feb. 28, 2011, filed Feb. 26, 2010, and Feb. 24, 2009; AT&amp;T Inc., SEC Forms 10-K, filed Feb. 24, 2012, filed Mar. 1, 2011, filed Feb. 25, 2010, filed Feb. 25, 2009, filed Feb. 27, 2008; Sprint Nextel, SEC Forms 10-K, filed Feb. 27, 2012; filed Feb. 24, 2011; filed Feb. 26, 2010;</w:t>
      </w:r>
      <w:r w:rsidRPr="00D40600">
        <w:rPr>
          <w:i/>
        </w:rPr>
        <w:t xml:space="preserve"> US Wireless 411 4Q11</w:t>
      </w:r>
      <w:r w:rsidRPr="00D40600">
        <w:t>, at 37.</w:t>
      </w:r>
    </w:p>
  </w:footnote>
  <w:footnote w:id="688">
    <w:p w:rsidR="00EC7CF3" w:rsidRDefault="00EC7CF3" w:rsidP="00A45131">
      <w:pPr>
        <w:pStyle w:val="FootnoteText"/>
      </w:pPr>
      <w:r w:rsidRPr="00D40600">
        <w:rPr>
          <w:rStyle w:val="FootnoteReference"/>
          <w:sz w:val="20"/>
        </w:rPr>
        <w:footnoteRef/>
      </w:r>
      <w:r w:rsidRPr="00D40600">
        <w:t xml:space="preserve"> Zvi Bodie and Robert C. Merton, </w:t>
      </w:r>
      <w:r w:rsidRPr="00D40600">
        <w:rPr>
          <w:i/>
        </w:rPr>
        <w:t>Finance</w:t>
      </w:r>
      <w:r w:rsidRPr="00D40600">
        <w:t xml:space="preserve">, Prentice-Hall, Inc., 2000, pp. 112-118, 168-173.  More precisely, the NPV is calculated by taking the present value of all future cash inflows (service revenues) and subtracting the present value of all current and future cash outflows.   The NPV rule holds that a firm should accept a project if its NPV is positive, and reject a project if its NPV is negative.  </w:t>
      </w:r>
      <w:r w:rsidRPr="00D40600">
        <w:rPr>
          <w:i/>
        </w:rPr>
        <w:t>Id</w:t>
      </w:r>
      <w:r w:rsidRPr="00D40600">
        <w:t xml:space="preserve">., p. 112. </w:t>
      </w:r>
    </w:p>
  </w:footnote>
  <w:footnote w:id="689">
    <w:p w:rsidR="00EC7CF3" w:rsidRDefault="00EC7CF3" w:rsidP="003C780D">
      <w:pPr>
        <w:pStyle w:val="FootnoteText"/>
      </w:pPr>
      <w:r w:rsidRPr="00D40600">
        <w:rPr>
          <w:rStyle w:val="FootnoteReference"/>
          <w:sz w:val="20"/>
        </w:rPr>
        <w:footnoteRef/>
      </w:r>
      <w:r w:rsidRPr="00D40600">
        <w:t xml:space="preserve"> AT&amp;T Comments at 4, 24, 27; Verizon Comments at 77.</w:t>
      </w:r>
    </w:p>
  </w:footnote>
  <w:footnote w:id="690">
    <w:p w:rsidR="00EC7CF3" w:rsidRDefault="00EC7CF3" w:rsidP="003C780D">
      <w:pPr>
        <w:pStyle w:val="FootnoteText"/>
      </w:pPr>
      <w:r w:rsidRPr="00D40600">
        <w:rPr>
          <w:rStyle w:val="FootnoteReference"/>
          <w:sz w:val="20"/>
        </w:rPr>
        <w:footnoteRef/>
      </w:r>
      <w:r w:rsidRPr="00D40600">
        <w:t xml:space="preserve"> While there is no industry standard definition of a smartphone, for purposes of this </w:t>
      </w:r>
      <w:r w:rsidRPr="00D40600">
        <w:rPr>
          <w:i/>
        </w:rPr>
        <w:t>Report</w:t>
      </w:r>
      <w:r w:rsidRPr="00D40600">
        <w:t xml:space="preserve">, we consider the distinguishing features of a smartphone to be an HTML browser that allows easy access to the full, open Internet; an operating system that provides a standardized interface and platform for application developers; and a larger screen size than a traditional, voice-centric handset.  Many smartphones also have touch screens and/or a QWERTY keypad, and, as discussed below, run an operating system that offers a standard platform for application developers to create and sell device software through an application store. </w:t>
      </w:r>
      <w:r w:rsidRPr="00D40600">
        <w:rPr>
          <w:i/>
        </w:rPr>
        <w:t>See Fifteenth Report</w:t>
      </w:r>
      <w:r w:rsidRPr="00D40600">
        <w:t xml:space="preserve">, 26 FCC Rcd at 9751 n. 426. </w:t>
      </w:r>
      <w:r>
        <w:t xml:space="preserve"> </w:t>
      </w:r>
      <w:r w:rsidRPr="00D40600">
        <w:t>In addition to smartphones and basic handsets, a third category of devices is data-centric devices, which includes devices with no inherent voice capability, such as USB wireless modem laptop cards, mobile Wi-Fi devices, e-readers, and laptops and netbooks with embedded mobile wireless modems.  The basic handset category includes voice-centric handsets that do not allow or are not designed for easy web browsing.</w:t>
      </w:r>
    </w:p>
  </w:footnote>
  <w:footnote w:id="691">
    <w:p w:rsidR="00EC7CF3" w:rsidRDefault="00EC7CF3" w:rsidP="003C780D">
      <w:pPr>
        <w:pStyle w:val="FootnoteText"/>
      </w:pPr>
      <w:r w:rsidRPr="00D40600">
        <w:rPr>
          <w:rStyle w:val="FootnoteReference"/>
          <w:sz w:val="20"/>
        </w:rPr>
        <w:footnoteRef/>
      </w:r>
      <w:r w:rsidRPr="00D40600">
        <w:t xml:space="preserve"> comScore, MobiLens Trend (May 2, 2012).  comScore MobilLens U.S. data are derived from a monthly survey of over 13,000 respondents ages 13 and older who are recruited to represent U.S. Census demographics. </w:t>
      </w:r>
      <w:r>
        <w:t xml:space="preserve"> </w:t>
      </w:r>
      <w:r w:rsidRPr="00D40600">
        <w:t>The total universe size is estimated from data provided by CTIA and comScore’s monthly subscriber studies.</w:t>
      </w:r>
      <w:r w:rsidRPr="00D40600">
        <w:rPr>
          <w:i/>
        </w:rPr>
        <w:t xml:space="preserve">See </w:t>
      </w:r>
      <w:r w:rsidRPr="00D40600">
        <w:t>Section IV.B.3</w:t>
      </w:r>
      <w:r>
        <w:t xml:space="preserve">, Differentiation in Mobile Wireless Handsets/Devices and Applications, </w:t>
      </w:r>
      <w:r w:rsidRPr="00DD7412">
        <w:rPr>
          <w:i/>
        </w:rPr>
        <w:t>supra</w:t>
      </w:r>
      <w:r>
        <w:t>,</w:t>
      </w:r>
      <w:r w:rsidRPr="00D40600">
        <w:t xml:space="preserve"> for a detailed discussion of the mobile device sector.</w:t>
      </w:r>
    </w:p>
  </w:footnote>
  <w:footnote w:id="692">
    <w:p w:rsidR="00EC7CF3" w:rsidRDefault="00EC7CF3" w:rsidP="003C780D">
      <w:pPr>
        <w:pStyle w:val="FootnoteText"/>
      </w:pPr>
      <w:r w:rsidRPr="00D40600">
        <w:rPr>
          <w:rStyle w:val="FootnoteReference"/>
          <w:sz w:val="20"/>
        </w:rPr>
        <w:footnoteRef/>
      </w:r>
      <w:r w:rsidRPr="00D40600">
        <w:t xml:space="preserve"> Service providers may offer a particular device model exclusively and highlight the distinguishing features of that model separate from its operating system.  </w:t>
      </w:r>
    </w:p>
  </w:footnote>
  <w:footnote w:id="693">
    <w:p w:rsidR="00EC7CF3" w:rsidRDefault="00EC7CF3" w:rsidP="003C780D">
      <w:pPr>
        <w:pStyle w:val="FootnoteText"/>
      </w:pPr>
      <w:r w:rsidRPr="00D40600">
        <w:rPr>
          <w:rStyle w:val="FootnoteReference"/>
          <w:sz w:val="20"/>
        </w:rPr>
        <w:footnoteRef/>
      </w:r>
      <w:r w:rsidRPr="00D40600">
        <w:t xml:space="preserve"> Verizon Comments at 78-79 (“the two most prevalent operating systems for smartphones and other high-end devices are Google’s Android OS, which is used in numerous manufacturers’ handsets, tablets, e-readers, and other devices, and Apple’s iOS, which is used in Apple iPhones and iPads”); Tamara Rutter, </w:t>
      </w:r>
      <w:r w:rsidRPr="00D40600">
        <w:rPr>
          <w:i/>
        </w:rPr>
        <w:t>Who’s Winning the Smartphone Platform Wars?</w:t>
      </w:r>
      <w:r w:rsidRPr="00D40600">
        <w:t xml:space="preserve">, The Motley Fool, Mar. 10, 2012, at </w:t>
      </w:r>
      <w:hyperlink r:id="rId290" w:history="1">
        <w:r w:rsidRPr="00D40600">
          <w:rPr>
            <w:rStyle w:val="Hyperlink"/>
          </w:rPr>
          <w:t>http://www.dailyfinance.com/2012/03/10/whos-winning-the-smartphone-platform-wars/</w:t>
        </w:r>
      </w:hyperlink>
      <w:r w:rsidRPr="00D40600">
        <w:t>. (visited Oct. 16, 2012)</w:t>
      </w:r>
      <w:r>
        <w:t>.</w:t>
      </w:r>
    </w:p>
  </w:footnote>
  <w:footnote w:id="694">
    <w:p w:rsidR="00EC7CF3" w:rsidRDefault="00EC7CF3" w:rsidP="003C780D">
      <w:pPr>
        <w:pStyle w:val="FootnoteText"/>
      </w:pPr>
      <w:r w:rsidRPr="00D40600">
        <w:rPr>
          <w:rStyle w:val="FootnoteReference"/>
          <w:sz w:val="20"/>
        </w:rPr>
        <w:footnoteRef/>
      </w:r>
      <w:r w:rsidRPr="00D40600">
        <w:t xml:space="preserve"> Simon Flannery, et al., </w:t>
      </w:r>
      <w:r w:rsidRPr="00D40600">
        <w:rPr>
          <w:i/>
        </w:rPr>
        <w:t>4Q11 Tracker: Margins Squeezed as iPhones Ramp, Better Enterprise Trends</w:t>
      </w:r>
      <w:r w:rsidRPr="00D40600">
        <w:t>, Morgan Stanley, Mar. 19, 2012, at 1.</w:t>
      </w:r>
    </w:p>
  </w:footnote>
  <w:footnote w:id="695">
    <w:p w:rsidR="00EC7CF3" w:rsidRDefault="00EC7CF3" w:rsidP="003C780D">
      <w:pPr>
        <w:pStyle w:val="FootnoteText"/>
      </w:pPr>
      <w:r w:rsidRPr="00D40600">
        <w:rPr>
          <w:rStyle w:val="FootnoteReference"/>
          <w:sz w:val="20"/>
        </w:rPr>
        <w:footnoteRef/>
      </w:r>
      <w:r w:rsidRPr="00D40600">
        <w:t xml:space="preserve"> </w:t>
      </w:r>
      <w:r w:rsidRPr="00D40600">
        <w:rPr>
          <w:i/>
        </w:rPr>
        <w:t>See Fourteenth Report</w:t>
      </w:r>
      <w:r w:rsidRPr="00D40600">
        <w:t>, 25 FCC Rcd at 11496 ¶ 138.</w:t>
      </w:r>
    </w:p>
  </w:footnote>
  <w:footnote w:id="696">
    <w:p w:rsidR="00EC7CF3" w:rsidRDefault="00EC7CF3" w:rsidP="003C780D">
      <w:pPr>
        <w:pStyle w:val="FootnoteText"/>
      </w:pPr>
      <w:r w:rsidRPr="00D40600">
        <w:rPr>
          <w:rStyle w:val="FootnoteReference"/>
          <w:sz w:val="20"/>
        </w:rPr>
        <w:footnoteRef/>
      </w:r>
      <w:r w:rsidRPr="00D40600">
        <w:t xml:space="preserve"> </w:t>
      </w:r>
      <w:r w:rsidRPr="00D40600">
        <w:rPr>
          <w:i/>
        </w:rPr>
        <w:t>Verizon Wireless &amp; Apple Team Up to Deliver iPhone 4 on Verizon</w:t>
      </w:r>
      <w:r w:rsidRPr="00D40600">
        <w:t xml:space="preserve">, Press Release, Verizon Wireless, Jan. 11, 2011, </w:t>
      </w:r>
      <w:r w:rsidRPr="00D40600">
        <w:rPr>
          <w:i/>
        </w:rPr>
        <w:t xml:space="preserve">available at </w:t>
      </w:r>
      <w:hyperlink r:id="rId291" w:history="1">
        <w:r w:rsidRPr="00D40600">
          <w:rPr>
            <w:rStyle w:val="Hyperlink"/>
          </w:rPr>
          <w:t>http://news.vzw.com/news/2011/01/pr2011-01-11a.html</w:t>
        </w:r>
      </w:hyperlink>
      <w:r w:rsidRPr="00D40600">
        <w:t xml:space="preserve"> (visited Oct.16, 2012) </w:t>
      </w:r>
    </w:p>
  </w:footnote>
  <w:footnote w:id="697">
    <w:p w:rsidR="00EC7CF3" w:rsidRDefault="00EC7CF3" w:rsidP="003C780D">
      <w:pPr>
        <w:pStyle w:val="FootnoteText"/>
      </w:pPr>
      <w:r w:rsidRPr="00D40600">
        <w:rPr>
          <w:rStyle w:val="FootnoteReference"/>
          <w:sz w:val="20"/>
        </w:rPr>
        <w:footnoteRef/>
      </w:r>
      <w:r w:rsidRPr="00D40600">
        <w:t xml:space="preserve"> Phil Goldstein, </w:t>
      </w:r>
      <w:r w:rsidRPr="00D40600">
        <w:rPr>
          <w:i/>
        </w:rPr>
        <w:t>Leap Launches Prepaid iPhone to Little Fanfare, But Says Sales Were ‘Brisk’</w:t>
      </w:r>
      <w:r w:rsidRPr="00D40600">
        <w:t xml:space="preserve">, </w:t>
      </w:r>
      <w:r w:rsidRPr="00D40600">
        <w:rPr>
          <w:smallCaps/>
        </w:rPr>
        <w:t>FierceWireless</w:t>
      </w:r>
      <w:r w:rsidRPr="00D40600">
        <w:t xml:space="preserve">, June 25, 2012. </w:t>
      </w:r>
      <w:hyperlink r:id="rId292" w:history="1">
        <w:r w:rsidRPr="00D40600">
          <w:rPr>
            <w:rStyle w:val="Hyperlink"/>
          </w:rPr>
          <w:t>http://www.fiercewireless.com/story/leap-launches-prepaid-iphone-little-fanfare-says-sales-were-brisk/2012-06-25</w:t>
        </w:r>
      </w:hyperlink>
      <w:r w:rsidRPr="00D40600">
        <w:t xml:space="preserve"> (visited Oct. 16, 2012)</w:t>
      </w:r>
    </w:p>
  </w:footnote>
  <w:footnote w:id="698">
    <w:p w:rsidR="00EC7CF3" w:rsidRDefault="00EC7CF3" w:rsidP="003C780D">
      <w:pPr>
        <w:pStyle w:val="FootnoteText"/>
      </w:pPr>
      <w:r w:rsidRPr="00D40600">
        <w:rPr>
          <w:rStyle w:val="FootnoteReference"/>
          <w:sz w:val="20"/>
        </w:rPr>
        <w:footnoteRef/>
      </w:r>
      <w:r w:rsidRPr="00D40600">
        <w:t xml:space="preserve"> The Hearing Aid Compatibility status reports filed by service providers in January 2012 include a list of service providers that offered iPhones in December 2011.  This list is </w:t>
      </w:r>
      <w:r w:rsidRPr="00DD7412">
        <w:rPr>
          <w:i/>
        </w:rPr>
        <w:t xml:space="preserve">available at </w:t>
      </w:r>
      <w:hyperlink r:id="rId293" w:tooltip="http://wireless.fcc.gov/hac/index.htm?job=reports_dm" w:history="1">
        <w:r w:rsidRPr="00D40600">
          <w:rPr>
            <w:rStyle w:val="Hyperlink"/>
          </w:rPr>
          <w:t>http://wireless.fcc.gov/hac/index.htm?job=reports_dm</w:t>
        </w:r>
      </w:hyperlink>
      <w:r w:rsidRPr="00D40600">
        <w:t xml:space="preserve"> (visited Oct. 16, 2012)  (“View Information by Handset” table); see also C-Spire (</w:t>
      </w:r>
      <w:hyperlink r:id="rId294" w:tooltip="http://www.cspire.com/shop_and_learn/iphone/" w:history="1">
        <w:r w:rsidRPr="00D40600">
          <w:rPr>
            <w:rStyle w:val="Hyperlink"/>
          </w:rPr>
          <w:t>http://www.cspire.com/shop_and_learn/iphone/</w:t>
        </w:r>
      </w:hyperlink>
      <w:r w:rsidRPr="00D40600">
        <w:t>(visited Oct. 16, 2012))   , Appalachian (</w:t>
      </w:r>
      <w:hyperlink r:id="rId295" w:tooltip="http://www.appalachianwireless.com/?page=phones&amp;sort=6" w:history="1">
        <w:r w:rsidRPr="00D40600">
          <w:rPr>
            <w:rStyle w:val="Hyperlink"/>
          </w:rPr>
          <w:t>http://www.appalachianwireless.com/?page=phones&amp;sort=6</w:t>
        </w:r>
      </w:hyperlink>
      <w:r w:rsidRPr="00D40600">
        <w:t xml:space="preserve"> (visited Oct. 16, 2012) ), and Cellcom (</w:t>
      </w:r>
      <w:hyperlink r:id="rId296" w:tooltip="http://www.cellcom.com/deviceCategory.html?categoryid=1&amp;navtype=personal" w:history="1">
        <w:r w:rsidRPr="00D40600">
          <w:rPr>
            <w:rStyle w:val="Hyperlink"/>
          </w:rPr>
          <w:t>http://www.cellcom.com/deviceCategory.html?categoryid=1&amp;navtype=personal</w:t>
        </w:r>
      </w:hyperlink>
      <w:r w:rsidRPr="00D40600">
        <w:t xml:space="preserve">  (visited Oct. 16, 2012) ) for their iPhone offerings.</w:t>
      </w:r>
    </w:p>
  </w:footnote>
  <w:footnote w:id="699">
    <w:p w:rsidR="00EC7CF3" w:rsidRDefault="00EC7CF3" w:rsidP="003C780D">
      <w:pPr>
        <w:pStyle w:val="FootnoteText"/>
      </w:pPr>
      <w:r w:rsidRPr="00D40600">
        <w:rPr>
          <w:rStyle w:val="FootnoteReference"/>
          <w:sz w:val="20"/>
        </w:rPr>
        <w:footnoteRef/>
      </w:r>
      <w:r w:rsidRPr="00D40600">
        <w:t xml:space="preserve"> Simon Flannery, et al., </w:t>
      </w:r>
      <w:r w:rsidRPr="00D40600">
        <w:rPr>
          <w:i/>
        </w:rPr>
        <w:t>4Q11 Tracker: Margins Squeezed as iPhones Ramp, Better Enterprise Trends</w:t>
      </w:r>
      <w:r w:rsidRPr="00D40600">
        <w:t>, Morgan Stanley, Mar. 19, 2012, at 1.</w:t>
      </w:r>
    </w:p>
  </w:footnote>
  <w:footnote w:id="700">
    <w:p w:rsidR="00EC7CF3" w:rsidRDefault="00EC7CF3" w:rsidP="003C780D">
      <w:pPr>
        <w:pStyle w:val="FootnoteText"/>
      </w:pPr>
      <w:r w:rsidRPr="00D40600">
        <w:rPr>
          <w:rStyle w:val="FootnoteReference"/>
          <w:sz w:val="20"/>
        </w:rPr>
        <w:footnoteRef/>
      </w:r>
      <w:r w:rsidRPr="00D40600">
        <w:t xml:space="preserve"> Simon Flannery, et al., </w:t>
      </w:r>
      <w:r w:rsidRPr="00D40600">
        <w:rPr>
          <w:i/>
        </w:rPr>
        <w:t>4Q11 Tracker: Margins Squeezed as iPhones Ramp, Better Enterprise Trends</w:t>
      </w:r>
      <w:r w:rsidRPr="00D40600">
        <w:t>, Morgan Stanley, Mar. 19, 2012, at 29.</w:t>
      </w:r>
    </w:p>
  </w:footnote>
  <w:footnote w:id="701">
    <w:p w:rsidR="00EC7CF3" w:rsidRDefault="00EC7CF3" w:rsidP="00642F9A">
      <w:pPr>
        <w:pStyle w:val="FootnoteText"/>
      </w:pPr>
      <w:r w:rsidRPr="001E4415">
        <w:rPr>
          <w:rStyle w:val="FootnoteReference"/>
        </w:rPr>
        <w:footnoteRef/>
      </w:r>
      <w:r w:rsidRPr="0098697D">
        <w:t xml:space="preserve"> </w:t>
      </w:r>
      <w:r w:rsidRPr="0098697D">
        <w:rPr>
          <w:i/>
        </w:rPr>
        <w:t xml:space="preserve">See </w:t>
      </w:r>
      <w:r w:rsidRPr="0098697D">
        <w:t xml:space="preserve">Olga Kharif, </w:t>
      </w:r>
      <w:r w:rsidRPr="0098697D">
        <w:rPr>
          <w:i/>
        </w:rPr>
        <w:t>Apple Tops Android in App Wars</w:t>
      </w:r>
      <w:r w:rsidRPr="0098697D">
        <w:t xml:space="preserve">, Bloomberg News, Feb. 14, 2012, at </w:t>
      </w:r>
      <w:hyperlink r:id="rId297" w:history="1">
        <w:r w:rsidRPr="0098697D">
          <w:rPr>
            <w:rStyle w:val="Hyperlink"/>
          </w:rPr>
          <w:t>http://www.sfgate.com/cgi-bin/article.cgi?f=/c/a/2012/02/13/BUDC1N708B.DTL</w:t>
        </w:r>
      </w:hyperlink>
      <w:r w:rsidRPr="0098697D">
        <w:t xml:space="preserve"> (visited Oct. 16, 2012) ; Tamara Rutter, </w:t>
      </w:r>
      <w:r w:rsidRPr="0098697D">
        <w:rPr>
          <w:i/>
        </w:rPr>
        <w:t>Who’s Winning the Smartphone Platform Wars?</w:t>
      </w:r>
      <w:r w:rsidRPr="0098697D">
        <w:t xml:space="preserve">, The Motley Fool, Mar. 10, 2012, at </w:t>
      </w:r>
      <w:hyperlink r:id="rId298" w:history="1">
        <w:r w:rsidRPr="0098697D">
          <w:rPr>
            <w:rStyle w:val="Hyperlink"/>
          </w:rPr>
          <w:t>http://www.dailyfinance.com/2012/03/10/whos-winning-the-smartphone-platform-wars/</w:t>
        </w:r>
      </w:hyperlink>
      <w:r>
        <w:t xml:space="preserve"> (visited Oct. 16, 2012)</w:t>
      </w:r>
      <w:r w:rsidRPr="0098697D">
        <w:t xml:space="preserve">. </w:t>
      </w:r>
    </w:p>
  </w:footnote>
  <w:footnote w:id="702">
    <w:p w:rsidR="00EC7CF3" w:rsidRDefault="00EC7CF3" w:rsidP="003C780D">
      <w:pPr>
        <w:pStyle w:val="FootnoteText"/>
      </w:pPr>
      <w:r w:rsidRPr="00D40600">
        <w:rPr>
          <w:rStyle w:val="FootnoteReference"/>
          <w:sz w:val="20"/>
        </w:rPr>
        <w:footnoteRef/>
      </w:r>
      <w:r w:rsidRPr="00D40600">
        <w:t xml:space="preserve"> Mobile Wi-Fi, or “Mi-Fi,” devices are credit card-sized, mobile Wi-Fi routers with mobile broadband wide-area connections that allow a certain number of Wi-Fi-enabled devices in short range to connect to the Internet via a Wi-Fi connection.  Many smartphones are now sold with built-in Wi-Fi hotspot capabilities, allowing them to serve as mobile Wi-Fi hotspots for an additional charge.</w:t>
      </w:r>
    </w:p>
  </w:footnote>
  <w:footnote w:id="703">
    <w:p w:rsidR="00EC7CF3" w:rsidRDefault="00EC7CF3" w:rsidP="003C780D">
      <w:pPr>
        <w:pStyle w:val="FootnoteText"/>
      </w:pPr>
      <w:r w:rsidRPr="00D40600">
        <w:rPr>
          <w:rStyle w:val="FootnoteReference"/>
          <w:sz w:val="20"/>
        </w:rPr>
        <w:footnoteRef/>
      </w:r>
      <w:r w:rsidRPr="00D40600">
        <w:t xml:space="preserve"> </w:t>
      </w:r>
      <w:r w:rsidRPr="00D40600">
        <w:rPr>
          <w:i/>
        </w:rPr>
        <w:t xml:space="preserve">See </w:t>
      </w:r>
      <w:r w:rsidRPr="00D40600">
        <w:t xml:space="preserve">Section </w:t>
      </w:r>
      <w:r w:rsidR="00951E9B">
        <w:fldChar w:fldCharType="begin"/>
      </w:r>
      <w:r w:rsidR="00951E9B">
        <w:instrText xml:space="preserve"> REF _Ref256582542 \r  \* MERGEFORMAT </w:instrText>
      </w:r>
      <w:r w:rsidR="00951E9B">
        <w:fldChar w:fldCharType="separate"/>
      </w:r>
      <w:r>
        <w:t>V.A</w:t>
      </w:r>
      <w:r w:rsidR="00951E9B">
        <w:fldChar w:fldCharType="end"/>
      </w:r>
      <w:r w:rsidRPr="00D40600">
        <w:t xml:space="preserve">, </w:t>
      </w:r>
      <w:fldSimple w:instr=" REF _Ref256582542  \* MERGEFORMAT ">
        <w:r w:rsidRPr="00F90B33">
          <w:t xml:space="preserve">Numbers of Mobile Wireless Connections </w:t>
        </w:r>
      </w:fldSimple>
      <w:r w:rsidRPr="00D40600">
        <w:t xml:space="preserve">, </w:t>
      </w:r>
      <w:r w:rsidRPr="00D40600">
        <w:rPr>
          <w:i/>
        </w:rPr>
        <w:t>infra</w:t>
      </w:r>
      <w:r w:rsidRPr="00D40600">
        <w:t>, for data on the number of mobile wireless subscribers by device type.</w:t>
      </w:r>
    </w:p>
  </w:footnote>
  <w:footnote w:id="704">
    <w:p w:rsidR="00EC7CF3" w:rsidRDefault="00EC7CF3" w:rsidP="003C780D">
      <w:pPr>
        <w:pStyle w:val="FootnoteText"/>
      </w:pPr>
      <w:r w:rsidRPr="00D40600">
        <w:rPr>
          <w:rStyle w:val="FootnoteReference"/>
          <w:sz w:val="20"/>
        </w:rPr>
        <w:footnoteRef/>
      </w:r>
      <w:r w:rsidRPr="00D40600">
        <w:t xml:space="preserve"> </w:t>
      </w:r>
      <w:r w:rsidRPr="00D40600">
        <w:rPr>
          <w:i/>
        </w:rPr>
        <w:t>Mobile Hotspot Router Growth Explodes as Huawei and ZTE Dominate 2011 Cellular Modem Market</w:t>
      </w:r>
      <w:r w:rsidRPr="00D40600">
        <w:t xml:space="preserve">, Press Release, Strategy Analytics, June 14, 2012. </w:t>
      </w:r>
      <w:hyperlink r:id="rId299" w:history="1">
        <w:r w:rsidRPr="00D40600">
          <w:rPr>
            <w:rStyle w:val="Hyperlink"/>
          </w:rPr>
          <w:t>http://www.strategyanalytics.com/default.aspx?mod=pressreleaseviewer&amp;a0=5239</w:t>
        </w:r>
      </w:hyperlink>
      <w:r w:rsidRPr="00D40600">
        <w:t xml:space="preserve"> (visited Oct. 16, 2012); Kathryn Huberty, </w:t>
      </w:r>
      <w:r w:rsidRPr="00D40600">
        <w:rPr>
          <w:i/>
        </w:rPr>
        <w:t>et al</w:t>
      </w:r>
      <w:r w:rsidRPr="00D40600">
        <w:t xml:space="preserve">., </w:t>
      </w:r>
      <w:r w:rsidRPr="00D40600">
        <w:rPr>
          <w:i/>
        </w:rPr>
        <w:t>Tablet Landscape Evolution – Window(s) of Opportunity</w:t>
      </w:r>
      <w:r w:rsidRPr="00D40600">
        <w:t>, Morgan Stanley, May 31, 2012.</w:t>
      </w:r>
    </w:p>
  </w:footnote>
  <w:footnote w:id="705">
    <w:p w:rsidR="00EC7CF3" w:rsidRDefault="00EC7CF3" w:rsidP="003C780D">
      <w:pPr>
        <w:pStyle w:val="FootnoteText"/>
      </w:pPr>
      <w:r w:rsidRPr="00D40600">
        <w:rPr>
          <w:rStyle w:val="FootnoteReference"/>
          <w:sz w:val="20"/>
        </w:rPr>
        <w:footnoteRef/>
      </w:r>
      <w:r w:rsidRPr="00D40600">
        <w:t xml:space="preserve"> </w:t>
      </w:r>
      <w:r w:rsidRPr="00D40600">
        <w:rPr>
          <w:i/>
        </w:rPr>
        <w:t xml:space="preserve">See </w:t>
      </w:r>
      <w:r w:rsidRPr="00D40600">
        <w:t xml:space="preserve">Mark Sullivan and Ken Biba, </w:t>
      </w:r>
      <w:r w:rsidRPr="00D40600">
        <w:rPr>
          <w:i/>
        </w:rPr>
        <w:t>Mobile Hotspots: Which Are Fastest, Most Reliable?</w:t>
      </w:r>
      <w:r w:rsidRPr="00D40600">
        <w:t xml:space="preserve">, PC World, Oct. 19, 2010,  at </w:t>
      </w:r>
      <w:hyperlink r:id="rId300" w:history="1">
        <w:r w:rsidRPr="00D40600">
          <w:rPr>
            <w:rStyle w:val="Hyperlink"/>
          </w:rPr>
          <w:t>http://www.pcworld.com/article/208154/mobile_hotspots_which_are_fastest_most_reliable.html</w:t>
        </w:r>
      </w:hyperlink>
      <w:r>
        <w:t xml:space="preserve"> (visited Oct. 16, 2012)</w:t>
      </w:r>
      <w:r w:rsidRPr="00D40600">
        <w:t>.</w:t>
      </w:r>
    </w:p>
  </w:footnote>
  <w:footnote w:id="706">
    <w:p w:rsidR="00EC7CF3" w:rsidRDefault="00EC7CF3" w:rsidP="003C780D">
      <w:pPr>
        <w:pStyle w:val="FootnoteText"/>
      </w:pPr>
      <w:r w:rsidRPr="00D40600">
        <w:rPr>
          <w:rStyle w:val="FootnoteReference"/>
          <w:sz w:val="20"/>
        </w:rPr>
        <w:footnoteRef/>
      </w:r>
      <w:r w:rsidRPr="00D40600">
        <w:t xml:space="preserve"> Kathryn Huberty, </w:t>
      </w:r>
      <w:r w:rsidRPr="00D40600">
        <w:rPr>
          <w:i/>
        </w:rPr>
        <w:t>et al</w:t>
      </w:r>
      <w:r w:rsidRPr="00D40600">
        <w:t xml:space="preserve">., </w:t>
      </w:r>
      <w:r w:rsidRPr="00D40600">
        <w:rPr>
          <w:i/>
        </w:rPr>
        <w:t>Tablet Landscape Evolution – Window(s) of Opportunity</w:t>
      </w:r>
      <w:r w:rsidRPr="00D40600">
        <w:t>, Morgan Stanley, May 31, 2012, at 10 (Apple iPads account for 54 percent of installed base of tablet owners as of May 2012).</w:t>
      </w:r>
    </w:p>
  </w:footnote>
  <w:footnote w:id="707">
    <w:p w:rsidR="00EC7CF3" w:rsidRDefault="00EC7CF3" w:rsidP="003C780D">
      <w:pPr>
        <w:pStyle w:val="FootnoteText"/>
      </w:pPr>
      <w:r w:rsidRPr="00D40600">
        <w:rPr>
          <w:rStyle w:val="FootnoteReference"/>
          <w:sz w:val="20"/>
        </w:rPr>
        <w:footnoteRef/>
      </w:r>
      <w:r w:rsidRPr="00432F46">
        <w:rPr>
          <w:i/>
        </w:rPr>
        <w:t>See</w:t>
      </w:r>
      <w:r w:rsidRPr="00A17CC5">
        <w:t xml:space="preserve"> Section </w:t>
      </w:r>
      <w:r>
        <w:t>VIII.C, Small Area Wireless Coverage Technologies</w:t>
      </w:r>
      <w:r w:rsidRPr="00A17CC5">
        <w:t xml:space="preserve">, </w:t>
      </w:r>
      <w:r w:rsidRPr="00432F46">
        <w:rPr>
          <w:i/>
        </w:rPr>
        <w:t>infra</w:t>
      </w:r>
      <w:r w:rsidRPr="00A17CC5">
        <w:t>.</w:t>
      </w:r>
      <w:r w:rsidRPr="00D40600">
        <w:t xml:space="preserve"> </w:t>
      </w:r>
      <w:r w:rsidRPr="00D40600">
        <w:rPr>
          <w:i/>
        </w:rPr>
        <w:t xml:space="preserve">  </w:t>
      </w:r>
      <w:r w:rsidRPr="00D40600">
        <w:t xml:space="preserve">  </w:t>
      </w:r>
    </w:p>
  </w:footnote>
  <w:footnote w:id="708">
    <w:p w:rsidR="00EC7CF3" w:rsidRDefault="00EC7CF3" w:rsidP="003C780D">
      <w:pPr>
        <w:pStyle w:val="FootnoteText"/>
      </w:pPr>
      <w:r w:rsidRPr="00D40600">
        <w:rPr>
          <w:rStyle w:val="FootnoteReference"/>
          <w:sz w:val="20"/>
        </w:rPr>
        <w:footnoteRef/>
      </w:r>
      <w:r w:rsidRPr="00D40600">
        <w:t xml:space="preserve"> Arnold Kim, </w:t>
      </w:r>
      <w:r w:rsidRPr="00D40600">
        <w:rPr>
          <w:i/>
        </w:rPr>
        <w:t>iPad 4G LTE Data Plan Prices for AT&amp;T and Verizon</w:t>
      </w:r>
      <w:r w:rsidRPr="00D40600">
        <w:t xml:space="preserve">, MacRumors, Mar. 7, 2012, at </w:t>
      </w:r>
      <w:hyperlink r:id="rId301" w:history="1">
        <w:r w:rsidRPr="00D40600">
          <w:rPr>
            <w:rStyle w:val="Hyperlink"/>
          </w:rPr>
          <w:t>http://www.macrumors.com/2012/03/07/ipad-4g-lte-data-plan-prices-for-att-and-verizon/</w:t>
        </w:r>
      </w:hyperlink>
      <w:r w:rsidRPr="00D40600">
        <w:t xml:space="preserve"> (visited Oct. 16, 2012);  Danile Eran Dilger, </w:t>
      </w:r>
      <w:r w:rsidRPr="00D40600">
        <w:rPr>
          <w:i/>
        </w:rPr>
        <w:t xml:space="preserve">Inside AT&amp;T vs Verizon iPad 2 Data Service Plans, </w:t>
      </w:r>
      <w:r w:rsidRPr="00D40600">
        <w:t xml:space="preserve">Apple Insider, Mar. 8, 2011, at </w:t>
      </w:r>
      <w:hyperlink r:id="rId302" w:history="1">
        <w:r w:rsidRPr="00D40600">
          <w:rPr>
            <w:rStyle w:val="Hyperlink"/>
          </w:rPr>
          <w:t>http://www.appleinsider.com/articles/11/03/08/inside_att_vs_verizon_ipad_2_data_service_plans.html</w:t>
        </w:r>
      </w:hyperlink>
      <w:r w:rsidRPr="00D40600">
        <w:t xml:space="preserve">  (visited Oct. 16, 2012).</w:t>
      </w:r>
    </w:p>
  </w:footnote>
  <w:footnote w:id="709">
    <w:p w:rsidR="00EC7CF3" w:rsidRDefault="00EC7CF3" w:rsidP="003C780D">
      <w:pPr>
        <w:pStyle w:val="FootnoteText"/>
      </w:pPr>
      <w:r w:rsidRPr="00D40600">
        <w:rPr>
          <w:rStyle w:val="FootnoteReference"/>
          <w:sz w:val="20"/>
        </w:rPr>
        <w:footnoteRef/>
      </w:r>
      <w:r w:rsidRPr="00D40600">
        <w:t xml:space="preserve"> </w:t>
      </w:r>
      <w:r w:rsidRPr="00D40600">
        <w:rPr>
          <w:i/>
        </w:rPr>
        <w:t xml:space="preserve">See </w:t>
      </w:r>
      <w:r w:rsidRPr="00D40600">
        <w:t xml:space="preserve">T-Mobile, </w:t>
      </w:r>
      <w:r w:rsidRPr="00D40600">
        <w:rPr>
          <w:i/>
        </w:rPr>
        <w:t xml:space="preserve">Internet Devices, </w:t>
      </w:r>
      <w:hyperlink r:id="rId303" w:history="1">
        <w:r w:rsidRPr="00D40600">
          <w:rPr>
            <w:rStyle w:val="Hyperlink"/>
          </w:rPr>
          <w:t>http://www.t-mobile.com/shop/phones/?shape=tab</w:t>
        </w:r>
      </w:hyperlink>
      <w:r w:rsidRPr="00D40600">
        <w:t xml:space="preserve">  (last visited June 28, 2012) (T-Mobile selling three tablet devices with discounts/rebates ranging from $100 to $150); Sprint, </w:t>
      </w:r>
      <w:r w:rsidRPr="00D40600">
        <w:rPr>
          <w:i/>
        </w:rPr>
        <w:t>ZTE Optik</w:t>
      </w:r>
      <w:r w:rsidRPr="00D40600">
        <w:t xml:space="preserve">, </w:t>
      </w:r>
      <w:hyperlink r:id="rId304" w:history="1">
        <w:r w:rsidRPr="00D40600">
          <w:rPr>
            <w:rStyle w:val="Hyperlink"/>
          </w:rPr>
          <w:t>http://shop.sprint.com/mysprint/shop/phone_details.jsp?prodId=dvc6290005prd&amp;deviceSKUId=62900028&amp;flow=AAL&amp;planSKUId=&amp;firstSelection=PHONES&amp;ptn=&amp;tabId=dvcTab1820005</w:t>
        </w:r>
      </w:hyperlink>
      <w:r w:rsidRPr="00D40600">
        <w:t xml:space="preserve"> (last visited June 29, 2012); AT&amp;T, </w:t>
      </w:r>
      <w:r w:rsidRPr="00D40600">
        <w:rPr>
          <w:i/>
        </w:rPr>
        <w:t xml:space="preserve">Tablets, </w:t>
      </w:r>
      <w:hyperlink r:id="rId305" w:history="1">
        <w:r w:rsidRPr="00D40600">
          <w:rPr>
            <w:rStyle w:val="Hyperlink"/>
          </w:rPr>
          <w:t>http://www.att.com/shop/wireless/devices/tablets.html</w:t>
        </w:r>
      </w:hyperlink>
      <w:r w:rsidRPr="00D40600">
        <w:t xml:space="preserve"> (last visited June 29, 2012); Brad Reed, </w:t>
      </w:r>
      <w:r w:rsidRPr="00D40600">
        <w:rPr>
          <w:i/>
        </w:rPr>
        <w:t>Sorry, T-Mobile: Your Shared Data Plans Are Just As Lame As Verizon’s</w:t>
      </w:r>
      <w:r w:rsidRPr="00D40600">
        <w:t xml:space="preserve">, BGR, June 13, 2012, </w:t>
      </w:r>
      <w:hyperlink r:id="rId306" w:history="1">
        <w:r w:rsidRPr="00D40600">
          <w:rPr>
            <w:rStyle w:val="Hyperlink"/>
          </w:rPr>
          <w:t>http://www.bgr.com/2012/06/13/t-mobile-verizon-family-plan-comparison-criticism/</w:t>
        </w:r>
      </w:hyperlink>
      <w:r w:rsidRPr="00D40600">
        <w:t xml:space="preserve"> (visited Oct. 16, 2012).</w:t>
      </w:r>
    </w:p>
  </w:footnote>
  <w:footnote w:id="710">
    <w:p w:rsidR="00EC7CF3" w:rsidRDefault="00EC7CF3" w:rsidP="003C780D">
      <w:pPr>
        <w:pStyle w:val="FootnoteText"/>
      </w:pPr>
      <w:r w:rsidRPr="00D40600">
        <w:rPr>
          <w:rStyle w:val="FootnoteReference"/>
          <w:sz w:val="20"/>
        </w:rPr>
        <w:footnoteRef/>
      </w:r>
      <w:r w:rsidRPr="00D40600">
        <w:t xml:space="preserve"> </w:t>
      </w:r>
      <w:r w:rsidRPr="00D40600">
        <w:rPr>
          <w:i/>
        </w:rPr>
        <w:t xml:space="preserve">See, e.g., </w:t>
      </w:r>
      <w:r w:rsidRPr="00D40600">
        <w:t xml:space="preserve">Sprint, </w:t>
      </w:r>
      <w:r w:rsidRPr="00D40600">
        <w:rPr>
          <w:i/>
        </w:rPr>
        <w:t>Samsung Galaxy Tab 10.1</w:t>
      </w:r>
      <w:r w:rsidRPr="00D40600">
        <w:t xml:space="preserve">, </w:t>
      </w:r>
      <w:hyperlink r:id="rId307" w:history="1">
        <w:r w:rsidRPr="00D40600">
          <w:rPr>
            <w:rStyle w:val="Hyperlink"/>
          </w:rPr>
          <w:t>http://shop.sprint.com/mysprint/shop/phone_details.jsp?deviceSKUId=55000038</w:t>
        </w:r>
      </w:hyperlink>
      <w:r w:rsidRPr="00D40600">
        <w:t xml:space="preserve"> (last visited June 29, 2012); Verizon Wireless, </w:t>
      </w:r>
      <w:r w:rsidRPr="00D40600">
        <w:rPr>
          <w:i/>
        </w:rPr>
        <w:t xml:space="preserve">DROID XYBOARD 10.1 by Motorola 64GB, </w:t>
      </w:r>
      <w:hyperlink r:id="rId308" w:history="1">
        <w:r w:rsidRPr="00D40600">
          <w:rPr>
            <w:rStyle w:val="Hyperlink"/>
          </w:rPr>
          <w:t>http://www.verizonwireless.com/b2c/store/controller?item=phoneFirst&amp;action=viewPhoneDetail&amp;selectedPhoneId=5824&amp;cmp=EXL-EGUIDE-ENGLISH-DEVICES-DROID-XYBOARD-10.1-BY-MOTOROLA-64-GB1</w:t>
        </w:r>
      </w:hyperlink>
      <w:r w:rsidRPr="00D40600">
        <w:t xml:space="preserve"> (last visited June 29, 2012).</w:t>
      </w:r>
    </w:p>
  </w:footnote>
  <w:footnote w:id="711">
    <w:p w:rsidR="00EC7CF3" w:rsidRDefault="00EC7CF3" w:rsidP="003C780D">
      <w:pPr>
        <w:pStyle w:val="FootnoteText"/>
      </w:pPr>
      <w:r w:rsidRPr="00D40600">
        <w:rPr>
          <w:rStyle w:val="FootnoteReference"/>
          <w:sz w:val="20"/>
        </w:rPr>
        <w:footnoteRef/>
      </w:r>
      <w:r w:rsidRPr="00D40600">
        <w:t xml:space="preserve"> </w:t>
      </w:r>
      <w:r w:rsidRPr="00D40600">
        <w:rPr>
          <w:i/>
        </w:rPr>
        <w:t>Verizon Share Everything Data Plans: Applying Corporate Discounts, Tablets No Longer Subsidized or Discounted</w:t>
      </w:r>
      <w:r w:rsidRPr="00D40600">
        <w:t xml:space="preserve">, DroidLife, June 12, 2012, at </w:t>
      </w:r>
      <w:hyperlink r:id="rId309" w:history="1">
        <w:r w:rsidRPr="00D40600">
          <w:rPr>
            <w:rStyle w:val="Hyperlink"/>
          </w:rPr>
          <w:t>http://www.droid-life.com/2012/06/12/verizon-share-everything-data-plans-applying-corporate-discounts-tablets-no-longer-subsidized-or-discounted/</w:t>
        </w:r>
      </w:hyperlink>
      <w:r w:rsidRPr="00D40600">
        <w:t xml:space="preserve">  (visited Oct. 16, 2012); Verizon Wireless, </w:t>
      </w:r>
      <w:r w:rsidRPr="00D40600">
        <w:rPr>
          <w:i/>
        </w:rPr>
        <w:t>Tablets</w:t>
      </w:r>
      <w:r w:rsidRPr="00D40600">
        <w:t xml:space="preserve">, </w:t>
      </w:r>
      <w:hyperlink r:id="rId310" w:history="1">
        <w:r w:rsidRPr="00D40600">
          <w:rPr>
            <w:rStyle w:val="Hyperlink"/>
          </w:rPr>
          <w:t>http://www.verizonwireless.com/b2c/store/controller?&amp;item=phoneFirst&amp;action=viewPhoneOverviewByDevice&amp;deviceCategoryId=12</w:t>
        </w:r>
      </w:hyperlink>
      <w:r w:rsidRPr="00D40600">
        <w:t xml:space="preserve"> (last visited June 29, 2012).</w:t>
      </w:r>
    </w:p>
  </w:footnote>
  <w:footnote w:id="712">
    <w:p w:rsidR="00EC7CF3" w:rsidRDefault="00EC7CF3" w:rsidP="003C780D">
      <w:pPr>
        <w:pStyle w:val="FootnoteText"/>
      </w:pPr>
      <w:r w:rsidRPr="00D40600">
        <w:rPr>
          <w:rStyle w:val="FootnoteReference"/>
          <w:sz w:val="20"/>
        </w:rPr>
        <w:footnoteRef/>
      </w:r>
      <w:r w:rsidRPr="00D40600">
        <w:t xml:space="preserve"> With e-readers, users typically do not pay a separate fee for data access but instead pay the e-book retailer a fee for purchasing and downloading books or other reading materials. </w:t>
      </w:r>
      <w:r w:rsidRPr="00D40600">
        <w:rPr>
          <w:i/>
        </w:rPr>
        <w:t xml:space="preserve">See Fifteenth Report, </w:t>
      </w:r>
      <w:r w:rsidRPr="00D40600">
        <w:t>26 FCC Rcd at 9755 ¶ 146.</w:t>
      </w:r>
    </w:p>
  </w:footnote>
  <w:footnote w:id="713">
    <w:p w:rsidR="00EC7CF3" w:rsidRDefault="00EC7CF3" w:rsidP="003C780D">
      <w:pPr>
        <w:pStyle w:val="FootnoteText"/>
      </w:pPr>
      <w:r w:rsidRPr="00D40600">
        <w:rPr>
          <w:rStyle w:val="FootnoteReference"/>
          <w:sz w:val="20"/>
        </w:rPr>
        <w:footnoteRef/>
      </w:r>
      <w:r w:rsidRPr="00D40600">
        <w:t xml:space="preserve"> </w:t>
      </w:r>
      <w:r w:rsidRPr="00D40600">
        <w:rPr>
          <w:i/>
        </w:rPr>
        <w:t>See Fifteenth Report</w:t>
      </w:r>
      <w:r w:rsidRPr="00D40600">
        <w:t>, 26 FCC Rcd at 9757 ¶ 154</w:t>
      </w:r>
      <w:r w:rsidRPr="00D40600">
        <w:rPr>
          <w:i/>
        </w:rPr>
        <w:t>.</w:t>
      </w:r>
    </w:p>
  </w:footnote>
  <w:footnote w:id="714">
    <w:p w:rsidR="00EC7CF3" w:rsidRDefault="00EC7CF3" w:rsidP="003C780D">
      <w:pPr>
        <w:pStyle w:val="FootnoteText"/>
      </w:pPr>
      <w:r w:rsidRPr="00D40600">
        <w:rPr>
          <w:rStyle w:val="FootnoteReference"/>
          <w:sz w:val="20"/>
        </w:rPr>
        <w:footnoteRef/>
      </w:r>
      <w:r w:rsidRPr="00D40600">
        <w:t xml:space="preserve"> AT&amp;T, </w:t>
      </w:r>
      <w:r w:rsidRPr="00D40600">
        <w:rPr>
          <w:i/>
        </w:rPr>
        <w:t>Wireless Customer Agreement</w:t>
      </w:r>
      <w:r w:rsidRPr="00D40600">
        <w:t xml:space="preserve">, </w:t>
      </w:r>
      <w:hyperlink r:id="rId311" w:history="1">
        <w:r w:rsidRPr="00D40600">
          <w:rPr>
            <w:rStyle w:val="Hyperlink"/>
          </w:rPr>
          <w:t>http://www.att.com/shop/legalterms.html?toskey=wirelessCustomerAgreement&amp;</w:t>
        </w:r>
      </w:hyperlink>
      <w:r w:rsidRPr="00D40600">
        <w:t xml:space="preserve"> (visited June 29, 2012).</w:t>
      </w:r>
    </w:p>
  </w:footnote>
  <w:footnote w:id="715">
    <w:p w:rsidR="00EC7CF3" w:rsidRDefault="00EC7CF3" w:rsidP="003C780D">
      <w:pPr>
        <w:pStyle w:val="FootnoteText"/>
      </w:pPr>
      <w:r w:rsidRPr="00D40600">
        <w:rPr>
          <w:rStyle w:val="FootnoteReference"/>
          <w:sz w:val="20"/>
        </w:rPr>
        <w:footnoteRef/>
      </w:r>
      <w:r w:rsidRPr="00D40600">
        <w:t xml:space="preserve"> AT&amp;T, </w:t>
      </w:r>
      <w:r w:rsidRPr="00D40600">
        <w:rPr>
          <w:i/>
        </w:rPr>
        <w:t>Wireless Customer Agreement</w:t>
      </w:r>
      <w:r w:rsidRPr="00D40600">
        <w:t xml:space="preserve">, </w:t>
      </w:r>
      <w:hyperlink r:id="rId312" w:history="1">
        <w:r w:rsidRPr="00D40600">
          <w:rPr>
            <w:rStyle w:val="Hyperlink"/>
          </w:rPr>
          <w:t>http://www.att.com/shop/legalterms.html?toskey=wirelessCustomerAgreement&amp;</w:t>
        </w:r>
      </w:hyperlink>
      <w:r w:rsidRPr="00D40600">
        <w:t xml:space="preserve"> (visited June 29, 2012).</w:t>
      </w:r>
    </w:p>
  </w:footnote>
  <w:footnote w:id="716">
    <w:p w:rsidR="00EC7CF3" w:rsidRDefault="00EC7CF3" w:rsidP="003C780D">
      <w:pPr>
        <w:pStyle w:val="FootnoteText"/>
      </w:pPr>
      <w:r w:rsidRPr="00D40600">
        <w:rPr>
          <w:rStyle w:val="FootnoteReference"/>
          <w:sz w:val="20"/>
        </w:rPr>
        <w:footnoteRef/>
      </w:r>
      <w:r w:rsidRPr="00D40600">
        <w:t xml:space="preserve"> Verizon Wireless, </w:t>
      </w:r>
      <w:r w:rsidRPr="00D40600">
        <w:rPr>
          <w:i/>
        </w:rPr>
        <w:t>Customer Agreement &amp; Important Information</w:t>
      </w:r>
      <w:r w:rsidRPr="00D40600">
        <w:t xml:space="preserve">, </w:t>
      </w:r>
      <w:hyperlink r:id="rId313" w:history="1">
        <w:r w:rsidRPr="00D40600">
          <w:rPr>
            <w:rStyle w:val="Hyperlink"/>
          </w:rPr>
          <w:t>http://youreguide.vzw.com/legal-customer-agreement</w:t>
        </w:r>
      </w:hyperlink>
      <w:r w:rsidRPr="00D40600">
        <w:t xml:space="preserve"> (visited June 29, 2012).</w:t>
      </w:r>
    </w:p>
  </w:footnote>
  <w:footnote w:id="717">
    <w:p w:rsidR="00EC7CF3" w:rsidRDefault="00EC7CF3" w:rsidP="003C780D">
      <w:pPr>
        <w:pStyle w:val="FootnoteText"/>
      </w:pPr>
      <w:r w:rsidRPr="00D40600">
        <w:rPr>
          <w:rStyle w:val="FootnoteReference"/>
          <w:sz w:val="20"/>
        </w:rPr>
        <w:footnoteRef/>
      </w:r>
      <w:r w:rsidRPr="00D40600">
        <w:t xml:space="preserve"> Some mobile wireless providers significantly reduce the data connection speeds of  customers who exceed a certain amount of data usage  in a month.  </w:t>
      </w:r>
      <w:r w:rsidRPr="00D40600">
        <w:rPr>
          <w:i/>
        </w:rPr>
        <w:t>See</w:t>
      </w:r>
      <w:r w:rsidRPr="00D40600">
        <w:t xml:space="preserve"> Section IVA, Price Rivalry Development in Mobile Service Pricing Plans; </w:t>
      </w:r>
      <w:r w:rsidRPr="00D40600">
        <w:rPr>
          <w:i/>
        </w:rPr>
        <w:t xml:space="preserve">see also </w:t>
      </w:r>
      <w:r w:rsidRPr="00D40600">
        <w:t xml:space="preserve">Jeffrey Glueck, </w:t>
      </w:r>
      <w:r w:rsidRPr="00D40600">
        <w:rPr>
          <w:i/>
        </w:rPr>
        <w:t>Don’t Throttle Me: Other Ways to Manage Wireless Traffic</w:t>
      </w:r>
      <w:r w:rsidRPr="00D40600">
        <w:t xml:space="preserve">, Forbes, April 19, 2012, at </w:t>
      </w:r>
      <w:hyperlink r:id="rId314" w:history="1">
        <w:r w:rsidRPr="00D40600">
          <w:rPr>
            <w:rStyle w:val="Hyperlink"/>
          </w:rPr>
          <w:t>http://www.forbes.com/sites/ciocentral/2012/04/19/dont-throttle-me-other-ways-to-manage-wireless-traffic/</w:t>
        </w:r>
      </w:hyperlink>
      <w:r>
        <w:rPr>
          <w:rStyle w:val="Hyperlink"/>
        </w:rPr>
        <w:t xml:space="preserve"> </w:t>
      </w:r>
      <w:r w:rsidRPr="00D40600">
        <w:t xml:space="preserve">(visited Oct. 16, 2012) .    </w:t>
      </w:r>
    </w:p>
  </w:footnote>
  <w:footnote w:id="718">
    <w:p w:rsidR="00EC7CF3" w:rsidRDefault="00EC7CF3" w:rsidP="003C780D">
      <w:pPr>
        <w:pStyle w:val="FootnoteText"/>
      </w:pPr>
      <w:r w:rsidRPr="00D40600">
        <w:rPr>
          <w:rStyle w:val="FootnoteReference"/>
          <w:sz w:val="20"/>
        </w:rPr>
        <w:footnoteRef/>
      </w:r>
      <w:r w:rsidRPr="00D40600">
        <w:t xml:space="preserve"> </w:t>
      </w:r>
      <w:r w:rsidRPr="00D40600">
        <w:rPr>
          <w:i/>
        </w:rPr>
        <w:t>See</w:t>
      </w:r>
      <w:r w:rsidRPr="00D40600">
        <w:t xml:space="preserve"> Section IV.A, Price Rivalry Development in Mobile Service Pricing Plans, </w:t>
      </w:r>
      <w:r w:rsidRPr="00D40600">
        <w:rPr>
          <w:i/>
        </w:rPr>
        <w:t>supra</w:t>
      </w:r>
      <w:r w:rsidRPr="00D40600">
        <w:t>.</w:t>
      </w:r>
    </w:p>
  </w:footnote>
  <w:footnote w:id="719">
    <w:p w:rsidR="00EC7CF3" w:rsidRDefault="00EC7CF3" w:rsidP="00CB7951">
      <w:pPr>
        <w:pStyle w:val="FootnoteText"/>
      </w:pPr>
      <w:r w:rsidRPr="00D40600">
        <w:rPr>
          <w:rStyle w:val="FootnoteReference"/>
          <w:sz w:val="20"/>
        </w:rPr>
        <w:footnoteRef/>
      </w:r>
      <w:r w:rsidRPr="00D40600">
        <w:t xml:space="preserve"> Preserving the Open Internet, Broadband Industry Practices, GN Docket No. 09-191, WC Docket No. 07-52, </w:t>
      </w:r>
      <w:r w:rsidRPr="00D40600">
        <w:rPr>
          <w:i/>
        </w:rPr>
        <w:t>Report and Order</w:t>
      </w:r>
      <w:r w:rsidRPr="00D40600">
        <w:t>, FCC 10-201 (rel. Dec. 23, 2010) (</w:t>
      </w:r>
      <w:r w:rsidRPr="00D40600">
        <w:rPr>
          <w:i/>
        </w:rPr>
        <w:t>Open Internet Order</w:t>
      </w:r>
      <w:r w:rsidRPr="00D40600">
        <w:t xml:space="preserve">).  </w:t>
      </w:r>
    </w:p>
  </w:footnote>
  <w:footnote w:id="720">
    <w:p w:rsidR="00EC7CF3" w:rsidRDefault="00EC7CF3" w:rsidP="003C780D">
      <w:pPr>
        <w:pStyle w:val="FootnoteText"/>
      </w:pPr>
      <w:r w:rsidRPr="00D40600">
        <w:rPr>
          <w:rStyle w:val="FootnoteReference"/>
          <w:sz w:val="20"/>
        </w:rPr>
        <w:footnoteRef/>
      </w:r>
      <w:r w:rsidRPr="00D40600">
        <w:t xml:space="preserve"> </w:t>
      </w:r>
      <w:r w:rsidRPr="00D40600">
        <w:rPr>
          <w:i/>
        </w:rPr>
        <w:t>See</w:t>
      </w:r>
      <w:r w:rsidRPr="00D40600">
        <w:t xml:space="preserve">, for example, SEC Form 10-K for Clearwire, Leap Wireless, MetroPCS, Sprint Nextel, and US Cellular; Sue Marek, </w:t>
      </w:r>
      <w:r w:rsidRPr="00D40600">
        <w:rPr>
          <w:i/>
        </w:rPr>
        <w:t>T-Mobile Launches Mobile Ad Initiative with Android App</w:t>
      </w:r>
      <w:r w:rsidRPr="00D40600">
        <w:t xml:space="preserve">, </w:t>
      </w:r>
      <w:r w:rsidRPr="00D40600">
        <w:rPr>
          <w:smallCaps/>
        </w:rPr>
        <w:t>FierceWireless</w:t>
      </w:r>
      <w:r w:rsidRPr="00D40600">
        <w:t xml:space="preserve">, June 14, 2011, </w:t>
      </w:r>
      <w:r w:rsidRPr="00D40600">
        <w:rPr>
          <w:i/>
        </w:rPr>
        <w:t>available at</w:t>
      </w:r>
      <w:r w:rsidRPr="00D40600">
        <w:t xml:space="preserve">  </w:t>
      </w:r>
      <w:hyperlink r:id="rId315" w:history="1">
        <w:r w:rsidRPr="00D40600">
          <w:rPr>
            <w:rStyle w:val="Hyperlink"/>
          </w:rPr>
          <w:t>http://www.fiercemobilecontent.com/story/t-mobile-launches-mobile-ad-initiative-android-app/2011-06-14</w:t>
        </w:r>
      </w:hyperlink>
      <w:r w:rsidRPr="00D40600">
        <w:t xml:space="preserve"> (visited Oct. 16, 2012); Mike Shields, </w:t>
      </w:r>
      <w:r w:rsidRPr="00D40600">
        <w:rPr>
          <w:i/>
        </w:rPr>
        <w:t>Zynga Links Up With T-Mobile for Treasure Isle Ad Play</w:t>
      </w:r>
      <w:r w:rsidRPr="00D40600">
        <w:t xml:space="preserve">, </w:t>
      </w:r>
      <w:r w:rsidRPr="00D40600">
        <w:rPr>
          <w:smallCaps/>
        </w:rPr>
        <w:t>AdWeek</w:t>
      </w:r>
      <w:r w:rsidRPr="00D40600">
        <w:t xml:space="preserve">, February 16, 2011, </w:t>
      </w:r>
      <w:r w:rsidRPr="00D40600">
        <w:rPr>
          <w:i/>
        </w:rPr>
        <w:t>available at</w:t>
      </w:r>
      <w:r w:rsidRPr="00D40600">
        <w:t xml:space="preserve"> </w:t>
      </w:r>
      <w:hyperlink r:id="rId316" w:anchor="1" w:history="1">
        <w:r w:rsidRPr="00D40600">
          <w:rPr>
            <w:rStyle w:val="Hyperlink"/>
          </w:rPr>
          <w:t>http://www.adweek.com/news/advertising-branding/zynga-links-t-mobile-treasure-isle-ad-play-126322#1</w:t>
        </w:r>
      </w:hyperlink>
      <w:r w:rsidRPr="00D40600">
        <w:t xml:space="preserve">(visited Oct. 16, 2012); Kunur Patel, Warner Bros., </w:t>
      </w:r>
      <w:r w:rsidRPr="00D40600">
        <w:rPr>
          <w:i/>
        </w:rPr>
        <w:t>Verizon Link for ‘Inception’ Marketing Stunt</w:t>
      </w:r>
      <w:r w:rsidRPr="00D40600">
        <w:t xml:space="preserve">, </w:t>
      </w:r>
      <w:r w:rsidRPr="00D40600">
        <w:rPr>
          <w:smallCaps/>
        </w:rPr>
        <w:t>Advertising Age</w:t>
      </w:r>
      <w:r w:rsidRPr="00D40600">
        <w:t xml:space="preserve">, July 12, 2010, </w:t>
      </w:r>
      <w:r w:rsidRPr="00D40600">
        <w:rPr>
          <w:i/>
        </w:rPr>
        <w:t>available at</w:t>
      </w:r>
      <w:r w:rsidRPr="00D40600">
        <w:t xml:space="preserve"> </w:t>
      </w:r>
      <w:hyperlink r:id="rId317" w:history="1">
        <w:r w:rsidRPr="00D40600">
          <w:rPr>
            <w:rStyle w:val="Hyperlink"/>
          </w:rPr>
          <w:t>http://adage.com/article/news/warner-bros-verizon-link-inception-marketing-stunt/144876/</w:t>
        </w:r>
      </w:hyperlink>
      <w:r w:rsidRPr="00D40600">
        <w:t xml:space="preserve">(visited Oct. 16, 2012). </w:t>
      </w:r>
    </w:p>
  </w:footnote>
  <w:footnote w:id="721">
    <w:p w:rsidR="00EC7CF3" w:rsidRDefault="00EC7CF3" w:rsidP="003C780D">
      <w:pPr>
        <w:pStyle w:val="FootnoteText"/>
      </w:pPr>
      <w:r w:rsidRPr="00D40600">
        <w:rPr>
          <w:rStyle w:val="FootnoteReference"/>
          <w:sz w:val="20"/>
        </w:rPr>
        <w:footnoteRef/>
      </w:r>
      <w:r w:rsidRPr="00D40600">
        <w:t xml:space="preserve"> See SEC Form 10-K for Leap Wireless, MetroPCS, Sprint Nextel, and US Cellular; Judann Pollack, </w:t>
      </w:r>
      <w:r w:rsidRPr="00D40600">
        <w:rPr>
          <w:i/>
        </w:rPr>
        <w:t>AT&amp;T’s Esther Lee on Marketing Out of the Telecom Box</w:t>
      </w:r>
      <w:r w:rsidRPr="00D40600">
        <w:t xml:space="preserve">, </w:t>
      </w:r>
      <w:r w:rsidRPr="00D40600">
        <w:rPr>
          <w:smallCaps/>
        </w:rPr>
        <w:t>Advertising Age</w:t>
      </w:r>
      <w:r w:rsidRPr="00D40600">
        <w:t xml:space="preserve">, October 21, 2011, </w:t>
      </w:r>
      <w:r w:rsidRPr="00D40600">
        <w:rPr>
          <w:i/>
        </w:rPr>
        <w:t>available at</w:t>
      </w:r>
      <w:r w:rsidRPr="00D40600">
        <w:t xml:space="preserve"> </w:t>
      </w:r>
      <w:hyperlink r:id="rId318" w:history="1">
        <w:r w:rsidRPr="00D40600">
          <w:rPr>
            <w:rStyle w:val="Hyperlink"/>
          </w:rPr>
          <w:t>http://adage.com/article/special-report-ana-annual-meeting/esther-lee-marketing-telecom-box/230581/</w:t>
        </w:r>
      </w:hyperlink>
      <w:r w:rsidRPr="00D40600">
        <w:t>(visited Oct. 16, 2012).</w:t>
      </w:r>
    </w:p>
  </w:footnote>
  <w:footnote w:id="722">
    <w:p w:rsidR="00EC7CF3" w:rsidRDefault="00EC7CF3" w:rsidP="003C780D">
      <w:pPr>
        <w:pStyle w:val="FootnoteText"/>
      </w:pPr>
      <w:r w:rsidRPr="00D40600">
        <w:rPr>
          <w:rStyle w:val="FootnoteReference"/>
          <w:sz w:val="20"/>
        </w:rPr>
        <w:footnoteRef/>
      </w:r>
      <w:r w:rsidRPr="00D40600">
        <w:t xml:space="preserve"> </w:t>
      </w:r>
      <w:r w:rsidRPr="00D40600">
        <w:rPr>
          <w:i/>
        </w:rPr>
        <w:t xml:space="preserve">See </w:t>
      </w:r>
      <w:r w:rsidRPr="00D40600">
        <w:t xml:space="preserve">AT&amp;T Comments at 8; Verizon Wireless Comments at 39, 44; Kyle Bagwell, “The Economic Analysis of Advertising,” in </w:t>
      </w:r>
      <w:r w:rsidRPr="00D40600">
        <w:rPr>
          <w:i/>
        </w:rPr>
        <w:t>Handbook of Industrial Organization, Volume 3</w:t>
      </w:r>
      <w:r w:rsidRPr="00D40600">
        <w:t xml:space="preserve">, ed. M. Armstrong and R. Porter, (Elsevier B.V., 2007), at 1705-1706.   Mobile wireless service is an “experience good” – a product or service that the customer must consume before determining its quality.  </w:t>
      </w:r>
      <w:r w:rsidRPr="00D40600">
        <w:rPr>
          <w:i/>
        </w:rPr>
        <w:t>See</w:t>
      </w:r>
      <w:r w:rsidRPr="00D40600">
        <w:t xml:space="preserve"> Lynne Pepall, Dan Richards, and George Norman. </w:t>
      </w:r>
      <w:r>
        <w:t xml:space="preserve"> </w:t>
      </w:r>
      <w:r w:rsidRPr="00D40600">
        <w:t>Industrial Organization (4</w:t>
      </w:r>
      <w:r w:rsidRPr="00D40600">
        <w:rPr>
          <w:vertAlign w:val="superscript"/>
        </w:rPr>
        <w:t>th</w:t>
      </w:r>
      <w:r w:rsidRPr="00D40600">
        <w:t xml:space="preserve"> ed.), Blackwell Publishing, 2008, at 524.  Consequently, information contained in wireless advertising tends to be indirect information.  By advertising, a firm may signal that it is efficient, implying that it offers good deals.  Advertising may also remind repeat consumers of the quality of an experience good.  Finally, since a firm has an incentive to direct its advertising toward the consumers who may value its product the most, a seemingly uninformative advertisement can better match products with buyers.  See Kyle Bagwell, “The Economic Analysis of Advertising,” in </w:t>
      </w:r>
      <w:r w:rsidRPr="00D40600">
        <w:rPr>
          <w:i/>
        </w:rPr>
        <w:t>Handbook of Industrial Organization, Volume 3</w:t>
      </w:r>
      <w:r w:rsidRPr="00D40600">
        <w:t xml:space="preserve">, ed. M. Armstrong and R. Porter, (Elsevier B.V., 2007), at 1718-1720, 1774-1791; Phillip Nelson, “Advertising as Information,” in </w:t>
      </w:r>
      <w:r w:rsidRPr="00D40600">
        <w:rPr>
          <w:i/>
        </w:rPr>
        <w:t>Journal of Political Economy</w:t>
      </w:r>
      <w:r w:rsidRPr="00D40600">
        <w:t>, v. 82 (1974) at 729-754.</w:t>
      </w:r>
    </w:p>
  </w:footnote>
  <w:footnote w:id="723">
    <w:p w:rsidR="00EC7CF3" w:rsidRDefault="00EC7CF3" w:rsidP="003C780D">
      <w:pPr>
        <w:pStyle w:val="FootnoteText"/>
      </w:pPr>
      <w:r w:rsidRPr="00D40600">
        <w:rPr>
          <w:rStyle w:val="FootnoteReference"/>
          <w:sz w:val="20"/>
        </w:rPr>
        <w:footnoteRef/>
      </w:r>
      <w:r w:rsidRPr="00D40600">
        <w:t xml:space="preserve"> </w:t>
      </w:r>
      <w:r w:rsidRPr="00D40600">
        <w:rPr>
          <w:i/>
        </w:rPr>
        <w:t>See</w:t>
      </w:r>
      <w:r w:rsidRPr="00D40600">
        <w:t xml:space="preserve"> </w:t>
      </w:r>
      <w:r w:rsidRPr="00D40600">
        <w:rPr>
          <w:i/>
        </w:rPr>
        <w:t>Fifteenth Report</w:t>
      </w:r>
      <w:r w:rsidRPr="00D40600">
        <w:t xml:space="preserve">, 26 FCC Rcd at 9748 ¶ 130; </w:t>
      </w:r>
      <w:r w:rsidRPr="00D40600">
        <w:rPr>
          <w:i/>
        </w:rPr>
        <w:t>Fourteenth Report</w:t>
      </w:r>
      <w:r w:rsidRPr="00D40600">
        <w:t xml:space="preserve">, 25 FCC Rcd at 11491-92 ¶ 128; </w:t>
      </w:r>
      <w:r w:rsidRPr="00D40600">
        <w:rPr>
          <w:i/>
        </w:rPr>
        <w:t>Thirteenth Report</w:t>
      </w:r>
      <w:r w:rsidRPr="00D40600">
        <w:t>, 24 FCC Rcd at 6261 ¶ 158.</w:t>
      </w:r>
    </w:p>
  </w:footnote>
  <w:footnote w:id="724">
    <w:p w:rsidR="00EC7CF3" w:rsidRDefault="00EC7CF3" w:rsidP="003C780D">
      <w:pPr>
        <w:pStyle w:val="FootnoteText"/>
      </w:pPr>
      <w:r w:rsidRPr="00D40600">
        <w:rPr>
          <w:rStyle w:val="FootnoteReference"/>
          <w:sz w:val="20"/>
        </w:rPr>
        <w:footnoteRef/>
      </w:r>
      <w:r w:rsidRPr="00D40600">
        <w:t xml:space="preserve"> “U.S. Market Share for Wireless-Service Providers,” in </w:t>
      </w:r>
      <w:r w:rsidRPr="00D40600">
        <w:rPr>
          <w:i/>
        </w:rPr>
        <w:t>Advertising Age: 100 Leading National Advertisers 2010</w:t>
      </w:r>
      <w:r w:rsidRPr="00D40600">
        <w:t xml:space="preserve">, June 20, 2011; U.S. Market Share for Wireless-Service Providers,” in </w:t>
      </w:r>
      <w:r w:rsidRPr="00D40600">
        <w:rPr>
          <w:i/>
        </w:rPr>
        <w:t>Advertising Age: 100 Leading National Advertisers 2011</w:t>
      </w:r>
      <w:r>
        <w:t xml:space="preserve">, June 25, 2012.  </w:t>
      </w:r>
      <w:r w:rsidRPr="00D40600">
        <w:t>According to Advertising Age, while advertising in measured media declined from 2010 to 2011, U.S. ad spending has increased because of an increase in spending on unmeasured media such as search marketing, online video, and certain forms of social media.  Measured media expenditures consists of spending on magazine, newspaper, outdoor, TV, radio, and Internet advertising.</w:t>
      </w:r>
    </w:p>
  </w:footnote>
  <w:footnote w:id="725">
    <w:p w:rsidR="00EC7CF3" w:rsidRDefault="00EC7CF3" w:rsidP="003C780D">
      <w:pPr>
        <w:pStyle w:val="FootnoteText"/>
      </w:pPr>
      <w:r w:rsidRPr="00D40600">
        <w:rPr>
          <w:rStyle w:val="FootnoteReference"/>
          <w:sz w:val="20"/>
        </w:rPr>
        <w:footnoteRef/>
      </w:r>
      <w:r w:rsidRPr="00D40600">
        <w:t xml:space="preserve"> </w:t>
      </w:r>
      <w:r w:rsidRPr="00D40600">
        <w:rPr>
          <w:i/>
        </w:rPr>
        <w:t xml:space="preserve">See Kantar Media Reports U.S. </w:t>
      </w:r>
      <w:r>
        <w:rPr>
          <w:i/>
        </w:rPr>
        <w:t xml:space="preserve"> </w:t>
      </w:r>
      <w:r w:rsidRPr="00D40600">
        <w:rPr>
          <w:i/>
        </w:rPr>
        <w:t>Advertising Expenditures Increased 0.8 Percent in 2011</w:t>
      </w:r>
      <w:r w:rsidRPr="00D40600">
        <w:t xml:space="preserve">, News Release, Kantar Media, Mar. 12, 2012, </w:t>
      </w:r>
      <w:r w:rsidRPr="00D40600">
        <w:rPr>
          <w:i/>
        </w:rPr>
        <w:t>available at</w:t>
      </w:r>
      <w:r w:rsidRPr="00D40600">
        <w:t xml:space="preserve"> </w:t>
      </w:r>
      <w:hyperlink r:id="rId319" w:history="1">
        <w:r w:rsidRPr="00D40600">
          <w:rPr>
            <w:rStyle w:val="Hyperlink"/>
          </w:rPr>
          <w:t>http://kantarmediana.com/intelligence/press/us-advertising-expenditures-increased-08-percent-2011?destination=node%2F24%2Fpress</w:t>
        </w:r>
      </w:hyperlink>
      <w:r w:rsidRPr="00D40600">
        <w:t xml:space="preserve"> (visited August 16, 2012); </w:t>
      </w:r>
      <w:r w:rsidRPr="00D40600">
        <w:rPr>
          <w:i/>
        </w:rPr>
        <w:t xml:space="preserve">See Kantar Media Reports U.S. </w:t>
      </w:r>
      <w:r>
        <w:rPr>
          <w:i/>
        </w:rPr>
        <w:t xml:space="preserve"> </w:t>
      </w:r>
      <w:r w:rsidRPr="00D40600">
        <w:rPr>
          <w:i/>
        </w:rPr>
        <w:t>Advertising Expenditures Increased 6.5 Percent in 2010</w:t>
      </w:r>
      <w:r w:rsidRPr="00D40600">
        <w:t xml:space="preserve">, News Release, Kantar Media, Mar. 12, 2012, </w:t>
      </w:r>
      <w:r w:rsidRPr="00D40600">
        <w:rPr>
          <w:i/>
        </w:rPr>
        <w:t>available at</w:t>
      </w:r>
      <w:r w:rsidRPr="00D40600">
        <w:t xml:space="preserve"> </w:t>
      </w:r>
      <w:hyperlink r:id="rId320" w:history="1">
        <w:r w:rsidRPr="00D40600">
          <w:rPr>
            <w:rStyle w:val="Hyperlink"/>
          </w:rPr>
          <w:t>http://kantarmediana.com/intelligence/press/us-advertising-expenditures-increased-65-percent-2010?destination=node%2F24%2Fpress%3Fpage%3D1</w:t>
        </w:r>
      </w:hyperlink>
      <w:r w:rsidRPr="00D40600">
        <w:t xml:space="preserve"> (visited August 16, 2012).  Due to revisions in Kantar Media data, we are unable to provide an accurate absolute total expenditures figure for 2010 or 2009.</w:t>
      </w:r>
    </w:p>
  </w:footnote>
  <w:footnote w:id="726">
    <w:p w:rsidR="00EC7CF3" w:rsidRDefault="00EC7CF3" w:rsidP="003C780D">
      <w:pPr>
        <w:pStyle w:val="FootnoteText"/>
      </w:pPr>
      <w:r w:rsidRPr="00D40600">
        <w:rPr>
          <w:rStyle w:val="FootnoteReference"/>
          <w:sz w:val="20"/>
        </w:rPr>
        <w:footnoteRef/>
      </w:r>
      <w:r>
        <w:t xml:space="preserve"> “Advertisers by Total U.S.  </w:t>
      </w:r>
      <w:r w:rsidRPr="00D40600">
        <w:t xml:space="preserve">Advertising Spending in 2010,” in </w:t>
      </w:r>
      <w:r w:rsidRPr="00D40600">
        <w:rPr>
          <w:i/>
        </w:rPr>
        <w:t>Advertising Age: 100 Leading National Advertisers 2010</w:t>
      </w:r>
      <w:r w:rsidRPr="00D40600">
        <w:t>, June 20, 2011.</w:t>
      </w:r>
    </w:p>
  </w:footnote>
  <w:footnote w:id="727">
    <w:p w:rsidR="00EC7CF3" w:rsidRDefault="00EC7CF3" w:rsidP="003C780D">
      <w:pPr>
        <w:pStyle w:val="FootnoteText"/>
      </w:pPr>
      <w:r w:rsidRPr="00D40600">
        <w:rPr>
          <w:rStyle w:val="FootnoteReference"/>
          <w:sz w:val="20"/>
        </w:rPr>
        <w:footnoteRef/>
      </w:r>
      <w:r>
        <w:t xml:space="preserve"> “Advertisers by Total U.S.  </w:t>
      </w:r>
      <w:r w:rsidRPr="00D40600">
        <w:t xml:space="preserve">Advertising Spending in 2011,” in </w:t>
      </w:r>
      <w:r w:rsidRPr="00D40600">
        <w:rPr>
          <w:i/>
        </w:rPr>
        <w:t>Advertising Age: 100 Leading National Advertisers 2011</w:t>
      </w:r>
      <w:r w:rsidRPr="00D40600">
        <w:t>, June 25, 2012.</w:t>
      </w:r>
    </w:p>
  </w:footnote>
  <w:footnote w:id="728">
    <w:p w:rsidR="00EC7CF3" w:rsidRDefault="00EC7CF3" w:rsidP="003C780D">
      <w:pPr>
        <w:pStyle w:val="FootnoteText"/>
      </w:pPr>
      <w:r w:rsidRPr="00D40600">
        <w:rPr>
          <w:rStyle w:val="FootnoteReference"/>
          <w:sz w:val="20"/>
        </w:rPr>
        <w:footnoteRef/>
      </w:r>
      <w:r w:rsidRPr="00D40600">
        <w:t xml:space="preserve"> “Top 50 Megabrands, Most-Advertised Brands by Media Spending,” in </w:t>
      </w:r>
      <w:r w:rsidRPr="00D40600">
        <w:rPr>
          <w:i/>
        </w:rPr>
        <w:t>Advertising Age: 100 Leading National Advertisers 2010</w:t>
      </w:r>
      <w:r w:rsidRPr="00D40600">
        <w:t xml:space="preserve">, June 20, 2011; “Top 50 Megabrands, Most-Advertised Brands by Media Spending,” in </w:t>
      </w:r>
      <w:r w:rsidRPr="00D40600">
        <w:rPr>
          <w:i/>
        </w:rPr>
        <w:t>Advertising Age: 100 Leading National Advertisers 2011</w:t>
      </w:r>
      <w:r w:rsidRPr="00D40600">
        <w:t>, June 25, 2012.</w:t>
      </w:r>
    </w:p>
  </w:footnote>
  <w:footnote w:id="729">
    <w:p w:rsidR="00EC7CF3" w:rsidRDefault="00EC7CF3" w:rsidP="003C780D">
      <w:pPr>
        <w:pStyle w:val="FootnoteText"/>
      </w:pPr>
      <w:r w:rsidRPr="00D40600">
        <w:rPr>
          <w:rStyle w:val="FootnoteReference"/>
          <w:sz w:val="20"/>
        </w:rPr>
        <w:footnoteRef/>
      </w:r>
      <w:r w:rsidRPr="00D40600">
        <w:t xml:space="preserve"> “U.S. Market Share for Wireless-Service Providers,” in </w:t>
      </w:r>
      <w:r w:rsidRPr="00D40600">
        <w:rPr>
          <w:i/>
        </w:rPr>
        <w:t>Advertising Age: 100 Leading National Advertisers 2010</w:t>
      </w:r>
      <w:r w:rsidRPr="00D40600">
        <w:t xml:space="preserve">, June 20, 2011; U.S. Market Share for Wireless-Service Providers,” in </w:t>
      </w:r>
      <w:r w:rsidRPr="00D40600">
        <w:rPr>
          <w:i/>
        </w:rPr>
        <w:t>Advertising Age: 100 Leading National Advertisers 2011</w:t>
      </w:r>
      <w:r w:rsidRPr="00D40600">
        <w:t>, June 25, 2012.</w:t>
      </w:r>
    </w:p>
  </w:footnote>
  <w:footnote w:id="730">
    <w:p w:rsidR="00EC7CF3" w:rsidRDefault="00EC7CF3" w:rsidP="003C780D">
      <w:pPr>
        <w:pStyle w:val="FootnoteText"/>
      </w:pPr>
      <w:r w:rsidRPr="00D40600">
        <w:rPr>
          <w:rStyle w:val="FootnoteReference"/>
          <w:sz w:val="20"/>
        </w:rPr>
        <w:footnoteRef/>
      </w:r>
      <w:r w:rsidRPr="00D40600">
        <w:t xml:space="preserve"> </w:t>
      </w:r>
      <w:r w:rsidRPr="00D40600">
        <w:rPr>
          <w:i/>
        </w:rPr>
        <w:t xml:space="preserve">See Kantar Media Reports U.S. </w:t>
      </w:r>
      <w:r>
        <w:rPr>
          <w:i/>
        </w:rPr>
        <w:t xml:space="preserve"> </w:t>
      </w:r>
      <w:r w:rsidRPr="00D40600">
        <w:rPr>
          <w:i/>
        </w:rPr>
        <w:t>Advertising Expenditures Increased 6.5 Percent in 2010</w:t>
      </w:r>
      <w:r w:rsidRPr="00D40600">
        <w:t xml:space="preserve">, News Release, Kantar Media, Mar. 12, 2012, </w:t>
      </w:r>
      <w:r w:rsidRPr="00D40600">
        <w:rPr>
          <w:i/>
        </w:rPr>
        <w:t>available at</w:t>
      </w:r>
      <w:r w:rsidRPr="00D40600">
        <w:t xml:space="preserve"> </w:t>
      </w:r>
      <w:hyperlink r:id="rId321" w:history="1">
        <w:r w:rsidRPr="00D40600">
          <w:rPr>
            <w:rStyle w:val="Hyperlink"/>
          </w:rPr>
          <w:t>http://kantarmediana.com/intelligence/press/us-advertising-expenditures-increased-65-percent-2010?destination=node%2F24%2Fpress%3Fpage%3D1</w:t>
        </w:r>
      </w:hyperlink>
      <w:r w:rsidRPr="00D40600">
        <w:t xml:space="preserve"> (visited August 16, 2012).</w:t>
      </w:r>
    </w:p>
  </w:footnote>
  <w:footnote w:id="731">
    <w:p w:rsidR="00EC7CF3" w:rsidRDefault="00EC7CF3" w:rsidP="003C780D">
      <w:pPr>
        <w:pStyle w:val="FootnoteText"/>
      </w:pPr>
      <w:r w:rsidRPr="00D40600">
        <w:rPr>
          <w:rStyle w:val="FootnoteReference"/>
          <w:sz w:val="20"/>
        </w:rPr>
        <w:footnoteRef/>
      </w:r>
      <w:r w:rsidRPr="00D40600">
        <w:t xml:space="preserve"> </w:t>
      </w:r>
      <w:r w:rsidRPr="00D40600">
        <w:rPr>
          <w:i/>
        </w:rPr>
        <w:t xml:space="preserve">See Kantar Media Reports U.S. </w:t>
      </w:r>
      <w:r>
        <w:rPr>
          <w:i/>
        </w:rPr>
        <w:t xml:space="preserve"> </w:t>
      </w:r>
      <w:r w:rsidRPr="00D40600">
        <w:rPr>
          <w:i/>
        </w:rPr>
        <w:t>Advertising Expenditures Increased 0.8 Percent in 2011</w:t>
      </w:r>
      <w:r w:rsidRPr="00D40600">
        <w:t xml:space="preserve">, News Release, Kantar Media, Mar. 12, 2012, </w:t>
      </w:r>
      <w:r w:rsidRPr="00D40600">
        <w:rPr>
          <w:i/>
        </w:rPr>
        <w:t>available at</w:t>
      </w:r>
      <w:r w:rsidRPr="00D40600">
        <w:t xml:space="preserve"> </w:t>
      </w:r>
      <w:hyperlink r:id="rId322" w:history="1">
        <w:r w:rsidRPr="00D40600">
          <w:rPr>
            <w:rStyle w:val="Hyperlink"/>
          </w:rPr>
          <w:t>http://kantarmediana.com/intelligence/press/us-advertising-expenditures-increased-08-percent-2011?destination=node%2F24%2Fpress</w:t>
        </w:r>
      </w:hyperlink>
      <w:r w:rsidRPr="00D40600">
        <w:t xml:space="preserve"> (visited August 16, 2012).</w:t>
      </w:r>
    </w:p>
  </w:footnote>
  <w:footnote w:id="732">
    <w:p w:rsidR="00EC7CF3" w:rsidRDefault="00EC7CF3" w:rsidP="003C780D">
      <w:pPr>
        <w:pStyle w:val="FootnoteText"/>
      </w:pPr>
      <w:r w:rsidRPr="00D40600">
        <w:rPr>
          <w:rStyle w:val="FootnoteReference"/>
          <w:sz w:val="20"/>
        </w:rPr>
        <w:footnoteRef/>
      </w:r>
      <w:r w:rsidRPr="00D40600">
        <w:t xml:space="preserve"> </w:t>
      </w:r>
      <w:r w:rsidRPr="00D40600">
        <w:rPr>
          <w:i/>
        </w:rPr>
        <w:t>See</w:t>
      </w:r>
      <w:r w:rsidRPr="00D40600">
        <w:t xml:space="preserve"> </w:t>
      </w:r>
      <w:r w:rsidRPr="00D40600">
        <w:rPr>
          <w:i/>
        </w:rPr>
        <w:t>Fourteenth Report</w:t>
      </w:r>
      <w:r w:rsidRPr="00D40600">
        <w:t>, 25 FCC at 11493 ¶ 132.</w:t>
      </w:r>
    </w:p>
  </w:footnote>
  <w:footnote w:id="733">
    <w:p w:rsidR="00EC7CF3" w:rsidRDefault="00EC7CF3" w:rsidP="003C780D">
      <w:pPr>
        <w:pStyle w:val="FootnoteText"/>
      </w:pPr>
      <w:r w:rsidRPr="00D40600">
        <w:rPr>
          <w:rStyle w:val="FootnoteReference"/>
          <w:sz w:val="20"/>
        </w:rPr>
        <w:footnoteRef/>
      </w:r>
      <w:r w:rsidRPr="00D40600">
        <w:t xml:space="preserve"> </w:t>
      </w:r>
      <w:r w:rsidRPr="00D40600">
        <w:rPr>
          <w:i/>
        </w:rPr>
        <w:t>See</w:t>
      </w:r>
      <w:r w:rsidRPr="00D40600">
        <w:t xml:space="preserve"> </w:t>
      </w:r>
      <w:r w:rsidRPr="00D40600">
        <w:rPr>
          <w:kern w:val="36"/>
        </w:rPr>
        <w:t xml:space="preserve">Kunur Patel, </w:t>
      </w:r>
      <w:r w:rsidRPr="00D40600">
        <w:rPr>
          <w:i/>
          <w:kern w:val="36"/>
        </w:rPr>
        <w:t>Sprint Claims 'First' Title With Launch of 4G Phone</w:t>
      </w:r>
      <w:r w:rsidRPr="00D40600">
        <w:rPr>
          <w:kern w:val="36"/>
        </w:rPr>
        <w:t xml:space="preserve">, </w:t>
      </w:r>
      <w:r w:rsidRPr="00D40600">
        <w:rPr>
          <w:smallCaps/>
          <w:kern w:val="36"/>
        </w:rPr>
        <w:t>Advertising Age</w:t>
      </w:r>
      <w:r w:rsidRPr="00D40600">
        <w:rPr>
          <w:kern w:val="36"/>
        </w:rPr>
        <w:t xml:space="preserve">, June 02, 2010, </w:t>
      </w:r>
      <w:r w:rsidRPr="00D40600">
        <w:rPr>
          <w:i/>
          <w:kern w:val="36"/>
        </w:rPr>
        <w:t>available at</w:t>
      </w:r>
      <w:r w:rsidRPr="00D40600">
        <w:rPr>
          <w:kern w:val="36"/>
        </w:rPr>
        <w:t xml:space="preserve"> </w:t>
      </w:r>
      <w:hyperlink r:id="rId323" w:history="1">
        <w:r w:rsidRPr="00D40600">
          <w:rPr>
            <w:rStyle w:val="Hyperlink"/>
            <w:kern w:val="36"/>
          </w:rPr>
          <w:t>http://adage.com/article/digital/sprint-claims-title-launch-4g-phone/144194/</w:t>
        </w:r>
      </w:hyperlink>
      <w:r w:rsidRPr="00D40600">
        <w:rPr>
          <w:kern w:val="36"/>
        </w:rPr>
        <w:t xml:space="preserve">  </w:t>
      </w:r>
      <w:r w:rsidRPr="00D40600">
        <w:t>(visited Oct. 16, 2012)</w:t>
      </w:r>
      <w:r w:rsidRPr="00D40600">
        <w:rPr>
          <w:kern w:val="36"/>
        </w:rPr>
        <w:t xml:space="preserve">; </w:t>
      </w:r>
      <w:r w:rsidRPr="00D40600">
        <w:rPr>
          <w:color w:val="000000"/>
        </w:rPr>
        <w:t xml:space="preserve">Sue Marek, </w:t>
      </w:r>
      <w:r w:rsidRPr="00D40600">
        <w:rPr>
          <w:i/>
        </w:rPr>
        <w:t>Battle Erupts Over T-Mobile’s ‘Largest 4G Network’ Claims</w:t>
      </w:r>
      <w:r w:rsidRPr="00D40600">
        <w:t xml:space="preserve">, </w:t>
      </w:r>
      <w:r w:rsidRPr="00D40600">
        <w:rPr>
          <w:smallCaps/>
        </w:rPr>
        <w:t>FierceWireless</w:t>
      </w:r>
      <w:r w:rsidRPr="00D40600">
        <w:t xml:space="preserve">, November 02, 2010, </w:t>
      </w:r>
      <w:r w:rsidRPr="00D40600">
        <w:rPr>
          <w:i/>
        </w:rPr>
        <w:t>available at</w:t>
      </w:r>
      <w:r w:rsidRPr="00D40600">
        <w:t xml:space="preserve"> </w:t>
      </w:r>
      <w:hyperlink r:id="rId324" w:history="1">
        <w:r w:rsidRPr="00D40600">
          <w:rPr>
            <w:rStyle w:val="Hyperlink"/>
          </w:rPr>
          <w:t>http://www.fiercewireless.com/story/battle-erupts-over-t-mobiles-largest-4g-network-claims/2010-11-02</w:t>
        </w:r>
      </w:hyperlink>
      <w:r w:rsidRPr="00D40600">
        <w:t xml:space="preserve"> (visited Oct. 16, 2012).</w:t>
      </w:r>
    </w:p>
  </w:footnote>
  <w:footnote w:id="734">
    <w:p w:rsidR="00EC7CF3" w:rsidRDefault="00EC7CF3" w:rsidP="003C780D">
      <w:pPr>
        <w:pStyle w:val="FootnoteText"/>
      </w:pPr>
      <w:r w:rsidRPr="00D40600">
        <w:rPr>
          <w:rStyle w:val="FootnoteReference"/>
          <w:sz w:val="20"/>
        </w:rPr>
        <w:footnoteRef/>
      </w:r>
      <w:r w:rsidRPr="00D40600">
        <w:t xml:space="preserve"> </w:t>
      </w:r>
      <w:r w:rsidRPr="00D40600">
        <w:rPr>
          <w:i/>
        </w:rPr>
        <w:t>See</w:t>
      </w:r>
      <w:r w:rsidRPr="00D40600">
        <w:t xml:space="preserve"> Mike Dano, </w:t>
      </w:r>
      <w:r w:rsidRPr="00D40600">
        <w:rPr>
          <w:i/>
        </w:rPr>
        <w:t>AT&amp;T, T-Mobile Wrangling Over Who Has the Largest 4G Network</w:t>
      </w:r>
      <w:r w:rsidRPr="00D40600">
        <w:t xml:space="preserve">, </w:t>
      </w:r>
      <w:r w:rsidRPr="00D40600">
        <w:rPr>
          <w:smallCaps/>
        </w:rPr>
        <w:t>FierceWireless</w:t>
      </w:r>
      <w:r w:rsidRPr="00D40600">
        <w:t xml:space="preserve">, April 18, 2012, </w:t>
      </w:r>
      <w:r w:rsidRPr="00D40600">
        <w:rPr>
          <w:i/>
        </w:rPr>
        <w:t>available at</w:t>
      </w:r>
      <w:r w:rsidRPr="00D40600">
        <w:t xml:space="preserve"> </w:t>
      </w:r>
      <w:hyperlink r:id="rId325" w:history="1">
        <w:r w:rsidRPr="00D40600">
          <w:rPr>
            <w:rStyle w:val="Hyperlink"/>
          </w:rPr>
          <w:t>http://www.fiercewireless.com/story/att-t-mobile-wrangling-over-who-has-largest-4g-network/2012-04-18</w:t>
        </w:r>
      </w:hyperlink>
      <w:r w:rsidRPr="00D40600">
        <w:t xml:space="preserve">  (visited Oct. 16, 2012).</w:t>
      </w:r>
    </w:p>
  </w:footnote>
  <w:footnote w:id="735">
    <w:p w:rsidR="00EC7CF3" w:rsidRDefault="00EC7CF3" w:rsidP="003C780D">
      <w:pPr>
        <w:pStyle w:val="FootnoteText"/>
      </w:pPr>
      <w:r w:rsidRPr="00D40600">
        <w:rPr>
          <w:rStyle w:val="FootnoteReference"/>
          <w:sz w:val="20"/>
        </w:rPr>
        <w:footnoteRef/>
      </w:r>
      <w:r w:rsidRPr="00D40600">
        <w:t xml:space="preserve"> Phil Goldstein, </w:t>
      </w:r>
      <w:r w:rsidRPr="00D40600">
        <w:rPr>
          <w:i/>
        </w:rPr>
        <w:t>Verizon Challenges Other Carriers’ Network Speeds in ‘4G Throw Down,’</w:t>
      </w:r>
      <w:r w:rsidRPr="00D40600">
        <w:t xml:space="preserve"> </w:t>
      </w:r>
      <w:r w:rsidRPr="00D40600">
        <w:rPr>
          <w:smallCaps/>
        </w:rPr>
        <w:t>FierceWireless</w:t>
      </w:r>
      <w:r w:rsidRPr="00D40600">
        <w:t xml:space="preserve">, Apr. 5, 2012, </w:t>
      </w:r>
      <w:r w:rsidRPr="00D40600">
        <w:rPr>
          <w:i/>
        </w:rPr>
        <w:t>available at</w:t>
      </w:r>
      <w:r w:rsidRPr="00D40600">
        <w:t xml:space="preserve"> </w:t>
      </w:r>
      <w:hyperlink r:id="rId326" w:history="1">
        <w:r w:rsidRPr="00D40600">
          <w:rPr>
            <w:rStyle w:val="Hyperlink"/>
          </w:rPr>
          <w:t>http://www.fiercewireless.com/story/verizon-challenges-other-carriers-network-speeds-4g-throw-down/2012-04-05</w:t>
        </w:r>
      </w:hyperlink>
      <w:r w:rsidRPr="00D40600">
        <w:t xml:space="preserve"> (visited Oct. 16, 2012).</w:t>
      </w:r>
    </w:p>
  </w:footnote>
  <w:footnote w:id="736">
    <w:p w:rsidR="00EC7CF3" w:rsidRDefault="00EC7CF3" w:rsidP="003C780D">
      <w:pPr>
        <w:pStyle w:val="FootnoteText"/>
      </w:pPr>
      <w:r w:rsidRPr="00D40600">
        <w:rPr>
          <w:rStyle w:val="FootnoteReference"/>
          <w:sz w:val="20"/>
        </w:rPr>
        <w:footnoteRef/>
      </w:r>
      <w:r w:rsidRPr="00D40600">
        <w:t xml:space="preserve"> </w:t>
      </w:r>
      <w:r w:rsidRPr="00D40600">
        <w:rPr>
          <w:rStyle w:val="byline"/>
        </w:rPr>
        <w:t>David Gianatasio</w:t>
      </w:r>
      <w:r w:rsidRPr="00D40600">
        <w:t xml:space="preserve">, </w:t>
      </w:r>
      <w:r w:rsidRPr="00D40600">
        <w:rPr>
          <w:i/>
        </w:rPr>
        <w:t>Surprise! Diaper Dad Is a Hapless Moron in AT&amp;T's New Ad</w:t>
      </w:r>
      <w:r w:rsidRPr="00D40600">
        <w:t xml:space="preserve">, </w:t>
      </w:r>
      <w:r w:rsidRPr="00D40600">
        <w:rPr>
          <w:smallCaps/>
        </w:rPr>
        <w:t>AdWeek</w:t>
      </w:r>
      <w:r w:rsidRPr="00D40600">
        <w:t xml:space="preserve">, Sept. 9 2011, </w:t>
      </w:r>
      <w:r w:rsidRPr="00D40600">
        <w:rPr>
          <w:i/>
        </w:rPr>
        <w:t xml:space="preserve">available at </w:t>
      </w:r>
      <w:r w:rsidRPr="00D40600">
        <w:t xml:space="preserve"> </w:t>
      </w:r>
      <w:hyperlink r:id="rId327" w:history="1">
        <w:r w:rsidRPr="00D40600">
          <w:rPr>
            <w:rStyle w:val="Hyperlink"/>
          </w:rPr>
          <w:t>http://www.adweek.com/adfreak/surprise-diaper-dad-hapless-moron-atts-new-ad-134702</w:t>
        </w:r>
      </w:hyperlink>
      <w:r w:rsidRPr="00D40600">
        <w:t xml:space="preserve"> (visited Oct. 16, 2012); David Kiefaber, Single Grunt From Random Actor Makes AT&amp;T Spot Explode, </w:t>
      </w:r>
      <w:r w:rsidRPr="00D40600">
        <w:rPr>
          <w:smallCaps/>
        </w:rPr>
        <w:t>AdWeek</w:t>
      </w:r>
      <w:r w:rsidRPr="00D40600">
        <w:t xml:space="preserve">, Nov. 10, 2011, </w:t>
      </w:r>
      <w:r w:rsidRPr="00432F46">
        <w:rPr>
          <w:i/>
        </w:rPr>
        <w:t>available a</w:t>
      </w:r>
      <w:r w:rsidRPr="00D40600">
        <w:t xml:space="preserve">t </w:t>
      </w:r>
      <w:hyperlink r:id="rId328" w:history="1">
        <w:r w:rsidRPr="00D40600">
          <w:rPr>
            <w:rStyle w:val="Hyperlink"/>
          </w:rPr>
          <w:t>http://www.adweek.com/adfreak/single-grunt-random-actor-makes-att-spot-explode-136465</w:t>
        </w:r>
      </w:hyperlink>
      <w:r w:rsidRPr="00D40600">
        <w:t xml:space="preserve"> (visited Oct. 16, 2012); David Kiefaber, </w:t>
      </w:r>
      <w:r w:rsidRPr="00D40600">
        <w:rPr>
          <w:i/>
        </w:rPr>
        <w:t>For AT&amp;T, Romantic Dinners Are About Love of the Game</w:t>
      </w:r>
      <w:r w:rsidRPr="00D40600">
        <w:t xml:space="preserve">, </w:t>
      </w:r>
      <w:r w:rsidRPr="00D40600">
        <w:rPr>
          <w:smallCaps/>
        </w:rPr>
        <w:t>AdWeek</w:t>
      </w:r>
      <w:r w:rsidRPr="00D40600">
        <w:t xml:space="preserve">, Nov. 21, 2011, </w:t>
      </w:r>
      <w:r w:rsidRPr="00D40600">
        <w:rPr>
          <w:i/>
        </w:rPr>
        <w:t>available at</w:t>
      </w:r>
      <w:r w:rsidRPr="00D40600">
        <w:t xml:space="preserve"> </w:t>
      </w:r>
      <w:hyperlink r:id="rId329" w:history="1">
        <w:r w:rsidRPr="00D40600">
          <w:rPr>
            <w:rStyle w:val="Hyperlink"/>
          </w:rPr>
          <w:t>http://www.adweek.com/adfreak/att-romantic-dinners-are-about-love-game-136652</w:t>
        </w:r>
      </w:hyperlink>
      <w:r w:rsidRPr="00D40600">
        <w:t xml:space="preserve">  (visited Oct. 16, 2012).</w:t>
      </w:r>
    </w:p>
  </w:footnote>
  <w:footnote w:id="737">
    <w:p w:rsidR="00EC7CF3" w:rsidRDefault="00EC7CF3" w:rsidP="003C780D">
      <w:pPr>
        <w:pStyle w:val="FootnoteText"/>
      </w:pPr>
      <w:r w:rsidRPr="00D40600">
        <w:rPr>
          <w:rStyle w:val="FootnoteReference"/>
          <w:sz w:val="20"/>
        </w:rPr>
        <w:footnoteRef/>
      </w:r>
      <w:r w:rsidRPr="00D40600">
        <w:t xml:space="preserve"> </w:t>
      </w:r>
      <w:r w:rsidRPr="00D40600">
        <w:rPr>
          <w:i/>
        </w:rPr>
        <w:t>See</w:t>
      </w:r>
      <w:r w:rsidRPr="00D40600">
        <w:t xml:space="preserve"> Rebecca Cullers, </w:t>
      </w:r>
      <w:r w:rsidRPr="00D40600">
        <w:rPr>
          <w:i/>
        </w:rPr>
        <w:t>AT&amp;T Fools Cute and Gullible Animals With the Samsung Infuse</w:t>
      </w:r>
      <w:r w:rsidRPr="00D40600">
        <w:t xml:space="preserve">, </w:t>
      </w:r>
      <w:r w:rsidRPr="00D40600">
        <w:rPr>
          <w:smallCaps/>
        </w:rPr>
        <w:t>AdWeek</w:t>
      </w:r>
      <w:r w:rsidRPr="00D40600">
        <w:t xml:space="preserve">, June 15, 2011, </w:t>
      </w:r>
      <w:r w:rsidRPr="00D40600">
        <w:rPr>
          <w:i/>
        </w:rPr>
        <w:t>available at</w:t>
      </w:r>
      <w:r w:rsidRPr="00D40600">
        <w:t xml:space="preserve"> </w:t>
      </w:r>
      <w:hyperlink r:id="rId330" w:history="1">
        <w:r w:rsidRPr="00D40600">
          <w:rPr>
            <w:rStyle w:val="Hyperlink"/>
          </w:rPr>
          <w:t>http://www.adweek.com/adfreak/att-fools-cute-and-gullible-animals-samsung-infuse-132579</w:t>
        </w:r>
      </w:hyperlink>
      <w:r w:rsidRPr="00D40600">
        <w:t xml:space="preserve"> (visited Oct. 16, 2012); Kunur Patel, </w:t>
      </w:r>
      <w:r w:rsidRPr="00D40600">
        <w:rPr>
          <w:i/>
        </w:rPr>
        <w:t>Why AT&amp;T Is Spending More on Lumia Launch Than It Did on iPhone</w:t>
      </w:r>
      <w:r w:rsidRPr="00D40600">
        <w:t xml:space="preserve">, </w:t>
      </w:r>
      <w:r w:rsidRPr="00D40600">
        <w:rPr>
          <w:smallCaps/>
        </w:rPr>
        <w:t>Advertising Age</w:t>
      </w:r>
      <w:r w:rsidRPr="00D40600">
        <w:t xml:space="preserve">, Apr. 9, 2012, </w:t>
      </w:r>
      <w:r w:rsidRPr="00D40600">
        <w:rPr>
          <w:i/>
        </w:rPr>
        <w:t>available at</w:t>
      </w:r>
      <w:r w:rsidRPr="00D40600">
        <w:t xml:space="preserve"> </w:t>
      </w:r>
      <w:hyperlink r:id="rId331" w:history="1">
        <w:r w:rsidRPr="00D40600">
          <w:rPr>
            <w:rStyle w:val="Hyperlink"/>
          </w:rPr>
          <w:t>http://adage.com/article/digital/t-spending-lumia-launch-iphone/234010/</w:t>
        </w:r>
      </w:hyperlink>
      <w:r w:rsidRPr="00D40600">
        <w:t xml:space="preserve">  (visited Oct. 16, 2012).</w:t>
      </w:r>
    </w:p>
  </w:footnote>
  <w:footnote w:id="738">
    <w:p w:rsidR="00EC7CF3" w:rsidRDefault="00EC7CF3" w:rsidP="003C780D">
      <w:pPr>
        <w:pStyle w:val="FootnoteText"/>
      </w:pPr>
      <w:r w:rsidRPr="00D40600">
        <w:rPr>
          <w:rStyle w:val="FootnoteReference"/>
          <w:sz w:val="20"/>
        </w:rPr>
        <w:footnoteRef/>
      </w:r>
      <w:r w:rsidRPr="00D40600">
        <w:t xml:space="preserve"> </w:t>
      </w:r>
      <w:r w:rsidRPr="00D40600">
        <w:rPr>
          <w:i/>
        </w:rPr>
        <w:t>See</w:t>
      </w:r>
      <w:r w:rsidRPr="00D40600">
        <w:t xml:space="preserve"> Mike Chapman, </w:t>
      </w:r>
      <w:r w:rsidRPr="00D40600">
        <w:rPr>
          <w:i/>
        </w:rPr>
        <w:t>Ad of the Day: Verizon Wireless, ‘Lemonade,’</w:t>
      </w:r>
      <w:r w:rsidRPr="00D40600">
        <w:t xml:space="preserve"> AdWeek, April 13, 2011, </w:t>
      </w:r>
      <w:r w:rsidRPr="00D40600">
        <w:rPr>
          <w:i/>
        </w:rPr>
        <w:t>available at</w:t>
      </w:r>
      <w:r w:rsidRPr="00D40600">
        <w:t xml:space="preserve"> </w:t>
      </w:r>
      <w:hyperlink r:id="rId332" w:history="1">
        <w:r w:rsidRPr="00D40600">
          <w:rPr>
            <w:rStyle w:val="Hyperlink"/>
          </w:rPr>
          <w:t>http://www.adweek.com/news/advertising-branding/ad-day-verizon-wireless-lemonade-129362</w:t>
        </w:r>
      </w:hyperlink>
      <w:r w:rsidRPr="00D40600">
        <w:t xml:space="preserve"> (visited Oct. 16, 2012).</w:t>
      </w:r>
    </w:p>
  </w:footnote>
  <w:footnote w:id="739">
    <w:p w:rsidR="00EC7CF3" w:rsidRDefault="00EC7CF3" w:rsidP="003C780D">
      <w:pPr>
        <w:pStyle w:val="FootnoteText"/>
      </w:pPr>
      <w:r w:rsidRPr="00D40600">
        <w:rPr>
          <w:rStyle w:val="FootnoteReference"/>
          <w:sz w:val="20"/>
        </w:rPr>
        <w:footnoteRef/>
      </w:r>
      <w:r w:rsidRPr="00D40600">
        <w:t xml:space="preserve"> </w:t>
      </w:r>
      <w:r w:rsidRPr="00D40600">
        <w:rPr>
          <w:i/>
        </w:rPr>
        <w:t>See</w:t>
      </w:r>
      <w:r w:rsidRPr="00D40600">
        <w:t xml:space="preserve"> </w:t>
      </w:r>
      <w:r w:rsidRPr="00D40600">
        <w:rPr>
          <w:i/>
        </w:rPr>
        <w:t>Fifteenth Report</w:t>
      </w:r>
      <w:r w:rsidRPr="00D40600">
        <w:t xml:space="preserve">, 26 FCC Rcd at 9750  ¶ 135; Gabriel Beltrone, </w:t>
      </w:r>
      <w:r w:rsidRPr="00D40600">
        <w:rPr>
          <w:i/>
        </w:rPr>
        <w:t>Ad of the Day: Verizon A Foxy Space Warrior Builds Motorola’s Droid Bionic From the Innards of a Rampaging Killer Cyborg</w:t>
      </w:r>
      <w:r w:rsidRPr="00D40600">
        <w:t xml:space="preserve">, AdWeek, September 13, 2011, </w:t>
      </w:r>
      <w:r w:rsidRPr="00D40600">
        <w:rPr>
          <w:i/>
        </w:rPr>
        <w:t>available at</w:t>
      </w:r>
      <w:r w:rsidRPr="00D40600">
        <w:t xml:space="preserve"> </w:t>
      </w:r>
      <w:hyperlink r:id="rId333" w:history="1">
        <w:r w:rsidRPr="00D40600">
          <w:rPr>
            <w:rStyle w:val="Hyperlink"/>
          </w:rPr>
          <w:t>http://www.adweek.com/news/advertising-branding/ad-day-verizon-134822</w:t>
        </w:r>
      </w:hyperlink>
      <w:r w:rsidRPr="00D40600">
        <w:t xml:space="preserve"> (visited Oct. 16, 2012).</w:t>
      </w:r>
    </w:p>
  </w:footnote>
  <w:footnote w:id="740">
    <w:p w:rsidR="00EC7CF3" w:rsidRDefault="00EC7CF3" w:rsidP="003C780D">
      <w:pPr>
        <w:pStyle w:val="FootnoteText"/>
      </w:pPr>
      <w:r w:rsidRPr="00D40600">
        <w:rPr>
          <w:rStyle w:val="FootnoteReference"/>
          <w:sz w:val="20"/>
        </w:rPr>
        <w:footnoteRef/>
      </w:r>
      <w:r w:rsidRPr="00D40600">
        <w:t xml:space="preserve"> </w:t>
      </w:r>
      <w:r w:rsidRPr="00D40600">
        <w:rPr>
          <w:i/>
        </w:rPr>
        <w:t>See</w:t>
      </w:r>
      <w:r w:rsidRPr="00D40600">
        <w:t xml:space="preserve"> </w:t>
      </w:r>
      <w:r w:rsidRPr="00D40600">
        <w:rPr>
          <w:i/>
        </w:rPr>
        <w:t>iPhone 4 Arrives On the Nation’s Most Reliable Network on Thursday</w:t>
      </w:r>
      <w:r w:rsidRPr="00D40600">
        <w:t xml:space="preserve">, News Release, Verizon Wireless News Center, February 7, 2011, </w:t>
      </w:r>
      <w:r w:rsidRPr="00D40600">
        <w:rPr>
          <w:i/>
        </w:rPr>
        <w:t>available at</w:t>
      </w:r>
      <w:r w:rsidRPr="00D40600">
        <w:t xml:space="preserve"> </w:t>
      </w:r>
      <w:hyperlink r:id="rId334" w:history="1">
        <w:r w:rsidRPr="00D40600">
          <w:rPr>
            <w:rStyle w:val="Hyperlink"/>
          </w:rPr>
          <w:t>http://news.verizonwireless.com/news/2011/02/pr2011-02-06.html</w:t>
        </w:r>
      </w:hyperlink>
      <w:r w:rsidRPr="00D40600">
        <w:t xml:space="preserve"> (visited Oct. 16, 2012); Eleftheria Parpis; </w:t>
      </w:r>
      <w:r w:rsidRPr="00D40600">
        <w:rPr>
          <w:i/>
        </w:rPr>
        <w:t>Verizon “It Begins,”</w:t>
      </w:r>
      <w:r w:rsidRPr="00D40600">
        <w:t xml:space="preserve"> AdWeek, January 21, 2011, </w:t>
      </w:r>
      <w:r w:rsidRPr="00D40600">
        <w:rPr>
          <w:i/>
        </w:rPr>
        <w:t>available at</w:t>
      </w:r>
      <w:r w:rsidRPr="00D40600">
        <w:t xml:space="preserve"> </w:t>
      </w:r>
      <w:hyperlink r:id="rId335" w:history="1">
        <w:r w:rsidRPr="00D40600">
          <w:rPr>
            <w:rStyle w:val="Hyperlink"/>
          </w:rPr>
          <w:t>http://www.adweek.com/news/advertising-branding/verizon-it-begins-130455</w:t>
        </w:r>
      </w:hyperlink>
      <w:r w:rsidRPr="00D40600">
        <w:t xml:space="preserve"> (visited Oct. 16, 2012); </w:t>
      </w:r>
      <w:r w:rsidRPr="00D40600">
        <w:rPr>
          <w:bCs/>
          <w:spacing w:val="6"/>
        </w:rPr>
        <w:t xml:space="preserve">Kunur Patel, </w:t>
      </w:r>
      <w:r w:rsidRPr="00D40600">
        <w:rPr>
          <w:bCs/>
          <w:i/>
          <w:spacing w:val="6"/>
        </w:rPr>
        <w:t>Reports of Verizon Guy's Demise (Slightly) Exaggerated</w:t>
      </w:r>
      <w:r w:rsidRPr="00D40600">
        <w:rPr>
          <w:bCs/>
          <w:spacing w:val="6"/>
        </w:rPr>
        <w:t xml:space="preserve">, AdvertisingAge, April 14, 2011, </w:t>
      </w:r>
      <w:r w:rsidRPr="00D40600">
        <w:rPr>
          <w:bCs/>
          <w:i/>
          <w:spacing w:val="6"/>
        </w:rPr>
        <w:t>available at</w:t>
      </w:r>
      <w:r w:rsidRPr="00D40600">
        <w:rPr>
          <w:bCs/>
          <w:spacing w:val="6"/>
        </w:rPr>
        <w:t xml:space="preserve"> </w:t>
      </w:r>
      <w:hyperlink r:id="rId336" w:history="1">
        <w:r w:rsidRPr="00D40600">
          <w:rPr>
            <w:rStyle w:val="Hyperlink"/>
            <w:spacing w:val="6"/>
          </w:rPr>
          <w:t>http://adage.com/article/news/reports-verizon-guy-s-demise-slightly-exaggerated/227001/</w:t>
        </w:r>
      </w:hyperlink>
      <w:r w:rsidRPr="00D40600">
        <w:t>(visited Oct. 16, 2012)</w:t>
      </w:r>
      <w:r w:rsidRPr="00D40600">
        <w:rPr>
          <w:spacing w:val="6"/>
        </w:rPr>
        <w:t>.</w:t>
      </w:r>
    </w:p>
  </w:footnote>
  <w:footnote w:id="741">
    <w:p w:rsidR="00EC7CF3" w:rsidRDefault="00EC7CF3" w:rsidP="003C780D">
      <w:pPr>
        <w:pStyle w:val="FootnoteText"/>
      </w:pPr>
      <w:r w:rsidRPr="00D40600">
        <w:rPr>
          <w:rStyle w:val="FootnoteReference"/>
          <w:sz w:val="20"/>
        </w:rPr>
        <w:footnoteRef/>
      </w:r>
      <w:r w:rsidRPr="00D40600">
        <w:t xml:space="preserve"> </w:t>
      </w:r>
      <w:r w:rsidRPr="00D40600">
        <w:rPr>
          <w:i/>
        </w:rPr>
        <w:t>See</w:t>
      </w:r>
      <w:r w:rsidRPr="00D40600">
        <w:t xml:space="preserve"> David Gianatasio, </w:t>
      </w:r>
      <w:r w:rsidRPr="00D40600">
        <w:rPr>
          <w:i/>
        </w:rPr>
        <w:t>Sprint Users Always On, Always Out of Touch</w:t>
      </w:r>
      <w:r w:rsidRPr="00D40600">
        <w:t xml:space="preserve">, AdWeek, February 03, 2011, </w:t>
      </w:r>
      <w:r w:rsidRPr="00D40600">
        <w:rPr>
          <w:i/>
        </w:rPr>
        <w:t>available at</w:t>
      </w:r>
      <w:r w:rsidRPr="00D40600">
        <w:t xml:space="preserve"> </w:t>
      </w:r>
      <w:hyperlink r:id="rId337" w:history="1">
        <w:r w:rsidRPr="00D40600">
          <w:rPr>
            <w:rStyle w:val="Hyperlink"/>
          </w:rPr>
          <w:t>http://www.adweek.com/adfreak/sprint-users-always-always-out-touch-11613</w:t>
        </w:r>
      </w:hyperlink>
      <w:r w:rsidRPr="00D40600">
        <w:t xml:space="preserve"> (visited Oct. 16, 2012).</w:t>
      </w:r>
    </w:p>
  </w:footnote>
  <w:footnote w:id="742">
    <w:p w:rsidR="00EC7CF3" w:rsidRDefault="00EC7CF3" w:rsidP="003C780D">
      <w:pPr>
        <w:pStyle w:val="FootnoteText"/>
      </w:pPr>
      <w:r w:rsidRPr="00D40600">
        <w:rPr>
          <w:rStyle w:val="FootnoteReference"/>
          <w:sz w:val="20"/>
        </w:rPr>
        <w:footnoteRef/>
      </w:r>
      <w:r w:rsidRPr="00D40600">
        <w:t xml:space="preserve"> </w:t>
      </w:r>
      <w:r w:rsidRPr="00D40600">
        <w:rPr>
          <w:i/>
        </w:rPr>
        <w:t>See</w:t>
      </w:r>
      <w:r w:rsidRPr="00D40600">
        <w:t xml:space="preserve"> </w:t>
      </w:r>
      <w:r w:rsidRPr="00D40600">
        <w:rPr>
          <w:i/>
        </w:rPr>
        <w:t xml:space="preserve">Sprint Statement on Launch Day Sales of iPhone 4S and iPhone </w:t>
      </w:r>
      <w:r w:rsidRPr="00D40600">
        <w:t xml:space="preserve">4, News Release, Sprint Newsroom, October 14, 2011, </w:t>
      </w:r>
      <w:r w:rsidRPr="00D40600">
        <w:rPr>
          <w:i/>
        </w:rPr>
        <w:t>available at</w:t>
      </w:r>
      <w:r w:rsidRPr="00D40600">
        <w:t xml:space="preserve"> </w:t>
      </w:r>
      <w:hyperlink r:id="rId338" w:history="1">
        <w:r w:rsidRPr="00D40600">
          <w:rPr>
            <w:rStyle w:val="Hyperlink"/>
          </w:rPr>
          <w:t>http://newsroom.sprint.com/article_display.cfm?article_id=2073</w:t>
        </w:r>
      </w:hyperlink>
      <w:r w:rsidRPr="00D40600">
        <w:t xml:space="preserve"> (visited May 16, 2012); Unlimited</w:t>
      </w:r>
      <w:r w:rsidRPr="00D40600">
        <w:rPr>
          <w:i/>
        </w:rPr>
        <w:t xml:space="preserve"> iPhone</w:t>
      </w:r>
      <w:r w:rsidRPr="00D40600">
        <w:t xml:space="preserve">, YouTube, Nov 29, 2011, </w:t>
      </w:r>
      <w:r w:rsidRPr="00D40600">
        <w:rPr>
          <w:i/>
        </w:rPr>
        <w:t>available at</w:t>
      </w:r>
      <w:r w:rsidRPr="00D40600">
        <w:t xml:space="preserve"> </w:t>
      </w:r>
      <w:hyperlink r:id="rId339" w:history="1">
        <w:r w:rsidRPr="00D40600">
          <w:rPr>
            <w:rStyle w:val="Hyperlink"/>
          </w:rPr>
          <w:t>http://www.youtube.com/watch?v=sOLm23MBWXI&amp;feature=plcp</w:t>
        </w:r>
      </w:hyperlink>
      <w:r w:rsidRPr="00D40600">
        <w:t xml:space="preserve"> (visited Oct. 16, 2012). </w:t>
      </w:r>
    </w:p>
  </w:footnote>
  <w:footnote w:id="743">
    <w:p w:rsidR="00EC7CF3" w:rsidRDefault="00EC7CF3" w:rsidP="003C780D">
      <w:pPr>
        <w:pStyle w:val="FootnoteText"/>
      </w:pPr>
      <w:r w:rsidRPr="00D40600">
        <w:rPr>
          <w:rStyle w:val="FootnoteReference"/>
          <w:sz w:val="20"/>
        </w:rPr>
        <w:footnoteRef/>
      </w:r>
      <w:r w:rsidRPr="00D40600">
        <w:t xml:space="preserve"> </w:t>
      </w:r>
      <w:r w:rsidRPr="00D40600">
        <w:rPr>
          <w:i/>
        </w:rPr>
        <w:t>See</w:t>
      </w:r>
      <w:r w:rsidRPr="00D40600">
        <w:t xml:space="preserve"> Gabriel Beltrone, </w:t>
      </w:r>
      <w:r w:rsidRPr="00D40600">
        <w:rPr>
          <w:i/>
        </w:rPr>
        <w:t>Sprint Nextel, “Dictionary,”</w:t>
      </w:r>
      <w:r w:rsidRPr="00D40600">
        <w:t xml:space="preserve"> AdWeek, March 18, 2011,</w:t>
      </w:r>
      <w:r w:rsidRPr="00432F46">
        <w:rPr>
          <w:i/>
        </w:rPr>
        <w:t xml:space="preserve"> available at </w:t>
      </w:r>
      <w:hyperlink r:id="rId340" w:history="1">
        <w:r w:rsidRPr="00D40600">
          <w:rPr>
            <w:rStyle w:val="Hyperlink"/>
          </w:rPr>
          <w:t>http://www.adweek.com/news/advertising-branding/sprint-dictionary-130495</w:t>
        </w:r>
      </w:hyperlink>
      <w:r w:rsidRPr="00D40600">
        <w:t xml:space="preserve"> (visited Oct. 16, 2012); Gabriel Beltrone, </w:t>
      </w:r>
      <w:r w:rsidRPr="00D40600">
        <w:rPr>
          <w:i/>
        </w:rPr>
        <w:t>Team Sprint’s First TV Spot Stars Durant</w:t>
      </w:r>
      <w:r w:rsidRPr="00D40600">
        <w:t xml:space="preserve">, AdWeek, March 01, 2012, </w:t>
      </w:r>
      <w:r w:rsidRPr="00D40600">
        <w:rPr>
          <w:i/>
        </w:rPr>
        <w:t>available at</w:t>
      </w:r>
      <w:r w:rsidRPr="00D40600">
        <w:t xml:space="preserve"> </w:t>
      </w:r>
      <w:hyperlink r:id="rId341" w:history="1">
        <w:r w:rsidRPr="00D40600">
          <w:rPr>
            <w:rStyle w:val="Hyperlink"/>
          </w:rPr>
          <w:t>http://www.adweek.com/news/advertising-branding/team-sprints-first-tv-spot-stars-durant-138697</w:t>
        </w:r>
      </w:hyperlink>
      <w:r w:rsidRPr="00D40600">
        <w:t xml:space="preserve"> (visited Oct. 16, 2012); Sprint Nextel, YouTube Page, </w:t>
      </w:r>
      <w:r w:rsidRPr="00D40600">
        <w:rPr>
          <w:i/>
        </w:rPr>
        <w:t>available at</w:t>
      </w:r>
      <w:r w:rsidRPr="00D40600">
        <w:t xml:space="preserve"> </w:t>
      </w:r>
      <w:hyperlink r:id="rId342" w:history="1">
        <w:r w:rsidRPr="00D40600">
          <w:rPr>
            <w:rStyle w:val="Hyperlink"/>
          </w:rPr>
          <w:t>http://www.youtube.com/user/sprintnow</w:t>
        </w:r>
      </w:hyperlink>
      <w:r w:rsidRPr="00D40600">
        <w:t xml:space="preserve"> (visited May 16, 2012).</w:t>
      </w:r>
    </w:p>
  </w:footnote>
  <w:footnote w:id="744">
    <w:p w:rsidR="00EC7CF3" w:rsidRDefault="00EC7CF3" w:rsidP="003C780D">
      <w:pPr>
        <w:pStyle w:val="FootnoteText"/>
      </w:pPr>
      <w:r w:rsidRPr="00D40600">
        <w:rPr>
          <w:rStyle w:val="FootnoteReference"/>
          <w:sz w:val="20"/>
        </w:rPr>
        <w:footnoteRef/>
      </w:r>
      <w:r w:rsidRPr="00D40600">
        <w:t xml:space="preserve"> Gabriel Beltrone, Ad of the Day: BoostMobile The Carrier Tries to Calm Your Nerves in this Horror Parody from 180LA, AdWeek, February 07, 2012</w:t>
      </w:r>
      <w:r w:rsidRPr="00432F46">
        <w:rPr>
          <w:i/>
        </w:rPr>
        <w:t>, available at</w:t>
      </w:r>
      <w:r w:rsidRPr="00D40600">
        <w:t xml:space="preserve"> </w:t>
      </w:r>
      <w:hyperlink r:id="rId343" w:history="1">
        <w:r w:rsidRPr="00D40600">
          <w:rPr>
            <w:rStyle w:val="Hyperlink"/>
          </w:rPr>
          <w:t>http://www.adweek.com/news/advertising-branding/ad-day-boost-mobile-138101</w:t>
        </w:r>
      </w:hyperlink>
      <w:r w:rsidRPr="00D40600">
        <w:t xml:space="preserve"> (visited Oct. 16, 2012).</w:t>
      </w:r>
    </w:p>
  </w:footnote>
  <w:footnote w:id="745">
    <w:p w:rsidR="00EC7CF3" w:rsidRDefault="00EC7CF3" w:rsidP="003C780D">
      <w:pPr>
        <w:pStyle w:val="FootnoteText"/>
      </w:pPr>
      <w:r w:rsidRPr="00D40600">
        <w:rPr>
          <w:rStyle w:val="FootnoteReference"/>
          <w:sz w:val="20"/>
        </w:rPr>
        <w:footnoteRef/>
      </w:r>
      <w:r w:rsidRPr="00D40600">
        <w:t xml:space="preserve"> </w:t>
      </w:r>
      <w:r w:rsidRPr="00D40600">
        <w:rPr>
          <w:i/>
        </w:rPr>
        <w:t>See</w:t>
      </w:r>
      <w:r w:rsidRPr="00D40600">
        <w:t xml:space="preserve"> Bill Imada, </w:t>
      </w:r>
      <w:r w:rsidRPr="00D40600">
        <w:rPr>
          <w:i/>
        </w:rPr>
        <w:t>MetroPCS: Bad Advertising, Plain and Simple</w:t>
      </w:r>
      <w:r w:rsidRPr="00D40600">
        <w:t xml:space="preserve">, AdvertisingAge, April 28, 2011, </w:t>
      </w:r>
      <w:r w:rsidRPr="00D40600">
        <w:rPr>
          <w:i/>
        </w:rPr>
        <w:t>available at</w:t>
      </w:r>
      <w:r w:rsidRPr="00D40600">
        <w:t xml:space="preserve"> </w:t>
      </w:r>
      <w:hyperlink r:id="rId344" w:history="1">
        <w:r w:rsidRPr="00D40600">
          <w:rPr>
            <w:rStyle w:val="Hyperlink"/>
          </w:rPr>
          <w:t>http://adage.com/article/the-big-tent/metropcs-bad-advertising-plain-simple/143548/</w:t>
        </w:r>
      </w:hyperlink>
      <w:r w:rsidRPr="00D40600">
        <w:t xml:space="preserve"> (visited Oct. 16, 2012).</w:t>
      </w:r>
    </w:p>
  </w:footnote>
  <w:footnote w:id="746">
    <w:p w:rsidR="00EC7CF3" w:rsidRDefault="00EC7CF3" w:rsidP="003C780D">
      <w:pPr>
        <w:pStyle w:val="FootnoteText"/>
      </w:pPr>
      <w:r w:rsidRPr="00D40600">
        <w:rPr>
          <w:rStyle w:val="FootnoteReference"/>
          <w:sz w:val="20"/>
        </w:rPr>
        <w:footnoteRef/>
      </w:r>
      <w:r w:rsidRPr="00D40600">
        <w:t xml:space="preserve"> Mark Dolliver, </w:t>
      </w:r>
      <w:r w:rsidRPr="00D40600">
        <w:rPr>
          <w:i/>
        </w:rPr>
        <w:t>U.S. Cellular “Fireworks,”</w:t>
      </w:r>
      <w:r w:rsidRPr="00D40600">
        <w:t xml:space="preserve"> AdWeek, October 06, 2010, </w:t>
      </w:r>
      <w:r w:rsidRPr="00D40600">
        <w:rPr>
          <w:i/>
        </w:rPr>
        <w:t>available at</w:t>
      </w:r>
      <w:r w:rsidRPr="00D40600">
        <w:t xml:space="preserve"> </w:t>
      </w:r>
      <w:hyperlink r:id="rId345" w:history="1">
        <w:r w:rsidRPr="00D40600">
          <w:rPr>
            <w:rStyle w:val="Hyperlink"/>
          </w:rPr>
          <w:t>http://www.adweek.com/news/advertising-branding/us-cellular-fireworks-130478</w:t>
        </w:r>
      </w:hyperlink>
      <w:r w:rsidRPr="00D40600">
        <w:t xml:space="preserve"> (visited Oct. 16, 2012).</w:t>
      </w:r>
    </w:p>
  </w:footnote>
  <w:footnote w:id="747">
    <w:p w:rsidR="00EC7CF3" w:rsidRDefault="00EC7CF3" w:rsidP="003C780D">
      <w:pPr>
        <w:pStyle w:val="FootnoteText"/>
      </w:pPr>
      <w:r w:rsidRPr="00D40600">
        <w:rPr>
          <w:rStyle w:val="FootnoteReference"/>
          <w:sz w:val="20"/>
        </w:rPr>
        <w:footnoteRef/>
      </w:r>
      <w:r w:rsidRPr="00D40600">
        <w:t xml:space="preserve"> </w:t>
      </w:r>
      <w:r w:rsidRPr="00D40600">
        <w:rPr>
          <w:i/>
        </w:rPr>
        <w:t>See</w:t>
      </w:r>
      <w:r w:rsidRPr="00D40600">
        <w:t xml:space="preserve"> </w:t>
      </w:r>
      <w:r w:rsidRPr="00D40600">
        <w:rPr>
          <w:bCs/>
          <w:color w:val="000000"/>
        </w:rPr>
        <w:t xml:space="preserve">Phil Goldstein, </w:t>
      </w:r>
      <w:r w:rsidRPr="00D40600">
        <w:rPr>
          <w:i/>
        </w:rPr>
        <w:t>AT&amp;T Refreshes 'Rethink Possible' Ad Campaign for Mobile</w:t>
      </w:r>
      <w:r w:rsidRPr="00D40600">
        <w:t xml:space="preserve">, FierceWireless, April 9, 2012, </w:t>
      </w:r>
      <w:r w:rsidRPr="00D40600">
        <w:rPr>
          <w:i/>
        </w:rPr>
        <w:t>available at</w:t>
      </w:r>
      <w:r w:rsidRPr="00D40600">
        <w:t xml:space="preserve"> </w:t>
      </w:r>
      <w:hyperlink r:id="rId346" w:history="1">
        <w:r w:rsidRPr="00D40600">
          <w:rPr>
            <w:rStyle w:val="Hyperlink"/>
          </w:rPr>
          <w:t>http://www.fiercewireless.com/story/att-refreshes-rethink-possible-ad-campaign-mobile/2012-04-09</w:t>
        </w:r>
      </w:hyperlink>
      <w:r w:rsidRPr="00D40600">
        <w:t xml:space="preserve"> (visited Oct. 16, 2012); Kunur Patel, </w:t>
      </w:r>
      <w:r w:rsidRPr="00D40600">
        <w:rPr>
          <w:i/>
        </w:rPr>
        <w:t>AT&amp;T's Strategy to Win Consumer Love: Be Human</w:t>
      </w:r>
      <w:r w:rsidRPr="00D40600">
        <w:t xml:space="preserve">, AdvertisingAge, April 18, 2012, </w:t>
      </w:r>
      <w:r w:rsidRPr="00D40600">
        <w:rPr>
          <w:i/>
        </w:rPr>
        <w:t>available at</w:t>
      </w:r>
      <w:r w:rsidRPr="00D40600">
        <w:t xml:space="preserve"> </w:t>
      </w:r>
      <w:hyperlink r:id="rId347" w:history="1">
        <w:r w:rsidRPr="00D40600">
          <w:rPr>
            <w:rStyle w:val="Hyperlink"/>
          </w:rPr>
          <w:t>http://adage.com/article/special-report-digital-conference/strategy-win-consumer-love-human/234204/</w:t>
        </w:r>
      </w:hyperlink>
      <w:r w:rsidRPr="00D40600">
        <w:t xml:space="preserve"> (visited Oct. 16, 2012).</w:t>
      </w:r>
    </w:p>
  </w:footnote>
  <w:footnote w:id="748">
    <w:p w:rsidR="00EC7CF3" w:rsidRDefault="00EC7CF3" w:rsidP="003C780D">
      <w:pPr>
        <w:pStyle w:val="FootnoteText"/>
      </w:pPr>
      <w:r w:rsidRPr="00D40600">
        <w:rPr>
          <w:rStyle w:val="FootnoteReference"/>
          <w:sz w:val="20"/>
        </w:rPr>
        <w:footnoteRef/>
      </w:r>
      <w:r w:rsidRPr="00D40600">
        <w:t xml:space="preserve"> </w:t>
      </w:r>
      <w:r w:rsidRPr="00D40600">
        <w:rPr>
          <w:bCs/>
          <w:spacing w:val="6"/>
          <w:kern w:val="36"/>
        </w:rPr>
        <w:t xml:space="preserve">Kunur Patel, </w:t>
      </w:r>
      <w:r w:rsidRPr="00D40600">
        <w:rPr>
          <w:bCs/>
          <w:i/>
          <w:spacing w:val="6"/>
          <w:kern w:val="36"/>
        </w:rPr>
        <w:t>Sprint Drops 'Now Network' Tagline for Beatles' Ditty</w:t>
      </w:r>
      <w:r w:rsidRPr="00D40600">
        <w:rPr>
          <w:bCs/>
          <w:spacing w:val="6"/>
          <w:kern w:val="36"/>
        </w:rPr>
        <w:t xml:space="preserve">, AdvertisingAge, April 11, 2011, </w:t>
      </w:r>
      <w:r w:rsidRPr="00D40600">
        <w:rPr>
          <w:bCs/>
          <w:i/>
          <w:spacing w:val="6"/>
          <w:kern w:val="36"/>
        </w:rPr>
        <w:t>available at</w:t>
      </w:r>
      <w:r w:rsidRPr="00D40600">
        <w:rPr>
          <w:bCs/>
          <w:spacing w:val="6"/>
          <w:kern w:val="36"/>
        </w:rPr>
        <w:t xml:space="preserve"> </w:t>
      </w:r>
      <w:hyperlink r:id="rId348" w:history="1">
        <w:r w:rsidRPr="00D40600">
          <w:rPr>
            <w:rStyle w:val="Hyperlink"/>
            <w:bCs/>
            <w:spacing w:val="6"/>
            <w:kern w:val="36"/>
          </w:rPr>
          <w:t>http://adage.com/article/news/sprint-drops-network-tagline-beatles-ditty/226924/</w:t>
        </w:r>
      </w:hyperlink>
      <w:r w:rsidRPr="00D40600">
        <w:t>(visited Oct. 16, 2012)</w:t>
      </w:r>
      <w:r w:rsidRPr="00D40600">
        <w:rPr>
          <w:bCs/>
          <w:spacing w:val="6"/>
          <w:kern w:val="36"/>
        </w:rPr>
        <w:t>.</w:t>
      </w:r>
    </w:p>
  </w:footnote>
  <w:footnote w:id="749">
    <w:p w:rsidR="00EC7CF3" w:rsidRDefault="00EC7CF3" w:rsidP="003C780D">
      <w:pPr>
        <w:pStyle w:val="FootnoteText"/>
      </w:pPr>
      <w:r w:rsidRPr="00D40600">
        <w:rPr>
          <w:rStyle w:val="FootnoteReference"/>
          <w:sz w:val="20"/>
        </w:rPr>
        <w:footnoteRef/>
      </w:r>
      <w:r w:rsidRPr="00D40600">
        <w:t xml:space="preserve"> </w:t>
      </w:r>
      <w:r w:rsidRPr="00D40600">
        <w:rPr>
          <w:i/>
        </w:rPr>
        <w:t>See</w:t>
      </w:r>
      <w:r w:rsidRPr="00D40600">
        <w:t xml:space="preserve"> Phil Goldstein, </w:t>
      </w:r>
      <w:r w:rsidRPr="00D40600">
        <w:rPr>
          <w:i/>
        </w:rPr>
        <w:t>T-Mobile Ads Get Aggressive with ‘No More Mr. Nice Girl.’</w:t>
      </w:r>
      <w:r w:rsidRPr="00D40600">
        <w:t xml:space="preserve"> Fierce Wireless, April 16, 2012, </w:t>
      </w:r>
      <w:r w:rsidRPr="00D40600">
        <w:rPr>
          <w:i/>
        </w:rPr>
        <w:t>available at</w:t>
      </w:r>
      <w:r w:rsidRPr="00D40600">
        <w:t xml:space="preserve"> </w:t>
      </w:r>
      <w:hyperlink r:id="rId349" w:history="1">
        <w:r w:rsidRPr="00D40600">
          <w:rPr>
            <w:rStyle w:val="Hyperlink"/>
          </w:rPr>
          <w:t>http://www.fiercewireless.com/story/t-mobile-gets-tough-new-advertising-campaign/2012-04-16</w:t>
        </w:r>
      </w:hyperlink>
      <w:r w:rsidRPr="00D40600">
        <w:t xml:space="preserve"> (visited Oct. 16, 2012); </w:t>
      </w:r>
      <w:r w:rsidRPr="00D40600">
        <w:rPr>
          <w:bCs/>
          <w:spacing w:val="6"/>
          <w:kern w:val="36"/>
        </w:rPr>
        <w:t xml:space="preserve">Kunur Patel, </w:t>
      </w:r>
      <w:r w:rsidRPr="00D40600">
        <w:rPr>
          <w:bCs/>
          <w:i/>
          <w:spacing w:val="6"/>
          <w:kern w:val="36"/>
        </w:rPr>
        <w:t>T-Mobile Doubles Down on 'Carly' Web Videos</w:t>
      </w:r>
      <w:r w:rsidRPr="00D40600">
        <w:rPr>
          <w:bCs/>
          <w:spacing w:val="6"/>
          <w:kern w:val="36"/>
        </w:rPr>
        <w:t xml:space="preserve">, AdvertisingAge, May 03, 2012, </w:t>
      </w:r>
      <w:r w:rsidRPr="00D40600">
        <w:rPr>
          <w:bCs/>
          <w:i/>
          <w:spacing w:val="6"/>
          <w:kern w:val="36"/>
        </w:rPr>
        <w:t>available at</w:t>
      </w:r>
      <w:r w:rsidRPr="00D40600">
        <w:rPr>
          <w:bCs/>
          <w:spacing w:val="6"/>
          <w:kern w:val="36"/>
        </w:rPr>
        <w:t xml:space="preserve"> </w:t>
      </w:r>
      <w:hyperlink r:id="rId350" w:history="1">
        <w:r w:rsidRPr="00D40600">
          <w:rPr>
            <w:rStyle w:val="Hyperlink"/>
            <w:bCs/>
            <w:spacing w:val="6"/>
            <w:kern w:val="36"/>
          </w:rPr>
          <w:t>http://adage.com/article/the-viral-video-chart/t-mobile-doubles-carly-web-videos/234519/</w:t>
        </w:r>
      </w:hyperlink>
      <w:r w:rsidRPr="00D40600">
        <w:t>(visited Oct. 16, 2012)</w:t>
      </w:r>
      <w:r w:rsidRPr="00D40600">
        <w:rPr>
          <w:bCs/>
          <w:spacing w:val="6"/>
          <w:kern w:val="36"/>
        </w:rPr>
        <w:t>.</w:t>
      </w:r>
    </w:p>
  </w:footnote>
  <w:footnote w:id="750">
    <w:p w:rsidR="00EC7CF3" w:rsidRDefault="00EC7CF3" w:rsidP="003C780D">
      <w:pPr>
        <w:pStyle w:val="FootnoteText"/>
      </w:pPr>
      <w:r w:rsidRPr="00D40600">
        <w:rPr>
          <w:rStyle w:val="FootnoteReference"/>
          <w:sz w:val="20"/>
        </w:rPr>
        <w:footnoteRef/>
      </w:r>
      <w:r w:rsidRPr="00D40600">
        <w:t xml:space="preserve"> Shira Ovide, </w:t>
      </w:r>
      <w:r w:rsidRPr="00D40600">
        <w:rPr>
          <w:i/>
        </w:rPr>
        <w:t>TV Ad Takes Potshot at AT&amp;T/T-Mobile Merger</w:t>
      </w:r>
      <w:r w:rsidRPr="00D40600">
        <w:t xml:space="preserve">, The Wall Street Journal, October 27, 2011, </w:t>
      </w:r>
      <w:r w:rsidRPr="00D40600">
        <w:rPr>
          <w:i/>
        </w:rPr>
        <w:t>available at</w:t>
      </w:r>
      <w:r w:rsidRPr="00D40600">
        <w:t xml:space="preserve"> </w:t>
      </w:r>
      <w:hyperlink r:id="rId351" w:history="1">
        <w:r w:rsidRPr="00D40600">
          <w:rPr>
            <w:rStyle w:val="Hyperlink"/>
            <w:color w:val="auto"/>
          </w:rPr>
          <w:t>http://blogs.wsj.com/deals/2011/10/27/tv-ad-takes-potshot-at-attt-mobile-merger/</w:t>
        </w:r>
      </w:hyperlink>
      <w:r>
        <w:rPr>
          <w:rStyle w:val="Hyperlink"/>
          <w:color w:val="auto"/>
        </w:rPr>
        <w:t xml:space="preserve"> </w:t>
      </w:r>
      <w:r w:rsidRPr="00D40600">
        <w:t xml:space="preserve">(visited Oct. 16, 2012); MetroPCS, Wireless for All, </w:t>
      </w:r>
      <w:r w:rsidRPr="00D40600">
        <w:rPr>
          <w:i/>
        </w:rPr>
        <w:t xml:space="preserve">available at </w:t>
      </w:r>
      <w:hyperlink r:id="rId352" w:history="1">
        <w:r w:rsidRPr="00D40600">
          <w:rPr>
            <w:rStyle w:val="Hyperlink"/>
          </w:rPr>
          <w:t>http://www.metropcs.com/metro/category/Why+MetroPCS/cat290017</w:t>
        </w:r>
      </w:hyperlink>
      <w:r w:rsidRPr="00D40600">
        <w:t xml:space="preserve"> (visited on May 16, 2012); MetroPCS, YouTube Page, </w:t>
      </w:r>
      <w:r w:rsidRPr="00D40600">
        <w:rPr>
          <w:i/>
        </w:rPr>
        <w:t>available at</w:t>
      </w:r>
      <w:r w:rsidRPr="00D40600">
        <w:t xml:space="preserve"> </w:t>
      </w:r>
      <w:hyperlink r:id="rId353" w:history="1">
        <w:r w:rsidRPr="00D40600">
          <w:rPr>
            <w:rStyle w:val="Hyperlink"/>
          </w:rPr>
          <w:t>http://www.youtube.com/user/metropcs</w:t>
        </w:r>
      </w:hyperlink>
      <w:r w:rsidRPr="00D40600">
        <w:t xml:space="preserve"> (visited on May 16, 2012).</w:t>
      </w:r>
    </w:p>
  </w:footnote>
  <w:footnote w:id="751">
    <w:p w:rsidR="00EC7CF3" w:rsidRDefault="00EC7CF3" w:rsidP="003C780D">
      <w:pPr>
        <w:pStyle w:val="FootnoteText"/>
      </w:pPr>
      <w:r w:rsidRPr="00D40600">
        <w:rPr>
          <w:rStyle w:val="FootnoteReference"/>
          <w:sz w:val="20"/>
        </w:rPr>
        <w:footnoteRef/>
      </w:r>
      <w:r w:rsidRPr="00D40600">
        <w:t xml:space="preserve"> Tim Nudd, </w:t>
      </w:r>
      <w:r w:rsidRPr="00D40600">
        <w:rPr>
          <w:i/>
        </w:rPr>
        <w:t>AT&amp;T shouting your love from mountaintop!</w:t>
      </w:r>
      <w:r w:rsidRPr="00D40600">
        <w:t xml:space="preserve">, AdWeek, February 14, 2011, </w:t>
      </w:r>
      <w:r w:rsidRPr="00D40600">
        <w:rPr>
          <w:i/>
        </w:rPr>
        <w:t>available at</w:t>
      </w:r>
      <w:r w:rsidRPr="00D40600">
        <w:t xml:space="preserve"> </w:t>
      </w:r>
      <w:hyperlink r:id="rId354" w:history="1">
        <w:r w:rsidRPr="00D40600">
          <w:rPr>
            <w:rStyle w:val="Hyperlink"/>
          </w:rPr>
          <w:t>http://www.adweek.com/adfreak/att-shouting-your-love-mountaintop-11560</w:t>
        </w:r>
      </w:hyperlink>
      <w:r w:rsidRPr="00D40600">
        <w:t xml:space="preserve"> (visited Oct. 16, 2012).</w:t>
      </w:r>
    </w:p>
  </w:footnote>
  <w:footnote w:id="752">
    <w:p w:rsidR="00EC7CF3" w:rsidRDefault="00EC7CF3" w:rsidP="003C780D">
      <w:pPr>
        <w:pStyle w:val="FootnoteText"/>
      </w:pPr>
      <w:r w:rsidRPr="00D40600">
        <w:rPr>
          <w:rStyle w:val="FootnoteReference"/>
          <w:sz w:val="20"/>
        </w:rPr>
        <w:footnoteRef/>
      </w:r>
      <w:r w:rsidRPr="00D40600">
        <w:t xml:space="preserve"> David Kiefaber, </w:t>
      </w:r>
      <w:r w:rsidRPr="00D40600">
        <w:rPr>
          <w:i/>
        </w:rPr>
        <w:t>Blink-182 Feeling Blue in New Partnership With AT&amp;T</w:t>
      </w:r>
      <w:r w:rsidRPr="00D40600">
        <w:t xml:space="preserve">, AdWeek, August 03 2011, </w:t>
      </w:r>
      <w:r w:rsidRPr="00D40600">
        <w:rPr>
          <w:i/>
        </w:rPr>
        <w:t>available</w:t>
      </w:r>
      <w:r w:rsidRPr="00D40600">
        <w:t xml:space="preserve"> at </w:t>
      </w:r>
      <w:hyperlink r:id="rId355" w:history="1">
        <w:r w:rsidRPr="00D40600">
          <w:rPr>
            <w:rStyle w:val="Hyperlink"/>
          </w:rPr>
          <w:t>http://www.adweek.com/adfreak/blink-182-feeling-blue-new-partnership-att-133846</w:t>
        </w:r>
      </w:hyperlink>
      <w:r w:rsidRPr="00D40600">
        <w:t xml:space="preserve"> (visited Oct. 16, 2012).</w:t>
      </w:r>
    </w:p>
  </w:footnote>
  <w:footnote w:id="753">
    <w:p w:rsidR="00EC7CF3" w:rsidRDefault="00EC7CF3" w:rsidP="003C780D">
      <w:pPr>
        <w:pStyle w:val="FootnoteText"/>
      </w:pPr>
      <w:r w:rsidRPr="00D40600">
        <w:rPr>
          <w:rStyle w:val="FootnoteReference"/>
          <w:sz w:val="20"/>
        </w:rPr>
        <w:footnoteRef/>
      </w:r>
      <w:r w:rsidRPr="00D40600">
        <w:t xml:space="preserve"> Rebecca Cullers, </w:t>
      </w:r>
      <w:r w:rsidRPr="00D40600">
        <w:rPr>
          <w:i/>
        </w:rPr>
        <w:t>Sprint Continues its Mockery of the Holidays</w:t>
      </w:r>
      <w:r w:rsidRPr="00D40600">
        <w:t xml:space="preserve">, AdWeek, December 02, 2010, </w:t>
      </w:r>
      <w:r w:rsidRPr="00D40600">
        <w:rPr>
          <w:i/>
        </w:rPr>
        <w:t>available at</w:t>
      </w:r>
      <w:r w:rsidRPr="00D40600">
        <w:t xml:space="preserve"> </w:t>
      </w:r>
      <w:hyperlink r:id="rId356" w:history="1">
        <w:r w:rsidRPr="00D40600">
          <w:rPr>
            <w:rStyle w:val="Hyperlink"/>
          </w:rPr>
          <w:t>http://www.adweek.com/adfreak/sprint-continues-its-mockery-holidays-11876</w:t>
        </w:r>
      </w:hyperlink>
      <w:r w:rsidRPr="00D40600">
        <w:t xml:space="preserve"> (visited Oct. 16, 2012).</w:t>
      </w:r>
    </w:p>
  </w:footnote>
  <w:footnote w:id="754">
    <w:p w:rsidR="00EC7CF3" w:rsidRDefault="00EC7CF3" w:rsidP="003C780D">
      <w:pPr>
        <w:pStyle w:val="FootnoteText"/>
      </w:pPr>
      <w:r w:rsidRPr="00D40600">
        <w:rPr>
          <w:rStyle w:val="FootnoteReference"/>
          <w:sz w:val="20"/>
        </w:rPr>
        <w:footnoteRef/>
      </w:r>
      <w:r w:rsidRPr="00D40600">
        <w:t xml:space="preserve"> </w:t>
      </w:r>
      <w:r w:rsidRPr="00D40600">
        <w:rPr>
          <w:i/>
        </w:rPr>
        <w:t xml:space="preserve">See </w:t>
      </w:r>
      <w:r w:rsidRPr="00D40600">
        <w:t xml:space="preserve">Tim Nudd, </w:t>
      </w:r>
      <w:r w:rsidRPr="00D40600">
        <w:rPr>
          <w:i/>
        </w:rPr>
        <w:t>William &amp; Kate Boogie Down the Aisle for T-Mobile</w:t>
      </w:r>
      <w:r w:rsidRPr="00D40600">
        <w:t xml:space="preserve">, AdWeek, April 17, 2011, </w:t>
      </w:r>
      <w:r w:rsidRPr="00D40600">
        <w:rPr>
          <w:i/>
        </w:rPr>
        <w:t>available at</w:t>
      </w:r>
      <w:r w:rsidRPr="00D40600">
        <w:t xml:space="preserve"> </w:t>
      </w:r>
      <w:hyperlink r:id="rId357" w:history="1">
        <w:r w:rsidRPr="00D40600">
          <w:rPr>
            <w:rStyle w:val="Hyperlink"/>
          </w:rPr>
          <w:t>http://www.adweek.com/adfreak/william-kate-boogie-down-aisle-t-mobile-130675</w:t>
        </w:r>
      </w:hyperlink>
      <w:r w:rsidRPr="00D40600">
        <w:t xml:space="preserve"> (visited Oct. 16, 2012); </w:t>
      </w:r>
      <w:r w:rsidRPr="00D40600">
        <w:rPr>
          <w:bCs/>
          <w:spacing w:val="6"/>
        </w:rPr>
        <w:t xml:space="preserve">Cotton Delo, </w:t>
      </w:r>
      <w:r w:rsidRPr="00D40600">
        <w:rPr>
          <w:bCs/>
          <w:i/>
          <w:spacing w:val="6"/>
        </w:rPr>
        <w:t>Another T-Mobile Flash Mob Video Strikes Viral Gold</w:t>
      </w:r>
      <w:r w:rsidRPr="00D40600">
        <w:rPr>
          <w:bCs/>
          <w:spacing w:val="6"/>
        </w:rPr>
        <w:t xml:space="preserve">, Advertising Age, December 22, 2011, </w:t>
      </w:r>
      <w:r w:rsidRPr="00D40600">
        <w:rPr>
          <w:bCs/>
          <w:i/>
          <w:spacing w:val="6"/>
        </w:rPr>
        <w:t>available at</w:t>
      </w:r>
      <w:r w:rsidRPr="00D40600">
        <w:rPr>
          <w:bCs/>
          <w:spacing w:val="6"/>
        </w:rPr>
        <w:t xml:space="preserve"> </w:t>
      </w:r>
      <w:hyperlink r:id="rId358" w:history="1">
        <w:r w:rsidRPr="00D40600">
          <w:rPr>
            <w:rStyle w:val="Hyperlink"/>
            <w:spacing w:val="6"/>
          </w:rPr>
          <w:t>http://adage.com/article/the-viral-video-chart/t-mobile-flash-mob-video-strikes-viral-gold/231720/</w:t>
        </w:r>
      </w:hyperlink>
      <w:r w:rsidRPr="00D40600">
        <w:t>(visited Oct. 16, 2012)</w:t>
      </w:r>
      <w:r w:rsidRPr="00D40600">
        <w:rPr>
          <w:bCs/>
          <w:spacing w:val="6"/>
        </w:rPr>
        <w:t>.</w:t>
      </w:r>
    </w:p>
  </w:footnote>
  <w:footnote w:id="755">
    <w:p w:rsidR="00EC7CF3" w:rsidRDefault="00EC7CF3" w:rsidP="003C780D">
      <w:pPr>
        <w:pStyle w:val="FootnoteText"/>
      </w:pPr>
      <w:r w:rsidRPr="00D40600">
        <w:rPr>
          <w:rStyle w:val="FootnoteReference"/>
          <w:sz w:val="20"/>
        </w:rPr>
        <w:footnoteRef/>
      </w:r>
      <w:r w:rsidRPr="00D40600">
        <w:t xml:space="preserve"> </w:t>
      </w:r>
      <w:r w:rsidRPr="00D40600">
        <w:rPr>
          <w:bCs/>
          <w:color w:val="000000"/>
          <w:spacing w:val="6"/>
          <w:kern w:val="36"/>
        </w:rPr>
        <w:t xml:space="preserve">Michael Learmonth, </w:t>
      </w:r>
      <w:r w:rsidRPr="00D40600">
        <w:rPr>
          <w:bCs/>
          <w:i/>
          <w:color w:val="000000"/>
          <w:spacing w:val="6"/>
          <w:kern w:val="36"/>
        </w:rPr>
        <w:t>Verizon's iPhone Marketing Blitz Begins on YouTube</w:t>
      </w:r>
      <w:r w:rsidRPr="00D40600">
        <w:rPr>
          <w:bCs/>
          <w:color w:val="000000"/>
          <w:spacing w:val="6"/>
          <w:kern w:val="36"/>
        </w:rPr>
        <w:t xml:space="preserve">, AdvertisingAge, January 21, 2011, </w:t>
      </w:r>
      <w:r w:rsidRPr="00D40600">
        <w:rPr>
          <w:bCs/>
          <w:i/>
          <w:color w:val="000000"/>
          <w:spacing w:val="6"/>
          <w:kern w:val="36"/>
        </w:rPr>
        <w:t>available at</w:t>
      </w:r>
      <w:r w:rsidRPr="00D40600">
        <w:rPr>
          <w:bCs/>
          <w:color w:val="000000"/>
          <w:spacing w:val="6"/>
          <w:kern w:val="36"/>
        </w:rPr>
        <w:t xml:space="preserve"> </w:t>
      </w:r>
      <w:hyperlink r:id="rId359" w:history="1">
        <w:r w:rsidRPr="00D40600">
          <w:rPr>
            <w:rStyle w:val="Hyperlink"/>
            <w:bCs/>
            <w:spacing w:val="6"/>
            <w:kern w:val="36"/>
          </w:rPr>
          <w:t>http://adage.com/article/digitalnext/verizon-s-iphone-ad-debuts-youtube/148364/</w:t>
        </w:r>
      </w:hyperlink>
      <w:r w:rsidRPr="00D40600">
        <w:t>(visited Oct. 16, 2012)</w:t>
      </w:r>
      <w:r w:rsidRPr="00D40600">
        <w:rPr>
          <w:bCs/>
          <w:color w:val="000000"/>
          <w:spacing w:val="6"/>
          <w:kern w:val="36"/>
        </w:rPr>
        <w:t xml:space="preserve">; </w:t>
      </w:r>
      <w:r w:rsidRPr="00D40600">
        <w:rPr>
          <w:bCs/>
          <w:spacing w:val="6"/>
          <w:kern w:val="36"/>
        </w:rPr>
        <w:t xml:space="preserve">Kunur Patel, </w:t>
      </w:r>
      <w:r w:rsidRPr="00D40600">
        <w:rPr>
          <w:bCs/>
          <w:i/>
          <w:spacing w:val="6"/>
          <w:kern w:val="36"/>
        </w:rPr>
        <w:t>Verizon Exec Tries to Structure Media Around People, Not Content</w:t>
      </w:r>
      <w:r w:rsidRPr="00D40600">
        <w:rPr>
          <w:bCs/>
          <w:spacing w:val="6"/>
          <w:kern w:val="36"/>
        </w:rPr>
        <w:t xml:space="preserve">, AdvertisingAge, April 17, 2012, </w:t>
      </w:r>
      <w:r w:rsidRPr="00D40600">
        <w:rPr>
          <w:bCs/>
          <w:i/>
          <w:spacing w:val="6"/>
          <w:kern w:val="36"/>
        </w:rPr>
        <w:t>available at</w:t>
      </w:r>
      <w:r w:rsidRPr="00D40600">
        <w:rPr>
          <w:bCs/>
          <w:spacing w:val="6"/>
          <w:kern w:val="36"/>
        </w:rPr>
        <w:t xml:space="preserve"> </w:t>
      </w:r>
      <w:hyperlink r:id="rId360" w:history="1">
        <w:r w:rsidRPr="00D40600">
          <w:rPr>
            <w:rStyle w:val="Hyperlink"/>
            <w:bCs/>
            <w:spacing w:val="6"/>
            <w:kern w:val="36"/>
          </w:rPr>
          <w:t>http://adage.com/article/special-report-digital-conference/verizon-data-structure-media-people-content/234179/</w:t>
        </w:r>
      </w:hyperlink>
      <w:r w:rsidRPr="00D40600">
        <w:rPr>
          <w:bCs/>
          <w:spacing w:val="6"/>
          <w:kern w:val="36"/>
        </w:rPr>
        <w:t xml:space="preserve"> </w:t>
      </w:r>
      <w:r w:rsidRPr="00D40600">
        <w:t>(visited Oct. 16, 2012)</w:t>
      </w:r>
      <w:r w:rsidRPr="00D40600">
        <w:rPr>
          <w:bCs/>
          <w:spacing w:val="6"/>
          <w:kern w:val="36"/>
        </w:rPr>
        <w:t>.</w:t>
      </w:r>
    </w:p>
  </w:footnote>
  <w:footnote w:id="756">
    <w:p w:rsidR="00EC7CF3" w:rsidRDefault="00EC7CF3" w:rsidP="003C780D">
      <w:pPr>
        <w:pStyle w:val="FootnoteText"/>
      </w:pPr>
      <w:r w:rsidRPr="00D40600">
        <w:rPr>
          <w:rStyle w:val="FootnoteReference"/>
          <w:sz w:val="20"/>
        </w:rPr>
        <w:footnoteRef/>
      </w:r>
      <w:r w:rsidRPr="00D40600">
        <w:t xml:space="preserve"> These YouTube pages can be found at http://www.youtube.com/user/### with the company name or tagline in place of the ### placeholder (i.e., replace ### with VerizonWireless, SprintNow, ShareATT, TMobile, MetroPCS, or CSpire).  </w:t>
      </w:r>
    </w:p>
  </w:footnote>
  <w:footnote w:id="757">
    <w:p w:rsidR="00EC7CF3" w:rsidRDefault="00EC7CF3" w:rsidP="003C780D">
      <w:pPr>
        <w:pStyle w:val="FootnoteText"/>
      </w:pPr>
      <w:r w:rsidRPr="00D40600">
        <w:rPr>
          <w:rStyle w:val="FootnoteReference"/>
          <w:sz w:val="20"/>
        </w:rPr>
        <w:footnoteRef/>
      </w:r>
      <w:r w:rsidRPr="00D40600">
        <w:t xml:space="preserve"> </w:t>
      </w:r>
      <w:r w:rsidRPr="00D40600">
        <w:rPr>
          <w:i/>
        </w:rPr>
        <w:t>See</w:t>
      </w:r>
      <w:r w:rsidRPr="00D40600">
        <w:t xml:space="preserve"> SEC Form 10-K for AT&amp;T, Cincinnati Bell, Leap Wireless, MetroPCS, NTELOS Holding Corp, Sprint Nextel, US Cellular, and Verizon Wireless.</w:t>
      </w:r>
    </w:p>
  </w:footnote>
  <w:footnote w:id="758">
    <w:p w:rsidR="00EC7CF3" w:rsidRDefault="00EC7CF3" w:rsidP="003C780D">
      <w:pPr>
        <w:pStyle w:val="FootnoteText"/>
      </w:pPr>
      <w:r w:rsidRPr="00D40600">
        <w:rPr>
          <w:rStyle w:val="FootnoteReference"/>
          <w:sz w:val="20"/>
        </w:rPr>
        <w:footnoteRef/>
      </w:r>
      <w:r w:rsidRPr="00D40600">
        <w:t xml:space="preserve"> </w:t>
      </w:r>
      <w:r w:rsidRPr="00D40600">
        <w:rPr>
          <w:i/>
        </w:rPr>
        <w:t>Id.</w:t>
      </w:r>
      <w:r w:rsidRPr="00D40600">
        <w:t xml:space="preserve">; </w:t>
      </w:r>
      <w:r w:rsidRPr="00D40600">
        <w:rPr>
          <w:i/>
        </w:rPr>
        <w:t>See</w:t>
      </w:r>
      <w:r w:rsidRPr="00D40600">
        <w:t xml:space="preserve"> </w:t>
      </w:r>
      <w:r w:rsidRPr="00D40600">
        <w:rPr>
          <w:i/>
        </w:rPr>
        <w:t>in particular</w:t>
      </w:r>
      <w:r w:rsidRPr="00D40600">
        <w:t xml:space="preserve">, Leap Wireless, SEC Form 10-K, filed Feb. 21, 2012, at 6-7; MetroPCS, SEC Form 10-K, filed Feb. 29, 2012, at 9; Sprint Nextel, SEC Form 10-K, filed Feb. 21, 2012, at 3; US Cellular, SEC Form 10-K, filed Feb. 27, 2012, at 6; Verizon Communications, SEC Form 10-K, filed Feb. 24, 2012, at 6; Phil Goldstein, </w:t>
      </w:r>
      <w:r w:rsidRPr="00D40600">
        <w:rPr>
          <w:i/>
        </w:rPr>
        <w:t>Leap Expands Cricket Brand Nationwide with Best Buy Retail Deal</w:t>
      </w:r>
      <w:r w:rsidRPr="00D40600">
        <w:t xml:space="preserve">, </w:t>
      </w:r>
      <w:r w:rsidRPr="00D40600">
        <w:rPr>
          <w:i/>
        </w:rPr>
        <w:t>FierceWireless</w:t>
      </w:r>
      <w:r w:rsidRPr="00D40600">
        <w:t xml:space="preserve">, September 22, 2011, </w:t>
      </w:r>
      <w:r w:rsidRPr="00D40600">
        <w:rPr>
          <w:i/>
        </w:rPr>
        <w:t>available at</w:t>
      </w:r>
      <w:r w:rsidRPr="00D40600">
        <w:t xml:space="preserve"> </w:t>
      </w:r>
      <w:hyperlink r:id="rId361" w:history="1">
        <w:r w:rsidRPr="00D40600">
          <w:rPr>
            <w:rStyle w:val="Hyperlink"/>
          </w:rPr>
          <w:t>http://www.fiercewireless.com/story/leap-expands-cricket-brand-nationwide-best-buy-retail-deal/2011-09-22</w:t>
        </w:r>
      </w:hyperlink>
      <w:r w:rsidRPr="00D40600">
        <w:t xml:space="preserve"> (visited Oct. 16, 2012); Phil Goldstein, </w:t>
      </w:r>
      <w:r w:rsidRPr="00D40600">
        <w:rPr>
          <w:i/>
        </w:rPr>
        <w:t>Leap’s Cricket Expands National Retail Presence to Target Stores</w:t>
      </w:r>
      <w:r w:rsidRPr="00D40600">
        <w:t xml:space="preserve">, FierceWireless, April 20, 2012, </w:t>
      </w:r>
      <w:r w:rsidRPr="00D40600">
        <w:rPr>
          <w:i/>
        </w:rPr>
        <w:t>available at</w:t>
      </w:r>
      <w:r w:rsidRPr="00D40600">
        <w:t xml:space="preserve"> </w:t>
      </w:r>
      <w:hyperlink r:id="rId362" w:history="1">
        <w:r w:rsidRPr="00D40600">
          <w:rPr>
            <w:rStyle w:val="Hyperlink"/>
          </w:rPr>
          <w:t>http://www.fiercewireless.com/story/leaps-cricket-expands-national-retail-presence-target-stores/2012-04-20</w:t>
        </w:r>
      </w:hyperlink>
      <w:r w:rsidRPr="00D40600">
        <w:t xml:space="preserve"> (visited Oct. 16, 2012).</w:t>
      </w:r>
    </w:p>
  </w:footnote>
  <w:footnote w:id="759">
    <w:p w:rsidR="00EC7CF3" w:rsidRDefault="00EC7CF3" w:rsidP="003C780D">
      <w:pPr>
        <w:pStyle w:val="FootnoteText"/>
      </w:pPr>
      <w:r w:rsidRPr="00D40600">
        <w:rPr>
          <w:rStyle w:val="FootnoteReference"/>
          <w:sz w:val="20"/>
        </w:rPr>
        <w:footnoteRef/>
      </w:r>
      <w:r w:rsidRPr="00D40600">
        <w:t xml:space="preserve"> As of December 31, 2011, for every 10 company operated retail locations, US Cellular had 25 indirectly operated locations, NTELOS had approximately 63, Cincinnati Bell had approximately 119, and Leap Wireless had approximately 191.  US Cellular, SEC Form 10-K, filed Feb. 27, 2012, at 6; Cincinnati Bell, SEC Form 10-K, filed Feb. 28, 2012, at 9-10; NTELOS, SEC Form 10-K, filed Feb. 29, 2012, at 5; Leap Wireless, SEC Form 10-K, filed Feb. 21, 2012, at 6-7.</w:t>
      </w:r>
    </w:p>
  </w:footnote>
  <w:footnote w:id="760">
    <w:p w:rsidR="00EC7CF3" w:rsidRDefault="00EC7CF3" w:rsidP="003C780D">
      <w:pPr>
        <w:pStyle w:val="FootnoteText"/>
      </w:pPr>
      <w:r w:rsidRPr="00D40600">
        <w:rPr>
          <w:rStyle w:val="FootnoteReference"/>
          <w:sz w:val="20"/>
        </w:rPr>
        <w:footnoteRef/>
      </w:r>
      <w:r w:rsidRPr="00D40600">
        <w:t xml:space="preserve"> </w:t>
      </w:r>
      <w:r w:rsidRPr="00D40600">
        <w:rPr>
          <w:i/>
        </w:rPr>
        <w:t>J.D. Power and Associates Reports: Satisfaction with the Wireless Purchase Experience Has Declined Among Customers Who Make Sales Transactions by Phone</w:t>
      </w:r>
      <w:r w:rsidRPr="00D40600">
        <w:t xml:space="preserve">, Press Release, J.D. Power and Associates, February 16, 2012, </w:t>
      </w:r>
      <w:r w:rsidRPr="00D40600">
        <w:rPr>
          <w:i/>
        </w:rPr>
        <w:t>available at</w:t>
      </w:r>
      <w:r w:rsidRPr="00D40600">
        <w:t xml:space="preserve"> </w:t>
      </w:r>
      <w:hyperlink r:id="rId363" w:history="1">
        <w:r w:rsidRPr="00D40600">
          <w:rPr>
            <w:rStyle w:val="Hyperlink"/>
          </w:rPr>
          <w:t>http://www.jdpower.com/content/press-release/ytOQWTp/2012-u-s-wireless-purchase-experience-studies--volume-1.htm</w:t>
        </w:r>
      </w:hyperlink>
      <w:r w:rsidRPr="00D40600">
        <w:t xml:space="preserve"> (visited May 25, 2012).</w:t>
      </w:r>
    </w:p>
  </w:footnote>
  <w:footnote w:id="761">
    <w:p w:rsidR="00EC7CF3" w:rsidRDefault="00EC7CF3" w:rsidP="003C780D">
      <w:pPr>
        <w:pStyle w:val="FootnoteText"/>
      </w:pPr>
      <w:r w:rsidRPr="00D40600">
        <w:rPr>
          <w:rStyle w:val="FootnoteReference"/>
          <w:sz w:val="20"/>
        </w:rPr>
        <w:footnoteRef/>
      </w:r>
      <w:r w:rsidRPr="00D40600">
        <w:t xml:space="preserve"> </w:t>
      </w:r>
      <w:r w:rsidRPr="00D40600">
        <w:rPr>
          <w:i/>
        </w:rPr>
        <w:t>J.D. Power and Associates Reports: Satisfaction with the Wireless Purchase Experience Differs Considerably Among Sales Channels</w:t>
      </w:r>
      <w:r w:rsidRPr="00D40600">
        <w:t xml:space="preserve">, Press Release, J.D. Power and Associates, August 11, 2011, </w:t>
      </w:r>
      <w:r w:rsidRPr="00D40600">
        <w:rPr>
          <w:i/>
        </w:rPr>
        <w:t>available at</w:t>
      </w:r>
      <w:r w:rsidRPr="00D40600">
        <w:t xml:space="preserve"> </w:t>
      </w:r>
      <w:hyperlink r:id="rId364" w:history="1">
        <w:r w:rsidRPr="00D40600">
          <w:rPr>
            <w:rStyle w:val="Hyperlink"/>
          </w:rPr>
          <w:t>http://www.jdpower.com/content/press-release/rYyXr7H/wireless-purchase-experience.htm</w:t>
        </w:r>
      </w:hyperlink>
      <w:r w:rsidRPr="00D40600">
        <w:t xml:space="preserve"> (visited May 25, 2012).</w:t>
      </w:r>
    </w:p>
  </w:footnote>
  <w:footnote w:id="762">
    <w:p w:rsidR="00EC7CF3" w:rsidRDefault="00EC7CF3" w:rsidP="0028065E">
      <w:pPr>
        <w:pStyle w:val="FootnoteText"/>
      </w:pPr>
      <w:r w:rsidRPr="00D40600">
        <w:rPr>
          <w:rStyle w:val="FootnoteReference"/>
          <w:sz w:val="20"/>
        </w:rPr>
        <w:footnoteRef/>
      </w:r>
      <w:r w:rsidRPr="00D40600">
        <w:rPr>
          <w:iCs/>
        </w:rPr>
        <w:t xml:space="preserve"> </w:t>
      </w:r>
      <w:r w:rsidRPr="00D40600">
        <w:t>According to the Bureau of the Census, the combined population of the 50 states, the District of Columbia, and Puerto Rico, as of July 1, 2011, was estimated to be 311.6</w:t>
      </w:r>
      <w:r w:rsidRPr="00D40600">
        <w:rPr>
          <w:lang w:eastAsia="zh-CN"/>
        </w:rPr>
        <w:t xml:space="preserve"> </w:t>
      </w:r>
      <w:r w:rsidRPr="00D40600">
        <w:t xml:space="preserve">million.  </w:t>
      </w:r>
      <w:r w:rsidRPr="00D40600">
        <w:rPr>
          <w:i/>
        </w:rPr>
        <w:t>See</w:t>
      </w:r>
      <w:r w:rsidRPr="00D40600">
        <w:t xml:space="preserve"> U.S. Census Bureau, </w:t>
      </w:r>
      <w:hyperlink r:id="rId365" w:history="1">
        <w:r w:rsidRPr="00D40600">
          <w:rPr>
            <w:rStyle w:val="Hyperlink"/>
          </w:rPr>
          <w:t>http://www.census.gov/popest/data/national/totals/2011/index.html</w:t>
        </w:r>
      </w:hyperlink>
      <w:r w:rsidRPr="00D40600">
        <w:t xml:space="preserve"> (visited June</w:t>
      </w:r>
      <w:r w:rsidRPr="00D40600">
        <w:rPr>
          <w:lang w:eastAsia="zh-CN"/>
        </w:rPr>
        <w:t xml:space="preserve"> 17, 2011</w:t>
      </w:r>
      <w:r w:rsidRPr="00D40600">
        <w:t xml:space="preserve">).  As noted in the </w:t>
      </w:r>
      <w:r w:rsidRPr="00D40600">
        <w:rPr>
          <w:i/>
        </w:rPr>
        <w:t xml:space="preserve">Fifteenth Report, </w:t>
      </w:r>
      <w:r w:rsidRPr="00D40600">
        <w:t>if NRUF is used to calculate a mobile wireless penetration rate (of a population), that penetration rate is overstated in terms of the number of individuals who have more than one mobile wireless device.  The penetration rate now exceeds 100 percent on a nationwide basis and in many EAs, as discussed below.</w:t>
      </w:r>
    </w:p>
  </w:footnote>
  <w:footnote w:id="763">
    <w:p w:rsidR="00EC7CF3" w:rsidRDefault="00EC7CF3" w:rsidP="0028065E">
      <w:pPr>
        <w:pStyle w:val="FootnoteText"/>
      </w:pPr>
      <w:r w:rsidRPr="00D40600">
        <w:rPr>
          <w:rStyle w:val="FootnoteReference"/>
          <w:sz w:val="20"/>
        </w:rPr>
        <w:footnoteRef/>
      </w:r>
      <w:r w:rsidRPr="00D40600">
        <w:rPr>
          <w:iCs/>
        </w:rPr>
        <w:t xml:space="preserve"> Commission estimate, based on </w:t>
      </w:r>
      <w:r w:rsidRPr="00D40600">
        <w:rPr>
          <w:bCs/>
          <w:iCs/>
        </w:rPr>
        <w:t>year-end 2010 and year-end 2011 NRUF filings</w:t>
      </w:r>
      <w:r w:rsidRPr="00D40600">
        <w:rPr>
          <w:bCs/>
        </w:rPr>
        <w:t>,</w:t>
      </w:r>
      <w:r w:rsidRPr="00D40600">
        <w:rPr>
          <w:bCs/>
          <w:i/>
          <w:iCs/>
        </w:rPr>
        <w:t xml:space="preserve"> </w:t>
      </w:r>
      <w:r w:rsidRPr="00D40600">
        <w:rPr>
          <w:bCs/>
        </w:rPr>
        <w:t xml:space="preserve">adjusted for porting.  </w:t>
      </w:r>
    </w:p>
  </w:footnote>
  <w:footnote w:id="764">
    <w:p w:rsidR="00EC7CF3" w:rsidRDefault="00EC7CF3" w:rsidP="0028065E">
      <w:pPr>
        <w:pStyle w:val="FootnoteText"/>
      </w:pPr>
      <w:r w:rsidRPr="00D40600">
        <w:rPr>
          <w:rStyle w:val="FootnoteReference"/>
          <w:sz w:val="20"/>
        </w:rPr>
        <w:footnoteRef/>
      </w:r>
      <w:r w:rsidRPr="00D40600">
        <w:t xml:space="preserve"> </w:t>
      </w:r>
      <w:r w:rsidRPr="00D40600">
        <w:rPr>
          <w:i/>
        </w:rPr>
        <w:t>CTIA Year-End 2011 Wireless Indices Report.   See also</w:t>
      </w:r>
      <w:r w:rsidRPr="00D40600">
        <w:t xml:space="preserve"> Appendix B, Table B-1, </w:t>
      </w:r>
      <w:r w:rsidRPr="00D40600">
        <w:rPr>
          <w:i/>
        </w:rPr>
        <w:t>infra</w:t>
      </w:r>
      <w:r w:rsidRPr="00D40600">
        <w:t xml:space="preserve">.  A detailed explanation of the differences between the NRUF data and CTIA’s survey can be found in the </w:t>
      </w:r>
      <w:r w:rsidRPr="00D40600">
        <w:rPr>
          <w:i/>
        </w:rPr>
        <w:t>Seventh Report</w:t>
      </w:r>
      <w:r w:rsidRPr="00D40600">
        <w:t xml:space="preserve">, 17 FCC Rcd at 13004. </w:t>
      </w:r>
    </w:p>
  </w:footnote>
  <w:footnote w:id="765">
    <w:p w:rsidR="00EC7CF3" w:rsidRDefault="00EC7CF3" w:rsidP="0028065E">
      <w:pPr>
        <w:pStyle w:val="FootnoteText"/>
      </w:pPr>
      <w:r w:rsidRPr="00D40600">
        <w:rPr>
          <w:rStyle w:val="FootnoteReference"/>
          <w:sz w:val="20"/>
        </w:rPr>
        <w:footnoteRef/>
      </w:r>
      <w:r w:rsidRPr="00D40600">
        <w:t xml:space="preserve"> </w:t>
      </w:r>
      <w:r w:rsidRPr="00D40600">
        <w:rPr>
          <w:rStyle w:val="Normal1"/>
          <w:sz w:val="20"/>
        </w:rPr>
        <w:t xml:space="preserve">Commission estimates based on NRUF data.  </w:t>
      </w:r>
      <w:r w:rsidRPr="00D40600">
        <w:rPr>
          <w:i/>
        </w:rPr>
        <w:t>CTIA Year-End 2011 Wireless Indices Report</w:t>
      </w:r>
      <w:r w:rsidRPr="00D40600">
        <w:t xml:space="preserve">. </w:t>
      </w:r>
      <w:r>
        <w:t xml:space="preserve"> In the second half of 2012, CTIA revised estimated connections for the years 2009-2011.  </w:t>
      </w:r>
      <w:r w:rsidRPr="0027086D">
        <w:rPr>
          <w:i/>
        </w:rPr>
        <w:t>See</w:t>
      </w:r>
      <w:r>
        <w:t xml:space="preserve"> </w:t>
      </w:r>
      <w:r w:rsidRPr="0027086D">
        <w:rPr>
          <w:i/>
        </w:rPr>
        <w:t>CTIA’s Wireless Industry Indices, Semi-Annual Data Survey Results, A Comprehensive Report From CTIA Analyzing the U.S. Wireless Industry, Mid-Year 2012 Results</w:t>
      </w:r>
      <w:r>
        <w:t xml:space="preserve"> (stating “</w:t>
      </w:r>
      <w:r w:rsidRPr="0027086D">
        <w:t>Nor do we make an M2M adjustment for participating companies that do not include their M2M numbers in their reported subscriber counts.</w:t>
      </w:r>
      <w:r>
        <w:t xml:space="preserve"> </w:t>
      </w:r>
      <w:r w:rsidRPr="0027086D">
        <w:t xml:space="preserve"> Indeed, the mid-year 2012 estimate – and the </w:t>
      </w:r>
      <w:r w:rsidRPr="0027086D">
        <w:rPr>
          <w:i/>
          <w:iCs/>
        </w:rPr>
        <w:t xml:space="preserve">revised </w:t>
      </w:r>
      <w:r w:rsidRPr="0027086D">
        <w:t xml:space="preserve">subscriber connection figures for five previous periods – reflects the exclusion of some M2M and other units not currently treated as “subscriber connections” which previously </w:t>
      </w:r>
      <w:r w:rsidRPr="0027086D">
        <w:rPr>
          <w:i/>
          <w:iCs/>
        </w:rPr>
        <w:t xml:space="preserve">had </w:t>
      </w:r>
      <w:r w:rsidRPr="0027086D">
        <w:t>been treated as such connections.</w:t>
      </w:r>
      <w:r>
        <w:t>”)</w:t>
      </w:r>
    </w:p>
  </w:footnote>
  <w:footnote w:id="766">
    <w:p w:rsidR="00EC7CF3" w:rsidRDefault="00EC7CF3" w:rsidP="0028065E">
      <w:pPr>
        <w:pStyle w:val="FootnoteText"/>
      </w:pPr>
      <w:r w:rsidRPr="00D40600">
        <w:rPr>
          <w:rStyle w:val="FootnoteReference"/>
          <w:sz w:val="20"/>
        </w:rPr>
        <w:footnoteRef/>
      </w:r>
      <w:r w:rsidRPr="00D40600">
        <w:t xml:space="preserve"> In filing their NRUF data, carriers do not report TNs that have been ported to them.  Therefore, in order to develop an estimate of mobile wireless connections, it is necessary to adjust the raw NRUF data to account for mobile wireless subscribers who have transferred their wireline TNs to wireless accounts.  Porting adjustments are developed from the TN porting databases managed by Neustar, acting as the administrator of the regional Number Portability Administration Centers (NPACs).  The databases contain all ported TNs currently in service.  They also contain information about when the TN was most recently ported (to a provider other than the provider to which the number originally was assigned) or, in some cases, when the database was updated to reflect a new area code.  </w:t>
      </w:r>
      <w:r w:rsidRPr="00D40600">
        <w:rPr>
          <w:i/>
          <w:iCs/>
        </w:rPr>
        <w:t>Trends in Telephone Service</w:t>
      </w:r>
      <w:r w:rsidRPr="00D40600">
        <w:t xml:space="preserve">, FCC, Apr. 2005, at 8-2 – 8-3.  </w:t>
      </w:r>
    </w:p>
  </w:footnote>
  <w:footnote w:id="767">
    <w:p w:rsidR="00EC7CF3" w:rsidRDefault="00EC7CF3">
      <w:pPr>
        <w:pStyle w:val="FootnoteText"/>
      </w:pPr>
      <w:r w:rsidRPr="00D40600">
        <w:rPr>
          <w:rStyle w:val="FootnoteReference"/>
          <w:sz w:val="20"/>
        </w:rPr>
        <w:footnoteRef/>
      </w:r>
      <w:r w:rsidRPr="00D40600">
        <w:t xml:space="preserve"> Such devices would include, for example, home alarm systems that rely on a wireless rather than landline connection for communication and monitoring, as well as fixed LTE broadband connections offered under Verizon Wireless’s recently announced Home Fusion program.</w:t>
      </w:r>
    </w:p>
  </w:footnote>
  <w:footnote w:id="768">
    <w:p w:rsidR="00EC7CF3" w:rsidRDefault="00EC7CF3" w:rsidP="0028065E">
      <w:pPr>
        <w:pStyle w:val="FootnoteText"/>
      </w:pPr>
      <w:r w:rsidRPr="00D40600">
        <w:rPr>
          <w:rStyle w:val="FootnoteReference"/>
          <w:sz w:val="20"/>
        </w:rPr>
        <w:footnoteRef/>
      </w:r>
      <w:r w:rsidRPr="00D40600">
        <w:t xml:space="preserve"> In contrast, NRUF data do not distinguish among the various types of mobile wireless services.</w:t>
      </w:r>
    </w:p>
  </w:footnote>
  <w:footnote w:id="769">
    <w:p w:rsidR="00EC7CF3" w:rsidRDefault="00EC7CF3" w:rsidP="0028065E">
      <w:pPr>
        <w:pStyle w:val="FootnoteText"/>
      </w:pPr>
      <w:r w:rsidRPr="00D40600">
        <w:rPr>
          <w:rStyle w:val="FootnoteReference"/>
          <w:sz w:val="20"/>
        </w:rPr>
        <w:footnoteRef/>
      </w:r>
      <w:r w:rsidRPr="00D40600">
        <w:t xml:space="preserve"> </w:t>
      </w:r>
      <w:r w:rsidRPr="00D40600">
        <w:rPr>
          <w:i/>
        </w:rPr>
        <w:t xml:space="preserve">See </w:t>
      </w:r>
      <w:r w:rsidRPr="00D40600">
        <w:t xml:space="preserve">Appendix B, Table B-2, </w:t>
      </w:r>
      <w:r w:rsidRPr="00D40600">
        <w:rPr>
          <w:i/>
        </w:rPr>
        <w:t>infra</w:t>
      </w:r>
      <w:r w:rsidRPr="00D40600">
        <w:t>.  These Form 477 data do not distinguish those mobile voice subscribers who also have a mobile data or Internet access plan from those who do not.</w:t>
      </w:r>
    </w:p>
  </w:footnote>
  <w:footnote w:id="770">
    <w:p w:rsidR="00EC7CF3" w:rsidRDefault="00EC7CF3" w:rsidP="0028065E">
      <w:pPr>
        <w:pStyle w:val="FootnoteText"/>
      </w:pPr>
      <w:r w:rsidRPr="00D40600">
        <w:rPr>
          <w:rStyle w:val="FootnoteReference"/>
          <w:sz w:val="20"/>
        </w:rPr>
        <w:footnoteRef/>
      </w:r>
      <w:r w:rsidRPr="00D40600">
        <w:t xml:space="preserve"> ComScore MobiLens, Dec. 2011.  comScore MobilLens U.S. data are derived from a monthly survey of over 13,000 respondents ages 13 and older who are recruited to represent U.S. Census demographics. </w:t>
      </w:r>
      <w:r>
        <w:t xml:space="preserve"> </w:t>
      </w:r>
      <w:r w:rsidRPr="00D40600">
        <w:t>The total universe size is estimated from data provided by CTIA and comScore’s monthly subscriber studies.</w:t>
      </w:r>
    </w:p>
  </w:footnote>
  <w:footnote w:id="771">
    <w:p w:rsidR="00EC7CF3" w:rsidRDefault="00EC7CF3" w:rsidP="0028065E">
      <w:pPr>
        <w:pStyle w:val="FootnoteText"/>
      </w:pPr>
      <w:r w:rsidRPr="00D40600">
        <w:rPr>
          <w:rStyle w:val="FootnoteReference"/>
          <w:sz w:val="20"/>
        </w:rPr>
        <w:footnoteRef/>
      </w:r>
      <w:r w:rsidRPr="00D40600">
        <w:t xml:space="preserve"> </w:t>
      </w:r>
      <w:r w:rsidRPr="00D40600">
        <w:rPr>
          <w:i/>
        </w:rPr>
        <w:t>See</w:t>
      </w:r>
      <w:r w:rsidRPr="00D40600">
        <w:t xml:space="preserve"> Table B-6, Appendix B, </w:t>
      </w:r>
      <w:r w:rsidRPr="00D40600">
        <w:rPr>
          <w:i/>
        </w:rPr>
        <w:t>infra</w:t>
      </w:r>
      <w:r w:rsidRPr="00D40600">
        <w:t xml:space="preserve">. Under the Commission’s current Form 477 data collection rules, terrestrial mobile wireless providers are required to report, on a state-by-state basis and by speed tier, their number of mobile wireless connections with a device and subscription that permits the user to access the lawful Internet content of his or her choice at data rates exceeding 200 kbps in at least one direction. </w:t>
      </w:r>
      <w:r>
        <w:t xml:space="preserve"> </w:t>
      </w:r>
      <w:r w:rsidRPr="00D40600">
        <w:t xml:space="preserve">Development of Nationwide Broadband Data to Evaluate Reasonable and Timely Deployment of Advanced Services to All Americans, Improvement of Wireless Broadband Subscribership Data, and Development of Data on Interconnected Voice over Internet Protocol (VoIP) Subscribership, WC Docket No. 07-38, </w:t>
      </w:r>
      <w:r w:rsidRPr="00D40600">
        <w:rPr>
          <w:i/>
        </w:rPr>
        <w:t>Report and Order and Further Notice of Proposed Rulemaking</w:t>
      </w:r>
      <w:r w:rsidRPr="00D40600">
        <w:t>, 23 FCC Rcd 9691, 9700 ¶ 20 (2008) (</w:t>
      </w:r>
      <w:r w:rsidRPr="00D40600">
        <w:rPr>
          <w:i/>
        </w:rPr>
        <w:t>Broadband Data Order</w:t>
      </w:r>
      <w:r w:rsidRPr="00D40600">
        <w:t xml:space="preserve">).  In addition, such providers report, on a state-by-state basis, their number of devices in service that are capable of sending or receiving information at speeds greater than 200 kbps in at least one direction, regardless of whether the user subscribes to a mobile Internet access plan.  </w:t>
      </w:r>
      <w:r w:rsidRPr="00D40600">
        <w:rPr>
          <w:i/>
        </w:rPr>
        <w:t>Broadband Data Order</w:t>
      </w:r>
      <w:r w:rsidRPr="00D40600">
        <w:t xml:space="preserve">, 23 FCC Rcd at 9703 ¶ 23.  Terrestrial mobile wireless providers are not required to submit their number of Internet access subscribers broken down on a Census Tract basis, as other providers are required to do.  </w:t>
      </w:r>
      <w:r w:rsidRPr="00D40600">
        <w:rPr>
          <w:i/>
        </w:rPr>
        <w:t>Broadband Data Order</w:t>
      </w:r>
      <w:r w:rsidRPr="00D40600">
        <w:t xml:space="preserve">, 23 FCC Rcd at 9698 ¶ 16.  We note that the Form 477 mobile wireless Internet access subscriber data do not capture those mobile data users who access the mobile Internet on a casual or </w:t>
      </w:r>
      <w:r w:rsidRPr="00D40600">
        <w:rPr>
          <w:i/>
        </w:rPr>
        <w:t>à la carte</w:t>
      </w:r>
      <w:r w:rsidRPr="00D40600">
        <w:t xml:space="preserve"> basis but do not have a monthly or longer-term subscription to a mobile wireless Internet access service.  Other Commission reports use alternative speed categories in presenting data on mobile broadband services. </w:t>
      </w:r>
      <w:r>
        <w:t xml:space="preserve"> </w:t>
      </w:r>
      <w:r w:rsidRPr="00D40600">
        <w:t xml:space="preserve">The </w:t>
      </w:r>
      <w:r w:rsidRPr="00D40600">
        <w:rPr>
          <w:i/>
        </w:rPr>
        <w:t>Eighth Broadband Progress Report</w:t>
      </w:r>
      <w:r w:rsidRPr="00D40600">
        <w:t xml:space="preserve"> presents data on Americans without access to mobile broadband services between June 30, 2010 and June 30, 2011 for three speed categories, at least 768 kbps/200 kbps, at least 3 Mbps/768 kbps and at least 6 Mbps/ 1.5 Mbps.  </w:t>
      </w:r>
      <w:r w:rsidRPr="00D40600">
        <w:rPr>
          <w:i/>
        </w:rPr>
        <w:t>2012</w:t>
      </w:r>
      <w:r w:rsidRPr="00D40600">
        <w:t xml:space="preserve"> </w:t>
      </w:r>
      <w:r w:rsidRPr="00D40600">
        <w:rPr>
          <w:i/>
        </w:rPr>
        <w:t>Eighth Broadband Progress Report</w:t>
      </w:r>
      <w:r w:rsidRPr="00D40600">
        <w:t>, GN Docket No. 11-121,  (rel. Aug. 21, 2012) ¶ 86.</w:t>
      </w:r>
    </w:p>
  </w:footnote>
  <w:footnote w:id="772">
    <w:p w:rsidR="00EC7CF3" w:rsidRDefault="00EC7CF3" w:rsidP="0028065E">
      <w:pPr>
        <w:pStyle w:val="FootnoteText"/>
      </w:pPr>
      <w:r w:rsidRPr="00D40600">
        <w:rPr>
          <w:rStyle w:val="FootnoteReference"/>
          <w:sz w:val="20"/>
        </w:rPr>
        <w:footnoteRef/>
      </w:r>
      <w:r w:rsidRPr="00D40600">
        <w:t xml:space="preserve"> Form 477.  Because reporting practices previously varied among providers to a largely unknown degree, the year-end 2008 and 2009 figures are not directly comparable to figures reported on Form 477 for earlier dates.</w:t>
      </w:r>
      <w:r w:rsidRPr="00D40600">
        <w:rPr>
          <w:rStyle w:val="FootnoteReference"/>
          <w:sz w:val="20"/>
        </w:rPr>
        <w:t xml:space="preserve"> </w:t>
      </w:r>
      <w:r w:rsidRPr="00D40600">
        <w:t xml:space="preserve">  </w:t>
      </w:r>
      <w:r w:rsidRPr="00D40600">
        <w:rPr>
          <w:i/>
        </w:rPr>
        <w:t>See Fifteenth Report</w:t>
      </w:r>
      <w:r w:rsidRPr="00D40600">
        <w:t>, 26 FCC Rcd at 9761 n. 493.</w:t>
      </w:r>
    </w:p>
  </w:footnote>
  <w:footnote w:id="773">
    <w:p w:rsidR="00EC7CF3" w:rsidRDefault="00EC7CF3" w:rsidP="0028065E">
      <w:pPr>
        <w:pStyle w:val="FootnoteText"/>
      </w:pPr>
      <w:r w:rsidRPr="00D40600">
        <w:rPr>
          <w:rStyle w:val="FootnoteReference"/>
          <w:sz w:val="20"/>
        </w:rPr>
        <w:footnoteRef/>
      </w:r>
      <w:r w:rsidRPr="00D40600">
        <w:t xml:space="preserve"> </w:t>
      </w:r>
      <w:r w:rsidRPr="00D40600">
        <w:rPr>
          <w:i/>
        </w:rPr>
        <w:t>CTIA Year-End 2011 Wireless Indices Report</w:t>
      </w:r>
      <w:r w:rsidRPr="00D40600">
        <w:t xml:space="preserve">, at 10; </w:t>
      </w:r>
      <w:r w:rsidRPr="00D40600">
        <w:rPr>
          <w:i/>
        </w:rPr>
        <w:t xml:space="preserve">Fifteenth Report, </w:t>
      </w:r>
      <w:r w:rsidRPr="00D40600">
        <w:t>26 FCC Rcd at 9761 ¶ 162.</w:t>
      </w:r>
    </w:p>
  </w:footnote>
  <w:footnote w:id="774">
    <w:p w:rsidR="00EC7CF3" w:rsidRDefault="00EC7CF3" w:rsidP="0028065E">
      <w:pPr>
        <w:pStyle w:val="FootnoteText"/>
      </w:pPr>
      <w:r w:rsidRPr="00D40600">
        <w:rPr>
          <w:rStyle w:val="FootnoteReference"/>
          <w:sz w:val="20"/>
        </w:rPr>
        <w:footnoteRef/>
      </w:r>
      <w:r w:rsidRPr="00D40600">
        <w:t xml:space="preserve"> </w:t>
      </w:r>
      <w:r w:rsidRPr="00D40600">
        <w:rPr>
          <w:i/>
        </w:rPr>
        <w:t>CTIA Year-End 2011 Wireless Indices Report</w:t>
      </w:r>
      <w:r w:rsidRPr="00D40600">
        <w:t>, at 10-11.</w:t>
      </w:r>
    </w:p>
  </w:footnote>
  <w:footnote w:id="775">
    <w:p w:rsidR="00EC7CF3" w:rsidRDefault="00EC7CF3" w:rsidP="0028065E">
      <w:pPr>
        <w:pStyle w:val="FootnoteText"/>
      </w:pPr>
      <w:r w:rsidRPr="00D40600">
        <w:rPr>
          <w:rStyle w:val="FootnoteReference"/>
          <w:sz w:val="20"/>
        </w:rPr>
        <w:footnoteRef/>
      </w:r>
      <w:r w:rsidRPr="00D40600">
        <w:t xml:space="preserve"> ComScore, </w:t>
      </w:r>
      <w:r w:rsidRPr="00D40600">
        <w:rPr>
          <w:i/>
        </w:rPr>
        <w:t>2012 Mobile Future in Focus Report</w:t>
      </w:r>
      <w:r w:rsidRPr="00D40600">
        <w:t>, February 2012, at 7-11.</w:t>
      </w:r>
    </w:p>
  </w:footnote>
  <w:footnote w:id="776">
    <w:p w:rsidR="00EC7CF3" w:rsidRDefault="00EC7CF3" w:rsidP="0028065E">
      <w:pPr>
        <w:pStyle w:val="FootnoteText"/>
      </w:pPr>
      <w:r w:rsidRPr="00D40600">
        <w:rPr>
          <w:rStyle w:val="FootnoteReference"/>
          <w:sz w:val="20"/>
        </w:rPr>
        <w:footnoteRef/>
      </w:r>
      <w:r w:rsidRPr="00D40600">
        <w:t xml:space="preserve"> </w:t>
      </w:r>
      <w:r w:rsidRPr="00D40600">
        <w:rPr>
          <w:i/>
        </w:rPr>
        <w:t>CTIA Year-End 2011 Wireless Indices Report</w:t>
      </w:r>
      <w:r w:rsidRPr="00D40600">
        <w:t>, at 10-11.</w:t>
      </w:r>
    </w:p>
  </w:footnote>
  <w:footnote w:id="777">
    <w:p w:rsidR="00EC7CF3" w:rsidRDefault="00EC7CF3" w:rsidP="0028065E">
      <w:pPr>
        <w:pStyle w:val="FootnoteText"/>
      </w:pPr>
      <w:r w:rsidRPr="00D40600">
        <w:rPr>
          <w:rStyle w:val="FootnoteReference"/>
          <w:sz w:val="20"/>
        </w:rPr>
        <w:footnoteRef/>
      </w:r>
      <w:r w:rsidRPr="00D40600">
        <w:t xml:space="preserve"> Aaron Smith, </w:t>
      </w:r>
      <w:r w:rsidRPr="00D40600">
        <w:rPr>
          <w:i/>
        </w:rPr>
        <w:t>Nearly Half of American Adults Are Smartphone Owners</w:t>
      </w:r>
      <w:r w:rsidRPr="00D40600">
        <w:t xml:space="preserve">, Pew, Mar. 1, 2012, </w:t>
      </w:r>
      <w:r w:rsidRPr="00D40600">
        <w:rPr>
          <w:i/>
        </w:rPr>
        <w:t xml:space="preserve">available at </w:t>
      </w:r>
      <w:hyperlink r:id="rId366" w:history="1">
        <w:r w:rsidRPr="007C0F0A">
          <w:rPr>
            <w:rStyle w:val="Hyperlink"/>
          </w:rPr>
          <w:t>http://pewinternet.org/Reports/2012/Smartphone-Update-2012/Findings.aspx</w:t>
        </w:r>
      </w:hyperlink>
      <w:r w:rsidRPr="00D40600">
        <w:rPr>
          <w:i/>
        </w:rPr>
        <w:t>.</w:t>
      </w:r>
      <w:r>
        <w:rPr>
          <w:i/>
        </w:rPr>
        <w:t xml:space="preserve"> </w:t>
      </w:r>
      <w:r w:rsidRPr="00432F46">
        <w:t>(visited Nov. 30, 2012)</w:t>
      </w:r>
      <w:r>
        <w:t>.</w:t>
      </w:r>
    </w:p>
  </w:footnote>
  <w:footnote w:id="778">
    <w:p w:rsidR="00EC7CF3" w:rsidRDefault="00EC7CF3" w:rsidP="0028065E">
      <w:pPr>
        <w:pStyle w:val="FootnoteText"/>
      </w:pPr>
      <w:r w:rsidRPr="00D40600">
        <w:rPr>
          <w:rStyle w:val="FootnoteReference"/>
          <w:sz w:val="20"/>
        </w:rPr>
        <w:footnoteRef/>
      </w:r>
      <w:r w:rsidRPr="00D40600">
        <w:t xml:space="preserve"> </w:t>
      </w:r>
      <w:r w:rsidRPr="00D40600">
        <w:rPr>
          <w:i/>
        </w:rPr>
        <w:t>US Wireless 411 4Q11</w:t>
      </w:r>
      <w:r w:rsidRPr="00D40600">
        <w:t>, at 10.</w:t>
      </w:r>
    </w:p>
  </w:footnote>
  <w:footnote w:id="779">
    <w:p w:rsidR="00EC7CF3" w:rsidRDefault="00EC7CF3" w:rsidP="0028065E">
      <w:pPr>
        <w:pStyle w:val="FootnoteText"/>
      </w:pPr>
      <w:r w:rsidRPr="00D40600">
        <w:rPr>
          <w:rStyle w:val="FootnoteReference"/>
          <w:sz w:val="20"/>
        </w:rPr>
        <w:footnoteRef/>
      </w:r>
      <w:r w:rsidRPr="00D40600">
        <w:t xml:space="preserve"> </w:t>
      </w:r>
      <w:r w:rsidRPr="00D40600">
        <w:rPr>
          <w:i/>
        </w:rPr>
        <w:t>US Wireless 411 4Q11</w:t>
      </w:r>
      <w:r w:rsidRPr="00D40600">
        <w:t>, at 10.</w:t>
      </w:r>
    </w:p>
  </w:footnote>
  <w:footnote w:id="780">
    <w:p w:rsidR="00EC7CF3" w:rsidRDefault="00EC7CF3" w:rsidP="0028065E">
      <w:pPr>
        <w:pStyle w:val="FootnoteText"/>
      </w:pPr>
      <w:r w:rsidRPr="00D40600">
        <w:rPr>
          <w:rStyle w:val="FootnoteReference"/>
          <w:sz w:val="20"/>
        </w:rPr>
        <w:footnoteRef/>
      </w:r>
      <w:r w:rsidRPr="00D40600">
        <w:rPr>
          <w:i/>
        </w:rPr>
        <w:t xml:space="preserve"> US Wireless 411 4Q11</w:t>
      </w:r>
      <w:r w:rsidRPr="00D40600">
        <w:t xml:space="preserve">, at 10.  UBS modified the categories it uses to track mobile connections by type of subscription in 2010 and 2011.  The previous four categories were Postpaid, Traditional Prepaid, Unlimited Prepaid, and Wholesale.  </w:t>
      </w:r>
      <w:r w:rsidRPr="00D40600">
        <w:rPr>
          <w:i/>
        </w:rPr>
        <w:t xml:space="preserve">See Fifteenth Report, </w:t>
      </w:r>
      <w:r w:rsidRPr="00D40600">
        <w:t xml:space="preserve">26 FCC Rcd at 9766 Chart 11.  In 2010, UBS began reporting the Connected Devices category, to reflect and account for changes made by the major providers in the way the report subscriber counts.  </w:t>
      </w:r>
      <w:r w:rsidRPr="00D40600">
        <w:rPr>
          <w:i/>
        </w:rPr>
        <w:t xml:space="preserve">See US Wireless 411 3Q10, </w:t>
      </w:r>
      <w:r w:rsidRPr="00D40600">
        <w:t xml:space="preserve">at 3-4.  In November 2011, UBS combined the two types of prepaid subscriptions into a single category.  </w:t>
      </w:r>
      <w:r w:rsidRPr="00D40600">
        <w:rPr>
          <w:i/>
        </w:rPr>
        <w:t xml:space="preserve">See US Wireless 411 3Q11, </w:t>
      </w:r>
      <w:r w:rsidRPr="00D40600">
        <w:t xml:space="preserve">at 3-4.  When UBS made these changes, it also retroactively modified the data for previous quarters, going back to the first quarter of 2009.    </w:t>
      </w:r>
    </w:p>
  </w:footnote>
  <w:footnote w:id="781">
    <w:p w:rsidR="00EC7CF3" w:rsidRDefault="00EC7CF3" w:rsidP="0028065E">
      <w:pPr>
        <w:pStyle w:val="FootnoteText"/>
      </w:pPr>
      <w:r w:rsidRPr="00D40600">
        <w:rPr>
          <w:rStyle w:val="FootnoteReference"/>
          <w:sz w:val="20"/>
        </w:rPr>
        <w:footnoteRef/>
      </w:r>
      <w:r w:rsidRPr="00D40600">
        <w:t xml:space="preserve"> ComScore MobiLens, Dec. 2011.  comScore MobilLens U.S. data are derived from a monthly survey of over 13,000 respondents ages 13 and older who are recruited to represent U.S. Census demographics. </w:t>
      </w:r>
      <w:r>
        <w:t xml:space="preserve"> </w:t>
      </w:r>
      <w:r w:rsidRPr="00D40600">
        <w:t>The total universe size is estimated from data provided by CTIA and comScore’s monthly subscriber studies.</w:t>
      </w:r>
    </w:p>
  </w:footnote>
  <w:footnote w:id="782">
    <w:p w:rsidR="00EC7CF3" w:rsidRDefault="00EC7CF3" w:rsidP="0028065E">
      <w:pPr>
        <w:pStyle w:val="FootnoteText"/>
      </w:pPr>
      <w:r w:rsidRPr="00D40600">
        <w:rPr>
          <w:rStyle w:val="FootnoteReference"/>
          <w:sz w:val="20"/>
        </w:rPr>
        <w:footnoteRef/>
      </w:r>
      <w:r w:rsidRPr="00D40600">
        <w:t xml:space="preserve"> ComScore MobiLens, Dec. 2011.  comScore MobilLens U.S. data are derived from a monthly survey of over 13,000 respondents ages 13 and older who are recruited to represent U.S. Census demographics. </w:t>
      </w:r>
      <w:r>
        <w:t xml:space="preserve"> </w:t>
      </w:r>
      <w:r w:rsidRPr="00D40600">
        <w:t>The total universe size is estimated from data provided by CTIA and comScore’s monthly subscriber studies.</w:t>
      </w:r>
    </w:p>
  </w:footnote>
  <w:footnote w:id="783">
    <w:p w:rsidR="00EC7CF3" w:rsidRDefault="00EC7CF3" w:rsidP="0028065E">
      <w:pPr>
        <w:pStyle w:val="FootnoteText"/>
      </w:pPr>
      <w:r w:rsidRPr="00D40600">
        <w:rPr>
          <w:rStyle w:val="FootnoteReference"/>
          <w:sz w:val="20"/>
        </w:rPr>
        <w:footnoteRef/>
      </w:r>
      <w:r w:rsidRPr="00D40600">
        <w:t xml:space="preserve"> Amanda Lenhart, </w:t>
      </w:r>
      <w:r w:rsidRPr="00D40600">
        <w:rPr>
          <w:i/>
        </w:rPr>
        <w:t>Teens, Smartphones &amp; Texting</w:t>
      </w:r>
      <w:r w:rsidRPr="00D40600">
        <w:t xml:space="preserve">, Pew, Mar. 19, 2012, </w:t>
      </w:r>
      <w:r w:rsidRPr="00D40600">
        <w:rPr>
          <w:i/>
        </w:rPr>
        <w:t xml:space="preserve">available at </w:t>
      </w:r>
      <w:hyperlink r:id="rId367" w:history="1">
        <w:r w:rsidRPr="00D40600">
          <w:rPr>
            <w:rStyle w:val="Hyperlink"/>
          </w:rPr>
          <w:t>http://pewinternet.org/Reports/2012/Teens-and-smartphones/Summary-of-findings.aspx</w:t>
        </w:r>
      </w:hyperlink>
      <w:r w:rsidRPr="00D40600">
        <w:t xml:space="preserve"> (visited Oct. 16, 2012).</w:t>
      </w:r>
    </w:p>
  </w:footnote>
  <w:footnote w:id="784">
    <w:p w:rsidR="00EC7CF3" w:rsidRDefault="00EC7CF3" w:rsidP="0028065E">
      <w:pPr>
        <w:pStyle w:val="FootnoteText"/>
      </w:pPr>
      <w:r w:rsidRPr="00D40600">
        <w:rPr>
          <w:rStyle w:val="FootnoteReference"/>
          <w:sz w:val="20"/>
        </w:rPr>
        <w:footnoteRef/>
      </w:r>
      <w:r w:rsidRPr="00D40600">
        <w:t xml:space="preserve"> Amanda Lenhart, </w:t>
      </w:r>
      <w:r w:rsidRPr="00D40600">
        <w:rPr>
          <w:i/>
        </w:rPr>
        <w:t>Teens, Smartphones &amp; Texting</w:t>
      </w:r>
      <w:r w:rsidRPr="00D40600">
        <w:t xml:space="preserve">, Pew, Mar. 19, 2012, </w:t>
      </w:r>
      <w:r w:rsidRPr="00D40600">
        <w:rPr>
          <w:i/>
        </w:rPr>
        <w:t xml:space="preserve">available at </w:t>
      </w:r>
      <w:hyperlink r:id="rId368" w:history="1">
        <w:r w:rsidRPr="00D40600">
          <w:rPr>
            <w:rStyle w:val="Hyperlink"/>
          </w:rPr>
          <w:t>http://pewinternet.org/Reports/2012/Teens-and-smartphones/Summary-of-findings.aspx</w:t>
        </w:r>
      </w:hyperlink>
      <w:r w:rsidRPr="00D40600">
        <w:t xml:space="preserve"> (visited Oct. 16, 2012).</w:t>
      </w:r>
    </w:p>
  </w:footnote>
  <w:footnote w:id="785">
    <w:p w:rsidR="00EC7CF3" w:rsidRDefault="00EC7CF3" w:rsidP="0028065E">
      <w:pPr>
        <w:pStyle w:val="FootnoteText"/>
      </w:pPr>
      <w:r w:rsidRPr="00D40600">
        <w:rPr>
          <w:rStyle w:val="FootnoteReference"/>
          <w:sz w:val="20"/>
        </w:rPr>
        <w:footnoteRef/>
      </w:r>
      <w:r w:rsidRPr="00D40600">
        <w:t xml:space="preserve"> Estimated by ComScore MobiLens, Dec. 2011.  comScore MobilLens U.S. data are derived from a monthly survey of over 13,000 respondents ages 13 and older who are recruited to represent U.S. Census demographics. </w:t>
      </w:r>
      <w:r>
        <w:t xml:space="preserve"> </w:t>
      </w:r>
      <w:r w:rsidRPr="00D40600">
        <w:t>The total universe size is estimated from data provided by CTIA and comScore’s monthly subscriber studies.</w:t>
      </w:r>
    </w:p>
  </w:footnote>
  <w:footnote w:id="786">
    <w:p w:rsidR="00EC7CF3" w:rsidRDefault="00EC7CF3" w:rsidP="0028065E">
      <w:pPr>
        <w:pStyle w:val="FootnoteText"/>
      </w:pPr>
      <w:r w:rsidRPr="00D40600">
        <w:rPr>
          <w:rStyle w:val="FootnoteReference"/>
          <w:sz w:val="20"/>
        </w:rPr>
        <w:footnoteRef/>
      </w:r>
      <w:r w:rsidRPr="00D40600">
        <w:t xml:space="preserve"> NRUF data are collected on a small area basis and thus allows the Commission to compare the spread of mobile wireless subscribership across different areas within the United States.  NRUF data are collected by the area code and prefix (NXX) level for each provider, which enables the Commission to approximate the number of subscribers that each provider has in each of the approximately 18,000 rate centers in the country.  Rate center boundaries generally do not coincide with county boundaries.  However, for purposes of geographical analysis, rate centers (including those that cross county boundaries) can be associated with the county that contains the (usually) centralized geographic point for that rate center.  Counties, for which population and other data exist, can be aggregated together and associated with several larger geographic areas based on counties, such as EAs and Cellular Market Areas (CMAs).  Aggregation to larger geographic areas reduces the level of inaccuracy inherent in combining non-coterminous areas such as rate center areas and counties.</w:t>
      </w:r>
    </w:p>
  </w:footnote>
  <w:footnote w:id="787">
    <w:p w:rsidR="00EC7CF3" w:rsidRDefault="00EC7CF3" w:rsidP="0028065E">
      <w:pPr>
        <w:pStyle w:val="FootnoteText"/>
      </w:pPr>
      <w:r w:rsidRPr="00D40600">
        <w:rPr>
          <w:rStyle w:val="FootnoteReference"/>
          <w:sz w:val="20"/>
        </w:rPr>
        <w:footnoteRef/>
      </w:r>
      <w:r w:rsidRPr="00D40600">
        <w:t xml:space="preserve"> There are 172 EAs, each of which is an aggregation of counties.  Each EA is made up of one or more economic nodes and the surrounding areas that are economically related to the node.  The main factor used in determining the economic relationship between the two areas is commuting patterns, so that each EA includes, as far as possible, the place of work and the place of residence of its labor force.  </w:t>
      </w:r>
      <w:r w:rsidRPr="00D40600">
        <w:rPr>
          <w:i/>
        </w:rPr>
        <w:t>See</w:t>
      </w:r>
      <w:r w:rsidRPr="00D40600">
        <w:t xml:space="preserve"> Kenneth P. Johnson, </w:t>
      </w:r>
      <w:r w:rsidRPr="00D40600">
        <w:rPr>
          <w:i/>
        </w:rPr>
        <w:t>Redefinition of the EA Economic Areas</w:t>
      </w:r>
      <w:r w:rsidRPr="00D40600">
        <w:t>, Survey of Current Business, Feb. 1995, at 75 (</w:t>
      </w:r>
      <w:r w:rsidRPr="00D40600">
        <w:rPr>
          <w:i/>
          <w:iCs/>
        </w:rPr>
        <w:t>Redefinition of the EA</w:t>
      </w:r>
      <w:r w:rsidRPr="00D40600">
        <w:t xml:space="preserve">).  For its spectrum auctions, the Commission has defined four additional EAs: Guam and the Northern Mariana Islands (173); Puerto Rico and the U.S. Virgin Islands (174); American Samoa (175); and Gulf of Mexico (176).  </w:t>
      </w:r>
      <w:r w:rsidRPr="00D40600">
        <w:rPr>
          <w:i/>
        </w:rPr>
        <w:t>See</w:t>
      </w:r>
      <w:r w:rsidRPr="00D40600">
        <w:t xml:space="preserve"> FCC, </w:t>
      </w:r>
      <w:r w:rsidRPr="00D40600">
        <w:rPr>
          <w:i/>
        </w:rPr>
        <w:t xml:space="preserve">FCC Auctions: Maps, available at </w:t>
      </w:r>
      <w:hyperlink r:id="rId369" w:history="1">
        <w:r w:rsidRPr="00D40600">
          <w:rPr>
            <w:rStyle w:val="Hyperlink"/>
          </w:rPr>
          <w:t>http://wireless.fcc.gov/auctions/data/maps.html</w:t>
        </w:r>
      </w:hyperlink>
      <w:r w:rsidRPr="00D40600">
        <w:t xml:space="preserve"> (visited Dec. 15, 2008).  In November 2004, the Bureau of Economic Analysis released updated definitions of EAs; however, for consistency, we use the previous release of definitions.  </w:t>
      </w:r>
      <w:r w:rsidRPr="00D40600">
        <w:rPr>
          <w:i/>
          <w:iCs/>
        </w:rPr>
        <w:t>See</w:t>
      </w:r>
      <w:r w:rsidRPr="00D40600">
        <w:t xml:space="preserve"> </w:t>
      </w:r>
      <w:r w:rsidRPr="00D40600">
        <w:rPr>
          <w:i/>
          <w:iCs/>
        </w:rPr>
        <w:t>New BEA Economic Areas For 2004</w:t>
      </w:r>
      <w:r w:rsidRPr="00D40600">
        <w:t xml:space="preserve">, Bureau of Economic Analysis, Nov. 17, 2004.  As noted above, the Commission typically has used smaller geographic areas, such as CMAs, in its analysis of mobile wireless transactions.  </w:t>
      </w:r>
      <w:r w:rsidRPr="00D40600">
        <w:rPr>
          <w:i/>
        </w:rPr>
        <w:t>See, e.g., Sprint Nextel-Clearwire Order</w:t>
      </w:r>
      <w:r w:rsidRPr="00D40600">
        <w:t xml:space="preserve">, 23 FCC Rcd at 17591 ¶¶ 51-52; </w:t>
      </w:r>
      <w:r w:rsidRPr="00D40600">
        <w:rPr>
          <w:i/>
        </w:rPr>
        <w:t>Verizon Wireless-Alltel Order</w:t>
      </w:r>
      <w:r w:rsidRPr="00D40600">
        <w:t>, 23 FCC Rcd at 17472-73 ¶ 52.</w:t>
      </w:r>
    </w:p>
  </w:footnote>
  <w:footnote w:id="788">
    <w:p w:rsidR="00EC7CF3" w:rsidRDefault="00EC7CF3" w:rsidP="0028065E">
      <w:pPr>
        <w:pStyle w:val="FootnoteText"/>
      </w:pPr>
      <w:r w:rsidRPr="00D40600">
        <w:rPr>
          <w:rStyle w:val="FootnoteReference"/>
          <w:sz w:val="20"/>
        </w:rPr>
        <w:footnoteRef/>
      </w:r>
      <w:r w:rsidRPr="00D40600">
        <w:t xml:space="preserve"> Wireless providers have considerable discretion in how they assign telephone numbers across the rate centers in their operating areas and, according to one analyst, assign numbers so as to minimize the access charges paid to local wireline companies.  </w:t>
      </w:r>
      <w:r w:rsidRPr="00D40600">
        <w:rPr>
          <w:i/>
        </w:rPr>
        <w:t>See</w:t>
      </w:r>
      <w:r w:rsidRPr="00D40600">
        <w:t xml:space="preserve"> Linda Mutschler </w:t>
      </w:r>
      <w:r w:rsidRPr="00D40600">
        <w:rPr>
          <w:i/>
        </w:rPr>
        <w:t>et al.</w:t>
      </w:r>
      <w:r w:rsidRPr="00D40600">
        <w:t xml:space="preserve">, </w:t>
      </w:r>
      <w:r w:rsidRPr="00D40600">
        <w:rPr>
          <w:i/>
        </w:rPr>
        <w:t>Wireless Number Portability</w:t>
      </w:r>
      <w:r w:rsidRPr="00D40600">
        <w:t xml:space="preserve">, Merrill Lynch, Equity Research, Jan 9, 2003, at 8 (“For wireless operators, the standard practice is to aggregate phone numbers within the same area code onto the same or several rate centers, whose physical locations would result in the least amount of access charges paid to ILECs.  Therefore, in each market, wireless operators are present in only a small number of rate centers.  According to our industry sources, this percentage is probably below 20%, and could be meaningfully lower than 20%”).  Therefore, a mobile wireless subscriber can be assigned a phone number associated with a rate center that is a significant distance away from the subscriber’s place of residence or usage, but generally still in the same EA.  </w:t>
      </w:r>
      <w:r w:rsidRPr="00D40600">
        <w:rPr>
          <w:i/>
        </w:rPr>
        <w:t xml:space="preserve">See </w:t>
      </w:r>
      <w:r w:rsidRPr="00D40600">
        <w:t xml:space="preserve">Linda Mutschler, </w:t>
      </w:r>
      <w:r w:rsidRPr="00D40600">
        <w:rPr>
          <w:i/>
        </w:rPr>
        <w:t>et al.</w:t>
      </w:r>
      <w:r w:rsidRPr="00D40600">
        <w:t xml:space="preserve">, </w:t>
      </w:r>
      <w:r w:rsidRPr="00D40600">
        <w:rPr>
          <w:i/>
        </w:rPr>
        <w:t>US Wireless Services:</w:t>
      </w:r>
      <w:r w:rsidRPr="00D40600">
        <w:t xml:space="preserve"> </w:t>
      </w:r>
      <w:r w:rsidRPr="00D40600">
        <w:rPr>
          <w:i/>
        </w:rPr>
        <w:t>Wireless Number Portability – Breaking Rules</w:t>
      </w:r>
      <w:r w:rsidRPr="00D40600">
        <w:t>, Merrill Lynch, Equity Research, Feb. 28, 2003, at 3 (“Once the NPA-NXX (</w:t>
      </w:r>
      <w:r w:rsidRPr="00D40600">
        <w:rPr>
          <w:i/>
        </w:rPr>
        <w:t>i.e.</w:t>
      </w:r>
      <w:r w:rsidRPr="00D40600">
        <w:t>, 212-449) is assigned to the wireless carrier, the carrier may select any one of its NPA-NXXs when allocating that number to a particular subscriber.  Therefore, with regard to wireless, the subscriber’s physical location is not necessarily a requirement in determining the phone number assignment – which is very different from how wireline numbers are assigned”).</w:t>
      </w:r>
    </w:p>
  </w:footnote>
  <w:footnote w:id="789">
    <w:p w:rsidR="00EC7CF3" w:rsidRDefault="00EC7CF3" w:rsidP="0028065E">
      <w:pPr>
        <w:pStyle w:val="FootnoteText"/>
      </w:pPr>
      <w:r w:rsidRPr="00D40600">
        <w:rPr>
          <w:rStyle w:val="FootnoteReference"/>
          <w:sz w:val="20"/>
        </w:rPr>
        <w:footnoteRef/>
      </w:r>
      <w:r w:rsidRPr="00D40600">
        <w:t xml:space="preserve"> EA connection levels and penetration rates as of December 2010 and December 2011 can be seen in Appendix C, Table C-3.  In addition, a map showing regional penetration rates by EAs can be found in Appendix C.</w:t>
      </w:r>
      <w:r w:rsidRPr="00D40600">
        <w:rPr>
          <w:i/>
        </w:rPr>
        <w:t xml:space="preserve">  See </w:t>
      </w:r>
      <w:r w:rsidRPr="00D40600">
        <w:t xml:space="preserve">Map C-30, Appendix C, </w:t>
      </w:r>
      <w:r w:rsidRPr="00D40600">
        <w:rPr>
          <w:i/>
        </w:rPr>
        <w:t>infra</w:t>
      </w:r>
      <w:r w:rsidRPr="00D40600">
        <w:t>.  In seven EAs, the penetration rate could not be reported for confidentiality reasons because the number of competing providers in the EA is less than four.</w:t>
      </w:r>
    </w:p>
  </w:footnote>
  <w:footnote w:id="790">
    <w:p w:rsidR="00EC7CF3" w:rsidRDefault="00EC7CF3" w:rsidP="0028065E">
      <w:pPr>
        <w:pStyle w:val="FootnoteText"/>
      </w:pPr>
      <w:r w:rsidRPr="00D40600">
        <w:rPr>
          <w:rStyle w:val="FootnoteReference"/>
          <w:sz w:val="20"/>
        </w:rPr>
        <w:footnoteRef/>
      </w:r>
      <w:r w:rsidRPr="00D40600">
        <w:t xml:space="preserve"> </w:t>
      </w:r>
      <w:r w:rsidRPr="00D40600">
        <w:rPr>
          <w:lang w:eastAsia="zh-CN"/>
        </w:rPr>
        <w:t>As discussed above, the NRUF data used to generate an estimate of mobile wireless connections are based on the number of phone numbers assigned to mobile wireless devices.  Therefore, any device with a mobile wireless phone number is counted as a connection, and many data-only devices with mobile wireless network connections, such as laptop cards and e-readers, have phone numbers assigned to them.</w:t>
      </w:r>
    </w:p>
  </w:footnote>
  <w:footnote w:id="791">
    <w:p w:rsidR="00EC7CF3" w:rsidRDefault="00EC7CF3" w:rsidP="0028065E">
      <w:pPr>
        <w:pStyle w:val="FootnoteText"/>
      </w:pPr>
      <w:r w:rsidRPr="00D40600">
        <w:rPr>
          <w:rStyle w:val="FootnoteReference"/>
          <w:sz w:val="20"/>
        </w:rPr>
        <w:footnoteRef/>
      </w:r>
      <w:r w:rsidRPr="00D40600">
        <w:t xml:space="preserve"> </w:t>
      </w:r>
      <w:r w:rsidRPr="00D40600">
        <w:rPr>
          <w:i/>
        </w:rPr>
        <w:t xml:space="preserve">See </w:t>
      </w:r>
      <w:r w:rsidRPr="00D40600">
        <w:t xml:space="preserve">Section </w:t>
      </w:r>
      <w:r w:rsidR="00951E9B">
        <w:fldChar w:fldCharType="begin"/>
      </w:r>
      <w:r w:rsidR="00951E9B">
        <w:instrText xml:space="preserve"> REF _Ref287272229 \r  \* MERGEFORMAT </w:instrText>
      </w:r>
      <w:r w:rsidR="00951E9B">
        <w:fldChar w:fldCharType="separate"/>
      </w:r>
      <w:r>
        <w:t>V.A.4</w:t>
      </w:r>
      <w:r w:rsidR="00951E9B">
        <w:fldChar w:fldCharType="end"/>
      </w:r>
      <w:r>
        <w:t>,</w:t>
      </w:r>
      <w:r w:rsidRPr="00D40600">
        <w:t xml:space="preserve"> </w:t>
      </w:r>
      <w:r>
        <w:fldChar w:fldCharType="begin"/>
      </w:r>
      <w:r>
        <w:instrText xml:space="preserve"> REF _Ref276652380 \h  \* MERGEFORMAT </w:instrText>
      </w:r>
      <w:r>
        <w:fldChar w:fldCharType="separate"/>
      </w:r>
      <w:r w:rsidRPr="00CA3AC6">
        <w:t>Connections by Age</w:t>
      </w:r>
      <w:r>
        <w:fldChar w:fldCharType="end"/>
      </w:r>
      <w:r w:rsidRPr="00D40600">
        <w:t xml:space="preserve">, </w:t>
      </w:r>
      <w:r w:rsidRPr="00D40600">
        <w:rPr>
          <w:i/>
        </w:rPr>
        <w:t>supra</w:t>
      </w:r>
      <w:r w:rsidRPr="00D40600">
        <w:t>.</w:t>
      </w:r>
    </w:p>
  </w:footnote>
  <w:footnote w:id="792">
    <w:p w:rsidR="00EC7CF3" w:rsidRDefault="00EC7CF3" w:rsidP="0028065E">
      <w:pPr>
        <w:pStyle w:val="FootnoteText"/>
      </w:pPr>
      <w:r w:rsidRPr="00D40600">
        <w:rPr>
          <w:rStyle w:val="FootnoteReference"/>
          <w:sz w:val="20"/>
        </w:rPr>
        <w:footnoteRef/>
      </w:r>
      <w:r w:rsidRPr="00D40600">
        <w:t xml:space="preserve"> </w:t>
      </w:r>
      <w:r w:rsidRPr="00D40600">
        <w:rPr>
          <w:i/>
        </w:rPr>
        <w:t xml:space="preserve">See </w:t>
      </w:r>
      <w:r>
        <w:fldChar w:fldCharType="begin"/>
      </w:r>
      <w:r>
        <w:instrText xml:space="preserve"> REF _Ref330391727 \h  \* MERGEFORMAT </w:instrText>
      </w:r>
      <w:r>
        <w:fldChar w:fldCharType="separate"/>
      </w:r>
      <w:r w:rsidRPr="00CA3AC6">
        <w:t xml:space="preserve">Table </w:t>
      </w:r>
      <w:r w:rsidRPr="00CA3AC6">
        <w:rPr>
          <w:noProof/>
        </w:rPr>
        <w:t>34</w:t>
      </w:r>
      <w:r>
        <w:fldChar w:fldCharType="end"/>
      </w:r>
      <w:r w:rsidRPr="00D40600">
        <w:t xml:space="preserve">, </w:t>
      </w:r>
      <w:r w:rsidRPr="00D40600">
        <w:rPr>
          <w:i/>
        </w:rPr>
        <w:t>supra</w:t>
      </w:r>
      <w:r w:rsidRPr="00D40600">
        <w:t>.</w:t>
      </w:r>
    </w:p>
  </w:footnote>
  <w:footnote w:id="793">
    <w:p w:rsidR="00EC7CF3" w:rsidRDefault="00EC7CF3" w:rsidP="0028065E">
      <w:pPr>
        <w:pStyle w:val="FootnoteText"/>
      </w:pPr>
      <w:r w:rsidRPr="00D40600">
        <w:rPr>
          <w:rStyle w:val="FootnoteReference"/>
          <w:sz w:val="20"/>
        </w:rPr>
        <w:footnoteRef/>
      </w:r>
      <w:r w:rsidRPr="00D40600">
        <w:t xml:space="preserve"> </w:t>
      </w:r>
      <w:r w:rsidRPr="00D40600">
        <w:rPr>
          <w:i/>
        </w:rPr>
        <w:t>US Wireless 411 4Q11</w:t>
      </w:r>
      <w:r w:rsidRPr="00D40600">
        <w:t>, at 10.  Wholesale subscribers exclude TracFone.</w:t>
      </w:r>
    </w:p>
  </w:footnote>
  <w:footnote w:id="794">
    <w:p w:rsidR="00EC7CF3" w:rsidRDefault="00EC7CF3" w:rsidP="0028065E">
      <w:pPr>
        <w:pStyle w:val="FootnoteText"/>
      </w:pPr>
      <w:r w:rsidRPr="00D40600">
        <w:rPr>
          <w:rStyle w:val="FootnoteReference"/>
          <w:sz w:val="20"/>
        </w:rPr>
        <w:footnoteRef/>
      </w:r>
      <w:r w:rsidRPr="00D40600">
        <w:t xml:space="preserve"> </w:t>
      </w:r>
      <w:r w:rsidRPr="00D40600">
        <w:rPr>
          <w:i/>
        </w:rPr>
        <w:t>US Wireless 411 4Q11</w:t>
      </w:r>
      <w:r w:rsidRPr="00D40600">
        <w:t xml:space="preserve">, at 10.  </w:t>
      </w:r>
    </w:p>
  </w:footnote>
  <w:footnote w:id="795">
    <w:p w:rsidR="00EC7CF3" w:rsidRDefault="00EC7CF3" w:rsidP="0028065E">
      <w:pPr>
        <w:pStyle w:val="FootnoteText"/>
      </w:pPr>
      <w:r w:rsidRPr="00D40600">
        <w:rPr>
          <w:rStyle w:val="FootnoteReference"/>
          <w:sz w:val="20"/>
        </w:rPr>
        <w:footnoteRef/>
      </w:r>
      <w:r w:rsidRPr="00D40600">
        <w:t xml:space="preserve"> </w:t>
      </w:r>
      <w:r w:rsidRPr="00D40600">
        <w:rPr>
          <w:i/>
        </w:rPr>
        <w:t xml:space="preserve">See </w:t>
      </w:r>
      <w:r w:rsidRPr="00D40600">
        <w:t xml:space="preserve">Sections </w:t>
      </w:r>
      <w:r>
        <w:fldChar w:fldCharType="begin"/>
      </w:r>
      <w:r>
        <w:instrText xml:space="preserve"> REF _Ref285717656 \w \h  \* MERGEFORMAT </w:instrText>
      </w:r>
      <w:r>
        <w:fldChar w:fldCharType="separate"/>
      </w:r>
      <w:r>
        <w:t>III.D.3.a</w:t>
      </w:r>
      <w:r>
        <w:fldChar w:fldCharType="end"/>
      </w:r>
      <w:r w:rsidRPr="00D40600">
        <w:t xml:space="preserve">, </w:t>
      </w:r>
      <w:r>
        <w:fldChar w:fldCharType="begin"/>
      </w:r>
      <w:r>
        <w:instrText xml:space="preserve"> REF _Ref285717658 \h  \* MERGEFORMAT </w:instrText>
      </w:r>
      <w:r>
        <w:fldChar w:fldCharType="separate"/>
      </w:r>
      <w:r w:rsidRPr="00CA3AC6">
        <w:t>Entry</w:t>
      </w:r>
      <w:r>
        <w:fldChar w:fldCharType="end"/>
      </w:r>
      <w:r>
        <w:t xml:space="preserve">; Section </w:t>
      </w:r>
      <w:r>
        <w:fldChar w:fldCharType="begin"/>
      </w:r>
      <w:r>
        <w:instrText xml:space="preserve"> REF _Ref256168774 \w \h  \* MERGEFORMAT </w:instrText>
      </w:r>
      <w:r>
        <w:fldChar w:fldCharType="separate"/>
      </w:r>
      <w:r>
        <w:t>IV.B.1.a</w:t>
      </w:r>
      <w:r>
        <w:fldChar w:fldCharType="end"/>
      </w:r>
      <w:r w:rsidRPr="00D40600">
        <w:t xml:space="preserve">, </w:t>
      </w:r>
      <w:r>
        <w:fldChar w:fldCharType="begin"/>
      </w:r>
      <w:r>
        <w:instrText xml:space="preserve"> REF _Ref256168774 \h  \* MERGEFORMAT </w:instrText>
      </w:r>
      <w:r>
        <w:fldChar w:fldCharType="separate"/>
      </w:r>
      <w:r w:rsidRPr="00CA3AC6">
        <w:t>Service Provider Technology Deployments</w:t>
      </w:r>
      <w:r>
        <w:fldChar w:fldCharType="end"/>
      </w:r>
      <w:r w:rsidRPr="00D40600">
        <w:t xml:space="preserve">, </w:t>
      </w:r>
      <w:r w:rsidRPr="00D40600">
        <w:rPr>
          <w:i/>
        </w:rPr>
        <w:t>supra.</w:t>
      </w:r>
    </w:p>
  </w:footnote>
  <w:footnote w:id="796">
    <w:p w:rsidR="00EC7CF3" w:rsidRDefault="00EC7CF3" w:rsidP="0028065E">
      <w:pPr>
        <w:pStyle w:val="FootnoteText"/>
      </w:pPr>
      <w:r w:rsidRPr="00D40600">
        <w:rPr>
          <w:rStyle w:val="FootnoteReference"/>
          <w:sz w:val="20"/>
        </w:rPr>
        <w:footnoteRef/>
      </w:r>
      <w:r w:rsidRPr="00D40600">
        <w:t xml:space="preserve"> </w:t>
      </w:r>
      <w:r w:rsidRPr="00D40600">
        <w:rPr>
          <w:i/>
        </w:rPr>
        <w:t>US Wireless 411 4Q11</w:t>
      </w:r>
      <w:r w:rsidRPr="00D40600">
        <w:t>, at 10.  UBS categorizes Tracfone customers in prepaid, not wholesale.</w:t>
      </w:r>
    </w:p>
  </w:footnote>
  <w:footnote w:id="797">
    <w:p w:rsidR="00EC7CF3" w:rsidRDefault="00EC7CF3" w:rsidP="0028065E">
      <w:pPr>
        <w:pStyle w:val="FootnoteText"/>
      </w:pPr>
      <w:r w:rsidRPr="00D40600">
        <w:rPr>
          <w:rStyle w:val="FootnoteReference"/>
          <w:sz w:val="20"/>
        </w:rPr>
        <w:footnoteRef/>
      </w:r>
      <w:r w:rsidRPr="00D40600">
        <w:t xml:space="preserve"> </w:t>
      </w:r>
      <w:r w:rsidRPr="00D40600">
        <w:rPr>
          <w:i/>
        </w:rPr>
        <w:t xml:space="preserve">See </w:t>
      </w:r>
      <w:r w:rsidR="00951E9B">
        <w:fldChar w:fldCharType="begin"/>
      </w:r>
      <w:r w:rsidR="00951E9B">
        <w:instrText xml:space="preserve"> REF _Ref277066000  \* MERGEFORMAT </w:instrText>
      </w:r>
      <w:r w:rsidR="00951E9B">
        <w:fldChar w:fldCharType="separate"/>
      </w:r>
      <w:r w:rsidRPr="00CA3AC6">
        <w:t xml:space="preserve">Table </w:t>
      </w:r>
      <w:r w:rsidRPr="00CA3AC6">
        <w:rPr>
          <w:noProof/>
        </w:rPr>
        <w:t>13</w:t>
      </w:r>
      <w:r w:rsidR="00951E9B">
        <w:rPr>
          <w:noProof/>
        </w:rPr>
        <w:fldChar w:fldCharType="end"/>
      </w:r>
      <w:r w:rsidRPr="00D40600">
        <w:t xml:space="preserve">, </w:t>
      </w:r>
      <w:r w:rsidRPr="00D40600">
        <w:rPr>
          <w:i/>
        </w:rPr>
        <w:t>supra</w:t>
      </w:r>
      <w:r w:rsidRPr="00D40600">
        <w:t>;</w:t>
      </w:r>
      <w:r w:rsidRPr="00D40600">
        <w:rPr>
          <w:i/>
        </w:rPr>
        <w:t xml:space="preserve"> Fifteenth Report, </w:t>
      </w:r>
      <w:r w:rsidRPr="00D40600">
        <w:t>26 FCC Rcd at 9697 Table 3, 9775 Chart 18;</w:t>
      </w:r>
      <w:r w:rsidRPr="00D40600">
        <w:rPr>
          <w:i/>
        </w:rPr>
        <w:t xml:space="preserve"> Fourteenth Report</w:t>
      </w:r>
      <w:r w:rsidRPr="00D40600">
        <w:t xml:space="preserve">, 25 FCC Rcd at 11521, Chart 20, 11648, Table C-4.  These calculations include wholesale subscribers.  </w:t>
      </w:r>
      <w:r w:rsidRPr="00D40600">
        <w:rPr>
          <w:i/>
        </w:rPr>
        <w:t>Pro-forma</w:t>
      </w:r>
      <w:r w:rsidRPr="00D40600">
        <w:t xml:space="preserve"> calculations were made to account for mergers and show only “organic” net adds generated independent of mergers.  For instance, Verizon Wireless’s reported net additions for 2009, including the subscribers acquired from Alltel, totaled 19,193,000.  </w:t>
      </w:r>
      <w:r w:rsidRPr="00D40600">
        <w:rPr>
          <w:i/>
        </w:rPr>
        <w:t>See Fifteenth Report</w:t>
      </w:r>
      <w:r w:rsidRPr="00D40600">
        <w:t>, 26 FCC Rcd at 9775 n. 544.</w:t>
      </w:r>
    </w:p>
  </w:footnote>
  <w:footnote w:id="798">
    <w:p w:rsidR="00EC7CF3" w:rsidRDefault="00EC7CF3" w:rsidP="0028065E">
      <w:pPr>
        <w:pStyle w:val="FootnoteText"/>
      </w:pPr>
      <w:r w:rsidRPr="00D40600">
        <w:rPr>
          <w:rStyle w:val="FootnoteReference"/>
          <w:sz w:val="20"/>
        </w:rPr>
        <w:footnoteRef/>
      </w:r>
      <w:r w:rsidRPr="00D40600">
        <w:t xml:space="preserve"> </w:t>
      </w:r>
      <w:r w:rsidRPr="00D40600">
        <w:rPr>
          <w:i/>
        </w:rPr>
        <w:t>CTIA Year-End 2011 Wireless Indices Report</w:t>
      </w:r>
      <w:r w:rsidRPr="00D40600">
        <w:t>, at 75.</w:t>
      </w:r>
    </w:p>
  </w:footnote>
  <w:footnote w:id="799">
    <w:p w:rsidR="00EC7CF3" w:rsidRDefault="00EC7CF3" w:rsidP="0028065E">
      <w:pPr>
        <w:pStyle w:val="FootnoteText"/>
      </w:pPr>
      <w:r w:rsidRPr="00D40600">
        <w:rPr>
          <w:rStyle w:val="FootnoteReference"/>
          <w:sz w:val="20"/>
        </w:rPr>
        <w:footnoteRef/>
      </w:r>
      <w:r w:rsidRPr="00D40600">
        <w:t xml:space="preserve"> </w:t>
      </w:r>
      <w:r w:rsidRPr="00D40600">
        <w:rPr>
          <w:i/>
        </w:rPr>
        <w:t>Leap Wireless &amp; Metro PCS: Low Cost Prepaid Wireless…A Survival Story; Initiating Coverage at Outperform</w:t>
      </w:r>
      <w:r w:rsidRPr="00D40600">
        <w:t>, Bernstein Research, Dec 14, 2009.</w:t>
      </w:r>
    </w:p>
  </w:footnote>
  <w:footnote w:id="800">
    <w:p w:rsidR="00EC7CF3" w:rsidRDefault="00EC7CF3" w:rsidP="0028065E">
      <w:pPr>
        <w:pStyle w:val="FootnoteText"/>
      </w:pPr>
      <w:r w:rsidRPr="00D40600">
        <w:rPr>
          <w:rStyle w:val="FootnoteReference"/>
          <w:sz w:val="20"/>
        </w:rPr>
        <w:footnoteRef/>
      </w:r>
      <w:r w:rsidRPr="00D40600">
        <w:t xml:space="preserve"> For instance, AT&amp;T’s 2011 average monthly churn rate is estimated to be 1.37 percent.  Then the expected lifetime of an AT&amp;T customer in 2011 is calculated as 1/0.0137, which is 73 months or 6.1 years.</w:t>
      </w:r>
    </w:p>
  </w:footnote>
  <w:footnote w:id="801">
    <w:p w:rsidR="00EC7CF3" w:rsidRDefault="00EC7CF3" w:rsidP="0028065E">
      <w:pPr>
        <w:spacing w:after="120"/>
      </w:pPr>
      <w:r w:rsidRPr="00D40600">
        <w:rPr>
          <w:rStyle w:val="FootnoteReference"/>
          <w:sz w:val="20"/>
        </w:rPr>
        <w:footnoteRef/>
      </w:r>
      <w:r w:rsidRPr="00D40600">
        <w:rPr>
          <w:sz w:val="20"/>
        </w:rPr>
        <w:t xml:space="preserve"> Data provided by Bernstein Research.  The churn rate for each year is an average of the monthly churn rates.  The calculation includes postpaid, prepaid, and reseller connections.  Verizon Wireless is combined with Alltel. </w:t>
      </w:r>
    </w:p>
  </w:footnote>
  <w:footnote w:id="802">
    <w:p w:rsidR="00EC7CF3" w:rsidRDefault="00EC7CF3" w:rsidP="0028065E">
      <w:pPr>
        <w:spacing w:after="120"/>
      </w:pPr>
      <w:r w:rsidRPr="00D40600">
        <w:rPr>
          <w:rStyle w:val="FootnoteReference"/>
          <w:sz w:val="20"/>
        </w:rPr>
        <w:footnoteRef/>
      </w:r>
      <w:r w:rsidRPr="00D40600">
        <w:rPr>
          <w:sz w:val="20"/>
        </w:rPr>
        <w:t xml:space="preserve"> Data provided by Bernstein Research.  Annual churn is an average for each of the four quarters.  Verizon Wireless is combined with Alltel. </w:t>
      </w:r>
    </w:p>
  </w:footnote>
  <w:footnote w:id="803">
    <w:p w:rsidR="00EC7CF3" w:rsidRDefault="00EC7CF3" w:rsidP="0028065E">
      <w:pPr>
        <w:pStyle w:val="FootnoteText"/>
      </w:pPr>
      <w:r w:rsidRPr="00D40600">
        <w:rPr>
          <w:rStyle w:val="FootnoteReference"/>
          <w:sz w:val="20"/>
        </w:rPr>
        <w:footnoteRef/>
      </w:r>
      <w:r w:rsidRPr="00D40600">
        <w:t xml:space="preserve"> Data provided by Bernstein Research.  </w:t>
      </w:r>
    </w:p>
  </w:footnote>
  <w:footnote w:id="804">
    <w:p w:rsidR="00EC7CF3" w:rsidRDefault="00EC7CF3" w:rsidP="0028065E">
      <w:pPr>
        <w:pStyle w:val="FootnoteText"/>
      </w:pPr>
      <w:r w:rsidRPr="00D40600">
        <w:rPr>
          <w:rStyle w:val="FootnoteReference"/>
          <w:sz w:val="20"/>
        </w:rPr>
        <w:footnoteRef/>
      </w:r>
      <w:r w:rsidRPr="00D40600">
        <w:t xml:space="preserve"> CTIA aggregates all of the service providers’ MOUs from January 1 through June 30, or from July 1 through December 31, then divides by the average number of subscribers for the period, and then divides by six.  </w:t>
      </w:r>
      <w:r w:rsidRPr="00D40600">
        <w:rPr>
          <w:i/>
        </w:rPr>
        <w:t>See Thirteenth Report</w:t>
      </w:r>
      <w:r w:rsidRPr="00D40600">
        <w:t>, 24 FCC Rcd at 6284 n. 582.</w:t>
      </w:r>
    </w:p>
  </w:footnote>
  <w:footnote w:id="805">
    <w:p w:rsidR="00EC7CF3" w:rsidRPr="00D40600" w:rsidRDefault="00EC7CF3" w:rsidP="0028065E">
      <w:pPr>
        <w:rPr>
          <w:sz w:val="20"/>
        </w:rPr>
      </w:pPr>
      <w:r w:rsidRPr="00D40600">
        <w:rPr>
          <w:rStyle w:val="FootnoteReference"/>
          <w:sz w:val="20"/>
        </w:rPr>
        <w:footnoteRef/>
      </w:r>
      <w:r w:rsidRPr="00D40600">
        <w:rPr>
          <w:sz w:val="20"/>
        </w:rPr>
        <w:t xml:space="preserve"> </w:t>
      </w:r>
      <w:r w:rsidRPr="00D40600">
        <w:rPr>
          <w:i/>
          <w:sz w:val="20"/>
        </w:rPr>
        <w:t>See, e.g</w:t>
      </w:r>
      <w:r w:rsidRPr="00D40600">
        <w:rPr>
          <w:sz w:val="20"/>
        </w:rPr>
        <w:t xml:space="preserve">., Pew Internet, </w:t>
      </w:r>
      <w:r w:rsidRPr="00D40600">
        <w:rPr>
          <w:i/>
          <w:sz w:val="20"/>
        </w:rPr>
        <w:t>Teens, Smartphones, and Texting</w:t>
      </w:r>
      <w:r w:rsidRPr="00D40600">
        <w:rPr>
          <w:sz w:val="20"/>
        </w:rPr>
        <w:t xml:space="preserve">, March 19, 2012, summary </w:t>
      </w:r>
      <w:r w:rsidRPr="00432F46">
        <w:rPr>
          <w:i/>
          <w:sz w:val="20"/>
        </w:rPr>
        <w:t>available at</w:t>
      </w:r>
      <w:r w:rsidRPr="00D40600">
        <w:rPr>
          <w:sz w:val="20"/>
        </w:rPr>
        <w:t xml:space="preserve"> </w:t>
      </w:r>
      <w:hyperlink r:id="rId370" w:history="1">
        <w:r w:rsidRPr="00D40600">
          <w:rPr>
            <w:rStyle w:val="Hyperlink"/>
            <w:sz w:val="20"/>
          </w:rPr>
          <w:t>http://www.pewinternet.org/Reports/2012/Teens-and-smartphones/Summary-of-findings.aspx</w:t>
        </w:r>
      </w:hyperlink>
      <w:r w:rsidRPr="00D40600">
        <w:rPr>
          <w:sz w:val="20"/>
        </w:rPr>
        <w:t xml:space="preserve"> (visited Oct. 16, 2012).</w:t>
      </w:r>
    </w:p>
    <w:p w:rsidR="00EC7CF3" w:rsidRDefault="00EC7CF3" w:rsidP="0028065E"/>
  </w:footnote>
  <w:footnote w:id="806">
    <w:p w:rsidR="00EC7CF3" w:rsidRDefault="00EC7CF3" w:rsidP="0028065E">
      <w:pPr>
        <w:pStyle w:val="FootnoteText"/>
      </w:pPr>
      <w:r w:rsidRPr="00D40600">
        <w:rPr>
          <w:rStyle w:val="FootnoteReference"/>
          <w:sz w:val="20"/>
        </w:rPr>
        <w:footnoteRef/>
      </w:r>
      <w:r w:rsidRPr="00D40600">
        <w:t xml:space="preserve"> </w:t>
      </w:r>
      <w:r w:rsidRPr="00D40600">
        <w:rPr>
          <w:i/>
        </w:rPr>
        <w:t>CTIA Year-End 2011 Wireless Indices Report</w:t>
      </w:r>
      <w:r w:rsidRPr="00D40600">
        <w:t xml:space="preserve">, at </w:t>
      </w:r>
      <w:r w:rsidRPr="00BE192E">
        <w:t>215</w:t>
      </w:r>
      <w:r>
        <w:rPr>
          <w:i/>
        </w:rPr>
        <w:t>.</w:t>
      </w:r>
      <w:r w:rsidRPr="00296FBE">
        <w:rPr>
          <w:i/>
        </w:rPr>
        <w:t xml:space="preserve"> </w:t>
      </w:r>
      <w:r w:rsidRPr="0057270D">
        <w:t>(</w:t>
      </w:r>
      <w:r w:rsidRPr="001402D3">
        <w:t>Th</w:t>
      </w:r>
      <w:r>
        <w:t xml:space="preserve">is CTIA calculation uses its originally Reported Subscribers numbers for 2009-2011, and not the estimated subscribers for 2009-2011, as revised by CTIA during the second half of 2012.) </w:t>
      </w:r>
    </w:p>
  </w:footnote>
  <w:footnote w:id="807">
    <w:p w:rsidR="00EC7CF3" w:rsidRDefault="00EC7CF3" w:rsidP="0028065E">
      <w:pPr>
        <w:pStyle w:val="FootnoteText"/>
      </w:pPr>
      <w:r w:rsidRPr="00D40600">
        <w:rPr>
          <w:rStyle w:val="FootnoteReference"/>
          <w:sz w:val="20"/>
        </w:rPr>
        <w:footnoteRef/>
      </w:r>
      <w:r w:rsidRPr="00D40600">
        <w:t xml:space="preserve"> </w:t>
      </w:r>
      <w:r w:rsidRPr="00D40600">
        <w:rPr>
          <w:i/>
        </w:rPr>
        <w:t>US Wireless 411 4Q11.</w:t>
      </w:r>
    </w:p>
  </w:footnote>
  <w:footnote w:id="808">
    <w:p w:rsidR="00EC7CF3" w:rsidRDefault="00EC7CF3" w:rsidP="0028065E">
      <w:pPr>
        <w:pStyle w:val="FootnoteText"/>
      </w:pPr>
      <w:r w:rsidRPr="00D40600">
        <w:rPr>
          <w:rStyle w:val="FootnoteReference"/>
          <w:sz w:val="20"/>
        </w:rPr>
        <w:footnoteRef/>
      </w:r>
      <w:r w:rsidRPr="00D40600">
        <w:t xml:space="preserve"> </w:t>
      </w:r>
      <w:r w:rsidRPr="00D40600">
        <w:rPr>
          <w:i/>
        </w:rPr>
        <w:t>CTIA Year-End 2011 Wireless Indices Report</w:t>
      </w:r>
      <w:r w:rsidRPr="00D40600">
        <w:t xml:space="preserve">, at 224. </w:t>
      </w:r>
    </w:p>
  </w:footnote>
  <w:footnote w:id="809">
    <w:p w:rsidR="00EC7CF3" w:rsidRDefault="00EC7CF3" w:rsidP="0028065E">
      <w:pPr>
        <w:pStyle w:val="FootnoteText"/>
      </w:pPr>
      <w:r w:rsidRPr="00D40600">
        <w:rPr>
          <w:rStyle w:val="FootnoteReference"/>
          <w:sz w:val="20"/>
        </w:rPr>
        <w:footnoteRef/>
      </w:r>
      <w:r w:rsidRPr="00D40600">
        <w:t xml:space="preserve"> </w:t>
      </w:r>
      <w:r w:rsidRPr="00D40600">
        <w:rPr>
          <w:i/>
        </w:rPr>
        <w:t>CTIA Year-End 2011 Wireless Indices Report</w:t>
      </w:r>
      <w:r w:rsidRPr="00D40600">
        <w:t xml:space="preserve">, at 227. </w:t>
      </w:r>
    </w:p>
  </w:footnote>
  <w:footnote w:id="810">
    <w:p w:rsidR="00EC7CF3" w:rsidRDefault="00EC7CF3" w:rsidP="0028065E">
      <w:pPr>
        <w:pStyle w:val="FootnoteText"/>
      </w:pPr>
      <w:r w:rsidRPr="00D40600">
        <w:rPr>
          <w:rStyle w:val="FootnoteReference"/>
          <w:sz w:val="20"/>
        </w:rPr>
        <w:footnoteRef/>
      </w:r>
      <w:r w:rsidRPr="00D40600">
        <w:t xml:space="preserve"> </w:t>
      </w:r>
      <w:r w:rsidRPr="00D40600">
        <w:rPr>
          <w:i/>
        </w:rPr>
        <w:t>CTIA Year-End 2011 Wireless Indices Report</w:t>
      </w:r>
      <w:r w:rsidRPr="00D40600">
        <w:t>, at 229.</w:t>
      </w:r>
    </w:p>
  </w:footnote>
  <w:footnote w:id="811">
    <w:p w:rsidR="00EC7CF3" w:rsidRDefault="00EC7CF3" w:rsidP="0028065E">
      <w:pPr>
        <w:pStyle w:val="FootnoteText"/>
      </w:pPr>
      <w:r w:rsidRPr="00D40600">
        <w:rPr>
          <w:rStyle w:val="FootnoteReference"/>
          <w:sz w:val="20"/>
        </w:rPr>
        <w:footnoteRef/>
      </w:r>
      <w:r w:rsidRPr="00D40600">
        <w:t xml:space="preserve"> </w:t>
      </w:r>
      <w:r w:rsidRPr="00D40600">
        <w:rPr>
          <w:i/>
        </w:rPr>
        <w:t>CTIA Year-End 2011 Wireless Indices Report</w:t>
      </w:r>
      <w:r w:rsidRPr="00D40600">
        <w:t>, at 224</w:t>
      </w:r>
      <w:r w:rsidRPr="00D40600">
        <w:rPr>
          <w:i/>
        </w:rPr>
        <w:t>.</w:t>
      </w:r>
    </w:p>
  </w:footnote>
  <w:footnote w:id="812">
    <w:p w:rsidR="00EC7CF3" w:rsidRDefault="00EC7CF3" w:rsidP="0028065E">
      <w:pPr>
        <w:pStyle w:val="FootnoteText"/>
      </w:pPr>
      <w:r w:rsidRPr="00D40600">
        <w:rPr>
          <w:rStyle w:val="FootnoteReference"/>
          <w:sz w:val="20"/>
        </w:rPr>
        <w:footnoteRef/>
      </w:r>
      <w:r w:rsidRPr="00D40600">
        <w:t xml:space="preserve"> </w:t>
      </w:r>
      <w:r w:rsidRPr="00D40600">
        <w:rPr>
          <w:i/>
        </w:rPr>
        <w:t>CTIA Year-End 2011 Wireless Indices Report</w:t>
      </w:r>
      <w:r w:rsidRPr="00D40600">
        <w:t xml:space="preserve">, at 227. </w:t>
      </w:r>
    </w:p>
  </w:footnote>
  <w:footnote w:id="813">
    <w:p w:rsidR="00EC7CF3" w:rsidRDefault="00EC7CF3" w:rsidP="0028065E">
      <w:pPr>
        <w:pStyle w:val="FootnoteText"/>
      </w:pPr>
      <w:r w:rsidRPr="00D40600">
        <w:rPr>
          <w:rStyle w:val="FootnoteReference"/>
          <w:sz w:val="20"/>
        </w:rPr>
        <w:footnoteRef/>
      </w:r>
      <w:r w:rsidRPr="00D40600">
        <w:t xml:space="preserve"> </w:t>
      </w:r>
      <w:r w:rsidRPr="00D40600">
        <w:rPr>
          <w:i/>
        </w:rPr>
        <w:t>CTIA’s Wireless Industry Indices, Year-End 2011 Results</w:t>
      </w:r>
      <w:r w:rsidRPr="00D40600">
        <w:t xml:space="preserve">, released May 2012.  </w:t>
      </w:r>
      <w:r>
        <w:t>These c</w:t>
      </w:r>
      <w:r w:rsidRPr="00D40600">
        <w:t xml:space="preserve">alculations </w:t>
      </w:r>
      <w:r>
        <w:t xml:space="preserve">were </w:t>
      </w:r>
      <w:r w:rsidRPr="00D40600">
        <w:t xml:space="preserve">derived from data on </w:t>
      </w:r>
      <w:r>
        <w:t>reported subscribers</w:t>
      </w:r>
      <w:r w:rsidRPr="00D40600">
        <w:t>, six-month text/SMS message volumes, and six-month MMS message volumes.</w:t>
      </w:r>
      <w:r>
        <w:t xml:space="preserve">  CTIA did not revise its number of reported subscribers for 2009-2011, when it issued its revised estimated subscribers during the second half of 2012</w:t>
      </w:r>
      <w:r w:rsidRPr="00D40600">
        <w:t>.</w:t>
      </w:r>
    </w:p>
  </w:footnote>
  <w:footnote w:id="814">
    <w:p w:rsidR="00EC7CF3" w:rsidRDefault="00EC7CF3" w:rsidP="0028065E">
      <w:pPr>
        <w:pStyle w:val="FootnoteText"/>
      </w:pPr>
      <w:r w:rsidRPr="00D40600">
        <w:rPr>
          <w:rStyle w:val="FootnoteReference"/>
          <w:sz w:val="20"/>
        </w:rPr>
        <w:footnoteRef/>
      </w:r>
      <w:r w:rsidRPr="00D40600">
        <w:t xml:space="preserve"> </w:t>
      </w:r>
      <w:r w:rsidRPr="00D40600">
        <w:rPr>
          <w:i/>
        </w:rPr>
        <w:t>See Fourteenth Report</w:t>
      </w:r>
      <w:r w:rsidRPr="00D40600">
        <w:t xml:space="preserve">, 25 FCC Rcd at 11526-27 ¶ 181; </w:t>
      </w:r>
      <w:r w:rsidRPr="00D40600">
        <w:rPr>
          <w:i/>
        </w:rPr>
        <w:t>Torch Passes from Voice to Data</w:t>
      </w:r>
      <w:r w:rsidRPr="00D40600">
        <w:t>.</w:t>
      </w:r>
    </w:p>
  </w:footnote>
  <w:footnote w:id="815">
    <w:p w:rsidR="00EC7CF3" w:rsidRDefault="00EC7CF3" w:rsidP="0028065E">
      <w:pPr>
        <w:pStyle w:val="FootnoteText"/>
      </w:pPr>
      <w:r w:rsidRPr="00D40600">
        <w:rPr>
          <w:rStyle w:val="FootnoteReference"/>
          <w:sz w:val="20"/>
        </w:rPr>
        <w:footnoteRef/>
      </w:r>
      <w:r w:rsidRPr="00D40600">
        <w:rPr>
          <w:lang w:val="de-DE"/>
        </w:rPr>
        <w:t xml:space="preserve"> Simon Flannery, </w:t>
      </w:r>
      <w:r w:rsidRPr="00D40600">
        <w:rPr>
          <w:i/>
          <w:lang w:val="de-DE"/>
        </w:rPr>
        <w:t>et al</w:t>
      </w:r>
      <w:r w:rsidRPr="00D40600">
        <w:rPr>
          <w:lang w:val="de-DE"/>
        </w:rPr>
        <w:t xml:space="preserve">., </w:t>
      </w:r>
      <w:r w:rsidRPr="00D40600">
        <w:rPr>
          <w:i/>
          <w:lang w:val="de-DE"/>
        </w:rPr>
        <w:t>3Q Trend Tracker – Signs of Life for Telecom</w:t>
      </w:r>
      <w:r w:rsidRPr="00D40600">
        <w:rPr>
          <w:lang w:val="de-DE"/>
        </w:rPr>
        <w:t xml:space="preserve">, Morgan Stanley, Morgan Stanley Research – North America, Dec. 4, 2009, at 59.  </w:t>
      </w:r>
      <w:r w:rsidRPr="00D40600">
        <w:rPr>
          <w:i/>
        </w:rPr>
        <w:t>See</w:t>
      </w:r>
      <w:r w:rsidRPr="00D40600">
        <w:t xml:space="preserve"> Section </w:t>
      </w:r>
      <w:r>
        <w:fldChar w:fldCharType="begin"/>
      </w:r>
      <w:r>
        <w:instrText xml:space="preserve"> REF _Ref260224328 \w \h  \* MERGEFORMAT </w:instrText>
      </w:r>
      <w:r>
        <w:fldChar w:fldCharType="separate"/>
      </w:r>
      <w:r>
        <w:t>VII.B.2</w:t>
      </w:r>
      <w:r>
        <w:fldChar w:fldCharType="end"/>
      </w:r>
      <w:r w:rsidRPr="00D40600">
        <w:t xml:space="preserve">, </w:t>
      </w:r>
      <w:r>
        <w:fldChar w:fldCharType="begin"/>
      </w:r>
      <w:r>
        <w:instrText xml:space="preserve"> REF _Ref260224328 \h  \* MERGEFORMAT </w:instrText>
      </w:r>
      <w:r>
        <w:fldChar w:fldCharType="separate"/>
      </w:r>
      <w:r w:rsidRPr="00CA3AC6">
        <w:t>Mobile Applications</w:t>
      </w:r>
      <w:r>
        <w:fldChar w:fldCharType="end"/>
      </w:r>
      <w:r w:rsidRPr="00D40600">
        <w:t xml:space="preserve">, </w:t>
      </w:r>
      <w:r w:rsidRPr="00D40600">
        <w:rPr>
          <w:i/>
        </w:rPr>
        <w:t xml:space="preserve">infra.  </w:t>
      </w:r>
      <w:r w:rsidRPr="00D40600">
        <w:t>Cisco Visual Networking Index U.S. Mobile Data Traffic Forecast Update, February 2012.</w:t>
      </w:r>
    </w:p>
  </w:footnote>
  <w:footnote w:id="816">
    <w:p w:rsidR="00EC7CF3" w:rsidRDefault="00EC7CF3" w:rsidP="0028065E">
      <w:pPr>
        <w:pStyle w:val="FootnoteText"/>
      </w:pPr>
      <w:r w:rsidRPr="00D40600">
        <w:rPr>
          <w:rStyle w:val="FootnoteReference"/>
          <w:sz w:val="20"/>
        </w:rPr>
        <w:footnoteRef/>
      </w:r>
      <w:r w:rsidRPr="00D40600">
        <w:t xml:space="preserve"> Cisco Visual Networking Index</w:t>
      </w:r>
      <w:r>
        <w:t xml:space="preserve">, </w:t>
      </w:r>
      <w:hyperlink r:id="rId371" w:history="1">
        <w:r w:rsidRPr="00C67955">
          <w:rPr>
            <w:rStyle w:val="Hyperlink"/>
          </w:rPr>
          <w:t>http://www.cisco.com/en/US/netsol/ns827/networking_solutions_sub_solution.html</w:t>
        </w:r>
      </w:hyperlink>
      <w:r w:rsidRPr="00D40600">
        <w:t>.</w:t>
      </w:r>
    </w:p>
  </w:footnote>
  <w:footnote w:id="817">
    <w:p w:rsidR="00EC7CF3" w:rsidRDefault="00EC7CF3" w:rsidP="0028065E">
      <w:pPr>
        <w:pStyle w:val="FootnoteText"/>
      </w:pPr>
      <w:r w:rsidRPr="00D40600">
        <w:rPr>
          <w:rStyle w:val="FootnoteReference"/>
          <w:sz w:val="20"/>
        </w:rPr>
        <w:footnoteRef/>
      </w:r>
      <w:r w:rsidRPr="00D40600">
        <w:t xml:space="preserve"> Cisco Visual Networking Index</w:t>
      </w:r>
      <w:r>
        <w:t xml:space="preserve">, </w:t>
      </w:r>
      <w:hyperlink r:id="rId372" w:history="1">
        <w:r w:rsidRPr="00C67955">
          <w:rPr>
            <w:rStyle w:val="Hyperlink"/>
          </w:rPr>
          <w:t>http://www.cisco.com/en/US/netsol/ns827/networking_solutions_sub_solution.html</w:t>
        </w:r>
      </w:hyperlink>
      <w:r>
        <w:t>.</w:t>
      </w:r>
    </w:p>
  </w:footnote>
  <w:footnote w:id="818">
    <w:p w:rsidR="00EC7CF3" w:rsidRDefault="00EC7CF3" w:rsidP="0028065E">
      <w:pPr>
        <w:pStyle w:val="FootnoteText"/>
      </w:pPr>
      <w:r w:rsidRPr="00D40600">
        <w:rPr>
          <w:rStyle w:val="FootnoteReference"/>
          <w:sz w:val="20"/>
        </w:rPr>
        <w:footnoteRef/>
      </w:r>
      <w:r w:rsidRPr="00D40600">
        <w:rPr>
          <w:i/>
        </w:rPr>
        <w:t xml:space="preserve"> Allot MobileTrends - Global Mobile Broadband Traffic Report</w:t>
      </w:r>
      <w:r w:rsidRPr="00D40600">
        <w:t>, H2/2011, at 5, 7.</w:t>
      </w:r>
    </w:p>
  </w:footnote>
  <w:footnote w:id="819">
    <w:p w:rsidR="00EC7CF3" w:rsidRDefault="00EC7CF3" w:rsidP="0028065E">
      <w:pPr>
        <w:pStyle w:val="FootnoteText"/>
      </w:pPr>
      <w:r w:rsidRPr="00D40600">
        <w:rPr>
          <w:rStyle w:val="FootnoteReference"/>
          <w:sz w:val="20"/>
        </w:rPr>
        <w:footnoteRef/>
      </w:r>
      <w:r w:rsidRPr="00D40600">
        <w:t xml:space="preserve"> Cisco Visual Networking Index</w:t>
      </w:r>
      <w:r>
        <w:t>,</w:t>
      </w:r>
      <w:r w:rsidRPr="003F50C4">
        <w:t xml:space="preserve"> </w:t>
      </w:r>
      <w:hyperlink r:id="rId373" w:history="1">
        <w:r w:rsidRPr="00C67955">
          <w:rPr>
            <w:rStyle w:val="Hyperlink"/>
          </w:rPr>
          <w:t>http://www.cisco.com/en/US/netsol/ns827/networking_solutions_sub_solution.html</w:t>
        </w:r>
      </w:hyperlink>
      <w:r>
        <w:t>.</w:t>
      </w:r>
    </w:p>
  </w:footnote>
  <w:footnote w:id="820">
    <w:p w:rsidR="00EC7CF3" w:rsidRDefault="00EC7CF3">
      <w:pPr>
        <w:pStyle w:val="FootnoteText"/>
      </w:pPr>
      <w:r>
        <w:rPr>
          <w:rStyle w:val="FootnoteReference"/>
        </w:rPr>
        <w:footnoteRef/>
      </w:r>
      <w:r>
        <w:t xml:space="preserve"> Cisco Visual Neworking Index (VNI) Global Mobile Data Traffic Forecast Update, United States Highlights, February 2013. </w:t>
      </w:r>
    </w:p>
  </w:footnote>
  <w:footnote w:id="821">
    <w:p w:rsidR="00EC7CF3" w:rsidRDefault="00EC7CF3" w:rsidP="0028065E">
      <w:pPr>
        <w:pStyle w:val="FootnoteText"/>
      </w:pPr>
      <w:r w:rsidRPr="00D40600">
        <w:rPr>
          <w:rStyle w:val="FootnoteReference"/>
          <w:sz w:val="20"/>
        </w:rPr>
        <w:footnoteRef/>
      </w:r>
      <w:r w:rsidRPr="00D40600">
        <w:t xml:space="preserve"> </w:t>
      </w:r>
      <w:r w:rsidRPr="00D40600">
        <w:rPr>
          <w:i/>
        </w:rPr>
        <w:t>CTIA Year-End 2011 Wireless Indices Report</w:t>
      </w:r>
      <w:r w:rsidRPr="00D40600">
        <w:t>, at 233.</w:t>
      </w:r>
    </w:p>
  </w:footnote>
  <w:footnote w:id="822">
    <w:p w:rsidR="00EC7CF3" w:rsidRDefault="00EC7CF3" w:rsidP="00A275EE">
      <w:pPr>
        <w:pStyle w:val="FootnoteText"/>
      </w:pPr>
      <w:r w:rsidRPr="00D40600">
        <w:rPr>
          <w:rStyle w:val="FootnoteReference"/>
          <w:sz w:val="20"/>
        </w:rPr>
        <w:footnoteRef/>
      </w:r>
      <w:r w:rsidRPr="00D40600">
        <w:t xml:space="preserve"> Validas, </w:t>
      </w:r>
      <w:r w:rsidRPr="00D40600">
        <w:rPr>
          <w:i/>
        </w:rPr>
        <w:t>3 Year View of US Wireless Data Consumption: 2009-2011</w:t>
      </w:r>
      <w:r w:rsidRPr="00D40600">
        <w:t>, Prepared for the FCC by Validas.  The Validas estimates are averages calculated from data from a sample of approximately 20,000 customer bills obtained from customers of the four nationwide providers.</w:t>
      </w:r>
    </w:p>
  </w:footnote>
  <w:footnote w:id="823">
    <w:p w:rsidR="00EC7CF3" w:rsidRDefault="00EC7CF3" w:rsidP="0028065E">
      <w:pPr>
        <w:pStyle w:val="FootnoteText"/>
      </w:pPr>
      <w:r w:rsidRPr="00D40600">
        <w:rPr>
          <w:rStyle w:val="FootnoteReference"/>
          <w:sz w:val="20"/>
        </w:rPr>
        <w:footnoteRef/>
      </w:r>
      <w:r w:rsidRPr="00D40600">
        <w:t xml:space="preserve"> Validas</w:t>
      </w:r>
      <w:r w:rsidRPr="00D40600">
        <w:rPr>
          <w:i/>
        </w:rPr>
        <w:t>, 3 Year View of US Wireless Data Consumption: 2009-2011</w:t>
      </w:r>
      <w:r w:rsidRPr="00D40600">
        <w:t>, Prepared for the FCC by Validas.</w:t>
      </w:r>
    </w:p>
  </w:footnote>
  <w:footnote w:id="824">
    <w:p w:rsidR="00EC7CF3" w:rsidRDefault="00EC7CF3" w:rsidP="0028065E">
      <w:pPr>
        <w:pStyle w:val="FootnoteText"/>
      </w:pPr>
      <w:r w:rsidRPr="00D40600">
        <w:rPr>
          <w:rStyle w:val="FootnoteReference"/>
          <w:sz w:val="20"/>
        </w:rPr>
        <w:footnoteRef/>
      </w:r>
      <w:r w:rsidRPr="00D40600">
        <w:rPr>
          <w:i/>
        </w:rPr>
        <w:t xml:space="preserve"> See Fourth Report</w:t>
      </w:r>
      <w:r w:rsidRPr="00D40600">
        <w:t>, 14 FCC Rcd at 10164-10165.</w:t>
      </w:r>
    </w:p>
  </w:footnote>
  <w:footnote w:id="825">
    <w:p w:rsidR="00EC7CF3" w:rsidRDefault="00EC7CF3" w:rsidP="0028065E">
      <w:pPr>
        <w:pStyle w:val="FootnoteText"/>
      </w:pPr>
      <w:r w:rsidRPr="00D40600">
        <w:rPr>
          <w:rStyle w:val="FootnoteReference"/>
          <w:sz w:val="20"/>
        </w:rPr>
        <w:footnoteRef/>
      </w:r>
      <w:r w:rsidRPr="00D40600">
        <w:t xml:space="preserve"> Only indicators of the price of mobile wireless </w:t>
      </w:r>
      <w:r w:rsidRPr="00D40600">
        <w:rPr>
          <w:i/>
        </w:rPr>
        <w:t>services</w:t>
      </w:r>
      <w:r w:rsidRPr="00D40600">
        <w:t xml:space="preserve"> are discussed in this section.  </w:t>
      </w:r>
      <w:r w:rsidRPr="00D40600">
        <w:rPr>
          <w:i/>
        </w:rPr>
        <w:t>See</w:t>
      </w:r>
      <w:r w:rsidRPr="00D40600">
        <w:t xml:space="preserve"> Section VII.B.1, </w:t>
      </w:r>
      <w:r w:rsidR="00951E9B">
        <w:fldChar w:fldCharType="begin"/>
      </w:r>
      <w:r w:rsidR="00951E9B">
        <w:instrText xml:space="preserve"> REF _Ref326749032  \* MERGEFORMAT </w:instrText>
      </w:r>
      <w:r w:rsidR="00951E9B">
        <w:fldChar w:fldCharType="separate"/>
      </w:r>
      <w:r w:rsidRPr="00CA3AC6">
        <w:t>Mobile Wireless Handsets/Devices and Operating Systems</w:t>
      </w:r>
      <w:r w:rsidR="00951E9B">
        <w:fldChar w:fldCharType="end"/>
      </w:r>
      <w:r w:rsidRPr="00D40600">
        <w:t xml:space="preserve">, </w:t>
      </w:r>
      <w:r w:rsidRPr="00D40600">
        <w:rPr>
          <w:i/>
        </w:rPr>
        <w:t>infra</w:t>
      </w:r>
      <w:r w:rsidRPr="00D40600">
        <w:t>, for information on handset and device pricing.</w:t>
      </w:r>
    </w:p>
  </w:footnote>
  <w:footnote w:id="826">
    <w:p w:rsidR="00EC7CF3" w:rsidRDefault="00EC7CF3" w:rsidP="0028065E">
      <w:pPr>
        <w:pStyle w:val="FootnoteText"/>
      </w:pPr>
      <w:r w:rsidRPr="00D40600">
        <w:rPr>
          <w:rStyle w:val="FootnoteReference"/>
          <w:sz w:val="20"/>
        </w:rPr>
        <w:footnoteRef/>
      </w:r>
      <w:r w:rsidRPr="00D40600">
        <w:t xml:space="preserve"> </w:t>
      </w:r>
      <w:r w:rsidRPr="00D40600">
        <w:rPr>
          <w:bCs/>
          <w:i/>
        </w:rPr>
        <w:t>See</w:t>
      </w:r>
      <w:r w:rsidRPr="00D40600">
        <w:rPr>
          <w:bCs/>
        </w:rPr>
        <w:t xml:space="preserve"> Table 29</w:t>
      </w:r>
      <w:r w:rsidRPr="00D40600">
        <w:rPr>
          <w:b/>
          <w:bCs/>
        </w:rPr>
        <w:t>,</w:t>
      </w:r>
      <w:r w:rsidRPr="00D40600">
        <w:t xml:space="preserve"> </w:t>
      </w:r>
      <w:r w:rsidRPr="00D40600">
        <w:rPr>
          <w:i/>
        </w:rPr>
        <w:t>infra</w:t>
      </w:r>
      <w:r w:rsidRPr="00D40600">
        <w:t>.  The CPI is a measure of the average change over time in the prices paid by urban consumers for a fixed market basket of consumer goods and services.  The basket of goods includes over 200 categories including items such as food and beverages, housing, apparel, transportation, medical care, recreation, education, and communications.  The CPI allows consumers to compare the price of the basket of goods and services this month with the price of the same basket a month or a year ago.  Starting in December 1997, the basket included a category for cellular</w:t>
      </w:r>
      <w:r w:rsidRPr="00D40600">
        <w:rPr>
          <w:lang w:eastAsia="zh-CN"/>
        </w:rPr>
        <w:t xml:space="preserve">/wireless </w:t>
      </w:r>
      <w:r w:rsidRPr="00D40600">
        <w:t xml:space="preserve">telephone services.  All CPI figures discussed above were taken from BLS databases found at </w:t>
      </w:r>
      <w:hyperlink r:id="rId374" w:history="1">
        <w:r w:rsidRPr="00D40600">
          <w:rPr>
            <w:rStyle w:val="Hyperlink"/>
          </w:rPr>
          <w:t>http://www.bls.gov</w:t>
        </w:r>
      </w:hyperlink>
      <w:r w:rsidRPr="00D40600">
        <w:t xml:space="preserve">.  The index used in this analysis, the CPI for All Urban Consumers (CPI-U), represents about 87 percent of the total U.S. population.  </w:t>
      </w:r>
      <w:r w:rsidRPr="00D40600">
        <w:rPr>
          <w:i/>
        </w:rPr>
        <w:t>See</w:t>
      </w:r>
      <w:r w:rsidRPr="00D40600">
        <w:t xml:space="preserve"> Bureau of Labor Statistics, </w:t>
      </w:r>
      <w:r w:rsidRPr="00D40600">
        <w:rPr>
          <w:i/>
        </w:rPr>
        <w:t>Consumer Price Index: Frequently Asked Questions</w:t>
      </w:r>
      <w:r w:rsidRPr="00D40600">
        <w:t xml:space="preserve">, </w:t>
      </w:r>
      <w:hyperlink r:id="rId375" w:history="1">
        <w:r w:rsidRPr="00D40600">
          <w:rPr>
            <w:rStyle w:val="Hyperlink"/>
          </w:rPr>
          <w:t>http://www.bls.gov/cpi/cpifaq.htm</w:t>
        </w:r>
      </w:hyperlink>
      <w:r w:rsidRPr="00D40600">
        <w:t xml:space="preserve"> (visited </w:t>
      </w:r>
      <w:r w:rsidRPr="00D40600">
        <w:rPr>
          <w:lang w:eastAsia="zh-CN"/>
        </w:rPr>
        <w:t>Nov. 12, 2010</w:t>
      </w:r>
      <w:r w:rsidRPr="00D40600">
        <w:t xml:space="preserve">).  The Cellular CPI includes charges from all telephone companies that supply “cellular telephone services,” which are defined as “domestic personal consumer phone services where the telephone instrument is portable and it sends/receives signals for calls by wireless transmission.”  This measure does not include business calls, telephone equipment rentals, portable radios, and pagers.  </w:t>
      </w:r>
      <w:r w:rsidRPr="00D40600">
        <w:rPr>
          <w:i/>
        </w:rPr>
        <w:t>Id</w:t>
      </w:r>
      <w:r w:rsidRPr="00D40600">
        <w:t xml:space="preserve">. While the CPI-U is urban-oriented, it does include expenditure patterns of some of the rural population.  </w:t>
      </w:r>
      <w:r w:rsidRPr="00D40600">
        <w:rPr>
          <w:i/>
        </w:rPr>
        <w:t>See Fourteenth Report</w:t>
      </w:r>
      <w:r w:rsidRPr="00D40600">
        <w:t>,</w:t>
      </w:r>
      <w:r w:rsidRPr="00D40600">
        <w:rPr>
          <w:i/>
        </w:rPr>
        <w:t xml:space="preserve"> </w:t>
      </w:r>
      <w:r w:rsidRPr="00D40600">
        <w:t xml:space="preserve">25 FCC Rcd at 11529, n. 561.  Information submitted by companies for the CPI is provided on a voluntary basis.  </w:t>
      </w:r>
      <w:r w:rsidRPr="00D40600">
        <w:rPr>
          <w:i/>
        </w:rPr>
        <w:t>Id</w:t>
      </w:r>
      <w:r w:rsidRPr="00D40600">
        <w:t>.</w:t>
      </w:r>
    </w:p>
  </w:footnote>
  <w:footnote w:id="827">
    <w:p w:rsidR="00EC7CF3" w:rsidRDefault="00EC7CF3" w:rsidP="0028065E">
      <w:pPr>
        <w:pStyle w:val="FootnoteText"/>
      </w:pPr>
      <w:r w:rsidRPr="00D40600">
        <w:rPr>
          <w:rStyle w:val="FootnoteReference"/>
          <w:sz w:val="20"/>
        </w:rPr>
        <w:footnoteRef/>
      </w:r>
      <w:r w:rsidRPr="00D40600">
        <w:t xml:space="preserve"> </w:t>
      </w:r>
      <w:r w:rsidRPr="00D40600">
        <w:rPr>
          <w:rStyle w:val="Normal1"/>
          <w:sz w:val="20"/>
        </w:rPr>
        <w:t xml:space="preserve">Bureau of Labor Statistics.  </w:t>
      </w:r>
      <w:r w:rsidRPr="00D40600">
        <w:t xml:space="preserve">All CPI figures were taken from BLS databases found on the BLS Internet site available at </w:t>
      </w:r>
      <w:hyperlink r:id="rId376" w:history="1">
        <w:r w:rsidRPr="00D40600">
          <w:rPr>
            <w:rStyle w:val="Hyperlink"/>
          </w:rPr>
          <w:t>http://www.bls.gov</w:t>
        </w:r>
      </w:hyperlink>
      <w:r w:rsidRPr="00D40600">
        <w:t xml:space="preserve">.  Beginning in January 2010, the CPIs for local telephone service and long-distance telephone service were discontinued and replaced by a new CPI for land-line telephone services. </w:t>
      </w:r>
    </w:p>
  </w:footnote>
  <w:footnote w:id="828">
    <w:p w:rsidR="00EC7CF3" w:rsidRDefault="00EC7CF3" w:rsidP="0028065E">
      <w:pPr>
        <w:pStyle w:val="FootnoteText"/>
      </w:pPr>
      <w:r w:rsidRPr="00D40600">
        <w:rPr>
          <w:rStyle w:val="FootnoteReference"/>
          <w:sz w:val="20"/>
        </w:rPr>
        <w:footnoteRef/>
      </w:r>
      <w:r w:rsidRPr="00D40600">
        <w:t xml:space="preserve"> </w:t>
      </w:r>
      <w:r w:rsidRPr="00D40600">
        <w:rPr>
          <w:i/>
        </w:rPr>
        <w:t xml:space="preserve">See </w:t>
      </w:r>
      <w:r w:rsidRPr="00D40600">
        <w:rPr>
          <w:i/>
          <w:iCs/>
        </w:rPr>
        <w:t>US Wireless Matrix 1Q07</w:t>
      </w:r>
      <w:r w:rsidRPr="00D40600">
        <w:t>, at 52.</w:t>
      </w:r>
    </w:p>
  </w:footnote>
  <w:footnote w:id="829">
    <w:p w:rsidR="00EC7CF3" w:rsidRDefault="00EC7CF3" w:rsidP="0028065E">
      <w:pPr>
        <w:pStyle w:val="FootnoteText"/>
      </w:pPr>
      <w:r w:rsidRPr="00D40600">
        <w:rPr>
          <w:rStyle w:val="FootnoteReference"/>
          <w:sz w:val="20"/>
        </w:rPr>
        <w:footnoteRef/>
      </w:r>
      <w:r w:rsidRPr="00D40600">
        <w:t xml:space="preserve"> To generate Voice RPM, we subtracted wireless data revenues, derived from CTIA’s survey, from ALMB (we assumed this was the same percentage of wireless data revenues in CTIA’s measure of total service revenues), then we divided that number by CTIA’s average MOUs per month.</w:t>
      </w:r>
      <w:r w:rsidRPr="00D40600">
        <w:rPr>
          <w:lang w:eastAsia="zh-CN"/>
        </w:rPr>
        <w:t xml:space="preserve">  </w:t>
      </w:r>
      <w:r w:rsidRPr="00D40600">
        <w:rPr>
          <w:i/>
          <w:lang w:eastAsia="zh-CN"/>
        </w:rPr>
        <w:t>See also</w:t>
      </w:r>
      <w:r w:rsidRPr="00D40600">
        <w:rPr>
          <w:lang w:eastAsia="zh-CN"/>
        </w:rPr>
        <w:t xml:space="preserve"> </w:t>
      </w:r>
      <w:r w:rsidRPr="00D40600">
        <w:rPr>
          <w:i/>
          <w:lang w:eastAsia="zh-CN"/>
        </w:rPr>
        <w:t>Twelfth Report</w:t>
      </w:r>
      <w:r w:rsidRPr="00D40600">
        <w:rPr>
          <w:lang w:eastAsia="zh-CN"/>
        </w:rPr>
        <w:t xml:space="preserve">, 23 FCC Rcd at 2323-24 ¶ 200.  </w:t>
      </w:r>
      <w:r w:rsidRPr="00D40600">
        <w:t xml:space="preserve">The average monthly minutes of use figure reflects voice minutes </w:t>
      </w:r>
      <w:r w:rsidRPr="00D40600">
        <w:rPr>
          <w:i/>
        </w:rPr>
        <w:t>used</w:t>
      </w:r>
      <w:r w:rsidRPr="00D40600">
        <w:t xml:space="preserve"> and captured as network traffic, rather than minutes </w:t>
      </w:r>
      <w:r w:rsidRPr="00D40600">
        <w:rPr>
          <w:i/>
        </w:rPr>
        <w:t>paid for</w:t>
      </w:r>
      <w:r w:rsidRPr="00D40600">
        <w:t xml:space="preserve"> as part of a monthly service package.</w:t>
      </w:r>
    </w:p>
  </w:footnote>
  <w:footnote w:id="830">
    <w:p w:rsidR="00EC7CF3" w:rsidRDefault="00EC7CF3" w:rsidP="0028065E">
      <w:pPr>
        <w:pStyle w:val="FootnoteText"/>
      </w:pPr>
      <w:r w:rsidRPr="00D40600">
        <w:rPr>
          <w:rStyle w:val="FootnoteReference"/>
          <w:sz w:val="20"/>
        </w:rPr>
        <w:footnoteRef/>
      </w:r>
      <w:r w:rsidRPr="00D40600">
        <w:t xml:space="preserve"> Note that this version of ARPU is CTIA’s “Average Local Monthly Bill” (“ALMB”), which does not include toll or roaming revenues where they are not priced into a calling plan.  </w:t>
      </w:r>
    </w:p>
  </w:footnote>
  <w:footnote w:id="831">
    <w:p w:rsidR="00EC7CF3" w:rsidRDefault="00EC7CF3" w:rsidP="0028065E">
      <w:pPr>
        <w:pStyle w:val="Footer"/>
        <w:keepNext/>
        <w:keepLines/>
        <w:widowControl/>
        <w:tabs>
          <w:tab w:val="clear" w:pos="4320"/>
          <w:tab w:val="clear" w:pos="8640"/>
          <w:tab w:val="left" w:pos="0"/>
        </w:tabs>
        <w:spacing w:after="120"/>
      </w:pPr>
      <w:r w:rsidRPr="00D40600">
        <w:rPr>
          <w:rStyle w:val="FootnoteReference"/>
          <w:sz w:val="20"/>
        </w:rPr>
        <w:footnoteRef/>
      </w:r>
      <w:r w:rsidRPr="00D40600">
        <w:rPr>
          <w:sz w:val="20"/>
        </w:rPr>
        <w:t xml:space="preserve"> </w:t>
      </w:r>
      <w:r w:rsidRPr="00D40600">
        <w:rPr>
          <w:i/>
          <w:sz w:val="20"/>
        </w:rPr>
        <w:t>CTIA Year-End 2011 Wireless Indices Report</w:t>
      </w:r>
      <w:r w:rsidRPr="00D40600">
        <w:rPr>
          <w:sz w:val="20"/>
        </w:rPr>
        <w:t>, at 199, 214</w:t>
      </w:r>
      <w:r w:rsidRPr="00D40600">
        <w:rPr>
          <w:rStyle w:val="Normal1"/>
          <w:bCs/>
          <w:sz w:val="20"/>
        </w:rPr>
        <w:t>.</w:t>
      </w:r>
      <w:r w:rsidRPr="00D40600">
        <w:rPr>
          <w:rStyle w:val="Normal1"/>
          <w:bCs/>
          <w:i/>
          <w:sz w:val="20"/>
        </w:rPr>
        <w:t xml:space="preserve">  </w:t>
      </w:r>
      <w:r w:rsidRPr="00D40600">
        <w:rPr>
          <w:rStyle w:val="Normal1"/>
          <w:sz w:val="20"/>
        </w:rPr>
        <w:t xml:space="preserve"> For purposes of this presentation in this table, RPM is rounded to two decimal places, but RPM change is based on absolute RPM. </w:t>
      </w:r>
    </w:p>
  </w:footnote>
  <w:footnote w:id="832">
    <w:p w:rsidR="00EC7CF3" w:rsidRDefault="00EC7CF3" w:rsidP="0028065E">
      <w:pPr>
        <w:pStyle w:val="FootnoteText"/>
      </w:pPr>
      <w:r w:rsidRPr="00D40600">
        <w:rPr>
          <w:rStyle w:val="FootnoteReference"/>
          <w:sz w:val="20"/>
        </w:rPr>
        <w:footnoteRef/>
      </w:r>
      <w:r w:rsidRPr="00D40600">
        <w:t xml:space="preserve"> </w:t>
      </w:r>
      <w:r w:rsidRPr="00432F46">
        <w:rPr>
          <w:i/>
        </w:rPr>
        <w:t>See</w:t>
      </w:r>
      <w:r w:rsidRPr="00D40600">
        <w:t xml:space="preserve"> Table 87, </w:t>
      </w:r>
      <w:r w:rsidRPr="00D40600">
        <w:rPr>
          <w:i/>
        </w:rPr>
        <w:t>CTIA Year-End 2011 Wireless Indices Report</w:t>
      </w:r>
      <w:r w:rsidRPr="00D40600">
        <w:t>, at 214</w:t>
      </w:r>
      <w:r w:rsidRPr="00D40600">
        <w:rPr>
          <w:rStyle w:val="Normal1"/>
          <w:bCs/>
          <w:sz w:val="20"/>
        </w:rPr>
        <w:t xml:space="preserve">.  </w:t>
      </w:r>
    </w:p>
  </w:footnote>
  <w:footnote w:id="833">
    <w:p w:rsidR="00EC7CF3" w:rsidRDefault="00EC7CF3" w:rsidP="0028065E">
      <w:pPr>
        <w:pStyle w:val="FootnoteText"/>
      </w:pPr>
      <w:r w:rsidRPr="00D40600">
        <w:rPr>
          <w:rStyle w:val="FootnoteReference"/>
          <w:sz w:val="20"/>
        </w:rPr>
        <w:footnoteRef/>
      </w:r>
      <w:r w:rsidRPr="00D40600">
        <w:t xml:space="preserve"> Blended Average Revenue per Minute = (Average Local Monthly Bill)/(MOU per Subscriber per Month)</w:t>
      </w:r>
      <w:r>
        <w:t>.</w:t>
      </w:r>
    </w:p>
  </w:footnote>
  <w:footnote w:id="834">
    <w:p w:rsidR="00EC7CF3" w:rsidRDefault="00EC7CF3" w:rsidP="0028065E">
      <w:pPr>
        <w:pStyle w:val="FootnoteText"/>
      </w:pPr>
      <w:r w:rsidRPr="00D40600">
        <w:rPr>
          <w:rStyle w:val="FootnoteReference"/>
          <w:sz w:val="20"/>
        </w:rPr>
        <w:footnoteRef/>
      </w:r>
      <w:r w:rsidRPr="00D40600">
        <w:t xml:space="preserve"> Average Voice Revenue per Minute = (Average Local Monthly Bill ex. Data Revenues)/(MOU per Subscriber per Month)</w:t>
      </w:r>
      <w:r>
        <w:t>.</w:t>
      </w:r>
    </w:p>
  </w:footnote>
  <w:footnote w:id="835">
    <w:p w:rsidR="00EC7CF3" w:rsidRDefault="00EC7CF3" w:rsidP="0028065E">
      <w:pPr>
        <w:pStyle w:val="FootnoteText"/>
      </w:pPr>
      <w:r w:rsidRPr="00D40600">
        <w:rPr>
          <w:rStyle w:val="FootnoteReference"/>
          <w:sz w:val="20"/>
        </w:rPr>
        <w:footnoteRef/>
      </w:r>
      <w:r w:rsidRPr="00D40600">
        <w:t xml:space="preserve"> </w:t>
      </w:r>
      <w:r w:rsidRPr="00D40600">
        <w:rPr>
          <w:i/>
        </w:rPr>
        <w:t>CTIA Year-End 2011 Wireless Indices Report</w:t>
      </w:r>
      <w:r w:rsidRPr="00D40600">
        <w:t>, at 217-218</w:t>
      </w:r>
      <w:r w:rsidRPr="00D40600">
        <w:rPr>
          <w:rStyle w:val="Normal1"/>
          <w:bCs/>
          <w:sz w:val="20"/>
        </w:rPr>
        <w:t xml:space="preserve">.  </w:t>
      </w:r>
      <w:r w:rsidRPr="00D40600">
        <w:rPr>
          <w:bCs/>
        </w:rPr>
        <w:t>MOU per reported subscriber would be underestimated because the metric is calculated by dividing total MOU by average subscribers.</w:t>
      </w:r>
    </w:p>
  </w:footnote>
  <w:footnote w:id="836">
    <w:p w:rsidR="00EC7CF3" w:rsidRDefault="00EC7CF3" w:rsidP="0028065E">
      <w:pPr>
        <w:pStyle w:val="FootnoteText"/>
      </w:pPr>
      <w:r w:rsidRPr="00D40600">
        <w:rPr>
          <w:rStyle w:val="FootnoteReference"/>
          <w:sz w:val="20"/>
        </w:rPr>
        <w:footnoteRef/>
      </w:r>
      <w:r w:rsidRPr="00D40600">
        <w:t xml:space="preserve"> </w:t>
      </w:r>
      <w:r w:rsidRPr="00D40600">
        <w:rPr>
          <w:i/>
        </w:rPr>
        <w:t>CTIA Year-End 2011 Wireless Indices Report</w:t>
      </w:r>
      <w:r w:rsidRPr="00D40600">
        <w:t>, at 218</w:t>
      </w:r>
      <w:r w:rsidRPr="00D40600">
        <w:rPr>
          <w:rStyle w:val="Normal1"/>
          <w:bCs/>
          <w:sz w:val="20"/>
        </w:rPr>
        <w:t xml:space="preserve">.  </w:t>
      </w:r>
    </w:p>
  </w:footnote>
  <w:footnote w:id="837">
    <w:p w:rsidR="00EC7CF3" w:rsidRDefault="00EC7CF3" w:rsidP="0028065E">
      <w:pPr>
        <w:pStyle w:val="FootnoteText"/>
      </w:pPr>
      <w:r w:rsidRPr="00D40600">
        <w:rPr>
          <w:rStyle w:val="FootnoteReference"/>
          <w:sz w:val="20"/>
        </w:rPr>
        <w:footnoteRef/>
      </w:r>
      <w:r w:rsidRPr="00D40600">
        <w:t xml:space="preserve"> Quotation from </w:t>
      </w:r>
      <w:r w:rsidRPr="00D40600">
        <w:rPr>
          <w:i/>
        </w:rPr>
        <w:t>CTIA Year-End 2011 Wireless Indices Report</w:t>
      </w:r>
      <w:r w:rsidRPr="00D40600">
        <w:t>, at 218</w:t>
      </w:r>
      <w:r w:rsidRPr="00D40600">
        <w:rPr>
          <w:rStyle w:val="Normal1"/>
          <w:bCs/>
          <w:sz w:val="20"/>
        </w:rPr>
        <w:t xml:space="preserve">.  </w:t>
      </w:r>
    </w:p>
  </w:footnote>
  <w:footnote w:id="838">
    <w:p w:rsidR="00EC7CF3" w:rsidRDefault="00EC7CF3">
      <w:pPr>
        <w:pStyle w:val="FootnoteText"/>
      </w:pPr>
      <w:r>
        <w:rPr>
          <w:rStyle w:val="FootnoteReference"/>
        </w:rPr>
        <w:footnoteRef/>
      </w:r>
      <w:r>
        <w:t xml:space="preserve"> CTIA.  </w:t>
      </w:r>
      <w:r w:rsidRPr="0057270D">
        <w:t>(</w:t>
      </w:r>
      <w:r>
        <w:t>This CTIA calculation uses Reported Subscribers which were not revised in the second half of 2012 when CTIA revised estimated subscribers for 2009-2011</w:t>
      </w:r>
      <w:r w:rsidRPr="00D40600">
        <w:t>.</w:t>
      </w:r>
      <w:r>
        <w:t>)</w:t>
      </w:r>
    </w:p>
  </w:footnote>
  <w:footnote w:id="839">
    <w:p w:rsidR="00EC7CF3" w:rsidRDefault="00EC7CF3" w:rsidP="0028065E">
      <w:pPr>
        <w:pStyle w:val="FootnoteText"/>
      </w:pPr>
      <w:r w:rsidRPr="00D40600">
        <w:rPr>
          <w:rStyle w:val="FootnoteReference"/>
          <w:sz w:val="20"/>
        </w:rPr>
        <w:footnoteRef/>
      </w:r>
      <w:r w:rsidRPr="00D40600">
        <w:t xml:space="preserve"> </w:t>
      </w:r>
      <w:r w:rsidRPr="00D40600">
        <w:rPr>
          <w:i/>
          <w:lang w:eastAsia="zh-CN"/>
        </w:rPr>
        <w:t>See Fourteenth Report</w:t>
      </w:r>
      <w:r w:rsidRPr="00D40600">
        <w:rPr>
          <w:lang w:eastAsia="zh-CN"/>
        </w:rPr>
        <w:t xml:space="preserve">, 25 FCC Rcd at 11532 ¶¶ 191-92. </w:t>
      </w:r>
    </w:p>
  </w:footnote>
  <w:footnote w:id="840">
    <w:p w:rsidR="00EC7CF3" w:rsidRDefault="00EC7CF3" w:rsidP="0028065E">
      <w:pPr>
        <w:pStyle w:val="FootnoteText"/>
      </w:pPr>
      <w:r w:rsidRPr="00D40600">
        <w:rPr>
          <w:rStyle w:val="FootnoteReference"/>
          <w:sz w:val="20"/>
        </w:rPr>
        <w:footnoteRef/>
      </w:r>
      <w:r w:rsidRPr="00D40600">
        <w:t xml:space="preserve"> Roger Entner, </w:t>
      </w:r>
      <w:r w:rsidRPr="00D40600">
        <w:rPr>
          <w:i/>
        </w:rPr>
        <w:t>What is the Price of a Megabyte of Wireless Data?</w:t>
      </w:r>
      <w:r w:rsidRPr="00D40600">
        <w:t xml:space="preserve">, </w:t>
      </w:r>
      <w:r w:rsidRPr="00D40600">
        <w:rPr>
          <w:smallCaps/>
        </w:rPr>
        <w:t>FierceWireless</w:t>
      </w:r>
      <w:r w:rsidRPr="00D40600">
        <w:t xml:space="preserve">, Apr. 13, 2011. </w:t>
      </w:r>
      <w:hyperlink r:id="rId377" w:history="1">
        <w:r w:rsidRPr="00D40600">
          <w:rPr>
            <w:rStyle w:val="Hyperlink"/>
          </w:rPr>
          <w:t>http://www.fiercewireless.com/story/entner-what-price-megabyte-wireless-data/2011-04-13</w:t>
        </w:r>
      </w:hyperlink>
      <w:r w:rsidRPr="00D40600">
        <w:t xml:space="preserve"> (visited Oct. 16, 2012)</w:t>
      </w:r>
    </w:p>
  </w:footnote>
  <w:footnote w:id="841">
    <w:p w:rsidR="00EC7CF3" w:rsidRDefault="00EC7CF3" w:rsidP="0028065E">
      <w:pPr>
        <w:pStyle w:val="FootnoteText"/>
      </w:pPr>
      <w:r w:rsidRPr="00D40600">
        <w:rPr>
          <w:rStyle w:val="FootnoteReference"/>
          <w:sz w:val="20"/>
        </w:rPr>
        <w:footnoteRef/>
      </w:r>
      <w:r w:rsidRPr="00D40600">
        <w:t xml:space="preserve"> Roger Entner, </w:t>
      </w:r>
      <w:r w:rsidRPr="00D40600">
        <w:rPr>
          <w:i/>
        </w:rPr>
        <w:t>What is the Price of a Megabyte of Wireless Data?</w:t>
      </w:r>
      <w:r w:rsidRPr="00D40600">
        <w:t xml:space="preserve">, </w:t>
      </w:r>
      <w:r w:rsidRPr="00D40600">
        <w:rPr>
          <w:smallCaps/>
        </w:rPr>
        <w:t>FierceWireless</w:t>
      </w:r>
      <w:r w:rsidRPr="00D40600">
        <w:t xml:space="preserve">, Apr. 13, 2011. </w:t>
      </w:r>
      <w:hyperlink r:id="rId378" w:history="1">
        <w:r w:rsidRPr="00D40600">
          <w:rPr>
            <w:rStyle w:val="Hyperlink"/>
          </w:rPr>
          <w:t>http://www.fiercewireless.com/story/entner-what-price-megabyte-wireless-data/2011-04-13</w:t>
        </w:r>
      </w:hyperlink>
      <w:r w:rsidRPr="00D40600">
        <w:t xml:space="preserve"> (visited Oct. 16, 2012)</w:t>
      </w:r>
    </w:p>
  </w:footnote>
  <w:footnote w:id="842">
    <w:p w:rsidR="00EC7CF3" w:rsidRDefault="00EC7CF3" w:rsidP="0028065E">
      <w:pPr>
        <w:pStyle w:val="FootnoteText"/>
      </w:pPr>
      <w:r w:rsidRPr="00D40600">
        <w:rPr>
          <w:rStyle w:val="FootnoteReference"/>
          <w:sz w:val="20"/>
        </w:rPr>
        <w:footnoteRef/>
      </w:r>
      <w:r w:rsidRPr="00D40600">
        <w:rPr>
          <w:i/>
        </w:rPr>
        <w:t xml:space="preserve"> CTIA Year-End 2009 Wireless Indices Report</w:t>
      </w:r>
      <w:r w:rsidRPr="00D40600">
        <w:t>, at 115, 198-200; Commission estimates.</w:t>
      </w:r>
      <w:r>
        <w:t xml:space="preserve">  </w:t>
      </w:r>
      <w:r w:rsidRPr="0057270D">
        <w:t>(</w:t>
      </w:r>
      <w:r>
        <w:t>A CTIA calculation uses Reported Subscribers which were not revised in the second half of 2012 when CTIA revised estimated subscribers for 2009-2011</w:t>
      </w:r>
      <w:r w:rsidRPr="00D40600">
        <w:t>.</w:t>
      </w:r>
      <w:r>
        <w:t>)</w:t>
      </w:r>
    </w:p>
  </w:footnote>
  <w:footnote w:id="843">
    <w:p w:rsidR="00EC7CF3" w:rsidRDefault="00EC7CF3" w:rsidP="0028065E">
      <w:pPr>
        <w:pStyle w:val="FootnoteText"/>
      </w:pPr>
      <w:r w:rsidRPr="00D40600">
        <w:rPr>
          <w:rStyle w:val="FootnoteReference"/>
          <w:sz w:val="20"/>
        </w:rPr>
        <w:footnoteRef/>
      </w:r>
      <w:r w:rsidRPr="00D40600">
        <w:t xml:space="preserve"> Roger Entner, </w:t>
      </w:r>
      <w:r w:rsidRPr="00D40600">
        <w:rPr>
          <w:i/>
        </w:rPr>
        <w:t>What is the Price of a Megabyte of Wireless Data?</w:t>
      </w:r>
      <w:r w:rsidRPr="00D40600">
        <w:t xml:space="preserve">, </w:t>
      </w:r>
      <w:r w:rsidRPr="00D40600">
        <w:rPr>
          <w:smallCaps/>
        </w:rPr>
        <w:t>FierceWireless</w:t>
      </w:r>
      <w:r w:rsidRPr="00D40600">
        <w:t xml:space="preserve">, Apr. 13, 2011. </w:t>
      </w:r>
      <w:hyperlink r:id="rId379" w:history="1">
        <w:r w:rsidRPr="00D40600">
          <w:rPr>
            <w:rStyle w:val="Hyperlink"/>
          </w:rPr>
          <w:t>http://www.fiercewireless.com/story/entner-what-price-megabyte-wireless-data/2011-04-13</w:t>
        </w:r>
      </w:hyperlink>
      <w:r w:rsidRPr="00D40600">
        <w:t xml:space="preserve"> (visited Oct. 16, 2012)</w:t>
      </w:r>
    </w:p>
  </w:footnote>
  <w:footnote w:id="844">
    <w:p w:rsidR="00EC7CF3" w:rsidRDefault="00EC7CF3" w:rsidP="0028065E">
      <w:pPr>
        <w:pStyle w:val="FootnoteText"/>
      </w:pPr>
      <w:r w:rsidRPr="00D40600">
        <w:rPr>
          <w:rStyle w:val="FootnoteReference"/>
          <w:sz w:val="20"/>
        </w:rPr>
        <w:footnoteRef/>
      </w:r>
      <w:r w:rsidRPr="00D40600">
        <w:t xml:space="preserve"> Validas, </w:t>
      </w:r>
      <w:r w:rsidRPr="00D40600">
        <w:rPr>
          <w:i/>
        </w:rPr>
        <w:t>3 Year View of US Wireless Data Consumption: 2009-2011</w:t>
      </w:r>
      <w:r w:rsidRPr="00D40600">
        <w:t xml:space="preserve">, Prepared for the FCC by Validas.  </w:t>
      </w:r>
    </w:p>
  </w:footnote>
  <w:footnote w:id="845">
    <w:p w:rsidR="00EC7CF3" w:rsidRDefault="00EC7CF3" w:rsidP="0028065E">
      <w:pPr>
        <w:pStyle w:val="FootnoteText"/>
      </w:pPr>
      <w:r w:rsidRPr="00D40600">
        <w:rPr>
          <w:rStyle w:val="FootnoteReference"/>
          <w:sz w:val="20"/>
        </w:rPr>
        <w:footnoteRef/>
      </w:r>
      <w:r w:rsidRPr="00D40600">
        <w:t xml:space="preserve"> Validas, </w:t>
      </w:r>
      <w:r w:rsidRPr="00D40600">
        <w:rPr>
          <w:i/>
        </w:rPr>
        <w:t>3 Year View of US Wireless Data Consumption: 2009-2011</w:t>
      </w:r>
      <w:r w:rsidRPr="00D40600">
        <w:t xml:space="preserve">, Prepared for the FCC by Validas.  </w:t>
      </w:r>
    </w:p>
  </w:footnote>
  <w:footnote w:id="846">
    <w:p w:rsidR="00EC7CF3" w:rsidRDefault="00EC7CF3">
      <w:pPr>
        <w:pStyle w:val="FootnoteText"/>
      </w:pPr>
      <w:r w:rsidRPr="00D40600">
        <w:rPr>
          <w:rStyle w:val="FootnoteReference"/>
          <w:sz w:val="20"/>
        </w:rPr>
        <w:footnoteRef/>
      </w:r>
      <w:r w:rsidRPr="00D40600">
        <w:t xml:space="preserve"> See </w:t>
      </w:r>
      <w:r w:rsidR="00951E9B">
        <w:fldChar w:fldCharType="begin"/>
      </w:r>
      <w:r w:rsidR="00951E9B">
        <w:instrText xml:space="preserve"> REF _Ref336613032  \* MERGEFORMAT </w:instrText>
      </w:r>
      <w:r w:rsidR="00951E9B">
        <w:fldChar w:fldCharType="separate"/>
      </w:r>
      <w:r w:rsidRPr="00CA3AC6">
        <w:t xml:space="preserve">Chart </w:t>
      </w:r>
      <w:r w:rsidRPr="00CA3AC6">
        <w:rPr>
          <w:noProof/>
        </w:rPr>
        <w:t>34</w:t>
      </w:r>
      <w:r w:rsidR="00951E9B">
        <w:rPr>
          <w:noProof/>
        </w:rPr>
        <w:fldChar w:fldCharType="end"/>
      </w:r>
      <w:r w:rsidRPr="00D40600">
        <w:t>, which indicates that the average monthly prepaid ARPU is near $20 in the first half of 2012 and the monthly prepaid ARPU of Tracfone is $16 during the same period.  Removing MetroPCS and Leap from the average yields an average monthly prepaid ARPU near $19 in the first half of 2012</w:t>
      </w:r>
      <w:r>
        <w:t>.</w:t>
      </w:r>
    </w:p>
  </w:footnote>
  <w:footnote w:id="847">
    <w:p w:rsidR="00EC7CF3" w:rsidRDefault="00EC7CF3" w:rsidP="0028065E">
      <w:pPr>
        <w:widowControl/>
        <w:autoSpaceDE w:val="0"/>
        <w:autoSpaceDN w:val="0"/>
        <w:adjustRightInd w:val="0"/>
        <w:spacing w:after="120"/>
      </w:pPr>
      <w:r w:rsidRPr="00D40600">
        <w:rPr>
          <w:rStyle w:val="FootnoteReference"/>
          <w:sz w:val="20"/>
        </w:rPr>
        <w:footnoteRef/>
      </w:r>
      <w:r w:rsidRPr="00D40600">
        <w:rPr>
          <w:i/>
          <w:sz w:val="20"/>
        </w:rPr>
        <w:t>CTIA Year-End 2011 Wireless Indices Report</w:t>
      </w:r>
      <w:r w:rsidRPr="00D40600">
        <w:rPr>
          <w:sz w:val="20"/>
        </w:rPr>
        <w:t>, at 101.</w:t>
      </w:r>
    </w:p>
  </w:footnote>
  <w:footnote w:id="848">
    <w:p w:rsidR="00EC7CF3" w:rsidRDefault="00EC7CF3" w:rsidP="0028065E">
      <w:pPr>
        <w:pStyle w:val="FootnoteText"/>
      </w:pPr>
      <w:r w:rsidRPr="00D40600">
        <w:rPr>
          <w:rStyle w:val="FootnoteReference"/>
          <w:sz w:val="20"/>
        </w:rPr>
        <w:footnoteRef/>
      </w:r>
      <w:r w:rsidRPr="00D40600">
        <w:t xml:space="preserve"> </w:t>
      </w:r>
      <w:r w:rsidRPr="00D40600">
        <w:rPr>
          <w:i/>
        </w:rPr>
        <w:t xml:space="preserve">CTIA Year-End 2011 Wireless Indices Report </w:t>
      </w:r>
      <w:r w:rsidRPr="00D40600">
        <w:t xml:space="preserve">at 104.  </w:t>
      </w:r>
    </w:p>
  </w:footnote>
  <w:footnote w:id="849">
    <w:p w:rsidR="00EC7CF3" w:rsidRDefault="00EC7CF3" w:rsidP="0028065E">
      <w:pPr>
        <w:pStyle w:val="FootnoteText"/>
      </w:pPr>
      <w:r w:rsidRPr="00D40600">
        <w:rPr>
          <w:rStyle w:val="FootnoteReference"/>
          <w:sz w:val="20"/>
        </w:rPr>
        <w:footnoteRef/>
      </w:r>
      <w:r w:rsidRPr="00D40600">
        <w:t xml:space="preserve"> We estimate voice revenues as the residual that remains after subtracting CTIA’s estimate of wireless data revenues from its estimate of total service revenues.  </w:t>
      </w:r>
    </w:p>
  </w:footnote>
  <w:footnote w:id="850">
    <w:p w:rsidR="00EC7CF3" w:rsidRDefault="00EC7CF3" w:rsidP="0028065E">
      <w:pPr>
        <w:pStyle w:val="FootnoteText"/>
      </w:pPr>
      <w:r w:rsidRPr="00D40600">
        <w:rPr>
          <w:rStyle w:val="FootnoteReference"/>
          <w:sz w:val="20"/>
        </w:rPr>
        <w:footnoteRef/>
      </w:r>
      <w:r w:rsidRPr="00D40600">
        <w:t xml:space="preserve"> Estimates of blended ARPU, voice ARPU and data ARPU are derived by dividing the respective revenue figures by CTIA’s estimates of the number of wireless connections.  In 2009, CTIA discontinued the practice of reporting a breakout data series for text messaging service revenues.  The estimates of both wireless data revenues and data ARPU therefore include text messaging service revenues as well as other mobile data service revenues, even though service providers transmit text messages using a special channel on their voice networks.</w:t>
      </w:r>
    </w:p>
  </w:footnote>
  <w:footnote w:id="851">
    <w:p w:rsidR="00EC7CF3" w:rsidRDefault="00EC7CF3" w:rsidP="0028065E">
      <w:pPr>
        <w:pStyle w:val="FootnoteText"/>
      </w:pPr>
      <w:r w:rsidRPr="00D40600">
        <w:rPr>
          <w:rStyle w:val="FootnoteReference"/>
          <w:sz w:val="20"/>
        </w:rPr>
        <w:footnoteRef/>
      </w:r>
      <w:r w:rsidRPr="00D40600">
        <w:t xml:space="preserve"> </w:t>
      </w:r>
      <w:r w:rsidRPr="00D40600">
        <w:rPr>
          <w:i/>
        </w:rPr>
        <w:t>CTIA Year-End 2011 Wireless Indices Report.</w:t>
      </w:r>
    </w:p>
  </w:footnote>
  <w:footnote w:id="852">
    <w:p w:rsidR="00EC7CF3" w:rsidRDefault="00EC7CF3" w:rsidP="0028065E">
      <w:pPr>
        <w:pStyle w:val="FootnoteText"/>
      </w:pPr>
      <w:r w:rsidRPr="00D40600">
        <w:rPr>
          <w:rStyle w:val="FootnoteReference"/>
          <w:sz w:val="20"/>
        </w:rPr>
        <w:footnoteRef/>
      </w:r>
      <w:r w:rsidRPr="00D40600">
        <w:t xml:space="preserve"> </w:t>
      </w:r>
      <w:r w:rsidRPr="00D40600">
        <w:rPr>
          <w:i/>
        </w:rPr>
        <w:t xml:space="preserve">CTIA Year-End 2011 Wireless Indices Report.  </w:t>
      </w:r>
      <w:r w:rsidRPr="00D40600">
        <w:t>In 2009, CTIA discontinued the practice of reporting a breakout data series for text messaging service revenues.  The estimates of both wireless data revenues and data ARPU therefore include text messaging service revenues as well as other mobile data service revenues.</w:t>
      </w:r>
    </w:p>
  </w:footnote>
  <w:footnote w:id="853">
    <w:p w:rsidR="00EC7CF3" w:rsidRPr="001A1217" w:rsidRDefault="00EC7CF3" w:rsidP="0028065E">
      <w:pPr>
        <w:pStyle w:val="FootnoteText"/>
      </w:pPr>
      <w:r w:rsidRPr="00D40600">
        <w:rPr>
          <w:rStyle w:val="FootnoteReference"/>
          <w:sz w:val="20"/>
        </w:rPr>
        <w:footnoteRef/>
      </w:r>
      <w:r w:rsidRPr="00D40600">
        <w:t xml:space="preserve"> </w:t>
      </w:r>
      <w:r w:rsidRPr="00D40600">
        <w:rPr>
          <w:i/>
        </w:rPr>
        <w:t>CTIA Year-End 2011 Wireless Indices Report</w:t>
      </w:r>
      <w:r w:rsidRPr="00D40600">
        <w:t xml:space="preserve">; Commission analysis.  Total and voice ARPU include roaming and toll revenues.  The ARPU calculations are based on CTIA’s total estimated subscriber connection numbers, </w:t>
      </w:r>
      <w:r>
        <w:t>as revised in the second half of 2012</w:t>
      </w:r>
      <w:r w:rsidRPr="00D40600">
        <w:t xml:space="preserve">.  </w:t>
      </w:r>
      <w:r w:rsidRPr="00D40600">
        <w:rPr>
          <w:i/>
        </w:rPr>
        <w:t>See CTIA Year-End 2011 Wireless Indices Report</w:t>
      </w:r>
      <w:r>
        <w:rPr>
          <w:i/>
        </w:rPr>
        <w:t>.</w:t>
      </w:r>
    </w:p>
  </w:footnote>
  <w:footnote w:id="854">
    <w:p w:rsidR="00EC7CF3" w:rsidRDefault="00EC7CF3" w:rsidP="0028065E">
      <w:pPr>
        <w:pStyle w:val="FootnoteText"/>
      </w:pPr>
      <w:r w:rsidRPr="00D40600">
        <w:rPr>
          <w:rStyle w:val="FootnoteReference"/>
          <w:sz w:val="20"/>
        </w:rPr>
        <w:footnoteRef/>
      </w:r>
      <w:r w:rsidRPr="00D40600">
        <w:t xml:space="preserve">  This effect is referred to by economists as the </w:t>
      </w:r>
      <w:r w:rsidRPr="00D40600">
        <w:rPr>
          <w:i/>
        </w:rPr>
        <w:t>price elasticity</w:t>
      </w:r>
      <w:r w:rsidRPr="00D40600">
        <w:t xml:space="preserve"> of demand.    If there is an increase in total revenue when a decrease in price results in a proportionately larger increase in quantity demanded, then demand is considered to be price elastic.  Conversely, if there is a decrease in total revenues when there is a decrease in price then demand is considered to be price inelastic.</w:t>
      </w:r>
    </w:p>
  </w:footnote>
  <w:footnote w:id="855">
    <w:p w:rsidR="00EC7CF3" w:rsidRDefault="00EC7CF3" w:rsidP="0028065E">
      <w:pPr>
        <w:pStyle w:val="FootnoteText"/>
      </w:pPr>
      <w:r w:rsidRPr="00D40600">
        <w:rPr>
          <w:rStyle w:val="FootnoteReference"/>
          <w:sz w:val="20"/>
        </w:rPr>
        <w:footnoteRef/>
      </w:r>
      <w:r w:rsidRPr="00D40600">
        <w:t xml:space="preserve"> </w:t>
      </w:r>
      <w:r w:rsidRPr="00D40600">
        <w:rPr>
          <w:i/>
        </w:rPr>
        <w:t>Twelfth Report</w:t>
      </w:r>
      <w:r w:rsidRPr="00D40600">
        <w:t xml:space="preserve">, 23 FCC Rcd at 2323-2324 ¶ 202 (noting that the average price per text message declined for the first time in 2006 after rising continuously since 2002); Roger Entner, </w:t>
      </w:r>
      <w:r w:rsidRPr="00D40600">
        <w:rPr>
          <w:i/>
        </w:rPr>
        <w:t>What is the Price of a Megabyte of Wireless Data?</w:t>
      </w:r>
      <w:r w:rsidRPr="00D40600">
        <w:t xml:space="preserve">, </w:t>
      </w:r>
      <w:r w:rsidRPr="00D40600">
        <w:rPr>
          <w:smallCaps/>
        </w:rPr>
        <w:t>FierceWireless</w:t>
      </w:r>
      <w:r w:rsidRPr="00D40600">
        <w:t xml:space="preserve">, Apr. 13, 2011 </w:t>
      </w:r>
      <w:hyperlink r:id="rId380" w:history="1">
        <w:r w:rsidRPr="00D40600">
          <w:rPr>
            <w:rStyle w:val="Hyperlink"/>
          </w:rPr>
          <w:t>http://www.fiercewireless.com/story/entner-what-price-megabyte-wireless-data/2011-04-13</w:t>
        </w:r>
      </w:hyperlink>
      <w:r>
        <w:t xml:space="preserve"> (visited Oct. 16, 2012)</w:t>
      </w:r>
      <w:r w:rsidRPr="00D40600">
        <w:t xml:space="preserve">.  As shown in </w:t>
      </w:r>
      <w:r w:rsidR="00951E9B">
        <w:fldChar w:fldCharType="begin"/>
      </w:r>
      <w:r w:rsidR="00951E9B">
        <w:instrText xml:space="preserve"> REF _Ref256600526  \* MERGEFORMAT </w:instrText>
      </w:r>
      <w:r w:rsidR="00951E9B">
        <w:fldChar w:fldCharType="separate"/>
      </w:r>
      <w:r w:rsidRPr="00CA3AC6">
        <w:t xml:space="preserve">Chart </w:t>
      </w:r>
      <w:r w:rsidRPr="00CA3AC6">
        <w:rPr>
          <w:noProof/>
        </w:rPr>
        <w:t>20</w:t>
      </w:r>
      <w:r w:rsidR="00951E9B">
        <w:rPr>
          <w:noProof/>
        </w:rPr>
        <w:fldChar w:fldCharType="end"/>
      </w:r>
      <w:r w:rsidRPr="00D40600">
        <w:t>, CTIA estimates of minutes of use for voice calls have been declining annually since 2008.  In contrast, it is estimated that the number of text messages that the average U.S. mobile subscriber sends or receives each month rose to approximately 600 i</w:t>
      </w:r>
      <w:r>
        <w:t>n 2011, up from about 40 in 2005</w:t>
      </w:r>
      <w:r w:rsidRPr="00D40600">
        <w:t>.</w:t>
      </w:r>
    </w:p>
  </w:footnote>
  <w:footnote w:id="856">
    <w:p w:rsidR="00EC7CF3" w:rsidRDefault="00EC7CF3" w:rsidP="0028065E">
      <w:pPr>
        <w:pStyle w:val="FootnoteText"/>
      </w:pPr>
      <w:r w:rsidRPr="00D40600">
        <w:rPr>
          <w:rStyle w:val="FootnoteReference"/>
          <w:sz w:val="20"/>
        </w:rPr>
        <w:footnoteRef/>
      </w:r>
      <w:r w:rsidRPr="00D40600">
        <w:t xml:space="preserve"> </w:t>
      </w:r>
      <w:r w:rsidRPr="00D40600">
        <w:rPr>
          <w:i/>
        </w:rPr>
        <w:t>See</w:t>
      </w:r>
      <w:r w:rsidRPr="00D40600">
        <w:t xml:space="preserve"> Thomas W. Hazlett, </w:t>
      </w:r>
      <w:r w:rsidRPr="00D40600">
        <w:rPr>
          <w:i/>
        </w:rPr>
        <w:t>The Federal Communication Commission’s Excellent Mobile Competition Adventure</w:t>
      </w:r>
      <w:r w:rsidRPr="00D40600">
        <w:t>, Working Paper No. 11-46, Mercatus Center, George Mason University, Nov. 2011, at 4.  See also Morgan Stanley: Big Debate ’12 - Will Wireless ARPUs Start Declining? Dec 8, 2011 (stating, “Some of what would be voice minutes are being replaced by text messages in our view. However, substitution by alternative web-based communication (Facebook) or communication applications (WhatsApp) may pressure growth of text messaging as well.”)</w:t>
      </w:r>
    </w:p>
  </w:footnote>
  <w:footnote w:id="857">
    <w:p w:rsidR="00EC7CF3" w:rsidRDefault="00EC7CF3" w:rsidP="0028065E">
      <w:pPr>
        <w:pStyle w:val="FootnoteText"/>
      </w:pPr>
      <w:r w:rsidRPr="00D40600">
        <w:rPr>
          <w:rStyle w:val="FootnoteReference"/>
          <w:sz w:val="20"/>
        </w:rPr>
        <w:footnoteRef/>
      </w:r>
      <w:r w:rsidRPr="00D40600">
        <w:t xml:space="preserve"> Jenna Wortham, </w:t>
      </w:r>
      <w:r w:rsidRPr="00D40600">
        <w:rPr>
          <w:i/>
        </w:rPr>
        <w:t>Free Texts Pose Threat to Carriers</w:t>
      </w:r>
      <w:r w:rsidRPr="00D40600">
        <w:t xml:space="preserve">, </w:t>
      </w:r>
      <w:r w:rsidRPr="00D40600">
        <w:rPr>
          <w:smallCaps/>
        </w:rPr>
        <w:t>New York Times</w:t>
      </w:r>
      <w:r w:rsidRPr="00D40600">
        <w:t xml:space="preserve">, Oct. 9, 2011. </w:t>
      </w:r>
      <w:hyperlink r:id="rId381" w:history="1">
        <w:r w:rsidRPr="00D40600">
          <w:rPr>
            <w:rStyle w:val="Hyperlink"/>
          </w:rPr>
          <w:t>http://www.nytimes.com/2011/10/10/technology/paying-to-text-is-becoming-passe-companies-fret.html?pagewanted=all</w:t>
        </w:r>
      </w:hyperlink>
      <w:r w:rsidRPr="00D40600">
        <w:t xml:space="preserve"> (visited Oct. 16, 2012)</w:t>
      </w:r>
      <w:r>
        <w:t>.</w:t>
      </w:r>
    </w:p>
  </w:footnote>
  <w:footnote w:id="858">
    <w:p w:rsidR="00EC7CF3" w:rsidRDefault="00EC7CF3" w:rsidP="0028065E">
      <w:pPr>
        <w:pStyle w:val="FootnoteText"/>
      </w:pPr>
      <w:r w:rsidRPr="00D40600">
        <w:rPr>
          <w:rStyle w:val="FootnoteReference"/>
          <w:sz w:val="20"/>
        </w:rPr>
        <w:footnoteRef/>
      </w:r>
      <w:r w:rsidRPr="00D40600">
        <w:t xml:space="preserve"> Jenna Wortham, </w:t>
      </w:r>
      <w:r w:rsidRPr="00D40600">
        <w:rPr>
          <w:i/>
        </w:rPr>
        <w:t>Free Texts Pose Threat to Carriers</w:t>
      </w:r>
      <w:r w:rsidRPr="00D40600">
        <w:t xml:space="preserve">, </w:t>
      </w:r>
      <w:r w:rsidRPr="00D40600">
        <w:rPr>
          <w:smallCaps/>
        </w:rPr>
        <w:t>New York Times</w:t>
      </w:r>
      <w:r w:rsidRPr="00D40600">
        <w:t xml:space="preserve">, Oct. 9, 2011. </w:t>
      </w:r>
      <w:hyperlink r:id="rId382" w:history="1">
        <w:r w:rsidRPr="00D40600">
          <w:rPr>
            <w:rStyle w:val="Hyperlink"/>
          </w:rPr>
          <w:t>http://www.nytimes.com/2011/10/10/technology/paying-to-text-is-becoming-passe-companies-fret.html?pagewanted=all</w:t>
        </w:r>
      </w:hyperlink>
      <w:r w:rsidRPr="00D40600">
        <w:t xml:space="preserve"> (visited Oct. 16, 2012)</w:t>
      </w:r>
      <w:r>
        <w:t>.</w:t>
      </w:r>
    </w:p>
  </w:footnote>
  <w:footnote w:id="859">
    <w:p w:rsidR="00EC7CF3" w:rsidRDefault="00EC7CF3" w:rsidP="0028065E">
      <w:pPr>
        <w:pStyle w:val="FootnoteText"/>
      </w:pPr>
      <w:r w:rsidRPr="00D40600">
        <w:rPr>
          <w:rStyle w:val="FootnoteReference"/>
          <w:sz w:val="20"/>
        </w:rPr>
        <w:footnoteRef/>
      </w:r>
      <w:r w:rsidRPr="00D40600">
        <w:t xml:space="preserve"> Jenna Wortham, </w:t>
      </w:r>
      <w:r w:rsidRPr="00D40600">
        <w:rPr>
          <w:i/>
        </w:rPr>
        <w:t>Free Texts Pose Threat to Carriers</w:t>
      </w:r>
      <w:r w:rsidRPr="00D40600">
        <w:t xml:space="preserve">, </w:t>
      </w:r>
      <w:r w:rsidRPr="00D40600">
        <w:rPr>
          <w:smallCaps/>
        </w:rPr>
        <w:t>New York Times</w:t>
      </w:r>
      <w:r w:rsidRPr="00D40600">
        <w:t xml:space="preserve">, Oct. 9, 2011. </w:t>
      </w:r>
      <w:hyperlink r:id="rId383" w:history="1">
        <w:r w:rsidRPr="00D40600">
          <w:rPr>
            <w:rStyle w:val="Hyperlink"/>
          </w:rPr>
          <w:t>http://www.nytimes.com/2011/10/10/technology/paying-to-text-is-becoming-passe-companies-fret.html?pagewanted=all</w:t>
        </w:r>
      </w:hyperlink>
      <w:r w:rsidRPr="00D40600">
        <w:t xml:space="preserve"> (visited Oct. 16, 2012)</w:t>
      </w:r>
      <w:r>
        <w:t>.</w:t>
      </w:r>
    </w:p>
  </w:footnote>
  <w:footnote w:id="860">
    <w:p w:rsidR="00EC7CF3" w:rsidRDefault="00EC7CF3" w:rsidP="0028065E">
      <w:pPr>
        <w:pStyle w:val="FootnoteText"/>
      </w:pPr>
      <w:r w:rsidRPr="00D40600">
        <w:rPr>
          <w:rStyle w:val="FootnoteReference"/>
          <w:sz w:val="20"/>
        </w:rPr>
        <w:footnoteRef/>
      </w:r>
      <w:r w:rsidRPr="00D40600">
        <w:t xml:space="preserve"> Jenna Wortham, </w:t>
      </w:r>
      <w:r w:rsidRPr="00D40600">
        <w:rPr>
          <w:i/>
        </w:rPr>
        <w:t>Free Texts Pose Threat to Carriers</w:t>
      </w:r>
      <w:r w:rsidRPr="00D40600">
        <w:t xml:space="preserve">, </w:t>
      </w:r>
      <w:r w:rsidRPr="00D40600">
        <w:rPr>
          <w:smallCaps/>
        </w:rPr>
        <w:t>New York Times</w:t>
      </w:r>
      <w:r w:rsidRPr="00D40600">
        <w:t xml:space="preserve">, Oct. 9, 2011. </w:t>
      </w:r>
      <w:hyperlink r:id="rId384" w:history="1">
        <w:r w:rsidRPr="00D40600">
          <w:rPr>
            <w:rStyle w:val="Hyperlink"/>
          </w:rPr>
          <w:t>http://www.nytimes.com/2011/10/10/technology/paying-to-text-is-becoming-passe-companies-fret.html?pagewanted=all</w:t>
        </w:r>
      </w:hyperlink>
      <w:r w:rsidRPr="00D40600">
        <w:t xml:space="preserve"> (visited Oct. 16, 2012) (quoting a Verizon spokesperson as indicating that “the company views social messaging as being complementary to other features on the phone,” and further that “from a business perspective, customers still need a data plan to connect to a device.”).</w:t>
      </w:r>
    </w:p>
  </w:footnote>
  <w:footnote w:id="861">
    <w:p w:rsidR="00EC7CF3" w:rsidRDefault="00EC7CF3">
      <w:pPr>
        <w:pStyle w:val="FootnoteText"/>
      </w:pPr>
      <w:r w:rsidRPr="00D40600">
        <w:rPr>
          <w:rStyle w:val="FootnoteReference"/>
          <w:sz w:val="20"/>
        </w:rPr>
        <w:footnoteRef/>
      </w:r>
      <w:r w:rsidRPr="00D40600">
        <w:t xml:space="preserve"> Data comes from company reports and Bank of America Merrill Lynch.  Postpaid ARPU is an average of the postpaid ARPU of the nationwide providers.  Prepaid ARPU is an average of the prepaid ARPU of the nationwide providers plus Leap and MetroPCS.</w:t>
      </w:r>
    </w:p>
  </w:footnote>
  <w:footnote w:id="862">
    <w:p w:rsidR="00EC7CF3" w:rsidRDefault="00EC7CF3" w:rsidP="0028065E">
      <w:pPr>
        <w:pStyle w:val="FootnoteText"/>
      </w:pPr>
      <w:r w:rsidRPr="00D40600">
        <w:rPr>
          <w:rStyle w:val="FootnoteReference"/>
          <w:sz w:val="20"/>
        </w:rPr>
        <w:footnoteRef/>
      </w:r>
      <w:r w:rsidRPr="00D40600">
        <w:t xml:space="preserve"> </w:t>
      </w:r>
      <w:r w:rsidRPr="00D40600">
        <w:rPr>
          <w:i/>
        </w:rPr>
        <w:t>Torch Passes from Voice to Data</w:t>
      </w:r>
      <w:r w:rsidRPr="00D40600">
        <w:t>, at 24.</w:t>
      </w:r>
    </w:p>
  </w:footnote>
  <w:footnote w:id="863">
    <w:p w:rsidR="00EC7CF3" w:rsidRDefault="00EC7CF3" w:rsidP="0028065E">
      <w:pPr>
        <w:pStyle w:val="FootnoteText"/>
      </w:pPr>
      <w:r w:rsidRPr="00D40600">
        <w:rPr>
          <w:rStyle w:val="FootnoteReference"/>
          <w:sz w:val="20"/>
        </w:rPr>
        <w:footnoteRef/>
      </w:r>
      <w:r w:rsidRPr="00D40600">
        <w:t xml:space="preserve"> Sanford Bernstein Research.</w:t>
      </w:r>
    </w:p>
  </w:footnote>
  <w:footnote w:id="864">
    <w:p w:rsidR="00EC7CF3" w:rsidRDefault="00EC7CF3" w:rsidP="0028065E">
      <w:pPr>
        <w:pStyle w:val="FootnoteText"/>
      </w:pPr>
      <w:r w:rsidRPr="00D40600">
        <w:rPr>
          <w:rStyle w:val="FootnoteReference"/>
          <w:sz w:val="20"/>
        </w:rPr>
        <w:footnoteRef/>
      </w:r>
      <w:r w:rsidRPr="00D40600">
        <w:t xml:space="preserve"> Economic profit is defined as revenue minus opportunity costs.  A main distinction between economic and accounting profits is the former accounts for opportunity costs.  </w:t>
      </w:r>
      <w:r w:rsidRPr="00D40600">
        <w:rPr>
          <w:i/>
        </w:rPr>
        <w:t>See</w:t>
      </w:r>
      <w:r w:rsidRPr="00D40600">
        <w:t xml:space="preserve"> </w:t>
      </w:r>
      <w:r w:rsidRPr="00D40600">
        <w:rPr>
          <w:i/>
        </w:rPr>
        <w:t>Modern Industrial Organization</w:t>
      </w:r>
      <w:r w:rsidRPr="00D40600">
        <w:t>, at 247.</w:t>
      </w:r>
    </w:p>
  </w:footnote>
  <w:footnote w:id="865">
    <w:p w:rsidR="00EC7CF3" w:rsidRDefault="00EC7CF3" w:rsidP="0028065E">
      <w:pPr>
        <w:pStyle w:val="FootnoteText"/>
      </w:pPr>
      <w:r w:rsidRPr="00D40600">
        <w:rPr>
          <w:rStyle w:val="FootnoteReference"/>
          <w:sz w:val="20"/>
        </w:rPr>
        <w:footnoteRef/>
      </w:r>
      <w:r w:rsidRPr="00D40600">
        <w:t xml:space="preserve"> </w:t>
      </w:r>
      <w:r w:rsidRPr="00D40600">
        <w:rPr>
          <w:i/>
        </w:rPr>
        <w:t xml:space="preserve">See </w:t>
      </w:r>
      <w:r w:rsidRPr="00D40600">
        <w:t xml:space="preserve">Jonathan B. Baker and Timothy Bresnahan, “Economic Evidence in Antitrust: Defining Markets and Measuring Market Power” in </w:t>
      </w:r>
      <w:r w:rsidRPr="00D40600">
        <w:rPr>
          <w:i/>
        </w:rPr>
        <w:t>Handbook of Antitrust Economics</w:t>
      </w:r>
      <w:r w:rsidRPr="00D40600">
        <w:t xml:space="preserve">, ed. Paolo Buccirossi, MIT Press, 2008.      </w:t>
      </w:r>
      <w:r w:rsidRPr="00D40600">
        <w:rPr>
          <w:i/>
        </w:rPr>
        <w:t xml:space="preserve">   </w:t>
      </w:r>
    </w:p>
  </w:footnote>
  <w:footnote w:id="866">
    <w:p w:rsidR="00EC7CF3" w:rsidRDefault="00EC7CF3" w:rsidP="0028065E">
      <w:pPr>
        <w:pStyle w:val="FootnoteText"/>
      </w:pPr>
      <w:r w:rsidRPr="00D40600">
        <w:rPr>
          <w:rStyle w:val="FootnoteReference"/>
          <w:sz w:val="20"/>
        </w:rPr>
        <w:footnoteRef/>
      </w:r>
      <w:r w:rsidRPr="00D40600">
        <w:t xml:space="preserve"> </w:t>
      </w:r>
      <w:r w:rsidRPr="00D40600">
        <w:rPr>
          <w:i/>
        </w:rPr>
        <w:t>See</w:t>
      </w:r>
      <w:r w:rsidRPr="00D40600">
        <w:t xml:space="preserve">, </w:t>
      </w:r>
      <w:r w:rsidRPr="00D40600">
        <w:rPr>
          <w:i/>
        </w:rPr>
        <w:t>e.g</w:t>
      </w:r>
      <w:r w:rsidRPr="00D40600">
        <w:t xml:space="preserve">., Bank of America Merrill Lynch, </w:t>
      </w:r>
      <w:r w:rsidRPr="00D40600">
        <w:rPr>
          <w:i/>
        </w:rPr>
        <w:t>Wireless pricing:  Verizon and Swisscom shake it up</w:t>
      </w:r>
      <w:r w:rsidRPr="00D40600">
        <w:t xml:space="preserve">, June 18, 2012; Bernstein Research, </w:t>
      </w:r>
      <w:r w:rsidRPr="00D40600">
        <w:rPr>
          <w:i/>
        </w:rPr>
        <w:t>U.S. Telecommunications:  If This Is a Duopoly, Why Aren’t the Duopolists Making More Money?</w:t>
      </w:r>
      <w:r w:rsidRPr="00D40600">
        <w:t xml:space="preserve">, March 7, 2012; UBS Investment Research, </w:t>
      </w:r>
      <w:r w:rsidRPr="00D40600">
        <w:rPr>
          <w:i/>
        </w:rPr>
        <w:t xml:space="preserve">US Wireless 411 4Q11, </w:t>
      </w:r>
      <w:r w:rsidRPr="00D40600">
        <w:t>March 7, 2012</w:t>
      </w:r>
      <w:r w:rsidRPr="00D40600">
        <w:rPr>
          <w:i/>
        </w:rPr>
        <w:t>.</w:t>
      </w:r>
    </w:p>
  </w:footnote>
  <w:footnote w:id="867">
    <w:p w:rsidR="00EC7CF3" w:rsidRDefault="00EC7CF3" w:rsidP="0028065E">
      <w:pPr>
        <w:pStyle w:val="FootnoteText"/>
      </w:pPr>
      <w:r w:rsidRPr="00D40600">
        <w:rPr>
          <w:rStyle w:val="FootnoteReference"/>
          <w:sz w:val="20"/>
        </w:rPr>
        <w:footnoteRef/>
      </w:r>
      <w:r w:rsidRPr="00D40600">
        <w:t xml:space="preserve"> </w:t>
      </w:r>
      <w:r w:rsidRPr="00D40600">
        <w:rPr>
          <w:i/>
        </w:rPr>
        <w:t>See</w:t>
      </w:r>
      <w:r w:rsidRPr="00D40600">
        <w:t xml:space="preserve"> A Dictionary of Finance and Banking (2</w:t>
      </w:r>
      <w:r w:rsidRPr="00D40600">
        <w:rPr>
          <w:vertAlign w:val="superscript"/>
        </w:rPr>
        <w:t>nd</w:t>
      </w:r>
      <w:r w:rsidRPr="00D40600">
        <w:t xml:space="preserve"> ed.), Oxford University Press, 1997, at 112 (defining EBIT as “The profit of a company as shown on the profit and loss account, before deducting the variables of interest and tax.  This figure, which is used in calculating many ratios, enables better comparisons to be made with other companies”).</w:t>
      </w:r>
    </w:p>
  </w:footnote>
  <w:footnote w:id="868">
    <w:p w:rsidR="00EC7CF3" w:rsidRDefault="00EC7CF3" w:rsidP="0028065E">
      <w:pPr>
        <w:pStyle w:val="FootnoteText"/>
      </w:pPr>
      <w:r w:rsidRPr="00D40600">
        <w:rPr>
          <w:rStyle w:val="FootnoteReference"/>
          <w:sz w:val="20"/>
        </w:rPr>
        <w:footnoteRef/>
      </w:r>
      <w:r w:rsidRPr="00D40600">
        <w:t xml:space="preserve"> </w:t>
      </w:r>
      <w:r w:rsidRPr="00D40600">
        <w:rPr>
          <w:i/>
        </w:rPr>
        <w:t>See, e.g</w:t>
      </w:r>
      <w:r w:rsidRPr="00D40600">
        <w:t xml:space="preserve">., B. Tunick, </w:t>
      </w:r>
      <w:r w:rsidRPr="00D40600">
        <w:rPr>
          <w:i/>
        </w:rPr>
        <w:t>In the GAAP/EBITDA World Nothing’s Easy</w:t>
      </w:r>
      <w:r w:rsidRPr="00D40600">
        <w:t xml:space="preserve">, Investment Dealer’s Digest, Sept. 16, 2002, Vol. 68, Issue 35, at 30; M. Fridson, </w:t>
      </w:r>
      <w:r w:rsidRPr="00D40600">
        <w:rPr>
          <w:i/>
        </w:rPr>
        <w:t>EBITDA Is Not King</w:t>
      </w:r>
      <w:r w:rsidRPr="00D40600">
        <w:t xml:space="preserve">, Journal of Financial Statement Analysis, Spring 1998, Vol. 3, Issue 3, at 59; </w:t>
      </w:r>
      <w:r w:rsidRPr="00D40600">
        <w:rPr>
          <w:i/>
        </w:rPr>
        <w:t>Let’s Agree to Agree on What EBITDA Means</w:t>
      </w:r>
      <w:r w:rsidRPr="00D40600">
        <w:t xml:space="preserve">, Bank Loan Report, Vol. 23, No. 26, June 30, 2008.  </w:t>
      </w:r>
      <w:r w:rsidRPr="00D40600">
        <w:rPr>
          <w:i/>
        </w:rPr>
        <w:t>See</w:t>
      </w:r>
      <w:r w:rsidRPr="00D40600">
        <w:t xml:space="preserve"> D. Shook, </w:t>
      </w:r>
      <w:r w:rsidRPr="00D40600">
        <w:rPr>
          <w:i/>
        </w:rPr>
        <w:t>EBITDA’s Foggy Bottom Line</w:t>
      </w:r>
      <w:r w:rsidRPr="00D40600">
        <w:t xml:space="preserve">, BusinessWeek Online, Jan. 14, 2003. </w:t>
      </w:r>
      <w:hyperlink r:id="rId385" w:history="1">
        <w:r w:rsidRPr="00D40600">
          <w:rPr>
            <w:rStyle w:val="Hyperlink"/>
          </w:rPr>
          <w:t>http://www.businessweek.com/stories/2003-01-13/ebitdas-foggy-bottom-line</w:t>
        </w:r>
      </w:hyperlink>
      <w:r w:rsidRPr="00D40600">
        <w:t xml:space="preserve"> (visited Oct. 16, 2012) available from the database Business Source Premier, (stating that if a firm has interest payments equal to 20 percent of EBITDA then EBITDA will ignore one of the firm’s largest expenses).</w:t>
      </w:r>
    </w:p>
  </w:footnote>
  <w:footnote w:id="869">
    <w:p w:rsidR="00EC7CF3" w:rsidRDefault="00EC7CF3" w:rsidP="0028065E">
      <w:pPr>
        <w:pStyle w:val="FootnoteText"/>
      </w:pPr>
      <w:r w:rsidRPr="00D40600">
        <w:rPr>
          <w:rStyle w:val="FootnoteReference"/>
          <w:sz w:val="20"/>
        </w:rPr>
        <w:footnoteRef/>
      </w:r>
      <w:r w:rsidRPr="00D40600">
        <w:t xml:space="preserve"> The statutory federal corporation income tax is 35 percent for corporate income over $18,333,333.  </w:t>
      </w:r>
      <w:r w:rsidRPr="00D40600">
        <w:rPr>
          <w:i/>
        </w:rPr>
        <w:t>See</w:t>
      </w:r>
      <w:r w:rsidRPr="00D40600">
        <w:t xml:space="preserve"> IRS, </w:t>
      </w:r>
      <w:r w:rsidRPr="00D40600">
        <w:rPr>
          <w:i/>
        </w:rPr>
        <w:t>Publication 542, Corporations</w:t>
      </w:r>
      <w:r w:rsidRPr="00D40600">
        <w:t xml:space="preserve">, at 17, Rev. Feb. 2006, </w:t>
      </w:r>
      <w:r w:rsidRPr="00D40600">
        <w:rPr>
          <w:i/>
        </w:rPr>
        <w:t>available at</w:t>
      </w:r>
      <w:r w:rsidRPr="00D40600">
        <w:t xml:space="preserve"> </w:t>
      </w:r>
      <w:hyperlink r:id="rId386" w:history="1">
        <w:r w:rsidRPr="00D40600">
          <w:rPr>
            <w:rStyle w:val="Hyperlink"/>
          </w:rPr>
          <w:t>http://www.irs.gov/pub/irs-pdf/p542.pdf</w:t>
        </w:r>
      </w:hyperlink>
      <w:r w:rsidRPr="00D40600">
        <w:t xml:space="preserve"> (visited Oct. 16, 2012)</w:t>
      </w:r>
      <w:r>
        <w:t>.</w:t>
      </w:r>
    </w:p>
  </w:footnote>
  <w:footnote w:id="870">
    <w:p w:rsidR="00EC7CF3" w:rsidRDefault="00EC7CF3" w:rsidP="0028065E">
      <w:pPr>
        <w:pStyle w:val="FootnoteText"/>
      </w:pPr>
      <w:r w:rsidRPr="00D40600">
        <w:rPr>
          <w:rStyle w:val="FootnoteReference"/>
          <w:sz w:val="20"/>
        </w:rPr>
        <w:footnoteRef/>
      </w:r>
      <w:r w:rsidRPr="00D40600">
        <w:t xml:space="preserve"> The definition of EBITDA is an extension of EBIT, also excluding Depreciation and Amortization.  EBITDA is readily calculated from a provider’s SEC 10-K form even if the provider does not report EBITDA. </w:t>
      </w:r>
    </w:p>
  </w:footnote>
  <w:footnote w:id="871">
    <w:p w:rsidR="00EC7CF3" w:rsidRDefault="00EC7CF3" w:rsidP="0028065E">
      <w:pPr>
        <w:pStyle w:val="FootnoteText"/>
      </w:pPr>
      <w:r w:rsidRPr="00D40600">
        <w:rPr>
          <w:rStyle w:val="FootnoteReference"/>
          <w:sz w:val="20"/>
        </w:rPr>
        <w:footnoteRef/>
      </w:r>
      <w:r w:rsidRPr="00D40600">
        <w:t xml:space="preserve"> </w:t>
      </w:r>
      <w:r w:rsidRPr="00D40600">
        <w:rPr>
          <w:i/>
        </w:rPr>
        <w:t xml:space="preserve">See </w:t>
      </w:r>
      <w:r w:rsidR="00951E9B">
        <w:fldChar w:fldCharType="begin"/>
      </w:r>
      <w:r w:rsidR="00951E9B">
        <w:instrText xml:space="preserve"> REF _Ref257707258  \* MERGEFORMAT </w:instrText>
      </w:r>
      <w:r w:rsidR="00951E9B">
        <w:fldChar w:fldCharType="separate"/>
      </w:r>
      <w:r w:rsidRPr="00CA3AC6">
        <w:t xml:space="preserve">Chart </w:t>
      </w:r>
      <w:r w:rsidRPr="00CA3AC6">
        <w:rPr>
          <w:noProof/>
        </w:rPr>
        <w:t>11</w:t>
      </w:r>
      <w:r w:rsidR="00951E9B">
        <w:rPr>
          <w:noProof/>
        </w:rPr>
        <w:fldChar w:fldCharType="end"/>
      </w:r>
      <w:r w:rsidRPr="00D40600">
        <w:t xml:space="preserve">, Section </w:t>
      </w:r>
      <w:r w:rsidR="00951E9B">
        <w:fldChar w:fldCharType="begin"/>
      </w:r>
      <w:r w:rsidR="00951E9B">
        <w:instrText xml:space="preserve"> REF _Ref331433903 \w  \* MERGEFORMAT </w:instrText>
      </w:r>
      <w:r w:rsidR="00951E9B">
        <w:fldChar w:fldCharType="separate"/>
      </w:r>
      <w:r>
        <w:t>IV.B.2</w:t>
      </w:r>
      <w:r w:rsidR="00951E9B">
        <w:fldChar w:fldCharType="end"/>
      </w:r>
      <w:r w:rsidRPr="00D40600">
        <w:t>,</w:t>
      </w:r>
      <w:r>
        <w:t xml:space="preserve"> Investment,</w:t>
      </w:r>
      <w:r w:rsidRPr="00D40600">
        <w:t xml:space="preserve"> </w:t>
      </w:r>
      <w:r w:rsidRPr="00D40600">
        <w:rPr>
          <w:i/>
        </w:rPr>
        <w:t>infra</w:t>
      </w:r>
      <w:r w:rsidRPr="00D40600">
        <w:t>.</w:t>
      </w:r>
    </w:p>
  </w:footnote>
  <w:footnote w:id="872">
    <w:p w:rsidR="00EC7CF3" w:rsidRDefault="00EC7CF3" w:rsidP="0028065E">
      <w:pPr>
        <w:pStyle w:val="FootnoteText"/>
      </w:pPr>
      <w:r w:rsidRPr="00D40600">
        <w:rPr>
          <w:rStyle w:val="FootnoteReference"/>
          <w:sz w:val="20"/>
        </w:rPr>
        <w:footnoteRef/>
      </w:r>
      <w:r w:rsidRPr="00D40600">
        <w:t xml:space="preserve"> </w:t>
      </w:r>
      <w:r w:rsidRPr="00D40600">
        <w:rPr>
          <w:i/>
        </w:rPr>
        <w:t>See</w:t>
      </w:r>
      <w:r w:rsidRPr="00D40600">
        <w:t xml:space="preserve"> Donald E. Kieso, </w:t>
      </w:r>
      <w:r w:rsidRPr="00D40600">
        <w:rPr>
          <w:i/>
        </w:rPr>
        <w:t>et al</w:t>
      </w:r>
      <w:r w:rsidRPr="00D40600">
        <w:t xml:space="preserve">., </w:t>
      </w:r>
      <w:r w:rsidRPr="00D40600">
        <w:rPr>
          <w:i/>
        </w:rPr>
        <w:t>Intermediate Accounting</w:t>
      </w:r>
      <w:r w:rsidRPr="00D40600">
        <w:t xml:space="preserve"> (11</w:t>
      </w:r>
      <w:r w:rsidRPr="00D40600">
        <w:rPr>
          <w:vertAlign w:val="superscript"/>
        </w:rPr>
        <w:t>th</w:t>
      </w:r>
      <w:r w:rsidRPr="00D40600">
        <w:t xml:space="preserve"> ed.), John Wiley &amp; Sons, Inc., 2004, at 197 (Defining </w:t>
      </w:r>
      <w:r w:rsidRPr="00D40600">
        <w:rPr>
          <w:i/>
        </w:rPr>
        <w:t>free cash flow</w:t>
      </w:r>
      <w:r w:rsidRPr="00D40600">
        <w:t xml:space="preserve"> as </w:t>
      </w:r>
      <w:r w:rsidRPr="00D40600">
        <w:rPr>
          <w:i/>
        </w:rPr>
        <w:t>net cash provided by operating activities</w:t>
      </w:r>
      <w:r w:rsidRPr="00D40600">
        <w:t xml:space="preserve"> less </w:t>
      </w:r>
      <w:r w:rsidRPr="00D40600">
        <w:rPr>
          <w:i/>
        </w:rPr>
        <w:t>capital expenditures</w:t>
      </w:r>
      <w:r w:rsidRPr="00D40600">
        <w:t xml:space="preserve"> less </w:t>
      </w:r>
      <w:r w:rsidRPr="00D40600">
        <w:rPr>
          <w:i/>
        </w:rPr>
        <w:t>dividends</w:t>
      </w:r>
      <w:r w:rsidRPr="00D40600">
        <w:t xml:space="preserve">.  Some companies do not subtract dividends because they believe these expenditures to be discretionary.  Net cash provided by operating activities adjusts net income for depreciation and amortization, but not for interest expenses and tax expenses.  Free cash flow is interpreted as the amount of discretionary cash flow a company has for purchasing additional investments, retiring its debt, purchasing treasury stock, or adding to its liquidity.)  </w:t>
      </w:r>
      <w:r w:rsidRPr="00D40600">
        <w:rPr>
          <w:i/>
        </w:rPr>
        <w:t>See, also</w:t>
      </w:r>
      <w:r w:rsidRPr="00D40600">
        <w:t xml:space="preserve">, Tom Copeland, </w:t>
      </w:r>
      <w:r w:rsidRPr="00D40600">
        <w:rPr>
          <w:i/>
        </w:rPr>
        <w:t>et al</w:t>
      </w:r>
      <w:r w:rsidRPr="00D40600">
        <w:t xml:space="preserve">., </w:t>
      </w:r>
      <w:r w:rsidRPr="00D40600">
        <w:rPr>
          <w:i/>
        </w:rPr>
        <w:t>Valuation: Measuring and Managing the Value of Companies</w:t>
      </w:r>
      <w:r w:rsidRPr="00D40600">
        <w:t xml:space="preserve"> (2</w:t>
      </w:r>
      <w:r w:rsidRPr="00D40600">
        <w:rPr>
          <w:vertAlign w:val="superscript"/>
        </w:rPr>
        <w:t>nd</w:t>
      </w:r>
      <w:r w:rsidRPr="00D40600">
        <w:t xml:space="preserve"> ed.), John Wiley &amp; Sons, 1995, at 167 (stating that free cash flow is the total after-tax cash flow generated by the company and available to all providers of the company’s capital, both creditors and shareholders).</w:t>
      </w:r>
    </w:p>
  </w:footnote>
  <w:footnote w:id="873">
    <w:p w:rsidR="00EC7CF3" w:rsidRDefault="00EC7CF3" w:rsidP="0028065E">
      <w:pPr>
        <w:pStyle w:val="FootnoteText"/>
      </w:pPr>
      <w:r w:rsidRPr="00D40600">
        <w:rPr>
          <w:rStyle w:val="FootnoteReference"/>
          <w:sz w:val="20"/>
        </w:rPr>
        <w:footnoteRef/>
      </w:r>
      <w:r w:rsidRPr="00D40600">
        <w:t xml:space="preserve"> </w:t>
      </w:r>
      <w:r w:rsidRPr="00D40600">
        <w:rPr>
          <w:i/>
        </w:rPr>
        <w:t>See also Modern Industrial Organization</w:t>
      </w:r>
      <w:r w:rsidRPr="00D40600">
        <w:t>, at 247.</w:t>
      </w:r>
    </w:p>
  </w:footnote>
  <w:footnote w:id="874">
    <w:p w:rsidR="00EC7CF3" w:rsidRDefault="00EC7CF3" w:rsidP="0028065E">
      <w:pPr>
        <w:pStyle w:val="FootnoteText"/>
      </w:pPr>
      <w:r w:rsidRPr="00D40600">
        <w:rPr>
          <w:rStyle w:val="FootnoteReference"/>
          <w:sz w:val="20"/>
        </w:rPr>
        <w:footnoteRef/>
      </w:r>
      <w:r w:rsidRPr="00D40600">
        <w:t xml:space="preserve"> </w:t>
      </w:r>
      <w:r w:rsidRPr="00D40600">
        <w:rPr>
          <w:i/>
        </w:rPr>
        <w:t>The New Palgrave: A Dictionary of Economics</w:t>
      </w:r>
      <w:r w:rsidRPr="00D40600">
        <w:t>, Second Edition, 2008, edited by S. Durlauf and L. Blume.</w:t>
      </w:r>
    </w:p>
  </w:footnote>
  <w:footnote w:id="875">
    <w:p w:rsidR="00EC7CF3" w:rsidRDefault="00EC7CF3" w:rsidP="0028065E">
      <w:pPr>
        <w:pStyle w:val="FootnoteText"/>
      </w:pPr>
      <w:r w:rsidRPr="00D40600">
        <w:rPr>
          <w:rStyle w:val="FootnoteReference"/>
          <w:sz w:val="20"/>
        </w:rPr>
        <w:footnoteRef/>
      </w:r>
      <w:r w:rsidRPr="00D40600">
        <w:t xml:space="preserve"> UBS, </w:t>
      </w:r>
      <w:r w:rsidRPr="00D40600">
        <w:rPr>
          <w:i/>
        </w:rPr>
        <w:t>US Wireless 411 Reports</w:t>
      </w:r>
      <w:r w:rsidRPr="00D40600">
        <w:t>, 2006 – 2011.</w:t>
      </w:r>
    </w:p>
  </w:footnote>
  <w:footnote w:id="876">
    <w:p w:rsidR="00EC7CF3" w:rsidRDefault="00EC7CF3" w:rsidP="0028065E">
      <w:pPr>
        <w:pStyle w:val="FootnoteText"/>
      </w:pPr>
      <w:r w:rsidRPr="00D40600">
        <w:rPr>
          <w:rStyle w:val="FootnoteReference"/>
          <w:sz w:val="20"/>
        </w:rPr>
        <w:footnoteRef/>
      </w:r>
      <w:r w:rsidRPr="00D40600">
        <w:t xml:space="preserve"> UBS, </w:t>
      </w:r>
      <w:r w:rsidRPr="00D40600">
        <w:rPr>
          <w:i/>
        </w:rPr>
        <w:t>US Wireless 411 Reports</w:t>
      </w:r>
      <w:r w:rsidRPr="00D40600">
        <w:t xml:space="preserve">, 2006 – 2011.  </w:t>
      </w:r>
    </w:p>
  </w:footnote>
  <w:footnote w:id="877">
    <w:p w:rsidR="00EC7CF3" w:rsidRDefault="00EC7CF3" w:rsidP="0028065E">
      <w:pPr>
        <w:pStyle w:val="FootnoteText"/>
      </w:pPr>
      <w:r w:rsidRPr="00D40600">
        <w:rPr>
          <w:rStyle w:val="FootnoteReference"/>
          <w:sz w:val="20"/>
        </w:rPr>
        <w:footnoteRef/>
      </w:r>
      <w:r w:rsidRPr="00D40600">
        <w:t xml:space="preserve"> </w:t>
      </w:r>
      <w:r w:rsidRPr="00D40600">
        <w:rPr>
          <w:i/>
        </w:rPr>
        <w:t>Id</w:t>
      </w:r>
      <w:r w:rsidRPr="00D40600">
        <w:t xml:space="preserve">.  </w:t>
      </w:r>
    </w:p>
  </w:footnote>
  <w:footnote w:id="878">
    <w:p w:rsidR="00EC7CF3" w:rsidRDefault="00EC7CF3" w:rsidP="0028065E">
      <w:pPr>
        <w:pStyle w:val="FootnoteText"/>
      </w:pPr>
      <w:r w:rsidRPr="00D40600">
        <w:rPr>
          <w:rStyle w:val="FootnoteReference"/>
          <w:sz w:val="20"/>
        </w:rPr>
        <w:footnoteRef/>
      </w:r>
      <w:r w:rsidRPr="00D40600">
        <w:t xml:space="preserve"> UBS, </w:t>
      </w:r>
      <w:r w:rsidRPr="00D40600">
        <w:rPr>
          <w:i/>
        </w:rPr>
        <w:t>US Wireless 411 Reports</w:t>
      </w:r>
      <w:r w:rsidRPr="00D40600">
        <w:t xml:space="preserve">, 2006 – 2011.  </w:t>
      </w:r>
    </w:p>
  </w:footnote>
  <w:footnote w:id="879">
    <w:p w:rsidR="00EC7CF3" w:rsidRDefault="00EC7CF3" w:rsidP="008B298E">
      <w:pPr>
        <w:pStyle w:val="FootnoteText"/>
      </w:pPr>
      <w:r w:rsidRPr="00D40600">
        <w:rPr>
          <w:rStyle w:val="FootnoteReference"/>
          <w:sz w:val="20"/>
        </w:rPr>
        <w:footnoteRef/>
      </w:r>
      <w:r w:rsidRPr="00D40600">
        <w:t xml:space="preserve"> </w:t>
      </w:r>
      <w:r w:rsidRPr="00D40600">
        <w:rPr>
          <w:i/>
          <w:iCs/>
        </w:rPr>
        <w:t>Connecting America: The National Broadband Plan</w:t>
      </w:r>
      <w:r w:rsidRPr="00D40600">
        <w:rPr>
          <w:iCs/>
        </w:rPr>
        <w:t>,</w:t>
      </w:r>
      <w:r w:rsidRPr="00D40600">
        <w:t xml:space="preserve"> at 47. </w:t>
      </w:r>
    </w:p>
  </w:footnote>
  <w:footnote w:id="880">
    <w:p w:rsidR="00EC7CF3" w:rsidRDefault="00EC7CF3" w:rsidP="008B298E">
      <w:pPr>
        <w:pStyle w:val="FootnoteText"/>
      </w:pPr>
      <w:r w:rsidRPr="00D40600">
        <w:rPr>
          <w:rStyle w:val="FootnoteReference"/>
          <w:sz w:val="20"/>
        </w:rPr>
        <w:footnoteRef/>
      </w:r>
      <w:r w:rsidRPr="00D40600">
        <w:t xml:space="preserve"> The mobile application is available for download from the iPhone or Android App store.  As of May 19, 2010, about 50,000 unique users had installed the Commission’s mobile application, and many unique users have taken the test multiple times.  The Commission also released a fixed consumer broadband test that collects street address and broadband performance data.  The fixed application is accessible at </w:t>
      </w:r>
      <w:hyperlink r:id="rId387" w:history="1">
        <w:r w:rsidRPr="00D40600">
          <w:rPr>
            <w:rStyle w:val="Hyperlink"/>
          </w:rPr>
          <w:t>www.broadband.gov/qualitytest</w:t>
        </w:r>
      </w:hyperlink>
      <w:r w:rsidRPr="00D40600">
        <w:t xml:space="preserve"> (visited Oct. 16, 2012)</w:t>
      </w:r>
      <w:r>
        <w:t>.</w:t>
      </w:r>
    </w:p>
  </w:footnote>
  <w:footnote w:id="881">
    <w:p w:rsidR="00EC7CF3" w:rsidRDefault="00EC7CF3" w:rsidP="008B298E">
      <w:pPr>
        <w:pStyle w:val="FootnoteText"/>
      </w:pPr>
      <w:r w:rsidRPr="00D40600">
        <w:rPr>
          <w:rStyle w:val="FootnoteReference"/>
          <w:sz w:val="20"/>
        </w:rPr>
        <w:footnoteRef/>
      </w:r>
      <w:r w:rsidRPr="00D40600">
        <w:t xml:space="preserve"> </w:t>
      </w:r>
      <w:r w:rsidRPr="00D40600">
        <w:rPr>
          <w:i/>
        </w:rPr>
        <w:t xml:space="preserve">See </w:t>
      </w:r>
      <w:r w:rsidRPr="00D40600">
        <w:t xml:space="preserve">“Comment Sought on Measurement of Mobile Broadband Network Performance and Coverage,” CG Docket No. 09-158, CC Docket No. 98-170, WC Docket No. 04-36, </w:t>
      </w:r>
      <w:r w:rsidRPr="00D40600">
        <w:rPr>
          <w:i/>
        </w:rPr>
        <w:t>Public Notice</w:t>
      </w:r>
      <w:r w:rsidRPr="00D40600">
        <w:t xml:space="preserve">, DA 10-988 (rel. June 1, 2010).  </w:t>
      </w:r>
    </w:p>
  </w:footnote>
  <w:footnote w:id="882">
    <w:p w:rsidR="00EC7CF3" w:rsidRDefault="00EC7CF3" w:rsidP="008B298E">
      <w:pPr>
        <w:pStyle w:val="FootnoteText"/>
      </w:pPr>
      <w:r w:rsidRPr="00D40600">
        <w:rPr>
          <w:rStyle w:val="FootnoteReference"/>
          <w:sz w:val="20"/>
        </w:rPr>
        <w:footnoteRef/>
      </w:r>
      <w:r w:rsidRPr="00D40600">
        <w:t xml:space="preserve"> </w:t>
      </w:r>
      <w:r w:rsidRPr="00D40600">
        <w:rPr>
          <w:i/>
        </w:rPr>
        <w:t xml:space="preserve">See </w:t>
      </w:r>
      <w:r w:rsidRPr="00D40600">
        <w:t xml:space="preserve">“Request for Information: Measurement and Reporting of Mobile Broadband Performance and Coverage,” RFI 10082010BROADBAND, </w:t>
      </w:r>
      <w:r w:rsidRPr="00D40600">
        <w:rPr>
          <w:i/>
        </w:rPr>
        <w:t>Request for Information</w:t>
      </w:r>
      <w:r w:rsidRPr="00D40600">
        <w:t xml:space="preserve"> (rel. Oct. 8, 2010).</w:t>
      </w:r>
    </w:p>
  </w:footnote>
  <w:footnote w:id="883">
    <w:p w:rsidR="00EC7CF3" w:rsidRDefault="00EC7CF3" w:rsidP="008B298E">
      <w:pPr>
        <w:pStyle w:val="FootnoteText"/>
      </w:pPr>
      <w:r w:rsidRPr="00D40600">
        <w:rPr>
          <w:rStyle w:val="FootnoteReference"/>
          <w:sz w:val="20"/>
        </w:rPr>
        <w:footnoteRef/>
      </w:r>
      <w:r w:rsidRPr="00D40600">
        <w:t xml:space="preserve"> </w:t>
      </w:r>
      <w:r w:rsidRPr="00D40600">
        <w:rPr>
          <w:i/>
        </w:rPr>
        <w:t>Open Internet Order</w:t>
      </w:r>
      <w:r w:rsidRPr="00D40600">
        <w:t xml:space="preserve"> at ¶ 54.</w:t>
      </w:r>
    </w:p>
  </w:footnote>
  <w:footnote w:id="884">
    <w:p w:rsidR="00EC7CF3" w:rsidRDefault="00EC7CF3" w:rsidP="008B298E">
      <w:pPr>
        <w:pStyle w:val="FootnoteText"/>
      </w:pPr>
      <w:r w:rsidRPr="00D40600">
        <w:rPr>
          <w:rStyle w:val="FootnoteReference"/>
          <w:sz w:val="20"/>
        </w:rPr>
        <w:footnoteRef/>
      </w:r>
      <w:r w:rsidRPr="00D40600">
        <w:t xml:space="preserve"> </w:t>
      </w:r>
      <w:r w:rsidRPr="00D40600">
        <w:rPr>
          <w:i/>
        </w:rPr>
        <w:t>See</w:t>
      </w:r>
      <w:r w:rsidRPr="00D40600">
        <w:t xml:space="preserve"> </w:t>
      </w:r>
      <w:r w:rsidRPr="00D40600">
        <w:rPr>
          <w:i/>
        </w:rPr>
        <w:t>Open Internet Order</w:t>
      </w:r>
      <w:r w:rsidRPr="00D40600">
        <w:t xml:space="preserve"> at ¶ 56.</w:t>
      </w:r>
    </w:p>
  </w:footnote>
  <w:footnote w:id="885">
    <w:p w:rsidR="00EC7CF3" w:rsidRDefault="00EC7CF3" w:rsidP="008B298E">
      <w:pPr>
        <w:pStyle w:val="FootnoteText"/>
      </w:pPr>
      <w:r w:rsidRPr="00D40600">
        <w:rPr>
          <w:rStyle w:val="FootnoteReference"/>
          <w:sz w:val="20"/>
        </w:rPr>
        <w:footnoteRef/>
      </w:r>
      <w:r w:rsidRPr="00D40600">
        <w:t xml:space="preserve"> </w:t>
      </w:r>
      <w:r w:rsidRPr="00D40600">
        <w:rPr>
          <w:i/>
        </w:rPr>
        <w:t>Id.</w:t>
      </w:r>
    </w:p>
  </w:footnote>
  <w:footnote w:id="886">
    <w:p w:rsidR="00EC7CF3" w:rsidRDefault="00EC7CF3" w:rsidP="008B298E">
      <w:pPr>
        <w:pStyle w:val="FootnoteText"/>
      </w:pPr>
      <w:r w:rsidRPr="00D40600">
        <w:rPr>
          <w:rStyle w:val="FootnoteReference"/>
          <w:sz w:val="20"/>
        </w:rPr>
        <w:footnoteRef/>
      </w:r>
      <w:r w:rsidRPr="00D40600">
        <w:t xml:space="preserve"> </w:t>
      </w:r>
      <w:r w:rsidRPr="00D40600">
        <w:rPr>
          <w:i/>
        </w:rPr>
        <w:t>See</w:t>
      </w:r>
      <w:r w:rsidRPr="00D40600">
        <w:t xml:space="preserve"> “Modernizing the FCC Form 477 Data Program” Notice of Proposed Rulemaking, </w:t>
      </w:r>
      <w:hyperlink r:id="rId388" w:history="1">
        <w:r w:rsidRPr="00D40600">
          <w:rPr>
            <w:rStyle w:val="Hyperlink"/>
          </w:rPr>
          <w:t>http://www.fcc.gov/document/modernizing-fcc-form-477-data-program-et-al</w:t>
        </w:r>
      </w:hyperlink>
      <w:r w:rsidRPr="00D40600">
        <w:rPr>
          <w:rStyle w:val="Hyperlink"/>
        </w:rPr>
        <w:t xml:space="preserve"> </w:t>
      </w:r>
      <w:r w:rsidRPr="00432F46">
        <w:rPr>
          <w:rStyle w:val="Hyperlink"/>
          <w:color w:val="auto"/>
          <w:u w:val="none"/>
        </w:rPr>
        <w:t>(visited Oct. 16, 2012)</w:t>
      </w:r>
    </w:p>
  </w:footnote>
  <w:footnote w:id="887">
    <w:p w:rsidR="00EC7CF3" w:rsidRDefault="00EC7CF3" w:rsidP="008B298E">
      <w:pPr>
        <w:pStyle w:val="FootnoteText"/>
      </w:pPr>
      <w:r w:rsidRPr="00D40600">
        <w:rPr>
          <w:rStyle w:val="FootnoteReference"/>
          <w:sz w:val="20"/>
        </w:rPr>
        <w:footnoteRef/>
      </w:r>
      <w:r w:rsidRPr="00D40600">
        <w:t xml:space="preserve"> </w:t>
      </w:r>
      <w:r w:rsidRPr="00D40600">
        <w:rPr>
          <w:i/>
        </w:rPr>
        <w:t>See</w:t>
      </w:r>
      <w:r w:rsidRPr="00D40600">
        <w:t xml:space="preserve"> “Measuring Broadband America - A Report on Consumer Wireline Broadband Performance in the U.S (released July 2012).,” </w:t>
      </w:r>
      <w:hyperlink r:id="rId389" w:history="1">
        <w:r w:rsidRPr="00D40600">
          <w:rPr>
            <w:rStyle w:val="Hyperlink"/>
          </w:rPr>
          <w:t>http://www.fcc.gov/document/measuring-broadband-america-report-consumer-broadband-performance-us</w:t>
        </w:r>
      </w:hyperlink>
      <w:r w:rsidRPr="00D40600">
        <w:rPr>
          <w:rStyle w:val="Hyperlink"/>
        </w:rPr>
        <w:t xml:space="preserve">  </w:t>
      </w:r>
      <w:r w:rsidRPr="00432F46">
        <w:rPr>
          <w:rStyle w:val="Hyperlink"/>
          <w:color w:val="auto"/>
          <w:u w:val="none"/>
        </w:rPr>
        <w:t>(visited Oct. 26, 2012)</w:t>
      </w:r>
      <w:r>
        <w:rPr>
          <w:rStyle w:val="Hyperlink"/>
          <w:color w:val="auto"/>
          <w:u w:val="none"/>
        </w:rPr>
        <w:t>.</w:t>
      </w:r>
    </w:p>
  </w:footnote>
  <w:footnote w:id="888">
    <w:p w:rsidR="00EC7CF3" w:rsidRDefault="00EC7CF3" w:rsidP="008B298E">
      <w:pPr>
        <w:pStyle w:val="FootnoteText"/>
      </w:pPr>
      <w:r w:rsidRPr="00D40600">
        <w:rPr>
          <w:rStyle w:val="FootnoteReference"/>
          <w:sz w:val="20"/>
        </w:rPr>
        <w:footnoteRef/>
      </w:r>
      <w:r w:rsidRPr="00D40600">
        <w:t xml:space="preserve"> </w:t>
      </w:r>
      <w:r w:rsidRPr="00D40600">
        <w:rPr>
          <w:i/>
        </w:rPr>
        <w:t>See</w:t>
      </w:r>
      <w:r w:rsidRPr="00D40600">
        <w:t xml:space="preserve"> Mobile Broadband Services Testing and Measurement Program, </w:t>
      </w:r>
      <w:hyperlink r:id="rId390" w:history="1">
        <w:r w:rsidRPr="007C0F0A">
          <w:rPr>
            <w:rStyle w:val="Hyperlink"/>
          </w:rPr>
          <w:t xml:space="preserve">http://www.fcc.gov/events/mobile-broadband-services-testing-and-measurement-program;  </w:t>
        </w:r>
        <w:r w:rsidRPr="00432F46">
          <w:rPr>
            <w:rStyle w:val="Hyperlink"/>
            <w:color w:val="auto"/>
            <w:u w:val="none"/>
          </w:rPr>
          <w:t>(visited</w:t>
        </w:r>
      </w:hyperlink>
      <w:r>
        <w:t xml:space="preserve"> Nov. 30, 2012);</w:t>
      </w:r>
      <w:r w:rsidRPr="00D40600">
        <w:t xml:space="preserve"> “FCC Announces ‘Measuring Mobile America’ Program to Test Mobile Broaedband Performance” News Release, Sept. 5, 2012, </w:t>
      </w:r>
      <w:hyperlink r:id="rId391" w:history="1">
        <w:r w:rsidRPr="00D40600">
          <w:rPr>
            <w:rStyle w:val="Hyperlink"/>
          </w:rPr>
          <w:t>http://transition.fcc.gov/Daily_Releases/Daily_Business/2012/db0905/DOC-316109A1.pdf</w:t>
        </w:r>
      </w:hyperlink>
      <w:r w:rsidRPr="00D40600">
        <w:t xml:space="preserve"> </w:t>
      </w:r>
      <w:r>
        <w:t>(visited Nov. 30, 2012);</w:t>
      </w:r>
      <w:r w:rsidRPr="00D40600">
        <w:t xml:space="preserve">“FCC to Launch Mobile Broadband Services Testing and Measurement Program”  CG Docket No. 09-158, Public Notice, </w:t>
      </w:r>
      <w:hyperlink r:id="rId392" w:history="1">
        <w:r w:rsidRPr="007C0F0A">
          <w:rPr>
            <w:rStyle w:val="Hyperlink"/>
          </w:rPr>
          <w:t>http://transition.fcc.gov/Daily_Releases/Daily_Business/2012/db0904/DA-12-1442A1.pdf  (visited</w:t>
        </w:r>
      </w:hyperlink>
      <w:r>
        <w:t xml:space="preserve"> Nov. 2012).</w:t>
      </w:r>
    </w:p>
  </w:footnote>
  <w:footnote w:id="889">
    <w:p w:rsidR="00EC7CF3" w:rsidRDefault="00EC7CF3">
      <w:pPr>
        <w:pStyle w:val="FootnoteText"/>
      </w:pPr>
      <w:r w:rsidRPr="00D40600">
        <w:rPr>
          <w:rStyle w:val="FootnoteReference"/>
          <w:sz w:val="20"/>
        </w:rPr>
        <w:footnoteRef/>
      </w:r>
      <w:r w:rsidRPr="00D40600">
        <w:t xml:space="preserve"> </w:t>
      </w:r>
      <w:r w:rsidRPr="00D40600">
        <w:rPr>
          <w:i/>
        </w:rPr>
        <w:t>See</w:t>
      </w:r>
      <w:r w:rsidRPr="00D40600">
        <w:t xml:space="preserve"> “FCC to Launch Mobile Broadband Services Testing and Measurement Program”  CG Docket No. 09-158, Public Notice, </w:t>
      </w:r>
      <w:hyperlink r:id="rId393" w:history="1">
        <w:r w:rsidRPr="00D40600">
          <w:rPr>
            <w:rStyle w:val="Hyperlink"/>
          </w:rPr>
          <w:t>http://transition.fcc.gov/Daily_Releases/Daily_Business/2012/db0904/DA-12-1442A1.pdf</w:t>
        </w:r>
      </w:hyperlink>
      <w:r w:rsidRPr="00D40600">
        <w:t>.</w:t>
      </w:r>
      <w:r w:rsidRPr="00432F46">
        <w:t xml:space="preserve"> (visited Nov. 30, 2012)</w:t>
      </w:r>
      <w:r>
        <w:t>.</w:t>
      </w:r>
    </w:p>
  </w:footnote>
  <w:footnote w:id="890">
    <w:p w:rsidR="00EC7CF3" w:rsidRDefault="00EC7CF3" w:rsidP="008B298E">
      <w:pPr>
        <w:pStyle w:val="FootnoteText"/>
      </w:pPr>
      <w:r w:rsidRPr="00D40600">
        <w:rPr>
          <w:rStyle w:val="FootnoteReference"/>
          <w:sz w:val="20"/>
        </w:rPr>
        <w:footnoteRef/>
      </w:r>
      <w:r w:rsidRPr="00D40600">
        <w:t xml:space="preserve"> Voice call quality is commonly measured using a subjective metric known as the Mean Opinion Score (MOS).  MOS testing has several variations but generally users rate the clarity and overall quality of the voice call on a scale from 1 to 5, with 5 being the best.  Then scores of several subjects are averaged to give an overall MOS score for a particular voice call.  Since this kind of testing is impossible to do outside a controlled laboratory environment, various companies have attempted to develop objective algorithms that give scores that correlate well to actual subjective MOS scores.  There are several standardized algorithms for doing this as well as several proprietary ones.  </w:t>
      </w:r>
    </w:p>
  </w:footnote>
  <w:footnote w:id="891">
    <w:p w:rsidR="00EC7CF3" w:rsidRDefault="00EC7CF3" w:rsidP="008B298E">
      <w:pPr>
        <w:pStyle w:val="FootnoteText"/>
      </w:pPr>
      <w:r w:rsidRPr="00D40600">
        <w:rPr>
          <w:rStyle w:val="FootnoteReference"/>
          <w:sz w:val="20"/>
        </w:rPr>
        <w:footnoteRef/>
      </w:r>
      <w:r w:rsidRPr="00D40600">
        <w:t xml:space="preserve"> </w:t>
      </w:r>
      <w:r w:rsidRPr="00D40600">
        <w:rPr>
          <w:iCs/>
        </w:rPr>
        <w:t>For example, the received signal quality is dependent on the service provider’s deployed cell site density, low/high frequency radio wave propagation losses, user locations, indoor obstructions and outdoor foliage or clutter, weather, inter-cell interference conditions, and wireless network optimization parameters.  The cell traffic loading or demand is dependent on the overall number of concurrent active mobile broadband users sharing the same cell, which in turn depends on user locations, the day of the week, and the time of the day.  The capacity of a provider’s wireless network is dependent on the deployed mobile wireless technology, sites and equipment, available bandwidth, and enhanced backhaul connections.</w:t>
      </w:r>
    </w:p>
  </w:footnote>
  <w:footnote w:id="892">
    <w:p w:rsidR="00EC7CF3" w:rsidRDefault="00EC7CF3" w:rsidP="008B298E">
      <w:pPr>
        <w:pStyle w:val="FootnoteText"/>
      </w:pPr>
      <w:r w:rsidRPr="00D40600">
        <w:rPr>
          <w:rStyle w:val="FootnoteReference"/>
          <w:sz w:val="20"/>
        </w:rPr>
        <w:footnoteRef/>
      </w:r>
      <w:r w:rsidRPr="00D40600">
        <w:t xml:space="preserve"> T</w:t>
      </w:r>
      <w:r w:rsidRPr="00D40600">
        <w:rPr>
          <w:iCs/>
        </w:rPr>
        <w:t xml:space="preserve">he capability of consumer devices (e.g. smartphones, tablets, USB dongles, and laptops) could result in users experiencing different data speeds on the same mobile wireless broadband network.  Even differing capabilities within each device category, such as smartphone processing power and memory, could result in better user experiences on 4G networks.  </w:t>
      </w:r>
    </w:p>
  </w:footnote>
  <w:footnote w:id="893">
    <w:p w:rsidR="00EC7CF3" w:rsidRDefault="00EC7CF3">
      <w:pPr>
        <w:pStyle w:val="FootnoteText"/>
      </w:pPr>
      <w:r w:rsidRPr="00D40600">
        <w:rPr>
          <w:rStyle w:val="FootnoteReference"/>
          <w:sz w:val="20"/>
        </w:rPr>
        <w:footnoteRef/>
      </w:r>
      <w:r w:rsidRPr="00D40600">
        <w:t xml:space="preserve"> </w:t>
      </w:r>
      <w:r w:rsidRPr="00D40600">
        <w:rPr>
          <w:i/>
        </w:rPr>
        <w:t>See</w:t>
      </w:r>
      <w:r w:rsidRPr="00D40600">
        <w:t xml:space="preserve"> Section </w:t>
      </w:r>
      <w:r>
        <w:fldChar w:fldCharType="begin"/>
      </w:r>
      <w:r>
        <w:instrText xml:space="preserve"> REF _Ref334022870 \w \h  \* MERGEFORMAT </w:instrText>
      </w:r>
      <w:r>
        <w:fldChar w:fldCharType="separate"/>
      </w:r>
      <w:r>
        <w:t>VI.C</w:t>
      </w:r>
      <w:r>
        <w:fldChar w:fldCharType="end"/>
      </w:r>
      <w:r>
        <w:t xml:space="preserve">, Consumer Satisfaction with Service Providers, </w:t>
      </w:r>
      <w:r w:rsidRPr="00432F46">
        <w:rPr>
          <w:i/>
        </w:rPr>
        <w:t>infra</w:t>
      </w:r>
      <w:r>
        <w:t xml:space="preserve">, </w:t>
      </w:r>
      <w:r w:rsidRPr="00D40600">
        <w:t>for a discussion of overall consumer satisfaction with their mobile wireless services.</w:t>
      </w:r>
    </w:p>
  </w:footnote>
  <w:footnote w:id="894">
    <w:p w:rsidR="00EC7CF3" w:rsidRDefault="00EC7CF3" w:rsidP="008B298E">
      <w:pPr>
        <w:pStyle w:val="FootnoteText"/>
      </w:pPr>
      <w:r w:rsidRPr="00D40600">
        <w:rPr>
          <w:rStyle w:val="FootnoteReference"/>
          <w:sz w:val="20"/>
        </w:rPr>
        <w:footnoteRef/>
      </w:r>
      <w:r w:rsidRPr="00D40600">
        <w:t xml:space="preserve"> </w:t>
      </w:r>
      <w:r w:rsidRPr="00D40600">
        <w:rPr>
          <w:i/>
        </w:rPr>
        <w:t>See RootMetrics Data Network Performance Study</w:t>
      </w:r>
      <w:r w:rsidRPr="00D40600">
        <w:t xml:space="preserve">; </w:t>
      </w:r>
      <w:r w:rsidRPr="00D40600">
        <w:rPr>
          <w:i/>
        </w:rPr>
        <w:t>PCMag Mobile 3G/4G Network Performance Study</w:t>
      </w:r>
      <w:r w:rsidRPr="00D40600">
        <w:t xml:space="preserve">; </w:t>
      </w:r>
      <w:r w:rsidRPr="00D40600">
        <w:rPr>
          <w:i/>
        </w:rPr>
        <w:t>PCWorld/Novarum 3G/4G Network Performance Study</w:t>
      </w:r>
      <w:r w:rsidRPr="00D40600">
        <w:t xml:space="preserve">.  These three studies were conducted during different time periods, in different groups of cities, using different devices and different methodologies to obtain their results.  For example, the </w:t>
      </w:r>
      <w:r w:rsidRPr="00D40600">
        <w:rPr>
          <w:i/>
        </w:rPr>
        <w:t>PCWorld/Novarum 3G/4G Network Performance Study</w:t>
      </w:r>
      <w:r w:rsidRPr="00D40600">
        <w:t xml:space="preserve">, conducted laptop and smartphone tests during January 2011 and February 2011 at 20 locations in the center of each city of 13 U.S. cities.  In comparison, the </w:t>
      </w:r>
      <w:r w:rsidRPr="00D40600">
        <w:rPr>
          <w:i/>
        </w:rPr>
        <w:t>PCMag Mobile 3G/4G Network Performance Study</w:t>
      </w:r>
      <w:r w:rsidRPr="00D40600">
        <w:t xml:space="preserve">, published in June 2011, performed its tests using 16 smartphones covering more than 6,000 miles across 21 cities.  Finally, the </w:t>
      </w:r>
      <w:r w:rsidRPr="00D40600">
        <w:rPr>
          <w:i/>
        </w:rPr>
        <w:t>RootMetrics Data Network Performance Study</w:t>
      </w:r>
      <w:r w:rsidRPr="00D40600">
        <w:t xml:space="preserve"> provides consumers with its RootScore drive test reports for a large number of cities.  All studies tested data speeds on 4G networks when available, and fall back to 3G networks when 4G signals are insufficient.  The studies also used different payload sizes for their tests, which is another variable that can affect network performance test results.  Data from these studies, along with descriptions of the different parameters and methodologies used, is presented in Appendix C.  Overall, network performance results varied among the studies – likely due in part to the factors discussed above – with certain providers scoring both better and worse than others in particular markets according to different metrics from the studies.</w:t>
      </w:r>
    </w:p>
  </w:footnote>
  <w:footnote w:id="895">
    <w:p w:rsidR="00EC7CF3" w:rsidRDefault="00EC7CF3" w:rsidP="008B298E">
      <w:pPr>
        <w:pStyle w:val="FootnoteText"/>
      </w:pPr>
      <w:r w:rsidRPr="00D40600">
        <w:rPr>
          <w:rStyle w:val="FootnoteReference"/>
          <w:sz w:val="20"/>
        </w:rPr>
        <w:footnoteRef/>
      </w:r>
      <w:r w:rsidRPr="00D40600">
        <w:t xml:space="preserve"> The study measures wireless call quality based on seven customer-reported problem areas that impact overall carrier performance: dropped calls; static/interference; failed connection on first try; voice distortion; echoes; no immediate voicemail notification; and no immediate text message notification. </w:t>
      </w:r>
    </w:p>
  </w:footnote>
  <w:footnote w:id="896">
    <w:p w:rsidR="00EC7CF3" w:rsidRDefault="00EC7CF3" w:rsidP="008B298E">
      <w:pPr>
        <w:pStyle w:val="FootnoteText"/>
      </w:pPr>
      <w:r w:rsidRPr="00D40600">
        <w:rPr>
          <w:rStyle w:val="FootnoteReference"/>
          <w:sz w:val="20"/>
        </w:rPr>
        <w:footnoteRef/>
      </w:r>
      <w:r w:rsidRPr="00D40600">
        <w:t xml:space="preserve"> </w:t>
      </w:r>
      <w:r w:rsidRPr="00D40600">
        <w:rPr>
          <w:i/>
        </w:rPr>
        <w:t>2011 Wireless Call Quality Study – Volume 1</w:t>
      </w:r>
      <w:r w:rsidRPr="00D40600">
        <w:t>, at 1-2.</w:t>
      </w:r>
    </w:p>
  </w:footnote>
  <w:footnote w:id="897">
    <w:p w:rsidR="00EC7CF3" w:rsidRDefault="00EC7CF3" w:rsidP="008B298E">
      <w:pPr>
        <w:pStyle w:val="FootnoteText"/>
      </w:pPr>
      <w:r w:rsidRPr="00D40600">
        <w:rPr>
          <w:rStyle w:val="FootnoteReference"/>
          <w:sz w:val="20"/>
        </w:rPr>
        <w:footnoteRef/>
      </w:r>
      <w:r w:rsidRPr="00D40600">
        <w:t xml:space="preserve"> </w:t>
      </w:r>
      <w:r w:rsidRPr="00D40600">
        <w:rPr>
          <w:i/>
        </w:rPr>
        <w:t>2011 Wireless Call Quality Study – Volume 2</w:t>
      </w:r>
      <w:r w:rsidRPr="00D40600">
        <w:t>, at 1-2.</w:t>
      </w:r>
    </w:p>
  </w:footnote>
  <w:footnote w:id="898">
    <w:p w:rsidR="00EC7CF3" w:rsidRDefault="00EC7CF3" w:rsidP="008B298E">
      <w:pPr>
        <w:pStyle w:val="FootnoteText"/>
      </w:pPr>
      <w:r w:rsidRPr="00D40600">
        <w:rPr>
          <w:rStyle w:val="FootnoteReference"/>
          <w:sz w:val="20"/>
        </w:rPr>
        <w:footnoteRef/>
      </w:r>
      <w:r w:rsidRPr="00D40600">
        <w:t xml:space="preserve"> </w:t>
      </w:r>
      <w:r w:rsidRPr="00D40600">
        <w:rPr>
          <w:i/>
        </w:rPr>
        <w:t>2012 Wireless Call Quality Study – Volume 1</w:t>
      </w:r>
      <w:r w:rsidRPr="00D40600">
        <w:t>, at 1-2.</w:t>
      </w:r>
    </w:p>
  </w:footnote>
  <w:footnote w:id="899">
    <w:p w:rsidR="00EC7CF3" w:rsidRDefault="00EC7CF3" w:rsidP="008B298E">
      <w:pPr>
        <w:pStyle w:val="FootnoteText"/>
      </w:pPr>
      <w:r w:rsidRPr="00D40600">
        <w:rPr>
          <w:rStyle w:val="FootnoteReference"/>
          <w:sz w:val="20"/>
        </w:rPr>
        <w:footnoteRef/>
      </w:r>
      <w:r w:rsidRPr="00D40600">
        <w:t xml:space="preserve"> </w:t>
      </w:r>
      <w:r w:rsidRPr="00D40600">
        <w:rPr>
          <w:i/>
        </w:rPr>
        <w:t>Id.</w:t>
      </w:r>
      <w:r w:rsidRPr="00D40600">
        <w:t xml:space="preserve"> 12, 13, and 14</w:t>
      </w:r>
      <w:r>
        <w:t>.</w:t>
      </w:r>
    </w:p>
  </w:footnote>
  <w:footnote w:id="900">
    <w:p w:rsidR="00EC7CF3" w:rsidRDefault="00EC7CF3" w:rsidP="008B298E">
      <w:pPr>
        <w:pStyle w:val="FootnoteText"/>
      </w:pPr>
      <w:r w:rsidRPr="00D40600">
        <w:rPr>
          <w:rStyle w:val="FootnoteReference"/>
          <w:sz w:val="20"/>
        </w:rPr>
        <w:footnoteRef/>
      </w:r>
      <w:r w:rsidRPr="00D40600">
        <w:t xml:space="preserve"> </w:t>
      </w:r>
      <w:r w:rsidRPr="00D40600">
        <w:rPr>
          <w:i/>
        </w:rPr>
        <w:t xml:space="preserve">See </w:t>
      </w:r>
      <w:r w:rsidRPr="00D40600">
        <w:t>Nielson’s 2011 National Wireless Data Network Performance Update, March 2012 at 3-5, 8.</w:t>
      </w:r>
    </w:p>
  </w:footnote>
  <w:footnote w:id="901">
    <w:p w:rsidR="00EC7CF3" w:rsidRDefault="00EC7CF3" w:rsidP="008B298E">
      <w:pPr>
        <w:pStyle w:val="FootnoteText"/>
      </w:pPr>
      <w:r w:rsidRPr="00D40600">
        <w:rPr>
          <w:rStyle w:val="FootnoteReference"/>
          <w:sz w:val="20"/>
        </w:rPr>
        <w:footnoteRef/>
      </w:r>
      <w:r w:rsidRPr="00D40600">
        <w:t xml:space="preserve"> </w:t>
      </w:r>
      <w:r w:rsidRPr="00D40600">
        <w:rPr>
          <w:i/>
        </w:rPr>
        <w:t xml:space="preserve">See </w:t>
      </w:r>
      <w:r w:rsidRPr="00D40600">
        <w:t>Nielson’s 2011 National Wireless Data Network Performance Update, March 2012 at 11, 12.</w:t>
      </w:r>
    </w:p>
  </w:footnote>
  <w:footnote w:id="902">
    <w:p w:rsidR="00EC7CF3" w:rsidRDefault="00EC7CF3" w:rsidP="008B298E">
      <w:pPr>
        <w:pStyle w:val="FootnoteText"/>
      </w:pPr>
      <w:r w:rsidRPr="00D40600">
        <w:rPr>
          <w:rStyle w:val="FootnoteReference"/>
          <w:sz w:val="20"/>
        </w:rPr>
        <w:footnoteRef/>
      </w:r>
      <w:r w:rsidRPr="00D40600">
        <w:t xml:space="preserve"> </w:t>
      </w:r>
      <w:r w:rsidRPr="00D40600">
        <w:rPr>
          <w:i/>
        </w:rPr>
        <w:t xml:space="preserve">See </w:t>
      </w:r>
      <w:r w:rsidRPr="00D40600">
        <w:t>Nielson’s 2011 National Wireless Data Network Performance Update, March 2012 at 16, 21.</w:t>
      </w:r>
    </w:p>
  </w:footnote>
  <w:footnote w:id="903">
    <w:p w:rsidR="00EC7CF3" w:rsidRDefault="00EC7CF3" w:rsidP="0028065E">
      <w:pPr>
        <w:pStyle w:val="FootnoteText"/>
      </w:pPr>
      <w:r w:rsidRPr="00D40600">
        <w:rPr>
          <w:rStyle w:val="FootnoteReference"/>
          <w:sz w:val="20"/>
        </w:rPr>
        <w:footnoteRef/>
      </w:r>
      <w:r w:rsidRPr="00D40600">
        <w:t xml:space="preserve"> Data on numbers of mobile wireless providers and mobile broadband providers are based on </w:t>
      </w:r>
      <w:r w:rsidRPr="00D40600">
        <w:rPr>
          <w:color w:val="000000"/>
        </w:rPr>
        <w:t>Mosaik (formerly</w:t>
      </w:r>
      <w:r w:rsidRPr="00D40600">
        <w:rPr>
          <w:rFonts w:ascii="Tahoma" w:hAnsi="Tahoma" w:cs="Tahoma"/>
          <w:color w:val="000000"/>
        </w:rPr>
        <w:t xml:space="preserve"> </w:t>
      </w:r>
      <w:r w:rsidRPr="00D40600">
        <w:t>American Roamer) database, January 2012.  Data on median household income are based on United States Census Bureau’s American Community Survey 2006-2010 (ACS).  The analysis is done on a census tract, rather than census block, basis because the smallest geographic area for which medium household income data is available is census tracts.  These data do not allow for an analysis of adoption rates for mobile wireless or mobile broadband services.</w:t>
      </w:r>
    </w:p>
  </w:footnote>
  <w:footnote w:id="904">
    <w:p w:rsidR="00EC7CF3" w:rsidRDefault="00EC7CF3" w:rsidP="0028065E">
      <w:pPr>
        <w:pStyle w:val="FootnoteText"/>
      </w:pPr>
      <w:r w:rsidRPr="00D40600">
        <w:rPr>
          <w:rStyle w:val="FootnoteReference"/>
          <w:sz w:val="20"/>
        </w:rPr>
        <w:footnoteRef/>
      </w:r>
      <w:r w:rsidRPr="00D40600">
        <w:t xml:space="preserve"> </w:t>
      </w:r>
      <w:r w:rsidRPr="00D40600">
        <w:rPr>
          <w:i/>
        </w:rPr>
        <w:t xml:space="preserve">See Fifteenth Report, </w:t>
      </w:r>
      <w:r w:rsidRPr="00D40600">
        <w:t>26 FCC Rcd at 9745 Chart 5 for the average number of mobile broadband providers by median household income levels in August 2010.</w:t>
      </w:r>
    </w:p>
  </w:footnote>
  <w:footnote w:id="905">
    <w:p w:rsidR="00EC7CF3" w:rsidRDefault="00EC7CF3">
      <w:pPr>
        <w:pStyle w:val="FootnoteText"/>
      </w:pPr>
      <w:r>
        <w:rPr>
          <w:rStyle w:val="FootnoteReference"/>
        </w:rPr>
        <w:footnoteRef/>
      </w:r>
      <w:r>
        <w:t xml:space="preserve"> </w:t>
      </w:r>
      <w:r w:rsidRPr="006734AB">
        <w:rPr>
          <w:i/>
        </w:rPr>
        <w:t>See</w:t>
      </w:r>
      <w:r>
        <w:t xml:space="preserve"> Section IV, Mobile Wireless Services: Provider Conduct, </w:t>
      </w:r>
      <w:r w:rsidRPr="006734AB">
        <w:rPr>
          <w:i/>
        </w:rPr>
        <w:t>supra.</w:t>
      </w:r>
    </w:p>
  </w:footnote>
  <w:footnote w:id="906">
    <w:p w:rsidR="00EC7CF3" w:rsidRDefault="00EC7CF3">
      <w:pPr>
        <w:pStyle w:val="FootnoteText"/>
      </w:pPr>
      <w:r>
        <w:rPr>
          <w:rStyle w:val="FootnoteReference"/>
        </w:rPr>
        <w:footnoteRef/>
      </w:r>
      <w:r>
        <w:t xml:space="preserve"> </w:t>
      </w:r>
      <w:r w:rsidRPr="00D8744C">
        <w:rPr>
          <w:i/>
        </w:rPr>
        <w:t>See</w:t>
      </w:r>
      <w:r>
        <w:rPr>
          <w:i/>
        </w:rPr>
        <w:t xml:space="preserve"> </w:t>
      </w:r>
      <w:r>
        <w:t>Section V</w:t>
      </w:r>
      <w:r w:rsidRPr="00D8744C">
        <w:t>, Mobile Wireless Services: Performance and Outcome</w:t>
      </w:r>
      <w:r>
        <w:t>s</w:t>
      </w:r>
      <w:r w:rsidRPr="00D8744C">
        <w:t xml:space="preserve">, </w:t>
      </w:r>
      <w:r>
        <w:rPr>
          <w:i/>
        </w:rPr>
        <w:t>supra.</w:t>
      </w:r>
    </w:p>
  </w:footnote>
  <w:footnote w:id="907">
    <w:p w:rsidR="00EC7CF3" w:rsidRDefault="00EC7CF3" w:rsidP="0028065E">
      <w:pPr>
        <w:pStyle w:val="FootnoteText"/>
      </w:pPr>
      <w:r w:rsidRPr="00D40600">
        <w:rPr>
          <w:rStyle w:val="FootnoteReference"/>
          <w:sz w:val="20"/>
        </w:rPr>
        <w:footnoteRef/>
      </w:r>
      <w:r w:rsidRPr="00D40600">
        <w:t xml:space="preserve"> Roger Enter, “Price, data services are an increasingly important part of choosing wireless carrier,” Fierce Wireless, at 1. Aug. 1, 2011. </w:t>
      </w:r>
      <w:hyperlink r:id="rId394" w:history="1">
        <w:r w:rsidRPr="00D40600">
          <w:rPr>
            <w:rStyle w:val="Hyperlink"/>
          </w:rPr>
          <w:t>http://www.fiercewireless.com/story/entner-price-data-services-are-increasingly-important-part-choosing-wireles/2011-08-01</w:t>
        </w:r>
      </w:hyperlink>
      <w:r w:rsidRPr="00432F46">
        <w:t xml:space="preserve"> </w:t>
      </w:r>
      <w:r w:rsidRPr="00432F46">
        <w:rPr>
          <w:rStyle w:val="Hyperlink"/>
          <w:color w:val="auto"/>
          <w:u w:val="none"/>
        </w:rPr>
        <w:t>(visited Oct. 16, 2012)</w:t>
      </w:r>
      <w:r>
        <w:rPr>
          <w:rStyle w:val="Hyperlink"/>
          <w:color w:val="auto"/>
          <w:u w:val="none"/>
        </w:rPr>
        <w:t>.</w:t>
      </w:r>
    </w:p>
  </w:footnote>
  <w:footnote w:id="908">
    <w:p w:rsidR="00EC7CF3" w:rsidRDefault="00EC7CF3" w:rsidP="0028065E">
      <w:pPr>
        <w:pStyle w:val="FootnoteText"/>
      </w:pPr>
      <w:r w:rsidRPr="00D40600">
        <w:rPr>
          <w:rStyle w:val="FootnoteReference"/>
          <w:sz w:val="20"/>
        </w:rPr>
        <w:footnoteRef/>
      </w:r>
      <w:r w:rsidRPr="00D40600">
        <w:t xml:space="preserve"> </w:t>
      </w:r>
      <w:r w:rsidRPr="00D40600">
        <w:rPr>
          <w:i/>
        </w:rPr>
        <w:t>Id</w:t>
      </w:r>
      <w:r w:rsidRPr="00D40600">
        <w:t>.</w:t>
      </w:r>
    </w:p>
  </w:footnote>
  <w:footnote w:id="909">
    <w:p w:rsidR="00EC7CF3" w:rsidRDefault="00EC7CF3" w:rsidP="0028065E">
      <w:pPr>
        <w:pStyle w:val="FootnoteText"/>
      </w:pPr>
      <w:r w:rsidRPr="00D40600">
        <w:rPr>
          <w:rStyle w:val="FootnoteReference"/>
          <w:sz w:val="20"/>
        </w:rPr>
        <w:footnoteRef/>
      </w:r>
      <w:r w:rsidRPr="00D40600">
        <w:t xml:space="preserve"> Consumer Reports.org, “How to cut your phone bill, Five tips to help you save money,” Mar. 2012. </w:t>
      </w:r>
      <w:hyperlink r:id="rId395" w:history="1">
        <w:r w:rsidRPr="00D40600">
          <w:rPr>
            <w:rStyle w:val="Hyperlink"/>
          </w:rPr>
          <w:t>http://www.consumerreports.org/cro/2012/03/how-to-cut-your-phone-bill/index.htm</w:t>
        </w:r>
      </w:hyperlink>
      <w:r>
        <w:t xml:space="preserve"> </w:t>
      </w:r>
      <w:r w:rsidRPr="00432F46">
        <w:rPr>
          <w:rStyle w:val="Hyperlink"/>
          <w:color w:val="auto"/>
          <w:u w:val="none"/>
        </w:rPr>
        <w:t>(visited Oct. 16, 2012)</w:t>
      </w:r>
      <w:r>
        <w:rPr>
          <w:rStyle w:val="Hyperlink"/>
          <w:color w:val="auto"/>
          <w:u w:val="none"/>
        </w:rPr>
        <w:t>.</w:t>
      </w:r>
    </w:p>
  </w:footnote>
  <w:footnote w:id="910">
    <w:p w:rsidR="00EC7CF3" w:rsidRDefault="00EC7CF3" w:rsidP="0028065E">
      <w:pPr>
        <w:pStyle w:val="FootnoteText"/>
      </w:pPr>
      <w:r w:rsidRPr="00D40600">
        <w:rPr>
          <w:rStyle w:val="FootnoteReference"/>
          <w:sz w:val="20"/>
        </w:rPr>
        <w:footnoteRef/>
      </w:r>
      <w:r w:rsidRPr="00D40600">
        <w:t xml:space="preserve"> </w:t>
      </w:r>
      <w:r w:rsidRPr="00D40600">
        <w:rPr>
          <w:i/>
        </w:rPr>
        <w:t>Id</w:t>
      </w:r>
      <w:r w:rsidRPr="00D40600">
        <w:t>.</w:t>
      </w:r>
    </w:p>
  </w:footnote>
  <w:footnote w:id="911">
    <w:p w:rsidR="00EC7CF3" w:rsidRDefault="00EC7CF3" w:rsidP="0028065E">
      <w:pPr>
        <w:pStyle w:val="FootnoteText"/>
      </w:pPr>
      <w:r w:rsidRPr="00D40600">
        <w:rPr>
          <w:rStyle w:val="FootnoteReference"/>
          <w:sz w:val="20"/>
        </w:rPr>
        <w:footnoteRef/>
      </w:r>
      <w:r w:rsidRPr="00D40600">
        <w:t xml:space="preserve"> </w:t>
      </w:r>
      <w:r w:rsidRPr="00D40600">
        <w:rPr>
          <w:i/>
        </w:rPr>
        <w:t>Id</w:t>
      </w:r>
      <w:r w:rsidRPr="00D40600">
        <w:t>.</w:t>
      </w:r>
    </w:p>
  </w:footnote>
  <w:footnote w:id="912">
    <w:p w:rsidR="00EC7CF3" w:rsidRDefault="00EC7CF3" w:rsidP="0028065E">
      <w:pPr>
        <w:pStyle w:val="FootnoteText"/>
      </w:pPr>
      <w:r w:rsidRPr="00D40600">
        <w:rPr>
          <w:rStyle w:val="FootnoteReference"/>
          <w:sz w:val="20"/>
        </w:rPr>
        <w:footnoteRef/>
      </w:r>
      <w:r w:rsidRPr="00D40600">
        <w:t xml:space="preserve"> Tammy Parker, “Nokia Siemens: Study shows mobile broadband quality is key to customer churn,” Fierce broadband Wireless, at 1 (Feb. 15, 2012), available at </w:t>
      </w:r>
      <w:hyperlink r:id="rId396" w:history="1">
        <w:r w:rsidRPr="00D40600">
          <w:rPr>
            <w:rStyle w:val="Hyperlink"/>
          </w:rPr>
          <w:t>http://www.fiercebroadbandwireless.com/story/nokia-siemens-study-shows-mobile-broadband-quality-key-customer-churn/2012-02-15</w:t>
        </w:r>
      </w:hyperlink>
      <w:r w:rsidRPr="00D40600">
        <w:t xml:space="preserve"> </w:t>
      </w:r>
      <w:r w:rsidRPr="00432F46">
        <w:rPr>
          <w:rStyle w:val="Hyperlink"/>
          <w:color w:val="auto"/>
          <w:u w:val="none"/>
        </w:rPr>
        <w:t>(visited Oct. 16, 2012).</w:t>
      </w:r>
      <w:r w:rsidRPr="00432F46">
        <w:t xml:space="preserve">  </w:t>
      </w:r>
      <w:r w:rsidRPr="00D40600">
        <w:t>The study classified respondents as "heavy users of advanced services" if they used at least two of the following services once a week: send/receive emails, chat, browse the Web, download or upload data files, play online games, use personalized applications, mobile payment, mobile TV, location based services and/or GPS navigation and video calling.</w:t>
      </w:r>
    </w:p>
  </w:footnote>
  <w:footnote w:id="913">
    <w:p w:rsidR="00EC7CF3" w:rsidRDefault="00EC7CF3" w:rsidP="0028065E">
      <w:pPr>
        <w:pStyle w:val="FootnoteText"/>
      </w:pPr>
      <w:r w:rsidRPr="00D40600">
        <w:rPr>
          <w:rStyle w:val="FootnoteReference"/>
          <w:sz w:val="20"/>
        </w:rPr>
        <w:footnoteRef/>
      </w:r>
      <w:r w:rsidRPr="00D40600">
        <w:t xml:space="preserve"> </w:t>
      </w:r>
      <w:r w:rsidRPr="00D40600">
        <w:rPr>
          <w:i/>
        </w:rPr>
        <w:t>Id</w:t>
      </w:r>
      <w:r w:rsidRPr="00D40600">
        <w:t>.</w:t>
      </w:r>
    </w:p>
  </w:footnote>
  <w:footnote w:id="914">
    <w:p w:rsidR="00EC7CF3" w:rsidRDefault="00EC7CF3" w:rsidP="0028065E">
      <w:pPr>
        <w:pStyle w:val="FootnoteText"/>
      </w:pPr>
      <w:r w:rsidRPr="00D40600">
        <w:rPr>
          <w:rStyle w:val="FootnoteReference"/>
          <w:sz w:val="20"/>
        </w:rPr>
        <w:footnoteRef/>
      </w:r>
      <w:r w:rsidRPr="00D40600">
        <w:t xml:space="preserve"> </w:t>
      </w:r>
      <w:r w:rsidRPr="00D40600">
        <w:rPr>
          <w:i/>
        </w:rPr>
        <w:t>Id</w:t>
      </w:r>
      <w:r w:rsidRPr="00D40600">
        <w:t>.</w:t>
      </w:r>
    </w:p>
  </w:footnote>
  <w:footnote w:id="915">
    <w:p w:rsidR="00EC7CF3" w:rsidRDefault="00EC7CF3" w:rsidP="0028065E">
      <w:pPr>
        <w:pStyle w:val="FootnoteText"/>
      </w:pPr>
      <w:r w:rsidRPr="00D40600">
        <w:rPr>
          <w:rStyle w:val="FootnoteReference"/>
          <w:sz w:val="20"/>
        </w:rPr>
        <w:footnoteRef/>
      </w:r>
      <w:r w:rsidRPr="00D40600">
        <w:t xml:space="preserve"> </w:t>
      </w:r>
      <w:r w:rsidRPr="00D40600">
        <w:rPr>
          <w:i/>
        </w:rPr>
        <w:t>Id</w:t>
      </w:r>
      <w:r w:rsidRPr="00D40600">
        <w:t>.</w:t>
      </w:r>
    </w:p>
  </w:footnote>
  <w:footnote w:id="916">
    <w:p w:rsidR="00EC7CF3" w:rsidRDefault="00EC7CF3" w:rsidP="0028065E">
      <w:pPr>
        <w:pStyle w:val="FootnoteText"/>
      </w:pPr>
      <w:r w:rsidRPr="00D40600">
        <w:rPr>
          <w:rStyle w:val="FootnoteReference"/>
          <w:sz w:val="20"/>
        </w:rPr>
        <w:footnoteRef/>
      </w:r>
      <w:r w:rsidRPr="00D40600">
        <w:t xml:space="preserve"> Sue Marek, “Study: Data speed is more critical than voice coverage for smartphone users,” Fierce Wireless, at 1. July 13, 2012.  </w:t>
      </w:r>
      <w:hyperlink r:id="rId397" w:history="1">
        <w:r w:rsidRPr="00D40600">
          <w:rPr>
            <w:rStyle w:val="Hyperlink"/>
          </w:rPr>
          <w:t>http://www.fiercewireless.com/story/study-data-speed-more-critical-voice-coverage-smartphone-users/2012-07-13?utm_medium=nl&amp;utm_source=internal</w:t>
        </w:r>
      </w:hyperlink>
      <w:r w:rsidRPr="00D40600">
        <w:t xml:space="preserve"> </w:t>
      </w:r>
      <w:r w:rsidRPr="00432F46">
        <w:rPr>
          <w:rStyle w:val="Hyperlink"/>
          <w:color w:val="auto"/>
          <w:u w:val="none"/>
        </w:rPr>
        <w:t>(visited Oct. 16, 2012).</w:t>
      </w:r>
    </w:p>
  </w:footnote>
  <w:footnote w:id="917">
    <w:p w:rsidR="00EC7CF3" w:rsidRDefault="00EC7CF3" w:rsidP="0028065E">
      <w:pPr>
        <w:pStyle w:val="FootnoteText"/>
      </w:pPr>
      <w:r w:rsidRPr="00D40600">
        <w:rPr>
          <w:rStyle w:val="FootnoteReference"/>
          <w:sz w:val="20"/>
        </w:rPr>
        <w:footnoteRef/>
      </w:r>
      <w:r w:rsidRPr="00D40600">
        <w:t xml:space="preserve"> </w:t>
      </w:r>
      <w:r w:rsidRPr="00D40600">
        <w:rPr>
          <w:i/>
        </w:rPr>
        <w:t>Id</w:t>
      </w:r>
      <w:r w:rsidRPr="00D40600">
        <w:t>. at 2.</w:t>
      </w:r>
    </w:p>
  </w:footnote>
  <w:footnote w:id="918">
    <w:p w:rsidR="00EC7CF3" w:rsidRDefault="00EC7CF3" w:rsidP="0028065E">
      <w:pPr>
        <w:pStyle w:val="FootnoteText"/>
      </w:pPr>
      <w:r w:rsidRPr="00D40600">
        <w:rPr>
          <w:rStyle w:val="FootnoteReference"/>
          <w:sz w:val="20"/>
        </w:rPr>
        <w:footnoteRef/>
      </w:r>
      <w:r w:rsidRPr="00D40600">
        <w:t xml:space="preserve"> Switching costs generally are defined as “a consumer’s desire for compatibility between his current purchase and a previous investment.”  </w:t>
      </w:r>
      <w:r w:rsidRPr="00D40600">
        <w:rPr>
          <w:i/>
        </w:rPr>
        <w:t>See</w:t>
      </w:r>
      <w:r w:rsidRPr="00D40600">
        <w:t xml:space="preserve"> Klemperer, P., 1995, “Competition when Consumers have Switching Costs: an Overview with Applications to Industrial Organization, Macroeconomics and International Trade,” Review of Economic Studies, 62, 515-539.  Switching costs are not unique to the mobile wireless industry, but are also present in the banking, automobile insurance industry and the retail electric industry among others.  Various studies have been carried out to attempt to estimate switching costs.  </w:t>
      </w:r>
      <w:r w:rsidRPr="00D40600">
        <w:rPr>
          <w:i/>
        </w:rPr>
        <w:t>See</w:t>
      </w:r>
      <w:r w:rsidRPr="00D40600">
        <w:t xml:space="preserve">, </w:t>
      </w:r>
      <w:r w:rsidRPr="00D40600">
        <w:rPr>
          <w:i/>
        </w:rPr>
        <w:t>e.g.</w:t>
      </w:r>
      <w:r w:rsidRPr="00D40600">
        <w:t xml:space="preserve">, Shy, O. 2002, “A quick-and-easy-method for estimating switching costs,” International Journal of Industrial Organization, 20, 71-87; Kim, M., Kliger, D., and Vale, B., 2003, “Estimating switching costs: the case for banking”; The Journal of Financial Intermediation, 12, 25-56; Israel, M. A., 2005; “Tenure-dependence in consumer-firm relationships: an empirical analysis of consumer departures from automobile insurance firms,” RAND Journal of Economics, 36, 165-192; Waterson, M., 2003; “The role of consumers in competition and competition policy,” International Journal of Industrial Organization, 21, 129-150.  Farrell and Klemperer (2007) provide an extensive review and summary of the literature on switching costs.  </w:t>
      </w:r>
      <w:r w:rsidRPr="00D40600">
        <w:rPr>
          <w:i/>
        </w:rPr>
        <w:t>See</w:t>
      </w:r>
      <w:r w:rsidRPr="00D40600">
        <w:t xml:space="preserve"> Farrell, J and Klemperer, P., 2007, Coordination and Lock-In: Competition with Switching Costs and Network Effects,” Handbook of Industrial Organization, Volume 3, Elsevier.</w:t>
      </w:r>
    </w:p>
  </w:footnote>
  <w:footnote w:id="919">
    <w:p w:rsidR="00EC7CF3" w:rsidRDefault="00EC7CF3" w:rsidP="0028065E">
      <w:pPr>
        <w:pStyle w:val="FootnoteText"/>
      </w:pPr>
      <w:r w:rsidRPr="00D40600">
        <w:rPr>
          <w:rStyle w:val="FootnoteReference"/>
          <w:sz w:val="20"/>
        </w:rPr>
        <w:footnoteRef/>
      </w:r>
      <w:r w:rsidRPr="00D40600">
        <w:t xml:space="preserve"> As of October 2010, consumers can transfer their telephone numbers when they switch providers.  Under the Commission’s rules and orders, wireless service providers were required to be LNP-capable by May 24, 2004.  47 C.F.R. § 52.31(a).  Prior to the Commission’s actions, the switching cost was significant.  A recent study found that the implementation of LNP enhanced competition in the wireless telecommunication industry, where the competitive effects were more pronounced for higher volume users.  Park, M., 2009, “The Economic Impact of Wireless Number Portability,” Working Paper, University of Minnesota.  Using data from EconOne and MyRatePlan.com, Park found that for the plans with fewest minutes, average prices decreased by $0.19 per month (0.97 percent).  In contrast, average prices for medium- and high-volume plans decreased by $3.64 per month (4.84 percent) and $10.29 per month (6.81 percent), respectively.  </w:t>
      </w:r>
      <w:r w:rsidRPr="00D40600">
        <w:rPr>
          <w:i/>
        </w:rPr>
        <w:t>See</w:t>
      </w:r>
      <w:r w:rsidRPr="00D40600">
        <w:t xml:space="preserve"> </w:t>
      </w:r>
      <w:r w:rsidRPr="00D40600">
        <w:rPr>
          <w:i/>
        </w:rPr>
        <w:t>also</w:t>
      </w:r>
      <w:r w:rsidRPr="00D40600">
        <w:t xml:space="preserve"> Viard, V. B., 2007, “Do Switching Costs Make Markets More or Less Competitive? The Case of 800-Number Portability,” RAND Journal of Economics.  His results show that competition intensified (via a price reduction of around 14 percent per customer) after the implementation of 800-number portability.  The average number of wireless subscribers per month porting their phone number from one service provider to another has been steadily increasing over time to an average of 1.3 million per month for the first nine months of 2009, up from 0.9 million per month in 2005, the first full year after all mobile wireless providers were required to be LNP capable.  Stroup, C. and Vu, J, February 2010, </w:t>
      </w:r>
      <w:r w:rsidRPr="00D40600">
        <w:rPr>
          <w:i/>
        </w:rPr>
        <w:t>Numbering Resource Utilization in the United States</w:t>
      </w:r>
      <w:r w:rsidRPr="00D40600">
        <w:t>, Federal Communications Commission.</w:t>
      </w:r>
    </w:p>
  </w:footnote>
  <w:footnote w:id="920">
    <w:p w:rsidR="00EC7CF3" w:rsidRDefault="00EC7CF3" w:rsidP="0028065E">
      <w:pPr>
        <w:pStyle w:val="FootnoteText"/>
      </w:pPr>
      <w:r w:rsidRPr="00D40600">
        <w:rPr>
          <w:rStyle w:val="FootnoteReference"/>
          <w:sz w:val="20"/>
        </w:rPr>
        <w:footnoteRef/>
      </w:r>
      <w:r w:rsidRPr="00D40600">
        <w:t xml:space="preserve"> Service providers in the United States generally use one of two technically incompatible air interfaces (GSM or CDMA) and handsets are built to work with one interface.  Thus, GSM handsets cannot be used with a service provider that deploys a CDMA interface.  Even if both providers employ the same underlying air interface, handset replacement may be necessary because many handset models are produced to the specifications of a single wireless service provider to enable certain functionalities unique to that service provider.</w:t>
      </w:r>
    </w:p>
  </w:footnote>
  <w:footnote w:id="921">
    <w:p w:rsidR="00EC7CF3" w:rsidRPr="00876980" w:rsidRDefault="00EC7CF3" w:rsidP="0028065E">
      <w:pPr>
        <w:pStyle w:val="FootnoteText"/>
      </w:pPr>
      <w:r w:rsidRPr="00D40600">
        <w:rPr>
          <w:rStyle w:val="FootnoteReference"/>
          <w:sz w:val="20"/>
        </w:rPr>
        <w:footnoteRef/>
      </w:r>
      <w:r w:rsidRPr="00D40600">
        <w:t xml:space="preserve"> </w:t>
      </w:r>
      <w:r w:rsidRPr="00432F46">
        <w:rPr>
          <w:i/>
        </w:rPr>
        <w:t>See</w:t>
      </w:r>
      <w:r>
        <w:t xml:space="preserve"> </w:t>
      </w:r>
      <w:r w:rsidRPr="00D40600">
        <w:t>Section VII.B.1., Mobile Wireless Handsets</w:t>
      </w:r>
      <w:r>
        <w:t xml:space="preserve">/Devices and Operating Systems, </w:t>
      </w:r>
      <w:r w:rsidRPr="00432F46">
        <w:rPr>
          <w:i/>
        </w:rPr>
        <w:t>supra</w:t>
      </w:r>
      <w:r>
        <w:t>.</w:t>
      </w:r>
    </w:p>
  </w:footnote>
  <w:footnote w:id="922">
    <w:p w:rsidR="00EC7CF3" w:rsidRDefault="00EC7CF3" w:rsidP="0028065E">
      <w:pPr>
        <w:pStyle w:val="FootnoteText"/>
      </w:pPr>
      <w:r w:rsidRPr="00D40600">
        <w:rPr>
          <w:rStyle w:val="FootnoteReference"/>
          <w:sz w:val="20"/>
        </w:rPr>
        <w:footnoteRef/>
      </w:r>
      <w:r w:rsidRPr="00D40600">
        <w:t xml:space="preserve"> Marketing research suggests that repeated use of an incumbent provider increases the likelihood that a consumer will continue to choose that provider rather than switch to another service provider.  Baker, C. A., 2007, “Breaking up is hard to do: Consumer Switching Costs in the U.S. Marketplace for Wireless Telephone Service,” AARP Public Policy Institute.  Farrell, J and Klemperer, P, 2007, “Coordination and Lock-in: Competition with Switching Costs and Network Effects,” Handbook of Industrial Organization, Volume 3, 1970-2056, Elsevier.</w:t>
      </w:r>
    </w:p>
  </w:footnote>
  <w:footnote w:id="923">
    <w:p w:rsidR="00EC7CF3" w:rsidRDefault="00EC7CF3" w:rsidP="0028065E">
      <w:pPr>
        <w:pStyle w:val="FootnoteText"/>
      </w:pPr>
      <w:r w:rsidRPr="00D40600">
        <w:rPr>
          <w:rStyle w:val="FootnoteReference"/>
          <w:sz w:val="20"/>
        </w:rPr>
        <w:footnoteRef/>
      </w:r>
      <w:r w:rsidRPr="00D40600">
        <w:t xml:space="preserve"> </w:t>
      </w:r>
      <w:r w:rsidRPr="00D40600">
        <w:rPr>
          <w:i/>
        </w:rPr>
        <w:t>See Fourteenth Report</w:t>
      </w:r>
      <w:r w:rsidRPr="00D40600">
        <w:t>, 25 FCC Rcd at 11553-54 ¶ 231.  For example, websites such as billshrink.com, myrateplan.com, reviews.cnet.com/cell-phone-buying-guide, and prepaidreviews.com, provide consumers with free and user-friendly means to identify the best wireless service to meet their needs.</w:t>
      </w:r>
    </w:p>
  </w:footnote>
  <w:footnote w:id="924">
    <w:p w:rsidR="00EC7CF3" w:rsidRDefault="00EC7CF3" w:rsidP="0028065E">
      <w:pPr>
        <w:pStyle w:val="FootnoteText"/>
      </w:pPr>
      <w:r w:rsidRPr="00D40600">
        <w:rPr>
          <w:rStyle w:val="FootnoteReference"/>
          <w:sz w:val="20"/>
        </w:rPr>
        <w:footnoteRef/>
      </w:r>
      <w:r w:rsidRPr="00D40600">
        <w:t xml:space="preserve"> </w:t>
      </w:r>
      <w:r w:rsidRPr="00D40600">
        <w:rPr>
          <w:i/>
        </w:rPr>
        <w:t xml:space="preserve">See </w:t>
      </w:r>
      <w:r w:rsidRPr="00D40600">
        <w:t xml:space="preserve">CTIA Comments at 44-45; Sprint Nextel Comments at 16.  </w:t>
      </w:r>
      <w:r w:rsidRPr="00D40600">
        <w:rPr>
          <w:i/>
        </w:rPr>
        <w:t xml:space="preserve">See, e.g., </w:t>
      </w:r>
      <w:r w:rsidRPr="00D40600">
        <w:t xml:space="preserve">AT&amp;T Coverage Viewer, </w:t>
      </w:r>
      <w:hyperlink r:id="rId398" w:anchor="?type=voice" w:history="1">
        <w:r w:rsidRPr="00D40600">
          <w:rPr>
            <w:rStyle w:val="Hyperlink"/>
          </w:rPr>
          <w:t>http://www.wireless.att.com/coverageviewer/#?type=voice</w:t>
        </w:r>
      </w:hyperlink>
      <w:r w:rsidRPr="00D40600">
        <w:t xml:space="preserve"> </w:t>
      </w:r>
      <w:r w:rsidRPr="00432F46">
        <w:rPr>
          <w:rStyle w:val="Hyperlink"/>
          <w:color w:val="auto"/>
          <w:u w:val="none"/>
        </w:rPr>
        <w:t>(visited Oct. 16, 2012)</w:t>
      </w:r>
      <w:r w:rsidRPr="00432F46">
        <w:t xml:space="preserve">; </w:t>
      </w:r>
      <w:r w:rsidRPr="00D40600">
        <w:t xml:space="preserve">Sprint – Nationwide Coverage, </w:t>
      </w:r>
      <w:hyperlink r:id="rId399" w:history="1">
        <w:r w:rsidRPr="00D40600">
          <w:rPr>
            <w:rStyle w:val="Hyperlink"/>
          </w:rPr>
          <w:t>http://coverage.sprintpcs.com/IMPACT.jsp?PCode=vanity:coverage</w:t>
        </w:r>
      </w:hyperlink>
      <w:r w:rsidRPr="00D40600">
        <w:t xml:space="preserve"> </w:t>
      </w:r>
      <w:r w:rsidRPr="00432F46">
        <w:rPr>
          <w:rStyle w:val="Hyperlink"/>
          <w:color w:val="auto"/>
          <w:u w:val="none"/>
        </w:rPr>
        <w:t>(visited Oct. 16, 2012)</w:t>
      </w:r>
      <w:r w:rsidRPr="00432F46">
        <w:t xml:space="preserve">; </w:t>
      </w:r>
      <w:r w:rsidRPr="00D40600">
        <w:t xml:space="preserve">T-Mobile, Personal Coverage Check, </w:t>
      </w:r>
      <w:hyperlink r:id="rId400" w:history="1">
        <w:r w:rsidRPr="00D40600">
          <w:rPr>
            <w:rStyle w:val="Hyperlink"/>
          </w:rPr>
          <w:t>http://www.t-mobile.com/coverage/pcc.aspx</w:t>
        </w:r>
      </w:hyperlink>
      <w:r w:rsidRPr="00D40600">
        <w:t xml:space="preserve"> </w:t>
      </w:r>
      <w:r w:rsidRPr="00432F46">
        <w:rPr>
          <w:rStyle w:val="Hyperlink"/>
          <w:color w:val="auto"/>
          <w:u w:val="none"/>
        </w:rPr>
        <w:t>(visited Oct. 16, 2012)</w:t>
      </w:r>
      <w:r w:rsidRPr="00432F46">
        <w:t xml:space="preserve">; </w:t>
      </w:r>
      <w:r w:rsidRPr="00D40600">
        <w:t xml:space="preserve">Verizon Wireless, Coverage Locator, </w:t>
      </w:r>
      <w:hyperlink r:id="rId401" w:history="1">
        <w:r w:rsidRPr="00D40600">
          <w:rPr>
            <w:rStyle w:val="Hyperlink"/>
          </w:rPr>
          <w:t>http://www.verizonwireless.com/b2c/CoverageLocatorController?requesttype=NEWREQUEST&amp;market=All</w:t>
        </w:r>
      </w:hyperlink>
      <w:r w:rsidRPr="00D40600">
        <w:t xml:space="preserve"> </w:t>
      </w:r>
      <w:r w:rsidRPr="00432F46">
        <w:rPr>
          <w:rStyle w:val="Hyperlink"/>
          <w:color w:val="auto"/>
          <w:u w:val="none"/>
        </w:rPr>
        <w:t>(visited Oct. 16, 2012)</w:t>
      </w:r>
      <w:r w:rsidRPr="00432F46">
        <w:t>.</w:t>
      </w:r>
    </w:p>
  </w:footnote>
  <w:footnote w:id="925">
    <w:p w:rsidR="00EC7CF3" w:rsidRDefault="00EC7CF3" w:rsidP="0028065E">
      <w:pPr>
        <w:pStyle w:val="FootnoteText"/>
      </w:pPr>
      <w:r w:rsidRPr="00D40600">
        <w:rPr>
          <w:rStyle w:val="FootnoteReference"/>
          <w:sz w:val="20"/>
        </w:rPr>
        <w:footnoteRef/>
      </w:r>
      <w:r w:rsidRPr="00D40600">
        <w:t xml:space="preserve"> In addition, to our knowledge, no reliable coverage dataset currently exists besides Mosaik’s licensed dataset, for which the underlying contours are generally supplied by providers who may use different definitions of coverage.  </w:t>
      </w:r>
      <w:r w:rsidRPr="00D40600">
        <w:rPr>
          <w:i/>
        </w:rPr>
        <w:t>See National Broadband Plan,</w:t>
      </w:r>
      <w:r w:rsidRPr="00D40600">
        <w:t xml:space="preserve"> at 25, n.56; 39.</w:t>
      </w:r>
    </w:p>
  </w:footnote>
  <w:footnote w:id="926">
    <w:p w:rsidR="00EC7CF3" w:rsidRDefault="00EC7CF3" w:rsidP="0028065E">
      <w:pPr>
        <w:pStyle w:val="FootnoteText"/>
      </w:pPr>
      <w:r w:rsidRPr="00D40600">
        <w:rPr>
          <w:rStyle w:val="FootnoteReference"/>
          <w:sz w:val="20"/>
        </w:rPr>
        <w:footnoteRef/>
      </w:r>
      <w:r w:rsidRPr="00D40600">
        <w:t xml:space="preserve"> </w:t>
      </w:r>
      <w:r w:rsidRPr="00D40600">
        <w:rPr>
          <w:i/>
        </w:rPr>
        <w:t xml:space="preserve">See </w:t>
      </w:r>
      <w:r w:rsidRPr="00D40600">
        <w:t xml:space="preserve">Section </w:t>
      </w:r>
      <w:r w:rsidR="00951E9B">
        <w:fldChar w:fldCharType="begin"/>
      </w:r>
      <w:r w:rsidR="00951E9B">
        <w:instrText xml:space="preserve"> REF _Ref259791119 \r  \* MERGEFORMAT </w:instrText>
      </w:r>
      <w:r w:rsidR="00951E9B">
        <w:fldChar w:fldCharType="separate"/>
      </w:r>
      <w:r>
        <w:t>V.H</w:t>
      </w:r>
      <w:r w:rsidR="00951E9B">
        <w:fldChar w:fldCharType="end"/>
      </w:r>
      <w:r w:rsidRPr="00D40600">
        <w:t xml:space="preserve">, Network Performance, </w:t>
      </w:r>
      <w:r w:rsidRPr="00D40600">
        <w:rPr>
          <w:i/>
        </w:rPr>
        <w:t>supra.</w:t>
      </w:r>
    </w:p>
  </w:footnote>
  <w:footnote w:id="927">
    <w:p w:rsidR="00EC7CF3" w:rsidRDefault="00EC7CF3" w:rsidP="0028065E">
      <w:pPr>
        <w:pStyle w:val="FootnoteText"/>
      </w:pPr>
      <w:r w:rsidRPr="00D40600">
        <w:rPr>
          <w:rStyle w:val="FootnoteReference"/>
          <w:sz w:val="20"/>
        </w:rPr>
        <w:footnoteRef/>
      </w:r>
      <w:r w:rsidRPr="00D40600">
        <w:t xml:space="preserve"> </w:t>
      </w:r>
      <w:r w:rsidRPr="00D40600">
        <w:rPr>
          <w:i/>
        </w:rPr>
        <w:t>Id</w:t>
      </w:r>
      <w:r w:rsidRPr="00D40600">
        <w:t>.</w:t>
      </w:r>
    </w:p>
  </w:footnote>
  <w:footnote w:id="928">
    <w:p w:rsidR="00EC7CF3" w:rsidRDefault="00EC7CF3" w:rsidP="0028065E">
      <w:pPr>
        <w:pStyle w:val="FootnoteText"/>
      </w:pPr>
      <w:r w:rsidRPr="00D40600">
        <w:rPr>
          <w:rStyle w:val="FootnoteReference"/>
          <w:sz w:val="20"/>
        </w:rPr>
        <w:footnoteRef/>
      </w:r>
      <w:r w:rsidRPr="00D40600">
        <w:t xml:space="preserve"> </w:t>
      </w:r>
      <w:r w:rsidRPr="00D40600">
        <w:rPr>
          <w:i/>
        </w:rPr>
        <w:t xml:space="preserve">See </w:t>
      </w:r>
      <w:r w:rsidRPr="00D40600">
        <w:t xml:space="preserve">Section </w:t>
      </w:r>
      <w:r w:rsidR="00951E9B">
        <w:fldChar w:fldCharType="begin"/>
      </w:r>
      <w:r w:rsidR="00951E9B">
        <w:instrText xml:space="preserve"> REF _Ref287340465 \r  \* MERGEFORMAT </w:instrText>
      </w:r>
      <w:r w:rsidR="00951E9B">
        <w:fldChar w:fldCharType="separate"/>
      </w:r>
      <w:r>
        <w:t>IV.B.1.b</w:t>
      </w:r>
      <w:r w:rsidR="00951E9B">
        <w:fldChar w:fldCharType="end"/>
      </w:r>
      <w:r w:rsidRPr="00D40600">
        <w:t xml:space="preserve">, </w:t>
      </w:r>
      <w:r>
        <w:fldChar w:fldCharType="begin"/>
      </w:r>
      <w:r>
        <w:instrText xml:space="preserve"> REF _Ref285534529 \h  \* MERGEFORMAT </w:instrText>
      </w:r>
      <w:r>
        <w:fldChar w:fldCharType="separate"/>
      </w:r>
      <w:r w:rsidRPr="00CA3AC6">
        <w:t>Coverage by Technology Type</w:t>
      </w:r>
      <w:r>
        <w:fldChar w:fldCharType="end"/>
      </w:r>
      <w:r w:rsidRPr="00D40600">
        <w:t xml:space="preserve">, </w:t>
      </w:r>
      <w:r>
        <w:rPr>
          <w:i/>
        </w:rPr>
        <w:t>supra</w:t>
      </w:r>
      <w:r w:rsidRPr="00D40600">
        <w:rPr>
          <w:i/>
        </w:rPr>
        <w:t>.</w:t>
      </w:r>
    </w:p>
  </w:footnote>
  <w:footnote w:id="929">
    <w:p w:rsidR="00EC7CF3" w:rsidRDefault="00EC7CF3" w:rsidP="0028065E">
      <w:pPr>
        <w:pStyle w:val="FootnoteText"/>
      </w:pPr>
      <w:r w:rsidRPr="00D40600">
        <w:rPr>
          <w:rStyle w:val="FootnoteReference"/>
          <w:sz w:val="20"/>
        </w:rPr>
        <w:footnoteRef/>
      </w:r>
      <w:r w:rsidRPr="00D40600">
        <w:t xml:space="preserve"> </w:t>
      </w:r>
      <w:r w:rsidRPr="00D40600">
        <w:rPr>
          <w:i/>
        </w:rPr>
        <w:t xml:space="preserve">See </w:t>
      </w:r>
      <w:r w:rsidRPr="00D40600">
        <w:t xml:space="preserve">CTIA, </w:t>
      </w:r>
      <w:r w:rsidRPr="00D40600">
        <w:rPr>
          <w:i/>
        </w:rPr>
        <w:t>Consumer Code for Wireless Service</w:t>
      </w:r>
      <w:r w:rsidRPr="00D40600">
        <w:t xml:space="preserve">, </w:t>
      </w:r>
      <w:r w:rsidRPr="00D40600">
        <w:rPr>
          <w:i/>
        </w:rPr>
        <w:t xml:space="preserve">available at </w:t>
      </w:r>
      <w:hyperlink r:id="rId402" w:history="1">
        <w:r w:rsidRPr="00D40600">
          <w:rPr>
            <w:rStyle w:val="Hyperlink"/>
          </w:rPr>
          <w:t>http://files.ctia.org/pdf/ConsumerCode.pdf</w:t>
        </w:r>
      </w:hyperlink>
      <w:r w:rsidRPr="00D40600">
        <w:t xml:space="preserve"> </w:t>
      </w:r>
      <w:r w:rsidRPr="00432F46">
        <w:rPr>
          <w:rStyle w:val="Hyperlink"/>
          <w:color w:val="auto"/>
          <w:u w:val="none"/>
        </w:rPr>
        <w:t>(visited Oct. 16, 2012)</w:t>
      </w:r>
      <w:r w:rsidRPr="00D40600">
        <w:t>. (</w:t>
      </w:r>
      <w:r w:rsidRPr="00D40600">
        <w:rPr>
          <w:i/>
        </w:rPr>
        <w:t>Consumer Code for Wireless Service</w:t>
      </w:r>
      <w:r w:rsidRPr="00D40600">
        <w:t>).</w:t>
      </w:r>
    </w:p>
  </w:footnote>
  <w:footnote w:id="930">
    <w:p w:rsidR="00EC7CF3" w:rsidRDefault="00EC7CF3" w:rsidP="0028065E">
      <w:pPr>
        <w:pStyle w:val="FootnoteText"/>
      </w:pPr>
      <w:r w:rsidRPr="00D40600">
        <w:rPr>
          <w:rStyle w:val="FootnoteReference"/>
          <w:sz w:val="20"/>
        </w:rPr>
        <w:footnoteRef/>
      </w:r>
      <w:r w:rsidRPr="00D40600">
        <w:t xml:space="preserve"> </w:t>
      </w:r>
      <w:r w:rsidRPr="00D40600">
        <w:rPr>
          <w:i/>
        </w:rPr>
        <w:t xml:space="preserve">See </w:t>
      </w:r>
      <w:r w:rsidRPr="00D40600">
        <w:t xml:space="preserve">CTIA Comments at 44-45; </w:t>
      </w:r>
      <w:r w:rsidRPr="00D40600">
        <w:rPr>
          <w:i/>
        </w:rPr>
        <w:t>See</w:t>
      </w:r>
      <w:r w:rsidRPr="00D40600">
        <w:t xml:space="preserve"> also </w:t>
      </w:r>
      <w:r w:rsidRPr="00D40600">
        <w:rPr>
          <w:i/>
        </w:rPr>
        <w:t>Consumer Code for Wireless Service</w:t>
      </w:r>
      <w:r w:rsidRPr="00D40600">
        <w:t>.</w:t>
      </w:r>
      <w:r w:rsidRPr="00D40600">
        <w:rPr>
          <w:i/>
        </w:rPr>
        <w:t xml:space="preserve">  </w:t>
      </w:r>
      <w:r w:rsidRPr="00D40600">
        <w:t xml:space="preserve">The ability of consumers to terminate a wireless service contract within 14 days is also one of a number of provisions of the Assurance of Voluntary Compliance agreed to by AT&amp;T (then Cingular), Sprint Nextel, and Verizon Wireless with the attorneys general of 32 states on June 25, 2004.  </w:t>
      </w:r>
    </w:p>
  </w:footnote>
  <w:footnote w:id="931">
    <w:p w:rsidR="00EC7CF3" w:rsidRDefault="00EC7CF3" w:rsidP="0028065E">
      <w:pPr>
        <w:pStyle w:val="FootnoteText"/>
      </w:pPr>
      <w:r w:rsidRPr="00D40600">
        <w:rPr>
          <w:rStyle w:val="FootnoteReference"/>
          <w:sz w:val="20"/>
        </w:rPr>
        <w:footnoteRef/>
      </w:r>
      <w:r w:rsidRPr="00D40600">
        <w:t xml:space="preserve"> </w:t>
      </w:r>
      <w:r w:rsidRPr="00D40600">
        <w:rPr>
          <w:i/>
        </w:rPr>
        <w:t xml:space="preserve">See </w:t>
      </w:r>
      <w:r w:rsidRPr="00D40600">
        <w:t xml:space="preserve">CTIA Comments at 46; </w:t>
      </w:r>
      <w:r w:rsidRPr="00D40600">
        <w:rPr>
          <w:i/>
        </w:rPr>
        <w:t>See</w:t>
      </w:r>
      <w:r w:rsidRPr="00D40600">
        <w:t xml:space="preserve"> also </w:t>
      </w:r>
      <w:r w:rsidRPr="00D40600">
        <w:rPr>
          <w:i/>
        </w:rPr>
        <w:t>Consumer Code for Wireless Service</w:t>
      </w:r>
      <w:r w:rsidRPr="00D40600">
        <w:t>.</w:t>
      </w:r>
    </w:p>
  </w:footnote>
  <w:footnote w:id="932">
    <w:p w:rsidR="00EC7CF3" w:rsidRDefault="00EC7CF3" w:rsidP="0028065E">
      <w:pPr>
        <w:pStyle w:val="FootnoteText"/>
      </w:pPr>
      <w:r w:rsidRPr="00D40600">
        <w:rPr>
          <w:rStyle w:val="FootnoteReference"/>
          <w:sz w:val="20"/>
        </w:rPr>
        <w:footnoteRef/>
      </w:r>
      <w:r w:rsidRPr="00D40600">
        <w:t xml:space="preserve"> </w:t>
      </w:r>
      <w:r w:rsidRPr="00D40600">
        <w:rPr>
          <w:i/>
        </w:rPr>
        <w:t xml:space="preserve">See </w:t>
      </w:r>
      <w:r w:rsidRPr="00D40600">
        <w:t xml:space="preserve">CTIA Comments at 46; CTIA, </w:t>
      </w:r>
      <w:r w:rsidRPr="00D40600">
        <w:rPr>
          <w:i/>
        </w:rPr>
        <w:t>CTIA-The Wireless Association® Announces Updates to Its ‘Consumer Code for Wireless Service,’</w:t>
      </w:r>
      <w:r w:rsidRPr="00D40600">
        <w:t xml:space="preserve"> Press Release, July 28, 2010, </w:t>
      </w:r>
      <w:r w:rsidRPr="00D40600">
        <w:rPr>
          <w:i/>
          <w:iCs/>
        </w:rPr>
        <w:t xml:space="preserve">available at </w:t>
      </w:r>
      <w:hyperlink r:id="rId403" w:history="1">
        <w:r w:rsidRPr="00D40600">
          <w:rPr>
            <w:rStyle w:val="Hyperlink"/>
          </w:rPr>
          <w:t>http://www.ctia.org/media/press/body.cfm/prid/1992</w:t>
        </w:r>
      </w:hyperlink>
      <w:r w:rsidRPr="00D40600">
        <w:t xml:space="preserve"> </w:t>
      </w:r>
      <w:r w:rsidRPr="00432F46">
        <w:rPr>
          <w:rStyle w:val="Hyperlink"/>
          <w:color w:val="auto"/>
          <w:u w:val="none"/>
        </w:rPr>
        <w:t>(visited Oct. 16, 2012)</w:t>
      </w:r>
      <w:r w:rsidRPr="00432F46">
        <w:t>.</w:t>
      </w:r>
    </w:p>
  </w:footnote>
  <w:footnote w:id="933">
    <w:p w:rsidR="00EC7CF3" w:rsidRDefault="00EC7CF3" w:rsidP="0028065E">
      <w:pPr>
        <w:pStyle w:val="FootnoteText"/>
      </w:pPr>
      <w:r w:rsidRPr="00D40600">
        <w:rPr>
          <w:rStyle w:val="FootnoteReference"/>
          <w:sz w:val="20"/>
        </w:rPr>
        <w:footnoteRef/>
      </w:r>
      <w:r w:rsidRPr="00D40600">
        <w:t xml:space="preserve"> </w:t>
      </w:r>
      <w:r w:rsidRPr="00D40600">
        <w:rPr>
          <w:i/>
        </w:rPr>
        <w:t>Id.</w:t>
      </w:r>
    </w:p>
  </w:footnote>
  <w:footnote w:id="934">
    <w:p w:rsidR="00EC7CF3" w:rsidRDefault="00EC7CF3" w:rsidP="0028065E">
      <w:pPr>
        <w:pStyle w:val="FootnoteText"/>
      </w:pPr>
      <w:r w:rsidRPr="00D40600">
        <w:rPr>
          <w:rStyle w:val="FootnoteReference"/>
          <w:sz w:val="20"/>
        </w:rPr>
        <w:footnoteRef/>
      </w:r>
      <w:r w:rsidRPr="00D40600">
        <w:t xml:space="preserve"> Federal Communications Commission, “FCC Survey Confirms Consumers Experience Mobile Bill Shock and Confusion About Early Termination Fees,” rel. May 26, 2010.</w:t>
      </w:r>
    </w:p>
  </w:footnote>
  <w:footnote w:id="935">
    <w:p w:rsidR="00EC7CF3" w:rsidRDefault="00EC7CF3" w:rsidP="0028065E">
      <w:pPr>
        <w:pStyle w:val="FootnoteText"/>
      </w:pPr>
      <w:r w:rsidRPr="00D40600">
        <w:rPr>
          <w:rStyle w:val="FootnoteReference"/>
          <w:sz w:val="20"/>
        </w:rPr>
        <w:footnoteRef/>
      </w:r>
      <w:r w:rsidRPr="00D40600">
        <w:t xml:space="preserve"> </w:t>
      </w:r>
      <w:r w:rsidRPr="00D40600">
        <w:rPr>
          <w:i/>
        </w:rPr>
        <w:t xml:space="preserve">Best Phones &amp; Plans, </w:t>
      </w:r>
      <w:r w:rsidRPr="00D40600">
        <w:t>Consumer Reports, Jan. 2011, at 29.</w:t>
      </w:r>
    </w:p>
  </w:footnote>
  <w:footnote w:id="936">
    <w:p w:rsidR="00EC7CF3" w:rsidRDefault="00EC7CF3" w:rsidP="0028065E">
      <w:pPr>
        <w:pStyle w:val="FootnoteText"/>
      </w:pPr>
      <w:r w:rsidRPr="00D40600">
        <w:rPr>
          <w:rStyle w:val="FootnoteReference"/>
          <w:sz w:val="20"/>
        </w:rPr>
        <w:footnoteRef/>
      </w:r>
      <w:r w:rsidRPr="00D40600">
        <w:t xml:space="preserve"> </w:t>
      </w:r>
      <w:r w:rsidRPr="00D40600">
        <w:rPr>
          <w:i/>
        </w:rPr>
        <w:t>See</w:t>
      </w:r>
      <w:r w:rsidRPr="00D40600">
        <w:t xml:space="preserve"> </w:t>
      </w:r>
      <w:hyperlink r:id="rId404" w:history="1">
        <w:r w:rsidRPr="00D40600">
          <w:rPr>
            <w:rStyle w:val="Hyperlink"/>
          </w:rPr>
          <w:t>http://www.fcc.gov/blog/new-fcc-website-help-consumers-beat-%E2%80%98bill-shock%E2%80%99</w:t>
        </w:r>
      </w:hyperlink>
      <w:r w:rsidRPr="00D40600">
        <w:t xml:space="preserve"> </w:t>
      </w:r>
      <w:r w:rsidRPr="00D40600">
        <w:rPr>
          <w:rStyle w:val="Hyperlink"/>
        </w:rPr>
        <w:t>(visited Oct. 16, 2012).</w:t>
      </w:r>
      <w:r w:rsidRPr="00D40600">
        <w:t xml:space="preserve">  </w:t>
      </w:r>
      <w:r w:rsidRPr="00D40600">
        <w:rPr>
          <w:i/>
        </w:rPr>
        <w:t>See also</w:t>
      </w:r>
      <w:r w:rsidRPr="00D40600">
        <w:t xml:space="preserve"> CTIA Consumer Code, </w:t>
      </w:r>
      <w:hyperlink r:id="rId405" w:history="1">
        <w:r w:rsidRPr="00D40600">
          <w:rPr>
            <w:rStyle w:val="Hyperlink"/>
          </w:rPr>
          <w:t>http://www.ctia.org/content/index.cfm/AID/10352</w:t>
        </w:r>
      </w:hyperlink>
      <w:r w:rsidRPr="00D40600">
        <w:t xml:space="preserve"> (visited Nov. 1, 2012).</w:t>
      </w:r>
    </w:p>
  </w:footnote>
  <w:footnote w:id="937">
    <w:p w:rsidR="00EC7CF3" w:rsidRDefault="00EC7CF3">
      <w:pPr>
        <w:pStyle w:val="FootnoteText"/>
      </w:pPr>
      <w:r w:rsidRPr="00D40600">
        <w:rPr>
          <w:rStyle w:val="FootnoteReference"/>
          <w:sz w:val="20"/>
        </w:rPr>
        <w:footnoteRef/>
      </w:r>
      <w:r w:rsidRPr="00D40600">
        <w:t xml:space="preserve"> “FCC Chairman Julius Genachowski Announces Major Progress in Usage-based Alert Program to Protect Mobile Customers from ‘Bill Shock’; Wireless Carriers Meet and Beat Deadline to Provide Free Data, Voice, Text, &amp; International Alerts,” News Release, Federal Communications Commission, October 17, 2012.</w:t>
      </w:r>
    </w:p>
  </w:footnote>
  <w:footnote w:id="938">
    <w:p w:rsidR="00EC7CF3" w:rsidRDefault="00EC7CF3" w:rsidP="0028065E">
      <w:pPr>
        <w:pStyle w:val="FootnoteText"/>
      </w:pPr>
      <w:r w:rsidRPr="00D40600">
        <w:rPr>
          <w:rStyle w:val="FootnoteReference"/>
          <w:sz w:val="20"/>
        </w:rPr>
        <w:footnoteRef/>
      </w:r>
      <w:r w:rsidRPr="00D40600">
        <w:t xml:space="preserve"> </w:t>
      </w:r>
      <w:r w:rsidRPr="00D40600">
        <w:rPr>
          <w:i/>
        </w:rPr>
        <w:t>See</w:t>
      </w:r>
      <w:r w:rsidRPr="00D40600">
        <w:t xml:space="preserve"> </w:t>
      </w:r>
      <w:hyperlink r:id="rId406" w:history="1">
        <w:r w:rsidRPr="00D40600">
          <w:rPr>
            <w:rStyle w:val="Hyperlink"/>
          </w:rPr>
          <w:t>http://www.fcc.gov/encyclopedia/bill-shock-wireless-usage-alerts-consumers</w:t>
        </w:r>
      </w:hyperlink>
      <w:r w:rsidRPr="00D40600">
        <w:rPr>
          <w:rStyle w:val="Hyperlink"/>
        </w:rPr>
        <w:t xml:space="preserve"> </w:t>
      </w:r>
      <w:r w:rsidRPr="00432F46">
        <w:rPr>
          <w:rStyle w:val="Hyperlink"/>
          <w:color w:val="auto"/>
          <w:u w:val="none"/>
        </w:rPr>
        <w:t>(visited Oct. 16, 2012).</w:t>
      </w:r>
    </w:p>
  </w:footnote>
  <w:footnote w:id="939">
    <w:p w:rsidR="00EC7CF3" w:rsidRDefault="00EC7CF3" w:rsidP="0028065E">
      <w:pPr>
        <w:pStyle w:val="FootnoteText"/>
      </w:pPr>
      <w:r w:rsidRPr="00D40600">
        <w:rPr>
          <w:rStyle w:val="FootnoteReference"/>
          <w:sz w:val="20"/>
        </w:rPr>
        <w:footnoteRef/>
      </w:r>
      <w:r w:rsidRPr="00D40600">
        <w:t xml:space="preserve"> </w:t>
      </w:r>
      <w:r w:rsidRPr="00D40600">
        <w:rPr>
          <w:i/>
        </w:rPr>
        <w:t>Open Internet Order</w:t>
      </w:r>
      <w:r w:rsidRPr="00D40600">
        <w:t xml:space="preserve"> at ¶ 54.</w:t>
      </w:r>
    </w:p>
  </w:footnote>
  <w:footnote w:id="940">
    <w:p w:rsidR="00EC7CF3" w:rsidRDefault="00EC7CF3" w:rsidP="0028065E">
      <w:pPr>
        <w:pStyle w:val="FootnoteText"/>
      </w:pPr>
      <w:r w:rsidRPr="00D40600">
        <w:rPr>
          <w:rStyle w:val="FootnoteReference"/>
          <w:sz w:val="20"/>
        </w:rPr>
        <w:footnoteRef/>
      </w:r>
      <w:r w:rsidRPr="00D40600">
        <w:t xml:space="preserve"> </w:t>
      </w:r>
      <w:r w:rsidRPr="00D40600">
        <w:rPr>
          <w:i/>
        </w:rPr>
        <w:t>Open Internet Order</w:t>
      </w:r>
      <w:r w:rsidRPr="00D40600">
        <w:t xml:space="preserve"> at ¶ 56.</w:t>
      </w:r>
    </w:p>
  </w:footnote>
  <w:footnote w:id="941">
    <w:p w:rsidR="00EC7CF3" w:rsidRDefault="00EC7CF3" w:rsidP="0028065E">
      <w:pPr>
        <w:pStyle w:val="FootnoteText"/>
      </w:pPr>
      <w:r w:rsidRPr="00D40600">
        <w:rPr>
          <w:rStyle w:val="FootnoteReference"/>
          <w:sz w:val="20"/>
        </w:rPr>
        <w:footnoteRef/>
      </w:r>
      <w:r w:rsidRPr="00D40600">
        <w:t xml:space="preserve"> </w:t>
      </w:r>
      <w:r w:rsidRPr="00D40600">
        <w:rPr>
          <w:i/>
        </w:rPr>
        <w:t xml:space="preserve">Best Phones and Plans, </w:t>
      </w:r>
      <w:r w:rsidRPr="00D40600">
        <w:t xml:space="preserve">Consumer Reports, Jan. 2011, at 36-37.  </w:t>
      </w:r>
      <w:r w:rsidRPr="00D40600">
        <w:rPr>
          <w:i/>
        </w:rPr>
        <w:t>See</w:t>
      </w:r>
      <w:r w:rsidRPr="00D40600">
        <w:t xml:space="preserve"> table entitled, “Ratings: Cell Service by City.”  The ratings published by </w:t>
      </w:r>
      <w:r w:rsidRPr="00D40600">
        <w:rPr>
          <w:i/>
        </w:rPr>
        <w:t xml:space="preserve">Consumer Reports </w:t>
      </w:r>
      <w:r w:rsidRPr="00D40600">
        <w:t>were based on 58,189 responses from ConsumerReports.org subscribers surveyed in September 2010.  Ratings by city include responses by customers with “conventional (contract)” and “no-contract” service.  Only providers with sufficient data for ratings were included.</w:t>
      </w:r>
      <w:r>
        <w:t xml:space="preserve">  </w:t>
      </w:r>
    </w:p>
  </w:footnote>
  <w:footnote w:id="942">
    <w:p w:rsidR="00EC7CF3" w:rsidRDefault="00EC7CF3" w:rsidP="0028065E">
      <w:pPr>
        <w:pStyle w:val="FootnoteText"/>
      </w:pPr>
      <w:r w:rsidRPr="00D40600">
        <w:rPr>
          <w:rStyle w:val="FootnoteReference"/>
          <w:sz w:val="20"/>
        </w:rPr>
        <w:footnoteRef/>
      </w:r>
      <w:r w:rsidRPr="00D40600">
        <w:t xml:space="preserve"> </w:t>
      </w:r>
      <w:r w:rsidRPr="00D40600">
        <w:rPr>
          <w:i/>
        </w:rPr>
        <w:t>Best Phones and Plans</w:t>
      </w:r>
      <w:r w:rsidRPr="00D40600">
        <w:t xml:space="preserve">, Consumer Reports, Jan. 2011, at 36-37.  The reader score scale is from zero to 100, with a score of 100 indicating that “all respondents were completely satisfied.”  Furthermore, the reader score category reflects respondents’ overall satisfaction with their mobile wireless service, </w:t>
      </w:r>
      <w:r w:rsidRPr="00D40600">
        <w:rPr>
          <w:i/>
        </w:rPr>
        <w:t xml:space="preserve">i.e., </w:t>
      </w:r>
      <w:r w:rsidRPr="00D40600">
        <w:t>the reader score category is not limited to specific aspects of mobile wireless service related to network quality and could include other factors such as value and customer support.  In addition to a reader score, providers were also rated, using a “better-worse” scale, in several specific categories, including voice problems (</w:t>
      </w:r>
      <w:r w:rsidRPr="00D40600">
        <w:rPr>
          <w:i/>
        </w:rPr>
        <w:t xml:space="preserve">e.g., </w:t>
      </w:r>
      <w:r w:rsidRPr="00D40600">
        <w:t>“no service” and “dropped calls”), texting, and data services.</w:t>
      </w:r>
      <w:r>
        <w:t xml:space="preserve">  As noted in paragraph </w:t>
      </w:r>
      <w:r w:rsidR="00951E9B">
        <w:fldChar w:fldCharType="begin"/>
      </w:r>
      <w:r w:rsidR="00951E9B">
        <w:instrText xml:space="preserve"> REF _Ref347845874 \r </w:instrText>
      </w:r>
      <w:r w:rsidR="00951E9B">
        <w:fldChar w:fldCharType="separate"/>
      </w:r>
      <w:r>
        <w:t>308</w:t>
      </w:r>
      <w:r w:rsidR="00951E9B">
        <w:fldChar w:fldCharType="end"/>
      </w:r>
      <w:r>
        <w:t xml:space="preserve"> we summarize other third party reports on service quality.</w:t>
      </w:r>
    </w:p>
  </w:footnote>
  <w:footnote w:id="943">
    <w:p w:rsidR="00EC7CF3" w:rsidRDefault="00EC7CF3" w:rsidP="0028065E">
      <w:pPr>
        <w:pStyle w:val="FootnoteText"/>
      </w:pPr>
      <w:r w:rsidRPr="00D40600">
        <w:rPr>
          <w:rStyle w:val="FootnoteReference"/>
          <w:sz w:val="20"/>
        </w:rPr>
        <w:footnoteRef/>
      </w:r>
      <w:r w:rsidRPr="00D40600">
        <w:t xml:space="preserve"> </w:t>
      </w:r>
      <w:r w:rsidRPr="00D40600">
        <w:rPr>
          <w:i/>
        </w:rPr>
        <w:t xml:space="preserve">Best Phones and Plans, </w:t>
      </w:r>
      <w:r w:rsidRPr="00D40600">
        <w:t xml:space="preserve">Consumer Reports, Jan. 2011, at 37.  </w:t>
      </w:r>
      <w:r w:rsidRPr="00D40600">
        <w:rPr>
          <w:i/>
        </w:rPr>
        <w:t>See</w:t>
      </w:r>
      <w:r w:rsidRPr="00D40600">
        <w:t xml:space="preserve"> tables entitled, “Ratings: Cell-Phone Service with a Contract” and “Ratings: No-Contract Service.”  Separate analyses were conducted of overall ratings for contract and no-contract providers.</w:t>
      </w:r>
    </w:p>
  </w:footnote>
  <w:footnote w:id="944">
    <w:p w:rsidR="00EC7CF3" w:rsidRDefault="00EC7CF3" w:rsidP="0028065E">
      <w:pPr>
        <w:pStyle w:val="FootnoteText"/>
      </w:pPr>
      <w:r w:rsidRPr="00D40600">
        <w:rPr>
          <w:rStyle w:val="FootnoteReference"/>
          <w:sz w:val="20"/>
        </w:rPr>
        <w:footnoteRef/>
      </w:r>
      <w:r w:rsidRPr="00D40600">
        <w:t xml:space="preserve"> </w:t>
      </w:r>
      <w:r w:rsidRPr="00D40600">
        <w:rPr>
          <w:i/>
        </w:rPr>
        <w:t xml:space="preserve">Best Phones and Plans, </w:t>
      </w:r>
      <w:r w:rsidRPr="00D40600">
        <w:t xml:space="preserve">Consumer Reports, Jan. 2011, at 37.  </w:t>
      </w:r>
      <w:r w:rsidRPr="00D40600">
        <w:rPr>
          <w:i/>
        </w:rPr>
        <w:t>See</w:t>
      </w:r>
      <w:r w:rsidRPr="00D40600">
        <w:t xml:space="preserve"> table entitled, “Ratings: Cell-Phone Service with a Contract.”</w:t>
      </w:r>
    </w:p>
  </w:footnote>
  <w:footnote w:id="945">
    <w:p w:rsidR="00EC7CF3" w:rsidRDefault="00EC7CF3" w:rsidP="0028065E">
      <w:pPr>
        <w:pStyle w:val="FootnoteText"/>
      </w:pPr>
      <w:r w:rsidRPr="00D40600">
        <w:rPr>
          <w:rStyle w:val="FootnoteReference"/>
          <w:sz w:val="20"/>
        </w:rPr>
        <w:footnoteRef/>
      </w:r>
      <w:r w:rsidRPr="00D40600">
        <w:t xml:space="preserve"> </w:t>
      </w:r>
      <w:r w:rsidRPr="00D40600">
        <w:rPr>
          <w:i/>
        </w:rPr>
        <w:t>Id.</w:t>
      </w:r>
    </w:p>
  </w:footnote>
  <w:footnote w:id="946">
    <w:p w:rsidR="00EC7CF3" w:rsidRDefault="00EC7CF3" w:rsidP="0028065E">
      <w:pPr>
        <w:pStyle w:val="FootnoteText"/>
      </w:pPr>
      <w:r w:rsidRPr="00D40600">
        <w:rPr>
          <w:rStyle w:val="FootnoteReference"/>
          <w:sz w:val="20"/>
        </w:rPr>
        <w:footnoteRef/>
      </w:r>
      <w:r w:rsidRPr="00D40600">
        <w:t xml:space="preserve"> </w:t>
      </w:r>
      <w:r w:rsidRPr="00D40600">
        <w:rPr>
          <w:i/>
        </w:rPr>
        <w:t>Id.</w:t>
      </w:r>
    </w:p>
  </w:footnote>
  <w:footnote w:id="947">
    <w:p w:rsidR="00EC7CF3" w:rsidRDefault="00EC7CF3" w:rsidP="0028065E">
      <w:pPr>
        <w:pStyle w:val="FootnoteText"/>
      </w:pPr>
      <w:r w:rsidRPr="00D40600">
        <w:rPr>
          <w:rStyle w:val="FootnoteReference"/>
          <w:sz w:val="20"/>
        </w:rPr>
        <w:footnoteRef/>
      </w:r>
      <w:r w:rsidRPr="00D40600">
        <w:t xml:space="preserve"> </w:t>
      </w:r>
      <w:r w:rsidRPr="00D40600">
        <w:rPr>
          <w:i/>
        </w:rPr>
        <w:t xml:space="preserve">Best Phones and Plans, </w:t>
      </w:r>
      <w:r w:rsidRPr="00D40600">
        <w:t xml:space="preserve">Consumer Reports.org, </w:t>
      </w:r>
      <w:r w:rsidRPr="00432F46">
        <w:rPr>
          <w:i/>
        </w:rPr>
        <w:t>available at</w:t>
      </w:r>
      <w:r w:rsidRPr="00D40600">
        <w:t xml:space="preserve"> </w:t>
      </w:r>
      <w:hyperlink r:id="rId407" w:history="1">
        <w:r w:rsidRPr="00D40600">
          <w:rPr>
            <w:rStyle w:val="Hyperlink"/>
          </w:rPr>
          <w:t>http://www.consumerreports.org/cro/electronics-computers/phones-mobile-devices/cell-phones-services/cell-phone-service-buying-advice/guide-to-cell-phone-carriers/cell-phone-service-ratings/cell-phone-service-ratings.htm</w:t>
        </w:r>
      </w:hyperlink>
      <w:r w:rsidRPr="00D40600">
        <w:rPr>
          <w:rStyle w:val="Hyperlink"/>
        </w:rPr>
        <w:t xml:space="preserve"> </w:t>
      </w:r>
      <w:r w:rsidRPr="00432F46">
        <w:rPr>
          <w:rStyle w:val="Hyperlink"/>
          <w:color w:val="auto"/>
          <w:u w:val="none"/>
        </w:rPr>
        <w:t>(visited Oct. 16, 2012).</w:t>
      </w:r>
    </w:p>
  </w:footnote>
  <w:footnote w:id="948">
    <w:p w:rsidR="00EC7CF3" w:rsidRDefault="00EC7CF3" w:rsidP="0028065E">
      <w:pPr>
        <w:pStyle w:val="FootnoteText"/>
      </w:pPr>
      <w:r w:rsidRPr="00D40600">
        <w:rPr>
          <w:rStyle w:val="FootnoteReference"/>
          <w:sz w:val="20"/>
        </w:rPr>
        <w:footnoteRef/>
      </w:r>
      <w:r w:rsidRPr="00D40600">
        <w:t xml:space="preserve"> </w:t>
      </w:r>
      <w:r w:rsidRPr="00D40600">
        <w:rPr>
          <w:i/>
        </w:rPr>
        <w:t>Id.</w:t>
      </w:r>
    </w:p>
  </w:footnote>
  <w:footnote w:id="949">
    <w:p w:rsidR="00EC7CF3" w:rsidRDefault="00EC7CF3" w:rsidP="0028065E">
      <w:pPr>
        <w:pStyle w:val="FootnoteText"/>
      </w:pPr>
      <w:r w:rsidRPr="00D40600">
        <w:rPr>
          <w:rStyle w:val="FootnoteReference"/>
          <w:sz w:val="20"/>
        </w:rPr>
        <w:footnoteRef/>
      </w:r>
      <w:r w:rsidRPr="00D40600">
        <w:t xml:space="preserve"> </w:t>
      </w:r>
      <w:r w:rsidRPr="00D40600">
        <w:rPr>
          <w:i/>
        </w:rPr>
        <w:t>ACSI</w:t>
      </w:r>
      <w:r w:rsidRPr="00D40600">
        <w:t xml:space="preserve">, “The American Customer Satisfaction Index, Scores By Industry, Wireless Telephone Service” (2012), </w:t>
      </w:r>
      <w:r w:rsidRPr="00432F46">
        <w:rPr>
          <w:i/>
        </w:rPr>
        <w:t xml:space="preserve">available at </w:t>
      </w:r>
      <w:hyperlink r:id="rId408" w:history="1">
        <w:r w:rsidRPr="00D40600">
          <w:rPr>
            <w:rStyle w:val="Hyperlink"/>
          </w:rPr>
          <w:t>http://www.theacsi.org/index.php?option=com_content&amp;view=article&amp;id=147&amp;catid=&amp;Itemid=212&amp;i=Wireless+Telephone+Service</w:t>
        </w:r>
      </w:hyperlink>
      <w:r w:rsidRPr="00D40600">
        <w:t xml:space="preserve"> </w:t>
      </w:r>
      <w:r w:rsidRPr="00432F46">
        <w:rPr>
          <w:rStyle w:val="Hyperlink"/>
          <w:color w:val="auto"/>
          <w:u w:val="none"/>
        </w:rPr>
        <w:t>(visited Oct. 16, 2012)</w:t>
      </w:r>
      <w:r w:rsidRPr="00432F46">
        <w:t xml:space="preserve">. </w:t>
      </w:r>
      <w:r>
        <w:t xml:space="preserve"> </w:t>
      </w:r>
      <w:r w:rsidRPr="00D40600">
        <w:rPr>
          <w:color w:val="333333"/>
          <w:lang w:val="en-GB"/>
        </w:rPr>
        <w:t xml:space="preserve">ACSI releases industry results monthly and updates the national index quarterly.  The “All Others” score represents the remainder of the total industry market share, less the market shares of the ACSI-measured companies.  It is an aggregate of a representative number of customer interviews from each of potentially hundreds of smaller companies within the industry.  </w:t>
      </w:r>
      <w:r>
        <w:t xml:space="preserve">As noted in paragraph </w:t>
      </w:r>
      <w:r w:rsidR="00951E9B">
        <w:fldChar w:fldCharType="begin"/>
      </w:r>
      <w:r w:rsidR="00951E9B">
        <w:instrText xml:space="preserve"> REF _Ref347845874 \r </w:instrText>
      </w:r>
      <w:r w:rsidR="00951E9B">
        <w:fldChar w:fldCharType="separate"/>
      </w:r>
      <w:r>
        <w:t>308</w:t>
      </w:r>
      <w:r w:rsidR="00951E9B">
        <w:fldChar w:fldCharType="end"/>
      </w:r>
      <w:r>
        <w:t xml:space="preserve"> we summarize other third party reports on service quality.</w:t>
      </w:r>
    </w:p>
  </w:footnote>
  <w:footnote w:id="950">
    <w:p w:rsidR="00EC7CF3" w:rsidRDefault="00EC7CF3" w:rsidP="0028065E">
      <w:pPr>
        <w:pStyle w:val="FootnoteText"/>
      </w:pPr>
      <w:r w:rsidRPr="00D40600">
        <w:rPr>
          <w:rStyle w:val="FootnoteReference"/>
          <w:sz w:val="20"/>
        </w:rPr>
        <w:footnoteRef/>
      </w:r>
      <w:r w:rsidRPr="00D40600">
        <w:t xml:space="preserve"> </w:t>
      </w:r>
      <w:r w:rsidRPr="00876980">
        <w:t>ACSI states that “</w:t>
      </w:r>
      <w:r w:rsidRPr="00876980">
        <w:rPr>
          <w:lang w:val="en-GB"/>
        </w:rPr>
        <w:t>The "All Others" score for an industry represents the remainder of the total industry market share, less the market shares of the ACSI-measured companies.  It is an aggregate of a representative number of customer interviews from each of potentially hundreds of smaller companies within the industry.”  Individual company scores within the “All Others” category cannot be derived without additional data collection.</w:t>
      </w:r>
    </w:p>
  </w:footnote>
  <w:footnote w:id="951">
    <w:p w:rsidR="00EC7CF3" w:rsidRDefault="00EC7CF3" w:rsidP="0028065E">
      <w:pPr>
        <w:pStyle w:val="FootnoteText"/>
      </w:pPr>
      <w:r w:rsidRPr="00D40600">
        <w:rPr>
          <w:rStyle w:val="FootnoteReference"/>
          <w:sz w:val="20"/>
        </w:rPr>
        <w:footnoteRef/>
      </w:r>
      <w:r w:rsidRPr="00D40600">
        <w:t xml:space="preserve"> </w:t>
      </w:r>
      <w:r w:rsidRPr="00D40600">
        <w:rPr>
          <w:i/>
        </w:rPr>
        <w:t>See</w:t>
      </w:r>
      <w:r w:rsidRPr="00D40600">
        <w:t xml:space="preserve"> CTIA</w:t>
      </w:r>
      <w:r w:rsidRPr="00D40600">
        <w:rPr>
          <w:i/>
        </w:rPr>
        <w:t>, 2011 Semi-Annual Wireless Industry Survey Results</w:t>
      </w:r>
      <w:r w:rsidRPr="00D40600">
        <w:t>, at 163 (2012).</w:t>
      </w:r>
    </w:p>
  </w:footnote>
  <w:footnote w:id="952">
    <w:p w:rsidR="00EC7CF3" w:rsidRDefault="00EC7CF3" w:rsidP="0028065E">
      <w:pPr>
        <w:pStyle w:val="FootnoteText"/>
      </w:pPr>
      <w:r w:rsidRPr="00D40600">
        <w:rPr>
          <w:rStyle w:val="FootnoteReference"/>
          <w:sz w:val="20"/>
        </w:rPr>
        <w:footnoteRef/>
      </w:r>
      <w:r w:rsidRPr="00D40600">
        <w:t xml:space="preserve"> </w:t>
      </w:r>
      <w:r w:rsidRPr="00D40600">
        <w:rPr>
          <w:i/>
        </w:rPr>
        <w:t>Id</w:t>
      </w:r>
      <w:r w:rsidRPr="00D40600">
        <w:t>.</w:t>
      </w:r>
    </w:p>
  </w:footnote>
  <w:footnote w:id="953">
    <w:p w:rsidR="00EC7CF3" w:rsidRDefault="00EC7CF3" w:rsidP="0028065E">
      <w:pPr>
        <w:pStyle w:val="FootnoteText"/>
      </w:pPr>
      <w:r w:rsidRPr="00D40600">
        <w:rPr>
          <w:rStyle w:val="FootnoteReference"/>
          <w:sz w:val="20"/>
        </w:rPr>
        <w:footnoteRef/>
      </w:r>
      <w:r w:rsidRPr="00D40600">
        <w:t xml:space="preserve"> Dan Meyer. </w:t>
      </w:r>
      <w:r w:rsidRPr="00D40600">
        <w:rPr>
          <w:i/>
        </w:rPr>
        <w:t>American Tower scores DAS deal with racetrack owner</w:t>
      </w:r>
      <w:r w:rsidRPr="00D40600">
        <w:t xml:space="preserve">. RCRWireless.com. July 31, 2012. </w:t>
      </w:r>
      <w:hyperlink r:id="rId409" w:history="1">
        <w:r w:rsidRPr="007C0F0A">
          <w:rPr>
            <w:rStyle w:val="Hyperlink"/>
          </w:rPr>
          <w:t>http://www.rcrwireless.com/article/20120731/das/american-tower-scores-das-deal-racetrack-owner/</w:t>
        </w:r>
      </w:hyperlink>
      <w:r>
        <w:t xml:space="preserve"> </w:t>
      </w:r>
      <w:r w:rsidRPr="00D40600">
        <w:t xml:space="preserve"> (visited Oct. 16, 2012)</w:t>
      </w:r>
      <w:r>
        <w:t>.</w:t>
      </w:r>
    </w:p>
  </w:footnote>
  <w:footnote w:id="954">
    <w:p w:rsidR="00EC7CF3" w:rsidRDefault="00EC7CF3" w:rsidP="0028065E">
      <w:pPr>
        <w:pStyle w:val="FootnoteText"/>
      </w:pPr>
      <w:r w:rsidRPr="00D40600">
        <w:rPr>
          <w:rStyle w:val="FootnoteReference"/>
          <w:sz w:val="20"/>
        </w:rPr>
        <w:footnoteRef/>
      </w:r>
      <w:r w:rsidRPr="00D40600">
        <w:t xml:space="preserve"> As of January 2012, the five largest independent US tower operators by number of towers owned were American Tower (21,000), Crown Castle (22,200), SBA Communications (9,400), Global Tower Partners (5,700), and TowerCo (3,300), Data 2012, A Primer and Outlook on Telecom Services, Towers, and Datacenter/Hosting Infrastructure, RBC Capital Markets, January 19, 2012</w:t>
      </w:r>
      <w:r w:rsidRPr="00D40600">
        <w:rPr>
          <w:i/>
        </w:rPr>
        <w:t>.</w:t>
      </w:r>
    </w:p>
  </w:footnote>
  <w:footnote w:id="955">
    <w:p w:rsidR="00EC7CF3" w:rsidRDefault="00EC7CF3" w:rsidP="0028065E">
      <w:pPr>
        <w:pStyle w:val="FootnoteText"/>
      </w:pPr>
      <w:r w:rsidRPr="00D40600">
        <w:rPr>
          <w:rStyle w:val="FootnoteReference"/>
          <w:sz w:val="20"/>
        </w:rPr>
        <w:footnoteRef/>
      </w:r>
      <w:r w:rsidRPr="00D40600">
        <w:t xml:space="preserve"> For example, Clearwire’s network usage increased 705 percent in 2011.  See </w:t>
      </w:r>
      <w:r w:rsidRPr="00D40600">
        <w:rPr>
          <w:i/>
        </w:rPr>
        <w:t>Clearwire: Usage on our network increased 705 percent year-over-year</w:t>
      </w:r>
      <w:r w:rsidRPr="00D40600">
        <w:t xml:space="preserve">, by Sue Marek, fiercewireless.com, March 22, 2012. </w:t>
      </w:r>
      <w:hyperlink r:id="rId410" w:history="1">
        <w:r w:rsidRPr="00D40600">
          <w:rPr>
            <w:rStyle w:val="Hyperlink"/>
          </w:rPr>
          <w:t>http://www.fiercewireless.com/story/clearwire-usage-our-network-increased-705-year-over-year/2012-03-22</w:t>
        </w:r>
      </w:hyperlink>
      <w:r w:rsidRPr="00D40600">
        <w:t xml:space="preserve"> (visited Oct. 16, 2012)</w:t>
      </w:r>
      <w:r>
        <w:t>.</w:t>
      </w:r>
    </w:p>
  </w:footnote>
  <w:footnote w:id="956">
    <w:p w:rsidR="00EC7CF3" w:rsidRDefault="00EC7CF3" w:rsidP="0028065E">
      <w:pPr>
        <w:pStyle w:val="FootnoteText"/>
      </w:pPr>
      <w:r w:rsidRPr="00D40600">
        <w:rPr>
          <w:rStyle w:val="FootnoteReference"/>
          <w:sz w:val="20"/>
        </w:rPr>
        <w:footnoteRef/>
      </w:r>
      <w:r w:rsidRPr="00D40600">
        <w:t xml:space="preserve"> Dan Meyer. </w:t>
      </w:r>
      <w:r w:rsidRPr="00D40600">
        <w:rPr>
          <w:i/>
        </w:rPr>
        <w:t>SBA to acquire TowerCo for $1.45 billion</w:t>
      </w:r>
      <w:r w:rsidRPr="00D40600">
        <w:t xml:space="preserve">. RCRWireless.com. June 26, 2012. </w:t>
      </w:r>
      <w:hyperlink r:id="rId411" w:history="1">
        <w:r w:rsidRPr="00D40600">
          <w:rPr>
            <w:rStyle w:val="Hyperlink"/>
          </w:rPr>
          <w:t>http://www.rcrwireless.com/article/20120626/tower/sba-to-acquire-towerco-for-1-45b/</w:t>
        </w:r>
      </w:hyperlink>
      <w:r w:rsidRPr="00D40600">
        <w:t xml:space="preserve"> (visited Oct. 16, 2012)</w:t>
      </w:r>
      <w:r>
        <w:t>.</w:t>
      </w:r>
    </w:p>
  </w:footnote>
  <w:footnote w:id="957">
    <w:p w:rsidR="00EC7CF3" w:rsidRDefault="00EC7CF3" w:rsidP="0028065E">
      <w:pPr>
        <w:pStyle w:val="FootnoteText"/>
      </w:pPr>
      <w:r w:rsidRPr="00D40600">
        <w:rPr>
          <w:rStyle w:val="FootnoteReference"/>
          <w:sz w:val="20"/>
        </w:rPr>
        <w:footnoteRef/>
      </w:r>
      <w:r w:rsidRPr="00D40600">
        <w:t xml:space="preserve"> American Tower 2011 Annual Report at 5.</w:t>
      </w:r>
    </w:p>
  </w:footnote>
  <w:footnote w:id="958">
    <w:p w:rsidR="00EC7CF3" w:rsidRDefault="00EC7CF3" w:rsidP="0028065E">
      <w:pPr>
        <w:pStyle w:val="FootnoteText"/>
      </w:pPr>
      <w:r w:rsidRPr="00D40600">
        <w:rPr>
          <w:rStyle w:val="FootnoteReference"/>
          <w:sz w:val="20"/>
        </w:rPr>
        <w:footnoteRef/>
      </w:r>
      <w:r w:rsidRPr="00D40600">
        <w:t xml:space="preserve"> Dan Meyer. </w:t>
      </w:r>
      <w:r w:rsidRPr="00D40600">
        <w:rPr>
          <w:i/>
        </w:rPr>
        <w:t>SBA to acquire TowerCo for $1.45 billion</w:t>
      </w:r>
      <w:r w:rsidRPr="00D40600">
        <w:t xml:space="preserve">. RCRWireless.com. June 26, 2012. </w:t>
      </w:r>
      <w:hyperlink r:id="rId412" w:history="1">
        <w:r w:rsidRPr="00D40600">
          <w:rPr>
            <w:rStyle w:val="Hyperlink"/>
          </w:rPr>
          <w:t>http://www.rcrwireless.com/article/20120626/tower/sba-to-acquire-towerco-for-1-45b/</w:t>
        </w:r>
      </w:hyperlink>
      <w:r w:rsidRPr="00D40600">
        <w:t xml:space="preserve"> (visited Oct. 16, 2012)</w:t>
      </w:r>
      <w:r>
        <w:t>.</w:t>
      </w:r>
    </w:p>
  </w:footnote>
  <w:footnote w:id="959">
    <w:p w:rsidR="00EC7CF3" w:rsidRDefault="00EC7CF3" w:rsidP="0028065E">
      <w:pPr>
        <w:pStyle w:val="FootnoteText"/>
      </w:pPr>
      <w:r w:rsidRPr="00D40600">
        <w:rPr>
          <w:rStyle w:val="FootnoteReference"/>
          <w:sz w:val="20"/>
        </w:rPr>
        <w:footnoteRef/>
      </w:r>
      <w:r w:rsidRPr="00D40600">
        <w:t xml:space="preserve"> Dan Meyer. </w:t>
      </w:r>
      <w:r w:rsidRPr="00D40600">
        <w:rPr>
          <w:i/>
        </w:rPr>
        <w:t>SBA to acquire TowerCo for $1.45 billion</w:t>
      </w:r>
      <w:r w:rsidRPr="00D40600">
        <w:t xml:space="preserve">. RCRWireless.com. June 26, 2012. </w:t>
      </w:r>
      <w:hyperlink r:id="rId413" w:history="1">
        <w:r w:rsidRPr="00D40600">
          <w:rPr>
            <w:rStyle w:val="Hyperlink"/>
          </w:rPr>
          <w:t>http://www.rcrwireless.com/article/20120626/tower/sba-to-acquire-towerco-for-1-45b/</w:t>
        </w:r>
      </w:hyperlink>
      <w:r w:rsidRPr="00D40600">
        <w:t xml:space="preserve"> (visited Oct. 16, 2012)</w:t>
      </w:r>
      <w:r>
        <w:t>.</w:t>
      </w:r>
    </w:p>
  </w:footnote>
  <w:footnote w:id="960">
    <w:p w:rsidR="00EC7CF3" w:rsidRDefault="00EC7CF3" w:rsidP="0028065E">
      <w:pPr>
        <w:pStyle w:val="FootnoteText"/>
      </w:pPr>
      <w:r w:rsidRPr="00D40600">
        <w:rPr>
          <w:rStyle w:val="FootnoteReference"/>
          <w:sz w:val="20"/>
        </w:rPr>
        <w:footnoteRef/>
      </w:r>
      <w:r w:rsidRPr="00D40600">
        <w:t xml:space="preserve"> </w:t>
      </w:r>
      <w:r w:rsidRPr="00D40600">
        <w:rPr>
          <w:i/>
        </w:rPr>
        <w:t>American Tower Corporation Reports Fourth Quarter and Full Year 2011 Financial Results</w:t>
      </w:r>
      <w:r w:rsidRPr="00D40600">
        <w:t xml:space="preserve">, Press Release, American Tower, Feb. 23, 2012, available at </w:t>
      </w:r>
      <w:hyperlink r:id="rId414" w:history="1">
        <w:r w:rsidRPr="00D40600">
          <w:rPr>
            <w:rStyle w:val="Hyperlink"/>
          </w:rPr>
          <w:t>http://www.americantower.com/atcweb/irpages/irearningsreport.asp</w:t>
        </w:r>
      </w:hyperlink>
      <w:r w:rsidRPr="00D40600">
        <w:t xml:space="preserve"> (visited Oct. 16, 2012)</w:t>
      </w:r>
      <w:r>
        <w:t>.</w:t>
      </w:r>
    </w:p>
  </w:footnote>
  <w:footnote w:id="961">
    <w:p w:rsidR="00EC7CF3" w:rsidRDefault="00EC7CF3" w:rsidP="0028065E">
      <w:pPr>
        <w:pStyle w:val="FootnoteText"/>
      </w:pPr>
      <w:r w:rsidRPr="00D40600">
        <w:rPr>
          <w:rStyle w:val="FootnoteReference"/>
          <w:sz w:val="20"/>
        </w:rPr>
        <w:footnoteRef/>
      </w:r>
      <w:r w:rsidRPr="00D40600">
        <w:t xml:space="preserve"> </w:t>
      </w:r>
      <w:r w:rsidRPr="00D40600">
        <w:rPr>
          <w:rStyle w:val="ccbnttl"/>
        </w:rPr>
        <w:t>Crown Castle International Corp, 2011 Form 10-K, p. 20.</w:t>
      </w:r>
      <w:r w:rsidRPr="00D40600">
        <w:rPr>
          <w:rStyle w:val="ccbnttl"/>
          <w:i/>
        </w:rPr>
        <w:t xml:space="preserve"> </w:t>
      </w:r>
    </w:p>
  </w:footnote>
  <w:footnote w:id="962">
    <w:p w:rsidR="00EC7CF3" w:rsidRDefault="00EC7CF3" w:rsidP="0028065E">
      <w:pPr>
        <w:pStyle w:val="FootnoteText"/>
      </w:pPr>
      <w:r w:rsidRPr="00D40600">
        <w:rPr>
          <w:rStyle w:val="FootnoteReference"/>
          <w:sz w:val="20"/>
        </w:rPr>
        <w:footnoteRef/>
      </w:r>
      <w:r w:rsidRPr="00D40600">
        <w:t xml:space="preserve"> SBA Communications Corporation, 2011 Form 10-K, p. 36.</w:t>
      </w:r>
      <w:r w:rsidRPr="00D40600">
        <w:rPr>
          <w:i/>
        </w:rPr>
        <w:t xml:space="preserve"> </w:t>
      </w:r>
    </w:p>
  </w:footnote>
  <w:footnote w:id="963">
    <w:p w:rsidR="00EC7CF3" w:rsidRDefault="00EC7CF3" w:rsidP="0028065E">
      <w:pPr>
        <w:pStyle w:val="FootnoteText"/>
      </w:pPr>
      <w:r w:rsidRPr="00D40600">
        <w:rPr>
          <w:rStyle w:val="FootnoteReference"/>
          <w:sz w:val="20"/>
        </w:rPr>
        <w:footnoteRef/>
      </w:r>
      <w:r w:rsidRPr="00D40600">
        <w:t xml:space="preserve"> </w:t>
      </w:r>
      <w:r w:rsidRPr="00D40600">
        <w:rPr>
          <w:i/>
        </w:rPr>
        <w:t>Report: Crown Castle emerges as top bidder for T-Mobile’s towers</w:t>
      </w:r>
      <w:r w:rsidRPr="00D40600">
        <w:t xml:space="preserve">, by Phil Goldstein, August 1, 2012.  Available at: </w:t>
      </w:r>
      <w:hyperlink r:id="rId415" w:history="1">
        <w:r w:rsidRPr="00D40600">
          <w:rPr>
            <w:rStyle w:val="Hyperlink"/>
          </w:rPr>
          <w:t>http://www.fiercewireless.com/story/report-crown-castle-emerges-top-bidder-t-mobiles-towers/2012-08-01</w:t>
        </w:r>
      </w:hyperlink>
      <w:r w:rsidRPr="00D40600">
        <w:t xml:space="preserve"> (visited Oct. 16, 2012)</w:t>
      </w:r>
      <w:r>
        <w:t>.</w:t>
      </w:r>
    </w:p>
  </w:footnote>
  <w:footnote w:id="964">
    <w:p w:rsidR="00EC7CF3" w:rsidRDefault="00EC7CF3" w:rsidP="0028065E">
      <w:pPr>
        <w:pStyle w:val="FootnoteText"/>
      </w:pPr>
      <w:r w:rsidRPr="00D40600">
        <w:rPr>
          <w:rStyle w:val="FootnoteReference"/>
          <w:sz w:val="20"/>
        </w:rPr>
        <w:footnoteRef/>
      </w:r>
      <w:r w:rsidRPr="00D40600">
        <w:t xml:space="preserve"> </w:t>
      </w:r>
      <w:r w:rsidRPr="00D40600">
        <w:rPr>
          <w:i/>
        </w:rPr>
        <w:t>Report: Crown Castle emerges as top bidder for T-Mobile’s towers</w:t>
      </w:r>
      <w:r w:rsidRPr="00D40600">
        <w:t xml:space="preserve">, by Phil Goldstein, August 1, 2012.  Available at: </w:t>
      </w:r>
      <w:hyperlink r:id="rId416" w:history="1">
        <w:r w:rsidRPr="00D40600">
          <w:rPr>
            <w:rStyle w:val="Hyperlink"/>
          </w:rPr>
          <w:t>http://www.fiercewireless.com/story/report-crown-castle-emerges-top-bidder-t-mobiles-towers/2012-08-01</w:t>
        </w:r>
      </w:hyperlink>
      <w:r>
        <w:t xml:space="preserve"> (visited Oct. 16, 2012).</w:t>
      </w:r>
    </w:p>
  </w:footnote>
  <w:footnote w:id="965">
    <w:p w:rsidR="00EC7CF3" w:rsidRDefault="00EC7CF3" w:rsidP="0028065E">
      <w:pPr>
        <w:pStyle w:val="FootnoteText"/>
      </w:pPr>
      <w:r w:rsidRPr="00D40600">
        <w:rPr>
          <w:rStyle w:val="FootnoteReference"/>
          <w:sz w:val="20"/>
        </w:rPr>
        <w:footnoteRef/>
      </w:r>
      <w:r w:rsidRPr="00D40600">
        <w:t xml:space="preserve"> Dan Meyer. </w:t>
      </w:r>
      <w:r w:rsidRPr="00D40600">
        <w:rPr>
          <w:i/>
        </w:rPr>
        <w:t>SBA to acquire TowerCo for $1.45 billion</w:t>
      </w:r>
      <w:r w:rsidRPr="00D40600">
        <w:t xml:space="preserve">. RCRWireless.com. June 26, 2012. </w:t>
      </w:r>
      <w:hyperlink r:id="rId417" w:history="1">
        <w:r w:rsidRPr="00D40600">
          <w:rPr>
            <w:rStyle w:val="Hyperlink"/>
          </w:rPr>
          <w:t>http://www.rcrwireless.com/article/20120626/tower/sba-to-acquire-towerco-for-1-45b/</w:t>
        </w:r>
      </w:hyperlink>
      <w:r w:rsidRPr="00D40600">
        <w:t xml:space="preserve"> (visited Oct. 16, 2012</w:t>
      </w:r>
      <w:r>
        <w:t>).</w:t>
      </w:r>
    </w:p>
  </w:footnote>
  <w:footnote w:id="966">
    <w:p w:rsidR="00EC7CF3" w:rsidRDefault="00EC7CF3" w:rsidP="00043EED">
      <w:pPr>
        <w:pStyle w:val="FootnoteText"/>
      </w:pPr>
      <w:r w:rsidRPr="00D40600">
        <w:rPr>
          <w:rStyle w:val="FootnoteReference"/>
          <w:sz w:val="20"/>
        </w:rPr>
        <w:footnoteRef/>
      </w:r>
      <w:r w:rsidRPr="00D40600">
        <w:t xml:space="preserve"> Dan Meyer. </w:t>
      </w:r>
      <w:r w:rsidRPr="00D40600">
        <w:rPr>
          <w:i/>
        </w:rPr>
        <w:t>SBA to acquire TowerCo for $1.45 billion</w:t>
      </w:r>
      <w:r w:rsidRPr="00D40600">
        <w:t xml:space="preserve">. RCRWireless.com. June 26, 2012. </w:t>
      </w:r>
      <w:hyperlink r:id="rId418" w:history="1">
        <w:r w:rsidRPr="00D40600">
          <w:rPr>
            <w:rStyle w:val="Hyperlink"/>
          </w:rPr>
          <w:t>http://www.rcrwireless.com/article/20120626/tower/sba-to-acquire-towerco-for-1-45b/</w:t>
        </w:r>
      </w:hyperlink>
      <w:r w:rsidRPr="00D40600">
        <w:t xml:space="preserve"> (visited Oct. 16, 2012)</w:t>
      </w:r>
      <w:r>
        <w:t>.</w:t>
      </w:r>
    </w:p>
  </w:footnote>
  <w:footnote w:id="967">
    <w:p w:rsidR="00EC7CF3" w:rsidRDefault="00EC7CF3" w:rsidP="0028065E">
      <w:pPr>
        <w:pStyle w:val="FootnoteText"/>
      </w:pPr>
      <w:r w:rsidRPr="00D40600">
        <w:rPr>
          <w:rStyle w:val="FootnoteReference"/>
          <w:sz w:val="20"/>
        </w:rPr>
        <w:footnoteRef/>
      </w:r>
      <w:r w:rsidRPr="00D40600">
        <w:t xml:space="preserve"> Dan Meyer. </w:t>
      </w:r>
      <w:r w:rsidRPr="00D40600">
        <w:rPr>
          <w:i/>
        </w:rPr>
        <w:t>SBA to acquire TowerCo for $1.45 billion</w:t>
      </w:r>
      <w:r w:rsidRPr="00D40600">
        <w:t xml:space="preserve">. RCRWireless.com. June 26, 2012. </w:t>
      </w:r>
      <w:hyperlink r:id="rId419" w:history="1">
        <w:r w:rsidRPr="00D40600">
          <w:rPr>
            <w:rStyle w:val="Hyperlink"/>
          </w:rPr>
          <w:t>http://www.rcrwireless.com/article/20120626/tower/sba-to-acquire-towerco-for-1-45b/</w:t>
        </w:r>
      </w:hyperlink>
      <w:r>
        <w:t xml:space="preserve"> (visited Oct. 16, 2012).</w:t>
      </w:r>
    </w:p>
  </w:footnote>
  <w:footnote w:id="968">
    <w:p w:rsidR="00EC7CF3" w:rsidRDefault="00EC7CF3" w:rsidP="0028065E">
      <w:pPr>
        <w:pStyle w:val="FootnoteText"/>
      </w:pPr>
      <w:r w:rsidRPr="00D40600">
        <w:rPr>
          <w:rStyle w:val="FootnoteReference"/>
          <w:sz w:val="20"/>
        </w:rPr>
        <w:footnoteRef/>
      </w:r>
      <w:r w:rsidRPr="00D40600">
        <w:t xml:space="preserve"> There is no evidence that shortages of transmission equipment, including antennas, to install at cell sites act as a barrier to cell site deployment.</w:t>
      </w:r>
    </w:p>
  </w:footnote>
  <w:footnote w:id="969">
    <w:p w:rsidR="00EC7CF3" w:rsidRPr="00D40600" w:rsidRDefault="00EC7CF3" w:rsidP="0028065E">
      <w:pPr>
        <w:autoSpaceDE w:val="0"/>
        <w:autoSpaceDN w:val="0"/>
        <w:adjustRightInd w:val="0"/>
        <w:rPr>
          <w:color w:val="010101"/>
          <w:sz w:val="20"/>
        </w:rPr>
      </w:pPr>
      <w:r w:rsidRPr="00D40600">
        <w:rPr>
          <w:rStyle w:val="FootnoteReference"/>
          <w:sz w:val="20"/>
        </w:rPr>
        <w:footnoteRef/>
      </w:r>
      <w:r w:rsidRPr="00D40600">
        <w:rPr>
          <w:sz w:val="20"/>
        </w:rPr>
        <w:t xml:space="preserve"> </w:t>
      </w:r>
      <w:r w:rsidRPr="00D40600">
        <w:rPr>
          <w:color w:val="010101"/>
          <w:sz w:val="20"/>
        </w:rPr>
        <w:t>Petition for Declaratory Ruling to Clarify Provisions of Section 332(c)(7)(B) to Ensure Timely Siting Review and to Preempt under Section 253 State and Local Ordinances that Classify All Wireless Siting</w:t>
      </w:r>
    </w:p>
    <w:p w:rsidR="00EC7CF3" w:rsidRDefault="00EC7CF3" w:rsidP="0028065E">
      <w:pPr>
        <w:pStyle w:val="FootnoteText"/>
      </w:pPr>
      <w:r w:rsidRPr="00D40600">
        <w:rPr>
          <w:color w:val="010101"/>
        </w:rPr>
        <w:t xml:space="preserve">Proposals as Requiring a Variance, WT Docket No. 08-165, </w:t>
      </w:r>
      <w:r w:rsidRPr="00D40600">
        <w:rPr>
          <w:i/>
          <w:iCs/>
          <w:color w:val="010101"/>
        </w:rPr>
        <w:t>Petition for Declaratory Ruling</w:t>
      </w:r>
      <w:r w:rsidRPr="00D40600">
        <w:rPr>
          <w:color w:val="010101"/>
        </w:rPr>
        <w:t>, filed July 11, 2008.</w:t>
      </w:r>
    </w:p>
  </w:footnote>
  <w:footnote w:id="970">
    <w:p w:rsidR="00EC7CF3" w:rsidRDefault="00EC7CF3" w:rsidP="0028065E">
      <w:pPr>
        <w:pStyle w:val="FootnoteText"/>
      </w:pPr>
      <w:r w:rsidRPr="00D40600">
        <w:rPr>
          <w:rStyle w:val="FootnoteReference"/>
          <w:sz w:val="20"/>
        </w:rPr>
        <w:footnoteRef/>
      </w:r>
      <w:r w:rsidRPr="00D40600">
        <w:t xml:space="preserve"> Petition for Declaratory Ruling to Clarify Provisions of Section 332(c)(7)(B) to Ensure Timely Siting Review and to Preempt Under Section 253 State and Local Ordinances that Classify All Wireless Siting Proposals as Requiring a Variance, </w:t>
      </w:r>
      <w:r w:rsidRPr="00D40600">
        <w:rPr>
          <w:i/>
        </w:rPr>
        <w:t>Declaratory Ruling</w:t>
      </w:r>
      <w:r w:rsidRPr="00D40600">
        <w:t>, WT Docket No. 08-165, 24 F</w:t>
      </w:r>
      <w:r>
        <w:t>CC Rcd 13994, 14021 ¶ 71 (2009)</w:t>
      </w:r>
      <w:r w:rsidRPr="00D40600">
        <w:t>,</w:t>
      </w:r>
      <w:r w:rsidRPr="00D40600">
        <w:rPr>
          <w:i/>
        </w:rPr>
        <w:t xml:space="preserve"> pet. for recon. denied,</w:t>
      </w:r>
      <w:r w:rsidRPr="00D40600">
        <w:t xml:space="preserve"> 25 FCC Rcd 11157 (2010), </w:t>
      </w:r>
      <w:r w:rsidRPr="00D40600">
        <w:rPr>
          <w:i/>
        </w:rPr>
        <w:t>pet. for review denied sub nom. City of Arlington, Texas v. FCC</w:t>
      </w:r>
      <w:r w:rsidRPr="00D40600">
        <w:t>, 668 F.3d 229 (5</w:t>
      </w:r>
      <w:r w:rsidRPr="00D40600">
        <w:rPr>
          <w:vertAlign w:val="superscript"/>
        </w:rPr>
        <w:t>th</w:t>
      </w:r>
      <w:r w:rsidRPr="00D40600">
        <w:t xml:space="preserve"> Cir. 2012); </w:t>
      </w:r>
      <w:r w:rsidRPr="00CB0EFA">
        <w:rPr>
          <w:i/>
        </w:rPr>
        <w:t xml:space="preserve">cert granted </w:t>
      </w:r>
      <w:r w:rsidRPr="00AB5250">
        <w:rPr>
          <w:color w:val="000000"/>
          <w:shd w:val="clear" w:color="auto" w:fill="FFFFFF"/>
        </w:rPr>
        <w:t>133 S.Ct. 524 (Oct 5, 2012), oral argument Jan 16, 2013.</w:t>
      </w:r>
    </w:p>
  </w:footnote>
  <w:footnote w:id="971">
    <w:p w:rsidR="00EC7CF3" w:rsidRDefault="00EC7CF3" w:rsidP="0028065E">
      <w:pPr>
        <w:pStyle w:val="FootnoteText"/>
      </w:pPr>
      <w:r w:rsidRPr="00D40600">
        <w:rPr>
          <w:rStyle w:val="FootnoteReference"/>
          <w:sz w:val="20"/>
        </w:rPr>
        <w:footnoteRef/>
      </w:r>
      <w:r w:rsidRPr="00D40600">
        <w:t xml:space="preserve"> </w:t>
      </w:r>
      <w:r w:rsidRPr="00D40600">
        <w:rPr>
          <w:i/>
        </w:rPr>
        <w:t>See PCIA Comments at 11.</w:t>
      </w:r>
    </w:p>
  </w:footnote>
  <w:footnote w:id="972">
    <w:p w:rsidR="00EC7CF3" w:rsidRDefault="00EC7CF3" w:rsidP="0028065E">
      <w:pPr>
        <w:pStyle w:val="FootnoteText"/>
      </w:pPr>
      <w:r w:rsidRPr="00D40600">
        <w:rPr>
          <w:rStyle w:val="FootnoteReference"/>
          <w:sz w:val="20"/>
        </w:rPr>
        <w:footnoteRef/>
      </w:r>
      <w:r w:rsidRPr="00D40600">
        <w:t xml:space="preserve"> </w:t>
      </w:r>
      <w:r w:rsidRPr="00D40600">
        <w:rPr>
          <w:i/>
        </w:rPr>
        <w:t>See PCIA Comments at 11.</w:t>
      </w:r>
    </w:p>
  </w:footnote>
  <w:footnote w:id="973">
    <w:p w:rsidR="00EC7CF3" w:rsidRDefault="00EC7CF3" w:rsidP="0028065E">
      <w:pPr>
        <w:pStyle w:val="FootnoteText"/>
      </w:pPr>
      <w:r w:rsidRPr="00D40600">
        <w:rPr>
          <w:rStyle w:val="FootnoteReference"/>
          <w:sz w:val="20"/>
        </w:rPr>
        <w:footnoteRef/>
      </w:r>
      <w:r w:rsidRPr="00D40600">
        <w:t xml:space="preserve"> </w:t>
      </w:r>
      <w:r w:rsidRPr="00D40600">
        <w:rPr>
          <w:i/>
        </w:rPr>
        <w:t>See PCIA Comments at 11.</w:t>
      </w:r>
    </w:p>
  </w:footnote>
  <w:footnote w:id="974">
    <w:p w:rsidR="00EC7CF3" w:rsidRDefault="00EC7CF3" w:rsidP="0028065E">
      <w:pPr>
        <w:pStyle w:val="FootnoteText"/>
      </w:pPr>
      <w:r w:rsidRPr="00D40600">
        <w:rPr>
          <w:rStyle w:val="FootnoteReference"/>
          <w:sz w:val="20"/>
        </w:rPr>
        <w:footnoteRef/>
      </w:r>
      <w:r w:rsidRPr="00D40600">
        <w:t xml:space="preserve"> </w:t>
      </w:r>
      <w:r w:rsidRPr="00D40600">
        <w:rPr>
          <w:i/>
        </w:rPr>
        <w:t xml:space="preserve">See Shot Clock Ruling,  </w:t>
      </w:r>
      <w:r w:rsidRPr="00D40600">
        <w:t xml:space="preserve">24 FCC Rcd at 14021 ¶ 71. </w:t>
      </w:r>
    </w:p>
  </w:footnote>
  <w:footnote w:id="975">
    <w:p w:rsidR="00EC7CF3" w:rsidRDefault="00EC7CF3" w:rsidP="0028065E">
      <w:pPr>
        <w:pStyle w:val="FootnoteText"/>
      </w:pPr>
      <w:r w:rsidRPr="00D40600">
        <w:rPr>
          <w:rStyle w:val="FootnoteReference"/>
          <w:sz w:val="20"/>
        </w:rPr>
        <w:footnoteRef/>
      </w:r>
      <w:r w:rsidRPr="00D40600">
        <w:t xml:space="preserve"> Implementation of Section 224 of the Act</w:t>
      </w:r>
      <w:r w:rsidRPr="00D40600">
        <w:rPr>
          <w:i/>
        </w:rPr>
        <w:t>; A National Broadband Plan for Our Future, Report and Order on Reconsideration, Pole Attachment Order</w:t>
      </w:r>
      <w:r w:rsidRPr="00D40600">
        <w:t xml:space="preserve">. 26 FCC Rcd 5240. April 7, 2011. </w:t>
      </w:r>
    </w:p>
  </w:footnote>
  <w:footnote w:id="976">
    <w:p w:rsidR="00EC7CF3" w:rsidRDefault="00EC7CF3" w:rsidP="0028065E">
      <w:pPr>
        <w:pStyle w:val="FootnoteText"/>
      </w:pPr>
      <w:r w:rsidRPr="00D40600">
        <w:rPr>
          <w:rStyle w:val="FootnoteReference"/>
          <w:sz w:val="20"/>
        </w:rPr>
        <w:footnoteRef/>
      </w:r>
      <w:r w:rsidRPr="00D40600">
        <w:t xml:space="preserve"> </w:t>
      </w:r>
      <w:r w:rsidRPr="00D40600">
        <w:rPr>
          <w:i/>
        </w:rPr>
        <w:t xml:space="preserve">See </w:t>
      </w:r>
      <w:r w:rsidRPr="00D40600">
        <w:t>PCIA Comments at 12</w:t>
      </w:r>
      <w:r w:rsidRPr="00D40600">
        <w:rPr>
          <w:i/>
        </w:rPr>
        <w:t>.</w:t>
      </w:r>
    </w:p>
  </w:footnote>
  <w:footnote w:id="977">
    <w:p w:rsidR="00EC7CF3" w:rsidRDefault="00EC7CF3" w:rsidP="0028065E">
      <w:pPr>
        <w:pStyle w:val="FootnoteText"/>
      </w:pPr>
      <w:r w:rsidRPr="00D40600">
        <w:rPr>
          <w:rStyle w:val="FootnoteReference"/>
          <w:sz w:val="20"/>
        </w:rPr>
        <w:footnoteRef/>
      </w:r>
      <w:r w:rsidRPr="00D40600">
        <w:t xml:space="preserve"> </w:t>
      </w:r>
      <w:r w:rsidRPr="00D40600">
        <w:rPr>
          <w:i/>
        </w:rPr>
        <w:t>See</w:t>
      </w:r>
      <w:r w:rsidRPr="00D40600">
        <w:t xml:space="preserve"> PCIA Comments at 7.</w:t>
      </w:r>
    </w:p>
  </w:footnote>
  <w:footnote w:id="978">
    <w:p w:rsidR="00EC7CF3" w:rsidRDefault="00EC7CF3" w:rsidP="0028065E">
      <w:pPr>
        <w:pStyle w:val="FootnoteText"/>
      </w:pPr>
      <w:r w:rsidRPr="00D40600">
        <w:rPr>
          <w:rStyle w:val="FootnoteReference"/>
          <w:sz w:val="20"/>
        </w:rPr>
        <w:footnoteRef/>
      </w:r>
      <w:r w:rsidRPr="00D40600">
        <w:t xml:space="preserve"> </w:t>
      </w:r>
      <w:r w:rsidRPr="00D40600">
        <w:rPr>
          <w:i/>
        </w:rPr>
        <w:t>See, e.g.,</w:t>
      </w:r>
      <w:r w:rsidRPr="00D40600">
        <w:t xml:space="preserve"> </w:t>
      </w:r>
      <w:hyperlink r:id="rId420" w:history="1">
        <w:r w:rsidRPr="00D40600">
          <w:rPr>
            <w:rStyle w:val="Hyperlink"/>
          </w:rPr>
          <w:t>http://www.loyalsocktownshipbos.com/Documents/Telecommunications%20Towers%20Ordinance.pdf</w:t>
        </w:r>
      </w:hyperlink>
      <w:r w:rsidRPr="00D40600">
        <w:t xml:space="preserve"> (visited Oct. 16, 2012)</w:t>
      </w:r>
      <w:r>
        <w:t>.</w:t>
      </w:r>
    </w:p>
  </w:footnote>
  <w:footnote w:id="979">
    <w:p w:rsidR="00EC7CF3" w:rsidRDefault="00EC7CF3" w:rsidP="0028065E">
      <w:pPr>
        <w:pStyle w:val="FootnoteText"/>
      </w:pPr>
      <w:r w:rsidRPr="00D40600">
        <w:rPr>
          <w:rStyle w:val="FootnoteReference"/>
          <w:sz w:val="20"/>
        </w:rPr>
        <w:footnoteRef/>
      </w:r>
      <w:r w:rsidRPr="00D40600">
        <w:t xml:space="preserve"> American Tower 2011 Annual Report at 5.</w:t>
      </w:r>
    </w:p>
  </w:footnote>
  <w:footnote w:id="980">
    <w:p w:rsidR="00EC7CF3" w:rsidRDefault="00EC7CF3" w:rsidP="0028065E">
      <w:pPr>
        <w:pStyle w:val="FootnoteText"/>
      </w:pPr>
      <w:r w:rsidRPr="00D40600">
        <w:rPr>
          <w:rStyle w:val="FootnoteReference"/>
          <w:sz w:val="20"/>
        </w:rPr>
        <w:footnoteRef/>
      </w:r>
      <w:r w:rsidRPr="00D40600">
        <w:t xml:space="preserve"> Middle Class Tax Relief and Job Creation Act of 2012, P.L. 112-96, § 6409(a).</w:t>
      </w:r>
    </w:p>
  </w:footnote>
  <w:footnote w:id="981">
    <w:p w:rsidR="00EC7CF3" w:rsidRDefault="00EC7CF3" w:rsidP="00BE5B0C">
      <w:pPr>
        <w:pStyle w:val="FootnoteText"/>
      </w:pPr>
      <w:r w:rsidRPr="00D40600">
        <w:rPr>
          <w:rStyle w:val="FootnoteReference"/>
          <w:sz w:val="20"/>
        </w:rPr>
        <w:footnoteRef/>
      </w:r>
      <w:r w:rsidRPr="00D40600">
        <w:t xml:space="preserve"> </w:t>
      </w:r>
      <w:r w:rsidRPr="00D40600">
        <w:rPr>
          <w:i/>
        </w:rPr>
        <w:t>Storming the Cell Tower: MSOs Move Wireless Backhaul to the Forefront</w:t>
      </w:r>
      <w:r w:rsidRPr="00D40600">
        <w:t xml:space="preserve">, </w:t>
      </w:r>
      <w:r w:rsidRPr="00D40600">
        <w:rPr>
          <w:i/>
        </w:rPr>
        <w:t>Heavy Reading</w:t>
      </w:r>
      <w:r w:rsidRPr="00D40600">
        <w:t>, at 3 (July 2011).</w:t>
      </w:r>
    </w:p>
  </w:footnote>
  <w:footnote w:id="982">
    <w:p w:rsidR="00EC7CF3" w:rsidRDefault="00EC7CF3" w:rsidP="00BE5B0C">
      <w:pPr>
        <w:pStyle w:val="FootnoteText"/>
      </w:pPr>
      <w:r w:rsidRPr="00D40600">
        <w:rPr>
          <w:rStyle w:val="FootnoteReference"/>
          <w:sz w:val="20"/>
        </w:rPr>
        <w:footnoteRef/>
      </w:r>
      <w:r w:rsidRPr="00D40600">
        <w:t xml:space="preserve"> </w:t>
      </w:r>
      <w:r w:rsidRPr="00D40600">
        <w:rPr>
          <w:i/>
        </w:rPr>
        <w:t>Id</w:t>
      </w:r>
      <w:r w:rsidRPr="00D40600">
        <w:t>.</w:t>
      </w:r>
    </w:p>
  </w:footnote>
  <w:footnote w:id="983">
    <w:p w:rsidR="00EC7CF3" w:rsidRDefault="00EC7CF3" w:rsidP="00BE5B0C">
      <w:pPr>
        <w:pStyle w:val="FootnoteText"/>
      </w:pPr>
      <w:r w:rsidRPr="00D40600">
        <w:rPr>
          <w:rStyle w:val="FootnoteReference"/>
          <w:sz w:val="20"/>
        </w:rPr>
        <w:footnoteRef/>
      </w:r>
      <w:r w:rsidRPr="00D40600">
        <w:t xml:space="preserve"> See Verizon Wireless Comments at 99.</w:t>
      </w:r>
    </w:p>
  </w:footnote>
  <w:footnote w:id="984">
    <w:p w:rsidR="00EC7CF3" w:rsidRDefault="00EC7CF3" w:rsidP="00BE5B0C">
      <w:pPr>
        <w:pStyle w:val="FootnoteText"/>
      </w:pPr>
      <w:r w:rsidRPr="00D40600">
        <w:rPr>
          <w:rStyle w:val="FootnoteReference"/>
          <w:sz w:val="20"/>
        </w:rPr>
        <w:footnoteRef/>
      </w:r>
      <w:r w:rsidRPr="00D40600">
        <w:t xml:space="preserve"> Verizon Wireless Comments, Docket No. 09-66, at 95-96 (citing a study by Raymond James).</w:t>
      </w:r>
    </w:p>
  </w:footnote>
  <w:footnote w:id="985">
    <w:p w:rsidR="00EC7CF3" w:rsidRDefault="00EC7CF3" w:rsidP="00BE5B0C">
      <w:pPr>
        <w:pStyle w:val="FootnoteText"/>
      </w:pPr>
      <w:r w:rsidRPr="00D40600">
        <w:rPr>
          <w:rStyle w:val="FootnoteReference"/>
          <w:sz w:val="20"/>
        </w:rPr>
        <w:footnoteRef/>
      </w:r>
      <w:r w:rsidRPr="00D40600">
        <w:t xml:space="preserve"> </w:t>
      </w:r>
      <w:r w:rsidRPr="00D40600">
        <w:rPr>
          <w:i/>
        </w:rPr>
        <w:t>Storming the Cell Tower: MSOs Move Wireless Backhaul to the Forefront</w:t>
      </w:r>
      <w:r w:rsidRPr="00D40600">
        <w:t xml:space="preserve">, </w:t>
      </w:r>
      <w:r w:rsidRPr="00D40600">
        <w:rPr>
          <w:i/>
        </w:rPr>
        <w:t>Heavy Reading</w:t>
      </w:r>
      <w:r w:rsidRPr="00D40600">
        <w:t xml:space="preserve"> citing Infonetics Research, at 3 (July 2011).</w:t>
      </w:r>
    </w:p>
  </w:footnote>
  <w:footnote w:id="986">
    <w:p w:rsidR="00EC7CF3" w:rsidRDefault="00EC7CF3" w:rsidP="00BE5B0C">
      <w:pPr>
        <w:pStyle w:val="FootnoteText"/>
      </w:pPr>
      <w:r w:rsidRPr="00D40600">
        <w:rPr>
          <w:rStyle w:val="FootnoteReference"/>
          <w:sz w:val="20"/>
        </w:rPr>
        <w:footnoteRef/>
      </w:r>
      <w:r w:rsidRPr="00D40600">
        <w:t xml:space="preserve"> Different protocols for data transmission (</w:t>
      </w:r>
      <w:r w:rsidRPr="00D40600">
        <w:rPr>
          <w:i/>
        </w:rPr>
        <w:t>e.g.</w:t>
      </w:r>
      <w:r w:rsidRPr="00D40600">
        <w:t>, TDM, Ethernet) can run over each type of physical facility.</w:t>
      </w:r>
    </w:p>
  </w:footnote>
  <w:footnote w:id="987">
    <w:p w:rsidR="00EC7CF3" w:rsidRDefault="00EC7CF3" w:rsidP="00BE5B0C">
      <w:pPr>
        <w:pStyle w:val="FootnoteText"/>
      </w:pPr>
      <w:r w:rsidRPr="00D40600">
        <w:rPr>
          <w:rStyle w:val="FootnoteReference"/>
          <w:sz w:val="20"/>
        </w:rPr>
        <w:footnoteRef/>
      </w:r>
      <w:r w:rsidRPr="00D40600">
        <w:t xml:space="preserve"> </w:t>
      </w:r>
      <w:r w:rsidRPr="00D40600">
        <w:rPr>
          <w:i/>
        </w:rPr>
        <w:t xml:space="preserve">See </w:t>
      </w:r>
      <w:r w:rsidRPr="00D40600">
        <w:t xml:space="preserve">“T-carrier” (T1 means any data circuit with the 1.544 Mega-bits per second or Mbps line rate), </w:t>
      </w:r>
      <w:r w:rsidRPr="005D01FB">
        <w:rPr>
          <w:i/>
        </w:rPr>
        <w:t>available at</w:t>
      </w:r>
      <w:r w:rsidRPr="00D40600">
        <w:t xml:space="preserve"> </w:t>
      </w:r>
      <w:hyperlink r:id="rId421" w:history="1">
        <w:r w:rsidRPr="00D40600">
          <w:rPr>
            <w:rStyle w:val="Hyperlink"/>
          </w:rPr>
          <w:t>http://en.wikipedia.org/wiki/T-carrier</w:t>
        </w:r>
      </w:hyperlink>
      <w:r>
        <w:t xml:space="preserve"> (</w:t>
      </w:r>
      <w:r w:rsidRPr="00D40600">
        <w:t>visited August 10, 2012).</w:t>
      </w:r>
    </w:p>
  </w:footnote>
  <w:footnote w:id="988">
    <w:p w:rsidR="00EC7CF3" w:rsidRDefault="00EC7CF3" w:rsidP="00BE5B0C">
      <w:pPr>
        <w:pStyle w:val="FootnoteText"/>
      </w:pPr>
      <w:r w:rsidRPr="00D40600">
        <w:rPr>
          <w:rStyle w:val="FootnoteReference"/>
          <w:sz w:val="20"/>
        </w:rPr>
        <w:footnoteRef/>
      </w:r>
      <w:r w:rsidRPr="00D40600">
        <w:t xml:space="preserve"> </w:t>
      </w:r>
      <w:r w:rsidRPr="00D40600">
        <w:rPr>
          <w:i/>
        </w:rPr>
        <w:t xml:space="preserve">See </w:t>
      </w:r>
      <w:r w:rsidRPr="00D40600">
        <w:t>“Digital Signal 3” (means a transmission line with the 44.736 Mega-bits per second or Mbps line rate), available at http://</w:t>
      </w:r>
      <w:r>
        <w:t>en.wikipedia.org/wiki/DS3 (</w:t>
      </w:r>
      <w:r w:rsidRPr="00D40600">
        <w:t>visited August 10, 2012).</w:t>
      </w:r>
    </w:p>
  </w:footnote>
  <w:footnote w:id="989">
    <w:p w:rsidR="00EC7CF3" w:rsidRDefault="00EC7CF3" w:rsidP="00BE5B0C">
      <w:pPr>
        <w:pStyle w:val="FootnoteText"/>
      </w:pPr>
      <w:r w:rsidRPr="00D40600">
        <w:rPr>
          <w:rStyle w:val="FootnoteReference"/>
          <w:sz w:val="20"/>
        </w:rPr>
        <w:footnoteRef/>
      </w:r>
      <w:r w:rsidRPr="00D40600">
        <w:t xml:space="preserve"> </w:t>
      </w:r>
      <w:r w:rsidRPr="00D40600">
        <w:rPr>
          <w:i/>
        </w:rPr>
        <w:t xml:space="preserve">See </w:t>
      </w:r>
      <w:r w:rsidRPr="00D40600">
        <w:t xml:space="preserve">Gene Bell, </w:t>
      </w:r>
      <w:r w:rsidRPr="00D40600">
        <w:rPr>
          <w:i/>
        </w:rPr>
        <w:t xml:space="preserve">Broadband Backhaul </w:t>
      </w:r>
      <w:r w:rsidRPr="00D40600">
        <w:t xml:space="preserve">(“For comparison to T1 lines, fiber and microwave based backhaul can provide more than twice the capacity at half of the cost.”), at 1, </w:t>
      </w:r>
      <w:r w:rsidRPr="005D01FB">
        <w:rPr>
          <w:i/>
        </w:rPr>
        <w:t xml:space="preserve">available at </w:t>
      </w:r>
      <w:hyperlink r:id="rId422" w:history="1">
        <w:r w:rsidRPr="00D40600">
          <w:rPr>
            <w:rStyle w:val="Hyperlink"/>
          </w:rPr>
          <w:t>http://www.mobilitie.com/Downloads/BROADBAND_BACKHAUL_WP_WEB.pdf</w:t>
        </w:r>
      </w:hyperlink>
      <w:r>
        <w:t xml:space="preserve"> (</w:t>
      </w:r>
      <w:r w:rsidRPr="00D40600">
        <w:t xml:space="preserve">visited August 10, 2012); </w:t>
      </w:r>
      <w:r w:rsidRPr="00D40600">
        <w:rPr>
          <w:i/>
          <w:iCs/>
        </w:rPr>
        <w:t xml:space="preserve">See also </w:t>
      </w:r>
      <w:r w:rsidRPr="00D40600">
        <w:t xml:space="preserve">Sue Marek, </w:t>
      </w:r>
      <w:r w:rsidRPr="00D40600">
        <w:rPr>
          <w:i/>
          <w:iCs/>
        </w:rPr>
        <w:t xml:space="preserve">Sprint: Ethernet backhaul gives us 20 times more bandwidth </w:t>
      </w:r>
      <w:r w:rsidRPr="00D40600">
        <w:t>(stating that the Ethernet based backhaul is 95% cheaper than the traditional backhaul in putting through a bit of data)</w:t>
      </w:r>
      <w:r w:rsidRPr="00D40600">
        <w:rPr>
          <w:i/>
          <w:iCs/>
        </w:rPr>
        <w:t>,</w:t>
      </w:r>
      <w:r w:rsidRPr="00D40600">
        <w:t xml:space="preserve"> August 15, 2012, </w:t>
      </w:r>
      <w:r w:rsidRPr="005D01FB">
        <w:rPr>
          <w:i/>
        </w:rPr>
        <w:t>available at</w:t>
      </w:r>
      <w:r w:rsidRPr="00D40600">
        <w:t xml:space="preserve">  http://www.fiercebroadbandwireless.com/story/sprint-ethernet-backhaul-gives-us-20-times-more-bandwid</w:t>
      </w:r>
      <w:r>
        <w:t>th/2012-08-15 (</w:t>
      </w:r>
      <w:r w:rsidRPr="00D40600">
        <w:t xml:space="preserve">visited August 15, 2012). </w:t>
      </w:r>
    </w:p>
  </w:footnote>
  <w:footnote w:id="990">
    <w:p w:rsidR="00EC7CF3" w:rsidRDefault="00EC7CF3">
      <w:pPr>
        <w:pStyle w:val="FootnoteText"/>
      </w:pPr>
      <w:r w:rsidRPr="00D40600">
        <w:rPr>
          <w:rStyle w:val="FootnoteReference"/>
          <w:sz w:val="20"/>
        </w:rPr>
        <w:footnoteRef/>
      </w:r>
      <w:r w:rsidRPr="00D40600">
        <w:t xml:space="preserve"> </w:t>
      </w:r>
      <w:r w:rsidRPr="00D40600">
        <w:rPr>
          <w:i/>
        </w:rPr>
        <w:t>See</w:t>
      </w:r>
      <w:r w:rsidRPr="00D40600">
        <w:t>, e.g., Letter from Christopher J. Wright, Counsel to Sprint Nextel Corp., to Marlene H. Dortch, Secretary, FCC, WC Docket No. 05-25 (filed June 19, 2012) (Sprint Nextel June 19, 2012 ex parte) (“Sprint also discussed its Network Vision initiative and explained that notwithstanding the initiative lower-capacity services, such as DS 1 and DS3 level services, will continue to be critical to Sprint's wireline and wireless operations.”).</w:t>
      </w:r>
    </w:p>
  </w:footnote>
  <w:footnote w:id="991">
    <w:p w:rsidR="00EC7CF3" w:rsidRDefault="00EC7CF3" w:rsidP="00BE5B0C">
      <w:pPr>
        <w:pStyle w:val="FootnoteText"/>
      </w:pPr>
      <w:r w:rsidRPr="00D40600">
        <w:rPr>
          <w:rStyle w:val="FootnoteReference"/>
          <w:sz w:val="20"/>
        </w:rPr>
        <w:footnoteRef/>
      </w:r>
      <w:r w:rsidRPr="00D40600">
        <w:t xml:space="preserve"> </w:t>
      </w:r>
      <w:r w:rsidRPr="00D40600">
        <w:rPr>
          <w:i/>
        </w:rPr>
        <w:t xml:space="preserve">See </w:t>
      </w:r>
      <w:r w:rsidRPr="00D40600">
        <w:t xml:space="preserve">Gene Bell, </w:t>
      </w:r>
      <w:r w:rsidRPr="00D40600">
        <w:rPr>
          <w:i/>
        </w:rPr>
        <w:t xml:space="preserve">Broadband Backhaul </w:t>
      </w:r>
      <w:r w:rsidRPr="00D40600">
        <w:t xml:space="preserve">(“For comparison to T1 lines, fiber and microwave based backhaul can provide more than twice the capacity at half of the cost.”), at 4, available at </w:t>
      </w:r>
      <w:hyperlink r:id="rId423" w:history="1">
        <w:r w:rsidRPr="00D40600">
          <w:rPr>
            <w:rStyle w:val="Hyperlink"/>
          </w:rPr>
          <w:t>http://www.mobilitie.com/Downloads/BROADBAND_BACKHAUL_WP_WEB.pdf</w:t>
        </w:r>
      </w:hyperlink>
      <w:r>
        <w:t xml:space="preserve"> (</w:t>
      </w:r>
      <w:r w:rsidRPr="00D40600">
        <w:t xml:space="preserve">visited August 10, 2012). </w:t>
      </w:r>
    </w:p>
  </w:footnote>
  <w:footnote w:id="992">
    <w:p w:rsidR="00EC7CF3" w:rsidRDefault="00EC7CF3" w:rsidP="00BE5B0C">
      <w:pPr>
        <w:pStyle w:val="FootnoteText"/>
      </w:pPr>
      <w:r w:rsidRPr="00D40600">
        <w:rPr>
          <w:rStyle w:val="FootnoteReference"/>
          <w:sz w:val="20"/>
        </w:rPr>
        <w:footnoteRef/>
      </w:r>
      <w:r w:rsidRPr="00D40600">
        <w:t xml:space="preserve"> </w:t>
      </w:r>
      <w:r w:rsidRPr="00D40600">
        <w:rPr>
          <w:i/>
        </w:rPr>
        <w:t>Storming the Cell Tower: MSOs Move Wireless Backhaul to the Forefront</w:t>
      </w:r>
      <w:r w:rsidRPr="00D40600">
        <w:t xml:space="preserve">, </w:t>
      </w:r>
      <w:r w:rsidRPr="00D40600">
        <w:rPr>
          <w:i/>
        </w:rPr>
        <w:t>Heavy Reading</w:t>
      </w:r>
      <w:r w:rsidRPr="00D40600">
        <w:t>, at 4 (July 2011).</w:t>
      </w:r>
    </w:p>
  </w:footnote>
  <w:footnote w:id="993">
    <w:p w:rsidR="00EC7CF3" w:rsidRDefault="00EC7CF3" w:rsidP="00BE5B0C">
      <w:pPr>
        <w:pStyle w:val="FootnoteText"/>
      </w:pPr>
      <w:r w:rsidRPr="00D40600">
        <w:rPr>
          <w:rStyle w:val="FootnoteReference"/>
          <w:sz w:val="20"/>
        </w:rPr>
        <w:footnoteRef/>
      </w:r>
      <w:r w:rsidRPr="00D40600">
        <w:t xml:space="preserve"> See Verizon Wireless Comments at 100.</w:t>
      </w:r>
    </w:p>
  </w:footnote>
  <w:footnote w:id="994">
    <w:p w:rsidR="00EC7CF3" w:rsidRDefault="00EC7CF3" w:rsidP="00BE5B0C">
      <w:pPr>
        <w:pStyle w:val="FootnoteText"/>
      </w:pPr>
      <w:r w:rsidRPr="00D40600">
        <w:rPr>
          <w:rStyle w:val="FootnoteReference"/>
          <w:sz w:val="20"/>
        </w:rPr>
        <w:footnoteRef/>
      </w:r>
      <w:r w:rsidRPr="00D40600">
        <w:t xml:space="preserve"> </w:t>
      </w:r>
      <w:r w:rsidRPr="00D40600">
        <w:rPr>
          <w:i/>
        </w:rPr>
        <w:t>Wireless Backhaul Market Study</w:t>
      </w:r>
      <w:r w:rsidRPr="00D40600">
        <w:t>, New Paradigm Resources, Oct. 2008.</w:t>
      </w:r>
      <w:r>
        <w:t xml:space="preserve"> </w:t>
      </w:r>
      <w:r w:rsidRPr="00D40600">
        <w:t xml:space="preserve"> This study estimated that as of mid-2009, there were about 530,000 backhaul lines, for 230,000 cell sites in the United States.</w:t>
      </w:r>
    </w:p>
  </w:footnote>
  <w:footnote w:id="995">
    <w:p w:rsidR="00EC7CF3" w:rsidRDefault="00EC7CF3" w:rsidP="00BE5B0C">
      <w:pPr>
        <w:pStyle w:val="FootnoteText"/>
      </w:pPr>
      <w:r w:rsidRPr="00D40600">
        <w:rPr>
          <w:rStyle w:val="FootnoteReference"/>
          <w:sz w:val="20"/>
        </w:rPr>
        <w:footnoteRef/>
      </w:r>
      <w:r w:rsidRPr="00D40600">
        <w:t xml:space="preserve"> </w:t>
      </w:r>
      <w:r w:rsidRPr="00D40600">
        <w:rPr>
          <w:i/>
        </w:rPr>
        <w:t>Id</w:t>
      </w:r>
      <w:r w:rsidRPr="00D40600">
        <w:t xml:space="preserve"> at 5.</w:t>
      </w:r>
    </w:p>
  </w:footnote>
  <w:footnote w:id="996">
    <w:p w:rsidR="00EC7CF3" w:rsidRDefault="00EC7CF3" w:rsidP="00BE5B0C">
      <w:pPr>
        <w:pStyle w:val="FootnoteText"/>
      </w:pPr>
      <w:r w:rsidRPr="00D40600">
        <w:rPr>
          <w:rStyle w:val="FootnoteReference"/>
          <w:sz w:val="20"/>
        </w:rPr>
        <w:footnoteRef/>
      </w:r>
      <w:r w:rsidRPr="00D40600">
        <w:t xml:space="preserve"> According to </w:t>
      </w:r>
      <w:r w:rsidRPr="00D40600">
        <w:rPr>
          <w:i/>
        </w:rPr>
        <w:t>Heavy Reading</w:t>
      </w:r>
      <w:r w:rsidRPr="00D40600">
        <w:t xml:space="preserve">, due largely by the success of Apple’s iPhone, the number of active smartphones in the U.S. rose 57 percent from 49.8 million at the end of 2009, to 78.2 million by the end of 2010.  </w:t>
      </w:r>
      <w:r w:rsidRPr="00D40600">
        <w:rPr>
          <w:i/>
        </w:rPr>
        <w:t>See</w:t>
      </w:r>
      <w:r w:rsidRPr="00D40600">
        <w:t xml:space="preserve"> “Storming the Cell Tower: MSOs Move Wireless Backhaul to the Forefront,” </w:t>
      </w:r>
      <w:r w:rsidRPr="00D40600">
        <w:rPr>
          <w:i/>
        </w:rPr>
        <w:t>Heavy Reading</w:t>
      </w:r>
      <w:r w:rsidRPr="00D40600">
        <w:t>, at 6 (July 2011).</w:t>
      </w:r>
    </w:p>
  </w:footnote>
  <w:footnote w:id="997">
    <w:p w:rsidR="00EC7CF3" w:rsidRDefault="00EC7CF3" w:rsidP="00BE5B0C">
      <w:pPr>
        <w:pStyle w:val="FootnoteText"/>
      </w:pPr>
      <w:r w:rsidRPr="00D40600">
        <w:rPr>
          <w:rStyle w:val="FootnoteReference"/>
          <w:sz w:val="20"/>
        </w:rPr>
        <w:footnoteRef/>
      </w:r>
      <w:r w:rsidRPr="00D40600">
        <w:t xml:space="preserve"> </w:t>
      </w:r>
      <w:r w:rsidRPr="00D40600">
        <w:rPr>
          <w:i/>
        </w:rPr>
        <w:t>See</w:t>
      </w:r>
      <w:r w:rsidRPr="00D40600">
        <w:t xml:space="preserve"> CTIA, 2011 </w:t>
      </w:r>
      <w:r w:rsidRPr="00D40600">
        <w:rPr>
          <w:i/>
        </w:rPr>
        <w:t xml:space="preserve">Semi-Annual Wireless Industry Survey Results, </w:t>
      </w:r>
      <w:r w:rsidRPr="00D40600">
        <w:t>at 10 (2011).</w:t>
      </w:r>
    </w:p>
  </w:footnote>
  <w:footnote w:id="998">
    <w:p w:rsidR="00EC7CF3" w:rsidRDefault="00EC7CF3" w:rsidP="00BE5B0C">
      <w:pPr>
        <w:pStyle w:val="FootnoteText"/>
      </w:pPr>
      <w:r w:rsidRPr="00D40600">
        <w:rPr>
          <w:rStyle w:val="FootnoteReference"/>
          <w:sz w:val="20"/>
        </w:rPr>
        <w:footnoteRef/>
      </w:r>
      <w:r w:rsidRPr="00D40600">
        <w:t xml:space="preserve"> Recent moves by some wireless carriers toward tiered pricing for data may slow the rate of growth of data usage from those that were projected based on unlimited data usage packages.</w:t>
      </w:r>
    </w:p>
  </w:footnote>
  <w:footnote w:id="999">
    <w:p w:rsidR="00EC7CF3" w:rsidRDefault="00EC7CF3" w:rsidP="00BE5B0C">
      <w:pPr>
        <w:pStyle w:val="FootnoteText"/>
      </w:pPr>
      <w:r w:rsidRPr="00D40600">
        <w:rPr>
          <w:rStyle w:val="FootnoteReference"/>
          <w:sz w:val="20"/>
        </w:rPr>
        <w:footnoteRef/>
      </w:r>
      <w:r w:rsidRPr="00D40600">
        <w:t xml:space="preserve"> See “Wireless Data Volume on Our Network Continues to Double Annually,” AT&amp;T press release, Feb. 14, 2012. </w:t>
      </w:r>
      <w:hyperlink r:id="rId424" w:history="1">
        <w:r w:rsidRPr="005D0EB7">
          <w:rPr>
            <w:rStyle w:val="Hyperlink"/>
          </w:rPr>
          <w:t>http://www.att.com/gen/press-room?pid=22372&amp;cdvn=news&amp;newsarticleid=33858&amp;mapcode=corporate|wireless-networks-general</w:t>
        </w:r>
      </w:hyperlink>
      <w:r w:rsidRPr="00D40600">
        <w:t xml:space="preserve"> (visited Oct. 16, 2012)</w:t>
      </w:r>
      <w:r>
        <w:t>.</w:t>
      </w:r>
    </w:p>
  </w:footnote>
  <w:footnote w:id="1000">
    <w:p w:rsidR="00EC7CF3" w:rsidRDefault="00EC7CF3" w:rsidP="00BE5B0C">
      <w:pPr>
        <w:pStyle w:val="FootnoteText"/>
      </w:pPr>
      <w:r w:rsidRPr="00D40600">
        <w:rPr>
          <w:rStyle w:val="FootnoteReference"/>
          <w:sz w:val="20"/>
        </w:rPr>
        <w:footnoteRef/>
      </w:r>
      <w:r w:rsidRPr="00D40600">
        <w:t xml:space="preserve"> </w:t>
      </w:r>
      <w:r w:rsidRPr="00D40600">
        <w:rPr>
          <w:i/>
        </w:rPr>
        <w:t xml:space="preserve">See </w:t>
      </w:r>
      <w:r w:rsidRPr="00D40600">
        <w:t xml:space="preserve">“Backhaul: The Elephant in the HetNet Room,” by Sharon Armbrust, SNL Kagan Wireless Investor, November 15, 2011, p. 1. </w:t>
      </w:r>
      <w:hyperlink r:id="rId425" w:history="1">
        <w:r w:rsidRPr="00D40600">
          <w:rPr>
            <w:rStyle w:val="Hyperlink"/>
          </w:rPr>
          <w:t>http://www.snl.com/InteractiveX/ArticleAbstract.aspx?id=13669076</w:t>
        </w:r>
      </w:hyperlink>
      <w:r w:rsidRPr="00D40600">
        <w:t xml:space="preserve"> (visited Oct. 16, 2012)</w:t>
      </w:r>
      <w:r>
        <w:t>.</w:t>
      </w:r>
    </w:p>
  </w:footnote>
  <w:footnote w:id="1001">
    <w:p w:rsidR="00EC7CF3" w:rsidRDefault="00EC7CF3" w:rsidP="00BE5B0C">
      <w:pPr>
        <w:pStyle w:val="FootnoteText"/>
      </w:pPr>
      <w:r w:rsidRPr="00D40600">
        <w:rPr>
          <w:rStyle w:val="FootnoteReference"/>
          <w:sz w:val="20"/>
        </w:rPr>
        <w:footnoteRef/>
      </w:r>
      <w:r w:rsidRPr="00D40600">
        <w:t xml:space="preserve"> Service providers must provide backhaul for increasing numbers of cell sites and ensure that the backhaul solutions they employ provide sufficient capacity to support increasing use of wireless data services.</w:t>
      </w:r>
    </w:p>
  </w:footnote>
  <w:footnote w:id="1002">
    <w:p w:rsidR="00EC7CF3" w:rsidRDefault="00EC7CF3">
      <w:pPr>
        <w:pStyle w:val="FootnoteText"/>
      </w:pPr>
      <w:r w:rsidRPr="00D40600">
        <w:rPr>
          <w:rStyle w:val="FootnoteReference"/>
          <w:sz w:val="20"/>
        </w:rPr>
        <w:footnoteRef/>
      </w:r>
      <w:r w:rsidRPr="00D40600">
        <w:t xml:space="preserve"> </w:t>
      </w:r>
      <w:r w:rsidRPr="00D40600">
        <w:rPr>
          <w:i/>
        </w:rPr>
        <w:t>See</w:t>
      </w:r>
      <w:r w:rsidRPr="00D40600">
        <w:t>, e.g., Sprint Nextel June 19, 2012 ex parte, supra n. 10.</w:t>
      </w:r>
    </w:p>
  </w:footnote>
  <w:footnote w:id="1003">
    <w:p w:rsidR="00EC7CF3" w:rsidRDefault="00EC7CF3" w:rsidP="00BE5B0C">
      <w:pPr>
        <w:pStyle w:val="FootnoteText"/>
      </w:pPr>
      <w:r w:rsidRPr="00D40600">
        <w:rPr>
          <w:rStyle w:val="FootnoteReference"/>
          <w:sz w:val="20"/>
        </w:rPr>
        <w:footnoteRef/>
      </w:r>
      <w:r w:rsidRPr="00D40600">
        <w:t xml:space="preserve"> </w:t>
      </w:r>
      <w:r w:rsidRPr="00D40600">
        <w:rPr>
          <w:i/>
        </w:rPr>
        <w:t xml:space="preserve">See </w:t>
      </w:r>
      <w:r w:rsidRPr="00D40600">
        <w:t xml:space="preserve">AT&amp;T's Management Discusses Q2 2012 Results - Earnings Call Transcript, July 24, 2012, </w:t>
      </w:r>
      <w:r w:rsidRPr="00432F46">
        <w:rPr>
          <w:i/>
        </w:rPr>
        <w:t>available at</w:t>
      </w:r>
      <w:r w:rsidRPr="00D40600">
        <w:t xml:space="preserve"> </w:t>
      </w:r>
      <w:hyperlink r:id="rId426" w:history="1">
        <w:r w:rsidRPr="00D40600">
          <w:rPr>
            <w:rStyle w:val="Hyperlink"/>
          </w:rPr>
          <w:t>http://seekingalpha.com/article/743221-at-amp-t-s-management-discusses-q2-2012-results-earnings-call-transcript</w:t>
        </w:r>
      </w:hyperlink>
      <w:r>
        <w:t xml:space="preserve"> (</w:t>
      </w:r>
      <w:r w:rsidRPr="00D40600">
        <w:t>visited July 25, 2012).</w:t>
      </w:r>
    </w:p>
  </w:footnote>
  <w:footnote w:id="1004">
    <w:p w:rsidR="00EC7CF3" w:rsidRDefault="00EC7CF3" w:rsidP="00BE5B0C">
      <w:pPr>
        <w:pStyle w:val="FootnoteText"/>
      </w:pPr>
      <w:r w:rsidRPr="00D40600">
        <w:rPr>
          <w:rStyle w:val="FootnoteReference"/>
          <w:sz w:val="20"/>
        </w:rPr>
        <w:footnoteRef/>
      </w:r>
      <w:r w:rsidRPr="00D40600">
        <w:t xml:space="preserve"> </w:t>
      </w:r>
      <w:r w:rsidRPr="00D40600">
        <w:rPr>
          <w:i/>
        </w:rPr>
        <w:t xml:space="preserve">See </w:t>
      </w:r>
      <w:r w:rsidRPr="00D40600">
        <w:t xml:space="preserve">Dave Mayo, “T-Mobile’s Backhaul Strategy Key to a Competitive 4G Experience,” T-Mobile blog post, Aug. 1, 2012, </w:t>
      </w:r>
      <w:r w:rsidRPr="00432F46">
        <w:rPr>
          <w:i/>
        </w:rPr>
        <w:t>available at</w:t>
      </w:r>
      <w:r w:rsidRPr="00D40600">
        <w:t xml:space="preserve"> </w:t>
      </w:r>
      <w:hyperlink r:id="rId427" w:history="1">
        <w:r w:rsidRPr="00D40600">
          <w:rPr>
            <w:rStyle w:val="Hyperlink"/>
          </w:rPr>
          <w:t>http://blog.t-mobile.com/2012/08/01/t-mobiles-backhaul-strategy-key-to-a-competitive-4g-experience/</w:t>
        </w:r>
      </w:hyperlink>
      <w:r>
        <w:t xml:space="preserve"> (</w:t>
      </w:r>
      <w:r w:rsidRPr="00D40600">
        <w:t>visited Aug. 2, 2012)</w:t>
      </w:r>
      <w:r>
        <w:t>.</w:t>
      </w:r>
    </w:p>
  </w:footnote>
  <w:footnote w:id="1005">
    <w:p w:rsidR="00EC7CF3" w:rsidRDefault="00EC7CF3" w:rsidP="00BE5B0C">
      <w:pPr>
        <w:pStyle w:val="FootnoteText"/>
      </w:pPr>
      <w:r w:rsidRPr="00D40600">
        <w:rPr>
          <w:rStyle w:val="FootnoteReference"/>
          <w:sz w:val="20"/>
        </w:rPr>
        <w:footnoteRef/>
      </w:r>
      <w:r w:rsidRPr="00D40600">
        <w:t xml:space="preserve"> </w:t>
      </w:r>
      <w:r w:rsidRPr="00D40600">
        <w:rPr>
          <w:i/>
        </w:rPr>
        <w:t xml:space="preserve">See </w:t>
      </w:r>
      <w:r w:rsidRPr="00D40600">
        <w:t>Sprint 10-Q for the first quarter of 2012, at 9.</w:t>
      </w:r>
    </w:p>
  </w:footnote>
  <w:footnote w:id="1006">
    <w:p w:rsidR="00EC7CF3" w:rsidRDefault="00EC7CF3" w:rsidP="00BE5B0C">
      <w:pPr>
        <w:pStyle w:val="FootnoteText"/>
      </w:pPr>
      <w:r w:rsidRPr="00D40600">
        <w:rPr>
          <w:rStyle w:val="FootnoteReference"/>
          <w:sz w:val="20"/>
        </w:rPr>
        <w:footnoteRef/>
      </w:r>
      <w:r w:rsidRPr="00D40600">
        <w:t xml:space="preserve"> </w:t>
      </w:r>
      <w:r w:rsidRPr="00D40600">
        <w:rPr>
          <w:i/>
        </w:rPr>
        <w:t xml:space="preserve">See </w:t>
      </w:r>
      <w:r w:rsidRPr="00D40600">
        <w:t>C Spire News release, “C Spire Wireless Using Alcatel-Lucent To Deploy Next-Generation High-Speed 4G LTE Mobile B</w:t>
      </w:r>
      <w:r>
        <w:t xml:space="preserve">roadband Network,” July 2, 2012, </w:t>
      </w:r>
      <w:r w:rsidRPr="0034226F">
        <w:rPr>
          <w:i/>
        </w:rPr>
        <w:t xml:space="preserve">available at </w:t>
      </w:r>
      <w:hyperlink r:id="rId428" w:history="1">
        <w:r w:rsidRPr="00D40600">
          <w:rPr>
            <w:rStyle w:val="Hyperlink"/>
          </w:rPr>
          <w:t>http://www.cspire.com/company_info/about/news_detail.jsp?entryId=14500004</w:t>
        </w:r>
      </w:hyperlink>
      <w:r w:rsidRPr="00D40600">
        <w:t xml:space="preserve"> (visited Oct. 16, 2012)</w:t>
      </w:r>
      <w:r>
        <w:t>.</w:t>
      </w:r>
    </w:p>
  </w:footnote>
  <w:footnote w:id="1007">
    <w:p w:rsidR="00EC7CF3" w:rsidRDefault="00EC7CF3" w:rsidP="00BE5B0C">
      <w:pPr>
        <w:pStyle w:val="FootnoteText"/>
      </w:pPr>
      <w:r w:rsidRPr="00D40600">
        <w:rPr>
          <w:rStyle w:val="FootnoteReference"/>
          <w:sz w:val="20"/>
        </w:rPr>
        <w:footnoteRef/>
      </w:r>
      <w:r w:rsidRPr="00D40600">
        <w:t xml:space="preserve"> </w:t>
      </w:r>
      <w:r w:rsidRPr="00D40600">
        <w:rPr>
          <w:i/>
        </w:rPr>
        <w:t xml:space="preserve">See </w:t>
      </w:r>
      <w:r w:rsidRPr="00D40600">
        <w:t xml:space="preserve">Clearwire 2011 Annual Report, at 12. </w:t>
      </w:r>
    </w:p>
  </w:footnote>
  <w:footnote w:id="1008">
    <w:p w:rsidR="00EC7CF3" w:rsidRDefault="00EC7CF3" w:rsidP="00BE5B0C">
      <w:pPr>
        <w:pStyle w:val="FootnoteText"/>
      </w:pPr>
      <w:r w:rsidRPr="00D40600">
        <w:rPr>
          <w:rStyle w:val="FootnoteReference"/>
          <w:sz w:val="20"/>
        </w:rPr>
        <w:footnoteRef/>
      </w:r>
      <w:r w:rsidRPr="00D40600">
        <w:t xml:space="preserve"> Telco Backhaul Strategies, FierceTelecom.com, November 2011, at 1-2.</w:t>
      </w:r>
    </w:p>
  </w:footnote>
  <w:footnote w:id="1009">
    <w:p w:rsidR="00EC7CF3" w:rsidRDefault="00EC7CF3" w:rsidP="00BE5B0C">
      <w:pPr>
        <w:pStyle w:val="FootnoteText"/>
      </w:pPr>
      <w:r w:rsidRPr="00D40600">
        <w:rPr>
          <w:rStyle w:val="FootnoteReference"/>
          <w:sz w:val="20"/>
        </w:rPr>
        <w:footnoteRef/>
      </w:r>
      <w:r w:rsidRPr="00D40600">
        <w:t xml:space="preserve"> A backhaul report by Infonetics Research claims that globally backhaul operations can account for up to 30 percent of a wireless provider’s total operations costs.  </w:t>
      </w:r>
      <w:r w:rsidRPr="00D40600">
        <w:rPr>
          <w:i/>
        </w:rPr>
        <w:t>See</w:t>
      </w:r>
      <w:r w:rsidRPr="00D40600">
        <w:t xml:space="preserve"> Dan Meyer, </w:t>
      </w:r>
      <w:r w:rsidRPr="00D40600">
        <w:rPr>
          <w:i/>
        </w:rPr>
        <w:t>Backhaul options diverse for 4G networks</w:t>
      </w:r>
      <w:r w:rsidRPr="00D40600">
        <w:t>, RCR Wireless, Mar. 1, 2010</w:t>
      </w:r>
      <w:r>
        <w:t xml:space="preserve">, </w:t>
      </w:r>
      <w:r w:rsidRPr="0034226F">
        <w:rPr>
          <w:i/>
        </w:rPr>
        <w:t xml:space="preserve">available at </w:t>
      </w:r>
      <w:hyperlink r:id="rId429" w:history="1">
        <w:r w:rsidRPr="00D40600">
          <w:rPr>
            <w:rStyle w:val="Hyperlink"/>
          </w:rPr>
          <w:t>http://www.rcrwireless.com/ARTICLE/20100301/INFRASTRUCTURE/100309990/backhaul-options-diverse-for-4g-networks</w:t>
        </w:r>
      </w:hyperlink>
      <w:r>
        <w:t xml:space="preserve"> </w:t>
      </w:r>
      <w:r w:rsidRPr="00D40600">
        <w:t>(visited Sept. 2, 2010).</w:t>
      </w:r>
    </w:p>
  </w:footnote>
  <w:footnote w:id="1010">
    <w:p w:rsidR="00EC7CF3" w:rsidRDefault="00EC7CF3" w:rsidP="00BE5B0C">
      <w:pPr>
        <w:pStyle w:val="FootnoteText"/>
      </w:pPr>
      <w:r w:rsidRPr="00D40600">
        <w:rPr>
          <w:rStyle w:val="FootnoteReference"/>
          <w:sz w:val="20"/>
        </w:rPr>
        <w:footnoteRef/>
      </w:r>
      <w:r w:rsidRPr="00D40600">
        <w:t xml:space="preserve"> </w:t>
      </w:r>
      <w:r w:rsidRPr="00D40600">
        <w:rPr>
          <w:i/>
          <w:lang w:eastAsia="zh-CN"/>
        </w:rPr>
        <w:t xml:space="preserve">See MSV 700 MHz Comments </w:t>
      </w:r>
      <w:r w:rsidRPr="00D40600">
        <w:rPr>
          <w:lang w:eastAsia="zh-CN"/>
        </w:rPr>
        <w:t xml:space="preserve">(hundreds of dollars for a T1 line to $2,000 for a DS3 connection); </w:t>
      </w:r>
      <w:r w:rsidRPr="00D40600">
        <w:t>Space Data Corporation Comments, WT Docket No. 06-150, PS Docket No. 06-229, Exhibit A (filed June 20, 2008)</w:t>
      </w:r>
      <w:r w:rsidRPr="00D40600">
        <w:rPr>
          <w:lang w:eastAsia="zh-CN"/>
        </w:rPr>
        <w:t xml:space="preserve"> (backhaul cost ranging from $2,500 to $6,000).  </w:t>
      </w:r>
    </w:p>
  </w:footnote>
  <w:footnote w:id="1011">
    <w:p w:rsidR="00EC7CF3" w:rsidRDefault="00EC7CF3" w:rsidP="00BE5B0C">
      <w:pPr>
        <w:pStyle w:val="FootnoteText"/>
      </w:pPr>
      <w:r w:rsidRPr="00D40600">
        <w:rPr>
          <w:rStyle w:val="FootnoteReference"/>
          <w:sz w:val="20"/>
        </w:rPr>
        <w:footnoteRef/>
      </w:r>
      <w:r w:rsidRPr="00D40600">
        <w:t xml:space="preserve"> </w:t>
      </w:r>
      <w:r w:rsidRPr="00D40600">
        <w:rPr>
          <w:i/>
          <w:lang w:eastAsia="zh-CN"/>
        </w:rPr>
        <w:t xml:space="preserve">See </w:t>
      </w:r>
      <w:r w:rsidRPr="00D40600">
        <w:rPr>
          <w:lang w:eastAsia="zh-CN"/>
        </w:rPr>
        <w:t xml:space="preserve">Economics of Backhaul, </w:t>
      </w:r>
      <w:r w:rsidRPr="00432F46">
        <w:rPr>
          <w:i/>
          <w:lang w:eastAsia="zh-CN"/>
        </w:rPr>
        <w:t>available at</w:t>
      </w:r>
      <w:r w:rsidRPr="00D40600">
        <w:rPr>
          <w:lang w:eastAsia="zh-CN"/>
        </w:rPr>
        <w:t xml:space="preserve"> </w:t>
      </w:r>
      <w:hyperlink r:id="rId430" w:history="1">
        <w:r w:rsidRPr="00D40600">
          <w:rPr>
            <w:rStyle w:val="Hyperlink"/>
            <w:lang w:eastAsia="zh-CN"/>
          </w:rPr>
          <w:t>http://www.exaltcom.com/Economics-of-Backhaul.aspx</w:t>
        </w:r>
      </w:hyperlink>
      <w:r w:rsidRPr="00D40600">
        <w:rPr>
          <w:lang w:eastAsia="zh-CN"/>
        </w:rPr>
        <w:t xml:space="preserve"> (visited July 31, 2012).  </w:t>
      </w:r>
    </w:p>
  </w:footnote>
  <w:footnote w:id="1012">
    <w:p w:rsidR="00EC7CF3" w:rsidRDefault="00EC7CF3" w:rsidP="00BE5B0C">
      <w:pPr>
        <w:pStyle w:val="FootnoteText"/>
      </w:pPr>
      <w:r w:rsidRPr="00D40600">
        <w:rPr>
          <w:rStyle w:val="FootnoteReference"/>
          <w:sz w:val="20"/>
        </w:rPr>
        <w:footnoteRef/>
      </w:r>
      <w:r w:rsidRPr="00D40600">
        <w:t xml:space="preserve"> </w:t>
      </w:r>
      <w:r w:rsidRPr="00D40600">
        <w:rPr>
          <w:i/>
          <w:lang w:eastAsia="zh-CN"/>
        </w:rPr>
        <w:t>Id</w:t>
      </w:r>
      <w:r w:rsidRPr="00D40600">
        <w:rPr>
          <w:lang w:eastAsia="zh-CN"/>
        </w:rPr>
        <w:t xml:space="preserve">.  </w:t>
      </w:r>
    </w:p>
  </w:footnote>
  <w:footnote w:id="1013">
    <w:p w:rsidR="00EC7CF3" w:rsidRDefault="00EC7CF3" w:rsidP="00BE5B0C">
      <w:pPr>
        <w:pStyle w:val="FootnoteText"/>
      </w:pPr>
      <w:r w:rsidRPr="00D40600">
        <w:rPr>
          <w:rStyle w:val="FootnoteReference"/>
          <w:sz w:val="20"/>
        </w:rPr>
        <w:footnoteRef/>
      </w:r>
      <w:r w:rsidRPr="00D40600">
        <w:t xml:space="preserve"> </w:t>
      </w:r>
      <w:r w:rsidRPr="00D40600">
        <w:rPr>
          <w:i/>
        </w:rPr>
        <w:t>See</w:t>
      </w:r>
      <w:r w:rsidRPr="00D40600">
        <w:t xml:space="preserve"> “Optical Carrier transmission rates” (a fiber optical transmission line with a data rate up to 155 Mega-bits per second or Mbps), </w:t>
      </w:r>
      <w:r w:rsidRPr="00432F46">
        <w:rPr>
          <w:i/>
        </w:rPr>
        <w:t>available at</w:t>
      </w:r>
      <w:r w:rsidRPr="00D40600">
        <w:t xml:space="preserve"> </w:t>
      </w:r>
      <w:hyperlink r:id="rId431" w:history="1">
        <w:r w:rsidRPr="00D40600">
          <w:rPr>
            <w:rStyle w:val="Hyperlink"/>
          </w:rPr>
          <w:t>http://en.wikipedia.org/wiki/Optical_Carrier_transmission_rates</w:t>
        </w:r>
      </w:hyperlink>
      <w:r>
        <w:t xml:space="preserve"> (</w:t>
      </w:r>
      <w:r w:rsidRPr="00D40600">
        <w:t>visited August 10, 2010).</w:t>
      </w:r>
    </w:p>
  </w:footnote>
  <w:footnote w:id="1014">
    <w:p w:rsidR="00EC7CF3" w:rsidRDefault="00EC7CF3" w:rsidP="00BE5B0C">
      <w:pPr>
        <w:pStyle w:val="FootnoteText"/>
      </w:pPr>
      <w:r w:rsidRPr="00D40600">
        <w:rPr>
          <w:rStyle w:val="FootnoteReference"/>
          <w:sz w:val="20"/>
        </w:rPr>
        <w:footnoteRef/>
      </w:r>
      <w:r w:rsidRPr="00D40600">
        <w:t xml:space="preserve"> </w:t>
      </w:r>
      <w:r w:rsidRPr="00D40600">
        <w:rPr>
          <w:i/>
        </w:rPr>
        <w:t xml:space="preserve">See </w:t>
      </w:r>
      <w:r w:rsidRPr="00D40600">
        <w:t xml:space="preserve">Gene Bell, </w:t>
      </w:r>
      <w:r w:rsidRPr="00D40600">
        <w:rPr>
          <w:i/>
        </w:rPr>
        <w:t xml:space="preserve">Broadband Backhaul </w:t>
      </w:r>
      <w:r w:rsidRPr="00D40600">
        <w:t xml:space="preserve">(“For comparison to T1 lines, fiber and microwave based backhaul can provide more than twice the capacity at half of the cost.”), at 4, </w:t>
      </w:r>
      <w:r w:rsidRPr="00432F46">
        <w:rPr>
          <w:i/>
        </w:rPr>
        <w:t xml:space="preserve">available at </w:t>
      </w:r>
      <w:hyperlink r:id="rId432" w:history="1">
        <w:r w:rsidRPr="00D40600">
          <w:rPr>
            <w:rStyle w:val="Hyperlink"/>
          </w:rPr>
          <w:t>http://www.mobilitie.com/Downloads/BROADBAND_BACKHAUL_WP_WEB.pdf</w:t>
        </w:r>
      </w:hyperlink>
      <w:r>
        <w:t xml:space="preserve"> (</w:t>
      </w:r>
      <w:r w:rsidRPr="00D40600">
        <w:t xml:space="preserve">visited August 10, 2012). </w:t>
      </w:r>
    </w:p>
  </w:footnote>
  <w:footnote w:id="1015">
    <w:p w:rsidR="00EC7CF3" w:rsidRDefault="00EC7CF3" w:rsidP="00BE5B0C">
      <w:pPr>
        <w:pStyle w:val="FootnoteText"/>
      </w:pPr>
      <w:r w:rsidRPr="00D40600">
        <w:rPr>
          <w:rStyle w:val="FootnoteReference"/>
          <w:sz w:val="20"/>
        </w:rPr>
        <w:footnoteRef/>
      </w:r>
      <w:r w:rsidRPr="00D40600">
        <w:t xml:space="preserve"> </w:t>
      </w:r>
      <w:r w:rsidRPr="00D40600">
        <w:rPr>
          <w:i/>
          <w:lang w:eastAsia="zh-CN"/>
        </w:rPr>
        <w:t>Id</w:t>
      </w:r>
      <w:r w:rsidRPr="00D40600">
        <w:rPr>
          <w:lang w:eastAsia="zh-CN"/>
        </w:rPr>
        <w:t xml:space="preserve">.  </w:t>
      </w:r>
    </w:p>
  </w:footnote>
  <w:footnote w:id="1016">
    <w:p w:rsidR="00EC7CF3" w:rsidRDefault="00EC7CF3" w:rsidP="00BE5B0C">
      <w:pPr>
        <w:pStyle w:val="FootnoteText"/>
      </w:pPr>
      <w:r w:rsidRPr="00D40600">
        <w:rPr>
          <w:rStyle w:val="FootnoteReference"/>
          <w:sz w:val="20"/>
        </w:rPr>
        <w:footnoteRef/>
      </w:r>
      <w:r w:rsidRPr="00D40600">
        <w:t xml:space="preserve"> </w:t>
      </w:r>
      <w:r w:rsidRPr="00D40600">
        <w:rPr>
          <w:i/>
        </w:rPr>
        <w:t xml:space="preserve">See </w:t>
      </w:r>
      <w:r w:rsidRPr="00D40600">
        <w:t>Tower Cloud news release, “Tower Cloud Launches New Fiber Optic based Backhaul Network in Columbus and LaGrange, Georgia,” June 26, 2012.</w:t>
      </w:r>
      <w:r w:rsidRPr="00D40600">
        <w:rPr>
          <w:lang w:eastAsia="zh-CN"/>
        </w:rPr>
        <w:t xml:space="preserve"> </w:t>
      </w:r>
      <w:r w:rsidRPr="00D40600">
        <w:rPr>
          <w:i/>
          <w:lang w:eastAsia="zh-CN"/>
        </w:rPr>
        <w:t xml:space="preserve">See also </w:t>
      </w:r>
      <w:r w:rsidRPr="00D40600">
        <w:rPr>
          <w:lang w:eastAsia="zh-CN"/>
        </w:rPr>
        <w:t xml:space="preserve">IP Networks, Fiber Network and Ethernet Transport Services (Installing fiber optic cable in the existing utility infrastructure minimizes costs while providing a highly reliable and safe environment for telecommunication infrastructure), </w:t>
      </w:r>
      <w:r w:rsidRPr="00432F46">
        <w:rPr>
          <w:i/>
          <w:lang w:eastAsia="zh-CN"/>
        </w:rPr>
        <w:t>available at</w:t>
      </w:r>
      <w:r w:rsidRPr="00D40600">
        <w:rPr>
          <w:lang w:eastAsia="zh-CN"/>
        </w:rPr>
        <w:t xml:space="preserve"> </w:t>
      </w:r>
      <w:hyperlink r:id="rId433" w:history="1">
        <w:r w:rsidRPr="00D40600">
          <w:rPr>
            <w:rStyle w:val="Hyperlink"/>
            <w:lang w:eastAsia="zh-CN"/>
          </w:rPr>
          <w:t>http://ipnetworksinc.com/ethernet/</w:t>
        </w:r>
      </w:hyperlink>
      <w:r>
        <w:rPr>
          <w:lang w:eastAsia="zh-CN"/>
        </w:rPr>
        <w:t xml:space="preserve"> (</w:t>
      </w:r>
      <w:r w:rsidRPr="00D40600">
        <w:rPr>
          <w:lang w:eastAsia="zh-CN"/>
        </w:rPr>
        <w:t>visited Aug. 1, 2012).</w:t>
      </w:r>
    </w:p>
  </w:footnote>
  <w:footnote w:id="1017">
    <w:p w:rsidR="00EC7CF3" w:rsidRDefault="00EC7CF3" w:rsidP="00BE5B0C">
      <w:pPr>
        <w:pStyle w:val="FootnoteText"/>
      </w:pPr>
      <w:r w:rsidRPr="00D40600">
        <w:rPr>
          <w:rStyle w:val="FootnoteReference"/>
          <w:sz w:val="20"/>
        </w:rPr>
        <w:footnoteRef/>
      </w:r>
      <w:r w:rsidRPr="00D40600">
        <w:t xml:space="preserve"> </w:t>
      </w:r>
      <w:r w:rsidRPr="00D40600">
        <w:rPr>
          <w:i/>
        </w:rPr>
        <w:t xml:space="preserve">See </w:t>
      </w:r>
      <w:r w:rsidRPr="00D40600">
        <w:rPr>
          <w:lang w:eastAsia="zh-CN"/>
        </w:rPr>
        <w:t xml:space="preserve">IP Networks, Fiber Network and Ethernet Transport Services, </w:t>
      </w:r>
      <w:r w:rsidRPr="00432F46">
        <w:rPr>
          <w:i/>
          <w:lang w:eastAsia="zh-CN"/>
        </w:rPr>
        <w:t xml:space="preserve">available at </w:t>
      </w:r>
      <w:hyperlink r:id="rId434" w:history="1">
        <w:r w:rsidRPr="00D40600">
          <w:rPr>
            <w:rStyle w:val="Hyperlink"/>
            <w:lang w:eastAsia="zh-CN"/>
          </w:rPr>
          <w:t>http://ipnetworksinc.com/ethernet/</w:t>
        </w:r>
      </w:hyperlink>
      <w:r>
        <w:rPr>
          <w:lang w:eastAsia="zh-CN"/>
        </w:rPr>
        <w:t xml:space="preserve"> (</w:t>
      </w:r>
      <w:r w:rsidRPr="00D40600">
        <w:rPr>
          <w:lang w:eastAsia="zh-CN"/>
        </w:rPr>
        <w:t>visited Aug. 1, 2012).</w:t>
      </w:r>
    </w:p>
  </w:footnote>
  <w:footnote w:id="1018">
    <w:p w:rsidR="00EC7CF3" w:rsidRDefault="00EC7CF3" w:rsidP="00BE5B0C">
      <w:pPr>
        <w:pStyle w:val="FootnoteText"/>
      </w:pPr>
      <w:r w:rsidRPr="00D40600">
        <w:rPr>
          <w:rStyle w:val="FootnoteReference"/>
          <w:sz w:val="20"/>
        </w:rPr>
        <w:footnoteRef/>
      </w:r>
      <w:r w:rsidRPr="00D40600">
        <w:t xml:space="preserve"> </w:t>
      </w:r>
      <w:r w:rsidRPr="00D40600">
        <w:rPr>
          <w:i/>
          <w:lang w:eastAsia="zh-CN"/>
        </w:rPr>
        <w:t>Id</w:t>
      </w:r>
      <w:r w:rsidRPr="00D40600">
        <w:rPr>
          <w:lang w:eastAsia="zh-CN"/>
        </w:rPr>
        <w:t>. (including microwave radio equipment cost, antenna, cable and power cost, installation cost, and annual maintenance costs, antenna space leasing cost, and license and coordination fees in the case of licensed link.)</w:t>
      </w:r>
    </w:p>
  </w:footnote>
  <w:footnote w:id="1019">
    <w:p w:rsidR="00EC7CF3" w:rsidRDefault="00EC7CF3" w:rsidP="00BE5B0C">
      <w:pPr>
        <w:pStyle w:val="FootnoteText"/>
      </w:pPr>
      <w:r w:rsidRPr="00D40600">
        <w:rPr>
          <w:rStyle w:val="FootnoteReference"/>
          <w:sz w:val="20"/>
        </w:rPr>
        <w:footnoteRef/>
      </w:r>
      <w:r w:rsidRPr="00D40600">
        <w:t xml:space="preserve"> </w:t>
      </w:r>
      <w:r w:rsidRPr="00D40600">
        <w:rPr>
          <w:i/>
          <w:lang w:eastAsia="zh-CN"/>
        </w:rPr>
        <w:t>See</w:t>
      </w:r>
      <w:r w:rsidRPr="00D40600">
        <w:rPr>
          <w:lang w:eastAsia="zh-CN"/>
        </w:rPr>
        <w:t xml:space="preserve"> Tzvika Naveh, “Case Study Analyzing Various Backhaul Technolog</w:t>
      </w:r>
      <w:r>
        <w:rPr>
          <w:lang w:eastAsia="zh-CN"/>
        </w:rPr>
        <w:t>y Strategies,” Ceragon Networks</w:t>
      </w:r>
      <w:r w:rsidRPr="00D40600">
        <w:rPr>
          <w:lang w:eastAsia="zh-CN"/>
        </w:rPr>
        <w:t>, Oct. 2009.</w:t>
      </w:r>
    </w:p>
  </w:footnote>
  <w:footnote w:id="1020">
    <w:p w:rsidR="00EC7CF3" w:rsidRDefault="00EC7CF3" w:rsidP="00BE5B0C">
      <w:pPr>
        <w:pStyle w:val="FootnoteText"/>
      </w:pPr>
      <w:r w:rsidRPr="00D40600">
        <w:rPr>
          <w:rStyle w:val="FootnoteReference"/>
          <w:sz w:val="20"/>
        </w:rPr>
        <w:footnoteRef/>
      </w:r>
      <w:r w:rsidRPr="00D40600">
        <w:t xml:space="preserve"> </w:t>
      </w:r>
      <w:r w:rsidRPr="00D40600">
        <w:rPr>
          <w:i/>
        </w:rPr>
        <w:t>See</w:t>
      </w:r>
      <w:r w:rsidRPr="00D40600">
        <w:t xml:space="preserve"> Special Access Rates for Price Cap Local Exchange Carriers; AT&amp;T Corp. Petition for Rulemaking to Reform Regulation of Incumbent Local Exchange Carrier Rates for Interstate Special Access Services, WC Docket No. 05-25, RM-l 0593, Order and Notice of Proposed Rulemaking, 20 FCC Red. 1994 (reI. Jan. 31, 2005) (</w:t>
      </w:r>
      <w:r w:rsidRPr="00D40600">
        <w:rPr>
          <w:i/>
        </w:rPr>
        <w:t>2005 Special Access NPRM</w:t>
      </w:r>
      <w:r w:rsidRPr="00D40600">
        <w:t>), at 7.</w:t>
      </w:r>
    </w:p>
  </w:footnote>
  <w:footnote w:id="1021">
    <w:p w:rsidR="00EC7CF3" w:rsidRDefault="00EC7CF3" w:rsidP="00BE5B0C">
      <w:pPr>
        <w:pStyle w:val="FootnoteText"/>
      </w:pPr>
      <w:r w:rsidRPr="00D40600">
        <w:rPr>
          <w:rStyle w:val="FootnoteReference"/>
          <w:sz w:val="20"/>
        </w:rPr>
        <w:footnoteRef/>
      </w:r>
      <w:r w:rsidRPr="00D40600">
        <w:t xml:space="preserve"> </w:t>
      </w:r>
      <w:r w:rsidRPr="00D40600">
        <w:rPr>
          <w:i/>
        </w:rPr>
        <w:t xml:space="preserve">See </w:t>
      </w:r>
      <w:r w:rsidRPr="00D40600">
        <w:t xml:space="preserve">Sprint 2011 Annual Report at 9, Leap Wireless 2011Annual Report, at 16, and MetroPCS 2011 Annual Report, at 49. </w:t>
      </w:r>
    </w:p>
  </w:footnote>
  <w:footnote w:id="1022">
    <w:p w:rsidR="00EC7CF3" w:rsidRDefault="00EC7CF3" w:rsidP="00BE5B0C">
      <w:pPr>
        <w:pStyle w:val="FootnoteText"/>
      </w:pPr>
      <w:r w:rsidRPr="00D40600">
        <w:rPr>
          <w:rStyle w:val="FootnoteReference"/>
          <w:sz w:val="20"/>
        </w:rPr>
        <w:footnoteRef/>
      </w:r>
      <w:r w:rsidRPr="00D40600">
        <w:t xml:space="preserve"> Sprint Nextel Comments, WC Docket No. 05</w:t>
      </w:r>
      <w:r>
        <w:t>-25 (filed Jan. 19, 2010)</w:t>
      </w:r>
      <w:r w:rsidRPr="00D40600">
        <w:t xml:space="preserve">.  </w:t>
      </w:r>
    </w:p>
  </w:footnote>
  <w:footnote w:id="1023">
    <w:p w:rsidR="00EC7CF3" w:rsidRDefault="00EC7CF3" w:rsidP="00BE5B0C">
      <w:pPr>
        <w:pStyle w:val="FootnoteText"/>
      </w:pPr>
      <w:r w:rsidRPr="00D40600">
        <w:rPr>
          <w:rStyle w:val="FootnoteReference"/>
          <w:sz w:val="20"/>
        </w:rPr>
        <w:footnoteRef/>
      </w:r>
      <w:r w:rsidRPr="00D40600">
        <w:t xml:space="preserve"> </w:t>
      </w:r>
      <w:r w:rsidRPr="00D40600">
        <w:rPr>
          <w:i/>
        </w:rPr>
        <w:t>See</w:t>
      </w:r>
      <w:r w:rsidRPr="00D40600">
        <w:t xml:space="preserve"> </w:t>
      </w:r>
      <w:r w:rsidRPr="00D40600">
        <w:rPr>
          <w:i/>
        </w:rPr>
        <w:t>2005 Special Access NPRM</w:t>
      </w:r>
      <w:r w:rsidRPr="00D40600">
        <w:t>, at 5. We note that the Commission modified its price cap rules in 1999 to provide pricing flexibility where ILECs met certain competitive showings.  Access Charge Reform; Price Cap Performance Review for Local Exchange Carriers; Interexchange Carrier Purchases of Switched Access Services Offered by Competitive Local Exchange Carriers; Petition of U.S. West Communications, Inc. for Forbearance from Regulation as a Dominant Carrier in the Phoenix, Arizona MSA, CC Docket Nos. 96-262, 94-1, 98-157, CCB/CPD File No. 98-63, Fifth Report and Order and Further Notice of Proposed Rulemaking, 14 FCC Rcd 14221, 14224, para. 1 (1999) (Pricing Flexibility Order).</w:t>
      </w:r>
    </w:p>
  </w:footnote>
  <w:footnote w:id="1024">
    <w:p w:rsidR="00EC7CF3" w:rsidRDefault="00EC7CF3" w:rsidP="00BE5B0C">
      <w:pPr>
        <w:pStyle w:val="FootnoteText"/>
      </w:pPr>
      <w:r w:rsidRPr="00D40600">
        <w:rPr>
          <w:rStyle w:val="FootnoteReference"/>
          <w:sz w:val="20"/>
        </w:rPr>
        <w:footnoteRef/>
      </w:r>
      <w:r w:rsidRPr="00D40600">
        <w:t xml:space="preserve"> </w:t>
      </w:r>
      <w:r w:rsidRPr="00D40600">
        <w:rPr>
          <w:i/>
        </w:rPr>
        <w:t>See 2005 Special Access NPRM</w:t>
      </w:r>
      <w:r w:rsidRPr="00D40600">
        <w:t>.</w:t>
      </w:r>
    </w:p>
  </w:footnote>
  <w:footnote w:id="1025">
    <w:p w:rsidR="00EC7CF3" w:rsidRDefault="00EC7CF3" w:rsidP="00BE5B0C">
      <w:pPr>
        <w:pStyle w:val="FootnoteText"/>
      </w:pPr>
      <w:r w:rsidRPr="00D40600">
        <w:rPr>
          <w:rStyle w:val="FootnoteReference"/>
          <w:sz w:val="20"/>
        </w:rPr>
        <w:footnoteRef/>
      </w:r>
      <w:r w:rsidRPr="00D40600">
        <w:t xml:space="preserve"> </w:t>
      </w:r>
      <w:r w:rsidRPr="00D40600">
        <w:rPr>
          <w:i/>
        </w:rPr>
        <w:t>National Broadband Plan,</w:t>
      </w:r>
      <w:r w:rsidRPr="00D40600">
        <w:t xml:space="preserve"> at 48-49, 139</w:t>
      </w:r>
      <w:r>
        <w:t>.</w:t>
      </w:r>
    </w:p>
  </w:footnote>
  <w:footnote w:id="1026">
    <w:p w:rsidR="00EC7CF3" w:rsidRDefault="00EC7CF3" w:rsidP="00BE5B0C">
      <w:pPr>
        <w:pStyle w:val="FootnoteText"/>
      </w:pPr>
      <w:r w:rsidRPr="00D40600">
        <w:rPr>
          <w:rStyle w:val="FootnoteReference"/>
          <w:sz w:val="20"/>
        </w:rPr>
        <w:footnoteRef/>
      </w:r>
      <w:r w:rsidRPr="00D40600">
        <w:t xml:space="preserve"> </w:t>
      </w:r>
      <w:r w:rsidRPr="00D40600">
        <w:rPr>
          <w:i/>
        </w:rPr>
        <w:t>National Broadband Plan</w:t>
      </w:r>
      <w:r>
        <w:t>, at 93</w:t>
      </w:r>
      <w:r w:rsidRPr="00D40600">
        <w:t>.</w:t>
      </w:r>
    </w:p>
  </w:footnote>
  <w:footnote w:id="1027">
    <w:p w:rsidR="00EC7CF3" w:rsidRDefault="00EC7CF3" w:rsidP="00BE5B0C">
      <w:pPr>
        <w:pStyle w:val="FootnoteText"/>
      </w:pPr>
      <w:r w:rsidRPr="00D40600">
        <w:rPr>
          <w:rStyle w:val="FootnoteReference"/>
          <w:sz w:val="20"/>
        </w:rPr>
        <w:footnoteRef/>
      </w:r>
      <w:r w:rsidRPr="00D40600">
        <w:t xml:space="preserve"> </w:t>
      </w:r>
      <w:r w:rsidRPr="00D40600">
        <w:rPr>
          <w:i/>
        </w:rPr>
        <w:t>National Broadband Plan</w:t>
      </w:r>
      <w:r w:rsidRPr="00D40600">
        <w:t>, at 93.</w:t>
      </w:r>
    </w:p>
  </w:footnote>
  <w:footnote w:id="1028">
    <w:p w:rsidR="00EC7CF3" w:rsidRDefault="00EC7CF3" w:rsidP="00BE5B0C">
      <w:pPr>
        <w:pStyle w:val="FootnoteText"/>
      </w:pPr>
      <w:r w:rsidRPr="00D40600">
        <w:rPr>
          <w:rStyle w:val="FootnoteReference"/>
          <w:sz w:val="20"/>
        </w:rPr>
        <w:footnoteRef/>
      </w:r>
      <w:r w:rsidRPr="00D40600">
        <w:t xml:space="preserve"> Amendment of Part 101 of the Commission’s Rules to Facilitate the Use of Microwave for Wireless Backhaul and Other Uses and to Provide Additional Flexibility to Broadcast Auxiliary Service and Operational Fixed Microwave Licensees, et al., WT Docket No. 10-153, et al., </w:t>
      </w:r>
      <w:r w:rsidRPr="00D40600">
        <w:rPr>
          <w:i/>
        </w:rPr>
        <w:t>First Report and Order, Further Notice of Proposed Rulemaking, and Memorandum Opinion and Order</w:t>
      </w:r>
      <w:r w:rsidRPr="00D40600">
        <w:t xml:space="preserve"> (2011).</w:t>
      </w:r>
    </w:p>
  </w:footnote>
  <w:footnote w:id="1029">
    <w:p w:rsidR="00EC7CF3" w:rsidRDefault="00EC7CF3">
      <w:pPr>
        <w:pStyle w:val="FootnoteText"/>
      </w:pPr>
      <w:r w:rsidRPr="00106AB6">
        <w:rPr>
          <w:rStyle w:val="FootnoteReference"/>
          <w:sz w:val="20"/>
        </w:rPr>
        <w:footnoteRef/>
      </w:r>
      <w:r w:rsidRPr="00106AB6">
        <w:t xml:space="preserve"> </w:t>
      </w:r>
      <w:r w:rsidRPr="00106AB6">
        <w:rPr>
          <w:i/>
        </w:rPr>
        <w:t xml:space="preserve">Id. </w:t>
      </w:r>
    </w:p>
  </w:footnote>
  <w:footnote w:id="1030">
    <w:p w:rsidR="00EC7CF3" w:rsidRDefault="00EC7CF3" w:rsidP="00BE5B0C">
      <w:pPr>
        <w:pStyle w:val="FootnoteText"/>
      </w:pPr>
      <w:r w:rsidRPr="00D40600">
        <w:rPr>
          <w:rStyle w:val="FootnoteReference"/>
          <w:sz w:val="20"/>
        </w:rPr>
        <w:footnoteRef/>
      </w:r>
      <w:r w:rsidRPr="00D40600">
        <w:t xml:space="preserve"> Amendment of Part 101 of the Commission’s Rules to Facilitate the Use of Microwave for Wireless Backhaul and Other Uses and to Provide Additional Flexibility to Broadcast Auxiliary Service and Operational Fixed Microwave Licensees, et al., WT Docket No. 10-153, et al., </w:t>
      </w:r>
      <w:r w:rsidRPr="00D40600">
        <w:rPr>
          <w:i/>
        </w:rPr>
        <w:t>Second Report and Order, Second Further Notice of Proposed Rulemaking,Second Notice of Inquiry, Order on Reconsideration, and Memorandum Opinion and Order</w:t>
      </w:r>
      <w:r w:rsidRPr="00D40600">
        <w:t xml:space="preserve"> at 3 (2012).</w:t>
      </w:r>
    </w:p>
  </w:footnote>
  <w:footnote w:id="1031">
    <w:p w:rsidR="00EC7CF3" w:rsidRDefault="00EC7CF3" w:rsidP="00BE5B0C">
      <w:pPr>
        <w:pStyle w:val="FootnoteText"/>
      </w:pPr>
      <w:r w:rsidRPr="00106AB6">
        <w:rPr>
          <w:rStyle w:val="FootnoteReference"/>
          <w:sz w:val="20"/>
        </w:rPr>
        <w:footnoteRef/>
      </w:r>
      <w:r w:rsidRPr="00106AB6">
        <w:t xml:space="preserve"> </w:t>
      </w:r>
      <w:r w:rsidRPr="00106AB6">
        <w:rPr>
          <w:i/>
        </w:rPr>
        <w:t>Id</w:t>
      </w:r>
      <w:r>
        <w:rPr>
          <w:i/>
        </w:rPr>
        <w:t>.</w:t>
      </w:r>
    </w:p>
  </w:footnote>
  <w:footnote w:id="1032">
    <w:p w:rsidR="00EC7CF3" w:rsidRDefault="00EC7CF3" w:rsidP="00BE5B0C">
      <w:pPr>
        <w:pStyle w:val="FootnoteText"/>
      </w:pPr>
      <w:r w:rsidRPr="00106AB6">
        <w:rPr>
          <w:rStyle w:val="FootnoteReference"/>
          <w:sz w:val="20"/>
        </w:rPr>
        <w:footnoteRef/>
      </w:r>
      <w:r w:rsidRPr="00106AB6">
        <w:t xml:space="preserve"> </w:t>
      </w:r>
      <w:r w:rsidRPr="00106AB6">
        <w:rPr>
          <w:i/>
        </w:rPr>
        <w:t xml:space="preserve">Id. </w:t>
      </w:r>
    </w:p>
  </w:footnote>
  <w:footnote w:id="1033">
    <w:p w:rsidR="00EC7CF3" w:rsidRDefault="00EC7CF3" w:rsidP="00BE5B0C">
      <w:pPr>
        <w:pStyle w:val="FootnoteText"/>
      </w:pPr>
      <w:r w:rsidRPr="00106AB6">
        <w:rPr>
          <w:rStyle w:val="FootnoteReference"/>
          <w:sz w:val="20"/>
        </w:rPr>
        <w:footnoteRef/>
      </w:r>
      <w:r w:rsidRPr="00106AB6">
        <w:t xml:space="preserve"> </w:t>
      </w:r>
      <w:r w:rsidRPr="00106AB6">
        <w:rPr>
          <w:i/>
        </w:rPr>
        <w:t>Id.</w:t>
      </w:r>
    </w:p>
  </w:footnote>
  <w:footnote w:id="1034">
    <w:p w:rsidR="00EC7CF3" w:rsidRDefault="00EC7CF3">
      <w:pPr>
        <w:pStyle w:val="FootnoteText"/>
      </w:pPr>
      <w:r w:rsidRPr="00D40600">
        <w:rPr>
          <w:rStyle w:val="FootnoteReference"/>
          <w:sz w:val="20"/>
        </w:rPr>
        <w:footnoteRef/>
      </w:r>
      <w:r w:rsidRPr="00D40600">
        <w:t xml:space="preserve"> Amendment of Part 101 of the Commission’s Rules to Facilitate the Use of Microwave for Wireless Backhaul and Other Uses and to Provide Additional Flexibility to Broadcast Auxiliary Service and Operational Fixed Microwave Licensees, et al., WT Docket No. 10-153, et al., </w:t>
      </w:r>
      <w:r w:rsidRPr="00D40600">
        <w:rPr>
          <w:i/>
        </w:rPr>
        <w:t>Order</w:t>
      </w:r>
      <w:r w:rsidRPr="00D40600">
        <w:t>, FCC 12-122 (2012)</w:t>
      </w:r>
      <w:r>
        <w:t>.</w:t>
      </w:r>
    </w:p>
  </w:footnote>
  <w:footnote w:id="1035">
    <w:p w:rsidR="00EC7CF3" w:rsidRDefault="00EC7CF3" w:rsidP="00F16FE9">
      <w:pPr>
        <w:pStyle w:val="FootnoteText"/>
      </w:pPr>
      <w:r w:rsidRPr="00D40600">
        <w:rPr>
          <w:rStyle w:val="FootnoteReference"/>
          <w:sz w:val="20"/>
        </w:rPr>
        <w:footnoteRef/>
      </w:r>
      <w:r w:rsidRPr="00D40600">
        <w:t xml:space="preserve"> Nielsenwire, The Nielsen Company, </w:t>
      </w:r>
      <w:r w:rsidRPr="00D40600">
        <w:rPr>
          <w:bCs/>
          <w:i/>
        </w:rPr>
        <w:t>40 Percent of U.S. Mobile Users Own Smartphones; 40 Percent are Android</w:t>
      </w:r>
      <w:r w:rsidRPr="00D40600">
        <w:rPr>
          <w:bCs/>
        </w:rPr>
        <w:t xml:space="preserve">,  September 1, 2011.  </w:t>
      </w:r>
      <w:r w:rsidRPr="00432F46">
        <w:rPr>
          <w:bCs/>
          <w:i/>
        </w:rPr>
        <w:t>See also</w:t>
      </w:r>
      <w:r w:rsidRPr="00D40600">
        <w:rPr>
          <w:bCs/>
        </w:rPr>
        <w:t xml:space="preserve"> </w:t>
      </w:r>
      <w:hyperlink r:id="rId435" w:history="1">
        <w:r w:rsidRPr="00D40600">
          <w:rPr>
            <w:rStyle w:val="Hyperlink"/>
            <w:bCs/>
          </w:rPr>
          <w:t>http://blog.nielsen.com/nielsenwire/consumer/more-us-consumers-choosing-smartphones-as-apple-closes-the-gap-on-android/</w:t>
        </w:r>
      </w:hyperlink>
      <w:r w:rsidRPr="00D40600">
        <w:rPr>
          <w:bCs/>
        </w:rPr>
        <w:t xml:space="preserve"> (visited Oct. 16, 2012)</w:t>
      </w:r>
      <w:r>
        <w:rPr>
          <w:bCs/>
        </w:rPr>
        <w:t>.</w:t>
      </w:r>
    </w:p>
  </w:footnote>
  <w:footnote w:id="1036">
    <w:p w:rsidR="00EC7CF3" w:rsidRDefault="00EC7CF3" w:rsidP="00F16FE9">
      <w:pPr>
        <w:pStyle w:val="FootnoteText"/>
      </w:pPr>
      <w:r w:rsidRPr="00D40600">
        <w:rPr>
          <w:rStyle w:val="FootnoteReference"/>
          <w:sz w:val="20"/>
        </w:rPr>
        <w:footnoteRef/>
      </w:r>
      <w:r w:rsidRPr="00D40600">
        <w:t xml:space="preserve"> Nielsenwire, The Nielsen Company, </w:t>
      </w:r>
      <w:r w:rsidRPr="00D40600">
        <w:rPr>
          <w:bCs/>
          <w:i/>
        </w:rPr>
        <w:t>Two Thirds of New Mobile Buyers Now Opting for Smartphones</w:t>
      </w:r>
      <w:r w:rsidRPr="00D40600">
        <w:rPr>
          <w:bCs/>
        </w:rPr>
        <w:t>,  July 12, 2012.  See also http://blog.nielsen.com/nielsenwire/online_mobile/two-thirds-of-new-mobile-buyers-now-opting-for-smartphones/ (visited Nov. 19, 2012)</w:t>
      </w:r>
      <w:r>
        <w:rPr>
          <w:bCs/>
        </w:rPr>
        <w:t>.</w:t>
      </w:r>
    </w:p>
  </w:footnote>
  <w:footnote w:id="1037">
    <w:p w:rsidR="00EC7CF3" w:rsidRDefault="00EC7CF3" w:rsidP="00F16FE9">
      <w:pPr>
        <w:pStyle w:val="FootnoteText"/>
      </w:pPr>
      <w:r w:rsidRPr="00D40600">
        <w:rPr>
          <w:rStyle w:val="FootnoteReference"/>
          <w:sz w:val="20"/>
        </w:rPr>
        <w:footnoteRef/>
      </w:r>
      <w:r w:rsidRPr="00D40600">
        <w:t xml:space="preserve"> Prior to 2011, Apple distributed its iPhone through AT&amp;T (and its affiliates) only.  An exclusive handset arrangement (EHA) is an arrangement in which a handset manufacturer or vendor agrees to sell a particular handset model to only one wireless service provider, usually for a specified period of time.  See </w:t>
      </w:r>
      <w:r w:rsidRPr="00D40600">
        <w:rPr>
          <w:i/>
        </w:rPr>
        <w:t>Fifteenth Report</w:t>
      </w:r>
      <w:r w:rsidRPr="00D40600">
        <w:t>, 26</w:t>
      </w:r>
      <w:r w:rsidRPr="00D40600">
        <w:rPr>
          <w:i/>
        </w:rPr>
        <w:t xml:space="preserve"> </w:t>
      </w:r>
      <w:r w:rsidRPr="00D40600">
        <w:t>FCC Rcd at 9853 ¶ 332.</w:t>
      </w:r>
    </w:p>
  </w:footnote>
  <w:footnote w:id="1038">
    <w:p w:rsidR="00EC7CF3" w:rsidRDefault="00EC7CF3" w:rsidP="00F16FE9">
      <w:pPr>
        <w:pStyle w:val="FootnoteText"/>
      </w:pPr>
      <w:r w:rsidRPr="00D40600">
        <w:rPr>
          <w:rStyle w:val="FootnoteReference"/>
          <w:sz w:val="20"/>
        </w:rPr>
        <w:footnoteRef/>
      </w:r>
      <w:r w:rsidRPr="00D40600">
        <w:t xml:space="preserve"> </w:t>
      </w:r>
      <w:r w:rsidRPr="00D40600">
        <w:rPr>
          <w:i/>
        </w:rPr>
        <w:t>See</w:t>
      </w:r>
      <w:r w:rsidRPr="00D40600">
        <w:t xml:space="preserve"> C.F.R 47, § 20.19a(3)(ii) for the definition of handset model used here (a distinct handset model is a model that has different designations such as form, features, or capabilities from other models).  Starting in July 2010, handset manufacturers are required to file their hearing aid compatibility status reports annually on July 15 for the twelve month reporting period from July 1 of the prior year to June 30th of the reporting year.  For the purposes of the analysis of handset models in this section we report the data for the last month of the reporting period.  See also </w:t>
      </w:r>
      <w:hyperlink r:id="rId436" w:history="1">
        <w:r w:rsidRPr="00D40600">
          <w:rPr>
            <w:rStyle w:val="Hyperlink"/>
          </w:rPr>
          <w:t>http://wireless.fcc.gov/hac/index.htm?job=home</w:t>
        </w:r>
      </w:hyperlink>
      <w:r w:rsidRPr="00D40600">
        <w:t xml:space="preserve"> (visited Oct. 16, 2012) for more details on these reports.  </w:t>
      </w:r>
    </w:p>
  </w:footnote>
  <w:footnote w:id="1039">
    <w:p w:rsidR="00EC7CF3" w:rsidRDefault="00EC7CF3" w:rsidP="00F16FE9">
      <w:pPr>
        <w:pStyle w:val="FootnoteText"/>
      </w:pPr>
      <w:r w:rsidRPr="00D40600">
        <w:rPr>
          <w:rStyle w:val="FootnoteReference"/>
          <w:sz w:val="20"/>
        </w:rPr>
        <w:footnoteRef/>
      </w:r>
      <w:r w:rsidRPr="00D40600">
        <w:t xml:space="preserve"> These figures based on data from hearing aid compatibility reports filed by handset manufacturers from 2006 to 2012.  For reports prior to July 2009, see FCC Docket 07-250; for reports after July 2009, see the FCC Hearing Aid Compatibility status reporting site at </w:t>
      </w:r>
      <w:hyperlink r:id="rId437" w:history="1">
        <w:r w:rsidRPr="00D40600">
          <w:rPr>
            <w:rStyle w:val="Hyperlink"/>
          </w:rPr>
          <w:t>http://wireless.fcc.gov/hac/index.htm?job=home</w:t>
        </w:r>
      </w:hyperlink>
      <w:r w:rsidRPr="00D40600">
        <w:t xml:space="preserve"> (visited Oct. 16, 2012).  For the purposes of the analysis of handset models in this section, we report information for the last month of the reporting period.</w:t>
      </w:r>
      <w:r>
        <w:t xml:space="preserve">  Device manufacturers file their annual HAC reports by July 15 of each year covering the reporting period from July 1 of the previous year to June 30 of the current year.</w:t>
      </w:r>
    </w:p>
  </w:footnote>
  <w:footnote w:id="1040">
    <w:p w:rsidR="00EC7CF3" w:rsidRDefault="00EC7CF3" w:rsidP="00F16FE9">
      <w:pPr>
        <w:pStyle w:val="FootnoteText"/>
      </w:pPr>
      <w:r w:rsidRPr="00D40600">
        <w:rPr>
          <w:rStyle w:val="FootnoteReference"/>
          <w:sz w:val="20"/>
        </w:rPr>
        <w:footnoteRef/>
      </w:r>
      <w:r w:rsidRPr="00D40600">
        <w:t xml:space="preserve"> Based on data from hearing aid compatibility status reports filed by handset manufacturers in July 2011 and July 2012, </w:t>
      </w:r>
      <w:r w:rsidRPr="00D40600">
        <w:rPr>
          <w:i/>
        </w:rPr>
        <w:t>available at</w:t>
      </w:r>
      <w:r w:rsidRPr="00D40600">
        <w:t xml:space="preserve"> </w:t>
      </w:r>
      <w:hyperlink r:id="rId438" w:history="1">
        <w:r w:rsidRPr="00D40600">
          <w:rPr>
            <w:rStyle w:val="Hyperlink"/>
          </w:rPr>
          <w:t>http://wireless.fcc.gov/hac/index.htm?job=home</w:t>
        </w:r>
      </w:hyperlink>
      <w:r w:rsidRPr="00D40600">
        <w:t xml:space="preserve"> (visited Oct. 16, 2012)</w:t>
      </w:r>
      <w:r>
        <w:t>.</w:t>
      </w:r>
    </w:p>
  </w:footnote>
  <w:footnote w:id="1041">
    <w:p w:rsidR="00EC7CF3" w:rsidRDefault="00EC7CF3" w:rsidP="00F16FE9">
      <w:pPr>
        <w:pStyle w:val="FootnoteText"/>
      </w:pPr>
      <w:r w:rsidRPr="00D40600">
        <w:rPr>
          <w:rStyle w:val="FootnoteReference"/>
          <w:sz w:val="20"/>
        </w:rPr>
        <w:footnoteRef/>
      </w:r>
      <w:r w:rsidRPr="00D40600">
        <w:t xml:space="preserve"> Based on data from hearing aid compatibility status reports filed by handset manufacturers July 2011, </w:t>
      </w:r>
      <w:r w:rsidRPr="00D40600">
        <w:rPr>
          <w:i/>
        </w:rPr>
        <w:t>available at</w:t>
      </w:r>
      <w:r w:rsidRPr="00D40600">
        <w:t xml:space="preserve"> </w:t>
      </w:r>
      <w:hyperlink r:id="rId439" w:history="1">
        <w:r w:rsidRPr="00D40600">
          <w:rPr>
            <w:rStyle w:val="Hyperlink"/>
          </w:rPr>
          <w:t>http://wireless.fcc.gov/hac/index.htm?job=home</w:t>
        </w:r>
      </w:hyperlink>
      <w:r w:rsidRPr="00D40600">
        <w:rPr>
          <w:rStyle w:val="Hyperlink"/>
        </w:rPr>
        <w:t xml:space="preserve"> </w:t>
      </w:r>
      <w:r w:rsidRPr="00D40600">
        <w:t xml:space="preserve">(visited Oct. 16, 2012).  </w:t>
      </w:r>
    </w:p>
  </w:footnote>
  <w:footnote w:id="1042">
    <w:p w:rsidR="00EC7CF3" w:rsidRDefault="00EC7CF3" w:rsidP="00F16FE9">
      <w:pPr>
        <w:pStyle w:val="FootnoteText"/>
      </w:pPr>
      <w:r w:rsidRPr="00D40600">
        <w:rPr>
          <w:rStyle w:val="FootnoteReference"/>
          <w:sz w:val="20"/>
        </w:rPr>
        <w:footnoteRef/>
      </w:r>
      <w:r w:rsidRPr="00D40600">
        <w:t xml:space="preserve"> </w:t>
      </w:r>
      <w:r w:rsidRPr="00D40600">
        <w:rPr>
          <w:i/>
          <w:lang w:eastAsia="zh-CN"/>
        </w:rPr>
        <w:t xml:space="preserve">See comScore Reports </w:t>
      </w:r>
      <w:r w:rsidRPr="00D40600">
        <w:rPr>
          <w:i/>
          <w:iCs/>
          <w:lang w:eastAsia="zh-CN"/>
        </w:rPr>
        <w:t>September 2012. U.S. Mobile Subscriber Market Share</w:t>
      </w:r>
      <w:r w:rsidRPr="00D40600">
        <w:rPr>
          <w:i/>
          <w:lang w:eastAsia="zh-CN"/>
        </w:rPr>
        <w:t xml:space="preserve">, </w:t>
      </w:r>
      <w:r w:rsidRPr="00D40600">
        <w:rPr>
          <w:lang w:eastAsia="zh-CN"/>
        </w:rPr>
        <w:t>Press Release, comScore,  Nov. 2, 2012</w:t>
      </w:r>
      <w:r w:rsidRPr="00D40600">
        <w:rPr>
          <w:i/>
          <w:lang w:eastAsia="zh-CN"/>
        </w:rPr>
        <w:t xml:space="preserve">, </w:t>
      </w:r>
      <w:r w:rsidRPr="00432F46">
        <w:rPr>
          <w:i/>
          <w:iCs/>
          <w:lang w:eastAsia="zh-CN"/>
        </w:rPr>
        <w:t>available at</w:t>
      </w:r>
      <w:r w:rsidRPr="00D40600">
        <w:rPr>
          <w:iCs/>
          <w:lang w:eastAsia="zh-CN"/>
        </w:rPr>
        <w:t xml:space="preserve"> </w:t>
      </w:r>
      <w:r w:rsidRPr="00D40600">
        <w:rPr>
          <w:rStyle w:val="Hyperlink"/>
          <w:lang w:eastAsia="zh-CN"/>
        </w:rPr>
        <w:t xml:space="preserve"> </w:t>
      </w:r>
      <w:hyperlink r:id="rId440" w:history="1">
        <w:r w:rsidRPr="00D206FB">
          <w:rPr>
            <w:rStyle w:val="Hyperlink"/>
          </w:rPr>
          <w:t>http://www.comscore.com/Insights/Press_Releases/2012/11/comScore_Reports_September_2012_U.S._Mobile_Subscriber_Market_Share</w:t>
        </w:r>
      </w:hyperlink>
      <w:r>
        <w:rPr>
          <w:lang w:eastAsia="zh-CN"/>
        </w:rPr>
        <w:t xml:space="preserve"> </w:t>
      </w:r>
      <w:r w:rsidRPr="00D40600">
        <w:rPr>
          <w:lang w:eastAsia="zh-CN"/>
        </w:rPr>
        <w:t xml:space="preserve"> (visited Nov. 19, 2012)</w:t>
      </w:r>
      <w:r>
        <w:rPr>
          <w:lang w:eastAsia="zh-CN"/>
        </w:rPr>
        <w:t>.</w:t>
      </w:r>
    </w:p>
  </w:footnote>
  <w:footnote w:id="1043">
    <w:p w:rsidR="00EC7CF3" w:rsidRDefault="00EC7CF3" w:rsidP="00F16FE9">
      <w:pPr>
        <w:pStyle w:val="FootnoteText"/>
      </w:pPr>
      <w:r w:rsidRPr="00D40600">
        <w:rPr>
          <w:rStyle w:val="FootnoteReference"/>
          <w:sz w:val="20"/>
        </w:rPr>
        <w:footnoteRef/>
      </w:r>
      <w:r w:rsidRPr="00D40600">
        <w:t xml:space="preserve"> </w:t>
      </w:r>
      <w:r w:rsidRPr="00D40600">
        <w:rPr>
          <w:i/>
        </w:rPr>
        <w:t>See Fourteenth Report</w:t>
      </w:r>
      <w:r w:rsidRPr="00D40600">
        <w:t>, 25 FCC Rcd at 11586 ¶ 304.</w:t>
      </w:r>
    </w:p>
  </w:footnote>
  <w:footnote w:id="1044">
    <w:p w:rsidR="00EC7CF3" w:rsidRDefault="00EC7CF3" w:rsidP="00F16FE9">
      <w:pPr>
        <w:pStyle w:val="FootnoteText"/>
      </w:pPr>
      <w:r w:rsidRPr="00D40600">
        <w:rPr>
          <w:rStyle w:val="FootnoteReference"/>
          <w:sz w:val="20"/>
        </w:rPr>
        <w:footnoteRef/>
      </w:r>
      <w:r w:rsidRPr="00D40600">
        <w:t xml:space="preserve"> </w:t>
      </w:r>
      <w:r w:rsidRPr="00D40600">
        <w:rPr>
          <w:i/>
        </w:rPr>
        <w:t>See Fifteenth Report</w:t>
      </w:r>
      <w:r w:rsidRPr="00D40600">
        <w:t>, 26 FCC Rcd at 9850 ¶ 329 Table 32.</w:t>
      </w:r>
    </w:p>
  </w:footnote>
  <w:footnote w:id="1045">
    <w:p w:rsidR="00EC7CF3" w:rsidRDefault="00EC7CF3" w:rsidP="00F16FE9">
      <w:pPr>
        <w:pStyle w:val="FootnoteText"/>
      </w:pPr>
      <w:r w:rsidRPr="00D40600">
        <w:rPr>
          <w:rStyle w:val="FootnoteReference"/>
          <w:sz w:val="20"/>
        </w:rPr>
        <w:footnoteRef/>
      </w:r>
      <w:r w:rsidRPr="00D40600">
        <w:t xml:space="preserve"> </w:t>
      </w:r>
      <w:r w:rsidRPr="00D40600">
        <w:rPr>
          <w:i/>
          <w:lang w:eastAsia="zh-CN"/>
        </w:rPr>
        <w:t xml:space="preserve">See comScore Reports </w:t>
      </w:r>
      <w:r w:rsidRPr="00D40600">
        <w:rPr>
          <w:i/>
          <w:iCs/>
          <w:lang w:eastAsia="zh-CN"/>
        </w:rPr>
        <w:t>September 2011. U.S. Mobile Subscriber Market Share</w:t>
      </w:r>
      <w:r w:rsidRPr="00D40600">
        <w:rPr>
          <w:i/>
          <w:lang w:eastAsia="zh-CN"/>
        </w:rPr>
        <w:t xml:space="preserve">, </w:t>
      </w:r>
      <w:r w:rsidRPr="00D40600">
        <w:rPr>
          <w:lang w:eastAsia="zh-CN"/>
        </w:rPr>
        <w:t>Press Release, comScore,  Nov. 4, 2011</w:t>
      </w:r>
      <w:r w:rsidRPr="00D40600">
        <w:rPr>
          <w:i/>
          <w:lang w:eastAsia="zh-CN"/>
        </w:rPr>
        <w:t xml:space="preserve">, </w:t>
      </w:r>
      <w:r w:rsidRPr="00432F46">
        <w:rPr>
          <w:i/>
          <w:iCs/>
          <w:lang w:eastAsia="zh-CN"/>
        </w:rPr>
        <w:t xml:space="preserve">available at </w:t>
      </w:r>
      <w:r w:rsidRPr="00432F46">
        <w:rPr>
          <w:rStyle w:val="Hyperlink"/>
          <w:i/>
          <w:lang w:eastAsia="zh-CN"/>
        </w:rPr>
        <w:t xml:space="preserve"> </w:t>
      </w:r>
      <w:hyperlink r:id="rId441" w:history="1">
        <w:r w:rsidRPr="00D40600">
          <w:rPr>
            <w:rStyle w:val="Hyperlink"/>
            <w:lang w:eastAsia="zh-CN"/>
          </w:rPr>
          <w:t>http://www.comscore.com/Press_Events/Press_Releases/2011/11/comScore_Reports_September_2011_U.S._Mobile_Subscriber_Market_Share</w:t>
        </w:r>
      </w:hyperlink>
      <w:r w:rsidRPr="00D40600">
        <w:rPr>
          <w:lang w:eastAsia="zh-CN"/>
        </w:rPr>
        <w:t>. (visited Oct. 16, 2012)</w:t>
      </w:r>
      <w:r>
        <w:rPr>
          <w:lang w:eastAsia="zh-CN"/>
        </w:rPr>
        <w:t>.</w:t>
      </w:r>
    </w:p>
  </w:footnote>
  <w:footnote w:id="1046">
    <w:p w:rsidR="00EC7CF3" w:rsidRDefault="00EC7CF3">
      <w:pPr>
        <w:pStyle w:val="FootnoteText"/>
      </w:pPr>
      <w:r>
        <w:rPr>
          <w:rStyle w:val="FootnoteReference"/>
        </w:rPr>
        <w:footnoteRef/>
      </w:r>
      <w:r>
        <w:t xml:space="preserve"> </w:t>
      </w:r>
      <w:r w:rsidRPr="00CF0C13">
        <w:t xml:space="preserve">See comScore Reports September 2012. U.S. Mobile Subscriber Market Share, Press Release, comScore, Nov. 2, 2012, available at  </w:t>
      </w:r>
      <w:hyperlink r:id="rId442" w:history="1">
        <w:r w:rsidRPr="00D40600">
          <w:rPr>
            <w:rStyle w:val="Hyperlink"/>
            <w:lang w:eastAsia="zh-CN"/>
          </w:rPr>
          <w:t>http://www.comscore.com/Press_Events/Press_Releases/2011/11/comScore_Reports_September_2011_U.S._Mobile_Subscriber_Market_Share</w:t>
        </w:r>
      </w:hyperlink>
      <w:r w:rsidRPr="00CF0C13">
        <w:t xml:space="preserve"> (visited Nov. 19, 2012).</w:t>
      </w:r>
    </w:p>
  </w:footnote>
  <w:footnote w:id="1047">
    <w:p w:rsidR="00EC7CF3" w:rsidRDefault="00EC7CF3" w:rsidP="00F16FE9">
      <w:pPr>
        <w:pStyle w:val="FootnoteText"/>
      </w:pPr>
      <w:r w:rsidRPr="00D40600">
        <w:rPr>
          <w:rStyle w:val="FootnoteReference"/>
          <w:sz w:val="20"/>
        </w:rPr>
        <w:footnoteRef/>
      </w:r>
      <w:r w:rsidRPr="00D40600">
        <w:t xml:space="preserve"> </w:t>
      </w:r>
      <w:r w:rsidRPr="00D40600">
        <w:rPr>
          <w:i/>
        </w:rPr>
        <w:t>See</w:t>
      </w:r>
      <w:r w:rsidRPr="00D40600">
        <w:t xml:space="preserve"> Nathan Edd, </w:t>
      </w:r>
      <w:r w:rsidRPr="00D40600">
        <w:rPr>
          <w:i/>
        </w:rPr>
        <w:t>Android, iOS Mobile Market Share Growing: comScore</w:t>
      </w:r>
      <w:r w:rsidRPr="00D40600">
        <w:t xml:space="preserve">, eWeek, May 1, 2012, at </w:t>
      </w:r>
      <w:hyperlink r:id="rId443" w:history="1">
        <w:r w:rsidRPr="00D40600">
          <w:rPr>
            <w:rStyle w:val="Hyperlink"/>
          </w:rPr>
          <w:t>http://www.eweek.com/c/a/Mobile-and-Wireless/Android-iOS-Mobile-Market-Share-Growing-comScore-344060/</w:t>
        </w:r>
      </w:hyperlink>
      <w:r w:rsidRPr="00D40600">
        <w:t xml:space="preserve"> (visited Oct 16, 2012) ; CTIA Reply at 6; Verizon Comments at 78-79.</w:t>
      </w:r>
    </w:p>
  </w:footnote>
  <w:footnote w:id="1048">
    <w:p w:rsidR="00EC7CF3" w:rsidRDefault="00EC7CF3" w:rsidP="00F16FE9">
      <w:pPr>
        <w:pStyle w:val="FootnoteText"/>
      </w:pPr>
      <w:r w:rsidRPr="00D40600">
        <w:rPr>
          <w:rStyle w:val="FootnoteReference"/>
          <w:sz w:val="20"/>
        </w:rPr>
        <w:footnoteRef/>
      </w:r>
      <w:r w:rsidRPr="00D40600">
        <w:t xml:space="preserve"> Phil Goldstein, </w:t>
      </w:r>
      <w:r w:rsidRPr="00D40600">
        <w:rPr>
          <w:i/>
        </w:rPr>
        <w:t>What Were the Top U.S. Smartphone Operating Systems in May?</w:t>
      </w:r>
      <w:r w:rsidRPr="00D40600">
        <w:t xml:space="preserve">, FierceWireless, July 21, 2009 (citing comScore); Nathan Edd, </w:t>
      </w:r>
      <w:r w:rsidRPr="00D40600">
        <w:rPr>
          <w:i/>
        </w:rPr>
        <w:t>Android, iOS Mobile Market Share Growing: comScore</w:t>
      </w:r>
      <w:r w:rsidRPr="00D40600">
        <w:t xml:space="preserve">, eWeek, May 1, 2012, at </w:t>
      </w:r>
      <w:hyperlink r:id="rId444" w:history="1">
        <w:r w:rsidRPr="00D40600">
          <w:rPr>
            <w:rStyle w:val="Hyperlink"/>
          </w:rPr>
          <w:t>http://www.eweek.com/c/a/Mobile-and-Wireless/Android-iOS-Mobile-Market-Share-Growing-comScore-344060/</w:t>
        </w:r>
      </w:hyperlink>
      <w:r w:rsidRPr="00D40600">
        <w:t xml:space="preserve"> (visited Oct 16, 2012); comScore, MobiLens Trend.  comScore MobilLens U.S. data are derived from a monthly survey of over 13,000 respondents ages 13 and older who are recruited to represent U.S. Census demographics. </w:t>
      </w:r>
      <w:r>
        <w:t xml:space="preserve"> </w:t>
      </w:r>
      <w:r w:rsidRPr="00D40600">
        <w:t>The total universe size is estimated from data provided by CTIA and comScore’s monthly subscriber studies.</w:t>
      </w:r>
    </w:p>
  </w:footnote>
  <w:footnote w:id="1049">
    <w:p w:rsidR="00EC7CF3" w:rsidRDefault="00EC7CF3" w:rsidP="00F16FE9">
      <w:pPr>
        <w:pStyle w:val="FootnoteText"/>
      </w:pPr>
      <w:r w:rsidRPr="00D40600">
        <w:rPr>
          <w:rStyle w:val="FootnoteReference"/>
          <w:sz w:val="20"/>
        </w:rPr>
        <w:footnoteRef/>
      </w:r>
      <w:r w:rsidRPr="00D40600">
        <w:t xml:space="preserve"> </w:t>
      </w:r>
      <w:r w:rsidRPr="00D40600">
        <w:rPr>
          <w:i/>
          <w:lang w:eastAsia="zh-CN"/>
        </w:rPr>
        <w:t xml:space="preserve">See comScore Reports </w:t>
      </w:r>
      <w:r w:rsidRPr="00D40600">
        <w:rPr>
          <w:i/>
          <w:iCs/>
          <w:lang w:eastAsia="zh-CN"/>
        </w:rPr>
        <w:t>September 2012. U.S. Mobile Subscriber Market Share</w:t>
      </w:r>
      <w:r w:rsidRPr="00D40600">
        <w:rPr>
          <w:i/>
          <w:lang w:eastAsia="zh-CN"/>
        </w:rPr>
        <w:t xml:space="preserve">, </w:t>
      </w:r>
      <w:r>
        <w:rPr>
          <w:lang w:eastAsia="zh-CN"/>
        </w:rPr>
        <w:t xml:space="preserve">Press Release, comScore, </w:t>
      </w:r>
      <w:r w:rsidRPr="00D40600">
        <w:rPr>
          <w:lang w:eastAsia="zh-CN"/>
        </w:rPr>
        <w:t>Nov. 2, 2012</w:t>
      </w:r>
      <w:r w:rsidRPr="00D40600">
        <w:rPr>
          <w:i/>
          <w:lang w:eastAsia="zh-CN"/>
        </w:rPr>
        <w:t xml:space="preserve">, </w:t>
      </w:r>
      <w:r w:rsidRPr="00432F46">
        <w:rPr>
          <w:i/>
          <w:iCs/>
          <w:lang w:eastAsia="zh-CN"/>
        </w:rPr>
        <w:t>available at</w:t>
      </w:r>
      <w:r w:rsidRPr="00D40600">
        <w:rPr>
          <w:iCs/>
          <w:lang w:eastAsia="zh-CN"/>
        </w:rPr>
        <w:t xml:space="preserve"> </w:t>
      </w:r>
      <w:r w:rsidRPr="00D40600">
        <w:rPr>
          <w:rStyle w:val="Hyperlink"/>
          <w:lang w:eastAsia="zh-CN"/>
        </w:rPr>
        <w:t xml:space="preserve"> </w:t>
      </w:r>
      <w:hyperlink r:id="rId445" w:history="1">
        <w:r w:rsidRPr="00D206FB">
          <w:rPr>
            <w:rStyle w:val="Hyperlink"/>
          </w:rPr>
          <w:t>http://www.comscore.com/Insights/Press_Releases/2012/11/comScore_Reports_September_2012_U.S._Mobile_Subscriber_Market_Share</w:t>
        </w:r>
      </w:hyperlink>
      <w:r>
        <w:rPr>
          <w:lang w:eastAsia="zh-CN"/>
        </w:rPr>
        <w:t xml:space="preserve"> </w:t>
      </w:r>
      <w:r w:rsidRPr="00D40600">
        <w:rPr>
          <w:lang w:eastAsia="zh-CN"/>
        </w:rPr>
        <w:t>(visited Nov. 19, 2012)</w:t>
      </w:r>
      <w:r>
        <w:rPr>
          <w:lang w:eastAsia="zh-CN"/>
        </w:rPr>
        <w:t>.</w:t>
      </w:r>
    </w:p>
  </w:footnote>
  <w:footnote w:id="1050">
    <w:p w:rsidR="00EC7CF3" w:rsidRDefault="00EC7CF3" w:rsidP="00F16FE9">
      <w:pPr>
        <w:pStyle w:val="FootnoteText"/>
      </w:pPr>
      <w:r w:rsidRPr="00D40600">
        <w:rPr>
          <w:rStyle w:val="FootnoteReference"/>
          <w:sz w:val="20"/>
        </w:rPr>
        <w:footnoteRef/>
      </w:r>
      <w:r w:rsidRPr="00D40600">
        <w:t xml:space="preserve"> </w:t>
      </w:r>
      <w:r w:rsidRPr="00D40600">
        <w:rPr>
          <w:i/>
          <w:iCs/>
        </w:rPr>
        <w:t>See Fourteenth Report</w:t>
      </w:r>
      <w:r w:rsidRPr="00D40600">
        <w:t>, 25 FCC Rcd at 11588 ¶ 306 n. 819.</w:t>
      </w:r>
    </w:p>
  </w:footnote>
  <w:footnote w:id="1051">
    <w:p w:rsidR="00EC7CF3" w:rsidRDefault="00EC7CF3" w:rsidP="00F16FE9">
      <w:pPr>
        <w:pStyle w:val="FootnoteText"/>
      </w:pPr>
      <w:r w:rsidRPr="00D40600">
        <w:rPr>
          <w:rStyle w:val="FootnoteReference"/>
          <w:sz w:val="20"/>
        </w:rPr>
        <w:footnoteRef/>
      </w:r>
      <w:r w:rsidRPr="00D40600">
        <w:t xml:space="preserve"> </w:t>
      </w:r>
      <w:r w:rsidRPr="00D40600">
        <w:rPr>
          <w:i/>
          <w:iCs/>
        </w:rPr>
        <w:t>See Fifteenth Report</w:t>
      </w:r>
      <w:r w:rsidRPr="00D40600">
        <w:t>, 26 FCC Rcd at 9852, ¶ 331, Table 35.</w:t>
      </w:r>
    </w:p>
  </w:footnote>
  <w:footnote w:id="1052">
    <w:p w:rsidR="00EC7CF3" w:rsidRDefault="00EC7CF3" w:rsidP="00F16FE9">
      <w:pPr>
        <w:pStyle w:val="FootnoteText"/>
      </w:pPr>
      <w:r w:rsidRPr="00D40600">
        <w:rPr>
          <w:rStyle w:val="FootnoteReference"/>
          <w:sz w:val="20"/>
        </w:rPr>
        <w:footnoteRef/>
      </w:r>
      <w:r w:rsidRPr="00D40600">
        <w:t xml:space="preserve"> </w:t>
      </w:r>
      <w:r w:rsidRPr="00D40600">
        <w:rPr>
          <w:i/>
          <w:lang w:eastAsia="zh-CN"/>
        </w:rPr>
        <w:t xml:space="preserve">See comScore Reports </w:t>
      </w:r>
      <w:r w:rsidRPr="00D40600">
        <w:rPr>
          <w:i/>
          <w:iCs/>
          <w:lang w:eastAsia="zh-CN"/>
        </w:rPr>
        <w:t>September 2011. U.S. Mobile Subscriber Market Share</w:t>
      </w:r>
      <w:r w:rsidRPr="00D40600">
        <w:rPr>
          <w:i/>
          <w:lang w:eastAsia="zh-CN"/>
        </w:rPr>
        <w:t xml:space="preserve">, </w:t>
      </w:r>
      <w:r>
        <w:rPr>
          <w:lang w:eastAsia="zh-CN"/>
        </w:rPr>
        <w:t xml:space="preserve">Press Release, comScore, </w:t>
      </w:r>
      <w:r w:rsidRPr="00D40600">
        <w:rPr>
          <w:lang w:eastAsia="zh-CN"/>
        </w:rPr>
        <w:t>Nov. 4, 2011</w:t>
      </w:r>
      <w:r w:rsidRPr="00D40600">
        <w:rPr>
          <w:i/>
          <w:lang w:eastAsia="zh-CN"/>
        </w:rPr>
        <w:t xml:space="preserve">, </w:t>
      </w:r>
      <w:r w:rsidRPr="00432F46">
        <w:rPr>
          <w:i/>
          <w:iCs/>
          <w:lang w:eastAsia="zh-CN"/>
        </w:rPr>
        <w:t xml:space="preserve">available at </w:t>
      </w:r>
      <w:r w:rsidRPr="00432F46">
        <w:rPr>
          <w:rStyle w:val="Hyperlink"/>
          <w:i/>
          <w:lang w:eastAsia="zh-CN"/>
        </w:rPr>
        <w:t xml:space="preserve"> </w:t>
      </w:r>
      <w:hyperlink r:id="rId446" w:history="1">
        <w:r w:rsidRPr="00D40600">
          <w:rPr>
            <w:rStyle w:val="Hyperlink"/>
            <w:lang w:eastAsia="zh-CN"/>
          </w:rPr>
          <w:t>http://www.comscore.com/Press_Events/Press_Releases/2011/11/comScore_Reports_September_2011_U.S._Mobile_Subscriber_Market_Share</w:t>
        </w:r>
      </w:hyperlink>
      <w:r w:rsidRPr="00D40600">
        <w:rPr>
          <w:lang w:eastAsia="zh-CN"/>
        </w:rPr>
        <w:t>. (visited Oct. 16, 2012)</w:t>
      </w:r>
      <w:r>
        <w:rPr>
          <w:lang w:eastAsia="zh-CN"/>
        </w:rPr>
        <w:t>.</w:t>
      </w:r>
    </w:p>
  </w:footnote>
  <w:footnote w:id="1053">
    <w:p w:rsidR="00EC7CF3" w:rsidRDefault="00EC7CF3">
      <w:pPr>
        <w:pStyle w:val="FootnoteText"/>
      </w:pPr>
      <w:r>
        <w:rPr>
          <w:rStyle w:val="FootnoteReference"/>
        </w:rPr>
        <w:footnoteRef/>
      </w:r>
      <w:r>
        <w:t xml:space="preserve"> </w:t>
      </w:r>
      <w:r w:rsidRPr="003E6ED1">
        <w:rPr>
          <w:i/>
        </w:rPr>
        <w:t>See comScore Reports September 2012</w:t>
      </w:r>
      <w:r w:rsidRPr="003E6ED1">
        <w:t xml:space="preserve">. </w:t>
      </w:r>
      <w:r w:rsidRPr="003E6ED1">
        <w:rPr>
          <w:i/>
        </w:rPr>
        <w:t>U.S. Mobile Subscriber Market Share</w:t>
      </w:r>
      <w:r w:rsidRPr="003E6ED1">
        <w:t xml:space="preserve">, Press Release, comScore, Nov. 2, 2012, </w:t>
      </w:r>
      <w:r w:rsidRPr="003E6ED1">
        <w:rPr>
          <w:i/>
        </w:rPr>
        <w:t>available at</w:t>
      </w:r>
      <w:r>
        <w:t xml:space="preserve"> </w:t>
      </w:r>
      <w:hyperlink r:id="rId447" w:history="1">
        <w:r w:rsidRPr="00466C44">
          <w:rPr>
            <w:rStyle w:val="Hyperlink"/>
          </w:rPr>
          <w:t>http://www.comscore.com/Press_Events/Press_Releases/2011/11/comScore_Reports_September_2011_U.S._Mobile_Subscriber_Market_Share</w:t>
        </w:r>
      </w:hyperlink>
      <w:r w:rsidRPr="003E6ED1">
        <w:t xml:space="preserve"> </w:t>
      </w:r>
      <w:r>
        <w:t xml:space="preserve">(visited Nov. 19, 2012). </w:t>
      </w:r>
    </w:p>
  </w:footnote>
  <w:footnote w:id="1054">
    <w:p w:rsidR="00EC7CF3" w:rsidRDefault="00EC7CF3" w:rsidP="00F16FE9">
      <w:pPr>
        <w:pStyle w:val="FootnoteText"/>
      </w:pPr>
      <w:r w:rsidRPr="00D40600">
        <w:rPr>
          <w:rStyle w:val="FootnoteReference"/>
          <w:sz w:val="20"/>
        </w:rPr>
        <w:footnoteRef/>
      </w:r>
      <w:r w:rsidRPr="00D40600">
        <w:t xml:space="preserve"> </w:t>
      </w:r>
      <w:r w:rsidRPr="00D40600">
        <w:rPr>
          <w:iCs/>
        </w:rPr>
        <w:t xml:space="preserve">comScore, Press Release, </w:t>
      </w:r>
      <w:r w:rsidRPr="00D40600">
        <w:rPr>
          <w:i/>
          <w:iCs/>
        </w:rPr>
        <w:t>comScore Reports July 2012 U.S. Mobile Subscriber Market Share</w:t>
      </w:r>
      <w:r w:rsidRPr="00D40600">
        <w:rPr>
          <w:iCs/>
        </w:rPr>
        <w:t>, Sept. 4 2012</w:t>
      </w:r>
      <w:r>
        <w:t>,</w:t>
      </w:r>
      <w:r w:rsidRPr="00D40600">
        <w:t xml:space="preserve"> </w:t>
      </w:r>
      <w:r>
        <w:rPr>
          <w:i/>
        </w:rPr>
        <w:t xml:space="preserve">available at </w:t>
      </w:r>
      <w:hyperlink r:id="rId448" w:history="1">
        <w:r w:rsidRPr="00D40600">
          <w:rPr>
            <w:rStyle w:val="Hyperlink"/>
          </w:rPr>
          <w:t>http://www.comscore.com/Press_Events/Press_Releases/2012/9/comScore_Reports_July_2012_U.S._Mobile_Subscriber_Market_Share</w:t>
        </w:r>
      </w:hyperlink>
      <w:r w:rsidRPr="00D40600">
        <w:t xml:space="preserve"> (visited Oct. 16, 2012)</w:t>
      </w:r>
      <w:r>
        <w:t>.</w:t>
      </w:r>
    </w:p>
  </w:footnote>
  <w:footnote w:id="1055">
    <w:p w:rsidR="00EC7CF3" w:rsidRDefault="00EC7CF3" w:rsidP="00F16FE9">
      <w:pPr>
        <w:pStyle w:val="FootnoteText"/>
      </w:pPr>
      <w:r w:rsidRPr="00D40600">
        <w:rPr>
          <w:rStyle w:val="FootnoteReference"/>
          <w:sz w:val="20"/>
        </w:rPr>
        <w:footnoteRef/>
      </w:r>
      <w:r w:rsidRPr="00D40600">
        <w:t xml:space="preserve"> Our data currently cannot separate 1xRTT with EV-DO handsets from 1xRTT only handsets.</w:t>
      </w:r>
    </w:p>
  </w:footnote>
  <w:footnote w:id="1056">
    <w:p w:rsidR="00EC7CF3" w:rsidRDefault="00EC7CF3" w:rsidP="00F16FE9">
      <w:pPr>
        <w:pStyle w:val="FootnoteText"/>
      </w:pPr>
      <w:r w:rsidRPr="00D40600">
        <w:rPr>
          <w:rStyle w:val="FootnoteReference"/>
          <w:sz w:val="20"/>
        </w:rPr>
        <w:footnoteRef/>
      </w:r>
      <w:r w:rsidRPr="00D40600">
        <w:t xml:space="preserve"> The number of handset models with WCDMA was 3 in November 2006, 9 in Nov. 2007, 52 in Dec. 2008, 50 in June 2009, 88 in June 2010, 103 in June 2011, and 113 in June 2012.</w:t>
      </w:r>
    </w:p>
  </w:footnote>
  <w:footnote w:id="1057">
    <w:p w:rsidR="00EC7CF3" w:rsidRDefault="00EC7CF3" w:rsidP="00F16FE9">
      <w:pPr>
        <w:pStyle w:val="FootnoteText"/>
      </w:pPr>
      <w:r w:rsidRPr="00D40600">
        <w:rPr>
          <w:rStyle w:val="FootnoteReference"/>
          <w:sz w:val="20"/>
        </w:rPr>
        <w:footnoteRef/>
      </w:r>
      <w:r w:rsidRPr="00D40600">
        <w:t xml:space="preserve"> The number of smartphone models with WCDMA was 25 in June 2009, 65 in June 2010, 77 in June 2011, and 85 in June 2012.</w:t>
      </w:r>
    </w:p>
  </w:footnote>
  <w:footnote w:id="1058">
    <w:p w:rsidR="00EC7CF3" w:rsidRDefault="00EC7CF3" w:rsidP="00F16FE9">
      <w:pPr>
        <w:pStyle w:val="FootnoteText"/>
      </w:pPr>
      <w:r w:rsidRPr="00D40600">
        <w:rPr>
          <w:rStyle w:val="FootnoteReference"/>
          <w:sz w:val="20"/>
        </w:rPr>
        <w:footnoteRef/>
      </w:r>
      <w:r w:rsidRPr="00D40600">
        <w:t xml:space="preserve"> These figures are based on data from hearing aid compatibility status reports filed by service providers in January 2012</w:t>
      </w:r>
      <w:r>
        <w:t>,</w:t>
      </w:r>
      <w:r w:rsidRPr="00D40600">
        <w:t xml:space="preserve"> for the reporting period from January 1, 2011 to December 31, 2011. </w:t>
      </w:r>
      <w:r>
        <w:t xml:space="preserve"> Service providers file their annual hearing aid compatibility reports on a different schedule than handset manufacturers:  They are required to file by January 15</w:t>
      </w:r>
      <w:r w:rsidRPr="00A22616">
        <w:rPr>
          <w:vertAlign w:val="superscript"/>
        </w:rPr>
        <w:t>th</w:t>
      </w:r>
      <w:r>
        <w:t xml:space="preserve"> of each year covering the reporting period of the previous calendar year.  </w:t>
      </w:r>
      <w:r w:rsidRPr="00D40600">
        <w:t xml:space="preserve">See more details at the FCC Hearing Aid Compatibility status reporting site at </w:t>
      </w:r>
      <w:hyperlink r:id="rId449" w:history="1">
        <w:r w:rsidRPr="00D40600">
          <w:t>http://wireless.fcc.gov/hac/index.htm?job=reports_sp</w:t>
        </w:r>
      </w:hyperlink>
      <w:r w:rsidRPr="00D40600">
        <w:t xml:space="preserve"> (visited Oct. 16, 2012) Handset information for the last month of the reporting period for service providers is presented here. </w:t>
      </w:r>
    </w:p>
  </w:footnote>
  <w:footnote w:id="1059">
    <w:p w:rsidR="00EC7CF3" w:rsidRDefault="00EC7CF3" w:rsidP="00F16FE9">
      <w:pPr>
        <w:pStyle w:val="FootnoteText"/>
      </w:pPr>
      <w:r w:rsidRPr="00D40600">
        <w:rPr>
          <w:rStyle w:val="FootnoteReference"/>
          <w:sz w:val="20"/>
        </w:rPr>
        <w:footnoteRef/>
      </w:r>
      <w:r w:rsidRPr="00D40600">
        <w:t xml:space="preserve"> Hearing aid compatibility annual status reports filed by Jan. 15, 2012.</w:t>
      </w:r>
      <w:r>
        <w:t xml:space="preserve">  Service providers file their annual HAC reports by Jan. 15 of each year covering the reporting period of the previous calendar year.</w:t>
      </w:r>
      <w:r w:rsidRPr="00D40600">
        <w:t xml:space="preserve">  286 service providers offered at least one handset model in December 2011.</w:t>
      </w:r>
    </w:p>
  </w:footnote>
  <w:footnote w:id="1060">
    <w:p w:rsidR="00EC7CF3" w:rsidRDefault="00EC7CF3" w:rsidP="00F16FE9">
      <w:pPr>
        <w:pStyle w:val="FootnoteText"/>
      </w:pPr>
      <w:r w:rsidRPr="00D40600">
        <w:rPr>
          <w:rStyle w:val="FootnoteReference"/>
          <w:sz w:val="20"/>
        </w:rPr>
        <w:footnoteRef/>
      </w:r>
      <w:r w:rsidRPr="00D40600">
        <w:t xml:space="preserve"> Hearing aid compatibility annual status reports filed by Jan. 15, 2012.</w:t>
      </w:r>
      <w:r>
        <w:t xml:space="preserve">  Service providers file their annual HAC reports by Jan. 15 of each year covering the reporting period of the previous calendar year.</w:t>
      </w:r>
      <w:r w:rsidRPr="00D40600">
        <w:t xml:space="preserve">  286 service providers offered at least one handset model in December 2011.</w:t>
      </w:r>
    </w:p>
  </w:footnote>
  <w:footnote w:id="1061">
    <w:p w:rsidR="00EC7CF3" w:rsidRDefault="00EC7CF3" w:rsidP="00165521">
      <w:pPr>
        <w:pStyle w:val="FootnoteText"/>
      </w:pPr>
      <w:r w:rsidRPr="00D40600">
        <w:rPr>
          <w:rStyle w:val="FootnoteReference"/>
        </w:rPr>
        <w:footnoteRef/>
      </w:r>
      <w:r>
        <w:t xml:space="preserve"> Nielsenwire, </w:t>
      </w:r>
      <w:r w:rsidRPr="00D40600">
        <w:t xml:space="preserve">The Nielsen Company, </w:t>
      </w:r>
      <w:r w:rsidRPr="00D40600">
        <w:rPr>
          <w:bCs/>
          <w:i/>
        </w:rPr>
        <w:t>Two Thirds of New Mobile Buyers Now Opting for Smartphones</w:t>
      </w:r>
      <w:r>
        <w:rPr>
          <w:bCs/>
        </w:rPr>
        <w:t xml:space="preserve">, </w:t>
      </w:r>
      <w:r w:rsidRPr="00D40600">
        <w:rPr>
          <w:bCs/>
        </w:rPr>
        <w:t>July 12, 2012.  See also http://blog.nielsen.com/nielsenwire/online_mobile/two-thirds-of-new-mobile-buyers-now-opting-for-smartphones/ (visited Nov. 19, 2012)</w:t>
      </w:r>
      <w:r>
        <w:rPr>
          <w:bCs/>
        </w:rPr>
        <w:t>.</w:t>
      </w:r>
    </w:p>
  </w:footnote>
  <w:footnote w:id="1062">
    <w:p w:rsidR="00EC7CF3" w:rsidRPr="0060721F" w:rsidRDefault="00EC7CF3">
      <w:pPr>
        <w:pStyle w:val="FootnoteText"/>
      </w:pPr>
      <w:r>
        <w:rPr>
          <w:rStyle w:val="FootnoteReference"/>
        </w:rPr>
        <w:footnoteRef/>
      </w:r>
      <w:r>
        <w:t xml:space="preserve"> Aaron Smith, Pew Internet, Pew Internet and American Life Project, 46% of American adults are smartphone owners, March 2012, available at </w:t>
      </w:r>
      <w:hyperlink r:id="rId450" w:history="1">
        <w:r w:rsidRPr="00531254">
          <w:rPr>
            <w:rStyle w:val="Hyperlink"/>
          </w:rPr>
          <w:t>http://pewinternet.org/reports/2012/smartphone-update-2012.aspx</w:t>
        </w:r>
      </w:hyperlink>
      <w:r w:rsidRPr="0060721F">
        <w:rPr>
          <w:rStyle w:val="Hyperlink"/>
          <w:u w:val="none"/>
        </w:rPr>
        <w:t>.</w:t>
      </w:r>
      <w:r w:rsidRPr="0060721F">
        <w:t xml:space="preserve"> </w:t>
      </w:r>
    </w:p>
  </w:footnote>
  <w:footnote w:id="1063">
    <w:p w:rsidR="00EC7CF3" w:rsidRDefault="00EC7CF3" w:rsidP="00F16FE9">
      <w:pPr>
        <w:pStyle w:val="FootnoteText"/>
      </w:pPr>
      <w:r w:rsidRPr="00D40600">
        <w:rPr>
          <w:rStyle w:val="FootnoteReference"/>
          <w:sz w:val="20"/>
        </w:rPr>
        <w:footnoteRef/>
      </w:r>
      <w:r w:rsidRPr="00D40600">
        <w:t xml:space="preserve"> </w:t>
      </w:r>
      <w:r w:rsidRPr="00D40600">
        <w:rPr>
          <w:i/>
        </w:rPr>
        <w:t>Id.</w:t>
      </w:r>
    </w:p>
  </w:footnote>
  <w:footnote w:id="1064">
    <w:p w:rsidR="00EC7CF3" w:rsidRDefault="00EC7CF3" w:rsidP="0028065E">
      <w:pPr>
        <w:pStyle w:val="FootnoteText"/>
      </w:pPr>
      <w:r w:rsidRPr="00D40600">
        <w:rPr>
          <w:rStyle w:val="FootnoteReference"/>
          <w:sz w:val="20"/>
        </w:rPr>
        <w:footnoteRef/>
      </w:r>
      <w:r w:rsidRPr="00D40600">
        <w:t xml:space="preserve"> There are other distribution channels for mobile wireless handsets, such as third-party retailers.  </w:t>
      </w:r>
      <w:r w:rsidRPr="00D40600">
        <w:rPr>
          <w:i/>
        </w:rPr>
        <w:t xml:space="preserve">See </w:t>
      </w:r>
      <w:r>
        <w:t xml:space="preserve">Section III.B.2, Resale and MVNO Providers, </w:t>
      </w:r>
      <w:r w:rsidRPr="00763387">
        <w:rPr>
          <w:i/>
        </w:rPr>
        <w:t>supra.</w:t>
      </w:r>
      <w:r>
        <w:t xml:space="preserve"> </w:t>
      </w:r>
    </w:p>
  </w:footnote>
  <w:footnote w:id="1065">
    <w:p w:rsidR="00EC7CF3" w:rsidRDefault="00EC7CF3" w:rsidP="0028065E">
      <w:pPr>
        <w:pStyle w:val="FootnoteText"/>
      </w:pPr>
      <w:r w:rsidRPr="00D40600">
        <w:rPr>
          <w:rStyle w:val="FootnoteReference"/>
          <w:sz w:val="20"/>
        </w:rPr>
        <w:footnoteRef/>
      </w:r>
      <w:r w:rsidRPr="00D40600">
        <w:t xml:space="preserve">  </w:t>
      </w:r>
      <w:r w:rsidRPr="00D40600">
        <w:rPr>
          <w:i/>
        </w:rPr>
        <w:t>See</w:t>
      </w:r>
      <w:r w:rsidRPr="00D40600">
        <w:t xml:space="preserve"> </w:t>
      </w:r>
      <w:r w:rsidRPr="00D40600">
        <w:rPr>
          <w:i/>
        </w:rPr>
        <w:t>Antitrust Law and Economics</w:t>
      </w:r>
      <w:r w:rsidRPr="00D40600">
        <w:t xml:space="preserve">, at 326 (“Under a tying arrangement, the seller of a product conditions the sale of one product upon the buyer’s agreement to purchase a second product.”)  In particular, the sale of the handset is conditioned on the subsequent purchase of the multi-month wireless service subscription.  </w:t>
      </w:r>
    </w:p>
  </w:footnote>
  <w:footnote w:id="1066">
    <w:p w:rsidR="00EC7CF3" w:rsidRDefault="00EC7CF3" w:rsidP="0028065E">
      <w:pPr>
        <w:pStyle w:val="FootnoteText"/>
      </w:pPr>
      <w:r w:rsidRPr="00D40600">
        <w:rPr>
          <w:rStyle w:val="FootnoteReference"/>
          <w:sz w:val="20"/>
        </w:rPr>
        <w:footnoteRef/>
      </w:r>
      <w:r w:rsidRPr="00D40600">
        <w:t xml:space="preserve"> Many handsets sold in the United States are “locked,” meaning that they normally will operate only on a single wireless network for the duration that the handset is locked.  Locking can prevent a consumer from taking a handset from one service provider to another, unless the handset is reprogrammed.  In October 2012, the Librarian of Congress modified an existing exemption to the Digital Millennium Copyright Act (DMCA) that had permitted </w:t>
      </w:r>
    </w:p>
    <w:p w:rsidR="00EC7CF3" w:rsidRDefault="00EC7CF3" w:rsidP="0028065E">
      <w:pPr>
        <w:pStyle w:val="FootnoteText"/>
      </w:pPr>
      <w:r w:rsidRPr="00D40600">
        <w:t xml:space="preserve">consumers to “unlock” handsets (by modifying the handsets’ software) without violating the DMCA.  </w:t>
      </w:r>
      <w:r w:rsidRPr="00D40600">
        <w:rPr>
          <w:i/>
        </w:rPr>
        <w:t>See</w:t>
      </w:r>
      <w:r w:rsidRPr="00D40600">
        <w:t xml:space="preserve"> Exemption on Prohibition of Copyright Protection Systems for Access Control Technologies, 77, Fed. Reg. 65260, 65265-266 (Oct, 26, 2012).  Under the new exemption for unlocking, consumers are permitted to unlock legacy handsets without violating the DMCA, but may not unlock handsets purchased after a 90-day transition period following the new exemption. </w:t>
      </w:r>
      <w:r w:rsidRPr="00D40600">
        <w:rPr>
          <w:i/>
        </w:rPr>
        <w:t xml:space="preserve"> Id.</w:t>
      </w:r>
    </w:p>
  </w:footnote>
  <w:footnote w:id="1067">
    <w:p w:rsidR="00EC7CF3" w:rsidRDefault="00EC7CF3" w:rsidP="0028065E">
      <w:pPr>
        <w:pStyle w:val="FootnoteText"/>
      </w:pPr>
      <w:r w:rsidRPr="00D40600">
        <w:rPr>
          <w:rStyle w:val="FootnoteReference"/>
          <w:sz w:val="20"/>
        </w:rPr>
        <w:footnoteRef/>
      </w:r>
      <w:r w:rsidRPr="00D40600">
        <w:t xml:space="preserve"> </w:t>
      </w:r>
      <w:r w:rsidRPr="00D40600">
        <w:rPr>
          <w:i/>
        </w:rPr>
        <w:t>See</w:t>
      </w:r>
      <w:r w:rsidRPr="00D40600">
        <w:t>,</w:t>
      </w:r>
      <w:r w:rsidRPr="00D40600">
        <w:rPr>
          <w:i/>
        </w:rPr>
        <w:t xml:space="preserve"> e.g</w:t>
      </w:r>
      <w:r w:rsidRPr="00D40600">
        <w:t xml:space="preserve">., David Pogue, </w:t>
      </w:r>
      <w:r w:rsidRPr="00D40600">
        <w:rPr>
          <w:i/>
        </w:rPr>
        <w:t>The Irksome Cell Phone Industry</w:t>
      </w:r>
      <w:r w:rsidRPr="00D40600">
        <w:t xml:space="preserve">, The New York Times, July 22, 2009, at B1.  </w:t>
      </w:r>
    </w:p>
  </w:footnote>
  <w:footnote w:id="1068">
    <w:p w:rsidR="00EC7CF3" w:rsidRPr="00BA7D0B" w:rsidRDefault="00EC7CF3" w:rsidP="0081309C">
      <w:pPr>
        <w:pStyle w:val="FootnoteText"/>
        <w:spacing w:before="240"/>
        <w:rPr>
          <w:u w:val="single"/>
        </w:rPr>
      </w:pPr>
      <w:r>
        <w:rPr>
          <w:rStyle w:val="FootnoteReference"/>
        </w:rPr>
        <w:footnoteRef/>
      </w:r>
      <w:r>
        <w:t xml:space="preserve"> </w:t>
      </w:r>
      <w:r w:rsidRPr="00D40600">
        <w:rPr>
          <w:i/>
        </w:rPr>
        <w:t xml:space="preserve">See </w:t>
      </w:r>
      <w:r>
        <w:t>Joan Marsh</w:t>
      </w:r>
      <w:r w:rsidRPr="00D40600">
        <w:t>, “</w:t>
      </w:r>
      <w:r>
        <w:t xml:space="preserve">Bottom line: We Unlock Our Customers’ Devices,” AT&amp;T Public Policy blog post, March 8, 2013, available at </w:t>
      </w:r>
      <w:hyperlink r:id="rId451" w:history="1">
        <w:r w:rsidRPr="00BA7D0B">
          <w:rPr>
            <w:rStyle w:val="Hyperlink"/>
          </w:rPr>
          <w:t>http://attpublicpolicy.com/wireless/bottom-line-we-unlock-our-customers’-devices</w:t>
        </w:r>
      </w:hyperlink>
      <w:r w:rsidRPr="00BA7D0B">
        <w:t xml:space="preserve"> (last visited Mar. 13, 2013); Verizon Wireless, Customer Agreement, available at    </w:t>
      </w:r>
      <w:hyperlink r:id="rId452" w:history="1">
        <w:r w:rsidRPr="00BA7D0B">
          <w:rPr>
            <w:rStyle w:val="Hyperlink"/>
          </w:rPr>
          <w:t>http://www.verizonwireless.com/b2c/globalText?textName=CUSTOMER_AGREEMENT&amp;jspName=footer/customerAgreement.jsp</w:t>
        </w:r>
      </w:hyperlink>
      <w:r w:rsidRPr="009B3AC2">
        <w:rPr>
          <w:rStyle w:val="Hyperlink"/>
          <w:u w:val="none"/>
        </w:rPr>
        <w:t xml:space="preserve"> </w:t>
      </w:r>
      <w:r w:rsidRPr="00BA7D0B">
        <w:rPr>
          <w:rStyle w:val="Hyperlink"/>
          <w:color w:val="auto"/>
          <w:u w:val="none"/>
        </w:rPr>
        <w:t>(last visited March 19, 2013);</w:t>
      </w:r>
      <w:r>
        <w:rPr>
          <w:rStyle w:val="Hyperlink"/>
          <w:color w:val="auto"/>
          <w:u w:val="none"/>
        </w:rPr>
        <w:t xml:space="preserve"> </w:t>
      </w:r>
      <w:r w:rsidRPr="00BA7D0B">
        <w:rPr>
          <w:rStyle w:val="Hyperlink"/>
          <w:color w:val="auto"/>
          <w:u w:val="none"/>
        </w:rPr>
        <w:t>Sprint, Standardized Wireless Service Checklist, available at</w:t>
      </w:r>
      <w:r w:rsidRPr="00BA7D0B">
        <w:rPr>
          <w:rStyle w:val="Hyperlink"/>
          <w:color w:val="auto"/>
        </w:rPr>
        <w:t xml:space="preserve"> </w:t>
      </w:r>
      <w:hyperlink r:id="rId453" w:history="1">
        <w:r w:rsidRPr="008317A3">
          <w:rPr>
            <w:rStyle w:val="Hyperlink"/>
          </w:rPr>
          <w:t>http://www.sprint.com/landings/ctiachecklist/docs/ctia-transparency-postpaid.pdf</w:t>
        </w:r>
      </w:hyperlink>
      <w:r>
        <w:rPr>
          <w:u w:val="single"/>
        </w:rPr>
        <w:t xml:space="preserve"> </w:t>
      </w:r>
      <w:r>
        <w:rPr>
          <w:rStyle w:val="Hyperlink"/>
          <w:color w:val="auto"/>
          <w:u w:val="none"/>
        </w:rPr>
        <w:t xml:space="preserve"> </w:t>
      </w:r>
      <w:r w:rsidRPr="00BA7D0B">
        <w:rPr>
          <w:rStyle w:val="Hyperlink"/>
          <w:color w:val="auto"/>
          <w:u w:val="none"/>
        </w:rPr>
        <w:t xml:space="preserve">(last visited March 19, 2013); and  T-Mobile Support blog post, “Unlock Your Phone with a SIM Unlock Code,” updated on March 8, 2013, available at  </w:t>
      </w:r>
      <w:hyperlink r:id="rId454" w:history="1">
        <w:r>
          <w:rPr>
            <w:rStyle w:val="Hyperlink"/>
          </w:rPr>
          <w:t>http://support.t-mobile.com/docs/DOC-1588</w:t>
        </w:r>
      </w:hyperlink>
      <w:r w:rsidRPr="00BA7D0B">
        <w:rPr>
          <w:rStyle w:val="Hyperlink"/>
          <w:u w:val="none"/>
        </w:rPr>
        <w:t xml:space="preserve">  </w:t>
      </w:r>
      <w:r w:rsidRPr="00BA7D0B">
        <w:rPr>
          <w:rStyle w:val="Hyperlink"/>
          <w:color w:val="auto"/>
          <w:u w:val="none"/>
        </w:rPr>
        <w:t>(last visited March 19, 2013)</w:t>
      </w:r>
      <w:r w:rsidRPr="00BA7D0B">
        <w:t>.</w:t>
      </w:r>
    </w:p>
  </w:footnote>
  <w:footnote w:id="1069">
    <w:p w:rsidR="00EC7CF3" w:rsidRDefault="00EC7CF3" w:rsidP="0028065E">
      <w:pPr>
        <w:pStyle w:val="FootnoteText"/>
      </w:pPr>
      <w:r w:rsidRPr="00D40600">
        <w:rPr>
          <w:rStyle w:val="FootnoteReference"/>
          <w:sz w:val="20"/>
        </w:rPr>
        <w:footnoteRef/>
      </w:r>
      <w:r w:rsidRPr="00D40600">
        <w:t xml:space="preserve"> </w:t>
      </w:r>
      <w:r w:rsidRPr="00D40600">
        <w:rPr>
          <w:i/>
        </w:rPr>
        <w:t>See</w:t>
      </w:r>
      <w:r w:rsidRPr="00D40600">
        <w:t xml:space="preserve">, </w:t>
      </w:r>
      <w:r w:rsidRPr="00D40600">
        <w:rPr>
          <w:i/>
        </w:rPr>
        <w:t>e.g</w:t>
      </w:r>
      <w:r w:rsidRPr="00D40600">
        <w:t xml:space="preserve">., Best Buy at </w:t>
      </w:r>
      <w:hyperlink r:id="rId455" w:history="1">
        <w:r w:rsidRPr="00D40600">
          <w:rPr>
            <w:rStyle w:val="Hyperlink"/>
          </w:rPr>
          <w:t>www.bestbuy.com</w:t>
        </w:r>
      </w:hyperlink>
      <w:r w:rsidRPr="00D40600">
        <w:t xml:space="preserve"> (selling 103 unlocked handsets on March 5, 2012).  </w:t>
      </w:r>
      <w:r w:rsidRPr="00D40600">
        <w:rPr>
          <w:i/>
        </w:rPr>
        <w:t>See also</w:t>
      </w:r>
      <w:r w:rsidRPr="00D40600">
        <w:t xml:space="preserve">, the online stores of handset manufacturers Motorola and Nokia at </w:t>
      </w:r>
      <w:hyperlink r:id="rId456" w:history="1">
        <w:r w:rsidRPr="00D40600">
          <w:rPr>
            <w:rStyle w:val="Hyperlink"/>
          </w:rPr>
          <w:t>http://www.motorola.com/Consumers/US-EN/Home</w:t>
        </w:r>
      </w:hyperlink>
      <w:r w:rsidRPr="00D40600">
        <w:t xml:space="preserve"> </w:t>
      </w:r>
      <w:r w:rsidRPr="00432F46">
        <w:rPr>
          <w:rStyle w:val="Hyperlink"/>
          <w:color w:val="auto"/>
          <w:u w:val="none"/>
        </w:rPr>
        <w:t>(visited Oct. 16, 2012)</w:t>
      </w:r>
      <w:r w:rsidRPr="00432F46">
        <w:t xml:space="preserve"> </w:t>
      </w:r>
      <w:r w:rsidRPr="00D40600">
        <w:t xml:space="preserve">and </w:t>
      </w:r>
      <w:hyperlink r:id="rId457" w:history="1">
        <w:r w:rsidRPr="00D40600">
          <w:rPr>
            <w:rStyle w:val="Hyperlink"/>
          </w:rPr>
          <w:t>http://www.nokiausa.com/</w:t>
        </w:r>
      </w:hyperlink>
      <w:r w:rsidRPr="00D40600">
        <w:rPr>
          <w:rStyle w:val="Hyperlink"/>
        </w:rPr>
        <w:t xml:space="preserve"> </w:t>
      </w:r>
      <w:r w:rsidRPr="00432F46">
        <w:rPr>
          <w:rStyle w:val="Hyperlink"/>
          <w:color w:val="auto"/>
          <w:u w:val="none"/>
        </w:rPr>
        <w:t>(visited Oct. 16, 2012)</w:t>
      </w:r>
      <w:r w:rsidRPr="00432F46">
        <w:t xml:space="preserve">, </w:t>
      </w:r>
      <w:r w:rsidRPr="00D40600">
        <w:t xml:space="preserve">respectively.  Apple sells the iPhone 4S unlocked (for GSM networks only); </w:t>
      </w:r>
      <w:r>
        <w:rPr>
          <w:i/>
        </w:rPr>
        <w:t>S</w:t>
      </w:r>
      <w:r w:rsidRPr="00D40600">
        <w:rPr>
          <w:i/>
        </w:rPr>
        <w:t>ee</w:t>
      </w:r>
      <w:r w:rsidRPr="00D40600">
        <w:t xml:space="preserve"> </w:t>
      </w:r>
      <w:hyperlink r:id="rId458" w:history="1">
        <w:r w:rsidRPr="00D40600">
          <w:rPr>
            <w:rStyle w:val="Hyperlink"/>
          </w:rPr>
          <w:t>http://store.apple.com/us/browse/home/shop_iphone/family/iphone/iphone4s?afid=p219%7CGOUS&amp;cid=AOS-US-KWG</w:t>
        </w:r>
      </w:hyperlink>
      <w:r w:rsidRPr="00D40600">
        <w:rPr>
          <w:rStyle w:val="Hyperlink"/>
        </w:rPr>
        <w:t xml:space="preserve"> </w:t>
      </w:r>
      <w:r w:rsidRPr="00432F46">
        <w:rPr>
          <w:rStyle w:val="Hyperlink"/>
          <w:color w:val="auto"/>
          <w:u w:val="none"/>
        </w:rPr>
        <w:t>(visited Oct. 16, 2012)</w:t>
      </w:r>
      <w:r w:rsidRPr="00432F46">
        <w:t xml:space="preserve">.  </w:t>
      </w:r>
    </w:p>
  </w:footnote>
  <w:footnote w:id="1070">
    <w:p w:rsidR="00EC7CF3" w:rsidRDefault="00EC7CF3" w:rsidP="0028065E">
      <w:pPr>
        <w:pStyle w:val="FootnoteText"/>
      </w:pPr>
      <w:r w:rsidRPr="00D40600">
        <w:rPr>
          <w:rStyle w:val="FootnoteReference"/>
          <w:sz w:val="20"/>
        </w:rPr>
        <w:footnoteRef/>
      </w:r>
      <w:r w:rsidRPr="00D40600">
        <w:t xml:space="preserve"> </w:t>
      </w:r>
      <w:r w:rsidRPr="00D40600">
        <w:rPr>
          <w:i/>
        </w:rPr>
        <w:t>See</w:t>
      </w:r>
      <w:r w:rsidRPr="00D40600">
        <w:t xml:space="preserve"> T-Mobile, Shop Plans, Value Plans, </w:t>
      </w:r>
      <w:r w:rsidRPr="00432F46">
        <w:rPr>
          <w:i/>
        </w:rPr>
        <w:t>available at</w:t>
      </w:r>
      <w:r w:rsidRPr="00D40600">
        <w:t xml:space="preserve"> </w:t>
      </w:r>
      <w:hyperlink r:id="rId459" w:history="1">
        <w:r w:rsidRPr="000A774E">
          <w:rPr>
            <w:rStyle w:val="Hyperlink"/>
          </w:rPr>
          <w:t>http://www.tmobile.com/shop/Packages/ValuePackages.aspx</w:t>
        </w:r>
      </w:hyperlink>
      <w:r w:rsidRPr="00D40600">
        <w:t xml:space="preserve"> (visited Aug. 20, 2012) (selling a 200 MB data plan for $54.99 per month when a customer provides her own handset, and for $69.99 as an individual postpaid plan in which the consumer purchases a handset-plan bundle from T-Mobile; </w:t>
      </w:r>
      <w:r w:rsidRPr="00D40600">
        <w:rPr>
          <w:i/>
        </w:rPr>
        <w:t>supra</w:t>
      </w:r>
      <w:r w:rsidRPr="00D40600">
        <w:t xml:space="preserve"> Section IV.A.1, Postpaid Plans.</w:t>
      </w:r>
    </w:p>
  </w:footnote>
  <w:footnote w:id="1071">
    <w:p w:rsidR="00EC7CF3" w:rsidRPr="0055329E" w:rsidRDefault="00EC7CF3" w:rsidP="00E10980">
      <w:pPr>
        <w:spacing w:after="120"/>
      </w:pPr>
      <w:r w:rsidRPr="0055329E">
        <w:rPr>
          <w:rStyle w:val="FootnoteReference"/>
        </w:rPr>
        <w:footnoteRef/>
      </w:r>
      <w:r w:rsidRPr="0055329E">
        <w:rPr>
          <w:sz w:val="20"/>
        </w:rPr>
        <w:t xml:space="preserve"> </w:t>
      </w:r>
      <w:r w:rsidRPr="0055329E">
        <w:rPr>
          <w:i/>
          <w:sz w:val="20"/>
        </w:rPr>
        <w:t xml:space="preserve">See </w:t>
      </w:r>
      <w:r w:rsidRPr="0055329E">
        <w:rPr>
          <w:sz w:val="20"/>
        </w:rPr>
        <w:t>Section</w:t>
      </w:r>
      <w:r w:rsidRPr="0055329E">
        <w:rPr>
          <w:i/>
          <w:sz w:val="20"/>
        </w:rPr>
        <w:t xml:space="preserve"> </w:t>
      </w:r>
      <w:r>
        <w:fldChar w:fldCharType="begin"/>
      </w:r>
      <w:r>
        <w:instrText xml:space="preserve"> REF _Ref256168774 \w \h  \* MERGEFORMAT </w:instrText>
      </w:r>
      <w:r>
        <w:fldChar w:fldCharType="separate"/>
      </w:r>
      <w:r w:rsidRPr="00CA3AC6">
        <w:rPr>
          <w:bCs/>
          <w:sz w:val="20"/>
        </w:rPr>
        <w:t>IV.B.1.a</w:t>
      </w:r>
      <w:r>
        <w:fldChar w:fldCharType="end"/>
      </w:r>
      <w:r w:rsidRPr="0055329E">
        <w:rPr>
          <w:sz w:val="20"/>
        </w:rPr>
        <w:t xml:space="preserve">, </w:t>
      </w:r>
      <w:r>
        <w:fldChar w:fldCharType="begin"/>
      </w:r>
      <w:r>
        <w:instrText xml:space="preserve"> REF _Ref256168774 \h  \* MERGEFORMAT </w:instrText>
      </w:r>
      <w:r>
        <w:fldChar w:fldCharType="separate"/>
      </w:r>
      <w:r w:rsidRPr="00CA3AC6">
        <w:rPr>
          <w:bCs/>
          <w:sz w:val="20"/>
        </w:rPr>
        <w:t>Service Provider Technology Deployments</w:t>
      </w:r>
      <w:r>
        <w:fldChar w:fldCharType="end"/>
      </w:r>
      <w:r w:rsidRPr="0055329E">
        <w:rPr>
          <w:sz w:val="20"/>
        </w:rPr>
        <w:t>,</w:t>
      </w:r>
      <w:r w:rsidRPr="0055329E">
        <w:rPr>
          <w:i/>
          <w:sz w:val="20"/>
        </w:rPr>
        <w:t xml:space="preserve"> supra</w:t>
      </w:r>
    </w:p>
  </w:footnote>
  <w:footnote w:id="1072">
    <w:p w:rsidR="00EC7CF3" w:rsidRPr="0055329E" w:rsidRDefault="00EC7CF3" w:rsidP="00E10980">
      <w:pPr>
        <w:pStyle w:val="FootnoteText"/>
      </w:pPr>
      <w:r w:rsidRPr="0055329E">
        <w:rPr>
          <w:rStyle w:val="FootnoteReference"/>
          <w:rFonts w:eastAsia="SimSun"/>
        </w:rPr>
        <w:footnoteRef/>
      </w:r>
      <w:r w:rsidRPr="0055329E">
        <w:t xml:space="preserve"> </w:t>
      </w:r>
      <w:r w:rsidRPr="0055329E">
        <w:rPr>
          <w:i/>
        </w:rPr>
        <w:t>700 MHz Block A Good Faith Purchaser Alliance Petition for Rulemaking Regarding the Need for 700 MHz Mobile Equipment to be Capable of Operating on All Paired Commercial 700 MHz Frequency Blocks</w:t>
      </w:r>
      <w:r w:rsidRPr="0055329E">
        <w:t>, filed Sept. 29, 2009 (</w:t>
      </w:r>
      <w:r w:rsidRPr="0055329E">
        <w:rPr>
          <w:i/>
        </w:rPr>
        <w:t>700 MHz Equipment Petition</w:t>
      </w:r>
      <w:r w:rsidRPr="0055329E">
        <w:t>), at iii, 12.</w:t>
      </w:r>
    </w:p>
  </w:footnote>
  <w:footnote w:id="1073">
    <w:p w:rsidR="00EC7CF3" w:rsidRPr="0055329E" w:rsidRDefault="00EC7CF3" w:rsidP="00E10980">
      <w:pPr>
        <w:pStyle w:val="FootnoteText"/>
      </w:pPr>
      <w:r w:rsidRPr="0055329E">
        <w:rPr>
          <w:rStyle w:val="FootnoteReference"/>
          <w:rFonts w:eastAsia="SimSun"/>
        </w:rPr>
        <w:footnoteRef/>
      </w:r>
      <w:r w:rsidRPr="0055329E">
        <w:t xml:space="preserve"> </w:t>
      </w:r>
      <w:r w:rsidRPr="0055329E">
        <w:rPr>
          <w:i/>
        </w:rPr>
        <w:t>700 MHz Equipment Petition</w:t>
      </w:r>
      <w:r w:rsidRPr="0055329E">
        <w:t xml:space="preserve"> at 2, 4.</w:t>
      </w:r>
    </w:p>
  </w:footnote>
  <w:footnote w:id="1074">
    <w:p w:rsidR="00EC7CF3" w:rsidRPr="0055329E" w:rsidRDefault="00EC7CF3" w:rsidP="00E10980">
      <w:pPr>
        <w:pStyle w:val="FootnoteText"/>
      </w:pPr>
      <w:r w:rsidRPr="0055329E">
        <w:rPr>
          <w:rStyle w:val="FootnoteReference"/>
          <w:rFonts w:eastAsia="SimSun"/>
        </w:rPr>
        <w:footnoteRef/>
      </w:r>
      <w:r w:rsidRPr="0055329E">
        <w:t xml:space="preserve"> “Federal Communications Commission Announces Agenda for Workshop on the Interoperability of Customer Mobile Equipment Across Commercial Spectrum Blocks in the 700 MHz Band,” RM 11592, </w:t>
      </w:r>
      <w:r w:rsidRPr="0055329E">
        <w:rPr>
          <w:i/>
        </w:rPr>
        <w:t>Public Notice</w:t>
      </w:r>
      <w:r w:rsidRPr="0055329E">
        <w:t>, DA 11-714 (WTB rel. Apr. 22, 2011).</w:t>
      </w:r>
    </w:p>
  </w:footnote>
  <w:footnote w:id="1075">
    <w:p w:rsidR="00EC7CF3" w:rsidRPr="0055329E" w:rsidRDefault="00EC7CF3" w:rsidP="00E10980">
      <w:pPr>
        <w:pStyle w:val="FootnoteText"/>
      </w:pPr>
      <w:r w:rsidRPr="0055329E">
        <w:rPr>
          <w:rStyle w:val="FootnoteReference"/>
          <w:rFonts w:eastAsia="SimSun"/>
        </w:rPr>
        <w:footnoteRef/>
      </w:r>
      <w:r w:rsidRPr="0055329E">
        <w:t xml:space="preserve"> </w:t>
      </w:r>
      <w:r w:rsidRPr="0055329E">
        <w:rPr>
          <w:i/>
        </w:rPr>
        <w:t xml:space="preserve">Id. </w:t>
      </w:r>
      <w:r w:rsidRPr="0055329E">
        <w:t xml:space="preserve">at 1-2; </w:t>
      </w:r>
      <w:r w:rsidRPr="0055329E">
        <w:rPr>
          <w:i/>
        </w:rPr>
        <w:t xml:space="preserve">see </w:t>
      </w:r>
      <w:r w:rsidRPr="0055329E">
        <w:t xml:space="preserve">FCC, 700 MHz Interoperability Workshop (video), Apr. 26, 2011, </w:t>
      </w:r>
      <w:hyperlink r:id="rId460" w:history="1">
        <w:r w:rsidRPr="0055329E">
          <w:rPr>
            <w:rStyle w:val="Hyperlink"/>
            <w:rFonts w:eastAsia="SimSun"/>
          </w:rPr>
          <w:t>http://www.fcc.gov/events/700-mhz-interoperability-workshop</w:t>
        </w:r>
      </w:hyperlink>
      <w:r w:rsidRPr="0055329E">
        <w:t xml:space="preserve"> (visited Oct. 16, 2012).</w:t>
      </w:r>
    </w:p>
  </w:footnote>
  <w:footnote w:id="1076">
    <w:p w:rsidR="00EC7CF3" w:rsidRPr="0024349B" w:rsidRDefault="00EC7CF3">
      <w:pPr>
        <w:pStyle w:val="FootnoteText"/>
      </w:pPr>
      <w:r>
        <w:rPr>
          <w:rStyle w:val="FootnoteReference"/>
        </w:rPr>
        <w:footnoteRef/>
      </w:r>
      <w:r>
        <w:t xml:space="preserve"> </w:t>
      </w:r>
      <w:r>
        <w:rPr>
          <w:i/>
        </w:rPr>
        <w:t xml:space="preserve">See </w:t>
      </w:r>
      <w:r>
        <w:t xml:space="preserve">Promoting Interoperability in the 700 MHz Commercial Spectrum, WT Docket No. 12-69, </w:t>
      </w:r>
      <w:r w:rsidRPr="0024349B">
        <w:rPr>
          <w:i/>
        </w:rPr>
        <w:t>Notice of Proposed Rulemaking</w:t>
      </w:r>
      <w:r>
        <w:t>, 27 FCC Rcd 3521 (2012) (</w:t>
      </w:r>
      <w:r w:rsidRPr="0024349B">
        <w:rPr>
          <w:i/>
        </w:rPr>
        <w:t>700 MHz Interoperability</w:t>
      </w:r>
      <w:r>
        <w:t xml:space="preserve"> NPRM).</w:t>
      </w:r>
    </w:p>
  </w:footnote>
  <w:footnote w:id="1077">
    <w:p w:rsidR="00EC7CF3" w:rsidRPr="00FE3E39" w:rsidRDefault="00EC7CF3">
      <w:pPr>
        <w:pStyle w:val="FootnoteText"/>
      </w:pPr>
      <w:r>
        <w:rPr>
          <w:rStyle w:val="FootnoteReference"/>
        </w:rPr>
        <w:footnoteRef/>
      </w:r>
      <w:r>
        <w:t xml:space="preserve"> </w:t>
      </w:r>
      <w:r w:rsidRPr="00FE3E39">
        <w:t>Id. at 3522, ¶¶ 3-4</w:t>
      </w:r>
      <w:r>
        <w:t>.</w:t>
      </w:r>
    </w:p>
  </w:footnote>
  <w:footnote w:id="1078">
    <w:p w:rsidR="00EC7CF3" w:rsidRDefault="00EC7CF3">
      <w:pPr>
        <w:pStyle w:val="FootnoteText"/>
      </w:pPr>
      <w:r>
        <w:rPr>
          <w:rStyle w:val="FootnoteReference"/>
        </w:rPr>
        <w:footnoteRef/>
      </w:r>
      <w:r>
        <w:t xml:space="preserve"> </w:t>
      </w:r>
      <w:r w:rsidRPr="00FE3E39">
        <w:t>Id. at 3522, ¶ 5</w:t>
      </w:r>
      <w:r>
        <w:t>.</w:t>
      </w:r>
    </w:p>
  </w:footnote>
  <w:footnote w:id="1079">
    <w:p w:rsidR="00EC7CF3" w:rsidRPr="00D651B2" w:rsidRDefault="00EC7CF3">
      <w:pPr>
        <w:pStyle w:val="FootnoteText"/>
      </w:pPr>
      <w:r>
        <w:rPr>
          <w:rStyle w:val="FootnoteReference"/>
        </w:rPr>
        <w:footnoteRef/>
      </w:r>
      <w:r>
        <w:t xml:space="preserve"> </w:t>
      </w:r>
      <w:r>
        <w:rPr>
          <w:i/>
        </w:rPr>
        <w:t xml:space="preserve">See </w:t>
      </w:r>
      <w:r w:rsidRPr="0065315B">
        <w:t>Wireless Telecommunications Bureau Extends 700 Mhz A Block Licensee Interim Construction Benchmark Deadline Until December 13, 2013</w:t>
      </w:r>
      <w:r>
        <w:t>, Public Notice, WT Docket 12-332, Feb. 13, 2013 (WTB).</w:t>
      </w:r>
    </w:p>
  </w:footnote>
  <w:footnote w:id="1080">
    <w:p w:rsidR="00EC7CF3" w:rsidRDefault="00EC7CF3" w:rsidP="0028065E">
      <w:pPr>
        <w:pStyle w:val="FootnoteText"/>
      </w:pPr>
      <w:r w:rsidRPr="00D40600">
        <w:t xml:space="preserve"> </w:t>
      </w:r>
      <w:r w:rsidRPr="00D40600">
        <w:rPr>
          <w:rStyle w:val="FootnoteReference"/>
          <w:sz w:val="20"/>
        </w:rPr>
        <w:footnoteRef/>
      </w:r>
      <w:r w:rsidRPr="00D40600">
        <w:t xml:space="preserve">See </w:t>
      </w:r>
      <w:r w:rsidRPr="00D40600">
        <w:rPr>
          <w:i/>
        </w:rPr>
        <w:t>Just-in-time Information through Mobile Connections</w:t>
      </w:r>
      <w:r>
        <w:rPr>
          <w:i/>
        </w:rPr>
        <w:t>,</w:t>
      </w:r>
      <w:r w:rsidRPr="00D40600">
        <w:t xml:space="preserve"> </w:t>
      </w:r>
      <w:r w:rsidRPr="00432F46">
        <w:rPr>
          <w:i/>
        </w:rPr>
        <w:t>available at</w:t>
      </w:r>
      <w:r w:rsidRPr="00D40600">
        <w:t xml:space="preserve"> </w:t>
      </w:r>
      <w:hyperlink r:id="rId461" w:history="1">
        <w:r w:rsidRPr="00D40600">
          <w:rPr>
            <w:rStyle w:val="Hyperlink"/>
          </w:rPr>
          <w:t>http://pewinternet.org/Reports/2012/Just-in-time.aspx</w:t>
        </w:r>
      </w:hyperlink>
      <w:r w:rsidRPr="00D40600">
        <w:t xml:space="preserve"> (visited Oct. 16, 2012).</w:t>
      </w:r>
    </w:p>
  </w:footnote>
  <w:footnote w:id="1081">
    <w:p w:rsidR="00EC7CF3" w:rsidRDefault="00EC7CF3">
      <w:pPr>
        <w:pStyle w:val="FootnoteText"/>
      </w:pPr>
      <w:r w:rsidRPr="00D40600">
        <w:rPr>
          <w:rStyle w:val="FootnoteReference"/>
          <w:sz w:val="20"/>
        </w:rPr>
        <w:footnoteRef/>
      </w:r>
      <w:r w:rsidRPr="00D40600">
        <w:t xml:space="preserve"> In some cases, access controls installed on mobile devices limit consumers’ ability to add certain applications to the devices, though some consumers may be able to circumvent such access controls through a process known as “jailbreaking.”  I</w:t>
      </w:r>
      <w:r>
        <w:t>n</w:t>
      </w:r>
      <w:r w:rsidRPr="00D40600">
        <w:t xml:space="preserve"> October 2012, the Librarian of Congress retained an existing exemption to the Digital Millennium Copyright Act (DMCA) that permits consumers to “jailbreak” handsets without violating the DMCA.  </w:t>
      </w:r>
      <w:r w:rsidRPr="00D40600">
        <w:rPr>
          <w:i/>
        </w:rPr>
        <w:t>See</w:t>
      </w:r>
      <w:r w:rsidRPr="00D40600">
        <w:t xml:space="preserve"> Exemption on Prohibition of Copyright Protection Systems for Access Control Technologies, 77 Fed. Reg. 65260, 65264 (Oct. 26, 2012).  The Librarian of Congress did not extend this exemption to tablets.  </w:t>
      </w:r>
      <w:r w:rsidRPr="00D40600">
        <w:rPr>
          <w:i/>
        </w:rPr>
        <w:t>Id.</w:t>
      </w:r>
    </w:p>
  </w:footnote>
  <w:footnote w:id="1082">
    <w:p w:rsidR="00EC7CF3" w:rsidRPr="00D40600" w:rsidRDefault="00EC7CF3" w:rsidP="00593C57">
      <w:pPr>
        <w:pStyle w:val="FootnoteText"/>
        <w:spacing w:after="0"/>
        <w:ind w:left="720" w:hanging="720"/>
      </w:pPr>
      <w:r w:rsidRPr="00D40600">
        <w:rPr>
          <w:rStyle w:val="FootnoteReference"/>
          <w:sz w:val="20"/>
        </w:rPr>
        <w:footnoteRef/>
      </w:r>
      <w:r w:rsidRPr="00D40600">
        <w:t xml:space="preserve"> See </w:t>
      </w:r>
      <w:r w:rsidRPr="00D40600">
        <w:rPr>
          <w:i/>
        </w:rPr>
        <w:t>Available apps across major mobile platforms approaching million-app milestone</w:t>
      </w:r>
      <w:r w:rsidRPr="00D40600">
        <w:t xml:space="preserve"> </w:t>
      </w:r>
      <w:r w:rsidRPr="00432F46">
        <w:rPr>
          <w:i/>
        </w:rPr>
        <w:t>available at</w:t>
      </w:r>
    </w:p>
    <w:p w:rsidR="00EC7CF3" w:rsidRPr="00D40600" w:rsidRDefault="00951E9B" w:rsidP="00593C57">
      <w:pPr>
        <w:pStyle w:val="FootnoteText"/>
        <w:spacing w:after="0"/>
        <w:ind w:left="720" w:hanging="720"/>
      </w:pPr>
      <w:hyperlink r:id="rId462" w:history="1">
        <w:r w:rsidR="00EC7CF3" w:rsidRPr="00D40600">
          <w:rPr>
            <w:rStyle w:val="Hyperlink"/>
          </w:rPr>
          <w:t>http://www.bgr.com/2011/12/05/available-apps-across-major-mobile-platforms-approach-million-app-milestone/</w:t>
        </w:r>
      </w:hyperlink>
    </w:p>
    <w:p w:rsidR="00EC7CF3" w:rsidRDefault="00EC7CF3" w:rsidP="00593C57">
      <w:pPr>
        <w:pStyle w:val="FootnoteText"/>
        <w:spacing w:after="0"/>
      </w:pPr>
      <w:r w:rsidRPr="00D40600">
        <w:t>(visited Oct. 16, 2012)</w:t>
      </w:r>
      <w:r>
        <w:t>.</w:t>
      </w:r>
    </w:p>
  </w:footnote>
  <w:footnote w:id="1083">
    <w:p w:rsidR="00EC7CF3" w:rsidRDefault="00EC7CF3">
      <w:pPr>
        <w:pStyle w:val="FootnoteText"/>
      </w:pPr>
      <w:r>
        <w:rPr>
          <w:rStyle w:val="FootnoteReference"/>
        </w:rPr>
        <w:footnoteRef/>
      </w:r>
      <w:r>
        <w:t xml:space="preserve"> Estimates for 2010 are from the </w:t>
      </w:r>
      <w:r w:rsidRPr="0078346C">
        <w:t>Fifteenth Report, ¶345</w:t>
      </w:r>
      <w:r>
        <w:t>.</w:t>
      </w:r>
    </w:p>
  </w:footnote>
  <w:footnote w:id="1084">
    <w:p w:rsidR="00EC7CF3" w:rsidRDefault="00EC7CF3" w:rsidP="00A62A6A">
      <w:pPr>
        <w:pStyle w:val="FootnoteText"/>
      </w:pPr>
      <w:r w:rsidRPr="00D40600">
        <w:rPr>
          <w:rStyle w:val="FootnoteReference"/>
          <w:sz w:val="20"/>
        </w:rPr>
        <w:footnoteRef/>
      </w:r>
      <w:r w:rsidRPr="00D40600">
        <w:t xml:space="preserve"> </w:t>
      </w:r>
      <w:r w:rsidRPr="00D40600">
        <w:rPr>
          <w:i/>
        </w:rPr>
        <w:t xml:space="preserve">See </w:t>
      </w:r>
      <w:r w:rsidRPr="00D40600">
        <w:t xml:space="preserve">Apple, Press Release </w:t>
      </w:r>
      <w:hyperlink r:id="rId463" w:history="1">
        <w:r w:rsidRPr="00D40600">
          <w:rPr>
            <w:rStyle w:val="Hyperlink"/>
          </w:rPr>
          <w:t>http://www.apple.com/pr/library/2011/07/07Apples-App-Store-Downloads-Top-15-Billion.html</w:t>
        </w:r>
      </w:hyperlink>
      <w:r w:rsidRPr="00D40600">
        <w:t xml:space="preserve"> (visited October 24, 2012)</w:t>
      </w:r>
      <w:r>
        <w:t>.</w:t>
      </w:r>
    </w:p>
  </w:footnote>
  <w:footnote w:id="1085">
    <w:p w:rsidR="00EC7CF3" w:rsidRDefault="00EC7CF3" w:rsidP="00E1307D">
      <w:pPr>
        <w:pStyle w:val="FootnoteText"/>
      </w:pPr>
      <w:r w:rsidRPr="00D40600">
        <w:rPr>
          <w:rStyle w:val="FootnoteReference"/>
          <w:sz w:val="20"/>
        </w:rPr>
        <w:footnoteRef/>
      </w:r>
      <w:r w:rsidRPr="00D40600">
        <w:t xml:space="preserve"> </w:t>
      </w:r>
      <w:r w:rsidRPr="00E1307D">
        <w:rPr>
          <w:i/>
        </w:rPr>
        <w:t xml:space="preserve">See </w:t>
      </w:r>
      <w:r w:rsidRPr="00E1307D">
        <w:t xml:space="preserve">Apple Insider. </w:t>
      </w:r>
      <w:r>
        <w:t xml:space="preserve"> </w:t>
      </w:r>
      <w:r w:rsidRPr="00900D94">
        <w:rPr>
          <w:i/>
        </w:rPr>
        <w:t>Google Android store reaches 25 billion downloads, 675,000 apps</w:t>
      </w:r>
      <w:r w:rsidRPr="00E1307D">
        <w:t>, Sept. 26</w:t>
      </w:r>
      <w:r w:rsidRPr="00E1307D">
        <w:rPr>
          <w:vertAlign w:val="superscript"/>
        </w:rPr>
        <w:t>th</w:t>
      </w:r>
      <w:r w:rsidRPr="00E1307D">
        <w:t xml:space="preserve">, 2012 </w:t>
      </w:r>
      <w:hyperlink r:id="rId464" w:history="1">
        <w:r w:rsidRPr="00E1307D">
          <w:rPr>
            <w:color w:val="0000FF"/>
            <w:u w:val="single"/>
          </w:rPr>
          <w:t>http://appleinsider.com/articles/12/09/26/google-android-reaches-25-billion-downloads-675000-apps</w:t>
        </w:r>
      </w:hyperlink>
      <w:r w:rsidRPr="00E1307D">
        <w:t xml:space="preserve">  (last visited December 10, 2012).</w:t>
      </w:r>
    </w:p>
  </w:footnote>
  <w:footnote w:id="1086">
    <w:p w:rsidR="00EC7CF3" w:rsidRDefault="00EC7CF3" w:rsidP="00A62A6A">
      <w:pPr>
        <w:pStyle w:val="FootnoteText"/>
      </w:pPr>
      <w:r w:rsidRPr="00D40600">
        <w:rPr>
          <w:rStyle w:val="FootnoteReference"/>
          <w:sz w:val="20"/>
        </w:rPr>
        <w:footnoteRef/>
      </w:r>
      <w:r w:rsidRPr="00D40600">
        <w:t xml:space="preserve"> In March 2012, Android Market Place was renamed to Google Play. </w:t>
      </w:r>
      <w:r w:rsidRPr="00D40600">
        <w:rPr>
          <w:i/>
        </w:rPr>
        <w:t>See</w:t>
      </w:r>
      <w:r w:rsidRPr="00D40600">
        <w:t xml:space="preserve"> CNet, Google Reboots Android Market </w:t>
      </w:r>
      <w:hyperlink r:id="rId465" w:history="1">
        <w:r w:rsidRPr="00D40600">
          <w:rPr>
            <w:rStyle w:val="Hyperlink"/>
          </w:rPr>
          <w:t>http://news.cnet.com/8301-31001_3-57391350-261/google-reboots-android-market-launches-google-play/</w:t>
        </w:r>
      </w:hyperlink>
      <w:r w:rsidRPr="00D40600">
        <w:t xml:space="preserve"> (last visited November 2, 2012). </w:t>
      </w:r>
    </w:p>
  </w:footnote>
  <w:footnote w:id="1087">
    <w:p w:rsidR="00EC7CF3" w:rsidRDefault="00EC7CF3" w:rsidP="00A62A6A">
      <w:pPr>
        <w:pStyle w:val="FootnoteText"/>
      </w:pPr>
      <w:r w:rsidRPr="00D40600">
        <w:rPr>
          <w:rStyle w:val="FootnoteReference"/>
          <w:sz w:val="20"/>
        </w:rPr>
        <w:footnoteRef/>
      </w:r>
      <w:r w:rsidRPr="00D40600">
        <w:t xml:space="preserve"> </w:t>
      </w:r>
      <w:r w:rsidRPr="00D40600">
        <w:rPr>
          <w:i/>
        </w:rPr>
        <w:t xml:space="preserve">See </w:t>
      </w:r>
      <w:r w:rsidRPr="00D40600">
        <w:t xml:space="preserve">Android Market </w:t>
      </w:r>
      <w:hyperlink r:id="rId466" w:history="1">
        <w:r w:rsidRPr="00D40600">
          <w:rPr>
            <w:rStyle w:val="Hyperlink"/>
          </w:rPr>
          <w:t>http://www.research2guidance.com/android-market-will-become-the-biggest-mobile-content-platform-in-the-world-by-august-2011/</w:t>
        </w:r>
      </w:hyperlink>
      <w:r w:rsidRPr="00D40600">
        <w:t xml:space="preserve"> (last visited October 24, 2012)</w:t>
      </w:r>
      <w:r>
        <w:t>.</w:t>
      </w:r>
    </w:p>
  </w:footnote>
  <w:footnote w:id="1088">
    <w:p w:rsidR="00EC7CF3" w:rsidRDefault="00EC7CF3" w:rsidP="00E1307D">
      <w:pPr>
        <w:pStyle w:val="FootnoteText"/>
      </w:pPr>
      <w:r w:rsidRPr="00D40600">
        <w:rPr>
          <w:rStyle w:val="FootnoteReference"/>
          <w:sz w:val="20"/>
        </w:rPr>
        <w:footnoteRef/>
      </w:r>
      <w:r w:rsidRPr="00D40600">
        <w:t xml:space="preserve"> </w:t>
      </w:r>
      <w:r w:rsidRPr="00D40600">
        <w:rPr>
          <w:i/>
        </w:rPr>
        <w:t xml:space="preserve">See </w:t>
      </w:r>
      <w:r>
        <w:t xml:space="preserve">Apple Insider.  </w:t>
      </w:r>
      <w:r w:rsidRPr="00900D94">
        <w:rPr>
          <w:i/>
        </w:rPr>
        <w:t>Google Android store reaches 25 billion downloads, 675,000 apps</w:t>
      </w:r>
      <w:r>
        <w:t>, Sept. 26</w:t>
      </w:r>
      <w:r w:rsidRPr="00E1307D">
        <w:rPr>
          <w:vertAlign w:val="superscript"/>
        </w:rPr>
        <w:t>th</w:t>
      </w:r>
      <w:r>
        <w:t xml:space="preserve">, 2012 </w:t>
      </w:r>
      <w:hyperlink r:id="rId467" w:history="1">
        <w:r w:rsidRPr="00D7083D">
          <w:rPr>
            <w:rStyle w:val="Hyperlink"/>
          </w:rPr>
          <w:t>http://appleinsider.com/articles/12/09/26/google-android-reaches-25-billion-downloads-675000-apps</w:t>
        </w:r>
      </w:hyperlink>
      <w:r>
        <w:t xml:space="preserve">  (last visited December 10, 2012).</w:t>
      </w:r>
    </w:p>
  </w:footnote>
  <w:footnote w:id="1089">
    <w:p w:rsidR="00EC7CF3" w:rsidRDefault="00EC7CF3" w:rsidP="00A62A6A">
      <w:pPr>
        <w:pStyle w:val="FootnoteText"/>
      </w:pPr>
      <w:r w:rsidRPr="00D40600">
        <w:rPr>
          <w:rStyle w:val="FootnoteReference"/>
          <w:sz w:val="20"/>
        </w:rPr>
        <w:footnoteRef/>
      </w:r>
      <w:r w:rsidRPr="00D40600">
        <w:t xml:space="preserve"> </w:t>
      </w:r>
      <w:r w:rsidRPr="00D40600">
        <w:rPr>
          <w:i/>
        </w:rPr>
        <w:t>See</w:t>
      </w:r>
      <w:r w:rsidRPr="00D40600">
        <w:t xml:space="preserve"> Mobile Apps </w:t>
      </w:r>
      <w:hyperlink r:id="rId468" w:history="1">
        <w:r w:rsidRPr="00D40600">
          <w:rPr>
            <w:rStyle w:val="Hyperlink"/>
          </w:rPr>
          <w:t>http://gigaom.com/2011/12/30/by-the-numbers-mobile-apps-in-2011/</w:t>
        </w:r>
      </w:hyperlink>
      <w:r w:rsidRPr="00D40600">
        <w:t xml:space="preserve"> (last visited October 24, 2012)</w:t>
      </w:r>
      <w:r>
        <w:t>.</w:t>
      </w:r>
    </w:p>
  </w:footnote>
  <w:footnote w:id="1090">
    <w:p w:rsidR="00EC7CF3" w:rsidRDefault="00EC7CF3" w:rsidP="00A62A6A">
      <w:pPr>
        <w:pStyle w:val="FootnoteText"/>
      </w:pPr>
      <w:r w:rsidRPr="00D40600">
        <w:rPr>
          <w:rStyle w:val="FootnoteReference"/>
          <w:sz w:val="20"/>
        </w:rPr>
        <w:footnoteRef/>
      </w:r>
      <w:r w:rsidRPr="00D40600">
        <w:t xml:space="preserve"> </w:t>
      </w:r>
      <w:r w:rsidRPr="00D40600">
        <w:rPr>
          <w:i/>
        </w:rPr>
        <w:t xml:space="preserve">See </w:t>
      </w:r>
      <w:r w:rsidRPr="00D40600">
        <w:t>BlackBerry</w:t>
      </w:r>
      <w:r w:rsidRPr="00D40600">
        <w:rPr>
          <w:i/>
        </w:rPr>
        <w:t>, Blackberry App World-Browse All Categories, http://appworld.blackberry.com/webstore/</w:t>
      </w:r>
      <w:r w:rsidRPr="00D40600">
        <w:t xml:space="preserve"> (visited May 2012).</w:t>
      </w:r>
    </w:p>
  </w:footnote>
  <w:footnote w:id="1091">
    <w:p w:rsidR="00EC7CF3" w:rsidRDefault="00EC7CF3" w:rsidP="00A62A6A">
      <w:pPr>
        <w:pStyle w:val="FootnoteText"/>
      </w:pPr>
      <w:r w:rsidRPr="00D40600">
        <w:rPr>
          <w:rStyle w:val="FootnoteReference"/>
          <w:sz w:val="20"/>
        </w:rPr>
        <w:footnoteRef/>
      </w:r>
      <w:r w:rsidRPr="00D40600">
        <w:t xml:space="preserve"> </w:t>
      </w:r>
      <w:r w:rsidRPr="00D40600">
        <w:rPr>
          <w:i/>
        </w:rPr>
        <w:t>See</w:t>
      </w:r>
      <w:r w:rsidRPr="00D40600">
        <w:t xml:space="preserve"> Nokia Ovi Store </w:t>
      </w:r>
      <w:hyperlink r:id="rId469" w:history="1">
        <w:r w:rsidRPr="00D40600">
          <w:rPr>
            <w:rStyle w:val="Hyperlink"/>
          </w:rPr>
          <w:t>http://www.mobile88.com/news/read.asp?file=/2011/2/1/20110131122310&amp;phone=Nokia-Ovi_Store-app</w:t>
        </w:r>
      </w:hyperlink>
      <w:r w:rsidRPr="00D40600">
        <w:t xml:space="preserve"> </w:t>
      </w:r>
      <w:r>
        <w:t>(last visited October 24, 2012).</w:t>
      </w:r>
    </w:p>
  </w:footnote>
  <w:footnote w:id="1092">
    <w:p w:rsidR="00EC7CF3" w:rsidRDefault="00EC7CF3" w:rsidP="00A62A6A">
      <w:pPr>
        <w:pStyle w:val="FootnoteText"/>
        <w:spacing w:line="360" w:lineRule="auto"/>
      </w:pPr>
      <w:r w:rsidRPr="00D40600">
        <w:rPr>
          <w:rStyle w:val="FootnoteReference"/>
          <w:sz w:val="20"/>
        </w:rPr>
        <w:footnoteRef/>
      </w:r>
      <w:r w:rsidRPr="00D40600">
        <w:t xml:space="preserve"> </w:t>
      </w:r>
      <w:r w:rsidRPr="00D40600">
        <w:rPr>
          <w:i/>
        </w:rPr>
        <w:t xml:space="preserve">See </w:t>
      </w:r>
      <w:r w:rsidRPr="00D40600">
        <w:t>Nokia Store</w:t>
      </w:r>
      <w:r w:rsidRPr="00D40600">
        <w:rPr>
          <w:i/>
        </w:rPr>
        <w:t xml:space="preserve"> </w:t>
      </w:r>
      <w:hyperlink r:id="rId470" w:history="1">
        <w:r w:rsidRPr="00D40600">
          <w:rPr>
            <w:rStyle w:val="Hyperlink"/>
          </w:rPr>
          <w:t>http://store.ovi.com/cotent/10683</w:t>
        </w:r>
      </w:hyperlink>
      <w:r>
        <w:t xml:space="preserve"> </w:t>
      </w:r>
      <w:r w:rsidRPr="00D40600">
        <w:t>(visited Nov.19,</w:t>
      </w:r>
      <w:r>
        <w:t xml:space="preserve"> </w:t>
      </w:r>
      <w:r w:rsidRPr="00D40600">
        <w:t>2012</w:t>
      </w:r>
      <w:r>
        <w:t>).</w:t>
      </w:r>
    </w:p>
  </w:footnote>
  <w:footnote w:id="1093">
    <w:p w:rsidR="00EC7CF3" w:rsidRDefault="00EC7CF3" w:rsidP="00A62A6A">
      <w:pPr>
        <w:pStyle w:val="FootnoteText"/>
      </w:pPr>
      <w:r w:rsidRPr="00D40600">
        <w:rPr>
          <w:rStyle w:val="FootnoteReference"/>
          <w:sz w:val="20"/>
        </w:rPr>
        <w:footnoteRef/>
      </w:r>
      <w:r w:rsidRPr="00D40600">
        <w:t xml:space="preserve"> </w:t>
      </w:r>
      <w:r w:rsidRPr="00D40600">
        <w:rPr>
          <w:i/>
        </w:rPr>
        <w:t>See</w:t>
      </w:r>
      <w:r w:rsidRPr="00D40600">
        <w:t xml:space="preserve"> Information Week Mobility. Ed Hansberry, October 25, 2011,  </w:t>
      </w:r>
      <w:hyperlink r:id="rId471" w:history="1">
        <w:r w:rsidRPr="00D40600">
          <w:rPr>
            <w:rStyle w:val="Hyperlink"/>
          </w:rPr>
          <w:t>http://www.informationweek.com/mobility/smart-phones/windows-phone-marketplace-hits-35000-app/231901571</w:t>
        </w:r>
      </w:hyperlink>
      <w:r w:rsidRPr="00D40600">
        <w:rPr>
          <w:rStyle w:val="Hyperlink"/>
        </w:rPr>
        <w:t xml:space="preserve"> </w:t>
      </w:r>
      <w:r w:rsidRPr="00D40600">
        <w:rPr>
          <w:rStyle w:val="Hyperlink"/>
          <w:color w:val="auto"/>
          <w:u w:val="none"/>
        </w:rPr>
        <w:t>(visited Nov.19,2012)</w:t>
      </w:r>
      <w:r>
        <w:rPr>
          <w:rStyle w:val="Hyperlink"/>
          <w:color w:val="auto"/>
          <w:u w:val="none"/>
        </w:rPr>
        <w:t>.</w:t>
      </w:r>
    </w:p>
  </w:footnote>
  <w:footnote w:id="1094">
    <w:p w:rsidR="00EC7CF3" w:rsidRDefault="00EC7CF3" w:rsidP="00A62A6A">
      <w:pPr>
        <w:pStyle w:val="FootnoteText"/>
      </w:pPr>
      <w:r w:rsidRPr="00D40600">
        <w:rPr>
          <w:rStyle w:val="FootnoteReference"/>
          <w:sz w:val="20"/>
        </w:rPr>
        <w:footnoteRef/>
      </w:r>
      <w:r w:rsidRPr="00D40600">
        <w:rPr>
          <w:i/>
        </w:rPr>
        <w:t xml:space="preserve"> See </w:t>
      </w:r>
      <w:r w:rsidRPr="00D40600">
        <w:t xml:space="preserve">Windows Phone, </w:t>
      </w:r>
      <w:r w:rsidRPr="00D40600">
        <w:rPr>
          <w:i/>
        </w:rPr>
        <w:t>Windows Marketplace for Mobile: Shop Apps</w:t>
      </w:r>
      <w:r w:rsidRPr="00D40600">
        <w:t>,</w:t>
      </w:r>
      <w:r>
        <w:t xml:space="preserve"> </w:t>
      </w:r>
      <w:hyperlink r:id="rId472" w:history="1">
        <w:r w:rsidRPr="00D40600">
          <w:rPr>
            <w:rStyle w:val="Hyperlink"/>
          </w:rPr>
          <w:t>http://marketplace.windowsphone.com/Default.aspx</w:t>
        </w:r>
      </w:hyperlink>
      <w:r w:rsidRPr="00D40600">
        <w:t xml:space="preserve"> (visited May 2012).</w:t>
      </w:r>
    </w:p>
  </w:footnote>
  <w:footnote w:id="1095">
    <w:p w:rsidR="00EC7CF3" w:rsidRDefault="00EC7CF3" w:rsidP="0028065E">
      <w:pPr>
        <w:pStyle w:val="FootnoteText"/>
      </w:pPr>
      <w:r w:rsidRPr="00D40600">
        <w:rPr>
          <w:rStyle w:val="FootnoteReference"/>
          <w:sz w:val="20"/>
        </w:rPr>
        <w:footnoteRef/>
      </w:r>
      <w:r w:rsidRPr="00D40600">
        <w:t xml:space="preserve"> </w:t>
      </w:r>
      <w:r w:rsidRPr="00D40600">
        <w:rPr>
          <w:iCs/>
        </w:rPr>
        <w:t xml:space="preserve">comScore, Press Release, </w:t>
      </w:r>
      <w:r w:rsidRPr="00D40600">
        <w:rPr>
          <w:i/>
          <w:iCs/>
        </w:rPr>
        <w:t>comScore Reports May 2012U.S. Mobile Subscriber Market Share</w:t>
      </w:r>
      <w:r w:rsidRPr="00D40600">
        <w:rPr>
          <w:iCs/>
        </w:rPr>
        <w:t>, Jul. 2 2012</w:t>
      </w:r>
      <w:r w:rsidRPr="00D40600">
        <w:t xml:space="preserve">. </w:t>
      </w:r>
      <w:hyperlink r:id="rId473" w:history="1">
        <w:r w:rsidRPr="00D40600">
          <w:rPr>
            <w:rStyle w:val="Hyperlink"/>
          </w:rPr>
          <w:t>http://www.comscore.com/Press_Events/Press_Releases/2012/7/comScore_Reports_May_2012_U.S._Mobile_Subscriber_Market_Share</w:t>
        </w:r>
      </w:hyperlink>
      <w:r>
        <w:t xml:space="preserve"> (visited Oct. 16, 2012).</w:t>
      </w:r>
    </w:p>
  </w:footnote>
  <w:footnote w:id="1096">
    <w:p w:rsidR="00EC7CF3" w:rsidRDefault="00EC7CF3" w:rsidP="0028065E">
      <w:pPr>
        <w:pStyle w:val="FootnoteText"/>
      </w:pPr>
      <w:r w:rsidRPr="00D40600">
        <w:rPr>
          <w:rStyle w:val="FootnoteReference"/>
          <w:sz w:val="20"/>
        </w:rPr>
        <w:footnoteRef/>
      </w:r>
      <w:r w:rsidRPr="00D40600">
        <w:t xml:space="preserve"> </w:t>
      </w:r>
      <w:r w:rsidRPr="00D40600">
        <w:rPr>
          <w:iCs/>
        </w:rPr>
        <w:t xml:space="preserve">comScore, Press Release, </w:t>
      </w:r>
      <w:r w:rsidRPr="00D40600">
        <w:rPr>
          <w:i/>
          <w:iCs/>
        </w:rPr>
        <w:t>comScore Reports May 2012U.S. Mobile Subscriber Market Share</w:t>
      </w:r>
      <w:r w:rsidRPr="00D40600">
        <w:rPr>
          <w:iCs/>
        </w:rPr>
        <w:t>, Jul. 2 2012</w:t>
      </w:r>
      <w:r w:rsidRPr="00D40600">
        <w:t xml:space="preserve">. </w:t>
      </w:r>
      <w:hyperlink r:id="rId474" w:history="1">
        <w:r w:rsidRPr="00D40600">
          <w:rPr>
            <w:rStyle w:val="Hyperlink"/>
          </w:rPr>
          <w:t>http://www.comscore.com/Press_Events/Press_Releases/2012/7/comScore_Reports_May_2012_U.S._Mobile_Subscriber_Market_Share</w:t>
        </w:r>
      </w:hyperlink>
      <w:r w:rsidRPr="00D40600">
        <w:t xml:space="preserve"> (visited Oct. 16, 2012)</w:t>
      </w:r>
      <w:r>
        <w:t>.</w:t>
      </w:r>
    </w:p>
  </w:footnote>
  <w:footnote w:id="1097">
    <w:p w:rsidR="00EC7CF3" w:rsidRDefault="00EC7CF3" w:rsidP="0028065E">
      <w:pPr>
        <w:rPr>
          <w:sz w:val="20"/>
        </w:rPr>
      </w:pPr>
      <w:r w:rsidRPr="00D40600">
        <w:rPr>
          <w:rStyle w:val="FootnoteReference"/>
          <w:sz w:val="20"/>
        </w:rPr>
        <w:footnoteRef/>
      </w:r>
      <w:r w:rsidRPr="00D40600">
        <w:rPr>
          <w:sz w:val="20"/>
        </w:rPr>
        <w:t xml:space="preserve"> Matthew B. Gross, Jeanne M. Hogarth, and Maximilian D Schmeiser, </w:t>
      </w:r>
      <w:r w:rsidRPr="00D40600">
        <w:rPr>
          <w:i/>
          <w:sz w:val="20"/>
        </w:rPr>
        <w:t xml:space="preserve">Consumers and Mobile Financial Services, </w:t>
      </w:r>
      <w:r w:rsidRPr="00D40600">
        <w:rPr>
          <w:sz w:val="20"/>
        </w:rPr>
        <w:t xml:space="preserve">Federal Reserve Board, Division of Consumer and Community Affairs, March 2012.  </w:t>
      </w:r>
      <w:r w:rsidRPr="00D40600">
        <w:rPr>
          <w:rStyle w:val="article-meta-name"/>
          <w:sz w:val="20"/>
        </w:rPr>
        <w:t xml:space="preserve">Penny Crosman, </w:t>
      </w:r>
      <w:r w:rsidRPr="00D40600">
        <w:rPr>
          <w:i/>
          <w:sz w:val="20"/>
        </w:rPr>
        <w:t xml:space="preserve">Contactless Mobile Pay Transactions Seen Nearing 10B by 2016, </w:t>
      </w:r>
      <w:r w:rsidRPr="00D40600">
        <w:rPr>
          <w:sz w:val="20"/>
        </w:rPr>
        <w:t>Mar. 6, 2012</w:t>
      </w:r>
      <w:r w:rsidRPr="00D40600">
        <w:rPr>
          <w:i/>
          <w:sz w:val="20"/>
        </w:rPr>
        <w:t xml:space="preserve"> </w:t>
      </w:r>
      <w:hyperlink r:id="rId475" w:history="1">
        <w:r w:rsidRPr="00D206FB">
          <w:rPr>
            <w:rStyle w:val="Hyperlink"/>
            <w:sz w:val="20"/>
          </w:rPr>
          <w:t>http://www.americanbanker.com/issues/177_45/mobile-payments-npd-in-stat-1047243-1.html</w:t>
        </w:r>
      </w:hyperlink>
      <w:r>
        <w:rPr>
          <w:sz w:val="20"/>
          <w:u w:val="single"/>
        </w:rPr>
        <w:t xml:space="preserve"> </w:t>
      </w:r>
      <w:r w:rsidRPr="00D40600">
        <w:rPr>
          <w:sz w:val="20"/>
        </w:rPr>
        <w:t>(visited Jun. 22, 2012)</w:t>
      </w:r>
      <w:r>
        <w:rPr>
          <w:sz w:val="20"/>
        </w:rPr>
        <w:t>.</w:t>
      </w:r>
    </w:p>
    <w:p w:rsidR="00EC7CF3" w:rsidRPr="00996B99" w:rsidRDefault="00EC7CF3" w:rsidP="0028065E">
      <w:pPr>
        <w:rPr>
          <w:sz w:val="12"/>
          <w:szCs w:val="12"/>
        </w:rPr>
      </w:pPr>
    </w:p>
  </w:footnote>
  <w:footnote w:id="1098">
    <w:p w:rsidR="00EC7CF3" w:rsidRDefault="00EC7CF3" w:rsidP="0028065E">
      <w:pPr>
        <w:pStyle w:val="FootnoteText"/>
      </w:pPr>
      <w:r w:rsidRPr="00D40600">
        <w:rPr>
          <w:rStyle w:val="FootnoteReference"/>
          <w:sz w:val="20"/>
        </w:rPr>
        <w:footnoteRef/>
      </w:r>
      <w:r w:rsidRPr="00D40600">
        <w:t xml:space="preserve"> Ovum, </w:t>
      </w:r>
      <w:r w:rsidRPr="00D40600">
        <w:rPr>
          <w:i/>
        </w:rPr>
        <w:t>Mapping Mobile Payments</w:t>
      </w:r>
      <w:r w:rsidRPr="00D40600">
        <w:t>, April 2012, at 2.</w:t>
      </w:r>
    </w:p>
  </w:footnote>
  <w:footnote w:id="1099">
    <w:p w:rsidR="00EC7CF3" w:rsidRDefault="00EC7CF3" w:rsidP="0028065E">
      <w:pPr>
        <w:pStyle w:val="FootnoteText"/>
      </w:pPr>
      <w:r w:rsidRPr="00D40600">
        <w:rPr>
          <w:rStyle w:val="FootnoteReference"/>
          <w:sz w:val="20"/>
        </w:rPr>
        <w:footnoteRef/>
      </w:r>
      <w:r w:rsidRPr="00D40600">
        <w:t xml:space="preserve"> Agam Shah, </w:t>
      </w:r>
      <w:r w:rsidRPr="00D40600">
        <w:rPr>
          <w:i/>
        </w:rPr>
        <w:t xml:space="preserve">NFC Use Growing Outside Smartphones, </w:t>
      </w:r>
      <w:r>
        <w:t>May 22, 2012.</w:t>
      </w:r>
      <w:r w:rsidRPr="00D40600">
        <w:t xml:space="preserve"> </w:t>
      </w:r>
      <w:hyperlink r:id="rId476" w:history="1">
        <w:r w:rsidRPr="00D40600">
          <w:rPr>
            <w:rStyle w:val="Hyperlink"/>
          </w:rPr>
          <w:t>http://www.computerworld.com/s/article/9227389/NFC_use_growing_outside_smartphones</w:t>
        </w:r>
      </w:hyperlink>
      <w:r w:rsidRPr="00D40600">
        <w:rPr>
          <w:u w:val="single"/>
        </w:rPr>
        <w:t xml:space="preserve"> </w:t>
      </w:r>
      <w:r w:rsidRPr="00D40600">
        <w:t>(visited June 25, 2012)</w:t>
      </w:r>
      <w:r>
        <w:rPr>
          <w:u w:val="single"/>
        </w:rPr>
        <w:t>.</w:t>
      </w:r>
    </w:p>
  </w:footnote>
  <w:footnote w:id="1100">
    <w:p w:rsidR="00EC7CF3" w:rsidRDefault="00EC7CF3" w:rsidP="0028065E">
      <w:pPr>
        <w:pStyle w:val="FootnoteText"/>
      </w:pPr>
      <w:r w:rsidRPr="00D40600">
        <w:rPr>
          <w:rStyle w:val="FootnoteReference"/>
          <w:sz w:val="20"/>
        </w:rPr>
        <w:footnoteRef/>
      </w:r>
      <w:r w:rsidRPr="00D40600">
        <w:t xml:space="preserve"> International Business Times, Mobile Banking on the Rise, Aug. 15, 2012, available at </w:t>
      </w:r>
      <w:hyperlink r:id="rId477" w:history="1">
        <w:r w:rsidRPr="00D40600">
          <w:rPr>
            <w:rStyle w:val="Hyperlink"/>
          </w:rPr>
          <w:t>http://www.ibtimes.com/articles/373841/20120815/mobile-banking-united-states-bank-account-holders.htm</w:t>
        </w:r>
      </w:hyperlink>
      <w:r w:rsidRPr="00D40600">
        <w:t xml:space="preserve"> (visited Aug. 16, 2012) ; Ovum, </w:t>
      </w:r>
      <w:r w:rsidRPr="00D40600">
        <w:rPr>
          <w:i/>
        </w:rPr>
        <w:t>Mapping Mobile Payments</w:t>
      </w:r>
      <w:r w:rsidRPr="00D40600">
        <w:t>, April 2012, at 2.</w:t>
      </w:r>
    </w:p>
  </w:footnote>
  <w:footnote w:id="1101">
    <w:p w:rsidR="00EC7CF3" w:rsidRDefault="00EC7CF3" w:rsidP="0028065E">
      <w:pPr>
        <w:pStyle w:val="FootnoteText"/>
      </w:pPr>
      <w:r w:rsidRPr="00D40600">
        <w:rPr>
          <w:rStyle w:val="FootnoteReference"/>
          <w:sz w:val="20"/>
        </w:rPr>
        <w:footnoteRef/>
      </w:r>
      <w:r w:rsidRPr="00D40600">
        <w:t xml:space="preserve"> Ovum, </w:t>
      </w:r>
      <w:r w:rsidRPr="00D40600">
        <w:rPr>
          <w:i/>
        </w:rPr>
        <w:t>Mapping Mobile Payments</w:t>
      </w:r>
      <w:r w:rsidRPr="00D40600">
        <w:t>, April 2012, at 2.</w:t>
      </w:r>
    </w:p>
  </w:footnote>
  <w:footnote w:id="1102">
    <w:p w:rsidR="00EC7CF3" w:rsidRDefault="00EC7CF3" w:rsidP="0028065E">
      <w:pPr>
        <w:pStyle w:val="FootnoteText"/>
      </w:pPr>
      <w:r w:rsidRPr="00D40600">
        <w:rPr>
          <w:rStyle w:val="FootnoteReference"/>
          <w:sz w:val="20"/>
        </w:rPr>
        <w:footnoteRef/>
      </w:r>
      <w:r w:rsidRPr="00D40600">
        <w:t xml:space="preserve"> </w:t>
      </w:r>
      <w:r w:rsidRPr="00D40600">
        <w:rPr>
          <w:i/>
        </w:rPr>
        <w:t>See generally</w:t>
      </w:r>
      <w:r w:rsidRPr="00D40600">
        <w:t xml:space="preserve"> Bank of America, </w:t>
      </w:r>
      <w:r w:rsidRPr="00D40600">
        <w:rPr>
          <w:i/>
        </w:rPr>
        <w:t>Mobile Banking</w:t>
      </w:r>
      <w:r w:rsidRPr="00D40600">
        <w:t xml:space="preserve">. </w:t>
      </w:r>
      <w:hyperlink r:id="rId478" w:history="1">
        <w:r w:rsidRPr="00D40600">
          <w:rPr>
            <w:rStyle w:val="Hyperlink"/>
          </w:rPr>
          <w:t>http://www.bankofamerica.com/onlinebanking/index.cfm?template=mobile_banking</w:t>
        </w:r>
      </w:hyperlink>
      <w:r w:rsidRPr="00D40600">
        <w:rPr>
          <w:rStyle w:val="Hyperlink"/>
        </w:rPr>
        <w:t xml:space="preserve"> </w:t>
      </w:r>
      <w:r w:rsidRPr="00D40600">
        <w:t xml:space="preserve">(visited Aug. 13, 2012); Chase, </w:t>
      </w:r>
      <w:r w:rsidRPr="00D40600">
        <w:rPr>
          <w:i/>
        </w:rPr>
        <w:t>Chase Mobile Banking</w:t>
      </w:r>
      <w:r w:rsidRPr="00D40600">
        <w:t xml:space="preserve">, </w:t>
      </w:r>
      <w:hyperlink r:id="rId479" w:history="1">
        <w:r w:rsidRPr="00D40600">
          <w:rPr>
            <w:rStyle w:val="Hyperlink"/>
          </w:rPr>
          <w:t>https://www.chase.com/index.jsp?pg_name=ccpmapp/shared/assets/page/Chase_Mobile_Banking</w:t>
        </w:r>
      </w:hyperlink>
      <w:r w:rsidRPr="00D40600">
        <w:t xml:space="preserve"> (visited Aug. 13, 2012); Citibank, </w:t>
      </w:r>
      <w:r w:rsidRPr="00D40600">
        <w:rPr>
          <w:i/>
        </w:rPr>
        <w:t>Citi Mobile Banking</w:t>
      </w:r>
      <w:r w:rsidRPr="00D40600">
        <w:t xml:space="preserve">, </w:t>
      </w:r>
      <w:hyperlink r:id="rId480" w:history="1">
        <w:r w:rsidRPr="00D40600">
          <w:rPr>
            <w:rStyle w:val="Hyperlink"/>
          </w:rPr>
          <w:t>https://online.citibank.com/US/JRS/pands/detail.do?ID=CitiMobile</w:t>
        </w:r>
      </w:hyperlink>
      <w:r w:rsidRPr="00D40600">
        <w:t xml:space="preserve"> (visited Aug. 13, 2012); PNC Bank </w:t>
      </w:r>
      <w:hyperlink r:id="rId481" w:history="1">
        <w:r w:rsidRPr="00D40600">
          <w:rPr>
            <w:rStyle w:val="Hyperlink"/>
          </w:rPr>
          <w:t>www.pnc.com</w:t>
        </w:r>
      </w:hyperlink>
      <w:r w:rsidRPr="00D40600">
        <w:t xml:space="preserve"> (visited Aug. 13, 2012).</w:t>
      </w:r>
    </w:p>
  </w:footnote>
  <w:footnote w:id="1103">
    <w:p w:rsidR="00EC7CF3" w:rsidRDefault="00EC7CF3" w:rsidP="0028065E">
      <w:pPr>
        <w:pStyle w:val="FootnoteText"/>
      </w:pPr>
      <w:r w:rsidRPr="00D40600">
        <w:rPr>
          <w:rStyle w:val="FootnoteReference"/>
          <w:sz w:val="20"/>
        </w:rPr>
        <w:footnoteRef/>
      </w:r>
      <w:r w:rsidRPr="00D40600">
        <w:t xml:space="preserve"> International Business Times, Mobile Banking on the Rise, Aug. 15, 2012</w:t>
      </w:r>
      <w:r w:rsidRPr="00432F46">
        <w:rPr>
          <w:i/>
        </w:rPr>
        <w:t xml:space="preserve">, available at </w:t>
      </w:r>
      <w:hyperlink r:id="rId482" w:history="1">
        <w:r w:rsidRPr="00D40600">
          <w:rPr>
            <w:rStyle w:val="Hyperlink"/>
          </w:rPr>
          <w:t>http://www.ibtimes.com/articles/373841/20120815/mobile-banking-united-states-bank-account-holders.htm</w:t>
        </w:r>
      </w:hyperlink>
      <w:r w:rsidRPr="00D40600">
        <w:t xml:space="preserve"> (visited Aug. 16, 2012).</w:t>
      </w:r>
    </w:p>
  </w:footnote>
  <w:footnote w:id="1104">
    <w:p w:rsidR="00EC7CF3" w:rsidRDefault="00EC7CF3" w:rsidP="0028065E">
      <w:pPr>
        <w:pStyle w:val="FootnoteText"/>
      </w:pPr>
      <w:r w:rsidRPr="00D40600">
        <w:rPr>
          <w:rStyle w:val="FootnoteReference"/>
          <w:sz w:val="20"/>
        </w:rPr>
        <w:footnoteRef/>
      </w:r>
      <w:r w:rsidRPr="00D40600">
        <w:t xml:space="preserve"> International Business Times, Mobile Banking on the Rise, Aug. 15, 2012</w:t>
      </w:r>
      <w:r w:rsidRPr="00432F46">
        <w:rPr>
          <w:i/>
        </w:rPr>
        <w:t>, available at</w:t>
      </w:r>
      <w:r w:rsidRPr="00D40600">
        <w:t xml:space="preserve"> </w:t>
      </w:r>
      <w:hyperlink r:id="rId483" w:history="1">
        <w:r w:rsidRPr="00D40600">
          <w:rPr>
            <w:rStyle w:val="Hyperlink"/>
          </w:rPr>
          <w:t>http://www.ibtimes.com/articles/373841/20120815/mobile-banking-united-states-bank-account-holders.htm</w:t>
        </w:r>
      </w:hyperlink>
      <w:r w:rsidRPr="00D40600">
        <w:t xml:space="preserve"> (visited Aug. 16, 2012).</w:t>
      </w:r>
    </w:p>
  </w:footnote>
  <w:footnote w:id="1105">
    <w:p w:rsidR="00EC7CF3" w:rsidRDefault="00EC7CF3" w:rsidP="0028065E">
      <w:pPr>
        <w:pStyle w:val="FootnoteText"/>
      </w:pPr>
      <w:r w:rsidRPr="00D40600">
        <w:rPr>
          <w:rStyle w:val="FootnoteReference"/>
          <w:sz w:val="20"/>
        </w:rPr>
        <w:footnoteRef/>
      </w:r>
      <w:r w:rsidRPr="00D40600">
        <w:t xml:space="preserve"> </w:t>
      </w:r>
      <w:hyperlink r:id="rId484" w:history="1">
        <w:r w:rsidRPr="00D40600">
          <w:rPr>
            <w:rStyle w:val="Hyperlink"/>
          </w:rPr>
          <w:t>http://mobile.ebay.com/</w:t>
        </w:r>
      </w:hyperlink>
      <w:r w:rsidRPr="00D40600">
        <w:t xml:space="preserve"> (visited Oct. 16, 2012)</w:t>
      </w:r>
      <w:r>
        <w:t>.</w:t>
      </w:r>
    </w:p>
  </w:footnote>
  <w:footnote w:id="1106">
    <w:p w:rsidR="00EC7CF3" w:rsidRDefault="00EC7CF3" w:rsidP="0028065E">
      <w:pPr>
        <w:pStyle w:val="FootnoteText"/>
      </w:pPr>
      <w:r w:rsidRPr="00D40600">
        <w:rPr>
          <w:rStyle w:val="FootnoteReference"/>
          <w:sz w:val="20"/>
        </w:rPr>
        <w:footnoteRef/>
      </w:r>
      <w:r w:rsidRPr="00D40600">
        <w:t xml:space="preserve"> </w:t>
      </w:r>
      <w:r w:rsidRPr="00D40600">
        <w:rPr>
          <w:i/>
        </w:rPr>
        <w:t>See</w:t>
      </w:r>
      <w:r w:rsidRPr="00D40600">
        <w:t xml:space="preserve"> Amazon Quarterly Report </w:t>
      </w:r>
      <w:r w:rsidRPr="00D40600">
        <w:rPr>
          <w:i/>
        </w:rPr>
        <w:t>available at</w:t>
      </w:r>
      <w:r w:rsidRPr="00D40600">
        <w:t xml:space="preserve"> </w:t>
      </w:r>
      <w:hyperlink r:id="rId485" w:history="1">
        <w:r w:rsidRPr="00D40600">
          <w:rPr>
            <w:rStyle w:val="Hyperlink"/>
          </w:rPr>
          <w:t>http://phx.corporate-ir.net/phoenix.zhtml?c=97664&amp;p=irol-reportsother</w:t>
        </w:r>
      </w:hyperlink>
      <w:r w:rsidRPr="00D40600">
        <w:t xml:space="preserve"> (visited Oct. 16, 2012)</w:t>
      </w:r>
      <w:r>
        <w:t>.</w:t>
      </w:r>
    </w:p>
  </w:footnote>
  <w:footnote w:id="1107">
    <w:p w:rsidR="00EC7CF3" w:rsidRDefault="00EC7CF3" w:rsidP="0028065E">
      <w:pPr>
        <w:pStyle w:val="FootnoteText"/>
      </w:pPr>
      <w:r w:rsidRPr="00D40600">
        <w:rPr>
          <w:rStyle w:val="FootnoteReference"/>
          <w:sz w:val="20"/>
        </w:rPr>
        <w:footnoteRef/>
      </w:r>
      <w:r w:rsidRPr="00D40600">
        <w:t xml:space="preserve"> </w:t>
      </w:r>
      <w:r w:rsidRPr="00D40600">
        <w:rPr>
          <w:i/>
        </w:rPr>
        <w:t xml:space="preserve">See </w:t>
      </w:r>
      <w:r w:rsidRPr="00D40600">
        <w:t xml:space="preserve">Roger Entner, </w:t>
      </w:r>
      <w:r w:rsidRPr="00D40600">
        <w:rPr>
          <w:i/>
        </w:rPr>
        <w:t xml:space="preserve">The Wireless Industry: The Essential Engine of US Economic Growth, </w:t>
      </w:r>
      <w:r w:rsidRPr="00D40600">
        <w:t xml:space="preserve">Recon Analytics, May 2012 </w:t>
      </w:r>
      <w:hyperlink r:id="rId486" w:history="1">
        <w:r w:rsidRPr="00D40600">
          <w:rPr>
            <w:rStyle w:val="Hyperlink"/>
          </w:rPr>
          <w:t>http://apps.fcc.gov/ecfs/document/view;jsessionid=KKDdQLCSVmlSq66DvmdylQLdn1BKnfcs1K4HhQvy1RPzrFzFJQKs!1007083101!-224088840?id=7022009489</w:t>
        </w:r>
      </w:hyperlink>
      <w:r w:rsidRPr="00D40600">
        <w:t xml:space="preserve"> (visited Oct. 16, 2012) ; U.S. Department of Commerce, Economic Development Association, “Measuring Broadband’s Economic Impact,” 2006. </w:t>
      </w:r>
    </w:p>
  </w:footnote>
  <w:footnote w:id="1108">
    <w:p w:rsidR="00EC7CF3" w:rsidRDefault="00EC7CF3" w:rsidP="0028065E">
      <w:pPr>
        <w:pStyle w:val="FootnoteText"/>
      </w:pPr>
      <w:r w:rsidRPr="00D40600">
        <w:rPr>
          <w:rStyle w:val="FootnoteReference"/>
          <w:sz w:val="20"/>
        </w:rPr>
        <w:footnoteRef/>
      </w:r>
      <w:r w:rsidRPr="00D40600">
        <w:t xml:space="preserve"> CTIA, “The U.S. Wireless Industry Overview,” Apr. 25, 2012, </w:t>
      </w:r>
      <w:r w:rsidRPr="00D40600">
        <w:rPr>
          <w:i/>
        </w:rPr>
        <w:t xml:space="preserve">available at </w:t>
      </w:r>
      <w:hyperlink r:id="rId487" w:history="1">
        <w:r w:rsidRPr="00D40600">
          <w:rPr>
            <w:rStyle w:val="Hyperlink"/>
          </w:rPr>
          <w:t>http://files.ctia.org/pdf/042412_-_Wireless_Industry_Overview.pdf</w:t>
        </w:r>
      </w:hyperlink>
      <w:r w:rsidRPr="00D40600">
        <w:t xml:space="preserve"> (visited Oct. 16, 2012)</w:t>
      </w:r>
      <w:r>
        <w:t>.</w:t>
      </w:r>
      <w:hyperlink r:id="rId488" w:history="1"/>
    </w:p>
  </w:footnote>
  <w:footnote w:id="1109">
    <w:p w:rsidR="00EC7CF3" w:rsidRDefault="00EC7CF3" w:rsidP="0028065E">
      <w:pPr>
        <w:pStyle w:val="FootnoteText"/>
      </w:pPr>
      <w:r w:rsidRPr="00D40600">
        <w:rPr>
          <w:rStyle w:val="FootnoteReference"/>
          <w:sz w:val="20"/>
        </w:rPr>
        <w:footnoteRef/>
      </w:r>
      <w:r w:rsidRPr="00D40600">
        <w:t xml:space="preserve"> CTIA, “The U.S. Wireless Industry Overview,” Apr. 25, 2012, </w:t>
      </w:r>
      <w:r w:rsidRPr="00D40600">
        <w:rPr>
          <w:i/>
        </w:rPr>
        <w:t xml:space="preserve">available at </w:t>
      </w:r>
      <w:hyperlink r:id="rId489" w:history="1">
        <w:r w:rsidRPr="00D40600">
          <w:rPr>
            <w:rStyle w:val="Hyperlink"/>
          </w:rPr>
          <w:t>http://files.ctia.org/pdf/042412_-_Wireless_Industry_Overview.pdf</w:t>
        </w:r>
      </w:hyperlink>
      <w:r w:rsidRPr="00D40600">
        <w:t xml:space="preserve"> (visited Oct. 16, 2012)</w:t>
      </w:r>
      <w:r>
        <w:t>.</w:t>
      </w:r>
      <w:hyperlink r:id="rId490" w:history="1"/>
    </w:p>
  </w:footnote>
  <w:footnote w:id="1110">
    <w:p w:rsidR="00EC7CF3" w:rsidRDefault="00EC7CF3" w:rsidP="0028065E">
      <w:pPr>
        <w:pStyle w:val="FootnoteText"/>
      </w:pPr>
      <w:r w:rsidRPr="00D40600">
        <w:rPr>
          <w:rStyle w:val="FootnoteReference"/>
          <w:sz w:val="20"/>
        </w:rPr>
        <w:footnoteRef/>
      </w:r>
      <w:r w:rsidRPr="00D40600">
        <w:t xml:space="preserve"> Roger Entner, </w:t>
      </w:r>
      <w:r w:rsidRPr="00D40600">
        <w:rPr>
          <w:i/>
        </w:rPr>
        <w:t xml:space="preserve">The Wireless Industry: The Essential Engine of US Economic Growth, </w:t>
      </w:r>
      <w:r w:rsidRPr="00D40600">
        <w:t xml:space="preserve">Recon Analytics, May 2012, at 1. </w:t>
      </w:r>
      <w:hyperlink r:id="rId491" w:history="1">
        <w:r w:rsidRPr="00D40600">
          <w:rPr>
            <w:rStyle w:val="Hyperlink"/>
          </w:rPr>
          <w:t>http://apps.fcc.gov/ecfs/document/view;jsessionid=KKDdQLCSVmlSq66DvmdylQLdn1BKnfcs1K4HhQvy1RPzrFzFJQKs!1007083101!-224088840?id=7022009489</w:t>
        </w:r>
      </w:hyperlink>
      <w:r>
        <w:t xml:space="preserve"> (visited Oct. 16, 2012).</w:t>
      </w:r>
      <w:hyperlink r:id="rId492" w:history="1"/>
    </w:p>
  </w:footnote>
  <w:footnote w:id="1111">
    <w:p w:rsidR="00EC7CF3" w:rsidRDefault="00EC7CF3" w:rsidP="0028065E">
      <w:pPr>
        <w:pStyle w:val="FootnoteText"/>
      </w:pPr>
      <w:r w:rsidRPr="00D40600">
        <w:rPr>
          <w:rStyle w:val="FootnoteReference"/>
          <w:sz w:val="20"/>
        </w:rPr>
        <w:footnoteRef/>
      </w:r>
      <w:r w:rsidRPr="00D40600">
        <w:t xml:space="preserve"> Roger Entner, </w:t>
      </w:r>
      <w:r w:rsidRPr="00D40600">
        <w:rPr>
          <w:i/>
        </w:rPr>
        <w:t xml:space="preserve">The Wireless Industry: The Essential Engine of US Economic Growth, </w:t>
      </w:r>
      <w:r w:rsidRPr="00D40600">
        <w:t xml:space="preserve">Recon Analytics, May 2012, at 1. </w:t>
      </w:r>
      <w:hyperlink r:id="rId493" w:history="1">
        <w:r w:rsidRPr="00D40600">
          <w:rPr>
            <w:rStyle w:val="Hyperlink"/>
          </w:rPr>
          <w:t>http://apps.fcc.gov/ecfs/document/view;jsessionid=KKDdQLCSVmlSq66DvmdylQLdn1BKnfcs1K4HhQvy1RPzrFzFJQKs!1007083101!-224088840?id=7022009489</w:t>
        </w:r>
      </w:hyperlink>
      <w:r>
        <w:t xml:space="preserve"> (visited Oct. 16, 2012).</w:t>
      </w:r>
      <w:hyperlink r:id="rId494" w:history="1"/>
    </w:p>
  </w:footnote>
  <w:footnote w:id="1112">
    <w:p w:rsidR="00EC7CF3" w:rsidRDefault="00EC7CF3" w:rsidP="0028065E">
      <w:pPr>
        <w:pStyle w:val="FootnoteText"/>
      </w:pPr>
      <w:r w:rsidRPr="00D40600">
        <w:rPr>
          <w:rStyle w:val="FootnoteReference"/>
          <w:sz w:val="20"/>
        </w:rPr>
        <w:footnoteRef/>
      </w:r>
      <w:r w:rsidRPr="00D40600">
        <w:t xml:space="preserve"> </w:t>
      </w:r>
      <w:r w:rsidRPr="00D40600">
        <w:rPr>
          <w:i/>
        </w:rPr>
        <w:t>CTIA Year-End 2011 Wireless Indices Report</w:t>
      </w:r>
      <w:r w:rsidRPr="00D40600">
        <w:t>, at 98-99.</w:t>
      </w:r>
    </w:p>
  </w:footnote>
  <w:footnote w:id="1113">
    <w:p w:rsidR="00EC7CF3" w:rsidRDefault="00EC7CF3" w:rsidP="0028065E">
      <w:pPr>
        <w:pStyle w:val="FootnoteText"/>
      </w:pPr>
      <w:r w:rsidRPr="00D40600">
        <w:rPr>
          <w:rStyle w:val="FootnoteReference"/>
          <w:sz w:val="20"/>
        </w:rPr>
        <w:footnoteRef/>
      </w:r>
      <w:r w:rsidRPr="00D40600">
        <w:t xml:space="preserve"> Roger Entner, </w:t>
      </w:r>
      <w:r w:rsidRPr="00D40600">
        <w:rPr>
          <w:i/>
        </w:rPr>
        <w:t xml:space="preserve">The Wireless Industry: The Essential Engine of US Economic Growth, </w:t>
      </w:r>
      <w:r w:rsidRPr="00D40600">
        <w:t xml:space="preserve">Recon Analytics, May 2012, at 1. </w:t>
      </w:r>
      <w:hyperlink r:id="rId495" w:history="1">
        <w:r w:rsidRPr="00D40600">
          <w:rPr>
            <w:rStyle w:val="Hyperlink"/>
          </w:rPr>
          <w:t>http://apps.fcc.gov/ecfs/document/view;jsessionid=KKDdQLCSVmlSq66DvmdylQLdn1BKnfcs1K4HhQvy1RPzrFzFJQKs!1007083101!-224088840?id=7022009489</w:t>
        </w:r>
      </w:hyperlink>
      <w:r w:rsidRPr="00D40600">
        <w:t xml:space="preserve"> (visited Oct. 16, 2012)</w:t>
      </w:r>
      <w:r>
        <w:t>.</w:t>
      </w:r>
      <w:hyperlink r:id="rId496" w:history="1"/>
    </w:p>
  </w:footnote>
  <w:footnote w:id="1114">
    <w:p w:rsidR="00EC7CF3" w:rsidRDefault="00EC7CF3" w:rsidP="0028065E">
      <w:pPr>
        <w:pStyle w:val="FootnoteText"/>
      </w:pPr>
      <w:r w:rsidRPr="00D40600">
        <w:rPr>
          <w:rStyle w:val="FootnoteReference"/>
          <w:sz w:val="20"/>
        </w:rPr>
        <w:footnoteRef/>
      </w:r>
      <w:r w:rsidRPr="00D40600">
        <w:t xml:space="preserve"> </w:t>
      </w:r>
      <w:r w:rsidRPr="00D40600">
        <w:rPr>
          <w:i/>
        </w:rPr>
        <w:t xml:space="preserve">See </w:t>
      </w:r>
      <w:r w:rsidRPr="00D40600">
        <w:t xml:space="preserve">Section IV.B, Non-Price Rivalry, </w:t>
      </w:r>
      <w:r w:rsidRPr="00D40600">
        <w:rPr>
          <w:i/>
        </w:rPr>
        <w:t>supra.</w:t>
      </w:r>
    </w:p>
  </w:footnote>
  <w:footnote w:id="1115">
    <w:p w:rsidR="00EC7CF3" w:rsidRDefault="00EC7CF3" w:rsidP="0028065E">
      <w:pPr>
        <w:pStyle w:val="FootnoteText"/>
      </w:pPr>
      <w:r w:rsidRPr="00D40600">
        <w:rPr>
          <w:rStyle w:val="FootnoteReference"/>
          <w:sz w:val="20"/>
        </w:rPr>
        <w:footnoteRef/>
      </w:r>
      <w:r w:rsidRPr="00D40600">
        <w:t xml:space="preserve"> </w:t>
      </w:r>
      <w:r w:rsidRPr="00D40600">
        <w:rPr>
          <w:i/>
        </w:rPr>
        <w:t>CTIA Year-End 2011 Wireless Indices Report</w:t>
      </w:r>
      <w:r w:rsidRPr="00D40600">
        <w:t>, at 141, 145.</w:t>
      </w:r>
    </w:p>
  </w:footnote>
  <w:footnote w:id="1116">
    <w:p w:rsidR="00EC7CF3" w:rsidRDefault="00EC7CF3" w:rsidP="0028065E">
      <w:pPr>
        <w:pStyle w:val="FootnoteText"/>
      </w:pPr>
      <w:r w:rsidRPr="00D40600">
        <w:rPr>
          <w:rStyle w:val="FootnoteReference"/>
          <w:sz w:val="20"/>
        </w:rPr>
        <w:footnoteRef/>
      </w:r>
      <w:r w:rsidRPr="00D40600">
        <w:t xml:space="preserve"> </w:t>
      </w:r>
      <w:r w:rsidRPr="00D40600">
        <w:rPr>
          <w:i/>
        </w:rPr>
        <w:t xml:space="preserve">See </w:t>
      </w:r>
      <w:r w:rsidRPr="00D40600">
        <w:t xml:space="preserve">U.S. Census Bureau, </w:t>
      </w:r>
      <w:r w:rsidRPr="00D40600">
        <w:rPr>
          <w:i/>
        </w:rPr>
        <w:t>Annual Capital Expenditures Survey</w:t>
      </w:r>
      <w:r w:rsidRPr="00D40600">
        <w:t xml:space="preserve">, </w:t>
      </w:r>
      <w:hyperlink r:id="rId497" w:history="1">
        <w:r w:rsidRPr="00D40600">
          <w:rPr>
            <w:rStyle w:val="Hyperlink"/>
          </w:rPr>
          <w:t>http://www.census.gov/econ/aces/index.html</w:t>
        </w:r>
      </w:hyperlink>
      <w:r w:rsidRPr="00D40600">
        <w:t>, (visited July 23, 2012) [NAICS code 5172].</w:t>
      </w:r>
    </w:p>
  </w:footnote>
  <w:footnote w:id="1117">
    <w:p w:rsidR="00EC7CF3" w:rsidRDefault="00EC7CF3" w:rsidP="0028065E">
      <w:pPr>
        <w:pStyle w:val="FootnoteText"/>
      </w:pPr>
      <w:r w:rsidRPr="00D40600">
        <w:rPr>
          <w:rStyle w:val="FootnoteReference"/>
          <w:sz w:val="20"/>
        </w:rPr>
        <w:footnoteRef/>
      </w:r>
      <w:r w:rsidRPr="00D40600">
        <w:t xml:space="preserve"> Roeller, L.H. and Waverman, L., “Telecommunications Infrastructure and Economic Development: A Simultaneous Approach,” American Economic Review, 2001, 909-923. </w:t>
      </w:r>
    </w:p>
  </w:footnote>
  <w:footnote w:id="1118">
    <w:p w:rsidR="00EC7CF3" w:rsidRDefault="00EC7CF3" w:rsidP="0028065E">
      <w:pPr>
        <w:pStyle w:val="FootnoteText"/>
      </w:pPr>
      <w:r w:rsidRPr="00D40600">
        <w:rPr>
          <w:rStyle w:val="FootnoteReference"/>
          <w:sz w:val="20"/>
        </w:rPr>
        <w:footnoteRef/>
      </w:r>
      <w:r w:rsidRPr="00D40600">
        <w:t xml:space="preserve"> Roger Entner, </w:t>
      </w:r>
      <w:r w:rsidRPr="00D40600">
        <w:rPr>
          <w:i/>
        </w:rPr>
        <w:t xml:space="preserve">The Wireless Industry: The Essential Engine of US Economic Growth, </w:t>
      </w:r>
      <w:r w:rsidRPr="00D40600">
        <w:t xml:space="preserve">Recon Analytics, May 2012, at 33. </w:t>
      </w:r>
      <w:hyperlink r:id="rId498" w:history="1">
        <w:r w:rsidRPr="00D40600">
          <w:rPr>
            <w:rStyle w:val="Hyperlink"/>
          </w:rPr>
          <w:t>http://apps.fcc.gov/ecfs/document/view;jsessionid=KKDdQLCSVmlSq66DvmdylQLdn1BKnfcs1K4HhQvy1RPzrFzFJQKs!1007083101!-224088840?id=7022009489</w:t>
        </w:r>
      </w:hyperlink>
      <w:r>
        <w:t xml:space="preserve"> (visited Oct. 16, 2012).</w:t>
      </w:r>
      <w:hyperlink r:id="rId499" w:history="1"/>
    </w:p>
  </w:footnote>
  <w:footnote w:id="1119">
    <w:p w:rsidR="00EC7CF3" w:rsidRDefault="00EC7CF3" w:rsidP="0028065E">
      <w:pPr>
        <w:pStyle w:val="FootnoteText"/>
      </w:pPr>
      <w:r w:rsidRPr="00D40600">
        <w:rPr>
          <w:rStyle w:val="FootnoteReference"/>
          <w:sz w:val="20"/>
        </w:rPr>
        <w:footnoteRef/>
      </w:r>
      <w:r w:rsidRPr="00D40600">
        <w:t xml:space="preserve"> Pearce, A. and Pagano, M, “Accelerated Wireless Broadband Infrastructure Deployment: The Impact on GDP and Employment,” 2009, Media Law and Policy, 11-34. </w:t>
      </w:r>
    </w:p>
  </w:footnote>
  <w:footnote w:id="1120">
    <w:p w:rsidR="00EC7CF3" w:rsidRDefault="00EC7CF3" w:rsidP="0028065E">
      <w:pPr>
        <w:pStyle w:val="FootnoteText"/>
      </w:pPr>
      <w:r w:rsidRPr="00D40600">
        <w:rPr>
          <w:rStyle w:val="FootnoteReference"/>
          <w:sz w:val="20"/>
        </w:rPr>
        <w:footnoteRef/>
      </w:r>
      <w:r w:rsidRPr="00D40600">
        <w:t xml:space="preserve"> </w:t>
      </w:r>
      <w:r w:rsidRPr="00D40600">
        <w:rPr>
          <w:i/>
        </w:rPr>
        <w:t>Id.</w:t>
      </w:r>
      <w:r w:rsidRPr="00D40600">
        <w:t xml:space="preserve"> at 12. Pearce and Pagano estimate that a $17.4 billion investment in wireless broadband investments would generate a direct increase in GDP of 0.23%–0.30%, and an indirect increase in GDP of 0.65% - 0.98% over a two-year period.</w:t>
      </w:r>
    </w:p>
  </w:footnote>
  <w:footnote w:id="1121">
    <w:p w:rsidR="00EC7CF3" w:rsidRDefault="00EC7CF3" w:rsidP="0028065E">
      <w:pPr>
        <w:pStyle w:val="FootnoteText"/>
      </w:pPr>
      <w:r w:rsidRPr="00D40600">
        <w:rPr>
          <w:rStyle w:val="FootnoteReference"/>
          <w:sz w:val="20"/>
        </w:rPr>
        <w:footnoteRef/>
      </w:r>
      <w:r w:rsidRPr="00D40600">
        <w:t xml:space="preserve"> CTIA, </w:t>
      </w:r>
      <w:r w:rsidRPr="00D40600">
        <w:rPr>
          <w:i/>
        </w:rPr>
        <w:t xml:space="preserve">Mobile Education &amp; the Wireless Industry – Anytime, Anywhere Learning, </w:t>
      </w:r>
      <w:r w:rsidRPr="00D40600">
        <w:t>attached to Letter from Krista Witanowski, CTIA, to Marlene H. Dortch, WT Docket No. 11-186 (July 12, 2012).</w:t>
      </w:r>
    </w:p>
  </w:footnote>
  <w:footnote w:id="1122">
    <w:p w:rsidR="00EC7CF3" w:rsidRDefault="00EC7CF3" w:rsidP="0028065E">
      <w:pPr>
        <w:pStyle w:val="FootnoteText"/>
      </w:pPr>
      <w:r w:rsidRPr="00D40600">
        <w:rPr>
          <w:rStyle w:val="FootnoteReference"/>
          <w:sz w:val="20"/>
        </w:rPr>
        <w:footnoteRef/>
      </w:r>
      <w:r w:rsidRPr="00D40600">
        <w:t xml:space="preserve"> CTIA, </w:t>
      </w:r>
      <w:r w:rsidRPr="00D40600">
        <w:rPr>
          <w:i/>
        </w:rPr>
        <w:t xml:space="preserve">Mobile Education &amp; the Wireless Industry – Anytime, Anywhere Learning, </w:t>
      </w:r>
      <w:r w:rsidRPr="00D40600">
        <w:t>attached to Letter from Krista Witanowski, CTIA, to Marlene H. Dortch, WT Docket No. 11-186 (July 12, 2012).</w:t>
      </w:r>
    </w:p>
  </w:footnote>
  <w:footnote w:id="1123">
    <w:p w:rsidR="00EC7CF3" w:rsidRPr="00264D6A" w:rsidRDefault="00EC7CF3" w:rsidP="001F2E26">
      <w:pPr>
        <w:pStyle w:val="FootnoteText"/>
      </w:pPr>
      <w:r w:rsidRPr="00264D6A">
        <w:rPr>
          <w:rStyle w:val="FootnoteReference"/>
        </w:rPr>
        <w:footnoteRef/>
      </w:r>
      <w:r w:rsidRPr="00264D6A">
        <w:t xml:space="preserve"> Stephen J. Blumberg and Julian V. Luke, </w:t>
      </w:r>
      <w:r w:rsidRPr="00264D6A">
        <w:rPr>
          <w:i/>
        </w:rPr>
        <w:t xml:space="preserve">Wireless Substitution: Early Release of Estimates from the National health Interview Survey, January- June 2012, </w:t>
      </w:r>
      <w:r w:rsidRPr="00264D6A">
        <w:t xml:space="preserve">National Center for Health Statistics, Centers for Disease Control, December 2012, </w:t>
      </w:r>
      <w:r w:rsidRPr="00264D6A">
        <w:rPr>
          <w:i/>
        </w:rPr>
        <w:t>available at</w:t>
      </w:r>
      <w:r w:rsidRPr="00264D6A">
        <w:t xml:space="preserve"> </w:t>
      </w:r>
      <w:hyperlink r:id="rId500" w:history="1">
        <w:r w:rsidRPr="00264D6A">
          <w:rPr>
            <w:rStyle w:val="Hyperlink"/>
          </w:rPr>
          <w:t>http://www.cdc.gov/nchs/data/nhis/earlyrelease/wireless201212.PDF</w:t>
        </w:r>
      </w:hyperlink>
      <w:r w:rsidRPr="00264D6A">
        <w:t xml:space="preserve"> (visited Jan. 30, 2012).</w:t>
      </w:r>
    </w:p>
  </w:footnote>
  <w:footnote w:id="1124">
    <w:p w:rsidR="00EC7CF3" w:rsidRPr="00264D6A" w:rsidRDefault="00EC7CF3" w:rsidP="001F2E26">
      <w:pPr>
        <w:pStyle w:val="FootnoteText"/>
      </w:pPr>
      <w:r w:rsidRPr="00264D6A">
        <w:rPr>
          <w:rStyle w:val="FootnoteReference"/>
        </w:rPr>
        <w:footnoteRef/>
      </w:r>
      <w:r w:rsidRPr="00264D6A">
        <w:rPr>
          <w:i/>
        </w:rPr>
        <w:t>Id</w:t>
      </w:r>
      <w:r w:rsidRPr="00264D6A">
        <w:t>.</w:t>
      </w:r>
    </w:p>
  </w:footnote>
  <w:footnote w:id="1125">
    <w:p w:rsidR="00EC7CF3" w:rsidRPr="00264D6A" w:rsidRDefault="00EC7CF3" w:rsidP="001F2E26">
      <w:pPr>
        <w:pStyle w:val="FootnoteText"/>
      </w:pPr>
      <w:r w:rsidRPr="00264D6A">
        <w:rPr>
          <w:rStyle w:val="FootnoteReference"/>
        </w:rPr>
        <w:footnoteRef/>
      </w:r>
      <w:r w:rsidRPr="00264D6A">
        <w:rPr>
          <w:i/>
        </w:rPr>
        <w:t>Id</w:t>
      </w:r>
      <w:r w:rsidRPr="00264D6A">
        <w:t>.</w:t>
      </w:r>
    </w:p>
  </w:footnote>
  <w:footnote w:id="1126">
    <w:p w:rsidR="00EC7CF3" w:rsidRPr="00264D6A" w:rsidRDefault="00EC7CF3" w:rsidP="001F2E26">
      <w:pPr>
        <w:pStyle w:val="FootnoteText"/>
      </w:pPr>
      <w:r w:rsidRPr="00264D6A">
        <w:rPr>
          <w:rStyle w:val="FootnoteReference"/>
        </w:rPr>
        <w:footnoteRef/>
      </w:r>
      <w:r w:rsidRPr="00264D6A">
        <w:rPr>
          <w:i/>
        </w:rPr>
        <w:t>Id</w:t>
      </w:r>
      <w:r w:rsidRPr="00264D6A">
        <w:t>.</w:t>
      </w:r>
    </w:p>
  </w:footnote>
  <w:footnote w:id="1127">
    <w:p w:rsidR="00EC7CF3" w:rsidRPr="00264D6A" w:rsidRDefault="00EC7CF3" w:rsidP="001F2E26">
      <w:pPr>
        <w:pStyle w:val="FootnoteText"/>
      </w:pPr>
      <w:r w:rsidRPr="00264D6A">
        <w:rPr>
          <w:rStyle w:val="FootnoteReference"/>
        </w:rPr>
        <w:footnoteRef/>
      </w:r>
      <w:r w:rsidRPr="00264D6A">
        <w:t xml:space="preserve"> </w:t>
      </w:r>
      <w:r w:rsidRPr="00264D6A">
        <w:rPr>
          <w:i/>
        </w:rPr>
        <w:t>Id</w:t>
      </w:r>
      <w:r w:rsidRPr="00264D6A">
        <w:t>.</w:t>
      </w:r>
    </w:p>
  </w:footnote>
  <w:footnote w:id="1128">
    <w:p w:rsidR="00EC7CF3" w:rsidRPr="00264D6A" w:rsidRDefault="00EC7CF3" w:rsidP="001F2E26">
      <w:pPr>
        <w:pStyle w:val="FootnoteText"/>
      </w:pPr>
      <w:r w:rsidRPr="00264D6A">
        <w:rPr>
          <w:rStyle w:val="FootnoteReference"/>
        </w:rPr>
        <w:footnoteRef/>
      </w:r>
      <w:r w:rsidRPr="00264D6A">
        <w:t xml:space="preserve"> </w:t>
      </w:r>
      <w:r w:rsidRPr="00264D6A">
        <w:rPr>
          <w:i/>
        </w:rPr>
        <w:t>Id</w:t>
      </w:r>
      <w:r w:rsidRPr="00264D6A">
        <w:t>.</w:t>
      </w:r>
    </w:p>
  </w:footnote>
  <w:footnote w:id="1129">
    <w:p w:rsidR="00EC7CF3" w:rsidRPr="00E251E8" w:rsidRDefault="00EC7CF3">
      <w:pPr>
        <w:pStyle w:val="FootnoteText"/>
      </w:pPr>
      <w:r>
        <w:rPr>
          <w:rStyle w:val="FootnoteReference"/>
        </w:rPr>
        <w:footnoteRef/>
      </w:r>
      <w:r>
        <w:t xml:space="preserve"> </w:t>
      </w:r>
      <w:r>
        <w:rPr>
          <w:i/>
        </w:rPr>
        <w:t xml:space="preserve">Id </w:t>
      </w:r>
      <w:r>
        <w:t xml:space="preserve">page 8 Table 2. </w:t>
      </w:r>
    </w:p>
  </w:footnote>
  <w:footnote w:id="1130">
    <w:p w:rsidR="00EC7CF3" w:rsidRPr="0002076C" w:rsidRDefault="00EC7CF3">
      <w:pPr>
        <w:pStyle w:val="FootnoteText"/>
      </w:pPr>
      <w:r>
        <w:rPr>
          <w:rStyle w:val="FootnoteReference"/>
        </w:rPr>
        <w:footnoteRef/>
      </w:r>
      <w:r>
        <w:t xml:space="preserve"> </w:t>
      </w:r>
      <w:r>
        <w:rPr>
          <w:i/>
        </w:rPr>
        <w:t>Id</w:t>
      </w:r>
      <w:r>
        <w:t xml:space="preserve"> page 3.</w:t>
      </w:r>
    </w:p>
  </w:footnote>
  <w:footnote w:id="1131">
    <w:p w:rsidR="00EC7CF3" w:rsidRDefault="00EC7CF3" w:rsidP="0028065E">
      <w:pPr>
        <w:pStyle w:val="FootnoteText"/>
      </w:pPr>
      <w:r w:rsidRPr="00D40600">
        <w:rPr>
          <w:rStyle w:val="FootnoteReference"/>
          <w:sz w:val="20"/>
        </w:rPr>
        <w:footnoteRef/>
      </w:r>
      <w:r w:rsidRPr="00D40600">
        <w:t xml:space="preserve"> </w:t>
      </w:r>
      <w:r w:rsidRPr="00D40600">
        <w:rPr>
          <w:i/>
          <w:iCs/>
        </w:rPr>
        <w:t xml:space="preserve">Wireless Substitution: Early Release of Estimates From The Data from the National Health Interview Survey, </w:t>
      </w:r>
      <w:r>
        <w:rPr>
          <w:i/>
          <w:iCs/>
        </w:rPr>
        <w:t>January--June 2012</w:t>
      </w:r>
      <w:r w:rsidRPr="00D40600">
        <w:rPr>
          <w:iCs/>
        </w:rPr>
        <w:t>)</w:t>
      </w:r>
      <w:r w:rsidRPr="00D40600">
        <w:rPr>
          <w:i/>
          <w:iCs/>
        </w:rPr>
        <w:t xml:space="preserve">. </w:t>
      </w:r>
      <w:r w:rsidRPr="00D40600">
        <w:rPr>
          <w:iCs/>
        </w:rPr>
        <w:t xml:space="preserve"> </w:t>
      </w:r>
      <w:r w:rsidRPr="00D40600">
        <w:t>Adults and children with “no telephone service” include those in households with neither wireline nor wireless service.</w:t>
      </w:r>
    </w:p>
  </w:footnote>
  <w:footnote w:id="1132">
    <w:p w:rsidR="00EC7CF3" w:rsidRDefault="00EC7CF3" w:rsidP="0028065E">
      <w:pPr>
        <w:pStyle w:val="FootnoteText"/>
      </w:pPr>
      <w:r w:rsidRPr="00D40600">
        <w:rPr>
          <w:rStyle w:val="FootnoteReference"/>
          <w:sz w:val="20"/>
        </w:rPr>
        <w:footnoteRef/>
      </w:r>
      <w:r w:rsidRPr="00D40600">
        <w:t xml:space="preserve"> </w:t>
      </w:r>
      <w:r w:rsidRPr="00432F46">
        <w:rPr>
          <w:i/>
        </w:rPr>
        <w:t>See</w:t>
      </w:r>
      <w:r>
        <w:t xml:space="preserve"> </w:t>
      </w:r>
      <w:r w:rsidRPr="00D40600">
        <w:t xml:space="preserve">Section </w:t>
      </w:r>
      <w:r w:rsidR="00951E9B">
        <w:fldChar w:fldCharType="begin"/>
      </w:r>
      <w:r w:rsidR="00951E9B">
        <w:instrText xml:space="preserve"> REF _Ref331434649 \w  \* MERGEFORMAT </w:instrText>
      </w:r>
      <w:r w:rsidR="00951E9B">
        <w:fldChar w:fldCharType="separate"/>
      </w:r>
      <w:r>
        <w:t>V.A.1</w:t>
      </w:r>
      <w:r w:rsidR="00951E9B">
        <w:fldChar w:fldCharType="end"/>
      </w:r>
      <w:r>
        <w:t xml:space="preserve">, Industry Wide Connections, </w:t>
      </w:r>
      <w:r w:rsidRPr="00432F46">
        <w:rPr>
          <w:i/>
        </w:rPr>
        <w:t>supra</w:t>
      </w:r>
      <w:r>
        <w:t>.</w:t>
      </w:r>
      <w:r w:rsidRPr="00D40600">
        <w:t xml:space="preserve">  Other Commission reports consider alternative speed categories for mobile broadband. </w:t>
      </w:r>
      <w:r>
        <w:t xml:space="preserve"> </w:t>
      </w:r>
      <w:r w:rsidRPr="00D40600">
        <w:t xml:space="preserve">The </w:t>
      </w:r>
      <w:r w:rsidRPr="00D40600">
        <w:rPr>
          <w:i/>
        </w:rPr>
        <w:t>Eighth Broadband Progress Report</w:t>
      </w:r>
      <w:r w:rsidRPr="00D40600">
        <w:t xml:space="preserve"> presents data on Americans without access to mobile broadband for three speed categories, at least 768 kbps/200 kbps, at least 3 Mbps/768 kbps and at least 6 Mbps/ 1.5 Mbps.  </w:t>
      </w:r>
      <w:r w:rsidRPr="00D40600">
        <w:rPr>
          <w:i/>
        </w:rPr>
        <w:t>2012</w:t>
      </w:r>
      <w:r w:rsidRPr="00D40600">
        <w:t xml:space="preserve"> </w:t>
      </w:r>
      <w:r w:rsidRPr="00D40600">
        <w:rPr>
          <w:i/>
        </w:rPr>
        <w:t>Eighth Broadband Progress Report</w:t>
      </w:r>
      <w:r w:rsidRPr="00D40600">
        <w:t>, GN Docket No, 11-121 (rel. Aug. 21, 2012) ¶ 86.</w:t>
      </w:r>
    </w:p>
  </w:footnote>
  <w:footnote w:id="1133">
    <w:p w:rsidR="00EC7CF3" w:rsidRDefault="00EC7CF3" w:rsidP="0033632B">
      <w:pPr>
        <w:pStyle w:val="FootnoteText"/>
      </w:pPr>
      <w:r w:rsidRPr="00D40600">
        <w:rPr>
          <w:rStyle w:val="FootnoteReference"/>
          <w:sz w:val="20"/>
        </w:rPr>
        <w:footnoteRef/>
      </w:r>
      <w:r w:rsidRPr="00D40600">
        <w:t xml:space="preserve"> </w:t>
      </w:r>
      <w:r w:rsidRPr="00D40600">
        <w:rPr>
          <w:i/>
        </w:rPr>
        <w:t>2012 Eighth Broadband Progress Report</w:t>
      </w:r>
      <w:r w:rsidRPr="00D40600">
        <w:t>, GN Docket No, 11-121 (rel. Aug. 21, 2012) ¶ 2.</w:t>
      </w:r>
    </w:p>
  </w:footnote>
  <w:footnote w:id="1134">
    <w:p w:rsidR="00EC7CF3" w:rsidRDefault="00EC7CF3" w:rsidP="0033632B">
      <w:pPr>
        <w:pStyle w:val="FootnoteText"/>
      </w:pPr>
      <w:r w:rsidRPr="00D40600">
        <w:rPr>
          <w:rStyle w:val="FootnoteReference"/>
          <w:sz w:val="20"/>
        </w:rPr>
        <w:footnoteRef/>
      </w:r>
      <w:r w:rsidRPr="00D40600">
        <w:rPr>
          <w:i/>
          <w:iCs/>
        </w:rPr>
        <w:t xml:space="preserve"> Id.</w:t>
      </w:r>
      <w:r w:rsidRPr="00D40600">
        <w:rPr>
          <w:iCs/>
        </w:rPr>
        <w:t xml:space="preserve">  For a comparison of Wireless and Wireline Broadband deployment</w:t>
      </w:r>
      <w:r w:rsidRPr="00D40600">
        <w:rPr>
          <w:i/>
          <w:iCs/>
        </w:rPr>
        <w:t>, see 2012 Eighth Broadband Progress Report</w:t>
      </w:r>
      <w:r w:rsidRPr="00D40600">
        <w:t>.</w:t>
      </w:r>
    </w:p>
  </w:footnote>
  <w:footnote w:id="1135">
    <w:p w:rsidR="00EC7CF3" w:rsidRDefault="00EC7CF3">
      <w:pPr>
        <w:pStyle w:val="FootnoteText"/>
      </w:pPr>
      <w:r w:rsidRPr="00D40600">
        <w:rPr>
          <w:rStyle w:val="FootnoteReference"/>
          <w:sz w:val="20"/>
        </w:rPr>
        <w:footnoteRef/>
      </w:r>
      <w:r w:rsidRPr="00D40600">
        <w:t xml:space="preserve"> </w:t>
      </w:r>
      <w:r w:rsidRPr="00D40600">
        <w:rPr>
          <w:i/>
        </w:rPr>
        <w:t xml:space="preserve">See, </w:t>
      </w:r>
      <w:hyperlink r:id="rId501" w:history="1">
        <w:r w:rsidRPr="00D40600">
          <w:rPr>
            <w:rStyle w:val="Hyperlink"/>
          </w:rPr>
          <w:t>http://www.verizonwireless.com/b2c/homefusion/hf/main.do</w:t>
        </w:r>
      </w:hyperlink>
      <w:r w:rsidRPr="00D40600">
        <w:t xml:space="preserve"> (visited Nov 14, 2012)</w:t>
      </w:r>
      <w:r>
        <w:t>.</w:t>
      </w:r>
    </w:p>
  </w:footnote>
  <w:footnote w:id="1136">
    <w:p w:rsidR="00EC7CF3" w:rsidRDefault="00EC7CF3" w:rsidP="0028065E">
      <w:pPr>
        <w:pStyle w:val="FootnoteText"/>
      </w:pPr>
      <w:r w:rsidRPr="00D40600">
        <w:rPr>
          <w:rStyle w:val="FootnoteReference"/>
          <w:sz w:val="20"/>
        </w:rPr>
        <w:footnoteRef/>
      </w:r>
      <w:r w:rsidRPr="00D40600">
        <w:t xml:space="preserve"> </w:t>
      </w:r>
      <w:r w:rsidRPr="00D40600">
        <w:rPr>
          <w:i/>
        </w:rPr>
        <w:t>See</w:t>
      </w:r>
      <w:r w:rsidRPr="00D40600">
        <w:t xml:space="preserve">, W. Gerhardt and R. Medcalf, </w:t>
      </w:r>
      <w:r w:rsidRPr="00D40600">
        <w:rPr>
          <w:i/>
        </w:rPr>
        <w:t>Femtocells: Implementing a Better Business Model to Increase SP Profitability</w:t>
      </w:r>
      <w:r w:rsidRPr="00D40600">
        <w:t>, Cisco, March 2010.</w:t>
      </w:r>
    </w:p>
  </w:footnote>
  <w:footnote w:id="1137">
    <w:p w:rsidR="00EC7CF3" w:rsidRDefault="00EC7CF3" w:rsidP="00680E06">
      <w:pPr>
        <w:pStyle w:val="FootnoteText"/>
      </w:pPr>
      <w:r w:rsidRPr="00D40600">
        <w:rPr>
          <w:rStyle w:val="FootnoteReference"/>
          <w:sz w:val="20"/>
        </w:rPr>
        <w:footnoteRef/>
      </w:r>
      <w:r w:rsidRPr="00D40600">
        <w:t xml:space="preserve">  Unlicensed Operation in the TV Broadcast Bands, </w:t>
      </w:r>
      <w:r w:rsidRPr="00D40600">
        <w:rPr>
          <w:i/>
        </w:rPr>
        <w:t>Second Memorandum Opinion and Order</w:t>
      </w:r>
      <w:r w:rsidRPr="00D40600">
        <w:t>, ET Docket Nos. 04-186, 02-380, 25 FCC Rcd 18661 ¶ 1 (2010).</w:t>
      </w:r>
    </w:p>
  </w:footnote>
  <w:footnote w:id="1138">
    <w:p w:rsidR="00EC7CF3" w:rsidRDefault="00EC7CF3" w:rsidP="00680E06">
      <w:pPr>
        <w:pStyle w:val="FootnoteText"/>
      </w:pPr>
      <w:r w:rsidRPr="00D40600">
        <w:rPr>
          <w:rStyle w:val="FootnoteReference"/>
          <w:sz w:val="20"/>
        </w:rPr>
        <w:footnoteRef/>
      </w:r>
      <w:r w:rsidRPr="00D40600">
        <w:t xml:space="preserve">  </w:t>
      </w:r>
      <w:r w:rsidRPr="00D40600">
        <w:rPr>
          <w:i/>
        </w:rPr>
        <w:t xml:space="preserve">See </w:t>
      </w:r>
      <w:r w:rsidRPr="00D40600">
        <w:t xml:space="preserve">Unlicensed Operation in the TV Broadcast Bands, </w:t>
      </w:r>
      <w:r w:rsidRPr="00D40600">
        <w:rPr>
          <w:i/>
        </w:rPr>
        <w:t>Order</w:t>
      </w:r>
      <w:r w:rsidRPr="00D40600">
        <w:t xml:space="preserve">, ET Docket No. 04-186, 02-380, 25 FCC Rcd 554 (2010) which conditionally designates nine entities as TV bands device database administrators.  </w:t>
      </w:r>
      <w:r w:rsidRPr="00D40600">
        <w:rPr>
          <w:i/>
        </w:rPr>
        <w:t xml:space="preserve">See also, </w:t>
      </w:r>
      <w:r w:rsidRPr="00D40600">
        <w:t xml:space="preserve">Unlicensed Operation in the TV Broadcast Bands, </w:t>
      </w:r>
      <w:r w:rsidRPr="00D40600">
        <w:rPr>
          <w:i/>
        </w:rPr>
        <w:t>Order</w:t>
      </w:r>
      <w:r w:rsidRPr="00D40600">
        <w:t>, ET Docket No. 04-186, 02-380, 26 FCC Rcd 10599 (2011) which added Microsoft to the list of conditionally designated TV bands device database coordinators.</w:t>
      </w:r>
    </w:p>
  </w:footnote>
  <w:footnote w:id="1139">
    <w:p w:rsidR="00EC7CF3" w:rsidRDefault="00EC7CF3" w:rsidP="00680E06">
      <w:pPr>
        <w:pStyle w:val="FootnoteText"/>
      </w:pPr>
      <w:r w:rsidRPr="00D40600">
        <w:rPr>
          <w:rStyle w:val="FootnoteReference"/>
          <w:sz w:val="20"/>
        </w:rPr>
        <w:footnoteRef/>
      </w:r>
      <w:r w:rsidRPr="00D40600">
        <w:t xml:space="preserve">  </w:t>
      </w:r>
      <w:r w:rsidRPr="00D40600">
        <w:rPr>
          <w:i/>
        </w:rPr>
        <w:t xml:space="preserve">See </w:t>
      </w:r>
      <w:r w:rsidRPr="00D40600">
        <w:t xml:space="preserve">Office of Engineering and Technology Announces the Approval of Spectrum Bridge, Inc.’s TV Bands Database System for Operation, </w:t>
      </w:r>
      <w:r w:rsidRPr="00D40600">
        <w:rPr>
          <w:i/>
        </w:rPr>
        <w:t>Public Notice</w:t>
      </w:r>
      <w:r w:rsidRPr="00D40600">
        <w:t xml:space="preserve">, ET Docket No. 04-186, 26 FCC Rcd 16924 (2011).  </w:t>
      </w:r>
      <w:r w:rsidRPr="00D40600">
        <w:rPr>
          <w:i/>
        </w:rPr>
        <w:t>See also</w:t>
      </w:r>
      <w:r w:rsidRPr="00D40600">
        <w:t xml:space="preserve"> Office of Engineering and Technology Announces the Approval of Telcordia Technologies, Inc.’s TV Bands Database System for Operation, </w:t>
      </w:r>
      <w:r w:rsidRPr="00D40600">
        <w:rPr>
          <w:i/>
        </w:rPr>
        <w:t>Public Notice</w:t>
      </w:r>
      <w:r w:rsidRPr="00D40600">
        <w:t xml:space="preserve">, ET Docket No. 04-186, 27 FCC Rcd 2934 (2012) and Office of Engineering and Technology Permits Telcordia Technologies, Inc. to Provide TV Bands Database Service in Nottoway County, Virginia, </w:t>
      </w:r>
      <w:r w:rsidRPr="00D40600">
        <w:rPr>
          <w:i/>
        </w:rPr>
        <w:t>Public Notice</w:t>
      </w:r>
      <w:r w:rsidRPr="00D40600">
        <w:t>, ET Docket No. 04-186, 27 FCC Rcd 4146 (2011).</w:t>
      </w:r>
    </w:p>
  </w:footnote>
  <w:footnote w:id="1140">
    <w:p w:rsidR="00EC7CF3" w:rsidRDefault="00EC7CF3" w:rsidP="00680E06">
      <w:pPr>
        <w:pStyle w:val="FootnoteText"/>
      </w:pPr>
      <w:r w:rsidRPr="00D40600">
        <w:rPr>
          <w:rStyle w:val="FootnoteReference"/>
          <w:sz w:val="20"/>
        </w:rPr>
        <w:footnoteRef/>
      </w:r>
      <w:r w:rsidRPr="00D40600">
        <w:t xml:space="preserve"> </w:t>
      </w:r>
      <w:r w:rsidRPr="00D40600">
        <w:rPr>
          <w:i/>
        </w:rPr>
        <w:t>See</w:t>
      </w:r>
      <w:r w:rsidRPr="00D40600">
        <w:t xml:space="preserve"> Office of Engineering and Technology and Wireless Telecommunications Bureau Announce the Initial Launch of Unlicensed Wireless Microphone Registration System; Registration Open in East Coast Region: New York, New Jersey, Pennsylvania, Delaware, Maryland, Washington DC, Virginia, and North Carolina, </w:t>
      </w:r>
      <w:r w:rsidRPr="00D40600">
        <w:rPr>
          <w:i/>
        </w:rPr>
        <w:t xml:space="preserve">Public Notice, </w:t>
      </w:r>
      <w:r w:rsidRPr="00D40600">
        <w:t>ET Docket No. 04-186, 27 FCC Rcd 11163 (2012).</w:t>
      </w:r>
    </w:p>
  </w:footnote>
  <w:footnote w:id="1141">
    <w:p w:rsidR="00EC7CF3" w:rsidRDefault="00EC7CF3" w:rsidP="0028065E">
      <w:pPr>
        <w:pStyle w:val="FootnoteText"/>
      </w:pPr>
      <w:r w:rsidRPr="00D40600">
        <w:rPr>
          <w:rStyle w:val="FootnoteReference"/>
          <w:sz w:val="20"/>
        </w:rPr>
        <w:footnoteRef/>
      </w:r>
      <w:r w:rsidRPr="00D40600">
        <w:rPr>
          <w:rStyle w:val="FootnoteReference"/>
          <w:sz w:val="20"/>
        </w:rPr>
        <w:t xml:space="preserve"> </w:t>
      </w:r>
      <w:r w:rsidRPr="00D40600">
        <w:rPr>
          <w:i/>
        </w:rPr>
        <w:t>See Seventh Report</w:t>
      </w:r>
      <w:r w:rsidRPr="00D40600">
        <w:t>, 17 FCC Rcd at 13062-13063.  Hot spots typically rely on high-speed landline technologies, such as T-1 lines, DSL, or cable modems, to connect to the Internet.</w:t>
      </w:r>
    </w:p>
  </w:footnote>
  <w:footnote w:id="1142">
    <w:p w:rsidR="00EC7CF3" w:rsidRDefault="00EC7CF3" w:rsidP="0028065E">
      <w:pPr>
        <w:pStyle w:val="FootnoteText"/>
      </w:pPr>
      <w:r w:rsidRPr="00D40600">
        <w:rPr>
          <w:rStyle w:val="FootnoteReference"/>
          <w:sz w:val="20"/>
        </w:rPr>
        <w:footnoteRef/>
      </w:r>
      <w:r w:rsidRPr="00D40600">
        <w:t xml:space="preserve"> </w:t>
      </w:r>
      <w:r w:rsidRPr="00D40600">
        <w:rPr>
          <w:i/>
        </w:rPr>
        <w:t xml:space="preserve">See </w:t>
      </w:r>
      <w:r w:rsidRPr="00D40600">
        <w:rPr>
          <w:i/>
          <w:iCs/>
        </w:rPr>
        <w:t>Wi-Fi Hotspots Stay Hot In 2008,</w:t>
      </w:r>
      <w:r w:rsidRPr="00D40600">
        <w:t xml:space="preserve"> Cellular-News.com, July 17, 2008.  ABI Research Vice President and Research Director, Stan Schatt stated, “Starbucks’ decision to go to a virtually free Wi-Fi hotspot model is having a profound impact.  Hotspot owners are beginning to see Wi-Fi as a cost of doing business and an operation expense, rather than as a profit center.”  </w:t>
      </w:r>
      <w:r w:rsidRPr="00D40600">
        <w:rPr>
          <w:i/>
        </w:rPr>
        <w:t>Id.</w:t>
      </w:r>
    </w:p>
  </w:footnote>
  <w:footnote w:id="1143">
    <w:p w:rsidR="00EC7CF3" w:rsidRDefault="00EC7CF3" w:rsidP="0028065E">
      <w:pPr>
        <w:pStyle w:val="FootnoteText"/>
      </w:pPr>
      <w:r w:rsidRPr="00D40600">
        <w:rPr>
          <w:rStyle w:val="FootnoteReference"/>
          <w:sz w:val="20"/>
        </w:rPr>
        <w:footnoteRef/>
      </w:r>
      <w:r w:rsidRPr="00D40600">
        <w:t xml:space="preserve"> Amtrak, </w:t>
      </w:r>
      <w:r w:rsidRPr="00D40600">
        <w:rPr>
          <w:i/>
        </w:rPr>
        <w:t>AmtrakConnect Wi-Fi</w:t>
      </w:r>
      <w:r w:rsidRPr="00D40600">
        <w:t xml:space="preserve">, </w:t>
      </w:r>
      <w:hyperlink r:id="rId502" w:history="1">
        <w:r w:rsidRPr="00D40600">
          <w:rPr>
            <w:rStyle w:val="Hyperlink"/>
          </w:rPr>
          <w:t>http://www.amtrak.com/servlet/ContentServer/AM_Content_C/1246044325520/1237405732514</w:t>
        </w:r>
      </w:hyperlink>
      <w:r w:rsidRPr="00D40600">
        <w:t xml:space="preserve"> (visited Sept. 14, 2012).</w:t>
      </w:r>
    </w:p>
  </w:footnote>
  <w:footnote w:id="1144">
    <w:p w:rsidR="00EC7CF3" w:rsidRPr="00D40600" w:rsidRDefault="00EC7CF3" w:rsidP="0028065E">
      <w:pPr>
        <w:rPr>
          <w:sz w:val="20"/>
        </w:rPr>
      </w:pPr>
      <w:r w:rsidRPr="00D40600">
        <w:rPr>
          <w:rStyle w:val="FootnoteReference"/>
          <w:sz w:val="20"/>
        </w:rPr>
        <w:footnoteRef/>
      </w:r>
      <w:r w:rsidRPr="00D40600">
        <w:rPr>
          <w:i/>
          <w:sz w:val="20"/>
        </w:rPr>
        <w:t xml:space="preserve"> See</w:t>
      </w:r>
      <w:r w:rsidRPr="00D40600">
        <w:rPr>
          <w:sz w:val="20"/>
        </w:rPr>
        <w:t xml:space="preserve"> Tammy Parker, </w:t>
      </w:r>
      <w:r w:rsidRPr="00D40600">
        <w:rPr>
          <w:i/>
          <w:kern w:val="0"/>
          <w:sz w:val="20"/>
        </w:rPr>
        <w:t>In-Stat: Market for in-flight Wi-Fi primed for takeoff</w:t>
      </w:r>
      <w:r w:rsidRPr="00D40600">
        <w:rPr>
          <w:sz w:val="20"/>
        </w:rPr>
        <w:t xml:space="preserve">, Feb. 9, 2012, </w:t>
      </w:r>
      <w:r w:rsidRPr="00D40600">
        <w:rPr>
          <w:i/>
          <w:sz w:val="20"/>
        </w:rPr>
        <w:t xml:space="preserve">available at </w:t>
      </w:r>
      <w:r w:rsidRPr="00D40600">
        <w:rPr>
          <w:sz w:val="20"/>
        </w:rPr>
        <w:t>http://www.fiercebroadbandwireless.com/story/stat-market-flight-wi-fi-primed-takeoff/2012-02-09</w:t>
      </w:r>
      <w:r w:rsidRPr="00D40600" w:rsidDel="006A7039">
        <w:rPr>
          <w:sz w:val="20"/>
        </w:rPr>
        <w:t xml:space="preserve"> </w:t>
      </w:r>
      <w:r w:rsidRPr="00D40600">
        <w:rPr>
          <w:sz w:val="20"/>
        </w:rPr>
        <w:t xml:space="preserve">(visited Sept. 14, 2012).  </w:t>
      </w:r>
    </w:p>
    <w:p w:rsidR="00EC7CF3" w:rsidRDefault="00EC7CF3" w:rsidP="0028065E"/>
  </w:footnote>
  <w:footnote w:id="1145">
    <w:p w:rsidR="00EC7CF3" w:rsidRDefault="00EC7CF3" w:rsidP="0028065E">
      <w:pPr>
        <w:pStyle w:val="FootnoteText"/>
      </w:pPr>
      <w:r w:rsidRPr="00D40600">
        <w:rPr>
          <w:rStyle w:val="FootnoteReference"/>
          <w:sz w:val="20"/>
        </w:rPr>
        <w:footnoteRef/>
      </w:r>
      <w:r w:rsidRPr="00D40600">
        <w:rPr>
          <w:i/>
        </w:rPr>
        <w:t xml:space="preserve"> See</w:t>
      </w:r>
      <w:r w:rsidRPr="00D40600">
        <w:t xml:space="preserve"> Jiwire, </w:t>
      </w:r>
      <w:r w:rsidRPr="00D40600">
        <w:rPr>
          <w:i/>
        </w:rPr>
        <w:t>Global Wi-Fi Finder</w:t>
      </w:r>
      <w:r w:rsidRPr="00D40600">
        <w:t xml:space="preserve">, </w:t>
      </w:r>
      <w:r w:rsidRPr="00D40600">
        <w:rPr>
          <w:i/>
        </w:rPr>
        <w:t xml:space="preserve">available at </w:t>
      </w:r>
      <w:hyperlink r:id="rId503" w:history="1">
        <w:r w:rsidRPr="00D40600">
          <w:rPr>
            <w:rStyle w:val="Hyperlink"/>
          </w:rPr>
          <w:t>http://v4.jiwire.com/search-hotspot-locations.htm</w:t>
        </w:r>
      </w:hyperlink>
      <w:r w:rsidRPr="00D40600">
        <w:t xml:space="preserve"> (visited Sept. 14, 2012) (98,877 hot spots in the United States); Hotspotr, </w:t>
      </w:r>
      <w:r w:rsidRPr="00D40600">
        <w:rPr>
          <w:i/>
        </w:rPr>
        <w:t>WiFi Cafes and Hotspots</w:t>
      </w:r>
      <w:r w:rsidRPr="00D40600">
        <w:t xml:space="preserve">, </w:t>
      </w:r>
      <w:r w:rsidRPr="00D40600">
        <w:rPr>
          <w:i/>
        </w:rPr>
        <w:t xml:space="preserve">available at </w:t>
      </w:r>
      <w:hyperlink r:id="rId504" w:history="1">
        <w:r w:rsidRPr="00D40600">
          <w:rPr>
            <w:rStyle w:val="Hyperlink"/>
          </w:rPr>
          <w:t>http://hotspotr.com/wifi</w:t>
        </w:r>
      </w:hyperlink>
      <w:r w:rsidRPr="00D40600">
        <w:t xml:space="preserve"> (18,319 hot spots) (visited Sept. 14, 2012).  </w:t>
      </w:r>
    </w:p>
  </w:footnote>
  <w:footnote w:id="1146">
    <w:p w:rsidR="00EC7CF3" w:rsidRDefault="00EC7CF3" w:rsidP="0028065E">
      <w:pPr>
        <w:pStyle w:val="FootnoteText"/>
      </w:pPr>
      <w:r w:rsidRPr="00D40600">
        <w:rPr>
          <w:rStyle w:val="FootnoteReference"/>
          <w:sz w:val="20"/>
        </w:rPr>
        <w:footnoteRef/>
      </w:r>
      <w:r w:rsidRPr="00D40600">
        <w:t xml:space="preserve"> </w:t>
      </w:r>
      <w:r w:rsidRPr="00D40600">
        <w:rPr>
          <w:i/>
        </w:rPr>
        <w:t>See</w:t>
      </w:r>
      <w:r w:rsidRPr="00D40600">
        <w:t xml:space="preserve">, </w:t>
      </w:r>
      <w:r w:rsidRPr="00D40600">
        <w:rPr>
          <w:i/>
        </w:rPr>
        <w:t>e.g.</w:t>
      </w:r>
      <w:r w:rsidRPr="00D40600">
        <w:t>,</w:t>
      </w:r>
      <w:r w:rsidRPr="00D40600">
        <w:rPr>
          <w:i/>
        </w:rPr>
        <w:t xml:space="preserve"> Q: What is Xfinity WiFi?How do I connect to an XFINITY WiFi hotspot?</w:t>
      </w:r>
      <w:r w:rsidRPr="00D40600">
        <w:t>,</w:t>
      </w:r>
      <w:r w:rsidRPr="00D40600">
        <w:rPr>
          <w:i/>
        </w:rPr>
        <w:t xml:space="preserve"> </w:t>
      </w:r>
      <w:r w:rsidRPr="00D40600">
        <w:t xml:space="preserve">Xfinity.com, http://www.comcast.com/wifi/faqs.htm?SCRedirect=true (last visited Sept 14, 2012).  Some of the Cable Companies, such as Comcast and TWC, also offer non-subscribers access for a charge.  Shalini Ramachandran, </w:t>
      </w:r>
      <w:r w:rsidRPr="00D40600">
        <w:rPr>
          <w:i/>
        </w:rPr>
        <w:t>Cable Firms to Share Wi-Fi</w:t>
      </w:r>
      <w:r w:rsidRPr="00D40600">
        <w:t xml:space="preserve">, Wall St. J., May 21, 2012, available at </w:t>
      </w:r>
      <w:hyperlink r:id="rId505" w:history="1">
        <w:r w:rsidRPr="00D40600">
          <w:rPr>
            <w:rStyle w:val="Hyperlink"/>
          </w:rPr>
          <w:t>http://allthingsd.com/20120521/five-cable-firms-to-share-wi-fi-hot-spots/</w:t>
        </w:r>
      </w:hyperlink>
      <w:r w:rsidRPr="00D40600">
        <w:t>. (visited Oct. 16, 2012)</w:t>
      </w:r>
      <w:r>
        <w:t>.</w:t>
      </w:r>
    </w:p>
  </w:footnote>
  <w:footnote w:id="1147">
    <w:p w:rsidR="00EC7CF3" w:rsidRDefault="00EC7CF3" w:rsidP="0028065E">
      <w:pPr>
        <w:pStyle w:val="FootnoteText"/>
      </w:pPr>
      <w:r w:rsidRPr="00D40600">
        <w:rPr>
          <w:rStyle w:val="FootnoteReference"/>
          <w:sz w:val="20"/>
        </w:rPr>
        <w:footnoteRef/>
      </w:r>
      <w:r w:rsidRPr="00D40600">
        <w:t xml:space="preserve"> </w:t>
      </w:r>
      <w:r w:rsidRPr="00D40600">
        <w:rPr>
          <w:i/>
        </w:rPr>
        <w:t>See</w:t>
      </w:r>
      <w:r w:rsidRPr="00D40600">
        <w:t xml:space="preserve"> </w:t>
      </w:r>
      <w:r w:rsidRPr="00D40600">
        <w:rPr>
          <w:i/>
        </w:rPr>
        <w:t xml:space="preserve"> Major U.S. Cable Companies Join Forces</w:t>
      </w:r>
      <w:r w:rsidRPr="00D40600">
        <w:t xml:space="preserve"> </w:t>
      </w:r>
      <w:r w:rsidRPr="00D40600">
        <w:rPr>
          <w:i/>
        </w:rPr>
        <w:t>on WiFi, Business Wire</w:t>
      </w:r>
      <w:r w:rsidRPr="00D40600">
        <w:t xml:space="preserve">, May 21, 2012, available at </w:t>
      </w:r>
      <w:hyperlink r:id="rId506" w:history="1">
        <w:r w:rsidRPr="00D40600">
          <w:rPr>
            <w:rStyle w:val="Hyperlink"/>
          </w:rPr>
          <w:t>http://www.businesswire.com/news/home/20120521005484/en/Major-U.S.-Cable-Companies-Join-Forces-WiFi</w:t>
        </w:r>
      </w:hyperlink>
      <w:r w:rsidRPr="00D40600">
        <w:t>. (visited Oct. 16, 2012)</w:t>
      </w:r>
      <w:r>
        <w:t>.</w:t>
      </w:r>
    </w:p>
  </w:footnote>
  <w:footnote w:id="1148">
    <w:p w:rsidR="00EC7CF3" w:rsidRDefault="00EC7CF3" w:rsidP="0028065E">
      <w:pPr>
        <w:pStyle w:val="FootnoteText"/>
      </w:pPr>
      <w:r w:rsidRPr="00D40600">
        <w:rPr>
          <w:rStyle w:val="FootnoteReference"/>
          <w:sz w:val="20"/>
        </w:rPr>
        <w:footnoteRef/>
      </w:r>
      <w:r w:rsidRPr="00D40600">
        <w:t xml:space="preserve"> </w:t>
      </w:r>
      <w:r w:rsidRPr="00D40600">
        <w:rPr>
          <w:i/>
        </w:rPr>
        <w:t xml:space="preserve">See </w:t>
      </w:r>
      <w:r w:rsidRPr="00D40600">
        <w:t xml:space="preserve">AT&amp;T, News Release, </w:t>
      </w:r>
      <w:r w:rsidRPr="00D40600">
        <w:rPr>
          <w:bCs/>
          <w:i/>
        </w:rPr>
        <w:t>AT&amp;T Wi-Fi Usage Soars With 301.9 Million Connections Made in Third Quarter 2011,</w:t>
      </w:r>
      <w:r w:rsidRPr="00D40600">
        <w:rPr>
          <w:bCs/>
        </w:rPr>
        <w:t>Sept. 14, 2012, available at</w:t>
      </w:r>
      <w:r w:rsidRPr="00D40600">
        <w:t xml:space="preserve"> </w:t>
      </w:r>
      <w:hyperlink r:id="rId507" w:history="1">
        <w:r w:rsidRPr="00D40600">
          <w:rPr>
            <w:rStyle w:val="Hyperlink"/>
          </w:rPr>
          <w:t>http://www.att.com/gen/press-room?pid=21806&amp;cdvn=news&amp;newsarticleid=33140&amp;mapcode=consumer|mk-att-wi-fi</w:t>
        </w:r>
      </w:hyperlink>
      <w:r w:rsidRPr="00D40600">
        <w:t xml:space="preserve"> (visited Sept. 14, 2012). (announcing that its Wi-Fi network consists of over 29,000 locations in the U.S.); Verizon Wireless, </w:t>
      </w:r>
      <w:r w:rsidRPr="00D40600">
        <w:rPr>
          <w:i/>
        </w:rPr>
        <w:t xml:space="preserve">Verizon Wi-Fi Hotspot Directory, </w:t>
      </w:r>
      <w:hyperlink r:id="rId508" w:history="1">
        <w:r w:rsidRPr="00D40600">
          <w:rPr>
            <w:rStyle w:val="Hyperlink"/>
          </w:rPr>
          <w:t>http://vzw.jiwire.com/</w:t>
        </w:r>
      </w:hyperlink>
      <w:r w:rsidRPr="00D40600">
        <w:t xml:space="preserve"> (visited Sept. 14, 2012) (noting the availability of thousands of Verizon Wi-Fi hot spots across the United States, Canada, and Mexico); T-Mobile, </w:t>
      </w:r>
      <w:r w:rsidRPr="00D40600">
        <w:rPr>
          <w:i/>
        </w:rPr>
        <w:t xml:space="preserve">T-Mobile HotSpot Locations, </w:t>
      </w:r>
      <w:hyperlink r:id="rId509" w:history="1">
        <w:r w:rsidRPr="00D40600">
          <w:rPr>
            <w:rStyle w:val="Hyperlink"/>
          </w:rPr>
          <w:t>https://selfcare.hotspot.t-mobile.com/locations/viewLocationMap.do</w:t>
        </w:r>
      </w:hyperlink>
      <w:r w:rsidRPr="00D40600">
        <w:t xml:space="preserve"> (visited Sept.14, 2012) (advertising over 45,000 locations worldwide).</w:t>
      </w:r>
      <w:r w:rsidRPr="00D40600">
        <w:rPr>
          <w:i/>
        </w:rPr>
        <w:t xml:space="preserve"> </w:t>
      </w:r>
      <w:r w:rsidRPr="00D40600">
        <w:t xml:space="preserve"> </w:t>
      </w:r>
    </w:p>
  </w:footnote>
  <w:footnote w:id="1149">
    <w:p w:rsidR="00EC7CF3" w:rsidRDefault="00EC7CF3" w:rsidP="0028065E">
      <w:pPr>
        <w:pStyle w:val="FootnoteText"/>
      </w:pPr>
      <w:r w:rsidRPr="00D40600">
        <w:rPr>
          <w:rStyle w:val="FootnoteReference"/>
          <w:sz w:val="20"/>
        </w:rPr>
        <w:footnoteRef/>
      </w:r>
      <w:r w:rsidRPr="00D40600">
        <w:t xml:space="preserve"> </w:t>
      </w:r>
      <w:r w:rsidRPr="00D40600">
        <w:rPr>
          <w:i/>
        </w:rPr>
        <w:t xml:space="preserve">See </w:t>
      </w:r>
      <w:r w:rsidRPr="00D40600">
        <w:t xml:space="preserve">News Release. AT&amp;T, </w:t>
      </w:r>
      <w:r w:rsidRPr="00D40600">
        <w:rPr>
          <w:bCs/>
          <w:i/>
        </w:rPr>
        <w:t>AT&amp;T Wi-Fi Usage Soars With 301.9 Million Connections Made in Third Quarter 2011,</w:t>
      </w:r>
      <w:r w:rsidRPr="00D40600">
        <w:rPr>
          <w:bCs/>
        </w:rPr>
        <w:t>Oct. 24, 2011, available at</w:t>
      </w:r>
      <w:r w:rsidRPr="00D40600">
        <w:t xml:space="preserve"> </w:t>
      </w:r>
      <w:hyperlink r:id="rId510" w:history="1">
        <w:r w:rsidRPr="00D40600">
          <w:rPr>
            <w:rStyle w:val="Hyperlink"/>
          </w:rPr>
          <w:t>http://www.att.com/gen/press-room?pid=21806&amp;cdvn=news&amp;newsarticleid=33140&amp;mapcode=consumer|mk-att-wi-fi</w:t>
        </w:r>
      </w:hyperlink>
      <w:r w:rsidRPr="00D40600">
        <w:t xml:space="preserve"> (visited Sept. 14, 2012).</w:t>
      </w:r>
    </w:p>
  </w:footnote>
  <w:footnote w:id="1150">
    <w:p w:rsidR="00EC7CF3" w:rsidRDefault="00EC7CF3" w:rsidP="0028065E">
      <w:pPr>
        <w:pStyle w:val="FootnoteText"/>
      </w:pPr>
      <w:r w:rsidRPr="00D40600">
        <w:rPr>
          <w:rStyle w:val="FootnoteReference"/>
          <w:sz w:val="20"/>
        </w:rPr>
        <w:footnoteRef/>
      </w:r>
      <w:r w:rsidRPr="00D40600">
        <w:t xml:space="preserve"> </w:t>
      </w:r>
      <w:r w:rsidRPr="00D40600">
        <w:rPr>
          <w:i/>
        </w:rPr>
        <w:t xml:space="preserve">See </w:t>
      </w:r>
      <w:r w:rsidRPr="00D40600">
        <w:t>AT&amp;T 2011 Annual Report, at 6.</w:t>
      </w:r>
    </w:p>
  </w:footnote>
  <w:footnote w:id="1151">
    <w:p w:rsidR="00EC7CF3" w:rsidRDefault="00EC7CF3" w:rsidP="0028065E">
      <w:pPr>
        <w:pStyle w:val="FootnoteText"/>
      </w:pPr>
      <w:r w:rsidRPr="00D40600">
        <w:rPr>
          <w:rStyle w:val="FootnoteReference"/>
          <w:sz w:val="20"/>
        </w:rPr>
        <w:footnoteRef/>
      </w:r>
      <w:r w:rsidRPr="00D40600">
        <w:t xml:space="preserve"> </w:t>
      </w:r>
      <w:r w:rsidRPr="00D40600">
        <w:rPr>
          <w:i/>
        </w:rPr>
        <w:t xml:space="preserve">See </w:t>
      </w:r>
      <w:r w:rsidRPr="00D40600">
        <w:t xml:space="preserve">Starbucks, </w:t>
      </w:r>
      <w:r w:rsidRPr="00D40600">
        <w:rPr>
          <w:i/>
        </w:rPr>
        <w:t>Wireless Internet</w:t>
      </w:r>
      <w:r w:rsidRPr="00D40600">
        <w:t xml:space="preserve">, </w:t>
      </w:r>
      <w:hyperlink r:id="rId511" w:history="1">
        <w:r w:rsidRPr="00D40600">
          <w:rPr>
            <w:rStyle w:val="Hyperlink"/>
          </w:rPr>
          <w:t>http://www.starbucks.com/coffeehouse/wireless-internet</w:t>
        </w:r>
      </w:hyperlink>
      <w:r>
        <w:t xml:space="preserve">  </w:t>
      </w:r>
      <w:r w:rsidRPr="00D40600">
        <w:t xml:space="preserve">(visited Sept. 14, 2012) (advertising free, unlimited Wi-Fi access, with no username or password required, at all Starbucks company-owned stores in the United States); McDonald’s, </w:t>
      </w:r>
      <w:r w:rsidRPr="00D40600">
        <w:rPr>
          <w:i/>
        </w:rPr>
        <w:t>Free Wi-Fi,</w:t>
      </w:r>
      <w:r w:rsidRPr="00D40600">
        <w:t xml:space="preserve"> </w:t>
      </w:r>
      <w:hyperlink r:id="rId512" w:history="1">
        <w:r w:rsidRPr="00D40600">
          <w:rPr>
            <w:rStyle w:val="Hyperlink"/>
          </w:rPr>
          <w:t>http://www.mcdonalds.com/us/en/services/free_wifi.html</w:t>
        </w:r>
      </w:hyperlink>
      <w:r w:rsidRPr="00D40600">
        <w:t xml:space="preserve"> (visited Sept. 14, 2012) (advertising free Wi-Fi hot spot access at more than 11,500 locations in the United States); Barnes &amp; Noble, </w:t>
      </w:r>
      <w:r w:rsidRPr="00D40600">
        <w:rPr>
          <w:i/>
        </w:rPr>
        <w:t xml:space="preserve">AT&amp;T Wi-Fi, </w:t>
      </w:r>
      <w:hyperlink r:id="rId513" w:history="1">
        <w:r w:rsidRPr="00D40600">
          <w:rPr>
            <w:rStyle w:val="Hyperlink"/>
          </w:rPr>
          <w:t>http://www.barnesandnoble.com/u/Wi-fi-at-Barnes-and-Noble/379001240/?cds2Pid=27242&amp;linkid=1594157</w:t>
        </w:r>
      </w:hyperlink>
      <w:r w:rsidRPr="00D40600">
        <w:t xml:space="preserve"> (visited Sept. 14, 2012).</w:t>
      </w:r>
    </w:p>
  </w:footnote>
  <w:footnote w:id="1152">
    <w:p w:rsidR="00EC7CF3" w:rsidRDefault="00EC7CF3" w:rsidP="0028065E">
      <w:pPr>
        <w:pStyle w:val="Default"/>
        <w:spacing w:after="120"/>
      </w:pPr>
      <w:r w:rsidRPr="00D40600">
        <w:rPr>
          <w:rStyle w:val="FootnoteReference"/>
          <w:rFonts w:cs="Arial"/>
          <w:sz w:val="20"/>
          <w:szCs w:val="20"/>
        </w:rPr>
        <w:footnoteRef/>
      </w:r>
      <w:r w:rsidRPr="00D40600">
        <w:rPr>
          <w:color w:val="auto"/>
          <w:sz w:val="20"/>
          <w:szCs w:val="20"/>
        </w:rPr>
        <w:t xml:space="preserve"> </w:t>
      </w:r>
      <w:r w:rsidRPr="00D40600">
        <w:rPr>
          <w:rFonts w:ascii="Times New Roman" w:hAnsi="Times New Roman" w:cs="Times New Roman"/>
          <w:i/>
          <w:color w:val="auto"/>
          <w:sz w:val="20"/>
          <w:szCs w:val="20"/>
        </w:rPr>
        <w:t xml:space="preserve">See </w:t>
      </w:r>
      <w:r w:rsidRPr="00D40600">
        <w:rPr>
          <w:rFonts w:ascii="Times New Roman" w:hAnsi="Times New Roman" w:cs="Times New Roman"/>
          <w:sz w:val="20"/>
          <w:szCs w:val="20"/>
        </w:rPr>
        <w:t xml:space="preserve">AT&amp;T, </w:t>
      </w:r>
      <w:r w:rsidRPr="00D40600">
        <w:rPr>
          <w:rFonts w:ascii="Times New Roman" w:hAnsi="Times New Roman" w:cs="Times New Roman"/>
          <w:i/>
          <w:sz w:val="20"/>
          <w:szCs w:val="20"/>
        </w:rPr>
        <w:t xml:space="preserve">AT&amp;T Wi-Fi: At a Glance, </w:t>
      </w:r>
      <w:hyperlink r:id="rId514" w:history="1">
        <w:r w:rsidRPr="00D40600">
          <w:rPr>
            <w:rStyle w:val="Hyperlink"/>
            <w:rFonts w:ascii="Times New Roman" w:hAnsi="Times New Roman" w:cs="Arial"/>
            <w:sz w:val="20"/>
            <w:szCs w:val="20"/>
          </w:rPr>
          <w:t>http://www.att.com/Common/about_us/files/pdf/wifi/Wi-Fi_at_a_Glance.pdf</w:t>
        </w:r>
      </w:hyperlink>
      <w:r w:rsidRPr="00D40600">
        <w:rPr>
          <w:rFonts w:ascii="Times New Roman" w:hAnsi="Times New Roman" w:cs="Times New Roman"/>
          <w:sz w:val="20"/>
          <w:szCs w:val="20"/>
        </w:rPr>
        <w:t xml:space="preserve"> (visited Sept. 14, 2012)</w:t>
      </w:r>
      <w:r w:rsidRPr="00D40600">
        <w:rPr>
          <w:rFonts w:ascii="Times New Roman" w:hAnsi="Times New Roman" w:cs="Times New Roman"/>
          <w:color w:val="auto"/>
          <w:sz w:val="20"/>
          <w:szCs w:val="20"/>
        </w:rPr>
        <w:t xml:space="preserve"> (stating that “[u]nlimited access to AT&amp;T Wi-Fi hotspots in the U.S. is </w:t>
      </w:r>
      <w:r w:rsidRPr="00D40600">
        <w:rPr>
          <w:rFonts w:ascii="Times New Roman" w:hAnsi="Times New Roman" w:cs="Times New Roman"/>
          <w:bCs/>
          <w:color w:val="auto"/>
          <w:sz w:val="20"/>
          <w:szCs w:val="20"/>
        </w:rPr>
        <w:t xml:space="preserve">included </w:t>
      </w:r>
      <w:r w:rsidRPr="00D40600">
        <w:rPr>
          <w:rFonts w:ascii="Times New Roman" w:hAnsi="Times New Roman" w:cs="Times New Roman"/>
          <w:color w:val="auto"/>
          <w:sz w:val="20"/>
          <w:szCs w:val="20"/>
        </w:rPr>
        <w:t xml:space="preserve">for millions of residential, small business and enterprise customers with select AT&amp;T High Speed Internet, LaptopConnect, and smartphone plans”); T-Mobile, </w:t>
      </w:r>
      <w:r w:rsidRPr="00D40600">
        <w:rPr>
          <w:rFonts w:ascii="Times New Roman" w:hAnsi="Times New Roman" w:cs="Times New Roman"/>
          <w:i/>
          <w:color w:val="auto"/>
          <w:sz w:val="20"/>
          <w:szCs w:val="20"/>
        </w:rPr>
        <w:t xml:space="preserve">T-Mobile Hotspot – Service Plans, </w:t>
      </w:r>
      <w:hyperlink r:id="rId515" w:history="1">
        <w:r w:rsidRPr="00D40600">
          <w:rPr>
            <w:rStyle w:val="Hyperlink"/>
            <w:rFonts w:ascii="Times New Roman" w:hAnsi="Times New Roman" w:cs="Arial"/>
            <w:sz w:val="20"/>
            <w:szCs w:val="20"/>
          </w:rPr>
          <w:t>https://selfcare.hotspot.t-mobile.com/services_plans.do</w:t>
        </w:r>
      </w:hyperlink>
      <w:r w:rsidRPr="00D40600">
        <w:rPr>
          <w:rFonts w:ascii="Times New Roman" w:hAnsi="Times New Roman" w:cs="Times New Roman"/>
          <w:sz w:val="20"/>
          <w:szCs w:val="20"/>
        </w:rPr>
        <w:t xml:space="preserve"> </w:t>
      </w:r>
      <w:r w:rsidRPr="00D40600">
        <w:rPr>
          <w:rFonts w:ascii="Times New Roman" w:hAnsi="Times New Roman" w:cs="Times New Roman"/>
          <w:color w:val="auto"/>
          <w:sz w:val="20"/>
          <w:szCs w:val="20"/>
        </w:rPr>
        <w:t xml:space="preserve"> (visited Sept. 14, 2012) (advertising $9.99 per month as a “discount for T-Mobile voice plan customers only”); Verizon Wireless, </w:t>
      </w:r>
      <w:r w:rsidRPr="00D40600">
        <w:rPr>
          <w:rFonts w:ascii="Times New Roman" w:hAnsi="Times New Roman" w:cs="Times New Roman"/>
          <w:i/>
          <w:color w:val="auto"/>
          <w:sz w:val="20"/>
          <w:szCs w:val="20"/>
        </w:rPr>
        <w:t xml:space="preserve">Hit the Hotspots with Verizon Wi-Fi, </w:t>
      </w:r>
      <w:r w:rsidRPr="00D40600">
        <w:rPr>
          <w:rFonts w:ascii="Times New Roman" w:hAnsi="Times New Roman" w:cs="Times New Roman"/>
          <w:sz w:val="20"/>
          <w:szCs w:val="20"/>
        </w:rPr>
        <w:t xml:space="preserve">http://www.verizonwireless.com/b2c/mobilebroadband/?page=wifiaccess </w:t>
      </w:r>
      <w:r w:rsidRPr="00D40600">
        <w:rPr>
          <w:rFonts w:ascii="Times New Roman" w:hAnsi="Times New Roman" w:cs="Times New Roman"/>
          <w:color w:val="auto"/>
          <w:sz w:val="20"/>
          <w:szCs w:val="20"/>
        </w:rPr>
        <w:t>(visited Sept. 14, 2012) (stating that Verizon Wi-Fi is “included for our Mobile Broadband customers.”).</w:t>
      </w:r>
    </w:p>
  </w:footnote>
  <w:footnote w:id="1153">
    <w:p w:rsidR="00EC7CF3" w:rsidRDefault="00EC7CF3" w:rsidP="0028065E">
      <w:pPr>
        <w:pStyle w:val="FootnoteText"/>
      </w:pPr>
      <w:r w:rsidRPr="00D40600">
        <w:rPr>
          <w:rStyle w:val="FootnoteReference"/>
          <w:sz w:val="20"/>
        </w:rPr>
        <w:footnoteRef/>
      </w:r>
      <w:r w:rsidRPr="00D40600">
        <w:t xml:space="preserve"> </w:t>
      </w:r>
      <w:r w:rsidRPr="00D40600">
        <w:rPr>
          <w:i/>
        </w:rPr>
        <w:t xml:space="preserve">See </w:t>
      </w:r>
      <w:r w:rsidRPr="00D40600">
        <w:t xml:space="preserve">Verizon Wireless, </w:t>
      </w:r>
      <w:r w:rsidRPr="00D40600">
        <w:rPr>
          <w:i/>
        </w:rPr>
        <w:t xml:space="preserve">Hit the Hotspots with Verizon Wi-Fi, </w:t>
      </w:r>
      <w:r w:rsidRPr="00D40600">
        <w:t xml:space="preserve">http://www.verizonwireless.com/b2c/mobilebroadband/?page=wifiaccess (visited Sept. 14, 2012); AT&amp;T, </w:t>
      </w:r>
      <w:r w:rsidRPr="00D40600">
        <w:rPr>
          <w:i/>
        </w:rPr>
        <w:t xml:space="preserve">AT&amp;T Wi-Fi: At a Glance, </w:t>
      </w:r>
      <w:hyperlink r:id="rId516" w:history="1">
        <w:r w:rsidRPr="00D40600">
          <w:rPr>
            <w:rStyle w:val="Hyperlink"/>
          </w:rPr>
          <w:t>http://www.att.com/Common/about_us/files/pdf/wifi/Wi-Fi_at_a_Glance.pdf</w:t>
        </w:r>
      </w:hyperlink>
      <w:r w:rsidRPr="00D40600">
        <w:t xml:space="preserve"> (visited Sept. 14, 2012) (stating that “[o]ne-time hot spot connections are available for as low as $2.95 for two hours”); T-Mobile, </w:t>
      </w:r>
      <w:r w:rsidRPr="00D40600">
        <w:rPr>
          <w:i/>
        </w:rPr>
        <w:t xml:space="preserve">T-Mobile Hotspot – Service Plans, </w:t>
      </w:r>
      <w:hyperlink r:id="rId517" w:history="1">
        <w:r w:rsidRPr="00D40600">
          <w:rPr>
            <w:rStyle w:val="Hyperlink"/>
          </w:rPr>
          <w:t>https://selfcare.hotspot.t-mobile.com/services_plans.do</w:t>
        </w:r>
      </w:hyperlink>
      <w:r w:rsidRPr="00D40600">
        <w:t xml:space="preserve"> (visited Sept. 14, 2012) (advertising a “DayPass” plan with no term commitment).</w:t>
      </w:r>
    </w:p>
  </w:footnote>
  <w:footnote w:id="1154">
    <w:p w:rsidR="00EC7CF3" w:rsidRDefault="00EC7CF3" w:rsidP="0028065E">
      <w:pPr>
        <w:pStyle w:val="FootnoteText"/>
      </w:pPr>
      <w:r w:rsidRPr="00D40600">
        <w:rPr>
          <w:rStyle w:val="FootnoteReference"/>
          <w:sz w:val="20"/>
        </w:rPr>
        <w:footnoteRef/>
      </w:r>
      <w:r w:rsidRPr="00D40600">
        <w:t xml:space="preserve"> </w:t>
      </w:r>
      <w:r w:rsidRPr="00D40600">
        <w:rPr>
          <w:i/>
        </w:rPr>
        <w:t xml:space="preserve">See </w:t>
      </w:r>
      <w:r w:rsidRPr="00D40600">
        <w:t xml:space="preserve">Cisco white paper, </w:t>
      </w:r>
      <w:r w:rsidRPr="00D40600">
        <w:rPr>
          <w:i/>
        </w:rPr>
        <w:t>Cisco Visual Networking Index: Global Mobile Data Traffic Forecast Update, 2011–2016</w:t>
      </w:r>
      <w:r w:rsidRPr="00D40600">
        <w:t xml:space="preserve">,  Feb. 14, 2012, at 12, available at </w:t>
      </w:r>
      <w:hyperlink r:id="rId518" w:history="1">
        <w:r w:rsidRPr="00D40600">
          <w:rPr>
            <w:rStyle w:val="Hyperlink"/>
          </w:rPr>
          <w:t>http://www.cisco.com/en/US/solutions/collateral/ns341/ns525/ns537/ns705/ns827/white_paper_c11-520862.html</w:t>
        </w:r>
      </w:hyperlink>
      <w:r w:rsidRPr="00D40600">
        <w:t xml:space="preserve">  (last visited Sept. 14, 2012). </w:t>
      </w:r>
    </w:p>
  </w:footnote>
  <w:footnote w:id="1155">
    <w:p w:rsidR="00EC7CF3" w:rsidRDefault="00EC7CF3" w:rsidP="00DC5214">
      <w:pPr>
        <w:pStyle w:val="FootnoteText"/>
      </w:pPr>
      <w:r w:rsidRPr="00D40600">
        <w:rPr>
          <w:rStyle w:val="FootnoteReference"/>
          <w:sz w:val="20"/>
        </w:rPr>
        <w:footnoteRef/>
      </w:r>
      <w:r w:rsidRPr="00D40600">
        <w:t xml:space="preserve"> </w:t>
      </w:r>
      <w:r w:rsidRPr="00D40600">
        <w:rPr>
          <w:i/>
        </w:rPr>
        <w:t>See Wi-Fi in Mobile Phones: Dual Mode Becomes the Thing</w:t>
      </w:r>
      <w:r w:rsidRPr="00D40600">
        <w:t xml:space="preserve">, In-Stat, Nov. 2009.  </w:t>
      </w:r>
      <w:r w:rsidRPr="00D40600">
        <w:rPr>
          <w:i/>
        </w:rPr>
        <w:t xml:space="preserve">See, e.g., </w:t>
      </w:r>
      <w:r w:rsidRPr="00D40600">
        <w:t xml:space="preserve">AT&amp;T, </w:t>
      </w:r>
      <w:r w:rsidRPr="00D40600">
        <w:rPr>
          <w:i/>
        </w:rPr>
        <w:t xml:space="preserve">Cell Phones &amp; Devices – Wireless from AT&amp;T, </w:t>
      </w:r>
      <w:hyperlink r:id="rId519" w:history="1">
        <w:r w:rsidRPr="00D40600">
          <w:rPr>
            <w:rStyle w:val="Hyperlink"/>
          </w:rPr>
          <w:t>http://www.wireless.att.com/cell-phone-service/cell-phones/cell-phones.jsp?feacondition=allphones&amp;feapaytype=standard&amp;startFilter=%20false&amp;allTypes=on&amp;feawifiCapable=wifiCapable&amp;allManus=on</w:t>
        </w:r>
      </w:hyperlink>
      <w:r w:rsidRPr="00D40600">
        <w:rPr>
          <w:i/>
        </w:rPr>
        <w:t xml:space="preserve"> </w:t>
      </w:r>
      <w:r w:rsidRPr="00D40600">
        <w:t xml:space="preserve">(visited Sept. 14, 2012) (listing a large number of Wi-Fi capable phones or devices available from AT&amp;T); T-Mobile, </w:t>
      </w:r>
      <w:r w:rsidRPr="00D40600">
        <w:rPr>
          <w:rFonts w:cs="Arial"/>
          <w:bCs/>
          <w:i/>
          <w:kern w:val="36"/>
        </w:rPr>
        <w:t>HotSpot Phones: Talk Away!</w:t>
      </w:r>
      <w:r w:rsidRPr="00D40600">
        <w:rPr>
          <w:rFonts w:cs="Arial"/>
          <w:bCs/>
          <w:kern w:val="36"/>
        </w:rPr>
        <w:t xml:space="preserve">, </w:t>
      </w:r>
      <w:hyperlink r:id="rId520" w:history="1">
        <w:r w:rsidRPr="00D40600">
          <w:rPr>
            <w:rStyle w:val="Hyperlink"/>
          </w:rPr>
          <w:t>http://www.t-mobile.com/templates/ListAllPhones.aspx/?features=4ce9c948-6b53-4b76-a3f7-9116f33bd25b&amp;WT.mc_n=TMHSDevice_WiFiLP&amp;WT.mc_t=Offsite</w:t>
        </w:r>
      </w:hyperlink>
      <w:r w:rsidRPr="00D40600">
        <w:rPr>
          <w:rFonts w:cs="Arial"/>
          <w:bCs/>
          <w:kern w:val="36"/>
        </w:rPr>
        <w:t xml:space="preserve"> (visited Sept. 14, 2012)</w:t>
      </w:r>
      <w:r w:rsidRPr="00D40600">
        <w:t xml:space="preserve"> (listing handsets available to use with T-Mobile’s Unlimited HotSpot Calling service, which allows for unlimited nationwide calls over Wi-Fi); US Cellular, </w:t>
      </w:r>
      <w:r w:rsidRPr="00D40600">
        <w:rPr>
          <w:i/>
        </w:rPr>
        <w:t xml:space="preserve">US Cellular – Phones, </w:t>
      </w:r>
      <w:hyperlink r:id="rId521" w:history="1">
        <w:r w:rsidRPr="00D40600">
          <w:rPr>
            <w:rStyle w:val="Hyperlink"/>
          </w:rPr>
          <w:t>http://www.uscellular.com/uscellular/zipCode.jsp?type=phones&amp;call=0</w:t>
        </w:r>
      </w:hyperlink>
      <w:r w:rsidRPr="00D40600">
        <w:t xml:space="preserve"> (visited Sept. 14, 2012) (Wi-Fi capable handsets from US Cellular can be found by entering a zip code for a valid service area and applying the filter for “Wi-Fi” to the list of available handsets); Cincinnati Bell Wireless, </w:t>
      </w:r>
      <w:r w:rsidRPr="00D40600">
        <w:rPr>
          <w:i/>
        </w:rPr>
        <w:t xml:space="preserve">Cincinnati Bell Wireless Phones and Devices, </w:t>
      </w:r>
      <w:hyperlink r:id="rId522" w:history="1">
        <w:r w:rsidRPr="00D40600">
          <w:rPr>
            <w:rStyle w:val="Hyperlink"/>
          </w:rPr>
          <w:t>http://www.cincinnatibell.com/consumer/wireless/phones_and_devices/?view=fusionwifi</w:t>
        </w:r>
      </w:hyperlink>
      <w:r w:rsidRPr="00D40600">
        <w:t xml:space="preserve"> (visited Sept. 14, 2012)</w:t>
      </w:r>
      <w:r>
        <w:t>.</w:t>
      </w:r>
      <w:r w:rsidRPr="00D40600">
        <w:t xml:space="preserve"> (listing handsets available for use with Cincinnati Bell Wireless’ Fusion WiFi service).  According to one report, the number of Wi-Fi equipped mobile phones that shipped in 2009 increased to 139.3 million, up from 92.5 million in 2008.</w:t>
      </w:r>
      <w:r w:rsidRPr="00D40600">
        <w:rPr>
          <w:i/>
        </w:rPr>
        <w:t xml:space="preserve">  See </w:t>
      </w:r>
      <w:r w:rsidRPr="00D40600">
        <w:t xml:space="preserve">Stephen Lawson, </w:t>
      </w:r>
      <w:r w:rsidRPr="00D40600">
        <w:rPr>
          <w:i/>
        </w:rPr>
        <w:t>Wi-Fi Spreading Fast Among Phones</w:t>
      </w:r>
      <w:r w:rsidRPr="00D40600">
        <w:t xml:space="preserve">, </w:t>
      </w:r>
      <w:r w:rsidRPr="00D40600">
        <w:rPr>
          <w:smallCaps/>
        </w:rPr>
        <w:t>PCWorld</w:t>
      </w:r>
      <w:r w:rsidRPr="00D40600">
        <w:t xml:space="preserve">, Mar. 23, 2010, </w:t>
      </w:r>
      <w:r w:rsidRPr="00D40600">
        <w:rPr>
          <w:i/>
        </w:rPr>
        <w:t xml:space="preserve">available at </w:t>
      </w:r>
      <w:hyperlink r:id="rId523" w:history="1">
        <w:r w:rsidRPr="00D40600">
          <w:rPr>
            <w:rStyle w:val="Hyperlink"/>
          </w:rPr>
          <w:t>http://www.pcworld.com/article/192106/wifi_spreading_fast_among_phones.html</w:t>
        </w:r>
      </w:hyperlink>
      <w:r w:rsidRPr="00D40600">
        <w:rPr>
          <w:rStyle w:val="Hyperlink"/>
        </w:rPr>
        <w:t xml:space="preserve"> </w:t>
      </w:r>
      <w:r w:rsidRPr="00D40600">
        <w:t>(visited Oct. 16, 2012)</w:t>
      </w:r>
      <w:r>
        <w:t>.</w:t>
      </w:r>
    </w:p>
  </w:footnote>
  <w:footnote w:id="1156">
    <w:p w:rsidR="00EC7CF3" w:rsidRDefault="00EC7CF3" w:rsidP="0028065E">
      <w:pPr>
        <w:pStyle w:val="FootnoteText"/>
      </w:pPr>
      <w:r w:rsidRPr="00D40600">
        <w:rPr>
          <w:rStyle w:val="FootnoteReference"/>
          <w:sz w:val="20"/>
        </w:rPr>
        <w:footnoteRef/>
      </w:r>
      <w:r w:rsidRPr="00D40600">
        <w:t xml:space="preserve"> </w:t>
      </w:r>
      <w:r w:rsidRPr="00D40600">
        <w:rPr>
          <w:i/>
        </w:rPr>
        <w:t>See</w:t>
      </w:r>
      <w:r w:rsidRPr="00D40600">
        <w:t xml:space="preserve"> Fierce Wireless, </w:t>
      </w:r>
      <w:r w:rsidRPr="00D40600">
        <w:rPr>
          <w:i/>
        </w:rPr>
        <w:t>Study: Easier Wi-Fi access could lure smartphones, tablet users,</w:t>
      </w:r>
      <w:r w:rsidRPr="00D40600">
        <w:t xml:space="preserve"> Sept. 14, 2012, available at http://www.fiercewireless.com/ctialive/story/study-easier-wi-fi-access-could-lure-smartphones-tablet-users/2012-05-10. (visited Oct. 16, 2012)</w:t>
      </w:r>
      <w:r>
        <w:t>.</w:t>
      </w:r>
    </w:p>
  </w:footnote>
  <w:footnote w:id="1157">
    <w:p w:rsidR="00EC7CF3" w:rsidRDefault="00EC7CF3" w:rsidP="0028065E">
      <w:pPr>
        <w:pStyle w:val="FootnoteText"/>
      </w:pPr>
      <w:r w:rsidRPr="00D40600">
        <w:rPr>
          <w:rStyle w:val="FootnoteReference"/>
          <w:sz w:val="20"/>
        </w:rPr>
        <w:footnoteRef/>
      </w:r>
      <w:r w:rsidRPr="00D40600">
        <w:t xml:space="preserve"> AT&amp;T FAQs on 3G MicroCell “</w:t>
      </w:r>
      <w:r w:rsidRPr="00D40600">
        <w:rPr>
          <w:i/>
        </w:rPr>
        <w:t>Should I use my 3G MicroCell for data instead of Wi-Fi</w:t>
      </w:r>
      <w:r w:rsidRPr="00D40600">
        <w:t>,” available at http://www.att.com/shop/wireless/devices/3gmicrocell.jsp?fbid=RDVYpCwGpf5 (visited Sept. 14, 2012).</w:t>
      </w:r>
    </w:p>
  </w:footnote>
  <w:footnote w:id="1158">
    <w:p w:rsidR="00EC7CF3" w:rsidRDefault="00EC7CF3" w:rsidP="00035572">
      <w:pPr>
        <w:pStyle w:val="FootnoteText"/>
      </w:pPr>
      <w:r w:rsidRPr="00D40600">
        <w:rPr>
          <w:rStyle w:val="FootnoteReference"/>
          <w:sz w:val="20"/>
        </w:rPr>
        <w:footnoteRef/>
      </w:r>
      <w:r w:rsidRPr="00D40600">
        <w:t xml:space="preserve"> </w:t>
      </w:r>
      <w:r w:rsidRPr="00D40600">
        <w:rPr>
          <w:i/>
        </w:rPr>
        <w:t xml:space="preserve">See </w:t>
      </w:r>
      <w:r w:rsidRPr="00D40600">
        <w:t>ComScore press release</w:t>
      </w:r>
      <w:r w:rsidRPr="00D40600">
        <w:rPr>
          <w:i/>
        </w:rPr>
        <w:t>, iPhones Have Significantly Higher Rates of Wi-Fi Utilization than Android Phones in the U.S. and U.K.</w:t>
      </w:r>
      <w:r w:rsidRPr="00D40600">
        <w:t xml:space="preserve"> Apr. 2, 2012. </w:t>
      </w:r>
      <w:hyperlink r:id="rId524" w:history="1">
        <w:r w:rsidRPr="00D40600">
          <w:rPr>
            <w:rStyle w:val="Hyperlink"/>
          </w:rPr>
          <w:t>http://www.comscore.com/Insights/Press_Releases/2012/4/iPhones_Have_Significantly_Higher_Rates_of_Wi-Fi_Utilization</w:t>
        </w:r>
      </w:hyperlink>
      <w:r w:rsidRPr="00D40600">
        <w:t>. (visited Nov. 19, 2012)</w:t>
      </w:r>
      <w:r>
        <w:t>.</w:t>
      </w:r>
      <w:r w:rsidRPr="00D40600">
        <w:t xml:space="preserve">  </w:t>
      </w:r>
    </w:p>
  </w:footnote>
  <w:footnote w:id="1159">
    <w:p w:rsidR="00EC7CF3" w:rsidRDefault="00EC7CF3" w:rsidP="0028065E">
      <w:pPr>
        <w:pStyle w:val="FootnoteText"/>
      </w:pPr>
      <w:r w:rsidRPr="00D40600">
        <w:rPr>
          <w:rStyle w:val="FootnoteReference"/>
          <w:sz w:val="20"/>
        </w:rPr>
        <w:footnoteRef/>
      </w:r>
      <w:r w:rsidRPr="00D40600">
        <w:t xml:space="preserve"> </w:t>
      </w:r>
      <w:r w:rsidRPr="00D40600">
        <w:rPr>
          <w:i/>
        </w:rPr>
        <w:t xml:space="preserve">See </w:t>
      </w:r>
      <w:r w:rsidRPr="00D40600">
        <w:t xml:space="preserve">Fierce Wireless, </w:t>
      </w:r>
      <w:r w:rsidRPr="00D40600">
        <w:rPr>
          <w:i/>
        </w:rPr>
        <w:t>GSMA, WBA partner to ease roaming between mobile, Wi-Fi networks</w:t>
      </w:r>
      <w:r w:rsidRPr="00D40600">
        <w:t>, at http://www.fiercebroadbandwireless.com/story/gsma-wba-partner-ease-roaming-between-mobile-wi-fi-networks/2012-03-20. (visited Oct. 16, 2012)</w:t>
      </w:r>
      <w:r>
        <w:t>.</w:t>
      </w:r>
    </w:p>
  </w:footnote>
  <w:footnote w:id="1160">
    <w:p w:rsidR="00EC7CF3" w:rsidRDefault="00EC7CF3" w:rsidP="0028065E">
      <w:pPr>
        <w:pStyle w:val="FootnoteText"/>
      </w:pPr>
      <w:r w:rsidRPr="00D40600">
        <w:rPr>
          <w:rStyle w:val="FootnoteReference"/>
          <w:sz w:val="20"/>
        </w:rPr>
        <w:footnoteRef/>
      </w:r>
      <w:r w:rsidRPr="00D40600">
        <w:t xml:space="preserve"> </w:t>
      </w:r>
      <w:r w:rsidRPr="00D40600">
        <w:rPr>
          <w:i/>
        </w:rPr>
        <w:t xml:space="preserve">See </w:t>
      </w:r>
      <w:r w:rsidRPr="00D40600">
        <w:t xml:space="preserve">Fierce Wireless, </w:t>
      </w:r>
      <w:r w:rsidRPr="00D40600">
        <w:rPr>
          <w:i/>
        </w:rPr>
        <w:t>Boingo CTO: Cellular-to-Wi-Fi roaming to be ready by early 2013</w:t>
      </w:r>
      <w:r w:rsidRPr="00D40600">
        <w:t>, at http://www.fiercebroadbandwireless.com/story/boingo-cto-cellular-wi-fi-roaming-be-ready-early-2013/2012-03-23. (visited Oct. 16, 2012)</w:t>
      </w:r>
      <w:r>
        <w:t>.</w:t>
      </w:r>
    </w:p>
  </w:footnote>
  <w:footnote w:id="1161">
    <w:p w:rsidR="00EC7CF3" w:rsidRDefault="00EC7CF3" w:rsidP="0028065E">
      <w:pPr>
        <w:pStyle w:val="FootnoteText"/>
      </w:pPr>
      <w:r w:rsidRPr="00D40600">
        <w:rPr>
          <w:rStyle w:val="FootnoteReference"/>
          <w:sz w:val="20"/>
        </w:rPr>
        <w:footnoteRef/>
      </w:r>
      <w:r w:rsidRPr="00D40600">
        <w:t xml:space="preserve"> </w:t>
      </w:r>
      <w:r w:rsidRPr="00D40600">
        <w:rPr>
          <w:i/>
        </w:rPr>
        <w:t xml:space="preserve">See </w:t>
      </w:r>
      <w:r w:rsidRPr="00D40600">
        <w:t xml:space="preserve">Fierce Wireless, </w:t>
      </w:r>
      <w:r w:rsidRPr="00D40600">
        <w:rPr>
          <w:i/>
        </w:rPr>
        <w:t>Localytics: Only 6% of iPad data sessions are on cellular networks</w:t>
      </w:r>
      <w:r w:rsidRPr="00D40600">
        <w:t xml:space="preserve"> </w:t>
      </w:r>
      <w:hyperlink r:id="rId525" w:history="1">
        <w:r w:rsidRPr="00D40600">
          <w:rPr>
            <w:rStyle w:val="Hyperlink"/>
          </w:rPr>
          <w:t>http://www.fiercewireless.com/story/localytics-only-6-ipad-data-sessions-are-cellular-networks/2012-03-23?utm_medium=nl&amp;utm_source=internal</w:t>
        </w:r>
      </w:hyperlink>
      <w:r w:rsidRPr="00D40600">
        <w:t xml:space="preserve"> (visited Oct. 16, 2012)</w:t>
      </w:r>
      <w:r>
        <w:t>.</w:t>
      </w:r>
    </w:p>
  </w:footnote>
  <w:footnote w:id="1162">
    <w:p w:rsidR="00EC7CF3" w:rsidRDefault="00EC7CF3" w:rsidP="0028065E">
      <w:pPr>
        <w:pStyle w:val="FootnoteText"/>
      </w:pPr>
      <w:r w:rsidRPr="00D40600">
        <w:rPr>
          <w:rStyle w:val="FootnoteReference"/>
          <w:sz w:val="20"/>
        </w:rPr>
        <w:footnoteRef/>
      </w:r>
      <w:r w:rsidRPr="00D40600">
        <w:t xml:space="preserve"> </w:t>
      </w:r>
      <w:r w:rsidRPr="00D40600">
        <w:rPr>
          <w:i/>
        </w:rPr>
        <w:t xml:space="preserve">See </w:t>
      </w:r>
      <w:r w:rsidRPr="00D40600">
        <w:t xml:space="preserve">Fierce Wireless, </w:t>
      </w:r>
      <w:r w:rsidRPr="00D40600">
        <w:rPr>
          <w:i/>
        </w:rPr>
        <w:t xml:space="preserve">NPD: Tablet users increasingly favor Wi-Fi over cellular connections, </w:t>
      </w:r>
      <w:hyperlink r:id="rId526" w:history="1">
        <w:r w:rsidRPr="00D40600">
          <w:rPr>
            <w:rStyle w:val="Hyperlink"/>
          </w:rPr>
          <w:t>http://www.fiercewireless.com/story/npd-tablet-users-increasingly-favor-wi-fi-over-cellular-connections/2011-12-12</w:t>
        </w:r>
      </w:hyperlink>
      <w:r w:rsidRPr="00D40600">
        <w:t>. (visited Oct. 16, 2012)</w:t>
      </w:r>
      <w:r>
        <w:t>.</w:t>
      </w:r>
    </w:p>
  </w:footnote>
  <w:footnote w:id="1163">
    <w:p w:rsidR="00EC7CF3" w:rsidRDefault="00EC7CF3" w:rsidP="0028065E">
      <w:pPr>
        <w:pStyle w:val="FootnoteText"/>
      </w:pPr>
      <w:r w:rsidRPr="00D40600">
        <w:rPr>
          <w:rStyle w:val="FootnoteReference"/>
          <w:sz w:val="20"/>
        </w:rPr>
        <w:footnoteRef/>
      </w:r>
      <w:r w:rsidRPr="00D40600">
        <w:t xml:space="preserve"> </w:t>
      </w:r>
      <w:r w:rsidRPr="00D40600">
        <w:rPr>
          <w:i/>
        </w:rPr>
        <w:t xml:space="preserve">See </w:t>
      </w:r>
      <w:r w:rsidRPr="00D40600">
        <w:t>Informa Telecoms &amp; Media white paper,</w:t>
      </w:r>
      <w:r w:rsidRPr="00D40600">
        <w:rPr>
          <w:i/>
        </w:rPr>
        <w:t xml:space="preserve"> Understanding today’s smartphone user: Demystifying data usage trends on cellular &amp; Wi-Fi networks,</w:t>
      </w:r>
      <w:r w:rsidRPr="00D40600">
        <w:t xml:space="preserve">  2012, at 2.</w:t>
      </w:r>
    </w:p>
  </w:footnote>
  <w:footnote w:id="1164">
    <w:p w:rsidR="00EC7CF3" w:rsidRDefault="00EC7CF3" w:rsidP="0028065E">
      <w:pPr>
        <w:pStyle w:val="FootnoteText"/>
      </w:pPr>
      <w:r w:rsidRPr="00D40600">
        <w:rPr>
          <w:rStyle w:val="FootnoteReference"/>
          <w:sz w:val="20"/>
        </w:rPr>
        <w:footnoteRef/>
      </w:r>
      <w:r w:rsidRPr="00D40600">
        <w:t xml:space="preserve"> Republic Wireless, a new Sprint MVNO, structures its service to route traffic primarily over Wi-Fi, and to only fall back on cellular if no Wi-Fi is available. </w:t>
      </w:r>
      <w:r w:rsidRPr="00D40600">
        <w:rPr>
          <w:i/>
        </w:rPr>
        <w:t>See</w:t>
      </w:r>
      <w:r w:rsidRPr="00D40600">
        <w:t xml:space="preserve"> http://republicwireless.com/how-it-works (visited Sept. 14, 2012).</w:t>
      </w:r>
    </w:p>
  </w:footnote>
  <w:footnote w:id="1165">
    <w:p w:rsidR="00EC7CF3" w:rsidRDefault="00EC7CF3" w:rsidP="0028065E">
      <w:pPr>
        <w:pStyle w:val="FootnoteText"/>
      </w:pPr>
      <w:r w:rsidRPr="00D40600">
        <w:rPr>
          <w:rStyle w:val="FootnoteReference"/>
          <w:sz w:val="20"/>
        </w:rPr>
        <w:footnoteRef/>
      </w:r>
      <w:r w:rsidRPr="00D40600">
        <w:t xml:space="preserve"> Republic Wireless, a new Sprint MVNO, is planning to offer unlimited voice and data services for $19.99 per month. </w:t>
      </w:r>
      <w:r w:rsidRPr="001A0998">
        <w:rPr>
          <w:i/>
        </w:rPr>
        <w:t>See</w:t>
      </w:r>
      <w:r w:rsidRPr="00D40600">
        <w:t xml:space="preserve"> </w:t>
      </w:r>
      <w:hyperlink r:id="rId527" w:history="1">
        <w:r w:rsidRPr="00D206FB">
          <w:rPr>
            <w:rStyle w:val="Hyperlink"/>
          </w:rPr>
          <w:t>http://republicwireless.com/how-it-works</w:t>
        </w:r>
      </w:hyperlink>
      <w:r>
        <w:t xml:space="preserve"> </w:t>
      </w:r>
      <w:r w:rsidRPr="00D40600">
        <w:t>(visited Sept. 14, 2012).</w:t>
      </w:r>
    </w:p>
  </w:footnote>
  <w:footnote w:id="1166">
    <w:p w:rsidR="00EC7CF3" w:rsidRDefault="00EC7CF3" w:rsidP="007A1B3F">
      <w:pPr>
        <w:pStyle w:val="FootnoteText"/>
      </w:pPr>
      <w:r w:rsidRPr="00D40600">
        <w:rPr>
          <w:rStyle w:val="FootnoteReference"/>
          <w:sz w:val="20"/>
        </w:rPr>
        <w:footnoteRef/>
      </w:r>
      <w:r w:rsidRPr="00D40600">
        <w:t xml:space="preserve"> </w:t>
      </w:r>
      <w:r w:rsidRPr="00D40600">
        <w:rPr>
          <w:i/>
        </w:rPr>
        <w:t xml:space="preserve">See </w:t>
      </w:r>
      <w:r w:rsidRPr="00D40600">
        <w:t xml:space="preserve"> Small Cell Forum, </w:t>
      </w:r>
      <w:r w:rsidRPr="00D40600">
        <w:rPr>
          <w:i/>
        </w:rPr>
        <w:t>What is a small cell,</w:t>
      </w:r>
      <w:r w:rsidRPr="00D40600">
        <w:t xml:space="preserve"> available at </w:t>
      </w:r>
      <w:hyperlink r:id="rId528" w:history="1">
        <w:r w:rsidRPr="00D40600">
          <w:rPr>
            <w:rStyle w:val="Hyperlink"/>
          </w:rPr>
          <w:t>http://www.smallcellforum.org/aboutsmallcells-small-cells-what-is-a-small-cell</w:t>
        </w:r>
      </w:hyperlink>
      <w:r w:rsidRPr="00D40600">
        <w:t xml:space="preserve"> (last visited Sept. 14, 2012).</w:t>
      </w:r>
    </w:p>
  </w:footnote>
  <w:footnote w:id="1167">
    <w:p w:rsidR="00EC7CF3" w:rsidRDefault="00EC7CF3" w:rsidP="007A1B3F">
      <w:pPr>
        <w:pStyle w:val="FootnoteText"/>
      </w:pPr>
      <w:r w:rsidRPr="00D40600">
        <w:rPr>
          <w:rStyle w:val="FootnoteReference"/>
          <w:sz w:val="20"/>
        </w:rPr>
        <w:footnoteRef/>
      </w:r>
      <w:r w:rsidRPr="00D40600">
        <w:t xml:space="preserve"> </w:t>
      </w:r>
      <w:r w:rsidRPr="00D40600">
        <w:rPr>
          <w:i/>
        </w:rPr>
        <w:t xml:space="preserve">See </w:t>
      </w:r>
      <w:r w:rsidRPr="00D40600">
        <w:t xml:space="preserve">Sprint Nextel, </w:t>
      </w:r>
      <w:r w:rsidRPr="00D40600">
        <w:rPr>
          <w:i/>
        </w:rPr>
        <w:t>Sprint Airave</w:t>
      </w:r>
      <w:r w:rsidRPr="00D40600">
        <w:t xml:space="preserve">, </w:t>
      </w:r>
      <w:hyperlink r:id="rId529" w:history="1">
        <w:r w:rsidRPr="00D40600">
          <w:rPr>
            <w:rStyle w:val="Hyperlink"/>
          </w:rPr>
          <w:t>http://support.sprint.com/support/device/Sprint/AIRAVE_by_Sprint-dvc1230001prd/?id16=airave</w:t>
        </w:r>
      </w:hyperlink>
      <w:r w:rsidRPr="00D40600">
        <w:t xml:space="preserve">  (visited Sep. 21, 2012). </w:t>
      </w:r>
    </w:p>
  </w:footnote>
  <w:footnote w:id="1168">
    <w:p w:rsidR="00EC7CF3" w:rsidRDefault="00EC7CF3" w:rsidP="007A1B3F">
      <w:pPr>
        <w:pStyle w:val="FootnoteText"/>
      </w:pPr>
      <w:r w:rsidRPr="00D40600">
        <w:rPr>
          <w:rStyle w:val="FootnoteReference"/>
          <w:sz w:val="20"/>
        </w:rPr>
        <w:footnoteRef/>
      </w:r>
      <w:r w:rsidRPr="00D40600">
        <w:t xml:space="preserve"> </w:t>
      </w:r>
      <w:r w:rsidRPr="00D40600">
        <w:rPr>
          <w:i/>
        </w:rPr>
        <w:t xml:space="preserve">See </w:t>
      </w:r>
      <w:r w:rsidRPr="00D40600">
        <w:t xml:space="preserve">Verizon Wireless, </w:t>
      </w:r>
      <w:r w:rsidRPr="00D40600">
        <w:rPr>
          <w:i/>
        </w:rPr>
        <w:t xml:space="preserve">Verizon Wireless Network Extender, http://www.verizonwireless.com/verizon-network-extender.shtml </w:t>
      </w:r>
      <w:r w:rsidRPr="00D40600">
        <w:t xml:space="preserve">(visited Sep. 21, 2012).  Customers pay $249.99 for the Network Extender base station but pay no additional monthly access fee.  </w:t>
      </w:r>
      <w:r w:rsidRPr="00D40600">
        <w:rPr>
          <w:i/>
        </w:rPr>
        <w:t xml:space="preserve">Id. </w:t>
      </w:r>
    </w:p>
  </w:footnote>
  <w:footnote w:id="1169">
    <w:p w:rsidR="00EC7CF3" w:rsidRDefault="00EC7CF3" w:rsidP="007A1B3F">
      <w:pPr>
        <w:pStyle w:val="FootnoteText"/>
      </w:pPr>
      <w:r w:rsidRPr="00D40600">
        <w:rPr>
          <w:rStyle w:val="FootnoteReference"/>
          <w:sz w:val="20"/>
        </w:rPr>
        <w:footnoteRef/>
      </w:r>
      <w:r w:rsidRPr="00D40600">
        <w:t xml:space="preserve"> </w:t>
      </w:r>
      <w:r w:rsidRPr="00D40600">
        <w:rPr>
          <w:i/>
        </w:rPr>
        <w:t xml:space="preserve">See </w:t>
      </w:r>
      <w:r w:rsidRPr="00D40600">
        <w:t xml:space="preserve">AT&amp;T, </w:t>
      </w:r>
      <w:r w:rsidRPr="00D40600">
        <w:rPr>
          <w:i/>
        </w:rPr>
        <w:t xml:space="preserve">AT&amp;T 3G MicroCell, </w:t>
      </w:r>
      <w:hyperlink r:id="rId530" w:history="1">
        <w:r w:rsidRPr="00D206FB">
          <w:rPr>
            <w:rStyle w:val="Hyperlink"/>
          </w:rPr>
          <w:t>http://www.att.com/shop/wireless/devices/3gmicrocell.jsp?fbid=Mui8G_gJmU-</w:t>
        </w:r>
      </w:hyperlink>
      <w:r>
        <w:t xml:space="preserve"> </w:t>
      </w:r>
      <w:r w:rsidRPr="00D40600">
        <w:t xml:space="preserve">(visited Sep. 21, 2012).  </w:t>
      </w:r>
      <w:r w:rsidRPr="00D40600">
        <w:rPr>
          <w:i/>
        </w:rPr>
        <w:t xml:space="preserve">  </w:t>
      </w:r>
    </w:p>
  </w:footnote>
  <w:footnote w:id="1170">
    <w:p w:rsidR="00EC7CF3" w:rsidRDefault="00EC7CF3" w:rsidP="007A1B3F">
      <w:pPr>
        <w:pStyle w:val="FootnoteText"/>
      </w:pPr>
      <w:r w:rsidRPr="00D40600">
        <w:rPr>
          <w:rStyle w:val="FootnoteReference"/>
          <w:sz w:val="20"/>
        </w:rPr>
        <w:footnoteRef/>
      </w:r>
      <w:r w:rsidRPr="00D40600">
        <w:t xml:space="preserve"> </w:t>
      </w:r>
      <w:r w:rsidRPr="00D40600">
        <w:rPr>
          <w:i/>
        </w:rPr>
        <w:t xml:space="preserve">See </w:t>
      </w:r>
      <w:r w:rsidRPr="00D40600">
        <w:t xml:space="preserve">Paul Rasmussen, </w:t>
      </w:r>
      <w:r w:rsidRPr="00D40600">
        <w:rPr>
          <w:i/>
        </w:rPr>
        <w:t>Femtocells still on the sidelines, but new opportunities beckon</w:t>
      </w:r>
      <w:r w:rsidRPr="00D40600">
        <w:t xml:space="preserve">, Fierce Wireless Europe, June 22, 2011, available at </w:t>
      </w:r>
      <w:hyperlink r:id="rId531" w:history="1">
        <w:r w:rsidRPr="00D40600">
          <w:rPr>
            <w:rStyle w:val="Hyperlink"/>
          </w:rPr>
          <w:t>http://www.fiercewireless.com/europe/special-reports/femtocells-still-sidelines-new-opportunities-beckon</w:t>
        </w:r>
      </w:hyperlink>
      <w:r w:rsidRPr="00D40600">
        <w:t xml:space="preserve"> (visited Sept. 14, 2012).  According to this article, there are differing opinions about the role of femtocells and how important they are likely to be in the evolving wireless ecosystem.</w:t>
      </w:r>
    </w:p>
  </w:footnote>
  <w:footnote w:id="1171">
    <w:p w:rsidR="00EC7CF3" w:rsidRDefault="00EC7CF3" w:rsidP="007A1B3F">
      <w:pPr>
        <w:rPr>
          <w:kern w:val="0"/>
          <w:sz w:val="20"/>
        </w:rPr>
      </w:pPr>
      <w:r w:rsidRPr="00D40600">
        <w:rPr>
          <w:rStyle w:val="FootnoteReference"/>
          <w:sz w:val="20"/>
        </w:rPr>
        <w:footnoteRef/>
      </w:r>
      <w:r w:rsidRPr="00D40600">
        <w:rPr>
          <w:sz w:val="20"/>
        </w:rPr>
        <w:t xml:space="preserve"> </w:t>
      </w:r>
      <w:r w:rsidRPr="00D40600">
        <w:rPr>
          <w:kern w:val="0"/>
          <w:sz w:val="20"/>
        </w:rPr>
        <w:t xml:space="preserve">See Phil Goldstein, Sprint boots femtocell count to 950,000, July 26, 2012, available at http://www.fiercewireless.com/story/sprint-boosts-femtocell-count-950000/2012-07-26. </w:t>
      </w:r>
    </w:p>
    <w:p w:rsidR="00EC7CF3" w:rsidRPr="00CA459A" w:rsidRDefault="00EC7CF3" w:rsidP="007A1B3F">
      <w:pPr>
        <w:rPr>
          <w:sz w:val="12"/>
          <w:szCs w:val="12"/>
        </w:rPr>
      </w:pPr>
    </w:p>
  </w:footnote>
  <w:footnote w:id="1172">
    <w:p w:rsidR="00EC7CF3" w:rsidRDefault="00EC7CF3" w:rsidP="00B5490C">
      <w:pPr>
        <w:pStyle w:val="FootnoteText"/>
      </w:pPr>
      <w:r w:rsidRPr="00D40600">
        <w:rPr>
          <w:rStyle w:val="FootnoteReference"/>
          <w:sz w:val="20"/>
        </w:rPr>
        <w:footnoteRef/>
      </w:r>
      <w:r w:rsidRPr="00D40600">
        <w:t xml:space="preserve"> </w:t>
      </w:r>
      <w:r w:rsidRPr="00D40600">
        <w:rPr>
          <w:i/>
        </w:rPr>
        <w:t xml:space="preserve">See </w:t>
      </w:r>
      <w:hyperlink r:id="rId532" w:history="1">
        <w:r w:rsidRPr="00D40600">
          <w:rPr>
            <w:rStyle w:val="Hyperlink"/>
          </w:rPr>
          <w:t>http://www.fcc.gov/events/forum-indoor-deployments-small-cell-sites</w:t>
        </w:r>
      </w:hyperlink>
      <w:r w:rsidRPr="00D40600">
        <w:t xml:space="preserve"> (visited Sept. 24, 2012)</w:t>
      </w:r>
      <w:r>
        <w:t>.</w:t>
      </w:r>
      <w:r w:rsidRPr="00D40600">
        <w:t xml:space="preserve"> </w:t>
      </w:r>
    </w:p>
  </w:footnote>
  <w:footnote w:id="1173">
    <w:p w:rsidR="00EC7CF3" w:rsidRDefault="00EC7CF3" w:rsidP="007D08ED">
      <w:pPr>
        <w:pStyle w:val="FootnoteText"/>
      </w:pPr>
      <w:r w:rsidRPr="00D40600">
        <w:rPr>
          <w:rStyle w:val="FootnoteReference"/>
          <w:sz w:val="20"/>
        </w:rPr>
        <w:footnoteRef/>
      </w:r>
      <w:r w:rsidRPr="00D40600">
        <w:t xml:space="preserve"> </w:t>
      </w:r>
      <w:r w:rsidRPr="00D40600">
        <w:rPr>
          <w:i/>
        </w:rPr>
        <w:t xml:space="preserve">See </w:t>
      </w:r>
      <w:hyperlink r:id="rId533" w:history="1">
        <w:r w:rsidRPr="00D40600">
          <w:rPr>
            <w:rStyle w:val="Hyperlink"/>
          </w:rPr>
          <w:t>http://www.ntia.doc.gov/files/ntia/publications/fasttrackevaluation_11152010.pdf</w:t>
        </w:r>
      </w:hyperlink>
      <w:r w:rsidRPr="00D40600">
        <w:t xml:space="preserve"> (visited Oct. 16, 2012)</w:t>
      </w:r>
      <w:r>
        <w:t>.</w:t>
      </w:r>
    </w:p>
  </w:footnote>
  <w:footnote w:id="1174">
    <w:p w:rsidR="00EC7CF3" w:rsidRDefault="00EC7CF3" w:rsidP="00B5490C">
      <w:pPr>
        <w:pStyle w:val="FootnoteText"/>
      </w:pPr>
      <w:r w:rsidRPr="00D40600">
        <w:rPr>
          <w:rStyle w:val="FootnoteReference"/>
          <w:sz w:val="20"/>
        </w:rPr>
        <w:footnoteRef/>
      </w:r>
      <w:r w:rsidRPr="00D40600">
        <w:t xml:space="preserve"> </w:t>
      </w:r>
      <w:r w:rsidRPr="00D40600">
        <w:rPr>
          <w:i/>
        </w:rPr>
        <w:t xml:space="preserve">See </w:t>
      </w:r>
      <w:r w:rsidRPr="00D40600">
        <w:t>PCAST, Report to the President: Realizing the Full Potential of Government-Held Spectrum to Spur Economic Growth (rel. July 20, 2012) (“PCA</w:t>
      </w:r>
      <w:r>
        <w:t xml:space="preserve">ST Report”) </w:t>
      </w:r>
      <w:r w:rsidRPr="001A0998">
        <w:rPr>
          <w:i/>
        </w:rPr>
        <w:t xml:space="preserve">available at </w:t>
      </w:r>
      <w:hyperlink r:id="rId534" w:tooltip="http://www.whitehouse.gov/sites/default/files/microsites/ostp/pcast_spectrum_report_final_july_20_2012.pdf" w:history="1">
        <w:r w:rsidRPr="00D40600">
          <w:rPr>
            <w:rStyle w:val="Hyperlink"/>
          </w:rPr>
          <w:t>http://www.whitehouse.gov/sites/default/files/microsites/ostp/pcast_spectrum_report_final_july_20_2012.pdf</w:t>
        </w:r>
      </w:hyperlink>
      <w:r w:rsidRPr="00D40600">
        <w:t>. at p. 51(visited Oct. 16, 2012)</w:t>
      </w:r>
      <w:r>
        <w:t>.</w:t>
      </w:r>
    </w:p>
  </w:footnote>
  <w:footnote w:id="1175">
    <w:p w:rsidR="00EC7CF3" w:rsidRDefault="00EC7CF3" w:rsidP="00B5490C">
      <w:pPr>
        <w:pStyle w:val="FootnoteText"/>
      </w:pPr>
      <w:r w:rsidRPr="00D40600">
        <w:rPr>
          <w:rStyle w:val="FootnoteReference"/>
          <w:sz w:val="20"/>
        </w:rPr>
        <w:footnoteRef/>
      </w:r>
      <w:r w:rsidRPr="00D40600">
        <w:t xml:space="preserve"> PCAST Report at 17.</w:t>
      </w:r>
    </w:p>
  </w:footnote>
  <w:footnote w:id="1176">
    <w:p w:rsidR="00EC7CF3" w:rsidRDefault="00EC7CF3" w:rsidP="00BA3C93">
      <w:pPr>
        <w:pStyle w:val="FootnoteText"/>
      </w:pPr>
      <w:r>
        <w:rPr>
          <w:rStyle w:val="FootnoteReference"/>
        </w:rPr>
        <w:footnoteRef/>
      </w:r>
      <w:r>
        <w:t xml:space="preserve"> </w:t>
      </w:r>
      <w:r>
        <w:rPr>
          <w:i/>
        </w:rPr>
        <w:t xml:space="preserve">See </w:t>
      </w:r>
      <w:r w:rsidRPr="00AB5250">
        <w:t>Amendment of the Commission</w:t>
      </w:r>
      <w:r w:rsidRPr="00BA3C93">
        <w:t>’</w:t>
      </w:r>
      <w:r w:rsidRPr="00AB5250">
        <w:t>s Rules with Regard to Commercial Operations in the 3550-3650 MHz Band</w:t>
      </w:r>
      <w:r>
        <w:t xml:space="preserve">, </w:t>
      </w:r>
      <w:r>
        <w:rPr>
          <w:i/>
        </w:rPr>
        <w:t>Notice of Proposed Rulemaking¸</w:t>
      </w:r>
      <w:r>
        <w:t>GN Docket No. 12-354, FCC 12-148 (rel. Dec 12, 2012)</w:t>
      </w:r>
    </w:p>
  </w:footnote>
  <w:footnote w:id="1177">
    <w:p w:rsidR="00EC7CF3" w:rsidRDefault="00EC7CF3" w:rsidP="00FC6876">
      <w:pPr>
        <w:pStyle w:val="FootnoteText"/>
      </w:pPr>
      <w:r w:rsidRPr="00D40600">
        <w:rPr>
          <w:rStyle w:val="FootnoteReference"/>
          <w:sz w:val="20"/>
        </w:rPr>
        <w:footnoteRef/>
      </w:r>
      <w:r w:rsidRPr="00D40600">
        <w:t xml:space="preserve"> </w:t>
      </w:r>
      <w:r w:rsidRPr="00D40600">
        <w:rPr>
          <w:i/>
        </w:rPr>
        <w:t>Sixth Report</w:t>
      </w:r>
      <w:r w:rsidRPr="00D40600">
        <w:t>, 16 FCC Rcd at 13350.</w:t>
      </w:r>
    </w:p>
  </w:footnote>
  <w:footnote w:id="1178">
    <w:p w:rsidR="00EC7CF3" w:rsidRDefault="00EC7CF3" w:rsidP="00FC6876">
      <w:pPr>
        <w:pStyle w:val="FootnoteText"/>
      </w:pPr>
      <w:r w:rsidRPr="00D40600">
        <w:rPr>
          <w:rStyle w:val="FootnoteReference"/>
          <w:sz w:val="20"/>
        </w:rPr>
        <w:footnoteRef/>
      </w:r>
      <w:r w:rsidRPr="00D40600">
        <w:t xml:space="preserve"> The federal government has multiple ways of defining rural, reflecting the multiple purposes for which the definitions are used. </w:t>
      </w:r>
      <w:r w:rsidRPr="00D40600">
        <w:rPr>
          <w:i/>
        </w:rPr>
        <w:t xml:space="preserve"> Eighth Report</w:t>
      </w:r>
      <w:r w:rsidRPr="00D40600">
        <w:t>,</w:t>
      </w:r>
      <w:r w:rsidRPr="00D40600">
        <w:rPr>
          <w:i/>
        </w:rPr>
        <w:t xml:space="preserve"> </w:t>
      </w:r>
      <w:r w:rsidRPr="00D40600">
        <w:t xml:space="preserve">18 FCC Rcd at 14834; Facilitating the Provision of Spectrum-Based Service to Rural Areas and Promoting Opportunities for Rural Telephone Companies to Provide Spectrum-Based Services, </w:t>
      </w:r>
      <w:r w:rsidRPr="00D40600">
        <w:rPr>
          <w:i/>
          <w:iCs/>
        </w:rPr>
        <w:t>Notice of Proposed Rulemaking</w:t>
      </w:r>
      <w:r w:rsidRPr="00D40600">
        <w:t xml:space="preserve">, 18 FCC Rcd 20802, 20808-11 (2003). </w:t>
      </w:r>
    </w:p>
  </w:footnote>
  <w:footnote w:id="1179">
    <w:p w:rsidR="00EC7CF3" w:rsidRDefault="00EC7CF3" w:rsidP="00FC6876">
      <w:pPr>
        <w:pStyle w:val="FootnoteText"/>
      </w:pPr>
      <w:r w:rsidRPr="00D40600">
        <w:rPr>
          <w:rStyle w:val="FootnoteReference"/>
          <w:sz w:val="20"/>
        </w:rPr>
        <w:footnoteRef/>
      </w:r>
      <w:r w:rsidRPr="00D40600">
        <w:t xml:space="preserve"> 1998 Biennial Regulatory Review, Spectrum Aggregation Limits for Wireless Telecommunications Carriers, </w:t>
      </w:r>
      <w:r w:rsidRPr="00D40600">
        <w:rPr>
          <w:i/>
        </w:rPr>
        <w:t>Report and Order</w:t>
      </w:r>
      <w:r w:rsidRPr="00D40600">
        <w:t>, 15 FCC Rcd 9219, 9256 ¶ 84, n.203 (1999).</w:t>
      </w:r>
    </w:p>
  </w:footnote>
  <w:footnote w:id="1180">
    <w:p w:rsidR="00EC7CF3" w:rsidRDefault="00EC7CF3" w:rsidP="00FC6876">
      <w:pPr>
        <w:pStyle w:val="FootnoteText"/>
      </w:pPr>
      <w:r w:rsidRPr="00D40600">
        <w:rPr>
          <w:rStyle w:val="FootnoteReference"/>
          <w:sz w:val="20"/>
        </w:rPr>
        <w:footnoteRef/>
      </w:r>
      <w:r w:rsidRPr="00D40600">
        <w:t xml:space="preserve"> Facilitating the Provision of Spectrum-Based Services to Rural Areas and Promoting Opportunities for Rural Telephone Companies To Provide Spectrum-Based Services, </w:t>
      </w:r>
      <w:r w:rsidRPr="00D40600">
        <w:rPr>
          <w:i/>
          <w:iCs/>
        </w:rPr>
        <w:t>Report and Order</w:t>
      </w:r>
      <w:r w:rsidRPr="00D40600">
        <w:t>, 19 FCC Rcd. 19078, 19087-88 (2004) (“We recognize, however, that the application of a single, comprehensive definition for ‘rural area’ may not be appropriate for all purposes. . . . Rather than establish the 100 persons per square mile or less designation as a uniform definition to be applied in all cases, we instead believe that it is more appropriate to treat this definition as a presumption that will apply for current or future Commission wireless radio service rules, policies and analyses for which the term ‘rural area’ has not been expressly defined.  By doing so, we maintain continuity with respect to existing definitions of ‘rural’ that have been tailored to apply to specific policies, while also providing a practical guideline”).</w:t>
      </w:r>
    </w:p>
  </w:footnote>
  <w:footnote w:id="1181">
    <w:p w:rsidR="00EC7CF3" w:rsidRDefault="00EC7CF3" w:rsidP="00FC6876">
      <w:pPr>
        <w:pStyle w:val="FootnoteText"/>
      </w:pPr>
      <w:r w:rsidRPr="00D40600">
        <w:rPr>
          <w:rStyle w:val="FootnoteReference"/>
          <w:sz w:val="20"/>
        </w:rPr>
        <w:footnoteRef/>
      </w:r>
      <w:r w:rsidRPr="00D40600">
        <w:t xml:space="preserve"> Based on 2010 Census data.  Includes the population of Pu</w:t>
      </w:r>
      <w:r>
        <w:t>erto Rico</w:t>
      </w:r>
      <w:r w:rsidRPr="00D40600">
        <w:t>.</w:t>
      </w:r>
    </w:p>
  </w:footnote>
  <w:footnote w:id="1182">
    <w:p w:rsidR="00EC7CF3" w:rsidRDefault="00EC7CF3" w:rsidP="00FC6876">
      <w:pPr>
        <w:pStyle w:val="FootnoteText"/>
      </w:pPr>
      <w:r w:rsidRPr="00D40600">
        <w:rPr>
          <w:rStyle w:val="FootnoteReference"/>
          <w:sz w:val="20"/>
        </w:rPr>
        <w:footnoteRef/>
      </w:r>
      <w:r w:rsidRPr="00D40600">
        <w:t xml:space="preserve"> A larger version of thi</w:t>
      </w:r>
      <w:r>
        <w:t>s map may be found in Appendix C</w:t>
      </w:r>
      <w:r w:rsidRPr="00D40600">
        <w:t xml:space="preserve">.  </w:t>
      </w:r>
    </w:p>
  </w:footnote>
  <w:footnote w:id="1183">
    <w:p w:rsidR="00EC7CF3" w:rsidRDefault="00EC7CF3" w:rsidP="00FC6876">
      <w:pPr>
        <w:pStyle w:val="FootnoteText"/>
      </w:pPr>
      <w:r w:rsidRPr="00D40600">
        <w:rPr>
          <w:rStyle w:val="FootnoteReference"/>
          <w:sz w:val="20"/>
        </w:rPr>
        <w:footnoteRef/>
      </w:r>
      <w:r w:rsidRPr="00D40600">
        <w:t xml:space="preserve"> There are 11 million census blocks in the United States, where a census block is the smallest geographic area for which population data are available.  We consider a census block to be covered if the centroid, or center point, of the block has mobile wireless coverage.  The data do not expressly account for factors such as signal strength, bit rate, or in-building coverage, and may convey a false sense of consistency across geographic areas and service providers but nonetheless are useful for benchmarking mobile network deployment across the United States, especially over time.  </w:t>
      </w:r>
      <w:r w:rsidRPr="00D40600">
        <w:rPr>
          <w:i/>
        </w:rPr>
        <w:t>National Broadband Plan</w:t>
      </w:r>
      <w:r w:rsidRPr="00D40600">
        <w:t>, at 39 (Chapter 4).</w:t>
      </w:r>
    </w:p>
  </w:footnote>
  <w:footnote w:id="1184">
    <w:p w:rsidR="00EC7CF3" w:rsidRDefault="00EC7CF3" w:rsidP="0080536A">
      <w:pPr>
        <w:pStyle w:val="FootnoteText"/>
      </w:pPr>
      <w:r>
        <w:rPr>
          <w:rStyle w:val="FootnoteReference"/>
        </w:rPr>
        <w:footnoteRef/>
      </w:r>
      <w:r>
        <w:t xml:space="preserve"> </w:t>
      </w:r>
      <w:r w:rsidRPr="00F01BF1">
        <w:rPr>
          <w:i/>
        </w:rPr>
        <w:t>Fifteenth Report</w:t>
      </w:r>
      <w:r>
        <w:t xml:space="preserve">, 26 FCC Rcd at 9879-9880 </w:t>
      </w:r>
      <w:r w:rsidRPr="00760AF8">
        <w:t>¶</w:t>
      </w:r>
      <w:r>
        <w:t xml:space="preserve"> </w:t>
      </w:r>
      <w:r w:rsidRPr="00760AF8">
        <w:t>380</w:t>
      </w:r>
      <w:r>
        <w:t>.</w:t>
      </w:r>
    </w:p>
  </w:footnote>
  <w:footnote w:id="1185">
    <w:p w:rsidR="00EC7CF3" w:rsidRDefault="00EC7CF3" w:rsidP="00FC6876">
      <w:pPr>
        <w:pStyle w:val="FootnoteText"/>
      </w:pPr>
      <w:r w:rsidRPr="00D40600">
        <w:rPr>
          <w:rStyle w:val="FootnoteReference"/>
          <w:sz w:val="20"/>
        </w:rPr>
        <w:footnoteRef/>
      </w:r>
      <w:r w:rsidRPr="00D40600">
        <w:t xml:space="preserve"> </w:t>
      </w:r>
      <w:r w:rsidRPr="00D40600">
        <w:rPr>
          <w:i/>
        </w:rPr>
        <w:t>See Thirteenth Report</w:t>
      </w:r>
      <w:r w:rsidRPr="00D40600">
        <w:t>, 2</w:t>
      </w:r>
      <w:r>
        <w:t xml:space="preserve">4 FCC Rcd at 6239 </w:t>
      </w:r>
      <w:r w:rsidRPr="00D40600">
        <w:t>¶ 104.</w:t>
      </w:r>
    </w:p>
  </w:footnote>
  <w:footnote w:id="1186">
    <w:p w:rsidR="00EC7CF3" w:rsidRDefault="00EC7CF3" w:rsidP="0080536A">
      <w:pPr>
        <w:pStyle w:val="FootnoteText"/>
      </w:pPr>
      <w:r>
        <w:rPr>
          <w:rStyle w:val="FootnoteReference"/>
        </w:rPr>
        <w:footnoteRef/>
      </w:r>
      <w:r>
        <w:t xml:space="preserve"> </w:t>
      </w:r>
      <w:r w:rsidRPr="00F01BF1">
        <w:rPr>
          <w:i/>
        </w:rPr>
        <w:t>Fifteenth Report</w:t>
      </w:r>
      <w:r>
        <w:t>, 26 FCC Rcd at 9879-</w:t>
      </w:r>
      <w:r w:rsidRPr="00760AF8">
        <w:t>9880 ¶ 380</w:t>
      </w:r>
      <w:r>
        <w:t>.</w:t>
      </w:r>
    </w:p>
  </w:footnote>
  <w:footnote w:id="1187">
    <w:p w:rsidR="00EC7CF3" w:rsidRDefault="00EC7CF3">
      <w:pPr>
        <w:pStyle w:val="FootnoteText"/>
      </w:pPr>
      <w:r>
        <w:rPr>
          <w:rStyle w:val="FootnoteReference"/>
        </w:rPr>
        <w:footnoteRef/>
      </w:r>
      <w:r>
        <w:t xml:space="preserve"> </w:t>
      </w:r>
      <w:r w:rsidRPr="00D40600">
        <w:t xml:space="preserve">Our analysis of road miles includes the following road miles categories from census: Primary Road (S1100), Secondary Road (S1200), Local Neighborhood Road, Rural Road, City Street (S1400), Vehicular Trail [4WD] (S1500), Service Drive usually along a limited access highway (S1640), and Private Road for service vehicles (S1740) as defined in MAF/TIGER Feature Class Code (MTFCC) Definitions, pages F-186 and F-187 at </w:t>
      </w:r>
      <w:hyperlink r:id="rId535" w:tooltip="http://www.census.gov/geo/www/tiger/tgrshp2010/documentation.html" w:history="1">
        <w:r w:rsidRPr="00D40600">
          <w:rPr>
            <w:rStyle w:val="Hyperlink"/>
          </w:rPr>
          <w:t>http://www.census.gov/geo/www/tiger/tgrshp2010/documentation.html</w:t>
        </w:r>
      </w:hyperlink>
      <w:r w:rsidRPr="00D40600">
        <w:t xml:space="preserve"> (last visited Sep 26, 2012).  In calculating the number of road miles associated with each census block, we also used two tables (“Faces” and “Edges”), published by the US Census Bureau as part of the TIGER database.  A description of these relationship tables can be found at </w:t>
      </w:r>
      <w:hyperlink r:id="rId536" w:tooltip="http://www.census.gov/geo/www/tiger/rel_file_desc.pdf" w:history="1">
        <w:r w:rsidRPr="00D40600">
          <w:rPr>
            <w:rStyle w:val="Hyperlink"/>
          </w:rPr>
          <w:t>http://www.census.gov/geo/www/tiger/rel_file_desc.pdf</w:t>
        </w:r>
      </w:hyperlink>
      <w:r w:rsidRPr="00D40600">
        <w:t xml:space="preserve"> (visited Oct. 16, 2012).  The datasets themselves are available in the FACES and EDGES directories at </w:t>
      </w:r>
      <w:hyperlink r:id="rId537" w:tooltip="ftp://ftp2.census.gov/geo/tiger/TIGER2010/" w:history="1">
        <w:r w:rsidRPr="00D40600">
          <w:rPr>
            <w:rStyle w:val="Hyperlink"/>
          </w:rPr>
          <w:t>ftp://ftp2.census.gov/geo/tiger/TIGER2010/</w:t>
        </w:r>
      </w:hyperlink>
      <w:r w:rsidRPr="00D40600">
        <w:t xml:space="preserve"> (visited Oct. 16, 2012).</w:t>
      </w:r>
    </w:p>
  </w:footnote>
  <w:footnote w:id="1188">
    <w:p w:rsidR="00EC7CF3" w:rsidRDefault="00EC7CF3" w:rsidP="00F769BB">
      <w:pPr>
        <w:pStyle w:val="FootnoteText"/>
      </w:pPr>
      <w:r w:rsidRPr="00D40600">
        <w:rPr>
          <w:rStyle w:val="FootnoteReference"/>
          <w:sz w:val="20"/>
        </w:rPr>
        <w:footnoteRef/>
      </w:r>
      <w:r w:rsidRPr="00D40600">
        <w:t xml:space="preserve"> </w:t>
      </w:r>
      <w:r>
        <w:t xml:space="preserve">The </w:t>
      </w:r>
      <w:r w:rsidRPr="00D40600">
        <w:t>Commission estimates in</w:t>
      </w:r>
      <w:r>
        <w:t xml:space="preserve"> this Table</w:t>
      </w:r>
      <w:r w:rsidRPr="00D40600">
        <w:t xml:space="preserve"> are based on census block analysis of Mosaik CoverageRight coverage maps, January 2012.  Population data are from the 2010 Census</w:t>
      </w:r>
      <w:r w:rsidRPr="00D40600">
        <w:rPr>
          <w:rStyle w:val="Normal1"/>
          <w:sz w:val="20"/>
        </w:rPr>
        <w:t xml:space="preserve">, and the square miles include the United States and Puerto Rico.  </w:t>
      </w:r>
    </w:p>
  </w:footnote>
  <w:footnote w:id="1189">
    <w:p w:rsidR="00EC7CF3" w:rsidRDefault="00EC7CF3" w:rsidP="00FE099D">
      <w:pPr>
        <w:pStyle w:val="FootnoteText"/>
      </w:pPr>
      <w:r w:rsidRPr="00D40600">
        <w:rPr>
          <w:rStyle w:val="FootnoteReference"/>
          <w:sz w:val="20"/>
        </w:rPr>
        <w:footnoteRef/>
      </w:r>
      <w:r w:rsidRPr="00D40600">
        <w:t xml:space="preserve"> </w:t>
      </w:r>
      <w:r>
        <w:t xml:space="preserve">The </w:t>
      </w:r>
      <w:r w:rsidRPr="00D40600">
        <w:t>Commission estimates in</w:t>
      </w:r>
      <w:r>
        <w:t xml:space="preserve"> this Table</w:t>
      </w:r>
      <w:r w:rsidRPr="00D40600">
        <w:t xml:space="preserve"> are based on census block analysis of Mosaik CoverageRight coverage maps, </w:t>
      </w:r>
      <w:r>
        <w:t>October</w:t>
      </w:r>
      <w:r w:rsidRPr="00D40600">
        <w:t xml:space="preserve"> 2012.  Population data are from the 2010 Census</w:t>
      </w:r>
      <w:r w:rsidRPr="00D40600">
        <w:rPr>
          <w:rStyle w:val="Normal1"/>
          <w:sz w:val="20"/>
        </w:rPr>
        <w:t xml:space="preserve">, and the square miles include the United States and Puerto Rico.  There are approximately 11 million census blocks and 312 million people in the entire United States (based on the 2010 Census).  </w:t>
      </w:r>
      <w:r>
        <w:rPr>
          <w:rStyle w:val="Normal1"/>
          <w:sz w:val="20"/>
        </w:rPr>
        <w:t>This Table i</w:t>
      </w:r>
      <w:r w:rsidRPr="00735F98">
        <w:t xml:space="preserve">ncludes Federal lands.  </w:t>
      </w:r>
      <w:r w:rsidRPr="00D40600">
        <w:rPr>
          <w:rStyle w:val="Normal1"/>
          <w:sz w:val="20"/>
        </w:rPr>
        <w:t xml:space="preserve">  </w:t>
      </w:r>
    </w:p>
  </w:footnote>
  <w:footnote w:id="1190">
    <w:p w:rsidR="00EC7CF3" w:rsidRDefault="00EC7CF3">
      <w:pPr>
        <w:pStyle w:val="FootnoteText"/>
      </w:pPr>
      <w:r>
        <w:rPr>
          <w:rStyle w:val="FootnoteReference"/>
        </w:rPr>
        <w:footnoteRef/>
      </w:r>
      <w:r>
        <w:t xml:space="preserve"> </w:t>
      </w:r>
      <w:r w:rsidRPr="00204C78">
        <w:t>The Commission estimates in this Table are based on census block analysis of Mosaik CoverageRight coverage maps, January 2012.  Population data are from the 2010 Census, and the square miles include the United States and Puerto Rico.</w:t>
      </w:r>
      <w:r w:rsidRPr="00D40600">
        <w:t xml:space="preserve">  </w:t>
      </w:r>
    </w:p>
  </w:footnote>
  <w:footnote w:id="1191">
    <w:p w:rsidR="00EC7CF3" w:rsidRDefault="00EC7CF3" w:rsidP="007B3B42">
      <w:pPr>
        <w:pStyle w:val="FootnoteText"/>
      </w:pPr>
      <w:r>
        <w:rPr>
          <w:rStyle w:val="FootnoteReference"/>
        </w:rPr>
        <w:footnoteRef/>
      </w:r>
      <w:r>
        <w:t xml:space="preserve"> </w:t>
      </w:r>
      <w:r w:rsidRPr="00204C78">
        <w:t xml:space="preserve">The Commission estimates in this Table are based on census block analysis of Mosaik CoverageRight coverage maps, </w:t>
      </w:r>
      <w:r>
        <w:t xml:space="preserve">October </w:t>
      </w:r>
      <w:r w:rsidRPr="00204C78">
        <w:t xml:space="preserve">2012.  Population data are from the 2010 Census, and the square miles include the United States and Puerto Rico.  </w:t>
      </w:r>
    </w:p>
  </w:footnote>
  <w:footnote w:id="1192">
    <w:p w:rsidR="00EC7CF3" w:rsidRDefault="00EC7CF3" w:rsidP="00963467">
      <w:pPr>
        <w:pStyle w:val="FootnoteText"/>
      </w:pPr>
      <w:r w:rsidRPr="00D40600">
        <w:rPr>
          <w:rStyle w:val="FootnoteReference"/>
          <w:sz w:val="20"/>
        </w:rPr>
        <w:footnoteRef/>
      </w:r>
      <w:r w:rsidRPr="00D40600">
        <w:t xml:space="preserve"> Other Commission reports consider alternative speed categories for mobile broadband. </w:t>
      </w:r>
      <w:r>
        <w:t xml:space="preserve"> </w:t>
      </w:r>
      <w:r w:rsidRPr="00D40600">
        <w:t xml:space="preserve">The </w:t>
      </w:r>
      <w:r w:rsidRPr="00D40600">
        <w:rPr>
          <w:i/>
        </w:rPr>
        <w:t>Eighth Broadband Progress Report</w:t>
      </w:r>
      <w:r w:rsidRPr="00D40600">
        <w:t xml:space="preserve"> presents data on Americans without access to mobile broadband for three speed categories, at least 768 kbps/200 kbps, at least 3 Mbps/768 kbps and at least 6 Mbps/ 1.5 Mbps.  </w:t>
      </w:r>
      <w:r w:rsidRPr="00D40600">
        <w:rPr>
          <w:i/>
        </w:rPr>
        <w:t>2012</w:t>
      </w:r>
      <w:r w:rsidRPr="00D40600">
        <w:t xml:space="preserve"> </w:t>
      </w:r>
      <w:r w:rsidRPr="00D40600">
        <w:rPr>
          <w:i/>
        </w:rPr>
        <w:t>Eighth Broadband Progress Report</w:t>
      </w:r>
      <w:r w:rsidRPr="00D40600">
        <w:t>, GN Docket No. 11-121 (rel. Aug. 21, 2012) ¶ 86.</w:t>
      </w:r>
    </w:p>
  </w:footnote>
  <w:footnote w:id="1193">
    <w:p w:rsidR="00EC7CF3" w:rsidRDefault="00EC7CF3" w:rsidP="00FC6876">
      <w:pPr>
        <w:pStyle w:val="FootnoteText"/>
      </w:pPr>
      <w:r w:rsidRPr="00D40600">
        <w:rPr>
          <w:rStyle w:val="FootnoteReference"/>
          <w:sz w:val="20"/>
        </w:rPr>
        <w:footnoteRef/>
      </w:r>
      <w:r w:rsidRPr="00D40600">
        <w:t xml:space="preserve"> </w:t>
      </w:r>
      <w:r w:rsidRPr="00D40600">
        <w:rPr>
          <w:i/>
        </w:rPr>
        <w:t>See also</w:t>
      </w:r>
      <w:r w:rsidRPr="00D40600">
        <w:t xml:space="preserve">, NTIA and FCC, National Broadband Map - Broadband Statistics Report, </w:t>
      </w:r>
      <w:r w:rsidRPr="00D40600">
        <w:rPr>
          <w:i/>
        </w:rPr>
        <w:t>Broadband Availability in Urban versus Rural Areas</w:t>
      </w:r>
      <w:r w:rsidRPr="00D40600">
        <w:t xml:space="preserve">, </w:t>
      </w:r>
      <w:r w:rsidRPr="00D40600">
        <w:rPr>
          <w:i/>
        </w:rPr>
        <w:t xml:space="preserve">available at </w:t>
      </w:r>
      <w:hyperlink r:id="rId538" w:history="1">
        <w:r w:rsidRPr="00D40600">
          <w:rPr>
            <w:rStyle w:val="Hyperlink"/>
          </w:rPr>
          <w:t>http://www.broadbandmap.gov/download/reports/national-broadband-map-broadband-availability-in-rural-vs-urban-areas.pdf</w:t>
        </w:r>
      </w:hyperlink>
      <w:r w:rsidRPr="00D40600">
        <w:t>, (visited Jan. 23, 2012).</w:t>
      </w:r>
    </w:p>
  </w:footnote>
  <w:footnote w:id="1194">
    <w:p w:rsidR="00EC7CF3" w:rsidRDefault="00EC7CF3" w:rsidP="0018569E">
      <w:pPr>
        <w:pStyle w:val="FootnoteText"/>
      </w:pPr>
      <w:r>
        <w:rPr>
          <w:rStyle w:val="FootnoteReference"/>
        </w:rPr>
        <w:footnoteRef/>
      </w:r>
      <w:r>
        <w:t xml:space="preserve"> </w:t>
      </w:r>
      <w:r w:rsidRPr="00754E1F">
        <w:rPr>
          <w:i/>
        </w:rPr>
        <w:t>Fifteenth Report</w:t>
      </w:r>
      <w:r>
        <w:t xml:space="preserve">, 26 FCC Rcd at 9881-9882 </w:t>
      </w:r>
      <w:r w:rsidRPr="00725668">
        <w:t>¶</w:t>
      </w:r>
      <w:r>
        <w:t xml:space="preserve"> 381.</w:t>
      </w:r>
    </w:p>
  </w:footnote>
  <w:footnote w:id="1195">
    <w:p w:rsidR="00EC7CF3" w:rsidRDefault="00EC7CF3" w:rsidP="0018569E">
      <w:pPr>
        <w:pStyle w:val="FootnoteText"/>
      </w:pPr>
      <w:r>
        <w:rPr>
          <w:rStyle w:val="FootnoteReference"/>
        </w:rPr>
        <w:footnoteRef/>
      </w:r>
      <w:r>
        <w:t xml:space="preserve"> </w:t>
      </w:r>
      <w:r>
        <w:rPr>
          <w:i/>
        </w:rPr>
        <w:t>Id</w:t>
      </w:r>
      <w:r w:rsidRPr="00760AF8">
        <w:t>.</w:t>
      </w:r>
      <w:r>
        <w:t xml:space="preserve">  </w:t>
      </w:r>
    </w:p>
  </w:footnote>
  <w:footnote w:id="1196">
    <w:p w:rsidR="00EC7CF3" w:rsidRDefault="00EC7CF3" w:rsidP="00FC6876">
      <w:pPr>
        <w:pStyle w:val="FootnoteText"/>
      </w:pPr>
      <w:r w:rsidRPr="00D40600">
        <w:rPr>
          <w:rStyle w:val="FootnoteReference"/>
          <w:sz w:val="20"/>
        </w:rPr>
        <w:footnoteRef/>
      </w:r>
      <w:r w:rsidRPr="00D40600">
        <w:t xml:space="preserve"> </w:t>
      </w:r>
      <w:r>
        <w:t xml:space="preserve">The </w:t>
      </w:r>
      <w:r w:rsidRPr="00D40600">
        <w:t xml:space="preserve">Commission estimates </w:t>
      </w:r>
      <w:r>
        <w:t xml:space="preserve">in this Table are </w:t>
      </w:r>
      <w:r w:rsidRPr="00D40600">
        <w:t>based on census block analysis of Mosaik CoverageRight coverage maps, January 2012.  Population data are from the 2010 Census</w:t>
      </w:r>
      <w:r w:rsidRPr="00D40600">
        <w:rPr>
          <w:rStyle w:val="Normal1"/>
          <w:sz w:val="20"/>
        </w:rPr>
        <w:t>, and the square miles include the United States and Puerto Rico</w:t>
      </w:r>
      <w:r w:rsidRPr="00D40600">
        <w:t>.</w:t>
      </w:r>
    </w:p>
  </w:footnote>
  <w:footnote w:id="1197">
    <w:p w:rsidR="00EC7CF3" w:rsidRDefault="00EC7CF3" w:rsidP="007C3E48">
      <w:pPr>
        <w:pStyle w:val="FootnoteText"/>
      </w:pPr>
      <w:r w:rsidRPr="00D40600">
        <w:rPr>
          <w:rStyle w:val="FootnoteReference"/>
          <w:sz w:val="20"/>
        </w:rPr>
        <w:footnoteRef/>
      </w:r>
      <w:r w:rsidRPr="00D40600">
        <w:t xml:space="preserve"> </w:t>
      </w:r>
      <w:r>
        <w:t xml:space="preserve">The </w:t>
      </w:r>
      <w:r w:rsidRPr="00D40600">
        <w:t xml:space="preserve">Commission estimates </w:t>
      </w:r>
      <w:r>
        <w:t xml:space="preserve">in this Table are </w:t>
      </w:r>
      <w:r w:rsidRPr="00D40600">
        <w:t>based on census block analysis of Mosaik CoverageRight coverage maps</w:t>
      </w:r>
      <w:r>
        <w:t>, October</w:t>
      </w:r>
      <w:r w:rsidRPr="00D40600">
        <w:t xml:space="preserve"> 2012.  Population data are from the 2010 Census</w:t>
      </w:r>
      <w:r w:rsidRPr="00D40600">
        <w:rPr>
          <w:rStyle w:val="Normal1"/>
          <w:sz w:val="20"/>
        </w:rPr>
        <w:t>, and the square miles include the United States and Puerto Rico</w:t>
      </w:r>
      <w:r>
        <w:rPr>
          <w:rStyle w:val="Normal1"/>
          <w:sz w:val="20"/>
        </w:rPr>
        <w:t>.</w:t>
      </w:r>
    </w:p>
  </w:footnote>
  <w:footnote w:id="1198">
    <w:p w:rsidR="00EC7CF3" w:rsidRDefault="00EC7CF3" w:rsidP="00D05CB3">
      <w:pPr>
        <w:pStyle w:val="FootnoteText"/>
      </w:pPr>
      <w:r w:rsidRPr="00D40600">
        <w:rPr>
          <w:rStyle w:val="FootnoteReference"/>
          <w:sz w:val="20"/>
        </w:rPr>
        <w:footnoteRef/>
      </w:r>
      <w:r w:rsidRPr="00D40600">
        <w:t xml:space="preserve"> </w:t>
      </w:r>
      <w:r>
        <w:t xml:space="preserve">The </w:t>
      </w:r>
      <w:r w:rsidRPr="00D40600">
        <w:t xml:space="preserve">Commission estimates </w:t>
      </w:r>
      <w:r>
        <w:t xml:space="preserve">in this Table are </w:t>
      </w:r>
      <w:r w:rsidRPr="00D40600">
        <w:t>based on census block analysis of Mosaik CoverageRight coverage maps, January 2012.  Population data are from the 2010 Census</w:t>
      </w:r>
      <w:r w:rsidRPr="00D40600">
        <w:rPr>
          <w:rStyle w:val="Normal1"/>
          <w:sz w:val="20"/>
        </w:rPr>
        <w:t xml:space="preserve">, and the square miles include the United States and Puerto Rico.  </w:t>
      </w:r>
    </w:p>
  </w:footnote>
  <w:footnote w:id="1199">
    <w:p w:rsidR="00EC7CF3" w:rsidRDefault="00EC7CF3" w:rsidP="006932D2">
      <w:pPr>
        <w:pStyle w:val="FootnoteText"/>
      </w:pPr>
      <w:r w:rsidRPr="00D40600">
        <w:rPr>
          <w:rStyle w:val="FootnoteReference"/>
          <w:sz w:val="20"/>
        </w:rPr>
        <w:footnoteRef/>
      </w:r>
      <w:r w:rsidRPr="00D40600">
        <w:t xml:space="preserve"> </w:t>
      </w:r>
      <w:r>
        <w:t xml:space="preserve">The </w:t>
      </w:r>
      <w:r w:rsidRPr="00D40600">
        <w:t xml:space="preserve">Commission estimates </w:t>
      </w:r>
      <w:r>
        <w:t xml:space="preserve">in this Table are </w:t>
      </w:r>
      <w:r w:rsidRPr="00D40600">
        <w:t xml:space="preserve">based on census block analysis of Mosaik CoverageRight coverage maps, </w:t>
      </w:r>
      <w:r>
        <w:t>October</w:t>
      </w:r>
      <w:r w:rsidRPr="00D40600">
        <w:t xml:space="preserve"> 2012.  Population data are from the 2010 Census</w:t>
      </w:r>
      <w:r w:rsidRPr="00D40600">
        <w:rPr>
          <w:rStyle w:val="Normal1"/>
          <w:sz w:val="20"/>
        </w:rPr>
        <w:t>, and the square miles include the United States and Puerto Rico</w:t>
      </w:r>
      <w:r>
        <w:rPr>
          <w:rStyle w:val="Normal1"/>
          <w:sz w:val="20"/>
        </w:rPr>
        <w:t>.</w:t>
      </w:r>
    </w:p>
  </w:footnote>
  <w:footnote w:id="1200">
    <w:p w:rsidR="00EC7CF3" w:rsidRDefault="00EC7CF3" w:rsidP="00FC4F6C">
      <w:pPr>
        <w:pStyle w:val="FootnoteText"/>
      </w:pPr>
      <w:r w:rsidRPr="00D40600">
        <w:rPr>
          <w:rStyle w:val="FootnoteReference"/>
          <w:sz w:val="20"/>
        </w:rPr>
        <w:footnoteRef/>
      </w:r>
      <w:r w:rsidRPr="00D40600">
        <w:t xml:space="preserve"> </w:t>
      </w:r>
      <w:r w:rsidRPr="00D40600">
        <w:rPr>
          <w:i/>
          <w:iCs/>
        </w:rPr>
        <w:t>Connect America Fund; A National Broadband Plan for Our Future; Establishing Just and Reasonable Rates for Local Exchange Carriers; High-Cost Universal Service Support; Developing an Unified Intercarrier Compensation Regime; Federal-State Joint Board on Universal Service; Lifeline and Link-Up; Universal Service Reform—Mobility Fund</w:t>
      </w:r>
      <w:r w:rsidRPr="00D40600">
        <w:t>, WC Docket Nos. 10-90, 07-135, 05-337, 03-109, GN Docket No. 09-51, CC Docket Nos. 01-92, 96-45, WT Docket No. 10-208, Report and Order and Further Notice of Proposed Rulemaking, 26 FCC Rcd 17663 (2011) (</w:t>
      </w:r>
      <w:r w:rsidRPr="00D40600">
        <w:rPr>
          <w:i/>
          <w:iCs/>
        </w:rPr>
        <w:t>USF/ICC Transformation Order</w:t>
      </w:r>
      <w:r w:rsidRPr="00D40600">
        <w:t xml:space="preserve">), </w:t>
      </w:r>
      <w:r w:rsidRPr="00D40600">
        <w:rPr>
          <w:i/>
        </w:rPr>
        <w:t>available at</w:t>
      </w:r>
      <w:r w:rsidRPr="00D40600">
        <w:t xml:space="preserve"> </w:t>
      </w:r>
      <w:hyperlink r:id="rId539" w:history="1">
        <w:r w:rsidRPr="00D40600">
          <w:rPr>
            <w:rStyle w:val="Hyperlink"/>
          </w:rPr>
          <w:t>http://hraunfoss.fcc.gov/edocs_public/attachmatch/FCC-11-161A1_Rcd.pdf</w:t>
        </w:r>
      </w:hyperlink>
      <w:r w:rsidRPr="00D40600">
        <w:t xml:space="preserve"> (visited Oct. 16, 2012),</w:t>
      </w:r>
      <w:r w:rsidRPr="00D40600">
        <w:rPr>
          <w:i/>
          <w:iCs/>
        </w:rPr>
        <w:t xml:space="preserve"> pets. for review pending</w:t>
      </w:r>
      <w:r w:rsidRPr="00D40600">
        <w:t xml:space="preserve"> </w:t>
      </w:r>
      <w:r w:rsidRPr="00D40600">
        <w:rPr>
          <w:i/>
          <w:iCs/>
        </w:rPr>
        <w:t xml:space="preserve">sub nom. In re </w:t>
      </w:r>
      <w:r w:rsidRPr="00D40600">
        <w:rPr>
          <w:iCs/>
        </w:rPr>
        <w:t>FCC 11-161</w:t>
      </w:r>
      <w:r w:rsidRPr="00D40600">
        <w:rPr>
          <w:i/>
          <w:iCs/>
        </w:rPr>
        <w:t xml:space="preserve">, </w:t>
      </w:r>
      <w:r w:rsidRPr="00D40600">
        <w:t>No. 11-9900 (10th Cir. filed Dec. 8, 2011); Order on Reconsideration, 26 FCC Rcd 17633 (2011); Second Order on Reconsideration, 27 FCC Rcd 4648 (2012); Third Order on Reconsideration, 27 FCC Rcd 5622 (2012).</w:t>
      </w:r>
    </w:p>
  </w:footnote>
  <w:footnote w:id="1201">
    <w:p w:rsidR="00EC7CF3" w:rsidRDefault="00EC7CF3" w:rsidP="00FC4F6C">
      <w:pPr>
        <w:pStyle w:val="FootnoteText"/>
      </w:pPr>
      <w:r w:rsidRPr="00D40600">
        <w:rPr>
          <w:rStyle w:val="FootnoteReference"/>
          <w:sz w:val="20"/>
        </w:rPr>
        <w:footnoteRef/>
      </w:r>
      <w:r w:rsidRPr="00D40600">
        <w:t xml:space="preserve"> “Mobility Fund Phase I Auction Scheduled for September 27, 2012, Notice and Filing Requirements and Other Procedures for Auction 901,” </w:t>
      </w:r>
      <w:r w:rsidRPr="00D40600">
        <w:rPr>
          <w:i/>
        </w:rPr>
        <w:t>Public Notice</w:t>
      </w:r>
      <w:r w:rsidRPr="00D40600">
        <w:t>, AU Docket No. 12-25, DA 12-641 (WTB rel. May 2, 2012).</w:t>
      </w:r>
    </w:p>
  </w:footnote>
  <w:footnote w:id="1202">
    <w:p w:rsidR="00EC7CF3" w:rsidRDefault="00EC7CF3" w:rsidP="00FC4F6C">
      <w:pPr>
        <w:pStyle w:val="FootnoteText"/>
      </w:pPr>
      <w:r w:rsidRPr="00D40600">
        <w:rPr>
          <w:rStyle w:val="FootnoteReference"/>
          <w:sz w:val="20"/>
        </w:rPr>
        <w:footnoteRef/>
      </w:r>
      <w:r w:rsidRPr="00D40600">
        <w:t xml:space="preserve"> For further information on the Mobility Fund Phase I auction, </w:t>
      </w:r>
      <w:r w:rsidRPr="00D40600">
        <w:rPr>
          <w:i/>
        </w:rPr>
        <w:t>see</w:t>
      </w:r>
      <w:r w:rsidRPr="00D40600">
        <w:t xml:space="preserve"> Auction 901, Mobility Fund Phase I, </w:t>
      </w:r>
      <w:r w:rsidRPr="001A0998">
        <w:rPr>
          <w:i/>
        </w:rPr>
        <w:t>available at</w:t>
      </w:r>
      <w:r w:rsidRPr="00D40600">
        <w:t xml:space="preserve"> </w:t>
      </w:r>
      <w:hyperlink r:id="rId540" w:history="1">
        <w:r w:rsidRPr="00D40600">
          <w:rPr>
            <w:rStyle w:val="Hyperlink"/>
          </w:rPr>
          <w:t>http://wireless.fcc.gov/auctions/default.htm?job=auction_summary&amp;id=901</w:t>
        </w:r>
      </w:hyperlink>
      <w:r w:rsidRPr="00D40600">
        <w:t xml:space="preserve"> (visited Oct. 16, 2012)</w:t>
      </w:r>
      <w:r>
        <w:t>.</w:t>
      </w:r>
      <w:r w:rsidRPr="00D40600">
        <w:t xml:space="preserve"> </w:t>
      </w:r>
      <w:r>
        <w:t xml:space="preserve"> </w:t>
      </w:r>
      <w:r w:rsidRPr="00D40600">
        <w:t xml:space="preserve">In the USF/ICC Transformation Order, the Commission also designated an additional $50 million in Phase I of the Mobility Fund for one-time support targeted exclusively for mobile service on Tribal lands, which will be awarded by auction in 2013.  </w:t>
      </w:r>
      <w:r w:rsidRPr="00D40600">
        <w:rPr>
          <w:i/>
        </w:rPr>
        <w:t xml:space="preserve">See USF/ICC Transformation Order, </w:t>
      </w:r>
      <w:r w:rsidRPr="00D40600">
        <w:t>26 FCC Rcd at 17819-20, ¶ 481.</w:t>
      </w:r>
    </w:p>
  </w:footnote>
  <w:footnote w:id="1203">
    <w:p w:rsidR="00EC7CF3" w:rsidRDefault="00EC7CF3" w:rsidP="00FC4F6C">
      <w:pPr>
        <w:pStyle w:val="FootnoteText"/>
      </w:pPr>
      <w:r w:rsidRPr="00D40600">
        <w:rPr>
          <w:rStyle w:val="FootnoteReference"/>
          <w:sz w:val="20"/>
        </w:rPr>
        <w:footnoteRef/>
      </w:r>
      <w:r w:rsidRPr="00D40600">
        <w:t xml:space="preserve"> </w:t>
      </w:r>
      <w:r w:rsidRPr="00D40600">
        <w:rPr>
          <w:i/>
          <w:iCs/>
        </w:rPr>
        <w:t xml:space="preserve">USF/ICC Transformation Order, </w:t>
      </w:r>
      <w:r w:rsidRPr="00D40600">
        <w:rPr>
          <w:iCs/>
        </w:rPr>
        <w:t>26 FCC Rcd at 17824, ¶¶ 493-494</w:t>
      </w:r>
      <w:r w:rsidRPr="00D40600">
        <w:t>.</w:t>
      </w:r>
    </w:p>
  </w:footnote>
  <w:footnote w:id="1204">
    <w:p w:rsidR="00EC7CF3" w:rsidRDefault="00EC7CF3" w:rsidP="00FC4F6C">
      <w:pPr>
        <w:pStyle w:val="FootnoteText"/>
      </w:pPr>
      <w:r w:rsidRPr="00D40600">
        <w:rPr>
          <w:rStyle w:val="FootnoteReference"/>
          <w:sz w:val="20"/>
        </w:rPr>
        <w:footnoteRef/>
      </w:r>
      <w:r w:rsidRPr="00D40600">
        <w:t xml:space="preserve"> </w:t>
      </w:r>
      <w:r w:rsidRPr="00D40600">
        <w:rPr>
          <w:i/>
        </w:rPr>
        <w:t>See</w:t>
      </w:r>
      <w:r w:rsidRPr="00D40600">
        <w:rPr>
          <w:i/>
          <w:iCs/>
        </w:rPr>
        <w:t xml:space="preserve"> USF/ICC Transformation Order, </w:t>
      </w:r>
      <w:r w:rsidRPr="00D40600">
        <w:rPr>
          <w:iCs/>
        </w:rPr>
        <w:t>26 FCC Rcd at 18069-85, ¶¶ 1121-1188.</w:t>
      </w:r>
    </w:p>
  </w:footnote>
  <w:footnote w:id="1205">
    <w:p w:rsidR="00EC7CF3" w:rsidRDefault="00EC7CF3" w:rsidP="00C53745">
      <w:pPr>
        <w:pStyle w:val="FootnoteText"/>
      </w:pPr>
      <w:r w:rsidRPr="00D40600">
        <w:rPr>
          <w:rStyle w:val="FootnoteReference"/>
          <w:sz w:val="20"/>
        </w:rPr>
        <w:footnoteRef/>
      </w:r>
      <w:r w:rsidRPr="00D40600">
        <w:t xml:space="preserve"> Verizon Comments at 33; Bernie Arnason, </w:t>
      </w:r>
      <w:r w:rsidRPr="00D40600">
        <w:rPr>
          <w:i/>
        </w:rPr>
        <w:t>Nemont Partners with Verizon for Rural LTE Program</w:t>
      </w:r>
      <w:r w:rsidRPr="00D40600">
        <w:t xml:space="preserve">, Telecompetitor, Mar. 22, 2012, </w:t>
      </w:r>
      <w:hyperlink r:id="rId541" w:history="1">
        <w:r w:rsidRPr="00D40600">
          <w:rPr>
            <w:rStyle w:val="Hyperlink"/>
          </w:rPr>
          <w:t>http://www.telecompetitor.com/nemont-partners-with-verizon-for-rural-lte-program/</w:t>
        </w:r>
      </w:hyperlink>
      <w:r w:rsidRPr="00D40600">
        <w:t xml:space="preserve"> (visited Oct. 16, 2012)</w:t>
      </w:r>
      <w:r>
        <w:t>.</w:t>
      </w:r>
    </w:p>
  </w:footnote>
  <w:footnote w:id="1206">
    <w:p w:rsidR="00EC7CF3" w:rsidRDefault="00EC7CF3" w:rsidP="00C53745">
      <w:pPr>
        <w:pStyle w:val="FootnoteText"/>
      </w:pPr>
      <w:r w:rsidRPr="00D40600">
        <w:rPr>
          <w:rStyle w:val="FootnoteReference"/>
          <w:sz w:val="20"/>
        </w:rPr>
        <w:footnoteRef/>
      </w:r>
      <w:r w:rsidRPr="00D40600">
        <w:t xml:space="preserve"> Verizon Comments at 33;</w:t>
      </w:r>
      <w:r w:rsidRPr="00D40600">
        <w:rPr>
          <w:i/>
        </w:rPr>
        <w:t xml:space="preserve"> </w:t>
      </w:r>
      <w:r w:rsidRPr="00D40600">
        <w:t xml:space="preserve">Dan Meyer, </w:t>
      </w:r>
      <w:r w:rsidRPr="00D40600">
        <w:rPr>
          <w:i/>
        </w:rPr>
        <w:t>LTE N.A. 2011: Verizon Wireless Set for Rural LTE Launches in 2012</w:t>
      </w:r>
      <w:r w:rsidRPr="00D40600">
        <w:t xml:space="preserve">, RCR Wireless News, Nov. 9, 2011, </w:t>
      </w:r>
      <w:r w:rsidRPr="00D40600">
        <w:rPr>
          <w:i/>
        </w:rPr>
        <w:t xml:space="preserve">available at </w:t>
      </w:r>
      <w:hyperlink r:id="rId542" w:history="1">
        <w:r w:rsidRPr="00D40600">
          <w:rPr>
            <w:rStyle w:val="Hyperlink"/>
          </w:rPr>
          <w:t>http://www.rcrwireless.com/article/20111109/devices/lte-n-a-2011-verizon-wireless-set-for-rural-lte-launches-in-2012/</w:t>
        </w:r>
      </w:hyperlink>
      <w:r w:rsidRPr="00D40600">
        <w:t xml:space="preserve"> (visited Oct. 16, 2012)</w:t>
      </w:r>
      <w:r>
        <w:t>.</w:t>
      </w:r>
    </w:p>
  </w:footnote>
  <w:footnote w:id="1207">
    <w:p w:rsidR="00EC7CF3" w:rsidRDefault="00EC7CF3" w:rsidP="00C53745">
      <w:pPr>
        <w:pStyle w:val="FootnoteText"/>
      </w:pPr>
      <w:r w:rsidRPr="00D40600">
        <w:rPr>
          <w:rStyle w:val="FootnoteReference"/>
          <w:sz w:val="20"/>
        </w:rPr>
        <w:footnoteRef/>
      </w:r>
      <w:r w:rsidRPr="00D40600">
        <w:t xml:space="preserve"> Kevin Fitchard, </w:t>
      </w:r>
      <w:r w:rsidRPr="00D40600">
        <w:rPr>
          <w:i/>
        </w:rPr>
        <w:t>Pioneer Launches Rural LTE Over Verizon Spectrum</w:t>
      </w:r>
      <w:r w:rsidRPr="00D40600">
        <w:t xml:space="preserve">, GigaOm, May 3, 2012, </w:t>
      </w:r>
      <w:hyperlink r:id="rId543" w:history="1">
        <w:r w:rsidRPr="00D40600">
          <w:rPr>
            <w:rStyle w:val="Hyperlink"/>
          </w:rPr>
          <w:t>http://gigaom.com/broadband/pioneer-launches-rural-lte-over-verizon-spectrum/</w:t>
        </w:r>
      </w:hyperlink>
      <w:r w:rsidRPr="00D40600">
        <w:t xml:space="preserve"> (visited Oct. 16, 2012); </w:t>
      </w:r>
      <w:r w:rsidRPr="00D40600">
        <w:rPr>
          <w:i/>
        </w:rPr>
        <w:t xml:space="preserve">Two Verizon Rural LTE Partners Nearing Launch; Scheme Gains Two New Operators, </w:t>
      </w:r>
      <w:r w:rsidRPr="00D40600">
        <w:t xml:space="preserve">TeleGeography, Mar. 28, 2012, </w:t>
      </w:r>
      <w:hyperlink r:id="rId544" w:history="1">
        <w:r w:rsidRPr="00D40600">
          <w:rPr>
            <w:rStyle w:val="Hyperlink"/>
          </w:rPr>
          <w:t>http://www.telegeography.com/products/commsupdate/articles/2012/03/28/two-verizon-rural-lte-partners-nearing-launch-scheme-gains-two-new-operators/</w:t>
        </w:r>
      </w:hyperlink>
      <w:r w:rsidRPr="00D40600">
        <w:t xml:space="preserve"> (visited Oct. 16, 2012); Dan Meyer, </w:t>
      </w:r>
      <w:r w:rsidRPr="00D40600">
        <w:rPr>
          <w:i/>
        </w:rPr>
        <w:t>Verizon Wireless Adds Chariton to Rural LTE Program</w:t>
      </w:r>
      <w:r w:rsidRPr="00D40600">
        <w:t xml:space="preserve">, RCR Wireless, Sept. 12, 2011, </w:t>
      </w:r>
      <w:hyperlink r:id="rId545" w:history="1">
        <w:r w:rsidRPr="00D40600">
          <w:rPr>
            <w:rStyle w:val="Hyperlink"/>
          </w:rPr>
          <w:t>http://www.rcrwireless.com/article/20110912/carriers/verizon-wireless-adds-chariton-to-rural-lte-program/</w:t>
        </w:r>
      </w:hyperlink>
      <w:r w:rsidRPr="00D40600">
        <w:t xml:space="preserve"> (visited Oct. 16, 2012).</w:t>
      </w:r>
    </w:p>
  </w:footnote>
  <w:footnote w:id="1208">
    <w:p w:rsidR="00EC7CF3" w:rsidRDefault="00EC7CF3" w:rsidP="00C53745">
      <w:pPr>
        <w:pStyle w:val="FootnoteText"/>
      </w:pPr>
      <w:r w:rsidRPr="00D40600">
        <w:rPr>
          <w:rStyle w:val="FootnoteReference"/>
          <w:sz w:val="20"/>
        </w:rPr>
        <w:footnoteRef/>
      </w:r>
      <w:r w:rsidRPr="00D40600">
        <w:t xml:space="preserve"> Communications Daily, September 19, 2012, at 11.  Joan Engecretson, </w:t>
      </w:r>
      <w:r w:rsidRPr="00D40600">
        <w:rPr>
          <w:i/>
        </w:rPr>
        <w:t>Pioneer Cellular Is First Verizon Rural Partner to Launch 4G LTE</w:t>
      </w:r>
      <w:r w:rsidRPr="00D40600">
        <w:t xml:space="preserve">, Telecompetitor, Apr. 30, 2012, </w:t>
      </w:r>
      <w:hyperlink r:id="rId546" w:history="1">
        <w:r w:rsidRPr="00D40600">
          <w:rPr>
            <w:rStyle w:val="Hyperlink"/>
          </w:rPr>
          <w:t>http://www.telecompetitor.com/pioneer-cellular-is-first-verizon-rural-partner-to-launch-4g-lte/</w:t>
        </w:r>
      </w:hyperlink>
      <w:r w:rsidRPr="00D40600">
        <w:t xml:space="preserve"> (visited Oct. 16, 2012); Bernie Arnason, </w:t>
      </w:r>
      <w:r w:rsidRPr="00D40600">
        <w:rPr>
          <w:i/>
        </w:rPr>
        <w:t>Nemont Partners with Verizon for Rural LTE Program</w:t>
      </w:r>
      <w:r w:rsidRPr="00D40600">
        <w:t xml:space="preserve">, Telecompetitor, Mar. 22, 2012, </w:t>
      </w:r>
      <w:hyperlink r:id="rId547" w:history="1">
        <w:r w:rsidRPr="00D40600">
          <w:rPr>
            <w:rStyle w:val="Hyperlink"/>
          </w:rPr>
          <w:t>http://www.telecompetitor.com/nemont-partners-with-verizon-for-rural-lte-program/</w:t>
        </w:r>
      </w:hyperlink>
      <w:r w:rsidRPr="00D40600">
        <w:t xml:space="preserve"> (visited Oct. 16, 2012).</w:t>
      </w:r>
    </w:p>
  </w:footnote>
  <w:footnote w:id="1209">
    <w:p w:rsidR="00EC7CF3" w:rsidRDefault="00EC7CF3" w:rsidP="00C53745">
      <w:pPr>
        <w:pStyle w:val="FootnoteText"/>
      </w:pPr>
      <w:r w:rsidRPr="00D40600">
        <w:rPr>
          <w:rStyle w:val="FootnoteReference"/>
          <w:sz w:val="20"/>
        </w:rPr>
        <w:footnoteRef/>
      </w:r>
      <w:r w:rsidRPr="00D40600">
        <w:t xml:space="preserve"> Kevin Fitchard, </w:t>
      </w:r>
      <w:r w:rsidRPr="00D40600">
        <w:rPr>
          <w:i/>
        </w:rPr>
        <w:t>Pioneer Launches Rural LTE Over Verizon Spectrum</w:t>
      </w:r>
      <w:r w:rsidRPr="00D40600">
        <w:t xml:space="preserve">, GigaOm, May 3, 2012, </w:t>
      </w:r>
      <w:hyperlink r:id="rId548" w:history="1">
        <w:r w:rsidRPr="00D40600">
          <w:rPr>
            <w:rStyle w:val="Hyperlink"/>
          </w:rPr>
          <w:t>http://gigaom.com/broadband/pioneer-launches-rural-lte-over-verizon-spectrum/</w:t>
        </w:r>
      </w:hyperlink>
      <w:r w:rsidRPr="00D40600">
        <w:t xml:space="preserve"> (visited Oct. 16, 2012); Joan Engecretson, </w:t>
      </w:r>
      <w:r w:rsidRPr="00D40600">
        <w:rPr>
          <w:i/>
        </w:rPr>
        <w:t>Pioneer Cellular Is First Verizon Rural Partner to Launch 4G LTE</w:t>
      </w:r>
      <w:r w:rsidRPr="00D40600">
        <w:t xml:space="preserve">, Telecompetitor, Apr. 30, 2012, </w:t>
      </w:r>
      <w:hyperlink r:id="rId549" w:history="1">
        <w:r w:rsidRPr="00D40600">
          <w:rPr>
            <w:rStyle w:val="Hyperlink"/>
          </w:rPr>
          <w:t>http://www.telecompetitor.com/pioneer-cellular-is-first-verizon-rural-partner-to-launch-4g-lte/</w:t>
        </w:r>
      </w:hyperlink>
      <w:r w:rsidRPr="00D40600">
        <w:t xml:space="preserve"> (visited Oct. 16, 2012).</w:t>
      </w:r>
    </w:p>
  </w:footnote>
  <w:footnote w:id="1210">
    <w:p w:rsidR="00EC7CF3" w:rsidRDefault="00EC7CF3">
      <w:pPr>
        <w:pStyle w:val="FootnoteText"/>
      </w:pPr>
      <w:r w:rsidRPr="00D40600">
        <w:rPr>
          <w:rStyle w:val="FootnoteReference"/>
          <w:sz w:val="20"/>
        </w:rPr>
        <w:footnoteRef/>
      </w:r>
      <w:r w:rsidRPr="00D40600">
        <w:t xml:space="preserve"> Section </w:t>
      </w:r>
      <w:r w:rsidR="00951E9B">
        <w:fldChar w:fldCharType="begin"/>
      </w:r>
      <w:r w:rsidR="00951E9B">
        <w:instrText xml:space="preserve"> REF _Ref336274774 \w  \* MERGEFORMAT </w:instrText>
      </w:r>
      <w:r w:rsidR="00951E9B">
        <w:fldChar w:fldCharType="separate"/>
      </w:r>
      <w:r>
        <w:t>III.C</w:t>
      </w:r>
      <w:r w:rsidR="00951E9B">
        <w:fldChar w:fldCharType="end"/>
      </w:r>
      <w:r w:rsidRPr="00D40600">
        <w:t>,</w:t>
      </w:r>
      <w:r>
        <w:t xml:space="preserve"> Mobile Wireless Network Coverage, </w:t>
      </w:r>
      <w:r w:rsidRPr="0060740E">
        <w:rPr>
          <w:i/>
        </w:rPr>
        <w:t>supra.</w:t>
      </w:r>
    </w:p>
  </w:footnote>
  <w:footnote w:id="1211">
    <w:p w:rsidR="00EC7CF3" w:rsidRDefault="00EC7CF3" w:rsidP="00FC6876">
      <w:pPr>
        <w:pStyle w:val="FootnoteText"/>
      </w:pPr>
      <w:r w:rsidRPr="00D40600">
        <w:rPr>
          <w:rStyle w:val="FootnoteReference"/>
          <w:sz w:val="20"/>
        </w:rPr>
        <w:footnoteRef/>
      </w:r>
      <w:r w:rsidRPr="00D40600">
        <w:t xml:space="preserve"> We have applied the definition of rural discussed earlier, as a county with a population density of 100 persons or fewer per square mile, to CMA boundaries.  Because of the limitations of NRUF data, as discussed above, it would be inaccurate to analyze the number of service providers at the county level.  Therefore we have analyzed the number of service providers at the CMA level and consider a CMA to be rural if it has a population density less than or equal to 100 people per square mile.</w:t>
      </w:r>
    </w:p>
  </w:footnote>
  <w:footnote w:id="1212">
    <w:p w:rsidR="00EC7CF3" w:rsidRDefault="00EC7CF3" w:rsidP="006647CC">
      <w:pPr>
        <w:pStyle w:val="FootnoteText"/>
      </w:pPr>
      <w:r>
        <w:rPr>
          <w:rStyle w:val="FootnoteReference"/>
        </w:rPr>
        <w:footnoteRef/>
      </w:r>
      <w:r>
        <w:rPr>
          <w:i/>
        </w:rPr>
        <w:t xml:space="preserve">See </w:t>
      </w:r>
      <w:r w:rsidRPr="009532DD">
        <w:rPr>
          <w:i/>
        </w:rPr>
        <w:t xml:space="preserve">Fifteenth Report, </w:t>
      </w:r>
      <w:r w:rsidRPr="009532DD">
        <w:t xml:space="preserve">26 FCC Rcd at </w:t>
      </w:r>
      <w:r>
        <w:t>9707</w:t>
      </w:r>
      <w:r w:rsidRPr="009532DD">
        <w:t xml:space="preserve"> </w:t>
      </w:r>
      <w:r>
        <w:t>¶ 47.</w:t>
      </w:r>
    </w:p>
  </w:footnote>
  <w:footnote w:id="1213">
    <w:p w:rsidR="00EC7CF3" w:rsidRDefault="00EC7CF3">
      <w:pPr>
        <w:pStyle w:val="FootnoteText"/>
      </w:pPr>
      <w:r>
        <w:rPr>
          <w:rStyle w:val="FootnoteReference"/>
        </w:rPr>
        <w:footnoteRef/>
      </w:r>
      <w:r>
        <w:t xml:space="preserve"> </w:t>
      </w:r>
      <w:r w:rsidRPr="008B411A">
        <w:t>Because mobile providers generally screen the eligibility of potential customers by zip code, a more accurate estimation of the competitive choices available to individual consumers would be based on zip codes.  Another depiction of the choices effectively available to a consumer would be based on an assessment of a service provider’s retail presence in an area.</w:t>
      </w:r>
    </w:p>
  </w:footnote>
  <w:footnote w:id="1214">
    <w:p w:rsidR="00EC7CF3" w:rsidRDefault="00EC7CF3">
      <w:pPr>
        <w:pStyle w:val="FootnoteText"/>
      </w:pPr>
      <w:r>
        <w:rPr>
          <w:rStyle w:val="FootnoteReference"/>
        </w:rPr>
        <w:footnoteRef/>
      </w:r>
      <w:r>
        <w:t xml:space="preserve"> Because NRUF includes data on the number of telephone numbers that have been assigned to end-user devices by mobile wireless providers, this analysis does not include providers whose data-only devices are not assigned a mobile telephone number.  </w:t>
      </w:r>
      <w:r w:rsidRPr="00DA75C8">
        <w:rPr>
          <w:i/>
        </w:rPr>
        <w:t>See</w:t>
      </w:r>
      <w:r>
        <w:rPr>
          <w:i/>
        </w:rPr>
        <w:t xml:space="preserve"> also</w:t>
      </w:r>
      <w:r w:rsidRPr="00DA75C8">
        <w:t xml:space="preserve"> </w:t>
      </w:r>
      <w:r>
        <w:t xml:space="preserve">Section V.A, </w:t>
      </w:r>
      <w:r w:rsidRPr="00B53FFB">
        <w:rPr>
          <w:szCs w:val="22"/>
        </w:rPr>
        <w:t>Numbers of Mobile Wireless Connections and Customers</w:t>
      </w:r>
      <w:r>
        <w:rPr>
          <w:szCs w:val="22"/>
        </w:rPr>
        <w:t>,</w:t>
      </w:r>
      <w:r>
        <w:t xml:space="preserve">  </w:t>
      </w:r>
      <w:r w:rsidRPr="005F3114">
        <w:rPr>
          <w:i/>
        </w:rPr>
        <w:t>supra.</w:t>
      </w:r>
    </w:p>
  </w:footnote>
  <w:footnote w:id="1215">
    <w:p w:rsidR="00EC7CF3" w:rsidRDefault="00EC7CF3" w:rsidP="00FC6876">
      <w:pPr>
        <w:pStyle w:val="FootnoteText"/>
      </w:pPr>
      <w:r w:rsidRPr="00D40600">
        <w:rPr>
          <w:rStyle w:val="FootnoteReference"/>
          <w:sz w:val="20"/>
        </w:rPr>
        <w:footnoteRef/>
      </w:r>
      <w:r w:rsidRPr="00D40600">
        <w:t xml:space="preserve"> Although </w:t>
      </w:r>
      <w:r>
        <w:t xml:space="preserve">Table 63 </w:t>
      </w:r>
      <w:r w:rsidRPr="00D40600">
        <w:t xml:space="preserve">estimates the number of providers offering service in rural and non-rural CMAs, </w:t>
      </w:r>
      <w:r w:rsidR="00951E9B">
        <w:fldChar w:fldCharType="begin"/>
      </w:r>
      <w:r w:rsidR="00951E9B">
        <w:instrText xml:space="preserve"> REF _Ref343169</w:instrText>
      </w:r>
      <w:r w:rsidR="00951E9B">
        <w:instrText xml:space="preserve">123  \* MERGEFORMAT </w:instrText>
      </w:r>
      <w:r w:rsidR="00951E9B">
        <w:fldChar w:fldCharType="separate"/>
      </w:r>
      <w:r w:rsidRPr="00CA3AC6">
        <w:t xml:space="preserve">Map </w:t>
      </w:r>
      <w:r w:rsidRPr="00CA3AC6">
        <w:rPr>
          <w:noProof/>
        </w:rPr>
        <w:t>6</w:t>
      </w:r>
      <w:r w:rsidR="00951E9B">
        <w:rPr>
          <w:noProof/>
        </w:rPr>
        <w:fldChar w:fldCharType="end"/>
      </w:r>
      <w:r w:rsidRPr="00D40600">
        <w:t xml:space="preserve"> below estimates mobile network deployment and may not indicate the extent to which providers actually offer service in the covered areas.</w:t>
      </w:r>
    </w:p>
  </w:footnote>
  <w:footnote w:id="1216">
    <w:p w:rsidR="00EC7CF3" w:rsidRDefault="00EC7CF3" w:rsidP="00AB43CD">
      <w:pPr>
        <w:pStyle w:val="FootnoteText"/>
      </w:pPr>
      <w:r w:rsidRPr="00D40600">
        <w:rPr>
          <w:rStyle w:val="FootnoteReference"/>
          <w:sz w:val="20"/>
        </w:rPr>
        <w:footnoteRef/>
      </w:r>
      <w:r w:rsidRPr="00D40600">
        <w:t xml:space="preserve"> Although </w:t>
      </w:r>
      <w:r>
        <w:t xml:space="preserve">Table 64 </w:t>
      </w:r>
      <w:r w:rsidRPr="00D40600">
        <w:t xml:space="preserve">estimates the number of providers offering service in rural and non-rural CMAs, </w:t>
      </w:r>
      <w:r w:rsidR="00951E9B">
        <w:fldChar w:fldCharType="begin"/>
      </w:r>
      <w:r w:rsidR="00951E9B">
        <w:instrText xml:space="preserve"> REF _Ref343169123  \* MERGEFORMAT </w:instrText>
      </w:r>
      <w:r w:rsidR="00951E9B">
        <w:fldChar w:fldCharType="separate"/>
      </w:r>
      <w:r w:rsidRPr="00CA3AC6">
        <w:t xml:space="preserve">Map </w:t>
      </w:r>
      <w:r w:rsidRPr="00CA3AC6">
        <w:rPr>
          <w:noProof/>
        </w:rPr>
        <w:t>6</w:t>
      </w:r>
      <w:r w:rsidR="00951E9B">
        <w:rPr>
          <w:noProof/>
        </w:rPr>
        <w:fldChar w:fldCharType="end"/>
      </w:r>
      <w:r>
        <w:t xml:space="preserve"> </w:t>
      </w:r>
      <w:r w:rsidRPr="00D40600">
        <w:t>below estimates mobile network deployment and may not indicate the extent to which providers actually offer service in the covered areas.</w:t>
      </w:r>
    </w:p>
  </w:footnote>
  <w:footnote w:id="1217">
    <w:p w:rsidR="00EC7CF3" w:rsidRDefault="00EC7CF3" w:rsidP="00FC6876">
      <w:pPr>
        <w:pStyle w:val="FootnoteText"/>
      </w:pPr>
      <w:r w:rsidRPr="00D40600">
        <w:rPr>
          <w:rStyle w:val="FootnoteReference"/>
          <w:sz w:val="20"/>
        </w:rPr>
        <w:footnoteRef/>
      </w:r>
      <w:r w:rsidRPr="00D40600">
        <w:t xml:space="preserve"> </w:t>
      </w:r>
      <w:r w:rsidRPr="00D40600">
        <w:rPr>
          <w:i/>
        </w:rPr>
        <w:t>See</w:t>
      </w:r>
      <w:r w:rsidRPr="00D40600">
        <w:t xml:space="preserve"> Section </w:t>
      </w:r>
      <w:r>
        <w:fldChar w:fldCharType="begin"/>
      </w:r>
      <w:r>
        <w:instrText xml:space="preserve"> REF _Ref261960798 \w \h  \* MERGEFORMAT </w:instrText>
      </w:r>
      <w:r>
        <w:fldChar w:fldCharType="separate"/>
      </w:r>
      <w:r>
        <w:t>III.E.2</w:t>
      </w:r>
      <w:r>
        <w:fldChar w:fldCharType="end"/>
      </w:r>
      <w:r w:rsidRPr="00D40600">
        <w:t xml:space="preserve">, Non-Regulatory Entry and Exit Conditions, </w:t>
      </w:r>
      <w:r w:rsidRPr="00D40600">
        <w:rPr>
          <w:i/>
        </w:rPr>
        <w:t>supra.</w:t>
      </w:r>
    </w:p>
  </w:footnote>
  <w:footnote w:id="1218">
    <w:p w:rsidR="00EC7CF3" w:rsidRDefault="00EC7CF3" w:rsidP="00FC6876">
      <w:pPr>
        <w:pStyle w:val="FootnoteText"/>
      </w:pPr>
      <w:r w:rsidRPr="00D40600">
        <w:rPr>
          <w:rStyle w:val="FootnoteReference"/>
          <w:sz w:val="20"/>
        </w:rPr>
        <w:footnoteRef/>
      </w:r>
      <w:r w:rsidRPr="00D40600">
        <w:t xml:space="preserve"> </w:t>
      </w:r>
      <w:r w:rsidRPr="00D40600">
        <w:rPr>
          <w:i/>
        </w:rPr>
        <w:t>See Id</w:t>
      </w:r>
      <w:r w:rsidRPr="00D40600">
        <w:t>.</w:t>
      </w:r>
    </w:p>
  </w:footnote>
  <w:footnote w:id="1219">
    <w:p w:rsidR="00EC7CF3" w:rsidRDefault="00EC7CF3" w:rsidP="00FC6876">
      <w:pPr>
        <w:pStyle w:val="FootnoteText"/>
      </w:pPr>
      <w:r w:rsidRPr="00D40600">
        <w:rPr>
          <w:rStyle w:val="FootnoteReference"/>
          <w:sz w:val="20"/>
        </w:rPr>
        <w:footnoteRef/>
      </w:r>
      <w:r w:rsidRPr="00D40600">
        <w:t xml:space="preserve"> </w:t>
      </w:r>
      <w:r w:rsidRPr="00D40600">
        <w:rPr>
          <w:i/>
        </w:rPr>
        <w:t>See</w:t>
      </w:r>
      <w:r w:rsidRPr="00D40600">
        <w:t xml:space="preserve"> “President Obama Details Plan to Win the Future through Expanded Wireless Access”, </w:t>
      </w:r>
      <w:r w:rsidRPr="0060740E">
        <w:rPr>
          <w:i/>
        </w:rPr>
        <w:t xml:space="preserve">available at </w:t>
      </w:r>
      <w:hyperlink r:id="rId550" w:history="1">
        <w:r w:rsidRPr="00D40600">
          <w:rPr>
            <w:rStyle w:val="Hyperlink"/>
          </w:rPr>
          <w:t>http://www.whitehouse.gov/the-press-office/2011/02/10/president-obama-details-plan-win-future-through-expanded-wireless-access</w:t>
        </w:r>
      </w:hyperlink>
      <w:r w:rsidRPr="00D40600">
        <w:t xml:space="preserve">  (visited Sept. 10, 2012)</w:t>
      </w:r>
      <w:r>
        <w:t>.</w:t>
      </w:r>
    </w:p>
  </w:footnote>
  <w:footnote w:id="1220">
    <w:p w:rsidR="00EC7CF3" w:rsidRDefault="00EC7CF3" w:rsidP="00FC6876">
      <w:pPr>
        <w:pStyle w:val="FootnoteText"/>
      </w:pPr>
      <w:r w:rsidRPr="00D40600">
        <w:rPr>
          <w:rStyle w:val="FootnoteReference"/>
          <w:sz w:val="20"/>
        </w:rPr>
        <w:footnoteRef/>
      </w:r>
      <w:r w:rsidRPr="00D40600">
        <w:t xml:space="preserve"> </w:t>
      </w:r>
      <w:r w:rsidRPr="00D40600">
        <w:rPr>
          <w:i/>
          <w:iCs/>
        </w:rPr>
        <w:t>See</w:t>
      </w:r>
      <w:r w:rsidRPr="00D40600">
        <w:t xml:space="preserve"> NTCA, </w:t>
      </w:r>
      <w:r w:rsidRPr="00D40600">
        <w:rPr>
          <w:i/>
          <w:iCs/>
        </w:rPr>
        <w:t>NTCA 2011 Wireless Survey Report</w:t>
      </w:r>
      <w:r w:rsidRPr="00D40600">
        <w:t>,</w:t>
      </w:r>
      <w:r w:rsidRPr="00D40600">
        <w:rPr>
          <w:i/>
          <w:iCs/>
        </w:rPr>
        <w:t xml:space="preserve"> 2011 NTCA Wireless Survey</w:t>
      </w:r>
      <w:r w:rsidRPr="00D40600">
        <w:t xml:space="preserve">  Aug. 2011, at 3, </w:t>
      </w:r>
      <w:r w:rsidRPr="00D40600">
        <w:rPr>
          <w:i/>
        </w:rPr>
        <w:t>available at</w:t>
      </w:r>
      <w:hyperlink r:id="rId551" w:history="1">
        <w:r w:rsidRPr="00D40600">
          <w:t xml:space="preserve"> </w:t>
        </w:r>
        <w:hyperlink r:id="rId552" w:history="1">
          <w:r w:rsidRPr="00D40600">
            <w:rPr>
              <w:rStyle w:val="Hyperlink"/>
            </w:rPr>
            <w:t>https://www.ntca.org/images/stories/Documents/Advocacy/SurveyReports/2011ntcawirelesssurveyreport.pdf</w:t>
          </w:r>
        </w:hyperlink>
      </w:hyperlink>
      <w:r w:rsidRPr="00D40600">
        <w:t xml:space="preserve"> (visited Oct. 16, 2012)</w:t>
      </w:r>
      <w:r>
        <w:t>.</w:t>
      </w:r>
    </w:p>
  </w:footnote>
  <w:footnote w:id="1221">
    <w:p w:rsidR="00EC7CF3" w:rsidRDefault="00EC7CF3" w:rsidP="00FC6876">
      <w:pPr>
        <w:pStyle w:val="FootnoteText"/>
      </w:pPr>
      <w:r w:rsidRPr="00D40600">
        <w:rPr>
          <w:rStyle w:val="FootnoteReference"/>
          <w:sz w:val="20"/>
        </w:rPr>
        <w:footnoteRef/>
      </w:r>
      <w:r w:rsidRPr="00D40600">
        <w:t xml:space="preserve"> </w:t>
      </w:r>
      <w:r w:rsidRPr="00D40600">
        <w:rPr>
          <w:i/>
          <w:iCs/>
        </w:rPr>
        <w:t>2011 NTCA Wireless Survey</w:t>
      </w:r>
      <w:r w:rsidRPr="00D40600">
        <w:rPr>
          <w:iCs/>
        </w:rPr>
        <w:t>, at 5</w:t>
      </w:r>
      <w:r w:rsidRPr="00D40600">
        <w:t>.</w:t>
      </w:r>
    </w:p>
  </w:footnote>
  <w:footnote w:id="1222">
    <w:p w:rsidR="00EC7CF3" w:rsidRDefault="00EC7CF3" w:rsidP="00FC6876">
      <w:pPr>
        <w:pStyle w:val="FootnoteText"/>
      </w:pPr>
      <w:r w:rsidRPr="00D40600">
        <w:rPr>
          <w:rStyle w:val="FootnoteReference"/>
          <w:sz w:val="20"/>
        </w:rPr>
        <w:footnoteRef/>
      </w:r>
      <w:r w:rsidRPr="00D40600">
        <w:t xml:space="preserve"> </w:t>
      </w:r>
      <w:r w:rsidRPr="00D40600">
        <w:rPr>
          <w:i/>
          <w:iCs/>
        </w:rPr>
        <w:t>2011 NTCA Wireless Survey</w:t>
      </w:r>
      <w:r w:rsidRPr="00D40600">
        <w:rPr>
          <w:iCs/>
        </w:rPr>
        <w:t>, at 8</w:t>
      </w:r>
      <w:r w:rsidRPr="00D40600">
        <w:t>.</w:t>
      </w:r>
    </w:p>
  </w:footnote>
  <w:footnote w:id="1223">
    <w:p w:rsidR="00EC7CF3" w:rsidRDefault="00EC7CF3" w:rsidP="00FC6876">
      <w:pPr>
        <w:pStyle w:val="FootnoteText"/>
      </w:pPr>
      <w:r w:rsidRPr="00D40600">
        <w:rPr>
          <w:rStyle w:val="FootnoteReference"/>
          <w:sz w:val="20"/>
        </w:rPr>
        <w:footnoteRef/>
      </w:r>
      <w:r w:rsidRPr="00D40600">
        <w:t xml:space="preserve"> </w:t>
      </w:r>
      <w:r w:rsidRPr="00D40600">
        <w:rPr>
          <w:i/>
          <w:iCs/>
        </w:rPr>
        <w:t>2011 NTCA Wireless Survey</w:t>
      </w:r>
      <w:r w:rsidRPr="00D40600">
        <w:rPr>
          <w:iCs/>
        </w:rPr>
        <w:t>, at 13-14</w:t>
      </w:r>
      <w:r w:rsidRPr="00D40600">
        <w:t>.</w:t>
      </w:r>
    </w:p>
  </w:footnote>
  <w:footnote w:id="1224">
    <w:p w:rsidR="00EC7CF3" w:rsidRDefault="00EC7CF3" w:rsidP="00FC6876">
      <w:pPr>
        <w:pStyle w:val="FootnoteText"/>
      </w:pPr>
      <w:r w:rsidRPr="00D40600">
        <w:rPr>
          <w:rStyle w:val="FootnoteReference"/>
          <w:sz w:val="20"/>
        </w:rPr>
        <w:footnoteRef/>
      </w:r>
      <w:r w:rsidRPr="00D40600">
        <w:t xml:space="preserve"> </w:t>
      </w:r>
      <w:r w:rsidRPr="00D40600">
        <w:rPr>
          <w:i/>
          <w:iCs/>
        </w:rPr>
        <w:t>2011 NTCA Wireless Survey</w:t>
      </w:r>
      <w:r w:rsidRPr="00D40600">
        <w:rPr>
          <w:iCs/>
        </w:rPr>
        <w:t>, at 11-12</w:t>
      </w:r>
      <w:r w:rsidRPr="00D40600">
        <w:t>.</w:t>
      </w:r>
    </w:p>
  </w:footnote>
  <w:footnote w:id="1225">
    <w:p w:rsidR="00EC7CF3" w:rsidRDefault="00EC7CF3" w:rsidP="00FC6876">
      <w:pPr>
        <w:pStyle w:val="FootnoteText"/>
      </w:pPr>
      <w:r w:rsidRPr="00D40600">
        <w:rPr>
          <w:rStyle w:val="FootnoteReference"/>
          <w:sz w:val="20"/>
        </w:rPr>
        <w:footnoteRef/>
      </w:r>
      <w:r w:rsidRPr="00D40600">
        <w:t xml:space="preserve"> </w:t>
      </w:r>
      <w:r w:rsidRPr="00D40600">
        <w:rPr>
          <w:i/>
          <w:iCs/>
        </w:rPr>
        <w:t>2011 NTCA Wireless Survey</w:t>
      </w:r>
      <w:r w:rsidRPr="00D40600">
        <w:rPr>
          <w:iCs/>
        </w:rPr>
        <w:t>, at 10</w:t>
      </w:r>
      <w:r w:rsidRPr="00D40600">
        <w:t>.</w:t>
      </w:r>
    </w:p>
  </w:footnote>
  <w:footnote w:id="1226">
    <w:p w:rsidR="00EC7CF3" w:rsidRDefault="00EC7CF3" w:rsidP="00FC6876">
      <w:pPr>
        <w:pStyle w:val="FootnoteText"/>
      </w:pPr>
      <w:r w:rsidRPr="00D40600">
        <w:rPr>
          <w:rStyle w:val="FootnoteReference"/>
          <w:sz w:val="20"/>
        </w:rPr>
        <w:footnoteRef/>
      </w:r>
      <w:r w:rsidRPr="00D40600">
        <w:t xml:space="preserve"> </w:t>
      </w:r>
      <w:r w:rsidRPr="00D40600">
        <w:rPr>
          <w:i/>
          <w:iCs/>
        </w:rPr>
        <w:t>2011 NTCA Wireless Survey</w:t>
      </w:r>
      <w:r w:rsidRPr="00D40600">
        <w:rPr>
          <w:iCs/>
        </w:rPr>
        <w:t>, at 10</w:t>
      </w:r>
      <w:r w:rsidRPr="00D40600">
        <w:t>.</w:t>
      </w:r>
    </w:p>
  </w:footnote>
  <w:footnote w:id="1227">
    <w:p w:rsidR="00EC7CF3" w:rsidRDefault="00EC7CF3" w:rsidP="00FC6876">
      <w:pPr>
        <w:pStyle w:val="FootnoteText"/>
      </w:pPr>
      <w:r w:rsidRPr="00D40600">
        <w:rPr>
          <w:rStyle w:val="FootnoteReference"/>
          <w:sz w:val="20"/>
        </w:rPr>
        <w:footnoteRef/>
      </w:r>
      <w:r w:rsidRPr="00D40600">
        <w:t xml:space="preserve"> </w:t>
      </w:r>
      <w:r w:rsidRPr="00D40600">
        <w:rPr>
          <w:i/>
          <w:iCs/>
        </w:rPr>
        <w:t>2011 NTCA Wireless Survey</w:t>
      </w:r>
      <w:r w:rsidRPr="00D40600">
        <w:rPr>
          <w:iCs/>
        </w:rPr>
        <w:t xml:space="preserve">, at 14; NTCA, </w:t>
      </w:r>
      <w:r w:rsidRPr="00D40600">
        <w:rPr>
          <w:i/>
          <w:iCs/>
        </w:rPr>
        <w:t>NTCA 2009 Wireless Survey Report</w:t>
      </w:r>
      <w:r w:rsidRPr="00D40600">
        <w:rPr>
          <w:iCs/>
        </w:rPr>
        <w:t>, Apr. 2010, at 14</w:t>
      </w:r>
      <w:r w:rsidRPr="00D40600">
        <w:t>.</w:t>
      </w:r>
    </w:p>
  </w:footnote>
  <w:footnote w:id="1228">
    <w:p w:rsidR="00EC7CF3" w:rsidRDefault="00EC7CF3" w:rsidP="00FC6876">
      <w:pPr>
        <w:pStyle w:val="FootnoteText"/>
      </w:pPr>
      <w:r w:rsidRPr="00D40600">
        <w:rPr>
          <w:rStyle w:val="FootnoteReference"/>
          <w:sz w:val="20"/>
        </w:rPr>
        <w:footnoteRef/>
      </w:r>
      <w:r w:rsidRPr="00D40600">
        <w:t xml:space="preserve"> </w:t>
      </w:r>
      <w:r w:rsidRPr="00D40600">
        <w:rPr>
          <w:i/>
          <w:iCs/>
        </w:rPr>
        <w:t>Id</w:t>
      </w:r>
      <w:r w:rsidRPr="00D40600">
        <w:t>.</w:t>
      </w:r>
    </w:p>
  </w:footnote>
  <w:footnote w:id="1229">
    <w:p w:rsidR="00EC7CF3" w:rsidRDefault="00EC7CF3" w:rsidP="00FC6876">
      <w:pPr>
        <w:pStyle w:val="FootnoteText"/>
      </w:pPr>
      <w:r w:rsidRPr="00D40600">
        <w:rPr>
          <w:rStyle w:val="FootnoteReference"/>
          <w:sz w:val="20"/>
        </w:rPr>
        <w:footnoteRef/>
      </w:r>
      <w:r w:rsidRPr="00D40600">
        <w:t xml:space="preserve"> In accordance with established practice in using international benchmarking to assess effective competition in mobile markets, the comparison of mobile market performance is restricted to Western Europe and parts of the Asia-Pacific in order to ensure that the countries being compared are roughly similar to the United States with regard to their level of economic and telecommunications infrastructure development.  </w:t>
      </w:r>
      <w:r w:rsidRPr="00D40600">
        <w:rPr>
          <w:i/>
        </w:rPr>
        <w:t>See, for example</w:t>
      </w:r>
      <w:r w:rsidRPr="00D40600">
        <w:t xml:space="preserve">, UK regulator Oftel’s review of effective competition in the mobile market: </w:t>
      </w:r>
      <w:r w:rsidRPr="00D40600">
        <w:rPr>
          <w:i/>
        </w:rPr>
        <w:t>Effective Competition Review: Mobile</w:t>
      </w:r>
      <w:r w:rsidRPr="00D40600">
        <w:t>, Office of Telecommunications, Feb. 2001, at 7.</w:t>
      </w:r>
    </w:p>
  </w:footnote>
  <w:footnote w:id="1230">
    <w:p w:rsidR="00EC7CF3" w:rsidRDefault="00EC7CF3" w:rsidP="00FC6876">
      <w:pPr>
        <w:rPr>
          <w:sz w:val="20"/>
        </w:rPr>
      </w:pPr>
      <w:r w:rsidRPr="00D40600">
        <w:rPr>
          <w:rStyle w:val="FootnoteReference"/>
          <w:sz w:val="20"/>
        </w:rPr>
        <w:footnoteRef/>
      </w:r>
      <w:r w:rsidRPr="00D40600">
        <w:rPr>
          <w:sz w:val="20"/>
        </w:rPr>
        <w:t xml:space="preserve"> </w:t>
      </w:r>
      <w:r w:rsidRPr="00D40600">
        <w:rPr>
          <w:i/>
          <w:sz w:val="20"/>
        </w:rPr>
        <w:t>See</w:t>
      </w:r>
      <w:r w:rsidRPr="00D40600">
        <w:rPr>
          <w:sz w:val="20"/>
        </w:rPr>
        <w:t xml:space="preserve"> Glen Campbell </w:t>
      </w:r>
      <w:r w:rsidRPr="00D40600">
        <w:rPr>
          <w:i/>
          <w:sz w:val="20"/>
        </w:rPr>
        <w:t>et al.</w:t>
      </w:r>
      <w:r w:rsidRPr="00D40600">
        <w:rPr>
          <w:sz w:val="20"/>
        </w:rPr>
        <w:t xml:space="preserve">, </w:t>
      </w:r>
      <w:r w:rsidRPr="00D40600">
        <w:rPr>
          <w:i/>
          <w:sz w:val="20"/>
        </w:rPr>
        <w:t xml:space="preserve">Global Wireless Matrix 4Q10, </w:t>
      </w:r>
      <w:r w:rsidRPr="00D40600">
        <w:rPr>
          <w:sz w:val="20"/>
        </w:rPr>
        <w:t>Bank of America Merrill Lynch, Global Equity Research, Apr. 28, 2011 (</w:t>
      </w:r>
      <w:r w:rsidRPr="00D40600">
        <w:rPr>
          <w:i/>
          <w:sz w:val="20"/>
        </w:rPr>
        <w:t>Global Wireless Matrix 4Q10</w:t>
      </w:r>
      <w:r w:rsidRPr="00D40600">
        <w:rPr>
          <w:sz w:val="20"/>
        </w:rPr>
        <w:t xml:space="preserve">); Glen Campbell </w:t>
      </w:r>
      <w:r w:rsidRPr="00D40600">
        <w:rPr>
          <w:i/>
          <w:sz w:val="20"/>
        </w:rPr>
        <w:t>et al.</w:t>
      </w:r>
      <w:r w:rsidRPr="00D40600">
        <w:rPr>
          <w:sz w:val="20"/>
        </w:rPr>
        <w:t xml:space="preserve">, </w:t>
      </w:r>
      <w:r w:rsidRPr="00D40600">
        <w:rPr>
          <w:i/>
          <w:sz w:val="20"/>
        </w:rPr>
        <w:t xml:space="preserve">Global Wireless Matrix 4Q11, </w:t>
      </w:r>
      <w:r w:rsidRPr="00D40600">
        <w:rPr>
          <w:sz w:val="20"/>
        </w:rPr>
        <w:t>Bank of America Merrill Lynch, Global Equity Research, Apr. 19, 2012 (</w:t>
      </w:r>
      <w:r w:rsidRPr="00D40600">
        <w:rPr>
          <w:i/>
          <w:sz w:val="20"/>
        </w:rPr>
        <w:t>Global Wireless Matrix 4Q11</w:t>
      </w:r>
      <w:r w:rsidRPr="00D40600">
        <w:rPr>
          <w:sz w:val="20"/>
        </w:rPr>
        <w:t xml:space="preserve">).  The Merrill Lynch HHI calculations are used in this Report only for the purposes of the international comparison.  The HHI calculation for the United States in Section III.D.2, </w:t>
      </w:r>
      <w:r w:rsidRPr="00D40600">
        <w:rPr>
          <w:i/>
          <w:sz w:val="20"/>
        </w:rPr>
        <w:t>supra</w:t>
      </w:r>
      <w:r w:rsidRPr="00D40600">
        <w:rPr>
          <w:sz w:val="20"/>
        </w:rPr>
        <w:t xml:space="preserve">, differs from the Merrill Lynch estimate discussed in Section </w:t>
      </w:r>
      <w:r w:rsidR="00951E9B">
        <w:fldChar w:fldCharType="begin"/>
      </w:r>
      <w:r w:rsidR="00951E9B">
        <w:instrText xml:space="preserve"> REF _Ref261523033 \w  \* MERGEFORMAT </w:instrText>
      </w:r>
      <w:r w:rsidR="00951E9B">
        <w:fldChar w:fldCharType="separate"/>
      </w:r>
      <w:r w:rsidRPr="00CA3AC6">
        <w:rPr>
          <w:sz w:val="20"/>
        </w:rPr>
        <w:t>X.D</w:t>
      </w:r>
      <w:r w:rsidR="00951E9B">
        <w:rPr>
          <w:sz w:val="20"/>
        </w:rPr>
        <w:fldChar w:fldCharType="end"/>
      </w:r>
      <w:r w:rsidRPr="00D40600">
        <w:rPr>
          <w:sz w:val="20"/>
        </w:rPr>
        <w:t xml:space="preserve">, </w:t>
      </w:r>
      <w:r w:rsidR="00951E9B">
        <w:fldChar w:fldCharType="begin"/>
      </w:r>
      <w:r w:rsidR="00951E9B">
        <w:instrText xml:space="preserve"> REF _Ref261523035  \* MERGEFORMAT </w:instrText>
      </w:r>
      <w:r w:rsidR="00951E9B">
        <w:fldChar w:fldCharType="separate"/>
      </w:r>
      <w:r w:rsidRPr="00CA3AC6">
        <w:rPr>
          <w:sz w:val="20"/>
        </w:rPr>
        <w:t>Concentration</w:t>
      </w:r>
      <w:r w:rsidR="00951E9B">
        <w:rPr>
          <w:sz w:val="20"/>
        </w:rPr>
        <w:fldChar w:fldCharType="end"/>
      </w:r>
      <w:r w:rsidRPr="00D40600">
        <w:rPr>
          <w:sz w:val="20"/>
        </w:rPr>
        <w:t xml:space="preserve">, </w:t>
      </w:r>
      <w:r w:rsidRPr="00D40600">
        <w:rPr>
          <w:i/>
          <w:sz w:val="20"/>
        </w:rPr>
        <w:t>infra</w:t>
      </w:r>
      <w:r w:rsidRPr="00D40600">
        <w:rPr>
          <w:sz w:val="20"/>
        </w:rPr>
        <w:t>.</w:t>
      </w:r>
    </w:p>
    <w:p w:rsidR="00EC7CF3" w:rsidRPr="00604BB5" w:rsidRDefault="00EC7CF3" w:rsidP="00FC6876">
      <w:pPr>
        <w:rPr>
          <w:sz w:val="12"/>
          <w:szCs w:val="12"/>
        </w:rPr>
      </w:pPr>
    </w:p>
  </w:footnote>
  <w:footnote w:id="1231">
    <w:p w:rsidR="00EC7CF3" w:rsidRDefault="00EC7CF3" w:rsidP="00FC6876">
      <w:pPr>
        <w:pStyle w:val="FootnoteText"/>
      </w:pPr>
      <w:r w:rsidRPr="00D40600">
        <w:rPr>
          <w:rStyle w:val="FootnoteReference"/>
          <w:sz w:val="20"/>
        </w:rPr>
        <w:footnoteRef/>
      </w:r>
      <w:r w:rsidRPr="00D40600">
        <w:t xml:space="preserve"> </w:t>
      </w:r>
      <w:r w:rsidRPr="00D40600">
        <w:rPr>
          <w:i/>
        </w:rPr>
        <w:t xml:space="preserve">See Thirteenth Report, </w:t>
      </w:r>
      <w:r w:rsidRPr="00D40600">
        <w:t>24 FCC Rcd at 6290 ¶ 223.</w:t>
      </w:r>
    </w:p>
  </w:footnote>
  <w:footnote w:id="1232">
    <w:p w:rsidR="00EC7CF3" w:rsidRDefault="00EC7CF3" w:rsidP="00FC6876">
      <w:pPr>
        <w:pStyle w:val="FootnoteText"/>
      </w:pPr>
      <w:r w:rsidRPr="00D40600">
        <w:rPr>
          <w:rStyle w:val="FootnoteReference"/>
          <w:sz w:val="20"/>
        </w:rPr>
        <w:footnoteRef/>
      </w:r>
      <w:r w:rsidRPr="00D40600">
        <w:t xml:space="preserve"> </w:t>
      </w:r>
      <w:r w:rsidRPr="00D40600">
        <w:rPr>
          <w:i/>
        </w:rPr>
        <w:t>Global Wireless Matrix 4Q11.</w:t>
      </w:r>
    </w:p>
  </w:footnote>
  <w:footnote w:id="1233">
    <w:p w:rsidR="00EC7CF3" w:rsidRDefault="00EC7CF3" w:rsidP="00FC6876">
      <w:pPr>
        <w:pStyle w:val="FootnoteText"/>
      </w:pPr>
      <w:r w:rsidRPr="00D40600">
        <w:rPr>
          <w:rStyle w:val="FootnoteReference"/>
          <w:sz w:val="20"/>
        </w:rPr>
        <w:footnoteRef/>
      </w:r>
      <w:r w:rsidRPr="00D40600">
        <w:t xml:space="preserve"> </w:t>
      </w:r>
      <w:r w:rsidRPr="00D40600">
        <w:rPr>
          <w:i/>
        </w:rPr>
        <w:t>See</w:t>
      </w:r>
      <w:r w:rsidRPr="00D40600">
        <w:t xml:space="preserve"> Section </w:t>
      </w:r>
      <w:r w:rsidR="00951E9B">
        <w:fldChar w:fldCharType="begin"/>
      </w:r>
      <w:r w:rsidR="00951E9B">
        <w:instrText xml:space="preserve"> REF _Ref259801574 \r  \* MERGEFORMAT </w:instrText>
      </w:r>
      <w:r w:rsidR="00951E9B">
        <w:fldChar w:fldCharType="separate"/>
      </w:r>
      <w:r>
        <w:t>V.E.1</w:t>
      </w:r>
      <w:r w:rsidR="00951E9B">
        <w:fldChar w:fldCharType="end"/>
      </w:r>
      <w:r w:rsidRPr="00D40600">
        <w:t xml:space="preserve">, </w:t>
      </w:r>
      <w:r w:rsidR="00951E9B">
        <w:fldChar w:fldCharType="begin"/>
      </w:r>
      <w:r w:rsidR="00951E9B">
        <w:instrText xml:space="preserve"> REF _Ref259801579  \* MERGEFORMAT </w:instrText>
      </w:r>
      <w:r w:rsidR="00951E9B">
        <w:fldChar w:fldCharType="separate"/>
      </w:r>
      <w:r w:rsidRPr="00CA3AC6">
        <w:t>Price Metrics</w:t>
      </w:r>
      <w:r w:rsidR="00951E9B">
        <w:fldChar w:fldCharType="end"/>
      </w:r>
      <w:r w:rsidRPr="00D40600">
        <w:t xml:space="preserve">, </w:t>
      </w:r>
      <w:r w:rsidRPr="00D40600">
        <w:rPr>
          <w:i/>
        </w:rPr>
        <w:t>supra</w:t>
      </w:r>
      <w:r w:rsidRPr="00D40600">
        <w:t xml:space="preserve">.  Average RPM is calculated by dividing monthly voice-only ARPU by MOUs.  Service revenues included in ARPU reflect the fees mobile operators collect from other network operators for terminating incoming calls on their networks as well as monthly service charges and usage fees paid by mobile subscribers.  Merrill Lynch has noted that these data have certain limitations for comparing countries that use calling party pays (CPP) versus mobile party pays (also known as receiving party pays).  The figures for MOUs may be somewhat understated, and the revenue figures used to calculate ARPM may be somewhat overstated, in markets where CPP is used relative to non-CPP markets.  MOUs figures may be somewhat understated in CPP markets due to the double-counting of same-network (“on-net”) mobile-to-mobile minutes in non-CPP markets such as the U.S., i.e. each minute of an on-net call is billed to both the caller and the receiver under the mobile party pays system, whereas under CPP each on-net minute is billed only to the calling party, and therefore counted only once.  </w:t>
      </w:r>
      <w:r w:rsidRPr="00D40600">
        <w:rPr>
          <w:i/>
        </w:rPr>
        <w:t>See Tenth Report</w:t>
      </w:r>
      <w:r w:rsidRPr="00D40600">
        <w:t>, 20 FCC Rcd at 15976, n.457.  In addition, the revenue figures used to calculate ARPU may be somewhat overstated in CPP markets relative to non-CPP markets (due to double-counting of mobile termination revenues for off-net mobile-to-mobile calls in CPP markets).  Consequently, the RPM figures (ARPU divided by MOUs) probably overstate the difference between RPM in the United States and CPP markets.  The potential for service revenues to be somewhat overstated in CPP markets was brought to the Commission’s attention by Professor Stephen Littlechild, and confirmed by Merrill Lynch through e-mail correspondence.</w:t>
      </w:r>
    </w:p>
  </w:footnote>
  <w:footnote w:id="1234">
    <w:p w:rsidR="00EC7CF3" w:rsidRDefault="00EC7CF3" w:rsidP="00FC6876">
      <w:pPr>
        <w:pStyle w:val="FootnoteText"/>
      </w:pPr>
      <w:r w:rsidRPr="00D40600">
        <w:rPr>
          <w:rStyle w:val="FootnoteReference"/>
          <w:sz w:val="20"/>
        </w:rPr>
        <w:footnoteRef/>
      </w:r>
      <w:r w:rsidRPr="00D40600">
        <w:t xml:space="preserve"> </w:t>
      </w:r>
      <w:r w:rsidRPr="00D40600">
        <w:rPr>
          <w:i/>
        </w:rPr>
        <w:t>Global Wireless Matrix 4Q11</w:t>
      </w:r>
      <w:r w:rsidRPr="00D40600">
        <w:t>, at 2.</w:t>
      </w:r>
    </w:p>
  </w:footnote>
  <w:footnote w:id="1235">
    <w:p w:rsidR="00EC7CF3" w:rsidRDefault="00EC7CF3" w:rsidP="00FC6876">
      <w:pPr>
        <w:pStyle w:val="FootnoteText"/>
      </w:pPr>
      <w:r w:rsidRPr="00D40600">
        <w:rPr>
          <w:rStyle w:val="FootnoteReference"/>
          <w:sz w:val="20"/>
        </w:rPr>
        <w:footnoteRef/>
      </w:r>
      <w:r w:rsidRPr="00D40600">
        <w:t xml:space="preserve"> </w:t>
      </w:r>
      <w:r w:rsidRPr="00D40600">
        <w:rPr>
          <w:i/>
        </w:rPr>
        <w:t>Global Wireless Matrix 4Q11</w:t>
      </w:r>
      <w:r w:rsidRPr="00D40600">
        <w:t>, at 2.  In e-mail correspondence, Merrill Lynch has indicated that RPM figures may overstate the difference between RPM in CPP and non-CPP markets by about 15 percent due to the two factors mentioned above.</w:t>
      </w:r>
    </w:p>
  </w:footnote>
  <w:footnote w:id="1236">
    <w:p w:rsidR="00EC7CF3" w:rsidRDefault="00EC7CF3" w:rsidP="00FC6876">
      <w:pPr>
        <w:pStyle w:val="FootnoteText"/>
      </w:pPr>
      <w:r w:rsidRPr="00D40600">
        <w:rPr>
          <w:rStyle w:val="FootnoteReference"/>
          <w:sz w:val="20"/>
        </w:rPr>
        <w:footnoteRef/>
      </w:r>
      <w:r w:rsidRPr="00D40600">
        <w:t xml:space="preserve"> </w:t>
      </w:r>
      <w:r w:rsidRPr="00D40600">
        <w:rPr>
          <w:i/>
        </w:rPr>
        <w:t>Global Wireless Matrix 4Q11</w:t>
      </w:r>
      <w:r w:rsidRPr="00D40600">
        <w:t>, at 2.</w:t>
      </w:r>
    </w:p>
  </w:footnote>
  <w:footnote w:id="1237">
    <w:p w:rsidR="00EC7CF3" w:rsidRDefault="00EC7CF3" w:rsidP="00FC6876">
      <w:pPr>
        <w:pStyle w:val="FootnoteText"/>
      </w:pPr>
      <w:r w:rsidRPr="00D40600">
        <w:rPr>
          <w:rStyle w:val="FootnoteReference"/>
          <w:sz w:val="20"/>
        </w:rPr>
        <w:footnoteRef/>
      </w:r>
      <w:r w:rsidRPr="00D40600">
        <w:t xml:space="preserve"> </w:t>
      </w:r>
      <w:r w:rsidRPr="00D40600">
        <w:rPr>
          <w:i/>
        </w:rPr>
        <w:t>Global Wireless Matrix 4Q11</w:t>
      </w:r>
      <w:r w:rsidRPr="00D40600">
        <w:t xml:space="preserve">, at 2.  This is higher than the 696 average monthly MOUs estimated by CTIA for the second half of 2009.  </w:t>
      </w:r>
      <w:r w:rsidRPr="00D40600">
        <w:rPr>
          <w:i/>
        </w:rPr>
        <w:t>See</w:t>
      </w:r>
      <w:r w:rsidRPr="00D40600">
        <w:t xml:space="preserve"> Section </w:t>
      </w:r>
      <w:r w:rsidR="00951E9B">
        <w:fldChar w:fldCharType="begin"/>
      </w:r>
      <w:r w:rsidR="00951E9B">
        <w:instrText xml:space="preserve"> REF _Ref287351328 \r  \* MERGEFORMAT </w:instrText>
      </w:r>
      <w:r w:rsidR="00951E9B">
        <w:fldChar w:fldCharType="separate"/>
      </w:r>
      <w:r>
        <w:t>V.D.1</w:t>
      </w:r>
      <w:r w:rsidR="00951E9B">
        <w:fldChar w:fldCharType="end"/>
      </w:r>
      <w:r w:rsidRPr="00D40600">
        <w:t xml:space="preserve">, </w:t>
      </w:r>
      <w:r w:rsidR="00951E9B">
        <w:fldChar w:fldCharType="begin"/>
      </w:r>
      <w:r w:rsidR="00951E9B">
        <w:instrText xml:space="preserve"> REF _Ref287351343  \* MERGEFORMAT </w:instrText>
      </w:r>
      <w:r w:rsidR="00951E9B">
        <w:fldChar w:fldCharType="separate"/>
      </w:r>
      <w:r w:rsidRPr="00CA3AC6">
        <w:t>Mobile Voice</w:t>
      </w:r>
      <w:r w:rsidR="00951E9B">
        <w:fldChar w:fldCharType="end"/>
      </w:r>
      <w:r w:rsidRPr="00D40600">
        <w:t xml:space="preserve">, </w:t>
      </w:r>
      <w:r w:rsidRPr="00D40600">
        <w:rPr>
          <w:i/>
        </w:rPr>
        <w:t>supra</w:t>
      </w:r>
      <w:r w:rsidRPr="00D40600">
        <w:t xml:space="preserve">.  For purposes of comparing metrics in different countries, average MOUs include both incoming and outgoing minutes, and usually exclude traffic related to mobile data services.  </w:t>
      </w:r>
    </w:p>
  </w:footnote>
  <w:footnote w:id="1238">
    <w:p w:rsidR="00EC7CF3" w:rsidRDefault="00EC7CF3" w:rsidP="00FC6876">
      <w:pPr>
        <w:pStyle w:val="FootnoteText"/>
      </w:pPr>
      <w:r w:rsidRPr="00D40600">
        <w:rPr>
          <w:rStyle w:val="FootnoteReference"/>
          <w:sz w:val="20"/>
        </w:rPr>
        <w:footnoteRef/>
      </w:r>
      <w:r w:rsidRPr="00D40600">
        <w:t xml:space="preserve"> </w:t>
      </w:r>
      <w:r w:rsidRPr="00D40600">
        <w:rPr>
          <w:i/>
        </w:rPr>
        <w:t>Global Wireless Matrix 4Q11</w:t>
      </w:r>
      <w:r w:rsidRPr="00D40600">
        <w:t xml:space="preserve">, at 2. </w:t>
      </w:r>
    </w:p>
  </w:footnote>
  <w:footnote w:id="1239">
    <w:p w:rsidR="00EC7CF3" w:rsidRDefault="00EC7CF3" w:rsidP="00FC6876">
      <w:pPr>
        <w:pStyle w:val="FootnoteText"/>
      </w:pPr>
      <w:r w:rsidRPr="00D40600">
        <w:rPr>
          <w:rStyle w:val="FootnoteReference"/>
          <w:sz w:val="20"/>
        </w:rPr>
        <w:footnoteRef/>
      </w:r>
      <w:r w:rsidRPr="00D40600">
        <w:t xml:space="preserve"> </w:t>
      </w:r>
      <w:r w:rsidRPr="00D40600">
        <w:rPr>
          <w:i/>
        </w:rPr>
        <w:t>Global Wireless Matrix 4Q11</w:t>
      </w:r>
      <w:r w:rsidRPr="00D40600">
        <w:t>, at 2.</w:t>
      </w:r>
    </w:p>
  </w:footnote>
  <w:footnote w:id="1240">
    <w:p w:rsidR="00EC7CF3" w:rsidRDefault="00EC7CF3" w:rsidP="00FC6876">
      <w:pPr>
        <w:pStyle w:val="FootnoteText"/>
      </w:pPr>
      <w:r w:rsidRPr="00D40600">
        <w:rPr>
          <w:rStyle w:val="FootnoteReference"/>
          <w:sz w:val="20"/>
        </w:rPr>
        <w:footnoteRef/>
      </w:r>
      <w:r w:rsidRPr="00D40600">
        <w:t xml:space="preserve"> </w:t>
      </w:r>
      <w:r w:rsidRPr="00D40600">
        <w:rPr>
          <w:i/>
        </w:rPr>
        <w:t>Global Wireless Matrix 4Q11</w:t>
      </w:r>
      <w:r w:rsidRPr="00D40600">
        <w:t>, at 2.</w:t>
      </w:r>
    </w:p>
  </w:footnote>
  <w:footnote w:id="1241">
    <w:p w:rsidR="00EC7CF3" w:rsidRDefault="00EC7CF3" w:rsidP="00FC6876">
      <w:pPr>
        <w:pStyle w:val="FootnoteText"/>
      </w:pPr>
      <w:r w:rsidRPr="00D40600">
        <w:rPr>
          <w:rStyle w:val="FootnoteReference"/>
          <w:sz w:val="20"/>
        </w:rPr>
        <w:footnoteRef/>
      </w:r>
      <w:r w:rsidRPr="00D40600">
        <w:t xml:space="preserve"> </w:t>
      </w:r>
      <w:r w:rsidRPr="00D40600">
        <w:rPr>
          <w:i/>
        </w:rPr>
        <w:t>Global Wireless Matrix 4Q11</w:t>
      </w:r>
      <w:r w:rsidRPr="00D40600">
        <w:t xml:space="preserve">, at 2.  Reported mobile subscriber figures and penetration may be overstated in some countries, particularly those with a high percentage of prepaid subscribers, due in part to a combination of factors: (1) slow clearing out of inactive users (for example, subscribers who have switched service providers) from their former provider’s subscriber base; (2) multiple device ownership (for example, users of a Blackberry plus a mobile phone); and (3) multiple SIM card ownership (for example, users who switch between operators in order to take advantage of different tariffs at different times of the day or week).  </w:t>
      </w:r>
      <w:r w:rsidRPr="00D40600">
        <w:rPr>
          <w:i/>
        </w:rPr>
        <w:t xml:space="preserve">See </w:t>
      </w:r>
      <w:r w:rsidRPr="00D40600">
        <w:t xml:space="preserve">Jeff Kvaal </w:t>
      </w:r>
      <w:r w:rsidRPr="00D40600">
        <w:rPr>
          <w:i/>
        </w:rPr>
        <w:t>et al</w:t>
      </w:r>
      <w:r w:rsidRPr="00D40600">
        <w:t xml:space="preserve">., </w:t>
      </w:r>
      <w:r w:rsidRPr="00D40600">
        <w:rPr>
          <w:i/>
        </w:rPr>
        <w:t>Wireless Equipment Industry Update: Strong Net Adds Drive Higher Phone Units</w:t>
      </w:r>
      <w:r w:rsidRPr="00D40600">
        <w:t xml:space="preserve">, Lehman Brothers, Equity Research, Jan. 16, 2007, at 4.  As noted in previous reports, carriers have widely different policies to determine when to cut off inactive subscribers and to remove them from their reported subscriber base.  In addition, it is becoming more prevalent for people to subscribe to multiple mobile service providers.  </w:t>
      </w:r>
      <w:r w:rsidRPr="00D40600">
        <w:rPr>
          <w:i/>
        </w:rPr>
        <w:t xml:space="preserve">See, e.g., Eleventh Report, </w:t>
      </w:r>
      <w:r w:rsidRPr="00D40600">
        <w:t xml:space="preserve">21 FCC Rcd at 11021, ¶ 190 n.506; </w:t>
      </w:r>
      <w:r w:rsidRPr="00D40600">
        <w:rPr>
          <w:i/>
        </w:rPr>
        <w:t>Tenth Report</w:t>
      </w:r>
      <w:r w:rsidRPr="00D40600">
        <w:t xml:space="preserve">, 20 FCC Rcd at 15976, n.452; </w:t>
      </w:r>
      <w:r w:rsidRPr="00D40600">
        <w:rPr>
          <w:i/>
        </w:rPr>
        <w:t>Seventh Report</w:t>
      </w:r>
      <w:r w:rsidRPr="00D40600">
        <w:t xml:space="preserve">, 17 FCC Rcd at 13033, and </w:t>
      </w:r>
      <w:r w:rsidRPr="00D40600">
        <w:rPr>
          <w:i/>
        </w:rPr>
        <w:t>Sixth Report</w:t>
      </w:r>
      <w:r w:rsidRPr="00D40600">
        <w:t xml:space="preserve">, 16 FCC Rcd at 13391. </w:t>
      </w:r>
    </w:p>
  </w:footnote>
  <w:footnote w:id="1242">
    <w:p w:rsidR="00EC7CF3" w:rsidRDefault="00EC7CF3" w:rsidP="00FC6876">
      <w:pPr>
        <w:pStyle w:val="FootnoteText"/>
      </w:pPr>
      <w:r w:rsidRPr="00D40600">
        <w:rPr>
          <w:rStyle w:val="FootnoteReference"/>
          <w:sz w:val="20"/>
        </w:rPr>
        <w:footnoteRef/>
      </w:r>
      <w:r w:rsidRPr="00D40600">
        <w:t xml:space="preserve"> </w:t>
      </w:r>
      <w:r w:rsidRPr="00D40600">
        <w:rPr>
          <w:i/>
        </w:rPr>
        <w:t>See</w:t>
      </w:r>
      <w:r w:rsidRPr="00D40600">
        <w:t xml:space="preserve"> </w:t>
      </w:r>
      <w:r w:rsidRPr="00D40600">
        <w:rPr>
          <w:i/>
        </w:rPr>
        <w:t>Global Wireless Matrix 4Q11</w:t>
      </w:r>
      <w:r w:rsidRPr="00D40600">
        <w:t xml:space="preserve">, at 2-3. </w:t>
      </w:r>
    </w:p>
  </w:footnote>
  <w:footnote w:id="1243">
    <w:p w:rsidR="00EC7CF3" w:rsidRDefault="00EC7CF3" w:rsidP="00FC6876">
      <w:pPr>
        <w:pStyle w:val="FootnoteText"/>
      </w:pPr>
      <w:r w:rsidRPr="00D40600">
        <w:rPr>
          <w:rStyle w:val="FootnoteReference"/>
          <w:sz w:val="20"/>
        </w:rPr>
        <w:footnoteRef/>
      </w:r>
      <w:r w:rsidRPr="00D40600">
        <w:t xml:space="preserve"> </w:t>
      </w:r>
      <w:r w:rsidRPr="00D40600">
        <w:rPr>
          <w:i/>
        </w:rPr>
        <w:t xml:space="preserve">See </w:t>
      </w:r>
      <w:r>
        <w:t>Section III.D</w:t>
      </w:r>
      <w:r w:rsidRPr="00D40600">
        <w:t xml:space="preserve">, Horizontal Concentration, </w:t>
      </w:r>
      <w:r w:rsidRPr="00D40600">
        <w:rPr>
          <w:i/>
        </w:rPr>
        <w:t xml:space="preserve">supra.  </w:t>
      </w:r>
      <w:r w:rsidRPr="00D40600">
        <w:t>For the U.S., the Bank of America Merrill Lynch study calculates the HHI at the national level by summing the squares of the subscriber market shares of the four nationwide operators and the residual subscriber market share of all remaining regional and local operators combined.  This methodology essentially treats all regional and local operators as if they comprised a single fifth competing nationwide operator.  Since a certain percentage of the U.S. population lives in areas with more than five competing operators and a certain percentage lives in areas with less than five, the Merrill Lynch estimate of HHI at the national level overstates concentration in some local geographic markets, while understating concentration in others.</w:t>
      </w:r>
    </w:p>
  </w:footnote>
  <w:footnote w:id="1244">
    <w:p w:rsidR="00EC7CF3" w:rsidRDefault="00EC7CF3" w:rsidP="00FC6876">
      <w:pPr>
        <w:pStyle w:val="FootnoteText"/>
      </w:pPr>
      <w:r w:rsidRPr="00D40600">
        <w:rPr>
          <w:rStyle w:val="FootnoteReference"/>
          <w:sz w:val="20"/>
        </w:rPr>
        <w:footnoteRef/>
      </w:r>
      <w:r w:rsidRPr="00D40600">
        <w:t xml:space="preserve"> </w:t>
      </w:r>
      <w:r w:rsidRPr="00D40600">
        <w:rPr>
          <w:i/>
        </w:rPr>
        <w:t>See</w:t>
      </w:r>
      <w:r w:rsidRPr="00D40600">
        <w:t xml:space="preserve"> </w:t>
      </w:r>
      <w:r w:rsidRPr="00D40600">
        <w:rPr>
          <w:i/>
        </w:rPr>
        <w:t>Global Wireless Matrix 4Q11</w:t>
      </w:r>
      <w:r w:rsidRPr="00D40600">
        <w:t xml:space="preserve">, at 2. </w:t>
      </w:r>
    </w:p>
  </w:footnote>
  <w:footnote w:id="1245">
    <w:p w:rsidR="00EC7CF3" w:rsidRDefault="00EC7CF3" w:rsidP="00FC6876">
      <w:pPr>
        <w:pStyle w:val="FootnoteText"/>
      </w:pPr>
      <w:r w:rsidRPr="00D40600">
        <w:rPr>
          <w:rStyle w:val="FootnoteReference"/>
          <w:sz w:val="20"/>
        </w:rPr>
        <w:footnoteRef/>
      </w:r>
      <w:r w:rsidRPr="00D40600">
        <w:t xml:space="preserve"> </w:t>
      </w:r>
      <w:r w:rsidRPr="00D40600">
        <w:rPr>
          <w:i/>
        </w:rPr>
        <w:t>See</w:t>
      </w:r>
      <w:r w:rsidRPr="00D40600">
        <w:t xml:space="preserve"> </w:t>
      </w:r>
      <w:r w:rsidRPr="00D40600">
        <w:rPr>
          <w:i/>
        </w:rPr>
        <w:t>Merger of T-Mobile UK and Orange UK Cleared by EU Commission</w:t>
      </w:r>
      <w:r w:rsidRPr="00D40600">
        <w:t xml:space="preserve">, Orange, http://newsroom.orange.co.uk/2010/03/01/merger-of-t-mobile-uk-and-orange-uk-cleared-by-eu-commission/ (visited Oct. 14, 2011).  </w:t>
      </w:r>
      <w:r w:rsidRPr="00D40600">
        <w:rPr>
          <w:i/>
        </w:rPr>
        <w:t>See</w:t>
      </w:r>
      <w:r w:rsidRPr="00D40600">
        <w:t xml:space="preserve"> Deutsche Telekom, SEC Form 6-K, For the month of May 2010, at 32.</w:t>
      </w:r>
    </w:p>
  </w:footnote>
  <w:footnote w:id="1246">
    <w:p w:rsidR="00EC7CF3" w:rsidRDefault="00EC7CF3" w:rsidP="00FC6876">
      <w:pPr>
        <w:pStyle w:val="FootnoteText"/>
      </w:pPr>
      <w:r w:rsidRPr="00D40600">
        <w:rPr>
          <w:rStyle w:val="FootnoteReference"/>
          <w:sz w:val="20"/>
        </w:rPr>
        <w:footnoteRef/>
      </w:r>
      <w:r w:rsidRPr="00D40600">
        <w:t xml:space="preserve"> </w:t>
      </w:r>
      <w:r w:rsidRPr="00D40600">
        <w:rPr>
          <w:i/>
        </w:rPr>
        <w:t>See</w:t>
      </w:r>
      <w:r w:rsidRPr="00D40600">
        <w:t xml:space="preserve"> Everything Everywhere, http://everythingeverywhere.com/vision/ (visited Oct. 14, 2011), stating that Everything Everywhere is the parent company of both Orange and T-Mobile in the UK.  </w:t>
      </w:r>
      <w:r w:rsidRPr="00D40600">
        <w:rPr>
          <w:i/>
        </w:rPr>
        <w:t>See</w:t>
      </w:r>
      <w:r w:rsidRPr="00D40600">
        <w:t xml:space="preserve"> also </w:t>
      </w:r>
      <w:r w:rsidRPr="00D40600">
        <w:rPr>
          <w:i/>
        </w:rPr>
        <w:t>Global Wireless Matrix 4Q10</w:t>
      </w:r>
      <w:r w:rsidRPr="00D40600">
        <w:t xml:space="preserve">, at 9.  Orange reports that the T-Mobile and Orange UK brands will continue to operate in the UK for at least 18 months after the completion of the transaction.  </w:t>
      </w:r>
      <w:r w:rsidRPr="00D40600">
        <w:rPr>
          <w:i/>
        </w:rPr>
        <w:t>See</w:t>
      </w:r>
      <w:r w:rsidRPr="00D40600">
        <w:t xml:space="preserve"> footnote </w:t>
      </w:r>
      <w:r>
        <w:fldChar w:fldCharType="begin"/>
      </w:r>
      <w:r>
        <w:instrText xml:space="preserve"> NOTEREF _Ref306361855 \h  \* MERGEFORMAT </w:instrText>
      </w:r>
      <w:r>
        <w:fldChar w:fldCharType="separate"/>
      </w:r>
      <w:r>
        <w:t>1244</w:t>
      </w:r>
      <w:r>
        <w:fldChar w:fldCharType="end"/>
      </w:r>
      <w:r w:rsidRPr="00D40600">
        <w:t>.</w:t>
      </w:r>
    </w:p>
  </w:footnote>
  <w:footnote w:id="1247">
    <w:p w:rsidR="00EC7CF3" w:rsidRDefault="00EC7CF3" w:rsidP="00FC6876">
      <w:pPr>
        <w:pStyle w:val="FootnoteText"/>
      </w:pPr>
      <w:r w:rsidRPr="00D40600">
        <w:rPr>
          <w:rStyle w:val="FootnoteReference"/>
          <w:sz w:val="20"/>
        </w:rPr>
        <w:footnoteRef/>
      </w:r>
      <w:r w:rsidRPr="00D40600">
        <w:t xml:space="preserve"> </w:t>
      </w:r>
      <w:r w:rsidRPr="00D40600">
        <w:rPr>
          <w:i/>
        </w:rPr>
        <w:t>See</w:t>
      </w:r>
      <w:r w:rsidRPr="00D40600">
        <w:t xml:space="preserve"> </w:t>
      </w:r>
      <w:r w:rsidRPr="00D40600">
        <w:rPr>
          <w:i/>
        </w:rPr>
        <w:t>Global Wireless Matrix 4Q11</w:t>
      </w:r>
      <w:r w:rsidRPr="00D40600">
        <w:t xml:space="preserve">, Table 1 at 2 and Table 174 at 230. </w:t>
      </w:r>
    </w:p>
  </w:footnote>
  <w:footnote w:id="1248">
    <w:p w:rsidR="00EC7CF3" w:rsidRDefault="00EC7CF3" w:rsidP="00FC6876">
      <w:pPr>
        <w:pStyle w:val="FootnoteText"/>
      </w:pPr>
      <w:r w:rsidRPr="00D40600">
        <w:rPr>
          <w:rStyle w:val="FootnoteReference"/>
          <w:sz w:val="20"/>
        </w:rPr>
        <w:footnoteRef/>
      </w:r>
      <w:r w:rsidRPr="00D40600">
        <w:t xml:space="preserve"> </w:t>
      </w:r>
      <w:r w:rsidRPr="00D40600">
        <w:rPr>
          <w:i/>
        </w:rPr>
        <w:t xml:space="preserve">See </w:t>
      </w:r>
      <w:r>
        <w:t>Section III.D</w:t>
      </w:r>
      <w:r w:rsidRPr="00D40600">
        <w:t xml:space="preserve">, Horizontal Concentration, </w:t>
      </w:r>
      <w:r w:rsidRPr="00D40600">
        <w:rPr>
          <w:i/>
        </w:rPr>
        <w:t>supra.</w:t>
      </w:r>
    </w:p>
  </w:footnote>
  <w:footnote w:id="1249">
    <w:p w:rsidR="00EC7CF3" w:rsidRDefault="00EC7CF3" w:rsidP="00FC6876">
      <w:pPr>
        <w:pStyle w:val="FootnoteText"/>
      </w:pPr>
      <w:r w:rsidRPr="00D40600">
        <w:rPr>
          <w:rStyle w:val="FootnoteReference"/>
          <w:sz w:val="20"/>
        </w:rPr>
        <w:footnoteRef/>
      </w:r>
      <w:r w:rsidRPr="00D40600">
        <w:t xml:space="preserve"> </w:t>
      </w:r>
      <w:r w:rsidRPr="00D40600">
        <w:rPr>
          <w:i/>
        </w:rPr>
        <w:t xml:space="preserve">Global Wireless Matrix 4Q11.  </w:t>
      </w:r>
      <w:r w:rsidRPr="00D40600">
        <w:t xml:space="preserve">As noted above, HHI is calculated based on national market share.  The weighted average HHI in the U.S. was 2811 at the end of 2009 as described in Section III.C, Horizontal Concentration, </w:t>
      </w:r>
      <w:r w:rsidRPr="00D40600">
        <w:rPr>
          <w:i/>
        </w:rPr>
        <w:t>supra</w:t>
      </w:r>
      <w:r w:rsidRPr="00D40600">
        <w:t>.</w:t>
      </w:r>
    </w:p>
  </w:footnote>
  <w:footnote w:id="1250">
    <w:p w:rsidR="00EC7CF3" w:rsidRDefault="00EC7CF3" w:rsidP="00FC6876">
      <w:pPr>
        <w:pStyle w:val="FootnoteText"/>
      </w:pPr>
      <w:r w:rsidRPr="00D40600">
        <w:rPr>
          <w:rStyle w:val="FootnoteReference"/>
          <w:sz w:val="20"/>
        </w:rPr>
        <w:footnoteRef/>
      </w:r>
      <w:r w:rsidRPr="00D40600">
        <w:t xml:space="preserve"> While there are four nationwide mobile providers in the United States, the HHI for the United States, as described above, is calculated by summing the squares of the subscriber market shares of the four nationwide operators and the residual subscriber market share of all remaining regional and local operators combined, treating all regional and local operators as if they comprised a single fifth competing operator.  For countries other than the United States, the HHI generally is calculated by summing the squares of all of the mobile operators, regardless of whether the operator’s network covers a nationwide footprint.  If this same methodology were used for the United States, our expectation is that the U.S. HHI would be lower, given the large number of regional and local mobile operators in the United States with sub-national footprints.</w:t>
      </w:r>
    </w:p>
  </w:footnote>
  <w:footnote w:id="1251">
    <w:p w:rsidR="00EC7CF3" w:rsidRDefault="00EC7CF3" w:rsidP="00C81B24">
      <w:pPr>
        <w:pStyle w:val="FootnoteText"/>
      </w:pPr>
      <w:r>
        <w:rPr>
          <w:rStyle w:val="FootnoteReference"/>
        </w:rPr>
        <w:footnoteRef/>
      </w:r>
      <w:r>
        <w:t xml:space="preserve"> The Commission divided the 40 megahertz of spectrum into two, 20 megahertz channel blocks , awarding one to a local incumbent wireline carrier and another to a different entity to promote competition.  </w:t>
      </w:r>
      <w:r w:rsidRPr="003175B9">
        <w:rPr>
          <w:i/>
        </w:rPr>
        <w:t>See</w:t>
      </w:r>
      <w:r>
        <w:t xml:space="preserve"> Inquiry Into the Use of the Bands 825-845 MHz and 870-890 MHz for Cellular Communications Systems; and Amendment of Parts 2 and 22 of the Commission’s Rules Relative to Cellular Communications Systems, CC Docket No. 79-318, </w:t>
      </w:r>
      <w:r>
        <w:rPr>
          <w:i/>
        </w:rPr>
        <w:t>Report and Order,</w:t>
      </w:r>
      <w:r>
        <w:t xml:space="preserve"> 86 FCC 2d 469, 488-92 ¶¶ 38-43 (1981).</w:t>
      </w:r>
    </w:p>
  </w:footnote>
  <w:footnote w:id="1252">
    <w:p w:rsidR="00EC7CF3" w:rsidRDefault="00EC7CF3" w:rsidP="00C81B24">
      <w:pPr>
        <w:pStyle w:val="FootnoteText"/>
      </w:pPr>
      <w:r>
        <w:rPr>
          <w:rStyle w:val="FootnoteReference"/>
        </w:rPr>
        <w:footnoteRef/>
      </w:r>
      <w:r>
        <w:t xml:space="preserve"> </w:t>
      </w:r>
      <w:r w:rsidRPr="003E2147">
        <w:t>Th</w:t>
      </w:r>
      <w:r>
        <w:t>e</w:t>
      </w:r>
      <w:r w:rsidRPr="003E2147">
        <w:t xml:space="preserve"> discussion </w:t>
      </w:r>
      <w:r>
        <w:t xml:space="preserve">in this </w:t>
      </w:r>
      <w:r>
        <w:rPr>
          <w:i/>
        </w:rPr>
        <w:t>Appendix</w:t>
      </w:r>
      <w:r>
        <w:t xml:space="preserve"> </w:t>
      </w:r>
      <w:r w:rsidRPr="003E2147">
        <w:t>is to be distinguished from the identification of the relevant spectrum input market</w:t>
      </w:r>
      <w:r>
        <w:t>s</w:t>
      </w:r>
      <w:r w:rsidRPr="003E2147">
        <w:t xml:space="preserve"> in the context of Commission review of individual </w:t>
      </w:r>
      <w:r>
        <w:t xml:space="preserve">wireless license transfers and </w:t>
      </w:r>
      <w:r w:rsidRPr="003E2147">
        <w:t xml:space="preserve">assignments.  For example, in wireless transactions, the Commission includes, in its evaluation of potential competitive harm, spectrum in particular bands that is “suitable” for the provision of services in a relevant product market.  </w:t>
      </w:r>
      <w:r w:rsidRPr="003E2147">
        <w:rPr>
          <w:i/>
        </w:rPr>
        <w:t>See</w:t>
      </w:r>
      <w:r w:rsidRPr="003E2147">
        <w:t xml:space="preserve"> </w:t>
      </w:r>
      <w:r w:rsidRPr="00F72ACB">
        <w:rPr>
          <w:i/>
        </w:rPr>
        <w:t>AT&amp;T-Dobson Order</w:t>
      </w:r>
      <w:r w:rsidRPr="003E2147">
        <w:t xml:space="preserve"> </w:t>
      </w:r>
      <w:r>
        <w:t>22</w:t>
      </w:r>
      <w:r w:rsidRPr="00F72ACB">
        <w:t xml:space="preserve"> FCC Rcd </w:t>
      </w:r>
      <w:r>
        <w:t xml:space="preserve">20295, 20307-08 ¶ 17; </w:t>
      </w:r>
      <w:r>
        <w:rPr>
          <w:i/>
        </w:rPr>
        <w:t>Sprint Nextel-Clearwire Order</w:t>
      </w:r>
      <w:r w:rsidRPr="003E2147">
        <w:t xml:space="preserve"> </w:t>
      </w:r>
      <w:r>
        <w:t xml:space="preserve">23 FCC Rcd 17570, 17599 ¶ 72; </w:t>
      </w:r>
      <w:r w:rsidRPr="002E2665">
        <w:rPr>
          <w:i/>
        </w:rPr>
        <w:t>Verizon Wireless-</w:t>
      </w:r>
      <w:r>
        <w:rPr>
          <w:i/>
        </w:rPr>
        <w:t>Alltel</w:t>
      </w:r>
      <w:r w:rsidRPr="002E2665">
        <w:rPr>
          <w:i/>
        </w:rPr>
        <w:t xml:space="preserve"> Order</w:t>
      </w:r>
      <w:r>
        <w:t xml:space="preserve">, 23 FCC Rcd at 17460 ¶ 26; </w:t>
      </w:r>
      <w:r w:rsidRPr="00AC7B51">
        <w:rPr>
          <w:i/>
        </w:rPr>
        <w:t>Mobile Spectrum Holdings NPRM</w:t>
      </w:r>
      <w:r>
        <w:t xml:space="preserve"> FCC 12-119, at ¶ 8.</w:t>
      </w:r>
    </w:p>
  </w:footnote>
  <w:footnote w:id="1253">
    <w:p w:rsidR="00EC7CF3" w:rsidRDefault="00EC7CF3" w:rsidP="00C81B24">
      <w:pPr>
        <w:pStyle w:val="FootnoteText"/>
      </w:pPr>
      <w:r>
        <w:rPr>
          <w:rStyle w:val="FootnoteReference"/>
        </w:rPr>
        <w:footnoteRef/>
      </w:r>
      <w:r>
        <w:t xml:space="preserve"> </w:t>
      </w:r>
      <w:r>
        <w:rPr>
          <w:i/>
        </w:rPr>
        <w:t xml:space="preserve">See </w:t>
      </w:r>
      <w:r>
        <w:t xml:space="preserve">47 C.F.R. §§ </w:t>
      </w:r>
      <w:r w:rsidRPr="0069237F">
        <w:t xml:space="preserve">1.948(e), (f), 22.948, 24.104, </w:t>
      </w:r>
      <w:r>
        <w:t>27.15</w:t>
      </w:r>
      <w:r w:rsidRPr="0069237F">
        <w:t>, 24.714, 27.904, 90.813, 90.911.</w:t>
      </w:r>
    </w:p>
  </w:footnote>
  <w:footnote w:id="1254">
    <w:p w:rsidR="00EC7CF3" w:rsidRDefault="00EC7CF3" w:rsidP="00C81B24">
      <w:pPr>
        <w:pStyle w:val="FootnoteText"/>
      </w:pPr>
      <w:r>
        <w:rPr>
          <w:rStyle w:val="FootnoteReference"/>
        </w:rPr>
        <w:footnoteRef/>
      </w:r>
      <w:r>
        <w:t xml:space="preserve"> While no longer in operation, at one time the Commission’s CMRS spectrum cap restricted the distribution of certain spectrum licenses.  In 2012, the Commission released a notice of </w:t>
      </w:r>
      <w:r w:rsidRPr="002D5B2D">
        <w:t>proposed rulemaking to review its policies governing mobile spectrum holdings</w:t>
      </w:r>
      <w:r>
        <w:t xml:space="preserve">.  </w:t>
      </w:r>
      <w:r w:rsidRPr="00682CB8">
        <w:rPr>
          <w:i/>
        </w:rPr>
        <w:t>See</w:t>
      </w:r>
      <w:r>
        <w:t xml:space="preserve"> </w:t>
      </w:r>
      <w:r w:rsidRPr="000B0335">
        <w:rPr>
          <w:i/>
          <w:iCs/>
        </w:rPr>
        <w:t>Mobile Spectrum Holdings NPRM</w:t>
      </w:r>
      <w:r>
        <w:rPr>
          <w:iCs/>
        </w:rPr>
        <w:t xml:space="preserve">, </w:t>
      </w:r>
      <w:r>
        <w:t>FCC 12-119, at ¶ 8.</w:t>
      </w:r>
    </w:p>
  </w:footnote>
  <w:footnote w:id="1255">
    <w:p w:rsidR="00EC7CF3" w:rsidRDefault="00EC7CF3" w:rsidP="00C81B24">
      <w:pPr>
        <w:pStyle w:val="FootnoteText"/>
      </w:pPr>
      <w:r>
        <w:rPr>
          <w:rStyle w:val="FootnoteReference"/>
        </w:rPr>
        <w:footnoteRef/>
      </w:r>
      <w:r>
        <w:t xml:space="preserve"> Under the original cellular licensing rules, one of the two cellular channel blocks in each market (the B block) was awarded to a local wireline carrier, while the other block (the A block) was awarded competitively to a carrier other than a local wireline incumbent.  After awarding the first 30 MSA licenses pursuant to comparative hearing rules, the Commission adopted rules in 1984 and 1986 to award the remaining cellular MSA and RSA licenses through lotteries.  By 1991, lotteries had been held for every MSA and RSA, and licenses were awarded to the lottery winners in most instances.  In some RSA markets, however, the initial lottery winner was disqualified from receiving the license because of a successful petition to deny or other Commission action.  Implementation of Competitive Bidding Rules to License Certain Rural Service Areas, </w:t>
      </w:r>
      <w:r>
        <w:rPr>
          <w:i/>
        </w:rPr>
        <w:t>Report and Order</w:t>
      </w:r>
      <w:r>
        <w:t xml:space="preserve">, 17 FCC Rcd 1960, 1961-62 (2002).  In 1997, the Commission auctioned cellular spectrum in areas unbuilt by the original cellular licensees.  </w:t>
      </w:r>
      <w:r>
        <w:rPr>
          <w:i/>
        </w:rPr>
        <w:t>See</w:t>
      </w:r>
      <w:r>
        <w:t xml:space="preserve"> FCC, </w:t>
      </w:r>
      <w:r>
        <w:rPr>
          <w:i/>
        </w:rPr>
        <w:t>Auction 12: Cellular Unserved,</w:t>
      </w:r>
      <w:r w:rsidRPr="003B3655">
        <w:t xml:space="preserve"> </w:t>
      </w:r>
      <w:hyperlink r:id="rId553" w:history="1">
        <w:r>
          <w:rPr>
            <w:rStyle w:val="Hyperlink"/>
          </w:rPr>
          <w:t>http://wireless.fcc.gov/auctions/12</w:t>
        </w:r>
      </w:hyperlink>
      <w:r>
        <w:t xml:space="preserve"> (visited Mar. 16, 2010).  In 2002, the Commission auctioned three RSA licenses where the initial lottery winner had been disqualified.  </w:t>
      </w:r>
      <w:r>
        <w:rPr>
          <w:i/>
        </w:rPr>
        <w:t>See</w:t>
      </w:r>
      <w:r>
        <w:t xml:space="preserve"> FCC, </w:t>
      </w:r>
      <w:r>
        <w:rPr>
          <w:i/>
        </w:rPr>
        <w:t>Auction 45: Cellular RSA</w:t>
      </w:r>
      <w:r>
        <w:t xml:space="preserve">, </w:t>
      </w:r>
      <w:hyperlink r:id="rId554" w:history="1">
        <w:r>
          <w:rPr>
            <w:rStyle w:val="Hyperlink"/>
          </w:rPr>
          <w:t>http://wireless.fcc.gov/auctions/45</w:t>
        </w:r>
      </w:hyperlink>
      <w:r>
        <w:t xml:space="preserve"> (visited Mar. 16, 2010).  In 2008, the Commission held a closed auction for unserved cellular spectrum that was the subject of two groups of pending mutually exclusive long-form applications.  </w:t>
      </w:r>
      <w:r>
        <w:rPr>
          <w:i/>
        </w:rPr>
        <w:t>See</w:t>
      </w:r>
      <w:r>
        <w:t xml:space="preserve"> FCC, </w:t>
      </w:r>
      <w:r>
        <w:rPr>
          <w:i/>
        </w:rPr>
        <w:t>Auction 77: Closed Cellular Unserved</w:t>
      </w:r>
      <w:r>
        <w:t xml:space="preserve">, </w:t>
      </w:r>
      <w:hyperlink r:id="rId555" w:history="1">
        <w:r w:rsidRPr="0056044C">
          <w:rPr>
            <w:rStyle w:val="Hyperlink"/>
          </w:rPr>
          <w:t>http://wireless.fcc.gov/auctions/477</w:t>
        </w:r>
      </w:hyperlink>
      <w:r>
        <w:t xml:space="preserve"> (visited Mar. 16, 2010).</w:t>
      </w:r>
    </w:p>
  </w:footnote>
  <w:footnote w:id="1256">
    <w:p w:rsidR="00EC7CF3" w:rsidRDefault="00EC7CF3" w:rsidP="00C81B24">
      <w:pPr>
        <w:pStyle w:val="FootnoteText"/>
      </w:pPr>
      <w:r>
        <w:rPr>
          <w:rStyle w:val="FootnoteReference"/>
        </w:rPr>
        <w:footnoteRef/>
      </w:r>
      <w:r>
        <w:t xml:space="preserve"> Amendment of Parts 1 and 22 of the Commission’s Rules with Regard to the Cellular Service, Including Changes in Licensing of Unserved Areas, WT Docket No. 12-40, RM No. 11510, Amendment of the Commission’s Rules with Regard to Relocation of Part 24 to Part 27, Interim Restrictions and Procedures for Cellular Service Applications, </w:t>
      </w:r>
      <w:r>
        <w:rPr>
          <w:i/>
        </w:rPr>
        <w:t>Notice of Proposed Rulemaking</w:t>
      </w:r>
      <w:r>
        <w:t xml:space="preserve">, 27 FCC Rcd 1745 (2012).  </w:t>
      </w:r>
      <w:r w:rsidRPr="00871A4E">
        <w:t>The proposal is to issue a geograp</w:t>
      </w:r>
      <w:r>
        <w:t>hic "overlay" license for each c</w:t>
      </w:r>
      <w:r w:rsidRPr="00871A4E">
        <w:t xml:space="preserve">ellular market and corresponding channel block in two stages using a "Substantially Licensed" test for the first stage. </w:t>
      </w:r>
      <w:r>
        <w:t>The Commission also proposes to streamline the cellular rules.</w:t>
      </w:r>
    </w:p>
  </w:footnote>
  <w:footnote w:id="1257">
    <w:p w:rsidR="00EC7CF3" w:rsidRDefault="00EC7CF3" w:rsidP="00C81B24">
      <w:pPr>
        <w:pStyle w:val="FootnoteText"/>
      </w:pPr>
      <w:r>
        <w:rPr>
          <w:rStyle w:val="FootnoteReference"/>
        </w:rPr>
        <w:footnoteRef/>
      </w:r>
      <w:r>
        <w:t xml:space="preserve"> The first auction was for two license blocks of 30 megahertz each </w:t>
      </w:r>
      <w:r w:rsidRPr="006B0678">
        <w:t>in 51 Major Trading Areas (MTAs).</w:t>
      </w:r>
      <w:r>
        <w:t xml:space="preserve">  </w:t>
      </w:r>
      <w:r w:rsidRPr="004E132A">
        <w:rPr>
          <w:iCs/>
        </w:rPr>
        <w:t xml:space="preserve">FCC Grants 99 Licenses </w:t>
      </w:r>
      <w:r>
        <w:rPr>
          <w:iCs/>
        </w:rPr>
        <w:t>f</w:t>
      </w:r>
      <w:r w:rsidRPr="004E132A">
        <w:rPr>
          <w:iCs/>
        </w:rPr>
        <w:t>or Broadband Pe</w:t>
      </w:r>
      <w:r>
        <w:rPr>
          <w:iCs/>
        </w:rPr>
        <w:t>rsonal Communications Services i</w:t>
      </w:r>
      <w:r w:rsidRPr="004E132A">
        <w:rPr>
          <w:iCs/>
        </w:rPr>
        <w:t>n Major Trading Areas</w:t>
      </w:r>
      <w:r>
        <w:rPr>
          <w:i/>
        </w:rPr>
        <w:t xml:space="preserve">, </w:t>
      </w:r>
      <w:r w:rsidRPr="004E132A">
        <w:rPr>
          <w:i/>
          <w:iCs/>
        </w:rPr>
        <w:t>News Release</w:t>
      </w:r>
      <w:r>
        <w:t xml:space="preserve">, FCC, June 23, 1995.  However, in New York, Washington/Baltimore, and Los Angeles/San Diego, only one license block was auctioned, because one license in each market was awarded as part of a pioneer preference program in 1994.  </w:t>
      </w:r>
      <w:r w:rsidRPr="004E132A">
        <w:rPr>
          <w:iCs/>
        </w:rPr>
        <w:t>Three Pioneer Preference PCS Applications Granted</w:t>
      </w:r>
      <w:r>
        <w:t xml:space="preserve">, </w:t>
      </w:r>
      <w:r w:rsidRPr="004E132A">
        <w:rPr>
          <w:i/>
          <w:iCs/>
        </w:rPr>
        <w:t>News Release</w:t>
      </w:r>
      <w:r>
        <w:t xml:space="preserve">, FCC, Dec. 14, 1994.  The Commission has since had numerous additional broadband PCS auctions.  </w:t>
      </w:r>
      <w:r>
        <w:rPr>
          <w:i/>
        </w:rPr>
        <w:t>See</w:t>
      </w:r>
      <w:r>
        <w:t xml:space="preserve"> FCC, </w:t>
      </w:r>
      <w:r>
        <w:rPr>
          <w:i/>
        </w:rPr>
        <w:t>Auctions Home</w:t>
      </w:r>
      <w:r>
        <w:t xml:space="preserve">, </w:t>
      </w:r>
      <w:hyperlink r:id="rId556" w:history="1">
        <w:r w:rsidRPr="00172EA5">
          <w:rPr>
            <w:rStyle w:val="Hyperlink"/>
          </w:rPr>
          <w:t>http://wireless.fcc.gov/auctions/</w:t>
        </w:r>
      </w:hyperlink>
      <w:r w:rsidRPr="003B3655">
        <w:t xml:space="preserve"> </w:t>
      </w:r>
      <w:r>
        <w:rPr>
          <w:color w:val="000000"/>
        </w:rPr>
        <w:t>(visited September 24, 2012)</w:t>
      </w:r>
      <w:r>
        <w:t xml:space="preserve">. </w:t>
      </w:r>
    </w:p>
  </w:footnote>
  <w:footnote w:id="1258">
    <w:p w:rsidR="00EC7CF3" w:rsidRDefault="00EC7CF3" w:rsidP="00C81B24">
      <w:pPr>
        <w:pStyle w:val="FootnoteText"/>
      </w:pPr>
      <w:r>
        <w:rPr>
          <w:rStyle w:val="FootnoteReference"/>
        </w:rPr>
        <w:footnoteRef/>
      </w:r>
      <w:r>
        <w:t xml:space="preserve"> Initially, the Commission’s broadband PCS allocation included 20 megahertz of spectrum at 1910 MHz - 1930 MHz for unlicensed broadband PCS.  Ten megahertz has since been allocated on a nationwide basis to Sprint Nextel.  </w:t>
      </w:r>
      <w:r w:rsidRPr="007212A9">
        <w:rPr>
          <w:i/>
          <w:iCs/>
        </w:rPr>
        <w:t>See</w:t>
      </w:r>
      <w:r>
        <w:t xml:space="preserve"> </w:t>
      </w:r>
      <w:r w:rsidRPr="007212A9">
        <w:t xml:space="preserve">Improving Public Safety Communications in the 800 </w:t>
      </w:r>
      <w:r>
        <w:t>MHz</w:t>
      </w:r>
      <w:r w:rsidRPr="007212A9">
        <w:t xml:space="preserve"> Band, </w:t>
      </w:r>
      <w:r w:rsidRPr="007212A9">
        <w:rPr>
          <w:i/>
          <w:iCs/>
        </w:rPr>
        <w:t>Report and Order, Fifth Report and Order, Four</w:t>
      </w:r>
      <w:r>
        <w:rPr>
          <w:i/>
          <w:iCs/>
        </w:rPr>
        <w:t>th Memorandum Opinion and Order</w:t>
      </w:r>
      <w:r w:rsidRPr="007212A9">
        <w:t>, 19 FCC Rcd 14969, 15083 (2004)</w:t>
      </w:r>
      <w:r>
        <w:t>.</w:t>
      </w:r>
    </w:p>
  </w:footnote>
  <w:footnote w:id="1259">
    <w:p w:rsidR="00EC7CF3" w:rsidRDefault="00EC7CF3" w:rsidP="00C81B24">
      <w:pPr>
        <w:pStyle w:val="FootnoteText"/>
      </w:pPr>
      <w:r>
        <w:rPr>
          <w:rStyle w:val="FootnoteReference"/>
        </w:rPr>
        <w:footnoteRef/>
      </w:r>
      <w:r>
        <w:t xml:space="preserve"> Major Trading Areas are Material Copyright (c) 1992 Rand McNally &amp; Company.  Rights granted pursuant to a license from Rand McNally &amp; Company through an arrangement with the FCC.  Rand McNally’s MTA specification contains 47 geographic areas covering the 50 states and the District of Columbia.  For its spectrum auctions, the Commission has added three MTA</w:t>
      </w:r>
      <w:r>
        <w:noBreakHyphen/>
        <w:t>like areas: Guam and the Northern Mariana Islands, Puerto Rico and the U.S. Virgin Islands, and American Samoa.  In addition, Alaska was separated from the Seattle MTA into its own MTA</w:t>
      </w:r>
      <w:r>
        <w:noBreakHyphen/>
        <w:t>like area.  MTAs are combinations of two or more Basic Trading Areas.</w:t>
      </w:r>
    </w:p>
  </w:footnote>
  <w:footnote w:id="1260">
    <w:p w:rsidR="00EC7CF3" w:rsidRDefault="00EC7CF3" w:rsidP="00C81B24">
      <w:pPr>
        <w:pStyle w:val="FootnoteText"/>
      </w:pPr>
      <w:r>
        <w:rPr>
          <w:rStyle w:val="FootnoteReference"/>
        </w:rPr>
        <w:footnoteRef/>
      </w:r>
      <w:r>
        <w:t xml:space="preserve"> The Commission also has reconfigured returned C block licenses.  </w:t>
      </w:r>
      <w:r w:rsidRPr="000F1078">
        <w:rPr>
          <w:i/>
          <w:iCs/>
        </w:rPr>
        <w:t>See</w:t>
      </w:r>
      <w:r>
        <w:t xml:space="preserve"> </w:t>
      </w:r>
      <w:r w:rsidRPr="000F1078">
        <w:rPr>
          <w:i/>
          <w:iCs/>
        </w:rPr>
        <w:t>Tenth Report</w:t>
      </w:r>
      <w:r>
        <w:t xml:space="preserve">, 20 </w:t>
      </w:r>
      <w:r w:rsidRPr="00CD6D29">
        <w:t>FCC</w:t>
      </w:r>
      <w:r>
        <w:t xml:space="preserve"> Rcd at 15935 ¶ 71 n.150.</w:t>
      </w:r>
    </w:p>
  </w:footnote>
  <w:footnote w:id="1261">
    <w:p w:rsidR="00EC7CF3" w:rsidRDefault="00EC7CF3" w:rsidP="00C81B24">
      <w:pPr>
        <w:pStyle w:val="FootnoteText"/>
      </w:pPr>
      <w:r>
        <w:rPr>
          <w:rStyle w:val="FootnoteReference"/>
        </w:rPr>
        <w:footnoteRef/>
      </w:r>
      <w:r>
        <w:t xml:space="preserve">  Basic Trading Areas (BTAs</w:t>
      </w:r>
      <w:r w:rsidRPr="00421285">
        <w:t xml:space="preserve">) are Material Copyright (c) 1992 Rand McNally &amp; Company.  Rights granted pursuant to a license from Rand McNally &amp; Company through an agreement with the </w:t>
      </w:r>
      <w:r>
        <w:t>FCC</w:t>
      </w:r>
      <w:r w:rsidRPr="00421285">
        <w:t>.  BTAs are geographic areas drawn based on the counties in which residents of a given BTA make the bulk of their shopping goods purchases.  Rand McNally’s BTA specification contains 487 geographic areas covering the 50 states and the District of Columbia.  For its spectrum auctions, the Commission added additional BTA-like areas for: American Samoa; Guam; Northern Mariana Islands; San Juan, Puerto Rico; Mayagüez/Aguadilla-Ponce, Puerto Rico; and the U.S. Virgin Islands.</w:t>
      </w:r>
    </w:p>
  </w:footnote>
  <w:footnote w:id="1262">
    <w:p w:rsidR="00EC7CF3" w:rsidRDefault="00EC7CF3" w:rsidP="00C81B24">
      <w:pPr>
        <w:pStyle w:val="FootnoteText"/>
      </w:pPr>
      <w:r>
        <w:rPr>
          <w:rStyle w:val="FootnoteReference"/>
        </w:rPr>
        <w:footnoteRef/>
      </w:r>
      <w:r>
        <w:t xml:space="preserve"> The “900 MHz” SMR band refers to spectrum allocated in the 896-901 and 935-940 MHz bands; the “800 MHz” band refers to spectrum allocated in the 806-824 and 851-869 MHz bands.  </w:t>
      </w:r>
      <w:r>
        <w:rPr>
          <w:i/>
        </w:rPr>
        <w:t>See</w:t>
      </w:r>
      <w:r>
        <w:t xml:space="preserve"> 47 C.F.R. § 90.603; </w:t>
      </w:r>
      <w:r>
        <w:rPr>
          <w:i/>
        </w:rPr>
        <w:t>see also</w:t>
      </w:r>
      <w:r>
        <w:t xml:space="preserve"> 47 C.F.R. § 90.7 (defining “specialized mobile radio system”).</w:t>
      </w:r>
    </w:p>
  </w:footnote>
  <w:footnote w:id="1263">
    <w:p w:rsidR="00EC7CF3" w:rsidRDefault="00EC7CF3" w:rsidP="00C81B24">
      <w:pPr>
        <w:pStyle w:val="FootnoteText"/>
      </w:pPr>
      <w:r>
        <w:rPr>
          <w:rStyle w:val="FootnoteReference"/>
        </w:rPr>
        <w:footnoteRef/>
      </w:r>
      <w:r>
        <w:t xml:space="preserve"> The Commission has held multiple auctions for SMR licenses.  </w:t>
      </w:r>
      <w:r>
        <w:rPr>
          <w:i/>
        </w:rPr>
        <w:t>See</w:t>
      </w:r>
      <w:r>
        <w:t xml:space="preserve"> FCC, </w:t>
      </w:r>
      <w:r>
        <w:rPr>
          <w:i/>
        </w:rPr>
        <w:t>Auctions Home</w:t>
      </w:r>
      <w:r>
        <w:t xml:space="preserve">, </w:t>
      </w:r>
      <w:hyperlink r:id="rId557" w:history="1">
        <w:r w:rsidRPr="00172EA5">
          <w:rPr>
            <w:rStyle w:val="Hyperlink"/>
          </w:rPr>
          <w:t>http://wireless.fcc.gov/auctions/</w:t>
        </w:r>
      </w:hyperlink>
      <w:r w:rsidRPr="003B3655">
        <w:t xml:space="preserve"> </w:t>
      </w:r>
      <w:r>
        <w:rPr>
          <w:color w:val="000000"/>
        </w:rPr>
        <w:t>(visited September 24, 2012)</w:t>
      </w:r>
      <w:r>
        <w:t>.</w:t>
      </w:r>
    </w:p>
  </w:footnote>
  <w:footnote w:id="1264">
    <w:p w:rsidR="00EC7CF3" w:rsidRDefault="00EC7CF3" w:rsidP="00C81B24">
      <w:pPr>
        <w:pStyle w:val="FootnoteText"/>
      </w:pPr>
      <w:r>
        <w:rPr>
          <w:rStyle w:val="FootnoteReference"/>
        </w:rPr>
        <w:footnoteRef/>
      </w:r>
      <w:r>
        <w:t xml:space="preserve"> There are five megahertz in the 900 MHz band (200 paired channels x 12.5 kHz/channel).  </w:t>
      </w:r>
      <w:r>
        <w:rPr>
          <w:i/>
        </w:rPr>
        <w:t>See</w:t>
      </w:r>
      <w:r>
        <w:t xml:space="preserve"> 47 C.F.R. § 90.617, Table 4B.  There are 21.5 megahertz in the 800 MHz band: 14 megahertz in the 800 SMR Service (280 paired channels x 25 kHz/channel) and 7.5 megahertz in the 800 MHz General Category (150 paired channels x 25 kHz/channel).  </w:t>
      </w:r>
      <w:r>
        <w:rPr>
          <w:i/>
        </w:rPr>
        <w:t>See</w:t>
      </w:r>
      <w:r>
        <w:t xml:space="preserve"> 47 C.F.R. § 90.615, Table 1 (SMR General Category) and 47 C.F.R. § 90.617, Table 4A (SMR Service).  In 2000, the Commission amended its rules to allow Business and Industrial/Land Transportation licensees in the 800 MHz band to use their spectrum for CMRS operations under certain conditions.  Implementation of Sections 309(j) and 337 of the Communications Act of 1934 as Amended Promotion of Spectrum Efficient Technologies on Certain Part 90 Frequencies; Establishment of Public Service Radio Pool in the Private Mobile Frequencies Below 800 MHz; Petition for Rule Making of The American Mobile Telecommunications Association, </w:t>
      </w:r>
      <w:r>
        <w:rPr>
          <w:i/>
        </w:rPr>
        <w:t>Report and Order and Further Notice of Proposed Rule Making</w:t>
      </w:r>
      <w:r>
        <w:t xml:space="preserve">, 15 FCC Rcd 22709, 22760-61 (2000).  This could make up to five megahertz of additional spectrum available for digital SMR providers: 2.5 megahertz in the Industrial/Land Transportation Category (50 paired channels x 25 kHz/channel) and 2.5 megahertz in the Business Category (50 paired channels x 25 kHz/channel).  </w:t>
      </w:r>
      <w:r>
        <w:rPr>
          <w:i/>
        </w:rPr>
        <w:t>See</w:t>
      </w:r>
      <w:r>
        <w:t xml:space="preserve"> 47 C.F.R. § 90.617, Tables 2A and 3A.   As discussed </w:t>
      </w:r>
      <w:r w:rsidRPr="00B72F3A">
        <w:t>in Section I.</w:t>
      </w:r>
      <w:r>
        <w:t>C</w:t>
      </w:r>
      <w:r w:rsidRPr="00B72F3A">
        <w:t>.1,</w:t>
      </w:r>
      <w:r>
        <w:t xml:space="preserve"> </w:t>
      </w:r>
      <w:r>
        <w:fldChar w:fldCharType="begin"/>
      </w:r>
      <w:r>
        <w:instrText xml:space="preserve"> REF _Ref217795467 \h </w:instrText>
      </w:r>
      <w:r>
        <w:fldChar w:fldCharType="separate"/>
      </w:r>
      <w:r w:rsidRPr="00C81B24">
        <w:rPr>
          <w:i/>
          <w:szCs w:val="22"/>
        </w:rPr>
        <w:t>800 MHz Band Reconfiguration and 1.9 GHz Spectrum Exchange</w:t>
      </w:r>
      <w:r>
        <w:fldChar w:fldCharType="end"/>
      </w:r>
      <w:r>
        <w:t>,</w:t>
      </w:r>
      <w:r w:rsidRPr="00F70946">
        <w:rPr>
          <w:i/>
        </w:rPr>
        <w:t xml:space="preserve"> infra</w:t>
      </w:r>
      <w:r>
        <w:t xml:space="preserve">, the configuration of the 800 MHz band is changing as a result of a new band plan adopted by the Commission. </w:t>
      </w:r>
    </w:p>
  </w:footnote>
  <w:footnote w:id="1265">
    <w:p w:rsidR="00EC7CF3" w:rsidRDefault="00EC7CF3" w:rsidP="00C81B24">
      <w:pPr>
        <w:pStyle w:val="FootnoteText"/>
      </w:pPr>
      <w:r>
        <w:rPr>
          <w:rStyle w:val="FootnoteReference"/>
        </w:rPr>
        <w:footnoteRef/>
      </w:r>
      <w:r>
        <w:t xml:space="preserve"> Principles for Reallocation of Spectrum to Encourage the Development of Telecommunications Technologies for the New Millennium, </w:t>
      </w:r>
      <w:r w:rsidRPr="004E132A">
        <w:rPr>
          <w:i/>
          <w:iCs/>
        </w:rPr>
        <w:t>Policy Statement</w:t>
      </w:r>
      <w:r>
        <w:t xml:space="preserve">, 14 FCC Rcd 19868 (1999); </w:t>
      </w:r>
      <w:r w:rsidRPr="00757B99">
        <w:rPr>
          <w:i/>
        </w:rPr>
        <w:t>see also</w:t>
      </w:r>
      <w:r>
        <w:t xml:space="preserve"> Applications of Various Subsidiaries and Affiliates of Geotek Communications, Inc., Debtor-In-Possession, Assignors, and Wilmington Trust Company or Hughes Electric Corporation, Assignees, For Consent to Assignment of 900 MHz Specialized Mobile Radio Licenses, </w:t>
      </w:r>
      <w:r w:rsidRPr="004E132A">
        <w:rPr>
          <w:i/>
          <w:iCs/>
        </w:rPr>
        <w:t>Memorandum Opinion and Order</w:t>
      </w:r>
      <w:r>
        <w:t xml:space="preserve">, 15 FCC Rcd 790, 802 (2000). </w:t>
      </w:r>
    </w:p>
  </w:footnote>
  <w:footnote w:id="1266">
    <w:p w:rsidR="00EC7CF3" w:rsidRDefault="00EC7CF3" w:rsidP="00C81B24">
      <w:pPr>
        <w:pStyle w:val="FootnoteText"/>
      </w:pPr>
      <w:r>
        <w:rPr>
          <w:rStyle w:val="FootnoteReference"/>
        </w:rPr>
        <w:footnoteRef/>
      </w:r>
      <w:r>
        <w:t xml:space="preserve"> Dispatch services allow two-way, real-time, voice communications between fixed units and mobile units (</w:t>
      </w:r>
      <w:r>
        <w:rPr>
          <w:i/>
        </w:rPr>
        <w:t>e.g.</w:t>
      </w:r>
      <w:r>
        <w:t>, between a taxicab dispatch office and a taxi) or between two or more mobile units (</w:t>
      </w:r>
      <w:r>
        <w:rPr>
          <w:i/>
        </w:rPr>
        <w:t>e.g.</w:t>
      </w:r>
      <w:r>
        <w:t xml:space="preserve">, between a car and a truck).  </w:t>
      </w:r>
      <w:r>
        <w:rPr>
          <w:i/>
        </w:rPr>
        <w:t>See Fifth Report</w:t>
      </w:r>
      <w:r>
        <w:t xml:space="preserve">, 15 FCC Rcd at 17727-28, for a detailed discussion.  Dispatch and SMR are often used interchangeably, although SMR refers to specific spectrum ranges.  </w:t>
      </w:r>
    </w:p>
  </w:footnote>
  <w:footnote w:id="1267">
    <w:p w:rsidR="00EC7CF3" w:rsidRDefault="00EC7CF3" w:rsidP="00C81B24">
      <w:pPr>
        <w:pStyle w:val="FootnoteText"/>
      </w:pPr>
      <w:r>
        <w:rPr>
          <w:rStyle w:val="FootnoteReference"/>
        </w:rPr>
        <w:footnoteRef/>
      </w:r>
      <w:r>
        <w:t xml:space="preserve"> </w:t>
      </w:r>
      <w:r w:rsidRPr="002D5B2D">
        <w:t>Sprint, the largest SMR licensee, has announced that it is in the process of repurposing</w:t>
      </w:r>
      <w:r w:rsidRPr="002D5B2D">
        <w:rPr>
          <w:color w:val="000000"/>
          <w:szCs w:val="22"/>
        </w:rPr>
        <w:t xml:space="preserve"> its 800 MHz SMR spectrum for CDMA-based technology and </w:t>
      </w:r>
      <w:r>
        <w:rPr>
          <w:color w:val="000000"/>
          <w:szCs w:val="22"/>
        </w:rPr>
        <w:t xml:space="preserve">that it will </w:t>
      </w:r>
      <w:r w:rsidRPr="002D5B2D">
        <w:rPr>
          <w:color w:val="000000"/>
          <w:szCs w:val="22"/>
        </w:rPr>
        <w:t xml:space="preserve">shut down its iDEN </w:t>
      </w:r>
      <w:r>
        <w:rPr>
          <w:color w:val="000000"/>
          <w:szCs w:val="22"/>
        </w:rPr>
        <w:t>network as early as June 30, 2013</w:t>
      </w:r>
      <w:r w:rsidRPr="002D5B2D">
        <w:rPr>
          <w:color w:val="000000"/>
          <w:szCs w:val="22"/>
        </w:rPr>
        <w:t>.</w:t>
      </w:r>
      <w:r>
        <w:rPr>
          <w:color w:val="000000"/>
          <w:szCs w:val="22"/>
        </w:rPr>
        <w:t xml:space="preserve">  </w:t>
      </w:r>
      <w:r w:rsidRPr="005F1144">
        <w:rPr>
          <w:i/>
          <w:color w:val="000000"/>
          <w:szCs w:val="22"/>
        </w:rPr>
        <w:t>See</w:t>
      </w:r>
      <w:r>
        <w:rPr>
          <w:color w:val="000000"/>
          <w:szCs w:val="22"/>
        </w:rPr>
        <w:t xml:space="preserve"> </w:t>
      </w:r>
      <w:r w:rsidRPr="006E54A0">
        <w:rPr>
          <w:i/>
        </w:rPr>
        <w:t>Sprint to Cease Service on its iDEN Network as Early as June 30, 2013</w:t>
      </w:r>
      <w:r>
        <w:t xml:space="preserve">, News Release, Sprint Newsroom, May 29, 2012, </w:t>
      </w:r>
      <w:r w:rsidRPr="006E54A0">
        <w:rPr>
          <w:i/>
        </w:rPr>
        <w:t>available at</w:t>
      </w:r>
      <w:r>
        <w:t xml:space="preserve"> </w:t>
      </w:r>
      <w:hyperlink r:id="rId558" w:history="1">
        <w:r w:rsidRPr="00752E1B">
          <w:rPr>
            <w:rStyle w:val="Hyperlink"/>
          </w:rPr>
          <w:t>http://newsroom.sprint.com/article_display.cfm?article_id=2296&amp;ECID=vanity:nextelnetwork</w:t>
        </w:r>
      </w:hyperlink>
      <w:r>
        <w:t xml:space="preserve"> (visited September 17, 2012).</w:t>
      </w:r>
    </w:p>
  </w:footnote>
  <w:footnote w:id="1268">
    <w:p w:rsidR="00EC7CF3" w:rsidRDefault="00EC7CF3" w:rsidP="00C81B24">
      <w:pPr>
        <w:pStyle w:val="FootnoteText"/>
      </w:pPr>
      <w:r>
        <w:rPr>
          <w:rStyle w:val="FootnoteReference"/>
        </w:rPr>
        <w:footnoteRef/>
      </w:r>
      <w:r>
        <w:t xml:space="preserve"> FCC Adopts Solution to Interference Problem Faced by 800 MHz Public Safety Radio Systems, </w:t>
      </w:r>
      <w:r w:rsidRPr="00A7552C">
        <w:rPr>
          <w:i/>
        </w:rPr>
        <w:t>News Release</w:t>
      </w:r>
      <w:r>
        <w:t>, FCC, July 8, 2004.</w:t>
      </w:r>
    </w:p>
  </w:footnote>
  <w:footnote w:id="1269">
    <w:p w:rsidR="00EC7CF3" w:rsidRDefault="00EC7CF3" w:rsidP="00C81B24">
      <w:pPr>
        <w:pStyle w:val="FootnoteText"/>
      </w:pPr>
      <w:r>
        <w:rPr>
          <w:rStyle w:val="FootnoteReference"/>
        </w:rPr>
        <w:footnoteRef/>
      </w:r>
      <w:r>
        <w:t xml:space="preserve"> Improving Spectrum Efficiency Through Flexible Channel Spacing and Bandwidth Utilization for Economic Area-based 800 MHz Specialized Mobile Radio Licensees, WT Docket No. 12-64, Request for Declaratory Ruling that the Commission’s Rules Authorize Greater than 25 kHz Bandwidth Operations in the 817-824/862-869 MHz Band, WT Docket No. 11-110, </w:t>
      </w:r>
      <w:r>
        <w:rPr>
          <w:i/>
        </w:rPr>
        <w:t>Report and Order</w:t>
      </w:r>
      <w:r>
        <w:t xml:space="preserve">, 27 FCC Rcd 6489 (2012).  </w:t>
      </w:r>
    </w:p>
  </w:footnote>
  <w:footnote w:id="1270">
    <w:p w:rsidR="00EC7CF3" w:rsidRDefault="00EC7CF3" w:rsidP="00C81B24">
      <w:pPr>
        <w:pStyle w:val="FootnoteText"/>
      </w:pPr>
      <w:r>
        <w:rPr>
          <w:rStyle w:val="FootnoteReference"/>
        </w:rPr>
        <w:footnoteRef/>
      </w:r>
      <w:r>
        <w:t xml:space="preserve"> </w:t>
      </w:r>
      <w:r>
        <w:rPr>
          <w:i/>
        </w:rPr>
        <w:t xml:space="preserve">See </w:t>
      </w:r>
      <w:r w:rsidRPr="00387ADC">
        <w:t xml:space="preserve">800 </w:t>
      </w:r>
      <w:r>
        <w:t>MHz</w:t>
      </w:r>
      <w:r w:rsidRPr="00387ADC">
        <w:t xml:space="preserve"> Transition Administrator, </w:t>
      </w:r>
      <w:r>
        <w:t xml:space="preserve">LLC </w:t>
      </w:r>
      <w:r w:rsidRPr="00387ADC">
        <w:t>Quarterly Progress Report</w:t>
      </w:r>
      <w:r>
        <w:t xml:space="preserve"> </w:t>
      </w:r>
      <w:r w:rsidRPr="00387ADC">
        <w:t>For The Quarter Ended June 30, 2012</w:t>
      </w:r>
      <w:r>
        <w:t>, filed September 25, 2012, in WT Docket 02-55 at 5.</w:t>
      </w:r>
    </w:p>
  </w:footnote>
  <w:footnote w:id="1271">
    <w:p w:rsidR="00EC7CF3" w:rsidRDefault="00EC7CF3" w:rsidP="00C81B24">
      <w:pPr>
        <w:pStyle w:val="FootnoteText"/>
      </w:pPr>
      <w:r>
        <w:rPr>
          <w:rStyle w:val="FootnoteReference"/>
        </w:rPr>
        <w:footnoteRef/>
      </w:r>
      <w:r>
        <w:t xml:space="preserve"> </w:t>
      </w:r>
      <w:r>
        <w:rPr>
          <w:i/>
        </w:rPr>
        <w:t xml:space="preserve">See </w:t>
      </w:r>
      <w:r>
        <w:t>“FCC Announces Two Spectrum-Sharing Agreements With Mexico Enabling Advanced Public Safety And Commercial Communications In The Mexico Border Area,” June 8, 2012.</w:t>
      </w:r>
    </w:p>
  </w:footnote>
  <w:footnote w:id="1272">
    <w:p w:rsidR="00EC7CF3" w:rsidRDefault="00EC7CF3" w:rsidP="00C81B24">
      <w:pPr>
        <w:autoSpaceDE w:val="0"/>
        <w:autoSpaceDN w:val="0"/>
        <w:adjustRightInd w:val="0"/>
        <w:spacing w:after="120"/>
      </w:pPr>
      <w:r>
        <w:rPr>
          <w:rStyle w:val="FootnoteReference"/>
        </w:rPr>
        <w:footnoteRef/>
      </w:r>
      <w:r>
        <w:t xml:space="preserve"> </w:t>
      </w:r>
      <w:r w:rsidRPr="00800E2A">
        <w:rPr>
          <w:i/>
          <w:sz w:val="20"/>
        </w:rPr>
        <w:t xml:space="preserve">See </w:t>
      </w:r>
      <w:r>
        <w:rPr>
          <w:sz w:val="20"/>
        </w:rPr>
        <w:t>I</w:t>
      </w:r>
      <w:r w:rsidRPr="00800E2A">
        <w:rPr>
          <w:rFonts w:ascii="TimesNewRoman" w:hAnsi="TimesNewRoman" w:cs="TimesNewRoman"/>
          <w:color w:val="010101"/>
          <w:sz w:val="20"/>
        </w:rPr>
        <w:t>mproving Public Safety Communications in</w:t>
      </w:r>
      <w:r>
        <w:rPr>
          <w:rFonts w:ascii="TimesNewRoman" w:hAnsi="TimesNewRoman" w:cs="TimesNewRoman"/>
          <w:color w:val="010101"/>
          <w:sz w:val="20"/>
        </w:rPr>
        <w:t xml:space="preserve"> </w:t>
      </w:r>
      <w:r w:rsidRPr="00800E2A">
        <w:rPr>
          <w:rFonts w:ascii="TimesNewRoman" w:hAnsi="TimesNewRoman" w:cs="TimesNewRoman"/>
          <w:color w:val="010101"/>
          <w:sz w:val="20"/>
        </w:rPr>
        <w:t>the 800 MHz Band</w:t>
      </w:r>
      <w:r>
        <w:rPr>
          <w:rFonts w:ascii="TimesNewRoman" w:hAnsi="TimesNewRoman" w:cs="TimesNewRoman"/>
          <w:color w:val="010101"/>
          <w:sz w:val="20"/>
        </w:rPr>
        <w:t xml:space="preserve">; New 800 MHz Band Plan for U.S.-Mexico Sharing Zone, WT Docket No. 02-55, </w:t>
      </w:r>
      <w:r>
        <w:rPr>
          <w:rFonts w:ascii="TimesNewRoman" w:hAnsi="TimesNewRoman" w:cs="TimesNewRoman"/>
          <w:i/>
          <w:color w:val="010101"/>
          <w:sz w:val="20"/>
        </w:rPr>
        <w:t>Fourth Further Notice of Proposed Rulemaking</w:t>
      </w:r>
      <w:r>
        <w:rPr>
          <w:rFonts w:ascii="TimesNewRoman" w:hAnsi="TimesNewRoman" w:cs="TimesNewRoman"/>
          <w:color w:val="010101"/>
          <w:sz w:val="20"/>
        </w:rPr>
        <w:t>, 27 FCC Rcd 9563 (2012).</w:t>
      </w:r>
    </w:p>
  </w:footnote>
  <w:footnote w:id="1273">
    <w:p w:rsidR="00EC7CF3" w:rsidRDefault="00EC7CF3" w:rsidP="00C81B24">
      <w:pPr>
        <w:pStyle w:val="FootnoteText"/>
      </w:pPr>
      <w:r>
        <w:rPr>
          <w:rStyle w:val="FootnoteReference"/>
        </w:rPr>
        <w:footnoteRef/>
      </w:r>
      <w:r>
        <w:t xml:space="preserve"> </w:t>
      </w:r>
      <w:r w:rsidRPr="00E744D0">
        <w:rPr>
          <w:i/>
        </w:rPr>
        <w:t>See</w:t>
      </w:r>
      <w:r>
        <w:rPr>
          <w:i/>
        </w:rPr>
        <w:t xml:space="preserve"> </w:t>
      </w:r>
      <w:r w:rsidRPr="00E744D0">
        <w:rPr>
          <w:i/>
        </w:rPr>
        <w:t>700 MHz Second R</w:t>
      </w:r>
      <w:r>
        <w:rPr>
          <w:i/>
        </w:rPr>
        <w:t>&amp;O</w:t>
      </w:r>
      <w:r>
        <w:t>, 22 FCC Rcd at 15291 ¶ 1</w:t>
      </w:r>
      <w:r>
        <w:rPr>
          <w:i/>
        </w:rPr>
        <w:t>.</w:t>
      </w:r>
    </w:p>
  </w:footnote>
  <w:footnote w:id="1274">
    <w:p w:rsidR="00EC7CF3" w:rsidRDefault="00EC7CF3" w:rsidP="00C81B24">
      <w:pPr>
        <w:pStyle w:val="FootnoteText"/>
      </w:pPr>
      <w:r>
        <w:rPr>
          <w:rStyle w:val="FootnoteReference"/>
        </w:rPr>
        <w:footnoteRef/>
      </w:r>
      <w:r>
        <w:t xml:space="preserve"> </w:t>
      </w:r>
      <w:r w:rsidRPr="0001629B">
        <w:t>Deficit Reduction Act of 2005, Pub. L. No</w:t>
      </w:r>
      <w:r>
        <w:t>. 109-171, 120 Stat. 4 (2006) (DRA</w:t>
      </w:r>
      <w:r w:rsidRPr="0001629B">
        <w:t>).  Title III of the DRA is the DTV Act.</w:t>
      </w:r>
    </w:p>
  </w:footnote>
  <w:footnote w:id="1275">
    <w:p w:rsidR="00EC7CF3" w:rsidRDefault="00EC7CF3" w:rsidP="00C81B24">
      <w:pPr>
        <w:pStyle w:val="FootnoteText"/>
      </w:pPr>
      <w:r>
        <w:rPr>
          <w:rStyle w:val="FootnoteReference"/>
        </w:rPr>
        <w:footnoteRef/>
      </w:r>
      <w:r>
        <w:t xml:space="preserve"> </w:t>
      </w:r>
      <w:r w:rsidRPr="00954F7F">
        <w:t>DTV Delay Act, S. 328, 111</w:t>
      </w:r>
      <w:r w:rsidRPr="00954F7F">
        <w:rPr>
          <w:vertAlign w:val="superscript"/>
        </w:rPr>
        <w:t>th</w:t>
      </w:r>
      <w:r w:rsidRPr="00954F7F">
        <w:t xml:space="preserve"> Cong. (2009), </w:t>
      </w:r>
      <w:r>
        <w:t xml:space="preserve">amending </w:t>
      </w:r>
      <w:r w:rsidRPr="00954F7F">
        <w:t>47 U.S.C.</w:t>
      </w:r>
      <w:r>
        <w:t xml:space="preserve"> §§</w:t>
      </w:r>
      <w:r w:rsidRPr="00954F7F">
        <w:t xml:space="preserve"> </w:t>
      </w:r>
      <w:r>
        <w:t>309,</w:t>
      </w:r>
      <w:r w:rsidRPr="00954F7F">
        <w:t xml:space="preserve"> 337(3)(1)</w:t>
      </w:r>
      <w:r>
        <w:t xml:space="preserve"> (DTV Delay Act).</w:t>
      </w:r>
    </w:p>
  </w:footnote>
  <w:footnote w:id="1276">
    <w:p w:rsidR="00EC7CF3" w:rsidRDefault="00EC7CF3" w:rsidP="00C81B24">
      <w:pPr>
        <w:pStyle w:val="FootnoteText"/>
      </w:pPr>
      <w:r>
        <w:rPr>
          <w:rStyle w:val="FootnoteReference"/>
        </w:rPr>
        <w:footnoteRef/>
      </w:r>
      <w:r>
        <w:t xml:space="preserve"> </w:t>
      </w:r>
      <w:r w:rsidRPr="00ED51B4">
        <w:rPr>
          <w:i/>
        </w:rPr>
        <w:t>See</w:t>
      </w:r>
      <w:r>
        <w:t xml:space="preserve"> </w:t>
      </w:r>
      <w:r w:rsidRPr="00E744D0">
        <w:rPr>
          <w:i/>
        </w:rPr>
        <w:t>700 MHz Second R</w:t>
      </w:r>
      <w:r>
        <w:rPr>
          <w:i/>
        </w:rPr>
        <w:t>&amp;O</w:t>
      </w:r>
      <w:r>
        <w:t>, 22 FCC Rcd at 15291 ¶ 1 &amp; 15295-96 ¶ 14.</w:t>
      </w:r>
    </w:p>
  </w:footnote>
  <w:footnote w:id="1277">
    <w:p w:rsidR="00EC7CF3" w:rsidRDefault="00EC7CF3" w:rsidP="00C81B24">
      <w:pPr>
        <w:pStyle w:val="FootnoteText"/>
      </w:pPr>
      <w:r>
        <w:rPr>
          <w:rStyle w:val="FootnoteReference"/>
        </w:rPr>
        <w:footnoteRef/>
      </w:r>
      <w:r>
        <w:t xml:space="preserve"> </w:t>
      </w:r>
      <w:r>
        <w:rPr>
          <w:i/>
        </w:rPr>
        <w:t xml:space="preserve">See </w:t>
      </w:r>
      <w:r>
        <w:t>DRA.  The DTV Act</w:t>
      </w:r>
      <w:r w:rsidRPr="00261259">
        <w:t xml:space="preserve"> extended the Commission’s auction</w:t>
      </w:r>
      <w:r>
        <w:t xml:space="preserve"> authority to September 30, 2011, and the DTV Delay Act extended the authority to September 30, 2012.  DTV Act </w:t>
      </w:r>
      <w:r w:rsidRPr="002B559B">
        <w:t>§ 3003</w:t>
      </w:r>
      <w:r>
        <w:t>(b).; DTV Delay Act § 5.</w:t>
      </w:r>
    </w:p>
  </w:footnote>
  <w:footnote w:id="1278">
    <w:p w:rsidR="00EC7CF3" w:rsidRDefault="00EC7CF3" w:rsidP="00C81B24">
      <w:pPr>
        <w:pStyle w:val="FootnoteText"/>
      </w:pPr>
      <w:r>
        <w:rPr>
          <w:rStyle w:val="FootnoteReference"/>
        </w:rPr>
        <w:footnoteRef/>
      </w:r>
      <w:r>
        <w:t xml:space="preserve"> </w:t>
      </w:r>
      <w:r>
        <w:rPr>
          <w:i/>
          <w:iCs/>
        </w:rPr>
        <w:t>See</w:t>
      </w:r>
      <w:r w:rsidRPr="00CD646B">
        <w:t xml:space="preserve"> </w:t>
      </w:r>
      <w:r w:rsidRPr="003D6EA2">
        <w:t>Service Rules for the 698-</w:t>
      </w:r>
      <w:r>
        <w:t>746</w:t>
      </w:r>
      <w:r w:rsidRPr="003D6EA2">
        <w:t>, 747-762 and 777-792 MHz Bands</w:t>
      </w:r>
      <w:r>
        <w:t>;</w:t>
      </w:r>
      <w:r w:rsidRPr="003D6EA2">
        <w:t xml:space="preserve"> Revision of the Commission’s Rules to Ensure Compatibility with Enhanced 911 Emergency</w:t>
      </w:r>
      <w:r>
        <w:t xml:space="preserve"> Calling Systems;</w:t>
      </w:r>
      <w:r w:rsidRPr="003D6EA2">
        <w:t xml:space="preserve"> and Section 68.4(a) of the Commission’s Rules Governing Hearing Aid-Compatible Telephones, </w:t>
      </w:r>
      <w:r w:rsidRPr="003D6EA2">
        <w:rPr>
          <w:i/>
        </w:rPr>
        <w:t>Notice of Proposed Rule Making, Fourth Further Notice of Proposed Rule Making, and Second Further Notice of Proposed Rule Making</w:t>
      </w:r>
      <w:r w:rsidRPr="003D6EA2">
        <w:t>, 21 FCC Rcd 9345 (2006)</w:t>
      </w:r>
      <w:r>
        <w:rPr>
          <w:iCs/>
        </w:rPr>
        <w:t>.</w:t>
      </w:r>
    </w:p>
  </w:footnote>
  <w:footnote w:id="1279">
    <w:p w:rsidR="00EC7CF3" w:rsidRDefault="00EC7CF3" w:rsidP="00C81B24">
      <w:pPr>
        <w:pStyle w:val="FootnoteText"/>
      </w:pPr>
      <w:r>
        <w:rPr>
          <w:rStyle w:val="FootnoteReference"/>
        </w:rPr>
        <w:footnoteRef/>
      </w:r>
      <w:r>
        <w:t xml:space="preserve"> </w:t>
      </w:r>
      <w:r>
        <w:rPr>
          <w:i/>
        </w:rPr>
        <w:t>See 700 MHz Second R&amp;O</w:t>
      </w:r>
      <w:r>
        <w:t xml:space="preserve">, 22 FCC Rcd at 15291-95 ¶¶ 1-13; </w:t>
      </w:r>
      <w:r w:rsidRPr="00E0325B">
        <w:t xml:space="preserve">Service Rules for the 698-746, 747-762 and 777-792 MHz Bands, </w:t>
      </w:r>
      <w:r w:rsidRPr="00707FC3">
        <w:rPr>
          <w:i/>
        </w:rPr>
        <w:t>Report and Order and Further Notice of Proposed Rulemaking</w:t>
      </w:r>
      <w:r w:rsidRPr="00E0325B">
        <w:t>, 22 FCC Rcd 8064 (2007) (</w:t>
      </w:r>
      <w:r w:rsidRPr="00365A86">
        <w:rPr>
          <w:i/>
        </w:rPr>
        <w:t>700 MHz Report and Order</w:t>
      </w:r>
      <w:r w:rsidRPr="00E0325B">
        <w:t>).</w:t>
      </w:r>
    </w:p>
  </w:footnote>
  <w:footnote w:id="1280">
    <w:p w:rsidR="00EC7CF3" w:rsidRDefault="00EC7CF3" w:rsidP="00C81B24">
      <w:pPr>
        <w:pStyle w:val="FootnoteText"/>
      </w:pPr>
      <w:r>
        <w:rPr>
          <w:rStyle w:val="FootnoteReference"/>
        </w:rPr>
        <w:footnoteRef/>
      </w:r>
      <w:r>
        <w:t xml:space="preserve"> The Commission changed the location of existing 700 MHz Guard Band licenses, provided for a 1-megahertz shift of the other commercial blocks in the Upper 700 MHz band and in the spectrum allocated to public safety, and reduced the size of the Guard Band B Block to make two additional megahertz of commercial spectrum available for auction.  </w:t>
      </w:r>
      <w:r>
        <w:rPr>
          <w:i/>
        </w:rPr>
        <w:t>700 MHz Second Report and Order</w:t>
      </w:r>
      <w:r>
        <w:t xml:space="preserve">, 22 FCC Rcd at 15292-93 ¶ 3.  In addition, the Commission afforded all Guard Band A Block licensees the same technical rules that apply to the adjacent commercial spectrum and the ability to deploy cellular architectures.  </w:t>
      </w:r>
      <w:r w:rsidRPr="00365A86">
        <w:rPr>
          <w:i/>
        </w:rPr>
        <w:t>Id</w:t>
      </w:r>
      <w:r>
        <w:t xml:space="preserve">. at 15294 ¶ 9.     </w:t>
      </w:r>
    </w:p>
  </w:footnote>
  <w:footnote w:id="1281">
    <w:p w:rsidR="00EC7CF3" w:rsidRDefault="00EC7CF3" w:rsidP="00C81B24">
      <w:pPr>
        <w:pStyle w:val="FootnoteText"/>
      </w:pPr>
      <w:r w:rsidRPr="0032768F">
        <w:rPr>
          <w:rStyle w:val="FootnoteReference"/>
        </w:rPr>
        <w:footnoteRef/>
      </w:r>
      <w:r>
        <w:t xml:space="preserve"> </w:t>
      </w:r>
      <w:r>
        <w:rPr>
          <w:i/>
        </w:rPr>
        <w:t>See 700 MHz Second R&amp;O</w:t>
      </w:r>
      <w:r>
        <w:t xml:space="preserve">, 22 FCC Rcd at 15361 ¶ </w:t>
      </w:r>
      <w:r w:rsidRPr="00410069">
        <w:t>195</w:t>
      </w:r>
      <w:r>
        <w:t xml:space="preserve">.  </w:t>
      </w:r>
    </w:p>
  </w:footnote>
  <w:footnote w:id="1282">
    <w:p w:rsidR="00EC7CF3" w:rsidRDefault="00EC7CF3" w:rsidP="00C81B24">
      <w:pPr>
        <w:pStyle w:val="FootnoteText"/>
      </w:pPr>
      <w:r>
        <w:rPr>
          <w:rStyle w:val="FootnoteReference"/>
        </w:rPr>
        <w:footnoteRef/>
      </w:r>
      <w:r>
        <w:t xml:space="preserve"> </w:t>
      </w:r>
      <w:r>
        <w:rPr>
          <w:i/>
        </w:rPr>
        <w:t xml:space="preserve">See id. </w:t>
      </w:r>
      <w:r w:rsidRPr="00D32C48">
        <w:t>at</w:t>
      </w:r>
      <w:r>
        <w:rPr>
          <w:i/>
        </w:rPr>
        <w:t xml:space="preserve"> </w:t>
      </w:r>
      <w:r>
        <w:t>15360 ¶ 206.</w:t>
      </w:r>
    </w:p>
  </w:footnote>
  <w:footnote w:id="1283">
    <w:p w:rsidR="00EC7CF3" w:rsidRDefault="00EC7CF3" w:rsidP="00C81B24">
      <w:pPr>
        <w:pStyle w:val="FootnoteText"/>
      </w:pPr>
      <w:r>
        <w:rPr>
          <w:rStyle w:val="FootnoteReference"/>
        </w:rPr>
        <w:footnoteRef/>
      </w:r>
      <w:r>
        <w:t xml:space="preserve"> </w:t>
      </w:r>
      <w:r>
        <w:rPr>
          <w:i/>
        </w:rPr>
        <w:t>Id.</w:t>
      </w:r>
    </w:p>
  </w:footnote>
  <w:footnote w:id="1284">
    <w:p w:rsidR="00EC7CF3" w:rsidRDefault="00EC7CF3" w:rsidP="00C81B24">
      <w:pPr>
        <w:pStyle w:val="FootnoteText"/>
      </w:pPr>
      <w:r>
        <w:rPr>
          <w:rStyle w:val="FootnoteReference"/>
        </w:rPr>
        <w:footnoteRef/>
      </w:r>
      <w:r>
        <w:t xml:space="preserve"> </w:t>
      </w:r>
      <w:r w:rsidRPr="00D8034C">
        <w:rPr>
          <w:i/>
        </w:rPr>
        <w:t xml:space="preserve">See </w:t>
      </w:r>
      <w:r w:rsidRPr="00D8034C">
        <w:t xml:space="preserve">Service Rules for the 698-746, 747-762 and 777-792 Bands; Implementing a Nationwide, Broadband, Interoperable Public Safety Network in the 700 MHz Band, </w:t>
      </w:r>
      <w:r w:rsidRPr="00D8034C">
        <w:rPr>
          <w:i/>
        </w:rPr>
        <w:t>Second Further Notice of Proposed Rulemaking</w:t>
      </w:r>
      <w:r w:rsidRPr="00D8034C">
        <w:t>, 23 FCC Rcd 8047, 8052 ¶¶ 8</w:t>
      </w:r>
      <w:r>
        <w:t>, 13</w:t>
      </w:r>
      <w:r w:rsidRPr="00D8034C">
        <w:t xml:space="preserve"> (2008) (</w:t>
      </w:r>
      <w:r w:rsidRPr="00D8034C">
        <w:rPr>
          <w:i/>
        </w:rPr>
        <w:t>700 MHz Second Further Notice</w:t>
      </w:r>
      <w:r w:rsidRPr="00D8034C">
        <w:t>).</w:t>
      </w:r>
    </w:p>
  </w:footnote>
  <w:footnote w:id="1285">
    <w:p w:rsidR="00EC7CF3" w:rsidRDefault="00EC7CF3" w:rsidP="00C81B24">
      <w:pPr>
        <w:pStyle w:val="FootnoteText"/>
      </w:pPr>
      <w:r>
        <w:rPr>
          <w:rStyle w:val="FootnoteReference"/>
        </w:rPr>
        <w:footnoteRef/>
      </w:r>
      <w:r>
        <w:t xml:space="preserve"> FCC, </w:t>
      </w:r>
      <w:r>
        <w:rPr>
          <w:i/>
        </w:rPr>
        <w:t xml:space="preserve">Auction </w:t>
      </w:r>
      <w:r w:rsidRPr="007A15D8">
        <w:t>73</w:t>
      </w:r>
      <w:r>
        <w:t xml:space="preserve">, </w:t>
      </w:r>
      <w:hyperlink r:id="rId559" w:history="1">
        <w:r w:rsidRPr="007A15D8">
          <w:t>http://wireless.fcc.gov/auctions/73</w:t>
        </w:r>
      </w:hyperlink>
      <w:r>
        <w:t xml:space="preserve"> (visited Sept. 18, 2008).</w:t>
      </w:r>
    </w:p>
  </w:footnote>
  <w:footnote w:id="1286">
    <w:p w:rsidR="00EC7CF3" w:rsidRDefault="00EC7CF3" w:rsidP="00C81B24">
      <w:pPr>
        <w:pStyle w:val="FootnoteText"/>
      </w:pPr>
      <w:r>
        <w:rPr>
          <w:rStyle w:val="FootnoteReference"/>
        </w:rPr>
        <w:footnoteRef/>
      </w:r>
      <w:r>
        <w:t xml:space="preserve"> “Auction of 700 MHz Band Licenses Closes,” </w:t>
      </w:r>
      <w:r>
        <w:rPr>
          <w:i/>
        </w:rPr>
        <w:t>Public Notice</w:t>
      </w:r>
      <w:r>
        <w:t>,</w:t>
      </w:r>
      <w:r>
        <w:rPr>
          <w:i/>
        </w:rPr>
        <w:t xml:space="preserve"> </w:t>
      </w:r>
      <w:r w:rsidRPr="008578E6">
        <w:t>23 FCC Rcd</w:t>
      </w:r>
      <w:r>
        <w:t xml:space="preserve"> </w:t>
      </w:r>
      <w:r w:rsidRPr="00CA49C0">
        <w:rPr>
          <w:iCs/>
        </w:rPr>
        <w:t>4572</w:t>
      </w:r>
      <w:r>
        <w:t xml:space="preserve">, 4572-73 ¶ 2 (2008).  Auction 92 in 2011 offered 16 licenses that were previously offered in Auction 73 but remained unsold or </w:t>
      </w:r>
      <w:r w:rsidRPr="0096507C">
        <w:t>were licenses on which a winning bidder defaulted.</w:t>
      </w:r>
      <w:r>
        <w:t xml:space="preserve">  </w:t>
      </w:r>
      <w:r>
        <w:rPr>
          <w:i/>
        </w:rPr>
        <w:t xml:space="preserve">See </w:t>
      </w:r>
      <w:r>
        <w:t xml:space="preserve">Auction of 700 MHz Band Licenses Scheduled for July 19, 2011, Notice and Filing Requirements, Minimum Opening Bids, Upfront Payments, and Other Procedures for Auction 92, </w:t>
      </w:r>
      <w:r>
        <w:rPr>
          <w:i/>
        </w:rPr>
        <w:t>Public Notice</w:t>
      </w:r>
      <w:r>
        <w:t xml:space="preserve">, 26 FCC Rcd 3342 (2011).  </w:t>
      </w:r>
    </w:p>
  </w:footnote>
  <w:footnote w:id="1287">
    <w:p w:rsidR="00EC7CF3" w:rsidRDefault="00EC7CF3" w:rsidP="00C81B24">
      <w:pPr>
        <w:pStyle w:val="FootnoteText"/>
      </w:pPr>
      <w:r>
        <w:rPr>
          <w:rStyle w:val="FootnoteReference"/>
        </w:rPr>
        <w:footnoteRef/>
      </w:r>
      <w:r>
        <w:t xml:space="preserve"> </w:t>
      </w:r>
      <w:r>
        <w:rPr>
          <w:i/>
        </w:rPr>
        <w:t>See Lower 700 MHz Report and Order</w:t>
      </w:r>
      <w:r>
        <w:t xml:space="preserve">; Service Rules for the 746-764 and 776-794 MHz Bands, and Revisions to Part 27 of the Commission’s Rules, </w:t>
      </w:r>
      <w:r>
        <w:rPr>
          <w:i/>
        </w:rPr>
        <w:t>Third Report and Order</w:t>
      </w:r>
      <w:r>
        <w:t xml:space="preserve">, 16 FCC Rcd 2703 (2001); Service Rules for the 746-764 and 776-794 MHz Bands, and Revisions to Part 27 of the Commission’s Rules, </w:t>
      </w:r>
      <w:r>
        <w:rPr>
          <w:i/>
        </w:rPr>
        <w:t>Second Memorandum Opinion and Order</w:t>
      </w:r>
      <w:r>
        <w:t xml:space="preserve">, 16 FCC Rcd 1239 (2001); Service Rules for the 746-764 and 776-794 MHz Bands, and Revisions to Part 27 of the Commission’s Rules, </w:t>
      </w:r>
      <w:r>
        <w:rPr>
          <w:i/>
        </w:rPr>
        <w:t>Memorandum Opinion and Order and Further Notice of Proposed Rulemaking</w:t>
      </w:r>
      <w:r>
        <w:t xml:space="preserve">, 15 FCC Rcd 20845 (2000); Service Rules for the 746-764 and 776-794 MHz Bands, and Revisions to Part 27 of the Commission’s Rules, </w:t>
      </w:r>
      <w:r>
        <w:rPr>
          <w:i/>
        </w:rPr>
        <w:t>Second Report and Order</w:t>
      </w:r>
      <w:r>
        <w:t>, 15 FCC Rcd 5299 (2000) (</w:t>
      </w:r>
      <w:r>
        <w:rPr>
          <w:i/>
        </w:rPr>
        <w:t>Upper 700 MHz Second Report and Order</w:t>
      </w:r>
      <w:r>
        <w:t xml:space="preserve">); </w:t>
      </w:r>
      <w:r>
        <w:rPr>
          <w:i/>
        </w:rPr>
        <w:t>700 MHz Second</w:t>
      </w:r>
      <w:r w:rsidRPr="00D845B2">
        <w:rPr>
          <w:i/>
        </w:rPr>
        <w:t xml:space="preserve"> R</w:t>
      </w:r>
      <w:r>
        <w:rPr>
          <w:i/>
        </w:rPr>
        <w:t>&amp;O</w:t>
      </w:r>
      <w:r w:rsidRPr="0054209B">
        <w:t>;</w:t>
      </w:r>
      <w:r>
        <w:rPr>
          <w:i/>
        </w:rPr>
        <w:t xml:space="preserve"> 700 MHz Report and Order</w:t>
      </w:r>
      <w:r>
        <w:t xml:space="preserve">.  The 82 megahertz of spectrum does not include the reconfigured Guard Band B Block spectrum at 775-776/805-806 MHz.  </w:t>
      </w:r>
      <w:r>
        <w:rPr>
          <w:i/>
        </w:rPr>
        <w:t>See 700 MHz Second R&amp;O</w:t>
      </w:r>
      <w:r>
        <w:t>, 22 FCC Rcd at 15294 ¶ 9, 15388-89 ¶¶ 266-69.</w:t>
      </w:r>
    </w:p>
  </w:footnote>
  <w:footnote w:id="1288">
    <w:p w:rsidR="00EC7CF3" w:rsidRDefault="00EC7CF3" w:rsidP="00C81B24">
      <w:pPr>
        <w:pStyle w:val="FootnoteText"/>
      </w:pPr>
      <w:r>
        <w:rPr>
          <w:rStyle w:val="FootnoteReference"/>
        </w:rPr>
        <w:footnoteRef/>
      </w:r>
      <w:r>
        <w:t xml:space="preserve"> </w:t>
      </w:r>
      <w:r>
        <w:rPr>
          <w:i/>
        </w:rPr>
        <w:t>See generally</w:t>
      </w:r>
      <w:r>
        <w:t xml:space="preserve"> </w:t>
      </w:r>
      <w:r>
        <w:rPr>
          <w:i/>
        </w:rPr>
        <w:t xml:space="preserve">id.  </w:t>
      </w:r>
    </w:p>
  </w:footnote>
  <w:footnote w:id="1289">
    <w:p w:rsidR="00EC7CF3" w:rsidRDefault="00EC7CF3" w:rsidP="00C81B24">
      <w:pPr>
        <w:pStyle w:val="FootnoteText"/>
      </w:pPr>
      <w:r>
        <w:rPr>
          <w:rStyle w:val="FootnoteReference"/>
        </w:rPr>
        <w:footnoteRef/>
      </w:r>
      <w:r>
        <w:t xml:space="preserve"> </w:t>
      </w:r>
      <w:r w:rsidRPr="00D40600">
        <w:rPr>
          <w:i/>
        </w:rPr>
        <w:t xml:space="preserve">See </w:t>
      </w:r>
      <w:r w:rsidRPr="00D40600">
        <w:t>Section IV.B.1, Network Coverage and Technology Upgrades</w:t>
      </w:r>
      <w:r>
        <w:t>.</w:t>
      </w:r>
    </w:p>
  </w:footnote>
  <w:footnote w:id="1290">
    <w:p w:rsidR="00EC7CF3" w:rsidRDefault="00EC7CF3" w:rsidP="00C81B24">
      <w:pPr>
        <w:pStyle w:val="FootnoteText"/>
      </w:pPr>
      <w:r>
        <w:rPr>
          <w:rStyle w:val="FootnoteReference"/>
        </w:rPr>
        <w:footnoteRef/>
      </w:r>
      <w:r>
        <w:t xml:space="preserve"> </w:t>
      </w:r>
      <w:r>
        <w:rPr>
          <w:i/>
        </w:rPr>
        <w:t>Id.</w:t>
      </w:r>
    </w:p>
  </w:footnote>
  <w:footnote w:id="1291">
    <w:p w:rsidR="00EC7CF3" w:rsidRDefault="00EC7CF3" w:rsidP="00C81B24">
      <w:pPr>
        <w:pStyle w:val="FootnoteText"/>
      </w:pPr>
      <w:r>
        <w:rPr>
          <w:rStyle w:val="FootnoteReference"/>
        </w:rPr>
        <w:footnoteRef/>
      </w:r>
      <w:r>
        <w:t xml:space="preserve"> </w:t>
      </w:r>
      <w:r w:rsidRPr="00D40600">
        <w:t xml:space="preserve">Application of AT&amp;T Inc and Qualcomm Incorporated for Consent to Assign Licenses and Authorizations, WT Docket No. 11-18, </w:t>
      </w:r>
      <w:r w:rsidRPr="00D40600">
        <w:rPr>
          <w:i/>
        </w:rPr>
        <w:t>Order</w:t>
      </w:r>
      <w:r w:rsidRPr="00D40600">
        <w:t>, 26 FCC Rcd 17589, 17625 ¶ 89 (2011) (</w:t>
      </w:r>
      <w:r w:rsidRPr="00D40600">
        <w:rPr>
          <w:i/>
        </w:rPr>
        <w:t>AT&amp;T-Qualcomm Order</w:t>
      </w:r>
      <w:r w:rsidRPr="00D40600">
        <w:t>).</w:t>
      </w:r>
    </w:p>
  </w:footnote>
  <w:footnote w:id="1292">
    <w:p w:rsidR="00EC7CF3" w:rsidRDefault="00EC7CF3" w:rsidP="00C81B24">
      <w:pPr>
        <w:pStyle w:val="FootnoteText"/>
      </w:pPr>
      <w:r>
        <w:rPr>
          <w:rStyle w:val="FootnoteReference"/>
        </w:rPr>
        <w:footnoteRef/>
      </w:r>
      <w:r>
        <w:t xml:space="preserve"> </w:t>
      </w:r>
      <w:r>
        <w:rPr>
          <w:i/>
        </w:rPr>
        <w:t>See Spectrum Act</w:t>
      </w:r>
      <w:r>
        <w:t xml:space="preserve"> at § 6101(a).</w:t>
      </w:r>
    </w:p>
  </w:footnote>
  <w:footnote w:id="1293">
    <w:p w:rsidR="00EC7CF3" w:rsidRDefault="00EC7CF3" w:rsidP="00C81B24">
      <w:pPr>
        <w:pStyle w:val="FootnoteText"/>
      </w:pPr>
      <w:r>
        <w:rPr>
          <w:rStyle w:val="FootnoteReference"/>
        </w:rPr>
        <w:footnoteRef/>
      </w:r>
      <w:r>
        <w:t xml:space="preserve"> </w:t>
      </w:r>
      <w:r w:rsidRPr="00372F3B">
        <w:t>Implementation of Section 6002(b) of the Omnibus Budget Reconciliation Act of 1993</w:t>
      </w:r>
      <w:r>
        <w:t xml:space="preserve">, </w:t>
      </w:r>
      <w:r w:rsidRPr="00372F3B">
        <w:t>PS Docket No. 12-94</w:t>
      </w:r>
      <w:r>
        <w:t xml:space="preserve">, DA 12-1462, Report and Order (PSHSB, adopted September 7, 2012).  </w:t>
      </w:r>
      <w:r w:rsidRPr="00FA30F4">
        <w:t xml:space="preserve">  </w:t>
      </w:r>
      <w:r>
        <w:t xml:space="preserve"> </w:t>
      </w:r>
    </w:p>
  </w:footnote>
  <w:footnote w:id="1294">
    <w:p w:rsidR="00EC7CF3" w:rsidRDefault="00EC7CF3" w:rsidP="00C81B24">
      <w:pPr>
        <w:pStyle w:val="FootnoteText"/>
      </w:pPr>
      <w:r w:rsidRPr="00207488">
        <w:rPr>
          <w:rStyle w:val="FootnoteReference"/>
        </w:rPr>
        <w:footnoteRef/>
      </w:r>
      <w:r w:rsidRPr="00207488">
        <w:t xml:space="preserve"> </w:t>
      </w:r>
      <w:r>
        <w:t xml:space="preserve">47 C.F.R. § 24.3.  </w:t>
      </w:r>
      <w:r w:rsidRPr="00207488">
        <w:t xml:space="preserve">Advanced Wireless Services (AWS) is the collective term we use for new and innovative fixed and mobile terrestrial wireless applications using bandwidth that is sufficient for the provision of a variety of applications, including those using voice and data (such as </w:t>
      </w:r>
      <w:r>
        <w:t>Internet</w:t>
      </w:r>
      <w:r w:rsidRPr="00207488">
        <w:t xml:space="preserve"> browsing, message services, and full-motion video) content.</w:t>
      </w:r>
    </w:p>
  </w:footnote>
  <w:footnote w:id="1295">
    <w:p w:rsidR="00EC7CF3" w:rsidRDefault="00EC7CF3" w:rsidP="00C81B24">
      <w:pPr>
        <w:pStyle w:val="FootnoteText"/>
      </w:pPr>
      <w:r>
        <w:rPr>
          <w:rStyle w:val="FootnoteReference"/>
        </w:rPr>
        <w:footnoteRef/>
      </w:r>
      <w:r>
        <w:t xml:space="preserve"> </w:t>
      </w:r>
      <w:r>
        <w:rPr>
          <w:i/>
        </w:rPr>
        <w:t>Eleventh</w:t>
      </w:r>
      <w:r w:rsidRPr="00457CC3">
        <w:rPr>
          <w:i/>
        </w:rPr>
        <w:t xml:space="preserve"> Report</w:t>
      </w:r>
      <w:r>
        <w:t xml:space="preserve">, 21 </w:t>
      </w:r>
      <w:r w:rsidRPr="00CD6D29">
        <w:t>FCC</w:t>
      </w:r>
      <w:r>
        <w:t xml:space="preserve"> Rcd at 10977 ¶ 73.  The Commercial Spectrum Enhancement Act, signed into law on December 23, 2004, establishes a Spectrum Relocation Fund to reimburse federal agencies operating on certain frequencies that have been reallocated to non-federal use, including the 1710-1755 MHz band, for the cost of relocating their operations.  </w:t>
      </w:r>
      <w:r>
        <w:rPr>
          <w:i/>
        </w:rPr>
        <w:t>See</w:t>
      </w:r>
      <w:r>
        <w:t xml:space="preserve"> Commercial Spectrum Enhancement Act, Pub. L. No. 108-494, 118 Stat. 3986, Title II (2004).</w:t>
      </w:r>
    </w:p>
  </w:footnote>
  <w:footnote w:id="1296">
    <w:p w:rsidR="00EC7CF3" w:rsidRDefault="00EC7CF3" w:rsidP="00C81B24">
      <w:pPr>
        <w:pStyle w:val="FootnoteText"/>
      </w:pPr>
      <w:r>
        <w:rPr>
          <w:rStyle w:val="FootnoteReference"/>
        </w:rPr>
        <w:footnoteRef/>
      </w:r>
      <w:r>
        <w:t xml:space="preserve"> </w:t>
      </w:r>
      <w:r>
        <w:rPr>
          <w:i/>
        </w:rPr>
        <w:t>Eleventh</w:t>
      </w:r>
      <w:r w:rsidRPr="00457CC3">
        <w:rPr>
          <w:i/>
        </w:rPr>
        <w:t xml:space="preserve"> Report</w:t>
      </w:r>
      <w:r>
        <w:t xml:space="preserve">, 21 </w:t>
      </w:r>
      <w:r w:rsidRPr="00CD6D29">
        <w:t>FCC</w:t>
      </w:r>
      <w:r>
        <w:t xml:space="preserve"> Rcd at 10977-10978 ¶ 74; 47 C.F.R. § 27.</w:t>
      </w:r>
    </w:p>
  </w:footnote>
  <w:footnote w:id="1297">
    <w:p w:rsidR="00EC7CF3" w:rsidRDefault="00EC7CF3" w:rsidP="00C81B24">
      <w:pPr>
        <w:pStyle w:val="FootnoteText"/>
      </w:pPr>
      <w:r>
        <w:rPr>
          <w:rStyle w:val="FootnoteReference"/>
        </w:rPr>
        <w:footnoteRef/>
      </w:r>
      <w:r>
        <w:t xml:space="preserve"> </w:t>
      </w:r>
      <w:r>
        <w:rPr>
          <w:i/>
        </w:rPr>
        <w:t>Eleventh</w:t>
      </w:r>
      <w:r w:rsidRPr="00457CC3">
        <w:rPr>
          <w:i/>
        </w:rPr>
        <w:t xml:space="preserve"> Report</w:t>
      </w:r>
      <w:r>
        <w:t xml:space="preserve">, 21 </w:t>
      </w:r>
      <w:r w:rsidRPr="00CD6D29">
        <w:t>FCC</w:t>
      </w:r>
      <w:r>
        <w:t xml:space="preserve"> Rcd at 10978, ¶ 74.</w:t>
      </w:r>
    </w:p>
  </w:footnote>
  <w:footnote w:id="1298">
    <w:p w:rsidR="00EC7CF3" w:rsidRDefault="00EC7CF3" w:rsidP="00C81B24">
      <w:pPr>
        <w:pStyle w:val="FootnoteText"/>
      </w:pPr>
      <w:r>
        <w:rPr>
          <w:rStyle w:val="FootnoteReference"/>
        </w:rPr>
        <w:footnoteRef/>
      </w:r>
      <w:r>
        <w:t xml:space="preserve"> </w:t>
      </w:r>
      <w:r w:rsidRPr="005036D9">
        <w:rPr>
          <w:i/>
        </w:rPr>
        <w:t>See</w:t>
      </w:r>
      <w:r w:rsidRPr="00195504">
        <w:t xml:space="preserve"> </w:t>
      </w:r>
      <w:r>
        <w:t>“</w:t>
      </w:r>
      <w:r w:rsidRPr="002A7EAA">
        <w:t>Auction of Advanced Wireless Services Closes: Winning Bidders Announced for Auction 66,</w:t>
      </w:r>
      <w:r>
        <w:t>”</w:t>
      </w:r>
      <w:r w:rsidRPr="002A7EAA">
        <w:t xml:space="preserve"> Report</w:t>
      </w:r>
      <w:r>
        <w:t xml:space="preserve"> </w:t>
      </w:r>
      <w:r w:rsidRPr="002A7EAA">
        <w:t xml:space="preserve">AUC-06-66-F, </w:t>
      </w:r>
      <w:r w:rsidRPr="005036D9">
        <w:rPr>
          <w:i/>
        </w:rPr>
        <w:t>Public Notic</w:t>
      </w:r>
      <w:r w:rsidRPr="00195504">
        <w:t>e</w:t>
      </w:r>
      <w:r w:rsidRPr="002A7EAA">
        <w:t>, 21 FCC Rcd 10521 (</w:t>
      </w:r>
      <w:r>
        <w:t>2006)</w:t>
      </w:r>
      <w:r w:rsidRPr="002A7EAA">
        <w:t xml:space="preserve">. </w:t>
      </w:r>
      <w:r>
        <w:t xml:space="preserve"> </w:t>
      </w:r>
    </w:p>
  </w:footnote>
  <w:footnote w:id="1299">
    <w:p w:rsidR="00EC7CF3" w:rsidRDefault="00EC7CF3" w:rsidP="00C81B24">
      <w:pPr>
        <w:pStyle w:val="FootnoteText"/>
      </w:pPr>
      <w:r>
        <w:rPr>
          <w:rStyle w:val="FootnoteReference"/>
        </w:rPr>
        <w:footnoteRef/>
      </w:r>
      <w:r>
        <w:t xml:space="preserve"> </w:t>
      </w:r>
      <w:r>
        <w:rPr>
          <w:i/>
        </w:rPr>
        <w:t>Id.</w:t>
      </w:r>
    </w:p>
  </w:footnote>
  <w:footnote w:id="1300">
    <w:p w:rsidR="00EC7CF3" w:rsidRDefault="00EC7CF3" w:rsidP="00C81B24">
      <w:pPr>
        <w:pStyle w:val="FootnoteText"/>
      </w:pPr>
      <w:r>
        <w:rPr>
          <w:rStyle w:val="FootnoteReference"/>
        </w:rPr>
        <w:footnoteRef/>
      </w:r>
      <w:r>
        <w:t xml:space="preserve"> </w:t>
      </w:r>
      <w:r w:rsidRPr="00804748">
        <w:rPr>
          <w:i/>
        </w:rPr>
        <w:t>See</w:t>
      </w:r>
      <w:r>
        <w:t xml:space="preserve"> “</w:t>
      </w:r>
      <w:r w:rsidRPr="00804748">
        <w:t xml:space="preserve">Auction of AWS-1 and Broadband PCS Licenses </w:t>
      </w:r>
      <w:r>
        <w:t>Rescheduled for August 13, 2008,”</w:t>
      </w:r>
      <w:r w:rsidRPr="00804748">
        <w:t xml:space="preserve"> </w:t>
      </w:r>
      <w:r w:rsidRPr="00804748">
        <w:rPr>
          <w:i/>
        </w:rPr>
        <w:t>Public Notice</w:t>
      </w:r>
      <w:r>
        <w:t xml:space="preserve">, 23 FCC Rcd 7496 (2008).     </w:t>
      </w:r>
    </w:p>
  </w:footnote>
  <w:footnote w:id="1301">
    <w:p w:rsidR="00EC7CF3" w:rsidRDefault="00EC7CF3" w:rsidP="00C81B24">
      <w:pPr>
        <w:pStyle w:val="FootnoteText"/>
      </w:pPr>
      <w:r>
        <w:rPr>
          <w:rStyle w:val="FootnoteReference"/>
        </w:rPr>
        <w:footnoteRef/>
      </w:r>
      <w:r>
        <w:t xml:space="preserve"> </w:t>
      </w:r>
      <w:r w:rsidRPr="00804748">
        <w:rPr>
          <w:i/>
        </w:rPr>
        <w:t>See</w:t>
      </w:r>
      <w:r>
        <w:t xml:space="preserve"> “</w:t>
      </w:r>
      <w:r w:rsidRPr="00804748">
        <w:t>Auction of AWS-1 and</w:t>
      </w:r>
      <w:r>
        <w:t xml:space="preserve"> Broadband PCS Licenses Closes,” </w:t>
      </w:r>
      <w:r w:rsidRPr="00804748">
        <w:rPr>
          <w:i/>
        </w:rPr>
        <w:t>Public Notice</w:t>
      </w:r>
      <w:r>
        <w:t xml:space="preserve">, 23 FCC Rcd 12749 (2008).  </w:t>
      </w:r>
    </w:p>
  </w:footnote>
  <w:footnote w:id="1302">
    <w:p w:rsidR="00EC7CF3" w:rsidRDefault="00EC7CF3" w:rsidP="00C81B24">
      <w:pPr>
        <w:pStyle w:val="FootnoteText"/>
      </w:pPr>
      <w:r>
        <w:rPr>
          <w:rStyle w:val="FootnoteReference"/>
        </w:rPr>
        <w:footnoteRef/>
      </w:r>
      <w:r>
        <w:t xml:space="preserve"> </w:t>
      </w:r>
      <w:r w:rsidRPr="00207488">
        <w:t xml:space="preserve">Amendment of Part 2 of the Commission’s Rules to Allocate Spectrum Below 3 GHz for Mobile and Fixed Services to Support the Introduction of New Advanced Wireless Services, Including Third Generation Wireless Systems, </w:t>
      </w:r>
      <w:r w:rsidRPr="00207488">
        <w:rPr>
          <w:i/>
        </w:rPr>
        <w:t>Sixth Report and Order, Third</w:t>
      </w:r>
      <w:r w:rsidRPr="00207488">
        <w:t xml:space="preserve"> </w:t>
      </w:r>
      <w:r w:rsidRPr="00207488">
        <w:rPr>
          <w:i/>
        </w:rPr>
        <w:t>Memorandum Opinion and Order and Fifth Memorandum Opinion and Order</w:t>
      </w:r>
      <w:r w:rsidRPr="00207488">
        <w:t>, 19 FCC Rcd 20720 (2004).</w:t>
      </w:r>
    </w:p>
  </w:footnote>
  <w:footnote w:id="1303">
    <w:p w:rsidR="00EC7CF3" w:rsidRDefault="00EC7CF3" w:rsidP="00C81B24">
      <w:pPr>
        <w:pStyle w:val="FootnoteText"/>
      </w:pPr>
      <w:r>
        <w:rPr>
          <w:rStyle w:val="FootnoteReference"/>
        </w:rPr>
        <w:footnoteRef/>
      </w:r>
      <w:r>
        <w:t xml:space="preserve"> </w:t>
      </w:r>
      <w:r w:rsidRPr="00207488">
        <w:t>Service Rules for Advanced Wireless Services in the 1915-1920 MHz, 1995-2000 MHz, 2020-2025 MHz and 2175-2180 MHz Bands; Service Rules for Advanced Wireless Services in the 1.7 GHz and 2.1 GHz Bands,</w:t>
      </w:r>
      <w:r>
        <w:t xml:space="preserve"> </w:t>
      </w:r>
      <w:r w:rsidRPr="00207488">
        <w:rPr>
          <w:i/>
        </w:rPr>
        <w:t>Notice of Proposed Rulemaking</w:t>
      </w:r>
      <w:r w:rsidRPr="00207488">
        <w:t>, 19 FCC Rcd 19263 (2004)</w:t>
      </w:r>
      <w:r>
        <w:t>.</w:t>
      </w:r>
    </w:p>
  </w:footnote>
  <w:footnote w:id="1304">
    <w:p w:rsidR="00EC7CF3" w:rsidRDefault="00EC7CF3" w:rsidP="00C81B24">
      <w:pPr>
        <w:pStyle w:val="FootnoteText"/>
      </w:pPr>
      <w:r>
        <w:rPr>
          <w:rStyle w:val="FootnoteReference"/>
        </w:rPr>
        <w:footnoteRef/>
      </w:r>
      <w:r>
        <w:t xml:space="preserve"> </w:t>
      </w:r>
      <w:r>
        <w:rPr>
          <w:i/>
        </w:rPr>
        <w:t>See</w:t>
      </w:r>
      <w:r>
        <w:t xml:space="preserve"> </w:t>
      </w:r>
      <w:r w:rsidRPr="0061039B">
        <w:t xml:space="preserve">Amendment </w:t>
      </w:r>
      <w:r>
        <w:t>o</w:t>
      </w:r>
      <w:r w:rsidRPr="0061039B">
        <w:t xml:space="preserve">f Part 2 </w:t>
      </w:r>
      <w:r>
        <w:t>o</w:t>
      </w:r>
      <w:r w:rsidRPr="0061039B">
        <w:t xml:space="preserve">f </w:t>
      </w:r>
      <w:r>
        <w:t>t</w:t>
      </w:r>
      <w:r w:rsidRPr="0061039B">
        <w:t>he Commission</w:t>
      </w:r>
      <w:r>
        <w:t>’</w:t>
      </w:r>
      <w:r w:rsidRPr="0061039B">
        <w:t>s Rules</w:t>
      </w:r>
      <w:r>
        <w:t xml:space="preserve"> to Allocate Spectrum Below 3 GH</w:t>
      </w:r>
      <w:r w:rsidRPr="0061039B">
        <w:t xml:space="preserve">z </w:t>
      </w:r>
      <w:r>
        <w:t>f</w:t>
      </w:r>
      <w:r w:rsidRPr="0061039B">
        <w:t xml:space="preserve">or Mobile </w:t>
      </w:r>
      <w:r>
        <w:t>a</w:t>
      </w:r>
      <w:r w:rsidRPr="0061039B">
        <w:t xml:space="preserve">nd Fixed Services </w:t>
      </w:r>
      <w:r>
        <w:t>to Support t</w:t>
      </w:r>
      <w:r w:rsidRPr="0061039B">
        <w:t xml:space="preserve">he Introduction </w:t>
      </w:r>
      <w:r>
        <w:t>o</w:t>
      </w:r>
      <w:r w:rsidRPr="0061039B">
        <w:t>f New Advanced Wireless Services, Including Third Generation Wireless S</w:t>
      </w:r>
      <w:r>
        <w:t xml:space="preserve">ystems, </w:t>
      </w:r>
      <w:r>
        <w:rPr>
          <w:i/>
        </w:rPr>
        <w:t>Eighth Report and Order, Fifth Notice of Proposed Rule Making and Order</w:t>
      </w:r>
      <w:r>
        <w:t>,</w:t>
      </w:r>
      <w:r>
        <w:rPr>
          <w:i/>
        </w:rPr>
        <w:t xml:space="preserve"> </w:t>
      </w:r>
      <w:r w:rsidRPr="00724608">
        <w:t xml:space="preserve">20 FCC </w:t>
      </w:r>
      <w:r>
        <w:t>Rcd 15</w:t>
      </w:r>
      <w:r w:rsidRPr="00724608">
        <w:t>866</w:t>
      </w:r>
      <w:r>
        <w:rPr>
          <w:iCs/>
        </w:rPr>
        <w:t xml:space="preserve"> </w:t>
      </w:r>
      <w:r w:rsidRPr="0061039B">
        <w:t>(2005</w:t>
      </w:r>
      <w:r>
        <w:t>).</w:t>
      </w:r>
    </w:p>
  </w:footnote>
  <w:footnote w:id="1305">
    <w:p w:rsidR="00EC7CF3" w:rsidRDefault="00EC7CF3" w:rsidP="00C81B24">
      <w:pPr>
        <w:pStyle w:val="FootnoteText"/>
      </w:pPr>
      <w:r>
        <w:rPr>
          <w:rStyle w:val="FootnoteReference"/>
        </w:rPr>
        <w:footnoteRef/>
      </w:r>
      <w:r>
        <w:t xml:space="preserve"> Service Rules for Advanced Wireless Services in the 2155-2175 MHz Band, </w:t>
      </w:r>
      <w:r w:rsidRPr="00215025">
        <w:rPr>
          <w:i/>
        </w:rPr>
        <w:t>Notice of Proposed Rulemaking</w:t>
      </w:r>
      <w:r>
        <w:t>, 22 FCC Rcd 17035 (2007).</w:t>
      </w:r>
    </w:p>
  </w:footnote>
  <w:footnote w:id="1306">
    <w:p w:rsidR="00EC7CF3" w:rsidRDefault="00EC7CF3" w:rsidP="00C81B24">
      <w:pPr>
        <w:pStyle w:val="FootnoteText"/>
      </w:pPr>
      <w:r>
        <w:rPr>
          <w:rStyle w:val="FootnoteReference"/>
        </w:rPr>
        <w:footnoteRef/>
      </w:r>
      <w:r>
        <w:t xml:space="preserve"> Service Rules for Advanced Wireless Services in the 2155-2175 MHz Band; and Service Rules for Advanced Wireless Services in the 1915-1920 MHz, 1995-2000 MHz, 2020-2025 MHz and 2175-2180 MHz Bands, </w:t>
      </w:r>
      <w:r>
        <w:rPr>
          <w:i/>
        </w:rPr>
        <w:t>Further</w:t>
      </w:r>
      <w:r>
        <w:t xml:space="preserve"> </w:t>
      </w:r>
      <w:r>
        <w:rPr>
          <w:i/>
        </w:rPr>
        <w:t>Notice of Proposed Rulemaking</w:t>
      </w:r>
      <w:r>
        <w:t>, 23 FCC Rcd 9859 (2008).</w:t>
      </w:r>
    </w:p>
  </w:footnote>
  <w:footnote w:id="1307">
    <w:p w:rsidR="00EC7CF3" w:rsidRDefault="00EC7CF3" w:rsidP="00C81B24">
      <w:pPr>
        <w:pStyle w:val="FootnoteText"/>
      </w:pPr>
      <w:r>
        <w:rPr>
          <w:rStyle w:val="FootnoteReference"/>
        </w:rPr>
        <w:footnoteRef/>
      </w:r>
      <w:r>
        <w:t xml:space="preserve"> </w:t>
      </w:r>
      <w:r>
        <w:rPr>
          <w:i/>
        </w:rPr>
        <w:t>See Spectrum Act</w:t>
      </w:r>
      <w:r>
        <w:t xml:space="preserve"> at § 6401(b).  Certain spectrum to be identified by NTIA (15 megahertz of spectrum between 1675 MHz and 1710 MHz) and certain spectrum to be identified by the Commission (15 megahertz of contiguous spectrum), will also be subject to this requirement.  </w:t>
      </w:r>
      <w:r>
        <w:rPr>
          <w:i/>
        </w:rPr>
        <w:t>Id.</w:t>
      </w:r>
      <w:r>
        <w:t xml:space="preserve"> at § 6401(a), (b).</w:t>
      </w:r>
    </w:p>
  </w:footnote>
  <w:footnote w:id="1308">
    <w:p w:rsidR="00EC7CF3" w:rsidRDefault="00EC7CF3" w:rsidP="00C81B24">
      <w:pPr>
        <w:pStyle w:val="FootnoteText"/>
      </w:pPr>
      <w:r>
        <w:rPr>
          <w:rStyle w:val="FootnoteReference"/>
        </w:rPr>
        <w:footnoteRef/>
      </w:r>
      <w:r>
        <w:t xml:space="preserve"> </w:t>
      </w:r>
      <w:r>
        <w:rPr>
          <w:i/>
        </w:rPr>
        <w:t>Id.</w:t>
      </w:r>
      <w:r>
        <w:t xml:space="preserve"> at § 6401(b)(4).</w:t>
      </w:r>
    </w:p>
  </w:footnote>
  <w:footnote w:id="1309">
    <w:p w:rsidR="00EC7CF3" w:rsidRDefault="00EC7CF3" w:rsidP="00C81B24">
      <w:pPr>
        <w:pStyle w:val="FootnoteText"/>
      </w:pPr>
      <w:r>
        <w:rPr>
          <w:rStyle w:val="FootnoteReference"/>
        </w:rPr>
        <w:footnoteRef/>
      </w:r>
      <w:r>
        <w:t xml:space="preserve"> </w:t>
      </w:r>
      <w:r w:rsidRPr="006D1C03">
        <w:rPr>
          <w:snapToGrid w:val="0"/>
          <w:kern w:val="28"/>
        </w:rPr>
        <w:t>Fixed and Mobile Services in the Mobile Satellite Service Bands at</w:t>
      </w:r>
      <w:r>
        <w:rPr>
          <w:snapToGrid w:val="0"/>
          <w:kern w:val="28"/>
        </w:rPr>
        <w:t xml:space="preserve"> 1525-1559 MHz and 1626.5-1660.5 MHz, 1610-1626.5 MHz and 2483.5-2500 MHz, and 2000-2020 MHz and 2180-2200 MHz, </w:t>
      </w:r>
      <w:r>
        <w:rPr>
          <w:i/>
          <w:snapToGrid w:val="0"/>
          <w:kern w:val="28"/>
        </w:rPr>
        <w:t>Report and Order</w:t>
      </w:r>
      <w:r>
        <w:rPr>
          <w:snapToGrid w:val="0"/>
          <w:kern w:val="28"/>
        </w:rPr>
        <w:t xml:space="preserve">, ET Docket No. 10-142, </w:t>
      </w:r>
      <w:r>
        <w:rPr>
          <w:i/>
          <w:snapToGrid w:val="0"/>
          <w:kern w:val="28"/>
        </w:rPr>
        <w:t>Report and Order</w:t>
      </w:r>
      <w:r>
        <w:rPr>
          <w:snapToGrid w:val="0"/>
          <w:kern w:val="28"/>
        </w:rPr>
        <w:t>, 26 FCC Rcd 5710 (2011).</w:t>
      </w:r>
    </w:p>
  </w:footnote>
  <w:footnote w:id="1310">
    <w:p w:rsidR="00EC7CF3" w:rsidRDefault="00EC7CF3" w:rsidP="00C81B24">
      <w:pPr>
        <w:pStyle w:val="FootnoteText"/>
      </w:pPr>
      <w:r>
        <w:rPr>
          <w:rStyle w:val="FootnoteReference"/>
        </w:rPr>
        <w:footnoteRef/>
      </w:r>
      <w:r>
        <w:t xml:space="preserve"> </w:t>
      </w:r>
      <w:r w:rsidRPr="00D57455">
        <w:t xml:space="preserve">Service Rules for Advanced Wireless Services in the 2000-2020 MHz and 2180-2200 MHz Bands, WT Docket No. 12-70, Fixed and Mobile Services in the Mobile Satellite Service Bands at 1525-1559 MHz and 1626.5-1660.5 MHz, 1610-1626.5 MHz and 2483.5-2500 MHz, and 2000-2020 MHz and 2180-2200 MHz, ET Docket No. 10-142, Service Rules for Advanced Wireless Services in the 1915-1920 MHz, 1995-2000 MHz, 2020-2025 MHz and 2175-2180 MHz Bands, WT Docket No. 04-356, </w:t>
      </w:r>
      <w:r w:rsidRPr="00D57455">
        <w:rPr>
          <w:i/>
        </w:rPr>
        <w:t>Notice of Proposed Rulemaking and Notice of Inquiry</w:t>
      </w:r>
      <w:r w:rsidRPr="00D57455">
        <w:t xml:space="preserve">, </w:t>
      </w:r>
      <w:r>
        <w:t xml:space="preserve">27 </w:t>
      </w:r>
      <w:r w:rsidRPr="00D57455">
        <w:t>FCC Rcd</w:t>
      </w:r>
      <w:r>
        <w:t xml:space="preserve"> 3561</w:t>
      </w:r>
      <w:r w:rsidRPr="00D57455">
        <w:t xml:space="preserve"> (2012) (</w:t>
      </w:r>
      <w:r w:rsidRPr="00D57455">
        <w:rPr>
          <w:i/>
        </w:rPr>
        <w:t>AWS-4 NPRM</w:t>
      </w:r>
      <w:r w:rsidRPr="00D57455">
        <w:t>).</w:t>
      </w:r>
    </w:p>
  </w:footnote>
  <w:footnote w:id="1311">
    <w:p w:rsidR="00EC7CF3" w:rsidRDefault="00EC7CF3" w:rsidP="00C81B24">
      <w:pPr>
        <w:pStyle w:val="FootnoteText"/>
      </w:pPr>
      <w:r>
        <w:rPr>
          <w:rStyle w:val="FootnoteReference"/>
        </w:rPr>
        <w:footnoteRef/>
      </w:r>
      <w:r>
        <w:t xml:space="preserve"> </w:t>
      </w:r>
      <w:r w:rsidRPr="007D3EC9">
        <w:rPr>
          <w:i/>
        </w:rPr>
        <w:t>See</w:t>
      </w:r>
      <w:r>
        <w:t xml:space="preserve"> </w:t>
      </w:r>
      <w:r w:rsidRPr="0060075F">
        <w:t>Service Rules for Advanced Wireless Services in the 2000-2020 MHz and 2180-2200 MHz Bands, WT Docket No. 12-70, Fixed and Mobile Services in the Mobile Satellite Service Bands at 1525-1559 MHz and 1626.5-1660.5 MHz, 1</w:t>
      </w:r>
      <w:r>
        <w:t>610-1626.5 MHz and 2483.5-2500 M</w:t>
      </w:r>
      <w:r w:rsidRPr="0060075F">
        <w:t>Hz, and 2000-2020 MHz and 2180-2200 MHz, ET Docket No. 10-142, Service Rules for Advanced Wireless Services in the 1915-1920 MHz, 1995-2000 MHz, 2020-2025 MHz and 2175-2180 MHz Bands, WT Docket No. 04-356,</w:t>
      </w:r>
      <w:r>
        <w:t xml:space="preserve"> </w:t>
      </w:r>
      <w:r>
        <w:rPr>
          <w:i/>
        </w:rPr>
        <w:t xml:space="preserve">Report and Order and Order of Proposed Modification, </w:t>
      </w:r>
      <w:r w:rsidRPr="003E187C">
        <w:t>FCC 12-151 (rel. Dec. 17, 2012)</w:t>
      </w:r>
      <w:r>
        <w:t xml:space="preserve"> </w:t>
      </w:r>
      <w:r w:rsidRPr="003E187C">
        <w:rPr>
          <w:i/>
        </w:rPr>
        <w:t xml:space="preserve">(AWS-4 </w:t>
      </w:r>
      <w:r>
        <w:rPr>
          <w:i/>
        </w:rPr>
        <w:t>Report and Order</w:t>
      </w:r>
      <w:r w:rsidRPr="003E187C">
        <w:rPr>
          <w:i/>
        </w:rPr>
        <w:t>).</w:t>
      </w:r>
    </w:p>
  </w:footnote>
  <w:footnote w:id="1312">
    <w:p w:rsidR="00EC7CF3" w:rsidRDefault="00EC7CF3" w:rsidP="00C81B24">
      <w:pPr>
        <w:pStyle w:val="FootnoteText"/>
      </w:pPr>
      <w:r>
        <w:rPr>
          <w:rStyle w:val="FootnoteReference"/>
        </w:rPr>
        <w:footnoteRef/>
      </w:r>
      <w:r>
        <w:t xml:space="preserve"> Amendment of Parts 1, 21, 73, 74, and 101 of the Commission’s Rules to Facilitate the Provision of Fixed and Mobile Broadband Access, Educational, and Other Advanced Services in the 2150-2162 and 2500-2690 MHz Bands, </w:t>
      </w:r>
      <w:r w:rsidRPr="007C3DE8">
        <w:rPr>
          <w:i/>
        </w:rPr>
        <w:t>Report and Order and Further Notice of Proposed Rulemaking</w:t>
      </w:r>
      <w:r>
        <w:t>, 19 FCC Rcd 14165 (2004)</w:t>
      </w:r>
      <w:r w:rsidRPr="004E48AB">
        <w:t xml:space="preserve">.  The rules for this band were initially established in 1963 but have evolved significantly since that time.  </w:t>
      </w:r>
    </w:p>
  </w:footnote>
  <w:footnote w:id="1313">
    <w:p w:rsidR="00EC7CF3" w:rsidRDefault="00EC7CF3" w:rsidP="00C81B24">
      <w:pPr>
        <w:pStyle w:val="FootnoteText"/>
      </w:pPr>
      <w:r>
        <w:rPr>
          <w:rStyle w:val="FootnoteReference"/>
        </w:rPr>
        <w:footnoteRef/>
      </w:r>
      <w:r>
        <w:t xml:space="preserve"> Amendment of Parts 1, 21, 73, 74, and 101 of the Commission’s Rules to Facilitate the Provision of Fixed and Mobile Broadband Access, Educational, and Other Advanced Services in the 2150-2162 and 2500-2690 MHz Bands, </w:t>
      </w:r>
      <w:r w:rsidRPr="00F24601">
        <w:rPr>
          <w:i/>
        </w:rPr>
        <w:t xml:space="preserve">Order on Reconsideration and </w:t>
      </w:r>
      <w:r>
        <w:rPr>
          <w:i/>
        </w:rPr>
        <w:t>Fifth</w:t>
      </w:r>
      <w:r w:rsidRPr="00F24601">
        <w:rPr>
          <w:i/>
        </w:rPr>
        <w:t xml:space="preserve"> Memorandum Opinion and Order</w:t>
      </w:r>
      <w:r>
        <w:rPr>
          <w:i/>
        </w:rPr>
        <w:t xml:space="preserve"> and </w:t>
      </w:r>
      <w:r w:rsidRPr="006F2039">
        <w:rPr>
          <w:i/>
          <w:iCs/>
        </w:rPr>
        <w:t>Third Memorandum Opinion and Order and Second Report and Order</w:t>
      </w:r>
      <w:r>
        <w:t>, 21 FCC Rcd 5606 (2006)</w:t>
      </w:r>
      <w:r w:rsidRPr="004E48AB">
        <w:t xml:space="preserve">.  </w:t>
      </w:r>
    </w:p>
  </w:footnote>
  <w:footnote w:id="1314">
    <w:p w:rsidR="00EC7CF3" w:rsidRDefault="00EC7CF3" w:rsidP="00C81B24">
      <w:pPr>
        <w:pStyle w:val="FootnoteText"/>
      </w:pPr>
      <w:r>
        <w:rPr>
          <w:rStyle w:val="FootnoteReference"/>
        </w:rPr>
        <w:footnoteRef/>
      </w:r>
      <w:r>
        <w:t xml:space="preserve"> </w:t>
      </w:r>
      <w:r>
        <w:rPr>
          <w:i/>
        </w:rPr>
        <w:t>See</w:t>
      </w:r>
      <w:r>
        <w:t xml:space="preserve"> WT Docket No. 06-136.</w:t>
      </w:r>
    </w:p>
  </w:footnote>
  <w:footnote w:id="1315">
    <w:p w:rsidR="00EC7CF3" w:rsidRDefault="00EC7CF3" w:rsidP="00C81B24">
      <w:pPr>
        <w:pStyle w:val="FootnoteText"/>
      </w:pPr>
      <w:r>
        <w:rPr>
          <w:rStyle w:val="FootnoteReference"/>
        </w:rPr>
        <w:footnoteRef/>
      </w:r>
      <w:r>
        <w:t xml:space="preserve"> Amendment of Parts 1, 21, 73, 74 and 101 of the Commission’s Rules to Facilitate the Provision of Fixed and Mobile Broadband Access, Educational and Other Advanced Services in the 2150-2162 and 2500-2690 MHz Bands, </w:t>
      </w:r>
      <w:r>
        <w:rPr>
          <w:i/>
        </w:rPr>
        <w:t xml:space="preserve">Third Order on Reconsideration and Sixth Memorandum Opinion and Order and Fourth Memorandum Opinion </w:t>
      </w:r>
      <w:r w:rsidRPr="00892355">
        <w:rPr>
          <w:i/>
        </w:rPr>
        <w:t xml:space="preserve">and Order and </w:t>
      </w:r>
      <w:r>
        <w:rPr>
          <w:i/>
        </w:rPr>
        <w:t xml:space="preserve">Second </w:t>
      </w:r>
      <w:r w:rsidRPr="00892355">
        <w:rPr>
          <w:i/>
        </w:rPr>
        <w:t xml:space="preserve">Further </w:t>
      </w:r>
      <w:r>
        <w:rPr>
          <w:i/>
        </w:rPr>
        <w:t>Notice of Proposed Rulemaking and Declaratory Ruling</w:t>
      </w:r>
      <w:r w:rsidRPr="0095553B">
        <w:t>,</w:t>
      </w:r>
      <w:r>
        <w:t xml:space="preserve"> 23 FCC Rcd 5992 (2008); </w:t>
      </w:r>
      <w:r>
        <w:rPr>
          <w:i/>
        </w:rPr>
        <w:t xml:space="preserve">Fifth Memorandum Opinion and Order and Third </w:t>
      </w:r>
      <w:r w:rsidRPr="00892355">
        <w:rPr>
          <w:i/>
        </w:rPr>
        <w:t xml:space="preserve">Further </w:t>
      </w:r>
      <w:r>
        <w:rPr>
          <w:i/>
        </w:rPr>
        <w:t>Notice of Proposed Rulemaking and Declaratory Ruling</w:t>
      </w:r>
      <w:r w:rsidRPr="0095553B">
        <w:t>,</w:t>
      </w:r>
      <w:r>
        <w:t xml:space="preserve"> 24 FCC Rcd 12558 (2009). </w:t>
      </w:r>
    </w:p>
  </w:footnote>
  <w:footnote w:id="1316">
    <w:p w:rsidR="00EC7CF3" w:rsidRDefault="00EC7CF3" w:rsidP="00C81B24">
      <w:pPr>
        <w:pStyle w:val="FootnoteText"/>
      </w:pPr>
      <w:r>
        <w:rPr>
          <w:rStyle w:val="FootnoteReference"/>
        </w:rPr>
        <w:footnoteRef/>
      </w:r>
      <w:r>
        <w:t xml:space="preserve"> Amendment of Parts 1, 21, 73, 74 and 101 of the Commission’s Rules to Facilitate the Provision of Fixed and Mobile Broadband Access, Educational and Other Advanced Services in the 2150-2162 and 2500-2690 MHz Bands, </w:t>
      </w:r>
      <w:r>
        <w:rPr>
          <w:i/>
        </w:rPr>
        <w:t>Third Report and Order</w:t>
      </w:r>
      <w:r>
        <w:t>, 25 FCC Rcd 7743 (2010).</w:t>
      </w:r>
    </w:p>
  </w:footnote>
  <w:footnote w:id="1317">
    <w:p w:rsidR="00EC7CF3" w:rsidRDefault="00EC7CF3" w:rsidP="00C81B24">
      <w:pPr>
        <w:pStyle w:val="FootnoteText"/>
      </w:pPr>
      <w:r>
        <w:rPr>
          <w:rStyle w:val="FootnoteReference"/>
        </w:rPr>
        <w:footnoteRef/>
      </w:r>
      <w:r>
        <w:t xml:space="preserve"> The auction started on</w:t>
      </w:r>
      <w:r w:rsidRPr="00C8670F">
        <w:t xml:space="preserve"> </w:t>
      </w:r>
      <w:r>
        <w:t>October 27, 2009 and closed on October 30, 2009</w:t>
      </w:r>
      <w:r w:rsidRPr="00C8670F">
        <w:t>.</w:t>
      </w:r>
      <w:r>
        <w:t xml:space="preserve">  </w:t>
      </w:r>
      <w:r w:rsidRPr="002A7EAA">
        <w:rPr>
          <w:i/>
          <w:iCs/>
        </w:rPr>
        <w:t xml:space="preserve">See </w:t>
      </w:r>
      <w:r>
        <w:t xml:space="preserve">“Auction of Broadband Radio Service Licenses Closes; Winning Bidders Announced for Auction No. 86,” </w:t>
      </w:r>
      <w:r>
        <w:rPr>
          <w:i/>
        </w:rPr>
        <w:t>Public Notice</w:t>
      </w:r>
      <w:r>
        <w:t>, 24 FCC Rcd 13572 (WTB 2009).</w:t>
      </w:r>
    </w:p>
  </w:footnote>
  <w:footnote w:id="1318">
    <w:p w:rsidR="00EC7CF3" w:rsidRDefault="00EC7CF3" w:rsidP="00C81B24">
      <w:pPr>
        <w:pStyle w:val="FootnoteText"/>
      </w:pPr>
      <w:r>
        <w:rPr>
          <w:rStyle w:val="FootnoteReference"/>
        </w:rPr>
        <w:footnoteRef/>
      </w:r>
      <w:r>
        <w:t xml:space="preserve"> </w:t>
      </w:r>
      <w:r>
        <w:rPr>
          <w:i/>
        </w:rPr>
        <w:t>Id.</w:t>
      </w:r>
    </w:p>
  </w:footnote>
  <w:footnote w:id="1319">
    <w:p w:rsidR="00EC7CF3" w:rsidRDefault="00EC7CF3" w:rsidP="00C81B24">
      <w:pPr>
        <w:pStyle w:val="FootnoteText"/>
      </w:pPr>
      <w:r>
        <w:rPr>
          <w:rStyle w:val="FootnoteReference"/>
        </w:rPr>
        <w:footnoteRef/>
      </w:r>
      <w:r>
        <w:t xml:space="preserve"> Clearwire has announced plans to transition to LTE and is in the process of overlaying its WiMAX network with LTE, starting with 31 markets in H1 2013.  </w:t>
      </w:r>
      <w:r>
        <w:rPr>
          <w:i/>
        </w:rPr>
        <w:t xml:space="preserve">See </w:t>
      </w:r>
      <w:hyperlink r:id="rId560" w:history="1">
        <w:r>
          <w:rPr>
            <w:rStyle w:val="Hyperlink"/>
          </w:rPr>
          <w:t>http://corporate.clearwire.com/releasedetail.cfm?ReleaseID=667820</w:t>
        </w:r>
      </w:hyperlink>
      <w:r>
        <w:t xml:space="preserve"> (visited Sept. 25, 2012).  </w:t>
      </w:r>
    </w:p>
  </w:footnote>
  <w:footnote w:id="1320">
    <w:p w:rsidR="00EC7CF3" w:rsidRDefault="00EC7CF3" w:rsidP="00C81B24">
      <w:pPr>
        <w:pStyle w:val="FootnoteText"/>
      </w:pPr>
      <w:r>
        <w:rPr>
          <w:rStyle w:val="FootnoteReference"/>
        </w:rPr>
        <w:footnoteRef/>
      </w:r>
      <w:r>
        <w:t xml:space="preserve"> </w:t>
      </w:r>
      <w:r w:rsidRPr="00912ADE">
        <w:rPr>
          <w:i/>
        </w:rPr>
        <w:t>See</w:t>
      </w:r>
      <w:r>
        <w:t xml:space="preserve"> “WCS Auction Closes; Winning Bidders in the Auction of 128 Wireless Communications Services Licenses (Auction No. 14),” Public Notice, 12 FCC Rcd 21653 (1997).</w:t>
      </w:r>
    </w:p>
  </w:footnote>
  <w:footnote w:id="1321">
    <w:p w:rsidR="00EC7CF3" w:rsidRDefault="00EC7CF3" w:rsidP="00C81B24">
      <w:pPr>
        <w:pStyle w:val="FootnoteText"/>
      </w:pPr>
      <w:r>
        <w:rPr>
          <w:rStyle w:val="FootnoteReference"/>
        </w:rPr>
        <w:footnoteRef/>
      </w:r>
      <w:r>
        <w:t xml:space="preserve"> </w:t>
      </w:r>
      <w:r>
        <w:rPr>
          <w:i/>
        </w:rPr>
        <w:t xml:space="preserve">See </w:t>
      </w:r>
      <w:r>
        <w:rPr>
          <w:spacing w:val="-2"/>
        </w:rPr>
        <w:t xml:space="preserve">Amendment of Part 27 of the Commission’s Rules to Govern the Operation of Wireless Communications Services in the 2.3 GHz Band, WT Docket No. 07-293, </w:t>
      </w:r>
      <w:r>
        <w:rPr>
          <w:i/>
          <w:spacing w:val="-2"/>
        </w:rPr>
        <w:t>Report and Order</w:t>
      </w:r>
      <w:r>
        <w:rPr>
          <w:spacing w:val="-2"/>
        </w:rPr>
        <w:t xml:space="preserve">, 25 FCC Rcd 11710 (2010).  </w:t>
      </w:r>
      <w:r>
        <w:t>The WCS band has a total of 30 MHz spectrum at</w:t>
      </w:r>
      <w:r w:rsidRPr="0045546F">
        <w:t xml:space="preserve"> 2305-2320 MHz and 2345-2360 MHz</w:t>
      </w:r>
      <w:r>
        <w:t xml:space="preserve">.  </w:t>
      </w:r>
      <w:r>
        <w:rPr>
          <w:i/>
        </w:rPr>
        <w:t xml:space="preserve">Id.  </w:t>
      </w:r>
      <w:r>
        <w:t xml:space="preserve">However, </w:t>
      </w:r>
      <w:r w:rsidRPr="0045546F">
        <w:t>WCS mobile and portable devices are not permitted to operate in the 2.5-megahertz portions of the WCS C and D blocks closest to the SDARS band (</w:t>
      </w:r>
      <w:r w:rsidRPr="0045546F">
        <w:rPr>
          <w:i/>
        </w:rPr>
        <w:t>i.e.</w:t>
      </w:r>
      <w:r w:rsidRPr="0045546F">
        <w:t>, 2317.5-2320 and 2345-2347.5 MHz)</w:t>
      </w:r>
      <w:r>
        <w:t xml:space="preserve">.  </w:t>
      </w:r>
      <w:r>
        <w:rPr>
          <w:i/>
        </w:rPr>
        <w:t>Id.</w:t>
      </w:r>
    </w:p>
  </w:footnote>
  <w:footnote w:id="1322">
    <w:p w:rsidR="00EC7CF3" w:rsidRDefault="00EC7CF3" w:rsidP="00C81B24">
      <w:pPr>
        <w:pStyle w:val="FootnoteText"/>
      </w:pPr>
      <w:r>
        <w:rPr>
          <w:rStyle w:val="FootnoteReference"/>
        </w:rPr>
        <w:footnoteRef/>
      </w:r>
      <w:r>
        <w:t xml:space="preserve"> </w:t>
      </w:r>
      <w:r>
        <w:rPr>
          <w:i/>
        </w:rPr>
        <w:t xml:space="preserve">See </w:t>
      </w:r>
      <w:r>
        <w:rPr>
          <w:spacing w:val="-2"/>
        </w:rPr>
        <w:t xml:space="preserve">Amendment of Part 27 of the Commission’s Rules to Govern the Operation of Wireless Communications Services in the 2.3 GHz Band, WT Docket No. 07-293, </w:t>
      </w:r>
      <w:r>
        <w:rPr>
          <w:i/>
          <w:spacing w:val="-2"/>
        </w:rPr>
        <w:t>Report and Order</w:t>
      </w:r>
      <w:r>
        <w:rPr>
          <w:spacing w:val="-2"/>
        </w:rPr>
        <w:t>, 25 FCC Rcd 11710 (2010)</w:t>
      </w:r>
      <w:r w:rsidRPr="00593C57">
        <w:t>.</w:t>
      </w:r>
    </w:p>
  </w:footnote>
  <w:footnote w:id="1323">
    <w:p w:rsidR="00EC7CF3" w:rsidRDefault="00EC7CF3" w:rsidP="00C81B24">
      <w:pPr>
        <w:pStyle w:val="FootnoteText"/>
      </w:pPr>
      <w:r>
        <w:rPr>
          <w:rStyle w:val="FootnoteReference"/>
        </w:rPr>
        <w:footnoteRef/>
      </w:r>
      <w:r>
        <w:t xml:space="preserve"> </w:t>
      </w:r>
      <w:r>
        <w:rPr>
          <w:i/>
        </w:rPr>
        <w:t>See</w:t>
      </w:r>
      <w:r>
        <w:t xml:space="preserve"> </w:t>
      </w:r>
      <w:r w:rsidRPr="002A606E">
        <w:t>Amendment of Part 27 of the Commission’s Rules to Govern the Operation of Wireless Communications Services in the 2.3 GHz Band, WT Docket No. 07-293, Establishment of Rules and Policies for the Digital Audio Radio Satellite Service in the 2310-2360 MHz Frequency Band, IB Docket No. 95-91</w:t>
      </w:r>
      <w:r w:rsidRPr="00610A7B">
        <w:rPr>
          <w:i/>
        </w:rPr>
        <w:t>Order on Reconsideration</w:t>
      </w:r>
      <w:r>
        <w:rPr>
          <w:i/>
        </w:rPr>
        <w:t>,</w:t>
      </w:r>
      <w:r w:rsidRPr="00593C57">
        <w:t xml:space="preserve"> </w:t>
      </w:r>
      <w:r>
        <w:t>27 FCC Rcd. 13651</w:t>
      </w:r>
      <w:r w:rsidRPr="002A606E">
        <w:t xml:space="preserve"> </w:t>
      </w:r>
      <w:r>
        <w:t>(2012)</w:t>
      </w:r>
    </w:p>
  </w:footnote>
  <w:footnote w:id="1324">
    <w:p w:rsidR="00EC7CF3" w:rsidRDefault="00EC7CF3" w:rsidP="00C81B24">
      <w:pPr>
        <w:pStyle w:val="FootnoteText"/>
      </w:pPr>
      <w:r>
        <w:rPr>
          <w:rStyle w:val="FootnoteReference"/>
        </w:rPr>
        <w:footnoteRef/>
      </w:r>
      <w:r>
        <w:t xml:space="preserve"> </w:t>
      </w:r>
      <w:r w:rsidRPr="00804748">
        <w:rPr>
          <w:i/>
        </w:rPr>
        <w:t>See</w:t>
      </w:r>
      <w:r>
        <w:t xml:space="preserve"> “</w:t>
      </w:r>
      <w:r w:rsidRPr="00804748">
        <w:t xml:space="preserve">Auction of </w:t>
      </w:r>
      <w:r>
        <w:t xml:space="preserve">1.4 GHz Band Licenses Closes,” </w:t>
      </w:r>
      <w:r w:rsidRPr="00804748">
        <w:rPr>
          <w:i/>
        </w:rPr>
        <w:t>Public Notice</w:t>
      </w:r>
      <w:r>
        <w:t xml:space="preserve">, </w:t>
      </w:r>
      <w:r w:rsidRPr="00A96758">
        <w:t>22 FCC Rcd 4714</w:t>
      </w:r>
      <w:r>
        <w:t xml:space="preserve"> (2007).  </w:t>
      </w:r>
    </w:p>
  </w:footnote>
  <w:footnote w:id="1325">
    <w:p w:rsidR="00EC7CF3" w:rsidRDefault="00EC7CF3" w:rsidP="00C81B24">
      <w:pPr>
        <w:pStyle w:val="FootnoteText"/>
      </w:pPr>
      <w:r>
        <w:rPr>
          <w:rStyle w:val="FootnoteReference"/>
        </w:rPr>
        <w:footnoteRef/>
      </w:r>
      <w:r>
        <w:t xml:space="preserve"> </w:t>
      </w:r>
      <w:r>
        <w:rPr>
          <w:i/>
        </w:rPr>
        <w:t xml:space="preserve">See </w:t>
      </w:r>
      <w:r w:rsidRPr="00475B4D">
        <w:t>“</w:t>
      </w:r>
      <w:r w:rsidRPr="00804748">
        <w:t xml:space="preserve">Auction of </w:t>
      </w:r>
      <w:r>
        <w:t>1.4 GHz Bands Licenses Scheduled for February 7, 2007,”</w:t>
      </w:r>
      <w:r w:rsidRPr="00804748">
        <w:t xml:space="preserve"> </w:t>
      </w:r>
      <w:r w:rsidRPr="00804748">
        <w:rPr>
          <w:i/>
        </w:rPr>
        <w:t>Public Notice</w:t>
      </w:r>
      <w:r>
        <w:t>, 21 FCC Rcd 9494 (2006).</w:t>
      </w:r>
    </w:p>
  </w:footnote>
  <w:footnote w:id="1326">
    <w:p w:rsidR="00EC7CF3" w:rsidRDefault="00EC7CF3" w:rsidP="00C81B24">
      <w:pPr>
        <w:pStyle w:val="FootnoteText"/>
      </w:pPr>
      <w:r>
        <w:rPr>
          <w:rStyle w:val="FootnoteReference"/>
        </w:rPr>
        <w:footnoteRef/>
      </w:r>
      <w:r>
        <w:t xml:space="preserve"> </w:t>
      </w:r>
      <w:r>
        <w:rPr>
          <w:i/>
        </w:rPr>
        <w:t>Id.</w:t>
      </w:r>
    </w:p>
  </w:footnote>
  <w:footnote w:id="1327">
    <w:p w:rsidR="00EC7CF3" w:rsidRDefault="00EC7CF3" w:rsidP="00C81B24">
      <w:pPr>
        <w:pStyle w:val="FootnoteText"/>
      </w:pPr>
      <w:r>
        <w:rPr>
          <w:rStyle w:val="FootnoteReference"/>
        </w:rPr>
        <w:footnoteRef/>
      </w:r>
      <w:r>
        <w:t xml:space="preserve"> </w:t>
      </w:r>
      <w:r w:rsidRPr="00804748">
        <w:rPr>
          <w:i/>
        </w:rPr>
        <w:t>See</w:t>
      </w:r>
      <w:r>
        <w:t xml:space="preserve"> “</w:t>
      </w:r>
      <w:r w:rsidRPr="00804748">
        <w:t xml:space="preserve">Auction of </w:t>
      </w:r>
      <w:r>
        <w:t xml:space="preserve">1.4 GHz Band Licenses Closes,” </w:t>
      </w:r>
      <w:r w:rsidRPr="00804748">
        <w:rPr>
          <w:i/>
        </w:rPr>
        <w:t>Public Notice</w:t>
      </w:r>
      <w:r>
        <w:t xml:space="preserve">, </w:t>
      </w:r>
      <w:r w:rsidRPr="00A96758">
        <w:t>22 FCC Rcd 4714</w:t>
      </w:r>
      <w:r>
        <w:t xml:space="preserve"> (2007).  </w:t>
      </w:r>
    </w:p>
  </w:footnote>
  <w:footnote w:id="1328">
    <w:p w:rsidR="00EC7CF3" w:rsidRDefault="00EC7CF3" w:rsidP="00C81B24">
      <w:pPr>
        <w:pStyle w:val="FootnoteText"/>
      </w:pPr>
      <w:r>
        <w:rPr>
          <w:rStyle w:val="FootnoteReference"/>
        </w:rPr>
        <w:footnoteRef/>
      </w:r>
      <w:r>
        <w:t xml:space="preserve"> Long-Term </w:t>
      </w:r>
      <w:r w:rsidRPr="00F96E00">
        <w:rPr>
          <w:i/>
        </w:rPr>
        <w:t>De Facto</w:t>
      </w:r>
      <w:r>
        <w:t xml:space="preserve"> Transfer Lease Application, File No. 0003108073 (filed July 17, 2008).  </w:t>
      </w:r>
      <w:r w:rsidRPr="006F70F8">
        <w:rPr>
          <w:i/>
        </w:rPr>
        <w:t>Crown Castle Announces Long-Term Modeo Spectrum Lease</w:t>
      </w:r>
      <w:r>
        <w:t xml:space="preserve">, Press Release, Crown Castle, July 23, 2007; ULS Lease ID L000002305.  </w:t>
      </w:r>
    </w:p>
  </w:footnote>
  <w:footnote w:id="1329">
    <w:p w:rsidR="00EC7CF3" w:rsidRDefault="00EC7CF3" w:rsidP="00C81B24">
      <w:pPr>
        <w:pStyle w:val="FootnoteText"/>
      </w:pPr>
      <w:r>
        <w:rPr>
          <w:rStyle w:val="FootnoteReference"/>
        </w:rPr>
        <w:footnoteRef/>
      </w:r>
      <w:r>
        <w:t xml:space="preserve"> </w:t>
      </w:r>
      <w:r w:rsidRPr="00AC517E">
        <w:t>Transfer of Control of a Lessee Application, File No. 0003573463 (filed Sept. 10, 2008)</w:t>
      </w:r>
      <w:r>
        <w:t xml:space="preserve">; TVCC Holding Company, LLC, Form 602, File No. </w:t>
      </w:r>
      <w:r w:rsidRPr="009A65E2">
        <w:t>0003635816</w:t>
      </w:r>
      <w:r>
        <w:t xml:space="preserve"> (filed Nov. 3, 2008).  In April 2010, a further lease application was approved. </w:t>
      </w:r>
      <w:r>
        <w:rPr>
          <w:i/>
        </w:rPr>
        <w:t xml:space="preserve">De Facto </w:t>
      </w:r>
      <w:r>
        <w:t>Transfer Lease, File No. 0004205653 (filed Apr. 13, 2010).</w:t>
      </w:r>
    </w:p>
  </w:footnote>
  <w:footnote w:id="1330">
    <w:p w:rsidR="00EC7CF3" w:rsidRDefault="00EC7CF3" w:rsidP="00C81B24">
      <w:pPr>
        <w:pStyle w:val="FootnoteText"/>
      </w:pPr>
      <w:r>
        <w:rPr>
          <w:rStyle w:val="FootnoteReference"/>
        </w:rPr>
        <w:footnoteRef/>
      </w:r>
      <w:r>
        <w:t xml:space="preserve"> </w:t>
      </w:r>
      <w:r>
        <w:rPr>
          <w:i/>
        </w:rPr>
        <w:t xml:space="preserve">See </w:t>
      </w:r>
      <w:r w:rsidRPr="00323036">
        <w:t>Wireless Telecommunications Bureau Seeks Comment On Request By Op Llc For Extension Or Waiver Of The Construction Deadline Concerning Its 1670-1675 Mhz Band License</w:t>
      </w:r>
      <w:r>
        <w:t>. WT Docket No. 12-327, Public Notice, DA 12-1776 (rel. Nov. 5, 2012).</w:t>
      </w:r>
    </w:p>
  </w:footnote>
  <w:footnote w:id="1331">
    <w:p w:rsidR="00EC7CF3" w:rsidRDefault="00EC7CF3" w:rsidP="00C81B24">
      <w:pPr>
        <w:spacing w:after="120"/>
      </w:pPr>
      <w:r w:rsidRPr="00305F86">
        <w:rPr>
          <w:rStyle w:val="FootnoteReference"/>
        </w:rPr>
        <w:footnoteRef/>
      </w:r>
      <w:r w:rsidRPr="00305F86">
        <w:rPr>
          <w:sz w:val="20"/>
        </w:rPr>
        <w:t xml:space="preserve"> </w:t>
      </w:r>
      <w:r w:rsidRPr="00305F86">
        <w:rPr>
          <w:i/>
          <w:sz w:val="20"/>
        </w:rPr>
        <w:t>See</w:t>
      </w:r>
      <w:r w:rsidRPr="00305F86">
        <w:rPr>
          <w:sz w:val="20"/>
        </w:rPr>
        <w:t xml:space="preserve"> </w:t>
      </w:r>
      <w:r w:rsidRPr="00305F86">
        <w:rPr>
          <w:kern w:val="0"/>
          <w:sz w:val="20"/>
        </w:rPr>
        <w:t>Wireless Operations in the 3650-3700 MHz Band, ET Docket No. 04-151, Rules for Wireless Broadband Services in the 3650-3700 MHz Band, WT Docket No. 05-96,</w:t>
      </w:r>
      <w:r w:rsidRPr="00305F86">
        <w:rPr>
          <w:sz w:val="20"/>
        </w:rPr>
        <w:t xml:space="preserve"> </w:t>
      </w:r>
      <w:r w:rsidRPr="00305F86">
        <w:rPr>
          <w:i/>
          <w:sz w:val="20"/>
        </w:rPr>
        <w:t>Report and Order</w:t>
      </w:r>
      <w:r w:rsidRPr="00305F86">
        <w:rPr>
          <w:sz w:val="20"/>
        </w:rPr>
        <w:t>, 20 FCC Rcd 6502 (</w:t>
      </w:r>
      <w:r w:rsidRPr="0029490C">
        <w:rPr>
          <w:sz w:val="20"/>
        </w:rPr>
        <w:t xml:space="preserve">2005) </w:t>
      </w:r>
      <w:r w:rsidRPr="0029490C">
        <w:rPr>
          <w:color w:val="010101"/>
          <w:kern w:val="0"/>
          <w:sz w:val="20"/>
        </w:rPr>
        <w:t>(</w:t>
      </w:r>
      <w:r w:rsidRPr="0029490C">
        <w:rPr>
          <w:i/>
          <w:color w:val="010101"/>
          <w:kern w:val="0"/>
          <w:sz w:val="20"/>
        </w:rPr>
        <w:t xml:space="preserve">3650 MHz </w:t>
      </w:r>
      <w:r w:rsidRPr="0029490C">
        <w:rPr>
          <w:i/>
          <w:iCs/>
          <w:color w:val="010101"/>
          <w:kern w:val="0"/>
          <w:sz w:val="20"/>
        </w:rPr>
        <w:t>Order</w:t>
      </w:r>
      <w:r w:rsidRPr="0029490C">
        <w:rPr>
          <w:color w:val="010101"/>
          <w:kern w:val="0"/>
          <w:sz w:val="20"/>
        </w:rPr>
        <w:t xml:space="preserve">), </w:t>
      </w:r>
      <w:r w:rsidRPr="0029490C">
        <w:rPr>
          <w:i/>
          <w:iCs/>
          <w:color w:val="010101"/>
          <w:kern w:val="0"/>
          <w:sz w:val="20"/>
        </w:rPr>
        <w:t>recon. granted in part</w:t>
      </w:r>
      <w:r w:rsidRPr="0029490C">
        <w:rPr>
          <w:color w:val="010101"/>
          <w:kern w:val="0"/>
          <w:sz w:val="20"/>
        </w:rPr>
        <w:t xml:space="preserve">, </w:t>
      </w:r>
      <w:r w:rsidRPr="0029490C">
        <w:rPr>
          <w:i/>
          <w:iCs/>
          <w:color w:val="010101"/>
          <w:kern w:val="0"/>
          <w:sz w:val="20"/>
        </w:rPr>
        <w:t>Memorandum Opinion and Order</w:t>
      </w:r>
      <w:r w:rsidRPr="0029490C">
        <w:rPr>
          <w:color w:val="010101"/>
          <w:kern w:val="0"/>
          <w:sz w:val="20"/>
        </w:rPr>
        <w:t>, 22 FCC Rcd 10421 (2007).</w:t>
      </w:r>
      <w:r w:rsidRPr="00305F86">
        <w:rPr>
          <w:rFonts w:ascii="TimesNewRoman" w:hAnsi="TimesNewRoman"/>
          <w:color w:val="010101"/>
          <w:kern w:val="0"/>
          <w:sz w:val="20"/>
        </w:rPr>
        <w:t xml:space="preserve">  </w:t>
      </w:r>
    </w:p>
  </w:footnote>
  <w:footnote w:id="1332">
    <w:p w:rsidR="00EC7CF3" w:rsidRDefault="00EC7CF3" w:rsidP="00C81B24">
      <w:pPr>
        <w:pStyle w:val="FootnoteText"/>
      </w:pPr>
      <w:r w:rsidRPr="00305F86">
        <w:rPr>
          <w:rStyle w:val="FootnoteReference"/>
        </w:rPr>
        <w:footnoteRef/>
      </w:r>
      <w:r w:rsidRPr="00305F86">
        <w:t xml:space="preserve"> </w:t>
      </w:r>
      <w:r w:rsidRPr="00305F86">
        <w:rPr>
          <w:i/>
          <w:iCs/>
        </w:rPr>
        <w:t xml:space="preserve">See </w:t>
      </w:r>
      <w:r>
        <w:rPr>
          <w:iCs/>
        </w:rPr>
        <w:t>“</w:t>
      </w:r>
      <w:r w:rsidRPr="00305F86">
        <w:t xml:space="preserve">Wireless Telecommunications Bureau Announces Start </w:t>
      </w:r>
      <w:r>
        <w:t>D</w:t>
      </w:r>
      <w:r w:rsidRPr="00305F86">
        <w:t>ate for Licensing and Registration Process for the 3650 – 3700 MHz Band,</w:t>
      </w:r>
      <w:r>
        <w:t>”</w:t>
      </w:r>
      <w:r w:rsidRPr="00305F86">
        <w:t xml:space="preserve"> </w:t>
      </w:r>
      <w:r w:rsidRPr="00305F86">
        <w:rPr>
          <w:i/>
        </w:rPr>
        <w:t>Public Notice</w:t>
      </w:r>
      <w:r w:rsidRPr="00305F86">
        <w:t xml:space="preserve">, 22 FCC Rcd 19802 (WTB 2007).  </w:t>
      </w:r>
    </w:p>
  </w:footnote>
  <w:footnote w:id="1333">
    <w:p w:rsidR="00EC7CF3" w:rsidRDefault="00EC7CF3" w:rsidP="00C81B24">
      <w:pPr>
        <w:pStyle w:val="FootnoteText"/>
      </w:pPr>
      <w:r w:rsidRPr="00305F86">
        <w:rPr>
          <w:rStyle w:val="FootnoteReference"/>
        </w:rPr>
        <w:footnoteRef/>
      </w:r>
      <w:r w:rsidRPr="00305F86">
        <w:t xml:space="preserve"> </w:t>
      </w:r>
      <w:r w:rsidRPr="00305F86">
        <w:rPr>
          <w:i/>
        </w:rPr>
        <w:t>See</w:t>
      </w:r>
      <w:r w:rsidRPr="00305F86">
        <w:t xml:space="preserve"> 47 C.F.R. § 90.1307.  Mobile and portable stations that operate with a peak EIRP of 1 Watt/25 megahertz and receive and decode an enabling signal from a base station are not required to be registered even if used in a fixed mode.  </w:t>
      </w:r>
      <w:r w:rsidRPr="00305F86">
        <w:rPr>
          <w:i/>
        </w:rPr>
        <w:t>See 3650 MHz Order</w:t>
      </w:r>
      <w:r w:rsidRPr="00305F86">
        <w:t>, 2</w:t>
      </w:r>
      <w:r>
        <w:t>0 FCC Rcd at 6513</w:t>
      </w:r>
      <w:r w:rsidRPr="00305F86">
        <w:t xml:space="preserve"> ¶ 31, n.54; 47 C.F.R. § 90.1333.</w:t>
      </w:r>
      <w:r>
        <w:t xml:space="preserve">  </w:t>
      </w:r>
    </w:p>
  </w:footnote>
  <w:footnote w:id="1334">
    <w:p w:rsidR="00EC7CF3" w:rsidRDefault="00EC7CF3" w:rsidP="00C81B24">
      <w:pPr>
        <w:pStyle w:val="FootnoteText"/>
      </w:pPr>
      <w:r>
        <w:rPr>
          <w:rStyle w:val="FootnoteReference"/>
        </w:rPr>
        <w:footnoteRef/>
      </w:r>
      <w:r>
        <w:t xml:space="preserve"> LEO refers to “Low-Earth Orbit.”  </w:t>
      </w:r>
    </w:p>
  </w:footnote>
  <w:footnote w:id="1335">
    <w:p w:rsidR="00EC7CF3" w:rsidRDefault="00EC7CF3" w:rsidP="00C81B24">
      <w:pPr>
        <w:pStyle w:val="FootnoteText"/>
      </w:pPr>
      <w:r>
        <w:rPr>
          <w:rStyle w:val="FootnoteReference"/>
        </w:rPr>
        <w:footnoteRef/>
      </w:r>
      <w:r>
        <w:t xml:space="preserve"> </w:t>
      </w:r>
      <w:r w:rsidRPr="007D3EC9">
        <w:rPr>
          <w:i/>
        </w:rPr>
        <w:t>See</w:t>
      </w:r>
      <w:r>
        <w:t xml:space="preserve"> </w:t>
      </w:r>
      <w:r w:rsidRPr="003E187C">
        <w:rPr>
          <w:i/>
        </w:rPr>
        <w:t xml:space="preserve">AWS-4 </w:t>
      </w:r>
      <w:r>
        <w:rPr>
          <w:i/>
        </w:rPr>
        <w:t>Report and Order</w:t>
      </w:r>
      <w:r w:rsidRPr="003E187C">
        <w:rPr>
          <w:i/>
        </w:rPr>
        <w:t>.</w:t>
      </w:r>
    </w:p>
  </w:footnote>
  <w:footnote w:id="1336">
    <w:p w:rsidR="00EC7CF3" w:rsidRDefault="00EC7CF3" w:rsidP="00C81B24">
      <w:pPr>
        <w:pStyle w:val="FootnoteText"/>
      </w:pPr>
      <w:r>
        <w:rPr>
          <w:rStyle w:val="FootnoteReference"/>
        </w:rPr>
        <w:footnoteRef/>
      </w:r>
      <w:r>
        <w:t xml:space="preserve"> </w:t>
      </w:r>
      <w:r w:rsidRPr="00BC23AD">
        <w:rPr>
          <w:i/>
        </w:rPr>
        <w:t>See</w:t>
      </w:r>
      <w:r>
        <w:t xml:space="preserve"> 47 C.F.R. § 2.106.</w:t>
      </w:r>
    </w:p>
  </w:footnote>
  <w:footnote w:id="1337">
    <w:p w:rsidR="00EC7CF3" w:rsidRDefault="00EC7CF3" w:rsidP="00C81B24">
      <w:pPr>
        <w:pStyle w:val="FootnoteText"/>
      </w:pPr>
      <w:r>
        <w:rPr>
          <w:rStyle w:val="FootnoteReference"/>
        </w:rPr>
        <w:footnoteRef/>
      </w:r>
      <w:r>
        <w:t xml:space="preserve"> </w:t>
      </w:r>
      <w:r w:rsidRPr="00BC23AD">
        <w:rPr>
          <w:i/>
        </w:rPr>
        <w:t>See</w:t>
      </w:r>
      <w:r>
        <w:t xml:space="preserve"> 47 C.F.R. § 2.106.</w:t>
      </w:r>
    </w:p>
  </w:footnote>
  <w:footnote w:id="1338">
    <w:p w:rsidR="00EC7CF3" w:rsidRDefault="00EC7CF3" w:rsidP="00C81B24">
      <w:pPr>
        <w:pStyle w:val="FootnoteText"/>
      </w:pPr>
      <w:r>
        <w:rPr>
          <w:rStyle w:val="FootnoteReference"/>
        </w:rPr>
        <w:footnoteRef/>
      </w:r>
      <w:r>
        <w:t xml:space="preserve"> </w:t>
      </w:r>
      <w:r w:rsidRPr="00BC23AD">
        <w:rPr>
          <w:i/>
        </w:rPr>
        <w:t>See</w:t>
      </w:r>
      <w:r>
        <w:t xml:space="preserve"> 47 C.F.R. § 2.106.</w:t>
      </w:r>
    </w:p>
  </w:footnote>
  <w:footnote w:id="1339">
    <w:p w:rsidR="00EC7CF3" w:rsidRDefault="00EC7CF3" w:rsidP="00C81B24">
      <w:pPr>
        <w:pStyle w:val="FootnoteText"/>
      </w:pPr>
      <w:r w:rsidRPr="000E2687">
        <w:rPr>
          <w:rStyle w:val="FootnoteReference"/>
        </w:rPr>
        <w:footnoteRef/>
      </w:r>
      <w:r w:rsidRPr="000E2687">
        <w:t xml:space="preserve"> </w:t>
      </w:r>
      <w:r w:rsidRPr="0087233C">
        <w:rPr>
          <w:snapToGrid w:val="0"/>
          <w:kern w:val="28"/>
        </w:rPr>
        <w:t>Amendment of Section 2.106 of the Commission</w:t>
      </w:r>
      <w:r>
        <w:rPr>
          <w:snapToGrid w:val="0"/>
          <w:kern w:val="28"/>
        </w:rPr>
        <w:t>’</w:t>
      </w:r>
      <w:r w:rsidRPr="0087233C">
        <w:rPr>
          <w:snapToGrid w:val="0"/>
          <w:kern w:val="28"/>
        </w:rPr>
        <w:t>s Rules to Allocate Spectrum at 2 GHz for Use by t</w:t>
      </w:r>
      <w:r>
        <w:rPr>
          <w:snapToGrid w:val="0"/>
          <w:kern w:val="28"/>
        </w:rPr>
        <w:t xml:space="preserve">he Mobile-Satellite Service, ET Docket No. 95-18, RM-7927, PP-28, </w:t>
      </w:r>
      <w:r>
        <w:rPr>
          <w:i/>
          <w:snapToGrid w:val="0"/>
          <w:kern w:val="28"/>
        </w:rPr>
        <w:t xml:space="preserve">First Report and Order and Further Notice of Proposed </w:t>
      </w:r>
      <w:r w:rsidRPr="00A24801">
        <w:rPr>
          <w:i/>
          <w:snapToGrid w:val="0"/>
          <w:kern w:val="28"/>
        </w:rPr>
        <w:t>Rulemaking</w:t>
      </w:r>
      <w:r>
        <w:rPr>
          <w:snapToGrid w:val="0"/>
          <w:kern w:val="28"/>
        </w:rPr>
        <w:t xml:space="preserve">, </w:t>
      </w:r>
      <w:r w:rsidRPr="00A24801">
        <w:rPr>
          <w:snapToGrid w:val="0"/>
          <w:kern w:val="28"/>
        </w:rPr>
        <w:t>12</w:t>
      </w:r>
      <w:r w:rsidRPr="0087233C">
        <w:rPr>
          <w:snapToGrid w:val="0"/>
          <w:kern w:val="28"/>
        </w:rPr>
        <w:t> FCC Rcd 7388 (1997)</w:t>
      </w:r>
      <w:r w:rsidRPr="00232EDF">
        <w:rPr>
          <w:snapToGrid w:val="0"/>
          <w:kern w:val="28"/>
        </w:rPr>
        <w:t>.</w:t>
      </w:r>
      <w:r>
        <w:rPr>
          <w:snapToGrid w:val="0"/>
          <w:kern w:val="28"/>
        </w:rPr>
        <w:t xml:space="preserve">  </w:t>
      </w:r>
    </w:p>
  </w:footnote>
  <w:footnote w:id="1340">
    <w:p w:rsidR="00EC7CF3" w:rsidRDefault="00EC7CF3" w:rsidP="00C81B24">
      <w:pPr>
        <w:pStyle w:val="FootnoteText"/>
      </w:pPr>
      <w:r>
        <w:rPr>
          <w:rStyle w:val="FootnoteReference"/>
        </w:rPr>
        <w:footnoteRef/>
      </w:r>
      <w:r>
        <w:t xml:space="preserve"> </w:t>
      </w:r>
      <w:r>
        <w:rPr>
          <w:i/>
          <w:snapToGrid w:val="0"/>
          <w:kern w:val="28"/>
        </w:rPr>
        <w:t xml:space="preserve">See </w:t>
      </w:r>
      <w:r w:rsidRPr="006D1C03">
        <w:rPr>
          <w:snapToGrid w:val="0"/>
          <w:kern w:val="28"/>
        </w:rPr>
        <w:t>Fixed and Mobile Services in the Mobile Satellite Service Bands at</w:t>
      </w:r>
      <w:r>
        <w:rPr>
          <w:snapToGrid w:val="0"/>
          <w:kern w:val="28"/>
        </w:rPr>
        <w:t xml:space="preserve"> 1525-1559 MHz and 1626.5-1660.5 MHz, 1610-1626.5 MHz and 2483.5-2500 MHz, and 2000-2020 MHz and 2180-2200 MHz, ET Docket No. 10-142, </w:t>
      </w:r>
      <w:r>
        <w:rPr>
          <w:i/>
          <w:snapToGrid w:val="0"/>
          <w:kern w:val="28"/>
        </w:rPr>
        <w:t>Report and Order</w:t>
      </w:r>
      <w:r>
        <w:rPr>
          <w:snapToGrid w:val="0"/>
          <w:kern w:val="28"/>
        </w:rPr>
        <w:t>, 26 FCC Rcd 5710 (2011).</w:t>
      </w:r>
    </w:p>
  </w:footnote>
  <w:footnote w:id="1341">
    <w:p w:rsidR="00EC7CF3" w:rsidRDefault="00EC7CF3" w:rsidP="00C81B24">
      <w:pPr>
        <w:pStyle w:val="FootnoteText"/>
      </w:pPr>
      <w:r>
        <w:rPr>
          <w:rStyle w:val="FootnoteReference"/>
        </w:rPr>
        <w:footnoteRef/>
      </w:r>
      <w:r>
        <w:t xml:space="preserve"> </w:t>
      </w:r>
      <w:r w:rsidRPr="007D3EC9">
        <w:rPr>
          <w:i/>
        </w:rPr>
        <w:t>See</w:t>
      </w:r>
      <w:r>
        <w:t xml:space="preserve"> </w:t>
      </w:r>
      <w:r w:rsidRPr="003E187C">
        <w:rPr>
          <w:i/>
        </w:rPr>
        <w:t xml:space="preserve">AWS-4 </w:t>
      </w:r>
      <w:r>
        <w:rPr>
          <w:i/>
        </w:rPr>
        <w:t>Report and Order</w:t>
      </w:r>
      <w:r w:rsidRPr="003E187C">
        <w:rPr>
          <w:i/>
        </w:rPr>
        <w:t>.</w:t>
      </w:r>
      <w:r>
        <w:rPr>
          <w:i/>
        </w:rPr>
        <w:t xml:space="preserve"> </w:t>
      </w:r>
    </w:p>
  </w:footnote>
  <w:footnote w:id="1342">
    <w:p w:rsidR="00EC7CF3" w:rsidRDefault="00EC7CF3" w:rsidP="00C81B24">
      <w:pPr>
        <w:pStyle w:val="FootnoteText"/>
      </w:pPr>
      <w:r>
        <w:rPr>
          <w:rStyle w:val="FootnoteReference"/>
        </w:rPr>
        <w:footnoteRef/>
      </w:r>
      <w:r>
        <w:t xml:space="preserve"> </w:t>
      </w:r>
      <w:r w:rsidRPr="00DB5BE0">
        <w:rPr>
          <w:rStyle w:val="documentbody"/>
          <w:i/>
        </w:rPr>
        <w:t xml:space="preserve">See </w:t>
      </w:r>
      <w:r w:rsidRPr="00593C57">
        <w:rPr>
          <w:rStyle w:val="documentbody"/>
        </w:rPr>
        <w:t>generall</w:t>
      </w:r>
      <w:r>
        <w:rPr>
          <w:rStyle w:val="documentbody"/>
          <w:i/>
        </w:rPr>
        <w:t xml:space="preserve">y </w:t>
      </w:r>
      <w:r>
        <w:rPr>
          <w:rStyle w:val="documentbody"/>
        </w:rPr>
        <w:t xml:space="preserve">Flexibility for Delivery of Communications by Mobile Satellite Service Providers in the 2 GHz Band, the L-Band, and the 1.6/2.4 GHz Bands, </w:t>
      </w:r>
      <w:r>
        <w:rPr>
          <w:rStyle w:val="documentbody"/>
          <w:i/>
        </w:rPr>
        <w:t>Report and Order and Notice of Proposed Rulemaking</w:t>
      </w:r>
      <w:r>
        <w:rPr>
          <w:rStyle w:val="documentbody"/>
        </w:rPr>
        <w:t xml:space="preserve">, </w:t>
      </w:r>
      <w:r w:rsidRPr="00B24A62">
        <w:rPr>
          <w:rStyle w:val="documentbody"/>
        </w:rPr>
        <w:t xml:space="preserve">18 </w:t>
      </w:r>
      <w:r>
        <w:rPr>
          <w:rStyle w:val="documentbody"/>
        </w:rPr>
        <w:t xml:space="preserve">FCC Rcd </w:t>
      </w:r>
      <w:r w:rsidRPr="00B24A62">
        <w:rPr>
          <w:rStyle w:val="documentbody"/>
        </w:rPr>
        <w:t>1962 (2003)</w:t>
      </w:r>
      <w:r>
        <w:rPr>
          <w:rStyle w:val="documentbody"/>
        </w:rPr>
        <w:t xml:space="preserve"> (</w:t>
      </w:r>
      <w:r>
        <w:rPr>
          <w:rStyle w:val="documentbody"/>
          <w:i/>
        </w:rPr>
        <w:t>ATC Report and Order</w:t>
      </w:r>
      <w:r>
        <w:rPr>
          <w:rStyle w:val="documentbody"/>
        </w:rPr>
        <w:t>)</w:t>
      </w:r>
      <w:r w:rsidRPr="00B24A62">
        <w:rPr>
          <w:rStyle w:val="documentbody"/>
        </w:rPr>
        <w:t xml:space="preserve">, </w:t>
      </w:r>
      <w:r w:rsidRPr="00B21FA5">
        <w:rPr>
          <w:rStyle w:val="documentbody"/>
          <w:i/>
        </w:rPr>
        <w:t>modified</w:t>
      </w:r>
      <w:r w:rsidRPr="00B24A62">
        <w:rPr>
          <w:rStyle w:val="documentbody"/>
        </w:rPr>
        <w:t xml:space="preserve"> </w:t>
      </w:r>
      <w:r w:rsidRPr="00B24A62">
        <w:rPr>
          <w:rStyle w:val="documentbody"/>
          <w:i/>
        </w:rPr>
        <w:t>sua sponte</w:t>
      </w:r>
      <w:r>
        <w:rPr>
          <w:rStyle w:val="documentbody"/>
          <w:i/>
        </w:rPr>
        <w:t xml:space="preserve"> by Order on Reconsideration</w:t>
      </w:r>
      <w:r w:rsidRPr="00B24A62">
        <w:rPr>
          <w:rStyle w:val="documentbody"/>
        </w:rPr>
        <w:t xml:space="preserve">, </w:t>
      </w:r>
      <w:r w:rsidRPr="00B21FA5">
        <w:rPr>
          <w:rStyle w:val="documentbody"/>
        </w:rPr>
        <w:t>18</w:t>
      </w:r>
      <w:r>
        <w:rPr>
          <w:rStyle w:val="documentbody"/>
        </w:rPr>
        <w:t xml:space="preserve"> FCC Rcd</w:t>
      </w:r>
      <w:r w:rsidRPr="00B21FA5">
        <w:rPr>
          <w:rStyle w:val="documentbody"/>
        </w:rPr>
        <w:t xml:space="preserve"> 13590 (2003),</w:t>
      </w:r>
      <w:r w:rsidRPr="00B24A62">
        <w:rPr>
          <w:rStyle w:val="documentbody"/>
        </w:rPr>
        <w:t xml:space="preserve"> </w:t>
      </w:r>
      <w:r>
        <w:rPr>
          <w:rStyle w:val="documentbody"/>
          <w:i/>
        </w:rPr>
        <w:t>reconsidered in part in Memorandum Opinion and Order and Second Order on Reconsideration</w:t>
      </w:r>
      <w:r w:rsidRPr="00B24A62">
        <w:rPr>
          <w:rStyle w:val="documentbody"/>
        </w:rPr>
        <w:t xml:space="preserve">, </w:t>
      </w:r>
      <w:r w:rsidRPr="009109B0">
        <w:rPr>
          <w:rStyle w:val="documentbody"/>
        </w:rPr>
        <w:t>20 FCC Rcd 4616 (2005)</w:t>
      </w:r>
      <w:r w:rsidRPr="00B21FA5">
        <w:rPr>
          <w:rStyle w:val="documentbody"/>
        </w:rPr>
        <w:t>,</w:t>
      </w:r>
      <w:r w:rsidRPr="00B24A62">
        <w:rPr>
          <w:rStyle w:val="documentbody"/>
        </w:rPr>
        <w:t xml:space="preserve"> </w:t>
      </w:r>
      <w:r>
        <w:rPr>
          <w:rStyle w:val="documentbody"/>
          <w:i/>
        </w:rPr>
        <w:t>further recon. pending</w:t>
      </w:r>
      <w:r w:rsidRPr="00B24A62">
        <w:rPr>
          <w:rStyle w:val="documentbody"/>
        </w:rPr>
        <w:t>.</w:t>
      </w:r>
    </w:p>
  </w:footnote>
  <w:footnote w:id="1343">
    <w:p w:rsidR="00EC7CF3" w:rsidRDefault="00EC7CF3" w:rsidP="00C81B24">
      <w:pPr>
        <w:pStyle w:val="FootnoteText"/>
      </w:pPr>
      <w:r>
        <w:rPr>
          <w:rStyle w:val="FootnoteReference"/>
        </w:rPr>
        <w:footnoteRef/>
      </w:r>
      <w:r>
        <w:t xml:space="preserve"> </w:t>
      </w:r>
      <w:r>
        <w:rPr>
          <w:i/>
        </w:rPr>
        <w:t>ATC Report and Order</w:t>
      </w:r>
      <w:r>
        <w:rPr>
          <w:iCs/>
        </w:rPr>
        <w:t>, 18 FCC Rcd at</w:t>
      </w:r>
      <w:r>
        <w:rPr>
          <w:i/>
        </w:rPr>
        <w:t xml:space="preserve"> </w:t>
      </w:r>
      <w:r>
        <w:t xml:space="preserve">1965 ¶ 3.  The gating criteria require </w:t>
      </w:r>
      <w:r w:rsidRPr="006C7492">
        <w:t>that the MSS licensee:</w:t>
      </w:r>
      <w:r>
        <w:t xml:space="preserve"> </w:t>
      </w:r>
      <w:r w:rsidRPr="006C7492">
        <w:t xml:space="preserve">(1) has launched and operates its own satellite facilities; (2) provides substantial satellite service to the public; (3) provides integrated </w:t>
      </w:r>
      <w:r>
        <w:t>satellite/terrestrial service</w:t>
      </w:r>
      <w:r w:rsidRPr="006C7492">
        <w:t>; (4) observes existing satellite geographic coverage requirements; and (5) limits ATC operations only to the authorized satellite footprint</w:t>
      </w:r>
      <w:r>
        <w:t xml:space="preserve">.  </w:t>
      </w:r>
      <w:r>
        <w:rPr>
          <w:i/>
        </w:rPr>
        <w:t>Id</w:t>
      </w:r>
      <w:r>
        <w:t>.</w:t>
      </w:r>
    </w:p>
  </w:footnote>
  <w:footnote w:id="1344">
    <w:p w:rsidR="00EC7CF3" w:rsidRDefault="00EC7CF3" w:rsidP="00C81B24">
      <w:pPr>
        <w:pStyle w:val="FootnoteText"/>
      </w:pPr>
      <w:r>
        <w:rPr>
          <w:rStyle w:val="FootnoteReference"/>
        </w:rPr>
        <w:footnoteRef/>
      </w:r>
      <w:r>
        <w:t xml:space="preserve"> </w:t>
      </w:r>
      <w:r>
        <w:rPr>
          <w:i/>
        </w:rPr>
        <w:t>See</w:t>
      </w:r>
      <w:r>
        <w:t xml:space="preserve"> Fixed and Mobile Services in the Mobile Satellite Service Bands at 1525-1559 MHz and 1626.5-1660.5 MHz, 1610-1626.5 MHz and 2483.5-2500 MHz, and 2000-2020 MHz and 2180-2200 MHz, </w:t>
      </w:r>
      <w:r>
        <w:rPr>
          <w:i/>
        </w:rPr>
        <w:t>Notice of Proposed Rulemaking and Notice of Inquiry</w:t>
      </w:r>
      <w:r>
        <w:t xml:space="preserve">, ET Docket No. 10-142, 25 FCC Rcd 9481, 9483-85 ¶¶ 6-8 (2010).  </w:t>
      </w:r>
      <w:r>
        <w:rPr>
          <w:color w:val="000000"/>
        </w:rPr>
        <w:t xml:space="preserve">Part of Big LEO operator Globalstar’s ATC authority has been suspended.  Globalstar Licensee LLC Application for Modification of License to Extend Dates for Coming into Compliance with Ancillary Terrestrial Component Rules and Open Range Request for Special Temporary Authority, File No. SAT-MOD-20091214-00152, Call Sign: S2115; File No. SAT-STA-20100625-00147, </w:t>
      </w:r>
      <w:r>
        <w:rPr>
          <w:i/>
          <w:color w:val="000000"/>
        </w:rPr>
        <w:t>Order</w:t>
      </w:r>
      <w:r>
        <w:rPr>
          <w:color w:val="000000"/>
        </w:rPr>
        <w:t>, 25 FCC Rcd 13114-13115, 13112  ¶¶ 1, 18 (IB, WTB, OET 2010).</w:t>
      </w:r>
    </w:p>
  </w:footnote>
  <w:footnote w:id="1345">
    <w:p w:rsidR="00EC7CF3" w:rsidRDefault="00EC7CF3" w:rsidP="00C81B24">
      <w:pPr>
        <w:pStyle w:val="FootnoteText"/>
      </w:pPr>
      <w:r>
        <w:rPr>
          <w:rStyle w:val="FootnoteReference"/>
        </w:rPr>
        <w:footnoteRef/>
      </w:r>
      <w:r>
        <w:t xml:space="preserve"> </w:t>
      </w:r>
      <w:r>
        <w:rPr>
          <w:i/>
        </w:rPr>
        <w:t xml:space="preserve">National Broadband Plan </w:t>
      </w:r>
      <w:r>
        <w:t xml:space="preserve">at 87.  The 90 megahertz is comprised of 40 megahertz from each of the L-Band and 2 GHz MSS allocations, and 10 megahertz from the Big LEO allocations.  </w:t>
      </w:r>
      <w:r>
        <w:rPr>
          <w:i/>
        </w:rPr>
        <w:t xml:space="preserve">Id.  </w:t>
      </w:r>
    </w:p>
  </w:footnote>
  <w:footnote w:id="1346">
    <w:p w:rsidR="00EC7CF3" w:rsidRDefault="00EC7CF3" w:rsidP="00C81B24">
      <w:pPr>
        <w:pStyle w:val="FootnoteText"/>
      </w:pPr>
      <w:r>
        <w:rPr>
          <w:rStyle w:val="FootnoteReference"/>
        </w:rPr>
        <w:footnoteRef/>
      </w:r>
      <w:r>
        <w:t xml:space="preserve"> </w:t>
      </w:r>
      <w:r w:rsidRPr="00A641C6">
        <w:rPr>
          <w:i/>
        </w:rPr>
        <w:t>AWS-4 NPRM</w:t>
      </w:r>
      <w:r>
        <w:t xml:space="preserve"> at ¶ 136.</w:t>
      </w:r>
    </w:p>
  </w:footnote>
  <w:footnote w:id="1347">
    <w:p w:rsidR="00EC7CF3" w:rsidRPr="00811922" w:rsidRDefault="00EC7CF3" w:rsidP="00C81B24">
      <w:pPr>
        <w:pStyle w:val="FootnoteText"/>
      </w:pPr>
      <w:r>
        <w:rPr>
          <w:rStyle w:val="FootnoteReference"/>
        </w:rPr>
        <w:footnoteRef/>
      </w:r>
      <w:r>
        <w:t xml:space="preserve"> </w:t>
      </w:r>
      <w:r w:rsidRPr="00D21AC4">
        <w:t>See</w:t>
      </w:r>
      <w:r>
        <w:rPr>
          <w:i/>
        </w:rPr>
        <w:t xml:space="preserve"> </w:t>
      </w:r>
      <w:r w:rsidRPr="00D21AC4">
        <w:rPr>
          <w:i/>
        </w:rPr>
        <w:t>AWS-4 Report and Order</w:t>
      </w:r>
      <w:r>
        <w:t>.</w:t>
      </w:r>
    </w:p>
  </w:footnote>
  <w:footnote w:id="1348">
    <w:p w:rsidR="00EC7CF3" w:rsidRPr="00B32C43" w:rsidRDefault="00EC7CF3" w:rsidP="00C81B24">
      <w:pPr>
        <w:pStyle w:val="FootnoteText"/>
      </w:pPr>
      <w:r>
        <w:rPr>
          <w:rStyle w:val="FootnoteReference"/>
        </w:rPr>
        <w:t>1</w:t>
      </w:r>
      <w:r>
        <w:t xml:space="preserve"> </w:t>
      </w:r>
      <w:r w:rsidRPr="00D50836">
        <w:rPr>
          <w:i/>
        </w:rPr>
        <w:t>See</w:t>
      </w:r>
      <w:r>
        <w:t xml:space="preserve"> PCWorld, </w:t>
      </w:r>
      <w:r w:rsidRPr="00D50836">
        <w:rPr>
          <w:i/>
        </w:rPr>
        <w:t>4G Wireless Speed Tests:  Which is Really the Fastest?</w:t>
      </w:r>
      <w:r>
        <w:t>, March 13, 2011</w:t>
      </w:r>
      <w:r w:rsidRPr="00B32C43">
        <w:rPr>
          <w:i/>
        </w:rPr>
        <w:t>, available at</w:t>
      </w:r>
      <w:r>
        <w:t xml:space="preserve">  </w:t>
      </w:r>
      <w:hyperlink r:id="rId561" w:history="1">
        <w:r>
          <w:rPr>
            <w:rStyle w:val="Hyperlink"/>
          </w:rPr>
          <w:t>http://www.pcworld.com/article/221931/4g_wireless_speed_tests_which_is_really_the_fastest.html</w:t>
        </w:r>
      </w:hyperlink>
      <w:r>
        <w:rPr>
          <w:rStyle w:val="Hyperlink"/>
        </w:rPr>
        <w:t xml:space="preserve"> </w:t>
      </w:r>
      <w:r w:rsidRPr="00B32C43">
        <w:rPr>
          <w:rStyle w:val="Hyperlink"/>
          <w:u w:val="none"/>
        </w:rPr>
        <w:t xml:space="preserve"> </w:t>
      </w:r>
      <w:r w:rsidRPr="00B32C43">
        <w:rPr>
          <w:rStyle w:val="Hyperlink"/>
          <w:color w:val="auto"/>
          <w:u w:val="none"/>
        </w:rPr>
        <w:t>(visited Oct. 16, 2012)</w:t>
      </w:r>
      <w:r>
        <w:rPr>
          <w:rStyle w:val="Hyperlink"/>
          <w:color w:val="auto"/>
          <w:u w:val="none"/>
        </w:rPr>
        <w:t>.</w:t>
      </w:r>
    </w:p>
  </w:footnote>
  <w:footnote w:id="1349">
    <w:p w:rsidR="00EC7CF3" w:rsidRDefault="00EC7CF3" w:rsidP="00C81B24">
      <w:pPr>
        <w:pStyle w:val="FootnoteText"/>
      </w:pPr>
      <w:r>
        <w:rPr>
          <w:rStyle w:val="FootnoteReference"/>
        </w:rPr>
        <w:footnoteRef/>
      </w:r>
      <w:r>
        <w:t xml:space="preserve"> </w:t>
      </w:r>
      <w:r w:rsidRPr="00D50836">
        <w:rPr>
          <w:i/>
        </w:rPr>
        <w:t>See</w:t>
      </w:r>
      <w:r>
        <w:t xml:space="preserve"> PCWorld, </w:t>
      </w:r>
      <w:r w:rsidRPr="00D50836">
        <w:rPr>
          <w:i/>
        </w:rPr>
        <w:t xml:space="preserve">3G and 4G Wireless Speed </w:t>
      </w:r>
      <w:r>
        <w:rPr>
          <w:i/>
        </w:rPr>
        <w:t>Showdown</w:t>
      </w:r>
      <w:r w:rsidRPr="00D50836">
        <w:rPr>
          <w:i/>
        </w:rPr>
        <w:t>:  Which</w:t>
      </w:r>
      <w:r>
        <w:rPr>
          <w:i/>
        </w:rPr>
        <w:t xml:space="preserve"> Networks are </w:t>
      </w:r>
      <w:r w:rsidRPr="00D50836">
        <w:rPr>
          <w:i/>
        </w:rPr>
        <w:t>Fastest?</w:t>
      </w:r>
      <w:r>
        <w:t xml:space="preserve">, April 17, 2012, </w:t>
      </w:r>
      <w:r w:rsidRPr="00B32C43">
        <w:rPr>
          <w:i/>
        </w:rPr>
        <w:t xml:space="preserve">available at </w:t>
      </w:r>
      <w:hyperlink r:id="rId562" w:history="1">
        <w:r>
          <w:rPr>
            <w:rStyle w:val="Hyperlink"/>
          </w:rPr>
          <w:t>http://www.pcworld.com/article/253808/3g_and_4g_wireless_speed_showdown_which_networks_are_fastest.html</w:t>
        </w:r>
      </w:hyperlink>
      <w:r>
        <w:rPr>
          <w:rStyle w:val="Hyperlink"/>
        </w:rPr>
        <w:t xml:space="preserve"> </w:t>
      </w:r>
      <w:r w:rsidRPr="00B32C43">
        <w:rPr>
          <w:rStyle w:val="Hyperlink"/>
          <w:color w:val="auto"/>
          <w:u w:val="none"/>
        </w:rPr>
        <w:t>(visited Oct. 16, 2012)</w:t>
      </w:r>
      <w:r>
        <w:rPr>
          <w:rStyle w:val="Hyperlink"/>
          <w:color w:val="auto"/>
          <w:u w:val="none"/>
        </w:rPr>
        <w:t>.</w:t>
      </w:r>
    </w:p>
    <w:p w:rsidR="00EC7CF3" w:rsidRDefault="00EC7CF3" w:rsidP="00C81B24">
      <w:pPr>
        <w:pStyle w:val="FootnoteText"/>
      </w:pPr>
    </w:p>
  </w:footnote>
  <w:footnote w:id="1350">
    <w:p w:rsidR="00EC7CF3" w:rsidRDefault="00EC7CF3" w:rsidP="00C81B24">
      <w:pPr>
        <w:pStyle w:val="FootnoteText"/>
      </w:pPr>
      <w:r>
        <w:rPr>
          <w:rStyle w:val="FootnoteReference"/>
        </w:rPr>
        <w:footnoteRef/>
      </w:r>
      <w:r>
        <w:t xml:space="preserve"> PCMag, </w:t>
      </w:r>
      <w:r w:rsidRPr="006A5B3B">
        <w:rPr>
          <w:i/>
        </w:rPr>
        <w:t>The Fastest Mobile Networks 2011</w:t>
      </w:r>
      <w:r>
        <w:t xml:space="preserve">, June 27, 2011, </w:t>
      </w:r>
      <w:r w:rsidRPr="00CC4B40">
        <w:rPr>
          <w:i/>
        </w:rPr>
        <w:t>available at</w:t>
      </w:r>
      <w:r>
        <w:t xml:space="preserve"> </w:t>
      </w:r>
      <w:hyperlink r:id="rId563" w:history="1">
        <w:r>
          <w:rPr>
            <w:rStyle w:val="Hyperlink"/>
          </w:rPr>
          <w:t>http://www.pcmag.com/Fastest-Mobile-Networks-2011</w:t>
        </w:r>
      </w:hyperlink>
      <w:r w:rsidRPr="003B3DB4">
        <w:rPr>
          <w:rStyle w:val="Hyperlink"/>
          <w:u w:val="none"/>
        </w:rPr>
        <w:t xml:space="preserve"> </w:t>
      </w:r>
      <w:r w:rsidRPr="003B3DB4">
        <w:rPr>
          <w:rStyle w:val="Hyperlink"/>
          <w:color w:val="auto"/>
          <w:u w:val="none"/>
        </w:rPr>
        <w:t>(visited Oct. 16, 2012).</w:t>
      </w:r>
    </w:p>
  </w:footnote>
  <w:footnote w:id="1351">
    <w:p w:rsidR="00EC7CF3" w:rsidRDefault="00EC7CF3" w:rsidP="00C81B24">
      <w:pPr>
        <w:pStyle w:val="FootnoteText"/>
      </w:pPr>
      <w:r>
        <w:rPr>
          <w:rStyle w:val="FootnoteReference"/>
        </w:rPr>
        <w:footnoteRef/>
      </w:r>
      <w:r>
        <w:t xml:space="preserve"> PCMag, </w:t>
      </w:r>
      <w:r w:rsidRPr="006A5B3B">
        <w:rPr>
          <w:i/>
        </w:rPr>
        <w:t>Fastest Mobile Networks 201</w:t>
      </w:r>
      <w:r>
        <w:rPr>
          <w:i/>
        </w:rPr>
        <w:t>2</w:t>
      </w:r>
      <w:r>
        <w:t>, June 18, 2012,</w:t>
      </w:r>
      <w:r w:rsidRPr="00CC4B40">
        <w:rPr>
          <w:i/>
        </w:rPr>
        <w:t xml:space="preserve"> available at </w:t>
      </w:r>
      <w:hyperlink r:id="rId564" w:history="1">
        <w:r>
          <w:rPr>
            <w:rStyle w:val="Hyperlink"/>
          </w:rPr>
          <w:t>http://www.pcmag.com/article2/0,2817,2405597,00.asp</w:t>
        </w:r>
      </w:hyperlink>
      <w:r>
        <w:rPr>
          <w:rStyle w:val="Hyperlink"/>
          <w:u w:val="none"/>
        </w:rPr>
        <w:t xml:space="preserve"> </w:t>
      </w:r>
      <w:r w:rsidRPr="003B3DB4">
        <w:rPr>
          <w:rStyle w:val="Hyperlink"/>
          <w:color w:val="auto"/>
          <w:u w:val="none"/>
        </w:rPr>
        <w:t>(visited Oct. 16, 2012).</w:t>
      </w:r>
    </w:p>
  </w:footnote>
  <w:footnote w:id="1352">
    <w:p w:rsidR="00EC7CF3" w:rsidRDefault="00EC7CF3" w:rsidP="00C81B24">
      <w:pPr>
        <w:pStyle w:val="FootnoteText"/>
      </w:pPr>
      <w:r>
        <w:rPr>
          <w:rStyle w:val="FootnoteReference"/>
        </w:rPr>
        <w:footnoteRef/>
      </w:r>
      <w:r>
        <w:t xml:space="preserve"> PCMag, </w:t>
      </w:r>
      <w:r w:rsidRPr="006A5B3B">
        <w:rPr>
          <w:i/>
        </w:rPr>
        <w:t>Fastest Mobile Networks 201</w:t>
      </w:r>
      <w:r>
        <w:rPr>
          <w:i/>
        </w:rPr>
        <w:t>2</w:t>
      </w:r>
      <w:r>
        <w:t xml:space="preserve">, June 18, 2012, </w:t>
      </w:r>
      <w:r w:rsidRPr="00CC4B40">
        <w:rPr>
          <w:i/>
        </w:rPr>
        <w:t>available at</w:t>
      </w:r>
      <w:r>
        <w:t xml:space="preserve"> </w:t>
      </w:r>
      <w:hyperlink r:id="rId565" w:history="1">
        <w:r>
          <w:rPr>
            <w:rStyle w:val="Hyperlink"/>
          </w:rPr>
          <w:t>http://www.pcmag.com/article2/0,2817,2405596,00.asp</w:t>
        </w:r>
      </w:hyperlink>
      <w:r w:rsidRPr="003B3DB4">
        <w:rPr>
          <w:rStyle w:val="Hyperlink"/>
          <w:u w:val="none"/>
        </w:rPr>
        <w:t xml:space="preserve"> </w:t>
      </w:r>
      <w:r w:rsidRPr="003B3DB4">
        <w:rPr>
          <w:rStyle w:val="Hyperlink"/>
          <w:color w:val="auto"/>
          <w:u w:val="none"/>
        </w:rPr>
        <w:t>(visited Oct. 16, 2012).</w:t>
      </w:r>
    </w:p>
  </w:footnote>
  <w:footnote w:id="1353">
    <w:p w:rsidR="00EC7CF3" w:rsidRPr="00CC4B40" w:rsidRDefault="00EC7CF3" w:rsidP="00C81B24">
      <w:pPr>
        <w:pStyle w:val="FootnoteText"/>
      </w:pPr>
      <w:r>
        <w:rPr>
          <w:rStyle w:val="FootnoteReference"/>
        </w:rPr>
        <w:t>6</w:t>
      </w:r>
      <w:r w:rsidRPr="009C47F1">
        <w:t xml:space="preserve"> </w:t>
      </w:r>
      <w:r>
        <w:t xml:space="preserve">RootMetrics, </w:t>
      </w:r>
      <w:r w:rsidRPr="00A91C33">
        <w:rPr>
          <w:i/>
        </w:rPr>
        <w:t>RootScore reports</w:t>
      </w:r>
      <w:r>
        <w:t xml:space="preserve">, </w:t>
      </w:r>
      <w:r w:rsidRPr="00CC4B40">
        <w:rPr>
          <w:i/>
        </w:rPr>
        <w:t>available at</w:t>
      </w:r>
      <w:r>
        <w:t xml:space="preserve"> </w:t>
      </w:r>
      <w:hyperlink r:id="rId566" w:history="1">
        <w:r w:rsidRPr="005D0EB7">
          <w:rPr>
            <w:rStyle w:val="Hyperlink"/>
          </w:rPr>
          <w:t>http://www.rootmetrics.com/compare-carriers/</w:t>
        </w:r>
      </w:hyperlink>
      <w:r>
        <w:t xml:space="preserve"> </w:t>
      </w:r>
      <w:r w:rsidRPr="00CC4B40">
        <w:rPr>
          <w:rStyle w:val="Hyperlink"/>
          <w:color w:val="auto"/>
          <w:u w:val="none"/>
        </w:rPr>
        <w:t>(visited Oct. 16, 2012)</w:t>
      </w:r>
      <w:r>
        <w:rPr>
          <w:rStyle w:val="Hyperlink"/>
          <w:color w:val="auto"/>
          <w:u w:val="none"/>
        </w:rPr>
        <w:t>.</w:t>
      </w:r>
    </w:p>
  </w:footnote>
  <w:footnote w:id="1354">
    <w:p w:rsidR="00EC7CF3" w:rsidRDefault="00EC7CF3" w:rsidP="00C81B24">
      <w:pPr>
        <w:pStyle w:val="FootnoteText"/>
      </w:pPr>
      <w:r>
        <w:rPr>
          <w:rStyle w:val="FootnoteReference"/>
        </w:rPr>
        <w:t>7</w:t>
      </w:r>
      <w:r>
        <w:t xml:space="preserve">  RootMetrics, </w:t>
      </w:r>
      <w:r w:rsidRPr="00A91C33">
        <w:rPr>
          <w:i/>
        </w:rPr>
        <w:t>CoverageMap app</w:t>
      </w:r>
      <w:r>
        <w:t xml:space="preserve">, </w:t>
      </w:r>
      <w:r w:rsidRPr="00CC4B40">
        <w:rPr>
          <w:i/>
        </w:rPr>
        <w:t>available at</w:t>
      </w:r>
      <w:r>
        <w:t xml:space="preserve"> </w:t>
      </w:r>
      <w:hyperlink r:id="rId567" w:history="1">
        <w:r>
          <w:rPr>
            <w:rStyle w:val="Hyperlink"/>
          </w:rPr>
          <w:t>http://www.rootmetrics.com/app/</w:t>
        </w:r>
      </w:hyperlink>
      <w:r>
        <w:rPr>
          <w:rStyle w:val="Hyperlink"/>
          <w:u w:val="none"/>
        </w:rPr>
        <w:t xml:space="preserve"> </w:t>
      </w:r>
      <w:r w:rsidRPr="00CC4B40">
        <w:rPr>
          <w:rStyle w:val="Hyperlink"/>
          <w:color w:val="auto"/>
          <w:u w:val="none"/>
        </w:rPr>
        <w:t>(visited Oct. 16, 2012</w:t>
      </w:r>
      <w:r>
        <w:rPr>
          <w:rStyle w:val="Hyperlink"/>
          <w:color w:val="auto"/>
          <w:u w:val="none"/>
        </w:rPr>
        <w:t>.</w:t>
      </w:r>
      <w:r w:rsidRPr="00CC4B40">
        <w:rPr>
          <w:rStyle w:val="Hyperlink"/>
          <w:color w:val="auto"/>
          <w:u w:val="none"/>
        </w:rPr>
        <w:t>)</w:t>
      </w:r>
    </w:p>
  </w:footnote>
  <w:footnote w:id="1355">
    <w:p w:rsidR="00EC7CF3" w:rsidRDefault="00EC7CF3" w:rsidP="00C81B24">
      <w:pPr>
        <w:pStyle w:val="FootnoteText"/>
      </w:pPr>
      <w:r>
        <w:rPr>
          <w:rStyle w:val="FootnoteReference"/>
        </w:rPr>
        <w:t>8</w:t>
      </w:r>
      <w:r>
        <w:t xml:space="preserve"> RootMetrics, </w:t>
      </w:r>
      <w:r w:rsidRPr="00A91C33">
        <w:rPr>
          <w:i/>
        </w:rPr>
        <w:t>How it works</w:t>
      </w:r>
      <w:r>
        <w:t xml:space="preserve">, </w:t>
      </w:r>
      <w:r w:rsidRPr="00CC4B40">
        <w:rPr>
          <w:i/>
        </w:rPr>
        <w:t>available at</w:t>
      </w:r>
      <w:r>
        <w:t xml:space="preserve"> </w:t>
      </w:r>
      <w:hyperlink r:id="rId568" w:history="1">
        <w:r>
          <w:rPr>
            <w:rStyle w:val="Hyperlink"/>
          </w:rPr>
          <w:t>http://www.rootmetrics.com/how-it-works/</w:t>
        </w:r>
      </w:hyperlink>
      <w:r w:rsidRPr="00CC4B40">
        <w:rPr>
          <w:rStyle w:val="Hyperlink"/>
          <w:u w:val="none"/>
        </w:rPr>
        <w:t xml:space="preserve"> </w:t>
      </w:r>
      <w:r w:rsidRPr="00CC4B40">
        <w:rPr>
          <w:rStyle w:val="Hyperlink"/>
          <w:color w:val="auto"/>
          <w:u w:val="none"/>
        </w:rPr>
        <w:t>(visited Oct. 16, 2012)</w:t>
      </w:r>
      <w:r>
        <w:rPr>
          <w:rStyle w:val="Hyperlink"/>
          <w:color w:val="auto"/>
          <w:u w:val="none"/>
        </w:rPr>
        <w:t>.</w:t>
      </w:r>
    </w:p>
  </w:footnote>
  <w:footnote w:id="1356">
    <w:p w:rsidR="00EC7CF3" w:rsidRDefault="00EC7CF3" w:rsidP="00C81B24">
      <w:pPr>
        <w:pStyle w:val="FootnoteText"/>
      </w:pPr>
      <w:r>
        <w:rPr>
          <w:rStyle w:val="FootnoteReference"/>
        </w:rPr>
        <w:t>9</w:t>
      </w:r>
      <w:r>
        <w:t xml:space="preserve"> RootMetrics, </w:t>
      </w:r>
      <w:r w:rsidRPr="00A91C33">
        <w:rPr>
          <w:i/>
        </w:rPr>
        <w:t>RootScore reports</w:t>
      </w:r>
      <w:r>
        <w:t xml:space="preserve">, </w:t>
      </w:r>
      <w:r w:rsidRPr="00CC4B40">
        <w:rPr>
          <w:i/>
        </w:rPr>
        <w:t>available at</w:t>
      </w:r>
      <w:r>
        <w:t xml:space="preserve"> </w:t>
      </w:r>
      <w:hyperlink r:id="rId569" w:history="1">
        <w:r>
          <w:rPr>
            <w:rStyle w:val="Hyperlink"/>
          </w:rPr>
          <w:t>http://www.rootmetrics.com/compare-carriers/</w:t>
        </w:r>
      </w:hyperlink>
      <w:r w:rsidRPr="00CC4B40">
        <w:rPr>
          <w:rStyle w:val="Hyperlink"/>
          <w:u w:val="none"/>
        </w:rPr>
        <w:t xml:space="preserve"> </w:t>
      </w:r>
      <w:r w:rsidRPr="00CC4B40">
        <w:rPr>
          <w:rStyle w:val="Hyperlink"/>
          <w:color w:val="auto"/>
          <w:u w:val="none"/>
        </w:rPr>
        <w:t>(visited Oct. 16, 2012)</w:t>
      </w:r>
      <w:r>
        <w:rPr>
          <w:rStyle w:val="Hyperlink"/>
          <w:color w:val="auto"/>
          <w:u w:val="none"/>
        </w:rPr>
        <w:t>.</w:t>
      </w:r>
    </w:p>
  </w:footnote>
  <w:footnote w:id="1357">
    <w:p w:rsidR="00EC7CF3" w:rsidRPr="00E15525" w:rsidRDefault="00EC7CF3" w:rsidP="00613AEC">
      <w:pPr>
        <w:pStyle w:val="FootnoteText"/>
      </w:pPr>
      <w:r w:rsidRPr="00E15525">
        <w:rPr>
          <w:rStyle w:val="FootnoteReference"/>
        </w:rPr>
        <w:footnoteRef/>
      </w:r>
      <w:r w:rsidRPr="00E15525">
        <w:t xml:space="preserve"> 47 U.S.C § 332(c)(1)(C).</w:t>
      </w:r>
    </w:p>
  </w:footnote>
  <w:footnote w:id="1358">
    <w:p w:rsidR="00EC7CF3" w:rsidRPr="00FE5BBA" w:rsidRDefault="00EC7CF3" w:rsidP="00613AEC">
      <w:pPr>
        <w:pStyle w:val="FootnoteText"/>
      </w:pPr>
      <w:r>
        <w:rPr>
          <w:rStyle w:val="FootnoteReference"/>
          <w:rFonts w:eastAsia="SimSun"/>
        </w:rPr>
        <w:footnoteRef/>
      </w:r>
      <w:r>
        <w:t xml:space="preserve"> </w:t>
      </w:r>
      <w:r>
        <w:rPr>
          <w:i/>
        </w:rPr>
        <w:t>Report</w:t>
      </w:r>
      <w:r>
        <w:t xml:space="preserve"> at para. 244.</w:t>
      </w:r>
    </w:p>
  </w:footnote>
  <w:footnote w:id="1359">
    <w:p w:rsidR="00EC7CF3" w:rsidRDefault="00EC7CF3" w:rsidP="00613AEC">
      <w:pPr>
        <w:pStyle w:val="FootnoteText"/>
      </w:pPr>
      <w:r>
        <w:rPr>
          <w:rStyle w:val="FootnoteReference"/>
          <w:rFonts w:eastAsia="SimSun"/>
        </w:rPr>
        <w:footnoteRef/>
      </w:r>
      <w:r>
        <w:t xml:space="preserve"> </w:t>
      </w:r>
      <w:r>
        <w:rPr>
          <w:i/>
        </w:rPr>
        <w:t>Id.</w:t>
      </w:r>
      <w:r>
        <w:t xml:space="preserve"> at Tables 5, 9.</w:t>
      </w:r>
    </w:p>
  </w:footnote>
  <w:footnote w:id="1360">
    <w:p w:rsidR="00EC7CF3" w:rsidRDefault="00EC7CF3" w:rsidP="00613AEC">
      <w:pPr>
        <w:pStyle w:val="FootnoteText"/>
      </w:pPr>
      <w:r>
        <w:rPr>
          <w:rStyle w:val="FootnoteReference"/>
          <w:rFonts w:eastAsia="SimSun"/>
        </w:rPr>
        <w:footnoteRef/>
      </w:r>
      <w:r w:rsidRPr="00F63602">
        <w:rPr>
          <w:i/>
        </w:rPr>
        <w:t xml:space="preserve"> Id</w:t>
      </w:r>
      <w:r>
        <w:rPr>
          <w:i/>
        </w:rPr>
        <w:t>.</w:t>
      </w:r>
      <w:r w:rsidRPr="00F63602">
        <w:t xml:space="preserve"> at </w:t>
      </w:r>
      <w:r>
        <w:t>Table 44.</w:t>
      </w:r>
    </w:p>
  </w:footnote>
  <w:footnote w:id="1361">
    <w:p w:rsidR="00EC7CF3" w:rsidRPr="00966EF3" w:rsidRDefault="00EC7CF3" w:rsidP="00613AEC">
      <w:pPr>
        <w:pStyle w:val="FootnoteText"/>
      </w:pPr>
      <w:r w:rsidRPr="00966EF3">
        <w:rPr>
          <w:rStyle w:val="FootnoteReference"/>
          <w:rFonts w:eastAsia="SimSun"/>
        </w:rPr>
        <w:footnoteRef/>
      </w:r>
      <w:r>
        <w:t xml:space="preserve"> </w:t>
      </w:r>
      <w:r w:rsidRPr="00966EF3">
        <w:rPr>
          <w:i/>
        </w:rPr>
        <w:t>Id</w:t>
      </w:r>
      <w:r>
        <w:rPr>
          <w:i/>
        </w:rPr>
        <w:t>.</w:t>
      </w:r>
      <w:r w:rsidRPr="00966EF3">
        <w:t xml:space="preserve"> at </w:t>
      </w:r>
      <w:r>
        <w:t>Table 33.</w:t>
      </w:r>
    </w:p>
  </w:footnote>
  <w:footnote w:id="1362">
    <w:p w:rsidR="00EC7CF3" w:rsidRDefault="00EC7CF3" w:rsidP="00613AEC">
      <w:pPr>
        <w:pStyle w:val="FootnoteText"/>
      </w:pPr>
      <w:r>
        <w:rPr>
          <w:rStyle w:val="FootnoteReference"/>
          <w:rFonts w:eastAsia="SimSun"/>
        </w:rPr>
        <w:footnoteRef/>
      </w:r>
      <w:r>
        <w:t xml:space="preserve"> </w:t>
      </w:r>
      <w:r w:rsidRPr="00065085">
        <w:rPr>
          <w:i/>
        </w:rPr>
        <w:t>Id</w:t>
      </w:r>
      <w:r>
        <w:rPr>
          <w:i/>
        </w:rPr>
        <w:t>.</w:t>
      </w:r>
      <w:r w:rsidRPr="00EE5766">
        <w:t xml:space="preserve"> </w:t>
      </w:r>
      <w:r w:rsidRPr="00065085">
        <w:t xml:space="preserve">at </w:t>
      </w:r>
      <w:r>
        <w:t>paras. 220, 339.</w:t>
      </w:r>
    </w:p>
  </w:footnote>
  <w:footnote w:id="1363">
    <w:p w:rsidR="00EC7CF3" w:rsidRPr="00966EF3" w:rsidRDefault="00EC7CF3" w:rsidP="00613AEC">
      <w:pPr>
        <w:pStyle w:val="FootnoteText"/>
      </w:pPr>
      <w:r w:rsidRPr="00966EF3">
        <w:rPr>
          <w:rStyle w:val="FootnoteReference"/>
          <w:rFonts w:eastAsia="SimSun"/>
        </w:rPr>
        <w:footnoteRef/>
      </w:r>
      <w:r w:rsidRPr="00966EF3">
        <w:t xml:space="preserve"> </w:t>
      </w:r>
      <w:r w:rsidRPr="00966EF3">
        <w:rPr>
          <w:i/>
        </w:rPr>
        <w:t>Id</w:t>
      </w:r>
      <w:r>
        <w:rPr>
          <w:i/>
        </w:rPr>
        <w:t>.</w:t>
      </w:r>
      <w:r w:rsidRPr="00966EF3">
        <w:t xml:space="preserve"> at </w:t>
      </w:r>
      <w:r>
        <w:t>Chart 26.</w:t>
      </w:r>
    </w:p>
  </w:footnote>
  <w:footnote w:id="1364">
    <w:p w:rsidR="00EC7CF3" w:rsidRPr="00966EF3" w:rsidRDefault="00EC7CF3" w:rsidP="00613AEC">
      <w:pPr>
        <w:pStyle w:val="FootnoteText"/>
      </w:pPr>
      <w:r w:rsidRPr="00966EF3">
        <w:rPr>
          <w:rStyle w:val="FootnoteReference"/>
          <w:rFonts w:eastAsia="SimSun"/>
        </w:rPr>
        <w:footnoteRef/>
      </w:r>
      <w:r w:rsidRPr="00966EF3">
        <w:t xml:space="preserve"> </w:t>
      </w:r>
      <w:r w:rsidRPr="00966EF3">
        <w:rPr>
          <w:i/>
        </w:rPr>
        <w:t>Id</w:t>
      </w:r>
      <w:r>
        <w:rPr>
          <w:i/>
        </w:rPr>
        <w:t>.</w:t>
      </w:r>
      <w:r w:rsidRPr="00966EF3">
        <w:t xml:space="preserve"> at </w:t>
      </w:r>
      <w:r>
        <w:t>paras. 264, 268, 263.</w:t>
      </w:r>
    </w:p>
  </w:footnote>
  <w:footnote w:id="1365">
    <w:p w:rsidR="00EC7CF3" w:rsidRPr="0086308B" w:rsidRDefault="00EC7CF3" w:rsidP="00613AEC">
      <w:pPr>
        <w:pStyle w:val="FootnoteText"/>
      </w:pPr>
      <w:r>
        <w:rPr>
          <w:rStyle w:val="FootnoteReference"/>
          <w:rFonts w:eastAsia="SimSun"/>
        </w:rPr>
        <w:footnoteRef/>
      </w:r>
      <w:r>
        <w:t xml:space="preserve"> 47 U.S.C. § 332(c)(1)(C).  Another question unanswered is “[w]hether any of such competitors have a dominant share of the market for [commercial mobile] services.”  </w:t>
      </w:r>
      <w:r>
        <w:rPr>
          <w:i/>
        </w:rPr>
        <w:t>Id.</w:t>
      </w:r>
    </w:p>
  </w:footnote>
  <w:footnote w:id="1366">
    <w:p w:rsidR="00EC7CF3" w:rsidRDefault="00EC7CF3" w:rsidP="00613AEC">
      <w:pPr>
        <w:pStyle w:val="FootnoteText"/>
      </w:pPr>
      <w:r w:rsidRPr="00FE5BBA">
        <w:rPr>
          <w:rStyle w:val="FootnoteReference"/>
          <w:rFonts w:eastAsia="SimSun"/>
        </w:rPr>
        <w:footnoteRef/>
      </w:r>
      <w:r w:rsidRPr="00FE5BBA">
        <w:t xml:space="preserve"> </w:t>
      </w:r>
      <w:r w:rsidRPr="00FE5BBA">
        <w:rPr>
          <w:i/>
        </w:rPr>
        <w:t>Report</w:t>
      </w:r>
      <w:r>
        <w:t xml:space="preserve"> at 2.  </w:t>
      </w:r>
      <w:r w:rsidRPr="008A5E16">
        <w:t xml:space="preserve">I will concede that not everyone in Congress thinks that the Communications Act as it stands directs the FCC to answer the right questions.  Last year, the U.S. House of Representatives passed by voice vote the FCC Consolidated Reporting Act of 2012, </w:t>
      </w:r>
      <w:r>
        <w:t xml:space="preserve">H.R. 3310, </w:t>
      </w:r>
      <w:r w:rsidRPr="008A5E16">
        <w:t>which would have eliminated the Wireless Competition Report as a stand</w:t>
      </w:r>
      <w:r>
        <w:t>-</w:t>
      </w:r>
      <w:r w:rsidRPr="008A5E16">
        <w:t>alone report and given the Commission considerably more flexibility to report on competition in the communications marketplace.  But unless and until Congress amends the Act, it is our statutory responsibility to answer the questions that Congress has asked.</w:t>
      </w:r>
    </w:p>
  </w:footnote>
  <w:footnote w:id="1367">
    <w:p w:rsidR="00EC7CF3" w:rsidRDefault="00EC7CF3" w:rsidP="00613AEC">
      <w:pPr>
        <w:pStyle w:val="FootnoteText"/>
      </w:pPr>
      <w:r>
        <w:rPr>
          <w:rStyle w:val="FootnoteReference"/>
          <w:rFonts w:eastAsia="SimSun"/>
        </w:rPr>
        <w:footnoteRef/>
      </w:r>
      <w:r>
        <w:t xml:space="preserve"> I also believe that no competitor has a dominant share of the market for commercial mobile services.  </w:t>
      </w:r>
      <w:r w:rsidRPr="00FE5BBA">
        <w:rPr>
          <w:i/>
        </w:rPr>
        <w:t xml:space="preserve">See </w:t>
      </w:r>
      <w:r>
        <w:rPr>
          <w:i/>
        </w:rPr>
        <w:t>supra</w:t>
      </w:r>
      <w:r>
        <w:t xml:space="preserve"> note 8.</w:t>
      </w:r>
    </w:p>
  </w:footnote>
  <w:footnote w:id="1368">
    <w:p w:rsidR="00EC7CF3" w:rsidRDefault="00EC7CF3" w:rsidP="00613AEC">
      <w:pPr>
        <w:pStyle w:val="FootnoteText"/>
      </w:pPr>
      <w:r>
        <w:rPr>
          <w:rStyle w:val="FootnoteReference"/>
          <w:rFonts w:eastAsia="SimSun"/>
        </w:rPr>
        <w:footnoteRef/>
      </w:r>
      <w:r>
        <w:t xml:space="preserve"> </w:t>
      </w:r>
      <w:r w:rsidRPr="008A5E16">
        <w:rPr>
          <w:i/>
        </w:rPr>
        <w:t>Applications of Deutsche Telekom AG, T-Mobile USA, Inc., and</w:t>
      </w:r>
      <w:r w:rsidRPr="004F27D3">
        <w:rPr>
          <w:i/>
        </w:rPr>
        <w:t xml:space="preserve"> MetroPCS Communications, Inc. for Consent t</w:t>
      </w:r>
      <w:r w:rsidRPr="008A5E16">
        <w:rPr>
          <w:i/>
        </w:rPr>
        <w:t>o Transfer of Control of Licenses and Authorizations</w:t>
      </w:r>
      <w:r>
        <w:t xml:space="preserve">, WT Docket No. 12-301, Memorandum Opinion and Order and Declaratory Ruling, DA 13-384 (WTB/IB rel. Mar. 12, 2013), </w:t>
      </w:r>
      <w:r w:rsidRPr="008A5E16">
        <w:rPr>
          <w:i/>
        </w:rPr>
        <w:t>available at</w:t>
      </w:r>
      <w:r>
        <w:t xml:space="preserve"> </w:t>
      </w:r>
      <w:r w:rsidRPr="00134446">
        <w:t>http://go.usa.gov/2EDR</w:t>
      </w:r>
      <w:r>
        <w:t>.</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C7CF3" w:rsidRDefault="00EC7CF3">
    <w:pPr>
      <w:pStyle w:val="Header"/>
    </w:pP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C7CF3" w:rsidRDefault="00EC7CF3">
    <w:pPr>
      <w:pStyle w:val="Header"/>
      <w:pBdr>
        <w:bottom w:val="single" w:sz="12" w:space="1" w:color="auto"/>
      </w:pBdr>
      <w:rPr>
        <w:b w:val="0"/>
      </w:rPr>
    </w:pPr>
    <w:r>
      <w:tab/>
      <w:t>Federal Communications Commission</w:t>
    </w:r>
    <w:r>
      <w:tab/>
      <w:t>FCC 13-34</w:t>
    </w:r>
  </w:p>
  <w:p w:rsidR="00EC7CF3" w:rsidRDefault="00EC7CF3">
    <w:pPr>
      <w:tabs>
        <w:tab w:val="left" w:pos="-720"/>
      </w:tabs>
      <w:suppressAutoHyphens/>
      <w:spacing w:line="19" w:lineRule="exact"/>
      <w:rPr>
        <w:spacing w:val="-2"/>
      </w:rPr>
    </w:pPr>
  </w:p>
  <w:p w:rsidR="00EC7CF3" w:rsidRDefault="00EC7CF3"/>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C7CF3" w:rsidRDefault="00EC7CF3" w:rsidP="00073A05">
    <w:pPr>
      <w:pStyle w:val="Header"/>
      <w:pBdr>
        <w:bottom w:val="single" w:sz="12" w:space="1" w:color="auto"/>
      </w:pBdr>
      <w:rPr>
        <w:b w:val="0"/>
      </w:rPr>
    </w:pPr>
    <w:r>
      <w:tab/>
      <w:t>Federal Communications Commission</w:t>
    </w:r>
    <w:r>
      <w:tab/>
      <w:t>FCC 10-81</w:t>
    </w:r>
  </w:p>
  <w:p w:rsidR="00EC7CF3" w:rsidRDefault="00EC7CF3">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C7CF3" w:rsidRDefault="00EC7CF3">
    <w:pPr>
      <w:pStyle w:val="Header"/>
      <w:pBdr>
        <w:bottom w:val="single" w:sz="12" w:space="1" w:color="auto"/>
      </w:pBdr>
      <w:rPr>
        <w:b w:val="0"/>
      </w:rPr>
    </w:pPr>
    <w:r>
      <w:tab/>
      <w:t>Federal Communications Commission</w:t>
    </w:r>
    <w:r>
      <w:tab/>
      <w:t>FCC 13-34</w:t>
    </w:r>
  </w:p>
  <w:p w:rsidR="00EC7CF3" w:rsidRDefault="00EC7CF3">
    <w:pPr>
      <w:tabs>
        <w:tab w:val="left" w:pos="-720"/>
      </w:tabs>
      <w:suppressAutoHyphens/>
      <w:spacing w:line="19" w:lineRule="exact"/>
      <w:rPr>
        <w:spacing w:val="-2"/>
      </w:rPr>
    </w:pPr>
  </w:p>
  <w:p w:rsidR="00EC7CF3" w:rsidRDefault="00EC7CF3"/>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C7CF3" w:rsidRPr="00AA5CCE" w:rsidRDefault="00EC7CF3" w:rsidP="00073A05">
    <w:pPr>
      <w:pStyle w:val="Header"/>
      <w:pBdr>
        <w:bottom w:val="single" w:sz="12" w:space="1" w:color="auto"/>
      </w:pBdr>
    </w:pPr>
    <w:r>
      <w:tab/>
      <w:t>Federal Communications Commission</w:t>
    </w:r>
    <w:r>
      <w:tab/>
      <w:t>FCC 13-34</w:t>
    </w:r>
  </w:p>
  <w:p w:rsidR="00EC7CF3" w:rsidRDefault="00EC7CF3">
    <w:pPr>
      <w:pStyle w:val="Header"/>
    </w:pPr>
  </w:p>
  <w:p w:rsidR="00EC7CF3" w:rsidRDefault="00EC7CF3">
    <w:pPr>
      <w:pStyle w:val="Heade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C7CF3" w:rsidRPr="00955672" w:rsidRDefault="00EC7CF3" w:rsidP="00B8708A">
    <w:pPr>
      <w:pBdr>
        <w:bottom w:val="single" w:sz="4" w:space="1" w:color="auto"/>
      </w:pBdr>
      <w:jc w:val="right"/>
      <w:rPr>
        <w:b/>
        <w:bCs/>
      </w:rPr>
    </w:pPr>
    <w:r w:rsidRPr="00955672">
      <w:rPr>
        <w:b/>
        <w:bCs/>
      </w:rPr>
      <w:t xml:space="preserve">Federal Communications Commission                          FCC </w:t>
    </w:r>
    <w:r>
      <w:rPr>
        <w:b/>
        <w:bCs/>
      </w:rPr>
      <w:t>13-34</w:t>
    </w:r>
  </w:p>
  <w:p w:rsidR="00EC7CF3" w:rsidRPr="00955672" w:rsidRDefault="00EC7CF3" w:rsidP="00F25280">
    <w:pPr>
      <w:pStyle w:val="Heade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C7CF3" w:rsidRDefault="00EC7CF3" w:rsidP="00F25280">
    <w:pPr>
      <w:pStyle w:val="Header"/>
    </w:pPr>
    <w:r>
      <w:t xml:space="preserve">Federal Communications Commission                         </w:t>
    </w:r>
    <w:r w:rsidRPr="009F1E8E">
      <w:t>FCC 04-216</w: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C7CF3" w:rsidRPr="005E64D5" w:rsidRDefault="00EC7CF3" w:rsidP="00522BE1">
    <w:pPr>
      <w:pBdr>
        <w:bottom w:val="single" w:sz="4" w:space="1" w:color="auto"/>
      </w:pBdr>
      <w:jc w:val="right"/>
      <w:rPr>
        <w:b/>
        <w:bCs/>
      </w:rPr>
    </w:pPr>
    <w:r w:rsidRPr="005E64D5">
      <w:rPr>
        <w:b/>
        <w:bCs/>
      </w:rPr>
      <w:t>Federal Communications Commission</w:t>
    </w:r>
    <w:r>
      <w:rPr>
        <w:b/>
        <w:bCs/>
      </w:rPr>
      <w:t xml:space="preserve">                          FCC 13-34</w:t>
    </w:r>
  </w:p>
  <w:p w:rsidR="00EC7CF3" w:rsidRPr="00C83C1F" w:rsidRDefault="00EC7CF3" w:rsidP="00F25280">
    <w:pPr>
      <w:pStyle w:val="Header"/>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C7CF3" w:rsidRPr="005E64D5" w:rsidRDefault="00EC7CF3" w:rsidP="00522BE1">
    <w:pPr>
      <w:pBdr>
        <w:bottom w:val="single" w:sz="4" w:space="1" w:color="auto"/>
      </w:pBdr>
      <w:jc w:val="right"/>
      <w:rPr>
        <w:b/>
        <w:bCs/>
      </w:rPr>
    </w:pPr>
    <w:r w:rsidRPr="005E64D5">
      <w:rPr>
        <w:b/>
        <w:bCs/>
      </w:rPr>
      <w:t>Federal Communications Commission</w:t>
    </w:r>
    <w:r>
      <w:rPr>
        <w:b/>
        <w:bCs/>
      </w:rPr>
      <w:t xml:space="preserve">                          FCC 08-XX</w:t>
    </w:r>
  </w:p>
  <w:p w:rsidR="00EC7CF3" w:rsidRDefault="00EC7CF3" w:rsidP="00F25280">
    <w:pPr>
      <w:pStyle w:val="Header"/>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C7CF3" w:rsidRDefault="00EC7CF3">
    <w:pPr>
      <w:pStyle w:val="Header"/>
      <w:pBdr>
        <w:bottom w:val="single" w:sz="12" w:space="1" w:color="auto"/>
      </w:pBdr>
      <w:rPr>
        <w:b w:val="0"/>
      </w:rPr>
    </w:pPr>
    <w:r>
      <w:tab/>
      <w:t>Federal Communications Commission</w:t>
    </w:r>
    <w:r>
      <w:tab/>
      <w:t xml:space="preserve">FCC </w:t>
    </w:r>
    <w:r w:rsidRPr="006C10D6">
      <w:rPr>
        <w:bCs/>
      </w:rPr>
      <w:t>13-34</w:t>
    </w:r>
  </w:p>
  <w:p w:rsidR="00EC7CF3" w:rsidRDefault="00EC7CF3">
    <w:pPr>
      <w:tabs>
        <w:tab w:val="left" w:pos="-720"/>
      </w:tabs>
      <w:suppressAutoHyphens/>
      <w:spacing w:line="19" w:lineRule="exact"/>
      <w:rPr>
        <w:spacing w:val="-2"/>
      </w:rPr>
    </w:pPr>
  </w:p>
  <w:p w:rsidR="00EC7CF3" w:rsidRDefault="00EC7CF3"/>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C7CF3" w:rsidRDefault="00EC7CF3" w:rsidP="00073A05">
    <w:pPr>
      <w:pStyle w:val="Header"/>
      <w:pBdr>
        <w:bottom w:val="single" w:sz="12" w:space="1" w:color="auto"/>
      </w:pBdr>
      <w:rPr>
        <w:b w:val="0"/>
      </w:rPr>
    </w:pPr>
    <w:r>
      <w:tab/>
      <w:t>Federal Communications Commission</w:t>
    </w:r>
    <w:r>
      <w:tab/>
      <w:t>FCC 10-81</w:t>
    </w:r>
  </w:p>
  <w:p w:rsidR="00EC7CF3" w:rsidRDefault="00EC7CF3">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81"/>
    <w:multiLevelType w:val="singleLevel"/>
    <w:tmpl w:val="A90EFE80"/>
    <w:lvl w:ilvl="0">
      <w:start w:val="1"/>
      <w:numFmt w:val="bullet"/>
      <w:lvlText w:val=""/>
      <w:lvlJc w:val="left"/>
      <w:pPr>
        <w:tabs>
          <w:tab w:val="num" w:pos="1440"/>
        </w:tabs>
        <w:ind w:left="1440" w:hanging="360"/>
      </w:pPr>
      <w:rPr>
        <w:rFonts w:ascii="Symbol" w:hAnsi="Symbol" w:hint="default"/>
      </w:rPr>
    </w:lvl>
  </w:abstractNum>
  <w:abstractNum w:abstractNumId="1">
    <w:nsid w:val="FFFFFF82"/>
    <w:multiLevelType w:val="singleLevel"/>
    <w:tmpl w:val="59E64EF4"/>
    <w:lvl w:ilvl="0">
      <w:start w:val="1"/>
      <w:numFmt w:val="bullet"/>
      <w:lvlText w:val=""/>
      <w:lvlJc w:val="left"/>
      <w:pPr>
        <w:tabs>
          <w:tab w:val="num" w:pos="1080"/>
        </w:tabs>
        <w:ind w:left="1080" w:hanging="360"/>
      </w:pPr>
      <w:rPr>
        <w:rFonts w:ascii="Symbol" w:hAnsi="Symbol" w:hint="default"/>
      </w:rPr>
    </w:lvl>
  </w:abstractNum>
  <w:abstractNum w:abstractNumId="2">
    <w:nsid w:val="FFFFFF83"/>
    <w:multiLevelType w:val="singleLevel"/>
    <w:tmpl w:val="CF4E61B0"/>
    <w:lvl w:ilvl="0">
      <w:start w:val="1"/>
      <w:numFmt w:val="bullet"/>
      <w:lvlText w:val=""/>
      <w:lvlJc w:val="left"/>
      <w:pPr>
        <w:tabs>
          <w:tab w:val="num" w:pos="720"/>
        </w:tabs>
        <w:ind w:left="720" w:hanging="360"/>
      </w:pPr>
      <w:rPr>
        <w:rFonts w:ascii="Symbol" w:hAnsi="Symbol" w:hint="default"/>
      </w:rPr>
    </w:lvl>
  </w:abstractNum>
  <w:abstractNum w:abstractNumId="3">
    <w:nsid w:val="FFFFFF89"/>
    <w:multiLevelType w:val="singleLevel"/>
    <w:tmpl w:val="1CDEBFB8"/>
    <w:lvl w:ilvl="0">
      <w:start w:val="1"/>
      <w:numFmt w:val="bullet"/>
      <w:lvlText w:val=""/>
      <w:lvlJc w:val="left"/>
      <w:pPr>
        <w:tabs>
          <w:tab w:val="num" w:pos="360"/>
        </w:tabs>
        <w:ind w:left="360" w:hanging="360"/>
      </w:pPr>
      <w:rPr>
        <w:rFonts w:ascii="Symbol" w:hAnsi="Symbol" w:hint="default"/>
      </w:rPr>
    </w:lvl>
  </w:abstractNum>
  <w:abstractNum w:abstractNumId="4">
    <w:nsid w:val="084B453C"/>
    <w:multiLevelType w:val="singleLevel"/>
    <w:tmpl w:val="40A8E97A"/>
    <w:lvl w:ilvl="0">
      <w:start w:val="1"/>
      <w:numFmt w:val="decimal"/>
      <w:lvlText w:val="%1."/>
      <w:lvlJc w:val="left"/>
      <w:pPr>
        <w:tabs>
          <w:tab w:val="num" w:pos="1080"/>
        </w:tabs>
        <w:ind w:firstLine="720"/>
      </w:pPr>
      <w:rPr>
        <w:rFonts w:cs="Times New Roman"/>
      </w:rPr>
    </w:lvl>
  </w:abstractNum>
  <w:abstractNum w:abstractNumId="5">
    <w:nsid w:val="0B770685"/>
    <w:multiLevelType w:val="singleLevel"/>
    <w:tmpl w:val="7C1241CC"/>
    <w:lvl w:ilvl="0">
      <w:start w:val="1"/>
      <w:numFmt w:val="decimal"/>
      <w:lvlText w:val="%1."/>
      <w:lvlJc w:val="left"/>
      <w:pPr>
        <w:ind w:firstLine="720"/>
      </w:pPr>
      <w:rPr>
        <w:rFonts w:cs="Times New Roman" w:hint="default"/>
        <w:b w:val="0"/>
        <w:sz w:val="22"/>
        <w:szCs w:val="22"/>
      </w:rPr>
    </w:lvl>
  </w:abstractNum>
  <w:abstractNum w:abstractNumId="6">
    <w:nsid w:val="23F40A0F"/>
    <w:multiLevelType w:val="singleLevel"/>
    <w:tmpl w:val="3244DD0A"/>
    <w:lvl w:ilvl="0">
      <w:start w:val="1"/>
      <w:numFmt w:val="bullet"/>
      <w:lvlText w:val=""/>
      <w:lvlJc w:val="left"/>
      <w:pPr>
        <w:tabs>
          <w:tab w:val="num" w:pos="360"/>
        </w:tabs>
        <w:ind w:left="360" w:hanging="360"/>
      </w:pPr>
      <w:rPr>
        <w:rFonts w:ascii="Symbol" w:hAnsi="Symbol" w:hint="default"/>
      </w:rPr>
    </w:lvl>
  </w:abstractNum>
  <w:abstractNum w:abstractNumId="7">
    <w:nsid w:val="248246F3"/>
    <w:multiLevelType w:val="singleLevel"/>
    <w:tmpl w:val="B1F45678"/>
    <w:lvl w:ilvl="0">
      <w:start w:val="1"/>
      <w:numFmt w:val="decimal"/>
      <w:lvlText w:val="%1."/>
      <w:lvlJc w:val="left"/>
      <w:pPr>
        <w:tabs>
          <w:tab w:val="num" w:pos="1080"/>
        </w:tabs>
        <w:ind w:firstLine="720"/>
      </w:pPr>
      <w:rPr>
        <w:rFonts w:cs="Times New Roman"/>
      </w:rPr>
    </w:lvl>
  </w:abstractNum>
  <w:abstractNum w:abstractNumId="8">
    <w:nsid w:val="27E06CBB"/>
    <w:multiLevelType w:val="multilevel"/>
    <w:tmpl w:val="B42EBFCE"/>
    <w:lvl w:ilvl="0">
      <w:start w:val="1"/>
      <w:numFmt w:val="upperRoman"/>
      <w:lvlText w:val="%1."/>
      <w:lvlJc w:val="left"/>
      <w:pPr>
        <w:tabs>
          <w:tab w:val="num" w:pos="720"/>
        </w:tabs>
        <w:ind w:left="720" w:hanging="720"/>
      </w:pPr>
      <w:rPr>
        <w:rFonts w:cs="Times New Roman"/>
      </w:rPr>
    </w:lvl>
    <w:lvl w:ilvl="1">
      <w:start w:val="1"/>
      <w:numFmt w:val="upperLetter"/>
      <w:pStyle w:val="Heading2"/>
      <w:lvlText w:val="%2."/>
      <w:lvlJc w:val="left"/>
      <w:pPr>
        <w:tabs>
          <w:tab w:val="num" w:pos="1440"/>
        </w:tabs>
        <w:ind w:left="1440" w:hanging="720"/>
      </w:pPr>
      <w:rPr>
        <w:rFonts w:cs="Times New Roman"/>
      </w:rPr>
    </w:lvl>
    <w:lvl w:ilvl="2">
      <w:start w:val="1"/>
      <w:numFmt w:val="decimal"/>
      <w:lvlText w:val="%3."/>
      <w:lvlJc w:val="left"/>
      <w:pPr>
        <w:tabs>
          <w:tab w:val="num" w:pos="2160"/>
        </w:tabs>
        <w:ind w:left="2160" w:hanging="720"/>
      </w:pPr>
      <w:rPr>
        <w:rFonts w:cs="Times New Roman"/>
      </w:rPr>
    </w:lvl>
    <w:lvl w:ilvl="3">
      <w:start w:val="1"/>
      <w:numFmt w:val="lowerLetter"/>
      <w:lvlText w:val="%4."/>
      <w:lvlJc w:val="left"/>
      <w:pPr>
        <w:tabs>
          <w:tab w:val="num" w:pos="2880"/>
        </w:tabs>
        <w:ind w:left="2880" w:hanging="720"/>
      </w:pPr>
      <w:rPr>
        <w:rFonts w:cs="Times New Roman"/>
      </w:rPr>
    </w:lvl>
    <w:lvl w:ilvl="4">
      <w:start w:val="1"/>
      <w:numFmt w:val="lowerRoman"/>
      <w:lvlText w:val="(%5)"/>
      <w:lvlJc w:val="left"/>
      <w:pPr>
        <w:tabs>
          <w:tab w:val="num" w:pos="3600"/>
        </w:tabs>
        <w:ind w:left="3600" w:hanging="720"/>
      </w:pPr>
      <w:rPr>
        <w:rFonts w:cs="Times New Roman"/>
      </w:rPr>
    </w:lvl>
    <w:lvl w:ilvl="5">
      <w:start w:val="1"/>
      <w:numFmt w:val="lowerLetter"/>
      <w:lvlText w:val="(%6)"/>
      <w:lvlJc w:val="left"/>
      <w:pPr>
        <w:tabs>
          <w:tab w:val="num" w:pos="4320"/>
        </w:tabs>
        <w:ind w:left="4320" w:hanging="720"/>
      </w:pPr>
      <w:rPr>
        <w:rFonts w:cs="Times New Roman"/>
      </w:rPr>
    </w:lvl>
    <w:lvl w:ilvl="6">
      <w:start w:val="1"/>
      <w:numFmt w:val="lowerRoman"/>
      <w:lvlText w:val="(%7)"/>
      <w:lvlJc w:val="left"/>
      <w:pPr>
        <w:tabs>
          <w:tab w:val="num" w:pos="5040"/>
        </w:tabs>
        <w:ind w:left="4320"/>
      </w:pPr>
      <w:rPr>
        <w:rFonts w:cs="Times New Roman"/>
      </w:rPr>
    </w:lvl>
    <w:lvl w:ilvl="7">
      <w:start w:val="1"/>
      <w:numFmt w:val="lowerLetter"/>
      <w:lvlText w:val="(%8)"/>
      <w:lvlJc w:val="left"/>
      <w:pPr>
        <w:tabs>
          <w:tab w:val="num" w:pos="5400"/>
        </w:tabs>
        <w:ind w:left="5040"/>
      </w:pPr>
      <w:rPr>
        <w:rFonts w:cs="Times New Roman"/>
      </w:rPr>
    </w:lvl>
    <w:lvl w:ilvl="8">
      <w:start w:val="1"/>
      <w:numFmt w:val="lowerRoman"/>
      <w:lvlText w:val="(%9)"/>
      <w:lvlJc w:val="left"/>
      <w:pPr>
        <w:tabs>
          <w:tab w:val="num" w:pos="6120"/>
        </w:tabs>
        <w:ind w:left="5760"/>
      </w:pPr>
      <w:rPr>
        <w:rFonts w:cs="Times New Roman"/>
      </w:rPr>
    </w:lvl>
  </w:abstractNum>
  <w:abstractNum w:abstractNumId="9">
    <w:nsid w:val="3D0F1B3D"/>
    <w:multiLevelType w:val="singleLevel"/>
    <w:tmpl w:val="30D60F24"/>
    <w:lvl w:ilvl="0">
      <w:start w:val="1"/>
      <w:numFmt w:val="decimal"/>
      <w:pStyle w:val="ParaNumChar"/>
      <w:lvlText w:val="%1."/>
      <w:lvlJc w:val="left"/>
      <w:pPr>
        <w:tabs>
          <w:tab w:val="num" w:pos="1080"/>
        </w:tabs>
        <w:ind w:firstLine="720"/>
      </w:pPr>
      <w:rPr>
        <w:rFonts w:ascii="Times New Roman" w:hAnsi="Times New Roman" w:cs="Times New Roman" w:hint="default"/>
        <w:b w:val="0"/>
        <w:i w:val="0"/>
        <w:caps w:val="0"/>
        <w:strike w:val="0"/>
        <w:dstrike w:val="0"/>
        <w:vanish w:val="0"/>
        <w:sz w:val="22"/>
        <w:u w:val="none"/>
        <w:vertAlign w:val="baseline"/>
      </w:rPr>
    </w:lvl>
  </w:abstractNum>
  <w:abstractNum w:abstractNumId="10">
    <w:nsid w:val="4C300DB8"/>
    <w:multiLevelType w:val="singleLevel"/>
    <w:tmpl w:val="D180CED0"/>
    <w:lvl w:ilvl="0">
      <w:start w:val="1"/>
      <w:numFmt w:val="decimal"/>
      <w:lvlText w:val="%1."/>
      <w:lvlJc w:val="left"/>
      <w:pPr>
        <w:tabs>
          <w:tab w:val="num" w:pos="3960"/>
        </w:tabs>
        <w:ind w:firstLine="720"/>
      </w:pPr>
      <w:rPr>
        <w:rFonts w:cs="Times New Roman"/>
      </w:rPr>
    </w:lvl>
  </w:abstractNum>
  <w:abstractNum w:abstractNumId="11">
    <w:nsid w:val="4DF61CE4"/>
    <w:multiLevelType w:val="multilevel"/>
    <w:tmpl w:val="F1A86982"/>
    <w:lvl w:ilvl="0">
      <w:start w:val="1"/>
      <w:numFmt w:val="upperRoman"/>
      <w:lvlText w:val="%1."/>
      <w:lvlJc w:val="left"/>
      <w:pPr>
        <w:tabs>
          <w:tab w:val="num" w:pos="720"/>
        </w:tabs>
        <w:ind w:left="720" w:hanging="720"/>
      </w:pPr>
      <w:rPr>
        <w:rFonts w:cs="Times New Roman"/>
      </w:rPr>
    </w:lvl>
    <w:lvl w:ilvl="1">
      <w:start w:val="1"/>
      <w:numFmt w:val="upperLetter"/>
      <w:lvlText w:val="%2."/>
      <w:lvlJc w:val="left"/>
      <w:pPr>
        <w:tabs>
          <w:tab w:val="num" w:pos="1440"/>
        </w:tabs>
        <w:ind w:left="1440" w:hanging="720"/>
      </w:pPr>
      <w:rPr>
        <w:rFonts w:cs="Times New Roman"/>
      </w:rPr>
    </w:lvl>
    <w:lvl w:ilvl="2">
      <w:start w:val="1"/>
      <w:numFmt w:val="decimal"/>
      <w:lvlText w:val="%3."/>
      <w:lvlJc w:val="left"/>
      <w:pPr>
        <w:tabs>
          <w:tab w:val="num" w:pos="2160"/>
        </w:tabs>
        <w:ind w:left="2160" w:hanging="720"/>
      </w:pPr>
      <w:rPr>
        <w:rFonts w:cs="Times New Roman"/>
      </w:rPr>
    </w:lvl>
    <w:lvl w:ilvl="3">
      <w:start w:val="1"/>
      <w:numFmt w:val="lowerLetter"/>
      <w:lvlText w:val="%4."/>
      <w:lvlJc w:val="left"/>
      <w:pPr>
        <w:tabs>
          <w:tab w:val="num" w:pos="2880"/>
        </w:tabs>
        <w:ind w:left="2880" w:hanging="720"/>
      </w:pPr>
      <w:rPr>
        <w:rFonts w:cs="Times New Roman"/>
      </w:rPr>
    </w:lvl>
    <w:lvl w:ilvl="4">
      <w:start w:val="1"/>
      <w:numFmt w:val="lowerRoman"/>
      <w:lvlText w:val="(%5)"/>
      <w:lvlJc w:val="left"/>
      <w:pPr>
        <w:tabs>
          <w:tab w:val="num" w:pos="3600"/>
        </w:tabs>
        <w:ind w:left="3600" w:hanging="720"/>
      </w:pPr>
      <w:rPr>
        <w:rFonts w:cs="Times New Roman"/>
      </w:rPr>
    </w:lvl>
    <w:lvl w:ilvl="5">
      <w:start w:val="1"/>
      <w:numFmt w:val="lowerLetter"/>
      <w:lvlText w:val="(%6)"/>
      <w:lvlJc w:val="left"/>
      <w:pPr>
        <w:tabs>
          <w:tab w:val="num" w:pos="4320"/>
        </w:tabs>
        <w:ind w:left="4320" w:hanging="720"/>
      </w:pPr>
      <w:rPr>
        <w:rFonts w:cs="Times New Roman"/>
      </w:rPr>
    </w:lvl>
    <w:lvl w:ilvl="6">
      <w:start w:val="1"/>
      <w:numFmt w:val="lowerRoman"/>
      <w:lvlText w:val="(%7)"/>
      <w:lvlJc w:val="left"/>
      <w:pPr>
        <w:tabs>
          <w:tab w:val="num" w:pos="5040"/>
        </w:tabs>
        <w:ind w:left="4320"/>
      </w:pPr>
      <w:rPr>
        <w:rFonts w:cs="Times New Roman"/>
      </w:rPr>
    </w:lvl>
    <w:lvl w:ilvl="7">
      <w:start w:val="1"/>
      <w:numFmt w:val="lowerLetter"/>
      <w:lvlText w:val="(%8)"/>
      <w:lvlJc w:val="left"/>
      <w:pPr>
        <w:tabs>
          <w:tab w:val="num" w:pos="5400"/>
        </w:tabs>
        <w:ind w:left="5040"/>
      </w:pPr>
      <w:rPr>
        <w:rFonts w:cs="Times New Roman"/>
      </w:rPr>
    </w:lvl>
    <w:lvl w:ilvl="8">
      <w:start w:val="1"/>
      <w:numFmt w:val="lowerRoman"/>
      <w:lvlText w:val="(%9)"/>
      <w:lvlJc w:val="left"/>
      <w:pPr>
        <w:tabs>
          <w:tab w:val="num" w:pos="6120"/>
        </w:tabs>
        <w:ind w:left="5760"/>
      </w:pPr>
      <w:rPr>
        <w:rFonts w:cs="Times New Roman"/>
      </w:rPr>
    </w:lvl>
  </w:abstractNum>
  <w:abstractNum w:abstractNumId="12">
    <w:nsid w:val="61182925"/>
    <w:multiLevelType w:val="singleLevel"/>
    <w:tmpl w:val="7C1241CC"/>
    <w:lvl w:ilvl="0">
      <w:start w:val="1"/>
      <w:numFmt w:val="decimal"/>
      <w:lvlText w:val="%1."/>
      <w:lvlJc w:val="left"/>
      <w:pPr>
        <w:ind w:firstLine="720"/>
      </w:pPr>
      <w:rPr>
        <w:rFonts w:cs="Times New Roman" w:hint="default"/>
        <w:b w:val="0"/>
        <w:sz w:val="22"/>
        <w:szCs w:val="22"/>
      </w:rPr>
    </w:lvl>
  </w:abstractNum>
  <w:abstractNum w:abstractNumId="13">
    <w:nsid w:val="66E65EE5"/>
    <w:multiLevelType w:val="multilevel"/>
    <w:tmpl w:val="1E32DC30"/>
    <w:lvl w:ilvl="0">
      <w:start w:val="1"/>
      <w:numFmt w:val="decimal"/>
      <w:lvlText w:val="%1)"/>
      <w:lvlJc w:val="left"/>
      <w:pPr>
        <w:tabs>
          <w:tab w:val="num" w:pos="360"/>
        </w:tabs>
        <w:ind w:left="360" w:hanging="360"/>
      </w:pPr>
      <w:rPr>
        <w:rFonts w:cs="Times New Roman"/>
      </w:rPr>
    </w:lvl>
    <w:lvl w:ilvl="1">
      <w:start w:val="1"/>
      <w:numFmt w:val="decimal"/>
      <w:lvlText w:val="%2)"/>
      <w:lvlJc w:val="left"/>
      <w:pPr>
        <w:tabs>
          <w:tab w:val="num" w:pos="720"/>
        </w:tabs>
        <w:ind w:left="720" w:hanging="360"/>
      </w:pPr>
      <w:rPr>
        <w:rFonts w:cs="Times New Roman"/>
      </w:rPr>
    </w:lvl>
    <w:lvl w:ilvl="2">
      <w:start w:val="1"/>
      <w:numFmt w:val="lowerRoman"/>
      <w:lvlText w:val="%3)"/>
      <w:lvlJc w:val="left"/>
      <w:pPr>
        <w:tabs>
          <w:tab w:val="num" w:pos="1080"/>
        </w:tabs>
        <w:ind w:left="1080" w:hanging="360"/>
      </w:pPr>
      <w:rPr>
        <w:rFonts w:cs="Times New Roman"/>
      </w:rPr>
    </w:lvl>
    <w:lvl w:ilvl="3">
      <w:start w:val="1"/>
      <w:numFmt w:val="decimal"/>
      <w:lvlText w:val="(%4)"/>
      <w:lvlJc w:val="left"/>
      <w:pPr>
        <w:tabs>
          <w:tab w:val="num" w:pos="1440"/>
        </w:tabs>
        <w:ind w:left="1440" w:hanging="360"/>
      </w:pPr>
      <w:rPr>
        <w:rFonts w:cs="Times New Roman"/>
      </w:rPr>
    </w:lvl>
    <w:lvl w:ilvl="4">
      <w:start w:val="1"/>
      <w:numFmt w:val="lowerLetter"/>
      <w:lvlText w:val="(%5)"/>
      <w:lvlJc w:val="left"/>
      <w:pPr>
        <w:tabs>
          <w:tab w:val="num" w:pos="1800"/>
        </w:tabs>
        <w:ind w:left="1800" w:hanging="360"/>
      </w:pPr>
      <w:rPr>
        <w:rFonts w:cs="Times New Roman"/>
      </w:rPr>
    </w:lvl>
    <w:lvl w:ilvl="5">
      <w:start w:val="1"/>
      <w:numFmt w:val="lowerRoman"/>
      <w:lvlText w:val="(%6)"/>
      <w:lvlJc w:val="left"/>
      <w:pPr>
        <w:tabs>
          <w:tab w:val="num" w:pos="2160"/>
        </w:tabs>
        <w:ind w:left="2160" w:hanging="360"/>
      </w:pPr>
      <w:rPr>
        <w:rFonts w:cs="Times New Roman"/>
      </w:rPr>
    </w:lvl>
    <w:lvl w:ilvl="6">
      <w:start w:val="1"/>
      <w:numFmt w:val="decimal"/>
      <w:lvlText w:val="%7."/>
      <w:lvlJc w:val="left"/>
      <w:pPr>
        <w:tabs>
          <w:tab w:val="num" w:pos="2520"/>
        </w:tabs>
        <w:ind w:left="2520" w:hanging="360"/>
      </w:pPr>
      <w:rPr>
        <w:rFonts w:cs="Times New Roman"/>
      </w:rPr>
    </w:lvl>
    <w:lvl w:ilvl="7">
      <w:start w:val="1"/>
      <w:numFmt w:val="lowerLetter"/>
      <w:lvlText w:val="%8."/>
      <w:lvlJc w:val="left"/>
      <w:pPr>
        <w:tabs>
          <w:tab w:val="num" w:pos="2880"/>
        </w:tabs>
        <w:ind w:left="2880" w:hanging="360"/>
      </w:pPr>
      <w:rPr>
        <w:rFonts w:cs="Times New Roman"/>
      </w:rPr>
    </w:lvl>
    <w:lvl w:ilvl="8">
      <w:start w:val="1"/>
      <w:numFmt w:val="lowerRoman"/>
      <w:lvlText w:val="%9."/>
      <w:lvlJc w:val="left"/>
      <w:pPr>
        <w:tabs>
          <w:tab w:val="num" w:pos="3240"/>
        </w:tabs>
        <w:ind w:left="3240" w:hanging="360"/>
      </w:pPr>
      <w:rPr>
        <w:rFonts w:cs="Times New Roman"/>
      </w:rPr>
    </w:lvl>
  </w:abstractNum>
  <w:abstractNum w:abstractNumId="14">
    <w:nsid w:val="67EF178F"/>
    <w:multiLevelType w:val="multilevel"/>
    <w:tmpl w:val="87009A04"/>
    <w:lvl w:ilvl="0">
      <w:start w:val="1"/>
      <w:numFmt w:val="upperRoman"/>
      <w:pStyle w:val="TopHeaderStyle"/>
      <w:lvlText w:val="%1."/>
      <w:lvlJc w:val="right"/>
      <w:pPr>
        <w:tabs>
          <w:tab w:val="num" w:pos="180"/>
        </w:tabs>
        <w:ind w:left="180" w:hanging="180"/>
      </w:pPr>
      <w:rPr>
        <w:rFonts w:cs="Times New Roman" w:hint="default"/>
        <w:b/>
        <w:i w:val="0"/>
        <w:sz w:val="24"/>
      </w:rPr>
    </w:lvl>
    <w:lvl w:ilvl="1">
      <w:start w:val="1"/>
      <w:numFmt w:val="upperLetter"/>
      <w:lvlText w:val="%2."/>
      <w:lvlJc w:val="left"/>
      <w:pPr>
        <w:tabs>
          <w:tab w:val="num" w:pos="1080"/>
        </w:tabs>
        <w:ind w:left="720"/>
      </w:pPr>
      <w:rPr>
        <w:rFonts w:ascii="Times New Roman" w:hAnsi="Times New Roman" w:cs="Times New Roman" w:hint="default"/>
        <w:b/>
        <w:i w:val="0"/>
        <w:caps w:val="0"/>
        <w:strike w:val="0"/>
        <w:dstrike w:val="0"/>
        <w:vanish w:val="0"/>
        <w:color w:val="000000"/>
        <w:sz w:val="24"/>
        <w:vertAlign w:val="baseline"/>
      </w:rPr>
    </w:lvl>
    <w:lvl w:ilvl="2">
      <w:start w:val="1"/>
      <w:numFmt w:val="decimal"/>
      <w:lvlText w:val="%3."/>
      <w:lvlJc w:val="left"/>
      <w:pPr>
        <w:tabs>
          <w:tab w:val="num" w:pos="2340"/>
        </w:tabs>
        <w:ind w:left="2340" w:hanging="720"/>
      </w:pPr>
      <w:rPr>
        <w:rFonts w:ascii="Times New Roman" w:hAnsi="Times New Roman" w:cs="Times New Roman" w:hint="default"/>
        <w:b/>
        <w:i w:val="0"/>
        <w:sz w:val="24"/>
      </w:rPr>
    </w:lvl>
    <w:lvl w:ilvl="3">
      <w:start w:val="1"/>
      <w:numFmt w:val="lowerLetter"/>
      <w:lvlText w:val="%4."/>
      <w:lvlJc w:val="left"/>
      <w:pPr>
        <w:tabs>
          <w:tab w:val="num" w:pos="2610"/>
        </w:tabs>
        <w:ind w:left="2250"/>
      </w:pPr>
      <w:rPr>
        <w:rFonts w:ascii="Times New Roman" w:hAnsi="Times New Roman" w:cs="Times New Roman" w:hint="default"/>
        <w:b/>
        <w:i w:val="0"/>
        <w:sz w:val="24"/>
      </w:rPr>
    </w:lvl>
    <w:lvl w:ilvl="4">
      <w:start w:val="1"/>
      <w:numFmt w:val="lowerRoman"/>
      <w:lvlText w:val="(%5)"/>
      <w:lvlJc w:val="left"/>
      <w:pPr>
        <w:tabs>
          <w:tab w:val="num" w:pos="3600"/>
        </w:tabs>
        <w:ind w:left="2880"/>
      </w:pPr>
      <w:rPr>
        <w:rFonts w:ascii="Times New Roman" w:hAnsi="Times New Roman" w:cs="Times New Roman" w:hint="default"/>
        <w:b/>
        <w:i w:val="0"/>
        <w:sz w:val="24"/>
      </w:rPr>
    </w:lvl>
    <w:lvl w:ilvl="5">
      <w:start w:val="1"/>
      <w:numFmt w:val="lowerLetter"/>
      <w:lvlText w:val="(%6)"/>
      <w:lvlJc w:val="left"/>
      <w:pPr>
        <w:tabs>
          <w:tab w:val="num" w:pos="3960"/>
        </w:tabs>
        <w:ind w:left="3600"/>
      </w:pPr>
      <w:rPr>
        <w:rFonts w:cs="Times New Roman"/>
      </w:rPr>
    </w:lvl>
    <w:lvl w:ilvl="6">
      <w:start w:val="1"/>
      <w:numFmt w:val="lowerRoman"/>
      <w:lvlText w:val="(%7)"/>
      <w:lvlJc w:val="left"/>
      <w:pPr>
        <w:tabs>
          <w:tab w:val="num" w:pos="4680"/>
        </w:tabs>
        <w:ind w:left="4320"/>
      </w:pPr>
      <w:rPr>
        <w:rFonts w:cs="Times New Roman"/>
      </w:rPr>
    </w:lvl>
    <w:lvl w:ilvl="7">
      <w:start w:val="1"/>
      <w:numFmt w:val="lowerLetter"/>
      <w:lvlText w:val="(%8)"/>
      <w:lvlJc w:val="left"/>
      <w:pPr>
        <w:tabs>
          <w:tab w:val="num" w:pos="5400"/>
        </w:tabs>
        <w:ind w:left="5040"/>
      </w:pPr>
      <w:rPr>
        <w:rFonts w:cs="Times New Roman"/>
      </w:rPr>
    </w:lvl>
    <w:lvl w:ilvl="8">
      <w:start w:val="1"/>
      <w:numFmt w:val="lowerRoman"/>
      <w:lvlText w:val="(%9)"/>
      <w:lvlJc w:val="left"/>
      <w:pPr>
        <w:tabs>
          <w:tab w:val="num" w:pos="6120"/>
        </w:tabs>
        <w:ind w:left="5760"/>
      </w:pPr>
      <w:rPr>
        <w:rFonts w:cs="Times New Roman"/>
      </w:rPr>
    </w:lvl>
  </w:abstractNum>
  <w:num w:numId="1">
    <w:abstractNumId w:val="3"/>
  </w:num>
  <w:num w:numId="2">
    <w:abstractNumId w:val="3"/>
  </w:num>
  <w:num w:numId="3">
    <w:abstractNumId w:val="3"/>
  </w:num>
  <w:num w:numId="4">
    <w:abstractNumId w:val="3"/>
  </w:num>
  <w:num w:numId="5">
    <w:abstractNumId w:val="3"/>
  </w:num>
  <w:num w:numId="6">
    <w:abstractNumId w:val="3"/>
  </w:num>
  <w:num w:numId="7">
    <w:abstractNumId w:val="3"/>
  </w:num>
  <w:num w:numId="8">
    <w:abstractNumId w:val="3"/>
  </w:num>
  <w:num w:numId="9">
    <w:abstractNumId w:val="3"/>
  </w:num>
  <w:num w:numId="10">
    <w:abstractNumId w:val="3"/>
  </w:num>
  <w:num w:numId="11">
    <w:abstractNumId w:val="3"/>
  </w:num>
  <w:num w:numId="12">
    <w:abstractNumId w:val="3"/>
  </w:num>
  <w:num w:numId="13">
    <w:abstractNumId w:val="3"/>
  </w:num>
  <w:num w:numId="14">
    <w:abstractNumId w:val="3"/>
  </w:num>
  <w:num w:numId="15">
    <w:abstractNumId w:val="3"/>
  </w:num>
  <w:num w:numId="16">
    <w:abstractNumId w:val="3"/>
  </w:num>
  <w:num w:numId="17">
    <w:abstractNumId w:val="3"/>
  </w:num>
  <w:num w:numId="18">
    <w:abstractNumId w:val="3"/>
  </w:num>
  <w:num w:numId="19">
    <w:abstractNumId w:val="3"/>
  </w:num>
  <w:num w:numId="20">
    <w:abstractNumId w:val="3"/>
  </w:num>
  <w:num w:numId="21">
    <w:abstractNumId w:val="3"/>
  </w:num>
  <w:num w:numId="22">
    <w:abstractNumId w:val="3"/>
  </w:num>
  <w:num w:numId="23">
    <w:abstractNumId w:val="3"/>
  </w:num>
  <w:num w:numId="24">
    <w:abstractNumId w:val="3"/>
  </w:num>
  <w:num w:numId="25">
    <w:abstractNumId w:val="13"/>
  </w:num>
  <w:num w:numId="26">
    <w:abstractNumId w:val="8"/>
  </w:num>
  <w:num w:numId="27">
    <w:abstractNumId w:val="14"/>
  </w:num>
  <w:num w:numId="28">
    <w:abstractNumId w:val="12"/>
  </w:num>
  <w:num w:numId="29">
    <w:abstractNumId w:val="9"/>
  </w:num>
  <w:num w:numId="30">
    <w:abstractNumId w:val="12"/>
    <w:lvlOverride w:ilvl="0">
      <w:startOverride w:val="1"/>
    </w:lvlOverride>
  </w:num>
  <w:num w:numId="31">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6"/>
  </w:num>
  <w:num w:numId="33">
    <w:abstractNumId w:val="11"/>
  </w:num>
  <w:num w:numId="34">
    <w:abstractNumId w:val="7"/>
  </w:num>
  <w:num w:numId="35">
    <w:abstractNumId w:val="4"/>
  </w:num>
  <w:num w:numId="36">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abstractNumId w:val="12"/>
    <w:lvlOverride w:ilvl="0">
      <w:startOverride w:val="1"/>
    </w:lvlOverride>
  </w:num>
  <w:num w:numId="38">
    <w:abstractNumId w:val="3"/>
  </w:num>
  <w:num w:numId="39">
    <w:abstractNumId w:val="12"/>
    <w:lvlOverride w:ilvl="0">
      <w:startOverride w:val="1"/>
    </w:lvlOverride>
  </w:num>
  <w:num w:numId="40">
    <w:abstractNumId w:val="0"/>
  </w:num>
  <w:num w:numId="41">
    <w:abstractNumId w:val="2"/>
  </w:num>
  <w:num w:numId="42">
    <w:abstractNumId w:val="1"/>
  </w:num>
  <w:num w:numId="43">
    <w:abstractNumId w:val="12"/>
    <w:lvlOverride w:ilvl="0">
      <w:startOverride w:val="1"/>
    </w:lvlOverride>
  </w:num>
  <w:num w:numId="44">
    <w:abstractNumId w:val="8"/>
  </w:num>
  <w:num w:numId="45">
    <w:abstractNumId w:val="8"/>
  </w:num>
  <w:num w:numId="46">
    <w:abstractNumId w:val="10"/>
  </w:num>
  <w:num w:numId="47">
    <w:abstractNumId w:val="13"/>
  </w:num>
  <w:num w:numId="48">
    <w:abstractNumId w:val="5"/>
  </w:num>
  <w:numIdMacAtCleanup w:val="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removePersonalInformation/>
  <w:removeDateAndTime/>
  <w:embedSystemFonts/>
  <w:bordersDoNotSurroundHeader/>
  <w:bordersDoNotSurroundFooter/>
  <w:hideSpellingErrors/>
  <w:attachedTemplate r:id="rId1"/>
  <w:stylePaneFormatFilter w:val="1F08" w:allStyles="0" w:customStyles="0" w:latentStyles="0" w:stylesInUse="1" w:headingStyles="0" w:numberingStyles="0" w:tableStyles="0" w:directFormattingOnRuns="1" w:directFormattingOnParagraphs="1" w:directFormattingOnNumbering="1" w:directFormattingOnTables="1" w:clearFormatting="1" w:top3HeadingStyles="0" w:visibleStyles="0" w:alternateStyleNames="0"/>
  <w:defaultTabStop w:val="720"/>
  <w:hyphenationZone w:val="950"/>
  <w:doNotHyphenateCaps/>
  <w:drawingGridHorizontalSpacing w:val="0"/>
  <w:drawingGridVerticalSpacing w:val="0"/>
  <w:displayHorizontalDrawingGridEvery w:val="0"/>
  <w:displayVerticalDrawingGridEvery w:val="0"/>
  <w:doNotUseMarginsForDrawingGridOrigin/>
  <w:drawingGridHorizontalOrigin w:val="0"/>
  <w:drawingGridVerticalOrigin w:val="0"/>
  <w:doNotShadeFormData/>
  <w:noPunctuationKerning/>
  <w:characterSpacingControl w:val="doNotCompress"/>
  <w:hdrShapeDefaults>
    <o:shapedefaults v:ext="edit" spidmax="67585"/>
  </w:hdrShapeDefaults>
  <w:footnotePr>
    <w:numRestart w:val="eachSect"/>
    <w:footnote w:id="-1"/>
    <w:footnote w:id="0"/>
    <w:footnote w:id="1"/>
  </w:footnotePr>
  <w:endnotePr>
    <w:numFmt w:val="decimal"/>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107EC"/>
    <w:rsid w:val="0000004E"/>
    <w:rsid w:val="000000DD"/>
    <w:rsid w:val="000004B2"/>
    <w:rsid w:val="00000977"/>
    <w:rsid w:val="00000A89"/>
    <w:rsid w:val="00000AA9"/>
    <w:rsid w:val="00001264"/>
    <w:rsid w:val="000012DD"/>
    <w:rsid w:val="00001384"/>
    <w:rsid w:val="00001393"/>
    <w:rsid w:val="000013C4"/>
    <w:rsid w:val="000015A0"/>
    <w:rsid w:val="00001A94"/>
    <w:rsid w:val="00002060"/>
    <w:rsid w:val="0000211D"/>
    <w:rsid w:val="000021BD"/>
    <w:rsid w:val="00002307"/>
    <w:rsid w:val="000023FF"/>
    <w:rsid w:val="0000250B"/>
    <w:rsid w:val="00002653"/>
    <w:rsid w:val="0000273E"/>
    <w:rsid w:val="00002AA9"/>
    <w:rsid w:val="00002E2D"/>
    <w:rsid w:val="00002EC7"/>
    <w:rsid w:val="00003560"/>
    <w:rsid w:val="0000385E"/>
    <w:rsid w:val="000039CA"/>
    <w:rsid w:val="00003A99"/>
    <w:rsid w:val="00003D2D"/>
    <w:rsid w:val="00003D9B"/>
    <w:rsid w:val="00003E4C"/>
    <w:rsid w:val="00003E66"/>
    <w:rsid w:val="00003F94"/>
    <w:rsid w:val="00004037"/>
    <w:rsid w:val="00004365"/>
    <w:rsid w:val="00004487"/>
    <w:rsid w:val="000044B6"/>
    <w:rsid w:val="00004532"/>
    <w:rsid w:val="000049C8"/>
    <w:rsid w:val="00004A0B"/>
    <w:rsid w:val="00004BA4"/>
    <w:rsid w:val="00004C8E"/>
    <w:rsid w:val="00004D9E"/>
    <w:rsid w:val="000051A2"/>
    <w:rsid w:val="000052EB"/>
    <w:rsid w:val="00005304"/>
    <w:rsid w:val="000053C8"/>
    <w:rsid w:val="0000570E"/>
    <w:rsid w:val="00005770"/>
    <w:rsid w:val="0000587A"/>
    <w:rsid w:val="000059A8"/>
    <w:rsid w:val="000059CC"/>
    <w:rsid w:val="00005A51"/>
    <w:rsid w:val="00005C73"/>
    <w:rsid w:val="00005F33"/>
    <w:rsid w:val="000060FE"/>
    <w:rsid w:val="000061DE"/>
    <w:rsid w:val="00006274"/>
    <w:rsid w:val="00006486"/>
    <w:rsid w:val="00006766"/>
    <w:rsid w:val="00006901"/>
    <w:rsid w:val="00006A57"/>
    <w:rsid w:val="00006B99"/>
    <w:rsid w:val="00006E54"/>
    <w:rsid w:val="00006FF1"/>
    <w:rsid w:val="000072B8"/>
    <w:rsid w:val="00007537"/>
    <w:rsid w:val="00007CFF"/>
    <w:rsid w:val="0001010B"/>
    <w:rsid w:val="0001089E"/>
    <w:rsid w:val="000109D1"/>
    <w:rsid w:val="000109FE"/>
    <w:rsid w:val="00010CE2"/>
    <w:rsid w:val="000113B1"/>
    <w:rsid w:val="00011476"/>
    <w:rsid w:val="000115A9"/>
    <w:rsid w:val="00011744"/>
    <w:rsid w:val="00011755"/>
    <w:rsid w:val="000119D2"/>
    <w:rsid w:val="00011B59"/>
    <w:rsid w:val="00011FE6"/>
    <w:rsid w:val="00012041"/>
    <w:rsid w:val="0001226F"/>
    <w:rsid w:val="000123B2"/>
    <w:rsid w:val="00012631"/>
    <w:rsid w:val="00012963"/>
    <w:rsid w:val="00012A70"/>
    <w:rsid w:val="00012DEB"/>
    <w:rsid w:val="00012EC6"/>
    <w:rsid w:val="00012F39"/>
    <w:rsid w:val="000130E1"/>
    <w:rsid w:val="00013347"/>
    <w:rsid w:val="00013399"/>
    <w:rsid w:val="000139F1"/>
    <w:rsid w:val="000141BF"/>
    <w:rsid w:val="0001427C"/>
    <w:rsid w:val="000149DE"/>
    <w:rsid w:val="00014B41"/>
    <w:rsid w:val="00014EC4"/>
    <w:rsid w:val="00015305"/>
    <w:rsid w:val="00015586"/>
    <w:rsid w:val="0001581A"/>
    <w:rsid w:val="00015CDA"/>
    <w:rsid w:val="00015CE8"/>
    <w:rsid w:val="00015E4C"/>
    <w:rsid w:val="0001629B"/>
    <w:rsid w:val="000165CB"/>
    <w:rsid w:val="00016641"/>
    <w:rsid w:val="000166EA"/>
    <w:rsid w:val="00016D5D"/>
    <w:rsid w:val="00016ED2"/>
    <w:rsid w:val="00016F43"/>
    <w:rsid w:val="00016F92"/>
    <w:rsid w:val="0001708B"/>
    <w:rsid w:val="000174B1"/>
    <w:rsid w:val="00017707"/>
    <w:rsid w:val="00017998"/>
    <w:rsid w:val="00017AAC"/>
    <w:rsid w:val="00017C36"/>
    <w:rsid w:val="00017D74"/>
    <w:rsid w:val="00017D9C"/>
    <w:rsid w:val="00017ED3"/>
    <w:rsid w:val="00017EF2"/>
    <w:rsid w:val="00017F06"/>
    <w:rsid w:val="0002008A"/>
    <w:rsid w:val="000206C7"/>
    <w:rsid w:val="0002071B"/>
    <w:rsid w:val="0002076C"/>
    <w:rsid w:val="00020790"/>
    <w:rsid w:val="00020833"/>
    <w:rsid w:val="000209A5"/>
    <w:rsid w:val="00020D28"/>
    <w:rsid w:val="00020D2A"/>
    <w:rsid w:val="00020D39"/>
    <w:rsid w:val="0002104A"/>
    <w:rsid w:val="0002117B"/>
    <w:rsid w:val="000211E4"/>
    <w:rsid w:val="00021349"/>
    <w:rsid w:val="000217F3"/>
    <w:rsid w:val="0002182E"/>
    <w:rsid w:val="00021A2C"/>
    <w:rsid w:val="00021E0D"/>
    <w:rsid w:val="00021F6B"/>
    <w:rsid w:val="0002211A"/>
    <w:rsid w:val="0002223C"/>
    <w:rsid w:val="0002231A"/>
    <w:rsid w:val="000223D1"/>
    <w:rsid w:val="00022448"/>
    <w:rsid w:val="000228A9"/>
    <w:rsid w:val="00022C38"/>
    <w:rsid w:val="00022EFD"/>
    <w:rsid w:val="0002319E"/>
    <w:rsid w:val="00023207"/>
    <w:rsid w:val="0002333D"/>
    <w:rsid w:val="00023656"/>
    <w:rsid w:val="0002371C"/>
    <w:rsid w:val="000238B3"/>
    <w:rsid w:val="0002398C"/>
    <w:rsid w:val="00023BC5"/>
    <w:rsid w:val="00023D52"/>
    <w:rsid w:val="00023D87"/>
    <w:rsid w:val="00023E41"/>
    <w:rsid w:val="00023ECE"/>
    <w:rsid w:val="000241CA"/>
    <w:rsid w:val="000241D3"/>
    <w:rsid w:val="0002439F"/>
    <w:rsid w:val="000248ED"/>
    <w:rsid w:val="00024942"/>
    <w:rsid w:val="00024B2B"/>
    <w:rsid w:val="00024CF1"/>
    <w:rsid w:val="00025023"/>
    <w:rsid w:val="00025075"/>
    <w:rsid w:val="0002508D"/>
    <w:rsid w:val="000250FA"/>
    <w:rsid w:val="00025335"/>
    <w:rsid w:val="0002539C"/>
    <w:rsid w:val="00025785"/>
    <w:rsid w:val="00025C01"/>
    <w:rsid w:val="00025C59"/>
    <w:rsid w:val="00025F30"/>
    <w:rsid w:val="000262F6"/>
    <w:rsid w:val="00026375"/>
    <w:rsid w:val="000263A9"/>
    <w:rsid w:val="0002640D"/>
    <w:rsid w:val="00026421"/>
    <w:rsid w:val="00026843"/>
    <w:rsid w:val="00026A42"/>
    <w:rsid w:val="00026C6D"/>
    <w:rsid w:val="00026C75"/>
    <w:rsid w:val="00026CCE"/>
    <w:rsid w:val="00026ECF"/>
    <w:rsid w:val="0002716C"/>
    <w:rsid w:val="00027206"/>
    <w:rsid w:val="000275BF"/>
    <w:rsid w:val="00027B25"/>
    <w:rsid w:val="00027B29"/>
    <w:rsid w:val="00027BED"/>
    <w:rsid w:val="00027C3B"/>
    <w:rsid w:val="00027F0C"/>
    <w:rsid w:val="00027F3D"/>
    <w:rsid w:val="00030103"/>
    <w:rsid w:val="000303A7"/>
    <w:rsid w:val="000303AC"/>
    <w:rsid w:val="0003052A"/>
    <w:rsid w:val="000309A1"/>
    <w:rsid w:val="000309C9"/>
    <w:rsid w:val="000311F2"/>
    <w:rsid w:val="00031414"/>
    <w:rsid w:val="000314BA"/>
    <w:rsid w:val="00031660"/>
    <w:rsid w:val="000316F4"/>
    <w:rsid w:val="0003192C"/>
    <w:rsid w:val="000319FD"/>
    <w:rsid w:val="00031BAA"/>
    <w:rsid w:val="00031BD7"/>
    <w:rsid w:val="00031D0D"/>
    <w:rsid w:val="00032139"/>
    <w:rsid w:val="000326CF"/>
    <w:rsid w:val="0003296A"/>
    <w:rsid w:val="00032BA2"/>
    <w:rsid w:val="00032C9B"/>
    <w:rsid w:val="0003315B"/>
    <w:rsid w:val="000332E5"/>
    <w:rsid w:val="00033533"/>
    <w:rsid w:val="00033763"/>
    <w:rsid w:val="00033849"/>
    <w:rsid w:val="00033859"/>
    <w:rsid w:val="0003386D"/>
    <w:rsid w:val="00033AA9"/>
    <w:rsid w:val="00033E53"/>
    <w:rsid w:val="00033EE4"/>
    <w:rsid w:val="000340D0"/>
    <w:rsid w:val="0003414A"/>
    <w:rsid w:val="000342D3"/>
    <w:rsid w:val="00034543"/>
    <w:rsid w:val="000347A7"/>
    <w:rsid w:val="0003491E"/>
    <w:rsid w:val="00034F6D"/>
    <w:rsid w:val="00034F94"/>
    <w:rsid w:val="000350D0"/>
    <w:rsid w:val="00035226"/>
    <w:rsid w:val="00035233"/>
    <w:rsid w:val="0003536C"/>
    <w:rsid w:val="00035378"/>
    <w:rsid w:val="000354AA"/>
    <w:rsid w:val="00035505"/>
    <w:rsid w:val="00035572"/>
    <w:rsid w:val="00035651"/>
    <w:rsid w:val="00035804"/>
    <w:rsid w:val="00035A70"/>
    <w:rsid w:val="00035B7D"/>
    <w:rsid w:val="000360EE"/>
    <w:rsid w:val="0003612D"/>
    <w:rsid w:val="0003625D"/>
    <w:rsid w:val="000366CA"/>
    <w:rsid w:val="00036753"/>
    <w:rsid w:val="00036BD0"/>
    <w:rsid w:val="00036C3E"/>
    <w:rsid w:val="00036CB3"/>
    <w:rsid w:val="00036D73"/>
    <w:rsid w:val="00036DC7"/>
    <w:rsid w:val="00036EAC"/>
    <w:rsid w:val="00036ED2"/>
    <w:rsid w:val="00037044"/>
    <w:rsid w:val="00037110"/>
    <w:rsid w:val="000371AB"/>
    <w:rsid w:val="000371FD"/>
    <w:rsid w:val="00037320"/>
    <w:rsid w:val="00037741"/>
    <w:rsid w:val="0003774E"/>
    <w:rsid w:val="00037847"/>
    <w:rsid w:val="0003789C"/>
    <w:rsid w:val="00037959"/>
    <w:rsid w:val="00037ADC"/>
    <w:rsid w:val="00037C2E"/>
    <w:rsid w:val="00037CD5"/>
    <w:rsid w:val="00037D24"/>
    <w:rsid w:val="00037DDD"/>
    <w:rsid w:val="00037EBA"/>
    <w:rsid w:val="00040ADD"/>
    <w:rsid w:val="00040C39"/>
    <w:rsid w:val="00040C6B"/>
    <w:rsid w:val="00040EF8"/>
    <w:rsid w:val="000413CE"/>
    <w:rsid w:val="00041460"/>
    <w:rsid w:val="00041705"/>
    <w:rsid w:val="00041A44"/>
    <w:rsid w:val="00041CED"/>
    <w:rsid w:val="00041D5F"/>
    <w:rsid w:val="00041FAF"/>
    <w:rsid w:val="000420F6"/>
    <w:rsid w:val="000423B8"/>
    <w:rsid w:val="00042555"/>
    <w:rsid w:val="0004256D"/>
    <w:rsid w:val="00042638"/>
    <w:rsid w:val="000428EB"/>
    <w:rsid w:val="000429B5"/>
    <w:rsid w:val="00042CFA"/>
    <w:rsid w:val="000431F5"/>
    <w:rsid w:val="000433BB"/>
    <w:rsid w:val="000434E5"/>
    <w:rsid w:val="000434FB"/>
    <w:rsid w:val="00043585"/>
    <w:rsid w:val="00043692"/>
    <w:rsid w:val="000436FB"/>
    <w:rsid w:val="00043963"/>
    <w:rsid w:val="00043B01"/>
    <w:rsid w:val="00043EED"/>
    <w:rsid w:val="00043FCB"/>
    <w:rsid w:val="000440BD"/>
    <w:rsid w:val="0004411E"/>
    <w:rsid w:val="0004438F"/>
    <w:rsid w:val="000443E2"/>
    <w:rsid w:val="0004464B"/>
    <w:rsid w:val="00044732"/>
    <w:rsid w:val="0004496F"/>
    <w:rsid w:val="00044D3C"/>
    <w:rsid w:val="00044D80"/>
    <w:rsid w:val="00044FA0"/>
    <w:rsid w:val="00045074"/>
    <w:rsid w:val="000451AC"/>
    <w:rsid w:val="00045247"/>
    <w:rsid w:val="000452AE"/>
    <w:rsid w:val="00045863"/>
    <w:rsid w:val="000458EB"/>
    <w:rsid w:val="00045CC5"/>
    <w:rsid w:val="00045DA4"/>
    <w:rsid w:val="00045E8E"/>
    <w:rsid w:val="000460BC"/>
    <w:rsid w:val="0004628C"/>
    <w:rsid w:val="0004639B"/>
    <w:rsid w:val="000463F8"/>
    <w:rsid w:val="000464B4"/>
    <w:rsid w:val="000468FB"/>
    <w:rsid w:val="00046985"/>
    <w:rsid w:val="00046AB5"/>
    <w:rsid w:val="00046FCD"/>
    <w:rsid w:val="000475AE"/>
    <w:rsid w:val="000478A7"/>
    <w:rsid w:val="000479AA"/>
    <w:rsid w:val="00047A31"/>
    <w:rsid w:val="00047C4B"/>
    <w:rsid w:val="00047C9F"/>
    <w:rsid w:val="00047F92"/>
    <w:rsid w:val="00050504"/>
    <w:rsid w:val="0005063A"/>
    <w:rsid w:val="00050D36"/>
    <w:rsid w:val="00050D77"/>
    <w:rsid w:val="00050D99"/>
    <w:rsid w:val="00051483"/>
    <w:rsid w:val="00051531"/>
    <w:rsid w:val="0005154C"/>
    <w:rsid w:val="00051820"/>
    <w:rsid w:val="00051A46"/>
    <w:rsid w:val="00051AD7"/>
    <w:rsid w:val="00051CA7"/>
    <w:rsid w:val="0005243D"/>
    <w:rsid w:val="00052716"/>
    <w:rsid w:val="00052724"/>
    <w:rsid w:val="00052AC7"/>
    <w:rsid w:val="00052D7B"/>
    <w:rsid w:val="00052FB4"/>
    <w:rsid w:val="00052FEE"/>
    <w:rsid w:val="00053168"/>
    <w:rsid w:val="00053298"/>
    <w:rsid w:val="0005358F"/>
    <w:rsid w:val="0005372F"/>
    <w:rsid w:val="0005382B"/>
    <w:rsid w:val="00053A25"/>
    <w:rsid w:val="00053C14"/>
    <w:rsid w:val="000544F1"/>
    <w:rsid w:val="0005455D"/>
    <w:rsid w:val="000545E4"/>
    <w:rsid w:val="000549E7"/>
    <w:rsid w:val="00054DFE"/>
    <w:rsid w:val="00054F88"/>
    <w:rsid w:val="0005502C"/>
    <w:rsid w:val="0005521D"/>
    <w:rsid w:val="00055515"/>
    <w:rsid w:val="000557D9"/>
    <w:rsid w:val="00055907"/>
    <w:rsid w:val="00055B57"/>
    <w:rsid w:val="00055C2C"/>
    <w:rsid w:val="00055D2F"/>
    <w:rsid w:val="00055E57"/>
    <w:rsid w:val="00055F5E"/>
    <w:rsid w:val="000560C1"/>
    <w:rsid w:val="000564FE"/>
    <w:rsid w:val="00056507"/>
    <w:rsid w:val="000565D9"/>
    <w:rsid w:val="0005668D"/>
    <w:rsid w:val="000567FA"/>
    <w:rsid w:val="00056ACE"/>
    <w:rsid w:val="00056B37"/>
    <w:rsid w:val="00057277"/>
    <w:rsid w:val="00057314"/>
    <w:rsid w:val="00057A25"/>
    <w:rsid w:val="00057D09"/>
    <w:rsid w:val="00057D58"/>
    <w:rsid w:val="00060085"/>
    <w:rsid w:val="000600F8"/>
    <w:rsid w:val="0006098B"/>
    <w:rsid w:val="00060A07"/>
    <w:rsid w:val="00060BC3"/>
    <w:rsid w:val="00060BEC"/>
    <w:rsid w:val="00060E31"/>
    <w:rsid w:val="00061184"/>
    <w:rsid w:val="000612DA"/>
    <w:rsid w:val="0006143C"/>
    <w:rsid w:val="000616B6"/>
    <w:rsid w:val="00061A3D"/>
    <w:rsid w:val="00061B01"/>
    <w:rsid w:val="00061C22"/>
    <w:rsid w:val="00061D57"/>
    <w:rsid w:val="0006210A"/>
    <w:rsid w:val="00062228"/>
    <w:rsid w:val="0006231B"/>
    <w:rsid w:val="000623EF"/>
    <w:rsid w:val="000624CA"/>
    <w:rsid w:val="00062795"/>
    <w:rsid w:val="00062826"/>
    <w:rsid w:val="00062A91"/>
    <w:rsid w:val="00062AC6"/>
    <w:rsid w:val="000635B6"/>
    <w:rsid w:val="00063950"/>
    <w:rsid w:val="00063A1D"/>
    <w:rsid w:val="00063AD9"/>
    <w:rsid w:val="00063B93"/>
    <w:rsid w:val="00063D90"/>
    <w:rsid w:val="00063E3D"/>
    <w:rsid w:val="00064313"/>
    <w:rsid w:val="00064B5F"/>
    <w:rsid w:val="00064CAD"/>
    <w:rsid w:val="00064E2F"/>
    <w:rsid w:val="00065067"/>
    <w:rsid w:val="00065109"/>
    <w:rsid w:val="000651B8"/>
    <w:rsid w:val="00065234"/>
    <w:rsid w:val="000656C9"/>
    <w:rsid w:val="00065728"/>
    <w:rsid w:val="00065AFA"/>
    <w:rsid w:val="00065B72"/>
    <w:rsid w:val="00065CFD"/>
    <w:rsid w:val="0006600A"/>
    <w:rsid w:val="00066099"/>
    <w:rsid w:val="00066147"/>
    <w:rsid w:val="0006615E"/>
    <w:rsid w:val="000661CC"/>
    <w:rsid w:val="00066821"/>
    <w:rsid w:val="00066842"/>
    <w:rsid w:val="0006691D"/>
    <w:rsid w:val="00066A83"/>
    <w:rsid w:val="00066ACA"/>
    <w:rsid w:val="00066B76"/>
    <w:rsid w:val="00066C04"/>
    <w:rsid w:val="00067282"/>
    <w:rsid w:val="000679A7"/>
    <w:rsid w:val="00067A26"/>
    <w:rsid w:val="00067A6A"/>
    <w:rsid w:val="0007014B"/>
    <w:rsid w:val="00070172"/>
    <w:rsid w:val="000701D4"/>
    <w:rsid w:val="00070326"/>
    <w:rsid w:val="00070481"/>
    <w:rsid w:val="000705D2"/>
    <w:rsid w:val="0007061C"/>
    <w:rsid w:val="0007090B"/>
    <w:rsid w:val="00070A92"/>
    <w:rsid w:val="000710B3"/>
    <w:rsid w:val="0007154C"/>
    <w:rsid w:val="000716B0"/>
    <w:rsid w:val="0007180C"/>
    <w:rsid w:val="00071862"/>
    <w:rsid w:val="00071973"/>
    <w:rsid w:val="00071A30"/>
    <w:rsid w:val="00071BB7"/>
    <w:rsid w:val="00071CB3"/>
    <w:rsid w:val="00071E57"/>
    <w:rsid w:val="000721A9"/>
    <w:rsid w:val="0007243E"/>
    <w:rsid w:val="00072555"/>
    <w:rsid w:val="0007288C"/>
    <w:rsid w:val="000728F8"/>
    <w:rsid w:val="000729B4"/>
    <w:rsid w:val="00072AAD"/>
    <w:rsid w:val="00072BAB"/>
    <w:rsid w:val="00072FC0"/>
    <w:rsid w:val="0007307D"/>
    <w:rsid w:val="0007308F"/>
    <w:rsid w:val="00073137"/>
    <w:rsid w:val="0007346B"/>
    <w:rsid w:val="000735FE"/>
    <w:rsid w:val="000738DA"/>
    <w:rsid w:val="000738FA"/>
    <w:rsid w:val="00073A05"/>
    <w:rsid w:val="00073A14"/>
    <w:rsid w:val="00073BD8"/>
    <w:rsid w:val="00073DCF"/>
    <w:rsid w:val="00073DED"/>
    <w:rsid w:val="00073E01"/>
    <w:rsid w:val="00073E5D"/>
    <w:rsid w:val="00073F2F"/>
    <w:rsid w:val="00073F3E"/>
    <w:rsid w:val="00073F88"/>
    <w:rsid w:val="000741A7"/>
    <w:rsid w:val="00074409"/>
    <w:rsid w:val="000745B9"/>
    <w:rsid w:val="0007473C"/>
    <w:rsid w:val="00074B0E"/>
    <w:rsid w:val="00074B4F"/>
    <w:rsid w:val="0007511D"/>
    <w:rsid w:val="000751B1"/>
    <w:rsid w:val="000754C7"/>
    <w:rsid w:val="000754CA"/>
    <w:rsid w:val="000758BD"/>
    <w:rsid w:val="00075CAD"/>
    <w:rsid w:val="00075F75"/>
    <w:rsid w:val="00076629"/>
    <w:rsid w:val="00076A42"/>
    <w:rsid w:val="00076AE7"/>
    <w:rsid w:val="00076B92"/>
    <w:rsid w:val="00076F8A"/>
    <w:rsid w:val="000770B5"/>
    <w:rsid w:val="0007732A"/>
    <w:rsid w:val="0007748A"/>
    <w:rsid w:val="000775BD"/>
    <w:rsid w:val="000775DF"/>
    <w:rsid w:val="000775F6"/>
    <w:rsid w:val="000777A1"/>
    <w:rsid w:val="000777C9"/>
    <w:rsid w:val="0007780A"/>
    <w:rsid w:val="000779FD"/>
    <w:rsid w:val="00077FD5"/>
    <w:rsid w:val="00080062"/>
    <w:rsid w:val="0008064F"/>
    <w:rsid w:val="0008086B"/>
    <w:rsid w:val="000808F8"/>
    <w:rsid w:val="000809AA"/>
    <w:rsid w:val="00080BC4"/>
    <w:rsid w:val="00080BC6"/>
    <w:rsid w:val="00080C2B"/>
    <w:rsid w:val="00080C3D"/>
    <w:rsid w:val="00080DFB"/>
    <w:rsid w:val="000810A0"/>
    <w:rsid w:val="0008157A"/>
    <w:rsid w:val="000815C4"/>
    <w:rsid w:val="00081901"/>
    <w:rsid w:val="00081AC1"/>
    <w:rsid w:val="00081AE7"/>
    <w:rsid w:val="00081DFD"/>
    <w:rsid w:val="00081F75"/>
    <w:rsid w:val="00082096"/>
    <w:rsid w:val="0008221F"/>
    <w:rsid w:val="000824CE"/>
    <w:rsid w:val="000826B4"/>
    <w:rsid w:val="00082749"/>
    <w:rsid w:val="00082835"/>
    <w:rsid w:val="00082EEB"/>
    <w:rsid w:val="00082FA1"/>
    <w:rsid w:val="00083174"/>
    <w:rsid w:val="00083436"/>
    <w:rsid w:val="00083447"/>
    <w:rsid w:val="00083474"/>
    <w:rsid w:val="000834A7"/>
    <w:rsid w:val="00083586"/>
    <w:rsid w:val="00083643"/>
    <w:rsid w:val="000836AA"/>
    <w:rsid w:val="00083787"/>
    <w:rsid w:val="00083A83"/>
    <w:rsid w:val="00083EC2"/>
    <w:rsid w:val="000846DC"/>
    <w:rsid w:val="000846EF"/>
    <w:rsid w:val="0008481F"/>
    <w:rsid w:val="000849A7"/>
    <w:rsid w:val="00084ADB"/>
    <w:rsid w:val="00085120"/>
    <w:rsid w:val="00085631"/>
    <w:rsid w:val="00085D1E"/>
    <w:rsid w:val="00086394"/>
    <w:rsid w:val="0008653C"/>
    <w:rsid w:val="0008655E"/>
    <w:rsid w:val="0008699E"/>
    <w:rsid w:val="000869D5"/>
    <w:rsid w:val="00086DFE"/>
    <w:rsid w:val="00086F0A"/>
    <w:rsid w:val="00086FDB"/>
    <w:rsid w:val="000871C5"/>
    <w:rsid w:val="0008727A"/>
    <w:rsid w:val="000872EA"/>
    <w:rsid w:val="00087647"/>
    <w:rsid w:val="00087774"/>
    <w:rsid w:val="0008778F"/>
    <w:rsid w:val="000879F3"/>
    <w:rsid w:val="00087F60"/>
    <w:rsid w:val="000900E4"/>
    <w:rsid w:val="0009022C"/>
    <w:rsid w:val="0009038C"/>
    <w:rsid w:val="000903FF"/>
    <w:rsid w:val="00090641"/>
    <w:rsid w:val="000909CF"/>
    <w:rsid w:val="00090C24"/>
    <w:rsid w:val="00090D26"/>
    <w:rsid w:val="00090ED9"/>
    <w:rsid w:val="000910F5"/>
    <w:rsid w:val="0009125E"/>
    <w:rsid w:val="0009126A"/>
    <w:rsid w:val="000912F9"/>
    <w:rsid w:val="00091880"/>
    <w:rsid w:val="000918FA"/>
    <w:rsid w:val="00091964"/>
    <w:rsid w:val="00091A23"/>
    <w:rsid w:val="00091E20"/>
    <w:rsid w:val="00091E4C"/>
    <w:rsid w:val="000922C5"/>
    <w:rsid w:val="0009281F"/>
    <w:rsid w:val="00092B34"/>
    <w:rsid w:val="00093794"/>
    <w:rsid w:val="000937B8"/>
    <w:rsid w:val="00093AFA"/>
    <w:rsid w:val="00093B3B"/>
    <w:rsid w:val="00093B6D"/>
    <w:rsid w:val="00093E22"/>
    <w:rsid w:val="0009403E"/>
    <w:rsid w:val="00094512"/>
    <w:rsid w:val="00094930"/>
    <w:rsid w:val="00094A1E"/>
    <w:rsid w:val="00094DF0"/>
    <w:rsid w:val="00094FC4"/>
    <w:rsid w:val="00095039"/>
    <w:rsid w:val="0009526E"/>
    <w:rsid w:val="00095369"/>
    <w:rsid w:val="0009540B"/>
    <w:rsid w:val="0009549A"/>
    <w:rsid w:val="00095589"/>
    <w:rsid w:val="0009569E"/>
    <w:rsid w:val="000956D0"/>
    <w:rsid w:val="00095C8F"/>
    <w:rsid w:val="00095CF7"/>
    <w:rsid w:val="00095D21"/>
    <w:rsid w:val="0009616D"/>
    <w:rsid w:val="00096878"/>
    <w:rsid w:val="000968A8"/>
    <w:rsid w:val="000968B8"/>
    <w:rsid w:val="00096A80"/>
    <w:rsid w:val="00096CBD"/>
    <w:rsid w:val="00096D27"/>
    <w:rsid w:val="00096EA3"/>
    <w:rsid w:val="00096F77"/>
    <w:rsid w:val="00097348"/>
    <w:rsid w:val="0009741B"/>
    <w:rsid w:val="0009758E"/>
    <w:rsid w:val="0009766B"/>
    <w:rsid w:val="00097B63"/>
    <w:rsid w:val="00097C22"/>
    <w:rsid w:val="000A0390"/>
    <w:rsid w:val="000A076D"/>
    <w:rsid w:val="000A0900"/>
    <w:rsid w:val="000A09C5"/>
    <w:rsid w:val="000A0AAC"/>
    <w:rsid w:val="000A0ABB"/>
    <w:rsid w:val="000A0BB9"/>
    <w:rsid w:val="000A0CDA"/>
    <w:rsid w:val="000A10DB"/>
    <w:rsid w:val="000A165B"/>
    <w:rsid w:val="000A175A"/>
    <w:rsid w:val="000A176D"/>
    <w:rsid w:val="000A1AEB"/>
    <w:rsid w:val="000A1C0D"/>
    <w:rsid w:val="000A1D1A"/>
    <w:rsid w:val="000A1FFC"/>
    <w:rsid w:val="000A2259"/>
    <w:rsid w:val="000A248B"/>
    <w:rsid w:val="000A250E"/>
    <w:rsid w:val="000A2993"/>
    <w:rsid w:val="000A2A08"/>
    <w:rsid w:val="000A2A67"/>
    <w:rsid w:val="000A34E0"/>
    <w:rsid w:val="000A3531"/>
    <w:rsid w:val="000A3BB7"/>
    <w:rsid w:val="000A3C1D"/>
    <w:rsid w:val="000A3C7A"/>
    <w:rsid w:val="000A3F44"/>
    <w:rsid w:val="000A4217"/>
    <w:rsid w:val="000A4512"/>
    <w:rsid w:val="000A451E"/>
    <w:rsid w:val="000A48A9"/>
    <w:rsid w:val="000A4A61"/>
    <w:rsid w:val="000A4B5C"/>
    <w:rsid w:val="000A4BEE"/>
    <w:rsid w:val="000A4BF0"/>
    <w:rsid w:val="000A4C4B"/>
    <w:rsid w:val="000A4F85"/>
    <w:rsid w:val="000A51FD"/>
    <w:rsid w:val="000A53F2"/>
    <w:rsid w:val="000A54B4"/>
    <w:rsid w:val="000A583B"/>
    <w:rsid w:val="000A59EA"/>
    <w:rsid w:val="000A5AB1"/>
    <w:rsid w:val="000A5C29"/>
    <w:rsid w:val="000A5CDC"/>
    <w:rsid w:val="000A619C"/>
    <w:rsid w:val="000A64AF"/>
    <w:rsid w:val="000A654F"/>
    <w:rsid w:val="000A68EB"/>
    <w:rsid w:val="000A6967"/>
    <w:rsid w:val="000A6A22"/>
    <w:rsid w:val="000A6B2D"/>
    <w:rsid w:val="000A72A5"/>
    <w:rsid w:val="000A733E"/>
    <w:rsid w:val="000A73B1"/>
    <w:rsid w:val="000A774E"/>
    <w:rsid w:val="000A78F0"/>
    <w:rsid w:val="000A7D94"/>
    <w:rsid w:val="000A7DC9"/>
    <w:rsid w:val="000A7E54"/>
    <w:rsid w:val="000A7E59"/>
    <w:rsid w:val="000A7E8B"/>
    <w:rsid w:val="000A7FE3"/>
    <w:rsid w:val="000B018D"/>
    <w:rsid w:val="000B0335"/>
    <w:rsid w:val="000B0757"/>
    <w:rsid w:val="000B0783"/>
    <w:rsid w:val="000B0B29"/>
    <w:rsid w:val="000B0C7E"/>
    <w:rsid w:val="000B0F28"/>
    <w:rsid w:val="000B1053"/>
    <w:rsid w:val="000B10D7"/>
    <w:rsid w:val="000B11AD"/>
    <w:rsid w:val="000B11CA"/>
    <w:rsid w:val="000B140C"/>
    <w:rsid w:val="000B1612"/>
    <w:rsid w:val="000B1A31"/>
    <w:rsid w:val="000B1AC7"/>
    <w:rsid w:val="000B1B21"/>
    <w:rsid w:val="000B1C89"/>
    <w:rsid w:val="000B2224"/>
    <w:rsid w:val="000B23A0"/>
    <w:rsid w:val="000B2841"/>
    <w:rsid w:val="000B2AC9"/>
    <w:rsid w:val="000B2C20"/>
    <w:rsid w:val="000B2CE4"/>
    <w:rsid w:val="000B2D15"/>
    <w:rsid w:val="000B2F57"/>
    <w:rsid w:val="000B30B9"/>
    <w:rsid w:val="000B326C"/>
    <w:rsid w:val="000B3348"/>
    <w:rsid w:val="000B358C"/>
    <w:rsid w:val="000B3593"/>
    <w:rsid w:val="000B3839"/>
    <w:rsid w:val="000B3950"/>
    <w:rsid w:val="000B3AF3"/>
    <w:rsid w:val="000B405C"/>
    <w:rsid w:val="000B41D1"/>
    <w:rsid w:val="000B4298"/>
    <w:rsid w:val="000B437D"/>
    <w:rsid w:val="000B437F"/>
    <w:rsid w:val="000B4406"/>
    <w:rsid w:val="000B45F6"/>
    <w:rsid w:val="000B4855"/>
    <w:rsid w:val="000B4E99"/>
    <w:rsid w:val="000B5077"/>
    <w:rsid w:val="000B50DE"/>
    <w:rsid w:val="000B50F6"/>
    <w:rsid w:val="000B53AC"/>
    <w:rsid w:val="000B5571"/>
    <w:rsid w:val="000B55AC"/>
    <w:rsid w:val="000B55F9"/>
    <w:rsid w:val="000B5766"/>
    <w:rsid w:val="000B5885"/>
    <w:rsid w:val="000B58D4"/>
    <w:rsid w:val="000B5A9B"/>
    <w:rsid w:val="000B60A6"/>
    <w:rsid w:val="000B60AB"/>
    <w:rsid w:val="000B6179"/>
    <w:rsid w:val="000B6306"/>
    <w:rsid w:val="000B6732"/>
    <w:rsid w:val="000B67B6"/>
    <w:rsid w:val="000B69AB"/>
    <w:rsid w:val="000B6C29"/>
    <w:rsid w:val="000B6C77"/>
    <w:rsid w:val="000B6DEA"/>
    <w:rsid w:val="000B6DF5"/>
    <w:rsid w:val="000B6E22"/>
    <w:rsid w:val="000B6F2F"/>
    <w:rsid w:val="000B7094"/>
    <w:rsid w:val="000B71F0"/>
    <w:rsid w:val="000B76A8"/>
    <w:rsid w:val="000B7D34"/>
    <w:rsid w:val="000B7D9C"/>
    <w:rsid w:val="000C05D7"/>
    <w:rsid w:val="000C0AE4"/>
    <w:rsid w:val="000C0FB8"/>
    <w:rsid w:val="000C1245"/>
    <w:rsid w:val="000C1321"/>
    <w:rsid w:val="000C137B"/>
    <w:rsid w:val="000C1543"/>
    <w:rsid w:val="000C15BE"/>
    <w:rsid w:val="000C1AB5"/>
    <w:rsid w:val="000C2013"/>
    <w:rsid w:val="000C2255"/>
    <w:rsid w:val="000C225B"/>
    <w:rsid w:val="000C2346"/>
    <w:rsid w:val="000C23CA"/>
    <w:rsid w:val="000C2518"/>
    <w:rsid w:val="000C261F"/>
    <w:rsid w:val="000C26E3"/>
    <w:rsid w:val="000C27FA"/>
    <w:rsid w:val="000C283F"/>
    <w:rsid w:val="000C2D91"/>
    <w:rsid w:val="000C2E30"/>
    <w:rsid w:val="000C34AC"/>
    <w:rsid w:val="000C39D5"/>
    <w:rsid w:val="000C39F0"/>
    <w:rsid w:val="000C3AFD"/>
    <w:rsid w:val="000C3DCD"/>
    <w:rsid w:val="000C456C"/>
    <w:rsid w:val="000C460F"/>
    <w:rsid w:val="000C4654"/>
    <w:rsid w:val="000C46B2"/>
    <w:rsid w:val="000C4826"/>
    <w:rsid w:val="000C4A57"/>
    <w:rsid w:val="000C531B"/>
    <w:rsid w:val="000C5428"/>
    <w:rsid w:val="000C59E9"/>
    <w:rsid w:val="000C5AE0"/>
    <w:rsid w:val="000C5C95"/>
    <w:rsid w:val="000C5E80"/>
    <w:rsid w:val="000C5F2D"/>
    <w:rsid w:val="000C622E"/>
    <w:rsid w:val="000C6472"/>
    <w:rsid w:val="000C6580"/>
    <w:rsid w:val="000C6CA9"/>
    <w:rsid w:val="000C6F53"/>
    <w:rsid w:val="000C74EC"/>
    <w:rsid w:val="000C7570"/>
    <w:rsid w:val="000C76D7"/>
    <w:rsid w:val="000C7781"/>
    <w:rsid w:val="000C77C3"/>
    <w:rsid w:val="000C78C6"/>
    <w:rsid w:val="000C7B1C"/>
    <w:rsid w:val="000C7EF0"/>
    <w:rsid w:val="000D05D8"/>
    <w:rsid w:val="000D06FD"/>
    <w:rsid w:val="000D0703"/>
    <w:rsid w:val="000D0A7C"/>
    <w:rsid w:val="000D0A89"/>
    <w:rsid w:val="000D0BBF"/>
    <w:rsid w:val="000D0EA7"/>
    <w:rsid w:val="000D0F74"/>
    <w:rsid w:val="000D107C"/>
    <w:rsid w:val="000D10DF"/>
    <w:rsid w:val="000D11CF"/>
    <w:rsid w:val="000D1273"/>
    <w:rsid w:val="000D147C"/>
    <w:rsid w:val="000D17F5"/>
    <w:rsid w:val="000D1B91"/>
    <w:rsid w:val="000D1E89"/>
    <w:rsid w:val="000D2039"/>
    <w:rsid w:val="000D21F9"/>
    <w:rsid w:val="000D2376"/>
    <w:rsid w:val="000D23CC"/>
    <w:rsid w:val="000D2428"/>
    <w:rsid w:val="000D24C8"/>
    <w:rsid w:val="000D2886"/>
    <w:rsid w:val="000D28E9"/>
    <w:rsid w:val="000D2904"/>
    <w:rsid w:val="000D2A0D"/>
    <w:rsid w:val="000D2A6E"/>
    <w:rsid w:val="000D2CAD"/>
    <w:rsid w:val="000D2D2A"/>
    <w:rsid w:val="000D2F49"/>
    <w:rsid w:val="000D3008"/>
    <w:rsid w:val="000D319A"/>
    <w:rsid w:val="000D32BF"/>
    <w:rsid w:val="000D33E9"/>
    <w:rsid w:val="000D36B5"/>
    <w:rsid w:val="000D37A5"/>
    <w:rsid w:val="000D38C8"/>
    <w:rsid w:val="000D3929"/>
    <w:rsid w:val="000D39EB"/>
    <w:rsid w:val="000D3B04"/>
    <w:rsid w:val="000D3B2C"/>
    <w:rsid w:val="000D3D7B"/>
    <w:rsid w:val="000D42AD"/>
    <w:rsid w:val="000D4453"/>
    <w:rsid w:val="000D464F"/>
    <w:rsid w:val="000D4751"/>
    <w:rsid w:val="000D4948"/>
    <w:rsid w:val="000D4976"/>
    <w:rsid w:val="000D49B3"/>
    <w:rsid w:val="000D4D57"/>
    <w:rsid w:val="000D4FED"/>
    <w:rsid w:val="000D5061"/>
    <w:rsid w:val="000D5243"/>
    <w:rsid w:val="000D5AB4"/>
    <w:rsid w:val="000D5B8B"/>
    <w:rsid w:val="000D5BCA"/>
    <w:rsid w:val="000D5C6F"/>
    <w:rsid w:val="000D5D0C"/>
    <w:rsid w:val="000D6014"/>
    <w:rsid w:val="000D618A"/>
    <w:rsid w:val="000D6255"/>
    <w:rsid w:val="000D6270"/>
    <w:rsid w:val="000D6773"/>
    <w:rsid w:val="000D679E"/>
    <w:rsid w:val="000D6889"/>
    <w:rsid w:val="000D69C5"/>
    <w:rsid w:val="000D6ADA"/>
    <w:rsid w:val="000D6CE1"/>
    <w:rsid w:val="000D6D9D"/>
    <w:rsid w:val="000D7056"/>
    <w:rsid w:val="000D719B"/>
    <w:rsid w:val="000D7208"/>
    <w:rsid w:val="000D735D"/>
    <w:rsid w:val="000D7707"/>
    <w:rsid w:val="000D779B"/>
    <w:rsid w:val="000D77E2"/>
    <w:rsid w:val="000D78A2"/>
    <w:rsid w:val="000D78CA"/>
    <w:rsid w:val="000D7934"/>
    <w:rsid w:val="000D79BF"/>
    <w:rsid w:val="000D7F13"/>
    <w:rsid w:val="000E036B"/>
    <w:rsid w:val="000E0C37"/>
    <w:rsid w:val="000E0C74"/>
    <w:rsid w:val="000E0C7C"/>
    <w:rsid w:val="000E0D64"/>
    <w:rsid w:val="000E0F08"/>
    <w:rsid w:val="000E0F30"/>
    <w:rsid w:val="000E10B7"/>
    <w:rsid w:val="000E11E6"/>
    <w:rsid w:val="000E1279"/>
    <w:rsid w:val="000E14BF"/>
    <w:rsid w:val="000E162C"/>
    <w:rsid w:val="000E20D7"/>
    <w:rsid w:val="000E2687"/>
    <w:rsid w:val="000E29CC"/>
    <w:rsid w:val="000E2ACD"/>
    <w:rsid w:val="000E30F1"/>
    <w:rsid w:val="000E3151"/>
    <w:rsid w:val="000E3342"/>
    <w:rsid w:val="000E342B"/>
    <w:rsid w:val="000E36A9"/>
    <w:rsid w:val="000E37D5"/>
    <w:rsid w:val="000E3AF0"/>
    <w:rsid w:val="000E3B8F"/>
    <w:rsid w:val="000E3D25"/>
    <w:rsid w:val="000E3F40"/>
    <w:rsid w:val="000E421A"/>
    <w:rsid w:val="000E425C"/>
    <w:rsid w:val="000E4365"/>
    <w:rsid w:val="000E46D2"/>
    <w:rsid w:val="000E4839"/>
    <w:rsid w:val="000E49F7"/>
    <w:rsid w:val="000E4B0D"/>
    <w:rsid w:val="000E4F78"/>
    <w:rsid w:val="000E54FE"/>
    <w:rsid w:val="000E551E"/>
    <w:rsid w:val="000E552B"/>
    <w:rsid w:val="000E55B3"/>
    <w:rsid w:val="000E55BE"/>
    <w:rsid w:val="000E5792"/>
    <w:rsid w:val="000E5815"/>
    <w:rsid w:val="000E5825"/>
    <w:rsid w:val="000E5C42"/>
    <w:rsid w:val="000E5CE1"/>
    <w:rsid w:val="000E5ED8"/>
    <w:rsid w:val="000E69E3"/>
    <w:rsid w:val="000E6EE5"/>
    <w:rsid w:val="000E6EF2"/>
    <w:rsid w:val="000E6FCB"/>
    <w:rsid w:val="000E7308"/>
    <w:rsid w:val="000E731F"/>
    <w:rsid w:val="000E790E"/>
    <w:rsid w:val="000E7D28"/>
    <w:rsid w:val="000F01A6"/>
    <w:rsid w:val="000F01C8"/>
    <w:rsid w:val="000F06EC"/>
    <w:rsid w:val="000F07F8"/>
    <w:rsid w:val="000F0913"/>
    <w:rsid w:val="000F0C59"/>
    <w:rsid w:val="000F0EB2"/>
    <w:rsid w:val="000F1078"/>
    <w:rsid w:val="000F15B6"/>
    <w:rsid w:val="000F1636"/>
    <w:rsid w:val="000F166C"/>
    <w:rsid w:val="000F177A"/>
    <w:rsid w:val="000F1782"/>
    <w:rsid w:val="000F18AA"/>
    <w:rsid w:val="000F1E7B"/>
    <w:rsid w:val="000F1E97"/>
    <w:rsid w:val="000F1FDC"/>
    <w:rsid w:val="000F210D"/>
    <w:rsid w:val="000F2332"/>
    <w:rsid w:val="000F26E7"/>
    <w:rsid w:val="000F2848"/>
    <w:rsid w:val="000F2CAD"/>
    <w:rsid w:val="000F2D35"/>
    <w:rsid w:val="000F2D39"/>
    <w:rsid w:val="000F2F42"/>
    <w:rsid w:val="000F3239"/>
    <w:rsid w:val="000F3279"/>
    <w:rsid w:val="000F32A2"/>
    <w:rsid w:val="000F341F"/>
    <w:rsid w:val="000F382D"/>
    <w:rsid w:val="000F39A4"/>
    <w:rsid w:val="000F3A03"/>
    <w:rsid w:val="000F3A81"/>
    <w:rsid w:val="000F3BE7"/>
    <w:rsid w:val="000F3CBC"/>
    <w:rsid w:val="000F3D80"/>
    <w:rsid w:val="000F3ECF"/>
    <w:rsid w:val="000F4226"/>
    <w:rsid w:val="000F44E0"/>
    <w:rsid w:val="000F45C2"/>
    <w:rsid w:val="000F4898"/>
    <w:rsid w:val="000F48E8"/>
    <w:rsid w:val="000F4A0E"/>
    <w:rsid w:val="000F4BB4"/>
    <w:rsid w:val="000F4BDB"/>
    <w:rsid w:val="000F4D8B"/>
    <w:rsid w:val="000F4E94"/>
    <w:rsid w:val="000F50F7"/>
    <w:rsid w:val="000F533D"/>
    <w:rsid w:val="000F53F3"/>
    <w:rsid w:val="000F5526"/>
    <w:rsid w:val="000F55A9"/>
    <w:rsid w:val="000F564D"/>
    <w:rsid w:val="000F57A9"/>
    <w:rsid w:val="000F5C60"/>
    <w:rsid w:val="000F5E3B"/>
    <w:rsid w:val="000F643D"/>
    <w:rsid w:val="000F66AE"/>
    <w:rsid w:val="000F693E"/>
    <w:rsid w:val="000F69E1"/>
    <w:rsid w:val="000F6B8C"/>
    <w:rsid w:val="000F6CA0"/>
    <w:rsid w:val="000F6CDA"/>
    <w:rsid w:val="000F6D32"/>
    <w:rsid w:val="000F6D47"/>
    <w:rsid w:val="000F6E7C"/>
    <w:rsid w:val="000F703D"/>
    <w:rsid w:val="000F70C8"/>
    <w:rsid w:val="000F7129"/>
    <w:rsid w:val="000F7389"/>
    <w:rsid w:val="000F7670"/>
    <w:rsid w:val="000F784E"/>
    <w:rsid w:val="000F7B1A"/>
    <w:rsid w:val="000F7B21"/>
    <w:rsid w:val="000F7D11"/>
    <w:rsid w:val="000F7F86"/>
    <w:rsid w:val="001000B3"/>
    <w:rsid w:val="001002A8"/>
    <w:rsid w:val="00100595"/>
    <w:rsid w:val="00100C50"/>
    <w:rsid w:val="00100E80"/>
    <w:rsid w:val="00100EB1"/>
    <w:rsid w:val="00100EB4"/>
    <w:rsid w:val="00100FB0"/>
    <w:rsid w:val="0010147C"/>
    <w:rsid w:val="00101799"/>
    <w:rsid w:val="001019FC"/>
    <w:rsid w:val="00101DF3"/>
    <w:rsid w:val="00101E1C"/>
    <w:rsid w:val="00101F8F"/>
    <w:rsid w:val="00102046"/>
    <w:rsid w:val="001024A2"/>
    <w:rsid w:val="00102706"/>
    <w:rsid w:val="00102C0D"/>
    <w:rsid w:val="00102D79"/>
    <w:rsid w:val="0010332D"/>
    <w:rsid w:val="001035FD"/>
    <w:rsid w:val="0010363D"/>
    <w:rsid w:val="00103734"/>
    <w:rsid w:val="00103765"/>
    <w:rsid w:val="001037BC"/>
    <w:rsid w:val="00103AED"/>
    <w:rsid w:val="00103F22"/>
    <w:rsid w:val="00104004"/>
    <w:rsid w:val="00104673"/>
    <w:rsid w:val="001048E1"/>
    <w:rsid w:val="00104ADE"/>
    <w:rsid w:val="00104C38"/>
    <w:rsid w:val="001053C6"/>
    <w:rsid w:val="00105686"/>
    <w:rsid w:val="001056F1"/>
    <w:rsid w:val="00105717"/>
    <w:rsid w:val="00105C68"/>
    <w:rsid w:val="00105CA0"/>
    <w:rsid w:val="00106189"/>
    <w:rsid w:val="001061EC"/>
    <w:rsid w:val="00106301"/>
    <w:rsid w:val="001064E9"/>
    <w:rsid w:val="001067A2"/>
    <w:rsid w:val="00106A6A"/>
    <w:rsid w:val="00106AB6"/>
    <w:rsid w:val="00106E79"/>
    <w:rsid w:val="001073D0"/>
    <w:rsid w:val="0010753C"/>
    <w:rsid w:val="00107541"/>
    <w:rsid w:val="00107637"/>
    <w:rsid w:val="00107851"/>
    <w:rsid w:val="001078B0"/>
    <w:rsid w:val="001078B8"/>
    <w:rsid w:val="00107B54"/>
    <w:rsid w:val="00107BEE"/>
    <w:rsid w:val="00107C68"/>
    <w:rsid w:val="00107CC1"/>
    <w:rsid w:val="00107D28"/>
    <w:rsid w:val="00110182"/>
    <w:rsid w:val="0011062F"/>
    <w:rsid w:val="00110751"/>
    <w:rsid w:val="0011075A"/>
    <w:rsid w:val="00110958"/>
    <w:rsid w:val="00110A52"/>
    <w:rsid w:val="00110C21"/>
    <w:rsid w:val="00110EB5"/>
    <w:rsid w:val="00111039"/>
    <w:rsid w:val="001113F6"/>
    <w:rsid w:val="0011150A"/>
    <w:rsid w:val="00111943"/>
    <w:rsid w:val="001119B6"/>
    <w:rsid w:val="00111DFD"/>
    <w:rsid w:val="00111EAB"/>
    <w:rsid w:val="00111F6D"/>
    <w:rsid w:val="00111FBF"/>
    <w:rsid w:val="00112141"/>
    <w:rsid w:val="001121B7"/>
    <w:rsid w:val="0011225E"/>
    <w:rsid w:val="00112408"/>
    <w:rsid w:val="001124A6"/>
    <w:rsid w:val="0011281F"/>
    <w:rsid w:val="00112A50"/>
    <w:rsid w:val="00112D36"/>
    <w:rsid w:val="00112D7B"/>
    <w:rsid w:val="001132EF"/>
    <w:rsid w:val="00113765"/>
    <w:rsid w:val="00113973"/>
    <w:rsid w:val="0011397B"/>
    <w:rsid w:val="00113C0E"/>
    <w:rsid w:val="0011440D"/>
    <w:rsid w:val="001144FE"/>
    <w:rsid w:val="00114560"/>
    <w:rsid w:val="00114B6B"/>
    <w:rsid w:val="00114BD1"/>
    <w:rsid w:val="001152F2"/>
    <w:rsid w:val="001157C1"/>
    <w:rsid w:val="001157D1"/>
    <w:rsid w:val="00115944"/>
    <w:rsid w:val="00115B62"/>
    <w:rsid w:val="00115C24"/>
    <w:rsid w:val="00115CF9"/>
    <w:rsid w:val="0011618E"/>
    <w:rsid w:val="0011637F"/>
    <w:rsid w:val="0011638C"/>
    <w:rsid w:val="00116395"/>
    <w:rsid w:val="00116598"/>
    <w:rsid w:val="00116A41"/>
    <w:rsid w:val="00116B13"/>
    <w:rsid w:val="00116BEC"/>
    <w:rsid w:val="00116E18"/>
    <w:rsid w:val="001170B2"/>
    <w:rsid w:val="001171E2"/>
    <w:rsid w:val="00117282"/>
    <w:rsid w:val="0011753F"/>
    <w:rsid w:val="001177E7"/>
    <w:rsid w:val="00117BCA"/>
    <w:rsid w:val="00117DED"/>
    <w:rsid w:val="0012021F"/>
    <w:rsid w:val="00120267"/>
    <w:rsid w:val="00120430"/>
    <w:rsid w:val="00120432"/>
    <w:rsid w:val="00120497"/>
    <w:rsid w:val="001205B8"/>
    <w:rsid w:val="0012086C"/>
    <w:rsid w:val="00120938"/>
    <w:rsid w:val="001209AE"/>
    <w:rsid w:val="00120A04"/>
    <w:rsid w:val="00120AB2"/>
    <w:rsid w:val="00120E61"/>
    <w:rsid w:val="00120FA7"/>
    <w:rsid w:val="0012118D"/>
    <w:rsid w:val="001212B8"/>
    <w:rsid w:val="0012154D"/>
    <w:rsid w:val="00121A60"/>
    <w:rsid w:val="00121E94"/>
    <w:rsid w:val="00121EBE"/>
    <w:rsid w:val="00121F10"/>
    <w:rsid w:val="0012263C"/>
    <w:rsid w:val="00122A18"/>
    <w:rsid w:val="00122B01"/>
    <w:rsid w:val="00122FD2"/>
    <w:rsid w:val="00123497"/>
    <w:rsid w:val="00123646"/>
    <w:rsid w:val="00123A83"/>
    <w:rsid w:val="00123B3D"/>
    <w:rsid w:val="00123D3A"/>
    <w:rsid w:val="00123E3E"/>
    <w:rsid w:val="00123EE9"/>
    <w:rsid w:val="00124457"/>
    <w:rsid w:val="0012493E"/>
    <w:rsid w:val="00124ABB"/>
    <w:rsid w:val="00124B8D"/>
    <w:rsid w:val="00124BC7"/>
    <w:rsid w:val="00124CC8"/>
    <w:rsid w:val="001250D2"/>
    <w:rsid w:val="00125302"/>
    <w:rsid w:val="00125420"/>
    <w:rsid w:val="0012593A"/>
    <w:rsid w:val="00125BAD"/>
    <w:rsid w:val="00125BC6"/>
    <w:rsid w:val="00125C22"/>
    <w:rsid w:val="00125C85"/>
    <w:rsid w:val="00125E0A"/>
    <w:rsid w:val="00126256"/>
    <w:rsid w:val="00126281"/>
    <w:rsid w:val="001269C5"/>
    <w:rsid w:val="00126BED"/>
    <w:rsid w:val="00127252"/>
    <w:rsid w:val="00127272"/>
    <w:rsid w:val="00127386"/>
    <w:rsid w:val="001273CA"/>
    <w:rsid w:val="001274AE"/>
    <w:rsid w:val="0012754F"/>
    <w:rsid w:val="001275E0"/>
    <w:rsid w:val="0012776E"/>
    <w:rsid w:val="00127959"/>
    <w:rsid w:val="00127BC1"/>
    <w:rsid w:val="00127D94"/>
    <w:rsid w:val="001301F8"/>
    <w:rsid w:val="0013056F"/>
    <w:rsid w:val="001306A7"/>
    <w:rsid w:val="00130753"/>
    <w:rsid w:val="00130846"/>
    <w:rsid w:val="00130910"/>
    <w:rsid w:val="00130A93"/>
    <w:rsid w:val="00130D09"/>
    <w:rsid w:val="00130D87"/>
    <w:rsid w:val="00130DAC"/>
    <w:rsid w:val="00130DD0"/>
    <w:rsid w:val="00131098"/>
    <w:rsid w:val="001312C0"/>
    <w:rsid w:val="00131538"/>
    <w:rsid w:val="00131547"/>
    <w:rsid w:val="001317C9"/>
    <w:rsid w:val="00131B0D"/>
    <w:rsid w:val="00131C62"/>
    <w:rsid w:val="00131D2F"/>
    <w:rsid w:val="001320C7"/>
    <w:rsid w:val="0013220F"/>
    <w:rsid w:val="00132271"/>
    <w:rsid w:val="00132364"/>
    <w:rsid w:val="001325B6"/>
    <w:rsid w:val="001326F3"/>
    <w:rsid w:val="001329B6"/>
    <w:rsid w:val="001329E6"/>
    <w:rsid w:val="00132A72"/>
    <w:rsid w:val="00132C8D"/>
    <w:rsid w:val="00132D8E"/>
    <w:rsid w:val="00132E25"/>
    <w:rsid w:val="00132FFD"/>
    <w:rsid w:val="00133099"/>
    <w:rsid w:val="001333CB"/>
    <w:rsid w:val="001338C4"/>
    <w:rsid w:val="001338FD"/>
    <w:rsid w:val="00133A20"/>
    <w:rsid w:val="00133B3E"/>
    <w:rsid w:val="00133BB1"/>
    <w:rsid w:val="00133BE2"/>
    <w:rsid w:val="00133D50"/>
    <w:rsid w:val="00133ECF"/>
    <w:rsid w:val="00133FE2"/>
    <w:rsid w:val="001340DE"/>
    <w:rsid w:val="00134357"/>
    <w:rsid w:val="00134949"/>
    <w:rsid w:val="00134A7F"/>
    <w:rsid w:val="00134CE5"/>
    <w:rsid w:val="00134CEE"/>
    <w:rsid w:val="00134CF6"/>
    <w:rsid w:val="00134E54"/>
    <w:rsid w:val="00134E81"/>
    <w:rsid w:val="00134E9E"/>
    <w:rsid w:val="00134FA9"/>
    <w:rsid w:val="00135031"/>
    <w:rsid w:val="0013551D"/>
    <w:rsid w:val="00135589"/>
    <w:rsid w:val="001355B3"/>
    <w:rsid w:val="00135758"/>
    <w:rsid w:val="00135996"/>
    <w:rsid w:val="00135A44"/>
    <w:rsid w:val="00135C68"/>
    <w:rsid w:val="00135E8E"/>
    <w:rsid w:val="00135F60"/>
    <w:rsid w:val="00135FA7"/>
    <w:rsid w:val="00136032"/>
    <w:rsid w:val="00136072"/>
    <w:rsid w:val="0013610B"/>
    <w:rsid w:val="001363E2"/>
    <w:rsid w:val="001364E3"/>
    <w:rsid w:val="001366F8"/>
    <w:rsid w:val="00136746"/>
    <w:rsid w:val="001367AF"/>
    <w:rsid w:val="00136A73"/>
    <w:rsid w:val="00136B26"/>
    <w:rsid w:val="00136CA5"/>
    <w:rsid w:val="00136CDB"/>
    <w:rsid w:val="0013702B"/>
    <w:rsid w:val="001370FD"/>
    <w:rsid w:val="001372CD"/>
    <w:rsid w:val="00137391"/>
    <w:rsid w:val="0013753C"/>
    <w:rsid w:val="001378C4"/>
    <w:rsid w:val="00137924"/>
    <w:rsid w:val="00137C03"/>
    <w:rsid w:val="00137EF7"/>
    <w:rsid w:val="001401E9"/>
    <w:rsid w:val="001402D3"/>
    <w:rsid w:val="001402F1"/>
    <w:rsid w:val="00140376"/>
    <w:rsid w:val="0014062E"/>
    <w:rsid w:val="00140A5F"/>
    <w:rsid w:val="00140ADF"/>
    <w:rsid w:val="00140D29"/>
    <w:rsid w:val="0014168D"/>
    <w:rsid w:val="00141814"/>
    <w:rsid w:val="001418CC"/>
    <w:rsid w:val="001418E8"/>
    <w:rsid w:val="00141BFE"/>
    <w:rsid w:val="00141C66"/>
    <w:rsid w:val="00141DC8"/>
    <w:rsid w:val="00141E55"/>
    <w:rsid w:val="00141FEF"/>
    <w:rsid w:val="001420A2"/>
    <w:rsid w:val="001420C3"/>
    <w:rsid w:val="00142477"/>
    <w:rsid w:val="001425DA"/>
    <w:rsid w:val="00142635"/>
    <w:rsid w:val="001428C6"/>
    <w:rsid w:val="00142A8E"/>
    <w:rsid w:val="00142A90"/>
    <w:rsid w:val="00142B0B"/>
    <w:rsid w:val="00142B21"/>
    <w:rsid w:val="00142B8A"/>
    <w:rsid w:val="00142CEB"/>
    <w:rsid w:val="00142EBA"/>
    <w:rsid w:val="00142FCC"/>
    <w:rsid w:val="00143184"/>
    <w:rsid w:val="0014336E"/>
    <w:rsid w:val="001433E3"/>
    <w:rsid w:val="001433F5"/>
    <w:rsid w:val="001434A7"/>
    <w:rsid w:val="00143655"/>
    <w:rsid w:val="0014405B"/>
    <w:rsid w:val="0014449D"/>
    <w:rsid w:val="001445E4"/>
    <w:rsid w:val="0014485F"/>
    <w:rsid w:val="00144B33"/>
    <w:rsid w:val="00144B6A"/>
    <w:rsid w:val="00144C83"/>
    <w:rsid w:val="00144DAD"/>
    <w:rsid w:val="00144EDB"/>
    <w:rsid w:val="00144FCD"/>
    <w:rsid w:val="0014531F"/>
    <w:rsid w:val="0014572D"/>
    <w:rsid w:val="00145739"/>
    <w:rsid w:val="001457C0"/>
    <w:rsid w:val="00145887"/>
    <w:rsid w:val="00145AAA"/>
    <w:rsid w:val="00145CAD"/>
    <w:rsid w:val="00145E72"/>
    <w:rsid w:val="00145F66"/>
    <w:rsid w:val="0014657C"/>
    <w:rsid w:val="001465B4"/>
    <w:rsid w:val="0014673C"/>
    <w:rsid w:val="0014686A"/>
    <w:rsid w:val="001468BE"/>
    <w:rsid w:val="0014691B"/>
    <w:rsid w:val="00146C51"/>
    <w:rsid w:val="00146FB2"/>
    <w:rsid w:val="00147275"/>
    <w:rsid w:val="00147681"/>
    <w:rsid w:val="00147795"/>
    <w:rsid w:val="0014781D"/>
    <w:rsid w:val="00147A6F"/>
    <w:rsid w:val="00150224"/>
    <w:rsid w:val="00150312"/>
    <w:rsid w:val="001503F3"/>
    <w:rsid w:val="0015054C"/>
    <w:rsid w:val="00150833"/>
    <w:rsid w:val="00150DE5"/>
    <w:rsid w:val="00150FB1"/>
    <w:rsid w:val="00151142"/>
    <w:rsid w:val="001511A1"/>
    <w:rsid w:val="00151320"/>
    <w:rsid w:val="00151444"/>
    <w:rsid w:val="001516BA"/>
    <w:rsid w:val="001516ED"/>
    <w:rsid w:val="00151C37"/>
    <w:rsid w:val="00151C90"/>
    <w:rsid w:val="00151CFF"/>
    <w:rsid w:val="00151ED6"/>
    <w:rsid w:val="00151F73"/>
    <w:rsid w:val="0015204D"/>
    <w:rsid w:val="001520F6"/>
    <w:rsid w:val="00152383"/>
    <w:rsid w:val="001526FA"/>
    <w:rsid w:val="0015275B"/>
    <w:rsid w:val="00152E0E"/>
    <w:rsid w:val="00152E23"/>
    <w:rsid w:val="0015322C"/>
    <w:rsid w:val="001532B3"/>
    <w:rsid w:val="001532F0"/>
    <w:rsid w:val="00153446"/>
    <w:rsid w:val="001534C0"/>
    <w:rsid w:val="00153612"/>
    <w:rsid w:val="001538C1"/>
    <w:rsid w:val="00153928"/>
    <w:rsid w:val="00153D7C"/>
    <w:rsid w:val="0015407B"/>
    <w:rsid w:val="00154347"/>
    <w:rsid w:val="001545AE"/>
    <w:rsid w:val="00154822"/>
    <w:rsid w:val="00154826"/>
    <w:rsid w:val="001548B1"/>
    <w:rsid w:val="00154A66"/>
    <w:rsid w:val="00154BE5"/>
    <w:rsid w:val="00154C14"/>
    <w:rsid w:val="00154CF4"/>
    <w:rsid w:val="00154DB9"/>
    <w:rsid w:val="00154FF6"/>
    <w:rsid w:val="00155538"/>
    <w:rsid w:val="001555C9"/>
    <w:rsid w:val="001556B5"/>
    <w:rsid w:val="001557A6"/>
    <w:rsid w:val="0015585E"/>
    <w:rsid w:val="00155A4F"/>
    <w:rsid w:val="00155AA4"/>
    <w:rsid w:val="00155C2E"/>
    <w:rsid w:val="00155DDC"/>
    <w:rsid w:val="00155EAB"/>
    <w:rsid w:val="00155F0A"/>
    <w:rsid w:val="001567D1"/>
    <w:rsid w:val="00156BE4"/>
    <w:rsid w:val="00156CDA"/>
    <w:rsid w:val="00156E83"/>
    <w:rsid w:val="00157260"/>
    <w:rsid w:val="0015742B"/>
    <w:rsid w:val="0015742C"/>
    <w:rsid w:val="001575CC"/>
    <w:rsid w:val="00157748"/>
    <w:rsid w:val="0015775F"/>
    <w:rsid w:val="001577D5"/>
    <w:rsid w:val="00157839"/>
    <w:rsid w:val="00157869"/>
    <w:rsid w:val="001578EB"/>
    <w:rsid w:val="00157C9C"/>
    <w:rsid w:val="001603C1"/>
    <w:rsid w:val="00160B25"/>
    <w:rsid w:val="00160F1D"/>
    <w:rsid w:val="00161B3A"/>
    <w:rsid w:val="00161BD8"/>
    <w:rsid w:val="00162007"/>
    <w:rsid w:val="001622FB"/>
    <w:rsid w:val="001624FD"/>
    <w:rsid w:val="0016273A"/>
    <w:rsid w:val="00162840"/>
    <w:rsid w:val="001629F2"/>
    <w:rsid w:val="00162A00"/>
    <w:rsid w:val="00162ED6"/>
    <w:rsid w:val="00163333"/>
    <w:rsid w:val="00163395"/>
    <w:rsid w:val="001634DF"/>
    <w:rsid w:val="001635FC"/>
    <w:rsid w:val="0016389B"/>
    <w:rsid w:val="0016393C"/>
    <w:rsid w:val="001639CE"/>
    <w:rsid w:val="00163A56"/>
    <w:rsid w:val="00163AC8"/>
    <w:rsid w:val="00163AC9"/>
    <w:rsid w:val="00163D77"/>
    <w:rsid w:val="00163D7D"/>
    <w:rsid w:val="00163E52"/>
    <w:rsid w:val="00163FA4"/>
    <w:rsid w:val="00163FA5"/>
    <w:rsid w:val="00164129"/>
    <w:rsid w:val="00164184"/>
    <w:rsid w:val="001641C5"/>
    <w:rsid w:val="001647E1"/>
    <w:rsid w:val="0016494A"/>
    <w:rsid w:val="00164958"/>
    <w:rsid w:val="00164A81"/>
    <w:rsid w:val="00164B06"/>
    <w:rsid w:val="00164C33"/>
    <w:rsid w:val="00164CF5"/>
    <w:rsid w:val="00164E1F"/>
    <w:rsid w:val="00164EC5"/>
    <w:rsid w:val="00165327"/>
    <w:rsid w:val="00165521"/>
    <w:rsid w:val="00165840"/>
    <w:rsid w:val="001658EE"/>
    <w:rsid w:val="00165B92"/>
    <w:rsid w:val="00165D8F"/>
    <w:rsid w:val="00165E4D"/>
    <w:rsid w:val="001660E6"/>
    <w:rsid w:val="00166A69"/>
    <w:rsid w:val="00166C95"/>
    <w:rsid w:val="00166D7B"/>
    <w:rsid w:val="00166DDD"/>
    <w:rsid w:val="00167571"/>
    <w:rsid w:val="00167718"/>
    <w:rsid w:val="00167F0E"/>
    <w:rsid w:val="00170015"/>
    <w:rsid w:val="00170048"/>
    <w:rsid w:val="00171308"/>
    <w:rsid w:val="00171357"/>
    <w:rsid w:val="00171407"/>
    <w:rsid w:val="001716CF"/>
    <w:rsid w:val="001718C4"/>
    <w:rsid w:val="00171D55"/>
    <w:rsid w:val="00171DB2"/>
    <w:rsid w:val="00171DC6"/>
    <w:rsid w:val="00171FE7"/>
    <w:rsid w:val="001722A5"/>
    <w:rsid w:val="001723EF"/>
    <w:rsid w:val="001725DA"/>
    <w:rsid w:val="00172602"/>
    <w:rsid w:val="0017275F"/>
    <w:rsid w:val="00172DDE"/>
    <w:rsid w:val="00172EA0"/>
    <w:rsid w:val="00172EA5"/>
    <w:rsid w:val="001730B5"/>
    <w:rsid w:val="00173191"/>
    <w:rsid w:val="001734E4"/>
    <w:rsid w:val="001736F2"/>
    <w:rsid w:val="001737C3"/>
    <w:rsid w:val="00173DCE"/>
    <w:rsid w:val="00174002"/>
    <w:rsid w:val="00174231"/>
    <w:rsid w:val="00174711"/>
    <w:rsid w:val="00174866"/>
    <w:rsid w:val="001749F9"/>
    <w:rsid w:val="00174C34"/>
    <w:rsid w:val="00174DDA"/>
    <w:rsid w:val="00174F90"/>
    <w:rsid w:val="00175045"/>
    <w:rsid w:val="0017575F"/>
    <w:rsid w:val="0017583B"/>
    <w:rsid w:val="00175A61"/>
    <w:rsid w:val="00175A6C"/>
    <w:rsid w:val="00175AD9"/>
    <w:rsid w:val="00175B3D"/>
    <w:rsid w:val="00175CB2"/>
    <w:rsid w:val="001760BA"/>
    <w:rsid w:val="00176808"/>
    <w:rsid w:val="00176B6E"/>
    <w:rsid w:val="00176C72"/>
    <w:rsid w:val="00176D0A"/>
    <w:rsid w:val="00176DB0"/>
    <w:rsid w:val="00176E5E"/>
    <w:rsid w:val="00176F2D"/>
    <w:rsid w:val="00176F7E"/>
    <w:rsid w:val="0017725F"/>
    <w:rsid w:val="0017732F"/>
    <w:rsid w:val="00177397"/>
    <w:rsid w:val="0017784F"/>
    <w:rsid w:val="00177919"/>
    <w:rsid w:val="00177AFB"/>
    <w:rsid w:val="00177B3B"/>
    <w:rsid w:val="00177CE7"/>
    <w:rsid w:val="00177F20"/>
    <w:rsid w:val="0018018F"/>
    <w:rsid w:val="00180697"/>
    <w:rsid w:val="0018070B"/>
    <w:rsid w:val="00180BCB"/>
    <w:rsid w:val="00180CB5"/>
    <w:rsid w:val="00180D33"/>
    <w:rsid w:val="00181286"/>
    <w:rsid w:val="00181714"/>
    <w:rsid w:val="0018171C"/>
    <w:rsid w:val="001818AB"/>
    <w:rsid w:val="00181907"/>
    <w:rsid w:val="00181A01"/>
    <w:rsid w:val="00181B32"/>
    <w:rsid w:val="00181B66"/>
    <w:rsid w:val="00181D58"/>
    <w:rsid w:val="00181E01"/>
    <w:rsid w:val="00182740"/>
    <w:rsid w:val="00182760"/>
    <w:rsid w:val="001827C5"/>
    <w:rsid w:val="001827E2"/>
    <w:rsid w:val="001828EC"/>
    <w:rsid w:val="0018292C"/>
    <w:rsid w:val="001829A1"/>
    <w:rsid w:val="00182B53"/>
    <w:rsid w:val="00182BCA"/>
    <w:rsid w:val="00182CA0"/>
    <w:rsid w:val="001834C3"/>
    <w:rsid w:val="0018362E"/>
    <w:rsid w:val="001836BF"/>
    <w:rsid w:val="00183958"/>
    <w:rsid w:val="00183A59"/>
    <w:rsid w:val="00183CCB"/>
    <w:rsid w:val="0018412F"/>
    <w:rsid w:val="0018415C"/>
    <w:rsid w:val="00184626"/>
    <w:rsid w:val="00184844"/>
    <w:rsid w:val="0018491A"/>
    <w:rsid w:val="00184A18"/>
    <w:rsid w:val="00184C6C"/>
    <w:rsid w:val="00184CE1"/>
    <w:rsid w:val="00184E70"/>
    <w:rsid w:val="00184F18"/>
    <w:rsid w:val="00185049"/>
    <w:rsid w:val="00185216"/>
    <w:rsid w:val="0018521C"/>
    <w:rsid w:val="0018556D"/>
    <w:rsid w:val="001855B9"/>
    <w:rsid w:val="0018569E"/>
    <w:rsid w:val="0018589D"/>
    <w:rsid w:val="001859BA"/>
    <w:rsid w:val="00185F48"/>
    <w:rsid w:val="001861E0"/>
    <w:rsid w:val="00186611"/>
    <w:rsid w:val="0018663F"/>
    <w:rsid w:val="0018676C"/>
    <w:rsid w:val="00186842"/>
    <w:rsid w:val="00187289"/>
    <w:rsid w:val="001873EE"/>
    <w:rsid w:val="001873F5"/>
    <w:rsid w:val="0018755D"/>
    <w:rsid w:val="001875C4"/>
    <w:rsid w:val="00187C63"/>
    <w:rsid w:val="00187DA4"/>
    <w:rsid w:val="00187DED"/>
    <w:rsid w:val="00190153"/>
    <w:rsid w:val="00190396"/>
    <w:rsid w:val="001903EC"/>
    <w:rsid w:val="00190578"/>
    <w:rsid w:val="001907AD"/>
    <w:rsid w:val="00190AFA"/>
    <w:rsid w:val="00190C16"/>
    <w:rsid w:val="00190E2C"/>
    <w:rsid w:val="00191320"/>
    <w:rsid w:val="00191470"/>
    <w:rsid w:val="0019147F"/>
    <w:rsid w:val="0019167E"/>
    <w:rsid w:val="00191955"/>
    <w:rsid w:val="00191B88"/>
    <w:rsid w:val="00191E31"/>
    <w:rsid w:val="00191FB0"/>
    <w:rsid w:val="00192FFE"/>
    <w:rsid w:val="0019318C"/>
    <w:rsid w:val="0019335C"/>
    <w:rsid w:val="001933C2"/>
    <w:rsid w:val="0019357A"/>
    <w:rsid w:val="001936C3"/>
    <w:rsid w:val="00193CE5"/>
    <w:rsid w:val="00193FD7"/>
    <w:rsid w:val="00194170"/>
    <w:rsid w:val="001941E1"/>
    <w:rsid w:val="00194527"/>
    <w:rsid w:val="00194A91"/>
    <w:rsid w:val="00194DE8"/>
    <w:rsid w:val="00194E91"/>
    <w:rsid w:val="00194F64"/>
    <w:rsid w:val="00195093"/>
    <w:rsid w:val="001952BD"/>
    <w:rsid w:val="00195504"/>
    <w:rsid w:val="00195580"/>
    <w:rsid w:val="001957CD"/>
    <w:rsid w:val="00195800"/>
    <w:rsid w:val="00195A6D"/>
    <w:rsid w:val="001961B7"/>
    <w:rsid w:val="00196246"/>
    <w:rsid w:val="00196412"/>
    <w:rsid w:val="0019649A"/>
    <w:rsid w:val="00196804"/>
    <w:rsid w:val="001968DD"/>
    <w:rsid w:val="001968F0"/>
    <w:rsid w:val="00196D2C"/>
    <w:rsid w:val="00196DAB"/>
    <w:rsid w:val="00196E84"/>
    <w:rsid w:val="0019718B"/>
    <w:rsid w:val="001971AF"/>
    <w:rsid w:val="001971D1"/>
    <w:rsid w:val="0019728A"/>
    <w:rsid w:val="00197301"/>
    <w:rsid w:val="001976D6"/>
    <w:rsid w:val="001976F6"/>
    <w:rsid w:val="00197AE9"/>
    <w:rsid w:val="00197C8A"/>
    <w:rsid w:val="00197DFB"/>
    <w:rsid w:val="001A0180"/>
    <w:rsid w:val="001A0218"/>
    <w:rsid w:val="001A0290"/>
    <w:rsid w:val="001A02EB"/>
    <w:rsid w:val="001A0606"/>
    <w:rsid w:val="001A0632"/>
    <w:rsid w:val="001A0998"/>
    <w:rsid w:val="001A0D2E"/>
    <w:rsid w:val="001A0DD4"/>
    <w:rsid w:val="001A1217"/>
    <w:rsid w:val="001A12D3"/>
    <w:rsid w:val="001A133E"/>
    <w:rsid w:val="001A1436"/>
    <w:rsid w:val="001A17EE"/>
    <w:rsid w:val="001A22F3"/>
    <w:rsid w:val="001A2699"/>
    <w:rsid w:val="001A2950"/>
    <w:rsid w:val="001A2DFE"/>
    <w:rsid w:val="001A2E2A"/>
    <w:rsid w:val="001A2E76"/>
    <w:rsid w:val="001A32C1"/>
    <w:rsid w:val="001A3610"/>
    <w:rsid w:val="001A36A2"/>
    <w:rsid w:val="001A36C5"/>
    <w:rsid w:val="001A36F5"/>
    <w:rsid w:val="001A3FC9"/>
    <w:rsid w:val="001A40B3"/>
    <w:rsid w:val="001A40CD"/>
    <w:rsid w:val="001A4231"/>
    <w:rsid w:val="001A4248"/>
    <w:rsid w:val="001A4429"/>
    <w:rsid w:val="001A4458"/>
    <w:rsid w:val="001A4476"/>
    <w:rsid w:val="001A4543"/>
    <w:rsid w:val="001A48EC"/>
    <w:rsid w:val="001A48F3"/>
    <w:rsid w:val="001A49C2"/>
    <w:rsid w:val="001A5188"/>
    <w:rsid w:val="001A51E4"/>
    <w:rsid w:val="001A51FE"/>
    <w:rsid w:val="001A5399"/>
    <w:rsid w:val="001A53F1"/>
    <w:rsid w:val="001A5419"/>
    <w:rsid w:val="001A5657"/>
    <w:rsid w:val="001A5B16"/>
    <w:rsid w:val="001A5B60"/>
    <w:rsid w:val="001A5BF9"/>
    <w:rsid w:val="001A5D7F"/>
    <w:rsid w:val="001A5E03"/>
    <w:rsid w:val="001A6539"/>
    <w:rsid w:val="001A66C0"/>
    <w:rsid w:val="001A682B"/>
    <w:rsid w:val="001A6994"/>
    <w:rsid w:val="001A6ABD"/>
    <w:rsid w:val="001A6C3F"/>
    <w:rsid w:val="001A6CB5"/>
    <w:rsid w:val="001A6E14"/>
    <w:rsid w:val="001A70F3"/>
    <w:rsid w:val="001A7110"/>
    <w:rsid w:val="001A71B0"/>
    <w:rsid w:val="001A733D"/>
    <w:rsid w:val="001A7498"/>
    <w:rsid w:val="001A749F"/>
    <w:rsid w:val="001A7502"/>
    <w:rsid w:val="001A7A4C"/>
    <w:rsid w:val="001A7A51"/>
    <w:rsid w:val="001A7A84"/>
    <w:rsid w:val="001A7C91"/>
    <w:rsid w:val="001A7E0A"/>
    <w:rsid w:val="001A7EB2"/>
    <w:rsid w:val="001B0321"/>
    <w:rsid w:val="001B045B"/>
    <w:rsid w:val="001B04A3"/>
    <w:rsid w:val="001B090F"/>
    <w:rsid w:val="001B0E52"/>
    <w:rsid w:val="001B0FFD"/>
    <w:rsid w:val="001B11F9"/>
    <w:rsid w:val="001B1298"/>
    <w:rsid w:val="001B1397"/>
    <w:rsid w:val="001B13A6"/>
    <w:rsid w:val="001B161E"/>
    <w:rsid w:val="001B1757"/>
    <w:rsid w:val="001B181E"/>
    <w:rsid w:val="001B1889"/>
    <w:rsid w:val="001B1AD0"/>
    <w:rsid w:val="001B1B46"/>
    <w:rsid w:val="001B1DFE"/>
    <w:rsid w:val="001B1EF8"/>
    <w:rsid w:val="001B23F7"/>
    <w:rsid w:val="001B24EA"/>
    <w:rsid w:val="001B2609"/>
    <w:rsid w:val="001B29E0"/>
    <w:rsid w:val="001B2B5B"/>
    <w:rsid w:val="001B2D64"/>
    <w:rsid w:val="001B2D79"/>
    <w:rsid w:val="001B2F07"/>
    <w:rsid w:val="001B306D"/>
    <w:rsid w:val="001B31B7"/>
    <w:rsid w:val="001B3262"/>
    <w:rsid w:val="001B36C1"/>
    <w:rsid w:val="001B38A6"/>
    <w:rsid w:val="001B3931"/>
    <w:rsid w:val="001B3A85"/>
    <w:rsid w:val="001B3B52"/>
    <w:rsid w:val="001B3E2E"/>
    <w:rsid w:val="001B3EF6"/>
    <w:rsid w:val="001B3F19"/>
    <w:rsid w:val="001B3F9A"/>
    <w:rsid w:val="001B4187"/>
    <w:rsid w:val="001B41CE"/>
    <w:rsid w:val="001B457E"/>
    <w:rsid w:val="001B474C"/>
    <w:rsid w:val="001B4854"/>
    <w:rsid w:val="001B4A44"/>
    <w:rsid w:val="001B4CB8"/>
    <w:rsid w:val="001B4D4F"/>
    <w:rsid w:val="001B4FA5"/>
    <w:rsid w:val="001B5060"/>
    <w:rsid w:val="001B546F"/>
    <w:rsid w:val="001B549E"/>
    <w:rsid w:val="001B5856"/>
    <w:rsid w:val="001B58A3"/>
    <w:rsid w:val="001B59EA"/>
    <w:rsid w:val="001B5E04"/>
    <w:rsid w:val="001B6282"/>
    <w:rsid w:val="001B6590"/>
    <w:rsid w:val="001B68D9"/>
    <w:rsid w:val="001B6AD3"/>
    <w:rsid w:val="001B6B13"/>
    <w:rsid w:val="001B6B1C"/>
    <w:rsid w:val="001B6D08"/>
    <w:rsid w:val="001B6D84"/>
    <w:rsid w:val="001B7217"/>
    <w:rsid w:val="001B7737"/>
    <w:rsid w:val="001B7A77"/>
    <w:rsid w:val="001B7A9E"/>
    <w:rsid w:val="001B7F5F"/>
    <w:rsid w:val="001C04A7"/>
    <w:rsid w:val="001C088E"/>
    <w:rsid w:val="001C0924"/>
    <w:rsid w:val="001C0A67"/>
    <w:rsid w:val="001C0C6D"/>
    <w:rsid w:val="001C0E7A"/>
    <w:rsid w:val="001C119E"/>
    <w:rsid w:val="001C12BA"/>
    <w:rsid w:val="001C15E8"/>
    <w:rsid w:val="001C15F6"/>
    <w:rsid w:val="001C18D6"/>
    <w:rsid w:val="001C193A"/>
    <w:rsid w:val="001C1AD9"/>
    <w:rsid w:val="001C1DEB"/>
    <w:rsid w:val="001C1EA9"/>
    <w:rsid w:val="001C1FA9"/>
    <w:rsid w:val="001C23E4"/>
    <w:rsid w:val="001C2682"/>
    <w:rsid w:val="001C27E6"/>
    <w:rsid w:val="001C2889"/>
    <w:rsid w:val="001C2AF4"/>
    <w:rsid w:val="001C3409"/>
    <w:rsid w:val="001C342C"/>
    <w:rsid w:val="001C34B4"/>
    <w:rsid w:val="001C37E5"/>
    <w:rsid w:val="001C387B"/>
    <w:rsid w:val="001C3E5D"/>
    <w:rsid w:val="001C4048"/>
    <w:rsid w:val="001C41DB"/>
    <w:rsid w:val="001C42B9"/>
    <w:rsid w:val="001C4359"/>
    <w:rsid w:val="001C46F4"/>
    <w:rsid w:val="001C4857"/>
    <w:rsid w:val="001C499A"/>
    <w:rsid w:val="001C49F7"/>
    <w:rsid w:val="001C50F8"/>
    <w:rsid w:val="001C5141"/>
    <w:rsid w:val="001C5496"/>
    <w:rsid w:val="001C5610"/>
    <w:rsid w:val="001C5779"/>
    <w:rsid w:val="001C58E2"/>
    <w:rsid w:val="001C5975"/>
    <w:rsid w:val="001C5E12"/>
    <w:rsid w:val="001C5E24"/>
    <w:rsid w:val="001C623D"/>
    <w:rsid w:val="001C63FD"/>
    <w:rsid w:val="001C6496"/>
    <w:rsid w:val="001C64F0"/>
    <w:rsid w:val="001C66BE"/>
    <w:rsid w:val="001C670D"/>
    <w:rsid w:val="001C6DFE"/>
    <w:rsid w:val="001C6FBA"/>
    <w:rsid w:val="001C7064"/>
    <w:rsid w:val="001C70D1"/>
    <w:rsid w:val="001C7219"/>
    <w:rsid w:val="001C728D"/>
    <w:rsid w:val="001C7A90"/>
    <w:rsid w:val="001C7F77"/>
    <w:rsid w:val="001D0268"/>
    <w:rsid w:val="001D02A4"/>
    <w:rsid w:val="001D0392"/>
    <w:rsid w:val="001D0419"/>
    <w:rsid w:val="001D0527"/>
    <w:rsid w:val="001D05F2"/>
    <w:rsid w:val="001D064B"/>
    <w:rsid w:val="001D06CC"/>
    <w:rsid w:val="001D0950"/>
    <w:rsid w:val="001D098A"/>
    <w:rsid w:val="001D09B0"/>
    <w:rsid w:val="001D0C71"/>
    <w:rsid w:val="001D0ECE"/>
    <w:rsid w:val="001D106F"/>
    <w:rsid w:val="001D15CC"/>
    <w:rsid w:val="001D1650"/>
    <w:rsid w:val="001D1685"/>
    <w:rsid w:val="001D171F"/>
    <w:rsid w:val="001D1A9A"/>
    <w:rsid w:val="001D1C95"/>
    <w:rsid w:val="001D1E72"/>
    <w:rsid w:val="001D1EEB"/>
    <w:rsid w:val="001D2617"/>
    <w:rsid w:val="001D2696"/>
    <w:rsid w:val="001D288A"/>
    <w:rsid w:val="001D289E"/>
    <w:rsid w:val="001D28DD"/>
    <w:rsid w:val="001D295F"/>
    <w:rsid w:val="001D29F2"/>
    <w:rsid w:val="001D2C8C"/>
    <w:rsid w:val="001D2DA0"/>
    <w:rsid w:val="001D3306"/>
    <w:rsid w:val="001D3535"/>
    <w:rsid w:val="001D36F8"/>
    <w:rsid w:val="001D398D"/>
    <w:rsid w:val="001D3BB8"/>
    <w:rsid w:val="001D3C0F"/>
    <w:rsid w:val="001D3FC1"/>
    <w:rsid w:val="001D44C9"/>
    <w:rsid w:val="001D45D7"/>
    <w:rsid w:val="001D464B"/>
    <w:rsid w:val="001D4874"/>
    <w:rsid w:val="001D4BBD"/>
    <w:rsid w:val="001D4C33"/>
    <w:rsid w:val="001D4D4F"/>
    <w:rsid w:val="001D4D97"/>
    <w:rsid w:val="001D501F"/>
    <w:rsid w:val="001D526C"/>
    <w:rsid w:val="001D53E0"/>
    <w:rsid w:val="001D55F2"/>
    <w:rsid w:val="001D565E"/>
    <w:rsid w:val="001D584E"/>
    <w:rsid w:val="001D5A0A"/>
    <w:rsid w:val="001D6376"/>
    <w:rsid w:val="001D63AE"/>
    <w:rsid w:val="001D63ED"/>
    <w:rsid w:val="001D6430"/>
    <w:rsid w:val="001D6477"/>
    <w:rsid w:val="001D64B5"/>
    <w:rsid w:val="001D658B"/>
    <w:rsid w:val="001D6894"/>
    <w:rsid w:val="001D68CC"/>
    <w:rsid w:val="001D70D8"/>
    <w:rsid w:val="001D717B"/>
    <w:rsid w:val="001D717F"/>
    <w:rsid w:val="001D7534"/>
    <w:rsid w:val="001D7581"/>
    <w:rsid w:val="001D760F"/>
    <w:rsid w:val="001D797C"/>
    <w:rsid w:val="001D7999"/>
    <w:rsid w:val="001D7B0E"/>
    <w:rsid w:val="001D7BE2"/>
    <w:rsid w:val="001D7F9D"/>
    <w:rsid w:val="001D7FAD"/>
    <w:rsid w:val="001E01EB"/>
    <w:rsid w:val="001E03E5"/>
    <w:rsid w:val="001E06A9"/>
    <w:rsid w:val="001E0720"/>
    <w:rsid w:val="001E095F"/>
    <w:rsid w:val="001E0D2A"/>
    <w:rsid w:val="001E1172"/>
    <w:rsid w:val="001E162A"/>
    <w:rsid w:val="001E1632"/>
    <w:rsid w:val="001E17F0"/>
    <w:rsid w:val="001E19DF"/>
    <w:rsid w:val="001E1A13"/>
    <w:rsid w:val="001E1A25"/>
    <w:rsid w:val="001E1C5E"/>
    <w:rsid w:val="001E1DDB"/>
    <w:rsid w:val="001E1F56"/>
    <w:rsid w:val="001E2036"/>
    <w:rsid w:val="001E262A"/>
    <w:rsid w:val="001E2823"/>
    <w:rsid w:val="001E2A79"/>
    <w:rsid w:val="001E3042"/>
    <w:rsid w:val="001E3088"/>
    <w:rsid w:val="001E30FE"/>
    <w:rsid w:val="001E32D5"/>
    <w:rsid w:val="001E334B"/>
    <w:rsid w:val="001E36BA"/>
    <w:rsid w:val="001E36E7"/>
    <w:rsid w:val="001E3741"/>
    <w:rsid w:val="001E387B"/>
    <w:rsid w:val="001E3921"/>
    <w:rsid w:val="001E3D59"/>
    <w:rsid w:val="001E3D9B"/>
    <w:rsid w:val="001E427E"/>
    <w:rsid w:val="001E42BE"/>
    <w:rsid w:val="001E42C8"/>
    <w:rsid w:val="001E431F"/>
    <w:rsid w:val="001E4390"/>
    <w:rsid w:val="001E4415"/>
    <w:rsid w:val="001E47D9"/>
    <w:rsid w:val="001E4A6D"/>
    <w:rsid w:val="001E4BF4"/>
    <w:rsid w:val="001E4CF8"/>
    <w:rsid w:val="001E4F51"/>
    <w:rsid w:val="001E5029"/>
    <w:rsid w:val="001E5091"/>
    <w:rsid w:val="001E510F"/>
    <w:rsid w:val="001E5A4D"/>
    <w:rsid w:val="001E5E3E"/>
    <w:rsid w:val="001E5EBF"/>
    <w:rsid w:val="001E5F74"/>
    <w:rsid w:val="001E602D"/>
    <w:rsid w:val="001E6556"/>
    <w:rsid w:val="001E6585"/>
    <w:rsid w:val="001E6CBE"/>
    <w:rsid w:val="001E71BB"/>
    <w:rsid w:val="001E77DD"/>
    <w:rsid w:val="001E7968"/>
    <w:rsid w:val="001E79D5"/>
    <w:rsid w:val="001E7A3F"/>
    <w:rsid w:val="001E7B1B"/>
    <w:rsid w:val="001E7D5E"/>
    <w:rsid w:val="001E7F89"/>
    <w:rsid w:val="001F0487"/>
    <w:rsid w:val="001F0814"/>
    <w:rsid w:val="001F0A07"/>
    <w:rsid w:val="001F0F33"/>
    <w:rsid w:val="001F10F9"/>
    <w:rsid w:val="001F112A"/>
    <w:rsid w:val="001F14E7"/>
    <w:rsid w:val="001F1A56"/>
    <w:rsid w:val="001F1AF2"/>
    <w:rsid w:val="001F1CD4"/>
    <w:rsid w:val="001F1DDB"/>
    <w:rsid w:val="001F1F67"/>
    <w:rsid w:val="001F2115"/>
    <w:rsid w:val="001F222D"/>
    <w:rsid w:val="001F23AE"/>
    <w:rsid w:val="001F2782"/>
    <w:rsid w:val="001F2AAF"/>
    <w:rsid w:val="001F2B43"/>
    <w:rsid w:val="001F2E26"/>
    <w:rsid w:val="001F2F15"/>
    <w:rsid w:val="001F2FDC"/>
    <w:rsid w:val="001F31BF"/>
    <w:rsid w:val="001F345A"/>
    <w:rsid w:val="001F3A5A"/>
    <w:rsid w:val="001F3BCB"/>
    <w:rsid w:val="001F3E7B"/>
    <w:rsid w:val="001F404D"/>
    <w:rsid w:val="001F4158"/>
    <w:rsid w:val="001F43A6"/>
    <w:rsid w:val="001F45C6"/>
    <w:rsid w:val="001F4806"/>
    <w:rsid w:val="001F480C"/>
    <w:rsid w:val="001F486F"/>
    <w:rsid w:val="001F49C7"/>
    <w:rsid w:val="001F4B9D"/>
    <w:rsid w:val="001F4D0D"/>
    <w:rsid w:val="001F4DB7"/>
    <w:rsid w:val="001F500F"/>
    <w:rsid w:val="001F5038"/>
    <w:rsid w:val="001F50C5"/>
    <w:rsid w:val="001F5216"/>
    <w:rsid w:val="001F5569"/>
    <w:rsid w:val="001F5A88"/>
    <w:rsid w:val="001F5C7A"/>
    <w:rsid w:val="001F5DC4"/>
    <w:rsid w:val="001F5E44"/>
    <w:rsid w:val="001F5F04"/>
    <w:rsid w:val="001F6182"/>
    <w:rsid w:val="001F66B2"/>
    <w:rsid w:val="001F686D"/>
    <w:rsid w:val="001F6AEF"/>
    <w:rsid w:val="001F6CB5"/>
    <w:rsid w:val="001F6E15"/>
    <w:rsid w:val="001F7096"/>
    <w:rsid w:val="001F717C"/>
    <w:rsid w:val="001F7531"/>
    <w:rsid w:val="001F7583"/>
    <w:rsid w:val="001F7670"/>
    <w:rsid w:val="001F785D"/>
    <w:rsid w:val="001F7A1F"/>
    <w:rsid w:val="001F7A9E"/>
    <w:rsid w:val="001F7B35"/>
    <w:rsid w:val="001F7DA6"/>
    <w:rsid w:val="00200001"/>
    <w:rsid w:val="002005B6"/>
    <w:rsid w:val="00200818"/>
    <w:rsid w:val="00200869"/>
    <w:rsid w:val="0020131B"/>
    <w:rsid w:val="00201789"/>
    <w:rsid w:val="00201AFA"/>
    <w:rsid w:val="00201DB1"/>
    <w:rsid w:val="00201F89"/>
    <w:rsid w:val="00201FDF"/>
    <w:rsid w:val="0020230B"/>
    <w:rsid w:val="0020242B"/>
    <w:rsid w:val="00202446"/>
    <w:rsid w:val="002024A7"/>
    <w:rsid w:val="0020252D"/>
    <w:rsid w:val="002025A8"/>
    <w:rsid w:val="0020319A"/>
    <w:rsid w:val="00203273"/>
    <w:rsid w:val="00203376"/>
    <w:rsid w:val="002033F9"/>
    <w:rsid w:val="002034C2"/>
    <w:rsid w:val="00203585"/>
    <w:rsid w:val="00203777"/>
    <w:rsid w:val="002037B7"/>
    <w:rsid w:val="00203A38"/>
    <w:rsid w:val="00203A95"/>
    <w:rsid w:val="00203ADE"/>
    <w:rsid w:val="00203DEC"/>
    <w:rsid w:val="00203E3C"/>
    <w:rsid w:val="00203E93"/>
    <w:rsid w:val="00203F3E"/>
    <w:rsid w:val="002041E2"/>
    <w:rsid w:val="002044EE"/>
    <w:rsid w:val="002045DA"/>
    <w:rsid w:val="00204880"/>
    <w:rsid w:val="00204C78"/>
    <w:rsid w:val="00204D95"/>
    <w:rsid w:val="00204ED8"/>
    <w:rsid w:val="00204F8B"/>
    <w:rsid w:val="002050C2"/>
    <w:rsid w:val="0020552C"/>
    <w:rsid w:val="0020580C"/>
    <w:rsid w:val="0020594C"/>
    <w:rsid w:val="00205A1E"/>
    <w:rsid w:val="00205A45"/>
    <w:rsid w:val="00205ACB"/>
    <w:rsid w:val="0020602B"/>
    <w:rsid w:val="002061D7"/>
    <w:rsid w:val="0020624B"/>
    <w:rsid w:val="00206454"/>
    <w:rsid w:val="00206958"/>
    <w:rsid w:val="002069E6"/>
    <w:rsid w:val="00206C00"/>
    <w:rsid w:val="00206CE4"/>
    <w:rsid w:val="00206D31"/>
    <w:rsid w:val="00206DC9"/>
    <w:rsid w:val="00207067"/>
    <w:rsid w:val="002073F5"/>
    <w:rsid w:val="00207488"/>
    <w:rsid w:val="002075D5"/>
    <w:rsid w:val="002079AE"/>
    <w:rsid w:val="00210254"/>
    <w:rsid w:val="002104F1"/>
    <w:rsid w:val="00210645"/>
    <w:rsid w:val="002106C8"/>
    <w:rsid w:val="00210757"/>
    <w:rsid w:val="002109BA"/>
    <w:rsid w:val="00210A18"/>
    <w:rsid w:val="00210AEC"/>
    <w:rsid w:val="0021140A"/>
    <w:rsid w:val="00211414"/>
    <w:rsid w:val="0021149B"/>
    <w:rsid w:val="00211837"/>
    <w:rsid w:val="002119D5"/>
    <w:rsid w:val="00211F71"/>
    <w:rsid w:val="00212065"/>
    <w:rsid w:val="0021250D"/>
    <w:rsid w:val="002125F7"/>
    <w:rsid w:val="002127BA"/>
    <w:rsid w:val="00212836"/>
    <w:rsid w:val="0021296A"/>
    <w:rsid w:val="00212C38"/>
    <w:rsid w:val="00212DF0"/>
    <w:rsid w:val="002131B3"/>
    <w:rsid w:val="0021350D"/>
    <w:rsid w:val="002135DF"/>
    <w:rsid w:val="002139B1"/>
    <w:rsid w:val="00213EEE"/>
    <w:rsid w:val="00213F32"/>
    <w:rsid w:val="002140E8"/>
    <w:rsid w:val="0021440C"/>
    <w:rsid w:val="002145BA"/>
    <w:rsid w:val="00214D12"/>
    <w:rsid w:val="00214DB0"/>
    <w:rsid w:val="00214EEA"/>
    <w:rsid w:val="00215025"/>
    <w:rsid w:val="002152EA"/>
    <w:rsid w:val="00215684"/>
    <w:rsid w:val="00215766"/>
    <w:rsid w:val="002158FE"/>
    <w:rsid w:val="00215BCB"/>
    <w:rsid w:val="00215BEB"/>
    <w:rsid w:val="00215D9F"/>
    <w:rsid w:val="00215E29"/>
    <w:rsid w:val="00216267"/>
    <w:rsid w:val="00216314"/>
    <w:rsid w:val="002163A7"/>
    <w:rsid w:val="002163D5"/>
    <w:rsid w:val="00216519"/>
    <w:rsid w:val="0021658F"/>
    <w:rsid w:val="0021695A"/>
    <w:rsid w:val="00216D80"/>
    <w:rsid w:val="00217203"/>
    <w:rsid w:val="002176D0"/>
    <w:rsid w:val="00217D22"/>
    <w:rsid w:val="00217D99"/>
    <w:rsid w:val="00217E0B"/>
    <w:rsid w:val="00220200"/>
    <w:rsid w:val="002202CA"/>
    <w:rsid w:val="00220345"/>
    <w:rsid w:val="0022072B"/>
    <w:rsid w:val="00220855"/>
    <w:rsid w:val="00220860"/>
    <w:rsid w:val="00220905"/>
    <w:rsid w:val="00220957"/>
    <w:rsid w:val="00221113"/>
    <w:rsid w:val="002211C0"/>
    <w:rsid w:val="002214BF"/>
    <w:rsid w:val="002214FB"/>
    <w:rsid w:val="00221668"/>
    <w:rsid w:val="002216EA"/>
    <w:rsid w:val="002217E2"/>
    <w:rsid w:val="0022183B"/>
    <w:rsid w:val="00221E3F"/>
    <w:rsid w:val="0022208C"/>
    <w:rsid w:val="00222099"/>
    <w:rsid w:val="002221BA"/>
    <w:rsid w:val="00222219"/>
    <w:rsid w:val="00222333"/>
    <w:rsid w:val="00222473"/>
    <w:rsid w:val="0022250D"/>
    <w:rsid w:val="00222881"/>
    <w:rsid w:val="002228D1"/>
    <w:rsid w:val="00222B1E"/>
    <w:rsid w:val="00222D7B"/>
    <w:rsid w:val="00222FF5"/>
    <w:rsid w:val="00223074"/>
    <w:rsid w:val="00223257"/>
    <w:rsid w:val="002233DC"/>
    <w:rsid w:val="0022359D"/>
    <w:rsid w:val="00223776"/>
    <w:rsid w:val="002239B2"/>
    <w:rsid w:val="00223BA9"/>
    <w:rsid w:val="00224023"/>
    <w:rsid w:val="00224089"/>
    <w:rsid w:val="002241BC"/>
    <w:rsid w:val="00224354"/>
    <w:rsid w:val="00224627"/>
    <w:rsid w:val="002246ED"/>
    <w:rsid w:val="00224CDA"/>
    <w:rsid w:val="00224CEB"/>
    <w:rsid w:val="00224D6B"/>
    <w:rsid w:val="00224F16"/>
    <w:rsid w:val="00225079"/>
    <w:rsid w:val="0022558C"/>
    <w:rsid w:val="002256E5"/>
    <w:rsid w:val="002259F0"/>
    <w:rsid w:val="00225BC9"/>
    <w:rsid w:val="00225CAF"/>
    <w:rsid w:val="00225E64"/>
    <w:rsid w:val="00225EA6"/>
    <w:rsid w:val="00225F5E"/>
    <w:rsid w:val="00225F5F"/>
    <w:rsid w:val="002265AB"/>
    <w:rsid w:val="00226751"/>
    <w:rsid w:val="00226835"/>
    <w:rsid w:val="00226A0E"/>
    <w:rsid w:val="00226C27"/>
    <w:rsid w:val="00226CB3"/>
    <w:rsid w:val="00226FBF"/>
    <w:rsid w:val="00226FD5"/>
    <w:rsid w:val="00227000"/>
    <w:rsid w:val="00227096"/>
    <w:rsid w:val="002271C0"/>
    <w:rsid w:val="00227487"/>
    <w:rsid w:val="00227556"/>
    <w:rsid w:val="002275D2"/>
    <w:rsid w:val="002276FC"/>
    <w:rsid w:val="0022784C"/>
    <w:rsid w:val="00227CC0"/>
    <w:rsid w:val="00227E7C"/>
    <w:rsid w:val="00230181"/>
    <w:rsid w:val="002301C7"/>
    <w:rsid w:val="0023023D"/>
    <w:rsid w:val="00230274"/>
    <w:rsid w:val="00230349"/>
    <w:rsid w:val="00230394"/>
    <w:rsid w:val="0023074C"/>
    <w:rsid w:val="00230B6F"/>
    <w:rsid w:val="00230C30"/>
    <w:rsid w:val="00230CF0"/>
    <w:rsid w:val="00230D7E"/>
    <w:rsid w:val="00230E84"/>
    <w:rsid w:val="00230F16"/>
    <w:rsid w:val="00231007"/>
    <w:rsid w:val="00231392"/>
    <w:rsid w:val="0023152E"/>
    <w:rsid w:val="00231BC8"/>
    <w:rsid w:val="00231BF7"/>
    <w:rsid w:val="00231D26"/>
    <w:rsid w:val="00231D9C"/>
    <w:rsid w:val="002321A3"/>
    <w:rsid w:val="0023282A"/>
    <w:rsid w:val="00232907"/>
    <w:rsid w:val="00232A4C"/>
    <w:rsid w:val="00232BE0"/>
    <w:rsid w:val="00232CAD"/>
    <w:rsid w:val="00232D2D"/>
    <w:rsid w:val="00232EDF"/>
    <w:rsid w:val="00232F86"/>
    <w:rsid w:val="002332D1"/>
    <w:rsid w:val="002335BE"/>
    <w:rsid w:val="00233604"/>
    <w:rsid w:val="0023368A"/>
    <w:rsid w:val="00233782"/>
    <w:rsid w:val="00233ABE"/>
    <w:rsid w:val="00233AFE"/>
    <w:rsid w:val="00233C10"/>
    <w:rsid w:val="00233CA8"/>
    <w:rsid w:val="00233D30"/>
    <w:rsid w:val="00233DBA"/>
    <w:rsid w:val="00233DD0"/>
    <w:rsid w:val="00233E60"/>
    <w:rsid w:val="0023462A"/>
    <w:rsid w:val="00234668"/>
    <w:rsid w:val="0023466E"/>
    <w:rsid w:val="0023492D"/>
    <w:rsid w:val="002350C4"/>
    <w:rsid w:val="002351C7"/>
    <w:rsid w:val="002354E3"/>
    <w:rsid w:val="002357ED"/>
    <w:rsid w:val="00235B52"/>
    <w:rsid w:val="00235C4C"/>
    <w:rsid w:val="00235D1C"/>
    <w:rsid w:val="00235D7F"/>
    <w:rsid w:val="00235E36"/>
    <w:rsid w:val="00236195"/>
    <w:rsid w:val="00236266"/>
    <w:rsid w:val="0023631E"/>
    <w:rsid w:val="00236348"/>
    <w:rsid w:val="00236446"/>
    <w:rsid w:val="002365FE"/>
    <w:rsid w:val="00236D2C"/>
    <w:rsid w:val="00236DDF"/>
    <w:rsid w:val="00236F93"/>
    <w:rsid w:val="00236FDB"/>
    <w:rsid w:val="00237129"/>
    <w:rsid w:val="00237199"/>
    <w:rsid w:val="00237384"/>
    <w:rsid w:val="00237889"/>
    <w:rsid w:val="002379E0"/>
    <w:rsid w:val="00237C0B"/>
    <w:rsid w:val="00237EDC"/>
    <w:rsid w:val="0024003C"/>
    <w:rsid w:val="002400FD"/>
    <w:rsid w:val="0024010A"/>
    <w:rsid w:val="00240418"/>
    <w:rsid w:val="002405E0"/>
    <w:rsid w:val="00240A10"/>
    <w:rsid w:val="00240B19"/>
    <w:rsid w:val="00240EBB"/>
    <w:rsid w:val="00240EC9"/>
    <w:rsid w:val="0024119A"/>
    <w:rsid w:val="002413E6"/>
    <w:rsid w:val="00241717"/>
    <w:rsid w:val="0024197D"/>
    <w:rsid w:val="00241A87"/>
    <w:rsid w:val="00241B40"/>
    <w:rsid w:val="00241B86"/>
    <w:rsid w:val="00241BF0"/>
    <w:rsid w:val="00241DF8"/>
    <w:rsid w:val="00241F9B"/>
    <w:rsid w:val="00242366"/>
    <w:rsid w:val="002423EF"/>
    <w:rsid w:val="0024249C"/>
    <w:rsid w:val="00242539"/>
    <w:rsid w:val="00242619"/>
    <w:rsid w:val="00242655"/>
    <w:rsid w:val="00242687"/>
    <w:rsid w:val="002428FD"/>
    <w:rsid w:val="00242C9D"/>
    <w:rsid w:val="00242DC8"/>
    <w:rsid w:val="0024315A"/>
    <w:rsid w:val="002433DD"/>
    <w:rsid w:val="0024349B"/>
    <w:rsid w:val="00243613"/>
    <w:rsid w:val="002436B7"/>
    <w:rsid w:val="00243E0C"/>
    <w:rsid w:val="002444F2"/>
    <w:rsid w:val="002446E1"/>
    <w:rsid w:val="0024490C"/>
    <w:rsid w:val="00244B74"/>
    <w:rsid w:val="00244C0C"/>
    <w:rsid w:val="00244DC5"/>
    <w:rsid w:val="00244FF0"/>
    <w:rsid w:val="00245354"/>
    <w:rsid w:val="00245438"/>
    <w:rsid w:val="0024556F"/>
    <w:rsid w:val="002455DF"/>
    <w:rsid w:val="00245875"/>
    <w:rsid w:val="002459EE"/>
    <w:rsid w:val="00245BAA"/>
    <w:rsid w:val="00245E57"/>
    <w:rsid w:val="00245EA7"/>
    <w:rsid w:val="00245F47"/>
    <w:rsid w:val="00245FA6"/>
    <w:rsid w:val="002460F7"/>
    <w:rsid w:val="00246189"/>
    <w:rsid w:val="002461E0"/>
    <w:rsid w:val="00246313"/>
    <w:rsid w:val="002463EC"/>
    <w:rsid w:val="0024651D"/>
    <w:rsid w:val="002466D8"/>
    <w:rsid w:val="00246AE6"/>
    <w:rsid w:val="00246BCF"/>
    <w:rsid w:val="00246CA5"/>
    <w:rsid w:val="00246CB7"/>
    <w:rsid w:val="00246DC4"/>
    <w:rsid w:val="00246E84"/>
    <w:rsid w:val="00246EA6"/>
    <w:rsid w:val="00247212"/>
    <w:rsid w:val="00247960"/>
    <w:rsid w:val="00247D96"/>
    <w:rsid w:val="00247F44"/>
    <w:rsid w:val="002505BB"/>
    <w:rsid w:val="00250838"/>
    <w:rsid w:val="00250B3D"/>
    <w:rsid w:val="00250B66"/>
    <w:rsid w:val="00251086"/>
    <w:rsid w:val="0025130B"/>
    <w:rsid w:val="002513ED"/>
    <w:rsid w:val="002515A5"/>
    <w:rsid w:val="00251742"/>
    <w:rsid w:val="00251A0E"/>
    <w:rsid w:val="00251B3C"/>
    <w:rsid w:val="00251C28"/>
    <w:rsid w:val="00251EA3"/>
    <w:rsid w:val="0025212C"/>
    <w:rsid w:val="002522DD"/>
    <w:rsid w:val="002523B2"/>
    <w:rsid w:val="002523DB"/>
    <w:rsid w:val="0025249C"/>
    <w:rsid w:val="0025275C"/>
    <w:rsid w:val="00252941"/>
    <w:rsid w:val="00252B31"/>
    <w:rsid w:val="00252B33"/>
    <w:rsid w:val="00252BC1"/>
    <w:rsid w:val="00252BE9"/>
    <w:rsid w:val="00252D59"/>
    <w:rsid w:val="00252D9A"/>
    <w:rsid w:val="00252DFB"/>
    <w:rsid w:val="00252F6C"/>
    <w:rsid w:val="00252FF0"/>
    <w:rsid w:val="0025311F"/>
    <w:rsid w:val="0025317E"/>
    <w:rsid w:val="00253605"/>
    <w:rsid w:val="00253681"/>
    <w:rsid w:val="0025380E"/>
    <w:rsid w:val="00253C24"/>
    <w:rsid w:val="00253EA4"/>
    <w:rsid w:val="0025422B"/>
    <w:rsid w:val="00254579"/>
    <w:rsid w:val="00254893"/>
    <w:rsid w:val="00254B41"/>
    <w:rsid w:val="00254D8D"/>
    <w:rsid w:val="00254DD6"/>
    <w:rsid w:val="00254E2D"/>
    <w:rsid w:val="00254F55"/>
    <w:rsid w:val="0025510E"/>
    <w:rsid w:val="00255179"/>
    <w:rsid w:val="00255808"/>
    <w:rsid w:val="0025584C"/>
    <w:rsid w:val="00255A8E"/>
    <w:rsid w:val="00255CC1"/>
    <w:rsid w:val="00255D1B"/>
    <w:rsid w:val="00255FA7"/>
    <w:rsid w:val="00255FD6"/>
    <w:rsid w:val="0025609E"/>
    <w:rsid w:val="00256692"/>
    <w:rsid w:val="002566E2"/>
    <w:rsid w:val="00256A84"/>
    <w:rsid w:val="00256BA8"/>
    <w:rsid w:val="00256BEE"/>
    <w:rsid w:val="00256C24"/>
    <w:rsid w:val="00256C4F"/>
    <w:rsid w:val="00256D52"/>
    <w:rsid w:val="00256DBA"/>
    <w:rsid w:val="00256F8E"/>
    <w:rsid w:val="00256F91"/>
    <w:rsid w:val="00257107"/>
    <w:rsid w:val="00257351"/>
    <w:rsid w:val="00257367"/>
    <w:rsid w:val="002575D3"/>
    <w:rsid w:val="0025764B"/>
    <w:rsid w:val="00257705"/>
    <w:rsid w:val="0025770C"/>
    <w:rsid w:val="00257738"/>
    <w:rsid w:val="00257768"/>
    <w:rsid w:val="002578D2"/>
    <w:rsid w:val="002578E8"/>
    <w:rsid w:val="0025794B"/>
    <w:rsid w:val="00257C84"/>
    <w:rsid w:val="00257F44"/>
    <w:rsid w:val="00257F69"/>
    <w:rsid w:val="00260247"/>
    <w:rsid w:val="00260429"/>
    <w:rsid w:val="002606FA"/>
    <w:rsid w:val="002607A0"/>
    <w:rsid w:val="0026085B"/>
    <w:rsid w:val="00260953"/>
    <w:rsid w:val="00260AF9"/>
    <w:rsid w:val="00260C35"/>
    <w:rsid w:val="00261259"/>
    <w:rsid w:val="00261298"/>
    <w:rsid w:val="00261419"/>
    <w:rsid w:val="002615DF"/>
    <w:rsid w:val="00261875"/>
    <w:rsid w:val="00261BB4"/>
    <w:rsid w:val="00262002"/>
    <w:rsid w:val="002620C7"/>
    <w:rsid w:val="00262159"/>
    <w:rsid w:val="002621B3"/>
    <w:rsid w:val="0026229E"/>
    <w:rsid w:val="002624B9"/>
    <w:rsid w:val="002624E2"/>
    <w:rsid w:val="00262559"/>
    <w:rsid w:val="0026256D"/>
    <w:rsid w:val="0026288E"/>
    <w:rsid w:val="0026297B"/>
    <w:rsid w:val="00262D97"/>
    <w:rsid w:val="00263119"/>
    <w:rsid w:val="0026314A"/>
    <w:rsid w:val="002632AE"/>
    <w:rsid w:val="00263582"/>
    <w:rsid w:val="00263732"/>
    <w:rsid w:val="00263ABE"/>
    <w:rsid w:val="00263F4C"/>
    <w:rsid w:val="00264066"/>
    <w:rsid w:val="002641D1"/>
    <w:rsid w:val="00264200"/>
    <w:rsid w:val="00264326"/>
    <w:rsid w:val="002649C8"/>
    <w:rsid w:val="00264D48"/>
    <w:rsid w:val="00264FD5"/>
    <w:rsid w:val="0026532E"/>
    <w:rsid w:val="002654DC"/>
    <w:rsid w:val="00265534"/>
    <w:rsid w:val="00265939"/>
    <w:rsid w:val="002659CE"/>
    <w:rsid w:val="00265A28"/>
    <w:rsid w:val="00265ADA"/>
    <w:rsid w:val="00266854"/>
    <w:rsid w:val="0026690E"/>
    <w:rsid w:val="00266946"/>
    <w:rsid w:val="00266995"/>
    <w:rsid w:val="002669BA"/>
    <w:rsid w:val="00266A56"/>
    <w:rsid w:val="00266DBA"/>
    <w:rsid w:val="00266E1A"/>
    <w:rsid w:val="00266E86"/>
    <w:rsid w:val="00267059"/>
    <w:rsid w:val="00267612"/>
    <w:rsid w:val="002677BA"/>
    <w:rsid w:val="00267C9B"/>
    <w:rsid w:val="00267D37"/>
    <w:rsid w:val="002700B4"/>
    <w:rsid w:val="002701FF"/>
    <w:rsid w:val="00270328"/>
    <w:rsid w:val="0027035C"/>
    <w:rsid w:val="00270520"/>
    <w:rsid w:val="00270551"/>
    <w:rsid w:val="00270636"/>
    <w:rsid w:val="0027086D"/>
    <w:rsid w:val="00270B39"/>
    <w:rsid w:val="00270BA4"/>
    <w:rsid w:val="00270C55"/>
    <w:rsid w:val="00270F52"/>
    <w:rsid w:val="00270FB3"/>
    <w:rsid w:val="0027102A"/>
    <w:rsid w:val="0027115E"/>
    <w:rsid w:val="0027173F"/>
    <w:rsid w:val="002719D2"/>
    <w:rsid w:val="00271B85"/>
    <w:rsid w:val="00271E5D"/>
    <w:rsid w:val="002725F3"/>
    <w:rsid w:val="0027272A"/>
    <w:rsid w:val="002729D3"/>
    <w:rsid w:val="00272A7C"/>
    <w:rsid w:val="00272CC3"/>
    <w:rsid w:val="00273047"/>
    <w:rsid w:val="0027316E"/>
    <w:rsid w:val="00273180"/>
    <w:rsid w:val="0027327B"/>
    <w:rsid w:val="0027340B"/>
    <w:rsid w:val="0027343F"/>
    <w:rsid w:val="0027354A"/>
    <w:rsid w:val="002735FD"/>
    <w:rsid w:val="0027407A"/>
    <w:rsid w:val="002748A5"/>
    <w:rsid w:val="002749CF"/>
    <w:rsid w:val="00274BA0"/>
    <w:rsid w:val="00274C91"/>
    <w:rsid w:val="00274D83"/>
    <w:rsid w:val="00274F5F"/>
    <w:rsid w:val="00275013"/>
    <w:rsid w:val="00275172"/>
    <w:rsid w:val="002753FA"/>
    <w:rsid w:val="00275429"/>
    <w:rsid w:val="002755AC"/>
    <w:rsid w:val="00275785"/>
    <w:rsid w:val="002757E5"/>
    <w:rsid w:val="00275B0C"/>
    <w:rsid w:val="00275CAE"/>
    <w:rsid w:val="00275EF7"/>
    <w:rsid w:val="00275F56"/>
    <w:rsid w:val="00275FC2"/>
    <w:rsid w:val="00276252"/>
    <w:rsid w:val="0027626A"/>
    <w:rsid w:val="00276502"/>
    <w:rsid w:val="0027652A"/>
    <w:rsid w:val="00276B25"/>
    <w:rsid w:val="00276B46"/>
    <w:rsid w:val="00276C10"/>
    <w:rsid w:val="00276D20"/>
    <w:rsid w:val="0027701B"/>
    <w:rsid w:val="00277111"/>
    <w:rsid w:val="00277392"/>
    <w:rsid w:val="00277649"/>
    <w:rsid w:val="00277751"/>
    <w:rsid w:val="002778A3"/>
    <w:rsid w:val="00277903"/>
    <w:rsid w:val="002779DC"/>
    <w:rsid w:val="002779E7"/>
    <w:rsid w:val="00277BE5"/>
    <w:rsid w:val="00280405"/>
    <w:rsid w:val="00280524"/>
    <w:rsid w:val="0028065E"/>
    <w:rsid w:val="00280A9D"/>
    <w:rsid w:val="00280C26"/>
    <w:rsid w:val="00280C9D"/>
    <w:rsid w:val="00280CE4"/>
    <w:rsid w:val="00280FF0"/>
    <w:rsid w:val="00281400"/>
    <w:rsid w:val="00281451"/>
    <w:rsid w:val="002814DC"/>
    <w:rsid w:val="00281654"/>
    <w:rsid w:val="00282305"/>
    <w:rsid w:val="00282308"/>
    <w:rsid w:val="0028231B"/>
    <w:rsid w:val="002824A9"/>
    <w:rsid w:val="0028268F"/>
    <w:rsid w:val="002828C0"/>
    <w:rsid w:val="00282B85"/>
    <w:rsid w:val="00282D36"/>
    <w:rsid w:val="00282D53"/>
    <w:rsid w:val="00282FCC"/>
    <w:rsid w:val="00283209"/>
    <w:rsid w:val="002833A0"/>
    <w:rsid w:val="002835AD"/>
    <w:rsid w:val="00283D0A"/>
    <w:rsid w:val="00283FB0"/>
    <w:rsid w:val="00284010"/>
    <w:rsid w:val="00284189"/>
    <w:rsid w:val="00284558"/>
    <w:rsid w:val="00284660"/>
    <w:rsid w:val="002848BA"/>
    <w:rsid w:val="0028497F"/>
    <w:rsid w:val="00284A2F"/>
    <w:rsid w:val="00284ADE"/>
    <w:rsid w:val="00284BD5"/>
    <w:rsid w:val="00284E3D"/>
    <w:rsid w:val="00284EC7"/>
    <w:rsid w:val="00285308"/>
    <w:rsid w:val="0028562A"/>
    <w:rsid w:val="002856D2"/>
    <w:rsid w:val="002859EF"/>
    <w:rsid w:val="00285BD3"/>
    <w:rsid w:val="00285CAA"/>
    <w:rsid w:val="00286230"/>
    <w:rsid w:val="00286653"/>
    <w:rsid w:val="0028686D"/>
    <w:rsid w:val="002868AE"/>
    <w:rsid w:val="00286DB6"/>
    <w:rsid w:val="00286E94"/>
    <w:rsid w:val="0028710F"/>
    <w:rsid w:val="002871F6"/>
    <w:rsid w:val="00287639"/>
    <w:rsid w:val="002877AA"/>
    <w:rsid w:val="00287955"/>
    <w:rsid w:val="00290229"/>
    <w:rsid w:val="0029058B"/>
    <w:rsid w:val="002909CF"/>
    <w:rsid w:val="00290A3D"/>
    <w:rsid w:val="00290C30"/>
    <w:rsid w:val="00290C38"/>
    <w:rsid w:val="00290CBA"/>
    <w:rsid w:val="00290E1C"/>
    <w:rsid w:val="002911A5"/>
    <w:rsid w:val="0029126A"/>
    <w:rsid w:val="0029127D"/>
    <w:rsid w:val="0029129A"/>
    <w:rsid w:val="002915CD"/>
    <w:rsid w:val="002918AC"/>
    <w:rsid w:val="00291925"/>
    <w:rsid w:val="002919F5"/>
    <w:rsid w:val="00291EB6"/>
    <w:rsid w:val="002920B9"/>
    <w:rsid w:val="002920F0"/>
    <w:rsid w:val="00292192"/>
    <w:rsid w:val="0029221C"/>
    <w:rsid w:val="00292445"/>
    <w:rsid w:val="00292464"/>
    <w:rsid w:val="00292512"/>
    <w:rsid w:val="00292550"/>
    <w:rsid w:val="002925C2"/>
    <w:rsid w:val="00292843"/>
    <w:rsid w:val="002928EB"/>
    <w:rsid w:val="00292993"/>
    <w:rsid w:val="00292A9D"/>
    <w:rsid w:val="00292D33"/>
    <w:rsid w:val="00293170"/>
    <w:rsid w:val="002936AE"/>
    <w:rsid w:val="00294074"/>
    <w:rsid w:val="0029428B"/>
    <w:rsid w:val="002942BA"/>
    <w:rsid w:val="00294322"/>
    <w:rsid w:val="002943A0"/>
    <w:rsid w:val="00294606"/>
    <w:rsid w:val="0029490C"/>
    <w:rsid w:val="002949AE"/>
    <w:rsid w:val="00295004"/>
    <w:rsid w:val="002956E2"/>
    <w:rsid w:val="002957C7"/>
    <w:rsid w:val="00295A60"/>
    <w:rsid w:val="00295BF5"/>
    <w:rsid w:val="00295D21"/>
    <w:rsid w:val="00295E25"/>
    <w:rsid w:val="00295EF6"/>
    <w:rsid w:val="0029600A"/>
    <w:rsid w:val="002962DF"/>
    <w:rsid w:val="0029640C"/>
    <w:rsid w:val="00296452"/>
    <w:rsid w:val="002965C3"/>
    <w:rsid w:val="00296676"/>
    <w:rsid w:val="002969EC"/>
    <w:rsid w:val="00296A39"/>
    <w:rsid w:val="00296E0D"/>
    <w:rsid w:val="00296F08"/>
    <w:rsid w:val="00296F7E"/>
    <w:rsid w:val="00296FBE"/>
    <w:rsid w:val="00297090"/>
    <w:rsid w:val="002971A6"/>
    <w:rsid w:val="0029735E"/>
    <w:rsid w:val="002973B5"/>
    <w:rsid w:val="0029744A"/>
    <w:rsid w:val="00297702"/>
    <w:rsid w:val="00297712"/>
    <w:rsid w:val="00297928"/>
    <w:rsid w:val="00297A10"/>
    <w:rsid w:val="002A0004"/>
    <w:rsid w:val="002A004C"/>
    <w:rsid w:val="002A00A2"/>
    <w:rsid w:val="002A0153"/>
    <w:rsid w:val="002A01F5"/>
    <w:rsid w:val="002A0402"/>
    <w:rsid w:val="002A0704"/>
    <w:rsid w:val="002A08BA"/>
    <w:rsid w:val="002A097B"/>
    <w:rsid w:val="002A0A22"/>
    <w:rsid w:val="002A0B36"/>
    <w:rsid w:val="002A102E"/>
    <w:rsid w:val="002A13B3"/>
    <w:rsid w:val="002A1681"/>
    <w:rsid w:val="002A170A"/>
    <w:rsid w:val="002A171A"/>
    <w:rsid w:val="002A1A60"/>
    <w:rsid w:val="002A1C1C"/>
    <w:rsid w:val="002A1FC5"/>
    <w:rsid w:val="002A234D"/>
    <w:rsid w:val="002A2670"/>
    <w:rsid w:val="002A270D"/>
    <w:rsid w:val="002A273E"/>
    <w:rsid w:val="002A2B66"/>
    <w:rsid w:val="002A2B8A"/>
    <w:rsid w:val="002A2BCA"/>
    <w:rsid w:val="002A2D56"/>
    <w:rsid w:val="002A2EFA"/>
    <w:rsid w:val="002A2FBD"/>
    <w:rsid w:val="002A2FD6"/>
    <w:rsid w:val="002A30E4"/>
    <w:rsid w:val="002A352E"/>
    <w:rsid w:val="002A3549"/>
    <w:rsid w:val="002A354D"/>
    <w:rsid w:val="002A37B8"/>
    <w:rsid w:val="002A385B"/>
    <w:rsid w:val="002A3ACB"/>
    <w:rsid w:val="002A3C56"/>
    <w:rsid w:val="002A3DF1"/>
    <w:rsid w:val="002A3E03"/>
    <w:rsid w:val="002A413F"/>
    <w:rsid w:val="002A4E65"/>
    <w:rsid w:val="002A4E9C"/>
    <w:rsid w:val="002A5102"/>
    <w:rsid w:val="002A5339"/>
    <w:rsid w:val="002A5692"/>
    <w:rsid w:val="002A56E4"/>
    <w:rsid w:val="002A599C"/>
    <w:rsid w:val="002A5A18"/>
    <w:rsid w:val="002A5E17"/>
    <w:rsid w:val="002A5E64"/>
    <w:rsid w:val="002A606E"/>
    <w:rsid w:val="002A61CB"/>
    <w:rsid w:val="002A66AC"/>
    <w:rsid w:val="002A68A9"/>
    <w:rsid w:val="002A6B9C"/>
    <w:rsid w:val="002A6D30"/>
    <w:rsid w:val="002A706B"/>
    <w:rsid w:val="002A7218"/>
    <w:rsid w:val="002A7303"/>
    <w:rsid w:val="002A7438"/>
    <w:rsid w:val="002A74D8"/>
    <w:rsid w:val="002A772A"/>
    <w:rsid w:val="002A787F"/>
    <w:rsid w:val="002A7A78"/>
    <w:rsid w:val="002A7C50"/>
    <w:rsid w:val="002A7EA1"/>
    <w:rsid w:val="002A7EAA"/>
    <w:rsid w:val="002A7F15"/>
    <w:rsid w:val="002A7F70"/>
    <w:rsid w:val="002B013D"/>
    <w:rsid w:val="002B01D9"/>
    <w:rsid w:val="002B02A1"/>
    <w:rsid w:val="002B03ED"/>
    <w:rsid w:val="002B044F"/>
    <w:rsid w:val="002B0523"/>
    <w:rsid w:val="002B0576"/>
    <w:rsid w:val="002B05B1"/>
    <w:rsid w:val="002B1060"/>
    <w:rsid w:val="002B1123"/>
    <w:rsid w:val="002B13F7"/>
    <w:rsid w:val="002B1823"/>
    <w:rsid w:val="002B19F3"/>
    <w:rsid w:val="002B1AD7"/>
    <w:rsid w:val="002B1B3C"/>
    <w:rsid w:val="002B1BDB"/>
    <w:rsid w:val="002B1C46"/>
    <w:rsid w:val="002B1F51"/>
    <w:rsid w:val="002B203D"/>
    <w:rsid w:val="002B20F8"/>
    <w:rsid w:val="002B2259"/>
    <w:rsid w:val="002B272F"/>
    <w:rsid w:val="002B292F"/>
    <w:rsid w:val="002B2967"/>
    <w:rsid w:val="002B2E5C"/>
    <w:rsid w:val="002B2ED3"/>
    <w:rsid w:val="002B31AD"/>
    <w:rsid w:val="002B32C8"/>
    <w:rsid w:val="002B33E0"/>
    <w:rsid w:val="002B3519"/>
    <w:rsid w:val="002B351A"/>
    <w:rsid w:val="002B3898"/>
    <w:rsid w:val="002B409C"/>
    <w:rsid w:val="002B40AF"/>
    <w:rsid w:val="002B41A8"/>
    <w:rsid w:val="002B420D"/>
    <w:rsid w:val="002B4256"/>
    <w:rsid w:val="002B443C"/>
    <w:rsid w:val="002B449A"/>
    <w:rsid w:val="002B499B"/>
    <w:rsid w:val="002B4A5A"/>
    <w:rsid w:val="002B4B13"/>
    <w:rsid w:val="002B4B79"/>
    <w:rsid w:val="002B4C8E"/>
    <w:rsid w:val="002B4DED"/>
    <w:rsid w:val="002B5363"/>
    <w:rsid w:val="002B559B"/>
    <w:rsid w:val="002B55D8"/>
    <w:rsid w:val="002B56A4"/>
    <w:rsid w:val="002B577C"/>
    <w:rsid w:val="002B5A61"/>
    <w:rsid w:val="002B5C6B"/>
    <w:rsid w:val="002B5E31"/>
    <w:rsid w:val="002B61B0"/>
    <w:rsid w:val="002B633D"/>
    <w:rsid w:val="002B633E"/>
    <w:rsid w:val="002B65A9"/>
    <w:rsid w:val="002B6B52"/>
    <w:rsid w:val="002B6F74"/>
    <w:rsid w:val="002B701F"/>
    <w:rsid w:val="002B7453"/>
    <w:rsid w:val="002B7C5D"/>
    <w:rsid w:val="002B7CB1"/>
    <w:rsid w:val="002B7F3C"/>
    <w:rsid w:val="002C00E9"/>
    <w:rsid w:val="002C020C"/>
    <w:rsid w:val="002C0348"/>
    <w:rsid w:val="002C0623"/>
    <w:rsid w:val="002C0C2C"/>
    <w:rsid w:val="002C0E39"/>
    <w:rsid w:val="002C1009"/>
    <w:rsid w:val="002C1093"/>
    <w:rsid w:val="002C133C"/>
    <w:rsid w:val="002C13AB"/>
    <w:rsid w:val="002C13EB"/>
    <w:rsid w:val="002C1436"/>
    <w:rsid w:val="002C14D8"/>
    <w:rsid w:val="002C180D"/>
    <w:rsid w:val="002C1C92"/>
    <w:rsid w:val="002C2101"/>
    <w:rsid w:val="002C24EA"/>
    <w:rsid w:val="002C2577"/>
    <w:rsid w:val="002C2793"/>
    <w:rsid w:val="002C29C0"/>
    <w:rsid w:val="002C29FF"/>
    <w:rsid w:val="002C2A45"/>
    <w:rsid w:val="002C2A6B"/>
    <w:rsid w:val="002C2D1B"/>
    <w:rsid w:val="002C399E"/>
    <w:rsid w:val="002C3A29"/>
    <w:rsid w:val="002C3D60"/>
    <w:rsid w:val="002C3FEB"/>
    <w:rsid w:val="002C4732"/>
    <w:rsid w:val="002C4E44"/>
    <w:rsid w:val="002C566A"/>
    <w:rsid w:val="002C5A88"/>
    <w:rsid w:val="002C5B4F"/>
    <w:rsid w:val="002C5B75"/>
    <w:rsid w:val="002C5DC5"/>
    <w:rsid w:val="002C5F99"/>
    <w:rsid w:val="002C620C"/>
    <w:rsid w:val="002C690B"/>
    <w:rsid w:val="002C6946"/>
    <w:rsid w:val="002C6B14"/>
    <w:rsid w:val="002C6E43"/>
    <w:rsid w:val="002C6E5E"/>
    <w:rsid w:val="002C6EC3"/>
    <w:rsid w:val="002C6F8C"/>
    <w:rsid w:val="002C6FD1"/>
    <w:rsid w:val="002C7229"/>
    <w:rsid w:val="002C73C6"/>
    <w:rsid w:val="002C7552"/>
    <w:rsid w:val="002C7A51"/>
    <w:rsid w:val="002C7F6D"/>
    <w:rsid w:val="002D0160"/>
    <w:rsid w:val="002D023C"/>
    <w:rsid w:val="002D0F72"/>
    <w:rsid w:val="002D0FC3"/>
    <w:rsid w:val="002D127D"/>
    <w:rsid w:val="002D1864"/>
    <w:rsid w:val="002D1B86"/>
    <w:rsid w:val="002D1DF7"/>
    <w:rsid w:val="002D1E2D"/>
    <w:rsid w:val="002D1EE3"/>
    <w:rsid w:val="002D1F7E"/>
    <w:rsid w:val="002D2037"/>
    <w:rsid w:val="002D21D7"/>
    <w:rsid w:val="002D2397"/>
    <w:rsid w:val="002D25CB"/>
    <w:rsid w:val="002D2A84"/>
    <w:rsid w:val="002D2B97"/>
    <w:rsid w:val="002D2C06"/>
    <w:rsid w:val="002D2C7F"/>
    <w:rsid w:val="002D2F5E"/>
    <w:rsid w:val="002D304B"/>
    <w:rsid w:val="002D308A"/>
    <w:rsid w:val="002D30D8"/>
    <w:rsid w:val="002D3146"/>
    <w:rsid w:val="002D3472"/>
    <w:rsid w:val="002D34C2"/>
    <w:rsid w:val="002D3510"/>
    <w:rsid w:val="002D355E"/>
    <w:rsid w:val="002D3706"/>
    <w:rsid w:val="002D371A"/>
    <w:rsid w:val="002D378C"/>
    <w:rsid w:val="002D3831"/>
    <w:rsid w:val="002D3A14"/>
    <w:rsid w:val="002D3A5E"/>
    <w:rsid w:val="002D3BD7"/>
    <w:rsid w:val="002D3DA8"/>
    <w:rsid w:val="002D42C2"/>
    <w:rsid w:val="002D42CF"/>
    <w:rsid w:val="002D4579"/>
    <w:rsid w:val="002D4585"/>
    <w:rsid w:val="002D46C2"/>
    <w:rsid w:val="002D478D"/>
    <w:rsid w:val="002D48CD"/>
    <w:rsid w:val="002D4AE8"/>
    <w:rsid w:val="002D4CFF"/>
    <w:rsid w:val="002D531D"/>
    <w:rsid w:val="002D558D"/>
    <w:rsid w:val="002D55A4"/>
    <w:rsid w:val="002D5709"/>
    <w:rsid w:val="002D584C"/>
    <w:rsid w:val="002D5A15"/>
    <w:rsid w:val="002D5B2D"/>
    <w:rsid w:val="002D5CA2"/>
    <w:rsid w:val="002D5F2B"/>
    <w:rsid w:val="002D5F41"/>
    <w:rsid w:val="002D60A2"/>
    <w:rsid w:val="002D614B"/>
    <w:rsid w:val="002D61B4"/>
    <w:rsid w:val="002D67E4"/>
    <w:rsid w:val="002D6B09"/>
    <w:rsid w:val="002D6C95"/>
    <w:rsid w:val="002D6DD0"/>
    <w:rsid w:val="002D6FE8"/>
    <w:rsid w:val="002D6FEC"/>
    <w:rsid w:val="002D75B4"/>
    <w:rsid w:val="002D76DF"/>
    <w:rsid w:val="002D76E1"/>
    <w:rsid w:val="002D779A"/>
    <w:rsid w:val="002D7826"/>
    <w:rsid w:val="002D79A8"/>
    <w:rsid w:val="002D7CD0"/>
    <w:rsid w:val="002E02E9"/>
    <w:rsid w:val="002E0373"/>
    <w:rsid w:val="002E047B"/>
    <w:rsid w:val="002E0653"/>
    <w:rsid w:val="002E06BC"/>
    <w:rsid w:val="002E0845"/>
    <w:rsid w:val="002E0C91"/>
    <w:rsid w:val="002E0E2D"/>
    <w:rsid w:val="002E0F01"/>
    <w:rsid w:val="002E0FE1"/>
    <w:rsid w:val="002E1207"/>
    <w:rsid w:val="002E1210"/>
    <w:rsid w:val="002E1312"/>
    <w:rsid w:val="002E136A"/>
    <w:rsid w:val="002E1449"/>
    <w:rsid w:val="002E14FF"/>
    <w:rsid w:val="002E1526"/>
    <w:rsid w:val="002E177D"/>
    <w:rsid w:val="002E17FC"/>
    <w:rsid w:val="002E198A"/>
    <w:rsid w:val="002E1B5E"/>
    <w:rsid w:val="002E1C11"/>
    <w:rsid w:val="002E220E"/>
    <w:rsid w:val="002E2665"/>
    <w:rsid w:val="002E26A2"/>
    <w:rsid w:val="002E27F2"/>
    <w:rsid w:val="002E286B"/>
    <w:rsid w:val="002E28B1"/>
    <w:rsid w:val="002E2A40"/>
    <w:rsid w:val="002E2ADA"/>
    <w:rsid w:val="002E2B06"/>
    <w:rsid w:val="002E2B78"/>
    <w:rsid w:val="002E2C78"/>
    <w:rsid w:val="002E2D70"/>
    <w:rsid w:val="002E2F91"/>
    <w:rsid w:val="002E307F"/>
    <w:rsid w:val="002E3287"/>
    <w:rsid w:val="002E3335"/>
    <w:rsid w:val="002E342E"/>
    <w:rsid w:val="002E358D"/>
    <w:rsid w:val="002E370A"/>
    <w:rsid w:val="002E3997"/>
    <w:rsid w:val="002E3B7E"/>
    <w:rsid w:val="002E3CFD"/>
    <w:rsid w:val="002E3D41"/>
    <w:rsid w:val="002E3D7E"/>
    <w:rsid w:val="002E3F70"/>
    <w:rsid w:val="002E3F95"/>
    <w:rsid w:val="002E3FA2"/>
    <w:rsid w:val="002E3FB0"/>
    <w:rsid w:val="002E4166"/>
    <w:rsid w:val="002E41C2"/>
    <w:rsid w:val="002E4357"/>
    <w:rsid w:val="002E4375"/>
    <w:rsid w:val="002E49D3"/>
    <w:rsid w:val="002E4A36"/>
    <w:rsid w:val="002E50C8"/>
    <w:rsid w:val="002E519D"/>
    <w:rsid w:val="002E5662"/>
    <w:rsid w:val="002E56B1"/>
    <w:rsid w:val="002E58EF"/>
    <w:rsid w:val="002E5CF3"/>
    <w:rsid w:val="002E5CF5"/>
    <w:rsid w:val="002E5E0B"/>
    <w:rsid w:val="002E611F"/>
    <w:rsid w:val="002E6310"/>
    <w:rsid w:val="002E6312"/>
    <w:rsid w:val="002E6351"/>
    <w:rsid w:val="002E64D3"/>
    <w:rsid w:val="002E65D4"/>
    <w:rsid w:val="002E65DF"/>
    <w:rsid w:val="002E6866"/>
    <w:rsid w:val="002E6B80"/>
    <w:rsid w:val="002E6FE0"/>
    <w:rsid w:val="002E731F"/>
    <w:rsid w:val="002E74C7"/>
    <w:rsid w:val="002E7581"/>
    <w:rsid w:val="002E7683"/>
    <w:rsid w:val="002E76FE"/>
    <w:rsid w:val="002E7738"/>
    <w:rsid w:val="002E7A3D"/>
    <w:rsid w:val="002E7AED"/>
    <w:rsid w:val="002E7B7B"/>
    <w:rsid w:val="002E7E2E"/>
    <w:rsid w:val="002E7EE6"/>
    <w:rsid w:val="002F0264"/>
    <w:rsid w:val="002F0275"/>
    <w:rsid w:val="002F0730"/>
    <w:rsid w:val="002F08C2"/>
    <w:rsid w:val="002F0F22"/>
    <w:rsid w:val="002F1097"/>
    <w:rsid w:val="002F1159"/>
    <w:rsid w:val="002F12D6"/>
    <w:rsid w:val="002F15AF"/>
    <w:rsid w:val="002F18B8"/>
    <w:rsid w:val="002F1909"/>
    <w:rsid w:val="002F1994"/>
    <w:rsid w:val="002F1A90"/>
    <w:rsid w:val="002F1AC7"/>
    <w:rsid w:val="002F1CCF"/>
    <w:rsid w:val="002F200F"/>
    <w:rsid w:val="002F20DB"/>
    <w:rsid w:val="002F22BF"/>
    <w:rsid w:val="002F2432"/>
    <w:rsid w:val="002F2623"/>
    <w:rsid w:val="002F2695"/>
    <w:rsid w:val="002F28F8"/>
    <w:rsid w:val="002F297F"/>
    <w:rsid w:val="002F2D20"/>
    <w:rsid w:val="002F362B"/>
    <w:rsid w:val="002F3EBC"/>
    <w:rsid w:val="002F43C4"/>
    <w:rsid w:val="002F442F"/>
    <w:rsid w:val="002F45A2"/>
    <w:rsid w:val="002F48B4"/>
    <w:rsid w:val="002F4B02"/>
    <w:rsid w:val="002F4C51"/>
    <w:rsid w:val="002F4C5D"/>
    <w:rsid w:val="002F4FFE"/>
    <w:rsid w:val="002F51CA"/>
    <w:rsid w:val="002F5225"/>
    <w:rsid w:val="002F524A"/>
    <w:rsid w:val="002F5320"/>
    <w:rsid w:val="002F5355"/>
    <w:rsid w:val="002F53C9"/>
    <w:rsid w:val="002F5437"/>
    <w:rsid w:val="002F5550"/>
    <w:rsid w:val="002F5AAA"/>
    <w:rsid w:val="002F5B4D"/>
    <w:rsid w:val="002F5F0D"/>
    <w:rsid w:val="002F5FEC"/>
    <w:rsid w:val="002F61B5"/>
    <w:rsid w:val="002F6267"/>
    <w:rsid w:val="002F638B"/>
    <w:rsid w:val="002F6546"/>
    <w:rsid w:val="002F65DD"/>
    <w:rsid w:val="002F6625"/>
    <w:rsid w:val="002F662A"/>
    <w:rsid w:val="002F6859"/>
    <w:rsid w:val="002F6892"/>
    <w:rsid w:val="002F69DA"/>
    <w:rsid w:val="002F6AF3"/>
    <w:rsid w:val="002F6CC0"/>
    <w:rsid w:val="002F6E5A"/>
    <w:rsid w:val="002F70E3"/>
    <w:rsid w:val="002F7231"/>
    <w:rsid w:val="002F7797"/>
    <w:rsid w:val="002F7A15"/>
    <w:rsid w:val="002F7D2C"/>
    <w:rsid w:val="002F7FB7"/>
    <w:rsid w:val="00300B14"/>
    <w:rsid w:val="00300BD2"/>
    <w:rsid w:val="00300D0C"/>
    <w:rsid w:val="00300D20"/>
    <w:rsid w:val="00300D23"/>
    <w:rsid w:val="0030119D"/>
    <w:rsid w:val="0030138E"/>
    <w:rsid w:val="003015FF"/>
    <w:rsid w:val="003018CD"/>
    <w:rsid w:val="0030199C"/>
    <w:rsid w:val="00301AD0"/>
    <w:rsid w:val="00301C39"/>
    <w:rsid w:val="003023B9"/>
    <w:rsid w:val="00302579"/>
    <w:rsid w:val="003026AC"/>
    <w:rsid w:val="0030285D"/>
    <w:rsid w:val="00302F02"/>
    <w:rsid w:val="0030301A"/>
    <w:rsid w:val="003030E8"/>
    <w:rsid w:val="0030332B"/>
    <w:rsid w:val="0030339F"/>
    <w:rsid w:val="00303669"/>
    <w:rsid w:val="00303BA3"/>
    <w:rsid w:val="00303C3B"/>
    <w:rsid w:val="00303F76"/>
    <w:rsid w:val="00303F93"/>
    <w:rsid w:val="0030401B"/>
    <w:rsid w:val="00304458"/>
    <w:rsid w:val="0030455D"/>
    <w:rsid w:val="00304D70"/>
    <w:rsid w:val="00304D9D"/>
    <w:rsid w:val="00304DD7"/>
    <w:rsid w:val="0030507C"/>
    <w:rsid w:val="003053BF"/>
    <w:rsid w:val="0030544A"/>
    <w:rsid w:val="003056C1"/>
    <w:rsid w:val="00305A95"/>
    <w:rsid w:val="00305F86"/>
    <w:rsid w:val="0030655E"/>
    <w:rsid w:val="00306A02"/>
    <w:rsid w:val="00306BA3"/>
    <w:rsid w:val="00306BA8"/>
    <w:rsid w:val="00306CFF"/>
    <w:rsid w:val="00306D13"/>
    <w:rsid w:val="00306E45"/>
    <w:rsid w:val="00306FB1"/>
    <w:rsid w:val="003071C2"/>
    <w:rsid w:val="00307463"/>
    <w:rsid w:val="003074A8"/>
    <w:rsid w:val="0030760C"/>
    <w:rsid w:val="003076BE"/>
    <w:rsid w:val="00307882"/>
    <w:rsid w:val="0030799B"/>
    <w:rsid w:val="00307A23"/>
    <w:rsid w:val="00307B7F"/>
    <w:rsid w:val="00307F9A"/>
    <w:rsid w:val="0031003E"/>
    <w:rsid w:val="0031044F"/>
    <w:rsid w:val="00310454"/>
    <w:rsid w:val="003104E6"/>
    <w:rsid w:val="00310811"/>
    <w:rsid w:val="003109E1"/>
    <w:rsid w:val="00310A36"/>
    <w:rsid w:val="00310AD3"/>
    <w:rsid w:val="00310B27"/>
    <w:rsid w:val="00310C21"/>
    <w:rsid w:val="00310D79"/>
    <w:rsid w:val="00310E2D"/>
    <w:rsid w:val="00310F62"/>
    <w:rsid w:val="0031119A"/>
    <w:rsid w:val="00311461"/>
    <w:rsid w:val="00311A08"/>
    <w:rsid w:val="00311B9B"/>
    <w:rsid w:val="00311BEC"/>
    <w:rsid w:val="00312083"/>
    <w:rsid w:val="00312388"/>
    <w:rsid w:val="00312433"/>
    <w:rsid w:val="00312A19"/>
    <w:rsid w:val="0031347D"/>
    <w:rsid w:val="00313558"/>
    <w:rsid w:val="00313573"/>
    <w:rsid w:val="00313872"/>
    <w:rsid w:val="00313A19"/>
    <w:rsid w:val="00313A3B"/>
    <w:rsid w:val="00313D03"/>
    <w:rsid w:val="00313EA9"/>
    <w:rsid w:val="00313EC7"/>
    <w:rsid w:val="00314237"/>
    <w:rsid w:val="00314C42"/>
    <w:rsid w:val="00314EEB"/>
    <w:rsid w:val="00315216"/>
    <w:rsid w:val="0031522D"/>
    <w:rsid w:val="0031527B"/>
    <w:rsid w:val="00315586"/>
    <w:rsid w:val="003155B1"/>
    <w:rsid w:val="003157F5"/>
    <w:rsid w:val="00315BAA"/>
    <w:rsid w:val="00315BC8"/>
    <w:rsid w:val="00315FB7"/>
    <w:rsid w:val="0031639B"/>
    <w:rsid w:val="00316504"/>
    <w:rsid w:val="0031666B"/>
    <w:rsid w:val="00316689"/>
    <w:rsid w:val="00316C1E"/>
    <w:rsid w:val="00316ECD"/>
    <w:rsid w:val="003172D4"/>
    <w:rsid w:val="003175B9"/>
    <w:rsid w:val="0031769D"/>
    <w:rsid w:val="003179EE"/>
    <w:rsid w:val="00317A06"/>
    <w:rsid w:val="00317A99"/>
    <w:rsid w:val="00317AAC"/>
    <w:rsid w:val="00317B36"/>
    <w:rsid w:val="00320003"/>
    <w:rsid w:val="00320193"/>
    <w:rsid w:val="003204BE"/>
    <w:rsid w:val="0032057C"/>
    <w:rsid w:val="0032068B"/>
    <w:rsid w:val="003209EB"/>
    <w:rsid w:val="00320A1C"/>
    <w:rsid w:val="00320A4C"/>
    <w:rsid w:val="00320A81"/>
    <w:rsid w:val="00320B78"/>
    <w:rsid w:val="00320C11"/>
    <w:rsid w:val="00320D1B"/>
    <w:rsid w:val="00320EB8"/>
    <w:rsid w:val="0032103F"/>
    <w:rsid w:val="003212E2"/>
    <w:rsid w:val="003216AD"/>
    <w:rsid w:val="00321711"/>
    <w:rsid w:val="00321778"/>
    <w:rsid w:val="00321E44"/>
    <w:rsid w:val="00321EE6"/>
    <w:rsid w:val="00322139"/>
    <w:rsid w:val="00322150"/>
    <w:rsid w:val="00322333"/>
    <w:rsid w:val="0032241D"/>
    <w:rsid w:val="00322819"/>
    <w:rsid w:val="00322824"/>
    <w:rsid w:val="00322998"/>
    <w:rsid w:val="00322A52"/>
    <w:rsid w:val="00322BE5"/>
    <w:rsid w:val="00322DA4"/>
    <w:rsid w:val="00322E41"/>
    <w:rsid w:val="00322F73"/>
    <w:rsid w:val="00323064"/>
    <w:rsid w:val="003231A9"/>
    <w:rsid w:val="00323221"/>
    <w:rsid w:val="003232D8"/>
    <w:rsid w:val="00323406"/>
    <w:rsid w:val="00323618"/>
    <w:rsid w:val="00323B27"/>
    <w:rsid w:val="003243D8"/>
    <w:rsid w:val="00324441"/>
    <w:rsid w:val="003246A0"/>
    <w:rsid w:val="00324700"/>
    <w:rsid w:val="00324BFD"/>
    <w:rsid w:val="00324E6B"/>
    <w:rsid w:val="00324F1A"/>
    <w:rsid w:val="00324F6C"/>
    <w:rsid w:val="00324F95"/>
    <w:rsid w:val="003250EC"/>
    <w:rsid w:val="003259D9"/>
    <w:rsid w:val="00325E25"/>
    <w:rsid w:val="00325E7B"/>
    <w:rsid w:val="00326014"/>
    <w:rsid w:val="00326469"/>
    <w:rsid w:val="0032668A"/>
    <w:rsid w:val="003266B6"/>
    <w:rsid w:val="003269CE"/>
    <w:rsid w:val="00326CEB"/>
    <w:rsid w:val="003274FE"/>
    <w:rsid w:val="00327595"/>
    <w:rsid w:val="0032768F"/>
    <w:rsid w:val="00327976"/>
    <w:rsid w:val="00327B6A"/>
    <w:rsid w:val="00327EE0"/>
    <w:rsid w:val="003300A5"/>
    <w:rsid w:val="00330103"/>
    <w:rsid w:val="00330298"/>
    <w:rsid w:val="00330411"/>
    <w:rsid w:val="003304E1"/>
    <w:rsid w:val="00330AC8"/>
    <w:rsid w:val="00330B55"/>
    <w:rsid w:val="00330BC9"/>
    <w:rsid w:val="00330ED3"/>
    <w:rsid w:val="0033107F"/>
    <w:rsid w:val="00331085"/>
    <w:rsid w:val="00331547"/>
    <w:rsid w:val="00331638"/>
    <w:rsid w:val="00331716"/>
    <w:rsid w:val="003319B7"/>
    <w:rsid w:val="00331D06"/>
    <w:rsid w:val="00331E9F"/>
    <w:rsid w:val="00332066"/>
    <w:rsid w:val="003322F0"/>
    <w:rsid w:val="003325FD"/>
    <w:rsid w:val="00332964"/>
    <w:rsid w:val="003329F2"/>
    <w:rsid w:val="00332E70"/>
    <w:rsid w:val="0033305C"/>
    <w:rsid w:val="003330BC"/>
    <w:rsid w:val="003334DB"/>
    <w:rsid w:val="00333999"/>
    <w:rsid w:val="00333A0F"/>
    <w:rsid w:val="00333A37"/>
    <w:rsid w:val="00333D75"/>
    <w:rsid w:val="00333D78"/>
    <w:rsid w:val="003340C8"/>
    <w:rsid w:val="003342E0"/>
    <w:rsid w:val="003343E6"/>
    <w:rsid w:val="003344B5"/>
    <w:rsid w:val="003347C4"/>
    <w:rsid w:val="00334875"/>
    <w:rsid w:val="00334AC2"/>
    <w:rsid w:val="00334EA7"/>
    <w:rsid w:val="003350C8"/>
    <w:rsid w:val="0033526E"/>
    <w:rsid w:val="0033533E"/>
    <w:rsid w:val="00335464"/>
    <w:rsid w:val="003356CE"/>
    <w:rsid w:val="00335839"/>
    <w:rsid w:val="00335AC0"/>
    <w:rsid w:val="00335AD4"/>
    <w:rsid w:val="00335B57"/>
    <w:rsid w:val="00335CFC"/>
    <w:rsid w:val="00335E58"/>
    <w:rsid w:val="00336069"/>
    <w:rsid w:val="0033615F"/>
    <w:rsid w:val="0033632B"/>
    <w:rsid w:val="00336545"/>
    <w:rsid w:val="00336573"/>
    <w:rsid w:val="003366BB"/>
    <w:rsid w:val="003366D9"/>
    <w:rsid w:val="00336CAF"/>
    <w:rsid w:val="00336CB0"/>
    <w:rsid w:val="00336F9E"/>
    <w:rsid w:val="0033719F"/>
    <w:rsid w:val="0033729E"/>
    <w:rsid w:val="003372CA"/>
    <w:rsid w:val="00337398"/>
    <w:rsid w:val="0033749F"/>
    <w:rsid w:val="003375F1"/>
    <w:rsid w:val="00337C7B"/>
    <w:rsid w:val="00337C8C"/>
    <w:rsid w:val="00337E33"/>
    <w:rsid w:val="00337E5B"/>
    <w:rsid w:val="00340424"/>
    <w:rsid w:val="00340A8A"/>
    <w:rsid w:val="00341352"/>
    <w:rsid w:val="00341399"/>
    <w:rsid w:val="00341FD8"/>
    <w:rsid w:val="0034226F"/>
    <w:rsid w:val="003424F4"/>
    <w:rsid w:val="00342947"/>
    <w:rsid w:val="00342AFE"/>
    <w:rsid w:val="00342BAA"/>
    <w:rsid w:val="00342C20"/>
    <w:rsid w:val="003431C6"/>
    <w:rsid w:val="003432B3"/>
    <w:rsid w:val="003432B6"/>
    <w:rsid w:val="0034361C"/>
    <w:rsid w:val="00343756"/>
    <w:rsid w:val="00343A6D"/>
    <w:rsid w:val="00344012"/>
    <w:rsid w:val="0034463E"/>
    <w:rsid w:val="003446B4"/>
    <w:rsid w:val="003446EB"/>
    <w:rsid w:val="003447FC"/>
    <w:rsid w:val="00344F5A"/>
    <w:rsid w:val="00345076"/>
    <w:rsid w:val="00345151"/>
    <w:rsid w:val="00345388"/>
    <w:rsid w:val="00345444"/>
    <w:rsid w:val="003457B0"/>
    <w:rsid w:val="00345837"/>
    <w:rsid w:val="00345B9A"/>
    <w:rsid w:val="00345DFE"/>
    <w:rsid w:val="003461BB"/>
    <w:rsid w:val="0034628B"/>
    <w:rsid w:val="00346454"/>
    <w:rsid w:val="0034663B"/>
    <w:rsid w:val="0034667E"/>
    <w:rsid w:val="00346884"/>
    <w:rsid w:val="0034695C"/>
    <w:rsid w:val="00346B66"/>
    <w:rsid w:val="00347047"/>
    <w:rsid w:val="0034705C"/>
    <w:rsid w:val="003471A6"/>
    <w:rsid w:val="00347572"/>
    <w:rsid w:val="003475AF"/>
    <w:rsid w:val="003475E8"/>
    <w:rsid w:val="00347759"/>
    <w:rsid w:val="00347818"/>
    <w:rsid w:val="00347C99"/>
    <w:rsid w:val="00347F2D"/>
    <w:rsid w:val="00350152"/>
    <w:rsid w:val="003501CB"/>
    <w:rsid w:val="00350381"/>
    <w:rsid w:val="003505C4"/>
    <w:rsid w:val="003505EF"/>
    <w:rsid w:val="0035077B"/>
    <w:rsid w:val="00350805"/>
    <w:rsid w:val="003508FB"/>
    <w:rsid w:val="0035096E"/>
    <w:rsid w:val="003509A3"/>
    <w:rsid w:val="003509D2"/>
    <w:rsid w:val="00350EBB"/>
    <w:rsid w:val="00351054"/>
    <w:rsid w:val="003512D3"/>
    <w:rsid w:val="00351310"/>
    <w:rsid w:val="00351473"/>
    <w:rsid w:val="003514C5"/>
    <w:rsid w:val="00351583"/>
    <w:rsid w:val="00351622"/>
    <w:rsid w:val="003519AB"/>
    <w:rsid w:val="00351ACC"/>
    <w:rsid w:val="00351D3E"/>
    <w:rsid w:val="00351D52"/>
    <w:rsid w:val="00351E33"/>
    <w:rsid w:val="00351E3A"/>
    <w:rsid w:val="00351F8C"/>
    <w:rsid w:val="0035213E"/>
    <w:rsid w:val="0035219F"/>
    <w:rsid w:val="003521CD"/>
    <w:rsid w:val="00352A76"/>
    <w:rsid w:val="00352B3D"/>
    <w:rsid w:val="00352BD5"/>
    <w:rsid w:val="00352C43"/>
    <w:rsid w:val="00352E90"/>
    <w:rsid w:val="00353252"/>
    <w:rsid w:val="00353273"/>
    <w:rsid w:val="00353288"/>
    <w:rsid w:val="0035338D"/>
    <w:rsid w:val="00353518"/>
    <w:rsid w:val="00353620"/>
    <w:rsid w:val="00353809"/>
    <w:rsid w:val="00353964"/>
    <w:rsid w:val="00353C66"/>
    <w:rsid w:val="0035405A"/>
    <w:rsid w:val="003540EF"/>
    <w:rsid w:val="00354212"/>
    <w:rsid w:val="003544AB"/>
    <w:rsid w:val="00354579"/>
    <w:rsid w:val="00354668"/>
    <w:rsid w:val="00354A38"/>
    <w:rsid w:val="00354DB2"/>
    <w:rsid w:val="00354EFD"/>
    <w:rsid w:val="00354F29"/>
    <w:rsid w:val="00354F9A"/>
    <w:rsid w:val="00355240"/>
    <w:rsid w:val="00355324"/>
    <w:rsid w:val="00355441"/>
    <w:rsid w:val="003558FB"/>
    <w:rsid w:val="00355B04"/>
    <w:rsid w:val="00355BBD"/>
    <w:rsid w:val="0035630A"/>
    <w:rsid w:val="003564BB"/>
    <w:rsid w:val="003565B9"/>
    <w:rsid w:val="0035674B"/>
    <w:rsid w:val="0035690A"/>
    <w:rsid w:val="003569B3"/>
    <w:rsid w:val="00356D97"/>
    <w:rsid w:val="00356F28"/>
    <w:rsid w:val="0035752C"/>
    <w:rsid w:val="0035754D"/>
    <w:rsid w:val="00357899"/>
    <w:rsid w:val="003579EF"/>
    <w:rsid w:val="00357C72"/>
    <w:rsid w:val="00357CA9"/>
    <w:rsid w:val="00357DB3"/>
    <w:rsid w:val="003603F4"/>
    <w:rsid w:val="00360691"/>
    <w:rsid w:val="00360AAB"/>
    <w:rsid w:val="00360B5D"/>
    <w:rsid w:val="00360BBD"/>
    <w:rsid w:val="00360E88"/>
    <w:rsid w:val="00361225"/>
    <w:rsid w:val="00361857"/>
    <w:rsid w:val="003618EF"/>
    <w:rsid w:val="00361935"/>
    <w:rsid w:val="00361A33"/>
    <w:rsid w:val="00361B24"/>
    <w:rsid w:val="00361C4A"/>
    <w:rsid w:val="00361EA1"/>
    <w:rsid w:val="003622DF"/>
    <w:rsid w:val="0036235C"/>
    <w:rsid w:val="0036238F"/>
    <w:rsid w:val="0036249C"/>
    <w:rsid w:val="00362503"/>
    <w:rsid w:val="0036277F"/>
    <w:rsid w:val="003628AD"/>
    <w:rsid w:val="003628AF"/>
    <w:rsid w:val="0036299C"/>
    <w:rsid w:val="003629FC"/>
    <w:rsid w:val="00362ACB"/>
    <w:rsid w:val="00362B69"/>
    <w:rsid w:val="00362BD9"/>
    <w:rsid w:val="00362C62"/>
    <w:rsid w:val="00362E92"/>
    <w:rsid w:val="0036312C"/>
    <w:rsid w:val="0036315D"/>
    <w:rsid w:val="00363437"/>
    <w:rsid w:val="003635C6"/>
    <w:rsid w:val="0036362C"/>
    <w:rsid w:val="003636AF"/>
    <w:rsid w:val="003637BA"/>
    <w:rsid w:val="00363C5C"/>
    <w:rsid w:val="00363E3E"/>
    <w:rsid w:val="003642E5"/>
    <w:rsid w:val="003643ED"/>
    <w:rsid w:val="00364AD9"/>
    <w:rsid w:val="00364B3E"/>
    <w:rsid w:val="00364D9B"/>
    <w:rsid w:val="00365187"/>
    <w:rsid w:val="00365626"/>
    <w:rsid w:val="0036577E"/>
    <w:rsid w:val="003659E4"/>
    <w:rsid w:val="00365A86"/>
    <w:rsid w:val="00365D97"/>
    <w:rsid w:val="00365ED7"/>
    <w:rsid w:val="00366296"/>
    <w:rsid w:val="00366499"/>
    <w:rsid w:val="003668E5"/>
    <w:rsid w:val="0036691E"/>
    <w:rsid w:val="003671E7"/>
    <w:rsid w:val="003677CD"/>
    <w:rsid w:val="003677EE"/>
    <w:rsid w:val="00367A5E"/>
    <w:rsid w:val="00367DE2"/>
    <w:rsid w:val="00367EC7"/>
    <w:rsid w:val="0037015E"/>
    <w:rsid w:val="0037021D"/>
    <w:rsid w:val="00370421"/>
    <w:rsid w:val="00370441"/>
    <w:rsid w:val="003705F5"/>
    <w:rsid w:val="003708BD"/>
    <w:rsid w:val="00370B15"/>
    <w:rsid w:val="00370C37"/>
    <w:rsid w:val="003710C0"/>
    <w:rsid w:val="00371245"/>
    <w:rsid w:val="0037151D"/>
    <w:rsid w:val="003719C5"/>
    <w:rsid w:val="00371A6B"/>
    <w:rsid w:val="00371CF6"/>
    <w:rsid w:val="00371E6E"/>
    <w:rsid w:val="00371FEA"/>
    <w:rsid w:val="0037211E"/>
    <w:rsid w:val="00372568"/>
    <w:rsid w:val="003725CF"/>
    <w:rsid w:val="003725F0"/>
    <w:rsid w:val="00372602"/>
    <w:rsid w:val="00372618"/>
    <w:rsid w:val="0037268B"/>
    <w:rsid w:val="00372B2D"/>
    <w:rsid w:val="00372B80"/>
    <w:rsid w:val="00372E92"/>
    <w:rsid w:val="00372F3B"/>
    <w:rsid w:val="0037307F"/>
    <w:rsid w:val="0037317C"/>
    <w:rsid w:val="00373285"/>
    <w:rsid w:val="00373484"/>
    <w:rsid w:val="003739B0"/>
    <w:rsid w:val="00373BDD"/>
    <w:rsid w:val="00373C0E"/>
    <w:rsid w:val="00373DD1"/>
    <w:rsid w:val="003742DC"/>
    <w:rsid w:val="003743F3"/>
    <w:rsid w:val="0037443A"/>
    <w:rsid w:val="00374772"/>
    <w:rsid w:val="003749AC"/>
    <w:rsid w:val="003749C9"/>
    <w:rsid w:val="003749D3"/>
    <w:rsid w:val="00374A8A"/>
    <w:rsid w:val="00374CCE"/>
    <w:rsid w:val="00375066"/>
    <w:rsid w:val="003750CE"/>
    <w:rsid w:val="003751F4"/>
    <w:rsid w:val="003754AA"/>
    <w:rsid w:val="00375539"/>
    <w:rsid w:val="00375911"/>
    <w:rsid w:val="0037592B"/>
    <w:rsid w:val="00375B5B"/>
    <w:rsid w:val="00375D6C"/>
    <w:rsid w:val="00375EA1"/>
    <w:rsid w:val="00375F76"/>
    <w:rsid w:val="00376619"/>
    <w:rsid w:val="0037674F"/>
    <w:rsid w:val="0037695C"/>
    <w:rsid w:val="00376BB0"/>
    <w:rsid w:val="00376BCA"/>
    <w:rsid w:val="00376DA8"/>
    <w:rsid w:val="00376DE1"/>
    <w:rsid w:val="00376E49"/>
    <w:rsid w:val="0037700B"/>
    <w:rsid w:val="00377020"/>
    <w:rsid w:val="00377045"/>
    <w:rsid w:val="003770FB"/>
    <w:rsid w:val="00377527"/>
    <w:rsid w:val="0037759D"/>
    <w:rsid w:val="003778AF"/>
    <w:rsid w:val="0037795A"/>
    <w:rsid w:val="00377AF2"/>
    <w:rsid w:val="00377B77"/>
    <w:rsid w:val="00377BED"/>
    <w:rsid w:val="00377BF9"/>
    <w:rsid w:val="00377E70"/>
    <w:rsid w:val="00377F14"/>
    <w:rsid w:val="00377F64"/>
    <w:rsid w:val="00380030"/>
    <w:rsid w:val="00380191"/>
    <w:rsid w:val="003802C3"/>
    <w:rsid w:val="00380333"/>
    <w:rsid w:val="00380770"/>
    <w:rsid w:val="00380A95"/>
    <w:rsid w:val="00380B93"/>
    <w:rsid w:val="00380C29"/>
    <w:rsid w:val="00380F52"/>
    <w:rsid w:val="0038106B"/>
    <w:rsid w:val="003814A6"/>
    <w:rsid w:val="003814EC"/>
    <w:rsid w:val="00381613"/>
    <w:rsid w:val="00381A7B"/>
    <w:rsid w:val="00381AFF"/>
    <w:rsid w:val="00382208"/>
    <w:rsid w:val="0038224E"/>
    <w:rsid w:val="003822EB"/>
    <w:rsid w:val="003824FB"/>
    <w:rsid w:val="0038254A"/>
    <w:rsid w:val="00382713"/>
    <w:rsid w:val="00382848"/>
    <w:rsid w:val="00382A80"/>
    <w:rsid w:val="00382C64"/>
    <w:rsid w:val="00382D06"/>
    <w:rsid w:val="00382E57"/>
    <w:rsid w:val="00382F2A"/>
    <w:rsid w:val="0038312C"/>
    <w:rsid w:val="00383200"/>
    <w:rsid w:val="00383855"/>
    <w:rsid w:val="00383948"/>
    <w:rsid w:val="003839BC"/>
    <w:rsid w:val="00383D83"/>
    <w:rsid w:val="00383DA1"/>
    <w:rsid w:val="00383EA6"/>
    <w:rsid w:val="003842C9"/>
    <w:rsid w:val="00384359"/>
    <w:rsid w:val="003843A4"/>
    <w:rsid w:val="003844FB"/>
    <w:rsid w:val="003845C2"/>
    <w:rsid w:val="00384671"/>
    <w:rsid w:val="00384941"/>
    <w:rsid w:val="00384A4E"/>
    <w:rsid w:val="00384B27"/>
    <w:rsid w:val="0038512F"/>
    <w:rsid w:val="00385192"/>
    <w:rsid w:val="003856B8"/>
    <w:rsid w:val="00385805"/>
    <w:rsid w:val="0038590E"/>
    <w:rsid w:val="00385984"/>
    <w:rsid w:val="00385BFF"/>
    <w:rsid w:val="00385C2B"/>
    <w:rsid w:val="00385C7B"/>
    <w:rsid w:val="00385DDB"/>
    <w:rsid w:val="00385F06"/>
    <w:rsid w:val="00385F2E"/>
    <w:rsid w:val="00386272"/>
    <w:rsid w:val="00386744"/>
    <w:rsid w:val="00386A80"/>
    <w:rsid w:val="00386B62"/>
    <w:rsid w:val="00386B83"/>
    <w:rsid w:val="00386DED"/>
    <w:rsid w:val="00387247"/>
    <w:rsid w:val="003872B8"/>
    <w:rsid w:val="003874FF"/>
    <w:rsid w:val="0038759A"/>
    <w:rsid w:val="003876AF"/>
    <w:rsid w:val="003876FA"/>
    <w:rsid w:val="00387C07"/>
    <w:rsid w:val="00387DE0"/>
    <w:rsid w:val="00387EDE"/>
    <w:rsid w:val="0039046A"/>
    <w:rsid w:val="00390BFE"/>
    <w:rsid w:val="00390EB0"/>
    <w:rsid w:val="00390EF7"/>
    <w:rsid w:val="0039132C"/>
    <w:rsid w:val="003915AB"/>
    <w:rsid w:val="0039183C"/>
    <w:rsid w:val="00391A41"/>
    <w:rsid w:val="00391E3C"/>
    <w:rsid w:val="003926F6"/>
    <w:rsid w:val="00392781"/>
    <w:rsid w:val="00392927"/>
    <w:rsid w:val="00392DB0"/>
    <w:rsid w:val="00392DBD"/>
    <w:rsid w:val="00392EA3"/>
    <w:rsid w:val="00392F55"/>
    <w:rsid w:val="00393191"/>
    <w:rsid w:val="00393642"/>
    <w:rsid w:val="0039370F"/>
    <w:rsid w:val="00393889"/>
    <w:rsid w:val="00393A4C"/>
    <w:rsid w:val="00393C0E"/>
    <w:rsid w:val="00393D4B"/>
    <w:rsid w:val="00393DCA"/>
    <w:rsid w:val="00393F8A"/>
    <w:rsid w:val="00393FB4"/>
    <w:rsid w:val="00393FDF"/>
    <w:rsid w:val="00394077"/>
    <w:rsid w:val="003941F3"/>
    <w:rsid w:val="003942E3"/>
    <w:rsid w:val="00394313"/>
    <w:rsid w:val="00394533"/>
    <w:rsid w:val="00394D9E"/>
    <w:rsid w:val="00394EA4"/>
    <w:rsid w:val="00395126"/>
    <w:rsid w:val="0039544B"/>
    <w:rsid w:val="0039558C"/>
    <w:rsid w:val="00395913"/>
    <w:rsid w:val="003959C0"/>
    <w:rsid w:val="00395A20"/>
    <w:rsid w:val="00395B9E"/>
    <w:rsid w:val="00395D3F"/>
    <w:rsid w:val="00395ED6"/>
    <w:rsid w:val="00395EE1"/>
    <w:rsid w:val="00396212"/>
    <w:rsid w:val="003962B4"/>
    <w:rsid w:val="00396832"/>
    <w:rsid w:val="00396AF9"/>
    <w:rsid w:val="00396B2B"/>
    <w:rsid w:val="00396CB4"/>
    <w:rsid w:val="00396E47"/>
    <w:rsid w:val="00397044"/>
    <w:rsid w:val="00397096"/>
    <w:rsid w:val="0039721E"/>
    <w:rsid w:val="00397436"/>
    <w:rsid w:val="003975D4"/>
    <w:rsid w:val="0039769C"/>
    <w:rsid w:val="0039781F"/>
    <w:rsid w:val="003978A1"/>
    <w:rsid w:val="003A006B"/>
    <w:rsid w:val="003A009A"/>
    <w:rsid w:val="003A05FE"/>
    <w:rsid w:val="003A0689"/>
    <w:rsid w:val="003A06B5"/>
    <w:rsid w:val="003A06D3"/>
    <w:rsid w:val="003A0A2D"/>
    <w:rsid w:val="003A0B74"/>
    <w:rsid w:val="003A0DC8"/>
    <w:rsid w:val="003A0DE2"/>
    <w:rsid w:val="003A117C"/>
    <w:rsid w:val="003A11BD"/>
    <w:rsid w:val="003A1497"/>
    <w:rsid w:val="003A1807"/>
    <w:rsid w:val="003A187C"/>
    <w:rsid w:val="003A18B3"/>
    <w:rsid w:val="003A1A50"/>
    <w:rsid w:val="003A1FB3"/>
    <w:rsid w:val="003A2074"/>
    <w:rsid w:val="003A2282"/>
    <w:rsid w:val="003A2364"/>
    <w:rsid w:val="003A2695"/>
    <w:rsid w:val="003A286A"/>
    <w:rsid w:val="003A28BD"/>
    <w:rsid w:val="003A28C1"/>
    <w:rsid w:val="003A2971"/>
    <w:rsid w:val="003A2B40"/>
    <w:rsid w:val="003A2C0B"/>
    <w:rsid w:val="003A2DFA"/>
    <w:rsid w:val="003A2E29"/>
    <w:rsid w:val="003A2EBE"/>
    <w:rsid w:val="003A2FE9"/>
    <w:rsid w:val="003A3022"/>
    <w:rsid w:val="003A36E5"/>
    <w:rsid w:val="003A3AA6"/>
    <w:rsid w:val="003A3BD1"/>
    <w:rsid w:val="003A3E65"/>
    <w:rsid w:val="003A40AC"/>
    <w:rsid w:val="003A4421"/>
    <w:rsid w:val="003A4652"/>
    <w:rsid w:val="003A48E3"/>
    <w:rsid w:val="003A49F4"/>
    <w:rsid w:val="003A4B49"/>
    <w:rsid w:val="003A4BC7"/>
    <w:rsid w:val="003A4BF6"/>
    <w:rsid w:val="003A5050"/>
    <w:rsid w:val="003A5524"/>
    <w:rsid w:val="003A553A"/>
    <w:rsid w:val="003A56C0"/>
    <w:rsid w:val="003A57AD"/>
    <w:rsid w:val="003A57E4"/>
    <w:rsid w:val="003A587F"/>
    <w:rsid w:val="003A5DC3"/>
    <w:rsid w:val="003A61CB"/>
    <w:rsid w:val="003A630E"/>
    <w:rsid w:val="003A6321"/>
    <w:rsid w:val="003A638E"/>
    <w:rsid w:val="003A6705"/>
    <w:rsid w:val="003A6A42"/>
    <w:rsid w:val="003A712F"/>
    <w:rsid w:val="003A74D4"/>
    <w:rsid w:val="003A7711"/>
    <w:rsid w:val="003A791D"/>
    <w:rsid w:val="003A7DEA"/>
    <w:rsid w:val="003A7E42"/>
    <w:rsid w:val="003B011F"/>
    <w:rsid w:val="003B03F9"/>
    <w:rsid w:val="003B04C5"/>
    <w:rsid w:val="003B0526"/>
    <w:rsid w:val="003B0572"/>
    <w:rsid w:val="003B0586"/>
    <w:rsid w:val="003B05AF"/>
    <w:rsid w:val="003B05D1"/>
    <w:rsid w:val="003B066D"/>
    <w:rsid w:val="003B06D6"/>
    <w:rsid w:val="003B0737"/>
    <w:rsid w:val="003B0ACB"/>
    <w:rsid w:val="003B0B1C"/>
    <w:rsid w:val="003B0CB2"/>
    <w:rsid w:val="003B0D8E"/>
    <w:rsid w:val="003B0FED"/>
    <w:rsid w:val="003B101A"/>
    <w:rsid w:val="003B115F"/>
    <w:rsid w:val="003B13FF"/>
    <w:rsid w:val="003B15BC"/>
    <w:rsid w:val="003B1642"/>
    <w:rsid w:val="003B16C1"/>
    <w:rsid w:val="003B180F"/>
    <w:rsid w:val="003B183F"/>
    <w:rsid w:val="003B1AB2"/>
    <w:rsid w:val="003B1BA6"/>
    <w:rsid w:val="003B1C0D"/>
    <w:rsid w:val="003B210A"/>
    <w:rsid w:val="003B2198"/>
    <w:rsid w:val="003B25B1"/>
    <w:rsid w:val="003B26B7"/>
    <w:rsid w:val="003B280F"/>
    <w:rsid w:val="003B2E8C"/>
    <w:rsid w:val="003B2EB2"/>
    <w:rsid w:val="003B2ED4"/>
    <w:rsid w:val="003B2FBE"/>
    <w:rsid w:val="003B2FDC"/>
    <w:rsid w:val="003B361A"/>
    <w:rsid w:val="003B3648"/>
    <w:rsid w:val="003B3655"/>
    <w:rsid w:val="003B3691"/>
    <w:rsid w:val="003B38EF"/>
    <w:rsid w:val="003B3D50"/>
    <w:rsid w:val="003B3DB4"/>
    <w:rsid w:val="003B3E00"/>
    <w:rsid w:val="003B42CD"/>
    <w:rsid w:val="003B442E"/>
    <w:rsid w:val="003B479A"/>
    <w:rsid w:val="003B4811"/>
    <w:rsid w:val="003B48CD"/>
    <w:rsid w:val="003B52CB"/>
    <w:rsid w:val="003B550E"/>
    <w:rsid w:val="003B5792"/>
    <w:rsid w:val="003B58E4"/>
    <w:rsid w:val="003B59FA"/>
    <w:rsid w:val="003B5CAD"/>
    <w:rsid w:val="003B5EB0"/>
    <w:rsid w:val="003B625B"/>
    <w:rsid w:val="003B631E"/>
    <w:rsid w:val="003B6426"/>
    <w:rsid w:val="003B6612"/>
    <w:rsid w:val="003B663D"/>
    <w:rsid w:val="003B66C1"/>
    <w:rsid w:val="003B670B"/>
    <w:rsid w:val="003B69F3"/>
    <w:rsid w:val="003B6B5C"/>
    <w:rsid w:val="003B6F05"/>
    <w:rsid w:val="003B7030"/>
    <w:rsid w:val="003B72C6"/>
    <w:rsid w:val="003B73DE"/>
    <w:rsid w:val="003B74BE"/>
    <w:rsid w:val="003B765C"/>
    <w:rsid w:val="003B7886"/>
    <w:rsid w:val="003B7B9A"/>
    <w:rsid w:val="003B7E71"/>
    <w:rsid w:val="003B7F81"/>
    <w:rsid w:val="003C01CB"/>
    <w:rsid w:val="003C078A"/>
    <w:rsid w:val="003C0834"/>
    <w:rsid w:val="003C08E1"/>
    <w:rsid w:val="003C09EB"/>
    <w:rsid w:val="003C09ED"/>
    <w:rsid w:val="003C09F9"/>
    <w:rsid w:val="003C0C80"/>
    <w:rsid w:val="003C0D92"/>
    <w:rsid w:val="003C0E31"/>
    <w:rsid w:val="003C0FEE"/>
    <w:rsid w:val="003C11EB"/>
    <w:rsid w:val="003C1465"/>
    <w:rsid w:val="003C1810"/>
    <w:rsid w:val="003C189B"/>
    <w:rsid w:val="003C1A51"/>
    <w:rsid w:val="003C1C05"/>
    <w:rsid w:val="003C200F"/>
    <w:rsid w:val="003C22E4"/>
    <w:rsid w:val="003C2317"/>
    <w:rsid w:val="003C2727"/>
    <w:rsid w:val="003C281A"/>
    <w:rsid w:val="003C2841"/>
    <w:rsid w:val="003C2BEE"/>
    <w:rsid w:val="003C2C2C"/>
    <w:rsid w:val="003C2D47"/>
    <w:rsid w:val="003C2D6C"/>
    <w:rsid w:val="003C2EDE"/>
    <w:rsid w:val="003C302A"/>
    <w:rsid w:val="003C335D"/>
    <w:rsid w:val="003C33EA"/>
    <w:rsid w:val="003C3419"/>
    <w:rsid w:val="003C3563"/>
    <w:rsid w:val="003C3639"/>
    <w:rsid w:val="003C372F"/>
    <w:rsid w:val="003C38AF"/>
    <w:rsid w:val="003C3987"/>
    <w:rsid w:val="003C3D74"/>
    <w:rsid w:val="003C4192"/>
    <w:rsid w:val="003C4230"/>
    <w:rsid w:val="003C42C4"/>
    <w:rsid w:val="003C42D3"/>
    <w:rsid w:val="003C449C"/>
    <w:rsid w:val="003C44AF"/>
    <w:rsid w:val="003C4AC2"/>
    <w:rsid w:val="003C4B3D"/>
    <w:rsid w:val="003C4BD7"/>
    <w:rsid w:val="003C4C09"/>
    <w:rsid w:val="003C4EBF"/>
    <w:rsid w:val="003C4F14"/>
    <w:rsid w:val="003C5078"/>
    <w:rsid w:val="003C5230"/>
    <w:rsid w:val="003C5389"/>
    <w:rsid w:val="003C5F0E"/>
    <w:rsid w:val="003C5FAA"/>
    <w:rsid w:val="003C630F"/>
    <w:rsid w:val="003C63BF"/>
    <w:rsid w:val="003C6457"/>
    <w:rsid w:val="003C66AE"/>
    <w:rsid w:val="003C6AEF"/>
    <w:rsid w:val="003C6C2D"/>
    <w:rsid w:val="003C6CF9"/>
    <w:rsid w:val="003C708C"/>
    <w:rsid w:val="003C71A1"/>
    <w:rsid w:val="003C71BE"/>
    <w:rsid w:val="003C7586"/>
    <w:rsid w:val="003C7596"/>
    <w:rsid w:val="003C780D"/>
    <w:rsid w:val="003C7C2D"/>
    <w:rsid w:val="003C7C86"/>
    <w:rsid w:val="003C7E79"/>
    <w:rsid w:val="003D00B2"/>
    <w:rsid w:val="003D0237"/>
    <w:rsid w:val="003D0489"/>
    <w:rsid w:val="003D08BD"/>
    <w:rsid w:val="003D0B2B"/>
    <w:rsid w:val="003D0CE2"/>
    <w:rsid w:val="003D0DF2"/>
    <w:rsid w:val="003D0F62"/>
    <w:rsid w:val="003D1056"/>
    <w:rsid w:val="003D123D"/>
    <w:rsid w:val="003D149A"/>
    <w:rsid w:val="003D163A"/>
    <w:rsid w:val="003D1751"/>
    <w:rsid w:val="003D1873"/>
    <w:rsid w:val="003D1D94"/>
    <w:rsid w:val="003D1DA3"/>
    <w:rsid w:val="003D2099"/>
    <w:rsid w:val="003D236A"/>
    <w:rsid w:val="003D2677"/>
    <w:rsid w:val="003D26D9"/>
    <w:rsid w:val="003D2905"/>
    <w:rsid w:val="003D2A61"/>
    <w:rsid w:val="003D2CAE"/>
    <w:rsid w:val="003D2CF3"/>
    <w:rsid w:val="003D2EAE"/>
    <w:rsid w:val="003D2EDA"/>
    <w:rsid w:val="003D306B"/>
    <w:rsid w:val="003D31BA"/>
    <w:rsid w:val="003D35DB"/>
    <w:rsid w:val="003D38DC"/>
    <w:rsid w:val="003D3967"/>
    <w:rsid w:val="003D3A7B"/>
    <w:rsid w:val="003D3E76"/>
    <w:rsid w:val="003D3EBB"/>
    <w:rsid w:val="003D3F76"/>
    <w:rsid w:val="003D4390"/>
    <w:rsid w:val="003D4423"/>
    <w:rsid w:val="003D45F5"/>
    <w:rsid w:val="003D48EA"/>
    <w:rsid w:val="003D48F4"/>
    <w:rsid w:val="003D4E3E"/>
    <w:rsid w:val="003D538C"/>
    <w:rsid w:val="003D566E"/>
    <w:rsid w:val="003D5A2B"/>
    <w:rsid w:val="003D5E10"/>
    <w:rsid w:val="003D616B"/>
    <w:rsid w:val="003D6425"/>
    <w:rsid w:val="003D6804"/>
    <w:rsid w:val="003D682C"/>
    <w:rsid w:val="003D68EC"/>
    <w:rsid w:val="003D6959"/>
    <w:rsid w:val="003D6B37"/>
    <w:rsid w:val="003D6EA2"/>
    <w:rsid w:val="003D6EC3"/>
    <w:rsid w:val="003D6F5D"/>
    <w:rsid w:val="003D6F85"/>
    <w:rsid w:val="003D6FC7"/>
    <w:rsid w:val="003D7186"/>
    <w:rsid w:val="003D73B5"/>
    <w:rsid w:val="003D789D"/>
    <w:rsid w:val="003D7BD4"/>
    <w:rsid w:val="003D7C6B"/>
    <w:rsid w:val="003D7CEA"/>
    <w:rsid w:val="003D7F46"/>
    <w:rsid w:val="003D7F92"/>
    <w:rsid w:val="003E032D"/>
    <w:rsid w:val="003E0340"/>
    <w:rsid w:val="003E03B2"/>
    <w:rsid w:val="003E06C4"/>
    <w:rsid w:val="003E08C3"/>
    <w:rsid w:val="003E0ADA"/>
    <w:rsid w:val="003E0BF1"/>
    <w:rsid w:val="003E0E7B"/>
    <w:rsid w:val="003E11F2"/>
    <w:rsid w:val="003E12EF"/>
    <w:rsid w:val="003E14B3"/>
    <w:rsid w:val="003E1597"/>
    <w:rsid w:val="003E15DA"/>
    <w:rsid w:val="003E16E4"/>
    <w:rsid w:val="003E1873"/>
    <w:rsid w:val="003E187C"/>
    <w:rsid w:val="003E191A"/>
    <w:rsid w:val="003E2147"/>
    <w:rsid w:val="003E221A"/>
    <w:rsid w:val="003E2676"/>
    <w:rsid w:val="003E2884"/>
    <w:rsid w:val="003E28B3"/>
    <w:rsid w:val="003E292B"/>
    <w:rsid w:val="003E296F"/>
    <w:rsid w:val="003E3248"/>
    <w:rsid w:val="003E3360"/>
    <w:rsid w:val="003E337A"/>
    <w:rsid w:val="003E3722"/>
    <w:rsid w:val="003E38EE"/>
    <w:rsid w:val="003E38FC"/>
    <w:rsid w:val="003E3AFE"/>
    <w:rsid w:val="003E3BA8"/>
    <w:rsid w:val="003E3E92"/>
    <w:rsid w:val="003E4032"/>
    <w:rsid w:val="003E425C"/>
    <w:rsid w:val="003E4262"/>
    <w:rsid w:val="003E4277"/>
    <w:rsid w:val="003E4717"/>
    <w:rsid w:val="003E4801"/>
    <w:rsid w:val="003E4908"/>
    <w:rsid w:val="003E4A8F"/>
    <w:rsid w:val="003E4A9B"/>
    <w:rsid w:val="003E4B00"/>
    <w:rsid w:val="003E4B4A"/>
    <w:rsid w:val="003E4C37"/>
    <w:rsid w:val="003E502A"/>
    <w:rsid w:val="003E526F"/>
    <w:rsid w:val="003E52E4"/>
    <w:rsid w:val="003E5363"/>
    <w:rsid w:val="003E5468"/>
    <w:rsid w:val="003E5527"/>
    <w:rsid w:val="003E5638"/>
    <w:rsid w:val="003E59CF"/>
    <w:rsid w:val="003E5AB8"/>
    <w:rsid w:val="003E5CAA"/>
    <w:rsid w:val="003E6282"/>
    <w:rsid w:val="003E62D2"/>
    <w:rsid w:val="003E63EC"/>
    <w:rsid w:val="003E64DC"/>
    <w:rsid w:val="003E655F"/>
    <w:rsid w:val="003E6787"/>
    <w:rsid w:val="003E68E3"/>
    <w:rsid w:val="003E69EB"/>
    <w:rsid w:val="003E6A62"/>
    <w:rsid w:val="003E6D67"/>
    <w:rsid w:val="003E6ED1"/>
    <w:rsid w:val="003E7045"/>
    <w:rsid w:val="003E707F"/>
    <w:rsid w:val="003E7145"/>
    <w:rsid w:val="003E72CD"/>
    <w:rsid w:val="003E73F5"/>
    <w:rsid w:val="003E7490"/>
    <w:rsid w:val="003E74CB"/>
    <w:rsid w:val="003E797C"/>
    <w:rsid w:val="003E7A47"/>
    <w:rsid w:val="003E7A56"/>
    <w:rsid w:val="003E7B44"/>
    <w:rsid w:val="003E7F60"/>
    <w:rsid w:val="003E7FD0"/>
    <w:rsid w:val="003F0022"/>
    <w:rsid w:val="003F04B8"/>
    <w:rsid w:val="003F0509"/>
    <w:rsid w:val="003F071D"/>
    <w:rsid w:val="003F07A6"/>
    <w:rsid w:val="003F0967"/>
    <w:rsid w:val="003F0D33"/>
    <w:rsid w:val="003F0F1A"/>
    <w:rsid w:val="003F0F43"/>
    <w:rsid w:val="003F11ED"/>
    <w:rsid w:val="003F13FC"/>
    <w:rsid w:val="003F1506"/>
    <w:rsid w:val="003F19A5"/>
    <w:rsid w:val="003F1BBF"/>
    <w:rsid w:val="003F1E3B"/>
    <w:rsid w:val="003F1EBE"/>
    <w:rsid w:val="003F219A"/>
    <w:rsid w:val="003F22CB"/>
    <w:rsid w:val="003F233E"/>
    <w:rsid w:val="003F25A1"/>
    <w:rsid w:val="003F26B4"/>
    <w:rsid w:val="003F2A03"/>
    <w:rsid w:val="003F2B67"/>
    <w:rsid w:val="003F2BC9"/>
    <w:rsid w:val="003F2C00"/>
    <w:rsid w:val="003F2D7C"/>
    <w:rsid w:val="003F2D88"/>
    <w:rsid w:val="003F2FE9"/>
    <w:rsid w:val="003F34C0"/>
    <w:rsid w:val="003F3671"/>
    <w:rsid w:val="003F39C8"/>
    <w:rsid w:val="003F3F93"/>
    <w:rsid w:val="003F4195"/>
    <w:rsid w:val="003F44E6"/>
    <w:rsid w:val="003F486B"/>
    <w:rsid w:val="003F495B"/>
    <w:rsid w:val="003F4C48"/>
    <w:rsid w:val="003F4C59"/>
    <w:rsid w:val="003F4D0A"/>
    <w:rsid w:val="003F4DE7"/>
    <w:rsid w:val="003F4E09"/>
    <w:rsid w:val="003F4F4B"/>
    <w:rsid w:val="003F5059"/>
    <w:rsid w:val="003F50C4"/>
    <w:rsid w:val="003F51E4"/>
    <w:rsid w:val="003F52A6"/>
    <w:rsid w:val="003F5372"/>
    <w:rsid w:val="003F546A"/>
    <w:rsid w:val="003F57C3"/>
    <w:rsid w:val="003F5A49"/>
    <w:rsid w:val="003F5AC7"/>
    <w:rsid w:val="003F5DAA"/>
    <w:rsid w:val="003F5E9F"/>
    <w:rsid w:val="003F621F"/>
    <w:rsid w:val="003F656E"/>
    <w:rsid w:val="003F6632"/>
    <w:rsid w:val="003F66E3"/>
    <w:rsid w:val="003F6C9D"/>
    <w:rsid w:val="003F715D"/>
    <w:rsid w:val="003F7181"/>
    <w:rsid w:val="003F7207"/>
    <w:rsid w:val="003F726B"/>
    <w:rsid w:val="003F72D0"/>
    <w:rsid w:val="003F764F"/>
    <w:rsid w:val="003F7768"/>
    <w:rsid w:val="003F7815"/>
    <w:rsid w:val="003F7875"/>
    <w:rsid w:val="003F7AD9"/>
    <w:rsid w:val="004000A4"/>
    <w:rsid w:val="004000E7"/>
    <w:rsid w:val="00400328"/>
    <w:rsid w:val="00400347"/>
    <w:rsid w:val="0040056E"/>
    <w:rsid w:val="00400576"/>
    <w:rsid w:val="00400883"/>
    <w:rsid w:val="00400BCF"/>
    <w:rsid w:val="00400D51"/>
    <w:rsid w:val="00401123"/>
    <w:rsid w:val="0040128B"/>
    <w:rsid w:val="004012D7"/>
    <w:rsid w:val="0040153F"/>
    <w:rsid w:val="00401829"/>
    <w:rsid w:val="00401A33"/>
    <w:rsid w:val="00401D12"/>
    <w:rsid w:val="00401D85"/>
    <w:rsid w:val="00401DAE"/>
    <w:rsid w:val="00401ECA"/>
    <w:rsid w:val="00401F00"/>
    <w:rsid w:val="00401F70"/>
    <w:rsid w:val="004020CB"/>
    <w:rsid w:val="00402201"/>
    <w:rsid w:val="004022B8"/>
    <w:rsid w:val="004022D8"/>
    <w:rsid w:val="00402706"/>
    <w:rsid w:val="00402A85"/>
    <w:rsid w:val="00402B1A"/>
    <w:rsid w:val="00402D1C"/>
    <w:rsid w:val="00402FA5"/>
    <w:rsid w:val="004031F9"/>
    <w:rsid w:val="00403618"/>
    <w:rsid w:val="00403680"/>
    <w:rsid w:val="004037B4"/>
    <w:rsid w:val="004039E1"/>
    <w:rsid w:val="00403A51"/>
    <w:rsid w:val="00403BF1"/>
    <w:rsid w:val="00403E06"/>
    <w:rsid w:val="00403F5A"/>
    <w:rsid w:val="00404452"/>
    <w:rsid w:val="0040454B"/>
    <w:rsid w:val="004045A7"/>
    <w:rsid w:val="00404615"/>
    <w:rsid w:val="00404CB9"/>
    <w:rsid w:val="00404D79"/>
    <w:rsid w:val="00404DBC"/>
    <w:rsid w:val="00404DBD"/>
    <w:rsid w:val="00404DD8"/>
    <w:rsid w:val="00404DF7"/>
    <w:rsid w:val="00404F51"/>
    <w:rsid w:val="00405342"/>
    <w:rsid w:val="0040535E"/>
    <w:rsid w:val="004054FE"/>
    <w:rsid w:val="00405542"/>
    <w:rsid w:val="0040571E"/>
    <w:rsid w:val="00405769"/>
    <w:rsid w:val="00405860"/>
    <w:rsid w:val="00405886"/>
    <w:rsid w:val="004059C0"/>
    <w:rsid w:val="00405A52"/>
    <w:rsid w:val="00405E0F"/>
    <w:rsid w:val="00406063"/>
    <w:rsid w:val="004061B3"/>
    <w:rsid w:val="004062C1"/>
    <w:rsid w:val="004069ED"/>
    <w:rsid w:val="00406BBD"/>
    <w:rsid w:val="00406C58"/>
    <w:rsid w:val="0040763D"/>
    <w:rsid w:val="00407731"/>
    <w:rsid w:val="00407D7B"/>
    <w:rsid w:val="00407E8C"/>
    <w:rsid w:val="00407FDF"/>
    <w:rsid w:val="00410069"/>
    <w:rsid w:val="0041033E"/>
    <w:rsid w:val="00410876"/>
    <w:rsid w:val="0041089E"/>
    <w:rsid w:val="00410928"/>
    <w:rsid w:val="004109B3"/>
    <w:rsid w:val="004109F5"/>
    <w:rsid w:val="00410A0A"/>
    <w:rsid w:val="00410A0F"/>
    <w:rsid w:val="00410B61"/>
    <w:rsid w:val="0041101E"/>
    <w:rsid w:val="00411A61"/>
    <w:rsid w:val="00411AE8"/>
    <w:rsid w:val="00411F17"/>
    <w:rsid w:val="00412227"/>
    <w:rsid w:val="004125C8"/>
    <w:rsid w:val="004127BE"/>
    <w:rsid w:val="004129D5"/>
    <w:rsid w:val="00412B8E"/>
    <w:rsid w:val="00412FBD"/>
    <w:rsid w:val="004130F1"/>
    <w:rsid w:val="00413230"/>
    <w:rsid w:val="004133F0"/>
    <w:rsid w:val="00413623"/>
    <w:rsid w:val="00413ADA"/>
    <w:rsid w:val="00413B70"/>
    <w:rsid w:val="00413E6C"/>
    <w:rsid w:val="00413EB4"/>
    <w:rsid w:val="00413F47"/>
    <w:rsid w:val="00414130"/>
    <w:rsid w:val="0041459A"/>
    <w:rsid w:val="00414729"/>
    <w:rsid w:val="00414C35"/>
    <w:rsid w:val="004150DF"/>
    <w:rsid w:val="004151CD"/>
    <w:rsid w:val="004154F0"/>
    <w:rsid w:val="004155B3"/>
    <w:rsid w:val="00415722"/>
    <w:rsid w:val="004159D1"/>
    <w:rsid w:val="00415AB9"/>
    <w:rsid w:val="00415D9D"/>
    <w:rsid w:val="00415DD6"/>
    <w:rsid w:val="00415F02"/>
    <w:rsid w:val="0041613C"/>
    <w:rsid w:val="0041630A"/>
    <w:rsid w:val="0041634B"/>
    <w:rsid w:val="00416531"/>
    <w:rsid w:val="004169EA"/>
    <w:rsid w:val="00416D9E"/>
    <w:rsid w:val="00417940"/>
    <w:rsid w:val="00417AAF"/>
    <w:rsid w:val="00417B39"/>
    <w:rsid w:val="00417B5B"/>
    <w:rsid w:val="00417C78"/>
    <w:rsid w:val="00420226"/>
    <w:rsid w:val="00420307"/>
    <w:rsid w:val="004203F0"/>
    <w:rsid w:val="00420680"/>
    <w:rsid w:val="0042090E"/>
    <w:rsid w:val="00420B87"/>
    <w:rsid w:val="00420C83"/>
    <w:rsid w:val="00420D3A"/>
    <w:rsid w:val="00420FB5"/>
    <w:rsid w:val="0042103F"/>
    <w:rsid w:val="00421197"/>
    <w:rsid w:val="004211CF"/>
    <w:rsid w:val="00421285"/>
    <w:rsid w:val="004214C9"/>
    <w:rsid w:val="00421788"/>
    <w:rsid w:val="00421BD1"/>
    <w:rsid w:val="00421C31"/>
    <w:rsid w:val="00421DDF"/>
    <w:rsid w:val="00421E3E"/>
    <w:rsid w:val="00421EBA"/>
    <w:rsid w:val="00421EBB"/>
    <w:rsid w:val="0042206D"/>
    <w:rsid w:val="0042209A"/>
    <w:rsid w:val="00422392"/>
    <w:rsid w:val="0042270B"/>
    <w:rsid w:val="00422AB0"/>
    <w:rsid w:val="00422C5F"/>
    <w:rsid w:val="00422D2F"/>
    <w:rsid w:val="00423250"/>
    <w:rsid w:val="004233D5"/>
    <w:rsid w:val="00423757"/>
    <w:rsid w:val="00423A7D"/>
    <w:rsid w:val="00423B47"/>
    <w:rsid w:val="00424122"/>
    <w:rsid w:val="0042418E"/>
    <w:rsid w:val="00424205"/>
    <w:rsid w:val="00424261"/>
    <w:rsid w:val="00424662"/>
    <w:rsid w:val="004248D5"/>
    <w:rsid w:val="00424B27"/>
    <w:rsid w:val="00424BF3"/>
    <w:rsid w:val="00424D20"/>
    <w:rsid w:val="00424E53"/>
    <w:rsid w:val="00425217"/>
    <w:rsid w:val="0042524C"/>
    <w:rsid w:val="00425357"/>
    <w:rsid w:val="00425564"/>
    <w:rsid w:val="00425BB7"/>
    <w:rsid w:val="00426364"/>
    <w:rsid w:val="004263D4"/>
    <w:rsid w:val="00426418"/>
    <w:rsid w:val="0042652D"/>
    <w:rsid w:val="00426625"/>
    <w:rsid w:val="004267A2"/>
    <w:rsid w:val="00426872"/>
    <w:rsid w:val="0042695A"/>
    <w:rsid w:val="00426ADC"/>
    <w:rsid w:val="00426C06"/>
    <w:rsid w:val="00426C5F"/>
    <w:rsid w:val="00426D5A"/>
    <w:rsid w:val="00426DE1"/>
    <w:rsid w:val="00426E01"/>
    <w:rsid w:val="004273DD"/>
    <w:rsid w:val="004273E1"/>
    <w:rsid w:val="00427481"/>
    <w:rsid w:val="0042765C"/>
    <w:rsid w:val="004277B3"/>
    <w:rsid w:val="0042784C"/>
    <w:rsid w:val="00430106"/>
    <w:rsid w:val="0043031C"/>
    <w:rsid w:val="00430401"/>
    <w:rsid w:val="00430524"/>
    <w:rsid w:val="00430BA2"/>
    <w:rsid w:val="00430E89"/>
    <w:rsid w:val="00430F8B"/>
    <w:rsid w:val="00431056"/>
    <w:rsid w:val="00431098"/>
    <w:rsid w:val="004312C4"/>
    <w:rsid w:val="004317B3"/>
    <w:rsid w:val="004317EF"/>
    <w:rsid w:val="00431989"/>
    <w:rsid w:val="00431FEE"/>
    <w:rsid w:val="004320F6"/>
    <w:rsid w:val="004323EB"/>
    <w:rsid w:val="00432972"/>
    <w:rsid w:val="00432EDB"/>
    <w:rsid w:val="00432F46"/>
    <w:rsid w:val="004334C7"/>
    <w:rsid w:val="00433592"/>
    <w:rsid w:val="004335E8"/>
    <w:rsid w:val="0043388C"/>
    <w:rsid w:val="00433BD2"/>
    <w:rsid w:val="00433CB2"/>
    <w:rsid w:val="00433DBF"/>
    <w:rsid w:val="00433E2B"/>
    <w:rsid w:val="00434063"/>
    <w:rsid w:val="0043438F"/>
    <w:rsid w:val="00434512"/>
    <w:rsid w:val="00434787"/>
    <w:rsid w:val="00434AF2"/>
    <w:rsid w:val="00434C56"/>
    <w:rsid w:val="00434FD5"/>
    <w:rsid w:val="0043520B"/>
    <w:rsid w:val="004354C9"/>
    <w:rsid w:val="004355A1"/>
    <w:rsid w:val="0043573B"/>
    <w:rsid w:val="00435D45"/>
    <w:rsid w:val="00436362"/>
    <w:rsid w:val="004367C6"/>
    <w:rsid w:val="004368A9"/>
    <w:rsid w:val="00436985"/>
    <w:rsid w:val="00436D04"/>
    <w:rsid w:val="0043710E"/>
    <w:rsid w:val="00437163"/>
    <w:rsid w:val="0043731E"/>
    <w:rsid w:val="0043734C"/>
    <w:rsid w:val="0043735E"/>
    <w:rsid w:val="00437410"/>
    <w:rsid w:val="00437452"/>
    <w:rsid w:val="0043758A"/>
    <w:rsid w:val="004377A1"/>
    <w:rsid w:val="0043780F"/>
    <w:rsid w:val="0043783A"/>
    <w:rsid w:val="00437893"/>
    <w:rsid w:val="00437BE8"/>
    <w:rsid w:val="00437CC1"/>
    <w:rsid w:val="00437FEE"/>
    <w:rsid w:val="0044009A"/>
    <w:rsid w:val="0044048A"/>
    <w:rsid w:val="004406EB"/>
    <w:rsid w:val="004406F2"/>
    <w:rsid w:val="004406F4"/>
    <w:rsid w:val="00440B8D"/>
    <w:rsid w:val="00440D80"/>
    <w:rsid w:val="00440DAC"/>
    <w:rsid w:val="00441018"/>
    <w:rsid w:val="00441721"/>
    <w:rsid w:val="00441841"/>
    <w:rsid w:val="00441B4E"/>
    <w:rsid w:val="00441C7E"/>
    <w:rsid w:val="00441FB0"/>
    <w:rsid w:val="004425B0"/>
    <w:rsid w:val="00442767"/>
    <w:rsid w:val="00442795"/>
    <w:rsid w:val="00442E80"/>
    <w:rsid w:val="00443002"/>
    <w:rsid w:val="004433C5"/>
    <w:rsid w:val="0044354C"/>
    <w:rsid w:val="0044381D"/>
    <w:rsid w:val="00443B73"/>
    <w:rsid w:val="00443BA9"/>
    <w:rsid w:val="00443BF6"/>
    <w:rsid w:val="00443C7E"/>
    <w:rsid w:val="004440CE"/>
    <w:rsid w:val="004441C3"/>
    <w:rsid w:val="004443B7"/>
    <w:rsid w:val="00444430"/>
    <w:rsid w:val="004444E2"/>
    <w:rsid w:val="00444538"/>
    <w:rsid w:val="00444638"/>
    <w:rsid w:val="0044465F"/>
    <w:rsid w:val="00444809"/>
    <w:rsid w:val="00444A5F"/>
    <w:rsid w:val="00444B01"/>
    <w:rsid w:val="00444DDC"/>
    <w:rsid w:val="004451D8"/>
    <w:rsid w:val="00445291"/>
    <w:rsid w:val="004452C4"/>
    <w:rsid w:val="004454B7"/>
    <w:rsid w:val="004458A5"/>
    <w:rsid w:val="00445C43"/>
    <w:rsid w:val="00445C75"/>
    <w:rsid w:val="00445F30"/>
    <w:rsid w:val="00446ADC"/>
    <w:rsid w:val="00446CD9"/>
    <w:rsid w:val="00446DC3"/>
    <w:rsid w:val="00446E19"/>
    <w:rsid w:val="004474C3"/>
    <w:rsid w:val="004474CD"/>
    <w:rsid w:val="00447628"/>
    <w:rsid w:val="00447D3C"/>
    <w:rsid w:val="00447D60"/>
    <w:rsid w:val="00447E1D"/>
    <w:rsid w:val="00447F5F"/>
    <w:rsid w:val="00450404"/>
    <w:rsid w:val="004505F2"/>
    <w:rsid w:val="0045080B"/>
    <w:rsid w:val="00450B90"/>
    <w:rsid w:val="00450BE8"/>
    <w:rsid w:val="00450BFD"/>
    <w:rsid w:val="00450C3F"/>
    <w:rsid w:val="00450D30"/>
    <w:rsid w:val="00450EBB"/>
    <w:rsid w:val="00451275"/>
    <w:rsid w:val="004512A4"/>
    <w:rsid w:val="004512DC"/>
    <w:rsid w:val="00451402"/>
    <w:rsid w:val="00451560"/>
    <w:rsid w:val="004518A4"/>
    <w:rsid w:val="0045190F"/>
    <w:rsid w:val="00451B18"/>
    <w:rsid w:val="00451BEB"/>
    <w:rsid w:val="00451E87"/>
    <w:rsid w:val="00451ECC"/>
    <w:rsid w:val="004521FB"/>
    <w:rsid w:val="004522A5"/>
    <w:rsid w:val="0045258B"/>
    <w:rsid w:val="0045264F"/>
    <w:rsid w:val="004526F4"/>
    <w:rsid w:val="004527A9"/>
    <w:rsid w:val="004527E3"/>
    <w:rsid w:val="00452BFC"/>
    <w:rsid w:val="00452E9E"/>
    <w:rsid w:val="00452ED6"/>
    <w:rsid w:val="0045320D"/>
    <w:rsid w:val="0045325F"/>
    <w:rsid w:val="004533BA"/>
    <w:rsid w:val="004534FA"/>
    <w:rsid w:val="00453732"/>
    <w:rsid w:val="00453823"/>
    <w:rsid w:val="00453A17"/>
    <w:rsid w:val="00453B84"/>
    <w:rsid w:val="00453DBF"/>
    <w:rsid w:val="00453FB1"/>
    <w:rsid w:val="004540D4"/>
    <w:rsid w:val="0045425D"/>
    <w:rsid w:val="004544A2"/>
    <w:rsid w:val="0045469A"/>
    <w:rsid w:val="00454A21"/>
    <w:rsid w:val="00454B1B"/>
    <w:rsid w:val="00454B1F"/>
    <w:rsid w:val="00454B4B"/>
    <w:rsid w:val="00454EB3"/>
    <w:rsid w:val="0045546F"/>
    <w:rsid w:val="004554F1"/>
    <w:rsid w:val="004555C0"/>
    <w:rsid w:val="004556D1"/>
    <w:rsid w:val="00455924"/>
    <w:rsid w:val="00455FB2"/>
    <w:rsid w:val="0045601A"/>
    <w:rsid w:val="00456499"/>
    <w:rsid w:val="00456570"/>
    <w:rsid w:val="00456597"/>
    <w:rsid w:val="004565AE"/>
    <w:rsid w:val="0045665A"/>
    <w:rsid w:val="004566AE"/>
    <w:rsid w:val="00456701"/>
    <w:rsid w:val="004567D1"/>
    <w:rsid w:val="0045693F"/>
    <w:rsid w:val="00456AD8"/>
    <w:rsid w:val="00456F73"/>
    <w:rsid w:val="00456F92"/>
    <w:rsid w:val="004571A1"/>
    <w:rsid w:val="00457370"/>
    <w:rsid w:val="0045747A"/>
    <w:rsid w:val="00457641"/>
    <w:rsid w:val="00457670"/>
    <w:rsid w:val="00457AAB"/>
    <w:rsid w:val="00457CC3"/>
    <w:rsid w:val="00457F18"/>
    <w:rsid w:val="004608C3"/>
    <w:rsid w:val="00460940"/>
    <w:rsid w:val="004609AE"/>
    <w:rsid w:val="00460AE4"/>
    <w:rsid w:val="0046166F"/>
    <w:rsid w:val="0046179F"/>
    <w:rsid w:val="00461884"/>
    <w:rsid w:val="00461A1B"/>
    <w:rsid w:val="00461A48"/>
    <w:rsid w:val="00461AC4"/>
    <w:rsid w:val="00461C78"/>
    <w:rsid w:val="00461D56"/>
    <w:rsid w:val="00461DA4"/>
    <w:rsid w:val="00461EE5"/>
    <w:rsid w:val="00461FDB"/>
    <w:rsid w:val="00462118"/>
    <w:rsid w:val="0046241E"/>
    <w:rsid w:val="004625BB"/>
    <w:rsid w:val="00462959"/>
    <w:rsid w:val="004629F2"/>
    <w:rsid w:val="00462AF0"/>
    <w:rsid w:val="00462C08"/>
    <w:rsid w:val="00462C6B"/>
    <w:rsid w:val="00462E5B"/>
    <w:rsid w:val="00462E82"/>
    <w:rsid w:val="00462F25"/>
    <w:rsid w:val="00462F37"/>
    <w:rsid w:val="00462F5C"/>
    <w:rsid w:val="0046323D"/>
    <w:rsid w:val="00463398"/>
    <w:rsid w:val="0046356F"/>
    <w:rsid w:val="0046372E"/>
    <w:rsid w:val="004638EA"/>
    <w:rsid w:val="00463987"/>
    <w:rsid w:val="00463E9A"/>
    <w:rsid w:val="00463F05"/>
    <w:rsid w:val="00464540"/>
    <w:rsid w:val="004645B6"/>
    <w:rsid w:val="004648EA"/>
    <w:rsid w:val="00464B70"/>
    <w:rsid w:val="00464E25"/>
    <w:rsid w:val="00465155"/>
    <w:rsid w:val="0046548B"/>
    <w:rsid w:val="004656C6"/>
    <w:rsid w:val="00465AB1"/>
    <w:rsid w:val="00465B36"/>
    <w:rsid w:val="00465C8C"/>
    <w:rsid w:val="00465F68"/>
    <w:rsid w:val="00466012"/>
    <w:rsid w:val="00466256"/>
    <w:rsid w:val="00466580"/>
    <w:rsid w:val="004666C1"/>
    <w:rsid w:val="00466835"/>
    <w:rsid w:val="0046683F"/>
    <w:rsid w:val="00466A5C"/>
    <w:rsid w:val="00466AAB"/>
    <w:rsid w:val="00466E80"/>
    <w:rsid w:val="00467188"/>
    <w:rsid w:val="0046722C"/>
    <w:rsid w:val="0046723F"/>
    <w:rsid w:val="00467311"/>
    <w:rsid w:val="004678B2"/>
    <w:rsid w:val="00467929"/>
    <w:rsid w:val="00467D15"/>
    <w:rsid w:val="00467DE7"/>
    <w:rsid w:val="004701B9"/>
    <w:rsid w:val="00470258"/>
    <w:rsid w:val="0047032E"/>
    <w:rsid w:val="004703AC"/>
    <w:rsid w:val="0047049F"/>
    <w:rsid w:val="00470518"/>
    <w:rsid w:val="00470564"/>
    <w:rsid w:val="004705A2"/>
    <w:rsid w:val="00470AAD"/>
    <w:rsid w:val="00470BD5"/>
    <w:rsid w:val="00470BF4"/>
    <w:rsid w:val="00471200"/>
    <w:rsid w:val="00471241"/>
    <w:rsid w:val="0047190C"/>
    <w:rsid w:val="00472162"/>
    <w:rsid w:val="004721F6"/>
    <w:rsid w:val="00472443"/>
    <w:rsid w:val="004725CB"/>
    <w:rsid w:val="0047277F"/>
    <w:rsid w:val="00472A31"/>
    <w:rsid w:val="0047390D"/>
    <w:rsid w:val="00473EAE"/>
    <w:rsid w:val="00474205"/>
    <w:rsid w:val="00474251"/>
    <w:rsid w:val="00474338"/>
    <w:rsid w:val="004744A7"/>
    <w:rsid w:val="00474531"/>
    <w:rsid w:val="00474667"/>
    <w:rsid w:val="00474867"/>
    <w:rsid w:val="004748E7"/>
    <w:rsid w:val="00474B57"/>
    <w:rsid w:val="00474C7F"/>
    <w:rsid w:val="00474D31"/>
    <w:rsid w:val="00474D48"/>
    <w:rsid w:val="00474EBF"/>
    <w:rsid w:val="00474F2D"/>
    <w:rsid w:val="004752AB"/>
    <w:rsid w:val="0047533B"/>
    <w:rsid w:val="00475607"/>
    <w:rsid w:val="004756CE"/>
    <w:rsid w:val="00475B4D"/>
    <w:rsid w:val="00475E35"/>
    <w:rsid w:val="00475F07"/>
    <w:rsid w:val="0047615D"/>
    <w:rsid w:val="004761D4"/>
    <w:rsid w:val="004762FE"/>
    <w:rsid w:val="00476357"/>
    <w:rsid w:val="004766B1"/>
    <w:rsid w:val="0047677C"/>
    <w:rsid w:val="004768A1"/>
    <w:rsid w:val="00476BF0"/>
    <w:rsid w:val="00476C10"/>
    <w:rsid w:val="00476C25"/>
    <w:rsid w:val="00476C94"/>
    <w:rsid w:val="00476FF5"/>
    <w:rsid w:val="0047706D"/>
    <w:rsid w:val="004770FE"/>
    <w:rsid w:val="004771E0"/>
    <w:rsid w:val="004774D5"/>
    <w:rsid w:val="004775E0"/>
    <w:rsid w:val="00477775"/>
    <w:rsid w:val="00477840"/>
    <w:rsid w:val="00477B09"/>
    <w:rsid w:val="00477DD8"/>
    <w:rsid w:val="00477F15"/>
    <w:rsid w:val="00477F6D"/>
    <w:rsid w:val="00480259"/>
    <w:rsid w:val="00480804"/>
    <w:rsid w:val="00480D2F"/>
    <w:rsid w:val="00480DF1"/>
    <w:rsid w:val="004811FF"/>
    <w:rsid w:val="0048124C"/>
    <w:rsid w:val="004812E7"/>
    <w:rsid w:val="00481324"/>
    <w:rsid w:val="004813D4"/>
    <w:rsid w:val="00481530"/>
    <w:rsid w:val="00481D1A"/>
    <w:rsid w:val="00482352"/>
    <w:rsid w:val="00482446"/>
    <w:rsid w:val="00482584"/>
    <w:rsid w:val="00482DC5"/>
    <w:rsid w:val="00482E3F"/>
    <w:rsid w:val="00482E49"/>
    <w:rsid w:val="00482F36"/>
    <w:rsid w:val="00482F47"/>
    <w:rsid w:val="0048325C"/>
    <w:rsid w:val="0048329E"/>
    <w:rsid w:val="0048335E"/>
    <w:rsid w:val="00483439"/>
    <w:rsid w:val="004835E7"/>
    <w:rsid w:val="0048383F"/>
    <w:rsid w:val="004838B1"/>
    <w:rsid w:val="004838FA"/>
    <w:rsid w:val="00483D8B"/>
    <w:rsid w:val="00483E68"/>
    <w:rsid w:val="00483ECE"/>
    <w:rsid w:val="00483FB4"/>
    <w:rsid w:val="00483FE9"/>
    <w:rsid w:val="0048416E"/>
    <w:rsid w:val="00484270"/>
    <w:rsid w:val="00484304"/>
    <w:rsid w:val="00484606"/>
    <w:rsid w:val="00484A14"/>
    <w:rsid w:val="00484B8E"/>
    <w:rsid w:val="00484BAE"/>
    <w:rsid w:val="00484D64"/>
    <w:rsid w:val="00484DBE"/>
    <w:rsid w:val="004852DE"/>
    <w:rsid w:val="004852F5"/>
    <w:rsid w:val="004854AB"/>
    <w:rsid w:val="00485872"/>
    <w:rsid w:val="004858A5"/>
    <w:rsid w:val="00485B11"/>
    <w:rsid w:val="00485B1E"/>
    <w:rsid w:val="00485CB2"/>
    <w:rsid w:val="00485F03"/>
    <w:rsid w:val="00486345"/>
    <w:rsid w:val="004865E2"/>
    <w:rsid w:val="004868C0"/>
    <w:rsid w:val="004868F3"/>
    <w:rsid w:val="004869E1"/>
    <w:rsid w:val="00486A85"/>
    <w:rsid w:val="004873DD"/>
    <w:rsid w:val="004874E6"/>
    <w:rsid w:val="00487500"/>
    <w:rsid w:val="004876FF"/>
    <w:rsid w:val="0048778A"/>
    <w:rsid w:val="004877DE"/>
    <w:rsid w:val="004878F3"/>
    <w:rsid w:val="004900E9"/>
    <w:rsid w:val="0049013E"/>
    <w:rsid w:val="0049020C"/>
    <w:rsid w:val="004902BB"/>
    <w:rsid w:val="00490B51"/>
    <w:rsid w:val="00490B52"/>
    <w:rsid w:val="00491031"/>
    <w:rsid w:val="004914ED"/>
    <w:rsid w:val="004914F6"/>
    <w:rsid w:val="004918A3"/>
    <w:rsid w:val="00491A86"/>
    <w:rsid w:val="00491BB7"/>
    <w:rsid w:val="00491CE7"/>
    <w:rsid w:val="00491D08"/>
    <w:rsid w:val="00491E53"/>
    <w:rsid w:val="00491FD5"/>
    <w:rsid w:val="0049205F"/>
    <w:rsid w:val="004921D6"/>
    <w:rsid w:val="004922A0"/>
    <w:rsid w:val="0049234F"/>
    <w:rsid w:val="004923CF"/>
    <w:rsid w:val="0049260A"/>
    <w:rsid w:val="0049289B"/>
    <w:rsid w:val="004928F3"/>
    <w:rsid w:val="004929C6"/>
    <w:rsid w:val="00492DDD"/>
    <w:rsid w:val="0049339E"/>
    <w:rsid w:val="00493692"/>
    <w:rsid w:val="004936FD"/>
    <w:rsid w:val="0049383B"/>
    <w:rsid w:val="00493935"/>
    <w:rsid w:val="0049395D"/>
    <w:rsid w:val="00493CD2"/>
    <w:rsid w:val="00493CD3"/>
    <w:rsid w:val="00493D71"/>
    <w:rsid w:val="00493E71"/>
    <w:rsid w:val="00494236"/>
    <w:rsid w:val="004944EF"/>
    <w:rsid w:val="004945C7"/>
    <w:rsid w:val="00494663"/>
    <w:rsid w:val="00494866"/>
    <w:rsid w:val="00494961"/>
    <w:rsid w:val="00494A95"/>
    <w:rsid w:val="00494B4B"/>
    <w:rsid w:val="00494C35"/>
    <w:rsid w:val="00494D86"/>
    <w:rsid w:val="004950DB"/>
    <w:rsid w:val="00495286"/>
    <w:rsid w:val="00495487"/>
    <w:rsid w:val="004955B9"/>
    <w:rsid w:val="00495627"/>
    <w:rsid w:val="00495883"/>
    <w:rsid w:val="00495D4B"/>
    <w:rsid w:val="00495E90"/>
    <w:rsid w:val="00496101"/>
    <w:rsid w:val="00496105"/>
    <w:rsid w:val="00496267"/>
    <w:rsid w:val="0049630F"/>
    <w:rsid w:val="0049677A"/>
    <w:rsid w:val="004967DD"/>
    <w:rsid w:val="004968DB"/>
    <w:rsid w:val="004968E0"/>
    <w:rsid w:val="00496956"/>
    <w:rsid w:val="00496B4F"/>
    <w:rsid w:val="00496C44"/>
    <w:rsid w:val="0049700A"/>
    <w:rsid w:val="004971BD"/>
    <w:rsid w:val="0049730A"/>
    <w:rsid w:val="0049739D"/>
    <w:rsid w:val="00497458"/>
    <w:rsid w:val="004974AA"/>
    <w:rsid w:val="00497864"/>
    <w:rsid w:val="0049789A"/>
    <w:rsid w:val="00497FC4"/>
    <w:rsid w:val="00497FFA"/>
    <w:rsid w:val="004A006C"/>
    <w:rsid w:val="004A00B3"/>
    <w:rsid w:val="004A00F0"/>
    <w:rsid w:val="004A05D2"/>
    <w:rsid w:val="004A0837"/>
    <w:rsid w:val="004A087B"/>
    <w:rsid w:val="004A09C8"/>
    <w:rsid w:val="004A09CD"/>
    <w:rsid w:val="004A0B76"/>
    <w:rsid w:val="004A0C73"/>
    <w:rsid w:val="004A0CA4"/>
    <w:rsid w:val="004A0F09"/>
    <w:rsid w:val="004A1088"/>
    <w:rsid w:val="004A10CE"/>
    <w:rsid w:val="004A1113"/>
    <w:rsid w:val="004A1211"/>
    <w:rsid w:val="004A135B"/>
    <w:rsid w:val="004A140B"/>
    <w:rsid w:val="004A147C"/>
    <w:rsid w:val="004A150D"/>
    <w:rsid w:val="004A16B8"/>
    <w:rsid w:val="004A178D"/>
    <w:rsid w:val="004A1A85"/>
    <w:rsid w:val="004A1AB6"/>
    <w:rsid w:val="004A1AF5"/>
    <w:rsid w:val="004A1BA3"/>
    <w:rsid w:val="004A2087"/>
    <w:rsid w:val="004A21A6"/>
    <w:rsid w:val="004A2239"/>
    <w:rsid w:val="004A2341"/>
    <w:rsid w:val="004A2393"/>
    <w:rsid w:val="004A26B5"/>
    <w:rsid w:val="004A2948"/>
    <w:rsid w:val="004A2AC3"/>
    <w:rsid w:val="004A2D01"/>
    <w:rsid w:val="004A3196"/>
    <w:rsid w:val="004A3395"/>
    <w:rsid w:val="004A340F"/>
    <w:rsid w:val="004A39BC"/>
    <w:rsid w:val="004A3D96"/>
    <w:rsid w:val="004A3E26"/>
    <w:rsid w:val="004A3E51"/>
    <w:rsid w:val="004A436E"/>
    <w:rsid w:val="004A45B3"/>
    <w:rsid w:val="004A4756"/>
    <w:rsid w:val="004A475D"/>
    <w:rsid w:val="004A4B05"/>
    <w:rsid w:val="004A4BE6"/>
    <w:rsid w:val="004A4C2D"/>
    <w:rsid w:val="004A4CE5"/>
    <w:rsid w:val="004A5596"/>
    <w:rsid w:val="004A5873"/>
    <w:rsid w:val="004A58E4"/>
    <w:rsid w:val="004A599F"/>
    <w:rsid w:val="004A5D28"/>
    <w:rsid w:val="004A6261"/>
    <w:rsid w:val="004A6545"/>
    <w:rsid w:val="004A67DC"/>
    <w:rsid w:val="004A6B7B"/>
    <w:rsid w:val="004A6BA9"/>
    <w:rsid w:val="004A6C11"/>
    <w:rsid w:val="004A6C6D"/>
    <w:rsid w:val="004A6D61"/>
    <w:rsid w:val="004A6D9F"/>
    <w:rsid w:val="004A6F99"/>
    <w:rsid w:val="004A702D"/>
    <w:rsid w:val="004A7296"/>
    <w:rsid w:val="004A72AC"/>
    <w:rsid w:val="004A7615"/>
    <w:rsid w:val="004A77FC"/>
    <w:rsid w:val="004A7945"/>
    <w:rsid w:val="004A7D17"/>
    <w:rsid w:val="004A7E50"/>
    <w:rsid w:val="004A7F43"/>
    <w:rsid w:val="004B0345"/>
    <w:rsid w:val="004B03EC"/>
    <w:rsid w:val="004B03F2"/>
    <w:rsid w:val="004B059E"/>
    <w:rsid w:val="004B05B3"/>
    <w:rsid w:val="004B0603"/>
    <w:rsid w:val="004B06F1"/>
    <w:rsid w:val="004B09D5"/>
    <w:rsid w:val="004B0B33"/>
    <w:rsid w:val="004B0C3E"/>
    <w:rsid w:val="004B1269"/>
    <w:rsid w:val="004B13D1"/>
    <w:rsid w:val="004B1924"/>
    <w:rsid w:val="004B19AD"/>
    <w:rsid w:val="004B1A2A"/>
    <w:rsid w:val="004B1A88"/>
    <w:rsid w:val="004B1CCF"/>
    <w:rsid w:val="004B1F53"/>
    <w:rsid w:val="004B1FEE"/>
    <w:rsid w:val="004B1FF5"/>
    <w:rsid w:val="004B2070"/>
    <w:rsid w:val="004B20A5"/>
    <w:rsid w:val="004B2119"/>
    <w:rsid w:val="004B2172"/>
    <w:rsid w:val="004B2308"/>
    <w:rsid w:val="004B244D"/>
    <w:rsid w:val="004B262F"/>
    <w:rsid w:val="004B2714"/>
    <w:rsid w:val="004B2723"/>
    <w:rsid w:val="004B282C"/>
    <w:rsid w:val="004B286F"/>
    <w:rsid w:val="004B2870"/>
    <w:rsid w:val="004B28C0"/>
    <w:rsid w:val="004B2A95"/>
    <w:rsid w:val="004B2B70"/>
    <w:rsid w:val="004B2D15"/>
    <w:rsid w:val="004B2DA8"/>
    <w:rsid w:val="004B2EF5"/>
    <w:rsid w:val="004B317F"/>
    <w:rsid w:val="004B32D6"/>
    <w:rsid w:val="004B34EF"/>
    <w:rsid w:val="004B37D5"/>
    <w:rsid w:val="004B3864"/>
    <w:rsid w:val="004B3C43"/>
    <w:rsid w:val="004B3EFE"/>
    <w:rsid w:val="004B43A9"/>
    <w:rsid w:val="004B4509"/>
    <w:rsid w:val="004B46F1"/>
    <w:rsid w:val="004B472E"/>
    <w:rsid w:val="004B4AC1"/>
    <w:rsid w:val="004B4D76"/>
    <w:rsid w:val="004B5251"/>
    <w:rsid w:val="004B52A4"/>
    <w:rsid w:val="004B5329"/>
    <w:rsid w:val="004B5AA6"/>
    <w:rsid w:val="004B5AFC"/>
    <w:rsid w:val="004B5C9A"/>
    <w:rsid w:val="004B6019"/>
    <w:rsid w:val="004B6329"/>
    <w:rsid w:val="004B6345"/>
    <w:rsid w:val="004B6962"/>
    <w:rsid w:val="004B6A91"/>
    <w:rsid w:val="004B6E00"/>
    <w:rsid w:val="004B6E51"/>
    <w:rsid w:val="004B6E6E"/>
    <w:rsid w:val="004B6E87"/>
    <w:rsid w:val="004B725C"/>
    <w:rsid w:val="004B741B"/>
    <w:rsid w:val="004B7447"/>
    <w:rsid w:val="004B754D"/>
    <w:rsid w:val="004B7A92"/>
    <w:rsid w:val="004B7C0A"/>
    <w:rsid w:val="004B7D88"/>
    <w:rsid w:val="004B7DDE"/>
    <w:rsid w:val="004B7E01"/>
    <w:rsid w:val="004B7E2F"/>
    <w:rsid w:val="004C00A7"/>
    <w:rsid w:val="004C0358"/>
    <w:rsid w:val="004C0629"/>
    <w:rsid w:val="004C07A1"/>
    <w:rsid w:val="004C0804"/>
    <w:rsid w:val="004C0983"/>
    <w:rsid w:val="004C0AC5"/>
    <w:rsid w:val="004C0C2C"/>
    <w:rsid w:val="004C0D5F"/>
    <w:rsid w:val="004C0DD3"/>
    <w:rsid w:val="004C0F62"/>
    <w:rsid w:val="004C1009"/>
    <w:rsid w:val="004C11E1"/>
    <w:rsid w:val="004C1247"/>
    <w:rsid w:val="004C15D2"/>
    <w:rsid w:val="004C1712"/>
    <w:rsid w:val="004C18C6"/>
    <w:rsid w:val="004C1F06"/>
    <w:rsid w:val="004C2381"/>
    <w:rsid w:val="004C2489"/>
    <w:rsid w:val="004C2500"/>
    <w:rsid w:val="004C271C"/>
    <w:rsid w:val="004C2899"/>
    <w:rsid w:val="004C2A69"/>
    <w:rsid w:val="004C2BB1"/>
    <w:rsid w:val="004C2CE0"/>
    <w:rsid w:val="004C2DC2"/>
    <w:rsid w:val="004C2FBB"/>
    <w:rsid w:val="004C31D0"/>
    <w:rsid w:val="004C3395"/>
    <w:rsid w:val="004C342F"/>
    <w:rsid w:val="004C371E"/>
    <w:rsid w:val="004C37D4"/>
    <w:rsid w:val="004C395B"/>
    <w:rsid w:val="004C3983"/>
    <w:rsid w:val="004C39DA"/>
    <w:rsid w:val="004C3E32"/>
    <w:rsid w:val="004C3EED"/>
    <w:rsid w:val="004C4060"/>
    <w:rsid w:val="004C40EE"/>
    <w:rsid w:val="004C4423"/>
    <w:rsid w:val="004C46D1"/>
    <w:rsid w:val="004C4E65"/>
    <w:rsid w:val="004C4EFC"/>
    <w:rsid w:val="004C52B2"/>
    <w:rsid w:val="004C59C1"/>
    <w:rsid w:val="004C5AC8"/>
    <w:rsid w:val="004C5BC0"/>
    <w:rsid w:val="004C5E8B"/>
    <w:rsid w:val="004C5FF1"/>
    <w:rsid w:val="004C615A"/>
    <w:rsid w:val="004C6231"/>
    <w:rsid w:val="004C63A3"/>
    <w:rsid w:val="004C6465"/>
    <w:rsid w:val="004C6669"/>
    <w:rsid w:val="004C692E"/>
    <w:rsid w:val="004C6A2F"/>
    <w:rsid w:val="004C7035"/>
    <w:rsid w:val="004C705A"/>
    <w:rsid w:val="004C7639"/>
    <w:rsid w:val="004C76AF"/>
    <w:rsid w:val="004C76E0"/>
    <w:rsid w:val="004C7C22"/>
    <w:rsid w:val="004C7CDF"/>
    <w:rsid w:val="004D00A3"/>
    <w:rsid w:val="004D01A0"/>
    <w:rsid w:val="004D01F0"/>
    <w:rsid w:val="004D032C"/>
    <w:rsid w:val="004D044D"/>
    <w:rsid w:val="004D0459"/>
    <w:rsid w:val="004D0A1C"/>
    <w:rsid w:val="004D0AB4"/>
    <w:rsid w:val="004D0C60"/>
    <w:rsid w:val="004D0EEA"/>
    <w:rsid w:val="004D0F62"/>
    <w:rsid w:val="004D143C"/>
    <w:rsid w:val="004D1541"/>
    <w:rsid w:val="004D15B8"/>
    <w:rsid w:val="004D1645"/>
    <w:rsid w:val="004D1648"/>
    <w:rsid w:val="004D17CC"/>
    <w:rsid w:val="004D1953"/>
    <w:rsid w:val="004D1A2A"/>
    <w:rsid w:val="004D1A75"/>
    <w:rsid w:val="004D1D64"/>
    <w:rsid w:val="004D1DCF"/>
    <w:rsid w:val="004D1E06"/>
    <w:rsid w:val="004D202B"/>
    <w:rsid w:val="004D23AC"/>
    <w:rsid w:val="004D250A"/>
    <w:rsid w:val="004D2551"/>
    <w:rsid w:val="004D26AB"/>
    <w:rsid w:val="004D279E"/>
    <w:rsid w:val="004D29C2"/>
    <w:rsid w:val="004D2A22"/>
    <w:rsid w:val="004D2B67"/>
    <w:rsid w:val="004D2D22"/>
    <w:rsid w:val="004D3434"/>
    <w:rsid w:val="004D354C"/>
    <w:rsid w:val="004D391F"/>
    <w:rsid w:val="004D3A02"/>
    <w:rsid w:val="004D3A7F"/>
    <w:rsid w:val="004D3B04"/>
    <w:rsid w:val="004D40A7"/>
    <w:rsid w:val="004D40E0"/>
    <w:rsid w:val="004D42CA"/>
    <w:rsid w:val="004D44D5"/>
    <w:rsid w:val="004D49A8"/>
    <w:rsid w:val="004D4D32"/>
    <w:rsid w:val="004D4ECB"/>
    <w:rsid w:val="004D5042"/>
    <w:rsid w:val="004D50B0"/>
    <w:rsid w:val="004D51FF"/>
    <w:rsid w:val="004D5377"/>
    <w:rsid w:val="004D5739"/>
    <w:rsid w:val="004D5ABE"/>
    <w:rsid w:val="004D5C4A"/>
    <w:rsid w:val="004D5E59"/>
    <w:rsid w:val="004D5EE1"/>
    <w:rsid w:val="004D5FD2"/>
    <w:rsid w:val="004D6347"/>
    <w:rsid w:val="004D63FA"/>
    <w:rsid w:val="004D6517"/>
    <w:rsid w:val="004D6681"/>
    <w:rsid w:val="004D66C1"/>
    <w:rsid w:val="004D66F0"/>
    <w:rsid w:val="004D6B80"/>
    <w:rsid w:val="004D6E2E"/>
    <w:rsid w:val="004D70A0"/>
    <w:rsid w:val="004D71FE"/>
    <w:rsid w:val="004D7617"/>
    <w:rsid w:val="004D7750"/>
    <w:rsid w:val="004D7B19"/>
    <w:rsid w:val="004D7C53"/>
    <w:rsid w:val="004D7D2E"/>
    <w:rsid w:val="004D7DB8"/>
    <w:rsid w:val="004E01CA"/>
    <w:rsid w:val="004E037A"/>
    <w:rsid w:val="004E0465"/>
    <w:rsid w:val="004E06D1"/>
    <w:rsid w:val="004E0D24"/>
    <w:rsid w:val="004E0EDB"/>
    <w:rsid w:val="004E0F47"/>
    <w:rsid w:val="004E132A"/>
    <w:rsid w:val="004E147E"/>
    <w:rsid w:val="004E1495"/>
    <w:rsid w:val="004E1C9F"/>
    <w:rsid w:val="004E1DC1"/>
    <w:rsid w:val="004E1DE5"/>
    <w:rsid w:val="004E1E37"/>
    <w:rsid w:val="004E1EA4"/>
    <w:rsid w:val="004E1F12"/>
    <w:rsid w:val="004E2022"/>
    <w:rsid w:val="004E203A"/>
    <w:rsid w:val="004E2160"/>
    <w:rsid w:val="004E2BB9"/>
    <w:rsid w:val="004E2D62"/>
    <w:rsid w:val="004E2E0E"/>
    <w:rsid w:val="004E2E2C"/>
    <w:rsid w:val="004E2EE4"/>
    <w:rsid w:val="004E30D3"/>
    <w:rsid w:val="004E3544"/>
    <w:rsid w:val="004E360B"/>
    <w:rsid w:val="004E36EE"/>
    <w:rsid w:val="004E3812"/>
    <w:rsid w:val="004E3AB5"/>
    <w:rsid w:val="004E3D3F"/>
    <w:rsid w:val="004E3FFD"/>
    <w:rsid w:val="004E41ED"/>
    <w:rsid w:val="004E4326"/>
    <w:rsid w:val="004E43E2"/>
    <w:rsid w:val="004E4491"/>
    <w:rsid w:val="004E44C0"/>
    <w:rsid w:val="004E4763"/>
    <w:rsid w:val="004E48AB"/>
    <w:rsid w:val="004E4934"/>
    <w:rsid w:val="004E4B81"/>
    <w:rsid w:val="004E4ECE"/>
    <w:rsid w:val="004E50F1"/>
    <w:rsid w:val="004E556E"/>
    <w:rsid w:val="004E55EB"/>
    <w:rsid w:val="004E5684"/>
    <w:rsid w:val="004E5819"/>
    <w:rsid w:val="004E59C8"/>
    <w:rsid w:val="004E60EF"/>
    <w:rsid w:val="004E6126"/>
    <w:rsid w:val="004E615A"/>
    <w:rsid w:val="004E62C6"/>
    <w:rsid w:val="004E64B6"/>
    <w:rsid w:val="004E669E"/>
    <w:rsid w:val="004E67C2"/>
    <w:rsid w:val="004E6A09"/>
    <w:rsid w:val="004E6CE5"/>
    <w:rsid w:val="004E6D21"/>
    <w:rsid w:val="004E6E35"/>
    <w:rsid w:val="004E701C"/>
    <w:rsid w:val="004E71CB"/>
    <w:rsid w:val="004E735E"/>
    <w:rsid w:val="004E73A8"/>
    <w:rsid w:val="004E7459"/>
    <w:rsid w:val="004E7667"/>
    <w:rsid w:val="004E7840"/>
    <w:rsid w:val="004E7A10"/>
    <w:rsid w:val="004E7BA9"/>
    <w:rsid w:val="004E7D4E"/>
    <w:rsid w:val="004E7F33"/>
    <w:rsid w:val="004E7F5A"/>
    <w:rsid w:val="004F05AB"/>
    <w:rsid w:val="004F05DE"/>
    <w:rsid w:val="004F067D"/>
    <w:rsid w:val="004F07B4"/>
    <w:rsid w:val="004F0842"/>
    <w:rsid w:val="004F096D"/>
    <w:rsid w:val="004F0E1E"/>
    <w:rsid w:val="004F11C1"/>
    <w:rsid w:val="004F12BD"/>
    <w:rsid w:val="004F12D0"/>
    <w:rsid w:val="004F1498"/>
    <w:rsid w:val="004F14A8"/>
    <w:rsid w:val="004F16E1"/>
    <w:rsid w:val="004F177A"/>
    <w:rsid w:val="004F188D"/>
    <w:rsid w:val="004F18E4"/>
    <w:rsid w:val="004F19B8"/>
    <w:rsid w:val="004F1A08"/>
    <w:rsid w:val="004F1CC7"/>
    <w:rsid w:val="004F2049"/>
    <w:rsid w:val="004F227E"/>
    <w:rsid w:val="004F2781"/>
    <w:rsid w:val="004F27BC"/>
    <w:rsid w:val="004F2963"/>
    <w:rsid w:val="004F2A1B"/>
    <w:rsid w:val="004F2A48"/>
    <w:rsid w:val="004F2AB6"/>
    <w:rsid w:val="004F2AD3"/>
    <w:rsid w:val="004F2F46"/>
    <w:rsid w:val="004F303F"/>
    <w:rsid w:val="004F3091"/>
    <w:rsid w:val="004F336B"/>
    <w:rsid w:val="004F3855"/>
    <w:rsid w:val="004F3917"/>
    <w:rsid w:val="004F3C23"/>
    <w:rsid w:val="004F3F68"/>
    <w:rsid w:val="004F4358"/>
    <w:rsid w:val="004F44C7"/>
    <w:rsid w:val="004F49C7"/>
    <w:rsid w:val="004F4B9C"/>
    <w:rsid w:val="004F4EEB"/>
    <w:rsid w:val="004F5301"/>
    <w:rsid w:val="004F53D3"/>
    <w:rsid w:val="004F55EC"/>
    <w:rsid w:val="004F5733"/>
    <w:rsid w:val="004F584D"/>
    <w:rsid w:val="004F5AE1"/>
    <w:rsid w:val="004F5BB1"/>
    <w:rsid w:val="004F5EBC"/>
    <w:rsid w:val="004F61F0"/>
    <w:rsid w:val="004F6253"/>
    <w:rsid w:val="004F6567"/>
    <w:rsid w:val="004F675A"/>
    <w:rsid w:val="004F67ED"/>
    <w:rsid w:val="004F6EBC"/>
    <w:rsid w:val="004F70A2"/>
    <w:rsid w:val="004F726F"/>
    <w:rsid w:val="004F7594"/>
    <w:rsid w:val="004F7B6E"/>
    <w:rsid w:val="004F7D6D"/>
    <w:rsid w:val="004F7DBF"/>
    <w:rsid w:val="004F7FC2"/>
    <w:rsid w:val="00500298"/>
    <w:rsid w:val="0050048E"/>
    <w:rsid w:val="00500769"/>
    <w:rsid w:val="00500B07"/>
    <w:rsid w:val="00500D0A"/>
    <w:rsid w:val="005011E2"/>
    <w:rsid w:val="0050121C"/>
    <w:rsid w:val="005012D4"/>
    <w:rsid w:val="0050130E"/>
    <w:rsid w:val="005017EE"/>
    <w:rsid w:val="005018F9"/>
    <w:rsid w:val="00501C0A"/>
    <w:rsid w:val="00501C48"/>
    <w:rsid w:val="00501D82"/>
    <w:rsid w:val="00501FAD"/>
    <w:rsid w:val="00501FF1"/>
    <w:rsid w:val="00502017"/>
    <w:rsid w:val="0050204B"/>
    <w:rsid w:val="00502129"/>
    <w:rsid w:val="0050248A"/>
    <w:rsid w:val="0050265F"/>
    <w:rsid w:val="005026D2"/>
    <w:rsid w:val="00502876"/>
    <w:rsid w:val="00502CE7"/>
    <w:rsid w:val="00502FA8"/>
    <w:rsid w:val="00503076"/>
    <w:rsid w:val="005030C7"/>
    <w:rsid w:val="0050369C"/>
    <w:rsid w:val="005036D9"/>
    <w:rsid w:val="00503B66"/>
    <w:rsid w:val="00503C1F"/>
    <w:rsid w:val="00503D20"/>
    <w:rsid w:val="00503DA7"/>
    <w:rsid w:val="00503DF3"/>
    <w:rsid w:val="005043AB"/>
    <w:rsid w:val="005044F5"/>
    <w:rsid w:val="005048A3"/>
    <w:rsid w:val="00504A30"/>
    <w:rsid w:val="00504BBE"/>
    <w:rsid w:val="00504C3D"/>
    <w:rsid w:val="00504D79"/>
    <w:rsid w:val="00504E2E"/>
    <w:rsid w:val="005056D8"/>
    <w:rsid w:val="00505AA5"/>
    <w:rsid w:val="00506062"/>
    <w:rsid w:val="005062CA"/>
    <w:rsid w:val="0050659A"/>
    <w:rsid w:val="005066E7"/>
    <w:rsid w:val="00506774"/>
    <w:rsid w:val="005067AE"/>
    <w:rsid w:val="00506EDC"/>
    <w:rsid w:val="005070CD"/>
    <w:rsid w:val="00507149"/>
    <w:rsid w:val="005071AC"/>
    <w:rsid w:val="0050753E"/>
    <w:rsid w:val="00507602"/>
    <w:rsid w:val="0050779D"/>
    <w:rsid w:val="00507823"/>
    <w:rsid w:val="005078C3"/>
    <w:rsid w:val="00507A48"/>
    <w:rsid w:val="00507A6B"/>
    <w:rsid w:val="00507D11"/>
    <w:rsid w:val="00507D64"/>
    <w:rsid w:val="00507DD3"/>
    <w:rsid w:val="00507F2F"/>
    <w:rsid w:val="00507FED"/>
    <w:rsid w:val="0051000F"/>
    <w:rsid w:val="0051004F"/>
    <w:rsid w:val="0051009B"/>
    <w:rsid w:val="005100D3"/>
    <w:rsid w:val="00510253"/>
    <w:rsid w:val="00510274"/>
    <w:rsid w:val="005105ED"/>
    <w:rsid w:val="0051080E"/>
    <w:rsid w:val="00510AAC"/>
    <w:rsid w:val="00510BDF"/>
    <w:rsid w:val="00510C9E"/>
    <w:rsid w:val="00510CB2"/>
    <w:rsid w:val="00510DCD"/>
    <w:rsid w:val="00510DE6"/>
    <w:rsid w:val="00511006"/>
    <w:rsid w:val="0051104A"/>
    <w:rsid w:val="00511208"/>
    <w:rsid w:val="00511304"/>
    <w:rsid w:val="00511601"/>
    <w:rsid w:val="00511FC3"/>
    <w:rsid w:val="00512127"/>
    <w:rsid w:val="00512249"/>
    <w:rsid w:val="005123E4"/>
    <w:rsid w:val="005124A5"/>
    <w:rsid w:val="00512566"/>
    <w:rsid w:val="005126DD"/>
    <w:rsid w:val="005127C6"/>
    <w:rsid w:val="005129F6"/>
    <w:rsid w:val="0051305B"/>
    <w:rsid w:val="00513112"/>
    <w:rsid w:val="00513600"/>
    <w:rsid w:val="005136E0"/>
    <w:rsid w:val="005137E3"/>
    <w:rsid w:val="0051386D"/>
    <w:rsid w:val="005139EE"/>
    <w:rsid w:val="00513D89"/>
    <w:rsid w:val="00513F5F"/>
    <w:rsid w:val="00514334"/>
    <w:rsid w:val="00514725"/>
    <w:rsid w:val="00514B10"/>
    <w:rsid w:val="00514C09"/>
    <w:rsid w:val="00514C7E"/>
    <w:rsid w:val="00514E0F"/>
    <w:rsid w:val="00514F4E"/>
    <w:rsid w:val="0051529B"/>
    <w:rsid w:val="005152B2"/>
    <w:rsid w:val="00515525"/>
    <w:rsid w:val="0051563D"/>
    <w:rsid w:val="0051563E"/>
    <w:rsid w:val="005157A6"/>
    <w:rsid w:val="00515A44"/>
    <w:rsid w:val="00515BF3"/>
    <w:rsid w:val="00515D6C"/>
    <w:rsid w:val="00516279"/>
    <w:rsid w:val="00516344"/>
    <w:rsid w:val="00516457"/>
    <w:rsid w:val="00516646"/>
    <w:rsid w:val="00516775"/>
    <w:rsid w:val="00516C20"/>
    <w:rsid w:val="00516D03"/>
    <w:rsid w:val="00516E5E"/>
    <w:rsid w:val="005172C7"/>
    <w:rsid w:val="00517583"/>
    <w:rsid w:val="00517619"/>
    <w:rsid w:val="00517830"/>
    <w:rsid w:val="00517856"/>
    <w:rsid w:val="00517B03"/>
    <w:rsid w:val="00517CF3"/>
    <w:rsid w:val="00517DFD"/>
    <w:rsid w:val="0052024A"/>
    <w:rsid w:val="0052025C"/>
    <w:rsid w:val="00520530"/>
    <w:rsid w:val="00520861"/>
    <w:rsid w:val="00520960"/>
    <w:rsid w:val="00520A6A"/>
    <w:rsid w:val="00520BF6"/>
    <w:rsid w:val="00520BFA"/>
    <w:rsid w:val="00520D19"/>
    <w:rsid w:val="005210DE"/>
    <w:rsid w:val="00521117"/>
    <w:rsid w:val="00521126"/>
    <w:rsid w:val="005212CF"/>
    <w:rsid w:val="0052135C"/>
    <w:rsid w:val="00521581"/>
    <w:rsid w:val="005215CE"/>
    <w:rsid w:val="005217E7"/>
    <w:rsid w:val="00521B10"/>
    <w:rsid w:val="00521BF5"/>
    <w:rsid w:val="00521CE8"/>
    <w:rsid w:val="00521D58"/>
    <w:rsid w:val="00521DA1"/>
    <w:rsid w:val="00521E70"/>
    <w:rsid w:val="00522280"/>
    <w:rsid w:val="0052238C"/>
    <w:rsid w:val="0052241F"/>
    <w:rsid w:val="005226BE"/>
    <w:rsid w:val="00522A3F"/>
    <w:rsid w:val="00522BE1"/>
    <w:rsid w:val="00522CAB"/>
    <w:rsid w:val="00522D9E"/>
    <w:rsid w:val="00523362"/>
    <w:rsid w:val="00523535"/>
    <w:rsid w:val="005235B6"/>
    <w:rsid w:val="005237DD"/>
    <w:rsid w:val="00523A6F"/>
    <w:rsid w:val="00523F1C"/>
    <w:rsid w:val="00523FDE"/>
    <w:rsid w:val="0052415C"/>
    <w:rsid w:val="00524734"/>
    <w:rsid w:val="0052498E"/>
    <w:rsid w:val="005249E9"/>
    <w:rsid w:val="005250C5"/>
    <w:rsid w:val="005251C9"/>
    <w:rsid w:val="005252E0"/>
    <w:rsid w:val="00525570"/>
    <w:rsid w:val="0052567C"/>
    <w:rsid w:val="005258DE"/>
    <w:rsid w:val="0052593F"/>
    <w:rsid w:val="00525DFA"/>
    <w:rsid w:val="00526234"/>
    <w:rsid w:val="005269EE"/>
    <w:rsid w:val="00526A35"/>
    <w:rsid w:val="00526AD9"/>
    <w:rsid w:val="00526E86"/>
    <w:rsid w:val="00526FE9"/>
    <w:rsid w:val="005271B7"/>
    <w:rsid w:val="005272C7"/>
    <w:rsid w:val="005273FE"/>
    <w:rsid w:val="00527941"/>
    <w:rsid w:val="0052794E"/>
    <w:rsid w:val="00527AA9"/>
    <w:rsid w:val="005302D6"/>
    <w:rsid w:val="00530367"/>
    <w:rsid w:val="00530483"/>
    <w:rsid w:val="005307C5"/>
    <w:rsid w:val="005308CE"/>
    <w:rsid w:val="005309A4"/>
    <w:rsid w:val="005309AC"/>
    <w:rsid w:val="00530A3A"/>
    <w:rsid w:val="00530F9C"/>
    <w:rsid w:val="00531899"/>
    <w:rsid w:val="00531A29"/>
    <w:rsid w:val="00531C05"/>
    <w:rsid w:val="00531CD9"/>
    <w:rsid w:val="00531CEA"/>
    <w:rsid w:val="00531D15"/>
    <w:rsid w:val="00532183"/>
    <w:rsid w:val="005321C8"/>
    <w:rsid w:val="005322FE"/>
    <w:rsid w:val="00532517"/>
    <w:rsid w:val="0053276A"/>
    <w:rsid w:val="00532897"/>
    <w:rsid w:val="00532ABF"/>
    <w:rsid w:val="00532B1D"/>
    <w:rsid w:val="00532BA6"/>
    <w:rsid w:val="0053301E"/>
    <w:rsid w:val="0053303C"/>
    <w:rsid w:val="0053312C"/>
    <w:rsid w:val="0053319A"/>
    <w:rsid w:val="00533317"/>
    <w:rsid w:val="005335D2"/>
    <w:rsid w:val="005335F1"/>
    <w:rsid w:val="00533723"/>
    <w:rsid w:val="00533A39"/>
    <w:rsid w:val="00533C05"/>
    <w:rsid w:val="00533E5E"/>
    <w:rsid w:val="00533E9D"/>
    <w:rsid w:val="0053424D"/>
    <w:rsid w:val="005343F2"/>
    <w:rsid w:val="0053486E"/>
    <w:rsid w:val="005348CB"/>
    <w:rsid w:val="0053499D"/>
    <w:rsid w:val="00534B76"/>
    <w:rsid w:val="00534C73"/>
    <w:rsid w:val="00534D58"/>
    <w:rsid w:val="00534FE4"/>
    <w:rsid w:val="00535361"/>
    <w:rsid w:val="00535364"/>
    <w:rsid w:val="00535464"/>
    <w:rsid w:val="0053549B"/>
    <w:rsid w:val="0053553B"/>
    <w:rsid w:val="0053569F"/>
    <w:rsid w:val="00535AE1"/>
    <w:rsid w:val="00535BFD"/>
    <w:rsid w:val="00535F65"/>
    <w:rsid w:val="00536191"/>
    <w:rsid w:val="00536530"/>
    <w:rsid w:val="005366D0"/>
    <w:rsid w:val="00536875"/>
    <w:rsid w:val="00536AD8"/>
    <w:rsid w:val="00536AF0"/>
    <w:rsid w:val="00536B40"/>
    <w:rsid w:val="005370D3"/>
    <w:rsid w:val="0053719D"/>
    <w:rsid w:val="00537224"/>
    <w:rsid w:val="00537264"/>
    <w:rsid w:val="0053756C"/>
    <w:rsid w:val="005375C6"/>
    <w:rsid w:val="005377B4"/>
    <w:rsid w:val="00537ACD"/>
    <w:rsid w:val="00537D8A"/>
    <w:rsid w:val="00537E53"/>
    <w:rsid w:val="00537F4E"/>
    <w:rsid w:val="005407BD"/>
    <w:rsid w:val="0054092B"/>
    <w:rsid w:val="00540B0A"/>
    <w:rsid w:val="00540BA2"/>
    <w:rsid w:val="00540F33"/>
    <w:rsid w:val="00540F9A"/>
    <w:rsid w:val="00541AA2"/>
    <w:rsid w:val="00541E62"/>
    <w:rsid w:val="00542039"/>
    <w:rsid w:val="0054209B"/>
    <w:rsid w:val="0054210E"/>
    <w:rsid w:val="00542472"/>
    <w:rsid w:val="005425F1"/>
    <w:rsid w:val="00542662"/>
    <w:rsid w:val="0054280D"/>
    <w:rsid w:val="00542A83"/>
    <w:rsid w:val="00543174"/>
    <w:rsid w:val="00543431"/>
    <w:rsid w:val="0054349C"/>
    <w:rsid w:val="005436A6"/>
    <w:rsid w:val="00543868"/>
    <w:rsid w:val="005439E4"/>
    <w:rsid w:val="00543C7E"/>
    <w:rsid w:val="00543EEF"/>
    <w:rsid w:val="00543F36"/>
    <w:rsid w:val="00543F86"/>
    <w:rsid w:val="00544091"/>
    <w:rsid w:val="005442ED"/>
    <w:rsid w:val="005442FC"/>
    <w:rsid w:val="005443BB"/>
    <w:rsid w:val="0054459B"/>
    <w:rsid w:val="0054479E"/>
    <w:rsid w:val="005448BC"/>
    <w:rsid w:val="00544934"/>
    <w:rsid w:val="00544986"/>
    <w:rsid w:val="00544ACE"/>
    <w:rsid w:val="00544CD1"/>
    <w:rsid w:val="0054512D"/>
    <w:rsid w:val="00545162"/>
    <w:rsid w:val="005452EC"/>
    <w:rsid w:val="005453E3"/>
    <w:rsid w:val="005458CB"/>
    <w:rsid w:val="00545930"/>
    <w:rsid w:val="00545A89"/>
    <w:rsid w:val="00545B05"/>
    <w:rsid w:val="00545F6F"/>
    <w:rsid w:val="00545F8F"/>
    <w:rsid w:val="00546352"/>
    <w:rsid w:val="005464EE"/>
    <w:rsid w:val="005466F2"/>
    <w:rsid w:val="00546BED"/>
    <w:rsid w:val="00546FD9"/>
    <w:rsid w:val="00546FE7"/>
    <w:rsid w:val="0054709B"/>
    <w:rsid w:val="005471D1"/>
    <w:rsid w:val="00547607"/>
    <w:rsid w:val="0054765A"/>
    <w:rsid w:val="00547698"/>
    <w:rsid w:val="00547D5E"/>
    <w:rsid w:val="00550517"/>
    <w:rsid w:val="00550775"/>
    <w:rsid w:val="00550F03"/>
    <w:rsid w:val="00551132"/>
    <w:rsid w:val="00551160"/>
    <w:rsid w:val="005511E7"/>
    <w:rsid w:val="005516B5"/>
    <w:rsid w:val="005517D8"/>
    <w:rsid w:val="005521B7"/>
    <w:rsid w:val="00552813"/>
    <w:rsid w:val="005529A0"/>
    <w:rsid w:val="00553489"/>
    <w:rsid w:val="00553697"/>
    <w:rsid w:val="005538E3"/>
    <w:rsid w:val="00553A33"/>
    <w:rsid w:val="00553D80"/>
    <w:rsid w:val="00553E94"/>
    <w:rsid w:val="00554121"/>
    <w:rsid w:val="00554268"/>
    <w:rsid w:val="005545C4"/>
    <w:rsid w:val="00554A30"/>
    <w:rsid w:val="00554C92"/>
    <w:rsid w:val="00554F73"/>
    <w:rsid w:val="00555044"/>
    <w:rsid w:val="005550E7"/>
    <w:rsid w:val="00555116"/>
    <w:rsid w:val="00555250"/>
    <w:rsid w:val="00555925"/>
    <w:rsid w:val="00555FF9"/>
    <w:rsid w:val="0055616B"/>
    <w:rsid w:val="005565CA"/>
    <w:rsid w:val="00556738"/>
    <w:rsid w:val="005568EC"/>
    <w:rsid w:val="00556AFD"/>
    <w:rsid w:val="00556C60"/>
    <w:rsid w:val="00556CD8"/>
    <w:rsid w:val="00556EB2"/>
    <w:rsid w:val="00557583"/>
    <w:rsid w:val="005577F4"/>
    <w:rsid w:val="00557999"/>
    <w:rsid w:val="00557C87"/>
    <w:rsid w:val="00557D2B"/>
    <w:rsid w:val="00557D5F"/>
    <w:rsid w:val="00557EEC"/>
    <w:rsid w:val="00557F3B"/>
    <w:rsid w:val="00557F64"/>
    <w:rsid w:val="00560151"/>
    <w:rsid w:val="0056044C"/>
    <w:rsid w:val="0056046F"/>
    <w:rsid w:val="0056057D"/>
    <w:rsid w:val="00560B40"/>
    <w:rsid w:val="00560BFD"/>
    <w:rsid w:val="00560D05"/>
    <w:rsid w:val="00560E5C"/>
    <w:rsid w:val="00560F3F"/>
    <w:rsid w:val="0056114F"/>
    <w:rsid w:val="0056129A"/>
    <w:rsid w:val="005613CB"/>
    <w:rsid w:val="005613E5"/>
    <w:rsid w:val="0056148C"/>
    <w:rsid w:val="0056162C"/>
    <w:rsid w:val="005622C9"/>
    <w:rsid w:val="00562302"/>
    <w:rsid w:val="005625E5"/>
    <w:rsid w:val="00562630"/>
    <w:rsid w:val="00562C30"/>
    <w:rsid w:val="00563143"/>
    <w:rsid w:val="00563186"/>
    <w:rsid w:val="0056334B"/>
    <w:rsid w:val="00563D80"/>
    <w:rsid w:val="00563DBD"/>
    <w:rsid w:val="00563E19"/>
    <w:rsid w:val="00563E52"/>
    <w:rsid w:val="00564007"/>
    <w:rsid w:val="00564201"/>
    <w:rsid w:val="0056444D"/>
    <w:rsid w:val="00564C72"/>
    <w:rsid w:val="00564CFC"/>
    <w:rsid w:val="00564ECB"/>
    <w:rsid w:val="00564F91"/>
    <w:rsid w:val="00564FDD"/>
    <w:rsid w:val="00565003"/>
    <w:rsid w:val="00565114"/>
    <w:rsid w:val="00565122"/>
    <w:rsid w:val="0056520E"/>
    <w:rsid w:val="005657A4"/>
    <w:rsid w:val="005659FE"/>
    <w:rsid w:val="00565C26"/>
    <w:rsid w:val="00565D88"/>
    <w:rsid w:val="005660F6"/>
    <w:rsid w:val="0056610A"/>
    <w:rsid w:val="00566317"/>
    <w:rsid w:val="00566445"/>
    <w:rsid w:val="0056645C"/>
    <w:rsid w:val="00566590"/>
    <w:rsid w:val="0056666B"/>
    <w:rsid w:val="00566773"/>
    <w:rsid w:val="0056677E"/>
    <w:rsid w:val="00566836"/>
    <w:rsid w:val="0056687A"/>
    <w:rsid w:val="0056690B"/>
    <w:rsid w:val="00566910"/>
    <w:rsid w:val="0056697D"/>
    <w:rsid w:val="00566A05"/>
    <w:rsid w:val="00566B44"/>
    <w:rsid w:val="00566B9F"/>
    <w:rsid w:val="00566D60"/>
    <w:rsid w:val="00566DD2"/>
    <w:rsid w:val="00567C2F"/>
    <w:rsid w:val="00570422"/>
    <w:rsid w:val="005704EF"/>
    <w:rsid w:val="00570671"/>
    <w:rsid w:val="00570927"/>
    <w:rsid w:val="005709BC"/>
    <w:rsid w:val="00570DC4"/>
    <w:rsid w:val="005710CB"/>
    <w:rsid w:val="005713B3"/>
    <w:rsid w:val="005714C9"/>
    <w:rsid w:val="005714F7"/>
    <w:rsid w:val="00571A81"/>
    <w:rsid w:val="00571B71"/>
    <w:rsid w:val="00571B98"/>
    <w:rsid w:val="00571BB1"/>
    <w:rsid w:val="00572528"/>
    <w:rsid w:val="00572683"/>
    <w:rsid w:val="005726A4"/>
    <w:rsid w:val="0057270D"/>
    <w:rsid w:val="0057271C"/>
    <w:rsid w:val="005727CB"/>
    <w:rsid w:val="005728E2"/>
    <w:rsid w:val="005729EA"/>
    <w:rsid w:val="00572CB1"/>
    <w:rsid w:val="005733D0"/>
    <w:rsid w:val="00573487"/>
    <w:rsid w:val="00573504"/>
    <w:rsid w:val="0057355A"/>
    <w:rsid w:val="00573835"/>
    <w:rsid w:val="005739EB"/>
    <w:rsid w:val="00573E13"/>
    <w:rsid w:val="00573EE2"/>
    <w:rsid w:val="00573F42"/>
    <w:rsid w:val="005742E1"/>
    <w:rsid w:val="00574A6F"/>
    <w:rsid w:val="00574F74"/>
    <w:rsid w:val="00574FCD"/>
    <w:rsid w:val="0057506A"/>
    <w:rsid w:val="005754A8"/>
    <w:rsid w:val="00575A06"/>
    <w:rsid w:val="00575A08"/>
    <w:rsid w:val="00575A3C"/>
    <w:rsid w:val="00575D8D"/>
    <w:rsid w:val="00576105"/>
    <w:rsid w:val="0057617A"/>
    <w:rsid w:val="0057617D"/>
    <w:rsid w:val="005762A9"/>
    <w:rsid w:val="00576367"/>
    <w:rsid w:val="0057657D"/>
    <w:rsid w:val="00576AAE"/>
    <w:rsid w:val="00576B9C"/>
    <w:rsid w:val="00576C8E"/>
    <w:rsid w:val="005770A3"/>
    <w:rsid w:val="00577290"/>
    <w:rsid w:val="00577391"/>
    <w:rsid w:val="00577547"/>
    <w:rsid w:val="005776FE"/>
    <w:rsid w:val="00577858"/>
    <w:rsid w:val="005778EE"/>
    <w:rsid w:val="00577A2B"/>
    <w:rsid w:val="00577C31"/>
    <w:rsid w:val="00577CD4"/>
    <w:rsid w:val="00577DDF"/>
    <w:rsid w:val="005801C6"/>
    <w:rsid w:val="005806AA"/>
    <w:rsid w:val="0058070D"/>
    <w:rsid w:val="00580875"/>
    <w:rsid w:val="0058098E"/>
    <w:rsid w:val="005809BA"/>
    <w:rsid w:val="00580CDD"/>
    <w:rsid w:val="00580E81"/>
    <w:rsid w:val="00581242"/>
    <w:rsid w:val="005814D5"/>
    <w:rsid w:val="005815A9"/>
    <w:rsid w:val="00581741"/>
    <w:rsid w:val="0058198A"/>
    <w:rsid w:val="005819BB"/>
    <w:rsid w:val="00581C3A"/>
    <w:rsid w:val="00581C42"/>
    <w:rsid w:val="00581E04"/>
    <w:rsid w:val="00582052"/>
    <w:rsid w:val="00582129"/>
    <w:rsid w:val="00582409"/>
    <w:rsid w:val="005827DB"/>
    <w:rsid w:val="0058286D"/>
    <w:rsid w:val="0058294C"/>
    <w:rsid w:val="005829D0"/>
    <w:rsid w:val="005829FB"/>
    <w:rsid w:val="00582C12"/>
    <w:rsid w:val="00582CD5"/>
    <w:rsid w:val="00582F56"/>
    <w:rsid w:val="0058305E"/>
    <w:rsid w:val="0058339C"/>
    <w:rsid w:val="005835BA"/>
    <w:rsid w:val="005836C9"/>
    <w:rsid w:val="0058389F"/>
    <w:rsid w:val="0058397F"/>
    <w:rsid w:val="00583984"/>
    <w:rsid w:val="00583AF0"/>
    <w:rsid w:val="00583B33"/>
    <w:rsid w:val="00583B94"/>
    <w:rsid w:val="00583F7E"/>
    <w:rsid w:val="005841EC"/>
    <w:rsid w:val="0058422B"/>
    <w:rsid w:val="005842C3"/>
    <w:rsid w:val="005843ED"/>
    <w:rsid w:val="00584671"/>
    <w:rsid w:val="00584FBE"/>
    <w:rsid w:val="00585048"/>
    <w:rsid w:val="00585088"/>
    <w:rsid w:val="0058513B"/>
    <w:rsid w:val="0058531A"/>
    <w:rsid w:val="00585485"/>
    <w:rsid w:val="0058549E"/>
    <w:rsid w:val="005856F1"/>
    <w:rsid w:val="00585A8B"/>
    <w:rsid w:val="00585ACF"/>
    <w:rsid w:val="00585C5A"/>
    <w:rsid w:val="00585EB1"/>
    <w:rsid w:val="00585FD2"/>
    <w:rsid w:val="005868D4"/>
    <w:rsid w:val="00586ABC"/>
    <w:rsid w:val="00586DB2"/>
    <w:rsid w:val="00586FD9"/>
    <w:rsid w:val="0058700F"/>
    <w:rsid w:val="005871FB"/>
    <w:rsid w:val="00587370"/>
    <w:rsid w:val="0058739A"/>
    <w:rsid w:val="00587424"/>
    <w:rsid w:val="005875D5"/>
    <w:rsid w:val="005878A0"/>
    <w:rsid w:val="00587B34"/>
    <w:rsid w:val="00587BAF"/>
    <w:rsid w:val="00587ECF"/>
    <w:rsid w:val="00590295"/>
    <w:rsid w:val="005903EA"/>
    <w:rsid w:val="00590668"/>
    <w:rsid w:val="005906E1"/>
    <w:rsid w:val="005908FE"/>
    <w:rsid w:val="00590F44"/>
    <w:rsid w:val="00591324"/>
    <w:rsid w:val="00591373"/>
    <w:rsid w:val="00591497"/>
    <w:rsid w:val="00591ACB"/>
    <w:rsid w:val="00591B27"/>
    <w:rsid w:val="00591C5C"/>
    <w:rsid w:val="00591C95"/>
    <w:rsid w:val="00591CF6"/>
    <w:rsid w:val="00591EB3"/>
    <w:rsid w:val="00591ECB"/>
    <w:rsid w:val="00592B3D"/>
    <w:rsid w:val="00592B86"/>
    <w:rsid w:val="00592E11"/>
    <w:rsid w:val="00592E16"/>
    <w:rsid w:val="00592F0C"/>
    <w:rsid w:val="0059333B"/>
    <w:rsid w:val="00593599"/>
    <w:rsid w:val="0059378F"/>
    <w:rsid w:val="005938A4"/>
    <w:rsid w:val="005939CD"/>
    <w:rsid w:val="005939D0"/>
    <w:rsid w:val="00593C12"/>
    <w:rsid w:val="00593C57"/>
    <w:rsid w:val="00593C62"/>
    <w:rsid w:val="00593E92"/>
    <w:rsid w:val="00593FA3"/>
    <w:rsid w:val="005941B7"/>
    <w:rsid w:val="0059435E"/>
    <w:rsid w:val="0059458E"/>
    <w:rsid w:val="005945C0"/>
    <w:rsid w:val="005945F9"/>
    <w:rsid w:val="005946A0"/>
    <w:rsid w:val="0059477E"/>
    <w:rsid w:val="00594852"/>
    <w:rsid w:val="00594E75"/>
    <w:rsid w:val="00595225"/>
    <w:rsid w:val="00595F57"/>
    <w:rsid w:val="00595F73"/>
    <w:rsid w:val="00596081"/>
    <w:rsid w:val="00596184"/>
    <w:rsid w:val="005962E6"/>
    <w:rsid w:val="005962F0"/>
    <w:rsid w:val="00596324"/>
    <w:rsid w:val="00596410"/>
    <w:rsid w:val="005964B9"/>
    <w:rsid w:val="005966CE"/>
    <w:rsid w:val="005967B3"/>
    <w:rsid w:val="00596AFE"/>
    <w:rsid w:val="00596E18"/>
    <w:rsid w:val="00596E4E"/>
    <w:rsid w:val="00597287"/>
    <w:rsid w:val="00597460"/>
    <w:rsid w:val="00597521"/>
    <w:rsid w:val="00597896"/>
    <w:rsid w:val="0059791B"/>
    <w:rsid w:val="005A00D8"/>
    <w:rsid w:val="005A01C5"/>
    <w:rsid w:val="005A0217"/>
    <w:rsid w:val="005A0442"/>
    <w:rsid w:val="005A046D"/>
    <w:rsid w:val="005A04D0"/>
    <w:rsid w:val="005A04D8"/>
    <w:rsid w:val="005A05C2"/>
    <w:rsid w:val="005A07E4"/>
    <w:rsid w:val="005A0840"/>
    <w:rsid w:val="005A08BD"/>
    <w:rsid w:val="005A0951"/>
    <w:rsid w:val="005A0E27"/>
    <w:rsid w:val="005A10D1"/>
    <w:rsid w:val="005A1201"/>
    <w:rsid w:val="005A12E1"/>
    <w:rsid w:val="005A1408"/>
    <w:rsid w:val="005A1533"/>
    <w:rsid w:val="005A15C5"/>
    <w:rsid w:val="005A1612"/>
    <w:rsid w:val="005A1647"/>
    <w:rsid w:val="005A166D"/>
    <w:rsid w:val="005A1853"/>
    <w:rsid w:val="005A2160"/>
    <w:rsid w:val="005A25E7"/>
    <w:rsid w:val="005A2862"/>
    <w:rsid w:val="005A2977"/>
    <w:rsid w:val="005A2CD8"/>
    <w:rsid w:val="005A3216"/>
    <w:rsid w:val="005A379B"/>
    <w:rsid w:val="005A37F6"/>
    <w:rsid w:val="005A3968"/>
    <w:rsid w:val="005A3BC4"/>
    <w:rsid w:val="005A3C44"/>
    <w:rsid w:val="005A3E32"/>
    <w:rsid w:val="005A4265"/>
    <w:rsid w:val="005A4280"/>
    <w:rsid w:val="005A4658"/>
    <w:rsid w:val="005A4B4A"/>
    <w:rsid w:val="005A4C2F"/>
    <w:rsid w:val="005A4DE9"/>
    <w:rsid w:val="005A515F"/>
    <w:rsid w:val="005A5302"/>
    <w:rsid w:val="005A5744"/>
    <w:rsid w:val="005A5A67"/>
    <w:rsid w:val="005A5BC8"/>
    <w:rsid w:val="005A5F11"/>
    <w:rsid w:val="005A6071"/>
    <w:rsid w:val="005A60A2"/>
    <w:rsid w:val="005A62E4"/>
    <w:rsid w:val="005A6476"/>
    <w:rsid w:val="005A660E"/>
    <w:rsid w:val="005A673B"/>
    <w:rsid w:val="005A6C40"/>
    <w:rsid w:val="005A6FB9"/>
    <w:rsid w:val="005A7066"/>
    <w:rsid w:val="005A71E1"/>
    <w:rsid w:val="005A72A0"/>
    <w:rsid w:val="005A73C9"/>
    <w:rsid w:val="005A7B5C"/>
    <w:rsid w:val="005A7D78"/>
    <w:rsid w:val="005B0466"/>
    <w:rsid w:val="005B04C8"/>
    <w:rsid w:val="005B06F2"/>
    <w:rsid w:val="005B0AFF"/>
    <w:rsid w:val="005B0B47"/>
    <w:rsid w:val="005B0D81"/>
    <w:rsid w:val="005B0FAE"/>
    <w:rsid w:val="005B1420"/>
    <w:rsid w:val="005B14F0"/>
    <w:rsid w:val="005B1503"/>
    <w:rsid w:val="005B1546"/>
    <w:rsid w:val="005B1E2B"/>
    <w:rsid w:val="005B1F19"/>
    <w:rsid w:val="005B1FD3"/>
    <w:rsid w:val="005B2082"/>
    <w:rsid w:val="005B223D"/>
    <w:rsid w:val="005B2612"/>
    <w:rsid w:val="005B286C"/>
    <w:rsid w:val="005B2933"/>
    <w:rsid w:val="005B2E26"/>
    <w:rsid w:val="005B2E51"/>
    <w:rsid w:val="005B2FF2"/>
    <w:rsid w:val="005B3450"/>
    <w:rsid w:val="005B34A7"/>
    <w:rsid w:val="005B35A9"/>
    <w:rsid w:val="005B380F"/>
    <w:rsid w:val="005B38DC"/>
    <w:rsid w:val="005B39C8"/>
    <w:rsid w:val="005B3A54"/>
    <w:rsid w:val="005B3C30"/>
    <w:rsid w:val="005B3F08"/>
    <w:rsid w:val="005B3F42"/>
    <w:rsid w:val="005B3F66"/>
    <w:rsid w:val="005B3FC6"/>
    <w:rsid w:val="005B4073"/>
    <w:rsid w:val="005B407A"/>
    <w:rsid w:val="005B4124"/>
    <w:rsid w:val="005B43E8"/>
    <w:rsid w:val="005B45C2"/>
    <w:rsid w:val="005B45F8"/>
    <w:rsid w:val="005B4625"/>
    <w:rsid w:val="005B465E"/>
    <w:rsid w:val="005B4807"/>
    <w:rsid w:val="005B4996"/>
    <w:rsid w:val="005B49FA"/>
    <w:rsid w:val="005B4A67"/>
    <w:rsid w:val="005B4F60"/>
    <w:rsid w:val="005B4FC5"/>
    <w:rsid w:val="005B5104"/>
    <w:rsid w:val="005B52AB"/>
    <w:rsid w:val="005B6403"/>
    <w:rsid w:val="005B64C6"/>
    <w:rsid w:val="005B6539"/>
    <w:rsid w:val="005B6618"/>
    <w:rsid w:val="005B6AF4"/>
    <w:rsid w:val="005B6B83"/>
    <w:rsid w:val="005B6E6B"/>
    <w:rsid w:val="005B6F58"/>
    <w:rsid w:val="005B72C5"/>
    <w:rsid w:val="005B7444"/>
    <w:rsid w:val="005B767A"/>
    <w:rsid w:val="005B76A7"/>
    <w:rsid w:val="005B7DB5"/>
    <w:rsid w:val="005B7FF9"/>
    <w:rsid w:val="005C0010"/>
    <w:rsid w:val="005C003D"/>
    <w:rsid w:val="005C0248"/>
    <w:rsid w:val="005C03B5"/>
    <w:rsid w:val="005C0456"/>
    <w:rsid w:val="005C0A83"/>
    <w:rsid w:val="005C0B91"/>
    <w:rsid w:val="005C0C3B"/>
    <w:rsid w:val="005C0C71"/>
    <w:rsid w:val="005C0CE1"/>
    <w:rsid w:val="005C1152"/>
    <w:rsid w:val="005C1263"/>
    <w:rsid w:val="005C16D8"/>
    <w:rsid w:val="005C17B5"/>
    <w:rsid w:val="005C18C0"/>
    <w:rsid w:val="005C1AB2"/>
    <w:rsid w:val="005C1CA4"/>
    <w:rsid w:val="005C1D32"/>
    <w:rsid w:val="005C21C7"/>
    <w:rsid w:val="005C2256"/>
    <w:rsid w:val="005C2300"/>
    <w:rsid w:val="005C2416"/>
    <w:rsid w:val="005C2703"/>
    <w:rsid w:val="005C29BD"/>
    <w:rsid w:val="005C2A29"/>
    <w:rsid w:val="005C2A56"/>
    <w:rsid w:val="005C2A7B"/>
    <w:rsid w:val="005C2B77"/>
    <w:rsid w:val="005C2B7E"/>
    <w:rsid w:val="005C2D48"/>
    <w:rsid w:val="005C2DD8"/>
    <w:rsid w:val="005C2F7C"/>
    <w:rsid w:val="005C3260"/>
    <w:rsid w:val="005C330E"/>
    <w:rsid w:val="005C339F"/>
    <w:rsid w:val="005C3432"/>
    <w:rsid w:val="005C35E5"/>
    <w:rsid w:val="005C3989"/>
    <w:rsid w:val="005C3B9A"/>
    <w:rsid w:val="005C3DAA"/>
    <w:rsid w:val="005C3DB2"/>
    <w:rsid w:val="005C3DC4"/>
    <w:rsid w:val="005C3F5A"/>
    <w:rsid w:val="005C40C2"/>
    <w:rsid w:val="005C43D6"/>
    <w:rsid w:val="005C45EE"/>
    <w:rsid w:val="005C474D"/>
    <w:rsid w:val="005C4784"/>
    <w:rsid w:val="005C4A54"/>
    <w:rsid w:val="005C4B96"/>
    <w:rsid w:val="005C4D35"/>
    <w:rsid w:val="005C4DF4"/>
    <w:rsid w:val="005C4F17"/>
    <w:rsid w:val="005C5005"/>
    <w:rsid w:val="005C556C"/>
    <w:rsid w:val="005C55C6"/>
    <w:rsid w:val="005C56D6"/>
    <w:rsid w:val="005C573E"/>
    <w:rsid w:val="005C5821"/>
    <w:rsid w:val="005C5953"/>
    <w:rsid w:val="005C5E4B"/>
    <w:rsid w:val="005C5EE1"/>
    <w:rsid w:val="005C6232"/>
    <w:rsid w:val="005C62B1"/>
    <w:rsid w:val="005C62F5"/>
    <w:rsid w:val="005C633C"/>
    <w:rsid w:val="005C635C"/>
    <w:rsid w:val="005C65A8"/>
    <w:rsid w:val="005C65C6"/>
    <w:rsid w:val="005C6F37"/>
    <w:rsid w:val="005C6F41"/>
    <w:rsid w:val="005C70A5"/>
    <w:rsid w:val="005C7146"/>
    <w:rsid w:val="005C7271"/>
    <w:rsid w:val="005C749A"/>
    <w:rsid w:val="005C74CE"/>
    <w:rsid w:val="005C768F"/>
    <w:rsid w:val="005C7908"/>
    <w:rsid w:val="005C7D79"/>
    <w:rsid w:val="005C7EC1"/>
    <w:rsid w:val="005D01FB"/>
    <w:rsid w:val="005D0323"/>
    <w:rsid w:val="005D06F1"/>
    <w:rsid w:val="005D089D"/>
    <w:rsid w:val="005D09D0"/>
    <w:rsid w:val="005D0D03"/>
    <w:rsid w:val="005D0D20"/>
    <w:rsid w:val="005D10CB"/>
    <w:rsid w:val="005D12D2"/>
    <w:rsid w:val="005D13E6"/>
    <w:rsid w:val="005D1625"/>
    <w:rsid w:val="005D1B95"/>
    <w:rsid w:val="005D1BF9"/>
    <w:rsid w:val="005D1D68"/>
    <w:rsid w:val="005D1DAE"/>
    <w:rsid w:val="005D1E3E"/>
    <w:rsid w:val="005D1F22"/>
    <w:rsid w:val="005D1F80"/>
    <w:rsid w:val="005D20AF"/>
    <w:rsid w:val="005D2580"/>
    <w:rsid w:val="005D29A7"/>
    <w:rsid w:val="005D29EE"/>
    <w:rsid w:val="005D2D6C"/>
    <w:rsid w:val="005D2F04"/>
    <w:rsid w:val="005D2FD5"/>
    <w:rsid w:val="005D3271"/>
    <w:rsid w:val="005D342B"/>
    <w:rsid w:val="005D342F"/>
    <w:rsid w:val="005D3BA4"/>
    <w:rsid w:val="005D40B1"/>
    <w:rsid w:val="005D4259"/>
    <w:rsid w:val="005D4734"/>
    <w:rsid w:val="005D4810"/>
    <w:rsid w:val="005D497A"/>
    <w:rsid w:val="005D4BA1"/>
    <w:rsid w:val="005D4CE8"/>
    <w:rsid w:val="005D4F46"/>
    <w:rsid w:val="005D5A77"/>
    <w:rsid w:val="005D5E53"/>
    <w:rsid w:val="005D5FD2"/>
    <w:rsid w:val="005D60D4"/>
    <w:rsid w:val="005D63A6"/>
    <w:rsid w:val="005D656D"/>
    <w:rsid w:val="005D6655"/>
    <w:rsid w:val="005D67AF"/>
    <w:rsid w:val="005D6C23"/>
    <w:rsid w:val="005D7066"/>
    <w:rsid w:val="005D70A6"/>
    <w:rsid w:val="005D728D"/>
    <w:rsid w:val="005D7430"/>
    <w:rsid w:val="005D7473"/>
    <w:rsid w:val="005D74A4"/>
    <w:rsid w:val="005D76AE"/>
    <w:rsid w:val="005D76E1"/>
    <w:rsid w:val="005D79E9"/>
    <w:rsid w:val="005D7A13"/>
    <w:rsid w:val="005D7ADD"/>
    <w:rsid w:val="005D7D22"/>
    <w:rsid w:val="005E0252"/>
    <w:rsid w:val="005E0319"/>
    <w:rsid w:val="005E03C6"/>
    <w:rsid w:val="005E046F"/>
    <w:rsid w:val="005E0498"/>
    <w:rsid w:val="005E05B2"/>
    <w:rsid w:val="005E0A06"/>
    <w:rsid w:val="005E0C81"/>
    <w:rsid w:val="005E0D85"/>
    <w:rsid w:val="005E0F79"/>
    <w:rsid w:val="005E10F1"/>
    <w:rsid w:val="005E154F"/>
    <w:rsid w:val="005E17A4"/>
    <w:rsid w:val="005E1846"/>
    <w:rsid w:val="005E1B98"/>
    <w:rsid w:val="005E1BBA"/>
    <w:rsid w:val="005E1BC9"/>
    <w:rsid w:val="005E27DE"/>
    <w:rsid w:val="005E28D5"/>
    <w:rsid w:val="005E2952"/>
    <w:rsid w:val="005E29ED"/>
    <w:rsid w:val="005E2EA1"/>
    <w:rsid w:val="005E3030"/>
    <w:rsid w:val="005E3932"/>
    <w:rsid w:val="005E3B49"/>
    <w:rsid w:val="005E3E8E"/>
    <w:rsid w:val="005E4216"/>
    <w:rsid w:val="005E43A4"/>
    <w:rsid w:val="005E43C8"/>
    <w:rsid w:val="005E43D4"/>
    <w:rsid w:val="005E4452"/>
    <w:rsid w:val="005E466C"/>
    <w:rsid w:val="005E46B5"/>
    <w:rsid w:val="005E4A9B"/>
    <w:rsid w:val="005E4AE9"/>
    <w:rsid w:val="005E4B31"/>
    <w:rsid w:val="005E4DB3"/>
    <w:rsid w:val="005E50DF"/>
    <w:rsid w:val="005E5147"/>
    <w:rsid w:val="005E5458"/>
    <w:rsid w:val="005E54CC"/>
    <w:rsid w:val="005E5554"/>
    <w:rsid w:val="005E57FF"/>
    <w:rsid w:val="005E5840"/>
    <w:rsid w:val="005E5B01"/>
    <w:rsid w:val="005E5E22"/>
    <w:rsid w:val="005E6114"/>
    <w:rsid w:val="005E616D"/>
    <w:rsid w:val="005E61F1"/>
    <w:rsid w:val="005E62D9"/>
    <w:rsid w:val="005E64D5"/>
    <w:rsid w:val="005E6566"/>
    <w:rsid w:val="005E657F"/>
    <w:rsid w:val="005E65B0"/>
    <w:rsid w:val="005E6633"/>
    <w:rsid w:val="005E67A7"/>
    <w:rsid w:val="005E6C83"/>
    <w:rsid w:val="005E6CE7"/>
    <w:rsid w:val="005E6D65"/>
    <w:rsid w:val="005E6FBE"/>
    <w:rsid w:val="005E7075"/>
    <w:rsid w:val="005E71E7"/>
    <w:rsid w:val="005E7203"/>
    <w:rsid w:val="005E74A1"/>
    <w:rsid w:val="005E7566"/>
    <w:rsid w:val="005E79D5"/>
    <w:rsid w:val="005E7B51"/>
    <w:rsid w:val="005E7C2E"/>
    <w:rsid w:val="005E7CD9"/>
    <w:rsid w:val="005E7D63"/>
    <w:rsid w:val="005F0164"/>
    <w:rsid w:val="005F01AA"/>
    <w:rsid w:val="005F02DA"/>
    <w:rsid w:val="005F0416"/>
    <w:rsid w:val="005F0445"/>
    <w:rsid w:val="005F0620"/>
    <w:rsid w:val="005F079E"/>
    <w:rsid w:val="005F08D4"/>
    <w:rsid w:val="005F0A39"/>
    <w:rsid w:val="005F0E29"/>
    <w:rsid w:val="005F0F1F"/>
    <w:rsid w:val="005F0F33"/>
    <w:rsid w:val="005F0F66"/>
    <w:rsid w:val="005F1075"/>
    <w:rsid w:val="005F1144"/>
    <w:rsid w:val="005F1334"/>
    <w:rsid w:val="005F14D6"/>
    <w:rsid w:val="005F1576"/>
    <w:rsid w:val="005F1601"/>
    <w:rsid w:val="005F171F"/>
    <w:rsid w:val="005F1748"/>
    <w:rsid w:val="005F18BB"/>
    <w:rsid w:val="005F1B47"/>
    <w:rsid w:val="005F1B9E"/>
    <w:rsid w:val="005F1C26"/>
    <w:rsid w:val="005F1CDA"/>
    <w:rsid w:val="005F1D5F"/>
    <w:rsid w:val="005F2136"/>
    <w:rsid w:val="005F215D"/>
    <w:rsid w:val="005F221A"/>
    <w:rsid w:val="005F22F9"/>
    <w:rsid w:val="005F270B"/>
    <w:rsid w:val="005F2D77"/>
    <w:rsid w:val="005F2E16"/>
    <w:rsid w:val="005F3026"/>
    <w:rsid w:val="005F3114"/>
    <w:rsid w:val="005F35DE"/>
    <w:rsid w:val="005F3CBE"/>
    <w:rsid w:val="005F3FF9"/>
    <w:rsid w:val="005F417F"/>
    <w:rsid w:val="005F41D0"/>
    <w:rsid w:val="005F432C"/>
    <w:rsid w:val="005F44C4"/>
    <w:rsid w:val="005F44EA"/>
    <w:rsid w:val="005F4B38"/>
    <w:rsid w:val="005F50F0"/>
    <w:rsid w:val="005F52A6"/>
    <w:rsid w:val="005F53F4"/>
    <w:rsid w:val="005F54B3"/>
    <w:rsid w:val="005F5D32"/>
    <w:rsid w:val="005F600F"/>
    <w:rsid w:val="005F61B7"/>
    <w:rsid w:val="005F6BDC"/>
    <w:rsid w:val="005F6D8B"/>
    <w:rsid w:val="005F6DDD"/>
    <w:rsid w:val="005F6F97"/>
    <w:rsid w:val="005F703E"/>
    <w:rsid w:val="005F7375"/>
    <w:rsid w:val="005F73C1"/>
    <w:rsid w:val="005F7588"/>
    <w:rsid w:val="005F75DE"/>
    <w:rsid w:val="005F75F0"/>
    <w:rsid w:val="005F7655"/>
    <w:rsid w:val="005F77FD"/>
    <w:rsid w:val="005F78A1"/>
    <w:rsid w:val="005F7A1C"/>
    <w:rsid w:val="005F7B4B"/>
    <w:rsid w:val="005F7C3D"/>
    <w:rsid w:val="00600369"/>
    <w:rsid w:val="00600433"/>
    <w:rsid w:val="0060058F"/>
    <w:rsid w:val="006005FE"/>
    <w:rsid w:val="0060061F"/>
    <w:rsid w:val="0060075F"/>
    <w:rsid w:val="0060089D"/>
    <w:rsid w:val="006008AB"/>
    <w:rsid w:val="0060098F"/>
    <w:rsid w:val="00600A63"/>
    <w:rsid w:val="00600C30"/>
    <w:rsid w:val="00600DCD"/>
    <w:rsid w:val="00600F52"/>
    <w:rsid w:val="00601060"/>
    <w:rsid w:val="0060138E"/>
    <w:rsid w:val="006019BF"/>
    <w:rsid w:val="00601B76"/>
    <w:rsid w:val="00601B9B"/>
    <w:rsid w:val="00601F86"/>
    <w:rsid w:val="00602074"/>
    <w:rsid w:val="006020CC"/>
    <w:rsid w:val="00602159"/>
    <w:rsid w:val="006021AB"/>
    <w:rsid w:val="00602668"/>
    <w:rsid w:val="00602815"/>
    <w:rsid w:val="00602848"/>
    <w:rsid w:val="0060298A"/>
    <w:rsid w:val="006029ED"/>
    <w:rsid w:val="00602C8B"/>
    <w:rsid w:val="006030F1"/>
    <w:rsid w:val="00603292"/>
    <w:rsid w:val="00603375"/>
    <w:rsid w:val="0060373D"/>
    <w:rsid w:val="0060373E"/>
    <w:rsid w:val="00603811"/>
    <w:rsid w:val="00603946"/>
    <w:rsid w:val="006039A1"/>
    <w:rsid w:val="00603CC8"/>
    <w:rsid w:val="00603E59"/>
    <w:rsid w:val="00604066"/>
    <w:rsid w:val="00604470"/>
    <w:rsid w:val="006047D5"/>
    <w:rsid w:val="0060486B"/>
    <w:rsid w:val="00604B62"/>
    <w:rsid w:val="00604BB5"/>
    <w:rsid w:val="00604C93"/>
    <w:rsid w:val="00604D19"/>
    <w:rsid w:val="00604DAB"/>
    <w:rsid w:val="00605010"/>
    <w:rsid w:val="0060502C"/>
    <w:rsid w:val="006052A0"/>
    <w:rsid w:val="0060536E"/>
    <w:rsid w:val="00605780"/>
    <w:rsid w:val="00605B3F"/>
    <w:rsid w:val="00605E9F"/>
    <w:rsid w:val="00605EDB"/>
    <w:rsid w:val="0060636B"/>
    <w:rsid w:val="006064CF"/>
    <w:rsid w:val="006066E8"/>
    <w:rsid w:val="00606804"/>
    <w:rsid w:val="006069EB"/>
    <w:rsid w:val="00606A3C"/>
    <w:rsid w:val="00606C62"/>
    <w:rsid w:val="00606CDF"/>
    <w:rsid w:val="0060712A"/>
    <w:rsid w:val="0060721F"/>
    <w:rsid w:val="0060740E"/>
    <w:rsid w:val="006075C1"/>
    <w:rsid w:val="0060767E"/>
    <w:rsid w:val="00607921"/>
    <w:rsid w:val="006079E4"/>
    <w:rsid w:val="006079ED"/>
    <w:rsid w:val="00607B28"/>
    <w:rsid w:val="00607B8C"/>
    <w:rsid w:val="00607BB6"/>
    <w:rsid w:val="00607E1B"/>
    <w:rsid w:val="00607E7B"/>
    <w:rsid w:val="00610120"/>
    <w:rsid w:val="006101AD"/>
    <w:rsid w:val="0061039B"/>
    <w:rsid w:val="00610542"/>
    <w:rsid w:val="00610595"/>
    <w:rsid w:val="0061085E"/>
    <w:rsid w:val="00610A7B"/>
    <w:rsid w:val="00610B3B"/>
    <w:rsid w:val="00610C52"/>
    <w:rsid w:val="00610CF3"/>
    <w:rsid w:val="00610FE7"/>
    <w:rsid w:val="006112C4"/>
    <w:rsid w:val="00611600"/>
    <w:rsid w:val="00611612"/>
    <w:rsid w:val="00611930"/>
    <w:rsid w:val="00611970"/>
    <w:rsid w:val="00611AE5"/>
    <w:rsid w:val="00611F11"/>
    <w:rsid w:val="00611F25"/>
    <w:rsid w:val="0061234F"/>
    <w:rsid w:val="00612769"/>
    <w:rsid w:val="006127E6"/>
    <w:rsid w:val="00612957"/>
    <w:rsid w:val="00612BE5"/>
    <w:rsid w:val="00612C63"/>
    <w:rsid w:val="006130F0"/>
    <w:rsid w:val="00613209"/>
    <w:rsid w:val="0061322B"/>
    <w:rsid w:val="00613261"/>
    <w:rsid w:val="00613317"/>
    <w:rsid w:val="0061334E"/>
    <w:rsid w:val="006134A3"/>
    <w:rsid w:val="006134D1"/>
    <w:rsid w:val="0061367F"/>
    <w:rsid w:val="00613773"/>
    <w:rsid w:val="00613A25"/>
    <w:rsid w:val="00613A89"/>
    <w:rsid w:val="00613ADB"/>
    <w:rsid w:val="00613AEC"/>
    <w:rsid w:val="00613BB8"/>
    <w:rsid w:val="00613C23"/>
    <w:rsid w:val="00613CAD"/>
    <w:rsid w:val="00613D97"/>
    <w:rsid w:val="00613FDC"/>
    <w:rsid w:val="00614315"/>
    <w:rsid w:val="00614477"/>
    <w:rsid w:val="00614603"/>
    <w:rsid w:val="00614655"/>
    <w:rsid w:val="00614A25"/>
    <w:rsid w:val="00614F4D"/>
    <w:rsid w:val="00615049"/>
    <w:rsid w:val="006151DA"/>
    <w:rsid w:val="00615242"/>
    <w:rsid w:val="00615261"/>
    <w:rsid w:val="00615379"/>
    <w:rsid w:val="006153CD"/>
    <w:rsid w:val="006159BC"/>
    <w:rsid w:val="00615C17"/>
    <w:rsid w:val="00615DAF"/>
    <w:rsid w:val="00615F4A"/>
    <w:rsid w:val="00615FD8"/>
    <w:rsid w:val="00615FDD"/>
    <w:rsid w:val="00616258"/>
    <w:rsid w:val="0061626A"/>
    <w:rsid w:val="00616336"/>
    <w:rsid w:val="0061638E"/>
    <w:rsid w:val="00616404"/>
    <w:rsid w:val="006166CB"/>
    <w:rsid w:val="0061676C"/>
    <w:rsid w:val="00616779"/>
    <w:rsid w:val="00616A97"/>
    <w:rsid w:val="00616C11"/>
    <w:rsid w:val="00616D26"/>
    <w:rsid w:val="00616D3A"/>
    <w:rsid w:val="00616DC0"/>
    <w:rsid w:val="0061703C"/>
    <w:rsid w:val="00617090"/>
    <w:rsid w:val="0061736E"/>
    <w:rsid w:val="00617534"/>
    <w:rsid w:val="00617538"/>
    <w:rsid w:val="00617D32"/>
    <w:rsid w:val="00617FF9"/>
    <w:rsid w:val="00620002"/>
    <w:rsid w:val="006200D1"/>
    <w:rsid w:val="006203BA"/>
    <w:rsid w:val="00620BEB"/>
    <w:rsid w:val="00620C75"/>
    <w:rsid w:val="00620E30"/>
    <w:rsid w:val="00621161"/>
    <w:rsid w:val="00621170"/>
    <w:rsid w:val="00621254"/>
    <w:rsid w:val="0062188D"/>
    <w:rsid w:val="00621ABC"/>
    <w:rsid w:val="00621CE6"/>
    <w:rsid w:val="006220D8"/>
    <w:rsid w:val="006224ED"/>
    <w:rsid w:val="0062270E"/>
    <w:rsid w:val="00622B26"/>
    <w:rsid w:val="0062331F"/>
    <w:rsid w:val="0062342F"/>
    <w:rsid w:val="006235AA"/>
    <w:rsid w:val="00623645"/>
    <w:rsid w:val="0062377A"/>
    <w:rsid w:val="00623CCE"/>
    <w:rsid w:val="00624187"/>
    <w:rsid w:val="00624190"/>
    <w:rsid w:val="006246C4"/>
    <w:rsid w:val="0062471B"/>
    <w:rsid w:val="0062479E"/>
    <w:rsid w:val="006248FE"/>
    <w:rsid w:val="00624905"/>
    <w:rsid w:val="0062491C"/>
    <w:rsid w:val="00624958"/>
    <w:rsid w:val="006249A8"/>
    <w:rsid w:val="00624C44"/>
    <w:rsid w:val="00624D31"/>
    <w:rsid w:val="00624D84"/>
    <w:rsid w:val="00625241"/>
    <w:rsid w:val="00625345"/>
    <w:rsid w:val="0062538A"/>
    <w:rsid w:val="0062541A"/>
    <w:rsid w:val="0062548B"/>
    <w:rsid w:val="00625648"/>
    <w:rsid w:val="006258B0"/>
    <w:rsid w:val="00625BE3"/>
    <w:rsid w:val="00625D60"/>
    <w:rsid w:val="00625D77"/>
    <w:rsid w:val="00625F6F"/>
    <w:rsid w:val="00626306"/>
    <w:rsid w:val="00626403"/>
    <w:rsid w:val="006266CB"/>
    <w:rsid w:val="00626795"/>
    <w:rsid w:val="0062683F"/>
    <w:rsid w:val="006268B2"/>
    <w:rsid w:val="00626938"/>
    <w:rsid w:val="00626995"/>
    <w:rsid w:val="00626A0C"/>
    <w:rsid w:val="00626AEC"/>
    <w:rsid w:val="00626B10"/>
    <w:rsid w:val="00626DF5"/>
    <w:rsid w:val="00627018"/>
    <w:rsid w:val="00627125"/>
    <w:rsid w:val="0062746E"/>
    <w:rsid w:val="006274FD"/>
    <w:rsid w:val="00627618"/>
    <w:rsid w:val="00627ADA"/>
    <w:rsid w:val="00627BD0"/>
    <w:rsid w:val="00627C51"/>
    <w:rsid w:val="00627EE9"/>
    <w:rsid w:val="00627F1B"/>
    <w:rsid w:val="0063026D"/>
    <w:rsid w:val="0063031E"/>
    <w:rsid w:val="00630605"/>
    <w:rsid w:val="0063083B"/>
    <w:rsid w:val="0063085B"/>
    <w:rsid w:val="006308C7"/>
    <w:rsid w:val="00630944"/>
    <w:rsid w:val="00630AF3"/>
    <w:rsid w:val="00630B59"/>
    <w:rsid w:val="00630BDD"/>
    <w:rsid w:val="00630C4C"/>
    <w:rsid w:val="00630C96"/>
    <w:rsid w:val="00630CEC"/>
    <w:rsid w:val="00630D60"/>
    <w:rsid w:val="00630DE5"/>
    <w:rsid w:val="0063119E"/>
    <w:rsid w:val="006314D3"/>
    <w:rsid w:val="006315C8"/>
    <w:rsid w:val="00631887"/>
    <w:rsid w:val="00632289"/>
    <w:rsid w:val="00632601"/>
    <w:rsid w:val="00632BEC"/>
    <w:rsid w:val="00632CE0"/>
    <w:rsid w:val="00632D8E"/>
    <w:rsid w:val="00632EE2"/>
    <w:rsid w:val="00632FF0"/>
    <w:rsid w:val="00633052"/>
    <w:rsid w:val="006332F9"/>
    <w:rsid w:val="00633469"/>
    <w:rsid w:val="00633539"/>
    <w:rsid w:val="006337EF"/>
    <w:rsid w:val="00633811"/>
    <w:rsid w:val="0063385C"/>
    <w:rsid w:val="00633A52"/>
    <w:rsid w:val="00633BD1"/>
    <w:rsid w:val="00633C89"/>
    <w:rsid w:val="00633CE2"/>
    <w:rsid w:val="00633D67"/>
    <w:rsid w:val="00633EF2"/>
    <w:rsid w:val="00633F60"/>
    <w:rsid w:val="00633F69"/>
    <w:rsid w:val="0063409B"/>
    <w:rsid w:val="00634161"/>
    <w:rsid w:val="0063461B"/>
    <w:rsid w:val="0063491D"/>
    <w:rsid w:val="00634D4D"/>
    <w:rsid w:val="00634E2D"/>
    <w:rsid w:val="00634E87"/>
    <w:rsid w:val="00635080"/>
    <w:rsid w:val="00635214"/>
    <w:rsid w:val="006355F2"/>
    <w:rsid w:val="006357EC"/>
    <w:rsid w:val="00635856"/>
    <w:rsid w:val="00635A58"/>
    <w:rsid w:val="00635BC9"/>
    <w:rsid w:val="00635DDD"/>
    <w:rsid w:val="0063600C"/>
    <w:rsid w:val="0063634B"/>
    <w:rsid w:val="00636388"/>
    <w:rsid w:val="0063669B"/>
    <w:rsid w:val="00636B4B"/>
    <w:rsid w:val="00636DEA"/>
    <w:rsid w:val="00636E53"/>
    <w:rsid w:val="00636F08"/>
    <w:rsid w:val="00636F63"/>
    <w:rsid w:val="00637102"/>
    <w:rsid w:val="00637417"/>
    <w:rsid w:val="0063749C"/>
    <w:rsid w:val="006377A3"/>
    <w:rsid w:val="006377FD"/>
    <w:rsid w:val="006378B0"/>
    <w:rsid w:val="006378F4"/>
    <w:rsid w:val="0063798A"/>
    <w:rsid w:val="00637B00"/>
    <w:rsid w:val="00637C75"/>
    <w:rsid w:val="00637D57"/>
    <w:rsid w:val="00637FCE"/>
    <w:rsid w:val="00640148"/>
    <w:rsid w:val="006404A8"/>
    <w:rsid w:val="006404F2"/>
    <w:rsid w:val="006407D8"/>
    <w:rsid w:val="0064085E"/>
    <w:rsid w:val="006409A6"/>
    <w:rsid w:val="00640EA3"/>
    <w:rsid w:val="0064114C"/>
    <w:rsid w:val="00641245"/>
    <w:rsid w:val="0064134C"/>
    <w:rsid w:val="006414ED"/>
    <w:rsid w:val="00641549"/>
    <w:rsid w:val="0064156B"/>
    <w:rsid w:val="006415F1"/>
    <w:rsid w:val="00641709"/>
    <w:rsid w:val="0064193D"/>
    <w:rsid w:val="00641AFB"/>
    <w:rsid w:val="00641F35"/>
    <w:rsid w:val="006420AA"/>
    <w:rsid w:val="00642401"/>
    <w:rsid w:val="00642766"/>
    <w:rsid w:val="00642776"/>
    <w:rsid w:val="0064282B"/>
    <w:rsid w:val="006429D0"/>
    <w:rsid w:val="00642A2D"/>
    <w:rsid w:val="00642AD4"/>
    <w:rsid w:val="00642CB4"/>
    <w:rsid w:val="00642D0D"/>
    <w:rsid w:val="00642F46"/>
    <w:rsid w:val="00642F9A"/>
    <w:rsid w:val="0064338F"/>
    <w:rsid w:val="0064353A"/>
    <w:rsid w:val="00643A09"/>
    <w:rsid w:val="00643B2B"/>
    <w:rsid w:val="006442AA"/>
    <w:rsid w:val="0064434C"/>
    <w:rsid w:val="0064455F"/>
    <w:rsid w:val="00644639"/>
    <w:rsid w:val="00644D09"/>
    <w:rsid w:val="00644D0B"/>
    <w:rsid w:val="00644E02"/>
    <w:rsid w:val="00644E62"/>
    <w:rsid w:val="00644F70"/>
    <w:rsid w:val="00645560"/>
    <w:rsid w:val="00645A0E"/>
    <w:rsid w:val="00645C09"/>
    <w:rsid w:val="00646148"/>
    <w:rsid w:val="006463FB"/>
    <w:rsid w:val="006464C7"/>
    <w:rsid w:val="0064650F"/>
    <w:rsid w:val="00646620"/>
    <w:rsid w:val="00646BB3"/>
    <w:rsid w:val="00646BD0"/>
    <w:rsid w:val="00646D25"/>
    <w:rsid w:val="00646F85"/>
    <w:rsid w:val="006471AA"/>
    <w:rsid w:val="0064784B"/>
    <w:rsid w:val="00647B3E"/>
    <w:rsid w:val="00647C94"/>
    <w:rsid w:val="00647E94"/>
    <w:rsid w:val="00650615"/>
    <w:rsid w:val="0065083D"/>
    <w:rsid w:val="0065093C"/>
    <w:rsid w:val="00650D74"/>
    <w:rsid w:val="00650E09"/>
    <w:rsid w:val="00650E58"/>
    <w:rsid w:val="0065156F"/>
    <w:rsid w:val="00651763"/>
    <w:rsid w:val="00651B0C"/>
    <w:rsid w:val="00651C6F"/>
    <w:rsid w:val="00651CE5"/>
    <w:rsid w:val="00651CF0"/>
    <w:rsid w:val="00651F7E"/>
    <w:rsid w:val="00652057"/>
    <w:rsid w:val="0065216E"/>
    <w:rsid w:val="00652347"/>
    <w:rsid w:val="00652982"/>
    <w:rsid w:val="00652DC7"/>
    <w:rsid w:val="00652FA4"/>
    <w:rsid w:val="00652FAB"/>
    <w:rsid w:val="0065308D"/>
    <w:rsid w:val="006530CA"/>
    <w:rsid w:val="006532A1"/>
    <w:rsid w:val="006532D3"/>
    <w:rsid w:val="00653371"/>
    <w:rsid w:val="00653996"/>
    <w:rsid w:val="00653CB8"/>
    <w:rsid w:val="00653F89"/>
    <w:rsid w:val="00653FBB"/>
    <w:rsid w:val="00654077"/>
    <w:rsid w:val="0065416E"/>
    <w:rsid w:val="00654217"/>
    <w:rsid w:val="00654231"/>
    <w:rsid w:val="00654258"/>
    <w:rsid w:val="00654262"/>
    <w:rsid w:val="00654470"/>
    <w:rsid w:val="00654579"/>
    <w:rsid w:val="006545B1"/>
    <w:rsid w:val="006545EC"/>
    <w:rsid w:val="0065470B"/>
    <w:rsid w:val="00654776"/>
    <w:rsid w:val="00654885"/>
    <w:rsid w:val="00654925"/>
    <w:rsid w:val="00654A95"/>
    <w:rsid w:val="00654B3C"/>
    <w:rsid w:val="00654C5A"/>
    <w:rsid w:val="00654CC1"/>
    <w:rsid w:val="00655267"/>
    <w:rsid w:val="00655702"/>
    <w:rsid w:val="00655731"/>
    <w:rsid w:val="00655743"/>
    <w:rsid w:val="00655B1C"/>
    <w:rsid w:val="00655BA2"/>
    <w:rsid w:val="00655E97"/>
    <w:rsid w:val="00655F31"/>
    <w:rsid w:val="00655F4F"/>
    <w:rsid w:val="00656AA8"/>
    <w:rsid w:val="00656ECA"/>
    <w:rsid w:val="00656F2E"/>
    <w:rsid w:val="0065717E"/>
    <w:rsid w:val="00657A6C"/>
    <w:rsid w:val="00657D1F"/>
    <w:rsid w:val="00657D30"/>
    <w:rsid w:val="00657D36"/>
    <w:rsid w:val="00657F65"/>
    <w:rsid w:val="00660122"/>
    <w:rsid w:val="006604DB"/>
    <w:rsid w:val="00660729"/>
    <w:rsid w:val="006608D6"/>
    <w:rsid w:val="00660C35"/>
    <w:rsid w:val="00660C4A"/>
    <w:rsid w:val="0066131C"/>
    <w:rsid w:val="00661705"/>
    <w:rsid w:val="0066175B"/>
    <w:rsid w:val="006617F0"/>
    <w:rsid w:val="00661A40"/>
    <w:rsid w:val="00661A6C"/>
    <w:rsid w:val="00661BDE"/>
    <w:rsid w:val="00661C86"/>
    <w:rsid w:val="00661E34"/>
    <w:rsid w:val="00661FCE"/>
    <w:rsid w:val="0066208E"/>
    <w:rsid w:val="0066209A"/>
    <w:rsid w:val="0066210B"/>
    <w:rsid w:val="00662472"/>
    <w:rsid w:val="006627B4"/>
    <w:rsid w:val="00662826"/>
    <w:rsid w:val="006628D9"/>
    <w:rsid w:val="006629F1"/>
    <w:rsid w:val="00662A1B"/>
    <w:rsid w:val="00662A8A"/>
    <w:rsid w:val="00662C72"/>
    <w:rsid w:val="00663065"/>
    <w:rsid w:val="0066309D"/>
    <w:rsid w:val="0066336F"/>
    <w:rsid w:val="00663442"/>
    <w:rsid w:val="00663539"/>
    <w:rsid w:val="00663BE2"/>
    <w:rsid w:val="00663D65"/>
    <w:rsid w:val="00663FAA"/>
    <w:rsid w:val="006640EF"/>
    <w:rsid w:val="00664140"/>
    <w:rsid w:val="0066434C"/>
    <w:rsid w:val="0066472B"/>
    <w:rsid w:val="006647CC"/>
    <w:rsid w:val="00664961"/>
    <w:rsid w:val="00664973"/>
    <w:rsid w:val="00664A25"/>
    <w:rsid w:val="00664DE5"/>
    <w:rsid w:val="00664E92"/>
    <w:rsid w:val="00664EBF"/>
    <w:rsid w:val="00664F4F"/>
    <w:rsid w:val="0066524A"/>
    <w:rsid w:val="00665811"/>
    <w:rsid w:val="006659A8"/>
    <w:rsid w:val="00665AFB"/>
    <w:rsid w:val="00665B45"/>
    <w:rsid w:val="00665C91"/>
    <w:rsid w:val="00665D2E"/>
    <w:rsid w:val="00665DAF"/>
    <w:rsid w:val="006661EC"/>
    <w:rsid w:val="00666317"/>
    <w:rsid w:val="006663E4"/>
    <w:rsid w:val="006664DD"/>
    <w:rsid w:val="00666641"/>
    <w:rsid w:val="00666683"/>
    <w:rsid w:val="006666EE"/>
    <w:rsid w:val="006666F3"/>
    <w:rsid w:val="00666713"/>
    <w:rsid w:val="00666779"/>
    <w:rsid w:val="006668DB"/>
    <w:rsid w:val="00666F74"/>
    <w:rsid w:val="00666FC5"/>
    <w:rsid w:val="006670FC"/>
    <w:rsid w:val="00667246"/>
    <w:rsid w:val="006673A9"/>
    <w:rsid w:val="006673DD"/>
    <w:rsid w:val="00667434"/>
    <w:rsid w:val="006674D8"/>
    <w:rsid w:val="0066758D"/>
    <w:rsid w:val="00667657"/>
    <w:rsid w:val="006676B3"/>
    <w:rsid w:val="00667A5B"/>
    <w:rsid w:val="00667D22"/>
    <w:rsid w:val="00667D79"/>
    <w:rsid w:val="00667D81"/>
    <w:rsid w:val="00670456"/>
    <w:rsid w:val="00670728"/>
    <w:rsid w:val="006707DA"/>
    <w:rsid w:val="00670848"/>
    <w:rsid w:val="006708B1"/>
    <w:rsid w:val="00670916"/>
    <w:rsid w:val="00670B9C"/>
    <w:rsid w:val="00670CD7"/>
    <w:rsid w:val="0067153A"/>
    <w:rsid w:val="00671989"/>
    <w:rsid w:val="00671A4A"/>
    <w:rsid w:val="00671B9E"/>
    <w:rsid w:val="00671BB5"/>
    <w:rsid w:val="00671C3D"/>
    <w:rsid w:val="00671CB1"/>
    <w:rsid w:val="00671D91"/>
    <w:rsid w:val="0067219C"/>
    <w:rsid w:val="00672312"/>
    <w:rsid w:val="006725A0"/>
    <w:rsid w:val="006727DA"/>
    <w:rsid w:val="006728FD"/>
    <w:rsid w:val="00672BBC"/>
    <w:rsid w:val="00672DDE"/>
    <w:rsid w:val="006730D1"/>
    <w:rsid w:val="00673342"/>
    <w:rsid w:val="00673359"/>
    <w:rsid w:val="0067349A"/>
    <w:rsid w:val="006734AB"/>
    <w:rsid w:val="00673828"/>
    <w:rsid w:val="006738FF"/>
    <w:rsid w:val="006739C0"/>
    <w:rsid w:val="00673ADE"/>
    <w:rsid w:val="00673D2B"/>
    <w:rsid w:val="00673ED7"/>
    <w:rsid w:val="00673F45"/>
    <w:rsid w:val="00674198"/>
    <w:rsid w:val="00674588"/>
    <w:rsid w:val="006745BC"/>
    <w:rsid w:val="00674681"/>
    <w:rsid w:val="006748DD"/>
    <w:rsid w:val="006749EC"/>
    <w:rsid w:val="00674AFD"/>
    <w:rsid w:val="00674D30"/>
    <w:rsid w:val="00674D53"/>
    <w:rsid w:val="006750DF"/>
    <w:rsid w:val="0067518C"/>
    <w:rsid w:val="006751A9"/>
    <w:rsid w:val="0067528F"/>
    <w:rsid w:val="006753B2"/>
    <w:rsid w:val="0067573E"/>
    <w:rsid w:val="006757CA"/>
    <w:rsid w:val="00675872"/>
    <w:rsid w:val="0067593C"/>
    <w:rsid w:val="00675947"/>
    <w:rsid w:val="006759C2"/>
    <w:rsid w:val="00675A9B"/>
    <w:rsid w:val="00675AEB"/>
    <w:rsid w:val="00675B05"/>
    <w:rsid w:val="00675B66"/>
    <w:rsid w:val="00675EA0"/>
    <w:rsid w:val="00675FA4"/>
    <w:rsid w:val="006762E1"/>
    <w:rsid w:val="0067649A"/>
    <w:rsid w:val="00676650"/>
    <w:rsid w:val="006766BB"/>
    <w:rsid w:val="006768B3"/>
    <w:rsid w:val="006769B5"/>
    <w:rsid w:val="006769DC"/>
    <w:rsid w:val="006769FC"/>
    <w:rsid w:val="00676B12"/>
    <w:rsid w:val="00676F81"/>
    <w:rsid w:val="00676FBF"/>
    <w:rsid w:val="00676FE7"/>
    <w:rsid w:val="0067730A"/>
    <w:rsid w:val="00677C6B"/>
    <w:rsid w:val="00677F91"/>
    <w:rsid w:val="006808B9"/>
    <w:rsid w:val="00680B06"/>
    <w:rsid w:val="00680C81"/>
    <w:rsid w:val="00680E06"/>
    <w:rsid w:val="00681453"/>
    <w:rsid w:val="006818BF"/>
    <w:rsid w:val="00681A22"/>
    <w:rsid w:val="00681A5C"/>
    <w:rsid w:val="00681A76"/>
    <w:rsid w:val="00681AA5"/>
    <w:rsid w:val="00681D3F"/>
    <w:rsid w:val="00681F8E"/>
    <w:rsid w:val="00681FEB"/>
    <w:rsid w:val="00682502"/>
    <w:rsid w:val="00682AD9"/>
    <w:rsid w:val="00682CB8"/>
    <w:rsid w:val="006831A1"/>
    <w:rsid w:val="0068344D"/>
    <w:rsid w:val="006834D7"/>
    <w:rsid w:val="00683850"/>
    <w:rsid w:val="00683A2C"/>
    <w:rsid w:val="00683BD8"/>
    <w:rsid w:val="00683E54"/>
    <w:rsid w:val="00684004"/>
    <w:rsid w:val="006843AB"/>
    <w:rsid w:val="00684C7A"/>
    <w:rsid w:val="00684C7D"/>
    <w:rsid w:val="00684EA5"/>
    <w:rsid w:val="00684F95"/>
    <w:rsid w:val="006850C6"/>
    <w:rsid w:val="006855A0"/>
    <w:rsid w:val="00685644"/>
    <w:rsid w:val="00686062"/>
    <w:rsid w:val="0068638A"/>
    <w:rsid w:val="00686450"/>
    <w:rsid w:val="00686497"/>
    <w:rsid w:val="006865BF"/>
    <w:rsid w:val="00686610"/>
    <w:rsid w:val="006867B6"/>
    <w:rsid w:val="00686A79"/>
    <w:rsid w:val="00686AB4"/>
    <w:rsid w:val="00686B4D"/>
    <w:rsid w:val="00686C5F"/>
    <w:rsid w:val="00686FE3"/>
    <w:rsid w:val="00687167"/>
    <w:rsid w:val="00687277"/>
    <w:rsid w:val="006876C6"/>
    <w:rsid w:val="00687A4C"/>
    <w:rsid w:val="00687B3C"/>
    <w:rsid w:val="00687E3C"/>
    <w:rsid w:val="00687EF1"/>
    <w:rsid w:val="0069007D"/>
    <w:rsid w:val="00690377"/>
    <w:rsid w:val="00690460"/>
    <w:rsid w:val="0069057A"/>
    <w:rsid w:val="0069065C"/>
    <w:rsid w:val="00690662"/>
    <w:rsid w:val="0069083F"/>
    <w:rsid w:val="00690A2C"/>
    <w:rsid w:val="00690A71"/>
    <w:rsid w:val="00690B89"/>
    <w:rsid w:val="00690C42"/>
    <w:rsid w:val="00690CF1"/>
    <w:rsid w:val="00690D53"/>
    <w:rsid w:val="00690DA2"/>
    <w:rsid w:val="00691030"/>
    <w:rsid w:val="00691778"/>
    <w:rsid w:val="006918D8"/>
    <w:rsid w:val="00691A72"/>
    <w:rsid w:val="00691C92"/>
    <w:rsid w:val="00692154"/>
    <w:rsid w:val="006921F9"/>
    <w:rsid w:val="00692201"/>
    <w:rsid w:val="00692288"/>
    <w:rsid w:val="0069237F"/>
    <w:rsid w:val="00692546"/>
    <w:rsid w:val="006928D5"/>
    <w:rsid w:val="00692AC2"/>
    <w:rsid w:val="00692D44"/>
    <w:rsid w:val="00692D4E"/>
    <w:rsid w:val="00692F80"/>
    <w:rsid w:val="0069300D"/>
    <w:rsid w:val="0069302A"/>
    <w:rsid w:val="00693043"/>
    <w:rsid w:val="00693132"/>
    <w:rsid w:val="00693176"/>
    <w:rsid w:val="0069318B"/>
    <w:rsid w:val="00693263"/>
    <w:rsid w:val="006932D2"/>
    <w:rsid w:val="006933A9"/>
    <w:rsid w:val="0069373C"/>
    <w:rsid w:val="006937C3"/>
    <w:rsid w:val="0069397B"/>
    <w:rsid w:val="00694101"/>
    <w:rsid w:val="00694206"/>
    <w:rsid w:val="006948D0"/>
    <w:rsid w:val="00694978"/>
    <w:rsid w:val="00694A2A"/>
    <w:rsid w:val="00694B7D"/>
    <w:rsid w:val="00694CD7"/>
    <w:rsid w:val="00694D12"/>
    <w:rsid w:val="0069500D"/>
    <w:rsid w:val="00695217"/>
    <w:rsid w:val="00695233"/>
    <w:rsid w:val="00695633"/>
    <w:rsid w:val="00695646"/>
    <w:rsid w:val="00695820"/>
    <w:rsid w:val="0069583E"/>
    <w:rsid w:val="00695941"/>
    <w:rsid w:val="006959F2"/>
    <w:rsid w:val="00695A25"/>
    <w:rsid w:val="00695C0E"/>
    <w:rsid w:val="006961A0"/>
    <w:rsid w:val="00696324"/>
    <w:rsid w:val="006964C3"/>
    <w:rsid w:val="00696906"/>
    <w:rsid w:val="00696984"/>
    <w:rsid w:val="00696E6B"/>
    <w:rsid w:val="006971BB"/>
    <w:rsid w:val="0069722B"/>
    <w:rsid w:val="0069732E"/>
    <w:rsid w:val="006973FA"/>
    <w:rsid w:val="0069791A"/>
    <w:rsid w:val="00697981"/>
    <w:rsid w:val="00697A92"/>
    <w:rsid w:val="00697BD7"/>
    <w:rsid w:val="00697C5D"/>
    <w:rsid w:val="00697DD3"/>
    <w:rsid w:val="00697E89"/>
    <w:rsid w:val="00697EFC"/>
    <w:rsid w:val="00697F00"/>
    <w:rsid w:val="006A00FE"/>
    <w:rsid w:val="006A0371"/>
    <w:rsid w:val="006A0A3F"/>
    <w:rsid w:val="006A0C14"/>
    <w:rsid w:val="006A0D31"/>
    <w:rsid w:val="006A0E78"/>
    <w:rsid w:val="006A0E94"/>
    <w:rsid w:val="006A0F05"/>
    <w:rsid w:val="006A103F"/>
    <w:rsid w:val="006A10AD"/>
    <w:rsid w:val="006A1169"/>
    <w:rsid w:val="006A1260"/>
    <w:rsid w:val="006A12CE"/>
    <w:rsid w:val="006A16E8"/>
    <w:rsid w:val="006A1AD4"/>
    <w:rsid w:val="006A1D1E"/>
    <w:rsid w:val="006A1D43"/>
    <w:rsid w:val="006A1EE4"/>
    <w:rsid w:val="006A2157"/>
    <w:rsid w:val="006A2187"/>
    <w:rsid w:val="006A2426"/>
    <w:rsid w:val="006A25EA"/>
    <w:rsid w:val="006A2A53"/>
    <w:rsid w:val="006A2ECD"/>
    <w:rsid w:val="006A30DE"/>
    <w:rsid w:val="006A3287"/>
    <w:rsid w:val="006A32B2"/>
    <w:rsid w:val="006A38DC"/>
    <w:rsid w:val="006A3BDB"/>
    <w:rsid w:val="006A3C93"/>
    <w:rsid w:val="006A3CAF"/>
    <w:rsid w:val="006A40AD"/>
    <w:rsid w:val="006A40BC"/>
    <w:rsid w:val="006A422C"/>
    <w:rsid w:val="006A44D7"/>
    <w:rsid w:val="006A483C"/>
    <w:rsid w:val="006A4920"/>
    <w:rsid w:val="006A4983"/>
    <w:rsid w:val="006A49F4"/>
    <w:rsid w:val="006A4C8A"/>
    <w:rsid w:val="006A4D7C"/>
    <w:rsid w:val="006A4E5E"/>
    <w:rsid w:val="006A525A"/>
    <w:rsid w:val="006A53C8"/>
    <w:rsid w:val="006A54FE"/>
    <w:rsid w:val="006A5702"/>
    <w:rsid w:val="006A5B3B"/>
    <w:rsid w:val="006A5CD9"/>
    <w:rsid w:val="006A60DE"/>
    <w:rsid w:val="006A63B8"/>
    <w:rsid w:val="006A64A0"/>
    <w:rsid w:val="006A6841"/>
    <w:rsid w:val="006A6A08"/>
    <w:rsid w:val="006A6CF1"/>
    <w:rsid w:val="006A6E33"/>
    <w:rsid w:val="006A7039"/>
    <w:rsid w:val="006A736E"/>
    <w:rsid w:val="006A7469"/>
    <w:rsid w:val="006A75FD"/>
    <w:rsid w:val="006A781A"/>
    <w:rsid w:val="006A783D"/>
    <w:rsid w:val="006A78FF"/>
    <w:rsid w:val="006A7A0E"/>
    <w:rsid w:val="006A7AC3"/>
    <w:rsid w:val="006A7ADB"/>
    <w:rsid w:val="006A7B23"/>
    <w:rsid w:val="006A7B4A"/>
    <w:rsid w:val="006A7CBA"/>
    <w:rsid w:val="006A7DEC"/>
    <w:rsid w:val="006B042F"/>
    <w:rsid w:val="006B0678"/>
    <w:rsid w:val="006B0739"/>
    <w:rsid w:val="006B0AE0"/>
    <w:rsid w:val="006B0C99"/>
    <w:rsid w:val="006B0CFE"/>
    <w:rsid w:val="006B10B2"/>
    <w:rsid w:val="006B119B"/>
    <w:rsid w:val="006B1252"/>
    <w:rsid w:val="006B13F8"/>
    <w:rsid w:val="006B1503"/>
    <w:rsid w:val="006B18CB"/>
    <w:rsid w:val="006B1B0F"/>
    <w:rsid w:val="006B1B8F"/>
    <w:rsid w:val="006B203F"/>
    <w:rsid w:val="006B2408"/>
    <w:rsid w:val="006B243C"/>
    <w:rsid w:val="006B265D"/>
    <w:rsid w:val="006B273D"/>
    <w:rsid w:val="006B289E"/>
    <w:rsid w:val="006B2A7C"/>
    <w:rsid w:val="006B2AFC"/>
    <w:rsid w:val="006B2FDA"/>
    <w:rsid w:val="006B32BB"/>
    <w:rsid w:val="006B36C6"/>
    <w:rsid w:val="006B36F4"/>
    <w:rsid w:val="006B3796"/>
    <w:rsid w:val="006B3DB5"/>
    <w:rsid w:val="006B3F65"/>
    <w:rsid w:val="006B4662"/>
    <w:rsid w:val="006B4781"/>
    <w:rsid w:val="006B4856"/>
    <w:rsid w:val="006B4D9F"/>
    <w:rsid w:val="006B4F88"/>
    <w:rsid w:val="006B505A"/>
    <w:rsid w:val="006B506E"/>
    <w:rsid w:val="006B5131"/>
    <w:rsid w:val="006B53AA"/>
    <w:rsid w:val="006B540E"/>
    <w:rsid w:val="006B5595"/>
    <w:rsid w:val="006B5703"/>
    <w:rsid w:val="006B5843"/>
    <w:rsid w:val="006B5867"/>
    <w:rsid w:val="006B5A71"/>
    <w:rsid w:val="006B5D8C"/>
    <w:rsid w:val="006B5E25"/>
    <w:rsid w:val="006B60AE"/>
    <w:rsid w:val="006B611A"/>
    <w:rsid w:val="006B61CF"/>
    <w:rsid w:val="006B62E5"/>
    <w:rsid w:val="006B6307"/>
    <w:rsid w:val="006B68CA"/>
    <w:rsid w:val="006B68E6"/>
    <w:rsid w:val="006B6A68"/>
    <w:rsid w:val="006B6AF7"/>
    <w:rsid w:val="006B6F2E"/>
    <w:rsid w:val="006B7121"/>
    <w:rsid w:val="006B7389"/>
    <w:rsid w:val="006B76C8"/>
    <w:rsid w:val="006B78DA"/>
    <w:rsid w:val="006B79D6"/>
    <w:rsid w:val="006B7A50"/>
    <w:rsid w:val="006B7C73"/>
    <w:rsid w:val="006B7CD6"/>
    <w:rsid w:val="006B7D0A"/>
    <w:rsid w:val="006B7D45"/>
    <w:rsid w:val="006B7DED"/>
    <w:rsid w:val="006B7FCB"/>
    <w:rsid w:val="006C0098"/>
    <w:rsid w:val="006C0196"/>
    <w:rsid w:val="006C0AB1"/>
    <w:rsid w:val="006C0C35"/>
    <w:rsid w:val="006C0CC5"/>
    <w:rsid w:val="006C0D79"/>
    <w:rsid w:val="006C0DB4"/>
    <w:rsid w:val="006C0FCC"/>
    <w:rsid w:val="006C1056"/>
    <w:rsid w:val="006C108B"/>
    <w:rsid w:val="006C10D6"/>
    <w:rsid w:val="006C1721"/>
    <w:rsid w:val="006C1844"/>
    <w:rsid w:val="006C18F4"/>
    <w:rsid w:val="006C1A43"/>
    <w:rsid w:val="006C1E26"/>
    <w:rsid w:val="006C23CF"/>
    <w:rsid w:val="006C241F"/>
    <w:rsid w:val="006C2510"/>
    <w:rsid w:val="006C25F9"/>
    <w:rsid w:val="006C27AA"/>
    <w:rsid w:val="006C2A7B"/>
    <w:rsid w:val="006C2D26"/>
    <w:rsid w:val="006C2E13"/>
    <w:rsid w:val="006C3045"/>
    <w:rsid w:val="006C32D8"/>
    <w:rsid w:val="006C335C"/>
    <w:rsid w:val="006C34E9"/>
    <w:rsid w:val="006C37B8"/>
    <w:rsid w:val="006C39C0"/>
    <w:rsid w:val="006C3C65"/>
    <w:rsid w:val="006C3D18"/>
    <w:rsid w:val="006C3F4E"/>
    <w:rsid w:val="006C3FE1"/>
    <w:rsid w:val="006C3FEB"/>
    <w:rsid w:val="006C40DC"/>
    <w:rsid w:val="006C41FC"/>
    <w:rsid w:val="006C456E"/>
    <w:rsid w:val="006C49A3"/>
    <w:rsid w:val="006C49BB"/>
    <w:rsid w:val="006C49CE"/>
    <w:rsid w:val="006C4C62"/>
    <w:rsid w:val="006C4CB8"/>
    <w:rsid w:val="006C4E03"/>
    <w:rsid w:val="006C4E8F"/>
    <w:rsid w:val="006C4F04"/>
    <w:rsid w:val="006C50D2"/>
    <w:rsid w:val="006C51F2"/>
    <w:rsid w:val="006C5266"/>
    <w:rsid w:val="006C5278"/>
    <w:rsid w:val="006C537C"/>
    <w:rsid w:val="006C53A3"/>
    <w:rsid w:val="006C5535"/>
    <w:rsid w:val="006C566D"/>
    <w:rsid w:val="006C57B2"/>
    <w:rsid w:val="006C5859"/>
    <w:rsid w:val="006C5919"/>
    <w:rsid w:val="006C59C3"/>
    <w:rsid w:val="006C5B83"/>
    <w:rsid w:val="006C5D4F"/>
    <w:rsid w:val="006C5F8B"/>
    <w:rsid w:val="006C6084"/>
    <w:rsid w:val="006C6430"/>
    <w:rsid w:val="006C6505"/>
    <w:rsid w:val="006C6591"/>
    <w:rsid w:val="006C66E7"/>
    <w:rsid w:val="006C6D9E"/>
    <w:rsid w:val="006C70EA"/>
    <w:rsid w:val="006C7277"/>
    <w:rsid w:val="006C7492"/>
    <w:rsid w:val="006C755D"/>
    <w:rsid w:val="006C7CA6"/>
    <w:rsid w:val="006C7DAD"/>
    <w:rsid w:val="006C7DE8"/>
    <w:rsid w:val="006C7F8D"/>
    <w:rsid w:val="006D00DF"/>
    <w:rsid w:val="006D02C2"/>
    <w:rsid w:val="006D03C7"/>
    <w:rsid w:val="006D0618"/>
    <w:rsid w:val="006D09FF"/>
    <w:rsid w:val="006D0A94"/>
    <w:rsid w:val="006D0B6C"/>
    <w:rsid w:val="006D0BFE"/>
    <w:rsid w:val="006D0C6F"/>
    <w:rsid w:val="006D0E54"/>
    <w:rsid w:val="006D0E9B"/>
    <w:rsid w:val="006D0F8D"/>
    <w:rsid w:val="006D10CF"/>
    <w:rsid w:val="006D1257"/>
    <w:rsid w:val="006D18D6"/>
    <w:rsid w:val="006D1950"/>
    <w:rsid w:val="006D19AA"/>
    <w:rsid w:val="006D1A15"/>
    <w:rsid w:val="006D1A3E"/>
    <w:rsid w:val="006D1BCB"/>
    <w:rsid w:val="006D1BDB"/>
    <w:rsid w:val="006D1C03"/>
    <w:rsid w:val="006D1ED3"/>
    <w:rsid w:val="006D20CE"/>
    <w:rsid w:val="006D28E9"/>
    <w:rsid w:val="006D2BAA"/>
    <w:rsid w:val="006D2F06"/>
    <w:rsid w:val="006D2F35"/>
    <w:rsid w:val="006D3080"/>
    <w:rsid w:val="006D38DA"/>
    <w:rsid w:val="006D3AED"/>
    <w:rsid w:val="006D4164"/>
    <w:rsid w:val="006D423B"/>
    <w:rsid w:val="006D47E0"/>
    <w:rsid w:val="006D4834"/>
    <w:rsid w:val="006D49A9"/>
    <w:rsid w:val="006D4EFE"/>
    <w:rsid w:val="006D5143"/>
    <w:rsid w:val="006D51E7"/>
    <w:rsid w:val="006D5813"/>
    <w:rsid w:val="006D58A2"/>
    <w:rsid w:val="006D5A74"/>
    <w:rsid w:val="006D5A8F"/>
    <w:rsid w:val="006D5AA9"/>
    <w:rsid w:val="006D5BC4"/>
    <w:rsid w:val="006D5D6E"/>
    <w:rsid w:val="006D647F"/>
    <w:rsid w:val="006D6599"/>
    <w:rsid w:val="006D65CC"/>
    <w:rsid w:val="006D6788"/>
    <w:rsid w:val="006D680C"/>
    <w:rsid w:val="006D6C77"/>
    <w:rsid w:val="006D6F00"/>
    <w:rsid w:val="006D6FC8"/>
    <w:rsid w:val="006D713E"/>
    <w:rsid w:val="006D7419"/>
    <w:rsid w:val="006D7453"/>
    <w:rsid w:val="006D74BD"/>
    <w:rsid w:val="006D74C1"/>
    <w:rsid w:val="006D76BF"/>
    <w:rsid w:val="006D773A"/>
    <w:rsid w:val="006D78A1"/>
    <w:rsid w:val="006D7BD9"/>
    <w:rsid w:val="006D7D7C"/>
    <w:rsid w:val="006D7E24"/>
    <w:rsid w:val="006D7EA1"/>
    <w:rsid w:val="006E00C6"/>
    <w:rsid w:val="006E0121"/>
    <w:rsid w:val="006E0313"/>
    <w:rsid w:val="006E0365"/>
    <w:rsid w:val="006E04ED"/>
    <w:rsid w:val="006E05AA"/>
    <w:rsid w:val="006E07C1"/>
    <w:rsid w:val="006E0B03"/>
    <w:rsid w:val="006E10D9"/>
    <w:rsid w:val="006E124D"/>
    <w:rsid w:val="006E1261"/>
    <w:rsid w:val="006E16B7"/>
    <w:rsid w:val="006E18A5"/>
    <w:rsid w:val="006E1A0F"/>
    <w:rsid w:val="006E1AD1"/>
    <w:rsid w:val="006E1E33"/>
    <w:rsid w:val="006E25A3"/>
    <w:rsid w:val="006E26B6"/>
    <w:rsid w:val="006E2A67"/>
    <w:rsid w:val="006E2C5F"/>
    <w:rsid w:val="006E2C96"/>
    <w:rsid w:val="006E2D95"/>
    <w:rsid w:val="006E2F80"/>
    <w:rsid w:val="006E30BB"/>
    <w:rsid w:val="006E30D3"/>
    <w:rsid w:val="006E3197"/>
    <w:rsid w:val="006E3263"/>
    <w:rsid w:val="006E353A"/>
    <w:rsid w:val="006E3570"/>
    <w:rsid w:val="006E3995"/>
    <w:rsid w:val="006E3A0E"/>
    <w:rsid w:val="006E3D7F"/>
    <w:rsid w:val="006E40AB"/>
    <w:rsid w:val="006E40E0"/>
    <w:rsid w:val="006E42E5"/>
    <w:rsid w:val="006E44A0"/>
    <w:rsid w:val="006E4C98"/>
    <w:rsid w:val="006E4D4A"/>
    <w:rsid w:val="006E4EAF"/>
    <w:rsid w:val="006E4FFF"/>
    <w:rsid w:val="006E51A0"/>
    <w:rsid w:val="006E54A0"/>
    <w:rsid w:val="006E5503"/>
    <w:rsid w:val="006E562D"/>
    <w:rsid w:val="006E567D"/>
    <w:rsid w:val="006E5689"/>
    <w:rsid w:val="006E5962"/>
    <w:rsid w:val="006E5977"/>
    <w:rsid w:val="006E5AA9"/>
    <w:rsid w:val="006E5CB4"/>
    <w:rsid w:val="006E5D50"/>
    <w:rsid w:val="006E5F82"/>
    <w:rsid w:val="006E5FB3"/>
    <w:rsid w:val="006E60CB"/>
    <w:rsid w:val="006E6136"/>
    <w:rsid w:val="006E61E8"/>
    <w:rsid w:val="006E62C8"/>
    <w:rsid w:val="006E6D8B"/>
    <w:rsid w:val="006E7753"/>
    <w:rsid w:val="006E7DDA"/>
    <w:rsid w:val="006F0100"/>
    <w:rsid w:val="006F01B2"/>
    <w:rsid w:val="006F04C8"/>
    <w:rsid w:val="006F04E5"/>
    <w:rsid w:val="006F06D8"/>
    <w:rsid w:val="006F0885"/>
    <w:rsid w:val="006F08BC"/>
    <w:rsid w:val="006F0D16"/>
    <w:rsid w:val="006F1310"/>
    <w:rsid w:val="006F136B"/>
    <w:rsid w:val="006F1765"/>
    <w:rsid w:val="006F187D"/>
    <w:rsid w:val="006F1923"/>
    <w:rsid w:val="006F1A51"/>
    <w:rsid w:val="006F1B8E"/>
    <w:rsid w:val="006F1C0D"/>
    <w:rsid w:val="006F1D74"/>
    <w:rsid w:val="006F1EDC"/>
    <w:rsid w:val="006F1FAF"/>
    <w:rsid w:val="006F2039"/>
    <w:rsid w:val="006F208B"/>
    <w:rsid w:val="006F22E4"/>
    <w:rsid w:val="006F23C9"/>
    <w:rsid w:val="006F25DA"/>
    <w:rsid w:val="006F270E"/>
    <w:rsid w:val="006F283B"/>
    <w:rsid w:val="006F2A21"/>
    <w:rsid w:val="006F2C74"/>
    <w:rsid w:val="006F30D6"/>
    <w:rsid w:val="006F3326"/>
    <w:rsid w:val="006F3482"/>
    <w:rsid w:val="006F36B6"/>
    <w:rsid w:val="006F393E"/>
    <w:rsid w:val="006F3CFD"/>
    <w:rsid w:val="006F4007"/>
    <w:rsid w:val="006F4021"/>
    <w:rsid w:val="006F41CA"/>
    <w:rsid w:val="006F420E"/>
    <w:rsid w:val="006F4427"/>
    <w:rsid w:val="006F46FB"/>
    <w:rsid w:val="006F4927"/>
    <w:rsid w:val="006F4B5F"/>
    <w:rsid w:val="006F4D71"/>
    <w:rsid w:val="006F4DF4"/>
    <w:rsid w:val="006F4E58"/>
    <w:rsid w:val="006F4F2A"/>
    <w:rsid w:val="006F4FE5"/>
    <w:rsid w:val="006F569F"/>
    <w:rsid w:val="006F5956"/>
    <w:rsid w:val="006F5AA2"/>
    <w:rsid w:val="006F5CE0"/>
    <w:rsid w:val="006F5DAE"/>
    <w:rsid w:val="006F631F"/>
    <w:rsid w:val="006F6728"/>
    <w:rsid w:val="006F6A5A"/>
    <w:rsid w:val="006F6B54"/>
    <w:rsid w:val="006F6D37"/>
    <w:rsid w:val="006F70F8"/>
    <w:rsid w:val="006F74B6"/>
    <w:rsid w:val="006F74E3"/>
    <w:rsid w:val="006F76B4"/>
    <w:rsid w:val="006F76F9"/>
    <w:rsid w:val="006F770B"/>
    <w:rsid w:val="006F7886"/>
    <w:rsid w:val="006F7E5B"/>
    <w:rsid w:val="007001A1"/>
    <w:rsid w:val="00700539"/>
    <w:rsid w:val="0070078B"/>
    <w:rsid w:val="007015D3"/>
    <w:rsid w:val="007015E1"/>
    <w:rsid w:val="0070192F"/>
    <w:rsid w:val="00701A0E"/>
    <w:rsid w:val="00701D8D"/>
    <w:rsid w:val="00702055"/>
    <w:rsid w:val="00702238"/>
    <w:rsid w:val="007024B1"/>
    <w:rsid w:val="007025CE"/>
    <w:rsid w:val="00702713"/>
    <w:rsid w:val="0070278E"/>
    <w:rsid w:val="007029F9"/>
    <w:rsid w:val="00702E15"/>
    <w:rsid w:val="00702E3C"/>
    <w:rsid w:val="00702EF6"/>
    <w:rsid w:val="00702FD0"/>
    <w:rsid w:val="0070306A"/>
    <w:rsid w:val="0070358D"/>
    <w:rsid w:val="0070379B"/>
    <w:rsid w:val="00703CF7"/>
    <w:rsid w:val="00703D02"/>
    <w:rsid w:val="00703E50"/>
    <w:rsid w:val="00703F7C"/>
    <w:rsid w:val="00703F9F"/>
    <w:rsid w:val="00703FE6"/>
    <w:rsid w:val="007043F6"/>
    <w:rsid w:val="007044DC"/>
    <w:rsid w:val="0070457F"/>
    <w:rsid w:val="007045AA"/>
    <w:rsid w:val="00704787"/>
    <w:rsid w:val="00704832"/>
    <w:rsid w:val="00704C97"/>
    <w:rsid w:val="00704D54"/>
    <w:rsid w:val="0070509A"/>
    <w:rsid w:val="007052BD"/>
    <w:rsid w:val="0070566A"/>
    <w:rsid w:val="0070592D"/>
    <w:rsid w:val="00705A44"/>
    <w:rsid w:val="00705AB5"/>
    <w:rsid w:val="00705F1F"/>
    <w:rsid w:val="00705FFC"/>
    <w:rsid w:val="007060E7"/>
    <w:rsid w:val="00706246"/>
    <w:rsid w:val="0070627E"/>
    <w:rsid w:val="007065FC"/>
    <w:rsid w:val="00706711"/>
    <w:rsid w:val="00706721"/>
    <w:rsid w:val="0070681F"/>
    <w:rsid w:val="00706945"/>
    <w:rsid w:val="00706977"/>
    <w:rsid w:val="00706DDA"/>
    <w:rsid w:val="00706E4B"/>
    <w:rsid w:val="00707131"/>
    <w:rsid w:val="007076CA"/>
    <w:rsid w:val="00707984"/>
    <w:rsid w:val="00707C76"/>
    <w:rsid w:val="00707DC5"/>
    <w:rsid w:val="00707FC3"/>
    <w:rsid w:val="007101DB"/>
    <w:rsid w:val="00710418"/>
    <w:rsid w:val="0071055E"/>
    <w:rsid w:val="00710F5A"/>
    <w:rsid w:val="00710F82"/>
    <w:rsid w:val="00711664"/>
    <w:rsid w:val="0071183E"/>
    <w:rsid w:val="00711915"/>
    <w:rsid w:val="00711919"/>
    <w:rsid w:val="00711AC2"/>
    <w:rsid w:val="00711CBB"/>
    <w:rsid w:val="00711F79"/>
    <w:rsid w:val="00712153"/>
    <w:rsid w:val="00712222"/>
    <w:rsid w:val="007123C5"/>
    <w:rsid w:val="00712893"/>
    <w:rsid w:val="0071297F"/>
    <w:rsid w:val="00712A23"/>
    <w:rsid w:val="00712B16"/>
    <w:rsid w:val="00712B54"/>
    <w:rsid w:val="00713118"/>
    <w:rsid w:val="007132FD"/>
    <w:rsid w:val="007133A2"/>
    <w:rsid w:val="007137D0"/>
    <w:rsid w:val="00713947"/>
    <w:rsid w:val="00713A8F"/>
    <w:rsid w:val="00713AC8"/>
    <w:rsid w:val="00713DF8"/>
    <w:rsid w:val="0071438F"/>
    <w:rsid w:val="007146E6"/>
    <w:rsid w:val="00714AC3"/>
    <w:rsid w:val="00714B88"/>
    <w:rsid w:val="00714D96"/>
    <w:rsid w:val="0071512E"/>
    <w:rsid w:val="00715230"/>
    <w:rsid w:val="0071571D"/>
    <w:rsid w:val="00715744"/>
    <w:rsid w:val="00716032"/>
    <w:rsid w:val="007160F1"/>
    <w:rsid w:val="0071611E"/>
    <w:rsid w:val="007163EE"/>
    <w:rsid w:val="00716609"/>
    <w:rsid w:val="00716779"/>
    <w:rsid w:val="00716AA1"/>
    <w:rsid w:val="00716CCC"/>
    <w:rsid w:val="00716D0E"/>
    <w:rsid w:val="0071705E"/>
    <w:rsid w:val="00717599"/>
    <w:rsid w:val="00717629"/>
    <w:rsid w:val="00717669"/>
    <w:rsid w:val="007176A7"/>
    <w:rsid w:val="007176CD"/>
    <w:rsid w:val="00717956"/>
    <w:rsid w:val="00717BCA"/>
    <w:rsid w:val="00717BD5"/>
    <w:rsid w:val="00717C73"/>
    <w:rsid w:val="00717D40"/>
    <w:rsid w:val="00717FF0"/>
    <w:rsid w:val="00720241"/>
    <w:rsid w:val="00720471"/>
    <w:rsid w:val="0072068E"/>
    <w:rsid w:val="007208B9"/>
    <w:rsid w:val="007208FC"/>
    <w:rsid w:val="0072094A"/>
    <w:rsid w:val="0072099A"/>
    <w:rsid w:val="007212A9"/>
    <w:rsid w:val="007217D0"/>
    <w:rsid w:val="007219F1"/>
    <w:rsid w:val="00721A5F"/>
    <w:rsid w:val="00721E34"/>
    <w:rsid w:val="00721FE8"/>
    <w:rsid w:val="007223AE"/>
    <w:rsid w:val="007223FD"/>
    <w:rsid w:val="0072261A"/>
    <w:rsid w:val="00722631"/>
    <w:rsid w:val="00722755"/>
    <w:rsid w:val="007228FB"/>
    <w:rsid w:val="00722922"/>
    <w:rsid w:val="007229DC"/>
    <w:rsid w:val="00722C8C"/>
    <w:rsid w:val="00722CAC"/>
    <w:rsid w:val="00722CB5"/>
    <w:rsid w:val="00722EA6"/>
    <w:rsid w:val="00723176"/>
    <w:rsid w:val="007234E0"/>
    <w:rsid w:val="0072395B"/>
    <w:rsid w:val="007239E4"/>
    <w:rsid w:val="00723A76"/>
    <w:rsid w:val="0072409A"/>
    <w:rsid w:val="00724193"/>
    <w:rsid w:val="00724347"/>
    <w:rsid w:val="0072441A"/>
    <w:rsid w:val="00724608"/>
    <w:rsid w:val="00724789"/>
    <w:rsid w:val="007247A3"/>
    <w:rsid w:val="007247C6"/>
    <w:rsid w:val="00724870"/>
    <w:rsid w:val="007248A8"/>
    <w:rsid w:val="007248EB"/>
    <w:rsid w:val="007248FB"/>
    <w:rsid w:val="0072499B"/>
    <w:rsid w:val="00724AC4"/>
    <w:rsid w:val="00725593"/>
    <w:rsid w:val="00725668"/>
    <w:rsid w:val="007258FE"/>
    <w:rsid w:val="007259C7"/>
    <w:rsid w:val="00725AAF"/>
    <w:rsid w:val="00725F4E"/>
    <w:rsid w:val="0072600C"/>
    <w:rsid w:val="0072625C"/>
    <w:rsid w:val="007263DC"/>
    <w:rsid w:val="007266E4"/>
    <w:rsid w:val="00726783"/>
    <w:rsid w:val="0072682A"/>
    <w:rsid w:val="007269D1"/>
    <w:rsid w:val="00726C31"/>
    <w:rsid w:val="00726C69"/>
    <w:rsid w:val="00726DE7"/>
    <w:rsid w:val="00726E29"/>
    <w:rsid w:val="00726E7B"/>
    <w:rsid w:val="007270C4"/>
    <w:rsid w:val="00727AA4"/>
    <w:rsid w:val="00727E60"/>
    <w:rsid w:val="00730309"/>
    <w:rsid w:val="00730315"/>
    <w:rsid w:val="00730406"/>
    <w:rsid w:val="00730471"/>
    <w:rsid w:val="0073064D"/>
    <w:rsid w:val="0073065E"/>
    <w:rsid w:val="007306DA"/>
    <w:rsid w:val="0073090E"/>
    <w:rsid w:val="00730A02"/>
    <w:rsid w:val="00730F2D"/>
    <w:rsid w:val="007311AE"/>
    <w:rsid w:val="007311B5"/>
    <w:rsid w:val="007313AA"/>
    <w:rsid w:val="00731469"/>
    <w:rsid w:val="00731710"/>
    <w:rsid w:val="00731CC7"/>
    <w:rsid w:val="00731D04"/>
    <w:rsid w:val="00731D12"/>
    <w:rsid w:val="00731D8D"/>
    <w:rsid w:val="00731D99"/>
    <w:rsid w:val="007322E4"/>
    <w:rsid w:val="007326DE"/>
    <w:rsid w:val="007328B8"/>
    <w:rsid w:val="007329D3"/>
    <w:rsid w:val="00732E72"/>
    <w:rsid w:val="007330B0"/>
    <w:rsid w:val="00733443"/>
    <w:rsid w:val="007335CC"/>
    <w:rsid w:val="0073376E"/>
    <w:rsid w:val="007339CB"/>
    <w:rsid w:val="00733CB6"/>
    <w:rsid w:val="00733F5B"/>
    <w:rsid w:val="00734337"/>
    <w:rsid w:val="00734517"/>
    <w:rsid w:val="00734A28"/>
    <w:rsid w:val="007352F0"/>
    <w:rsid w:val="00735368"/>
    <w:rsid w:val="00735A82"/>
    <w:rsid w:val="00735AFE"/>
    <w:rsid w:val="00735BA3"/>
    <w:rsid w:val="00735E98"/>
    <w:rsid w:val="00735F98"/>
    <w:rsid w:val="007362B0"/>
    <w:rsid w:val="007363B4"/>
    <w:rsid w:val="007364A9"/>
    <w:rsid w:val="00736C22"/>
    <w:rsid w:val="00736DAC"/>
    <w:rsid w:val="00736F70"/>
    <w:rsid w:val="007375D6"/>
    <w:rsid w:val="007375FE"/>
    <w:rsid w:val="0073772C"/>
    <w:rsid w:val="00737781"/>
    <w:rsid w:val="007379F1"/>
    <w:rsid w:val="00737ACD"/>
    <w:rsid w:val="00737CEC"/>
    <w:rsid w:val="00737CF9"/>
    <w:rsid w:val="007403A2"/>
    <w:rsid w:val="00740685"/>
    <w:rsid w:val="00740836"/>
    <w:rsid w:val="00740886"/>
    <w:rsid w:val="007409CE"/>
    <w:rsid w:val="007409FB"/>
    <w:rsid w:val="00740B65"/>
    <w:rsid w:val="00740C9A"/>
    <w:rsid w:val="00740FE1"/>
    <w:rsid w:val="00740FF8"/>
    <w:rsid w:val="00741127"/>
    <w:rsid w:val="00741435"/>
    <w:rsid w:val="007415D7"/>
    <w:rsid w:val="00741763"/>
    <w:rsid w:val="00741868"/>
    <w:rsid w:val="00741A1F"/>
    <w:rsid w:val="00741E72"/>
    <w:rsid w:val="00741E99"/>
    <w:rsid w:val="007420A4"/>
    <w:rsid w:val="007420FB"/>
    <w:rsid w:val="00742257"/>
    <w:rsid w:val="007424C3"/>
    <w:rsid w:val="00742595"/>
    <w:rsid w:val="007426F2"/>
    <w:rsid w:val="007429B5"/>
    <w:rsid w:val="00742A39"/>
    <w:rsid w:val="00742A7D"/>
    <w:rsid w:val="00742B77"/>
    <w:rsid w:val="00742F8E"/>
    <w:rsid w:val="00742FE0"/>
    <w:rsid w:val="0074315C"/>
    <w:rsid w:val="0074357B"/>
    <w:rsid w:val="007435B2"/>
    <w:rsid w:val="007436CF"/>
    <w:rsid w:val="00743B43"/>
    <w:rsid w:val="00743B5E"/>
    <w:rsid w:val="00743D52"/>
    <w:rsid w:val="00743FFA"/>
    <w:rsid w:val="00744081"/>
    <w:rsid w:val="0074453E"/>
    <w:rsid w:val="0074454D"/>
    <w:rsid w:val="007445A2"/>
    <w:rsid w:val="0074467E"/>
    <w:rsid w:val="00744AD0"/>
    <w:rsid w:val="00744CF7"/>
    <w:rsid w:val="00744DDD"/>
    <w:rsid w:val="00744FB6"/>
    <w:rsid w:val="00745126"/>
    <w:rsid w:val="007451AC"/>
    <w:rsid w:val="007452E2"/>
    <w:rsid w:val="00745521"/>
    <w:rsid w:val="007455F0"/>
    <w:rsid w:val="007456C3"/>
    <w:rsid w:val="007457A2"/>
    <w:rsid w:val="00745ADF"/>
    <w:rsid w:val="00745DBF"/>
    <w:rsid w:val="00746027"/>
    <w:rsid w:val="0074630D"/>
    <w:rsid w:val="0074675D"/>
    <w:rsid w:val="00746C89"/>
    <w:rsid w:val="00746CD7"/>
    <w:rsid w:val="00747309"/>
    <w:rsid w:val="007474D5"/>
    <w:rsid w:val="00747617"/>
    <w:rsid w:val="007478A7"/>
    <w:rsid w:val="00747CA9"/>
    <w:rsid w:val="00747E80"/>
    <w:rsid w:val="00747EBA"/>
    <w:rsid w:val="00747EC4"/>
    <w:rsid w:val="00747FE0"/>
    <w:rsid w:val="0075008B"/>
    <w:rsid w:val="007500FE"/>
    <w:rsid w:val="007502DB"/>
    <w:rsid w:val="00750C49"/>
    <w:rsid w:val="00750EBC"/>
    <w:rsid w:val="00750FA9"/>
    <w:rsid w:val="00751118"/>
    <w:rsid w:val="00751621"/>
    <w:rsid w:val="00751770"/>
    <w:rsid w:val="007518C1"/>
    <w:rsid w:val="007519AA"/>
    <w:rsid w:val="00751B3E"/>
    <w:rsid w:val="00751D34"/>
    <w:rsid w:val="00751D4C"/>
    <w:rsid w:val="00751EBF"/>
    <w:rsid w:val="00752340"/>
    <w:rsid w:val="0075240C"/>
    <w:rsid w:val="00752411"/>
    <w:rsid w:val="00752587"/>
    <w:rsid w:val="0075267B"/>
    <w:rsid w:val="007526BE"/>
    <w:rsid w:val="007529DF"/>
    <w:rsid w:val="00752A4D"/>
    <w:rsid w:val="00752A8B"/>
    <w:rsid w:val="00752BB8"/>
    <w:rsid w:val="00752DD3"/>
    <w:rsid w:val="00752E1B"/>
    <w:rsid w:val="00752FBE"/>
    <w:rsid w:val="007531CC"/>
    <w:rsid w:val="00753394"/>
    <w:rsid w:val="0075381E"/>
    <w:rsid w:val="00753899"/>
    <w:rsid w:val="00753A93"/>
    <w:rsid w:val="00753DAE"/>
    <w:rsid w:val="00753F17"/>
    <w:rsid w:val="00753F42"/>
    <w:rsid w:val="00753F4B"/>
    <w:rsid w:val="00754239"/>
    <w:rsid w:val="007545BC"/>
    <w:rsid w:val="007546D6"/>
    <w:rsid w:val="00754782"/>
    <w:rsid w:val="00754904"/>
    <w:rsid w:val="00754BFA"/>
    <w:rsid w:val="00754E1F"/>
    <w:rsid w:val="00754E8A"/>
    <w:rsid w:val="00755240"/>
    <w:rsid w:val="007552E2"/>
    <w:rsid w:val="00755465"/>
    <w:rsid w:val="00755531"/>
    <w:rsid w:val="0075571F"/>
    <w:rsid w:val="007557C8"/>
    <w:rsid w:val="007558A2"/>
    <w:rsid w:val="00755930"/>
    <w:rsid w:val="00755959"/>
    <w:rsid w:val="00755A8B"/>
    <w:rsid w:val="00755ADE"/>
    <w:rsid w:val="00755B3B"/>
    <w:rsid w:val="00755FBF"/>
    <w:rsid w:val="00755FCD"/>
    <w:rsid w:val="007562A6"/>
    <w:rsid w:val="007567A0"/>
    <w:rsid w:val="007568EE"/>
    <w:rsid w:val="00756943"/>
    <w:rsid w:val="00756B61"/>
    <w:rsid w:val="00756DAD"/>
    <w:rsid w:val="0075750E"/>
    <w:rsid w:val="007579BD"/>
    <w:rsid w:val="007579DC"/>
    <w:rsid w:val="00757B99"/>
    <w:rsid w:val="00757E15"/>
    <w:rsid w:val="00760055"/>
    <w:rsid w:val="00760122"/>
    <w:rsid w:val="00760346"/>
    <w:rsid w:val="0076041C"/>
    <w:rsid w:val="00760467"/>
    <w:rsid w:val="00760844"/>
    <w:rsid w:val="0076090B"/>
    <w:rsid w:val="00760A12"/>
    <w:rsid w:val="00760AF3"/>
    <w:rsid w:val="00760AF8"/>
    <w:rsid w:val="00760B9D"/>
    <w:rsid w:val="00760D70"/>
    <w:rsid w:val="00760DBB"/>
    <w:rsid w:val="00760FAC"/>
    <w:rsid w:val="007610E3"/>
    <w:rsid w:val="007617A1"/>
    <w:rsid w:val="007618C6"/>
    <w:rsid w:val="00761ACD"/>
    <w:rsid w:val="00761C02"/>
    <w:rsid w:val="00761CB2"/>
    <w:rsid w:val="00761CD0"/>
    <w:rsid w:val="00761D13"/>
    <w:rsid w:val="0076249A"/>
    <w:rsid w:val="007628FE"/>
    <w:rsid w:val="00762973"/>
    <w:rsid w:val="00762A35"/>
    <w:rsid w:val="00762ABD"/>
    <w:rsid w:val="00762AED"/>
    <w:rsid w:val="00762B52"/>
    <w:rsid w:val="00762D54"/>
    <w:rsid w:val="00762DC0"/>
    <w:rsid w:val="00762FC5"/>
    <w:rsid w:val="00763227"/>
    <w:rsid w:val="0076324D"/>
    <w:rsid w:val="0076334D"/>
    <w:rsid w:val="00763387"/>
    <w:rsid w:val="0076368E"/>
    <w:rsid w:val="00763B11"/>
    <w:rsid w:val="007644F6"/>
    <w:rsid w:val="00764530"/>
    <w:rsid w:val="00764715"/>
    <w:rsid w:val="00764748"/>
    <w:rsid w:val="0076478D"/>
    <w:rsid w:val="00764982"/>
    <w:rsid w:val="00764C9D"/>
    <w:rsid w:val="00764D9A"/>
    <w:rsid w:val="00764DFA"/>
    <w:rsid w:val="00764E6D"/>
    <w:rsid w:val="0076517D"/>
    <w:rsid w:val="007652D1"/>
    <w:rsid w:val="00765318"/>
    <w:rsid w:val="0076540A"/>
    <w:rsid w:val="00765411"/>
    <w:rsid w:val="00765565"/>
    <w:rsid w:val="00765660"/>
    <w:rsid w:val="00765722"/>
    <w:rsid w:val="00765891"/>
    <w:rsid w:val="00765917"/>
    <w:rsid w:val="00765A8F"/>
    <w:rsid w:val="00765D2F"/>
    <w:rsid w:val="00765E5F"/>
    <w:rsid w:val="007662A7"/>
    <w:rsid w:val="00766379"/>
    <w:rsid w:val="00766443"/>
    <w:rsid w:val="0076678C"/>
    <w:rsid w:val="00766835"/>
    <w:rsid w:val="007669B0"/>
    <w:rsid w:val="00766B0D"/>
    <w:rsid w:val="00766D90"/>
    <w:rsid w:val="00766FD0"/>
    <w:rsid w:val="00767161"/>
    <w:rsid w:val="007671D1"/>
    <w:rsid w:val="007675CE"/>
    <w:rsid w:val="007679BC"/>
    <w:rsid w:val="007679FF"/>
    <w:rsid w:val="00767B62"/>
    <w:rsid w:val="00767C60"/>
    <w:rsid w:val="00767D18"/>
    <w:rsid w:val="00767D9C"/>
    <w:rsid w:val="0077026F"/>
    <w:rsid w:val="00770502"/>
    <w:rsid w:val="0077073B"/>
    <w:rsid w:val="007707EC"/>
    <w:rsid w:val="00770BE8"/>
    <w:rsid w:val="00770D58"/>
    <w:rsid w:val="00770E89"/>
    <w:rsid w:val="00771108"/>
    <w:rsid w:val="00771367"/>
    <w:rsid w:val="00771368"/>
    <w:rsid w:val="007713FA"/>
    <w:rsid w:val="00771651"/>
    <w:rsid w:val="00771773"/>
    <w:rsid w:val="007717BC"/>
    <w:rsid w:val="007718DC"/>
    <w:rsid w:val="007719F5"/>
    <w:rsid w:val="00772003"/>
    <w:rsid w:val="00772172"/>
    <w:rsid w:val="007724E0"/>
    <w:rsid w:val="0077256E"/>
    <w:rsid w:val="00772899"/>
    <w:rsid w:val="00772C10"/>
    <w:rsid w:val="00772E8E"/>
    <w:rsid w:val="00772EFF"/>
    <w:rsid w:val="007730AB"/>
    <w:rsid w:val="007730E1"/>
    <w:rsid w:val="007733A2"/>
    <w:rsid w:val="007733B4"/>
    <w:rsid w:val="007735F5"/>
    <w:rsid w:val="007736A1"/>
    <w:rsid w:val="00773AA4"/>
    <w:rsid w:val="00773E46"/>
    <w:rsid w:val="00773EA4"/>
    <w:rsid w:val="00774076"/>
    <w:rsid w:val="00774B05"/>
    <w:rsid w:val="00774CD6"/>
    <w:rsid w:val="00774D6B"/>
    <w:rsid w:val="00774FAC"/>
    <w:rsid w:val="0077526E"/>
    <w:rsid w:val="00775283"/>
    <w:rsid w:val="0077575C"/>
    <w:rsid w:val="007757B8"/>
    <w:rsid w:val="007759F9"/>
    <w:rsid w:val="00775CB5"/>
    <w:rsid w:val="00775E9F"/>
    <w:rsid w:val="00775FC1"/>
    <w:rsid w:val="00775FF9"/>
    <w:rsid w:val="00776270"/>
    <w:rsid w:val="0077638B"/>
    <w:rsid w:val="007764C7"/>
    <w:rsid w:val="0077651E"/>
    <w:rsid w:val="00776603"/>
    <w:rsid w:val="00776A1F"/>
    <w:rsid w:val="00776DC6"/>
    <w:rsid w:val="00776EEE"/>
    <w:rsid w:val="00776F92"/>
    <w:rsid w:val="00776FF9"/>
    <w:rsid w:val="00777071"/>
    <w:rsid w:val="00777354"/>
    <w:rsid w:val="00777620"/>
    <w:rsid w:val="007776EC"/>
    <w:rsid w:val="007777CD"/>
    <w:rsid w:val="007777FF"/>
    <w:rsid w:val="00777C49"/>
    <w:rsid w:val="00777D04"/>
    <w:rsid w:val="00777D67"/>
    <w:rsid w:val="00780024"/>
    <w:rsid w:val="007801D8"/>
    <w:rsid w:val="00780367"/>
    <w:rsid w:val="00780467"/>
    <w:rsid w:val="00780D81"/>
    <w:rsid w:val="00780F5C"/>
    <w:rsid w:val="0078111C"/>
    <w:rsid w:val="00781B1A"/>
    <w:rsid w:val="00781BFA"/>
    <w:rsid w:val="00781C0D"/>
    <w:rsid w:val="00781E48"/>
    <w:rsid w:val="00781F68"/>
    <w:rsid w:val="007820F9"/>
    <w:rsid w:val="0078227B"/>
    <w:rsid w:val="0078261F"/>
    <w:rsid w:val="00782785"/>
    <w:rsid w:val="00782813"/>
    <w:rsid w:val="0078294D"/>
    <w:rsid w:val="00782A35"/>
    <w:rsid w:val="00782CCE"/>
    <w:rsid w:val="00782D77"/>
    <w:rsid w:val="00782EB5"/>
    <w:rsid w:val="00783186"/>
    <w:rsid w:val="0078337B"/>
    <w:rsid w:val="0078346C"/>
    <w:rsid w:val="00783515"/>
    <w:rsid w:val="007836B4"/>
    <w:rsid w:val="00783853"/>
    <w:rsid w:val="00783D41"/>
    <w:rsid w:val="00783D70"/>
    <w:rsid w:val="0078435B"/>
    <w:rsid w:val="00784372"/>
    <w:rsid w:val="007845EF"/>
    <w:rsid w:val="0078461F"/>
    <w:rsid w:val="00784B56"/>
    <w:rsid w:val="00784F67"/>
    <w:rsid w:val="007850A4"/>
    <w:rsid w:val="00785281"/>
    <w:rsid w:val="00785745"/>
    <w:rsid w:val="00785ED3"/>
    <w:rsid w:val="007862D4"/>
    <w:rsid w:val="00786866"/>
    <w:rsid w:val="007869D5"/>
    <w:rsid w:val="00786A84"/>
    <w:rsid w:val="00786AEB"/>
    <w:rsid w:val="00786BF7"/>
    <w:rsid w:val="00786EE0"/>
    <w:rsid w:val="00786F45"/>
    <w:rsid w:val="00787065"/>
    <w:rsid w:val="0078716E"/>
    <w:rsid w:val="007876F0"/>
    <w:rsid w:val="0078793D"/>
    <w:rsid w:val="00787AC4"/>
    <w:rsid w:val="00787AD6"/>
    <w:rsid w:val="00787ADA"/>
    <w:rsid w:val="007900A1"/>
    <w:rsid w:val="007901B2"/>
    <w:rsid w:val="007904A9"/>
    <w:rsid w:val="0079064A"/>
    <w:rsid w:val="00790A40"/>
    <w:rsid w:val="00790BD8"/>
    <w:rsid w:val="00790BED"/>
    <w:rsid w:val="00790DBC"/>
    <w:rsid w:val="00790DDC"/>
    <w:rsid w:val="00790FED"/>
    <w:rsid w:val="007913B0"/>
    <w:rsid w:val="00791534"/>
    <w:rsid w:val="007916D2"/>
    <w:rsid w:val="00791A18"/>
    <w:rsid w:val="00791E57"/>
    <w:rsid w:val="00791FBA"/>
    <w:rsid w:val="007920CD"/>
    <w:rsid w:val="0079215B"/>
    <w:rsid w:val="00792485"/>
    <w:rsid w:val="007926C1"/>
    <w:rsid w:val="0079293E"/>
    <w:rsid w:val="00792B34"/>
    <w:rsid w:val="00792D1A"/>
    <w:rsid w:val="0079346D"/>
    <w:rsid w:val="0079351E"/>
    <w:rsid w:val="00793B27"/>
    <w:rsid w:val="00793B4F"/>
    <w:rsid w:val="00793C2E"/>
    <w:rsid w:val="00793CA1"/>
    <w:rsid w:val="00793DA0"/>
    <w:rsid w:val="00793DB0"/>
    <w:rsid w:val="0079428D"/>
    <w:rsid w:val="0079431E"/>
    <w:rsid w:val="00794453"/>
    <w:rsid w:val="00794500"/>
    <w:rsid w:val="00794528"/>
    <w:rsid w:val="00794922"/>
    <w:rsid w:val="00794C7B"/>
    <w:rsid w:val="00794CB1"/>
    <w:rsid w:val="00794F62"/>
    <w:rsid w:val="00794F7C"/>
    <w:rsid w:val="00794F7F"/>
    <w:rsid w:val="007950BA"/>
    <w:rsid w:val="00795305"/>
    <w:rsid w:val="0079550F"/>
    <w:rsid w:val="0079589F"/>
    <w:rsid w:val="00795B2D"/>
    <w:rsid w:val="00795C9C"/>
    <w:rsid w:val="00795F42"/>
    <w:rsid w:val="00796081"/>
    <w:rsid w:val="00796227"/>
    <w:rsid w:val="0079638E"/>
    <w:rsid w:val="0079659B"/>
    <w:rsid w:val="00796A37"/>
    <w:rsid w:val="00796CEB"/>
    <w:rsid w:val="00796D95"/>
    <w:rsid w:val="00796F76"/>
    <w:rsid w:val="0079737E"/>
    <w:rsid w:val="00797A55"/>
    <w:rsid w:val="00797A6B"/>
    <w:rsid w:val="00797B11"/>
    <w:rsid w:val="00797D0C"/>
    <w:rsid w:val="007A023B"/>
    <w:rsid w:val="007A05B7"/>
    <w:rsid w:val="007A0718"/>
    <w:rsid w:val="007A096A"/>
    <w:rsid w:val="007A0B10"/>
    <w:rsid w:val="007A0CB5"/>
    <w:rsid w:val="007A0EB9"/>
    <w:rsid w:val="007A0F17"/>
    <w:rsid w:val="007A112E"/>
    <w:rsid w:val="007A1161"/>
    <w:rsid w:val="007A122C"/>
    <w:rsid w:val="007A131E"/>
    <w:rsid w:val="007A15D8"/>
    <w:rsid w:val="007A15EA"/>
    <w:rsid w:val="007A1609"/>
    <w:rsid w:val="007A1978"/>
    <w:rsid w:val="007A19EC"/>
    <w:rsid w:val="007A1B3F"/>
    <w:rsid w:val="007A1D89"/>
    <w:rsid w:val="007A2141"/>
    <w:rsid w:val="007A22F7"/>
    <w:rsid w:val="007A257F"/>
    <w:rsid w:val="007A25DD"/>
    <w:rsid w:val="007A2908"/>
    <w:rsid w:val="007A293A"/>
    <w:rsid w:val="007A297F"/>
    <w:rsid w:val="007A2BE5"/>
    <w:rsid w:val="007A2E90"/>
    <w:rsid w:val="007A2F22"/>
    <w:rsid w:val="007A2FE7"/>
    <w:rsid w:val="007A31C1"/>
    <w:rsid w:val="007A322C"/>
    <w:rsid w:val="007A323E"/>
    <w:rsid w:val="007A330D"/>
    <w:rsid w:val="007A3651"/>
    <w:rsid w:val="007A36E4"/>
    <w:rsid w:val="007A395C"/>
    <w:rsid w:val="007A39EE"/>
    <w:rsid w:val="007A3B3F"/>
    <w:rsid w:val="007A3BB5"/>
    <w:rsid w:val="007A3C5E"/>
    <w:rsid w:val="007A413B"/>
    <w:rsid w:val="007A4277"/>
    <w:rsid w:val="007A43AC"/>
    <w:rsid w:val="007A45BB"/>
    <w:rsid w:val="007A4778"/>
    <w:rsid w:val="007A48CF"/>
    <w:rsid w:val="007A4A28"/>
    <w:rsid w:val="007A4A99"/>
    <w:rsid w:val="007A4C34"/>
    <w:rsid w:val="007A4EA8"/>
    <w:rsid w:val="007A50D1"/>
    <w:rsid w:val="007A51E1"/>
    <w:rsid w:val="007A5265"/>
    <w:rsid w:val="007A537D"/>
    <w:rsid w:val="007A538C"/>
    <w:rsid w:val="007A559D"/>
    <w:rsid w:val="007A56D4"/>
    <w:rsid w:val="007A579C"/>
    <w:rsid w:val="007A5A6A"/>
    <w:rsid w:val="007A5D4B"/>
    <w:rsid w:val="007A5F69"/>
    <w:rsid w:val="007A5FE8"/>
    <w:rsid w:val="007A6085"/>
    <w:rsid w:val="007A609D"/>
    <w:rsid w:val="007A651C"/>
    <w:rsid w:val="007A684F"/>
    <w:rsid w:val="007A6BFF"/>
    <w:rsid w:val="007A6F26"/>
    <w:rsid w:val="007A6F67"/>
    <w:rsid w:val="007A70EF"/>
    <w:rsid w:val="007A7373"/>
    <w:rsid w:val="007A755D"/>
    <w:rsid w:val="007A75C7"/>
    <w:rsid w:val="007A7605"/>
    <w:rsid w:val="007A77C3"/>
    <w:rsid w:val="007A7874"/>
    <w:rsid w:val="007A7C53"/>
    <w:rsid w:val="007A7D9A"/>
    <w:rsid w:val="007B036E"/>
    <w:rsid w:val="007B03D4"/>
    <w:rsid w:val="007B089B"/>
    <w:rsid w:val="007B08D6"/>
    <w:rsid w:val="007B0C6B"/>
    <w:rsid w:val="007B0D9D"/>
    <w:rsid w:val="007B0D9E"/>
    <w:rsid w:val="007B0E5F"/>
    <w:rsid w:val="007B112C"/>
    <w:rsid w:val="007B119D"/>
    <w:rsid w:val="007B12D9"/>
    <w:rsid w:val="007B14CD"/>
    <w:rsid w:val="007B19B9"/>
    <w:rsid w:val="007B1EB1"/>
    <w:rsid w:val="007B2379"/>
    <w:rsid w:val="007B265F"/>
    <w:rsid w:val="007B27E1"/>
    <w:rsid w:val="007B2995"/>
    <w:rsid w:val="007B2AAD"/>
    <w:rsid w:val="007B2C0B"/>
    <w:rsid w:val="007B2C68"/>
    <w:rsid w:val="007B2CF2"/>
    <w:rsid w:val="007B2D86"/>
    <w:rsid w:val="007B3486"/>
    <w:rsid w:val="007B35CC"/>
    <w:rsid w:val="007B35F4"/>
    <w:rsid w:val="007B3A5A"/>
    <w:rsid w:val="007B3B1A"/>
    <w:rsid w:val="007B3B42"/>
    <w:rsid w:val="007B3C3B"/>
    <w:rsid w:val="007B3DD6"/>
    <w:rsid w:val="007B3E2F"/>
    <w:rsid w:val="007B3E75"/>
    <w:rsid w:val="007B3EC7"/>
    <w:rsid w:val="007B405A"/>
    <w:rsid w:val="007B4275"/>
    <w:rsid w:val="007B4348"/>
    <w:rsid w:val="007B4630"/>
    <w:rsid w:val="007B4785"/>
    <w:rsid w:val="007B48C3"/>
    <w:rsid w:val="007B4A5D"/>
    <w:rsid w:val="007B4E7E"/>
    <w:rsid w:val="007B5003"/>
    <w:rsid w:val="007B503C"/>
    <w:rsid w:val="007B52F0"/>
    <w:rsid w:val="007B53A3"/>
    <w:rsid w:val="007B54EF"/>
    <w:rsid w:val="007B5A7E"/>
    <w:rsid w:val="007B5F1F"/>
    <w:rsid w:val="007B5F68"/>
    <w:rsid w:val="007B6095"/>
    <w:rsid w:val="007B6161"/>
    <w:rsid w:val="007B6173"/>
    <w:rsid w:val="007B61A4"/>
    <w:rsid w:val="007B6213"/>
    <w:rsid w:val="007B6232"/>
    <w:rsid w:val="007B6428"/>
    <w:rsid w:val="007B66B7"/>
    <w:rsid w:val="007B6760"/>
    <w:rsid w:val="007B6912"/>
    <w:rsid w:val="007B69F0"/>
    <w:rsid w:val="007B6E31"/>
    <w:rsid w:val="007B749C"/>
    <w:rsid w:val="007B7710"/>
    <w:rsid w:val="007B7868"/>
    <w:rsid w:val="007B7A2F"/>
    <w:rsid w:val="007B7B20"/>
    <w:rsid w:val="007B7FC5"/>
    <w:rsid w:val="007C0020"/>
    <w:rsid w:val="007C0053"/>
    <w:rsid w:val="007C0824"/>
    <w:rsid w:val="007C096F"/>
    <w:rsid w:val="007C0970"/>
    <w:rsid w:val="007C0B60"/>
    <w:rsid w:val="007C0F0A"/>
    <w:rsid w:val="007C13A4"/>
    <w:rsid w:val="007C1821"/>
    <w:rsid w:val="007C18A7"/>
    <w:rsid w:val="007C1988"/>
    <w:rsid w:val="007C1C17"/>
    <w:rsid w:val="007C1E67"/>
    <w:rsid w:val="007C1ED6"/>
    <w:rsid w:val="007C2233"/>
    <w:rsid w:val="007C22D1"/>
    <w:rsid w:val="007C27F3"/>
    <w:rsid w:val="007C27F4"/>
    <w:rsid w:val="007C28F2"/>
    <w:rsid w:val="007C29B7"/>
    <w:rsid w:val="007C2B03"/>
    <w:rsid w:val="007C2C87"/>
    <w:rsid w:val="007C30AE"/>
    <w:rsid w:val="007C313B"/>
    <w:rsid w:val="007C32DA"/>
    <w:rsid w:val="007C344C"/>
    <w:rsid w:val="007C34AE"/>
    <w:rsid w:val="007C36A4"/>
    <w:rsid w:val="007C3780"/>
    <w:rsid w:val="007C3790"/>
    <w:rsid w:val="007C3AB3"/>
    <w:rsid w:val="007C3AB6"/>
    <w:rsid w:val="007C3C3B"/>
    <w:rsid w:val="007C3DE8"/>
    <w:rsid w:val="007C3E40"/>
    <w:rsid w:val="007C3E48"/>
    <w:rsid w:val="007C4067"/>
    <w:rsid w:val="007C4135"/>
    <w:rsid w:val="007C45C5"/>
    <w:rsid w:val="007C47B9"/>
    <w:rsid w:val="007C4AAE"/>
    <w:rsid w:val="007C4C53"/>
    <w:rsid w:val="007C4D01"/>
    <w:rsid w:val="007C525B"/>
    <w:rsid w:val="007C5318"/>
    <w:rsid w:val="007C55FC"/>
    <w:rsid w:val="007C5631"/>
    <w:rsid w:val="007C568E"/>
    <w:rsid w:val="007C5D9B"/>
    <w:rsid w:val="007C5E1C"/>
    <w:rsid w:val="007C5F39"/>
    <w:rsid w:val="007C61B8"/>
    <w:rsid w:val="007C6335"/>
    <w:rsid w:val="007C64FC"/>
    <w:rsid w:val="007C6509"/>
    <w:rsid w:val="007C65D4"/>
    <w:rsid w:val="007C67D1"/>
    <w:rsid w:val="007C6891"/>
    <w:rsid w:val="007C695D"/>
    <w:rsid w:val="007C6A1D"/>
    <w:rsid w:val="007C6A61"/>
    <w:rsid w:val="007C6B11"/>
    <w:rsid w:val="007C6DED"/>
    <w:rsid w:val="007C7085"/>
    <w:rsid w:val="007C71B9"/>
    <w:rsid w:val="007C720B"/>
    <w:rsid w:val="007C7316"/>
    <w:rsid w:val="007C7461"/>
    <w:rsid w:val="007C77C6"/>
    <w:rsid w:val="007C7A5F"/>
    <w:rsid w:val="007C7C02"/>
    <w:rsid w:val="007C7C9D"/>
    <w:rsid w:val="007C7F05"/>
    <w:rsid w:val="007C7F81"/>
    <w:rsid w:val="007C7FAA"/>
    <w:rsid w:val="007D0170"/>
    <w:rsid w:val="007D01A6"/>
    <w:rsid w:val="007D01D2"/>
    <w:rsid w:val="007D06E1"/>
    <w:rsid w:val="007D0728"/>
    <w:rsid w:val="007D07A0"/>
    <w:rsid w:val="007D07F3"/>
    <w:rsid w:val="007D08ED"/>
    <w:rsid w:val="007D09FF"/>
    <w:rsid w:val="007D0C8A"/>
    <w:rsid w:val="007D118A"/>
    <w:rsid w:val="007D11BD"/>
    <w:rsid w:val="007D1458"/>
    <w:rsid w:val="007D14B9"/>
    <w:rsid w:val="007D172A"/>
    <w:rsid w:val="007D174F"/>
    <w:rsid w:val="007D18CA"/>
    <w:rsid w:val="007D1E0C"/>
    <w:rsid w:val="007D2010"/>
    <w:rsid w:val="007D21DC"/>
    <w:rsid w:val="007D23A2"/>
    <w:rsid w:val="007D25DD"/>
    <w:rsid w:val="007D26B5"/>
    <w:rsid w:val="007D27B3"/>
    <w:rsid w:val="007D325C"/>
    <w:rsid w:val="007D3517"/>
    <w:rsid w:val="007D36E5"/>
    <w:rsid w:val="007D3735"/>
    <w:rsid w:val="007D37F5"/>
    <w:rsid w:val="007D38C2"/>
    <w:rsid w:val="007D394E"/>
    <w:rsid w:val="007D3A14"/>
    <w:rsid w:val="007D3AE6"/>
    <w:rsid w:val="007D3B75"/>
    <w:rsid w:val="007D3BAC"/>
    <w:rsid w:val="007D3EC9"/>
    <w:rsid w:val="007D40B2"/>
    <w:rsid w:val="007D43BB"/>
    <w:rsid w:val="007D4436"/>
    <w:rsid w:val="007D44CC"/>
    <w:rsid w:val="007D45D7"/>
    <w:rsid w:val="007D476C"/>
    <w:rsid w:val="007D4987"/>
    <w:rsid w:val="007D4A08"/>
    <w:rsid w:val="007D4B35"/>
    <w:rsid w:val="007D4BCE"/>
    <w:rsid w:val="007D4C03"/>
    <w:rsid w:val="007D4C06"/>
    <w:rsid w:val="007D4C24"/>
    <w:rsid w:val="007D4CD1"/>
    <w:rsid w:val="007D5061"/>
    <w:rsid w:val="007D51FE"/>
    <w:rsid w:val="007D524E"/>
    <w:rsid w:val="007D5291"/>
    <w:rsid w:val="007D5BDF"/>
    <w:rsid w:val="007D5CB2"/>
    <w:rsid w:val="007D5FB1"/>
    <w:rsid w:val="007D5FDC"/>
    <w:rsid w:val="007D629F"/>
    <w:rsid w:val="007D62FB"/>
    <w:rsid w:val="007D6754"/>
    <w:rsid w:val="007D6805"/>
    <w:rsid w:val="007D7085"/>
    <w:rsid w:val="007D718D"/>
    <w:rsid w:val="007D71A8"/>
    <w:rsid w:val="007D7319"/>
    <w:rsid w:val="007D7472"/>
    <w:rsid w:val="007D758D"/>
    <w:rsid w:val="007D75A5"/>
    <w:rsid w:val="007D75AE"/>
    <w:rsid w:val="007D75CE"/>
    <w:rsid w:val="007D760C"/>
    <w:rsid w:val="007D76A6"/>
    <w:rsid w:val="007D792F"/>
    <w:rsid w:val="007D7993"/>
    <w:rsid w:val="007D7BF6"/>
    <w:rsid w:val="007E03D9"/>
    <w:rsid w:val="007E061C"/>
    <w:rsid w:val="007E0AD0"/>
    <w:rsid w:val="007E0BBA"/>
    <w:rsid w:val="007E0C10"/>
    <w:rsid w:val="007E0C23"/>
    <w:rsid w:val="007E1194"/>
    <w:rsid w:val="007E1385"/>
    <w:rsid w:val="007E16AC"/>
    <w:rsid w:val="007E1896"/>
    <w:rsid w:val="007E198D"/>
    <w:rsid w:val="007E19FB"/>
    <w:rsid w:val="007E1E40"/>
    <w:rsid w:val="007E2485"/>
    <w:rsid w:val="007E2721"/>
    <w:rsid w:val="007E28B8"/>
    <w:rsid w:val="007E2941"/>
    <w:rsid w:val="007E294F"/>
    <w:rsid w:val="007E2AD0"/>
    <w:rsid w:val="007E2B2B"/>
    <w:rsid w:val="007E2E28"/>
    <w:rsid w:val="007E33D3"/>
    <w:rsid w:val="007E33E2"/>
    <w:rsid w:val="007E377C"/>
    <w:rsid w:val="007E39A3"/>
    <w:rsid w:val="007E3A38"/>
    <w:rsid w:val="007E3CF2"/>
    <w:rsid w:val="007E3F9D"/>
    <w:rsid w:val="007E4055"/>
    <w:rsid w:val="007E4080"/>
    <w:rsid w:val="007E4087"/>
    <w:rsid w:val="007E417A"/>
    <w:rsid w:val="007E4267"/>
    <w:rsid w:val="007E446B"/>
    <w:rsid w:val="007E44D8"/>
    <w:rsid w:val="007E4836"/>
    <w:rsid w:val="007E48FD"/>
    <w:rsid w:val="007E4A04"/>
    <w:rsid w:val="007E5271"/>
    <w:rsid w:val="007E52CF"/>
    <w:rsid w:val="007E5451"/>
    <w:rsid w:val="007E5877"/>
    <w:rsid w:val="007E5AEB"/>
    <w:rsid w:val="007E5AF0"/>
    <w:rsid w:val="007E5C36"/>
    <w:rsid w:val="007E5F37"/>
    <w:rsid w:val="007E669C"/>
    <w:rsid w:val="007E67CB"/>
    <w:rsid w:val="007E68AF"/>
    <w:rsid w:val="007E694A"/>
    <w:rsid w:val="007E6961"/>
    <w:rsid w:val="007E698B"/>
    <w:rsid w:val="007E69C9"/>
    <w:rsid w:val="007E6FB9"/>
    <w:rsid w:val="007E77A8"/>
    <w:rsid w:val="007E7869"/>
    <w:rsid w:val="007E799F"/>
    <w:rsid w:val="007E7AC6"/>
    <w:rsid w:val="007E7B9F"/>
    <w:rsid w:val="007E7F31"/>
    <w:rsid w:val="007F03AB"/>
    <w:rsid w:val="007F07BE"/>
    <w:rsid w:val="007F0A18"/>
    <w:rsid w:val="007F0C40"/>
    <w:rsid w:val="007F0EF1"/>
    <w:rsid w:val="007F1295"/>
    <w:rsid w:val="007F1413"/>
    <w:rsid w:val="007F1730"/>
    <w:rsid w:val="007F1979"/>
    <w:rsid w:val="007F1A62"/>
    <w:rsid w:val="007F1C68"/>
    <w:rsid w:val="007F1DE3"/>
    <w:rsid w:val="007F1F4E"/>
    <w:rsid w:val="007F24EE"/>
    <w:rsid w:val="007F25EC"/>
    <w:rsid w:val="007F2AAB"/>
    <w:rsid w:val="007F2BBF"/>
    <w:rsid w:val="007F3164"/>
    <w:rsid w:val="007F3458"/>
    <w:rsid w:val="007F36E2"/>
    <w:rsid w:val="007F405E"/>
    <w:rsid w:val="007F42B7"/>
    <w:rsid w:val="007F42CC"/>
    <w:rsid w:val="007F4401"/>
    <w:rsid w:val="007F443A"/>
    <w:rsid w:val="007F4692"/>
    <w:rsid w:val="007F4833"/>
    <w:rsid w:val="007F48D2"/>
    <w:rsid w:val="007F48DF"/>
    <w:rsid w:val="007F4A4B"/>
    <w:rsid w:val="007F4CEA"/>
    <w:rsid w:val="007F4F0F"/>
    <w:rsid w:val="007F4FCB"/>
    <w:rsid w:val="007F52A7"/>
    <w:rsid w:val="007F54B5"/>
    <w:rsid w:val="007F5AAC"/>
    <w:rsid w:val="007F5C70"/>
    <w:rsid w:val="007F5D41"/>
    <w:rsid w:val="007F607E"/>
    <w:rsid w:val="007F60C1"/>
    <w:rsid w:val="007F6237"/>
    <w:rsid w:val="007F6269"/>
    <w:rsid w:val="007F64A4"/>
    <w:rsid w:val="007F64B4"/>
    <w:rsid w:val="007F6573"/>
    <w:rsid w:val="007F66E8"/>
    <w:rsid w:val="007F6B30"/>
    <w:rsid w:val="007F6C37"/>
    <w:rsid w:val="007F6FEF"/>
    <w:rsid w:val="007F71C9"/>
    <w:rsid w:val="007F723D"/>
    <w:rsid w:val="007F7339"/>
    <w:rsid w:val="007F73A0"/>
    <w:rsid w:val="007F799C"/>
    <w:rsid w:val="007F7A39"/>
    <w:rsid w:val="007F7AF6"/>
    <w:rsid w:val="007F7B80"/>
    <w:rsid w:val="0080032D"/>
    <w:rsid w:val="008003C4"/>
    <w:rsid w:val="00800604"/>
    <w:rsid w:val="0080081F"/>
    <w:rsid w:val="00800E2A"/>
    <w:rsid w:val="00801018"/>
    <w:rsid w:val="008011A6"/>
    <w:rsid w:val="00801339"/>
    <w:rsid w:val="0080139C"/>
    <w:rsid w:val="008013C1"/>
    <w:rsid w:val="008015C8"/>
    <w:rsid w:val="008018E5"/>
    <w:rsid w:val="00801F2A"/>
    <w:rsid w:val="00802692"/>
    <w:rsid w:val="00802C4A"/>
    <w:rsid w:val="00802D0E"/>
    <w:rsid w:val="00802F13"/>
    <w:rsid w:val="0080306D"/>
    <w:rsid w:val="008030BE"/>
    <w:rsid w:val="008031BC"/>
    <w:rsid w:val="00803295"/>
    <w:rsid w:val="00803726"/>
    <w:rsid w:val="00803829"/>
    <w:rsid w:val="008038B0"/>
    <w:rsid w:val="0080395A"/>
    <w:rsid w:val="00803E01"/>
    <w:rsid w:val="00803E43"/>
    <w:rsid w:val="00804348"/>
    <w:rsid w:val="00804357"/>
    <w:rsid w:val="0080460D"/>
    <w:rsid w:val="00804661"/>
    <w:rsid w:val="00804748"/>
    <w:rsid w:val="0080488B"/>
    <w:rsid w:val="00804A66"/>
    <w:rsid w:val="00804DE2"/>
    <w:rsid w:val="00804F79"/>
    <w:rsid w:val="00804FEC"/>
    <w:rsid w:val="0080536A"/>
    <w:rsid w:val="008053C2"/>
    <w:rsid w:val="008057FA"/>
    <w:rsid w:val="0080590C"/>
    <w:rsid w:val="00805926"/>
    <w:rsid w:val="00805EF0"/>
    <w:rsid w:val="00805FAA"/>
    <w:rsid w:val="008060BE"/>
    <w:rsid w:val="008060C0"/>
    <w:rsid w:val="008061AF"/>
    <w:rsid w:val="0080630C"/>
    <w:rsid w:val="00806463"/>
    <w:rsid w:val="00806544"/>
    <w:rsid w:val="00806649"/>
    <w:rsid w:val="008068CD"/>
    <w:rsid w:val="008069A0"/>
    <w:rsid w:val="00806A41"/>
    <w:rsid w:val="00806AC0"/>
    <w:rsid w:val="00806BAC"/>
    <w:rsid w:val="00806DD5"/>
    <w:rsid w:val="00806DD7"/>
    <w:rsid w:val="00806E88"/>
    <w:rsid w:val="008070EB"/>
    <w:rsid w:val="0080713F"/>
    <w:rsid w:val="008073C4"/>
    <w:rsid w:val="00807441"/>
    <w:rsid w:val="0080745C"/>
    <w:rsid w:val="00807622"/>
    <w:rsid w:val="0080781B"/>
    <w:rsid w:val="00807A02"/>
    <w:rsid w:val="00807C42"/>
    <w:rsid w:val="00807DAB"/>
    <w:rsid w:val="00807E39"/>
    <w:rsid w:val="00807F7C"/>
    <w:rsid w:val="0081005B"/>
    <w:rsid w:val="0081017F"/>
    <w:rsid w:val="0081045C"/>
    <w:rsid w:val="00810483"/>
    <w:rsid w:val="008105C4"/>
    <w:rsid w:val="008105D6"/>
    <w:rsid w:val="00810680"/>
    <w:rsid w:val="00810A57"/>
    <w:rsid w:val="00810F6C"/>
    <w:rsid w:val="00811242"/>
    <w:rsid w:val="008112B6"/>
    <w:rsid w:val="00811312"/>
    <w:rsid w:val="008114BB"/>
    <w:rsid w:val="0081157C"/>
    <w:rsid w:val="00811608"/>
    <w:rsid w:val="008116CB"/>
    <w:rsid w:val="00811714"/>
    <w:rsid w:val="0081183D"/>
    <w:rsid w:val="00811922"/>
    <w:rsid w:val="00811D26"/>
    <w:rsid w:val="00811E10"/>
    <w:rsid w:val="00811E2D"/>
    <w:rsid w:val="00812144"/>
    <w:rsid w:val="0081221E"/>
    <w:rsid w:val="008125DB"/>
    <w:rsid w:val="008126B5"/>
    <w:rsid w:val="008127E3"/>
    <w:rsid w:val="00812AEA"/>
    <w:rsid w:val="00812D5B"/>
    <w:rsid w:val="00812F75"/>
    <w:rsid w:val="00813042"/>
    <w:rsid w:val="0081309C"/>
    <w:rsid w:val="00813109"/>
    <w:rsid w:val="00813540"/>
    <w:rsid w:val="008139CD"/>
    <w:rsid w:val="008139DC"/>
    <w:rsid w:val="00813B05"/>
    <w:rsid w:val="00813CD2"/>
    <w:rsid w:val="00813D4E"/>
    <w:rsid w:val="00814505"/>
    <w:rsid w:val="008146ED"/>
    <w:rsid w:val="00814729"/>
    <w:rsid w:val="008147DC"/>
    <w:rsid w:val="00814ACD"/>
    <w:rsid w:val="00814BAB"/>
    <w:rsid w:val="00814CAF"/>
    <w:rsid w:val="00815016"/>
    <w:rsid w:val="008151AC"/>
    <w:rsid w:val="00815285"/>
    <w:rsid w:val="00815372"/>
    <w:rsid w:val="00815562"/>
    <w:rsid w:val="008155A4"/>
    <w:rsid w:val="0081574B"/>
    <w:rsid w:val="008157DD"/>
    <w:rsid w:val="0081582D"/>
    <w:rsid w:val="0081587F"/>
    <w:rsid w:val="00815AF3"/>
    <w:rsid w:val="00815D16"/>
    <w:rsid w:val="00815D45"/>
    <w:rsid w:val="00815DB8"/>
    <w:rsid w:val="00815EED"/>
    <w:rsid w:val="00816041"/>
    <w:rsid w:val="00816239"/>
    <w:rsid w:val="008162B8"/>
    <w:rsid w:val="00816731"/>
    <w:rsid w:val="008167BB"/>
    <w:rsid w:val="0081685A"/>
    <w:rsid w:val="008168FD"/>
    <w:rsid w:val="0081694F"/>
    <w:rsid w:val="00816A42"/>
    <w:rsid w:val="00816D5F"/>
    <w:rsid w:val="00816E69"/>
    <w:rsid w:val="0081708A"/>
    <w:rsid w:val="00817092"/>
    <w:rsid w:val="008170EA"/>
    <w:rsid w:val="008176DC"/>
    <w:rsid w:val="008176E9"/>
    <w:rsid w:val="0081793E"/>
    <w:rsid w:val="0082012F"/>
    <w:rsid w:val="008204EE"/>
    <w:rsid w:val="008205C0"/>
    <w:rsid w:val="008205C4"/>
    <w:rsid w:val="0082079D"/>
    <w:rsid w:val="00820808"/>
    <w:rsid w:val="00820A78"/>
    <w:rsid w:val="00820A83"/>
    <w:rsid w:val="00820B41"/>
    <w:rsid w:val="00820C01"/>
    <w:rsid w:val="00820D74"/>
    <w:rsid w:val="00820E10"/>
    <w:rsid w:val="0082118E"/>
    <w:rsid w:val="00821447"/>
    <w:rsid w:val="00821493"/>
    <w:rsid w:val="0082152A"/>
    <w:rsid w:val="008216F9"/>
    <w:rsid w:val="0082176E"/>
    <w:rsid w:val="00821AC5"/>
    <w:rsid w:val="00821AFC"/>
    <w:rsid w:val="00821D8D"/>
    <w:rsid w:val="00821EEE"/>
    <w:rsid w:val="00821F2A"/>
    <w:rsid w:val="00822181"/>
    <w:rsid w:val="00822500"/>
    <w:rsid w:val="008226D0"/>
    <w:rsid w:val="00822861"/>
    <w:rsid w:val="00822875"/>
    <w:rsid w:val="008228BB"/>
    <w:rsid w:val="00822922"/>
    <w:rsid w:val="008229E5"/>
    <w:rsid w:val="00822A38"/>
    <w:rsid w:val="00822AD3"/>
    <w:rsid w:val="00822BF9"/>
    <w:rsid w:val="00822D8E"/>
    <w:rsid w:val="00822E60"/>
    <w:rsid w:val="00822F09"/>
    <w:rsid w:val="00823013"/>
    <w:rsid w:val="00823171"/>
    <w:rsid w:val="0082339A"/>
    <w:rsid w:val="008233AC"/>
    <w:rsid w:val="00823587"/>
    <w:rsid w:val="00823700"/>
    <w:rsid w:val="00823944"/>
    <w:rsid w:val="00823A7A"/>
    <w:rsid w:val="0082414E"/>
    <w:rsid w:val="00824278"/>
    <w:rsid w:val="00824D22"/>
    <w:rsid w:val="00824E97"/>
    <w:rsid w:val="008252A1"/>
    <w:rsid w:val="00825413"/>
    <w:rsid w:val="00825CAE"/>
    <w:rsid w:val="00825E38"/>
    <w:rsid w:val="00825FD3"/>
    <w:rsid w:val="008262D8"/>
    <w:rsid w:val="00826B9C"/>
    <w:rsid w:val="00826BE4"/>
    <w:rsid w:val="00826C85"/>
    <w:rsid w:val="00826D79"/>
    <w:rsid w:val="00826D7D"/>
    <w:rsid w:val="008272AB"/>
    <w:rsid w:val="0082737A"/>
    <w:rsid w:val="00827467"/>
    <w:rsid w:val="00827AC1"/>
    <w:rsid w:val="00827AC5"/>
    <w:rsid w:val="00827B2B"/>
    <w:rsid w:val="00827B2C"/>
    <w:rsid w:val="00827C14"/>
    <w:rsid w:val="00827D70"/>
    <w:rsid w:val="00827DC4"/>
    <w:rsid w:val="00827E79"/>
    <w:rsid w:val="00827F3F"/>
    <w:rsid w:val="0083005B"/>
    <w:rsid w:val="00830366"/>
    <w:rsid w:val="0083049F"/>
    <w:rsid w:val="0083061A"/>
    <w:rsid w:val="00830784"/>
    <w:rsid w:val="00830988"/>
    <w:rsid w:val="00830A32"/>
    <w:rsid w:val="00830B1C"/>
    <w:rsid w:val="00830B3E"/>
    <w:rsid w:val="00830D9C"/>
    <w:rsid w:val="00830E8B"/>
    <w:rsid w:val="00831065"/>
    <w:rsid w:val="00831107"/>
    <w:rsid w:val="00831168"/>
    <w:rsid w:val="00831293"/>
    <w:rsid w:val="008314C9"/>
    <w:rsid w:val="008317D6"/>
    <w:rsid w:val="00831956"/>
    <w:rsid w:val="0083202B"/>
    <w:rsid w:val="0083218D"/>
    <w:rsid w:val="008325FD"/>
    <w:rsid w:val="00832681"/>
    <w:rsid w:val="00832851"/>
    <w:rsid w:val="00832B9D"/>
    <w:rsid w:val="00832BDA"/>
    <w:rsid w:val="00832CC7"/>
    <w:rsid w:val="0083373C"/>
    <w:rsid w:val="0083382D"/>
    <w:rsid w:val="008338F0"/>
    <w:rsid w:val="00833949"/>
    <w:rsid w:val="00833974"/>
    <w:rsid w:val="008339B3"/>
    <w:rsid w:val="008339BF"/>
    <w:rsid w:val="00833BDD"/>
    <w:rsid w:val="00833BDF"/>
    <w:rsid w:val="008343C8"/>
    <w:rsid w:val="0083467C"/>
    <w:rsid w:val="0083478A"/>
    <w:rsid w:val="00834BBA"/>
    <w:rsid w:val="00834DDB"/>
    <w:rsid w:val="00835066"/>
    <w:rsid w:val="00835735"/>
    <w:rsid w:val="0083573F"/>
    <w:rsid w:val="00835A96"/>
    <w:rsid w:val="00835ACA"/>
    <w:rsid w:val="00835AE6"/>
    <w:rsid w:val="00835B2B"/>
    <w:rsid w:val="00835F4C"/>
    <w:rsid w:val="008360A1"/>
    <w:rsid w:val="0083615B"/>
    <w:rsid w:val="008364AF"/>
    <w:rsid w:val="008364B8"/>
    <w:rsid w:val="008365DA"/>
    <w:rsid w:val="00836614"/>
    <w:rsid w:val="0083677E"/>
    <w:rsid w:val="00836C49"/>
    <w:rsid w:val="00836CDA"/>
    <w:rsid w:val="00836DB1"/>
    <w:rsid w:val="00836EB6"/>
    <w:rsid w:val="00836F88"/>
    <w:rsid w:val="0083700F"/>
    <w:rsid w:val="00837205"/>
    <w:rsid w:val="008372C5"/>
    <w:rsid w:val="00837391"/>
    <w:rsid w:val="0083742E"/>
    <w:rsid w:val="00837461"/>
    <w:rsid w:val="00837506"/>
    <w:rsid w:val="00837586"/>
    <w:rsid w:val="0083758C"/>
    <w:rsid w:val="0083765E"/>
    <w:rsid w:val="00837AB3"/>
    <w:rsid w:val="00837C0E"/>
    <w:rsid w:val="00837FCB"/>
    <w:rsid w:val="0084019A"/>
    <w:rsid w:val="008404D3"/>
    <w:rsid w:val="008406BF"/>
    <w:rsid w:val="00840A04"/>
    <w:rsid w:val="00840EBB"/>
    <w:rsid w:val="0084120A"/>
    <w:rsid w:val="00841701"/>
    <w:rsid w:val="00841871"/>
    <w:rsid w:val="00841884"/>
    <w:rsid w:val="008418A7"/>
    <w:rsid w:val="008418FA"/>
    <w:rsid w:val="00841963"/>
    <w:rsid w:val="00841AEC"/>
    <w:rsid w:val="00841DC5"/>
    <w:rsid w:val="00842102"/>
    <w:rsid w:val="00842179"/>
    <w:rsid w:val="00842282"/>
    <w:rsid w:val="00842CBA"/>
    <w:rsid w:val="00842F05"/>
    <w:rsid w:val="00842F8A"/>
    <w:rsid w:val="0084353C"/>
    <w:rsid w:val="00843D14"/>
    <w:rsid w:val="00843D4B"/>
    <w:rsid w:val="00843F09"/>
    <w:rsid w:val="00844266"/>
    <w:rsid w:val="008446BD"/>
    <w:rsid w:val="008446DD"/>
    <w:rsid w:val="008446FE"/>
    <w:rsid w:val="00844899"/>
    <w:rsid w:val="00844B06"/>
    <w:rsid w:val="00844F9A"/>
    <w:rsid w:val="008450F8"/>
    <w:rsid w:val="008451B0"/>
    <w:rsid w:val="0084525D"/>
    <w:rsid w:val="008452C9"/>
    <w:rsid w:val="008452F7"/>
    <w:rsid w:val="0084535B"/>
    <w:rsid w:val="0084551C"/>
    <w:rsid w:val="008457E3"/>
    <w:rsid w:val="008459AE"/>
    <w:rsid w:val="00845D54"/>
    <w:rsid w:val="00845D5C"/>
    <w:rsid w:val="00845F76"/>
    <w:rsid w:val="008462FE"/>
    <w:rsid w:val="008463C8"/>
    <w:rsid w:val="008464D3"/>
    <w:rsid w:val="00846518"/>
    <w:rsid w:val="00846601"/>
    <w:rsid w:val="0084666A"/>
    <w:rsid w:val="00846A9A"/>
    <w:rsid w:val="00846BF8"/>
    <w:rsid w:val="00846CC3"/>
    <w:rsid w:val="00847119"/>
    <w:rsid w:val="008471B1"/>
    <w:rsid w:val="008472FD"/>
    <w:rsid w:val="0084745E"/>
    <w:rsid w:val="00847662"/>
    <w:rsid w:val="008477CC"/>
    <w:rsid w:val="00847920"/>
    <w:rsid w:val="00847D28"/>
    <w:rsid w:val="00847ED7"/>
    <w:rsid w:val="00850046"/>
    <w:rsid w:val="008500EE"/>
    <w:rsid w:val="008500FB"/>
    <w:rsid w:val="0085017A"/>
    <w:rsid w:val="0085032E"/>
    <w:rsid w:val="00850598"/>
    <w:rsid w:val="008505DA"/>
    <w:rsid w:val="00850772"/>
    <w:rsid w:val="008509E6"/>
    <w:rsid w:val="00850A55"/>
    <w:rsid w:val="00850AF4"/>
    <w:rsid w:val="00850BDE"/>
    <w:rsid w:val="00850D9E"/>
    <w:rsid w:val="00850E9B"/>
    <w:rsid w:val="008513F8"/>
    <w:rsid w:val="00851598"/>
    <w:rsid w:val="00851670"/>
    <w:rsid w:val="008518AA"/>
    <w:rsid w:val="00851D46"/>
    <w:rsid w:val="00851EDE"/>
    <w:rsid w:val="0085213A"/>
    <w:rsid w:val="0085213D"/>
    <w:rsid w:val="0085217F"/>
    <w:rsid w:val="008521FF"/>
    <w:rsid w:val="0085222B"/>
    <w:rsid w:val="0085224C"/>
    <w:rsid w:val="00852D58"/>
    <w:rsid w:val="00852F5A"/>
    <w:rsid w:val="008530C8"/>
    <w:rsid w:val="008532C2"/>
    <w:rsid w:val="0085341E"/>
    <w:rsid w:val="008538DB"/>
    <w:rsid w:val="00853987"/>
    <w:rsid w:val="008539CD"/>
    <w:rsid w:val="00853DC0"/>
    <w:rsid w:val="00853DD1"/>
    <w:rsid w:val="00853E38"/>
    <w:rsid w:val="00854496"/>
    <w:rsid w:val="0085470F"/>
    <w:rsid w:val="008549D7"/>
    <w:rsid w:val="00854CAC"/>
    <w:rsid w:val="0085598E"/>
    <w:rsid w:val="00855A10"/>
    <w:rsid w:val="00855AF3"/>
    <w:rsid w:val="00855BBA"/>
    <w:rsid w:val="00856362"/>
    <w:rsid w:val="008563FC"/>
    <w:rsid w:val="008564D9"/>
    <w:rsid w:val="00856523"/>
    <w:rsid w:val="00856732"/>
    <w:rsid w:val="0085689A"/>
    <w:rsid w:val="00856D73"/>
    <w:rsid w:val="00857221"/>
    <w:rsid w:val="008573CA"/>
    <w:rsid w:val="00857519"/>
    <w:rsid w:val="0085763D"/>
    <w:rsid w:val="008578E6"/>
    <w:rsid w:val="00857B47"/>
    <w:rsid w:val="00857D3D"/>
    <w:rsid w:val="00860054"/>
    <w:rsid w:val="00860226"/>
    <w:rsid w:val="008603D5"/>
    <w:rsid w:val="008603F8"/>
    <w:rsid w:val="00860502"/>
    <w:rsid w:val="00860608"/>
    <w:rsid w:val="00860854"/>
    <w:rsid w:val="00860A1D"/>
    <w:rsid w:val="00860E77"/>
    <w:rsid w:val="008612AF"/>
    <w:rsid w:val="008612DE"/>
    <w:rsid w:val="00861531"/>
    <w:rsid w:val="0086156B"/>
    <w:rsid w:val="00861751"/>
    <w:rsid w:val="00861898"/>
    <w:rsid w:val="00861A70"/>
    <w:rsid w:val="00861D07"/>
    <w:rsid w:val="00861FAC"/>
    <w:rsid w:val="0086214E"/>
    <w:rsid w:val="00862693"/>
    <w:rsid w:val="008627B4"/>
    <w:rsid w:val="008627E9"/>
    <w:rsid w:val="008628C0"/>
    <w:rsid w:val="00862927"/>
    <w:rsid w:val="00862DB6"/>
    <w:rsid w:val="00862E01"/>
    <w:rsid w:val="00863207"/>
    <w:rsid w:val="00863245"/>
    <w:rsid w:val="0086363E"/>
    <w:rsid w:val="00863687"/>
    <w:rsid w:val="008637CC"/>
    <w:rsid w:val="00863847"/>
    <w:rsid w:val="008639BF"/>
    <w:rsid w:val="00863CDE"/>
    <w:rsid w:val="00863FE7"/>
    <w:rsid w:val="0086417A"/>
    <w:rsid w:val="008644E6"/>
    <w:rsid w:val="0086470E"/>
    <w:rsid w:val="00864A3D"/>
    <w:rsid w:val="00864B54"/>
    <w:rsid w:val="00864E62"/>
    <w:rsid w:val="00864FC3"/>
    <w:rsid w:val="008650CC"/>
    <w:rsid w:val="00865283"/>
    <w:rsid w:val="00865450"/>
    <w:rsid w:val="00865478"/>
    <w:rsid w:val="008654CC"/>
    <w:rsid w:val="008655BF"/>
    <w:rsid w:val="00865CBE"/>
    <w:rsid w:val="00865E1A"/>
    <w:rsid w:val="008660E0"/>
    <w:rsid w:val="008661BB"/>
    <w:rsid w:val="008666AA"/>
    <w:rsid w:val="00866AE7"/>
    <w:rsid w:val="00866B05"/>
    <w:rsid w:val="00866B0B"/>
    <w:rsid w:val="00866BF4"/>
    <w:rsid w:val="00866EF0"/>
    <w:rsid w:val="00866F28"/>
    <w:rsid w:val="00867080"/>
    <w:rsid w:val="00867582"/>
    <w:rsid w:val="00867684"/>
    <w:rsid w:val="00867814"/>
    <w:rsid w:val="008678AD"/>
    <w:rsid w:val="00867BE6"/>
    <w:rsid w:val="00867CB3"/>
    <w:rsid w:val="00867D58"/>
    <w:rsid w:val="00870063"/>
    <w:rsid w:val="00870139"/>
    <w:rsid w:val="008701D1"/>
    <w:rsid w:val="00870783"/>
    <w:rsid w:val="0087088A"/>
    <w:rsid w:val="00870A2C"/>
    <w:rsid w:val="00870B68"/>
    <w:rsid w:val="00870C0E"/>
    <w:rsid w:val="0087198F"/>
    <w:rsid w:val="00871A4E"/>
    <w:rsid w:val="00871C4A"/>
    <w:rsid w:val="00872058"/>
    <w:rsid w:val="008722D5"/>
    <w:rsid w:val="0087233C"/>
    <w:rsid w:val="00872A8E"/>
    <w:rsid w:val="00872BF5"/>
    <w:rsid w:val="00872E62"/>
    <w:rsid w:val="00873110"/>
    <w:rsid w:val="008733EC"/>
    <w:rsid w:val="00873534"/>
    <w:rsid w:val="00873582"/>
    <w:rsid w:val="008735F4"/>
    <w:rsid w:val="008739D7"/>
    <w:rsid w:val="00873A3D"/>
    <w:rsid w:val="00873CC2"/>
    <w:rsid w:val="00873E54"/>
    <w:rsid w:val="008740BE"/>
    <w:rsid w:val="008741A9"/>
    <w:rsid w:val="00874692"/>
    <w:rsid w:val="00874834"/>
    <w:rsid w:val="008748BD"/>
    <w:rsid w:val="00874917"/>
    <w:rsid w:val="00874B33"/>
    <w:rsid w:val="00874EC5"/>
    <w:rsid w:val="00874F07"/>
    <w:rsid w:val="00874F17"/>
    <w:rsid w:val="00874F7D"/>
    <w:rsid w:val="00874FA3"/>
    <w:rsid w:val="00875372"/>
    <w:rsid w:val="008754D2"/>
    <w:rsid w:val="008757E3"/>
    <w:rsid w:val="008758AC"/>
    <w:rsid w:val="00875902"/>
    <w:rsid w:val="00875BE6"/>
    <w:rsid w:val="00875C50"/>
    <w:rsid w:val="00875C5A"/>
    <w:rsid w:val="00875CE2"/>
    <w:rsid w:val="00875D7B"/>
    <w:rsid w:val="00875E2F"/>
    <w:rsid w:val="00876323"/>
    <w:rsid w:val="00876328"/>
    <w:rsid w:val="0087649C"/>
    <w:rsid w:val="008764E0"/>
    <w:rsid w:val="00876512"/>
    <w:rsid w:val="008765EF"/>
    <w:rsid w:val="00876905"/>
    <w:rsid w:val="00876980"/>
    <w:rsid w:val="00876F3D"/>
    <w:rsid w:val="00876F54"/>
    <w:rsid w:val="008771C2"/>
    <w:rsid w:val="00877214"/>
    <w:rsid w:val="00877348"/>
    <w:rsid w:val="00877470"/>
    <w:rsid w:val="0087747A"/>
    <w:rsid w:val="0087753B"/>
    <w:rsid w:val="00877779"/>
    <w:rsid w:val="0087780D"/>
    <w:rsid w:val="0087785E"/>
    <w:rsid w:val="008778D5"/>
    <w:rsid w:val="00877912"/>
    <w:rsid w:val="00877C08"/>
    <w:rsid w:val="00877E9B"/>
    <w:rsid w:val="0088009B"/>
    <w:rsid w:val="00880123"/>
    <w:rsid w:val="00880138"/>
    <w:rsid w:val="00880335"/>
    <w:rsid w:val="008803A5"/>
    <w:rsid w:val="00880470"/>
    <w:rsid w:val="008809F2"/>
    <w:rsid w:val="00880C4E"/>
    <w:rsid w:val="00880C75"/>
    <w:rsid w:val="00880D36"/>
    <w:rsid w:val="00880E5C"/>
    <w:rsid w:val="00880F55"/>
    <w:rsid w:val="00880FB6"/>
    <w:rsid w:val="0088100E"/>
    <w:rsid w:val="008810C0"/>
    <w:rsid w:val="008811A2"/>
    <w:rsid w:val="008811AB"/>
    <w:rsid w:val="008813E6"/>
    <w:rsid w:val="00881BC9"/>
    <w:rsid w:val="00881C5A"/>
    <w:rsid w:val="00881E31"/>
    <w:rsid w:val="00881FDF"/>
    <w:rsid w:val="00882005"/>
    <w:rsid w:val="00882063"/>
    <w:rsid w:val="008820BD"/>
    <w:rsid w:val="00882528"/>
    <w:rsid w:val="008826CD"/>
    <w:rsid w:val="00882846"/>
    <w:rsid w:val="00882AC9"/>
    <w:rsid w:val="00882CEF"/>
    <w:rsid w:val="00882DCF"/>
    <w:rsid w:val="00882F10"/>
    <w:rsid w:val="00882FC0"/>
    <w:rsid w:val="00883A70"/>
    <w:rsid w:val="00883B80"/>
    <w:rsid w:val="00883C67"/>
    <w:rsid w:val="00883DD6"/>
    <w:rsid w:val="00883E29"/>
    <w:rsid w:val="0088450F"/>
    <w:rsid w:val="00884588"/>
    <w:rsid w:val="00884739"/>
    <w:rsid w:val="0088482E"/>
    <w:rsid w:val="008849F4"/>
    <w:rsid w:val="00884A43"/>
    <w:rsid w:val="00884D86"/>
    <w:rsid w:val="00884E72"/>
    <w:rsid w:val="00884EC8"/>
    <w:rsid w:val="00884F40"/>
    <w:rsid w:val="008852CF"/>
    <w:rsid w:val="008855DF"/>
    <w:rsid w:val="00885616"/>
    <w:rsid w:val="008857D3"/>
    <w:rsid w:val="008859FA"/>
    <w:rsid w:val="00885BF7"/>
    <w:rsid w:val="00885C69"/>
    <w:rsid w:val="00885C9A"/>
    <w:rsid w:val="00885CB3"/>
    <w:rsid w:val="00886042"/>
    <w:rsid w:val="008862A8"/>
    <w:rsid w:val="0088637E"/>
    <w:rsid w:val="00886484"/>
    <w:rsid w:val="008866FE"/>
    <w:rsid w:val="00886B06"/>
    <w:rsid w:val="00887059"/>
    <w:rsid w:val="008870BD"/>
    <w:rsid w:val="00887296"/>
    <w:rsid w:val="0088734C"/>
    <w:rsid w:val="00887395"/>
    <w:rsid w:val="008874BF"/>
    <w:rsid w:val="008875AA"/>
    <w:rsid w:val="0088767F"/>
    <w:rsid w:val="008878BB"/>
    <w:rsid w:val="00887C44"/>
    <w:rsid w:val="00887F5B"/>
    <w:rsid w:val="008901B8"/>
    <w:rsid w:val="00890A77"/>
    <w:rsid w:val="00890B64"/>
    <w:rsid w:val="00890C49"/>
    <w:rsid w:val="00890E7E"/>
    <w:rsid w:val="00890F60"/>
    <w:rsid w:val="00890FF7"/>
    <w:rsid w:val="008913E9"/>
    <w:rsid w:val="00891414"/>
    <w:rsid w:val="008916A1"/>
    <w:rsid w:val="008916B5"/>
    <w:rsid w:val="008917E1"/>
    <w:rsid w:val="00891DA1"/>
    <w:rsid w:val="00891F04"/>
    <w:rsid w:val="00892355"/>
    <w:rsid w:val="008923B5"/>
    <w:rsid w:val="0089240D"/>
    <w:rsid w:val="00892C8F"/>
    <w:rsid w:val="00892E86"/>
    <w:rsid w:val="00893114"/>
    <w:rsid w:val="00893159"/>
    <w:rsid w:val="008931F0"/>
    <w:rsid w:val="008932EE"/>
    <w:rsid w:val="0089349C"/>
    <w:rsid w:val="0089383E"/>
    <w:rsid w:val="00893A57"/>
    <w:rsid w:val="00893B45"/>
    <w:rsid w:val="00893CC3"/>
    <w:rsid w:val="0089408C"/>
    <w:rsid w:val="008940B9"/>
    <w:rsid w:val="008943C0"/>
    <w:rsid w:val="0089444A"/>
    <w:rsid w:val="00894574"/>
    <w:rsid w:val="0089484C"/>
    <w:rsid w:val="00894906"/>
    <w:rsid w:val="00894970"/>
    <w:rsid w:val="008949AE"/>
    <w:rsid w:val="00894C98"/>
    <w:rsid w:val="00894C99"/>
    <w:rsid w:val="00894CD2"/>
    <w:rsid w:val="008950F7"/>
    <w:rsid w:val="0089510F"/>
    <w:rsid w:val="00895295"/>
    <w:rsid w:val="008959C5"/>
    <w:rsid w:val="008959ED"/>
    <w:rsid w:val="00895B8F"/>
    <w:rsid w:val="00895EE2"/>
    <w:rsid w:val="0089610E"/>
    <w:rsid w:val="00896838"/>
    <w:rsid w:val="008969EA"/>
    <w:rsid w:val="00896B34"/>
    <w:rsid w:val="00896CA6"/>
    <w:rsid w:val="00896F16"/>
    <w:rsid w:val="008972BC"/>
    <w:rsid w:val="008974CE"/>
    <w:rsid w:val="008978C3"/>
    <w:rsid w:val="00897DE8"/>
    <w:rsid w:val="008A0075"/>
    <w:rsid w:val="008A052F"/>
    <w:rsid w:val="008A05DD"/>
    <w:rsid w:val="008A06F1"/>
    <w:rsid w:val="008A07F1"/>
    <w:rsid w:val="008A0817"/>
    <w:rsid w:val="008A096F"/>
    <w:rsid w:val="008A0A47"/>
    <w:rsid w:val="008A11A3"/>
    <w:rsid w:val="008A142A"/>
    <w:rsid w:val="008A1808"/>
    <w:rsid w:val="008A1986"/>
    <w:rsid w:val="008A1997"/>
    <w:rsid w:val="008A1CB2"/>
    <w:rsid w:val="008A1DB5"/>
    <w:rsid w:val="008A2537"/>
    <w:rsid w:val="008A2676"/>
    <w:rsid w:val="008A28A4"/>
    <w:rsid w:val="008A28C4"/>
    <w:rsid w:val="008A2A63"/>
    <w:rsid w:val="008A2C1C"/>
    <w:rsid w:val="008A2CED"/>
    <w:rsid w:val="008A2E0D"/>
    <w:rsid w:val="008A2ECF"/>
    <w:rsid w:val="008A2F3B"/>
    <w:rsid w:val="008A3154"/>
    <w:rsid w:val="008A34FE"/>
    <w:rsid w:val="008A3605"/>
    <w:rsid w:val="008A381E"/>
    <w:rsid w:val="008A3CAA"/>
    <w:rsid w:val="008A3D33"/>
    <w:rsid w:val="008A415A"/>
    <w:rsid w:val="008A469F"/>
    <w:rsid w:val="008A46D9"/>
    <w:rsid w:val="008A47B2"/>
    <w:rsid w:val="008A504F"/>
    <w:rsid w:val="008A51C8"/>
    <w:rsid w:val="008A52CD"/>
    <w:rsid w:val="008A58E6"/>
    <w:rsid w:val="008A5BAA"/>
    <w:rsid w:val="008A5FAD"/>
    <w:rsid w:val="008A6102"/>
    <w:rsid w:val="008A61D6"/>
    <w:rsid w:val="008A61DA"/>
    <w:rsid w:val="008A69B0"/>
    <w:rsid w:val="008A6B32"/>
    <w:rsid w:val="008A6C07"/>
    <w:rsid w:val="008A6C7B"/>
    <w:rsid w:val="008A705E"/>
    <w:rsid w:val="008A70AC"/>
    <w:rsid w:val="008A74A0"/>
    <w:rsid w:val="008A76A1"/>
    <w:rsid w:val="008A79A6"/>
    <w:rsid w:val="008B0010"/>
    <w:rsid w:val="008B005E"/>
    <w:rsid w:val="008B00C4"/>
    <w:rsid w:val="008B01B4"/>
    <w:rsid w:val="008B026B"/>
    <w:rsid w:val="008B047E"/>
    <w:rsid w:val="008B0521"/>
    <w:rsid w:val="008B07FE"/>
    <w:rsid w:val="008B0A2E"/>
    <w:rsid w:val="008B0B23"/>
    <w:rsid w:val="008B0D7B"/>
    <w:rsid w:val="008B0FB6"/>
    <w:rsid w:val="008B138E"/>
    <w:rsid w:val="008B1573"/>
    <w:rsid w:val="008B1955"/>
    <w:rsid w:val="008B198E"/>
    <w:rsid w:val="008B19A3"/>
    <w:rsid w:val="008B19CB"/>
    <w:rsid w:val="008B1C01"/>
    <w:rsid w:val="008B1C70"/>
    <w:rsid w:val="008B222D"/>
    <w:rsid w:val="008B22F1"/>
    <w:rsid w:val="008B23A7"/>
    <w:rsid w:val="008B23B9"/>
    <w:rsid w:val="008B23FF"/>
    <w:rsid w:val="008B271A"/>
    <w:rsid w:val="008B298E"/>
    <w:rsid w:val="008B2A6A"/>
    <w:rsid w:val="008B2F0C"/>
    <w:rsid w:val="008B30C2"/>
    <w:rsid w:val="008B3392"/>
    <w:rsid w:val="008B398E"/>
    <w:rsid w:val="008B39CC"/>
    <w:rsid w:val="008B3F00"/>
    <w:rsid w:val="008B3F8B"/>
    <w:rsid w:val="008B411A"/>
    <w:rsid w:val="008B427C"/>
    <w:rsid w:val="008B4501"/>
    <w:rsid w:val="008B4A39"/>
    <w:rsid w:val="008B4AFF"/>
    <w:rsid w:val="008B50D4"/>
    <w:rsid w:val="008B53DB"/>
    <w:rsid w:val="008B547B"/>
    <w:rsid w:val="008B559C"/>
    <w:rsid w:val="008B5A99"/>
    <w:rsid w:val="008B5C4C"/>
    <w:rsid w:val="008B5D09"/>
    <w:rsid w:val="008B5EEE"/>
    <w:rsid w:val="008B62BB"/>
    <w:rsid w:val="008B62C5"/>
    <w:rsid w:val="008B63C1"/>
    <w:rsid w:val="008B694F"/>
    <w:rsid w:val="008B6AFE"/>
    <w:rsid w:val="008B6D23"/>
    <w:rsid w:val="008B6D7B"/>
    <w:rsid w:val="008B6E22"/>
    <w:rsid w:val="008B6EB1"/>
    <w:rsid w:val="008B6EDB"/>
    <w:rsid w:val="008B70B3"/>
    <w:rsid w:val="008B7165"/>
    <w:rsid w:val="008B75A0"/>
    <w:rsid w:val="008B79BD"/>
    <w:rsid w:val="008B7A37"/>
    <w:rsid w:val="008B7B3F"/>
    <w:rsid w:val="008C008B"/>
    <w:rsid w:val="008C00F0"/>
    <w:rsid w:val="008C012F"/>
    <w:rsid w:val="008C0395"/>
    <w:rsid w:val="008C050B"/>
    <w:rsid w:val="008C0885"/>
    <w:rsid w:val="008C0AEE"/>
    <w:rsid w:val="008C127D"/>
    <w:rsid w:val="008C1368"/>
    <w:rsid w:val="008C136C"/>
    <w:rsid w:val="008C1462"/>
    <w:rsid w:val="008C1476"/>
    <w:rsid w:val="008C16A8"/>
    <w:rsid w:val="008C172F"/>
    <w:rsid w:val="008C17B5"/>
    <w:rsid w:val="008C1875"/>
    <w:rsid w:val="008C18B6"/>
    <w:rsid w:val="008C19A1"/>
    <w:rsid w:val="008C1A4A"/>
    <w:rsid w:val="008C1D00"/>
    <w:rsid w:val="008C224D"/>
    <w:rsid w:val="008C2268"/>
    <w:rsid w:val="008C230F"/>
    <w:rsid w:val="008C2382"/>
    <w:rsid w:val="008C251C"/>
    <w:rsid w:val="008C2783"/>
    <w:rsid w:val="008C27A1"/>
    <w:rsid w:val="008C2A64"/>
    <w:rsid w:val="008C2A74"/>
    <w:rsid w:val="008C2AA1"/>
    <w:rsid w:val="008C310B"/>
    <w:rsid w:val="008C31D2"/>
    <w:rsid w:val="008C338A"/>
    <w:rsid w:val="008C3B11"/>
    <w:rsid w:val="008C3B23"/>
    <w:rsid w:val="008C3DA4"/>
    <w:rsid w:val="008C3ECC"/>
    <w:rsid w:val="008C3FE8"/>
    <w:rsid w:val="008C427D"/>
    <w:rsid w:val="008C492D"/>
    <w:rsid w:val="008C4A26"/>
    <w:rsid w:val="008C4AA6"/>
    <w:rsid w:val="008C4B2B"/>
    <w:rsid w:val="008C4BAF"/>
    <w:rsid w:val="008C4E37"/>
    <w:rsid w:val="008C5596"/>
    <w:rsid w:val="008C5635"/>
    <w:rsid w:val="008C5947"/>
    <w:rsid w:val="008C6447"/>
    <w:rsid w:val="008C674D"/>
    <w:rsid w:val="008C6914"/>
    <w:rsid w:val="008C6947"/>
    <w:rsid w:val="008C6A68"/>
    <w:rsid w:val="008C6F47"/>
    <w:rsid w:val="008C6F50"/>
    <w:rsid w:val="008C719A"/>
    <w:rsid w:val="008C759B"/>
    <w:rsid w:val="008C76F3"/>
    <w:rsid w:val="008C76FD"/>
    <w:rsid w:val="008C7AD9"/>
    <w:rsid w:val="008C7BE7"/>
    <w:rsid w:val="008C7C6B"/>
    <w:rsid w:val="008C7C8A"/>
    <w:rsid w:val="008D035B"/>
    <w:rsid w:val="008D0796"/>
    <w:rsid w:val="008D0942"/>
    <w:rsid w:val="008D0A67"/>
    <w:rsid w:val="008D0B5A"/>
    <w:rsid w:val="008D0BCE"/>
    <w:rsid w:val="008D0C8C"/>
    <w:rsid w:val="008D0D38"/>
    <w:rsid w:val="008D0FDE"/>
    <w:rsid w:val="008D114A"/>
    <w:rsid w:val="008D1493"/>
    <w:rsid w:val="008D17EE"/>
    <w:rsid w:val="008D1C8E"/>
    <w:rsid w:val="008D1D24"/>
    <w:rsid w:val="008D1E7E"/>
    <w:rsid w:val="008D1F4D"/>
    <w:rsid w:val="008D1FE2"/>
    <w:rsid w:val="008D2046"/>
    <w:rsid w:val="008D27D9"/>
    <w:rsid w:val="008D284F"/>
    <w:rsid w:val="008D30B8"/>
    <w:rsid w:val="008D3385"/>
    <w:rsid w:val="008D3A15"/>
    <w:rsid w:val="008D3AC1"/>
    <w:rsid w:val="008D3CCE"/>
    <w:rsid w:val="008D3D0E"/>
    <w:rsid w:val="008D4168"/>
    <w:rsid w:val="008D4554"/>
    <w:rsid w:val="008D457D"/>
    <w:rsid w:val="008D4615"/>
    <w:rsid w:val="008D4C4B"/>
    <w:rsid w:val="008D4E68"/>
    <w:rsid w:val="008D4F3D"/>
    <w:rsid w:val="008D4F5E"/>
    <w:rsid w:val="008D503B"/>
    <w:rsid w:val="008D53D6"/>
    <w:rsid w:val="008D55BC"/>
    <w:rsid w:val="008D57D3"/>
    <w:rsid w:val="008D5D4E"/>
    <w:rsid w:val="008D5FFD"/>
    <w:rsid w:val="008D6188"/>
    <w:rsid w:val="008D628E"/>
    <w:rsid w:val="008D6575"/>
    <w:rsid w:val="008D6972"/>
    <w:rsid w:val="008D6C48"/>
    <w:rsid w:val="008D6D1A"/>
    <w:rsid w:val="008D6D40"/>
    <w:rsid w:val="008D6D6A"/>
    <w:rsid w:val="008D7338"/>
    <w:rsid w:val="008D73E5"/>
    <w:rsid w:val="008D7740"/>
    <w:rsid w:val="008D7745"/>
    <w:rsid w:val="008D78D7"/>
    <w:rsid w:val="008D7987"/>
    <w:rsid w:val="008D7AF3"/>
    <w:rsid w:val="008D7B22"/>
    <w:rsid w:val="008D7E99"/>
    <w:rsid w:val="008D7F7F"/>
    <w:rsid w:val="008E002A"/>
    <w:rsid w:val="008E00B4"/>
    <w:rsid w:val="008E0280"/>
    <w:rsid w:val="008E0483"/>
    <w:rsid w:val="008E04DB"/>
    <w:rsid w:val="008E06E3"/>
    <w:rsid w:val="008E0BB2"/>
    <w:rsid w:val="008E0EFA"/>
    <w:rsid w:val="008E0F28"/>
    <w:rsid w:val="008E0FA6"/>
    <w:rsid w:val="008E110B"/>
    <w:rsid w:val="008E11C3"/>
    <w:rsid w:val="008E137C"/>
    <w:rsid w:val="008E139A"/>
    <w:rsid w:val="008E158B"/>
    <w:rsid w:val="008E1805"/>
    <w:rsid w:val="008E188E"/>
    <w:rsid w:val="008E191B"/>
    <w:rsid w:val="008E1AB8"/>
    <w:rsid w:val="008E1D15"/>
    <w:rsid w:val="008E1E75"/>
    <w:rsid w:val="008E1F95"/>
    <w:rsid w:val="008E1FA2"/>
    <w:rsid w:val="008E1FC1"/>
    <w:rsid w:val="008E24E7"/>
    <w:rsid w:val="008E26F5"/>
    <w:rsid w:val="008E28F2"/>
    <w:rsid w:val="008E3252"/>
    <w:rsid w:val="008E3256"/>
    <w:rsid w:val="008E326F"/>
    <w:rsid w:val="008E3418"/>
    <w:rsid w:val="008E3A27"/>
    <w:rsid w:val="008E3A38"/>
    <w:rsid w:val="008E3B4B"/>
    <w:rsid w:val="008E3BFE"/>
    <w:rsid w:val="008E3C03"/>
    <w:rsid w:val="008E3DB7"/>
    <w:rsid w:val="008E3DC8"/>
    <w:rsid w:val="008E3E1C"/>
    <w:rsid w:val="008E41F2"/>
    <w:rsid w:val="008E44C6"/>
    <w:rsid w:val="008E4F0E"/>
    <w:rsid w:val="008E4F36"/>
    <w:rsid w:val="008E50E5"/>
    <w:rsid w:val="008E5147"/>
    <w:rsid w:val="008E51F5"/>
    <w:rsid w:val="008E52F1"/>
    <w:rsid w:val="008E539F"/>
    <w:rsid w:val="008E548E"/>
    <w:rsid w:val="008E5495"/>
    <w:rsid w:val="008E54CD"/>
    <w:rsid w:val="008E5574"/>
    <w:rsid w:val="008E5BF9"/>
    <w:rsid w:val="008E5CA6"/>
    <w:rsid w:val="008E5D04"/>
    <w:rsid w:val="008E615C"/>
    <w:rsid w:val="008E6938"/>
    <w:rsid w:val="008E69DA"/>
    <w:rsid w:val="008E6CE0"/>
    <w:rsid w:val="008E6EB7"/>
    <w:rsid w:val="008E71C4"/>
    <w:rsid w:val="008E73BF"/>
    <w:rsid w:val="008E781B"/>
    <w:rsid w:val="008E7956"/>
    <w:rsid w:val="008E7B00"/>
    <w:rsid w:val="008E7D70"/>
    <w:rsid w:val="008E7EC0"/>
    <w:rsid w:val="008F0139"/>
    <w:rsid w:val="008F043B"/>
    <w:rsid w:val="008F061A"/>
    <w:rsid w:val="008F0922"/>
    <w:rsid w:val="008F0B5C"/>
    <w:rsid w:val="008F0D29"/>
    <w:rsid w:val="008F0E05"/>
    <w:rsid w:val="008F0FAF"/>
    <w:rsid w:val="008F146B"/>
    <w:rsid w:val="008F146E"/>
    <w:rsid w:val="008F151A"/>
    <w:rsid w:val="008F1548"/>
    <w:rsid w:val="008F180A"/>
    <w:rsid w:val="008F1833"/>
    <w:rsid w:val="008F18DB"/>
    <w:rsid w:val="008F1B32"/>
    <w:rsid w:val="008F1DFA"/>
    <w:rsid w:val="008F2265"/>
    <w:rsid w:val="008F2341"/>
    <w:rsid w:val="008F2609"/>
    <w:rsid w:val="008F2721"/>
    <w:rsid w:val="008F2F9C"/>
    <w:rsid w:val="008F312D"/>
    <w:rsid w:val="008F3159"/>
    <w:rsid w:val="008F3511"/>
    <w:rsid w:val="008F36D1"/>
    <w:rsid w:val="008F3D1C"/>
    <w:rsid w:val="008F409B"/>
    <w:rsid w:val="008F4332"/>
    <w:rsid w:val="008F4481"/>
    <w:rsid w:val="008F458B"/>
    <w:rsid w:val="008F45EC"/>
    <w:rsid w:val="008F4608"/>
    <w:rsid w:val="008F4741"/>
    <w:rsid w:val="008F48BE"/>
    <w:rsid w:val="008F490A"/>
    <w:rsid w:val="008F4B3D"/>
    <w:rsid w:val="008F4B86"/>
    <w:rsid w:val="008F4C3F"/>
    <w:rsid w:val="008F4FD0"/>
    <w:rsid w:val="008F5010"/>
    <w:rsid w:val="008F5040"/>
    <w:rsid w:val="008F505B"/>
    <w:rsid w:val="008F51F6"/>
    <w:rsid w:val="008F530C"/>
    <w:rsid w:val="008F5924"/>
    <w:rsid w:val="008F5F73"/>
    <w:rsid w:val="008F5F97"/>
    <w:rsid w:val="008F5FCC"/>
    <w:rsid w:val="008F6049"/>
    <w:rsid w:val="008F6545"/>
    <w:rsid w:val="008F6561"/>
    <w:rsid w:val="008F6640"/>
    <w:rsid w:val="008F6832"/>
    <w:rsid w:val="008F690F"/>
    <w:rsid w:val="008F6997"/>
    <w:rsid w:val="008F703E"/>
    <w:rsid w:val="008F7068"/>
    <w:rsid w:val="008F7168"/>
    <w:rsid w:val="008F72C9"/>
    <w:rsid w:val="008F7394"/>
    <w:rsid w:val="008F7474"/>
    <w:rsid w:val="008F7D00"/>
    <w:rsid w:val="008F7F12"/>
    <w:rsid w:val="008F7F7F"/>
    <w:rsid w:val="008F7FC9"/>
    <w:rsid w:val="00900231"/>
    <w:rsid w:val="00900981"/>
    <w:rsid w:val="009009FC"/>
    <w:rsid w:val="00900A43"/>
    <w:rsid w:val="00900D6A"/>
    <w:rsid w:val="00900D94"/>
    <w:rsid w:val="00900F61"/>
    <w:rsid w:val="009012F6"/>
    <w:rsid w:val="009014C9"/>
    <w:rsid w:val="00901852"/>
    <w:rsid w:val="0090193C"/>
    <w:rsid w:val="00901AE4"/>
    <w:rsid w:val="00901B13"/>
    <w:rsid w:val="00901FB3"/>
    <w:rsid w:val="0090204A"/>
    <w:rsid w:val="00902099"/>
    <w:rsid w:val="009021AB"/>
    <w:rsid w:val="009021EA"/>
    <w:rsid w:val="0090268E"/>
    <w:rsid w:val="009027F8"/>
    <w:rsid w:val="00902A87"/>
    <w:rsid w:val="00902AC4"/>
    <w:rsid w:val="00902C10"/>
    <w:rsid w:val="00903198"/>
    <w:rsid w:val="009031C1"/>
    <w:rsid w:val="0090336A"/>
    <w:rsid w:val="009033A2"/>
    <w:rsid w:val="00903647"/>
    <w:rsid w:val="00903A4D"/>
    <w:rsid w:val="009041D9"/>
    <w:rsid w:val="009042B0"/>
    <w:rsid w:val="00904406"/>
    <w:rsid w:val="009044F5"/>
    <w:rsid w:val="00904A94"/>
    <w:rsid w:val="00904A95"/>
    <w:rsid w:val="00904C61"/>
    <w:rsid w:val="00904FED"/>
    <w:rsid w:val="00905109"/>
    <w:rsid w:val="00905422"/>
    <w:rsid w:val="0090558A"/>
    <w:rsid w:val="009055AA"/>
    <w:rsid w:val="009057D9"/>
    <w:rsid w:val="00905839"/>
    <w:rsid w:val="00905977"/>
    <w:rsid w:val="00905CA7"/>
    <w:rsid w:val="00905D38"/>
    <w:rsid w:val="00905D71"/>
    <w:rsid w:val="00906082"/>
    <w:rsid w:val="009060CA"/>
    <w:rsid w:val="009062B9"/>
    <w:rsid w:val="0090637C"/>
    <w:rsid w:val="0090646F"/>
    <w:rsid w:val="00906661"/>
    <w:rsid w:val="0090691E"/>
    <w:rsid w:val="0090698B"/>
    <w:rsid w:val="009069D3"/>
    <w:rsid w:val="00906D8E"/>
    <w:rsid w:val="00906E9F"/>
    <w:rsid w:val="00906EEF"/>
    <w:rsid w:val="00906F65"/>
    <w:rsid w:val="00907190"/>
    <w:rsid w:val="0090725A"/>
    <w:rsid w:val="009072CB"/>
    <w:rsid w:val="00907966"/>
    <w:rsid w:val="009079E1"/>
    <w:rsid w:val="00907D22"/>
    <w:rsid w:val="0091021F"/>
    <w:rsid w:val="009103B4"/>
    <w:rsid w:val="009104C5"/>
    <w:rsid w:val="00910543"/>
    <w:rsid w:val="00910855"/>
    <w:rsid w:val="00910902"/>
    <w:rsid w:val="00910999"/>
    <w:rsid w:val="009109B0"/>
    <w:rsid w:val="00910AFD"/>
    <w:rsid w:val="00910EA0"/>
    <w:rsid w:val="00910EBB"/>
    <w:rsid w:val="00910FD6"/>
    <w:rsid w:val="00911256"/>
    <w:rsid w:val="009112B8"/>
    <w:rsid w:val="009115D2"/>
    <w:rsid w:val="009116EA"/>
    <w:rsid w:val="009118C9"/>
    <w:rsid w:val="00911EFC"/>
    <w:rsid w:val="00911FAA"/>
    <w:rsid w:val="00911FBF"/>
    <w:rsid w:val="00912377"/>
    <w:rsid w:val="009125C9"/>
    <w:rsid w:val="0091264C"/>
    <w:rsid w:val="00912737"/>
    <w:rsid w:val="0091296A"/>
    <w:rsid w:val="00912ADE"/>
    <w:rsid w:val="00912E91"/>
    <w:rsid w:val="00913371"/>
    <w:rsid w:val="009137B0"/>
    <w:rsid w:val="00913CCF"/>
    <w:rsid w:val="00913EF8"/>
    <w:rsid w:val="00914046"/>
    <w:rsid w:val="009140B1"/>
    <w:rsid w:val="009140CD"/>
    <w:rsid w:val="0091445A"/>
    <w:rsid w:val="0091458B"/>
    <w:rsid w:val="00914809"/>
    <w:rsid w:val="00914857"/>
    <w:rsid w:val="00914CCD"/>
    <w:rsid w:val="00914DA0"/>
    <w:rsid w:val="00914ED2"/>
    <w:rsid w:val="00914F4A"/>
    <w:rsid w:val="009150F5"/>
    <w:rsid w:val="009153E0"/>
    <w:rsid w:val="009153E2"/>
    <w:rsid w:val="00915708"/>
    <w:rsid w:val="00915968"/>
    <w:rsid w:val="00915B45"/>
    <w:rsid w:val="00915B91"/>
    <w:rsid w:val="00915B94"/>
    <w:rsid w:val="00915BB5"/>
    <w:rsid w:val="00915BF2"/>
    <w:rsid w:val="00915E28"/>
    <w:rsid w:val="00915F1E"/>
    <w:rsid w:val="00915F55"/>
    <w:rsid w:val="009162F7"/>
    <w:rsid w:val="00916407"/>
    <w:rsid w:val="0091679C"/>
    <w:rsid w:val="009168B8"/>
    <w:rsid w:val="00916E80"/>
    <w:rsid w:val="0091716A"/>
    <w:rsid w:val="00917481"/>
    <w:rsid w:val="00917872"/>
    <w:rsid w:val="00917A85"/>
    <w:rsid w:val="00917D13"/>
    <w:rsid w:val="00917E41"/>
    <w:rsid w:val="009202C3"/>
    <w:rsid w:val="009206A4"/>
    <w:rsid w:val="009206B5"/>
    <w:rsid w:val="00920A66"/>
    <w:rsid w:val="00920CF1"/>
    <w:rsid w:val="00921294"/>
    <w:rsid w:val="00921461"/>
    <w:rsid w:val="00921A32"/>
    <w:rsid w:val="00921AC1"/>
    <w:rsid w:val="00921CF2"/>
    <w:rsid w:val="00921CF4"/>
    <w:rsid w:val="00921EE8"/>
    <w:rsid w:val="00921EFB"/>
    <w:rsid w:val="009221ED"/>
    <w:rsid w:val="00922448"/>
    <w:rsid w:val="0092250A"/>
    <w:rsid w:val="0092250C"/>
    <w:rsid w:val="00922FB5"/>
    <w:rsid w:val="009233FF"/>
    <w:rsid w:val="00923472"/>
    <w:rsid w:val="0092368B"/>
    <w:rsid w:val="00923752"/>
    <w:rsid w:val="00923888"/>
    <w:rsid w:val="00923A4E"/>
    <w:rsid w:val="00923ACB"/>
    <w:rsid w:val="00923D9D"/>
    <w:rsid w:val="00923F82"/>
    <w:rsid w:val="00924043"/>
    <w:rsid w:val="00924060"/>
    <w:rsid w:val="009240C3"/>
    <w:rsid w:val="009240FE"/>
    <w:rsid w:val="00924160"/>
    <w:rsid w:val="0092430F"/>
    <w:rsid w:val="0092446A"/>
    <w:rsid w:val="009244DD"/>
    <w:rsid w:val="0092453D"/>
    <w:rsid w:val="009245AE"/>
    <w:rsid w:val="00924829"/>
    <w:rsid w:val="0092486A"/>
    <w:rsid w:val="00924B1D"/>
    <w:rsid w:val="00924C3C"/>
    <w:rsid w:val="00924D45"/>
    <w:rsid w:val="00924E0C"/>
    <w:rsid w:val="009252AF"/>
    <w:rsid w:val="009254A8"/>
    <w:rsid w:val="0092563F"/>
    <w:rsid w:val="0092578B"/>
    <w:rsid w:val="00925AF2"/>
    <w:rsid w:val="00925D2F"/>
    <w:rsid w:val="00925E6A"/>
    <w:rsid w:val="00926127"/>
    <w:rsid w:val="009261FC"/>
    <w:rsid w:val="00926205"/>
    <w:rsid w:val="00926403"/>
    <w:rsid w:val="0092678F"/>
    <w:rsid w:val="009269F0"/>
    <w:rsid w:val="00926D67"/>
    <w:rsid w:val="00926FEC"/>
    <w:rsid w:val="009271FC"/>
    <w:rsid w:val="0092726C"/>
    <w:rsid w:val="009272F0"/>
    <w:rsid w:val="009276F7"/>
    <w:rsid w:val="0092776D"/>
    <w:rsid w:val="00927975"/>
    <w:rsid w:val="00927AC4"/>
    <w:rsid w:val="00927F1D"/>
    <w:rsid w:val="0093019C"/>
    <w:rsid w:val="009301BE"/>
    <w:rsid w:val="0093069F"/>
    <w:rsid w:val="00930760"/>
    <w:rsid w:val="00930909"/>
    <w:rsid w:val="00930C6D"/>
    <w:rsid w:val="00930D1A"/>
    <w:rsid w:val="00931580"/>
    <w:rsid w:val="009317E2"/>
    <w:rsid w:val="0093194D"/>
    <w:rsid w:val="00931A76"/>
    <w:rsid w:val="00931C21"/>
    <w:rsid w:val="00931C99"/>
    <w:rsid w:val="00931D79"/>
    <w:rsid w:val="00931E72"/>
    <w:rsid w:val="00931EA7"/>
    <w:rsid w:val="00931EF0"/>
    <w:rsid w:val="00932032"/>
    <w:rsid w:val="0093216A"/>
    <w:rsid w:val="009321E6"/>
    <w:rsid w:val="00932459"/>
    <w:rsid w:val="0093257A"/>
    <w:rsid w:val="009328F7"/>
    <w:rsid w:val="00932B2A"/>
    <w:rsid w:val="00933190"/>
    <w:rsid w:val="0093327D"/>
    <w:rsid w:val="009335EE"/>
    <w:rsid w:val="0093371D"/>
    <w:rsid w:val="0093380B"/>
    <w:rsid w:val="009338B7"/>
    <w:rsid w:val="00933AE4"/>
    <w:rsid w:val="00933BF5"/>
    <w:rsid w:val="00933FB0"/>
    <w:rsid w:val="00934520"/>
    <w:rsid w:val="00934801"/>
    <w:rsid w:val="00934ABF"/>
    <w:rsid w:val="00934EC8"/>
    <w:rsid w:val="00934F23"/>
    <w:rsid w:val="00934F7C"/>
    <w:rsid w:val="00935191"/>
    <w:rsid w:val="0093530C"/>
    <w:rsid w:val="009354C3"/>
    <w:rsid w:val="0093551F"/>
    <w:rsid w:val="009355EF"/>
    <w:rsid w:val="0093568D"/>
    <w:rsid w:val="009357B3"/>
    <w:rsid w:val="009359A9"/>
    <w:rsid w:val="00935E79"/>
    <w:rsid w:val="00935F23"/>
    <w:rsid w:val="00936CD5"/>
    <w:rsid w:val="00936D06"/>
    <w:rsid w:val="00936F04"/>
    <w:rsid w:val="00936F8A"/>
    <w:rsid w:val="00936F8D"/>
    <w:rsid w:val="00937042"/>
    <w:rsid w:val="00937834"/>
    <w:rsid w:val="00937868"/>
    <w:rsid w:val="009378F5"/>
    <w:rsid w:val="00937C40"/>
    <w:rsid w:val="00937D1B"/>
    <w:rsid w:val="00937DEA"/>
    <w:rsid w:val="00937F87"/>
    <w:rsid w:val="00937FD3"/>
    <w:rsid w:val="0094000B"/>
    <w:rsid w:val="0094006A"/>
    <w:rsid w:val="009400D4"/>
    <w:rsid w:val="0094077F"/>
    <w:rsid w:val="00940EBE"/>
    <w:rsid w:val="00941047"/>
    <w:rsid w:val="009416FC"/>
    <w:rsid w:val="009417BC"/>
    <w:rsid w:val="0094184D"/>
    <w:rsid w:val="0094192B"/>
    <w:rsid w:val="00942119"/>
    <w:rsid w:val="0094247F"/>
    <w:rsid w:val="00942BD9"/>
    <w:rsid w:val="00942BED"/>
    <w:rsid w:val="00942C8E"/>
    <w:rsid w:val="00942E0D"/>
    <w:rsid w:val="00943003"/>
    <w:rsid w:val="009430E0"/>
    <w:rsid w:val="009433D5"/>
    <w:rsid w:val="0094379D"/>
    <w:rsid w:val="009437B5"/>
    <w:rsid w:val="00943816"/>
    <w:rsid w:val="00943928"/>
    <w:rsid w:val="00943971"/>
    <w:rsid w:val="00943AA6"/>
    <w:rsid w:val="00943F9D"/>
    <w:rsid w:val="00943FC5"/>
    <w:rsid w:val="009441F2"/>
    <w:rsid w:val="00944440"/>
    <w:rsid w:val="009444AB"/>
    <w:rsid w:val="009448B7"/>
    <w:rsid w:val="00944CBB"/>
    <w:rsid w:val="0094500E"/>
    <w:rsid w:val="00945215"/>
    <w:rsid w:val="0094531C"/>
    <w:rsid w:val="009453B3"/>
    <w:rsid w:val="009457AA"/>
    <w:rsid w:val="00945960"/>
    <w:rsid w:val="00945C11"/>
    <w:rsid w:val="00945CA1"/>
    <w:rsid w:val="00945CAA"/>
    <w:rsid w:val="00945E50"/>
    <w:rsid w:val="00945FB6"/>
    <w:rsid w:val="00946248"/>
    <w:rsid w:val="009463A4"/>
    <w:rsid w:val="00946582"/>
    <w:rsid w:val="00946847"/>
    <w:rsid w:val="00946848"/>
    <w:rsid w:val="00946DDB"/>
    <w:rsid w:val="00947105"/>
    <w:rsid w:val="009473CF"/>
    <w:rsid w:val="00947771"/>
    <w:rsid w:val="00947794"/>
    <w:rsid w:val="009478BA"/>
    <w:rsid w:val="00947CC1"/>
    <w:rsid w:val="00950127"/>
    <w:rsid w:val="0095020E"/>
    <w:rsid w:val="009503CC"/>
    <w:rsid w:val="00950667"/>
    <w:rsid w:val="0095071E"/>
    <w:rsid w:val="00950A36"/>
    <w:rsid w:val="00950E4E"/>
    <w:rsid w:val="00950EC2"/>
    <w:rsid w:val="00950EE9"/>
    <w:rsid w:val="00950FFF"/>
    <w:rsid w:val="00951020"/>
    <w:rsid w:val="009510BA"/>
    <w:rsid w:val="0095110E"/>
    <w:rsid w:val="009512A9"/>
    <w:rsid w:val="009514E7"/>
    <w:rsid w:val="0095197D"/>
    <w:rsid w:val="00951A96"/>
    <w:rsid w:val="00951E9B"/>
    <w:rsid w:val="0095273E"/>
    <w:rsid w:val="009527AB"/>
    <w:rsid w:val="00952E00"/>
    <w:rsid w:val="009531B3"/>
    <w:rsid w:val="009532DD"/>
    <w:rsid w:val="00953372"/>
    <w:rsid w:val="009535CE"/>
    <w:rsid w:val="0095370F"/>
    <w:rsid w:val="00953A05"/>
    <w:rsid w:val="00953B75"/>
    <w:rsid w:val="00953C73"/>
    <w:rsid w:val="00953F1F"/>
    <w:rsid w:val="00953F6E"/>
    <w:rsid w:val="00954123"/>
    <w:rsid w:val="00954173"/>
    <w:rsid w:val="009542F0"/>
    <w:rsid w:val="0095479A"/>
    <w:rsid w:val="00954879"/>
    <w:rsid w:val="009548B9"/>
    <w:rsid w:val="009549C3"/>
    <w:rsid w:val="009549CC"/>
    <w:rsid w:val="00954ABE"/>
    <w:rsid w:val="00954CDA"/>
    <w:rsid w:val="00954F7F"/>
    <w:rsid w:val="00955474"/>
    <w:rsid w:val="0095553B"/>
    <w:rsid w:val="009555FF"/>
    <w:rsid w:val="00955672"/>
    <w:rsid w:val="0095575E"/>
    <w:rsid w:val="009558A2"/>
    <w:rsid w:val="009559E4"/>
    <w:rsid w:val="00955A06"/>
    <w:rsid w:val="00955CD9"/>
    <w:rsid w:val="00955FAF"/>
    <w:rsid w:val="00956316"/>
    <w:rsid w:val="009563FF"/>
    <w:rsid w:val="00956B66"/>
    <w:rsid w:val="00956C0B"/>
    <w:rsid w:val="00956FC7"/>
    <w:rsid w:val="00957196"/>
    <w:rsid w:val="009571D7"/>
    <w:rsid w:val="009575B9"/>
    <w:rsid w:val="009575E4"/>
    <w:rsid w:val="009576A4"/>
    <w:rsid w:val="00957824"/>
    <w:rsid w:val="009578D6"/>
    <w:rsid w:val="00957B37"/>
    <w:rsid w:val="00957E09"/>
    <w:rsid w:val="00957F69"/>
    <w:rsid w:val="00957F7D"/>
    <w:rsid w:val="009600C1"/>
    <w:rsid w:val="009602B9"/>
    <w:rsid w:val="0096058C"/>
    <w:rsid w:val="009608A1"/>
    <w:rsid w:val="00960968"/>
    <w:rsid w:val="009609B7"/>
    <w:rsid w:val="00960CDE"/>
    <w:rsid w:val="00960D36"/>
    <w:rsid w:val="00960DD3"/>
    <w:rsid w:val="00960EA6"/>
    <w:rsid w:val="00960F50"/>
    <w:rsid w:val="00961075"/>
    <w:rsid w:val="009610F1"/>
    <w:rsid w:val="009610F3"/>
    <w:rsid w:val="009611A8"/>
    <w:rsid w:val="009611AA"/>
    <w:rsid w:val="0096155B"/>
    <w:rsid w:val="0096179C"/>
    <w:rsid w:val="0096190A"/>
    <w:rsid w:val="009619C7"/>
    <w:rsid w:val="00961BC1"/>
    <w:rsid w:val="00961CB6"/>
    <w:rsid w:val="00961D31"/>
    <w:rsid w:val="00961DB7"/>
    <w:rsid w:val="009624D7"/>
    <w:rsid w:val="0096291B"/>
    <w:rsid w:val="00962D66"/>
    <w:rsid w:val="00962E08"/>
    <w:rsid w:val="00962E2F"/>
    <w:rsid w:val="00963132"/>
    <w:rsid w:val="009633AC"/>
    <w:rsid w:val="009633C0"/>
    <w:rsid w:val="00963467"/>
    <w:rsid w:val="0096347A"/>
    <w:rsid w:val="00963531"/>
    <w:rsid w:val="0096354F"/>
    <w:rsid w:val="00963595"/>
    <w:rsid w:val="00963744"/>
    <w:rsid w:val="00963BC7"/>
    <w:rsid w:val="00964014"/>
    <w:rsid w:val="00964120"/>
    <w:rsid w:val="009641C8"/>
    <w:rsid w:val="009641D4"/>
    <w:rsid w:val="0096431F"/>
    <w:rsid w:val="0096433B"/>
    <w:rsid w:val="00964619"/>
    <w:rsid w:val="00964654"/>
    <w:rsid w:val="00964750"/>
    <w:rsid w:val="009647F9"/>
    <w:rsid w:val="0096482E"/>
    <w:rsid w:val="009649B0"/>
    <w:rsid w:val="009649E1"/>
    <w:rsid w:val="00964A99"/>
    <w:rsid w:val="00964DB6"/>
    <w:rsid w:val="00964E3F"/>
    <w:rsid w:val="00964FBD"/>
    <w:rsid w:val="0096507C"/>
    <w:rsid w:val="00965120"/>
    <w:rsid w:val="00965211"/>
    <w:rsid w:val="00965618"/>
    <w:rsid w:val="00965648"/>
    <w:rsid w:val="0096579C"/>
    <w:rsid w:val="00965877"/>
    <w:rsid w:val="00965B07"/>
    <w:rsid w:val="00965BFB"/>
    <w:rsid w:val="009660B5"/>
    <w:rsid w:val="00966273"/>
    <w:rsid w:val="009662D5"/>
    <w:rsid w:val="00966B05"/>
    <w:rsid w:val="009670A0"/>
    <w:rsid w:val="0096732E"/>
    <w:rsid w:val="00967428"/>
    <w:rsid w:val="00967584"/>
    <w:rsid w:val="009678A9"/>
    <w:rsid w:val="00967B91"/>
    <w:rsid w:val="00967E70"/>
    <w:rsid w:val="00967F85"/>
    <w:rsid w:val="00967F8B"/>
    <w:rsid w:val="009706B3"/>
    <w:rsid w:val="009706D6"/>
    <w:rsid w:val="009706E7"/>
    <w:rsid w:val="00970724"/>
    <w:rsid w:val="00970B6B"/>
    <w:rsid w:val="00970BE0"/>
    <w:rsid w:val="00970E60"/>
    <w:rsid w:val="0097113A"/>
    <w:rsid w:val="00971151"/>
    <w:rsid w:val="009713DA"/>
    <w:rsid w:val="009714C9"/>
    <w:rsid w:val="00971618"/>
    <w:rsid w:val="009719F4"/>
    <w:rsid w:val="00971B86"/>
    <w:rsid w:val="00971D15"/>
    <w:rsid w:val="00971D7A"/>
    <w:rsid w:val="00971E2C"/>
    <w:rsid w:val="00971E58"/>
    <w:rsid w:val="00971FFB"/>
    <w:rsid w:val="00972678"/>
    <w:rsid w:val="00972969"/>
    <w:rsid w:val="00972A5E"/>
    <w:rsid w:val="00972B59"/>
    <w:rsid w:val="00972D6B"/>
    <w:rsid w:val="00973123"/>
    <w:rsid w:val="00973234"/>
    <w:rsid w:val="0097330A"/>
    <w:rsid w:val="00973323"/>
    <w:rsid w:val="009735F8"/>
    <w:rsid w:val="00973701"/>
    <w:rsid w:val="00973953"/>
    <w:rsid w:val="00973B27"/>
    <w:rsid w:val="00973C68"/>
    <w:rsid w:val="00973DE9"/>
    <w:rsid w:val="00973F77"/>
    <w:rsid w:val="0097401E"/>
    <w:rsid w:val="0097455B"/>
    <w:rsid w:val="00974882"/>
    <w:rsid w:val="009748BA"/>
    <w:rsid w:val="00974CD4"/>
    <w:rsid w:val="00974F2E"/>
    <w:rsid w:val="00974F9A"/>
    <w:rsid w:val="00975008"/>
    <w:rsid w:val="0097501E"/>
    <w:rsid w:val="0097508C"/>
    <w:rsid w:val="009751BE"/>
    <w:rsid w:val="00975374"/>
    <w:rsid w:val="00975698"/>
    <w:rsid w:val="009758E5"/>
    <w:rsid w:val="0097591D"/>
    <w:rsid w:val="00975991"/>
    <w:rsid w:val="00975B5F"/>
    <w:rsid w:val="00975BCD"/>
    <w:rsid w:val="00975BD1"/>
    <w:rsid w:val="00975C53"/>
    <w:rsid w:val="00975E42"/>
    <w:rsid w:val="00976149"/>
    <w:rsid w:val="009765CB"/>
    <w:rsid w:val="009767E4"/>
    <w:rsid w:val="00976EF8"/>
    <w:rsid w:val="0097704D"/>
    <w:rsid w:val="0097719D"/>
    <w:rsid w:val="00977342"/>
    <w:rsid w:val="00977B67"/>
    <w:rsid w:val="00977BAB"/>
    <w:rsid w:val="00977C6E"/>
    <w:rsid w:val="00977D1D"/>
    <w:rsid w:val="00977D4B"/>
    <w:rsid w:val="00977DC4"/>
    <w:rsid w:val="00977E4D"/>
    <w:rsid w:val="00977E64"/>
    <w:rsid w:val="0098048F"/>
    <w:rsid w:val="009805F2"/>
    <w:rsid w:val="009808C2"/>
    <w:rsid w:val="0098098F"/>
    <w:rsid w:val="00980ADA"/>
    <w:rsid w:val="00980C28"/>
    <w:rsid w:val="00980EF1"/>
    <w:rsid w:val="009811B0"/>
    <w:rsid w:val="00981290"/>
    <w:rsid w:val="0098135B"/>
    <w:rsid w:val="00981753"/>
    <w:rsid w:val="009817B1"/>
    <w:rsid w:val="0098182E"/>
    <w:rsid w:val="00981966"/>
    <w:rsid w:val="009819AA"/>
    <w:rsid w:val="0098214D"/>
    <w:rsid w:val="009827FA"/>
    <w:rsid w:val="009828EF"/>
    <w:rsid w:val="009829F2"/>
    <w:rsid w:val="00982E20"/>
    <w:rsid w:val="00982EB2"/>
    <w:rsid w:val="00982ED4"/>
    <w:rsid w:val="00982F30"/>
    <w:rsid w:val="00982FCE"/>
    <w:rsid w:val="00983074"/>
    <w:rsid w:val="00983255"/>
    <w:rsid w:val="009834F3"/>
    <w:rsid w:val="00983541"/>
    <w:rsid w:val="009836C0"/>
    <w:rsid w:val="00983804"/>
    <w:rsid w:val="009838A9"/>
    <w:rsid w:val="00983D0D"/>
    <w:rsid w:val="00983D1D"/>
    <w:rsid w:val="00983E25"/>
    <w:rsid w:val="00983E96"/>
    <w:rsid w:val="00984004"/>
    <w:rsid w:val="009840B5"/>
    <w:rsid w:val="00984475"/>
    <w:rsid w:val="00984534"/>
    <w:rsid w:val="00984555"/>
    <w:rsid w:val="00984556"/>
    <w:rsid w:val="00984763"/>
    <w:rsid w:val="0098476A"/>
    <w:rsid w:val="00984778"/>
    <w:rsid w:val="00984891"/>
    <w:rsid w:val="00984988"/>
    <w:rsid w:val="00984AF4"/>
    <w:rsid w:val="00984B9F"/>
    <w:rsid w:val="00984CAF"/>
    <w:rsid w:val="00984E0A"/>
    <w:rsid w:val="0098505F"/>
    <w:rsid w:val="00985525"/>
    <w:rsid w:val="00985939"/>
    <w:rsid w:val="00985B02"/>
    <w:rsid w:val="00985BEC"/>
    <w:rsid w:val="00985DAE"/>
    <w:rsid w:val="009860A4"/>
    <w:rsid w:val="0098670C"/>
    <w:rsid w:val="009868ED"/>
    <w:rsid w:val="0098697D"/>
    <w:rsid w:val="0098753A"/>
    <w:rsid w:val="009876ED"/>
    <w:rsid w:val="0098790F"/>
    <w:rsid w:val="009879BE"/>
    <w:rsid w:val="00987C12"/>
    <w:rsid w:val="009901B0"/>
    <w:rsid w:val="0099032A"/>
    <w:rsid w:val="0099049C"/>
    <w:rsid w:val="00990804"/>
    <w:rsid w:val="00990A20"/>
    <w:rsid w:val="00990A65"/>
    <w:rsid w:val="00990C20"/>
    <w:rsid w:val="00991089"/>
    <w:rsid w:val="00991362"/>
    <w:rsid w:val="00991564"/>
    <w:rsid w:val="00991891"/>
    <w:rsid w:val="009918D3"/>
    <w:rsid w:val="009919B3"/>
    <w:rsid w:val="00991A2E"/>
    <w:rsid w:val="00991AD6"/>
    <w:rsid w:val="00991BDC"/>
    <w:rsid w:val="00991CDE"/>
    <w:rsid w:val="00992025"/>
    <w:rsid w:val="00992192"/>
    <w:rsid w:val="0099219C"/>
    <w:rsid w:val="009922D0"/>
    <w:rsid w:val="009926CF"/>
    <w:rsid w:val="00992866"/>
    <w:rsid w:val="00992A00"/>
    <w:rsid w:val="00992B7B"/>
    <w:rsid w:val="00992BAE"/>
    <w:rsid w:val="00992E3C"/>
    <w:rsid w:val="0099313C"/>
    <w:rsid w:val="0099334F"/>
    <w:rsid w:val="00993479"/>
    <w:rsid w:val="00993494"/>
    <w:rsid w:val="00993681"/>
    <w:rsid w:val="009938D7"/>
    <w:rsid w:val="00993D5E"/>
    <w:rsid w:val="00993D71"/>
    <w:rsid w:val="0099467D"/>
    <w:rsid w:val="0099470C"/>
    <w:rsid w:val="0099474C"/>
    <w:rsid w:val="009948FB"/>
    <w:rsid w:val="00994A0B"/>
    <w:rsid w:val="00994BA7"/>
    <w:rsid w:val="00994ED9"/>
    <w:rsid w:val="00995249"/>
    <w:rsid w:val="0099546F"/>
    <w:rsid w:val="0099551C"/>
    <w:rsid w:val="00995546"/>
    <w:rsid w:val="0099559B"/>
    <w:rsid w:val="00995861"/>
    <w:rsid w:val="0099598E"/>
    <w:rsid w:val="00995EDC"/>
    <w:rsid w:val="00996192"/>
    <w:rsid w:val="00996218"/>
    <w:rsid w:val="00996747"/>
    <w:rsid w:val="0099693A"/>
    <w:rsid w:val="00996A2A"/>
    <w:rsid w:val="00996B99"/>
    <w:rsid w:val="00996C04"/>
    <w:rsid w:val="00996F1A"/>
    <w:rsid w:val="00996F28"/>
    <w:rsid w:val="0099724C"/>
    <w:rsid w:val="00997427"/>
    <w:rsid w:val="009974ED"/>
    <w:rsid w:val="0099791B"/>
    <w:rsid w:val="00997DCA"/>
    <w:rsid w:val="00997F90"/>
    <w:rsid w:val="009A00CE"/>
    <w:rsid w:val="009A0603"/>
    <w:rsid w:val="009A0651"/>
    <w:rsid w:val="009A07C3"/>
    <w:rsid w:val="009A09EF"/>
    <w:rsid w:val="009A0CA9"/>
    <w:rsid w:val="009A0F0C"/>
    <w:rsid w:val="009A0F48"/>
    <w:rsid w:val="009A1141"/>
    <w:rsid w:val="009A1BFF"/>
    <w:rsid w:val="009A1C87"/>
    <w:rsid w:val="009A1D2E"/>
    <w:rsid w:val="009A1F35"/>
    <w:rsid w:val="009A20B7"/>
    <w:rsid w:val="009A27AC"/>
    <w:rsid w:val="009A2A56"/>
    <w:rsid w:val="009A3050"/>
    <w:rsid w:val="009A319C"/>
    <w:rsid w:val="009A34E4"/>
    <w:rsid w:val="009A3566"/>
    <w:rsid w:val="009A39BA"/>
    <w:rsid w:val="009A3B88"/>
    <w:rsid w:val="009A3D96"/>
    <w:rsid w:val="009A3DEC"/>
    <w:rsid w:val="009A3E4F"/>
    <w:rsid w:val="009A40D7"/>
    <w:rsid w:val="009A41FA"/>
    <w:rsid w:val="009A4342"/>
    <w:rsid w:val="009A45EF"/>
    <w:rsid w:val="009A462D"/>
    <w:rsid w:val="009A49EC"/>
    <w:rsid w:val="009A4ED8"/>
    <w:rsid w:val="009A4F0C"/>
    <w:rsid w:val="009A5271"/>
    <w:rsid w:val="009A531C"/>
    <w:rsid w:val="009A540E"/>
    <w:rsid w:val="009A545F"/>
    <w:rsid w:val="009A54D3"/>
    <w:rsid w:val="009A5818"/>
    <w:rsid w:val="009A5857"/>
    <w:rsid w:val="009A599C"/>
    <w:rsid w:val="009A5A6C"/>
    <w:rsid w:val="009A5C4B"/>
    <w:rsid w:val="009A5E21"/>
    <w:rsid w:val="009A5E69"/>
    <w:rsid w:val="009A5F94"/>
    <w:rsid w:val="009A62CC"/>
    <w:rsid w:val="009A62E6"/>
    <w:rsid w:val="009A6330"/>
    <w:rsid w:val="009A63B2"/>
    <w:rsid w:val="009A63B3"/>
    <w:rsid w:val="009A6471"/>
    <w:rsid w:val="009A65E2"/>
    <w:rsid w:val="009A6A88"/>
    <w:rsid w:val="009A6AB7"/>
    <w:rsid w:val="009A6AD3"/>
    <w:rsid w:val="009A6B15"/>
    <w:rsid w:val="009A6B77"/>
    <w:rsid w:val="009A6C0A"/>
    <w:rsid w:val="009A703A"/>
    <w:rsid w:val="009A71E0"/>
    <w:rsid w:val="009A72BD"/>
    <w:rsid w:val="009A77B1"/>
    <w:rsid w:val="009A798C"/>
    <w:rsid w:val="009A7E6D"/>
    <w:rsid w:val="009A7EF9"/>
    <w:rsid w:val="009B0244"/>
    <w:rsid w:val="009B0830"/>
    <w:rsid w:val="009B0A46"/>
    <w:rsid w:val="009B0AA1"/>
    <w:rsid w:val="009B0C1F"/>
    <w:rsid w:val="009B0C2B"/>
    <w:rsid w:val="009B0EAF"/>
    <w:rsid w:val="009B0FF9"/>
    <w:rsid w:val="009B10C9"/>
    <w:rsid w:val="009B113B"/>
    <w:rsid w:val="009B1288"/>
    <w:rsid w:val="009B12E7"/>
    <w:rsid w:val="009B1311"/>
    <w:rsid w:val="009B149F"/>
    <w:rsid w:val="009B1783"/>
    <w:rsid w:val="009B19F5"/>
    <w:rsid w:val="009B1A16"/>
    <w:rsid w:val="009B1B4B"/>
    <w:rsid w:val="009B1CC0"/>
    <w:rsid w:val="009B1D16"/>
    <w:rsid w:val="009B1EDB"/>
    <w:rsid w:val="009B1FB8"/>
    <w:rsid w:val="009B20AC"/>
    <w:rsid w:val="009B27BC"/>
    <w:rsid w:val="009B2D2B"/>
    <w:rsid w:val="009B2D72"/>
    <w:rsid w:val="009B2D74"/>
    <w:rsid w:val="009B313E"/>
    <w:rsid w:val="009B357B"/>
    <w:rsid w:val="009B374F"/>
    <w:rsid w:val="009B38F2"/>
    <w:rsid w:val="009B39BF"/>
    <w:rsid w:val="009B3A6C"/>
    <w:rsid w:val="009B3AC2"/>
    <w:rsid w:val="009B3BF1"/>
    <w:rsid w:val="009B3C83"/>
    <w:rsid w:val="009B3E23"/>
    <w:rsid w:val="009B415A"/>
    <w:rsid w:val="009B4239"/>
    <w:rsid w:val="009B4521"/>
    <w:rsid w:val="009B46BB"/>
    <w:rsid w:val="009B49EA"/>
    <w:rsid w:val="009B521B"/>
    <w:rsid w:val="009B526C"/>
    <w:rsid w:val="009B5524"/>
    <w:rsid w:val="009B5A20"/>
    <w:rsid w:val="009B5B9B"/>
    <w:rsid w:val="009B60AC"/>
    <w:rsid w:val="009B6345"/>
    <w:rsid w:val="009B643E"/>
    <w:rsid w:val="009B68B1"/>
    <w:rsid w:val="009B690D"/>
    <w:rsid w:val="009B6B3C"/>
    <w:rsid w:val="009B6C5F"/>
    <w:rsid w:val="009B6CF4"/>
    <w:rsid w:val="009B6F04"/>
    <w:rsid w:val="009B6F16"/>
    <w:rsid w:val="009B6F76"/>
    <w:rsid w:val="009B70EA"/>
    <w:rsid w:val="009B77F4"/>
    <w:rsid w:val="009B7A79"/>
    <w:rsid w:val="009B7AA2"/>
    <w:rsid w:val="009C0070"/>
    <w:rsid w:val="009C00C4"/>
    <w:rsid w:val="009C013A"/>
    <w:rsid w:val="009C0658"/>
    <w:rsid w:val="009C0670"/>
    <w:rsid w:val="009C08B0"/>
    <w:rsid w:val="009C09F0"/>
    <w:rsid w:val="009C0A49"/>
    <w:rsid w:val="009C0A78"/>
    <w:rsid w:val="009C0E12"/>
    <w:rsid w:val="009C10B0"/>
    <w:rsid w:val="009C149F"/>
    <w:rsid w:val="009C155D"/>
    <w:rsid w:val="009C15EB"/>
    <w:rsid w:val="009C19E0"/>
    <w:rsid w:val="009C1CCE"/>
    <w:rsid w:val="009C1F9B"/>
    <w:rsid w:val="009C21AD"/>
    <w:rsid w:val="009C23DB"/>
    <w:rsid w:val="009C25A0"/>
    <w:rsid w:val="009C2679"/>
    <w:rsid w:val="009C2A62"/>
    <w:rsid w:val="009C2AD6"/>
    <w:rsid w:val="009C2B1A"/>
    <w:rsid w:val="009C2EE6"/>
    <w:rsid w:val="009C3102"/>
    <w:rsid w:val="009C3108"/>
    <w:rsid w:val="009C3394"/>
    <w:rsid w:val="009C3600"/>
    <w:rsid w:val="009C3D07"/>
    <w:rsid w:val="009C3F9B"/>
    <w:rsid w:val="009C431A"/>
    <w:rsid w:val="009C43A4"/>
    <w:rsid w:val="009C44B8"/>
    <w:rsid w:val="009C4736"/>
    <w:rsid w:val="009C47CC"/>
    <w:rsid w:val="009C47F1"/>
    <w:rsid w:val="009C4C45"/>
    <w:rsid w:val="009C4DD0"/>
    <w:rsid w:val="009C4E9D"/>
    <w:rsid w:val="009C543B"/>
    <w:rsid w:val="009C5A71"/>
    <w:rsid w:val="009C5B04"/>
    <w:rsid w:val="009C5C96"/>
    <w:rsid w:val="009C61DB"/>
    <w:rsid w:val="009C6585"/>
    <w:rsid w:val="009C65C8"/>
    <w:rsid w:val="009C674A"/>
    <w:rsid w:val="009C67FC"/>
    <w:rsid w:val="009C6AA1"/>
    <w:rsid w:val="009C7084"/>
    <w:rsid w:val="009C70F3"/>
    <w:rsid w:val="009C7387"/>
    <w:rsid w:val="009C741C"/>
    <w:rsid w:val="009C7430"/>
    <w:rsid w:val="009C7650"/>
    <w:rsid w:val="009C76C9"/>
    <w:rsid w:val="009C7756"/>
    <w:rsid w:val="009C7CAB"/>
    <w:rsid w:val="009C7EC9"/>
    <w:rsid w:val="009C7FAA"/>
    <w:rsid w:val="009D0231"/>
    <w:rsid w:val="009D0315"/>
    <w:rsid w:val="009D03B6"/>
    <w:rsid w:val="009D04DA"/>
    <w:rsid w:val="009D09B2"/>
    <w:rsid w:val="009D0AB8"/>
    <w:rsid w:val="009D0D75"/>
    <w:rsid w:val="009D0EB2"/>
    <w:rsid w:val="009D0F92"/>
    <w:rsid w:val="009D1209"/>
    <w:rsid w:val="009D12BE"/>
    <w:rsid w:val="009D15E4"/>
    <w:rsid w:val="009D1704"/>
    <w:rsid w:val="009D17C5"/>
    <w:rsid w:val="009D185C"/>
    <w:rsid w:val="009D1B11"/>
    <w:rsid w:val="009D1B4C"/>
    <w:rsid w:val="009D1D8A"/>
    <w:rsid w:val="009D27F9"/>
    <w:rsid w:val="009D2E38"/>
    <w:rsid w:val="009D2E88"/>
    <w:rsid w:val="009D2F05"/>
    <w:rsid w:val="009D30C2"/>
    <w:rsid w:val="009D31B5"/>
    <w:rsid w:val="009D3224"/>
    <w:rsid w:val="009D3235"/>
    <w:rsid w:val="009D3391"/>
    <w:rsid w:val="009D344C"/>
    <w:rsid w:val="009D3802"/>
    <w:rsid w:val="009D3806"/>
    <w:rsid w:val="009D393C"/>
    <w:rsid w:val="009D3969"/>
    <w:rsid w:val="009D39B9"/>
    <w:rsid w:val="009D4203"/>
    <w:rsid w:val="009D447F"/>
    <w:rsid w:val="009D4654"/>
    <w:rsid w:val="009D46E1"/>
    <w:rsid w:val="009D48DB"/>
    <w:rsid w:val="009D4DA8"/>
    <w:rsid w:val="009D5190"/>
    <w:rsid w:val="009D59CA"/>
    <w:rsid w:val="009D5A04"/>
    <w:rsid w:val="009D5B71"/>
    <w:rsid w:val="009D5D28"/>
    <w:rsid w:val="009D5F51"/>
    <w:rsid w:val="009D60D0"/>
    <w:rsid w:val="009D6556"/>
    <w:rsid w:val="009D694C"/>
    <w:rsid w:val="009D6ADC"/>
    <w:rsid w:val="009D6C39"/>
    <w:rsid w:val="009D6D4A"/>
    <w:rsid w:val="009D7134"/>
    <w:rsid w:val="009D79C9"/>
    <w:rsid w:val="009D7B46"/>
    <w:rsid w:val="009D7B56"/>
    <w:rsid w:val="009D7C18"/>
    <w:rsid w:val="009D7EFF"/>
    <w:rsid w:val="009E01F8"/>
    <w:rsid w:val="009E033C"/>
    <w:rsid w:val="009E04E8"/>
    <w:rsid w:val="009E05C8"/>
    <w:rsid w:val="009E0821"/>
    <w:rsid w:val="009E0A8B"/>
    <w:rsid w:val="009E0BAF"/>
    <w:rsid w:val="009E0EE9"/>
    <w:rsid w:val="009E0F8C"/>
    <w:rsid w:val="009E11E5"/>
    <w:rsid w:val="009E14E4"/>
    <w:rsid w:val="009E160C"/>
    <w:rsid w:val="009E1957"/>
    <w:rsid w:val="009E1982"/>
    <w:rsid w:val="009E1A50"/>
    <w:rsid w:val="009E1F6B"/>
    <w:rsid w:val="009E2290"/>
    <w:rsid w:val="009E245C"/>
    <w:rsid w:val="009E2D40"/>
    <w:rsid w:val="009E2FC5"/>
    <w:rsid w:val="009E32B5"/>
    <w:rsid w:val="009E3362"/>
    <w:rsid w:val="009E352A"/>
    <w:rsid w:val="009E352E"/>
    <w:rsid w:val="009E36A1"/>
    <w:rsid w:val="009E3817"/>
    <w:rsid w:val="009E385D"/>
    <w:rsid w:val="009E3ADB"/>
    <w:rsid w:val="009E3C1C"/>
    <w:rsid w:val="009E3F8F"/>
    <w:rsid w:val="009E3FE2"/>
    <w:rsid w:val="009E40D6"/>
    <w:rsid w:val="009E42AD"/>
    <w:rsid w:val="009E4320"/>
    <w:rsid w:val="009E4C6C"/>
    <w:rsid w:val="009E5484"/>
    <w:rsid w:val="009E5582"/>
    <w:rsid w:val="009E5692"/>
    <w:rsid w:val="009E5719"/>
    <w:rsid w:val="009E5929"/>
    <w:rsid w:val="009E5BF6"/>
    <w:rsid w:val="009E5CB3"/>
    <w:rsid w:val="009E5E7B"/>
    <w:rsid w:val="009E602B"/>
    <w:rsid w:val="009E62A9"/>
    <w:rsid w:val="009E647A"/>
    <w:rsid w:val="009E64AD"/>
    <w:rsid w:val="009E6AEA"/>
    <w:rsid w:val="009E6B09"/>
    <w:rsid w:val="009E6BFC"/>
    <w:rsid w:val="009E6C28"/>
    <w:rsid w:val="009E7109"/>
    <w:rsid w:val="009E745D"/>
    <w:rsid w:val="009E75D8"/>
    <w:rsid w:val="009E773B"/>
    <w:rsid w:val="009E78A6"/>
    <w:rsid w:val="009E792C"/>
    <w:rsid w:val="009E7C42"/>
    <w:rsid w:val="009E7C5D"/>
    <w:rsid w:val="009E7C89"/>
    <w:rsid w:val="009E7CE1"/>
    <w:rsid w:val="009E7D12"/>
    <w:rsid w:val="009E7F82"/>
    <w:rsid w:val="009F016C"/>
    <w:rsid w:val="009F0708"/>
    <w:rsid w:val="009F0978"/>
    <w:rsid w:val="009F0CB1"/>
    <w:rsid w:val="009F0CED"/>
    <w:rsid w:val="009F0D94"/>
    <w:rsid w:val="009F0EF3"/>
    <w:rsid w:val="009F0FF2"/>
    <w:rsid w:val="009F1455"/>
    <w:rsid w:val="009F1892"/>
    <w:rsid w:val="009F1B7C"/>
    <w:rsid w:val="009F1E3F"/>
    <w:rsid w:val="009F1E4A"/>
    <w:rsid w:val="009F1E8E"/>
    <w:rsid w:val="009F1EFC"/>
    <w:rsid w:val="009F1FCE"/>
    <w:rsid w:val="009F209C"/>
    <w:rsid w:val="009F2114"/>
    <w:rsid w:val="009F21BB"/>
    <w:rsid w:val="009F25D8"/>
    <w:rsid w:val="009F26C4"/>
    <w:rsid w:val="009F2B16"/>
    <w:rsid w:val="009F2C05"/>
    <w:rsid w:val="009F2CE4"/>
    <w:rsid w:val="009F3197"/>
    <w:rsid w:val="009F3744"/>
    <w:rsid w:val="009F3ABF"/>
    <w:rsid w:val="009F3C41"/>
    <w:rsid w:val="009F3F86"/>
    <w:rsid w:val="009F4353"/>
    <w:rsid w:val="009F437E"/>
    <w:rsid w:val="009F44D6"/>
    <w:rsid w:val="009F4598"/>
    <w:rsid w:val="009F46BD"/>
    <w:rsid w:val="009F473F"/>
    <w:rsid w:val="009F4800"/>
    <w:rsid w:val="009F4A28"/>
    <w:rsid w:val="009F4E7C"/>
    <w:rsid w:val="009F4E84"/>
    <w:rsid w:val="009F509B"/>
    <w:rsid w:val="009F5107"/>
    <w:rsid w:val="009F548F"/>
    <w:rsid w:val="009F5545"/>
    <w:rsid w:val="009F587E"/>
    <w:rsid w:val="009F5903"/>
    <w:rsid w:val="009F5A4E"/>
    <w:rsid w:val="009F5AEF"/>
    <w:rsid w:val="009F5B91"/>
    <w:rsid w:val="009F5D34"/>
    <w:rsid w:val="009F604E"/>
    <w:rsid w:val="009F6071"/>
    <w:rsid w:val="009F61D2"/>
    <w:rsid w:val="009F61E2"/>
    <w:rsid w:val="009F6272"/>
    <w:rsid w:val="009F62AF"/>
    <w:rsid w:val="009F6374"/>
    <w:rsid w:val="009F64FF"/>
    <w:rsid w:val="009F655D"/>
    <w:rsid w:val="009F6A84"/>
    <w:rsid w:val="009F7270"/>
    <w:rsid w:val="009F7771"/>
    <w:rsid w:val="009F7A98"/>
    <w:rsid w:val="00A00432"/>
    <w:rsid w:val="00A00635"/>
    <w:rsid w:val="00A00641"/>
    <w:rsid w:val="00A00712"/>
    <w:rsid w:val="00A0087D"/>
    <w:rsid w:val="00A00F81"/>
    <w:rsid w:val="00A00FCF"/>
    <w:rsid w:val="00A0116B"/>
    <w:rsid w:val="00A01227"/>
    <w:rsid w:val="00A012C3"/>
    <w:rsid w:val="00A014E8"/>
    <w:rsid w:val="00A014EA"/>
    <w:rsid w:val="00A0168E"/>
    <w:rsid w:val="00A018AA"/>
    <w:rsid w:val="00A01B32"/>
    <w:rsid w:val="00A01B5C"/>
    <w:rsid w:val="00A01BA4"/>
    <w:rsid w:val="00A01E40"/>
    <w:rsid w:val="00A01E7D"/>
    <w:rsid w:val="00A02073"/>
    <w:rsid w:val="00A0220F"/>
    <w:rsid w:val="00A02593"/>
    <w:rsid w:val="00A02771"/>
    <w:rsid w:val="00A02823"/>
    <w:rsid w:val="00A028D2"/>
    <w:rsid w:val="00A02C83"/>
    <w:rsid w:val="00A03101"/>
    <w:rsid w:val="00A03710"/>
    <w:rsid w:val="00A03AA8"/>
    <w:rsid w:val="00A03C00"/>
    <w:rsid w:val="00A0412A"/>
    <w:rsid w:val="00A04182"/>
    <w:rsid w:val="00A041ED"/>
    <w:rsid w:val="00A04288"/>
    <w:rsid w:val="00A0444D"/>
    <w:rsid w:val="00A0455D"/>
    <w:rsid w:val="00A048E3"/>
    <w:rsid w:val="00A04942"/>
    <w:rsid w:val="00A04F8F"/>
    <w:rsid w:val="00A0506B"/>
    <w:rsid w:val="00A050BE"/>
    <w:rsid w:val="00A05165"/>
    <w:rsid w:val="00A05260"/>
    <w:rsid w:val="00A052E7"/>
    <w:rsid w:val="00A058E0"/>
    <w:rsid w:val="00A05A5A"/>
    <w:rsid w:val="00A05AF1"/>
    <w:rsid w:val="00A05BF1"/>
    <w:rsid w:val="00A05C9E"/>
    <w:rsid w:val="00A05D70"/>
    <w:rsid w:val="00A05E2E"/>
    <w:rsid w:val="00A05E56"/>
    <w:rsid w:val="00A05F63"/>
    <w:rsid w:val="00A06667"/>
    <w:rsid w:val="00A069AD"/>
    <w:rsid w:val="00A06A1F"/>
    <w:rsid w:val="00A06B51"/>
    <w:rsid w:val="00A06B77"/>
    <w:rsid w:val="00A06BB4"/>
    <w:rsid w:val="00A06C38"/>
    <w:rsid w:val="00A07013"/>
    <w:rsid w:val="00A074B3"/>
    <w:rsid w:val="00A074DA"/>
    <w:rsid w:val="00A07698"/>
    <w:rsid w:val="00A077B0"/>
    <w:rsid w:val="00A07B5F"/>
    <w:rsid w:val="00A07E5B"/>
    <w:rsid w:val="00A07F87"/>
    <w:rsid w:val="00A1013C"/>
    <w:rsid w:val="00A106D9"/>
    <w:rsid w:val="00A1086A"/>
    <w:rsid w:val="00A10AE7"/>
    <w:rsid w:val="00A10F3D"/>
    <w:rsid w:val="00A111E7"/>
    <w:rsid w:val="00A11816"/>
    <w:rsid w:val="00A11BB8"/>
    <w:rsid w:val="00A11CB8"/>
    <w:rsid w:val="00A11F5E"/>
    <w:rsid w:val="00A12079"/>
    <w:rsid w:val="00A1218A"/>
    <w:rsid w:val="00A12230"/>
    <w:rsid w:val="00A122A2"/>
    <w:rsid w:val="00A12326"/>
    <w:rsid w:val="00A126ED"/>
    <w:rsid w:val="00A129D2"/>
    <w:rsid w:val="00A12C05"/>
    <w:rsid w:val="00A12CB8"/>
    <w:rsid w:val="00A12EF8"/>
    <w:rsid w:val="00A12F39"/>
    <w:rsid w:val="00A12F8A"/>
    <w:rsid w:val="00A12FB7"/>
    <w:rsid w:val="00A1327C"/>
    <w:rsid w:val="00A1328F"/>
    <w:rsid w:val="00A133B5"/>
    <w:rsid w:val="00A1366F"/>
    <w:rsid w:val="00A13AEE"/>
    <w:rsid w:val="00A13BAE"/>
    <w:rsid w:val="00A1407A"/>
    <w:rsid w:val="00A142A5"/>
    <w:rsid w:val="00A14344"/>
    <w:rsid w:val="00A1483B"/>
    <w:rsid w:val="00A14914"/>
    <w:rsid w:val="00A14B19"/>
    <w:rsid w:val="00A14B54"/>
    <w:rsid w:val="00A14BA1"/>
    <w:rsid w:val="00A14E79"/>
    <w:rsid w:val="00A150D8"/>
    <w:rsid w:val="00A1517B"/>
    <w:rsid w:val="00A1539A"/>
    <w:rsid w:val="00A15672"/>
    <w:rsid w:val="00A1589A"/>
    <w:rsid w:val="00A158B2"/>
    <w:rsid w:val="00A159B5"/>
    <w:rsid w:val="00A15ADD"/>
    <w:rsid w:val="00A15BCB"/>
    <w:rsid w:val="00A16062"/>
    <w:rsid w:val="00A16204"/>
    <w:rsid w:val="00A162B0"/>
    <w:rsid w:val="00A16305"/>
    <w:rsid w:val="00A16583"/>
    <w:rsid w:val="00A1658C"/>
    <w:rsid w:val="00A16673"/>
    <w:rsid w:val="00A166F6"/>
    <w:rsid w:val="00A168F6"/>
    <w:rsid w:val="00A1695C"/>
    <w:rsid w:val="00A16D2D"/>
    <w:rsid w:val="00A16EBE"/>
    <w:rsid w:val="00A1726B"/>
    <w:rsid w:val="00A172D0"/>
    <w:rsid w:val="00A174C3"/>
    <w:rsid w:val="00A174FD"/>
    <w:rsid w:val="00A176DF"/>
    <w:rsid w:val="00A178AA"/>
    <w:rsid w:val="00A179FA"/>
    <w:rsid w:val="00A17A22"/>
    <w:rsid w:val="00A17C5E"/>
    <w:rsid w:val="00A17CC5"/>
    <w:rsid w:val="00A17CCB"/>
    <w:rsid w:val="00A17DEA"/>
    <w:rsid w:val="00A2050D"/>
    <w:rsid w:val="00A2052A"/>
    <w:rsid w:val="00A208F2"/>
    <w:rsid w:val="00A20947"/>
    <w:rsid w:val="00A20A3B"/>
    <w:rsid w:val="00A20AFA"/>
    <w:rsid w:val="00A20BFE"/>
    <w:rsid w:val="00A20CA7"/>
    <w:rsid w:val="00A2122F"/>
    <w:rsid w:val="00A213FF"/>
    <w:rsid w:val="00A214B7"/>
    <w:rsid w:val="00A2161A"/>
    <w:rsid w:val="00A2171B"/>
    <w:rsid w:val="00A2198A"/>
    <w:rsid w:val="00A219EF"/>
    <w:rsid w:val="00A21BD4"/>
    <w:rsid w:val="00A21C84"/>
    <w:rsid w:val="00A222F6"/>
    <w:rsid w:val="00A2238C"/>
    <w:rsid w:val="00A224BE"/>
    <w:rsid w:val="00A22537"/>
    <w:rsid w:val="00A22616"/>
    <w:rsid w:val="00A22DCE"/>
    <w:rsid w:val="00A22FC0"/>
    <w:rsid w:val="00A23130"/>
    <w:rsid w:val="00A231D9"/>
    <w:rsid w:val="00A23348"/>
    <w:rsid w:val="00A23440"/>
    <w:rsid w:val="00A23DC9"/>
    <w:rsid w:val="00A2416A"/>
    <w:rsid w:val="00A24247"/>
    <w:rsid w:val="00A242E3"/>
    <w:rsid w:val="00A24801"/>
    <w:rsid w:val="00A248E1"/>
    <w:rsid w:val="00A24B37"/>
    <w:rsid w:val="00A24F12"/>
    <w:rsid w:val="00A25151"/>
    <w:rsid w:val="00A252C3"/>
    <w:rsid w:val="00A257EE"/>
    <w:rsid w:val="00A2581A"/>
    <w:rsid w:val="00A260D2"/>
    <w:rsid w:val="00A2617C"/>
    <w:rsid w:val="00A2628D"/>
    <w:rsid w:val="00A263FB"/>
    <w:rsid w:val="00A2641A"/>
    <w:rsid w:val="00A266F7"/>
    <w:rsid w:val="00A268B0"/>
    <w:rsid w:val="00A26999"/>
    <w:rsid w:val="00A26D1D"/>
    <w:rsid w:val="00A26D4D"/>
    <w:rsid w:val="00A26F5F"/>
    <w:rsid w:val="00A2714E"/>
    <w:rsid w:val="00A2715A"/>
    <w:rsid w:val="00A271BB"/>
    <w:rsid w:val="00A27367"/>
    <w:rsid w:val="00A2737D"/>
    <w:rsid w:val="00A275EE"/>
    <w:rsid w:val="00A27622"/>
    <w:rsid w:val="00A276CB"/>
    <w:rsid w:val="00A27753"/>
    <w:rsid w:val="00A27766"/>
    <w:rsid w:val="00A27C13"/>
    <w:rsid w:val="00A27C5D"/>
    <w:rsid w:val="00A27FE6"/>
    <w:rsid w:val="00A3008D"/>
    <w:rsid w:val="00A304E5"/>
    <w:rsid w:val="00A30631"/>
    <w:rsid w:val="00A3064B"/>
    <w:rsid w:val="00A306CD"/>
    <w:rsid w:val="00A30F56"/>
    <w:rsid w:val="00A312EC"/>
    <w:rsid w:val="00A3150D"/>
    <w:rsid w:val="00A3157E"/>
    <w:rsid w:val="00A315C0"/>
    <w:rsid w:val="00A319E1"/>
    <w:rsid w:val="00A31BC5"/>
    <w:rsid w:val="00A31C90"/>
    <w:rsid w:val="00A31CEB"/>
    <w:rsid w:val="00A31E66"/>
    <w:rsid w:val="00A31EDF"/>
    <w:rsid w:val="00A31F01"/>
    <w:rsid w:val="00A32140"/>
    <w:rsid w:val="00A3225A"/>
    <w:rsid w:val="00A32388"/>
    <w:rsid w:val="00A32530"/>
    <w:rsid w:val="00A325F3"/>
    <w:rsid w:val="00A32656"/>
    <w:rsid w:val="00A326C3"/>
    <w:rsid w:val="00A3281D"/>
    <w:rsid w:val="00A32B2E"/>
    <w:rsid w:val="00A32B4A"/>
    <w:rsid w:val="00A32BAF"/>
    <w:rsid w:val="00A32CA3"/>
    <w:rsid w:val="00A32E52"/>
    <w:rsid w:val="00A331C1"/>
    <w:rsid w:val="00A33586"/>
    <w:rsid w:val="00A33861"/>
    <w:rsid w:val="00A33B7E"/>
    <w:rsid w:val="00A33BA4"/>
    <w:rsid w:val="00A33BDC"/>
    <w:rsid w:val="00A33F6E"/>
    <w:rsid w:val="00A33FD5"/>
    <w:rsid w:val="00A340F0"/>
    <w:rsid w:val="00A34364"/>
    <w:rsid w:val="00A344EF"/>
    <w:rsid w:val="00A34598"/>
    <w:rsid w:val="00A34669"/>
    <w:rsid w:val="00A34727"/>
    <w:rsid w:val="00A3473A"/>
    <w:rsid w:val="00A34B29"/>
    <w:rsid w:val="00A34C37"/>
    <w:rsid w:val="00A35375"/>
    <w:rsid w:val="00A3543D"/>
    <w:rsid w:val="00A35719"/>
    <w:rsid w:val="00A3617A"/>
    <w:rsid w:val="00A36501"/>
    <w:rsid w:val="00A36771"/>
    <w:rsid w:val="00A368A0"/>
    <w:rsid w:val="00A36960"/>
    <w:rsid w:val="00A379A7"/>
    <w:rsid w:val="00A37BB3"/>
    <w:rsid w:val="00A37BF0"/>
    <w:rsid w:val="00A37D30"/>
    <w:rsid w:val="00A40022"/>
    <w:rsid w:val="00A40052"/>
    <w:rsid w:val="00A4019E"/>
    <w:rsid w:val="00A40467"/>
    <w:rsid w:val="00A4046A"/>
    <w:rsid w:val="00A40885"/>
    <w:rsid w:val="00A40C0A"/>
    <w:rsid w:val="00A40C29"/>
    <w:rsid w:val="00A40C72"/>
    <w:rsid w:val="00A40D64"/>
    <w:rsid w:val="00A40E1C"/>
    <w:rsid w:val="00A410D1"/>
    <w:rsid w:val="00A411A5"/>
    <w:rsid w:val="00A4128E"/>
    <w:rsid w:val="00A412BD"/>
    <w:rsid w:val="00A413F9"/>
    <w:rsid w:val="00A4149D"/>
    <w:rsid w:val="00A418E1"/>
    <w:rsid w:val="00A41A78"/>
    <w:rsid w:val="00A41EB6"/>
    <w:rsid w:val="00A41F0D"/>
    <w:rsid w:val="00A42271"/>
    <w:rsid w:val="00A422EB"/>
    <w:rsid w:val="00A422F4"/>
    <w:rsid w:val="00A42B4E"/>
    <w:rsid w:val="00A42C76"/>
    <w:rsid w:val="00A43056"/>
    <w:rsid w:val="00A4328E"/>
    <w:rsid w:val="00A432C4"/>
    <w:rsid w:val="00A43473"/>
    <w:rsid w:val="00A43565"/>
    <w:rsid w:val="00A43590"/>
    <w:rsid w:val="00A43689"/>
    <w:rsid w:val="00A43746"/>
    <w:rsid w:val="00A437C2"/>
    <w:rsid w:val="00A4391D"/>
    <w:rsid w:val="00A43920"/>
    <w:rsid w:val="00A43A81"/>
    <w:rsid w:val="00A43ADA"/>
    <w:rsid w:val="00A43B4D"/>
    <w:rsid w:val="00A43BFC"/>
    <w:rsid w:val="00A43CB8"/>
    <w:rsid w:val="00A43CCE"/>
    <w:rsid w:val="00A43CD9"/>
    <w:rsid w:val="00A43D75"/>
    <w:rsid w:val="00A43EF9"/>
    <w:rsid w:val="00A43F2A"/>
    <w:rsid w:val="00A440D7"/>
    <w:rsid w:val="00A44159"/>
    <w:rsid w:val="00A44197"/>
    <w:rsid w:val="00A4433B"/>
    <w:rsid w:val="00A4433E"/>
    <w:rsid w:val="00A44492"/>
    <w:rsid w:val="00A44508"/>
    <w:rsid w:val="00A44582"/>
    <w:rsid w:val="00A4466B"/>
    <w:rsid w:val="00A44AD8"/>
    <w:rsid w:val="00A44B22"/>
    <w:rsid w:val="00A44B7B"/>
    <w:rsid w:val="00A44BA8"/>
    <w:rsid w:val="00A44BB6"/>
    <w:rsid w:val="00A44C21"/>
    <w:rsid w:val="00A44F3D"/>
    <w:rsid w:val="00A45026"/>
    <w:rsid w:val="00A45131"/>
    <w:rsid w:val="00A4516B"/>
    <w:rsid w:val="00A451B9"/>
    <w:rsid w:val="00A4584A"/>
    <w:rsid w:val="00A46547"/>
    <w:rsid w:val="00A4663A"/>
    <w:rsid w:val="00A46687"/>
    <w:rsid w:val="00A466DA"/>
    <w:rsid w:val="00A466DC"/>
    <w:rsid w:val="00A469EA"/>
    <w:rsid w:val="00A46B19"/>
    <w:rsid w:val="00A46DD8"/>
    <w:rsid w:val="00A476CF"/>
    <w:rsid w:val="00A477B3"/>
    <w:rsid w:val="00A478C1"/>
    <w:rsid w:val="00A4790D"/>
    <w:rsid w:val="00A47AC7"/>
    <w:rsid w:val="00A47D19"/>
    <w:rsid w:val="00A47FBD"/>
    <w:rsid w:val="00A5012E"/>
    <w:rsid w:val="00A50382"/>
    <w:rsid w:val="00A5055B"/>
    <w:rsid w:val="00A50A94"/>
    <w:rsid w:val="00A50D45"/>
    <w:rsid w:val="00A50D5E"/>
    <w:rsid w:val="00A50DDD"/>
    <w:rsid w:val="00A50FDE"/>
    <w:rsid w:val="00A517F9"/>
    <w:rsid w:val="00A51892"/>
    <w:rsid w:val="00A518E6"/>
    <w:rsid w:val="00A5199C"/>
    <w:rsid w:val="00A5211D"/>
    <w:rsid w:val="00A52182"/>
    <w:rsid w:val="00A521F2"/>
    <w:rsid w:val="00A52264"/>
    <w:rsid w:val="00A52427"/>
    <w:rsid w:val="00A52539"/>
    <w:rsid w:val="00A52552"/>
    <w:rsid w:val="00A525DF"/>
    <w:rsid w:val="00A526B2"/>
    <w:rsid w:val="00A5279F"/>
    <w:rsid w:val="00A527AA"/>
    <w:rsid w:val="00A52B3A"/>
    <w:rsid w:val="00A52C16"/>
    <w:rsid w:val="00A530A6"/>
    <w:rsid w:val="00A53242"/>
    <w:rsid w:val="00A53374"/>
    <w:rsid w:val="00A533BE"/>
    <w:rsid w:val="00A537AB"/>
    <w:rsid w:val="00A537E8"/>
    <w:rsid w:val="00A53AF1"/>
    <w:rsid w:val="00A53ECB"/>
    <w:rsid w:val="00A545D7"/>
    <w:rsid w:val="00A548A6"/>
    <w:rsid w:val="00A54A62"/>
    <w:rsid w:val="00A54B9A"/>
    <w:rsid w:val="00A54C19"/>
    <w:rsid w:val="00A54C27"/>
    <w:rsid w:val="00A54D64"/>
    <w:rsid w:val="00A55113"/>
    <w:rsid w:val="00A55524"/>
    <w:rsid w:val="00A55597"/>
    <w:rsid w:val="00A5597A"/>
    <w:rsid w:val="00A559B1"/>
    <w:rsid w:val="00A55A21"/>
    <w:rsid w:val="00A55CF7"/>
    <w:rsid w:val="00A55D12"/>
    <w:rsid w:val="00A55D37"/>
    <w:rsid w:val="00A561FB"/>
    <w:rsid w:val="00A56210"/>
    <w:rsid w:val="00A566E5"/>
    <w:rsid w:val="00A568C9"/>
    <w:rsid w:val="00A56B18"/>
    <w:rsid w:val="00A56F56"/>
    <w:rsid w:val="00A57209"/>
    <w:rsid w:val="00A5747F"/>
    <w:rsid w:val="00A57609"/>
    <w:rsid w:val="00A57611"/>
    <w:rsid w:val="00A5778A"/>
    <w:rsid w:val="00A57C7D"/>
    <w:rsid w:val="00A60072"/>
    <w:rsid w:val="00A6053C"/>
    <w:rsid w:val="00A6065A"/>
    <w:rsid w:val="00A60678"/>
    <w:rsid w:val="00A607F4"/>
    <w:rsid w:val="00A608CB"/>
    <w:rsid w:val="00A60A3C"/>
    <w:rsid w:val="00A60CA7"/>
    <w:rsid w:val="00A60E0B"/>
    <w:rsid w:val="00A60EC0"/>
    <w:rsid w:val="00A60F99"/>
    <w:rsid w:val="00A61263"/>
    <w:rsid w:val="00A61285"/>
    <w:rsid w:val="00A61514"/>
    <w:rsid w:val="00A6151E"/>
    <w:rsid w:val="00A6158D"/>
    <w:rsid w:val="00A616A5"/>
    <w:rsid w:val="00A617A7"/>
    <w:rsid w:val="00A61858"/>
    <w:rsid w:val="00A61F03"/>
    <w:rsid w:val="00A620B1"/>
    <w:rsid w:val="00A620BE"/>
    <w:rsid w:val="00A623D4"/>
    <w:rsid w:val="00A62A6A"/>
    <w:rsid w:val="00A62E7B"/>
    <w:rsid w:val="00A62EB1"/>
    <w:rsid w:val="00A63171"/>
    <w:rsid w:val="00A633AC"/>
    <w:rsid w:val="00A634ED"/>
    <w:rsid w:val="00A63519"/>
    <w:rsid w:val="00A63736"/>
    <w:rsid w:val="00A637A8"/>
    <w:rsid w:val="00A6380D"/>
    <w:rsid w:val="00A63997"/>
    <w:rsid w:val="00A63B98"/>
    <w:rsid w:val="00A63BCA"/>
    <w:rsid w:val="00A63C7D"/>
    <w:rsid w:val="00A63CFD"/>
    <w:rsid w:val="00A63ECF"/>
    <w:rsid w:val="00A64088"/>
    <w:rsid w:val="00A641C6"/>
    <w:rsid w:val="00A64991"/>
    <w:rsid w:val="00A64A53"/>
    <w:rsid w:val="00A64BDD"/>
    <w:rsid w:val="00A64CA8"/>
    <w:rsid w:val="00A64F89"/>
    <w:rsid w:val="00A64FC9"/>
    <w:rsid w:val="00A65167"/>
    <w:rsid w:val="00A65234"/>
    <w:rsid w:val="00A6523D"/>
    <w:rsid w:val="00A65281"/>
    <w:rsid w:val="00A652CE"/>
    <w:rsid w:val="00A655CA"/>
    <w:rsid w:val="00A655E0"/>
    <w:rsid w:val="00A656AC"/>
    <w:rsid w:val="00A65884"/>
    <w:rsid w:val="00A65976"/>
    <w:rsid w:val="00A65DB7"/>
    <w:rsid w:val="00A6628A"/>
    <w:rsid w:val="00A668AE"/>
    <w:rsid w:val="00A66A4E"/>
    <w:rsid w:val="00A66D91"/>
    <w:rsid w:val="00A66DA3"/>
    <w:rsid w:val="00A67240"/>
    <w:rsid w:val="00A6726D"/>
    <w:rsid w:val="00A67320"/>
    <w:rsid w:val="00A675C0"/>
    <w:rsid w:val="00A676BE"/>
    <w:rsid w:val="00A7002D"/>
    <w:rsid w:val="00A702AA"/>
    <w:rsid w:val="00A70A3A"/>
    <w:rsid w:val="00A70B5F"/>
    <w:rsid w:val="00A70DF1"/>
    <w:rsid w:val="00A70E89"/>
    <w:rsid w:val="00A70FD2"/>
    <w:rsid w:val="00A71055"/>
    <w:rsid w:val="00A71193"/>
    <w:rsid w:val="00A713CA"/>
    <w:rsid w:val="00A71651"/>
    <w:rsid w:val="00A717AA"/>
    <w:rsid w:val="00A719F6"/>
    <w:rsid w:val="00A71D07"/>
    <w:rsid w:val="00A71D46"/>
    <w:rsid w:val="00A72132"/>
    <w:rsid w:val="00A72236"/>
    <w:rsid w:val="00A7234F"/>
    <w:rsid w:val="00A72590"/>
    <w:rsid w:val="00A725EB"/>
    <w:rsid w:val="00A728B0"/>
    <w:rsid w:val="00A728C9"/>
    <w:rsid w:val="00A72D7D"/>
    <w:rsid w:val="00A730E0"/>
    <w:rsid w:val="00A7329F"/>
    <w:rsid w:val="00A73439"/>
    <w:rsid w:val="00A73499"/>
    <w:rsid w:val="00A734FB"/>
    <w:rsid w:val="00A73511"/>
    <w:rsid w:val="00A7361D"/>
    <w:rsid w:val="00A737FF"/>
    <w:rsid w:val="00A73815"/>
    <w:rsid w:val="00A73A81"/>
    <w:rsid w:val="00A73C35"/>
    <w:rsid w:val="00A73E79"/>
    <w:rsid w:val="00A73F01"/>
    <w:rsid w:val="00A74017"/>
    <w:rsid w:val="00A740A5"/>
    <w:rsid w:val="00A743C1"/>
    <w:rsid w:val="00A743CE"/>
    <w:rsid w:val="00A7477D"/>
    <w:rsid w:val="00A748D9"/>
    <w:rsid w:val="00A74928"/>
    <w:rsid w:val="00A74950"/>
    <w:rsid w:val="00A74F88"/>
    <w:rsid w:val="00A7516C"/>
    <w:rsid w:val="00A75361"/>
    <w:rsid w:val="00A7537E"/>
    <w:rsid w:val="00A75467"/>
    <w:rsid w:val="00A7552C"/>
    <w:rsid w:val="00A7578D"/>
    <w:rsid w:val="00A7612D"/>
    <w:rsid w:val="00A761F9"/>
    <w:rsid w:val="00A76C0E"/>
    <w:rsid w:val="00A76CE5"/>
    <w:rsid w:val="00A76CF6"/>
    <w:rsid w:val="00A76D3D"/>
    <w:rsid w:val="00A76EB6"/>
    <w:rsid w:val="00A77170"/>
    <w:rsid w:val="00A7785D"/>
    <w:rsid w:val="00A77C30"/>
    <w:rsid w:val="00A77DB8"/>
    <w:rsid w:val="00A77FAB"/>
    <w:rsid w:val="00A800FD"/>
    <w:rsid w:val="00A801C0"/>
    <w:rsid w:val="00A802EC"/>
    <w:rsid w:val="00A803A0"/>
    <w:rsid w:val="00A80497"/>
    <w:rsid w:val="00A80795"/>
    <w:rsid w:val="00A80932"/>
    <w:rsid w:val="00A80CB8"/>
    <w:rsid w:val="00A81503"/>
    <w:rsid w:val="00A8163A"/>
    <w:rsid w:val="00A81668"/>
    <w:rsid w:val="00A81733"/>
    <w:rsid w:val="00A818EE"/>
    <w:rsid w:val="00A81941"/>
    <w:rsid w:val="00A82052"/>
    <w:rsid w:val="00A82313"/>
    <w:rsid w:val="00A82354"/>
    <w:rsid w:val="00A824B1"/>
    <w:rsid w:val="00A82583"/>
    <w:rsid w:val="00A82690"/>
    <w:rsid w:val="00A828D7"/>
    <w:rsid w:val="00A82A52"/>
    <w:rsid w:val="00A82BC7"/>
    <w:rsid w:val="00A82BE4"/>
    <w:rsid w:val="00A82D49"/>
    <w:rsid w:val="00A82D61"/>
    <w:rsid w:val="00A834AE"/>
    <w:rsid w:val="00A834BA"/>
    <w:rsid w:val="00A83507"/>
    <w:rsid w:val="00A83844"/>
    <w:rsid w:val="00A838EF"/>
    <w:rsid w:val="00A83944"/>
    <w:rsid w:val="00A839D1"/>
    <w:rsid w:val="00A83DB5"/>
    <w:rsid w:val="00A83E04"/>
    <w:rsid w:val="00A83E12"/>
    <w:rsid w:val="00A83FEF"/>
    <w:rsid w:val="00A841BE"/>
    <w:rsid w:val="00A84397"/>
    <w:rsid w:val="00A84569"/>
    <w:rsid w:val="00A8460D"/>
    <w:rsid w:val="00A8466C"/>
    <w:rsid w:val="00A8467D"/>
    <w:rsid w:val="00A8484B"/>
    <w:rsid w:val="00A849F5"/>
    <w:rsid w:val="00A84A43"/>
    <w:rsid w:val="00A84D8F"/>
    <w:rsid w:val="00A84F04"/>
    <w:rsid w:val="00A8517F"/>
    <w:rsid w:val="00A853A5"/>
    <w:rsid w:val="00A854CF"/>
    <w:rsid w:val="00A85775"/>
    <w:rsid w:val="00A85846"/>
    <w:rsid w:val="00A85AE0"/>
    <w:rsid w:val="00A85B38"/>
    <w:rsid w:val="00A85C5A"/>
    <w:rsid w:val="00A86082"/>
    <w:rsid w:val="00A86107"/>
    <w:rsid w:val="00A86304"/>
    <w:rsid w:val="00A86658"/>
    <w:rsid w:val="00A86851"/>
    <w:rsid w:val="00A86B4A"/>
    <w:rsid w:val="00A86B86"/>
    <w:rsid w:val="00A86F72"/>
    <w:rsid w:val="00A870CA"/>
    <w:rsid w:val="00A8722D"/>
    <w:rsid w:val="00A87299"/>
    <w:rsid w:val="00A8750A"/>
    <w:rsid w:val="00A87BD6"/>
    <w:rsid w:val="00A87D13"/>
    <w:rsid w:val="00A87DAA"/>
    <w:rsid w:val="00A904DC"/>
    <w:rsid w:val="00A9064D"/>
    <w:rsid w:val="00A90851"/>
    <w:rsid w:val="00A90929"/>
    <w:rsid w:val="00A90CC1"/>
    <w:rsid w:val="00A90E1A"/>
    <w:rsid w:val="00A911D9"/>
    <w:rsid w:val="00A91219"/>
    <w:rsid w:val="00A91448"/>
    <w:rsid w:val="00A9171D"/>
    <w:rsid w:val="00A9173E"/>
    <w:rsid w:val="00A91850"/>
    <w:rsid w:val="00A9185F"/>
    <w:rsid w:val="00A91BE7"/>
    <w:rsid w:val="00A91C33"/>
    <w:rsid w:val="00A92441"/>
    <w:rsid w:val="00A924C3"/>
    <w:rsid w:val="00A925AB"/>
    <w:rsid w:val="00A926AA"/>
    <w:rsid w:val="00A92D8C"/>
    <w:rsid w:val="00A930FC"/>
    <w:rsid w:val="00A9316F"/>
    <w:rsid w:val="00A9341E"/>
    <w:rsid w:val="00A9399D"/>
    <w:rsid w:val="00A939D1"/>
    <w:rsid w:val="00A93BED"/>
    <w:rsid w:val="00A93D3C"/>
    <w:rsid w:val="00A93D7C"/>
    <w:rsid w:val="00A9408A"/>
    <w:rsid w:val="00A9437B"/>
    <w:rsid w:val="00A94575"/>
    <w:rsid w:val="00A947BC"/>
    <w:rsid w:val="00A94B42"/>
    <w:rsid w:val="00A94E9B"/>
    <w:rsid w:val="00A95176"/>
    <w:rsid w:val="00A9523B"/>
    <w:rsid w:val="00A952B9"/>
    <w:rsid w:val="00A956ED"/>
    <w:rsid w:val="00A9574A"/>
    <w:rsid w:val="00A9576D"/>
    <w:rsid w:val="00A9580B"/>
    <w:rsid w:val="00A95D38"/>
    <w:rsid w:val="00A95FE4"/>
    <w:rsid w:val="00A963D4"/>
    <w:rsid w:val="00A965B3"/>
    <w:rsid w:val="00A96758"/>
    <w:rsid w:val="00A9696D"/>
    <w:rsid w:val="00A969F3"/>
    <w:rsid w:val="00A96B1D"/>
    <w:rsid w:val="00A96C85"/>
    <w:rsid w:val="00A96E4C"/>
    <w:rsid w:val="00A971F6"/>
    <w:rsid w:val="00A972C9"/>
    <w:rsid w:val="00A974C4"/>
    <w:rsid w:val="00A974E8"/>
    <w:rsid w:val="00A97983"/>
    <w:rsid w:val="00A97C83"/>
    <w:rsid w:val="00A97DD3"/>
    <w:rsid w:val="00A97DF4"/>
    <w:rsid w:val="00A97E4D"/>
    <w:rsid w:val="00A97E7B"/>
    <w:rsid w:val="00A97F2C"/>
    <w:rsid w:val="00AA00D3"/>
    <w:rsid w:val="00AA01C7"/>
    <w:rsid w:val="00AA0273"/>
    <w:rsid w:val="00AA03BD"/>
    <w:rsid w:val="00AA05BA"/>
    <w:rsid w:val="00AA0682"/>
    <w:rsid w:val="00AA068C"/>
    <w:rsid w:val="00AA06C3"/>
    <w:rsid w:val="00AA0883"/>
    <w:rsid w:val="00AA0C71"/>
    <w:rsid w:val="00AA0F77"/>
    <w:rsid w:val="00AA1219"/>
    <w:rsid w:val="00AA1388"/>
    <w:rsid w:val="00AA189F"/>
    <w:rsid w:val="00AA1930"/>
    <w:rsid w:val="00AA193F"/>
    <w:rsid w:val="00AA1C3F"/>
    <w:rsid w:val="00AA1D57"/>
    <w:rsid w:val="00AA1DC1"/>
    <w:rsid w:val="00AA1E4C"/>
    <w:rsid w:val="00AA2025"/>
    <w:rsid w:val="00AA20F4"/>
    <w:rsid w:val="00AA21E0"/>
    <w:rsid w:val="00AA2369"/>
    <w:rsid w:val="00AA2457"/>
    <w:rsid w:val="00AA2478"/>
    <w:rsid w:val="00AA24EB"/>
    <w:rsid w:val="00AA2954"/>
    <w:rsid w:val="00AA2975"/>
    <w:rsid w:val="00AA2C16"/>
    <w:rsid w:val="00AA2CBB"/>
    <w:rsid w:val="00AA2D2A"/>
    <w:rsid w:val="00AA31CE"/>
    <w:rsid w:val="00AA31EC"/>
    <w:rsid w:val="00AA33ED"/>
    <w:rsid w:val="00AA3680"/>
    <w:rsid w:val="00AA370E"/>
    <w:rsid w:val="00AA398D"/>
    <w:rsid w:val="00AA3A2C"/>
    <w:rsid w:val="00AA3BFC"/>
    <w:rsid w:val="00AA3DBB"/>
    <w:rsid w:val="00AA3F76"/>
    <w:rsid w:val="00AA4056"/>
    <w:rsid w:val="00AA441C"/>
    <w:rsid w:val="00AA4B0E"/>
    <w:rsid w:val="00AA4B79"/>
    <w:rsid w:val="00AA4D48"/>
    <w:rsid w:val="00AA4F4A"/>
    <w:rsid w:val="00AA4F8C"/>
    <w:rsid w:val="00AA51BD"/>
    <w:rsid w:val="00AA5277"/>
    <w:rsid w:val="00AA55A2"/>
    <w:rsid w:val="00AA583F"/>
    <w:rsid w:val="00AA5947"/>
    <w:rsid w:val="00AA5981"/>
    <w:rsid w:val="00AA5A6C"/>
    <w:rsid w:val="00AA5A82"/>
    <w:rsid w:val="00AA5CCE"/>
    <w:rsid w:val="00AA5CE4"/>
    <w:rsid w:val="00AA5D15"/>
    <w:rsid w:val="00AA5E6D"/>
    <w:rsid w:val="00AA5E82"/>
    <w:rsid w:val="00AA6237"/>
    <w:rsid w:val="00AA62A7"/>
    <w:rsid w:val="00AA633A"/>
    <w:rsid w:val="00AA65CC"/>
    <w:rsid w:val="00AA6796"/>
    <w:rsid w:val="00AA6905"/>
    <w:rsid w:val="00AA6B30"/>
    <w:rsid w:val="00AA6BD1"/>
    <w:rsid w:val="00AA6C60"/>
    <w:rsid w:val="00AA6D47"/>
    <w:rsid w:val="00AA717F"/>
    <w:rsid w:val="00AA77C7"/>
    <w:rsid w:val="00AA79A5"/>
    <w:rsid w:val="00AA79D9"/>
    <w:rsid w:val="00AA7B45"/>
    <w:rsid w:val="00AA7E00"/>
    <w:rsid w:val="00AB059D"/>
    <w:rsid w:val="00AB05CD"/>
    <w:rsid w:val="00AB06A1"/>
    <w:rsid w:val="00AB0887"/>
    <w:rsid w:val="00AB0A65"/>
    <w:rsid w:val="00AB0AE5"/>
    <w:rsid w:val="00AB0AF2"/>
    <w:rsid w:val="00AB0CB2"/>
    <w:rsid w:val="00AB0ED3"/>
    <w:rsid w:val="00AB0F43"/>
    <w:rsid w:val="00AB125C"/>
    <w:rsid w:val="00AB1272"/>
    <w:rsid w:val="00AB1294"/>
    <w:rsid w:val="00AB1993"/>
    <w:rsid w:val="00AB1B3C"/>
    <w:rsid w:val="00AB2130"/>
    <w:rsid w:val="00AB23CB"/>
    <w:rsid w:val="00AB2921"/>
    <w:rsid w:val="00AB2DA2"/>
    <w:rsid w:val="00AB30EE"/>
    <w:rsid w:val="00AB314F"/>
    <w:rsid w:val="00AB320A"/>
    <w:rsid w:val="00AB3387"/>
    <w:rsid w:val="00AB33EA"/>
    <w:rsid w:val="00AB344E"/>
    <w:rsid w:val="00AB3512"/>
    <w:rsid w:val="00AB3825"/>
    <w:rsid w:val="00AB388F"/>
    <w:rsid w:val="00AB3B0B"/>
    <w:rsid w:val="00AB3D98"/>
    <w:rsid w:val="00AB42CA"/>
    <w:rsid w:val="00AB43CD"/>
    <w:rsid w:val="00AB43CF"/>
    <w:rsid w:val="00AB4541"/>
    <w:rsid w:val="00AB4648"/>
    <w:rsid w:val="00AB484E"/>
    <w:rsid w:val="00AB49A2"/>
    <w:rsid w:val="00AB4AD9"/>
    <w:rsid w:val="00AB4EDA"/>
    <w:rsid w:val="00AB4FDD"/>
    <w:rsid w:val="00AB4FE0"/>
    <w:rsid w:val="00AB51E0"/>
    <w:rsid w:val="00AB5250"/>
    <w:rsid w:val="00AB532C"/>
    <w:rsid w:val="00AB53B9"/>
    <w:rsid w:val="00AB55B4"/>
    <w:rsid w:val="00AB592E"/>
    <w:rsid w:val="00AB5986"/>
    <w:rsid w:val="00AB5AB1"/>
    <w:rsid w:val="00AB5C18"/>
    <w:rsid w:val="00AB607D"/>
    <w:rsid w:val="00AB6434"/>
    <w:rsid w:val="00AB6514"/>
    <w:rsid w:val="00AB666C"/>
    <w:rsid w:val="00AB6713"/>
    <w:rsid w:val="00AB68D5"/>
    <w:rsid w:val="00AB6BED"/>
    <w:rsid w:val="00AB6DB4"/>
    <w:rsid w:val="00AB6FDA"/>
    <w:rsid w:val="00AB7118"/>
    <w:rsid w:val="00AB7410"/>
    <w:rsid w:val="00AB7535"/>
    <w:rsid w:val="00AB770A"/>
    <w:rsid w:val="00AB78BF"/>
    <w:rsid w:val="00AB7BA3"/>
    <w:rsid w:val="00AB7C17"/>
    <w:rsid w:val="00AB7DBF"/>
    <w:rsid w:val="00AC037F"/>
    <w:rsid w:val="00AC0567"/>
    <w:rsid w:val="00AC06F2"/>
    <w:rsid w:val="00AC07C7"/>
    <w:rsid w:val="00AC07F3"/>
    <w:rsid w:val="00AC095C"/>
    <w:rsid w:val="00AC0AAC"/>
    <w:rsid w:val="00AC0B43"/>
    <w:rsid w:val="00AC0D43"/>
    <w:rsid w:val="00AC0FE4"/>
    <w:rsid w:val="00AC106A"/>
    <w:rsid w:val="00AC126D"/>
    <w:rsid w:val="00AC128F"/>
    <w:rsid w:val="00AC144E"/>
    <w:rsid w:val="00AC1A9F"/>
    <w:rsid w:val="00AC1ADD"/>
    <w:rsid w:val="00AC1B1C"/>
    <w:rsid w:val="00AC1E76"/>
    <w:rsid w:val="00AC2076"/>
    <w:rsid w:val="00AC270B"/>
    <w:rsid w:val="00AC2736"/>
    <w:rsid w:val="00AC2E95"/>
    <w:rsid w:val="00AC3206"/>
    <w:rsid w:val="00AC32E7"/>
    <w:rsid w:val="00AC332E"/>
    <w:rsid w:val="00AC38A8"/>
    <w:rsid w:val="00AC3B45"/>
    <w:rsid w:val="00AC3D53"/>
    <w:rsid w:val="00AC3E6C"/>
    <w:rsid w:val="00AC4126"/>
    <w:rsid w:val="00AC4169"/>
    <w:rsid w:val="00AC42BC"/>
    <w:rsid w:val="00AC4316"/>
    <w:rsid w:val="00AC4373"/>
    <w:rsid w:val="00AC4411"/>
    <w:rsid w:val="00AC4505"/>
    <w:rsid w:val="00AC458B"/>
    <w:rsid w:val="00AC45A9"/>
    <w:rsid w:val="00AC46C7"/>
    <w:rsid w:val="00AC49DF"/>
    <w:rsid w:val="00AC4ACE"/>
    <w:rsid w:val="00AC4C34"/>
    <w:rsid w:val="00AC4C80"/>
    <w:rsid w:val="00AC4D47"/>
    <w:rsid w:val="00AC50A0"/>
    <w:rsid w:val="00AC517E"/>
    <w:rsid w:val="00AC51BC"/>
    <w:rsid w:val="00AC52CF"/>
    <w:rsid w:val="00AC5685"/>
    <w:rsid w:val="00AC5687"/>
    <w:rsid w:val="00AC5832"/>
    <w:rsid w:val="00AC5971"/>
    <w:rsid w:val="00AC5BC3"/>
    <w:rsid w:val="00AC5CE5"/>
    <w:rsid w:val="00AC6213"/>
    <w:rsid w:val="00AC62E9"/>
    <w:rsid w:val="00AC6312"/>
    <w:rsid w:val="00AC64F1"/>
    <w:rsid w:val="00AC65CE"/>
    <w:rsid w:val="00AC65FF"/>
    <w:rsid w:val="00AC6788"/>
    <w:rsid w:val="00AC697E"/>
    <w:rsid w:val="00AC69E2"/>
    <w:rsid w:val="00AC6AF6"/>
    <w:rsid w:val="00AC6B7A"/>
    <w:rsid w:val="00AC7135"/>
    <w:rsid w:val="00AC71C4"/>
    <w:rsid w:val="00AC7353"/>
    <w:rsid w:val="00AC7579"/>
    <w:rsid w:val="00AC7629"/>
    <w:rsid w:val="00AC7689"/>
    <w:rsid w:val="00AC7766"/>
    <w:rsid w:val="00AC79F1"/>
    <w:rsid w:val="00AC7B51"/>
    <w:rsid w:val="00AC7D4E"/>
    <w:rsid w:val="00AC7F0B"/>
    <w:rsid w:val="00AD00F8"/>
    <w:rsid w:val="00AD03A1"/>
    <w:rsid w:val="00AD0806"/>
    <w:rsid w:val="00AD0872"/>
    <w:rsid w:val="00AD0A73"/>
    <w:rsid w:val="00AD0E45"/>
    <w:rsid w:val="00AD1484"/>
    <w:rsid w:val="00AD14B6"/>
    <w:rsid w:val="00AD17D4"/>
    <w:rsid w:val="00AD1AD7"/>
    <w:rsid w:val="00AD1D6E"/>
    <w:rsid w:val="00AD20C9"/>
    <w:rsid w:val="00AD216C"/>
    <w:rsid w:val="00AD21D5"/>
    <w:rsid w:val="00AD21F7"/>
    <w:rsid w:val="00AD2238"/>
    <w:rsid w:val="00AD225B"/>
    <w:rsid w:val="00AD2482"/>
    <w:rsid w:val="00AD2575"/>
    <w:rsid w:val="00AD2748"/>
    <w:rsid w:val="00AD291B"/>
    <w:rsid w:val="00AD2AB6"/>
    <w:rsid w:val="00AD2B2E"/>
    <w:rsid w:val="00AD3375"/>
    <w:rsid w:val="00AD34C4"/>
    <w:rsid w:val="00AD384D"/>
    <w:rsid w:val="00AD3A48"/>
    <w:rsid w:val="00AD40C4"/>
    <w:rsid w:val="00AD424E"/>
    <w:rsid w:val="00AD4424"/>
    <w:rsid w:val="00AD4589"/>
    <w:rsid w:val="00AD4691"/>
    <w:rsid w:val="00AD484D"/>
    <w:rsid w:val="00AD49C4"/>
    <w:rsid w:val="00AD4B66"/>
    <w:rsid w:val="00AD4F48"/>
    <w:rsid w:val="00AD504C"/>
    <w:rsid w:val="00AD50FB"/>
    <w:rsid w:val="00AD52A3"/>
    <w:rsid w:val="00AD538D"/>
    <w:rsid w:val="00AD53D6"/>
    <w:rsid w:val="00AD5428"/>
    <w:rsid w:val="00AD55E2"/>
    <w:rsid w:val="00AD5704"/>
    <w:rsid w:val="00AD5790"/>
    <w:rsid w:val="00AD57B1"/>
    <w:rsid w:val="00AD5C75"/>
    <w:rsid w:val="00AD5C79"/>
    <w:rsid w:val="00AD646D"/>
    <w:rsid w:val="00AD65A4"/>
    <w:rsid w:val="00AD68A2"/>
    <w:rsid w:val="00AD6943"/>
    <w:rsid w:val="00AD6A00"/>
    <w:rsid w:val="00AD6B68"/>
    <w:rsid w:val="00AD6E34"/>
    <w:rsid w:val="00AD6EBC"/>
    <w:rsid w:val="00AD711B"/>
    <w:rsid w:val="00AD7168"/>
    <w:rsid w:val="00AD7194"/>
    <w:rsid w:val="00AD74D4"/>
    <w:rsid w:val="00AD78E3"/>
    <w:rsid w:val="00AD78F3"/>
    <w:rsid w:val="00AD7942"/>
    <w:rsid w:val="00AD7BAD"/>
    <w:rsid w:val="00AD7D73"/>
    <w:rsid w:val="00AE05BE"/>
    <w:rsid w:val="00AE0699"/>
    <w:rsid w:val="00AE09E9"/>
    <w:rsid w:val="00AE0EB9"/>
    <w:rsid w:val="00AE0FB3"/>
    <w:rsid w:val="00AE12A9"/>
    <w:rsid w:val="00AE1491"/>
    <w:rsid w:val="00AE1526"/>
    <w:rsid w:val="00AE1B0D"/>
    <w:rsid w:val="00AE1B6A"/>
    <w:rsid w:val="00AE1C49"/>
    <w:rsid w:val="00AE1DDC"/>
    <w:rsid w:val="00AE2112"/>
    <w:rsid w:val="00AE229C"/>
    <w:rsid w:val="00AE255F"/>
    <w:rsid w:val="00AE284F"/>
    <w:rsid w:val="00AE2C3E"/>
    <w:rsid w:val="00AE2DB5"/>
    <w:rsid w:val="00AE3096"/>
    <w:rsid w:val="00AE3317"/>
    <w:rsid w:val="00AE367F"/>
    <w:rsid w:val="00AE3751"/>
    <w:rsid w:val="00AE3AB6"/>
    <w:rsid w:val="00AE3CB5"/>
    <w:rsid w:val="00AE3DF1"/>
    <w:rsid w:val="00AE4070"/>
    <w:rsid w:val="00AE40F9"/>
    <w:rsid w:val="00AE425F"/>
    <w:rsid w:val="00AE43C7"/>
    <w:rsid w:val="00AE4433"/>
    <w:rsid w:val="00AE4499"/>
    <w:rsid w:val="00AE46C9"/>
    <w:rsid w:val="00AE4A0B"/>
    <w:rsid w:val="00AE4A43"/>
    <w:rsid w:val="00AE4BDE"/>
    <w:rsid w:val="00AE4BEB"/>
    <w:rsid w:val="00AE4DF5"/>
    <w:rsid w:val="00AE4F3D"/>
    <w:rsid w:val="00AE5174"/>
    <w:rsid w:val="00AE5C4B"/>
    <w:rsid w:val="00AE5CE5"/>
    <w:rsid w:val="00AE5D14"/>
    <w:rsid w:val="00AE5D72"/>
    <w:rsid w:val="00AE611F"/>
    <w:rsid w:val="00AE64B9"/>
    <w:rsid w:val="00AE670C"/>
    <w:rsid w:val="00AE6711"/>
    <w:rsid w:val="00AE68DB"/>
    <w:rsid w:val="00AE6908"/>
    <w:rsid w:val="00AE6BEF"/>
    <w:rsid w:val="00AE6FDD"/>
    <w:rsid w:val="00AE70A4"/>
    <w:rsid w:val="00AE72B9"/>
    <w:rsid w:val="00AE75AD"/>
    <w:rsid w:val="00AE75BF"/>
    <w:rsid w:val="00AE76D7"/>
    <w:rsid w:val="00AE77B6"/>
    <w:rsid w:val="00AE7E0F"/>
    <w:rsid w:val="00AE7E49"/>
    <w:rsid w:val="00AF00AB"/>
    <w:rsid w:val="00AF01BC"/>
    <w:rsid w:val="00AF044B"/>
    <w:rsid w:val="00AF0460"/>
    <w:rsid w:val="00AF0506"/>
    <w:rsid w:val="00AF050D"/>
    <w:rsid w:val="00AF0587"/>
    <w:rsid w:val="00AF05CF"/>
    <w:rsid w:val="00AF07E8"/>
    <w:rsid w:val="00AF0C3A"/>
    <w:rsid w:val="00AF132A"/>
    <w:rsid w:val="00AF18DB"/>
    <w:rsid w:val="00AF195E"/>
    <w:rsid w:val="00AF2295"/>
    <w:rsid w:val="00AF24E8"/>
    <w:rsid w:val="00AF25BB"/>
    <w:rsid w:val="00AF283B"/>
    <w:rsid w:val="00AF2E21"/>
    <w:rsid w:val="00AF2EB8"/>
    <w:rsid w:val="00AF3076"/>
    <w:rsid w:val="00AF32C6"/>
    <w:rsid w:val="00AF3389"/>
    <w:rsid w:val="00AF348C"/>
    <w:rsid w:val="00AF373F"/>
    <w:rsid w:val="00AF374A"/>
    <w:rsid w:val="00AF37A9"/>
    <w:rsid w:val="00AF3844"/>
    <w:rsid w:val="00AF38B0"/>
    <w:rsid w:val="00AF3DA7"/>
    <w:rsid w:val="00AF41C8"/>
    <w:rsid w:val="00AF4741"/>
    <w:rsid w:val="00AF4C39"/>
    <w:rsid w:val="00AF4ED6"/>
    <w:rsid w:val="00AF50B8"/>
    <w:rsid w:val="00AF50F1"/>
    <w:rsid w:val="00AF51C5"/>
    <w:rsid w:val="00AF5302"/>
    <w:rsid w:val="00AF53D6"/>
    <w:rsid w:val="00AF5520"/>
    <w:rsid w:val="00AF55DF"/>
    <w:rsid w:val="00AF5BF9"/>
    <w:rsid w:val="00AF5C87"/>
    <w:rsid w:val="00AF5D2D"/>
    <w:rsid w:val="00AF5F93"/>
    <w:rsid w:val="00AF6368"/>
    <w:rsid w:val="00AF68F4"/>
    <w:rsid w:val="00AF69D6"/>
    <w:rsid w:val="00AF6A50"/>
    <w:rsid w:val="00AF6BE0"/>
    <w:rsid w:val="00AF6FB7"/>
    <w:rsid w:val="00AF6FD8"/>
    <w:rsid w:val="00AF75A6"/>
    <w:rsid w:val="00AF785F"/>
    <w:rsid w:val="00AF79E5"/>
    <w:rsid w:val="00AF7AEF"/>
    <w:rsid w:val="00AF7C94"/>
    <w:rsid w:val="00AF7CFB"/>
    <w:rsid w:val="00AF7F88"/>
    <w:rsid w:val="00AF7F98"/>
    <w:rsid w:val="00B00244"/>
    <w:rsid w:val="00B003B8"/>
    <w:rsid w:val="00B00484"/>
    <w:rsid w:val="00B0056D"/>
    <w:rsid w:val="00B00618"/>
    <w:rsid w:val="00B007A8"/>
    <w:rsid w:val="00B0098B"/>
    <w:rsid w:val="00B00AE6"/>
    <w:rsid w:val="00B00BF9"/>
    <w:rsid w:val="00B00F67"/>
    <w:rsid w:val="00B012C9"/>
    <w:rsid w:val="00B0152C"/>
    <w:rsid w:val="00B016C3"/>
    <w:rsid w:val="00B016CB"/>
    <w:rsid w:val="00B01D2A"/>
    <w:rsid w:val="00B01E73"/>
    <w:rsid w:val="00B02207"/>
    <w:rsid w:val="00B022A8"/>
    <w:rsid w:val="00B02630"/>
    <w:rsid w:val="00B0275F"/>
    <w:rsid w:val="00B028CF"/>
    <w:rsid w:val="00B02F6F"/>
    <w:rsid w:val="00B02F83"/>
    <w:rsid w:val="00B031EA"/>
    <w:rsid w:val="00B03328"/>
    <w:rsid w:val="00B037C2"/>
    <w:rsid w:val="00B03B9B"/>
    <w:rsid w:val="00B03DEE"/>
    <w:rsid w:val="00B04111"/>
    <w:rsid w:val="00B043B9"/>
    <w:rsid w:val="00B0441A"/>
    <w:rsid w:val="00B04595"/>
    <w:rsid w:val="00B048EC"/>
    <w:rsid w:val="00B048F9"/>
    <w:rsid w:val="00B04CD1"/>
    <w:rsid w:val="00B04D75"/>
    <w:rsid w:val="00B04E82"/>
    <w:rsid w:val="00B04EAC"/>
    <w:rsid w:val="00B04EB5"/>
    <w:rsid w:val="00B04F18"/>
    <w:rsid w:val="00B0521D"/>
    <w:rsid w:val="00B05507"/>
    <w:rsid w:val="00B05889"/>
    <w:rsid w:val="00B059CD"/>
    <w:rsid w:val="00B05B28"/>
    <w:rsid w:val="00B05FCF"/>
    <w:rsid w:val="00B062BF"/>
    <w:rsid w:val="00B06403"/>
    <w:rsid w:val="00B06678"/>
    <w:rsid w:val="00B06EBB"/>
    <w:rsid w:val="00B074A5"/>
    <w:rsid w:val="00B074E3"/>
    <w:rsid w:val="00B07637"/>
    <w:rsid w:val="00B079FE"/>
    <w:rsid w:val="00B07A0D"/>
    <w:rsid w:val="00B07AA9"/>
    <w:rsid w:val="00B07ACD"/>
    <w:rsid w:val="00B07B7D"/>
    <w:rsid w:val="00B07C48"/>
    <w:rsid w:val="00B07D6C"/>
    <w:rsid w:val="00B07F59"/>
    <w:rsid w:val="00B1021A"/>
    <w:rsid w:val="00B1031C"/>
    <w:rsid w:val="00B10330"/>
    <w:rsid w:val="00B10392"/>
    <w:rsid w:val="00B1050D"/>
    <w:rsid w:val="00B1051A"/>
    <w:rsid w:val="00B105AB"/>
    <w:rsid w:val="00B1063F"/>
    <w:rsid w:val="00B107C1"/>
    <w:rsid w:val="00B1085E"/>
    <w:rsid w:val="00B10BFF"/>
    <w:rsid w:val="00B10FCD"/>
    <w:rsid w:val="00B11012"/>
    <w:rsid w:val="00B111C1"/>
    <w:rsid w:val="00B112C0"/>
    <w:rsid w:val="00B113F7"/>
    <w:rsid w:val="00B11487"/>
    <w:rsid w:val="00B116BD"/>
    <w:rsid w:val="00B1194D"/>
    <w:rsid w:val="00B11B9A"/>
    <w:rsid w:val="00B11BAD"/>
    <w:rsid w:val="00B11D46"/>
    <w:rsid w:val="00B11DE5"/>
    <w:rsid w:val="00B11E0D"/>
    <w:rsid w:val="00B11FFB"/>
    <w:rsid w:val="00B12176"/>
    <w:rsid w:val="00B125A2"/>
    <w:rsid w:val="00B1270A"/>
    <w:rsid w:val="00B12785"/>
    <w:rsid w:val="00B12799"/>
    <w:rsid w:val="00B12893"/>
    <w:rsid w:val="00B129DD"/>
    <w:rsid w:val="00B12B7A"/>
    <w:rsid w:val="00B12FC0"/>
    <w:rsid w:val="00B12FD9"/>
    <w:rsid w:val="00B13070"/>
    <w:rsid w:val="00B130FE"/>
    <w:rsid w:val="00B1328A"/>
    <w:rsid w:val="00B1363B"/>
    <w:rsid w:val="00B13835"/>
    <w:rsid w:val="00B139B5"/>
    <w:rsid w:val="00B13A0F"/>
    <w:rsid w:val="00B13BCE"/>
    <w:rsid w:val="00B13E99"/>
    <w:rsid w:val="00B13F49"/>
    <w:rsid w:val="00B13FAF"/>
    <w:rsid w:val="00B141A6"/>
    <w:rsid w:val="00B14220"/>
    <w:rsid w:val="00B14275"/>
    <w:rsid w:val="00B14320"/>
    <w:rsid w:val="00B147B3"/>
    <w:rsid w:val="00B148B0"/>
    <w:rsid w:val="00B149DD"/>
    <w:rsid w:val="00B14B75"/>
    <w:rsid w:val="00B14C14"/>
    <w:rsid w:val="00B14C2F"/>
    <w:rsid w:val="00B14E43"/>
    <w:rsid w:val="00B14E76"/>
    <w:rsid w:val="00B14F3E"/>
    <w:rsid w:val="00B1505C"/>
    <w:rsid w:val="00B1507A"/>
    <w:rsid w:val="00B1572D"/>
    <w:rsid w:val="00B1573D"/>
    <w:rsid w:val="00B158EA"/>
    <w:rsid w:val="00B1592A"/>
    <w:rsid w:val="00B15A67"/>
    <w:rsid w:val="00B15AB9"/>
    <w:rsid w:val="00B15F66"/>
    <w:rsid w:val="00B16010"/>
    <w:rsid w:val="00B163BD"/>
    <w:rsid w:val="00B1649C"/>
    <w:rsid w:val="00B16730"/>
    <w:rsid w:val="00B167C9"/>
    <w:rsid w:val="00B16B15"/>
    <w:rsid w:val="00B16C92"/>
    <w:rsid w:val="00B16EAF"/>
    <w:rsid w:val="00B16FAE"/>
    <w:rsid w:val="00B16FF5"/>
    <w:rsid w:val="00B170D2"/>
    <w:rsid w:val="00B1722C"/>
    <w:rsid w:val="00B172BA"/>
    <w:rsid w:val="00B173E7"/>
    <w:rsid w:val="00B17451"/>
    <w:rsid w:val="00B174E0"/>
    <w:rsid w:val="00B1761B"/>
    <w:rsid w:val="00B17670"/>
    <w:rsid w:val="00B17A9E"/>
    <w:rsid w:val="00B17F5C"/>
    <w:rsid w:val="00B17FB0"/>
    <w:rsid w:val="00B2015D"/>
    <w:rsid w:val="00B201B3"/>
    <w:rsid w:val="00B201E2"/>
    <w:rsid w:val="00B20372"/>
    <w:rsid w:val="00B20420"/>
    <w:rsid w:val="00B2084E"/>
    <w:rsid w:val="00B20EE6"/>
    <w:rsid w:val="00B211CE"/>
    <w:rsid w:val="00B21616"/>
    <w:rsid w:val="00B2168B"/>
    <w:rsid w:val="00B21FA5"/>
    <w:rsid w:val="00B222A7"/>
    <w:rsid w:val="00B22844"/>
    <w:rsid w:val="00B228AA"/>
    <w:rsid w:val="00B22BA6"/>
    <w:rsid w:val="00B22D28"/>
    <w:rsid w:val="00B22DCD"/>
    <w:rsid w:val="00B22ED2"/>
    <w:rsid w:val="00B232DB"/>
    <w:rsid w:val="00B23781"/>
    <w:rsid w:val="00B238BD"/>
    <w:rsid w:val="00B23C90"/>
    <w:rsid w:val="00B23D97"/>
    <w:rsid w:val="00B23EA5"/>
    <w:rsid w:val="00B243E2"/>
    <w:rsid w:val="00B24697"/>
    <w:rsid w:val="00B247D8"/>
    <w:rsid w:val="00B24923"/>
    <w:rsid w:val="00B24A62"/>
    <w:rsid w:val="00B24B82"/>
    <w:rsid w:val="00B255D1"/>
    <w:rsid w:val="00B25666"/>
    <w:rsid w:val="00B25B9A"/>
    <w:rsid w:val="00B25C6C"/>
    <w:rsid w:val="00B25CBF"/>
    <w:rsid w:val="00B2609C"/>
    <w:rsid w:val="00B261B8"/>
    <w:rsid w:val="00B26346"/>
    <w:rsid w:val="00B26698"/>
    <w:rsid w:val="00B26D48"/>
    <w:rsid w:val="00B26ED5"/>
    <w:rsid w:val="00B27444"/>
    <w:rsid w:val="00B2748B"/>
    <w:rsid w:val="00B27763"/>
    <w:rsid w:val="00B27ED7"/>
    <w:rsid w:val="00B27F15"/>
    <w:rsid w:val="00B27F96"/>
    <w:rsid w:val="00B27FF1"/>
    <w:rsid w:val="00B30068"/>
    <w:rsid w:val="00B30D15"/>
    <w:rsid w:val="00B31050"/>
    <w:rsid w:val="00B311C6"/>
    <w:rsid w:val="00B31263"/>
    <w:rsid w:val="00B31292"/>
    <w:rsid w:val="00B315EC"/>
    <w:rsid w:val="00B31631"/>
    <w:rsid w:val="00B31D57"/>
    <w:rsid w:val="00B32312"/>
    <w:rsid w:val="00B32A09"/>
    <w:rsid w:val="00B32A36"/>
    <w:rsid w:val="00B32A6F"/>
    <w:rsid w:val="00B32BC2"/>
    <w:rsid w:val="00B32C43"/>
    <w:rsid w:val="00B32C5C"/>
    <w:rsid w:val="00B32CEA"/>
    <w:rsid w:val="00B32DAB"/>
    <w:rsid w:val="00B32DBB"/>
    <w:rsid w:val="00B3327E"/>
    <w:rsid w:val="00B33A1E"/>
    <w:rsid w:val="00B33A93"/>
    <w:rsid w:val="00B33BF9"/>
    <w:rsid w:val="00B33C8E"/>
    <w:rsid w:val="00B33CBA"/>
    <w:rsid w:val="00B34111"/>
    <w:rsid w:val="00B34286"/>
    <w:rsid w:val="00B34329"/>
    <w:rsid w:val="00B3447F"/>
    <w:rsid w:val="00B34693"/>
    <w:rsid w:val="00B34717"/>
    <w:rsid w:val="00B34760"/>
    <w:rsid w:val="00B3477C"/>
    <w:rsid w:val="00B3484B"/>
    <w:rsid w:val="00B34AAF"/>
    <w:rsid w:val="00B34B70"/>
    <w:rsid w:val="00B34E89"/>
    <w:rsid w:val="00B352F4"/>
    <w:rsid w:val="00B35535"/>
    <w:rsid w:val="00B35968"/>
    <w:rsid w:val="00B35AEA"/>
    <w:rsid w:val="00B35CC1"/>
    <w:rsid w:val="00B35CE9"/>
    <w:rsid w:val="00B35DE2"/>
    <w:rsid w:val="00B35E41"/>
    <w:rsid w:val="00B35E89"/>
    <w:rsid w:val="00B35EA2"/>
    <w:rsid w:val="00B35F69"/>
    <w:rsid w:val="00B36509"/>
    <w:rsid w:val="00B3653B"/>
    <w:rsid w:val="00B36A53"/>
    <w:rsid w:val="00B36ACD"/>
    <w:rsid w:val="00B36B2F"/>
    <w:rsid w:val="00B36D86"/>
    <w:rsid w:val="00B36EC7"/>
    <w:rsid w:val="00B370A7"/>
    <w:rsid w:val="00B3721E"/>
    <w:rsid w:val="00B3784F"/>
    <w:rsid w:val="00B37D11"/>
    <w:rsid w:val="00B40190"/>
    <w:rsid w:val="00B403B3"/>
    <w:rsid w:val="00B40464"/>
    <w:rsid w:val="00B4053F"/>
    <w:rsid w:val="00B40757"/>
    <w:rsid w:val="00B408EF"/>
    <w:rsid w:val="00B40911"/>
    <w:rsid w:val="00B4093F"/>
    <w:rsid w:val="00B40C78"/>
    <w:rsid w:val="00B40EC0"/>
    <w:rsid w:val="00B4118D"/>
    <w:rsid w:val="00B4139A"/>
    <w:rsid w:val="00B413A1"/>
    <w:rsid w:val="00B415E3"/>
    <w:rsid w:val="00B417B0"/>
    <w:rsid w:val="00B4181F"/>
    <w:rsid w:val="00B418AE"/>
    <w:rsid w:val="00B41A10"/>
    <w:rsid w:val="00B41C31"/>
    <w:rsid w:val="00B41CB0"/>
    <w:rsid w:val="00B41E41"/>
    <w:rsid w:val="00B41EB5"/>
    <w:rsid w:val="00B41EB9"/>
    <w:rsid w:val="00B421E1"/>
    <w:rsid w:val="00B42242"/>
    <w:rsid w:val="00B42978"/>
    <w:rsid w:val="00B42F31"/>
    <w:rsid w:val="00B4337A"/>
    <w:rsid w:val="00B43432"/>
    <w:rsid w:val="00B4374C"/>
    <w:rsid w:val="00B43751"/>
    <w:rsid w:val="00B43900"/>
    <w:rsid w:val="00B4398F"/>
    <w:rsid w:val="00B43B9F"/>
    <w:rsid w:val="00B43F39"/>
    <w:rsid w:val="00B443C2"/>
    <w:rsid w:val="00B446FE"/>
    <w:rsid w:val="00B44748"/>
    <w:rsid w:val="00B44B5D"/>
    <w:rsid w:val="00B44C6C"/>
    <w:rsid w:val="00B44D85"/>
    <w:rsid w:val="00B44D9C"/>
    <w:rsid w:val="00B4502E"/>
    <w:rsid w:val="00B45311"/>
    <w:rsid w:val="00B45461"/>
    <w:rsid w:val="00B457F8"/>
    <w:rsid w:val="00B4582F"/>
    <w:rsid w:val="00B45935"/>
    <w:rsid w:val="00B45AAF"/>
    <w:rsid w:val="00B45C32"/>
    <w:rsid w:val="00B45C38"/>
    <w:rsid w:val="00B45DA4"/>
    <w:rsid w:val="00B45F1F"/>
    <w:rsid w:val="00B45F49"/>
    <w:rsid w:val="00B46280"/>
    <w:rsid w:val="00B4651B"/>
    <w:rsid w:val="00B467AC"/>
    <w:rsid w:val="00B46BB4"/>
    <w:rsid w:val="00B46BCA"/>
    <w:rsid w:val="00B46F21"/>
    <w:rsid w:val="00B47009"/>
    <w:rsid w:val="00B47044"/>
    <w:rsid w:val="00B47077"/>
    <w:rsid w:val="00B4709C"/>
    <w:rsid w:val="00B475B7"/>
    <w:rsid w:val="00B479B5"/>
    <w:rsid w:val="00B47B31"/>
    <w:rsid w:val="00B47C41"/>
    <w:rsid w:val="00B47C6C"/>
    <w:rsid w:val="00B47E18"/>
    <w:rsid w:val="00B500ED"/>
    <w:rsid w:val="00B50198"/>
    <w:rsid w:val="00B5081F"/>
    <w:rsid w:val="00B50A5E"/>
    <w:rsid w:val="00B50E38"/>
    <w:rsid w:val="00B50FC1"/>
    <w:rsid w:val="00B5105F"/>
    <w:rsid w:val="00B510B1"/>
    <w:rsid w:val="00B510F5"/>
    <w:rsid w:val="00B5120C"/>
    <w:rsid w:val="00B51423"/>
    <w:rsid w:val="00B516C3"/>
    <w:rsid w:val="00B5184A"/>
    <w:rsid w:val="00B51874"/>
    <w:rsid w:val="00B518E0"/>
    <w:rsid w:val="00B51D2D"/>
    <w:rsid w:val="00B51FCD"/>
    <w:rsid w:val="00B520E2"/>
    <w:rsid w:val="00B52174"/>
    <w:rsid w:val="00B522CB"/>
    <w:rsid w:val="00B523E1"/>
    <w:rsid w:val="00B52750"/>
    <w:rsid w:val="00B529A9"/>
    <w:rsid w:val="00B52A96"/>
    <w:rsid w:val="00B52BF0"/>
    <w:rsid w:val="00B53679"/>
    <w:rsid w:val="00B538A3"/>
    <w:rsid w:val="00B53ACD"/>
    <w:rsid w:val="00B53BCA"/>
    <w:rsid w:val="00B53C86"/>
    <w:rsid w:val="00B53CEE"/>
    <w:rsid w:val="00B53D44"/>
    <w:rsid w:val="00B53DD3"/>
    <w:rsid w:val="00B53E5E"/>
    <w:rsid w:val="00B53E6C"/>
    <w:rsid w:val="00B53F8F"/>
    <w:rsid w:val="00B53FFB"/>
    <w:rsid w:val="00B540BA"/>
    <w:rsid w:val="00B540DD"/>
    <w:rsid w:val="00B54267"/>
    <w:rsid w:val="00B5430B"/>
    <w:rsid w:val="00B5439F"/>
    <w:rsid w:val="00B54411"/>
    <w:rsid w:val="00B54484"/>
    <w:rsid w:val="00B5448B"/>
    <w:rsid w:val="00B5465C"/>
    <w:rsid w:val="00B5490C"/>
    <w:rsid w:val="00B54C87"/>
    <w:rsid w:val="00B55003"/>
    <w:rsid w:val="00B55188"/>
    <w:rsid w:val="00B5534B"/>
    <w:rsid w:val="00B554BD"/>
    <w:rsid w:val="00B55696"/>
    <w:rsid w:val="00B55978"/>
    <w:rsid w:val="00B55ADF"/>
    <w:rsid w:val="00B55D35"/>
    <w:rsid w:val="00B5600C"/>
    <w:rsid w:val="00B560FD"/>
    <w:rsid w:val="00B564E1"/>
    <w:rsid w:val="00B565CC"/>
    <w:rsid w:val="00B56863"/>
    <w:rsid w:val="00B56AAC"/>
    <w:rsid w:val="00B56B80"/>
    <w:rsid w:val="00B56C19"/>
    <w:rsid w:val="00B56EAC"/>
    <w:rsid w:val="00B573C5"/>
    <w:rsid w:val="00B5741E"/>
    <w:rsid w:val="00B57434"/>
    <w:rsid w:val="00B576D9"/>
    <w:rsid w:val="00B5774F"/>
    <w:rsid w:val="00B577FA"/>
    <w:rsid w:val="00B57822"/>
    <w:rsid w:val="00B57A99"/>
    <w:rsid w:val="00B57B8D"/>
    <w:rsid w:val="00B57B8F"/>
    <w:rsid w:val="00B57D1B"/>
    <w:rsid w:val="00B57E9C"/>
    <w:rsid w:val="00B57F4B"/>
    <w:rsid w:val="00B6027E"/>
    <w:rsid w:val="00B6038D"/>
    <w:rsid w:val="00B604E5"/>
    <w:rsid w:val="00B60508"/>
    <w:rsid w:val="00B60638"/>
    <w:rsid w:val="00B6074C"/>
    <w:rsid w:val="00B60768"/>
    <w:rsid w:val="00B60886"/>
    <w:rsid w:val="00B60AE5"/>
    <w:rsid w:val="00B60B0F"/>
    <w:rsid w:val="00B60BDB"/>
    <w:rsid w:val="00B60C74"/>
    <w:rsid w:val="00B60D4D"/>
    <w:rsid w:val="00B60D5B"/>
    <w:rsid w:val="00B610EC"/>
    <w:rsid w:val="00B61717"/>
    <w:rsid w:val="00B619FB"/>
    <w:rsid w:val="00B61D3B"/>
    <w:rsid w:val="00B6211C"/>
    <w:rsid w:val="00B6218B"/>
    <w:rsid w:val="00B6249E"/>
    <w:rsid w:val="00B6252A"/>
    <w:rsid w:val="00B625F8"/>
    <w:rsid w:val="00B62639"/>
    <w:rsid w:val="00B62711"/>
    <w:rsid w:val="00B62A48"/>
    <w:rsid w:val="00B62CCB"/>
    <w:rsid w:val="00B62D3F"/>
    <w:rsid w:val="00B62F6E"/>
    <w:rsid w:val="00B63216"/>
    <w:rsid w:val="00B63328"/>
    <w:rsid w:val="00B6344C"/>
    <w:rsid w:val="00B63622"/>
    <w:rsid w:val="00B63929"/>
    <w:rsid w:val="00B63DE1"/>
    <w:rsid w:val="00B63DEF"/>
    <w:rsid w:val="00B642A6"/>
    <w:rsid w:val="00B643D7"/>
    <w:rsid w:val="00B644F3"/>
    <w:rsid w:val="00B6456A"/>
    <w:rsid w:val="00B6467C"/>
    <w:rsid w:val="00B648AD"/>
    <w:rsid w:val="00B649BD"/>
    <w:rsid w:val="00B64A81"/>
    <w:rsid w:val="00B64B7D"/>
    <w:rsid w:val="00B64DC3"/>
    <w:rsid w:val="00B6526A"/>
    <w:rsid w:val="00B65283"/>
    <w:rsid w:val="00B653E6"/>
    <w:rsid w:val="00B657EB"/>
    <w:rsid w:val="00B659F0"/>
    <w:rsid w:val="00B65D0B"/>
    <w:rsid w:val="00B65EA1"/>
    <w:rsid w:val="00B661BE"/>
    <w:rsid w:val="00B665B8"/>
    <w:rsid w:val="00B6664C"/>
    <w:rsid w:val="00B66724"/>
    <w:rsid w:val="00B66C18"/>
    <w:rsid w:val="00B66D07"/>
    <w:rsid w:val="00B66D3F"/>
    <w:rsid w:val="00B66E20"/>
    <w:rsid w:val="00B66F17"/>
    <w:rsid w:val="00B67053"/>
    <w:rsid w:val="00B67591"/>
    <w:rsid w:val="00B67653"/>
    <w:rsid w:val="00B67DE6"/>
    <w:rsid w:val="00B67EEC"/>
    <w:rsid w:val="00B67F45"/>
    <w:rsid w:val="00B7024B"/>
    <w:rsid w:val="00B70276"/>
    <w:rsid w:val="00B70601"/>
    <w:rsid w:val="00B707E2"/>
    <w:rsid w:val="00B70A03"/>
    <w:rsid w:val="00B70EC8"/>
    <w:rsid w:val="00B70FAB"/>
    <w:rsid w:val="00B7102F"/>
    <w:rsid w:val="00B71B59"/>
    <w:rsid w:val="00B71FFC"/>
    <w:rsid w:val="00B7208D"/>
    <w:rsid w:val="00B7228F"/>
    <w:rsid w:val="00B723D4"/>
    <w:rsid w:val="00B72709"/>
    <w:rsid w:val="00B728FA"/>
    <w:rsid w:val="00B7292C"/>
    <w:rsid w:val="00B72956"/>
    <w:rsid w:val="00B72CEA"/>
    <w:rsid w:val="00B72E7B"/>
    <w:rsid w:val="00B72F3A"/>
    <w:rsid w:val="00B72FBB"/>
    <w:rsid w:val="00B73159"/>
    <w:rsid w:val="00B73259"/>
    <w:rsid w:val="00B732AD"/>
    <w:rsid w:val="00B734C4"/>
    <w:rsid w:val="00B734DC"/>
    <w:rsid w:val="00B7358C"/>
    <w:rsid w:val="00B736D2"/>
    <w:rsid w:val="00B736DB"/>
    <w:rsid w:val="00B73842"/>
    <w:rsid w:val="00B73908"/>
    <w:rsid w:val="00B7392A"/>
    <w:rsid w:val="00B73B45"/>
    <w:rsid w:val="00B73CE0"/>
    <w:rsid w:val="00B73F11"/>
    <w:rsid w:val="00B74384"/>
    <w:rsid w:val="00B74836"/>
    <w:rsid w:val="00B7495E"/>
    <w:rsid w:val="00B74DB2"/>
    <w:rsid w:val="00B7506B"/>
    <w:rsid w:val="00B75333"/>
    <w:rsid w:val="00B75359"/>
    <w:rsid w:val="00B75399"/>
    <w:rsid w:val="00B75442"/>
    <w:rsid w:val="00B75691"/>
    <w:rsid w:val="00B756BC"/>
    <w:rsid w:val="00B75844"/>
    <w:rsid w:val="00B7587B"/>
    <w:rsid w:val="00B758C9"/>
    <w:rsid w:val="00B75DE8"/>
    <w:rsid w:val="00B75E5E"/>
    <w:rsid w:val="00B7631D"/>
    <w:rsid w:val="00B764A8"/>
    <w:rsid w:val="00B76740"/>
    <w:rsid w:val="00B76762"/>
    <w:rsid w:val="00B7711A"/>
    <w:rsid w:val="00B771E1"/>
    <w:rsid w:val="00B77322"/>
    <w:rsid w:val="00B7739D"/>
    <w:rsid w:val="00B773A3"/>
    <w:rsid w:val="00B7749A"/>
    <w:rsid w:val="00B7752A"/>
    <w:rsid w:val="00B7775E"/>
    <w:rsid w:val="00B777EA"/>
    <w:rsid w:val="00B77B5D"/>
    <w:rsid w:val="00B77BB1"/>
    <w:rsid w:val="00B77C6D"/>
    <w:rsid w:val="00B800BD"/>
    <w:rsid w:val="00B802BF"/>
    <w:rsid w:val="00B805D6"/>
    <w:rsid w:val="00B806F6"/>
    <w:rsid w:val="00B80BE0"/>
    <w:rsid w:val="00B80C01"/>
    <w:rsid w:val="00B80CE5"/>
    <w:rsid w:val="00B80D3A"/>
    <w:rsid w:val="00B80ED1"/>
    <w:rsid w:val="00B80F4C"/>
    <w:rsid w:val="00B80FBE"/>
    <w:rsid w:val="00B812C2"/>
    <w:rsid w:val="00B81390"/>
    <w:rsid w:val="00B813DD"/>
    <w:rsid w:val="00B8153A"/>
    <w:rsid w:val="00B81796"/>
    <w:rsid w:val="00B81A04"/>
    <w:rsid w:val="00B81A8D"/>
    <w:rsid w:val="00B81AEF"/>
    <w:rsid w:val="00B81D7C"/>
    <w:rsid w:val="00B81FD8"/>
    <w:rsid w:val="00B82245"/>
    <w:rsid w:val="00B8237D"/>
    <w:rsid w:val="00B823C0"/>
    <w:rsid w:val="00B82548"/>
    <w:rsid w:val="00B82A35"/>
    <w:rsid w:val="00B82EEE"/>
    <w:rsid w:val="00B83026"/>
    <w:rsid w:val="00B8331A"/>
    <w:rsid w:val="00B833BC"/>
    <w:rsid w:val="00B834BE"/>
    <w:rsid w:val="00B83922"/>
    <w:rsid w:val="00B83972"/>
    <w:rsid w:val="00B83F69"/>
    <w:rsid w:val="00B8402E"/>
    <w:rsid w:val="00B847EF"/>
    <w:rsid w:val="00B8489D"/>
    <w:rsid w:val="00B84B28"/>
    <w:rsid w:val="00B84B8D"/>
    <w:rsid w:val="00B84BAE"/>
    <w:rsid w:val="00B84C2D"/>
    <w:rsid w:val="00B84C36"/>
    <w:rsid w:val="00B84CBD"/>
    <w:rsid w:val="00B84CC6"/>
    <w:rsid w:val="00B84F20"/>
    <w:rsid w:val="00B8502D"/>
    <w:rsid w:val="00B85303"/>
    <w:rsid w:val="00B855C8"/>
    <w:rsid w:val="00B855F8"/>
    <w:rsid w:val="00B85718"/>
    <w:rsid w:val="00B85737"/>
    <w:rsid w:val="00B85898"/>
    <w:rsid w:val="00B858D1"/>
    <w:rsid w:val="00B85934"/>
    <w:rsid w:val="00B85B53"/>
    <w:rsid w:val="00B86072"/>
    <w:rsid w:val="00B8608F"/>
    <w:rsid w:val="00B865FC"/>
    <w:rsid w:val="00B86764"/>
    <w:rsid w:val="00B86AA4"/>
    <w:rsid w:val="00B86FB1"/>
    <w:rsid w:val="00B8708A"/>
    <w:rsid w:val="00B8708C"/>
    <w:rsid w:val="00B874DA"/>
    <w:rsid w:val="00B87808"/>
    <w:rsid w:val="00B87E38"/>
    <w:rsid w:val="00B90283"/>
    <w:rsid w:val="00B904AA"/>
    <w:rsid w:val="00B90576"/>
    <w:rsid w:val="00B90A17"/>
    <w:rsid w:val="00B90D5B"/>
    <w:rsid w:val="00B9106C"/>
    <w:rsid w:val="00B912B0"/>
    <w:rsid w:val="00B91354"/>
    <w:rsid w:val="00B91403"/>
    <w:rsid w:val="00B91414"/>
    <w:rsid w:val="00B915CB"/>
    <w:rsid w:val="00B917A9"/>
    <w:rsid w:val="00B91884"/>
    <w:rsid w:val="00B91891"/>
    <w:rsid w:val="00B919E6"/>
    <w:rsid w:val="00B91A27"/>
    <w:rsid w:val="00B91A87"/>
    <w:rsid w:val="00B91DDE"/>
    <w:rsid w:val="00B91EBF"/>
    <w:rsid w:val="00B91F24"/>
    <w:rsid w:val="00B91FAB"/>
    <w:rsid w:val="00B9221E"/>
    <w:rsid w:val="00B92258"/>
    <w:rsid w:val="00B9280E"/>
    <w:rsid w:val="00B928BA"/>
    <w:rsid w:val="00B928BB"/>
    <w:rsid w:val="00B92990"/>
    <w:rsid w:val="00B92E8C"/>
    <w:rsid w:val="00B92EAA"/>
    <w:rsid w:val="00B92F15"/>
    <w:rsid w:val="00B9334F"/>
    <w:rsid w:val="00B93560"/>
    <w:rsid w:val="00B93585"/>
    <w:rsid w:val="00B93709"/>
    <w:rsid w:val="00B9394E"/>
    <w:rsid w:val="00B93A0A"/>
    <w:rsid w:val="00B9406D"/>
    <w:rsid w:val="00B941DB"/>
    <w:rsid w:val="00B942AB"/>
    <w:rsid w:val="00B9434E"/>
    <w:rsid w:val="00B94502"/>
    <w:rsid w:val="00B94554"/>
    <w:rsid w:val="00B94ABE"/>
    <w:rsid w:val="00B94D9B"/>
    <w:rsid w:val="00B94DA7"/>
    <w:rsid w:val="00B952E6"/>
    <w:rsid w:val="00B95616"/>
    <w:rsid w:val="00B95767"/>
    <w:rsid w:val="00B95978"/>
    <w:rsid w:val="00B9598E"/>
    <w:rsid w:val="00B95F43"/>
    <w:rsid w:val="00B96066"/>
    <w:rsid w:val="00B96275"/>
    <w:rsid w:val="00B964CF"/>
    <w:rsid w:val="00B96817"/>
    <w:rsid w:val="00B9690F"/>
    <w:rsid w:val="00B96ADE"/>
    <w:rsid w:val="00B9700F"/>
    <w:rsid w:val="00B97356"/>
    <w:rsid w:val="00B978DA"/>
    <w:rsid w:val="00B9793B"/>
    <w:rsid w:val="00B97B87"/>
    <w:rsid w:val="00B97D5E"/>
    <w:rsid w:val="00BA005D"/>
    <w:rsid w:val="00BA0187"/>
    <w:rsid w:val="00BA03DD"/>
    <w:rsid w:val="00BA0475"/>
    <w:rsid w:val="00BA0479"/>
    <w:rsid w:val="00BA0567"/>
    <w:rsid w:val="00BA0596"/>
    <w:rsid w:val="00BA074A"/>
    <w:rsid w:val="00BA0909"/>
    <w:rsid w:val="00BA0BA8"/>
    <w:rsid w:val="00BA105B"/>
    <w:rsid w:val="00BA140F"/>
    <w:rsid w:val="00BA1634"/>
    <w:rsid w:val="00BA1658"/>
    <w:rsid w:val="00BA1724"/>
    <w:rsid w:val="00BA1888"/>
    <w:rsid w:val="00BA1BB0"/>
    <w:rsid w:val="00BA1EE4"/>
    <w:rsid w:val="00BA1F2F"/>
    <w:rsid w:val="00BA21CF"/>
    <w:rsid w:val="00BA2226"/>
    <w:rsid w:val="00BA2433"/>
    <w:rsid w:val="00BA2874"/>
    <w:rsid w:val="00BA29C6"/>
    <w:rsid w:val="00BA2B18"/>
    <w:rsid w:val="00BA2DAC"/>
    <w:rsid w:val="00BA2F02"/>
    <w:rsid w:val="00BA2F26"/>
    <w:rsid w:val="00BA2F72"/>
    <w:rsid w:val="00BA3808"/>
    <w:rsid w:val="00BA3C93"/>
    <w:rsid w:val="00BA3CAF"/>
    <w:rsid w:val="00BA40F4"/>
    <w:rsid w:val="00BA4149"/>
    <w:rsid w:val="00BA4B9A"/>
    <w:rsid w:val="00BA5131"/>
    <w:rsid w:val="00BA53ED"/>
    <w:rsid w:val="00BA56CC"/>
    <w:rsid w:val="00BA59FF"/>
    <w:rsid w:val="00BA5A63"/>
    <w:rsid w:val="00BA5B87"/>
    <w:rsid w:val="00BA60A8"/>
    <w:rsid w:val="00BA61CC"/>
    <w:rsid w:val="00BA62F2"/>
    <w:rsid w:val="00BA6681"/>
    <w:rsid w:val="00BA6750"/>
    <w:rsid w:val="00BA67F5"/>
    <w:rsid w:val="00BA6AF9"/>
    <w:rsid w:val="00BA6BF4"/>
    <w:rsid w:val="00BA6C23"/>
    <w:rsid w:val="00BA6C8E"/>
    <w:rsid w:val="00BA6F0C"/>
    <w:rsid w:val="00BA729C"/>
    <w:rsid w:val="00BA756F"/>
    <w:rsid w:val="00BA771A"/>
    <w:rsid w:val="00BA77A4"/>
    <w:rsid w:val="00BA7919"/>
    <w:rsid w:val="00BA79BC"/>
    <w:rsid w:val="00BA79DB"/>
    <w:rsid w:val="00BA7B5A"/>
    <w:rsid w:val="00BA7C78"/>
    <w:rsid w:val="00BA7D0B"/>
    <w:rsid w:val="00BB00B4"/>
    <w:rsid w:val="00BB01A5"/>
    <w:rsid w:val="00BB0336"/>
    <w:rsid w:val="00BB0592"/>
    <w:rsid w:val="00BB0A1C"/>
    <w:rsid w:val="00BB0C10"/>
    <w:rsid w:val="00BB1147"/>
    <w:rsid w:val="00BB13E8"/>
    <w:rsid w:val="00BB1416"/>
    <w:rsid w:val="00BB1697"/>
    <w:rsid w:val="00BB1C05"/>
    <w:rsid w:val="00BB1E76"/>
    <w:rsid w:val="00BB1EAE"/>
    <w:rsid w:val="00BB249D"/>
    <w:rsid w:val="00BB27A9"/>
    <w:rsid w:val="00BB2865"/>
    <w:rsid w:val="00BB29CE"/>
    <w:rsid w:val="00BB29FE"/>
    <w:rsid w:val="00BB2B34"/>
    <w:rsid w:val="00BB2FDC"/>
    <w:rsid w:val="00BB3173"/>
    <w:rsid w:val="00BB3335"/>
    <w:rsid w:val="00BB3C19"/>
    <w:rsid w:val="00BB3D9D"/>
    <w:rsid w:val="00BB3E6A"/>
    <w:rsid w:val="00BB414E"/>
    <w:rsid w:val="00BB41FF"/>
    <w:rsid w:val="00BB4289"/>
    <w:rsid w:val="00BB438E"/>
    <w:rsid w:val="00BB4605"/>
    <w:rsid w:val="00BB4651"/>
    <w:rsid w:val="00BB4972"/>
    <w:rsid w:val="00BB501B"/>
    <w:rsid w:val="00BB505E"/>
    <w:rsid w:val="00BB50A2"/>
    <w:rsid w:val="00BB50DD"/>
    <w:rsid w:val="00BB5166"/>
    <w:rsid w:val="00BB52C6"/>
    <w:rsid w:val="00BB5341"/>
    <w:rsid w:val="00BB5530"/>
    <w:rsid w:val="00BB5536"/>
    <w:rsid w:val="00BB5891"/>
    <w:rsid w:val="00BB5E12"/>
    <w:rsid w:val="00BB6228"/>
    <w:rsid w:val="00BB6509"/>
    <w:rsid w:val="00BB651E"/>
    <w:rsid w:val="00BB6564"/>
    <w:rsid w:val="00BB65F1"/>
    <w:rsid w:val="00BB6C92"/>
    <w:rsid w:val="00BB6D0C"/>
    <w:rsid w:val="00BB6E81"/>
    <w:rsid w:val="00BB6F06"/>
    <w:rsid w:val="00BB73AE"/>
    <w:rsid w:val="00BB765F"/>
    <w:rsid w:val="00BB76A9"/>
    <w:rsid w:val="00BB788A"/>
    <w:rsid w:val="00BB7DF2"/>
    <w:rsid w:val="00BC038A"/>
    <w:rsid w:val="00BC0609"/>
    <w:rsid w:val="00BC0815"/>
    <w:rsid w:val="00BC0861"/>
    <w:rsid w:val="00BC0AC8"/>
    <w:rsid w:val="00BC0E97"/>
    <w:rsid w:val="00BC1075"/>
    <w:rsid w:val="00BC1183"/>
    <w:rsid w:val="00BC160B"/>
    <w:rsid w:val="00BC1684"/>
    <w:rsid w:val="00BC16F8"/>
    <w:rsid w:val="00BC1703"/>
    <w:rsid w:val="00BC1798"/>
    <w:rsid w:val="00BC1A9C"/>
    <w:rsid w:val="00BC1B4E"/>
    <w:rsid w:val="00BC1CF3"/>
    <w:rsid w:val="00BC1F00"/>
    <w:rsid w:val="00BC1F78"/>
    <w:rsid w:val="00BC2333"/>
    <w:rsid w:val="00BC23AD"/>
    <w:rsid w:val="00BC25E2"/>
    <w:rsid w:val="00BC27D9"/>
    <w:rsid w:val="00BC2BA5"/>
    <w:rsid w:val="00BC2BE3"/>
    <w:rsid w:val="00BC2EC5"/>
    <w:rsid w:val="00BC3145"/>
    <w:rsid w:val="00BC345D"/>
    <w:rsid w:val="00BC35D0"/>
    <w:rsid w:val="00BC3A60"/>
    <w:rsid w:val="00BC3CBE"/>
    <w:rsid w:val="00BC3DDA"/>
    <w:rsid w:val="00BC3F79"/>
    <w:rsid w:val="00BC3FCF"/>
    <w:rsid w:val="00BC4010"/>
    <w:rsid w:val="00BC41D9"/>
    <w:rsid w:val="00BC42A2"/>
    <w:rsid w:val="00BC46D2"/>
    <w:rsid w:val="00BC4D08"/>
    <w:rsid w:val="00BC4E9D"/>
    <w:rsid w:val="00BC50E2"/>
    <w:rsid w:val="00BC549F"/>
    <w:rsid w:val="00BC5D9E"/>
    <w:rsid w:val="00BC5E5E"/>
    <w:rsid w:val="00BC5EFA"/>
    <w:rsid w:val="00BC6032"/>
    <w:rsid w:val="00BC62B7"/>
    <w:rsid w:val="00BC65B1"/>
    <w:rsid w:val="00BC6999"/>
    <w:rsid w:val="00BC6B4D"/>
    <w:rsid w:val="00BC6DFF"/>
    <w:rsid w:val="00BC7420"/>
    <w:rsid w:val="00BC75E1"/>
    <w:rsid w:val="00BC7BAE"/>
    <w:rsid w:val="00BC7CC3"/>
    <w:rsid w:val="00BD00D7"/>
    <w:rsid w:val="00BD0196"/>
    <w:rsid w:val="00BD020B"/>
    <w:rsid w:val="00BD02DB"/>
    <w:rsid w:val="00BD061C"/>
    <w:rsid w:val="00BD0675"/>
    <w:rsid w:val="00BD06ED"/>
    <w:rsid w:val="00BD06EE"/>
    <w:rsid w:val="00BD080C"/>
    <w:rsid w:val="00BD0A60"/>
    <w:rsid w:val="00BD0A99"/>
    <w:rsid w:val="00BD0C30"/>
    <w:rsid w:val="00BD0FC4"/>
    <w:rsid w:val="00BD11E4"/>
    <w:rsid w:val="00BD124C"/>
    <w:rsid w:val="00BD1252"/>
    <w:rsid w:val="00BD136C"/>
    <w:rsid w:val="00BD13F2"/>
    <w:rsid w:val="00BD1577"/>
    <w:rsid w:val="00BD1642"/>
    <w:rsid w:val="00BD1AEF"/>
    <w:rsid w:val="00BD1FC7"/>
    <w:rsid w:val="00BD2026"/>
    <w:rsid w:val="00BD21F1"/>
    <w:rsid w:val="00BD251D"/>
    <w:rsid w:val="00BD25A0"/>
    <w:rsid w:val="00BD26A4"/>
    <w:rsid w:val="00BD2948"/>
    <w:rsid w:val="00BD2AA7"/>
    <w:rsid w:val="00BD2C66"/>
    <w:rsid w:val="00BD2FC0"/>
    <w:rsid w:val="00BD33D6"/>
    <w:rsid w:val="00BD360D"/>
    <w:rsid w:val="00BD3796"/>
    <w:rsid w:val="00BD3901"/>
    <w:rsid w:val="00BD3952"/>
    <w:rsid w:val="00BD398B"/>
    <w:rsid w:val="00BD3C7E"/>
    <w:rsid w:val="00BD3E56"/>
    <w:rsid w:val="00BD423B"/>
    <w:rsid w:val="00BD4297"/>
    <w:rsid w:val="00BD442B"/>
    <w:rsid w:val="00BD47DF"/>
    <w:rsid w:val="00BD48D1"/>
    <w:rsid w:val="00BD4900"/>
    <w:rsid w:val="00BD4955"/>
    <w:rsid w:val="00BD496D"/>
    <w:rsid w:val="00BD4981"/>
    <w:rsid w:val="00BD4AB5"/>
    <w:rsid w:val="00BD4B26"/>
    <w:rsid w:val="00BD4BA5"/>
    <w:rsid w:val="00BD4D05"/>
    <w:rsid w:val="00BD4ECA"/>
    <w:rsid w:val="00BD511C"/>
    <w:rsid w:val="00BD5279"/>
    <w:rsid w:val="00BD5726"/>
    <w:rsid w:val="00BD5B99"/>
    <w:rsid w:val="00BD5D0A"/>
    <w:rsid w:val="00BD5D34"/>
    <w:rsid w:val="00BD5E0B"/>
    <w:rsid w:val="00BD5E6F"/>
    <w:rsid w:val="00BD5F46"/>
    <w:rsid w:val="00BD625D"/>
    <w:rsid w:val="00BD62A7"/>
    <w:rsid w:val="00BD6535"/>
    <w:rsid w:val="00BD6700"/>
    <w:rsid w:val="00BD671A"/>
    <w:rsid w:val="00BD6841"/>
    <w:rsid w:val="00BD6897"/>
    <w:rsid w:val="00BD6D77"/>
    <w:rsid w:val="00BD6FD0"/>
    <w:rsid w:val="00BD729E"/>
    <w:rsid w:val="00BD72C4"/>
    <w:rsid w:val="00BD7306"/>
    <w:rsid w:val="00BD7386"/>
    <w:rsid w:val="00BD74F5"/>
    <w:rsid w:val="00BD754A"/>
    <w:rsid w:val="00BD7F0B"/>
    <w:rsid w:val="00BE011C"/>
    <w:rsid w:val="00BE0128"/>
    <w:rsid w:val="00BE0254"/>
    <w:rsid w:val="00BE0488"/>
    <w:rsid w:val="00BE049C"/>
    <w:rsid w:val="00BE058D"/>
    <w:rsid w:val="00BE05A9"/>
    <w:rsid w:val="00BE0A82"/>
    <w:rsid w:val="00BE0CB8"/>
    <w:rsid w:val="00BE10AF"/>
    <w:rsid w:val="00BE1162"/>
    <w:rsid w:val="00BE11A5"/>
    <w:rsid w:val="00BE134C"/>
    <w:rsid w:val="00BE13ED"/>
    <w:rsid w:val="00BE192E"/>
    <w:rsid w:val="00BE19C8"/>
    <w:rsid w:val="00BE1ADF"/>
    <w:rsid w:val="00BE1C31"/>
    <w:rsid w:val="00BE1C87"/>
    <w:rsid w:val="00BE1D24"/>
    <w:rsid w:val="00BE2000"/>
    <w:rsid w:val="00BE2621"/>
    <w:rsid w:val="00BE2A96"/>
    <w:rsid w:val="00BE2B6F"/>
    <w:rsid w:val="00BE2D9A"/>
    <w:rsid w:val="00BE31AC"/>
    <w:rsid w:val="00BE33A1"/>
    <w:rsid w:val="00BE35F2"/>
    <w:rsid w:val="00BE3866"/>
    <w:rsid w:val="00BE41A9"/>
    <w:rsid w:val="00BE42F7"/>
    <w:rsid w:val="00BE430D"/>
    <w:rsid w:val="00BE44AE"/>
    <w:rsid w:val="00BE44E2"/>
    <w:rsid w:val="00BE464F"/>
    <w:rsid w:val="00BE4694"/>
    <w:rsid w:val="00BE48A4"/>
    <w:rsid w:val="00BE4DF3"/>
    <w:rsid w:val="00BE4E68"/>
    <w:rsid w:val="00BE50D8"/>
    <w:rsid w:val="00BE5360"/>
    <w:rsid w:val="00BE571D"/>
    <w:rsid w:val="00BE57D7"/>
    <w:rsid w:val="00BE581C"/>
    <w:rsid w:val="00BE5B08"/>
    <w:rsid w:val="00BE5B0C"/>
    <w:rsid w:val="00BE5C83"/>
    <w:rsid w:val="00BE5CA0"/>
    <w:rsid w:val="00BE5EA7"/>
    <w:rsid w:val="00BE5EB1"/>
    <w:rsid w:val="00BE6126"/>
    <w:rsid w:val="00BE62CA"/>
    <w:rsid w:val="00BE62FE"/>
    <w:rsid w:val="00BE6428"/>
    <w:rsid w:val="00BE6512"/>
    <w:rsid w:val="00BE65AE"/>
    <w:rsid w:val="00BE6741"/>
    <w:rsid w:val="00BE688D"/>
    <w:rsid w:val="00BE698A"/>
    <w:rsid w:val="00BE6A7E"/>
    <w:rsid w:val="00BE710D"/>
    <w:rsid w:val="00BE7206"/>
    <w:rsid w:val="00BE7249"/>
    <w:rsid w:val="00BE73B6"/>
    <w:rsid w:val="00BE754E"/>
    <w:rsid w:val="00BE76D9"/>
    <w:rsid w:val="00BE7835"/>
    <w:rsid w:val="00BE78EF"/>
    <w:rsid w:val="00BE7931"/>
    <w:rsid w:val="00BE7BAF"/>
    <w:rsid w:val="00BE7DB2"/>
    <w:rsid w:val="00BE7DDF"/>
    <w:rsid w:val="00BE7FB4"/>
    <w:rsid w:val="00BF0151"/>
    <w:rsid w:val="00BF01C5"/>
    <w:rsid w:val="00BF0281"/>
    <w:rsid w:val="00BF035C"/>
    <w:rsid w:val="00BF044E"/>
    <w:rsid w:val="00BF074B"/>
    <w:rsid w:val="00BF08B2"/>
    <w:rsid w:val="00BF0A7F"/>
    <w:rsid w:val="00BF0AE0"/>
    <w:rsid w:val="00BF0CA8"/>
    <w:rsid w:val="00BF0FBD"/>
    <w:rsid w:val="00BF1084"/>
    <w:rsid w:val="00BF120A"/>
    <w:rsid w:val="00BF12F6"/>
    <w:rsid w:val="00BF146B"/>
    <w:rsid w:val="00BF155F"/>
    <w:rsid w:val="00BF1A42"/>
    <w:rsid w:val="00BF1B13"/>
    <w:rsid w:val="00BF1FEE"/>
    <w:rsid w:val="00BF205D"/>
    <w:rsid w:val="00BF21FB"/>
    <w:rsid w:val="00BF2252"/>
    <w:rsid w:val="00BF25E6"/>
    <w:rsid w:val="00BF264F"/>
    <w:rsid w:val="00BF2870"/>
    <w:rsid w:val="00BF304E"/>
    <w:rsid w:val="00BF31C3"/>
    <w:rsid w:val="00BF363F"/>
    <w:rsid w:val="00BF3D4D"/>
    <w:rsid w:val="00BF3EC2"/>
    <w:rsid w:val="00BF3F9C"/>
    <w:rsid w:val="00BF43DC"/>
    <w:rsid w:val="00BF4416"/>
    <w:rsid w:val="00BF46F7"/>
    <w:rsid w:val="00BF4971"/>
    <w:rsid w:val="00BF4C38"/>
    <w:rsid w:val="00BF4DBD"/>
    <w:rsid w:val="00BF5047"/>
    <w:rsid w:val="00BF5459"/>
    <w:rsid w:val="00BF54F0"/>
    <w:rsid w:val="00BF5633"/>
    <w:rsid w:val="00BF56EF"/>
    <w:rsid w:val="00BF5795"/>
    <w:rsid w:val="00BF5B7F"/>
    <w:rsid w:val="00BF5C39"/>
    <w:rsid w:val="00BF5C6E"/>
    <w:rsid w:val="00BF5F2E"/>
    <w:rsid w:val="00BF5FA8"/>
    <w:rsid w:val="00BF642A"/>
    <w:rsid w:val="00BF652F"/>
    <w:rsid w:val="00BF66C1"/>
    <w:rsid w:val="00BF67A6"/>
    <w:rsid w:val="00BF7055"/>
    <w:rsid w:val="00BF734D"/>
    <w:rsid w:val="00BF745C"/>
    <w:rsid w:val="00BF777C"/>
    <w:rsid w:val="00BF7E11"/>
    <w:rsid w:val="00C0068E"/>
    <w:rsid w:val="00C00876"/>
    <w:rsid w:val="00C00D20"/>
    <w:rsid w:val="00C00FDE"/>
    <w:rsid w:val="00C01002"/>
    <w:rsid w:val="00C0117A"/>
    <w:rsid w:val="00C013A4"/>
    <w:rsid w:val="00C01603"/>
    <w:rsid w:val="00C0179A"/>
    <w:rsid w:val="00C0181F"/>
    <w:rsid w:val="00C01CE1"/>
    <w:rsid w:val="00C01FF6"/>
    <w:rsid w:val="00C02400"/>
    <w:rsid w:val="00C02472"/>
    <w:rsid w:val="00C02578"/>
    <w:rsid w:val="00C02579"/>
    <w:rsid w:val="00C0260E"/>
    <w:rsid w:val="00C02BB3"/>
    <w:rsid w:val="00C0334B"/>
    <w:rsid w:val="00C03543"/>
    <w:rsid w:val="00C0360D"/>
    <w:rsid w:val="00C03A07"/>
    <w:rsid w:val="00C03B60"/>
    <w:rsid w:val="00C04575"/>
    <w:rsid w:val="00C045E1"/>
    <w:rsid w:val="00C047AC"/>
    <w:rsid w:val="00C04904"/>
    <w:rsid w:val="00C0497D"/>
    <w:rsid w:val="00C04A8A"/>
    <w:rsid w:val="00C04CC7"/>
    <w:rsid w:val="00C04D96"/>
    <w:rsid w:val="00C04E21"/>
    <w:rsid w:val="00C0500F"/>
    <w:rsid w:val="00C0509B"/>
    <w:rsid w:val="00C05496"/>
    <w:rsid w:val="00C055D6"/>
    <w:rsid w:val="00C05783"/>
    <w:rsid w:val="00C057FC"/>
    <w:rsid w:val="00C059F7"/>
    <w:rsid w:val="00C05B46"/>
    <w:rsid w:val="00C05C5C"/>
    <w:rsid w:val="00C05D94"/>
    <w:rsid w:val="00C061E2"/>
    <w:rsid w:val="00C06382"/>
    <w:rsid w:val="00C06489"/>
    <w:rsid w:val="00C06504"/>
    <w:rsid w:val="00C065BB"/>
    <w:rsid w:val="00C0666B"/>
    <w:rsid w:val="00C06767"/>
    <w:rsid w:val="00C06E5B"/>
    <w:rsid w:val="00C06F3F"/>
    <w:rsid w:val="00C070D4"/>
    <w:rsid w:val="00C0722A"/>
    <w:rsid w:val="00C07424"/>
    <w:rsid w:val="00C0762C"/>
    <w:rsid w:val="00C07642"/>
    <w:rsid w:val="00C07663"/>
    <w:rsid w:val="00C077DE"/>
    <w:rsid w:val="00C07D2B"/>
    <w:rsid w:val="00C10040"/>
    <w:rsid w:val="00C1023B"/>
    <w:rsid w:val="00C10401"/>
    <w:rsid w:val="00C1041C"/>
    <w:rsid w:val="00C1057D"/>
    <w:rsid w:val="00C107F2"/>
    <w:rsid w:val="00C10B4F"/>
    <w:rsid w:val="00C10B84"/>
    <w:rsid w:val="00C10BF4"/>
    <w:rsid w:val="00C10CDC"/>
    <w:rsid w:val="00C10D3D"/>
    <w:rsid w:val="00C10D68"/>
    <w:rsid w:val="00C10D81"/>
    <w:rsid w:val="00C11002"/>
    <w:rsid w:val="00C110F6"/>
    <w:rsid w:val="00C11107"/>
    <w:rsid w:val="00C11666"/>
    <w:rsid w:val="00C11897"/>
    <w:rsid w:val="00C119E9"/>
    <w:rsid w:val="00C11ACC"/>
    <w:rsid w:val="00C11B48"/>
    <w:rsid w:val="00C11C48"/>
    <w:rsid w:val="00C121E1"/>
    <w:rsid w:val="00C12233"/>
    <w:rsid w:val="00C126DD"/>
    <w:rsid w:val="00C12989"/>
    <w:rsid w:val="00C129DA"/>
    <w:rsid w:val="00C12A43"/>
    <w:rsid w:val="00C12BFB"/>
    <w:rsid w:val="00C12C29"/>
    <w:rsid w:val="00C12EED"/>
    <w:rsid w:val="00C12FD5"/>
    <w:rsid w:val="00C1311B"/>
    <w:rsid w:val="00C131C3"/>
    <w:rsid w:val="00C132A0"/>
    <w:rsid w:val="00C13348"/>
    <w:rsid w:val="00C136F7"/>
    <w:rsid w:val="00C1386E"/>
    <w:rsid w:val="00C13973"/>
    <w:rsid w:val="00C1397B"/>
    <w:rsid w:val="00C13A35"/>
    <w:rsid w:val="00C13EDF"/>
    <w:rsid w:val="00C13F20"/>
    <w:rsid w:val="00C13FCD"/>
    <w:rsid w:val="00C1409D"/>
    <w:rsid w:val="00C14326"/>
    <w:rsid w:val="00C145CA"/>
    <w:rsid w:val="00C14818"/>
    <w:rsid w:val="00C1496F"/>
    <w:rsid w:val="00C14A6C"/>
    <w:rsid w:val="00C14B0F"/>
    <w:rsid w:val="00C14C84"/>
    <w:rsid w:val="00C14D91"/>
    <w:rsid w:val="00C1505A"/>
    <w:rsid w:val="00C1509F"/>
    <w:rsid w:val="00C155F8"/>
    <w:rsid w:val="00C156B0"/>
    <w:rsid w:val="00C15D0F"/>
    <w:rsid w:val="00C1637A"/>
    <w:rsid w:val="00C1672C"/>
    <w:rsid w:val="00C168B2"/>
    <w:rsid w:val="00C16A3A"/>
    <w:rsid w:val="00C171DF"/>
    <w:rsid w:val="00C1751F"/>
    <w:rsid w:val="00C17672"/>
    <w:rsid w:val="00C176EF"/>
    <w:rsid w:val="00C17759"/>
    <w:rsid w:val="00C17822"/>
    <w:rsid w:val="00C17A34"/>
    <w:rsid w:val="00C200CA"/>
    <w:rsid w:val="00C2016C"/>
    <w:rsid w:val="00C203BA"/>
    <w:rsid w:val="00C203C8"/>
    <w:rsid w:val="00C204C2"/>
    <w:rsid w:val="00C20A02"/>
    <w:rsid w:val="00C20C19"/>
    <w:rsid w:val="00C20C24"/>
    <w:rsid w:val="00C20FEC"/>
    <w:rsid w:val="00C21308"/>
    <w:rsid w:val="00C213D6"/>
    <w:rsid w:val="00C214F5"/>
    <w:rsid w:val="00C21633"/>
    <w:rsid w:val="00C21652"/>
    <w:rsid w:val="00C2174A"/>
    <w:rsid w:val="00C21C96"/>
    <w:rsid w:val="00C21E8F"/>
    <w:rsid w:val="00C22196"/>
    <w:rsid w:val="00C224A5"/>
    <w:rsid w:val="00C2254A"/>
    <w:rsid w:val="00C2255B"/>
    <w:rsid w:val="00C22CB7"/>
    <w:rsid w:val="00C22CD7"/>
    <w:rsid w:val="00C232B2"/>
    <w:rsid w:val="00C23503"/>
    <w:rsid w:val="00C23983"/>
    <w:rsid w:val="00C23ACF"/>
    <w:rsid w:val="00C23CAC"/>
    <w:rsid w:val="00C23D5B"/>
    <w:rsid w:val="00C23EED"/>
    <w:rsid w:val="00C24112"/>
    <w:rsid w:val="00C247B7"/>
    <w:rsid w:val="00C248B3"/>
    <w:rsid w:val="00C248D9"/>
    <w:rsid w:val="00C2494E"/>
    <w:rsid w:val="00C24982"/>
    <w:rsid w:val="00C24A1D"/>
    <w:rsid w:val="00C24B3C"/>
    <w:rsid w:val="00C24BAB"/>
    <w:rsid w:val="00C24FE5"/>
    <w:rsid w:val="00C2557A"/>
    <w:rsid w:val="00C25739"/>
    <w:rsid w:val="00C25932"/>
    <w:rsid w:val="00C26041"/>
    <w:rsid w:val="00C26618"/>
    <w:rsid w:val="00C26A6A"/>
    <w:rsid w:val="00C26B95"/>
    <w:rsid w:val="00C26C79"/>
    <w:rsid w:val="00C26E5A"/>
    <w:rsid w:val="00C270CD"/>
    <w:rsid w:val="00C27509"/>
    <w:rsid w:val="00C275EF"/>
    <w:rsid w:val="00C2784C"/>
    <w:rsid w:val="00C27D03"/>
    <w:rsid w:val="00C27D9A"/>
    <w:rsid w:val="00C27E66"/>
    <w:rsid w:val="00C27FB3"/>
    <w:rsid w:val="00C300F3"/>
    <w:rsid w:val="00C3017A"/>
    <w:rsid w:val="00C304EB"/>
    <w:rsid w:val="00C306FE"/>
    <w:rsid w:val="00C30A49"/>
    <w:rsid w:val="00C30CCB"/>
    <w:rsid w:val="00C30E80"/>
    <w:rsid w:val="00C30FD1"/>
    <w:rsid w:val="00C3121E"/>
    <w:rsid w:val="00C3128E"/>
    <w:rsid w:val="00C318FD"/>
    <w:rsid w:val="00C31ED0"/>
    <w:rsid w:val="00C32548"/>
    <w:rsid w:val="00C32810"/>
    <w:rsid w:val="00C32857"/>
    <w:rsid w:val="00C32929"/>
    <w:rsid w:val="00C32B27"/>
    <w:rsid w:val="00C32C83"/>
    <w:rsid w:val="00C32CCE"/>
    <w:rsid w:val="00C32E57"/>
    <w:rsid w:val="00C32FF4"/>
    <w:rsid w:val="00C3307D"/>
    <w:rsid w:val="00C3314F"/>
    <w:rsid w:val="00C33308"/>
    <w:rsid w:val="00C335E7"/>
    <w:rsid w:val="00C336E9"/>
    <w:rsid w:val="00C33704"/>
    <w:rsid w:val="00C3372B"/>
    <w:rsid w:val="00C33803"/>
    <w:rsid w:val="00C33CDB"/>
    <w:rsid w:val="00C33CEB"/>
    <w:rsid w:val="00C34062"/>
    <w:rsid w:val="00C34115"/>
    <w:rsid w:val="00C34183"/>
    <w:rsid w:val="00C3419C"/>
    <w:rsid w:val="00C34278"/>
    <w:rsid w:val="00C34360"/>
    <w:rsid w:val="00C345D5"/>
    <w:rsid w:val="00C3473A"/>
    <w:rsid w:val="00C34743"/>
    <w:rsid w:val="00C34B2A"/>
    <w:rsid w:val="00C34C4F"/>
    <w:rsid w:val="00C34DF1"/>
    <w:rsid w:val="00C35136"/>
    <w:rsid w:val="00C3538D"/>
    <w:rsid w:val="00C3543B"/>
    <w:rsid w:val="00C35779"/>
    <w:rsid w:val="00C35D61"/>
    <w:rsid w:val="00C360DC"/>
    <w:rsid w:val="00C362CE"/>
    <w:rsid w:val="00C36434"/>
    <w:rsid w:val="00C367D8"/>
    <w:rsid w:val="00C36DEC"/>
    <w:rsid w:val="00C36E41"/>
    <w:rsid w:val="00C36E8D"/>
    <w:rsid w:val="00C37242"/>
    <w:rsid w:val="00C372DB"/>
    <w:rsid w:val="00C373A9"/>
    <w:rsid w:val="00C3747F"/>
    <w:rsid w:val="00C378C0"/>
    <w:rsid w:val="00C378FD"/>
    <w:rsid w:val="00C37AD4"/>
    <w:rsid w:val="00C37B13"/>
    <w:rsid w:val="00C402A3"/>
    <w:rsid w:val="00C403DE"/>
    <w:rsid w:val="00C40418"/>
    <w:rsid w:val="00C40555"/>
    <w:rsid w:val="00C405B1"/>
    <w:rsid w:val="00C4063B"/>
    <w:rsid w:val="00C40642"/>
    <w:rsid w:val="00C406F4"/>
    <w:rsid w:val="00C406F5"/>
    <w:rsid w:val="00C407B2"/>
    <w:rsid w:val="00C40A20"/>
    <w:rsid w:val="00C40AD7"/>
    <w:rsid w:val="00C40B85"/>
    <w:rsid w:val="00C4138D"/>
    <w:rsid w:val="00C415FB"/>
    <w:rsid w:val="00C416AB"/>
    <w:rsid w:val="00C417C0"/>
    <w:rsid w:val="00C41AE1"/>
    <w:rsid w:val="00C42271"/>
    <w:rsid w:val="00C422E3"/>
    <w:rsid w:val="00C42D38"/>
    <w:rsid w:val="00C42D6D"/>
    <w:rsid w:val="00C43103"/>
    <w:rsid w:val="00C4315D"/>
    <w:rsid w:val="00C433A2"/>
    <w:rsid w:val="00C433D4"/>
    <w:rsid w:val="00C43498"/>
    <w:rsid w:val="00C43602"/>
    <w:rsid w:val="00C439C0"/>
    <w:rsid w:val="00C43B94"/>
    <w:rsid w:val="00C43C1F"/>
    <w:rsid w:val="00C43F3F"/>
    <w:rsid w:val="00C43FF9"/>
    <w:rsid w:val="00C44030"/>
    <w:rsid w:val="00C44088"/>
    <w:rsid w:val="00C44243"/>
    <w:rsid w:val="00C442B4"/>
    <w:rsid w:val="00C44346"/>
    <w:rsid w:val="00C445F5"/>
    <w:rsid w:val="00C44649"/>
    <w:rsid w:val="00C44660"/>
    <w:rsid w:val="00C4470D"/>
    <w:rsid w:val="00C44847"/>
    <w:rsid w:val="00C44934"/>
    <w:rsid w:val="00C44F8B"/>
    <w:rsid w:val="00C4508D"/>
    <w:rsid w:val="00C4525A"/>
    <w:rsid w:val="00C454DD"/>
    <w:rsid w:val="00C455F4"/>
    <w:rsid w:val="00C4573C"/>
    <w:rsid w:val="00C457BF"/>
    <w:rsid w:val="00C45A32"/>
    <w:rsid w:val="00C45A8E"/>
    <w:rsid w:val="00C45AF9"/>
    <w:rsid w:val="00C45E62"/>
    <w:rsid w:val="00C45EC5"/>
    <w:rsid w:val="00C463E5"/>
    <w:rsid w:val="00C46833"/>
    <w:rsid w:val="00C4684E"/>
    <w:rsid w:val="00C468D7"/>
    <w:rsid w:val="00C4691A"/>
    <w:rsid w:val="00C46B22"/>
    <w:rsid w:val="00C46B25"/>
    <w:rsid w:val="00C4705E"/>
    <w:rsid w:val="00C470B3"/>
    <w:rsid w:val="00C474F3"/>
    <w:rsid w:val="00C47832"/>
    <w:rsid w:val="00C47BE0"/>
    <w:rsid w:val="00C47CC0"/>
    <w:rsid w:val="00C47E61"/>
    <w:rsid w:val="00C47F1A"/>
    <w:rsid w:val="00C50183"/>
    <w:rsid w:val="00C5029C"/>
    <w:rsid w:val="00C507C6"/>
    <w:rsid w:val="00C50813"/>
    <w:rsid w:val="00C508EF"/>
    <w:rsid w:val="00C50914"/>
    <w:rsid w:val="00C50C90"/>
    <w:rsid w:val="00C50EA8"/>
    <w:rsid w:val="00C5102A"/>
    <w:rsid w:val="00C5116F"/>
    <w:rsid w:val="00C51257"/>
    <w:rsid w:val="00C51335"/>
    <w:rsid w:val="00C513D4"/>
    <w:rsid w:val="00C5149E"/>
    <w:rsid w:val="00C51746"/>
    <w:rsid w:val="00C51841"/>
    <w:rsid w:val="00C51D51"/>
    <w:rsid w:val="00C51DD1"/>
    <w:rsid w:val="00C51DFD"/>
    <w:rsid w:val="00C51E14"/>
    <w:rsid w:val="00C51E8F"/>
    <w:rsid w:val="00C52168"/>
    <w:rsid w:val="00C521E4"/>
    <w:rsid w:val="00C52378"/>
    <w:rsid w:val="00C52502"/>
    <w:rsid w:val="00C52A1A"/>
    <w:rsid w:val="00C52D15"/>
    <w:rsid w:val="00C52D2B"/>
    <w:rsid w:val="00C52DBA"/>
    <w:rsid w:val="00C52E6B"/>
    <w:rsid w:val="00C53139"/>
    <w:rsid w:val="00C5321A"/>
    <w:rsid w:val="00C5341E"/>
    <w:rsid w:val="00C53745"/>
    <w:rsid w:val="00C538F9"/>
    <w:rsid w:val="00C53902"/>
    <w:rsid w:val="00C5396A"/>
    <w:rsid w:val="00C53BF2"/>
    <w:rsid w:val="00C53E7F"/>
    <w:rsid w:val="00C53FD2"/>
    <w:rsid w:val="00C541B3"/>
    <w:rsid w:val="00C54254"/>
    <w:rsid w:val="00C54531"/>
    <w:rsid w:val="00C54596"/>
    <w:rsid w:val="00C54B5A"/>
    <w:rsid w:val="00C550D2"/>
    <w:rsid w:val="00C55252"/>
    <w:rsid w:val="00C55259"/>
    <w:rsid w:val="00C55A81"/>
    <w:rsid w:val="00C55BCE"/>
    <w:rsid w:val="00C55E89"/>
    <w:rsid w:val="00C56270"/>
    <w:rsid w:val="00C56305"/>
    <w:rsid w:val="00C56309"/>
    <w:rsid w:val="00C56486"/>
    <w:rsid w:val="00C5662A"/>
    <w:rsid w:val="00C56989"/>
    <w:rsid w:val="00C56C94"/>
    <w:rsid w:val="00C56E72"/>
    <w:rsid w:val="00C56FC8"/>
    <w:rsid w:val="00C5701C"/>
    <w:rsid w:val="00C5702D"/>
    <w:rsid w:val="00C5753B"/>
    <w:rsid w:val="00C577B6"/>
    <w:rsid w:val="00C57859"/>
    <w:rsid w:val="00C578D0"/>
    <w:rsid w:val="00C579B2"/>
    <w:rsid w:val="00C579F7"/>
    <w:rsid w:val="00C57D4C"/>
    <w:rsid w:val="00C6017D"/>
    <w:rsid w:val="00C602B1"/>
    <w:rsid w:val="00C603EE"/>
    <w:rsid w:val="00C60457"/>
    <w:rsid w:val="00C604A4"/>
    <w:rsid w:val="00C604E9"/>
    <w:rsid w:val="00C60B11"/>
    <w:rsid w:val="00C60FBC"/>
    <w:rsid w:val="00C610FC"/>
    <w:rsid w:val="00C6125C"/>
    <w:rsid w:val="00C6130E"/>
    <w:rsid w:val="00C6149A"/>
    <w:rsid w:val="00C61668"/>
    <w:rsid w:val="00C61AB8"/>
    <w:rsid w:val="00C61B22"/>
    <w:rsid w:val="00C61B35"/>
    <w:rsid w:val="00C61DB6"/>
    <w:rsid w:val="00C61FE0"/>
    <w:rsid w:val="00C620AC"/>
    <w:rsid w:val="00C62491"/>
    <w:rsid w:val="00C62686"/>
    <w:rsid w:val="00C6270B"/>
    <w:rsid w:val="00C628C2"/>
    <w:rsid w:val="00C62B3F"/>
    <w:rsid w:val="00C62C23"/>
    <w:rsid w:val="00C62C47"/>
    <w:rsid w:val="00C62F53"/>
    <w:rsid w:val="00C6388E"/>
    <w:rsid w:val="00C63D82"/>
    <w:rsid w:val="00C63E25"/>
    <w:rsid w:val="00C64115"/>
    <w:rsid w:val="00C64289"/>
    <w:rsid w:val="00C64762"/>
    <w:rsid w:val="00C648F1"/>
    <w:rsid w:val="00C64963"/>
    <w:rsid w:val="00C64A75"/>
    <w:rsid w:val="00C65202"/>
    <w:rsid w:val="00C65231"/>
    <w:rsid w:val="00C65318"/>
    <w:rsid w:val="00C65623"/>
    <w:rsid w:val="00C657D7"/>
    <w:rsid w:val="00C65841"/>
    <w:rsid w:val="00C65BBD"/>
    <w:rsid w:val="00C65C05"/>
    <w:rsid w:val="00C65CF2"/>
    <w:rsid w:val="00C65D6C"/>
    <w:rsid w:val="00C65D7A"/>
    <w:rsid w:val="00C65E3A"/>
    <w:rsid w:val="00C65FAE"/>
    <w:rsid w:val="00C6606F"/>
    <w:rsid w:val="00C661FC"/>
    <w:rsid w:val="00C6624D"/>
    <w:rsid w:val="00C6635F"/>
    <w:rsid w:val="00C6680D"/>
    <w:rsid w:val="00C66A5C"/>
    <w:rsid w:val="00C67151"/>
    <w:rsid w:val="00C673E4"/>
    <w:rsid w:val="00C67560"/>
    <w:rsid w:val="00C6764A"/>
    <w:rsid w:val="00C67874"/>
    <w:rsid w:val="00C67A30"/>
    <w:rsid w:val="00C67C10"/>
    <w:rsid w:val="00C67E3C"/>
    <w:rsid w:val="00C700C3"/>
    <w:rsid w:val="00C70296"/>
    <w:rsid w:val="00C7078A"/>
    <w:rsid w:val="00C70B8A"/>
    <w:rsid w:val="00C70C94"/>
    <w:rsid w:val="00C70CD0"/>
    <w:rsid w:val="00C70E13"/>
    <w:rsid w:val="00C71307"/>
    <w:rsid w:val="00C7176B"/>
    <w:rsid w:val="00C71962"/>
    <w:rsid w:val="00C71966"/>
    <w:rsid w:val="00C71A8A"/>
    <w:rsid w:val="00C71B5F"/>
    <w:rsid w:val="00C72485"/>
    <w:rsid w:val="00C72983"/>
    <w:rsid w:val="00C729F5"/>
    <w:rsid w:val="00C72B9B"/>
    <w:rsid w:val="00C72D93"/>
    <w:rsid w:val="00C72E6A"/>
    <w:rsid w:val="00C730E4"/>
    <w:rsid w:val="00C7340F"/>
    <w:rsid w:val="00C735B6"/>
    <w:rsid w:val="00C73600"/>
    <w:rsid w:val="00C736AE"/>
    <w:rsid w:val="00C73720"/>
    <w:rsid w:val="00C73941"/>
    <w:rsid w:val="00C73A0D"/>
    <w:rsid w:val="00C73D1A"/>
    <w:rsid w:val="00C73DFF"/>
    <w:rsid w:val="00C73F4C"/>
    <w:rsid w:val="00C742AA"/>
    <w:rsid w:val="00C744A4"/>
    <w:rsid w:val="00C7456A"/>
    <w:rsid w:val="00C74B75"/>
    <w:rsid w:val="00C74BCC"/>
    <w:rsid w:val="00C74C44"/>
    <w:rsid w:val="00C74CBB"/>
    <w:rsid w:val="00C74CC2"/>
    <w:rsid w:val="00C7579B"/>
    <w:rsid w:val="00C75E61"/>
    <w:rsid w:val="00C75E91"/>
    <w:rsid w:val="00C75ED8"/>
    <w:rsid w:val="00C7617F"/>
    <w:rsid w:val="00C76372"/>
    <w:rsid w:val="00C765E1"/>
    <w:rsid w:val="00C76630"/>
    <w:rsid w:val="00C76E8D"/>
    <w:rsid w:val="00C7706A"/>
    <w:rsid w:val="00C77313"/>
    <w:rsid w:val="00C775FC"/>
    <w:rsid w:val="00C7761C"/>
    <w:rsid w:val="00C777BD"/>
    <w:rsid w:val="00C77F1D"/>
    <w:rsid w:val="00C77F5B"/>
    <w:rsid w:val="00C77FA7"/>
    <w:rsid w:val="00C80142"/>
    <w:rsid w:val="00C80164"/>
    <w:rsid w:val="00C80169"/>
    <w:rsid w:val="00C801CB"/>
    <w:rsid w:val="00C803C9"/>
    <w:rsid w:val="00C80CA0"/>
    <w:rsid w:val="00C80D75"/>
    <w:rsid w:val="00C80DC3"/>
    <w:rsid w:val="00C8103A"/>
    <w:rsid w:val="00C810E0"/>
    <w:rsid w:val="00C812C7"/>
    <w:rsid w:val="00C815A7"/>
    <w:rsid w:val="00C815E7"/>
    <w:rsid w:val="00C8162F"/>
    <w:rsid w:val="00C81829"/>
    <w:rsid w:val="00C81B24"/>
    <w:rsid w:val="00C81B76"/>
    <w:rsid w:val="00C81C01"/>
    <w:rsid w:val="00C81C78"/>
    <w:rsid w:val="00C81D50"/>
    <w:rsid w:val="00C81E92"/>
    <w:rsid w:val="00C824EF"/>
    <w:rsid w:val="00C827A7"/>
    <w:rsid w:val="00C829E4"/>
    <w:rsid w:val="00C82D11"/>
    <w:rsid w:val="00C82F68"/>
    <w:rsid w:val="00C82F7C"/>
    <w:rsid w:val="00C83304"/>
    <w:rsid w:val="00C83495"/>
    <w:rsid w:val="00C8355D"/>
    <w:rsid w:val="00C8363C"/>
    <w:rsid w:val="00C83805"/>
    <w:rsid w:val="00C83B2D"/>
    <w:rsid w:val="00C83BFE"/>
    <w:rsid w:val="00C83C1F"/>
    <w:rsid w:val="00C83D32"/>
    <w:rsid w:val="00C83E0B"/>
    <w:rsid w:val="00C83EAF"/>
    <w:rsid w:val="00C83F7E"/>
    <w:rsid w:val="00C8405F"/>
    <w:rsid w:val="00C84221"/>
    <w:rsid w:val="00C844D5"/>
    <w:rsid w:val="00C84C04"/>
    <w:rsid w:val="00C84C1D"/>
    <w:rsid w:val="00C84D76"/>
    <w:rsid w:val="00C84F33"/>
    <w:rsid w:val="00C85043"/>
    <w:rsid w:val="00C852EC"/>
    <w:rsid w:val="00C85471"/>
    <w:rsid w:val="00C85918"/>
    <w:rsid w:val="00C85BB0"/>
    <w:rsid w:val="00C85BC2"/>
    <w:rsid w:val="00C85C8E"/>
    <w:rsid w:val="00C8606C"/>
    <w:rsid w:val="00C861B4"/>
    <w:rsid w:val="00C8657B"/>
    <w:rsid w:val="00C8670F"/>
    <w:rsid w:val="00C86748"/>
    <w:rsid w:val="00C86771"/>
    <w:rsid w:val="00C868FE"/>
    <w:rsid w:val="00C86C3D"/>
    <w:rsid w:val="00C86C5D"/>
    <w:rsid w:val="00C86CDD"/>
    <w:rsid w:val="00C86EB0"/>
    <w:rsid w:val="00C86FD0"/>
    <w:rsid w:val="00C8719F"/>
    <w:rsid w:val="00C8737A"/>
    <w:rsid w:val="00C875B2"/>
    <w:rsid w:val="00C875CA"/>
    <w:rsid w:val="00C875DA"/>
    <w:rsid w:val="00C87645"/>
    <w:rsid w:val="00C876E4"/>
    <w:rsid w:val="00C87782"/>
    <w:rsid w:val="00C87A40"/>
    <w:rsid w:val="00C87B6E"/>
    <w:rsid w:val="00C87D16"/>
    <w:rsid w:val="00C87EAC"/>
    <w:rsid w:val="00C902E3"/>
    <w:rsid w:val="00C90359"/>
    <w:rsid w:val="00C903D4"/>
    <w:rsid w:val="00C90416"/>
    <w:rsid w:val="00C9053C"/>
    <w:rsid w:val="00C90749"/>
    <w:rsid w:val="00C90A6D"/>
    <w:rsid w:val="00C90BE1"/>
    <w:rsid w:val="00C90C27"/>
    <w:rsid w:val="00C90C95"/>
    <w:rsid w:val="00C90DC5"/>
    <w:rsid w:val="00C90E79"/>
    <w:rsid w:val="00C90FE8"/>
    <w:rsid w:val="00C91244"/>
    <w:rsid w:val="00C91540"/>
    <w:rsid w:val="00C916A5"/>
    <w:rsid w:val="00C9172E"/>
    <w:rsid w:val="00C918A0"/>
    <w:rsid w:val="00C918B8"/>
    <w:rsid w:val="00C91A4B"/>
    <w:rsid w:val="00C91B0A"/>
    <w:rsid w:val="00C91B2F"/>
    <w:rsid w:val="00C91D39"/>
    <w:rsid w:val="00C92000"/>
    <w:rsid w:val="00C92418"/>
    <w:rsid w:val="00C9260B"/>
    <w:rsid w:val="00C92770"/>
    <w:rsid w:val="00C927B3"/>
    <w:rsid w:val="00C92855"/>
    <w:rsid w:val="00C9286E"/>
    <w:rsid w:val="00C928CA"/>
    <w:rsid w:val="00C92E41"/>
    <w:rsid w:val="00C92F03"/>
    <w:rsid w:val="00C9301C"/>
    <w:rsid w:val="00C932A5"/>
    <w:rsid w:val="00C9357D"/>
    <w:rsid w:val="00C936C1"/>
    <w:rsid w:val="00C936C3"/>
    <w:rsid w:val="00C93959"/>
    <w:rsid w:val="00C93B5F"/>
    <w:rsid w:val="00C93E14"/>
    <w:rsid w:val="00C940F5"/>
    <w:rsid w:val="00C94118"/>
    <w:rsid w:val="00C94193"/>
    <w:rsid w:val="00C94372"/>
    <w:rsid w:val="00C943F1"/>
    <w:rsid w:val="00C9462D"/>
    <w:rsid w:val="00C9475C"/>
    <w:rsid w:val="00C94790"/>
    <w:rsid w:val="00C94ADE"/>
    <w:rsid w:val="00C94F51"/>
    <w:rsid w:val="00C95592"/>
    <w:rsid w:val="00C955DB"/>
    <w:rsid w:val="00C9561B"/>
    <w:rsid w:val="00C95769"/>
    <w:rsid w:val="00C95AE8"/>
    <w:rsid w:val="00C95B81"/>
    <w:rsid w:val="00C95E0D"/>
    <w:rsid w:val="00C96155"/>
    <w:rsid w:val="00C962BD"/>
    <w:rsid w:val="00C9653E"/>
    <w:rsid w:val="00C9657F"/>
    <w:rsid w:val="00C965C5"/>
    <w:rsid w:val="00C965C6"/>
    <w:rsid w:val="00C9667C"/>
    <w:rsid w:val="00C9677E"/>
    <w:rsid w:val="00C96ACA"/>
    <w:rsid w:val="00C96D15"/>
    <w:rsid w:val="00C96F16"/>
    <w:rsid w:val="00C96F55"/>
    <w:rsid w:val="00C96FE3"/>
    <w:rsid w:val="00C9742D"/>
    <w:rsid w:val="00C975E6"/>
    <w:rsid w:val="00C976ED"/>
    <w:rsid w:val="00C97958"/>
    <w:rsid w:val="00C979BC"/>
    <w:rsid w:val="00C97F02"/>
    <w:rsid w:val="00C97F2E"/>
    <w:rsid w:val="00CA0086"/>
    <w:rsid w:val="00CA0234"/>
    <w:rsid w:val="00CA0258"/>
    <w:rsid w:val="00CA02F8"/>
    <w:rsid w:val="00CA04E7"/>
    <w:rsid w:val="00CA05FE"/>
    <w:rsid w:val="00CA089F"/>
    <w:rsid w:val="00CA0ACF"/>
    <w:rsid w:val="00CA0CF6"/>
    <w:rsid w:val="00CA0FBC"/>
    <w:rsid w:val="00CA1099"/>
    <w:rsid w:val="00CA10C7"/>
    <w:rsid w:val="00CA11DB"/>
    <w:rsid w:val="00CA1672"/>
    <w:rsid w:val="00CA16EA"/>
    <w:rsid w:val="00CA1711"/>
    <w:rsid w:val="00CA176A"/>
    <w:rsid w:val="00CA1DBD"/>
    <w:rsid w:val="00CA22BD"/>
    <w:rsid w:val="00CA237E"/>
    <w:rsid w:val="00CA25B6"/>
    <w:rsid w:val="00CA2609"/>
    <w:rsid w:val="00CA2885"/>
    <w:rsid w:val="00CA2919"/>
    <w:rsid w:val="00CA2984"/>
    <w:rsid w:val="00CA2B2B"/>
    <w:rsid w:val="00CA2C9F"/>
    <w:rsid w:val="00CA2D00"/>
    <w:rsid w:val="00CA306E"/>
    <w:rsid w:val="00CA32D1"/>
    <w:rsid w:val="00CA363E"/>
    <w:rsid w:val="00CA36EB"/>
    <w:rsid w:val="00CA3951"/>
    <w:rsid w:val="00CA3AC6"/>
    <w:rsid w:val="00CA3BDE"/>
    <w:rsid w:val="00CA3D42"/>
    <w:rsid w:val="00CA3E28"/>
    <w:rsid w:val="00CA4015"/>
    <w:rsid w:val="00CA4125"/>
    <w:rsid w:val="00CA4240"/>
    <w:rsid w:val="00CA452A"/>
    <w:rsid w:val="00CA459A"/>
    <w:rsid w:val="00CA49C0"/>
    <w:rsid w:val="00CA4B26"/>
    <w:rsid w:val="00CA4D95"/>
    <w:rsid w:val="00CA4F8F"/>
    <w:rsid w:val="00CA53ED"/>
    <w:rsid w:val="00CA53FB"/>
    <w:rsid w:val="00CA548F"/>
    <w:rsid w:val="00CA5772"/>
    <w:rsid w:val="00CA5846"/>
    <w:rsid w:val="00CA58C4"/>
    <w:rsid w:val="00CA5DFE"/>
    <w:rsid w:val="00CA5E4B"/>
    <w:rsid w:val="00CA5E9B"/>
    <w:rsid w:val="00CA5FF5"/>
    <w:rsid w:val="00CA614C"/>
    <w:rsid w:val="00CA6450"/>
    <w:rsid w:val="00CA65C7"/>
    <w:rsid w:val="00CA6779"/>
    <w:rsid w:val="00CA6E4B"/>
    <w:rsid w:val="00CA6ED0"/>
    <w:rsid w:val="00CA70B6"/>
    <w:rsid w:val="00CA751E"/>
    <w:rsid w:val="00CA75A3"/>
    <w:rsid w:val="00CA7A69"/>
    <w:rsid w:val="00CA7B5E"/>
    <w:rsid w:val="00CA7B8A"/>
    <w:rsid w:val="00CA7D14"/>
    <w:rsid w:val="00CB00BB"/>
    <w:rsid w:val="00CB02DE"/>
    <w:rsid w:val="00CB0380"/>
    <w:rsid w:val="00CB0414"/>
    <w:rsid w:val="00CB081B"/>
    <w:rsid w:val="00CB091B"/>
    <w:rsid w:val="00CB0DB0"/>
    <w:rsid w:val="00CB0E04"/>
    <w:rsid w:val="00CB0EFA"/>
    <w:rsid w:val="00CB10E2"/>
    <w:rsid w:val="00CB10EA"/>
    <w:rsid w:val="00CB11A4"/>
    <w:rsid w:val="00CB11FD"/>
    <w:rsid w:val="00CB1671"/>
    <w:rsid w:val="00CB17E0"/>
    <w:rsid w:val="00CB1BDF"/>
    <w:rsid w:val="00CB1EA5"/>
    <w:rsid w:val="00CB1F77"/>
    <w:rsid w:val="00CB2050"/>
    <w:rsid w:val="00CB2118"/>
    <w:rsid w:val="00CB2321"/>
    <w:rsid w:val="00CB2373"/>
    <w:rsid w:val="00CB2390"/>
    <w:rsid w:val="00CB2461"/>
    <w:rsid w:val="00CB254E"/>
    <w:rsid w:val="00CB2550"/>
    <w:rsid w:val="00CB27BB"/>
    <w:rsid w:val="00CB2A73"/>
    <w:rsid w:val="00CB2C65"/>
    <w:rsid w:val="00CB2D11"/>
    <w:rsid w:val="00CB2E1B"/>
    <w:rsid w:val="00CB320A"/>
    <w:rsid w:val="00CB33CD"/>
    <w:rsid w:val="00CB34C4"/>
    <w:rsid w:val="00CB351D"/>
    <w:rsid w:val="00CB360A"/>
    <w:rsid w:val="00CB364A"/>
    <w:rsid w:val="00CB39F5"/>
    <w:rsid w:val="00CB3CB6"/>
    <w:rsid w:val="00CB40B4"/>
    <w:rsid w:val="00CB4292"/>
    <w:rsid w:val="00CB4347"/>
    <w:rsid w:val="00CB462B"/>
    <w:rsid w:val="00CB46A9"/>
    <w:rsid w:val="00CB4BA8"/>
    <w:rsid w:val="00CB4DD9"/>
    <w:rsid w:val="00CB5022"/>
    <w:rsid w:val="00CB52EB"/>
    <w:rsid w:val="00CB5383"/>
    <w:rsid w:val="00CB54EE"/>
    <w:rsid w:val="00CB563A"/>
    <w:rsid w:val="00CB5C78"/>
    <w:rsid w:val="00CB5DD0"/>
    <w:rsid w:val="00CB6106"/>
    <w:rsid w:val="00CB63A0"/>
    <w:rsid w:val="00CB66EE"/>
    <w:rsid w:val="00CB686A"/>
    <w:rsid w:val="00CB6904"/>
    <w:rsid w:val="00CB698E"/>
    <w:rsid w:val="00CB6AA2"/>
    <w:rsid w:val="00CB6E31"/>
    <w:rsid w:val="00CB6F40"/>
    <w:rsid w:val="00CB7036"/>
    <w:rsid w:val="00CB73A7"/>
    <w:rsid w:val="00CB74A0"/>
    <w:rsid w:val="00CB7552"/>
    <w:rsid w:val="00CB7575"/>
    <w:rsid w:val="00CB76EC"/>
    <w:rsid w:val="00CB77D4"/>
    <w:rsid w:val="00CB7951"/>
    <w:rsid w:val="00CB7959"/>
    <w:rsid w:val="00CB79E6"/>
    <w:rsid w:val="00CB7BD5"/>
    <w:rsid w:val="00CB7CBD"/>
    <w:rsid w:val="00CB7D23"/>
    <w:rsid w:val="00CC00F6"/>
    <w:rsid w:val="00CC0142"/>
    <w:rsid w:val="00CC01A0"/>
    <w:rsid w:val="00CC034B"/>
    <w:rsid w:val="00CC049A"/>
    <w:rsid w:val="00CC055E"/>
    <w:rsid w:val="00CC069C"/>
    <w:rsid w:val="00CC079B"/>
    <w:rsid w:val="00CC1254"/>
    <w:rsid w:val="00CC1584"/>
    <w:rsid w:val="00CC1603"/>
    <w:rsid w:val="00CC17B2"/>
    <w:rsid w:val="00CC1957"/>
    <w:rsid w:val="00CC1A3A"/>
    <w:rsid w:val="00CC1A3C"/>
    <w:rsid w:val="00CC1FAF"/>
    <w:rsid w:val="00CC2332"/>
    <w:rsid w:val="00CC23E3"/>
    <w:rsid w:val="00CC25DA"/>
    <w:rsid w:val="00CC2694"/>
    <w:rsid w:val="00CC2726"/>
    <w:rsid w:val="00CC2890"/>
    <w:rsid w:val="00CC299F"/>
    <w:rsid w:val="00CC2B9D"/>
    <w:rsid w:val="00CC2E9E"/>
    <w:rsid w:val="00CC304E"/>
    <w:rsid w:val="00CC3416"/>
    <w:rsid w:val="00CC3773"/>
    <w:rsid w:val="00CC3A7F"/>
    <w:rsid w:val="00CC3B0E"/>
    <w:rsid w:val="00CC3B39"/>
    <w:rsid w:val="00CC3C09"/>
    <w:rsid w:val="00CC3DB9"/>
    <w:rsid w:val="00CC4342"/>
    <w:rsid w:val="00CC438B"/>
    <w:rsid w:val="00CC439B"/>
    <w:rsid w:val="00CC43EC"/>
    <w:rsid w:val="00CC46CC"/>
    <w:rsid w:val="00CC4B40"/>
    <w:rsid w:val="00CC4D7A"/>
    <w:rsid w:val="00CC4DBD"/>
    <w:rsid w:val="00CC4F32"/>
    <w:rsid w:val="00CC52B9"/>
    <w:rsid w:val="00CC537F"/>
    <w:rsid w:val="00CC55AB"/>
    <w:rsid w:val="00CC5649"/>
    <w:rsid w:val="00CC580E"/>
    <w:rsid w:val="00CC5A87"/>
    <w:rsid w:val="00CC5DE9"/>
    <w:rsid w:val="00CC6293"/>
    <w:rsid w:val="00CC6393"/>
    <w:rsid w:val="00CC63C2"/>
    <w:rsid w:val="00CC6494"/>
    <w:rsid w:val="00CC6A16"/>
    <w:rsid w:val="00CC6AFB"/>
    <w:rsid w:val="00CC6BF0"/>
    <w:rsid w:val="00CC716B"/>
    <w:rsid w:val="00CC7A27"/>
    <w:rsid w:val="00CC7A9E"/>
    <w:rsid w:val="00CC7F5C"/>
    <w:rsid w:val="00CD028F"/>
    <w:rsid w:val="00CD09AF"/>
    <w:rsid w:val="00CD09E6"/>
    <w:rsid w:val="00CD0A94"/>
    <w:rsid w:val="00CD0F92"/>
    <w:rsid w:val="00CD1147"/>
    <w:rsid w:val="00CD1376"/>
    <w:rsid w:val="00CD1480"/>
    <w:rsid w:val="00CD1521"/>
    <w:rsid w:val="00CD16F4"/>
    <w:rsid w:val="00CD19DB"/>
    <w:rsid w:val="00CD19EC"/>
    <w:rsid w:val="00CD1A5D"/>
    <w:rsid w:val="00CD1BB2"/>
    <w:rsid w:val="00CD1E62"/>
    <w:rsid w:val="00CD1EDD"/>
    <w:rsid w:val="00CD2291"/>
    <w:rsid w:val="00CD22E5"/>
    <w:rsid w:val="00CD2584"/>
    <w:rsid w:val="00CD25DD"/>
    <w:rsid w:val="00CD2681"/>
    <w:rsid w:val="00CD26F9"/>
    <w:rsid w:val="00CD28A5"/>
    <w:rsid w:val="00CD28B8"/>
    <w:rsid w:val="00CD294A"/>
    <w:rsid w:val="00CD2F37"/>
    <w:rsid w:val="00CD3015"/>
    <w:rsid w:val="00CD3080"/>
    <w:rsid w:val="00CD3105"/>
    <w:rsid w:val="00CD3298"/>
    <w:rsid w:val="00CD34D1"/>
    <w:rsid w:val="00CD369A"/>
    <w:rsid w:val="00CD371F"/>
    <w:rsid w:val="00CD37E2"/>
    <w:rsid w:val="00CD3A87"/>
    <w:rsid w:val="00CD3D53"/>
    <w:rsid w:val="00CD400E"/>
    <w:rsid w:val="00CD4313"/>
    <w:rsid w:val="00CD4501"/>
    <w:rsid w:val="00CD4A04"/>
    <w:rsid w:val="00CD4A6A"/>
    <w:rsid w:val="00CD4EBF"/>
    <w:rsid w:val="00CD5493"/>
    <w:rsid w:val="00CD5530"/>
    <w:rsid w:val="00CD58F8"/>
    <w:rsid w:val="00CD5E9F"/>
    <w:rsid w:val="00CD632E"/>
    <w:rsid w:val="00CD646B"/>
    <w:rsid w:val="00CD6508"/>
    <w:rsid w:val="00CD6612"/>
    <w:rsid w:val="00CD66DF"/>
    <w:rsid w:val="00CD6A40"/>
    <w:rsid w:val="00CD6D29"/>
    <w:rsid w:val="00CD6D5B"/>
    <w:rsid w:val="00CD6ED6"/>
    <w:rsid w:val="00CD73B2"/>
    <w:rsid w:val="00CD77B0"/>
    <w:rsid w:val="00CD7B55"/>
    <w:rsid w:val="00CD7C4C"/>
    <w:rsid w:val="00CD7CC6"/>
    <w:rsid w:val="00CD7E25"/>
    <w:rsid w:val="00CD7EA0"/>
    <w:rsid w:val="00CE0BF4"/>
    <w:rsid w:val="00CE0DD5"/>
    <w:rsid w:val="00CE0F55"/>
    <w:rsid w:val="00CE14D5"/>
    <w:rsid w:val="00CE189B"/>
    <w:rsid w:val="00CE18DA"/>
    <w:rsid w:val="00CE1906"/>
    <w:rsid w:val="00CE19D4"/>
    <w:rsid w:val="00CE1D05"/>
    <w:rsid w:val="00CE1E13"/>
    <w:rsid w:val="00CE1E65"/>
    <w:rsid w:val="00CE1FEE"/>
    <w:rsid w:val="00CE206E"/>
    <w:rsid w:val="00CE2329"/>
    <w:rsid w:val="00CE24D1"/>
    <w:rsid w:val="00CE251E"/>
    <w:rsid w:val="00CE26AC"/>
    <w:rsid w:val="00CE29AF"/>
    <w:rsid w:val="00CE2AAF"/>
    <w:rsid w:val="00CE2C32"/>
    <w:rsid w:val="00CE2C33"/>
    <w:rsid w:val="00CE2C5B"/>
    <w:rsid w:val="00CE2CEC"/>
    <w:rsid w:val="00CE30C3"/>
    <w:rsid w:val="00CE317D"/>
    <w:rsid w:val="00CE34DD"/>
    <w:rsid w:val="00CE35FF"/>
    <w:rsid w:val="00CE3962"/>
    <w:rsid w:val="00CE3AF5"/>
    <w:rsid w:val="00CE3C6E"/>
    <w:rsid w:val="00CE3CC5"/>
    <w:rsid w:val="00CE3D87"/>
    <w:rsid w:val="00CE3EF5"/>
    <w:rsid w:val="00CE3F1F"/>
    <w:rsid w:val="00CE41F7"/>
    <w:rsid w:val="00CE421C"/>
    <w:rsid w:val="00CE4250"/>
    <w:rsid w:val="00CE43D7"/>
    <w:rsid w:val="00CE45B4"/>
    <w:rsid w:val="00CE4A7E"/>
    <w:rsid w:val="00CE505B"/>
    <w:rsid w:val="00CE50FC"/>
    <w:rsid w:val="00CE51FD"/>
    <w:rsid w:val="00CE5363"/>
    <w:rsid w:val="00CE55CF"/>
    <w:rsid w:val="00CE56D7"/>
    <w:rsid w:val="00CE5850"/>
    <w:rsid w:val="00CE5998"/>
    <w:rsid w:val="00CE5ACB"/>
    <w:rsid w:val="00CE5B95"/>
    <w:rsid w:val="00CE5CA6"/>
    <w:rsid w:val="00CE5D70"/>
    <w:rsid w:val="00CE5EBC"/>
    <w:rsid w:val="00CE6018"/>
    <w:rsid w:val="00CE6912"/>
    <w:rsid w:val="00CE6C64"/>
    <w:rsid w:val="00CE6F0D"/>
    <w:rsid w:val="00CE7174"/>
    <w:rsid w:val="00CE74AC"/>
    <w:rsid w:val="00CE74F9"/>
    <w:rsid w:val="00CE7558"/>
    <w:rsid w:val="00CE76C5"/>
    <w:rsid w:val="00CE787B"/>
    <w:rsid w:val="00CE79B5"/>
    <w:rsid w:val="00CE7DF0"/>
    <w:rsid w:val="00CE7EB6"/>
    <w:rsid w:val="00CF09EF"/>
    <w:rsid w:val="00CF0A3B"/>
    <w:rsid w:val="00CF0C13"/>
    <w:rsid w:val="00CF0D5B"/>
    <w:rsid w:val="00CF0E86"/>
    <w:rsid w:val="00CF0F4E"/>
    <w:rsid w:val="00CF1225"/>
    <w:rsid w:val="00CF14F6"/>
    <w:rsid w:val="00CF1582"/>
    <w:rsid w:val="00CF1721"/>
    <w:rsid w:val="00CF1CBB"/>
    <w:rsid w:val="00CF1CF1"/>
    <w:rsid w:val="00CF1FB6"/>
    <w:rsid w:val="00CF20D1"/>
    <w:rsid w:val="00CF212B"/>
    <w:rsid w:val="00CF25DC"/>
    <w:rsid w:val="00CF2909"/>
    <w:rsid w:val="00CF2A9F"/>
    <w:rsid w:val="00CF2E81"/>
    <w:rsid w:val="00CF301D"/>
    <w:rsid w:val="00CF31A8"/>
    <w:rsid w:val="00CF3214"/>
    <w:rsid w:val="00CF328E"/>
    <w:rsid w:val="00CF36C4"/>
    <w:rsid w:val="00CF3747"/>
    <w:rsid w:val="00CF3982"/>
    <w:rsid w:val="00CF3B99"/>
    <w:rsid w:val="00CF3BEB"/>
    <w:rsid w:val="00CF3FEC"/>
    <w:rsid w:val="00CF4334"/>
    <w:rsid w:val="00CF4358"/>
    <w:rsid w:val="00CF43E1"/>
    <w:rsid w:val="00CF478E"/>
    <w:rsid w:val="00CF4B15"/>
    <w:rsid w:val="00CF4C90"/>
    <w:rsid w:val="00CF4FAD"/>
    <w:rsid w:val="00CF51B0"/>
    <w:rsid w:val="00CF5538"/>
    <w:rsid w:val="00CF5809"/>
    <w:rsid w:val="00CF59A0"/>
    <w:rsid w:val="00CF5B0B"/>
    <w:rsid w:val="00CF5B77"/>
    <w:rsid w:val="00CF5BA6"/>
    <w:rsid w:val="00CF5DF5"/>
    <w:rsid w:val="00CF61D8"/>
    <w:rsid w:val="00CF6357"/>
    <w:rsid w:val="00CF646A"/>
    <w:rsid w:val="00CF64D3"/>
    <w:rsid w:val="00CF656F"/>
    <w:rsid w:val="00CF657B"/>
    <w:rsid w:val="00CF6673"/>
    <w:rsid w:val="00CF66F8"/>
    <w:rsid w:val="00CF69C0"/>
    <w:rsid w:val="00CF6A12"/>
    <w:rsid w:val="00CF6A18"/>
    <w:rsid w:val="00CF6A84"/>
    <w:rsid w:val="00CF7002"/>
    <w:rsid w:val="00CF73E4"/>
    <w:rsid w:val="00CF76EC"/>
    <w:rsid w:val="00CF7BBB"/>
    <w:rsid w:val="00CF7BF9"/>
    <w:rsid w:val="00CF7DA7"/>
    <w:rsid w:val="00CF7EBD"/>
    <w:rsid w:val="00CF7EC9"/>
    <w:rsid w:val="00CF7ECF"/>
    <w:rsid w:val="00D0002E"/>
    <w:rsid w:val="00D002BE"/>
    <w:rsid w:val="00D003EB"/>
    <w:rsid w:val="00D007AF"/>
    <w:rsid w:val="00D00D4C"/>
    <w:rsid w:val="00D0109F"/>
    <w:rsid w:val="00D010BC"/>
    <w:rsid w:val="00D0131C"/>
    <w:rsid w:val="00D0143A"/>
    <w:rsid w:val="00D0146E"/>
    <w:rsid w:val="00D01506"/>
    <w:rsid w:val="00D017E4"/>
    <w:rsid w:val="00D019DA"/>
    <w:rsid w:val="00D01B49"/>
    <w:rsid w:val="00D01BAE"/>
    <w:rsid w:val="00D01FB6"/>
    <w:rsid w:val="00D020C2"/>
    <w:rsid w:val="00D0232B"/>
    <w:rsid w:val="00D023CD"/>
    <w:rsid w:val="00D0241A"/>
    <w:rsid w:val="00D02678"/>
    <w:rsid w:val="00D026E1"/>
    <w:rsid w:val="00D0285D"/>
    <w:rsid w:val="00D02A26"/>
    <w:rsid w:val="00D02D8D"/>
    <w:rsid w:val="00D02E5E"/>
    <w:rsid w:val="00D0304C"/>
    <w:rsid w:val="00D03376"/>
    <w:rsid w:val="00D0344A"/>
    <w:rsid w:val="00D0356C"/>
    <w:rsid w:val="00D03659"/>
    <w:rsid w:val="00D036F4"/>
    <w:rsid w:val="00D03770"/>
    <w:rsid w:val="00D0394B"/>
    <w:rsid w:val="00D03B1C"/>
    <w:rsid w:val="00D03B9B"/>
    <w:rsid w:val="00D03C64"/>
    <w:rsid w:val="00D03FCC"/>
    <w:rsid w:val="00D04021"/>
    <w:rsid w:val="00D04121"/>
    <w:rsid w:val="00D041B3"/>
    <w:rsid w:val="00D04496"/>
    <w:rsid w:val="00D0464D"/>
    <w:rsid w:val="00D04856"/>
    <w:rsid w:val="00D0492D"/>
    <w:rsid w:val="00D0494B"/>
    <w:rsid w:val="00D0499A"/>
    <w:rsid w:val="00D04BC2"/>
    <w:rsid w:val="00D04BE5"/>
    <w:rsid w:val="00D04CA1"/>
    <w:rsid w:val="00D04CC5"/>
    <w:rsid w:val="00D04CD3"/>
    <w:rsid w:val="00D04D60"/>
    <w:rsid w:val="00D04F2F"/>
    <w:rsid w:val="00D04F4D"/>
    <w:rsid w:val="00D050F6"/>
    <w:rsid w:val="00D0517D"/>
    <w:rsid w:val="00D0542E"/>
    <w:rsid w:val="00D057F5"/>
    <w:rsid w:val="00D059B6"/>
    <w:rsid w:val="00D05A8B"/>
    <w:rsid w:val="00D05CB3"/>
    <w:rsid w:val="00D05DDB"/>
    <w:rsid w:val="00D05F7A"/>
    <w:rsid w:val="00D06051"/>
    <w:rsid w:val="00D060F5"/>
    <w:rsid w:val="00D0628A"/>
    <w:rsid w:val="00D06290"/>
    <w:rsid w:val="00D06567"/>
    <w:rsid w:val="00D06577"/>
    <w:rsid w:val="00D06758"/>
    <w:rsid w:val="00D0679E"/>
    <w:rsid w:val="00D068EC"/>
    <w:rsid w:val="00D06A85"/>
    <w:rsid w:val="00D06BEE"/>
    <w:rsid w:val="00D06C56"/>
    <w:rsid w:val="00D06D76"/>
    <w:rsid w:val="00D06EFE"/>
    <w:rsid w:val="00D06FD2"/>
    <w:rsid w:val="00D07484"/>
    <w:rsid w:val="00D0754A"/>
    <w:rsid w:val="00D075DD"/>
    <w:rsid w:val="00D077C2"/>
    <w:rsid w:val="00D07A42"/>
    <w:rsid w:val="00D07C2A"/>
    <w:rsid w:val="00D07D6F"/>
    <w:rsid w:val="00D07F0A"/>
    <w:rsid w:val="00D07F20"/>
    <w:rsid w:val="00D103A9"/>
    <w:rsid w:val="00D103D2"/>
    <w:rsid w:val="00D106C0"/>
    <w:rsid w:val="00D1073C"/>
    <w:rsid w:val="00D10955"/>
    <w:rsid w:val="00D10A54"/>
    <w:rsid w:val="00D10A76"/>
    <w:rsid w:val="00D10CC5"/>
    <w:rsid w:val="00D10F71"/>
    <w:rsid w:val="00D113BB"/>
    <w:rsid w:val="00D116C1"/>
    <w:rsid w:val="00D11755"/>
    <w:rsid w:val="00D117AB"/>
    <w:rsid w:val="00D1184A"/>
    <w:rsid w:val="00D11A21"/>
    <w:rsid w:val="00D11BFA"/>
    <w:rsid w:val="00D12314"/>
    <w:rsid w:val="00D12A0C"/>
    <w:rsid w:val="00D1301C"/>
    <w:rsid w:val="00D134AB"/>
    <w:rsid w:val="00D139C0"/>
    <w:rsid w:val="00D13ADC"/>
    <w:rsid w:val="00D13D8E"/>
    <w:rsid w:val="00D13EAB"/>
    <w:rsid w:val="00D14111"/>
    <w:rsid w:val="00D142C1"/>
    <w:rsid w:val="00D14443"/>
    <w:rsid w:val="00D1466C"/>
    <w:rsid w:val="00D146B0"/>
    <w:rsid w:val="00D15194"/>
    <w:rsid w:val="00D15337"/>
    <w:rsid w:val="00D15439"/>
    <w:rsid w:val="00D157F9"/>
    <w:rsid w:val="00D15836"/>
    <w:rsid w:val="00D15CDD"/>
    <w:rsid w:val="00D15EC6"/>
    <w:rsid w:val="00D166BC"/>
    <w:rsid w:val="00D168B3"/>
    <w:rsid w:val="00D1695C"/>
    <w:rsid w:val="00D16D54"/>
    <w:rsid w:val="00D172D4"/>
    <w:rsid w:val="00D17425"/>
    <w:rsid w:val="00D175EA"/>
    <w:rsid w:val="00D178E3"/>
    <w:rsid w:val="00D17B1A"/>
    <w:rsid w:val="00D17BBA"/>
    <w:rsid w:val="00D17C71"/>
    <w:rsid w:val="00D17D08"/>
    <w:rsid w:val="00D17FDA"/>
    <w:rsid w:val="00D2002C"/>
    <w:rsid w:val="00D20043"/>
    <w:rsid w:val="00D2018E"/>
    <w:rsid w:val="00D20220"/>
    <w:rsid w:val="00D202EF"/>
    <w:rsid w:val="00D20370"/>
    <w:rsid w:val="00D203C0"/>
    <w:rsid w:val="00D20621"/>
    <w:rsid w:val="00D206FB"/>
    <w:rsid w:val="00D20701"/>
    <w:rsid w:val="00D20979"/>
    <w:rsid w:val="00D20B66"/>
    <w:rsid w:val="00D2186F"/>
    <w:rsid w:val="00D21A76"/>
    <w:rsid w:val="00D21A90"/>
    <w:rsid w:val="00D21AF4"/>
    <w:rsid w:val="00D21B2E"/>
    <w:rsid w:val="00D21C45"/>
    <w:rsid w:val="00D21C5F"/>
    <w:rsid w:val="00D21E0B"/>
    <w:rsid w:val="00D22094"/>
    <w:rsid w:val="00D2229C"/>
    <w:rsid w:val="00D2248A"/>
    <w:rsid w:val="00D226FB"/>
    <w:rsid w:val="00D22774"/>
    <w:rsid w:val="00D22B89"/>
    <w:rsid w:val="00D22CDC"/>
    <w:rsid w:val="00D22D33"/>
    <w:rsid w:val="00D2326D"/>
    <w:rsid w:val="00D232E3"/>
    <w:rsid w:val="00D2337E"/>
    <w:rsid w:val="00D237CC"/>
    <w:rsid w:val="00D23812"/>
    <w:rsid w:val="00D23973"/>
    <w:rsid w:val="00D23A68"/>
    <w:rsid w:val="00D23B18"/>
    <w:rsid w:val="00D23B7F"/>
    <w:rsid w:val="00D23C67"/>
    <w:rsid w:val="00D23E6F"/>
    <w:rsid w:val="00D2401A"/>
    <w:rsid w:val="00D24062"/>
    <w:rsid w:val="00D24835"/>
    <w:rsid w:val="00D248CB"/>
    <w:rsid w:val="00D24A4D"/>
    <w:rsid w:val="00D24DC9"/>
    <w:rsid w:val="00D2582E"/>
    <w:rsid w:val="00D259EC"/>
    <w:rsid w:val="00D25B65"/>
    <w:rsid w:val="00D25CDF"/>
    <w:rsid w:val="00D25D16"/>
    <w:rsid w:val="00D25F24"/>
    <w:rsid w:val="00D2603A"/>
    <w:rsid w:val="00D263AC"/>
    <w:rsid w:val="00D264CC"/>
    <w:rsid w:val="00D26727"/>
    <w:rsid w:val="00D2675E"/>
    <w:rsid w:val="00D26A09"/>
    <w:rsid w:val="00D26D3F"/>
    <w:rsid w:val="00D273DB"/>
    <w:rsid w:val="00D273DD"/>
    <w:rsid w:val="00D27546"/>
    <w:rsid w:val="00D2756E"/>
    <w:rsid w:val="00D2769D"/>
    <w:rsid w:val="00D277B4"/>
    <w:rsid w:val="00D27810"/>
    <w:rsid w:val="00D27991"/>
    <w:rsid w:val="00D27A81"/>
    <w:rsid w:val="00D27AE5"/>
    <w:rsid w:val="00D27BCD"/>
    <w:rsid w:val="00D27CC3"/>
    <w:rsid w:val="00D27E18"/>
    <w:rsid w:val="00D27FF3"/>
    <w:rsid w:val="00D3036B"/>
    <w:rsid w:val="00D304A2"/>
    <w:rsid w:val="00D304BB"/>
    <w:rsid w:val="00D30643"/>
    <w:rsid w:val="00D30B17"/>
    <w:rsid w:val="00D30EBF"/>
    <w:rsid w:val="00D31069"/>
    <w:rsid w:val="00D31080"/>
    <w:rsid w:val="00D3148F"/>
    <w:rsid w:val="00D316BA"/>
    <w:rsid w:val="00D3182B"/>
    <w:rsid w:val="00D31B78"/>
    <w:rsid w:val="00D31E94"/>
    <w:rsid w:val="00D322DB"/>
    <w:rsid w:val="00D32947"/>
    <w:rsid w:val="00D3297C"/>
    <w:rsid w:val="00D32A4D"/>
    <w:rsid w:val="00D32B3A"/>
    <w:rsid w:val="00D32B53"/>
    <w:rsid w:val="00D32C48"/>
    <w:rsid w:val="00D32D9F"/>
    <w:rsid w:val="00D32DB3"/>
    <w:rsid w:val="00D32EB1"/>
    <w:rsid w:val="00D33088"/>
    <w:rsid w:val="00D332F9"/>
    <w:rsid w:val="00D335B3"/>
    <w:rsid w:val="00D335F3"/>
    <w:rsid w:val="00D337A1"/>
    <w:rsid w:val="00D33BB1"/>
    <w:rsid w:val="00D34386"/>
    <w:rsid w:val="00D3448F"/>
    <w:rsid w:val="00D34651"/>
    <w:rsid w:val="00D3470D"/>
    <w:rsid w:val="00D34A25"/>
    <w:rsid w:val="00D34A2F"/>
    <w:rsid w:val="00D34A46"/>
    <w:rsid w:val="00D34C6D"/>
    <w:rsid w:val="00D34DA4"/>
    <w:rsid w:val="00D3512E"/>
    <w:rsid w:val="00D351E2"/>
    <w:rsid w:val="00D35269"/>
    <w:rsid w:val="00D353F5"/>
    <w:rsid w:val="00D35747"/>
    <w:rsid w:val="00D35963"/>
    <w:rsid w:val="00D35CAF"/>
    <w:rsid w:val="00D35E40"/>
    <w:rsid w:val="00D35F43"/>
    <w:rsid w:val="00D35F9D"/>
    <w:rsid w:val="00D35FBF"/>
    <w:rsid w:val="00D360F8"/>
    <w:rsid w:val="00D3614B"/>
    <w:rsid w:val="00D362D1"/>
    <w:rsid w:val="00D36629"/>
    <w:rsid w:val="00D367E0"/>
    <w:rsid w:val="00D3680B"/>
    <w:rsid w:val="00D36936"/>
    <w:rsid w:val="00D36AA6"/>
    <w:rsid w:val="00D36B4D"/>
    <w:rsid w:val="00D36B97"/>
    <w:rsid w:val="00D36BA6"/>
    <w:rsid w:val="00D36F65"/>
    <w:rsid w:val="00D3725F"/>
    <w:rsid w:val="00D37276"/>
    <w:rsid w:val="00D373DB"/>
    <w:rsid w:val="00D37414"/>
    <w:rsid w:val="00D37C68"/>
    <w:rsid w:val="00D37DB4"/>
    <w:rsid w:val="00D37E6C"/>
    <w:rsid w:val="00D400BB"/>
    <w:rsid w:val="00D40189"/>
    <w:rsid w:val="00D4026B"/>
    <w:rsid w:val="00D40436"/>
    <w:rsid w:val="00D40500"/>
    <w:rsid w:val="00D40600"/>
    <w:rsid w:val="00D406C0"/>
    <w:rsid w:val="00D40768"/>
    <w:rsid w:val="00D4097D"/>
    <w:rsid w:val="00D40A37"/>
    <w:rsid w:val="00D40F86"/>
    <w:rsid w:val="00D40F90"/>
    <w:rsid w:val="00D4104D"/>
    <w:rsid w:val="00D410EB"/>
    <w:rsid w:val="00D415CC"/>
    <w:rsid w:val="00D4197D"/>
    <w:rsid w:val="00D419E1"/>
    <w:rsid w:val="00D41FAE"/>
    <w:rsid w:val="00D42106"/>
    <w:rsid w:val="00D4217C"/>
    <w:rsid w:val="00D42197"/>
    <w:rsid w:val="00D423D9"/>
    <w:rsid w:val="00D42564"/>
    <w:rsid w:val="00D425F9"/>
    <w:rsid w:val="00D4284B"/>
    <w:rsid w:val="00D42C4B"/>
    <w:rsid w:val="00D42D84"/>
    <w:rsid w:val="00D42EAA"/>
    <w:rsid w:val="00D42F71"/>
    <w:rsid w:val="00D4323A"/>
    <w:rsid w:val="00D43288"/>
    <w:rsid w:val="00D43347"/>
    <w:rsid w:val="00D43535"/>
    <w:rsid w:val="00D4382D"/>
    <w:rsid w:val="00D438DD"/>
    <w:rsid w:val="00D43937"/>
    <w:rsid w:val="00D439C1"/>
    <w:rsid w:val="00D43FA3"/>
    <w:rsid w:val="00D442A7"/>
    <w:rsid w:val="00D445A8"/>
    <w:rsid w:val="00D44632"/>
    <w:rsid w:val="00D44C06"/>
    <w:rsid w:val="00D44C1E"/>
    <w:rsid w:val="00D44C4C"/>
    <w:rsid w:val="00D450A2"/>
    <w:rsid w:val="00D45273"/>
    <w:rsid w:val="00D452ED"/>
    <w:rsid w:val="00D4563C"/>
    <w:rsid w:val="00D45696"/>
    <w:rsid w:val="00D456B4"/>
    <w:rsid w:val="00D45D34"/>
    <w:rsid w:val="00D45E95"/>
    <w:rsid w:val="00D45FA7"/>
    <w:rsid w:val="00D461E8"/>
    <w:rsid w:val="00D463EC"/>
    <w:rsid w:val="00D465D6"/>
    <w:rsid w:val="00D466DB"/>
    <w:rsid w:val="00D46772"/>
    <w:rsid w:val="00D468D1"/>
    <w:rsid w:val="00D47050"/>
    <w:rsid w:val="00D47321"/>
    <w:rsid w:val="00D47781"/>
    <w:rsid w:val="00D478F8"/>
    <w:rsid w:val="00D47B22"/>
    <w:rsid w:val="00D47ECC"/>
    <w:rsid w:val="00D505A4"/>
    <w:rsid w:val="00D506C5"/>
    <w:rsid w:val="00D5075F"/>
    <w:rsid w:val="00D50836"/>
    <w:rsid w:val="00D50929"/>
    <w:rsid w:val="00D50BCA"/>
    <w:rsid w:val="00D50C86"/>
    <w:rsid w:val="00D50CCF"/>
    <w:rsid w:val="00D51121"/>
    <w:rsid w:val="00D5131A"/>
    <w:rsid w:val="00D513E7"/>
    <w:rsid w:val="00D51479"/>
    <w:rsid w:val="00D514F8"/>
    <w:rsid w:val="00D51696"/>
    <w:rsid w:val="00D51887"/>
    <w:rsid w:val="00D51950"/>
    <w:rsid w:val="00D51E48"/>
    <w:rsid w:val="00D526AD"/>
    <w:rsid w:val="00D5278C"/>
    <w:rsid w:val="00D527E6"/>
    <w:rsid w:val="00D52A32"/>
    <w:rsid w:val="00D52B6C"/>
    <w:rsid w:val="00D52C57"/>
    <w:rsid w:val="00D52DBF"/>
    <w:rsid w:val="00D52FAF"/>
    <w:rsid w:val="00D53385"/>
    <w:rsid w:val="00D533C4"/>
    <w:rsid w:val="00D5363F"/>
    <w:rsid w:val="00D53832"/>
    <w:rsid w:val="00D53DE7"/>
    <w:rsid w:val="00D53F08"/>
    <w:rsid w:val="00D54078"/>
    <w:rsid w:val="00D542F9"/>
    <w:rsid w:val="00D5440F"/>
    <w:rsid w:val="00D54589"/>
    <w:rsid w:val="00D54875"/>
    <w:rsid w:val="00D549A5"/>
    <w:rsid w:val="00D549ED"/>
    <w:rsid w:val="00D54AE7"/>
    <w:rsid w:val="00D54D85"/>
    <w:rsid w:val="00D54DE2"/>
    <w:rsid w:val="00D54FC9"/>
    <w:rsid w:val="00D54FF8"/>
    <w:rsid w:val="00D5512D"/>
    <w:rsid w:val="00D55171"/>
    <w:rsid w:val="00D552D2"/>
    <w:rsid w:val="00D5530E"/>
    <w:rsid w:val="00D557E6"/>
    <w:rsid w:val="00D55833"/>
    <w:rsid w:val="00D55927"/>
    <w:rsid w:val="00D559E1"/>
    <w:rsid w:val="00D55B5E"/>
    <w:rsid w:val="00D55BC0"/>
    <w:rsid w:val="00D55C62"/>
    <w:rsid w:val="00D55CF4"/>
    <w:rsid w:val="00D55E79"/>
    <w:rsid w:val="00D55E81"/>
    <w:rsid w:val="00D56251"/>
    <w:rsid w:val="00D5627B"/>
    <w:rsid w:val="00D563FC"/>
    <w:rsid w:val="00D5651E"/>
    <w:rsid w:val="00D565EF"/>
    <w:rsid w:val="00D5679D"/>
    <w:rsid w:val="00D569AB"/>
    <w:rsid w:val="00D56C58"/>
    <w:rsid w:val="00D56CDE"/>
    <w:rsid w:val="00D56E29"/>
    <w:rsid w:val="00D57156"/>
    <w:rsid w:val="00D57179"/>
    <w:rsid w:val="00D5723D"/>
    <w:rsid w:val="00D57455"/>
    <w:rsid w:val="00D57824"/>
    <w:rsid w:val="00D57880"/>
    <w:rsid w:val="00D5791C"/>
    <w:rsid w:val="00D57A17"/>
    <w:rsid w:val="00D57E7F"/>
    <w:rsid w:val="00D57FAF"/>
    <w:rsid w:val="00D6004F"/>
    <w:rsid w:val="00D6007D"/>
    <w:rsid w:val="00D60133"/>
    <w:rsid w:val="00D60335"/>
    <w:rsid w:val="00D604A5"/>
    <w:rsid w:val="00D60524"/>
    <w:rsid w:val="00D60664"/>
    <w:rsid w:val="00D60706"/>
    <w:rsid w:val="00D607BC"/>
    <w:rsid w:val="00D608A6"/>
    <w:rsid w:val="00D60D00"/>
    <w:rsid w:val="00D610B1"/>
    <w:rsid w:val="00D6119A"/>
    <w:rsid w:val="00D61361"/>
    <w:rsid w:val="00D61AE3"/>
    <w:rsid w:val="00D61B5B"/>
    <w:rsid w:val="00D61B92"/>
    <w:rsid w:val="00D61EBA"/>
    <w:rsid w:val="00D61ECD"/>
    <w:rsid w:val="00D62197"/>
    <w:rsid w:val="00D622BF"/>
    <w:rsid w:val="00D62496"/>
    <w:rsid w:val="00D62624"/>
    <w:rsid w:val="00D626F5"/>
    <w:rsid w:val="00D62722"/>
    <w:rsid w:val="00D629D4"/>
    <w:rsid w:val="00D62E44"/>
    <w:rsid w:val="00D62EF5"/>
    <w:rsid w:val="00D63249"/>
    <w:rsid w:val="00D63709"/>
    <w:rsid w:val="00D63A52"/>
    <w:rsid w:val="00D63B0A"/>
    <w:rsid w:val="00D63B90"/>
    <w:rsid w:val="00D640CD"/>
    <w:rsid w:val="00D6420F"/>
    <w:rsid w:val="00D64614"/>
    <w:rsid w:val="00D64674"/>
    <w:rsid w:val="00D64896"/>
    <w:rsid w:val="00D649EE"/>
    <w:rsid w:val="00D64B28"/>
    <w:rsid w:val="00D64E8D"/>
    <w:rsid w:val="00D651B2"/>
    <w:rsid w:val="00D65478"/>
    <w:rsid w:val="00D65528"/>
    <w:rsid w:val="00D6552F"/>
    <w:rsid w:val="00D65561"/>
    <w:rsid w:val="00D6578C"/>
    <w:rsid w:val="00D658C2"/>
    <w:rsid w:val="00D659C1"/>
    <w:rsid w:val="00D659F3"/>
    <w:rsid w:val="00D65AB4"/>
    <w:rsid w:val="00D660BB"/>
    <w:rsid w:val="00D6623F"/>
    <w:rsid w:val="00D663C7"/>
    <w:rsid w:val="00D664C4"/>
    <w:rsid w:val="00D66A34"/>
    <w:rsid w:val="00D66A43"/>
    <w:rsid w:val="00D66A5D"/>
    <w:rsid w:val="00D66C09"/>
    <w:rsid w:val="00D66EB6"/>
    <w:rsid w:val="00D66F3F"/>
    <w:rsid w:val="00D672F0"/>
    <w:rsid w:val="00D67483"/>
    <w:rsid w:val="00D6759F"/>
    <w:rsid w:val="00D67772"/>
    <w:rsid w:val="00D679DF"/>
    <w:rsid w:val="00D67B85"/>
    <w:rsid w:val="00D67BB1"/>
    <w:rsid w:val="00D67E8F"/>
    <w:rsid w:val="00D67F90"/>
    <w:rsid w:val="00D70067"/>
    <w:rsid w:val="00D70087"/>
    <w:rsid w:val="00D70131"/>
    <w:rsid w:val="00D702F8"/>
    <w:rsid w:val="00D7036A"/>
    <w:rsid w:val="00D704CC"/>
    <w:rsid w:val="00D7051A"/>
    <w:rsid w:val="00D70612"/>
    <w:rsid w:val="00D706E6"/>
    <w:rsid w:val="00D707C7"/>
    <w:rsid w:val="00D7083D"/>
    <w:rsid w:val="00D70AE7"/>
    <w:rsid w:val="00D70DC9"/>
    <w:rsid w:val="00D70DEA"/>
    <w:rsid w:val="00D70E2D"/>
    <w:rsid w:val="00D71018"/>
    <w:rsid w:val="00D71078"/>
    <w:rsid w:val="00D71097"/>
    <w:rsid w:val="00D7145F"/>
    <w:rsid w:val="00D7161A"/>
    <w:rsid w:val="00D7189D"/>
    <w:rsid w:val="00D71F41"/>
    <w:rsid w:val="00D7206A"/>
    <w:rsid w:val="00D72205"/>
    <w:rsid w:val="00D722DD"/>
    <w:rsid w:val="00D72424"/>
    <w:rsid w:val="00D7242D"/>
    <w:rsid w:val="00D72528"/>
    <w:rsid w:val="00D725BF"/>
    <w:rsid w:val="00D7277A"/>
    <w:rsid w:val="00D7278F"/>
    <w:rsid w:val="00D728AA"/>
    <w:rsid w:val="00D72D5C"/>
    <w:rsid w:val="00D7304D"/>
    <w:rsid w:val="00D730DF"/>
    <w:rsid w:val="00D7319E"/>
    <w:rsid w:val="00D7328C"/>
    <w:rsid w:val="00D732AB"/>
    <w:rsid w:val="00D73351"/>
    <w:rsid w:val="00D73564"/>
    <w:rsid w:val="00D735DE"/>
    <w:rsid w:val="00D736AD"/>
    <w:rsid w:val="00D73954"/>
    <w:rsid w:val="00D739A7"/>
    <w:rsid w:val="00D73A98"/>
    <w:rsid w:val="00D73AF1"/>
    <w:rsid w:val="00D73CA5"/>
    <w:rsid w:val="00D73FA2"/>
    <w:rsid w:val="00D74045"/>
    <w:rsid w:val="00D74249"/>
    <w:rsid w:val="00D74318"/>
    <w:rsid w:val="00D74323"/>
    <w:rsid w:val="00D74870"/>
    <w:rsid w:val="00D74947"/>
    <w:rsid w:val="00D7496D"/>
    <w:rsid w:val="00D74CE9"/>
    <w:rsid w:val="00D74DE3"/>
    <w:rsid w:val="00D74E5F"/>
    <w:rsid w:val="00D75019"/>
    <w:rsid w:val="00D7511C"/>
    <w:rsid w:val="00D75F4C"/>
    <w:rsid w:val="00D7611B"/>
    <w:rsid w:val="00D761F3"/>
    <w:rsid w:val="00D76E1A"/>
    <w:rsid w:val="00D76E93"/>
    <w:rsid w:val="00D77063"/>
    <w:rsid w:val="00D77162"/>
    <w:rsid w:val="00D77284"/>
    <w:rsid w:val="00D776BF"/>
    <w:rsid w:val="00D77797"/>
    <w:rsid w:val="00D77C90"/>
    <w:rsid w:val="00D77D23"/>
    <w:rsid w:val="00D77E7F"/>
    <w:rsid w:val="00D80103"/>
    <w:rsid w:val="00D80281"/>
    <w:rsid w:val="00D80394"/>
    <w:rsid w:val="00D804EE"/>
    <w:rsid w:val="00D80544"/>
    <w:rsid w:val="00D80555"/>
    <w:rsid w:val="00D805AA"/>
    <w:rsid w:val="00D806CB"/>
    <w:rsid w:val="00D80821"/>
    <w:rsid w:val="00D809C6"/>
    <w:rsid w:val="00D80EAA"/>
    <w:rsid w:val="00D80FE3"/>
    <w:rsid w:val="00D810EB"/>
    <w:rsid w:val="00D81432"/>
    <w:rsid w:val="00D8145C"/>
    <w:rsid w:val="00D814AD"/>
    <w:rsid w:val="00D81625"/>
    <w:rsid w:val="00D8172A"/>
    <w:rsid w:val="00D81862"/>
    <w:rsid w:val="00D81915"/>
    <w:rsid w:val="00D81C42"/>
    <w:rsid w:val="00D81D8B"/>
    <w:rsid w:val="00D821D4"/>
    <w:rsid w:val="00D825BD"/>
    <w:rsid w:val="00D827F1"/>
    <w:rsid w:val="00D82869"/>
    <w:rsid w:val="00D82F1A"/>
    <w:rsid w:val="00D830C4"/>
    <w:rsid w:val="00D832DB"/>
    <w:rsid w:val="00D83469"/>
    <w:rsid w:val="00D835F3"/>
    <w:rsid w:val="00D83716"/>
    <w:rsid w:val="00D83DCA"/>
    <w:rsid w:val="00D83FCD"/>
    <w:rsid w:val="00D843C9"/>
    <w:rsid w:val="00D845B2"/>
    <w:rsid w:val="00D846EB"/>
    <w:rsid w:val="00D8474C"/>
    <w:rsid w:val="00D84AC8"/>
    <w:rsid w:val="00D84AFD"/>
    <w:rsid w:val="00D84D08"/>
    <w:rsid w:val="00D84DF0"/>
    <w:rsid w:val="00D84E19"/>
    <w:rsid w:val="00D84FD3"/>
    <w:rsid w:val="00D85269"/>
    <w:rsid w:val="00D854B3"/>
    <w:rsid w:val="00D85AE1"/>
    <w:rsid w:val="00D85AE6"/>
    <w:rsid w:val="00D85D3F"/>
    <w:rsid w:val="00D85DF0"/>
    <w:rsid w:val="00D862DC"/>
    <w:rsid w:val="00D865A2"/>
    <w:rsid w:val="00D86608"/>
    <w:rsid w:val="00D8664B"/>
    <w:rsid w:val="00D86862"/>
    <w:rsid w:val="00D8696E"/>
    <w:rsid w:val="00D869CE"/>
    <w:rsid w:val="00D86D61"/>
    <w:rsid w:val="00D86F49"/>
    <w:rsid w:val="00D8744C"/>
    <w:rsid w:val="00D87736"/>
    <w:rsid w:val="00D879D5"/>
    <w:rsid w:val="00D87CC8"/>
    <w:rsid w:val="00D900E0"/>
    <w:rsid w:val="00D90105"/>
    <w:rsid w:val="00D90519"/>
    <w:rsid w:val="00D9065F"/>
    <w:rsid w:val="00D90A53"/>
    <w:rsid w:val="00D90AEC"/>
    <w:rsid w:val="00D90C96"/>
    <w:rsid w:val="00D90D59"/>
    <w:rsid w:val="00D90D8F"/>
    <w:rsid w:val="00D91588"/>
    <w:rsid w:val="00D9177B"/>
    <w:rsid w:val="00D91844"/>
    <w:rsid w:val="00D91865"/>
    <w:rsid w:val="00D91CB1"/>
    <w:rsid w:val="00D91DDD"/>
    <w:rsid w:val="00D91E9C"/>
    <w:rsid w:val="00D91F9F"/>
    <w:rsid w:val="00D92430"/>
    <w:rsid w:val="00D924B0"/>
    <w:rsid w:val="00D9282E"/>
    <w:rsid w:val="00D92956"/>
    <w:rsid w:val="00D92E2E"/>
    <w:rsid w:val="00D92FD3"/>
    <w:rsid w:val="00D930B4"/>
    <w:rsid w:val="00D934BC"/>
    <w:rsid w:val="00D934EC"/>
    <w:rsid w:val="00D93625"/>
    <w:rsid w:val="00D9369A"/>
    <w:rsid w:val="00D936CC"/>
    <w:rsid w:val="00D93EB9"/>
    <w:rsid w:val="00D94222"/>
    <w:rsid w:val="00D945EB"/>
    <w:rsid w:val="00D94682"/>
    <w:rsid w:val="00D9468A"/>
    <w:rsid w:val="00D94A2E"/>
    <w:rsid w:val="00D94C77"/>
    <w:rsid w:val="00D94CDC"/>
    <w:rsid w:val="00D94D88"/>
    <w:rsid w:val="00D94E69"/>
    <w:rsid w:val="00D95414"/>
    <w:rsid w:val="00D958C3"/>
    <w:rsid w:val="00D95CA4"/>
    <w:rsid w:val="00D95CD5"/>
    <w:rsid w:val="00D95FAC"/>
    <w:rsid w:val="00D961B8"/>
    <w:rsid w:val="00D9630F"/>
    <w:rsid w:val="00D96D43"/>
    <w:rsid w:val="00D96EA6"/>
    <w:rsid w:val="00D9725E"/>
    <w:rsid w:val="00D974C1"/>
    <w:rsid w:val="00D977B2"/>
    <w:rsid w:val="00D9781D"/>
    <w:rsid w:val="00D97E69"/>
    <w:rsid w:val="00D97F11"/>
    <w:rsid w:val="00D97FD9"/>
    <w:rsid w:val="00DA050A"/>
    <w:rsid w:val="00DA050C"/>
    <w:rsid w:val="00DA062F"/>
    <w:rsid w:val="00DA0893"/>
    <w:rsid w:val="00DA0A3D"/>
    <w:rsid w:val="00DA0CF5"/>
    <w:rsid w:val="00DA0F8B"/>
    <w:rsid w:val="00DA1290"/>
    <w:rsid w:val="00DA1496"/>
    <w:rsid w:val="00DA1553"/>
    <w:rsid w:val="00DA16C7"/>
    <w:rsid w:val="00DA1813"/>
    <w:rsid w:val="00DA2162"/>
    <w:rsid w:val="00DA2195"/>
    <w:rsid w:val="00DA2460"/>
    <w:rsid w:val="00DA29A7"/>
    <w:rsid w:val="00DA3383"/>
    <w:rsid w:val="00DA3529"/>
    <w:rsid w:val="00DA38C5"/>
    <w:rsid w:val="00DA3F8A"/>
    <w:rsid w:val="00DA3FA6"/>
    <w:rsid w:val="00DA40D5"/>
    <w:rsid w:val="00DA412A"/>
    <w:rsid w:val="00DA42A2"/>
    <w:rsid w:val="00DA4337"/>
    <w:rsid w:val="00DA4489"/>
    <w:rsid w:val="00DA4543"/>
    <w:rsid w:val="00DA45E9"/>
    <w:rsid w:val="00DA4AC7"/>
    <w:rsid w:val="00DA4B98"/>
    <w:rsid w:val="00DA5053"/>
    <w:rsid w:val="00DA50A9"/>
    <w:rsid w:val="00DA51B8"/>
    <w:rsid w:val="00DA529A"/>
    <w:rsid w:val="00DA53BF"/>
    <w:rsid w:val="00DA579E"/>
    <w:rsid w:val="00DA579F"/>
    <w:rsid w:val="00DA5889"/>
    <w:rsid w:val="00DA5EBA"/>
    <w:rsid w:val="00DA5F49"/>
    <w:rsid w:val="00DA5F90"/>
    <w:rsid w:val="00DA624D"/>
    <w:rsid w:val="00DA6250"/>
    <w:rsid w:val="00DA6372"/>
    <w:rsid w:val="00DA6547"/>
    <w:rsid w:val="00DA6673"/>
    <w:rsid w:val="00DA67BA"/>
    <w:rsid w:val="00DA6A67"/>
    <w:rsid w:val="00DA727F"/>
    <w:rsid w:val="00DA75C8"/>
    <w:rsid w:val="00DA7686"/>
    <w:rsid w:val="00DA789A"/>
    <w:rsid w:val="00DA7AA9"/>
    <w:rsid w:val="00DA7ABA"/>
    <w:rsid w:val="00DA7CC7"/>
    <w:rsid w:val="00DA7DEF"/>
    <w:rsid w:val="00DB00BB"/>
    <w:rsid w:val="00DB01CB"/>
    <w:rsid w:val="00DB036C"/>
    <w:rsid w:val="00DB049C"/>
    <w:rsid w:val="00DB095C"/>
    <w:rsid w:val="00DB095D"/>
    <w:rsid w:val="00DB0B2D"/>
    <w:rsid w:val="00DB0F23"/>
    <w:rsid w:val="00DB1054"/>
    <w:rsid w:val="00DB10DE"/>
    <w:rsid w:val="00DB165B"/>
    <w:rsid w:val="00DB16A0"/>
    <w:rsid w:val="00DB191A"/>
    <w:rsid w:val="00DB199E"/>
    <w:rsid w:val="00DB1AE5"/>
    <w:rsid w:val="00DB1AFD"/>
    <w:rsid w:val="00DB1D2A"/>
    <w:rsid w:val="00DB200C"/>
    <w:rsid w:val="00DB2125"/>
    <w:rsid w:val="00DB2144"/>
    <w:rsid w:val="00DB22C1"/>
    <w:rsid w:val="00DB22FC"/>
    <w:rsid w:val="00DB2395"/>
    <w:rsid w:val="00DB2618"/>
    <w:rsid w:val="00DB2669"/>
    <w:rsid w:val="00DB2B5A"/>
    <w:rsid w:val="00DB2C06"/>
    <w:rsid w:val="00DB2D1D"/>
    <w:rsid w:val="00DB2D45"/>
    <w:rsid w:val="00DB3733"/>
    <w:rsid w:val="00DB3AE9"/>
    <w:rsid w:val="00DB3BBD"/>
    <w:rsid w:val="00DB3EA9"/>
    <w:rsid w:val="00DB3EB7"/>
    <w:rsid w:val="00DB3EE5"/>
    <w:rsid w:val="00DB3EEC"/>
    <w:rsid w:val="00DB41F3"/>
    <w:rsid w:val="00DB4337"/>
    <w:rsid w:val="00DB43A6"/>
    <w:rsid w:val="00DB45B4"/>
    <w:rsid w:val="00DB473D"/>
    <w:rsid w:val="00DB491B"/>
    <w:rsid w:val="00DB49A9"/>
    <w:rsid w:val="00DB49FC"/>
    <w:rsid w:val="00DB4B38"/>
    <w:rsid w:val="00DB4B97"/>
    <w:rsid w:val="00DB544E"/>
    <w:rsid w:val="00DB5836"/>
    <w:rsid w:val="00DB5843"/>
    <w:rsid w:val="00DB5877"/>
    <w:rsid w:val="00DB58CC"/>
    <w:rsid w:val="00DB5A81"/>
    <w:rsid w:val="00DB5AE7"/>
    <w:rsid w:val="00DB5B88"/>
    <w:rsid w:val="00DB5BE0"/>
    <w:rsid w:val="00DB5CA6"/>
    <w:rsid w:val="00DB5D6D"/>
    <w:rsid w:val="00DB5D9C"/>
    <w:rsid w:val="00DB5FCB"/>
    <w:rsid w:val="00DB600C"/>
    <w:rsid w:val="00DB6041"/>
    <w:rsid w:val="00DB61DB"/>
    <w:rsid w:val="00DB62F0"/>
    <w:rsid w:val="00DB644E"/>
    <w:rsid w:val="00DB646B"/>
    <w:rsid w:val="00DB67A3"/>
    <w:rsid w:val="00DB68F7"/>
    <w:rsid w:val="00DB6962"/>
    <w:rsid w:val="00DB6AEE"/>
    <w:rsid w:val="00DB6B8A"/>
    <w:rsid w:val="00DB6D0D"/>
    <w:rsid w:val="00DB6EAA"/>
    <w:rsid w:val="00DB7013"/>
    <w:rsid w:val="00DB70A6"/>
    <w:rsid w:val="00DB70F7"/>
    <w:rsid w:val="00DB714B"/>
    <w:rsid w:val="00DB7644"/>
    <w:rsid w:val="00DB7839"/>
    <w:rsid w:val="00DB79ED"/>
    <w:rsid w:val="00DB79F4"/>
    <w:rsid w:val="00DB7A2C"/>
    <w:rsid w:val="00DB7AE8"/>
    <w:rsid w:val="00DB7B51"/>
    <w:rsid w:val="00DB7B9A"/>
    <w:rsid w:val="00DB7D37"/>
    <w:rsid w:val="00DB7EC8"/>
    <w:rsid w:val="00DB7F06"/>
    <w:rsid w:val="00DC0164"/>
    <w:rsid w:val="00DC0336"/>
    <w:rsid w:val="00DC04B4"/>
    <w:rsid w:val="00DC04CE"/>
    <w:rsid w:val="00DC0599"/>
    <w:rsid w:val="00DC064C"/>
    <w:rsid w:val="00DC0969"/>
    <w:rsid w:val="00DC0BE7"/>
    <w:rsid w:val="00DC0E3C"/>
    <w:rsid w:val="00DC0E5D"/>
    <w:rsid w:val="00DC1183"/>
    <w:rsid w:val="00DC1185"/>
    <w:rsid w:val="00DC1288"/>
    <w:rsid w:val="00DC152C"/>
    <w:rsid w:val="00DC1542"/>
    <w:rsid w:val="00DC1597"/>
    <w:rsid w:val="00DC1D80"/>
    <w:rsid w:val="00DC1EE5"/>
    <w:rsid w:val="00DC2175"/>
    <w:rsid w:val="00DC2304"/>
    <w:rsid w:val="00DC2806"/>
    <w:rsid w:val="00DC2974"/>
    <w:rsid w:val="00DC2C27"/>
    <w:rsid w:val="00DC2E2C"/>
    <w:rsid w:val="00DC2E49"/>
    <w:rsid w:val="00DC2EB1"/>
    <w:rsid w:val="00DC2EF6"/>
    <w:rsid w:val="00DC2F93"/>
    <w:rsid w:val="00DC31A2"/>
    <w:rsid w:val="00DC3205"/>
    <w:rsid w:val="00DC3242"/>
    <w:rsid w:val="00DC3307"/>
    <w:rsid w:val="00DC331C"/>
    <w:rsid w:val="00DC3349"/>
    <w:rsid w:val="00DC3397"/>
    <w:rsid w:val="00DC34E7"/>
    <w:rsid w:val="00DC358D"/>
    <w:rsid w:val="00DC360F"/>
    <w:rsid w:val="00DC397B"/>
    <w:rsid w:val="00DC3EF0"/>
    <w:rsid w:val="00DC403E"/>
    <w:rsid w:val="00DC41C6"/>
    <w:rsid w:val="00DC4640"/>
    <w:rsid w:val="00DC46E3"/>
    <w:rsid w:val="00DC4779"/>
    <w:rsid w:val="00DC480C"/>
    <w:rsid w:val="00DC491F"/>
    <w:rsid w:val="00DC4A03"/>
    <w:rsid w:val="00DC4AFD"/>
    <w:rsid w:val="00DC4B46"/>
    <w:rsid w:val="00DC4D2C"/>
    <w:rsid w:val="00DC4D70"/>
    <w:rsid w:val="00DC4DA1"/>
    <w:rsid w:val="00DC4DC9"/>
    <w:rsid w:val="00DC4E33"/>
    <w:rsid w:val="00DC4F96"/>
    <w:rsid w:val="00DC4FD3"/>
    <w:rsid w:val="00DC504F"/>
    <w:rsid w:val="00DC5214"/>
    <w:rsid w:val="00DC5291"/>
    <w:rsid w:val="00DC53F1"/>
    <w:rsid w:val="00DC54C1"/>
    <w:rsid w:val="00DC54DE"/>
    <w:rsid w:val="00DC5C82"/>
    <w:rsid w:val="00DC5C97"/>
    <w:rsid w:val="00DC5E88"/>
    <w:rsid w:val="00DC5EAD"/>
    <w:rsid w:val="00DC6010"/>
    <w:rsid w:val="00DC6D40"/>
    <w:rsid w:val="00DC6EE9"/>
    <w:rsid w:val="00DC71F7"/>
    <w:rsid w:val="00DC737E"/>
    <w:rsid w:val="00DC77CE"/>
    <w:rsid w:val="00DC7801"/>
    <w:rsid w:val="00DD017E"/>
    <w:rsid w:val="00DD03D3"/>
    <w:rsid w:val="00DD03D7"/>
    <w:rsid w:val="00DD046D"/>
    <w:rsid w:val="00DD0780"/>
    <w:rsid w:val="00DD0840"/>
    <w:rsid w:val="00DD0A2C"/>
    <w:rsid w:val="00DD0DC4"/>
    <w:rsid w:val="00DD0DD5"/>
    <w:rsid w:val="00DD11BB"/>
    <w:rsid w:val="00DD144D"/>
    <w:rsid w:val="00DD14D5"/>
    <w:rsid w:val="00DD15D2"/>
    <w:rsid w:val="00DD160A"/>
    <w:rsid w:val="00DD1628"/>
    <w:rsid w:val="00DD16E8"/>
    <w:rsid w:val="00DD1A68"/>
    <w:rsid w:val="00DD1B0A"/>
    <w:rsid w:val="00DD1B75"/>
    <w:rsid w:val="00DD1EAB"/>
    <w:rsid w:val="00DD1EB2"/>
    <w:rsid w:val="00DD222F"/>
    <w:rsid w:val="00DD225E"/>
    <w:rsid w:val="00DD22F2"/>
    <w:rsid w:val="00DD23C6"/>
    <w:rsid w:val="00DD2446"/>
    <w:rsid w:val="00DD277F"/>
    <w:rsid w:val="00DD2898"/>
    <w:rsid w:val="00DD2A2A"/>
    <w:rsid w:val="00DD2E20"/>
    <w:rsid w:val="00DD2E23"/>
    <w:rsid w:val="00DD3043"/>
    <w:rsid w:val="00DD3244"/>
    <w:rsid w:val="00DD3288"/>
    <w:rsid w:val="00DD3609"/>
    <w:rsid w:val="00DD3805"/>
    <w:rsid w:val="00DD3ECD"/>
    <w:rsid w:val="00DD4339"/>
    <w:rsid w:val="00DD4593"/>
    <w:rsid w:val="00DD45A8"/>
    <w:rsid w:val="00DD4694"/>
    <w:rsid w:val="00DD4779"/>
    <w:rsid w:val="00DD4A83"/>
    <w:rsid w:val="00DD4BF7"/>
    <w:rsid w:val="00DD52AC"/>
    <w:rsid w:val="00DD5363"/>
    <w:rsid w:val="00DD53BD"/>
    <w:rsid w:val="00DD55F2"/>
    <w:rsid w:val="00DD56C3"/>
    <w:rsid w:val="00DD5890"/>
    <w:rsid w:val="00DD5A07"/>
    <w:rsid w:val="00DD5C2E"/>
    <w:rsid w:val="00DD5CC7"/>
    <w:rsid w:val="00DD5DFD"/>
    <w:rsid w:val="00DD617B"/>
    <w:rsid w:val="00DD6354"/>
    <w:rsid w:val="00DD6467"/>
    <w:rsid w:val="00DD6485"/>
    <w:rsid w:val="00DD6680"/>
    <w:rsid w:val="00DD66D0"/>
    <w:rsid w:val="00DD68A3"/>
    <w:rsid w:val="00DD692C"/>
    <w:rsid w:val="00DD69FE"/>
    <w:rsid w:val="00DD6C0D"/>
    <w:rsid w:val="00DD6CB1"/>
    <w:rsid w:val="00DD6CBD"/>
    <w:rsid w:val="00DD6E32"/>
    <w:rsid w:val="00DD7050"/>
    <w:rsid w:val="00DD70EA"/>
    <w:rsid w:val="00DD71CD"/>
    <w:rsid w:val="00DD7410"/>
    <w:rsid w:val="00DD7412"/>
    <w:rsid w:val="00DD75A9"/>
    <w:rsid w:val="00DD75F0"/>
    <w:rsid w:val="00DD7790"/>
    <w:rsid w:val="00DD7903"/>
    <w:rsid w:val="00DD7BC3"/>
    <w:rsid w:val="00DE0358"/>
    <w:rsid w:val="00DE03F6"/>
    <w:rsid w:val="00DE0402"/>
    <w:rsid w:val="00DE0479"/>
    <w:rsid w:val="00DE04C0"/>
    <w:rsid w:val="00DE061B"/>
    <w:rsid w:val="00DE0A70"/>
    <w:rsid w:val="00DE0A8C"/>
    <w:rsid w:val="00DE0ACE"/>
    <w:rsid w:val="00DE0D30"/>
    <w:rsid w:val="00DE16E1"/>
    <w:rsid w:val="00DE17B9"/>
    <w:rsid w:val="00DE19BB"/>
    <w:rsid w:val="00DE19DC"/>
    <w:rsid w:val="00DE1A5B"/>
    <w:rsid w:val="00DE1C35"/>
    <w:rsid w:val="00DE2329"/>
    <w:rsid w:val="00DE2914"/>
    <w:rsid w:val="00DE2952"/>
    <w:rsid w:val="00DE296E"/>
    <w:rsid w:val="00DE2CBD"/>
    <w:rsid w:val="00DE2E8D"/>
    <w:rsid w:val="00DE33DD"/>
    <w:rsid w:val="00DE3609"/>
    <w:rsid w:val="00DE3A52"/>
    <w:rsid w:val="00DE3AC9"/>
    <w:rsid w:val="00DE3CCB"/>
    <w:rsid w:val="00DE4154"/>
    <w:rsid w:val="00DE4254"/>
    <w:rsid w:val="00DE4859"/>
    <w:rsid w:val="00DE4C66"/>
    <w:rsid w:val="00DE4FA6"/>
    <w:rsid w:val="00DE5189"/>
    <w:rsid w:val="00DE51DD"/>
    <w:rsid w:val="00DE52FB"/>
    <w:rsid w:val="00DE5718"/>
    <w:rsid w:val="00DE5750"/>
    <w:rsid w:val="00DE58B6"/>
    <w:rsid w:val="00DE6241"/>
    <w:rsid w:val="00DE632A"/>
    <w:rsid w:val="00DE6568"/>
    <w:rsid w:val="00DE65B0"/>
    <w:rsid w:val="00DE686B"/>
    <w:rsid w:val="00DE6A6E"/>
    <w:rsid w:val="00DE6BBD"/>
    <w:rsid w:val="00DE6F35"/>
    <w:rsid w:val="00DE6FEF"/>
    <w:rsid w:val="00DE705C"/>
    <w:rsid w:val="00DE7272"/>
    <w:rsid w:val="00DE744B"/>
    <w:rsid w:val="00DE77BB"/>
    <w:rsid w:val="00DE780E"/>
    <w:rsid w:val="00DE7E34"/>
    <w:rsid w:val="00DF049A"/>
    <w:rsid w:val="00DF07AC"/>
    <w:rsid w:val="00DF09CA"/>
    <w:rsid w:val="00DF0AA5"/>
    <w:rsid w:val="00DF0AE0"/>
    <w:rsid w:val="00DF1083"/>
    <w:rsid w:val="00DF1236"/>
    <w:rsid w:val="00DF1281"/>
    <w:rsid w:val="00DF15AF"/>
    <w:rsid w:val="00DF15F6"/>
    <w:rsid w:val="00DF1633"/>
    <w:rsid w:val="00DF17EE"/>
    <w:rsid w:val="00DF193B"/>
    <w:rsid w:val="00DF1AA6"/>
    <w:rsid w:val="00DF1B73"/>
    <w:rsid w:val="00DF1BCC"/>
    <w:rsid w:val="00DF1CBE"/>
    <w:rsid w:val="00DF1F90"/>
    <w:rsid w:val="00DF22A3"/>
    <w:rsid w:val="00DF2365"/>
    <w:rsid w:val="00DF2A7D"/>
    <w:rsid w:val="00DF2AAD"/>
    <w:rsid w:val="00DF2B8B"/>
    <w:rsid w:val="00DF2FC3"/>
    <w:rsid w:val="00DF332C"/>
    <w:rsid w:val="00DF344C"/>
    <w:rsid w:val="00DF34E9"/>
    <w:rsid w:val="00DF3C42"/>
    <w:rsid w:val="00DF4281"/>
    <w:rsid w:val="00DF43FB"/>
    <w:rsid w:val="00DF466C"/>
    <w:rsid w:val="00DF475B"/>
    <w:rsid w:val="00DF4D16"/>
    <w:rsid w:val="00DF5FD4"/>
    <w:rsid w:val="00DF64FD"/>
    <w:rsid w:val="00DF668B"/>
    <w:rsid w:val="00DF67CA"/>
    <w:rsid w:val="00DF69D2"/>
    <w:rsid w:val="00DF6E9D"/>
    <w:rsid w:val="00DF705A"/>
    <w:rsid w:val="00DF7153"/>
    <w:rsid w:val="00DF71DA"/>
    <w:rsid w:val="00DF7B92"/>
    <w:rsid w:val="00DF7F9B"/>
    <w:rsid w:val="00DF7FC9"/>
    <w:rsid w:val="00E00000"/>
    <w:rsid w:val="00E003DD"/>
    <w:rsid w:val="00E00423"/>
    <w:rsid w:val="00E00A03"/>
    <w:rsid w:val="00E00AE1"/>
    <w:rsid w:val="00E00D4A"/>
    <w:rsid w:val="00E00DA5"/>
    <w:rsid w:val="00E01096"/>
    <w:rsid w:val="00E011E7"/>
    <w:rsid w:val="00E011F3"/>
    <w:rsid w:val="00E01542"/>
    <w:rsid w:val="00E01DD9"/>
    <w:rsid w:val="00E01E7C"/>
    <w:rsid w:val="00E02357"/>
    <w:rsid w:val="00E028B2"/>
    <w:rsid w:val="00E03031"/>
    <w:rsid w:val="00E0325B"/>
    <w:rsid w:val="00E0373D"/>
    <w:rsid w:val="00E03928"/>
    <w:rsid w:val="00E0425F"/>
    <w:rsid w:val="00E0468E"/>
    <w:rsid w:val="00E049FA"/>
    <w:rsid w:val="00E04C6F"/>
    <w:rsid w:val="00E04E3F"/>
    <w:rsid w:val="00E04F06"/>
    <w:rsid w:val="00E04F5A"/>
    <w:rsid w:val="00E050F9"/>
    <w:rsid w:val="00E051B4"/>
    <w:rsid w:val="00E05344"/>
    <w:rsid w:val="00E053DB"/>
    <w:rsid w:val="00E053F8"/>
    <w:rsid w:val="00E0572F"/>
    <w:rsid w:val="00E05A23"/>
    <w:rsid w:val="00E05A5E"/>
    <w:rsid w:val="00E05AD4"/>
    <w:rsid w:val="00E05B41"/>
    <w:rsid w:val="00E05BD9"/>
    <w:rsid w:val="00E05FDA"/>
    <w:rsid w:val="00E0622B"/>
    <w:rsid w:val="00E06879"/>
    <w:rsid w:val="00E069D7"/>
    <w:rsid w:val="00E06A63"/>
    <w:rsid w:val="00E06A9E"/>
    <w:rsid w:val="00E06AC0"/>
    <w:rsid w:val="00E06C02"/>
    <w:rsid w:val="00E06C3D"/>
    <w:rsid w:val="00E06F0B"/>
    <w:rsid w:val="00E071C5"/>
    <w:rsid w:val="00E074A6"/>
    <w:rsid w:val="00E07C20"/>
    <w:rsid w:val="00E07E53"/>
    <w:rsid w:val="00E07F22"/>
    <w:rsid w:val="00E106A0"/>
    <w:rsid w:val="00E107EC"/>
    <w:rsid w:val="00E1081D"/>
    <w:rsid w:val="00E10980"/>
    <w:rsid w:val="00E10B88"/>
    <w:rsid w:val="00E111A7"/>
    <w:rsid w:val="00E11271"/>
    <w:rsid w:val="00E113B9"/>
    <w:rsid w:val="00E116C0"/>
    <w:rsid w:val="00E11704"/>
    <w:rsid w:val="00E11759"/>
    <w:rsid w:val="00E119D7"/>
    <w:rsid w:val="00E11AF0"/>
    <w:rsid w:val="00E11B36"/>
    <w:rsid w:val="00E11E39"/>
    <w:rsid w:val="00E11FBA"/>
    <w:rsid w:val="00E121C4"/>
    <w:rsid w:val="00E121F7"/>
    <w:rsid w:val="00E1222E"/>
    <w:rsid w:val="00E1242A"/>
    <w:rsid w:val="00E12488"/>
    <w:rsid w:val="00E124ED"/>
    <w:rsid w:val="00E12655"/>
    <w:rsid w:val="00E127F0"/>
    <w:rsid w:val="00E128A3"/>
    <w:rsid w:val="00E129D3"/>
    <w:rsid w:val="00E12BD7"/>
    <w:rsid w:val="00E12C34"/>
    <w:rsid w:val="00E12DBA"/>
    <w:rsid w:val="00E1307D"/>
    <w:rsid w:val="00E130D5"/>
    <w:rsid w:val="00E13164"/>
    <w:rsid w:val="00E131C3"/>
    <w:rsid w:val="00E13264"/>
    <w:rsid w:val="00E13556"/>
    <w:rsid w:val="00E13877"/>
    <w:rsid w:val="00E13BA8"/>
    <w:rsid w:val="00E13C62"/>
    <w:rsid w:val="00E13F84"/>
    <w:rsid w:val="00E14331"/>
    <w:rsid w:val="00E145BC"/>
    <w:rsid w:val="00E14765"/>
    <w:rsid w:val="00E1481F"/>
    <w:rsid w:val="00E14910"/>
    <w:rsid w:val="00E14CA2"/>
    <w:rsid w:val="00E14F13"/>
    <w:rsid w:val="00E14FCF"/>
    <w:rsid w:val="00E15071"/>
    <w:rsid w:val="00E151BF"/>
    <w:rsid w:val="00E15287"/>
    <w:rsid w:val="00E1547A"/>
    <w:rsid w:val="00E154F8"/>
    <w:rsid w:val="00E15520"/>
    <w:rsid w:val="00E15571"/>
    <w:rsid w:val="00E15592"/>
    <w:rsid w:val="00E1563E"/>
    <w:rsid w:val="00E1568F"/>
    <w:rsid w:val="00E15B31"/>
    <w:rsid w:val="00E15BCA"/>
    <w:rsid w:val="00E15C9A"/>
    <w:rsid w:val="00E15DF1"/>
    <w:rsid w:val="00E15F67"/>
    <w:rsid w:val="00E16460"/>
    <w:rsid w:val="00E16535"/>
    <w:rsid w:val="00E166F4"/>
    <w:rsid w:val="00E16A3B"/>
    <w:rsid w:val="00E16D7F"/>
    <w:rsid w:val="00E16E20"/>
    <w:rsid w:val="00E1700E"/>
    <w:rsid w:val="00E171AF"/>
    <w:rsid w:val="00E17287"/>
    <w:rsid w:val="00E173C8"/>
    <w:rsid w:val="00E17B0C"/>
    <w:rsid w:val="00E17B5B"/>
    <w:rsid w:val="00E17D4D"/>
    <w:rsid w:val="00E20048"/>
    <w:rsid w:val="00E20110"/>
    <w:rsid w:val="00E20380"/>
    <w:rsid w:val="00E20439"/>
    <w:rsid w:val="00E2069E"/>
    <w:rsid w:val="00E20874"/>
    <w:rsid w:val="00E209C3"/>
    <w:rsid w:val="00E209C9"/>
    <w:rsid w:val="00E20BC6"/>
    <w:rsid w:val="00E20C37"/>
    <w:rsid w:val="00E20C3D"/>
    <w:rsid w:val="00E20CCE"/>
    <w:rsid w:val="00E20EE3"/>
    <w:rsid w:val="00E20FF7"/>
    <w:rsid w:val="00E210D0"/>
    <w:rsid w:val="00E212FF"/>
    <w:rsid w:val="00E2161D"/>
    <w:rsid w:val="00E216C6"/>
    <w:rsid w:val="00E21A39"/>
    <w:rsid w:val="00E21A93"/>
    <w:rsid w:val="00E21C98"/>
    <w:rsid w:val="00E21D18"/>
    <w:rsid w:val="00E21D29"/>
    <w:rsid w:val="00E22071"/>
    <w:rsid w:val="00E221E8"/>
    <w:rsid w:val="00E225FB"/>
    <w:rsid w:val="00E2266D"/>
    <w:rsid w:val="00E227C5"/>
    <w:rsid w:val="00E2280D"/>
    <w:rsid w:val="00E231BE"/>
    <w:rsid w:val="00E23221"/>
    <w:rsid w:val="00E2327F"/>
    <w:rsid w:val="00E23489"/>
    <w:rsid w:val="00E236EC"/>
    <w:rsid w:val="00E23747"/>
    <w:rsid w:val="00E237CA"/>
    <w:rsid w:val="00E238CA"/>
    <w:rsid w:val="00E23F5D"/>
    <w:rsid w:val="00E24206"/>
    <w:rsid w:val="00E24225"/>
    <w:rsid w:val="00E24267"/>
    <w:rsid w:val="00E243C6"/>
    <w:rsid w:val="00E24C26"/>
    <w:rsid w:val="00E24D84"/>
    <w:rsid w:val="00E24E45"/>
    <w:rsid w:val="00E24E5F"/>
    <w:rsid w:val="00E24E66"/>
    <w:rsid w:val="00E25077"/>
    <w:rsid w:val="00E25138"/>
    <w:rsid w:val="00E251D1"/>
    <w:rsid w:val="00E251E8"/>
    <w:rsid w:val="00E252C1"/>
    <w:rsid w:val="00E25379"/>
    <w:rsid w:val="00E2537D"/>
    <w:rsid w:val="00E25C02"/>
    <w:rsid w:val="00E263CA"/>
    <w:rsid w:val="00E2640C"/>
    <w:rsid w:val="00E26467"/>
    <w:rsid w:val="00E2661C"/>
    <w:rsid w:val="00E2664D"/>
    <w:rsid w:val="00E26750"/>
    <w:rsid w:val="00E2678D"/>
    <w:rsid w:val="00E26907"/>
    <w:rsid w:val="00E26AAC"/>
    <w:rsid w:val="00E26C6C"/>
    <w:rsid w:val="00E2700E"/>
    <w:rsid w:val="00E2702A"/>
    <w:rsid w:val="00E270FE"/>
    <w:rsid w:val="00E271EE"/>
    <w:rsid w:val="00E27444"/>
    <w:rsid w:val="00E27461"/>
    <w:rsid w:val="00E27562"/>
    <w:rsid w:val="00E27576"/>
    <w:rsid w:val="00E2772D"/>
    <w:rsid w:val="00E27794"/>
    <w:rsid w:val="00E277FE"/>
    <w:rsid w:val="00E279EA"/>
    <w:rsid w:val="00E27A92"/>
    <w:rsid w:val="00E27C03"/>
    <w:rsid w:val="00E27D32"/>
    <w:rsid w:val="00E27E77"/>
    <w:rsid w:val="00E302E9"/>
    <w:rsid w:val="00E30325"/>
    <w:rsid w:val="00E30419"/>
    <w:rsid w:val="00E306A6"/>
    <w:rsid w:val="00E30A6A"/>
    <w:rsid w:val="00E30C1F"/>
    <w:rsid w:val="00E3145B"/>
    <w:rsid w:val="00E3177F"/>
    <w:rsid w:val="00E31A07"/>
    <w:rsid w:val="00E31F2F"/>
    <w:rsid w:val="00E321D4"/>
    <w:rsid w:val="00E323DE"/>
    <w:rsid w:val="00E32631"/>
    <w:rsid w:val="00E326EB"/>
    <w:rsid w:val="00E32734"/>
    <w:rsid w:val="00E327ED"/>
    <w:rsid w:val="00E328D3"/>
    <w:rsid w:val="00E3290F"/>
    <w:rsid w:val="00E33154"/>
    <w:rsid w:val="00E33549"/>
    <w:rsid w:val="00E3359F"/>
    <w:rsid w:val="00E3362D"/>
    <w:rsid w:val="00E33AB6"/>
    <w:rsid w:val="00E33CCB"/>
    <w:rsid w:val="00E33DBF"/>
    <w:rsid w:val="00E3403F"/>
    <w:rsid w:val="00E340A6"/>
    <w:rsid w:val="00E3411B"/>
    <w:rsid w:val="00E34147"/>
    <w:rsid w:val="00E34244"/>
    <w:rsid w:val="00E34291"/>
    <w:rsid w:val="00E3473B"/>
    <w:rsid w:val="00E34792"/>
    <w:rsid w:val="00E34921"/>
    <w:rsid w:val="00E34DD1"/>
    <w:rsid w:val="00E34EC3"/>
    <w:rsid w:val="00E3506B"/>
    <w:rsid w:val="00E350A4"/>
    <w:rsid w:val="00E35207"/>
    <w:rsid w:val="00E3551C"/>
    <w:rsid w:val="00E3571B"/>
    <w:rsid w:val="00E35A26"/>
    <w:rsid w:val="00E35B91"/>
    <w:rsid w:val="00E35FCB"/>
    <w:rsid w:val="00E36315"/>
    <w:rsid w:val="00E36374"/>
    <w:rsid w:val="00E363B8"/>
    <w:rsid w:val="00E36443"/>
    <w:rsid w:val="00E36486"/>
    <w:rsid w:val="00E364BE"/>
    <w:rsid w:val="00E36630"/>
    <w:rsid w:val="00E366B6"/>
    <w:rsid w:val="00E36736"/>
    <w:rsid w:val="00E367AC"/>
    <w:rsid w:val="00E368B7"/>
    <w:rsid w:val="00E369B8"/>
    <w:rsid w:val="00E36B8A"/>
    <w:rsid w:val="00E36C13"/>
    <w:rsid w:val="00E36D9E"/>
    <w:rsid w:val="00E36EE4"/>
    <w:rsid w:val="00E37248"/>
    <w:rsid w:val="00E373FF"/>
    <w:rsid w:val="00E3747A"/>
    <w:rsid w:val="00E375C3"/>
    <w:rsid w:val="00E376EC"/>
    <w:rsid w:val="00E378A7"/>
    <w:rsid w:val="00E3795D"/>
    <w:rsid w:val="00E37AE2"/>
    <w:rsid w:val="00E37B40"/>
    <w:rsid w:val="00E37D3B"/>
    <w:rsid w:val="00E37F71"/>
    <w:rsid w:val="00E40301"/>
    <w:rsid w:val="00E40710"/>
    <w:rsid w:val="00E40A27"/>
    <w:rsid w:val="00E40A45"/>
    <w:rsid w:val="00E40E30"/>
    <w:rsid w:val="00E41017"/>
    <w:rsid w:val="00E4150E"/>
    <w:rsid w:val="00E4165D"/>
    <w:rsid w:val="00E41668"/>
    <w:rsid w:val="00E4183B"/>
    <w:rsid w:val="00E41A3A"/>
    <w:rsid w:val="00E41B7B"/>
    <w:rsid w:val="00E41BDB"/>
    <w:rsid w:val="00E41CBC"/>
    <w:rsid w:val="00E41FC0"/>
    <w:rsid w:val="00E421A9"/>
    <w:rsid w:val="00E422D2"/>
    <w:rsid w:val="00E42435"/>
    <w:rsid w:val="00E42544"/>
    <w:rsid w:val="00E42557"/>
    <w:rsid w:val="00E425C4"/>
    <w:rsid w:val="00E4272E"/>
    <w:rsid w:val="00E42842"/>
    <w:rsid w:val="00E428A5"/>
    <w:rsid w:val="00E42951"/>
    <w:rsid w:val="00E42B02"/>
    <w:rsid w:val="00E42E0F"/>
    <w:rsid w:val="00E42F70"/>
    <w:rsid w:val="00E431E5"/>
    <w:rsid w:val="00E43284"/>
    <w:rsid w:val="00E43402"/>
    <w:rsid w:val="00E43446"/>
    <w:rsid w:val="00E43710"/>
    <w:rsid w:val="00E43873"/>
    <w:rsid w:val="00E43905"/>
    <w:rsid w:val="00E4397E"/>
    <w:rsid w:val="00E43CA1"/>
    <w:rsid w:val="00E43F7E"/>
    <w:rsid w:val="00E443DF"/>
    <w:rsid w:val="00E4444B"/>
    <w:rsid w:val="00E445AC"/>
    <w:rsid w:val="00E448EA"/>
    <w:rsid w:val="00E44B5F"/>
    <w:rsid w:val="00E44C2C"/>
    <w:rsid w:val="00E45180"/>
    <w:rsid w:val="00E45275"/>
    <w:rsid w:val="00E45354"/>
    <w:rsid w:val="00E45986"/>
    <w:rsid w:val="00E45D94"/>
    <w:rsid w:val="00E45E34"/>
    <w:rsid w:val="00E45F56"/>
    <w:rsid w:val="00E45F78"/>
    <w:rsid w:val="00E461AF"/>
    <w:rsid w:val="00E46483"/>
    <w:rsid w:val="00E4649D"/>
    <w:rsid w:val="00E46637"/>
    <w:rsid w:val="00E46B6E"/>
    <w:rsid w:val="00E46C80"/>
    <w:rsid w:val="00E47146"/>
    <w:rsid w:val="00E47165"/>
    <w:rsid w:val="00E47202"/>
    <w:rsid w:val="00E47240"/>
    <w:rsid w:val="00E47490"/>
    <w:rsid w:val="00E4788A"/>
    <w:rsid w:val="00E47A52"/>
    <w:rsid w:val="00E50075"/>
    <w:rsid w:val="00E503DF"/>
    <w:rsid w:val="00E5045C"/>
    <w:rsid w:val="00E5077F"/>
    <w:rsid w:val="00E5080B"/>
    <w:rsid w:val="00E50914"/>
    <w:rsid w:val="00E50C19"/>
    <w:rsid w:val="00E50C1E"/>
    <w:rsid w:val="00E512D2"/>
    <w:rsid w:val="00E512E0"/>
    <w:rsid w:val="00E513BD"/>
    <w:rsid w:val="00E51F82"/>
    <w:rsid w:val="00E5205B"/>
    <w:rsid w:val="00E520B5"/>
    <w:rsid w:val="00E52128"/>
    <w:rsid w:val="00E521C0"/>
    <w:rsid w:val="00E52696"/>
    <w:rsid w:val="00E529E9"/>
    <w:rsid w:val="00E52D06"/>
    <w:rsid w:val="00E535DB"/>
    <w:rsid w:val="00E539D9"/>
    <w:rsid w:val="00E53B66"/>
    <w:rsid w:val="00E53C08"/>
    <w:rsid w:val="00E53D6D"/>
    <w:rsid w:val="00E53E9F"/>
    <w:rsid w:val="00E53EE1"/>
    <w:rsid w:val="00E53EFF"/>
    <w:rsid w:val="00E542B3"/>
    <w:rsid w:val="00E542B9"/>
    <w:rsid w:val="00E54397"/>
    <w:rsid w:val="00E543BB"/>
    <w:rsid w:val="00E54433"/>
    <w:rsid w:val="00E545D3"/>
    <w:rsid w:val="00E54799"/>
    <w:rsid w:val="00E5490F"/>
    <w:rsid w:val="00E54A8E"/>
    <w:rsid w:val="00E54A93"/>
    <w:rsid w:val="00E54B5F"/>
    <w:rsid w:val="00E54BE6"/>
    <w:rsid w:val="00E54C3A"/>
    <w:rsid w:val="00E54CD6"/>
    <w:rsid w:val="00E553AD"/>
    <w:rsid w:val="00E55486"/>
    <w:rsid w:val="00E55593"/>
    <w:rsid w:val="00E55756"/>
    <w:rsid w:val="00E55AC9"/>
    <w:rsid w:val="00E55BA3"/>
    <w:rsid w:val="00E55C35"/>
    <w:rsid w:val="00E55C82"/>
    <w:rsid w:val="00E55CBF"/>
    <w:rsid w:val="00E55DBB"/>
    <w:rsid w:val="00E5612E"/>
    <w:rsid w:val="00E56240"/>
    <w:rsid w:val="00E56286"/>
    <w:rsid w:val="00E56823"/>
    <w:rsid w:val="00E569B5"/>
    <w:rsid w:val="00E57090"/>
    <w:rsid w:val="00E5716A"/>
    <w:rsid w:val="00E571C9"/>
    <w:rsid w:val="00E5738A"/>
    <w:rsid w:val="00E57474"/>
    <w:rsid w:val="00E57806"/>
    <w:rsid w:val="00E57951"/>
    <w:rsid w:val="00E57DF6"/>
    <w:rsid w:val="00E57EE8"/>
    <w:rsid w:val="00E57F8D"/>
    <w:rsid w:val="00E57FE4"/>
    <w:rsid w:val="00E57FE7"/>
    <w:rsid w:val="00E6011C"/>
    <w:rsid w:val="00E6042E"/>
    <w:rsid w:val="00E606AC"/>
    <w:rsid w:val="00E6070A"/>
    <w:rsid w:val="00E60A06"/>
    <w:rsid w:val="00E60AE1"/>
    <w:rsid w:val="00E60B22"/>
    <w:rsid w:val="00E60EFC"/>
    <w:rsid w:val="00E61226"/>
    <w:rsid w:val="00E61492"/>
    <w:rsid w:val="00E6165E"/>
    <w:rsid w:val="00E61698"/>
    <w:rsid w:val="00E618EC"/>
    <w:rsid w:val="00E61D01"/>
    <w:rsid w:val="00E61D8F"/>
    <w:rsid w:val="00E61F16"/>
    <w:rsid w:val="00E62201"/>
    <w:rsid w:val="00E62769"/>
    <w:rsid w:val="00E62B60"/>
    <w:rsid w:val="00E62CA7"/>
    <w:rsid w:val="00E62D69"/>
    <w:rsid w:val="00E6318D"/>
    <w:rsid w:val="00E631A7"/>
    <w:rsid w:val="00E63424"/>
    <w:rsid w:val="00E6346E"/>
    <w:rsid w:val="00E6373F"/>
    <w:rsid w:val="00E6380E"/>
    <w:rsid w:val="00E63934"/>
    <w:rsid w:val="00E63AB9"/>
    <w:rsid w:val="00E63BC7"/>
    <w:rsid w:val="00E63D15"/>
    <w:rsid w:val="00E63E11"/>
    <w:rsid w:val="00E646A7"/>
    <w:rsid w:val="00E6486B"/>
    <w:rsid w:val="00E648C4"/>
    <w:rsid w:val="00E649C4"/>
    <w:rsid w:val="00E64C5A"/>
    <w:rsid w:val="00E64D3B"/>
    <w:rsid w:val="00E64D7B"/>
    <w:rsid w:val="00E64F02"/>
    <w:rsid w:val="00E64F3E"/>
    <w:rsid w:val="00E6547A"/>
    <w:rsid w:val="00E654EF"/>
    <w:rsid w:val="00E6559D"/>
    <w:rsid w:val="00E65691"/>
    <w:rsid w:val="00E658C4"/>
    <w:rsid w:val="00E65B99"/>
    <w:rsid w:val="00E66316"/>
    <w:rsid w:val="00E663DC"/>
    <w:rsid w:val="00E6684D"/>
    <w:rsid w:val="00E66900"/>
    <w:rsid w:val="00E66C85"/>
    <w:rsid w:val="00E66E19"/>
    <w:rsid w:val="00E670D6"/>
    <w:rsid w:val="00E67130"/>
    <w:rsid w:val="00E6732E"/>
    <w:rsid w:val="00E67346"/>
    <w:rsid w:val="00E673FA"/>
    <w:rsid w:val="00E67451"/>
    <w:rsid w:val="00E674A6"/>
    <w:rsid w:val="00E674C8"/>
    <w:rsid w:val="00E67723"/>
    <w:rsid w:val="00E67990"/>
    <w:rsid w:val="00E67DCF"/>
    <w:rsid w:val="00E67E3C"/>
    <w:rsid w:val="00E67FE4"/>
    <w:rsid w:val="00E70071"/>
    <w:rsid w:val="00E70176"/>
    <w:rsid w:val="00E701AC"/>
    <w:rsid w:val="00E70420"/>
    <w:rsid w:val="00E70EB4"/>
    <w:rsid w:val="00E71353"/>
    <w:rsid w:val="00E71425"/>
    <w:rsid w:val="00E71981"/>
    <w:rsid w:val="00E7198B"/>
    <w:rsid w:val="00E719C4"/>
    <w:rsid w:val="00E719E3"/>
    <w:rsid w:val="00E71CE5"/>
    <w:rsid w:val="00E71DC7"/>
    <w:rsid w:val="00E71F24"/>
    <w:rsid w:val="00E720AA"/>
    <w:rsid w:val="00E7233A"/>
    <w:rsid w:val="00E72650"/>
    <w:rsid w:val="00E726B8"/>
    <w:rsid w:val="00E72C6F"/>
    <w:rsid w:val="00E72D16"/>
    <w:rsid w:val="00E72E1A"/>
    <w:rsid w:val="00E72E8E"/>
    <w:rsid w:val="00E730B5"/>
    <w:rsid w:val="00E73143"/>
    <w:rsid w:val="00E731E3"/>
    <w:rsid w:val="00E732A5"/>
    <w:rsid w:val="00E73490"/>
    <w:rsid w:val="00E7355D"/>
    <w:rsid w:val="00E7397C"/>
    <w:rsid w:val="00E73A1E"/>
    <w:rsid w:val="00E73A85"/>
    <w:rsid w:val="00E73B1C"/>
    <w:rsid w:val="00E73CE5"/>
    <w:rsid w:val="00E744D0"/>
    <w:rsid w:val="00E749BA"/>
    <w:rsid w:val="00E74A6E"/>
    <w:rsid w:val="00E74AAB"/>
    <w:rsid w:val="00E74AB0"/>
    <w:rsid w:val="00E74B09"/>
    <w:rsid w:val="00E74BDA"/>
    <w:rsid w:val="00E74C2D"/>
    <w:rsid w:val="00E74E42"/>
    <w:rsid w:val="00E74FAF"/>
    <w:rsid w:val="00E74FE8"/>
    <w:rsid w:val="00E75030"/>
    <w:rsid w:val="00E7506A"/>
    <w:rsid w:val="00E75577"/>
    <w:rsid w:val="00E7575F"/>
    <w:rsid w:val="00E757A0"/>
    <w:rsid w:val="00E7595A"/>
    <w:rsid w:val="00E75F59"/>
    <w:rsid w:val="00E762A9"/>
    <w:rsid w:val="00E762DB"/>
    <w:rsid w:val="00E76569"/>
    <w:rsid w:val="00E767CF"/>
    <w:rsid w:val="00E7688D"/>
    <w:rsid w:val="00E77064"/>
    <w:rsid w:val="00E770AA"/>
    <w:rsid w:val="00E77289"/>
    <w:rsid w:val="00E774FA"/>
    <w:rsid w:val="00E775D5"/>
    <w:rsid w:val="00E775DE"/>
    <w:rsid w:val="00E77649"/>
    <w:rsid w:val="00E77773"/>
    <w:rsid w:val="00E777AD"/>
    <w:rsid w:val="00E777DC"/>
    <w:rsid w:val="00E778BE"/>
    <w:rsid w:val="00E8010B"/>
    <w:rsid w:val="00E80175"/>
    <w:rsid w:val="00E8027E"/>
    <w:rsid w:val="00E8055A"/>
    <w:rsid w:val="00E806A8"/>
    <w:rsid w:val="00E80836"/>
    <w:rsid w:val="00E8084A"/>
    <w:rsid w:val="00E809AC"/>
    <w:rsid w:val="00E80A15"/>
    <w:rsid w:val="00E80A7F"/>
    <w:rsid w:val="00E80D4A"/>
    <w:rsid w:val="00E80D9C"/>
    <w:rsid w:val="00E80F8D"/>
    <w:rsid w:val="00E80FAA"/>
    <w:rsid w:val="00E80FBA"/>
    <w:rsid w:val="00E810A6"/>
    <w:rsid w:val="00E81624"/>
    <w:rsid w:val="00E816EC"/>
    <w:rsid w:val="00E819E0"/>
    <w:rsid w:val="00E81CEC"/>
    <w:rsid w:val="00E81E23"/>
    <w:rsid w:val="00E8205E"/>
    <w:rsid w:val="00E822A2"/>
    <w:rsid w:val="00E8282F"/>
    <w:rsid w:val="00E82933"/>
    <w:rsid w:val="00E829C5"/>
    <w:rsid w:val="00E82A9C"/>
    <w:rsid w:val="00E82BC3"/>
    <w:rsid w:val="00E82CD3"/>
    <w:rsid w:val="00E82D7E"/>
    <w:rsid w:val="00E82DAE"/>
    <w:rsid w:val="00E82DD5"/>
    <w:rsid w:val="00E82E39"/>
    <w:rsid w:val="00E82E78"/>
    <w:rsid w:val="00E82E81"/>
    <w:rsid w:val="00E83011"/>
    <w:rsid w:val="00E8312A"/>
    <w:rsid w:val="00E8324F"/>
    <w:rsid w:val="00E83368"/>
    <w:rsid w:val="00E83729"/>
    <w:rsid w:val="00E83959"/>
    <w:rsid w:val="00E8395D"/>
    <w:rsid w:val="00E839EA"/>
    <w:rsid w:val="00E83DA3"/>
    <w:rsid w:val="00E83EF5"/>
    <w:rsid w:val="00E840F2"/>
    <w:rsid w:val="00E84305"/>
    <w:rsid w:val="00E84348"/>
    <w:rsid w:val="00E843D7"/>
    <w:rsid w:val="00E843ED"/>
    <w:rsid w:val="00E84589"/>
    <w:rsid w:val="00E84659"/>
    <w:rsid w:val="00E847AC"/>
    <w:rsid w:val="00E84878"/>
    <w:rsid w:val="00E8491B"/>
    <w:rsid w:val="00E84D99"/>
    <w:rsid w:val="00E850C9"/>
    <w:rsid w:val="00E850E3"/>
    <w:rsid w:val="00E85137"/>
    <w:rsid w:val="00E85158"/>
    <w:rsid w:val="00E856CC"/>
    <w:rsid w:val="00E858BE"/>
    <w:rsid w:val="00E858DA"/>
    <w:rsid w:val="00E85AD4"/>
    <w:rsid w:val="00E85DAD"/>
    <w:rsid w:val="00E86077"/>
    <w:rsid w:val="00E860D9"/>
    <w:rsid w:val="00E86197"/>
    <w:rsid w:val="00E8621D"/>
    <w:rsid w:val="00E86370"/>
    <w:rsid w:val="00E8647D"/>
    <w:rsid w:val="00E864AD"/>
    <w:rsid w:val="00E8667D"/>
    <w:rsid w:val="00E867EE"/>
    <w:rsid w:val="00E868D9"/>
    <w:rsid w:val="00E86B71"/>
    <w:rsid w:val="00E86CA5"/>
    <w:rsid w:val="00E87056"/>
    <w:rsid w:val="00E87084"/>
    <w:rsid w:val="00E87185"/>
    <w:rsid w:val="00E8759F"/>
    <w:rsid w:val="00E87A7A"/>
    <w:rsid w:val="00E87D49"/>
    <w:rsid w:val="00E87E70"/>
    <w:rsid w:val="00E90059"/>
    <w:rsid w:val="00E9028C"/>
    <w:rsid w:val="00E902C2"/>
    <w:rsid w:val="00E90387"/>
    <w:rsid w:val="00E903E6"/>
    <w:rsid w:val="00E90435"/>
    <w:rsid w:val="00E904E5"/>
    <w:rsid w:val="00E90A4B"/>
    <w:rsid w:val="00E90C86"/>
    <w:rsid w:val="00E910C5"/>
    <w:rsid w:val="00E91214"/>
    <w:rsid w:val="00E9128B"/>
    <w:rsid w:val="00E912D5"/>
    <w:rsid w:val="00E91376"/>
    <w:rsid w:val="00E915A2"/>
    <w:rsid w:val="00E915EB"/>
    <w:rsid w:val="00E91966"/>
    <w:rsid w:val="00E919A2"/>
    <w:rsid w:val="00E919D5"/>
    <w:rsid w:val="00E91AB0"/>
    <w:rsid w:val="00E91B28"/>
    <w:rsid w:val="00E91BB7"/>
    <w:rsid w:val="00E91CB3"/>
    <w:rsid w:val="00E91E21"/>
    <w:rsid w:val="00E91EC8"/>
    <w:rsid w:val="00E91EDA"/>
    <w:rsid w:val="00E91F4A"/>
    <w:rsid w:val="00E92072"/>
    <w:rsid w:val="00E9213B"/>
    <w:rsid w:val="00E922AA"/>
    <w:rsid w:val="00E922B1"/>
    <w:rsid w:val="00E924B7"/>
    <w:rsid w:val="00E92758"/>
    <w:rsid w:val="00E928F3"/>
    <w:rsid w:val="00E92A17"/>
    <w:rsid w:val="00E92CED"/>
    <w:rsid w:val="00E92E08"/>
    <w:rsid w:val="00E93177"/>
    <w:rsid w:val="00E9321F"/>
    <w:rsid w:val="00E9351A"/>
    <w:rsid w:val="00E9368E"/>
    <w:rsid w:val="00E93702"/>
    <w:rsid w:val="00E937A0"/>
    <w:rsid w:val="00E937FA"/>
    <w:rsid w:val="00E938E0"/>
    <w:rsid w:val="00E93BDD"/>
    <w:rsid w:val="00E93BE7"/>
    <w:rsid w:val="00E93EC0"/>
    <w:rsid w:val="00E93F59"/>
    <w:rsid w:val="00E941B3"/>
    <w:rsid w:val="00E9428A"/>
    <w:rsid w:val="00E944FA"/>
    <w:rsid w:val="00E94578"/>
    <w:rsid w:val="00E94811"/>
    <w:rsid w:val="00E94FF9"/>
    <w:rsid w:val="00E950BC"/>
    <w:rsid w:val="00E95153"/>
    <w:rsid w:val="00E95390"/>
    <w:rsid w:val="00E955D1"/>
    <w:rsid w:val="00E95751"/>
    <w:rsid w:val="00E957FE"/>
    <w:rsid w:val="00E95B54"/>
    <w:rsid w:val="00E95C1C"/>
    <w:rsid w:val="00E95C1F"/>
    <w:rsid w:val="00E95C85"/>
    <w:rsid w:val="00E95CF0"/>
    <w:rsid w:val="00E95D08"/>
    <w:rsid w:val="00E95F1E"/>
    <w:rsid w:val="00E96003"/>
    <w:rsid w:val="00E96590"/>
    <w:rsid w:val="00E969B6"/>
    <w:rsid w:val="00E969C8"/>
    <w:rsid w:val="00E96C22"/>
    <w:rsid w:val="00E96C37"/>
    <w:rsid w:val="00E96FCC"/>
    <w:rsid w:val="00E97154"/>
    <w:rsid w:val="00E9729A"/>
    <w:rsid w:val="00E972AE"/>
    <w:rsid w:val="00E9758F"/>
    <w:rsid w:val="00E97E8F"/>
    <w:rsid w:val="00E97F26"/>
    <w:rsid w:val="00E97F90"/>
    <w:rsid w:val="00EA0195"/>
    <w:rsid w:val="00EA024B"/>
    <w:rsid w:val="00EA05CC"/>
    <w:rsid w:val="00EA0835"/>
    <w:rsid w:val="00EA097A"/>
    <w:rsid w:val="00EA0B1A"/>
    <w:rsid w:val="00EA0ECA"/>
    <w:rsid w:val="00EA0F80"/>
    <w:rsid w:val="00EA1389"/>
    <w:rsid w:val="00EA147E"/>
    <w:rsid w:val="00EA17E9"/>
    <w:rsid w:val="00EA1842"/>
    <w:rsid w:val="00EA18B7"/>
    <w:rsid w:val="00EA1D5B"/>
    <w:rsid w:val="00EA2115"/>
    <w:rsid w:val="00EA22D7"/>
    <w:rsid w:val="00EA2588"/>
    <w:rsid w:val="00EA2906"/>
    <w:rsid w:val="00EA2ACD"/>
    <w:rsid w:val="00EA2C5F"/>
    <w:rsid w:val="00EA2F8D"/>
    <w:rsid w:val="00EA32EC"/>
    <w:rsid w:val="00EA337E"/>
    <w:rsid w:val="00EA349F"/>
    <w:rsid w:val="00EA37B5"/>
    <w:rsid w:val="00EA3ADA"/>
    <w:rsid w:val="00EA3DA6"/>
    <w:rsid w:val="00EA42D2"/>
    <w:rsid w:val="00EA4307"/>
    <w:rsid w:val="00EA4399"/>
    <w:rsid w:val="00EA4727"/>
    <w:rsid w:val="00EA47F0"/>
    <w:rsid w:val="00EA482C"/>
    <w:rsid w:val="00EA49AC"/>
    <w:rsid w:val="00EA4ABD"/>
    <w:rsid w:val="00EA4D88"/>
    <w:rsid w:val="00EA514E"/>
    <w:rsid w:val="00EA5222"/>
    <w:rsid w:val="00EA5456"/>
    <w:rsid w:val="00EA5541"/>
    <w:rsid w:val="00EA5CE7"/>
    <w:rsid w:val="00EA5F35"/>
    <w:rsid w:val="00EA6260"/>
    <w:rsid w:val="00EA684F"/>
    <w:rsid w:val="00EA6858"/>
    <w:rsid w:val="00EA6871"/>
    <w:rsid w:val="00EA689D"/>
    <w:rsid w:val="00EA69A6"/>
    <w:rsid w:val="00EA69BE"/>
    <w:rsid w:val="00EA6BDA"/>
    <w:rsid w:val="00EA70B0"/>
    <w:rsid w:val="00EA70D1"/>
    <w:rsid w:val="00EA74D1"/>
    <w:rsid w:val="00EA7509"/>
    <w:rsid w:val="00EA7511"/>
    <w:rsid w:val="00EA7636"/>
    <w:rsid w:val="00EA76C5"/>
    <w:rsid w:val="00EA7709"/>
    <w:rsid w:val="00EA786F"/>
    <w:rsid w:val="00EA792F"/>
    <w:rsid w:val="00EA7932"/>
    <w:rsid w:val="00EA7BF6"/>
    <w:rsid w:val="00EA7D28"/>
    <w:rsid w:val="00EB006E"/>
    <w:rsid w:val="00EB00C4"/>
    <w:rsid w:val="00EB00D7"/>
    <w:rsid w:val="00EB019C"/>
    <w:rsid w:val="00EB0711"/>
    <w:rsid w:val="00EB0F62"/>
    <w:rsid w:val="00EB10D3"/>
    <w:rsid w:val="00EB13AE"/>
    <w:rsid w:val="00EB1646"/>
    <w:rsid w:val="00EB1893"/>
    <w:rsid w:val="00EB19BB"/>
    <w:rsid w:val="00EB19F3"/>
    <w:rsid w:val="00EB1A12"/>
    <w:rsid w:val="00EB1ABB"/>
    <w:rsid w:val="00EB1ADC"/>
    <w:rsid w:val="00EB1C5E"/>
    <w:rsid w:val="00EB1FCC"/>
    <w:rsid w:val="00EB1FF8"/>
    <w:rsid w:val="00EB2265"/>
    <w:rsid w:val="00EB23CD"/>
    <w:rsid w:val="00EB2445"/>
    <w:rsid w:val="00EB24A8"/>
    <w:rsid w:val="00EB2620"/>
    <w:rsid w:val="00EB2748"/>
    <w:rsid w:val="00EB27F6"/>
    <w:rsid w:val="00EB2818"/>
    <w:rsid w:val="00EB287F"/>
    <w:rsid w:val="00EB2A42"/>
    <w:rsid w:val="00EB2AF8"/>
    <w:rsid w:val="00EB2F30"/>
    <w:rsid w:val="00EB2F8C"/>
    <w:rsid w:val="00EB3098"/>
    <w:rsid w:val="00EB31AD"/>
    <w:rsid w:val="00EB33F0"/>
    <w:rsid w:val="00EB35BF"/>
    <w:rsid w:val="00EB3931"/>
    <w:rsid w:val="00EB3A6B"/>
    <w:rsid w:val="00EB3B59"/>
    <w:rsid w:val="00EB3BFC"/>
    <w:rsid w:val="00EB3D0B"/>
    <w:rsid w:val="00EB3DD0"/>
    <w:rsid w:val="00EB4058"/>
    <w:rsid w:val="00EB428E"/>
    <w:rsid w:val="00EB4376"/>
    <w:rsid w:val="00EB46BD"/>
    <w:rsid w:val="00EB475E"/>
    <w:rsid w:val="00EB476D"/>
    <w:rsid w:val="00EB47C6"/>
    <w:rsid w:val="00EB4989"/>
    <w:rsid w:val="00EB49CB"/>
    <w:rsid w:val="00EB4B09"/>
    <w:rsid w:val="00EB4B32"/>
    <w:rsid w:val="00EB4C82"/>
    <w:rsid w:val="00EB4CC3"/>
    <w:rsid w:val="00EB4CEA"/>
    <w:rsid w:val="00EB506B"/>
    <w:rsid w:val="00EB51A5"/>
    <w:rsid w:val="00EB5506"/>
    <w:rsid w:val="00EB5629"/>
    <w:rsid w:val="00EB596D"/>
    <w:rsid w:val="00EB59A0"/>
    <w:rsid w:val="00EB5A8A"/>
    <w:rsid w:val="00EB5ADD"/>
    <w:rsid w:val="00EB6078"/>
    <w:rsid w:val="00EB6314"/>
    <w:rsid w:val="00EB654C"/>
    <w:rsid w:val="00EB6611"/>
    <w:rsid w:val="00EB68D9"/>
    <w:rsid w:val="00EB6CFA"/>
    <w:rsid w:val="00EB6DA8"/>
    <w:rsid w:val="00EB6E96"/>
    <w:rsid w:val="00EB6F67"/>
    <w:rsid w:val="00EB7016"/>
    <w:rsid w:val="00EB72B2"/>
    <w:rsid w:val="00EB730C"/>
    <w:rsid w:val="00EB7351"/>
    <w:rsid w:val="00EB74EB"/>
    <w:rsid w:val="00EB761B"/>
    <w:rsid w:val="00EB7798"/>
    <w:rsid w:val="00EB79B7"/>
    <w:rsid w:val="00EB7A46"/>
    <w:rsid w:val="00EB7A94"/>
    <w:rsid w:val="00EB7AE6"/>
    <w:rsid w:val="00EB7D63"/>
    <w:rsid w:val="00EC00FB"/>
    <w:rsid w:val="00EC01A1"/>
    <w:rsid w:val="00EC02EC"/>
    <w:rsid w:val="00EC06BA"/>
    <w:rsid w:val="00EC0C3C"/>
    <w:rsid w:val="00EC0E5E"/>
    <w:rsid w:val="00EC0F34"/>
    <w:rsid w:val="00EC0F46"/>
    <w:rsid w:val="00EC0FBB"/>
    <w:rsid w:val="00EC1223"/>
    <w:rsid w:val="00EC1269"/>
    <w:rsid w:val="00EC13CB"/>
    <w:rsid w:val="00EC161B"/>
    <w:rsid w:val="00EC170B"/>
    <w:rsid w:val="00EC1B7A"/>
    <w:rsid w:val="00EC1CF3"/>
    <w:rsid w:val="00EC1CFB"/>
    <w:rsid w:val="00EC202F"/>
    <w:rsid w:val="00EC225D"/>
    <w:rsid w:val="00EC2590"/>
    <w:rsid w:val="00EC2A50"/>
    <w:rsid w:val="00EC35ED"/>
    <w:rsid w:val="00EC374F"/>
    <w:rsid w:val="00EC37F9"/>
    <w:rsid w:val="00EC393E"/>
    <w:rsid w:val="00EC3C27"/>
    <w:rsid w:val="00EC3CCC"/>
    <w:rsid w:val="00EC3D5A"/>
    <w:rsid w:val="00EC3F32"/>
    <w:rsid w:val="00EC401F"/>
    <w:rsid w:val="00EC403C"/>
    <w:rsid w:val="00EC428A"/>
    <w:rsid w:val="00EC4678"/>
    <w:rsid w:val="00EC4BB4"/>
    <w:rsid w:val="00EC4DBF"/>
    <w:rsid w:val="00EC4FE6"/>
    <w:rsid w:val="00EC55AA"/>
    <w:rsid w:val="00EC5730"/>
    <w:rsid w:val="00EC5BB7"/>
    <w:rsid w:val="00EC5CBE"/>
    <w:rsid w:val="00EC60DB"/>
    <w:rsid w:val="00EC617C"/>
    <w:rsid w:val="00EC6191"/>
    <w:rsid w:val="00EC6240"/>
    <w:rsid w:val="00EC6369"/>
    <w:rsid w:val="00EC644B"/>
    <w:rsid w:val="00EC64DB"/>
    <w:rsid w:val="00EC6516"/>
    <w:rsid w:val="00EC66B9"/>
    <w:rsid w:val="00EC685A"/>
    <w:rsid w:val="00EC6DB2"/>
    <w:rsid w:val="00EC6DEB"/>
    <w:rsid w:val="00EC6E5A"/>
    <w:rsid w:val="00EC6ED4"/>
    <w:rsid w:val="00EC7657"/>
    <w:rsid w:val="00EC76F4"/>
    <w:rsid w:val="00EC796B"/>
    <w:rsid w:val="00EC7AFD"/>
    <w:rsid w:val="00EC7CF3"/>
    <w:rsid w:val="00EC7D33"/>
    <w:rsid w:val="00EC7DE1"/>
    <w:rsid w:val="00EC7EC0"/>
    <w:rsid w:val="00EC7F6B"/>
    <w:rsid w:val="00EC7F96"/>
    <w:rsid w:val="00ED02B0"/>
    <w:rsid w:val="00ED02F2"/>
    <w:rsid w:val="00ED0352"/>
    <w:rsid w:val="00ED0634"/>
    <w:rsid w:val="00ED0636"/>
    <w:rsid w:val="00ED0694"/>
    <w:rsid w:val="00ED07E1"/>
    <w:rsid w:val="00ED0867"/>
    <w:rsid w:val="00ED0BDE"/>
    <w:rsid w:val="00ED0E4E"/>
    <w:rsid w:val="00ED0F9D"/>
    <w:rsid w:val="00ED1394"/>
    <w:rsid w:val="00ED1415"/>
    <w:rsid w:val="00ED14DB"/>
    <w:rsid w:val="00ED1795"/>
    <w:rsid w:val="00ED1C31"/>
    <w:rsid w:val="00ED209B"/>
    <w:rsid w:val="00ED20FD"/>
    <w:rsid w:val="00ED2150"/>
    <w:rsid w:val="00ED2350"/>
    <w:rsid w:val="00ED2438"/>
    <w:rsid w:val="00ED2764"/>
    <w:rsid w:val="00ED2803"/>
    <w:rsid w:val="00ED28ED"/>
    <w:rsid w:val="00ED2C0C"/>
    <w:rsid w:val="00ED2C12"/>
    <w:rsid w:val="00ED2D50"/>
    <w:rsid w:val="00ED2E03"/>
    <w:rsid w:val="00ED2E45"/>
    <w:rsid w:val="00ED2FB0"/>
    <w:rsid w:val="00ED2FE8"/>
    <w:rsid w:val="00ED3030"/>
    <w:rsid w:val="00ED38F2"/>
    <w:rsid w:val="00ED3AE3"/>
    <w:rsid w:val="00ED3CC1"/>
    <w:rsid w:val="00ED3D28"/>
    <w:rsid w:val="00ED3DF4"/>
    <w:rsid w:val="00ED3EC3"/>
    <w:rsid w:val="00ED4711"/>
    <w:rsid w:val="00ED48DF"/>
    <w:rsid w:val="00ED4AD7"/>
    <w:rsid w:val="00ED4C4C"/>
    <w:rsid w:val="00ED4E69"/>
    <w:rsid w:val="00ED4F20"/>
    <w:rsid w:val="00ED51B4"/>
    <w:rsid w:val="00ED51F7"/>
    <w:rsid w:val="00ED541A"/>
    <w:rsid w:val="00ED54BC"/>
    <w:rsid w:val="00ED5642"/>
    <w:rsid w:val="00ED5762"/>
    <w:rsid w:val="00ED5804"/>
    <w:rsid w:val="00ED5CC8"/>
    <w:rsid w:val="00ED5DF2"/>
    <w:rsid w:val="00ED63F4"/>
    <w:rsid w:val="00ED6538"/>
    <w:rsid w:val="00ED67B0"/>
    <w:rsid w:val="00ED6B1D"/>
    <w:rsid w:val="00ED6BE4"/>
    <w:rsid w:val="00ED7404"/>
    <w:rsid w:val="00ED7478"/>
    <w:rsid w:val="00ED7641"/>
    <w:rsid w:val="00ED770D"/>
    <w:rsid w:val="00ED77D9"/>
    <w:rsid w:val="00ED7835"/>
    <w:rsid w:val="00ED78D2"/>
    <w:rsid w:val="00ED7953"/>
    <w:rsid w:val="00ED7A0B"/>
    <w:rsid w:val="00ED7BB1"/>
    <w:rsid w:val="00ED7BCC"/>
    <w:rsid w:val="00ED7C5C"/>
    <w:rsid w:val="00EE036B"/>
    <w:rsid w:val="00EE0424"/>
    <w:rsid w:val="00EE04AF"/>
    <w:rsid w:val="00EE055E"/>
    <w:rsid w:val="00EE09DB"/>
    <w:rsid w:val="00EE0ACF"/>
    <w:rsid w:val="00EE0B13"/>
    <w:rsid w:val="00EE0C17"/>
    <w:rsid w:val="00EE1035"/>
    <w:rsid w:val="00EE16A9"/>
    <w:rsid w:val="00EE18F2"/>
    <w:rsid w:val="00EE1B25"/>
    <w:rsid w:val="00EE20FB"/>
    <w:rsid w:val="00EE23C5"/>
    <w:rsid w:val="00EE2562"/>
    <w:rsid w:val="00EE2D15"/>
    <w:rsid w:val="00EE2D58"/>
    <w:rsid w:val="00EE2D61"/>
    <w:rsid w:val="00EE32BE"/>
    <w:rsid w:val="00EE33E6"/>
    <w:rsid w:val="00EE35D1"/>
    <w:rsid w:val="00EE35D5"/>
    <w:rsid w:val="00EE363B"/>
    <w:rsid w:val="00EE384A"/>
    <w:rsid w:val="00EE389F"/>
    <w:rsid w:val="00EE39A1"/>
    <w:rsid w:val="00EE3AA1"/>
    <w:rsid w:val="00EE4237"/>
    <w:rsid w:val="00EE43D5"/>
    <w:rsid w:val="00EE445C"/>
    <w:rsid w:val="00EE4876"/>
    <w:rsid w:val="00EE4905"/>
    <w:rsid w:val="00EE4ABA"/>
    <w:rsid w:val="00EE4B68"/>
    <w:rsid w:val="00EE4B6C"/>
    <w:rsid w:val="00EE4C76"/>
    <w:rsid w:val="00EE4C9E"/>
    <w:rsid w:val="00EE502D"/>
    <w:rsid w:val="00EE5045"/>
    <w:rsid w:val="00EE512F"/>
    <w:rsid w:val="00EE5A0A"/>
    <w:rsid w:val="00EE5E32"/>
    <w:rsid w:val="00EE5F60"/>
    <w:rsid w:val="00EE620E"/>
    <w:rsid w:val="00EE6274"/>
    <w:rsid w:val="00EE63E4"/>
    <w:rsid w:val="00EE67D0"/>
    <w:rsid w:val="00EE6922"/>
    <w:rsid w:val="00EE6A92"/>
    <w:rsid w:val="00EE6D72"/>
    <w:rsid w:val="00EE6EA2"/>
    <w:rsid w:val="00EE6F4B"/>
    <w:rsid w:val="00EE70BF"/>
    <w:rsid w:val="00EE71F3"/>
    <w:rsid w:val="00EE750C"/>
    <w:rsid w:val="00EE7570"/>
    <w:rsid w:val="00EE7590"/>
    <w:rsid w:val="00EE75EF"/>
    <w:rsid w:val="00EE76D4"/>
    <w:rsid w:val="00EE78C0"/>
    <w:rsid w:val="00EE794A"/>
    <w:rsid w:val="00EE7FA1"/>
    <w:rsid w:val="00EF00D3"/>
    <w:rsid w:val="00EF0188"/>
    <w:rsid w:val="00EF0202"/>
    <w:rsid w:val="00EF0602"/>
    <w:rsid w:val="00EF0874"/>
    <w:rsid w:val="00EF0978"/>
    <w:rsid w:val="00EF0C25"/>
    <w:rsid w:val="00EF0C3F"/>
    <w:rsid w:val="00EF0E7A"/>
    <w:rsid w:val="00EF0F85"/>
    <w:rsid w:val="00EF1033"/>
    <w:rsid w:val="00EF10E1"/>
    <w:rsid w:val="00EF1180"/>
    <w:rsid w:val="00EF11A2"/>
    <w:rsid w:val="00EF1610"/>
    <w:rsid w:val="00EF1A88"/>
    <w:rsid w:val="00EF1C8D"/>
    <w:rsid w:val="00EF1F33"/>
    <w:rsid w:val="00EF1FC2"/>
    <w:rsid w:val="00EF2096"/>
    <w:rsid w:val="00EF218B"/>
    <w:rsid w:val="00EF2500"/>
    <w:rsid w:val="00EF298C"/>
    <w:rsid w:val="00EF2B07"/>
    <w:rsid w:val="00EF3219"/>
    <w:rsid w:val="00EF3559"/>
    <w:rsid w:val="00EF370F"/>
    <w:rsid w:val="00EF37B7"/>
    <w:rsid w:val="00EF3951"/>
    <w:rsid w:val="00EF396F"/>
    <w:rsid w:val="00EF3B7B"/>
    <w:rsid w:val="00EF3C75"/>
    <w:rsid w:val="00EF4112"/>
    <w:rsid w:val="00EF4173"/>
    <w:rsid w:val="00EF42B8"/>
    <w:rsid w:val="00EF4573"/>
    <w:rsid w:val="00EF47E6"/>
    <w:rsid w:val="00EF482D"/>
    <w:rsid w:val="00EF4962"/>
    <w:rsid w:val="00EF5319"/>
    <w:rsid w:val="00EF548C"/>
    <w:rsid w:val="00EF54A7"/>
    <w:rsid w:val="00EF5C16"/>
    <w:rsid w:val="00EF5C88"/>
    <w:rsid w:val="00EF5D07"/>
    <w:rsid w:val="00EF5DE5"/>
    <w:rsid w:val="00EF5E24"/>
    <w:rsid w:val="00EF5EEA"/>
    <w:rsid w:val="00EF5F6F"/>
    <w:rsid w:val="00EF60DF"/>
    <w:rsid w:val="00EF66A2"/>
    <w:rsid w:val="00EF67AB"/>
    <w:rsid w:val="00EF6859"/>
    <w:rsid w:val="00EF6C04"/>
    <w:rsid w:val="00EF6DBD"/>
    <w:rsid w:val="00EF6E21"/>
    <w:rsid w:val="00EF6EFB"/>
    <w:rsid w:val="00EF6F1B"/>
    <w:rsid w:val="00EF7040"/>
    <w:rsid w:val="00EF7122"/>
    <w:rsid w:val="00EF7176"/>
    <w:rsid w:val="00EF7318"/>
    <w:rsid w:val="00EF73F8"/>
    <w:rsid w:val="00EF741D"/>
    <w:rsid w:val="00EF75DE"/>
    <w:rsid w:val="00EF78A1"/>
    <w:rsid w:val="00EF7CE1"/>
    <w:rsid w:val="00EF7E3D"/>
    <w:rsid w:val="00F000DC"/>
    <w:rsid w:val="00F00572"/>
    <w:rsid w:val="00F00940"/>
    <w:rsid w:val="00F00955"/>
    <w:rsid w:val="00F00A8B"/>
    <w:rsid w:val="00F00C68"/>
    <w:rsid w:val="00F00DAF"/>
    <w:rsid w:val="00F016D3"/>
    <w:rsid w:val="00F016D9"/>
    <w:rsid w:val="00F01B9B"/>
    <w:rsid w:val="00F01BF1"/>
    <w:rsid w:val="00F0201F"/>
    <w:rsid w:val="00F0218E"/>
    <w:rsid w:val="00F02638"/>
    <w:rsid w:val="00F026B1"/>
    <w:rsid w:val="00F029C6"/>
    <w:rsid w:val="00F02B1E"/>
    <w:rsid w:val="00F02B91"/>
    <w:rsid w:val="00F02FE5"/>
    <w:rsid w:val="00F0312E"/>
    <w:rsid w:val="00F0335E"/>
    <w:rsid w:val="00F0354F"/>
    <w:rsid w:val="00F0361C"/>
    <w:rsid w:val="00F03775"/>
    <w:rsid w:val="00F038E7"/>
    <w:rsid w:val="00F039CA"/>
    <w:rsid w:val="00F03B6E"/>
    <w:rsid w:val="00F03C27"/>
    <w:rsid w:val="00F03D4C"/>
    <w:rsid w:val="00F03EDF"/>
    <w:rsid w:val="00F03EFF"/>
    <w:rsid w:val="00F04029"/>
    <w:rsid w:val="00F040AA"/>
    <w:rsid w:val="00F040D6"/>
    <w:rsid w:val="00F041EF"/>
    <w:rsid w:val="00F0434C"/>
    <w:rsid w:val="00F0454E"/>
    <w:rsid w:val="00F0488A"/>
    <w:rsid w:val="00F04C24"/>
    <w:rsid w:val="00F04C4E"/>
    <w:rsid w:val="00F04CE5"/>
    <w:rsid w:val="00F04F90"/>
    <w:rsid w:val="00F0585F"/>
    <w:rsid w:val="00F058E8"/>
    <w:rsid w:val="00F059AC"/>
    <w:rsid w:val="00F05BF1"/>
    <w:rsid w:val="00F05D51"/>
    <w:rsid w:val="00F06386"/>
    <w:rsid w:val="00F0699F"/>
    <w:rsid w:val="00F06A18"/>
    <w:rsid w:val="00F06D9C"/>
    <w:rsid w:val="00F06FA2"/>
    <w:rsid w:val="00F077D0"/>
    <w:rsid w:val="00F0787B"/>
    <w:rsid w:val="00F07994"/>
    <w:rsid w:val="00F07B4A"/>
    <w:rsid w:val="00F07B99"/>
    <w:rsid w:val="00F07E15"/>
    <w:rsid w:val="00F07ED9"/>
    <w:rsid w:val="00F1004B"/>
    <w:rsid w:val="00F10067"/>
    <w:rsid w:val="00F10070"/>
    <w:rsid w:val="00F105AA"/>
    <w:rsid w:val="00F10709"/>
    <w:rsid w:val="00F1092D"/>
    <w:rsid w:val="00F10963"/>
    <w:rsid w:val="00F10FB1"/>
    <w:rsid w:val="00F110AD"/>
    <w:rsid w:val="00F11192"/>
    <w:rsid w:val="00F11231"/>
    <w:rsid w:val="00F112E0"/>
    <w:rsid w:val="00F11348"/>
    <w:rsid w:val="00F11397"/>
    <w:rsid w:val="00F1147D"/>
    <w:rsid w:val="00F11A0E"/>
    <w:rsid w:val="00F11E81"/>
    <w:rsid w:val="00F11FE1"/>
    <w:rsid w:val="00F12266"/>
    <w:rsid w:val="00F1244B"/>
    <w:rsid w:val="00F1251F"/>
    <w:rsid w:val="00F12680"/>
    <w:rsid w:val="00F1293F"/>
    <w:rsid w:val="00F12983"/>
    <w:rsid w:val="00F12A68"/>
    <w:rsid w:val="00F12D7E"/>
    <w:rsid w:val="00F12FCB"/>
    <w:rsid w:val="00F1300E"/>
    <w:rsid w:val="00F1364B"/>
    <w:rsid w:val="00F13720"/>
    <w:rsid w:val="00F1387C"/>
    <w:rsid w:val="00F138D5"/>
    <w:rsid w:val="00F13B88"/>
    <w:rsid w:val="00F13C55"/>
    <w:rsid w:val="00F13D0C"/>
    <w:rsid w:val="00F14169"/>
    <w:rsid w:val="00F1423B"/>
    <w:rsid w:val="00F14490"/>
    <w:rsid w:val="00F14BD0"/>
    <w:rsid w:val="00F14C64"/>
    <w:rsid w:val="00F14ECC"/>
    <w:rsid w:val="00F151A9"/>
    <w:rsid w:val="00F153CC"/>
    <w:rsid w:val="00F1548A"/>
    <w:rsid w:val="00F15901"/>
    <w:rsid w:val="00F15953"/>
    <w:rsid w:val="00F15C8F"/>
    <w:rsid w:val="00F15DC9"/>
    <w:rsid w:val="00F15FD5"/>
    <w:rsid w:val="00F16063"/>
    <w:rsid w:val="00F163D0"/>
    <w:rsid w:val="00F1649B"/>
    <w:rsid w:val="00F164F9"/>
    <w:rsid w:val="00F1656C"/>
    <w:rsid w:val="00F16C96"/>
    <w:rsid w:val="00F16FE9"/>
    <w:rsid w:val="00F17002"/>
    <w:rsid w:val="00F17066"/>
    <w:rsid w:val="00F17104"/>
    <w:rsid w:val="00F172BA"/>
    <w:rsid w:val="00F1746B"/>
    <w:rsid w:val="00F17518"/>
    <w:rsid w:val="00F17626"/>
    <w:rsid w:val="00F17915"/>
    <w:rsid w:val="00F17A3E"/>
    <w:rsid w:val="00F17D37"/>
    <w:rsid w:val="00F17DC9"/>
    <w:rsid w:val="00F17DD9"/>
    <w:rsid w:val="00F2026A"/>
    <w:rsid w:val="00F204B6"/>
    <w:rsid w:val="00F20516"/>
    <w:rsid w:val="00F205B7"/>
    <w:rsid w:val="00F20E46"/>
    <w:rsid w:val="00F20F37"/>
    <w:rsid w:val="00F20FDE"/>
    <w:rsid w:val="00F210FE"/>
    <w:rsid w:val="00F211FB"/>
    <w:rsid w:val="00F21510"/>
    <w:rsid w:val="00F2164B"/>
    <w:rsid w:val="00F217A4"/>
    <w:rsid w:val="00F217B2"/>
    <w:rsid w:val="00F217DC"/>
    <w:rsid w:val="00F21A64"/>
    <w:rsid w:val="00F21F5F"/>
    <w:rsid w:val="00F22020"/>
    <w:rsid w:val="00F2241C"/>
    <w:rsid w:val="00F22A32"/>
    <w:rsid w:val="00F22AC8"/>
    <w:rsid w:val="00F22B34"/>
    <w:rsid w:val="00F22C1D"/>
    <w:rsid w:val="00F22C74"/>
    <w:rsid w:val="00F22ECE"/>
    <w:rsid w:val="00F22F32"/>
    <w:rsid w:val="00F2313B"/>
    <w:rsid w:val="00F233E3"/>
    <w:rsid w:val="00F2350B"/>
    <w:rsid w:val="00F236E3"/>
    <w:rsid w:val="00F23AE4"/>
    <w:rsid w:val="00F23D79"/>
    <w:rsid w:val="00F23DCF"/>
    <w:rsid w:val="00F241F4"/>
    <w:rsid w:val="00F2423E"/>
    <w:rsid w:val="00F2424B"/>
    <w:rsid w:val="00F244D0"/>
    <w:rsid w:val="00F24601"/>
    <w:rsid w:val="00F2494A"/>
    <w:rsid w:val="00F249D1"/>
    <w:rsid w:val="00F24D4A"/>
    <w:rsid w:val="00F24D86"/>
    <w:rsid w:val="00F251A3"/>
    <w:rsid w:val="00F25280"/>
    <w:rsid w:val="00F25284"/>
    <w:rsid w:val="00F252F1"/>
    <w:rsid w:val="00F252FD"/>
    <w:rsid w:val="00F25503"/>
    <w:rsid w:val="00F255BA"/>
    <w:rsid w:val="00F25602"/>
    <w:rsid w:val="00F25756"/>
    <w:rsid w:val="00F25F7F"/>
    <w:rsid w:val="00F2611B"/>
    <w:rsid w:val="00F263A8"/>
    <w:rsid w:val="00F265A8"/>
    <w:rsid w:val="00F2685B"/>
    <w:rsid w:val="00F26B4B"/>
    <w:rsid w:val="00F26C36"/>
    <w:rsid w:val="00F273E7"/>
    <w:rsid w:val="00F27745"/>
    <w:rsid w:val="00F27976"/>
    <w:rsid w:val="00F27F1B"/>
    <w:rsid w:val="00F27FA2"/>
    <w:rsid w:val="00F302AF"/>
    <w:rsid w:val="00F302C9"/>
    <w:rsid w:val="00F304EA"/>
    <w:rsid w:val="00F306A1"/>
    <w:rsid w:val="00F307FE"/>
    <w:rsid w:val="00F30808"/>
    <w:rsid w:val="00F31279"/>
    <w:rsid w:val="00F3191B"/>
    <w:rsid w:val="00F31CA9"/>
    <w:rsid w:val="00F31CF1"/>
    <w:rsid w:val="00F31D27"/>
    <w:rsid w:val="00F32018"/>
    <w:rsid w:val="00F32268"/>
    <w:rsid w:val="00F3236F"/>
    <w:rsid w:val="00F32474"/>
    <w:rsid w:val="00F32593"/>
    <w:rsid w:val="00F32696"/>
    <w:rsid w:val="00F3269C"/>
    <w:rsid w:val="00F32A91"/>
    <w:rsid w:val="00F32DFE"/>
    <w:rsid w:val="00F330F4"/>
    <w:rsid w:val="00F336C5"/>
    <w:rsid w:val="00F337C4"/>
    <w:rsid w:val="00F33C87"/>
    <w:rsid w:val="00F33DD1"/>
    <w:rsid w:val="00F33E51"/>
    <w:rsid w:val="00F33ECF"/>
    <w:rsid w:val="00F341D8"/>
    <w:rsid w:val="00F34509"/>
    <w:rsid w:val="00F346B4"/>
    <w:rsid w:val="00F3471B"/>
    <w:rsid w:val="00F34725"/>
    <w:rsid w:val="00F3488F"/>
    <w:rsid w:val="00F348A5"/>
    <w:rsid w:val="00F349D2"/>
    <w:rsid w:val="00F34DE6"/>
    <w:rsid w:val="00F34E8D"/>
    <w:rsid w:val="00F34EBD"/>
    <w:rsid w:val="00F34F2F"/>
    <w:rsid w:val="00F34F88"/>
    <w:rsid w:val="00F34FC4"/>
    <w:rsid w:val="00F35274"/>
    <w:rsid w:val="00F35395"/>
    <w:rsid w:val="00F353A0"/>
    <w:rsid w:val="00F35460"/>
    <w:rsid w:val="00F354E8"/>
    <w:rsid w:val="00F35686"/>
    <w:rsid w:val="00F35ACB"/>
    <w:rsid w:val="00F35B7C"/>
    <w:rsid w:val="00F35FF6"/>
    <w:rsid w:val="00F36316"/>
    <w:rsid w:val="00F363CA"/>
    <w:rsid w:val="00F36448"/>
    <w:rsid w:val="00F36772"/>
    <w:rsid w:val="00F367FE"/>
    <w:rsid w:val="00F3690E"/>
    <w:rsid w:val="00F3695A"/>
    <w:rsid w:val="00F36AB1"/>
    <w:rsid w:val="00F36B16"/>
    <w:rsid w:val="00F36DE1"/>
    <w:rsid w:val="00F36FA5"/>
    <w:rsid w:val="00F37173"/>
    <w:rsid w:val="00F37221"/>
    <w:rsid w:val="00F3742E"/>
    <w:rsid w:val="00F374C0"/>
    <w:rsid w:val="00F37555"/>
    <w:rsid w:val="00F376E6"/>
    <w:rsid w:val="00F37CBF"/>
    <w:rsid w:val="00F37FB9"/>
    <w:rsid w:val="00F37FBA"/>
    <w:rsid w:val="00F40093"/>
    <w:rsid w:val="00F402D1"/>
    <w:rsid w:val="00F406CC"/>
    <w:rsid w:val="00F407C6"/>
    <w:rsid w:val="00F408D5"/>
    <w:rsid w:val="00F40A25"/>
    <w:rsid w:val="00F40AEF"/>
    <w:rsid w:val="00F40C30"/>
    <w:rsid w:val="00F40D38"/>
    <w:rsid w:val="00F40D7A"/>
    <w:rsid w:val="00F40DBA"/>
    <w:rsid w:val="00F4102A"/>
    <w:rsid w:val="00F410FA"/>
    <w:rsid w:val="00F413D8"/>
    <w:rsid w:val="00F415A4"/>
    <w:rsid w:val="00F416E3"/>
    <w:rsid w:val="00F419FA"/>
    <w:rsid w:val="00F41BB2"/>
    <w:rsid w:val="00F41D3A"/>
    <w:rsid w:val="00F427B5"/>
    <w:rsid w:val="00F429F5"/>
    <w:rsid w:val="00F42A5E"/>
    <w:rsid w:val="00F42B8D"/>
    <w:rsid w:val="00F42DAD"/>
    <w:rsid w:val="00F42F8D"/>
    <w:rsid w:val="00F43090"/>
    <w:rsid w:val="00F43151"/>
    <w:rsid w:val="00F431A1"/>
    <w:rsid w:val="00F432AA"/>
    <w:rsid w:val="00F43610"/>
    <w:rsid w:val="00F436BC"/>
    <w:rsid w:val="00F43753"/>
    <w:rsid w:val="00F43922"/>
    <w:rsid w:val="00F43B21"/>
    <w:rsid w:val="00F43EDF"/>
    <w:rsid w:val="00F43EFC"/>
    <w:rsid w:val="00F44095"/>
    <w:rsid w:val="00F440CC"/>
    <w:rsid w:val="00F4426E"/>
    <w:rsid w:val="00F44273"/>
    <w:rsid w:val="00F44529"/>
    <w:rsid w:val="00F44594"/>
    <w:rsid w:val="00F446A6"/>
    <w:rsid w:val="00F44B21"/>
    <w:rsid w:val="00F44BC6"/>
    <w:rsid w:val="00F44F3C"/>
    <w:rsid w:val="00F452C8"/>
    <w:rsid w:val="00F4541F"/>
    <w:rsid w:val="00F45439"/>
    <w:rsid w:val="00F457BD"/>
    <w:rsid w:val="00F45BF7"/>
    <w:rsid w:val="00F46108"/>
    <w:rsid w:val="00F4637D"/>
    <w:rsid w:val="00F468E4"/>
    <w:rsid w:val="00F46962"/>
    <w:rsid w:val="00F46E85"/>
    <w:rsid w:val="00F47480"/>
    <w:rsid w:val="00F47568"/>
    <w:rsid w:val="00F47943"/>
    <w:rsid w:val="00F47A71"/>
    <w:rsid w:val="00F47CF7"/>
    <w:rsid w:val="00F47EBF"/>
    <w:rsid w:val="00F47EDD"/>
    <w:rsid w:val="00F47F24"/>
    <w:rsid w:val="00F47FCE"/>
    <w:rsid w:val="00F500F8"/>
    <w:rsid w:val="00F50218"/>
    <w:rsid w:val="00F50271"/>
    <w:rsid w:val="00F502B4"/>
    <w:rsid w:val="00F504CB"/>
    <w:rsid w:val="00F508E8"/>
    <w:rsid w:val="00F509BB"/>
    <w:rsid w:val="00F509E5"/>
    <w:rsid w:val="00F50AAF"/>
    <w:rsid w:val="00F50B0D"/>
    <w:rsid w:val="00F50B30"/>
    <w:rsid w:val="00F50B78"/>
    <w:rsid w:val="00F51004"/>
    <w:rsid w:val="00F511E1"/>
    <w:rsid w:val="00F51494"/>
    <w:rsid w:val="00F516BF"/>
    <w:rsid w:val="00F516FD"/>
    <w:rsid w:val="00F5175B"/>
    <w:rsid w:val="00F51764"/>
    <w:rsid w:val="00F51966"/>
    <w:rsid w:val="00F51D0A"/>
    <w:rsid w:val="00F51D27"/>
    <w:rsid w:val="00F51D74"/>
    <w:rsid w:val="00F52380"/>
    <w:rsid w:val="00F529AC"/>
    <w:rsid w:val="00F52AC3"/>
    <w:rsid w:val="00F52BA8"/>
    <w:rsid w:val="00F52CF6"/>
    <w:rsid w:val="00F52E3A"/>
    <w:rsid w:val="00F52FEE"/>
    <w:rsid w:val="00F53054"/>
    <w:rsid w:val="00F53282"/>
    <w:rsid w:val="00F53493"/>
    <w:rsid w:val="00F53568"/>
    <w:rsid w:val="00F53569"/>
    <w:rsid w:val="00F53941"/>
    <w:rsid w:val="00F539A7"/>
    <w:rsid w:val="00F53AEC"/>
    <w:rsid w:val="00F53B66"/>
    <w:rsid w:val="00F53BEF"/>
    <w:rsid w:val="00F53C1F"/>
    <w:rsid w:val="00F5409A"/>
    <w:rsid w:val="00F54180"/>
    <w:rsid w:val="00F544E6"/>
    <w:rsid w:val="00F5456C"/>
    <w:rsid w:val="00F54678"/>
    <w:rsid w:val="00F54783"/>
    <w:rsid w:val="00F54923"/>
    <w:rsid w:val="00F549E0"/>
    <w:rsid w:val="00F54B45"/>
    <w:rsid w:val="00F54E65"/>
    <w:rsid w:val="00F54ED4"/>
    <w:rsid w:val="00F5533F"/>
    <w:rsid w:val="00F55425"/>
    <w:rsid w:val="00F556B0"/>
    <w:rsid w:val="00F55843"/>
    <w:rsid w:val="00F55C34"/>
    <w:rsid w:val="00F55DCE"/>
    <w:rsid w:val="00F56106"/>
    <w:rsid w:val="00F56304"/>
    <w:rsid w:val="00F56338"/>
    <w:rsid w:val="00F5655E"/>
    <w:rsid w:val="00F56573"/>
    <w:rsid w:val="00F565AC"/>
    <w:rsid w:val="00F5664E"/>
    <w:rsid w:val="00F56650"/>
    <w:rsid w:val="00F567D9"/>
    <w:rsid w:val="00F56820"/>
    <w:rsid w:val="00F56B12"/>
    <w:rsid w:val="00F56CC6"/>
    <w:rsid w:val="00F56DF7"/>
    <w:rsid w:val="00F56E9F"/>
    <w:rsid w:val="00F56EED"/>
    <w:rsid w:val="00F56F87"/>
    <w:rsid w:val="00F5716B"/>
    <w:rsid w:val="00F57253"/>
    <w:rsid w:val="00F572E5"/>
    <w:rsid w:val="00F57476"/>
    <w:rsid w:val="00F574D1"/>
    <w:rsid w:val="00F575DB"/>
    <w:rsid w:val="00F5778F"/>
    <w:rsid w:val="00F5785C"/>
    <w:rsid w:val="00F57F4B"/>
    <w:rsid w:val="00F600B6"/>
    <w:rsid w:val="00F600F0"/>
    <w:rsid w:val="00F60639"/>
    <w:rsid w:val="00F60656"/>
    <w:rsid w:val="00F6072D"/>
    <w:rsid w:val="00F60780"/>
    <w:rsid w:val="00F60A4C"/>
    <w:rsid w:val="00F60BC2"/>
    <w:rsid w:val="00F60BD0"/>
    <w:rsid w:val="00F60DBD"/>
    <w:rsid w:val="00F60E02"/>
    <w:rsid w:val="00F60E2A"/>
    <w:rsid w:val="00F60E63"/>
    <w:rsid w:val="00F60F0A"/>
    <w:rsid w:val="00F60F65"/>
    <w:rsid w:val="00F60FB4"/>
    <w:rsid w:val="00F6102F"/>
    <w:rsid w:val="00F612E7"/>
    <w:rsid w:val="00F6142D"/>
    <w:rsid w:val="00F615AA"/>
    <w:rsid w:val="00F61644"/>
    <w:rsid w:val="00F6178A"/>
    <w:rsid w:val="00F61AC0"/>
    <w:rsid w:val="00F61BE7"/>
    <w:rsid w:val="00F61EF8"/>
    <w:rsid w:val="00F620AC"/>
    <w:rsid w:val="00F623ED"/>
    <w:rsid w:val="00F6257C"/>
    <w:rsid w:val="00F62821"/>
    <w:rsid w:val="00F62A0E"/>
    <w:rsid w:val="00F62BB2"/>
    <w:rsid w:val="00F62C86"/>
    <w:rsid w:val="00F62E3F"/>
    <w:rsid w:val="00F630AE"/>
    <w:rsid w:val="00F631E4"/>
    <w:rsid w:val="00F633CF"/>
    <w:rsid w:val="00F6344B"/>
    <w:rsid w:val="00F634EB"/>
    <w:rsid w:val="00F6355C"/>
    <w:rsid w:val="00F637DE"/>
    <w:rsid w:val="00F63810"/>
    <w:rsid w:val="00F638EB"/>
    <w:rsid w:val="00F63DDE"/>
    <w:rsid w:val="00F63E4B"/>
    <w:rsid w:val="00F641A7"/>
    <w:rsid w:val="00F642F0"/>
    <w:rsid w:val="00F6448E"/>
    <w:rsid w:val="00F644CC"/>
    <w:rsid w:val="00F64A5F"/>
    <w:rsid w:val="00F64E59"/>
    <w:rsid w:val="00F650EA"/>
    <w:rsid w:val="00F655B1"/>
    <w:rsid w:val="00F655C2"/>
    <w:rsid w:val="00F65869"/>
    <w:rsid w:val="00F65DC1"/>
    <w:rsid w:val="00F65F8D"/>
    <w:rsid w:val="00F6642A"/>
    <w:rsid w:val="00F66449"/>
    <w:rsid w:val="00F66465"/>
    <w:rsid w:val="00F664E3"/>
    <w:rsid w:val="00F66804"/>
    <w:rsid w:val="00F6683F"/>
    <w:rsid w:val="00F668E3"/>
    <w:rsid w:val="00F6696D"/>
    <w:rsid w:val="00F66AB0"/>
    <w:rsid w:val="00F66C27"/>
    <w:rsid w:val="00F66FB8"/>
    <w:rsid w:val="00F671EA"/>
    <w:rsid w:val="00F67559"/>
    <w:rsid w:val="00F6758A"/>
    <w:rsid w:val="00F675C3"/>
    <w:rsid w:val="00F6765E"/>
    <w:rsid w:val="00F67682"/>
    <w:rsid w:val="00F67704"/>
    <w:rsid w:val="00F67732"/>
    <w:rsid w:val="00F6784F"/>
    <w:rsid w:val="00F67B4B"/>
    <w:rsid w:val="00F67D69"/>
    <w:rsid w:val="00F67EF6"/>
    <w:rsid w:val="00F701C9"/>
    <w:rsid w:val="00F7062D"/>
    <w:rsid w:val="00F7065C"/>
    <w:rsid w:val="00F706AC"/>
    <w:rsid w:val="00F7077E"/>
    <w:rsid w:val="00F708E2"/>
    <w:rsid w:val="00F70946"/>
    <w:rsid w:val="00F70E14"/>
    <w:rsid w:val="00F70FA3"/>
    <w:rsid w:val="00F71273"/>
    <w:rsid w:val="00F7144D"/>
    <w:rsid w:val="00F71518"/>
    <w:rsid w:val="00F71A18"/>
    <w:rsid w:val="00F71ACF"/>
    <w:rsid w:val="00F71D2F"/>
    <w:rsid w:val="00F71D51"/>
    <w:rsid w:val="00F71D98"/>
    <w:rsid w:val="00F723C3"/>
    <w:rsid w:val="00F7252E"/>
    <w:rsid w:val="00F7253D"/>
    <w:rsid w:val="00F725C7"/>
    <w:rsid w:val="00F726FD"/>
    <w:rsid w:val="00F727DC"/>
    <w:rsid w:val="00F72A44"/>
    <w:rsid w:val="00F72ACB"/>
    <w:rsid w:val="00F72BCE"/>
    <w:rsid w:val="00F72C91"/>
    <w:rsid w:val="00F72D1D"/>
    <w:rsid w:val="00F72ED6"/>
    <w:rsid w:val="00F737D8"/>
    <w:rsid w:val="00F73814"/>
    <w:rsid w:val="00F73BDC"/>
    <w:rsid w:val="00F73D86"/>
    <w:rsid w:val="00F73F48"/>
    <w:rsid w:val="00F740D9"/>
    <w:rsid w:val="00F742C2"/>
    <w:rsid w:val="00F74415"/>
    <w:rsid w:val="00F74768"/>
    <w:rsid w:val="00F74BF0"/>
    <w:rsid w:val="00F74F7C"/>
    <w:rsid w:val="00F7523A"/>
    <w:rsid w:val="00F75247"/>
    <w:rsid w:val="00F752CB"/>
    <w:rsid w:val="00F75C6C"/>
    <w:rsid w:val="00F75E3F"/>
    <w:rsid w:val="00F75F02"/>
    <w:rsid w:val="00F76475"/>
    <w:rsid w:val="00F7650B"/>
    <w:rsid w:val="00F76670"/>
    <w:rsid w:val="00F7681B"/>
    <w:rsid w:val="00F7681C"/>
    <w:rsid w:val="00F7686E"/>
    <w:rsid w:val="00F76881"/>
    <w:rsid w:val="00F769BB"/>
    <w:rsid w:val="00F76D27"/>
    <w:rsid w:val="00F7704E"/>
    <w:rsid w:val="00F77068"/>
    <w:rsid w:val="00F771A6"/>
    <w:rsid w:val="00F77475"/>
    <w:rsid w:val="00F775FC"/>
    <w:rsid w:val="00F77928"/>
    <w:rsid w:val="00F77A1B"/>
    <w:rsid w:val="00F77AB5"/>
    <w:rsid w:val="00F77C2B"/>
    <w:rsid w:val="00F77D46"/>
    <w:rsid w:val="00F77EA1"/>
    <w:rsid w:val="00F77F05"/>
    <w:rsid w:val="00F77F82"/>
    <w:rsid w:val="00F77FF7"/>
    <w:rsid w:val="00F8000D"/>
    <w:rsid w:val="00F800B5"/>
    <w:rsid w:val="00F8036A"/>
    <w:rsid w:val="00F805B2"/>
    <w:rsid w:val="00F808C2"/>
    <w:rsid w:val="00F80987"/>
    <w:rsid w:val="00F80C4F"/>
    <w:rsid w:val="00F80CF9"/>
    <w:rsid w:val="00F80D5B"/>
    <w:rsid w:val="00F80E3F"/>
    <w:rsid w:val="00F81136"/>
    <w:rsid w:val="00F8140C"/>
    <w:rsid w:val="00F8178B"/>
    <w:rsid w:val="00F81B63"/>
    <w:rsid w:val="00F81C32"/>
    <w:rsid w:val="00F81D30"/>
    <w:rsid w:val="00F81D36"/>
    <w:rsid w:val="00F81F00"/>
    <w:rsid w:val="00F8205D"/>
    <w:rsid w:val="00F82369"/>
    <w:rsid w:val="00F8246F"/>
    <w:rsid w:val="00F82953"/>
    <w:rsid w:val="00F829A5"/>
    <w:rsid w:val="00F82BF6"/>
    <w:rsid w:val="00F82D70"/>
    <w:rsid w:val="00F82DD0"/>
    <w:rsid w:val="00F82EFD"/>
    <w:rsid w:val="00F830D4"/>
    <w:rsid w:val="00F83319"/>
    <w:rsid w:val="00F8343B"/>
    <w:rsid w:val="00F834E0"/>
    <w:rsid w:val="00F83751"/>
    <w:rsid w:val="00F83BFA"/>
    <w:rsid w:val="00F83D8A"/>
    <w:rsid w:val="00F83E3E"/>
    <w:rsid w:val="00F83E9E"/>
    <w:rsid w:val="00F844BB"/>
    <w:rsid w:val="00F84658"/>
    <w:rsid w:val="00F84725"/>
    <w:rsid w:val="00F84AFF"/>
    <w:rsid w:val="00F84BD2"/>
    <w:rsid w:val="00F84C97"/>
    <w:rsid w:val="00F84E95"/>
    <w:rsid w:val="00F84F68"/>
    <w:rsid w:val="00F85234"/>
    <w:rsid w:val="00F8541F"/>
    <w:rsid w:val="00F85524"/>
    <w:rsid w:val="00F85656"/>
    <w:rsid w:val="00F856A9"/>
    <w:rsid w:val="00F85871"/>
    <w:rsid w:val="00F86088"/>
    <w:rsid w:val="00F8617D"/>
    <w:rsid w:val="00F862EA"/>
    <w:rsid w:val="00F86448"/>
    <w:rsid w:val="00F86640"/>
    <w:rsid w:val="00F8664B"/>
    <w:rsid w:val="00F86680"/>
    <w:rsid w:val="00F866FA"/>
    <w:rsid w:val="00F86942"/>
    <w:rsid w:val="00F86B77"/>
    <w:rsid w:val="00F86BA8"/>
    <w:rsid w:val="00F86C4D"/>
    <w:rsid w:val="00F87322"/>
    <w:rsid w:val="00F87ACD"/>
    <w:rsid w:val="00F87CBC"/>
    <w:rsid w:val="00F87F0F"/>
    <w:rsid w:val="00F901A3"/>
    <w:rsid w:val="00F90626"/>
    <w:rsid w:val="00F90B33"/>
    <w:rsid w:val="00F90F17"/>
    <w:rsid w:val="00F91162"/>
    <w:rsid w:val="00F91267"/>
    <w:rsid w:val="00F9131C"/>
    <w:rsid w:val="00F91371"/>
    <w:rsid w:val="00F91405"/>
    <w:rsid w:val="00F9155C"/>
    <w:rsid w:val="00F918FD"/>
    <w:rsid w:val="00F91942"/>
    <w:rsid w:val="00F91BDF"/>
    <w:rsid w:val="00F91D5E"/>
    <w:rsid w:val="00F91E3F"/>
    <w:rsid w:val="00F920ED"/>
    <w:rsid w:val="00F923AE"/>
    <w:rsid w:val="00F92895"/>
    <w:rsid w:val="00F928A9"/>
    <w:rsid w:val="00F92918"/>
    <w:rsid w:val="00F92AE5"/>
    <w:rsid w:val="00F92B44"/>
    <w:rsid w:val="00F92E30"/>
    <w:rsid w:val="00F93076"/>
    <w:rsid w:val="00F932C5"/>
    <w:rsid w:val="00F93336"/>
    <w:rsid w:val="00F93349"/>
    <w:rsid w:val="00F93900"/>
    <w:rsid w:val="00F93B3B"/>
    <w:rsid w:val="00F93C82"/>
    <w:rsid w:val="00F93D62"/>
    <w:rsid w:val="00F93D71"/>
    <w:rsid w:val="00F942BA"/>
    <w:rsid w:val="00F94463"/>
    <w:rsid w:val="00F945A0"/>
    <w:rsid w:val="00F9468B"/>
    <w:rsid w:val="00F94969"/>
    <w:rsid w:val="00F94A89"/>
    <w:rsid w:val="00F94AC2"/>
    <w:rsid w:val="00F94C26"/>
    <w:rsid w:val="00F94EA9"/>
    <w:rsid w:val="00F95158"/>
    <w:rsid w:val="00F951FF"/>
    <w:rsid w:val="00F953C1"/>
    <w:rsid w:val="00F95EA2"/>
    <w:rsid w:val="00F96006"/>
    <w:rsid w:val="00F9618B"/>
    <w:rsid w:val="00F963D4"/>
    <w:rsid w:val="00F965F0"/>
    <w:rsid w:val="00F9676E"/>
    <w:rsid w:val="00F969C5"/>
    <w:rsid w:val="00F96C63"/>
    <w:rsid w:val="00F96E00"/>
    <w:rsid w:val="00F96EF8"/>
    <w:rsid w:val="00F96F92"/>
    <w:rsid w:val="00F9708A"/>
    <w:rsid w:val="00F97180"/>
    <w:rsid w:val="00F971B4"/>
    <w:rsid w:val="00F9729F"/>
    <w:rsid w:val="00F973D8"/>
    <w:rsid w:val="00F974DA"/>
    <w:rsid w:val="00F97501"/>
    <w:rsid w:val="00F9763A"/>
    <w:rsid w:val="00F976A3"/>
    <w:rsid w:val="00F978EB"/>
    <w:rsid w:val="00F97C38"/>
    <w:rsid w:val="00F97C5D"/>
    <w:rsid w:val="00F97D2B"/>
    <w:rsid w:val="00F97E25"/>
    <w:rsid w:val="00F97F50"/>
    <w:rsid w:val="00FA00B6"/>
    <w:rsid w:val="00FA0198"/>
    <w:rsid w:val="00FA08DC"/>
    <w:rsid w:val="00FA09E7"/>
    <w:rsid w:val="00FA1087"/>
    <w:rsid w:val="00FA127E"/>
    <w:rsid w:val="00FA187A"/>
    <w:rsid w:val="00FA1891"/>
    <w:rsid w:val="00FA1977"/>
    <w:rsid w:val="00FA1AF0"/>
    <w:rsid w:val="00FA1FE5"/>
    <w:rsid w:val="00FA20CF"/>
    <w:rsid w:val="00FA266F"/>
    <w:rsid w:val="00FA26D5"/>
    <w:rsid w:val="00FA2762"/>
    <w:rsid w:val="00FA2B21"/>
    <w:rsid w:val="00FA2BC2"/>
    <w:rsid w:val="00FA2C14"/>
    <w:rsid w:val="00FA2C25"/>
    <w:rsid w:val="00FA30F4"/>
    <w:rsid w:val="00FA3375"/>
    <w:rsid w:val="00FA3669"/>
    <w:rsid w:val="00FA37F2"/>
    <w:rsid w:val="00FA39F7"/>
    <w:rsid w:val="00FA3CCD"/>
    <w:rsid w:val="00FA3F61"/>
    <w:rsid w:val="00FA4636"/>
    <w:rsid w:val="00FA46C2"/>
    <w:rsid w:val="00FA476C"/>
    <w:rsid w:val="00FA4BAD"/>
    <w:rsid w:val="00FA4C2B"/>
    <w:rsid w:val="00FA4D28"/>
    <w:rsid w:val="00FA4E8D"/>
    <w:rsid w:val="00FA4F46"/>
    <w:rsid w:val="00FA5030"/>
    <w:rsid w:val="00FA50C9"/>
    <w:rsid w:val="00FA52C8"/>
    <w:rsid w:val="00FA53A7"/>
    <w:rsid w:val="00FA53BC"/>
    <w:rsid w:val="00FA5547"/>
    <w:rsid w:val="00FA567A"/>
    <w:rsid w:val="00FA57AD"/>
    <w:rsid w:val="00FA5962"/>
    <w:rsid w:val="00FA5995"/>
    <w:rsid w:val="00FA59A4"/>
    <w:rsid w:val="00FA5D06"/>
    <w:rsid w:val="00FA5E69"/>
    <w:rsid w:val="00FA5F63"/>
    <w:rsid w:val="00FA6008"/>
    <w:rsid w:val="00FA60C7"/>
    <w:rsid w:val="00FA61CF"/>
    <w:rsid w:val="00FA622B"/>
    <w:rsid w:val="00FA63E7"/>
    <w:rsid w:val="00FA6724"/>
    <w:rsid w:val="00FA67B8"/>
    <w:rsid w:val="00FA695B"/>
    <w:rsid w:val="00FA6ADE"/>
    <w:rsid w:val="00FA6B46"/>
    <w:rsid w:val="00FA6DEC"/>
    <w:rsid w:val="00FA6FE6"/>
    <w:rsid w:val="00FA700E"/>
    <w:rsid w:val="00FA7255"/>
    <w:rsid w:val="00FA75D0"/>
    <w:rsid w:val="00FA7784"/>
    <w:rsid w:val="00FA779E"/>
    <w:rsid w:val="00FA77DB"/>
    <w:rsid w:val="00FA7991"/>
    <w:rsid w:val="00FA7B68"/>
    <w:rsid w:val="00FA7C7F"/>
    <w:rsid w:val="00FB036C"/>
    <w:rsid w:val="00FB0584"/>
    <w:rsid w:val="00FB08DD"/>
    <w:rsid w:val="00FB0BA1"/>
    <w:rsid w:val="00FB0D27"/>
    <w:rsid w:val="00FB0F83"/>
    <w:rsid w:val="00FB0FC3"/>
    <w:rsid w:val="00FB1197"/>
    <w:rsid w:val="00FB14DF"/>
    <w:rsid w:val="00FB1659"/>
    <w:rsid w:val="00FB1928"/>
    <w:rsid w:val="00FB1C73"/>
    <w:rsid w:val="00FB1CA0"/>
    <w:rsid w:val="00FB1DF2"/>
    <w:rsid w:val="00FB21A5"/>
    <w:rsid w:val="00FB22E6"/>
    <w:rsid w:val="00FB280F"/>
    <w:rsid w:val="00FB2936"/>
    <w:rsid w:val="00FB2950"/>
    <w:rsid w:val="00FB31B8"/>
    <w:rsid w:val="00FB33BA"/>
    <w:rsid w:val="00FB349D"/>
    <w:rsid w:val="00FB374A"/>
    <w:rsid w:val="00FB39FA"/>
    <w:rsid w:val="00FB3A86"/>
    <w:rsid w:val="00FB3B45"/>
    <w:rsid w:val="00FB3C83"/>
    <w:rsid w:val="00FB3F5D"/>
    <w:rsid w:val="00FB3FDB"/>
    <w:rsid w:val="00FB419D"/>
    <w:rsid w:val="00FB43CE"/>
    <w:rsid w:val="00FB451A"/>
    <w:rsid w:val="00FB4751"/>
    <w:rsid w:val="00FB478E"/>
    <w:rsid w:val="00FB49F4"/>
    <w:rsid w:val="00FB4C76"/>
    <w:rsid w:val="00FB4D51"/>
    <w:rsid w:val="00FB4E08"/>
    <w:rsid w:val="00FB4F64"/>
    <w:rsid w:val="00FB5269"/>
    <w:rsid w:val="00FB5298"/>
    <w:rsid w:val="00FB539B"/>
    <w:rsid w:val="00FB53D0"/>
    <w:rsid w:val="00FB540D"/>
    <w:rsid w:val="00FB5445"/>
    <w:rsid w:val="00FB54C4"/>
    <w:rsid w:val="00FB54E7"/>
    <w:rsid w:val="00FB54F4"/>
    <w:rsid w:val="00FB5619"/>
    <w:rsid w:val="00FB568C"/>
    <w:rsid w:val="00FB59CA"/>
    <w:rsid w:val="00FB5A25"/>
    <w:rsid w:val="00FB5BAD"/>
    <w:rsid w:val="00FB5E02"/>
    <w:rsid w:val="00FB5EED"/>
    <w:rsid w:val="00FB5F20"/>
    <w:rsid w:val="00FB672C"/>
    <w:rsid w:val="00FB6849"/>
    <w:rsid w:val="00FB69FA"/>
    <w:rsid w:val="00FB6A62"/>
    <w:rsid w:val="00FB6B13"/>
    <w:rsid w:val="00FB6DA9"/>
    <w:rsid w:val="00FB7214"/>
    <w:rsid w:val="00FB7427"/>
    <w:rsid w:val="00FB757F"/>
    <w:rsid w:val="00FB75E9"/>
    <w:rsid w:val="00FB76B5"/>
    <w:rsid w:val="00FB7898"/>
    <w:rsid w:val="00FB7B73"/>
    <w:rsid w:val="00FB7FFD"/>
    <w:rsid w:val="00FC003B"/>
    <w:rsid w:val="00FC009D"/>
    <w:rsid w:val="00FC05E4"/>
    <w:rsid w:val="00FC0F73"/>
    <w:rsid w:val="00FC11D3"/>
    <w:rsid w:val="00FC1211"/>
    <w:rsid w:val="00FC12F3"/>
    <w:rsid w:val="00FC163A"/>
    <w:rsid w:val="00FC1AC4"/>
    <w:rsid w:val="00FC1E59"/>
    <w:rsid w:val="00FC1F32"/>
    <w:rsid w:val="00FC2280"/>
    <w:rsid w:val="00FC239D"/>
    <w:rsid w:val="00FC24F0"/>
    <w:rsid w:val="00FC25BC"/>
    <w:rsid w:val="00FC2604"/>
    <w:rsid w:val="00FC26CA"/>
    <w:rsid w:val="00FC2A42"/>
    <w:rsid w:val="00FC2C2B"/>
    <w:rsid w:val="00FC2FEC"/>
    <w:rsid w:val="00FC302A"/>
    <w:rsid w:val="00FC3160"/>
    <w:rsid w:val="00FC3454"/>
    <w:rsid w:val="00FC3611"/>
    <w:rsid w:val="00FC3B48"/>
    <w:rsid w:val="00FC3F40"/>
    <w:rsid w:val="00FC416E"/>
    <w:rsid w:val="00FC424F"/>
    <w:rsid w:val="00FC43CD"/>
    <w:rsid w:val="00FC4542"/>
    <w:rsid w:val="00FC4572"/>
    <w:rsid w:val="00FC4BEE"/>
    <w:rsid w:val="00FC4DCD"/>
    <w:rsid w:val="00FC4F6C"/>
    <w:rsid w:val="00FC514F"/>
    <w:rsid w:val="00FC536C"/>
    <w:rsid w:val="00FC5398"/>
    <w:rsid w:val="00FC53BD"/>
    <w:rsid w:val="00FC54FA"/>
    <w:rsid w:val="00FC5672"/>
    <w:rsid w:val="00FC59E7"/>
    <w:rsid w:val="00FC5CB3"/>
    <w:rsid w:val="00FC5DA0"/>
    <w:rsid w:val="00FC5E4F"/>
    <w:rsid w:val="00FC612A"/>
    <w:rsid w:val="00FC6440"/>
    <w:rsid w:val="00FC6576"/>
    <w:rsid w:val="00FC674A"/>
    <w:rsid w:val="00FC6876"/>
    <w:rsid w:val="00FC6B61"/>
    <w:rsid w:val="00FC6F03"/>
    <w:rsid w:val="00FC6F2B"/>
    <w:rsid w:val="00FC6FE0"/>
    <w:rsid w:val="00FC73C4"/>
    <w:rsid w:val="00FC74C3"/>
    <w:rsid w:val="00FC74CE"/>
    <w:rsid w:val="00FC77C1"/>
    <w:rsid w:val="00FC79EC"/>
    <w:rsid w:val="00FC7D46"/>
    <w:rsid w:val="00FC7D67"/>
    <w:rsid w:val="00FD02A5"/>
    <w:rsid w:val="00FD02CC"/>
    <w:rsid w:val="00FD064D"/>
    <w:rsid w:val="00FD0ED7"/>
    <w:rsid w:val="00FD0FAE"/>
    <w:rsid w:val="00FD1031"/>
    <w:rsid w:val="00FD1308"/>
    <w:rsid w:val="00FD156C"/>
    <w:rsid w:val="00FD162B"/>
    <w:rsid w:val="00FD16F7"/>
    <w:rsid w:val="00FD1726"/>
    <w:rsid w:val="00FD176A"/>
    <w:rsid w:val="00FD1A0E"/>
    <w:rsid w:val="00FD1A55"/>
    <w:rsid w:val="00FD1BB6"/>
    <w:rsid w:val="00FD1BF1"/>
    <w:rsid w:val="00FD1CF8"/>
    <w:rsid w:val="00FD1D6E"/>
    <w:rsid w:val="00FD1E2E"/>
    <w:rsid w:val="00FD1E8B"/>
    <w:rsid w:val="00FD1FD1"/>
    <w:rsid w:val="00FD2573"/>
    <w:rsid w:val="00FD2592"/>
    <w:rsid w:val="00FD25B7"/>
    <w:rsid w:val="00FD283D"/>
    <w:rsid w:val="00FD287D"/>
    <w:rsid w:val="00FD2898"/>
    <w:rsid w:val="00FD2A8C"/>
    <w:rsid w:val="00FD2AB2"/>
    <w:rsid w:val="00FD31BA"/>
    <w:rsid w:val="00FD338C"/>
    <w:rsid w:val="00FD352D"/>
    <w:rsid w:val="00FD3599"/>
    <w:rsid w:val="00FD3677"/>
    <w:rsid w:val="00FD3718"/>
    <w:rsid w:val="00FD3BBF"/>
    <w:rsid w:val="00FD3D2A"/>
    <w:rsid w:val="00FD3D32"/>
    <w:rsid w:val="00FD3F9F"/>
    <w:rsid w:val="00FD40CC"/>
    <w:rsid w:val="00FD4155"/>
    <w:rsid w:val="00FD429C"/>
    <w:rsid w:val="00FD4534"/>
    <w:rsid w:val="00FD4570"/>
    <w:rsid w:val="00FD45DD"/>
    <w:rsid w:val="00FD4682"/>
    <w:rsid w:val="00FD4806"/>
    <w:rsid w:val="00FD494B"/>
    <w:rsid w:val="00FD4B54"/>
    <w:rsid w:val="00FD4C8A"/>
    <w:rsid w:val="00FD4F4D"/>
    <w:rsid w:val="00FD4FD5"/>
    <w:rsid w:val="00FD50A5"/>
    <w:rsid w:val="00FD50B5"/>
    <w:rsid w:val="00FD52DD"/>
    <w:rsid w:val="00FD543C"/>
    <w:rsid w:val="00FD5922"/>
    <w:rsid w:val="00FD5A0A"/>
    <w:rsid w:val="00FD6113"/>
    <w:rsid w:val="00FD6279"/>
    <w:rsid w:val="00FD6432"/>
    <w:rsid w:val="00FD6536"/>
    <w:rsid w:val="00FD6569"/>
    <w:rsid w:val="00FD67F1"/>
    <w:rsid w:val="00FD69EF"/>
    <w:rsid w:val="00FD6A01"/>
    <w:rsid w:val="00FD6B73"/>
    <w:rsid w:val="00FD6BB7"/>
    <w:rsid w:val="00FD6C49"/>
    <w:rsid w:val="00FD6CFE"/>
    <w:rsid w:val="00FD70F6"/>
    <w:rsid w:val="00FD723C"/>
    <w:rsid w:val="00FD7525"/>
    <w:rsid w:val="00FD7557"/>
    <w:rsid w:val="00FD7754"/>
    <w:rsid w:val="00FD77A0"/>
    <w:rsid w:val="00FD77E0"/>
    <w:rsid w:val="00FD7847"/>
    <w:rsid w:val="00FD7A97"/>
    <w:rsid w:val="00FD7E23"/>
    <w:rsid w:val="00FE0057"/>
    <w:rsid w:val="00FE00E3"/>
    <w:rsid w:val="00FE0479"/>
    <w:rsid w:val="00FE0939"/>
    <w:rsid w:val="00FE099D"/>
    <w:rsid w:val="00FE0A01"/>
    <w:rsid w:val="00FE0A38"/>
    <w:rsid w:val="00FE0B0E"/>
    <w:rsid w:val="00FE0CF0"/>
    <w:rsid w:val="00FE0D7C"/>
    <w:rsid w:val="00FE0E5D"/>
    <w:rsid w:val="00FE0F00"/>
    <w:rsid w:val="00FE1037"/>
    <w:rsid w:val="00FE130D"/>
    <w:rsid w:val="00FE14A2"/>
    <w:rsid w:val="00FE14EE"/>
    <w:rsid w:val="00FE15A3"/>
    <w:rsid w:val="00FE1B51"/>
    <w:rsid w:val="00FE1CE7"/>
    <w:rsid w:val="00FE2BC6"/>
    <w:rsid w:val="00FE2DAD"/>
    <w:rsid w:val="00FE2E5C"/>
    <w:rsid w:val="00FE2EE9"/>
    <w:rsid w:val="00FE32B7"/>
    <w:rsid w:val="00FE32F2"/>
    <w:rsid w:val="00FE33B1"/>
    <w:rsid w:val="00FE35D0"/>
    <w:rsid w:val="00FE3689"/>
    <w:rsid w:val="00FE38D1"/>
    <w:rsid w:val="00FE392D"/>
    <w:rsid w:val="00FE3A51"/>
    <w:rsid w:val="00FE3B07"/>
    <w:rsid w:val="00FE3E39"/>
    <w:rsid w:val="00FE411F"/>
    <w:rsid w:val="00FE41CA"/>
    <w:rsid w:val="00FE424A"/>
    <w:rsid w:val="00FE4317"/>
    <w:rsid w:val="00FE4462"/>
    <w:rsid w:val="00FE467A"/>
    <w:rsid w:val="00FE4710"/>
    <w:rsid w:val="00FE476D"/>
    <w:rsid w:val="00FE47C5"/>
    <w:rsid w:val="00FE4BE5"/>
    <w:rsid w:val="00FE4E17"/>
    <w:rsid w:val="00FE4E26"/>
    <w:rsid w:val="00FE4FCD"/>
    <w:rsid w:val="00FE5529"/>
    <w:rsid w:val="00FE556F"/>
    <w:rsid w:val="00FE58F0"/>
    <w:rsid w:val="00FE58F9"/>
    <w:rsid w:val="00FE5960"/>
    <w:rsid w:val="00FE5E1F"/>
    <w:rsid w:val="00FE5EC9"/>
    <w:rsid w:val="00FE5FA4"/>
    <w:rsid w:val="00FE688F"/>
    <w:rsid w:val="00FE6AE7"/>
    <w:rsid w:val="00FE6D7B"/>
    <w:rsid w:val="00FE6FC0"/>
    <w:rsid w:val="00FE717C"/>
    <w:rsid w:val="00FE72D2"/>
    <w:rsid w:val="00FE73FC"/>
    <w:rsid w:val="00FE7449"/>
    <w:rsid w:val="00FE74D1"/>
    <w:rsid w:val="00FE756F"/>
    <w:rsid w:val="00FE77FD"/>
    <w:rsid w:val="00FE78F0"/>
    <w:rsid w:val="00FE7A3E"/>
    <w:rsid w:val="00FE7AE8"/>
    <w:rsid w:val="00FE7C69"/>
    <w:rsid w:val="00FE7CBF"/>
    <w:rsid w:val="00FE7D16"/>
    <w:rsid w:val="00FF0043"/>
    <w:rsid w:val="00FF0184"/>
    <w:rsid w:val="00FF044C"/>
    <w:rsid w:val="00FF0483"/>
    <w:rsid w:val="00FF0B19"/>
    <w:rsid w:val="00FF0CA3"/>
    <w:rsid w:val="00FF0FE8"/>
    <w:rsid w:val="00FF1373"/>
    <w:rsid w:val="00FF13F9"/>
    <w:rsid w:val="00FF15F3"/>
    <w:rsid w:val="00FF160B"/>
    <w:rsid w:val="00FF17A2"/>
    <w:rsid w:val="00FF17CB"/>
    <w:rsid w:val="00FF1813"/>
    <w:rsid w:val="00FF1927"/>
    <w:rsid w:val="00FF1A03"/>
    <w:rsid w:val="00FF1B55"/>
    <w:rsid w:val="00FF1BFE"/>
    <w:rsid w:val="00FF1EDF"/>
    <w:rsid w:val="00FF2357"/>
    <w:rsid w:val="00FF2566"/>
    <w:rsid w:val="00FF2665"/>
    <w:rsid w:val="00FF286C"/>
    <w:rsid w:val="00FF299E"/>
    <w:rsid w:val="00FF29D9"/>
    <w:rsid w:val="00FF2A45"/>
    <w:rsid w:val="00FF2BD2"/>
    <w:rsid w:val="00FF2D4B"/>
    <w:rsid w:val="00FF30B5"/>
    <w:rsid w:val="00FF31C1"/>
    <w:rsid w:val="00FF3288"/>
    <w:rsid w:val="00FF33EE"/>
    <w:rsid w:val="00FF3707"/>
    <w:rsid w:val="00FF3823"/>
    <w:rsid w:val="00FF3AD5"/>
    <w:rsid w:val="00FF3C01"/>
    <w:rsid w:val="00FF3E93"/>
    <w:rsid w:val="00FF40C2"/>
    <w:rsid w:val="00FF4175"/>
    <w:rsid w:val="00FF44F2"/>
    <w:rsid w:val="00FF46B3"/>
    <w:rsid w:val="00FF4A6D"/>
    <w:rsid w:val="00FF4B9A"/>
    <w:rsid w:val="00FF4C6B"/>
    <w:rsid w:val="00FF4FE5"/>
    <w:rsid w:val="00FF514C"/>
    <w:rsid w:val="00FF51A3"/>
    <w:rsid w:val="00FF5240"/>
    <w:rsid w:val="00FF52C9"/>
    <w:rsid w:val="00FF5770"/>
    <w:rsid w:val="00FF5A0F"/>
    <w:rsid w:val="00FF5C7C"/>
    <w:rsid w:val="00FF63B9"/>
    <w:rsid w:val="00FF6718"/>
    <w:rsid w:val="00FF675E"/>
    <w:rsid w:val="00FF6918"/>
    <w:rsid w:val="00FF6ABA"/>
    <w:rsid w:val="00FF6AE8"/>
    <w:rsid w:val="00FF6D22"/>
    <w:rsid w:val="00FF7394"/>
    <w:rsid w:val="00FF7405"/>
    <w:rsid w:val="00FF7460"/>
    <w:rsid w:val="00FF77F4"/>
    <w:rsid w:val="00FF78FD"/>
    <w:rsid w:val="00FF79C2"/>
    <w:rsid w:val="00FF79F3"/>
    <w:rsid w:val="00FF7B86"/>
    <w:rsid w:val="00FF7E1F"/>
    <w:rsid w:val="00FF7F56"/>
    <w:rsid w:val="00FF7F5C"/>
    <w:rsid w:val="00FF7FE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67585"/>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SimSun" w:hAnsi="Times New Roman" w:cs="Times New Roman"/>
        <w:lang w:val="en-US" w:eastAsia="en-US" w:bidi="ar-SA"/>
      </w:rPr>
    </w:rPrDefault>
    <w:pPrDefault/>
  </w:docDefaults>
  <w:latentStyles w:defLockedState="0" w:defUIPriority="99" w:defSemiHidden="0" w:defUnhideWhenUsed="0" w:defQFormat="0" w:count="267">
    <w:lsdException w:name="Normal" w:uiPriority="0"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index 1" w:locked="1" w:semiHidden="1" w:unhideWhenUsed="1"/>
    <w:lsdException w:name="index 2" w:locked="1" w:semiHidden="1" w:unhideWhenUsed="1"/>
    <w:lsdException w:name="index 3" w:locked="1" w:semiHidden="1" w:unhideWhenUsed="1"/>
    <w:lsdException w:name="index 4" w:locked="1" w:semiHidden="1" w:unhideWhenUsed="1"/>
    <w:lsdException w:name="index 5" w:locked="1" w:semiHidden="1" w:unhideWhenUsed="1"/>
    <w:lsdException w:name="index 6" w:locked="1" w:semiHidden="1" w:unhideWhenUsed="1"/>
    <w:lsdException w:name="index 7" w:locked="1" w:semiHidden="1" w:unhideWhenUsed="1"/>
    <w:lsdException w:name="index 8" w:locked="1" w:semiHidden="1" w:unhideWhenUsed="1"/>
    <w:lsdException w:name="index 9" w:locked="1" w:semiHidden="1" w:unhideWhenUsed="1"/>
    <w:lsdException w:name="Normal Indent" w:locked="1" w:semiHidden="1" w:unhideWhenUsed="1"/>
    <w:lsdException w:name="footnote text" w:locked="1" w:semiHidden="1" w:unhideWhenUsed="1"/>
    <w:lsdException w:name="annotation text" w:locked="1" w:semiHidden="1" w:unhideWhenUsed="1"/>
    <w:lsdException w:name="header" w:locked="1" w:semiHidden="1" w:unhideWhenUsed="1"/>
    <w:lsdException w:name="footer" w:locked="1" w:semiHidden="1" w:unhideWhenUsed="1"/>
    <w:lsdException w:name="index heading" w:locked="1" w:semiHidden="1" w:unhideWhenUsed="1"/>
    <w:lsdException w:name="caption" w:qFormat="1"/>
    <w:lsdException w:name="table of figures" w:locked="1" w:semiHidden="1" w:unhideWhenUsed="1"/>
    <w:lsdException w:name="envelope address" w:locked="1" w:semiHidden="1" w:unhideWhenUsed="1"/>
    <w:lsdException w:name="envelope return" w:locked="1" w:semiHidden="1" w:unhideWhenUsed="1"/>
    <w:lsdException w:name="footnote reference" w:locked="1" w:semiHidden="1" w:unhideWhenUsed="1"/>
    <w:lsdException w:name="annotation reference" w:locked="1" w:semiHidden="1" w:unhideWhenUsed="1"/>
    <w:lsdException w:name="line number" w:locked="1" w:semiHidden="1" w:unhideWhenUsed="1"/>
    <w:lsdException w:name="page number" w:locked="1" w:semiHidden="1" w:unhideWhenUsed="1"/>
    <w:lsdException w:name="endnote reference" w:locked="1" w:semiHidden="1" w:unhideWhenUsed="1"/>
    <w:lsdException w:name="endnote text" w:locked="1" w:semiHidden="1" w:unhideWhenUsed="1"/>
    <w:lsdException w:name="table of authorities" w:locked="1" w:semiHidden="1" w:unhideWhenUsed="1"/>
    <w:lsdException w:name="macro" w:locked="1" w:semiHidden="1" w:unhideWhenUsed="1"/>
    <w:lsdException w:name="toa heading" w:locked="1" w:semiHidden="1" w:unhideWhenUsed="1"/>
    <w:lsdException w:name="List" w:locked="1" w:semiHidden="1" w:unhideWhenUsed="1"/>
    <w:lsdException w:name="List Bullet" w:locked="1" w:semiHidden="1" w:unhideWhenUsed="1"/>
    <w:lsdException w:name="List Number" w:locked="1" w:semiHidden="1" w:unhideWhenUsed="1"/>
    <w:lsdException w:name="List 2" w:locked="1" w:semiHidden="1" w:unhideWhenUsed="1"/>
    <w:lsdException w:name="List 3" w:locked="1" w:semiHidden="1" w:unhideWhenUsed="1"/>
    <w:lsdException w:name="List 4" w:locked="1" w:semiHidden="1" w:unhideWhenUsed="1"/>
    <w:lsdException w:name="List 5" w:locked="1" w:semiHidden="1" w:unhideWhenUsed="1"/>
    <w:lsdException w:name="List Bullet 2" w:locked="1" w:semiHidden="1" w:unhideWhenUsed="1"/>
    <w:lsdException w:name="List Bullet 3" w:locked="1" w:semiHidden="1" w:unhideWhenUsed="1"/>
    <w:lsdException w:name="List Bullet 4" w:locked="1" w:semiHidden="1" w:unhideWhenUsed="1"/>
    <w:lsdException w:name="List Bullet 5" w:locked="1" w:semiHidden="1" w:unhideWhenUsed="1"/>
    <w:lsdException w:name="List Number 2" w:locked="1" w:semiHidden="1" w:unhideWhenUsed="1"/>
    <w:lsdException w:name="List Number 3" w:locked="1" w:semiHidden="1" w:unhideWhenUsed="1"/>
    <w:lsdException w:name="List Number 4" w:locked="1" w:semiHidden="1" w:unhideWhenUsed="1"/>
    <w:lsdException w:name="List Number 5" w:locked="1" w:semiHidden="1" w:unhideWhenUsed="1"/>
    <w:lsdException w:name="Title" w:qFormat="1"/>
    <w:lsdException w:name="Closing" w:locked="1" w:semiHidden="1" w:unhideWhenUsed="1"/>
    <w:lsdException w:name="Signature" w:locked="1" w:semiHidden="1" w:unhideWhenUsed="1"/>
    <w:lsdException w:name="Default Paragraph Font" w:uiPriority="0"/>
    <w:lsdException w:name="Body Text" w:locked="1" w:semiHidden="1" w:unhideWhenUsed="1"/>
    <w:lsdException w:name="Body Text Indent" w:locked="1" w:semiHidden="1" w:unhideWhenUsed="1"/>
    <w:lsdException w:name="List Continue" w:locked="1" w:semiHidden="1" w:unhideWhenUsed="1"/>
    <w:lsdException w:name="List Continue 2" w:locked="1" w:semiHidden="1" w:unhideWhenUsed="1"/>
    <w:lsdException w:name="List Continue 3" w:locked="1" w:semiHidden="1" w:unhideWhenUsed="1"/>
    <w:lsdException w:name="List Continue 4" w:locked="1" w:semiHidden="1" w:unhideWhenUsed="1"/>
    <w:lsdException w:name="List Continue 5" w:locked="1" w:semiHidden="1" w:unhideWhenUsed="1"/>
    <w:lsdException w:name="Message Header" w:locked="1" w:semiHidden="1" w:unhideWhenUsed="1"/>
    <w:lsdException w:name="Subtitle" w:uiPriority="0" w:qFormat="1"/>
    <w:lsdException w:name="Salutation" w:locked="1" w:semiHidden="1" w:unhideWhenUsed="1"/>
    <w:lsdException w:name="Date" w:locked="1" w:semiHidden="1" w:unhideWhenUsed="1"/>
    <w:lsdException w:name="Body Text First Indent" w:locked="1" w:semiHidden="1" w:unhideWhenUsed="1"/>
    <w:lsdException w:name="Body Text First Indent 2" w:locked="1" w:semiHidden="1" w:unhideWhenUsed="1"/>
    <w:lsdException w:name="Note Heading" w:locked="1" w:semiHidden="1" w:unhideWhenUsed="1"/>
    <w:lsdException w:name="Body Text 2" w:locked="1" w:semiHidden="1" w:unhideWhenUsed="1"/>
    <w:lsdException w:name="Body Text 3" w:locked="1" w:semiHidden="1" w:unhideWhenUsed="1"/>
    <w:lsdException w:name="Body Text Indent 2" w:locked="1" w:semiHidden="1" w:unhideWhenUsed="1"/>
    <w:lsdException w:name="Body Text Indent 3" w:locked="1" w:semiHidden="1" w:unhideWhenUsed="1"/>
    <w:lsdException w:name="Block Text" w:locked="1" w:semiHidden="1" w:unhideWhenUsed="1"/>
    <w:lsdException w:name="Hyperlink" w:locked="1" w:semiHidden="1" w:unhideWhenUsed="1"/>
    <w:lsdException w:name="FollowedHyperlink" w:locked="1" w:semiHidden="1" w:unhideWhenUsed="1"/>
    <w:lsdException w:name="Strong" w:qFormat="1"/>
    <w:lsdException w:name="Emphasis" w:qFormat="1"/>
    <w:lsdException w:name="Document Map" w:locked="1" w:semiHidden="1" w:unhideWhenUsed="1"/>
    <w:lsdException w:name="Plain Text" w:locked="1" w:semiHidden="1" w:unhideWhenUsed="1"/>
    <w:lsdException w:name="E-mail Signature" w:locked="1" w:semiHidden="1" w:unhideWhenUsed="1"/>
    <w:lsdException w:name="HTML Top of Form" w:locked="1" w:semiHidden="1" w:unhideWhenUsed="1"/>
    <w:lsdException w:name="HTML Bottom of Form" w:locked="1" w:semiHidden="1" w:unhideWhenUsed="1"/>
    <w:lsdException w:name="Normal (Web)" w:locked="1" w:semiHidden="1" w:unhideWhenUsed="1"/>
    <w:lsdException w:name="HTML Acronym" w:locked="1" w:semiHidden="1" w:unhideWhenUsed="1"/>
    <w:lsdException w:name="HTML Address" w:locked="1" w:semiHidden="1" w:unhideWhenUsed="1"/>
    <w:lsdException w:name="HTML Cite" w:locked="1" w:semiHidden="1" w:unhideWhenUsed="1"/>
    <w:lsdException w:name="HTML Code" w:locked="1" w:semiHidden="1" w:unhideWhenUsed="1"/>
    <w:lsdException w:name="HTML Definition" w:locked="1" w:semiHidden="1" w:unhideWhenUsed="1"/>
    <w:lsdException w:name="HTML Keyboard" w:locked="1" w:semiHidden="1" w:unhideWhenUsed="1"/>
    <w:lsdException w:name="HTML Preformatted" w:locked="1" w:semiHidden="1" w:unhideWhenUsed="1"/>
    <w:lsdException w:name="HTML Sample" w:locked="1" w:semiHidden="1" w:unhideWhenUsed="1"/>
    <w:lsdException w:name="HTML Typewriter" w:locked="1" w:semiHidden="1" w:unhideWhenUsed="1"/>
    <w:lsdException w:name="HTML Variable" w:locked="1" w:semiHidden="1" w:unhideWhenUsed="1"/>
    <w:lsdException w:name="Normal Table" w:locked="1" w:semiHidden="1" w:unhideWhenUsed="1"/>
    <w:lsdException w:name="annotation subject" w:locked="1" w:semiHidden="1" w:unhideWhenUsed="1"/>
    <w:lsdException w:name="No List" w:locked="1" w:semiHidden="1" w:unhideWhenUsed="1"/>
    <w:lsdException w:name="Outline List 1" w:locked="1" w:semiHidden="1" w:unhideWhenUsed="1"/>
    <w:lsdException w:name="Outline List 2" w:locked="1" w:semiHidden="1" w:unhideWhenUsed="1"/>
    <w:lsdException w:name="Outline List 3" w:locked="1" w:semiHidden="1" w:unhideWhenUsed="1"/>
    <w:lsdException w:name="Table Simple 1" w:locked="1" w:semiHidden="1" w:unhideWhenUsed="1"/>
    <w:lsdException w:name="Table Simple 2" w:locked="1" w:semiHidden="1" w:unhideWhenUsed="1"/>
    <w:lsdException w:name="Table Simple 3" w:locked="1" w:semiHidden="1" w:unhideWhenUsed="1"/>
    <w:lsdException w:name="Table Classic 1" w:locked="1" w:semiHidden="1" w:unhideWhenUsed="1"/>
    <w:lsdException w:name="Table Classic 2" w:locked="1" w:semiHidden="1" w:unhideWhenUsed="1"/>
    <w:lsdException w:name="Table Classic 3" w:locked="1" w:semiHidden="1" w:unhideWhenUsed="1"/>
    <w:lsdException w:name="Table Classic 4" w:locked="1" w:semiHidden="1" w:unhideWhenUsed="1"/>
    <w:lsdException w:name="Table Colorful 1" w:locked="1" w:semiHidden="1" w:unhideWhenUsed="1"/>
    <w:lsdException w:name="Table Colorful 2" w:locked="1" w:semiHidden="1" w:unhideWhenUsed="1"/>
    <w:lsdException w:name="Table Colorful 3" w:locked="1" w:semiHidden="1" w:unhideWhenUsed="1"/>
    <w:lsdException w:name="Table Columns 1" w:locked="1" w:semiHidden="1" w:unhideWhenUsed="1"/>
    <w:lsdException w:name="Table Columns 2" w:locked="1" w:semiHidden="1" w:unhideWhenUsed="1"/>
    <w:lsdException w:name="Table Columns 3" w:locked="1" w:semiHidden="1" w:unhideWhenUsed="1"/>
    <w:lsdException w:name="Table Columns 4" w:locked="1" w:semiHidden="1" w:unhideWhenUsed="1"/>
    <w:lsdException w:name="Table Columns 5" w:locked="1" w:semiHidden="1" w:unhideWhenUsed="1"/>
    <w:lsdException w:name="Table Grid 1" w:locked="1" w:semiHidden="1" w:unhideWhenUsed="1"/>
    <w:lsdException w:name="Table Grid 2" w:locked="1" w:semiHidden="1" w:unhideWhenUsed="1"/>
    <w:lsdException w:name="Table Grid 3" w:locked="1" w:semiHidden="1" w:unhideWhenUsed="1"/>
    <w:lsdException w:name="Table Grid 4" w:locked="1" w:semiHidden="1" w:unhideWhenUsed="1"/>
    <w:lsdException w:name="Table Grid 5" w:locked="1" w:semiHidden="1" w:unhideWhenUsed="1"/>
    <w:lsdException w:name="Table Grid 6" w:locked="1" w:semiHidden="1" w:unhideWhenUsed="1"/>
    <w:lsdException w:name="Table Grid 7" w:locked="1" w:semiHidden="1" w:unhideWhenUsed="1"/>
    <w:lsdException w:name="Table Grid 8" w:locked="1" w:semiHidden="1" w:unhideWhenUsed="1"/>
    <w:lsdException w:name="Table List 1" w:locked="1" w:semiHidden="1" w:unhideWhenUsed="1"/>
    <w:lsdException w:name="Table List 2" w:locked="1" w:semiHidden="1" w:unhideWhenUsed="1"/>
    <w:lsdException w:name="Table List 3" w:locked="1" w:semiHidden="1" w:unhideWhenUsed="1"/>
    <w:lsdException w:name="Table List 4" w:locked="1" w:semiHidden="1" w:unhideWhenUsed="1"/>
    <w:lsdException w:name="Table List 5" w:locked="1" w:semiHidden="1" w:unhideWhenUsed="1"/>
    <w:lsdException w:name="Table List 6" w:locked="1" w:semiHidden="1" w:unhideWhenUsed="1"/>
    <w:lsdException w:name="Table List 7" w:locked="1" w:semiHidden="1" w:unhideWhenUsed="1"/>
    <w:lsdException w:name="Table List 8" w:locked="1" w:semiHidden="1" w:unhideWhenUsed="1"/>
    <w:lsdException w:name="Table 3D effects 1" w:locked="1" w:semiHidden="1" w:unhideWhenUsed="1"/>
    <w:lsdException w:name="Table 3D effects 2" w:locked="1" w:semiHidden="1" w:unhideWhenUsed="1"/>
    <w:lsdException w:name="Table 3D effects 3" w:locked="1" w:semiHidden="1" w:unhideWhenUsed="1"/>
    <w:lsdException w:name="Table Contemporary" w:locked="1" w:semiHidden="1" w:unhideWhenUsed="1"/>
    <w:lsdException w:name="Table Elegant" w:locked="1" w:semiHidden="1" w:unhideWhenUsed="1"/>
    <w:lsdException w:name="Table Professional" w:locked="1" w:semiHidden="1" w:unhideWhenUsed="1"/>
    <w:lsdException w:name="Table Subtle 1" w:locked="1" w:semiHidden="1" w:unhideWhenUsed="1"/>
    <w:lsdException w:name="Table Subtle 2" w:locked="1" w:semiHidden="1" w:unhideWhenUsed="1"/>
    <w:lsdException w:name="Table Web 1" w:locked="1" w:semiHidden="1" w:unhideWhenUsed="1"/>
    <w:lsdException w:name="Table Web 2" w:locked="1" w:semiHidden="1" w:unhideWhenUsed="1"/>
    <w:lsdException w:name="Table Web 3" w:locked="1" w:semiHidden="1" w:unhideWhenUsed="1"/>
    <w:lsdException w:name="Balloon Text" w:locked="1" w:semiHidden="1" w:unhideWhenUsed="1"/>
    <w:lsdException w:name="Table Grid" w:uiPriority="0"/>
    <w:lsdException w:name="Table Theme" w:locked="1"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qFormat="1"/>
  </w:latentStyles>
  <w:style w:type="paragraph" w:default="1" w:styleId="Normal">
    <w:name w:val="Normal"/>
    <w:qFormat/>
    <w:rsid w:val="00371CF6"/>
    <w:pPr>
      <w:widowControl w:val="0"/>
    </w:pPr>
    <w:rPr>
      <w:kern w:val="28"/>
      <w:sz w:val="22"/>
    </w:rPr>
  </w:style>
  <w:style w:type="paragraph" w:styleId="Heading1">
    <w:name w:val="heading 1"/>
    <w:basedOn w:val="Normal"/>
    <w:next w:val="ParaNum"/>
    <w:link w:val="Heading1Char1"/>
    <w:uiPriority w:val="99"/>
    <w:qFormat/>
    <w:rsid w:val="00371CF6"/>
    <w:pPr>
      <w:keepNext/>
      <w:tabs>
        <w:tab w:val="left" w:pos="720"/>
      </w:tabs>
      <w:suppressAutoHyphens/>
      <w:spacing w:after="120"/>
      <w:ind w:left="720" w:hanging="720"/>
      <w:outlineLvl w:val="0"/>
    </w:pPr>
    <w:rPr>
      <w:rFonts w:ascii="Times New Roman Bold" w:hAnsi="Times New Roman Bold"/>
      <w:b/>
      <w:caps/>
      <w:sz w:val="20"/>
    </w:rPr>
  </w:style>
  <w:style w:type="paragraph" w:styleId="Heading2">
    <w:name w:val="heading 2"/>
    <w:basedOn w:val="Normal"/>
    <w:next w:val="ParaNum"/>
    <w:link w:val="Heading2Char2"/>
    <w:autoRedefine/>
    <w:uiPriority w:val="99"/>
    <w:qFormat/>
    <w:rsid w:val="00E36736"/>
    <w:pPr>
      <w:keepNext/>
      <w:numPr>
        <w:ilvl w:val="1"/>
        <w:numId w:val="26"/>
      </w:numPr>
      <w:spacing w:after="120"/>
      <w:outlineLvl w:val="1"/>
    </w:pPr>
    <w:rPr>
      <w:b/>
      <w:szCs w:val="22"/>
    </w:rPr>
  </w:style>
  <w:style w:type="paragraph" w:styleId="Heading3">
    <w:name w:val="heading 3"/>
    <w:basedOn w:val="Normal"/>
    <w:next w:val="ParaNum"/>
    <w:link w:val="Heading3Char1"/>
    <w:uiPriority w:val="99"/>
    <w:qFormat/>
    <w:rsid w:val="00371CF6"/>
    <w:pPr>
      <w:keepNext/>
      <w:tabs>
        <w:tab w:val="left" w:pos="2160"/>
      </w:tabs>
      <w:spacing w:after="120"/>
      <w:ind w:left="2160" w:hanging="720"/>
      <w:outlineLvl w:val="2"/>
    </w:pPr>
    <w:rPr>
      <w:b/>
      <w:sz w:val="20"/>
    </w:rPr>
  </w:style>
  <w:style w:type="paragraph" w:styleId="Heading4">
    <w:name w:val="heading 4"/>
    <w:basedOn w:val="Normal"/>
    <w:next w:val="ParaNum"/>
    <w:link w:val="Heading4Char1"/>
    <w:uiPriority w:val="99"/>
    <w:qFormat/>
    <w:rsid w:val="00371CF6"/>
    <w:pPr>
      <w:keepNext/>
      <w:tabs>
        <w:tab w:val="left" w:pos="2880"/>
      </w:tabs>
      <w:spacing w:after="120"/>
      <w:ind w:left="2880" w:hanging="720"/>
      <w:outlineLvl w:val="3"/>
    </w:pPr>
    <w:rPr>
      <w:b/>
      <w:sz w:val="20"/>
    </w:rPr>
  </w:style>
  <w:style w:type="paragraph" w:styleId="Heading5">
    <w:name w:val="heading 5"/>
    <w:basedOn w:val="Normal"/>
    <w:next w:val="ParaNum"/>
    <w:link w:val="Heading5Char1"/>
    <w:uiPriority w:val="99"/>
    <w:qFormat/>
    <w:rsid w:val="00371CF6"/>
    <w:pPr>
      <w:keepNext/>
      <w:tabs>
        <w:tab w:val="left" w:pos="3600"/>
      </w:tabs>
      <w:suppressAutoHyphens/>
      <w:spacing w:after="120"/>
      <w:ind w:left="3600" w:hanging="720"/>
      <w:outlineLvl w:val="4"/>
    </w:pPr>
    <w:rPr>
      <w:b/>
      <w:sz w:val="20"/>
    </w:rPr>
  </w:style>
  <w:style w:type="paragraph" w:styleId="Heading6">
    <w:name w:val="heading 6"/>
    <w:basedOn w:val="Normal"/>
    <w:next w:val="ParaNum"/>
    <w:link w:val="Heading6Char"/>
    <w:uiPriority w:val="99"/>
    <w:qFormat/>
    <w:rsid w:val="00371CF6"/>
    <w:pPr>
      <w:tabs>
        <w:tab w:val="left" w:pos="4320"/>
      </w:tabs>
      <w:spacing w:after="120"/>
      <w:ind w:left="4320" w:hanging="720"/>
      <w:outlineLvl w:val="5"/>
    </w:pPr>
    <w:rPr>
      <w:b/>
    </w:rPr>
  </w:style>
  <w:style w:type="paragraph" w:styleId="Heading7">
    <w:name w:val="heading 7"/>
    <w:basedOn w:val="Normal"/>
    <w:next w:val="ParaNum"/>
    <w:link w:val="Heading7Char"/>
    <w:uiPriority w:val="99"/>
    <w:qFormat/>
    <w:rsid w:val="00371CF6"/>
    <w:pPr>
      <w:tabs>
        <w:tab w:val="left" w:pos="5040"/>
      </w:tabs>
      <w:spacing w:after="120"/>
      <w:ind w:left="5040" w:hanging="720"/>
      <w:outlineLvl w:val="6"/>
    </w:pPr>
    <w:rPr>
      <w:b/>
    </w:rPr>
  </w:style>
  <w:style w:type="paragraph" w:styleId="Heading8">
    <w:name w:val="heading 8"/>
    <w:basedOn w:val="Normal"/>
    <w:next w:val="ParaNum"/>
    <w:link w:val="Heading8Char"/>
    <w:uiPriority w:val="99"/>
    <w:qFormat/>
    <w:rsid w:val="00371CF6"/>
    <w:pPr>
      <w:tabs>
        <w:tab w:val="left" w:pos="5760"/>
      </w:tabs>
      <w:spacing w:after="120"/>
      <w:ind w:left="5760" w:hanging="720"/>
      <w:outlineLvl w:val="7"/>
    </w:pPr>
    <w:rPr>
      <w:b/>
    </w:rPr>
  </w:style>
  <w:style w:type="paragraph" w:styleId="Heading9">
    <w:name w:val="heading 9"/>
    <w:basedOn w:val="Normal"/>
    <w:next w:val="ParaNum"/>
    <w:link w:val="Heading9Char"/>
    <w:uiPriority w:val="99"/>
    <w:qFormat/>
    <w:rsid w:val="00371CF6"/>
    <w:pPr>
      <w:tabs>
        <w:tab w:val="left" w:pos="6480"/>
      </w:tabs>
      <w:spacing w:after="120"/>
      <w:ind w:left="6480" w:hanging="720"/>
      <w:outlineLvl w:val="8"/>
    </w:pPr>
    <w:rPr>
      <w: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uiPriority w:val="99"/>
    <w:locked/>
    <w:rsid w:val="00793DA0"/>
    <w:rPr>
      <w:rFonts w:ascii="Times New Roman Bold" w:eastAsia="SimSun" w:hAnsi="Times New Roman Bold" w:cs="Times New Roman"/>
      <w:b/>
      <w:caps/>
      <w:kern w:val="28"/>
      <w:sz w:val="22"/>
      <w:lang w:val="en-US" w:eastAsia="en-US"/>
    </w:rPr>
  </w:style>
  <w:style w:type="character" w:customStyle="1" w:styleId="Heading2Char">
    <w:name w:val="Heading 2 Char"/>
    <w:basedOn w:val="DefaultParagraphFont"/>
    <w:uiPriority w:val="99"/>
    <w:rsid w:val="00B45DA4"/>
    <w:rPr>
      <w:rFonts w:cs="Times New Roman"/>
      <w:b/>
      <w:snapToGrid w:val="0"/>
      <w:kern w:val="28"/>
      <w:sz w:val="22"/>
      <w:lang w:val="en-US" w:eastAsia="en-US"/>
    </w:rPr>
  </w:style>
  <w:style w:type="character" w:customStyle="1" w:styleId="Heading3Char">
    <w:name w:val="Heading 3 Char"/>
    <w:basedOn w:val="DefaultParagraphFont"/>
    <w:uiPriority w:val="99"/>
    <w:locked/>
    <w:rsid w:val="00793DA0"/>
    <w:rPr>
      <w:rFonts w:eastAsia="SimSun" w:cs="Times New Roman"/>
      <w:b/>
      <w:kern w:val="28"/>
      <w:sz w:val="22"/>
      <w:lang w:val="en-US" w:eastAsia="en-US"/>
    </w:rPr>
  </w:style>
  <w:style w:type="character" w:customStyle="1" w:styleId="Heading4Char">
    <w:name w:val="Heading 4 Char"/>
    <w:basedOn w:val="DefaultParagraphFont"/>
    <w:uiPriority w:val="99"/>
    <w:locked/>
    <w:rsid w:val="00793DA0"/>
    <w:rPr>
      <w:rFonts w:eastAsia="SimSun" w:cs="Times New Roman"/>
      <w:b/>
      <w:kern w:val="28"/>
      <w:sz w:val="22"/>
      <w:lang w:val="en-US" w:eastAsia="en-US"/>
    </w:rPr>
  </w:style>
  <w:style w:type="character" w:customStyle="1" w:styleId="Heading5Char">
    <w:name w:val="Heading 5 Char"/>
    <w:basedOn w:val="DefaultParagraphFont"/>
    <w:uiPriority w:val="99"/>
    <w:locked/>
    <w:rsid w:val="00793DA0"/>
    <w:rPr>
      <w:rFonts w:eastAsia="SimSun" w:cs="Times New Roman"/>
      <w:b/>
      <w:kern w:val="28"/>
      <w:sz w:val="22"/>
      <w:lang w:val="en-US" w:eastAsia="en-US"/>
    </w:rPr>
  </w:style>
  <w:style w:type="character" w:customStyle="1" w:styleId="Heading6Char">
    <w:name w:val="Heading 6 Char"/>
    <w:basedOn w:val="DefaultParagraphFont"/>
    <w:link w:val="Heading6"/>
    <w:uiPriority w:val="99"/>
    <w:locked/>
    <w:rsid w:val="00793DA0"/>
    <w:rPr>
      <w:rFonts w:cs="Times New Roman"/>
      <w:b/>
      <w:kern w:val="28"/>
      <w:sz w:val="20"/>
      <w:szCs w:val="20"/>
    </w:rPr>
  </w:style>
  <w:style w:type="character" w:customStyle="1" w:styleId="Heading7Char">
    <w:name w:val="Heading 7 Char"/>
    <w:basedOn w:val="DefaultParagraphFont"/>
    <w:link w:val="Heading7"/>
    <w:uiPriority w:val="99"/>
    <w:locked/>
    <w:rsid w:val="00793DA0"/>
    <w:rPr>
      <w:rFonts w:cs="Times New Roman"/>
      <w:b/>
      <w:kern w:val="28"/>
      <w:sz w:val="20"/>
      <w:szCs w:val="20"/>
    </w:rPr>
  </w:style>
  <w:style w:type="character" w:customStyle="1" w:styleId="Heading8Char">
    <w:name w:val="Heading 8 Char"/>
    <w:basedOn w:val="DefaultParagraphFont"/>
    <w:link w:val="Heading8"/>
    <w:uiPriority w:val="99"/>
    <w:locked/>
    <w:rsid w:val="00793DA0"/>
    <w:rPr>
      <w:rFonts w:cs="Times New Roman"/>
      <w:b/>
      <w:kern w:val="28"/>
      <w:sz w:val="20"/>
      <w:szCs w:val="20"/>
    </w:rPr>
  </w:style>
  <w:style w:type="character" w:customStyle="1" w:styleId="Heading9Char">
    <w:name w:val="Heading 9 Char"/>
    <w:basedOn w:val="DefaultParagraphFont"/>
    <w:link w:val="Heading9"/>
    <w:uiPriority w:val="99"/>
    <w:locked/>
    <w:rsid w:val="00793DA0"/>
    <w:rPr>
      <w:rFonts w:cs="Times New Roman"/>
      <w:b/>
      <w:kern w:val="28"/>
      <w:sz w:val="20"/>
      <w:szCs w:val="20"/>
    </w:rPr>
  </w:style>
  <w:style w:type="paragraph" w:styleId="BalloonText">
    <w:name w:val="Balloon Text"/>
    <w:basedOn w:val="Normal"/>
    <w:link w:val="BalloonTextChar"/>
    <w:uiPriority w:val="99"/>
    <w:rsid w:val="00ED3D28"/>
    <w:rPr>
      <w:rFonts w:ascii="Tahoma" w:hAnsi="Tahoma" w:cs="Tahoma"/>
      <w:sz w:val="16"/>
      <w:szCs w:val="16"/>
    </w:rPr>
  </w:style>
  <w:style w:type="character" w:customStyle="1" w:styleId="BalloonTextChar">
    <w:name w:val="Balloon Text Char"/>
    <w:basedOn w:val="DefaultParagraphFont"/>
    <w:link w:val="BalloonText"/>
    <w:uiPriority w:val="99"/>
    <w:locked/>
    <w:rsid w:val="007D3517"/>
    <w:rPr>
      <w:rFonts w:ascii="Tahoma" w:hAnsi="Tahoma" w:cs="Times New Roman"/>
      <w:snapToGrid w:val="0"/>
      <w:kern w:val="28"/>
      <w:sz w:val="16"/>
      <w:lang w:val="en-US" w:eastAsia="en-US"/>
    </w:rPr>
  </w:style>
  <w:style w:type="paragraph" w:customStyle="1" w:styleId="ParaNum">
    <w:name w:val="ParaNum"/>
    <w:basedOn w:val="Normal"/>
    <w:link w:val="ParaNumChar1"/>
    <w:uiPriority w:val="99"/>
    <w:rsid w:val="00371CF6"/>
    <w:pPr>
      <w:tabs>
        <w:tab w:val="num" w:pos="1440"/>
      </w:tabs>
      <w:spacing w:after="120"/>
      <w:ind w:firstLine="720"/>
    </w:pPr>
    <w:rPr>
      <w:sz w:val="20"/>
    </w:rPr>
  </w:style>
  <w:style w:type="character" w:customStyle="1" w:styleId="ParaNumChar1">
    <w:name w:val="ParaNum Char1"/>
    <w:link w:val="ParaNum"/>
    <w:uiPriority w:val="99"/>
    <w:locked/>
    <w:rsid w:val="00135C68"/>
    <w:rPr>
      <w:kern w:val="28"/>
      <w:sz w:val="20"/>
    </w:rPr>
  </w:style>
  <w:style w:type="character" w:customStyle="1" w:styleId="Heading1Char1">
    <w:name w:val="Heading 1 Char1"/>
    <w:link w:val="Heading1"/>
    <w:uiPriority w:val="99"/>
    <w:locked/>
    <w:rsid w:val="00C17759"/>
    <w:rPr>
      <w:rFonts w:ascii="Times New Roman Bold" w:hAnsi="Times New Roman Bold"/>
      <w:b/>
      <w:caps/>
      <w:kern w:val="28"/>
      <w:sz w:val="20"/>
    </w:rPr>
  </w:style>
  <w:style w:type="character" w:customStyle="1" w:styleId="Heading2Char2">
    <w:name w:val="Heading 2 Char2"/>
    <w:link w:val="Heading2"/>
    <w:uiPriority w:val="99"/>
    <w:locked/>
    <w:rsid w:val="00E36736"/>
    <w:rPr>
      <w:b/>
      <w:kern w:val="28"/>
      <w:sz w:val="22"/>
      <w:szCs w:val="22"/>
    </w:rPr>
  </w:style>
  <w:style w:type="character" w:customStyle="1" w:styleId="Heading3Char1">
    <w:name w:val="Heading 3 Char1"/>
    <w:link w:val="Heading3"/>
    <w:uiPriority w:val="99"/>
    <w:locked/>
    <w:rsid w:val="00A97E7B"/>
    <w:rPr>
      <w:b/>
      <w:kern w:val="28"/>
      <w:sz w:val="20"/>
    </w:rPr>
  </w:style>
  <w:style w:type="character" w:customStyle="1" w:styleId="Heading4Char1">
    <w:name w:val="Heading 4 Char1"/>
    <w:link w:val="Heading4"/>
    <w:uiPriority w:val="99"/>
    <w:locked/>
    <w:rsid w:val="00A97E7B"/>
    <w:rPr>
      <w:b/>
      <w:kern w:val="28"/>
      <w:sz w:val="20"/>
    </w:rPr>
  </w:style>
  <w:style w:type="character" w:customStyle="1" w:styleId="Heading5Char1">
    <w:name w:val="Heading 5 Char1"/>
    <w:link w:val="Heading5"/>
    <w:uiPriority w:val="99"/>
    <w:locked/>
    <w:rsid w:val="00A97E7B"/>
    <w:rPr>
      <w:b/>
      <w:kern w:val="28"/>
      <w:sz w:val="20"/>
    </w:rPr>
  </w:style>
  <w:style w:type="paragraph" w:styleId="EndnoteText">
    <w:name w:val="endnote text"/>
    <w:basedOn w:val="Normal"/>
    <w:link w:val="EndnoteTextChar"/>
    <w:uiPriority w:val="99"/>
    <w:semiHidden/>
    <w:rsid w:val="00371CF6"/>
    <w:rPr>
      <w:sz w:val="20"/>
    </w:rPr>
  </w:style>
  <w:style w:type="character" w:customStyle="1" w:styleId="EndnoteTextChar">
    <w:name w:val="Endnote Text Char"/>
    <w:basedOn w:val="DefaultParagraphFont"/>
    <w:link w:val="EndnoteText"/>
    <w:uiPriority w:val="99"/>
    <w:semiHidden/>
    <w:locked/>
    <w:rsid w:val="00793DA0"/>
    <w:rPr>
      <w:rFonts w:eastAsia="Times New Roman" w:cs="Times New Roman"/>
      <w:snapToGrid w:val="0"/>
      <w:kern w:val="28"/>
    </w:rPr>
  </w:style>
  <w:style w:type="character" w:styleId="EndnoteReference">
    <w:name w:val="endnote reference"/>
    <w:basedOn w:val="DefaultParagraphFont"/>
    <w:uiPriority w:val="99"/>
    <w:semiHidden/>
    <w:rsid w:val="00371CF6"/>
    <w:rPr>
      <w:rFonts w:cs="Times New Roman"/>
      <w:vertAlign w:val="superscript"/>
    </w:rPr>
  </w:style>
  <w:style w:type="paragraph" w:styleId="FootnoteText">
    <w:name w:val="footnote text"/>
    <w:aliases w:val="Footnote Text Char,Footnote Text Char1 Char,Footnote Text Char Char Char,Footnote Text Char2 Char1 Char Char,Footnote Text Char1 Char Char1 Char Char1,Footnote Text Char Char Char Char1 Char Char1,Footnote Text Char1,fn,f,fn Char Char Cha"/>
    <w:basedOn w:val="Normal"/>
    <w:link w:val="FootnoteTextChar5"/>
    <w:uiPriority w:val="99"/>
    <w:rsid w:val="00371CF6"/>
    <w:pPr>
      <w:widowControl/>
      <w:spacing w:after="120"/>
    </w:pPr>
    <w:rPr>
      <w:rFonts w:eastAsia="Times New Roman"/>
      <w:kern w:val="0"/>
      <w:sz w:val="20"/>
    </w:rPr>
  </w:style>
  <w:style w:type="character" w:customStyle="1" w:styleId="FootnoteTextChar2">
    <w:name w:val="Footnote Text Char2"/>
    <w:aliases w:val="Footnote Text Char Char,Footnote Text Char1 Char Char,Footnote Text Char Char Char Char,Footnote Text Char2 Char1 Char Char Char,Footnote Text Char1 Char Char1 Char Char1 Char,Footnote Text Char Char Char Char1 Char Char1 Char,f Char"/>
    <w:basedOn w:val="DefaultParagraphFont"/>
    <w:uiPriority w:val="99"/>
    <w:semiHidden/>
    <w:rsid w:val="00D518BE"/>
    <w:rPr>
      <w:kern w:val="28"/>
      <w:sz w:val="20"/>
      <w:szCs w:val="20"/>
    </w:rPr>
  </w:style>
  <w:style w:type="character" w:customStyle="1" w:styleId="FootnoteTextChar211">
    <w:name w:val="Footnote Text Char211"/>
    <w:aliases w:val="Footnote Text Char Char14,Footnote Text Char1 Char Char15,Footnote Text Char Char Char Char15,Footnote Text Char2 Char1 Char Char Char15,Footnote Text Char1 Char Char1 Char Char1 Char15,f Cha"/>
    <w:basedOn w:val="DefaultParagraphFont"/>
    <w:uiPriority w:val="99"/>
    <w:semiHidden/>
    <w:rsid w:val="00CD26F9"/>
    <w:rPr>
      <w:rFonts w:cs="Times New Roman"/>
      <w:kern w:val="28"/>
      <w:sz w:val="20"/>
      <w:szCs w:val="20"/>
    </w:rPr>
  </w:style>
  <w:style w:type="character" w:customStyle="1" w:styleId="FootnoteTextChar210">
    <w:name w:val="Footnote Text Char210"/>
    <w:aliases w:val="Footnote Text Char Char13,Footnote Text Char1 Char Char14,Footnote Text Char Char Char Char14,Footnote Text Char2 Char1 Char Char Char14,Footnote Text Char1 Char Char1 Char Char1 Char14,f Cha5"/>
    <w:basedOn w:val="DefaultParagraphFont"/>
    <w:uiPriority w:val="99"/>
    <w:semiHidden/>
    <w:rsid w:val="00C92770"/>
    <w:rPr>
      <w:rFonts w:cs="Times New Roman"/>
      <w:kern w:val="28"/>
      <w:sz w:val="20"/>
      <w:szCs w:val="20"/>
    </w:rPr>
  </w:style>
  <w:style w:type="character" w:customStyle="1" w:styleId="FootnoteTextChar29">
    <w:name w:val="Footnote Text Char29"/>
    <w:aliases w:val="Footnote Text Char Char12,Footnote Text Char1 Char Char13,Footnote Text Char Char Char Char13,Footnote Text Char2 Char1 Char Char Char13,Footnote Text Char1 Char Char1 Char Char1 Char13,f Cha4"/>
    <w:basedOn w:val="DefaultParagraphFont"/>
    <w:uiPriority w:val="99"/>
    <w:semiHidden/>
    <w:rsid w:val="00D37DB4"/>
    <w:rPr>
      <w:rFonts w:cs="Times New Roman"/>
      <w:kern w:val="28"/>
      <w:sz w:val="20"/>
      <w:szCs w:val="20"/>
    </w:rPr>
  </w:style>
  <w:style w:type="character" w:customStyle="1" w:styleId="FootnoteTextChar28">
    <w:name w:val="Footnote Text Char28"/>
    <w:aliases w:val="Footnote Text Char Char11,Footnote Text Char1 Char Char12,Footnote Text Char Char Char Char12,Footnote Text Char2 Char1 Char Char Char12,Footnote Text Char1 Char Char1 Char Char1 Char12,f Cha3"/>
    <w:basedOn w:val="DefaultParagraphFont"/>
    <w:uiPriority w:val="99"/>
    <w:semiHidden/>
    <w:rsid w:val="00F62E3F"/>
    <w:rPr>
      <w:rFonts w:cs="Times New Roman"/>
      <w:kern w:val="28"/>
      <w:sz w:val="20"/>
      <w:szCs w:val="20"/>
    </w:rPr>
  </w:style>
  <w:style w:type="character" w:customStyle="1" w:styleId="FootnoteTextChar27">
    <w:name w:val="Footnote Text Char27"/>
    <w:aliases w:val="Footnote Text Char Char10,Footnote Text Char1 Char Char11,Footnote Text Char Char Char Char11,Footnote Text Char2 Char1 Char Char Char11,Footnote Text Char1 Char Char1 Char Char1 Char11,f Cha2"/>
    <w:basedOn w:val="DefaultParagraphFont"/>
    <w:uiPriority w:val="99"/>
    <w:semiHidden/>
    <w:rsid w:val="00E67990"/>
    <w:rPr>
      <w:rFonts w:cs="Times New Roman"/>
      <w:kern w:val="28"/>
      <w:sz w:val="20"/>
      <w:szCs w:val="20"/>
    </w:rPr>
  </w:style>
  <w:style w:type="character" w:customStyle="1" w:styleId="FootnoteTextChar26">
    <w:name w:val="Footnote Text Char26"/>
    <w:aliases w:val="Footnote Text Char Char9,Footnote Text Char1 Char Char10,Footnote Text Char Char Char Char10,Footnote Text Char2 Char1 Char Char Char10,Footnote Text Char1 Char Char1 Char Char1 Char10,f Cha1"/>
    <w:basedOn w:val="DefaultParagraphFont"/>
    <w:uiPriority w:val="99"/>
    <w:semiHidden/>
    <w:rsid w:val="002E6B80"/>
    <w:rPr>
      <w:rFonts w:cs="Times New Roman"/>
      <w:kern w:val="28"/>
      <w:sz w:val="20"/>
      <w:szCs w:val="20"/>
    </w:rPr>
  </w:style>
  <w:style w:type="character" w:customStyle="1" w:styleId="FootnoteTextChar25">
    <w:name w:val="Footnote Text Char25"/>
    <w:aliases w:val="Footnote Text Char Char8,Footnote Text Char1 Char Char9,Footnote Text Char Char Char Char9,Footnote Text Char2 Char1 Char Char Char9,Footnote Text Char1 Char Char1 Char Char1 Char9,Footnote Text Char Char Char Char1 Char Char1 Char9"/>
    <w:basedOn w:val="DefaultParagraphFont"/>
    <w:uiPriority w:val="99"/>
    <w:semiHidden/>
    <w:rsid w:val="002F53C9"/>
    <w:rPr>
      <w:rFonts w:cs="Times New Roman"/>
      <w:kern w:val="28"/>
      <w:sz w:val="20"/>
      <w:szCs w:val="20"/>
    </w:rPr>
  </w:style>
  <w:style w:type="character" w:customStyle="1" w:styleId="FootnoteTextChar24">
    <w:name w:val="Footnote Text Char24"/>
    <w:aliases w:val="Footnote Text Char Char7,Footnote Text Char1 Char Char7,Footnote Text Char Char Char Char7,Footnote Text Char2 Char1 Char Char Char7,Footnote Text Char1 Char Char1 Char Char1 Char7,Footnote Text Char Char Char Char1 Char Char1 Char7"/>
    <w:basedOn w:val="DefaultParagraphFont"/>
    <w:uiPriority w:val="99"/>
    <w:semiHidden/>
    <w:rsid w:val="005C5E4B"/>
    <w:rPr>
      <w:rFonts w:cs="Times New Roman"/>
      <w:kern w:val="28"/>
      <w:sz w:val="20"/>
      <w:szCs w:val="20"/>
    </w:rPr>
  </w:style>
  <w:style w:type="character" w:customStyle="1" w:styleId="FootnoteTextChar23">
    <w:name w:val="Footnote Text Char23"/>
    <w:aliases w:val="Footnote Text Char Char6,Footnote Text Char1 Char Char6,Footnote Text Char Char Char Char6,Footnote Text Char2 Char1 Char Char Char6,Footnote Text Char1 Char Char1 Char Char1 Char6,Footnote Text Char Char Char Char1 Char Char1 Char6"/>
    <w:basedOn w:val="DefaultParagraphFont"/>
    <w:uiPriority w:val="99"/>
    <w:semiHidden/>
    <w:rsid w:val="00E9028C"/>
    <w:rPr>
      <w:rFonts w:cs="Times New Roman"/>
      <w:kern w:val="28"/>
      <w:sz w:val="20"/>
      <w:szCs w:val="20"/>
    </w:rPr>
  </w:style>
  <w:style w:type="character" w:customStyle="1" w:styleId="FootnoteTextChar22">
    <w:name w:val="Footnote Text Char22"/>
    <w:aliases w:val="Footnote Text Char Char5,Footnote Text Char1 Char Char5,Footnote Text Char Char Char Char5,Footnote Text Char2 Char1 Char Char Char5,Footnote Text Char1 Char Char1 Char Char1 Char5,Footnote Text Char Char Char Char1 Char Char1 Char5"/>
    <w:basedOn w:val="DefaultParagraphFont"/>
    <w:uiPriority w:val="99"/>
    <w:semiHidden/>
    <w:rsid w:val="00DC0164"/>
    <w:rPr>
      <w:rFonts w:cs="Times New Roman"/>
      <w:kern w:val="28"/>
      <w:sz w:val="20"/>
      <w:szCs w:val="20"/>
    </w:rPr>
  </w:style>
  <w:style w:type="character" w:customStyle="1" w:styleId="FootnoteTextChar21">
    <w:name w:val="Footnote Text Char21"/>
    <w:aliases w:val="Footnote Text Char Char4,Footnote Text Char1 Char Char4,Footnote Text Char Char Char Char4,Footnote Text Char2 Char1 Char Char Char4,Footnote Text Char1 Char Char1 Char Char1 Char4,Footnote Text Char Char Char Char1 Char Char1 Char4"/>
    <w:basedOn w:val="DefaultParagraphFont"/>
    <w:uiPriority w:val="99"/>
    <w:semiHidden/>
    <w:rsid w:val="00995EDC"/>
    <w:rPr>
      <w:rFonts w:cs="Times New Roman"/>
      <w:kern w:val="28"/>
      <w:sz w:val="20"/>
      <w:szCs w:val="20"/>
    </w:rPr>
  </w:style>
  <w:style w:type="character" w:customStyle="1" w:styleId="FootnoteTextChar5">
    <w:name w:val="Footnote Text Char5"/>
    <w:aliases w:val="Footnote Text Char Char3,Footnote Text Char1 Char Char3,Footnote Text Char Char Char Char3,Footnote Text Char2 Char1 Char Char Char3,Footnote Text Char1 Char Char1 Char Char1 Char3,Footnote Text Char Char Char Char1 Char Char1 Char3"/>
    <w:link w:val="FootnoteText"/>
    <w:uiPriority w:val="99"/>
    <w:semiHidden/>
    <w:locked/>
    <w:rsid w:val="00684EA5"/>
    <w:rPr>
      <w:rFonts w:eastAsia="Times New Roman"/>
      <w:lang w:val="en-US" w:eastAsia="en-US"/>
    </w:rPr>
  </w:style>
  <w:style w:type="paragraph" w:styleId="NormalWeb">
    <w:name w:val="Normal (Web)"/>
    <w:basedOn w:val="Normal"/>
    <w:uiPriority w:val="99"/>
    <w:rsid w:val="007C7C02"/>
    <w:rPr>
      <w:sz w:val="24"/>
      <w:szCs w:val="24"/>
    </w:rPr>
  </w:style>
  <w:style w:type="character" w:styleId="FootnoteReference">
    <w:name w:val="footnote reference"/>
    <w:aliases w:val="Appel note de bas de p,Style 12,(NECG) Footnote Reference,Style 124,o,fr,Style 13,FR,Style 17,Style 6,Footnote Reference/"/>
    <w:basedOn w:val="DefaultParagraphFont"/>
    <w:uiPriority w:val="99"/>
    <w:rsid w:val="00371CF6"/>
    <w:rPr>
      <w:rFonts w:ascii="Times New Roman" w:hAnsi="Times New Roman" w:cs="Times New Roman"/>
      <w:color w:val="auto"/>
      <w:sz w:val="22"/>
      <w:vertAlign w:val="superscript"/>
    </w:rPr>
  </w:style>
  <w:style w:type="paragraph" w:styleId="TOC1">
    <w:name w:val="toc 1"/>
    <w:basedOn w:val="Normal"/>
    <w:next w:val="Normal"/>
    <w:link w:val="TOC1Char1"/>
    <w:uiPriority w:val="99"/>
    <w:rsid w:val="00371CF6"/>
    <w:pPr>
      <w:tabs>
        <w:tab w:val="left" w:pos="360"/>
        <w:tab w:val="right" w:leader="dot" w:pos="9360"/>
      </w:tabs>
      <w:suppressAutoHyphens/>
      <w:ind w:left="360" w:right="720" w:hanging="360"/>
    </w:pPr>
    <w:rPr>
      <w:rFonts w:eastAsia="Times New Roman"/>
      <w:caps/>
      <w:noProof/>
      <w:snapToGrid w:val="0"/>
    </w:rPr>
  </w:style>
  <w:style w:type="character" w:customStyle="1" w:styleId="TOC1Char1">
    <w:name w:val="TOC 1 Char1"/>
    <w:link w:val="TOC1"/>
    <w:uiPriority w:val="99"/>
    <w:semiHidden/>
    <w:locked/>
    <w:rsid w:val="00E95C85"/>
    <w:rPr>
      <w:rFonts w:eastAsia="Times New Roman"/>
      <w:caps/>
      <w:noProof/>
      <w:snapToGrid w:val="0"/>
      <w:kern w:val="28"/>
      <w:sz w:val="22"/>
    </w:rPr>
  </w:style>
  <w:style w:type="paragraph" w:styleId="TOC2">
    <w:name w:val="toc 2"/>
    <w:basedOn w:val="Normal"/>
    <w:next w:val="Normal"/>
    <w:uiPriority w:val="99"/>
    <w:rsid w:val="00371CF6"/>
    <w:pPr>
      <w:tabs>
        <w:tab w:val="left" w:pos="720"/>
        <w:tab w:val="right" w:leader="dot" w:pos="9360"/>
      </w:tabs>
      <w:suppressAutoHyphens/>
      <w:ind w:left="720" w:right="720" w:hanging="360"/>
    </w:pPr>
    <w:rPr>
      <w:noProof/>
    </w:rPr>
  </w:style>
  <w:style w:type="paragraph" w:styleId="TOC3">
    <w:name w:val="toc 3"/>
    <w:basedOn w:val="Normal"/>
    <w:next w:val="Normal"/>
    <w:uiPriority w:val="99"/>
    <w:rsid w:val="00371CF6"/>
    <w:pPr>
      <w:tabs>
        <w:tab w:val="left" w:pos="1080"/>
        <w:tab w:val="right" w:leader="dot" w:pos="9360"/>
      </w:tabs>
      <w:suppressAutoHyphens/>
      <w:ind w:left="1080" w:right="720" w:hanging="360"/>
    </w:pPr>
    <w:rPr>
      <w:noProof/>
    </w:rPr>
  </w:style>
  <w:style w:type="paragraph" w:styleId="TOC4">
    <w:name w:val="toc 4"/>
    <w:basedOn w:val="Normal"/>
    <w:next w:val="Normal"/>
    <w:autoRedefine/>
    <w:uiPriority w:val="99"/>
    <w:rsid w:val="00371CF6"/>
    <w:pPr>
      <w:tabs>
        <w:tab w:val="left" w:pos="1440"/>
        <w:tab w:val="right" w:leader="dot" w:pos="9360"/>
      </w:tabs>
      <w:suppressAutoHyphens/>
      <w:ind w:left="1440" w:right="720" w:hanging="360"/>
    </w:pPr>
    <w:rPr>
      <w:noProof/>
    </w:rPr>
  </w:style>
  <w:style w:type="paragraph" w:styleId="TOC5">
    <w:name w:val="toc 5"/>
    <w:basedOn w:val="Normal"/>
    <w:next w:val="Normal"/>
    <w:autoRedefine/>
    <w:uiPriority w:val="99"/>
    <w:rsid w:val="00371CF6"/>
    <w:pPr>
      <w:tabs>
        <w:tab w:val="left" w:pos="1800"/>
        <w:tab w:val="right" w:leader="dot" w:pos="9360"/>
      </w:tabs>
      <w:suppressAutoHyphens/>
      <w:ind w:left="1800" w:right="720" w:hanging="360"/>
    </w:pPr>
    <w:rPr>
      <w:noProof/>
    </w:rPr>
  </w:style>
  <w:style w:type="paragraph" w:styleId="TOC6">
    <w:name w:val="toc 6"/>
    <w:basedOn w:val="Normal"/>
    <w:next w:val="Normal"/>
    <w:autoRedefine/>
    <w:uiPriority w:val="99"/>
    <w:semiHidden/>
    <w:rsid w:val="00371CF6"/>
    <w:pPr>
      <w:tabs>
        <w:tab w:val="left" w:pos="2160"/>
        <w:tab w:val="right" w:leader="dot" w:pos="9360"/>
      </w:tabs>
      <w:suppressAutoHyphens/>
      <w:ind w:left="2160" w:hanging="360"/>
    </w:pPr>
    <w:rPr>
      <w:noProof/>
    </w:rPr>
  </w:style>
  <w:style w:type="paragraph" w:styleId="TOC7">
    <w:name w:val="toc 7"/>
    <w:basedOn w:val="Normal"/>
    <w:next w:val="Normal"/>
    <w:autoRedefine/>
    <w:uiPriority w:val="99"/>
    <w:semiHidden/>
    <w:rsid w:val="00371CF6"/>
    <w:pPr>
      <w:tabs>
        <w:tab w:val="left" w:pos="2520"/>
        <w:tab w:val="right" w:leader="dot" w:pos="9360"/>
      </w:tabs>
      <w:suppressAutoHyphens/>
      <w:ind w:left="2520" w:hanging="360"/>
    </w:pPr>
    <w:rPr>
      <w:noProof/>
    </w:rPr>
  </w:style>
  <w:style w:type="paragraph" w:styleId="TOC8">
    <w:name w:val="toc 8"/>
    <w:basedOn w:val="Normal"/>
    <w:next w:val="Normal"/>
    <w:autoRedefine/>
    <w:uiPriority w:val="99"/>
    <w:semiHidden/>
    <w:rsid w:val="00371CF6"/>
    <w:pPr>
      <w:tabs>
        <w:tab w:val="left" w:pos="2880"/>
        <w:tab w:val="right" w:leader="dot" w:pos="9360"/>
      </w:tabs>
      <w:suppressAutoHyphens/>
      <w:ind w:left="2880" w:hanging="360"/>
    </w:pPr>
    <w:rPr>
      <w:noProof/>
    </w:rPr>
  </w:style>
  <w:style w:type="paragraph" w:styleId="TOC9">
    <w:name w:val="toc 9"/>
    <w:basedOn w:val="Normal"/>
    <w:next w:val="Normal"/>
    <w:autoRedefine/>
    <w:uiPriority w:val="99"/>
    <w:semiHidden/>
    <w:rsid w:val="00371CF6"/>
    <w:pPr>
      <w:tabs>
        <w:tab w:val="left" w:pos="3240"/>
        <w:tab w:val="right" w:leader="dot" w:pos="9360"/>
      </w:tabs>
      <w:suppressAutoHyphens/>
      <w:ind w:left="3240" w:hanging="360"/>
    </w:pPr>
    <w:rPr>
      <w:noProof/>
    </w:rPr>
  </w:style>
  <w:style w:type="paragraph" w:styleId="TOAHeading">
    <w:name w:val="toa heading"/>
    <w:basedOn w:val="Normal"/>
    <w:next w:val="Normal"/>
    <w:uiPriority w:val="99"/>
    <w:semiHidden/>
    <w:rsid w:val="00371CF6"/>
    <w:pPr>
      <w:tabs>
        <w:tab w:val="right" w:pos="9360"/>
      </w:tabs>
      <w:suppressAutoHyphens/>
    </w:pPr>
  </w:style>
  <w:style w:type="paragraph" w:styleId="Header">
    <w:name w:val="header"/>
    <w:basedOn w:val="Normal"/>
    <w:link w:val="HeaderChar"/>
    <w:autoRedefine/>
    <w:uiPriority w:val="99"/>
    <w:rsid w:val="00371CF6"/>
    <w:pPr>
      <w:tabs>
        <w:tab w:val="center" w:pos="4680"/>
        <w:tab w:val="right" w:pos="9360"/>
      </w:tabs>
    </w:pPr>
    <w:rPr>
      <w:b/>
    </w:rPr>
  </w:style>
  <w:style w:type="character" w:customStyle="1" w:styleId="HeaderChar">
    <w:name w:val="Header Char"/>
    <w:basedOn w:val="DefaultParagraphFont"/>
    <w:link w:val="Header"/>
    <w:uiPriority w:val="99"/>
    <w:locked/>
    <w:rsid w:val="00793DA0"/>
    <w:rPr>
      <w:rFonts w:eastAsia="Times New Roman" w:cs="Times New Roman"/>
      <w:b/>
      <w:snapToGrid w:val="0"/>
      <w:kern w:val="28"/>
      <w:sz w:val="22"/>
    </w:rPr>
  </w:style>
  <w:style w:type="paragraph" w:styleId="Footer">
    <w:name w:val="footer"/>
    <w:basedOn w:val="Normal"/>
    <w:link w:val="FooterChar"/>
    <w:uiPriority w:val="99"/>
    <w:rsid w:val="00371CF6"/>
    <w:pPr>
      <w:tabs>
        <w:tab w:val="center" w:pos="4320"/>
        <w:tab w:val="right" w:pos="8640"/>
      </w:tabs>
    </w:pPr>
  </w:style>
  <w:style w:type="character" w:customStyle="1" w:styleId="FooterChar">
    <w:name w:val="Footer Char"/>
    <w:basedOn w:val="DefaultParagraphFont"/>
    <w:link w:val="Footer"/>
    <w:uiPriority w:val="99"/>
    <w:locked/>
    <w:rsid w:val="00793DA0"/>
    <w:rPr>
      <w:rFonts w:eastAsia="Times New Roman" w:cs="Times New Roman"/>
      <w:snapToGrid w:val="0"/>
      <w:kern w:val="28"/>
      <w:sz w:val="22"/>
    </w:rPr>
  </w:style>
  <w:style w:type="paragraph" w:styleId="Title">
    <w:name w:val="Title"/>
    <w:aliases w:val="Title Char1,Title Char Char"/>
    <w:basedOn w:val="Normal"/>
    <w:next w:val="Heading1"/>
    <w:link w:val="TitleChar"/>
    <w:uiPriority w:val="99"/>
    <w:qFormat/>
    <w:rsid w:val="00ED3D28"/>
    <w:pPr>
      <w:jc w:val="center"/>
      <w:outlineLvl w:val="0"/>
    </w:pPr>
    <w:rPr>
      <w:b/>
    </w:rPr>
  </w:style>
  <w:style w:type="character" w:customStyle="1" w:styleId="TitleChar">
    <w:name w:val="Title Char"/>
    <w:aliases w:val="Title Char1 Char,Title Char Char Char"/>
    <w:basedOn w:val="DefaultParagraphFont"/>
    <w:link w:val="Title"/>
    <w:uiPriority w:val="99"/>
    <w:locked/>
    <w:rsid w:val="0022250D"/>
    <w:rPr>
      <w:rFonts w:cs="Times New Roman"/>
      <w:b/>
      <w:snapToGrid w:val="0"/>
      <w:kern w:val="28"/>
      <w:sz w:val="22"/>
      <w:lang w:val="en-US" w:eastAsia="en-US"/>
    </w:rPr>
  </w:style>
  <w:style w:type="paragraph" w:styleId="BlockText">
    <w:name w:val="Block Text"/>
    <w:basedOn w:val="Normal"/>
    <w:uiPriority w:val="99"/>
    <w:rsid w:val="00371CF6"/>
    <w:pPr>
      <w:spacing w:after="240"/>
      <w:ind w:left="1440" w:right="1440"/>
    </w:pPr>
  </w:style>
  <w:style w:type="paragraph" w:styleId="DocumentMap">
    <w:name w:val="Document Map"/>
    <w:basedOn w:val="Normal"/>
    <w:link w:val="DocumentMapChar"/>
    <w:uiPriority w:val="99"/>
    <w:rsid w:val="00ED3D28"/>
    <w:pPr>
      <w:shd w:val="clear" w:color="auto" w:fill="000080"/>
    </w:pPr>
    <w:rPr>
      <w:rFonts w:ascii="Tahoma" w:hAnsi="Tahoma"/>
    </w:rPr>
  </w:style>
  <w:style w:type="character" w:customStyle="1" w:styleId="DocumentMapChar">
    <w:name w:val="Document Map Char"/>
    <w:basedOn w:val="DefaultParagraphFont"/>
    <w:link w:val="DocumentMap"/>
    <w:uiPriority w:val="99"/>
    <w:locked/>
    <w:rsid w:val="00793DA0"/>
    <w:rPr>
      <w:rFonts w:ascii="Tahoma" w:hAnsi="Tahoma" w:cs="Times New Roman"/>
      <w:snapToGrid w:val="0"/>
      <w:kern w:val="28"/>
      <w:sz w:val="22"/>
      <w:lang w:val="en-US" w:eastAsia="en-US"/>
    </w:rPr>
  </w:style>
  <w:style w:type="paragraph" w:customStyle="1" w:styleId="Bullet">
    <w:name w:val="Bullet"/>
    <w:basedOn w:val="Normal"/>
    <w:uiPriority w:val="99"/>
    <w:rsid w:val="00371CF6"/>
    <w:pPr>
      <w:tabs>
        <w:tab w:val="left" w:pos="2160"/>
      </w:tabs>
      <w:spacing w:after="220"/>
      <w:ind w:left="2160" w:hanging="720"/>
    </w:pPr>
  </w:style>
  <w:style w:type="paragraph" w:customStyle="1" w:styleId="TableFormat">
    <w:name w:val="TableFormat"/>
    <w:basedOn w:val="Bullet"/>
    <w:uiPriority w:val="99"/>
    <w:rsid w:val="00371CF6"/>
    <w:pPr>
      <w:tabs>
        <w:tab w:val="clear" w:pos="2160"/>
        <w:tab w:val="left" w:pos="5040"/>
      </w:tabs>
      <w:ind w:left="5040" w:hanging="3600"/>
    </w:pPr>
  </w:style>
  <w:style w:type="paragraph" w:styleId="BodyText">
    <w:name w:val="Body Text"/>
    <w:basedOn w:val="Normal"/>
    <w:link w:val="BodyTextChar"/>
    <w:uiPriority w:val="99"/>
    <w:rsid w:val="00ED3D28"/>
    <w:pPr>
      <w:tabs>
        <w:tab w:val="left" w:pos="-1440"/>
        <w:tab w:val="left" w:pos="0"/>
        <w:tab w:val="left" w:pos="720"/>
        <w:tab w:val="left" w:pos="1440"/>
        <w:tab w:val="left" w:pos="2880"/>
        <w:tab w:val="left" w:pos="3600"/>
      </w:tabs>
    </w:pPr>
    <w:rPr>
      <w:kern w:val="0"/>
      <w:sz w:val="24"/>
    </w:rPr>
  </w:style>
  <w:style w:type="character" w:customStyle="1" w:styleId="BodyTextChar">
    <w:name w:val="Body Text Char"/>
    <w:basedOn w:val="DefaultParagraphFont"/>
    <w:link w:val="BodyText"/>
    <w:uiPriority w:val="99"/>
    <w:locked/>
    <w:rsid w:val="00793DA0"/>
    <w:rPr>
      <w:rFonts w:cs="Times New Roman"/>
      <w:snapToGrid w:val="0"/>
      <w:sz w:val="24"/>
      <w:lang w:val="en-US" w:eastAsia="en-US"/>
    </w:rPr>
  </w:style>
  <w:style w:type="paragraph" w:styleId="PlainText">
    <w:name w:val="Plain Text"/>
    <w:basedOn w:val="Normal"/>
    <w:link w:val="PlainTextChar"/>
    <w:uiPriority w:val="99"/>
    <w:rsid w:val="00ED3D28"/>
    <w:rPr>
      <w:rFonts w:ascii="Courier New" w:hAnsi="Courier New"/>
      <w:kern w:val="0"/>
      <w:sz w:val="20"/>
    </w:rPr>
  </w:style>
  <w:style w:type="character" w:customStyle="1" w:styleId="PlainTextChar">
    <w:name w:val="Plain Text Char"/>
    <w:basedOn w:val="DefaultParagraphFont"/>
    <w:link w:val="PlainText"/>
    <w:uiPriority w:val="99"/>
    <w:locked/>
    <w:rsid w:val="00793DA0"/>
    <w:rPr>
      <w:rFonts w:ascii="Courier New" w:hAnsi="Courier New" w:cs="Times New Roman"/>
      <w:snapToGrid w:val="0"/>
      <w:lang w:val="en-US" w:eastAsia="en-US"/>
    </w:rPr>
  </w:style>
  <w:style w:type="paragraph" w:styleId="BodyText2">
    <w:name w:val="Body Text 2"/>
    <w:basedOn w:val="Normal"/>
    <w:link w:val="BodyText2Char"/>
    <w:uiPriority w:val="99"/>
    <w:rsid w:val="00ED3D28"/>
    <w:pPr>
      <w:numPr>
        <w:ilvl w:val="12"/>
      </w:numPr>
      <w:tabs>
        <w:tab w:val="left" w:pos="-1440"/>
        <w:tab w:val="left" w:pos="-720"/>
        <w:tab w:val="num" w:pos="720"/>
        <w:tab w:val="left" w:pos="1440"/>
        <w:tab w:val="left" w:pos="4680"/>
        <w:tab w:val="right" w:leader="dot" w:pos="9360"/>
      </w:tabs>
      <w:suppressAutoHyphens/>
      <w:spacing w:line="227" w:lineRule="auto"/>
    </w:pPr>
    <w:rPr>
      <w:color w:val="000000"/>
      <w:spacing w:val="-3"/>
    </w:rPr>
  </w:style>
  <w:style w:type="character" w:customStyle="1" w:styleId="BodyText2Char">
    <w:name w:val="Body Text 2 Char"/>
    <w:basedOn w:val="DefaultParagraphFont"/>
    <w:link w:val="BodyText2"/>
    <w:uiPriority w:val="99"/>
    <w:locked/>
    <w:rsid w:val="00793DA0"/>
    <w:rPr>
      <w:rFonts w:cs="Times New Roman"/>
      <w:snapToGrid w:val="0"/>
      <w:color w:val="000000"/>
      <w:spacing w:val="-3"/>
      <w:kern w:val="28"/>
      <w:sz w:val="22"/>
      <w:lang w:val="en-US" w:eastAsia="en-US"/>
    </w:rPr>
  </w:style>
  <w:style w:type="character" w:styleId="Hyperlink">
    <w:name w:val="Hyperlink"/>
    <w:basedOn w:val="DefaultParagraphFont"/>
    <w:uiPriority w:val="99"/>
    <w:rsid w:val="00371CF6"/>
    <w:rPr>
      <w:rFonts w:cs="Times New Roman"/>
      <w:color w:val="0000FF"/>
      <w:u w:val="single"/>
    </w:rPr>
  </w:style>
  <w:style w:type="character" w:styleId="FollowedHyperlink">
    <w:name w:val="FollowedHyperlink"/>
    <w:basedOn w:val="DefaultParagraphFont"/>
    <w:uiPriority w:val="99"/>
    <w:rsid w:val="00ED3D28"/>
    <w:rPr>
      <w:rFonts w:cs="Times New Roman"/>
      <w:color w:val="800080"/>
      <w:u w:val="single"/>
    </w:rPr>
  </w:style>
  <w:style w:type="paragraph" w:styleId="BodyTextIndent">
    <w:name w:val="Body Text Indent"/>
    <w:basedOn w:val="Normal"/>
    <w:link w:val="BodyTextIndentChar"/>
    <w:uiPriority w:val="99"/>
    <w:rsid w:val="00ED3D28"/>
    <w:pPr>
      <w:widowControl/>
      <w:ind w:left="2880"/>
    </w:pPr>
    <w:rPr>
      <w:kern w:val="0"/>
      <w:sz w:val="24"/>
    </w:rPr>
  </w:style>
  <w:style w:type="character" w:customStyle="1" w:styleId="BodyTextIndentChar">
    <w:name w:val="Body Text Indent Char"/>
    <w:basedOn w:val="DefaultParagraphFont"/>
    <w:link w:val="BodyTextIndent"/>
    <w:uiPriority w:val="99"/>
    <w:locked/>
    <w:rsid w:val="00793DA0"/>
    <w:rPr>
      <w:rFonts w:cs="Times New Roman"/>
      <w:sz w:val="24"/>
      <w:lang w:val="en-US" w:eastAsia="en-US"/>
    </w:rPr>
  </w:style>
  <w:style w:type="character" w:customStyle="1" w:styleId="h1">
    <w:name w:val="h1"/>
    <w:uiPriority w:val="99"/>
    <w:rsid w:val="00ED3D28"/>
    <w:rPr>
      <w:rFonts w:ascii="Arial" w:hAnsi="Arial"/>
      <w:b/>
      <w:color w:val="336699"/>
      <w:sz w:val="24"/>
    </w:rPr>
  </w:style>
  <w:style w:type="character" w:styleId="Strong">
    <w:name w:val="Strong"/>
    <w:basedOn w:val="DefaultParagraphFont"/>
    <w:uiPriority w:val="99"/>
    <w:qFormat/>
    <w:rsid w:val="00ED3D28"/>
    <w:rPr>
      <w:rFonts w:cs="Times New Roman"/>
      <w:b/>
    </w:rPr>
  </w:style>
  <w:style w:type="character" w:styleId="Emphasis">
    <w:name w:val="Emphasis"/>
    <w:basedOn w:val="DefaultParagraphFont"/>
    <w:uiPriority w:val="99"/>
    <w:qFormat/>
    <w:rsid w:val="00776A1F"/>
    <w:rPr>
      <w:rFonts w:cs="Times New Roman"/>
      <w:i/>
    </w:rPr>
  </w:style>
  <w:style w:type="character" w:styleId="PageNumber">
    <w:name w:val="page number"/>
    <w:basedOn w:val="DefaultParagraphFont"/>
    <w:uiPriority w:val="99"/>
    <w:rsid w:val="00371CF6"/>
    <w:rPr>
      <w:rFonts w:cs="Times New Roman"/>
    </w:rPr>
  </w:style>
  <w:style w:type="paragraph" w:customStyle="1" w:styleId="header2">
    <w:name w:val="header2"/>
    <w:uiPriority w:val="99"/>
    <w:rsid w:val="0022250D"/>
    <w:pPr>
      <w:widowControl w:val="0"/>
      <w:tabs>
        <w:tab w:val="left" w:pos="1440"/>
        <w:tab w:val="center" w:pos="4320"/>
        <w:tab w:val="right" w:pos="8640"/>
      </w:tabs>
      <w:suppressAutoHyphens/>
      <w:jc w:val="center"/>
    </w:pPr>
    <w:rPr>
      <w:b/>
      <w:sz w:val="24"/>
    </w:rPr>
  </w:style>
  <w:style w:type="paragraph" w:customStyle="1" w:styleId="Style3">
    <w:name w:val="Style 3"/>
    <w:uiPriority w:val="99"/>
    <w:rsid w:val="0022250D"/>
    <w:pPr>
      <w:widowControl w:val="0"/>
      <w:tabs>
        <w:tab w:val="left" w:pos="-409"/>
        <w:tab w:val="left" w:pos="755"/>
        <w:tab w:val="left" w:pos="1919"/>
        <w:tab w:val="left" w:pos="3083"/>
        <w:tab w:val="left" w:pos="3665"/>
        <w:tab w:val="left" w:pos="4247"/>
        <w:tab w:val="left" w:pos="4829"/>
        <w:tab w:val="left" w:pos="5411"/>
        <w:tab w:val="left" w:pos="5993"/>
        <w:tab w:val="left" w:pos="6575"/>
        <w:tab w:val="left" w:pos="7157"/>
        <w:tab w:val="left" w:pos="7739"/>
        <w:tab w:val="left" w:pos="8321"/>
        <w:tab w:val="left" w:pos="8903"/>
      </w:tabs>
      <w:suppressAutoHyphens/>
    </w:pPr>
    <w:rPr>
      <w:sz w:val="22"/>
    </w:rPr>
  </w:style>
  <w:style w:type="character" w:customStyle="1" w:styleId="604">
    <w:name w:val="60 4"/>
    <w:basedOn w:val="DefaultParagraphFont"/>
    <w:uiPriority w:val="99"/>
    <w:rsid w:val="0022250D"/>
    <w:rPr>
      <w:rFonts w:cs="Times New Roman"/>
    </w:rPr>
  </w:style>
  <w:style w:type="character" w:customStyle="1" w:styleId="605">
    <w:name w:val="60 5"/>
    <w:basedOn w:val="DefaultParagraphFont"/>
    <w:uiPriority w:val="99"/>
    <w:rsid w:val="0022250D"/>
    <w:rPr>
      <w:rFonts w:cs="Times New Roman"/>
    </w:rPr>
  </w:style>
  <w:style w:type="character" w:customStyle="1" w:styleId="606">
    <w:name w:val="60 6"/>
    <w:basedOn w:val="DefaultParagraphFont"/>
    <w:uiPriority w:val="99"/>
    <w:rsid w:val="0022250D"/>
    <w:rPr>
      <w:rFonts w:cs="Times New Roman"/>
    </w:rPr>
  </w:style>
  <w:style w:type="character" w:customStyle="1" w:styleId="Normal1">
    <w:name w:val="Normal1"/>
    <w:uiPriority w:val="99"/>
    <w:rsid w:val="0022250D"/>
    <w:rPr>
      <w:rFonts w:ascii="Times New Roman" w:hAnsi="Times New Roman"/>
      <w:sz w:val="22"/>
      <w:lang w:val="en-US"/>
    </w:rPr>
  </w:style>
  <w:style w:type="paragraph" w:customStyle="1" w:styleId="header1">
    <w:name w:val="header1"/>
    <w:basedOn w:val="Header"/>
    <w:uiPriority w:val="99"/>
    <w:rsid w:val="0022250D"/>
    <w:pPr>
      <w:widowControl/>
      <w:spacing w:after="240"/>
    </w:pPr>
    <w:rPr>
      <w:noProof/>
      <w:kern w:val="0"/>
      <w:szCs w:val="22"/>
    </w:rPr>
  </w:style>
  <w:style w:type="table" w:styleId="TableGrid">
    <w:name w:val="Table Grid"/>
    <w:basedOn w:val="TableNormal"/>
    <w:uiPriority w:val="99"/>
    <w:rsid w:val="0022250D"/>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NumberedList">
    <w:name w:val="Numbered List"/>
    <w:basedOn w:val="Normal"/>
    <w:link w:val="NumberedListChar"/>
    <w:uiPriority w:val="99"/>
    <w:rsid w:val="00A97E7B"/>
    <w:pPr>
      <w:widowControl/>
      <w:spacing w:after="220"/>
      <w:jc w:val="both"/>
    </w:pPr>
    <w:rPr>
      <w:snapToGrid w:val="0"/>
      <w:kern w:val="0"/>
    </w:rPr>
  </w:style>
  <w:style w:type="character" w:customStyle="1" w:styleId="NumberedListChar">
    <w:name w:val="Numbered List Char"/>
    <w:link w:val="NumberedList"/>
    <w:uiPriority w:val="99"/>
    <w:locked/>
    <w:rsid w:val="00962E08"/>
    <w:rPr>
      <w:snapToGrid w:val="0"/>
      <w:sz w:val="22"/>
      <w:lang w:val="en-US" w:eastAsia="en-US"/>
    </w:rPr>
  </w:style>
  <w:style w:type="paragraph" w:styleId="ListBullet">
    <w:name w:val="List Bullet"/>
    <w:basedOn w:val="Normal"/>
    <w:uiPriority w:val="99"/>
    <w:rsid w:val="00A97E7B"/>
    <w:pPr>
      <w:widowControl/>
      <w:tabs>
        <w:tab w:val="num" w:pos="360"/>
      </w:tabs>
      <w:ind w:left="360" w:hanging="360"/>
      <w:jc w:val="both"/>
    </w:pPr>
    <w:rPr>
      <w:kern w:val="0"/>
    </w:rPr>
  </w:style>
  <w:style w:type="character" w:customStyle="1" w:styleId="Footnote">
    <w:name w:val="Footnote"/>
    <w:uiPriority w:val="99"/>
    <w:rsid w:val="00A97E7B"/>
    <w:rPr>
      <w:rFonts w:ascii="Times New Roman" w:hAnsi="Times New Roman"/>
      <w:sz w:val="20"/>
      <w:lang w:val="en-US"/>
    </w:rPr>
  </w:style>
  <w:style w:type="paragraph" w:customStyle="1" w:styleId="ADKBodyText">
    <w:name w:val="ADK Body Text"/>
    <w:basedOn w:val="Normal"/>
    <w:uiPriority w:val="99"/>
    <w:rsid w:val="00A97E7B"/>
    <w:pPr>
      <w:widowControl/>
      <w:spacing w:after="240"/>
      <w:ind w:firstLine="720"/>
    </w:pPr>
    <w:rPr>
      <w:kern w:val="0"/>
      <w:sz w:val="24"/>
      <w:szCs w:val="24"/>
    </w:rPr>
  </w:style>
  <w:style w:type="character" w:styleId="CommentReference">
    <w:name w:val="annotation reference"/>
    <w:basedOn w:val="DefaultParagraphFont"/>
    <w:uiPriority w:val="99"/>
    <w:rsid w:val="00260429"/>
    <w:rPr>
      <w:rFonts w:cs="Times New Roman"/>
      <w:sz w:val="16"/>
    </w:rPr>
  </w:style>
  <w:style w:type="paragraph" w:styleId="CommentText">
    <w:name w:val="annotation text"/>
    <w:basedOn w:val="Normal"/>
    <w:link w:val="CommentTextChar2"/>
    <w:uiPriority w:val="99"/>
    <w:rsid w:val="00260429"/>
    <w:rPr>
      <w:snapToGrid w:val="0"/>
      <w:sz w:val="20"/>
    </w:rPr>
  </w:style>
  <w:style w:type="character" w:customStyle="1" w:styleId="CommentTextChar">
    <w:name w:val="Comment Text Char"/>
    <w:basedOn w:val="DefaultParagraphFont"/>
    <w:uiPriority w:val="99"/>
    <w:locked/>
    <w:rsid w:val="00FC4F6C"/>
    <w:rPr>
      <w:rFonts w:eastAsia="SimSun" w:cs="Times New Roman"/>
      <w:snapToGrid w:val="0"/>
      <w:kern w:val="28"/>
    </w:rPr>
  </w:style>
  <w:style w:type="character" w:customStyle="1" w:styleId="CommentTextChar2">
    <w:name w:val="Comment Text Char2"/>
    <w:link w:val="CommentText"/>
    <w:uiPriority w:val="99"/>
    <w:locked/>
    <w:rsid w:val="00793DA0"/>
    <w:rPr>
      <w:snapToGrid w:val="0"/>
      <w:kern w:val="28"/>
      <w:lang w:val="en-US" w:eastAsia="en-US"/>
    </w:rPr>
  </w:style>
  <w:style w:type="paragraph" w:styleId="CommentSubject">
    <w:name w:val="annotation subject"/>
    <w:basedOn w:val="CommentText"/>
    <w:next w:val="CommentText"/>
    <w:link w:val="CommentSubjectChar"/>
    <w:uiPriority w:val="99"/>
    <w:rsid w:val="00260429"/>
    <w:rPr>
      <w:b/>
      <w:bCs/>
    </w:rPr>
  </w:style>
  <w:style w:type="character" w:customStyle="1" w:styleId="CommentSubjectChar">
    <w:name w:val="Comment Subject Char"/>
    <w:basedOn w:val="CommentTextChar2"/>
    <w:link w:val="CommentSubject"/>
    <w:uiPriority w:val="99"/>
    <w:locked/>
    <w:rsid w:val="00793DA0"/>
    <w:rPr>
      <w:rFonts w:cs="Times New Roman"/>
      <w:b/>
      <w:snapToGrid w:val="0"/>
      <w:kern w:val="28"/>
      <w:lang w:val="en-US" w:eastAsia="en-US"/>
    </w:rPr>
  </w:style>
  <w:style w:type="paragraph" w:customStyle="1" w:styleId="TopHeaderStyle">
    <w:name w:val="Top Header Style"/>
    <w:basedOn w:val="Heading1"/>
    <w:uiPriority w:val="99"/>
    <w:rsid w:val="0057506A"/>
    <w:pPr>
      <w:numPr>
        <w:numId w:val="27"/>
      </w:numPr>
      <w:tabs>
        <w:tab w:val="num" w:pos="720"/>
      </w:tabs>
    </w:pPr>
  </w:style>
  <w:style w:type="paragraph" w:customStyle="1" w:styleId="Paratitle">
    <w:name w:val="Para title"/>
    <w:basedOn w:val="Normal"/>
    <w:uiPriority w:val="99"/>
    <w:rsid w:val="00371CF6"/>
    <w:pPr>
      <w:tabs>
        <w:tab w:val="center" w:pos="9270"/>
      </w:tabs>
      <w:spacing w:after="240"/>
    </w:pPr>
    <w:rPr>
      <w:spacing w:val="-2"/>
    </w:rPr>
  </w:style>
  <w:style w:type="paragraph" w:customStyle="1" w:styleId="TOCTitle">
    <w:name w:val="TOC Title"/>
    <w:basedOn w:val="Normal"/>
    <w:uiPriority w:val="99"/>
    <w:rsid w:val="00371CF6"/>
    <w:pPr>
      <w:spacing w:before="240" w:after="240"/>
      <w:jc w:val="center"/>
    </w:pPr>
    <w:rPr>
      <w:rFonts w:ascii="Times New Roman Bold" w:hAnsi="Times New Roman Bold"/>
      <w:b/>
      <w:caps/>
      <w:spacing w:val="-2"/>
    </w:rPr>
  </w:style>
  <w:style w:type="paragraph" w:customStyle="1" w:styleId="Style1">
    <w:name w:val="Style1"/>
    <w:basedOn w:val="ParaNum"/>
    <w:uiPriority w:val="99"/>
    <w:rsid w:val="00730315"/>
  </w:style>
  <w:style w:type="paragraph" w:customStyle="1" w:styleId="StyleBoldCentered">
    <w:name w:val="Style Bold Centered"/>
    <w:basedOn w:val="Normal"/>
    <w:uiPriority w:val="99"/>
    <w:rsid w:val="00371CF6"/>
    <w:pPr>
      <w:jc w:val="center"/>
    </w:pPr>
    <w:rPr>
      <w:rFonts w:ascii="Times New Roman Bold" w:hAnsi="Times New Roman Bold"/>
      <w:b/>
      <w:bCs/>
      <w:caps/>
      <w:szCs w:val="22"/>
    </w:rPr>
  </w:style>
  <w:style w:type="paragraph" w:customStyle="1" w:styleId="StyleTOC112ptNotAllcaps">
    <w:name w:val="Style TOC 1 + 12 pt Not All caps"/>
    <w:basedOn w:val="TOC1"/>
    <w:link w:val="StyleTOC112ptNotAllcapsChar"/>
    <w:uiPriority w:val="99"/>
    <w:rsid w:val="00CE2CEC"/>
    <w:rPr>
      <w:sz w:val="24"/>
    </w:rPr>
  </w:style>
  <w:style w:type="character" w:customStyle="1" w:styleId="StyleTOC112ptNotAllcapsChar">
    <w:name w:val="Style TOC 1 + 12 pt Not All caps Char"/>
    <w:link w:val="StyleTOC112ptNotAllcaps"/>
    <w:uiPriority w:val="99"/>
    <w:locked/>
    <w:rsid w:val="00CE2CEC"/>
    <w:rPr>
      <w:rFonts w:eastAsia="Times New Roman"/>
      <w:caps/>
      <w:noProof/>
      <w:snapToGrid w:val="0"/>
      <w:kern w:val="28"/>
      <w:sz w:val="24"/>
    </w:rPr>
  </w:style>
  <w:style w:type="character" w:customStyle="1" w:styleId="EquationCaption">
    <w:name w:val="_Equation Caption"/>
    <w:uiPriority w:val="99"/>
    <w:rsid w:val="00371CF6"/>
  </w:style>
  <w:style w:type="character" w:customStyle="1" w:styleId="primaryheadline">
    <w:name w:val="primaryheadline"/>
    <w:basedOn w:val="DefaultParagraphFont"/>
    <w:uiPriority w:val="99"/>
    <w:rsid w:val="00D924B0"/>
    <w:rPr>
      <w:rFonts w:cs="Times New Roman"/>
    </w:rPr>
  </w:style>
  <w:style w:type="paragraph" w:styleId="Caption">
    <w:name w:val="caption"/>
    <w:basedOn w:val="Normal"/>
    <w:next w:val="Normal"/>
    <w:uiPriority w:val="99"/>
    <w:qFormat/>
    <w:rsid w:val="00C34360"/>
    <w:pPr>
      <w:widowControl/>
      <w:spacing w:before="120" w:after="120"/>
    </w:pPr>
    <w:rPr>
      <w:b/>
      <w:bCs/>
      <w:kern w:val="0"/>
      <w:sz w:val="24"/>
    </w:rPr>
  </w:style>
  <w:style w:type="character" w:customStyle="1" w:styleId="documentbody1">
    <w:name w:val="documentbody1"/>
    <w:uiPriority w:val="99"/>
    <w:rsid w:val="00C17759"/>
    <w:rPr>
      <w:rFonts w:ascii="Verdana" w:hAnsi="Verdana"/>
      <w:sz w:val="19"/>
      <w:shd w:val="clear" w:color="auto" w:fill="FFFFFF"/>
    </w:rPr>
  </w:style>
  <w:style w:type="paragraph" w:customStyle="1" w:styleId="ParaNumChar">
    <w:name w:val="ParaNum Char"/>
    <w:basedOn w:val="Normal"/>
    <w:link w:val="ParaNumCharChar"/>
    <w:uiPriority w:val="99"/>
    <w:rsid w:val="00C17759"/>
    <w:pPr>
      <w:numPr>
        <w:numId w:val="29"/>
      </w:numPr>
      <w:tabs>
        <w:tab w:val="clear" w:pos="1080"/>
        <w:tab w:val="left" w:pos="1440"/>
      </w:tabs>
      <w:spacing w:after="220"/>
      <w:jc w:val="both"/>
    </w:pPr>
    <w:rPr>
      <w:sz w:val="20"/>
    </w:rPr>
  </w:style>
  <w:style w:type="character" w:customStyle="1" w:styleId="ParaNumCharChar">
    <w:name w:val="ParaNum Char Char"/>
    <w:link w:val="ParaNumChar"/>
    <w:uiPriority w:val="99"/>
    <w:locked/>
    <w:rsid w:val="00C17759"/>
    <w:rPr>
      <w:kern w:val="28"/>
      <w:sz w:val="20"/>
      <w:szCs w:val="20"/>
    </w:rPr>
  </w:style>
  <w:style w:type="character" w:customStyle="1" w:styleId="documentbody">
    <w:name w:val="documentbody"/>
    <w:basedOn w:val="DefaultParagraphFont"/>
    <w:uiPriority w:val="99"/>
    <w:rsid w:val="00C17759"/>
    <w:rPr>
      <w:rFonts w:cs="Times New Roman"/>
    </w:rPr>
  </w:style>
  <w:style w:type="paragraph" w:customStyle="1" w:styleId="Table">
    <w:name w:val="Table"/>
    <w:basedOn w:val="Normal"/>
    <w:uiPriority w:val="99"/>
    <w:rsid w:val="00C17759"/>
    <w:pPr>
      <w:keepNext/>
      <w:widowControl/>
      <w:tabs>
        <w:tab w:val="left" w:pos="360"/>
      </w:tabs>
      <w:jc w:val="center"/>
    </w:pPr>
    <w:rPr>
      <w:rFonts w:ascii="Book Antiqua" w:hAnsi="Book Antiqua"/>
      <w:kern w:val="0"/>
      <w:sz w:val="17"/>
    </w:rPr>
  </w:style>
  <w:style w:type="character" w:customStyle="1" w:styleId="groupheading1">
    <w:name w:val="groupheading1"/>
    <w:uiPriority w:val="99"/>
    <w:rsid w:val="00C17759"/>
    <w:rPr>
      <w:rFonts w:ascii="Verdana" w:hAnsi="Verdana"/>
      <w:b/>
      <w:sz w:val="19"/>
    </w:rPr>
  </w:style>
  <w:style w:type="character" w:customStyle="1" w:styleId="informationalsmall1">
    <w:name w:val="informationalsmall1"/>
    <w:uiPriority w:val="99"/>
    <w:rsid w:val="00C17759"/>
    <w:rPr>
      <w:rFonts w:ascii="Verdana" w:hAnsi="Verdana"/>
      <w:sz w:val="14"/>
    </w:rPr>
  </w:style>
  <w:style w:type="character" w:customStyle="1" w:styleId="inside-head1">
    <w:name w:val="inside-head1"/>
    <w:uiPriority w:val="99"/>
    <w:rsid w:val="005A37F6"/>
    <w:rPr>
      <w:b/>
      <w:color w:val="000000"/>
      <w:spacing w:val="-15"/>
      <w:sz w:val="45"/>
    </w:rPr>
  </w:style>
  <w:style w:type="character" w:customStyle="1" w:styleId="EmailStyle92">
    <w:name w:val="EmailStyle92"/>
    <w:uiPriority w:val="99"/>
    <w:semiHidden/>
    <w:rsid w:val="00AE6BEF"/>
    <w:rPr>
      <w:rFonts w:ascii="Arial" w:hAnsi="Arial"/>
      <w:color w:val="auto"/>
      <w:sz w:val="20"/>
    </w:rPr>
  </w:style>
  <w:style w:type="character" w:customStyle="1" w:styleId="EmailStyle93">
    <w:name w:val="EmailStyle93"/>
    <w:uiPriority w:val="99"/>
    <w:semiHidden/>
    <w:rsid w:val="00DF15AF"/>
    <w:rPr>
      <w:rFonts w:ascii="Arial" w:hAnsi="Arial"/>
      <w:color w:val="auto"/>
      <w:sz w:val="20"/>
    </w:rPr>
  </w:style>
  <w:style w:type="table" w:customStyle="1" w:styleId="TableGrid1">
    <w:name w:val="Table Grid1"/>
    <w:uiPriority w:val="99"/>
    <w:rsid w:val="003F07A6"/>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EmailStyle95">
    <w:name w:val="EmailStyle95"/>
    <w:uiPriority w:val="99"/>
    <w:semiHidden/>
    <w:rsid w:val="00B33A93"/>
    <w:rPr>
      <w:rFonts w:ascii="Arial" w:hAnsi="Arial"/>
      <w:color w:val="auto"/>
      <w:sz w:val="20"/>
    </w:rPr>
  </w:style>
  <w:style w:type="character" w:customStyle="1" w:styleId="Heading3Char1Char">
    <w:name w:val="Heading 3 Char1 Char"/>
    <w:aliases w:val="Heading 3 Char Char Char,Heading 3 Char1 Char Char Char,Heading 3 Char Char Char Char Char,Heading 3 Char1 Char Char Char Char Char,Heading 3 Char Char Char Char Char Char Char,Heading 3 Char1 Char Char Char Char Char Char Char"/>
    <w:uiPriority w:val="99"/>
    <w:rsid w:val="00B64A81"/>
    <w:rPr>
      <w:b/>
      <w:snapToGrid w:val="0"/>
      <w:kern w:val="28"/>
      <w:sz w:val="22"/>
      <w:lang w:val="en-US" w:eastAsia="en-US"/>
    </w:rPr>
  </w:style>
  <w:style w:type="character" w:customStyle="1" w:styleId="StyleFootnoteReferenceAppelnotedebasdepStyle12NECGFoo">
    <w:name w:val="Style Footnote ReferenceAppel note de bas de pStyle 12(NECG) Foo..."/>
    <w:uiPriority w:val="99"/>
    <w:rsid w:val="00B64A81"/>
    <w:rPr>
      <w:rFonts w:ascii="Times New Roman" w:eastAsia="SimSun" w:hAnsi="Times New Roman"/>
      <w:color w:val="auto"/>
      <w:sz w:val="22"/>
      <w:vertAlign w:val="superscript"/>
    </w:rPr>
  </w:style>
  <w:style w:type="paragraph" w:customStyle="1" w:styleId="Default">
    <w:name w:val="Default"/>
    <w:uiPriority w:val="99"/>
    <w:rsid w:val="00A5055B"/>
    <w:pPr>
      <w:autoSpaceDE w:val="0"/>
      <w:autoSpaceDN w:val="0"/>
      <w:adjustRightInd w:val="0"/>
    </w:pPr>
    <w:rPr>
      <w:rFonts w:ascii="Arial" w:hAnsi="Arial" w:cs="Arial"/>
      <w:color w:val="000000"/>
      <w:sz w:val="24"/>
      <w:szCs w:val="24"/>
    </w:rPr>
  </w:style>
  <w:style w:type="character" w:customStyle="1" w:styleId="primaryheadline2">
    <w:name w:val="primaryheadline2"/>
    <w:uiPriority w:val="99"/>
    <w:rsid w:val="00A5055B"/>
    <w:rPr>
      <w:b/>
      <w:color w:val="000000"/>
      <w:sz w:val="29"/>
    </w:rPr>
  </w:style>
  <w:style w:type="character" w:customStyle="1" w:styleId="CharChar9">
    <w:name w:val="Char Char9"/>
    <w:uiPriority w:val="99"/>
    <w:rsid w:val="006E5F82"/>
    <w:rPr>
      <w:rFonts w:ascii="Times New Roman Bold" w:hAnsi="Times New Roman Bold"/>
      <w:b/>
      <w:caps/>
      <w:snapToGrid w:val="0"/>
      <w:kern w:val="28"/>
      <w:sz w:val="22"/>
      <w:lang w:val="en-US" w:eastAsia="en-US"/>
    </w:rPr>
  </w:style>
  <w:style w:type="character" w:customStyle="1" w:styleId="CharChar7">
    <w:name w:val="Char Char7"/>
    <w:uiPriority w:val="99"/>
    <w:rsid w:val="006E5F82"/>
    <w:rPr>
      <w:b/>
      <w:snapToGrid w:val="0"/>
      <w:kern w:val="28"/>
      <w:sz w:val="22"/>
      <w:lang w:val="en-US" w:eastAsia="en-US"/>
    </w:rPr>
  </w:style>
  <w:style w:type="character" w:customStyle="1" w:styleId="CharChar6">
    <w:name w:val="Char Char6"/>
    <w:uiPriority w:val="99"/>
    <w:rsid w:val="006E5F82"/>
    <w:rPr>
      <w:b/>
      <w:snapToGrid w:val="0"/>
      <w:kern w:val="28"/>
      <w:sz w:val="22"/>
      <w:lang w:val="en-US" w:eastAsia="en-US"/>
    </w:rPr>
  </w:style>
  <w:style w:type="character" w:customStyle="1" w:styleId="CharChar8">
    <w:name w:val="Char Char8"/>
    <w:uiPriority w:val="99"/>
    <w:rsid w:val="006E5F82"/>
    <w:rPr>
      <w:b/>
      <w:snapToGrid w:val="0"/>
      <w:kern w:val="28"/>
      <w:sz w:val="22"/>
      <w:lang w:val="en-US" w:eastAsia="en-US"/>
    </w:rPr>
  </w:style>
  <w:style w:type="character" w:customStyle="1" w:styleId="FootnoteTextChar2Char1">
    <w:name w:val="Footnote Text Char2 Char1"/>
    <w:aliases w:val="Footnote Text Char1 Char Char1 Char1,Footnote Text Char Char Char Char1 Char1,Footnote Text Char2 Char1 Char Char Char1 Char1,Footnote Text Char1 Char Char1 Char Char1 Char1 Char1"/>
    <w:uiPriority w:val="99"/>
    <w:locked/>
    <w:rsid w:val="007D3517"/>
    <w:rPr>
      <w:rFonts w:ascii="Times New Roman" w:hAnsi="Times New Roman"/>
      <w:snapToGrid w:val="0"/>
      <w:kern w:val="28"/>
      <w:sz w:val="20"/>
    </w:rPr>
  </w:style>
  <w:style w:type="character" w:customStyle="1" w:styleId="hl">
    <w:name w:val="hl"/>
    <w:basedOn w:val="DefaultParagraphFont"/>
    <w:uiPriority w:val="99"/>
    <w:rsid w:val="00120432"/>
    <w:rPr>
      <w:rFonts w:cs="Times New Roman"/>
    </w:rPr>
  </w:style>
  <w:style w:type="character" w:customStyle="1" w:styleId="FootnoteTextChar3">
    <w:name w:val="Footnote Text Char3"/>
    <w:aliases w:val="Footnote Text Char Char1,Footnote Text Char1 Char Char1,Footnote Text Char Char Char Char1,Footnote Text Char2 Char1 Char Char Char1,Footnote Text Char1 Char Char1 Char Char1 Char1,Footnote Text Char Char Char Char1 Char Char1 Char1"/>
    <w:uiPriority w:val="99"/>
    <w:semiHidden/>
    <w:locked/>
    <w:rsid w:val="00731469"/>
    <w:rPr>
      <w:rFonts w:eastAsia="Times New Roman"/>
      <w:lang w:val="en-US" w:eastAsia="en-US"/>
    </w:rPr>
  </w:style>
  <w:style w:type="character" w:customStyle="1" w:styleId="ccbnttl">
    <w:name w:val="ccbnttl"/>
    <w:basedOn w:val="DefaultParagraphFont"/>
    <w:uiPriority w:val="99"/>
    <w:rsid w:val="001C0924"/>
    <w:rPr>
      <w:rFonts w:cs="Times New Roman"/>
    </w:rPr>
  </w:style>
  <w:style w:type="character" w:customStyle="1" w:styleId="CharChar10">
    <w:name w:val="Char Char10"/>
    <w:uiPriority w:val="99"/>
    <w:rsid w:val="00351310"/>
    <w:rPr>
      <w:rFonts w:ascii="Times New Roman Bold" w:hAnsi="Times New Roman Bold"/>
      <w:b/>
      <w:caps/>
      <w:snapToGrid w:val="0"/>
      <w:kern w:val="28"/>
      <w:sz w:val="22"/>
      <w:lang w:val="en-US" w:eastAsia="en-US"/>
    </w:rPr>
  </w:style>
  <w:style w:type="paragraph" w:styleId="Revision">
    <w:name w:val="Revision"/>
    <w:hidden/>
    <w:uiPriority w:val="99"/>
    <w:rsid w:val="00351310"/>
    <w:rPr>
      <w:kern w:val="28"/>
      <w:sz w:val="22"/>
    </w:rPr>
  </w:style>
  <w:style w:type="paragraph" w:styleId="BodyText3">
    <w:name w:val="Body Text 3"/>
    <w:basedOn w:val="Normal"/>
    <w:link w:val="BodyText3Char"/>
    <w:uiPriority w:val="99"/>
    <w:rsid w:val="00184626"/>
    <w:pPr>
      <w:spacing w:after="120"/>
    </w:pPr>
    <w:rPr>
      <w:sz w:val="16"/>
      <w:szCs w:val="16"/>
    </w:rPr>
  </w:style>
  <w:style w:type="character" w:customStyle="1" w:styleId="BodyText3Char">
    <w:name w:val="Body Text 3 Char"/>
    <w:basedOn w:val="DefaultParagraphFont"/>
    <w:link w:val="BodyText3"/>
    <w:uiPriority w:val="99"/>
    <w:locked/>
    <w:rsid w:val="00793DA0"/>
    <w:rPr>
      <w:rFonts w:cs="Times New Roman"/>
      <w:snapToGrid w:val="0"/>
      <w:kern w:val="28"/>
      <w:sz w:val="16"/>
      <w:lang w:val="en-US" w:eastAsia="en-US"/>
    </w:rPr>
  </w:style>
  <w:style w:type="paragraph" w:customStyle="1" w:styleId="xl22">
    <w:name w:val="xl22"/>
    <w:basedOn w:val="Normal"/>
    <w:uiPriority w:val="99"/>
    <w:rsid w:val="00F25280"/>
    <w:pPr>
      <w:widowControl/>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kern w:val="0"/>
      <w:sz w:val="16"/>
      <w:szCs w:val="16"/>
      <w:lang w:eastAsia="zh-CN"/>
    </w:rPr>
  </w:style>
  <w:style w:type="paragraph" w:styleId="TableofFigures">
    <w:name w:val="table of figures"/>
    <w:basedOn w:val="Normal"/>
    <w:next w:val="Normal"/>
    <w:uiPriority w:val="99"/>
    <w:rsid w:val="00573504"/>
    <w:rPr>
      <w:sz w:val="20"/>
    </w:rPr>
  </w:style>
  <w:style w:type="paragraph" w:customStyle="1" w:styleId="xl23">
    <w:name w:val="xl23"/>
    <w:basedOn w:val="Normal"/>
    <w:uiPriority w:val="99"/>
    <w:rsid w:val="00F25280"/>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kern w:val="0"/>
      <w:sz w:val="16"/>
      <w:szCs w:val="16"/>
      <w:lang w:eastAsia="zh-CN"/>
    </w:rPr>
  </w:style>
  <w:style w:type="paragraph" w:customStyle="1" w:styleId="xl24">
    <w:name w:val="xl24"/>
    <w:basedOn w:val="Normal"/>
    <w:uiPriority w:val="99"/>
    <w:rsid w:val="00F25280"/>
    <w:pPr>
      <w:widowControl/>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top"/>
    </w:pPr>
    <w:rPr>
      <w:kern w:val="0"/>
      <w:sz w:val="16"/>
      <w:szCs w:val="16"/>
      <w:lang w:eastAsia="zh-CN"/>
    </w:rPr>
  </w:style>
  <w:style w:type="paragraph" w:customStyle="1" w:styleId="xl25">
    <w:name w:val="xl25"/>
    <w:basedOn w:val="Normal"/>
    <w:uiPriority w:val="99"/>
    <w:rsid w:val="00F25280"/>
    <w:pPr>
      <w:widowControl/>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top"/>
    </w:pPr>
    <w:rPr>
      <w:color w:val="000000"/>
      <w:kern w:val="0"/>
      <w:sz w:val="16"/>
      <w:szCs w:val="16"/>
      <w:lang w:eastAsia="zh-CN"/>
    </w:rPr>
  </w:style>
  <w:style w:type="paragraph" w:customStyle="1" w:styleId="xl26">
    <w:name w:val="xl26"/>
    <w:basedOn w:val="Normal"/>
    <w:uiPriority w:val="99"/>
    <w:rsid w:val="00F25280"/>
    <w:pPr>
      <w:widowControl/>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top"/>
    </w:pPr>
    <w:rPr>
      <w:color w:val="000000"/>
      <w:kern w:val="0"/>
      <w:sz w:val="16"/>
      <w:szCs w:val="16"/>
      <w:lang w:eastAsia="zh-CN"/>
    </w:rPr>
  </w:style>
  <w:style w:type="paragraph" w:customStyle="1" w:styleId="xl27">
    <w:name w:val="xl27"/>
    <w:basedOn w:val="Normal"/>
    <w:uiPriority w:val="99"/>
    <w:rsid w:val="00F25280"/>
    <w:pPr>
      <w:widowControl/>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kern w:val="0"/>
      <w:sz w:val="16"/>
      <w:szCs w:val="16"/>
      <w:lang w:eastAsia="zh-CN"/>
    </w:rPr>
  </w:style>
  <w:style w:type="paragraph" w:customStyle="1" w:styleId="xl28">
    <w:name w:val="xl28"/>
    <w:basedOn w:val="Normal"/>
    <w:uiPriority w:val="99"/>
    <w:rsid w:val="00F25280"/>
    <w:pPr>
      <w:widowControl/>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top"/>
    </w:pPr>
    <w:rPr>
      <w:kern w:val="0"/>
      <w:sz w:val="16"/>
      <w:szCs w:val="16"/>
      <w:lang w:eastAsia="zh-CN"/>
    </w:rPr>
  </w:style>
  <w:style w:type="paragraph" w:customStyle="1" w:styleId="xl29">
    <w:name w:val="xl29"/>
    <w:basedOn w:val="Normal"/>
    <w:uiPriority w:val="99"/>
    <w:rsid w:val="00F25280"/>
    <w:pPr>
      <w:widowControl/>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top"/>
    </w:pPr>
    <w:rPr>
      <w:color w:val="000000"/>
      <w:kern w:val="0"/>
      <w:sz w:val="16"/>
      <w:szCs w:val="16"/>
      <w:lang w:eastAsia="zh-CN"/>
    </w:rPr>
  </w:style>
  <w:style w:type="paragraph" w:customStyle="1" w:styleId="paranum0">
    <w:name w:val="paranum"/>
    <w:basedOn w:val="Normal"/>
    <w:uiPriority w:val="99"/>
    <w:rsid w:val="00434C56"/>
    <w:pPr>
      <w:widowControl/>
      <w:tabs>
        <w:tab w:val="num" w:pos="1080"/>
      </w:tabs>
      <w:spacing w:after="120"/>
      <w:ind w:firstLine="720"/>
    </w:pPr>
    <w:rPr>
      <w:kern w:val="0"/>
      <w:sz w:val="24"/>
      <w:szCs w:val="24"/>
    </w:rPr>
  </w:style>
  <w:style w:type="character" w:customStyle="1" w:styleId="Heading2Char1">
    <w:name w:val="Heading 2 Char1"/>
    <w:uiPriority w:val="99"/>
    <w:locked/>
    <w:rsid w:val="00793DA0"/>
    <w:rPr>
      <w:rFonts w:eastAsia="SimSun"/>
      <w:b/>
      <w:kern w:val="28"/>
      <w:sz w:val="22"/>
      <w:lang w:val="en-US" w:eastAsia="en-US"/>
    </w:rPr>
  </w:style>
  <w:style w:type="character" w:customStyle="1" w:styleId="TOC1Char">
    <w:name w:val="TOC 1 Char"/>
    <w:uiPriority w:val="99"/>
    <w:locked/>
    <w:rsid w:val="00793DA0"/>
    <w:rPr>
      <w:caps/>
      <w:noProof/>
      <w:snapToGrid w:val="0"/>
      <w:kern w:val="28"/>
      <w:sz w:val="22"/>
      <w:lang w:val="en-US" w:eastAsia="en-US"/>
    </w:rPr>
  </w:style>
  <w:style w:type="character" w:customStyle="1" w:styleId="CharChar93">
    <w:name w:val="Char Char93"/>
    <w:uiPriority w:val="99"/>
    <w:rsid w:val="00793DA0"/>
    <w:rPr>
      <w:rFonts w:ascii="Times New Roman Bold" w:hAnsi="Times New Roman Bold"/>
      <w:b/>
      <w:caps/>
      <w:snapToGrid w:val="0"/>
      <w:kern w:val="28"/>
      <w:sz w:val="22"/>
      <w:lang w:val="en-US" w:eastAsia="en-US"/>
    </w:rPr>
  </w:style>
  <w:style w:type="character" w:customStyle="1" w:styleId="CharChar73">
    <w:name w:val="Char Char73"/>
    <w:uiPriority w:val="99"/>
    <w:rsid w:val="00793DA0"/>
    <w:rPr>
      <w:b/>
      <w:snapToGrid w:val="0"/>
      <w:kern w:val="28"/>
      <w:sz w:val="22"/>
      <w:lang w:val="en-US" w:eastAsia="en-US"/>
    </w:rPr>
  </w:style>
  <w:style w:type="character" w:customStyle="1" w:styleId="CharChar63">
    <w:name w:val="Char Char63"/>
    <w:uiPriority w:val="99"/>
    <w:rsid w:val="00793DA0"/>
    <w:rPr>
      <w:b/>
      <w:snapToGrid w:val="0"/>
      <w:kern w:val="28"/>
      <w:sz w:val="22"/>
      <w:lang w:val="en-US" w:eastAsia="en-US"/>
    </w:rPr>
  </w:style>
  <w:style w:type="character" w:customStyle="1" w:styleId="CharChar83">
    <w:name w:val="Char Char83"/>
    <w:uiPriority w:val="99"/>
    <w:rsid w:val="00793DA0"/>
    <w:rPr>
      <w:b/>
      <w:snapToGrid w:val="0"/>
      <w:kern w:val="28"/>
      <w:sz w:val="22"/>
      <w:lang w:val="en-US" w:eastAsia="en-US"/>
    </w:rPr>
  </w:style>
  <w:style w:type="character" w:customStyle="1" w:styleId="CharChar103">
    <w:name w:val="Char Char103"/>
    <w:uiPriority w:val="99"/>
    <w:rsid w:val="00793DA0"/>
    <w:rPr>
      <w:rFonts w:ascii="Times New Roman Bold" w:hAnsi="Times New Roman Bold"/>
      <w:b/>
      <w:caps/>
      <w:snapToGrid w:val="0"/>
      <w:kern w:val="28"/>
      <w:sz w:val="22"/>
      <w:lang w:val="en-US" w:eastAsia="en-US"/>
    </w:rPr>
  </w:style>
  <w:style w:type="character" w:customStyle="1" w:styleId="FootnoteTextChar2CharCharChar">
    <w:name w:val="Footnote Text Char2 Char Char Char"/>
    <w:aliases w:val="Footnote Text Char Char1 Char Char Char,Footnote Text Char2 Char Char Char Char Char,Footnote Text Char1 Char Char Char Char Char Char,fn Char,f Char Char,Footnote Text Char2 Char,Footnote Text Char1 Char Char2 Char"/>
    <w:uiPriority w:val="99"/>
    <w:rsid w:val="00C36DEC"/>
    <w:rPr>
      <w:lang w:val="en-US" w:eastAsia="en-US"/>
    </w:rPr>
  </w:style>
  <w:style w:type="character" w:customStyle="1" w:styleId="CharChar21">
    <w:name w:val="Char Char21"/>
    <w:uiPriority w:val="99"/>
    <w:rsid w:val="00A84F04"/>
    <w:rPr>
      <w:rFonts w:ascii="Times New Roman Bold" w:hAnsi="Times New Roman Bold"/>
      <w:b/>
      <w:caps/>
      <w:snapToGrid w:val="0"/>
      <w:kern w:val="28"/>
      <w:sz w:val="22"/>
      <w:lang w:val="en-US" w:eastAsia="en-US"/>
    </w:rPr>
  </w:style>
  <w:style w:type="character" w:customStyle="1" w:styleId="CharChar20">
    <w:name w:val="Char Char20"/>
    <w:uiPriority w:val="99"/>
    <w:rsid w:val="00A84F04"/>
    <w:rPr>
      <w:b/>
      <w:snapToGrid w:val="0"/>
      <w:kern w:val="28"/>
      <w:sz w:val="22"/>
      <w:lang w:val="en-US" w:eastAsia="en-US"/>
    </w:rPr>
  </w:style>
  <w:style w:type="character" w:customStyle="1" w:styleId="CharChar19">
    <w:name w:val="Char Char19"/>
    <w:uiPriority w:val="99"/>
    <w:rsid w:val="00A84F04"/>
    <w:rPr>
      <w:b/>
      <w:snapToGrid w:val="0"/>
      <w:kern w:val="28"/>
      <w:sz w:val="22"/>
      <w:lang w:val="en-US" w:eastAsia="en-US"/>
    </w:rPr>
  </w:style>
  <w:style w:type="character" w:customStyle="1" w:styleId="CharChar18">
    <w:name w:val="Char Char18"/>
    <w:uiPriority w:val="99"/>
    <w:rsid w:val="00A84F04"/>
    <w:rPr>
      <w:b/>
      <w:snapToGrid w:val="0"/>
      <w:kern w:val="28"/>
      <w:sz w:val="22"/>
      <w:lang w:val="en-US" w:eastAsia="en-US"/>
    </w:rPr>
  </w:style>
  <w:style w:type="character" w:customStyle="1" w:styleId="CharChar17">
    <w:name w:val="Char Char17"/>
    <w:uiPriority w:val="99"/>
    <w:rsid w:val="00A84F04"/>
    <w:rPr>
      <w:b/>
      <w:snapToGrid w:val="0"/>
      <w:kern w:val="28"/>
      <w:sz w:val="22"/>
      <w:lang w:val="en-US" w:eastAsia="en-US"/>
    </w:rPr>
  </w:style>
  <w:style w:type="character" w:customStyle="1" w:styleId="CharChar16">
    <w:name w:val="Char Char16"/>
    <w:uiPriority w:val="99"/>
    <w:locked/>
    <w:rsid w:val="00A84F04"/>
    <w:rPr>
      <w:b/>
      <w:snapToGrid w:val="0"/>
      <w:kern w:val="28"/>
      <w:sz w:val="22"/>
      <w:lang w:val="en-US" w:eastAsia="en-US"/>
    </w:rPr>
  </w:style>
  <w:style w:type="character" w:customStyle="1" w:styleId="CharChar15">
    <w:name w:val="Char Char15"/>
    <w:uiPriority w:val="99"/>
    <w:locked/>
    <w:rsid w:val="00A84F04"/>
    <w:rPr>
      <w:b/>
      <w:snapToGrid w:val="0"/>
      <w:kern w:val="28"/>
      <w:sz w:val="22"/>
      <w:lang w:val="en-US" w:eastAsia="en-US"/>
    </w:rPr>
  </w:style>
  <w:style w:type="character" w:customStyle="1" w:styleId="CharChar14">
    <w:name w:val="Char Char14"/>
    <w:uiPriority w:val="99"/>
    <w:locked/>
    <w:rsid w:val="00A84F04"/>
    <w:rPr>
      <w:b/>
      <w:snapToGrid w:val="0"/>
      <w:kern w:val="28"/>
      <w:sz w:val="22"/>
      <w:lang w:val="en-US" w:eastAsia="en-US"/>
    </w:rPr>
  </w:style>
  <w:style w:type="character" w:customStyle="1" w:styleId="CharChar13">
    <w:name w:val="Char Char13"/>
    <w:uiPriority w:val="99"/>
    <w:locked/>
    <w:rsid w:val="00A84F04"/>
    <w:rPr>
      <w:b/>
      <w:snapToGrid w:val="0"/>
      <w:kern w:val="28"/>
      <w:sz w:val="22"/>
      <w:lang w:val="en-US" w:eastAsia="en-US"/>
    </w:rPr>
  </w:style>
  <w:style w:type="character" w:customStyle="1" w:styleId="CharChar11">
    <w:name w:val="Char Char11"/>
    <w:uiPriority w:val="99"/>
    <w:rsid w:val="00A84F04"/>
    <w:rPr>
      <w:caps/>
      <w:noProof/>
      <w:snapToGrid w:val="0"/>
      <w:kern w:val="28"/>
      <w:sz w:val="22"/>
      <w:lang w:val="en-US" w:eastAsia="en-US"/>
    </w:rPr>
  </w:style>
  <w:style w:type="paragraph" w:customStyle="1" w:styleId="Paranum1">
    <w:name w:val="Paranum"/>
    <w:basedOn w:val="Normal"/>
    <w:autoRedefine/>
    <w:uiPriority w:val="99"/>
    <w:rsid w:val="001760BA"/>
    <w:pPr>
      <w:spacing w:after="220"/>
    </w:pPr>
    <w:rPr>
      <w:b/>
      <w:color w:val="0000FF"/>
      <w:sz w:val="24"/>
      <w:szCs w:val="24"/>
    </w:rPr>
  </w:style>
  <w:style w:type="character" w:styleId="HTMLCite">
    <w:name w:val="HTML Cite"/>
    <w:basedOn w:val="DefaultParagraphFont"/>
    <w:uiPriority w:val="99"/>
    <w:rsid w:val="001760BA"/>
    <w:rPr>
      <w:rFonts w:cs="Times New Roman"/>
      <w:i/>
    </w:rPr>
  </w:style>
  <w:style w:type="character" w:customStyle="1" w:styleId="main1">
    <w:name w:val="main1"/>
    <w:uiPriority w:val="99"/>
    <w:rsid w:val="00E7397C"/>
    <w:rPr>
      <w:rFonts w:ascii="Arial" w:hAnsi="Arial"/>
      <w:color w:val="555555"/>
      <w:sz w:val="24"/>
    </w:rPr>
  </w:style>
  <w:style w:type="paragraph" w:customStyle="1" w:styleId="font5">
    <w:name w:val="font5"/>
    <w:basedOn w:val="Normal"/>
    <w:uiPriority w:val="99"/>
    <w:rsid w:val="00A077B0"/>
    <w:pPr>
      <w:widowControl/>
      <w:spacing w:before="100" w:beforeAutospacing="1" w:after="100" w:afterAutospacing="1"/>
    </w:pPr>
    <w:rPr>
      <w:b/>
      <w:bCs/>
      <w:kern w:val="0"/>
      <w:sz w:val="20"/>
      <w:lang w:eastAsia="zh-CN"/>
    </w:rPr>
  </w:style>
  <w:style w:type="paragraph" w:customStyle="1" w:styleId="xl65">
    <w:name w:val="xl65"/>
    <w:basedOn w:val="Normal"/>
    <w:uiPriority w:val="99"/>
    <w:rsid w:val="00A077B0"/>
    <w:pPr>
      <w:widowControl/>
      <w:pBdr>
        <w:left w:val="single" w:sz="4" w:space="0" w:color="auto"/>
        <w:bottom w:val="single" w:sz="4" w:space="0" w:color="auto"/>
        <w:right w:val="single" w:sz="4" w:space="0" w:color="auto"/>
      </w:pBdr>
      <w:spacing w:before="100" w:beforeAutospacing="1" w:after="100" w:afterAutospacing="1"/>
      <w:textAlignment w:val="center"/>
    </w:pPr>
    <w:rPr>
      <w:b/>
      <w:bCs/>
      <w:kern w:val="0"/>
      <w:sz w:val="24"/>
      <w:szCs w:val="24"/>
      <w:lang w:eastAsia="zh-CN"/>
    </w:rPr>
  </w:style>
  <w:style w:type="paragraph" w:customStyle="1" w:styleId="xl66">
    <w:name w:val="xl66"/>
    <w:basedOn w:val="Normal"/>
    <w:uiPriority w:val="99"/>
    <w:rsid w:val="00A077B0"/>
    <w:pPr>
      <w:widowControl/>
      <w:pBdr>
        <w:left w:val="single" w:sz="4" w:space="0" w:color="auto"/>
        <w:bottom w:val="single" w:sz="4" w:space="0" w:color="auto"/>
      </w:pBdr>
      <w:spacing w:before="100" w:beforeAutospacing="1" w:after="100" w:afterAutospacing="1"/>
      <w:textAlignment w:val="center"/>
    </w:pPr>
    <w:rPr>
      <w:b/>
      <w:bCs/>
      <w:kern w:val="0"/>
      <w:sz w:val="24"/>
      <w:szCs w:val="24"/>
      <w:lang w:eastAsia="zh-CN"/>
    </w:rPr>
  </w:style>
  <w:style w:type="paragraph" w:customStyle="1" w:styleId="xl67">
    <w:name w:val="xl67"/>
    <w:basedOn w:val="Normal"/>
    <w:uiPriority w:val="99"/>
    <w:rsid w:val="00A077B0"/>
    <w:pPr>
      <w:widowControl/>
      <w:pBdr>
        <w:bottom w:val="single" w:sz="4" w:space="0" w:color="auto"/>
        <w:right w:val="single" w:sz="4" w:space="0" w:color="auto"/>
      </w:pBdr>
      <w:spacing w:before="100" w:beforeAutospacing="1" w:after="100" w:afterAutospacing="1"/>
      <w:textAlignment w:val="center"/>
    </w:pPr>
    <w:rPr>
      <w:b/>
      <w:bCs/>
      <w:kern w:val="0"/>
      <w:sz w:val="24"/>
      <w:szCs w:val="24"/>
      <w:lang w:eastAsia="zh-CN"/>
    </w:rPr>
  </w:style>
  <w:style w:type="paragraph" w:customStyle="1" w:styleId="xl68">
    <w:name w:val="xl68"/>
    <w:basedOn w:val="Normal"/>
    <w:uiPriority w:val="99"/>
    <w:rsid w:val="00A077B0"/>
    <w:pPr>
      <w:widowControl/>
      <w:pBdr>
        <w:left w:val="single" w:sz="4" w:space="0" w:color="auto"/>
        <w:bottom w:val="single" w:sz="4" w:space="0" w:color="auto"/>
        <w:right w:val="single" w:sz="4" w:space="0" w:color="auto"/>
      </w:pBdr>
      <w:spacing w:before="100" w:beforeAutospacing="1" w:after="100" w:afterAutospacing="1"/>
      <w:jc w:val="center"/>
      <w:textAlignment w:val="center"/>
    </w:pPr>
    <w:rPr>
      <w:b/>
      <w:bCs/>
      <w:kern w:val="0"/>
      <w:sz w:val="24"/>
      <w:szCs w:val="24"/>
      <w:lang w:eastAsia="zh-CN"/>
    </w:rPr>
  </w:style>
  <w:style w:type="paragraph" w:customStyle="1" w:styleId="xl69">
    <w:name w:val="xl69"/>
    <w:basedOn w:val="Normal"/>
    <w:uiPriority w:val="99"/>
    <w:rsid w:val="00A077B0"/>
    <w:pPr>
      <w:widowControl/>
      <w:pBdr>
        <w:left w:val="single" w:sz="4" w:space="0" w:color="auto"/>
        <w:bottom w:val="single" w:sz="4" w:space="0" w:color="auto"/>
      </w:pBdr>
      <w:spacing w:before="100" w:beforeAutospacing="1" w:after="100" w:afterAutospacing="1"/>
      <w:jc w:val="center"/>
      <w:textAlignment w:val="center"/>
    </w:pPr>
    <w:rPr>
      <w:b/>
      <w:bCs/>
      <w:kern w:val="0"/>
      <w:sz w:val="24"/>
      <w:szCs w:val="24"/>
      <w:lang w:eastAsia="zh-CN"/>
    </w:rPr>
  </w:style>
  <w:style w:type="paragraph" w:customStyle="1" w:styleId="xl70">
    <w:name w:val="xl70"/>
    <w:basedOn w:val="Normal"/>
    <w:uiPriority w:val="99"/>
    <w:rsid w:val="00A077B0"/>
    <w:pPr>
      <w:widowControl/>
      <w:pBdr>
        <w:bottom w:val="single" w:sz="4" w:space="0" w:color="auto"/>
        <w:right w:val="single" w:sz="4" w:space="0" w:color="auto"/>
      </w:pBdr>
      <w:spacing w:before="100" w:beforeAutospacing="1" w:after="100" w:afterAutospacing="1"/>
      <w:jc w:val="center"/>
      <w:textAlignment w:val="center"/>
    </w:pPr>
    <w:rPr>
      <w:b/>
      <w:bCs/>
      <w:kern w:val="0"/>
      <w:sz w:val="24"/>
      <w:szCs w:val="24"/>
      <w:lang w:eastAsia="zh-CN"/>
    </w:rPr>
  </w:style>
  <w:style w:type="paragraph" w:customStyle="1" w:styleId="xl71">
    <w:name w:val="xl71"/>
    <w:basedOn w:val="Normal"/>
    <w:uiPriority w:val="99"/>
    <w:rsid w:val="00A077B0"/>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kern w:val="0"/>
      <w:sz w:val="24"/>
      <w:szCs w:val="24"/>
      <w:lang w:eastAsia="zh-CN"/>
    </w:rPr>
  </w:style>
  <w:style w:type="paragraph" w:customStyle="1" w:styleId="xl72">
    <w:name w:val="xl72"/>
    <w:basedOn w:val="Normal"/>
    <w:uiPriority w:val="99"/>
    <w:rsid w:val="00A077B0"/>
    <w:pPr>
      <w:widowControl/>
      <w:pBdr>
        <w:bottom w:val="single" w:sz="4" w:space="0" w:color="auto"/>
      </w:pBdr>
      <w:spacing w:before="100" w:beforeAutospacing="1" w:after="100" w:afterAutospacing="1"/>
      <w:jc w:val="center"/>
      <w:textAlignment w:val="center"/>
    </w:pPr>
    <w:rPr>
      <w:b/>
      <w:bCs/>
      <w:kern w:val="0"/>
      <w:sz w:val="24"/>
      <w:szCs w:val="24"/>
      <w:lang w:eastAsia="zh-CN"/>
    </w:rPr>
  </w:style>
  <w:style w:type="paragraph" w:customStyle="1" w:styleId="xl73">
    <w:name w:val="xl73"/>
    <w:basedOn w:val="Normal"/>
    <w:uiPriority w:val="99"/>
    <w:rsid w:val="00A077B0"/>
    <w:pPr>
      <w:widowControl/>
      <w:pBdr>
        <w:left w:val="single" w:sz="4" w:space="0" w:color="auto"/>
        <w:bottom w:val="single" w:sz="4" w:space="0" w:color="auto"/>
      </w:pBdr>
      <w:spacing w:before="100" w:beforeAutospacing="1" w:after="100" w:afterAutospacing="1"/>
      <w:jc w:val="center"/>
      <w:textAlignment w:val="center"/>
    </w:pPr>
    <w:rPr>
      <w:b/>
      <w:bCs/>
      <w:kern w:val="0"/>
      <w:sz w:val="24"/>
      <w:szCs w:val="24"/>
      <w:lang w:eastAsia="zh-CN"/>
    </w:rPr>
  </w:style>
  <w:style w:type="paragraph" w:customStyle="1" w:styleId="xl74">
    <w:name w:val="xl74"/>
    <w:basedOn w:val="Normal"/>
    <w:uiPriority w:val="99"/>
    <w:rsid w:val="00A077B0"/>
    <w:pPr>
      <w:widowControl/>
      <w:pBdr>
        <w:bottom w:val="single" w:sz="4" w:space="0" w:color="auto"/>
      </w:pBdr>
      <w:spacing w:before="100" w:beforeAutospacing="1" w:after="100" w:afterAutospacing="1"/>
      <w:jc w:val="center"/>
      <w:textAlignment w:val="center"/>
    </w:pPr>
    <w:rPr>
      <w:b/>
      <w:bCs/>
      <w:kern w:val="0"/>
      <w:sz w:val="24"/>
      <w:szCs w:val="24"/>
      <w:lang w:eastAsia="zh-CN"/>
    </w:rPr>
  </w:style>
  <w:style w:type="paragraph" w:customStyle="1" w:styleId="xl75">
    <w:name w:val="xl75"/>
    <w:basedOn w:val="Normal"/>
    <w:uiPriority w:val="99"/>
    <w:rsid w:val="00A077B0"/>
    <w:pPr>
      <w:widowControl/>
      <w:pBdr>
        <w:top w:val="single" w:sz="4" w:space="0" w:color="auto"/>
        <w:bottom w:val="single" w:sz="4" w:space="0" w:color="auto"/>
      </w:pBdr>
      <w:spacing w:before="100" w:beforeAutospacing="1" w:after="100" w:afterAutospacing="1"/>
      <w:jc w:val="center"/>
      <w:textAlignment w:val="center"/>
    </w:pPr>
    <w:rPr>
      <w:b/>
      <w:bCs/>
      <w:kern w:val="0"/>
      <w:sz w:val="24"/>
      <w:szCs w:val="24"/>
      <w:lang w:eastAsia="zh-CN"/>
    </w:rPr>
  </w:style>
  <w:style w:type="paragraph" w:customStyle="1" w:styleId="xl76">
    <w:name w:val="xl76"/>
    <w:basedOn w:val="Normal"/>
    <w:uiPriority w:val="99"/>
    <w:rsid w:val="00A077B0"/>
    <w:pPr>
      <w:widowControl/>
      <w:pBdr>
        <w:top w:val="single" w:sz="4" w:space="0" w:color="auto"/>
        <w:left w:val="single" w:sz="4" w:space="0" w:color="auto"/>
        <w:bottom w:val="single" w:sz="4" w:space="0" w:color="auto"/>
        <w:right w:val="single" w:sz="8" w:space="0" w:color="auto"/>
      </w:pBdr>
      <w:spacing w:before="100" w:beforeAutospacing="1" w:after="100" w:afterAutospacing="1"/>
      <w:jc w:val="center"/>
      <w:textAlignment w:val="center"/>
    </w:pPr>
    <w:rPr>
      <w:b/>
      <w:bCs/>
      <w:kern w:val="0"/>
      <w:sz w:val="24"/>
      <w:szCs w:val="24"/>
      <w:lang w:eastAsia="zh-CN"/>
    </w:rPr>
  </w:style>
  <w:style w:type="paragraph" w:customStyle="1" w:styleId="xl77">
    <w:name w:val="xl77"/>
    <w:basedOn w:val="Normal"/>
    <w:uiPriority w:val="99"/>
    <w:rsid w:val="00A077B0"/>
    <w:pPr>
      <w:widowControl/>
      <w:pBdr>
        <w:left w:val="single" w:sz="8" w:space="0" w:color="auto"/>
        <w:right w:val="single" w:sz="4" w:space="0" w:color="auto"/>
      </w:pBdr>
      <w:spacing w:before="100" w:beforeAutospacing="1" w:after="100" w:afterAutospacing="1"/>
      <w:textAlignment w:val="center"/>
    </w:pPr>
    <w:rPr>
      <w:kern w:val="0"/>
      <w:sz w:val="16"/>
      <w:szCs w:val="16"/>
      <w:lang w:eastAsia="zh-CN"/>
    </w:rPr>
  </w:style>
  <w:style w:type="paragraph" w:customStyle="1" w:styleId="xl78">
    <w:name w:val="xl78"/>
    <w:basedOn w:val="Normal"/>
    <w:uiPriority w:val="99"/>
    <w:rsid w:val="00A077B0"/>
    <w:pPr>
      <w:widowControl/>
      <w:pBdr>
        <w:top w:val="single" w:sz="4" w:space="0" w:color="auto"/>
        <w:left w:val="single" w:sz="4" w:space="0" w:color="auto"/>
        <w:right w:val="single" w:sz="4" w:space="9" w:color="auto"/>
      </w:pBdr>
      <w:spacing w:before="100" w:beforeAutospacing="1" w:after="100" w:afterAutospacing="1"/>
      <w:ind w:firstLineChars="100" w:firstLine="100"/>
      <w:jc w:val="right"/>
      <w:textAlignment w:val="center"/>
    </w:pPr>
    <w:rPr>
      <w:kern w:val="0"/>
      <w:sz w:val="16"/>
      <w:szCs w:val="16"/>
      <w:lang w:eastAsia="zh-CN"/>
    </w:rPr>
  </w:style>
  <w:style w:type="paragraph" w:customStyle="1" w:styleId="xl79">
    <w:name w:val="xl79"/>
    <w:basedOn w:val="Normal"/>
    <w:uiPriority w:val="99"/>
    <w:rsid w:val="00A077B0"/>
    <w:pPr>
      <w:widowControl/>
      <w:spacing w:before="100" w:beforeAutospacing="1" w:after="100" w:afterAutospacing="1"/>
      <w:jc w:val="right"/>
      <w:textAlignment w:val="center"/>
    </w:pPr>
    <w:rPr>
      <w:kern w:val="0"/>
      <w:sz w:val="16"/>
      <w:szCs w:val="16"/>
      <w:lang w:eastAsia="zh-CN"/>
    </w:rPr>
  </w:style>
  <w:style w:type="paragraph" w:customStyle="1" w:styleId="xl80">
    <w:name w:val="xl80"/>
    <w:basedOn w:val="Normal"/>
    <w:uiPriority w:val="99"/>
    <w:rsid w:val="00A077B0"/>
    <w:pPr>
      <w:widowControl/>
      <w:pBdr>
        <w:top w:val="single" w:sz="4" w:space="0" w:color="auto"/>
      </w:pBdr>
      <w:spacing w:before="100" w:beforeAutospacing="1" w:after="100" w:afterAutospacing="1"/>
      <w:jc w:val="right"/>
      <w:textAlignment w:val="center"/>
    </w:pPr>
    <w:rPr>
      <w:kern w:val="0"/>
      <w:sz w:val="16"/>
      <w:szCs w:val="16"/>
      <w:lang w:eastAsia="zh-CN"/>
    </w:rPr>
  </w:style>
  <w:style w:type="paragraph" w:customStyle="1" w:styleId="xl81">
    <w:name w:val="xl81"/>
    <w:basedOn w:val="Normal"/>
    <w:uiPriority w:val="99"/>
    <w:rsid w:val="00A077B0"/>
    <w:pPr>
      <w:widowControl/>
      <w:pBdr>
        <w:right w:val="single" w:sz="4" w:space="0" w:color="auto"/>
      </w:pBdr>
      <w:spacing w:before="100" w:beforeAutospacing="1" w:after="100" w:afterAutospacing="1"/>
      <w:textAlignment w:val="center"/>
    </w:pPr>
    <w:rPr>
      <w:kern w:val="0"/>
      <w:sz w:val="16"/>
      <w:szCs w:val="16"/>
      <w:lang w:eastAsia="zh-CN"/>
    </w:rPr>
  </w:style>
  <w:style w:type="paragraph" w:customStyle="1" w:styleId="xl82">
    <w:name w:val="xl82"/>
    <w:basedOn w:val="Normal"/>
    <w:uiPriority w:val="99"/>
    <w:rsid w:val="00A077B0"/>
    <w:pPr>
      <w:widowControl/>
      <w:pBdr>
        <w:top w:val="single" w:sz="4" w:space="0" w:color="auto"/>
        <w:left w:val="single" w:sz="4" w:space="0" w:color="auto"/>
        <w:right w:val="single" w:sz="4" w:space="0" w:color="auto"/>
      </w:pBdr>
      <w:spacing w:before="100" w:beforeAutospacing="1" w:after="100" w:afterAutospacing="1"/>
      <w:jc w:val="right"/>
      <w:textAlignment w:val="center"/>
    </w:pPr>
    <w:rPr>
      <w:kern w:val="0"/>
      <w:sz w:val="16"/>
      <w:szCs w:val="16"/>
      <w:lang w:eastAsia="zh-CN"/>
    </w:rPr>
  </w:style>
  <w:style w:type="paragraph" w:customStyle="1" w:styleId="xl83">
    <w:name w:val="xl83"/>
    <w:basedOn w:val="Normal"/>
    <w:uiPriority w:val="99"/>
    <w:rsid w:val="00A077B0"/>
    <w:pPr>
      <w:widowControl/>
      <w:pBdr>
        <w:left w:val="single" w:sz="4" w:space="0" w:color="auto"/>
      </w:pBdr>
      <w:spacing w:before="100" w:beforeAutospacing="1" w:after="100" w:afterAutospacing="1"/>
      <w:jc w:val="right"/>
      <w:textAlignment w:val="center"/>
    </w:pPr>
    <w:rPr>
      <w:kern w:val="0"/>
      <w:sz w:val="16"/>
      <w:szCs w:val="16"/>
      <w:lang w:eastAsia="zh-CN"/>
    </w:rPr>
  </w:style>
  <w:style w:type="paragraph" w:customStyle="1" w:styleId="xl84">
    <w:name w:val="xl84"/>
    <w:basedOn w:val="Normal"/>
    <w:uiPriority w:val="99"/>
    <w:rsid w:val="00A077B0"/>
    <w:pPr>
      <w:widowControl/>
      <w:pBdr>
        <w:right w:val="single" w:sz="4" w:space="0" w:color="auto"/>
      </w:pBdr>
      <w:spacing w:before="100" w:beforeAutospacing="1" w:after="100" w:afterAutospacing="1"/>
      <w:jc w:val="right"/>
      <w:textAlignment w:val="center"/>
    </w:pPr>
    <w:rPr>
      <w:kern w:val="0"/>
      <w:sz w:val="16"/>
      <w:szCs w:val="16"/>
      <w:lang w:eastAsia="zh-CN"/>
    </w:rPr>
  </w:style>
  <w:style w:type="paragraph" w:customStyle="1" w:styleId="xl85">
    <w:name w:val="xl85"/>
    <w:basedOn w:val="Normal"/>
    <w:uiPriority w:val="99"/>
    <w:rsid w:val="00A077B0"/>
    <w:pPr>
      <w:widowControl/>
      <w:pBdr>
        <w:left w:val="single" w:sz="4" w:space="0" w:color="auto"/>
        <w:right w:val="single" w:sz="4" w:space="0" w:color="auto"/>
      </w:pBdr>
      <w:spacing w:before="100" w:beforeAutospacing="1" w:after="100" w:afterAutospacing="1"/>
      <w:jc w:val="right"/>
      <w:textAlignment w:val="center"/>
    </w:pPr>
    <w:rPr>
      <w:kern w:val="0"/>
      <w:sz w:val="16"/>
      <w:szCs w:val="16"/>
      <w:lang w:eastAsia="zh-CN"/>
    </w:rPr>
  </w:style>
  <w:style w:type="paragraph" w:customStyle="1" w:styleId="xl86">
    <w:name w:val="xl86"/>
    <w:basedOn w:val="Normal"/>
    <w:uiPriority w:val="99"/>
    <w:rsid w:val="00A077B0"/>
    <w:pPr>
      <w:widowControl/>
      <w:pBdr>
        <w:top w:val="single" w:sz="4" w:space="0" w:color="auto"/>
      </w:pBdr>
      <w:spacing w:before="100" w:beforeAutospacing="1" w:after="100" w:afterAutospacing="1"/>
      <w:jc w:val="right"/>
      <w:textAlignment w:val="center"/>
    </w:pPr>
    <w:rPr>
      <w:kern w:val="0"/>
      <w:sz w:val="16"/>
      <w:szCs w:val="16"/>
      <w:lang w:eastAsia="zh-CN"/>
    </w:rPr>
  </w:style>
  <w:style w:type="paragraph" w:customStyle="1" w:styleId="xl87">
    <w:name w:val="xl87"/>
    <w:basedOn w:val="Normal"/>
    <w:uiPriority w:val="99"/>
    <w:rsid w:val="00A077B0"/>
    <w:pPr>
      <w:widowControl/>
      <w:pBdr>
        <w:top w:val="single" w:sz="4" w:space="0" w:color="auto"/>
        <w:left w:val="single" w:sz="4" w:space="0" w:color="auto"/>
      </w:pBdr>
      <w:spacing w:before="100" w:beforeAutospacing="1" w:after="100" w:afterAutospacing="1"/>
      <w:jc w:val="right"/>
      <w:textAlignment w:val="center"/>
    </w:pPr>
    <w:rPr>
      <w:kern w:val="0"/>
      <w:sz w:val="16"/>
      <w:szCs w:val="16"/>
      <w:lang w:eastAsia="zh-CN"/>
    </w:rPr>
  </w:style>
  <w:style w:type="paragraph" w:customStyle="1" w:styleId="xl88">
    <w:name w:val="xl88"/>
    <w:basedOn w:val="Normal"/>
    <w:uiPriority w:val="99"/>
    <w:rsid w:val="00A077B0"/>
    <w:pPr>
      <w:widowControl/>
      <w:pBdr>
        <w:top w:val="single" w:sz="4" w:space="0" w:color="auto"/>
      </w:pBdr>
      <w:spacing w:before="100" w:beforeAutospacing="1" w:after="100" w:afterAutospacing="1"/>
      <w:jc w:val="right"/>
      <w:textAlignment w:val="center"/>
    </w:pPr>
    <w:rPr>
      <w:kern w:val="0"/>
      <w:sz w:val="16"/>
      <w:szCs w:val="16"/>
      <w:lang w:eastAsia="zh-CN"/>
    </w:rPr>
  </w:style>
  <w:style w:type="paragraph" w:customStyle="1" w:styleId="xl89">
    <w:name w:val="xl89"/>
    <w:basedOn w:val="Normal"/>
    <w:uiPriority w:val="99"/>
    <w:rsid w:val="00A077B0"/>
    <w:pPr>
      <w:widowControl/>
      <w:pBdr>
        <w:top w:val="single" w:sz="4" w:space="0" w:color="auto"/>
        <w:left w:val="single" w:sz="4" w:space="0" w:color="auto"/>
        <w:right w:val="single" w:sz="8" w:space="0" w:color="auto"/>
      </w:pBdr>
      <w:spacing w:before="100" w:beforeAutospacing="1" w:after="100" w:afterAutospacing="1"/>
      <w:jc w:val="right"/>
      <w:textAlignment w:val="center"/>
    </w:pPr>
    <w:rPr>
      <w:kern w:val="0"/>
      <w:sz w:val="16"/>
      <w:szCs w:val="16"/>
      <w:lang w:eastAsia="zh-CN"/>
    </w:rPr>
  </w:style>
  <w:style w:type="paragraph" w:customStyle="1" w:styleId="xl90">
    <w:name w:val="xl90"/>
    <w:basedOn w:val="Normal"/>
    <w:uiPriority w:val="99"/>
    <w:rsid w:val="00A077B0"/>
    <w:pPr>
      <w:widowControl/>
      <w:pBdr>
        <w:left w:val="single" w:sz="4" w:space="0" w:color="auto"/>
        <w:right w:val="single" w:sz="4" w:space="9" w:color="auto"/>
      </w:pBdr>
      <w:spacing w:before="100" w:beforeAutospacing="1" w:after="100" w:afterAutospacing="1"/>
      <w:ind w:firstLineChars="100" w:firstLine="100"/>
      <w:jc w:val="right"/>
      <w:textAlignment w:val="center"/>
    </w:pPr>
    <w:rPr>
      <w:kern w:val="0"/>
      <w:sz w:val="16"/>
      <w:szCs w:val="16"/>
      <w:lang w:eastAsia="zh-CN"/>
    </w:rPr>
  </w:style>
  <w:style w:type="paragraph" w:customStyle="1" w:styleId="xl91">
    <w:name w:val="xl91"/>
    <w:basedOn w:val="Normal"/>
    <w:uiPriority w:val="99"/>
    <w:rsid w:val="00A077B0"/>
    <w:pPr>
      <w:widowControl/>
      <w:spacing w:before="100" w:beforeAutospacing="1" w:after="100" w:afterAutospacing="1"/>
      <w:jc w:val="center"/>
      <w:textAlignment w:val="center"/>
    </w:pPr>
    <w:rPr>
      <w:kern w:val="0"/>
      <w:sz w:val="16"/>
      <w:szCs w:val="16"/>
      <w:lang w:eastAsia="zh-CN"/>
    </w:rPr>
  </w:style>
  <w:style w:type="paragraph" w:customStyle="1" w:styleId="xl92">
    <w:name w:val="xl92"/>
    <w:basedOn w:val="Normal"/>
    <w:uiPriority w:val="99"/>
    <w:rsid w:val="00A077B0"/>
    <w:pPr>
      <w:widowControl/>
      <w:spacing w:before="100" w:beforeAutospacing="1" w:after="100" w:afterAutospacing="1"/>
      <w:jc w:val="right"/>
      <w:textAlignment w:val="center"/>
    </w:pPr>
    <w:rPr>
      <w:kern w:val="0"/>
      <w:sz w:val="16"/>
      <w:szCs w:val="16"/>
      <w:lang w:eastAsia="zh-CN"/>
    </w:rPr>
  </w:style>
  <w:style w:type="paragraph" w:customStyle="1" w:styleId="xl93">
    <w:name w:val="xl93"/>
    <w:basedOn w:val="Normal"/>
    <w:uiPriority w:val="99"/>
    <w:rsid w:val="00A077B0"/>
    <w:pPr>
      <w:widowControl/>
      <w:pBdr>
        <w:right w:val="single" w:sz="4" w:space="0" w:color="auto"/>
      </w:pBdr>
      <w:spacing w:before="100" w:beforeAutospacing="1" w:after="100" w:afterAutospacing="1"/>
      <w:jc w:val="center"/>
      <w:textAlignment w:val="center"/>
    </w:pPr>
    <w:rPr>
      <w:kern w:val="0"/>
      <w:sz w:val="16"/>
      <w:szCs w:val="16"/>
      <w:lang w:eastAsia="zh-CN"/>
    </w:rPr>
  </w:style>
  <w:style w:type="paragraph" w:customStyle="1" w:styleId="xl94">
    <w:name w:val="xl94"/>
    <w:basedOn w:val="Normal"/>
    <w:uiPriority w:val="99"/>
    <w:rsid w:val="00A077B0"/>
    <w:pPr>
      <w:widowControl/>
      <w:pBdr>
        <w:left w:val="single" w:sz="4" w:space="0" w:color="auto"/>
        <w:right w:val="single" w:sz="4" w:space="0" w:color="auto"/>
      </w:pBdr>
      <w:spacing w:before="100" w:beforeAutospacing="1" w:after="100" w:afterAutospacing="1"/>
      <w:jc w:val="right"/>
      <w:textAlignment w:val="center"/>
    </w:pPr>
    <w:rPr>
      <w:kern w:val="0"/>
      <w:sz w:val="16"/>
      <w:szCs w:val="16"/>
      <w:lang w:eastAsia="zh-CN"/>
    </w:rPr>
  </w:style>
  <w:style w:type="paragraph" w:customStyle="1" w:styleId="xl95">
    <w:name w:val="xl95"/>
    <w:basedOn w:val="Normal"/>
    <w:uiPriority w:val="99"/>
    <w:rsid w:val="00A077B0"/>
    <w:pPr>
      <w:widowControl/>
      <w:spacing w:before="100" w:beforeAutospacing="1" w:after="100" w:afterAutospacing="1"/>
      <w:jc w:val="right"/>
      <w:textAlignment w:val="center"/>
    </w:pPr>
    <w:rPr>
      <w:kern w:val="0"/>
      <w:sz w:val="16"/>
      <w:szCs w:val="16"/>
      <w:lang w:eastAsia="zh-CN"/>
    </w:rPr>
  </w:style>
  <w:style w:type="paragraph" w:customStyle="1" w:styleId="xl96">
    <w:name w:val="xl96"/>
    <w:basedOn w:val="Normal"/>
    <w:uiPriority w:val="99"/>
    <w:rsid w:val="00A077B0"/>
    <w:pPr>
      <w:widowControl/>
      <w:pBdr>
        <w:left w:val="single" w:sz="4" w:space="0" w:color="auto"/>
      </w:pBdr>
      <w:spacing w:before="100" w:beforeAutospacing="1" w:after="100" w:afterAutospacing="1"/>
      <w:jc w:val="right"/>
      <w:textAlignment w:val="center"/>
    </w:pPr>
    <w:rPr>
      <w:kern w:val="0"/>
      <w:sz w:val="16"/>
      <w:szCs w:val="16"/>
      <w:lang w:eastAsia="zh-CN"/>
    </w:rPr>
  </w:style>
  <w:style w:type="paragraph" w:customStyle="1" w:styleId="xl97">
    <w:name w:val="xl97"/>
    <w:basedOn w:val="Normal"/>
    <w:uiPriority w:val="99"/>
    <w:rsid w:val="00A077B0"/>
    <w:pPr>
      <w:widowControl/>
      <w:pBdr>
        <w:right w:val="single" w:sz="4" w:space="0" w:color="auto"/>
      </w:pBdr>
      <w:spacing w:before="100" w:beforeAutospacing="1" w:after="100" w:afterAutospacing="1"/>
      <w:jc w:val="right"/>
      <w:textAlignment w:val="center"/>
    </w:pPr>
    <w:rPr>
      <w:kern w:val="0"/>
      <w:sz w:val="16"/>
      <w:szCs w:val="16"/>
      <w:lang w:eastAsia="zh-CN"/>
    </w:rPr>
  </w:style>
  <w:style w:type="paragraph" w:customStyle="1" w:styleId="xl98">
    <w:name w:val="xl98"/>
    <w:basedOn w:val="Normal"/>
    <w:uiPriority w:val="99"/>
    <w:rsid w:val="00A077B0"/>
    <w:pPr>
      <w:widowControl/>
      <w:spacing w:before="100" w:beforeAutospacing="1" w:after="100" w:afterAutospacing="1"/>
      <w:jc w:val="right"/>
      <w:textAlignment w:val="center"/>
    </w:pPr>
    <w:rPr>
      <w:kern w:val="0"/>
      <w:sz w:val="16"/>
      <w:szCs w:val="16"/>
      <w:lang w:eastAsia="zh-CN"/>
    </w:rPr>
  </w:style>
  <w:style w:type="paragraph" w:customStyle="1" w:styleId="xl99">
    <w:name w:val="xl99"/>
    <w:basedOn w:val="Normal"/>
    <w:uiPriority w:val="99"/>
    <w:rsid w:val="00A077B0"/>
    <w:pPr>
      <w:widowControl/>
      <w:pBdr>
        <w:left w:val="single" w:sz="4" w:space="0" w:color="auto"/>
        <w:right w:val="single" w:sz="8" w:space="0" w:color="auto"/>
      </w:pBdr>
      <w:spacing w:before="100" w:beforeAutospacing="1" w:after="100" w:afterAutospacing="1"/>
      <w:jc w:val="right"/>
      <w:textAlignment w:val="center"/>
    </w:pPr>
    <w:rPr>
      <w:kern w:val="0"/>
      <w:sz w:val="16"/>
      <w:szCs w:val="16"/>
      <w:lang w:eastAsia="zh-CN"/>
    </w:rPr>
  </w:style>
  <w:style w:type="paragraph" w:customStyle="1" w:styleId="xl100">
    <w:name w:val="xl100"/>
    <w:basedOn w:val="Normal"/>
    <w:uiPriority w:val="99"/>
    <w:rsid w:val="00A077B0"/>
    <w:pPr>
      <w:widowControl/>
      <w:pBdr>
        <w:right w:val="single" w:sz="4" w:space="0" w:color="auto"/>
      </w:pBdr>
      <w:spacing w:before="100" w:beforeAutospacing="1" w:after="100" w:afterAutospacing="1"/>
      <w:textAlignment w:val="center"/>
    </w:pPr>
    <w:rPr>
      <w:kern w:val="0"/>
      <w:sz w:val="16"/>
      <w:szCs w:val="16"/>
      <w:lang w:eastAsia="zh-CN"/>
    </w:rPr>
  </w:style>
  <w:style w:type="paragraph" w:customStyle="1" w:styleId="xl101">
    <w:name w:val="xl101"/>
    <w:basedOn w:val="Normal"/>
    <w:uiPriority w:val="99"/>
    <w:rsid w:val="00A077B0"/>
    <w:pPr>
      <w:widowControl/>
      <w:pBdr>
        <w:left w:val="single" w:sz="8" w:space="0" w:color="auto"/>
        <w:bottom w:val="single" w:sz="4" w:space="0" w:color="auto"/>
        <w:right w:val="single" w:sz="4" w:space="0" w:color="auto"/>
      </w:pBdr>
      <w:spacing w:before="100" w:beforeAutospacing="1" w:after="100" w:afterAutospacing="1"/>
      <w:textAlignment w:val="center"/>
    </w:pPr>
    <w:rPr>
      <w:kern w:val="0"/>
      <w:sz w:val="16"/>
      <w:szCs w:val="16"/>
      <w:lang w:eastAsia="zh-CN"/>
    </w:rPr>
  </w:style>
  <w:style w:type="paragraph" w:customStyle="1" w:styleId="xl102">
    <w:name w:val="xl102"/>
    <w:basedOn w:val="Normal"/>
    <w:uiPriority w:val="99"/>
    <w:rsid w:val="00A077B0"/>
    <w:pPr>
      <w:widowControl/>
      <w:pBdr>
        <w:left w:val="single" w:sz="4" w:space="0" w:color="auto"/>
        <w:bottom w:val="single" w:sz="4" w:space="0" w:color="auto"/>
        <w:right w:val="single" w:sz="4" w:space="9" w:color="auto"/>
      </w:pBdr>
      <w:spacing w:before="100" w:beforeAutospacing="1" w:after="100" w:afterAutospacing="1"/>
      <w:ind w:firstLineChars="100" w:firstLine="100"/>
      <w:jc w:val="right"/>
      <w:textAlignment w:val="center"/>
    </w:pPr>
    <w:rPr>
      <w:kern w:val="0"/>
      <w:sz w:val="16"/>
      <w:szCs w:val="16"/>
      <w:lang w:eastAsia="zh-CN"/>
    </w:rPr>
  </w:style>
  <w:style w:type="paragraph" w:customStyle="1" w:styleId="xl103">
    <w:name w:val="xl103"/>
    <w:basedOn w:val="Normal"/>
    <w:uiPriority w:val="99"/>
    <w:rsid w:val="00A077B0"/>
    <w:pPr>
      <w:widowControl/>
      <w:pBdr>
        <w:bottom w:val="single" w:sz="4" w:space="0" w:color="auto"/>
      </w:pBdr>
      <w:spacing w:before="100" w:beforeAutospacing="1" w:after="100" w:afterAutospacing="1"/>
      <w:jc w:val="right"/>
      <w:textAlignment w:val="center"/>
    </w:pPr>
    <w:rPr>
      <w:kern w:val="0"/>
      <w:sz w:val="16"/>
      <w:szCs w:val="16"/>
      <w:lang w:eastAsia="zh-CN"/>
    </w:rPr>
  </w:style>
  <w:style w:type="paragraph" w:customStyle="1" w:styleId="xl104">
    <w:name w:val="xl104"/>
    <w:basedOn w:val="Normal"/>
    <w:uiPriority w:val="99"/>
    <w:rsid w:val="00A077B0"/>
    <w:pPr>
      <w:widowControl/>
      <w:pBdr>
        <w:bottom w:val="single" w:sz="4" w:space="0" w:color="auto"/>
        <w:right w:val="single" w:sz="4" w:space="0" w:color="auto"/>
      </w:pBdr>
      <w:spacing w:before="100" w:beforeAutospacing="1" w:after="100" w:afterAutospacing="1"/>
      <w:textAlignment w:val="center"/>
    </w:pPr>
    <w:rPr>
      <w:kern w:val="0"/>
      <w:sz w:val="16"/>
      <w:szCs w:val="16"/>
      <w:lang w:eastAsia="zh-CN"/>
    </w:rPr>
  </w:style>
  <w:style w:type="paragraph" w:customStyle="1" w:styleId="xl105">
    <w:name w:val="xl105"/>
    <w:basedOn w:val="Normal"/>
    <w:uiPriority w:val="99"/>
    <w:rsid w:val="00A077B0"/>
    <w:pPr>
      <w:widowControl/>
      <w:pBdr>
        <w:left w:val="single" w:sz="4" w:space="0" w:color="auto"/>
        <w:bottom w:val="single" w:sz="4" w:space="0" w:color="auto"/>
        <w:right w:val="single" w:sz="4" w:space="0" w:color="auto"/>
      </w:pBdr>
      <w:spacing w:before="100" w:beforeAutospacing="1" w:after="100" w:afterAutospacing="1"/>
      <w:jc w:val="right"/>
      <w:textAlignment w:val="center"/>
    </w:pPr>
    <w:rPr>
      <w:kern w:val="0"/>
      <w:sz w:val="16"/>
      <w:szCs w:val="16"/>
      <w:lang w:eastAsia="zh-CN"/>
    </w:rPr>
  </w:style>
  <w:style w:type="paragraph" w:customStyle="1" w:styleId="xl106">
    <w:name w:val="xl106"/>
    <w:basedOn w:val="Normal"/>
    <w:uiPriority w:val="99"/>
    <w:rsid w:val="00A077B0"/>
    <w:pPr>
      <w:widowControl/>
      <w:pBdr>
        <w:left w:val="single" w:sz="4" w:space="0" w:color="auto"/>
        <w:bottom w:val="single" w:sz="4" w:space="0" w:color="auto"/>
      </w:pBdr>
      <w:spacing w:before="100" w:beforeAutospacing="1" w:after="100" w:afterAutospacing="1"/>
      <w:jc w:val="right"/>
      <w:textAlignment w:val="center"/>
    </w:pPr>
    <w:rPr>
      <w:kern w:val="0"/>
      <w:sz w:val="16"/>
      <w:szCs w:val="16"/>
      <w:lang w:eastAsia="zh-CN"/>
    </w:rPr>
  </w:style>
  <w:style w:type="paragraph" w:customStyle="1" w:styleId="xl107">
    <w:name w:val="xl107"/>
    <w:basedOn w:val="Normal"/>
    <w:uiPriority w:val="99"/>
    <w:rsid w:val="00A077B0"/>
    <w:pPr>
      <w:widowControl/>
      <w:pBdr>
        <w:bottom w:val="single" w:sz="4" w:space="0" w:color="auto"/>
        <w:right w:val="single" w:sz="4" w:space="0" w:color="auto"/>
      </w:pBdr>
      <w:spacing w:before="100" w:beforeAutospacing="1" w:after="100" w:afterAutospacing="1"/>
      <w:jc w:val="right"/>
      <w:textAlignment w:val="center"/>
    </w:pPr>
    <w:rPr>
      <w:kern w:val="0"/>
      <w:sz w:val="16"/>
      <w:szCs w:val="16"/>
      <w:lang w:eastAsia="zh-CN"/>
    </w:rPr>
  </w:style>
  <w:style w:type="paragraph" w:customStyle="1" w:styleId="xl108">
    <w:name w:val="xl108"/>
    <w:basedOn w:val="Normal"/>
    <w:uiPriority w:val="99"/>
    <w:rsid w:val="00A077B0"/>
    <w:pPr>
      <w:widowControl/>
      <w:pBdr>
        <w:left w:val="single" w:sz="4" w:space="0" w:color="auto"/>
        <w:bottom w:val="single" w:sz="4" w:space="0" w:color="auto"/>
        <w:right w:val="single" w:sz="4" w:space="0" w:color="auto"/>
      </w:pBdr>
      <w:spacing w:before="100" w:beforeAutospacing="1" w:after="100" w:afterAutospacing="1"/>
      <w:jc w:val="right"/>
      <w:textAlignment w:val="center"/>
    </w:pPr>
    <w:rPr>
      <w:kern w:val="0"/>
      <w:sz w:val="16"/>
      <w:szCs w:val="16"/>
      <w:lang w:eastAsia="zh-CN"/>
    </w:rPr>
  </w:style>
  <w:style w:type="paragraph" w:customStyle="1" w:styleId="xl109">
    <w:name w:val="xl109"/>
    <w:basedOn w:val="Normal"/>
    <w:uiPriority w:val="99"/>
    <w:rsid w:val="00A077B0"/>
    <w:pPr>
      <w:widowControl/>
      <w:pBdr>
        <w:bottom w:val="single" w:sz="4" w:space="0" w:color="auto"/>
      </w:pBdr>
      <w:spacing w:before="100" w:beforeAutospacing="1" w:after="100" w:afterAutospacing="1"/>
      <w:jc w:val="right"/>
      <w:textAlignment w:val="center"/>
    </w:pPr>
    <w:rPr>
      <w:kern w:val="0"/>
      <w:sz w:val="16"/>
      <w:szCs w:val="16"/>
      <w:lang w:eastAsia="zh-CN"/>
    </w:rPr>
  </w:style>
  <w:style w:type="paragraph" w:customStyle="1" w:styleId="xl110">
    <w:name w:val="xl110"/>
    <w:basedOn w:val="Normal"/>
    <w:uiPriority w:val="99"/>
    <w:rsid w:val="00A077B0"/>
    <w:pPr>
      <w:widowControl/>
      <w:pBdr>
        <w:left w:val="single" w:sz="4" w:space="0" w:color="auto"/>
        <w:bottom w:val="single" w:sz="4" w:space="0" w:color="auto"/>
      </w:pBdr>
      <w:spacing w:before="100" w:beforeAutospacing="1" w:after="100" w:afterAutospacing="1"/>
      <w:jc w:val="right"/>
      <w:textAlignment w:val="center"/>
    </w:pPr>
    <w:rPr>
      <w:kern w:val="0"/>
      <w:sz w:val="16"/>
      <w:szCs w:val="16"/>
      <w:lang w:eastAsia="zh-CN"/>
    </w:rPr>
  </w:style>
  <w:style w:type="paragraph" w:customStyle="1" w:styleId="xl111">
    <w:name w:val="xl111"/>
    <w:basedOn w:val="Normal"/>
    <w:uiPriority w:val="99"/>
    <w:rsid w:val="00A077B0"/>
    <w:pPr>
      <w:widowControl/>
      <w:pBdr>
        <w:bottom w:val="single" w:sz="4" w:space="0" w:color="auto"/>
        <w:right w:val="single" w:sz="4" w:space="0" w:color="auto"/>
      </w:pBdr>
      <w:spacing w:before="100" w:beforeAutospacing="1" w:after="100" w:afterAutospacing="1"/>
      <w:jc w:val="right"/>
      <w:textAlignment w:val="center"/>
    </w:pPr>
    <w:rPr>
      <w:kern w:val="0"/>
      <w:sz w:val="16"/>
      <w:szCs w:val="16"/>
      <w:lang w:eastAsia="zh-CN"/>
    </w:rPr>
  </w:style>
  <w:style w:type="paragraph" w:customStyle="1" w:styleId="xl112">
    <w:name w:val="xl112"/>
    <w:basedOn w:val="Normal"/>
    <w:uiPriority w:val="99"/>
    <w:rsid w:val="00A077B0"/>
    <w:pPr>
      <w:widowControl/>
      <w:pBdr>
        <w:bottom w:val="single" w:sz="4" w:space="0" w:color="auto"/>
      </w:pBdr>
      <w:spacing w:before="100" w:beforeAutospacing="1" w:after="100" w:afterAutospacing="1"/>
      <w:jc w:val="right"/>
      <w:textAlignment w:val="center"/>
    </w:pPr>
    <w:rPr>
      <w:kern w:val="0"/>
      <w:sz w:val="16"/>
      <w:szCs w:val="16"/>
      <w:lang w:eastAsia="zh-CN"/>
    </w:rPr>
  </w:style>
  <w:style w:type="paragraph" w:customStyle="1" w:styleId="xl113">
    <w:name w:val="xl113"/>
    <w:basedOn w:val="Normal"/>
    <w:uiPriority w:val="99"/>
    <w:rsid w:val="00A077B0"/>
    <w:pPr>
      <w:widowControl/>
      <w:pBdr>
        <w:left w:val="single" w:sz="4" w:space="0" w:color="auto"/>
        <w:bottom w:val="single" w:sz="4" w:space="0" w:color="auto"/>
        <w:right w:val="single" w:sz="8" w:space="0" w:color="auto"/>
      </w:pBdr>
      <w:spacing w:before="100" w:beforeAutospacing="1" w:after="100" w:afterAutospacing="1"/>
      <w:jc w:val="right"/>
      <w:textAlignment w:val="center"/>
    </w:pPr>
    <w:rPr>
      <w:kern w:val="0"/>
      <w:sz w:val="16"/>
      <w:szCs w:val="16"/>
      <w:lang w:eastAsia="zh-CN"/>
    </w:rPr>
  </w:style>
  <w:style w:type="paragraph" w:customStyle="1" w:styleId="xl114">
    <w:name w:val="xl114"/>
    <w:basedOn w:val="Normal"/>
    <w:uiPriority w:val="99"/>
    <w:rsid w:val="00A077B0"/>
    <w:pPr>
      <w:widowControl/>
      <w:pBdr>
        <w:top w:val="single" w:sz="4" w:space="0" w:color="auto"/>
        <w:right w:val="single" w:sz="4" w:space="0" w:color="auto"/>
      </w:pBdr>
      <w:spacing w:before="100" w:beforeAutospacing="1" w:after="100" w:afterAutospacing="1"/>
      <w:jc w:val="right"/>
      <w:textAlignment w:val="center"/>
    </w:pPr>
    <w:rPr>
      <w:kern w:val="0"/>
      <w:sz w:val="16"/>
      <w:szCs w:val="16"/>
      <w:lang w:eastAsia="zh-CN"/>
    </w:rPr>
  </w:style>
  <w:style w:type="paragraph" w:customStyle="1" w:styleId="xl115">
    <w:name w:val="xl115"/>
    <w:basedOn w:val="Normal"/>
    <w:uiPriority w:val="99"/>
    <w:rsid w:val="00A077B0"/>
    <w:pPr>
      <w:widowControl/>
      <w:pBdr>
        <w:top w:val="single" w:sz="4" w:space="0" w:color="auto"/>
        <w:left w:val="single" w:sz="4" w:space="0" w:color="auto"/>
      </w:pBdr>
      <w:spacing w:before="100" w:beforeAutospacing="1" w:after="100" w:afterAutospacing="1"/>
      <w:jc w:val="right"/>
      <w:textAlignment w:val="center"/>
    </w:pPr>
    <w:rPr>
      <w:kern w:val="0"/>
      <w:sz w:val="16"/>
      <w:szCs w:val="16"/>
      <w:lang w:eastAsia="zh-CN"/>
    </w:rPr>
  </w:style>
  <w:style w:type="paragraph" w:customStyle="1" w:styleId="xl116">
    <w:name w:val="xl116"/>
    <w:basedOn w:val="Normal"/>
    <w:uiPriority w:val="99"/>
    <w:rsid w:val="00A077B0"/>
    <w:pPr>
      <w:widowControl/>
      <w:pBdr>
        <w:top w:val="single" w:sz="4" w:space="0" w:color="auto"/>
        <w:left w:val="single" w:sz="8" w:space="0" w:color="auto"/>
        <w:bottom w:val="single" w:sz="8" w:space="0" w:color="auto"/>
        <w:right w:val="single" w:sz="4" w:space="0" w:color="auto"/>
      </w:pBdr>
      <w:spacing w:before="100" w:beforeAutospacing="1" w:after="100" w:afterAutospacing="1"/>
      <w:textAlignment w:val="center"/>
    </w:pPr>
    <w:rPr>
      <w:kern w:val="0"/>
      <w:sz w:val="16"/>
      <w:szCs w:val="16"/>
      <w:lang w:eastAsia="zh-CN"/>
    </w:rPr>
  </w:style>
  <w:style w:type="paragraph" w:customStyle="1" w:styleId="xl117">
    <w:name w:val="xl117"/>
    <w:basedOn w:val="Normal"/>
    <w:uiPriority w:val="99"/>
    <w:rsid w:val="00A077B0"/>
    <w:pPr>
      <w:widowControl/>
      <w:pBdr>
        <w:top w:val="single" w:sz="4" w:space="0" w:color="auto"/>
        <w:left w:val="single" w:sz="4" w:space="0" w:color="auto"/>
        <w:bottom w:val="single" w:sz="8" w:space="0" w:color="auto"/>
        <w:right w:val="single" w:sz="4" w:space="9" w:color="auto"/>
      </w:pBdr>
      <w:spacing w:before="100" w:beforeAutospacing="1" w:after="100" w:afterAutospacing="1"/>
      <w:ind w:firstLineChars="100" w:firstLine="100"/>
      <w:jc w:val="right"/>
      <w:textAlignment w:val="center"/>
    </w:pPr>
    <w:rPr>
      <w:kern w:val="0"/>
      <w:sz w:val="16"/>
      <w:szCs w:val="16"/>
      <w:lang w:eastAsia="zh-CN"/>
    </w:rPr>
  </w:style>
  <w:style w:type="paragraph" w:customStyle="1" w:styleId="xl118">
    <w:name w:val="xl118"/>
    <w:basedOn w:val="Normal"/>
    <w:uiPriority w:val="99"/>
    <w:rsid w:val="00A077B0"/>
    <w:pPr>
      <w:widowControl/>
      <w:pBdr>
        <w:top w:val="single" w:sz="4" w:space="0" w:color="auto"/>
        <w:bottom w:val="single" w:sz="8" w:space="0" w:color="auto"/>
      </w:pBdr>
      <w:spacing w:before="100" w:beforeAutospacing="1" w:after="100" w:afterAutospacing="1"/>
      <w:jc w:val="right"/>
      <w:textAlignment w:val="center"/>
    </w:pPr>
    <w:rPr>
      <w:kern w:val="0"/>
      <w:sz w:val="16"/>
      <w:szCs w:val="16"/>
      <w:lang w:eastAsia="zh-CN"/>
    </w:rPr>
  </w:style>
  <w:style w:type="paragraph" w:customStyle="1" w:styleId="xl119">
    <w:name w:val="xl119"/>
    <w:basedOn w:val="Normal"/>
    <w:uiPriority w:val="99"/>
    <w:rsid w:val="00A077B0"/>
    <w:pPr>
      <w:widowControl/>
      <w:pBdr>
        <w:top w:val="single" w:sz="4" w:space="0" w:color="auto"/>
        <w:bottom w:val="single" w:sz="8" w:space="0" w:color="auto"/>
      </w:pBdr>
      <w:spacing w:before="100" w:beforeAutospacing="1" w:after="100" w:afterAutospacing="1"/>
      <w:jc w:val="right"/>
      <w:textAlignment w:val="center"/>
    </w:pPr>
    <w:rPr>
      <w:kern w:val="0"/>
      <w:sz w:val="16"/>
      <w:szCs w:val="16"/>
      <w:lang w:eastAsia="zh-CN"/>
    </w:rPr>
  </w:style>
  <w:style w:type="paragraph" w:customStyle="1" w:styleId="xl120">
    <w:name w:val="xl120"/>
    <w:basedOn w:val="Normal"/>
    <w:uiPriority w:val="99"/>
    <w:rsid w:val="00A077B0"/>
    <w:pPr>
      <w:widowControl/>
      <w:pBdr>
        <w:top w:val="single" w:sz="4" w:space="0" w:color="auto"/>
        <w:bottom w:val="single" w:sz="8" w:space="0" w:color="auto"/>
        <w:right w:val="single" w:sz="4" w:space="0" w:color="auto"/>
      </w:pBdr>
      <w:spacing w:before="100" w:beforeAutospacing="1" w:after="100" w:afterAutospacing="1"/>
      <w:textAlignment w:val="center"/>
    </w:pPr>
    <w:rPr>
      <w:kern w:val="0"/>
      <w:sz w:val="16"/>
      <w:szCs w:val="16"/>
      <w:lang w:eastAsia="zh-CN"/>
    </w:rPr>
  </w:style>
  <w:style w:type="paragraph" w:customStyle="1" w:styleId="xl121">
    <w:name w:val="xl121"/>
    <w:basedOn w:val="Normal"/>
    <w:uiPriority w:val="99"/>
    <w:rsid w:val="00A077B0"/>
    <w:pPr>
      <w:widowControl/>
      <w:pBdr>
        <w:top w:val="single" w:sz="4" w:space="0" w:color="auto"/>
        <w:left w:val="single" w:sz="4" w:space="0" w:color="auto"/>
        <w:bottom w:val="single" w:sz="8" w:space="0" w:color="auto"/>
        <w:right w:val="single" w:sz="4" w:space="0" w:color="auto"/>
      </w:pBdr>
      <w:spacing w:before="100" w:beforeAutospacing="1" w:after="100" w:afterAutospacing="1"/>
      <w:jc w:val="right"/>
      <w:textAlignment w:val="center"/>
    </w:pPr>
    <w:rPr>
      <w:kern w:val="0"/>
      <w:sz w:val="16"/>
      <w:szCs w:val="16"/>
      <w:lang w:eastAsia="zh-CN"/>
    </w:rPr>
  </w:style>
  <w:style w:type="paragraph" w:customStyle="1" w:styleId="xl122">
    <w:name w:val="xl122"/>
    <w:basedOn w:val="Normal"/>
    <w:uiPriority w:val="99"/>
    <w:rsid w:val="00A077B0"/>
    <w:pPr>
      <w:widowControl/>
      <w:pBdr>
        <w:top w:val="single" w:sz="4" w:space="0" w:color="auto"/>
        <w:left w:val="single" w:sz="4" w:space="0" w:color="auto"/>
        <w:bottom w:val="single" w:sz="8" w:space="0" w:color="auto"/>
      </w:pBdr>
      <w:spacing w:before="100" w:beforeAutospacing="1" w:after="100" w:afterAutospacing="1"/>
      <w:jc w:val="right"/>
      <w:textAlignment w:val="center"/>
    </w:pPr>
    <w:rPr>
      <w:kern w:val="0"/>
      <w:sz w:val="16"/>
      <w:szCs w:val="16"/>
      <w:lang w:eastAsia="zh-CN"/>
    </w:rPr>
  </w:style>
  <w:style w:type="paragraph" w:customStyle="1" w:styleId="xl123">
    <w:name w:val="xl123"/>
    <w:basedOn w:val="Normal"/>
    <w:uiPriority w:val="99"/>
    <w:rsid w:val="00A077B0"/>
    <w:pPr>
      <w:widowControl/>
      <w:pBdr>
        <w:top w:val="single" w:sz="4" w:space="0" w:color="auto"/>
        <w:bottom w:val="single" w:sz="8" w:space="0" w:color="auto"/>
        <w:right w:val="single" w:sz="4" w:space="0" w:color="auto"/>
      </w:pBdr>
      <w:spacing w:before="100" w:beforeAutospacing="1" w:after="100" w:afterAutospacing="1"/>
      <w:jc w:val="right"/>
      <w:textAlignment w:val="center"/>
    </w:pPr>
    <w:rPr>
      <w:kern w:val="0"/>
      <w:sz w:val="16"/>
      <w:szCs w:val="16"/>
      <w:lang w:eastAsia="zh-CN"/>
    </w:rPr>
  </w:style>
  <w:style w:type="paragraph" w:customStyle="1" w:styleId="xl124">
    <w:name w:val="xl124"/>
    <w:basedOn w:val="Normal"/>
    <w:uiPriority w:val="99"/>
    <w:rsid w:val="00A077B0"/>
    <w:pPr>
      <w:widowControl/>
      <w:pBdr>
        <w:top w:val="single" w:sz="4" w:space="0" w:color="auto"/>
        <w:left w:val="single" w:sz="4" w:space="0" w:color="auto"/>
        <w:bottom w:val="single" w:sz="8" w:space="0" w:color="auto"/>
        <w:right w:val="single" w:sz="4" w:space="0" w:color="auto"/>
      </w:pBdr>
      <w:spacing w:before="100" w:beforeAutospacing="1" w:after="100" w:afterAutospacing="1"/>
      <w:jc w:val="right"/>
      <w:textAlignment w:val="center"/>
    </w:pPr>
    <w:rPr>
      <w:kern w:val="0"/>
      <w:sz w:val="16"/>
      <w:szCs w:val="16"/>
      <w:lang w:eastAsia="zh-CN"/>
    </w:rPr>
  </w:style>
  <w:style w:type="paragraph" w:customStyle="1" w:styleId="xl125">
    <w:name w:val="xl125"/>
    <w:basedOn w:val="Normal"/>
    <w:uiPriority w:val="99"/>
    <w:rsid w:val="00A077B0"/>
    <w:pPr>
      <w:widowControl/>
      <w:pBdr>
        <w:top w:val="single" w:sz="4" w:space="0" w:color="auto"/>
        <w:bottom w:val="single" w:sz="8" w:space="0" w:color="auto"/>
      </w:pBdr>
      <w:spacing w:before="100" w:beforeAutospacing="1" w:after="100" w:afterAutospacing="1"/>
      <w:jc w:val="right"/>
      <w:textAlignment w:val="center"/>
    </w:pPr>
    <w:rPr>
      <w:kern w:val="0"/>
      <w:sz w:val="16"/>
      <w:szCs w:val="16"/>
      <w:lang w:eastAsia="zh-CN"/>
    </w:rPr>
  </w:style>
  <w:style w:type="paragraph" w:customStyle="1" w:styleId="xl126">
    <w:name w:val="xl126"/>
    <w:basedOn w:val="Normal"/>
    <w:uiPriority w:val="99"/>
    <w:rsid w:val="00A077B0"/>
    <w:pPr>
      <w:widowControl/>
      <w:pBdr>
        <w:top w:val="single" w:sz="4" w:space="0" w:color="auto"/>
        <w:left w:val="single" w:sz="4" w:space="0" w:color="auto"/>
        <w:bottom w:val="single" w:sz="8" w:space="0" w:color="auto"/>
      </w:pBdr>
      <w:spacing w:before="100" w:beforeAutospacing="1" w:after="100" w:afterAutospacing="1"/>
      <w:jc w:val="right"/>
      <w:textAlignment w:val="center"/>
    </w:pPr>
    <w:rPr>
      <w:kern w:val="0"/>
      <w:sz w:val="16"/>
      <w:szCs w:val="16"/>
      <w:lang w:eastAsia="zh-CN"/>
    </w:rPr>
  </w:style>
  <w:style w:type="paragraph" w:customStyle="1" w:styleId="xl127">
    <w:name w:val="xl127"/>
    <w:basedOn w:val="Normal"/>
    <w:uiPriority w:val="99"/>
    <w:rsid w:val="00A077B0"/>
    <w:pPr>
      <w:widowControl/>
      <w:pBdr>
        <w:top w:val="single" w:sz="4" w:space="0" w:color="auto"/>
        <w:bottom w:val="single" w:sz="8" w:space="0" w:color="auto"/>
        <w:right w:val="single" w:sz="4" w:space="0" w:color="auto"/>
      </w:pBdr>
      <w:spacing w:before="100" w:beforeAutospacing="1" w:after="100" w:afterAutospacing="1"/>
      <w:jc w:val="right"/>
      <w:textAlignment w:val="center"/>
    </w:pPr>
    <w:rPr>
      <w:kern w:val="0"/>
      <w:sz w:val="16"/>
      <w:szCs w:val="16"/>
      <w:lang w:eastAsia="zh-CN"/>
    </w:rPr>
  </w:style>
  <w:style w:type="paragraph" w:customStyle="1" w:styleId="xl128">
    <w:name w:val="xl128"/>
    <w:basedOn w:val="Normal"/>
    <w:uiPriority w:val="99"/>
    <w:rsid w:val="00A077B0"/>
    <w:pPr>
      <w:widowControl/>
      <w:pBdr>
        <w:top w:val="single" w:sz="4" w:space="0" w:color="auto"/>
        <w:bottom w:val="single" w:sz="8" w:space="0" w:color="auto"/>
      </w:pBdr>
      <w:spacing w:before="100" w:beforeAutospacing="1" w:after="100" w:afterAutospacing="1"/>
      <w:jc w:val="right"/>
      <w:textAlignment w:val="center"/>
    </w:pPr>
    <w:rPr>
      <w:kern w:val="0"/>
      <w:sz w:val="16"/>
      <w:szCs w:val="16"/>
      <w:lang w:eastAsia="zh-CN"/>
    </w:rPr>
  </w:style>
  <w:style w:type="paragraph" w:customStyle="1" w:styleId="xl129">
    <w:name w:val="xl129"/>
    <w:basedOn w:val="Normal"/>
    <w:uiPriority w:val="99"/>
    <w:rsid w:val="00A077B0"/>
    <w:pPr>
      <w:widowControl/>
      <w:pBdr>
        <w:top w:val="single" w:sz="4" w:space="0" w:color="auto"/>
        <w:left w:val="single" w:sz="4" w:space="0" w:color="auto"/>
        <w:bottom w:val="single" w:sz="8" w:space="0" w:color="auto"/>
        <w:right w:val="single" w:sz="8" w:space="0" w:color="auto"/>
      </w:pBdr>
      <w:spacing w:before="100" w:beforeAutospacing="1" w:after="100" w:afterAutospacing="1"/>
      <w:jc w:val="right"/>
      <w:textAlignment w:val="center"/>
    </w:pPr>
    <w:rPr>
      <w:kern w:val="0"/>
      <w:sz w:val="16"/>
      <w:szCs w:val="16"/>
      <w:lang w:eastAsia="zh-CN"/>
    </w:rPr>
  </w:style>
  <w:style w:type="paragraph" w:customStyle="1" w:styleId="xl130">
    <w:name w:val="xl130"/>
    <w:basedOn w:val="Normal"/>
    <w:uiPriority w:val="99"/>
    <w:rsid w:val="00A077B0"/>
    <w:pPr>
      <w:widowControl/>
      <w:pBdr>
        <w:left w:val="single" w:sz="8" w:space="0" w:color="auto"/>
        <w:right w:val="single" w:sz="4" w:space="0" w:color="auto"/>
      </w:pBdr>
      <w:spacing w:before="100" w:beforeAutospacing="1" w:after="100" w:afterAutospacing="1"/>
      <w:textAlignment w:val="center"/>
    </w:pPr>
    <w:rPr>
      <w:kern w:val="0"/>
      <w:sz w:val="24"/>
      <w:szCs w:val="24"/>
      <w:lang w:eastAsia="zh-CN"/>
    </w:rPr>
  </w:style>
  <w:style w:type="paragraph" w:customStyle="1" w:styleId="xl131">
    <w:name w:val="xl131"/>
    <w:basedOn w:val="Normal"/>
    <w:uiPriority w:val="99"/>
    <w:rsid w:val="00A077B0"/>
    <w:pPr>
      <w:widowControl/>
      <w:pBdr>
        <w:left w:val="single" w:sz="8" w:space="0" w:color="auto"/>
        <w:bottom w:val="single" w:sz="4" w:space="0" w:color="auto"/>
        <w:right w:val="single" w:sz="4" w:space="0" w:color="auto"/>
      </w:pBdr>
      <w:spacing w:before="100" w:beforeAutospacing="1" w:after="100" w:afterAutospacing="1"/>
      <w:textAlignment w:val="center"/>
    </w:pPr>
    <w:rPr>
      <w:kern w:val="0"/>
      <w:sz w:val="24"/>
      <w:szCs w:val="24"/>
      <w:lang w:eastAsia="zh-CN"/>
    </w:rPr>
  </w:style>
  <w:style w:type="paragraph" w:customStyle="1" w:styleId="xl132">
    <w:name w:val="xl132"/>
    <w:basedOn w:val="Normal"/>
    <w:uiPriority w:val="99"/>
    <w:rsid w:val="00A077B0"/>
    <w:pPr>
      <w:widowControl/>
      <w:pBdr>
        <w:top w:val="single" w:sz="8" w:space="0" w:color="auto"/>
        <w:left w:val="single" w:sz="4" w:space="0" w:color="auto"/>
        <w:bottom w:val="single" w:sz="4" w:space="0" w:color="auto"/>
      </w:pBdr>
      <w:spacing w:before="100" w:beforeAutospacing="1" w:after="100" w:afterAutospacing="1"/>
      <w:jc w:val="center"/>
      <w:textAlignment w:val="center"/>
    </w:pPr>
    <w:rPr>
      <w:b/>
      <w:bCs/>
      <w:kern w:val="0"/>
      <w:sz w:val="24"/>
      <w:szCs w:val="24"/>
      <w:lang w:eastAsia="zh-CN"/>
    </w:rPr>
  </w:style>
  <w:style w:type="paragraph" w:customStyle="1" w:styleId="xl133">
    <w:name w:val="xl133"/>
    <w:basedOn w:val="Normal"/>
    <w:uiPriority w:val="99"/>
    <w:rsid w:val="00A077B0"/>
    <w:pPr>
      <w:widowControl/>
      <w:pBdr>
        <w:top w:val="single" w:sz="8" w:space="0" w:color="auto"/>
        <w:bottom w:val="single" w:sz="4" w:space="0" w:color="auto"/>
      </w:pBdr>
      <w:spacing w:before="100" w:beforeAutospacing="1" w:after="100" w:afterAutospacing="1"/>
      <w:jc w:val="center"/>
      <w:textAlignment w:val="center"/>
    </w:pPr>
    <w:rPr>
      <w:kern w:val="0"/>
      <w:sz w:val="24"/>
      <w:szCs w:val="24"/>
      <w:lang w:eastAsia="zh-CN"/>
    </w:rPr>
  </w:style>
  <w:style w:type="paragraph" w:customStyle="1" w:styleId="xl134">
    <w:name w:val="xl134"/>
    <w:basedOn w:val="Normal"/>
    <w:uiPriority w:val="99"/>
    <w:rsid w:val="00A077B0"/>
    <w:pPr>
      <w:widowControl/>
      <w:pBdr>
        <w:top w:val="single" w:sz="8" w:space="0" w:color="auto"/>
        <w:bottom w:val="single" w:sz="4" w:space="0" w:color="auto"/>
        <w:right w:val="single" w:sz="4" w:space="0" w:color="auto"/>
      </w:pBdr>
      <w:spacing w:before="100" w:beforeAutospacing="1" w:after="100" w:afterAutospacing="1"/>
      <w:jc w:val="center"/>
      <w:textAlignment w:val="center"/>
    </w:pPr>
    <w:rPr>
      <w:kern w:val="0"/>
      <w:sz w:val="24"/>
      <w:szCs w:val="24"/>
      <w:lang w:eastAsia="zh-CN"/>
    </w:rPr>
  </w:style>
  <w:style w:type="paragraph" w:customStyle="1" w:styleId="xl135">
    <w:name w:val="xl135"/>
    <w:basedOn w:val="Normal"/>
    <w:uiPriority w:val="99"/>
    <w:rsid w:val="00A077B0"/>
    <w:pPr>
      <w:widowControl/>
      <w:pBdr>
        <w:top w:val="single" w:sz="4" w:space="0" w:color="auto"/>
        <w:left w:val="single" w:sz="4" w:space="0" w:color="auto"/>
        <w:right w:val="single" w:sz="4" w:space="0" w:color="auto"/>
      </w:pBdr>
      <w:spacing w:before="100" w:beforeAutospacing="1" w:after="100" w:afterAutospacing="1"/>
      <w:jc w:val="center"/>
      <w:textAlignment w:val="center"/>
    </w:pPr>
    <w:rPr>
      <w:b/>
      <w:bCs/>
      <w:kern w:val="0"/>
      <w:sz w:val="24"/>
      <w:szCs w:val="24"/>
      <w:lang w:eastAsia="zh-CN"/>
    </w:rPr>
  </w:style>
  <w:style w:type="paragraph" w:customStyle="1" w:styleId="xl136">
    <w:name w:val="xl136"/>
    <w:basedOn w:val="Normal"/>
    <w:uiPriority w:val="99"/>
    <w:rsid w:val="00A077B0"/>
    <w:pPr>
      <w:widowControl/>
      <w:pBdr>
        <w:left w:val="single" w:sz="4" w:space="0" w:color="auto"/>
        <w:bottom w:val="single" w:sz="4" w:space="0" w:color="auto"/>
        <w:right w:val="single" w:sz="4" w:space="0" w:color="auto"/>
      </w:pBdr>
      <w:spacing w:before="100" w:beforeAutospacing="1" w:after="100" w:afterAutospacing="1"/>
      <w:jc w:val="center"/>
      <w:textAlignment w:val="center"/>
    </w:pPr>
    <w:rPr>
      <w:b/>
      <w:bCs/>
      <w:kern w:val="0"/>
      <w:sz w:val="24"/>
      <w:szCs w:val="24"/>
      <w:lang w:eastAsia="zh-CN"/>
    </w:rPr>
  </w:style>
  <w:style w:type="paragraph" w:customStyle="1" w:styleId="xl137">
    <w:name w:val="xl137"/>
    <w:basedOn w:val="Normal"/>
    <w:uiPriority w:val="99"/>
    <w:rsid w:val="00A077B0"/>
    <w:pPr>
      <w:widowControl/>
      <w:pBdr>
        <w:top w:val="single" w:sz="4" w:space="0" w:color="auto"/>
      </w:pBdr>
      <w:spacing w:before="100" w:beforeAutospacing="1" w:after="100" w:afterAutospacing="1"/>
      <w:jc w:val="center"/>
      <w:textAlignment w:val="center"/>
    </w:pPr>
    <w:rPr>
      <w:b/>
      <w:bCs/>
      <w:kern w:val="0"/>
      <w:sz w:val="24"/>
      <w:szCs w:val="24"/>
      <w:lang w:eastAsia="zh-CN"/>
    </w:rPr>
  </w:style>
  <w:style w:type="paragraph" w:customStyle="1" w:styleId="xl138">
    <w:name w:val="xl138"/>
    <w:basedOn w:val="Normal"/>
    <w:uiPriority w:val="99"/>
    <w:rsid w:val="00A077B0"/>
    <w:pPr>
      <w:widowControl/>
      <w:pBdr>
        <w:top w:val="single" w:sz="4" w:space="0" w:color="auto"/>
        <w:right w:val="single" w:sz="4" w:space="0" w:color="auto"/>
      </w:pBdr>
      <w:spacing w:before="100" w:beforeAutospacing="1" w:after="100" w:afterAutospacing="1"/>
      <w:jc w:val="center"/>
      <w:textAlignment w:val="center"/>
    </w:pPr>
    <w:rPr>
      <w:b/>
      <w:bCs/>
      <w:kern w:val="0"/>
      <w:sz w:val="24"/>
      <w:szCs w:val="24"/>
      <w:lang w:eastAsia="zh-CN"/>
    </w:rPr>
  </w:style>
  <w:style w:type="paragraph" w:customStyle="1" w:styleId="xl139">
    <w:name w:val="xl139"/>
    <w:basedOn w:val="Normal"/>
    <w:uiPriority w:val="99"/>
    <w:rsid w:val="00A077B0"/>
    <w:pPr>
      <w:widowControl/>
      <w:pBdr>
        <w:bottom w:val="single" w:sz="4" w:space="0" w:color="auto"/>
      </w:pBdr>
      <w:spacing w:before="100" w:beforeAutospacing="1" w:after="100" w:afterAutospacing="1"/>
      <w:jc w:val="center"/>
      <w:textAlignment w:val="center"/>
    </w:pPr>
    <w:rPr>
      <w:b/>
      <w:bCs/>
      <w:kern w:val="0"/>
      <w:sz w:val="24"/>
      <w:szCs w:val="24"/>
      <w:lang w:eastAsia="zh-CN"/>
    </w:rPr>
  </w:style>
  <w:style w:type="paragraph" w:customStyle="1" w:styleId="xl140">
    <w:name w:val="xl140"/>
    <w:basedOn w:val="Normal"/>
    <w:uiPriority w:val="99"/>
    <w:rsid w:val="00A077B0"/>
    <w:pPr>
      <w:widowControl/>
      <w:pBdr>
        <w:bottom w:val="single" w:sz="4" w:space="0" w:color="auto"/>
        <w:right w:val="single" w:sz="4" w:space="0" w:color="auto"/>
      </w:pBdr>
      <w:spacing w:before="100" w:beforeAutospacing="1" w:after="100" w:afterAutospacing="1"/>
      <w:jc w:val="center"/>
      <w:textAlignment w:val="center"/>
    </w:pPr>
    <w:rPr>
      <w:b/>
      <w:bCs/>
      <w:kern w:val="0"/>
      <w:sz w:val="24"/>
      <w:szCs w:val="24"/>
      <w:lang w:eastAsia="zh-CN"/>
    </w:rPr>
  </w:style>
  <w:style w:type="paragraph" w:customStyle="1" w:styleId="xl141">
    <w:name w:val="xl141"/>
    <w:basedOn w:val="Normal"/>
    <w:uiPriority w:val="99"/>
    <w:rsid w:val="00A077B0"/>
    <w:pPr>
      <w:widowControl/>
      <w:pBdr>
        <w:left w:val="single" w:sz="4" w:space="0" w:color="auto"/>
        <w:bottom w:val="single" w:sz="4" w:space="0" w:color="auto"/>
      </w:pBdr>
      <w:spacing w:before="100" w:beforeAutospacing="1" w:after="100" w:afterAutospacing="1"/>
      <w:jc w:val="center"/>
      <w:textAlignment w:val="center"/>
    </w:pPr>
    <w:rPr>
      <w:b/>
      <w:bCs/>
      <w:kern w:val="0"/>
      <w:sz w:val="24"/>
      <w:szCs w:val="24"/>
      <w:lang w:eastAsia="zh-CN"/>
    </w:rPr>
  </w:style>
  <w:style w:type="paragraph" w:customStyle="1" w:styleId="xl142">
    <w:name w:val="xl142"/>
    <w:basedOn w:val="Normal"/>
    <w:uiPriority w:val="99"/>
    <w:rsid w:val="00A077B0"/>
    <w:pPr>
      <w:widowControl/>
      <w:pBdr>
        <w:bottom w:val="single" w:sz="4" w:space="0" w:color="auto"/>
      </w:pBdr>
      <w:spacing w:before="100" w:beforeAutospacing="1" w:after="100" w:afterAutospacing="1"/>
      <w:jc w:val="center"/>
      <w:textAlignment w:val="center"/>
    </w:pPr>
    <w:rPr>
      <w:kern w:val="0"/>
      <w:sz w:val="24"/>
      <w:szCs w:val="24"/>
      <w:lang w:eastAsia="zh-CN"/>
    </w:rPr>
  </w:style>
  <w:style w:type="paragraph" w:customStyle="1" w:styleId="xl143">
    <w:name w:val="xl143"/>
    <w:basedOn w:val="Normal"/>
    <w:uiPriority w:val="99"/>
    <w:rsid w:val="00A077B0"/>
    <w:pPr>
      <w:widowControl/>
      <w:pBdr>
        <w:top w:val="single" w:sz="8" w:space="0" w:color="auto"/>
        <w:left w:val="single" w:sz="8" w:space="0" w:color="auto"/>
        <w:right w:val="single" w:sz="4" w:space="0" w:color="auto"/>
      </w:pBdr>
      <w:spacing w:before="100" w:beforeAutospacing="1" w:after="100" w:afterAutospacing="1"/>
      <w:textAlignment w:val="center"/>
    </w:pPr>
    <w:rPr>
      <w:b/>
      <w:bCs/>
      <w:kern w:val="0"/>
      <w:sz w:val="24"/>
      <w:szCs w:val="24"/>
      <w:lang w:eastAsia="zh-CN"/>
    </w:rPr>
  </w:style>
  <w:style w:type="paragraph" w:customStyle="1" w:styleId="xl144">
    <w:name w:val="xl144"/>
    <w:basedOn w:val="Normal"/>
    <w:uiPriority w:val="99"/>
    <w:rsid w:val="00A077B0"/>
    <w:pPr>
      <w:widowControl/>
      <w:pBdr>
        <w:top w:val="single" w:sz="8" w:space="0" w:color="auto"/>
        <w:left w:val="single" w:sz="4" w:space="0" w:color="auto"/>
        <w:bottom w:val="single" w:sz="4" w:space="0" w:color="auto"/>
      </w:pBdr>
      <w:spacing w:before="100" w:beforeAutospacing="1" w:after="100" w:afterAutospacing="1"/>
      <w:jc w:val="center"/>
      <w:textAlignment w:val="center"/>
    </w:pPr>
    <w:rPr>
      <w:b/>
      <w:bCs/>
      <w:kern w:val="0"/>
      <w:sz w:val="24"/>
      <w:szCs w:val="24"/>
      <w:lang w:eastAsia="zh-CN"/>
    </w:rPr>
  </w:style>
  <w:style w:type="paragraph" w:customStyle="1" w:styleId="xl145">
    <w:name w:val="xl145"/>
    <w:basedOn w:val="Normal"/>
    <w:uiPriority w:val="99"/>
    <w:rsid w:val="00A077B0"/>
    <w:pPr>
      <w:widowControl/>
      <w:pBdr>
        <w:top w:val="single" w:sz="8" w:space="0" w:color="auto"/>
        <w:bottom w:val="single" w:sz="4" w:space="0" w:color="auto"/>
      </w:pBdr>
      <w:spacing w:before="100" w:beforeAutospacing="1" w:after="100" w:afterAutospacing="1"/>
      <w:textAlignment w:val="center"/>
    </w:pPr>
    <w:rPr>
      <w:kern w:val="0"/>
      <w:sz w:val="24"/>
      <w:szCs w:val="24"/>
      <w:lang w:eastAsia="zh-CN"/>
    </w:rPr>
  </w:style>
  <w:style w:type="paragraph" w:customStyle="1" w:styleId="xl146">
    <w:name w:val="xl146"/>
    <w:basedOn w:val="Normal"/>
    <w:uiPriority w:val="99"/>
    <w:rsid w:val="00A077B0"/>
    <w:pPr>
      <w:widowControl/>
      <w:pBdr>
        <w:top w:val="single" w:sz="8" w:space="0" w:color="auto"/>
        <w:bottom w:val="single" w:sz="4" w:space="0" w:color="auto"/>
      </w:pBdr>
      <w:spacing w:before="100" w:beforeAutospacing="1" w:after="100" w:afterAutospacing="1"/>
      <w:textAlignment w:val="center"/>
    </w:pPr>
    <w:rPr>
      <w:kern w:val="0"/>
      <w:sz w:val="24"/>
      <w:szCs w:val="24"/>
      <w:lang w:eastAsia="zh-CN"/>
    </w:rPr>
  </w:style>
  <w:style w:type="paragraph" w:customStyle="1" w:styleId="xl147">
    <w:name w:val="xl147"/>
    <w:basedOn w:val="Normal"/>
    <w:uiPriority w:val="99"/>
    <w:rsid w:val="00A077B0"/>
    <w:pPr>
      <w:widowControl/>
      <w:pBdr>
        <w:top w:val="single" w:sz="8" w:space="0" w:color="auto"/>
        <w:bottom w:val="single" w:sz="4" w:space="0" w:color="auto"/>
        <w:right w:val="single" w:sz="8" w:space="0" w:color="auto"/>
      </w:pBdr>
      <w:spacing w:before="100" w:beforeAutospacing="1" w:after="100" w:afterAutospacing="1"/>
    </w:pPr>
    <w:rPr>
      <w:kern w:val="0"/>
      <w:sz w:val="24"/>
      <w:szCs w:val="24"/>
      <w:lang w:eastAsia="zh-CN"/>
    </w:rPr>
  </w:style>
  <w:style w:type="paragraph" w:customStyle="1" w:styleId="xl148">
    <w:name w:val="xl148"/>
    <w:basedOn w:val="Normal"/>
    <w:uiPriority w:val="99"/>
    <w:rsid w:val="00A077B0"/>
    <w:pPr>
      <w:widowControl/>
      <w:pBdr>
        <w:bottom w:val="single" w:sz="4" w:space="0" w:color="auto"/>
        <w:right w:val="single" w:sz="4" w:space="0" w:color="auto"/>
      </w:pBdr>
      <w:spacing w:before="100" w:beforeAutospacing="1" w:after="100" w:afterAutospacing="1"/>
      <w:jc w:val="center"/>
      <w:textAlignment w:val="center"/>
    </w:pPr>
    <w:rPr>
      <w:kern w:val="0"/>
      <w:sz w:val="24"/>
      <w:szCs w:val="24"/>
      <w:lang w:eastAsia="zh-CN"/>
    </w:rPr>
  </w:style>
  <w:style w:type="paragraph" w:customStyle="1" w:styleId="xl149">
    <w:name w:val="xl149"/>
    <w:basedOn w:val="Normal"/>
    <w:uiPriority w:val="99"/>
    <w:rsid w:val="00A077B0"/>
    <w:pPr>
      <w:widowControl/>
      <w:pBdr>
        <w:left w:val="single" w:sz="4" w:space="0" w:color="auto"/>
        <w:bottom w:val="single" w:sz="4" w:space="0" w:color="auto"/>
      </w:pBdr>
      <w:spacing w:before="100" w:beforeAutospacing="1" w:after="100" w:afterAutospacing="1"/>
      <w:jc w:val="center"/>
      <w:textAlignment w:val="center"/>
    </w:pPr>
    <w:rPr>
      <w:b/>
      <w:bCs/>
      <w:kern w:val="0"/>
      <w:sz w:val="24"/>
      <w:szCs w:val="24"/>
      <w:lang w:eastAsia="zh-CN"/>
    </w:rPr>
  </w:style>
  <w:style w:type="paragraph" w:customStyle="1" w:styleId="xl150">
    <w:name w:val="xl150"/>
    <w:basedOn w:val="Normal"/>
    <w:uiPriority w:val="99"/>
    <w:rsid w:val="00A077B0"/>
    <w:pPr>
      <w:widowControl/>
      <w:pBdr>
        <w:bottom w:val="single" w:sz="4" w:space="0" w:color="auto"/>
      </w:pBdr>
      <w:spacing w:before="100" w:beforeAutospacing="1" w:after="100" w:afterAutospacing="1"/>
      <w:jc w:val="center"/>
      <w:textAlignment w:val="center"/>
    </w:pPr>
    <w:rPr>
      <w:kern w:val="0"/>
      <w:sz w:val="24"/>
      <w:szCs w:val="24"/>
      <w:lang w:eastAsia="zh-CN"/>
    </w:rPr>
  </w:style>
  <w:style w:type="paragraph" w:customStyle="1" w:styleId="xl151">
    <w:name w:val="xl151"/>
    <w:basedOn w:val="Normal"/>
    <w:uiPriority w:val="99"/>
    <w:rsid w:val="00A077B0"/>
    <w:pPr>
      <w:widowControl/>
      <w:pBdr>
        <w:top w:val="single" w:sz="4" w:space="0" w:color="auto"/>
        <w:left w:val="single" w:sz="4" w:space="0" w:color="auto"/>
        <w:bottom w:val="single" w:sz="4" w:space="0" w:color="auto"/>
      </w:pBdr>
      <w:spacing w:before="100" w:beforeAutospacing="1" w:after="100" w:afterAutospacing="1"/>
      <w:jc w:val="center"/>
      <w:textAlignment w:val="center"/>
    </w:pPr>
    <w:rPr>
      <w:b/>
      <w:bCs/>
      <w:kern w:val="0"/>
      <w:sz w:val="24"/>
      <w:szCs w:val="24"/>
      <w:lang w:eastAsia="zh-CN"/>
    </w:rPr>
  </w:style>
  <w:style w:type="paragraph" w:customStyle="1" w:styleId="xl152">
    <w:name w:val="xl152"/>
    <w:basedOn w:val="Normal"/>
    <w:uiPriority w:val="99"/>
    <w:rsid w:val="00A077B0"/>
    <w:pPr>
      <w:widowControl/>
      <w:pBdr>
        <w:top w:val="single" w:sz="4" w:space="0" w:color="auto"/>
        <w:bottom w:val="single" w:sz="4" w:space="0" w:color="auto"/>
        <w:right w:val="single" w:sz="8" w:space="0" w:color="auto"/>
      </w:pBdr>
      <w:spacing w:before="100" w:beforeAutospacing="1" w:after="100" w:afterAutospacing="1"/>
      <w:jc w:val="center"/>
    </w:pPr>
    <w:rPr>
      <w:kern w:val="0"/>
      <w:sz w:val="24"/>
      <w:szCs w:val="24"/>
      <w:lang w:eastAsia="zh-CN"/>
    </w:rPr>
  </w:style>
  <w:style w:type="character" w:customStyle="1" w:styleId="ccbntxtbold1">
    <w:name w:val="ccbntxtbold1"/>
    <w:uiPriority w:val="99"/>
    <w:rsid w:val="005136E0"/>
    <w:rPr>
      <w:b/>
      <w:color w:val="333333"/>
      <w:sz w:val="18"/>
    </w:rPr>
  </w:style>
  <w:style w:type="paragraph" w:customStyle="1" w:styleId="StyleParaNum">
    <w:name w:val="Style ParaNum +"/>
    <w:basedOn w:val="ParaNum"/>
    <w:link w:val="StyleParaNumChar"/>
    <w:autoRedefine/>
    <w:uiPriority w:val="99"/>
    <w:rsid w:val="00453DBF"/>
    <w:pPr>
      <w:tabs>
        <w:tab w:val="num" w:pos="360"/>
      </w:tabs>
      <w:ind w:left="360" w:hanging="360"/>
    </w:pPr>
    <w:rPr>
      <w:snapToGrid w:val="0"/>
      <w:kern w:val="0"/>
      <w:sz w:val="22"/>
    </w:rPr>
  </w:style>
  <w:style w:type="character" w:customStyle="1" w:styleId="StyleParaNumChar">
    <w:name w:val="Style ParaNum + Char"/>
    <w:link w:val="StyleParaNum"/>
    <w:uiPriority w:val="99"/>
    <w:locked/>
    <w:rsid w:val="00453DBF"/>
    <w:rPr>
      <w:snapToGrid w:val="0"/>
      <w:sz w:val="22"/>
      <w:lang w:val="en-US" w:eastAsia="en-US"/>
    </w:rPr>
  </w:style>
  <w:style w:type="character" w:customStyle="1" w:styleId="ccbnttl1">
    <w:name w:val="ccbnttl1"/>
    <w:uiPriority w:val="99"/>
    <w:rsid w:val="00F60E2A"/>
    <w:rPr>
      <w:rFonts w:ascii="Arial" w:hAnsi="Arial"/>
      <w:b/>
      <w:color w:val="330066"/>
      <w:sz w:val="14"/>
      <w:u w:val="none"/>
      <w:effect w:val="none"/>
      <w:shd w:val="clear" w:color="auto" w:fill="FFFFFF"/>
    </w:rPr>
  </w:style>
  <w:style w:type="character" w:customStyle="1" w:styleId="apple-converted-space">
    <w:name w:val="apple-converted-space"/>
    <w:basedOn w:val="DefaultParagraphFont"/>
    <w:uiPriority w:val="99"/>
    <w:rsid w:val="00C44088"/>
    <w:rPr>
      <w:rFonts w:cs="Times New Roman"/>
    </w:rPr>
  </w:style>
  <w:style w:type="paragraph" w:styleId="ListParagraph">
    <w:name w:val="List Paragraph"/>
    <w:basedOn w:val="Normal"/>
    <w:uiPriority w:val="99"/>
    <w:qFormat/>
    <w:rsid w:val="00FD2AB2"/>
    <w:pPr>
      <w:ind w:left="720"/>
    </w:pPr>
  </w:style>
  <w:style w:type="character" w:customStyle="1" w:styleId="byline">
    <w:name w:val="byline"/>
    <w:uiPriority w:val="99"/>
    <w:rsid w:val="006B68CA"/>
  </w:style>
  <w:style w:type="paragraph" w:styleId="TOCHeading">
    <w:name w:val="TOC Heading"/>
    <w:basedOn w:val="Heading1"/>
    <w:next w:val="Normal"/>
    <w:uiPriority w:val="99"/>
    <w:qFormat/>
    <w:rsid w:val="009C6585"/>
    <w:pPr>
      <w:keepLines/>
      <w:widowControl/>
      <w:tabs>
        <w:tab w:val="clear" w:pos="720"/>
      </w:tabs>
      <w:suppressAutoHyphens w:val="0"/>
      <w:spacing w:before="480" w:after="0" w:line="276" w:lineRule="auto"/>
      <w:ind w:left="0" w:firstLine="0"/>
      <w:outlineLvl w:val="9"/>
    </w:pPr>
    <w:rPr>
      <w:rFonts w:ascii="Cambria" w:eastAsia="MS Gothic" w:hAnsi="Cambria"/>
      <w:bCs/>
      <w:caps w:val="0"/>
      <w:color w:val="365F91"/>
      <w:kern w:val="0"/>
      <w:sz w:val="28"/>
      <w:szCs w:val="28"/>
      <w:lang w:eastAsia="ja-JP"/>
    </w:rPr>
  </w:style>
  <w:style w:type="paragraph" w:customStyle="1" w:styleId="ParaNum2">
    <w:name w:val="Para Num"/>
    <w:basedOn w:val="ParaNum"/>
    <w:link w:val="ParaNumChar0"/>
    <w:uiPriority w:val="99"/>
    <w:rsid w:val="00B45AAF"/>
    <w:rPr>
      <w:rFonts w:eastAsia="Times New Roman"/>
      <w:snapToGrid w:val="0"/>
      <w:sz w:val="22"/>
    </w:rPr>
  </w:style>
  <w:style w:type="character" w:customStyle="1" w:styleId="ParaNumChar0">
    <w:name w:val="Para Num Char"/>
    <w:link w:val="ParaNum2"/>
    <w:uiPriority w:val="99"/>
    <w:locked/>
    <w:rsid w:val="00B45AAF"/>
    <w:rPr>
      <w:rFonts w:eastAsia="Times New Roman"/>
      <w:snapToGrid w:val="0"/>
      <w:kern w:val="28"/>
      <w:sz w:val="22"/>
    </w:rPr>
  </w:style>
  <w:style w:type="paragraph" w:customStyle="1" w:styleId="ParaNum20">
    <w:name w:val="ParaNum2"/>
    <w:basedOn w:val="ParaNum"/>
    <w:link w:val="ParaNum2Char"/>
    <w:uiPriority w:val="99"/>
    <w:rsid w:val="00AD78E3"/>
    <w:pPr>
      <w:widowControl/>
      <w:tabs>
        <w:tab w:val="num" w:pos="720"/>
      </w:tabs>
      <w:ind w:left="720" w:hanging="720"/>
    </w:pPr>
    <w:rPr>
      <w:rFonts w:eastAsia="Times New Roman"/>
      <w:snapToGrid w:val="0"/>
      <w:sz w:val="22"/>
    </w:rPr>
  </w:style>
  <w:style w:type="character" w:customStyle="1" w:styleId="ParaNum2Char">
    <w:name w:val="ParaNum2 Char"/>
    <w:link w:val="ParaNum20"/>
    <w:uiPriority w:val="99"/>
    <w:locked/>
    <w:rsid w:val="00AD78E3"/>
    <w:rPr>
      <w:rFonts w:eastAsia="Times New Roman"/>
      <w:snapToGrid w:val="0"/>
      <w:kern w:val="28"/>
      <w:sz w:val="22"/>
    </w:rPr>
  </w:style>
  <w:style w:type="character" w:customStyle="1" w:styleId="article-meta-name">
    <w:name w:val="article-meta-name"/>
    <w:uiPriority w:val="99"/>
    <w:rsid w:val="00AD78E3"/>
  </w:style>
  <w:style w:type="paragraph" w:customStyle="1" w:styleId="xl153">
    <w:name w:val="xl153"/>
    <w:basedOn w:val="Normal"/>
    <w:uiPriority w:val="99"/>
    <w:rsid w:val="007D172A"/>
    <w:pPr>
      <w:widowControl/>
      <w:pBdr>
        <w:top w:val="single" w:sz="8" w:space="0" w:color="auto"/>
        <w:bottom w:val="single" w:sz="4" w:space="0" w:color="auto"/>
        <w:right w:val="single" w:sz="4" w:space="0" w:color="auto"/>
      </w:pBdr>
      <w:spacing w:before="100" w:beforeAutospacing="1" w:after="100" w:afterAutospacing="1"/>
      <w:jc w:val="center"/>
      <w:textAlignment w:val="center"/>
    </w:pPr>
    <w:rPr>
      <w:kern w:val="0"/>
      <w:sz w:val="24"/>
      <w:szCs w:val="24"/>
    </w:rPr>
  </w:style>
  <w:style w:type="paragraph" w:customStyle="1" w:styleId="xl154">
    <w:name w:val="xl154"/>
    <w:basedOn w:val="Normal"/>
    <w:uiPriority w:val="99"/>
    <w:rsid w:val="007D172A"/>
    <w:pPr>
      <w:widowControl/>
      <w:pBdr>
        <w:top w:val="single" w:sz="4" w:space="0" w:color="auto"/>
        <w:left w:val="single" w:sz="4" w:space="0" w:color="auto"/>
        <w:right w:val="single" w:sz="4" w:space="0" w:color="auto"/>
      </w:pBdr>
      <w:spacing w:before="100" w:beforeAutospacing="1" w:after="100" w:afterAutospacing="1"/>
      <w:jc w:val="center"/>
      <w:textAlignment w:val="center"/>
    </w:pPr>
    <w:rPr>
      <w:b/>
      <w:bCs/>
      <w:kern w:val="0"/>
      <w:sz w:val="24"/>
      <w:szCs w:val="24"/>
    </w:rPr>
  </w:style>
  <w:style w:type="paragraph" w:customStyle="1" w:styleId="xl155">
    <w:name w:val="xl155"/>
    <w:basedOn w:val="Normal"/>
    <w:uiPriority w:val="99"/>
    <w:rsid w:val="007D172A"/>
    <w:pPr>
      <w:widowControl/>
      <w:pBdr>
        <w:left w:val="single" w:sz="4" w:space="0" w:color="auto"/>
        <w:bottom w:val="single" w:sz="4" w:space="0" w:color="auto"/>
        <w:right w:val="single" w:sz="4" w:space="0" w:color="auto"/>
      </w:pBdr>
      <w:spacing w:before="100" w:beforeAutospacing="1" w:after="100" w:afterAutospacing="1"/>
      <w:jc w:val="center"/>
      <w:textAlignment w:val="center"/>
    </w:pPr>
    <w:rPr>
      <w:b/>
      <w:bCs/>
      <w:kern w:val="0"/>
      <w:sz w:val="24"/>
      <w:szCs w:val="24"/>
    </w:rPr>
  </w:style>
  <w:style w:type="paragraph" w:customStyle="1" w:styleId="xl156">
    <w:name w:val="xl156"/>
    <w:basedOn w:val="Normal"/>
    <w:uiPriority w:val="99"/>
    <w:rsid w:val="007D172A"/>
    <w:pPr>
      <w:widowControl/>
      <w:pBdr>
        <w:top w:val="single" w:sz="4" w:space="0" w:color="auto"/>
      </w:pBdr>
      <w:spacing w:before="100" w:beforeAutospacing="1" w:after="100" w:afterAutospacing="1"/>
      <w:jc w:val="center"/>
      <w:textAlignment w:val="center"/>
    </w:pPr>
    <w:rPr>
      <w:b/>
      <w:bCs/>
      <w:kern w:val="0"/>
      <w:sz w:val="24"/>
      <w:szCs w:val="24"/>
    </w:rPr>
  </w:style>
  <w:style w:type="paragraph" w:customStyle="1" w:styleId="xl157">
    <w:name w:val="xl157"/>
    <w:basedOn w:val="Normal"/>
    <w:uiPriority w:val="99"/>
    <w:rsid w:val="007D172A"/>
    <w:pPr>
      <w:widowControl/>
      <w:pBdr>
        <w:top w:val="single" w:sz="4" w:space="0" w:color="auto"/>
        <w:right w:val="single" w:sz="4" w:space="0" w:color="auto"/>
      </w:pBdr>
      <w:spacing w:before="100" w:beforeAutospacing="1" w:after="100" w:afterAutospacing="1"/>
      <w:jc w:val="center"/>
      <w:textAlignment w:val="center"/>
    </w:pPr>
    <w:rPr>
      <w:b/>
      <w:bCs/>
      <w:kern w:val="0"/>
      <w:sz w:val="24"/>
      <w:szCs w:val="24"/>
    </w:rPr>
  </w:style>
  <w:style w:type="paragraph" w:customStyle="1" w:styleId="xl158">
    <w:name w:val="xl158"/>
    <w:basedOn w:val="Normal"/>
    <w:uiPriority w:val="99"/>
    <w:rsid w:val="007D172A"/>
    <w:pPr>
      <w:widowControl/>
      <w:pBdr>
        <w:bottom w:val="single" w:sz="4" w:space="0" w:color="auto"/>
      </w:pBdr>
      <w:spacing w:before="100" w:beforeAutospacing="1" w:after="100" w:afterAutospacing="1"/>
      <w:jc w:val="center"/>
      <w:textAlignment w:val="center"/>
    </w:pPr>
    <w:rPr>
      <w:b/>
      <w:bCs/>
      <w:kern w:val="0"/>
      <w:sz w:val="24"/>
      <w:szCs w:val="24"/>
    </w:rPr>
  </w:style>
  <w:style w:type="paragraph" w:customStyle="1" w:styleId="xl159">
    <w:name w:val="xl159"/>
    <w:basedOn w:val="Normal"/>
    <w:uiPriority w:val="99"/>
    <w:rsid w:val="007D172A"/>
    <w:pPr>
      <w:widowControl/>
      <w:pBdr>
        <w:bottom w:val="single" w:sz="4" w:space="0" w:color="auto"/>
      </w:pBdr>
      <w:spacing w:before="100" w:beforeAutospacing="1" w:after="100" w:afterAutospacing="1"/>
      <w:jc w:val="center"/>
      <w:textAlignment w:val="center"/>
    </w:pPr>
    <w:rPr>
      <w:kern w:val="0"/>
      <w:sz w:val="24"/>
      <w:szCs w:val="24"/>
    </w:rPr>
  </w:style>
  <w:style w:type="paragraph" w:customStyle="1" w:styleId="xl160">
    <w:name w:val="xl160"/>
    <w:basedOn w:val="Normal"/>
    <w:uiPriority w:val="99"/>
    <w:rsid w:val="007D172A"/>
    <w:pPr>
      <w:widowControl/>
      <w:pBdr>
        <w:left w:val="single" w:sz="4" w:space="0" w:color="auto"/>
        <w:bottom w:val="single" w:sz="4" w:space="0" w:color="auto"/>
      </w:pBdr>
      <w:spacing w:before="100" w:beforeAutospacing="1" w:after="100" w:afterAutospacing="1"/>
      <w:jc w:val="center"/>
      <w:textAlignment w:val="center"/>
    </w:pPr>
    <w:rPr>
      <w:b/>
      <w:bCs/>
      <w:kern w:val="0"/>
      <w:sz w:val="24"/>
      <w:szCs w:val="24"/>
    </w:rPr>
  </w:style>
  <w:style w:type="paragraph" w:customStyle="1" w:styleId="xl161">
    <w:name w:val="xl161"/>
    <w:basedOn w:val="Normal"/>
    <w:uiPriority w:val="99"/>
    <w:rsid w:val="007D172A"/>
    <w:pPr>
      <w:widowControl/>
      <w:pBdr>
        <w:bottom w:val="single" w:sz="4" w:space="0" w:color="auto"/>
      </w:pBdr>
      <w:spacing w:before="100" w:beforeAutospacing="1" w:after="100" w:afterAutospacing="1"/>
      <w:jc w:val="center"/>
    </w:pPr>
    <w:rPr>
      <w:kern w:val="0"/>
      <w:sz w:val="24"/>
      <w:szCs w:val="24"/>
    </w:rPr>
  </w:style>
  <w:style w:type="paragraph" w:customStyle="1" w:styleId="xl162">
    <w:name w:val="xl162"/>
    <w:basedOn w:val="Normal"/>
    <w:uiPriority w:val="99"/>
    <w:rsid w:val="007D172A"/>
    <w:pPr>
      <w:widowControl/>
      <w:pBdr>
        <w:top w:val="single" w:sz="4" w:space="0" w:color="auto"/>
        <w:left w:val="single" w:sz="4" w:space="0" w:color="auto"/>
        <w:bottom w:val="single" w:sz="4" w:space="0" w:color="auto"/>
      </w:pBdr>
      <w:spacing w:before="100" w:beforeAutospacing="1" w:after="100" w:afterAutospacing="1"/>
      <w:jc w:val="center"/>
    </w:pPr>
    <w:rPr>
      <w:b/>
      <w:bCs/>
      <w:kern w:val="0"/>
      <w:sz w:val="24"/>
      <w:szCs w:val="24"/>
    </w:rPr>
  </w:style>
  <w:style w:type="paragraph" w:customStyle="1" w:styleId="xl163">
    <w:name w:val="xl163"/>
    <w:basedOn w:val="Normal"/>
    <w:uiPriority w:val="99"/>
    <w:rsid w:val="007D172A"/>
    <w:pPr>
      <w:widowControl/>
      <w:pBdr>
        <w:top w:val="single" w:sz="4" w:space="0" w:color="auto"/>
        <w:bottom w:val="single" w:sz="4" w:space="0" w:color="auto"/>
        <w:right w:val="single" w:sz="4" w:space="0" w:color="auto"/>
      </w:pBdr>
      <w:spacing w:before="100" w:beforeAutospacing="1" w:after="100" w:afterAutospacing="1"/>
      <w:jc w:val="center"/>
    </w:pPr>
    <w:rPr>
      <w:kern w:val="0"/>
      <w:sz w:val="24"/>
      <w:szCs w:val="24"/>
    </w:rPr>
  </w:style>
  <w:style w:type="paragraph" w:customStyle="1" w:styleId="xl164">
    <w:name w:val="xl164"/>
    <w:basedOn w:val="Normal"/>
    <w:uiPriority w:val="99"/>
    <w:rsid w:val="007D172A"/>
    <w:pPr>
      <w:widowControl/>
      <w:pBdr>
        <w:bottom w:val="single" w:sz="4" w:space="0" w:color="auto"/>
        <w:right w:val="single" w:sz="4" w:space="0" w:color="auto"/>
      </w:pBdr>
      <w:spacing w:before="100" w:beforeAutospacing="1" w:after="100" w:afterAutospacing="1"/>
      <w:jc w:val="center"/>
      <w:textAlignment w:val="center"/>
    </w:pPr>
    <w:rPr>
      <w:kern w:val="0"/>
      <w:sz w:val="24"/>
      <w:szCs w:val="24"/>
    </w:rPr>
  </w:style>
  <w:style w:type="paragraph" w:customStyle="1" w:styleId="xl165">
    <w:name w:val="xl165"/>
    <w:basedOn w:val="Normal"/>
    <w:uiPriority w:val="99"/>
    <w:rsid w:val="007D172A"/>
    <w:pPr>
      <w:widowControl/>
      <w:pBdr>
        <w:bottom w:val="single" w:sz="4" w:space="0" w:color="auto"/>
      </w:pBdr>
      <w:spacing w:before="100" w:beforeAutospacing="1" w:after="100" w:afterAutospacing="1"/>
      <w:jc w:val="center"/>
      <w:textAlignment w:val="center"/>
    </w:pPr>
    <w:rPr>
      <w:kern w:val="0"/>
      <w:sz w:val="24"/>
      <w:szCs w:val="24"/>
    </w:rPr>
  </w:style>
  <w:style w:type="character" w:customStyle="1" w:styleId="FootnoteTextChar2Char2">
    <w:name w:val="Footnote Text Char2 Char2"/>
    <w:aliases w:val="Footnote Text Char1 Char Char2 Char1,Footnote Text Char Char Char Char2 Char1,Footnote Text Char2 Char1 Char Char Char2 Char1,Footnote Text Char1 Char Char1 Char Char1 Char2 Char1,fn Char2"/>
    <w:uiPriority w:val="99"/>
    <w:locked/>
    <w:rsid w:val="00E20CCE"/>
    <w:rPr>
      <w:snapToGrid w:val="0"/>
      <w:kern w:val="28"/>
    </w:rPr>
  </w:style>
  <w:style w:type="character" w:customStyle="1" w:styleId="Normal11">
    <w:name w:val="Normal11"/>
    <w:uiPriority w:val="99"/>
    <w:rsid w:val="00E20CCE"/>
    <w:rPr>
      <w:rFonts w:ascii="Times New Roman" w:hAnsi="Times New Roman"/>
      <w:sz w:val="22"/>
      <w:lang w:val="en-US"/>
    </w:rPr>
  </w:style>
  <w:style w:type="character" w:customStyle="1" w:styleId="CharChar92">
    <w:name w:val="Char Char92"/>
    <w:uiPriority w:val="99"/>
    <w:rsid w:val="00E20CCE"/>
    <w:rPr>
      <w:rFonts w:ascii="Times New Roman Bold" w:hAnsi="Times New Roman Bold"/>
      <w:b/>
      <w:caps/>
      <w:snapToGrid w:val="0"/>
      <w:kern w:val="28"/>
      <w:sz w:val="22"/>
      <w:lang w:val="en-US" w:eastAsia="en-US"/>
    </w:rPr>
  </w:style>
  <w:style w:type="character" w:customStyle="1" w:styleId="CharChar72">
    <w:name w:val="Char Char72"/>
    <w:uiPriority w:val="99"/>
    <w:rsid w:val="00E20CCE"/>
    <w:rPr>
      <w:b/>
      <w:snapToGrid w:val="0"/>
      <w:kern w:val="28"/>
      <w:sz w:val="22"/>
      <w:lang w:val="en-US" w:eastAsia="en-US"/>
    </w:rPr>
  </w:style>
  <w:style w:type="character" w:customStyle="1" w:styleId="CharChar62">
    <w:name w:val="Char Char62"/>
    <w:uiPriority w:val="99"/>
    <w:rsid w:val="00E20CCE"/>
    <w:rPr>
      <w:b/>
      <w:snapToGrid w:val="0"/>
      <w:kern w:val="28"/>
      <w:sz w:val="22"/>
      <w:lang w:val="en-US" w:eastAsia="en-US"/>
    </w:rPr>
  </w:style>
  <w:style w:type="character" w:customStyle="1" w:styleId="CharChar82">
    <w:name w:val="Char Char82"/>
    <w:uiPriority w:val="99"/>
    <w:rsid w:val="00E20CCE"/>
    <w:rPr>
      <w:b/>
      <w:snapToGrid w:val="0"/>
      <w:kern w:val="28"/>
      <w:sz w:val="22"/>
      <w:lang w:val="en-US" w:eastAsia="en-US"/>
    </w:rPr>
  </w:style>
  <w:style w:type="character" w:customStyle="1" w:styleId="CharChar102">
    <w:name w:val="Char Char102"/>
    <w:uiPriority w:val="99"/>
    <w:rsid w:val="00E20CCE"/>
    <w:rPr>
      <w:rFonts w:ascii="Times New Roman Bold" w:hAnsi="Times New Roman Bold"/>
      <w:b/>
      <w:caps/>
      <w:snapToGrid w:val="0"/>
      <w:kern w:val="28"/>
      <w:sz w:val="22"/>
      <w:lang w:val="en-US" w:eastAsia="en-US"/>
    </w:rPr>
  </w:style>
  <w:style w:type="character" w:customStyle="1" w:styleId="CharChar212">
    <w:name w:val="Char Char212"/>
    <w:uiPriority w:val="99"/>
    <w:rsid w:val="00E20CCE"/>
    <w:rPr>
      <w:rFonts w:ascii="Times New Roman Bold" w:hAnsi="Times New Roman Bold"/>
      <w:b/>
      <w:caps/>
      <w:snapToGrid w:val="0"/>
      <w:kern w:val="28"/>
      <w:sz w:val="22"/>
      <w:lang w:val="en-US" w:eastAsia="en-US"/>
    </w:rPr>
  </w:style>
  <w:style w:type="character" w:customStyle="1" w:styleId="CharChar202">
    <w:name w:val="Char Char202"/>
    <w:uiPriority w:val="99"/>
    <w:rsid w:val="00E20CCE"/>
    <w:rPr>
      <w:b/>
      <w:snapToGrid w:val="0"/>
      <w:kern w:val="28"/>
      <w:sz w:val="22"/>
      <w:lang w:val="en-US" w:eastAsia="en-US"/>
    </w:rPr>
  </w:style>
  <w:style w:type="character" w:customStyle="1" w:styleId="CharChar192">
    <w:name w:val="Char Char192"/>
    <w:uiPriority w:val="99"/>
    <w:rsid w:val="00E20CCE"/>
    <w:rPr>
      <w:b/>
      <w:snapToGrid w:val="0"/>
      <w:kern w:val="28"/>
      <w:sz w:val="22"/>
      <w:lang w:val="en-US" w:eastAsia="en-US"/>
    </w:rPr>
  </w:style>
  <w:style w:type="character" w:customStyle="1" w:styleId="CharChar182">
    <w:name w:val="Char Char182"/>
    <w:uiPriority w:val="99"/>
    <w:rsid w:val="00E20CCE"/>
    <w:rPr>
      <w:b/>
      <w:snapToGrid w:val="0"/>
      <w:kern w:val="28"/>
      <w:sz w:val="22"/>
      <w:lang w:val="en-US" w:eastAsia="en-US"/>
    </w:rPr>
  </w:style>
  <w:style w:type="character" w:customStyle="1" w:styleId="CharChar172">
    <w:name w:val="Char Char172"/>
    <w:uiPriority w:val="99"/>
    <w:rsid w:val="00E20CCE"/>
    <w:rPr>
      <w:b/>
      <w:snapToGrid w:val="0"/>
      <w:kern w:val="28"/>
      <w:sz w:val="22"/>
      <w:lang w:val="en-US" w:eastAsia="en-US"/>
    </w:rPr>
  </w:style>
  <w:style w:type="character" w:customStyle="1" w:styleId="CharChar162">
    <w:name w:val="Char Char162"/>
    <w:uiPriority w:val="99"/>
    <w:locked/>
    <w:rsid w:val="00E20CCE"/>
    <w:rPr>
      <w:b/>
      <w:snapToGrid w:val="0"/>
      <w:kern w:val="28"/>
      <w:sz w:val="22"/>
      <w:lang w:val="en-US" w:eastAsia="en-US"/>
    </w:rPr>
  </w:style>
  <w:style w:type="character" w:customStyle="1" w:styleId="CharChar152">
    <w:name w:val="Char Char152"/>
    <w:uiPriority w:val="99"/>
    <w:locked/>
    <w:rsid w:val="00E20CCE"/>
    <w:rPr>
      <w:b/>
      <w:snapToGrid w:val="0"/>
      <w:kern w:val="28"/>
      <w:sz w:val="22"/>
      <w:lang w:val="en-US" w:eastAsia="en-US"/>
    </w:rPr>
  </w:style>
  <w:style w:type="character" w:customStyle="1" w:styleId="CharChar142">
    <w:name w:val="Char Char142"/>
    <w:uiPriority w:val="99"/>
    <w:locked/>
    <w:rsid w:val="00E20CCE"/>
    <w:rPr>
      <w:b/>
      <w:snapToGrid w:val="0"/>
      <w:kern w:val="28"/>
      <w:sz w:val="22"/>
      <w:lang w:val="en-US" w:eastAsia="en-US"/>
    </w:rPr>
  </w:style>
  <w:style w:type="character" w:customStyle="1" w:styleId="CharChar132">
    <w:name w:val="Char Char132"/>
    <w:uiPriority w:val="99"/>
    <w:locked/>
    <w:rsid w:val="00E20CCE"/>
    <w:rPr>
      <w:b/>
      <w:snapToGrid w:val="0"/>
      <w:kern w:val="28"/>
      <w:sz w:val="22"/>
      <w:lang w:val="en-US" w:eastAsia="en-US"/>
    </w:rPr>
  </w:style>
  <w:style w:type="character" w:customStyle="1" w:styleId="CharChar112">
    <w:name w:val="Char Char112"/>
    <w:uiPriority w:val="99"/>
    <w:rsid w:val="00E20CCE"/>
    <w:rPr>
      <w:caps/>
      <w:noProof/>
      <w:snapToGrid w:val="0"/>
      <w:kern w:val="28"/>
      <w:sz w:val="22"/>
      <w:lang w:val="en-US" w:eastAsia="en-US"/>
    </w:rPr>
  </w:style>
  <w:style w:type="character" w:customStyle="1" w:styleId="Normal2">
    <w:name w:val="Normal2"/>
    <w:uiPriority w:val="99"/>
    <w:rsid w:val="00E20CCE"/>
    <w:rPr>
      <w:rFonts w:ascii="Times New Roman" w:hAnsi="Times New Roman"/>
      <w:sz w:val="22"/>
      <w:lang w:val="en-US"/>
    </w:rPr>
  </w:style>
  <w:style w:type="character" w:customStyle="1" w:styleId="CharChar91">
    <w:name w:val="Char Char91"/>
    <w:uiPriority w:val="99"/>
    <w:rsid w:val="00E20CCE"/>
    <w:rPr>
      <w:rFonts w:ascii="Times New Roman Bold" w:hAnsi="Times New Roman Bold"/>
      <w:b/>
      <w:caps/>
      <w:snapToGrid w:val="0"/>
      <w:kern w:val="28"/>
      <w:sz w:val="22"/>
      <w:lang w:val="en-US" w:eastAsia="en-US"/>
    </w:rPr>
  </w:style>
  <w:style w:type="character" w:customStyle="1" w:styleId="CharChar71">
    <w:name w:val="Char Char71"/>
    <w:uiPriority w:val="99"/>
    <w:rsid w:val="00E20CCE"/>
    <w:rPr>
      <w:b/>
      <w:snapToGrid w:val="0"/>
      <w:kern w:val="28"/>
      <w:sz w:val="22"/>
      <w:lang w:val="en-US" w:eastAsia="en-US"/>
    </w:rPr>
  </w:style>
  <w:style w:type="character" w:customStyle="1" w:styleId="CharChar61">
    <w:name w:val="Char Char61"/>
    <w:uiPriority w:val="99"/>
    <w:rsid w:val="00E20CCE"/>
    <w:rPr>
      <w:b/>
      <w:snapToGrid w:val="0"/>
      <w:kern w:val="28"/>
      <w:sz w:val="22"/>
      <w:lang w:val="en-US" w:eastAsia="en-US"/>
    </w:rPr>
  </w:style>
  <w:style w:type="character" w:customStyle="1" w:styleId="CharChar81">
    <w:name w:val="Char Char81"/>
    <w:uiPriority w:val="99"/>
    <w:rsid w:val="00E20CCE"/>
    <w:rPr>
      <w:b/>
      <w:snapToGrid w:val="0"/>
      <w:kern w:val="28"/>
      <w:sz w:val="22"/>
      <w:lang w:val="en-US" w:eastAsia="en-US"/>
    </w:rPr>
  </w:style>
  <w:style w:type="character" w:customStyle="1" w:styleId="CharChar101">
    <w:name w:val="Char Char101"/>
    <w:uiPriority w:val="99"/>
    <w:rsid w:val="00E20CCE"/>
    <w:rPr>
      <w:rFonts w:ascii="Times New Roman Bold" w:hAnsi="Times New Roman Bold"/>
      <w:b/>
      <w:caps/>
      <w:snapToGrid w:val="0"/>
      <w:kern w:val="28"/>
      <w:sz w:val="22"/>
      <w:lang w:val="en-US" w:eastAsia="en-US"/>
    </w:rPr>
  </w:style>
  <w:style w:type="character" w:customStyle="1" w:styleId="CharChar211">
    <w:name w:val="Char Char211"/>
    <w:uiPriority w:val="99"/>
    <w:rsid w:val="00E20CCE"/>
    <w:rPr>
      <w:rFonts w:ascii="Times New Roman Bold" w:hAnsi="Times New Roman Bold"/>
      <w:b/>
      <w:caps/>
      <w:snapToGrid w:val="0"/>
      <w:kern w:val="28"/>
      <w:sz w:val="22"/>
      <w:lang w:val="en-US" w:eastAsia="en-US"/>
    </w:rPr>
  </w:style>
  <w:style w:type="character" w:customStyle="1" w:styleId="CharChar201">
    <w:name w:val="Char Char201"/>
    <w:uiPriority w:val="99"/>
    <w:rsid w:val="00E20CCE"/>
    <w:rPr>
      <w:b/>
      <w:snapToGrid w:val="0"/>
      <w:kern w:val="28"/>
      <w:sz w:val="22"/>
      <w:lang w:val="en-US" w:eastAsia="en-US"/>
    </w:rPr>
  </w:style>
  <w:style w:type="character" w:customStyle="1" w:styleId="CharChar191">
    <w:name w:val="Char Char191"/>
    <w:uiPriority w:val="99"/>
    <w:rsid w:val="00E20CCE"/>
    <w:rPr>
      <w:b/>
      <w:snapToGrid w:val="0"/>
      <w:kern w:val="28"/>
      <w:sz w:val="22"/>
      <w:lang w:val="en-US" w:eastAsia="en-US"/>
    </w:rPr>
  </w:style>
  <w:style w:type="character" w:customStyle="1" w:styleId="CharChar181">
    <w:name w:val="Char Char181"/>
    <w:uiPriority w:val="99"/>
    <w:rsid w:val="00E20CCE"/>
    <w:rPr>
      <w:b/>
      <w:snapToGrid w:val="0"/>
      <w:kern w:val="28"/>
      <w:sz w:val="22"/>
      <w:lang w:val="en-US" w:eastAsia="en-US"/>
    </w:rPr>
  </w:style>
  <w:style w:type="character" w:customStyle="1" w:styleId="CharChar171">
    <w:name w:val="Char Char171"/>
    <w:uiPriority w:val="99"/>
    <w:rsid w:val="00E20CCE"/>
    <w:rPr>
      <w:b/>
      <w:snapToGrid w:val="0"/>
      <w:kern w:val="28"/>
      <w:sz w:val="22"/>
      <w:lang w:val="en-US" w:eastAsia="en-US"/>
    </w:rPr>
  </w:style>
  <w:style w:type="character" w:customStyle="1" w:styleId="CharChar161">
    <w:name w:val="Char Char161"/>
    <w:uiPriority w:val="99"/>
    <w:locked/>
    <w:rsid w:val="00E20CCE"/>
    <w:rPr>
      <w:b/>
      <w:snapToGrid w:val="0"/>
      <w:kern w:val="28"/>
      <w:sz w:val="22"/>
      <w:lang w:val="en-US" w:eastAsia="en-US"/>
    </w:rPr>
  </w:style>
  <w:style w:type="character" w:customStyle="1" w:styleId="CharChar151">
    <w:name w:val="Char Char151"/>
    <w:uiPriority w:val="99"/>
    <w:locked/>
    <w:rsid w:val="00E20CCE"/>
    <w:rPr>
      <w:b/>
      <w:snapToGrid w:val="0"/>
      <w:kern w:val="28"/>
      <w:sz w:val="22"/>
      <w:lang w:val="en-US" w:eastAsia="en-US"/>
    </w:rPr>
  </w:style>
  <w:style w:type="character" w:customStyle="1" w:styleId="CharChar141">
    <w:name w:val="Char Char141"/>
    <w:uiPriority w:val="99"/>
    <w:locked/>
    <w:rsid w:val="00E20CCE"/>
    <w:rPr>
      <w:b/>
      <w:snapToGrid w:val="0"/>
      <w:kern w:val="28"/>
      <w:sz w:val="22"/>
      <w:lang w:val="en-US" w:eastAsia="en-US"/>
    </w:rPr>
  </w:style>
  <w:style w:type="character" w:customStyle="1" w:styleId="CharChar131">
    <w:name w:val="Char Char131"/>
    <w:uiPriority w:val="99"/>
    <w:locked/>
    <w:rsid w:val="00E20CCE"/>
    <w:rPr>
      <w:b/>
      <w:snapToGrid w:val="0"/>
      <w:kern w:val="28"/>
      <w:sz w:val="22"/>
      <w:lang w:val="en-US" w:eastAsia="en-US"/>
    </w:rPr>
  </w:style>
  <w:style w:type="character" w:customStyle="1" w:styleId="CharChar111">
    <w:name w:val="Char Char111"/>
    <w:uiPriority w:val="99"/>
    <w:rsid w:val="00E20CCE"/>
    <w:rPr>
      <w:caps/>
      <w:noProof/>
      <w:snapToGrid w:val="0"/>
      <w:kern w:val="28"/>
      <w:sz w:val="22"/>
      <w:lang w:val="en-US" w:eastAsia="en-US"/>
    </w:rPr>
  </w:style>
  <w:style w:type="character" w:customStyle="1" w:styleId="FootnoteTextChar6">
    <w:name w:val="Footnote Text Char6"/>
    <w:aliases w:val="Footnote Text Char1 Char2,Footnote Text Char3 Char Char2,Footnote Text Char2 Char Char Char2,Footnote Text Char Char1 Char Char Char2,Footnote Text Char2 Char Char1 Char Char Char2,Footnote Text Char Char1 Char Char Char Char Char2"/>
    <w:uiPriority w:val="99"/>
    <w:locked/>
    <w:rsid w:val="00E20CCE"/>
    <w:rPr>
      <w:lang w:val="en-US" w:eastAsia="en-US"/>
    </w:rPr>
  </w:style>
  <w:style w:type="character" w:customStyle="1" w:styleId="A7">
    <w:name w:val="A7"/>
    <w:uiPriority w:val="99"/>
    <w:rsid w:val="002D5B2D"/>
    <w:rPr>
      <w:color w:val="211D1E"/>
      <w:sz w:val="20"/>
    </w:rPr>
  </w:style>
  <w:style w:type="character" w:customStyle="1" w:styleId="FootnoteTextChar5CharCharChar">
    <w:name w:val="Footnote Text Char5 Char Char Char"/>
    <w:aliases w:val="Footnote Text Char Char Char Char Char,Footnote Text Char4 Char Char1 Char Char Char,Footnote Text Char2 Char Char2 Char2 Char Char Char"/>
    <w:uiPriority w:val="99"/>
    <w:semiHidden/>
    <w:locked/>
    <w:rsid w:val="002D5B2D"/>
    <w:rPr>
      <w:lang w:val="en-US" w:eastAsia="en-US"/>
    </w:rPr>
  </w:style>
  <w:style w:type="character" w:customStyle="1" w:styleId="FootnoteTextChar4">
    <w:name w:val="Footnote Text Char4"/>
    <w:aliases w:val="Footnote Text Char Char2,Footnote Text Char1 Char Char2,Footnote Text Char Char Char Char2,Footnote Text Char2 Char1 Char Char Char2,Footnote Text Char1 Char Char1 Char Char1 Char2,Footnote Text Char Char Char Char1 Char Char1 Char2"/>
    <w:uiPriority w:val="99"/>
    <w:locked/>
    <w:rsid w:val="00991AD6"/>
    <w:rPr>
      <w:rFonts w:eastAsia="Times New Roman"/>
      <w:lang w:val="en-US" w:eastAsia="en-US"/>
    </w:rPr>
  </w:style>
  <w:style w:type="character" w:customStyle="1" w:styleId="CommentTextChar1">
    <w:name w:val="Comment Text Char1"/>
    <w:uiPriority w:val="99"/>
    <w:locked/>
    <w:rsid w:val="009D2F05"/>
    <w:rPr>
      <w:snapToGrid w:val="0"/>
      <w:kern w:val="28"/>
    </w:rPr>
  </w:style>
  <w:style w:type="character" w:customStyle="1" w:styleId="CharChar2">
    <w:name w:val="Char Char2"/>
    <w:uiPriority w:val="99"/>
    <w:locked/>
    <w:rsid w:val="00380F52"/>
    <w:rPr>
      <w:rFonts w:eastAsia="SimSun"/>
      <w:kern w:val="28"/>
      <w:lang w:val="en-US" w:eastAsia="en-US"/>
    </w:rPr>
  </w:style>
  <w:style w:type="character" w:customStyle="1" w:styleId="FootnoteTextChar1CharChar8">
    <w:name w:val="Footnote Text Char1 Char Char8"/>
    <w:aliases w:val="Footnote Text Char Char Char Char8,Footnote Text Char2 Char1 Char Char Char8,Footnote Text Char1 Char Char1 Char Char1 Char8,Footnote Text Char Char Char Char1 Char Char1 Char8,Footnote Text Char1 Char1"/>
    <w:basedOn w:val="DefaultParagraphFont"/>
    <w:uiPriority w:val="99"/>
    <w:semiHidden/>
    <w:rsid w:val="00F040D6"/>
    <w:rPr>
      <w:rFonts w:cs="Times New Roman"/>
      <w:sz w:val="20"/>
      <w:szCs w:val="20"/>
    </w:rPr>
  </w:style>
  <w:style w:type="character" w:customStyle="1" w:styleId="msodel0">
    <w:name w:val="msodel"/>
    <w:uiPriority w:val="99"/>
    <w:rsid w:val="00D13D8E"/>
  </w:style>
  <w:style w:type="character" w:customStyle="1" w:styleId="msoins0">
    <w:name w:val="msoins"/>
    <w:uiPriority w:val="99"/>
    <w:rsid w:val="00D13D8E"/>
  </w:style>
  <w:style w:type="paragraph" w:styleId="Subtitle">
    <w:name w:val="Subtitle"/>
    <w:basedOn w:val="Normal"/>
    <w:next w:val="Normal"/>
    <w:link w:val="SubtitleChar"/>
    <w:uiPriority w:val="99"/>
    <w:qFormat/>
    <w:rsid w:val="00493CD2"/>
    <w:pPr>
      <w:spacing w:after="60"/>
      <w:jc w:val="center"/>
      <w:outlineLvl w:val="1"/>
    </w:pPr>
    <w:rPr>
      <w:rFonts w:ascii="Cambria" w:hAnsi="Cambria"/>
      <w:sz w:val="24"/>
      <w:szCs w:val="24"/>
    </w:rPr>
  </w:style>
  <w:style w:type="character" w:customStyle="1" w:styleId="SubtitleChar">
    <w:name w:val="Subtitle Char"/>
    <w:basedOn w:val="DefaultParagraphFont"/>
    <w:link w:val="Subtitle"/>
    <w:uiPriority w:val="99"/>
    <w:locked/>
    <w:rsid w:val="00493CD2"/>
    <w:rPr>
      <w:rFonts w:ascii="Cambria" w:hAnsi="Cambria" w:cs="Times New Roman"/>
      <w:kern w:val="28"/>
      <w:sz w:val="24"/>
      <w:szCs w:val="24"/>
    </w:rPr>
  </w:style>
  <w:style w:type="character" w:customStyle="1" w:styleId="CharChar1">
    <w:name w:val="Char Char1"/>
    <w:uiPriority w:val="99"/>
    <w:locked/>
    <w:rsid w:val="00CB0EFA"/>
    <w:rPr>
      <w:rFonts w:eastAsia="SimSun"/>
      <w:kern w:val="28"/>
      <w:lang w:val="en-US" w:eastAsia="en-US"/>
    </w:rPr>
  </w:style>
  <w:style w:type="numbering" w:customStyle="1" w:styleId="NoList1">
    <w:name w:val="No List1"/>
    <w:next w:val="NoList"/>
    <w:uiPriority w:val="99"/>
    <w:semiHidden/>
    <w:unhideWhenUsed/>
    <w:rsid w:val="00C81B24"/>
  </w:style>
  <w:style w:type="table" w:customStyle="1" w:styleId="TableGrid2">
    <w:name w:val="Table Grid2"/>
    <w:basedOn w:val="TableNormal"/>
    <w:next w:val="TableGrid"/>
    <w:uiPriority w:val="99"/>
    <w:rsid w:val="00C81B24"/>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
    <w:name w:val="Table Grid11"/>
    <w:uiPriority w:val="99"/>
    <w:rsid w:val="00C81B24"/>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CharChar">
    <w:name w:val="Char Char"/>
    <w:uiPriority w:val="99"/>
    <w:locked/>
    <w:rsid w:val="00C81B24"/>
    <w:rPr>
      <w:rFonts w:eastAsia="SimSun"/>
      <w:kern w:val="28"/>
      <w:lang w:val="en-US" w:eastAsia="en-US"/>
    </w:rPr>
  </w:style>
  <w:style w:type="paragraph" w:styleId="NoSpacing">
    <w:name w:val="No Spacing"/>
    <w:uiPriority w:val="1"/>
    <w:qFormat/>
    <w:rsid w:val="00613AEC"/>
    <w:pPr>
      <w:widowControl w:val="0"/>
    </w:pPr>
    <w:rPr>
      <w:kern w:val="28"/>
      <w:sz w:val="22"/>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SimSun" w:hAnsi="Times New Roman" w:cs="Times New Roman"/>
        <w:lang w:val="en-US" w:eastAsia="en-US" w:bidi="ar-SA"/>
      </w:rPr>
    </w:rPrDefault>
    <w:pPrDefault/>
  </w:docDefaults>
  <w:latentStyles w:defLockedState="0" w:defUIPriority="99" w:defSemiHidden="0" w:defUnhideWhenUsed="0" w:defQFormat="0" w:count="267">
    <w:lsdException w:name="Normal" w:uiPriority="0"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index 1" w:locked="1" w:semiHidden="1" w:unhideWhenUsed="1"/>
    <w:lsdException w:name="index 2" w:locked="1" w:semiHidden="1" w:unhideWhenUsed="1"/>
    <w:lsdException w:name="index 3" w:locked="1" w:semiHidden="1" w:unhideWhenUsed="1"/>
    <w:lsdException w:name="index 4" w:locked="1" w:semiHidden="1" w:unhideWhenUsed="1"/>
    <w:lsdException w:name="index 5" w:locked="1" w:semiHidden="1" w:unhideWhenUsed="1"/>
    <w:lsdException w:name="index 6" w:locked="1" w:semiHidden="1" w:unhideWhenUsed="1"/>
    <w:lsdException w:name="index 7" w:locked="1" w:semiHidden="1" w:unhideWhenUsed="1"/>
    <w:lsdException w:name="index 8" w:locked="1" w:semiHidden="1" w:unhideWhenUsed="1"/>
    <w:lsdException w:name="index 9" w:locked="1" w:semiHidden="1" w:unhideWhenUsed="1"/>
    <w:lsdException w:name="Normal Indent" w:locked="1" w:semiHidden="1" w:unhideWhenUsed="1"/>
    <w:lsdException w:name="footnote text" w:locked="1" w:semiHidden="1" w:unhideWhenUsed="1"/>
    <w:lsdException w:name="annotation text" w:locked="1" w:semiHidden="1" w:unhideWhenUsed="1"/>
    <w:lsdException w:name="header" w:locked="1" w:semiHidden="1" w:unhideWhenUsed="1"/>
    <w:lsdException w:name="footer" w:locked="1" w:semiHidden="1" w:unhideWhenUsed="1"/>
    <w:lsdException w:name="index heading" w:locked="1" w:semiHidden="1" w:unhideWhenUsed="1"/>
    <w:lsdException w:name="caption" w:qFormat="1"/>
    <w:lsdException w:name="table of figures" w:locked="1" w:semiHidden="1" w:unhideWhenUsed="1"/>
    <w:lsdException w:name="envelope address" w:locked="1" w:semiHidden="1" w:unhideWhenUsed="1"/>
    <w:lsdException w:name="envelope return" w:locked="1" w:semiHidden="1" w:unhideWhenUsed="1"/>
    <w:lsdException w:name="footnote reference" w:locked="1" w:semiHidden="1" w:unhideWhenUsed="1"/>
    <w:lsdException w:name="annotation reference" w:locked="1" w:semiHidden="1" w:unhideWhenUsed="1"/>
    <w:lsdException w:name="line number" w:locked="1" w:semiHidden="1" w:unhideWhenUsed="1"/>
    <w:lsdException w:name="page number" w:locked="1" w:semiHidden="1" w:unhideWhenUsed="1"/>
    <w:lsdException w:name="endnote reference" w:locked="1" w:semiHidden="1" w:unhideWhenUsed="1"/>
    <w:lsdException w:name="endnote text" w:locked="1" w:semiHidden="1" w:unhideWhenUsed="1"/>
    <w:lsdException w:name="table of authorities" w:locked="1" w:semiHidden="1" w:unhideWhenUsed="1"/>
    <w:lsdException w:name="macro" w:locked="1" w:semiHidden="1" w:unhideWhenUsed="1"/>
    <w:lsdException w:name="toa heading" w:locked="1" w:semiHidden="1" w:unhideWhenUsed="1"/>
    <w:lsdException w:name="List" w:locked="1" w:semiHidden="1" w:unhideWhenUsed="1"/>
    <w:lsdException w:name="List Bullet" w:locked="1" w:semiHidden="1" w:unhideWhenUsed="1"/>
    <w:lsdException w:name="List Number" w:locked="1" w:semiHidden="1" w:unhideWhenUsed="1"/>
    <w:lsdException w:name="List 2" w:locked="1" w:semiHidden="1" w:unhideWhenUsed="1"/>
    <w:lsdException w:name="List 3" w:locked="1" w:semiHidden="1" w:unhideWhenUsed="1"/>
    <w:lsdException w:name="List 4" w:locked="1" w:semiHidden="1" w:unhideWhenUsed="1"/>
    <w:lsdException w:name="List 5" w:locked="1" w:semiHidden="1" w:unhideWhenUsed="1"/>
    <w:lsdException w:name="List Bullet 2" w:locked="1" w:semiHidden="1" w:unhideWhenUsed="1"/>
    <w:lsdException w:name="List Bullet 3" w:locked="1" w:semiHidden="1" w:unhideWhenUsed="1"/>
    <w:lsdException w:name="List Bullet 4" w:locked="1" w:semiHidden="1" w:unhideWhenUsed="1"/>
    <w:lsdException w:name="List Bullet 5" w:locked="1" w:semiHidden="1" w:unhideWhenUsed="1"/>
    <w:lsdException w:name="List Number 2" w:locked="1" w:semiHidden="1" w:unhideWhenUsed="1"/>
    <w:lsdException w:name="List Number 3" w:locked="1" w:semiHidden="1" w:unhideWhenUsed="1"/>
    <w:lsdException w:name="List Number 4" w:locked="1" w:semiHidden="1" w:unhideWhenUsed="1"/>
    <w:lsdException w:name="List Number 5" w:locked="1" w:semiHidden="1" w:unhideWhenUsed="1"/>
    <w:lsdException w:name="Title" w:qFormat="1"/>
    <w:lsdException w:name="Closing" w:locked="1" w:semiHidden="1" w:unhideWhenUsed="1"/>
    <w:lsdException w:name="Signature" w:locked="1" w:semiHidden="1" w:unhideWhenUsed="1"/>
    <w:lsdException w:name="Default Paragraph Font" w:uiPriority="0"/>
    <w:lsdException w:name="Body Text" w:locked="1" w:semiHidden="1" w:unhideWhenUsed="1"/>
    <w:lsdException w:name="Body Text Indent" w:locked="1" w:semiHidden="1" w:unhideWhenUsed="1"/>
    <w:lsdException w:name="List Continue" w:locked="1" w:semiHidden="1" w:unhideWhenUsed="1"/>
    <w:lsdException w:name="List Continue 2" w:locked="1" w:semiHidden="1" w:unhideWhenUsed="1"/>
    <w:lsdException w:name="List Continue 3" w:locked="1" w:semiHidden="1" w:unhideWhenUsed="1"/>
    <w:lsdException w:name="List Continue 4" w:locked="1" w:semiHidden="1" w:unhideWhenUsed="1"/>
    <w:lsdException w:name="List Continue 5" w:locked="1" w:semiHidden="1" w:unhideWhenUsed="1"/>
    <w:lsdException w:name="Message Header" w:locked="1" w:semiHidden="1" w:unhideWhenUsed="1"/>
    <w:lsdException w:name="Subtitle" w:uiPriority="0" w:qFormat="1"/>
    <w:lsdException w:name="Salutation" w:locked="1" w:semiHidden="1" w:unhideWhenUsed="1"/>
    <w:lsdException w:name="Date" w:locked="1" w:semiHidden="1" w:unhideWhenUsed="1"/>
    <w:lsdException w:name="Body Text First Indent" w:locked="1" w:semiHidden="1" w:unhideWhenUsed="1"/>
    <w:lsdException w:name="Body Text First Indent 2" w:locked="1" w:semiHidden="1" w:unhideWhenUsed="1"/>
    <w:lsdException w:name="Note Heading" w:locked="1" w:semiHidden="1" w:unhideWhenUsed="1"/>
    <w:lsdException w:name="Body Text 2" w:locked="1" w:semiHidden="1" w:unhideWhenUsed="1"/>
    <w:lsdException w:name="Body Text 3" w:locked="1" w:semiHidden="1" w:unhideWhenUsed="1"/>
    <w:lsdException w:name="Body Text Indent 2" w:locked="1" w:semiHidden="1" w:unhideWhenUsed="1"/>
    <w:lsdException w:name="Body Text Indent 3" w:locked="1" w:semiHidden="1" w:unhideWhenUsed="1"/>
    <w:lsdException w:name="Block Text" w:locked="1" w:semiHidden="1" w:unhideWhenUsed="1"/>
    <w:lsdException w:name="Hyperlink" w:locked="1" w:semiHidden="1" w:unhideWhenUsed="1"/>
    <w:lsdException w:name="FollowedHyperlink" w:locked="1" w:semiHidden="1" w:unhideWhenUsed="1"/>
    <w:lsdException w:name="Strong" w:qFormat="1"/>
    <w:lsdException w:name="Emphasis" w:qFormat="1"/>
    <w:lsdException w:name="Document Map" w:locked="1" w:semiHidden="1" w:unhideWhenUsed="1"/>
    <w:lsdException w:name="Plain Text" w:locked="1" w:semiHidden="1" w:unhideWhenUsed="1"/>
    <w:lsdException w:name="E-mail Signature" w:locked="1" w:semiHidden="1" w:unhideWhenUsed="1"/>
    <w:lsdException w:name="HTML Top of Form" w:locked="1" w:semiHidden="1" w:unhideWhenUsed="1"/>
    <w:lsdException w:name="HTML Bottom of Form" w:locked="1" w:semiHidden="1" w:unhideWhenUsed="1"/>
    <w:lsdException w:name="Normal (Web)" w:locked="1" w:semiHidden="1" w:unhideWhenUsed="1"/>
    <w:lsdException w:name="HTML Acronym" w:locked="1" w:semiHidden="1" w:unhideWhenUsed="1"/>
    <w:lsdException w:name="HTML Address" w:locked="1" w:semiHidden="1" w:unhideWhenUsed="1"/>
    <w:lsdException w:name="HTML Cite" w:locked="1" w:semiHidden="1" w:unhideWhenUsed="1"/>
    <w:lsdException w:name="HTML Code" w:locked="1" w:semiHidden="1" w:unhideWhenUsed="1"/>
    <w:lsdException w:name="HTML Definition" w:locked="1" w:semiHidden="1" w:unhideWhenUsed="1"/>
    <w:lsdException w:name="HTML Keyboard" w:locked="1" w:semiHidden="1" w:unhideWhenUsed="1"/>
    <w:lsdException w:name="HTML Preformatted" w:locked="1" w:semiHidden="1" w:unhideWhenUsed="1"/>
    <w:lsdException w:name="HTML Sample" w:locked="1" w:semiHidden="1" w:unhideWhenUsed="1"/>
    <w:lsdException w:name="HTML Typewriter" w:locked="1" w:semiHidden="1" w:unhideWhenUsed="1"/>
    <w:lsdException w:name="HTML Variable" w:locked="1" w:semiHidden="1" w:unhideWhenUsed="1"/>
    <w:lsdException w:name="Normal Table" w:locked="1" w:semiHidden="1" w:unhideWhenUsed="1"/>
    <w:lsdException w:name="annotation subject" w:locked="1" w:semiHidden="1" w:unhideWhenUsed="1"/>
    <w:lsdException w:name="No List" w:locked="1" w:semiHidden="1" w:unhideWhenUsed="1"/>
    <w:lsdException w:name="Outline List 1" w:locked="1" w:semiHidden="1" w:unhideWhenUsed="1"/>
    <w:lsdException w:name="Outline List 2" w:locked="1" w:semiHidden="1" w:unhideWhenUsed="1"/>
    <w:lsdException w:name="Outline List 3" w:locked="1" w:semiHidden="1" w:unhideWhenUsed="1"/>
    <w:lsdException w:name="Table Simple 1" w:locked="1" w:semiHidden="1" w:unhideWhenUsed="1"/>
    <w:lsdException w:name="Table Simple 2" w:locked="1" w:semiHidden="1" w:unhideWhenUsed="1"/>
    <w:lsdException w:name="Table Simple 3" w:locked="1" w:semiHidden="1" w:unhideWhenUsed="1"/>
    <w:lsdException w:name="Table Classic 1" w:locked="1" w:semiHidden="1" w:unhideWhenUsed="1"/>
    <w:lsdException w:name="Table Classic 2" w:locked="1" w:semiHidden="1" w:unhideWhenUsed="1"/>
    <w:lsdException w:name="Table Classic 3" w:locked="1" w:semiHidden="1" w:unhideWhenUsed="1"/>
    <w:lsdException w:name="Table Classic 4" w:locked="1" w:semiHidden="1" w:unhideWhenUsed="1"/>
    <w:lsdException w:name="Table Colorful 1" w:locked="1" w:semiHidden="1" w:unhideWhenUsed="1"/>
    <w:lsdException w:name="Table Colorful 2" w:locked="1" w:semiHidden="1" w:unhideWhenUsed="1"/>
    <w:lsdException w:name="Table Colorful 3" w:locked="1" w:semiHidden="1" w:unhideWhenUsed="1"/>
    <w:lsdException w:name="Table Columns 1" w:locked="1" w:semiHidden="1" w:unhideWhenUsed="1"/>
    <w:lsdException w:name="Table Columns 2" w:locked="1" w:semiHidden="1" w:unhideWhenUsed="1"/>
    <w:lsdException w:name="Table Columns 3" w:locked="1" w:semiHidden="1" w:unhideWhenUsed="1"/>
    <w:lsdException w:name="Table Columns 4" w:locked="1" w:semiHidden="1" w:unhideWhenUsed="1"/>
    <w:lsdException w:name="Table Columns 5" w:locked="1" w:semiHidden="1" w:unhideWhenUsed="1"/>
    <w:lsdException w:name="Table Grid 1" w:locked="1" w:semiHidden="1" w:unhideWhenUsed="1"/>
    <w:lsdException w:name="Table Grid 2" w:locked="1" w:semiHidden="1" w:unhideWhenUsed="1"/>
    <w:lsdException w:name="Table Grid 3" w:locked="1" w:semiHidden="1" w:unhideWhenUsed="1"/>
    <w:lsdException w:name="Table Grid 4" w:locked="1" w:semiHidden="1" w:unhideWhenUsed="1"/>
    <w:lsdException w:name="Table Grid 5" w:locked="1" w:semiHidden="1" w:unhideWhenUsed="1"/>
    <w:lsdException w:name="Table Grid 6" w:locked="1" w:semiHidden="1" w:unhideWhenUsed="1"/>
    <w:lsdException w:name="Table Grid 7" w:locked="1" w:semiHidden="1" w:unhideWhenUsed="1"/>
    <w:lsdException w:name="Table Grid 8" w:locked="1" w:semiHidden="1" w:unhideWhenUsed="1"/>
    <w:lsdException w:name="Table List 1" w:locked="1" w:semiHidden="1" w:unhideWhenUsed="1"/>
    <w:lsdException w:name="Table List 2" w:locked="1" w:semiHidden="1" w:unhideWhenUsed="1"/>
    <w:lsdException w:name="Table List 3" w:locked="1" w:semiHidden="1" w:unhideWhenUsed="1"/>
    <w:lsdException w:name="Table List 4" w:locked="1" w:semiHidden="1" w:unhideWhenUsed="1"/>
    <w:lsdException w:name="Table List 5" w:locked="1" w:semiHidden="1" w:unhideWhenUsed="1"/>
    <w:lsdException w:name="Table List 6" w:locked="1" w:semiHidden="1" w:unhideWhenUsed="1"/>
    <w:lsdException w:name="Table List 7" w:locked="1" w:semiHidden="1" w:unhideWhenUsed="1"/>
    <w:lsdException w:name="Table List 8" w:locked="1" w:semiHidden="1" w:unhideWhenUsed="1"/>
    <w:lsdException w:name="Table 3D effects 1" w:locked="1" w:semiHidden="1" w:unhideWhenUsed="1"/>
    <w:lsdException w:name="Table 3D effects 2" w:locked="1" w:semiHidden="1" w:unhideWhenUsed="1"/>
    <w:lsdException w:name="Table 3D effects 3" w:locked="1" w:semiHidden="1" w:unhideWhenUsed="1"/>
    <w:lsdException w:name="Table Contemporary" w:locked="1" w:semiHidden="1" w:unhideWhenUsed="1"/>
    <w:lsdException w:name="Table Elegant" w:locked="1" w:semiHidden="1" w:unhideWhenUsed="1"/>
    <w:lsdException w:name="Table Professional" w:locked="1" w:semiHidden="1" w:unhideWhenUsed="1"/>
    <w:lsdException w:name="Table Subtle 1" w:locked="1" w:semiHidden="1" w:unhideWhenUsed="1"/>
    <w:lsdException w:name="Table Subtle 2" w:locked="1" w:semiHidden="1" w:unhideWhenUsed="1"/>
    <w:lsdException w:name="Table Web 1" w:locked="1" w:semiHidden="1" w:unhideWhenUsed="1"/>
    <w:lsdException w:name="Table Web 2" w:locked="1" w:semiHidden="1" w:unhideWhenUsed="1"/>
    <w:lsdException w:name="Table Web 3" w:locked="1" w:semiHidden="1" w:unhideWhenUsed="1"/>
    <w:lsdException w:name="Balloon Text" w:locked="1" w:semiHidden="1" w:unhideWhenUsed="1"/>
    <w:lsdException w:name="Table Grid" w:uiPriority="0"/>
    <w:lsdException w:name="Table Theme" w:locked="1"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qFormat="1"/>
  </w:latentStyles>
  <w:style w:type="paragraph" w:default="1" w:styleId="Normal">
    <w:name w:val="Normal"/>
    <w:qFormat/>
    <w:rsid w:val="00371CF6"/>
    <w:pPr>
      <w:widowControl w:val="0"/>
    </w:pPr>
    <w:rPr>
      <w:kern w:val="28"/>
      <w:sz w:val="22"/>
    </w:rPr>
  </w:style>
  <w:style w:type="paragraph" w:styleId="Heading1">
    <w:name w:val="heading 1"/>
    <w:basedOn w:val="Normal"/>
    <w:next w:val="ParaNum"/>
    <w:link w:val="Heading1Char1"/>
    <w:uiPriority w:val="99"/>
    <w:qFormat/>
    <w:rsid w:val="00371CF6"/>
    <w:pPr>
      <w:keepNext/>
      <w:tabs>
        <w:tab w:val="left" w:pos="720"/>
      </w:tabs>
      <w:suppressAutoHyphens/>
      <w:spacing w:after="120"/>
      <w:ind w:left="720" w:hanging="720"/>
      <w:outlineLvl w:val="0"/>
    </w:pPr>
    <w:rPr>
      <w:rFonts w:ascii="Times New Roman Bold" w:hAnsi="Times New Roman Bold"/>
      <w:b/>
      <w:caps/>
      <w:sz w:val="20"/>
    </w:rPr>
  </w:style>
  <w:style w:type="paragraph" w:styleId="Heading2">
    <w:name w:val="heading 2"/>
    <w:basedOn w:val="Normal"/>
    <w:next w:val="ParaNum"/>
    <w:link w:val="Heading2Char2"/>
    <w:autoRedefine/>
    <w:uiPriority w:val="99"/>
    <w:qFormat/>
    <w:rsid w:val="00E36736"/>
    <w:pPr>
      <w:keepNext/>
      <w:numPr>
        <w:ilvl w:val="1"/>
        <w:numId w:val="26"/>
      </w:numPr>
      <w:spacing w:after="120"/>
      <w:outlineLvl w:val="1"/>
    </w:pPr>
    <w:rPr>
      <w:b/>
      <w:szCs w:val="22"/>
    </w:rPr>
  </w:style>
  <w:style w:type="paragraph" w:styleId="Heading3">
    <w:name w:val="heading 3"/>
    <w:basedOn w:val="Normal"/>
    <w:next w:val="ParaNum"/>
    <w:link w:val="Heading3Char1"/>
    <w:uiPriority w:val="99"/>
    <w:qFormat/>
    <w:rsid w:val="00371CF6"/>
    <w:pPr>
      <w:keepNext/>
      <w:tabs>
        <w:tab w:val="left" w:pos="2160"/>
      </w:tabs>
      <w:spacing w:after="120"/>
      <w:ind w:left="2160" w:hanging="720"/>
      <w:outlineLvl w:val="2"/>
    </w:pPr>
    <w:rPr>
      <w:b/>
      <w:sz w:val="20"/>
    </w:rPr>
  </w:style>
  <w:style w:type="paragraph" w:styleId="Heading4">
    <w:name w:val="heading 4"/>
    <w:basedOn w:val="Normal"/>
    <w:next w:val="ParaNum"/>
    <w:link w:val="Heading4Char1"/>
    <w:uiPriority w:val="99"/>
    <w:qFormat/>
    <w:rsid w:val="00371CF6"/>
    <w:pPr>
      <w:keepNext/>
      <w:tabs>
        <w:tab w:val="left" w:pos="2880"/>
      </w:tabs>
      <w:spacing w:after="120"/>
      <w:ind w:left="2880" w:hanging="720"/>
      <w:outlineLvl w:val="3"/>
    </w:pPr>
    <w:rPr>
      <w:b/>
      <w:sz w:val="20"/>
    </w:rPr>
  </w:style>
  <w:style w:type="paragraph" w:styleId="Heading5">
    <w:name w:val="heading 5"/>
    <w:basedOn w:val="Normal"/>
    <w:next w:val="ParaNum"/>
    <w:link w:val="Heading5Char1"/>
    <w:uiPriority w:val="99"/>
    <w:qFormat/>
    <w:rsid w:val="00371CF6"/>
    <w:pPr>
      <w:keepNext/>
      <w:tabs>
        <w:tab w:val="left" w:pos="3600"/>
      </w:tabs>
      <w:suppressAutoHyphens/>
      <w:spacing w:after="120"/>
      <w:ind w:left="3600" w:hanging="720"/>
      <w:outlineLvl w:val="4"/>
    </w:pPr>
    <w:rPr>
      <w:b/>
      <w:sz w:val="20"/>
    </w:rPr>
  </w:style>
  <w:style w:type="paragraph" w:styleId="Heading6">
    <w:name w:val="heading 6"/>
    <w:basedOn w:val="Normal"/>
    <w:next w:val="ParaNum"/>
    <w:link w:val="Heading6Char"/>
    <w:uiPriority w:val="99"/>
    <w:qFormat/>
    <w:rsid w:val="00371CF6"/>
    <w:pPr>
      <w:tabs>
        <w:tab w:val="left" w:pos="4320"/>
      </w:tabs>
      <w:spacing w:after="120"/>
      <w:ind w:left="4320" w:hanging="720"/>
      <w:outlineLvl w:val="5"/>
    </w:pPr>
    <w:rPr>
      <w:b/>
    </w:rPr>
  </w:style>
  <w:style w:type="paragraph" w:styleId="Heading7">
    <w:name w:val="heading 7"/>
    <w:basedOn w:val="Normal"/>
    <w:next w:val="ParaNum"/>
    <w:link w:val="Heading7Char"/>
    <w:uiPriority w:val="99"/>
    <w:qFormat/>
    <w:rsid w:val="00371CF6"/>
    <w:pPr>
      <w:tabs>
        <w:tab w:val="left" w:pos="5040"/>
      </w:tabs>
      <w:spacing w:after="120"/>
      <w:ind w:left="5040" w:hanging="720"/>
      <w:outlineLvl w:val="6"/>
    </w:pPr>
    <w:rPr>
      <w:b/>
    </w:rPr>
  </w:style>
  <w:style w:type="paragraph" w:styleId="Heading8">
    <w:name w:val="heading 8"/>
    <w:basedOn w:val="Normal"/>
    <w:next w:val="ParaNum"/>
    <w:link w:val="Heading8Char"/>
    <w:uiPriority w:val="99"/>
    <w:qFormat/>
    <w:rsid w:val="00371CF6"/>
    <w:pPr>
      <w:tabs>
        <w:tab w:val="left" w:pos="5760"/>
      </w:tabs>
      <w:spacing w:after="120"/>
      <w:ind w:left="5760" w:hanging="720"/>
      <w:outlineLvl w:val="7"/>
    </w:pPr>
    <w:rPr>
      <w:b/>
    </w:rPr>
  </w:style>
  <w:style w:type="paragraph" w:styleId="Heading9">
    <w:name w:val="heading 9"/>
    <w:basedOn w:val="Normal"/>
    <w:next w:val="ParaNum"/>
    <w:link w:val="Heading9Char"/>
    <w:uiPriority w:val="99"/>
    <w:qFormat/>
    <w:rsid w:val="00371CF6"/>
    <w:pPr>
      <w:tabs>
        <w:tab w:val="left" w:pos="6480"/>
      </w:tabs>
      <w:spacing w:after="120"/>
      <w:ind w:left="6480" w:hanging="720"/>
      <w:outlineLvl w:val="8"/>
    </w:pPr>
    <w:rPr>
      <w: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uiPriority w:val="99"/>
    <w:locked/>
    <w:rsid w:val="00793DA0"/>
    <w:rPr>
      <w:rFonts w:ascii="Times New Roman Bold" w:eastAsia="SimSun" w:hAnsi="Times New Roman Bold" w:cs="Times New Roman"/>
      <w:b/>
      <w:caps/>
      <w:kern w:val="28"/>
      <w:sz w:val="22"/>
      <w:lang w:val="en-US" w:eastAsia="en-US"/>
    </w:rPr>
  </w:style>
  <w:style w:type="character" w:customStyle="1" w:styleId="Heading2Char">
    <w:name w:val="Heading 2 Char"/>
    <w:basedOn w:val="DefaultParagraphFont"/>
    <w:uiPriority w:val="99"/>
    <w:rsid w:val="00B45DA4"/>
    <w:rPr>
      <w:rFonts w:cs="Times New Roman"/>
      <w:b/>
      <w:snapToGrid w:val="0"/>
      <w:kern w:val="28"/>
      <w:sz w:val="22"/>
      <w:lang w:val="en-US" w:eastAsia="en-US"/>
    </w:rPr>
  </w:style>
  <w:style w:type="character" w:customStyle="1" w:styleId="Heading3Char">
    <w:name w:val="Heading 3 Char"/>
    <w:basedOn w:val="DefaultParagraphFont"/>
    <w:uiPriority w:val="99"/>
    <w:locked/>
    <w:rsid w:val="00793DA0"/>
    <w:rPr>
      <w:rFonts w:eastAsia="SimSun" w:cs="Times New Roman"/>
      <w:b/>
      <w:kern w:val="28"/>
      <w:sz w:val="22"/>
      <w:lang w:val="en-US" w:eastAsia="en-US"/>
    </w:rPr>
  </w:style>
  <w:style w:type="character" w:customStyle="1" w:styleId="Heading4Char">
    <w:name w:val="Heading 4 Char"/>
    <w:basedOn w:val="DefaultParagraphFont"/>
    <w:uiPriority w:val="99"/>
    <w:locked/>
    <w:rsid w:val="00793DA0"/>
    <w:rPr>
      <w:rFonts w:eastAsia="SimSun" w:cs="Times New Roman"/>
      <w:b/>
      <w:kern w:val="28"/>
      <w:sz w:val="22"/>
      <w:lang w:val="en-US" w:eastAsia="en-US"/>
    </w:rPr>
  </w:style>
  <w:style w:type="character" w:customStyle="1" w:styleId="Heading5Char">
    <w:name w:val="Heading 5 Char"/>
    <w:basedOn w:val="DefaultParagraphFont"/>
    <w:uiPriority w:val="99"/>
    <w:locked/>
    <w:rsid w:val="00793DA0"/>
    <w:rPr>
      <w:rFonts w:eastAsia="SimSun" w:cs="Times New Roman"/>
      <w:b/>
      <w:kern w:val="28"/>
      <w:sz w:val="22"/>
      <w:lang w:val="en-US" w:eastAsia="en-US"/>
    </w:rPr>
  </w:style>
  <w:style w:type="character" w:customStyle="1" w:styleId="Heading6Char">
    <w:name w:val="Heading 6 Char"/>
    <w:basedOn w:val="DefaultParagraphFont"/>
    <w:link w:val="Heading6"/>
    <w:uiPriority w:val="99"/>
    <w:locked/>
    <w:rsid w:val="00793DA0"/>
    <w:rPr>
      <w:rFonts w:cs="Times New Roman"/>
      <w:b/>
      <w:kern w:val="28"/>
      <w:sz w:val="20"/>
      <w:szCs w:val="20"/>
    </w:rPr>
  </w:style>
  <w:style w:type="character" w:customStyle="1" w:styleId="Heading7Char">
    <w:name w:val="Heading 7 Char"/>
    <w:basedOn w:val="DefaultParagraphFont"/>
    <w:link w:val="Heading7"/>
    <w:uiPriority w:val="99"/>
    <w:locked/>
    <w:rsid w:val="00793DA0"/>
    <w:rPr>
      <w:rFonts w:cs="Times New Roman"/>
      <w:b/>
      <w:kern w:val="28"/>
      <w:sz w:val="20"/>
      <w:szCs w:val="20"/>
    </w:rPr>
  </w:style>
  <w:style w:type="character" w:customStyle="1" w:styleId="Heading8Char">
    <w:name w:val="Heading 8 Char"/>
    <w:basedOn w:val="DefaultParagraphFont"/>
    <w:link w:val="Heading8"/>
    <w:uiPriority w:val="99"/>
    <w:locked/>
    <w:rsid w:val="00793DA0"/>
    <w:rPr>
      <w:rFonts w:cs="Times New Roman"/>
      <w:b/>
      <w:kern w:val="28"/>
      <w:sz w:val="20"/>
      <w:szCs w:val="20"/>
    </w:rPr>
  </w:style>
  <w:style w:type="character" w:customStyle="1" w:styleId="Heading9Char">
    <w:name w:val="Heading 9 Char"/>
    <w:basedOn w:val="DefaultParagraphFont"/>
    <w:link w:val="Heading9"/>
    <w:uiPriority w:val="99"/>
    <w:locked/>
    <w:rsid w:val="00793DA0"/>
    <w:rPr>
      <w:rFonts w:cs="Times New Roman"/>
      <w:b/>
      <w:kern w:val="28"/>
      <w:sz w:val="20"/>
      <w:szCs w:val="20"/>
    </w:rPr>
  </w:style>
  <w:style w:type="paragraph" w:styleId="BalloonText">
    <w:name w:val="Balloon Text"/>
    <w:basedOn w:val="Normal"/>
    <w:link w:val="BalloonTextChar"/>
    <w:uiPriority w:val="99"/>
    <w:rsid w:val="00ED3D28"/>
    <w:rPr>
      <w:rFonts w:ascii="Tahoma" w:hAnsi="Tahoma" w:cs="Tahoma"/>
      <w:sz w:val="16"/>
      <w:szCs w:val="16"/>
    </w:rPr>
  </w:style>
  <w:style w:type="character" w:customStyle="1" w:styleId="BalloonTextChar">
    <w:name w:val="Balloon Text Char"/>
    <w:basedOn w:val="DefaultParagraphFont"/>
    <w:link w:val="BalloonText"/>
    <w:uiPriority w:val="99"/>
    <w:locked/>
    <w:rsid w:val="007D3517"/>
    <w:rPr>
      <w:rFonts w:ascii="Tahoma" w:hAnsi="Tahoma" w:cs="Times New Roman"/>
      <w:snapToGrid w:val="0"/>
      <w:kern w:val="28"/>
      <w:sz w:val="16"/>
      <w:lang w:val="en-US" w:eastAsia="en-US"/>
    </w:rPr>
  </w:style>
  <w:style w:type="paragraph" w:customStyle="1" w:styleId="ParaNum">
    <w:name w:val="ParaNum"/>
    <w:basedOn w:val="Normal"/>
    <w:link w:val="ParaNumChar1"/>
    <w:uiPriority w:val="99"/>
    <w:rsid w:val="00371CF6"/>
    <w:pPr>
      <w:tabs>
        <w:tab w:val="num" w:pos="1440"/>
      </w:tabs>
      <w:spacing w:after="120"/>
      <w:ind w:firstLine="720"/>
    </w:pPr>
    <w:rPr>
      <w:sz w:val="20"/>
    </w:rPr>
  </w:style>
  <w:style w:type="character" w:customStyle="1" w:styleId="ParaNumChar1">
    <w:name w:val="ParaNum Char1"/>
    <w:link w:val="ParaNum"/>
    <w:uiPriority w:val="99"/>
    <w:locked/>
    <w:rsid w:val="00135C68"/>
    <w:rPr>
      <w:kern w:val="28"/>
      <w:sz w:val="20"/>
    </w:rPr>
  </w:style>
  <w:style w:type="character" w:customStyle="1" w:styleId="Heading1Char1">
    <w:name w:val="Heading 1 Char1"/>
    <w:link w:val="Heading1"/>
    <w:uiPriority w:val="99"/>
    <w:locked/>
    <w:rsid w:val="00C17759"/>
    <w:rPr>
      <w:rFonts w:ascii="Times New Roman Bold" w:hAnsi="Times New Roman Bold"/>
      <w:b/>
      <w:caps/>
      <w:kern w:val="28"/>
      <w:sz w:val="20"/>
    </w:rPr>
  </w:style>
  <w:style w:type="character" w:customStyle="1" w:styleId="Heading2Char2">
    <w:name w:val="Heading 2 Char2"/>
    <w:link w:val="Heading2"/>
    <w:uiPriority w:val="99"/>
    <w:locked/>
    <w:rsid w:val="00E36736"/>
    <w:rPr>
      <w:b/>
      <w:kern w:val="28"/>
      <w:sz w:val="22"/>
      <w:szCs w:val="22"/>
    </w:rPr>
  </w:style>
  <w:style w:type="character" w:customStyle="1" w:styleId="Heading3Char1">
    <w:name w:val="Heading 3 Char1"/>
    <w:link w:val="Heading3"/>
    <w:uiPriority w:val="99"/>
    <w:locked/>
    <w:rsid w:val="00A97E7B"/>
    <w:rPr>
      <w:b/>
      <w:kern w:val="28"/>
      <w:sz w:val="20"/>
    </w:rPr>
  </w:style>
  <w:style w:type="character" w:customStyle="1" w:styleId="Heading4Char1">
    <w:name w:val="Heading 4 Char1"/>
    <w:link w:val="Heading4"/>
    <w:uiPriority w:val="99"/>
    <w:locked/>
    <w:rsid w:val="00A97E7B"/>
    <w:rPr>
      <w:b/>
      <w:kern w:val="28"/>
      <w:sz w:val="20"/>
    </w:rPr>
  </w:style>
  <w:style w:type="character" w:customStyle="1" w:styleId="Heading5Char1">
    <w:name w:val="Heading 5 Char1"/>
    <w:link w:val="Heading5"/>
    <w:uiPriority w:val="99"/>
    <w:locked/>
    <w:rsid w:val="00A97E7B"/>
    <w:rPr>
      <w:b/>
      <w:kern w:val="28"/>
      <w:sz w:val="20"/>
    </w:rPr>
  </w:style>
  <w:style w:type="paragraph" w:styleId="EndnoteText">
    <w:name w:val="endnote text"/>
    <w:basedOn w:val="Normal"/>
    <w:link w:val="EndnoteTextChar"/>
    <w:uiPriority w:val="99"/>
    <w:semiHidden/>
    <w:rsid w:val="00371CF6"/>
    <w:rPr>
      <w:sz w:val="20"/>
    </w:rPr>
  </w:style>
  <w:style w:type="character" w:customStyle="1" w:styleId="EndnoteTextChar">
    <w:name w:val="Endnote Text Char"/>
    <w:basedOn w:val="DefaultParagraphFont"/>
    <w:link w:val="EndnoteText"/>
    <w:uiPriority w:val="99"/>
    <w:semiHidden/>
    <w:locked/>
    <w:rsid w:val="00793DA0"/>
    <w:rPr>
      <w:rFonts w:eastAsia="Times New Roman" w:cs="Times New Roman"/>
      <w:snapToGrid w:val="0"/>
      <w:kern w:val="28"/>
    </w:rPr>
  </w:style>
  <w:style w:type="character" w:styleId="EndnoteReference">
    <w:name w:val="endnote reference"/>
    <w:basedOn w:val="DefaultParagraphFont"/>
    <w:uiPriority w:val="99"/>
    <w:semiHidden/>
    <w:rsid w:val="00371CF6"/>
    <w:rPr>
      <w:rFonts w:cs="Times New Roman"/>
      <w:vertAlign w:val="superscript"/>
    </w:rPr>
  </w:style>
  <w:style w:type="paragraph" w:styleId="FootnoteText">
    <w:name w:val="footnote text"/>
    <w:aliases w:val="Footnote Text Char,Footnote Text Char1 Char,Footnote Text Char Char Char,Footnote Text Char2 Char1 Char Char,Footnote Text Char1 Char Char1 Char Char1,Footnote Text Char Char Char Char1 Char Char1,Footnote Text Char1,fn,f,fn Char Char Cha"/>
    <w:basedOn w:val="Normal"/>
    <w:link w:val="FootnoteTextChar5"/>
    <w:uiPriority w:val="99"/>
    <w:rsid w:val="00371CF6"/>
    <w:pPr>
      <w:widowControl/>
      <w:spacing w:after="120"/>
    </w:pPr>
    <w:rPr>
      <w:rFonts w:eastAsia="Times New Roman"/>
      <w:kern w:val="0"/>
      <w:sz w:val="20"/>
    </w:rPr>
  </w:style>
  <w:style w:type="character" w:customStyle="1" w:styleId="FootnoteTextChar2">
    <w:name w:val="Footnote Text Char2"/>
    <w:aliases w:val="Footnote Text Char Char,Footnote Text Char1 Char Char,Footnote Text Char Char Char Char,Footnote Text Char2 Char1 Char Char Char,Footnote Text Char1 Char Char1 Char Char1 Char,Footnote Text Char Char Char Char1 Char Char1 Char,f Char"/>
    <w:basedOn w:val="DefaultParagraphFont"/>
    <w:uiPriority w:val="99"/>
    <w:semiHidden/>
    <w:rsid w:val="00D518BE"/>
    <w:rPr>
      <w:kern w:val="28"/>
      <w:sz w:val="20"/>
      <w:szCs w:val="20"/>
    </w:rPr>
  </w:style>
  <w:style w:type="character" w:customStyle="1" w:styleId="FootnoteTextChar211">
    <w:name w:val="Footnote Text Char211"/>
    <w:aliases w:val="Footnote Text Char Char14,Footnote Text Char1 Char Char15,Footnote Text Char Char Char Char15,Footnote Text Char2 Char1 Char Char Char15,Footnote Text Char1 Char Char1 Char Char1 Char15,f Cha"/>
    <w:basedOn w:val="DefaultParagraphFont"/>
    <w:uiPriority w:val="99"/>
    <w:semiHidden/>
    <w:rsid w:val="00CD26F9"/>
    <w:rPr>
      <w:rFonts w:cs="Times New Roman"/>
      <w:kern w:val="28"/>
      <w:sz w:val="20"/>
      <w:szCs w:val="20"/>
    </w:rPr>
  </w:style>
  <w:style w:type="character" w:customStyle="1" w:styleId="FootnoteTextChar210">
    <w:name w:val="Footnote Text Char210"/>
    <w:aliases w:val="Footnote Text Char Char13,Footnote Text Char1 Char Char14,Footnote Text Char Char Char Char14,Footnote Text Char2 Char1 Char Char Char14,Footnote Text Char1 Char Char1 Char Char1 Char14,f Cha5"/>
    <w:basedOn w:val="DefaultParagraphFont"/>
    <w:uiPriority w:val="99"/>
    <w:semiHidden/>
    <w:rsid w:val="00C92770"/>
    <w:rPr>
      <w:rFonts w:cs="Times New Roman"/>
      <w:kern w:val="28"/>
      <w:sz w:val="20"/>
      <w:szCs w:val="20"/>
    </w:rPr>
  </w:style>
  <w:style w:type="character" w:customStyle="1" w:styleId="FootnoteTextChar29">
    <w:name w:val="Footnote Text Char29"/>
    <w:aliases w:val="Footnote Text Char Char12,Footnote Text Char1 Char Char13,Footnote Text Char Char Char Char13,Footnote Text Char2 Char1 Char Char Char13,Footnote Text Char1 Char Char1 Char Char1 Char13,f Cha4"/>
    <w:basedOn w:val="DefaultParagraphFont"/>
    <w:uiPriority w:val="99"/>
    <w:semiHidden/>
    <w:rsid w:val="00D37DB4"/>
    <w:rPr>
      <w:rFonts w:cs="Times New Roman"/>
      <w:kern w:val="28"/>
      <w:sz w:val="20"/>
      <w:szCs w:val="20"/>
    </w:rPr>
  </w:style>
  <w:style w:type="character" w:customStyle="1" w:styleId="FootnoteTextChar28">
    <w:name w:val="Footnote Text Char28"/>
    <w:aliases w:val="Footnote Text Char Char11,Footnote Text Char1 Char Char12,Footnote Text Char Char Char Char12,Footnote Text Char2 Char1 Char Char Char12,Footnote Text Char1 Char Char1 Char Char1 Char12,f Cha3"/>
    <w:basedOn w:val="DefaultParagraphFont"/>
    <w:uiPriority w:val="99"/>
    <w:semiHidden/>
    <w:rsid w:val="00F62E3F"/>
    <w:rPr>
      <w:rFonts w:cs="Times New Roman"/>
      <w:kern w:val="28"/>
      <w:sz w:val="20"/>
      <w:szCs w:val="20"/>
    </w:rPr>
  </w:style>
  <w:style w:type="character" w:customStyle="1" w:styleId="FootnoteTextChar27">
    <w:name w:val="Footnote Text Char27"/>
    <w:aliases w:val="Footnote Text Char Char10,Footnote Text Char1 Char Char11,Footnote Text Char Char Char Char11,Footnote Text Char2 Char1 Char Char Char11,Footnote Text Char1 Char Char1 Char Char1 Char11,f Cha2"/>
    <w:basedOn w:val="DefaultParagraphFont"/>
    <w:uiPriority w:val="99"/>
    <w:semiHidden/>
    <w:rsid w:val="00E67990"/>
    <w:rPr>
      <w:rFonts w:cs="Times New Roman"/>
      <w:kern w:val="28"/>
      <w:sz w:val="20"/>
      <w:szCs w:val="20"/>
    </w:rPr>
  </w:style>
  <w:style w:type="character" w:customStyle="1" w:styleId="FootnoteTextChar26">
    <w:name w:val="Footnote Text Char26"/>
    <w:aliases w:val="Footnote Text Char Char9,Footnote Text Char1 Char Char10,Footnote Text Char Char Char Char10,Footnote Text Char2 Char1 Char Char Char10,Footnote Text Char1 Char Char1 Char Char1 Char10,f Cha1"/>
    <w:basedOn w:val="DefaultParagraphFont"/>
    <w:uiPriority w:val="99"/>
    <w:semiHidden/>
    <w:rsid w:val="002E6B80"/>
    <w:rPr>
      <w:rFonts w:cs="Times New Roman"/>
      <w:kern w:val="28"/>
      <w:sz w:val="20"/>
      <w:szCs w:val="20"/>
    </w:rPr>
  </w:style>
  <w:style w:type="character" w:customStyle="1" w:styleId="FootnoteTextChar25">
    <w:name w:val="Footnote Text Char25"/>
    <w:aliases w:val="Footnote Text Char Char8,Footnote Text Char1 Char Char9,Footnote Text Char Char Char Char9,Footnote Text Char2 Char1 Char Char Char9,Footnote Text Char1 Char Char1 Char Char1 Char9,Footnote Text Char Char Char Char1 Char Char1 Char9"/>
    <w:basedOn w:val="DefaultParagraphFont"/>
    <w:uiPriority w:val="99"/>
    <w:semiHidden/>
    <w:rsid w:val="002F53C9"/>
    <w:rPr>
      <w:rFonts w:cs="Times New Roman"/>
      <w:kern w:val="28"/>
      <w:sz w:val="20"/>
      <w:szCs w:val="20"/>
    </w:rPr>
  </w:style>
  <w:style w:type="character" w:customStyle="1" w:styleId="FootnoteTextChar24">
    <w:name w:val="Footnote Text Char24"/>
    <w:aliases w:val="Footnote Text Char Char7,Footnote Text Char1 Char Char7,Footnote Text Char Char Char Char7,Footnote Text Char2 Char1 Char Char Char7,Footnote Text Char1 Char Char1 Char Char1 Char7,Footnote Text Char Char Char Char1 Char Char1 Char7"/>
    <w:basedOn w:val="DefaultParagraphFont"/>
    <w:uiPriority w:val="99"/>
    <w:semiHidden/>
    <w:rsid w:val="005C5E4B"/>
    <w:rPr>
      <w:rFonts w:cs="Times New Roman"/>
      <w:kern w:val="28"/>
      <w:sz w:val="20"/>
      <w:szCs w:val="20"/>
    </w:rPr>
  </w:style>
  <w:style w:type="character" w:customStyle="1" w:styleId="FootnoteTextChar23">
    <w:name w:val="Footnote Text Char23"/>
    <w:aliases w:val="Footnote Text Char Char6,Footnote Text Char1 Char Char6,Footnote Text Char Char Char Char6,Footnote Text Char2 Char1 Char Char Char6,Footnote Text Char1 Char Char1 Char Char1 Char6,Footnote Text Char Char Char Char1 Char Char1 Char6"/>
    <w:basedOn w:val="DefaultParagraphFont"/>
    <w:uiPriority w:val="99"/>
    <w:semiHidden/>
    <w:rsid w:val="00E9028C"/>
    <w:rPr>
      <w:rFonts w:cs="Times New Roman"/>
      <w:kern w:val="28"/>
      <w:sz w:val="20"/>
      <w:szCs w:val="20"/>
    </w:rPr>
  </w:style>
  <w:style w:type="character" w:customStyle="1" w:styleId="FootnoteTextChar22">
    <w:name w:val="Footnote Text Char22"/>
    <w:aliases w:val="Footnote Text Char Char5,Footnote Text Char1 Char Char5,Footnote Text Char Char Char Char5,Footnote Text Char2 Char1 Char Char Char5,Footnote Text Char1 Char Char1 Char Char1 Char5,Footnote Text Char Char Char Char1 Char Char1 Char5"/>
    <w:basedOn w:val="DefaultParagraphFont"/>
    <w:uiPriority w:val="99"/>
    <w:semiHidden/>
    <w:rsid w:val="00DC0164"/>
    <w:rPr>
      <w:rFonts w:cs="Times New Roman"/>
      <w:kern w:val="28"/>
      <w:sz w:val="20"/>
      <w:szCs w:val="20"/>
    </w:rPr>
  </w:style>
  <w:style w:type="character" w:customStyle="1" w:styleId="FootnoteTextChar21">
    <w:name w:val="Footnote Text Char21"/>
    <w:aliases w:val="Footnote Text Char Char4,Footnote Text Char1 Char Char4,Footnote Text Char Char Char Char4,Footnote Text Char2 Char1 Char Char Char4,Footnote Text Char1 Char Char1 Char Char1 Char4,Footnote Text Char Char Char Char1 Char Char1 Char4"/>
    <w:basedOn w:val="DefaultParagraphFont"/>
    <w:uiPriority w:val="99"/>
    <w:semiHidden/>
    <w:rsid w:val="00995EDC"/>
    <w:rPr>
      <w:rFonts w:cs="Times New Roman"/>
      <w:kern w:val="28"/>
      <w:sz w:val="20"/>
      <w:szCs w:val="20"/>
    </w:rPr>
  </w:style>
  <w:style w:type="character" w:customStyle="1" w:styleId="FootnoteTextChar5">
    <w:name w:val="Footnote Text Char5"/>
    <w:aliases w:val="Footnote Text Char Char3,Footnote Text Char1 Char Char3,Footnote Text Char Char Char Char3,Footnote Text Char2 Char1 Char Char Char3,Footnote Text Char1 Char Char1 Char Char1 Char3,Footnote Text Char Char Char Char1 Char Char1 Char3"/>
    <w:link w:val="FootnoteText"/>
    <w:uiPriority w:val="99"/>
    <w:semiHidden/>
    <w:locked/>
    <w:rsid w:val="00684EA5"/>
    <w:rPr>
      <w:rFonts w:eastAsia="Times New Roman"/>
      <w:lang w:val="en-US" w:eastAsia="en-US"/>
    </w:rPr>
  </w:style>
  <w:style w:type="paragraph" w:styleId="NormalWeb">
    <w:name w:val="Normal (Web)"/>
    <w:basedOn w:val="Normal"/>
    <w:uiPriority w:val="99"/>
    <w:rsid w:val="007C7C02"/>
    <w:rPr>
      <w:sz w:val="24"/>
      <w:szCs w:val="24"/>
    </w:rPr>
  </w:style>
  <w:style w:type="character" w:styleId="FootnoteReference">
    <w:name w:val="footnote reference"/>
    <w:aliases w:val="Appel note de bas de p,Style 12,(NECG) Footnote Reference,Style 124,o,fr,Style 13,FR,Style 17,Style 6,Footnote Reference/"/>
    <w:basedOn w:val="DefaultParagraphFont"/>
    <w:uiPriority w:val="99"/>
    <w:rsid w:val="00371CF6"/>
    <w:rPr>
      <w:rFonts w:ascii="Times New Roman" w:hAnsi="Times New Roman" w:cs="Times New Roman"/>
      <w:color w:val="auto"/>
      <w:sz w:val="22"/>
      <w:vertAlign w:val="superscript"/>
    </w:rPr>
  </w:style>
  <w:style w:type="paragraph" w:styleId="TOC1">
    <w:name w:val="toc 1"/>
    <w:basedOn w:val="Normal"/>
    <w:next w:val="Normal"/>
    <w:link w:val="TOC1Char1"/>
    <w:uiPriority w:val="99"/>
    <w:rsid w:val="00371CF6"/>
    <w:pPr>
      <w:tabs>
        <w:tab w:val="left" w:pos="360"/>
        <w:tab w:val="right" w:leader="dot" w:pos="9360"/>
      </w:tabs>
      <w:suppressAutoHyphens/>
      <w:ind w:left="360" w:right="720" w:hanging="360"/>
    </w:pPr>
    <w:rPr>
      <w:rFonts w:eastAsia="Times New Roman"/>
      <w:caps/>
      <w:noProof/>
      <w:snapToGrid w:val="0"/>
    </w:rPr>
  </w:style>
  <w:style w:type="character" w:customStyle="1" w:styleId="TOC1Char1">
    <w:name w:val="TOC 1 Char1"/>
    <w:link w:val="TOC1"/>
    <w:uiPriority w:val="99"/>
    <w:semiHidden/>
    <w:locked/>
    <w:rsid w:val="00E95C85"/>
    <w:rPr>
      <w:rFonts w:eastAsia="Times New Roman"/>
      <w:caps/>
      <w:noProof/>
      <w:snapToGrid w:val="0"/>
      <w:kern w:val="28"/>
      <w:sz w:val="22"/>
    </w:rPr>
  </w:style>
  <w:style w:type="paragraph" w:styleId="TOC2">
    <w:name w:val="toc 2"/>
    <w:basedOn w:val="Normal"/>
    <w:next w:val="Normal"/>
    <w:uiPriority w:val="99"/>
    <w:rsid w:val="00371CF6"/>
    <w:pPr>
      <w:tabs>
        <w:tab w:val="left" w:pos="720"/>
        <w:tab w:val="right" w:leader="dot" w:pos="9360"/>
      </w:tabs>
      <w:suppressAutoHyphens/>
      <w:ind w:left="720" w:right="720" w:hanging="360"/>
    </w:pPr>
    <w:rPr>
      <w:noProof/>
    </w:rPr>
  </w:style>
  <w:style w:type="paragraph" w:styleId="TOC3">
    <w:name w:val="toc 3"/>
    <w:basedOn w:val="Normal"/>
    <w:next w:val="Normal"/>
    <w:uiPriority w:val="99"/>
    <w:rsid w:val="00371CF6"/>
    <w:pPr>
      <w:tabs>
        <w:tab w:val="left" w:pos="1080"/>
        <w:tab w:val="right" w:leader="dot" w:pos="9360"/>
      </w:tabs>
      <w:suppressAutoHyphens/>
      <w:ind w:left="1080" w:right="720" w:hanging="360"/>
    </w:pPr>
    <w:rPr>
      <w:noProof/>
    </w:rPr>
  </w:style>
  <w:style w:type="paragraph" w:styleId="TOC4">
    <w:name w:val="toc 4"/>
    <w:basedOn w:val="Normal"/>
    <w:next w:val="Normal"/>
    <w:autoRedefine/>
    <w:uiPriority w:val="99"/>
    <w:rsid w:val="00371CF6"/>
    <w:pPr>
      <w:tabs>
        <w:tab w:val="left" w:pos="1440"/>
        <w:tab w:val="right" w:leader="dot" w:pos="9360"/>
      </w:tabs>
      <w:suppressAutoHyphens/>
      <w:ind w:left="1440" w:right="720" w:hanging="360"/>
    </w:pPr>
    <w:rPr>
      <w:noProof/>
    </w:rPr>
  </w:style>
  <w:style w:type="paragraph" w:styleId="TOC5">
    <w:name w:val="toc 5"/>
    <w:basedOn w:val="Normal"/>
    <w:next w:val="Normal"/>
    <w:autoRedefine/>
    <w:uiPriority w:val="99"/>
    <w:rsid w:val="00371CF6"/>
    <w:pPr>
      <w:tabs>
        <w:tab w:val="left" w:pos="1800"/>
        <w:tab w:val="right" w:leader="dot" w:pos="9360"/>
      </w:tabs>
      <w:suppressAutoHyphens/>
      <w:ind w:left="1800" w:right="720" w:hanging="360"/>
    </w:pPr>
    <w:rPr>
      <w:noProof/>
    </w:rPr>
  </w:style>
  <w:style w:type="paragraph" w:styleId="TOC6">
    <w:name w:val="toc 6"/>
    <w:basedOn w:val="Normal"/>
    <w:next w:val="Normal"/>
    <w:autoRedefine/>
    <w:uiPriority w:val="99"/>
    <w:semiHidden/>
    <w:rsid w:val="00371CF6"/>
    <w:pPr>
      <w:tabs>
        <w:tab w:val="left" w:pos="2160"/>
        <w:tab w:val="right" w:leader="dot" w:pos="9360"/>
      </w:tabs>
      <w:suppressAutoHyphens/>
      <w:ind w:left="2160" w:hanging="360"/>
    </w:pPr>
    <w:rPr>
      <w:noProof/>
    </w:rPr>
  </w:style>
  <w:style w:type="paragraph" w:styleId="TOC7">
    <w:name w:val="toc 7"/>
    <w:basedOn w:val="Normal"/>
    <w:next w:val="Normal"/>
    <w:autoRedefine/>
    <w:uiPriority w:val="99"/>
    <w:semiHidden/>
    <w:rsid w:val="00371CF6"/>
    <w:pPr>
      <w:tabs>
        <w:tab w:val="left" w:pos="2520"/>
        <w:tab w:val="right" w:leader="dot" w:pos="9360"/>
      </w:tabs>
      <w:suppressAutoHyphens/>
      <w:ind w:left="2520" w:hanging="360"/>
    </w:pPr>
    <w:rPr>
      <w:noProof/>
    </w:rPr>
  </w:style>
  <w:style w:type="paragraph" w:styleId="TOC8">
    <w:name w:val="toc 8"/>
    <w:basedOn w:val="Normal"/>
    <w:next w:val="Normal"/>
    <w:autoRedefine/>
    <w:uiPriority w:val="99"/>
    <w:semiHidden/>
    <w:rsid w:val="00371CF6"/>
    <w:pPr>
      <w:tabs>
        <w:tab w:val="left" w:pos="2880"/>
        <w:tab w:val="right" w:leader="dot" w:pos="9360"/>
      </w:tabs>
      <w:suppressAutoHyphens/>
      <w:ind w:left="2880" w:hanging="360"/>
    </w:pPr>
    <w:rPr>
      <w:noProof/>
    </w:rPr>
  </w:style>
  <w:style w:type="paragraph" w:styleId="TOC9">
    <w:name w:val="toc 9"/>
    <w:basedOn w:val="Normal"/>
    <w:next w:val="Normal"/>
    <w:autoRedefine/>
    <w:uiPriority w:val="99"/>
    <w:semiHidden/>
    <w:rsid w:val="00371CF6"/>
    <w:pPr>
      <w:tabs>
        <w:tab w:val="left" w:pos="3240"/>
        <w:tab w:val="right" w:leader="dot" w:pos="9360"/>
      </w:tabs>
      <w:suppressAutoHyphens/>
      <w:ind w:left="3240" w:hanging="360"/>
    </w:pPr>
    <w:rPr>
      <w:noProof/>
    </w:rPr>
  </w:style>
  <w:style w:type="paragraph" w:styleId="TOAHeading">
    <w:name w:val="toa heading"/>
    <w:basedOn w:val="Normal"/>
    <w:next w:val="Normal"/>
    <w:uiPriority w:val="99"/>
    <w:semiHidden/>
    <w:rsid w:val="00371CF6"/>
    <w:pPr>
      <w:tabs>
        <w:tab w:val="right" w:pos="9360"/>
      </w:tabs>
      <w:suppressAutoHyphens/>
    </w:pPr>
  </w:style>
  <w:style w:type="paragraph" w:styleId="Header">
    <w:name w:val="header"/>
    <w:basedOn w:val="Normal"/>
    <w:link w:val="HeaderChar"/>
    <w:autoRedefine/>
    <w:uiPriority w:val="99"/>
    <w:rsid w:val="00371CF6"/>
    <w:pPr>
      <w:tabs>
        <w:tab w:val="center" w:pos="4680"/>
        <w:tab w:val="right" w:pos="9360"/>
      </w:tabs>
    </w:pPr>
    <w:rPr>
      <w:b/>
    </w:rPr>
  </w:style>
  <w:style w:type="character" w:customStyle="1" w:styleId="HeaderChar">
    <w:name w:val="Header Char"/>
    <w:basedOn w:val="DefaultParagraphFont"/>
    <w:link w:val="Header"/>
    <w:uiPriority w:val="99"/>
    <w:locked/>
    <w:rsid w:val="00793DA0"/>
    <w:rPr>
      <w:rFonts w:eastAsia="Times New Roman" w:cs="Times New Roman"/>
      <w:b/>
      <w:snapToGrid w:val="0"/>
      <w:kern w:val="28"/>
      <w:sz w:val="22"/>
    </w:rPr>
  </w:style>
  <w:style w:type="paragraph" w:styleId="Footer">
    <w:name w:val="footer"/>
    <w:basedOn w:val="Normal"/>
    <w:link w:val="FooterChar"/>
    <w:uiPriority w:val="99"/>
    <w:rsid w:val="00371CF6"/>
    <w:pPr>
      <w:tabs>
        <w:tab w:val="center" w:pos="4320"/>
        <w:tab w:val="right" w:pos="8640"/>
      </w:tabs>
    </w:pPr>
  </w:style>
  <w:style w:type="character" w:customStyle="1" w:styleId="FooterChar">
    <w:name w:val="Footer Char"/>
    <w:basedOn w:val="DefaultParagraphFont"/>
    <w:link w:val="Footer"/>
    <w:uiPriority w:val="99"/>
    <w:locked/>
    <w:rsid w:val="00793DA0"/>
    <w:rPr>
      <w:rFonts w:eastAsia="Times New Roman" w:cs="Times New Roman"/>
      <w:snapToGrid w:val="0"/>
      <w:kern w:val="28"/>
      <w:sz w:val="22"/>
    </w:rPr>
  </w:style>
  <w:style w:type="paragraph" w:styleId="Title">
    <w:name w:val="Title"/>
    <w:aliases w:val="Title Char1,Title Char Char"/>
    <w:basedOn w:val="Normal"/>
    <w:next w:val="Heading1"/>
    <w:link w:val="TitleChar"/>
    <w:uiPriority w:val="99"/>
    <w:qFormat/>
    <w:rsid w:val="00ED3D28"/>
    <w:pPr>
      <w:jc w:val="center"/>
      <w:outlineLvl w:val="0"/>
    </w:pPr>
    <w:rPr>
      <w:b/>
    </w:rPr>
  </w:style>
  <w:style w:type="character" w:customStyle="1" w:styleId="TitleChar">
    <w:name w:val="Title Char"/>
    <w:aliases w:val="Title Char1 Char,Title Char Char Char"/>
    <w:basedOn w:val="DefaultParagraphFont"/>
    <w:link w:val="Title"/>
    <w:uiPriority w:val="99"/>
    <w:locked/>
    <w:rsid w:val="0022250D"/>
    <w:rPr>
      <w:rFonts w:cs="Times New Roman"/>
      <w:b/>
      <w:snapToGrid w:val="0"/>
      <w:kern w:val="28"/>
      <w:sz w:val="22"/>
      <w:lang w:val="en-US" w:eastAsia="en-US"/>
    </w:rPr>
  </w:style>
  <w:style w:type="paragraph" w:styleId="BlockText">
    <w:name w:val="Block Text"/>
    <w:basedOn w:val="Normal"/>
    <w:uiPriority w:val="99"/>
    <w:rsid w:val="00371CF6"/>
    <w:pPr>
      <w:spacing w:after="240"/>
      <w:ind w:left="1440" w:right="1440"/>
    </w:pPr>
  </w:style>
  <w:style w:type="paragraph" w:styleId="DocumentMap">
    <w:name w:val="Document Map"/>
    <w:basedOn w:val="Normal"/>
    <w:link w:val="DocumentMapChar"/>
    <w:uiPriority w:val="99"/>
    <w:rsid w:val="00ED3D28"/>
    <w:pPr>
      <w:shd w:val="clear" w:color="auto" w:fill="000080"/>
    </w:pPr>
    <w:rPr>
      <w:rFonts w:ascii="Tahoma" w:hAnsi="Tahoma"/>
    </w:rPr>
  </w:style>
  <w:style w:type="character" w:customStyle="1" w:styleId="DocumentMapChar">
    <w:name w:val="Document Map Char"/>
    <w:basedOn w:val="DefaultParagraphFont"/>
    <w:link w:val="DocumentMap"/>
    <w:uiPriority w:val="99"/>
    <w:locked/>
    <w:rsid w:val="00793DA0"/>
    <w:rPr>
      <w:rFonts w:ascii="Tahoma" w:hAnsi="Tahoma" w:cs="Times New Roman"/>
      <w:snapToGrid w:val="0"/>
      <w:kern w:val="28"/>
      <w:sz w:val="22"/>
      <w:lang w:val="en-US" w:eastAsia="en-US"/>
    </w:rPr>
  </w:style>
  <w:style w:type="paragraph" w:customStyle="1" w:styleId="Bullet">
    <w:name w:val="Bullet"/>
    <w:basedOn w:val="Normal"/>
    <w:uiPriority w:val="99"/>
    <w:rsid w:val="00371CF6"/>
    <w:pPr>
      <w:tabs>
        <w:tab w:val="left" w:pos="2160"/>
      </w:tabs>
      <w:spacing w:after="220"/>
      <w:ind w:left="2160" w:hanging="720"/>
    </w:pPr>
  </w:style>
  <w:style w:type="paragraph" w:customStyle="1" w:styleId="TableFormat">
    <w:name w:val="TableFormat"/>
    <w:basedOn w:val="Bullet"/>
    <w:uiPriority w:val="99"/>
    <w:rsid w:val="00371CF6"/>
    <w:pPr>
      <w:tabs>
        <w:tab w:val="clear" w:pos="2160"/>
        <w:tab w:val="left" w:pos="5040"/>
      </w:tabs>
      <w:ind w:left="5040" w:hanging="3600"/>
    </w:pPr>
  </w:style>
  <w:style w:type="paragraph" w:styleId="BodyText">
    <w:name w:val="Body Text"/>
    <w:basedOn w:val="Normal"/>
    <w:link w:val="BodyTextChar"/>
    <w:uiPriority w:val="99"/>
    <w:rsid w:val="00ED3D28"/>
    <w:pPr>
      <w:tabs>
        <w:tab w:val="left" w:pos="-1440"/>
        <w:tab w:val="left" w:pos="0"/>
        <w:tab w:val="left" w:pos="720"/>
        <w:tab w:val="left" w:pos="1440"/>
        <w:tab w:val="left" w:pos="2880"/>
        <w:tab w:val="left" w:pos="3600"/>
      </w:tabs>
    </w:pPr>
    <w:rPr>
      <w:kern w:val="0"/>
      <w:sz w:val="24"/>
    </w:rPr>
  </w:style>
  <w:style w:type="character" w:customStyle="1" w:styleId="BodyTextChar">
    <w:name w:val="Body Text Char"/>
    <w:basedOn w:val="DefaultParagraphFont"/>
    <w:link w:val="BodyText"/>
    <w:uiPriority w:val="99"/>
    <w:locked/>
    <w:rsid w:val="00793DA0"/>
    <w:rPr>
      <w:rFonts w:cs="Times New Roman"/>
      <w:snapToGrid w:val="0"/>
      <w:sz w:val="24"/>
      <w:lang w:val="en-US" w:eastAsia="en-US"/>
    </w:rPr>
  </w:style>
  <w:style w:type="paragraph" w:styleId="PlainText">
    <w:name w:val="Plain Text"/>
    <w:basedOn w:val="Normal"/>
    <w:link w:val="PlainTextChar"/>
    <w:uiPriority w:val="99"/>
    <w:rsid w:val="00ED3D28"/>
    <w:rPr>
      <w:rFonts w:ascii="Courier New" w:hAnsi="Courier New"/>
      <w:kern w:val="0"/>
      <w:sz w:val="20"/>
    </w:rPr>
  </w:style>
  <w:style w:type="character" w:customStyle="1" w:styleId="PlainTextChar">
    <w:name w:val="Plain Text Char"/>
    <w:basedOn w:val="DefaultParagraphFont"/>
    <w:link w:val="PlainText"/>
    <w:uiPriority w:val="99"/>
    <w:locked/>
    <w:rsid w:val="00793DA0"/>
    <w:rPr>
      <w:rFonts w:ascii="Courier New" w:hAnsi="Courier New" w:cs="Times New Roman"/>
      <w:snapToGrid w:val="0"/>
      <w:lang w:val="en-US" w:eastAsia="en-US"/>
    </w:rPr>
  </w:style>
  <w:style w:type="paragraph" w:styleId="BodyText2">
    <w:name w:val="Body Text 2"/>
    <w:basedOn w:val="Normal"/>
    <w:link w:val="BodyText2Char"/>
    <w:uiPriority w:val="99"/>
    <w:rsid w:val="00ED3D28"/>
    <w:pPr>
      <w:numPr>
        <w:ilvl w:val="12"/>
      </w:numPr>
      <w:tabs>
        <w:tab w:val="left" w:pos="-1440"/>
        <w:tab w:val="left" w:pos="-720"/>
        <w:tab w:val="num" w:pos="720"/>
        <w:tab w:val="left" w:pos="1440"/>
        <w:tab w:val="left" w:pos="4680"/>
        <w:tab w:val="right" w:leader="dot" w:pos="9360"/>
      </w:tabs>
      <w:suppressAutoHyphens/>
      <w:spacing w:line="227" w:lineRule="auto"/>
    </w:pPr>
    <w:rPr>
      <w:color w:val="000000"/>
      <w:spacing w:val="-3"/>
    </w:rPr>
  </w:style>
  <w:style w:type="character" w:customStyle="1" w:styleId="BodyText2Char">
    <w:name w:val="Body Text 2 Char"/>
    <w:basedOn w:val="DefaultParagraphFont"/>
    <w:link w:val="BodyText2"/>
    <w:uiPriority w:val="99"/>
    <w:locked/>
    <w:rsid w:val="00793DA0"/>
    <w:rPr>
      <w:rFonts w:cs="Times New Roman"/>
      <w:snapToGrid w:val="0"/>
      <w:color w:val="000000"/>
      <w:spacing w:val="-3"/>
      <w:kern w:val="28"/>
      <w:sz w:val="22"/>
      <w:lang w:val="en-US" w:eastAsia="en-US"/>
    </w:rPr>
  </w:style>
  <w:style w:type="character" w:styleId="Hyperlink">
    <w:name w:val="Hyperlink"/>
    <w:basedOn w:val="DefaultParagraphFont"/>
    <w:uiPriority w:val="99"/>
    <w:rsid w:val="00371CF6"/>
    <w:rPr>
      <w:rFonts w:cs="Times New Roman"/>
      <w:color w:val="0000FF"/>
      <w:u w:val="single"/>
    </w:rPr>
  </w:style>
  <w:style w:type="character" w:styleId="FollowedHyperlink">
    <w:name w:val="FollowedHyperlink"/>
    <w:basedOn w:val="DefaultParagraphFont"/>
    <w:uiPriority w:val="99"/>
    <w:rsid w:val="00ED3D28"/>
    <w:rPr>
      <w:rFonts w:cs="Times New Roman"/>
      <w:color w:val="800080"/>
      <w:u w:val="single"/>
    </w:rPr>
  </w:style>
  <w:style w:type="paragraph" w:styleId="BodyTextIndent">
    <w:name w:val="Body Text Indent"/>
    <w:basedOn w:val="Normal"/>
    <w:link w:val="BodyTextIndentChar"/>
    <w:uiPriority w:val="99"/>
    <w:rsid w:val="00ED3D28"/>
    <w:pPr>
      <w:widowControl/>
      <w:ind w:left="2880"/>
    </w:pPr>
    <w:rPr>
      <w:kern w:val="0"/>
      <w:sz w:val="24"/>
    </w:rPr>
  </w:style>
  <w:style w:type="character" w:customStyle="1" w:styleId="BodyTextIndentChar">
    <w:name w:val="Body Text Indent Char"/>
    <w:basedOn w:val="DefaultParagraphFont"/>
    <w:link w:val="BodyTextIndent"/>
    <w:uiPriority w:val="99"/>
    <w:locked/>
    <w:rsid w:val="00793DA0"/>
    <w:rPr>
      <w:rFonts w:cs="Times New Roman"/>
      <w:sz w:val="24"/>
      <w:lang w:val="en-US" w:eastAsia="en-US"/>
    </w:rPr>
  </w:style>
  <w:style w:type="character" w:customStyle="1" w:styleId="h1">
    <w:name w:val="h1"/>
    <w:uiPriority w:val="99"/>
    <w:rsid w:val="00ED3D28"/>
    <w:rPr>
      <w:rFonts w:ascii="Arial" w:hAnsi="Arial"/>
      <w:b/>
      <w:color w:val="336699"/>
      <w:sz w:val="24"/>
    </w:rPr>
  </w:style>
  <w:style w:type="character" w:styleId="Strong">
    <w:name w:val="Strong"/>
    <w:basedOn w:val="DefaultParagraphFont"/>
    <w:uiPriority w:val="99"/>
    <w:qFormat/>
    <w:rsid w:val="00ED3D28"/>
    <w:rPr>
      <w:rFonts w:cs="Times New Roman"/>
      <w:b/>
    </w:rPr>
  </w:style>
  <w:style w:type="character" w:styleId="Emphasis">
    <w:name w:val="Emphasis"/>
    <w:basedOn w:val="DefaultParagraphFont"/>
    <w:uiPriority w:val="99"/>
    <w:qFormat/>
    <w:rsid w:val="00776A1F"/>
    <w:rPr>
      <w:rFonts w:cs="Times New Roman"/>
      <w:i/>
    </w:rPr>
  </w:style>
  <w:style w:type="character" w:styleId="PageNumber">
    <w:name w:val="page number"/>
    <w:basedOn w:val="DefaultParagraphFont"/>
    <w:uiPriority w:val="99"/>
    <w:rsid w:val="00371CF6"/>
    <w:rPr>
      <w:rFonts w:cs="Times New Roman"/>
    </w:rPr>
  </w:style>
  <w:style w:type="paragraph" w:customStyle="1" w:styleId="header2">
    <w:name w:val="header2"/>
    <w:uiPriority w:val="99"/>
    <w:rsid w:val="0022250D"/>
    <w:pPr>
      <w:widowControl w:val="0"/>
      <w:tabs>
        <w:tab w:val="left" w:pos="1440"/>
        <w:tab w:val="center" w:pos="4320"/>
        <w:tab w:val="right" w:pos="8640"/>
      </w:tabs>
      <w:suppressAutoHyphens/>
      <w:jc w:val="center"/>
    </w:pPr>
    <w:rPr>
      <w:b/>
      <w:sz w:val="24"/>
    </w:rPr>
  </w:style>
  <w:style w:type="paragraph" w:customStyle="1" w:styleId="Style3">
    <w:name w:val="Style 3"/>
    <w:uiPriority w:val="99"/>
    <w:rsid w:val="0022250D"/>
    <w:pPr>
      <w:widowControl w:val="0"/>
      <w:tabs>
        <w:tab w:val="left" w:pos="-409"/>
        <w:tab w:val="left" w:pos="755"/>
        <w:tab w:val="left" w:pos="1919"/>
        <w:tab w:val="left" w:pos="3083"/>
        <w:tab w:val="left" w:pos="3665"/>
        <w:tab w:val="left" w:pos="4247"/>
        <w:tab w:val="left" w:pos="4829"/>
        <w:tab w:val="left" w:pos="5411"/>
        <w:tab w:val="left" w:pos="5993"/>
        <w:tab w:val="left" w:pos="6575"/>
        <w:tab w:val="left" w:pos="7157"/>
        <w:tab w:val="left" w:pos="7739"/>
        <w:tab w:val="left" w:pos="8321"/>
        <w:tab w:val="left" w:pos="8903"/>
      </w:tabs>
      <w:suppressAutoHyphens/>
    </w:pPr>
    <w:rPr>
      <w:sz w:val="22"/>
    </w:rPr>
  </w:style>
  <w:style w:type="character" w:customStyle="1" w:styleId="604">
    <w:name w:val="60 4"/>
    <w:basedOn w:val="DefaultParagraphFont"/>
    <w:uiPriority w:val="99"/>
    <w:rsid w:val="0022250D"/>
    <w:rPr>
      <w:rFonts w:cs="Times New Roman"/>
    </w:rPr>
  </w:style>
  <w:style w:type="character" w:customStyle="1" w:styleId="605">
    <w:name w:val="60 5"/>
    <w:basedOn w:val="DefaultParagraphFont"/>
    <w:uiPriority w:val="99"/>
    <w:rsid w:val="0022250D"/>
    <w:rPr>
      <w:rFonts w:cs="Times New Roman"/>
    </w:rPr>
  </w:style>
  <w:style w:type="character" w:customStyle="1" w:styleId="606">
    <w:name w:val="60 6"/>
    <w:basedOn w:val="DefaultParagraphFont"/>
    <w:uiPriority w:val="99"/>
    <w:rsid w:val="0022250D"/>
    <w:rPr>
      <w:rFonts w:cs="Times New Roman"/>
    </w:rPr>
  </w:style>
  <w:style w:type="character" w:customStyle="1" w:styleId="Normal1">
    <w:name w:val="Normal1"/>
    <w:uiPriority w:val="99"/>
    <w:rsid w:val="0022250D"/>
    <w:rPr>
      <w:rFonts w:ascii="Times New Roman" w:hAnsi="Times New Roman"/>
      <w:sz w:val="22"/>
      <w:lang w:val="en-US"/>
    </w:rPr>
  </w:style>
  <w:style w:type="paragraph" w:customStyle="1" w:styleId="header1">
    <w:name w:val="header1"/>
    <w:basedOn w:val="Header"/>
    <w:uiPriority w:val="99"/>
    <w:rsid w:val="0022250D"/>
    <w:pPr>
      <w:widowControl/>
      <w:spacing w:after="240"/>
    </w:pPr>
    <w:rPr>
      <w:noProof/>
      <w:kern w:val="0"/>
      <w:szCs w:val="22"/>
    </w:rPr>
  </w:style>
  <w:style w:type="table" w:styleId="TableGrid">
    <w:name w:val="Table Grid"/>
    <w:basedOn w:val="TableNormal"/>
    <w:uiPriority w:val="99"/>
    <w:rsid w:val="0022250D"/>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NumberedList">
    <w:name w:val="Numbered List"/>
    <w:basedOn w:val="Normal"/>
    <w:link w:val="NumberedListChar"/>
    <w:uiPriority w:val="99"/>
    <w:rsid w:val="00A97E7B"/>
    <w:pPr>
      <w:widowControl/>
      <w:spacing w:after="220"/>
      <w:jc w:val="both"/>
    </w:pPr>
    <w:rPr>
      <w:snapToGrid w:val="0"/>
      <w:kern w:val="0"/>
    </w:rPr>
  </w:style>
  <w:style w:type="character" w:customStyle="1" w:styleId="NumberedListChar">
    <w:name w:val="Numbered List Char"/>
    <w:link w:val="NumberedList"/>
    <w:uiPriority w:val="99"/>
    <w:locked/>
    <w:rsid w:val="00962E08"/>
    <w:rPr>
      <w:snapToGrid w:val="0"/>
      <w:sz w:val="22"/>
      <w:lang w:val="en-US" w:eastAsia="en-US"/>
    </w:rPr>
  </w:style>
  <w:style w:type="paragraph" w:styleId="ListBullet">
    <w:name w:val="List Bullet"/>
    <w:basedOn w:val="Normal"/>
    <w:uiPriority w:val="99"/>
    <w:rsid w:val="00A97E7B"/>
    <w:pPr>
      <w:widowControl/>
      <w:tabs>
        <w:tab w:val="num" w:pos="360"/>
      </w:tabs>
      <w:ind w:left="360" w:hanging="360"/>
      <w:jc w:val="both"/>
    </w:pPr>
    <w:rPr>
      <w:kern w:val="0"/>
    </w:rPr>
  </w:style>
  <w:style w:type="character" w:customStyle="1" w:styleId="Footnote">
    <w:name w:val="Footnote"/>
    <w:uiPriority w:val="99"/>
    <w:rsid w:val="00A97E7B"/>
    <w:rPr>
      <w:rFonts w:ascii="Times New Roman" w:hAnsi="Times New Roman"/>
      <w:sz w:val="20"/>
      <w:lang w:val="en-US"/>
    </w:rPr>
  </w:style>
  <w:style w:type="paragraph" w:customStyle="1" w:styleId="ADKBodyText">
    <w:name w:val="ADK Body Text"/>
    <w:basedOn w:val="Normal"/>
    <w:uiPriority w:val="99"/>
    <w:rsid w:val="00A97E7B"/>
    <w:pPr>
      <w:widowControl/>
      <w:spacing w:after="240"/>
      <w:ind w:firstLine="720"/>
    </w:pPr>
    <w:rPr>
      <w:kern w:val="0"/>
      <w:sz w:val="24"/>
      <w:szCs w:val="24"/>
    </w:rPr>
  </w:style>
  <w:style w:type="character" w:styleId="CommentReference">
    <w:name w:val="annotation reference"/>
    <w:basedOn w:val="DefaultParagraphFont"/>
    <w:uiPriority w:val="99"/>
    <w:rsid w:val="00260429"/>
    <w:rPr>
      <w:rFonts w:cs="Times New Roman"/>
      <w:sz w:val="16"/>
    </w:rPr>
  </w:style>
  <w:style w:type="paragraph" w:styleId="CommentText">
    <w:name w:val="annotation text"/>
    <w:basedOn w:val="Normal"/>
    <w:link w:val="CommentTextChar2"/>
    <w:uiPriority w:val="99"/>
    <w:rsid w:val="00260429"/>
    <w:rPr>
      <w:snapToGrid w:val="0"/>
      <w:sz w:val="20"/>
    </w:rPr>
  </w:style>
  <w:style w:type="character" w:customStyle="1" w:styleId="CommentTextChar">
    <w:name w:val="Comment Text Char"/>
    <w:basedOn w:val="DefaultParagraphFont"/>
    <w:uiPriority w:val="99"/>
    <w:locked/>
    <w:rsid w:val="00FC4F6C"/>
    <w:rPr>
      <w:rFonts w:eastAsia="SimSun" w:cs="Times New Roman"/>
      <w:snapToGrid w:val="0"/>
      <w:kern w:val="28"/>
    </w:rPr>
  </w:style>
  <w:style w:type="character" w:customStyle="1" w:styleId="CommentTextChar2">
    <w:name w:val="Comment Text Char2"/>
    <w:link w:val="CommentText"/>
    <w:uiPriority w:val="99"/>
    <w:locked/>
    <w:rsid w:val="00793DA0"/>
    <w:rPr>
      <w:snapToGrid w:val="0"/>
      <w:kern w:val="28"/>
      <w:lang w:val="en-US" w:eastAsia="en-US"/>
    </w:rPr>
  </w:style>
  <w:style w:type="paragraph" w:styleId="CommentSubject">
    <w:name w:val="annotation subject"/>
    <w:basedOn w:val="CommentText"/>
    <w:next w:val="CommentText"/>
    <w:link w:val="CommentSubjectChar"/>
    <w:uiPriority w:val="99"/>
    <w:rsid w:val="00260429"/>
    <w:rPr>
      <w:b/>
      <w:bCs/>
    </w:rPr>
  </w:style>
  <w:style w:type="character" w:customStyle="1" w:styleId="CommentSubjectChar">
    <w:name w:val="Comment Subject Char"/>
    <w:basedOn w:val="CommentTextChar2"/>
    <w:link w:val="CommentSubject"/>
    <w:uiPriority w:val="99"/>
    <w:locked/>
    <w:rsid w:val="00793DA0"/>
    <w:rPr>
      <w:rFonts w:cs="Times New Roman"/>
      <w:b/>
      <w:snapToGrid w:val="0"/>
      <w:kern w:val="28"/>
      <w:lang w:val="en-US" w:eastAsia="en-US"/>
    </w:rPr>
  </w:style>
  <w:style w:type="paragraph" w:customStyle="1" w:styleId="TopHeaderStyle">
    <w:name w:val="Top Header Style"/>
    <w:basedOn w:val="Heading1"/>
    <w:uiPriority w:val="99"/>
    <w:rsid w:val="0057506A"/>
    <w:pPr>
      <w:numPr>
        <w:numId w:val="27"/>
      </w:numPr>
      <w:tabs>
        <w:tab w:val="num" w:pos="720"/>
      </w:tabs>
    </w:pPr>
  </w:style>
  <w:style w:type="paragraph" w:customStyle="1" w:styleId="Paratitle">
    <w:name w:val="Para title"/>
    <w:basedOn w:val="Normal"/>
    <w:uiPriority w:val="99"/>
    <w:rsid w:val="00371CF6"/>
    <w:pPr>
      <w:tabs>
        <w:tab w:val="center" w:pos="9270"/>
      </w:tabs>
      <w:spacing w:after="240"/>
    </w:pPr>
    <w:rPr>
      <w:spacing w:val="-2"/>
    </w:rPr>
  </w:style>
  <w:style w:type="paragraph" w:customStyle="1" w:styleId="TOCTitle">
    <w:name w:val="TOC Title"/>
    <w:basedOn w:val="Normal"/>
    <w:uiPriority w:val="99"/>
    <w:rsid w:val="00371CF6"/>
    <w:pPr>
      <w:spacing w:before="240" w:after="240"/>
      <w:jc w:val="center"/>
    </w:pPr>
    <w:rPr>
      <w:rFonts w:ascii="Times New Roman Bold" w:hAnsi="Times New Roman Bold"/>
      <w:b/>
      <w:caps/>
      <w:spacing w:val="-2"/>
    </w:rPr>
  </w:style>
  <w:style w:type="paragraph" w:customStyle="1" w:styleId="Style1">
    <w:name w:val="Style1"/>
    <w:basedOn w:val="ParaNum"/>
    <w:uiPriority w:val="99"/>
    <w:rsid w:val="00730315"/>
  </w:style>
  <w:style w:type="paragraph" w:customStyle="1" w:styleId="StyleBoldCentered">
    <w:name w:val="Style Bold Centered"/>
    <w:basedOn w:val="Normal"/>
    <w:uiPriority w:val="99"/>
    <w:rsid w:val="00371CF6"/>
    <w:pPr>
      <w:jc w:val="center"/>
    </w:pPr>
    <w:rPr>
      <w:rFonts w:ascii="Times New Roman Bold" w:hAnsi="Times New Roman Bold"/>
      <w:b/>
      <w:bCs/>
      <w:caps/>
      <w:szCs w:val="22"/>
    </w:rPr>
  </w:style>
  <w:style w:type="paragraph" w:customStyle="1" w:styleId="StyleTOC112ptNotAllcaps">
    <w:name w:val="Style TOC 1 + 12 pt Not All caps"/>
    <w:basedOn w:val="TOC1"/>
    <w:link w:val="StyleTOC112ptNotAllcapsChar"/>
    <w:uiPriority w:val="99"/>
    <w:rsid w:val="00CE2CEC"/>
    <w:rPr>
      <w:sz w:val="24"/>
    </w:rPr>
  </w:style>
  <w:style w:type="character" w:customStyle="1" w:styleId="StyleTOC112ptNotAllcapsChar">
    <w:name w:val="Style TOC 1 + 12 pt Not All caps Char"/>
    <w:link w:val="StyleTOC112ptNotAllcaps"/>
    <w:uiPriority w:val="99"/>
    <w:locked/>
    <w:rsid w:val="00CE2CEC"/>
    <w:rPr>
      <w:rFonts w:eastAsia="Times New Roman"/>
      <w:caps/>
      <w:noProof/>
      <w:snapToGrid w:val="0"/>
      <w:kern w:val="28"/>
      <w:sz w:val="24"/>
    </w:rPr>
  </w:style>
  <w:style w:type="character" w:customStyle="1" w:styleId="EquationCaption">
    <w:name w:val="_Equation Caption"/>
    <w:uiPriority w:val="99"/>
    <w:rsid w:val="00371CF6"/>
  </w:style>
  <w:style w:type="character" w:customStyle="1" w:styleId="primaryheadline">
    <w:name w:val="primaryheadline"/>
    <w:basedOn w:val="DefaultParagraphFont"/>
    <w:uiPriority w:val="99"/>
    <w:rsid w:val="00D924B0"/>
    <w:rPr>
      <w:rFonts w:cs="Times New Roman"/>
    </w:rPr>
  </w:style>
  <w:style w:type="paragraph" w:styleId="Caption">
    <w:name w:val="caption"/>
    <w:basedOn w:val="Normal"/>
    <w:next w:val="Normal"/>
    <w:uiPriority w:val="99"/>
    <w:qFormat/>
    <w:rsid w:val="00C34360"/>
    <w:pPr>
      <w:widowControl/>
      <w:spacing w:before="120" w:after="120"/>
    </w:pPr>
    <w:rPr>
      <w:b/>
      <w:bCs/>
      <w:kern w:val="0"/>
      <w:sz w:val="24"/>
    </w:rPr>
  </w:style>
  <w:style w:type="character" w:customStyle="1" w:styleId="documentbody1">
    <w:name w:val="documentbody1"/>
    <w:uiPriority w:val="99"/>
    <w:rsid w:val="00C17759"/>
    <w:rPr>
      <w:rFonts w:ascii="Verdana" w:hAnsi="Verdana"/>
      <w:sz w:val="19"/>
      <w:shd w:val="clear" w:color="auto" w:fill="FFFFFF"/>
    </w:rPr>
  </w:style>
  <w:style w:type="paragraph" w:customStyle="1" w:styleId="ParaNumChar">
    <w:name w:val="ParaNum Char"/>
    <w:basedOn w:val="Normal"/>
    <w:link w:val="ParaNumCharChar"/>
    <w:uiPriority w:val="99"/>
    <w:rsid w:val="00C17759"/>
    <w:pPr>
      <w:numPr>
        <w:numId w:val="29"/>
      </w:numPr>
      <w:tabs>
        <w:tab w:val="clear" w:pos="1080"/>
        <w:tab w:val="left" w:pos="1440"/>
      </w:tabs>
      <w:spacing w:after="220"/>
      <w:jc w:val="both"/>
    </w:pPr>
    <w:rPr>
      <w:sz w:val="20"/>
    </w:rPr>
  </w:style>
  <w:style w:type="character" w:customStyle="1" w:styleId="ParaNumCharChar">
    <w:name w:val="ParaNum Char Char"/>
    <w:link w:val="ParaNumChar"/>
    <w:uiPriority w:val="99"/>
    <w:locked/>
    <w:rsid w:val="00C17759"/>
    <w:rPr>
      <w:kern w:val="28"/>
      <w:sz w:val="20"/>
      <w:szCs w:val="20"/>
    </w:rPr>
  </w:style>
  <w:style w:type="character" w:customStyle="1" w:styleId="documentbody">
    <w:name w:val="documentbody"/>
    <w:basedOn w:val="DefaultParagraphFont"/>
    <w:uiPriority w:val="99"/>
    <w:rsid w:val="00C17759"/>
    <w:rPr>
      <w:rFonts w:cs="Times New Roman"/>
    </w:rPr>
  </w:style>
  <w:style w:type="paragraph" w:customStyle="1" w:styleId="Table">
    <w:name w:val="Table"/>
    <w:basedOn w:val="Normal"/>
    <w:uiPriority w:val="99"/>
    <w:rsid w:val="00C17759"/>
    <w:pPr>
      <w:keepNext/>
      <w:widowControl/>
      <w:tabs>
        <w:tab w:val="left" w:pos="360"/>
      </w:tabs>
      <w:jc w:val="center"/>
    </w:pPr>
    <w:rPr>
      <w:rFonts w:ascii="Book Antiqua" w:hAnsi="Book Antiqua"/>
      <w:kern w:val="0"/>
      <w:sz w:val="17"/>
    </w:rPr>
  </w:style>
  <w:style w:type="character" w:customStyle="1" w:styleId="groupheading1">
    <w:name w:val="groupheading1"/>
    <w:uiPriority w:val="99"/>
    <w:rsid w:val="00C17759"/>
    <w:rPr>
      <w:rFonts w:ascii="Verdana" w:hAnsi="Verdana"/>
      <w:b/>
      <w:sz w:val="19"/>
    </w:rPr>
  </w:style>
  <w:style w:type="character" w:customStyle="1" w:styleId="informationalsmall1">
    <w:name w:val="informationalsmall1"/>
    <w:uiPriority w:val="99"/>
    <w:rsid w:val="00C17759"/>
    <w:rPr>
      <w:rFonts w:ascii="Verdana" w:hAnsi="Verdana"/>
      <w:sz w:val="14"/>
    </w:rPr>
  </w:style>
  <w:style w:type="character" w:customStyle="1" w:styleId="inside-head1">
    <w:name w:val="inside-head1"/>
    <w:uiPriority w:val="99"/>
    <w:rsid w:val="005A37F6"/>
    <w:rPr>
      <w:b/>
      <w:color w:val="000000"/>
      <w:spacing w:val="-15"/>
      <w:sz w:val="45"/>
    </w:rPr>
  </w:style>
  <w:style w:type="character" w:customStyle="1" w:styleId="EmailStyle92">
    <w:name w:val="EmailStyle92"/>
    <w:uiPriority w:val="99"/>
    <w:semiHidden/>
    <w:rsid w:val="00AE6BEF"/>
    <w:rPr>
      <w:rFonts w:ascii="Arial" w:hAnsi="Arial"/>
      <w:color w:val="auto"/>
      <w:sz w:val="20"/>
    </w:rPr>
  </w:style>
  <w:style w:type="character" w:customStyle="1" w:styleId="EmailStyle93">
    <w:name w:val="EmailStyle93"/>
    <w:uiPriority w:val="99"/>
    <w:semiHidden/>
    <w:rsid w:val="00DF15AF"/>
    <w:rPr>
      <w:rFonts w:ascii="Arial" w:hAnsi="Arial"/>
      <w:color w:val="auto"/>
      <w:sz w:val="20"/>
    </w:rPr>
  </w:style>
  <w:style w:type="table" w:customStyle="1" w:styleId="TableGrid1">
    <w:name w:val="Table Grid1"/>
    <w:uiPriority w:val="99"/>
    <w:rsid w:val="003F07A6"/>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EmailStyle95">
    <w:name w:val="EmailStyle95"/>
    <w:uiPriority w:val="99"/>
    <w:semiHidden/>
    <w:rsid w:val="00B33A93"/>
    <w:rPr>
      <w:rFonts w:ascii="Arial" w:hAnsi="Arial"/>
      <w:color w:val="auto"/>
      <w:sz w:val="20"/>
    </w:rPr>
  </w:style>
  <w:style w:type="character" w:customStyle="1" w:styleId="Heading3Char1Char">
    <w:name w:val="Heading 3 Char1 Char"/>
    <w:aliases w:val="Heading 3 Char Char Char,Heading 3 Char1 Char Char Char,Heading 3 Char Char Char Char Char,Heading 3 Char1 Char Char Char Char Char,Heading 3 Char Char Char Char Char Char Char,Heading 3 Char1 Char Char Char Char Char Char Char"/>
    <w:uiPriority w:val="99"/>
    <w:rsid w:val="00B64A81"/>
    <w:rPr>
      <w:b/>
      <w:snapToGrid w:val="0"/>
      <w:kern w:val="28"/>
      <w:sz w:val="22"/>
      <w:lang w:val="en-US" w:eastAsia="en-US"/>
    </w:rPr>
  </w:style>
  <w:style w:type="character" w:customStyle="1" w:styleId="StyleFootnoteReferenceAppelnotedebasdepStyle12NECGFoo">
    <w:name w:val="Style Footnote ReferenceAppel note de bas de pStyle 12(NECG) Foo..."/>
    <w:uiPriority w:val="99"/>
    <w:rsid w:val="00B64A81"/>
    <w:rPr>
      <w:rFonts w:ascii="Times New Roman" w:eastAsia="SimSun" w:hAnsi="Times New Roman"/>
      <w:color w:val="auto"/>
      <w:sz w:val="22"/>
      <w:vertAlign w:val="superscript"/>
    </w:rPr>
  </w:style>
  <w:style w:type="paragraph" w:customStyle="1" w:styleId="Default">
    <w:name w:val="Default"/>
    <w:uiPriority w:val="99"/>
    <w:rsid w:val="00A5055B"/>
    <w:pPr>
      <w:autoSpaceDE w:val="0"/>
      <w:autoSpaceDN w:val="0"/>
      <w:adjustRightInd w:val="0"/>
    </w:pPr>
    <w:rPr>
      <w:rFonts w:ascii="Arial" w:hAnsi="Arial" w:cs="Arial"/>
      <w:color w:val="000000"/>
      <w:sz w:val="24"/>
      <w:szCs w:val="24"/>
    </w:rPr>
  </w:style>
  <w:style w:type="character" w:customStyle="1" w:styleId="primaryheadline2">
    <w:name w:val="primaryheadline2"/>
    <w:uiPriority w:val="99"/>
    <w:rsid w:val="00A5055B"/>
    <w:rPr>
      <w:b/>
      <w:color w:val="000000"/>
      <w:sz w:val="29"/>
    </w:rPr>
  </w:style>
  <w:style w:type="character" w:customStyle="1" w:styleId="CharChar9">
    <w:name w:val="Char Char9"/>
    <w:uiPriority w:val="99"/>
    <w:rsid w:val="006E5F82"/>
    <w:rPr>
      <w:rFonts w:ascii="Times New Roman Bold" w:hAnsi="Times New Roman Bold"/>
      <w:b/>
      <w:caps/>
      <w:snapToGrid w:val="0"/>
      <w:kern w:val="28"/>
      <w:sz w:val="22"/>
      <w:lang w:val="en-US" w:eastAsia="en-US"/>
    </w:rPr>
  </w:style>
  <w:style w:type="character" w:customStyle="1" w:styleId="CharChar7">
    <w:name w:val="Char Char7"/>
    <w:uiPriority w:val="99"/>
    <w:rsid w:val="006E5F82"/>
    <w:rPr>
      <w:b/>
      <w:snapToGrid w:val="0"/>
      <w:kern w:val="28"/>
      <w:sz w:val="22"/>
      <w:lang w:val="en-US" w:eastAsia="en-US"/>
    </w:rPr>
  </w:style>
  <w:style w:type="character" w:customStyle="1" w:styleId="CharChar6">
    <w:name w:val="Char Char6"/>
    <w:uiPriority w:val="99"/>
    <w:rsid w:val="006E5F82"/>
    <w:rPr>
      <w:b/>
      <w:snapToGrid w:val="0"/>
      <w:kern w:val="28"/>
      <w:sz w:val="22"/>
      <w:lang w:val="en-US" w:eastAsia="en-US"/>
    </w:rPr>
  </w:style>
  <w:style w:type="character" w:customStyle="1" w:styleId="CharChar8">
    <w:name w:val="Char Char8"/>
    <w:uiPriority w:val="99"/>
    <w:rsid w:val="006E5F82"/>
    <w:rPr>
      <w:b/>
      <w:snapToGrid w:val="0"/>
      <w:kern w:val="28"/>
      <w:sz w:val="22"/>
      <w:lang w:val="en-US" w:eastAsia="en-US"/>
    </w:rPr>
  </w:style>
  <w:style w:type="character" w:customStyle="1" w:styleId="FootnoteTextChar2Char1">
    <w:name w:val="Footnote Text Char2 Char1"/>
    <w:aliases w:val="Footnote Text Char1 Char Char1 Char1,Footnote Text Char Char Char Char1 Char1,Footnote Text Char2 Char1 Char Char Char1 Char1,Footnote Text Char1 Char Char1 Char Char1 Char1 Char1"/>
    <w:uiPriority w:val="99"/>
    <w:locked/>
    <w:rsid w:val="007D3517"/>
    <w:rPr>
      <w:rFonts w:ascii="Times New Roman" w:hAnsi="Times New Roman"/>
      <w:snapToGrid w:val="0"/>
      <w:kern w:val="28"/>
      <w:sz w:val="20"/>
    </w:rPr>
  </w:style>
  <w:style w:type="character" w:customStyle="1" w:styleId="hl">
    <w:name w:val="hl"/>
    <w:basedOn w:val="DefaultParagraphFont"/>
    <w:uiPriority w:val="99"/>
    <w:rsid w:val="00120432"/>
    <w:rPr>
      <w:rFonts w:cs="Times New Roman"/>
    </w:rPr>
  </w:style>
  <w:style w:type="character" w:customStyle="1" w:styleId="FootnoteTextChar3">
    <w:name w:val="Footnote Text Char3"/>
    <w:aliases w:val="Footnote Text Char Char1,Footnote Text Char1 Char Char1,Footnote Text Char Char Char Char1,Footnote Text Char2 Char1 Char Char Char1,Footnote Text Char1 Char Char1 Char Char1 Char1,Footnote Text Char Char Char Char1 Char Char1 Char1"/>
    <w:uiPriority w:val="99"/>
    <w:semiHidden/>
    <w:locked/>
    <w:rsid w:val="00731469"/>
    <w:rPr>
      <w:rFonts w:eastAsia="Times New Roman"/>
      <w:lang w:val="en-US" w:eastAsia="en-US"/>
    </w:rPr>
  </w:style>
  <w:style w:type="character" w:customStyle="1" w:styleId="ccbnttl">
    <w:name w:val="ccbnttl"/>
    <w:basedOn w:val="DefaultParagraphFont"/>
    <w:uiPriority w:val="99"/>
    <w:rsid w:val="001C0924"/>
    <w:rPr>
      <w:rFonts w:cs="Times New Roman"/>
    </w:rPr>
  </w:style>
  <w:style w:type="character" w:customStyle="1" w:styleId="CharChar10">
    <w:name w:val="Char Char10"/>
    <w:uiPriority w:val="99"/>
    <w:rsid w:val="00351310"/>
    <w:rPr>
      <w:rFonts w:ascii="Times New Roman Bold" w:hAnsi="Times New Roman Bold"/>
      <w:b/>
      <w:caps/>
      <w:snapToGrid w:val="0"/>
      <w:kern w:val="28"/>
      <w:sz w:val="22"/>
      <w:lang w:val="en-US" w:eastAsia="en-US"/>
    </w:rPr>
  </w:style>
  <w:style w:type="paragraph" w:styleId="Revision">
    <w:name w:val="Revision"/>
    <w:hidden/>
    <w:uiPriority w:val="99"/>
    <w:rsid w:val="00351310"/>
    <w:rPr>
      <w:kern w:val="28"/>
      <w:sz w:val="22"/>
    </w:rPr>
  </w:style>
  <w:style w:type="paragraph" w:styleId="BodyText3">
    <w:name w:val="Body Text 3"/>
    <w:basedOn w:val="Normal"/>
    <w:link w:val="BodyText3Char"/>
    <w:uiPriority w:val="99"/>
    <w:rsid w:val="00184626"/>
    <w:pPr>
      <w:spacing w:after="120"/>
    </w:pPr>
    <w:rPr>
      <w:sz w:val="16"/>
      <w:szCs w:val="16"/>
    </w:rPr>
  </w:style>
  <w:style w:type="character" w:customStyle="1" w:styleId="BodyText3Char">
    <w:name w:val="Body Text 3 Char"/>
    <w:basedOn w:val="DefaultParagraphFont"/>
    <w:link w:val="BodyText3"/>
    <w:uiPriority w:val="99"/>
    <w:locked/>
    <w:rsid w:val="00793DA0"/>
    <w:rPr>
      <w:rFonts w:cs="Times New Roman"/>
      <w:snapToGrid w:val="0"/>
      <w:kern w:val="28"/>
      <w:sz w:val="16"/>
      <w:lang w:val="en-US" w:eastAsia="en-US"/>
    </w:rPr>
  </w:style>
  <w:style w:type="paragraph" w:customStyle="1" w:styleId="xl22">
    <w:name w:val="xl22"/>
    <w:basedOn w:val="Normal"/>
    <w:uiPriority w:val="99"/>
    <w:rsid w:val="00F25280"/>
    <w:pPr>
      <w:widowControl/>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kern w:val="0"/>
      <w:sz w:val="16"/>
      <w:szCs w:val="16"/>
      <w:lang w:eastAsia="zh-CN"/>
    </w:rPr>
  </w:style>
  <w:style w:type="paragraph" w:styleId="TableofFigures">
    <w:name w:val="table of figures"/>
    <w:basedOn w:val="Normal"/>
    <w:next w:val="Normal"/>
    <w:uiPriority w:val="99"/>
    <w:rsid w:val="00573504"/>
    <w:rPr>
      <w:sz w:val="20"/>
    </w:rPr>
  </w:style>
  <w:style w:type="paragraph" w:customStyle="1" w:styleId="xl23">
    <w:name w:val="xl23"/>
    <w:basedOn w:val="Normal"/>
    <w:uiPriority w:val="99"/>
    <w:rsid w:val="00F25280"/>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kern w:val="0"/>
      <w:sz w:val="16"/>
      <w:szCs w:val="16"/>
      <w:lang w:eastAsia="zh-CN"/>
    </w:rPr>
  </w:style>
  <w:style w:type="paragraph" w:customStyle="1" w:styleId="xl24">
    <w:name w:val="xl24"/>
    <w:basedOn w:val="Normal"/>
    <w:uiPriority w:val="99"/>
    <w:rsid w:val="00F25280"/>
    <w:pPr>
      <w:widowControl/>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top"/>
    </w:pPr>
    <w:rPr>
      <w:kern w:val="0"/>
      <w:sz w:val="16"/>
      <w:szCs w:val="16"/>
      <w:lang w:eastAsia="zh-CN"/>
    </w:rPr>
  </w:style>
  <w:style w:type="paragraph" w:customStyle="1" w:styleId="xl25">
    <w:name w:val="xl25"/>
    <w:basedOn w:val="Normal"/>
    <w:uiPriority w:val="99"/>
    <w:rsid w:val="00F25280"/>
    <w:pPr>
      <w:widowControl/>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top"/>
    </w:pPr>
    <w:rPr>
      <w:color w:val="000000"/>
      <w:kern w:val="0"/>
      <w:sz w:val="16"/>
      <w:szCs w:val="16"/>
      <w:lang w:eastAsia="zh-CN"/>
    </w:rPr>
  </w:style>
  <w:style w:type="paragraph" w:customStyle="1" w:styleId="xl26">
    <w:name w:val="xl26"/>
    <w:basedOn w:val="Normal"/>
    <w:uiPriority w:val="99"/>
    <w:rsid w:val="00F25280"/>
    <w:pPr>
      <w:widowControl/>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top"/>
    </w:pPr>
    <w:rPr>
      <w:color w:val="000000"/>
      <w:kern w:val="0"/>
      <w:sz w:val="16"/>
      <w:szCs w:val="16"/>
      <w:lang w:eastAsia="zh-CN"/>
    </w:rPr>
  </w:style>
  <w:style w:type="paragraph" w:customStyle="1" w:styleId="xl27">
    <w:name w:val="xl27"/>
    <w:basedOn w:val="Normal"/>
    <w:uiPriority w:val="99"/>
    <w:rsid w:val="00F25280"/>
    <w:pPr>
      <w:widowControl/>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kern w:val="0"/>
      <w:sz w:val="16"/>
      <w:szCs w:val="16"/>
      <w:lang w:eastAsia="zh-CN"/>
    </w:rPr>
  </w:style>
  <w:style w:type="paragraph" w:customStyle="1" w:styleId="xl28">
    <w:name w:val="xl28"/>
    <w:basedOn w:val="Normal"/>
    <w:uiPriority w:val="99"/>
    <w:rsid w:val="00F25280"/>
    <w:pPr>
      <w:widowControl/>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top"/>
    </w:pPr>
    <w:rPr>
      <w:kern w:val="0"/>
      <w:sz w:val="16"/>
      <w:szCs w:val="16"/>
      <w:lang w:eastAsia="zh-CN"/>
    </w:rPr>
  </w:style>
  <w:style w:type="paragraph" w:customStyle="1" w:styleId="xl29">
    <w:name w:val="xl29"/>
    <w:basedOn w:val="Normal"/>
    <w:uiPriority w:val="99"/>
    <w:rsid w:val="00F25280"/>
    <w:pPr>
      <w:widowControl/>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top"/>
    </w:pPr>
    <w:rPr>
      <w:color w:val="000000"/>
      <w:kern w:val="0"/>
      <w:sz w:val="16"/>
      <w:szCs w:val="16"/>
      <w:lang w:eastAsia="zh-CN"/>
    </w:rPr>
  </w:style>
  <w:style w:type="paragraph" w:customStyle="1" w:styleId="paranum0">
    <w:name w:val="paranum"/>
    <w:basedOn w:val="Normal"/>
    <w:uiPriority w:val="99"/>
    <w:rsid w:val="00434C56"/>
    <w:pPr>
      <w:widowControl/>
      <w:tabs>
        <w:tab w:val="num" w:pos="1080"/>
      </w:tabs>
      <w:spacing w:after="120"/>
      <w:ind w:firstLine="720"/>
    </w:pPr>
    <w:rPr>
      <w:kern w:val="0"/>
      <w:sz w:val="24"/>
      <w:szCs w:val="24"/>
    </w:rPr>
  </w:style>
  <w:style w:type="character" w:customStyle="1" w:styleId="Heading2Char1">
    <w:name w:val="Heading 2 Char1"/>
    <w:uiPriority w:val="99"/>
    <w:locked/>
    <w:rsid w:val="00793DA0"/>
    <w:rPr>
      <w:rFonts w:eastAsia="SimSun"/>
      <w:b/>
      <w:kern w:val="28"/>
      <w:sz w:val="22"/>
      <w:lang w:val="en-US" w:eastAsia="en-US"/>
    </w:rPr>
  </w:style>
  <w:style w:type="character" w:customStyle="1" w:styleId="TOC1Char">
    <w:name w:val="TOC 1 Char"/>
    <w:uiPriority w:val="99"/>
    <w:locked/>
    <w:rsid w:val="00793DA0"/>
    <w:rPr>
      <w:caps/>
      <w:noProof/>
      <w:snapToGrid w:val="0"/>
      <w:kern w:val="28"/>
      <w:sz w:val="22"/>
      <w:lang w:val="en-US" w:eastAsia="en-US"/>
    </w:rPr>
  </w:style>
  <w:style w:type="character" w:customStyle="1" w:styleId="CharChar93">
    <w:name w:val="Char Char93"/>
    <w:uiPriority w:val="99"/>
    <w:rsid w:val="00793DA0"/>
    <w:rPr>
      <w:rFonts w:ascii="Times New Roman Bold" w:hAnsi="Times New Roman Bold"/>
      <w:b/>
      <w:caps/>
      <w:snapToGrid w:val="0"/>
      <w:kern w:val="28"/>
      <w:sz w:val="22"/>
      <w:lang w:val="en-US" w:eastAsia="en-US"/>
    </w:rPr>
  </w:style>
  <w:style w:type="character" w:customStyle="1" w:styleId="CharChar73">
    <w:name w:val="Char Char73"/>
    <w:uiPriority w:val="99"/>
    <w:rsid w:val="00793DA0"/>
    <w:rPr>
      <w:b/>
      <w:snapToGrid w:val="0"/>
      <w:kern w:val="28"/>
      <w:sz w:val="22"/>
      <w:lang w:val="en-US" w:eastAsia="en-US"/>
    </w:rPr>
  </w:style>
  <w:style w:type="character" w:customStyle="1" w:styleId="CharChar63">
    <w:name w:val="Char Char63"/>
    <w:uiPriority w:val="99"/>
    <w:rsid w:val="00793DA0"/>
    <w:rPr>
      <w:b/>
      <w:snapToGrid w:val="0"/>
      <w:kern w:val="28"/>
      <w:sz w:val="22"/>
      <w:lang w:val="en-US" w:eastAsia="en-US"/>
    </w:rPr>
  </w:style>
  <w:style w:type="character" w:customStyle="1" w:styleId="CharChar83">
    <w:name w:val="Char Char83"/>
    <w:uiPriority w:val="99"/>
    <w:rsid w:val="00793DA0"/>
    <w:rPr>
      <w:b/>
      <w:snapToGrid w:val="0"/>
      <w:kern w:val="28"/>
      <w:sz w:val="22"/>
      <w:lang w:val="en-US" w:eastAsia="en-US"/>
    </w:rPr>
  </w:style>
  <w:style w:type="character" w:customStyle="1" w:styleId="CharChar103">
    <w:name w:val="Char Char103"/>
    <w:uiPriority w:val="99"/>
    <w:rsid w:val="00793DA0"/>
    <w:rPr>
      <w:rFonts w:ascii="Times New Roman Bold" w:hAnsi="Times New Roman Bold"/>
      <w:b/>
      <w:caps/>
      <w:snapToGrid w:val="0"/>
      <w:kern w:val="28"/>
      <w:sz w:val="22"/>
      <w:lang w:val="en-US" w:eastAsia="en-US"/>
    </w:rPr>
  </w:style>
  <w:style w:type="character" w:customStyle="1" w:styleId="FootnoteTextChar2CharCharChar">
    <w:name w:val="Footnote Text Char2 Char Char Char"/>
    <w:aliases w:val="Footnote Text Char Char1 Char Char Char,Footnote Text Char2 Char Char Char Char Char,Footnote Text Char1 Char Char Char Char Char Char,fn Char,f Char Char,Footnote Text Char2 Char,Footnote Text Char1 Char Char2 Char"/>
    <w:uiPriority w:val="99"/>
    <w:rsid w:val="00C36DEC"/>
    <w:rPr>
      <w:lang w:val="en-US" w:eastAsia="en-US"/>
    </w:rPr>
  </w:style>
  <w:style w:type="character" w:customStyle="1" w:styleId="CharChar21">
    <w:name w:val="Char Char21"/>
    <w:uiPriority w:val="99"/>
    <w:rsid w:val="00A84F04"/>
    <w:rPr>
      <w:rFonts w:ascii="Times New Roman Bold" w:hAnsi="Times New Roman Bold"/>
      <w:b/>
      <w:caps/>
      <w:snapToGrid w:val="0"/>
      <w:kern w:val="28"/>
      <w:sz w:val="22"/>
      <w:lang w:val="en-US" w:eastAsia="en-US"/>
    </w:rPr>
  </w:style>
  <w:style w:type="character" w:customStyle="1" w:styleId="CharChar20">
    <w:name w:val="Char Char20"/>
    <w:uiPriority w:val="99"/>
    <w:rsid w:val="00A84F04"/>
    <w:rPr>
      <w:b/>
      <w:snapToGrid w:val="0"/>
      <w:kern w:val="28"/>
      <w:sz w:val="22"/>
      <w:lang w:val="en-US" w:eastAsia="en-US"/>
    </w:rPr>
  </w:style>
  <w:style w:type="character" w:customStyle="1" w:styleId="CharChar19">
    <w:name w:val="Char Char19"/>
    <w:uiPriority w:val="99"/>
    <w:rsid w:val="00A84F04"/>
    <w:rPr>
      <w:b/>
      <w:snapToGrid w:val="0"/>
      <w:kern w:val="28"/>
      <w:sz w:val="22"/>
      <w:lang w:val="en-US" w:eastAsia="en-US"/>
    </w:rPr>
  </w:style>
  <w:style w:type="character" w:customStyle="1" w:styleId="CharChar18">
    <w:name w:val="Char Char18"/>
    <w:uiPriority w:val="99"/>
    <w:rsid w:val="00A84F04"/>
    <w:rPr>
      <w:b/>
      <w:snapToGrid w:val="0"/>
      <w:kern w:val="28"/>
      <w:sz w:val="22"/>
      <w:lang w:val="en-US" w:eastAsia="en-US"/>
    </w:rPr>
  </w:style>
  <w:style w:type="character" w:customStyle="1" w:styleId="CharChar17">
    <w:name w:val="Char Char17"/>
    <w:uiPriority w:val="99"/>
    <w:rsid w:val="00A84F04"/>
    <w:rPr>
      <w:b/>
      <w:snapToGrid w:val="0"/>
      <w:kern w:val="28"/>
      <w:sz w:val="22"/>
      <w:lang w:val="en-US" w:eastAsia="en-US"/>
    </w:rPr>
  </w:style>
  <w:style w:type="character" w:customStyle="1" w:styleId="CharChar16">
    <w:name w:val="Char Char16"/>
    <w:uiPriority w:val="99"/>
    <w:locked/>
    <w:rsid w:val="00A84F04"/>
    <w:rPr>
      <w:b/>
      <w:snapToGrid w:val="0"/>
      <w:kern w:val="28"/>
      <w:sz w:val="22"/>
      <w:lang w:val="en-US" w:eastAsia="en-US"/>
    </w:rPr>
  </w:style>
  <w:style w:type="character" w:customStyle="1" w:styleId="CharChar15">
    <w:name w:val="Char Char15"/>
    <w:uiPriority w:val="99"/>
    <w:locked/>
    <w:rsid w:val="00A84F04"/>
    <w:rPr>
      <w:b/>
      <w:snapToGrid w:val="0"/>
      <w:kern w:val="28"/>
      <w:sz w:val="22"/>
      <w:lang w:val="en-US" w:eastAsia="en-US"/>
    </w:rPr>
  </w:style>
  <w:style w:type="character" w:customStyle="1" w:styleId="CharChar14">
    <w:name w:val="Char Char14"/>
    <w:uiPriority w:val="99"/>
    <w:locked/>
    <w:rsid w:val="00A84F04"/>
    <w:rPr>
      <w:b/>
      <w:snapToGrid w:val="0"/>
      <w:kern w:val="28"/>
      <w:sz w:val="22"/>
      <w:lang w:val="en-US" w:eastAsia="en-US"/>
    </w:rPr>
  </w:style>
  <w:style w:type="character" w:customStyle="1" w:styleId="CharChar13">
    <w:name w:val="Char Char13"/>
    <w:uiPriority w:val="99"/>
    <w:locked/>
    <w:rsid w:val="00A84F04"/>
    <w:rPr>
      <w:b/>
      <w:snapToGrid w:val="0"/>
      <w:kern w:val="28"/>
      <w:sz w:val="22"/>
      <w:lang w:val="en-US" w:eastAsia="en-US"/>
    </w:rPr>
  </w:style>
  <w:style w:type="character" w:customStyle="1" w:styleId="CharChar11">
    <w:name w:val="Char Char11"/>
    <w:uiPriority w:val="99"/>
    <w:rsid w:val="00A84F04"/>
    <w:rPr>
      <w:caps/>
      <w:noProof/>
      <w:snapToGrid w:val="0"/>
      <w:kern w:val="28"/>
      <w:sz w:val="22"/>
      <w:lang w:val="en-US" w:eastAsia="en-US"/>
    </w:rPr>
  </w:style>
  <w:style w:type="paragraph" w:customStyle="1" w:styleId="Paranum1">
    <w:name w:val="Paranum"/>
    <w:basedOn w:val="Normal"/>
    <w:autoRedefine/>
    <w:uiPriority w:val="99"/>
    <w:rsid w:val="001760BA"/>
    <w:pPr>
      <w:spacing w:after="220"/>
    </w:pPr>
    <w:rPr>
      <w:b/>
      <w:color w:val="0000FF"/>
      <w:sz w:val="24"/>
      <w:szCs w:val="24"/>
    </w:rPr>
  </w:style>
  <w:style w:type="character" w:styleId="HTMLCite">
    <w:name w:val="HTML Cite"/>
    <w:basedOn w:val="DefaultParagraphFont"/>
    <w:uiPriority w:val="99"/>
    <w:rsid w:val="001760BA"/>
    <w:rPr>
      <w:rFonts w:cs="Times New Roman"/>
      <w:i/>
    </w:rPr>
  </w:style>
  <w:style w:type="character" w:customStyle="1" w:styleId="main1">
    <w:name w:val="main1"/>
    <w:uiPriority w:val="99"/>
    <w:rsid w:val="00E7397C"/>
    <w:rPr>
      <w:rFonts w:ascii="Arial" w:hAnsi="Arial"/>
      <w:color w:val="555555"/>
      <w:sz w:val="24"/>
    </w:rPr>
  </w:style>
  <w:style w:type="paragraph" w:customStyle="1" w:styleId="font5">
    <w:name w:val="font5"/>
    <w:basedOn w:val="Normal"/>
    <w:uiPriority w:val="99"/>
    <w:rsid w:val="00A077B0"/>
    <w:pPr>
      <w:widowControl/>
      <w:spacing w:before="100" w:beforeAutospacing="1" w:after="100" w:afterAutospacing="1"/>
    </w:pPr>
    <w:rPr>
      <w:b/>
      <w:bCs/>
      <w:kern w:val="0"/>
      <w:sz w:val="20"/>
      <w:lang w:eastAsia="zh-CN"/>
    </w:rPr>
  </w:style>
  <w:style w:type="paragraph" w:customStyle="1" w:styleId="xl65">
    <w:name w:val="xl65"/>
    <w:basedOn w:val="Normal"/>
    <w:uiPriority w:val="99"/>
    <w:rsid w:val="00A077B0"/>
    <w:pPr>
      <w:widowControl/>
      <w:pBdr>
        <w:left w:val="single" w:sz="4" w:space="0" w:color="auto"/>
        <w:bottom w:val="single" w:sz="4" w:space="0" w:color="auto"/>
        <w:right w:val="single" w:sz="4" w:space="0" w:color="auto"/>
      </w:pBdr>
      <w:spacing w:before="100" w:beforeAutospacing="1" w:after="100" w:afterAutospacing="1"/>
      <w:textAlignment w:val="center"/>
    </w:pPr>
    <w:rPr>
      <w:b/>
      <w:bCs/>
      <w:kern w:val="0"/>
      <w:sz w:val="24"/>
      <w:szCs w:val="24"/>
      <w:lang w:eastAsia="zh-CN"/>
    </w:rPr>
  </w:style>
  <w:style w:type="paragraph" w:customStyle="1" w:styleId="xl66">
    <w:name w:val="xl66"/>
    <w:basedOn w:val="Normal"/>
    <w:uiPriority w:val="99"/>
    <w:rsid w:val="00A077B0"/>
    <w:pPr>
      <w:widowControl/>
      <w:pBdr>
        <w:left w:val="single" w:sz="4" w:space="0" w:color="auto"/>
        <w:bottom w:val="single" w:sz="4" w:space="0" w:color="auto"/>
      </w:pBdr>
      <w:spacing w:before="100" w:beforeAutospacing="1" w:after="100" w:afterAutospacing="1"/>
      <w:textAlignment w:val="center"/>
    </w:pPr>
    <w:rPr>
      <w:b/>
      <w:bCs/>
      <w:kern w:val="0"/>
      <w:sz w:val="24"/>
      <w:szCs w:val="24"/>
      <w:lang w:eastAsia="zh-CN"/>
    </w:rPr>
  </w:style>
  <w:style w:type="paragraph" w:customStyle="1" w:styleId="xl67">
    <w:name w:val="xl67"/>
    <w:basedOn w:val="Normal"/>
    <w:uiPriority w:val="99"/>
    <w:rsid w:val="00A077B0"/>
    <w:pPr>
      <w:widowControl/>
      <w:pBdr>
        <w:bottom w:val="single" w:sz="4" w:space="0" w:color="auto"/>
        <w:right w:val="single" w:sz="4" w:space="0" w:color="auto"/>
      </w:pBdr>
      <w:spacing w:before="100" w:beforeAutospacing="1" w:after="100" w:afterAutospacing="1"/>
      <w:textAlignment w:val="center"/>
    </w:pPr>
    <w:rPr>
      <w:b/>
      <w:bCs/>
      <w:kern w:val="0"/>
      <w:sz w:val="24"/>
      <w:szCs w:val="24"/>
      <w:lang w:eastAsia="zh-CN"/>
    </w:rPr>
  </w:style>
  <w:style w:type="paragraph" w:customStyle="1" w:styleId="xl68">
    <w:name w:val="xl68"/>
    <w:basedOn w:val="Normal"/>
    <w:uiPriority w:val="99"/>
    <w:rsid w:val="00A077B0"/>
    <w:pPr>
      <w:widowControl/>
      <w:pBdr>
        <w:left w:val="single" w:sz="4" w:space="0" w:color="auto"/>
        <w:bottom w:val="single" w:sz="4" w:space="0" w:color="auto"/>
        <w:right w:val="single" w:sz="4" w:space="0" w:color="auto"/>
      </w:pBdr>
      <w:spacing w:before="100" w:beforeAutospacing="1" w:after="100" w:afterAutospacing="1"/>
      <w:jc w:val="center"/>
      <w:textAlignment w:val="center"/>
    </w:pPr>
    <w:rPr>
      <w:b/>
      <w:bCs/>
      <w:kern w:val="0"/>
      <w:sz w:val="24"/>
      <w:szCs w:val="24"/>
      <w:lang w:eastAsia="zh-CN"/>
    </w:rPr>
  </w:style>
  <w:style w:type="paragraph" w:customStyle="1" w:styleId="xl69">
    <w:name w:val="xl69"/>
    <w:basedOn w:val="Normal"/>
    <w:uiPriority w:val="99"/>
    <w:rsid w:val="00A077B0"/>
    <w:pPr>
      <w:widowControl/>
      <w:pBdr>
        <w:left w:val="single" w:sz="4" w:space="0" w:color="auto"/>
        <w:bottom w:val="single" w:sz="4" w:space="0" w:color="auto"/>
      </w:pBdr>
      <w:spacing w:before="100" w:beforeAutospacing="1" w:after="100" w:afterAutospacing="1"/>
      <w:jc w:val="center"/>
      <w:textAlignment w:val="center"/>
    </w:pPr>
    <w:rPr>
      <w:b/>
      <w:bCs/>
      <w:kern w:val="0"/>
      <w:sz w:val="24"/>
      <w:szCs w:val="24"/>
      <w:lang w:eastAsia="zh-CN"/>
    </w:rPr>
  </w:style>
  <w:style w:type="paragraph" w:customStyle="1" w:styleId="xl70">
    <w:name w:val="xl70"/>
    <w:basedOn w:val="Normal"/>
    <w:uiPriority w:val="99"/>
    <w:rsid w:val="00A077B0"/>
    <w:pPr>
      <w:widowControl/>
      <w:pBdr>
        <w:bottom w:val="single" w:sz="4" w:space="0" w:color="auto"/>
        <w:right w:val="single" w:sz="4" w:space="0" w:color="auto"/>
      </w:pBdr>
      <w:spacing w:before="100" w:beforeAutospacing="1" w:after="100" w:afterAutospacing="1"/>
      <w:jc w:val="center"/>
      <w:textAlignment w:val="center"/>
    </w:pPr>
    <w:rPr>
      <w:b/>
      <w:bCs/>
      <w:kern w:val="0"/>
      <w:sz w:val="24"/>
      <w:szCs w:val="24"/>
      <w:lang w:eastAsia="zh-CN"/>
    </w:rPr>
  </w:style>
  <w:style w:type="paragraph" w:customStyle="1" w:styleId="xl71">
    <w:name w:val="xl71"/>
    <w:basedOn w:val="Normal"/>
    <w:uiPriority w:val="99"/>
    <w:rsid w:val="00A077B0"/>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kern w:val="0"/>
      <w:sz w:val="24"/>
      <w:szCs w:val="24"/>
      <w:lang w:eastAsia="zh-CN"/>
    </w:rPr>
  </w:style>
  <w:style w:type="paragraph" w:customStyle="1" w:styleId="xl72">
    <w:name w:val="xl72"/>
    <w:basedOn w:val="Normal"/>
    <w:uiPriority w:val="99"/>
    <w:rsid w:val="00A077B0"/>
    <w:pPr>
      <w:widowControl/>
      <w:pBdr>
        <w:bottom w:val="single" w:sz="4" w:space="0" w:color="auto"/>
      </w:pBdr>
      <w:spacing w:before="100" w:beforeAutospacing="1" w:after="100" w:afterAutospacing="1"/>
      <w:jc w:val="center"/>
      <w:textAlignment w:val="center"/>
    </w:pPr>
    <w:rPr>
      <w:b/>
      <w:bCs/>
      <w:kern w:val="0"/>
      <w:sz w:val="24"/>
      <w:szCs w:val="24"/>
      <w:lang w:eastAsia="zh-CN"/>
    </w:rPr>
  </w:style>
  <w:style w:type="paragraph" w:customStyle="1" w:styleId="xl73">
    <w:name w:val="xl73"/>
    <w:basedOn w:val="Normal"/>
    <w:uiPriority w:val="99"/>
    <w:rsid w:val="00A077B0"/>
    <w:pPr>
      <w:widowControl/>
      <w:pBdr>
        <w:left w:val="single" w:sz="4" w:space="0" w:color="auto"/>
        <w:bottom w:val="single" w:sz="4" w:space="0" w:color="auto"/>
      </w:pBdr>
      <w:spacing w:before="100" w:beforeAutospacing="1" w:after="100" w:afterAutospacing="1"/>
      <w:jc w:val="center"/>
      <w:textAlignment w:val="center"/>
    </w:pPr>
    <w:rPr>
      <w:b/>
      <w:bCs/>
      <w:kern w:val="0"/>
      <w:sz w:val="24"/>
      <w:szCs w:val="24"/>
      <w:lang w:eastAsia="zh-CN"/>
    </w:rPr>
  </w:style>
  <w:style w:type="paragraph" w:customStyle="1" w:styleId="xl74">
    <w:name w:val="xl74"/>
    <w:basedOn w:val="Normal"/>
    <w:uiPriority w:val="99"/>
    <w:rsid w:val="00A077B0"/>
    <w:pPr>
      <w:widowControl/>
      <w:pBdr>
        <w:bottom w:val="single" w:sz="4" w:space="0" w:color="auto"/>
      </w:pBdr>
      <w:spacing w:before="100" w:beforeAutospacing="1" w:after="100" w:afterAutospacing="1"/>
      <w:jc w:val="center"/>
      <w:textAlignment w:val="center"/>
    </w:pPr>
    <w:rPr>
      <w:b/>
      <w:bCs/>
      <w:kern w:val="0"/>
      <w:sz w:val="24"/>
      <w:szCs w:val="24"/>
      <w:lang w:eastAsia="zh-CN"/>
    </w:rPr>
  </w:style>
  <w:style w:type="paragraph" w:customStyle="1" w:styleId="xl75">
    <w:name w:val="xl75"/>
    <w:basedOn w:val="Normal"/>
    <w:uiPriority w:val="99"/>
    <w:rsid w:val="00A077B0"/>
    <w:pPr>
      <w:widowControl/>
      <w:pBdr>
        <w:top w:val="single" w:sz="4" w:space="0" w:color="auto"/>
        <w:bottom w:val="single" w:sz="4" w:space="0" w:color="auto"/>
      </w:pBdr>
      <w:spacing w:before="100" w:beforeAutospacing="1" w:after="100" w:afterAutospacing="1"/>
      <w:jc w:val="center"/>
      <w:textAlignment w:val="center"/>
    </w:pPr>
    <w:rPr>
      <w:b/>
      <w:bCs/>
      <w:kern w:val="0"/>
      <w:sz w:val="24"/>
      <w:szCs w:val="24"/>
      <w:lang w:eastAsia="zh-CN"/>
    </w:rPr>
  </w:style>
  <w:style w:type="paragraph" w:customStyle="1" w:styleId="xl76">
    <w:name w:val="xl76"/>
    <w:basedOn w:val="Normal"/>
    <w:uiPriority w:val="99"/>
    <w:rsid w:val="00A077B0"/>
    <w:pPr>
      <w:widowControl/>
      <w:pBdr>
        <w:top w:val="single" w:sz="4" w:space="0" w:color="auto"/>
        <w:left w:val="single" w:sz="4" w:space="0" w:color="auto"/>
        <w:bottom w:val="single" w:sz="4" w:space="0" w:color="auto"/>
        <w:right w:val="single" w:sz="8" w:space="0" w:color="auto"/>
      </w:pBdr>
      <w:spacing w:before="100" w:beforeAutospacing="1" w:after="100" w:afterAutospacing="1"/>
      <w:jc w:val="center"/>
      <w:textAlignment w:val="center"/>
    </w:pPr>
    <w:rPr>
      <w:b/>
      <w:bCs/>
      <w:kern w:val="0"/>
      <w:sz w:val="24"/>
      <w:szCs w:val="24"/>
      <w:lang w:eastAsia="zh-CN"/>
    </w:rPr>
  </w:style>
  <w:style w:type="paragraph" w:customStyle="1" w:styleId="xl77">
    <w:name w:val="xl77"/>
    <w:basedOn w:val="Normal"/>
    <w:uiPriority w:val="99"/>
    <w:rsid w:val="00A077B0"/>
    <w:pPr>
      <w:widowControl/>
      <w:pBdr>
        <w:left w:val="single" w:sz="8" w:space="0" w:color="auto"/>
        <w:right w:val="single" w:sz="4" w:space="0" w:color="auto"/>
      </w:pBdr>
      <w:spacing w:before="100" w:beforeAutospacing="1" w:after="100" w:afterAutospacing="1"/>
      <w:textAlignment w:val="center"/>
    </w:pPr>
    <w:rPr>
      <w:kern w:val="0"/>
      <w:sz w:val="16"/>
      <w:szCs w:val="16"/>
      <w:lang w:eastAsia="zh-CN"/>
    </w:rPr>
  </w:style>
  <w:style w:type="paragraph" w:customStyle="1" w:styleId="xl78">
    <w:name w:val="xl78"/>
    <w:basedOn w:val="Normal"/>
    <w:uiPriority w:val="99"/>
    <w:rsid w:val="00A077B0"/>
    <w:pPr>
      <w:widowControl/>
      <w:pBdr>
        <w:top w:val="single" w:sz="4" w:space="0" w:color="auto"/>
        <w:left w:val="single" w:sz="4" w:space="0" w:color="auto"/>
        <w:right w:val="single" w:sz="4" w:space="9" w:color="auto"/>
      </w:pBdr>
      <w:spacing w:before="100" w:beforeAutospacing="1" w:after="100" w:afterAutospacing="1"/>
      <w:ind w:firstLineChars="100" w:firstLine="100"/>
      <w:jc w:val="right"/>
      <w:textAlignment w:val="center"/>
    </w:pPr>
    <w:rPr>
      <w:kern w:val="0"/>
      <w:sz w:val="16"/>
      <w:szCs w:val="16"/>
      <w:lang w:eastAsia="zh-CN"/>
    </w:rPr>
  </w:style>
  <w:style w:type="paragraph" w:customStyle="1" w:styleId="xl79">
    <w:name w:val="xl79"/>
    <w:basedOn w:val="Normal"/>
    <w:uiPriority w:val="99"/>
    <w:rsid w:val="00A077B0"/>
    <w:pPr>
      <w:widowControl/>
      <w:spacing w:before="100" w:beforeAutospacing="1" w:after="100" w:afterAutospacing="1"/>
      <w:jc w:val="right"/>
      <w:textAlignment w:val="center"/>
    </w:pPr>
    <w:rPr>
      <w:kern w:val="0"/>
      <w:sz w:val="16"/>
      <w:szCs w:val="16"/>
      <w:lang w:eastAsia="zh-CN"/>
    </w:rPr>
  </w:style>
  <w:style w:type="paragraph" w:customStyle="1" w:styleId="xl80">
    <w:name w:val="xl80"/>
    <w:basedOn w:val="Normal"/>
    <w:uiPriority w:val="99"/>
    <w:rsid w:val="00A077B0"/>
    <w:pPr>
      <w:widowControl/>
      <w:pBdr>
        <w:top w:val="single" w:sz="4" w:space="0" w:color="auto"/>
      </w:pBdr>
      <w:spacing w:before="100" w:beforeAutospacing="1" w:after="100" w:afterAutospacing="1"/>
      <w:jc w:val="right"/>
      <w:textAlignment w:val="center"/>
    </w:pPr>
    <w:rPr>
      <w:kern w:val="0"/>
      <w:sz w:val="16"/>
      <w:szCs w:val="16"/>
      <w:lang w:eastAsia="zh-CN"/>
    </w:rPr>
  </w:style>
  <w:style w:type="paragraph" w:customStyle="1" w:styleId="xl81">
    <w:name w:val="xl81"/>
    <w:basedOn w:val="Normal"/>
    <w:uiPriority w:val="99"/>
    <w:rsid w:val="00A077B0"/>
    <w:pPr>
      <w:widowControl/>
      <w:pBdr>
        <w:right w:val="single" w:sz="4" w:space="0" w:color="auto"/>
      </w:pBdr>
      <w:spacing w:before="100" w:beforeAutospacing="1" w:after="100" w:afterAutospacing="1"/>
      <w:textAlignment w:val="center"/>
    </w:pPr>
    <w:rPr>
      <w:kern w:val="0"/>
      <w:sz w:val="16"/>
      <w:szCs w:val="16"/>
      <w:lang w:eastAsia="zh-CN"/>
    </w:rPr>
  </w:style>
  <w:style w:type="paragraph" w:customStyle="1" w:styleId="xl82">
    <w:name w:val="xl82"/>
    <w:basedOn w:val="Normal"/>
    <w:uiPriority w:val="99"/>
    <w:rsid w:val="00A077B0"/>
    <w:pPr>
      <w:widowControl/>
      <w:pBdr>
        <w:top w:val="single" w:sz="4" w:space="0" w:color="auto"/>
        <w:left w:val="single" w:sz="4" w:space="0" w:color="auto"/>
        <w:right w:val="single" w:sz="4" w:space="0" w:color="auto"/>
      </w:pBdr>
      <w:spacing w:before="100" w:beforeAutospacing="1" w:after="100" w:afterAutospacing="1"/>
      <w:jc w:val="right"/>
      <w:textAlignment w:val="center"/>
    </w:pPr>
    <w:rPr>
      <w:kern w:val="0"/>
      <w:sz w:val="16"/>
      <w:szCs w:val="16"/>
      <w:lang w:eastAsia="zh-CN"/>
    </w:rPr>
  </w:style>
  <w:style w:type="paragraph" w:customStyle="1" w:styleId="xl83">
    <w:name w:val="xl83"/>
    <w:basedOn w:val="Normal"/>
    <w:uiPriority w:val="99"/>
    <w:rsid w:val="00A077B0"/>
    <w:pPr>
      <w:widowControl/>
      <w:pBdr>
        <w:left w:val="single" w:sz="4" w:space="0" w:color="auto"/>
      </w:pBdr>
      <w:spacing w:before="100" w:beforeAutospacing="1" w:after="100" w:afterAutospacing="1"/>
      <w:jc w:val="right"/>
      <w:textAlignment w:val="center"/>
    </w:pPr>
    <w:rPr>
      <w:kern w:val="0"/>
      <w:sz w:val="16"/>
      <w:szCs w:val="16"/>
      <w:lang w:eastAsia="zh-CN"/>
    </w:rPr>
  </w:style>
  <w:style w:type="paragraph" w:customStyle="1" w:styleId="xl84">
    <w:name w:val="xl84"/>
    <w:basedOn w:val="Normal"/>
    <w:uiPriority w:val="99"/>
    <w:rsid w:val="00A077B0"/>
    <w:pPr>
      <w:widowControl/>
      <w:pBdr>
        <w:right w:val="single" w:sz="4" w:space="0" w:color="auto"/>
      </w:pBdr>
      <w:spacing w:before="100" w:beforeAutospacing="1" w:after="100" w:afterAutospacing="1"/>
      <w:jc w:val="right"/>
      <w:textAlignment w:val="center"/>
    </w:pPr>
    <w:rPr>
      <w:kern w:val="0"/>
      <w:sz w:val="16"/>
      <w:szCs w:val="16"/>
      <w:lang w:eastAsia="zh-CN"/>
    </w:rPr>
  </w:style>
  <w:style w:type="paragraph" w:customStyle="1" w:styleId="xl85">
    <w:name w:val="xl85"/>
    <w:basedOn w:val="Normal"/>
    <w:uiPriority w:val="99"/>
    <w:rsid w:val="00A077B0"/>
    <w:pPr>
      <w:widowControl/>
      <w:pBdr>
        <w:left w:val="single" w:sz="4" w:space="0" w:color="auto"/>
        <w:right w:val="single" w:sz="4" w:space="0" w:color="auto"/>
      </w:pBdr>
      <w:spacing w:before="100" w:beforeAutospacing="1" w:after="100" w:afterAutospacing="1"/>
      <w:jc w:val="right"/>
      <w:textAlignment w:val="center"/>
    </w:pPr>
    <w:rPr>
      <w:kern w:val="0"/>
      <w:sz w:val="16"/>
      <w:szCs w:val="16"/>
      <w:lang w:eastAsia="zh-CN"/>
    </w:rPr>
  </w:style>
  <w:style w:type="paragraph" w:customStyle="1" w:styleId="xl86">
    <w:name w:val="xl86"/>
    <w:basedOn w:val="Normal"/>
    <w:uiPriority w:val="99"/>
    <w:rsid w:val="00A077B0"/>
    <w:pPr>
      <w:widowControl/>
      <w:pBdr>
        <w:top w:val="single" w:sz="4" w:space="0" w:color="auto"/>
      </w:pBdr>
      <w:spacing w:before="100" w:beforeAutospacing="1" w:after="100" w:afterAutospacing="1"/>
      <w:jc w:val="right"/>
      <w:textAlignment w:val="center"/>
    </w:pPr>
    <w:rPr>
      <w:kern w:val="0"/>
      <w:sz w:val="16"/>
      <w:szCs w:val="16"/>
      <w:lang w:eastAsia="zh-CN"/>
    </w:rPr>
  </w:style>
  <w:style w:type="paragraph" w:customStyle="1" w:styleId="xl87">
    <w:name w:val="xl87"/>
    <w:basedOn w:val="Normal"/>
    <w:uiPriority w:val="99"/>
    <w:rsid w:val="00A077B0"/>
    <w:pPr>
      <w:widowControl/>
      <w:pBdr>
        <w:top w:val="single" w:sz="4" w:space="0" w:color="auto"/>
        <w:left w:val="single" w:sz="4" w:space="0" w:color="auto"/>
      </w:pBdr>
      <w:spacing w:before="100" w:beforeAutospacing="1" w:after="100" w:afterAutospacing="1"/>
      <w:jc w:val="right"/>
      <w:textAlignment w:val="center"/>
    </w:pPr>
    <w:rPr>
      <w:kern w:val="0"/>
      <w:sz w:val="16"/>
      <w:szCs w:val="16"/>
      <w:lang w:eastAsia="zh-CN"/>
    </w:rPr>
  </w:style>
  <w:style w:type="paragraph" w:customStyle="1" w:styleId="xl88">
    <w:name w:val="xl88"/>
    <w:basedOn w:val="Normal"/>
    <w:uiPriority w:val="99"/>
    <w:rsid w:val="00A077B0"/>
    <w:pPr>
      <w:widowControl/>
      <w:pBdr>
        <w:top w:val="single" w:sz="4" w:space="0" w:color="auto"/>
      </w:pBdr>
      <w:spacing w:before="100" w:beforeAutospacing="1" w:after="100" w:afterAutospacing="1"/>
      <w:jc w:val="right"/>
      <w:textAlignment w:val="center"/>
    </w:pPr>
    <w:rPr>
      <w:kern w:val="0"/>
      <w:sz w:val="16"/>
      <w:szCs w:val="16"/>
      <w:lang w:eastAsia="zh-CN"/>
    </w:rPr>
  </w:style>
  <w:style w:type="paragraph" w:customStyle="1" w:styleId="xl89">
    <w:name w:val="xl89"/>
    <w:basedOn w:val="Normal"/>
    <w:uiPriority w:val="99"/>
    <w:rsid w:val="00A077B0"/>
    <w:pPr>
      <w:widowControl/>
      <w:pBdr>
        <w:top w:val="single" w:sz="4" w:space="0" w:color="auto"/>
        <w:left w:val="single" w:sz="4" w:space="0" w:color="auto"/>
        <w:right w:val="single" w:sz="8" w:space="0" w:color="auto"/>
      </w:pBdr>
      <w:spacing w:before="100" w:beforeAutospacing="1" w:after="100" w:afterAutospacing="1"/>
      <w:jc w:val="right"/>
      <w:textAlignment w:val="center"/>
    </w:pPr>
    <w:rPr>
      <w:kern w:val="0"/>
      <w:sz w:val="16"/>
      <w:szCs w:val="16"/>
      <w:lang w:eastAsia="zh-CN"/>
    </w:rPr>
  </w:style>
  <w:style w:type="paragraph" w:customStyle="1" w:styleId="xl90">
    <w:name w:val="xl90"/>
    <w:basedOn w:val="Normal"/>
    <w:uiPriority w:val="99"/>
    <w:rsid w:val="00A077B0"/>
    <w:pPr>
      <w:widowControl/>
      <w:pBdr>
        <w:left w:val="single" w:sz="4" w:space="0" w:color="auto"/>
        <w:right w:val="single" w:sz="4" w:space="9" w:color="auto"/>
      </w:pBdr>
      <w:spacing w:before="100" w:beforeAutospacing="1" w:after="100" w:afterAutospacing="1"/>
      <w:ind w:firstLineChars="100" w:firstLine="100"/>
      <w:jc w:val="right"/>
      <w:textAlignment w:val="center"/>
    </w:pPr>
    <w:rPr>
      <w:kern w:val="0"/>
      <w:sz w:val="16"/>
      <w:szCs w:val="16"/>
      <w:lang w:eastAsia="zh-CN"/>
    </w:rPr>
  </w:style>
  <w:style w:type="paragraph" w:customStyle="1" w:styleId="xl91">
    <w:name w:val="xl91"/>
    <w:basedOn w:val="Normal"/>
    <w:uiPriority w:val="99"/>
    <w:rsid w:val="00A077B0"/>
    <w:pPr>
      <w:widowControl/>
      <w:spacing w:before="100" w:beforeAutospacing="1" w:after="100" w:afterAutospacing="1"/>
      <w:jc w:val="center"/>
      <w:textAlignment w:val="center"/>
    </w:pPr>
    <w:rPr>
      <w:kern w:val="0"/>
      <w:sz w:val="16"/>
      <w:szCs w:val="16"/>
      <w:lang w:eastAsia="zh-CN"/>
    </w:rPr>
  </w:style>
  <w:style w:type="paragraph" w:customStyle="1" w:styleId="xl92">
    <w:name w:val="xl92"/>
    <w:basedOn w:val="Normal"/>
    <w:uiPriority w:val="99"/>
    <w:rsid w:val="00A077B0"/>
    <w:pPr>
      <w:widowControl/>
      <w:spacing w:before="100" w:beforeAutospacing="1" w:after="100" w:afterAutospacing="1"/>
      <w:jc w:val="right"/>
      <w:textAlignment w:val="center"/>
    </w:pPr>
    <w:rPr>
      <w:kern w:val="0"/>
      <w:sz w:val="16"/>
      <w:szCs w:val="16"/>
      <w:lang w:eastAsia="zh-CN"/>
    </w:rPr>
  </w:style>
  <w:style w:type="paragraph" w:customStyle="1" w:styleId="xl93">
    <w:name w:val="xl93"/>
    <w:basedOn w:val="Normal"/>
    <w:uiPriority w:val="99"/>
    <w:rsid w:val="00A077B0"/>
    <w:pPr>
      <w:widowControl/>
      <w:pBdr>
        <w:right w:val="single" w:sz="4" w:space="0" w:color="auto"/>
      </w:pBdr>
      <w:spacing w:before="100" w:beforeAutospacing="1" w:after="100" w:afterAutospacing="1"/>
      <w:jc w:val="center"/>
      <w:textAlignment w:val="center"/>
    </w:pPr>
    <w:rPr>
      <w:kern w:val="0"/>
      <w:sz w:val="16"/>
      <w:szCs w:val="16"/>
      <w:lang w:eastAsia="zh-CN"/>
    </w:rPr>
  </w:style>
  <w:style w:type="paragraph" w:customStyle="1" w:styleId="xl94">
    <w:name w:val="xl94"/>
    <w:basedOn w:val="Normal"/>
    <w:uiPriority w:val="99"/>
    <w:rsid w:val="00A077B0"/>
    <w:pPr>
      <w:widowControl/>
      <w:pBdr>
        <w:left w:val="single" w:sz="4" w:space="0" w:color="auto"/>
        <w:right w:val="single" w:sz="4" w:space="0" w:color="auto"/>
      </w:pBdr>
      <w:spacing w:before="100" w:beforeAutospacing="1" w:after="100" w:afterAutospacing="1"/>
      <w:jc w:val="right"/>
      <w:textAlignment w:val="center"/>
    </w:pPr>
    <w:rPr>
      <w:kern w:val="0"/>
      <w:sz w:val="16"/>
      <w:szCs w:val="16"/>
      <w:lang w:eastAsia="zh-CN"/>
    </w:rPr>
  </w:style>
  <w:style w:type="paragraph" w:customStyle="1" w:styleId="xl95">
    <w:name w:val="xl95"/>
    <w:basedOn w:val="Normal"/>
    <w:uiPriority w:val="99"/>
    <w:rsid w:val="00A077B0"/>
    <w:pPr>
      <w:widowControl/>
      <w:spacing w:before="100" w:beforeAutospacing="1" w:after="100" w:afterAutospacing="1"/>
      <w:jc w:val="right"/>
      <w:textAlignment w:val="center"/>
    </w:pPr>
    <w:rPr>
      <w:kern w:val="0"/>
      <w:sz w:val="16"/>
      <w:szCs w:val="16"/>
      <w:lang w:eastAsia="zh-CN"/>
    </w:rPr>
  </w:style>
  <w:style w:type="paragraph" w:customStyle="1" w:styleId="xl96">
    <w:name w:val="xl96"/>
    <w:basedOn w:val="Normal"/>
    <w:uiPriority w:val="99"/>
    <w:rsid w:val="00A077B0"/>
    <w:pPr>
      <w:widowControl/>
      <w:pBdr>
        <w:left w:val="single" w:sz="4" w:space="0" w:color="auto"/>
      </w:pBdr>
      <w:spacing w:before="100" w:beforeAutospacing="1" w:after="100" w:afterAutospacing="1"/>
      <w:jc w:val="right"/>
      <w:textAlignment w:val="center"/>
    </w:pPr>
    <w:rPr>
      <w:kern w:val="0"/>
      <w:sz w:val="16"/>
      <w:szCs w:val="16"/>
      <w:lang w:eastAsia="zh-CN"/>
    </w:rPr>
  </w:style>
  <w:style w:type="paragraph" w:customStyle="1" w:styleId="xl97">
    <w:name w:val="xl97"/>
    <w:basedOn w:val="Normal"/>
    <w:uiPriority w:val="99"/>
    <w:rsid w:val="00A077B0"/>
    <w:pPr>
      <w:widowControl/>
      <w:pBdr>
        <w:right w:val="single" w:sz="4" w:space="0" w:color="auto"/>
      </w:pBdr>
      <w:spacing w:before="100" w:beforeAutospacing="1" w:after="100" w:afterAutospacing="1"/>
      <w:jc w:val="right"/>
      <w:textAlignment w:val="center"/>
    </w:pPr>
    <w:rPr>
      <w:kern w:val="0"/>
      <w:sz w:val="16"/>
      <w:szCs w:val="16"/>
      <w:lang w:eastAsia="zh-CN"/>
    </w:rPr>
  </w:style>
  <w:style w:type="paragraph" w:customStyle="1" w:styleId="xl98">
    <w:name w:val="xl98"/>
    <w:basedOn w:val="Normal"/>
    <w:uiPriority w:val="99"/>
    <w:rsid w:val="00A077B0"/>
    <w:pPr>
      <w:widowControl/>
      <w:spacing w:before="100" w:beforeAutospacing="1" w:after="100" w:afterAutospacing="1"/>
      <w:jc w:val="right"/>
      <w:textAlignment w:val="center"/>
    </w:pPr>
    <w:rPr>
      <w:kern w:val="0"/>
      <w:sz w:val="16"/>
      <w:szCs w:val="16"/>
      <w:lang w:eastAsia="zh-CN"/>
    </w:rPr>
  </w:style>
  <w:style w:type="paragraph" w:customStyle="1" w:styleId="xl99">
    <w:name w:val="xl99"/>
    <w:basedOn w:val="Normal"/>
    <w:uiPriority w:val="99"/>
    <w:rsid w:val="00A077B0"/>
    <w:pPr>
      <w:widowControl/>
      <w:pBdr>
        <w:left w:val="single" w:sz="4" w:space="0" w:color="auto"/>
        <w:right w:val="single" w:sz="8" w:space="0" w:color="auto"/>
      </w:pBdr>
      <w:spacing w:before="100" w:beforeAutospacing="1" w:after="100" w:afterAutospacing="1"/>
      <w:jc w:val="right"/>
      <w:textAlignment w:val="center"/>
    </w:pPr>
    <w:rPr>
      <w:kern w:val="0"/>
      <w:sz w:val="16"/>
      <w:szCs w:val="16"/>
      <w:lang w:eastAsia="zh-CN"/>
    </w:rPr>
  </w:style>
  <w:style w:type="paragraph" w:customStyle="1" w:styleId="xl100">
    <w:name w:val="xl100"/>
    <w:basedOn w:val="Normal"/>
    <w:uiPriority w:val="99"/>
    <w:rsid w:val="00A077B0"/>
    <w:pPr>
      <w:widowControl/>
      <w:pBdr>
        <w:right w:val="single" w:sz="4" w:space="0" w:color="auto"/>
      </w:pBdr>
      <w:spacing w:before="100" w:beforeAutospacing="1" w:after="100" w:afterAutospacing="1"/>
      <w:textAlignment w:val="center"/>
    </w:pPr>
    <w:rPr>
      <w:kern w:val="0"/>
      <w:sz w:val="16"/>
      <w:szCs w:val="16"/>
      <w:lang w:eastAsia="zh-CN"/>
    </w:rPr>
  </w:style>
  <w:style w:type="paragraph" w:customStyle="1" w:styleId="xl101">
    <w:name w:val="xl101"/>
    <w:basedOn w:val="Normal"/>
    <w:uiPriority w:val="99"/>
    <w:rsid w:val="00A077B0"/>
    <w:pPr>
      <w:widowControl/>
      <w:pBdr>
        <w:left w:val="single" w:sz="8" w:space="0" w:color="auto"/>
        <w:bottom w:val="single" w:sz="4" w:space="0" w:color="auto"/>
        <w:right w:val="single" w:sz="4" w:space="0" w:color="auto"/>
      </w:pBdr>
      <w:spacing w:before="100" w:beforeAutospacing="1" w:after="100" w:afterAutospacing="1"/>
      <w:textAlignment w:val="center"/>
    </w:pPr>
    <w:rPr>
      <w:kern w:val="0"/>
      <w:sz w:val="16"/>
      <w:szCs w:val="16"/>
      <w:lang w:eastAsia="zh-CN"/>
    </w:rPr>
  </w:style>
  <w:style w:type="paragraph" w:customStyle="1" w:styleId="xl102">
    <w:name w:val="xl102"/>
    <w:basedOn w:val="Normal"/>
    <w:uiPriority w:val="99"/>
    <w:rsid w:val="00A077B0"/>
    <w:pPr>
      <w:widowControl/>
      <w:pBdr>
        <w:left w:val="single" w:sz="4" w:space="0" w:color="auto"/>
        <w:bottom w:val="single" w:sz="4" w:space="0" w:color="auto"/>
        <w:right w:val="single" w:sz="4" w:space="9" w:color="auto"/>
      </w:pBdr>
      <w:spacing w:before="100" w:beforeAutospacing="1" w:after="100" w:afterAutospacing="1"/>
      <w:ind w:firstLineChars="100" w:firstLine="100"/>
      <w:jc w:val="right"/>
      <w:textAlignment w:val="center"/>
    </w:pPr>
    <w:rPr>
      <w:kern w:val="0"/>
      <w:sz w:val="16"/>
      <w:szCs w:val="16"/>
      <w:lang w:eastAsia="zh-CN"/>
    </w:rPr>
  </w:style>
  <w:style w:type="paragraph" w:customStyle="1" w:styleId="xl103">
    <w:name w:val="xl103"/>
    <w:basedOn w:val="Normal"/>
    <w:uiPriority w:val="99"/>
    <w:rsid w:val="00A077B0"/>
    <w:pPr>
      <w:widowControl/>
      <w:pBdr>
        <w:bottom w:val="single" w:sz="4" w:space="0" w:color="auto"/>
      </w:pBdr>
      <w:spacing w:before="100" w:beforeAutospacing="1" w:after="100" w:afterAutospacing="1"/>
      <w:jc w:val="right"/>
      <w:textAlignment w:val="center"/>
    </w:pPr>
    <w:rPr>
      <w:kern w:val="0"/>
      <w:sz w:val="16"/>
      <w:szCs w:val="16"/>
      <w:lang w:eastAsia="zh-CN"/>
    </w:rPr>
  </w:style>
  <w:style w:type="paragraph" w:customStyle="1" w:styleId="xl104">
    <w:name w:val="xl104"/>
    <w:basedOn w:val="Normal"/>
    <w:uiPriority w:val="99"/>
    <w:rsid w:val="00A077B0"/>
    <w:pPr>
      <w:widowControl/>
      <w:pBdr>
        <w:bottom w:val="single" w:sz="4" w:space="0" w:color="auto"/>
        <w:right w:val="single" w:sz="4" w:space="0" w:color="auto"/>
      </w:pBdr>
      <w:spacing w:before="100" w:beforeAutospacing="1" w:after="100" w:afterAutospacing="1"/>
      <w:textAlignment w:val="center"/>
    </w:pPr>
    <w:rPr>
      <w:kern w:val="0"/>
      <w:sz w:val="16"/>
      <w:szCs w:val="16"/>
      <w:lang w:eastAsia="zh-CN"/>
    </w:rPr>
  </w:style>
  <w:style w:type="paragraph" w:customStyle="1" w:styleId="xl105">
    <w:name w:val="xl105"/>
    <w:basedOn w:val="Normal"/>
    <w:uiPriority w:val="99"/>
    <w:rsid w:val="00A077B0"/>
    <w:pPr>
      <w:widowControl/>
      <w:pBdr>
        <w:left w:val="single" w:sz="4" w:space="0" w:color="auto"/>
        <w:bottom w:val="single" w:sz="4" w:space="0" w:color="auto"/>
        <w:right w:val="single" w:sz="4" w:space="0" w:color="auto"/>
      </w:pBdr>
      <w:spacing w:before="100" w:beforeAutospacing="1" w:after="100" w:afterAutospacing="1"/>
      <w:jc w:val="right"/>
      <w:textAlignment w:val="center"/>
    </w:pPr>
    <w:rPr>
      <w:kern w:val="0"/>
      <w:sz w:val="16"/>
      <w:szCs w:val="16"/>
      <w:lang w:eastAsia="zh-CN"/>
    </w:rPr>
  </w:style>
  <w:style w:type="paragraph" w:customStyle="1" w:styleId="xl106">
    <w:name w:val="xl106"/>
    <w:basedOn w:val="Normal"/>
    <w:uiPriority w:val="99"/>
    <w:rsid w:val="00A077B0"/>
    <w:pPr>
      <w:widowControl/>
      <w:pBdr>
        <w:left w:val="single" w:sz="4" w:space="0" w:color="auto"/>
        <w:bottom w:val="single" w:sz="4" w:space="0" w:color="auto"/>
      </w:pBdr>
      <w:spacing w:before="100" w:beforeAutospacing="1" w:after="100" w:afterAutospacing="1"/>
      <w:jc w:val="right"/>
      <w:textAlignment w:val="center"/>
    </w:pPr>
    <w:rPr>
      <w:kern w:val="0"/>
      <w:sz w:val="16"/>
      <w:szCs w:val="16"/>
      <w:lang w:eastAsia="zh-CN"/>
    </w:rPr>
  </w:style>
  <w:style w:type="paragraph" w:customStyle="1" w:styleId="xl107">
    <w:name w:val="xl107"/>
    <w:basedOn w:val="Normal"/>
    <w:uiPriority w:val="99"/>
    <w:rsid w:val="00A077B0"/>
    <w:pPr>
      <w:widowControl/>
      <w:pBdr>
        <w:bottom w:val="single" w:sz="4" w:space="0" w:color="auto"/>
        <w:right w:val="single" w:sz="4" w:space="0" w:color="auto"/>
      </w:pBdr>
      <w:spacing w:before="100" w:beforeAutospacing="1" w:after="100" w:afterAutospacing="1"/>
      <w:jc w:val="right"/>
      <w:textAlignment w:val="center"/>
    </w:pPr>
    <w:rPr>
      <w:kern w:val="0"/>
      <w:sz w:val="16"/>
      <w:szCs w:val="16"/>
      <w:lang w:eastAsia="zh-CN"/>
    </w:rPr>
  </w:style>
  <w:style w:type="paragraph" w:customStyle="1" w:styleId="xl108">
    <w:name w:val="xl108"/>
    <w:basedOn w:val="Normal"/>
    <w:uiPriority w:val="99"/>
    <w:rsid w:val="00A077B0"/>
    <w:pPr>
      <w:widowControl/>
      <w:pBdr>
        <w:left w:val="single" w:sz="4" w:space="0" w:color="auto"/>
        <w:bottom w:val="single" w:sz="4" w:space="0" w:color="auto"/>
        <w:right w:val="single" w:sz="4" w:space="0" w:color="auto"/>
      </w:pBdr>
      <w:spacing w:before="100" w:beforeAutospacing="1" w:after="100" w:afterAutospacing="1"/>
      <w:jc w:val="right"/>
      <w:textAlignment w:val="center"/>
    </w:pPr>
    <w:rPr>
      <w:kern w:val="0"/>
      <w:sz w:val="16"/>
      <w:szCs w:val="16"/>
      <w:lang w:eastAsia="zh-CN"/>
    </w:rPr>
  </w:style>
  <w:style w:type="paragraph" w:customStyle="1" w:styleId="xl109">
    <w:name w:val="xl109"/>
    <w:basedOn w:val="Normal"/>
    <w:uiPriority w:val="99"/>
    <w:rsid w:val="00A077B0"/>
    <w:pPr>
      <w:widowControl/>
      <w:pBdr>
        <w:bottom w:val="single" w:sz="4" w:space="0" w:color="auto"/>
      </w:pBdr>
      <w:spacing w:before="100" w:beforeAutospacing="1" w:after="100" w:afterAutospacing="1"/>
      <w:jc w:val="right"/>
      <w:textAlignment w:val="center"/>
    </w:pPr>
    <w:rPr>
      <w:kern w:val="0"/>
      <w:sz w:val="16"/>
      <w:szCs w:val="16"/>
      <w:lang w:eastAsia="zh-CN"/>
    </w:rPr>
  </w:style>
  <w:style w:type="paragraph" w:customStyle="1" w:styleId="xl110">
    <w:name w:val="xl110"/>
    <w:basedOn w:val="Normal"/>
    <w:uiPriority w:val="99"/>
    <w:rsid w:val="00A077B0"/>
    <w:pPr>
      <w:widowControl/>
      <w:pBdr>
        <w:left w:val="single" w:sz="4" w:space="0" w:color="auto"/>
        <w:bottom w:val="single" w:sz="4" w:space="0" w:color="auto"/>
      </w:pBdr>
      <w:spacing w:before="100" w:beforeAutospacing="1" w:after="100" w:afterAutospacing="1"/>
      <w:jc w:val="right"/>
      <w:textAlignment w:val="center"/>
    </w:pPr>
    <w:rPr>
      <w:kern w:val="0"/>
      <w:sz w:val="16"/>
      <w:szCs w:val="16"/>
      <w:lang w:eastAsia="zh-CN"/>
    </w:rPr>
  </w:style>
  <w:style w:type="paragraph" w:customStyle="1" w:styleId="xl111">
    <w:name w:val="xl111"/>
    <w:basedOn w:val="Normal"/>
    <w:uiPriority w:val="99"/>
    <w:rsid w:val="00A077B0"/>
    <w:pPr>
      <w:widowControl/>
      <w:pBdr>
        <w:bottom w:val="single" w:sz="4" w:space="0" w:color="auto"/>
        <w:right w:val="single" w:sz="4" w:space="0" w:color="auto"/>
      </w:pBdr>
      <w:spacing w:before="100" w:beforeAutospacing="1" w:after="100" w:afterAutospacing="1"/>
      <w:jc w:val="right"/>
      <w:textAlignment w:val="center"/>
    </w:pPr>
    <w:rPr>
      <w:kern w:val="0"/>
      <w:sz w:val="16"/>
      <w:szCs w:val="16"/>
      <w:lang w:eastAsia="zh-CN"/>
    </w:rPr>
  </w:style>
  <w:style w:type="paragraph" w:customStyle="1" w:styleId="xl112">
    <w:name w:val="xl112"/>
    <w:basedOn w:val="Normal"/>
    <w:uiPriority w:val="99"/>
    <w:rsid w:val="00A077B0"/>
    <w:pPr>
      <w:widowControl/>
      <w:pBdr>
        <w:bottom w:val="single" w:sz="4" w:space="0" w:color="auto"/>
      </w:pBdr>
      <w:spacing w:before="100" w:beforeAutospacing="1" w:after="100" w:afterAutospacing="1"/>
      <w:jc w:val="right"/>
      <w:textAlignment w:val="center"/>
    </w:pPr>
    <w:rPr>
      <w:kern w:val="0"/>
      <w:sz w:val="16"/>
      <w:szCs w:val="16"/>
      <w:lang w:eastAsia="zh-CN"/>
    </w:rPr>
  </w:style>
  <w:style w:type="paragraph" w:customStyle="1" w:styleId="xl113">
    <w:name w:val="xl113"/>
    <w:basedOn w:val="Normal"/>
    <w:uiPriority w:val="99"/>
    <w:rsid w:val="00A077B0"/>
    <w:pPr>
      <w:widowControl/>
      <w:pBdr>
        <w:left w:val="single" w:sz="4" w:space="0" w:color="auto"/>
        <w:bottom w:val="single" w:sz="4" w:space="0" w:color="auto"/>
        <w:right w:val="single" w:sz="8" w:space="0" w:color="auto"/>
      </w:pBdr>
      <w:spacing w:before="100" w:beforeAutospacing="1" w:after="100" w:afterAutospacing="1"/>
      <w:jc w:val="right"/>
      <w:textAlignment w:val="center"/>
    </w:pPr>
    <w:rPr>
      <w:kern w:val="0"/>
      <w:sz w:val="16"/>
      <w:szCs w:val="16"/>
      <w:lang w:eastAsia="zh-CN"/>
    </w:rPr>
  </w:style>
  <w:style w:type="paragraph" w:customStyle="1" w:styleId="xl114">
    <w:name w:val="xl114"/>
    <w:basedOn w:val="Normal"/>
    <w:uiPriority w:val="99"/>
    <w:rsid w:val="00A077B0"/>
    <w:pPr>
      <w:widowControl/>
      <w:pBdr>
        <w:top w:val="single" w:sz="4" w:space="0" w:color="auto"/>
        <w:right w:val="single" w:sz="4" w:space="0" w:color="auto"/>
      </w:pBdr>
      <w:spacing w:before="100" w:beforeAutospacing="1" w:after="100" w:afterAutospacing="1"/>
      <w:jc w:val="right"/>
      <w:textAlignment w:val="center"/>
    </w:pPr>
    <w:rPr>
      <w:kern w:val="0"/>
      <w:sz w:val="16"/>
      <w:szCs w:val="16"/>
      <w:lang w:eastAsia="zh-CN"/>
    </w:rPr>
  </w:style>
  <w:style w:type="paragraph" w:customStyle="1" w:styleId="xl115">
    <w:name w:val="xl115"/>
    <w:basedOn w:val="Normal"/>
    <w:uiPriority w:val="99"/>
    <w:rsid w:val="00A077B0"/>
    <w:pPr>
      <w:widowControl/>
      <w:pBdr>
        <w:top w:val="single" w:sz="4" w:space="0" w:color="auto"/>
        <w:left w:val="single" w:sz="4" w:space="0" w:color="auto"/>
      </w:pBdr>
      <w:spacing w:before="100" w:beforeAutospacing="1" w:after="100" w:afterAutospacing="1"/>
      <w:jc w:val="right"/>
      <w:textAlignment w:val="center"/>
    </w:pPr>
    <w:rPr>
      <w:kern w:val="0"/>
      <w:sz w:val="16"/>
      <w:szCs w:val="16"/>
      <w:lang w:eastAsia="zh-CN"/>
    </w:rPr>
  </w:style>
  <w:style w:type="paragraph" w:customStyle="1" w:styleId="xl116">
    <w:name w:val="xl116"/>
    <w:basedOn w:val="Normal"/>
    <w:uiPriority w:val="99"/>
    <w:rsid w:val="00A077B0"/>
    <w:pPr>
      <w:widowControl/>
      <w:pBdr>
        <w:top w:val="single" w:sz="4" w:space="0" w:color="auto"/>
        <w:left w:val="single" w:sz="8" w:space="0" w:color="auto"/>
        <w:bottom w:val="single" w:sz="8" w:space="0" w:color="auto"/>
        <w:right w:val="single" w:sz="4" w:space="0" w:color="auto"/>
      </w:pBdr>
      <w:spacing w:before="100" w:beforeAutospacing="1" w:after="100" w:afterAutospacing="1"/>
      <w:textAlignment w:val="center"/>
    </w:pPr>
    <w:rPr>
      <w:kern w:val="0"/>
      <w:sz w:val="16"/>
      <w:szCs w:val="16"/>
      <w:lang w:eastAsia="zh-CN"/>
    </w:rPr>
  </w:style>
  <w:style w:type="paragraph" w:customStyle="1" w:styleId="xl117">
    <w:name w:val="xl117"/>
    <w:basedOn w:val="Normal"/>
    <w:uiPriority w:val="99"/>
    <w:rsid w:val="00A077B0"/>
    <w:pPr>
      <w:widowControl/>
      <w:pBdr>
        <w:top w:val="single" w:sz="4" w:space="0" w:color="auto"/>
        <w:left w:val="single" w:sz="4" w:space="0" w:color="auto"/>
        <w:bottom w:val="single" w:sz="8" w:space="0" w:color="auto"/>
        <w:right w:val="single" w:sz="4" w:space="9" w:color="auto"/>
      </w:pBdr>
      <w:spacing w:before="100" w:beforeAutospacing="1" w:after="100" w:afterAutospacing="1"/>
      <w:ind w:firstLineChars="100" w:firstLine="100"/>
      <w:jc w:val="right"/>
      <w:textAlignment w:val="center"/>
    </w:pPr>
    <w:rPr>
      <w:kern w:val="0"/>
      <w:sz w:val="16"/>
      <w:szCs w:val="16"/>
      <w:lang w:eastAsia="zh-CN"/>
    </w:rPr>
  </w:style>
  <w:style w:type="paragraph" w:customStyle="1" w:styleId="xl118">
    <w:name w:val="xl118"/>
    <w:basedOn w:val="Normal"/>
    <w:uiPriority w:val="99"/>
    <w:rsid w:val="00A077B0"/>
    <w:pPr>
      <w:widowControl/>
      <w:pBdr>
        <w:top w:val="single" w:sz="4" w:space="0" w:color="auto"/>
        <w:bottom w:val="single" w:sz="8" w:space="0" w:color="auto"/>
      </w:pBdr>
      <w:spacing w:before="100" w:beforeAutospacing="1" w:after="100" w:afterAutospacing="1"/>
      <w:jc w:val="right"/>
      <w:textAlignment w:val="center"/>
    </w:pPr>
    <w:rPr>
      <w:kern w:val="0"/>
      <w:sz w:val="16"/>
      <w:szCs w:val="16"/>
      <w:lang w:eastAsia="zh-CN"/>
    </w:rPr>
  </w:style>
  <w:style w:type="paragraph" w:customStyle="1" w:styleId="xl119">
    <w:name w:val="xl119"/>
    <w:basedOn w:val="Normal"/>
    <w:uiPriority w:val="99"/>
    <w:rsid w:val="00A077B0"/>
    <w:pPr>
      <w:widowControl/>
      <w:pBdr>
        <w:top w:val="single" w:sz="4" w:space="0" w:color="auto"/>
        <w:bottom w:val="single" w:sz="8" w:space="0" w:color="auto"/>
      </w:pBdr>
      <w:spacing w:before="100" w:beforeAutospacing="1" w:after="100" w:afterAutospacing="1"/>
      <w:jc w:val="right"/>
      <w:textAlignment w:val="center"/>
    </w:pPr>
    <w:rPr>
      <w:kern w:val="0"/>
      <w:sz w:val="16"/>
      <w:szCs w:val="16"/>
      <w:lang w:eastAsia="zh-CN"/>
    </w:rPr>
  </w:style>
  <w:style w:type="paragraph" w:customStyle="1" w:styleId="xl120">
    <w:name w:val="xl120"/>
    <w:basedOn w:val="Normal"/>
    <w:uiPriority w:val="99"/>
    <w:rsid w:val="00A077B0"/>
    <w:pPr>
      <w:widowControl/>
      <w:pBdr>
        <w:top w:val="single" w:sz="4" w:space="0" w:color="auto"/>
        <w:bottom w:val="single" w:sz="8" w:space="0" w:color="auto"/>
        <w:right w:val="single" w:sz="4" w:space="0" w:color="auto"/>
      </w:pBdr>
      <w:spacing w:before="100" w:beforeAutospacing="1" w:after="100" w:afterAutospacing="1"/>
      <w:textAlignment w:val="center"/>
    </w:pPr>
    <w:rPr>
      <w:kern w:val="0"/>
      <w:sz w:val="16"/>
      <w:szCs w:val="16"/>
      <w:lang w:eastAsia="zh-CN"/>
    </w:rPr>
  </w:style>
  <w:style w:type="paragraph" w:customStyle="1" w:styleId="xl121">
    <w:name w:val="xl121"/>
    <w:basedOn w:val="Normal"/>
    <w:uiPriority w:val="99"/>
    <w:rsid w:val="00A077B0"/>
    <w:pPr>
      <w:widowControl/>
      <w:pBdr>
        <w:top w:val="single" w:sz="4" w:space="0" w:color="auto"/>
        <w:left w:val="single" w:sz="4" w:space="0" w:color="auto"/>
        <w:bottom w:val="single" w:sz="8" w:space="0" w:color="auto"/>
        <w:right w:val="single" w:sz="4" w:space="0" w:color="auto"/>
      </w:pBdr>
      <w:spacing w:before="100" w:beforeAutospacing="1" w:after="100" w:afterAutospacing="1"/>
      <w:jc w:val="right"/>
      <w:textAlignment w:val="center"/>
    </w:pPr>
    <w:rPr>
      <w:kern w:val="0"/>
      <w:sz w:val="16"/>
      <w:szCs w:val="16"/>
      <w:lang w:eastAsia="zh-CN"/>
    </w:rPr>
  </w:style>
  <w:style w:type="paragraph" w:customStyle="1" w:styleId="xl122">
    <w:name w:val="xl122"/>
    <w:basedOn w:val="Normal"/>
    <w:uiPriority w:val="99"/>
    <w:rsid w:val="00A077B0"/>
    <w:pPr>
      <w:widowControl/>
      <w:pBdr>
        <w:top w:val="single" w:sz="4" w:space="0" w:color="auto"/>
        <w:left w:val="single" w:sz="4" w:space="0" w:color="auto"/>
        <w:bottom w:val="single" w:sz="8" w:space="0" w:color="auto"/>
      </w:pBdr>
      <w:spacing w:before="100" w:beforeAutospacing="1" w:after="100" w:afterAutospacing="1"/>
      <w:jc w:val="right"/>
      <w:textAlignment w:val="center"/>
    </w:pPr>
    <w:rPr>
      <w:kern w:val="0"/>
      <w:sz w:val="16"/>
      <w:szCs w:val="16"/>
      <w:lang w:eastAsia="zh-CN"/>
    </w:rPr>
  </w:style>
  <w:style w:type="paragraph" w:customStyle="1" w:styleId="xl123">
    <w:name w:val="xl123"/>
    <w:basedOn w:val="Normal"/>
    <w:uiPriority w:val="99"/>
    <w:rsid w:val="00A077B0"/>
    <w:pPr>
      <w:widowControl/>
      <w:pBdr>
        <w:top w:val="single" w:sz="4" w:space="0" w:color="auto"/>
        <w:bottom w:val="single" w:sz="8" w:space="0" w:color="auto"/>
        <w:right w:val="single" w:sz="4" w:space="0" w:color="auto"/>
      </w:pBdr>
      <w:spacing w:before="100" w:beforeAutospacing="1" w:after="100" w:afterAutospacing="1"/>
      <w:jc w:val="right"/>
      <w:textAlignment w:val="center"/>
    </w:pPr>
    <w:rPr>
      <w:kern w:val="0"/>
      <w:sz w:val="16"/>
      <w:szCs w:val="16"/>
      <w:lang w:eastAsia="zh-CN"/>
    </w:rPr>
  </w:style>
  <w:style w:type="paragraph" w:customStyle="1" w:styleId="xl124">
    <w:name w:val="xl124"/>
    <w:basedOn w:val="Normal"/>
    <w:uiPriority w:val="99"/>
    <w:rsid w:val="00A077B0"/>
    <w:pPr>
      <w:widowControl/>
      <w:pBdr>
        <w:top w:val="single" w:sz="4" w:space="0" w:color="auto"/>
        <w:left w:val="single" w:sz="4" w:space="0" w:color="auto"/>
        <w:bottom w:val="single" w:sz="8" w:space="0" w:color="auto"/>
        <w:right w:val="single" w:sz="4" w:space="0" w:color="auto"/>
      </w:pBdr>
      <w:spacing w:before="100" w:beforeAutospacing="1" w:after="100" w:afterAutospacing="1"/>
      <w:jc w:val="right"/>
      <w:textAlignment w:val="center"/>
    </w:pPr>
    <w:rPr>
      <w:kern w:val="0"/>
      <w:sz w:val="16"/>
      <w:szCs w:val="16"/>
      <w:lang w:eastAsia="zh-CN"/>
    </w:rPr>
  </w:style>
  <w:style w:type="paragraph" w:customStyle="1" w:styleId="xl125">
    <w:name w:val="xl125"/>
    <w:basedOn w:val="Normal"/>
    <w:uiPriority w:val="99"/>
    <w:rsid w:val="00A077B0"/>
    <w:pPr>
      <w:widowControl/>
      <w:pBdr>
        <w:top w:val="single" w:sz="4" w:space="0" w:color="auto"/>
        <w:bottom w:val="single" w:sz="8" w:space="0" w:color="auto"/>
      </w:pBdr>
      <w:spacing w:before="100" w:beforeAutospacing="1" w:after="100" w:afterAutospacing="1"/>
      <w:jc w:val="right"/>
      <w:textAlignment w:val="center"/>
    </w:pPr>
    <w:rPr>
      <w:kern w:val="0"/>
      <w:sz w:val="16"/>
      <w:szCs w:val="16"/>
      <w:lang w:eastAsia="zh-CN"/>
    </w:rPr>
  </w:style>
  <w:style w:type="paragraph" w:customStyle="1" w:styleId="xl126">
    <w:name w:val="xl126"/>
    <w:basedOn w:val="Normal"/>
    <w:uiPriority w:val="99"/>
    <w:rsid w:val="00A077B0"/>
    <w:pPr>
      <w:widowControl/>
      <w:pBdr>
        <w:top w:val="single" w:sz="4" w:space="0" w:color="auto"/>
        <w:left w:val="single" w:sz="4" w:space="0" w:color="auto"/>
        <w:bottom w:val="single" w:sz="8" w:space="0" w:color="auto"/>
      </w:pBdr>
      <w:spacing w:before="100" w:beforeAutospacing="1" w:after="100" w:afterAutospacing="1"/>
      <w:jc w:val="right"/>
      <w:textAlignment w:val="center"/>
    </w:pPr>
    <w:rPr>
      <w:kern w:val="0"/>
      <w:sz w:val="16"/>
      <w:szCs w:val="16"/>
      <w:lang w:eastAsia="zh-CN"/>
    </w:rPr>
  </w:style>
  <w:style w:type="paragraph" w:customStyle="1" w:styleId="xl127">
    <w:name w:val="xl127"/>
    <w:basedOn w:val="Normal"/>
    <w:uiPriority w:val="99"/>
    <w:rsid w:val="00A077B0"/>
    <w:pPr>
      <w:widowControl/>
      <w:pBdr>
        <w:top w:val="single" w:sz="4" w:space="0" w:color="auto"/>
        <w:bottom w:val="single" w:sz="8" w:space="0" w:color="auto"/>
        <w:right w:val="single" w:sz="4" w:space="0" w:color="auto"/>
      </w:pBdr>
      <w:spacing w:before="100" w:beforeAutospacing="1" w:after="100" w:afterAutospacing="1"/>
      <w:jc w:val="right"/>
      <w:textAlignment w:val="center"/>
    </w:pPr>
    <w:rPr>
      <w:kern w:val="0"/>
      <w:sz w:val="16"/>
      <w:szCs w:val="16"/>
      <w:lang w:eastAsia="zh-CN"/>
    </w:rPr>
  </w:style>
  <w:style w:type="paragraph" w:customStyle="1" w:styleId="xl128">
    <w:name w:val="xl128"/>
    <w:basedOn w:val="Normal"/>
    <w:uiPriority w:val="99"/>
    <w:rsid w:val="00A077B0"/>
    <w:pPr>
      <w:widowControl/>
      <w:pBdr>
        <w:top w:val="single" w:sz="4" w:space="0" w:color="auto"/>
        <w:bottom w:val="single" w:sz="8" w:space="0" w:color="auto"/>
      </w:pBdr>
      <w:spacing w:before="100" w:beforeAutospacing="1" w:after="100" w:afterAutospacing="1"/>
      <w:jc w:val="right"/>
      <w:textAlignment w:val="center"/>
    </w:pPr>
    <w:rPr>
      <w:kern w:val="0"/>
      <w:sz w:val="16"/>
      <w:szCs w:val="16"/>
      <w:lang w:eastAsia="zh-CN"/>
    </w:rPr>
  </w:style>
  <w:style w:type="paragraph" w:customStyle="1" w:styleId="xl129">
    <w:name w:val="xl129"/>
    <w:basedOn w:val="Normal"/>
    <w:uiPriority w:val="99"/>
    <w:rsid w:val="00A077B0"/>
    <w:pPr>
      <w:widowControl/>
      <w:pBdr>
        <w:top w:val="single" w:sz="4" w:space="0" w:color="auto"/>
        <w:left w:val="single" w:sz="4" w:space="0" w:color="auto"/>
        <w:bottom w:val="single" w:sz="8" w:space="0" w:color="auto"/>
        <w:right w:val="single" w:sz="8" w:space="0" w:color="auto"/>
      </w:pBdr>
      <w:spacing w:before="100" w:beforeAutospacing="1" w:after="100" w:afterAutospacing="1"/>
      <w:jc w:val="right"/>
      <w:textAlignment w:val="center"/>
    </w:pPr>
    <w:rPr>
      <w:kern w:val="0"/>
      <w:sz w:val="16"/>
      <w:szCs w:val="16"/>
      <w:lang w:eastAsia="zh-CN"/>
    </w:rPr>
  </w:style>
  <w:style w:type="paragraph" w:customStyle="1" w:styleId="xl130">
    <w:name w:val="xl130"/>
    <w:basedOn w:val="Normal"/>
    <w:uiPriority w:val="99"/>
    <w:rsid w:val="00A077B0"/>
    <w:pPr>
      <w:widowControl/>
      <w:pBdr>
        <w:left w:val="single" w:sz="8" w:space="0" w:color="auto"/>
        <w:right w:val="single" w:sz="4" w:space="0" w:color="auto"/>
      </w:pBdr>
      <w:spacing w:before="100" w:beforeAutospacing="1" w:after="100" w:afterAutospacing="1"/>
      <w:textAlignment w:val="center"/>
    </w:pPr>
    <w:rPr>
      <w:kern w:val="0"/>
      <w:sz w:val="24"/>
      <w:szCs w:val="24"/>
      <w:lang w:eastAsia="zh-CN"/>
    </w:rPr>
  </w:style>
  <w:style w:type="paragraph" w:customStyle="1" w:styleId="xl131">
    <w:name w:val="xl131"/>
    <w:basedOn w:val="Normal"/>
    <w:uiPriority w:val="99"/>
    <w:rsid w:val="00A077B0"/>
    <w:pPr>
      <w:widowControl/>
      <w:pBdr>
        <w:left w:val="single" w:sz="8" w:space="0" w:color="auto"/>
        <w:bottom w:val="single" w:sz="4" w:space="0" w:color="auto"/>
        <w:right w:val="single" w:sz="4" w:space="0" w:color="auto"/>
      </w:pBdr>
      <w:spacing w:before="100" w:beforeAutospacing="1" w:after="100" w:afterAutospacing="1"/>
      <w:textAlignment w:val="center"/>
    </w:pPr>
    <w:rPr>
      <w:kern w:val="0"/>
      <w:sz w:val="24"/>
      <w:szCs w:val="24"/>
      <w:lang w:eastAsia="zh-CN"/>
    </w:rPr>
  </w:style>
  <w:style w:type="paragraph" w:customStyle="1" w:styleId="xl132">
    <w:name w:val="xl132"/>
    <w:basedOn w:val="Normal"/>
    <w:uiPriority w:val="99"/>
    <w:rsid w:val="00A077B0"/>
    <w:pPr>
      <w:widowControl/>
      <w:pBdr>
        <w:top w:val="single" w:sz="8" w:space="0" w:color="auto"/>
        <w:left w:val="single" w:sz="4" w:space="0" w:color="auto"/>
        <w:bottom w:val="single" w:sz="4" w:space="0" w:color="auto"/>
      </w:pBdr>
      <w:spacing w:before="100" w:beforeAutospacing="1" w:after="100" w:afterAutospacing="1"/>
      <w:jc w:val="center"/>
      <w:textAlignment w:val="center"/>
    </w:pPr>
    <w:rPr>
      <w:b/>
      <w:bCs/>
      <w:kern w:val="0"/>
      <w:sz w:val="24"/>
      <w:szCs w:val="24"/>
      <w:lang w:eastAsia="zh-CN"/>
    </w:rPr>
  </w:style>
  <w:style w:type="paragraph" w:customStyle="1" w:styleId="xl133">
    <w:name w:val="xl133"/>
    <w:basedOn w:val="Normal"/>
    <w:uiPriority w:val="99"/>
    <w:rsid w:val="00A077B0"/>
    <w:pPr>
      <w:widowControl/>
      <w:pBdr>
        <w:top w:val="single" w:sz="8" w:space="0" w:color="auto"/>
        <w:bottom w:val="single" w:sz="4" w:space="0" w:color="auto"/>
      </w:pBdr>
      <w:spacing w:before="100" w:beforeAutospacing="1" w:after="100" w:afterAutospacing="1"/>
      <w:jc w:val="center"/>
      <w:textAlignment w:val="center"/>
    </w:pPr>
    <w:rPr>
      <w:kern w:val="0"/>
      <w:sz w:val="24"/>
      <w:szCs w:val="24"/>
      <w:lang w:eastAsia="zh-CN"/>
    </w:rPr>
  </w:style>
  <w:style w:type="paragraph" w:customStyle="1" w:styleId="xl134">
    <w:name w:val="xl134"/>
    <w:basedOn w:val="Normal"/>
    <w:uiPriority w:val="99"/>
    <w:rsid w:val="00A077B0"/>
    <w:pPr>
      <w:widowControl/>
      <w:pBdr>
        <w:top w:val="single" w:sz="8" w:space="0" w:color="auto"/>
        <w:bottom w:val="single" w:sz="4" w:space="0" w:color="auto"/>
        <w:right w:val="single" w:sz="4" w:space="0" w:color="auto"/>
      </w:pBdr>
      <w:spacing w:before="100" w:beforeAutospacing="1" w:after="100" w:afterAutospacing="1"/>
      <w:jc w:val="center"/>
      <w:textAlignment w:val="center"/>
    </w:pPr>
    <w:rPr>
      <w:kern w:val="0"/>
      <w:sz w:val="24"/>
      <w:szCs w:val="24"/>
      <w:lang w:eastAsia="zh-CN"/>
    </w:rPr>
  </w:style>
  <w:style w:type="paragraph" w:customStyle="1" w:styleId="xl135">
    <w:name w:val="xl135"/>
    <w:basedOn w:val="Normal"/>
    <w:uiPriority w:val="99"/>
    <w:rsid w:val="00A077B0"/>
    <w:pPr>
      <w:widowControl/>
      <w:pBdr>
        <w:top w:val="single" w:sz="4" w:space="0" w:color="auto"/>
        <w:left w:val="single" w:sz="4" w:space="0" w:color="auto"/>
        <w:right w:val="single" w:sz="4" w:space="0" w:color="auto"/>
      </w:pBdr>
      <w:spacing w:before="100" w:beforeAutospacing="1" w:after="100" w:afterAutospacing="1"/>
      <w:jc w:val="center"/>
      <w:textAlignment w:val="center"/>
    </w:pPr>
    <w:rPr>
      <w:b/>
      <w:bCs/>
      <w:kern w:val="0"/>
      <w:sz w:val="24"/>
      <w:szCs w:val="24"/>
      <w:lang w:eastAsia="zh-CN"/>
    </w:rPr>
  </w:style>
  <w:style w:type="paragraph" w:customStyle="1" w:styleId="xl136">
    <w:name w:val="xl136"/>
    <w:basedOn w:val="Normal"/>
    <w:uiPriority w:val="99"/>
    <w:rsid w:val="00A077B0"/>
    <w:pPr>
      <w:widowControl/>
      <w:pBdr>
        <w:left w:val="single" w:sz="4" w:space="0" w:color="auto"/>
        <w:bottom w:val="single" w:sz="4" w:space="0" w:color="auto"/>
        <w:right w:val="single" w:sz="4" w:space="0" w:color="auto"/>
      </w:pBdr>
      <w:spacing w:before="100" w:beforeAutospacing="1" w:after="100" w:afterAutospacing="1"/>
      <w:jc w:val="center"/>
      <w:textAlignment w:val="center"/>
    </w:pPr>
    <w:rPr>
      <w:b/>
      <w:bCs/>
      <w:kern w:val="0"/>
      <w:sz w:val="24"/>
      <w:szCs w:val="24"/>
      <w:lang w:eastAsia="zh-CN"/>
    </w:rPr>
  </w:style>
  <w:style w:type="paragraph" w:customStyle="1" w:styleId="xl137">
    <w:name w:val="xl137"/>
    <w:basedOn w:val="Normal"/>
    <w:uiPriority w:val="99"/>
    <w:rsid w:val="00A077B0"/>
    <w:pPr>
      <w:widowControl/>
      <w:pBdr>
        <w:top w:val="single" w:sz="4" w:space="0" w:color="auto"/>
      </w:pBdr>
      <w:spacing w:before="100" w:beforeAutospacing="1" w:after="100" w:afterAutospacing="1"/>
      <w:jc w:val="center"/>
      <w:textAlignment w:val="center"/>
    </w:pPr>
    <w:rPr>
      <w:b/>
      <w:bCs/>
      <w:kern w:val="0"/>
      <w:sz w:val="24"/>
      <w:szCs w:val="24"/>
      <w:lang w:eastAsia="zh-CN"/>
    </w:rPr>
  </w:style>
  <w:style w:type="paragraph" w:customStyle="1" w:styleId="xl138">
    <w:name w:val="xl138"/>
    <w:basedOn w:val="Normal"/>
    <w:uiPriority w:val="99"/>
    <w:rsid w:val="00A077B0"/>
    <w:pPr>
      <w:widowControl/>
      <w:pBdr>
        <w:top w:val="single" w:sz="4" w:space="0" w:color="auto"/>
        <w:right w:val="single" w:sz="4" w:space="0" w:color="auto"/>
      </w:pBdr>
      <w:spacing w:before="100" w:beforeAutospacing="1" w:after="100" w:afterAutospacing="1"/>
      <w:jc w:val="center"/>
      <w:textAlignment w:val="center"/>
    </w:pPr>
    <w:rPr>
      <w:b/>
      <w:bCs/>
      <w:kern w:val="0"/>
      <w:sz w:val="24"/>
      <w:szCs w:val="24"/>
      <w:lang w:eastAsia="zh-CN"/>
    </w:rPr>
  </w:style>
  <w:style w:type="paragraph" w:customStyle="1" w:styleId="xl139">
    <w:name w:val="xl139"/>
    <w:basedOn w:val="Normal"/>
    <w:uiPriority w:val="99"/>
    <w:rsid w:val="00A077B0"/>
    <w:pPr>
      <w:widowControl/>
      <w:pBdr>
        <w:bottom w:val="single" w:sz="4" w:space="0" w:color="auto"/>
      </w:pBdr>
      <w:spacing w:before="100" w:beforeAutospacing="1" w:after="100" w:afterAutospacing="1"/>
      <w:jc w:val="center"/>
      <w:textAlignment w:val="center"/>
    </w:pPr>
    <w:rPr>
      <w:b/>
      <w:bCs/>
      <w:kern w:val="0"/>
      <w:sz w:val="24"/>
      <w:szCs w:val="24"/>
      <w:lang w:eastAsia="zh-CN"/>
    </w:rPr>
  </w:style>
  <w:style w:type="paragraph" w:customStyle="1" w:styleId="xl140">
    <w:name w:val="xl140"/>
    <w:basedOn w:val="Normal"/>
    <w:uiPriority w:val="99"/>
    <w:rsid w:val="00A077B0"/>
    <w:pPr>
      <w:widowControl/>
      <w:pBdr>
        <w:bottom w:val="single" w:sz="4" w:space="0" w:color="auto"/>
        <w:right w:val="single" w:sz="4" w:space="0" w:color="auto"/>
      </w:pBdr>
      <w:spacing w:before="100" w:beforeAutospacing="1" w:after="100" w:afterAutospacing="1"/>
      <w:jc w:val="center"/>
      <w:textAlignment w:val="center"/>
    </w:pPr>
    <w:rPr>
      <w:b/>
      <w:bCs/>
      <w:kern w:val="0"/>
      <w:sz w:val="24"/>
      <w:szCs w:val="24"/>
      <w:lang w:eastAsia="zh-CN"/>
    </w:rPr>
  </w:style>
  <w:style w:type="paragraph" w:customStyle="1" w:styleId="xl141">
    <w:name w:val="xl141"/>
    <w:basedOn w:val="Normal"/>
    <w:uiPriority w:val="99"/>
    <w:rsid w:val="00A077B0"/>
    <w:pPr>
      <w:widowControl/>
      <w:pBdr>
        <w:left w:val="single" w:sz="4" w:space="0" w:color="auto"/>
        <w:bottom w:val="single" w:sz="4" w:space="0" w:color="auto"/>
      </w:pBdr>
      <w:spacing w:before="100" w:beforeAutospacing="1" w:after="100" w:afterAutospacing="1"/>
      <w:jc w:val="center"/>
      <w:textAlignment w:val="center"/>
    </w:pPr>
    <w:rPr>
      <w:b/>
      <w:bCs/>
      <w:kern w:val="0"/>
      <w:sz w:val="24"/>
      <w:szCs w:val="24"/>
      <w:lang w:eastAsia="zh-CN"/>
    </w:rPr>
  </w:style>
  <w:style w:type="paragraph" w:customStyle="1" w:styleId="xl142">
    <w:name w:val="xl142"/>
    <w:basedOn w:val="Normal"/>
    <w:uiPriority w:val="99"/>
    <w:rsid w:val="00A077B0"/>
    <w:pPr>
      <w:widowControl/>
      <w:pBdr>
        <w:bottom w:val="single" w:sz="4" w:space="0" w:color="auto"/>
      </w:pBdr>
      <w:spacing w:before="100" w:beforeAutospacing="1" w:after="100" w:afterAutospacing="1"/>
      <w:jc w:val="center"/>
      <w:textAlignment w:val="center"/>
    </w:pPr>
    <w:rPr>
      <w:kern w:val="0"/>
      <w:sz w:val="24"/>
      <w:szCs w:val="24"/>
      <w:lang w:eastAsia="zh-CN"/>
    </w:rPr>
  </w:style>
  <w:style w:type="paragraph" w:customStyle="1" w:styleId="xl143">
    <w:name w:val="xl143"/>
    <w:basedOn w:val="Normal"/>
    <w:uiPriority w:val="99"/>
    <w:rsid w:val="00A077B0"/>
    <w:pPr>
      <w:widowControl/>
      <w:pBdr>
        <w:top w:val="single" w:sz="8" w:space="0" w:color="auto"/>
        <w:left w:val="single" w:sz="8" w:space="0" w:color="auto"/>
        <w:right w:val="single" w:sz="4" w:space="0" w:color="auto"/>
      </w:pBdr>
      <w:spacing w:before="100" w:beforeAutospacing="1" w:after="100" w:afterAutospacing="1"/>
      <w:textAlignment w:val="center"/>
    </w:pPr>
    <w:rPr>
      <w:b/>
      <w:bCs/>
      <w:kern w:val="0"/>
      <w:sz w:val="24"/>
      <w:szCs w:val="24"/>
      <w:lang w:eastAsia="zh-CN"/>
    </w:rPr>
  </w:style>
  <w:style w:type="paragraph" w:customStyle="1" w:styleId="xl144">
    <w:name w:val="xl144"/>
    <w:basedOn w:val="Normal"/>
    <w:uiPriority w:val="99"/>
    <w:rsid w:val="00A077B0"/>
    <w:pPr>
      <w:widowControl/>
      <w:pBdr>
        <w:top w:val="single" w:sz="8" w:space="0" w:color="auto"/>
        <w:left w:val="single" w:sz="4" w:space="0" w:color="auto"/>
        <w:bottom w:val="single" w:sz="4" w:space="0" w:color="auto"/>
      </w:pBdr>
      <w:spacing w:before="100" w:beforeAutospacing="1" w:after="100" w:afterAutospacing="1"/>
      <w:jc w:val="center"/>
      <w:textAlignment w:val="center"/>
    </w:pPr>
    <w:rPr>
      <w:b/>
      <w:bCs/>
      <w:kern w:val="0"/>
      <w:sz w:val="24"/>
      <w:szCs w:val="24"/>
      <w:lang w:eastAsia="zh-CN"/>
    </w:rPr>
  </w:style>
  <w:style w:type="paragraph" w:customStyle="1" w:styleId="xl145">
    <w:name w:val="xl145"/>
    <w:basedOn w:val="Normal"/>
    <w:uiPriority w:val="99"/>
    <w:rsid w:val="00A077B0"/>
    <w:pPr>
      <w:widowControl/>
      <w:pBdr>
        <w:top w:val="single" w:sz="8" w:space="0" w:color="auto"/>
        <w:bottom w:val="single" w:sz="4" w:space="0" w:color="auto"/>
      </w:pBdr>
      <w:spacing w:before="100" w:beforeAutospacing="1" w:after="100" w:afterAutospacing="1"/>
      <w:textAlignment w:val="center"/>
    </w:pPr>
    <w:rPr>
      <w:kern w:val="0"/>
      <w:sz w:val="24"/>
      <w:szCs w:val="24"/>
      <w:lang w:eastAsia="zh-CN"/>
    </w:rPr>
  </w:style>
  <w:style w:type="paragraph" w:customStyle="1" w:styleId="xl146">
    <w:name w:val="xl146"/>
    <w:basedOn w:val="Normal"/>
    <w:uiPriority w:val="99"/>
    <w:rsid w:val="00A077B0"/>
    <w:pPr>
      <w:widowControl/>
      <w:pBdr>
        <w:top w:val="single" w:sz="8" w:space="0" w:color="auto"/>
        <w:bottom w:val="single" w:sz="4" w:space="0" w:color="auto"/>
      </w:pBdr>
      <w:spacing w:before="100" w:beforeAutospacing="1" w:after="100" w:afterAutospacing="1"/>
      <w:textAlignment w:val="center"/>
    </w:pPr>
    <w:rPr>
      <w:kern w:val="0"/>
      <w:sz w:val="24"/>
      <w:szCs w:val="24"/>
      <w:lang w:eastAsia="zh-CN"/>
    </w:rPr>
  </w:style>
  <w:style w:type="paragraph" w:customStyle="1" w:styleId="xl147">
    <w:name w:val="xl147"/>
    <w:basedOn w:val="Normal"/>
    <w:uiPriority w:val="99"/>
    <w:rsid w:val="00A077B0"/>
    <w:pPr>
      <w:widowControl/>
      <w:pBdr>
        <w:top w:val="single" w:sz="8" w:space="0" w:color="auto"/>
        <w:bottom w:val="single" w:sz="4" w:space="0" w:color="auto"/>
        <w:right w:val="single" w:sz="8" w:space="0" w:color="auto"/>
      </w:pBdr>
      <w:spacing w:before="100" w:beforeAutospacing="1" w:after="100" w:afterAutospacing="1"/>
    </w:pPr>
    <w:rPr>
      <w:kern w:val="0"/>
      <w:sz w:val="24"/>
      <w:szCs w:val="24"/>
      <w:lang w:eastAsia="zh-CN"/>
    </w:rPr>
  </w:style>
  <w:style w:type="paragraph" w:customStyle="1" w:styleId="xl148">
    <w:name w:val="xl148"/>
    <w:basedOn w:val="Normal"/>
    <w:uiPriority w:val="99"/>
    <w:rsid w:val="00A077B0"/>
    <w:pPr>
      <w:widowControl/>
      <w:pBdr>
        <w:bottom w:val="single" w:sz="4" w:space="0" w:color="auto"/>
        <w:right w:val="single" w:sz="4" w:space="0" w:color="auto"/>
      </w:pBdr>
      <w:spacing w:before="100" w:beforeAutospacing="1" w:after="100" w:afterAutospacing="1"/>
      <w:jc w:val="center"/>
      <w:textAlignment w:val="center"/>
    </w:pPr>
    <w:rPr>
      <w:kern w:val="0"/>
      <w:sz w:val="24"/>
      <w:szCs w:val="24"/>
      <w:lang w:eastAsia="zh-CN"/>
    </w:rPr>
  </w:style>
  <w:style w:type="paragraph" w:customStyle="1" w:styleId="xl149">
    <w:name w:val="xl149"/>
    <w:basedOn w:val="Normal"/>
    <w:uiPriority w:val="99"/>
    <w:rsid w:val="00A077B0"/>
    <w:pPr>
      <w:widowControl/>
      <w:pBdr>
        <w:left w:val="single" w:sz="4" w:space="0" w:color="auto"/>
        <w:bottom w:val="single" w:sz="4" w:space="0" w:color="auto"/>
      </w:pBdr>
      <w:spacing w:before="100" w:beforeAutospacing="1" w:after="100" w:afterAutospacing="1"/>
      <w:jc w:val="center"/>
      <w:textAlignment w:val="center"/>
    </w:pPr>
    <w:rPr>
      <w:b/>
      <w:bCs/>
      <w:kern w:val="0"/>
      <w:sz w:val="24"/>
      <w:szCs w:val="24"/>
      <w:lang w:eastAsia="zh-CN"/>
    </w:rPr>
  </w:style>
  <w:style w:type="paragraph" w:customStyle="1" w:styleId="xl150">
    <w:name w:val="xl150"/>
    <w:basedOn w:val="Normal"/>
    <w:uiPriority w:val="99"/>
    <w:rsid w:val="00A077B0"/>
    <w:pPr>
      <w:widowControl/>
      <w:pBdr>
        <w:bottom w:val="single" w:sz="4" w:space="0" w:color="auto"/>
      </w:pBdr>
      <w:spacing w:before="100" w:beforeAutospacing="1" w:after="100" w:afterAutospacing="1"/>
      <w:jc w:val="center"/>
      <w:textAlignment w:val="center"/>
    </w:pPr>
    <w:rPr>
      <w:kern w:val="0"/>
      <w:sz w:val="24"/>
      <w:szCs w:val="24"/>
      <w:lang w:eastAsia="zh-CN"/>
    </w:rPr>
  </w:style>
  <w:style w:type="paragraph" w:customStyle="1" w:styleId="xl151">
    <w:name w:val="xl151"/>
    <w:basedOn w:val="Normal"/>
    <w:uiPriority w:val="99"/>
    <w:rsid w:val="00A077B0"/>
    <w:pPr>
      <w:widowControl/>
      <w:pBdr>
        <w:top w:val="single" w:sz="4" w:space="0" w:color="auto"/>
        <w:left w:val="single" w:sz="4" w:space="0" w:color="auto"/>
        <w:bottom w:val="single" w:sz="4" w:space="0" w:color="auto"/>
      </w:pBdr>
      <w:spacing w:before="100" w:beforeAutospacing="1" w:after="100" w:afterAutospacing="1"/>
      <w:jc w:val="center"/>
      <w:textAlignment w:val="center"/>
    </w:pPr>
    <w:rPr>
      <w:b/>
      <w:bCs/>
      <w:kern w:val="0"/>
      <w:sz w:val="24"/>
      <w:szCs w:val="24"/>
      <w:lang w:eastAsia="zh-CN"/>
    </w:rPr>
  </w:style>
  <w:style w:type="paragraph" w:customStyle="1" w:styleId="xl152">
    <w:name w:val="xl152"/>
    <w:basedOn w:val="Normal"/>
    <w:uiPriority w:val="99"/>
    <w:rsid w:val="00A077B0"/>
    <w:pPr>
      <w:widowControl/>
      <w:pBdr>
        <w:top w:val="single" w:sz="4" w:space="0" w:color="auto"/>
        <w:bottom w:val="single" w:sz="4" w:space="0" w:color="auto"/>
        <w:right w:val="single" w:sz="8" w:space="0" w:color="auto"/>
      </w:pBdr>
      <w:spacing w:before="100" w:beforeAutospacing="1" w:after="100" w:afterAutospacing="1"/>
      <w:jc w:val="center"/>
    </w:pPr>
    <w:rPr>
      <w:kern w:val="0"/>
      <w:sz w:val="24"/>
      <w:szCs w:val="24"/>
      <w:lang w:eastAsia="zh-CN"/>
    </w:rPr>
  </w:style>
  <w:style w:type="character" w:customStyle="1" w:styleId="ccbntxtbold1">
    <w:name w:val="ccbntxtbold1"/>
    <w:uiPriority w:val="99"/>
    <w:rsid w:val="005136E0"/>
    <w:rPr>
      <w:b/>
      <w:color w:val="333333"/>
      <w:sz w:val="18"/>
    </w:rPr>
  </w:style>
  <w:style w:type="paragraph" w:customStyle="1" w:styleId="StyleParaNum">
    <w:name w:val="Style ParaNum +"/>
    <w:basedOn w:val="ParaNum"/>
    <w:link w:val="StyleParaNumChar"/>
    <w:autoRedefine/>
    <w:uiPriority w:val="99"/>
    <w:rsid w:val="00453DBF"/>
    <w:pPr>
      <w:tabs>
        <w:tab w:val="num" w:pos="360"/>
      </w:tabs>
      <w:ind w:left="360" w:hanging="360"/>
    </w:pPr>
    <w:rPr>
      <w:snapToGrid w:val="0"/>
      <w:kern w:val="0"/>
      <w:sz w:val="22"/>
    </w:rPr>
  </w:style>
  <w:style w:type="character" w:customStyle="1" w:styleId="StyleParaNumChar">
    <w:name w:val="Style ParaNum + Char"/>
    <w:link w:val="StyleParaNum"/>
    <w:uiPriority w:val="99"/>
    <w:locked/>
    <w:rsid w:val="00453DBF"/>
    <w:rPr>
      <w:snapToGrid w:val="0"/>
      <w:sz w:val="22"/>
      <w:lang w:val="en-US" w:eastAsia="en-US"/>
    </w:rPr>
  </w:style>
  <w:style w:type="character" w:customStyle="1" w:styleId="ccbnttl1">
    <w:name w:val="ccbnttl1"/>
    <w:uiPriority w:val="99"/>
    <w:rsid w:val="00F60E2A"/>
    <w:rPr>
      <w:rFonts w:ascii="Arial" w:hAnsi="Arial"/>
      <w:b/>
      <w:color w:val="330066"/>
      <w:sz w:val="14"/>
      <w:u w:val="none"/>
      <w:effect w:val="none"/>
      <w:shd w:val="clear" w:color="auto" w:fill="FFFFFF"/>
    </w:rPr>
  </w:style>
  <w:style w:type="character" w:customStyle="1" w:styleId="apple-converted-space">
    <w:name w:val="apple-converted-space"/>
    <w:basedOn w:val="DefaultParagraphFont"/>
    <w:uiPriority w:val="99"/>
    <w:rsid w:val="00C44088"/>
    <w:rPr>
      <w:rFonts w:cs="Times New Roman"/>
    </w:rPr>
  </w:style>
  <w:style w:type="paragraph" w:styleId="ListParagraph">
    <w:name w:val="List Paragraph"/>
    <w:basedOn w:val="Normal"/>
    <w:uiPriority w:val="99"/>
    <w:qFormat/>
    <w:rsid w:val="00FD2AB2"/>
    <w:pPr>
      <w:ind w:left="720"/>
    </w:pPr>
  </w:style>
  <w:style w:type="character" w:customStyle="1" w:styleId="byline">
    <w:name w:val="byline"/>
    <w:uiPriority w:val="99"/>
    <w:rsid w:val="006B68CA"/>
  </w:style>
  <w:style w:type="paragraph" w:styleId="TOCHeading">
    <w:name w:val="TOC Heading"/>
    <w:basedOn w:val="Heading1"/>
    <w:next w:val="Normal"/>
    <w:uiPriority w:val="99"/>
    <w:qFormat/>
    <w:rsid w:val="009C6585"/>
    <w:pPr>
      <w:keepLines/>
      <w:widowControl/>
      <w:tabs>
        <w:tab w:val="clear" w:pos="720"/>
      </w:tabs>
      <w:suppressAutoHyphens w:val="0"/>
      <w:spacing w:before="480" w:after="0" w:line="276" w:lineRule="auto"/>
      <w:ind w:left="0" w:firstLine="0"/>
      <w:outlineLvl w:val="9"/>
    </w:pPr>
    <w:rPr>
      <w:rFonts w:ascii="Cambria" w:eastAsia="MS Gothic" w:hAnsi="Cambria"/>
      <w:bCs/>
      <w:caps w:val="0"/>
      <w:color w:val="365F91"/>
      <w:kern w:val="0"/>
      <w:sz w:val="28"/>
      <w:szCs w:val="28"/>
      <w:lang w:eastAsia="ja-JP"/>
    </w:rPr>
  </w:style>
  <w:style w:type="paragraph" w:customStyle="1" w:styleId="ParaNum2">
    <w:name w:val="Para Num"/>
    <w:basedOn w:val="ParaNum"/>
    <w:link w:val="ParaNumChar0"/>
    <w:uiPriority w:val="99"/>
    <w:rsid w:val="00B45AAF"/>
    <w:rPr>
      <w:rFonts w:eastAsia="Times New Roman"/>
      <w:snapToGrid w:val="0"/>
      <w:sz w:val="22"/>
    </w:rPr>
  </w:style>
  <w:style w:type="character" w:customStyle="1" w:styleId="ParaNumChar0">
    <w:name w:val="Para Num Char"/>
    <w:link w:val="ParaNum2"/>
    <w:uiPriority w:val="99"/>
    <w:locked/>
    <w:rsid w:val="00B45AAF"/>
    <w:rPr>
      <w:rFonts w:eastAsia="Times New Roman"/>
      <w:snapToGrid w:val="0"/>
      <w:kern w:val="28"/>
      <w:sz w:val="22"/>
    </w:rPr>
  </w:style>
  <w:style w:type="paragraph" w:customStyle="1" w:styleId="ParaNum20">
    <w:name w:val="ParaNum2"/>
    <w:basedOn w:val="ParaNum"/>
    <w:link w:val="ParaNum2Char"/>
    <w:uiPriority w:val="99"/>
    <w:rsid w:val="00AD78E3"/>
    <w:pPr>
      <w:widowControl/>
      <w:tabs>
        <w:tab w:val="num" w:pos="720"/>
      </w:tabs>
      <w:ind w:left="720" w:hanging="720"/>
    </w:pPr>
    <w:rPr>
      <w:rFonts w:eastAsia="Times New Roman"/>
      <w:snapToGrid w:val="0"/>
      <w:sz w:val="22"/>
    </w:rPr>
  </w:style>
  <w:style w:type="character" w:customStyle="1" w:styleId="ParaNum2Char">
    <w:name w:val="ParaNum2 Char"/>
    <w:link w:val="ParaNum20"/>
    <w:uiPriority w:val="99"/>
    <w:locked/>
    <w:rsid w:val="00AD78E3"/>
    <w:rPr>
      <w:rFonts w:eastAsia="Times New Roman"/>
      <w:snapToGrid w:val="0"/>
      <w:kern w:val="28"/>
      <w:sz w:val="22"/>
    </w:rPr>
  </w:style>
  <w:style w:type="character" w:customStyle="1" w:styleId="article-meta-name">
    <w:name w:val="article-meta-name"/>
    <w:uiPriority w:val="99"/>
    <w:rsid w:val="00AD78E3"/>
  </w:style>
  <w:style w:type="paragraph" w:customStyle="1" w:styleId="xl153">
    <w:name w:val="xl153"/>
    <w:basedOn w:val="Normal"/>
    <w:uiPriority w:val="99"/>
    <w:rsid w:val="007D172A"/>
    <w:pPr>
      <w:widowControl/>
      <w:pBdr>
        <w:top w:val="single" w:sz="8" w:space="0" w:color="auto"/>
        <w:bottom w:val="single" w:sz="4" w:space="0" w:color="auto"/>
        <w:right w:val="single" w:sz="4" w:space="0" w:color="auto"/>
      </w:pBdr>
      <w:spacing w:before="100" w:beforeAutospacing="1" w:after="100" w:afterAutospacing="1"/>
      <w:jc w:val="center"/>
      <w:textAlignment w:val="center"/>
    </w:pPr>
    <w:rPr>
      <w:kern w:val="0"/>
      <w:sz w:val="24"/>
      <w:szCs w:val="24"/>
    </w:rPr>
  </w:style>
  <w:style w:type="paragraph" w:customStyle="1" w:styleId="xl154">
    <w:name w:val="xl154"/>
    <w:basedOn w:val="Normal"/>
    <w:uiPriority w:val="99"/>
    <w:rsid w:val="007D172A"/>
    <w:pPr>
      <w:widowControl/>
      <w:pBdr>
        <w:top w:val="single" w:sz="4" w:space="0" w:color="auto"/>
        <w:left w:val="single" w:sz="4" w:space="0" w:color="auto"/>
        <w:right w:val="single" w:sz="4" w:space="0" w:color="auto"/>
      </w:pBdr>
      <w:spacing w:before="100" w:beforeAutospacing="1" w:after="100" w:afterAutospacing="1"/>
      <w:jc w:val="center"/>
      <w:textAlignment w:val="center"/>
    </w:pPr>
    <w:rPr>
      <w:b/>
      <w:bCs/>
      <w:kern w:val="0"/>
      <w:sz w:val="24"/>
      <w:szCs w:val="24"/>
    </w:rPr>
  </w:style>
  <w:style w:type="paragraph" w:customStyle="1" w:styleId="xl155">
    <w:name w:val="xl155"/>
    <w:basedOn w:val="Normal"/>
    <w:uiPriority w:val="99"/>
    <w:rsid w:val="007D172A"/>
    <w:pPr>
      <w:widowControl/>
      <w:pBdr>
        <w:left w:val="single" w:sz="4" w:space="0" w:color="auto"/>
        <w:bottom w:val="single" w:sz="4" w:space="0" w:color="auto"/>
        <w:right w:val="single" w:sz="4" w:space="0" w:color="auto"/>
      </w:pBdr>
      <w:spacing w:before="100" w:beforeAutospacing="1" w:after="100" w:afterAutospacing="1"/>
      <w:jc w:val="center"/>
      <w:textAlignment w:val="center"/>
    </w:pPr>
    <w:rPr>
      <w:b/>
      <w:bCs/>
      <w:kern w:val="0"/>
      <w:sz w:val="24"/>
      <w:szCs w:val="24"/>
    </w:rPr>
  </w:style>
  <w:style w:type="paragraph" w:customStyle="1" w:styleId="xl156">
    <w:name w:val="xl156"/>
    <w:basedOn w:val="Normal"/>
    <w:uiPriority w:val="99"/>
    <w:rsid w:val="007D172A"/>
    <w:pPr>
      <w:widowControl/>
      <w:pBdr>
        <w:top w:val="single" w:sz="4" w:space="0" w:color="auto"/>
      </w:pBdr>
      <w:spacing w:before="100" w:beforeAutospacing="1" w:after="100" w:afterAutospacing="1"/>
      <w:jc w:val="center"/>
      <w:textAlignment w:val="center"/>
    </w:pPr>
    <w:rPr>
      <w:b/>
      <w:bCs/>
      <w:kern w:val="0"/>
      <w:sz w:val="24"/>
      <w:szCs w:val="24"/>
    </w:rPr>
  </w:style>
  <w:style w:type="paragraph" w:customStyle="1" w:styleId="xl157">
    <w:name w:val="xl157"/>
    <w:basedOn w:val="Normal"/>
    <w:uiPriority w:val="99"/>
    <w:rsid w:val="007D172A"/>
    <w:pPr>
      <w:widowControl/>
      <w:pBdr>
        <w:top w:val="single" w:sz="4" w:space="0" w:color="auto"/>
        <w:right w:val="single" w:sz="4" w:space="0" w:color="auto"/>
      </w:pBdr>
      <w:spacing w:before="100" w:beforeAutospacing="1" w:after="100" w:afterAutospacing="1"/>
      <w:jc w:val="center"/>
      <w:textAlignment w:val="center"/>
    </w:pPr>
    <w:rPr>
      <w:b/>
      <w:bCs/>
      <w:kern w:val="0"/>
      <w:sz w:val="24"/>
      <w:szCs w:val="24"/>
    </w:rPr>
  </w:style>
  <w:style w:type="paragraph" w:customStyle="1" w:styleId="xl158">
    <w:name w:val="xl158"/>
    <w:basedOn w:val="Normal"/>
    <w:uiPriority w:val="99"/>
    <w:rsid w:val="007D172A"/>
    <w:pPr>
      <w:widowControl/>
      <w:pBdr>
        <w:bottom w:val="single" w:sz="4" w:space="0" w:color="auto"/>
      </w:pBdr>
      <w:spacing w:before="100" w:beforeAutospacing="1" w:after="100" w:afterAutospacing="1"/>
      <w:jc w:val="center"/>
      <w:textAlignment w:val="center"/>
    </w:pPr>
    <w:rPr>
      <w:b/>
      <w:bCs/>
      <w:kern w:val="0"/>
      <w:sz w:val="24"/>
      <w:szCs w:val="24"/>
    </w:rPr>
  </w:style>
  <w:style w:type="paragraph" w:customStyle="1" w:styleId="xl159">
    <w:name w:val="xl159"/>
    <w:basedOn w:val="Normal"/>
    <w:uiPriority w:val="99"/>
    <w:rsid w:val="007D172A"/>
    <w:pPr>
      <w:widowControl/>
      <w:pBdr>
        <w:bottom w:val="single" w:sz="4" w:space="0" w:color="auto"/>
      </w:pBdr>
      <w:spacing w:before="100" w:beforeAutospacing="1" w:after="100" w:afterAutospacing="1"/>
      <w:jc w:val="center"/>
      <w:textAlignment w:val="center"/>
    </w:pPr>
    <w:rPr>
      <w:kern w:val="0"/>
      <w:sz w:val="24"/>
      <w:szCs w:val="24"/>
    </w:rPr>
  </w:style>
  <w:style w:type="paragraph" w:customStyle="1" w:styleId="xl160">
    <w:name w:val="xl160"/>
    <w:basedOn w:val="Normal"/>
    <w:uiPriority w:val="99"/>
    <w:rsid w:val="007D172A"/>
    <w:pPr>
      <w:widowControl/>
      <w:pBdr>
        <w:left w:val="single" w:sz="4" w:space="0" w:color="auto"/>
        <w:bottom w:val="single" w:sz="4" w:space="0" w:color="auto"/>
      </w:pBdr>
      <w:spacing w:before="100" w:beforeAutospacing="1" w:after="100" w:afterAutospacing="1"/>
      <w:jc w:val="center"/>
      <w:textAlignment w:val="center"/>
    </w:pPr>
    <w:rPr>
      <w:b/>
      <w:bCs/>
      <w:kern w:val="0"/>
      <w:sz w:val="24"/>
      <w:szCs w:val="24"/>
    </w:rPr>
  </w:style>
  <w:style w:type="paragraph" w:customStyle="1" w:styleId="xl161">
    <w:name w:val="xl161"/>
    <w:basedOn w:val="Normal"/>
    <w:uiPriority w:val="99"/>
    <w:rsid w:val="007D172A"/>
    <w:pPr>
      <w:widowControl/>
      <w:pBdr>
        <w:bottom w:val="single" w:sz="4" w:space="0" w:color="auto"/>
      </w:pBdr>
      <w:spacing w:before="100" w:beforeAutospacing="1" w:after="100" w:afterAutospacing="1"/>
      <w:jc w:val="center"/>
    </w:pPr>
    <w:rPr>
      <w:kern w:val="0"/>
      <w:sz w:val="24"/>
      <w:szCs w:val="24"/>
    </w:rPr>
  </w:style>
  <w:style w:type="paragraph" w:customStyle="1" w:styleId="xl162">
    <w:name w:val="xl162"/>
    <w:basedOn w:val="Normal"/>
    <w:uiPriority w:val="99"/>
    <w:rsid w:val="007D172A"/>
    <w:pPr>
      <w:widowControl/>
      <w:pBdr>
        <w:top w:val="single" w:sz="4" w:space="0" w:color="auto"/>
        <w:left w:val="single" w:sz="4" w:space="0" w:color="auto"/>
        <w:bottom w:val="single" w:sz="4" w:space="0" w:color="auto"/>
      </w:pBdr>
      <w:spacing w:before="100" w:beforeAutospacing="1" w:after="100" w:afterAutospacing="1"/>
      <w:jc w:val="center"/>
    </w:pPr>
    <w:rPr>
      <w:b/>
      <w:bCs/>
      <w:kern w:val="0"/>
      <w:sz w:val="24"/>
      <w:szCs w:val="24"/>
    </w:rPr>
  </w:style>
  <w:style w:type="paragraph" w:customStyle="1" w:styleId="xl163">
    <w:name w:val="xl163"/>
    <w:basedOn w:val="Normal"/>
    <w:uiPriority w:val="99"/>
    <w:rsid w:val="007D172A"/>
    <w:pPr>
      <w:widowControl/>
      <w:pBdr>
        <w:top w:val="single" w:sz="4" w:space="0" w:color="auto"/>
        <w:bottom w:val="single" w:sz="4" w:space="0" w:color="auto"/>
        <w:right w:val="single" w:sz="4" w:space="0" w:color="auto"/>
      </w:pBdr>
      <w:spacing w:before="100" w:beforeAutospacing="1" w:after="100" w:afterAutospacing="1"/>
      <w:jc w:val="center"/>
    </w:pPr>
    <w:rPr>
      <w:kern w:val="0"/>
      <w:sz w:val="24"/>
      <w:szCs w:val="24"/>
    </w:rPr>
  </w:style>
  <w:style w:type="paragraph" w:customStyle="1" w:styleId="xl164">
    <w:name w:val="xl164"/>
    <w:basedOn w:val="Normal"/>
    <w:uiPriority w:val="99"/>
    <w:rsid w:val="007D172A"/>
    <w:pPr>
      <w:widowControl/>
      <w:pBdr>
        <w:bottom w:val="single" w:sz="4" w:space="0" w:color="auto"/>
        <w:right w:val="single" w:sz="4" w:space="0" w:color="auto"/>
      </w:pBdr>
      <w:spacing w:before="100" w:beforeAutospacing="1" w:after="100" w:afterAutospacing="1"/>
      <w:jc w:val="center"/>
      <w:textAlignment w:val="center"/>
    </w:pPr>
    <w:rPr>
      <w:kern w:val="0"/>
      <w:sz w:val="24"/>
      <w:szCs w:val="24"/>
    </w:rPr>
  </w:style>
  <w:style w:type="paragraph" w:customStyle="1" w:styleId="xl165">
    <w:name w:val="xl165"/>
    <w:basedOn w:val="Normal"/>
    <w:uiPriority w:val="99"/>
    <w:rsid w:val="007D172A"/>
    <w:pPr>
      <w:widowControl/>
      <w:pBdr>
        <w:bottom w:val="single" w:sz="4" w:space="0" w:color="auto"/>
      </w:pBdr>
      <w:spacing w:before="100" w:beforeAutospacing="1" w:after="100" w:afterAutospacing="1"/>
      <w:jc w:val="center"/>
      <w:textAlignment w:val="center"/>
    </w:pPr>
    <w:rPr>
      <w:kern w:val="0"/>
      <w:sz w:val="24"/>
      <w:szCs w:val="24"/>
    </w:rPr>
  </w:style>
  <w:style w:type="character" w:customStyle="1" w:styleId="FootnoteTextChar2Char2">
    <w:name w:val="Footnote Text Char2 Char2"/>
    <w:aliases w:val="Footnote Text Char1 Char Char2 Char1,Footnote Text Char Char Char Char2 Char1,Footnote Text Char2 Char1 Char Char Char2 Char1,Footnote Text Char1 Char Char1 Char Char1 Char2 Char1,fn Char2"/>
    <w:uiPriority w:val="99"/>
    <w:locked/>
    <w:rsid w:val="00E20CCE"/>
    <w:rPr>
      <w:snapToGrid w:val="0"/>
      <w:kern w:val="28"/>
    </w:rPr>
  </w:style>
  <w:style w:type="character" w:customStyle="1" w:styleId="Normal11">
    <w:name w:val="Normal11"/>
    <w:uiPriority w:val="99"/>
    <w:rsid w:val="00E20CCE"/>
    <w:rPr>
      <w:rFonts w:ascii="Times New Roman" w:hAnsi="Times New Roman"/>
      <w:sz w:val="22"/>
      <w:lang w:val="en-US"/>
    </w:rPr>
  </w:style>
  <w:style w:type="character" w:customStyle="1" w:styleId="CharChar92">
    <w:name w:val="Char Char92"/>
    <w:uiPriority w:val="99"/>
    <w:rsid w:val="00E20CCE"/>
    <w:rPr>
      <w:rFonts w:ascii="Times New Roman Bold" w:hAnsi="Times New Roman Bold"/>
      <w:b/>
      <w:caps/>
      <w:snapToGrid w:val="0"/>
      <w:kern w:val="28"/>
      <w:sz w:val="22"/>
      <w:lang w:val="en-US" w:eastAsia="en-US"/>
    </w:rPr>
  </w:style>
  <w:style w:type="character" w:customStyle="1" w:styleId="CharChar72">
    <w:name w:val="Char Char72"/>
    <w:uiPriority w:val="99"/>
    <w:rsid w:val="00E20CCE"/>
    <w:rPr>
      <w:b/>
      <w:snapToGrid w:val="0"/>
      <w:kern w:val="28"/>
      <w:sz w:val="22"/>
      <w:lang w:val="en-US" w:eastAsia="en-US"/>
    </w:rPr>
  </w:style>
  <w:style w:type="character" w:customStyle="1" w:styleId="CharChar62">
    <w:name w:val="Char Char62"/>
    <w:uiPriority w:val="99"/>
    <w:rsid w:val="00E20CCE"/>
    <w:rPr>
      <w:b/>
      <w:snapToGrid w:val="0"/>
      <w:kern w:val="28"/>
      <w:sz w:val="22"/>
      <w:lang w:val="en-US" w:eastAsia="en-US"/>
    </w:rPr>
  </w:style>
  <w:style w:type="character" w:customStyle="1" w:styleId="CharChar82">
    <w:name w:val="Char Char82"/>
    <w:uiPriority w:val="99"/>
    <w:rsid w:val="00E20CCE"/>
    <w:rPr>
      <w:b/>
      <w:snapToGrid w:val="0"/>
      <w:kern w:val="28"/>
      <w:sz w:val="22"/>
      <w:lang w:val="en-US" w:eastAsia="en-US"/>
    </w:rPr>
  </w:style>
  <w:style w:type="character" w:customStyle="1" w:styleId="CharChar102">
    <w:name w:val="Char Char102"/>
    <w:uiPriority w:val="99"/>
    <w:rsid w:val="00E20CCE"/>
    <w:rPr>
      <w:rFonts w:ascii="Times New Roman Bold" w:hAnsi="Times New Roman Bold"/>
      <w:b/>
      <w:caps/>
      <w:snapToGrid w:val="0"/>
      <w:kern w:val="28"/>
      <w:sz w:val="22"/>
      <w:lang w:val="en-US" w:eastAsia="en-US"/>
    </w:rPr>
  </w:style>
  <w:style w:type="character" w:customStyle="1" w:styleId="CharChar212">
    <w:name w:val="Char Char212"/>
    <w:uiPriority w:val="99"/>
    <w:rsid w:val="00E20CCE"/>
    <w:rPr>
      <w:rFonts w:ascii="Times New Roman Bold" w:hAnsi="Times New Roman Bold"/>
      <w:b/>
      <w:caps/>
      <w:snapToGrid w:val="0"/>
      <w:kern w:val="28"/>
      <w:sz w:val="22"/>
      <w:lang w:val="en-US" w:eastAsia="en-US"/>
    </w:rPr>
  </w:style>
  <w:style w:type="character" w:customStyle="1" w:styleId="CharChar202">
    <w:name w:val="Char Char202"/>
    <w:uiPriority w:val="99"/>
    <w:rsid w:val="00E20CCE"/>
    <w:rPr>
      <w:b/>
      <w:snapToGrid w:val="0"/>
      <w:kern w:val="28"/>
      <w:sz w:val="22"/>
      <w:lang w:val="en-US" w:eastAsia="en-US"/>
    </w:rPr>
  </w:style>
  <w:style w:type="character" w:customStyle="1" w:styleId="CharChar192">
    <w:name w:val="Char Char192"/>
    <w:uiPriority w:val="99"/>
    <w:rsid w:val="00E20CCE"/>
    <w:rPr>
      <w:b/>
      <w:snapToGrid w:val="0"/>
      <w:kern w:val="28"/>
      <w:sz w:val="22"/>
      <w:lang w:val="en-US" w:eastAsia="en-US"/>
    </w:rPr>
  </w:style>
  <w:style w:type="character" w:customStyle="1" w:styleId="CharChar182">
    <w:name w:val="Char Char182"/>
    <w:uiPriority w:val="99"/>
    <w:rsid w:val="00E20CCE"/>
    <w:rPr>
      <w:b/>
      <w:snapToGrid w:val="0"/>
      <w:kern w:val="28"/>
      <w:sz w:val="22"/>
      <w:lang w:val="en-US" w:eastAsia="en-US"/>
    </w:rPr>
  </w:style>
  <w:style w:type="character" w:customStyle="1" w:styleId="CharChar172">
    <w:name w:val="Char Char172"/>
    <w:uiPriority w:val="99"/>
    <w:rsid w:val="00E20CCE"/>
    <w:rPr>
      <w:b/>
      <w:snapToGrid w:val="0"/>
      <w:kern w:val="28"/>
      <w:sz w:val="22"/>
      <w:lang w:val="en-US" w:eastAsia="en-US"/>
    </w:rPr>
  </w:style>
  <w:style w:type="character" w:customStyle="1" w:styleId="CharChar162">
    <w:name w:val="Char Char162"/>
    <w:uiPriority w:val="99"/>
    <w:locked/>
    <w:rsid w:val="00E20CCE"/>
    <w:rPr>
      <w:b/>
      <w:snapToGrid w:val="0"/>
      <w:kern w:val="28"/>
      <w:sz w:val="22"/>
      <w:lang w:val="en-US" w:eastAsia="en-US"/>
    </w:rPr>
  </w:style>
  <w:style w:type="character" w:customStyle="1" w:styleId="CharChar152">
    <w:name w:val="Char Char152"/>
    <w:uiPriority w:val="99"/>
    <w:locked/>
    <w:rsid w:val="00E20CCE"/>
    <w:rPr>
      <w:b/>
      <w:snapToGrid w:val="0"/>
      <w:kern w:val="28"/>
      <w:sz w:val="22"/>
      <w:lang w:val="en-US" w:eastAsia="en-US"/>
    </w:rPr>
  </w:style>
  <w:style w:type="character" w:customStyle="1" w:styleId="CharChar142">
    <w:name w:val="Char Char142"/>
    <w:uiPriority w:val="99"/>
    <w:locked/>
    <w:rsid w:val="00E20CCE"/>
    <w:rPr>
      <w:b/>
      <w:snapToGrid w:val="0"/>
      <w:kern w:val="28"/>
      <w:sz w:val="22"/>
      <w:lang w:val="en-US" w:eastAsia="en-US"/>
    </w:rPr>
  </w:style>
  <w:style w:type="character" w:customStyle="1" w:styleId="CharChar132">
    <w:name w:val="Char Char132"/>
    <w:uiPriority w:val="99"/>
    <w:locked/>
    <w:rsid w:val="00E20CCE"/>
    <w:rPr>
      <w:b/>
      <w:snapToGrid w:val="0"/>
      <w:kern w:val="28"/>
      <w:sz w:val="22"/>
      <w:lang w:val="en-US" w:eastAsia="en-US"/>
    </w:rPr>
  </w:style>
  <w:style w:type="character" w:customStyle="1" w:styleId="CharChar112">
    <w:name w:val="Char Char112"/>
    <w:uiPriority w:val="99"/>
    <w:rsid w:val="00E20CCE"/>
    <w:rPr>
      <w:caps/>
      <w:noProof/>
      <w:snapToGrid w:val="0"/>
      <w:kern w:val="28"/>
      <w:sz w:val="22"/>
      <w:lang w:val="en-US" w:eastAsia="en-US"/>
    </w:rPr>
  </w:style>
  <w:style w:type="character" w:customStyle="1" w:styleId="Normal2">
    <w:name w:val="Normal2"/>
    <w:uiPriority w:val="99"/>
    <w:rsid w:val="00E20CCE"/>
    <w:rPr>
      <w:rFonts w:ascii="Times New Roman" w:hAnsi="Times New Roman"/>
      <w:sz w:val="22"/>
      <w:lang w:val="en-US"/>
    </w:rPr>
  </w:style>
  <w:style w:type="character" w:customStyle="1" w:styleId="CharChar91">
    <w:name w:val="Char Char91"/>
    <w:uiPriority w:val="99"/>
    <w:rsid w:val="00E20CCE"/>
    <w:rPr>
      <w:rFonts w:ascii="Times New Roman Bold" w:hAnsi="Times New Roman Bold"/>
      <w:b/>
      <w:caps/>
      <w:snapToGrid w:val="0"/>
      <w:kern w:val="28"/>
      <w:sz w:val="22"/>
      <w:lang w:val="en-US" w:eastAsia="en-US"/>
    </w:rPr>
  </w:style>
  <w:style w:type="character" w:customStyle="1" w:styleId="CharChar71">
    <w:name w:val="Char Char71"/>
    <w:uiPriority w:val="99"/>
    <w:rsid w:val="00E20CCE"/>
    <w:rPr>
      <w:b/>
      <w:snapToGrid w:val="0"/>
      <w:kern w:val="28"/>
      <w:sz w:val="22"/>
      <w:lang w:val="en-US" w:eastAsia="en-US"/>
    </w:rPr>
  </w:style>
  <w:style w:type="character" w:customStyle="1" w:styleId="CharChar61">
    <w:name w:val="Char Char61"/>
    <w:uiPriority w:val="99"/>
    <w:rsid w:val="00E20CCE"/>
    <w:rPr>
      <w:b/>
      <w:snapToGrid w:val="0"/>
      <w:kern w:val="28"/>
      <w:sz w:val="22"/>
      <w:lang w:val="en-US" w:eastAsia="en-US"/>
    </w:rPr>
  </w:style>
  <w:style w:type="character" w:customStyle="1" w:styleId="CharChar81">
    <w:name w:val="Char Char81"/>
    <w:uiPriority w:val="99"/>
    <w:rsid w:val="00E20CCE"/>
    <w:rPr>
      <w:b/>
      <w:snapToGrid w:val="0"/>
      <w:kern w:val="28"/>
      <w:sz w:val="22"/>
      <w:lang w:val="en-US" w:eastAsia="en-US"/>
    </w:rPr>
  </w:style>
  <w:style w:type="character" w:customStyle="1" w:styleId="CharChar101">
    <w:name w:val="Char Char101"/>
    <w:uiPriority w:val="99"/>
    <w:rsid w:val="00E20CCE"/>
    <w:rPr>
      <w:rFonts w:ascii="Times New Roman Bold" w:hAnsi="Times New Roman Bold"/>
      <w:b/>
      <w:caps/>
      <w:snapToGrid w:val="0"/>
      <w:kern w:val="28"/>
      <w:sz w:val="22"/>
      <w:lang w:val="en-US" w:eastAsia="en-US"/>
    </w:rPr>
  </w:style>
  <w:style w:type="character" w:customStyle="1" w:styleId="CharChar211">
    <w:name w:val="Char Char211"/>
    <w:uiPriority w:val="99"/>
    <w:rsid w:val="00E20CCE"/>
    <w:rPr>
      <w:rFonts w:ascii="Times New Roman Bold" w:hAnsi="Times New Roman Bold"/>
      <w:b/>
      <w:caps/>
      <w:snapToGrid w:val="0"/>
      <w:kern w:val="28"/>
      <w:sz w:val="22"/>
      <w:lang w:val="en-US" w:eastAsia="en-US"/>
    </w:rPr>
  </w:style>
  <w:style w:type="character" w:customStyle="1" w:styleId="CharChar201">
    <w:name w:val="Char Char201"/>
    <w:uiPriority w:val="99"/>
    <w:rsid w:val="00E20CCE"/>
    <w:rPr>
      <w:b/>
      <w:snapToGrid w:val="0"/>
      <w:kern w:val="28"/>
      <w:sz w:val="22"/>
      <w:lang w:val="en-US" w:eastAsia="en-US"/>
    </w:rPr>
  </w:style>
  <w:style w:type="character" w:customStyle="1" w:styleId="CharChar191">
    <w:name w:val="Char Char191"/>
    <w:uiPriority w:val="99"/>
    <w:rsid w:val="00E20CCE"/>
    <w:rPr>
      <w:b/>
      <w:snapToGrid w:val="0"/>
      <w:kern w:val="28"/>
      <w:sz w:val="22"/>
      <w:lang w:val="en-US" w:eastAsia="en-US"/>
    </w:rPr>
  </w:style>
  <w:style w:type="character" w:customStyle="1" w:styleId="CharChar181">
    <w:name w:val="Char Char181"/>
    <w:uiPriority w:val="99"/>
    <w:rsid w:val="00E20CCE"/>
    <w:rPr>
      <w:b/>
      <w:snapToGrid w:val="0"/>
      <w:kern w:val="28"/>
      <w:sz w:val="22"/>
      <w:lang w:val="en-US" w:eastAsia="en-US"/>
    </w:rPr>
  </w:style>
  <w:style w:type="character" w:customStyle="1" w:styleId="CharChar171">
    <w:name w:val="Char Char171"/>
    <w:uiPriority w:val="99"/>
    <w:rsid w:val="00E20CCE"/>
    <w:rPr>
      <w:b/>
      <w:snapToGrid w:val="0"/>
      <w:kern w:val="28"/>
      <w:sz w:val="22"/>
      <w:lang w:val="en-US" w:eastAsia="en-US"/>
    </w:rPr>
  </w:style>
  <w:style w:type="character" w:customStyle="1" w:styleId="CharChar161">
    <w:name w:val="Char Char161"/>
    <w:uiPriority w:val="99"/>
    <w:locked/>
    <w:rsid w:val="00E20CCE"/>
    <w:rPr>
      <w:b/>
      <w:snapToGrid w:val="0"/>
      <w:kern w:val="28"/>
      <w:sz w:val="22"/>
      <w:lang w:val="en-US" w:eastAsia="en-US"/>
    </w:rPr>
  </w:style>
  <w:style w:type="character" w:customStyle="1" w:styleId="CharChar151">
    <w:name w:val="Char Char151"/>
    <w:uiPriority w:val="99"/>
    <w:locked/>
    <w:rsid w:val="00E20CCE"/>
    <w:rPr>
      <w:b/>
      <w:snapToGrid w:val="0"/>
      <w:kern w:val="28"/>
      <w:sz w:val="22"/>
      <w:lang w:val="en-US" w:eastAsia="en-US"/>
    </w:rPr>
  </w:style>
  <w:style w:type="character" w:customStyle="1" w:styleId="CharChar141">
    <w:name w:val="Char Char141"/>
    <w:uiPriority w:val="99"/>
    <w:locked/>
    <w:rsid w:val="00E20CCE"/>
    <w:rPr>
      <w:b/>
      <w:snapToGrid w:val="0"/>
      <w:kern w:val="28"/>
      <w:sz w:val="22"/>
      <w:lang w:val="en-US" w:eastAsia="en-US"/>
    </w:rPr>
  </w:style>
  <w:style w:type="character" w:customStyle="1" w:styleId="CharChar131">
    <w:name w:val="Char Char131"/>
    <w:uiPriority w:val="99"/>
    <w:locked/>
    <w:rsid w:val="00E20CCE"/>
    <w:rPr>
      <w:b/>
      <w:snapToGrid w:val="0"/>
      <w:kern w:val="28"/>
      <w:sz w:val="22"/>
      <w:lang w:val="en-US" w:eastAsia="en-US"/>
    </w:rPr>
  </w:style>
  <w:style w:type="character" w:customStyle="1" w:styleId="CharChar111">
    <w:name w:val="Char Char111"/>
    <w:uiPriority w:val="99"/>
    <w:rsid w:val="00E20CCE"/>
    <w:rPr>
      <w:caps/>
      <w:noProof/>
      <w:snapToGrid w:val="0"/>
      <w:kern w:val="28"/>
      <w:sz w:val="22"/>
      <w:lang w:val="en-US" w:eastAsia="en-US"/>
    </w:rPr>
  </w:style>
  <w:style w:type="character" w:customStyle="1" w:styleId="FootnoteTextChar6">
    <w:name w:val="Footnote Text Char6"/>
    <w:aliases w:val="Footnote Text Char1 Char2,Footnote Text Char3 Char Char2,Footnote Text Char2 Char Char Char2,Footnote Text Char Char1 Char Char Char2,Footnote Text Char2 Char Char1 Char Char Char2,Footnote Text Char Char1 Char Char Char Char Char2"/>
    <w:uiPriority w:val="99"/>
    <w:locked/>
    <w:rsid w:val="00E20CCE"/>
    <w:rPr>
      <w:lang w:val="en-US" w:eastAsia="en-US"/>
    </w:rPr>
  </w:style>
  <w:style w:type="character" w:customStyle="1" w:styleId="A7">
    <w:name w:val="A7"/>
    <w:uiPriority w:val="99"/>
    <w:rsid w:val="002D5B2D"/>
    <w:rPr>
      <w:color w:val="211D1E"/>
      <w:sz w:val="20"/>
    </w:rPr>
  </w:style>
  <w:style w:type="character" w:customStyle="1" w:styleId="FootnoteTextChar5CharCharChar">
    <w:name w:val="Footnote Text Char5 Char Char Char"/>
    <w:aliases w:val="Footnote Text Char Char Char Char Char,Footnote Text Char4 Char Char1 Char Char Char,Footnote Text Char2 Char Char2 Char2 Char Char Char"/>
    <w:uiPriority w:val="99"/>
    <w:semiHidden/>
    <w:locked/>
    <w:rsid w:val="002D5B2D"/>
    <w:rPr>
      <w:lang w:val="en-US" w:eastAsia="en-US"/>
    </w:rPr>
  </w:style>
  <w:style w:type="character" w:customStyle="1" w:styleId="FootnoteTextChar4">
    <w:name w:val="Footnote Text Char4"/>
    <w:aliases w:val="Footnote Text Char Char2,Footnote Text Char1 Char Char2,Footnote Text Char Char Char Char2,Footnote Text Char2 Char1 Char Char Char2,Footnote Text Char1 Char Char1 Char Char1 Char2,Footnote Text Char Char Char Char1 Char Char1 Char2"/>
    <w:uiPriority w:val="99"/>
    <w:locked/>
    <w:rsid w:val="00991AD6"/>
    <w:rPr>
      <w:rFonts w:eastAsia="Times New Roman"/>
      <w:lang w:val="en-US" w:eastAsia="en-US"/>
    </w:rPr>
  </w:style>
  <w:style w:type="character" w:customStyle="1" w:styleId="CommentTextChar1">
    <w:name w:val="Comment Text Char1"/>
    <w:uiPriority w:val="99"/>
    <w:locked/>
    <w:rsid w:val="009D2F05"/>
    <w:rPr>
      <w:snapToGrid w:val="0"/>
      <w:kern w:val="28"/>
    </w:rPr>
  </w:style>
  <w:style w:type="character" w:customStyle="1" w:styleId="CharChar2">
    <w:name w:val="Char Char2"/>
    <w:uiPriority w:val="99"/>
    <w:locked/>
    <w:rsid w:val="00380F52"/>
    <w:rPr>
      <w:rFonts w:eastAsia="SimSun"/>
      <w:kern w:val="28"/>
      <w:lang w:val="en-US" w:eastAsia="en-US"/>
    </w:rPr>
  </w:style>
  <w:style w:type="character" w:customStyle="1" w:styleId="FootnoteTextChar1CharChar8">
    <w:name w:val="Footnote Text Char1 Char Char8"/>
    <w:aliases w:val="Footnote Text Char Char Char Char8,Footnote Text Char2 Char1 Char Char Char8,Footnote Text Char1 Char Char1 Char Char1 Char8,Footnote Text Char Char Char Char1 Char Char1 Char8,Footnote Text Char1 Char1"/>
    <w:basedOn w:val="DefaultParagraphFont"/>
    <w:uiPriority w:val="99"/>
    <w:semiHidden/>
    <w:rsid w:val="00F040D6"/>
    <w:rPr>
      <w:rFonts w:cs="Times New Roman"/>
      <w:sz w:val="20"/>
      <w:szCs w:val="20"/>
    </w:rPr>
  </w:style>
  <w:style w:type="character" w:customStyle="1" w:styleId="msodel0">
    <w:name w:val="msodel"/>
    <w:uiPriority w:val="99"/>
    <w:rsid w:val="00D13D8E"/>
  </w:style>
  <w:style w:type="character" w:customStyle="1" w:styleId="msoins0">
    <w:name w:val="msoins"/>
    <w:uiPriority w:val="99"/>
    <w:rsid w:val="00D13D8E"/>
  </w:style>
  <w:style w:type="paragraph" w:styleId="Subtitle">
    <w:name w:val="Subtitle"/>
    <w:basedOn w:val="Normal"/>
    <w:next w:val="Normal"/>
    <w:link w:val="SubtitleChar"/>
    <w:uiPriority w:val="99"/>
    <w:qFormat/>
    <w:rsid w:val="00493CD2"/>
    <w:pPr>
      <w:spacing w:after="60"/>
      <w:jc w:val="center"/>
      <w:outlineLvl w:val="1"/>
    </w:pPr>
    <w:rPr>
      <w:rFonts w:ascii="Cambria" w:hAnsi="Cambria"/>
      <w:sz w:val="24"/>
      <w:szCs w:val="24"/>
    </w:rPr>
  </w:style>
  <w:style w:type="character" w:customStyle="1" w:styleId="SubtitleChar">
    <w:name w:val="Subtitle Char"/>
    <w:basedOn w:val="DefaultParagraphFont"/>
    <w:link w:val="Subtitle"/>
    <w:uiPriority w:val="99"/>
    <w:locked/>
    <w:rsid w:val="00493CD2"/>
    <w:rPr>
      <w:rFonts w:ascii="Cambria" w:hAnsi="Cambria" w:cs="Times New Roman"/>
      <w:kern w:val="28"/>
      <w:sz w:val="24"/>
      <w:szCs w:val="24"/>
    </w:rPr>
  </w:style>
  <w:style w:type="character" w:customStyle="1" w:styleId="CharChar1">
    <w:name w:val="Char Char1"/>
    <w:uiPriority w:val="99"/>
    <w:locked/>
    <w:rsid w:val="00CB0EFA"/>
    <w:rPr>
      <w:rFonts w:eastAsia="SimSun"/>
      <w:kern w:val="28"/>
      <w:lang w:val="en-US" w:eastAsia="en-US"/>
    </w:rPr>
  </w:style>
  <w:style w:type="numbering" w:customStyle="1" w:styleId="NoList1">
    <w:name w:val="No List1"/>
    <w:next w:val="NoList"/>
    <w:uiPriority w:val="99"/>
    <w:semiHidden/>
    <w:unhideWhenUsed/>
    <w:rsid w:val="00C81B24"/>
  </w:style>
  <w:style w:type="table" w:customStyle="1" w:styleId="TableGrid2">
    <w:name w:val="Table Grid2"/>
    <w:basedOn w:val="TableNormal"/>
    <w:next w:val="TableGrid"/>
    <w:uiPriority w:val="99"/>
    <w:rsid w:val="00C81B24"/>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
    <w:name w:val="Table Grid11"/>
    <w:uiPriority w:val="99"/>
    <w:rsid w:val="00C81B24"/>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CharChar">
    <w:name w:val="Char Char"/>
    <w:uiPriority w:val="99"/>
    <w:locked/>
    <w:rsid w:val="00C81B24"/>
    <w:rPr>
      <w:rFonts w:eastAsia="SimSun"/>
      <w:kern w:val="28"/>
      <w:lang w:val="en-US" w:eastAsia="en-US"/>
    </w:rPr>
  </w:style>
  <w:style w:type="paragraph" w:styleId="NoSpacing">
    <w:name w:val="No Spacing"/>
    <w:uiPriority w:val="1"/>
    <w:qFormat/>
    <w:rsid w:val="00613AEC"/>
    <w:pPr>
      <w:widowControl w:val="0"/>
    </w:pPr>
    <w:rPr>
      <w:kern w:val="28"/>
      <w:sz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67191628">
      <w:marLeft w:val="0"/>
      <w:marRight w:val="0"/>
      <w:marTop w:val="0"/>
      <w:marBottom w:val="0"/>
      <w:divBdr>
        <w:top w:val="none" w:sz="0" w:space="0" w:color="auto"/>
        <w:left w:val="none" w:sz="0" w:space="0" w:color="auto"/>
        <w:bottom w:val="none" w:sz="0" w:space="0" w:color="auto"/>
        <w:right w:val="none" w:sz="0" w:space="0" w:color="auto"/>
      </w:divBdr>
    </w:div>
    <w:div w:id="67191629">
      <w:marLeft w:val="0"/>
      <w:marRight w:val="0"/>
      <w:marTop w:val="0"/>
      <w:marBottom w:val="0"/>
      <w:divBdr>
        <w:top w:val="none" w:sz="0" w:space="0" w:color="auto"/>
        <w:left w:val="none" w:sz="0" w:space="0" w:color="auto"/>
        <w:bottom w:val="none" w:sz="0" w:space="0" w:color="auto"/>
        <w:right w:val="none" w:sz="0" w:space="0" w:color="auto"/>
      </w:divBdr>
    </w:div>
    <w:div w:id="67191630">
      <w:marLeft w:val="0"/>
      <w:marRight w:val="0"/>
      <w:marTop w:val="0"/>
      <w:marBottom w:val="0"/>
      <w:divBdr>
        <w:top w:val="none" w:sz="0" w:space="0" w:color="auto"/>
        <w:left w:val="none" w:sz="0" w:space="0" w:color="auto"/>
        <w:bottom w:val="none" w:sz="0" w:space="0" w:color="auto"/>
        <w:right w:val="none" w:sz="0" w:space="0" w:color="auto"/>
      </w:divBdr>
    </w:div>
    <w:div w:id="67191631">
      <w:marLeft w:val="0"/>
      <w:marRight w:val="0"/>
      <w:marTop w:val="0"/>
      <w:marBottom w:val="0"/>
      <w:divBdr>
        <w:top w:val="none" w:sz="0" w:space="0" w:color="auto"/>
        <w:left w:val="none" w:sz="0" w:space="0" w:color="auto"/>
        <w:bottom w:val="none" w:sz="0" w:space="0" w:color="auto"/>
        <w:right w:val="none" w:sz="0" w:space="0" w:color="auto"/>
      </w:divBdr>
    </w:div>
    <w:div w:id="67191633">
      <w:marLeft w:val="0"/>
      <w:marRight w:val="0"/>
      <w:marTop w:val="0"/>
      <w:marBottom w:val="0"/>
      <w:divBdr>
        <w:top w:val="none" w:sz="0" w:space="0" w:color="auto"/>
        <w:left w:val="none" w:sz="0" w:space="0" w:color="auto"/>
        <w:bottom w:val="none" w:sz="0" w:space="0" w:color="auto"/>
        <w:right w:val="none" w:sz="0" w:space="0" w:color="auto"/>
      </w:divBdr>
    </w:div>
    <w:div w:id="67191634">
      <w:marLeft w:val="0"/>
      <w:marRight w:val="0"/>
      <w:marTop w:val="0"/>
      <w:marBottom w:val="0"/>
      <w:divBdr>
        <w:top w:val="none" w:sz="0" w:space="0" w:color="auto"/>
        <w:left w:val="none" w:sz="0" w:space="0" w:color="auto"/>
        <w:bottom w:val="none" w:sz="0" w:space="0" w:color="auto"/>
        <w:right w:val="none" w:sz="0" w:space="0" w:color="auto"/>
      </w:divBdr>
      <w:divsChild>
        <w:div w:id="67191694">
          <w:marLeft w:val="0"/>
          <w:marRight w:val="0"/>
          <w:marTop w:val="0"/>
          <w:marBottom w:val="0"/>
          <w:divBdr>
            <w:top w:val="none" w:sz="0" w:space="0" w:color="auto"/>
            <w:left w:val="none" w:sz="0" w:space="0" w:color="auto"/>
            <w:bottom w:val="none" w:sz="0" w:space="0" w:color="auto"/>
            <w:right w:val="none" w:sz="0" w:space="0" w:color="auto"/>
          </w:divBdr>
        </w:div>
      </w:divsChild>
    </w:div>
    <w:div w:id="67191637">
      <w:marLeft w:val="0"/>
      <w:marRight w:val="0"/>
      <w:marTop w:val="0"/>
      <w:marBottom w:val="0"/>
      <w:divBdr>
        <w:top w:val="none" w:sz="0" w:space="0" w:color="auto"/>
        <w:left w:val="none" w:sz="0" w:space="0" w:color="auto"/>
        <w:bottom w:val="none" w:sz="0" w:space="0" w:color="auto"/>
        <w:right w:val="none" w:sz="0" w:space="0" w:color="auto"/>
      </w:divBdr>
      <w:divsChild>
        <w:div w:id="67191777">
          <w:marLeft w:val="0"/>
          <w:marRight w:val="0"/>
          <w:marTop w:val="150"/>
          <w:marBottom w:val="150"/>
          <w:divBdr>
            <w:top w:val="none" w:sz="0" w:space="0" w:color="auto"/>
            <w:left w:val="none" w:sz="0" w:space="0" w:color="auto"/>
            <w:bottom w:val="none" w:sz="0" w:space="0" w:color="auto"/>
            <w:right w:val="none" w:sz="0" w:space="0" w:color="auto"/>
          </w:divBdr>
          <w:divsChild>
            <w:div w:id="67191793">
              <w:marLeft w:val="0"/>
              <w:marRight w:val="0"/>
              <w:marTop w:val="0"/>
              <w:marBottom w:val="0"/>
              <w:divBdr>
                <w:top w:val="none" w:sz="0" w:space="0" w:color="auto"/>
                <w:left w:val="none" w:sz="0" w:space="0" w:color="auto"/>
                <w:bottom w:val="none" w:sz="0" w:space="0" w:color="auto"/>
                <w:right w:val="none" w:sz="0" w:space="0" w:color="auto"/>
              </w:divBdr>
              <w:divsChild>
                <w:div w:id="67191780">
                  <w:marLeft w:val="105"/>
                  <w:marRight w:val="0"/>
                  <w:marTop w:val="0"/>
                  <w:marBottom w:val="0"/>
                  <w:divBdr>
                    <w:top w:val="none" w:sz="0" w:space="0" w:color="auto"/>
                    <w:left w:val="none" w:sz="0" w:space="0" w:color="auto"/>
                    <w:bottom w:val="none" w:sz="0" w:space="0" w:color="auto"/>
                    <w:right w:val="none" w:sz="0" w:space="0" w:color="auto"/>
                  </w:divBdr>
                  <w:divsChild>
                    <w:div w:id="67191775">
                      <w:marLeft w:val="0"/>
                      <w:marRight w:val="0"/>
                      <w:marTop w:val="0"/>
                      <w:marBottom w:val="150"/>
                      <w:divBdr>
                        <w:top w:val="none" w:sz="0" w:space="0" w:color="auto"/>
                        <w:left w:val="none" w:sz="0" w:space="0" w:color="auto"/>
                        <w:bottom w:val="none" w:sz="0" w:space="0" w:color="auto"/>
                        <w:right w:val="none" w:sz="0" w:space="0" w:color="auto"/>
                      </w:divBdr>
                      <w:divsChild>
                        <w:div w:id="67191732">
                          <w:marLeft w:val="0"/>
                          <w:marRight w:val="0"/>
                          <w:marTop w:val="0"/>
                          <w:marBottom w:val="0"/>
                          <w:divBdr>
                            <w:top w:val="none" w:sz="0" w:space="0" w:color="auto"/>
                            <w:left w:val="none" w:sz="0" w:space="0" w:color="auto"/>
                            <w:bottom w:val="none" w:sz="0" w:space="0" w:color="auto"/>
                            <w:right w:val="none" w:sz="0" w:space="0" w:color="auto"/>
                          </w:divBdr>
                          <w:divsChild>
                            <w:div w:id="67191774">
                              <w:marLeft w:val="0"/>
                              <w:marRight w:val="0"/>
                              <w:marTop w:val="0"/>
                              <w:marBottom w:val="15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67191638">
      <w:marLeft w:val="0"/>
      <w:marRight w:val="0"/>
      <w:marTop w:val="0"/>
      <w:marBottom w:val="0"/>
      <w:divBdr>
        <w:top w:val="none" w:sz="0" w:space="0" w:color="auto"/>
        <w:left w:val="none" w:sz="0" w:space="0" w:color="auto"/>
        <w:bottom w:val="none" w:sz="0" w:space="0" w:color="auto"/>
        <w:right w:val="none" w:sz="0" w:space="0" w:color="auto"/>
      </w:divBdr>
    </w:div>
    <w:div w:id="67191639">
      <w:marLeft w:val="0"/>
      <w:marRight w:val="0"/>
      <w:marTop w:val="0"/>
      <w:marBottom w:val="0"/>
      <w:divBdr>
        <w:top w:val="none" w:sz="0" w:space="0" w:color="auto"/>
        <w:left w:val="none" w:sz="0" w:space="0" w:color="auto"/>
        <w:bottom w:val="none" w:sz="0" w:space="0" w:color="auto"/>
        <w:right w:val="none" w:sz="0" w:space="0" w:color="auto"/>
      </w:divBdr>
      <w:divsChild>
        <w:div w:id="67191688">
          <w:marLeft w:val="0"/>
          <w:marRight w:val="0"/>
          <w:marTop w:val="0"/>
          <w:marBottom w:val="0"/>
          <w:divBdr>
            <w:top w:val="none" w:sz="0" w:space="0" w:color="auto"/>
            <w:left w:val="none" w:sz="0" w:space="0" w:color="auto"/>
            <w:bottom w:val="none" w:sz="0" w:space="0" w:color="auto"/>
            <w:right w:val="none" w:sz="0" w:space="0" w:color="auto"/>
          </w:divBdr>
          <w:divsChild>
            <w:div w:id="67191751">
              <w:marLeft w:val="0"/>
              <w:marRight w:val="0"/>
              <w:marTop w:val="0"/>
              <w:marBottom w:val="0"/>
              <w:divBdr>
                <w:top w:val="none" w:sz="0" w:space="0" w:color="auto"/>
                <w:left w:val="none" w:sz="0" w:space="0" w:color="auto"/>
                <w:bottom w:val="none" w:sz="0" w:space="0" w:color="auto"/>
                <w:right w:val="none" w:sz="0" w:space="0" w:color="auto"/>
              </w:divBdr>
              <w:divsChild>
                <w:div w:id="67191791">
                  <w:marLeft w:val="0"/>
                  <w:marRight w:val="0"/>
                  <w:marTop w:val="0"/>
                  <w:marBottom w:val="0"/>
                  <w:divBdr>
                    <w:top w:val="none" w:sz="0" w:space="0" w:color="auto"/>
                    <w:left w:val="none" w:sz="0" w:space="0" w:color="auto"/>
                    <w:bottom w:val="none" w:sz="0" w:space="0" w:color="auto"/>
                    <w:right w:val="none" w:sz="0" w:space="0" w:color="auto"/>
                  </w:divBdr>
                  <w:divsChild>
                    <w:div w:id="671916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7191640">
      <w:marLeft w:val="0"/>
      <w:marRight w:val="0"/>
      <w:marTop w:val="0"/>
      <w:marBottom w:val="0"/>
      <w:divBdr>
        <w:top w:val="none" w:sz="0" w:space="0" w:color="auto"/>
        <w:left w:val="none" w:sz="0" w:space="0" w:color="auto"/>
        <w:bottom w:val="none" w:sz="0" w:space="0" w:color="auto"/>
        <w:right w:val="none" w:sz="0" w:space="0" w:color="auto"/>
      </w:divBdr>
    </w:div>
    <w:div w:id="67191641">
      <w:marLeft w:val="0"/>
      <w:marRight w:val="0"/>
      <w:marTop w:val="0"/>
      <w:marBottom w:val="0"/>
      <w:divBdr>
        <w:top w:val="none" w:sz="0" w:space="0" w:color="auto"/>
        <w:left w:val="none" w:sz="0" w:space="0" w:color="auto"/>
        <w:bottom w:val="none" w:sz="0" w:space="0" w:color="auto"/>
        <w:right w:val="none" w:sz="0" w:space="0" w:color="auto"/>
      </w:divBdr>
    </w:div>
    <w:div w:id="67191642">
      <w:marLeft w:val="0"/>
      <w:marRight w:val="0"/>
      <w:marTop w:val="0"/>
      <w:marBottom w:val="0"/>
      <w:divBdr>
        <w:top w:val="none" w:sz="0" w:space="0" w:color="auto"/>
        <w:left w:val="none" w:sz="0" w:space="0" w:color="auto"/>
        <w:bottom w:val="none" w:sz="0" w:space="0" w:color="auto"/>
        <w:right w:val="none" w:sz="0" w:space="0" w:color="auto"/>
      </w:divBdr>
    </w:div>
    <w:div w:id="67191647">
      <w:marLeft w:val="0"/>
      <w:marRight w:val="0"/>
      <w:marTop w:val="0"/>
      <w:marBottom w:val="0"/>
      <w:divBdr>
        <w:top w:val="none" w:sz="0" w:space="0" w:color="auto"/>
        <w:left w:val="none" w:sz="0" w:space="0" w:color="auto"/>
        <w:bottom w:val="none" w:sz="0" w:space="0" w:color="auto"/>
        <w:right w:val="none" w:sz="0" w:space="0" w:color="auto"/>
      </w:divBdr>
    </w:div>
    <w:div w:id="67191649">
      <w:marLeft w:val="0"/>
      <w:marRight w:val="0"/>
      <w:marTop w:val="0"/>
      <w:marBottom w:val="0"/>
      <w:divBdr>
        <w:top w:val="none" w:sz="0" w:space="0" w:color="auto"/>
        <w:left w:val="none" w:sz="0" w:space="0" w:color="auto"/>
        <w:bottom w:val="none" w:sz="0" w:space="0" w:color="auto"/>
        <w:right w:val="none" w:sz="0" w:space="0" w:color="auto"/>
      </w:divBdr>
    </w:div>
    <w:div w:id="67191650">
      <w:marLeft w:val="0"/>
      <w:marRight w:val="0"/>
      <w:marTop w:val="0"/>
      <w:marBottom w:val="0"/>
      <w:divBdr>
        <w:top w:val="none" w:sz="0" w:space="0" w:color="auto"/>
        <w:left w:val="none" w:sz="0" w:space="0" w:color="auto"/>
        <w:bottom w:val="none" w:sz="0" w:space="0" w:color="auto"/>
        <w:right w:val="none" w:sz="0" w:space="0" w:color="auto"/>
      </w:divBdr>
    </w:div>
    <w:div w:id="67191651">
      <w:marLeft w:val="0"/>
      <w:marRight w:val="0"/>
      <w:marTop w:val="0"/>
      <w:marBottom w:val="0"/>
      <w:divBdr>
        <w:top w:val="none" w:sz="0" w:space="0" w:color="auto"/>
        <w:left w:val="none" w:sz="0" w:space="0" w:color="auto"/>
        <w:bottom w:val="none" w:sz="0" w:space="0" w:color="auto"/>
        <w:right w:val="none" w:sz="0" w:space="0" w:color="auto"/>
      </w:divBdr>
    </w:div>
    <w:div w:id="67191653">
      <w:marLeft w:val="0"/>
      <w:marRight w:val="0"/>
      <w:marTop w:val="0"/>
      <w:marBottom w:val="0"/>
      <w:divBdr>
        <w:top w:val="none" w:sz="0" w:space="0" w:color="auto"/>
        <w:left w:val="none" w:sz="0" w:space="0" w:color="auto"/>
        <w:bottom w:val="none" w:sz="0" w:space="0" w:color="auto"/>
        <w:right w:val="none" w:sz="0" w:space="0" w:color="auto"/>
      </w:divBdr>
      <w:divsChild>
        <w:div w:id="67191776">
          <w:marLeft w:val="0"/>
          <w:marRight w:val="0"/>
          <w:marTop w:val="0"/>
          <w:marBottom w:val="0"/>
          <w:divBdr>
            <w:top w:val="none" w:sz="0" w:space="0" w:color="auto"/>
            <w:left w:val="none" w:sz="0" w:space="0" w:color="auto"/>
            <w:bottom w:val="none" w:sz="0" w:space="0" w:color="auto"/>
            <w:right w:val="none" w:sz="0" w:space="0" w:color="auto"/>
          </w:divBdr>
          <w:divsChild>
            <w:div w:id="67191699">
              <w:marLeft w:val="0"/>
              <w:marRight w:val="0"/>
              <w:marTop w:val="100"/>
              <w:marBottom w:val="100"/>
              <w:divBdr>
                <w:top w:val="none" w:sz="0" w:space="0" w:color="auto"/>
                <w:left w:val="none" w:sz="0" w:space="0" w:color="auto"/>
                <w:bottom w:val="none" w:sz="0" w:space="0" w:color="auto"/>
                <w:right w:val="none" w:sz="0" w:space="0" w:color="auto"/>
              </w:divBdr>
              <w:divsChild>
                <w:div w:id="67191685">
                  <w:marLeft w:val="0"/>
                  <w:marRight w:val="0"/>
                  <w:marTop w:val="0"/>
                  <w:marBottom w:val="0"/>
                  <w:divBdr>
                    <w:top w:val="none" w:sz="0" w:space="0" w:color="auto"/>
                    <w:left w:val="none" w:sz="0" w:space="0" w:color="auto"/>
                    <w:bottom w:val="none" w:sz="0" w:space="0" w:color="auto"/>
                    <w:right w:val="none" w:sz="0" w:space="0" w:color="auto"/>
                  </w:divBdr>
                  <w:divsChild>
                    <w:div w:id="67191716">
                      <w:marLeft w:val="0"/>
                      <w:marRight w:val="0"/>
                      <w:marTop w:val="0"/>
                      <w:marBottom w:val="0"/>
                      <w:divBdr>
                        <w:top w:val="none" w:sz="0" w:space="0" w:color="auto"/>
                        <w:left w:val="none" w:sz="0" w:space="0" w:color="auto"/>
                        <w:bottom w:val="none" w:sz="0" w:space="0" w:color="auto"/>
                        <w:right w:val="none" w:sz="0" w:space="0" w:color="auto"/>
                      </w:divBdr>
                      <w:divsChild>
                        <w:div w:id="67191681">
                          <w:marLeft w:val="0"/>
                          <w:marRight w:val="360"/>
                          <w:marTop w:val="0"/>
                          <w:marBottom w:val="300"/>
                          <w:divBdr>
                            <w:top w:val="none" w:sz="0" w:space="0" w:color="auto"/>
                            <w:left w:val="none" w:sz="0" w:space="0" w:color="auto"/>
                            <w:bottom w:val="none" w:sz="0" w:space="0" w:color="auto"/>
                            <w:right w:val="none" w:sz="0" w:space="0" w:color="auto"/>
                          </w:divBdr>
                        </w:div>
                      </w:divsChild>
                    </w:div>
                  </w:divsChild>
                </w:div>
              </w:divsChild>
            </w:div>
          </w:divsChild>
        </w:div>
      </w:divsChild>
    </w:div>
    <w:div w:id="67191656">
      <w:marLeft w:val="0"/>
      <w:marRight w:val="0"/>
      <w:marTop w:val="0"/>
      <w:marBottom w:val="0"/>
      <w:divBdr>
        <w:top w:val="none" w:sz="0" w:space="0" w:color="auto"/>
        <w:left w:val="none" w:sz="0" w:space="0" w:color="auto"/>
        <w:bottom w:val="none" w:sz="0" w:space="0" w:color="auto"/>
        <w:right w:val="none" w:sz="0" w:space="0" w:color="auto"/>
      </w:divBdr>
    </w:div>
    <w:div w:id="67191657">
      <w:marLeft w:val="0"/>
      <w:marRight w:val="0"/>
      <w:marTop w:val="0"/>
      <w:marBottom w:val="0"/>
      <w:divBdr>
        <w:top w:val="none" w:sz="0" w:space="0" w:color="auto"/>
        <w:left w:val="none" w:sz="0" w:space="0" w:color="auto"/>
        <w:bottom w:val="none" w:sz="0" w:space="0" w:color="auto"/>
        <w:right w:val="none" w:sz="0" w:space="0" w:color="auto"/>
      </w:divBdr>
    </w:div>
    <w:div w:id="67191658">
      <w:marLeft w:val="0"/>
      <w:marRight w:val="0"/>
      <w:marTop w:val="0"/>
      <w:marBottom w:val="0"/>
      <w:divBdr>
        <w:top w:val="none" w:sz="0" w:space="0" w:color="auto"/>
        <w:left w:val="none" w:sz="0" w:space="0" w:color="auto"/>
        <w:bottom w:val="none" w:sz="0" w:space="0" w:color="auto"/>
        <w:right w:val="none" w:sz="0" w:space="0" w:color="auto"/>
      </w:divBdr>
    </w:div>
    <w:div w:id="67191659">
      <w:marLeft w:val="0"/>
      <w:marRight w:val="0"/>
      <w:marTop w:val="0"/>
      <w:marBottom w:val="0"/>
      <w:divBdr>
        <w:top w:val="none" w:sz="0" w:space="0" w:color="auto"/>
        <w:left w:val="none" w:sz="0" w:space="0" w:color="auto"/>
        <w:bottom w:val="none" w:sz="0" w:space="0" w:color="auto"/>
        <w:right w:val="none" w:sz="0" w:space="0" w:color="auto"/>
      </w:divBdr>
    </w:div>
    <w:div w:id="67191661">
      <w:marLeft w:val="0"/>
      <w:marRight w:val="0"/>
      <w:marTop w:val="0"/>
      <w:marBottom w:val="0"/>
      <w:divBdr>
        <w:top w:val="none" w:sz="0" w:space="0" w:color="auto"/>
        <w:left w:val="none" w:sz="0" w:space="0" w:color="auto"/>
        <w:bottom w:val="none" w:sz="0" w:space="0" w:color="auto"/>
        <w:right w:val="none" w:sz="0" w:space="0" w:color="auto"/>
      </w:divBdr>
    </w:div>
    <w:div w:id="67191664">
      <w:marLeft w:val="0"/>
      <w:marRight w:val="0"/>
      <w:marTop w:val="0"/>
      <w:marBottom w:val="0"/>
      <w:divBdr>
        <w:top w:val="none" w:sz="0" w:space="0" w:color="auto"/>
        <w:left w:val="none" w:sz="0" w:space="0" w:color="auto"/>
        <w:bottom w:val="none" w:sz="0" w:space="0" w:color="auto"/>
        <w:right w:val="none" w:sz="0" w:space="0" w:color="auto"/>
      </w:divBdr>
      <w:divsChild>
        <w:div w:id="67191724">
          <w:marLeft w:val="0"/>
          <w:marRight w:val="0"/>
          <w:marTop w:val="0"/>
          <w:marBottom w:val="0"/>
          <w:divBdr>
            <w:top w:val="single" w:sz="2" w:space="0" w:color="000000"/>
            <w:left w:val="single" w:sz="2" w:space="0" w:color="000000"/>
            <w:bottom w:val="single" w:sz="2" w:space="0" w:color="000000"/>
            <w:right w:val="single" w:sz="2" w:space="0" w:color="000000"/>
          </w:divBdr>
          <w:divsChild>
            <w:div w:id="67191632">
              <w:marLeft w:val="0"/>
              <w:marRight w:val="0"/>
              <w:marTop w:val="0"/>
              <w:marBottom w:val="0"/>
              <w:divBdr>
                <w:top w:val="single" w:sz="2" w:space="0" w:color="000000"/>
                <w:left w:val="single" w:sz="2" w:space="0" w:color="000000"/>
                <w:bottom w:val="single" w:sz="2" w:space="0" w:color="000000"/>
                <w:right w:val="single" w:sz="2" w:space="0" w:color="000000"/>
              </w:divBdr>
            </w:div>
          </w:divsChild>
        </w:div>
      </w:divsChild>
    </w:div>
    <w:div w:id="67191665">
      <w:marLeft w:val="0"/>
      <w:marRight w:val="0"/>
      <w:marTop w:val="0"/>
      <w:marBottom w:val="0"/>
      <w:divBdr>
        <w:top w:val="none" w:sz="0" w:space="0" w:color="auto"/>
        <w:left w:val="none" w:sz="0" w:space="0" w:color="auto"/>
        <w:bottom w:val="none" w:sz="0" w:space="0" w:color="auto"/>
        <w:right w:val="none" w:sz="0" w:space="0" w:color="auto"/>
      </w:divBdr>
    </w:div>
    <w:div w:id="67191666">
      <w:marLeft w:val="0"/>
      <w:marRight w:val="0"/>
      <w:marTop w:val="0"/>
      <w:marBottom w:val="0"/>
      <w:divBdr>
        <w:top w:val="none" w:sz="0" w:space="0" w:color="auto"/>
        <w:left w:val="none" w:sz="0" w:space="0" w:color="auto"/>
        <w:bottom w:val="none" w:sz="0" w:space="0" w:color="auto"/>
        <w:right w:val="none" w:sz="0" w:space="0" w:color="auto"/>
      </w:divBdr>
    </w:div>
    <w:div w:id="67191667">
      <w:marLeft w:val="0"/>
      <w:marRight w:val="0"/>
      <w:marTop w:val="0"/>
      <w:marBottom w:val="0"/>
      <w:divBdr>
        <w:top w:val="none" w:sz="0" w:space="0" w:color="auto"/>
        <w:left w:val="none" w:sz="0" w:space="0" w:color="auto"/>
        <w:bottom w:val="none" w:sz="0" w:space="0" w:color="auto"/>
        <w:right w:val="none" w:sz="0" w:space="0" w:color="auto"/>
      </w:divBdr>
      <w:divsChild>
        <w:div w:id="67191731">
          <w:marLeft w:val="0"/>
          <w:marRight w:val="0"/>
          <w:marTop w:val="0"/>
          <w:marBottom w:val="0"/>
          <w:divBdr>
            <w:top w:val="single" w:sz="2" w:space="0" w:color="000000"/>
            <w:left w:val="single" w:sz="2" w:space="0" w:color="000000"/>
            <w:bottom w:val="single" w:sz="2" w:space="0" w:color="000000"/>
            <w:right w:val="single" w:sz="2" w:space="0" w:color="000000"/>
          </w:divBdr>
          <w:divsChild>
            <w:div w:id="67191739">
              <w:marLeft w:val="0"/>
              <w:marRight w:val="0"/>
              <w:marTop w:val="0"/>
              <w:marBottom w:val="0"/>
              <w:divBdr>
                <w:top w:val="single" w:sz="2" w:space="0" w:color="000000"/>
                <w:left w:val="single" w:sz="2" w:space="0" w:color="000000"/>
                <w:bottom w:val="single" w:sz="2" w:space="0" w:color="000000"/>
                <w:right w:val="single" w:sz="2" w:space="0" w:color="000000"/>
              </w:divBdr>
            </w:div>
          </w:divsChild>
        </w:div>
      </w:divsChild>
    </w:div>
    <w:div w:id="67191669">
      <w:marLeft w:val="0"/>
      <w:marRight w:val="0"/>
      <w:marTop w:val="0"/>
      <w:marBottom w:val="0"/>
      <w:divBdr>
        <w:top w:val="none" w:sz="0" w:space="0" w:color="auto"/>
        <w:left w:val="none" w:sz="0" w:space="0" w:color="auto"/>
        <w:bottom w:val="none" w:sz="0" w:space="0" w:color="auto"/>
        <w:right w:val="none" w:sz="0" w:space="0" w:color="auto"/>
      </w:divBdr>
    </w:div>
    <w:div w:id="67191670">
      <w:marLeft w:val="0"/>
      <w:marRight w:val="0"/>
      <w:marTop w:val="0"/>
      <w:marBottom w:val="0"/>
      <w:divBdr>
        <w:top w:val="none" w:sz="0" w:space="0" w:color="auto"/>
        <w:left w:val="none" w:sz="0" w:space="0" w:color="auto"/>
        <w:bottom w:val="none" w:sz="0" w:space="0" w:color="auto"/>
        <w:right w:val="none" w:sz="0" w:space="0" w:color="auto"/>
      </w:divBdr>
    </w:div>
    <w:div w:id="67191671">
      <w:marLeft w:val="0"/>
      <w:marRight w:val="0"/>
      <w:marTop w:val="0"/>
      <w:marBottom w:val="0"/>
      <w:divBdr>
        <w:top w:val="none" w:sz="0" w:space="0" w:color="auto"/>
        <w:left w:val="none" w:sz="0" w:space="0" w:color="auto"/>
        <w:bottom w:val="none" w:sz="0" w:space="0" w:color="auto"/>
        <w:right w:val="none" w:sz="0" w:space="0" w:color="auto"/>
      </w:divBdr>
      <w:divsChild>
        <w:div w:id="67191760">
          <w:marLeft w:val="0"/>
          <w:marRight w:val="0"/>
          <w:marTop w:val="0"/>
          <w:marBottom w:val="0"/>
          <w:divBdr>
            <w:top w:val="none" w:sz="0" w:space="0" w:color="auto"/>
            <w:left w:val="none" w:sz="0" w:space="0" w:color="auto"/>
            <w:bottom w:val="none" w:sz="0" w:space="0" w:color="auto"/>
            <w:right w:val="none" w:sz="0" w:space="0" w:color="auto"/>
          </w:divBdr>
          <w:divsChild>
            <w:div w:id="67191654">
              <w:marLeft w:val="0"/>
              <w:marRight w:val="0"/>
              <w:marTop w:val="0"/>
              <w:marBottom w:val="0"/>
              <w:divBdr>
                <w:top w:val="none" w:sz="0" w:space="0" w:color="auto"/>
                <w:left w:val="none" w:sz="0" w:space="0" w:color="auto"/>
                <w:bottom w:val="none" w:sz="0" w:space="0" w:color="auto"/>
                <w:right w:val="none" w:sz="0" w:space="0" w:color="auto"/>
              </w:divBdr>
              <w:divsChild>
                <w:div w:id="67191728">
                  <w:marLeft w:val="0"/>
                  <w:marRight w:val="0"/>
                  <w:marTop w:val="0"/>
                  <w:marBottom w:val="0"/>
                  <w:divBdr>
                    <w:top w:val="none" w:sz="0" w:space="0" w:color="auto"/>
                    <w:left w:val="none" w:sz="0" w:space="0" w:color="auto"/>
                    <w:bottom w:val="none" w:sz="0" w:space="0" w:color="auto"/>
                    <w:right w:val="none" w:sz="0" w:space="0" w:color="auto"/>
                  </w:divBdr>
                  <w:divsChild>
                    <w:div w:id="67191648">
                      <w:marLeft w:val="0"/>
                      <w:marRight w:val="0"/>
                      <w:marTop w:val="0"/>
                      <w:marBottom w:val="0"/>
                      <w:divBdr>
                        <w:top w:val="none" w:sz="0" w:space="0" w:color="auto"/>
                        <w:left w:val="none" w:sz="0" w:space="0" w:color="auto"/>
                        <w:bottom w:val="none" w:sz="0" w:space="0" w:color="auto"/>
                        <w:right w:val="none" w:sz="0" w:space="0" w:color="auto"/>
                      </w:divBdr>
                      <w:divsChild>
                        <w:div w:id="67191655">
                          <w:marLeft w:val="0"/>
                          <w:marRight w:val="0"/>
                          <w:marTop w:val="0"/>
                          <w:marBottom w:val="0"/>
                          <w:divBdr>
                            <w:top w:val="none" w:sz="0" w:space="0" w:color="auto"/>
                            <w:left w:val="none" w:sz="0" w:space="0" w:color="auto"/>
                            <w:bottom w:val="none" w:sz="0" w:space="0" w:color="auto"/>
                            <w:right w:val="none" w:sz="0" w:space="0" w:color="auto"/>
                          </w:divBdr>
                          <w:divsChild>
                            <w:div w:id="67191766">
                              <w:marLeft w:val="0"/>
                              <w:marRight w:val="0"/>
                              <w:marTop w:val="0"/>
                              <w:marBottom w:val="0"/>
                              <w:divBdr>
                                <w:top w:val="none" w:sz="0" w:space="0" w:color="auto"/>
                                <w:left w:val="none" w:sz="0" w:space="0" w:color="auto"/>
                                <w:bottom w:val="none" w:sz="0" w:space="0" w:color="auto"/>
                                <w:right w:val="none" w:sz="0" w:space="0" w:color="auto"/>
                              </w:divBdr>
                              <w:divsChild>
                                <w:div w:id="67191758">
                                  <w:marLeft w:val="0"/>
                                  <w:marRight w:val="0"/>
                                  <w:marTop w:val="0"/>
                                  <w:marBottom w:val="0"/>
                                  <w:divBdr>
                                    <w:top w:val="none" w:sz="0" w:space="0" w:color="auto"/>
                                    <w:left w:val="none" w:sz="0" w:space="0" w:color="auto"/>
                                    <w:bottom w:val="none" w:sz="0" w:space="0" w:color="auto"/>
                                    <w:right w:val="none" w:sz="0" w:space="0" w:color="auto"/>
                                  </w:divBdr>
                                  <w:divsChild>
                                    <w:div w:id="67191717">
                                      <w:marLeft w:val="0"/>
                                      <w:marRight w:val="0"/>
                                      <w:marTop w:val="0"/>
                                      <w:marBottom w:val="0"/>
                                      <w:divBdr>
                                        <w:top w:val="none" w:sz="0" w:space="0" w:color="auto"/>
                                        <w:left w:val="none" w:sz="0" w:space="0" w:color="auto"/>
                                        <w:bottom w:val="none" w:sz="0" w:space="0" w:color="auto"/>
                                        <w:right w:val="none" w:sz="0" w:space="0" w:color="auto"/>
                                      </w:divBdr>
                                      <w:divsChild>
                                        <w:div w:id="67191644">
                                          <w:marLeft w:val="0"/>
                                          <w:marRight w:val="0"/>
                                          <w:marTop w:val="0"/>
                                          <w:marBottom w:val="0"/>
                                          <w:divBdr>
                                            <w:top w:val="none" w:sz="0" w:space="0" w:color="auto"/>
                                            <w:left w:val="none" w:sz="0" w:space="0" w:color="auto"/>
                                            <w:bottom w:val="none" w:sz="0" w:space="0" w:color="auto"/>
                                            <w:right w:val="none" w:sz="0" w:space="0" w:color="auto"/>
                                          </w:divBdr>
                                          <w:divsChild>
                                            <w:div w:id="67191646">
                                              <w:marLeft w:val="0"/>
                                              <w:marRight w:val="0"/>
                                              <w:marTop w:val="0"/>
                                              <w:marBottom w:val="0"/>
                                              <w:divBdr>
                                                <w:top w:val="none" w:sz="0" w:space="0" w:color="auto"/>
                                                <w:left w:val="none" w:sz="0" w:space="0" w:color="auto"/>
                                                <w:bottom w:val="none" w:sz="0" w:space="0" w:color="auto"/>
                                                <w:right w:val="none" w:sz="0" w:space="0" w:color="auto"/>
                                              </w:divBdr>
                                              <w:divsChild>
                                                <w:div w:id="67191676">
                                                  <w:marLeft w:val="0"/>
                                                  <w:marRight w:val="0"/>
                                                  <w:marTop w:val="0"/>
                                                  <w:marBottom w:val="0"/>
                                                  <w:divBdr>
                                                    <w:top w:val="none" w:sz="0" w:space="0" w:color="auto"/>
                                                    <w:left w:val="none" w:sz="0" w:space="0" w:color="auto"/>
                                                    <w:bottom w:val="none" w:sz="0" w:space="0" w:color="auto"/>
                                                    <w:right w:val="none" w:sz="0" w:space="0" w:color="auto"/>
                                                  </w:divBdr>
                                                  <w:divsChild>
                                                    <w:div w:id="671917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67191672">
      <w:marLeft w:val="0"/>
      <w:marRight w:val="0"/>
      <w:marTop w:val="0"/>
      <w:marBottom w:val="0"/>
      <w:divBdr>
        <w:top w:val="none" w:sz="0" w:space="0" w:color="auto"/>
        <w:left w:val="none" w:sz="0" w:space="0" w:color="auto"/>
        <w:bottom w:val="none" w:sz="0" w:space="0" w:color="auto"/>
        <w:right w:val="none" w:sz="0" w:space="0" w:color="auto"/>
      </w:divBdr>
    </w:div>
    <w:div w:id="67191674">
      <w:marLeft w:val="0"/>
      <w:marRight w:val="0"/>
      <w:marTop w:val="0"/>
      <w:marBottom w:val="0"/>
      <w:divBdr>
        <w:top w:val="none" w:sz="0" w:space="0" w:color="auto"/>
        <w:left w:val="none" w:sz="0" w:space="0" w:color="auto"/>
        <w:bottom w:val="none" w:sz="0" w:space="0" w:color="auto"/>
        <w:right w:val="none" w:sz="0" w:space="0" w:color="auto"/>
      </w:divBdr>
    </w:div>
    <w:div w:id="67191675">
      <w:marLeft w:val="0"/>
      <w:marRight w:val="0"/>
      <w:marTop w:val="0"/>
      <w:marBottom w:val="0"/>
      <w:divBdr>
        <w:top w:val="none" w:sz="0" w:space="0" w:color="auto"/>
        <w:left w:val="none" w:sz="0" w:space="0" w:color="auto"/>
        <w:bottom w:val="none" w:sz="0" w:space="0" w:color="auto"/>
        <w:right w:val="none" w:sz="0" w:space="0" w:color="auto"/>
      </w:divBdr>
      <w:divsChild>
        <w:div w:id="67191687">
          <w:marLeft w:val="0"/>
          <w:marRight w:val="0"/>
          <w:marTop w:val="0"/>
          <w:marBottom w:val="0"/>
          <w:divBdr>
            <w:top w:val="none" w:sz="0" w:space="0" w:color="auto"/>
            <w:left w:val="none" w:sz="0" w:space="0" w:color="auto"/>
            <w:bottom w:val="none" w:sz="0" w:space="0" w:color="auto"/>
            <w:right w:val="none" w:sz="0" w:space="0" w:color="auto"/>
          </w:divBdr>
          <w:divsChild>
            <w:div w:id="67191749">
              <w:marLeft w:val="0"/>
              <w:marRight w:val="0"/>
              <w:marTop w:val="0"/>
              <w:marBottom w:val="0"/>
              <w:divBdr>
                <w:top w:val="none" w:sz="0" w:space="0" w:color="auto"/>
                <w:left w:val="none" w:sz="0" w:space="0" w:color="auto"/>
                <w:bottom w:val="none" w:sz="0" w:space="0" w:color="auto"/>
                <w:right w:val="none" w:sz="0" w:space="0" w:color="auto"/>
              </w:divBdr>
              <w:divsChild>
                <w:div w:id="67191756">
                  <w:marLeft w:val="0"/>
                  <w:marRight w:val="0"/>
                  <w:marTop w:val="0"/>
                  <w:marBottom w:val="0"/>
                  <w:divBdr>
                    <w:top w:val="none" w:sz="0" w:space="0" w:color="auto"/>
                    <w:left w:val="none" w:sz="0" w:space="0" w:color="auto"/>
                    <w:bottom w:val="none" w:sz="0" w:space="0" w:color="auto"/>
                    <w:right w:val="none" w:sz="0" w:space="0" w:color="auto"/>
                  </w:divBdr>
                  <w:divsChild>
                    <w:div w:id="67191663">
                      <w:marLeft w:val="0"/>
                      <w:marRight w:val="0"/>
                      <w:marTop w:val="0"/>
                      <w:marBottom w:val="0"/>
                      <w:divBdr>
                        <w:top w:val="none" w:sz="0" w:space="0" w:color="auto"/>
                        <w:left w:val="none" w:sz="0" w:space="0" w:color="auto"/>
                        <w:bottom w:val="none" w:sz="0" w:space="0" w:color="auto"/>
                        <w:right w:val="none" w:sz="0" w:space="0" w:color="auto"/>
                      </w:divBdr>
                      <w:divsChild>
                        <w:div w:id="67191701">
                          <w:marLeft w:val="0"/>
                          <w:marRight w:val="0"/>
                          <w:marTop w:val="0"/>
                          <w:marBottom w:val="0"/>
                          <w:divBdr>
                            <w:top w:val="none" w:sz="0" w:space="0" w:color="auto"/>
                            <w:left w:val="none" w:sz="0" w:space="0" w:color="auto"/>
                            <w:bottom w:val="none" w:sz="0" w:space="0" w:color="auto"/>
                            <w:right w:val="none" w:sz="0" w:space="0" w:color="auto"/>
                          </w:divBdr>
                          <w:divsChild>
                            <w:div w:id="67191734">
                              <w:marLeft w:val="0"/>
                              <w:marRight w:val="0"/>
                              <w:marTop w:val="0"/>
                              <w:marBottom w:val="0"/>
                              <w:divBdr>
                                <w:top w:val="none" w:sz="0" w:space="0" w:color="auto"/>
                                <w:left w:val="none" w:sz="0" w:space="0" w:color="auto"/>
                                <w:bottom w:val="none" w:sz="0" w:space="0" w:color="auto"/>
                                <w:right w:val="none" w:sz="0" w:space="0" w:color="auto"/>
                              </w:divBdr>
                              <w:divsChild>
                                <w:div w:id="67191779">
                                  <w:marLeft w:val="0"/>
                                  <w:marRight w:val="0"/>
                                  <w:marTop w:val="0"/>
                                  <w:marBottom w:val="0"/>
                                  <w:divBdr>
                                    <w:top w:val="none" w:sz="0" w:space="0" w:color="auto"/>
                                    <w:left w:val="none" w:sz="0" w:space="0" w:color="auto"/>
                                    <w:bottom w:val="none" w:sz="0" w:space="0" w:color="auto"/>
                                    <w:right w:val="none" w:sz="0" w:space="0" w:color="auto"/>
                                  </w:divBdr>
                                  <w:divsChild>
                                    <w:div w:id="67191712">
                                      <w:marLeft w:val="0"/>
                                      <w:marRight w:val="0"/>
                                      <w:marTop w:val="0"/>
                                      <w:marBottom w:val="0"/>
                                      <w:divBdr>
                                        <w:top w:val="none" w:sz="0" w:space="0" w:color="auto"/>
                                        <w:left w:val="none" w:sz="0" w:space="0" w:color="auto"/>
                                        <w:bottom w:val="none" w:sz="0" w:space="0" w:color="auto"/>
                                        <w:right w:val="none" w:sz="0" w:space="0" w:color="auto"/>
                                      </w:divBdr>
                                      <w:divsChild>
                                        <w:div w:id="67191662">
                                          <w:marLeft w:val="0"/>
                                          <w:marRight w:val="0"/>
                                          <w:marTop w:val="0"/>
                                          <w:marBottom w:val="0"/>
                                          <w:divBdr>
                                            <w:top w:val="none" w:sz="0" w:space="0" w:color="auto"/>
                                            <w:left w:val="none" w:sz="0" w:space="0" w:color="auto"/>
                                            <w:bottom w:val="none" w:sz="0" w:space="0" w:color="auto"/>
                                            <w:right w:val="none" w:sz="0" w:space="0" w:color="auto"/>
                                          </w:divBdr>
                                          <w:divsChild>
                                            <w:div w:id="67191643">
                                              <w:marLeft w:val="0"/>
                                              <w:marRight w:val="0"/>
                                              <w:marTop w:val="0"/>
                                              <w:marBottom w:val="0"/>
                                              <w:divBdr>
                                                <w:top w:val="none" w:sz="0" w:space="0" w:color="auto"/>
                                                <w:left w:val="none" w:sz="0" w:space="0" w:color="auto"/>
                                                <w:bottom w:val="none" w:sz="0" w:space="0" w:color="auto"/>
                                                <w:right w:val="none" w:sz="0" w:space="0" w:color="auto"/>
                                              </w:divBdr>
                                              <w:divsChild>
                                                <w:div w:id="67191679">
                                                  <w:marLeft w:val="0"/>
                                                  <w:marRight w:val="0"/>
                                                  <w:marTop w:val="0"/>
                                                  <w:marBottom w:val="0"/>
                                                  <w:divBdr>
                                                    <w:top w:val="none" w:sz="0" w:space="0" w:color="auto"/>
                                                    <w:left w:val="none" w:sz="0" w:space="0" w:color="auto"/>
                                                    <w:bottom w:val="none" w:sz="0" w:space="0" w:color="auto"/>
                                                    <w:right w:val="none" w:sz="0" w:space="0" w:color="auto"/>
                                                  </w:divBdr>
                                                  <w:divsChild>
                                                    <w:div w:id="671917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67191678">
      <w:marLeft w:val="0"/>
      <w:marRight w:val="0"/>
      <w:marTop w:val="0"/>
      <w:marBottom w:val="0"/>
      <w:divBdr>
        <w:top w:val="none" w:sz="0" w:space="0" w:color="auto"/>
        <w:left w:val="none" w:sz="0" w:space="0" w:color="auto"/>
        <w:bottom w:val="none" w:sz="0" w:space="0" w:color="auto"/>
        <w:right w:val="none" w:sz="0" w:space="0" w:color="auto"/>
      </w:divBdr>
    </w:div>
    <w:div w:id="67191680">
      <w:marLeft w:val="0"/>
      <w:marRight w:val="0"/>
      <w:marTop w:val="0"/>
      <w:marBottom w:val="0"/>
      <w:divBdr>
        <w:top w:val="none" w:sz="0" w:space="0" w:color="auto"/>
        <w:left w:val="none" w:sz="0" w:space="0" w:color="auto"/>
        <w:bottom w:val="none" w:sz="0" w:space="0" w:color="auto"/>
        <w:right w:val="none" w:sz="0" w:space="0" w:color="auto"/>
      </w:divBdr>
    </w:div>
    <w:div w:id="67191682">
      <w:marLeft w:val="0"/>
      <w:marRight w:val="0"/>
      <w:marTop w:val="0"/>
      <w:marBottom w:val="0"/>
      <w:divBdr>
        <w:top w:val="none" w:sz="0" w:space="0" w:color="auto"/>
        <w:left w:val="none" w:sz="0" w:space="0" w:color="auto"/>
        <w:bottom w:val="none" w:sz="0" w:space="0" w:color="auto"/>
        <w:right w:val="none" w:sz="0" w:space="0" w:color="auto"/>
      </w:divBdr>
    </w:div>
    <w:div w:id="67191684">
      <w:marLeft w:val="0"/>
      <w:marRight w:val="0"/>
      <w:marTop w:val="0"/>
      <w:marBottom w:val="0"/>
      <w:divBdr>
        <w:top w:val="none" w:sz="0" w:space="0" w:color="auto"/>
        <w:left w:val="none" w:sz="0" w:space="0" w:color="auto"/>
        <w:bottom w:val="none" w:sz="0" w:space="0" w:color="auto"/>
        <w:right w:val="none" w:sz="0" w:space="0" w:color="auto"/>
      </w:divBdr>
    </w:div>
    <w:div w:id="67191686">
      <w:marLeft w:val="0"/>
      <w:marRight w:val="0"/>
      <w:marTop w:val="0"/>
      <w:marBottom w:val="0"/>
      <w:divBdr>
        <w:top w:val="none" w:sz="0" w:space="0" w:color="auto"/>
        <w:left w:val="none" w:sz="0" w:space="0" w:color="auto"/>
        <w:bottom w:val="none" w:sz="0" w:space="0" w:color="auto"/>
        <w:right w:val="none" w:sz="0" w:space="0" w:color="auto"/>
      </w:divBdr>
    </w:div>
    <w:div w:id="67191689">
      <w:marLeft w:val="0"/>
      <w:marRight w:val="0"/>
      <w:marTop w:val="0"/>
      <w:marBottom w:val="0"/>
      <w:divBdr>
        <w:top w:val="none" w:sz="0" w:space="0" w:color="auto"/>
        <w:left w:val="none" w:sz="0" w:space="0" w:color="auto"/>
        <w:bottom w:val="none" w:sz="0" w:space="0" w:color="auto"/>
        <w:right w:val="none" w:sz="0" w:space="0" w:color="auto"/>
      </w:divBdr>
      <w:divsChild>
        <w:div w:id="67191713">
          <w:marLeft w:val="0"/>
          <w:marRight w:val="0"/>
          <w:marTop w:val="0"/>
          <w:marBottom w:val="0"/>
          <w:divBdr>
            <w:top w:val="none" w:sz="0" w:space="0" w:color="auto"/>
            <w:left w:val="none" w:sz="0" w:space="0" w:color="auto"/>
            <w:bottom w:val="none" w:sz="0" w:space="0" w:color="auto"/>
            <w:right w:val="none" w:sz="0" w:space="0" w:color="auto"/>
          </w:divBdr>
          <w:divsChild>
            <w:div w:id="67191636">
              <w:marLeft w:val="0"/>
              <w:marRight w:val="0"/>
              <w:marTop w:val="0"/>
              <w:marBottom w:val="0"/>
              <w:divBdr>
                <w:top w:val="none" w:sz="0" w:space="0" w:color="auto"/>
                <w:left w:val="none" w:sz="0" w:space="0" w:color="auto"/>
                <w:bottom w:val="none" w:sz="0" w:space="0" w:color="auto"/>
                <w:right w:val="none" w:sz="0" w:space="0" w:color="auto"/>
              </w:divBdr>
            </w:div>
            <w:div w:id="67191652">
              <w:marLeft w:val="0"/>
              <w:marRight w:val="0"/>
              <w:marTop w:val="0"/>
              <w:marBottom w:val="0"/>
              <w:divBdr>
                <w:top w:val="none" w:sz="0" w:space="0" w:color="auto"/>
                <w:left w:val="none" w:sz="0" w:space="0" w:color="auto"/>
                <w:bottom w:val="none" w:sz="0" w:space="0" w:color="auto"/>
                <w:right w:val="none" w:sz="0" w:space="0" w:color="auto"/>
              </w:divBdr>
            </w:div>
            <w:div w:id="67191763">
              <w:marLeft w:val="0"/>
              <w:marRight w:val="0"/>
              <w:marTop w:val="0"/>
              <w:marBottom w:val="0"/>
              <w:divBdr>
                <w:top w:val="none" w:sz="0" w:space="0" w:color="auto"/>
                <w:left w:val="none" w:sz="0" w:space="0" w:color="auto"/>
                <w:bottom w:val="none" w:sz="0" w:space="0" w:color="auto"/>
                <w:right w:val="none" w:sz="0" w:space="0" w:color="auto"/>
              </w:divBdr>
            </w:div>
            <w:div w:id="67191786">
              <w:marLeft w:val="0"/>
              <w:marRight w:val="0"/>
              <w:marTop w:val="0"/>
              <w:marBottom w:val="0"/>
              <w:divBdr>
                <w:top w:val="none" w:sz="0" w:space="0" w:color="auto"/>
                <w:left w:val="none" w:sz="0" w:space="0" w:color="auto"/>
                <w:bottom w:val="none" w:sz="0" w:space="0" w:color="auto"/>
                <w:right w:val="none" w:sz="0" w:space="0" w:color="auto"/>
              </w:divBdr>
              <w:divsChild>
                <w:div w:id="671916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7191690">
      <w:marLeft w:val="0"/>
      <w:marRight w:val="0"/>
      <w:marTop w:val="0"/>
      <w:marBottom w:val="0"/>
      <w:divBdr>
        <w:top w:val="none" w:sz="0" w:space="0" w:color="auto"/>
        <w:left w:val="none" w:sz="0" w:space="0" w:color="auto"/>
        <w:bottom w:val="none" w:sz="0" w:space="0" w:color="auto"/>
        <w:right w:val="none" w:sz="0" w:space="0" w:color="auto"/>
      </w:divBdr>
    </w:div>
    <w:div w:id="67191691">
      <w:marLeft w:val="0"/>
      <w:marRight w:val="0"/>
      <w:marTop w:val="0"/>
      <w:marBottom w:val="0"/>
      <w:divBdr>
        <w:top w:val="none" w:sz="0" w:space="0" w:color="auto"/>
        <w:left w:val="none" w:sz="0" w:space="0" w:color="auto"/>
        <w:bottom w:val="none" w:sz="0" w:space="0" w:color="auto"/>
        <w:right w:val="none" w:sz="0" w:space="0" w:color="auto"/>
      </w:divBdr>
    </w:div>
    <w:div w:id="67191692">
      <w:marLeft w:val="0"/>
      <w:marRight w:val="0"/>
      <w:marTop w:val="0"/>
      <w:marBottom w:val="0"/>
      <w:divBdr>
        <w:top w:val="none" w:sz="0" w:space="0" w:color="auto"/>
        <w:left w:val="none" w:sz="0" w:space="0" w:color="auto"/>
        <w:bottom w:val="none" w:sz="0" w:space="0" w:color="auto"/>
        <w:right w:val="none" w:sz="0" w:space="0" w:color="auto"/>
      </w:divBdr>
    </w:div>
    <w:div w:id="67191693">
      <w:marLeft w:val="0"/>
      <w:marRight w:val="0"/>
      <w:marTop w:val="0"/>
      <w:marBottom w:val="0"/>
      <w:divBdr>
        <w:top w:val="none" w:sz="0" w:space="0" w:color="auto"/>
        <w:left w:val="none" w:sz="0" w:space="0" w:color="auto"/>
        <w:bottom w:val="none" w:sz="0" w:space="0" w:color="auto"/>
        <w:right w:val="none" w:sz="0" w:space="0" w:color="auto"/>
      </w:divBdr>
      <w:divsChild>
        <w:div w:id="67191735">
          <w:marLeft w:val="0"/>
          <w:marRight w:val="0"/>
          <w:marTop w:val="0"/>
          <w:marBottom w:val="0"/>
          <w:divBdr>
            <w:top w:val="none" w:sz="0" w:space="0" w:color="auto"/>
            <w:left w:val="none" w:sz="0" w:space="0" w:color="auto"/>
            <w:bottom w:val="none" w:sz="0" w:space="0" w:color="auto"/>
            <w:right w:val="none" w:sz="0" w:space="0" w:color="auto"/>
          </w:divBdr>
          <w:divsChild>
            <w:div w:id="67191673">
              <w:marLeft w:val="0"/>
              <w:marRight w:val="0"/>
              <w:marTop w:val="0"/>
              <w:marBottom w:val="0"/>
              <w:divBdr>
                <w:top w:val="none" w:sz="0" w:space="0" w:color="auto"/>
                <w:left w:val="none" w:sz="0" w:space="0" w:color="auto"/>
                <w:bottom w:val="none" w:sz="0" w:space="0" w:color="auto"/>
                <w:right w:val="none" w:sz="0" w:space="0" w:color="auto"/>
              </w:divBdr>
              <w:divsChild>
                <w:div w:id="671917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7191695">
      <w:marLeft w:val="0"/>
      <w:marRight w:val="0"/>
      <w:marTop w:val="0"/>
      <w:marBottom w:val="0"/>
      <w:divBdr>
        <w:top w:val="none" w:sz="0" w:space="0" w:color="auto"/>
        <w:left w:val="none" w:sz="0" w:space="0" w:color="auto"/>
        <w:bottom w:val="none" w:sz="0" w:space="0" w:color="auto"/>
        <w:right w:val="none" w:sz="0" w:space="0" w:color="auto"/>
      </w:divBdr>
    </w:div>
    <w:div w:id="67191696">
      <w:marLeft w:val="0"/>
      <w:marRight w:val="0"/>
      <w:marTop w:val="0"/>
      <w:marBottom w:val="0"/>
      <w:divBdr>
        <w:top w:val="none" w:sz="0" w:space="0" w:color="auto"/>
        <w:left w:val="none" w:sz="0" w:space="0" w:color="auto"/>
        <w:bottom w:val="none" w:sz="0" w:space="0" w:color="auto"/>
        <w:right w:val="none" w:sz="0" w:space="0" w:color="auto"/>
      </w:divBdr>
    </w:div>
    <w:div w:id="67191698">
      <w:marLeft w:val="0"/>
      <w:marRight w:val="0"/>
      <w:marTop w:val="0"/>
      <w:marBottom w:val="0"/>
      <w:divBdr>
        <w:top w:val="none" w:sz="0" w:space="0" w:color="auto"/>
        <w:left w:val="none" w:sz="0" w:space="0" w:color="auto"/>
        <w:bottom w:val="none" w:sz="0" w:space="0" w:color="auto"/>
        <w:right w:val="none" w:sz="0" w:space="0" w:color="auto"/>
      </w:divBdr>
      <w:divsChild>
        <w:div w:id="67191722">
          <w:marLeft w:val="0"/>
          <w:marRight w:val="0"/>
          <w:marTop w:val="0"/>
          <w:marBottom w:val="0"/>
          <w:divBdr>
            <w:top w:val="none" w:sz="0" w:space="0" w:color="auto"/>
            <w:left w:val="none" w:sz="0" w:space="0" w:color="auto"/>
            <w:bottom w:val="none" w:sz="0" w:space="0" w:color="auto"/>
            <w:right w:val="none" w:sz="0" w:space="0" w:color="auto"/>
          </w:divBdr>
        </w:div>
      </w:divsChild>
    </w:div>
    <w:div w:id="67191700">
      <w:marLeft w:val="0"/>
      <w:marRight w:val="0"/>
      <w:marTop w:val="0"/>
      <w:marBottom w:val="0"/>
      <w:divBdr>
        <w:top w:val="none" w:sz="0" w:space="0" w:color="auto"/>
        <w:left w:val="none" w:sz="0" w:space="0" w:color="auto"/>
        <w:bottom w:val="none" w:sz="0" w:space="0" w:color="auto"/>
        <w:right w:val="none" w:sz="0" w:space="0" w:color="auto"/>
      </w:divBdr>
    </w:div>
    <w:div w:id="67191703">
      <w:marLeft w:val="0"/>
      <w:marRight w:val="0"/>
      <w:marTop w:val="0"/>
      <w:marBottom w:val="0"/>
      <w:divBdr>
        <w:top w:val="none" w:sz="0" w:space="0" w:color="auto"/>
        <w:left w:val="none" w:sz="0" w:space="0" w:color="auto"/>
        <w:bottom w:val="none" w:sz="0" w:space="0" w:color="auto"/>
        <w:right w:val="none" w:sz="0" w:space="0" w:color="auto"/>
      </w:divBdr>
    </w:div>
    <w:div w:id="67191705">
      <w:marLeft w:val="0"/>
      <w:marRight w:val="0"/>
      <w:marTop w:val="0"/>
      <w:marBottom w:val="0"/>
      <w:divBdr>
        <w:top w:val="none" w:sz="0" w:space="0" w:color="auto"/>
        <w:left w:val="none" w:sz="0" w:space="0" w:color="auto"/>
        <w:bottom w:val="none" w:sz="0" w:space="0" w:color="auto"/>
        <w:right w:val="none" w:sz="0" w:space="0" w:color="auto"/>
      </w:divBdr>
    </w:div>
    <w:div w:id="67191706">
      <w:marLeft w:val="0"/>
      <w:marRight w:val="0"/>
      <w:marTop w:val="0"/>
      <w:marBottom w:val="0"/>
      <w:divBdr>
        <w:top w:val="none" w:sz="0" w:space="0" w:color="auto"/>
        <w:left w:val="none" w:sz="0" w:space="0" w:color="auto"/>
        <w:bottom w:val="none" w:sz="0" w:space="0" w:color="auto"/>
        <w:right w:val="none" w:sz="0" w:space="0" w:color="auto"/>
      </w:divBdr>
    </w:div>
    <w:div w:id="67191707">
      <w:marLeft w:val="0"/>
      <w:marRight w:val="0"/>
      <w:marTop w:val="0"/>
      <w:marBottom w:val="0"/>
      <w:divBdr>
        <w:top w:val="none" w:sz="0" w:space="0" w:color="auto"/>
        <w:left w:val="none" w:sz="0" w:space="0" w:color="auto"/>
        <w:bottom w:val="none" w:sz="0" w:space="0" w:color="auto"/>
        <w:right w:val="none" w:sz="0" w:space="0" w:color="auto"/>
      </w:divBdr>
    </w:div>
    <w:div w:id="67191708">
      <w:marLeft w:val="0"/>
      <w:marRight w:val="0"/>
      <w:marTop w:val="0"/>
      <w:marBottom w:val="0"/>
      <w:divBdr>
        <w:top w:val="none" w:sz="0" w:space="0" w:color="auto"/>
        <w:left w:val="none" w:sz="0" w:space="0" w:color="auto"/>
        <w:bottom w:val="none" w:sz="0" w:space="0" w:color="auto"/>
        <w:right w:val="none" w:sz="0" w:space="0" w:color="auto"/>
      </w:divBdr>
    </w:div>
    <w:div w:id="67191709">
      <w:marLeft w:val="0"/>
      <w:marRight w:val="0"/>
      <w:marTop w:val="0"/>
      <w:marBottom w:val="0"/>
      <w:divBdr>
        <w:top w:val="none" w:sz="0" w:space="0" w:color="auto"/>
        <w:left w:val="none" w:sz="0" w:space="0" w:color="auto"/>
        <w:bottom w:val="none" w:sz="0" w:space="0" w:color="auto"/>
        <w:right w:val="none" w:sz="0" w:space="0" w:color="auto"/>
      </w:divBdr>
    </w:div>
    <w:div w:id="67191710">
      <w:marLeft w:val="0"/>
      <w:marRight w:val="0"/>
      <w:marTop w:val="0"/>
      <w:marBottom w:val="0"/>
      <w:divBdr>
        <w:top w:val="none" w:sz="0" w:space="0" w:color="auto"/>
        <w:left w:val="none" w:sz="0" w:space="0" w:color="auto"/>
        <w:bottom w:val="none" w:sz="0" w:space="0" w:color="auto"/>
        <w:right w:val="none" w:sz="0" w:space="0" w:color="auto"/>
      </w:divBdr>
    </w:div>
    <w:div w:id="67191711">
      <w:marLeft w:val="0"/>
      <w:marRight w:val="0"/>
      <w:marTop w:val="0"/>
      <w:marBottom w:val="0"/>
      <w:divBdr>
        <w:top w:val="none" w:sz="0" w:space="0" w:color="auto"/>
        <w:left w:val="none" w:sz="0" w:space="0" w:color="auto"/>
        <w:bottom w:val="none" w:sz="0" w:space="0" w:color="auto"/>
        <w:right w:val="none" w:sz="0" w:space="0" w:color="auto"/>
      </w:divBdr>
    </w:div>
    <w:div w:id="67191714">
      <w:marLeft w:val="0"/>
      <w:marRight w:val="0"/>
      <w:marTop w:val="0"/>
      <w:marBottom w:val="0"/>
      <w:divBdr>
        <w:top w:val="none" w:sz="0" w:space="0" w:color="auto"/>
        <w:left w:val="none" w:sz="0" w:space="0" w:color="auto"/>
        <w:bottom w:val="none" w:sz="0" w:space="0" w:color="auto"/>
        <w:right w:val="none" w:sz="0" w:space="0" w:color="auto"/>
      </w:divBdr>
    </w:div>
    <w:div w:id="67191715">
      <w:marLeft w:val="0"/>
      <w:marRight w:val="0"/>
      <w:marTop w:val="0"/>
      <w:marBottom w:val="0"/>
      <w:divBdr>
        <w:top w:val="none" w:sz="0" w:space="0" w:color="auto"/>
        <w:left w:val="none" w:sz="0" w:space="0" w:color="auto"/>
        <w:bottom w:val="none" w:sz="0" w:space="0" w:color="auto"/>
        <w:right w:val="none" w:sz="0" w:space="0" w:color="auto"/>
      </w:divBdr>
    </w:div>
    <w:div w:id="67191718">
      <w:marLeft w:val="0"/>
      <w:marRight w:val="0"/>
      <w:marTop w:val="0"/>
      <w:marBottom w:val="0"/>
      <w:divBdr>
        <w:top w:val="none" w:sz="0" w:space="0" w:color="auto"/>
        <w:left w:val="none" w:sz="0" w:space="0" w:color="auto"/>
        <w:bottom w:val="none" w:sz="0" w:space="0" w:color="auto"/>
        <w:right w:val="none" w:sz="0" w:space="0" w:color="auto"/>
      </w:divBdr>
    </w:div>
    <w:div w:id="67191719">
      <w:marLeft w:val="0"/>
      <w:marRight w:val="0"/>
      <w:marTop w:val="0"/>
      <w:marBottom w:val="0"/>
      <w:divBdr>
        <w:top w:val="none" w:sz="0" w:space="0" w:color="auto"/>
        <w:left w:val="none" w:sz="0" w:space="0" w:color="auto"/>
        <w:bottom w:val="none" w:sz="0" w:space="0" w:color="auto"/>
        <w:right w:val="none" w:sz="0" w:space="0" w:color="auto"/>
      </w:divBdr>
    </w:div>
    <w:div w:id="67191720">
      <w:marLeft w:val="0"/>
      <w:marRight w:val="0"/>
      <w:marTop w:val="0"/>
      <w:marBottom w:val="0"/>
      <w:divBdr>
        <w:top w:val="none" w:sz="0" w:space="0" w:color="auto"/>
        <w:left w:val="none" w:sz="0" w:space="0" w:color="auto"/>
        <w:bottom w:val="none" w:sz="0" w:space="0" w:color="auto"/>
        <w:right w:val="none" w:sz="0" w:space="0" w:color="auto"/>
      </w:divBdr>
    </w:div>
    <w:div w:id="67191721">
      <w:marLeft w:val="0"/>
      <w:marRight w:val="0"/>
      <w:marTop w:val="0"/>
      <w:marBottom w:val="0"/>
      <w:divBdr>
        <w:top w:val="none" w:sz="0" w:space="0" w:color="auto"/>
        <w:left w:val="none" w:sz="0" w:space="0" w:color="auto"/>
        <w:bottom w:val="none" w:sz="0" w:space="0" w:color="auto"/>
        <w:right w:val="none" w:sz="0" w:space="0" w:color="auto"/>
      </w:divBdr>
    </w:div>
    <w:div w:id="67191725">
      <w:marLeft w:val="0"/>
      <w:marRight w:val="0"/>
      <w:marTop w:val="0"/>
      <w:marBottom w:val="0"/>
      <w:divBdr>
        <w:top w:val="none" w:sz="0" w:space="0" w:color="auto"/>
        <w:left w:val="none" w:sz="0" w:space="0" w:color="auto"/>
        <w:bottom w:val="none" w:sz="0" w:space="0" w:color="auto"/>
        <w:right w:val="none" w:sz="0" w:space="0" w:color="auto"/>
      </w:divBdr>
      <w:divsChild>
        <w:div w:id="67191723">
          <w:marLeft w:val="0"/>
          <w:marRight w:val="0"/>
          <w:marTop w:val="0"/>
          <w:marBottom w:val="0"/>
          <w:divBdr>
            <w:top w:val="single" w:sz="2" w:space="0" w:color="000000"/>
            <w:left w:val="single" w:sz="2" w:space="0" w:color="000000"/>
            <w:bottom w:val="single" w:sz="2" w:space="0" w:color="000000"/>
            <w:right w:val="single" w:sz="2" w:space="0" w:color="000000"/>
          </w:divBdr>
          <w:divsChild>
            <w:div w:id="67191755">
              <w:marLeft w:val="0"/>
              <w:marRight w:val="0"/>
              <w:marTop w:val="0"/>
              <w:marBottom w:val="0"/>
              <w:divBdr>
                <w:top w:val="single" w:sz="2" w:space="0" w:color="000000"/>
                <w:left w:val="single" w:sz="2" w:space="0" w:color="000000"/>
                <w:bottom w:val="single" w:sz="2" w:space="0" w:color="000000"/>
                <w:right w:val="single" w:sz="2" w:space="0" w:color="000000"/>
              </w:divBdr>
            </w:div>
          </w:divsChild>
        </w:div>
      </w:divsChild>
    </w:div>
    <w:div w:id="67191727">
      <w:marLeft w:val="0"/>
      <w:marRight w:val="0"/>
      <w:marTop w:val="0"/>
      <w:marBottom w:val="0"/>
      <w:divBdr>
        <w:top w:val="none" w:sz="0" w:space="0" w:color="auto"/>
        <w:left w:val="none" w:sz="0" w:space="0" w:color="auto"/>
        <w:bottom w:val="none" w:sz="0" w:space="0" w:color="auto"/>
        <w:right w:val="none" w:sz="0" w:space="0" w:color="auto"/>
      </w:divBdr>
    </w:div>
    <w:div w:id="67191729">
      <w:marLeft w:val="0"/>
      <w:marRight w:val="0"/>
      <w:marTop w:val="0"/>
      <w:marBottom w:val="0"/>
      <w:divBdr>
        <w:top w:val="none" w:sz="0" w:space="0" w:color="auto"/>
        <w:left w:val="none" w:sz="0" w:space="0" w:color="auto"/>
        <w:bottom w:val="none" w:sz="0" w:space="0" w:color="auto"/>
        <w:right w:val="none" w:sz="0" w:space="0" w:color="auto"/>
      </w:divBdr>
    </w:div>
    <w:div w:id="67191730">
      <w:marLeft w:val="0"/>
      <w:marRight w:val="0"/>
      <w:marTop w:val="0"/>
      <w:marBottom w:val="0"/>
      <w:divBdr>
        <w:top w:val="none" w:sz="0" w:space="0" w:color="auto"/>
        <w:left w:val="none" w:sz="0" w:space="0" w:color="auto"/>
        <w:bottom w:val="none" w:sz="0" w:space="0" w:color="auto"/>
        <w:right w:val="none" w:sz="0" w:space="0" w:color="auto"/>
      </w:divBdr>
    </w:div>
    <w:div w:id="67191733">
      <w:marLeft w:val="0"/>
      <w:marRight w:val="0"/>
      <w:marTop w:val="0"/>
      <w:marBottom w:val="0"/>
      <w:divBdr>
        <w:top w:val="none" w:sz="0" w:space="0" w:color="auto"/>
        <w:left w:val="none" w:sz="0" w:space="0" w:color="auto"/>
        <w:bottom w:val="none" w:sz="0" w:space="0" w:color="auto"/>
        <w:right w:val="none" w:sz="0" w:space="0" w:color="auto"/>
      </w:divBdr>
    </w:div>
    <w:div w:id="67191737">
      <w:marLeft w:val="0"/>
      <w:marRight w:val="0"/>
      <w:marTop w:val="0"/>
      <w:marBottom w:val="0"/>
      <w:divBdr>
        <w:top w:val="none" w:sz="0" w:space="0" w:color="auto"/>
        <w:left w:val="none" w:sz="0" w:space="0" w:color="auto"/>
        <w:bottom w:val="none" w:sz="0" w:space="0" w:color="auto"/>
        <w:right w:val="none" w:sz="0" w:space="0" w:color="auto"/>
      </w:divBdr>
    </w:div>
    <w:div w:id="67191738">
      <w:marLeft w:val="0"/>
      <w:marRight w:val="0"/>
      <w:marTop w:val="0"/>
      <w:marBottom w:val="0"/>
      <w:divBdr>
        <w:top w:val="none" w:sz="0" w:space="0" w:color="auto"/>
        <w:left w:val="none" w:sz="0" w:space="0" w:color="auto"/>
        <w:bottom w:val="none" w:sz="0" w:space="0" w:color="auto"/>
        <w:right w:val="none" w:sz="0" w:space="0" w:color="auto"/>
      </w:divBdr>
    </w:div>
    <w:div w:id="67191740">
      <w:marLeft w:val="0"/>
      <w:marRight w:val="0"/>
      <w:marTop w:val="0"/>
      <w:marBottom w:val="0"/>
      <w:divBdr>
        <w:top w:val="none" w:sz="0" w:space="0" w:color="auto"/>
        <w:left w:val="none" w:sz="0" w:space="0" w:color="auto"/>
        <w:bottom w:val="none" w:sz="0" w:space="0" w:color="auto"/>
        <w:right w:val="none" w:sz="0" w:space="0" w:color="auto"/>
      </w:divBdr>
    </w:div>
    <w:div w:id="67191741">
      <w:marLeft w:val="0"/>
      <w:marRight w:val="0"/>
      <w:marTop w:val="0"/>
      <w:marBottom w:val="0"/>
      <w:divBdr>
        <w:top w:val="none" w:sz="0" w:space="0" w:color="auto"/>
        <w:left w:val="none" w:sz="0" w:space="0" w:color="auto"/>
        <w:bottom w:val="none" w:sz="0" w:space="0" w:color="auto"/>
        <w:right w:val="none" w:sz="0" w:space="0" w:color="auto"/>
      </w:divBdr>
    </w:div>
    <w:div w:id="67191742">
      <w:marLeft w:val="0"/>
      <w:marRight w:val="0"/>
      <w:marTop w:val="0"/>
      <w:marBottom w:val="0"/>
      <w:divBdr>
        <w:top w:val="none" w:sz="0" w:space="0" w:color="auto"/>
        <w:left w:val="none" w:sz="0" w:space="0" w:color="auto"/>
        <w:bottom w:val="none" w:sz="0" w:space="0" w:color="auto"/>
        <w:right w:val="none" w:sz="0" w:space="0" w:color="auto"/>
      </w:divBdr>
    </w:div>
    <w:div w:id="67191743">
      <w:marLeft w:val="0"/>
      <w:marRight w:val="0"/>
      <w:marTop w:val="0"/>
      <w:marBottom w:val="0"/>
      <w:divBdr>
        <w:top w:val="none" w:sz="0" w:space="0" w:color="auto"/>
        <w:left w:val="none" w:sz="0" w:space="0" w:color="auto"/>
        <w:bottom w:val="none" w:sz="0" w:space="0" w:color="auto"/>
        <w:right w:val="none" w:sz="0" w:space="0" w:color="auto"/>
      </w:divBdr>
      <w:divsChild>
        <w:div w:id="67191736">
          <w:marLeft w:val="0"/>
          <w:marRight w:val="0"/>
          <w:marTop w:val="0"/>
          <w:marBottom w:val="0"/>
          <w:divBdr>
            <w:top w:val="none" w:sz="0" w:space="0" w:color="auto"/>
            <w:left w:val="none" w:sz="0" w:space="0" w:color="auto"/>
            <w:bottom w:val="none" w:sz="0" w:space="0" w:color="auto"/>
            <w:right w:val="none" w:sz="0" w:space="0" w:color="auto"/>
          </w:divBdr>
          <w:divsChild>
            <w:div w:id="671917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7191745">
      <w:marLeft w:val="0"/>
      <w:marRight w:val="0"/>
      <w:marTop w:val="0"/>
      <w:marBottom w:val="0"/>
      <w:divBdr>
        <w:top w:val="none" w:sz="0" w:space="0" w:color="auto"/>
        <w:left w:val="none" w:sz="0" w:space="0" w:color="auto"/>
        <w:bottom w:val="none" w:sz="0" w:space="0" w:color="auto"/>
        <w:right w:val="none" w:sz="0" w:space="0" w:color="auto"/>
      </w:divBdr>
    </w:div>
    <w:div w:id="67191746">
      <w:marLeft w:val="0"/>
      <w:marRight w:val="0"/>
      <w:marTop w:val="0"/>
      <w:marBottom w:val="0"/>
      <w:divBdr>
        <w:top w:val="none" w:sz="0" w:space="0" w:color="auto"/>
        <w:left w:val="none" w:sz="0" w:space="0" w:color="auto"/>
        <w:bottom w:val="none" w:sz="0" w:space="0" w:color="auto"/>
        <w:right w:val="none" w:sz="0" w:space="0" w:color="auto"/>
      </w:divBdr>
    </w:div>
    <w:div w:id="67191747">
      <w:marLeft w:val="0"/>
      <w:marRight w:val="0"/>
      <w:marTop w:val="0"/>
      <w:marBottom w:val="0"/>
      <w:divBdr>
        <w:top w:val="none" w:sz="0" w:space="0" w:color="auto"/>
        <w:left w:val="none" w:sz="0" w:space="0" w:color="auto"/>
        <w:bottom w:val="none" w:sz="0" w:space="0" w:color="auto"/>
        <w:right w:val="none" w:sz="0" w:space="0" w:color="auto"/>
      </w:divBdr>
      <w:divsChild>
        <w:div w:id="67191764">
          <w:marLeft w:val="0"/>
          <w:marRight w:val="0"/>
          <w:marTop w:val="0"/>
          <w:marBottom w:val="0"/>
          <w:divBdr>
            <w:top w:val="none" w:sz="0" w:space="0" w:color="auto"/>
            <w:left w:val="none" w:sz="0" w:space="0" w:color="auto"/>
            <w:bottom w:val="none" w:sz="0" w:space="0" w:color="auto"/>
            <w:right w:val="none" w:sz="0" w:space="0" w:color="auto"/>
          </w:divBdr>
          <w:divsChild>
            <w:div w:id="67191645">
              <w:marLeft w:val="0"/>
              <w:marRight w:val="0"/>
              <w:marTop w:val="0"/>
              <w:marBottom w:val="0"/>
              <w:divBdr>
                <w:top w:val="none" w:sz="0" w:space="0" w:color="auto"/>
                <w:left w:val="single" w:sz="6" w:space="0" w:color="FFFFFF"/>
                <w:bottom w:val="none" w:sz="0" w:space="0" w:color="auto"/>
                <w:right w:val="single" w:sz="6" w:space="0" w:color="FFFFFF"/>
              </w:divBdr>
              <w:divsChild>
                <w:div w:id="67191799">
                  <w:marLeft w:val="0"/>
                  <w:marRight w:val="0"/>
                  <w:marTop w:val="0"/>
                  <w:marBottom w:val="0"/>
                  <w:divBdr>
                    <w:top w:val="none" w:sz="0" w:space="0" w:color="auto"/>
                    <w:left w:val="none" w:sz="0" w:space="0" w:color="auto"/>
                    <w:bottom w:val="none" w:sz="0" w:space="0" w:color="auto"/>
                    <w:right w:val="none" w:sz="0" w:space="0" w:color="auto"/>
                  </w:divBdr>
                  <w:divsChild>
                    <w:div w:id="67191683">
                      <w:marLeft w:val="0"/>
                      <w:marRight w:val="0"/>
                      <w:marTop w:val="0"/>
                      <w:marBottom w:val="0"/>
                      <w:divBdr>
                        <w:top w:val="single" w:sz="6" w:space="0" w:color="FFFFFF"/>
                        <w:left w:val="single" w:sz="6" w:space="0" w:color="FFFFFF"/>
                        <w:bottom w:val="single" w:sz="6" w:space="0" w:color="FFFFFF"/>
                        <w:right w:val="single" w:sz="6" w:space="0" w:color="FFFFFF"/>
                      </w:divBdr>
                    </w:div>
                  </w:divsChild>
                </w:div>
              </w:divsChild>
            </w:div>
          </w:divsChild>
        </w:div>
      </w:divsChild>
    </w:div>
    <w:div w:id="67191748">
      <w:marLeft w:val="0"/>
      <w:marRight w:val="0"/>
      <w:marTop w:val="0"/>
      <w:marBottom w:val="0"/>
      <w:divBdr>
        <w:top w:val="none" w:sz="0" w:space="0" w:color="auto"/>
        <w:left w:val="none" w:sz="0" w:space="0" w:color="auto"/>
        <w:bottom w:val="none" w:sz="0" w:space="0" w:color="auto"/>
        <w:right w:val="none" w:sz="0" w:space="0" w:color="auto"/>
      </w:divBdr>
    </w:div>
    <w:div w:id="67191750">
      <w:marLeft w:val="0"/>
      <w:marRight w:val="0"/>
      <w:marTop w:val="0"/>
      <w:marBottom w:val="0"/>
      <w:divBdr>
        <w:top w:val="none" w:sz="0" w:space="0" w:color="auto"/>
        <w:left w:val="none" w:sz="0" w:space="0" w:color="auto"/>
        <w:bottom w:val="none" w:sz="0" w:space="0" w:color="auto"/>
        <w:right w:val="none" w:sz="0" w:space="0" w:color="auto"/>
      </w:divBdr>
    </w:div>
    <w:div w:id="67191752">
      <w:marLeft w:val="0"/>
      <w:marRight w:val="0"/>
      <w:marTop w:val="0"/>
      <w:marBottom w:val="0"/>
      <w:divBdr>
        <w:top w:val="none" w:sz="0" w:space="0" w:color="auto"/>
        <w:left w:val="none" w:sz="0" w:space="0" w:color="auto"/>
        <w:bottom w:val="none" w:sz="0" w:space="0" w:color="auto"/>
        <w:right w:val="none" w:sz="0" w:space="0" w:color="auto"/>
      </w:divBdr>
      <w:divsChild>
        <w:div w:id="67191788">
          <w:marLeft w:val="0"/>
          <w:marRight w:val="0"/>
          <w:marTop w:val="0"/>
          <w:marBottom w:val="0"/>
          <w:divBdr>
            <w:top w:val="none" w:sz="0" w:space="8" w:color="auto"/>
            <w:left w:val="none" w:sz="0" w:space="8" w:color="auto"/>
            <w:bottom w:val="none" w:sz="0" w:space="0" w:color="auto"/>
            <w:right w:val="none" w:sz="0" w:space="8" w:color="auto"/>
          </w:divBdr>
        </w:div>
      </w:divsChild>
    </w:div>
    <w:div w:id="67191753">
      <w:marLeft w:val="0"/>
      <w:marRight w:val="0"/>
      <w:marTop w:val="0"/>
      <w:marBottom w:val="0"/>
      <w:divBdr>
        <w:top w:val="none" w:sz="0" w:space="0" w:color="auto"/>
        <w:left w:val="none" w:sz="0" w:space="0" w:color="auto"/>
        <w:bottom w:val="none" w:sz="0" w:space="0" w:color="auto"/>
        <w:right w:val="none" w:sz="0" w:space="0" w:color="auto"/>
      </w:divBdr>
    </w:div>
    <w:div w:id="67191754">
      <w:marLeft w:val="0"/>
      <w:marRight w:val="0"/>
      <w:marTop w:val="0"/>
      <w:marBottom w:val="0"/>
      <w:divBdr>
        <w:top w:val="none" w:sz="0" w:space="0" w:color="auto"/>
        <w:left w:val="none" w:sz="0" w:space="0" w:color="auto"/>
        <w:bottom w:val="none" w:sz="0" w:space="0" w:color="auto"/>
        <w:right w:val="none" w:sz="0" w:space="0" w:color="auto"/>
      </w:divBdr>
    </w:div>
    <w:div w:id="67191757">
      <w:marLeft w:val="0"/>
      <w:marRight w:val="0"/>
      <w:marTop w:val="0"/>
      <w:marBottom w:val="0"/>
      <w:divBdr>
        <w:top w:val="none" w:sz="0" w:space="0" w:color="auto"/>
        <w:left w:val="none" w:sz="0" w:space="0" w:color="auto"/>
        <w:bottom w:val="none" w:sz="0" w:space="0" w:color="auto"/>
        <w:right w:val="none" w:sz="0" w:space="0" w:color="auto"/>
      </w:divBdr>
    </w:div>
    <w:div w:id="67191759">
      <w:marLeft w:val="0"/>
      <w:marRight w:val="0"/>
      <w:marTop w:val="0"/>
      <w:marBottom w:val="0"/>
      <w:divBdr>
        <w:top w:val="none" w:sz="0" w:space="0" w:color="auto"/>
        <w:left w:val="none" w:sz="0" w:space="0" w:color="auto"/>
        <w:bottom w:val="none" w:sz="0" w:space="0" w:color="auto"/>
        <w:right w:val="none" w:sz="0" w:space="0" w:color="auto"/>
      </w:divBdr>
      <w:divsChild>
        <w:div w:id="67191635">
          <w:marLeft w:val="0"/>
          <w:marRight w:val="0"/>
          <w:marTop w:val="0"/>
          <w:marBottom w:val="0"/>
          <w:divBdr>
            <w:top w:val="none" w:sz="0" w:space="0" w:color="auto"/>
            <w:left w:val="none" w:sz="0" w:space="0" w:color="auto"/>
            <w:bottom w:val="none" w:sz="0" w:space="0" w:color="auto"/>
            <w:right w:val="none" w:sz="0" w:space="0" w:color="auto"/>
          </w:divBdr>
          <w:divsChild>
            <w:div w:id="67191660">
              <w:marLeft w:val="0"/>
              <w:marRight w:val="0"/>
              <w:marTop w:val="0"/>
              <w:marBottom w:val="0"/>
              <w:divBdr>
                <w:top w:val="none" w:sz="0" w:space="0" w:color="auto"/>
                <w:left w:val="none" w:sz="0" w:space="0" w:color="auto"/>
                <w:bottom w:val="none" w:sz="0" w:space="0" w:color="auto"/>
                <w:right w:val="none" w:sz="0" w:space="0" w:color="auto"/>
              </w:divBdr>
            </w:div>
            <w:div w:id="671917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7191761">
      <w:marLeft w:val="0"/>
      <w:marRight w:val="0"/>
      <w:marTop w:val="0"/>
      <w:marBottom w:val="0"/>
      <w:divBdr>
        <w:top w:val="none" w:sz="0" w:space="0" w:color="auto"/>
        <w:left w:val="none" w:sz="0" w:space="0" w:color="auto"/>
        <w:bottom w:val="none" w:sz="0" w:space="0" w:color="auto"/>
        <w:right w:val="none" w:sz="0" w:space="0" w:color="auto"/>
      </w:divBdr>
      <w:divsChild>
        <w:div w:id="67191704">
          <w:marLeft w:val="0"/>
          <w:marRight w:val="0"/>
          <w:marTop w:val="0"/>
          <w:marBottom w:val="0"/>
          <w:divBdr>
            <w:top w:val="none" w:sz="0" w:space="0" w:color="auto"/>
            <w:left w:val="none" w:sz="0" w:space="0" w:color="auto"/>
            <w:bottom w:val="none" w:sz="0" w:space="0" w:color="auto"/>
            <w:right w:val="none" w:sz="0" w:space="0" w:color="auto"/>
          </w:divBdr>
          <w:divsChild>
            <w:div w:id="671917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7191765">
      <w:marLeft w:val="0"/>
      <w:marRight w:val="0"/>
      <w:marTop w:val="0"/>
      <w:marBottom w:val="0"/>
      <w:divBdr>
        <w:top w:val="none" w:sz="0" w:space="0" w:color="auto"/>
        <w:left w:val="none" w:sz="0" w:space="0" w:color="auto"/>
        <w:bottom w:val="none" w:sz="0" w:space="0" w:color="auto"/>
        <w:right w:val="none" w:sz="0" w:space="0" w:color="auto"/>
      </w:divBdr>
    </w:div>
    <w:div w:id="67191767">
      <w:marLeft w:val="0"/>
      <w:marRight w:val="0"/>
      <w:marTop w:val="0"/>
      <w:marBottom w:val="0"/>
      <w:divBdr>
        <w:top w:val="none" w:sz="0" w:space="0" w:color="auto"/>
        <w:left w:val="none" w:sz="0" w:space="0" w:color="auto"/>
        <w:bottom w:val="none" w:sz="0" w:space="0" w:color="auto"/>
        <w:right w:val="none" w:sz="0" w:space="0" w:color="auto"/>
      </w:divBdr>
    </w:div>
    <w:div w:id="67191768">
      <w:marLeft w:val="0"/>
      <w:marRight w:val="0"/>
      <w:marTop w:val="0"/>
      <w:marBottom w:val="0"/>
      <w:divBdr>
        <w:top w:val="none" w:sz="0" w:space="0" w:color="auto"/>
        <w:left w:val="none" w:sz="0" w:space="0" w:color="auto"/>
        <w:bottom w:val="none" w:sz="0" w:space="0" w:color="auto"/>
        <w:right w:val="none" w:sz="0" w:space="0" w:color="auto"/>
      </w:divBdr>
    </w:div>
    <w:div w:id="67191769">
      <w:marLeft w:val="0"/>
      <w:marRight w:val="0"/>
      <w:marTop w:val="0"/>
      <w:marBottom w:val="0"/>
      <w:divBdr>
        <w:top w:val="none" w:sz="0" w:space="0" w:color="auto"/>
        <w:left w:val="none" w:sz="0" w:space="0" w:color="auto"/>
        <w:bottom w:val="none" w:sz="0" w:space="0" w:color="auto"/>
        <w:right w:val="none" w:sz="0" w:space="0" w:color="auto"/>
      </w:divBdr>
    </w:div>
    <w:div w:id="67191771">
      <w:marLeft w:val="0"/>
      <w:marRight w:val="0"/>
      <w:marTop w:val="0"/>
      <w:marBottom w:val="0"/>
      <w:divBdr>
        <w:top w:val="none" w:sz="0" w:space="0" w:color="auto"/>
        <w:left w:val="none" w:sz="0" w:space="0" w:color="auto"/>
        <w:bottom w:val="none" w:sz="0" w:space="0" w:color="auto"/>
        <w:right w:val="none" w:sz="0" w:space="0" w:color="auto"/>
      </w:divBdr>
    </w:div>
    <w:div w:id="67191772">
      <w:marLeft w:val="0"/>
      <w:marRight w:val="0"/>
      <w:marTop w:val="0"/>
      <w:marBottom w:val="0"/>
      <w:divBdr>
        <w:top w:val="none" w:sz="0" w:space="0" w:color="auto"/>
        <w:left w:val="none" w:sz="0" w:space="0" w:color="auto"/>
        <w:bottom w:val="none" w:sz="0" w:space="0" w:color="auto"/>
        <w:right w:val="none" w:sz="0" w:space="0" w:color="auto"/>
      </w:divBdr>
    </w:div>
    <w:div w:id="67191773">
      <w:marLeft w:val="0"/>
      <w:marRight w:val="0"/>
      <w:marTop w:val="0"/>
      <w:marBottom w:val="0"/>
      <w:divBdr>
        <w:top w:val="none" w:sz="0" w:space="0" w:color="auto"/>
        <w:left w:val="none" w:sz="0" w:space="0" w:color="auto"/>
        <w:bottom w:val="none" w:sz="0" w:space="0" w:color="auto"/>
        <w:right w:val="none" w:sz="0" w:space="0" w:color="auto"/>
      </w:divBdr>
    </w:div>
    <w:div w:id="67191778">
      <w:marLeft w:val="0"/>
      <w:marRight w:val="0"/>
      <w:marTop w:val="0"/>
      <w:marBottom w:val="0"/>
      <w:divBdr>
        <w:top w:val="none" w:sz="0" w:space="0" w:color="auto"/>
        <w:left w:val="none" w:sz="0" w:space="0" w:color="auto"/>
        <w:bottom w:val="none" w:sz="0" w:space="0" w:color="auto"/>
        <w:right w:val="none" w:sz="0" w:space="0" w:color="auto"/>
      </w:divBdr>
    </w:div>
    <w:div w:id="67191781">
      <w:marLeft w:val="0"/>
      <w:marRight w:val="0"/>
      <w:marTop w:val="0"/>
      <w:marBottom w:val="0"/>
      <w:divBdr>
        <w:top w:val="none" w:sz="0" w:space="0" w:color="auto"/>
        <w:left w:val="none" w:sz="0" w:space="0" w:color="auto"/>
        <w:bottom w:val="none" w:sz="0" w:space="0" w:color="auto"/>
        <w:right w:val="none" w:sz="0" w:space="0" w:color="auto"/>
      </w:divBdr>
    </w:div>
    <w:div w:id="67191783">
      <w:marLeft w:val="0"/>
      <w:marRight w:val="0"/>
      <w:marTop w:val="0"/>
      <w:marBottom w:val="0"/>
      <w:divBdr>
        <w:top w:val="none" w:sz="0" w:space="0" w:color="auto"/>
        <w:left w:val="none" w:sz="0" w:space="0" w:color="auto"/>
        <w:bottom w:val="none" w:sz="0" w:space="0" w:color="auto"/>
        <w:right w:val="none" w:sz="0" w:space="0" w:color="auto"/>
      </w:divBdr>
    </w:div>
    <w:div w:id="67191784">
      <w:marLeft w:val="0"/>
      <w:marRight w:val="0"/>
      <w:marTop w:val="0"/>
      <w:marBottom w:val="0"/>
      <w:divBdr>
        <w:top w:val="none" w:sz="0" w:space="0" w:color="auto"/>
        <w:left w:val="none" w:sz="0" w:space="0" w:color="auto"/>
        <w:bottom w:val="none" w:sz="0" w:space="0" w:color="auto"/>
        <w:right w:val="none" w:sz="0" w:space="0" w:color="auto"/>
      </w:divBdr>
    </w:div>
    <w:div w:id="67191785">
      <w:marLeft w:val="0"/>
      <w:marRight w:val="0"/>
      <w:marTop w:val="0"/>
      <w:marBottom w:val="0"/>
      <w:divBdr>
        <w:top w:val="none" w:sz="0" w:space="0" w:color="auto"/>
        <w:left w:val="none" w:sz="0" w:space="0" w:color="auto"/>
        <w:bottom w:val="none" w:sz="0" w:space="0" w:color="auto"/>
        <w:right w:val="none" w:sz="0" w:space="0" w:color="auto"/>
      </w:divBdr>
    </w:div>
    <w:div w:id="67191787">
      <w:marLeft w:val="0"/>
      <w:marRight w:val="0"/>
      <w:marTop w:val="0"/>
      <w:marBottom w:val="0"/>
      <w:divBdr>
        <w:top w:val="none" w:sz="0" w:space="0" w:color="auto"/>
        <w:left w:val="none" w:sz="0" w:space="0" w:color="auto"/>
        <w:bottom w:val="none" w:sz="0" w:space="0" w:color="auto"/>
        <w:right w:val="none" w:sz="0" w:space="0" w:color="auto"/>
      </w:divBdr>
      <w:divsChild>
        <w:div w:id="67191697">
          <w:marLeft w:val="0"/>
          <w:marRight w:val="0"/>
          <w:marTop w:val="0"/>
          <w:marBottom w:val="0"/>
          <w:divBdr>
            <w:top w:val="none" w:sz="0" w:space="0" w:color="auto"/>
            <w:left w:val="none" w:sz="0" w:space="0" w:color="auto"/>
            <w:bottom w:val="none" w:sz="0" w:space="0" w:color="auto"/>
            <w:right w:val="none" w:sz="0" w:space="0" w:color="auto"/>
          </w:divBdr>
        </w:div>
      </w:divsChild>
    </w:div>
    <w:div w:id="67191789">
      <w:marLeft w:val="0"/>
      <w:marRight w:val="0"/>
      <w:marTop w:val="0"/>
      <w:marBottom w:val="0"/>
      <w:divBdr>
        <w:top w:val="none" w:sz="0" w:space="0" w:color="auto"/>
        <w:left w:val="none" w:sz="0" w:space="0" w:color="auto"/>
        <w:bottom w:val="none" w:sz="0" w:space="0" w:color="auto"/>
        <w:right w:val="none" w:sz="0" w:space="0" w:color="auto"/>
      </w:divBdr>
    </w:div>
    <w:div w:id="67191790">
      <w:marLeft w:val="0"/>
      <w:marRight w:val="0"/>
      <w:marTop w:val="0"/>
      <w:marBottom w:val="0"/>
      <w:divBdr>
        <w:top w:val="none" w:sz="0" w:space="0" w:color="auto"/>
        <w:left w:val="none" w:sz="0" w:space="0" w:color="auto"/>
        <w:bottom w:val="none" w:sz="0" w:space="0" w:color="auto"/>
        <w:right w:val="none" w:sz="0" w:space="0" w:color="auto"/>
      </w:divBdr>
    </w:div>
    <w:div w:id="67191792">
      <w:marLeft w:val="0"/>
      <w:marRight w:val="0"/>
      <w:marTop w:val="0"/>
      <w:marBottom w:val="0"/>
      <w:divBdr>
        <w:top w:val="none" w:sz="0" w:space="0" w:color="auto"/>
        <w:left w:val="none" w:sz="0" w:space="0" w:color="auto"/>
        <w:bottom w:val="none" w:sz="0" w:space="0" w:color="auto"/>
        <w:right w:val="none" w:sz="0" w:space="0" w:color="auto"/>
      </w:divBdr>
    </w:div>
    <w:div w:id="67191794">
      <w:marLeft w:val="0"/>
      <w:marRight w:val="0"/>
      <w:marTop w:val="0"/>
      <w:marBottom w:val="0"/>
      <w:divBdr>
        <w:top w:val="none" w:sz="0" w:space="0" w:color="auto"/>
        <w:left w:val="none" w:sz="0" w:space="0" w:color="auto"/>
        <w:bottom w:val="none" w:sz="0" w:space="0" w:color="auto"/>
        <w:right w:val="none" w:sz="0" w:space="0" w:color="auto"/>
      </w:divBdr>
    </w:div>
    <w:div w:id="67191797">
      <w:marLeft w:val="0"/>
      <w:marRight w:val="0"/>
      <w:marTop w:val="0"/>
      <w:marBottom w:val="0"/>
      <w:divBdr>
        <w:top w:val="none" w:sz="0" w:space="0" w:color="auto"/>
        <w:left w:val="none" w:sz="0" w:space="0" w:color="auto"/>
        <w:bottom w:val="none" w:sz="0" w:space="0" w:color="auto"/>
        <w:right w:val="none" w:sz="0" w:space="0" w:color="auto"/>
      </w:divBdr>
      <w:divsChild>
        <w:div w:id="67191796">
          <w:marLeft w:val="0"/>
          <w:marRight w:val="0"/>
          <w:marTop w:val="0"/>
          <w:marBottom w:val="0"/>
          <w:divBdr>
            <w:top w:val="single" w:sz="2" w:space="0" w:color="000000"/>
            <w:left w:val="single" w:sz="2" w:space="0" w:color="000000"/>
            <w:bottom w:val="single" w:sz="2" w:space="0" w:color="000000"/>
            <w:right w:val="single" w:sz="2" w:space="0" w:color="000000"/>
          </w:divBdr>
          <w:divsChild>
            <w:div w:id="67191795">
              <w:marLeft w:val="0"/>
              <w:marRight w:val="0"/>
              <w:marTop w:val="0"/>
              <w:marBottom w:val="0"/>
              <w:divBdr>
                <w:top w:val="single" w:sz="2" w:space="0" w:color="000000"/>
                <w:left w:val="single" w:sz="2" w:space="0" w:color="000000"/>
                <w:bottom w:val="single" w:sz="2" w:space="0" w:color="000000"/>
                <w:right w:val="single" w:sz="2" w:space="0" w:color="000000"/>
              </w:divBdr>
            </w:div>
          </w:divsChild>
        </w:div>
      </w:divsChild>
    </w:div>
    <w:div w:id="67191798">
      <w:marLeft w:val="0"/>
      <w:marRight w:val="0"/>
      <w:marTop w:val="0"/>
      <w:marBottom w:val="0"/>
      <w:divBdr>
        <w:top w:val="none" w:sz="0" w:space="0" w:color="auto"/>
        <w:left w:val="none" w:sz="0" w:space="0" w:color="auto"/>
        <w:bottom w:val="none" w:sz="0" w:space="0" w:color="auto"/>
        <w:right w:val="none" w:sz="0" w:space="0" w:color="auto"/>
      </w:divBdr>
    </w:div>
    <w:div w:id="67191800">
      <w:marLeft w:val="0"/>
      <w:marRight w:val="0"/>
      <w:marTop w:val="0"/>
      <w:marBottom w:val="0"/>
      <w:divBdr>
        <w:top w:val="none" w:sz="0" w:space="0" w:color="auto"/>
        <w:left w:val="none" w:sz="0" w:space="0" w:color="auto"/>
        <w:bottom w:val="none" w:sz="0" w:space="0" w:color="auto"/>
        <w:right w:val="none" w:sz="0" w:space="0" w:color="auto"/>
      </w:divBdr>
    </w:div>
    <w:div w:id="67191801">
      <w:marLeft w:val="0"/>
      <w:marRight w:val="0"/>
      <w:marTop w:val="0"/>
      <w:marBottom w:val="0"/>
      <w:divBdr>
        <w:top w:val="none" w:sz="0" w:space="0" w:color="auto"/>
        <w:left w:val="none" w:sz="0" w:space="0" w:color="auto"/>
        <w:bottom w:val="none" w:sz="0" w:space="0" w:color="auto"/>
        <w:right w:val="none" w:sz="0" w:space="0" w:color="auto"/>
      </w:divBdr>
    </w:div>
    <w:div w:id="67191802">
      <w:marLeft w:val="0"/>
      <w:marRight w:val="0"/>
      <w:marTop w:val="0"/>
      <w:marBottom w:val="0"/>
      <w:divBdr>
        <w:top w:val="none" w:sz="0" w:space="0" w:color="auto"/>
        <w:left w:val="none" w:sz="0" w:space="0" w:color="auto"/>
        <w:bottom w:val="none" w:sz="0" w:space="0" w:color="auto"/>
        <w:right w:val="none" w:sz="0" w:space="0" w:color="auto"/>
      </w:divBdr>
    </w:div>
    <w:div w:id="67191803">
      <w:marLeft w:val="0"/>
      <w:marRight w:val="0"/>
      <w:marTop w:val="0"/>
      <w:marBottom w:val="0"/>
      <w:divBdr>
        <w:top w:val="none" w:sz="0" w:space="0" w:color="auto"/>
        <w:left w:val="none" w:sz="0" w:space="0" w:color="auto"/>
        <w:bottom w:val="none" w:sz="0" w:space="0" w:color="auto"/>
        <w:right w:val="none" w:sz="0" w:space="0" w:color="auto"/>
      </w:divBdr>
    </w:div>
    <w:div w:id="67191804">
      <w:marLeft w:val="0"/>
      <w:marRight w:val="0"/>
      <w:marTop w:val="0"/>
      <w:marBottom w:val="0"/>
      <w:divBdr>
        <w:top w:val="none" w:sz="0" w:space="0" w:color="auto"/>
        <w:left w:val="none" w:sz="0" w:space="0" w:color="auto"/>
        <w:bottom w:val="none" w:sz="0" w:space="0" w:color="auto"/>
        <w:right w:val="none" w:sz="0" w:space="0" w:color="auto"/>
      </w:divBdr>
    </w:div>
    <w:div w:id="67191805">
      <w:marLeft w:val="0"/>
      <w:marRight w:val="0"/>
      <w:marTop w:val="0"/>
      <w:marBottom w:val="0"/>
      <w:divBdr>
        <w:top w:val="none" w:sz="0" w:space="0" w:color="auto"/>
        <w:left w:val="none" w:sz="0" w:space="0" w:color="auto"/>
        <w:bottom w:val="none" w:sz="0" w:space="0" w:color="auto"/>
        <w:right w:val="none" w:sz="0" w:space="0" w:color="auto"/>
      </w:divBdr>
    </w:div>
    <w:div w:id="67191806">
      <w:marLeft w:val="0"/>
      <w:marRight w:val="0"/>
      <w:marTop w:val="0"/>
      <w:marBottom w:val="0"/>
      <w:divBdr>
        <w:top w:val="none" w:sz="0" w:space="0" w:color="auto"/>
        <w:left w:val="none" w:sz="0" w:space="0" w:color="auto"/>
        <w:bottom w:val="none" w:sz="0" w:space="0" w:color="auto"/>
        <w:right w:val="none" w:sz="0" w:space="0" w:color="auto"/>
      </w:divBdr>
    </w:div>
    <w:div w:id="67191807">
      <w:marLeft w:val="0"/>
      <w:marRight w:val="0"/>
      <w:marTop w:val="0"/>
      <w:marBottom w:val="0"/>
      <w:divBdr>
        <w:top w:val="none" w:sz="0" w:space="0" w:color="auto"/>
        <w:left w:val="none" w:sz="0" w:space="0" w:color="auto"/>
        <w:bottom w:val="none" w:sz="0" w:space="0" w:color="auto"/>
        <w:right w:val="none" w:sz="0" w:space="0" w:color="auto"/>
      </w:divBdr>
    </w:div>
    <w:div w:id="67191808">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17.png"/><Relationship Id="rId117" Type="http://schemas.openxmlformats.org/officeDocument/2006/relationships/image" Target="media/image87.png"/><Relationship Id="rId21" Type="http://schemas.openxmlformats.org/officeDocument/2006/relationships/image" Target="media/image12.png"/><Relationship Id="rId42" Type="http://schemas.openxmlformats.org/officeDocument/2006/relationships/chart" Target="charts/chart5.xml"/><Relationship Id="rId47" Type="http://schemas.openxmlformats.org/officeDocument/2006/relationships/image" Target="media/image33.png"/><Relationship Id="rId63" Type="http://schemas.openxmlformats.org/officeDocument/2006/relationships/image" Target="media/image49.png"/><Relationship Id="rId68" Type="http://schemas.openxmlformats.org/officeDocument/2006/relationships/image" Target="media/image53.png"/><Relationship Id="rId84" Type="http://schemas.openxmlformats.org/officeDocument/2006/relationships/image" Target="media/image59.emf"/><Relationship Id="rId89" Type="http://schemas.openxmlformats.org/officeDocument/2006/relationships/image" Target="media/image64.emf"/><Relationship Id="rId112" Type="http://schemas.openxmlformats.org/officeDocument/2006/relationships/image" Target="media/image82.png"/><Relationship Id="rId133" Type="http://schemas.openxmlformats.org/officeDocument/2006/relationships/image" Target="media/image103.png"/><Relationship Id="rId138" Type="http://schemas.openxmlformats.org/officeDocument/2006/relationships/footer" Target="footer8.xml"/><Relationship Id="rId16" Type="http://schemas.openxmlformats.org/officeDocument/2006/relationships/image" Target="media/image7.png"/><Relationship Id="rId107" Type="http://schemas.openxmlformats.org/officeDocument/2006/relationships/image" Target="media/image77.png"/><Relationship Id="rId11" Type="http://schemas.openxmlformats.org/officeDocument/2006/relationships/image" Target="media/image3.emf"/><Relationship Id="rId32" Type="http://schemas.openxmlformats.org/officeDocument/2006/relationships/image" Target="media/image23.png"/><Relationship Id="rId37" Type="http://schemas.openxmlformats.org/officeDocument/2006/relationships/chart" Target="charts/chart2.xml"/><Relationship Id="rId53" Type="http://schemas.openxmlformats.org/officeDocument/2006/relationships/image" Target="media/image39.png"/><Relationship Id="rId58" Type="http://schemas.openxmlformats.org/officeDocument/2006/relationships/image" Target="media/image44.png"/><Relationship Id="rId74" Type="http://schemas.openxmlformats.org/officeDocument/2006/relationships/header" Target="header1.xml"/><Relationship Id="rId79" Type="http://schemas.openxmlformats.org/officeDocument/2006/relationships/footer" Target="footer3.xml"/><Relationship Id="rId102" Type="http://schemas.openxmlformats.org/officeDocument/2006/relationships/hyperlink" Target="http://www.fcc.gov/spectrumdashboard" TargetMode="External"/><Relationship Id="rId123" Type="http://schemas.openxmlformats.org/officeDocument/2006/relationships/image" Target="media/image93.png"/><Relationship Id="rId128" Type="http://schemas.openxmlformats.org/officeDocument/2006/relationships/image" Target="media/image98.png"/><Relationship Id="rId144" Type="http://schemas.openxmlformats.org/officeDocument/2006/relationships/header" Target="header11.xml"/><Relationship Id="rId5" Type="http://schemas.openxmlformats.org/officeDocument/2006/relationships/settings" Target="settings.xml"/><Relationship Id="rId90" Type="http://schemas.openxmlformats.org/officeDocument/2006/relationships/image" Target="media/image65.wmf"/><Relationship Id="rId95" Type="http://schemas.openxmlformats.org/officeDocument/2006/relationships/image" Target="media/image69.emf"/><Relationship Id="rId22" Type="http://schemas.openxmlformats.org/officeDocument/2006/relationships/image" Target="media/image13.png"/><Relationship Id="rId27" Type="http://schemas.openxmlformats.org/officeDocument/2006/relationships/image" Target="media/image18.png"/><Relationship Id="rId43" Type="http://schemas.openxmlformats.org/officeDocument/2006/relationships/image" Target="media/image30.png"/><Relationship Id="rId48" Type="http://schemas.openxmlformats.org/officeDocument/2006/relationships/image" Target="media/image34.png"/><Relationship Id="rId64" Type="http://schemas.openxmlformats.org/officeDocument/2006/relationships/image" Target="media/image50.png"/><Relationship Id="rId69" Type="http://schemas.openxmlformats.org/officeDocument/2006/relationships/image" Target="media/image54.png"/><Relationship Id="rId113" Type="http://schemas.openxmlformats.org/officeDocument/2006/relationships/image" Target="media/image83.png"/><Relationship Id="rId118" Type="http://schemas.openxmlformats.org/officeDocument/2006/relationships/image" Target="media/image88.png"/><Relationship Id="rId134" Type="http://schemas.openxmlformats.org/officeDocument/2006/relationships/image" Target="media/image104.png"/><Relationship Id="rId139" Type="http://schemas.openxmlformats.org/officeDocument/2006/relationships/header" Target="header9.xml"/><Relationship Id="rId80" Type="http://schemas.openxmlformats.org/officeDocument/2006/relationships/header" Target="header4.xml"/><Relationship Id="rId85" Type="http://schemas.openxmlformats.org/officeDocument/2006/relationships/image" Target="media/image60.emf"/><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8.png"/><Relationship Id="rId25" Type="http://schemas.openxmlformats.org/officeDocument/2006/relationships/image" Target="media/image16.emf"/><Relationship Id="rId33" Type="http://schemas.openxmlformats.org/officeDocument/2006/relationships/image" Target="media/image24.png"/><Relationship Id="rId38" Type="http://schemas.openxmlformats.org/officeDocument/2006/relationships/image" Target="media/image28.png"/><Relationship Id="rId46" Type="http://schemas.openxmlformats.org/officeDocument/2006/relationships/image" Target="media/image32.png"/><Relationship Id="rId59" Type="http://schemas.openxmlformats.org/officeDocument/2006/relationships/image" Target="media/image45.png"/><Relationship Id="rId67" Type="http://schemas.openxmlformats.org/officeDocument/2006/relationships/hyperlink" Target="http://en.wikipedia.org/wiki/Investment" TargetMode="External"/><Relationship Id="rId103" Type="http://schemas.openxmlformats.org/officeDocument/2006/relationships/image" Target="media/image73.png"/><Relationship Id="rId108" Type="http://schemas.openxmlformats.org/officeDocument/2006/relationships/image" Target="media/image78.png"/><Relationship Id="rId116" Type="http://schemas.openxmlformats.org/officeDocument/2006/relationships/image" Target="media/image86.png"/><Relationship Id="rId124" Type="http://schemas.openxmlformats.org/officeDocument/2006/relationships/image" Target="media/image94.png"/><Relationship Id="rId129" Type="http://schemas.openxmlformats.org/officeDocument/2006/relationships/image" Target="media/image99.png"/><Relationship Id="rId137" Type="http://schemas.openxmlformats.org/officeDocument/2006/relationships/footer" Target="footer7.xml"/><Relationship Id="rId20" Type="http://schemas.openxmlformats.org/officeDocument/2006/relationships/image" Target="media/image11.png"/><Relationship Id="rId41" Type="http://schemas.openxmlformats.org/officeDocument/2006/relationships/chart" Target="charts/chart4.xml"/><Relationship Id="rId54" Type="http://schemas.openxmlformats.org/officeDocument/2006/relationships/image" Target="media/image40.png"/><Relationship Id="rId62" Type="http://schemas.openxmlformats.org/officeDocument/2006/relationships/image" Target="media/image48.png"/><Relationship Id="rId70" Type="http://schemas.openxmlformats.org/officeDocument/2006/relationships/image" Target="media/image55.png"/><Relationship Id="rId75" Type="http://schemas.openxmlformats.org/officeDocument/2006/relationships/header" Target="header2.xml"/><Relationship Id="rId83" Type="http://schemas.openxmlformats.org/officeDocument/2006/relationships/header" Target="header5.xml"/><Relationship Id="rId88" Type="http://schemas.openxmlformats.org/officeDocument/2006/relationships/image" Target="media/image63.png"/><Relationship Id="rId91" Type="http://schemas.openxmlformats.org/officeDocument/2006/relationships/image" Target="media/image66.emf"/><Relationship Id="rId96" Type="http://schemas.openxmlformats.org/officeDocument/2006/relationships/image" Target="media/image70.emf"/><Relationship Id="rId111" Type="http://schemas.openxmlformats.org/officeDocument/2006/relationships/image" Target="media/image81.png"/><Relationship Id="rId132" Type="http://schemas.openxmlformats.org/officeDocument/2006/relationships/image" Target="media/image102.png"/><Relationship Id="rId140" Type="http://schemas.openxmlformats.org/officeDocument/2006/relationships/footer" Target="footer9.xml"/><Relationship Id="rId145" Type="http://schemas.openxmlformats.org/officeDocument/2006/relationships/footer" Target="footer12.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image" Target="media/image19.jpeg"/><Relationship Id="rId36" Type="http://schemas.openxmlformats.org/officeDocument/2006/relationships/image" Target="media/image27.png"/><Relationship Id="rId49" Type="http://schemas.openxmlformats.org/officeDocument/2006/relationships/image" Target="media/image35.png"/><Relationship Id="rId57" Type="http://schemas.openxmlformats.org/officeDocument/2006/relationships/image" Target="media/image43.png"/><Relationship Id="rId106" Type="http://schemas.openxmlformats.org/officeDocument/2006/relationships/image" Target="media/image76.png"/><Relationship Id="rId114" Type="http://schemas.openxmlformats.org/officeDocument/2006/relationships/image" Target="media/image84.png"/><Relationship Id="rId119" Type="http://schemas.openxmlformats.org/officeDocument/2006/relationships/image" Target="media/image89.png"/><Relationship Id="rId127" Type="http://schemas.openxmlformats.org/officeDocument/2006/relationships/image" Target="media/image97.png"/><Relationship Id="rId10" Type="http://schemas.openxmlformats.org/officeDocument/2006/relationships/image" Target="media/image2.png"/><Relationship Id="rId31" Type="http://schemas.openxmlformats.org/officeDocument/2006/relationships/image" Target="media/image22.jpeg"/><Relationship Id="rId44" Type="http://schemas.openxmlformats.org/officeDocument/2006/relationships/chart" Target="charts/chart6.xml"/><Relationship Id="rId52" Type="http://schemas.openxmlformats.org/officeDocument/2006/relationships/image" Target="media/image38.png"/><Relationship Id="rId60" Type="http://schemas.openxmlformats.org/officeDocument/2006/relationships/image" Target="media/image46.png"/><Relationship Id="rId65" Type="http://schemas.openxmlformats.org/officeDocument/2006/relationships/image" Target="media/image51.png"/><Relationship Id="rId73" Type="http://schemas.openxmlformats.org/officeDocument/2006/relationships/image" Target="media/image58.png"/><Relationship Id="rId78" Type="http://schemas.openxmlformats.org/officeDocument/2006/relationships/header" Target="header3.xml"/><Relationship Id="rId81" Type="http://schemas.openxmlformats.org/officeDocument/2006/relationships/footer" Target="footer4.xml"/><Relationship Id="rId86" Type="http://schemas.openxmlformats.org/officeDocument/2006/relationships/image" Target="media/image61.emf"/><Relationship Id="rId94" Type="http://schemas.openxmlformats.org/officeDocument/2006/relationships/image" Target="media/image68.emf"/><Relationship Id="rId99" Type="http://schemas.openxmlformats.org/officeDocument/2006/relationships/footer" Target="footer6.xml"/><Relationship Id="rId101" Type="http://schemas.openxmlformats.org/officeDocument/2006/relationships/image" Target="media/image72.emf"/><Relationship Id="rId122" Type="http://schemas.openxmlformats.org/officeDocument/2006/relationships/image" Target="media/image92.png"/><Relationship Id="rId130" Type="http://schemas.openxmlformats.org/officeDocument/2006/relationships/image" Target="media/image100.png"/><Relationship Id="rId135" Type="http://schemas.openxmlformats.org/officeDocument/2006/relationships/image" Target="media/image105.png"/><Relationship Id="rId143" Type="http://schemas.openxmlformats.org/officeDocument/2006/relationships/footer" Target="footer11.xml"/><Relationship Id="rId4" Type="http://schemas.microsoft.com/office/2007/relationships/stylesWithEffects" Target="stylesWithEffects.xml"/><Relationship Id="rId9" Type="http://schemas.openxmlformats.org/officeDocument/2006/relationships/image" Target="media/image1.png"/><Relationship Id="rId13" Type="http://schemas.openxmlformats.org/officeDocument/2006/relationships/chart" Target="charts/chart1.xml"/><Relationship Id="rId18" Type="http://schemas.openxmlformats.org/officeDocument/2006/relationships/image" Target="media/image9.png"/><Relationship Id="rId39" Type="http://schemas.openxmlformats.org/officeDocument/2006/relationships/image" Target="media/image29.png"/><Relationship Id="rId109" Type="http://schemas.openxmlformats.org/officeDocument/2006/relationships/image" Target="media/image79.png"/><Relationship Id="rId34" Type="http://schemas.openxmlformats.org/officeDocument/2006/relationships/image" Target="media/image25.png"/><Relationship Id="rId50" Type="http://schemas.openxmlformats.org/officeDocument/2006/relationships/image" Target="media/image36.png"/><Relationship Id="rId55" Type="http://schemas.openxmlformats.org/officeDocument/2006/relationships/image" Target="media/image41.png"/><Relationship Id="rId76" Type="http://schemas.openxmlformats.org/officeDocument/2006/relationships/footer" Target="footer1.xml"/><Relationship Id="rId97" Type="http://schemas.openxmlformats.org/officeDocument/2006/relationships/header" Target="header6.xml"/><Relationship Id="rId104" Type="http://schemas.openxmlformats.org/officeDocument/2006/relationships/image" Target="media/image74.png"/><Relationship Id="rId120" Type="http://schemas.openxmlformats.org/officeDocument/2006/relationships/image" Target="media/image90.png"/><Relationship Id="rId125" Type="http://schemas.openxmlformats.org/officeDocument/2006/relationships/image" Target="media/image95.png"/><Relationship Id="rId141" Type="http://schemas.openxmlformats.org/officeDocument/2006/relationships/header" Target="header10.xml"/><Relationship Id="rId146" Type="http://schemas.openxmlformats.org/officeDocument/2006/relationships/fontTable" Target="fontTable.xml"/><Relationship Id="rId7" Type="http://schemas.openxmlformats.org/officeDocument/2006/relationships/footnotes" Target="footnotes.xml"/><Relationship Id="rId71" Type="http://schemas.openxmlformats.org/officeDocument/2006/relationships/image" Target="media/image56.png"/><Relationship Id="rId92" Type="http://schemas.openxmlformats.org/officeDocument/2006/relationships/image" Target="media/image67.emf"/><Relationship Id="rId2" Type="http://schemas.openxmlformats.org/officeDocument/2006/relationships/numbering" Target="numbering.xml"/><Relationship Id="rId29" Type="http://schemas.openxmlformats.org/officeDocument/2006/relationships/image" Target="media/image20.png"/><Relationship Id="rId24" Type="http://schemas.openxmlformats.org/officeDocument/2006/relationships/image" Target="media/image15.png"/><Relationship Id="rId40" Type="http://schemas.openxmlformats.org/officeDocument/2006/relationships/chart" Target="charts/chart3.xml"/><Relationship Id="rId45" Type="http://schemas.openxmlformats.org/officeDocument/2006/relationships/image" Target="media/image31.png"/><Relationship Id="rId66" Type="http://schemas.openxmlformats.org/officeDocument/2006/relationships/image" Target="media/image52.png"/><Relationship Id="rId87" Type="http://schemas.openxmlformats.org/officeDocument/2006/relationships/image" Target="media/image62.emf"/><Relationship Id="rId110" Type="http://schemas.openxmlformats.org/officeDocument/2006/relationships/image" Target="media/image80.png"/><Relationship Id="rId115" Type="http://schemas.openxmlformats.org/officeDocument/2006/relationships/image" Target="media/image85.png"/><Relationship Id="rId131" Type="http://schemas.openxmlformats.org/officeDocument/2006/relationships/image" Target="media/image101.png"/><Relationship Id="rId136" Type="http://schemas.openxmlformats.org/officeDocument/2006/relationships/header" Target="header8.xml"/><Relationship Id="rId61" Type="http://schemas.openxmlformats.org/officeDocument/2006/relationships/image" Target="media/image47.png"/><Relationship Id="rId82" Type="http://schemas.openxmlformats.org/officeDocument/2006/relationships/footer" Target="footer5.xml"/><Relationship Id="rId19" Type="http://schemas.openxmlformats.org/officeDocument/2006/relationships/image" Target="media/image10.png"/><Relationship Id="rId14" Type="http://schemas.openxmlformats.org/officeDocument/2006/relationships/image" Target="media/image5.emf"/><Relationship Id="rId30" Type="http://schemas.openxmlformats.org/officeDocument/2006/relationships/image" Target="media/image21.png"/><Relationship Id="rId35" Type="http://schemas.openxmlformats.org/officeDocument/2006/relationships/image" Target="media/image26.png"/><Relationship Id="rId56" Type="http://schemas.openxmlformats.org/officeDocument/2006/relationships/image" Target="media/image42.png"/><Relationship Id="rId77" Type="http://schemas.openxmlformats.org/officeDocument/2006/relationships/footer" Target="footer2.xml"/><Relationship Id="rId100" Type="http://schemas.openxmlformats.org/officeDocument/2006/relationships/image" Target="media/image71.emf"/><Relationship Id="rId105" Type="http://schemas.openxmlformats.org/officeDocument/2006/relationships/image" Target="media/image75.png"/><Relationship Id="rId126" Type="http://schemas.openxmlformats.org/officeDocument/2006/relationships/image" Target="media/image96.png"/><Relationship Id="rId147" Type="http://schemas.openxmlformats.org/officeDocument/2006/relationships/theme" Target="theme/theme1.xml"/><Relationship Id="rId8" Type="http://schemas.openxmlformats.org/officeDocument/2006/relationships/endnotes" Target="endnotes.xml"/><Relationship Id="rId51" Type="http://schemas.openxmlformats.org/officeDocument/2006/relationships/image" Target="media/image37.png"/><Relationship Id="rId72" Type="http://schemas.openxmlformats.org/officeDocument/2006/relationships/image" Target="media/image57.png"/><Relationship Id="rId93" Type="http://schemas.openxmlformats.org/officeDocument/2006/relationships/oleObject" Target="embeddings/Microsoft_PowerPoint_97-2003_Presentation1.ppt"/><Relationship Id="rId98" Type="http://schemas.openxmlformats.org/officeDocument/2006/relationships/header" Target="header7.xml"/><Relationship Id="rId121" Type="http://schemas.openxmlformats.org/officeDocument/2006/relationships/image" Target="media/image91.png"/><Relationship Id="rId142" Type="http://schemas.openxmlformats.org/officeDocument/2006/relationships/footer" Target="footer10.xml"/></Relationships>
</file>

<file path=word/_rels/footnotes.xml.rels><?xml version="1.0" encoding="UTF-8" standalone="yes"?>
<Relationships xmlns="http://schemas.openxmlformats.org/package/2006/relationships"><Relationship Id="rId117" Type="http://schemas.openxmlformats.org/officeDocument/2006/relationships/hyperlink" Target="javascript:UrlRedirect('http://www.t-mobile.com');" TargetMode="External"/><Relationship Id="rId299" Type="http://schemas.openxmlformats.org/officeDocument/2006/relationships/hyperlink" Target="http://www.strategyanalytics.com/default.aspx?mod=pressreleaseviewer&amp;a0=5239" TargetMode="External"/><Relationship Id="rId21" Type="http://schemas.openxmlformats.org/officeDocument/2006/relationships/hyperlink" Target="http://www.usamobility.com/products/messaging/" TargetMode="External"/><Relationship Id="rId63" Type="http://schemas.openxmlformats.org/officeDocument/2006/relationships/hyperlink" Target="http://www.ntia.doc.gov/files/ntia/meetings/framework_for_work_within_csmac_20120525.pdf" TargetMode="External"/><Relationship Id="rId159" Type="http://schemas.openxmlformats.org/officeDocument/2006/relationships/hyperlink" Target="http://www.fiercewireless.com/story/verizon-wireless-details-unleashed-50-prepaid-unlimited-plan/2011-04-26" TargetMode="External"/><Relationship Id="rId324" Type="http://schemas.openxmlformats.org/officeDocument/2006/relationships/hyperlink" Target="http://www.fiercewireless.com/story/battle-erupts-over-t-mobiles-largest-4g-network-claims/2010-11-02" TargetMode="External"/><Relationship Id="rId366" Type="http://schemas.openxmlformats.org/officeDocument/2006/relationships/hyperlink" Target="http://pewinternet.org/Reports/2012/Smartphone-Update-2012/Findings.aspx" TargetMode="External"/><Relationship Id="rId531" Type="http://schemas.openxmlformats.org/officeDocument/2006/relationships/hyperlink" Target="http://www.fiercewireless.com/europe/special-reports/femtocells-still-sidelines-new-opportunities-beckon" TargetMode="External"/><Relationship Id="rId170" Type="http://schemas.openxmlformats.org/officeDocument/2006/relationships/hyperlink" Target="http://newsroom.t-mobile.com/articles/walmart-and-t-mobile-introduce-exclusive-no-annual-contract-4g-offering" TargetMode="External"/><Relationship Id="rId226" Type="http://schemas.openxmlformats.org/officeDocument/2006/relationships/hyperlink" Target="http://www.telecompetitor.com/pioneer-cellular-is-first-verizon-rural-partner-to-launch-4g-lte/" TargetMode="External"/><Relationship Id="rId433" Type="http://schemas.openxmlformats.org/officeDocument/2006/relationships/hyperlink" Target="http://ipnetworksinc.com/ethernet/" TargetMode="External"/><Relationship Id="rId268" Type="http://schemas.openxmlformats.org/officeDocument/2006/relationships/hyperlink" Target="http://www.computerworld.com/s/article/9225498/U.S._Cellular_throws_its_4G_LTE_hat_in_the_ring" TargetMode="External"/><Relationship Id="rId475" Type="http://schemas.openxmlformats.org/officeDocument/2006/relationships/hyperlink" Target="http://www.americanbanker.com/issues/177_45/mobile-payments-npd-in-stat-1047243-1.html" TargetMode="External"/><Relationship Id="rId32" Type="http://schemas.openxmlformats.org/officeDocument/2006/relationships/hyperlink" Target="http://www.census.gov/geo/www/tiger/rel_file_desc.pdf" TargetMode="External"/><Relationship Id="rId74" Type="http://schemas.openxmlformats.org/officeDocument/2006/relationships/hyperlink" Target="http://web2.westlaw.com/find/default.wl?mt=26&amp;db=4493&amp;tc=-1&amp;rp=%2ffind%2fdefault.wl&amp;findtype=Y&amp;ordoc=2026749679&amp;serialnum=2022375303&amp;vr=2.0&amp;fn=_top&amp;sv=Split&amp;tf=-1&amp;referencepositiontype=S&amp;pbc=134CFA79&amp;referenceposition=8723&amp;rs=WLW12.07" TargetMode="External"/><Relationship Id="rId128" Type="http://schemas.openxmlformats.org/officeDocument/2006/relationships/hyperlink" Target="http://www.fiercewireless.com/story/sprint-not-changing-data-pricing-after-ts-move/2010-06-04" TargetMode="External"/><Relationship Id="rId335" Type="http://schemas.openxmlformats.org/officeDocument/2006/relationships/hyperlink" Target="http://www.adweek.com/news/advertising-branding/verizon-it-begins-130455" TargetMode="External"/><Relationship Id="rId377" Type="http://schemas.openxmlformats.org/officeDocument/2006/relationships/hyperlink" Target="http://www.fiercewireless.com/story/entner-what-price-megabyte-wireless-data/2011-04-13" TargetMode="External"/><Relationship Id="rId500" Type="http://schemas.openxmlformats.org/officeDocument/2006/relationships/hyperlink" Target="http://www.cdc.gov/nchs/data/nhis/earlyrelease/wireless201212.PDF" TargetMode="External"/><Relationship Id="rId542" Type="http://schemas.openxmlformats.org/officeDocument/2006/relationships/hyperlink" Target="http://www.rcrwireless.com/article/20111109/devices/lte-n-a-2011-verizon-wireless-set-for-rural-lte-launches-in-2012/" TargetMode="External"/><Relationship Id="rId5" Type="http://schemas.openxmlformats.org/officeDocument/2006/relationships/hyperlink" Target="http://www.comscore.com/Insights/Press_Releases/2012/9/comScore_Reports_July_2012_US_Mobile_Subscriber_Market_Share" TargetMode="External"/><Relationship Id="rId181" Type="http://schemas.openxmlformats.org/officeDocument/2006/relationships/hyperlink" Target="http://www.fiercewireless.com/story/virgin-mobile-begin-smartphone-data-throttling-march/2012-01-19" TargetMode="External"/><Relationship Id="rId237" Type="http://schemas.openxmlformats.org/officeDocument/2006/relationships/hyperlink" Target="http://www.fiercewireless.com/story/att-expand-lte-coverage-12-more-markets/2012-03-12" TargetMode="External"/><Relationship Id="rId402" Type="http://schemas.openxmlformats.org/officeDocument/2006/relationships/hyperlink" Target="http://files.ctia.org/pdf/ConsumerCode.pdf" TargetMode="External"/><Relationship Id="rId279" Type="http://schemas.openxmlformats.org/officeDocument/2006/relationships/hyperlink" Target="http://www.mycricket.com/coverage/cell-phone-coverage" TargetMode="External"/><Relationship Id="rId444" Type="http://schemas.openxmlformats.org/officeDocument/2006/relationships/hyperlink" Target="http://www.eweek.com/c/a/Mobile-and-Wireless/Android-iOS-Mobile-Market-Share-Growing-comScore-344060/" TargetMode="External"/><Relationship Id="rId486" Type="http://schemas.openxmlformats.org/officeDocument/2006/relationships/hyperlink" Target="http://apps.fcc.gov/ecfs/document/view;jsessionid=KKDdQLCSVmlSq66DvmdylQLdn1BKnfcs1K4HhQvy1RPzrFzFJQKs!1007083101!-224088840?id=7022009489" TargetMode="External"/><Relationship Id="rId43" Type="http://schemas.openxmlformats.org/officeDocument/2006/relationships/hyperlink" Target="http://hraunfoss.fcc.gov/edocs_public/attachmatch/DA-11-1955A2.pdf" TargetMode="External"/><Relationship Id="rId139" Type="http://schemas.openxmlformats.org/officeDocument/2006/relationships/hyperlink" Target="http://www.fiercewireless.com/story/npd-tablet-users-increasingly-favor-wi-fi-over-cellular-connections/2011-12-12" TargetMode="External"/><Relationship Id="rId290" Type="http://schemas.openxmlformats.org/officeDocument/2006/relationships/hyperlink" Target="http://www.dailyfinance.com/2012/03/10/whos-winning-the-smartphone-platform-wars/" TargetMode="External"/><Relationship Id="rId304" Type="http://schemas.openxmlformats.org/officeDocument/2006/relationships/hyperlink" Target="http://shop.sprint.com/mysprint/shop/phone_details.jsp?prodId=dvc6290005prd&amp;deviceSKUId=62900028&amp;flow=AAL&amp;planSKUId=&amp;firstSelection=PHONES&amp;ptn=&amp;tabId=dvcTab1820005" TargetMode="External"/><Relationship Id="rId346" Type="http://schemas.openxmlformats.org/officeDocument/2006/relationships/hyperlink" Target="http://www.fiercewireless.com/story/att-refreshes-rethink-possible-ad-campaign-mobile/2012-04-09" TargetMode="External"/><Relationship Id="rId388" Type="http://schemas.openxmlformats.org/officeDocument/2006/relationships/hyperlink" Target="http://www.fcc.gov/document/modernizing-fcc-form-477-data-program-et-al" TargetMode="External"/><Relationship Id="rId511" Type="http://schemas.openxmlformats.org/officeDocument/2006/relationships/hyperlink" Target="http://www.starbucks.com/coffeehouse/wireless-internet" TargetMode="External"/><Relationship Id="rId553" Type="http://schemas.openxmlformats.org/officeDocument/2006/relationships/hyperlink" Target="http://wireless.fcc.gov/auctions/12/" TargetMode="External"/><Relationship Id="rId85" Type="http://schemas.openxmlformats.org/officeDocument/2006/relationships/hyperlink" Target="http://stakeholders.ofcom.org.uk/binaries/consultations/award-800mhz/statement/Statement-summary.pdf" TargetMode="External"/><Relationship Id="rId150" Type="http://schemas.openxmlformats.org/officeDocument/2006/relationships/hyperlink" Target="https://www.straighttalk.com/secure/ServicePlans" TargetMode="External"/><Relationship Id="rId192" Type="http://schemas.openxmlformats.org/officeDocument/2006/relationships/hyperlink" Target="http://www.fiercewireless.com/story/metropcs-our-new-plans-comply-fccs-net-neutrality-order/2011-01-12" TargetMode="External"/><Relationship Id="rId206" Type="http://schemas.openxmlformats.org/officeDocument/2006/relationships/hyperlink" Target="http://www.att.com/shop/wireless/returnpolicy.html?" TargetMode="External"/><Relationship Id="rId413" Type="http://schemas.openxmlformats.org/officeDocument/2006/relationships/hyperlink" Target="http://www.rcrwireless.com/article/20120626/tower/sba-to-acquire-towerco-for-1-45b/" TargetMode="External"/><Relationship Id="rId248" Type="http://schemas.openxmlformats.org/officeDocument/2006/relationships/hyperlink" Target="http://www.pcmag.com/article2/0,2817,2404184,00.asp" TargetMode="External"/><Relationship Id="rId455" Type="http://schemas.openxmlformats.org/officeDocument/2006/relationships/hyperlink" Target="http://www.bestbuy.com" TargetMode="External"/><Relationship Id="rId497" Type="http://schemas.openxmlformats.org/officeDocument/2006/relationships/hyperlink" Target="http://www.census.gov/econ/aces/index.html" TargetMode="External"/><Relationship Id="rId12" Type="http://schemas.openxmlformats.org/officeDocument/2006/relationships/hyperlink" Target="http://www.cdc.gov/nchs/data/nhis/earlyrelease/wireless201206.pdf" TargetMode="External"/><Relationship Id="rId108" Type="http://schemas.openxmlformats.org/officeDocument/2006/relationships/hyperlink" Target="http://bits.blogs.nytimes.com/2012/03/01/limited-unlimited-data/" TargetMode="External"/><Relationship Id="rId315" Type="http://schemas.openxmlformats.org/officeDocument/2006/relationships/hyperlink" Target="http://www.fiercemobilecontent.com/story/t-mobile-launches-mobile-ad-initiative-android-app/2011-06-14" TargetMode="External"/><Relationship Id="rId357" Type="http://schemas.openxmlformats.org/officeDocument/2006/relationships/hyperlink" Target="http://www.adweek.com/adfreak/william-kate-boogie-down-aisle-t-mobile-130675" TargetMode="External"/><Relationship Id="rId522" Type="http://schemas.openxmlformats.org/officeDocument/2006/relationships/hyperlink" Target="http://www.cincinnatibell.com/consumer/wireless/phones_and_devices/?view=fusionwifi" TargetMode="External"/><Relationship Id="rId54" Type="http://schemas.openxmlformats.org/officeDocument/2006/relationships/hyperlink" Target="http://www.cisco.com/en/US/solutions/collateral/ns341/ns525/ns537/ns705/ns827/white_paper_c11-520862.pdf" TargetMode="External"/><Relationship Id="rId96" Type="http://schemas.openxmlformats.org/officeDocument/2006/relationships/hyperlink" Target="http://support.verizonwireless.com/terms/products/vz_email.html" TargetMode="External"/><Relationship Id="rId161" Type="http://schemas.openxmlformats.org/officeDocument/2006/relationships/hyperlink" Target="http://www.fiercewireless.com/story/verizon-wireless-details-unleashed-50-prepaid-unlimited-plan/2011-04-26" TargetMode="External"/><Relationship Id="rId217" Type="http://schemas.openxmlformats.org/officeDocument/2006/relationships/hyperlink" Target="http://aboutus.vzw.com/bestnetwork/network_facts.html" TargetMode="External"/><Relationship Id="rId399" Type="http://schemas.openxmlformats.org/officeDocument/2006/relationships/hyperlink" Target="http://coverage.sprintpcs.com/IMPACT.jsp?PCode=vanity:coverage" TargetMode="External"/><Relationship Id="rId564" Type="http://schemas.openxmlformats.org/officeDocument/2006/relationships/hyperlink" Target="http://www.pcmag.com/article2/0,2817,2405597,00.asp" TargetMode="External"/><Relationship Id="rId259" Type="http://schemas.openxmlformats.org/officeDocument/2006/relationships/hyperlink" Target="http://newsroom.t-mobile.com/articles/t-mobile-expands-network-showcases-4g-at-ces" TargetMode="External"/><Relationship Id="rId424" Type="http://schemas.openxmlformats.org/officeDocument/2006/relationships/hyperlink" Target="http://www.att.com/gen/press-room?pid=22372&amp;cdvn=news&amp;newsarticleid=33858&amp;mapcode=corporate|wireless-networks-general" TargetMode="External"/><Relationship Id="rId466" Type="http://schemas.openxmlformats.org/officeDocument/2006/relationships/hyperlink" Target="http://www.research2guidance.com/android-market-will-become-the-biggest-mobile-content-platform-in-the-world-by-august-2011/" TargetMode="External"/><Relationship Id="rId23" Type="http://schemas.openxmlformats.org/officeDocument/2006/relationships/hyperlink" Target="http://www.spacedata.net/company.html" TargetMode="External"/><Relationship Id="rId119" Type="http://schemas.openxmlformats.org/officeDocument/2006/relationships/hyperlink" Target="http://www.fiercewireless.com/story/rumor-mill-t-mobile-replace-throttling-overage-fees-200-mb-plan/2011-08-11" TargetMode="External"/><Relationship Id="rId270" Type="http://schemas.openxmlformats.org/officeDocument/2006/relationships/hyperlink" Target="http://www.census.gov/geo/www/tiger/tgrshp2010/documentation.html" TargetMode="External"/><Relationship Id="rId326" Type="http://schemas.openxmlformats.org/officeDocument/2006/relationships/hyperlink" Target="http://www.fiercewireless.com/story/verizon-challenges-other-carriers-network-speeds-4g-throw-down/2012-04-05" TargetMode="External"/><Relationship Id="rId533" Type="http://schemas.openxmlformats.org/officeDocument/2006/relationships/hyperlink" Target="http://www.ntia.doc.gov/files/ntia/publications/fasttrackevaluation_11152010.pdf" TargetMode="External"/><Relationship Id="rId65" Type="http://schemas.openxmlformats.org/officeDocument/2006/relationships/hyperlink" Target="http://www.fcc.gov/encyclopedia/narrowband-personal-communications-service-pcs" TargetMode="External"/><Relationship Id="rId130" Type="http://schemas.openxmlformats.org/officeDocument/2006/relationships/hyperlink" Target="http://www.fiercewireless.com/story/sprint-increases-unlimited-smartphone-data-10-month/2011-01-18" TargetMode="External"/><Relationship Id="rId368" Type="http://schemas.openxmlformats.org/officeDocument/2006/relationships/hyperlink" Target="http://pewinternet.org/Reports/2012/Teens-and-smartphones/Summary-of-findings.aspx" TargetMode="External"/><Relationship Id="rId172" Type="http://schemas.openxmlformats.org/officeDocument/2006/relationships/hyperlink" Target="http://www.fiercewireless.com/story/metropcs-promotion-unlimited-everything-25-minimum-4-lines/2011-10-27" TargetMode="External"/><Relationship Id="rId228" Type="http://schemas.openxmlformats.org/officeDocument/2006/relationships/hyperlink" Target="http://news.verizonwireless.com/news/2012/05/4g-lte-goes-live-in-rural-america.html" TargetMode="External"/><Relationship Id="rId435" Type="http://schemas.openxmlformats.org/officeDocument/2006/relationships/hyperlink" Target="http://blog.nielsen.com/nielsenwire/consumer/more-us-consumers-choosing-smartphones-as-apple-closes-the-gap-on-android/" TargetMode="External"/><Relationship Id="rId477" Type="http://schemas.openxmlformats.org/officeDocument/2006/relationships/hyperlink" Target="http://www.ibtimes.com/articles/373841/20120815/mobile-banking-united-states-bank-account-holders.htm" TargetMode="External"/><Relationship Id="rId281" Type="http://schemas.openxmlformats.org/officeDocument/2006/relationships/hyperlink" Target="http://www.metropcs.com/plans/" TargetMode="External"/><Relationship Id="rId337" Type="http://schemas.openxmlformats.org/officeDocument/2006/relationships/hyperlink" Target="http://www.adweek.com/adfreak/sprint-users-always-always-out-touch-11613" TargetMode="External"/><Relationship Id="rId502" Type="http://schemas.openxmlformats.org/officeDocument/2006/relationships/hyperlink" Target="http://www.amtrak.com/servlet/ContentServer/AM_Content_C/1246044325520/1237405732514" TargetMode="External"/><Relationship Id="rId34" Type="http://schemas.openxmlformats.org/officeDocument/2006/relationships/hyperlink" Target="http://www.census.gov/geo/www/tiger/tgrshp2010/documentation.html" TargetMode="External"/><Relationship Id="rId76" Type="http://schemas.openxmlformats.org/officeDocument/2006/relationships/hyperlink" Target="http://www.att.com/gen/press-room?pid=22146&amp;cdvn=news&amp;newsarticleid=33560" TargetMode="External"/><Relationship Id="rId141" Type="http://schemas.openxmlformats.org/officeDocument/2006/relationships/hyperlink" Target="http://www.fiercewireless.com/story/npd-tablet-users-increasingly-favor-wi-fi-over-cellular-connections/2011-12-12" TargetMode="External"/><Relationship Id="rId379" Type="http://schemas.openxmlformats.org/officeDocument/2006/relationships/hyperlink" Target="http://www.fiercewireless.com/story/entner-what-price-megabyte-wireless-data/2011-04-13" TargetMode="External"/><Relationship Id="rId544" Type="http://schemas.openxmlformats.org/officeDocument/2006/relationships/hyperlink" Target="http://www.telegeography.com/products/commsupdate/articles/2012/03/28/two-verizon-rural-lte-partners-nearing-launch-scheme-gains-two-new-operators/" TargetMode="External"/><Relationship Id="rId7" Type="http://schemas.openxmlformats.org/officeDocument/2006/relationships/hyperlink" Target="http://www.apple.com/iphone/from-the-app-store/" TargetMode="External"/><Relationship Id="rId183" Type="http://schemas.openxmlformats.org/officeDocument/2006/relationships/hyperlink" Target="http://www.fiercewireless.com/story/leap-experimenting-new-unlimited-broadband-plans/2010-04-28" TargetMode="External"/><Relationship Id="rId239" Type="http://schemas.openxmlformats.org/officeDocument/2006/relationships/hyperlink" Target="http://www.att.com/network/" TargetMode="External"/><Relationship Id="rId390" Type="http://schemas.openxmlformats.org/officeDocument/2006/relationships/hyperlink" Target="http://www.fcc.gov/events/mobile-broadband-services-testing-and-measurement-program;%20%20(visited" TargetMode="External"/><Relationship Id="rId404" Type="http://schemas.openxmlformats.org/officeDocument/2006/relationships/hyperlink" Target="http://www.fcc.gov/blog/new-fcc-website-help-consumers-beat-%E2%80%98bill-shock%E2%80%99" TargetMode="External"/><Relationship Id="rId446" Type="http://schemas.openxmlformats.org/officeDocument/2006/relationships/hyperlink" Target="http://www.comscore.com/Press_Events/Press_Releases/2011/11/comScore_Reports_September_2011_U.S._Mobile_Subscriber_Market_Share" TargetMode="External"/><Relationship Id="rId250" Type="http://schemas.openxmlformats.org/officeDocument/2006/relationships/hyperlink" Target="http://www.pcmag.com/article2/0,2817,2404184,00.asp" TargetMode="External"/><Relationship Id="rId292" Type="http://schemas.openxmlformats.org/officeDocument/2006/relationships/hyperlink" Target="http://www.fiercewireless.com/story/leap-launches-prepaid-iphone-little-fanfare-says-sales-were-brisk/2012-06-25" TargetMode="External"/><Relationship Id="rId306" Type="http://schemas.openxmlformats.org/officeDocument/2006/relationships/hyperlink" Target="http://www.bgr.com/2012/06/13/t-mobile-verizon-family-plan-comparison-criticism/" TargetMode="External"/><Relationship Id="rId488" Type="http://schemas.openxmlformats.org/officeDocument/2006/relationships/hyperlink" Target="http://files.ctia.org/pdf/CTIA_Survey_Year_End_2009_Graphics.pdf" TargetMode="External"/><Relationship Id="rId45" Type="http://schemas.openxmlformats.org/officeDocument/2006/relationships/hyperlink" Target="http://www.coxenterprises.com/media/35045/cox_09_annual.pdf" TargetMode="External"/><Relationship Id="rId87" Type="http://schemas.openxmlformats.org/officeDocument/2006/relationships/hyperlink" Target="http://wireless.fcc.gov/auctions/default.htm?job=auction_summary&amp;id=73" TargetMode="External"/><Relationship Id="rId110" Type="http://schemas.openxmlformats.org/officeDocument/2006/relationships/hyperlink" Target="http://online.wsj.com/article/SB10001424052702303901504577462241394886300.html" TargetMode="External"/><Relationship Id="rId348" Type="http://schemas.openxmlformats.org/officeDocument/2006/relationships/hyperlink" Target="http://adage.com/article/news/sprint-drops-network-tagline-beatles-ditty/226924/" TargetMode="External"/><Relationship Id="rId513" Type="http://schemas.openxmlformats.org/officeDocument/2006/relationships/hyperlink" Target="http://www.barnesandnoble.com/u/Wi-fi-at-Barnes-and-Noble/379001240/?cds2Pid=27242&amp;linkid=1594157" TargetMode="External"/><Relationship Id="rId555" Type="http://schemas.openxmlformats.org/officeDocument/2006/relationships/hyperlink" Target="http://wireless.fcc.gov/auctions/477" TargetMode="External"/><Relationship Id="rId152" Type="http://schemas.openxmlformats.org/officeDocument/2006/relationships/hyperlink" Target="http://www.fiercewireless.com/story/verizon-launch-unleashed-50-unlimited-prepaid-plan-nationwide-thursday/2011-09-13" TargetMode="External"/><Relationship Id="rId194" Type="http://schemas.openxmlformats.org/officeDocument/2006/relationships/hyperlink" Target="http://www.fiercewireless.com/story/metropcs-launches-55-unlimited-lte-rate-plan/2012-08-21" TargetMode="External"/><Relationship Id="rId208" Type="http://schemas.openxmlformats.org/officeDocument/2006/relationships/hyperlink" Target="http://www.sprint.com/landings/returns/" TargetMode="External"/><Relationship Id="rId415" Type="http://schemas.openxmlformats.org/officeDocument/2006/relationships/hyperlink" Target="http://www.fiercewireless.com/story/report-crown-castle-emerges-top-bidder-t-mobiles-towers/2012-08-01" TargetMode="External"/><Relationship Id="rId457" Type="http://schemas.openxmlformats.org/officeDocument/2006/relationships/hyperlink" Target="http://www.nokiausa.com/" TargetMode="External"/><Relationship Id="rId261" Type="http://schemas.openxmlformats.org/officeDocument/2006/relationships/hyperlink" Target="http://www.telekom.com/media/company/164844" TargetMode="External"/><Relationship Id="rId499" Type="http://schemas.openxmlformats.org/officeDocument/2006/relationships/hyperlink" Target="http://files.ctia.org/pdf/CTIA_Survey_Year_End_2009_Graphics.pdf" TargetMode="External"/><Relationship Id="rId14" Type="http://schemas.openxmlformats.org/officeDocument/2006/relationships/hyperlink" Target="http://wireless.fcc.gov/index.htm?job=cmrs_reports" TargetMode="External"/><Relationship Id="rId56" Type="http://schemas.openxmlformats.org/officeDocument/2006/relationships/hyperlink" Target="http://blog.nielsen.com/nielsenwire/online_mobile/survey-new-u-s-smartphone-growth-by-age-and-income/" TargetMode="External"/><Relationship Id="rId317" Type="http://schemas.openxmlformats.org/officeDocument/2006/relationships/hyperlink" Target="http://adage.com/article/news/warner-bros-verizon-link-inception-marketing-stunt/144876/" TargetMode="External"/><Relationship Id="rId359" Type="http://schemas.openxmlformats.org/officeDocument/2006/relationships/hyperlink" Target="http://adage.com/article/digitalnext/verizon-s-iphone-ad-debuts-youtube/148364/" TargetMode="External"/><Relationship Id="rId524" Type="http://schemas.openxmlformats.org/officeDocument/2006/relationships/hyperlink" Target="http://www.comscore.com/Insights/Press_Releases/2012/4/iPhones_Have_Significantly_Higher_Rates_of_Wi-Fi_Utilization" TargetMode="External"/><Relationship Id="rId566" Type="http://schemas.openxmlformats.org/officeDocument/2006/relationships/hyperlink" Target="http://www.rootmetrics.com/compare-carriers/" TargetMode="External"/><Relationship Id="rId98" Type="http://schemas.openxmlformats.org/officeDocument/2006/relationships/hyperlink" Target="http://www.fiercewireless.com/story/sprint-launch-iphone-4s-oct-12-along-att-verizon/2011-10-04" TargetMode="External"/><Relationship Id="rId121" Type="http://schemas.openxmlformats.org/officeDocument/2006/relationships/hyperlink" Target="http://www.fiercewireless.com/story/t-mobile-quietly-launches-tiered-data-plans-smartphones/2011-05-23" TargetMode="External"/><Relationship Id="rId163" Type="http://schemas.openxmlformats.org/officeDocument/2006/relationships/hyperlink" Target="http://www.fiercewireless.com/story/t-mobile-launches-new-monthly-and-pay-day-plans/2011-10-18" TargetMode="External"/><Relationship Id="rId219" Type="http://schemas.openxmlformats.org/officeDocument/2006/relationships/hyperlink" Target="http://www.telecompetitor.com/nemont-partners-with-verizon-for-rural-lte-program/.(visited" TargetMode="External"/><Relationship Id="rId370" Type="http://schemas.openxmlformats.org/officeDocument/2006/relationships/hyperlink" Target="http://www.pewinternet.org/Reports/2012/Teens-and-smartphones/Summary-of-findings.aspx" TargetMode="External"/><Relationship Id="rId426" Type="http://schemas.openxmlformats.org/officeDocument/2006/relationships/hyperlink" Target="http://seekingalpha.com/article/743221-at-amp-t-s-management-discusses-q2-2012-results-earnings-call-transcript" TargetMode="External"/><Relationship Id="rId230" Type="http://schemas.openxmlformats.org/officeDocument/2006/relationships/hyperlink" Target="http://www.cellcom.com" TargetMode="External"/><Relationship Id="rId468" Type="http://schemas.openxmlformats.org/officeDocument/2006/relationships/hyperlink" Target="http://gigaom.com/2011/12/30/by-the-numbers-mobile-apps-in-2011/" TargetMode="External"/><Relationship Id="rId25" Type="http://schemas.openxmlformats.org/officeDocument/2006/relationships/hyperlink" Target="http://www.att.com/gen/press-room?pid=18505&amp;cdvn=news&amp;newsarticleid=31218&amp;mapcode=enterprise" TargetMode="External"/><Relationship Id="rId67" Type="http://schemas.openxmlformats.org/officeDocument/2006/relationships/hyperlink" Target="http://www.sprint.com/companyinfo/history/" TargetMode="External"/><Relationship Id="rId272" Type="http://schemas.openxmlformats.org/officeDocument/2006/relationships/hyperlink" Target="ftp://ftp2.census.gov/geo/tiger/TIGER2010/" TargetMode="External"/><Relationship Id="rId328" Type="http://schemas.openxmlformats.org/officeDocument/2006/relationships/hyperlink" Target="http://www.adweek.com/adfreak/single-grunt-random-actor-makes-att-spot-explode-136465" TargetMode="External"/><Relationship Id="rId535" Type="http://schemas.openxmlformats.org/officeDocument/2006/relationships/hyperlink" Target="http://www.census.gov/geo/www/tiger/tgrshp2010/documentation.html" TargetMode="External"/><Relationship Id="rId132" Type="http://schemas.openxmlformats.org/officeDocument/2006/relationships/hyperlink" Target="http://www.fiercewireless.com/story/sprint-scolds-verizons-tiered-data-plans-new-unlimited-ads/2011-07-12" TargetMode="External"/><Relationship Id="rId174" Type="http://schemas.openxmlformats.org/officeDocument/2006/relationships/hyperlink" Target="http://www.fiercewireless.com/story/t-mobile-quietly-launches-tiered-data-plans-smartphones/2011-05-23" TargetMode="External"/><Relationship Id="rId381" Type="http://schemas.openxmlformats.org/officeDocument/2006/relationships/hyperlink" Target="http://www.nytimes.com/2011/10/10/technology/paying-to-text-is-becoming-passe-companies-fret.html?pagewanted=all" TargetMode="External"/><Relationship Id="rId241" Type="http://schemas.openxmlformats.org/officeDocument/2006/relationships/hyperlink" Target="http://www.fiercewireless.com/story/att-t-mobile-wrangling-over-who-has-largest-4g-network/2012-04-18" TargetMode="External"/><Relationship Id="rId437" Type="http://schemas.openxmlformats.org/officeDocument/2006/relationships/hyperlink" Target="http://wireless.fcc.gov/hac/index.htm?job=home" TargetMode="External"/><Relationship Id="rId479" Type="http://schemas.openxmlformats.org/officeDocument/2006/relationships/hyperlink" Target="https://www.chase.com/index.jsp?pg_name=ccpmapp/shared/assets/page/Chase_Mobile_Banking" TargetMode="External"/><Relationship Id="rId36" Type="http://schemas.openxmlformats.org/officeDocument/2006/relationships/hyperlink" Target="ftp://ftp2.census.gov/geo/tiger/TIGER2010/" TargetMode="External"/><Relationship Id="rId283" Type="http://schemas.openxmlformats.org/officeDocument/2006/relationships/hyperlink" Target="http://www.uscellular.com/uscellular/plans/showPlans.jsp?type=plans&amp;plan-selector-type=individual" TargetMode="External"/><Relationship Id="rId339" Type="http://schemas.openxmlformats.org/officeDocument/2006/relationships/hyperlink" Target="http://www.youtube.com/watch?v=sOLm23MBWXI&amp;feature=plcp" TargetMode="External"/><Relationship Id="rId490" Type="http://schemas.openxmlformats.org/officeDocument/2006/relationships/hyperlink" Target="http://files.ctia.org/pdf/CTIA_Survey_Year_End_2009_Graphics.pdf" TargetMode="External"/><Relationship Id="rId504" Type="http://schemas.openxmlformats.org/officeDocument/2006/relationships/hyperlink" Target="http://hotspotr.com/wifi" TargetMode="External"/><Relationship Id="rId546" Type="http://schemas.openxmlformats.org/officeDocument/2006/relationships/hyperlink" Target="http://www.telecompetitor.com/pioneer-cellular-is-first-verizon-rural-partner-to-launch-4g-lte/" TargetMode="External"/><Relationship Id="rId78" Type="http://schemas.openxmlformats.org/officeDocument/2006/relationships/hyperlink" Target="http://www.gsmworld.com/our-work/public-policy/spectrum/digital-dividend/impact_of_spectrum_allocation.htm" TargetMode="External"/><Relationship Id="rId101" Type="http://schemas.openxmlformats.org/officeDocument/2006/relationships/hyperlink" Target="http://www.fiercewireless.com/story/verizon-confirms-it-will-ditch-unlimited-smartphone-data-plans-starting-jul/2011-07-05" TargetMode="External"/><Relationship Id="rId143" Type="http://schemas.openxmlformats.org/officeDocument/2006/relationships/hyperlink" Target="http://shop.sprint.com/mysprint/shop/phone_wall.jsp?flow=&amp;tabId=dvcTab1820005&amp;filterString=tablet&amp;isDeeplinked=true&amp;INTNAV=ATG:HE:Tablets" TargetMode="External"/><Relationship Id="rId185" Type="http://schemas.openxmlformats.org/officeDocument/2006/relationships/hyperlink" Target="http://phx.corporate-ir.net/phoenix.zhtml?c=95536&amp;p=irol-newsArticle&amp;ID=1729505&amp;highlight=" TargetMode="External"/><Relationship Id="rId350" Type="http://schemas.openxmlformats.org/officeDocument/2006/relationships/hyperlink" Target="http://adage.com/article/the-viral-video-chart/t-mobile-doubles-carly-web-videos/234519/" TargetMode="External"/><Relationship Id="rId406" Type="http://schemas.openxmlformats.org/officeDocument/2006/relationships/hyperlink" Target="http://www.fcc.gov/encyclopedia/bill-shock-wireless-usage-alerts-consumers" TargetMode="External"/><Relationship Id="rId9" Type="http://schemas.openxmlformats.org/officeDocument/2006/relationships/hyperlink" Target="http://www.cdc.gov/nchs/data/nhis/earlyrelease/wireless201206.pdf" TargetMode="External"/><Relationship Id="rId210" Type="http://schemas.openxmlformats.org/officeDocument/2006/relationships/hyperlink" Target="http://www.trademycellular.com" TargetMode="External"/><Relationship Id="rId392" Type="http://schemas.openxmlformats.org/officeDocument/2006/relationships/hyperlink" Target="http://transition.fcc.gov/Daily_Releases/Daily_Business/2012/db0904/DA-12-1442A1.pdf%20%20(visited" TargetMode="External"/><Relationship Id="rId427" Type="http://schemas.openxmlformats.org/officeDocument/2006/relationships/hyperlink" Target="http://blog.t-mobile.com/2012/08/01/t-mobiles-backhaul-strategy-key-to-a-competitive-4g-experience/" TargetMode="External"/><Relationship Id="rId448" Type="http://schemas.openxmlformats.org/officeDocument/2006/relationships/hyperlink" Target="http://www.comscore.com/Press_Events/Press_Releases/2012/9/comScore_Reports_July_2012_U.S._Mobile_Subscriber_Market_Share" TargetMode="External"/><Relationship Id="rId469" Type="http://schemas.openxmlformats.org/officeDocument/2006/relationships/hyperlink" Target="http://www.mobile88.com/news/read.asp?file=/2011/2/1/20110131122310&amp;phone=Nokia-Ovi_Store-app" TargetMode="External"/><Relationship Id="rId26" Type="http://schemas.openxmlformats.org/officeDocument/2006/relationships/hyperlink" Target="http://www.census.gov/geo/www/tiger/tgrshp2010/documentation.html" TargetMode="External"/><Relationship Id="rId231" Type="http://schemas.openxmlformats.org/officeDocument/2006/relationships/hyperlink" Target="http://gigaom.com/broadband/pioneer-launches-rural-lte-over-verizon-spectrum/" TargetMode="External"/><Relationship Id="rId252" Type="http://schemas.openxmlformats.org/officeDocument/2006/relationships/hyperlink" Target="http://newsroom.sprint.com/article_display.cfm?article_id=2121" TargetMode="External"/><Relationship Id="rId273" Type="http://schemas.openxmlformats.org/officeDocument/2006/relationships/hyperlink" Target="http://www.census.gov/geo/www/tiger/tgrshp2010/documentation.html" TargetMode="External"/><Relationship Id="rId294" Type="http://schemas.openxmlformats.org/officeDocument/2006/relationships/hyperlink" Target="http://www.cspire.com/shop_and_learn/iphone/" TargetMode="External"/><Relationship Id="rId308" Type="http://schemas.openxmlformats.org/officeDocument/2006/relationships/hyperlink" Target="http://www.verizonwireless.com/b2c/store/controller?item=phoneFirst&amp;action=viewPhoneDetail&amp;selectedPhoneId=5824&amp;cmp=EXL-EGUIDE-ENGLISH-DEVICES-DROID-XYBOARD-10.1-BY-MOTOROLA-64-GB1" TargetMode="External"/><Relationship Id="rId329" Type="http://schemas.openxmlformats.org/officeDocument/2006/relationships/hyperlink" Target="http://www.adweek.com/adfreak/att-romantic-dinners-are-about-love-game-136652" TargetMode="External"/><Relationship Id="rId480" Type="http://schemas.openxmlformats.org/officeDocument/2006/relationships/hyperlink" Target="https://online.citibank.com/US/JRS/pands/detail.do?ID=CitiMobile" TargetMode="External"/><Relationship Id="rId515" Type="http://schemas.openxmlformats.org/officeDocument/2006/relationships/hyperlink" Target="https://selfcare.hotspot.t-mobile.com/services_plans.do" TargetMode="External"/><Relationship Id="rId536" Type="http://schemas.openxmlformats.org/officeDocument/2006/relationships/hyperlink" Target="http://www.census.gov/geo/www/tiger/rel_file_desc.pdf" TargetMode="External"/><Relationship Id="rId47" Type="http://schemas.openxmlformats.org/officeDocument/2006/relationships/hyperlink" Target="http://www.informationweek.com/news/mobility/3G/229625643" TargetMode="External"/><Relationship Id="rId68" Type="http://schemas.openxmlformats.org/officeDocument/2006/relationships/hyperlink" Target="http://newsroom.sprint.com/article_display.cfm?article_id=2296&amp;ECID=vanity:nextelnetwork" TargetMode="External"/><Relationship Id="rId89" Type="http://schemas.openxmlformats.org/officeDocument/2006/relationships/hyperlink" Target="http://www.gsacom.com/downloads/pdf/GSA_IEEE_articles1209.php4" TargetMode="External"/><Relationship Id="rId112" Type="http://schemas.openxmlformats.org/officeDocument/2006/relationships/hyperlink" Target="http://online.wsj.com/article/SB10001424052702303901504577462241394886300.html" TargetMode="External"/><Relationship Id="rId133" Type="http://schemas.openxmlformats.org/officeDocument/2006/relationships/hyperlink" Target="http://www.fiercewireless.com/story/sprint-confirms-unlimited-data-plans-iphone-4s-and-iphone-4/2011-10-06" TargetMode="External"/><Relationship Id="rId154" Type="http://schemas.openxmlformats.org/officeDocument/2006/relationships/hyperlink" Target="http://www.fiercewireless.com/story/report-verizon-testing-50-prepaid-unlimited-plan/2010-07-22" TargetMode="External"/><Relationship Id="rId175" Type="http://schemas.openxmlformats.org/officeDocument/2006/relationships/hyperlink" Target="http://www.fiercewireless.com/story/boost-mobile-tacking-5-charge-unlimited-android-phone-bill/2011-09-16" TargetMode="External"/><Relationship Id="rId340" Type="http://schemas.openxmlformats.org/officeDocument/2006/relationships/hyperlink" Target="http://www.adweek.com/news/advertising-branding/sprint-dictionary-130495" TargetMode="External"/><Relationship Id="rId361" Type="http://schemas.openxmlformats.org/officeDocument/2006/relationships/hyperlink" Target="http://www.fiercewireless.com/story/leap-expands-cricket-brand-nationwide-best-buy-retail-deal/2011-09-22" TargetMode="External"/><Relationship Id="rId557" Type="http://schemas.openxmlformats.org/officeDocument/2006/relationships/hyperlink" Target="http://wireless.fcc.gov/auctions/" TargetMode="External"/><Relationship Id="rId196" Type="http://schemas.openxmlformats.org/officeDocument/2006/relationships/hyperlink" Target="http://online.wsj.com/article/0,,SB123614292392926907,00.html" TargetMode="External"/><Relationship Id="rId200" Type="http://schemas.openxmlformats.org/officeDocument/2006/relationships/hyperlink" Target="http://www.tmobile.com" TargetMode="External"/><Relationship Id="rId382" Type="http://schemas.openxmlformats.org/officeDocument/2006/relationships/hyperlink" Target="http://www.nytimes.com/2011/10/10/technology/paying-to-text-is-becoming-passe-companies-fret.html?pagewanted=all" TargetMode="External"/><Relationship Id="rId417" Type="http://schemas.openxmlformats.org/officeDocument/2006/relationships/hyperlink" Target="http://www.rcrwireless.com/article/20120626/tower/sba-to-acquire-towerco-for-1-45b/" TargetMode="External"/><Relationship Id="rId438" Type="http://schemas.openxmlformats.org/officeDocument/2006/relationships/hyperlink" Target="http://wireless.fcc.gov/hac/index.htm?job=home" TargetMode="External"/><Relationship Id="rId459" Type="http://schemas.openxmlformats.org/officeDocument/2006/relationships/hyperlink" Target="http://www.tmobile.com/shop/Packages/ValuePackages.aspx" TargetMode="External"/><Relationship Id="rId16" Type="http://schemas.openxmlformats.org/officeDocument/2006/relationships/hyperlink" Target="http://www.tracfone.com/facelift/tour.jsp" TargetMode="External"/><Relationship Id="rId221" Type="http://schemas.openxmlformats.org/officeDocument/2006/relationships/hyperlink" Target="https://bluegrasscellular.com/index.php/about/news/bluegrass_launches_4g_lte_network" TargetMode="External"/><Relationship Id="rId242" Type="http://schemas.openxmlformats.org/officeDocument/2006/relationships/hyperlink" Target="http://www.pcmag.com/article2/0,2817,2404184,00.asp" TargetMode="External"/><Relationship Id="rId263" Type="http://schemas.openxmlformats.org/officeDocument/2006/relationships/hyperlink" Target="http://investor.metropcs.com/phoenix.zhtml?c=177745&amp;p=irol-newsArticle&amp;ID=1473355&amp;highlight" TargetMode="External"/><Relationship Id="rId284" Type="http://schemas.openxmlformats.org/officeDocument/2006/relationships/hyperlink" Target="http://www.uscellular.com/coverage-map/index.html" TargetMode="External"/><Relationship Id="rId319" Type="http://schemas.openxmlformats.org/officeDocument/2006/relationships/hyperlink" Target="http://kantarmediana.com/intelligence/press/us-advertising-expenditures-increased-08-percent-2011?destination=node%2F24%2Fpress" TargetMode="External"/><Relationship Id="rId470" Type="http://schemas.openxmlformats.org/officeDocument/2006/relationships/hyperlink" Target="http://store.ovi.com/cotent/10683" TargetMode="External"/><Relationship Id="rId491" Type="http://schemas.openxmlformats.org/officeDocument/2006/relationships/hyperlink" Target="http://apps.fcc.gov/ecfs/document/view;jsessionid=KKDdQLCSVmlSq66DvmdylQLdn1BKnfcs1K4HhQvy1RPzrFzFJQKs!1007083101!-224088840?id=7022009489" TargetMode="External"/><Relationship Id="rId505" Type="http://schemas.openxmlformats.org/officeDocument/2006/relationships/hyperlink" Target="http://allthingsd.com/20120521/five-cable-firms-to-share-wi-fi-hot-spots/" TargetMode="External"/><Relationship Id="rId526" Type="http://schemas.openxmlformats.org/officeDocument/2006/relationships/hyperlink" Target="http://www.fiercewireless.com/story/npd-tablet-users-increasingly-favor-wi-fi-over-cellular-connections/2011-12-12" TargetMode="External"/><Relationship Id="rId37" Type="http://schemas.openxmlformats.org/officeDocument/2006/relationships/hyperlink" Target="http://www.telefonicapr.com/" TargetMode="External"/><Relationship Id="rId58" Type="http://schemas.openxmlformats.org/officeDocument/2006/relationships/hyperlink" Target="http://www.whitehouse.gov/sites/default/files/cea_spectrum_report_2-21-2012.pdf" TargetMode="External"/><Relationship Id="rId79" Type="http://schemas.openxmlformats.org/officeDocument/2006/relationships/hyperlink" Target="http://www.nist.gov/itl/antd/emntg/700mhz.cfm" TargetMode="External"/><Relationship Id="rId102" Type="http://schemas.openxmlformats.org/officeDocument/2006/relationships/hyperlink" Target="http://www.fiercewireless.com/story/how-will-switching-usage-based-pricing-affect-verizon/2011-07-05" TargetMode="External"/><Relationship Id="rId123" Type="http://schemas.openxmlformats.org/officeDocument/2006/relationships/hyperlink" Target="http://www.fiercewireless.com/story/t-mobile-targets-sprint-cheaper-unlimited-smartphone-plans/2011-07-20" TargetMode="External"/><Relationship Id="rId144" Type="http://schemas.openxmlformats.org/officeDocument/2006/relationships/hyperlink" Target="http://www.fiercewireless.com/story/tracfones-straight-talk-android-phones-will-use-sprints-network/2011-09-09" TargetMode="External"/><Relationship Id="rId330" Type="http://schemas.openxmlformats.org/officeDocument/2006/relationships/hyperlink" Target="http://www.adweek.com/adfreak/att-fools-cute-and-gullible-animals-samsung-infuse-132579" TargetMode="External"/><Relationship Id="rId547" Type="http://schemas.openxmlformats.org/officeDocument/2006/relationships/hyperlink" Target="http://www.telecompetitor.com/nemont-partners-with-verizon-for-rural-lte-program/" TargetMode="External"/><Relationship Id="rId568" Type="http://schemas.openxmlformats.org/officeDocument/2006/relationships/hyperlink" Target="http://www.rootmetrics.com/how-it-works/" TargetMode="External"/><Relationship Id="rId90" Type="http://schemas.openxmlformats.org/officeDocument/2006/relationships/hyperlink" Target="http://www.sec.gov/Archives/edgar/data/101830/000119312512426578/d424777dex9929.htm" TargetMode="External"/><Relationship Id="rId165" Type="http://schemas.openxmlformats.org/officeDocument/2006/relationships/hyperlink" Target="http://newsroom.t-mobile.com/articles/t-mobile-offers-monthly4g-plans" TargetMode="External"/><Relationship Id="rId186" Type="http://schemas.openxmlformats.org/officeDocument/2006/relationships/hyperlink" Target="http://www.fiercewireless.com/story/leap-overhauls-rate-plans-adds-muve-music-all-android-plans/2012-08-29" TargetMode="External"/><Relationship Id="rId351" Type="http://schemas.openxmlformats.org/officeDocument/2006/relationships/hyperlink" Target="http://blogs.wsj.com/deals/2011/10/27/tv-ad-takes-potshot-at-attt-mobile-merger/" TargetMode="External"/><Relationship Id="rId372" Type="http://schemas.openxmlformats.org/officeDocument/2006/relationships/hyperlink" Target="http://www.cisco.com/en/US/netsol/ns827/networking_solutions_sub_solution.html" TargetMode="External"/><Relationship Id="rId393" Type="http://schemas.openxmlformats.org/officeDocument/2006/relationships/hyperlink" Target="http://transition.fcc.gov/Daily_Releases/Daily_Business/2012/db0904/DA-12-1442A1.pdf" TargetMode="External"/><Relationship Id="rId407" Type="http://schemas.openxmlformats.org/officeDocument/2006/relationships/hyperlink" Target="http://www.consumerreports.org/cro/electronics-computers/phones-mobile-devices/cell-phones-services/cell-phone-service-buying-advice/guide-to-cell-phone-carriers/cell-phone-service-ratings/cell-phone-service-ratings.htm" TargetMode="External"/><Relationship Id="rId428" Type="http://schemas.openxmlformats.org/officeDocument/2006/relationships/hyperlink" Target="http://www.cspire.com/company_info/about/news_detail.jsp?entryId=14500004" TargetMode="External"/><Relationship Id="rId449" Type="http://schemas.openxmlformats.org/officeDocument/2006/relationships/hyperlink" Target="http://wireless.fcc.gov/hac/index.htm?job=reports_sp" TargetMode="External"/><Relationship Id="rId211" Type="http://schemas.openxmlformats.org/officeDocument/2006/relationships/hyperlink" Target="http://www.celltradeusa.com" TargetMode="External"/><Relationship Id="rId232" Type="http://schemas.openxmlformats.org/officeDocument/2006/relationships/hyperlink" Target="http://www.telegeography.com/products/commsupdate/articles/2012/03/28/two-verizon-rural-lte-partners-nearing-launch-scheme-gains-two-new-operators/" TargetMode="External"/><Relationship Id="rId253" Type="http://schemas.openxmlformats.org/officeDocument/2006/relationships/hyperlink" Target="http://www.clearwire.com/company/featured-story" TargetMode="External"/><Relationship Id="rId274" Type="http://schemas.openxmlformats.org/officeDocument/2006/relationships/hyperlink" Target="http://www.census.gov/geo/www/tiger/rel_file_desc.pdf" TargetMode="External"/><Relationship Id="rId295" Type="http://schemas.openxmlformats.org/officeDocument/2006/relationships/hyperlink" Target="http://www.appalachianwireless.com/?page=phones&amp;sort=6" TargetMode="External"/><Relationship Id="rId309" Type="http://schemas.openxmlformats.org/officeDocument/2006/relationships/hyperlink" Target="http://www.droid-life.com/2012/06/12/verizon-share-everything-data-plans-applying-corporate-discounts-tablets-no-longer-subsidized-or-discounted/" TargetMode="External"/><Relationship Id="rId460" Type="http://schemas.openxmlformats.org/officeDocument/2006/relationships/hyperlink" Target="http://www.fcc.gov/events/700-mhz-interoperability-workshop" TargetMode="External"/><Relationship Id="rId481" Type="http://schemas.openxmlformats.org/officeDocument/2006/relationships/hyperlink" Target="http://www.pnc.com" TargetMode="External"/><Relationship Id="rId516" Type="http://schemas.openxmlformats.org/officeDocument/2006/relationships/hyperlink" Target="http://www.att.com/Common/about_us/files/pdf/wifi/Wi-Fi_at_a_Glance.pdf" TargetMode="External"/><Relationship Id="rId27" Type="http://schemas.openxmlformats.org/officeDocument/2006/relationships/hyperlink" Target="http://www.census.gov/geo/www/tiger/rel_file_desc.pdf" TargetMode="External"/><Relationship Id="rId48" Type="http://schemas.openxmlformats.org/officeDocument/2006/relationships/hyperlink" Target="http://www.bloomberg.com/news/2011-05-24/cox-communications-stops-building-3g-network-will-use-sprint-s.html" TargetMode="External"/><Relationship Id="rId69" Type="http://schemas.openxmlformats.org/officeDocument/2006/relationships/hyperlink" Target="http://wireless.fcc.gov/auctions/default.htm?job=auctions_home" TargetMode="External"/><Relationship Id="rId113" Type="http://schemas.openxmlformats.org/officeDocument/2006/relationships/hyperlink" Target="http://www.fiercewireless.com/story/entner-shared-data-pricing-has-arrived/2012-06-12" TargetMode="External"/><Relationship Id="rId134" Type="http://schemas.openxmlformats.org/officeDocument/2006/relationships/hyperlink" Target="http://www.fiercewireless.com/story/apples-iphone-4s-may-not-be-different-wireless-industry-now/2011-10-05" TargetMode="External"/><Relationship Id="rId320" Type="http://schemas.openxmlformats.org/officeDocument/2006/relationships/hyperlink" Target="http://kantarmediana.com/intelligence/press/us-advertising-expenditures-increased-65-percent-2010?destination=node%2F24%2Fpress%3Fpage%3D1" TargetMode="External"/><Relationship Id="rId537" Type="http://schemas.openxmlformats.org/officeDocument/2006/relationships/hyperlink" Target="ftp://ftp2.census.gov/geo/tiger/TIGER2010/" TargetMode="External"/><Relationship Id="rId558" Type="http://schemas.openxmlformats.org/officeDocument/2006/relationships/hyperlink" Target="http://newsroom.sprint.com/article_display.cfm?article_id=2296&amp;ECID=vanity:nextelnetwork" TargetMode="External"/><Relationship Id="rId80" Type="http://schemas.openxmlformats.org/officeDocument/2006/relationships/hyperlink" Target="http://client.uvault.com/2491/010611/news/vod/start.php" TargetMode="External"/><Relationship Id="rId155" Type="http://schemas.openxmlformats.org/officeDocument/2006/relationships/hyperlink" Target="http://www.fiercewireless.com/story/report-verizon-testing-50-prepaid-unlimited-plan/2010-07-22" TargetMode="External"/><Relationship Id="rId176" Type="http://schemas.openxmlformats.org/officeDocument/2006/relationships/hyperlink" Target="http://www.fiercewireless.com/story/virgin-mobile-raise-paylo-prices-drop-blackberry-add-fee/2011-07-11" TargetMode="External"/><Relationship Id="rId197" Type="http://schemas.openxmlformats.org/officeDocument/2006/relationships/hyperlink" Target="http://newsroom.t-mobile.com/articles/t-mobile-adds-new-monthly4g-plans" TargetMode="External"/><Relationship Id="rId341" Type="http://schemas.openxmlformats.org/officeDocument/2006/relationships/hyperlink" Target="http://www.adweek.com/news/advertising-branding/team-sprints-first-tv-spot-stars-durant-138697" TargetMode="External"/><Relationship Id="rId362" Type="http://schemas.openxmlformats.org/officeDocument/2006/relationships/hyperlink" Target="http://www.fiercewireless.com/story/leaps-cricket-expands-national-retail-presence-target-stores/2012-04-20" TargetMode="External"/><Relationship Id="rId383" Type="http://schemas.openxmlformats.org/officeDocument/2006/relationships/hyperlink" Target="http://www.nytimes.com/2011/10/10/technology/paying-to-text-is-becoming-passe-companies-fret.html?pagewanted=all" TargetMode="External"/><Relationship Id="rId418" Type="http://schemas.openxmlformats.org/officeDocument/2006/relationships/hyperlink" Target="http://www.rcrwireless.com/article/20120626/tower/sba-to-acquire-towerco-for-1-45b/" TargetMode="External"/><Relationship Id="rId439" Type="http://schemas.openxmlformats.org/officeDocument/2006/relationships/hyperlink" Target="http://wireless.fcc.gov/hac/index.htm?job=home" TargetMode="External"/><Relationship Id="rId201" Type="http://schemas.openxmlformats.org/officeDocument/2006/relationships/hyperlink" Target="http://www.t-mobile.com/shop/Packages/ValuePackages.aspx" TargetMode="External"/><Relationship Id="rId222" Type="http://schemas.openxmlformats.org/officeDocument/2006/relationships/hyperlink" Target="http://www.telecompetitor.com/pioneer-cellular-is-first-verizon-rural-partner-to-launch-4g-lte/" TargetMode="External"/><Relationship Id="rId243" Type="http://schemas.openxmlformats.org/officeDocument/2006/relationships/hyperlink" Target="http://news.cnet.com/8301-1035_3-20112095-94/sprint-to-launch-own-4g-lte-network-in-early-2012-scoop/" TargetMode="External"/><Relationship Id="rId264" Type="http://schemas.openxmlformats.org/officeDocument/2006/relationships/hyperlink" Target="http://investor.metropcs.com/phoenix.zhtml?c=177745&amp;p=irol-newsArticle&amp;ID=1475926&amp;highlight" TargetMode="External"/><Relationship Id="rId285" Type="http://schemas.openxmlformats.org/officeDocument/2006/relationships/hyperlink" Target="http://www.mycricket.com/coverage/glossary" TargetMode="External"/><Relationship Id="rId450" Type="http://schemas.openxmlformats.org/officeDocument/2006/relationships/hyperlink" Target="http://pewinternet.org/reports/2012/smartphone-update-2012.aspx" TargetMode="External"/><Relationship Id="rId471" Type="http://schemas.openxmlformats.org/officeDocument/2006/relationships/hyperlink" Target="http://www.informationweek.com/mobility/smart-phones/windows-phone-marketplace-hits-35000-app/231901571" TargetMode="External"/><Relationship Id="rId506" Type="http://schemas.openxmlformats.org/officeDocument/2006/relationships/hyperlink" Target="http://www.businesswire.com/news/home/20120521005484/en/Major-U.S.-Cable-Companies-Join-Forces-WiFi" TargetMode="External"/><Relationship Id="rId17" Type="http://schemas.openxmlformats.org/officeDocument/2006/relationships/hyperlink" Target="http://leapwireless.mediaroom.com/press-releases" TargetMode="External"/><Relationship Id="rId38" Type="http://schemas.openxmlformats.org/officeDocument/2006/relationships/hyperlink" Target="http://www.cspire.com/company_info/about/more_info.jsp" TargetMode="External"/><Relationship Id="rId59" Type="http://schemas.openxmlformats.org/officeDocument/2006/relationships/hyperlink" Target="http://www.ntia.doc.gov/reports/2010/TenYearPlan_11152010.pdf" TargetMode="External"/><Relationship Id="rId103" Type="http://schemas.openxmlformats.org/officeDocument/2006/relationships/hyperlink" Target="http://www.fiercewireless.com/story/verizon-double-lte-smartphone-data-allotments/2011-11-07" TargetMode="External"/><Relationship Id="rId124" Type="http://schemas.openxmlformats.org/officeDocument/2006/relationships/hyperlink" Target="http://www.telekom.com/static/-/162600/7/presentation-jl-si" TargetMode="External"/><Relationship Id="rId310" Type="http://schemas.openxmlformats.org/officeDocument/2006/relationships/hyperlink" Target="http://www.verizonwireless.com/b2c/store/controller?&amp;item=phoneFirst&amp;action=viewPhoneOverviewByDevice&amp;deviceCategoryId=12" TargetMode="External"/><Relationship Id="rId492" Type="http://schemas.openxmlformats.org/officeDocument/2006/relationships/hyperlink" Target="http://files.ctia.org/pdf/CTIA_Survey_Year_End_2009_Graphics.pdf" TargetMode="External"/><Relationship Id="rId527" Type="http://schemas.openxmlformats.org/officeDocument/2006/relationships/hyperlink" Target="http://republicwireless.com/how-it-works" TargetMode="External"/><Relationship Id="rId548" Type="http://schemas.openxmlformats.org/officeDocument/2006/relationships/hyperlink" Target="http://gigaom.com/broadband/pioneer-launches-rural-lte-over-verizon-spectrum/" TargetMode="External"/><Relationship Id="rId569" Type="http://schemas.openxmlformats.org/officeDocument/2006/relationships/hyperlink" Target="http://www.rootmetrics.com/compare-carriers/" TargetMode="External"/><Relationship Id="rId70" Type="http://schemas.openxmlformats.org/officeDocument/2006/relationships/hyperlink" Target="http://www.digitalbridgecommunications.com/AboutDBC/tabid/84/Default.aspx" TargetMode="External"/><Relationship Id="rId91" Type="http://schemas.openxmlformats.org/officeDocument/2006/relationships/hyperlink" Target="http://www.sec.gov/Archives/edgar/data/101830/000119312512426578/d424777dsc13da.htm" TargetMode="External"/><Relationship Id="rId145" Type="http://schemas.openxmlformats.org/officeDocument/2006/relationships/hyperlink" Target="http://www.fiercewireless.com/story/report-t-mobile-jumps-straight-talk-bandwagon/2010-08-04" TargetMode="External"/><Relationship Id="rId166" Type="http://schemas.openxmlformats.org/officeDocument/2006/relationships/hyperlink" Target="http://newsroom.t-mobile.com/articles/t-mobile-adds-new-monthly4g-plans" TargetMode="External"/><Relationship Id="rId187" Type="http://schemas.openxmlformats.org/officeDocument/2006/relationships/hyperlink" Target="http://phx.corporate-ir.net/phoenix.zhtml?c=95536&amp;p=irol-newsArticle&amp;ID=1729505&amp;highlight=" TargetMode="External"/><Relationship Id="rId331" Type="http://schemas.openxmlformats.org/officeDocument/2006/relationships/hyperlink" Target="http://adage.com/article/digital/t-spending-lumia-launch-iphone/234010/" TargetMode="External"/><Relationship Id="rId352" Type="http://schemas.openxmlformats.org/officeDocument/2006/relationships/hyperlink" Target="http://www.metropcs.com/metro/category/Why+MetroPCS/cat290017" TargetMode="External"/><Relationship Id="rId373" Type="http://schemas.openxmlformats.org/officeDocument/2006/relationships/hyperlink" Target="http://www.cisco.com/en/US/netsol/ns827/networking_solutions_sub_solution.html" TargetMode="External"/><Relationship Id="rId394" Type="http://schemas.openxmlformats.org/officeDocument/2006/relationships/hyperlink" Target="http://www.fiercewireless.com/story/entner-price-data-services-are-increasingly-important-part-choosing-wireles/2011-08-01" TargetMode="External"/><Relationship Id="rId408" Type="http://schemas.openxmlformats.org/officeDocument/2006/relationships/hyperlink" Target="http://www.theacsi.org/index.php?option=com_content&amp;view=article&amp;id=147&amp;catid=&amp;Itemid=212&amp;i=Wireless+Telephone+Service" TargetMode="External"/><Relationship Id="rId429" Type="http://schemas.openxmlformats.org/officeDocument/2006/relationships/hyperlink" Target="http://www.rcrwireless.com/ARTICLE/20100301/INFRASTRUCTURE/100309990/backhaul-options-diverse-for-4g-networks" TargetMode="External"/><Relationship Id="rId1" Type="http://schemas.openxmlformats.org/officeDocument/2006/relationships/hyperlink" Target="http://www.justice.gov/atr/public/guidelines/hmg-2010.pdf" TargetMode="External"/><Relationship Id="rId212" Type="http://schemas.openxmlformats.org/officeDocument/2006/relationships/hyperlink" Target="http://www.itu.int/net/pressoffice/press_releases/2010/48.aspx" TargetMode="External"/><Relationship Id="rId233" Type="http://schemas.openxmlformats.org/officeDocument/2006/relationships/hyperlink" Target="http://www.rcrwireless.com/article/20110912/carriers/verizon-wireless-adds-chariton-to-rural-lte-program/" TargetMode="External"/><Relationship Id="rId254" Type="http://schemas.openxmlformats.org/officeDocument/2006/relationships/hyperlink" Target="http://www.extremetech.com/extreme/129090-is-clearwire-the-savior-of-global-lte" TargetMode="External"/><Relationship Id="rId440" Type="http://schemas.openxmlformats.org/officeDocument/2006/relationships/hyperlink" Target="http://www.comscore.com/Insights/Press_Releases/2012/11/comScore_Reports_September_2012_U.S._Mobile_Subscriber_Market_Share" TargetMode="External"/><Relationship Id="rId28" Type="http://schemas.openxmlformats.org/officeDocument/2006/relationships/hyperlink" Target="ftp://ftp2.census.gov/geo/tiger/TIGER2010/" TargetMode="External"/><Relationship Id="rId49" Type="http://schemas.openxmlformats.org/officeDocument/2006/relationships/hyperlink" Target="http://transition.fcc.gov/transaction/tmobile-metropcs.html" TargetMode="External"/><Relationship Id="rId114" Type="http://schemas.openxmlformats.org/officeDocument/2006/relationships/hyperlink" Target="http://www.fiercewireless.com/story/entner-shared-data-pricing-has-arrived/2012-06-12" TargetMode="External"/><Relationship Id="rId275" Type="http://schemas.openxmlformats.org/officeDocument/2006/relationships/hyperlink" Target="ftp://ftp2.census.gov/geo/tiger/TIGER2010/" TargetMode="External"/><Relationship Id="rId296" Type="http://schemas.openxmlformats.org/officeDocument/2006/relationships/hyperlink" Target="http://www.cellcom.com/deviceCategory.html?categoryid=1&amp;navtype=personal" TargetMode="External"/><Relationship Id="rId300" Type="http://schemas.openxmlformats.org/officeDocument/2006/relationships/hyperlink" Target="http://www.pcworld.com/article/208154/mobile_hotspots_which_are_fastest_most_reliable.html" TargetMode="External"/><Relationship Id="rId461" Type="http://schemas.openxmlformats.org/officeDocument/2006/relationships/hyperlink" Target="http://pewinternet.org/Reports/2012/Just-in-time.aspx" TargetMode="External"/><Relationship Id="rId482" Type="http://schemas.openxmlformats.org/officeDocument/2006/relationships/hyperlink" Target="http://www.ibtimes.com/articles/373841/20120815/mobile-banking-united-states-bank-account-holders.htm" TargetMode="External"/><Relationship Id="rId517" Type="http://schemas.openxmlformats.org/officeDocument/2006/relationships/hyperlink" Target="https://selfcare.hotspot.t-mobile.com/services_plans.do" TargetMode="External"/><Relationship Id="rId538" Type="http://schemas.openxmlformats.org/officeDocument/2006/relationships/hyperlink" Target="http://www.broadbandmap.gov/download/reports/national-broadband-map-broadband-availability-in-rural-vs-urban-areas.pdf" TargetMode="External"/><Relationship Id="rId559" Type="http://schemas.openxmlformats.org/officeDocument/2006/relationships/hyperlink" Target="http://wireless.fcc.gov/auctions/73" TargetMode="External"/><Relationship Id="rId60" Type="http://schemas.openxmlformats.org/officeDocument/2006/relationships/hyperlink" Target="http://www.ntia.doc.gov/reports/2010/FastTrackEvaluation_11152010.pdf" TargetMode="External"/><Relationship Id="rId81" Type="http://schemas.openxmlformats.org/officeDocument/2006/relationships/hyperlink" Target="http://www.att.com/gen/press-room?pid=6209&amp;cat=66&amp;u=982" TargetMode="External"/><Relationship Id="rId135" Type="http://schemas.openxmlformats.org/officeDocument/2006/relationships/hyperlink" Target="http://www.fiercewireless.com/story/sprint-increases-unlimited-smartphone-data-10-month/2011-01-18" TargetMode="External"/><Relationship Id="rId156" Type="http://schemas.openxmlformats.org/officeDocument/2006/relationships/hyperlink" Target="http://www.fiercewireless.com/story/verizon-launch-unleashed-50-unlimited-prepaid-plan-nationwide-thursday/2011-09-13" TargetMode="External"/><Relationship Id="rId177" Type="http://schemas.openxmlformats.org/officeDocument/2006/relationships/hyperlink" Target="http://www.fiercewireless.com/story/virgin-mobile-begin-smartphone-data-throttling-march/2012-01-19" TargetMode="External"/><Relationship Id="rId198" Type="http://schemas.openxmlformats.org/officeDocument/2006/relationships/hyperlink" Target="http://www.fiercewireless.com/story/t-mobile-launches-new-monthly-and-pay-day-plans/2011-10-18" TargetMode="External"/><Relationship Id="rId321" Type="http://schemas.openxmlformats.org/officeDocument/2006/relationships/hyperlink" Target="http://kantarmediana.com/intelligence/press/us-advertising-expenditures-increased-65-percent-2010?destination=node%2F24%2Fpress%3Fpage%3D1" TargetMode="External"/><Relationship Id="rId342" Type="http://schemas.openxmlformats.org/officeDocument/2006/relationships/hyperlink" Target="http://www.youtube.com/user/sprintnow" TargetMode="External"/><Relationship Id="rId363" Type="http://schemas.openxmlformats.org/officeDocument/2006/relationships/hyperlink" Target="http://www.jdpower.com/content/press-release/ytOQWTp/2012-u-s-wireless-purchase-experience-studies--volume-1.htm" TargetMode="External"/><Relationship Id="rId384" Type="http://schemas.openxmlformats.org/officeDocument/2006/relationships/hyperlink" Target="http://www.nytimes.com/2011/10/10/technology/paying-to-text-is-becoming-passe-companies-fret.html?pagewanted=all" TargetMode="External"/><Relationship Id="rId419" Type="http://schemas.openxmlformats.org/officeDocument/2006/relationships/hyperlink" Target="http://www.rcrwireless.com/article/20120626/tower/sba-to-acquire-towerco-for-1-45b/" TargetMode="External"/><Relationship Id="rId202" Type="http://schemas.openxmlformats.org/officeDocument/2006/relationships/hyperlink" Target="http://www.wireless.att.com/learn/articles-resources/early-term-fees.jsp" TargetMode="External"/><Relationship Id="rId223" Type="http://schemas.openxmlformats.org/officeDocument/2006/relationships/hyperlink" Target="http://www.telecompetitor.com/nemont-partners-with-verizon-for-rural-lte-program/(visited" TargetMode="External"/><Relationship Id="rId244" Type="http://schemas.openxmlformats.org/officeDocument/2006/relationships/hyperlink" Target="http://newsroom.sprint.com/article_display.cfm?article_id=2180" TargetMode="External"/><Relationship Id="rId430" Type="http://schemas.openxmlformats.org/officeDocument/2006/relationships/hyperlink" Target="http://www.exaltcom.com/Economics-of-Backhaul.aspx" TargetMode="External"/><Relationship Id="rId18" Type="http://schemas.openxmlformats.org/officeDocument/2006/relationships/hyperlink" Target="http://www.rcrwireless.com/article/20120502/carriers/prepayd-enters-white-hot-prepaid-space-with-wimax-data/" TargetMode="External"/><Relationship Id="rId39" Type="http://schemas.openxmlformats.org/officeDocument/2006/relationships/hyperlink" Target="http://www.justice.gov/atr/public/guidelines/hmg-2010.pdf" TargetMode="External"/><Relationship Id="rId265" Type="http://schemas.openxmlformats.org/officeDocument/2006/relationships/hyperlink" Target="http://news.cnet.com/8301-1035_3-20087512-94/metropcss-4g-isnt-exactly-greased-lightning/" TargetMode="External"/><Relationship Id="rId286" Type="http://schemas.openxmlformats.org/officeDocument/2006/relationships/hyperlink" Target="http://www.census.gov/econ/aces/index.html" TargetMode="External"/><Relationship Id="rId451" Type="http://schemas.openxmlformats.org/officeDocument/2006/relationships/hyperlink" Target="http://attpublicpolicy.com/wireless/bottom-line-we-unlock-our-customers'-devices" TargetMode="External"/><Relationship Id="rId472" Type="http://schemas.openxmlformats.org/officeDocument/2006/relationships/hyperlink" Target="http://marketplace.windowsphone.com/Default.aspx" TargetMode="External"/><Relationship Id="rId493" Type="http://schemas.openxmlformats.org/officeDocument/2006/relationships/hyperlink" Target="http://apps.fcc.gov/ecfs/document/view;jsessionid=KKDdQLCSVmlSq66DvmdylQLdn1BKnfcs1K4HhQvy1RPzrFzFJQKs!1007083101!-224088840?id=7022009489" TargetMode="External"/><Relationship Id="rId507" Type="http://schemas.openxmlformats.org/officeDocument/2006/relationships/hyperlink" Target="http://www.att.com/gen/press-room?pid=21806&amp;cdvn=news&amp;newsarticleid=33140&amp;mapcode=consumer|mk-att-wi-fi" TargetMode="External"/><Relationship Id="rId528" Type="http://schemas.openxmlformats.org/officeDocument/2006/relationships/hyperlink" Target="http://www.smallcellforum.org/aboutsmallcells-small-cells-what-is-a-small-cell" TargetMode="External"/><Relationship Id="rId549" Type="http://schemas.openxmlformats.org/officeDocument/2006/relationships/hyperlink" Target="http://www.telecompetitor.com/pioneer-cellular-is-first-verizon-rural-partner-to-launch-4g-lte/" TargetMode="External"/><Relationship Id="rId50" Type="http://schemas.openxmlformats.org/officeDocument/2006/relationships/hyperlink" Target="http://www.specex.com/Default.aspx" TargetMode="External"/><Relationship Id="rId104" Type="http://schemas.openxmlformats.org/officeDocument/2006/relationships/hyperlink" Target="http://www.fiercewireless.com/story/verizon-double-lte-smartphone-data-allotments/2011-11-07" TargetMode="External"/><Relationship Id="rId125" Type="http://schemas.openxmlformats.org/officeDocument/2006/relationships/hyperlink" Target="http://newsroom.t-mobile.com/articles/t-mobile-celebrates-10-years-and-launches-unlimited-nationwide-4g-data-plans" TargetMode="External"/><Relationship Id="rId146" Type="http://schemas.openxmlformats.org/officeDocument/2006/relationships/hyperlink" Target="http://www.fiercewireless.com/story/tracfones-straight-talk-android-phones-will-use-sprints-network/2011-09-09" TargetMode="External"/><Relationship Id="rId167" Type="http://schemas.openxmlformats.org/officeDocument/2006/relationships/hyperlink" Target="http://newsroom.t-mobile.com/articles/walmart-and-t-mobile-introduce-exclusive-no-annual-contract-4g-offering" TargetMode="External"/><Relationship Id="rId188" Type="http://schemas.openxmlformats.org/officeDocument/2006/relationships/hyperlink" Target="http://www.fiercewireless.com/story/leap-overhauls-rate-plans-adds-muve-music-all-android-plans/2012-08-29" TargetMode="External"/><Relationship Id="rId311" Type="http://schemas.openxmlformats.org/officeDocument/2006/relationships/hyperlink" Target="http://www.att.com/shop/legalterms.html?toskey=wirelessCustomerAgreement&amp;" TargetMode="External"/><Relationship Id="rId332" Type="http://schemas.openxmlformats.org/officeDocument/2006/relationships/hyperlink" Target="http://www.adweek.com/news/advertising-branding/ad-day-verizon-wireless-lemonade-129362" TargetMode="External"/><Relationship Id="rId353" Type="http://schemas.openxmlformats.org/officeDocument/2006/relationships/hyperlink" Target="http://www.youtube.com/user/metropcs" TargetMode="External"/><Relationship Id="rId374" Type="http://schemas.openxmlformats.org/officeDocument/2006/relationships/hyperlink" Target="http://www.bls.gov" TargetMode="External"/><Relationship Id="rId395" Type="http://schemas.openxmlformats.org/officeDocument/2006/relationships/hyperlink" Target="http://www.consumerreports.org/cro/2012/03/how-to-cut-your-phone-bill/index.htm" TargetMode="External"/><Relationship Id="rId409" Type="http://schemas.openxmlformats.org/officeDocument/2006/relationships/hyperlink" Target="http://www.rcrwireless.com/article/20120731/das/american-tower-scores-das-deal-racetrack-owner/" TargetMode="External"/><Relationship Id="rId560" Type="http://schemas.openxmlformats.org/officeDocument/2006/relationships/hyperlink" Target="http://corporate.clearwire.com/releasedetail.cfm?ReleaseID=667820" TargetMode="External"/><Relationship Id="rId71" Type="http://schemas.openxmlformats.org/officeDocument/2006/relationships/hyperlink" Target="http://www.xanadoo.com/about.html" TargetMode="External"/><Relationship Id="rId92" Type="http://schemas.openxmlformats.org/officeDocument/2006/relationships/hyperlink" Target="https://shop2.sprint.com/en/legal/os_general_terms_conditions_popup.shtml" TargetMode="External"/><Relationship Id="rId213" Type="http://schemas.openxmlformats.org/officeDocument/2006/relationships/hyperlink" Target="http://www.pcmag.com/print_article2/0,1217,a=258308,00.asp?hidPrint=true" TargetMode="External"/><Relationship Id="rId234" Type="http://schemas.openxmlformats.org/officeDocument/2006/relationships/hyperlink" Target="http://www.pcmag.com/article2/0,2817,2384959,00.asp" TargetMode="External"/><Relationship Id="rId420" Type="http://schemas.openxmlformats.org/officeDocument/2006/relationships/hyperlink" Target="http://www.loyalsocktownshipbos.com/Documents/Telecommunications%20Towers%20Ordinance.pdf" TargetMode="External"/><Relationship Id="rId2" Type="http://schemas.openxmlformats.org/officeDocument/2006/relationships/hyperlink" Target="http://www.census.gov/econ/aces/index.html" TargetMode="External"/><Relationship Id="rId29" Type="http://schemas.openxmlformats.org/officeDocument/2006/relationships/hyperlink" Target="ftp://ftp2.census.gov/geo/tiger/TIGER2010/" TargetMode="External"/><Relationship Id="rId255" Type="http://schemas.openxmlformats.org/officeDocument/2006/relationships/hyperlink" Target="http://investors.clearwire.com/phoenix.zhtml?c=214419&amp;p=irol-newsArticle&amp;ID=1530258&amp;highlight" TargetMode="External"/><Relationship Id="rId276" Type="http://schemas.openxmlformats.org/officeDocument/2006/relationships/hyperlink" Target="http://www.broadbandmap.gov/.(visited" TargetMode="External"/><Relationship Id="rId297" Type="http://schemas.openxmlformats.org/officeDocument/2006/relationships/hyperlink" Target="http://www.sfgate.com/cgi-bin/article.cgi?f=/c/a/2012/02/13/BUDC1N708B.DTL" TargetMode="External"/><Relationship Id="rId441" Type="http://schemas.openxmlformats.org/officeDocument/2006/relationships/hyperlink" Target="http://www.comscore.com/Press_Events/Press_Releases/2011/11/comScore_Reports_September_2011_U.S._Mobile_Subscriber_Market_Share" TargetMode="External"/><Relationship Id="rId462" Type="http://schemas.openxmlformats.org/officeDocument/2006/relationships/hyperlink" Target="http://www.bgr.com/2011/12/05/available-apps-across-major-mobile-platforms-approach-million-app-milestone/" TargetMode="External"/><Relationship Id="rId483" Type="http://schemas.openxmlformats.org/officeDocument/2006/relationships/hyperlink" Target="http://www.ibtimes.com/articles/373841/20120815/mobile-banking-united-states-bank-account-holders.htm" TargetMode="External"/><Relationship Id="rId518" Type="http://schemas.openxmlformats.org/officeDocument/2006/relationships/hyperlink" Target="http://www.cisco.com/en/US/solutions/collateral/ns341/ns525/ns537/ns705/ns827/white_paper_c11-520862.html" TargetMode="External"/><Relationship Id="rId539" Type="http://schemas.openxmlformats.org/officeDocument/2006/relationships/hyperlink" Target="http://hraunfoss.fcc.gov/edocs_public/attachmatch/FCC-11-161A1_Rcd.pdf" TargetMode="External"/><Relationship Id="rId40" Type="http://schemas.openxmlformats.org/officeDocument/2006/relationships/hyperlink" Target="http://www.justice.gov/atr/public/guidelines/hmg-2010.pdf%20%20(visited" TargetMode="External"/><Relationship Id="rId115" Type="http://schemas.openxmlformats.org/officeDocument/2006/relationships/hyperlink" Target="http://www.fiercewireless.com/story/t-mobile-quietly-launches-tiered-data-plans-smartphones/2011-05-23" TargetMode="External"/><Relationship Id="rId136" Type="http://schemas.openxmlformats.org/officeDocument/2006/relationships/hyperlink" Target="http://www.fiercewireless.com/story/sprint-increases-unlimited-smartphone-data-10-month/2011-01-18" TargetMode="External"/><Relationship Id="rId157" Type="http://schemas.openxmlformats.org/officeDocument/2006/relationships/hyperlink" Target="http://www.fiercewireless.com/story/verizon-wireless-details-unleashed-50-prepaid-unlimited-plan/2011-04-26" TargetMode="External"/><Relationship Id="rId178" Type="http://schemas.openxmlformats.org/officeDocument/2006/relationships/hyperlink" Target="http://www.fiercebroadbandwireless.com/story/virgin-mobile-will-throttle-heavy-data-users/2011-07-13" TargetMode="External"/><Relationship Id="rId301" Type="http://schemas.openxmlformats.org/officeDocument/2006/relationships/hyperlink" Target="http://www.macrumors.com/2012/03/07/ipad-4g-lte-data-plan-prices-for-att-and-verizon/" TargetMode="External"/><Relationship Id="rId322" Type="http://schemas.openxmlformats.org/officeDocument/2006/relationships/hyperlink" Target="http://kantarmediana.com/intelligence/press/us-advertising-expenditures-increased-08-percent-2011?destination=node%2F24%2Fpress" TargetMode="External"/><Relationship Id="rId343" Type="http://schemas.openxmlformats.org/officeDocument/2006/relationships/hyperlink" Target="http://www.adweek.com/news/advertising-branding/ad-day-boost-mobile-138101" TargetMode="External"/><Relationship Id="rId364" Type="http://schemas.openxmlformats.org/officeDocument/2006/relationships/hyperlink" Target="http://www.jdpower.com/content/press-release/rYyXr7H/wireless-purchase-experience.htm" TargetMode="External"/><Relationship Id="rId550" Type="http://schemas.openxmlformats.org/officeDocument/2006/relationships/hyperlink" Target="http://www.whitehouse.gov/the-press-office/2011/02/10/president-obama-details-plan-win-future-through-expanded-wireless-access" TargetMode="External"/><Relationship Id="rId61" Type="http://schemas.openxmlformats.org/officeDocument/2006/relationships/hyperlink" Target="http://www.ntia.doc.gov/reports/2010/FastTrackEvaluation_11152010.pdf" TargetMode="External"/><Relationship Id="rId82" Type="http://schemas.openxmlformats.org/officeDocument/2006/relationships/hyperlink" Target="http://www22.verizon.com/idc/groups/public/documents/adacct/event_965_precol.pdf" TargetMode="External"/><Relationship Id="rId199" Type="http://schemas.openxmlformats.org/officeDocument/2006/relationships/hyperlink" Target="http://www.fiercewireless.com/story/t-mobile-launches-new-monthly-and-pay-day-plans/2011-10-18" TargetMode="External"/><Relationship Id="rId203" Type="http://schemas.openxmlformats.org/officeDocument/2006/relationships/hyperlink" Target="http://youreguide.vzw.com/legal-customer-agreement/" TargetMode="External"/><Relationship Id="rId385" Type="http://schemas.openxmlformats.org/officeDocument/2006/relationships/hyperlink" Target="http://www.businessweek.com/stories/2003-01-13/ebitdas-foggy-bottom-line" TargetMode="External"/><Relationship Id="rId19" Type="http://schemas.openxmlformats.org/officeDocument/2006/relationships/hyperlink" Target="http://www.tracfone.com/about.jsp?nextPage=about.jsp&amp;task=about" TargetMode="External"/><Relationship Id="rId224" Type="http://schemas.openxmlformats.org/officeDocument/2006/relationships/hyperlink" Target="http://gigaom.com/broadband/pioneer-launches-rural-lte-over-verizon-spectrum/(visited" TargetMode="External"/><Relationship Id="rId245" Type="http://schemas.openxmlformats.org/officeDocument/2006/relationships/hyperlink" Target="http://newsroom.sprint.com/article_display.cfm?article_id=2240" TargetMode="External"/><Relationship Id="rId266" Type="http://schemas.openxmlformats.org/officeDocument/2006/relationships/hyperlink" Target="http://www.pcmag.com/Fastest-Mobile-Networks-2011" TargetMode="External"/><Relationship Id="rId287" Type="http://schemas.openxmlformats.org/officeDocument/2006/relationships/hyperlink" Target="http://www.census.gov/econ/aces/xls/2010/full_report.html" TargetMode="External"/><Relationship Id="rId410" Type="http://schemas.openxmlformats.org/officeDocument/2006/relationships/hyperlink" Target="http://www.fiercewireless.com/story/clearwire-usage-our-network-increased-705-year-over-year/2012-03-22" TargetMode="External"/><Relationship Id="rId431" Type="http://schemas.openxmlformats.org/officeDocument/2006/relationships/hyperlink" Target="http://en.wikipedia.org/wiki/Optical_Carrier_transmission_rates" TargetMode="External"/><Relationship Id="rId452" Type="http://schemas.openxmlformats.org/officeDocument/2006/relationships/hyperlink" Target="http://www.verizonwireless.com/b2c/globalText?textName=CUSTOMER_AGREEMENT&amp;jspName=footer/customerAgreement.jsp" TargetMode="External"/><Relationship Id="rId473" Type="http://schemas.openxmlformats.org/officeDocument/2006/relationships/hyperlink" Target="http://www.comscore.com/Press_Events/Press_Releases/2012/7/comScore_Reports_May_2012_U.S._Mobile_Subscriber_Market_Share" TargetMode="External"/><Relationship Id="rId494" Type="http://schemas.openxmlformats.org/officeDocument/2006/relationships/hyperlink" Target="http://files.ctia.org/pdf/CTIA_Survey_Year_End_2009_Graphics.pdf" TargetMode="External"/><Relationship Id="rId508" Type="http://schemas.openxmlformats.org/officeDocument/2006/relationships/hyperlink" Target="http://vzw.jiwire.com/" TargetMode="External"/><Relationship Id="rId529" Type="http://schemas.openxmlformats.org/officeDocument/2006/relationships/hyperlink" Target="http://support.sprint.com/support/device/Sprint/AIRAVE_by_Sprint-dvc1230001prd/?id16=airave" TargetMode="External"/><Relationship Id="rId30" Type="http://schemas.openxmlformats.org/officeDocument/2006/relationships/hyperlink" Target="http://www.nationalatlas.gov/mld/fedlanp.html" TargetMode="External"/><Relationship Id="rId105" Type="http://schemas.openxmlformats.org/officeDocument/2006/relationships/hyperlink" Target="http://www.fiercewireless.com/story/verizon-revives-double-lte-smartphone-data-promotion/2012-02-07" TargetMode="External"/><Relationship Id="rId126" Type="http://schemas.openxmlformats.org/officeDocument/2006/relationships/hyperlink" Target="http://www.fiercewireless.com/story/t-mobile-revives-30-unlimited-data-postpaid-smartphones/2012-08-22" TargetMode="External"/><Relationship Id="rId147" Type="http://schemas.openxmlformats.org/officeDocument/2006/relationships/hyperlink" Target="http://www.fiercewireless.com/story/tracfones-straight-talk-android-phones-will-use-sprints-network/2011-09-09" TargetMode="External"/><Relationship Id="rId168" Type="http://schemas.openxmlformats.org/officeDocument/2006/relationships/hyperlink" Target="http://www.fiercewireless.com/story/t-mobile-walmart-partner-30-no-contract-data-and-texting-plan/2011-10-03" TargetMode="External"/><Relationship Id="rId312" Type="http://schemas.openxmlformats.org/officeDocument/2006/relationships/hyperlink" Target="http://www.att.com/shop/legalterms.html?toskey=wirelessCustomerAgreement&amp;" TargetMode="External"/><Relationship Id="rId333" Type="http://schemas.openxmlformats.org/officeDocument/2006/relationships/hyperlink" Target="http://www.adweek.com/news/advertising-branding/ad-day-verizon-134822" TargetMode="External"/><Relationship Id="rId354" Type="http://schemas.openxmlformats.org/officeDocument/2006/relationships/hyperlink" Target="http://www.adweek.com/adfreak/att-shouting-your-love-mountaintop-11560" TargetMode="External"/><Relationship Id="rId540" Type="http://schemas.openxmlformats.org/officeDocument/2006/relationships/hyperlink" Target="http://wireless.fcc.gov/auctions/default.htm?job=auction_summary&amp;id=901" TargetMode="External"/><Relationship Id="rId51" Type="http://schemas.openxmlformats.org/officeDocument/2006/relationships/hyperlink" Target="http://spectrumbridge.com/ProductsServices/specex/VerticalCarriers.aspx" TargetMode="External"/><Relationship Id="rId72" Type="http://schemas.openxmlformats.org/officeDocument/2006/relationships/hyperlink" Target="http://wireless.fcc.gov/auctions/default.htm?job=auctions_home" TargetMode="External"/><Relationship Id="rId93" Type="http://schemas.openxmlformats.org/officeDocument/2006/relationships/hyperlink" Target="http://www.pcworld.com/article/249952/atandt_wireless_bandwidth_throttling_the_backlash_has_begun.html" TargetMode="External"/><Relationship Id="rId189" Type="http://schemas.openxmlformats.org/officeDocument/2006/relationships/hyperlink" Target="http://phx.corporate-ir.net/phoenix.zhtml?c=95536&amp;p=irol-newsArticle&amp;ID=1729505&amp;highlight=" TargetMode="External"/><Relationship Id="rId375" Type="http://schemas.openxmlformats.org/officeDocument/2006/relationships/hyperlink" Target="http://www.bls.gov/cpi/cpifaq.htm" TargetMode="External"/><Relationship Id="rId396" Type="http://schemas.openxmlformats.org/officeDocument/2006/relationships/hyperlink" Target="http://www.fiercebroadbandwireless.com/story/nokia-siemens-study-shows-mobile-broadband-quality-key-customer-churn/2012-02-15" TargetMode="External"/><Relationship Id="rId561" Type="http://schemas.openxmlformats.org/officeDocument/2006/relationships/hyperlink" Target="http://www.pcworld.com/article/221931/4g_wireless_speed_tests_which_is_really_the_fastest.html" TargetMode="External"/><Relationship Id="rId3" Type="http://schemas.openxmlformats.org/officeDocument/2006/relationships/hyperlink" Target="http://blog.nielsen.com/nielsenwire/online_mobile/young-adults-and-teens-lead-growth-among-smartphone-owners/" TargetMode="External"/><Relationship Id="rId214" Type="http://schemas.openxmlformats.org/officeDocument/2006/relationships/hyperlink" Target="http://www.rcrwireless.com/article/20101222/OPINION/101229976/analyst-angle-will-the-real-4g-please-stand-up" TargetMode="External"/><Relationship Id="rId235" Type="http://schemas.openxmlformats.org/officeDocument/2006/relationships/hyperlink" Target="http://www.fiercewireless.com/story/att-expand-lte-coverage-12-more-markets/2012-03-12" TargetMode="External"/><Relationship Id="rId256" Type="http://schemas.openxmlformats.org/officeDocument/2006/relationships/hyperlink" Target="http://leapwireless.mediaroom.com/index.php?s=13383&amp;item=124331" TargetMode="External"/><Relationship Id="rId277" Type="http://schemas.openxmlformats.org/officeDocument/2006/relationships/hyperlink" Target="http://www.broadbandmap.gov/" TargetMode="External"/><Relationship Id="rId298" Type="http://schemas.openxmlformats.org/officeDocument/2006/relationships/hyperlink" Target="http://www.dailyfinance.com/2012/03/10/whos-winning-the-smartphone-platform-wars/" TargetMode="External"/><Relationship Id="rId400" Type="http://schemas.openxmlformats.org/officeDocument/2006/relationships/hyperlink" Target="http://www.t-mobile.com/coverage/pcc.aspx" TargetMode="External"/><Relationship Id="rId421" Type="http://schemas.openxmlformats.org/officeDocument/2006/relationships/hyperlink" Target="http://en.wikipedia.org/wiki/T-carrier" TargetMode="External"/><Relationship Id="rId442" Type="http://schemas.openxmlformats.org/officeDocument/2006/relationships/hyperlink" Target="http://www.comscore.com/Press_Events/Press_Releases/2011/11/comScore_Reports_September_2011_U.S._Mobile_Subscriber_Market_Share" TargetMode="External"/><Relationship Id="rId463" Type="http://schemas.openxmlformats.org/officeDocument/2006/relationships/hyperlink" Target="http://www.apple.com/pr/library/2011/07/07Apples-App-Store-Downloads-Top-15-Billion.html" TargetMode="External"/><Relationship Id="rId484" Type="http://schemas.openxmlformats.org/officeDocument/2006/relationships/hyperlink" Target="http://mobile.ebay.com/" TargetMode="External"/><Relationship Id="rId519" Type="http://schemas.openxmlformats.org/officeDocument/2006/relationships/hyperlink" Target="http://www.wireless.att.com/cell-phone-service/cell-phones/cell-phones.jsp?feacondition=allphones&amp;feapaytype=standard&amp;startFilter=%20false&amp;allTypes=on&amp;feawifiCapable=wifiCapable&amp;allManus=on" TargetMode="External"/><Relationship Id="rId116" Type="http://schemas.openxmlformats.org/officeDocument/2006/relationships/hyperlink" Target="http://www.tmobile.com" TargetMode="External"/><Relationship Id="rId137" Type="http://schemas.openxmlformats.org/officeDocument/2006/relationships/hyperlink" Target="http://www.fiercewireless.com/story/sprint-drops-unlimited-wimax-data-mobile-broadband-plans/2011-10-21" TargetMode="External"/><Relationship Id="rId158" Type="http://schemas.openxmlformats.org/officeDocument/2006/relationships/hyperlink" Target="http://www.fiercewireless.com/story/verizon-launch-unleashed-50-unlimited-prepaid-plan-nationwide-thursday/2011-09-13" TargetMode="External"/><Relationship Id="rId302" Type="http://schemas.openxmlformats.org/officeDocument/2006/relationships/hyperlink" Target="http://www.appleinsider.com/articles/11/03/08/inside_att_vs_verizon_ipad_2_data_service_plans.html" TargetMode="External"/><Relationship Id="rId323" Type="http://schemas.openxmlformats.org/officeDocument/2006/relationships/hyperlink" Target="http://adage.com/article/digital/sprint-claims-title-launch-4g-phone/144194/" TargetMode="External"/><Relationship Id="rId344" Type="http://schemas.openxmlformats.org/officeDocument/2006/relationships/hyperlink" Target="http://adage.com/article/the-big-tent/metropcs-bad-advertising-plain-simple/143548/" TargetMode="External"/><Relationship Id="rId530" Type="http://schemas.openxmlformats.org/officeDocument/2006/relationships/hyperlink" Target="http://www.att.com/shop/wireless/devices/3gmicrocell.jsp?fbid=Mui8G_gJmU-" TargetMode="External"/><Relationship Id="rId20" Type="http://schemas.openxmlformats.org/officeDocument/2006/relationships/hyperlink" Target="http://www.straighttalk.com/" TargetMode="External"/><Relationship Id="rId41" Type="http://schemas.openxmlformats.org/officeDocument/2006/relationships/hyperlink" Target="http://www.justice.gov/atr/public/guidelines/hmg-2010.pdf" TargetMode="External"/><Relationship Id="rId62" Type="http://schemas.openxmlformats.org/officeDocument/2006/relationships/hyperlink" Target="http://www.ntia.doc.gov/report/2012/assessment-viability-accommodating-wireless-broadband-1755-1850-mhz-band" TargetMode="External"/><Relationship Id="rId83" Type="http://schemas.openxmlformats.org/officeDocument/2006/relationships/hyperlink" Target="http://www22.verizon.com/investor/barclays_capital_global_wireless_and_wireline_conf.htm" TargetMode="External"/><Relationship Id="rId179" Type="http://schemas.openxmlformats.org/officeDocument/2006/relationships/hyperlink" Target="http://www.fiercewireless.com/story/virgin-mobile-postpones-smartphone-data-throttling-until-2012/2011-09-30" TargetMode="External"/><Relationship Id="rId365" Type="http://schemas.openxmlformats.org/officeDocument/2006/relationships/hyperlink" Target="http://www.census.gov/popest/data/national/totals/2011/index.html" TargetMode="External"/><Relationship Id="rId386" Type="http://schemas.openxmlformats.org/officeDocument/2006/relationships/hyperlink" Target="http://www.irs.gov/pub/irs-pdf/p542.pdf" TargetMode="External"/><Relationship Id="rId551" Type="http://schemas.openxmlformats.org/officeDocument/2006/relationships/hyperlink" Target="http://www.ntca.org/images/stories/Documents/Advocacy/SurveyReports/2009ntcawirelesssurveyreport.pdf" TargetMode="External"/><Relationship Id="rId190" Type="http://schemas.openxmlformats.org/officeDocument/2006/relationships/hyperlink" Target="http://www.fiercewireless.com/story/metropcs-adds-data-throttling-lte-increases-unlimited-data-70/2012-04-03" TargetMode="External"/><Relationship Id="rId204" Type="http://schemas.openxmlformats.org/officeDocument/2006/relationships/hyperlink" Target="http://support.sprint.com/support/article/Learn_about_early_termination_fee/case-sp061027-20110823-171256" TargetMode="External"/><Relationship Id="rId225" Type="http://schemas.openxmlformats.org/officeDocument/2006/relationships/hyperlink" Target="http://www.telecompetitor.com/pioneer-cellular-is-first-verizon-rural-partner-to-launch-4g-lte/(visited" TargetMode="External"/><Relationship Id="rId246" Type="http://schemas.openxmlformats.org/officeDocument/2006/relationships/hyperlink" Target="http://newsroom.sprint.com/article_display.cfm?article_id=2269" TargetMode="External"/><Relationship Id="rId267" Type="http://schemas.openxmlformats.org/officeDocument/2006/relationships/hyperlink" Target="http://leapwireless.mediaroom.com/index.php?s=13383&amp;item=97670" TargetMode="External"/><Relationship Id="rId288" Type="http://schemas.openxmlformats.org/officeDocument/2006/relationships/hyperlink" Target="http://www.census.gov/econ/aces/xls/2010/full_report.html" TargetMode="External"/><Relationship Id="rId411" Type="http://schemas.openxmlformats.org/officeDocument/2006/relationships/hyperlink" Target="http://www.rcrwireless.com/article/20120626/tower/sba-to-acquire-towerco-for-1-45b/" TargetMode="External"/><Relationship Id="rId432" Type="http://schemas.openxmlformats.org/officeDocument/2006/relationships/hyperlink" Target="http://www.mobilitie.com/Downloads/BROADBAND_BACKHAUL_WP_WEB.pdf" TargetMode="External"/><Relationship Id="rId453" Type="http://schemas.openxmlformats.org/officeDocument/2006/relationships/hyperlink" Target="http://www.sprint.com/landings/ctiachecklist/docs/ctia-transparency-postpaid.pdf" TargetMode="External"/><Relationship Id="rId474" Type="http://schemas.openxmlformats.org/officeDocument/2006/relationships/hyperlink" Target="http://www.comscore.com/Press_Events/Press_Releases/2012/7/comScore_Reports_May_2012_U.S._Mobile_Subscriber_Market_Share" TargetMode="External"/><Relationship Id="rId509" Type="http://schemas.openxmlformats.org/officeDocument/2006/relationships/hyperlink" Target="https://selfcare.hotspot.t-mobile.com/locations/viewLocationMap.do" TargetMode="External"/><Relationship Id="rId106" Type="http://schemas.openxmlformats.org/officeDocument/2006/relationships/hyperlink" Target="http://www.fiercewireless.com/story/att-increases-pricing-usage-thresholds-smartphone-data-plans/2012-01-18" TargetMode="External"/><Relationship Id="rId127" Type="http://schemas.openxmlformats.org/officeDocument/2006/relationships/hyperlink" Target="http://www.fiercewireless.com/story/t-mobile-revives-30-unlimited-data-postpaid-smartphones/2012-08-22" TargetMode="External"/><Relationship Id="rId313" Type="http://schemas.openxmlformats.org/officeDocument/2006/relationships/hyperlink" Target="http://youreguide.vzw.com/legal-customer-agreement" TargetMode="External"/><Relationship Id="rId495" Type="http://schemas.openxmlformats.org/officeDocument/2006/relationships/hyperlink" Target="http://apps.fcc.gov/ecfs/document/view;jsessionid=KKDdQLCSVmlSq66DvmdylQLdn1BKnfcs1K4HhQvy1RPzrFzFJQKs!1007083101!-224088840?id=7022009489" TargetMode="External"/><Relationship Id="rId10" Type="http://schemas.openxmlformats.org/officeDocument/2006/relationships/hyperlink" Target="http://www.cdc.gov/nchs/data/nhis/earlyrelease/wireless201206.pdf" TargetMode="External"/><Relationship Id="rId31" Type="http://schemas.openxmlformats.org/officeDocument/2006/relationships/hyperlink" Target="http://www.census.gov/geo/www/tiger/tgrshp2010/documentation.html" TargetMode="External"/><Relationship Id="rId52" Type="http://schemas.openxmlformats.org/officeDocument/2006/relationships/hyperlink" Target="http://www.whitehouse.gov/the-press-office/presidential-memorandum-unleashing-wireless-broadband-revolution" TargetMode="External"/><Relationship Id="rId73" Type="http://schemas.openxmlformats.org/officeDocument/2006/relationships/hyperlink" Target="http://www.computerworld.com/s/article/9225498/U.S._Cellular_throws_its_4G_LTE_hat_in_the_ring" TargetMode="External"/><Relationship Id="rId94" Type="http://schemas.openxmlformats.org/officeDocument/2006/relationships/hyperlink" Target="http://www.att.com/shop/wireless/packages/nokia-lumia-900-package-sku5910224.html" TargetMode="External"/><Relationship Id="rId148" Type="http://schemas.openxmlformats.org/officeDocument/2006/relationships/hyperlink" Target="http://www.fiercewireless.com/story/analyst-tracfones-straight-talk-launch-smartphone-t-mobiles-hspa-network/2012-01-19" TargetMode="External"/><Relationship Id="rId169" Type="http://schemas.openxmlformats.org/officeDocument/2006/relationships/hyperlink" Target="http://newsroom.t-mobile.com/articles/t-mobile-offers-monthly4g-plans" TargetMode="External"/><Relationship Id="rId334" Type="http://schemas.openxmlformats.org/officeDocument/2006/relationships/hyperlink" Target="http://news.verizonwireless.com/news/2011/02/pr2011-02-06.html" TargetMode="External"/><Relationship Id="rId355" Type="http://schemas.openxmlformats.org/officeDocument/2006/relationships/hyperlink" Target="http://www.adweek.com/adfreak/blink-182-feeling-blue-new-partnership-att-133846" TargetMode="External"/><Relationship Id="rId376" Type="http://schemas.openxmlformats.org/officeDocument/2006/relationships/hyperlink" Target="http://www.bls.gov" TargetMode="External"/><Relationship Id="rId397" Type="http://schemas.openxmlformats.org/officeDocument/2006/relationships/hyperlink" Target="http://www.fiercewireless.com/story/study-data-speed-more-critical-voice-coverage-smartphone-users/2012-07-13?utm_medium=nl&amp;utm_source=internal" TargetMode="External"/><Relationship Id="rId520" Type="http://schemas.openxmlformats.org/officeDocument/2006/relationships/hyperlink" Target="http://www.t-mobile.com/templates/ListAllPhones.aspx/?features=4ce9c948-6b53-4b76-a3f7-9116f33bd25b&amp;WT.mc_n=TMHSDevice_WiFiLP&amp;WT.mc_t=Offsite" TargetMode="External"/><Relationship Id="rId541" Type="http://schemas.openxmlformats.org/officeDocument/2006/relationships/hyperlink" Target="http://www.telecompetitor.com/nemont-partners-with-verizon-for-rural-lte-program/" TargetMode="External"/><Relationship Id="rId562" Type="http://schemas.openxmlformats.org/officeDocument/2006/relationships/hyperlink" Target="http://www.pcworld.com/article/253808/3g_and_4g_wireless_speed_showdown_which_networks_are_fastest.html" TargetMode="External"/><Relationship Id="rId4" Type="http://schemas.openxmlformats.org/officeDocument/2006/relationships/hyperlink" Target="http://blog.nielsen.com/nielsenwire/online_mobile/two-thirds-of-new-mobile-buyers-now-opting-for-smartphones/" TargetMode="External"/><Relationship Id="rId180" Type="http://schemas.openxmlformats.org/officeDocument/2006/relationships/hyperlink" Target="http://www.fiercewireless.com/story/virgin-mobile-begin-smartphone-data-throttling-march/2012-01-19" TargetMode="External"/><Relationship Id="rId215" Type="http://schemas.openxmlformats.org/officeDocument/2006/relationships/hyperlink" Target="http://aboutus.vzw.com/bestnetwork/network_facts.html" TargetMode="External"/><Relationship Id="rId236" Type="http://schemas.openxmlformats.org/officeDocument/2006/relationships/hyperlink" Target="http://www.att.com/gen/press-room?pid=21165&amp;cdvn=news&amp;newsarticleid=32813&amp;mapcode=wireless-networks-general|consumer%20(visited" TargetMode="External"/><Relationship Id="rId257" Type="http://schemas.openxmlformats.org/officeDocument/2006/relationships/hyperlink" Target="http://online.wsj.com/article/BT-CO-20120508-715265.html" TargetMode="External"/><Relationship Id="rId278" Type="http://schemas.openxmlformats.org/officeDocument/2006/relationships/hyperlink" Target="http://www.broadbandmap.gov/" TargetMode="External"/><Relationship Id="rId401" Type="http://schemas.openxmlformats.org/officeDocument/2006/relationships/hyperlink" Target="http://www.verizonwireless.com/b2c/CoverageLocatorController?requesttype=NEWREQUEST&amp;market=All" TargetMode="External"/><Relationship Id="rId422" Type="http://schemas.openxmlformats.org/officeDocument/2006/relationships/hyperlink" Target="http://www.mobilitie.com/Downloads/BROADBAND_BACKHAUL_WP_WEB.pdf" TargetMode="External"/><Relationship Id="rId443" Type="http://schemas.openxmlformats.org/officeDocument/2006/relationships/hyperlink" Target="http://www.eweek.com/c/a/Mobile-and-Wireless/Android-iOS-Mobile-Market-Share-Growing-comScore-344060/" TargetMode="External"/><Relationship Id="rId464" Type="http://schemas.openxmlformats.org/officeDocument/2006/relationships/hyperlink" Target="http://appleinsider.com/articles/12/09/26/google-android-reaches-25-billion-downloads-675000-apps" TargetMode="External"/><Relationship Id="rId303" Type="http://schemas.openxmlformats.org/officeDocument/2006/relationships/hyperlink" Target="http://www.t-mobile.com/shop/phones/?shape=tab" TargetMode="External"/><Relationship Id="rId485" Type="http://schemas.openxmlformats.org/officeDocument/2006/relationships/hyperlink" Target="http://phx.corporate-ir.net/phoenix.zhtml?c=97664&amp;p=irol-reportsother" TargetMode="External"/><Relationship Id="rId42" Type="http://schemas.openxmlformats.org/officeDocument/2006/relationships/hyperlink" Target="https://www.cellularsouth.com/aboutus/index.html" TargetMode="External"/><Relationship Id="rId84" Type="http://schemas.openxmlformats.org/officeDocument/2006/relationships/hyperlink" Target="http://www.bundesnetzagentur.de/cae/servlet/contentblob/138364/publicationFile/3682/DecisionPresidentChamberTenor_ID17495pdf.pdf" TargetMode="External"/><Relationship Id="rId138" Type="http://schemas.openxmlformats.org/officeDocument/2006/relationships/hyperlink" Target="http://www.cspire.com/company_info/about/news_detail.jsp?entryId=10700006" TargetMode="External"/><Relationship Id="rId345" Type="http://schemas.openxmlformats.org/officeDocument/2006/relationships/hyperlink" Target="http://www.adweek.com/news/advertising-branding/us-cellular-fireworks-130478" TargetMode="External"/><Relationship Id="rId387" Type="http://schemas.openxmlformats.org/officeDocument/2006/relationships/hyperlink" Target="http://www.broadband.gov/qualitytest" TargetMode="External"/><Relationship Id="rId510" Type="http://schemas.openxmlformats.org/officeDocument/2006/relationships/hyperlink" Target="http://www.att.com/gen/press-room?pid=21806&amp;cdvn=news&amp;newsarticleid=33140&amp;mapcode=consumer|mk-att-wi-fi" TargetMode="External"/><Relationship Id="rId552" Type="http://schemas.openxmlformats.org/officeDocument/2006/relationships/hyperlink" Target="https://www.ntca.org/images/stories/Documents/Advocacy/SurveyReports/2011ntcawirelesssurveyreport.pdf" TargetMode="External"/><Relationship Id="rId191" Type="http://schemas.openxmlformats.org/officeDocument/2006/relationships/hyperlink" Target="http://www.fiercewireless.com/story/metropcs-slashes-base-lte-smartphone-plan-10-40month/2012-02-02" TargetMode="External"/><Relationship Id="rId205" Type="http://schemas.openxmlformats.org/officeDocument/2006/relationships/hyperlink" Target="http://www.t-mobile.com/Templates/Popup.aspx?PAsset=Ftr_Ftr_TermsAndConditions&amp;print=true" TargetMode="External"/><Relationship Id="rId247" Type="http://schemas.openxmlformats.org/officeDocument/2006/relationships/hyperlink" Target="http://newsroom.sprint.com/article_display.cfm?article_id=2382" TargetMode="External"/><Relationship Id="rId412" Type="http://schemas.openxmlformats.org/officeDocument/2006/relationships/hyperlink" Target="http://www.rcrwireless.com/article/20120626/tower/sba-to-acquire-towerco-for-1-45b/" TargetMode="External"/><Relationship Id="rId107" Type="http://schemas.openxmlformats.org/officeDocument/2006/relationships/hyperlink" Target="http://bits.blogs.nytimes.com/2012/03/01/limited-unlimited-data/" TargetMode="External"/><Relationship Id="rId289" Type="http://schemas.openxmlformats.org/officeDocument/2006/relationships/hyperlink" Target="http://www.telekom.com/media/company/164844" TargetMode="External"/><Relationship Id="rId454" Type="http://schemas.openxmlformats.org/officeDocument/2006/relationships/hyperlink" Target="http://support.t-mobile.com/docs/DOC-1588" TargetMode="External"/><Relationship Id="rId496" Type="http://schemas.openxmlformats.org/officeDocument/2006/relationships/hyperlink" Target="http://files.ctia.org/pdf/CTIA_Survey_Year_End_2009_Graphics.pdf" TargetMode="External"/><Relationship Id="rId11" Type="http://schemas.openxmlformats.org/officeDocument/2006/relationships/hyperlink" Target="http://www.cdc.gov/nchs/data/nhis/earlyrelease/wireless201206.pdf" TargetMode="External"/><Relationship Id="rId53" Type="http://schemas.openxmlformats.org/officeDocument/2006/relationships/hyperlink" Target="http://www.whitehouse.gov/the-press-office/2011/02/10/president-obama-details-plan-win-future-through-expanded-wireless-access" TargetMode="External"/><Relationship Id="rId149" Type="http://schemas.openxmlformats.org/officeDocument/2006/relationships/hyperlink" Target="https://www.straighttalk.com/secure/ServicePlans" TargetMode="External"/><Relationship Id="rId314" Type="http://schemas.openxmlformats.org/officeDocument/2006/relationships/hyperlink" Target="http://www.forbes.com/sites/ciocentral/2012/04/19/dont-throttle-me-other-ways-to-manage-wireless-traffic/" TargetMode="External"/><Relationship Id="rId356" Type="http://schemas.openxmlformats.org/officeDocument/2006/relationships/hyperlink" Target="http://www.adweek.com/adfreak/sprint-continues-its-mockery-holidays-11876" TargetMode="External"/><Relationship Id="rId398" Type="http://schemas.openxmlformats.org/officeDocument/2006/relationships/hyperlink" Target="http://www.wireless.att.com/coverageviewer/" TargetMode="External"/><Relationship Id="rId521" Type="http://schemas.openxmlformats.org/officeDocument/2006/relationships/hyperlink" Target="http://www.uscellular.com/uscellular/zipCode.jsp?type=phones&amp;call=0" TargetMode="External"/><Relationship Id="rId563" Type="http://schemas.openxmlformats.org/officeDocument/2006/relationships/hyperlink" Target="http://www.pcmag.com/Fastest-Mobile-Networks-2011" TargetMode="External"/><Relationship Id="rId95" Type="http://schemas.openxmlformats.org/officeDocument/2006/relationships/hyperlink" Target="http://www.att.com/esupport/datausage.jsp?source=IZDUel1160000000U" TargetMode="External"/><Relationship Id="rId160" Type="http://schemas.openxmlformats.org/officeDocument/2006/relationships/hyperlink" Target="http://www.fiercewireless.com/story/report-verizon-testing-50-prepaid-unlimited-plan/2010-07-22" TargetMode="External"/><Relationship Id="rId216" Type="http://schemas.openxmlformats.org/officeDocument/2006/relationships/hyperlink" Target="http://www22.verizon.com/investor/webcast_3q_2012_quarter_earnings_conference_call_webcast_10182012.htm" TargetMode="External"/><Relationship Id="rId423" Type="http://schemas.openxmlformats.org/officeDocument/2006/relationships/hyperlink" Target="http://www.mobilitie.com/Downloads/BROADBAND_BACKHAUL_WP_WEB.pdf" TargetMode="External"/><Relationship Id="rId258" Type="http://schemas.openxmlformats.org/officeDocument/2006/relationships/hyperlink" Target="http://online.wsj.com/article/BT-CO-20120508-715265.html" TargetMode="External"/><Relationship Id="rId465" Type="http://schemas.openxmlformats.org/officeDocument/2006/relationships/hyperlink" Target="http://news.cnet.com/8301-31001_3-57391350-261/google-reboots-android-market-launches-google-play/" TargetMode="External"/><Relationship Id="rId22" Type="http://schemas.openxmlformats.org/officeDocument/2006/relationships/hyperlink" Target="http://www.spacedata.net/commercial_coverage.html" TargetMode="External"/><Relationship Id="rId64" Type="http://schemas.openxmlformats.org/officeDocument/2006/relationships/hyperlink" Target="http://www.whitehouse.gov/administration/eop/ostp/pcast/docsreports" TargetMode="External"/><Relationship Id="rId118" Type="http://schemas.openxmlformats.org/officeDocument/2006/relationships/hyperlink" Target="http://www.fiercewireless.com/story/t-mobile-quietly-launches-tiered-data-plans-smartphones/2011-05-23" TargetMode="External"/><Relationship Id="rId325" Type="http://schemas.openxmlformats.org/officeDocument/2006/relationships/hyperlink" Target="http://www.fiercewireless.com/story/att-t-mobile-wrangling-over-who-has-largest-4g-network/2012-04-18" TargetMode="External"/><Relationship Id="rId367" Type="http://schemas.openxmlformats.org/officeDocument/2006/relationships/hyperlink" Target="http://pewinternet.org/Reports/2012/Teens-and-smartphones/Summary-of-findings.aspx" TargetMode="External"/><Relationship Id="rId532" Type="http://schemas.openxmlformats.org/officeDocument/2006/relationships/hyperlink" Target="http://www.fcc.gov/events/forum-indoor-deployments-small-cell-sites" TargetMode="External"/><Relationship Id="rId171" Type="http://schemas.openxmlformats.org/officeDocument/2006/relationships/hyperlink" Target="http://www.fiercewireless.com/story/metropcs-promotion-unlimited-everything-25-minimum-4-lines/2011-10-27" TargetMode="External"/><Relationship Id="rId227" Type="http://schemas.openxmlformats.org/officeDocument/2006/relationships/hyperlink" Target="https://www.wirelesspioneer.com/index.php" TargetMode="External"/><Relationship Id="rId269" Type="http://schemas.openxmlformats.org/officeDocument/2006/relationships/hyperlink" Target="http://www.computerworld.com/s/article/9225498/U.S._Cellular_throws_its_4G_LTE_hat_in_the_ring" TargetMode="External"/><Relationship Id="rId434" Type="http://schemas.openxmlformats.org/officeDocument/2006/relationships/hyperlink" Target="http://ipnetworksinc.com/ethernet/" TargetMode="External"/><Relationship Id="rId476" Type="http://schemas.openxmlformats.org/officeDocument/2006/relationships/hyperlink" Target="http://www.computerworld.com/s/article/9227389/NFC_use_growing_outside_smartphones" TargetMode="External"/><Relationship Id="rId33" Type="http://schemas.openxmlformats.org/officeDocument/2006/relationships/hyperlink" Target="ftp://ftp2.census.gov/geo/tiger/TIGER2010/" TargetMode="External"/><Relationship Id="rId129" Type="http://schemas.openxmlformats.org/officeDocument/2006/relationships/hyperlink" Target="http://www.fiercewireless.com/story/sprint-we-wont-throttle-wireless-speeds-our-network/2010-06-14" TargetMode="External"/><Relationship Id="rId280" Type="http://schemas.openxmlformats.org/officeDocument/2006/relationships/hyperlink" Target="http://www.mycricket.com/coverage/maps/wireless" TargetMode="External"/><Relationship Id="rId336" Type="http://schemas.openxmlformats.org/officeDocument/2006/relationships/hyperlink" Target="http://adage.com/article/news/reports-verizon-guy-s-demise-slightly-exaggerated/227001/" TargetMode="External"/><Relationship Id="rId501" Type="http://schemas.openxmlformats.org/officeDocument/2006/relationships/hyperlink" Target="http://www.verizonwireless.com/b2c/homefusion/hf/main.do" TargetMode="External"/><Relationship Id="rId543" Type="http://schemas.openxmlformats.org/officeDocument/2006/relationships/hyperlink" Target="http://gigaom.com/broadband/pioneer-launches-rural-lte-over-verizon-spectrum/" TargetMode="External"/><Relationship Id="rId75" Type="http://schemas.openxmlformats.org/officeDocument/2006/relationships/hyperlink" Target="http://www.fcc.gov/encyclopedia/spectrum-leasing" TargetMode="External"/><Relationship Id="rId140" Type="http://schemas.openxmlformats.org/officeDocument/2006/relationships/hyperlink" Target="http://www.fiercewireless.com/story/localytics-only-6-ipad-data-sessions-are-cellular-networks/2012-03-23" TargetMode="External"/><Relationship Id="rId182" Type="http://schemas.openxmlformats.org/officeDocument/2006/relationships/hyperlink" Target="http://www.fiercewireless.com/story/leap-launch-session-based-data-transactions-top-tiered-pricing/2012-01-05" TargetMode="External"/><Relationship Id="rId378" Type="http://schemas.openxmlformats.org/officeDocument/2006/relationships/hyperlink" Target="http://www.fiercewireless.com/story/entner-what-price-megabyte-wireless-data/2011-04-13" TargetMode="External"/><Relationship Id="rId403" Type="http://schemas.openxmlformats.org/officeDocument/2006/relationships/hyperlink" Target="http://www.ctia.org/media/press/body.cfm/prid/1992" TargetMode="External"/><Relationship Id="rId6" Type="http://schemas.openxmlformats.org/officeDocument/2006/relationships/hyperlink" Target="http://www.bgr.com/2011/12/05/available-apps-across-major-mobile-platforms-approach-million-app-milestone/" TargetMode="External"/><Relationship Id="rId238" Type="http://schemas.openxmlformats.org/officeDocument/2006/relationships/hyperlink" Target="http://www.fiercewireless.com/story/study-att-t-mobile-top-network-speed-tests/2012-04-17" TargetMode="External"/><Relationship Id="rId445" Type="http://schemas.openxmlformats.org/officeDocument/2006/relationships/hyperlink" Target="http://www.comscore.com/Insights/Press_Releases/2012/11/comScore_Reports_September_2012_U.S._Mobile_Subscriber_Market_Share" TargetMode="External"/><Relationship Id="rId487" Type="http://schemas.openxmlformats.org/officeDocument/2006/relationships/hyperlink" Target="http://files.ctia.org/pdf/042412_-_Wireless_Industry_Overview.pdf" TargetMode="External"/><Relationship Id="rId291" Type="http://schemas.openxmlformats.org/officeDocument/2006/relationships/hyperlink" Target="http://news.vzw.com/news/2011/01/pr2011-01-11a.html" TargetMode="External"/><Relationship Id="rId305" Type="http://schemas.openxmlformats.org/officeDocument/2006/relationships/hyperlink" Target="http://www.att.com/shop/wireless/devices/tablets.html" TargetMode="External"/><Relationship Id="rId347" Type="http://schemas.openxmlformats.org/officeDocument/2006/relationships/hyperlink" Target="http://adage.com/article/special-report-digital-conference/strategy-win-consumer-love-human/234204/" TargetMode="External"/><Relationship Id="rId512" Type="http://schemas.openxmlformats.org/officeDocument/2006/relationships/hyperlink" Target="http://www.mcdonalds.com/us/en/services/free_wifi.html" TargetMode="External"/><Relationship Id="rId44" Type="http://schemas.openxmlformats.org/officeDocument/2006/relationships/hyperlink" Target="http://news.cnet.com/8301-30686_3-10434831-266.html.(visited" TargetMode="External"/><Relationship Id="rId86" Type="http://schemas.openxmlformats.org/officeDocument/2006/relationships/hyperlink" Target="http://wireless.fcc.gov/auctions/default.htm?job=auction_summary&amp;id=66" TargetMode="External"/><Relationship Id="rId151" Type="http://schemas.openxmlformats.org/officeDocument/2006/relationships/hyperlink" Target="http://online.wsj.com/article/SB10001424052748704635204575242232945917368.html" TargetMode="External"/><Relationship Id="rId389" Type="http://schemas.openxmlformats.org/officeDocument/2006/relationships/hyperlink" Target="http://www.fcc.gov/document/measuring-broadband-america-report-consumer-broadband-performance-us" TargetMode="External"/><Relationship Id="rId554" Type="http://schemas.openxmlformats.org/officeDocument/2006/relationships/hyperlink" Target="http://wireless.fcc.gov/auctions/12/" TargetMode="External"/><Relationship Id="rId193" Type="http://schemas.openxmlformats.org/officeDocument/2006/relationships/hyperlink" Target="http://www.fiercewireless.com/story/metropcs-adds-data-throttling-lte-increases-unlimited-data-70/2012-04-03" TargetMode="External"/><Relationship Id="rId207" Type="http://schemas.openxmlformats.org/officeDocument/2006/relationships/hyperlink" Target="http://www.t-mobile.com/Templates/Popup.aspx?PAsset=Ftr_Ftr_TermsAndConditions&amp;print=true" TargetMode="External"/><Relationship Id="rId249" Type="http://schemas.openxmlformats.org/officeDocument/2006/relationships/hyperlink" Target="http://news.cnet.com/8301-1035_3-20112095-94/sprint-to-launch-own-4g-lte-network-in-early-2012-scoop/" TargetMode="External"/><Relationship Id="rId414" Type="http://schemas.openxmlformats.org/officeDocument/2006/relationships/hyperlink" Target="http://www.americantower.com/atcweb/irpages/irearningsreport.asp" TargetMode="External"/><Relationship Id="rId456" Type="http://schemas.openxmlformats.org/officeDocument/2006/relationships/hyperlink" Target="http://www.motorola.com/Consumers/US-EN/Home" TargetMode="External"/><Relationship Id="rId498" Type="http://schemas.openxmlformats.org/officeDocument/2006/relationships/hyperlink" Target="http://apps.fcc.gov/ecfs/document/view;jsessionid=KKDdQLCSVmlSq66DvmdylQLdn1BKnfcs1K4HhQvy1RPzrFzFJQKs!1007083101!-224088840?id=7022009489" TargetMode="External"/><Relationship Id="rId13" Type="http://schemas.openxmlformats.org/officeDocument/2006/relationships/hyperlink" Target="http://wireless.fcc.gov/auctions/default.htm?job=auction_summary&amp;id=901" TargetMode="External"/><Relationship Id="rId109" Type="http://schemas.openxmlformats.org/officeDocument/2006/relationships/hyperlink" Target="http://bits.blogs.nytimes.com/2012/03/01/limited-unlimited/" TargetMode="External"/><Relationship Id="rId260" Type="http://schemas.openxmlformats.org/officeDocument/2006/relationships/hyperlink" Target="http://newsroom.t-mobile.com/articles/4GNetworkEvolutionVendorsSelected" TargetMode="External"/><Relationship Id="rId316" Type="http://schemas.openxmlformats.org/officeDocument/2006/relationships/hyperlink" Target="http://www.adweek.com/news/advertising-branding/zynga-links-t-mobile-treasure-isle-ad-play-126322" TargetMode="External"/><Relationship Id="rId523" Type="http://schemas.openxmlformats.org/officeDocument/2006/relationships/hyperlink" Target="http://www.pcworld.com/article/192106/wifi_spreading_fast_among_phones.html" TargetMode="External"/><Relationship Id="rId55" Type="http://schemas.openxmlformats.org/officeDocument/2006/relationships/hyperlink" Target="http://www.comscore.com/Press_Events/Presentations_Whitepapers/2012/2012_Mobile_Future_in_Focus" TargetMode="External"/><Relationship Id="rId97" Type="http://schemas.openxmlformats.org/officeDocument/2006/relationships/hyperlink" Target="http://www.fiercewireless.com/story/verizon-nets-65000-lte-subs-details-iphone-data-pricing/2011-01-25" TargetMode="External"/><Relationship Id="rId120" Type="http://schemas.openxmlformats.org/officeDocument/2006/relationships/hyperlink" Target="http://www.fiercewireless.com/story/rumor-mill-t-mobile-replace-throttling-overage-fees-200-mb-plan/2011-08-11" TargetMode="External"/><Relationship Id="rId358" Type="http://schemas.openxmlformats.org/officeDocument/2006/relationships/hyperlink" Target="http://adage.com/article/the-viral-video-chart/t-mobile-flash-mob-video-strikes-viral-gold/231720/" TargetMode="External"/><Relationship Id="rId565" Type="http://schemas.openxmlformats.org/officeDocument/2006/relationships/hyperlink" Target="http://www.pcmag.com/article2/0,2817,2405596,00.asp" TargetMode="External"/><Relationship Id="rId162" Type="http://schemas.openxmlformats.org/officeDocument/2006/relationships/hyperlink" Target="http://newsroom.t-mobile.com/articles/t-mobile-offers-monthly4g-plans" TargetMode="External"/><Relationship Id="rId218" Type="http://schemas.openxmlformats.org/officeDocument/2006/relationships/hyperlink" Target="http://aboutus.vzw.com/bestnetwork/network_facts.html" TargetMode="External"/><Relationship Id="rId425" Type="http://schemas.openxmlformats.org/officeDocument/2006/relationships/hyperlink" Target="http://www.snl.com/InteractiveX/ArticleAbstract.aspx?id=13669076" TargetMode="External"/><Relationship Id="rId467" Type="http://schemas.openxmlformats.org/officeDocument/2006/relationships/hyperlink" Target="http://appleinsider.com/articles/12/09/26/google-android-reaches-25-billion-downloads-675000-apps" TargetMode="External"/><Relationship Id="rId271" Type="http://schemas.openxmlformats.org/officeDocument/2006/relationships/hyperlink" Target="http://www.census.gov/geo/www/tiger/rel_file_desc.pdf" TargetMode="External"/><Relationship Id="rId24" Type="http://schemas.openxmlformats.org/officeDocument/2006/relationships/hyperlink" Target="http://www.skytel.com/index.html" TargetMode="External"/><Relationship Id="rId66" Type="http://schemas.openxmlformats.org/officeDocument/2006/relationships/hyperlink" Target="http://wireless.fcc.gov/auctions/default.htm?job=auctions_home" TargetMode="External"/><Relationship Id="rId131" Type="http://schemas.openxmlformats.org/officeDocument/2006/relationships/hyperlink" Target="http://www.fiercewireless.com/story/new-sprint-ad-campaign-hinges-unlimited-data/2011-04-11" TargetMode="External"/><Relationship Id="rId327" Type="http://schemas.openxmlformats.org/officeDocument/2006/relationships/hyperlink" Target="http://www.adweek.com/adfreak/surprise-diaper-dad-hapless-moron-atts-new-ad-134702" TargetMode="External"/><Relationship Id="rId369" Type="http://schemas.openxmlformats.org/officeDocument/2006/relationships/hyperlink" Target="http://wireless.fcc.gov/auctions/data/maps.html" TargetMode="External"/><Relationship Id="rId534" Type="http://schemas.openxmlformats.org/officeDocument/2006/relationships/hyperlink" Target="http://www.whitehouse.gov/sites/default/files/microsites/ostp/pcast_spectrum_report_final_july_20_2012.pdf" TargetMode="External"/><Relationship Id="rId173" Type="http://schemas.openxmlformats.org/officeDocument/2006/relationships/hyperlink" Target="http://www.fiercewireless.com/story/metropcs-promotion-unlimited-everything-25-minimum-4-lines/2011-10-27" TargetMode="External"/><Relationship Id="rId229" Type="http://schemas.openxmlformats.org/officeDocument/2006/relationships/hyperlink" Target="http://www.nsightnews.com/nsight-cellcom-news/nsight-cellcom-press-releases/241-cellcom-provides-high-speed-internet-to-hannahville-community-" TargetMode="External"/><Relationship Id="rId380" Type="http://schemas.openxmlformats.org/officeDocument/2006/relationships/hyperlink" Target="http://www.fiercewireless.com/story/entner-what-price-megabyte-wireless-data/2011-04-13" TargetMode="External"/><Relationship Id="rId436" Type="http://schemas.openxmlformats.org/officeDocument/2006/relationships/hyperlink" Target="http://wireless.fcc.gov/hac/index.htm?job=home" TargetMode="External"/><Relationship Id="rId240" Type="http://schemas.openxmlformats.org/officeDocument/2006/relationships/hyperlink" Target="http://www.pcmag.com/article2/0,2817,2384959,00.asp%20(visited" TargetMode="External"/><Relationship Id="rId478" Type="http://schemas.openxmlformats.org/officeDocument/2006/relationships/hyperlink" Target="http://www.bankofamerica.com/onlinebanking/index.cfm?template=mobile_banking" TargetMode="External"/><Relationship Id="rId35" Type="http://schemas.openxmlformats.org/officeDocument/2006/relationships/hyperlink" Target="http://www.census.gov/geo/www/tiger/rel_file_desc.pdf" TargetMode="External"/><Relationship Id="rId77" Type="http://schemas.openxmlformats.org/officeDocument/2006/relationships/hyperlink" Target="http://www.cramton.umd.edu/papers2010-2014/cramton-700-mhz-device-flexibility-promotes-competition.pdf" TargetMode="External"/><Relationship Id="rId100" Type="http://schemas.openxmlformats.org/officeDocument/2006/relationships/hyperlink" Target="http://www.fiercewireless.com/story/how-will-switching-usage-based-pricing-affect-verizon/2011-07-05" TargetMode="External"/><Relationship Id="rId282" Type="http://schemas.openxmlformats.org/officeDocument/2006/relationships/hyperlink" Target="http://www.metropcs.com/metro/whymetro/ourcoverage.jsp" TargetMode="External"/><Relationship Id="rId338" Type="http://schemas.openxmlformats.org/officeDocument/2006/relationships/hyperlink" Target="http://newsroom.sprint.com/article_display.cfm?article_id=2073" TargetMode="External"/><Relationship Id="rId503" Type="http://schemas.openxmlformats.org/officeDocument/2006/relationships/hyperlink" Target="http://v4.jiwire.com/search-hotspot-locations.htm" TargetMode="External"/><Relationship Id="rId545" Type="http://schemas.openxmlformats.org/officeDocument/2006/relationships/hyperlink" Target="http://www.rcrwireless.com/article/20110912/carriers/verizon-wireless-adds-chariton-to-rural-lte-program/" TargetMode="External"/><Relationship Id="rId8" Type="http://schemas.openxmlformats.org/officeDocument/2006/relationships/hyperlink" Target="http://www.cdc.gov/nchs/data/nhis/earlyrelease/wireless201206.pdf" TargetMode="External"/><Relationship Id="rId142" Type="http://schemas.openxmlformats.org/officeDocument/2006/relationships/hyperlink" Target="http://www.fiercewireless.com/story/npd-tablet-users-increasingly-favor-wi-fi-over-cellular-connections/2011-12-12" TargetMode="External"/><Relationship Id="rId184" Type="http://schemas.openxmlformats.org/officeDocument/2006/relationships/hyperlink" Target="http://www.fiercewireless.com/story/leap-overhauls-voice-plans-intros-tiered-data-pricing/2010-08-03" TargetMode="External"/><Relationship Id="rId391" Type="http://schemas.openxmlformats.org/officeDocument/2006/relationships/hyperlink" Target="http://transition.fcc.gov/Daily_Releases/Daily_Business/2012/db0905/DOC-316109A1.pdf" TargetMode="External"/><Relationship Id="rId405" Type="http://schemas.openxmlformats.org/officeDocument/2006/relationships/hyperlink" Target="http://www.ctia.org/content/index.cfm/AID/10352" TargetMode="External"/><Relationship Id="rId447" Type="http://schemas.openxmlformats.org/officeDocument/2006/relationships/hyperlink" Target="http://www.comscore.com/Press_Events/Press_Releases/2011/11/comScore_Reports_September_2011_U.S._Mobile_Subscriber_Market_Share" TargetMode="External"/><Relationship Id="rId251" Type="http://schemas.openxmlformats.org/officeDocument/2006/relationships/hyperlink" Target="http://shop.sprint.com/mysprint/shop/phone_wall.jsp?INTNAV=ATG:HE:Phones_Devices" TargetMode="External"/><Relationship Id="rId489" Type="http://schemas.openxmlformats.org/officeDocument/2006/relationships/hyperlink" Target="http://files.ctia.org/pdf/042412_-_Wireless_Industry_Overview.pdf" TargetMode="External"/><Relationship Id="rId46" Type="http://schemas.openxmlformats.org/officeDocument/2006/relationships/hyperlink" Target="http://coxenterprises.mediaroom.com/index.php?s=43&amp;item=841%20%20(visited" TargetMode="External"/><Relationship Id="rId293" Type="http://schemas.openxmlformats.org/officeDocument/2006/relationships/hyperlink" Target="http://wireless.fcc.gov/hac/index.htm?job=reports_dm" TargetMode="External"/><Relationship Id="rId307" Type="http://schemas.openxmlformats.org/officeDocument/2006/relationships/hyperlink" Target="http://shop.sprint.com/mysprint/shop/phone_details.jsp?deviceSKUId=55000038" TargetMode="External"/><Relationship Id="rId349" Type="http://schemas.openxmlformats.org/officeDocument/2006/relationships/hyperlink" Target="http://www.fiercewireless.com/story/t-mobile-gets-tough-new-advertising-campaign/2012-04-16" TargetMode="External"/><Relationship Id="rId514" Type="http://schemas.openxmlformats.org/officeDocument/2006/relationships/hyperlink" Target="http://www.att.com/Common/about_us/files/pdf/wifi/Wi-Fi_at_a_Glance.pdf" TargetMode="External"/><Relationship Id="rId556" Type="http://schemas.openxmlformats.org/officeDocument/2006/relationships/hyperlink" Target="http://wireless.fcc.gov/auctions/" TargetMode="External"/><Relationship Id="rId88" Type="http://schemas.openxmlformats.org/officeDocument/2006/relationships/hyperlink" Target="http://www.gsacom.com/downloads/pdf/GSA_IEEE_articles1209.php4" TargetMode="External"/><Relationship Id="rId111" Type="http://schemas.openxmlformats.org/officeDocument/2006/relationships/hyperlink" Target="http://www.fiercewireless.com/story/att-follows-verizon-mobile-share-shared-data-plans/2012-07-18" TargetMode="External"/><Relationship Id="rId153" Type="http://schemas.openxmlformats.org/officeDocument/2006/relationships/hyperlink" Target="http://www.fiercewireless.com/story/verizon-wireless-details-unleashed-50-prepaid-unlimited-plan/2011-04-26" TargetMode="External"/><Relationship Id="rId195" Type="http://schemas.openxmlformats.org/officeDocument/2006/relationships/hyperlink" Target="http://online.wsj.com/article/0,,SB123614292392926907,00.html" TargetMode="External"/><Relationship Id="rId209" Type="http://schemas.openxmlformats.org/officeDocument/2006/relationships/hyperlink" Target="http://youreguide.vzw.com/legal-customer-agreement/" TargetMode="External"/><Relationship Id="rId360" Type="http://schemas.openxmlformats.org/officeDocument/2006/relationships/hyperlink" Target="http://adage.com/article/special-report-digital-conference/verizon-data-structure-media-people-content/234179/" TargetMode="External"/><Relationship Id="rId416" Type="http://schemas.openxmlformats.org/officeDocument/2006/relationships/hyperlink" Target="http://www.fiercewireless.com/story/report-crown-castle-emerges-top-bidder-t-mobiles-towers/2012-08-01" TargetMode="External"/><Relationship Id="rId220" Type="http://schemas.openxmlformats.org/officeDocument/2006/relationships/hyperlink" Target="http://www.cv4g.com/2012-07-16-14-32-05/2012-05-23-17-36-24" TargetMode="External"/><Relationship Id="rId458" Type="http://schemas.openxmlformats.org/officeDocument/2006/relationships/hyperlink" Target="http://store.apple.com/us/browse/home/shop_iphone/family/iphone/iphone4s?afid=p219%7CGOUS&amp;cid=AOS-US-KWG" TargetMode="External"/><Relationship Id="rId15" Type="http://schemas.openxmlformats.org/officeDocument/2006/relationships/hyperlink" Target="http://www.verizonwireless.com/b2c/aboutUs/reseller/authorizedAgentIndex.jsp" TargetMode="External"/><Relationship Id="rId57" Type="http://schemas.openxmlformats.org/officeDocument/2006/relationships/hyperlink" Target="http://www.cisco.com/en/US/solutions/collateral/ns341/ns525/ns537/ns705/ns827/white_paper_c11-520862.pdf" TargetMode="External"/><Relationship Id="rId262" Type="http://schemas.openxmlformats.org/officeDocument/2006/relationships/hyperlink" Target="http://newsroom.t-mobile.com/articles/4GNetworkEvolutionVendorsSelected" TargetMode="External"/><Relationship Id="rId318" Type="http://schemas.openxmlformats.org/officeDocument/2006/relationships/hyperlink" Target="http://adage.com/article/special-report-ana-annual-meeting/esther-lee-marketing-telecom-box/230581/" TargetMode="External"/><Relationship Id="rId525" Type="http://schemas.openxmlformats.org/officeDocument/2006/relationships/hyperlink" Target="http://www.fiercewireless.com/story/localytics-only-6-ipad-data-sessions-are-cellular-networks/2012-03-23?utm_medium=nl&amp;utm_source=internal" TargetMode="External"/><Relationship Id="rId567" Type="http://schemas.openxmlformats.org/officeDocument/2006/relationships/hyperlink" Target="http://www.rootmetrics.com/app/" TargetMode="External"/><Relationship Id="rId99" Type="http://schemas.openxmlformats.org/officeDocument/2006/relationships/hyperlink" Target="http://www.fiercewireless.com/story/verizon-nets-65000-lte-subs-details-iphone-data-pricing/2011-01-25" TargetMode="External"/><Relationship Id="rId122" Type="http://schemas.openxmlformats.org/officeDocument/2006/relationships/hyperlink" Target="http://www.fiercewireless.com/story/t-mobile-targets-sprint-cheaper-unlimited-smartphone-plans/2011-07-20" TargetMode="External"/><Relationship Id="rId164" Type="http://schemas.openxmlformats.org/officeDocument/2006/relationships/hyperlink" Target="http://www.fiercewireless.com/story/t-mobile-pushes-hard-prepaid-subscribers-amid-uncertainty/2011-10-24" TargetMode="External"/><Relationship Id="rId371" Type="http://schemas.openxmlformats.org/officeDocument/2006/relationships/hyperlink" Target="http://www.cisco.com/en/US/netsol/ns827/networking_solutions_sub_solution.html" TargetMode="External"/></Relationships>
</file>

<file path=word/_rels/settings.xml.rels><?xml version="1.0" encoding="UTF-8" standalone="yes"?>
<Relationships xmlns="http://schemas.openxmlformats.org/package/2006/relationships"><Relationship Id="rId1" Type="http://schemas.openxmlformats.org/officeDocument/2006/relationships/attachedTemplate" Target="file:///M:\Forms\OS%20Process\Orders%20TOC%20by%20Paragraph.dot" TargetMode="External"/></Relationships>
</file>

<file path=word/charts/_rels/chart1.xml.rels><?xml version="1.0" encoding="UTF-8" standalone="yes"?>
<Relationships xmlns="http://schemas.openxmlformats.org/package/2006/relationships"><Relationship Id="rId2" Type="http://schemas.openxmlformats.org/officeDocument/2006/relationships/package" Target="../embeddings/Microsoft_Excel_Worksheet1.xlsx"/><Relationship Id="rId1" Type="http://schemas.openxmlformats.org/officeDocument/2006/relationships/themeOverride" Target="../theme/themeOverride1.xml"/></Relationships>
</file>

<file path=word/charts/_rels/chart2.xml.rels><?xml version="1.0" encoding="UTF-8" standalone="yes"?>
<Relationships xmlns="http://schemas.openxmlformats.org/package/2006/relationships"><Relationship Id="rId2" Type="http://schemas.openxmlformats.org/officeDocument/2006/relationships/package" Target="../embeddings/Microsoft_Excel_Worksheet2.xlsx"/><Relationship Id="rId1" Type="http://schemas.openxmlformats.org/officeDocument/2006/relationships/themeOverride" Target="../theme/themeOverride2.xml"/></Relationships>
</file>

<file path=word/charts/_rels/chart3.xml.rels><?xml version="1.0" encoding="UTF-8" standalone="yes"?>
<Relationships xmlns="http://schemas.openxmlformats.org/package/2006/relationships"><Relationship Id="rId2" Type="http://schemas.openxmlformats.org/officeDocument/2006/relationships/package" Target="../embeddings/Microsoft_Excel_Worksheet3.xlsx"/><Relationship Id="rId1" Type="http://schemas.openxmlformats.org/officeDocument/2006/relationships/themeOverride" Target="../theme/themeOverride3.xml"/></Relationships>
</file>

<file path=word/charts/_rels/chart4.xml.rels><?xml version="1.0" encoding="UTF-8" standalone="yes"?>
<Relationships xmlns="http://schemas.openxmlformats.org/package/2006/relationships"><Relationship Id="rId2" Type="http://schemas.openxmlformats.org/officeDocument/2006/relationships/package" Target="../embeddings/Microsoft_Excel_Worksheet4.xlsx"/><Relationship Id="rId1" Type="http://schemas.openxmlformats.org/officeDocument/2006/relationships/themeOverride" Target="../theme/themeOverride4.xml"/></Relationships>
</file>

<file path=word/charts/_rels/chart5.xml.rels><?xml version="1.0" encoding="UTF-8" standalone="yes"?>
<Relationships xmlns="http://schemas.openxmlformats.org/package/2006/relationships"><Relationship Id="rId2" Type="http://schemas.openxmlformats.org/officeDocument/2006/relationships/package" Target="../embeddings/Microsoft_Excel_Worksheet5.xlsx"/><Relationship Id="rId1" Type="http://schemas.openxmlformats.org/officeDocument/2006/relationships/themeOverride" Target="../theme/themeOverride5.xml"/></Relationships>
</file>

<file path=word/charts/_rels/chart6.xml.rels><?xml version="1.0" encoding="UTF-8" standalone="yes"?>
<Relationships xmlns="http://schemas.openxmlformats.org/package/2006/relationships"><Relationship Id="rId2" Type="http://schemas.openxmlformats.org/officeDocument/2006/relationships/package" Target="../embeddings/Microsoft_Excel_Worksheet6.xlsx"/><Relationship Id="rId1" Type="http://schemas.openxmlformats.org/officeDocument/2006/relationships/themeOverride" Target="../theme/themeOverride6.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6.5255731922398821E-2"/>
          <c:y val="7.189542483660169E-2"/>
          <c:w val="0.8871252204585558"/>
          <c:h val="0.80065359477123987"/>
        </c:manualLayout>
      </c:layout>
      <c:barChart>
        <c:barDir val="col"/>
        <c:grouping val="clustered"/>
        <c:varyColors val="0"/>
        <c:ser>
          <c:idx val="0"/>
          <c:order val="0"/>
          <c:tx>
            <c:strRef>
              <c:f>Sheet2!$B$2</c:f>
              <c:strCache>
                <c:ptCount val="1"/>
                <c:pt idx="0">
                  <c:v>NRUF</c:v>
                </c:pt>
              </c:strCache>
            </c:strRef>
          </c:tx>
          <c:spPr>
            <a:solidFill>
              <a:srgbClr val="99CCFF"/>
            </a:solidFill>
            <a:ln w="24951">
              <a:noFill/>
            </a:ln>
          </c:spPr>
          <c:invertIfNegative val="0"/>
          <c:dLbls>
            <c:numFmt formatCode="0.0" sourceLinked="0"/>
            <c:spPr>
              <a:noFill/>
              <a:ln w="25136">
                <a:noFill/>
              </a:ln>
            </c:spPr>
            <c:txPr>
              <a:bodyPr/>
              <a:lstStyle/>
              <a:p>
                <a:pPr>
                  <a:defRPr sz="693" b="1" i="0" u="none" strike="noStrike" baseline="0">
                    <a:solidFill>
                      <a:srgbClr val="000000"/>
                    </a:solidFill>
                    <a:latin typeface="Arial"/>
                    <a:ea typeface="Arial"/>
                    <a:cs typeface="Arial"/>
                  </a:defRPr>
                </a:pPr>
                <a:endParaRPr lang="en-US"/>
              </a:p>
            </c:txPr>
            <c:showLegendKey val="0"/>
            <c:showVal val="1"/>
            <c:showCatName val="0"/>
            <c:showSerName val="0"/>
            <c:showPercent val="0"/>
            <c:showBubbleSize val="0"/>
            <c:showLeaderLines val="0"/>
          </c:dLbls>
          <c:cat>
            <c:numRef>
              <c:f>Sheet2!$A$3:$A$9</c:f>
              <c:numCache>
                <c:formatCode>General</c:formatCode>
                <c:ptCount val="7"/>
                <c:pt idx="0">
                  <c:v>2005</c:v>
                </c:pt>
                <c:pt idx="1">
                  <c:v>2006</c:v>
                </c:pt>
                <c:pt idx="2">
                  <c:v>2007</c:v>
                </c:pt>
                <c:pt idx="3">
                  <c:v>2008</c:v>
                </c:pt>
                <c:pt idx="4">
                  <c:v>2009</c:v>
                </c:pt>
                <c:pt idx="5">
                  <c:v>2010</c:v>
                </c:pt>
                <c:pt idx="6">
                  <c:v>2011</c:v>
                </c:pt>
              </c:numCache>
            </c:numRef>
          </c:cat>
          <c:val>
            <c:numRef>
              <c:f>Sheet2!$B$3:$B$9</c:f>
              <c:numCache>
                <c:formatCode>General</c:formatCode>
                <c:ptCount val="7"/>
                <c:pt idx="0">
                  <c:v>28.3</c:v>
                </c:pt>
                <c:pt idx="1">
                  <c:v>28.8</c:v>
                </c:pt>
                <c:pt idx="2">
                  <c:v>21.2</c:v>
                </c:pt>
                <c:pt idx="3">
                  <c:v>16.600000000000001</c:v>
                </c:pt>
                <c:pt idx="4">
                  <c:v>11.1</c:v>
                </c:pt>
                <c:pt idx="5">
                  <c:v>11.1</c:v>
                </c:pt>
                <c:pt idx="6">
                  <c:v>15.5</c:v>
                </c:pt>
              </c:numCache>
            </c:numRef>
          </c:val>
        </c:ser>
        <c:ser>
          <c:idx val="1"/>
          <c:order val="1"/>
          <c:tx>
            <c:strRef>
              <c:f>Sheet2!$C$2</c:f>
              <c:strCache>
                <c:ptCount val="1"/>
                <c:pt idx="0">
                  <c:v>CTIA</c:v>
                </c:pt>
              </c:strCache>
            </c:strRef>
          </c:tx>
          <c:spPr>
            <a:solidFill>
              <a:srgbClr val="0066CC"/>
            </a:solidFill>
            <a:ln w="24951">
              <a:noFill/>
            </a:ln>
          </c:spPr>
          <c:invertIfNegative val="0"/>
          <c:dLbls>
            <c:numFmt formatCode="0.0" sourceLinked="0"/>
            <c:spPr>
              <a:noFill/>
              <a:ln w="25136">
                <a:noFill/>
              </a:ln>
            </c:spPr>
            <c:txPr>
              <a:bodyPr/>
              <a:lstStyle/>
              <a:p>
                <a:pPr>
                  <a:defRPr sz="693" b="1" i="0" u="none" strike="noStrike" baseline="0">
                    <a:solidFill>
                      <a:srgbClr val="000000"/>
                    </a:solidFill>
                    <a:latin typeface="Arial"/>
                    <a:ea typeface="Arial"/>
                    <a:cs typeface="Arial"/>
                  </a:defRPr>
                </a:pPr>
                <a:endParaRPr lang="en-US"/>
              </a:p>
            </c:txPr>
            <c:showLegendKey val="0"/>
            <c:showVal val="1"/>
            <c:showCatName val="0"/>
            <c:showSerName val="0"/>
            <c:showPercent val="0"/>
            <c:showBubbleSize val="0"/>
            <c:showLeaderLines val="0"/>
          </c:dLbls>
          <c:cat>
            <c:numRef>
              <c:f>Sheet2!$A$3:$A$9</c:f>
              <c:numCache>
                <c:formatCode>General</c:formatCode>
                <c:ptCount val="7"/>
                <c:pt idx="0">
                  <c:v>2005</c:v>
                </c:pt>
                <c:pt idx="1">
                  <c:v>2006</c:v>
                </c:pt>
                <c:pt idx="2">
                  <c:v>2007</c:v>
                </c:pt>
                <c:pt idx="3">
                  <c:v>2008</c:v>
                </c:pt>
                <c:pt idx="4">
                  <c:v>2009</c:v>
                </c:pt>
                <c:pt idx="5">
                  <c:v>2010</c:v>
                </c:pt>
                <c:pt idx="6">
                  <c:v>2011</c:v>
                </c:pt>
              </c:numCache>
            </c:numRef>
          </c:cat>
          <c:val>
            <c:numRef>
              <c:f>Sheet2!$C$3:$C$9</c:f>
              <c:numCache>
                <c:formatCode>General</c:formatCode>
                <c:ptCount val="7"/>
                <c:pt idx="0">
                  <c:v>25.800000000000011</c:v>
                </c:pt>
                <c:pt idx="1">
                  <c:v>25.099999999999994</c:v>
                </c:pt>
                <c:pt idx="2">
                  <c:v>22.400000000000006</c:v>
                </c:pt>
                <c:pt idx="3">
                  <c:v>14.900000000000006</c:v>
                </c:pt>
                <c:pt idx="4">
                  <c:v>15.3</c:v>
                </c:pt>
                <c:pt idx="5">
                  <c:v>10.7</c:v>
                </c:pt>
                <c:pt idx="6">
                  <c:v>19.7</c:v>
                </c:pt>
              </c:numCache>
            </c:numRef>
          </c:val>
        </c:ser>
        <c:ser>
          <c:idx val="2"/>
          <c:order val="2"/>
          <c:tx>
            <c:strRef>
              <c:f>Sheet2!$D$2</c:f>
              <c:strCache>
                <c:ptCount val="1"/>
                <c:pt idx="0">
                  <c:v>Form 477</c:v>
                </c:pt>
              </c:strCache>
            </c:strRef>
          </c:tx>
          <c:invertIfNegative val="0"/>
          <c:dLbls>
            <c:spPr>
              <a:noFill/>
              <a:ln w="25136">
                <a:noFill/>
              </a:ln>
            </c:spPr>
            <c:txPr>
              <a:bodyPr/>
              <a:lstStyle/>
              <a:p>
                <a:pPr>
                  <a:defRPr sz="688" b="1"/>
                </a:pPr>
                <a:endParaRPr lang="en-US"/>
              </a:p>
            </c:txPr>
            <c:showLegendKey val="0"/>
            <c:showVal val="1"/>
            <c:showCatName val="0"/>
            <c:showSerName val="0"/>
            <c:showPercent val="0"/>
            <c:showBubbleSize val="0"/>
            <c:showLeaderLines val="0"/>
          </c:dLbls>
          <c:cat>
            <c:numRef>
              <c:f>Sheet2!$A$3:$A$9</c:f>
              <c:numCache>
                <c:formatCode>General</c:formatCode>
                <c:ptCount val="7"/>
                <c:pt idx="0">
                  <c:v>2005</c:v>
                </c:pt>
                <c:pt idx="1">
                  <c:v>2006</c:v>
                </c:pt>
                <c:pt idx="2">
                  <c:v>2007</c:v>
                </c:pt>
                <c:pt idx="3">
                  <c:v>2008</c:v>
                </c:pt>
                <c:pt idx="4">
                  <c:v>2009</c:v>
                </c:pt>
                <c:pt idx="5">
                  <c:v>2010</c:v>
                </c:pt>
                <c:pt idx="6">
                  <c:v>2011</c:v>
                </c:pt>
              </c:numCache>
            </c:numRef>
          </c:cat>
          <c:val>
            <c:numRef>
              <c:f>Sheet2!$D$3:$D$9</c:f>
              <c:numCache>
                <c:formatCode>General</c:formatCode>
                <c:ptCount val="7"/>
                <c:pt idx="1">
                  <c:v>25.900000000000006</c:v>
                </c:pt>
                <c:pt idx="2">
                  <c:v>19.700000000000017</c:v>
                </c:pt>
                <c:pt idx="3">
                  <c:v>12</c:v>
                </c:pt>
                <c:pt idx="4">
                  <c:v>13</c:v>
                </c:pt>
                <c:pt idx="5">
                  <c:v>10.800000000000011</c:v>
                </c:pt>
                <c:pt idx="6">
                  <c:v>13.2</c:v>
                </c:pt>
              </c:numCache>
            </c:numRef>
          </c:val>
        </c:ser>
        <c:dLbls>
          <c:showLegendKey val="0"/>
          <c:showVal val="0"/>
          <c:showCatName val="0"/>
          <c:showSerName val="0"/>
          <c:showPercent val="0"/>
          <c:showBubbleSize val="0"/>
        </c:dLbls>
        <c:gapWidth val="150"/>
        <c:overlap val="-20"/>
        <c:axId val="37001472"/>
        <c:axId val="37011456"/>
      </c:barChart>
      <c:catAx>
        <c:axId val="37001472"/>
        <c:scaling>
          <c:orientation val="minMax"/>
        </c:scaling>
        <c:delete val="0"/>
        <c:axPos val="b"/>
        <c:numFmt formatCode="General" sourceLinked="1"/>
        <c:majorTickMark val="out"/>
        <c:minorTickMark val="none"/>
        <c:tickLblPos val="nextTo"/>
        <c:spPr>
          <a:ln w="3118">
            <a:solidFill>
              <a:srgbClr val="000000"/>
            </a:solidFill>
            <a:prstDash val="solid"/>
          </a:ln>
        </c:spPr>
        <c:txPr>
          <a:bodyPr rot="0" vert="horz"/>
          <a:lstStyle/>
          <a:p>
            <a:pPr>
              <a:defRPr sz="866" b="0" i="0" u="none" strike="noStrike" baseline="0">
                <a:solidFill>
                  <a:srgbClr val="000000"/>
                </a:solidFill>
                <a:latin typeface="Arial"/>
                <a:ea typeface="Arial"/>
                <a:cs typeface="Arial"/>
              </a:defRPr>
            </a:pPr>
            <a:endParaRPr lang="en-US"/>
          </a:p>
        </c:txPr>
        <c:crossAx val="37011456"/>
        <c:crosses val="autoZero"/>
        <c:auto val="1"/>
        <c:lblAlgn val="ctr"/>
        <c:lblOffset val="100"/>
        <c:tickLblSkip val="1"/>
        <c:tickMarkSkip val="1"/>
        <c:noMultiLvlLbl val="0"/>
      </c:catAx>
      <c:valAx>
        <c:axId val="37011456"/>
        <c:scaling>
          <c:orientation val="minMax"/>
        </c:scaling>
        <c:delete val="0"/>
        <c:axPos val="l"/>
        <c:numFmt formatCode="General" sourceLinked="1"/>
        <c:majorTickMark val="out"/>
        <c:minorTickMark val="none"/>
        <c:tickLblPos val="nextTo"/>
        <c:spPr>
          <a:ln w="3118">
            <a:solidFill>
              <a:srgbClr val="000000"/>
            </a:solidFill>
            <a:prstDash val="solid"/>
          </a:ln>
        </c:spPr>
        <c:txPr>
          <a:bodyPr rot="0" vert="horz"/>
          <a:lstStyle/>
          <a:p>
            <a:pPr>
              <a:defRPr sz="866" b="0" i="0" u="none" strike="noStrike" baseline="0">
                <a:solidFill>
                  <a:srgbClr val="000000"/>
                </a:solidFill>
                <a:latin typeface="Arial"/>
                <a:ea typeface="Arial"/>
                <a:cs typeface="Arial"/>
              </a:defRPr>
            </a:pPr>
            <a:endParaRPr lang="en-US"/>
          </a:p>
        </c:txPr>
        <c:crossAx val="37001472"/>
        <c:crosses val="autoZero"/>
        <c:crossBetween val="between"/>
      </c:valAx>
      <c:spPr>
        <a:solidFill>
          <a:srgbClr val="FFFFFF"/>
        </a:solidFill>
        <a:ln w="3118">
          <a:solidFill>
            <a:srgbClr val="000000"/>
          </a:solidFill>
          <a:prstDash val="solid"/>
        </a:ln>
      </c:spPr>
    </c:plotArea>
    <c:legend>
      <c:legendPos val="r"/>
      <c:layout>
        <c:manualLayout>
          <c:xMode val="edge"/>
          <c:yMode val="edge"/>
          <c:x val="0.52838314034275125"/>
          <c:y val="0.12552780133252575"/>
          <c:w val="0.11497915701713757"/>
          <c:h val="0.18731629315566325"/>
        </c:manualLayout>
      </c:layout>
      <c:overlay val="0"/>
      <c:spPr>
        <a:solidFill>
          <a:srgbClr val="FFFFFF"/>
        </a:solidFill>
        <a:ln w="3118">
          <a:solidFill>
            <a:srgbClr val="000000"/>
          </a:solidFill>
          <a:prstDash val="solid"/>
        </a:ln>
      </c:spPr>
      <c:txPr>
        <a:bodyPr/>
        <a:lstStyle/>
        <a:p>
          <a:pPr>
            <a:defRPr sz="792" b="0" i="0" u="none" strike="noStrike" baseline="0">
              <a:solidFill>
                <a:srgbClr val="000000"/>
              </a:solidFill>
              <a:latin typeface="Arial"/>
              <a:ea typeface="Arial"/>
              <a:cs typeface="Arial"/>
            </a:defRPr>
          </a:pPr>
          <a:endParaRPr lang="en-US"/>
        </a:p>
      </c:txPr>
    </c:legend>
    <c:plotVisOnly val="1"/>
    <c:dispBlanksAs val="gap"/>
    <c:showDLblsOverMax val="0"/>
  </c:chart>
  <c:spPr>
    <a:solidFill>
      <a:srgbClr val="FFFFFF"/>
    </a:solidFill>
    <a:ln w="0">
      <a:solidFill>
        <a:srgbClr val="000000"/>
      </a:solidFill>
      <a:prstDash val="solid"/>
    </a:ln>
  </c:spPr>
  <c:txPr>
    <a:bodyPr/>
    <a:lstStyle/>
    <a:p>
      <a:pPr>
        <a:defRPr sz="866" b="0" i="0" u="none" strike="noStrike" baseline="0">
          <a:solidFill>
            <a:srgbClr val="000000"/>
          </a:solidFill>
          <a:latin typeface="Arial"/>
          <a:ea typeface="Arial"/>
          <a:cs typeface="Arial"/>
        </a:defRPr>
      </a:pPr>
      <a:endParaRPr lang="en-US"/>
    </a:p>
  </c:txPr>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1919191919191922"/>
          <c:y val="5.514705882352941E-2"/>
          <c:w val="0.83124275163279004"/>
          <c:h val="0.78409614270995298"/>
        </c:manualLayout>
      </c:layout>
      <c:barChart>
        <c:barDir val="col"/>
        <c:grouping val="clustered"/>
        <c:varyColors val="0"/>
        <c:ser>
          <c:idx val="0"/>
          <c:order val="0"/>
          <c:tx>
            <c:strRef>
              <c:f>Sheet1!$A$13</c:f>
              <c:strCache>
                <c:ptCount val="1"/>
                <c:pt idx="0">
                  <c:v>HSPA</c:v>
                </c:pt>
              </c:strCache>
            </c:strRef>
          </c:tx>
          <c:spPr>
            <a:solidFill>
              <a:srgbClr val="3366FF"/>
            </a:solidFill>
            <a:ln w="12624">
              <a:solidFill>
                <a:srgbClr val="000000"/>
              </a:solidFill>
              <a:prstDash val="solid"/>
            </a:ln>
          </c:spPr>
          <c:invertIfNegative val="0"/>
          <c:dLbls>
            <c:numFmt formatCode="0" sourceLinked="0"/>
            <c:spPr>
              <a:noFill/>
              <a:ln w="25394">
                <a:noFill/>
              </a:ln>
            </c:spPr>
            <c:txPr>
              <a:bodyPr/>
              <a:lstStyle/>
              <a:p>
                <a:pPr>
                  <a:defRPr sz="800" b="1" i="0" u="none" strike="noStrike" baseline="0">
                    <a:solidFill>
                      <a:srgbClr val="000000"/>
                    </a:solidFill>
                    <a:latin typeface="Arial"/>
                    <a:ea typeface="Arial"/>
                    <a:cs typeface="Arial"/>
                  </a:defRPr>
                </a:pPr>
                <a:endParaRPr lang="en-US"/>
              </a:p>
            </c:txPr>
            <c:showLegendKey val="0"/>
            <c:showVal val="1"/>
            <c:showCatName val="0"/>
            <c:showSerName val="0"/>
            <c:showPercent val="0"/>
            <c:showBubbleSize val="0"/>
            <c:showLeaderLines val="0"/>
          </c:dLbls>
          <c:cat>
            <c:numRef>
              <c:f>Sheet1!$B$12:$H$12</c:f>
              <c:numCache>
                <c:formatCode>General</c:formatCode>
                <c:ptCount val="7"/>
                <c:pt idx="0">
                  <c:v>2006</c:v>
                </c:pt>
                <c:pt idx="1">
                  <c:v>2007</c:v>
                </c:pt>
                <c:pt idx="2">
                  <c:v>2008</c:v>
                </c:pt>
                <c:pt idx="3">
                  <c:v>2009</c:v>
                </c:pt>
                <c:pt idx="4">
                  <c:v>2010</c:v>
                </c:pt>
                <c:pt idx="5">
                  <c:v>2011</c:v>
                </c:pt>
                <c:pt idx="6">
                  <c:v>2012</c:v>
                </c:pt>
              </c:numCache>
            </c:numRef>
          </c:cat>
          <c:val>
            <c:numRef>
              <c:f>Sheet1!$B$13:$H$13</c:f>
              <c:numCache>
                <c:formatCode>General</c:formatCode>
                <c:ptCount val="7"/>
                <c:pt idx="0">
                  <c:v>20.2</c:v>
                </c:pt>
                <c:pt idx="1">
                  <c:v>42.5</c:v>
                </c:pt>
                <c:pt idx="2">
                  <c:v>53.8</c:v>
                </c:pt>
                <c:pt idx="3">
                  <c:v>76.2</c:v>
                </c:pt>
                <c:pt idx="4">
                  <c:v>79.8</c:v>
                </c:pt>
                <c:pt idx="5">
                  <c:v>88.8</c:v>
                </c:pt>
                <c:pt idx="6">
                  <c:v>95</c:v>
                </c:pt>
              </c:numCache>
            </c:numRef>
          </c:val>
        </c:ser>
        <c:ser>
          <c:idx val="1"/>
          <c:order val="1"/>
          <c:tx>
            <c:strRef>
              <c:f>Sheet1!$A$14</c:f>
              <c:strCache>
                <c:ptCount val="1"/>
                <c:pt idx="0">
                  <c:v>EV-DO</c:v>
                </c:pt>
              </c:strCache>
            </c:strRef>
          </c:tx>
          <c:spPr>
            <a:solidFill>
              <a:srgbClr val="00FF00"/>
            </a:solidFill>
            <a:ln w="12624">
              <a:solidFill>
                <a:srgbClr val="000000"/>
              </a:solidFill>
              <a:prstDash val="solid"/>
            </a:ln>
          </c:spPr>
          <c:invertIfNegative val="0"/>
          <c:dLbls>
            <c:numFmt formatCode="0" sourceLinked="0"/>
            <c:spPr>
              <a:noFill/>
              <a:ln w="25394">
                <a:noFill/>
              </a:ln>
            </c:spPr>
            <c:txPr>
              <a:bodyPr/>
              <a:lstStyle/>
              <a:p>
                <a:pPr>
                  <a:defRPr sz="800" b="1" i="0" u="none" strike="noStrike" baseline="0">
                    <a:solidFill>
                      <a:srgbClr val="000000"/>
                    </a:solidFill>
                    <a:latin typeface="Arial"/>
                    <a:ea typeface="Arial"/>
                    <a:cs typeface="Arial"/>
                  </a:defRPr>
                </a:pPr>
                <a:endParaRPr lang="en-US"/>
              </a:p>
            </c:txPr>
            <c:showLegendKey val="0"/>
            <c:showVal val="1"/>
            <c:showCatName val="0"/>
            <c:showSerName val="0"/>
            <c:showPercent val="0"/>
            <c:showBubbleSize val="0"/>
            <c:showLeaderLines val="0"/>
          </c:dLbls>
          <c:cat>
            <c:numRef>
              <c:f>Sheet1!$B$12:$H$12</c:f>
              <c:numCache>
                <c:formatCode>General</c:formatCode>
                <c:ptCount val="7"/>
                <c:pt idx="0">
                  <c:v>2006</c:v>
                </c:pt>
                <c:pt idx="1">
                  <c:v>2007</c:v>
                </c:pt>
                <c:pt idx="2">
                  <c:v>2008</c:v>
                </c:pt>
                <c:pt idx="3">
                  <c:v>2009</c:v>
                </c:pt>
                <c:pt idx="4">
                  <c:v>2010</c:v>
                </c:pt>
                <c:pt idx="5">
                  <c:v>2011</c:v>
                </c:pt>
                <c:pt idx="6">
                  <c:v>2012</c:v>
                </c:pt>
              </c:numCache>
            </c:numRef>
          </c:cat>
          <c:val>
            <c:numRef>
              <c:f>Sheet1!$B$14:$H$14</c:f>
              <c:numCache>
                <c:formatCode>General</c:formatCode>
                <c:ptCount val="7"/>
                <c:pt idx="0">
                  <c:v>62.6</c:v>
                </c:pt>
                <c:pt idx="1">
                  <c:v>81.5</c:v>
                </c:pt>
                <c:pt idx="2">
                  <c:v>92.2</c:v>
                </c:pt>
                <c:pt idx="3">
                  <c:v>97.9</c:v>
                </c:pt>
                <c:pt idx="4">
                  <c:v>98.3</c:v>
                </c:pt>
                <c:pt idx="5">
                  <c:v>99</c:v>
                </c:pt>
                <c:pt idx="6">
                  <c:v>99</c:v>
                </c:pt>
              </c:numCache>
            </c:numRef>
          </c:val>
        </c:ser>
        <c:ser>
          <c:idx val="2"/>
          <c:order val="2"/>
          <c:tx>
            <c:strRef>
              <c:f>Sheet1!$A$15</c:f>
              <c:strCache>
                <c:ptCount val="1"/>
                <c:pt idx="0">
                  <c:v>WiMax</c:v>
                </c:pt>
              </c:strCache>
            </c:strRef>
          </c:tx>
          <c:spPr>
            <a:solidFill>
              <a:srgbClr val="FFCC00"/>
            </a:solidFill>
            <a:ln w="12624">
              <a:solidFill>
                <a:srgbClr val="000000"/>
              </a:solidFill>
              <a:prstDash val="solid"/>
            </a:ln>
          </c:spPr>
          <c:invertIfNegative val="0"/>
          <c:dLbls>
            <c:dLbl>
              <c:idx val="0"/>
              <c:delete val="1"/>
            </c:dLbl>
            <c:dLbl>
              <c:idx val="1"/>
              <c:delete val="1"/>
            </c:dLbl>
            <c:dLbl>
              <c:idx val="2"/>
              <c:delete val="1"/>
            </c:dLbl>
            <c:numFmt formatCode="0" sourceLinked="0"/>
            <c:spPr>
              <a:noFill/>
              <a:ln w="25394">
                <a:noFill/>
              </a:ln>
            </c:spPr>
            <c:txPr>
              <a:bodyPr/>
              <a:lstStyle/>
              <a:p>
                <a:pPr>
                  <a:defRPr sz="800" b="1" i="0" u="none" strike="noStrike" baseline="0">
                    <a:solidFill>
                      <a:srgbClr val="000000"/>
                    </a:solidFill>
                    <a:latin typeface="Arial"/>
                    <a:ea typeface="Arial"/>
                    <a:cs typeface="Arial"/>
                  </a:defRPr>
                </a:pPr>
                <a:endParaRPr lang="en-US"/>
              </a:p>
            </c:txPr>
            <c:showLegendKey val="0"/>
            <c:showVal val="1"/>
            <c:showCatName val="0"/>
            <c:showSerName val="0"/>
            <c:showPercent val="0"/>
            <c:showBubbleSize val="0"/>
            <c:showLeaderLines val="0"/>
          </c:dLbls>
          <c:cat>
            <c:numRef>
              <c:f>Sheet1!$B$12:$H$12</c:f>
              <c:numCache>
                <c:formatCode>General</c:formatCode>
                <c:ptCount val="7"/>
                <c:pt idx="0">
                  <c:v>2006</c:v>
                </c:pt>
                <c:pt idx="1">
                  <c:v>2007</c:v>
                </c:pt>
                <c:pt idx="2">
                  <c:v>2008</c:v>
                </c:pt>
                <c:pt idx="3">
                  <c:v>2009</c:v>
                </c:pt>
                <c:pt idx="4">
                  <c:v>2010</c:v>
                </c:pt>
                <c:pt idx="5">
                  <c:v>2011</c:v>
                </c:pt>
                <c:pt idx="6">
                  <c:v>2012</c:v>
                </c:pt>
              </c:numCache>
            </c:numRef>
          </c:cat>
          <c:val>
            <c:numRef>
              <c:f>Sheet1!$B$15:$H$15</c:f>
              <c:numCache>
                <c:formatCode>General</c:formatCode>
                <c:ptCount val="7"/>
                <c:pt idx="0">
                  <c:v>0</c:v>
                </c:pt>
                <c:pt idx="1">
                  <c:v>0</c:v>
                </c:pt>
                <c:pt idx="2">
                  <c:v>0</c:v>
                </c:pt>
                <c:pt idx="3">
                  <c:v>3</c:v>
                </c:pt>
                <c:pt idx="4">
                  <c:v>17.7</c:v>
                </c:pt>
                <c:pt idx="5">
                  <c:v>34.9</c:v>
                </c:pt>
                <c:pt idx="6">
                  <c:v>34</c:v>
                </c:pt>
              </c:numCache>
            </c:numRef>
          </c:val>
        </c:ser>
        <c:ser>
          <c:idx val="3"/>
          <c:order val="3"/>
          <c:tx>
            <c:strRef>
              <c:f>Sheet1!$A$16</c:f>
              <c:strCache>
                <c:ptCount val="1"/>
                <c:pt idx="0">
                  <c:v>LTE</c:v>
                </c:pt>
              </c:strCache>
            </c:strRef>
          </c:tx>
          <c:spPr>
            <a:solidFill>
              <a:schemeClr val="accent2">
                <a:lumMod val="75000"/>
              </a:schemeClr>
            </a:solidFill>
            <a:ln>
              <a:solidFill>
                <a:sysClr val="windowText" lastClr="000000"/>
              </a:solidFill>
            </a:ln>
          </c:spPr>
          <c:invertIfNegative val="0"/>
          <c:dLbls>
            <c:dLbl>
              <c:idx val="0"/>
              <c:delete val="1"/>
            </c:dLbl>
            <c:dLbl>
              <c:idx val="1"/>
              <c:delete val="1"/>
            </c:dLbl>
            <c:dLbl>
              <c:idx val="2"/>
              <c:delete val="1"/>
            </c:dLbl>
            <c:dLbl>
              <c:idx val="3"/>
              <c:delete val="1"/>
            </c:dLbl>
            <c:dLbl>
              <c:idx val="4"/>
              <c:delete val="1"/>
            </c:dLbl>
            <c:spPr>
              <a:noFill/>
              <a:ln w="25394">
                <a:noFill/>
              </a:ln>
            </c:spPr>
            <c:txPr>
              <a:bodyPr/>
              <a:lstStyle/>
              <a:p>
                <a:pPr>
                  <a:defRPr sz="796" b="1"/>
                </a:pPr>
                <a:endParaRPr lang="en-US"/>
              </a:p>
            </c:txPr>
            <c:showLegendKey val="0"/>
            <c:showVal val="1"/>
            <c:showCatName val="0"/>
            <c:showSerName val="0"/>
            <c:showPercent val="0"/>
            <c:showBubbleSize val="0"/>
            <c:showLeaderLines val="0"/>
          </c:dLbls>
          <c:cat>
            <c:numRef>
              <c:f>Sheet1!$B$12:$H$12</c:f>
              <c:numCache>
                <c:formatCode>General</c:formatCode>
                <c:ptCount val="7"/>
                <c:pt idx="0">
                  <c:v>2006</c:v>
                </c:pt>
                <c:pt idx="1">
                  <c:v>2007</c:v>
                </c:pt>
                <c:pt idx="2">
                  <c:v>2008</c:v>
                </c:pt>
                <c:pt idx="3">
                  <c:v>2009</c:v>
                </c:pt>
                <c:pt idx="4">
                  <c:v>2010</c:v>
                </c:pt>
                <c:pt idx="5">
                  <c:v>2011</c:v>
                </c:pt>
                <c:pt idx="6">
                  <c:v>2012</c:v>
                </c:pt>
              </c:numCache>
            </c:numRef>
          </c:cat>
          <c:val>
            <c:numRef>
              <c:f>Sheet1!$B$16:$H$16</c:f>
              <c:numCache>
                <c:formatCode>General</c:formatCode>
                <c:ptCount val="7"/>
                <c:pt idx="0">
                  <c:v>0</c:v>
                </c:pt>
                <c:pt idx="1">
                  <c:v>0</c:v>
                </c:pt>
                <c:pt idx="2">
                  <c:v>0</c:v>
                </c:pt>
                <c:pt idx="3">
                  <c:v>0</c:v>
                </c:pt>
                <c:pt idx="4">
                  <c:v>0</c:v>
                </c:pt>
                <c:pt idx="5">
                  <c:v>41.3</c:v>
                </c:pt>
                <c:pt idx="6">
                  <c:v>86</c:v>
                </c:pt>
              </c:numCache>
            </c:numRef>
          </c:val>
        </c:ser>
        <c:dLbls>
          <c:showLegendKey val="0"/>
          <c:showVal val="0"/>
          <c:showCatName val="0"/>
          <c:showSerName val="0"/>
          <c:showPercent val="0"/>
          <c:showBubbleSize val="0"/>
        </c:dLbls>
        <c:gapWidth val="150"/>
        <c:axId val="48539520"/>
        <c:axId val="48541056"/>
      </c:barChart>
      <c:catAx>
        <c:axId val="48539520"/>
        <c:scaling>
          <c:orientation val="minMax"/>
        </c:scaling>
        <c:delete val="0"/>
        <c:axPos val="b"/>
        <c:numFmt formatCode="General" sourceLinked="1"/>
        <c:majorTickMark val="out"/>
        <c:minorTickMark val="none"/>
        <c:tickLblPos val="nextTo"/>
        <c:spPr>
          <a:ln w="3155">
            <a:solidFill>
              <a:srgbClr val="000000"/>
            </a:solidFill>
            <a:prstDash val="solid"/>
          </a:ln>
        </c:spPr>
        <c:txPr>
          <a:bodyPr rot="0" vert="horz"/>
          <a:lstStyle/>
          <a:p>
            <a:pPr>
              <a:defRPr sz="925" b="0" i="0" u="none" strike="noStrike" baseline="0">
                <a:solidFill>
                  <a:srgbClr val="000000"/>
                </a:solidFill>
                <a:latin typeface="Arial"/>
                <a:ea typeface="Arial"/>
                <a:cs typeface="Arial"/>
              </a:defRPr>
            </a:pPr>
            <a:endParaRPr lang="en-US"/>
          </a:p>
        </c:txPr>
        <c:crossAx val="48541056"/>
        <c:crosses val="autoZero"/>
        <c:auto val="1"/>
        <c:lblAlgn val="ctr"/>
        <c:lblOffset val="100"/>
        <c:tickLblSkip val="1"/>
        <c:tickMarkSkip val="1"/>
        <c:noMultiLvlLbl val="0"/>
      </c:catAx>
      <c:valAx>
        <c:axId val="48541056"/>
        <c:scaling>
          <c:orientation val="minMax"/>
          <c:max val="100"/>
        </c:scaling>
        <c:delete val="0"/>
        <c:axPos val="l"/>
        <c:numFmt formatCode="General" sourceLinked="1"/>
        <c:majorTickMark val="out"/>
        <c:minorTickMark val="none"/>
        <c:tickLblPos val="nextTo"/>
        <c:spPr>
          <a:ln w="3155">
            <a:solidFill>
              <a:srgbClr val="000000"/>
            </a:solidFill>
            <a:prstDash val="solid"/>
          </a:ln>
        </c:spPr>
        <c:txPr>
          <a:bodyPr rot="0" vert="horz"/>
          <a:lstStyle/>
          <a:p>
            <a:pPr>
              <a:defRPr sz="925" b="0" i="0" u="none" strike="noStrike" baseline="0">
                <a:solidFill>
                  <a:srgbClr val="000000"/>
                </a:solidFill>
                <a:latin typeface="Arial"/>
                <a:ea typeface="Arial"/>
                <a:cs typeface="Arial"/>
              </a:defRPr>
            </a:pPr>
            <a:endParaRPr lang="en-US"/>
          </a:p>
        </c:txPr>
        <c:crossAx val="48539520"/>
        <c:crosses val="autoZero"/>
        <c:crossBetween val="between"/>
      </c:valAx>
      <c:spPr>
        <a:solidFill>
          <a:srgbClr val="FFFFFF"/>
        </a:solidFill>
        <a:ln w="25251">
          <a:noFill/>
        </a:ln>
      </c:spPr>
    </c:plotArea>
    <c:legend>
      <c:legendPos val="r"/>
      <c:layout>
        <c:manualLayout>
          <c:xMode val="edge"/>
          <c:yMode val="edge"/>
          <c:x val="0.1247520184544406"/>
          <c:y val="0.908088505065899"/>
          <c:w val="0.83232360660799753"/>
          <c:h val="9.1911494934101001E-2"/>
        </c:manualLayout>
      </c:layout>
      <c:overlay val="0"/>
      <c:spPr>
        <a:solidFill>
          <a:srgbClr val="FFFFFF"/>
        </a:solidFill>
        <a:ln w="25251">
          <a:noFill/>
        </a:ln>
      </c:spPr>
      <c:txPr>
        <a:bodyPr/>
        <a:lstStyle/>
        <a:p>
          <a:pPr>
            <a:defRPr sz="915" b="0" i="0" u="none" strike="noStrike" baseline="0">
              <a:solidFill>
                <a:srgbClr val="000000"/>
              </a:solidFill>
              <a:latin typeface="Arial"/>
              <a:ea typeface="Arial"/>
              <a:cs typeface="Arial"/>
            </a:defRPr>
          </a:pPr>
          <a:endParaRPr lang="en-US"/>
        </a:p>
      </c:txPr>
    </c:legend>
    <c:plotVisOnly val="1"/>
    <c:dispBlanksAs val="gap"/>
    <c:showDLblsOverMax val="0"/>
  </c:chart>
  <c:spPr>
    <a:solidFill>
      <a:srgbClr val="FFFFFF"/>
    </a:solidFill>
    <a:ln w="12697">
      <a:solidFill>
        <a:srgbClr val="000000"/>
      </a:solidFill>
      <a:prstDash val="solid"/>
    </a:ln>
  </c:spPr>
  <c:txPr>
    <a:bodyPr/>
    <a:lstStyle/>
    <a:p>
      <a:pPr>
        <a:defRPr sz="450" b="0" i="0" u="none" strike="noStrike" baseline="0">
          <a:solidFill>
            <a:srgbClr val="000000"/>
          </a:solidFill>
          <a:latin typeface="Arial"/>
          <a:ea typeface="Arial"/>
          <a:cs typeface="Arial"/>
        </a:defRPr>
      </a:pPr>
      <a:endParaRPr lang="en-US"/>
    </a:p>
  </c:txPr>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0725895822162022"/>
          <c:y val="9.2880963408985634E-2"/>
          <c:w val="0.85470124052083318"/>
          <c:h val="0.78003225500426698"/>
        </c:manualLayout>
      </c:layout>
      <c:barChart>
        <c:barDir val="col"/>
        <c:grouping val="clustered"/>
        <c:varyColors val="0"/>
        <c:ser>
          <c:idx val="1"/>
          <c:order val="0"/>
          <c:tx>
            <c:strRef>
              <c:f>Data_Industry!$E$37</c:f>
              <c:strCache>
                <c:ptCount val="1"/>
                <c:pt idx="0">
                  <c:v>CTIA</c:v>
                </c:pt>
              </c:strCache>
            </c:strRef>
          </c:tx>
          <c:spPr>
            <a:solidFill>
              <a:srgbClr val="002060"/>
            </a:solidFill>
            <a:ln w="12354">
              <a:noFill/>
              <a:prstDash val="solid"/>
            </a:ln>
          </c:spPr>
          <c:invertIfNegative val="0"/>
          <c:dLbls>
            <c:spPr>
              <a:noFill/>
              <a:ln w="24881">
                <a:noFill/>
              </a:ln>
            </c:spPr>
            <c:txPr>
              <a:bodyPr/>
              <a:lstStyle/>
              <a:p>
                <a:pPr>
                  <a:defRPr sz="980" b="1" i="0" u="none" strike="noStrike" baseline="0">
                    <a:solidFill>
                      <a:srgbClr val="000000"/>
                    </a:solidFill>
                    <a:latin typeface="Arial"/>
                    <a:ea typeface="Arial"/>
                    <a:cs typeface="Arial"/>
                  </a:defRPr>
                </a:pPr>
                <a:endParaRPr lang="en-US"/>
              </a:p>
            </c:txPr>
            <c:showLegendKey val="0"/>
            <c:showVal val="1"/>
            <c:showCatName val="0"/>
            <c:showSerName val="0"/>
            <c:showPercent val="0"/>
            <c:showBubbleSize val="0"/>
            <c:showLeaderLines val="0"/>
          </c:dLbls>
          <c:cat>
            <c:numRef>
              <c:f>Data_Industry!$A$42:$A$47</c:f>
              <c:numCache>
                <c:formatCode>General</c:formatCode>
                <c:ptCount val="6"/>
                <c:pt idx="0">
                  <c:v>2006</c:v>
                </c:pt>
                <c:pt idx="1">
                  <c:v>2007</c:v>
                </c:pt>
                <c:pt idx="2">
                  <c:v>2008</c:v>
                </c:pt>
                <c:pt idx="3">
                  <c:v>2009</c:v>
                </c:pt>
                <c:pt idx="4">
                  <c:v>2010</c:v>
                </c:pt>
                <c:pt idx="5">
                  <c:v>2011</c:v>
                </c:pt>
              </c:numCache>
            </c:numRef>
          </c:cat>
          <c:val>
            <c:numRef>
              <c:f>Data_Industry!$E$42:$E$47</c:f>
              <c:numCache>
                <c:formatCode>0%</c:formatCode>
                <c:ptCount val="6"/>
                <c:pt idx="0">
                  <c:v>0.19467946044386189</c:v>
                </c:pt>
                <c:pt idx="1">
                  <c:v>0.15224396170373258</c:v>
                </c:pt>
                <c:pt idx="2">
                  <c:v>0.13620167503386757</c:v>
                </c:pt>
                <c:pt idx="3">
                  <c:v>0.13346984302316695</c:v>
                </c:pt>
                <c:pt idx="4">
                  <c:v>0.15565098480585254</c:v>
                </c:pt>
                <c:pt idx="5">
                  <c:v>0.14912596454026034</c:v>
                </c:pt>
              </c:numCache>
            </c:numRef>
          </c:val>
        </c:ser>
        <c:ser>
          <c:idx val="2"/>
          <c:order val="1"/>
          <c:tx>
            <c:strRef>
              <c:f>Data_Industry!$F$37</c:f>
              <c:strCache>
                <c:ptCount val="1"/>
                <c:pt idx="0">
                  <c:v>Census Bureau</c:v>
                </c:pt>
              </c:strCache>
            </c:strRef>
          </c:tx>
          <c:spPr>
            <a:solidFill>
              <a:schemeClr val="tx2">
                <a:lumMod val="60000"/>
                <a:lumOff val="40000"/>
              </a:schemeClr>
            </a:solidFill>
            <a:ln w="12354">
              <a:noFill/>
              <a:prstDash val="solid"/>
            </a:ln>
          </c:spPr>
          <c:invertIfNegative val="0"/>
          <c:dLbls>
            <c:spPr>
              <a:noFill/>
              <a:ln w="24881">
                <a:noFill/>
              </a:ln>
            </c:spPr>
            <c:txPr>
              <a:bodyPr/>
              <a:lstStyle/>
              <a:p>
                <a:pPr>
                  <a:defRPr sz="980" b="1" i="0" u="none" strike="noStrike" baseline="0">
                    <a:solidFill>
                      <a:srgbClr val="000000"/>
                    </a:solidFill>
                    <a:latin typeface="Arial"/>
                    <a:ea typeface="Arial"/>
                    <a:cs typeface="Arial"/>
                  </a:defRPr>
                </a:pPr>
                <a:endParaRPr lang="en-US"/>
              </a:p>
            </c:txPr>
            <c:showLegendKey val="0"/>
            <c:showVal val="1"/>
            <c:showCatName val="0"/>
            <c:showSerName val="0"/>
            <c:showPercent val="0"/>
            <c:showBubbleSize val="0"/>
            <c:showLeaderLines val="0"/>
          </c:dLbls>
          <c:cat>
            <c:numRef>
              <c:f>Data_Industry!$A$42:$A$47</c:f>
              <c:numCache>
                <c:formatCode>General</c:formatCode>
                <c:ptCount val="6"/>
                <c:pt idx="0">
                  <c:v>2006</c:v>
                </c:pt>
                <c:pt idx="1">
                  <c:v>2007</c:v>
                </c:pt>
                <c:pt idx="2">
                  <c:v>2008</c:v>
                </c:pt>
                <c:pt idx="3">
                  <c:v>2009</c:v>
                </c:pt>
                <c:pt idx="4">
                  <c:v>2010</c:v>
                </c:pt>
                <c:pt idx="5">
                  <c:v>2011</c:v>
                </c:pt>
              </c:numCache>
            </c:numRef>
          </c:cat>
          <c:val>
            <c:numRef>
              <c:f>Data_Industry!$F$42:$F$47</c:f>
              <c:numCache>
                <c:formatCode>0%</c:formatCode>
                <c:ptCount val="6"/>
                <c:pt idx="0">
                  <c:v>0.17699999999999999</c:v>
                </c:pt>
                <c:pt idx="1">
                  <c:v>0.128</c:v>
                </c:pt>
                <c:pt idx="2">
                  <c:v>0.13800000000000001</c:v>
                </c:pt>
                <c:pt idx="3">
                  <c:v>0.14000000000000001</c:v>
                </c:pt>
                <c:pt idx="4">
                  <c:v>0.14400050021884575</c:v>
                </c:pt>
              </c:numCache>
            </c:numRef>
          </c:val>
        </c:ser>
        <c:dLbls>
          <c:showLegendKey val="0"/>
          <c:showVal val="0"/>
          <c:showCatName val="0"/>
          <c:showSerName val="0"/>
          <c:showPercent val="0"/>
          <c:showBubbleSize val="0"/>
        </c:dLbls>
        <c:gapWidth val="150"/>
        <c:axId val="62780160"/>
        <c:axId val="62781696"/>
      </c:barChart>
      <c:catAx>
        <c:axId val="62780160"/>
        <c:scaling>
          <c:orientation val="minMax"/>
        </c:scaling>
        <c:delete val="0"/>
        <c:axPos val="b"/>
        <c:numFmt formatCode="General" sourceLinked="1"/>
        <c:majorTickMark val="out"/>
        <c:minorTickMark val="none"/>
        <c:tickLblPos val="nextTo"/>
        <c:spPr>
          <a:ln w="3088">
            <a:solidFill>
              <a:srgbClr val="000000"/>
            </a:solidFill>
            <a:prstDash val="solid"/>
          </a:ln>
        </c:spPr>
        <c:txPr>
          <a:bodyPr rot="0" vert="horz"/>
          <a:lstStyle/>
          <a:p>
            <a:pPr>
              <a:defRPr sz="980" b="0" i="0" u="none" strike="noStrike" baseline="0">
                <a:solidFill>
                  <a:srgbClr val="000000"/>
                </a:solidFill>
                <a:latin typeface="Arial"/>
                <a:ea typeface="Arial"/>
                <a:cs typeface="Arial"/>
              </a:defRPr>
            </a:pPr>
            <a:endParaRPr lang="en-US"/>
          </a:p>
        </c:txPr>
        <c:crossAx val="62781696"/>
        <c:crosses val="autoZero"/>
        <c:auto val="1"/>
        <c:lblAlgn val="ctr"/>
        <c:lblOffset val="100"/>
        <c:tickLblSkip val="1"/>
        <c:tickMarkSkip val="1"/>
        <c:noMultiLvlLbl val="0"/>
      </c:catAx>
      <c:valAx>
        <c:axId val="62781696"/>
        <c:scaling>
          <c:orientation val="minMax"/>
        </c:scaling>
        <c:delete val="0"/>
        <c:axPos val="l"/>
        <c:numFmt formatCode="0%" sourceLinked="1"/>
        <c:majorTickMark val="out"/>
        <c:minorTickMark val="none"/>
        <c:tickLblPos val="nextTo"/>
        <c:spPr>
          <a:ln w="3088">
            <a:solidFill>
              <a:srgbClr val="000000"/>
            </a:solidFill>
            <a:prstDash val="solid"/>
          </a:ln>
        </c:spPr>
        <c:txPr>
          <a:bodyPr rot="0" vert="horz"/>
          <a:lstStyle/>
          <a:p>
            <a:pPr>
              <a:defRPr sz="980" b="0" i="0" u="none" strike="noStrike" baseline="0">
                <a:solidFill>
                  <a:srgbClr val="000000"/>
                </a:solidFill>
                <a:latin typeface="Arial"/>
                <a:ea typeface="Arial"/>
                <a:cs typeface="Arial"/>
              </a:defRPr>
            </a:pPr>
            <a:endParaRPr lang="en-US"/>
          </a:p>
        </c:txPr>
        <c:crossAx val="62780160"/>
        <c:crosses val="autoZero"/>
        <c:crossBetween val="between"/>
      </c:valAx>
      <c:spPr>
        <a:solidFill>
          <a:srgbClr val="FFFFFF"/>
        </a:solidFill>
        <a:ln w="12354">
          <a:solidFill>
            <a:srgbClr val="808080"/>
          </a:solidFill>
          <a:prstDash val="solid"/>
        </a:ln>
      </c:spPr>
    </c:plotArea>
    <c:legend>
      <c:legendPos val="r"/>
      <c:layout>
        <c:manualLayout>
          <c:xMode val="edge"/>
          <c:yMode val="edge"/>
          <c:x val="0.48938744518669014"/>
          <c:y val="0.12236284786857086"/>
          <c:w val="0.34517638329134531"/>
          <c:h val="0.10004763734244289"/>
        </c:manualLayout>
      </c:layout>
      <c:overlay val="0"/>
      <c:spPr>
        <a:solidFill>
          <a:srgbClr val="FFFFFF"/>
        </a:solidFill>
        <a:ln w="3088">
          <a:solidFill>
            <a:srgbClr val="000000"/>
          </a:solidFill>
          <a:prstDash val="solid"/>
        </a:ln>
      </c:spPr>
      <c:txPr>
        <a:bodyPr/>
        <a:lstStyle/>
        <a:p>
          <a:pPr>
            <a:defRPr sz="1070" b="0" i="0" u="none" strike="noStrike" baseline="0">
              <a:solidFill>
                <a:srgbClr val="000000"/>
              </a:solidFill>
              <a:latin typeface="Arial"/>
              <a:ea typeface="Arial"/>
              <a:cs typeface="Arial"/>
            </a:defRPr>
          </a:pPr>
          <a:endParaRPr lang="en-US"/>
        </a:p>
      </c:txPr>
    </c:legend>
    <c:plotVisOnly val="1"/>
    <c:dispBlanksAs val="gap"/>
    <c:showDLblsOverMax val="0"/>
  </c:chart>
  <c:spPr>
    <a:solidFill>
      <a:srgbClr val="FFFFFF"/>
    </a:solidFill>
    <a:ln w="6220">
      <a:solidFill>
        <a:srgbClr val="000000"/>
      </a:solidFill>
      <a:prstDash val="solid"/>
    </a:ln>
  </c:spPr>
  <c:txPr>
    <a:bodyPr/>
    <a:lstStyle/>
    <a:p>
      <a:pPr>
        <a:defRPr sz="980" b="0" i="0" u="none" strike="noStrike" baseline="0">
          <a:solidFill>
            <a:srgbClr val="000000"/>
          </a:solidFill>
          <a:latin typeface="Arial"/>
          <a:ea typeface="Arial"/>
          <a:cs typeface="Arial"/>
        </a:defRPr>
      </a:pPr>
      <a:endParaRPr lang="en-US"/>
    </a:p>
  </c:txPr>
  <c:externalData r:id="rId2">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barChart>
        <c:barDir val="bar"/>
        <c:grouping val="clustered"/>
        <c:varyColors val="0"/>
        <c:ser>
          <c:idx val="0"/>
          <c:order val="0"/>
          <c:tx>
            <c:v>2011</c:v>
          </c:tx>
          <c:spPr>
            <a:solidFill>
              <a:schemeClr val="accent2">
                <a:lumMod val="75000"/>
              </a:schemeClr>
            </a:solidFill>
            <a:ln>
              <a:noFill/>
            </a:ln>
          </c:spPr>
          <c:invertIfNegative val="0"/>
          <c:dLbls>
            <c:dLbl>
              <c:idx val="0"/>
              <c:layout>
                <c:manualLayout>
                  <c:x val="6.7712360286423243E-17"/>
                  <c:y val="9.7799511002444987E-3"/>
                </c:manualLayout>
              </c:layout>
              <c:dLblPos val="outEnd"/>
              <c:showLegendKey val="0"/>
              <c:showVal val="1"/>
              <c:showCatName val="0"/>
              <c:showSerName val="0"/>
              <c:showPercent val="0"/>
              <c:showBubbleSize val="0"/>
            </c:dLbl>
            <c:dLbl>
              <c:idx val="6"/>
              <c:layout>
                <c:manualLayout>
                  <c:x val="0"/>
                  <c:y val="9.7799511002444987E-3"/>
                </c:manualLayout>
              </c:layout>
              <c:dLblPos val="outEnd"/>
              <c:showLegendKey val="0"/>
              <c:showVal val="1"/>
              <c:showCatName val="0"/>
              <c:showSerName val="0"/>
              <c:showPercent val="0"/>
              <c:showBubbleSize val="0"/>
            </c:dLbl>
            <c:spPr>
              <a:noFill/>
              <a:ln w="25420">
                <a:noFill/>
              </a:ln>
            </c:spPr>
            <c:txPr>
              <a:bodyPr/>
              <a:lstStyle/>
              <a:p>
                <a:pPr>
                  <a:defRPr>
                    <a:latin typeface="Times New Roman" pitchFamily="18" charset="0"/>
                    <a:cs typeface="Times New Roman" pitchFamily="18" charset="0"/>
                  </a:defRPr>
                </a:pPr>
                <a:endParaRPr lang="en-US"/>
              </a:p>
            </c:txPr>
            <c:showLegendKey val="0"/>
            <c:showVal val="1"/>
            <c:showCatName val="0"/>
            <c:showSerName val="0"/>
            <c:showPercent val="0"/>
            <c:showBubbleSize val="0"/>
            <c:showLeaderLines val="0"/>
          </c:dLbls>
          <c:cat>
            <c:strRef>
              <c:f>Sheet1!$A$1:$A$7</c:f>
              <c:strCache>
                <c:ptCount val="7"/>
                <c:pt idx="0">
                  <c:v>Wireless Laptops, Aircards, Modems (CTIA) </c:v>
                </c:pt>
                <c:pt idx="1">
                  <c:v>Smartphones (CTIA)</c:v>
                </c:pt>
                <c:pt idx="2">
                  <c:v>Mobile Internet Access Connections +200 kbps (Form 477) </c:v>
                </c:pt>
                <c:pt idx="3">
                  <c:v>Mobile Devices Capable of +200 kbps (Form 477)</c:v>
                </c:pt>
                <c:pt idx="4">
                  <c:v>Data-Capabale Handsets/Devices (CTIA)</c:v>
                </c:pt>
                <c:pt idx="5">
                  <c:v>Individuals with Mobile Wireless Voice Handsets (comScore)</c:v>
                </c:pt>
                <c:pt idx="6">
                  <c:v>Mobile Voice Subscriber Connections (Form 477) </c:v>
                </c:pt>
              </c:strCache>
            </c:strRef>
          </c:cat>
          <c:val>
            <c:numRef>
              <c:f>Sheet1!$B$1:$B$7</c:f>
              <c:numCache>
                <c:formatCode>General</c:formatCode>
                <c:ptCount val="7"/>
                <c:pt idx="0">
                  <c:v>20.2</c:v>
                </c:pt>
                <c:pt idx="1">
                  <c:v>111.5</c:v>
                </c:pt>
                <c:pt idx="2">
                  <c:v>142.1</c:v>
                </c:pt>
                <c:pt idx="3">
                  <c:v>183.7</c:v>
                </c:pt>
                <c:pt idx="4">
                  <c:v>295.10000000000002</c:v>
                </c:pt>
                <c:pt idx="5">
                  <c:v>234</c:v>
                </c:pt>
                <c:pt idx="6">
                  <c:v>298.3</c:v>
                </c:pt>
              </c:numCache>
            </c:numRef>
          </c:val>
        </c:ser>
        <c:ser>
          <c:idx val="1"/>
          <c:order val="1"/>
          <c:tx>
            <c:v>2010</c:v>
          </c:tx>
          <c:spPr>
            <a:solidFill>
              <a:schemeClr val="accent1">
                <a:lumMod val="75000"/>
              </a:schemeClr>
            </a:solidFill>
          </c:spPr>
          <c:invertIfNegative val="0"/>
          <c:dLbls>
            <c:dLbl>
              <c:idx val="0"/>
              <c:layout>
                <c:manualLayout>
                  <c:x val="-5.6453016481692476E-17"/>
                  <c:y val="6.4961404230266494E-3"/>
                </c:manualLayout>
              </c:layout>
              <c:dLblPos val="outEnd"/>
              <c:showLegendKey val="0"/>
              <c:showVal val="1"/>
              <c:showCatName val="0"/>
              <c:showSerName val="0"/>
              <c:showPercent val="0"/>
              <c:showBubbleSize val="0"/>
            </c:dLbl>
            <c:dLbl>
              <c:idx val="1"/>
              <c:layout>
                <c:manualLayout>
                  <c:x val="0"/>
                  <c:y val="-1.1958140857483443E-2"/>
                </c:manualLayout>
              </c:layout>
              <c:dLblPos val="outEnd"/>
              <c:showLegendKey val="0"/>
              <c:showVal val="1"/>
              <c:showCatName val="0"/>
              <c:showSerName val="0"/>
              <c:showPercent val="0"/>
              <c:showBubbleSize val="0"/>
            </c:dLbl>
            <c:dLbl>
              <c:idx val="3"/>
              <c:layout>
                <c:manualLayout>
                  <c:x val="-1.5396455081387896E-3"/>
                  <c:y val="-1.6240351057566552E-2"/>
                </c:manualLayout>
              </c:layout>
              <c:dLblPos val="outEnd"/>
              <c:showLegendKey val="0"/>
              <c:showVal val="1"/>
              <c:showCatName val="0"/>
              <c:showSerName val="0"/>
              <c:showPercent val="0"/>
              <c:showBubbleSize val="0"/>
            </c:dLbl>
            <c:dLbl>
              <c:idx val="4"/>
              <c:layout>
                <c:manualLayout>
                  <c:x val="-3.0792910162775813E-3"/>
                  <c:y val="-9.7442106345399272E-3"/>
                </c:manualLayout>
              </c:layout>
              <c:dLblPos val="outEnd"/>
              <c:showLegendKey val="0"/>
              <c:showVal val="1"/>
              <c:showCatName val="0"/>
              <c:showSerName val="0"/>
              <c:showPercent val="0"/>
              <c:showBubbleSize val="0"/>
            </c:dLbl>
            <c:dLbl>
              <c:idx val="6"/>
              <c:layout>
                <c:manualLayout>
                  <c:x val="7.6982136235740906E-3"/>
                  <c:y val="-2.5669162992767857E-7"/>
                </c:manualLayout>
              </c:layout>
              <c:dLblPos val="outEnd"/>
              <c:showLegendKey val="0"/>
              <c:showVal val="1"/>
              <c:showCatName val="0"/>
              <c:showSerName val="0"/>
              <c:showPercent val="0"/>
              <c:showBubbleSize val="0"/>
            </c:dLbl>
            <c:spPr>
              <a:noFill/>
              <a:ln w="25420">
                <a:noFill/>
              </a:ln>
            </c:spPr>
            <c:txPr>
              <a:bodyPr/>
              <a:lstStyle/>
              <a:p>
                <a:pPr>
                  <a:defRPr>
                    <a:latin typeface="Times New Roman" pitchFamily="18" charset="0"/>
                    <a:cs typeface="Times New Roman" pitchFamily="18" charset="0"/>
                  </a:defRPr>
                </a:pPr>
                <a:endParaRPr lang="en-US"/>
              </a:p>
            </c:txPr>
            <c:showLegendKey val="0"/>
            <c:showVal val="1"/>
            <c:showCatName val="0"/>
            <c:showSerName val="0"/>
            <c:showPercent val="0"/>
            <c:showBubbleSize val="0"/>
            <c:showLeaderLines val="0"/>
          </c:dLbls>
          <c:cat>
            <c:strRef>
              <c:f>Sheet1!$A$1:$A$7</c:f>
              <c:strCache>
                <c:ptCount val="7"/>
                <c:pt idx="0">
                  <c:v>Wireless Laptops, Aircards, Modems (CTIA) </c:v>
                </c:pt>
                <c:pt idx="1">
                  <c:v>Smartphones (CTIA)</c:v>
                </c:pt>
                <c:pt idx="2">
                  <c:v>Mobile Internet Access Connections +200 kbps (Form 477) </c:v>
                </c:pt>
                <c:pt idx="3">
                  <c:v>Mobile Devices Capable of +200 kbps (Form 477)</c:v>
                </c:pt>
                <c:pt idx="4">
                  <c:v>Data-Capabale Handsets/Devices (CTIA)</c:v>
                </c:pt>
                <c:pt idx="5">
                  <c:v>Individuals with Mobile Wireless Voice Handsets (comScore)</c:v>
                </c:pt>
                <c:pt idx="6">
                  <c:v>Mobile Voice Subscriber Connections (Form 477) </c:v>
                </c:pt>
              </c:strCache>
            </c:strRef>
          </c:cat>
          <c:val>
            <c:numRef>
              <c:f>Sheet1!$C$1:$C$7</c:f>
              <c:numCache>
                <c:formatCode>General</c:formatCode>
                <c:ptCount val="7"/>
                <c:pt idx="0">
                  <c:v>13.5</c:v>
                </c:pt>
                <c:pt idx="1">
                  <c:v>78.2</c:v>
                </c:pt>
                <c:pt idx="2">
                  <c:v>97.5</c:v>
                </c:pt>
                <c:pt idx="3">
                  <c:v>151.6</c:v>
                </c:pt>
                <c:pt idx="4">
                  <c:v>270.5</c:v>
                </c:pt>
                <c:pt idx="6">
                  <c:v>285.10000000000002</c:v>
                </c:pt>
              </c:numCache>
            </c:numRef>
          </c:val>
        </c:ser>
        <c:ser>
          <c:idx val="2"/>
          <c:order val="2"/>
          <c:tx>
            <c:v>2009</c:v>
          </c:tx>
          <c:spPr>
            <a:solidFill>
              <a:schemeClr val="tx2">
                <a:lumMod val="40000"/>
                <a:lumOff val="60000"/>
              </a:schemeClr>
            </a:solidFill>
          </c:spPr>
          <c:invertIfNegative val="0"/>
          <c:dLbls>
            <c:dLbl>
              <c:idx val="0"/>
              <c:layout>
                <c:manualLayout>
                  <c:x val="0"/>
                  <c:y val="-6.4961404230266494E-3"/>
                </c:manualLayout>
              </c:layout>
              <c:dLblPos val="outEnd"/>
              <c:showLegendKey val="0"/>
              <c:showVal val="1"/>
              <c:showCatName val="0"/>
              <c:showSerName val="0"/>
              <c:showPercent val="0"/>
              <c:showBubbleSize val="0"/>
            </c:dLbl>
            <c:dLbl>
              <c:idx val="1"/>
              <c:layout>
                <c:manualLayout>
                  <c:x val="0"/>
                  <c:y val="-6.4365426204365294E-3"/>
                </c:manualLayout>
              </c:layout>
              <c:dLblPos val="outEnd"/>
              <c:showLegendKey val="0"/>
              <c:showVal val="1"/>
              <c:showCatName val="0"/>
              <c:showSerName val="0"/>
              <c:showPercent val="0"/>
              <c:showBubbleSize val="0"/>
            </c:dLbl>
            <c:dLbl>
              <c:idx val="2"/>
              <c:layout>
                <c:manualLayout>
                  <c:x val="-1.6339865076459021E-3"/>
                  <c:y val="-8.2683795997255585E-3"/>
                </c:manualLayout>
              </c:layout>
              <c:dLblPos val="outEnd"/>
              <c:showLegendKey val="0"/>
              <c:showVal val="1"/>
              <c:showCatName val="0"/>
              <c:showSerName val="0"/>
              <c:showPercent val="0"/>
              <c:showBubbleSize val="0"/>
            </c:dLbl>
            <c:dLbl>
              <c:idx val="3"/>
              <c:layout>
                <c:manualLayout>
                  <c:x val="0"/>
                  <c:y val="-9.7442106345399272E-3"/>
                </c:manualLayout>
              </c:layout>
              <c:dLblPos val="outEnd"/>
              <c:showLegendKey val="0"/>
              <c:showVal val="1"/>
              <c:showCatName val="0"/>
              <c:showSerName val="0"/>
              <c:showPercent val="0"/>
              <c:showBubbleSize val="0"/>
            </c:dLbl>
            <c:dLbl>
              <c:idx val="4"/>
              <c:layout>
                <c:manualLayout>
                  <c:x val="-4.9019595229377114E-3"/>
                  <c:y val="-1.697836298387314E-2"/>
                </c:manualLayout>
              </c:layout>
              <c:dLblPos val="outEnd"/>
              <c:showLegendKey val="0"/>
              <c:showVal val="1"/>
              <c:showCatName val="0"/>
              <c:showSerName val="0"/>
              <c:showPercent val="0"/>
              <c:showBubbleSize val="0"/>
            </c:dLbl>
            <c:dLbl>
              <c:idx val="6"/>
              <c:layout>
                <c:manualLayout>
                  <c:x val="0"/>
                  <c:y val="-9.7442106345399272E-3"/>
                </c:manualLayout>
              </c:layout>
              <c:dLblPos val="outEnd"/>
              <c:showLegendKey val="0"/>
              <c:showVal val="1"/>
              <c:showCatName val="0"/>
              <c:showSerName val="0"/>
              <c:showPercent val="0"/>
              <c:showBubbleSize val="0"/>
            </c:dLbl>
            <c:spPr>
              <a:noFill/>
              <a:ln w="25420">
                <a:noFill/>
              </a:ln>
            </c:spPr>
            <c:txPr>
              <a:bodyPr/>
              <a:lstStyle/>
              <a:p>
                <a:pPr>
                  <a:defRPr>
                    <a:latin typeface="Times New Roman" pitchFamily="18" charset="0"/>
                    <a:cs typeface="Times New Roman" pitchFamily="18" charset="0"/>
                  </a:defRPr>
                </a:pPr>
                <a:endParaRPr lang="en-US"/>
              </a:p>
            </c:txPr>
            <c:showLegendKey val="0"/>
            <c:showVal val="1"/>
            <c:showCatName val="0"/>
            <c:showSerName val="0"/>
            <c:showPercent val="0"/>
            <c:showBubbleSize val="0"/>
            <c:showLeaderLines val="0"/>
          </c:dLbls>
          <c:cat>
            <c:strRef>
              <c:f>Sheet1!$A$1:$A$7</c:f>
              <c:strCache>
                <c:ptCount val="7"/>
                <c:pt idx="0">
                  <c:v>Wireless Laptops, Aircards, Modems (CTIA) </c:v>
                </c:pt>
                <c:pt idx="1">
                  <c:v>Smartphones (CTIA)</c:v>
                </c:pt>
                <c:pt idx="2">
                  <c:v>Mobile Internet Access Connections +200 kbps (Form 477) </c:v>
                </c:pt>
                <c:pt idx="3">
                  <c:v>Mobile Devices Capable of +200 kbps (Form 477)</c:v>
                </c:pt>
                <c:pt idx="4">
                  <c:v>Data-Capabale Handsets/Devices (CTIA)</c:v>
                </c:pt>
                <c:pt idx="5">
                  <c:v>Individuals with Mobile Wireless Voice Handsets (comScore)</c:v>
                </c:pt>
                <c:pt idx="6">
                  <c:v>Mobile Voice Subscriber Connections (Form 477) </c:v>
                </c:pt>
              </c:strCache>
            </c:strRef>
          </c:cat>
          <c:val>
            <c:numRef>
              <c:f>Sheet1!$D$1:$D$7</c:f>
              <c:numCache>
                <c:formatCode>General</c:formatCode>
                <c:ptCount val="7"/>
                <c:pt idx="0">
                  <c:v>11.9</c:v>
                </c:pt>
                <c:pt idx="1">
                  <c:v>49.8</c:v>
                </c:pt>
                <c:pt idx="2">
                  <c:v>56.3</c:v>
                </c:pt>
                <c:pt idx="3">
                  <c:v>115.7</c:v>
                </c:pt>
                <c:pt idx="4">
                  <c:v>257</c:v>
                </c:pt>
                <c:pt idx="6">
                  <c:v>274.3</c:v>
                </c:pt>
              </c:numCache>
            </c:numRef>
          </c:val>
        </c:ser>
        <c:dLbls>
          <c:showLegendKey val="0"/>
          <c:showVal val="0"/>
          <c:showCatName val="0"/>
          <c:showSerName val="0"/>
          <c:showPercent val="0"/>
          <c:showBubbleSize val="0"/>
        </c:dLbls>
        <c:gapWidth val="150"/>
        <c:axId val="170742144"/>
        <c:axId val="170743680"/>
      </c:barChart>
      <c:catAx>
        <c:axId val="170742144"/>
        <c:scaling>
          <c:orientation val="minMax"/>
        </c:scaling>
        <c:delete val="0"/>
        <c:axPos val="l"/>
        <c:numFmt formatCode="General" sourceLinked="1"/>
        <c:majorTickMark val="out"/>
        <c:minorTickMark val="none"/>
        <c:tickLblPos val="nextTo"/>
        <c:txPr>
          <a:bodyPr/>
          <a:lstStyle/>
          <a:p>
            <a:pPr>
              <a:defRPr b="1">
                <a:latin typeface="Times New Roman" pitchFamily="18" charset="0"/>
                <a:cs typeface="Times New Roman" pitchFamily="18" charset="0"/>
              </a:defRPr>
            </a:pPr>
            <a:endParaRPr lang="en-US"/>
          </a:p>
        </c:txPr>
        <c:crossAx val="170743680"/>
        <c:crosses val="autoZero"/>
        <c:auto val="1"/>
        <c:lblAlgn val="ctr"/>
        <c:lblOffset val="100"/>
        <c:noMultiLvlLbl val="0"/>
      </c:catAx>
      <c:valAx>
        <c:axId val="170743680"/>
        <c:scaling>
          <c:orientation val="minMax"/>
          <c:max val="300"/>
        </c:scaling>
        <c:delete val="0"/>
        <c:axPos val="b"/>
        <c:title>
          <c:tx>
            <c:rich>
              <a:bodyPr/>
              <a:lstStyle/>
              <a:p>
                <a:pPr>
                  <a:defRPr sz="981" b="1" i="0" u="none" strike="noStrike" baseline="0">
                    <a:solidFill>
                      <a:srgbClr val="000000"/>
                    </a:solidFill>
                    <a:latin typeface="Times New Roman"/>
                    <a:ea typeface="Times New Roman"/>
                    <a:cs typeface="Times New Roman"/>
                  </a:defRPr>
                </a:pPr>
                <a:r>
                  <a:rPr lang="en-US"/>
                  <a:t>Millions</a:t>
                </a:r>
              </a:p>
            </c:rich>
          </c:tx>
          <c:overlay val="0"/>
          <c:spPr>
            <a:noFill/>
            <a:ln w="25420">
              <a:noFill/>
            </a:ln>
          </c:spPr>
        </c:title>
        <c:numFmt formatCode="General" sourceLinked="1"/>
        <c:majorTickMark val="out"/>
        <c:minorTickMark val="none"/>
        <c:tickLblPos val="nextTo"/>
        <c:txPr>
          <a:bodyPr/>
          <a:lstStyle/>
          <a:p>
            <a:pPr>
              <a:defRPr>
                <a:latin typeface="Times New Roman" pitchFamily="18" charset="0"/>
                <a:cs typeface="Times New Roman" pitchFamily="18" charset="0"/>
              </a:defRPr>
            </a:pPr>
            <a:endParaRPr lang="en-US"/>
          </a:p>
        </c:txPr>
        <c:crossAx val="170742144"/>
        <c:crosses val="autoZero"/>
        <c:crossBetween val="between"/>
        <c:majorUnit val="100"/>
      </c:valAx>
    </c:plotArea>
    <c:legend>
      <c:legendPos val="r"/>
      <c:layout>
        <c:manualLayout>
          <c:xMode val="edge"/>
          <c:yMode val="edge"/>
          <c:x val="0.67778127734033244"/>
          <c:y val="0.69203047326820533"/>
          <c:w val="0.1962489688788901"/>
          <c:h val="0.12144063653934378"/>
        </c:manualLayout>
      </c:layout>
      <c:overlay val="0"/>
      <c:txPr>
        <a:bodyPr/>
        <a:lstStyle/>
        <a:p>
          <a:pPr>
            <a:defRPr>
              <a:latin typeface="Times New Roman" pitchFamily="18" charset="0"/>
              <a:cs typeface="Times New Roman" pitchFamily="18" charset="0"/>
            </a:defRPr>
          </a:pPr>
          <a:endParaRPr lang="en-US"/>
        </a:p>
      </c:txPr>
    </c:legend>
    <c:plotVisOnly val="1"/>
    <c:dispBlanksAs val="gap"/>
    <c:showDLblsOverMax val="0"/>
  </c:chart>
  <c:externalData r:id="rId2">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23508903447592702"/>
          <c:y val="4.4025031257775515E-2"/>
          <c:w val="0.76491094623506994"/>
          <c:h val="0.58508816925701601"/>
        </c:manualLayout>
      </c:layout>
      <c:barChart>
        <c:barDir val="col"/>
        <c:grouping val="stacked"/>
        <c:varyColors val="0"/>
        <c:ser>
          <c:idx val="0"/>
          <c:order val="0"/>
          <c:tx>
            <c:strRef>
              <c:f>'UBS Data'!$A$2</c:f>
              <c:strCache>
                <c:ptCount val="1"/>
                <c:pt idx="0">
                  <c:v>Postpaid</c:v>
                </c:pt>
              </c:strCache>
            </c:strRef>
          </c:tx>
          <c:spPr>
            <a:solidFill>
              <a:srgbClr val="0066CC"/>
            </a:solidFill>
            <a:ln w="25077">
              <a:noFill/>
            </a:ln>
          </c:spPr>
          <c:invertIfNegative val="0"/>
          <c:cat>
            <c:strRef>
              <c:f>'UBS Data'!$B$1:$M$1</c:f>
              <c:strCache>
                <c:ptCount val="12"/>
                <c:pt idx="0">
                  <c:v>Q1 2009</c:v>
                </c:pt>
                <c:pt idx="1">
                  <c:v>Q2 2009</c:v>
                </c:pt>
                <c:pt idx="2">
                  <c:v>Q3 2009</c:v>
                </c:pt>
                <c:pt idx="3">
                  <c:v>Q4 2009</c:v>
                </c:pt>
                <c:pt idx="4">
                  <c:v>Q1 2010</c:v>
                </c:pt>
                <c:pt idx="5">
                  <c:v>Q2 2010</c:v>
                </c:pt>
                <c:pt idx="6">
                  <c:v>Q3 2010</c:v>
                </c:pt>
                <c:pt idx="7">
                  <c:v>Q4 2010</c:v>
                </c:pt>
                <c:pt idx="8">
                  <c:v>Q1 2011</c:v>
                </c:pt>
                <c:pt idx="9">
                  <c:v>Q2 2011</c:v>
                </c:pt>
                <c:pt idx="10">
                  <c:v>Q3 2011</c:v>
                </c:pt>
                <c:pt idx="11">
                  <c:v>Q4 2011</c:v>
                </c:pt>
              </c:strCache>
            </c:strRef>
          </c:cat>
          <c:val>
            <c:numRef>
              <c:f>'UBS Data'!$B$2:$M$2</c:f>
              <c:numCache>
                <c:formatCode>0.0</c:formatCode>
                <c:ptCount val="12"/>
                <c:pt idx="0">
                  <c:v>200.63</c:v>
                </c:pt>
                <c:pt idx="1">
                  <c:v>208.81200000000001</c:v>
                </c:pt>
                <c:pt idx="2">
                  <c:v>210.02799999999999</c:v>
                </c:pt>
                <c:pt idx="3">
                  <c:v>212.30099999999999</c:v>
                </c:pt>
                <c:pt idx="4">
                  <c:v>211.25299999999999</c:v>
                </c:pt>
                <c:pt idx="5">
                  <c:v>213.446</c:v>
                </c:pt>
                <c:pt idx="6">
                  <c:v>214.369</c:v>
                </c:pt>
                <c:pt idx="7">
                  <c:v>215.273</c:v>
                </c:pt>
                <c:pt idx="8">
                  <c:v>215.46899999999999</c:v>
                </c:pt>
                <c:pt idx="9">
                  <c:v>216.316</c:v>
                </c:pt>
                <c:pt idx="10">
                  <c:v>216.99600000000001</c:v>
                </c:pt>
                <c:pt idx="11">
                  <c:v>218.24799999999999</c:v>
                </c:pt>
              </c:numCache>
            </c:numRef>
          </c:val>
        </c:ser>
        <c:ser>
          <c:idx val="1"/>
          <c:order val="1"/>
          <c:tx>
            <c:strRef>
              <c:f>'UBS Data'!$A$3</c:f>
              <c:strCache>
                <c:ptCount val="1"/>
                <c:pt idx="0">
                  <c:v>Prepaid</c:v>
                </c:pt>
              </c:strCache>
            </c:strRef>
          </c:tx>
          <c:spPr>
            <a:solidFill>
              <a:srgbClr val="800000"/>
            </a:solidFill>
            <a:ln w="25077">
              <a:noFill/>
            </a:ln>
          </c:spPr>
          <c:invertIfNegative val="0"/>
          <c:cat>
            <c:strRef>
              <c:f>'UBS Data'!$B$1:$M$1</c:f>
              <c:strCache>
                <c:ptCount val="12"/>
                <c:pt idx="0">
                  <c:v>Q1 2009</c:v>
                </c:pt>
                <c:pt idx="1">
                  <c:v>Q2 2009</c:v>
                </c:pt>
                <c:pt idx="2">
                  <c:v>Q3 2009</c:v>
                </c:pt>
                <c:pt idx="3">
                  <c:v>Q4 2009</c:v>
                </c:pt>
                <c:pt idx="4">
                  <c:v>Q1 2010</c:v>
                </c:pt>
                <c:pt idx="5">
                  <c:v>Q2 2010</c:v>
                </c:pt>
                <c:pt idx="6">
                  <c:v>Q3 2010</c:v>
                </c:pt>
                <c:pt idx="7">
                  <c:v>Q4 2010</c:v>
                </c:pt>
                <c:pt idx="8">
                  <c:v>Q1 2011</c:v>
                </c:pt>
                <c:pt idx="9">
                  <c:v>Q2 2011</c:v>
                </c:pt>
                <c:pt idx="10">
                  <c:v>Q3 2011</c:v>
                </c:pt>
                <c:pt idx="11">
                  <c:v>Q4 2011</c:v>
                </c:pt>
              </c:strCache>
            </c:strRef>
          </c:cat>
          <c:val>
            <c:numRef>
              <c:f>'UBS Data'!$B$3:$M$3</c:f>
              <c:numCache>
                <c:formatCode>0.0</c:formatCode>
                <c:ptCount val="12"/>
                <c:pt idx="0">
                  <c:v>49.246000000000002</c:v>
                </c:pt>
                <c:pt idx="1">
                  <c:v>50.779000000000003</c:v>
                </c:pt>
                <c:pt idx="2">
                  <c:v>51.802999999999997</c:v>
                </c:pt>
                <c:pt idx="3">
                  <c:v>54.996000000000002</c:v>
                </c:pt>
                <c:pt idx="4">
                  <c:v>57.058999999999997</c:v>
                </c:pt>
                <c:pt idx="5">
                  <c:v>58.008000000000003</c:v>
                </c:pt>
                <c:pt idx="6">
                  <c:v>59.582999999999998</c:v>
                </c:pt>
                <c:pt idx="7">
                  <c:v>62.540999999999997</c:v>
                </c:pt>
                <c:pt idx="8">
                  <c:v>65.566000000000003</c:v>
                </c:pt>
                <c:pt idx="9">
                  <c:v>66.962000000000003</c:v>
                </c:pt>
                <c:pt idx="10">
                  <c:v>68.751000000000005</c:v>
                </c:pt>
                <c:pt idx="11">
                  <c:v>70.828999999999994</c:v>
                </c:pt>
              </c:numCache>
            </c:numRef>
          </c:val>
        </c:ser>
        <c:ser>
          <c:idx val="2"/>
          <c:order val="2"/>
          <c:tx>
            <c:strRef>
              <c:f>'UBS Data'!$A$4</c:f>
              <c:strCache>
                <c:ptCount val="1"/>
                <c:pt idx="0">
                  <c:v>Wholesale</c:v>
                </c:pt>
              </c:strCache>
            </c:strRef>
          </c:tx>
          <c:spPr>
            <a:solidFill>
              <a:srgbClr val="FF8080"/>
            </a:solidFill>
            <a:ln w="25077">
              <a:noFill/>
            </a:ln>
          </c:spPr>
          <c:invertIfNegative val="0"/>
          <c:cat>
            <c:strRef>
              <c:f>'UBS Data'!$B$1:$M$1</c:f>
              <c:strCache>
                <c:ptCount val="12"/>
                <c:pt idx="0">
                  <c:v>Q1 2009</c:v>
                </c:pt>
                <c:pt idx="1">
                  <c:v>Q2 2009</c:v>
                </c:pt>
                <c:pt idx="2">
                  <c:v>Q3 2009</c:v>
                </c:pt>
                <c:pt idx="3">
                  <c:v>Q4 2009</c:v>
                </c:pt>
                <c:pt idx="4">
                  <c:v>Q1 2010</c:v>
                </c:pt>
                <c:pt idx="5">
                  <c:v>Q2 2010</c:v>
                </c:pt>
                <c:pt idx="6">
                  <c:v>Q3 2010</c:v>
                </c:pt>
                <c:pt idx="7">
                  <c:v>Q4 2010</c:v>
                </c:pt>
                <c:pt idx="8">
                  <c:v>Q1 2011</c:v>
                </c:pt>
                <c:pt idx="9">
                  <c:v>Q2 2011</c:v>
                </c:pt>
                <c:pt idx="10">
                  <c:v>Q3 2011</c:v>
                </c:pt>
                <c:pt idx="11">
                  <c:v>Q4 2011</c:v>
                </c:pt>
              </c:strCache>
            </c:strRef>
          </c:cat>
          <c:val>
            <c:numRef>
              <c:f>'UBS Data'!$B$4:$M$4</c:f>
              <c:numCache>
                <c:formatCode>0.0</c:formatCode>
                <c:ptCount val="12"/>
                <c:pt idx="0">
                  <c:v>2.83</c:v>
                </c:pt>
                <c:pt idx="1">
                  <c:v>2.78</c:v>
                </c:pt>
                <c:pt idx="2">
                  <c:v>2.91</c:v>
                </c:pt>
                <c:pt idx="3">
                  <c:v>3.22</c:v>
                </c:pt>
                <c:pt idx="4">
                  <c:v>3.89</c:v>
                </c:pt>
                <c:pt idx="5">
                  <c:v>4.37</c:v>
                </c:pt>
                <c:pt idx="6">
                  <c:v>4.9800000000000004</c:v>
                </c:pt>
                <c:pt idx="7">
                  <c:v>5.0199999999999996</c:v>
                </c:pt>
                <c:pt idx="8">
                  <c:v>5.86</c:v>
                </c:pt>
                <c:pt idx="9">
                  <c:v>6.58</c:v>
                </c:pt>
                <c:pt idx="10">
                  <c:v>7.64</c:v>
                </c:pt>
                <c:pt idx="11">
                  <c:v>9.09</c:v>
                </c:pt>
              </c:numCache>
            </c:numRef>
          </c:val>
        </c:ser>
        <c:ser>
          <c:idx val="3"/>
          <c:order val="3"/>
          <c:tx>
            <c:strRef>
              <c:f>'UBS Data'!$A$5</c:f>
              <c:strCache>
                <c:ptCount val="1"/>
                <c:pt idx="0">
                  <c:v>Connected Devices</c:v>
                </c:pt>
              </c:strCache>
            </c:strRef>
          </c:tx>
          <c:spPr>
            <a:solidFill>
              <a:srgbClr val="008080"/>
            </a:solidFill>
            <a:ln w="25077">
              <a:noFill/>
            </a:ln>
          </c:spPr>
          <c:invertIfNegative val="0"/>
          <c:cat>
            <c:strRef>
              <c:f>'UBS Data'!$B$1:$M$1</c:f>
              <c:strCache>
                <c:ptCount val="12"/>
                <c:pt idx="0">
                  <c:v>Q1 2009</c:v>
                </c:pt>
                <c:pt idx="1">
                  <c:v>Q2 2009</c:v>
                </c:pt>
                <c:pt idx="2">
                  <c:v>Q3 2009</c:v>
                </c:pt>
                <c:pt idx="3">
                  <c:v>Q4 2009</c:v>
                </c:pt>
                <c:pt idx="4">
                  <c:v>Q1 2010</c:v>
                </c:pt>
                <c:pt idx="5">
                  <c:v>Q2 2010</c:v>
                </c:pt>
                <c:pt idx="6">
                  <c:v>Q3 2010</c:v>
                </c:pt>
                <c:pt idx="7">
                  <c:v>Q4 2010</c:v>
                </c:pt>
                <c:pt idx="8">
                  <c:v>Q1 2011</c:v>
                </c:pt>
                <c:pt idx="9">
                  <c:v>Q2 2011</c:v>
                </c:pt>
                <c:pt idx="10">
                  <c:v>Q3 2011</c:v>
                </c:pt>
                <c:pt idx="11">
                  <c:v>Q4 2011</c:v>
                </c:pt>
              </c:strCache>
            </c:strRef>
          </c:cat>
          <c:val>
            <c:numRef>
              <c:f>'UBS Data'!$B$5:$M$5</c:f>
              <c:numCache>
                <c:formatCode>0.0</c:formatCode>
                <c:ptCount val="12"/>
                <c:pt idx="0">
                  <c:v>10.9</c:v>
                </c:pt>
                <c:pt idx="1">
                  <c:v>11.67</c:v>
                </c:pt>
                <c:pt idx="2">
                  <c:v>11.84</c:v>
                </c:pt>
                <c:pt idx="3">
                  <c:v>13.19</c:v>
                </c:pt>
                <c:pt idx="4">
                  <c:v>14.24</c:v>
                </c:pt>
                <c:pt idx="5">
                  <c:v>15.85</c:v>
                </c:pt>
                <c:pt idx="6">
                  <c:v>17.48</c:v>
                </c:pt>
                <c:pt idx="7">
                  <c:v>19.309999999999999</c:v>
                </c:pt>
                <c:pt idx="8">
                  <c:v>21.04</c:v>
                </c:pt>
                <c:pt idx="9">
                  <c:v>22.49</c:v>
                </c:pt>
                <c:pt idx="10">
                  <c:v>23.93</c:v>
                </c:pt>
                <c:pt idx="11">
                  <c:v>24</c:v>
                </c:pt>
              </c:numCache>
            </c:numRef>
          </c:val>
        </c:ser>
        <c:dLbls>
          <c:showLegendKey val="0"/>
          <c:showVal val="0"/>
          <c:showCatName val="0"/>
          <c:showSerName val="0"/>
          <c:showPercent val="0"/>
          <c:showBubbleSize val="0"/>
        </c:dLbls>
        <c:gapWidth val="95"/>
        <c:overlap val="100"/>
        <c:axId val="170816256"/>
        <c:axId val="170817792"/>
      </c:barChart>
      <c:catAx>
        <c:axId val="170816256"/>
        <c:scaling>
          <c:orientation val="minMax"/>
        </c:scaling>
        <c:delete val="0"/>
        <c:axPos val="b"/>
        <c:numFmt formatCode="General" sourceLinked="1"/>
        <c:majorTickMark val="none"/>
        <c:minorTickMark val="none"/>
        <c:tickLblPos val="nextTo"/>
        <c:crossAx val="170817792"/>
        <c:crosses val="autoZero"/>
        <c:auto val="1"/>
        <c:lblAlgn val="ctr"/>
        <c:lblOffset val="100"/>
        <c:noMultiLvlLbl val="0"/>
      </c:catAx>
      <c:valAx>
        <c:axId val="170817792"/>
        <c:scaling>
          <c:orientation val="minMax"/>
        </c:scaling>
        <c:delete val="0"/>
        <c:axPos val="l"/>
        <c:title>
          <c:tx>
            <c:rich>
              <a:bodyPr/>
              <a:lstStyle/>
              <a:p>
                <a:pPr>
                  <a:defRPr sz="970" b="1" i="0" u="none" strike="noStrike" baseline="0">
                    <a:solidFill>
                      <a:srgbClr val="000000"/>
                    </a:solidFill>
                    <a:latin typeface="Arial"/>
                    <a:ea typeface="Arial"/>
                    <a:cs typeface="Arial"/>
                  </a:defRPr>
                </a:pPr>
                <a:r>
                  <a:rPr lang="en-US"/>
                  <a:t>Subscribers (Millions)</a:t>
                </a:r>
              </a:p>
            </c:rich>
          </c:tx>
          <c:layout>
            <c:manualLayout>
              <c:xMode val="edge"/>
              <c:yMode val="edge"/>
              <c:x val="6.8047318553265942E-2"/>
              <c:y val="0.16012391479911164"/>
            </c:manualLayout>
          </c:layout>
          <c:overlay val="0"/>
          <c:spPr>
            <a:noFill/>
            <a:ln w="25135">
              <a:noFill/>
            </a:ln>
          </c:spPr>
        </c:title>
        <c:numFmt formatCode="0.0" sourceLinked="1"/>
        <c:majorTickMark val="none"/>
        <c:minorTickMark val="none"/>
        <c:tickLblPos val="nextTo"/>
        <c:spPr>
          <a:ln w="3133">
            <a:solidFill>
              <a:srgbClr val="000000"/>
            </a:solidFill>
            <a:prstDash val="solid"/>
          </a:ln>
        </c:spPr>
        <c:txPr>
          <a:bodyPr rot="0" vert="horz"/>
          <a:lstStyle/>
          <a:p>
            <a:pPr>
              <a:defRPr sz="990" b="0" i="0" u="none" strike="noStrike" baseline="0">
                <a:solidFill>
                  <a:srgbClr val="000000"/>
                </a:solidFill>
                <a:latin typeface="Arial"/>
                <a:ea typeface="Arial"/>
                <a:cs typeface="Arial"/>
              </a:defRPr>
            </a:pPr>
            <a:endParaRPr lang="en-US"/>
          </a:p>
        </c:txPr>
        <c:crossAx val="170816256"/>
        <c:crosses val="autoZero"/>
        <c:crossBetween val="between"/>
      </c:valAx>
      <c:dTable>
        <c:showHorzBorder val="1"/>
        <c:showVertBorder val="1"/>
        <c:showOutline val="1"/>
        <c:showKeys val="1"/>
        <c:spPr>
          <a:ln w="3133">
            <a:solidFill>
              <a:srgbClr val="000000"/>
            </a:solidFill>
            <a:prstDash val="solid"/>
          </a:ln>
        </c:spPr>
        <c:txPr>
          <a:bodyPr/>
          <a:lstStyle/>
          <a:p>
            <a:pPr rtl="0">
              <a:defRPr sz="887">
                <a:latin typeface="Arial" pitchFamily="34" charset="0"/>
                <a:cs typeface="Arial" pitchFamily="34" charset="0"/>
              </a:defRPr>
            </a:pPr>
            <a:endParaRPr lang="en-US"/>
          </a:p>
        </c:txPr>
      </c:dTable>
      <c:spPr>
        <a:solidFill>
          <a:srgbClr val="FFFFFF"/>
        </a:solidFill>
        <a:ln w="3133">
          <a:solidFill>
            <a:srgbClr val="000000"/>
          </a:solidFill>
          <a:prstDash val="solid"/>
        </a:ln>
      </c:spPr>
    </c:plotArea>
    <c:plotVisOnly val="1"/>
    <c:dispBlanksAs val="gap"/>
    <c:showDLblsOverMax val="0"/>
  </c:chart>
  <c:spPr>
    <a:solidFill>
      <a:srgbClr val="FFFFFF"/>
    </a:solidFill>
    <a:ln w="6284">
      <a:solidFill>
        <a:srgbClr val="000000"/>
      </a:solidFill>
      <a:prstDash val="solid"/>
    </a:ln>
  </c:spPr>
  <c:externalData r:id="rId2">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6.5255731922398821E-2"/>
          <c:y val="7.189542483660169E-2"/>
          <c:w val="0.8871252204585558"/>
          <c:h val="0.80065359477123987"/>
        </c:manualLayout>
      </c:layout>
      <c:barChart>
        <c:barDir val="col"/>
        <c:grouping val="clustered"/>
        <c:varyColors val="0"/>
        <c:ser>
          <c:idx val="0"/>
          <c:order val="0"/>
          <c:tx>
            <c:strRef>
              <c:f>Sheet2!$B$2</c:f>
              <c:strCache>
                <c:ptCount val="1"/>
                <c:pt idx="0">
                  <c:v>NRUF</c:v>
                </c:pt>
              </c:strCache>
            </c:strRef>
          </c:tx>
          <c:spPr>
            <a:solidFill>
              <a:srgbClr val="99CCFF"/>
            </a:solidFill>
            <a:ln w="24951">
              <a:noFill/>
            </a:ln>
          </c:spPr>
          <c:invertIfNegative val="0"/>
          <c:dLbls>
            <c:numFmt formatCode="0.0" sourceLinked="0"/>
            <c:spPr>
              <a:noFill/>
              <a:ln w="25136">
                <a:noFill/>
              </a:ln>
            </c:spPr>
            <c:txPr>
              <a:bodyPr/>
              <a:lstStyle/>
              <a:p>
                <a:pPr>
                  <a:defRPr sz="693" b="1" i="0" u="none" strike="noStrike" baseline="0">
                    <a:solidFill>
                      <a:srgbClr val="000000"/>
                    </a:solidFill>
                    <a:latin typeface="Arial"/>
                    <a:ea typeface="Arial"/>
                    <a:cs typeface="Arial"/>
                  </a:defRPr>
                </a:pPr>
                <a:endParaRPr lang="en-US"/>
              </a:p>
            </c:txPr>
            <c:showLegendKey val="0"/>
            <c:showVal val="1"/>
            <c:showCatName val="0"/>
            <c:showSerName val="0"/>
            <c:showPercent val="0"/>
            <c:showBubbleSize val="0"/>
            <c:showLeaderLines val="0"/>
          </c:dLbls>
          <c:cat>
            <c:numRef>
              <c:f>Sheet2!$A$3:$A$9</c:f>
              <c:numCache>
                <c:formatCode>General</c:formatCode>
                <c:ptCount val="7"/>
                <c:pt idx="0">
                  <c:v>2005</c:v>
                </c:pt>
                <c:pt idx="1">
                  <c:v>2006</c:v>
                </c:pt>
                <c:pt idx="2">
                  <c:v>2007</c:v>
                </c:pt>
                <c:pt idx="3">
                  <c:v>2008</c:v>
                </c:pt>
                <c:pt idx="4">
                  <c:v>2009</c:v>
                </c:pt>
                <c:pt idx="5">
                  <c:v>2010</c:v>
                </c:pt>
                <c:pt idx="6">
                  <c:v>2011</c:v>
                </c:pt>
              </c:numCache>
            </c:numRef>
          </c:cat>
          <c:val>
            <c:numRef>
              <c:f>Sheet2!$B$3:$B$9</c:f>
              <c:numCache>
                <c:formatCode>General</c:formatCode>
                <c:ptCount val="7"/>
                <c:pt idx="0">
                  <c:v>28.3</c:v>
                </c:pt>
                <c:pt idx="1">
                  <c:v>28.8</c:v>
                </c:pt>
                <c:pt idx="2">
                  <c:v>21.2</c:v>
                </c:pt>
                <c:pt idx="3">
                  <c:v>16.600000000000001</c:v>
                </c:pt>
                <c:pt idx="4">
                  <c:v>11.1</c:v>
                </c:pt>
                <c:pt idx="5">
                  <c:v>11.1</c:v>
                </c:pt>
                <c:pt idx="6">
                  <c:v>15.5</c:v>
                </c:pt>
              </c:numCache>
            </c:numRef>
          </c:val>
        </c:ser>
        <c:ser>
          <c:idx val="1"/>
          <c:order val="1"/>
          <c:tx>
            <c:strRef>
              <c:f>Sheet2!$C$2</c:f>
              <c:strCache>
                <c:ptCount val="1"/>
                <c:pt idx="0">
                  <c:v>CTIA</c:v>
                </c:pt>
              </c:strCache>
            </c:strRef>
          </c:tx>
          <c:spPr>
            <a:solidFill>
              <a:srgbClr val="0066CC"/>
            </a:solidFill>
            <a:ln w="24951">
              <a:noFill/>
            </a:ln>
          </c:spPr>
          <c:invertIfNegative val="0"/>
          <c:dLbls>
            <c:numFmt formatCode="0.0" sourceLinked="0"/>
            <c:spPr>
              <a:noFill/>
              <a:ln w="25136">
                <a:noFill/>
              </a:ln>
            </c:spPr>
            <c:txPr>
              <a:bodyPr/>
              <a:lstStyle/>
              <a:p>
                <a:pPr>
                  <a:defRPr sz="693" b="1" i="0" u="none" strike="noStrike" baseline="0">
                    <a:solidFill>
                      <a:srgbClr val="000000"/>
                    </a:solidFill>
                    <a:latin typeface="Arial"/>
                    <a:ea typeface="Arial"/>
                    <a:cs typeface="Arial"/>
                  </a:defRPr>
                </a:pPr>
                <a:endParaRPr lang="en-US"/>
              </a:p>
            </c:txPr>
            <c:showLegendKey val="0"/>
            <c:showVal val="1"/>
            <c:showCatName val="0"/>
            <c:showSerName val="0"/>
            <c:showPercent val="0"/>
            <c:showBubbleSize val="0"/>
            <c:showLeaderLines val="0"/>
          </c:dLbls>
          <c:cat>
            <c:numRef>
              <c:f>Sheet2!$A$3:$A$9</c:f>
              <c:numCache>
                <c:formatCode>General</c:formatCode>
                <c:ptCount val="7"/>
                <c:pt idx="0">
                  <c:v>2005</c:v>
                </c:pt>
                <c:pt idx="1">
                  <c:v>2006</c:v>
                </c:pt>
                <c:pt idx="2">
                  <c:v>2007</c:v>
                </c:pt>
                <c:pt idx="3">
                  <c:v>2008</c:v>
                </c:pt>
                <c:pt idx="4">
                  <c:v>2009</c:v>
                </c:pt>
                <c:pt idx="5">
                  <c:v>2010</c:v>
                </c:pt>
                <c:pt idx="6">
                  <c:v>2011</c:v>
                </c:pt>
              </c:numCache>
            </c:numRef>
          </c:cat>
          <c:val>
            <c:numRef>
              <c:f>Sheet2!$C$3:$C$9</c:f>
              <c:numCache>
                <c:formatCode>General</c:formatCode>
                <c:ptCount val="7"/>
                <c:pt idx="0">
                  <c:v>25.800000000000011</c:v>
                </c:pt>
                <c:pt idx="1">
                  <c:v>25.099999999999994</c:v>
                </c:pt>
                <c:pt idx="2">
                  <c:v>22.400000000000006</c:v>
                </c:pt>
                <c:pt idx="3">
                  <c:v>14.900000000000006</c:v>
                </c:pt>
                <c:pt idx="4">
                  <c:v>15.3</c:v>
                </c:pt>
                <c:pt idx="5">
                  <c:v>10.7</c:v>
                </c:pt>
                <c:pt idx="6">
                  <c:v>19.7</c:v>
                </c:pt>
              </c:numCache>
            </c:numRef>
          </c:val>
        </c:ser>
        <c:ser>
          <c:idx val="2"/>
          <c:order val="2"/>
          <c:tx>
            <c:strRef>
              <c:f>Sheet2!$D$2</c:f>
              <c:strCache>
                <c:ptCount val="1"/>
                <c:pt idx="0">
                  <c:v>Form 477</c:v>
                </c:pt>
              </c:strCache>
            </c:strRef>
          </c:tx>
          <c:invertIfNegative val="0"/>
          <c:dLbls>
            <c:spPr>
              <a:noFill/>
              <a:ln w="25136">
                <a:noFill/>
              </a:ln>
            </c:spPr>
            <c:txPr>
              <a:bodyPr/>
              <a:lstStyle/>
              <a:p>
                <a:pPr>
                  <a:defRPr sz="688" b="1"/>
                </a:pPr>
                <a:endParaRPr lang="en-US"/>
              </a:p>
            </c:txPr>
            <c:showLegendKey val="0"/>
            <c:showVal val="1"/>
            <c:showCatName val="0"/>
            <c:showSerName val="0"/>
            <c:showPercent val="0"/>
            <c:showBubbleSize val="0"/>
            <c:showLeaderLines val="0"/>
          </c:dLbls>
          <c:cat>
            <c:numRef>
              <c:f>Sheet2!$A$3:$A$9</c:f>
              <c:numCache>
                <c:formatCode>General</c:formatCode>
                <c:ptCount val="7"/>
                <c:pt idx="0">
                  <c:v>2005</c:v>
                </c:pt>
                <c:pt idx="1">
                  <c:v>2006</c:v>
                </c:pt>
                <c:pt idx="2">
                  <c:v>2007</c:v>
                </c:pt>
                <c:pt idx="3">
                  <c:v>2008</c:v>
                </c:pt>
                <c:pt idx="4">
                  <c:v>2009</c:v>
                </c:pt>
                <c:pt idx="5">
                  <c:v>2010</c:v>
                </c:pt>
                <c:pt idx="6">
                  <c:v>2011</c:v>
                </c:pt>
              </c:numCache>
            </c:numRef>
          </c:cat>
          <c:val>
            <c:numRef>
              <c:f>Sheet2!$D$3:$D$9</c:f>
              <c:numCache>
                <c:formatCode>General</c:formatCode>
                <c:ptCount val="7"/>
                <c:pt idx="1">
                  <c:v>25.900000000000006</c:v>
                </c:pt>
                <c:pt idx="2">
                  <c:v>19.700000000000017</c:v>
                </c:pt>
                <c:pt idx="3">
                  <c:v>12</c:v>
                </c:pt>
                <c:pt idx="4">
                  <c:v>13</c:v>
                </c:pt>
                <c:pt idx="5">
                  <c:v>10.800000000000011</c:v>
                </c:pt>
                <c:pt idx="6">
                  <c:v>13.2</c:v>
                </c:pt>
              </c:numCache>
            </c:numRef>
          </c:val>
        </c:ser>
        <c:dLbls>
          <c:showLegendKey val="0"/>
          <c:showVal val="0"/>
          <c:showCatName val="0"/>
          <c:showSerName val="0"/>
          <c:showPercent val="0"/>
          <c:showBubbleSize val="0"/>
        </c:dLbls>
        <c:gapWidth val="150"/>
        <c:overlap val="-20"/>
        <c:axId val="171108992"/>
        <c:axId val="172425600"/>
      </c:barChart>
      <c:catAx>
        <c:axId val="171108992"/>
        <c:scaling>
          <c:orientation val="minMax"/>
        </c:scaling>
        <c:delete val="0"/>
        <c:axPos val="b"/>
        <c:numFmt formatCode="General" sourceLinked="1"/>
        <c:majorTickMark val="out"/>
        <c:minorTickMark val="none"/>
        <c:tickLblPos val="nextTo"/>
        <c:spPr>
          <a:ln w="3118">
            <a:solidFill>
              <a:srgbClr val="000000"/>
            </a:solidFill>
            <a:prstDash val="solid"/>
          </a:ln>
        </c:spPr>
        <c:txPr>
          <a:bodyPr rot="0" vert="horz"/>
          <a:lstStyle/>
          <a:p>
            <a:pPr>
              <a:defRPr sz="866" b="0" i="0" u="none" strike="noStrike" baseline="0">
                <a:solidFill>
                  <a:srgbClr val="000000"/>
                </a:solidFill>
                <a:latin typeface="Arial"/>
                <a:ea typeface="Arial"/>
                <a:cs typeface="Arial"/>
              </a:defRPr>
            </a:pPr>
            <a:endParaRPr lang="en-US"/>
          </a:p>
        </c:txPr>
        <c:crossAx val="172425600"/>
        <c:crosses val="autoZero"/>
        <c:auto val="1"/>
        <c:lblAlgn val="ctr"/>
        <c:lblOffset val="100"/>
        <c:tickLblSkip val="1"/>
        <c:tickMarkSkip val="1"/>
        <c:noMultiLvlLbl val="0"/>
      </c:catAx>
      <c:valAx>
        <c:axId val="172425600"/>
        <c:scaling>
          <c:orientation val="minMax"/>
        </c:scaling>
        <c:delete val="0"/>
        <c:axPos val="l"/>
        <c:numFmt formatCode="General" sourceLinked="1"/>
        <c:majorTickMark val="out"/>
        <c:minorTickMark val="none"/>
        <c:tickLblPos val="nextTo"/>
        <c:spPr>
          <a:ln w="3118">
            <a:solidFill>
              <a:srgbClr val="000000"/>
            </a:solidFill>
            <a:prstDash val="solid"/>
          </a:ln>
        </c:spPr>
        <c:txPr>
          <a:bodyPr rot="0" vert="horz"/>
          <a:lstStyle/>
          <a:p>
            <a:pPr>
              <a:defRPr sz="866" b="0" i="0" u="none" strike="noStrike" baseline="0">
                <a:solidFill>
                  <a:srgbClr val="000000"/>
                </a:solidFill>
                <a:latin typeface="Arial"/>
                <a:ea typeface="Arial"/>
                <a:cs typeface="Arial"/>
              </a:defRPr>
            </a:pPr>
            <a:endParaRPr lang="en-US"/>
          </a:p>
        </c:txPr>
        <c:crossAx val="171108992"/>
        <c:crosses val="autoZero"/>
        <c:crossBetween val="between"/>
      </c:valAx>
      <c:spPr>
        <a:solidFill>
          <a:srgbClr val="FFFFFF"/>
        </a:solidFill>
        <a:ln w="3118">
          <a:solidFill>
            <a:srgbClr val="000000"/>
          </a:solidFill>
          <a:prstDash val="solid"/>
        </a:ln>
      </c:spPr>
    </c:plotArea>
    <c:legend>
      <c:legendPos val="r"/>
      <c:layout>
        <c:manualLayout>
          <c:xMode val="edge"/>
          <c:yMode val="edge"/>
          <c:x val="0.52838314034275125"/>
          <c:y val="0.12552780133252575"/>
          <c:w val="0.11497915701713757"/>
          <c:h val="0.18731629315566325"/>
        </c:manualLayout>
      </c:layout>
      <c:overlay val="0"/>
      <c:spPr>
        <a:solidFill>
          <a:srgbClr val="FFFFFF"/>
        </a:solidFill>
        <a:ln w="3118">
          <a:solidFill>
            <a:srgbClr val="000000"/>
          </a:solidFill>
          <a:prstDash val="solid"/>
        </a:ln>
      </c:spPr>
      <c:txPr>
        <a:bodyPr/>
        <a:lstStyle/>
        <a:p>
          <a:pPr>
            <a:defRPr sz="792" b="0" i="0" u="none" strike="noStrike" baseline="0">
              <a:solidFill>
                <a:srgbClr val="000000"/>
              </a:solidFill>
              <a:latin typeface="Arial"/>
              <a:ea typeface="Arial"/>
              <a:cs typeface="Arial"/>
            </a:defRPr>
          </a:pPr>
          <a:endParaRPr lang="en-US"/>
        </a:p>
      </c:txPr>
    </c:legend>
    <c:plotVisOnly val="1"/>
    <c:dispBlanksAs val="gap"/>
    <c:showDLblsOverMax val="0"/>
  </c:chart>
  <c:spPr>
    <a:solidFill>
      <a:srgbClr val="FFFFFF"/>
    </a:solidFill>
    <a:ln w="3142">
      <a:solidFill>
        <a:srgbClr val="000000"/>
      </a:solidFill>
      <a:prstDash val="solid"/>
    </a:ln>
  </c:spPr>
  <c:txPr>
    <a:bodyPr/>
    <a:lstStyle/>
    <a:p>
      <a:pPr>
        <a:defRPr sz="866" b="0" i="0" u="none" strike="noStrike" baseline="0">
          <a:solidFill>
            <a:srgbClr val="000000"/>
          </a:solidFill>
          <a:latin typeface="Arial"/>
          <a:ea typeface="Arial"/>
          <a:cs typeface="Arial"/>
        </a:defRPr>
      </a:pPr>
      <a:endParaRPr lang="en-US"/>
    </a:p>
  </c:txPr>
  <c:externalData r:id="rId2">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965189-DBBE-49C7-92F0-14BF6E488C3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Orders TOC by Paragraph.dot</Template>
  <TotalTime>0</TotalTime>
  <Pages>50</Pages>
  <Words>82996</Words>
  <Characters>473079</Characters>
  <Application>Microsoft Office Word</Application>
  <DocSecurity>0</DocSecurity>
  <Lines>3942</Lines>
  <Paragraphs>1109</Paragraphs>
  <ScaleCrop>false</ScaleCrop>
  <HeadingPairs>
    <vt:vector size="2" baseType="variant">
      <vt:variant>
        <vt:lpstr>Title</vt:lpstr>
      </vt:variant>
      <vt:variant>
        <vt:i4>1</vt:i4>
      </vt:variant>
    </vt:vector>
  </HeadingPairs>
  <TitlesOfParts>
    <vt:vector size="1" baseType="lpstr">
      <vt:lpstr>Before the</vt:lpstr>
    </vt:vector>
  </TitlesOfParts>
  <LinksUpToDate>false</LinksUpToDate>
  <CharactersWithSpaces>554966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Before the</dc:title>
  <dc:creator/>
  <cp:lastModifiedBy/>
  <cp:revision>1</cp:revision>
  <cp:lastPrinted>2013-02-20T23:01:00Z</cp:lastPrinted>
  <dcterms:created xsi:type="dcterms:W3CDTF">2013-03-22T19:35:00Z</dcterms:created>
  <dcterms:modified xsi:type="dcterms:W3CDTF">2013-03-22T19:35:00Z</dcterms:modified>
</cp:coreProperties>
</file>